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2600" w:after="0"/>
        <w:jc w:val="center"/>
      </w:pPr>
    </w:p>
    <w:p>
      <w:pPr>
        <w:spacing w:after="360"/>
        <w:jc w:val="center"/>
      </w:pPr>
      <w:r>
        <w:rPr>
          <w:rFonts w:ascii="Calibri" w:eastAsia="Calibri" w:hAnsi="Calibri" w:cs="Calibri"/>
          <w:color w:val="546E7A"/>
          <w:spacing w:val="10"/>
          <w:sz w:val="20"/>
          <w:szCs w:val="20"/>
        </w:rPr>
        <w:t xml:space="preserve">Agreement between the United States of America, the United Mexican States, and Canada</w:t>
      </w:r>
    </w:p>
    <w:p>
      <w:pPr>
        <w:spacing w:after="320"/>
        <w:jc w:val="center"/>
      </w:pPr>
      <w:r>
        <w:rPr>
          <w:rFonts w:ascii="Calibri" w:eastAsia="Calibri" w:hAnsi="Calibri" w:cs="Calibri"/>
          <w:b/>
          <w:color w:val="37474F"/>
          <w:spacing w:val="40"/>
          <w:sz w:val="52"/>
          <w:szCs w:val="52"/>
        </w:rPr>
        <w:t xml:space="preserve">NORTH AMERICAN ECONOMIC SECURITY AND TRADE MODERNIZATION AGREEMENT</w:t>
      </w:r>
    </w:p>
    <w:p>
      <w:pPr>
        <w:spacing w:after="520"/>
        <w:jc w:val="center"/>
      </w:pPr>
      <w:r>
        <w:rPr>
          <w:rFonts w:ascii="Calibri" w:eastAsia="Calibri" w:hAnsi="Calibri" w:cs="Calibri"/>
          <w:i/>
          <w:color w:val="546E7A"/>
          <w:sz w:val="27"/>
          <w:szCs w:val="27"/>
        </w:rPr>
        <w:t xml:space="preserve">The Modernized and Hardened North American Trade Framework</w:t>
      </w:r>
    </w:p>
    <w:p>
      <w:pPr>
        <w:pBdr>
          <w:bottom w:val="single" w:sz="6" w:space="1" w:color="546E7A"/>
        </w:pBdr>
        <w:spacing w:after="520"/>
        <w:ind w:left="2600" w:right="2600"/>
      </w:pPr>
    </w:p>
    <w:p>
      <w:pPr>
        <w:spacing w:after="160"/>
        <w:jc w:val="center"/>
      </w:pPr>
      <w:r>
        <w:rPr>
          <w:rFonts w:ascii="Calibri" w:eastAsia="Calibri" w:hAnsi="Calibri" w:cs="Calibri"/>
          <w:sz w:val="24"/>
          <w:szCs w:val="24"/>
        </w:rPr>
        <w:t xml:space="preserve">Version 9.8-FS  ·  2026</w:t>
      </w:r>
    </w:p>
    <w:p>
      <w:pPr>
        <w:spacing w:after="160"/>
        <w:jc w:val="center"/>
      </w:pPr>
      <w:r>
        <w:rPr>
          <w:rFonts w:ascii="Calibri" w:eastAsia="Calibri" w:hAnsi="Calibri" w:cs="Calibri"/>
          <w:color w:val="546E7A"/>
          <w:sz w:val="22"/>
          <w:szCs w:val="22"/>
        </w:rPr>
        <w:t xml:space="preserve">Full Consolidated Treaty Text</w:t>
      </w:r>
    </w:p>
    <w:p>
      <w:pPr>
        <w:spacing w:after="2400"/>
        <w:ind w:left="600" w:right="600"/>
        <w:jc w:val="center"/>
      </w:pPr>
      <w:r>
        <w:rPr>
          <w:rFonts w:ascii="Calibri" w:eastAsia="Calibri" w:hAnsi="Calibri" w:cs="Calibri"/>
          <w:i/>
          <w:color w:val="78909C"/>
          <w:sz w:val="20"/>
          <w:szCs w:val="20"/>
        </w:rPr>
        <w:t xml:space="preserve">Incorporating the Protocol of Modernization, the Proportional Trade Adjustment System, the NTSM Verification Framework, the No-Fade Guarantee, and the Treaty Integrity Regime</w:t>
      </w:r>
    </w:p>
    <w:p>
      <w:pPr>
        <w:spacing w:after="160"/>
        <w:jc w:val="center"/>
      </w:pPr>
      <w:r>
        <w:rPr>
          <w:rFonts w:ascii="Calibri" w:eastAsia="Calibri" w:hAnsi="Calibri" w:cs="Calibri"/>
          <w:b/>
          <w:color w:val="37474F"/>
          <w:sz w:val="22"/>
          <w:szCs w:val="22"/>
        </w:rPr>
        <w:t xml:space="preserve">The United States of America  ·  The United Mexican States  ·  Canada</w:t>
      </w:r>
    </w:p>
    <w:p>
      <w:pPr>
        <w:spacing w:after="160"/>
        <w:jc w:val="center"/>
      </w:pPr>
      <w:r>
        <w:rPr>
          <w:rFonts w:ascii="Calibri" w:eastAsia="Calibri" w:hAnsi="Calibri" w:cs="Calibri"/>
          <w:color w:val="546E7A"/>
          <w:sz w:val="20"/>
          <w:szCs w:val="20"/>
        </w:rPr>
        <w:t xml:space="preserve">Chapters 1–68  ·  Annexes and Implementation Instruments  ·  Amendment Ledger</w:t>
      </w:r>
    </w:p>
    <w:p>
      <w:pPr>
        <w:spacing w:after="0"/>
        <w:jc w:val="center"/>
        <w:sectPr>
          <w:pgSz w:w="12240" w:h="15840"/>
          <w:pgMar w:top="1134" w:right="1440" w:bottom="1134" w:left="1440" w:header="720" w:footer="720" w:gutter="0"/>
          <w:pgBorders>
            <w:top w:val="double" w:sz="6" w:space="28" w:color="37474F"/>
            <w:left w:val="double" w:sz="6" w:space="28" w:color="37474F"/>
            <w:bottom w:val="double" w:sz="6" w:space="28" w:color="37474F"/>
            <w:right w:val="double" w:sz="6" w:space="28" w:color="37474F"/>
          </w:pgBorders>
          <w:cols w:space="720"/>
        </w:sectPr>
      </w:pPr>
    </w:p>
    <w:p>
      <w:pPr>
        <w:keepNext/>
        <w:spacing w:after="360"/>
      </w:pPr>
      <w:r>
        <w:rPr>
          <w:rFonts w:ascii="Calibri" w:eastAsia="Calibri" w:hAnsi="Calibri" w:cs="Calibri"/>
          <w:b/>
          <w:caps/>
          <w:color w:val="37474F"/>
          <w:sz w:val="32"/>
          <w:szCs w:val="32"/>
        </w:rPr>
        <w:t>Table of Contents</w:t>
      </w:r>
    </w:p>
    <w:p>
      <w:pPr>
        <w:pStyle w:val="TOC1"/>
      </w:pPr>
      <w:r>
        <w:fldChar w:fldCharType="begin"/>
      </w:r>
      <w:r>
        <w:instrText xml:space="preserve"> TOC \o "1-2" \h \z \u \t "Instrument Article,3,Annex Section,3" </w:instrText>
      </w:r>
      <w:r>
        <w:fldChar w:fldCharType="separate"/>
      </w:r>
      <w:hyperlink w:anchor="_Toc300000000" w:history="1">
        <w:r>
          <w:rPr>
            <w:noProof/>
          </w:rPr>
          <w:t xml:space="preserve">COUNTRY WINS AND NAVIGATION GUIDE</w:t>
        </w:r>
        <w:r>
          <w:rPr>
            <w:noProof/>
            <w:webHidden/>
          </w:rPr>
          <w:tab/>
        </w:r>
        <w:r>
          <w:rPr>
            <w:noProof/>
            <w:webHidden/>
          </w:rPr>
          <w:fldChar w:fldCharType="begin"/>
        </w:r>
        <w:r>
          <w:rPr>
            <w:noProof/>
            <w:webHidden/>
          </w:rPr>
          <w:instrText xml:space="preserve"> PAGEREF _Toc300000000 \h </w:instrText>
        </w:r>
        <w:r>
          <w:rPr>
            <w:noProof/>
            <w:webHidden/>
          </w:rPr>
          <w:fldChar w:fldCharType="separate"/>
        </w:r>
        <w:r>
          <w:rPr>
            <w:noProof/>
            <w:webHidden/>
          </w:rPr>
          <w:t>55</w:t>
        </w:r>
        <w:r>
          <w:rPr>
            <w:noProof/>
            <w:webHidden/>
          </w:rPr>
          <w:fldChar w:fldCharType="end"/>
        </w:r>
      </w:hyperlink>
    </w:p>
    <w:p>
      <w:pPr>
        <w:pStyle w:val="TOC2"/>
      </w:pPr>
      <w:hyperlink w:anchor="_Toc300000001" w:history="1">
        <w:r>
          <w:rPr>
            <w:noProof/>
          </w:rPr>
          <w:t xml:space="preserve">CANADA: NEGOTIATOR VISIBILITY INDEX</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55</w:t>
        </w:r>
        <w:r>
          <w:rPr>
            <w:noProof/>
            <w:webHidden/>
          </w:rPr>
          <w:fldChar w:fldCharType="end"/>
        </w:r>
      </w:hyperlink>
    </w:p>
    <w:p>
      <w:pPr>
        <w:pStyle w:val="TOC2"/>
      </w:pPr>
      <w:hyperlink w:anchor="_Toc300000002" w:history="1">
        <w:r>
          <w:rPr>
            <w:noProof/>
          </w:rPr>
          <w:t xml:space="preserve">UNITED STATES: NEGOTIATOR VISIBILITY INDEX</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55</w:t>
        </w:r>
        <w:r>
          <w:rPr>
            <w:noProof/>
            <w:webHidden/>
          </w:rPr>
          <w:fldChar w:fldCharType="end"/>
        </w:r>
      </w:hyperlink>
    </w:p>
    <w:p>
      <w:pPr>
        <w:pStyle w:val="TOC2"/>
      </w:pPr>
      <w:hyperlink w:anchor="_Toc300000003" w:history="1">
        <w:r>
          <w:rPr>
            <w:noProof/>
          </w:rPr>
          <w:t xml:space="preserve">MEXICO: NEGOTIATOR VISIBILITY INDEX</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56</w:t>
        </w:r>
        <w:r>
          <w:rPr>
            <w:noProof/>
            <w:webHidden/>
          </w:rPr>
          <w:fldChar w:fldCharType="end"/>
        </w:r>
      </w:hyperlink>
    </w:p>
    <w:p>
      <w:pPr>
        <w:pStyle w:val="TOC1"/>
      </w:pPr>
      <w:hyperlink w:anchor="_Toc300000004" w:history="1">
        <w:r>
          <w:rPr>
            <w:noProof/>
          </w:rPr>
          <w:t xml:space="preserve">PROPOSED PROTOCOL OF MODERNIZATION TO THE AGREEMENT BETWEEN CANADA, THE UNITED STATES OF AMERICA, AND THE UNITED MEXICAN STATES</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57</w:t>
        </w:r>
        <w:r>
          <w:rPr>
            <w:noProof/>
            <w:webHidden/>
          </w:rPr>
          <w:fldChar w:fldCharType="end"/>
        </w:r>
      </w:hyperlink>
    </w:p>
    <w:p>
      <w:pPr>
        <w:pStyle w:val="TOC1"/>
      </w:pPr>
      <w:hyperlink w:anchor="_Toc300000005" w:history="1">
        <w:r>
          <w:rPr>
            <w:noProof/>
          </w:rPr>
          <w:t xml:space="preserve">PREAMBLE TO THE AGREEMENT AS MODERNIZED</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59</w:t>
        </w:r>
        <w:r>
          <w:rPr>
            <w:noProof/>
            <w:webHidden/>
          </w:rPr>
          <w:fldChar w:fldCharType="end"/>
        </w:r>
      </w:hyperlink>
    </w:p>
    <w:p>
      <w:pPr>
        <w:pStyle w:val="TOC1"/>
      </w:pPr>
      <w:hyperlink w:anchor="_Toc300000006" w:history="1">
        <w:r>
          <w:rPr>
            <w:noProof/>
          </w:rPr>
          <w:t xml:space="preserve">DRAFTING AND CONSOLIDATION CONVENTIONS APPLIED TO THIS TEXT</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60</w:t>
        </w:r>
        <w:r>
          <w:rPr>
            <w:noProof/>
            <w:webHidden/>
          </w:rPr>
          <w:fldChar w:fldCharType="end"/>
        </w:r>
      </w:hyperlink>
    </w:p>
    <w:p>
      <w:pPr>
        <w:pStyle w:val="TOC2"/>
      </w:pPr>
      <w:hyperlink w:anchor="_Toc300000007" w:history="1">
        <w:r>
          <w:rPr>
            <w:noProof/>
          </w:rPr>
          <w:t xml:space="preserve">Search aliases: high-value cross-cutting terms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66</w:t>
        </w:r>
        <w:r>
          <w:rPr>
            <w:noProof/>
            <w:webHidden/>
          </w:rPr>
          <w:fldChar w:fldCharType="end"/>
        </w:r>
      </w:hyperlink>
    </w:p>
    <w:p>
      <w:pPr>
        <w:pStyle w:val="TOC2"/>
      </w:pPr>
      <w:hyperlink w:anchor="_Toc300000008" w:history="1">
        <w:r>
          <w:rPr>
            <w:noProof/>
          </w:rPr>
          <w:t xml:space="preserve">I. Foundational, Institutional, Transparency and Dispute Settlement</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67</w:t>
        </w:r>
        <w:r>
          <w:rPr>
            <w:noProof/>
            <w:webHidden/>
          </w:rPr>
          <w:fldChar w:fldCharType="end"/>
        </w:r>
      </w:hyperlink>
    </w:p>
    <w:p>
      <w:pPr>
        <w:pStyle w:val="TOC2"/>
      </w:pPr>
      <w:hyperlink w:anchor="_Toc300000009" w:history="1">
        <w:r>
          <w:rPr>
            <w:noProof/>
          </w:rPr>
          <w:t xml:space="preserve">II. Trade In Goods, Origin, Customs and Remedies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67</w:t>
        </w:r>
        <w:r>
          <w:rPr>
            <w:noProof/>
            <w:webHidden/>
          </w:rPr>
          <w:fldChar w:fldCharType="end"/>
        </w:r>
      </w:hyperlink>
    </w:p>
    <w:p>
      <w:pPr>
        <w:pStyle w:val="TOC2"/>
      </w:pPr>
      <w:hyperlink w:anchor="_Toc300000010" w:history="1">
        <w:r>
          <w:rPr>
            <w:noProof/>
          </w:rPr>
          <w:t xml:space="preserve">III. Agriculture, Food and Sector-specific Goods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67</w:t>
        </w:r>
        <w:r>
          <w:rPr>
            <w:noProof/>
            <w:webHidden/>
          </w:rPr>
          <w:fldChar w:fldCharType="end"/>
        </w:r>
      </w:hyperlink>
    </w:p>
    <w:p>
      <w:pPr>
        <w:pStyle w:val="TOC2"/>
      </w:pPr>
      <w:hyperlink w:anchor="_Toc300000011" w:history="1">
        <w:r>
          <w:rPr>
            <w:noProof/>
          </w:rPr>
          <w:t xml:space="preserve">IV. Services, Investment, Mobility, Finance, Digital and Telecom</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67</w:t>
        </w:r>
        <w:r>
          <w:rPr>
            <w:noProof/>
            <w:webHidden/>
          </w:rPr>
          <w:fldChar w:fldCharType="end"/>
        </w:r>
      </w:hyperlink>
    </w:p>
    <w:p>
      <w:pPr>
        <w:pStyle w:val="TOC2"/>
      </w:pPr>
      <w:hyperlink w:anchor="_Toc300000012" w:history="1">
        <w:r>
          <w:rPr>
            <w:noProof/>
          </w:rPr>
          <w:t xml:space="preserve">V. Intellectual Property, State Enterprises, Competition and Procurement</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67</w:t>
        </w:r>
        <w:r>
          <w:rPr>
            <w:noProof/>
            <w:webHidden/>
          </w:rPr>
          <w:fldChar w:fldCharType="end"/>
        </w:r>
      </w:hyperlink>
    </w:p>
    <w:p>
      <w:pPr>
        <w:pStyle w:val="TOC2"/>
      </w:pPr>
      <w:hyperlink w:anchor="_Toc300000013" w:history="1">
        <w:r>
          <w:rPr>
            <w:noProof/>
          </w:rPr>
          <w:t xml:space="preserve">VI. Labor / Labour and Worker Protection</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68</w:t>
        </w:r>
        <w:r>
          <w:rPr>
            <w:noProof/>
            <w:webHidden/>
          </w:rPr>
          <w:fldChar w:fldCharType="end"/>
        </w:r>
      </w:hyperlink>
    </w:p>
    <w:p>
      <w:pPr>
        <w:pStyle w:val="TOC2"/>
      </w:pPr>
      <w:hyperlink w:anchor="_Toc300000014" w:history="1">
        <w:r>
          <w:rPr>
            <w:noProof/>
          </w:rPr>
          <w:t xml:space="preserve">VII. Environment, Forestry, Wildfire and Conservation</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68</w:t>
        </w:r>
        <w:r>
          <w:rPr>
            <w:noProof/>
            <w:webHidden/>
          </w:rPr>
          <w:fldChar w:fldCharType="end"/>
        </w:r>
      </w:hyperlink>
    </w:p>
    <w:p>
      <w:pPr>
        <w:pStyle w:val="TOC2"/>
      </w:pPr>
      <w:hyperlink w:anchor="_Toc300000015" w:history="1">
        <w:r>
          <w:rPr>
            <w:noProof/>
          </w:rPr>
          <w:t xml:space="preserve">VIII. Strategic, Security, Minerals, Energy and Emergency Continuity</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68</w:t>
        </w:r>
        <w:r>
          <w:rPr>
            <w:noProof/>
            <w:webHidden/>
          </w:rPr>
          <w:fldChar w:fldCharType="end"/>
        </w:r>
      </w:hyperlink>
    </w:p>
    <w:p>
      <w:pPr>
        <w:pStyle w:val="TOC2"/>
      </w:pPr>
      <w:hyperlink w:anchor="_Toc300000016" w:history="1">
        <w:r>
          <w:rPr>
            <w:noProof/>
          </w:rPr>
          <w:t xml:space="preserve">IX. Inclusive Trade, SMEs, Competitiveness, Anticorruption and Regulation</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68</w:t>
        </w:r>
        <w:r>
          <w:rPr>
            <w:noProof/>
            <w:webHidden/>
          </w:rPr>
          <w:fldChar w:fldCharType="end"/>
        </w:r>
      </w:hyperlink>
    </w:p>
    <w:p>
      <w:pPr>
        <w:pStyle w:val="TOC2"/>
      </w:pPr>
      <w:hyperlink w:anchor="_Toc300000017" w:history="1">
        <w:r>
          <w:rPr>
            <w:noProof/>
          </w:rPr>
          <w:t xml:space="preserve">X. Mobility, Immigration, Asylum and Humanitarian Protection</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68</w:t>
        </w:r>
        <w:r>
          <w:rPr>
            <w:noProof/>
            <w:webHidden/>
          </w:rPr>
          <w:fldChar w:fldCharType="end"/>
        </w:r>
      </w:hyperlink>
    </w:p>
    <w:p>
      <w:pPr>
        <w:pStyle w:val="TOC2"/>
      </w:pPr>
      <w:hyperlink w:anchor="_Toc300000018" w:history="1">
        <w:r>
          <w:rPr>
            <w:noProof/>
          </w:rPr>
          <w:t xml:space="preserve">XI. Custodial, Prisoner and Correctional Rights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68</w:t>
        </w:r>
        <w:r>
          <w:rPr>
            <w:noProof/>
            <w:webHidden/>
          </w:rPr>
          <w:fldChar w:fldCharType="end"/>
        </w:r>
      </w:hyperlink>
    </w:p>
    <w:p>
      <w:pPr>
        <w:pStyle w:val="TOC2"/>
      </w:pPr>
      <w:hyperlink w:anchor="_Toc300000019" w:history="1">
        <w:r>
          <w:rPr>
            <w:noProof/>
          </w:rPr>
          <w:t xml:space="preserve">XII. Side Letters, Annexes and Non-conforming Measures</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69</w:t>
        </w:r>
        <w:r>
          <w:rPr>
            <w:noProof/>
            <w:webHidden/>
          </w:rPr>
          <w:fldChar w:fldCharType="end"/>
        </w:r>
      </w:hyperlink>
    </w:p>
    <w:p>
      <w:pPr>
        <w:pStyle w:val="TOC1"/>
      </w:pPr>
      <w:hyperlink w:anchor="_Toc300000020" w:history="1">
        <w:r>
          <w:rPr>
            <w:noProof/>
          </w:rPr>
          <w:t xml:space="preserve">CHAPTER 1 INITIAL PROVISIONS AND GENERAL DEFINITIONS Section A: Initial Provisions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70</w:t>
        </w:r>
        <w:r>
          <w:rPr>
            <w:noProof/>
            <w:webHidden/>
          </w:rPr>
          <w:fldChar w:fldCharType="end"/>
        </w:r>
      </w:hyperlink>
    </w:p>
    <w:p>
      <w:pPr>
        <w:pStyle w:val="TOC2"/>
      </w:pPr>
      <w:hyperlink w:anchor="_Toc300000021" w:history="1">
        <w:r>
          <w:rPr>
            <w:noProof/>
          </w:rPr>
          <w:t xml:space="preserve">Article 1.1: Establishment of a Free Trade Area</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70</w:t>
        </w:r>
        <w:r>
          <w:rPr>
            <w:noProof/>
            <w:webHidden/>
          </w:rPr>
          <w:fldChar w:fldCharType="end"/>
        </w:r>
      </w:hyperlink>
    </w:p>
    <w:p>
      <w:pPr>
        <w:pStyle w:val="TOC2"/>
      </w:pPr>
      <w:hyperlink w:anchor="_Toc300000022" w:history="1">
        <w:r>
          <w:rPr>
            <w:noProof/>
          </w:rPr>
          <w:t xml:space="preserve">Article 1.2: Relation to Other Agreements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70</w:t>
        </w:r>
        <w:r>
          <w:rPr>
            <w:noProof/>
            <w:webHidden/>
          </w:rPr>
          <w:fldChar w:fldCharType="end"/>
        </w:r>
      </w:hyperlink>
    </w:p>
    <w:p>
      <w:pPr>
        <w:pStyle w:val="TOC2"/>
      </w:pPr>
      <w:hyperlink w:anchor="_Toc300000023" w:history="1">
        <w:r>
          <w:rPr>
            <w:noProof/>
          </w:rPr>
          <w:t xml:space="preserve">Article 1.3: Persons Exercising Delegated Governmental Authority</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70</w:t>
        </w:r>
        <w:r>
          <w:rPr>
            <w:noProof/>
            <w:webHidden/>
          </w:rPr>
          <w:fldChar w:fldCharType="end"/>
        </w:r>
      </w:hyperlink>
    </w:p>
    <w:p>
      <w:pPr>
        <w:pStyle w:val="TOC2"/>
      </w:pPr>
      <w:hyperlink w:anchor="_Toc300000024" w:history="1">
        <w:r>
          <w:rPr>
            <w:noProof/>
          </w:rPr>
          <w:t xml:space="preserve">Article 1.4: General Definitions</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70</w:t>
        </w:r>
        <w:r>
          <w:rPr>
            <w:noProof/>
            <w:webHidden/>
          </w:rPr>
          <w:fldChar w:fldCharType="end"/>
        </w:r>
      </w:hyperlink>
    </w:p>
    <w:p>
      <w:pPr>
        <w:pStyle w:val="TOC2"/>
      </w:pPr>
      <w:hyperlink w:anchor="_Toc300000025" w:history="1">
        <w:r>
          <w:rPr>
            <w:noProof/>
          </w:rPr>
          <w:t xml:space="preserve">CHAPTER 1: CUSMA 2.0 MODERNIZATION PROVISIONS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75</w:t>
        </w:r>
        <w:r>
          <w:rPr>
            <w:noProof/>
            <w:webHidden/>
          </w:rPr>
          <w:fldChar w:fldCharType="end"/>
        </w:r>
      </w:hyperlink>
    </w:p>
    <w:p>
      <w:pPr>
        <w:pStyle w:val="TOC2"/>
      </w:pPr>
      <w:hyperlink w:anchor="_Toc300000026" w:history="1">
        <w:r>
          <w:rPr>
            <w:noProof/>
          </w:rPr>
          <w:t xml:space="preserve">Article 1.A: Additional General Definitions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75</w:t>
        </w:r>
        <w:r>
          <w:rPr>
            <w:noProof/>
            <w:webHidden/>
          </w:rPr>
          <w:fldChar w:fldCharType="end"/>
        </w:r>
      </w:hyperlink>
    </w:p>
    <w:p>
      <w:pPr>
        <w:pStyle w:val="TOC2"/>
      </w:pPr>
      <w:hyperlink w:anchor="_Toc300000027" w:history="1">
        <w:r>
          <w:rPr>
            <w:noProof/>
          </w:rPr>
          <w:t xml:space="preserve">Article 1.B: Relation of the Agreement to Extraordinary Domestic Measures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76</w:t>
        </w:r>
        <w:r>
          <w:rPr>
            <w:noProof/>
            <w:webHidden/>
          </w:rPr>
          <w:fldChar w:fldCharType="end"/>
        </w:r>
      </w:hyperlink>
    </w:p>
    <w:p>
      <w:pPr>
        <w:pStyle w:val="TOC2"/>
      </w:pPr>
      <w:hyperlink w:anchor="_Toc300000028" w:history="1">
        <w:r>
          <w:rPr>
            <w:noProof/>
          </w:rPr>
          <w:t xml:space="preserve">Article 1.C: Distinction Between Political Commitments and Legal Obligations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77</w:t>
        </w:r>
        <w:r>
          <w:rPr>
            <w:noProof/>
            <w:webHidden/>
          </w:rPr>
          <w:fldChar w:fldCharType="end"/>
        </w:r>
      </w:hyperlink>
    </w:p>
    <w:p>
      <w:pPr>
        <w:pStyle w:val="TOC1"/>
      </w:pPr>
      <w:hyperlink w:anchor="_Toc300000029" w:history="1">
        <w:r>
          <w:rPr>
            <w:noProof/>
          </w:rPr>
          <w:t xml:space="preserve">CHAPTER 2 NATIONAL TREATMENT AND MARKET ACCESS FOR GOODS</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78</w:t>
        </w:r>
        <w:r>
          <w:rPr>
            <w:noProof/>
            <w:webHidden/>
          </w:rPr>
          <w:fldChar w:fldCharType="end"/>
        </w:r>
      </w:hyperlink>
    </w:p>
    <w:p>
      <w:pPr>
        <w:pStyle w:val="TOC2"/>
      </w:pPr>
      <w:hyperlink w:anchor="_Toc300000030" w:history="1">
        <w:r>
          <w:rPr>
            <w:noProof/>
          </w:rPr>
          <w:t xml:space="preserve">Article 2.1: Definitions</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78</w:t>
        </w:r>
        <w:r>
          <w:rPr>
            <w:noProof/>
            <w:webHidden/>
          </w:rPr>
          <w:fldChar w:fldCharType="end"/>
        </w:r>
      </w:hyperlink>
    </w:p>
    <w:p>
      <w:pPr>
        <w:pStyle w:val="TOC2"/>
      </w:pPr>
      <w:hyperlink w:anchor="_Toc300000031" w:history="1">
        <w:r>
          <w:rPr>
            <w:noProof/>
          </w:rPr>
          <w:t xml:space="preserve">Article 2.2: Scope</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80</w:t>
        </w:r>
        <w:r>
          <w:rPr>
            <w:noProof/>
            <w:webHidden/>
          </w:rPr>
          <w:fldChar w:fldCharType="end"/>
        </w:r>
      </w:hyperlink>
    </w:p>
    <w:p>
      <w:pPr>
        <w:pStyle w:val="TOC2"/>
      </w:pPr>
      <w:hyperlink w:anchor="_Toc300000032" w:history="1">
        <w:r>
          <w:rPr>
            <w:noProof/>
          </w:rPr>
          <w:t xml:space="preserve">Article 2.3: National Treatment</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80</w:t>
        </w:r>
        <w:r>
          <w:rPr>
            <w:noProof/>
            <w:webHidden/>
          </w:rPr>
          <w:fldChar w:fldCharType="end"/>
        </w:r>
      </w:hyperlink>
    </w:p>
    <w:p>
      <w:pPr>
        <w:pStyle w:val="TOC2"/>
      </w:pPr>
      <w:hyperlink w:anchor="_Toc300000033" w:history="1">
        <w:r>
          <w:rPr>
            <w:noProof/>
          </w:rPr>
          <w:t xml:space="preserve">Article 2.4: Treatment of Customs Duties</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80</w:t>
        </w:r>
        <w:r>
          <w:rPr>
            <w:noProof/>
            <w:webHidden/>
          </w:rPr>
          <w:fldChar w:fldCharType="end"/>
        </w:r>
      </w:hyperlink>
    </w:p>
    <w:p>
      <w:pPr>
        <w:pStyle w:val="TOC2"/>
      </w:pPr>
      <w:hyperlink w:anchor="_Toc300000034" w:history="1">
        <w:r>
          <w:rPr>
            <w:noProof/>
          </w:rPr>
          <w:t xml:space="preserve">Article 2.5: Drawback and Duty Deferral Programs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81</w:t>
        </w:r>
        <w:r>
          <w:rPr>
            <w:noProof/>
            <w:webHidden/>
          </w:rPr>
          <w:fldChar w:fldCharType="end"/>
        </w:r>
      </w:hyperlink>
    </w:p>
    <w:p>
      <w:pPr>
        <w:pStyle w:val="TOC2"/>
      </w:pPr>
      <w:hyperlink w:anchor="_Toc300000035" w:history="1">
        <w:r>
          <w:rPr>
            <w:noProof/>
          </w:rPr>
          <w:t xml:space="preserve">Article 2.6: Waiver of Customs Duties</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83</w:t>
        </w:r>
        <w:r>
          <w:rPr>
            <w:noProof/>
            <w:webHidden/>
          </w:rPr>
          <w:fldChar w:fldCharType="end"/>
        </w:r>
      </w:hyperlink>
    </w:p>
    <w:p>
      <w:pPr>
        <w:pStyle w:val="TOC2"/>
      </w:pPr>
      <w:hyperlink w:anchor="_Toc300000036" w:history="1">
        <w:r>
          <w:rPr>
            <w:noProof/>
          </w:rPr>
          <w:t xml:space="preserve">Article 2.7: Temporary Admission of Goods</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83</w:t>
        </w:r>
        <w:r>
          <w:rPr>
            <w:noProof/>
            <w:webHidden/>
          </w:rPr>
          <w:fldChar w:fldCharType="end"/>
        </w:r>
      </w:hyperlink>
    </w:p>
    <w:p>
      <w:pPr>
        <w:pStyle w:val="TOC2"/>
      </w:pPr>
      <w:hyperlink w:anchor="_Toc300000037" w:history="1">
        <w:r>
          <w:rPr>
            <w:noProof/>
          </w:rPr>
          <w:t xml:space="preserve">Article 2.8: Goods Re-Entered after Repair or Alteration</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85</w:t>
        </w:r>
        <w:r>
          <w:rPr>
            <w:noProof/>
            <w:webHidden/>
          </w:rPr>
          <w:fldChar w:fldCharType="end"/>
        </w:r>
      </w:hyperlink>
    </w:p>
    <w:p>
      <w:pPr>
        <w:pStyle w:val="TOC2"/>
      </w:pPr>
      <w:hyperlink w:anchor="_Toc300000038" w:history="1">
        <w:r>
          <w:rPr>
            <w:noProof/>
          </w:rPr>
          <w:t xml:space="preserve">Article 2.9: Duty-Free Entry of Commercial Samples of Negligible Value and Printed Advertising Materials</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85</w:t>
        </w:r>
        <w:r>
          <w:rPr>
            <w:noProof/>
            <w:webHidden/>
          </w:rPr>
          <w:fldChar w:fldCharType="end"/>
        </w:r>
      </w:hyperlink>
    </w:p>
    <w:p>
      <w:pPr>
        <w:pStyle w:val="TOC2"/>
      </w:pPr>
      <w:hyperlink w:anchor="_Toc300000039" w:history="1">
        <w:r>
          <w:rPr>
            <w:noProof/>
          </w:rPr>
          <w:t xml:space="preserve">Article 2.10: Most-Favored-Nation Rates of Duty on Certain Goods</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85</w:t>
        </w:r>
        <w:r>
          <w:rPr>
            <w:noProof/>
            <w:webHidden/>
          </w:rPr>
          <w:fldChar w:fldCharType="end"/>
        </w:r>
      </w:hyperlink>
    </w:p>
    <w:p>
      <w:pPr>
        <w:pStyle w:val="TOC2"/>
      </w:pPr>
      <w:hyperlink w:anchor="_Toc300000040" w:history="1">
        <w:r>
          <w:rPr>
            <w:noProof/>
          </w:rPr>
          <w:t xml:space="preserve">Article 2.11: Import and Export Restrictions</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88</w:t>
        </w:r>
        <w:r>
          <w:rPr>
            <w:noProof/>
            <w:webHidden/>
          </w:rPr>
          <w:fldChar w:fldCharType="end"/>
        </w:r>
      </w:hyperlink>
    </w:p>
    <w:p>
      <w:pPr>
        <w:pStyle w:val="TOC2"/>
      </w:pPr>
      <w:hyperlink w:anchor="_Toc300000041" w:history="1">
        <w:r>
          <w:rPr>
            <w:noProof/>
          </w:rPr>
          <w:t xml:space="preserve">Article 2.12: Remanufactured Goods</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89</w:t>
        </w:r>
        <w:r>
          <w:rPr>
            <w:noProof/>
            <w:webHidden/>
          </w:rPr>
          <w:fldChar w:fldCharType="end"/>
        </w:r>
      </w:hyperlink>
    </w:p>
    <w:p>
      <w:pPr>
        <w:pStyle w:val="TOC2"/>
      </w:pPr>
      <w:hyperlink w:anchor="_Toc300000042" w:history="1">
        <w:r>
          <w:rPr>
            <w:noProof/>
          </w:rPr>
          <w:t xml:space="preserve">Article 2.13: Transparency in Import Licensing Procedures</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89</w:t>
        </w:r>
        <w:r>
          <w:rPr>
            <w:noProof/>
            <w:webHidden/>
          </w:rPr>
          <w:fldChar w:fldCharType="end"/>
        </w:r>
      </w:hyperlink>
    </w:p>
    <w:p>
      <w:pPr>
        <w:pStyle w:val="TOC2"/>
      </w:pPr>
      <w:hyperlink w:anchor="_Toc300000043" w:history="1">
        <w:r>
          <w:rPr>
            <w:noProof/>
          </w:rPr>
          <w:t xml:space="preserve">Article 2.14: Transparency in Export Licensing Procedures</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90</w:t>
        </w:r>
        <w:r>
          <w:rPr>
            <w:noProof/>
            <w:webHidden/>
          </w:rPr>
          <w:fldChar w:fldCharType="end"/>
        </w:r>
      </w:hyperlink>
    </w:p>
    <w:p>
      <w:pPr>
        <w:pStyle w:val="TOC2"/>
      </w:pPr>
      <w:hyperlink w:anchor="_Toc300000044" w:history="1">
        <w:r>
          <w:rPr>
            <w:noProof/>
          </w:rPr>
          <w:t xml:space="preserve">Article 2.15: Export Duties, Taxes, or Other Charges</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91</w:t>
        </w:r>
        <w:r>
          <w:rPr>
            <w:noProof/>
            <w:webHidden/>
          </w:rPr>
          <w:fldChar w:fldCharType="end"/>
        </w:r>
      </w:hyperlink>
    </w:p>
    <w:p>
      <w:pPr>
        <w:pStyle w:val="TOC2"/>
      </w:pPr>
      <w:hyperlink w:anchor="_Toc300000045" w:history="1">
        <w:r>
          <w:rPr>
            <w:noProof/>
          </w:rPr>
          <w:t xml:space="preserve">Article 2.16: Administrative Fees and Formalities</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91</w:t>
        </w:r>
        <w:r>
          <w:rPr>
            <w:noProof/>
            <w:webHidden/>
          </w:rPr>
          <w:fldChar w:fldCharType="end"/>
        </w:r>
      </w:hyperlink>
    </w:p>
    <w:p>
      <w:pPr>
        <w:pStyle w:val="TOC2"/>
      </w:pPr>
      <w:hyperlink w:anchor="_Toc300000046" w:history="1">
        <w:r>
          <w:rPr>
            <w:noProof/>
          </w:rPr>
          <w:t xml:space="preserve">Article 2.17: Committee on Trade in Goods</w:t>
        </w:r>
        <w:r>
          <w:rPr>
            <w:noProof/>
            <w:webHidden/>
          </w:rPr>
          <w:tab/>
        </w:r>
        <w:r>
          <w:rPr>
            <w:noProof/>
            <w:webHidden/>
          </w:rPr>
          <w:fldChar w:fldCharType="begin"/>
        </w:r>
        <w:r>
          <w:rPr>
            <w:noProof/>
            <w:webHidden/>
          </w:rPr>
          <w:instrText xml:space="preserve"> PAGEREF _Toc300000046 \h </w:instrText>
        </w:r>
        <w:r>
          <w:rPr>
            <w:noProof/>
            <w:webHidden/>
          </w:rPr>
          <w:fldChar w:fldCharType="separate"/>
        </w:r>
        <w:r>
          <w:rPr>
            <w:noProof/>
            <w:webHidden/>
          </w:rPr>
          <w:t>92</w:t>
        </w:r>
        <w:r>
          <w:rPr>
            <w:noProof/>
            <w:webHidden/>
          </w:rPr>
          <w:fldChar w:fldCharType="end"/>
        </w:r>
      </w:hyperlink>
    </w:p>
    <w:p>
      <w:pPr>
        <w:pStyle w:val="TOC2"/>
      </w:pPr>
      <w:hyperlink w:anchor="_Toc300000047" w:history="1">
        <w:r>
          <w:rPr>
            <w:noProof/>
          </w:rPr>
          <w:t xml:space="preserve">ANNEX 2-A EXCEPTIONS TO ARTICLE 2.3 (NATIONAL TREATMENT) AND ARTICLE 2.11 (IMPORT AND EXPORT RESTRICTIONS)</w:t>
        </w:r>
        <w:r>
          <w:rPr>
            <w:noProof/>
            <w:webHidden/>
          </w:rPr>
          <w:tab/>
        </w:r>
        <w:r>
          <w:rPr>
            <w:noProof/>
            <w:webHidden/>
          </w:rPr>
          <w:fldChar w:fldCharType="begin"/>
        </w:r>
        <w:r>
          <w:rPr>
            <w:noProof/>
            <w:webHidden/>
          </w:rPr>
          <w:instrText xml:space="preserve"> PAGEREF _Toc300000047 \h </w:instrText>
        </w:r>
        <w:r>
          <w:rPr>
            <w:noProof/>
            <w:webHidden/>
          </w:rPr>
          <w:fldChar w:fldCharType="separate"/>
        </w:r>
        <w:r>
          <w:rPr>
            <w:noProof/>
            <w:webHidden/>
          </w:rPr>
          <w:t>92</w:t>
        </w:r>
        <w:r>
          <w:rPr>
            <w:noProof/>
            <w:webHidden/>
          </w:rPr>
          <w:fldChar w:fldCharType="end"/>
        </w:r>
      </w:hyperlink>
    </w:p>
    <w:p>
      <w:pPr>
        <w:pStyle w:val="TOC2"/>
      </w:pPr>
      <w:hyperlink w:anchor="_Toc300000048" w:history="1">
        <w:r>
          <w:rPr>
            <w:noProof/>
          </w:rPr>
          <w:t xml:space="preserve">Article 2.A.1: Application of Article 2.3 (National Treatment) and Article 2.11 (Import and Export Restrictions)</w:t>
        </w:r>
        <w:r>
          <w:rPr>
            <w:noProof/>
            <w:webHidden/>
          </w:rPr>
          <w:tab/>
        </w:r>
        <w:r>
          <w:rPr>
            <w:noProof/>
            <w:webHidden/>
          </w:rPr>
          <w:fldChar w:fldCharType="begin"/>
        </w:r>
        <w:r>
          <w:rPr>
            <w:noProof/>
            <w:webHidden/>
          </w:rPr>
          <w:instrText xml:space="preserve"> PAGEREF _Toc300000048 \h </w:instrText>
        </w:r>
        <w:r>
          <w:rPr>
            <w:noProof/>
            <w:webHidden/>
          </w:rPr>
          <w:fldChar w:fldCharType="separate"/>
        </w:r>
        <w:r>
          <w:rPr>
            <w:noProof/>
            <w:webHidden/>
          </w:rPr>
          <w:t>92</w:t>
        </w:r>
        <w:r>
          <w:rPr>
            <w:noProof/>
            <w:webHidden/>
          </w:rPr>
          <w:fldChar w:fldCharType="end"/>
        </w:r>
      </w:hyperlink>
    </w:p>
    <w:p>
      <w:pPr>
        <w:pStyle w:val="TOC2"/>
      </w:pPr>
      <w:hyperlink w:anchor="_Toc300000049" w:history="1">
        <w:r>
          <w:rPr>
            <w:noProof/>
          </w:rPr>
          <w:t xml:space="preserve">Article 2.A.2: Measures of Canada</w:t>
        </w:r>
        <w:r>
          <w:rPr>
            <w:noProof/>
            <w:webHidden/>
          </w:rPr>
          <w:tab/>
        </w:r>
        <w:r>
          <w:rPr>
            <w:noProof/>
            <w:webHidden/>
          </w:rPr>
          <w:fldChar w:fldCharType="begin"/>
        </w:r>
        <w:r>
          <w:rPr>
            <w:noProof/>
            <w:webHidden/>
          </w:rPr>
          <w:instrText xml:space="preserve"> PAGEREF _Toc300000049 \h </w:instrText>
        </w:r>
        <w:r>
          <w:rPr>
            <w:noProof/>
            <w:webHidden/>
          </w:rPr>
          <w:fldChar w:fldCharType="separate"/>
        </w:r>
        <w:r>
          <w:rPr>
            <w:noProof/>
            <w:webHidden/>
          </w:rPr>
          <w:t>93</w:t>
        </w:r>
        <w:r>
          <w:rPr>
            <w:noProof/>
            <w:webHidden/>
          </w:rPr>
          <w:fldChar w:fldCharType="end"/>
        </w:r>
      </w:hyperlink>
    </w:p>
    <w:p>
      <w:pPr>
        <w:pStyle w:val="TOC2"/>
      </w:pPr>
      <w:hyperlink w:anchor="_Toc300000050" w:history="1">
        <w:r>
          <w:rPr>
            <w:noProof/>
          </w:rPr>
          <w:t xml:space="preserve">Article 2.A.3: Measures of Mexico</w:t>
        </w:r>
        <w:r>
          <w:rPr>
            <w:noProof/>
            <w:webHidden/>
          </w:rPr>
          <w:tab/>
        </w:r>
        <w:r>
          <w:rPr>
            <w:noProof/>
            <w:webHidden/>
          </w:rPr>
          <w:fldChar w:fldCharType="begin"/>
        </w:r>
        <w:r>
          <w:rPr>
            <w:noProof/>
            <w:webHidden/>
          </w:rPr>
          <w:instrText xml:space="preserve"> PAGEREF _Toc300000050 \h </w:instrText>
        </w:r>
        <w:r>
          <w:rPr>
            <w:noProof/>
            <w:webHidden/>
          </w:rPr>
          <w:fldChar w:fldCharType="separate"/>
        </w:r>
        <w:r>
          <w:rPr>
            <w:noProof/>
            <w:webHidden/>
          </w:rPr>
          <w:t>93</w:t>
        </w:r>
        <w:r>
          <w:rPr>
            <w:noProof/>
            <w:webHidden/>
          </w:rPr>
          <w:fldChar w:fldCharType="end"/>
        </w:r>
      </w:hyperlink>
    </w:p>
    <w:p>
      <w:pPr>
        <w:pStyle w:val="TOC2"/>
      </w:pPr>
      <w:hyperlink w:anchor="_Toc300000051" w:history="1">
        <w:r>
          <w:rPr>
            <w:noProof/>
          </w:rPr>
          <w:t xml:space="preserve">Article 2.A.4: Measures of the United States</w:t>
        </w:r>
        <w:r>
          <w:rPr>
            <w:noProof/>
            <w:webHidden/>
          </w:rPr>
          <w:tab/>
        </w:r>
        <w:r>
          <w:rPr>
            <w:noProof/>
            <w:webHidden/>
          </w:rPr>
          <w:fldChar w:fldCharType="begin"/>
        </w:r>
        <w:r>
          <w:rPr>
            <w:noProof/>
            <w:webHidden/>
          </w:rPr>
          <w:instrText xml:space="preserve"> PAGEREF _Toc300000051 \h </w:instrText>
        </w:r>
        <w:r>
          <w:rPr>
            <w:noProof/>
            <w:webHidden/>
          </w:rPr>
          <w:fldChar w:fldCharType="separate"/>
        </w:r>
        <w:r>
          <w:rPr>
            <w:noProof/>
            <w:webHidden/>
          </w:rPr>
          <w:t>94</w:t>
        </w:r>
        <w:r>
          <w:rPr>
            <w:noProof/>
            <w:webHidden/>
          </w:rPr>
          <w:fldChar w:fldCharType="end"/>
        </w:r>
      </w:hyperlink>
    </w:p>
    <w:p>
      <w:pPr>
        <w:pStyle w:val="TOC2"/>
      </w:pPr>
      <w:hyperlink w:anchor="_Toc300000052" w:history="1">
        <w:r>
          <w:rPr>
            <w:noProof/>
          </w:rPr>
          <w:t xml:space="preserve">ANNEX 2-B TARIFF COMMITMENTS</w:t>
        </w:r>
        <w:r>
          <w:rPr>
            <w:noProof/>
            <w:webHidden/>
          </w:rPr>
          <w:tab/>
        </w:r>
        <w:r>
          <w:rPr>
            <w:noProof/>
            <w:webHidden/>
          </w:rPr>
          <w:fldChar w:fldCharType="begin"/>
        </w:r>
        <w:r>
          <w:rPr>
            <w:noProof/>
            <w:webHidden/>
          </w:rPr>
          <w:instrText xml:space="preserve"> PAGEREF _Toc300000052 \h </w:instrText>
        </w:r>
        <w:r>
          <w:rPr>
            <w:noProof/>
            <w:webHidden/>
          </w:rPr>
          <w:fldChar w:fldCharType="separate"/>
        </w:r>
        <w:r>
          <w:rPr>
            <w:noProof/>
            <w:webHidden/>
          </w:rPr>
          <w:t>94</w:t>
        </w:r>
        <w:r>
          <w:rPr>
            <w:noProof/>
            <w:webHidden/>
          </w:rPr>
          <w:fldChar w:fldCharType="end"/>
        </w:r>
      </w:hyperlink>
    </w:p>
    <w:p>
      <w:pPr>
        <w:pStyle w:val="TOC2"/>
      </w:pPr>
      <w:hyperlink w:anchor="_Toc300000053" w:history="1">
        <w:r>
          <w:rPr>
            <w:noProof/>
          </w:rPr>
          <w:t xml:space="preserve">TARIFF SCHEDULE OF CANADA GENERAL NOTES</w:t>
        </w:r>
        <w:r>
          <w:rPr>
            <w:noProof/>
            <w:webHidden/>
          </w:rPr>
          <w:tab/>
        </w:r>
        <w:r>
          <w:rPr>
            <w:noProof/>
            <w:webHidden/>
          </w:rPr>
          <w:fldChar w:fldCharType="begin"/>
        </w:r>
        <w:r>
          <w:rPr>
            <w:noProof/>
            <w:webHidden/>
          </w:rPr>
          <w:instrText xml:space="preserve"> PAGEREF _Toc300000053 \h </w:instrText>
        </w:r>
        <w:r>
          <w:rPr>
            <w:noProof/>
            <w:webHidden/>
          </w:rPr>
          <w:fldChar w:fldCharType="separate"/>
        </w:r>
        <w:r>
          <w:rPr>
            <w:noProof/>
            <w:webHidden/>
          </w:rPr>
          <w:t>95</w:t>
        </w:r>
        <w:r>
          <w:rPr>
            <w:noProof/>
            <w:webHidden/>
          </w:rPr>
          <w:fldChar w:fldCharType="end"/>
        </w:r>
      </w:hyperlink>
    </w:p>
    <w:p>
      <w:pPr>
        <w:pStyle w:val="TOC2"/>
      </w:pPr>
      <w:hyperlink w:anchor="_Toc300000054" w:history="1">
        <w:r>
          <w:rPr>
            <w:noProof/>
          </w:rPr>
          <w:t xml:space="preserve">TARIFF SCHEDULE OF MEXICO GENERAL NOTES</w:t>
        </w:r>
        <w:r>
          <w:rPr>
            <w:noProof/>
            <w:webHidden/>
          </w:rPr>
          <w:tab/>
        </w:r>
        <w:r>
          <w:rPr>
            <w:noProof/>
            <w:webHidden/>
          </w:rPr>
          <w:fldChar w:fldCharType="begin"/>
        </w:r>
        <w:r>
          <w:rPr>
            <w:noProof/>
            <w:webHidden/>
          </w:rPr>
          <w:instrText xml:space="preserve"> PAGEREF _Toc300000054 \h </w:instrText>
        </w:r>
        <w:r>
          <w:rPr>
            <w:noProof/>
            <w:webHidden/>
          </w:rPr>
          <w:fldChar w:fldCharType="separate"/>
        </w:r>
        <w:r>
          <w:rPr>
            <w:noProof/>
            <w:webHidden/>
          </w:rPr>
          <w:t>96</w:t>
        </w:r>
        <w:r>
          <w:rPr>
            <w:noProof/>
            <w:webHidden/>
          </w:rPr>
          <w:fldChar w:fldCharType="end"/>
        </w:r>
      </w:hyperlink>
    </w:p>
    <w:p>
      <w:pPr>
        <w:pStyle w:val="TOC2"/>
      </w:pPr>
      <w:hyperlink w:anchor="_Toc300000055" w:history="1">
        <w:r>
          <w:rPr>
            <w:noProof/>
          </w:rPr>
          <w:t xml:space="preserve">TARIFF SCHEDULE OF THE UNITED STATES GENERAL NOTES</w:t>
        </w:r>
        <w:r>
          <w:rPr>
            <w:noProof/>
            <w:webHidden/>
          </w:rPr>
          <w:tab/>
        </w:r>
        <w:r>
          <w:rPr>
            <w:noProof/>
            <w:webHidden/>
          </w:rPr>
          <w:fldChar w:fldCharType="begin"/>
        </w:r>
        <w:r>
          <w:rPr>
            <w:noProof/>
            <w:webHidden/>
          </w:rPr>
          <w:instrText xml:space="preserve"> PAGEREF _Toc300000055 \h </w:instrText>
        </w:r>
        <w:r>
          <w:rPr>
            <w:noProof/>
            <w:webHidden/>
          </w:rPr>
          <w:fldChar w:fldCharType="separate"/>
        </w:r>
        <w:r>
          <w:rPr>
            <w:noProof/>
            <w:webHidden/>
          </w:rPr>
          <w:t>97</w:t>
        </w:r>
        <w:r>
          <w:rPr>
            <w:noProof/>
            <w:webHidden/>
          </w:rPr>
          <w:fldChar w:fldCharType="end"/>
        </w:r>
      </w:hyperlink>
    </w:p>
    <w:p>
      <w:pPr>
        <w:pStyle w:val="TOC2"/>
      </w:pPr>
      <w:hyperlink w:anchor="_Toc300000056" w:history="1">
        <w:r>
          <w:rPr>
            <w:noProof/>
          </w:rPr>
          <w:t xml:space="preserve">Appendix 2: Tariff Schedule of Canada - (Tariff Rate Quotas)</w:t>
        </w:r>
        <w:r>
          <w:rPr>
            <w:noProof/>
            <w:webHidden/>
          </w:rPr>
          <w:tab/>
        </w:r>
        <w:r>
          <w:rPr>
            <w:noProof/>
            <w:webHidden/>
          </w:rPr>
          <w:fldChar w:fldCharType="begin"/>
        </w:r>
        <w:r>
          <w:rPr>
            <w:noProof/>
            <w:webHidden/>
          </w:rPr>
          <w:instrText xml:space="preserve"> PAGEREF _Toc300000056 \h </w:instrText>
        </w:r>
        <w:r>
          <w:rPr>
            <w:noProof/>
            <w:webHidden/>
          </w:rPr>
          <w:fldChar w:fldCharType="separate"/>
        </w:r>
        <w:r>
          <w:rPr>
            <w:noProof/>
            <w:webHidden/>
          </w:rPr>
          <w:t>98</w:t>
        </w:r>
        <w:r>
          <w:rPr>
            <w:noProof/>
            <w:webHidden/>
          </w:rPr>
          <w:fldChar w:fldCharType="end"/>
        </w:r>
      </w:hyperlink>
    </w:p>
    <w:p>
      <w:pPr>
        <w:pStyle w:val="TOC2"/>
      </w:pPr>
      <w:hyperlink w:anchor="_Toc300000057" w:history="1">
        <w:r>
          <w:rPr>
            <w:noProof/>
          </w:rPr>
          <w:t xml:space="preserve">Appendix 2: Tariff Schedule of the United States - (Tariff Rate Quotas)</w:t>
        </w:r>
        <w:r>
          <w:rPr>
            <w:noProof/>
            <w:webHidden/>
          </w:rPr>
          <w:tab/>
        </w:r>
        <w:r>
          <w:rPr>
            <w:noProof/>
            <w:webHidden/>
          </w:rPr>
          <w:fldChar w:fldCharType="begin"/>
        </w:r>
        <w:r>
          <w:rPr>
            <w:noProof/>
            <w:webHidden/>
          </w:rPr>
          <w:instrText xml:space="preserve"> PAGEREF _Toc300000057 \h </w:instrText>
        </w:r>
        <w:r>
          <w:rPr>
            <w:noProof/>
            <w:webHidden/>
          </w:rPr>
          <w:fldChar w:fldCharType="separate"/>
        </w:r>
        <w:r>
          <w:rPr>
            <w:noProof/>
            <w:webHidden/>
          </w:rPr>
          <w:t>111</w:t>
        </w:r>
        <w:r>
          <w:rPr>
            <w:noProof/>
            <w:webHidden/>
          </w:rPr>
          <w:fldChar w:fldCharType="end"/>
        </w:r>
      </w:hyperlink>
    </w:p>
    <w:p>
      <w:pPr>
        <w:pStyle w:val="TOC2"/>
      </w:pPr>
      <w:hyperlink w:anchor="_Toc300000058" w:history="1">
        <w:r>
          <w:rPr>
            <w:noProof/>
          </w:rPr>
          <w:t xml:space="preserve">ANNEX 2-C PROVISIONS BETWEEN MEXICO AND THE UNITED STATES ON AUTOMOTIVE GOODS</w:t>
        </w:r>
        <w:r>
          <w:rPr>
            <w:noProof/>
            <w:webHidden/>
          </w:rPr>
          <w:tab/>
        </w:r>
        <w:r>
          <w:rPr>
            <w:noProof/>
            <w:webHidden/>
          </w:rPr>
          <w:fldChar w:fldCharType="begin"/>
        </w:r>
        <w:r>
          <w:rPr>
            <w:noProof/>
            <w:webHidden/>
          </w:rPr>
          <w:instrText xml:space="preserve"> PAGEREF _Toc300000058 \h </w:instrText>
        </w:r>
        <w:r>
          <w:rPr>
            <w:noProof/>
            <w:webHidden/>
          </w:rPr>
          <w:fldChar w:fldCharType="separate"/>
        </w:r>
        <w:r>
          <w:rPr>
            <w:noProof/>
            <w:webHidden/>
          </w:rPr>
          <w:t>123</w:t>
        </w:r>
        <w:r>
          <w:rPr>
            <w:noProof/>
            <w:webHidden/>
          </w:rPr>
          <w:fldChar w:fldCharType="end"/>
        </w:r>
      </w:hyperlink>
    </w:p>
    <w:p>
      <w:pPr>
        <w:pStyle w:val="TOC2"/>
      </w:pPr>
      <w:hyperlink w:anchor="_Toc300000059" w:history="1">
        <w:r>
          <w:rPr>
            <w:noProof/>
          </w:rPr>
          <w:t xml:space="preserve">APPENDIX AUTO PARTS</w:t>
        </w:r>
        <w:r>
          <w:rPr>
            <w:noProof/>
            <w:webHidden/>
          </w:rPr>
          <w:tab/>
        </w:r>
        <w:r>
          <w:rPr>
            <w:noProof/>
            <w:webHidden/>
          </w:rPr>
          <w:fldChar w:fldCharType="begin"/>
        </w:r>
        <w:r>
          <w:rPr>
            <w:noProof/>
            <w:webHidden/>
          </w:rPr>
          <w:instrText xml:space="preserve"> PAGEREF _Toc300000059 \h </w:instrText>
        </w:r>
        <w:r>
          <w:rPr>
            <w:noProof/>
            <w:webHidden/>
          </w:rPr>
          <w:fldChar w:fldCharType="separate"/>
        </w:r>
        <w:r>
          <w:rPr>
            <w:noProof/>
            <w:webHidden/>
          </w:rPr>
          <w:t>124</w:t>
        </w:r>
        <w:r>
          <w:rPr>
            <w:noProof/>
            <w:webHidden/>
          </w:rPr>
          <w:fldChar w:fldCharType="end"/>
        </w:r>
      </w:hyperlink>
    </w:p>
    <w:p>
      <w:pPr>
        <w:pStyle w:val="TOC2"/>
      </w:pPr>
      <w:hyperlink w:anchor="_Toc300000060" w:history="1">
        <w:r>
          <w:rPr>
            <w:noProof/>
          </w:rPr>
          <w:t xml:space="preserve">TARIFF SCHEDULE OF CANADA</w:t>
        </w:r>
        <w:r>
          <w:rPr>
            <w:noProof/>
            <w:webHidden/>
          </w:rPr>
          <w:tab/>
        </w:r>
        <w:r>
          <w:rPr>
            <w:noProof/>
            <w:webHidden/>
          </w:rPr>
          <w:fldChar w:fldCharType="begin"/>
        </w:r>
        <w:r>
          <w:rPr>
            <w:noProof/>
            <w:webHidden/>
          </w:rPr>
          <w:instrText xml:space="preserve"> PAGEREF _Toc300000060 \h </w:instrText>
        </w:r>
        <w:r>
          <w:rPr>
            <w:noProof/>
            <w:webHidden/>
          </w:rPr>
          <w:fldChar w:fldCharType="separate"/>
        </w:r>
        <w:r>
          <w:rPr>
            <w:noProof/>
            <w:webHidden/>
          </w:rPr>
          <w:t>127</w:t>
        </w:r>
        <w:r>
          <w:rPr>
            <w:noProof/>
            <w:webHidden/>
          </w:rPr>
          <w:fldChar w:fldCharType="end"/>
        </w:r>
      </w:hyperlink>
    </w:p>
    <w:p>
      <w:pPr>
        <w:pStyle w:val="TOC2"/>
      </w:pPr>
      <w:hyperlink w:anchor="_Toc300000061" w:history="1">
        <w:r>
          <w:rPr>
            <w:noProof/>
          </w:rPr>
          <w:t xml:space="preserve">TARIFF SCHEDULE OF CANADA: APPENDIX 1</w:t>
        </w:r>
        <w:r>
          <w:rPr>
            <w:noProof/>
            <w:webHidden/>
          </w:rPr>
          <w:tab/>
        </w:r>
        <w:r>
          <w:rPr>
            <w:noProof/>
            <w:webHidden/>
          </w:rPr>
          <w:fldChar w:fldCharType="begin"/>
        </w:r>
        <w:r>
          <w:rPr>
            <w:noProof/>
            <w:webHidden/>
          </w:rPr>
          <w:instrText xml:space="preserve"> PAGEREF _Toc300000061 \h </w:instrText>
        </w:r>
        <w:r>
          <w:rPr>
            <w:noProof/>
            <w:webHidden/>
          </w:rPr>
          <w:fldChar w:fldCharType="separate"/>
        </w:r>
        <w:r>
          <w:rPr>
            <w:noProof/>
            <w:webHidden/>
          </w:rPr>
          <w:t>334</w:t>
        </w:r>
        <w:r>
          <w:rPr>
            <w:noProof/>
            <w:webHidden/>
          </w:rPr>
          <w:fldChar w:fldCharType="end"/>
        </w:r>
      </w:hyperlink>
    </w:p>
    <w:p>
      <w:pPr>
        <w:pStyle w:val="TOC2"/>
      </w:pPr>
      <w:hyperlink w:anchor="_Toc300000062" w:history="1">
        <w:r>
          <w:rPr>
            <w:noProof/>
          </w:rPr>
          <w:t xml:space="preserve">TARIFF SCHEDULE OF THE UNITED STATES</w:t>
        </w:r>
        <w:r>
          <w:rPr>
            <w:noProof/>
            <w:webHidden/>
          </w:rPr>
          <w:tab/>
        </w:r>
        <w:r>
          <w:rPr>
            <w:noProof/>
            <w:webHidden/>
          </w:rPr>
          <w:fldChar w:fldCharType="begin"/>
        </w:r>
        <w:r>
          <w:rPr>
            <w:noProof/>
            <w:webHidden/>
          </w:rPr>
          <w:instrText xml:space="preserve"> PAGEREF _Toc300000062 \h </w:instrText>
        </w:r>
        <w:r>
          <w:rPr>
            <w:noProof/>
            <w:webHidden/>
          </w:rPr>
          <w:fldChar w:fldCharType="separate"/>
        </w:r>
        <w:r>
          <w:rPr>
            <w:noProof/>
            <w:webHidden/>
          </w:rPr>
          <w:t>340</w:t>
        </w:r>
        <w:r>
          <w:rPr>
            <w:noProof/>
            <w:webHidden/>
          </w:rPr>
          <w:fldChar w:fldCharType="end"/>
        </w:r>
      </w:hyperlink>
    </w:p>
    <w:p>
      <w:pPr>
        <w:pStyle w:val="TOC2"/>
      </w:pPr>
      <w:hyperlink w:anchor="_Toc300000063" w:history="1">
        <w:r>
          <w:rPr>
            <w:noProof/>
          </w:rPr>
          <w:t xml:space="preserve">TARIFF SCHEDULE OF THE UNITED STATES: APPENDIX 1</w:t>
        </w:r>
        <w:r>
          <w:rPr>
            <w:noProof/>
            <w:webHidden/>
          </w:rPr>
          <w:tab/>
        </w:r>
        <w:r>
          <w:rPr>
            <w:noProof/>
            <w:webHidden/>
          </w:rPr>
          <w:fldChar w:fldCharType="begin"/>
        </w:r>
        <w:r>
          <w:rPr>
            <w:noProof/>
            <w:webHidden/>
          </w:rPr>
          <w:instrText xml:space="preserve"> PAGEREF _Toc300000063 \h </w:instrText>
        </w:r>
        <w:r>
          <w:rPr>
            <w:noProof/>
            <w:webHidden/>
          </w:rPr>
          <w:fldChar w:fldCharType="separate"/>
        </w:r>
        <w:r>
          <w:rPr>
            <w:noProof/>
            <w:webHidden/>
          </w:rPr>
          <w:t>615</w:t>
        </w:r>
        <w:r>
          <w:rPr>
            <w:noProof/>
            <w:webHidden/>
          </w:rPr>
          <w:fldChar w:fldCharType="end"/>
        </w:r>
      </w:hyperlink>
    </w:p>
    <w:p>
      <w:pPr>
        <w:pStyle w:val="TOC2"/>
      </w:pPr>
      <w:hyperlink w:anchor="_Toc300000064" w:history="1">
        <w:r>
          <w:rPr>
            <w:noProof/>
          </w:rPr>
          <w:t xml:space="preserve">CHAPTER 2: CUSMA 2.0 MODERNIZATION PROVISIONS</w:t>
        </w:r>
        <w:r>
          <w:rPr>
            <w:noProof/>
            <w:webHidden/>
          </w:rPr>
          <w:tab/>
        </w:r>
        <w:r>
          <w:rPr>
            <w:noProof/>
            <w:webHidden/>
          </w:rPr>
          <w:fldChar w:fldCharType="begin"/>
        </w:r>
        <w:r>
          <w:rPr>
            <w:noProof/>
            <w:webHidden/>
          </w:rPr>
          <w:instrText xml:space="preserve"> PAGEREF _Toc300000064 \h </w:instrText>
        </w:r>
        <w:r>
          <w:rPr>
            <w:noProof/>
            <w:webHidden/>
          </w:rPr>
          <w:fldChar w:fldCharType="separate"/>
        </w:r>
        <w:r>
          <w:rPr>
            <w:noProof/>
            <w:webHidden/>
          </w:rPr>
          <w:t>623</w:t>
        </w:r>
        <w:r>
          <w:rPr>
            <w:noProof/>
            <w:webHidden/>
          </w:rPr>
          <w:fldChar w:fldCharType="end"/>
        </w:r>
      </w:hyperlink>
    </w:p>
    <w:p>
      <w:pPr>
        <w:pStyle w:val="TOC2"/>
      </w:pPr>
      <w:hyperlink w:anchor="_Toc300000065" w:history="1">
        <w:r>
          <w:rPr>
            <w:noProof/>
          </w:rPr>
          <w:t xml:space="preserve">Article 2.A: Tariff Treatment of Originating Goods (Replacement of Interpretive Framework for Article 2.4)</w:t>
        </w:r>
        <w:r>
          <w:rPr>
            <w:noProof/>
            <w:webHidden/>
          </w:rPr>
          <w:tab/>
        </w:r>
        <w:r>
          <w:rPr>
            <w:noProof/>
            <w:webHidden/>
          </w:rPr>
          <w:fldChar w:fldCharType="begin"/>
        </w:r>
        <w:r>
          <w:rPr>
            <w:noProof/>
            <w:webHidden/>
          </w:rPr>
          <w:instrText xml:space="preserve"> PAGEREF _Toc300000065 \h </w:instrText>
        </w:r>
        <w:r>
          <w:rPr>
            <w:noProof/>
            <w:webHidden/>
          </w:rPr>
          <w:fldChar w:fldCharType="separate"/>
        </w:r>
        <w:r>
          <w:rPr>
            <w:noProof/>
            <w:webHidden/>
          </w:rPr>
          <w:t>623</w:t>
        </w:r>
        <w:r>
          <w:rPr>
            <w:noProof/>
            <w:webHidden/>
          </w:rPr>
          <w:fldChar w:fldCharType="end"/>
        </w:r>
      </w:hyperlink>
    </w:p>
    <w:p>
      <w:pPr>
        <w:pStyle w:val="TOC2"/>
      </w:pPr>
      <w:hyperlink w:anchor="_Toc300000066" w:history="1">
        <w:r>
          <w:rPr>
            <w:noProof/>
          </w:rPr>
          <w:t xml:space="preserve">Article 2.B: Prohibition of Equivalent Charges</w:t>
        </w:r>
        <w:r>
          <w:rPr>
            <w:noProof/>
            <w:webHidden/>
          </w:rPr>
          <w:tab/>
        </w:r>
        <w:r>
          <w:rPr>
            <w:noProof/>
            <w:webHidden/>
          </w:rPr>
          <w:fldChar w:fldCharType="begin"/>
        </w:r>
        <w:r>
          <w:rPr>
            <w:noProof/>
            <w:webHidden/>
          </w:rPr>
          <w:instrText xml:space="preserve"> PAGEREF _Toc300000066 \h </w:instrText>
        </w:r>
        <w:r>
          <w:rPr>
            <w:noProof/>
            <w:webHidden/>
          </w:rPr>
          <w:fldChar w:fldCharType="separate"/>
        </w:r>
        <w:r>
          <w:rPr>
            <w:noProof/>
            <w:webHidden/>
          </w:rPr>
          <w:t>624</w:t>
        </w:r>
        <w:r>
          <w:rPr>
            <w:noProof/>
            <w:webHidden/>
          </w:rPr>
          <w:fldChar w:fldCharType="end"/>
        </w:r>
      </w:hyperlink>
    </w:p>
    <w:p>
      <w:pPr>
        <w:pStyle w:val="TOC2"/>
      </w:pPr>
      <w:hyperlink w:anchor="_Toc300000067" w:history="1">
        <w:r>
          <w:rPr>
            <w:noProof/>
          </w:rPr>
          <w:t xml:space="preserve">Article 2.C: Low-Value Shipments</w:t>
        </w:r>
        <w:r>
          <w:rPr>
            <w:noProof/>
            <w:webHidden/>
          </w:rPr>
          <w:tab/>
        </w:r>
        <w:r>
          <w:rPr>
            <w:noProof/>
            <w:webHidden/>
          </w:rPr>
          <w:fldChar w:fldCharType="begin"/>
        </w:r>
        <w:r>
          <w:rPr>
            <w:noProof/>
            <w:webHidden/>
          </w:rPr>
          <w:instrText xml:space="preserve"> PAGEREF _Toc300000067 \h </w:instrText>
        </w:r>
        <w:r>
          <w:rPr>
            <w:noProof/>
            <w:webHidden/>
          </w:rPr>
          <w:fldChar w:fldCharType="separate"/>
        </w:r>
        <w:r>
          <w:rPr>
            <w:noProof/>
            <w:webHidden/>
          </w:rPr>
          <w:t>624</w:t>
        </w:r>
        <w:r>
          <w:rPr>
            <w:noProof/>
            <w:webHidden/>
          </w:rPr>
          <w:fldChar w:fldCharType="end"/>
        </w:r>
      </w:hyperlink>
    </w:p>
    <w:p>
      <w:pPr>
        <w:pStyle w:val="TOC2"/>
      </w:pPr>
      <w:hyperlink w:anchor="_Toc300000068" w:history="1">
        <w:r>
          <w:rPr>
            <w:noProof/>
          </w:rPr>
          <w:t xml:space="preserve">Article 2.D: Non-Discriminatory Administration of Tariff-Rate Quotas</w:t>
        </w:r>
        <w:r>
          <w:rPr>
            <w:noProof/>
            <w:webHidden/>
          </w:rPr>
          <w:tab/>
        </w:r>
        <w:r>
          <w:rPr>
            <w:noProof/>
            <w:webHidden/>
          </w:rPr>
          <w:fldChar w:fldCharType="begin"/>
        </w:r>
        <w:r>
          <w:rPr>
            <w:noProof/>
            <w:webHidden/>
          </w:rPr>
          <w:instrText xml:space="preserve"> PAGEREF _Toc300000068 \h </w:instrText>
        </w:r>
        <w:r>
          <w:rPr>
            <w:noProof/>
            <w:webHidden/>
          </w:rPr>
          <w:fldChar w:fldCharType="separate"/>
        </w:r>
        <w:r>
          <w:rPr>
            <w:noProof/>
            <w:webHidden/>
          </w:rPr>
          <w:t>625</w:t>
        </w:r>
        <w:r>
          <w:rPr>
            <w:noProof/>
            <w:webHidden/>
          </w:rPr>
          <w:fldChar w:fldCharType="end"/>
        </w:r>
      </w:hyperlink>
    </w:p>
    <w:p>
      <w:pPr>
        <w:pStyle w:val="TOC2"/>
      </w:pPr>
      <w:hyperlink w:anchor="_Toc300000069" w:history="1">
        <w:r>
          <w:rPr>
            <w:noProof/>
          </w:rPr>
          <w:t xml:space="preserve">Article 2.E: Alcoholic Beverages, Non-Discriminatory Treatment</w:t>
        </w:r>
        <w:r>
          <w:rPr>
            <w:noProof/>
            <w:webHidden/>
          </w:rPr>
          <w:tab/>
        </w:r>
        <w:r>
          <w:rPr>
            <w:noProof/>
            <w:webHidden/>
          </w:rPr>
          <w:fldChar w:fldCharType="begin"/>
        </w:r>
        <w:r>
          <w:rPr>
            <w:noProof/>
            <w:webHidden/>
          </w:rPr>
          <w:instrText xml:space="preserve"> PAGEREF _Toc300000069 \h </w:instrText>
        </w:r>
        <w:r>
          <w:rPr>
            <w:noProof/>
            <w:webHidden/>
          </w:rPr>
          <w:fldChar w:fldCharType="separate"/>
        </w:r>
        <w:r>
          <w:rPr>
            <w:noProof/>
            <w:webHidden/>
          </w:rPr>
          <w:t>625</w:t>
        </w:r>
        <w:r>
          <w:rPr>
            <w:noProof/>
            <w:webHidden/>
          </w:rPr>
          <w:fldChar w:fldCharType="end"/>
        </w:r>
      </w:hyperlink>
    </w:p>
    <w:p>
      <w:pPr>
        <w:pStyle w:val="TOC2"/>
      </w:pPr>
      <w:hyperlink w:anchor="_Toc300000070" w:history="1">
        <w:r>
          <w:rPr>
            <w:noProof/>
          </w:rPr>
          <w:t xml:space="preserve">Article 2.F: Goods Re-Entered After Repair or Alteration; Temporary Admission</w:t>
        </w:r>
        <w:r>
          <w:rPr>
            <w:noProof/>
            <w:webHidden/>
          </w:rPr>
          <w:tab/>
        </w:r>
        <w:r>
          <w:rPr>
            <w:noProof/>
            <w:webHidden/>
          </w:rPr>
          <w:fldChar w:fldCharType="begin"/>
        </w:r>
        <w:r>
          <w:rPr>
            <w:noProof/>
            <w:webHidden/>
          </w:rPr>
          <w:instrText xml:space="preserve"> PAGEREF _Toc300000070 \h </w:instrText>
        </w:r>
        <w:r>
          <w:rPr>
            <w:noProof/>
            <w:webHidden/>
          </w:rPr>
          <w:fldChar w:fldCharType="separate"/>
        </w:r>
        <w:r>
          <w:rPr>
            <w:noProof/>
            <w:webHidden/>
          </w:rPr>
          <w:t>626</w:t>
        </w:r>
        <w:r>
          <w:rPr>
            <w:noProof/>
            <w:webHidden/>
          </w:rPr>
          <w:fldChar w:fldCharType="end"/>
        </w:r>
      </w:hyperlink>
    </w:p>
    <w:p>
      <w:pPr>
        <w:pStyle w:val="TOC2"/>
      </w:pPr>
      <w:hyperlink w:anchor="_Toc300000071" w:history="1">
        <w:r>
          <w:rPr>
            <w:noProof/>
          </w:rPr>
          <w:t xml:space="preserve">Article 2.G: Import and Export Restrictions</w:t>
        </w:r>
        <w:r>
          <w:rPr>
            <w:noProof/>
            <w:webHidden/>
          </w:rPr>
          <w:tab/>
        </w:r>
        <w:r>
          <w:rPr>
            <w:noProof/>
            <w:webHidden/>
          </w:rPr>
          <w:fldChar w:fldCharType="begin"/>
        </w:r>
        <w:r>
          <w:rPr>
            <w:noProof/>
            <w:webHidden/>
          </w:rPr>
          <w:instrText xml:space="preserve"> PAGEREF _Toc300000071 \h </w:instrText>
        </w:r>
        <w:r>
          <w:rPr>
            <w:noProof/>
            <w:webHidden/>
          </w:rPr>
          <w:fldChar w:fldCharType="separate"/>
        </w:r>
        <w:r>
          <w:rPr>
            <w:noProof/>
            <w:webHidden/>
          </w:rPr>
          <w:t>626</w:t>
        </w:r>
        <w:r>
          <w:rPr>
            <w:noProof/>
            <w:webHidden/>
          </w:rPr>
          <w:fldChar w:fldCharType="end"/>
        </w:r>
      </w:hyperlink>
    </w:p>
    <w:p>
      <w:pPr>
        <w:pStyle w:val="TOC2"/>
      </w:pPr>
      <w:hyperlink w:anchor="_Toc300000072" w:history="1">
        <w:r>
          <w:rPr>
            <w:noProof/>
          </w:rPr>
          <w:t xml:space="preserve">Article 2.H: Consultation on Non-Party Preferential Treatment</w:t>
        </w:r>
        <w:r>
          <w:rPr>
            <w:noProof/>
            <w:webHidden/>
          </w:rPr>
          <w:tab/>
        </w:r>
        <w:r>
          <w:rPr>
            <w:noProof/>
            <w:webHidden/>
          </w:rPr>
          <w:fldChar w:fldCharType="begin"/>
        </w:r>
        <w:r>
          <w:rPr>
            <w:noProof/>
            <w:webHidden/>
          </w:rPr>
          <w:instrText xml:space="preserve"> PAGEREF _Toc300000072 \h </w:instrText>
        </w:r>
        <w:r>
          <w:rPr>
            <w:noProof/>
            <w:webHidden/>
          </w:rPr>
          <w:fldChar w:fldCharType="separate"/>
        </w:r>
        <w:r>
          <w:rPr>
            <w:noProof/>
            <w:webHidden/>
          </w:rPr>
          <w:t>626</w:t>
        </w:r>
        <w:r>
          <w:rPr>
            <w:noProof/>
            <w:webHidden/>
          </w:rPr>
          <w:fldChar w:fldCharType="end"/>
        </w:r>
      </w:hyperlink>
    </w:p>
    <w:p>
      <w:pPr>
        <w:pStyle w:val="TOC2"/>
      </w:pPr>
      <w:hyperlink w:anchor="_Toc300000073" w:history="1">
        <w:r>
          <w:rPr>
            <w:noProof/>
          </w:rPr>
          <w:t xml:space="preserve">Article 2.I: Committee on Trade in Goods, Additional Functions</w:t>
        </w:r>
        <w:r>
          <w:rPr>
            <w:noProof/>
            <w:webHidden/>
          </w:rPr>
          <w:tab/>
        </w:r>
        <w:r>
          <w:rPr>
            <w:noProof/>
            <w:webHidden/>
          </w:rPr>
          <w:fldChar w:fldCharType="begin"/>
        </w:r>
        <w:r>
          <w:rPr>
            <w:noProof/>
            <w:webHidden/>
          </w:rPr>
          <w:instrText xml:space="preserve"> PAGEREF _Toc300000073 \h </w:instrText>
        </w:r>
        <w:r>
          <w:rPr>
            <w:noProof/>
            <w:webHidden/>
          </w:rPr>
          <w:fldChar w:fldCharType="separate"/>
        </w:r>
        <w:r>
          <w:rPr>
            <w:noProof/>
            <w:webHidden/>
          </w:rPr>
          <w:t>627</w:t>
        </w:r>
        <w:r>
          <w:rPr>
            <w:noProof/>
            <w:webHidden/>
          </w:rPr>
          <w:fldChar w:fldCharType="end"/>
        </w:r>
      </w:hyperlink>
    </w:p>
    <w:p>
      <w:pPr>
        <w:pStyle w:val="TOC1"/>
      </w:pPr>
      <w:hyperlink w:anchor="_Toc300000074" w:history="1">
        <w:r>
          <w:rPr>
            <w:noProof/>
          </w:rPr>
          <w:t xml:space="preserve">CHAPTER 3 AGRICULTURE Section A: General Provisions</w:t>
        </w:r>
        <w:r>
          <w:rPr>
            <w:noProof/>
            <w:webHidden/>
          </w:rPr>
          <w:tab/>
        </w:r>
        <w:r>
          <w:rPr>
            <w:noProof/>
            <w:webHidden/>
          </w:rPr>
          <w:fldChar w:fldCharType="begin"/>
        </w:r>
        <w:r>
          <w:rPr>
            <w:noProof/>
            <w:webHidden/>
          </w:rPr>
          <w:instrText xml:space="preserve"> PAGEREF _Toc300000074 \h </w:instrText>
        </w:r>
        <w:r>
          <w:rPr>
            <w:noProof/>
            <w:webHidden/>
          </w:rPr>
          <w:fldChar w:fldCharType="separate"/>
        </w:r>
        <w:r>
          <w:rPr>
            <w:noProof/>
            <w:webHidden/>
          </w:rPr>
          <w:t>628</w:t>
        </w:r>
        <w:r>
          <w:rPr>
            <w:noProof/>
            <w:webHidden/>
          </w:rPr>
          <w:fldChar w:fldCharType="end"/>
        </w:r>
      </w:hyperlink>
    </w:p>
    <w:p>
      <w:pPr>
        <w:pStyle w:val="TOC2"/>
      </w:pPr>
      <w:hyperlink w:anchor="_Toc300000075" w:history="1">
        <w:r>
          <w:rPr>
            <w:noProof/>
          </w:rPr>
          <w:t xml:space="preserve">Article 3.1: Definitions</w:t>
        </w:r>
        <w:r>
          <w:rPr>
            <w:noProof/>
            <w:webHidden/>
          </w:rPr>
          <w:tab/>
        </w:r>
        <w:r>
          <w:rPr>
            <w:noProof/>
            <w:webHidden/>
          </w:rPr>
          <w:fldChar w:fldCharType="begin"/>
        </w:r>
        <w:r>
          <w:rPr>
            <w:noProof/>
            <w:webHidden/>
          </w:rPr>
          <w:instrText xml:space="preserve"> PAGEREF _Toc300000075 \h </w:instrText>
        </w:r>
        <w:r>
          <w:rPr>
            <w:noProof/>
            <w:webHidden/>
          </w:rPr>
          <w:fldChar w:fldCharType="separate"/>
        </w:r>
        <w:r>
          <w:rPr>
            <w:noProof/>
            <w:webHidden/>
          </w:rPr>
          <w:t>628</w:t>
        </w:r>
        <w:r>
          <w:rPr>
            <w:noProof/>
            <w:webHidden/>
          </w:rPr>
          <w:fldChar w:fldCharType="end"/>
        </w:r>
      </w:hyperlink>
    </w:p>
    <w:p>
      <w:pPr>
        <w:pStyle w:val="TOC2"/>
      </w:pPr>
      <w:hyperlink w:anchor="_Toc300000076" w:history="1">
        <w:r>
          <w:rPr>
            <w:noProof/>
          </w:rPr>
          <w:t xml:space="preserve">Article 3.2: Scope</w:t>
        </w:r>
        <w:r>
          <w:rPr>
            <w:noProof/>
            <w:webHidden/>
          </w:rPr>
          <w:tab/>
        </w:r>
        <w:r>
          <w:rPr>
            <w:noProof/>
            <w:webHidden/>
          </w:rPr>
          <w:fldChar w:fldCharType="begin"/>
        </w:r>
        <w:r>
          <w:rPr>
            <w:noProof/>
            <w:webHidden/>
          </w:rPr>
          <w:instrText xml:space="preserve"> PAGEREF _Toc300000076 \h </w:instrText>
        </w:r>
        <w:r>
          <w:rPr>
            <w:noProof/>
            <w:webHidden/>
          </w:rPr>
          <w:fldChar w:fldCharType="separate"/>
        </w:r>
        <w:r>
          <w:rPr>
            <w:noProof/>
            <w:webHidden/>
          </w:rPr>
          <w:t>628</w:t>
        </w:r>
        <w:r>
          <w:rPr>
            <w:noProof/>
            <w:webHidden/>
          </w:rPr>
          <w:fldChar w:fldCharType="end"/>
        </w:r>
      </w:hyperlink>
    </w:p>
    <w:p>
      <w:pPr>
        <w:pStyle w:val="TOC2"/>
      </w:pPr>
      <w:hyperlink w:anchor="_Toc300000077" w:history="1">
        <w:r>
          <w:rPr>
            <w:noProof/>
          </w:rPr>
          <w:t xml:space="preserve">Article 3.3: International Cooperation</w:t>
        </w:r>
        <w:r>
          <w:rPr>
            <w:noProof/>
            <w:webHidden/>
          </w:rPr>
          <w:tab/>
        </w:r>
        <w:r>
          <w:rPr>
            <w:noProof/>
            <w:webHidden/>
          </w:rPr>
          <w:fldChar w:fldCharType="begin"/>
        </w:r>
        <w:r>
          <w:rPr>
            <w:noProof/>
            <w:webHidden/>
          </w:rPr>
          <w:instrText xml:space="preserve"> PAGEREF _Toc300000077 \h </w:instrText>
        </w:r>
        <w:r>
          <w:rPr>
            <w:noProof/>
            <w:webHidden/>
          </w:rPr>
          <w:fldChar w:fldCharType="separate"/>
        </w:r>
        <w:r>
          <w:rPr>
            <w:noProof/>
            <w:webHidden/>
          </w:rPr>
          <w:t>628</w:t>
        </w:r>
        <w:r>
          <w:rPr>
            <w:noProof/>
            <w:webHidden/>
          </w:rPr>
          <w:fldChar w:fldCharType="end"/>
        </w:r>
      </w:hyperlink>
    </w:p>
    <w:p>
      <w:pPr>
        <w:pStyle w:val="TOC2"/>
      </w:pPr>
      <w:hyperlink w:anchor="_Toc300000078" w:history="1">
        <w:r>
          <w:rPr>
            <w:noProof/>
          </w:rPr>
          <w:t xml:space="preserve">Article 3.4: Export Competition</w:t>
        </w:r>
        <w:r>
          <w:rPr>
            <w:noProof/>
            <w:webHidden/>
          </w:rPr>
          <w:tab/>
        </w:r>
        <w:r>
          <w:rPr>
            <w:noProof/>
            <w:webHidden/>
          </w:rPr>
          <w:fldChar w:fldCharType="begin"/>
        </w:r>
        <w:r>
          <w:rPr>
            <w:noProof/>
            <w:webHidden/>
          </w:rPr>
          <w:instrText xml:space="preserve"> PAGEREF _Toc300000078 \h </w:instrText>
        </w:r>
        <w:r>
          <w:rPr>
            <w:noProof/>
            <w:webHidden/>
          </w:rPr>
          <w:fldChar w:fldCharType="separate"/>
        </w:r>
        <w:r>
          <w:rPr>
            <w:noProof/>
            <w:webHidden/>
          </w:rPr>
          <w:t>628</w:t>
        </w:r>
        <w:r>
          <w:rPr>
            <w:noProof/>
            <w:webHidden/>
          </w:rPr>
          <w:fldChar w:fldCharType="end"/>
        </w:r>
      </w:hyperlink>
    </w:p>
    <w:p>
      <w:pPr>
        <w:pStyle w:val="TOC2"/>
      </w:pPr>
      <w:hyperlink w:anchor="_Toc300000079" w:history="1">
        <w:r>
          <w:rPr>
            <w:noProof/>
          </w:rPr>
          <w:t xml:space="preserve">Article 3.5: Export Restrictions – Food Security</w:t>
        </w:r>
        <w:r>
          <w:rPr>
            <w:noProof/>
            <w:webHidden/>
          </w:rPr>
          <w:tab/>
        </w:r>
        <w:r>
          <w:rPr>
            <w:noProof/>
            <w:webHidden/>
          </w:rPr>
          <w:fldChar w:fldCharType="begin"/>
        </w:r>
        <w:r>
          <w:rPr>
            <w:noProof/>
            <w:webHidden/>
          </w:rPr>
          <w:instrText xml:space="preserve"> PAGEREF _Toc300000079 \h </w:instrText>
        </w:r>
        <w:r>
          <w:rPr>
            <w:noProof/>
            <w:webHidden/>
          </w:rPr>
          <w:fldChar w:fldCharType="separate"/>
        </w:r>
        <w:r>
          <w:rPr>
            <w:noProof/>
            <w:webHidden/>
          </w:rPr>
          <w:t>628</w:t>
        </w:r>
        <w:r>
          <w:rPr>
            <w:noProof/>
            <w:webHidden/>
          </w:rPr>
          <w:fldChar w:fldCharType="end"/>
        </w:r>
      </w:hyperlink>
    </w:p>
    <w:p>
      <w:pPr>
        <w:pStyle w:val="TOC2"/>
      </w:pPr>
      <w:hyperlink w:anchor="_Toc300000080" w:history="1">
        <w:r>
          <w:rPr>
            <w:noProof/>
          </w:rPr>
          <w:t xml:space="preserve">Article 3.6: Domestic Support</w:t>
        </w:r>
        <w:r>
          <w:rPr>
            <w:noProof/>
            <w:webHidden/>
          </w:rPr>
          <w:tab/>
        </w:r>
        <w:r>
          <w:rPr>
            <w:noProof/>
            <w:webHidden/>
          </w:rPr>
          <w:fldChar w:fldCharType="begin"/>
        </w:r>
        <w:r>
          <w:rPr>
            <w:noProof/>
            <w:webHidden/>
          </w:rPr>
          <w:instrText xml:space="preserve"> PAGEREF _Toc300000080 \h </w:instrText>
        </w:r>
        <w:r>
          <w:rPr>
            <w:noProof/>
            <w:webHidden/>
          </w:rPr>
          <w:fldChar w:fldCharType="separate"/>
        </w:r>
        <w:r>
          <w:rPr>
            <w:noProof/>
            <w:webHidden/>
          </w:rPr>
          <w:t>630</w:t>
        </w:r>
        <w:r>
          <w:rPr>
            <w:noProof/>
            <w:webHidden/>
          </w:rPr>
          <w:fldChar w:fldCharType="end"/>
        </w:r>
      </w:hyperlink>
    </w:p>
    <w:p>
      <w:pPr>
        <w:pStyle w:val="TOC2"/>
      </w:pPr>
      <w:hyperlink w:anchor="_Toc300000081" w:history="1">
        <w:r>
          <w:rPr>
            <w:noProof/>
          </w:rPr>
          <w:t xml:space="preserve">Article 3.7: Committee on Agricultural Trade</w:t>
        </w:r>
        <w:r>
          <w:rPr>
            <w:noProof/>
            <w:webHidden/>
          </w:rPr>
          <w:tab/>
        </w:r>
        <w:r>
          <w:rPr>
            <w:noProof/>
            <w:webHidden/>
          </w:rPr>
          <w:fldChar w:fldCharType="begin"/>
        </w:r>
        <w:r>
          <w:rPr>
            <w:noProof/>
            <w:webHidden/>
          </w:rPr>
          <w:instrText xml:space="preserve"> PAGEREF _Toc300000081 \h </w:instrText>
        </w:r>
        <w:r>
          <w:rPr>
            <w:noProof/>
            <w:webHidden/>
          </w:rPr>
          <w:fldChar w:fldCharType="separate"/>
        </w:r>
        <w:r>
          <w:rPr>
            <w:noProof/>
            <w:webHidden/>
          </w:rPr>
          <w:t>630</w:t>
        </w:r>
        <w:r>
          <w:rPr>
            <w:noProof/>
            <w:webHidden/>
          </w:rPr>
          <w:fldChar w:fldCharType="end"/>
        </w:r>
      </w:hyperlink>
    </w:p>
    <w:p>
      <w:pPr>
        <w:pStyle w:val="TOC2"/>
      </w:pPr>
      <w:hyperlink w:anchor="_Toc300000082" w:history="1">
        <w:r>
          <w:rPr>
            <w:noProof/>
          </w:rPr>
          <w:t xml:space="preserve">Article 3.8: Consultative Committees on Agriculture</w:t>
        </w:r>
        <w:r>
          <w:rPr>
            <w:noProof/>
            <w:webHidden/>
          </w:rPr>
          <w:tab/>
        </w:r>
        <w:r>
          <w:rPr>
            <w:noProof/>
            <w:webHidden/>
          </w:rPr>
          <w:fldChar w:fldCharType="begin"/>
        </w:r>
        <w:r>
          <w:rPr>
            <w:noProof/>
            <w:webHidden/>
          </w:rPr>
          <w:instrText xml:space="preserve"> PAGEREF _Toc300000082 \h </w:instrText>
        </w:r>
        <w:r>
          <w:rPr>
            <w:noProof/>
            <w:webHidden/>
          </w:rPr>
          <w:fldChar w:fldCharType="separate"/>
        </w:r>
        <w:r>
          <w:rPr>
            <w:noProof/>
            <w:webHidden/>
          </w:rPr>
          <w:t>630</w:t>
        </w:r>
        <w:r>
          <w:rPr>
            <w:noProof/>
            <w:webHidden/>
          </w:rPr>
          <w:fldChar w:fldCharType="end"/>
        </w:r>
      </w:hyperlink>
    </w:p>
    <w:p>
      <w:pPr>
        <w:pStyle w:val="TOC2"/>
      </w:pPr>
      <w:hyperlink w:anchor="_Toc300000083" w:history="1">
        <w:r>
          <w:rPr>
            <w:noProof/>
          </w:rPr>
          <w:t xml:space="preserve">Article 3.9: Agricultural Special Safeguards</w:t>
        </w:r>
        <w:r>
          <w:rPr>
            <w:noProof/>
            <w:webHidden/>
          </w:rPr>
          <w:tab/>
        </w:r>
        <w:r>
          <w:rPr>
            <w:noProof/>
            <w:webHidden/>
          </w:rPr>
          <w:fldChar w:fldCharType="begin"/>
        </w:r>
        <w:r>
          <w:rPr>
            <w:noProof/>
            <w:webHidden/>
          </w:rPr>
          <w:instrText xml:space="preserve"> PAGEREF _Toc300000083 \h </w:instrText>
        </w:r>
        <w:r>
          <w:rPr>
            <w:noProof/>
            <w:webHidden/>
          </w:rPr>
          <w:fldChar w:fldCharType="separate"/>
        </w:r>
        <w:r>
          <w:rPr>
            <w:noProof/>
            <w:webHidden/>
          </w:rPr>
          <w:t>631</w:t>
        </w:r>
        <w:r>
          <w:rPr>
            <w:noProof/>
            <w:webHidden/>
          </w:rPr>
          <w:fldChar w:fldCharType="end"/>
        </w:r>
      </w:hyperlink>
    </w:p>
    <w:p>
      <w:pPr>
        <w:pStyle w:val="TOC2"/>
      </w:pPr>
      <w:hyperlink w:anchor="_Toc300000084" w:history="1">
        <w:r>
          <w:rPr>
            <w:noProof/>
          </w:rPr>
          <w:t xml:space="preserve">Article 3.10: Transparency and Consultations</w:t>
        </w:r>
        <w:r>
          <w:rPr>
            <w:noProof/>
            <w:webHidden/>
          </w:rPr>
          <w:tab/>
        </w:r>
        <w:r>
          <w:rPr>
            <w:noProof/>
            <w:webHidden/>
          </w:rPr>
          <w:fldChar w:fldCharType="begin"/>
        </w:r>
        <w:r>
          <w:rPr>
            <w:noProof/>
            <w:webHidden/>
          </w:rPr>
          <w:instrText xml:space="preserve"> PAGEREF _Toc300000084 \h </w:instrText>
        </w:r>
        <w:r>
          <w:rPr>
            <w:noProof/>
            <w:webHidden/>
          </w:rPr>
          <w:fldChar w:fldCharType="separate"/>
        </w:r>
        <w:r>
          <w:rPr>
            <w:noProof/>
            <w:webHidden/>
          </w:rPr>
          <w:t>631</w:t>
        </w:r>
        <w:r>
          <w:rPr>
            <w:noProof/>
            <w:webHidden/>
          </w:rPr>
          <w:fldChar w:fldCharType="end"/>
        </w:r>
      </w:hyperlink>
    </w:p>
    <w:p>
      <w:pPr>
        <w:pStyle w:val="TOC2"/>
      </w:pPr>
      <w:hyperlink w:anchor="_Toc300000085" w:history="1">
        <w:r>
          <w:rPr>
            <w:noProof/>
          </w:rPr>
          <w:t xml:space="preserve">Article 3.11: Annexes</w:t>
        </w:r>
        <w:r>
          <w:rPr>
            <w:noProof/>
            <w:webHidden/>
          </w:rPr>
          <w:tab/>
        </w:r>
        <w:r>
          <w:rPr>
            <w:noProof/>
            <w:webHidden/>
          </w:rPr>
          <w:fldChar w:fldCharType="begin"/>
        </w:r>
        <w:r>
          <w:rPr>
            <w:noProof/>
            <w:webHidden/>
          </w:rPr>
          <w:instrText xml:space="preserve"> PAGEREF _Toc300000085 \h </w:instrText>
        </w:r>
        <w:r>
          <w:rPr>
            <w:noProof/>
            <w:webHidden/>
          </w:rPr>
          <w:fldChar w:fldCharType="separate"/>
        </w:r>
        <w:r>
          <w:rPr>
            <w:noProof/>
            <w:webHidden/>
          </w:rPr>
          <w:t>631</w:t>
        </w:r>
        <w:r>
          <w:rPr>
            <w:noProof/>
            <w:webHidden/>
          </w:rPr>
          <w:fldChar w:fldCharType="end"/>
        </w:r>
      </w:hyperlink>
    </w:p>
    <w:p>
      <w:pPr>
        <w:pStyle w:val="TOC2"/>
      </w:pPr>
      <w:hyperlink w:anchor="_Toc300000086" w:history="1">
        <w:r>
          <w:rPr>
            <w:noProof/>
          </w:rPr>
          <w:t xml:space="preserve">Article 3.12: Definitions</w:t>
        </w:r>
        <w:r>
          <w:rPr>
            <w:noProof/>
            <w:webHidden/>
          </w:rPr>
          <w:tab/>
        </w:r>
        <w:r>
          <w:rPr>
            <w:noProof/>
            <w:webHidden/>
          </w:rPr>
          <w:fldChar w:fldCharType="begin"/>
        </w:r>
        <w:r>
          <w:rPr>
            <w:noProof/>
            <w:webHidden/>
          </w:rPr>
          <w:instrText xml:space="preserve"> PAGEREF _Toc300000086 \h </w:instrText>
        </w:r>
        <w:r>
          <w:rPr>
            <w:noProof/>
            <w:webHidden/>
          </w:rPr>
          <w:fldChar w:fldCharType="separate"/>
        </w:r>
        <w:r>
          <w:rPr>
            <w:noProof/>
            <w:webHidden/>
          </w:rPr>
          <w:t>632</w:t>
        </w:r>
        <w:r>
          <w:rPr>
            <w:noProof/>
            <w:webHidden/>
          </w:rPr>
          <w:fldChar w:fldCharType="end"/>
        </w:r>
      </w:hyperlink>
    </w:p>
    <w:p>
      <w:pPr>
        <w:pStyle w:val="TOC2"/>
      </w:pPr>
      <w:hyperlink w:anchor="_Toc300000087" w:history="1">
        <w:r>
          <w:rPr>
            <w:noProof/>
          </w:rPr>
          <w:t xml:space="preserve">Article 3.13: Contact Points</w:t>
        </w:r>
        <w:r>
          <w:rPr>
            <w:noProof/>
            <w:webHidden/>
          </w:rPr>
          <w:tab/>
        </w:r>
        <w:r>
          <w:rPr>
            <w:noProof/>
            <w:webHidden/>
          </w:rPr>
          <w:fldChar w:fldCharType="begin"/>
        </w:r>
        <w:r>
          <w:rPr>
            <w:noProof/>
            <w:webHidden/>
          </w:rPr>
          <w:instrText xml:space="preserve"> PAGEREF _Toc300000087 \h </w:instrText>
        </w:r>
        <w:r>
          <w:rPr>
            <w:noProof/>
            <w:webHidden/>
          </w:rPr>
          <w:fldChar w:fldCharType="separate"/>
        </w:r>
        <w:r>
          <w:rPr>
            <w:noProof/>
            <w:webHidden/>
          </w:rPr>
          <w:t>632</w:t>
        </w:r>
        <w:r>
          <w:rPr>
            <w:noProof/>
            <w:webHidden/>
          </w:rPr>
          <w:fldChar w:fldCharType="end"/>
        </w:r>
      </w:hyperlink>
    </w:p>
    <w:p>
      <w:pPr>
        <w:pStyle w:val="TOC2"/>
      </w:pPr>
      <w:hyperlink w:anchor="_Toc300000088" w:history="1">
        <w:r>
          <w:rPr>
            <w:noProof/>
          </w:rPr>
          <w:t xml:space="preserve">Article 3.14: Trade in Products of Agricultural Biotechnology</w:t>
        </w:r>
        <w:r>
          <w:rPr>
            <w:noProof/>
            <w:webHidden/>
          </w:rPr>
          <w:tab/>
        </w:r>
        <w:r>
          <w:rPr>
            <w:noProof/>
            <w:webHidden/>
          </w:rPr>
          <w:fldChar w:fldCharType="begin"/>
        </w:r>
        <w:r>
          <w:rPr>
            <w:noProof/>
            <w:webHidden/>
          </w:rPr>
          <w:instrText xml:space="preserve"> PAGEREF _Toc300000088 \h </w:instrText>
        </w:r>
        <w:r>
          <w:rPr>
            <w:noProof/>
            <w:webHidden/>
          </w:rPr>
          <w:fldChar w:fldCharType="separate"/>
        </w:r>
        <w:r>
          <w:rPr>
            <w:noProof/>
            <w:webHidden/>
          </w:rPr>
          <w:t>632</w:t>
        </w:r>
        <w:r>
          <w:rPr>
            <w:noProof/>
            <w:webHidden/>
          </w:rPr>
          <w:fldChar w:fldCharType="end"/>
        </w:r>
      </w:hyperlink>
    </w:p>
    <w:p>
      <w:pPr>
        <w:pStyle w:val="TOC2"/>
      </w:pPr>
      <w:hyperlink w:anchor="_Toc300000089" w:history="1">
        <w:r>
          <w:rPr>
            <w:noProof/>
          </w:rPr>
          <w:t xml:space="preserve">Article 3.15: LLP Occurrence</w:t>
        </w:r>
        <w:r>
          <w:rPr>
            <w:noProof/>
            <w:webHidden/>
          </w:rPr>
          <w:tab/>
        </w:r>
        <w:r>
          <w:rPr>
            <w:noProof/>
            <w:webHidden/>
          </w:rPr>
          <w:fldChar w:fldCharType="begin"/>
        </w:r>
        <w:r>
          <w:rPr>
            <w:noProof/>
            <w:webHidden/>
          </w:rPr>
          <w:instrText xml:space="preserve"> PAGEREF _Toc300000089 \h </w:instrText>
        </w:r>
        <w:r>
          <w:rPr>
            <w:noProof/>
            <w:webHidden/>
          </w:rPr>
          <w:fldChar w:fldCharType="separate"/>
        </w:r>
        <w:r>
          <w:rPr>
            <w:noProof/>
            <w:webHidden/>
          </w:rPr>
          <w:t>633</w:t>
        </w:r>
        <w:r>
          <w:rPr>
            <w:noProof/>
            <w:webHidden/>
          </w:rPr>
          <w:fldChar w:fldCharType="end"/>
        </w:r>
      </w:hyperlink>
    </w:p>
    <w:p>
      <w:pPr>
        <w:pStyle w:val="TOC2"/>
      </w:pPr>
      <w:hyperlink w:anchor="_Toc300000090" w:history="1">
        <w:r>
          <w:rPr>
            <w:noProof/>
          </w:rPr>
          <w:t xml:space="preserve">Article 3.16: Working Group for Cooperation on Agricultural Biotechnology</w:t>
        </w:r>
        <w:r>
          <w:rPr>
            <w:noProof/>
            <w:webHidden/>
          </w:rPr>
          <w:tab/>
        </w:r>
        <w:r>
          <w:rPr>
            <w:noProof/>
            <w:webHidden/>
          </w:rPr>
          <w:fldChar w:fldCharType="begin"/>
        </w:r>
        <w:r>
          <w:rPr>
            <w:noProof/>
            <w:webHidden/>
          </w:rPr>
          <w:instrText xml:space="preserve"> PAGEREF _Toc300000090 \h </w:instrText>
        </w:r>
        <w:r>
          <w:rPr>
            <w:noProof/>
            <w:webHidden/>
          </w:rPr>
          <w:fldChar w:fldCharType="separate"/>
        </w:r>
        <w:r>
          <w:rPr>
            <w:noProof/>
            <w:webHidden/>
          </w:rPr>
          <w:t>634</w:t>
        </w:r>
        <w:r>
          <w:rPr>
            <w:noProof/>
            <w:webHidden/>
          </w:rPr>
          <w:fldChar w:fldCharType="end"/>
        </w:r>
      </w:hyperlink>
    </w:p>
    <w:p>
      <w:pPr>
        <w:pStyle w:val="TOC2"/>
      </w:pPr>
      <w:hyperlink w:anchor="_Toc300000091" w:history="1">
        <w:r>
          <w:rPr>
            <w:noProof/>
          </w:rPr>
          <w:t xml:space="preserve">ANNEX 3-A AGRICULTURAL TRADE BETWEEN CANADA AND THE UNITED STATES</w:t>
        </w:r>
        <w:r>
          <w:rPr>
            <w:noProof/>
            <w:webHidden/>
          </w:rPr>
          <w:tab/>
        </w:r>
        <w:r>
          <w:rPr>
            <w:noProof/>
            <w:webHidden/>
          </w:rPr>
          <w:fldChar w:fldCharType="begin"/>
        </w:r>
        <w:r>
          <w:rPr>
            <w:noProof/>
            <w:webHidden/>
          </w:rPr>
          <w:instrText xml:space="preserve"> PAGEREF _Toc300000091 \h </w:instrText>
        </w:r>
        <w:r>
          <w:rPr>
            <w:noProof/>
            <w:webHidden/>
          </w:rPr>
          <w:fldChar w:fldCharType="separate"/>
        </w:r>
        <w:r>
          <w:rPr>
            <w:noProof/>
            <w:webHidden/>
          </w:rPr>
          <w:t>634</w:t>
        </w:r>
        <w:r>
          <w:rPr>
            <w:noProof/>
            <w:webHidden/>
          </w:rPr>
          <w:fldChar w:fldCharType="end"/>
        </w:r>
      </w:hyperlink>
    </w:p>
    <w:p>
      <w:pPr>
        <w:pStyle w:val="TOC2"/>
      </w:pPr>
      <w:hyperlink w:anchor="_Toc300000092" w:history="1">
        <w:r>
          <w:rPr>
            <w:noProof/>
          </w:rPr>
          <w:t xml:space="preserve">Article 3.A.1: Tariff Classifications</w:t>
        </w:r>
        <w:r>
          <w:rPr>
            <w:noProof/>
            <w:webHidden/>
          </w:rPr>
          <w:tab/>
        </w:r>
        <w:r>
          <w:rPr>
            <w:noProof/>
            <w:webHidden/>
          </w:rPr>
          <w:fldChar w:fldCharType="begin"/>
        </w:r>
        <w:r>
          <w:rPr>
            <w:noProof/>
            <w:webHidden/>
          </w:rPr>
          <w:instrText xml:space="preserve"> PAGEREF _Toc300000092 \h </w:instrText>
        </w:r>
        <w:r>
          <w:rPr>
            <w:noProof/>
            <w:webHidden/>
          </w:rPr>
          <w:fldChar w:fldCharType="separate"/>
        </w:r>
        <w:r>
          <w:rPr>
            <w:noProof/>
            <w:webHidden/>
          </w:rPr>
          <w:t>634</w:t>
        </w:r>
        <w:r>
          <w:rPr>
            <w:noProof/>
            <w:webHidden/>
          </w:rPr>
          <w:fldChar w:fldCharType="end"/>
        </w:r>
      </w:hyperlink>
    </w:p>
    <w:p>
      <w:pPr>
        <w:pStyle w:val="TOC2"/>
      </w:pPr>
      <w:hyperlink w:anchor="_Toc300000093" w:history="1">
        <w:r>
          <w:rPr>
            <w:noProof/>
          </w:rPr>
          <w:t xml:space="preserve">Article 3.A.2: Tariff-Rate Quota Administration</w:t>
        </w:r>
        <w:r>
          <w:rPr>
            <w:noProof/>
            <w:webHidden/>
          </w:rPr>
          <w:tab/>
        </w:r>
        <w:r>
          <w:rPr>
            <w:noProof/>
            <w:webHidden/>
          </w:rPr>
          <w:fldChar w:fldCharType="begin"/>
        </w:r>
        <w:r>
          <w:rPr>
            <w:noProof/>
            <w:webHidden/>
          </w:rPr>
          <w:instrText xml:space="preserve"> PAGEREF _Toc300000093 \h </w:instrText>
        </w:r>
        <w:r>
          <w:rPr>
            <w:noProof/>
            <w:webHidden/>
          </w:rPr>
          <w:fldChar w:fldCharType="separate"/>
        </w:r>
        <w:r>
          <w:rPr>
            <w:noProof/>
            <w:webHidden/>
          </w:rPr>
          <w:t>635</w:t>
        </w:r>
        <w:r>
          <w:rPr>
            <w:noProof/>
            <w:webHidden/>
          </w:rPr>
          <w:fldChar w:fldCharType="end"/>
        </w:r>
      </w:hyperlink>
    </w:p>
    <w:p>
      <w:pPr>
        <w:pStyle w:val="TOC2"/>
      </w:pPr>
      <w:hyperlink w:anchor="_Toc300000094" w:history="1">
        <w:r>
          <w:rPr>
            <w:noProof/>
          </w:rPr>
          <w:t xml:space="preserve">Article 3.A.3: Dairy Pricing and Exports</w:t>
        </w:r>
        <w:r>
          <w:rPr>
            <w:noProof/>
            <w:webHidden/>
          </w:rPr>
          <w:tab/>
        </w:r>
        <w:r>
          <w:rPr>
            <w:noProof/>
            <w:webHidden/>
          </w:rPr>
          <w:fldChar w:fldCharType="begin"/>
        </w:r>
        <w:r>
          <w:rPr>
            <w:noProof/>
            <w:webHidden/>
          </w:rPr>
          <w:instrText xml:space="preserve"> PAGEREF _Toc300000094 \h </w:instrText>
        </w:r>
        <w:r>
          <w:rPr>
            <w:noProof/>
            <w:webHidden/>
          </w:rPr>
          <w:fldChar w:fldCharType="separate"/>
        </w:r>
        <w:r>
          <w:rPr>
            <w:noProof/>
            <w:webHidden/>
          </w:rPr>
          <w:t>639</w:t>
        </w:r>
        <w:r>
          <w:rPr>
            <w:noProof/>
            <w:webHidden/>
          </w:rPr>
          <w:fldChar w:fldCharType="end"/>
        </w:r>
      </w:hyperlink>
    </w:p>
    <w:p>
      <w:pPr>
        <w:pStyle w:val="TOC2"/>
      </w:pPr>
      <w:hyperlink w:anchor="_Toc300000095" w:history="1">
        <w:r>
          <w:rPr>
            <w:noProof/>
          </w:rPr>
          <w:t xml:space="preserve">Article 3.A.4: Grain</w:t>
        </w:r>
        <w:r>
          <w:rPr>
            <w:noProof/>
            <w:webHidden/>
          </w:rPr>
          <w:tab/>
        </w:r>
        <w:r>
          <w:rPr>
            <w:noProof/>
            <w:webHidden/>
          </w:rPr>
          <w:fldChar w:fldCharType="begin"/>
        </w:r>
        <w:r>
          <w:rPr>
            <w:noProof/>
            <w:webHidden/>
          </w:rPr>
          <w:instrText xml:space="preserve"> PAGEREF _Toc300000095 \h </w:instrText>
        </w:r>
        <w:r>
          <w:rPr>
            <w:noProof/>
            <w:webHidden/>
          </w:rPr>
          <w:fldChar w:fldCharType="separate"/>
        </w:r>
        <w:r>
          <w:rPr>
            <w:noProof/>
            <w:webHidden/>
          </w:rPr>
          <w:t>642</w:t>
        </w:r>
        <w:r>
          <w:rPr>
            <w:noProof/>
            <w:webHidden/>
          </w:rPr>
          <w:fldChar w:fldCharType="end"/>
        </w:r>
      </w:hyperlink>
    </w:p>
    <w:p>
      <w:pPr>
        <w:pStyle w:val="TOC2"/>
      </w:pPr>
      <w:hyperlink w:anchor="_Toc300000096" w:history="1">
        <w:r>
          <w:rPr>
            <w:noProof/>
          </w:rPr>
          <w:t xml:space="preserve">Article 3.A.5: Sugar and Sugar Containing Products</w:t>
        </w:r>
        <w:r>
          <w:rPr>
            <w:noProof/>
            <w:webHidden/>
          </w:rPr>
          <w:tab/>
        </w:r>
        <w:r>
          <w:rPr>
            <w:noProof/>
            <w:webHidden/>
          </w:rPr>
          <w:fldChar w:fldCharType="begin"/>
        </w:r>
        <w:r>
          <w:rPr>
            <w:noProof/>
            <w:webHidden/>
          </w:rPr>
          <w:instrText xml:space="preserve"> PAGEREF _Toc300000096 \h </w:instrText>
        </w:r>
        <w:r>
          <w:rPr>
            <w:noProof/>
            <w:webHidden/>
          </w:rPr>
          <w:fldChar w:fldCharType="separate"/>
        </w:r>
        <w:r>
          <w:rPr>
            <w:noProof/>
            <w:webHidden/>
          </w:rPr>
          <w:t>642</w:t>
        </w:r>
        <w:r>
          <w:rPr>
            <w:noProof/>
            <w:webHidden/>
          </w:rPr>
          <w:fldChar w:fldCharType="end"/>
        </w:r>
      </w:hyperlink>
    </w:p>
    <w:p>
      <w:pPr>
        <w:pStyle w:val="TOC2"/>
      </w:pPr>
      <w:hyperlink w:anchor="_Toc300000097" w:history="1">
        <w:r>
          <w:rPr>
            <w:noProof/>
          </w:rPr>
          <w:t xml:space="preserve">Article 3.A.6: Other</w:t>
        </w:r>
        <w:r>
          <w:rPr>
            <w:noProof/>
            <w:webHidden/>
          </w:rPr>
          <w:tab/>
        </w:r>
        <w:r>
          <w:rPr>
            <w:noProof/>
            <w:webHidden/>
          </w:rPr>
          <w:fldChar w:fldCharType="begin"/>
        </w:r>
        <w:r>
          <w:rPr>
            <w:noProof/>
            <w:webHidden/>
          </w:rPr>
          <w:instrText xml:space="preserve"> PAGEREF _Toc300000097 \h </w:instrText>
        </w:r>
        <w:r>
          <w:rPr>
            <w:noProof/>
            <w:webHidden/>
          </w:rPr>
          <w:fldChar w:fldCharType="separate"/>
        </w:r>
        <w:r>
          <w:rPr>
            <w:noProof/>
            <w:webHidden/>
          </w:rPr>
          <w:t>643</w:t>
        </w:r>
        <w:r>
          <w:rPr>
            <w:noProof/>
            <w:webHidden/>
          </w:rPr>
          <w:fldChar w:fldCharType="end"/>
        </w:r>
      </w:hyperlink>
    </w:p>
    <w:p>
      <w:pPr>
        <w:pStyle w:val="TOC2"/>
      </w:pPr>
      <w:hyperlink w:anchor="_Toc300000098" w:history="1">
        <w:r>
          <w:rPr>
            <w:noProof/>
          </w:rPr>
          <w:t xml:space="preserve">ANNEX 3-B AGRICULTURAL TRADE BETWEEN MEXICO AND THE UNITED STATES</w:t>
        </w:r>
        <w:r>
          <w:rPr>
            <w:noProof/>
            <w:webHidden/>
          </w:rPr>
          <w:tab/>
        </w:r>
        <w:r>
          <w:rPr>
            <w:noProof/>
            <w:webHidden/>
          </w:rPr>
          <w:fldChar w:fldCharType="begin"/>
        </w:r>
        <w:r>
          <w:rPr>
            <w:noProof/>
            <w:webHidden/>
          </w:rPr>
          <w:instrText xml:space="preserve"> PAGEREF _Toc300000098 \h </w:instrText>
        </w:r>
        <w:r>
          <w:rPr>
            <w:noProof/>
            <w:webHidden/>
          </w:rPr>
          <w:fldChar w:fldCharType="separate"/>
        </w:r>
        <w:r>
          <w:rPr>
            <w:noProof/>
            <w:webHidden/>
          </w:rPr>
          <w:t>645</w:t>
        </w:r>
        <w:r>
          <w:rPr>
            <w:noProof/>
            <w:webHidden/>
          </w:rPr>
          <w:fldChar w:fldCharType="end"/>
        </w:r>
      </w:hyperlink>
    </w:p>
    <w:p>
      <w:pPr>
        <w:pStyle w:val="TOC2"/>
      </w:pPr>
      <w:hyperlink w:anchor="_Toc300000099" w:history="1">
        <w:r>
          <w:rPr>
            <w:noProof/>
          </w:rPr>
          <w:t xml:space="preserve">ANNEX 3-C DISTILLED SPIRITS, WINE, BEER, AND OTHER ALCOHOL BEVERAGES</w:t>
        </w:r>
        <w:r>
          <w:rPr>
            <w:noProof/>
            <w:webHidden/>
          </w:rPr>
          <w:tab/>
        </w:r>
        <w:r>
          <w:rPr>
            <w:noProof/>
            <w:webHidden/>
          </w:rPr>
          <w:fldChar w:fldCharType="begin"/>
        </w:r>
        <w:r>
          <w:rPr>
            <w:noProof/>
            <w:webHidden/>
          </w:rPr>
          <w:instrText xml:space="preserve"> PAGEREF _Toc300000099 \h </w:instrText>
        </w:r>
        <w:r>
          <w:rPr>
            <w:noProof/>
            <w:webHidden/>
          </w:rPr>
          <w:fldChar w:fldCharType="separate"/>
        </w:r>
        <w:r>
          <w:rPr>
            <w:noProof/>
            <w:webHidden/>
          </w:rPr>
          <w:t>647</w:t>
        </w:r>
        <w:r>
          <w:rPr>
            <w:noProof/>
            <w:webHidden/>
          </w:rPr>
          <w:fldChar w:fldCharType="end"/>
        </w:r>
      </w:hyperlink>
    </w:p>
    <w:p>
      <w:pPr>
        <w:pStyle w:val="TOC2"/>
      </w:pPr>
      <w:hyperlink w:anchor="_Toc300000100" w:history="1">
        <w:r>
          <w:rPr>
            <w:noProof/>
          </w:rPr>
          <w:t xml:space="preserve">Article 3.C.1: Internal Sale and Distribution of Distilled Spirits, Wine, Beer, or other Alcohol Beverages</w:t>
        </w:r>
        <w:r>
          <w:rPr>
            <w:noProof/>
            <w:webHidden/>
          </w:rPr>
          <w:tab/>
        </w:r>
        <w:r>
          <w:rPr>
            <w:noProof/>
            <w:webHidden/>
          </w:rPr>
          <w:fldChar w:fldCharType="begin"/>
        </w:r>
        <w:r>
          <w:rPr>
            <w:noProof/>
            <w:webHidden/>
          </w:rPr>
          <w:instrText xml:space="preserve"> PAGEREF _Toc300000100 \h </w:instrText>
        </w:r>
        <w:r>
          <w:rPr>
            <w:noProof/>
            <w:webHidden/>
          </w:rPr>
          <w:fldChar w:fldCharType="separate"/>
        </w:r>
        <w:r>
          <w:rPr>
            <w:noProof/>
            <w:webHidden/>
          </w:rPr>
          <w:t>647</w:t>
        </w:r>
        <w:r>
          <w:rPr>
            <w:noProof/>
            <w:webHidden/>
          </w:rPr>
          <w:fldChar w:fldCharType="end"/>
        </w:r>
      </w:hyperlink>
    </w:p>
    <w:p>
      <w:pPr>
        <w:pStyle w:val="TOC2"/>
      </w:pPr>
      <w:hyperlink w:anchor="_Toc300000101" w:history="1">
        <w:r>
          <w:rPr>
            <w:noProof/>
          </w:rPr>
          <w:t xml:space="preserve">Article 3.C.2: Distinctive Products</w:t>
        </w:r>
        <w:r>
          <w:rPr>
            <w:noProof/>
            <w:webHidden/>
          </w:rPr>
          <w:tab/>
        </w:r>
        <w:r>
          <w:rPr>
            <w:noProof/>
            <w:webHidden/>
          </w:rPr>
          <w:fldChar w:fldCharType="begin"/>
        </w:r>
        <w:r>
          <w:rPr>
            <w:noProof/>
            <w:webHidden/>
          </w:rPr>
          <w:instrText xml:space="preserve"> PAGEREF _Toc300000101 \h </w:instrText>
        </w:r>
        <w:r>
          <w:rPr>
            <w:noProof/>
            <w:webHidden/>
          </w:rPr>
          <w:fldChar w:fldCharType="separate"/>
        </w:r>
        <w:r>
          <w:rPr>
            <w:noProof/>
            <w:webHidden/>
          </w:rPr>
          <w:t>648</w:t>
        </w:r>
        <w:r>
          <w:rPr>
            <w:noProof/>
            <w:webHidden/>
          </w:rPr>
          <w:fldChar w:fldCharType="end"/>
        </w:r>
      </w:hyperlink>
    </w:p>
    <w:p>
      <w:pPr>
        <w:pStyle w:val="TOC2"/>
      </w:pPr>
      <w:hyperlink w:anchor="_Toc300000102" w:history="1">
        <w:r>
          <w:rPr>
            <w:noProof/>
          </w:rPr>
          <w:t xml:space="preserve">Article 3.C.3: Wine and Distilled Spirits</w:t>
        </w:r>
        <w:r>
          <w:rPr>
            <w:noProof/>
            <w:webHidden/>
          </w:rPr>
          <w:tab/>
        </w:r>
        <w:r>
          <w:rPr>
            <w:noProof/>
            <w:webHidden/>
          </w:rPr>
          <w:fldChar w:fldCharType="begin"/>
        </w:r>
        <w:r>
          <w:rPr>
            <w:noProof/>
            <w:webHidden/>
          </w:rPr>
          <w:instrText xml:space="preserve"> PAGEREF _Toc300000102 \h </w:instrText>
        </w:r>
        <w:r>
          <w:rPr>
            <w:noProof/>
            <w:webHidden/>
          </w:rPr>
          <w:fldChar w:fldCharType="separate"/>
        </w:r>
        <w:r>
          <w:rPr>
            <w:noProof/>
            <w:webHidden/>
          </w:rPr>
          <w:t>649</w:t>
        </w:r>
        <w:r>
          <w:rPr>
            <w:noProof/>
            <w:webHidden/>
          </w:rPr>
          <w:fldChar w:fldCharType="end"/>
        </w:r>
      </w:hyperlink>
    </w:p>
    <w:p>
      <w:pPr>
        <w:pStyle w:val="TOC2"/>
      </w:pPr>
      <w:hyperlink w:anchor="_Toc300000103" w:history="1">
        <w:r>
          <w:rPr>
            <w:noProof/>
          </w:rPr>
          <w:t xml:space="preserve">Article 3.C.4: Other Provisions</w:t>
        </w:r>
        <w:r>
          <w:rPr>
            <w:noProof/>
            <w:webHidden/>
          </w:rPr>
          <w:tab/>
        </w:r>
        <w:r>
          <w:rPr>
            <w:noProof/>
            <w:webHidden/>
          </w:rPr>
          <w:fldChar w:fldCharType="begin"/>
        </w:r>
        <w:r>
          <w:rPr>
            <w:noProof/>
            <w:webHidden/>
          </w:rPr>
          <w:instrText xml:space="preserve"> PAGEREF _Toc300000103 \h </w:instrText>
        </w:r>
        <w:r>
          <w:rPr>
            <w:noProof/>
            <w:webHidden/>
          </w:rPr>
          <w:fldChar w:fldCharType="separate"/>
        </w:r>
        <w:r>
          <w:rPr>
            <w:noProof/>
            <w:webHidden/>
          </w:rPr>
          <w:t>652</w:t>
        </w:r>
        <w:r>
          <w:rPr>
            <w:noProof/>
            <w:webHidden/>
          </w:rPr>
          <w:fldChar w:fldCharType="end"/>
        </w:r>
      </w:hyperlink>
    </w:p>
    <w:p>
      <w:pPr>
        <w:pStyle w:val="TOC2"/>
      </w:pPr>
      <w:hyperlink w:anchor="_Toc300000104" w:history="1">
        <w:r>
          <w:rPr>
            <w:noProof/>
          </w:rPr>
          <w:t xml:space="preserve">ANNEX 3-D PROPRIETARY FORMULAS FOR PREPACKAGED FOODS AND FOOD ADDITIVES</w:t>
        </w:r>
        <w:r>
          <w:rPr>
            <w:noProof/>
            <w:webHidden/>
          </w:rPr>
          <w:tab/>
        </w:r>
        <w:r>
          <w:rPr>
            <w:noProof/>
            <w:webHidden/>
          </w:rPr>
          <w:fldChar w:fldCharType="begin"/>
        </w:r>
        <w:r>
          <w:rPr>
            <w:noProof/>
            <w:webHidden/>
          </w:rPr>
          <w:instrText xml:space="preserve"> PAGEREF _Toc300000104 \h </w:instrText>
        </w:r>
        <w:r>
          <w:rPr>
            <w:noProof/>
            <w:webHidden/>
          </w:rPr>
          <w:fldChar w:fldCharType="separate"/>
        </w:r>
        <w:r>
          <w:rPr>
            <w:noProof/>
            <w:webHidden/>
          </w:rPr>
          <w:t>653</w:t>
        </w:r>
        <w:r>
          <w:rPr>
            <w:noProof/>
            <w:webHidden/>
          </w:rPr>
          <w:fldChar w:fldCharType="end"/>
        </w:r>
      </w:hyperlink>
    </w:p>
    <w:p>
      <w:pPr>
        <w:pStyle w:val="TOC1"/>
      </w:pPr>
      <w:hyperlink w:anchor="_Toc300000105" w:history="1">
        <w:r>
          <w:rPr>
            <w:noProof/>
          </w:rPr>
          <w:t xml:space="preserve">CHAPTER 4 RULES OF ORIGIN</w:t>
        </w:r>
        <w:r>
          <w:rPr>
            <w:noProof/>
            <w:webHidden/>
          </w:rPr>
          <w:tab/>
        </w:r>
        <w:r>
          <w:rPr>
            <w:noProof/>
            <w:webHidden/>
          </w:rPr>
          <w:fldChar w:fldCharType="begin"/>
        </w:r>
        <w:r>
          <w:rPr>
            <w:noProof/>
            <w:webHidden/>
          </w:rPr>
          <w:instrText xml:space="preserve"> PAGEREF _Toc300000105 \h </w:instrText>
        </w:r>
        <w:r>
          <w:rPr>
            <w:noProof/>
            <w:webHidden/>
          </w:rPr>
          <w:fldChar w:fldCharType="separate"/>
        </w:r>
        <w:r>
          <w:rPr>
            <w:noProof/>
            <w:webHidden/>
          </w:rPr>
          <w:t>655</w:t>
        </w:r>
        <w:r>
          <w:rPr>
            <w:noProof/>
            <w:webHidden/>
          </w:rPr>
          <w:fldChar w:fldCharType="end"/>
        </w:r>
      </w:hyperlink>
    </w:p>
    <w:p>
      <w:pPr>
        <w:pStyle w:val="TOC2"/>
      </w:pPr>
      <w:hyperlink w:anchor="_Toc300000106" w:history="1">
        <w:r>
          <w:rPr>
            <w:noProof/>
          </w:rPr>
          <w:t xml:space="preserve">Article 4.1: Definitions</w:t>
        </w:r>
        <w:r>
          <w:rPr>
            <w:noProof/>
            <w:webHidden/>
          </w:rPr>
          <w:tab/>
        </w:r>
        <w:r>
          <w:rPr>
            <w:noProof/>
            <w:webHidden/>
          </w:rPr>
          <w:fldChar w:fldCharType="begin"/>
        </w:r>
        <w:r>
          <w:rPr>
            <w:noProof/>
            <w:webHidden/>
          </w:rPr>
          <w:instrText xml:space="preserve"> PAGEREF _Toc300000106 \h </w:instrText>
        </w:r>
        <w:r>
          <w:rPr>
            <w:noProof/>
            <w:webHidden/>
          </w:rPr>
          <w:fldChar w:fldCharType="separate"/>
        </w:r>
        <w:r>
          <w:rPr>
            <w:noProof/>
            <w:webHidden/>
          </w:rPr>
          <w:t>655</w:t>
        </w:r>
        <w:r>
          <w:rPr>
            <w:noProof/>
            <w:webHidden/>
          </w:rPr>
          <w:fldChar w:fldCharType="end"/>
        </w:r>
      </w:hyperlink>
    </w:p>
    <w:p>
      <w:pPr>
        <w:pStyle w:val="TOC2"/>
      </w:pPr>
      <w:hyperlink w:anchor="_Toc300000107" w:history="1">
        <w:r>
          <w:rPr>
            <w:noProof/>
          </w:rPr>
          <w:t xml:space="preserve">Article 4.2: Originating Goods</w:t>
        </w:r>
        <w:r>
          <w:rPr>
            <w:noProof/>
            <w:webHidden/>
          </w:rPr>
          <w:tab/>
        </w:r>
        <w:r>
          <w:rPr>
            <w:noProof/>
            <w:webHidden/>
          </w:rPr>
          <w:fldChar w:fldCharType="begin"/>
        </w:r>
        <w:r>
          <w:rPr>
            <w:noProof/>
            <w:webHidden/>
          </w:rPr>
          <w:instrText xml:space="preserve"> PAGEREF _Toc300000107 \h </w:instrText>
        </w:r>
        <w:r>
          <w:rPr>
            <w:noProof/>
            <w:webHidden/>
          </w:rPr>
          <w:fldChar w:fldCharType="separate"/>
        </w:r>
        <w:r>
          <w:rPr>
            <w:noProof/>
            <w:webHidden/>
          </w:rPr>
          <w:t>657</w:t>
        </w:r>
        <w:r>
          <w:rPr>
            <w:noProof/>
            <w:webHidden/>
          </w:rPr>
          <w:fldChar w:fldCharType="end"/>
        </w:r>
      </w:hyperlink>
    </w:p>
    <w:p>
      <w:pPr>
        <w:pStyle w:val="TOC2"/>
      </w:pPr>
      <w:hyperlink w:anchor="_Toc300000108" w:history="1">
        <w:r>
          <w:rPr>
            <w:noProof/>
          </w:rPr>
          <w:t xml:space="preserve">Article 4.3: Wholly Obtained or Produced Goods</w:t>
        </w:r>
        <w:r>
          <w:rPr>
            <w:noProof/>
            <w:webHidden/>
          </w:rPr>
          <w:tab/>
        </w:r>
        <w:r>
          <w:rPr>
            <w:noProof/>
            <w:webHidden/>
          </w:rPr>
          <w:fldChar w:fldCharType="begin"/>
        </w:r>
        <w:r>
          <w:rPr>
            <w:noProof/>
            <w:webHidden/>
          </w:rPr>
          <w:instrText xml:space="preserve"> PAGEREF _Toc300000108 \h </w:instrText>
        </w:r>
        <w:r>
          <w:rPr>
            <w:noProof/>
            <w:webHidden/>
          </w:rPr>
          <w:fldChar w:fldCharType="separate"/>
        </w:r>
        <w:r>
          <w:rPr>
            <w:noProof/>
            <w:webHidden/>
          </w:rPr>
          <w:t>657</w:t>
        </w:r>
        <w:r>
          <w:rPr>
            <w:noProof/>
            <w:webHidden/>
          </w:rPr>
          <w:fldChar w:fldCharType="end"/>
        </w:r>
      </w:hyperlink>
    </w:p>
    <w:p>
      <w:pPr>
        <w:pStyle w:val="TOC2"/>
      </w:pPr>
      <w:hyperlink w:anchor="_Toc300000109" w:history="1">
        <w:r>
          <w:rPr>
            <w:noProof/>
          </w:rPr>
          <w:t xml:space="preserve">Article 4.4: Treatment of Recovered Materials Used in the Production of a Remanufactured Good</w:t>
        </w:r>
        <w:r>
          <w:rPr>
            <w:noProof/>
            <w:webHidden/>
          </w:rPr>
          <w:tab/>
        </w:r>
        <w:r>
          <w:rPr>
            <w:noProof/>
            <w:webHidden/>
          </w:rPr>
          <w:fldChar w:fldCharType="begin"/>
        </w:r>
        <w:r>
          <w:rPr>
            <w:noProof/>
            <w:webHidden/>
          </w:rPr>
          <w:instrText xml:space="preserve"> PAGEREF _Toc300000109 \h </w:instrText>
        </w:r>
        <w:r>
          <w:rPr>
            <w:noProof/>
            <w:webHidden/>
          </w:rPr>
          <w:fldChar w:fldCharType="separate"/>
        </w:r>
        <w:r>
          <w:rPr>
            <w:noProof/>
            <w:webHidden/>
          </w:rPr>
          <w:t>658</w:t>
        </w:r>
        <w:r>
          <w:rPr>
            <w:noProof/>
            <w:webHidden/>
          </w:rPr>
          <w:fldChar w:fldCharType="end"/>
        </w:r>
      </w:hyperlink>
    </w:p>
    <w:p>
      <w:pPr>
        <w:pStyle w:val="TOC2"/>
      </w:pPr>
      <w:hyperlink w:anchor="_Toc300000110" w:history="1">
        <w:r>
          <w:rPr>
            <w:noProof/>
          </w:rPr>
          <w:t xml:space="preserve">Article 4.5: Regional Value Content</w:t>
        </w:r>
        <w:r>
          <w:rPr>
            <w:noProof/>
            <w:webHidden/>
          </w:rPr>
          <w:tab/>
        </w:r>
        <w:r>
          <w:rPr>
            <w:noProof/>
            <w:webHidden/>
          </w:rPr>
          <w:fldChar w:fldCharType="begin"/>
        </w:r>
        <w:r>
          <w:rPr>
            <w:noProof/>
            <w:webHidden/>
          </w:rPr>
          <w:instrText xml:space="preserve"> PAGEREF _Toc300000110 \h </w:instrText>
        </w:r>
        <w:r>
          <w:rPr>
            <w:noProof/>
            <w:webHidden/>
          </w:rPr>
          <w:fldChar w:fldCharType="separate"/>
        </w:r>
        <w:r>
          <w:rPr>
            <w:noProof/>
            <w:webHidden/>
          </w:rPr>
          <w:t>658</w:t>
        </w:r>
        <w:r>
          <w:rPr>
            <w:noProof/>
            <w:webHidden/>
          </w:rPr>
          <w:fldChar w:fldCharType="end"/>
        </w:r>
      </w:hyperlink>
    </w:p>
    <w:p>
      <w:pPr>
        <w:pStyle w:val="TOC2"/>
      </w:pPr>
      <w:hyperlink w:anchor="_Toc300000111" w:history="1">
        <w:r>
          <w:rPr>
            <w:noProof/>
          </w:rPr>
          <w:t xml:space="preserve">Article 4.6: Value of Materials Used in Production</w:t>
        </w:r>
        <w:r>
          <w:rPr>
            <w:noProof/>
            <w:webHidden/>
          </w:rPr>
          <w:tab/>
        </w:r>
        <w:r>
          <w:rPr>
            <w:noProof/>
            <w:webHidden/>
          </w:rPr>
          <w:fldChar w:fldCharType="begin"/>
        </w:r>
        <w:r>
          <w:rPr>
            <w:noProof/>
            <w:webHidden/>
          </w:rPr>
          <w:instrText xml:space="preserve"> PAGEREF _Toc300000111 \h </w:instrText>
        </w:r>
        <w:r>
          <w:rPr>
            <w:noProof/>
            <w:webHidden/>
          </w:rPr>
          <w:fldChar w:fldCharType="separate"/>
        </w:r>
        <w:r>
          <w:rPr>
            <w:noProof/>
            <w:webHidden/>
          </w:rPr>
          <w:t>659</w:t>
        </w:r>
        <w:r>
          <w:rPr>
            <w:noProof/>
            <w:webHidden/>
          </w:rPr>
          <w:fldChar w:fldCharType="end"/>
        </w:r>
      </w:hyperlink>
    </w:p>
    <w:p>
      <w:pPr>
        <w:pStyle w:val="TOC2"/>
      </w:pPr>
      <w:hyperlink w:anchor="_Toc300000112" w:history="1">
        <w:r>
          <w:rPr>
            <w:noProof/>
          </w:rPr>
          <w:t xml:space="preserve">Article 4.7: Further Adjustments to the Value of Materials</w:t>
        </w:r>
        <w:r>
          <w:rPr>
            <w:noProof/>
            <w:webHidden/>
          </w:rPr>
          <w:tab/>
        </w:r>
        <w:r>
          <w:rPr>
            <w:noProof/>
            <w:webHidden/>
          </w:rPr>
          <w:fldChar w:fldCharType="begin"/>
        </w:r>
        <w:r>
          <w:rPr>
            <w:noProof/>
            <w:webHidden/>
          </w:rPr>
          <w:instrText xml:space="preserve"> PAGEREF _Toc300000112 \h </w:instrText>
        </w:r>
        <w:r>
          <w:rPr>
            <w:noProof/>
            <w:webHidden/>
          </w:rPr>
          <w:fldChar w:fldCharType="separate"/>
        </w:r>
        <w:r>
          <w:rPr>
            <w:noProof/>
            <w:webHidden/>
          </w:rPr>
          <w:t>660</w:t>
        </w:r>
        <w:r>
          <w:rPr>
            <w:noProof/>
            <w:webHidden/>
          </w:rPr>
          <w:fldChar w:fldCharType="end"/>
        </w:r>
      </w:hyperlink>
    </w:p>
    <w:p>
      <w:pPr>
        <w:pStyle w:val="TOC2"/>
      </w:pPr>
      <w:hyperlink w:anchor="_Toc300000113" w:history="1">
        <w:r>
          <w:rPr>
            <w:noProof/>
          </w:rPr>
          <w:t xml:space="preserve">Article 4.8: Intermediate Materials</w:t>
        </w:r>
        <w:r>
          <w:rPr>
            <w:noProof/>
            <w:webHidden/>
          </w:rPr>
          <w:tab/>
        </w:r>
        <w:r>
          <w:rPr>
            <w:noProof/>
            <w:webHidden/>
          </w:rPr>
          <w:fldChar w:fldCharType="begin"/>
        </w:r>
        <w:r>
          <w:rPr>
            <w:noProof/>
            <w:webHidden/>
          </w:rPr>
          <w:instrText xml:space="preserve"> PAGEREF _Toc300000113 \h </w:instrText>
        </w:r>
        <w:r>
          <w:rPr>
            <w:noProof/>
            <w:webHidden/>
          </w:rPr>
          <w:fldChar w:fldCharType="separate"/>
        </w:r>
        <w:r>
          <w:rPr>
            <w:noProof/>
            <w:webHidden/>
          </w:rPr>
          <w:t>660</w:t>
        </w:r>
        <w:r>
          <w:rPr>
            <w:noProof/>
            <w:webHidden/>
          </w:rPr>
          <w:fldChar w:fldCharType="end"/>
        </w:r>
      </w:hyperlink>
    </w:p>
    <w:p>
      <w:pPr>
        <w:pStyle w:val="TOC2"/>
      </w:pPr>
      <w:hyperlink w:anchor="_Toc300000114" w:history="1">
        <w:r>
          <w:rPr>
            <w:noProof/>
          </w:rPr>
          <w:t xml:space="preserve">Article 4.9: Indirect Materials</w:t>
        </w:r>
        <w:r>
          <w:rPr>
            <w:noProof/>
            <w:webHidden/>
          </w:rPr>
          <w:tab/>
        </w:r>
        <w:r>
          <w:rPr>
            <w:noProof/>
            <w:webHidden/>
          </w:rPr>
          <w:fldChar w:fldCharType="begin"/>
        </w:r>
        <w:r>
          <w:rPr>
            <w:noProof/>
            <w:webHidden/>
          </w:rPr>
          <w:instrText xml:space="preserve"> PAGEREF _Toc300000114 \h </w:instrText>
        </w:r>
        <w:r>
          <w:rPr>
            <w:noProof/>
            <w:webHidden/>
          </w:rPr>
          <w:fldChar w:fldCharType="separate"/>
        </w:r>
        <w:r>
          <w:rPr>
            <w:noProof/>
            <w:webHidden/>
          </w:rPr>
          <w:t>660</w:t>
        </w:r>
        <w:r>
          <w:rPr>
            <w:noProof/>
            <w:webHidden/>
          </w:rPr>
          <w:fldChar w:fldCharType="end"/>
        </w:r>
      </w:hyperlink>
    </w:p>
    <w:p>
      <w:pPr>
        <w:pStyle w:val="TOC2"/>
      </w:pPr>
      <w:hyperlink w:anchor="_Toc300000115" w:history="1">
        <w:r>
          <w:rPr>
            <w:noProof/>
          </w:rPr>
          <w:t xml:space="preserve">Article 4.10: Automotive Goods</w:t>
        </w:r>
        <w:r>
          <w:rPr>
            <w:noProof/>
            <w:webHidden/>
          </w:rPr>
          <w:tab/>
        </w:r>
        <w:r>
          <w:rPr>
            <w:noProof/>
            <w:webHidden/>
          </w:rPr>
          <w:fldChar w:fldCharType="begin"/>
        </w:r>
        <w:r>
          <w:rPr>
            <w:noProof/>
            <w:webHidden/>
          </w:rPr>
          <w:instrText xml:space="preserve"> PAGEREF _Toc300000115 \h </w:instrText>
        </w:r>
        <w:r>
          <w:rPr>
            <w:noProof/>
            <w:webHidden/>
          </w:rPr>
          <w:fldChar w:fldCharType="separate"/>
        </w:r>
        <w:r>
          <w:rPr>
            <w:noProof/>
            <w:webHidden/>
          </w:rPr>
          <w:t>660</w:t>
        </w:r>
        <w:r>
          <w:rPr>
            <w:noProof/>
            <w:webHidden/>
          </w:rPr>
          <w:fldChar w:fldCharType="end"/>
        </w:r>
      </w:hyperlink>
    </w:p>
    <w:p>
      <w:pPr>
        <w:pStyle w:val="TOC2"/>
      </w:pPr>
      <w:hyperlink w:anchor="_Toc300000116" w:history="1">
        <w:r>
          <w:rPr>
            <w:noProof/>
          </w:rPr>
          <w:t xml:space="preserve">Article 4.11: Accumulation</w:t>
        </w:r>
        <w:r>
          <w:rPr>
            <w:noProof/>
            <w:webHidden/>
          </w:rPr>
          <w:tab/>
        </w:r>
        <w:r>
          <w:rPr>
            <w:noProof/>
            <w:webHidden/>
          </w:rPr>
          <w:fldChar w:fldCharType="begin"/>
        </w:r>
        <w:r>
          <w:rPr>
            <w:noProof/>
            <w:webHidden/>
          </w:rPr>
          <w:instrText xml:space="preserve"> PAGEREF _Toc300000116 \h </w:instrText>
        </w:r>
        <w:r>
          <w:rPr>
            <w:noProof/>
            <w:webHidden/>
          </w:rPr>
          <w:fldChar w:fldCharType="separate"/>
        </w:r>
        <w:r>
          <w:rPr>
            <w:noProof/>
            <w:webHidden/>
          </w:rPr>
          <w:t>661</w:t>
        </w:r>
        <w:r>
          <w:rPr>
            <w:noProof/>
            <w:webHidden/>
          </w:rPr>
          <w:fldChar w:fldCharType="end"/>
        </w:r>
      </w:hyperlink>
    </w:p>
    <w:p>
      <w:pPr>
        <w:pStyle w:val="TOC2"/>
      </w:pPr>
      <w:hyperlink w:anchor="_Toc300000117" w:history="1">
        <w:r>
          <w:rPr>
            <w:noProof/>
          </w:rPr>
          <w:t xml:space="preserve">Article 4.12: De Minimis</w:t>
        </w:r>
        <w:r>
          <w:rPr>
            <w:noProof/>
            <w:webHidden/>
          </w:rPr>
          <w:tab/>
        </w:r>
        <w:r>
          <w:rPr>
            <w:noProof/>
            <w:webHidden/>
          </w:rPr>
          <w:fldChar w:fldCharType="begin"/>
        </w:r>
        <w:r>
          <w:rPr>
            <w:noProof/>
            <w:webHidden/>
          </w:rPr>
          <w:instrText xml:space="preserve"> PAGEREF _Toc300000117 \h </w:instrText>
        </w:r>
        <w:r>
          <w:rPr>
            <w:noProof/>
            <w:webHidden/>
          </w:rPr>
          <w:fldChar w:fldCharType="separate"/>
        </w:r>
        <w:r>
          <w:rPr>
            <w:noProof/>
            <w:webHidden/>
          </w:rPr>
          <w:t>661</w:t>
        </w:r>
        <w:r>
          <w:rPr>
            <w:noProof/>
            <w:webHidden/>
          </w:rPr>
          <w:fldChar w:fldCharType="end"/>
        </w:r>
      </w:hyperlink>
    </w:p>
    <w:p>
      <w:pPr>
        <w:pStyle w:val="TOC2"/>
      </w:pPr>
      <w:hyperlink w:anchor="_Toc300000118" w:history="1">
        <w:r>
          <w:rPr>
            <w:noProof/>
          </w:rPr>
          <w:t xml:space="preserve">Article 4.13: Fungible Goods and Materials</w:t>
        </w:r>
        <w:r>
          <w:rPr>
            <w:noProof/>
            <w:webHidden/>
          </w:rPr>
          <w:tab/>
        </w:r>
        <w:r>
          <w:rPr>
            <w:noProof/>
            <w:webHidden/>
          </w:rPr>
          <w:fldChar w:fldCharType="begin"/>
        </w:r>
        <w:r>
          <w:rPr>
            <w:noProof/>
            <w:webHidden/>
          </w:rPr>
          <w:instrText xml:space="preserve"> PAGEREF _Toc300000118 \h </w:instrText>
        </w:r>
        <w:r>
          <w:rPr>
            <w:noProof/>
            <w:webHidden/>
          </w:rPr>
          <w:fldChar w:fldCharType="separate"/>
        </w:r>
        <w:r>
          <w:rPr>
            <w:noProof/>
            <w:webHidden/>
          </w:rPr>
          <w:t>661</w:t>
        </w:r>
        <w:r>
          <w:rPr>
            <w:noProof/>
            <w:webHidden/>
          </w:rPr>
          <w:fldChar w:fldCharType="end"/>
        </w:r>
      </w:hyperlink>
    </w:p>
    <w:p>
      <w:pPr>
        <w:pStyle w:val="TOC2"/>
      </w:pPr>
      <w:hyperlink w:anchor="_Toc300000119" w:history="1">
        <w:r>
          <w:rPr>
            <w:noProof/>
          </w:rPr>
          <w:t xml:space="preserve">Article 4.14: Accessories, Spare Parts, Tools, or Instructional or Other Information Materials</w:t>
        </w:r>
        <w:r>
          <w:rPr>
            <w:noProof/>
            <w:webHidden/>
          </w:rPr>
          <w:tab/>
        </w:r>
        <w:r>
          <w:rPr>
            <w:noProof/>
            <w:webHidden/>
          </w:rPr>
          <w:fldChar w:fldCharType="begin"/>
        </w:r>
        <w:r>
          <w:rPr>
            <w:noProof/>
            <w:webHidden/>
          </w:rPr>
          <w:instrText xml:space="preserve"> PAGEREF _Toc300000119 \h </w:instrText>
        </w:r>
        <w:r>
          <w:rPr>
            <w:noProof/>
            <w:webHidden/>
          </w:rPr>
          <w:fldChar w:fldCharType="separate"/>
        </w:r>
        <w:r>
          <w:rPr>
            <w:noProof/>
            <w:webHidden/>
          </w:rPr>
          <w:t>662</w:t>
        </w:r>
        <w:r>
          <w:rPr>
            <w:noProof/>
            <w:webHidden/>
          </w:rPr>
          <w:fldChar w:fldCharType="end"/>
        </w:r>
      </w:hyperlink>
    </w:p>
    <w:p>
      <w:pPr>
        <w:pStyle w:val="TOC2"/>
      </w:pPr>
      <w:hyperlink w:anchor="_Toc300000120" w:history="1">
        <w:r>
          <w:rPr>
            <w:noProof/>
          </w:rPr>
          <w:t xml:space="preserve">Article 4.15: Packaging Materials and Containers for Retail Sale</w:t>
        </w:r>
        <w:r>
          <w:rPr>
            <w:noProof/>
            <w:webHidden/>
          </w:rPr>
          <w:tab/>
        </w:r>
        <w:r>
          <w:rPr>
            <w:noProof/>
            <w:webHidden/>
          </w:rPr>
          <w:fldChar w:fldCharType="begin"/>
        </w:r>
        <w:r>
          <w:rPr>
            <w:noProof/>
            <w:webHidden/>
          </w:rPr>
          <w:instrText xml:space="preserve"> PAGEREF _Toc300000120 \h </w:instrText>
        </w:r>
        <w:r>
          <w:rPr>
            <w:noProof/>
            <w:webHidden/>
          </w:rPr>
          <w:fldChar w:fldCharType="separate"/>
        </w:r>
        <w:r>
          <w:rPr>
            <w:noProof/>
            <w:webHidden/>
          </w:rPr>
          <w:t>662</w:t>
        </w:r>
        <w:r>
          <w:rPr>
            <w:noProof/>
            <w:webHidden/>
          </w:rPr>
          <w:fldChar w:fldCharType="end"/>
        </w:r>
      </w:hyperlink>
    </w:p>
    <w:p>
      <w:pPr>
        <w:pStyle w:val="TOC2"/>
      </w:pPr>
      <w:hyperlink w:anchor="_Toc300000121" w:history="1">
        <w:r>
          <w:rPr>
            <w:noProof/>
          </w:rPr>
          <w:t xml:space="preserve">Article 4.16: Packing Materials and Containers for Shipment</w:t>
        </w:r>
        <w:r>
          <w:rPr>
            <w:noProof/>
            <w:webHidden/>
          </w:rPr>
          <w:tab/>
        </w:r>
        <w:r>
          <w:rPr>
            <w:noProof/>
            <w:webHidden/>
          </w:rPr>
          <w:fldChar w:fldCharType="begin"/>
        </w:r>
        <w:r>
          <w:rPr>
            <w:noProof/>
            <w:webHidden/>
          </w:rPr>
          <w:instrText xml:space="preserve"> PAGEREF _Toc300000121 \h </w:instrText>
        </w:r>
        <w:r>
          <w:rPr>
            <w:noProof/>
            <w:webHidden/>
          </w:rPr>
          <w:fldChar w:fldCharType="separate"/>
        </w:r>
        <w:r>
          <w:rPr>
            <w:noProof/>
            <w:webHidden/>
          </w:rPr>
          <w:t>662</w:t>
        </w:r>
        <w:r>
          <w:rPr>
            <w:noProof/>
            <w:webHidden/>
          </w:rPr>
          <w:fldChar w:fldCharType="end"/>
        </w:r>
      </w:hyperlink>
    </w:p>
    <w:p>
      <w:pPr>
        <w:pStyle w:val="TOC2"/>
      </w:pPr>
      <w:hyperlink w:anchor="_Toc300000122" w:history="1">
        <w:r>
          <w:rPr>
            <w:noProof/>
          </w:rPr>
          <w:t xml:space="preserve">Article 4.17: Sets of Goods, Kits or Composite Goods</w:t>
        </w:r>
        <w:r>
          <w:rPr>
            <w:noProof/>
            <w:webHidden/>
          </w:rPr>
          <w:tab/>
        </w:r>
        <w:r>
          <w:rPr>
            <w:noProof/>
            <w:webHidden/>
          </w:rPr>
          <w:fldChar w:fldCharType="begin"/>
        </w:r>
        <w:r>
          <w:rPr>
            <w:noProof/>
            <w:webHidden/>
          </w:rPr>
          <w:instrText xml:space="preserve"> PAGEREF _Toc300000122 \h </w:instrText>
        </w:r>
        <w:r>
          <w:rPr>
            <w:noProof/>
            <w:webHidden/>
          </w:rPr>
          <w:fldChar w:fldCharType="separate"/>
        </w:r>
        <w:r>
          <w:rPr>
            <w:noProof/>
            <w:webHidden/>
          </w:rPr>
          <w:t>663</w:t>
        </w:r>
        <w:r>
          <w:rPr>
            <w:noProof/>
            <w:webHidden/>
          </w:rPr>
          <w:fldChar w:fldCharType="end"/>
        </w:r>
      </w:hyperlink>
    </w:p>
    <w:p>
      <w:pPr>
        <w:pStyle w:val="TOC2"/>
      </w:pPr>
      <w:hyperlink w:anchor="_Toc300000123" w:history="1">
        <w:r>
          <w:rPr>
            <w:noProof/>
          </w:rPr>
          <w:t xml:space="preserve">Article 4.18: Transit and Transshipment</w:t>
        </w:r>
        <w:r>
          <w:rPr>
            <w:noProof/>
            <w:webHidden/>
          </w:rPr>
          <w:tab/>
        </w:r>
        <w:r>
          <w:rPr>
            <w:noProof/>
            <w:webHidden/>
          </w:rPr>
          <w:fldChar w:fldCharType="begin"/>
        </w:r>
        <w:r>
          <w:rPr>
            <w:noProof/>
            <w:webHidden/>
          </w:rPr>
          <w:instrText xml:space="preserve"> PAGEREF _Toc300000123 \h </w:instrText>
        </w:r>
        <w:r>
          <w:rPr>
            <w:noProof/>
            <w:webHidden/>
          </w:rPr>
          <w:fldChar w:fldCharType="separate"/>
        </w:r>
        <w:r>
          <w:rPr>
            <w:noProof/>
            <w:webHidden/>
          </w:rPr>
          <w:t>663</w:t>
        </w:r>
        <w:r>
          <w:rPr>
            <w:noProof/>
            <w:webHidden/>
          </w:rPr>
          <w:fldChar w:fldCharType="end"/>
        </w:r>
      </w:hyperlink>
    </w:p>
    <w:p>
      <w:pPr>
        <w:pStyle w:val="TOC2"/>
      </w:pPr>
      <w:hyperlink w:anchor="_Toc300000124" w:history="1">
        <w:r>
          <w:rPr>
            <w:noProof/>
          </w:rPr>
          <w:t xml:space="preserve">Article 4.19: Non-Qualifying Operations</w:t>
        </w:r>
        <w:r>
          <w:rPr>
            <w:noProof/>
            <w:webHidden/>
          </w:rPr>
          <w:tab/>
        </w:r>
        <w:r>
          <w:rPr>
            <w:noProof/>
            <w:webHidden/>
          </w:rPr>
          <w:fldChar w:fldCharType="begin"/>
        </w:r>
        <w:r>
          <w:rPr>
            <w:noProof/>
            <w:webHidden/>
          </w:rPr>
          <w:instrText xml:space="preserve"> PAGEREF _Toc300000124 \h </w:instrText>
        </w:r>
        <w:r>
          <w:rPr>
            <w:noProof/>
            <w:webHidden/>
          </w:rPr>
          <w:fldChar w:fldCharType="separate"/>
        </w:r>
        <w:r>
          <w:rPr>
            <w:noProof/>
            <w:webHidden/>
          </w:rPr>
          <w:t>663</w:t>
        </w:r>
        <w:r>
          <w:rPr>
            <w:noProof/>
            <w:webHidden/>
          </w:rPr>
          <w:fldChar w:fldCharType="end"/>
        </w:r>
      </w:hyperlink>
    </w:p>
    <w:p>
      <w:pPr>
        <w:pStyle w:val="TOC2"/>
      </w:pPr>
      <w:hyperlink w:anchor="_Toc300000125" w:history="1">
        <w:r>
          <w:rPr>
            <w:noProof/>
          </w:rPr>
          <w:t xml:space="preserve">ANNEX 4-A EXCEPTIONS TO ARTICLE 4.12 (DE MINIMIS)</w:t>
        </w:r>
        <w:r>
          <w:rPr>
            <w:noProof/>
            <w:webHidden/>
          </w:rPr>
          <w:tab/>
        </w:r>
        <w:r>
          <w:rPr>
            <w:noProof/>
            <w:webHidden/>
          </w:rPr>
          <w:fldChar w:fldCharType="begin"/>
        </w:r>
        <w:r>
          <w:rPr>
            <w:noProof/>
            <w:webHidden/>
          </w:rPr>
          <w:instrText xml:space="preserve"> PAGEREF _Toc300000125 \h </w:instrText>
        </w:r>
        <w:r>
          <w:rPr>
            <w:noProof/>
            <w:webHidden/>
          </w:rPr>
          <w:fldChar w:fldCharType="separate"/>
        </w:r>
        <w:r>
          <w:rPr>
            <w:noProof/>
            <w:webHidden/>
          </w:rPr>
          <w:t>663</w:t>
        </w:r>
        <w:r>
          <w:rPr>
            <w:noProof/>
            <w:webHidden/>
          </w:rPr>
          <w:fldChar w:fldCharType="end"/>
        </w:r>
      </w:hyperlink>
    </w:p>
    <w:p>
      <w:pPr>
        <w:pStyle w:val="TOC2"/>
      </w:pPr>
      <w:hyperlink w:anchor="_Toc300000126" w:history="1">
        <w:r>
          <w:rPr>
            <w:noProof/>
          </w:rPr>
          <w:t xml:space="preserve">ANNEX 4-B PRODUCT-SPECIFIC RULES OF ORIGIN</w:t>
        </w:r>
        <w:r>
          <w:rPr>
            <w:noProof/>
            <w:webHidden/>
          </w:rPr>
          <w:tab/>
        </w:r>
        <w:r>
          <w:rPr>
            <w:noProof/>
            <w:webHidden/>
          </w:rPr>
          <w:fldChar w:fldCharType="begin"/>
        </w:r>
        <w:r>
          <w:rPr>
            <w:noProof/>
            <w:webHidden/>
          </w:rPr>
          <w:instrText xml:space="preserve"> PAGEREF _Toc300000126 \h </w:instrText>
        </w:r>
        <w:r>
          <w:rPr>
            <w:noProof/>
            <w:webHidden/>
          </w:rPr>
          <w:fldChar w:fldCharType="separate"/>
        </w:r>
        <w:r>
          <w:rPr>
            <w:noProof/>
            <w:webHidden/>
          </w:rPr>
          <w:t>664</w:t>
        </w:r>
        <w:r>
          <w:rPr>
            <w:noProof/>
            <w:webHidden/>
          </w:rPr>
          <w:fldChar w:fldCharType="end"/>
        </w:r>
      </w:hyperlink>
    </w:p>
    <w:p>
      <w:pPr>
        <w:pStyle w:val="TOC3"/>
      </w:pPr>
      <w:hyperlink w:anchor="_Toc300000127" w:history="1">
        <w:r>
          <w:rPr>
            <w:noProof/>
          </w:rPr>
          <w:t xml:space="preserve">Section A: General Interpretative Note</w:t>
        </w:r>
        <w:r>
          <w:rPr>
            <w:noProof/>
            <w:webHidden/>
          </w:rPr>
          <w:tab/>
        </w:r>
        <w:r>
          <w:rPr>
            <w:noProof/>
            <w:webHidden/>
          </w:rPr>
          <w:fldChar w:fldCharType="begin"/>
        </w:r>
        <w:r>
          <w:rPr>
            <w:noProof/>
            <w:webHidden/>
          </w:rPr>
          <w:instrText xml:space="preserve"> PAGEREF _Toc300000127 \h </w:instrText>
        </w:r>
        <w:r>
          <w:rPr>
            <w:noProof/>
            <w:webHidden/>
          </w:rPr>
          <w:fldChar w:fldCharType="separate"/>
        </w:r>
        <w:r>
          <w:rPr>
            <w:noProof/>
            <w:webHidden/>
          </w:rPr>
          <w:t>664</w:t>
        </w:r>
        <w:r>
          <w:rPr>
            <w:noProof/>
            <w:webHidden/>
          </w:rPr>
          <w:fldChar w:fldCharType="end"/>
        </w:r>
      </w:hyperlink>
    </w:p>
    <w:p>
      <w:pPr>
        <w:pStyle w:val="TOC3"/>
      </w:pPr>
      <w:hyperlink w:anchor="_Toc300000128" w:history="1">
        <w:r>
          <w:rPr>
            <w:noProof/>
          </w:rPr>
          <w:t xml:space="preserve">Section B: Product-Specific Rules of Origin</w:t>
        </w:r>
        <w:r>
          <w:rPr>
            <w:noProof/>
            <w:webHidden/>
          </w:rPr>
          <w:tab/>
        </w:r>
        <w:r>
          <w:rPr>
            <w:noProof/>
            <w:webHidden/>
          </w:rPr>
          <w:fldChar w:fldCharType="begin"/>
        </w:r>
        <w:r>
          <w:rPr>
            <w:noProof/>
            <w:webHidden/>
          </w:rPr>
          <w:instrText xml:space="preserve"> PAGEREF _Toc300000128 \h </w:instrText>
        </w:r>
        <w:r>
          <w:rPr>
            <w:noProof/>
            <w:webHidden/>
          </w:rPr>
          <w:fldChar w:fldCharType="separate"/>
        </w:r>
        <w:r>
          <w:rPr>
            <w:noProof/>
            <w:webHidden/>
          </w:rPr>
          <w:t>665</w:t>
        </w:r>
        <w:r>
          <w:rPr>
            <w:noProof/>
            <w:webHidden/>
          </w:rPr>
          <w:fldChar w:fldCharType="end"/>
        </w:r>
      </w:hyperlink>
    </w:p>
    <w:p>
      <w:pPr>
        <w:pStyle w:val="TOC3"/>
      </w:pPr>
      <w:hyperlink w:anchor="_Toc300000129" w:history="1">
        <w:r>
          <w:rPr>
            <w:noProof/>
          </w:rPr>
          <w:t xml:space="preserve">Section I - Live Animals; Animal Products (Chapter 1-5)</w:t>
        </w:r>
        <w:r>
          <w:rPr>
            <w:noProof/>
            <w:webHidden/>
          </w:rPr>
          <w:tab/>
        </w:r>
        <w:r>
          <w:rPr>
            <w:noProof/>
            <w:webHidden/>
          </w:rPr>
          <w:fldChar w:fldCharType="begin"/>
        </w:r>
        <w:r>
          <w:rPr>
            <w:noProof/>
            <w:webHidden/>
          </w:rPr>
          <w:instrText xml:space="preserve"> PAGEREF _Toc300000129 \h </w:instrText>
        </w:r>
        <w:r>
          <w:rPr>
            <w:noProof/>
            <w:webHidden/>
          </w:rPr>
          <w:fldChar w:fldCharType="separate"/>
        </w:r>
        <w:r>
          <w:rPr>
            <w:noProof/>
            <w:webHidden/>
          </w:rPr>
          <w:t>665</w:t>
        </w:r>
        <w:r>
          <w:rPr>
            <w:noProof/>
            <w:webHidden/>
          </w:rPr>
          <w:fldChar w:fldCharType="end"/>
        </w:r>
      </w:hyperlink>
    </w:p>
    <w:p>
      <w:pPr>
        <w:pStyle w:val="TOC3"/>
      </w:pPr>
      <w:hyperlink w:anchor="_Toc300000130" w:history="1">
        <w:r>
          <w:rPr>
            <w:noProof/>
          </w:rPr>
          <w:t xml:space="preserve">Section II - Vegetable Products (Chapter 6-14)</w:t>
        </w:r>
        <w:r>
          <w:rPr>
            <w:noProof/>
            <w:webHidden/>
          </w:rPr>
          <w:tab/>
        </w:r>
        <w:r>
          <w:rPr>
            <w:noProof/>
            <w:webHidden/>
          </w:rPr>
          <w:fldChar w:fldCharType="begin"/>
        </w:r>
        <w:r>
          <w:rPr>
            <w:noProof/>
            <w:webHidden/>
          </w:rPr>
          <w:instrText xml:space="preserve"> PAGEREF _Toc300000130 \h </w:instrText>
        </w:r>
        <w:r>
          <w:rPr>
            <w:noProof/>
            <w:webHidden/>
          </w:rPr>
          <w:fldChar w:fldCharType="separate"/>
        </w:r>
        <w:r>
          <w:rPr>
            <w:noProof/>
            <w:webHidden/>
          </w:rPr>
          <w:t>665</w:t>
        </w:r>
        <w:r>
          <w:rPr>
            <w:noProof/>
            <w:webHidden/>
          </w:rPr>
          <w:fldChar w:fldCharType="end"/>
        </w:r>
      </w:hyperlink>
    </w:p>
    <w:p>
      <w:pPr>
        <w:pStyle w:val="TOC3"/>
      </w:pPr>
      <w:hyperlink w:anchor="_Toc300000131" w:history="1">
        <w:r>
          <w:rPr>
            <w:noProof/>
          </w:rPr>
          <w:t xml:space="preserve">Section III - Animal or Vegetable Fats and Oils and Their Cleavage Products; Prepared Edible Fats; Animal or Vegetable Waxes (Chapter 15)</w:t>
        </w:r>
        <w:r>
          <w:rPr>
            <w:noProof/>
            <w:webHidden/>
          </w:rPr>
          <w:tab/>
        </w:r>
        <w:r>
          <w:rPr>
            <w:noProof/>
            <w:webHidden/>
          </w:rPr>
          <w:fldChar w:fldCharType="begin"/>
        </w:r>
        <w:r>
          <w:rPr>
            <w:noProof/>
            <w:webHidden/>
          </w:rPr>
          <w:instrText xml:space="preserve"> PAGEREF _Toc300000131 \h </w:instrText>
        </w:r>
        <w:r>
          <w:rPr>
            <w:noProof/>
            <w:webHidden/>
          </w:rPr>
          <w:fldChar w:fldCharType="separate"/>
        </w:r>
        <w:r>
          <w:rPr>
            <w:noProof/>
            <w:webHidden/>
          </w:rPr>
          <w:t>668</w:t>
        </w:r>
        <w:r>
          <w:rPr>
            <w:noProof/>
            <w:webHidden/>
          </w:rPr>
          <w:fldChar w:fldCharType="end"/>
        </w:r>
      </w:hyperlink>
    </w:p>
    <w:p>
      <w:pPr>
        <w:pStyle w:val="TOC3"/>
      </w:pPr>
      <w:hyperlink w:anchor="_Toc300000132" w:history="1">
        <w:r>
          <w:rPr>
            <w:noProof/>
          </w:rPr>
          <w:t xml:space="preserve">Section IV - Prepared Foodstuffs; Beverages, Spirits and Vinegar; Tobacco and Manufactured Tobacco Substitutes (Chapter 16-24)</w:t>
        </w:r>
        <w:r>
          <w:rPr>
            <w:noProof/>
            <w:webHidden/>
          </w:rPr>
          <w:tab/>
        </w:r>
        <w:r>
          <w:rPr>
            <w:noProof/>
            <w:webHidden/>
          </w:rPr>
          <w:fldChar w:fldCharType="begin"/>
        </w:r>
        <w:r>
          <w:rPr>
            <w:noProof/>
            <w:webHidden/>
          </w:rPr>
          <w:instrText xml:space="preserve"> PAGEREF _Toc300000132 \h </w:instrText>
        </w:r>
        <w:r>
          <w:rPr>
            <w:noProof/>
            <w:webHidden/>
          </w:rPr>
          <w:fldChar w:fldCharType="separate"/>
        </w:r>
        <w:r>
          <w:rPr>
            <w:noProof/>
            <w:webHidden/>
          </w:rPr>
          <w:t>668</w:t>
        </w:r>
        <w:r>
          <w:rPr>
            <w:noProof/>
            <w:webHidden/>
          </w:rPr>
          <w:fldChar w:fldCharType="end"/>
        </w:r>
      </w:hyperlink>
    </w:p>
    <w:p>
      <w:pPr>
        <w:pStyle w:val="TOC3"/>
      </w:pPr>
      <w:hyperlink w:anchor="_Toc300000133" w:history="1">
        <w:r>
          <w:rPr>
            <w:noProof/>
          </w:rPr>
          <w:t xml:space="preserve">Section V - Mineral Products (Chapter 25-27)</w:t>
        </w:r>
        <w:r>
          <w:rPr>
            <w:noProof/>
            <w:webHidden/>
          </w:rPr>
          <w:tab/>
        </w:r>
        <w:r>
          <w:rPr>
            <w:noProof/>
            <w:webHidden/>
          </w:rPr>
          <w:fldChar w:fldCharType="begin"/>
        </w:r>
        <w:r>
          <w:rPr>
            <w:noProof/>
            <w:webHidden/>
          </w:rPr>
          <w:instrText xml:space="preserve"> PAGEREF _Toc300000133 \h </w:instrText>
        </w:r>
        <w:r>
          <w:rPr>
            <w:noProof/>
            <w:webHidden/>
          </w:rPr>
          <w:fldChar w:fldCharType="separate"/>
        </w:r>
        <w:r>
          <w:rPr>
            <w:noProof/>
            <w:webHidden/>
          </w:rPr>
          <w:t>670</w:t>
        </w:r>
        <w:r>
          <w:rPr>
            <w:noProof/>
            <w:webHidden/>
          </w:rPr>
          <w:fldChar w:fldCharType="end"/>
        </w:r>
      </w:hyperlink>
    </w:p>
    <w:p>
      <w:pPr>
        <w:pStyle w:val="TOC3"/>
      </w:pPr>
      <w:hyperlink w:anchor="_Toc300000134" w:history="1">
        <w:r>
          <w:rPr>
            <w:noProof/>
          </w:rPr>
          <w:t xml:space="preserve">Section VI - Products of the Chemical or Allied Industries (Chapter 28-38)</w:t>
        </w:r>
        <w:r>
          <w:rPr>
            <w:noProof/>
            <w:webHidden/>
          </w:rPr>
          <w:tab/>
        </w:r>
        <w:r>
          <w:rPr>
            <w:noProof/>
            <w:webHidden/>
          </w:rPr>
          <w:fldChar w:fldCharType="begin"/>
        </w:r>
        <w:r>
          <w:rPr>
            <w:noProof/>
            <w:webHidden/>
          </w:rPr>
          <w:instrText xml:space="preserve"> PAGEREF _Toc300000134 \h </w:instrText>
        </w:r>
        <w:r>
          <w:rPr>
            <w:noProof/>
            <w:webHidden/>
          </w:rPr>
          <w:fldChar w:fldCharType="separate"/>
        </w:r>
        <w:r>
          <w:rPr>
            <w:noProof/>
            <w:webHidden/>
          </w:rPr>
          <w:t>673</w:t>
        </w:r>
        <w:r>
          <w:rPr>
            <w:noProof/>
            <w:webHidden/>
          </w:rPr>
          <w:fldChar w:fldCharType="end"/>
        </w:r>
      </w:hyperlink>
    </w:p>
    <w:p>
      <w:pPr>
        <w:pStyle w:val="TOC3"/>
      </w:pPr>
      <w:hyperlink w:anchor="_Toc300000135" w:history="1">
        <w:r>
          <w:rPr>
            <w:noProof/>
          </w:rPr>
          <w:t xml:space="preserve">Section VII - Plastics and Articles Thereof; Rubber and Articles Thereof (Chapter 39-40)</w:t>
        </w:r>
        <w:r>
          <w:rPr>
            <w:noProof/>
            <w:webHidden/>
          </w:rPr>
          <w:tab/>
        </w:r>
        <w:r>
          <w:rPr>
            <w:noProof/>
            <w:webHidden/>
          </w:rPr>
          <w:fldChar w:fldCharType="begin"/>
        </w:r>
        <w:r>
          <w:rPr>
            <w:noProof/>
            <w:webHidden/>
          </w:rPr>
          <w:instrText xml:space="preserve"> PAGEREF _Toc300000135 \h </w:instrText>
        </w:r>
        <w:r>
          <w:rPr>
            <w:noProof/>
            <w:webHidden/>
          </w:rPr>
          <w:fldChar w:fldCharType="separate"/>
        </w:r>
        <w:r>
          <w:rPr>
            <w:noProof/>
            <w:webHidden/>
          </w:rPr>
          <w:t>678</w:t>
        </w:r>
        <w:r>
          <w:rPr>
            <w:noProof/>
            <w:webHidden/>
          </w:rPr>
          <w:fldChar w:fldCharType="end"/>
        </w:r>
      </w:hyperlink>
    </w:p>
    <w:p>
      <w:pPr>
        <w:pStyle w:val="TOC3"/>
      </w:pPr>
      <w:hyperlink w:anchor="_Toc300000136" w:history="1">
        <w:r>
          <w:rPr>
            <w:noProof/>
          </w:rPr>
          <w:t xml:space="preserve">Section VIII - Raw Hides and Skins, Leather, Furskins and Articles Thereof; Saddlery and Harness; Travel Goods, Handbags and Similar Containers; Articles of Animal Gut (Other Than Silk-worm Gut) (Chapter 41-43)</w:t>
        </w:r>
        <w:r>
          <w:rPr>
            <w:noProof/>
            <w:webHidden/>
          </w:rPr>
          <w:tab/>
        </w:r>
        <w:r>
          <w:rPr>
            <w:noProof/>
            <w:webHidden/>
          </w:rPr>
          <w:fldChar w:fldCharType="begin"/>
        </w:r>
        <w:r>
          <w:rPr>
            <w:noProof/>
            <w:webHidden/>
          </w:rPr>
          <w:instrText xml:space="preserve"> PAGEREF _Toc300000136 \h </w:instrText>
        </w:r>
        <w:r>
          <w:rPr>
            <w:noProof/>
            <w:webHidden/>
          </w:rPr>
          <w:fldChar w:fldCharType="separate"/>
        </w:r>
        <w:r>
          <w:rPr>
            <w:noProof/>
            <w:webHidden/>
          </w:rPr>
          <w:t>681</w:t>
        </w:r>
        <w:r>
          <w:rPr>
            <w:noProof/>
            <w:webHidden/>
          </w:rPr>
          <w:fldChar w:fldCharType="end"/>
        </w:r>
      </w:hyperlink>
    </w:p>
    <w:p>
      <w:pPr>
        <w:pStyle w:val="TOC3"/>
      </w:pPr>
      <w:hyperlink w:anchor="_Toc300000137" w:history="1">
        <w:r>
          <w:rPr>
            <w:noProof/>
          </w:rPr>
          <w:t xml:space="preserve">Section IX - Wood and Articles of Wood; Wood Charcoal; Cork and Articles of Cork; Manufactures of Straw, of Esparto, or of Other Plaiting Materials; Basketware and Wickerwork (Chapter 44-46)</w:t>
        </w:r>
        <w:r>
          <w:rPr>
            <w:noProof/>
            <w:webHidden/>
          </w:rPr>
          <w:tab/>
        </w:r>
        <w:r>
          <w:rPr>
            <w:noProof/>
            <w:webHidden/>
          </w:rPr>
          <w:fldChar w:fldCharType="begin"/>
        </w:r>
        <w:r>
          <w:rPr>
            <w:noProof/>
            <w:webHidden/>
          </w:rPr>
          <w:instrText xml:space="preserve"> PAGEREF _Toc300000137 \h </w:instrText>
        </w:r>
        <w:r>
          <w:rPr>
            <w:noProof/>
            <w:webHidden/>
          </w:rPr>
          <w:fldChar w:fldCharType="separate"/>
        </w:r>
        <w:r>
          <w:rPr>
            <w:noProof/>
            <w:webHidden/>
          </w:rPr>
          <w:t>683</w:t>
        </w:r>
        <w:r>
          <w:rPr>
            <w:noProof/>
            <w:webHidden/>
          </w:rPr>
          <w:fldChar w:fldCharType="end"/>
        </w:r>
      </w:hyperlink>
    </w:p>
    <w:p>
      <w:pPr>
        <w:pStyle w:val="TOC3"/>
      </w:pPr>
      <w:hyperlink w:anchor="_Toc300000138" w:history="1">
        <w:r>
          <w:rPr>
            <w:noProof/>
          </w:rPr>
          <w:t xml:space="preserve">Section X - Pulp of Wood or of other Fibrous Cellulosic Material; Waste and Scrap of Paper or Paperboard; Paper and Paperboard and Articles Thereof (Chapter 47-49)</w:t>
        </w:r>
        <w:r>
          <w:rPr>
            <w:noProof/>
            <w:webHidden/>
          </w:rPr>
          <w:tab/>
        </w:r>
        <w:r>
          <w:rPr>
            <w:noProof/>
            <w:webHidden/>
          </w:rPr>
          <w:fldChar w:fldCharType="begin"/>
        </w:r>
        <w:r>
          <w:rPr>
            <w:noProof/>
            <w:webHidden/>
          </w:rPr>
          <w:instrText xml:space="preserve"> PAGEREF _Toc300000138 \h </w:instrText>
        </w:r>
        <w:r>
          <w:rPr>
            <w:noProof/>
            <w:webHidden/>
          </w:rPr>
          <w:fldChar w:fldCharType="separate"/>
        </w:r>
        <w:r>
          <w:rPr>
            <w:noProof/>
            <w:webHidden/>
          </w:rPr>
          <w:t>683</w:t>
        </w:r>
        <w:r>
          <w:rPr>
            <w:noProof/>
            <w:webHidden/>
          </w:rPr>
          <w:fldChar w:fldCharType="end"/>
        </w:r>
      </w:hyperlink>
    </w:p>
    <w:p>
      <w:pPr>
        <w:pStyle w:val="TOC3"/>
      </w:pPr>
      <w:hyperlink w:anchor="_Toc300000139" w:history="1">
        <w:r>
          <w:rPr>
            <w:noProof/>
          </w:rPr>
          <w:t xml:space="preserve">Section XI - Textiles and Textile Articles (Chapter 50-63)</w:t>
        </w:r>
        <w:r>
          <w:rPr>
            <w:noProof/>
            <w:webHidden/>
          </w:rPr>
          <w:tab/>
        </w:r>
        <w:r>
          <w:rPr>
            <w:noProof/>
            <w:webHidden/>
          </w:rPr>
          <w:fldChar w:fldCharType="begin"/>
        </w:r>
        <w:r>
          <w:rPr>
            <w:noProof/>
            <w:webHidden/>
          </w:rPr>
          <w:instrText xml:space="preserve"> PAGEREF _Toc300000139 \h </w:instrText>
        </w:r>
        <w:r>
          <w:rPr>
            <w:noProof/>
            <w:webHidden/>
          </w:rPr>
          <w:fldChar w:fldCharType="separate"/>
        </w:r>
        <w:r>
          <w:rPr>
            <w:noProof/>
            <w:webHidden/>
          </w:rPr>
          <w:t>685</w:t>
        </w:r>
        <w:r>
          <w:rPr>
            <w:noProof/>
            <w:webHidden/>
          </w:rPr>
          <w:fldChar w:fldCharType="end"/>
        </w:r>
      </w:hyperlink>
    </w:p>
    <w:p>
      <w:pPr>
        <w:pStyle w:val="TOC3"/>
      </w:pPr>
      <w:hyperlink w:anchor="_Toc300000140" w:history="1">
        <w:r>
          <w:rPr>
            <w:noProof/>
          </w:rPr>
          <w:t xml:space="preserve">Section XII - Footwear, Headgear, Umbrellas, Sun Umbrellas, Walking-Sticks, Seat-Sticks, Whips, Riding-Crops and Parts Thereof; Prepared Feathers and Articles Made Therewith; Artificial Flowers; Articles of Human Hair (Chapter 64-67)</w:t>
        </w:r>
        <w:r>
          <w:rPr>
            <w:noProof/>
            <w:webHidden/>
          </w:rPr>
          <w:tab/>
        </w:r>
        <w:r>
          <w:rPr>
            <w:noProof/>
            <w:webHidden/>
          </w:rPr>
          <w:fldChar w:fldCharType="begin"/>
        </w:r>
        <w:r>
          <w:rPr>
            <w:noProof/>
            <w:webHidden/>
          </w:rPr>
          <w:instrText xml:space="preserve"> PAGEREF _Toc300000140 \h </w:instrText>
        </w:r>
        <w:r>
          <w:rPr>
            <w:noProof/>
            <w:webHidden/>
          </w:rPr>
          <w:fldChar w:fldCharType="separate"/>
        </w:r>
        <w:r>
          <w:rPr>
            <w:noProof/>
            <w:webHidden/>
          </w:rPr>
          <w:t>697</w:t>
        </w:r>
        <w:r>
          <w:rPr>
            <w:noProof/>
            <w:webHidden/>
          </w:rPr>
          <w:fldChar w:fldCharType="end"/>
        </w:r>
      </w:hyperlink>
    </w:p>
    <w:p>
      <w:pPr>
        <w:pStyle w:val="TOC3"/>
      </w:pPr>
      <w:hyperlink w:anchor="_Toc300000141" w:history="1">
        <w:r>
          <w:rPr>
            <w:noProof/>
          </w:rPr>
          <w:t xml:space="preserve">Section XIII - Articles of Stone, Plaster, Cement, Asbestos, Mica or Similar Materials; Ceramic Products; Glass and Glassware (Chapter 68-70)</w:t>
        </w:r>
        <w:r>
          <w:rPr>
            <w:noProof/>
            <w:webHidden/>
          </w:rPr>
          <w:tab/>
        </w:r>
        <w:r>
          <w:rPr>
            <w:noProof/>
            <w:webHidden/>
          </w:rPr>
          <w:fldChar w:fldCharType="begin"/>
        </w:r>
        <w:r>
          <w:rPr>
            <w:noProof/>
            <w:webHidden/>
          </w:rPr>
          <w:instrText xml:space="preserve"> PAGEREF _Toc300000141 \h </w:instrText>
        </w:r>
        <w:r>
          <w:rPr>
            <w:noProof/>
            <w:webHidden/>
          </w:rPr>
          <w:fldChar w:fldCharType="separate"/>
        </w:r>
        <w:r>
          <w:rPr>
            <w:noProof/>
            <w:webHidden/>
          </w:rPr>
          <w:t>697</w:t>
        </w:r>
        <w:r>
          <w:rPr>
            <w:noProof/>
            <w:webHidden/>
          </w:rPr>
          <w:fldChar w:fldCharType="end"/>
        </w:r>
      </w:hyperlink>
    </w:p>
    <w:p>
      <w:pPr>
        <w:pStyle w:val="TOC3"/>
      </w:pPr>
      <w:hyperlink w:anchor="_Toc300000142" w:history="1">
        <w:r>
          <w:rPr>
            <w:noProof/>
          </w:rPr>
          <w:t xml:space="preserve">Section XIV - Natural or Cultured Pearls, Precious or Semi-precious Stones, Precious Metals, Metals Clad with Precious Metal, and Articles Thereof; Imitation Jewellery; Coin (Chapter 71)</w:t>
        </w:r>
        <w:r>
          <w:rPr>
            <w:noProof/>
            <w:webHidden/>
          </w:rPr>
          <w:tab/>
        </w:r>
        <w:r>
          <w:rPr>
            <w:noProof/>
            <w:webHidden/>
          </w:rPr>
          <w:fldChar w:fldCharType="begin"/>
        </w:r>
        <w:r>
          <w:rPr>
            <w:noProof/>
            <w:webHidden/>
          </w:rPr>
          <w:instrText xml:space="preserve"> PAGEREF _Toc300000142 \h </w:instrText>
        </w:r>
        <w:r>
          <w:rPr>
            <w:noProof/>
            <w:webHidden/>
          </w:rPr>
          <w:fldChar w:fldCharType="separate"/>
        </w:r>
        <w:r>
          <w:rPr>
            <w:noProof/>
            <w:webHidden/>
          </w:rPr>
          <w:t>699</w:t>
        </w:r>
        <w:r>
          <w:rPr>
            <w:noProof/>
            <w:webHidden/>
          </w:rPr>
          <w:fldChar w:fldCharType="end"/>
        </w:r>
      </w:hyperlink>
    </w:p>
    <w:p>
      <w:pPr>
        <w:pStyle w:val="TOC3"/>
      </w:pPr>
      <w:hyperlink w:anchor="_Toc300000143" w:history="1">
        <w:r>
          <w:rPr>
            <w:noProof/>
          </w:rPr>
          <w:t xml:space="preserve">Section XV - Base Metals and Articles of Base Metal (Chapter 72-83)</w:t>
        </w:r>
        <w:r>
          <w:rPr>
            <w:noProof/>
            <w:webHidden/>
          </w:rPr>
          <w:tab/>
        </w:r>
        <w:r>
          <w:rPr>
            <w:noProof/>
            <w:webHidden/>
          </w:rPr>
          <w:fldChar w:fldCharType="begin"/>
        </w:r>
        <w:r>
          <w:rPr>
            <w:noProof/>
            <w:webHidden/>
          </w:rPr>
          <w:instrText xml:space="preserve"> PAGEREF _Toc300000143 \h </w:instrText>
        </w:r>
        <w:r>
          <w:rPr>
            <w:noProof/>
            <w:webHidden/>
          </w:rPr>
          <w:fldChar w:fldCharType="separate"/>
        </w:r>
        <w:r>
          <w:rPr>
            <w:noProof/>
            <w:webHidden/>
          </w:rPr>
          <w:t>699</w:t>
        </w:r>
        <w:r>
          <w:rPr>
            <w:noProof/>
            <w:webHidden/>
          </w:rPr>
          <w:fldChar w:fldCharType="end"/>
        </w:r>
      </w:hyperlink>
    </w:p>
    <w:p>
      <w:pPr>
        <w:pStyle w:val="TOC3"/>
      </w:pPr>
      <w:hyperlink w:anchor="_Toc300000144" w:history="1">
        <w:r>
          <w:rPr>
            <w:noProof/>
          </w:rPr>
          <w:t xml:space="preserve">Section XVI - Machinery and Mechanical Appliances; Electrical Equipment; Parts Thereof; Sound Recorders and Reproducers, Television Image and Sound Recorders and Reproducers, and Parts and Accessories of Such Articles (Chapter 84-85)</w:t>
        </w:r>
        <w:r>
          <w:rPr>
            <w:noProof/>
            <w:webHidden/>
          </w:rPr>
          <w:tab/>
        </w:r>
        <w:r>
          <w:rPr>
            <w:noProof/>
            <w:webHidden/>
          </w:rPr>
          <w:fldChar w:fldCharType="begin"/>
        </w:r>
        <w:r>
          <w:rPr>
            <w:noProof/>
            <w:webHidden/>
          </w:rPr>
          <w:instrText xml:space="preserve"> PAGEREF _Toc300000144 \h </w:instrText>
        </w:r>
        <w:r>
          <w:rPr>
            <w:noProof/>
            <w:webHidden/>
          </w:rPr>
          <w:fldChar w:fldCharType="separate"/>
        </w:r>
        <w:r>
          <w:rPr>
            <w:noProof/>
            <w:webHidden/>
          </w:rPr>
          <w:t>709</w:t>
        </w:r>
        <w:r>
          <w:rPr>
            <w:noProof/>
            <w:webHidden/>
          </w:rPr>
          <w:fldChar w:fldCharType="end"/>
        </w:r>
      </w:hyperlink>
    </w:p>
    <w:p>
      <w:pPr>
        <w:pStyle w:val="TOC3"/>
      </w:pPr>
      <w:hyperlink w:anchor="_Toc300000145" w:history="1">
        <w:r>
          <w:rPr>
            <w:noProof/>
          </w:rPr>
          <w:t xml:space="preserve">Section XVII - Vehicles, Aircraft, Vessels and Associated Transport Equipment (Chapter 86-89)</w:t>
        </w:r>
        <w:r>
          <w:rPr>
            <w:noProof/>
            <w:webHidden/>
          </w:rPr>
          <w:tab/>
        </w:r>
        <w:r>
          <w:rPr>
            <w:noProof/>
            <w:webHidden/>
          </w:rPr>
          <w:fldChar w:fldCharType="begin"/>
        </w:r>
        <w:r>
          <w:rPr>
            <w:noProof/>
            <w:webHidden/>
          </w:rPr>
          <w:instrText xml:space="preserve"> PAGEREF _Toc300000145 \h </w:instrText>
        </w:r>
        <w:r>
          <w:rPr>
            <w:noProof/>
            <w:webHidden/>
          </w:rPr>
          <w:fldChar w:fldCharType="separate"/>
        </w:r>
        <w:r>
          <w:rPr>
            <w:noProof/>
            <w:webHidden/>
          </w:rPr>
          <w:t>740</w:t>
        </w:r>
        <w:r>
          <w:rPr>
            <w:noProof/>
            <w:webHidden/>
          </w:rPr>
          <w:fldChar w:fldCharType="end"/>
        </w:r>
      </w:hyperlink>
    </w:p>
    <w:p>
      <w:pPr>
        <w:pStyle w:val="TOC3"/>
      </w:pPr>
      <w:hyperlink w:anchor="_Toc300000146" w:history="1">
        <w:r>
          <w:rPr>
            <w:noProof/>
          </w:rPr>
          <w:t xml:space="preserve">Section XVIII- Optical, Photographic, Cinematographic, Measuring, Checking, Precision, Medical or Surgical Instruments and Apparatus; Clocks and Watches; Musical Instruments; Parts and Accessories Thereof (Chapter 90-92)</w:t>
        </w:r>
        <w:r>
          <w:rPr>
            <w:noProof/>
            <w:webHidden/>
          </w:rPr>
          <w:tab/>
        </w:r>
        <w:r>
          <w:rPr>
            <w:noProof/>
            <w:webHidden/>
          </w:rPr>
          <w:fldChar w:fldCharType="begin"/>
        </w:r>
        <w:r>
          <w:rPr>
            <w:noProof/>
            <w:webHidden/>
          </w:rPr>
          <w:instrText xml:space="preserve"> PAGEREF _Toc300000146 \h </w:instrText>
        </w:r>
        <w:r>
          <w:rPr>
            <w:noProof/>
            <w:webHidden/>
          </w:rPr>
          <w:fldChar w:fldCharType="separate"/>
        </w:r>
        <w:r>
          <w:rPr>
            <w:noProof/>
            <w:webHidden/>
          </w:rPr>
          <w:t>743</w:t>
        </w:r>
        <w:r>
          <w:rPr>
            <w:noProof/>
            <w:webHidden/>
          </w:rPr>
          <w:fldChar w:fldCharType="end"/>
        </w:r>
      </w:hyperlink>
    </w:p>
    <w:p>
      <w:pPr>
        <w:pStyle w:val="TOC3"/>
      </w:pPr>
      <w:hyperlink w:anchor="_Toc300000147" w:history="1">
        <w:r>
          <w:rPr>
            <w:noProof/>
          </w:rPr>
          <w:t xml:space="preserve">Section XIX - Arms and Ammunition; Parts and Accessories Thereof (Chapter 93)</w:t>
        </w:r>
        <w:r>
          <w:rPr>
            <w:noProof/>
            <w:webHidden/>
          </w:rPr>
          <w:tab/>
        </w:r>
        <w:r>
          <w:rPr>
            <w:noProof/>
            <w:webHidden/>
          </w:rPr>
          <w:fldChar w:fldCharType="begin"/>
        </w:r>
        <w:r>
          <w:rPr>
            <w:noProof/>
            <w:webHidden/>
          </w:rPr>
          <w:instrText xml:space="preserve"> PAGEREF _Toc300000147 \h </w:instrText>
        </w:r>
        <w:r>
          <w:rPr>
            <w:noProof/>
            <w:webHidden/>
          </w:rPr>
          <w:fldChar w:fldCharType="separate"/>
        </w:r>
        <w:r>
          <w:rPr>
            <w:noProof/>
            <w:webHidden/>
          </w:rPr>
          <w:t>750</w:t>
        </w:r>
        <w:r>
          <w:rPr>
            <w:noProof/>
            <w:webHidden/>
          </w:rPr>
          <w:fldChar w:fldCharType="end"/>
        </w:r>
      </w:hyperlink>
    </w:p>
    <w:p>
      <w:pPr>
        <w:pStyle w:val="TOC3"/>
      </w:pPr>
      <w:hyperlink w:anchor="_Toc300000148" w:history="1">
        <w:r>
          <w:rPr>
            <w:noProof/>
          </w:rPr>
          <w:t xml:space="preserve">Section XX - Miscellaneous Manufactured Articles (Chapter 94-96)</w:t>
        </w:r>
        <w:r>
          <w:rPr>
            <w:noProof/>
            <w:webHidden/>
          </w:rPr>
          <w:tab/>
        </w:r>
        <w:r>
          <w:rPr>
            <w:noProof/>
            <w:webHidden/>
          </w:rPr>
          <w:fldChar w:fldCharType="begin"/>
        </w:r>
        <w:r>
          <w:rPr>
            <w:noProof/>
            <w:webHidden/>
          </w:rPr>
          <w:instrText xml:space="preserve"> PAGEREF _Toc300000148 \h </w:instrText>
        </w:r>
        <w:r>
          <w:rPr>
            <w:noProof/>
            <w:webHidden/>
          </w:rPr>
          <w:fldChar w:fldCharType="separate"/>
        </w:r>
        <w:r>
          <w:rPr>
            <w:noProof/>
            <w:webHidden/>
          </w:rPr>
          <w:t>750</w:t>
        </w:r>
        <w:r>
          <w:rPr>
            <w:noProof/>
            <w:webHidden/>
          </w:rPr>
          <w:fldChar w:fldCharType="end"/>
        </w:r>
      </w:hyperlink>
    </w:p>
    <w:p>
      <w:pPr>
        <w:pStyle w:val="TOC3"/>
      </w:pPr>
      <w:hyperlink w:anchor="_Toc300000149" w:history="1">
        <w:r>
          <w:rPr>
            <w:noProof/>
          </w:rPr>
          <w:t xml:space="preserve">Section XXI - Works of Art, Collectors’ Pieces and Antiques</w:t>
        </w:r>
        <w:r>
          <w:rPr>
            <w:noProof/>
            <w:webHidden/>
          </w:rPr>
          <w:tab/>
        </w:r>
        <w:r>
          <w:rPr>
            <w:noProof/>
            <w:webHidden/>
          </w:rPr>
          <w:fldChar w:fldCharType="begin"/>
        </w:r>
        <w:r>
          <w:rPr>
            <w:noProof/>
            <w:webHidden/>
          </w:rPr>
          <w:instrText xml:space="preserve"> PAGEREF _Toc300000149 \h </w:instrText>
        </w:r>
        <w:r>
          <w:rPr>
            <w:noProof/>
            <w:webHidden/>
          </w:rPr>
          <w:fldChar w:fldCharType="separate"/>
        </w:r>
        <w:r>
          <w:rPr>
            <w:noProof/>
            <w:webHidden/>
          </w:rPr>
          <w:t>753</w:t>
        </w:r>
        <w:r>
          <w:rPr>
            <w:noProof/>
            <w:webHidden/>
          </w:rPr>
          <w:fldChar w:fldCharType="end"/>
        </w:r>
      </w:hyperlink>
    </w:p>
    <w:p>
      <w:pPr>
        <w:pStyle w:val="TOC3"/>
      </w:pPr>
      <w:hyperlink w:anchor="_Toc300000150" w:history="1">
        <w:r>
          <w:rPr>
            <w:noProof/>
          </w:rPr>
          <w:t xml:space="preserve">Section C: Revised Tariff Items (HS 2012)</w:t>
        </w:r>
        <w:r>
          <w:rPr>
            <w:noProof/>
            <w:webHidden/>
          </w:rPr>
          <w:tab/>
        </w:r>
        <w:r>
          <w:rPr>
            <w:noProof/>
            <w:webHidden/>
          </w:rPr>
          <w:fldChar w:fldCharType="begin"/>
        </w:r>
        <w:r>
          <w:rPr>
            <w:noProof/>
            <w:webHidden/>
          </w:rPr>
          <w:instrText xml:space="preserve"> PAGEREF _Toc300000150 \h </w:instrText>
        </w:r>
        <w:r>
          <w:rPr>
            <w:noProof/>
            <w:webHidden/>
          </w:rPr>
          <w:fldChar w:fldCharType="separate"/>
        </w:r>
        <w:r>
          <w:rPr>
            <w:noProof/>
            <w:webHidden/>
          </w:rPr>
          <w:t>753</w:t>
        </w:r>
        <w:r>
          <w:rPr>
            <w:noProof/>
            <w:webHidden/>
          </w:rPr>
          <w:fldChar w:fldCharType="end"/>
        </w:r>
      </w:hyperlink>
    </w:p>
    <w:p>
      <w:pPr>
        <w:pStyle w:val="TOC2"/>
      </w:pPr>
      <w:hyperlink w:anchor="_Toc300000151" w:history="1">
        <w:r>
          <w:rPr>
            <w:noProof/>
          </w:rPr>
          <w:t xml:space="preserve">APPENDIX PROVISIONS RELATED TO THE PRODUCT-SPECIFIC RULES OF ORIGIN FOR AUTOMOTIVE GOODS</w:t>
        </w:r>
        <w:r>
          <w:rPr>
            <w:noProof/>
            <w:webHidden/>
          </w:rPr>
          <w:tab/>
        </w:r>
        <w:r>
          <w:rPr>
            <w:noProof/>
            <w:webHidden/>
          </w:rPr>
          <w:fldChar w:fldCharType="begin"/>
        </w:r>
        <w:r>
          <w:rPr>
            <w:noProof/>
            <w:webHidden/>
          </w:rPr>
          <w:instrText xml:space="preserve"> PAGEREF _Toc300000151 \h </w:instrText>
        </w:r>
        <w:r>
          <w:rPr>
            <w:noProof/>
            <w:webHidden/>
          </w:rPr>
          <w:fldChar w:fldCharType="separate"/>
        </w:r>
        <w:r>
          <w:rPr>
            <w:noProof/>
            <w:webHidden/>
          </w:rPr>
          <w:t>758</w:t>
        </w:r>
        <w:r>
          <w:rPr>
            <w:noProof/>
            <w:webHidden/>
          </w:rPr>
          <w:fldChar w:fldCharType="end"/>
        </w:r>
      </w:hyperlink>
    </w:p>
    <w:p>
      <w:pPr>
        <w:pStyle w:val="TOC2"/>
      </w:pPr>
      <w:hyperlink w:anchor="_Toc300000152" w:history="1">
        <w:r>
          <w:rPr>
            <w:noProof/>
          </w:rPr>
          <w:t xml:space="preserve">Article 1: Definitions</w:t>
        </w:r>
        <w:r>
          <w:rPr>
            <w:noProof/>
            <w:webHidden/>
          </w:rPr>
          <w:tab/>
        </w:r>
        <w:r>
          <w:rPr>
            <w:noProof/>
            <w:webHidden/>
          </w:rPr>
          <w:fldChar w:fldCharType="begin"/>
        </w:r>
        <w:r>
          <w:rPr>
            <w:noProof/>
            <w:webHidden/>
          </w:rPr>
          <w:instrText xml:space="preserve"> PAGEREF _Toc300000152 \h </w:instrText>
        </w:r>
        <w:r>
          <w:rPr>
            <w:noProof/>
            <w:webHidden/>
          </w:rPr>
          <w:fldChar w:fldCharType="separate"/>
        </w:r>
        <w:r>
          <w:rPr>
            <w:noProof/>
            <w:webHidden/>
          </w:rPr>
          <w:t>758</w:t>
        </w:r>
        <w:r>
          <w:rPr>
            <w:noProof/>
            <w:webHidden/>
          </w:rPr>
          <w:fldChar w:fldCharType="end"/>
        </w:r>
      </w:hyperlink>
    </w:p>
    <w:p>
      <w:pPr>
        <w:pStyle w:val="TOC2"/>
      </w:pPr>
      <w:hyperlink w:anchor="_Toc300000153" w:history="1">
        <w:r>
          <w:rPr>
            <w:noProof/>
          </w:rPr>
          <w:t xml:space="preserve">Article 2: Product-Specific Rules of Origin for Vehicles</w:t>
        </w:r>
        <w:r>
          <w:rPr>
            <w:noProof/>
            <w:webHidden/>
          </w:rPr>
          <w:tab/>
        </w:r>
        <w:r>
          <w:rPr>
            <w:noProof/>
            <w:webHidden/>
          </w:rPr>
          <w:fldChar w:fldCharType="begin"/>
        </w:r>
        <w:r>
          <w:rPr>
            <w:noProof/>
            <w:webHidden/>
          </w:rPr>
          <w:instrText xml:space="preserve"> PAGEREF _Toc300000153 \h </w:instrText>
        </w:r>
        <w:r>
          <w:rPr>
            <w:noProof/>
            <w:webHidden/>
          </w:rPr>
          <w:fldChar w:fldCharType="separate"/>
        </w:r>
        <w:r>
          <w:rPr>
            <w:noProof/>
            <w:webHidden/>
          </w:rPr>
          <w:t>759</w:t>
        </w:r>
        <w:r>
          <w:rPr>
            <w:noProof/>
            <w:webHidden/>
          </w:rPr>
          <w:fldChar w:fldCharType="end"/>
        </w:r>
      </w:hyperlink>
    </w:p>
    <w:p>
      <w:pPr>
        <w:pStyle w:val="TOC2"/>
      </w:pPr>
      <w:hyperlink w:anchor="_Toc300000154" w:history="1">
        <w:r>
          <w:rPr>
            <w:noProof/>
          </w:rPr>
          <w:t xml:space="preserve">Article 3: Regional Value Content for Passenger Vehicles, Light Trucks, and Parts Thereof</w:t>
        </w:r>
        <w:r>
          <w:rPr>
            <w:noProof/>
            <w:webHidden/>
          </w:rPr>
          <w:tab/>
        </w:r>
        <w:r>
          <w:rPr>
            <w:noProof/>
            <w:webHidden/>
          </w:rPr>
          <w:fldChar w:fldCharType="begin"/>
        </w:r>
        <w:r>
          <w:rPr>
            <w:noProof/>
            <w:webHidden/>
          </w:rPr>
          <w:instrText xml:space="preserve"> PAGEREF _Toc300000154 \h </w:instrText>
        </w:r>
        <w:r>
          <w:rPr>
            <w:noProof/>
            <w:webHidden/>
          </w:rPr>
          <w:fldChar w:fldCharType="separate"/>
        </w:r>
        <w:r>
          <w:rPr>
            <w:noProof/>
            <w:webHidden/>
          </w:rPr>
          <w:t>768</w:t>
        </w:r>
        <w:r>
          <w:rPr>
            <w:noProof/>
            <w:webHidden/>
          </w:rPr>
          <w:fldChar w:fldCharType="end"/>
        </w:r>
      </w:hyperlink>
    </w:p>
    <w:p>
      <w:pPr>
        <w:pStyle w:val="TOC2"/>
      </w:pPr>
      <w:hyperlink w:anchor="_Toc300000155" w:history="1">
        <w:r>
          <w:rPr>
            <w:noProof/>
          </w:rPr>
          <w:t xml:space="preserve">Article 4: Regional Value Content for Heavy Trucks and Parts Thereof</w:t>
        </w:r>
        <w:r>
          <w:rPr>
            <w:noProof/>
            <w:webHidden/>
          </w:rPr>
          <w:tab/>
        </w:r>
        <w:r>
          <w:rPr>
            <w:noProof/>
            <w:webHidden/>
          </w:rPr>
          <w:fldChar w:fldCharType="begin"/>
        </w:r>
        <w:r>
          <w:rPr>
            <w:noProof/>
            <w:webHidden/>
          </w:rPr>
          <w:instrText xml:space="preserve"> PAGEREF _Toc300000155 \h </w:instrText>
        </w:r>
        <w:r>
          <w:rPr>
            <w:noProof/>
            <w:webHidden/>
          </w:rPr>
          <w:fldChar w:fldCharType="separate"/>
        </w:r>
        <w:r>
          <w:rPr>
            <w:noProof/>
            <w:webHidden/>
          </w:rPr>
          <w:t>771</w:t>
        </w:r>
        <w:r>
          <w:rPr>
            <w:noProof/>
            <w:webHidden/>
          </w:rPr>
          <w:fldChar w:fldCharType="end"/>
        </w:r>
      </w:hyperlink>
    </w:p>
    <w:p>
      <w:pPr>
        <w:pStyle w:val="TOC2"/>
      </w:pPr>
      <w:hyperlink w:anchor="_Toc300000156" w:history="1">
        <w:r>
          <w:rPr>
            <w:noProof/>
          </w:rPr>
          <w:t xml:space="preserve">Article 5: Averaging</w:t>
        </w:r>
        <w:r>
          <w:rPr>
            <w:noProof/>
            <w:webHidden/>
          </w:rPr>
          <w:tab/>
        </w:r>
        <w:r>
          <w:rPr>
            <w:noProof/>
            <w:webHidden/>
          </w:rPr>
          <w:fldChar w:fldCharType="begin"/>
        </w:r>
        <w:r>
          <w:rPr>
            <w:noProof/>
            <w:webHidden/>
          </w:rPr>
          <w:instrText xml:space="preserve"> PAGEREF _Toc300000156 \h </w:instrText>
        </w:r>
        <w:r>
          <w:rPr>
            <w:noProof/>
            <w:webHidden/>
          </w:rPr>
          <w:fldChar w:fldCharType="separate"/>
        </w:r>
        <w:r>
          <w:rPr>
            <w:noProof/>
            <w:webHidden/>
          </w:rPr>
          <w:t>772</w:t>
        </w:r>
        <w:r>
          <w:rPr>
            <w:noProof/>
            <w:webHidden/>
          </w:rPr>
          <w:fldChar w:fldCharType="end"/>
        </w:r>
      </w:hyperlink>
    </w:p>
    <w:p>
      <w:pPr>
        <w:pStyle w:val="TOC2"/>
      </w:pPr>
      <w:hyperlink w:anchor="_Toc300000157" w:history="1">
        <w:r>
          <w:rPr>
            <w:noProof/>
          </w:rPr>
          <w:t xml:space="preserve">Article 6: Steel and Aluminum</w:t>
        </w:r>
        <w:r>
          <w:rPr>
            <w:noProof/>
            <w:webHidden/>
          </w:rPr>
          <w:tab/>
        </w:r>
        <w:r>
          <w:rPr>
            <w:noProof/>
            <w:webHidden/>
          </w:rPr>
          <w:fldChar w:fldCharType="begin"/>
        </w:r>
        <w:r>
          <w:rPr>
            <w:noProof/>
            <w:webHidden/>
          </w:rPr>
          <w:instrText xml:space="preserve"> PAGEREF _Toc300000157 \h </w:instrText>
        </w:r>
        <w:r>
          <w:rPr>
            <w:noProof/>
            <w:webHidden/>
          </w:rPr>
          <w:fldChar w:fldCharType="separate"/>
        </w:r>
        <w:r>
          <w:rPr>
            <w:noProof/>
            <w:webHidden/>
          </w:rPr>
          <w:t>772</w:t>
        </w:r>
        <w:r>
          <w:rPr>
            <w:noProof/>
            <w:webHidden/>
          </w:rPr>
          <w:fldChar w:fldCharType="end"/>
        </w:r>
      </w:hyperlink>
    </w:p>
    <w:p>
      <w:pPr>
        <w:pStyle w:val="TOC2"/>
      </w:pPr>
      <w:hyperlink w:anchor="_Toc300000158" w:history="1">
        <w:r>
          <w:rPr>
            <w:noProof/>
          </w:rPr>
          <w:t xml:space="preserve">Article 7: North American Automotive Workforce Advancement Standard</w:t>
        </w:r>
        <w:r>
          <w:rPr>
            <w:noProof/>
            <w:webHidden/>
          </w:rPr>
          <w:tab/>
        </w:r>
        <w:r>
          <w:rPr>
            <w:noProof/>
            <w:webHidden/>
          </w:rPr>
          <w:fldChar w:fldCharType="begin"/>
        </w:r>
        <w:r>
          <w:rPr>
            <w:noProof/>
            <w:webHidden/>
          </w:rPr>
          <w:instrText xml:space="preserve"> PAGEREF _Toc300000158 \h </w:instrText>
        </w:r>
        <w:r>
          <w:rPr>
            <w:noProof/>
            <w:webHidden/>
          </w:rPr>
          <w:fldChar w:fldCharType="separate"/>
        </w:r>
        <w:r>
          <w:rPr>
            <w:noProof/>
            <w:webHidden/>
          </w:rPr>
          <w:t>773</w:t>
        </w:r>
        <w:r>
          <w:rPr>
            <w:noProof/>
            <w:webHidden/>
          </w:rPr>
          <w:fldChar w:fldCharType="end"/>
        </w:r>
      </w:hyperlink>
    </w:p>
    <w:p>
      <w:pPr>
        <w:pStyle w:val="TOC2"/>
      </w:pPr>
      <w:hyperlink w:anchor="_Toc300000159" w:history="1">
        <w:r>
          <w:rPr>
            <w:noProof/>
          </w:rPr>
          <w:t xml:space="preserve">Article 8: Transitions</w:t>
        </w:r>
        <w:r>
          <w:rPr>
            <w:noProof/>
            <w:webHidden/>
          </w:rPr>
          <w:tab/>
        </w:r>
        <w:r>
          <w:rPr>
            <w:noProof/>
            <w:webHidden/>
          </w:rPr>
          <w:fldChar w:fldCharType="begin"/>
        </w:r>
        <w:r>
          <w:rPr>
            <w:noProof/>
            <w:webHidden/>
          </w:rPr>
          <w:instrText xml:space="preserve"> PAGEREF _Toc300000159 \h </w:instrText>
        </w:r>
        <w:r>
          <w:rPr>
            <w:noProof/>
            <w:webHidden/>
          </w:rPr>
          <w:fldChar w:fldCharType="separate"/>
        </w:r>
        <w:r>
          <w:rPr>
            <w:noProof/>
            <w:webHidden/>
          </w:rPr>
          <w:t>775</w:t>
        </w:r>
        <w:r>
          <w:rPr>
            <w:noProof/>
            <w:webHidden/>
          </w:rPr>
          <w:fldChar w:fldCharType="end"/>
        </w:r>
      </w:hyperlink>
    </w:p>
    <w:p>
      <w:pPr>
        <w:pStyle w:val="TOC2"/>
      </w:pPr>
      <w:hyperlink w:anchor="_Toc300000160" w:history="1">
        <w:r>
          <w:rPr>
            <w:noProof/>
          </w:rPr>
          <w:t xml:space="preserve">Article 9: Review and Transitional Arrangements</w:t>
        </w:r>
        <w:r>
          <w:rPr>
            <w:noProof/>
            <w:webHidden/>
          </w:rPr>
          <w:tab/>
        </w:r>
        <w:r>
          <w:rPr>
            <w:noProof/>
            <w:webHidden/>
          </w:rPr>
          <w:fldChar w:fldCharType="begin"/>
        </w:r>
        <w:r>
          <w:rPr>
            <w:noProof/>
            <w:webHidden/>
          </w:rPr>
          <w:instrText xml:space="preserve"> PAGEREF _Toc300000160 \h </w:instrText>
        </w:r>
        <w:r>
          <w:rPr>
            <w:noProof/>
            <w:webHidden/>
          </w:rPr>
          <w:fldChar w:fldCharType="separate"/>
        </w:r>
        <w:r>
          <w:rPr>
            <w:noProof/>
            <w:webHidden/>
          </w:rPr>
          <w:t>776</w:t>
        </w:r>
        <w:r>
          <w:rPr>
            <w:noProof/>
            <w:webHidden/>
          </w:rPr>
          <w:fldChar w:fldCharType="end"/>
        </w:r>
      </w:hyperlink>
    </w:p>
    <w:p>
      <w:pPr>
        <w:pStyle w:val="TOC2"/>
      </w:pPr>
      <w:hyperlink w:anchor="_Toc300000161" w:history="1">
        <w:r>
          <w:rPr>
            <w:noProof/>
          </w:rPr>
          <w:t xml:space="preserve">Article 10: Regional Value Content for Other Vehicles</w:t>
        </w:r>
        <w:r>
          <w:rPr>
            <w:noProof/>
            <w:webHidden/>
          </w:rPr>
          <w:tab/>
        </w:r>
        <w:r>
          <w:rPr>
            <w:noProof/>
            <w:webHidden/>
          </w:rPr>
          <w:fldChar w:fldCharType="begin"/>
        </w:r>
        <w:r>
          <w:rPr>
            <w:noProof/>
            <w:webHidden/>
          </w:rPr>
          <w:instrText xml:space="preserve"> PAGEREF _Toc300000161 \h </w:instrText>
        </w:r>
        <w:r>
          <w:rPr>
            <w:noProof/>
            <w:webHidden/>
          </w:rPr>
          <w:fldChar w:fldCharType="separate"/>
        </w:r>
        <w:r>
          <w:rPr>
            <w:noProof/>
            <w:webHidden/>
          </w:rPr>
          <w:t>777</w:t>
        </w:r>
        <w:r>
          <w:rPr>
            <w:noProof/>
            <w:webHidden/>
          </w:rPr>
          <w:fldChar w:fldCharType="end"/>
        </w:r>
      </w:hyperlink>
    </w:p>
    <w:p>
      <w:pPr>
        <w:pStyle w:val="TOC2"/>
      </w:pPr>
      <w:hyperlink w:anchor="_Toc300000162" w:history="1">
        <w:r>
          <w:rPr>
            <w:noProof/>
          </w:rPr>
          <w:t xml:space="preserve">CHAPTER 4: CUSMA 2.0 MODERNIZATION PROVISIONS</w:t>
        </w:r>
        <w:r>
          <w:rPr>
            <w:noProof/>
            <w:webHidden/>
          </w:rPr>
          <w:tab/>
        </w:r>
        <w:r>
          <w:rPr>
            <w:noProof/>
            <w:webHidden/>
          </w:rPr>
          <w:fldChar w:fldCharType="begin"/>
        </w:r>
        <w:r>
          <w:rPr>
            <w:noProof/>
            <w:webHidden/>
          </w:rPr>
          <w:instrText xml:space="preserve"> PAGEREF _Toc300000162 \h </w:instrText>
        </w:r>
        <w:r>
          <w:rPr>
            <w:noProof/>
            <w:webHidden/>
          </w:rPr>
          <w:fldChar w:fldCharType="separate"/>
        </w:r>
        <w:r>
          <w:rPr>
            <w:noProof/>
            <w:webHidden/>
          </w:rPr>
          <w:t>787</w:t>
        </w:r>
        <w:r>
          <w:rPr>
            <w:noProof/>
            <w:webHidden/>
          </w:rPr>
          <w:fldChar w:fldCharType="end"/>
        </w:r>
      </w:hyperlink>
    </w:p>
    <w:p>
      <w:pPr>
        <w:pStyle w:val="TOC2"/>
      </w:pPr>
      <w:hyperlink w:anchor="_Toc300000163" w:history="1">
        <w:r>
          <w:rPr>
            <w:noProof/>
          </w:rPr>
          <w:t xml:space="preserve">Article 4.A: Modernized General Origin Provisions</w:t>
        </w:r>
        <w:r>
          <w:rPr>
            <w:noProof/>
            <w:webHidden/>
          </w:rPr>
          <w:tab/>
        </w:r>
        <w:r>
          <w:rPr>
            <w:noProof/>
            <w:webHidden/>
          </w:rPr>
          <w:fldChar w:fldCharType="begin"/>
        </w:r>
        <w:r>
          <w:rPr>
            <w:noProof/>
            <w:webHidden/>
          </w:rPr>
          <w:instrText xml:space="preserve"> PAGEREF _Toc300000163 \h </w:instrText>
        </w:r>
        <w:r>
          <w:rPr>
            <w:noProof/>
            <w:webHidden/>
          </w:rPr>
          <w:fldChar w:fldCharType="separate"/>
        </w:r>
        <w:r>
          <w:rPr>
            <w:noProof/>
            <w:webHidden/>
          </w:rPr>
          <w:t>788</w:t>
        </w:r>
        <w:r>
          <w:rPr>
            <w:noProof/>
            <w:webHidden/>
          </w:rPr>
          <w:fldChar w:fldCharType="end"/>
        </w:r>
      </w:hyperlink>
    </w:p>
    <w:p>
      <w:pPr>
        <w:pStyle w:val="TOC2"/>
      </w:pPr>
      <w:hyperlink w:anchor="_Toc300000164" w:history="1">
        <w:r>
          <w:rPr>
            <w:noProof/>
          </w:rPr>
          <w:t xml:space="preserve">Article 4.A.1: North American Origin as the Organizing Concept</w:t>
        </w:r>
        <w:r>
          <w:rPr>
            <w:noProof/>
            <w:webHidden/>
          </w:rPr>
          <w:tab/>
        </w:r>
        <w:r>
          <w:rPr>
            <w:noProof/>
            <w:webHidden/>
          </w:rPr>
          <w:fldChar w:fldCharType="begin"/>
        </w:r>
        <w:r>
          <w:rPr>
            <w:noProof/>
            <w:webHidden/>
          </w:rPr>
          <w:instrText xml:space="preserve"> PAGEREF _Toc300000164 \h </w:instrText>
        </w:r>
        <w:r>
          <w:rPr>
            <w:noProof/>
            <w:webHidden/>
          </w:rPr>
          <w:fldChar w:fldCharType="separate"/>
        </w:r>
        <w:r>
          <w:rPr>
            <w:noProof/>
            <w:webHidden/>
          </w:rPr>
          <w:t>788</w:t>
        </w:r>
        <w:r>
          <w:rPr>
            <w:noProof/>
            <w:webHidden/>
          </w:rPr>
          <w:fldChar w:fldCharType="end"/>
        </w:r>
      </w:hyperlink>
    </w:p>
    <w:p>
      <w:pPr>
        <w:pStyle w:val="TOC2"/>
      </w:pPr>
      <w:hyperlink w:anchor="_Toc300000165" w:history="1">
        <w:r>
          <w:rPr>
            <w:noProof/>
          </w:rPr>
          <w:t xml:space="preserve">Article 4.A.2: Automotive Goods, Modernized Architecture</w:t>
        </w:r>
        <w:r>
          <w:rPr>
            <w:noProof/>
            <w:webHidden/>
          </w:rPr>
          <w:tab/>
        </w:r>
        <w:r>
          <w:rPr>
            <w:noProof/>
            <w:webHidden/>
          </w:rPr>
          <w:fldChar w:fldCharType="begin"/>
        </w:r>
        <w:r>
          <w:rPr>
            <w:noProof/>
            <w:webHidden/>
          </w:rPr>
          <w:instrText xml:space="preserve"> PAGEREF _Toc300000165 \h </w:instrText>
        </w:r>
        <w:r>
          <w:rPr>
            <w:noProof/>
            <w:webHidden/>
          </w:rPr>
          <w:fldChar w:fldCharType="separate"/>
        </w:r>
        <w:r>
          <w:rPr>
            <w:noProof/>
            <w:webHidden/>
          </w:rPr>
          <w:t>788</w:t>
        </w:r>
        <w:r>
          <w:rPr>
            <w:noProof/>
            <w:webHidden/>
          </w:rPr>
          <w:fldChar w:fldCharType="end"/>
        </w:r>
      </w:hyperlink>
    </w:p>
    <w:p>
      <w:pPr>
        <w:pStyle w:val="TOC2"/>
      </w:pPr>
      <w:hyperlink w:anchor="_Toc300000166" w:history="1">
        <w:r>
          <w:rPr>
            <w:noProof/>
          </w:rPr>
          <w:t xml:space="preserve">Article 4.A.2A: Automotive Sector Worker and Community Support</w:t>
        </w:r>
        <w:r>
          <w:rPr>
            <w:noProof/>
            <w:webHidden/>
          </w:rPr>
          <w:tab/>
        </w:r>
        <w:r>
          <w:rPr>
            <w:noProof/>
            <w:webHidden/>
          </w:rPr>
          <w:fldChar w:fldCharType="begin"/>
        </w:r>
        <w:r>
          <w:rPr>
            <w:noProof/>
            <w:webHidden/>
          </w:rPr>
          <w:instrText xml:space="preserve"> PAGEREF _Toc300000166 \h </w:instrText>
        </w:r>
        <w:r>
          <w:rPr>
            <w:noProof/>
            <w:webHidden/>
          </w:rPr>
          <w:fldChar w:fldCharType="separate"/>
        </w:r>
        <w:r>
          <w:rPr>
            <w:noProof/>
            <w:webHidden/>
          </w:rPr>
          <w:t>789</w:t>
        </w:r>
        <w:r>
          <w:rPr>
            <w:noProof/>
            <w:webHidden/>
          </w:rPr>
          <w:fldChar w:fldCharType="end"/>
        </w:r>
      </w:hyperlink>
    </w:p>
    <w:p>
      <w:pPr>
        <w:pStyle w:val="TOC2"/>
      </w:pPr>
      <w:hyperlink w:anchor="_Toc300000167" w:history="1">
        <w:r>
          <w:rPr>
            <w:noProof/>
          </w:rPr>
          <w:t xml:space="preserve">Article 4.A.3: Steel and Aluminum, Melted and Poured; Smelted and Cast</w:t>
        </w:r>
        <w:r>
          <w:rPr>
            <w:noProof/>
            <w:webHidden/>
          </w:rPr>
          <w:tab/>
        </w:r>
        <w:r>
          <w:rPr>
            <w:noProof/>
            <w:webHidden/>
          </w:rPr>
          <w:fldChar w:fldCharType="begin"/>
        </w:r>
        <w:r>
          <w:rPr>
            <w:noProof/>
            <w:webHidden/>
          </w:rPr>
          <w:instrText xml:space="preserve"> PAGEREF _Toc300000167 \h </w:instrText>
        </w:r>
        <w:r>
          <w:rPr>
            <w:noProof/>
            <w:webHidden/>
          </w:rPr>
          <w:fldChar w:fldCharType="separate"/>
        </w:r>
        <w:r>
          <w:rPr>
            <w:noProof/>
            <w:webHidden/>
          </w:rPr>
          <w:t>790</w:t>
        </w:r>
        <w:r>
          <w:rPr>
            <w:noProof/>
            <w:webHidden/>
          </w:rPr>
          <w:fldChar w:fldCharType="end"/>
        </w:r>
      </w:hyperlink>
    </w:p>
    <w:p>
      <w:pPr>
        <w:pStyle w:val="TOC2"/>
      </w:pPr>
      <w:hyperlink w:anchor="_Toc300000168" w:history="1">
        <w:r>
          <w:rPr>
            <w:noProof/>
          </w:rPr>
          <w:t xml:space="preserve">Article 4.A.4: Circular Production, Recycling, Recovery, Refurbishment, Remanufacturing</w:t>
        </w:r>
        <w:r>
          <w:rPr>
            <w:noProof/>
            <w:webHidden/>
          </w:rPr>
          <w:tab/>
        </w:r>
        <w:r>
          <w:rPr>
            <w:noProof/>
            <w:webHidden/>
          </w:rPr>
          <w:fldChar w:fldCharType="begin"/>
        </w:r>
        <w:r>
          <w:rPr>
            <w:noProof/>
            <w:webHidden/>
          </w:rPr>
          <w:instrText xml:space="preserve"> PAGEREF _Toc300000168 \h </w:instrText>
        </w:r>
        <w:r>
          <w:rPr>
            <w:noProof/>
            <w:webHidden/>
          </w:rPr>
          <w:fldChar w:fldCharType="separate"/>
        </w:r>
        <w:r>
          <w:rPr>
            <w:noProof/>
            <w:webHidden/>
          </w:rPr>
          <w:t>791</w:t>
        </w:r>
        <w:r>
          <w:rPr>
            <w:noProof/>
            <w:webHidden/>
          </w:rPr>
          <w:fldChar w:fldCharType="end"/>
        </w:r>
      </w:hyperlink>
    </w:p>
    <w:p>
      <w:pPr>
        <w:pStyle w:val="TOC2"/>
      </w:pPr>
      <w:hyperlink w:anchor="_Toc300000169" w:history="1">
        <w:r>
          <w:rPr>
            <w:noProof/>
          </w:rPr>
          <w:t xml:space="preserve">Article 4.A.5: Semiconductors and Embedded Electronics</w:t>
        </w:r>
        <w:r>
          <w:rPr>
            <w:noProof/>
            <w:webHidden/>
          </w:rPr>
          <w:tab/>
        </w:r>
        <w:r>
          <w:rPr>
            <w:noProof/>
            <w:webHidden/>
          </w:rPr>
          <w:fldChar w:fldCharType="begin"/>
        </w:r>
        <w:r>
          <w:rPr>
            <w:noProof/>
            <w:webHidden/>
          </w:rPr>
          <w:instrText xml:space="preserve"> PAGEREF _Toc300000169 \h </w:instrText>
        </w:r>
        <w:r>
          <w:rPr>
            <w:noProof/>
            <w:webHidden/>
          </w:rPr>
          <w:fldChar w:fldCharType="separate"/>
        </w:r>
        <w:r>
          <w:rPr>
            <w:noProof/>
            <w:webHidden/>
          </w:rPr>
          <w:t>791</w:t>
        </w:r>
        <w:r>
          <w:rPr>
            <w:noProof/>
            <w:webHidden/>
          </w:rPr>
          <w:fldChar w:fldCharType="end"/>
        </w:r>
      </w:hyperlink>
    </w:p>
    <w:p>
      <w:pPr>
        <w:pStyle w:val="TOC2"/>
      </w:pPr>
      <w:hyperlink w:anchor="_Toc300000170" w:history="1">
        <w:r>
          <w:rPr>
            <w:noProof/>
          </w:rPr>
          <w:t xml:space="preserve">Article 4.A.5A: Strategic Compute and AI Hardware Origin Integrity</w:t>
        </w:r>
        <w:r>
          <w:rPr>
            <w:noProof/>
            <w:webHidden/>
          </w:rPr>
          <w:tab/>
        </w:r>
        <w:r>
          <w:rPr>
            <w:noProof/>
            <w:webHidden/>
          </w:rPr>
          <w:fldChar w:fldCharType="begin"/>
        </w:r>
        <w:r>
          <w:rPr>
            <w:noProof/>
            <w:webHidden/>
          </w:rPr>
          <w:instrText xml:space="preserve"> PAGEREF _Toc300000170 \h </w:instrText>
        </w:r>
        <w:r>
          <w:rPr>
            <w:noProof/>
            <w:webHidden/>
          </w:rPr>
          <w:fldChar w:fldCharType="separate"/>
        </w:r>
        <w:r>
          <w:rPr>
            <w:noProof/>
            <w:webHidden/>
          </w:rPr>
          <w:t>792</w:t>
        </w:r>
        <w:r>
          <w:rPr>
            <w:noProof/>
            <w:webHidden/>
          </w:rPr>
          <w:fldChar w:fldCharType="end"/>
        </w:r>
      </w:hyperlink>
    </w:p>
    <w:p>
      <w:pPr>
        <w:pStyle w:val="TOC2"/>
      </w:pPr>
      <w:hyperlink w:anchor="_Toc300000171" w:history="1">
        <w:r>
          <w:rPr>
            <w:noProof/>
          </w:rPr>
          <w:t xml:space="preserve">Article 4.A.6: SME Access</w:t>
        </w:r>
        <w:r>
          <w:rPr>
            <w:noProof/>
            <w:webHidden/>
          </w:rPr>
          <w:tab/>
        </w:r>
        <w:r>
          <w:rPr>
            <w:noProof/>
            <w:webHidden/>
          </w:rPr>
          <w:fldChar w:fldCharType="begin"/>
        </w:r>
        <w:r>
          <w:rPr>
            <w:noProof/>
            <w:webHidden/>
          </w:rPr>
          <w:instrText xml:space="preserve"> PAGEREF _Toc300000171 \h </w:instrText>
        </w:r>
        <w:r>
          <w:rPr>
            <w:noProof/>
            <w:webHidden/>
          </w:rPr>
          <w:fldChar w:fldCharType="separate"/>
        </w:r>
        <w:r>
          <w:rPr>
            <w:noProof/>
            <w:webHidden/>
          </w:rPr>
          <w:t>794</w:t>
        </w:r>
        <w:r>
          <w:rPr>
            <w:noProof/>
            <w:webHidden/>
          </w:rPr>
          <w:fldChar w:fldCharType="end"/>
        </w:r>
      </w:hyperlink>
    </w:p>
    <w:p>
      <w:pPr>
        <w:pStyle w:val="TOC2"/>
      </w:pPr>
      <w:hyperlink w:anchor="_Toc300000172" w:history="1">
        <w:r>
          <w:rPr>
            <w:noProof/>
          </w:rPr>
          <w:t xml:space="preserve">Article 4.A.7: Committee on Rules of Origin, Additional Functions</w:t>
        </w:r>
        <w:r>
          <w:rPr>
            <w:noProof/>
            <w:webHidden/>
          </w:rPr>
          <w:tab/>
        </w:r>
        <w:r>
          <w:rPr>
            <w:noProof/>
            <w:webHidden/>
          </w:rPr>
          <w:fldChar w:fldCharType="begin"/>
        </w:r>
        <w:r>
          <w:rPr>
            <w:noProof/>
            <w:webHidden/>
          </w:rPr>
          <w:instrText xml:space="preserve"> PAGEREF _Toc300000172 \h </w:instrText>
        </w:r>
        <w:r>
          <w:rPr>
            <w:noProof/>
            <w:webHidden/>
          </w:rPr>
          <w:fldChar w:fldCharType="separate"/>
        </w:r>
        <w:r>
          <w:rPr>
            <w:noProof/>
            <w:webHidden/>
          </w:rPr>
          <w:t>795</w:t>
        </w:r>
        <w:r>
          <w:rPr>
            <w:noProof/>
            <w:webHidden/>
          </w:rPr>
          <w:fldChar w:fldCharType="end"/>
        </w:r>
      </w:hyperlink>
    </w:p>
    <w:p>
      <w:pPr>
        <w:pStyle w:val="TOC2"/>
      </w:pPr>
      <w:hyperlink w:anchor="_Toc300000173" w:history="1">
        <w:r>
          <w:rPr>
            <w:noProof/>
          </w:rPr>
          <w:t xml:space="preserve">Article 4.A.2E: Automotive Duty-Free Safe Harbor and Alternative Settlement Election</w:t>
        </w:r>
        <w:r>
          <w:rPr>
            <w:noProof/>
            <w:webHidden/>
          </w:rPr>
          <w:tab/>
        </w:r>
        <w:r>
          <w:rPr>
            <w:noProof/>
            <w:webHidden/>
          </w:rPr>
          <w:fldChar w:fldCharType="begin"/>
        </w:r>
        <w:r>
          <w:rPr>
            <w:noProof/>
            <w:webHidden/>
          </w:rPr>
          <w:instrText xml:space="preserve"> PAGEREF _Toc300000173 \h </w:instrText>
        </w:r>
        <w:r>
          <w:rPr>
            <w:noProof/>
            <w:webHidden/>
          </w:rPr>
          <w:fldChar w:fldCharType="separate"/>
        </w:r>
        <w:r>
          <w:rPr>
            <w:noProof/>
            <w:webHidden/>
          </w:rPr>
          <w:t>795</w:t>
        </w:r>
        <w:r>
          <w:rPr>
            <w:noProof/>
            <w:webHidden/>
          </w:rPr>
          <w:fldChar w:fldCharType="end"/>
        </w:r>
      </w:hyperlink>
    </w:p>
    <w:p>
      <w:pPr>
        <w:pStyle w:val="TOC2"/>
      </w:pPr>
      <w:hyperlink w:anchor="_Toc300000174" w:history="1">
        <w:r>
          <w:rPr>
            <w:noProof/>
          </w:rPr>
          <w:t xml:space="preserve">Article 4.A.2B: Strategic Component Banking and Portfolio Flexibility</w:t>
        </w:r>
        <w:r>
          <w:rPr>
            <w:noProof/>
            <w:webHidden/>
          </w:rPr>
          <w:tab/>
        </w:r>
        <w:r>
          <w:rPr>
            <w:noProof/>
            <w:webHidden/>
          </w:rPr>
          <w:fldChar w:fldCharType="begin"/>
        </w:r>
        <w:r>
          <w:rPr>
            <w:noProof/>
            <w:webHidden/>
          </w:rPr>
          <w:instrText xml:space="preserve"> PAGEREF _Toc300000174 \h </w:instrText>
        </w:r>
        <w:r>
          <w:rPr>
            <w:noProof/>
            <w:webHidden/>
          </w:rPr>
          <w:fldChar w:fldCharType="separate"/>
        </w:r>
        <w:r>
          <w:rPr>
            <w:noProof/>
            <w:webHidden/>
          </w:rPr>
          <w:t>796</w:t>
        </w:r>
        <w:r>
          <w:rPr>
            <w:noProof/>
            <w:webHidden/>
          </w:rPr>
          <w:fldChar w:fldCharType="end"/>
        </w:r>
      </w:hyperlink>
    </w:p>
    <w:p>
      <w:pPr>
        <w:pStyle w:val="TOC2"/>
      </w:pPr>
      <w:hyperlink w:anchor="_Toc300000175" w:history="1">
        <w:r>
          <w:rPr>
            <w:noProof/>
          </w:rPr>
          <w:t xml:space="preserve">Article 4.A.2C: De Facto Party-Specific Quota Fast Track</w:t>
        </w:r>
        <w:r>
          <w:rPr>
            <w:noProof/>
            <w:webHidden/>
          </w:rPr>
          <w:tab/>
        </w:r>
        <w:r>
          <w:rPr>
            <w:noProof/>
            <w:webHidden/>
          </w:rPr>
          <w:fldChar w:fldCharType="begin"/>
        </w:r>
        <w:r>
          <w:rPr>
            <w:noProof/>
            <w:webHidden/>
          </w:rPr>
          <w:instrText xml:space="preserve"> PAGEREF _Toc300000175 \h </w:instrText>
        </w:r>
        <w:r>
          <w:rPr>
            <w:noProof/>
            <w:webHidden/>
          </w:rPr>
          <w:fldChar w:fldCharType="separate"/>
        </w:r>
        <w:r>
          <w:rPr>
            <w:noProof/>
            <w:webHidden/>
          </w:rPr>
          <w:t>797</w:t>
        </w:r>
        <w:r>
          <w:rPr>
            <w:noProof/>
            <w:webHidden/>
          </w:rPr>
          <w:fldChar w:fldCharType="end"/>
        </w:r>
      </w:hyperlink>
    </w:p>
    <w:p>
      <w:pPr>
        <w:pStyle w:val="TOC2"/>
      </w:pPr>
      <w:hyperlink w:anchor="_Toc300000176" w:history="1">
        <w:r>
          <w:rPr>
            <w:noProof/>
          </w:rPr>
          <w:t xml:space="preserve">Article 4.A.2D: Advanced Automotive Components and Electrified Powertrain Origin</w:t>
        </w:r>
        <w:r>
          <w:rPr>
            <w:noProof/>
            <w:webHidden/>
          </w:rPr>
          <w:tab/>
        </w:r>
        <w:r>
          <w:rPr>
            <w:noProof/>
            <w:webHidden/>
          </w:rPr>
          <w:fldChar w:fldCharType="begin"/>
        </w:r>
        <w:r>
          <w:rPr>
            <w:noProof/>
            <w:webHidden/>
          </w:rPr>
          <w:instrText xml:space="preserve"> PAGEREF _Toc300000176 \h </w:instrText>
        </w:r>
        <w:r>
          <w:rPr>
            <w:noProof/>
            <w:webHidden/>
          </w:rPr>
          <w:fldChar w:fldCharType="separate"/>
        </w:r>
        <w:r>
          <w:rPr>
            <w:noProof/>
            <w:webHidden/>
          </w:rPr>
          <w:t>797</w:t>
        </w:r>
        <w:r>
          <w:rPr>
            <w:noProof/>
            <w:webHidden/>
          </w:rPr>
          <w:fldChar w:fldCharType="end"/>
        </w:r>
      </w:hyperlink>
    </w:p>
    <w:p>
      <w:pPr>
        <w:pStyle w:val="TOC2"/>
      </w:pPr>
      <w:hyperlink w:anchor="_Toc300000177" w:history="1">
        <w:r>
          <w:rPr>
            <w:noProof/>
          </w:rPr>
          <w:t xml:space="preserve">ANNEX 4-E-1: Consolidated Automotive Tier Reference</w:t>
        </w:r>
        <w:r>
          <w:rPr>
            <w:noProof/>
            <w:webHidden/>
          </w:rPr>
          <w:tab/>
        </w:r>
        <w:r>
          <w:rPr>
            <w:noProof/>
            <w:webHidden/>
          </w:rPr>
          <w:fldChar w:fldCharType="begin"/>
        </w:r>
        <w:r>
          <w:rPr>
            <w:noProof/>
            <w:webHidden/>
          </w:rPr>
          <w:instrText xml:space="preserve"> PAGEREF _Toc300000177 \h </w:instrText>
        </w:r>
        <w:r>
          <w:rPr>
            <w:noProof/>
            <w:webHidden/>
          </w:rPr>
          <w:fldChar w:fldCharType="separate"/>
        </w:r>
        <w:r>
          <w:rPr>
            <w:noProof/>
            <w:webHidden/>
          </w:rPr>
          <w:t>799</w:t>
        </w:r>
        <w:r>
          <w:rPr>
            <w:noProof/>
            <w:webHidden/>
          </w:rPr>
          <w:fldChar w:fldCharType="end"/>
        </w:r>
      </w:hyperlink>
    </w:p>
    <w:p>
      <w:pPr>
        <w:pStyle w:val="TOC2"/>
      </w:pPr>
      <w:hyperlink w:anchor="_Toc300000178" w:history="1">
        <w:r>
          <w:rPr>
            <w:noProof/>
          </w:rPr>
          <w:t xml:space="preserve">ANNEX 4-E-2: Advanced Automotive Component Origin Methodology and Worked Examples</w:t>
        </w:r>
        <w:r>
          <w:rPr>
            <w:noProof/>
            <w:webHidden/>
          </w:rPr>
          <w:tab/>
        </w:r>
        <w:r>
          <w:rPr>
            <w:noProof/>
            <w:webHidden/>
          </w:rPr>
          <w:fldChar w:fldCharType="begin"/>
        </w:r>
        <w:r>
          <w:rPr>
            <w:noProof/>
            <w:webHidden/>
          </w:rPr>
          <w:instrText xml:space="preserve"> PAGEREF _Toc300000178 \h </w:instrText>
        </w:r>
        <w:r>
          <w:rPr>
            <w:noProof/>
            <w:webHidden/>
          </w:rPr>
          <w:fldChar w:fldCharType="separate"/>
        </w:r>
        <w:r>
          <w:rPr>
            <w:noProof/>
            <w:webHidden/>
          </w:rPr>
          <w:t>800</w:t>
        </w:r>
        <w:r>
          <w:rPr>
            <w:noProof/>
            <w:webHidden/>
          </w:rPr>
          <w:fldChar w:fldCharType="end"/>
        </w:r>
      </w:hyperlink>
    </w:p>
    <w:p>
      <w:pPr>
        <w:pStyle w:val="TOC1"/>
      </w:pPr>
      <w:hyperlink w:anchor="_Toc300000179" w:history="1">
        <w:r>
          <w:rPr>
            <w:noProof/>
          </w:rPr>
          <w:t xml:space="preserve">CHAPTER 5 ORIGIN PROCEDURES</w:t>
        </w:r>
        <w:r>
          <w:rPr>
            <w:noProof/>
            <w:webHidden/>
          </w:rPr>
          <w:tab/>
        </w:r>
        <w:r>
          <w:rPr>
            <w:noProof/>
            <w:webHidden/>
          </w:rPr>
          <w:fldChar w:fldCharType="begin"/>
        </w:r>
        <w:r>
          <w:rPr>
            <w:noProof/>
            <w:webHidden/>
          </w:rPr>
          <w:instrText xml:space="preserve"> PAGEREF _Toc300000179 \h </w:instrText>
        </w:r>
        <w:r>
          <w:rPr>
            <w:noProof/>
            <w:webHidden/>
          </w:rPr>
          <w:fldChar w:fldCharType="separate"/>
        </w:r>
        <w:r>
          <w:rPr>
            <w:noProof/>
            <w:webHidden/>
          </w:rPr>
          <w:t>804</w:t>
        </w:r>
        <w:r>
          <w:rPr>
            <w:noProof/>
            <w:webHidden/>
          </w:rPr>
          <w:fldChar w:fldCharType="end"/>
        </w:r>
      </w:hyperlink>
    </w:p>
    <w:p>
      <w:pPr>
        <w:pStyle w:val="TOC2"/>
      </w:pPr>
      <w:hyperlink w:anchor="_Toc300000180" w:history="1">
        <w:r>
          <w:rPr>
            <w:noProof/>
          </w:rPr>
          <w:t xml:space="preserve">Article 5.1: Definitions</w:t>
        </w:r>
        <w:r>
          <w:rPr>
            <w:noProof/>
            <w:webHidden/>
          </w:rPr>
          <w:tab/>
        </w:r>
        <w:r>
          <w:rPr>
            <w:noProof/>
            <w:webHidden/>
          </w:rPr>
          <w:fldChar w:fldCharType="begin"/>
        </w:r>
        <w:r>
          <w:rPr>
            <w:noProof/>
            <w:webHidden/>
          </w:rPr>
          <w:instrText xml:space="preserve"> PAGEREF _Toc300000180 \h </w:instrText>
        </w:r>
        <w:r>
          <w:rPr>
            <w:noProof/>
            <w:webHidden/>
          </w:rPr>
          <w:fldChar w:fldCharType="separate"/>
        </w:r>
        <w:r>
          <w:rPr>
            <w:noProof/>
            <w:webHidden/>
          </w:rPr>
          <w:t>804</w:t>
        </w:r>
        <w:r>
          <w:rPr>
            <w:noProof/>
            <w:webHidden/>
          </w:rPr>
          <w:fldChar w:fldCharType="end"/>
        </w:r>
      </w:hyperlink>
    </w:p>
    <w:p>
      <w:pPr>
        <w:pStyle w:val="TOC2"/>
      </w:pPr>
      <w:hyperlink w:anchor="_Toc300000181" w:history="1">
        <w:r>
          <w:rPr>
            <w:noProof/>
          </w:rPr>
          <w:t xml:space="preserve">Article 5.2: Claims for Preferential Tariff Treatment</w:t>
        </w:r>
        <w:r>
          <w:rPr>
            <w:noProof/>
            <w:webHidden/>
          </w:rPr>
          <w:tab/>
        </w:r>
        <w:r>
          <w:rPr>
            <w:noProof/>
            <w:webHidden/>
          </w:rPr>
          <w:fldChar w:fldCharType="begin"/>
        </w:r>
        <w:r>
          <w:rPr>
            <w:noProof/>
            <w:webHidden/>
          </w:rPr>
          <w:instrText xml:space="preserve"> PAGEREF _Toc300000181 \h </w:instrText>
        </w:r>
        <w:r>
          <w:rPr>
            <w:noProof/>
            <w:webHidden/>
          </w:rPr>
          <w:fldChar w:fldCharType="separate"/>
        </w:r>
        <w:r>
          <w:rPr>
            <w:noProof/>
            <w:webHidden/>
          </w:rPr>
          <w:t>804</w:t>
        </w:r>
        <w:r>
          <w:rPr>
            <w:noProof/>
            <w:webHidden/>
          </w:rPr>
          <w:fldChar w:fldCharType="end"/>
        </w:r>
      </w:hyperlink>
    </w:p>
    <w:p>
      <w:pPr>
        <w:pStyle w:val="TOC2"/>
      </w:pPr>
      <w:hyperlink w:anchor="_Toc300000182" w:history="1">
        <w:r>
          <w:rPr>
            <w:noProof/>
          </w:rPr>
          <w:t xml:space="preserve">Article 5.3: Basis of a Certification of Origin</w:t>
        </w:r>
        <w:r>
          <w:rPr>
            <w:noProof/>
            <w:webHidden/>
          </w:rPr>
          <w:tab/>
        </w:r>
        <w:r>
          <w:rPr>
            <w:noProof/>
            <w:webHidden/>
          </w:rPr>
          <w:fldChar w:fldCharType="begin"/>
        </w:r>
        <w:r>
          <w:rPr>
            <w:noProof/>
            <w:webHidden/>
          </w:rPr>
          <w:instrText xml:space="preserve"> PAGEREF _Toc300000182 \h </w:instrText>
        </w:r>
        <w:r>
          <w:rPr>
            <w:noProof/>
            <w:webHidden/>
          </w:rPr>
          <w:fldChar w:fldCharType="separate"/>
        </w:r>
        <w:r>
          <w:rPr>
            <w:noProof/>
            <w:webHidden/>
          </w:rPr>
          <w:t>805</w:t>
        </w:r>
        <w:r>
          <w:rPr>
            <w:noProof/>
            <w:webHidden/>
          </w:rPr>
          <w:fldChar w:fldCharType="end"/>
        </w:r>
      </w:hyperlink>
    </w:p>
    <w:p>
      <w:pPr>
        <w:pStyle w:val="TOC2"/>
      </w:pPr>
      <w:hyperlink w:anchor="_Toc300000183" w:history="1">
        <w:r>
          <w:rPr>
            <w:noProof/>
          </w:rPr>
          <w:t xml:space="preserve">Article 5.4: Obligations Regarding Importations</w:t>
        </w:r>
        <w:r>
          <w:rPr>
            <w:noProof/>
            <w:webHidden/>
          </w:rPr>
          <w:tab/>
        </w:r>
        <w:r>
          <w:rPr>
            <w:noProof/>
            <w:webHidden/>
          </w:rPr>
          <w:fldChar w:fldCharType="begin"/>
        </w:r>
        <w:r>
          <w:rPr>
            <w:noProof/>
            <w:webHidden/>
          </w:rPr>
          <w:instrText xml:space="preserve"> PAGEREF _Toc300000183 \h </w:instrText>
        </w:r>
        <w:r>
          <w:rPr>
            <w:noProof/>
            <w:webHidden/>
          </w:rPr>
          <w:fldChar w:fldCharType="separate"/>
        </w:r>
        <w:r>
          <w:rPr>
            <w:noProof/>
            <w:webHidden/>
          </w:rPr>
          <w:t>805</w:t>
        </w:r>
        <w:r>
          <w:rPr>
            <w:noProof/>
            <w:webHidden/>
          </w:rPr>
          <w:fldChar w:fldCharType="end"/>
        </w:r>
      </w:hyperlink>
    </w:p>
    <w:p>
      <w:pPr>
        <w:pStyle w:val="TOC2"/>
      </w:pPr>
      <w:hyperlink w:anchor="_Toc300000184" w:history="1">
        <w:r>
          <w:rPr>
            <w:noProof/>
          </w:rPr>
          <w:t xml:space="preserve">Article 5.5: Exceptions to Certification of Origin</w:t>
        </w:r>
        <w:r>
          <w:rPr>
            <w:noProof/>
            <w:webHidden/>
          </w:rPr>
          <w:tab/>
        </w:r>
        <w:r>
          <w:rPr>
            <w:noProof/>
            <w:webHidden/>
          </w:rPr>
          <w:fldChar w:fldCharType="begin"/>
        </w:r>
        <w:r>
          <w:rPr>
            <w:noProof/>
            <w:webHidden/>
          </w:rPr>
          <w:instrText xml:space="preserve"> PAGEREF _Toc300000184 \h </w:instrText>
        </w:r>
        <w:r>
          <w:rPr>
            <w:noProof/>
            <w:webHidden/>
          </w:rPr>
          <w:fldChar w:fldCharType="separate"/>
        </w:r>
        <w:r>
          <w:rPr>
            <w:noProof/>
            <w:webHidden/>
          </w:rPr>
          <w:t>806</w:t>
        </w:r>
        <w:r>
          <w:rPr>
            <w:noProof/>
            <w:webHidden/>
          </w:rPr>
          <w:fldChar w:fldCharType="end"/>
        </w:r>
      </w:hyperlink>
    </w:p>
    <w:p>
      <w:pPr>
        <w:pStyle w:val="TOC2"/>
      </w:pPr>
      <w:hyperlink w:anchor="_Toc300000185" w:history="1">
        <w:r>
          <w:rPr>
            <w:noProof/>
          </w:rPr>
          <w:t xml:space="preserve">Article 5.6: Obligations Regarding Exportations</w:t>
        </w:r>
        <w:r>
          <w:rPr>
            <w:noProof/>
            <w:webHidden/>
          </w:rPr>
          <w:tab/>
        </w:r>
        <w:r>
          <w:rPr>
            <w:noProof/>
            <w:webHidden/>
          </w:rPr>
          <w:fldChar w:fldCharType="begin"/>
        </w:r>
        <w:r>
          <w:rPr>
            <w:noProof/>
            <w:webHidden/>
          </w:rPr>
          <w:instrText xml:space="preserve"> PAGEREF _Toc300000185 \h </w:instrText>
        </w:r>
        <w:r>
          <w:rPr>
            <w:noProof/>
            <w:webHidden/>
          </w:rPr>
          <w:fldChar w:fldCharType="separate"/>
        </w:r>
        <w:r>
          <w:rPr>
            <w:noProof/>
            <w:webHidden/>
          </w:rPr>
          <w:t>806</w:t>
        </w:r>
        <w:r>
          <w:rPr>
            <w:noProof/>
            <w:webHidden/>
          </w:rPr>
          <w:fldChar w:fldCharType="end"/>
        </w:r>
      </w:hyperlink>
    </w:p>
    <w:p>
      <w:pPr>
        <w:pStyle w:val="TOC2"/>
      </w:pPr>
      <w:hyperlink w:anchor="_Toc300000186" w:history="1">
        <w:r>
          <w:rPr>
            <w:noProof/>
          </w:rPr>
          <w:t xml:space="preserve">Article 5.7: Errors or Discrepancies</w:t>
        </w:r>
        <w:r>
          <w:rPr>
            <w:noProof/>
            <w:webHidden/>
          </w:rPr>
          <w:tab/>
        </w:r>
        <w:r>
          <w:rPr>
            <w:noProof/>
            <w:webHidden/>
          </w:rPr>
          <w:fldChar w:fldCharType="begin"/>
        </w:r>
        <w:r>
          <w:rPr>
            <w:noProof/>
            <w:webHidden/>
          </w:rPr>
          <w:instrText xml:space="preserve"> PAGEREF _Toc300000186 \h </w:instrText>
        </w:r>
        <w:r>
          <w:rPr>
            <w:noProof/>
            <w:webHidden/>
          </w:rPr>
          <w:fldChar w:fldCharType="separate"/>
        </w:r>
        <w:r>
          <w:rPr>
            <w:noProof/>
            <w:webHidden/>
          </w:rPr>
          <w:t>807</w:t>
        </w:r>
        <w:r>
          <w:rPr>
            <w:noProof/>
            <w:webHidden/>
          </w:rPr>
          <w:fldChar w:fldCharType="end"/>
        </w:r>
      </w:hyperlink>
    </w:p>
    <w:p>
      <w:pPr>
        <w:pStyle w:val="TOC2"/>
      </w:pPr>
      <w:hyperlink w:anchor="_Toc300000187" w:history="1">
        <w:r>
          <w:rPr>
            <w:noProof/>
          </w:rPr>
          <w:t xml:space="preserve">Article 5.8: Record Keeping Requirements</w:t>
        </w:r>
        <w:r>
          <w:rPr>
            <w:noProof/>
            <w:webHidden/>
          </w:rPr>
          <w:tab/>
        </w:r>
        <w:r>
          <w:rPr>
            <w:noProof/>
            <w:webHidden/>
          </w:rPr>
          <w:fldChar w:fldCharType="begin"/>
        </w:r>
        <w:r>
          <w:rPr>
            <w:noProof/>
            <w:webHidden/>
          </w:rPr>
          <w:instrText xml:space="preserve"> PAGEREF _Toc300000187 \h </w:instrText>
        </w:r>
        <w:r>
          <w:rPr>
            <w:noProof/>
            <w:webHidden/>
          </w:rPr>
          <w:fldChar w:fldCharType="separate"/>
        </w:r>
        <w:r>
          <w:rPr>
            <w:noProof/>
            <w:webHidden/>
          </w:rPr>
          <w:t>807</w:t>
        </w:r>
        <w:r>
          <w:rPr>
            <w:noProof/>
            <w:webHidden/>
          </w:rPr>
          <w:fldChar w:fldCharType="end"/>
        </w:r>
      </w:hyperlink>
    </w:p>
    <w:p>
      <w:pPr>
        <w:pStyle w:val="TOC2"/>
      </w:pPr>
      <w:hyperlink w:anchor="_Toc300000188" w:history="1">
        <w:r>
          <w:rPr>
            <w:noProof/>
          </w:rPr>
          <w:t xml:space="preserve">Article 5.9: Origin Verification</w:t>
        </w:r>
        <w:r>
          <w:rPr>
            <w:noProof/>
            <w:webHidden/>
          </w:rPr>
          <w:tab/>
        </w:r>
        <w:r>
          <w:rPr>
            <w:noProof/>
            <w:webHidden/>
          </w:rPr>
          <w:fldChar w:fldCharType="begin"/>
        </w:r>
        <w:r>
          <w:rPr>
            <w:noProof/>
            <w:webHidden/>
          </w:rPr>
          <w:instrText xml:space="preserve"> PAGEREF _Toc300000188 \h </w:instrText>
        </w:r>
        <w:r>
          <w:rPr>
            <w:noProof/>
            <w:webHidden/>
          </w:rPr>
          <w:fldChar w:fldCharType="separate"/>
        </w:r>
        <w:r>
          <w:rPr>
            <w:noProof/>
            <w:webHidden/>
          </w:rPr>
          <w:t>808</w:t>
        </w:r>
        <w:r>
          <w:rPr>
            <w:noProof/>
            <w:webHidden/>
          </w:rPr>
          <w:fldChar w:fldCharType="end"/>
        </w:r>
      </w:hyperlink>
    </w:p>
    <w:p>
      <w:pPr>
        <w:pStyle w:val="TOC2"/>
      </w:pPr>
      <w:hyperlink w:anchor="_Toc300000189" w:history="1">
        <w:r>
          <w:rPr>
            <w:noProof/>
          </w:rPr>
          <w:t xml:space="preserve">Article 5.10: Determinations of Origin</w:t>
        </w:r>
        <w:r>
          <w:rPr>
            <w:noProof/>
            <w:webHidden/>
          </w:rPr>
          <w:tab/>
        </w:r>
        <w:r>
          <w:rPr>
            <w:noProof/>
            <w:webHidden/>
          </w:rPr>
          <w:fldChar w:fldCharType="begin"/>
        </w:r>
        <w:r>
          <w:rPr>
            <w:noProof/>
            <w:webHidden/>
          </w:rPr>
          <w:instrText xml:space="preserve"> PAGEREF _Toc300000189 \h </w:instrText>
        </w:r>
        <w:r>
          <w:rPr>
            <w:noProof/>
            <w:webHidden/>
          </w:rPr>
          <w:fldChar w:fldCharType="separate"/>
        </w:r>
        <w:r>
          <w:rPr>
            <w:noProof/>
            <w:webHidden/>
          </w:rPr>
          <w:t>810</w:t>
        </w:r>
        <w:r>
          <w:rPr>
            <w:noProof/>
            <w:webHidden/>
          </w:rPr>
          <w:fldChar w:fldCharType="end"/>
        </w:r>
      </w:hyperlink>
    </w:p>
    <w:p>
      <w:pPr>
        <w:pStyle w:val="TOC2"/>
      </w:pPr>
      <w:hyperlink w:anchor="_Toc300000190" w:history="1">
        <w:r>
          <w:rPr>
            <w:noProof/>
          </w:rPr>
          <w:t xml:space="preserve">Article 5.11: Refunds and Claims for Preferential Tariff Treatment after Importation</w:t>
        </w:r>
        <w:r>
          <w:rPr>
            <w:noProof/>
            <w:webHidden/>
          </w:rPr>
          <w:tab/>
        </w:r>
        <w:r>
          <w:rPr>
            <w:noProof/>
            <w:webHidden/>
          </w:rPr>
          <w:fldChar w:fldCharType="begin"/>
        </w:r>
        <w:r>
          <w:rPr>
            <w:noProof/>
            <w:webHidden/>
          </w:rPr>
          <w:instrText xml:space="preserve"> PAGEREF _Toc300000190 \h </w:instrText>
        </w:r>
        <w:r>
          <w:rPr>
            <w:noProof/>
            <w:webHidden/>
          </w:rPr>
          <w:fldChar w:fldCharType="separate"/>
        </w:r>
        <w:r>
          <w:rPr>
            <w:noProof/>
            <w:webHidden/>
          </w:rPr>
          <w:t>810</w:t>
        </w:r>
        <w:r>
          <w:rPr>
            <w:noProof/>
            <w:webHidden/>
          </w:rPr>
          <w:fldChar w:fldCharType="end"/>
        </w:r>
      </w:hyperlink>
    </w:p>
    <w:p>
      <w:pPr>
        <w:pStyle w:val="TOC2"/>
      </w:pPr>
      <w:hyperlink w:anchor="_Toc300000191" w:history="1">
        <w:r>
          <w:rPr>
            <w:noProof/>
          </w:rPr>
          <w:t xml:space="preserve">Article 5.12: Confidentiality</w:t>
        </w:r>
        <w:r>
          <w:rPr>
            <w:noProof/>
            <w:webHidden/>
          </w:rPr>
          <w:tab/>
        </w:r>
        <w:r>
          <w:rPr>
            <w:noProof/>
            <w:webHidden/>
          </w:rPr>
          <w:fldChar w:fldCharType="begin"/>
        </w:r>
        <w:r>
          <w:rPr>
            <w:noProof/>
            <w:webHidden/>
          </w:rPr>
          <w:instrText xml:space="preserve"> PAGEREF _Toc300000191 \h </w:instrText>
        </w:r>
        <w:r>
          <w:rPr>
            <w:noProof/>
            <w:webHidden/>
          </w:rPr>
          <w:fldChar w:fldCharType="separate"/>
        </w:r>
        <w:r>
          <w:rPr>
            <w:noProof/>
            <w:webHidden/>
          </w:rPr>
          <w:t>811</w:t>
        </w:r>
        <w:r>
          <w:rPr>
            <w:noProof/>
            <w:webHidden/>
          </w:rPr>
          <w:fldChar w:fldCharType="end"/>
        </w:r>
      </w:hyperlink>
    </w:p>
    <w:p>
      <w:pPr>
        <w:pStyle w:val="TOC2"/>
      </w:pPr>
      <w:hyperlink w:anchor="_Toc300000192" w:history="1">
        <w:r>
          <w:rPr>
            <w:noProof/>
          </w:rPr>
          <w:t xml:space="preserve">Article 5.13: Penalties</w:t>
        </w:r>
        <w:r>
          <w:rPr>
            <w:noProof/>
            <w:webHidden/>
          </w:rPr>
          <w:tab/>
        </w:r>
        <w:r>
          <w:rPr>
            <w:noProof/>
            <w:webHidden/>
          </w:rPr>
          <w:fldChar w:fldCharType="begin"/>
        </w:r>
        <w:r>
          <w:rPr>
            <w:noProof/>
            <w:webHidden/>
          </w:rPr>
          <w:instrText xml:space="preserve"> PAGEREF _Toc300000192 \h </w:instrText>
        </w:r>
        <w:r>
          <w:rPr>
            <w:noProof/>
            <w:webHidden/>
          </w:rPr>
          <w:fldChar w:fldCharType="separate"/>
        </w:r>
        <w:r>
          <w:rPr>
            <w:noProof/>
            <w:webHidden/>
          </w:rPr>
          <w:t>811</w:t>
        </w:r>
        <w:r>
          <w:rPr>
            <w:noProof/>
            <w:webHidden/>
          </w:rPr>
          <w:fldChar w:fldCharType="end"/>
        </w:r>
      </w:hyperlink>
    </w:p>
    <w:p>
      <w:pPr>
        <w:pStyle w:val="TOC2"/>
      </w:pPr>
      <w:hyperlink w:anchor="_Toc300000193" w:history="1">
        <w:r>
          <w:rPr>
            <w:noProof/>
          </w:rPr>
          <w:t xml:space="preserve">Article 5.14: Advance Rulings Relating to Origin</w:t>
        </w:r>
        <w:r>
          <w:rPr>
            <w:noProof/>
            <w:webHidden/>
          </w:rPr>
          <w:tab/>
        </w:r>
        <w:r>
          <w:rPr>
            <w:noProof/>
            <w:webHidden/>
          </w:rPr>
          <w:fldChar w:fldCharType="begin"/>
        </w:r>
        <w:r>
          <w:rPr>
            <w:noProof/>
            <w:webHidden/>
          </w:rPr>
          <w:instrText xml:space="preserve"> PAGEREF _Toc300000193 \h </w:instrText>
        </w:r>
        <w:r>
          <w:rPr>
            <w:noProof/>
            <w:webHidden/>
          </w:rPr>
          <w:fldChar w:fldCharType="separate"/>
        </w:r>
        <w:r>
          <w:rPr>
            <w:noProof/>
            <w:webHidden/>
          </w:rPr>
          <w:t>811</w:t>
        </w:r>
        <w:r>
          <w:rPr>
            <w:noProof/>
            <w:webHidden/>
          </w:rPr>
          <w:fldChar w:fldCharType="end"/>
        </w:r>
      </w:hyperlink>
    </w:p>
    <w:p>
      <w:pPr>
        <w:pStyle w:val="TOC2"/>
      </w:pPr>
      <w:hyperlink w:anchor="_Toc300000194" w:history="1">
        <w:r>
          <w:rPr>
            <w:noProof/>
          </w:rPr>
          <w:t xml:space="preserve">Article 5.15: Review and Appeal</w:t>
        </w:r>
        <w:r>
          <w:rPr>
            <w:noProof/>
            <w:webHidden/>
          </w:rPr>
          <w:tab/>
        </w:r>
        <w:r>
          <w:rPr>
            <w:noProof/>
            <w:webHidden/>
          </w:rPr>
          <w:fldChar w:fldCharType="begin"/>
        </w:r>
        <w:r>
          <w:rPr>
            <w:noProof/>
            <w:webHidden/>
          </w:rPr>
          <w:instrText xml:space="preserve"> PAGEREF _Toc300000194 \h </w:instrText>
        </w:r>
        <w:r>
          <w:rPr>
            <w:noProof/>
            <w:webHidden/>
          </w:rPr>
          <w:fldChar w:fldCharType="separate"/>
        </w:r>
        <w:r>
          <w:rPr>
            <w:noProof/>
            <w:webHidden/>
          </w:rPr>
          <w:t>811</w:t>
        </w:r>
        <w:r>
          <w:rPr>
            <w:noProof/>
            <w:webHidden/>
          </w:rPr>
          <w:fldChar w:fldCharType="end"/>
        </w:r>
      </w:hyperlink>
    </w:p>
    <w:p>
      <w:pPr>
        <w:pStyle w:val="TOC2"/>
      </w:pPr>
      <w:hyperlink w:anchor="_Toc300000195" w:history="1">
        <w:r>
          <w:rPr>
            <w:noProof/>
          </w:rPr>
          <w:t xml:space="preserve">Article 5.16: Uniform Regulations</w:t>
        </w:r>
        <w:r>
          <w:rPr>
            <w:noProof/>
            <w:webHidden/>
          </w:rPr>
          <w:tab/>
        </w:r>
        <w:r>
          <w:rPr>
            <w:noProof/>
            <w:webHidden/>
          </w:rPr>
          <w:fldChar w:fldCharType="begin"/>
        </w:r>
        <w:r>
          <w:rPr>
            <w:noProof/>
            <w:webHidden/>
          </w:rPr>
          <w:instrText xml:space="preserve"> PAGEREF _Toc300000195 \h </w:instrText>
        </w:r>
        <w:r>
          <w:rPr>
            <w:noProof/>
            <w:webHidden/>
          </w:rPr>
          <w:fldChar w:fldCharType="separate"/>
        </w:r>
        <w:r>
          <w:rPr>
            <w:noProof/>
            <w:webHidden/>
          </w:rPr>
          <w:t>811</w:t>
        </w:r>
        <w:r>
          <w:rPr>
            <w:noProof/>
            <w:webHidden/>
          </w:rPr>
          <w:fldChar w:fldCharType="end"/>
        </w:r>
      </w:hyperlink>
    </w:p>
    <w:p>
      <w:pPr>
        <w:pStyle w:val="TOC2"/>
      </w:pPr>
      <w:hyperlink w:anchor="_Toc300000196" w:history="1">
        <w:r>
          <w:rPr>
            <w:noProof/>
          </w:rPr>
          <w:t xml:space="preserve">Article 5.17: Notification of Treatment</w:t>
        </w:r>
        <w:r>
          <w:rPr>
            <w:noProof/>
            <w:webHidden/>
          </w:rPr>
          <w:tab/>
        </w:r>
        <w:r>
          <w:rPr>
            <w:noProof/>
            <w:webHidden/>
          </w:rPr>
          <w:fldChar w:fldCharType="begin"/>
        </w:r>
        <w:r>
          <w:rPr>
            <w:noProof/>
            <w:webHidden/>
          </w:rPr>
          <w:instrText xml:space="preserve"> PAGEREF _Toc300000196 \h </w:instrText>
        </w:r>
        <w:r>
          <w:rPr>
            <w:noProof/>
            <w:webHidden/>
          </w:rPr>
          <w:fldChar w:fldCharType="separate"/>
        </w:r>
        <w:r>
          <w:rPr>
            <w:noProof/>
            <w:webHidden/>
          </w:rPr>
          <w:t>812</w:t>
        </w:r>
        <w:r>
          <w:rPr>
            <w:noProof/>
            <w:webHidden/>
          </w:rPr>
          <w:fldChar w:fldCharType="end"/>
        </w:r>
      </w:hyperlink>
    </w:p>
    <w:p>
      <w:pPr>
        <w:pStyle w:val="TOC2"/>
      </w:pPr>
      <w:hyperlink w:anchor="_Toc300000197" w:history="1">
        <w:r>
          <w:rPr>
            <w:noProof/>
          </w:rPr>
          <w:t xml:space="preserve">Article 5.18: Committee on Rules of Origin and Origin Procedures</w:t>
        </w:r>
        <w:r>
          <w:rPr>
            <w:noProof/>
            <w:webHidden/>
          </w:rPr>
          <w:tab/>
        </w:r>
        <w:r>
          <w:rPr>
            <w:noProof/>
            <w:webHidden/>
          </w:rPr>
          <w:fldChar w:fldCharType="begin"/>
        </w:r>
        <w:r>
          <w:rPr>
            <w:noProof/>
            <w:webHidden/>
          </w:rPr>
          <w:instrText xml:space="preserve"> PAGEREF _Toc300000197 \h </w:instrText>
        </w:r>
        <w:r>
          <w:rPr>
            <w:noProof/>
            <w:webHidden/>
          </w:rPr>
          <w:fldChar w:fldCharType="separate"/>
        </w:r>
        <w:r>
          <w:rPr>
            <w:noProof/>
            <w:webHidden/>
          </w:rPr>
          <w:t>812</w:t>
        </w:r>
        <w:r>
          <w:rPr>
            <w:noProof/>
            <w:webHidden/>
          </w:rPr>
          <w:fldChar w:fldCharType="end"/>
        </w:r>
      </w:hyperlink>
    </w:p>
    <w:p>
      <w:pPr>
        <w:pStyle w:val="TOC2"/>
      </w:pPr>
      <w:hyperlink w:anchor="_Toc300000198" w:history="1">
        <w:r>
          <w:rPr>
            <w:noProof/>
          </w:rPr>
          <w:t xml:space="preserve">Article 5.19: Sub-Committee on Origin Verification</w:t>
        </w:r>
        <w:r>
          <w:rPr>
            <w:noProof/>
            <w:webHidden/>
          </w:rPr>
          <w:tab/>
        </w:r>
        <w:r>
          <w:rPr>
            <w:noProof/>
            <w:webHidden/>
          </w:rPr>
          <w:fldChar w:fldCharType="begin"/>
        </w:r>
        <w:r>
          <w:rPr>
            <w:noProof/>
            <w:webHidden/>
          </w:rPr>
          <w:instrText xml:space="preserve"> PAGEREF _Toc300000198 \h </w:instrText>
        </w:r>
        <w:r>
          <w:rPr>
            <w:noProof/>
            <w:webHidden/>
          </w:rPr>
          <w:fldChar w:fldCharType="separate"/>
        </w:r>
        <w:r>
          <w:rPr>
            <w:noProof/>
            <w:webHidden/>
          </w:rPr>
          <w:t>813</w:t>
        </w:r>
        <w:r>
          <w:rPr>
            <w:noProof/>
            <w:webHidden/>
          </w:rPr>
          <w:fldChar w:fldCharType="end"/>
        </w:r>
      </w:hyperlink>
    </w:p>
    <w:p>
      <w:pPr>
        <w:pStyle w:val="TOC2"/>
      </w:pPr>
      <w:hyperlink w:anchor="_Toc300000199" w:history="1">
        <w:r>
          <w:rPr>
            <w:noProof/>
          </w:rPr>
          <w:t xml:space="preserve">ANNEX 5-A MINIMUM DATA ELEMENTS</w:t>
        </w:r>
        <w:r>
          <w:rPr>
            <w:noProof/>
            <w:webHidden/>
          </w:rPr>
          <w:tab/>
        </w:r>
        <w:r>
          <w:rPr>
            <w:noProof/>
            <w:webHidden/>
          </w:rPr>
          <w:fldChar w:fldCharType="begin"/>
        </w:r>
        <w:r>
          <w:rPr>
            <w:noProof/>
            <w:webHidden/>
          </w:rPr>
          <w:instrText xml:space="preserve"> PAGEREF _Toc300000199 \h </w:instrText>
        </w:r>
        <w:r>
          <w:rPr>
            <w:noProof/>
            <w:webHidden/>
          </w:rPr>
          <w:fldChar w:fldCharType="separate"/>
        </w:r>
        <w:r>
          <w:rPr>
            <w:noProof/>
            <w:webHidden/>
          </w:rPr>
          <w:t>813</w:t>
        </w:r>
        <w:r>
          <w:rPr>
            <w:noProof/>
            <w:webHidden/>
          </w:rPr>
          <w:fldChar w:fldCharType="end"/>
        </w:r>
      </w:hyperlink>
    </w:p>
    <w:p>
      <w:pPr>
        <w:pStyle w:val="TOC2"/>
      </w:pPr>
      <w:hyperlink w:anchor="_Toc300000200" w:history="1">
        <w:r>
          <w:rPr>
            <w:noProof/>
          </w:rPr>
          <w:t xml:space="preserve">CHAPTER 5: CUSMA 2.0 MODERNIZATION PROVISIONS</w:t>
        </w:r>
        <w:r>
          <w:rPr>
            <w:noProof/>
            <w:webHidden/>
          </w:rPr>
          <w:tab/>
        </w:r>
        <w:r>
          <w:rPr>
            <w:noProof/>
            <w:webHidden/>
          </w:rPr>
          <w:fldChar w:fldCharType="begin"/>
        </w:r>
        <w:r>
          <w:rPr>
            <w:noProof/>
            <w:webHidden/>
          </w:rPr>
          <w:instrText xml:space="preserve"> PAGEREF _Toc300000200 \h </w:instrText>
        </w:r>
        <w:r>
          <w:rPr>
            <w:noProof/>
            <w:webHidden/>
          </w:rPr>
          <w:fldChar w:fldCharType="separate"/>
        </w:r>
        <w:r>
          <w:rPr>
            <w:noProof/>
            <w:webHidden/>
          </w:rPr>
          <w:t>814</w:t>
        </w:r>
        <w:r>
          <w:rPr>
            <w:noProof/>
            <w:webHidden/>
          </w:rPr>
          <w:fldChar w:fldCharType="end"/>
        </w:r>
      </w:hyperlink>
    </w:p>
    <w:p>
      <w:pPr>
        <w:pStyle w:val="TOC2"/>
      </w:pPr>
      <w:hyperlink w:anchor="_Toc300000201" w:history="1">
        <w:r>
          <w:rPr>
            <w:noProof/>
          </w:rPr>
          <w:t xml:space="preserve">Article 5.A: Verification Modernization</w:t>
        </w:r>
        <w:r>
          <w:rPr>
            <w:noProof/>
            <w:webHidden/>
          </w:rPr>
          <w:tab/>
        </w:r>
        <w:r>
          <w:rPr>
            <w:noProof/>
            <w:webHidden/>
          </w:rPr>
          <w:fldChar w:fldCharType="begin"/>
        </w:r>
        <w:r>
          <w:rPr>
            <w:noProof/>
            <w:webHidden/>
          </w:rPr>
          <w:instrText xml:space="preserve"> PAGEREF _Toc300000201 \h </w:instrText>
        </w:r>
        <w:r>
          <w:rPr>
            <w:noProof/>
            <w:webHidden/>
          </w:rPr>
          <w:fldChar w:fldCharType="separate"/>
        </w:r>
        <w:r>
          <w:rPr>
            <w:noProof/>
            <w:webHidden/>
          </w:rPr>
          <w:t>814</w:t>
        </w:r>
        <w:r>
          <w:rPr>
            <w:noProof/>
            <w:webHidden/>
          </w:rPr>
          <w:fldChar w:fldCharType="end"/>
        </w:r>
      </w:hyperlink>
    </w:p>
    <w:p>
      <w:pPr>
        <w:pStyle w:val="TOC2"/>
      </w:pPr>
      <w:hyperlink w:anchor="_Toc300000202" w:history="1">
        <w:r>
          <w:rPr>
            <w:noProof/>
          </w:rPr>
          <w:t xml:space="preserve">Article 5.B: Joint Verification and Data Exchange</w:t>
        </w:r>
        <w:r>
          <w:rPr>
            <w:noProof/>
            <w:webHidden/>
          </w:rPr>
          <w:tab/>
        </w:r>
        <w:r>
          <w:rPr>
            <w:noProof/>
            <w:webHidden/>
          </w:rPr>
          <w:fldChar w:fldCharType="begin"/>
        </w:r>
        <w:r>
          <w:rPr>
            <w:noProof/>
            <w:webHidden/>
          </w:rPr>
          <w:instrText xml:space="preserve"> PAGEREF _Toc300000202 \h </w:instrText>
        </w:r>
        <w:r>
          <w:rPr>
            <w:noProof/>
            <w:webHidden/>
          </w:rPr>
          <w:fldChar w:fldCharType="separate"/>
        </w:r>
        <w:r>
          <w:rPr>
            <w:noProof/>
            <w:webHidden/>
          </w:rPr>
          <w:t>815</w:t>
        </w:r>
        <w:r>
          <w:rPr>
            <w:noProof/>
            <w:webHidden/>
          </w:rPr>
          <w:fldChar w:fldCharType="end"/>
        </w:r>
      </w:hyperlink>
    </w:p>
    <w:p>
      <w:pPr>
        <w:pStyle w:val="TOC2"/>
      </w:pPr>
      <w:hyperlink w:anchor="_Toc300000203" w:history="1">
        <w:r>
          <w:rPr>
            <w:noProof/>
          </w:rPr>
          <w:t xml:space="preserve">Article 5.C: Anti-Circumvention Discipline</w:t>
        </w:r>
        <w:r>
          <w:rPr>
            <w:noProof/>
            <w:webHidden/>
          </w:rPr>
          <w:tab/>
        </w:r>
        <w:r>
          <w:rPr>
            <w:noProof/>
            <w:webHidden/>
          </w:rPr>
          <w:fldChar w:fldCharType="begin"/>
        </w:r>
        <w:r>
          <w:rPr>
            <w:noProof/>
            <w:webHidden/>
          </w:rPr>
          <w:instrText xml:space="preserve"> PAGEREF _Toc300000203 \h </w:instrText>
        </w:r>
        <w:r>
          <w:rPr>
            <w:noProof/>
            <w:webHidden/>
          </w:rPr>
          <w:fldChar w:fldCharType="separate"/>
        </w:r>
        <w:r>
          <w:rPr>
            <w:noProof/>
            <w:webHidden/>
          </w:rPr>
          <w:t>815</w:t>
        </w:r>
        <w:r>
          <w:rPr>
            <w:noProof/>
            <w:webHidden/>
          </w:rPr>
          <w:fldChar w:fldCharType="end"/>
        </w:r>
      </w:hyperlink>
    </w:p>
    <w:p>
      <w:pPr>
        <w:pStyle w:val="TOC2"/>
      </w:pPr>
      <w:hyperlink w:anchor="_Toc300000204" w:history="1">
        <w:r>
          <w:rPr>
            <w:noProof/>
          </w:rPr>
          <w:t xml:space="preserve">Article 5.D: Advance Rulings and Appeals</w:t>
        </w:r>
        <w:r>
          <w:rPr>
            <w:noProof/>
            <w:webHidden/>
          </w:rPr>
          <w:tab/>
        </w:r>
        <w:r>
          <w:rPr>
            <w:noProof/>
            <w:webHidden/>
          </w:rPr>
          <w:fldChar w:fldCharType="begin"/>
        </w:r>
        <w:r>
          <w:rPr>
            <w:noProof/>
            <w:webHidden/>
          </w:rPr>
          <w:instrText xml:space="preserve"> PAGEREF _Toc300000204 \h </w:instrText>
        </w:r>
        <w:r>
          <w:rPr>
            <w:noProof/>
            <w:webHidden/>
          </w:rPr>
          <w:fldChar w:fldCharType="separate"/>
        </w:r>
        <w:r>
          <w:rPr>
            <w:noProof/>
            <w:webHidden/>
          </w:rPr>
          <w:t>815</w:t>
        </w:r>
        <w:r>
          <w:rPr>
            <w:noProof/>
            <w:webHidden/>
          </w:rPr>
          <w:fldChar w:fldCharType="end"/>
        </w:r>
      </w:hyperlink>
    </w:p>
    <w:p>
      <w:pPr>
        <w:pStyle w:val="TOC2"/>
      </w:pPr>
      <w:hyperlink w:anchor="_Toc300000205" w:history="1">
        <w:r>
          <w:rPr>
            <w:noProof/>
          </w:rPr>
          <w:t xml:space="preserve">Article 5.E: Electronic Certification</w:t>
        </w:r>
        <w:r>
          <w:rPr>
            <w:noProof/>
            <w:webHidden/>
          </w:rPr>
          <w:tab/>
        </w:r>
        <w:r>
          <w:rPr>
            <w:noProof/>
            <w:webHidden/>
          </w:rPr>
          <w:fldChar w:fldCharType="begin"/>
        </w:r>
        <w:r>
          <w:rPr>
            <w:noProof/>
            <w:webHidden/>
          </w:rPr>
          <w:instrText xml:space="preserve"> PAGEREF _Toc300000205 \h </w:instrText>
        </w:r>
        <w:r>
          <w:rPr>
            <w:noProof/>
            <w:webHidden/>
          </w:rPr>
          <w:fldChar w:fldCharType="separate"/>
        </w:r>
        <w:r>
          <w:rPr>
            <w:noProof/>
            <w:webHidden/>
          </w:rPr>
          <w:t>816</w:t>
        </w:r>
        <w:r>
          <w:rPr>
            <w:noProof/>
            <w:webHidden/>
          </w:rPr>
          <w:fldChar w:fldCharType="end"/>
        </w:r>
      </w:hyperlink>
    </w:p>
    <w:p>
      <w:pPr>
        <w:pStyle w:val="TOC2"/>
      </w:pPr>
      <w:hyperlink w:anchor="_Toc300000206" w:history="1">
        <w:r>
          <w:rPr>
            <w:noProof/>
          </w:rPr>
          <w:t xml:space="preserve">Article 5.F: Administrative Simplicity and Least-Burdensome Verification</w:t>
        </w:r>
        <w:r>
          <w:rPr>
            <w:noProof/>
            <w:webHidden/>
          </w:rPr>
          <w:tab/>
        </w:r>
        <w:r>
          <w:rPr>
            <w:noProof/>
            <w:webHidden/>
          </w:rPr>
          <w:fldChar w:fldCharType="begin"/>
        </w:r>
        <w:r>
          <w:rPr>
            <w:noProof/>
            <w:webHidden/>
          </w:rPr>
          <w:instrText xml:space="preserve"> PAGEREF _Toc300000206 \h </w:instrText>
        </w:r>
        <w:r>
          <w:rPr>
            <w:noProof/>
            <w:webHidden/>
          </w:rPr>
          <w:fldChar w:fldCharType="separate"/>
        </w:r>
        <w:r>
          <w:rPr>
            <w:noProof/>
            <w:webHidden/>
          </w:rPr>
          <w:t>816</w:t>
        </w:r>
        <w:r>
          <w:rPr>
            <w:noProof/>
            <w:webHidden/>
          </w:rPr>
          <w:fldChar w:fldCharType="end"/>
        </w:r>
      </w:hyperlink>
    </w:p>
    <w:p>
      <w:pPr>
        <w:pStyle w:val="TOC2"/>
      </w:pPr>
      <w:hyperlink w:anchor="_Toc300000207" w:history="1">
        <w:r>
          <w:rPr>
            <w:noProof/>
          </w:rPr>
          <w:t xml:space="preserve">Article 5.G: Standardized Verification Requests and Decisions</w:t>
        </w:r>
        <w:r>
          <w:rPr>
            <w:noProof/>
            <w:webHidden/>
          </w:rPr>
          <w:tab/>
        </w:r>
        <w:r>
          <w:rPr>
            <w:noProof/>
            <w:webHidden/>
          </w:rPr>
          <w:fldChar w:fldCharType="begin"/>
        </w:r>
        <w:r>
          <w:rPr>
            <w:noProof/>
            <w:webHidden/>
          </w:rPr>
          <w:instrText xml:space="preserve"> PAGEREF _Toc300000207 \h </w:instrText>
        </w:r>
        <w:r>
          <w:rPr>
            <w:noProof/>
            <w:webHidden/>
          </w:rPr>
          <w:fldChar w:fldCharType="separate"/>
        </w:r>
        <w:r>
          <w:rPr>
            <w:noProof/>
            <w:webHidden/>
          </w:rPr>
          <w:t>817</w:t>
        </w:r>
        <w:r>
          <w:rPr>
            <w:noProof/>
            <w:webHidden/>
          </w:rPr>
          <w:fldChar w:fldCharType="end"/>
        </w:r>
      </w:hyperlink>
    </w:p>
    <w:p>
      <w:pPr>
        <w:pStyle w:val="TOC2"/>
      </w:pPr>
      <w:hyperlink w:anchor="_Toc300000208" w:history="1">
        <w:r>
          <w:rPr>
            <w:noProof/>
          </w:rPr>
          <w:t xml:space="preserve">Article 5.H: Risk-Tiered Verification</w:t>
        </w:r>
        <w:r>
          <w:rPr>
            <w:noProof/>
            <w:webHidden/>
          </w:rPr>
          <w:tab/>
        </w:r>
        <w:r>
          <w:rPr>
            <w:noProof/>
            <w:webHidden/>
          </w:rPr>
          <w:fldChar w:fldCharType="begin"/>
        </w:r>
        <w:r>
          <w:rPr>
            <w:noProof/>
            <w:webHidden/>
          </w:rPr>
          <w:instrText xml:space="preserve"> PAGEREF _Toc300000208 \h </w:instrText>
        </w:r>
        <w:r>
          <w:rPr>
            <w:noProof/>
            <w:webHidden/>
          </w:rPr>
          <w:fldChar w:fldCharType="separate"/>
        </w:r>
        <w:r>
          <w:rPr>
            <w:noProof/>
            <w:webHidden/>
          </w:rPr>
          <w:t>817</w:t>
        </w:r>
        <w:r>
          <w:rPr>
            <w:noProof/>
            <w:webHidden/>
          </w:rPr>
          <w:fldChar w:fldCharType="end"/>
        </w:r>
      </w:hyperlink>
    </w:p>
    <w:p>
      <w:pPr>
        <w:pStyle w:val="TOC2"/>
      </w:pPr>
      <w:hyperlink w:anchor="_Toc300000209" w:history="1">
        <w:r>
          <w:rPr>
            <w:noProof/>
          </w:rPr>
          <w:t xml:space="preserve">Article 5.I: Single Submission and Reuse of Reliable Evidence</w:t>
        </w:r>
        <w:r>
          <w:rPr>
            <w:noProof/>
            <w:webHidden/>
          </w:rPr>
          <w:tab/>
        </w:r>
        <w:r>
          <w:rPr>
            <w:noProof/>
            <w:webHidden/>
          </w:rPr>
          <w:fldChar w:fldCharType="begin"/>
        </w:r>
        <w:r>
          <w:rPr>
            <w:noProof/>
            <w:webHidden/>
          </w:rPr>
          <w:instrText xml:space="preserve"> PAGEREF _Toc300000209 \h </w:instrText>
        </w:r>
        <w:r>
          <w:rPr>
            <w:noProof/>
            <w:webHidden/>
          </w:rPr>
          <w:fldChar w:fldCharType="separate"/>
        </w:r>
        <w:r>
          <w:rPr>
            <w:noProof/>
            <w:webHidden/>
          </w:rPr>
          <w:t>817</w:t>
        </w:r>
        <w:r>
          <w:rPr>
            <w:noProof/>
            <w:webHidden/>
          </w:rPr>
          <w:fldChar w:fldCharType="end"/>
        </w:r>
      </w:hyperlink>
    </w:p>
    <w:p>
      <w:pPr>
        <w:pStyle w:val="TOC2"/>
      </w:pPr>
      <w:hyperlink w:anchor="_Toc300000210" w:history="1">
        <w:r>
          <w:rPr>
            <w:noProof/>
          </w:rPr>
          <w:t xml:space="preserve">Article 5.J: Batch Certification and Model-Year Determinations</w:t>
        </w:r>
        <w:r>
          <w:rPr>
            <w:noProof/>
            <w:webHidden/>
          </w:rPr>
          <w:tab/>
        </w:r>
        <w:r>
          <w:rPr>
            <w:noProof/>
            <w:webHidden/>
          </w:rPr>
          <w:fldChar w:fldCharType="begin"/>
        </w:r>
        <w:r>
          <w:rPr>
            <w:noProof/>
            <w:webHidden/>
          </w:rPr>
          <w:instrText xml:space="preserve"> PAGEREF _Toc300000210 \h </w:instrText>
        </w:r>
        <w:r>
          <w:rPr>
            <w:noProof/>
            <w:webHidden/>
          </w:rPr>
          <w:fldChar w:fldCharType="separate"/>
        </w:r>
        <w:r>
          <w:rPr>
            <w:noProof/>
            <w:webHidden/>
          </w:rPr>
          <w:t>818</w:t>
        </w:r>
        <w:r>
          <w:rPr>
            <w:noProof/>
            <w:webHidden/>
          </w:rPr>
          <w:fldChar w:fldCharType="end"/>
        </w:r>
      </w:hyperlink>
    </w:p>
    <w:p>
      <w:pPr>
        <w:pStyle w:val="TOC2"/>
      </w:pPr>
      <w:hyperlink w:anchor="_Toc300000211" w:history="1">
        <w:r>
          <w:rPr>
            <w:noProof/>
          </w:rPr>
          <w:t xml:space="preserve">Article 5.K: Correction, Cure, and Administrative Stay</w:t>
        </w:r>
        <w:r>
          <w:rPr>
            <w:noProof/>
            <w:webHidden/>
          </w:rPr>
          <w:tab/>
        </w:r>
        <w:r>
          <w:rPr>
            <w:noProof/>
            <w:webHidden/>
          </w:rPr>
          <w:fldChar w:fldCharType="begin"/>
        </w:r>
        <w:r>
          <w:rPr>
            <w:noProof/>
            <w:webHidden/>
          </w:rPr>
          <w:instrText xml:space="preserve"> PAGEREF _Toc300000211 \h </w:instrText>
        </w:r>
        <w:r>
          <w:rPr>
            <w:noProof/>
            <w:webHidden/>
          </w:rPr>
          <w:fldChar w:fldCharType="separate"/>
        </w:r>
        <w:r>
          <w:rPr>
            <w:noProof/>
            <w:webHidden/>
          </w:rPr>
          <w:t>818</w:t>
        </w:r>
        <w:r>
          <w:rPr>
            <w:noProof/>
            <w:webHidden/>
          </w:rPr>
          <w:fldChar w:fldCharType="end"/>
        </w:r>
      </w:hyperlink>
    </w:p>
    <w:p>
      <w:pPr>
        <w:pStyle w:val="TOC2"/>
      </w:pPr>
      <w:hyperlink w:anchor="_Toc300000212" w:history="1">
        <w:r>
          <w:rPr>
            <w:noProof/>
          </w:rPr>
          <w:t xml:space="preserve">Article 5.L: Verification Clocks and Status Transparency</w:t>
        </w:r>
        <w:r>
          <w:rPr>
            <w:noProof/>
            <w:webHidden/>
          </w:rPr>
          <w:tab/>
        </w:r>
        <w:r>
          <w:rPr>
            <w:noProof/>
            <w:webHidden/>
          </w:rPr>
          <w:fldChar w:fldCharType="begin"/>
        </w:r>
        <w:r>
          <w:rPr>
            <w:noProof/>
            <w:webHidden/>
          </w:rPr>
          <w:instrText xml:space="preserve"> PAGEREF _Toc300000212 \h </w:instrText>
        </w:r>
        <w:r>
          <w:rPr>
            <w:noProof/>
            <w:webHidden/>
          </w:rPr>
          <w:fldChar w:fldCharType="separate"/>
        </w:r>
        <w:r>
          <w:rPr>
            <w:noProof/>
            <w:webHidden/>
          </w:rPr>
          <w:t>818</w:t>
        </w:r>
        <w:r>
          <w:rPr>
            <w:noProof/>
            <w:webHidden/>
          </w:rPr>
          <w:fldChar w:fldCharType="end"/>
        </w:r>
      </w:hyperlink>
    </w:p>
    <w:p>
      <w:pPr>
        <w:pStyle w:val="TOC2"/>
      </w:pPr>
      <w:hyperlink w:anchor="_Toc300000213" w:history="1">
        <w:r>
          <w:rPr>
            <w:noProof/>
          </w:rPr>
          <w:t xml:space="preserve">Article 5.M: Electronic Traceability and Technology Neutrality</w:t>
        </w:r>
        <w:r>
          <w:rPr>
            <w:noProof/>
            <w:webHidden/>
          </w:rPr>
          <w:tab/>
        </w:r>
        <w:r>
          <w:rPr>
            <w:noProof/>
            <w:webHidden/>
          </w:rPr>
          <w:fldChar w:fldCharType="begin"/>
        </w:r>
        <w:r>
          <w:rPr>
            <w:noProof/>
            <w:webHidden/>
          </w:rPr>
          <w:instrText xml:space="preserve"> PAGEREF _Toc300000213 \h </w:instrText>
        </w:r>
        <w:r>
          <w:rPr>
            <w:noProof/>
            <w:webHidden/>
          </w:rPr>
          <w:fldChar w:fldCharType="separate"/>
        </w:r>
        <w:r>
          <w:rPr>
            <w:noProof/>
            <w:webHidden/>
          </w:rPr>
          <w:t>819</w:t>
        </w:r>
        <w:r>
          <w:rPr>
            <w:noProof/>
            <w:webHidden/>
          </w:rPr>
          <w:fldChar w:fldCharType="end"/>
        </w:r>
      </w:hyperlink>
    </w:p>
    <w:p>
      <w:pPr>
        <w:pStyle w:val="TOC2"/>
      </w:pPr>
      <w:hyperlink w:anchor="_Toc300000214" w:history="1">
        <w:r>
          <w:rPr>
            <w:noProof/>
          </w:rPr>
          <w:t xml:space="preserve">Article 5.N: Proportionate Supplier Documentation</w:t>
        </w:r>
        <w:r>
          <w:rPr>
            <w:noProof/>
            <w:webHidden/>
          </w:rPr>
          <w:tab/>
        </w:r>
        <w:r>
          <w:rPr>
            <w:noProof/>
            <w:webHidden/>
          </w:rPr>
          <w:fldChar w:fldCharType="begin"/>
        </w:r>
        <w:r>
          <w:rPr>
            <w:noProof/>
            <w:webHidden/>
          </w:rPr>
          <w:instrText xml:space="preserve"> PAGEREF _Toc300000214 \h </w:instrText>
        </w:r>
        <w:r>
          <w:rPr>
            <w:noProof/>
            <w:webHidden/>
          </w:rPr>
          <w:fldChar w:fldCharType="separate"/>
        </w:r>
        <w:r>
          <w:rPr>
            <w:noProof/>
            <w:webHidden/>
          </w:rPr>
          <w:t>819</w:t>
        </w:r>
        <w:r>
          <w:rPr>
            <w:noProof/>
            <w:webHidden/>
          </w:rPr>
          <w:fldChar w:fldCharType="end"/>
        </w:r>
      </w:hyperlink>
    </w:p>
    <w:p>
      <w:pPr>
        <w:pStyle w:val="TOC2"/>
      </w:pPr>
      <w:hyperlink w:anchor="_Toc300000215" w:history="1">
        <w:r>
          <w:rPr>
            <w:noProof/>
          </w:rPr>
          <w:t xml:space="preserve">Article 5.O: Appeals Without Unnecessary Trade Interruption</w:t>
        </w:r>
        <w:r>
          <w:rPr>
            <w:noProof/>
            <w:webHidden/>
          </w:rPr>
          <w:tab/>
        </w:r>
        <w:r>
          <w:rPr>
            <w:noProof/>
            <w:webHidden/>
          </w:rPr>
          <w:fldChar w:fldCharType="begin"/>
        </w:r>
        <w:r>
          <w:rPr>
            <w:noProof/>
            <w:webHidden/>
          </w:rPr>
          <w:instrText xml:space="preserve"> PAGEREF _Toc300000215 \h </w:instrText>
        </w:r>
        <w:r>
          <w:rPr>
            <w:noProof/>
            <w:webHidden/>
          </w:rPr>
          <w:fldChar w:fldCharType="separate"/>
        </w:r>
        <w:r>
          <w:rPr>
            <w:noProof/>
            <w:webHidden/>
          </w:rPr>
          <w:t>819</w:t>
        </w:r>
        <w:r>
          <w:rPr>
            <w:noProof/>
            <w:webHidden/>
          </w:rPr>
          <w:fldChar w:fldCharType="end"/>
        </w:r>
      </w:hyperlink>
    </w:p>
    <w:p>
      <w:pPr>
        <w:pStyle w:val="TOC2"/>
      </w:pPr>
      <w:hyperlink w:anchor="_Toc300000216" w:history="1">
        <w:r>
          <w:rPr>
            <w:noProof/>
          </w:rPr>
          <w:t xml:space="preserve">Article 5.P: Consolidated Origin Verification Manual and Training</w:t>
        </w:r>
        <w:r>
          <w:rPr>
            <w:noProof/>
            <w:webHidden/>
          </w:rPr>
          <w:tab/>
        </w:r>
        <w:r>
          <w:rPr>
            <w:noProof/>
            <w:webHidden/>
          </w:rPr>
          <w:fldChar w:fldCharType="begin"/>
        </w:r>
        <w:r>
          <w:rPr>
            <w:noProof/>
            <w:webHidden/>
          </w:rPr>
          <w:instrText xml:space="preserve"> PAGEREF _Toc300000216 \h </w:instrText>
        </w:r>
        <w:r>
          <w:rPr>
            <w:noProof/>
            <w:webHidden/>
          </w:rPr>
          <w:fldChar w:fldCharType="separate"/>
        </w:r>
        <w:r>
          <w:rPr>
            <w:noProof/>
            <w:webHidden/>
          </w:rPr>
          <w:t>820</w:t>
        </w:r>
        <w:r>
          <w:rPr>
            <w:noProof/>
            <w:webHidden/>
          </w:rPr>
          <w:fldChar w:fldCharType="end"/>
        </w:r>
      </w:hyperlink>
    </w:p>
    <w:p>
      <w:pPr>
        <w:pStyle w:val="TOC2"/>
      </w:pPr>
      <w:hyperlink w:anchor="_Toc300000217" w:history="1">
        <w:r>
          <w:rPr>
            <w:noProof/>
          </w:rPr>
          <w:t xml:space="preserve">Article 5.Q: No Delay of Chapter 23-B Benefits Through Verification</w:t>
        </w:r>
        <w:r>
          <w:rPr>
            <w:noProof/>
            <w:webHidden/>
          </w:rPr>
          <w:tab/>
        </w:r>
        <w:r>
          <w:rPr>
            <w:noProof/>
            <w:webHidden/>
          </w:rPr>
          <w:fldChar w:fldCharType="begin"/>
        </w:r>
        <w:r>
          <w:rPr>
            <w:noProof/>
            <w:webHidden/>
          </w:rPr>
          <w:instrText xml:space="preserve"> PAGEREF _Toc300000217 \h </w:instrText>
        </w:r>
        <w:r>
          <w:rPr>
            <w:noProof/>
            <w:webHidden/>
          </w:rPr>
          <w:fldChar w:fldCharType="separate"/>
        </w:r>
        <w:r>
          <w:rPr>
            <w:noProof/>
            <w:webHidden/>
          </w:rPr>
          <w:t>820</w:t>
        </w:r>
        <w:r>
          <w:rPr>
            <w:noProof/>
            <w:webHidden/>
          </w:rPr>
          <w:fldChar w:fldCharType="end"/>
        </w:r>
      </w:hyperlink>
    </w:p>
    <w:p>
      <w:pPr>
        <w:pStyle w:val="TOC2"/>
      </w:pPr>
      <w:hyperlink w:anchor="_Toc300000218" w:history="1">
        <w:r>
          <w:rPr>
            <w:noProof/>
          </w:rPr>
          <w:t xml:space="preserve">ANNEX 5-Z: Verification Service Standards and Safe-Harbor Matrix</w:t>
        </w:r>
        <w:r>
          <w:rPr>
            <w:noProof/>
            <w:webHidden/>
          </w:rPr>
          <w:tab/>
        </w:r>
        <w:r>
          <w:rPr>
            <w:noProof/>
            <w:webHidden/>
          </w:rPr>
          <w:fldChar w:fldCharType="begin"/>
        </w:r>
        <w:r>
          <w:rPr>
            <w:noProof/>
            <w:webHidden/>
          </w:rPr>
          <w:instrText xml:space="preserve"> PAGEREF _Toc300000218 \h </w:instrText>
        </w:r>
        <w:r>
          <w:rPr>
            <w:noProof/>
            <w:webHidden/>
          </w:rPr>
          <w:fldChar w:fldCharType="separate"/>
        </w:r>
        <w:r>
          <w:rPr>
            <w:noProof/>
            <w:webHidden/>
          </w:rPr>
          <w:t>820</w:t>
        </w:r>
        <w:r>
          <w:rPr>
            <w:noProof/>
            <w:webHidden/>
          </w:rPr>
          <w:fldChar w:fldCharType="end"/>
        </w:r>
      </w:hyperlink>
    </w:p>
    <w:p>
      <w:pPr>
        <w:pStyle w:val="TOC2"/>
      </w:pPr>
      <w:hyperlink w:anchor="_Toc300000219" w:history="1">
        <w:r>
          <w:rPr>
            <w:noProof/>
          </w:rPr>
          <w:t xml:space="preserve">Implementation Direction</w:t>
        </w:r>
        <w:r>
          <w:rPr>
            <w:noProof/>
            <w:webHidden/>
          </w:rPr>
          <w:tab/>
        </w:r>
        <w:r>
          <w:rPr>
            <w:noProof/>
            <w:webHidden/>
          </w:rPr>
          <w:fldChar w:fldCharType="begin"/>
        </w:r>
        <w:r>
          <w:rPr>
            <w:noProof/>
            <w:webHidden/>
          </w:rPr>
          <w:instrText xml:space="preserve"> PAGEREF _Toc300000219 \h </w:instrText>
        </w:r>
        <w:r>
          <w:rPr>
            <w:noProof/>
            <w:webHidden/>
          </w:rPr>
          <w:fldChar w:fldCharType="separate"/>
        </w:r>
        <w:r>
          <w:rPr>
            <w:noProof/>
            <w:webHidden/>
          </w:rPr>
          <w:t>821</w:t>
        </w:r>
        <w:r>
          <w:rPr>
            <w:noProof/>
            <w:webHidden/>
          </w:rPr>
          <w:fldChar w:fldCharType="end"/>
        </w:r>
      </w:hyperlink>
    </w:p>
    <w:p>
      <w:pPr>
        <w:pStyle w:val="TOC1"/>
      </w:pPr>
      <w:hyperlink w:anchor="_Toc300000220" w:history="1">
        <w:r>
          <w:rPr>
            <w:noProof/>
          </w:rPr>
          <w:t xml:space="preserve">CHAPTER 6 TEXTILE AND APPAREL GOODS</w:t>
        </w:r>
        <w:r>
          <w:rPr>
            <w:noProof/>
            <w:webHidden/>
          </w:rPr>
          <w:tab/>
        </w:r>
        <w:r>
          <w:rPr>
            <w:noProof/>
            <w:webHidden/>
          </w:rPr>
          <w:fldChar w:fldCharType="begin"/>
        </w:r>
        <w:r>
          <w:rPr>
            <w:noProof/>
            <w:webHidden/>
          </w:rPr>
          <w:instrText xml:space="preserve"> PAGEREF _Toc300000220 \h </w:instrText>
        </w:r>
        <w:r>
          <w:rPr>
            <w:noProof/>
            <w:webHidden/>
          </w:rPr>
          <w:fldChar w:fldCharType="separate"/>
        </w:r>
        <w:r>
          <w:rPr>
            <w:noProof/>
            <w:webHidden/>
          </w:rPr>
          <w:t>822</w:t>
        </w:r>
        <w:r>
          <w:rPr>
            <w:noProof/>
            <w:webHidden/>
          </w:rPr>
          <w:fldChar w:fldCharType="end"/>
        </w:r>
      </w:hyperlink>
    </w:p>
    <w:p>
      <w:pPr>
        <w:pStyle w:val="TOC2"/>
      </w:pPr>
      <w:hyperlink w:anchor="_Toc300000221" w:history="1">
        <w:r>
          <w:rPr>
            <w:noProof/>
          </w:rPr>
          <w:t xml:space="preserve">Article 6.1: Rules of Origin and Related Matters</w:t>
        </w:r>
        <w:r>
          <w:rPr>
            <w:noProof/>
            <w:webHidden/>
          </w:rPr>
          <w:tab/>
        </w:r>
        <w:r>
          <w:rPr>
            <w:noProof/>
            <w:webHidden/>
          </w:rPr>
          <w:fldChar w:fldCharType="begin"/>
        </w:r>
        <w:r>
          <w:rPr>
            <w:noProof/>
            <w:webHidden/>
          </w:rPr>
          <w:instrText xml:space="preserve"> PAGEREF _Toc300000221 \h </w:instrText>
        </w:r>
        <w:r>
          <w:rPr>
            <w:noProof/>
            <w:webHidden/>
          </w:rPr>
          <w:fldChar w:fldCharType="separate"/>
        </w:r>
        <w:r>
          <w:rPr>
            <w:noProof/>
            <w:webHidden/>
          </w:rPr>
          <w:t>822</w:t>
        </w:r>
        <w:r>
          <w:rPr>
            <w:noProof/>
            <w:webHidden/>
          </w:rPr>
          <w:fldChar w:fldCharType="end"/>
        </w:r>
      </w:hyperlink>
    </w:p>
    <w:p>
      <w:pPr>
        <w:pStyle w:val="TOC2"/>
      </w:pPr>
      <w:hyperlink w:anchor="_Toc300000222" w:history="1">
        <w:r>
          <w:rPr>
            <w:noProof/>
          </w:rPr>
          <w:t xml:space="preserve">Article 6.2: Handmade, Traditional Folkloric, or Indigenous Handicraft Goods</w:t>
        </w:r>
        <w:r>
          <w:rPr>
            <w:noProof/>
            <w:webHidden/>
          </w:rPr>
          <w:tab/>
        </w:r>
        <w:r>
          <w:rPr>
            <w:noProof/>
            <w:webHidden/>
          </w:rPr>
          <w:fldChar w:fldCharType="begin"/>
        </w:r>
        <w:r>
          <w:rPr>
            <w:noProof/>
            <w:webHidden/>
          </w:rPr>
          <w:instrText xml:space="preserve"> PAGEREF _Toc300000222 \h </w:instrText>
        </w:r>
        <w:r>
          <w:rPr>
            <w:noProof/>
            <w:webHidden/>
          </w:rPr>
          <w:fldChar w:fldCharType="separate"/>
        </w:r>
        <w:r>
          <w:rPr>
            <w:noProof/>
            <w:webHidden/>
          </w:rPr>
          <w:t>822</w:t>
        </w:r>
        <w:r>
          <w:rPr>
            <w:noProof/>
            <w:webHidden/>
          </w:rPr>
          <w:fldChar w:fldCharType="end"/>
        </w:r>
      </w:hyperlink>
    </w:p>
    <w:p>
      <w:pPr>
        <w:pStyle w:val="TOC2"/>
      </w:pPr>
      <w:hyperlink w:anchor="_Toc300000223" w:history="1">
        <w:r>
          <w:rPr>
            <w:noProof/>
          </w:rPr>
          <w:t xml:space="preserve">Article 6.3: Special Provisions</w:t>
        </w:r>
        <w:r>
          <w:rPr>
            <w:noProof/>
            <w:webHidden/>
          </w:rPr>
          <w:tab/>
        </w:r>
        <w:r>
          <w:rPr>
            <w:noProof/>
            <w:webHidden/>
          </w:rPr>
          <w:fldChar w:fldCharType="begin"/>
        </w:r>
        <w:r>
          <w:rPr>
            <w:noProof/>
            <w:webHidden/>
          </w:rPr>
          <w:instrText xml:space="preserve"> PAGEREF _Toc300000223 \h </w:instrText>
        </w:r>
        <w:r>
          <w:rPr>
            <w:noProof/>
            <w:webHidden/>
          </w:rPr>
          <w:fldChar w:fldCharType="separate"/>
        </w:r>
        <w:r>
          <w:rPr>
            <w:noProof/>
            <w:webHidden/>
          </w:rPr>
          <w:t>823</w:t>
        </w:r>
        <w:r>
          <w:rPr>
            <w:noProof/>
            <w:webHidden/>
          </w:rPr>
          <w:fldChar w:fldCharType="end"/>
        </w:r>
      </w:hyperlink>
    </w:p>
    <w:p>
      <w:pPr>
        <w:pStyle w:val="TOC2"/>
      </w:pPr>
      <w:hyperlink w:anchor="_Toc300000224" w:history="1">
        <w:r>
          <w:rPr>
            <w:noProof/>
          </w:rPr>
          <w:t xml:space="preserve">Article 6.4: Review and Revision of Rules of Origin</w:t>
        </w:r>
        <w:r>
          <w:rPr>
            <w:noProof/>
            <w:webHidden/>
          </w:rPr>
          <w:tab/>
        </w:r>
        <w:r>
          <w:rPr>
            <w:noProof/>
            <w:webHidden/>
          </w:rPr>
          <w:fldChar w:fldCharType="begin"/>
        </w:r>
        <w:r>
          <w:rPr>
            <w:noProof/>
            <w:webHidden/>
          </w:rPr>
          <w:instrText xml:space="preserve"> PAGEREF _Toc300000224 \h </w:instrText>
        </w:r>
        <w:r>
          <w:rPr>
            <w:noProof/>
            <w:webHidden/>
          </w:rPr>
          <w:fldChar w:fldCharType="separate"/>
        </w:r>
        <w:r>
          <w:rPr>
            <w:noProof/>
            <w:webHidden/>
          </w:rPr>
          <w:t>823</w:t>
        </w:r>
        <w:r>
          <w:rPr>
            <w:noProof/>
            <w:webHidden/>
          </w:rPr>
          <w:fldChar w:fldCharType="end"/>
        </w:r>
      </w:hyperlink>
    </w:p>
    <w:p>
      <w:pPr>
        <w:pStyle w:val="TOC2"/>
      </w:pPr>
      <w:hyperlink w:anchor="_Toc300000225" w:history="1">
        <w:r>
          <w:rPr>
            <w:noProof/>
          </w:rPr>
          <w:t xml:space="preserve">Article 6.5: Cooperation</w:t>
        </w:r>
        <w:r>
          <w:rPr>
            <w:noProof/>
            <w:webHidden/>
          </w:rPr>
          <w:tab/>
        </w:r>
        <w:r>
          <w:rPr>
            <w:noProof/>
            <w:webHidden/>
          </w:rPr>
          <w:fldChar w:fldCharType="begin"/>
        </w:r>
        <w:r>
          <w:rPr>
            <w:noProof/>
            <w:webHidden/>
          </w:rPr>
          <w:instrText xml:space="preserve"> PAGEREF _Toc300000225 \h </w:instrText>
        </w:r>
        <w:r>
          <w:rPr>
            <w:noProof/>
            <w:webHidden/>
          </w:rPr>
          <w:fldChar w:fldCharType="separate"/>
        </w:r>
        <w:r>
          <w:rPr>
            <w:noProof/>
            <w:webHidden/>
          </w:rPr>
          <w:t>823</w:t>
        </w:r>
        <w:r>
          <w:rPr>
            <w:noProof/>
            <w:webHidden/>
          </w:rPr>
          <w:fldChar w:fldCharType="end"/>
        </w:r>
      </w:hyperlink>
    </w:p>
    <w:p>
      <w:pPr>
        <w:pStyle w:val="TOC2"/>
      </w:pPr>
      <w:hyperlink w:anchor="_Toc300000226" w:history="1">
        <w:r>
          <w:rPr>
            <w:noProof/>
          </w:rPr>
          <w:t xml:space="preserve">Article 6.6: Verification</w:t>
        </w:r>
        <w:r>
          <w:rPr>
            <w:noProof/>
            <w:webHidden/>
          </w:rPr>
          <w:tab/>
        </w:r>
        <w:r>
          <w:rPr>
            <w:noProof/>
            <w:webHidden/>
          </w:rPr>
          <w:fldChar w:fldCharType="begin"/>
        </w:r>
        <w:r>
          <w:rPr>
            <w:noProof/>
            <w:webHidden/>
          </w:rPr>
          <w:instrText xml:space="preserve"> PAGEREF _Toc300000226 \h </w:instrText>
        </w:r>
        <w:r>
          <w:rPr>
            <w:noProof/>
            <w:webHidden/>
          </w:rPr>
          <w:fldChar w:fldCharType="separate"/>
        </w:r>
        <w:r>
          <w:rPr>
            <w:noProof/>
            <w:webHidden/>
          </w:rPr>
          <w:t>823</w:t>
        </w:r>
        <w:r>
          <w:rPr>
            <w:noProof/>
            <w:webHidden/>
          </w:rPr>
          <w:fldChar w:fldCharType="end"/>
        </w:r>
      </w:hyperlink>
    </w:p>
    <w:p>
      <w:pPr>
        <w:pStyle w:val="TOC2"/>
      </w:pPr>
      <w:hyperlink w:anchor="_Toc300000227" w:history="1">
        <w:r>
          <w:rPr>
            <w:noProof/>
          </w:rPr>
          <w:t xml:space="preserve">Article 6.7: Determinations</w:t>
        </w:r>
        <w:r>
          <w:rPr>
            <w:noProof/>
            <w:webHidden/>
          </w:rPr>
          <w:tab/>
        </w:r>
        <w:r>
          <w:rPr>
            <w:noProof/>
            <w:webHidden/>
          </w:rPr>
          <w:fldChar w:fldCharType="begin"/>
        </w:r>
        <w:r>
          <w:rPr>
            <w:noProof/>
            <w:webHidden/>
          </w:rPr>
          <w:instrText xml:space="preserve"> PAGEREF _Toc300000227 \h </w:instrText>
        </w:r>
        <w:r>
          <w:rPr>
            <w:noProof/>
            <w:webHidden/>
          </w:rPr>
          <w:fldChar w:fldCharType="separate"/>
        </w:r>
        <w:r>
          <w:rPr>
            <w:noProof/>
            <w:webHidden/>
          </w:rPr>
          <w:t>826</w:t>
        </w:r>
        <w:r>
          <w:rPr>
            <w:noProof/>
            <w:webHidden/>
          </w:rPr>
          <w:fldChar w:fldCharType="end"/>
        </w:r>
      </w:hyperlink>
    </w:p>
    <w:p>
      <w:pPr>
        <w:pStyle w:val="TOC2"/>
      </w:pPr>
      <w:hyperlink w:anchor="_Toc300000228" w:history="1">
        <w:r>
          <w:rPr>
            <w:noProof/>
          </w:rPr>
          <w:t xml:space="preserve">Article 6.8: Committee on Textile and Apparel Trade Matters</w:t>
        </w:r>
        <w:r>
          <w:rPr>
            <w:noProof/>
            <w:webHidden/>
          </w:rPr>
          <w:tab/>
        </w:r>
        <w:r>
          <w:rPr>
            <w:noProof/>
            <w:webHidden/>
          </w:rPr>
          <w:fldChar w:fldCharType="begin"/>
        </w:r>
        <w:r>
          <w:rPr>
            <w:noProof/>
            <w:webHidden/>
          </w:rPr>
          <w:instrText xml:space="preserve"> PAGEREF _Toc300000228 \h </w:instrText>
        </w:r>
        <w:r>
          <w:rPr>
            <w:noProof/>
            <w:webHidden/>
          </w:rPr>
          <w:fldChar w:fldCharType="separate"/>
        </w:r>
        <w:r>
          <w:rPr>
            <w:noProof/>
            <w:webHidden/>
          </w:rPr>
          <w:t>826</w:t>
        </w:r>
        <w:r>
          <w:rPr>
            <w:noProof/>
            <w:webHidden/>
          </w:rPr>
          <w:fldChar w:fldCharType="end"/>
        </w:r>
      </w:hyperlink>
    </w:p>
    <w:p>
      <w:pPr>
        <w:pStyle w:val="TOC2"/>
      </w:pPr>
      <w:hyperlink w:anchor="_Toc300000229" w:history="1">
        <w:r>
          <w:rPr>
            <w:noProof/>
          </w:rPr>
          <w:t xml:space="preserve">Article 6.9: Confidentiality</w:t>
        </w:r>
        <w:r>
          <w:rPr>
            <w:noProof/>
            <w:webHidden/>
          </w:rPr>
          <w:tab/>
        </w:r>
        <w:r>
          <w:rPr>
            <w:noProof/>
            <w:webHidden/>
          </w:rPr>
          <w:fldChar w:fldCharType="begin"/>
        </w:r>
        <w:r>
          <w:rPr>
            <w:noProof/>
            <w:webHidden/>
          </w:rPr>
          <w:instrText xml:space="preserve"> PAGEREF _Toc300000229 \h </w:instrText>
        </w:r>
        <w:r>
          <w:rPr>
            <w:noProof/>
            <w:webHidden/>
          </w:rPr>
          <w:fldChar w:fldCharType="separate"/>
        </w:r>
        <w:r>
          <w:rPr>
            <w:noProof/>
            <w:webHidden/>
          </w:rPr>
          <w:t>826</w:t>
        </w:r>
        <w:r>
          <w:rPr>
            <w:noProof/>
            <w:webHidden/>
          </w:rPr>
          <w:fldChar w:fldCharType="end"/>
        </w:r>
      </w:hyperlink>
    </w:p>
    <w:p>
      <w:pPr>
        <w:pStyle w:val="TOC2"/>
      </w:pPr>
      <w:hyperlink w:anchor="_Toc300000230" w:history="1">
        <w:r>
          <w:rPr>
            <w:noProof/>
          </w:rPr>
          <w:t xml:space="preserve">ANNEX 6-A SPECIAL PROVISIONS</w:t>
        </w:r>
        <w:r>
          <w:rPr>
            <w:noProof/>
            <w:webHidden/>
          </w:rPr>
          <w:tab/>
        </w:r>
        <w:r>
          <w:rPr>
            <w:noProof/>
            <w:webHidden/>
          </w:rPr>
          <w:fldChar w:fldCharType="begin"/>
        </w:r>
        <w:r>
          <w:rPr>
            <w:noProof/>
            <w:webHidden/>
          </w:rPr>
          <w:instrText xml:space="preserve"> PAGEREF _Toc300000230 \h </w:instrText>
        </w:r>
        <w:r>
          <w:rPr>
            <w:noProof/>
            <w:webHidden/>
          </w:rPr>
          <w:fldChar w:fldCharType="separate"/>
        </w:r>
        <w:r>
          <w:rPr>
            <w:noProof/>
            <w:webHidden/>
          </w:rPr>
          <w:t>827</w:t>
        </w:r>
        <w:r>
          <w:rPr>
            <w:noProof/>
            <w:webHidden/>
          </w:rPr>
          <w:fldChar w:fldCharType="end"/>
        </w:r>
      </w:hyperlink>
    </w:p>
    <w:p>
      <w:pPr>
        <w:pStyle w:val="TOC2"/>
      </w:pPr>
      <w:hyperlink w:anchor="_Toc300000231" w:history="1">
        <w:r>
          <w:rPr>
            <w:noProof/>
          </w:rPr>
          <w:t xml:space="preserve">APPENDIX 1 PREFERENTIAL TARIFF TREATMENT FOR NON-ORIGINATING APPAREL</w:t>
        </w:r>
        <w:r>
          <w:rPr>
            <w:noProof/>
            <w:webHidden/>
          </w:rPr>
          <w:tab/>
        </w:r>
        <w:r>
          <w:rPr>
            <w:noProof/>
            <w:webHidden/>
          </w:rPr>
          <w:fldChar w:fldCharType="begin"/>
        </w:r>
        <w:r>
          <w:rPr>
            <w:noProof/>
            <w:webHidden/>
          </w:rPr>
          <w:instrText xml:space="preserve"> PAGEREF _Toc300000231 \h </w:instrText>
        </w:r>
        <w:r>
          <w:rPr>
            <w:noProof/>
            <w:webHidden/>
          </w:rPr>
          <w:fldChar w:fldCharType="separate"/>
        </w:r>
        <w:r>
          <w:rPr>
            <w:noProof/>
            <w:webHidden/>
          </w:rPr>
          <w:t>830</w:t>
        </w:r>
        <w:r>
          <w:rPr>
            <w:noProof/>
            <w:webHidden/>
          </w:rPr>
          <w:fldChar w:fldCharType="end"/>
        </w:r>
      </w:hyperlink>
    </w:p>
    <w:p>
      <w:pPr>
        <w:pStyle w:val="TOC2"/>
      </w:pPr>
      <w:hyperlink w:anchor="_Toc300000232" w:history="1">
        <w:r>
          <w:rPr>
            <w:noProof/>
          </w:rPr>
          <w:t xml:space="preserve">APPENDIX 2 PREFERENTIAL TARIFF TREATMENT FOR NON-ORIGINATING COTTON OR MAN-MADE FIBER FABRICS AND MADE-UP GOODS</w:t>
        </w:r>
        <w:r>
          <w:rPr>
            <w:noProof/>
            <w:webHidden/>
          </w:rPr>
          <w:tab/>
        </w:r>
        <w:r>
          <w:rPr>
            <w:noProof/>
            <w:webHidden/>
          </w:rPr>
          <w:fldChar w:fldCharType="begin"/>
        </w:r>
        <w:r>
          <w:rPr>
            <w:noProof/>
            <w:webHidden/>
          </w:rPr>
          <w:instrText xml:space="preserve"> PAGEREF _Toc300000232 \h </w:instrText>
        </w:r>
        <w:r>
          <w:rPr>
            <w:noProof/>
            <w:webHidden/>
          </w:rPr>
          <w:fldChar w:fldCharType="separate"/>
        </w:r>
        <w:r>
          <w:rPr>
            <w:noProof/>
            <w:webHidden/>
          </w:rPr>
          <w:t>831</w:t>
        </w:r>
        <w:r>
          <w:rPr>
            <w:noProof/>
            <w:webHidden/>
          </w:rPr>
          <w:fldChar w:fldCharType="end"/>
        </w:r>
      </w:hyperlink>
    </w:p>
    <w:p>
      <w:pPr>
        <w:pStyle w:val="TOC2"/>
      </w:pPr>
      <w:hyperlink w:anchor="_Toc300000233" w:history="1">
        <w:r>
          <w:rPr>
            <w:noProof/>
          </w:rPr>
          <w:t xml:space="preserve">APPENDIX 3: PREFERENTIAL TARIFF TREATMENT FOR NON-ORIGINATING COTTON OR MAN-MADE FIBER SPUN YARN</w:t>
        </w:r>
        <w:r>
          <w:rPr>
            <w:noProof/>
            <w:webHidden/>
          </w:rPr>
          <w:tab/>
        </w:r>
        <w:r>
          <w:rPr>
            <w:noProof/>
            <w:webHidden/>
          </w:rPr>
          <w:fldChar w:fldCharType="begin"/>
        </w:r>
        <w:r>
          <w:rPr>
            <w:noProof/>
            <w:webHidden/>
          </w:rPr>
          <w:instrText xml:space="preserve"> PAGEREF _Toc300000233 \h </w:instrText>
        </w:r>
        <w:r>
          <w:rPr>
            <w:noProof/>
            <w:webHidden/>
          </w:rPr>
          <w:fldChar w:fldCharType="separate"/>
        </w:r>
        <w:r>
          <w:rPr>
            <w:noProof/>
            <w:webHidden/>
          </w:rPr>
          <w:t>831</w:t>
        </w:r>
        <w:r>
          <w:rPr>
            <w:noProof/>
            <w:webHidden/>
          </w:rPr>
          <w:fldChar w:fldCharType="end"/>
        </w:r>
      </w:hyperlink>
    </w:p>
    <w:p>
      <w:pPr>
        <w:pStyle w:val="TOC2"/>
      </w:pPr>
      <w:hyperlink w:anchor="_Toc300000234" w:history="1">
        <w:r>
          <w:rPr>
            <w:noProof/>
          </w:rPr>
          <w:t xml:space="preserve">ANNEX 6-B CONVERSION FACTORS</w:t>
        </w:r>
        <w:r>
          <w:rPr>
            <w:noProof/>
            <w:webHidden/>
          </w:rPr>
          <w:tab/>
        </w:r>
        <w:r>
          <w:rPr>
            <w:noProof/>
            <w:webHidden/>
          </w:rPr>
          <w:fldChar w:fldCharType="begin"/>
        </w:r>
        <w:r>
          <w:rPr>
            <w:noProof/>
            <w:webHidden/>
          </w:rPr>
          <w:instrText xml:space="preserve"> PAGEREF _Toc300000234 \h </w:instrText>
        </w:r>
        <w:r>
          <w:rPr>
            <w:noProof/>
            <w:webHidden/>
          </w:rPr>
          <w:fldChar w:fldCharType="separate"/>
        </w:r>
        <w:r>
          <w:rPr>
            <w:noProof/>
            <w:webHidden/>
          </w:rPr>
          <w:t>832</w:t>
        </w:r>
        <w:r>
          <w:rPr>
            <w:noProof/>
            <w:webHidden/>
          </w:rPr>
          <w:fldChar w:fldCharType="end"/>
        </w:r>
      </w:hyperlink>
    </w:p>
    <w:p>
      <w:pPr>
        <w:pStyle w:val="TOC1"/>
      </w:pPr>
      <w:hyperlink w:anchor="_Toc300000235" w:history="1">
        <w:r>
          <w:rPr>
            <w:noProof/>
          </w:rPr>
          <w:t xml:space="preserve">CHAPTER 7 CUSTOMS ADMINISTRATION AND TRADE FACILITATION Section A: Trade Facilitation</w:t>
        </w:r>
        <w:r>
          <w:rPr>
            <w:noProof/>
            <w:webHidden/>
          </w:rPr>
          <w:tab/>
        </w:r>
        <w:r>
          <w:rPr>
            <w:noProof/>
            <w:webHidden/>
          </w:rPr>
          <w:fldChar w:fldCharType="begin"/>
        </w:r>
        <w:r>
          <w:rPr>
            <w:noProof/>
            <w:webHidden/>
          </w:rPr>
          <w:instrText xml:space="preserve"> PAGEREF _Toc300000235 \h </w:instrText>
        </w:r>
        <w:r>
          <w:rPr>
            <w:noProof/>
            <w:webHidden/>
          </w:rPr>
          <w:fldChar w:fldCharType="separate"/>
        </w:r>
        <w:r>
          <w:rPr>
            <w:noProof/>
            <w:webHidden/>
          </w:rPr>
          <w:t>848</w:t>
        </w:r>
        <w:r>
          <w:rPr>
            <w:noProof/>
            <w:webHidden/>
          </w:rPr>
          <w:fldChar w:fldCharType="end"/>
        </w:r>
      </w:hyperlink>
    </w:p>
    <w:p>
      <w:pPr>
        <w:pStyle w:val="TOC2"/>
      </w:pPr>
      <w:hyperlink w:anchor="_Toc300000236" w:history="1">
        <w:r>
          <w:rPr>
            <w:noProof/>
          </w:rPr>
          <w:t xml:space="preserve">Article 7.1: Trade Facilitation</w:t>
        </w:r>
        <w:r>
          <w:rPr>
            <w:noProof/>
            <w:webHidden/>
          </w:rPr>
          <w:tab/>
        </w:r>
        <w:r>
          <w:rPr>
            <w:noProof/>
            <w:webHidden/>
          </w:rPr>
          <w:fldChar w:fldCharType="begin"/>
        </w:r>
        <w:r>
          <w:rPr>
            <w:noProof/>
            <w:webHidden/>
          </w:rPr>
          <w:instrText xml:space="preserve"> PAGEREF _Toc300000236 \h </w:instrText>
        </w:r>
        <w:r>
          <w:rPr>
            <w:noProof/>
            <w:webHidden/>
          </w:rPr>
          <w:fldChar w:fldCharType="separate"/>
        </w:r>
        <w:r>
          <w:rPr>
            <w:noProof/>
            <w:webHidden/>
          </w:rPr>
          <w:t>848</w:t>
        </w:r>
        <w:r>
          <w:rPr>
            <w:noProof/>
            <w:webHidden/>
          </w:rPr>
          <w:fldChar w:fldCharType="end"/>
        </w:r>
      </w:hyperlink>
    </w:p>
    <w:p>
      <w:pPr>
        <w:pStyle w:val="TOC2"/>
      </w:pPr>
      <w:hyperlink w:anchor="_Toc300000237" w:history="1">
        <w:r>
          <w:rPr>
            <w:noProof/>
          </w:rPr>
          <w:t xml:space="preserve">Article 7.2: Online Publication</w:t>
        </w:r>
        <w:r>
          <w:rPr>
            <w:noProof/>
            <w:webHidden/>
          </w:rPr>
          <w:tab/>
        </w:r>
        <w:r>
          <w:rPr>
            <w:noProof/>
            <w:webHidden/>
          </w:rPr>
          <w:fldChar w:fldCharType="begin"/>
        </w:r>
        <w:r>
          <w:rPr>
            <w:noProof/>
            <w:webHidden/>
          </w:rPr>
          <w:instrText xml:space="preserve"> PAGEREF _Toc300000237 \h </w:instrText>
        </w:r>
        <w:r>
          <w:rPr>
            <w:noProof/>
            <w:webHidden/>
          </w:rPr>
          <w:fldChar w:fldCharType="separate"/>
        </w:r>
        <w:r>
          <w:rPr>
            <w:noProof/>
            <w:webHidden/>
          </w:rPr>
          <w:t>848</w:t>
        </w:r>
        <w:r>
          <w:rPr>
            <w:noProof/>
            <w:webHidden/>
          </w:rPr>
          <w:fldChar w:fldCharType="end"/>
        </w:r>
      </w:hyperlink>
    </w:p>
    <w:p>
      <w:pPr>
        <w:pStyle w:val="TOC2"/>
      </w:pPr>
      <w:hyperlink w:anchor="_Toc300000238" w:history="1">
        <w:r>
          <w:rPr>
            <w:noProof/>
          </w:rPr>
          <w:t xml:space="preserve">Article 7.3: Communication with Traders</w:t>
        </w:r>
        <w:r>
          <w:rPr>
            <w:noProof/>
            <w:webHidden/>
          </w:rPr>
          <w:tab/>
        </w:r>
        <w:r>
          <w:rPr>
            <w:noProof/>
            <w:webHidden/>
          </w:rPr>
          <w:fldChar w:fldCharType="begin"/>
        </w:r>
        <w:r>
          <w:rPr>
            <w:noProof/>
            <w:webHidden/>
          </w:rPr>
          <w:instrText xml:space="preserve"> PAGEREF _Toc300000238 \h </w:instrText>
        </w:r>
        <w:r>
          <w:rPr>
            <w:noProof/>
            <w:webHidden/>
          </w:rPr>
          <w:fldChar w:fldCharType="separate"/>
        </w:r>
        <w:r>
          <w:rPr>
            <w:noProof/>
            <w:webHidden/>
          </w:rPr>
          <w:t>848</w:t>
        </w:r>
        <w:r>
          <w:rPr>
            <w:noProof/>
            <w:webHidden/>
          </w:rPr>
          <w:fldChar w:fldCharType="end"/>
        </w:r>
      </w:hyperlink>
    </w:p>
    <w:p>
      <w:pPr>
        <w:pStyle w:val="TOC2"/>
      </w:pPr>
      <w:hyperlink w:anchor="_Toc300000239" w:history="1">
        <w:r>
          <w:rPr>
            <w:noProof/>
          </w:rPr>
          <w:t xml:space="preserve">Article 7.4: Enquiry Points</w:t>
        </w:r>
        <w:r>
          <w:rPr>
            <w:noProof/>
            <w:webHidden/>
          </w:rPr>
          <w:tab/>
        </w:r>
        <w:r>
          <w:rPr>
            <w:noProof/>
            <w:webHidden/>
          </w:rPr>
          <w:fldChar w:fldCharType="begin"/>
        </w:r>
        <w:r>
          <w:rPr>
            <w:noProof/>
            <w:webHidden/>
          </w:rPr>
          <w:instrText xml:space="preserve"> PAGEREF _Toc300000239 \h </w:instrText>
        </w:r>
        <w:r>
          <w:rPr>
            <w:noProof/>
            <w:webHidden/>
          </w:rPr>
          <w:fldChar w:fldCharType="separate"/>
        </w:r>
        <w:r>
          <w:rPr>
            <w:noProof/>
            <w:webHidden/>
          </w:rPr>
          <w:t>849</w:t>
        </w:r>
        <w:r>
          <w:rPr>
            <w:noProof/>
            <w:webHidden/>
          </w:rPr>
          <w:fldChar w:fldCharType="end"/>
        </w:r>
      </w:hyperlink>
    </w:p>
    <w:p>
      <w:pPr>
        <w:pStyle w:val="TOC2"/>
      </w:pPr>
      <w:hyperlink w:anchor="_Toc300000240" w:history="1">
        <w:r>
          <w:rPr>
            <w:noProof/>
          </w:rPr>
          <w:t xml:space="preserve">Article 7.5: Advance Rulings</w:t>
        </w:r>
        <w:r>
          <w:rPr>
            <w:noProof/>
            <w:webHidden/>
          </w:rPr>
          <w:tab/>
        </w:r>
        <w:r>
          <w:rPr>
            <w:noProof/>
            <w:webHidden/>
          </w:rPr>
          <w:fldChar w:fldCharType="begin"/>
        </w:r>
        <w:r>
          <w:rPr>
            <w:noProof/>
            <w:webHidden/>
          </w:rPr>
          <w:instrText xml:space="preserve"> PAGEREF _Toc300000240 \h </w:instrText>
        </w:r>
        <w:r>
          <w:rPr>
            <w:noProof/>
            <w:webHidden/>
          </w:rPr>
          <w:fldChar w:fldCharType="separate"/>
        </w:r>
        <w:r>
          <w:rPr>
            <w:noProof/>
            <w:webHidden/>
          </w:rPr>
          <w:t>849</w:t>
        </w:r>
        <w:r>
          <w:rPr>
            <w:noProof/>
            <w:webHidden/>
          </w:rPr>
          <w:fldChar w:fldCharType="end"/>
        </w:r>
      </w:hyperlink>
    </w:p>
    <w:p>
      <w:pPr>
        <w:pStyle w:val="TOC2"/>
      </w:pPr>
      <w:hyperlink w:anchor="_Toc300000241" w:history="1">
        <w:r>
          <w:rPr>
            <w:noProof/>
          </w:rPr>
          <w:t xml:space="preserve">Article 7.6: Advice or Information Regarding Duty Drawback or Duty Deferral Programs</w:t>
        </w:r>
        <w:r>
          <w:rPr>
            <w:noProof/>
            <w:webHidden/>
          </w:rPr>
          <w:tab/>
        </w:r>
        <w:r>
          <w:rPr>
            <w:noProof/>
            <w:webHidden/>
          </w:rPr>
          <w:fldChar w:fldCharType="begin"/>
        </w:r>
        <w:r>
          <w:rPr>
            <w:noProof/>
            <w:webHidden/>
          </w:rPr>
          <w:instrText xml:space="preserve"> PAGEREF _Toc300000241 \h </w:instrText>
        </w:r>
        <w:r>
          <w:rPr>
            <w:noProof/>
            <w:webHidden/>
          </w:rPr>
          <w:fldChar w:fldCharType="separate"/>
        </w:r>
        <w:r>
          <w:rPr>
            <w:noProof/>
            <w:webHidden/>
          </w:rPr>
          <w:t>850</w:t>
        </w:r>
        <w:r>
          <w:rPr>
            <w:noProof/>
            <w:webHidden/>
          </w:rPr>
          <w:fldChar w:fldCharType="end"/>
        </w:r>
      </w:hyperlink>
    </w:p>
    <w:p>
      <w:pPr>
        <w:pStyle w:val="TOC2"/>
      </w:pPr>
      <w:hyperlink w:anchor="_Toc300000242" w:history="1">
        <w:r>
          <w:rPr>
            <w:noProof/>
          </w:rPr>
          <w:t xml:space="preserve">Article 7.7: Release of Goods</w:t>
        </w:r>
        <w:r>
          <w:rPr>
            <w:noProof/>
            <w:webHidden/>
          </w:rPr>
          <w:tab/>
        </w:r>
        <w:r>
          <w:rPr>
            <w:noProof/>
            <w:webHidden/>
          </w:rPr>
          <w:fldChar w:fldCharType="begin"/>
        </w:r>
        <w:r>
          <w:rPr>
            <w:noProof/>
            <w:webHidden/>
          </w:rPr>
          <w:instrText xml:space="preserve"> PAGEREF _Toc300000242 \h </w:instrText>
        </w:r>
        <w:r>
          <w:rPr>
            <w:noProof/>
            <w:webHidden/>
          </w:rPr>
          <w:fldChar w:fldCharType="separate"/>
        </w:r>
        <w:r>
          <w:rPr>
            <w:noProof/>
            <w:webHidden/>
          </w:rPr>
          <w:t>850</w:t>
        </w:r>
        <w:r>
          <w:rPr>
            <w:noProof/>
            <w:webHidden/>
          </w:rPr>
          <w:fldChar w:fldCharType="end"/>
        </w:r>
      </w:hyperlink>
    </w:p>
    <w:p>
      <w:pPr>
        <w:pStyle w:val="TOC2"/>
      </w:pPr>
      <w:hyperlink w:anchor="_Toc300000243" w:history="1">
        <w:r>
          <w:rPr>
            <w:noProof/>
          </w:rPr>
          <w:t xml:space="preserve">Article 7.8: Express Shipments</w:t>
        </w:r>
        <w:r>
          <w:rPr>
            <w:noProof/>
            <w:webHidden/>
          </w:rPr>
          <w:tab/>
        </w:r>
        <w:r>
          <w:rPr>
            <w:noProof/>
            <w:webHidden/>
          </w:rPr>
          <w:fldChar w:fldCharType="begin"/>
        </w:r>
        <w:r>
          <w:rPr>
            <w:noProof/>
            <w:webHidden/>
          </w:rPr>
          <w:instrText xml:space="preserve"> PAGEREF _Toc300000243 \h </w:instrText>
        </w:r>
        <w:r>
          <w:rPr>
            <w:noProof/>
            <w:webHidden/>
          </w:rPr>
          <w:fldChar w:fldCharType="separate"/>
        </w:r>
        <w:r>
          <w:rPr>
            <w:noProof/>
            <w:webHidden/>
          </w:rPr>
          <w:t>851</w:t>
        </w:r>
        <w:r>
          <w:rPr>
            <w:noProof/>
            <w:webHidden/>
          </w:rPr>
          <w:fldChar w:fldCharType="end"/>
        </w:r>
      </w:hyperlink>
    </w:p>
    <w:p>
      <w:pPr>
        <w:pStyle w:val="TOC2"/>
      </w:pPr>
      <w:hyperlink w:anchor="_Toc300000244" w:history="1">
        <w:r>
          <w:rPr>
            <w:noProof/>
          </w:rPr>
          <w:t xml:space="preserve">Article 7.9: Use of Information Technology</w:t>
        </w:r>
        <w:r>
          <w:rPr>
            <w:noProof/>
            <w:webHidden/>
          </w:rPr>
          <w:tab/>
        </w:r>
        <w:r>
          <w:rPr>
            <w:noProof/>
            <w:webHidden/>
          </w:rPr>
          <w:fldChar w:fldCharType="begin"/>
        </w:r>
        <w:r>
          <w:rPr>
            <w:noProof/>
            <w:webHidden/>
          </w:rPr>
          <w:instrText xml:space="preserve"> PAGEREF _Toc300000244 \h </w:instrText>
        </w:r>
        <w:r>
          <w:rPr>
            <w:noProof/>
            <w:webHidden/>
          </w:rPr>
          <w:fldChar w:fldCharType="separate"/>
        </w:r>
        <w:r>
          <w:rPr>
            <w:noProof/>
            <w:webHidden/>
          </w:rPr>
          <w:t>852</w:t>
        </w:r>
        <w:r>
          <w:rPr>
            <w:noProof/>
            <w:webHidden/>
          </w:rPr>
          <w:fldChar w:fldCharType="end"/>
        </w:r>
      </w:hyperlink>
    </w:p>
    <w:p>
      <w:pPr>
        <w:pStyle w:val="TOC2"/>
      </w:pPr>
      <w:hyperlink w:anchor="_Toc300000245" w:history="1">
        <w:r>
          <w:rPr>
            <w:noProof/>
          </w:rPr>
          <w:t xml:space="preserve">Article 7.10: Single Window</w:t>
        </w:r>
        <w:r>
          <w:rPr>
            <w:noProof/>
            <w:webHidden/>
          </w:rPr>
          <w:tab/>
        </w:r>
        <w:r>
          <w:rPr>
            <w:noProof/>
            <w:webHidden/>
          </w:rPr>
          <w:fldChar w:fldCharType="begin"/>
        </w:r>
        <w:r>
          <w:rPr>
            <w:noProof/>
            <w:webHidden/>
          </w:rPr>
          <w:instrText xml:space="preserve"> PAGEREF _Toc300000245 \h </w:instrText>
        </w:r>
        <w:r>
          <w:rPr>
            <w:noProof/>
            <w:webHidden/>
          </w:rPr>
          <w:fldChar w:fldCharType="separate"/>
        </w:r>
        <w:r>
          <w:rPr>
            <w:noProof/>
            <w:webHidden/>
          </w:rPr>
          <w:t>853</w:t>
        </w:r>
        <w:r>
          <w:rPr>
            <w:noProof/>
            <w:webHidden/>
          </w:rPr>
          <w:fldChar w:fldCharType="end"/>
        </w:r>
      </w:hyperlink>
    </w:p>
    <w:p>
      <w:pPr>
        <w:pStyle w:val="TOC2"/>
      </w:pPr>
      <w:hyperlink w:anchor="_Toc300000246" w:history="1">
        <w:r>
          <w:rPr>
            <w:noProof/>
          </w:rPr>
          <w:t xml:space="preserve">Article 7.11: Transparency, Predictability, and Consistency in Customs Procedures</w:t>
        </w:r>
        <w:r>
          <w:rPr>
            <w:noProof/>
            <w:webHidden/>
          </w:rPr>
          <w:tab/>
        </w:r>
        <w:r>
          <w:rPr>
            <w:noProof/>
            <w:webHidden/>
          </w:rPr>
          <w:fldChar w:fldCharType="begin"/>
        </w:r>
        <w:r>
          <w:rPr>
            <w:noProof/>
            <w:webHidden/>
          </w:rPr>
          <w:instrText xml:space="preserve"> PAGEREF _Toc300000246 \h </w:instrText>
        </w:r>
        <w:r>
          <w:rPr>
            <w:noProof/>
            <w:webHidden/>
          </w:rPr>
          <w:fldChar w:fldCharType="separate"/>
        </w:r>
        <w:r>
          <w:rPr>
            <w:noProof/>
            <w:webHidden/>
          </w:rPr>
          <w:t>853</w:t>
        </w:r>
        <w:r>
          <w:rPr>
            <w:noProof/>
            <w:webHidden/>
          </w:rPr>
          <w:fldChar w:fldCharType="end"/>
        </w:r>
      </w:hyperlink>
    </w:p>
    <w:p>
      <w:pPr>
        <w:pStyle w:val="TOC2"/>
      </w:pPr>
      <w:hyperlink w:anchor="_Toc300000247" w:history="1">
        <w:r>
          <w:rPr>
            <w:noProof/>
          </w:rPr>
          <w:t xml:space="preserve">Article 7.12: Risk Management</w:t>
        </w:r>
        <w:r>
          <w:rPr>
            <w:noProof/>
            <w:webHidden/>
          </w:rPr>
          <w:tab/>
        </w:r>
        <w:r>
          <w:rPr>
            <w:noProof/>
            <w:webHidden/>
          </w:rPr>
          <w:fldChar w:fldCharType="begin"/>
        </w:r>
        <w:r>
          <w:rPr>
            <w:noProof/>
            <w:webHidden/>
          </w:rPr>
          <w:instrText xml:space="preserve"> PAGEREF _Toc300000247 \h </w:instrText>
        </w:r>
        <w:r>
          <w:rPr>
            <w:noProof/>
            <w:webHidden/>
          </w:rPr>
          <w:fldChar w:fldCharType="separate"/>
        </w:r>
        <w:r>
          <w:rPr>
            <w:noProof/>
            <w:webHidden/>
          </w:rPr>
          <w:t>854</w:t>
        </w:r>
        <w:r>
          <w:rPr>
            <w:noProof/>
            <w:webHidden/>
          </w:rPr>
          <w:fldChar w:fldCharType="end"/>
        </w:r>
      </w:hyperlink>
    </w:p>
    <w:p>
      <w:pPr>
        <w:pStyle w:val="TOC2"/>
      </w:pPr>
      <w:hyperlink w:anchor="_Toc300000248" w:history="1">
        <w:r>
          <w:rPr>
            <w:noProof/>
          </w:rPr>
          <w:t xml:space="preserve">Article 7.13: Post-Clearance Audit</w:t>
        </w:r>
        <w:r>
          <w:rPr>
            <w:noProof/>
            <w:webHidden/>
          </w:rPr>
          <w:tab/>
        </w:r>
        <w:r>
          <w:rPr>
            <w:noProof/>
            <w:webHidden/>
          </w:rPr>
          <w:fldChar w:fldCharType="begin"/>
        </w:r>
        <w:r>
          <w:rPr>
            <w:noProof/>
            <w:webHidden/>
          </w:rPr>
          <w:instrText xml:space="preserve"> PAGEREF _Toc300000248 \h </w:instrText>
        </w:r>
        <w:r>
          <w:rPr>
            <w:noProof/>
            <w:webHidden/>
          </w:rPr>
          <w:fldChar w:fldCharType="separate"/>
        </w:r>
        <w:r>
          <w:rPr>
            <w:noProof/>
            <w:webHidden/>
          </w:rPr>
          <w:t>854</w:t>
        </w:r>
        <w:r>
          <w:rPr>
            <w:noProof/>
            <w:webHidden/>
          </w:rPr>
          <w:fldChar w:fldCharType="end"/>
        </w:r>
      </w:hyperlink>
    </w:p>
    <w:p>
      <w:pPr>
        <w:pStyle w:val="TOC2"/>
      </w:pPr>
      <w:hyperlink w:anchor="_Toc300000249" w:history="1">
        <w:r>
          <w:rPr>
            <w:noProof/>
          </w:rPr>
          <w:t xml:space="preserve">Article 7.14: Authorized Economic Operator – AEO</w:t>
        </w:r>
        <w:r>
          <w:rPr>
            <w:noProof/>
            <w:webHidden/>
          </w:rPr>
          <w:tab/>
        </w:r>
        <w:r>
          <w:rPr>
            <w:noProof/>
            <w:webHidden/>
          </w:rPr>
          <w:fldChar w:fldCharType="begin"/>
        </w:r>
        <w:r>
          <w:rPr>
            <w:noProof/>
            <w:webHidden/>
          </w:rPr>
          <w:instrText xml:space="preserve"> PAGEREF _Toc300000249 \h </w:instrText>
        </w:r>
        <w:r>
          <w:rPr>
            <w:noProof/>
            <w:webHidden/>
          </w:rPr>
          <w:fldChar w:fldCharType="separate"/>
        </w:r>
        <w:r>
          <w:rPr>
            <w:noProof/>
            <w:webHidden/>
          </w:rPr>
          <w:t>855</w:t>
        </w:r>
        <w:r>
          <w:rPr>
            <w:noProof/>
            <w:webHidden/>
          </w:rPr>
          <w:fldChar w:fldCharType="end"/>
        </w:r>
      </w:hyperlink>
    </w:p>
    <w:p>
      <w:pPr>
        <w:pStyle w:val="TOC2"/>
      </w:pPr>
      <w:hyperlink w:anchor="_Toc300000250" w:history="1">
        <w:r>
          <w:rPr>
            <w:noProof/>
          </w:rPr>
          <w:t xml:space="preserve">Article 7.15: Review and Appeal of Customs Determinations</w:t>
        </w:r>
        <w:r>
          <w:rPr>
            <w:noProof/>
            <w:webHidden/>
          </w:rPr>
          <w:tab/>
        </w:r>
        <w:r>
          <w:rPr>
            <w:noProof/>
            <w:webHidden/>
          </w:rPr>
          <w:fldChar w:fldCharType="begin"/>
        </w:r>
        <w:r>
          <w:rPr>
            <w:noProof/>
            <w:webHidden/>
          </w:rPr>
          <w:instrText xml:space="preserve"> PAGEREF _Toc300000250 \h </w:instrText>
        </w:r>
        <w:r>
          <w:rPr>
            <w:noProof/>
            <w:webHidden/>
          </w:rPr>
          <w:fldChar w:fldCharType="separate"/>
        </w:r>
        <w:r>
          <w:rPr>
            <w:noProof/>
            <w:webHidden/>
          </w:rPr>
          <w:t>855</w:t>
        </w:r>
        <w:r>
          <w:rPr>
            <w:noProof/>
            <w:webHidden/>
          </w:rPr>
          <w:fldChar w:fldCharType="end"/>
        </w:r>
      </w:hyperlink>
    </w:p>
    <w:p>
      <w:pPr>
        <w:pStyle w:val="TOC2"/>
      </w:pPr>
      <w:hyperlink w:anchor="_Toc300000251" w:history="1">
        <w:r>
          <w:rPr>
            <w:noProof/>
          </w:rPr>
          <w:t xml:space="preserve">Article 7.16: Administrative Guidance</w:t>
        </w:r>
        <w:r>
          <w:rPr>
            <w:noProof/>
            <w:webHidden/>
          </w:rPr>
          <w:tab/>
        </w:r>
        <w:r>
          <w:rPr>
            <w:noProof/>
            <w:webHidden/>
          </w:rPr>
          <w:fldChar w:fldCharType="begin"/>
        </w:r>
        <w:r>
          <w:rPr>
            <w:noProof/>
            <w:webHidden/>
          </w:rPr>
          <w:instrText xml:space="preserve"> PAGEREF _Toc300000251 \h </w:instrText>
        </w:r>
        <w:r>
          <w:rPr>
            <w:noProof/>
            <w:webHidden/>
          </w:rPr>
          <w:fldChar w:fldCharType="separate"/>
        </w:r>
        <w:r>
          <w:rPr>
            <w:noProof/>
            <w:webHidden/>
          </w:rPr>
          <w:t>856</w:t>
        </w:r>
        <w:r>
          <w:rPr>
            <w:noProof/>
            <w:webHidden/>
          </w:rPr>
          <w:fldChar w:fldCharType="end"/>
        </w:r>
      </w:hyperlink>
    </w:p>
    <w:p>
      <w:pPr>
        <w:pStyle w:val="TOC2"/>
      </w:pPr>
      <w:hyperlink w:anchor="_Toc300000252" w:history="1">
        <w:r>
          <w:rPr>
            <w:noProof/>
          </w:rPr>
          <w:t xml:space="preserve">Article 7.17: Transit</w:t>
        </w:r>
        <w:r>
          <w:rPr>
            <w:noProof/>
            <w:webHidden/>
          </w:rPr>
          <w:tab/>
        </w:r>
        <w:r>
          <w:rPr>
            <w:noProof/>
            <w:webHidden/>
          </w:rPr>
          <w:fldChar w:fldCharType="begin"/>
        </w:r>
        <w:r>
          <w:rPr>
            <w:noProof/>
            <w:webHidden/>
          </w:rPr>
          <w:instrText xml:space="preserve"> PAGEREF _Toc300000252 \h </w:instrText>
        </w:r>
        <w:r>
          <w:rPr>
            <w:noProof/>
            <w:webHidden/>
          </w:rPr>
          <w:fldChar w:fldCharType="separate"/>
        </w:r>
        <w:r>
          <w:rPr>
            <w:noProof/>
            <w:webHidden/>
          </w:rPr>
          <w:t>856</w:t>
        </w:r>
        <w:r>
          <w:rPr>
            <w:noProof/>
            <w:webHidden/>
          </w:rPr>
          <w:fldChar w:fldCharType="end"/>
        </w:r>
      </w:hyperlink>
    </w:p>
    <w:p>
      <w:pPr>
        <w:pStyle w:val="TOC2"/>
      </w:pPr>
      <w:hyperlink w:anchor="_Toc300000253" w:history="1">
        <w:r>
          <w:rPr>
            <w:noProof/>
          </w:rPr>
          <w:t xml:space="preserve">Article: 7.18: Penalties</w:t>
        </w:r>
        <w:r>
          <w:rPr>
            <w:noProof/>
            <w:webHidden/>
          </w:rPr>
          <w:tab/>
        </w:r>
        <w:r>
          <w:rPr>
            <w:noProof/>
            <w:webHidden/>
          </w:rPr>
          <w:fldChar w:fldCharType="begin"/>
        </w:r>
        <w:r>
          <w:rPr>
            <w:noProof/>
            <w:webHidden/>
          </w:rPr>
          <w:instrText xml:space="preserve"> PAGEREF _Toc300000253 \h </w:instrText>
        </w:r>
        <w:r>
          <w:rPr>
            <w:noProof/>
            <w:webHidden/>
          </w:rPr>
          <w:fldChar w:fldCharType="separate"/>
        </w:r>
        <w:r>
          <w:rPr>
            <w:noProof/>
            <w:webHidden/>
          </w:rPr>
          <w:t>857</w:t>
        </w:r>
        <w:r>
          <w:rPr>
            <w:noProof/>
            <w:webHidden/>
          </w:rPr>
          <w:fldChar w:fldCharType="end"/>
        </w:r>
      </w:hyperlink>
    </w:p>
    <w:p>
      <w:pPr>
        <w:pStyle w:val="TOC2"/>
      </w:pPr>
      <w:hyperlink w:anchor="_Toc300000254" w:history="1">
        <w:r>
          <w:rPr>
            <w:noProof/>
          </w:rPr>
          <w:t xml:space="preserve">Article 7.19: Standards of Conduct</w:t>
        </w:r>
        <w:r>
          <w:rPr>
            <w:noProof/>
            <w:webHidden/>
          </w:rPr>
          <w:tab/>
        </w:r>
        <w:r>
          <w:rPr>
            <w:noProof/>
            <w:webHidden/>
          </w:rPr>
          <w:fldChar w:fldCharType="begin"/>
        </w:r>
        <w:r>
          <w:rPr>
            <w:noProof/>
            <w:webHidden/>
          </w:rPr>
          <w:instrText xml:space="preserve"> PAGEREF _Toc300000254 \h </w:instrText>
        </w:r>
        <w:r>
          <w:rPr>
            <w:noProof/>
            <w:webHidden/>
          </w:rPr>
          <w:fldChar w:fldCharType="separate"/>
        </w:r>
        <w:r>
          <w:rPr>
            <w:noProof/>
            <w:webHidden/>
          </w:rPr>
          <w:t>858</w:t>
        </w:r>
        <w:r>
          <w:rPr>
            <w:noProof/>
            <w:webHidden/>
          </w:rPr>
          <w:fldChar w:fldCharType="end"/>
        </w:r>
      </w:hyperlink>
    </w:p>
    <w:p>
      <w:pPr>
        <w:pStyle w:val="TOC2"/>
      </w:pPr>
      <w:hyperlink w:anchor="_Toc300000255" w:history="1">
        <w:r>
          <w:rPr>
            <w:noProof/>
          </w:rPr>
          <w:t xml:space="preserve">Article 7.20: Customs Brokers</w:t>
        </w:r>
        <w:r>
          <w:rPr>
            <w:noProof/>
            <w:webHidden/>
          </w:rPr>
          <w:tab/>
        </w:r>
        <w:r>
          <w:rPr>
            <w:noProof/>
            <w:webHidden/>
          </w:rPr>
          <w:fldChar w:fldCharType="begin"/>
        </w:r>
        <w:r>
          <w:rPr>
            <w:noProof/>
            <w:webHidden/>
          </w:rPr>
          <w:instrText xml:space="preserve"> PAGEREF _Toc300000255 \h </w:instrText>
        </w:r>
        <w:r>
          <w:rPr>
            <w:noProof/>
            <w:webHidden/>
          </w:rPr>
          <w:fldChar w:fldCharType="separate"/>
        </w:r>
        <w:r>
          <w:rPr>
            <w:noProof/>
            <w:webHidden/>
          </w:rPr>
          <w:t>858</w:t>
        </w:r>
        <w:r>
          <w:rPr>
            <w:noProof/>
            <w:webHidden/>
          </w:rPr>
          <w:fldChar w:fldCharType="end"/>
        </w:r>
      </w:hyperlink>
    </w:p>
    <w:p>
      <w:pPr>
        <w:pStyle w:val="TOC2"/>
      </w:pPr>
      <w:hyperlink w:anchor="_Toc300000256" w:history="1">
        <w:r>
          <w:rPr>
            <w:noProof/>
          </w:rPr>
          <w:t xml:space="preserve">Article 7.21: Border Inspections</w:t>
        </w:r>
        <w:r>
          <w:rPr>
            <w:noProof/>
            <w:webHidden/>
          </w:rPr>
          <w:tab/>
        </w:r>
        <w:r>
          <w:rPr>
            <w:noProof/>
            <w:webHidden/>
          </w:rPr>
          <w:fldChar w:fldCharType="begin"/>
        </w:r>
        <w:r>
          <w:rPr>
            <w:noProof/>
            <w:webHidden/>
          </w:rPr>
          <w:instrText xml:space="preserve"> PAGEREF _Toc300000256 \h </w:instrText>
        </w:r>
        <w:r>
          <w:rPr>
            <w:noProof/>
            <w:webHidden/>
          </w:rPr>
          <w:fldChar w:fldCharType="separate"/>
        </w:r>
        <w:r>
          <w:rPr>
            <w:noProof/>
            <w:webHidden/>
          </w:rPr>
          <w:t>859</w:t>
        </w:r>
        <w:r>
          <w:rPr>
            <w:noProof/>
            <w:webHidden/>
          </w:rPr>
          <w:fldChar w:fldCharType="end"/>
        </w:r>
      </w:hyperlink>
    </w:p>
    <w:p>
      <w:pPr>
        <w:pStyle w:val="TOC2"/>
      </w:pPr>
      <w:hyperlink w:anchor="_Toc300000257" w:history="1">
        <w:r>
          <w:rPr>
            <w:noProof/>
          </w:rPr>
          <w:t xml:space="preserve">Article 7.22: Protection of Trader Information</w:t>
        </w:r>
        <w:r>
          <w:rPr>
            <w:noProof/>
            <w:webHidden/>
          </w:rPr>
          <w:tab/>
        </w:r>
        <w:r>
          <w:rPr>
            <w:noProof/>
            <w:webHidden/>
          </w:rPr>
          <w:fldChar w:fldCharType="begin"/>
        </w:r>
        <w:r>
          <w:rPr>
            <w:noProof/>
            <w:webHidden/>
          </w:rPr>
          <w:instrText xml:space="preserve"> PAGEREF _Toc300000257 \h </w:instrText>
        </w:r>
        <w:r>
          <w:rPr>
            <w:noProof/>
            <w:webHidden/>
          </w:rPr>
          <w:fldChar w:fldCharType="separate"/>
        </w:r>
        <w:r>
          <w:rPr>
            <w:noProof/>
            <w:webHidden/>
          </w:rPr>
          <w:t>859</w:t>
        </w:r>
        <w:r>
          <w:rPr>
            <w:noProof/>
            <w:webHidden/>
          </w:rPr>
          <w:fldChar w:fldCharType="end"/>
        </w:r>
      </w:hyperlink>
    </w:p>
    <w:p>
      <w:pPr>
        <w:pStyle w:val="TOC2"/>
      </w:pPr>
      <w:hyperlink w:anchor="_Toc300000258" w:history="1">
        <w:r>
          <w:rPr>
            <w:noProof/>
          </w:rPr>
          <w:t xml:space="preserve">Article 7.23: Customs Initiatives for Trade Facilitation</w:t>
        </w:r>
        <w:r>
          <w:rPr>
            <w:noProof/>
            <w:webHidden/>
          </w:rPr>
          <w:tab/>
        </w:r>
        <w:r>
          <w:rPr>
            <w:noProof/>
            <w:webHidden/>
          </w:rPr>
          <w:fldChar w:fldCharType="begin"/>
        </w:r>
        <w:r>
          <w:rPr>
            <w:noProof/>
            <w:webHidden/>
          </w:rPr>
          <w:instrText xml:space="preserve"> PAGEREF _Toc300000258 \h </w:instrText>
        </w:r>
        <w:r>
          <w:rPr>
            <w:noProof/>
            <w:webHidden/>
          </w:rPr>
          <w:fldChar w:fldCharType="separate"/>
        </w:r>
        <w:r>
          <w:rPr>
            <w:noProof/>
            <w:webHidden/>
          </w:rPr>
          <w:t>860</w:t>
        </w:r>
        <w:r>
          <w:rPr>
            <w:noProof/>
            <w:webHidden/>
          </w:rPr>
          <w:fldChar w:fldCharType="end"/>
        </w:r>
      </w:hyperlink>
    </w:p>
    <w:p>
      <w:pPr>
        <w:pStyle w:val="TOC2"/>
      </w:pPr>
      <w:hyperlink w:anchor="_Toc300000259" w:history="1">
        <w:r>
          <w:rPr>
            <w:noProof/>
          </w:rPr>
          <w:t xml:space="preserve">Article 7.24: Committee on Trade Facilitation</w:t>
        </w:r>
        <w:r>
          <w:rPr>
            <w:noProof/>
            <w:webHidden/>
          </w:rPr>
          <w:tab/>
        </w:r>
        <w:r>
          <w:rPr>
            <w:noProof/>
            <w:webHidden/>
          </w:rPr>
          <w:fldChar w:fldCharType="begin"/>
        </w:r>
        <w:r>
          <w:rPr>
            <w:noProof/>
            <w:webHidden/>
          </w:rPr>
          <w:instrText xml:space="preserve"> PAGEREF _Toc300000259 \h </w:instrText>
        </w:r>
        <w:r>
          <w:rPr>
            <w:noProof/>
            <w:webHidden/>
          </w:rPr>
          <w:fldChar w:fldCharType="separate"/>
        </w:r>
        <w:r>
          <w:rPr>
            <w:noProof/>
            <w:webHidden/>
          </w:rPr>
          <w:t>860</w:t>
        </w:r>
        <w:r>
          <w:rPr>
            <w:noProof/>
            <w:webHidden/>
          </w:rPr>
          <w:fldChar w:fldCharType="end"/>
        </w:r>
      </w:hyperlink>
    </w:p>
    <w:p>
      <w:pPr>
        <w:pStyle w:val="TOC2"/>
      </w:pPr>
      <w:hyperlink w:anchor="_Toc300000260" w:history="1">
        <w:r>
          <w:rPr>
            <w:noProof/>
          </w:rPr>
          <w:t xml:space="preserve">Article 7.25: Regional and Bilateral Cooperation on Enforcement</w:t>
        </w:r>
        <w:r>
          <w:rPr>
            <w:noProof/>
            <w:webHidden/>
          </w:rPr>
          <w:tab/>
        </w:r>
        <w:r>
          <w:rPr>
            <w:noProof/>
            <w:webHidden/>
          </w:rPr>
          <w:fldChar w:fldCharType="begin"/>
        </w:r>
        <w:r>
          <w:rPr>
            <w:noProof/>
            <w:webHidden/>
          </w:rPr>
          <w:instrText xml:space="preserve"> PAGEREF _Toc300000260 \h </w:instrText>
        </w:r>
        <w:r>
          <w:rPr>
            <w:noProof/>
            <w:webHidden/>
          </w:rPr>
          <w:fldChar w:fldCharType="separate"/>
        </w:r>
        <w:r>
          <w:rPr>
            <w:noProof/>
            <w:webHidden/>
          </w:rPr>
          <w:t>861</w:t>
        </w:r>
        <w:r>
          <w:rPr>
            <w:noProof/>
            <w:webHidden/>
          </w:rPr>
          <w:fldChar w:fldCharType="end"/>
        </w:r>
      </w:hyperlink>
    </w:p>
    <w:p>
      <w:pPr>
        <w:pStyle w:val="TOC2"/>
      </w:pPr>
      <w:hyperlink w:anchor="_Toc300000261" w:history="1">
        <w:r>
          <w:rPr>
            <w:noProof/>
          </w:rPr>
          <w:t xml:space="preserve">Article 7.26: Exchange of Specific Confidential Information</w:t>
        </w:r>
        <w:r>
          <w:rPr>
            <w:noProof/>
            <w:webHidden/>
          </w:rPr>
          <w:tab/>
        </w:r>
        <w:r>
          <w:rPr>
            <w:noProof/>
            <w:webHidden/>
          </w:rPr>
          <w:fldChar w:fldCharType="begin"/>
        </w:r>
        <w:r>
          <w:rPr>
            <w:noProof/>
            <w:webHidden/>
          </w:rPr>
          <w:instrText xml:space="preserve"> PAGEREF _Toc300000261 \h </w:instrText>
        </w:r>
        <w:r>
          <w:rPr>
            <w:noProof/>
            <w:webHidden/>
          </w:rPr>
          <w:fldChar w:fldCharType="separate"/>
        </w:r>
        <w:r>
          <w:rPr>
            <w:noProof/>
            <w:webHidden/>
          </w:rPr>
          <w:t>862</w:t>
        </w:r>
        <w:r>
          <w:rPr>
            <w:noProof/>
            <w:webHidden/>
          </w:rPr>
          <w:fldChar w:fldCharType="end"/>
        </w:r>
      </w:hyperlink>
    </w:p>
    <w:p>
      <w:pPr>
        <w:pStyle w:val="TOC2"/>
      </w:pPr>
      <w:hyperlink w:anchor="_Toc300000262" w:history="1">
        <w:r>
          <w:rPr>
            <w:noProof/>
          </w:rPr>
          <w:t xml:space="preserve">Article 7.27: Customs Compliance Verification Requests</w:t>
        </w:r>
        <w:r>
          <w:rPr>
            <w:noProof/>
            <w:webHidden/>
          </w:rPr>
          <w:tab/>
        </w:r>
        <w:r>
          <w:rPr>
            <w:noProof/>
            <w:webHidden/>
          </w:rPr>
          <w:fldChar w:fldCharType="begin"/>
        </w:r>
        <w:r>
          <w:rPr>
            <w:noProof/>
            <w:webHidden/>
          </w:rPr>
          <w:instrText xml:space="preserve"> PAGEREF _Toc300000262 \h </w:instrText>
        </w:r>
        <w:r>
          <w:rPr>
            <w:noProof/>
            <w:webHidden/>
          </w:rPr>
          <w:fldChar w:fldCharType="separate"/>
        </w:r>
        <w:r>
          <w:rPr>
            <w:noProof/>
            <w:webHidden/>
          </w:rPr>
          <w:t>862</w:t>
        </w:r>
        <w:r>
          <w:rPr>
            <w:noProof/>
            <w:webHidden/>
          </w:rPr>
          <w:fldChar w:fldCharType="end"/>
        </w:r>
      </w:hyperlink>
    </w:p>
    <w:p>
      <w:pPr>
        <w:pStyle w:val="TOC2"/>
      </w:pPr>
      <w:hyperlink w:anchor="_Toc300000263" w:history="1">
        <w:r>
          <w:rPr>
            <w:noProof/>
          </w:rPr>
          <w:t xml:space="preserve">Article 7.28: Confidentiality between Parties</w:t>
        </w:r>
        <w:r>
          <w:rPr>
            <w:noProof/>
            <w:webHidden/>
          </w:rPr>
          <w:tab/>
        </w:r>
        <w:r>
          <w:rPr>
            <w:noProof/>
            <w:webHidden/>
          </w:rPr>
          <w:fldChar w:fldCharType="begin"/>
        </w:r>
        <w:r>
          <w:rPr>
            <w:noProof/>
            <w:webHidden/>
          </w:rPr>
          <w:instrText xml:space="preserve"> PAGEREF _Toc300000263 \h </w:instrText>
        </w:r>
        <w:r>
          <w:rPr>
            <w:noProof/>
            <w:webHidden/>
          </w:rPr>
          <w:fldChar w:fldCharType="separate"/>
        </w:r>
        <w:r>
          <w:rPr>
            <w:noProof/>
            <w:webHidden/>
          </w:rPr>
          <w:t>863</w:t>
        </w:r>
        <w:r>
          <w:rPr>
            <w:noProof/>
            <w:webHidden/>
          </w:rPr>
          <w:fldChar w:fldCharType="end"/>
        </w:r>
      </w:hyperlink>
    </w:p>
    <w:p>
      <w:pPr>
        <w:pStyle w:val="TOC2"/>
      </w:pPr>
      <w:hyperlink w:anchor="_Toc300000264" w:history="1">
        <w:r>
          <w:rPr>
            <w:noProof/>
          </w:rPr>
          <w:t xml:space="preserve">Article 7.29: Sub-Committee on Customs Enforcement</w:t>
        </w:r>
        <w:r>
          <w:rPr>
            <w:noProof/>
            <w:webHidden/>
          </w:rPr>
          <w:tab/>
        </w:r>
        <w:r>
          <w:rPr>
            <w:noProof/>
            <w:webHidden/>
          </w:rPr>
          <w:fldChar w:fldCharType="begin"/>
        </w:r>
        <w:r>
          <w:rPr>
            <w:noProof/>
            <w:webHidden/>
          </w:rPr>
          <w:instrText xml:space="preserve"> PAGEREF _Toc300000264 \h </w:instrText>
        </w:r>
        <w:r>
          <w:rPr>
            <w:noProof/>
            <w:webHidden/>
          </w:rPr>
          <w:fldChar w:fldCharType="separate"/>
        </w:r>
        <w:r>
          <w:rPr>
            <w:noProof/>
            <w:webHidden/>
          </w:rPr>
          <w:t>863</w:t>
        </w:r>
        <w:r>
          <w:rPr>
            <w:noProof/>
            <w:webHidden/>
          </w:rPr>
          <w:fldChar w:fldCharType="end"/>
        </w:r>
      </w:hyperlink>
    </w:p>
    <w:p>
      <w:pPr>
        <w:pStyle w:val="TOC2"/>
      </w:pPr>
      <w:hyperlink w:anchor="_Toc300000265" w:history="1">
        <w:r>
          <w:rPr>
            <w:noProof/>
          </w:rPr>
          <w:t xml:space="preserve">CHAPTER 7: CUSMA 2.0 MODERNIZATION PROVISIONS</w:t>
        </w:r>
        <w:r>
          <w:rPr>
            <w:noProof/>
            <w:webHidden/>
          </w:rPr>
          <w:tab/>
        </w:r>
        <w:r>
          <w:rPr>
            <w:noProof/>
            <w:webHidden/>
          </w:rPr>
          <w:fldChar w:fldCharType="begin"/>
        </w:r>
        <w:r>
          <w:rPr>
            <w:noProof/>
            <w:webHidden/>
          </w:rPr>
          <w:instrText xml:space="preserve"> PAGEREF _Toc300000265 \h </w:instrText>
        </w:r>
        <w:r>
          <w:rPr>
            <w:noProof/>
            <w:webHidden/>
          </w:rPr>
          <w:fldChar w:fldCharType="separate"/>
        </w:r>
        <w:r>
          <w:rPr>
            <w:noProof/>
            <w:webHidden/>
          </w:rPr>
          <w:t>864</w:t>
        </w:r>
        <w:r>
          <w:rPr>
            <w:noProof/>
            <w:webHidden/>
          </w:rPr>
          <w:fldChar w:fldCharType="end"/>
        </w:r>
      </w:hyperlink>
    </w:p>
    <w:p>
      <w:pPr>
        <w:pStyle w:val="TOC2"/>
      </w:pPr>
      <w:hyperlink w:anchor="_Toc300000266" w:history="1">
        <w:r>
          <w:rPr>
            <w:noProof/>
          </w:rPr>
          <w:t xml:space="preserve">Article 7.A: Low-Value Shipments (Implementation of Article 2.C)</w:t>
        </w:r>
        <w:r>
          <w:rPr>
            <w:noProof/>
            <w:webHidden/>
          </w:rPr>
          <w:tab/>
        </w:r>
        <w:r>
          <w:rPr>
            <w:noProof/>
            <w:webHidden/>
          </w:rPr>
          <w:fldChar w:fldCharType="begin"/>
        </w:r>
        <w:r>
          <w:rPr>
            <w:noProof/>
            <w:webHidden/>
          </w:rPr>
          <w:instrText xml:space="preserve"> PAGEREF _Toc300000266 \h </w:instrText>
        </w:r>
        <w:r>
          <w:rPr>
            <w:noProof/>
            <w:webHidden/>
          </w:rPr>
          <w:fldChar w:fldCharType="separate"/>
        </w:r>
        <w:r>
          <w:rPr>
            <w:noProof/>
            <w:webHidden/>
          </w:rPr>
          <w:t>864</w:t>
        </w:r>
        <w:r>
          <w:rPr>
            <w:noProof/>
            <w:webHidden/>
          </w:rPr>
          <w:fldChar w:fldCharType="end"/>
        </w:r>
      </w:hyperlink>
    </w:p>
    <w:p>
      <w:pPr>
        <w:pStyle w:val="TOC2"/>
      </w:pPr>
      <w:hyperlink w:anchor="_Toc300000267" w:history="1">
        <w:r>
          <w:rPr>
            <w:noProof/>
          </w:rPr>
          <w:t xml:space="preserve">Article 7.B: North American Single Window Interoperability</w:t>
        </w:r>
        <w:r>
          <w:rPr>
            <w:noProof/>
            <w:webHidden/>
          </w:rPr>
          <w:tab/>
        </w:r>
        <w:r>
          <w:rPr>
            <w:noProof/>
            <w:webHidden/>
          </w:rPr>
          <w:fldChar w:fldCharType="begin"/>
        </w:r>
        <w:r>
          <w:rPr>
            <w:noProof/>
            <w:webHidden/>
          </w:rPr>
          <w:instrText xml:space="preserve"> PAGEREF _Toc300000267 \h </w:instrText>
        </w:r>
        <w:r>
          <w:rPr>
            <w:noProof/>
            <w:webHidden/>
          </w:rPr>
          <w:fldChar w:fldCharType="separate"/>
        </w:r>
        <w:r>
          <w:rPr>
            <w:noProof/>
            <w:webHidden/>
          </w:rPr>
          <w:t>864</w:t>
        </w:r>
        <w:r>
          <w:rPr>
            <w:noProof/>
            <w:webHidden/>
          </w:rPr>
          <w:fldChar w:fldCharType="end"/>
        </w:r>
      </w:hyperlink>
    </w:p>
    <w:p>
      <w:pPr>
        <w:pStyle w:val="TOC2"/>
      </w:pPr>
      <w:hyperlink w:anchor="_Toc300000268" w:history="1">
        <w:r>
          <w:rPr>
            <w:noProof/>
          </w:rPr>
          <w:t xml:space="preserve">Article 7.C: Uniformity of Customs Administration</w:t>
        </w:r>
        <w:r>
          <w:rPr>
            <w:noProof/>
            <w:webHidden/>
          </w:rPr>
          <w:tab/>
        </w:r>
        <w:r>
          <w:rPr>
            <w:noProof/>
            <w:webHidden/>
          </w:rPr>
          <w:fldChar w:fldCharType="begin"/>
        </w:r>
        <w:r>
          <w:rPr>
            <w:noProof/>
            <w:webHidden/>
          </w:rPr>
          <w:instrText xml:space="preserve"> PAGEREF _Toc300000268 \h </w:instrText>
        </w:r>
        <w:r>
          <w:rPr>
            <w:noProof/>
            <w:webHidden/>
          </w:rPr>
          <w:fldChar w:fldCharType="separate"/>
        </w:r>
        <w:r>
          <w:rPr>
            <w:noProof/>
            <w:webHidden/>
          </w:rPr>
          <w:t>865</w:t>
        </w:r>
        <w:r>
          <w:rPr>
            <w:noProof/>
            <w:webHidden/>
          </w:rPr>
          <w:fldChar w:fldCharType="end"/>
        </w:r>
      </w:hyperlink>
    </w:p>
    <w:p>
      <w:pPr>
        <w:pStyle w:val="TOC2"/>
      </w:pPr>
      <w:hyperlink w:anchor="_Toc300000269" w:history="1">
        <w:r>
          <w:rPr>
            <w:noProof/>
          </w:rPr>
          <w:t xml:space="preserve">Article 7.D: Border Processing Times and Transparency</w:t>
        </w:r>
        <w:r>
          <w:rPr>
            <w:noProof/>
            <w:webHidden/>
          </w:rPr>
          <w:tab/>
        </w:r>
        <w:r>
          <w:rPr>
            <w:noProof/>
            <w:webHidden/>
          </w:rPr>
          <w:fldChar w:fldCharType="begin"/>
        </w:r>
        <w:r>
          <w:rPr>
            <w:noProof/>
            <w:webHidden/>
          </w:rPr>
          <w:instrText xml:space="preserve"> PAGEREF _Toc300000269 \h </w:instrText>
        </w:r>
        <w:r>
          <w:rPr>
            <w:noProof/>
            <w:webHidden/>
          </w:rPr>
          <w:fldChar w:fldCharType="separate"/>
        </w:r>
        <w:r>
          <w:rPr>
            <w:noProof/>
            <w:webHidden/>
          </w:rPr>
          <w:t>865</w:t>
        </w:r>
        <w:r>
          <w:rPr>
            <w:noProof/>
            <w:webHidden/>
          </w:rPr>
          <w:fldChar w:fldCharType="end"/>
        </w:r>
      </w:hyperlink>
    </w:p>
    <w:p>
      <w:pPr>
        <w:pStyle w:val="TOC2"/>
      </w:pPr>
      <w:hyperlink w:anchor="_Toc300000270" w:history="1">
        <w:r>
          <w:rPr>
            <w:noProof/>
          </w:rPr>
          <w:t xml:space="preserve">Article 7.E: Trusted Trader Programs</w:t>
        </w:r>
        <w:r>
          <w:rPr>
            <w:noProof/>
            <w:webHidden/>
          </w:rPr>
          <w:tab/>
        </w:r>
        <w:r>
          <w:rPr>
            <w:noProof/>
            <w:webHidden/>
          </w:rPr>
          <w:fldChar w:fldCharType="begin"/>
        </w:r>
        <w:r>
          <w:rPr>
            <w:noProof/>
            <w:webHidden/>
          </w:rPr>
          <w:instrText xml:space="preserve"> PAGEREF _Toc300000270 \h </w:instrText>
        </w:r>
        <w:r>
          <w:rPr>
            <w:noProof/>
            <w:webHidden/>
          </w:rPr>
          <w:fldChar w:fldCharType="separate"/>
        </w:r>
        <w:r>
          <w:rPr>
            <w:noProof/>
            <w:webHidden/>
          </w:rPr>
          <w:t>865</w:t>
        </w:r>
        <w:r>
          <w:rPr>
            <w:noProof/>
            <w:webHidden/>
          </w:rPr>
          <w:fldChar w:fldCharType="end"/>
        </w:r>
      </w:hyperlink>
    </w:p>
    <w:p>
      <w:pPr>
        <w:pStyle w:val="TOC1"/>
      </w:pPr>
      <w:hyperlink w:anchor="_Toc300000271" w:history="1">
        <w:r>
          <w:rPr>
            <w:noProof/>
          </w:rPr>
          <w:t xml:space="preserve">CHAPTER 8 RECOGNITION OF THE UNITED MEXICAN STATES’ DIRECT, INALIENABLE, AND IMPRESCRIPTIBLE OWNERSHIP OF HYDROCARBONS</w:t>
        </w:r>
        <w:r>
          <w:rPr>
            <w:noProof/>
            <w:webHidden/>
          </w:rPr>
          <w:tab/>
        </w:r>
        <w:r>
          <w:rPr>
            <w:noProof/>
            <w:webHidden/>
          </w:rPr>
          <w:fldChar w:fldCharType="begin"/>
        </w:r>
        <w:r>
          <w:rPr>
            <w:noProof/>
            <w:webHidden/>
          </w:rPr>
          <w:instrText xml:space="preserve"> PAGEREF _Toc300000271 \h </w:instrText>
        </w:r>
        <w:r>
          <w:rPr>
            <w:noProof/>
            <w:webHidden/>
          </w:rPr>
          <w:fldChar w:fldCharType="separate"/>
        </w:r>
        <w:r>
          <w:rPr>
            <w:noProof/>
            <w:webHidden/>
          </w:rPr>
          <w:t>867</w:t>
        </w:r>
        <w:r>
          <w:rPr>
            <w:noProof/>
            <w:webHidden/>
          </w:rPr>
          <w:fldChar w:fldCharType="end"/>
        </w:r>
      </w:hyperlink>
    </w:p>
    <w:p>
      <w:pPr>
        <w:pStyle w:val="TOC2"/>
      </w:pPr>
      <w:hyperlink w:anchor="_Toc300000272" w:history="1">
        <w:r>
          <w:rPr>
            <w:noProof/>
          </w:rPr>
          <w:t xml:space="preserve">Article 8.1: Recognition of the United Mexican States’ Direct, Inalienable, and Imprescriptible Ownership of Hydrocarbons</w:t>
        </w:r>
        <w:r>
          <w:rPr>
            <w:noProof/>
            <w:webHidden/>
          </w:rPr>
          <w:tab/>
        </w:r>
        <w:r>
          <w:rPr>
            <w:noProof/>
            <w:webHidden/>
          </w:rPr>
          <w:fldChar w:fldCharType="begin"/>
        </w:r>
        <w:r>
          <w:rPr>
            <w:noProof/>
            <w:webHidden/>
          </w:rPr>
          <w:instrText xml:space="preserve"> PAGEREF _Toc300000272 \h </w:instrText>
        </w:r>
        <w:r>
          <w:rPr>
            <w:noProof/>
            <w:webHidden/>
          </w:rPr>
          <w:fldChar w:fldCharType="separate"/>
        </w:r>
        <w:r>
          <w:rPr>
            <w:noProof/>
            <w:webHidden/>
          </w:rPr>
          <w:t>867</w:t>
        </w:r>
        <w:r>
          <w:rPr>
            <w:noProof/>
            <w:webHidden/>
          </w:rPr>
          <w:fldChar w:fldCharType="end"/>
        </w:r>
      </w:hyperlink>
    </w:p>
    <w:p>
      <w:pPr>
        <w:pStyle w:val="TOC1"/>
      </w:pPr>
      <w:hyperlink w:anchor="_Toc300000273" w:history="1">
        <w:r>
          <w:rPr>
            <w:noProof/>
          </w:rPr>
          <w:t xml:space="preserve">CHAPTER 9 SANITARY AND PHYTOSANITARY MEASURES</w:t>
        </w:r>
        <w:r>
          <w:rPr>
            <w:noProof/>
            <w:webHidden/>
          </w:rPr>
          <w:tab/>
        </w:r>
        <w:r>
          <w:rPr>
            <w:noProof/>
            <w:webHidden/>
          </w:rPr>
          <w:fldChar w:fldCharType="begin"/>
        </w:r>
        <w:r>
          <w:rPr>
            <w:noProof/>
            <w:webHidden/>
          </w:rPr>
          <w:instrText xml:space="preserve"> PAGEREF _Toc300000273 \h </w:instrText>
        </w:r>
        <w:r>
          <w:rPr>
            <w:noProof/>
            <w:webHidden/>
          </w:rPr>
          <w:fldChar w:fldCharType="separate"/>
        </w:r>
        <w:r>
          <w:rPr>
            <w:noProof/>
            <w:webHidden/>
          </w:rPr>
          <w:t>868</w:t>
        </w:r>
        <w:r>
          <w:rPr>
            <w:noProof/>
            <w:webHidden/>
          </w:rPr>
          <w:fldChar w:fldCharType="end"/>
        </w:r>
      </w:hyperlink>
    </w:p>
    <w:p>
      <w:pPr>
        <w:pStyle w:val="TOC2"/>
      </w:pPr>
      <w:hyperlink w:anchor="_Toc300000274" w:history="1">
        <w:r>
          <w:rPr>
            <w:noProof/>
          </w:rPr>
          <w:t xml:space="preserve">Article 9.1: Definitions</w:t>
        </w:r>
        <w:r>
          <w:rPr>
            <w:noProof/>
            <w:webHidden/>
          </w:rPr>
          <w:tab/>
        </w:r>
        <w:r>
          <w:rPr>
            <w:noProof/>
            <w:webHidden/>
          </w:rPr>
          <w:fldChar w:fldCharType="begin"/>
        </w:r>
        <w:r>
          <w:rPr>
            <w:noProof/>
            <w:webHidden/>
          </w:rPr>
          <w:instrText xml:space="preserve"> PAGEREF _Toc300000274 \h </w:instrText>
        </w:r>
        <w:r>
          <w:rPr>
            <w:noProof/>
            <w:webHidden/>
          </w:rPr>
          <w:fldChar w:fldCharType="separate"/>
        </w:r>
        <w:r>
          <w:rPr>
            <w:noProof/>
            <w:webHidden/>
          </w:rPr>
          <w:t>868</w:t>
        </w:r>
        <w:r>
          <w:rPr>
            <w:noProof/>
            <w:webHidden/>
          </w:rPr>
          <w:fldChar w:fldCharType="end"/>
        </w:r>
      </w:hyperlink>
    </w:p>
    <w:p>
      <w:pPr>
        <w:pStyle w:val="TOC2"/>
      </w:pPr>
      <w:hyperlink w:anchor="_Toc300000275" w:history="1">
        <w:r>
          <w:rPr>
            <w:noProof/>
          </w:rPr>
          <w:t xml:space="preserve">Article 9.2: Scope</w:t>
        </w:r>
        <w:r>
          <w:rPr>
            <w:noProof/>
            <w:webHidden/>
          </w:rPr>
          <w:tab/>
        </w:r>
        <w:r>
          <w:rPr>
            <w:noProof/>
            <w:webHidden/>
          </w:rPr>
          <w:fldChar w:fldCharType="begin"/>
        </w:r>
        <w:r>
          <w:rPr>
            <w:noProof/>
            <w:webHidden/>
          </w:rPr>
          <w:instrText xml:space="preserve"> PAGEREF _Toc300000275 \h </w:instrText>
        </w:r>
        <w:r>
          <w:rPr>
            <w:noProof/>
            <w:webHidden/>
          </w:rPr>
          <w:fldChar w:fldCharType="separate"/>
        </w:r>
        <w:r>
          <w:rPr>
            <w:noProof/>
            <w:webHidden/>
          </w:rPr>
          <w:t>868</w:t>
        </w:r>
        <w:r>
          <w:rPr>
            <w:noProof/>
            <w:webHidden/>
          </w:rPr>
          <w:fldChar w:fldCharType="end"/>
        </w:r>
      </w:hyperlink>
    </w:p>
    <w:p>
      <w:pPr>
        <w:pStyle w:val="TOC2"/>
      </w:pPr>
      <w:hyperlink w:anchor="_Toc300000276" w:history="1">
        <w:r>
          <w:rPr>
            <w:noProof/>
          </w:rPr>
          <w:t xml:space="preserve">Article 9.3: Objectives</w:t>
        </w:r>
        <w:r>
          <w:rPr>
            <w:noProof/>
            <w:webHidden/>
          </w:rPr>
          <w:tab/>
        </w:r>
        <w:r>
          <w:rPr>
            <w:noProof/>
            <w:webHidden/>
          </w:rPr>
          <w:fldChar w:fldCharType="begin"/>
        </w:r>
        <w:r>
          <w:rPr>
            <w:noProof/>
            <w:webHidden/>
          </w:rPr>
          <w:instrText xml:space="preserve"> PAGEREF _Toc300000276 \h </w:instrText>
        </w:r>
        <w:r>
          <w:rPr>
            <w:noProof/>
            <w:webHidden/>
          </w:rPr>
          <w:fldChar w:fldCharType="separate"/>
        </w:r>
        <w:r>
          <w:rPr>
            <w:noProof/>
            <w:webHidden/>
          </w:rPr>
          <w:t>868</w:t>
        </w:r>
        <w:r>
          <w:rPr>
            <w:noProof/>
            <w:webHidden/>
          </w:rPr>
          <w:fldChar w:fldCharType="end"/>
        </w:r>
      </w:hyperlink>
    </w:p>
    <w:p>
      <w:pPr>
        <w:pStyle w:val="TOC2"/>
      </w:pPr>
      <w:hyperlink w:anchor="_Toc300000277" w:history="1">
        <w:r>
          <w:rPr>
            <w:noProof/>
          </w:rPr>
          <w:t xml:space="preserve">Article 9.4: General Provisions</w:t>
        </w:r>
        <w:r>
          <w:rPr>
            <w:noProof/>
            <w:webHidden/>
          </w:rPr>
          <w:tab/>
        </w:r>
        <w:r>
          <w:rPr>
            <w:noProof/>
            <w:webHidden/>
          </w:rPr>
          <w:fldChar w:fldCharType="begin"/>
        </w:r>
        <w:r>
          <w:rPr>
            <w:noProof/>
            <w:webHidden/>
          </w:rPr>
          <w:instrText xml:space="preserve"> PAGEREF _Toc300000277 \h </w:instrText>
        </w:r>
        <w:r>
          <w:rPr>
            <w:noProof/>
            <w:webHidden/>
          </w:rPr>
          <w:fldChar w:fldCharType="separate"/>
        </w:r>
        <w:r>
          <w:rPr>
            <w:noProof/>
            <w:webHidden/>
          </w:rPr>
          <w:t>869</w:t>
        </w:r>
        <w:r>
          <w:rPr>
            <w:noProof/>
            <w:webHidden/>
          </w:rPr>
          <w:fldChar w:fldCharType="end"/>
        </w:r>
      </w:hyperlink>
    </w:p>
    <w:p>
      <w:pPr>
        <w:pStyle w:val="TOC2"/>
      </w:pPr>
      <w:hyperlink w:anchor="_Toc300000278" w:history="1">
        <w:r>
          <w:rPr>
            <w:noProof/>
          </w:rPr>
          <w:t xml:space="preserve">Article 9.5: Competent Authorities and Contact Points</w:t>
        </w:r>
        <w:r>
          <w:rPr>
            <w:noProof/>
            <w:webHidden/>
          </w:rPr>
          <w:tab/>
        </w:r>
        <w:r>
          <w:rPr>
            <w:noProof/>
            <w:webHidden/>
          </w:rPr>
          <w:fldChar w:fldCharType="begin"/>
        </w:r>
        <w:r>
          <w:rPr>
            <w:noProof/>
            <w:webHidden/>
          </w:rPr>
          <w:instrText xml:space="preserve"> PAGEREF _Toc300000278 \h </w:instrText>
        </w:r>
        <w:r>
          <w:rPr>
            <w:noProof/>
            <w:webHidden/>
          </w:rPr>
          <w:fldChar w:fldCharType="separate"/>
        </w:r>
        <w:r>
          <w:rPr>
            <w:noProof/>
            <w:webHidden/>
          </w:rPr>
          <w:t>869</w:t>
        </w:r>
        <w:r>
          <w:rPr>
            <w:noProof/>
            <w:webHidden/>
          </w:rPr>
          <w:fldChar w:fldCharType="end"/>
        </w:r>
      </w:hyperlink>
    </w:p>
    <w:p>
      <w:pPr>
        <w:pStyle w:val="TOC2"/>
      </w:pPr>
      <w:hyperlink w:anchor="_Toc300000279" w:history="1">
        <w:r>
          <w:rPr>
            <w:noProof/>
          </w:rPr>
          <w:t xml:space="preserve">Article 9.6: Science and Risk Analysis</w:t>
        </w:r>
        <w:r>
          <w:rPr>
            <w:noProof/>
            <w:webHidden/>
          </w:rPr>
          <w:tab/>
        </w:r>
        <w:r>
          <w:rPr>
            <w:noProof/>
            <w:webHidden/>
          </w:rPr>
          <w:fldChar w:fldCharType="begin"/>
        </w:r>
        <w:r>
          <w:rPr>
            <w:noProof/>
            <w:webHidden/>
          </w:rPr>
          <w:instrText xml:space="preserve"> PAGEREF _Toc300000279 \h </w:instrText>
        </w:r>
        <w:r>
          <w:rPr>
            <w:noProof/>
            <w:webHidden/>
          </w:rPr>
          <w:fldChar w:fldCharType="separate"/>
        </w:r>
        <w:r>
          <w:rPr>
            <w:noProof/>
            <w:webHidden/>
          </w:rPr>
          <w:t>869</w:t>
        </w:r>
        <w:r>
          <w:rPr>
            <w:noProof/>
            <w:webHidden/>
          </w:rPr>
          <w:fldChar w:fldCharType="end"/>
        </w:r>
      </w:hyperlink>
    </w:p>
    <w:p>
      <w:pPr>
        <w:pStyle w:val="TOC2"/>
      </w:pPr>
      <w:hyperlink w:anchor="_Toc300000280" w:history="1">
        <w:r>
          <w:rPr>
            <w:noProof/>
          </w:rPr>
          <w:t xml:space="preserve">Article 9.7: Enhancing Compatibility of Sanitary and Phytosanitary Measures</w:t>
        </w:r>
        <w:r>
          <w:rPr>
            <w:noProof/>
            <w:webHidden/>
          </w:rPr>
          <w:tab/>
        </w:r>
        <w:r>
          <w:rPr>
            <w:noProof/>
            <w:webHidden/>
          </w:rPr>
          <w:fldChar w:fldCharType="begin"/>
        </w:r>
        <w:r>
          <w:rPr>
            <w:noProof/>
            <w:webHidden/>
          </w:rPr>
          <w:instrText xml:space="preserve"> PAGEREF _Toc300000280 \h </w:instrText>
        </w:r>
        <w:r>
          <w:rPr>
            <w:noProof/>
            <w:webHidden/>
          </w:rPr>
          <w:fldChar w:fldCharType="separate"/>
        </w:r>
        <w:r>
          <w:rPr>
            <w:noProof/>
            <w:webHidden/>
          </w:rPr>
          <w:t>871</w:t>
        </w:r>
        <w:r>
          <w:rPr>
            <w:noProof/>
            <w:webHidden/>
          </w:rPr>
          <w:fldChar w:fldCharType="end"/>
        </w:r>
      </w:hyperlink>
    </w:p>
    <w:p>
      <w:pPr>
        <w:pStyle w:val="TOC2"/>
      </w:pPr>
      <w:hyperlink w:anchor="_Toc300000281" w:history="1">
        <w:r>
          <w:rPr>
            <w:noProof/>
          </w:rPr>
          <w:t xml:space="preserve">Article 9.8: Adaptation to Regional Conditions, Including Pest- or Disease-Free Areas and Areas of Low Pest or Disease Prevalence</w:t>
        </w:r>
        <w:r>
          <w:rPr>
            <w:noProof/>
            <w:webHidden/>
          </w:rPr>
          <w:tab/>
        </w:r>
        <w:r>
          <w:rPr>
            <w:noProof/>
            <w:webHidden/>
          </w:rPr>
          <w:fldChar w:fldCharType="begin"/>
        </w:r>
        <w:r>
          <w:rPr>
            <w:noProof/>
            <w:webHidden/>
          </w:rPr>
          <w:instrText xml:space="preserve"> PAGEREF _Toc300000281 \h </w:instrText>
        </w:r>
        <w:r>
          <w:rPr>
            <w:noProof/>
            <w:webHidden/>
          </w:rPr>
          <w:fldChar w:fldCharType="separate"/>
        </w:r>
        <w:r>
          <w:rPr>
            <w:noProof/>
            <w:webHidden/>
          </w:rPr>
          <w:t>871</w:t>
        </w:r>
        <w:r>
          <w:rPr>
            <w:noProof/>
            <w:webHidden/>
          </w:rPr>
          <w:fldChar w:fldCharType="end"/>
        </w:r>
      </w:hyperlink>
    </w:p>
    <w:p>
      <w:pPr>
        <w:pStyle w:val="TOC2"/>
      </w:pPr>
      <w:hyperlink w:anchor="_Toc300000282" w:history="1">
        <w:r>
          <w:rPr>
            <w:noProof/>
          </w:rPr>
          <w:t xml:space="preserve">Article 9.9: Equivalence</w:t>
        </w:r>
        <w:r>
          <w:rPr>
            <w:noProof/>
            <w:webHidden/>
          </w:rPr>
          <w:tab/>
        </w:r>
        <w:r>
          <w:rPr>
            <w:noProof/>
            <w:webHidden/>
          </w:rPr>
          <w:fldChar w:fldCharType="begin"/>
        </w:r>
        <w:r>
          <w:rPr>
            <w:noProof/>
            <w:webHidden/>
          </w:rPr>
          <w:instrText xml:space="preserve"> PAGEREF _Toc300000282 \h </w:instrText>
        </w:r>
        <w:r>
          <w:rPr>
            <w:noProof/>
            <w:webHidden/>
          </w:rPr>
          <w:fldChar w:fldCharType="separate"/>
        </w:r>
        <w:r>
          <w:rPr>
            <w:noProof/>
            <w:webHidden/>
          </w:rPr>
          <w:t>873</w:t>
        </w:r>
        <w:r>
          <w:rPr>
            <w:noProof/>
            <w:webHidden/>
          </w:rPr>
          <w:fldChar w:fldCharType="end"/>
        </w:r>
      </w:hyperlink>
    </w:p>
    <w:p>
      <w:pPr>
        <w:pStyle w:val="TOC2"/>
      </w:pPr>
      <w:hyperlink w:anchor="_Toc300000283" w:history="1">
        <w:r>
          <w:rPr>
            <w:noProof/>
          </w:rPr>
          <w:t xml:space="preserve">Article 9.10: Audits</w:t>
        </w:r>
        <w:r>
          <w:rPr>
            <w:noProof/>
            <w:webHidden/>
          </w:rPr>
          <w:tab/>
        </w:r>
        <w:r>
          <w:rPr>
            <w:noProof/>
            <w:webHidden/>
          </w:rPr>
          <w:fldChar w:fldCharType="begin"/>
        </w:r>
        <w:r>
          <w:rPr>
            <w:noProof/>
            <w:webHidden/>
          </w:rPr>
          <w:instrText xml:space="preserve"> PAGEREF _Toc300000283 \h </w:instrText>
        </w:r>
        <w:r>
          <w:rPr>
            <w:noProof/>
            <w:webHidden/>
          </w:rPr>
          <w:fldChar w:fldCharType="separate"/>
        </w:r>
        <w:r>
          <w:rPr>
            <w:noProof/>
            <w:webHidden/>
          </w:rPr>
          <w:t>874</w:t>
        </w:r>
        <w:r>
          <w:rPr>
            <w:noProof/>
            <w:webHidden/>
          </w:rPr>
          <w:fldChar w:fldCharType="end"/>
        </w:r>
      </w:hyperlink>
    </w:p>
    <w:p>
      <w:pPr>
        <w:pStyle w:val="TOC2"/>
      </w:pPr>
      <w:hyperlink w:anchor="_Toc300000284" w:history="1">
        <w:r>
          <w:rPr>
            <w:noProof/>
          </w:rPr>
          <w:t xml:space="preserve">Article 9.11: Import Checks</w:t>
        </w:r>
        <w:r>
          <w:rPr>
            <w:noProof/>
            <w:webHidden/>
          </w:rPr>
          <w:tab/>
        </w:r>
        <w:r>
          <w:rPr>
            <w:noProof/>
            <w:webHidden/>
          </w:rPr>
          <w:fldChar w:fldCharType="begin"/>
        </w:r>
        <w:r>
          <w:rPr>
            <w:noProof/>
            <w:webHidden/>
          </w:rPr>
          <w:instrText xml:space="preserve"> PAGEREF _Toc300000284 \h </w:instrText>
        </w:r>
        <w:r>
          <w:rPr>
            <w:noProof/>
            <w:webHidden/>
          </w:rPr>
          <w:fldChar w:fldCharType="separate"/>
        </w:r>
        <w:r>
          <w:rPr>
            <w:noProof/>
            <w:webHidden/>
          </w:rPr>
          <w:t>876</w:t>
        </w:r>
        <w:r>
          <w:rPr>
            <w:noProof/>
            <w:webHidden/>
          </w:rPr>
          <w:fldChar w:fldCharType="end"/>
        </w:r>
      </w:hyperlink>
    </w:p>
    <w:p>
      <w:pPr>
        <w:pStyle w:val="TOC2"/>
      </w:pPr>
      <w:hyperlink w:anchor="_Toc300000285" w:history="1">
        <w:r>
          <w:rPr>
            <w:noProof/>
          </w:rPr>
          <w:t xml:space="preserve">Article 9.12: Certification</w:t>
        </w:r>
        <w:r>
          <w:rPr>
            <w:noProof/>
            <w:webHidden/>
          </w:rPr>
          <w:tab/>
        </w:r>
        <w:r>
          <w:rPr>
            <w:noProof/>
            <w:webHidden/>
          </w:rPr>
          <w:fldChar w:fldCharType="begin"/>
        </w:r>
        <w:r>
          <w:rPr>
            <w:noProof/>
            <w:webHidden/>
          </w:rPr>
          <w:instrText xml:space="preserve"> PAGEREF _Toc300000285 \h </w:instrText>
        </w:r>
        <w:r>
          <w:rPr>
            <w:noProof/>
            <w:webHidden/>
          </w:rPr>
          <w:fldChar w:fldCharType="separate"/>
        </w:r>
        <w:r>
          <w:rPr>
            <w:noProof/>
            <w:webHidden/>
          </w:rPr>
          <w:t>877</w:t>
        </w:r>
        <w:r>
          <w:rPr>
            <w:noProof/>
            <w:webHidden/>
          </w:rPr>
          <w:fldChar w:fldCharType="end"/>
        </w:r>
      </w:hyperlink>
    </w:p>
    <w:p>
      <w:pPr>
        <w:pStyle w:val="TOC2"/>
      </w:pPr>
      <w:hyperlink w:anchor="_Toc300000286" w:history="1">
        <w:r>
          <w:rPr>
            <w:noProof/>
          </w:rPr>
          <w:t xml:space="preserve">Article 9.13: Transparency</w:t>
        </w:r>
        <w:r>
          <w:rPr>
            <w:noProof/>
            <w:webHidden/>
          </w:rPr>
          <w:tab/>
        </w:r>
        <w:r>
          <w:rPr>
            <w:noProof/>
            <w:webHidden/>
          </w:rPr>
          <w:fldChar w:fldCharType="begin"/>
        </w:r>
        <w:r>
          <w:rPr>
            <w:noProof/>
            <w:webHidden/>
          </w:rPr>
          <w:instrText xml:space="preserve"> PAGEREF _Toc300000286 \h </w:instrText>
        </w:r>
        <w:r>
          <w:rPr>
            <w:noProof/>
            <w:webHidden/>
          </w:rPr>
          <w:fldChar w:fldCharType="separate"/>
        </w:r>
        <w:r>
          <w:rPr>
            <w:noProof/>
            <w:webHidden/>
          </w:rPr>
          <w:t>878</w:t>
        </w:r>
        <w:r>
          <w:rPr>
            <w:noProof/>
            <w:webHidden/>
          </w:rPr>
          <w:fldChar w:fldCharType="end"/>
        </w:r>
      </w:hyperlink>
    </w:p>
    <w:p>
      <w:pPr>
        <w:pStyle w:val="TOC2"/>
      </w:pPr>
      <w:hyperlink w:anchor="_Toc300000287" w:history="1">
        <w:r>
          <w:rPr>
            <w:noProof/>
          </w:rPr>
          <w:t xml:space="preserve">Article 9.14: Emergency Measures</w:t>
        </w:r>
        <w:r>
          <w:rPr>
            <w:noProof/>
            <w:webHidden/>
          </w:rPr>
          <w:tab/>
        </w:r>
        <w:r>
          <w:rPr>
            <w:noProof/>
            <w:webHidden/>
          </w:rPr>
          <w:fldChar w:fldCharType="begin"/>
        </w:r>
        <w:r>
          <w:rPr>
            <w:noProof/>
            <w:webHidden/>
          </w:rPr>
          <w:instrText xml:space="preserve"> PAGEREF _Toc300000287 \h </w:instrText>
        </w:r>
        <w:r>
          <w:rPr>
            <w:noProof/>
            <w:webHidden/>
          </w:rPr>
          <w:fldChar w:fldCharType="separate"/>
        </w:r>
        <w:r>
          <w:rPr>
            <w:noProof/>
            <w:webHidden/>
          </w:rPr>
          <w:t>879</w:t>
        </w:r>
        <w:r>
          <w:rPr>
            <w:noProof/>
            <w:webHidden/>
          </w:rPr>
          <w:fldChar w:fldCharType="end"/>
        </w:r>
      </w:hyperlink>
    </w:p>
    <w:p>
      <w:pPr>
        <w:pStyle w:val="TOC2"/>
      </w:pPr>
      <w:hyperlink w:anchor="_Toc300000288" w:history="1">
        <w:r>
          <w:rPr>
            <w:noProof/>
          </w:rPr>
          <w:t xml:space="preserve">Article 9.15: Information Exchange</w:t>
        </w:r>
        <w:r>
          <w:rPr>
            <w:noProof/>
            <w:webHidden/>
          </w:rPr>
          <w:tab/>
        </w:r>
        <w:r>
          <w:rPr>
            <w:noProof/>
            <w:webHidden/>
          </w:rPr>
          <w:fldChar w:fldCharType="begin"/>
        </w:r>
        <w:r>
          <w:rPr>
            <w:noProof/>
            <w:webHidden/>
          </w:rPr>
          <w:instrText xml:space="preserve"> PAGEREF _Toc300000288 \h </w:instrText>
        </w:r>
        <w:r>
          <w:rPr>
            <w:noProof/>
            <w:webHidden/>
          </w:rPr>
          <w:fldChar w:fldCharType="separate"/>
        </w:r>
        <w:r>
          <w:rPr>
            <w:noProof/>
            <w:webHidden/>
          </w:rPr>
          <w:t>880</w:t>
        </w:r>
        <w:r>
          <w:rPr>
            <w:noProof/>
            <w:webHidden/>
          </w:rPr>
          <w:fldChar w:fldCharType="end"/>
        </w:r>
      </w:hyperlink>
    </w:p>
    <w:p>
      <w:pPr>
        <w:pStyle w:val="TOC2"/>
      </w:pPr>
      <w:hyperlink w:anchor="_Toc300000289" w:history="1">
        <w:r>
          <w:rPr>
            <w:noProof/>
          </w:rPr>
          <w:t xml:space="preserve">Article 9.16: Cooperation</w:t>
        </w:r>
        <w:r>
          <w:rPr>
            <w:noProof/>
            <w:webHidden/>
          </w:rPr>
          <w:tab/>
        </w:r>
        <w:r>
          <w:rPr>
            <w:noProof/>
            <w:webHidden/>
          </w:rPr>
          <w:fldChar w:fldCharType="begin"/>
        </w:r>
        <w:r>
          <w:rPr>
            <w:noProof/>
            <w:webHidden/>
          </w:rPr>
          <w:instrText xml:space="preserve"> PAGEREF _Toc300000289 \h </w:instrText>
        </w:r>
        <w:r>
          <w:rPr>
            <w:noProof/>
            <w:webHidden/>
          </w:rPr>
          <w:fldChar w:fldCharType="separate"/>
        </w:r>
        <w:r>
          <w:rPr>
            <w:noProof/>
            <w:webHidden/>
          </w:rPr>
          <w:t>880</w:t>
        </w:r>
        <w:r>
          <w:rPr>
            <w:noProof/>
            <w:webHidden/>
          </w:rPr>
          <w:fldChar w:fldCharType="end"/>
        </w:r>
      </w:hyperlink>
    </w:p>
    <w:p>
      <w:pPr>
        <w:pStyle w:val="TOC2"/>
      </w:pPr>
      <w:hyperlink w:anchor="_Toc300000290" w:history="1">
        <w:r>
          <w:rPr>
            <w:noProof/>
          </w:rPr>
          <w:t xml:space="preserve">Article 9.17: Committee on Sanitary and Phytosanitary Measures</w:t>
        </w:r>
        <w:r>
          <w:rPr>
            <w:noProof/>
            <w:webHidden/>
          </w:rPr>
          <w:tab/>
        </w:r>
        <w:r>
          <w:rPr>
            <w:noProof/>
            <w:webHidden/>
          </w:rPr>
          <w:fldChar w:fldCharType="begin"/>
        </w:r>
        <w:r>
          <w:rPr>
            <w:noProof/>
            <w:webHidden/>
          </w:rPr>
          <w:instrText xml:space="preserve"> PAGEREF _Toc300000290 \h </w:instrText>
        </w:r>
        <w:r>
          <w:rPr>
            <w:noProof/>
            <w:webHidden/>
          </w:rPr>
          <w:fldChar w:fldCharType="separate"/>
        </w:r>
        <w:r>
          <w:rPr>
            <w:noProof/>
            <w:webHidden/>
          </w:rPr>
          <w:t>880</w:t>
        </w:r>
        <w:r>
          <w:rPr>
            <w:noProof/>
            <w:webHidden/>
          </w:rPr>
          <w:fldChar w:fldCharType="end"/>
        </w:r>
      </w:hyperlink>
    </w:p>
    <w:p>
      <w:pPr>
        <w:pStyle w:val="TOC2"/>
      </w:pPr>
      <w:hyperlink w:anchor="_Toc300000291" w:history="1">
        <w:r>
          <w:rPr>
            <w:noProof/>
          </w:rPr>
          <w:t xml:space="preserve">Article 9.18: Technical Working Groups</w:t>
        </w:r>
        <w:r>
          <w:rPr>
            <w:noProof/>
            <w:webHidden/>
          </w:rPr>
          <w:tab/>
        </w:r>
        <w:r>
          <w:rPr>
            <w:noProof/>
            <w:webHidden/>
          </w:rPr>
          <w:fldChar w:fldCharType="begin"/>
        </w:r>
        <w:r>
          <w:rPr>
            <w:noProof/>
            <w:webHidden/>
          </w:rPr>
          <w:instrText xml:space="preserve"> PAGEREF _Toc300000291 \h </w:instrText>
        </w:r>
        <w:r>
          <w:rPr>
            <w:noProof/>
            <w:webHidden/>
          </w:rPr>
          <w:fldChar w:fldCharType="separate"/>
        </w:r>
        <w:r>
          <w:rPr>
            <w:noProof/>
            <w:webHidden/>
          </w:rPr>
          <w:t>881</w:t>
        </w:r>
        <w:r>
          <w:rPr>
            <w:noProof/>
            <w:webHidden/>
          </w:rPr>
          <w:fldChar w:fldCharType="end"/>
        </w:r>
      </w:hyperlink>
    </w:p>
    <w:p>
      <w:pPr>
        <w:pStyle w:val="TOC2"/>
      </w:pPr>
      <w:hyperlink w:anchor="_Toc300000292" w:history="1">
        <w:r>
          <w:rPr>
            <w:noProof/>
          </w:rPr>
          <w:t xml:space="preserve">Article 9.19: Technical Consultations</w:t>
        </w:r>
        <w:r>
          <w:rPr>
            <w:noProof/>
            <w:webHidden/>
          </w:rPr>
          <w:tab/>
        </w:r>
        <w:r>
          <w:rPr>
            <w:noProof/>
            <w:webHidden/>
          </w:rPr>
          <w:fldChar w:fldCharType="begin"/>
        </w:r>
        <w:r>
          <w:rPr>
            <w:noProof/>
            <w:webHidden/>
          </w:rPr>
          <w:instrText xml:space="preserve"> PAGEREF _Toc300000292 \h </w:instrText>
        </w:r>
        <w:r>
          <w:rPr>
            <w:noProof/>
            <w:webHidden/>
          </w:rPr>
          <w:fldChar w:fldCharType="separate"/>
        </w:r>
        <w:r>
          <w:rPr>
            <w:noProof/>
            <w:webHidden/>
          </w:rPr>
          <w:t>882</w:t>
        </w:r>
        <w:r>
          <w:rPr>
            <w:noProof/>
            <w:webHidden/>
          </w:rPr>
          <w:fldChar w:fldCharType="end"/>
        </w:r>
      </w:hyperlink>
    </w:p>
    <w:p>
      <w:pPr>
        <w:pStyle w:val="TOC2"/>
      </w:pPr>
      <w:hyperlink w:anchor="_Toc300000293" w:history="1">
        <w:r>
          <w:rPr>
            <w:noProof/>
          </w:rPr>
          <w:t xml:space="preserve">Article 9.20: Dispute Settlement</w:t>
        </w:r>
        <w:r>
          <w:rPr>
            <w:noProof/>
            <w:webHidden/>
          </w:rPr>
          <w:tab/>
        </w:r>
        <w:r>
          <w:rPr>
            <w:noProof/>
            <w:webHidden/>
          </w:rPr>
          <w:fldChar w:fldCharType="begin"/>
        </w:r>
        <w:r>
          <w:rPr>
            <w:noProof/>
            <w:webHidden/>
          </w:rPr>
          <w:instrText xml:space="preserve"> PAGEREF _Toc300000293 \h </w:instrText>
        </w:r>
        <w:r>
          <w:rPr>
            <w:noProof/>
            <w:webHidden/>
          </w:rPr>
          <w:fldChar w:fldCharType="separate"/>
        </w:r>
        <w:r>
          <w:rPr>
            <w:noProof/>
            <w:webHidden/>
          </w:rPr>
          <w:t>883</w:t>
        </w:r>
        <w:r>
          <w:rPr>
            <w:noProof/>
            <w:webHidden/>
          </w:rPr>
          <w:fldChar w:fldCharType="end"/>
        </w:r>
      </w:hyperlink>
    </w:p>
    <w:p>
      <w:pPr>
        <w:pStyle w:val="TOC1"/>
      </w:pPr>
      <w:hyperlink w:anchor="_Toc300000294" w:history="1">
        <w:r>
          <w:rPr>
            <w:noProof/>
          </w:rPr>
          <w:t xml:space="preserve">CHAPTER 10 TRADE REMEDIES Section A: Safeguards</w:t>
        </w:r>
        <w:r>
          <w:rPr>
            <w:noProof/>
            <w:webHidden/>
          </w:rPr>
          <w:tab/>
        </w:r>
        <w:r>
          <w:rPr>
            <w:noProof/>
            <w:webHidden/>
          </w:rPr>
          <w:fldChar w:fldCharType="begin"/>
        </w:r>
        <w:r>
          <w:rPr>
            <w:noProof/>
            <w:webHidden/>
          </w:rPr>
          <w:instrText xml:space="preserve"> PAGEREF _Toc300000294 \h </w:instrText>
        </w:r>
        <w:r>
          <w:rPr>
            <w:noProof/>
            <w:webHidden/>
          </w:rPr>
          <w:fldChar w:fldCharType="separate"/>
        </w:r>
        <w:r>
          <w:rPr>
            <w:noProof/>
            <w:webHidden/>
          </w:rPr>
          <w:t>884</w:t>
        </w:r>
        <w:r>
          <w:rPr>
            <w:noProof/>
            <w:webHidden/>
          </w:rPr>
          <w:fldChar w:fldCharType="end"/>
        </w:r>
      </w:hyperlink>
    </w:p>
    <w:p>
      <w:pPr>
        <w:pStyle w:val="TOC2"/>
      </w:pPr>
      <w:hyperlink w:anchor="_Toc300000295" w:history="1">
        <w:r>
          <w:rPr>
            <w:noProof/>
          </w:rPr>
          <w:t xml:space="preserve">Article 10.1: Definitions</w:t>
        </w:r>
        <w:r>
          <w:rPr>
            <w:noProof/>
            <w:webHidden/>
          </w:rPr>
          <w:tab/>
        </w:r>
        <w:r>
          <w:rPr>
            <w:noProof/>
            <w:webHidden/>
          </w:rPr>
          <w:fldChar w:fldCharType="begin"/>
        </w:r>
        <w:r>
          <w:rPr>
            <w:noProof/>
            <w:webHidden/>
          </w:rPr>
          <w:instrText xml:space="preserve"> PAGEREF _Toc300000295 \h </w:instrText>
        </w:r>
        <w:r>
          <w:rPr>
            <w:noProof/>
            <w:webHidden/>
          </w:rPr>
          <w:fldChar w:fldCharType="separate"/>
        </w:r>
        <w:r>
          <w:rPr>
            <w:noProof/>
            <w:webHidden/>
          </w:rPr>
          <w:t>884</w:t>
        </w:r>
        <w:r>
          <w:rPr>
            <w:noProof/>
            <w:webHidden/>
          </w:rPr>
          <w:fldChar w:fldCharType="end"/>
        </w:r>
      </w:hyperlink>
    </w:p>
    <w:p>
      <w:pPr>
        <w:pStyle w:val="TOC2"/>
      </w:pPr>
      <w:hyperlink w:anchor="_Toc300000296" w:history="1">
        <w:r>
          <w:rPr>
            <w:noProof/>
          </w:rPr>
          <w:t xml:space="preserve">Article 10.2: Rights and Obligations</w:t>
        </w:r>
        <w:r>
          <w:rPr>
            <w:noProof/>
            <w:webHidden/>
          </w:rPr>
          <w:tab/>
        </w:r>
        <w:r>
          <w:rPr>
            <w:noProof/>
            <w:webHidden/>
          </w:rPr>
          <w:fldChar w:fldCharType="begin"/>
        </w:r>
        <w:r>
          <w:rPr>
            <w:noProof/>
            <w:webHidden/>
          </w:rPr>
          <w:instrText xml:space="preserve"> PAGEREF _Toc300000296 \h </w:instrText>
        </w:r>
        <w:r>
          <w:rPr>
            <w:noProof/>
            <w:webHidden/>
          </w:rPr>
          <w:fldChar w:fldCharType="separate"/>
        </w:r>
        <w:r>
          <w:rPr>
            <w:noProof/>
            <w:webHidden/>
          </w:rPr>
          <w:t>884</w:t>
        </w:r>
        <w:r>
          <w:rPr>
            <w:noProof/>
            <w:webHidden/>
          </w:rPr>
          <w:fldChar w:fldCharType="end"/>
        </w:r>
      </w:hyperlink>
    </w:p>
    <w:p>
      <w:pPr>
        <w:pStyle w:val="TOC2"/>
      </w:pPr>
      <w:hyperlink w:anchor="_Toc300000297" w:history="1">
        <w:r>
          <w:rPr>
            <w:noProof/>
          </w:rPr>
          <w:t xml:space="preserve">Article 10.3: Administration of Emergency Action Proceedings</w:t>
        </w:r>
        <w:r>
          <w:rPr>
            <w:noProof/>
            <w:webHidden/>
          </w:rPr>
          <w:tab/>
        </w:r>
        <w:r>
          <w:rPr>
            <w:noProof/>
            <w:webHidden/>
          </w:rPr>
          <w:fldChar w:fldCharType="begin"/>
        </w:r>
        <w:r>
          <w:rPr>
            <w:noProof/>
            <w:webHidden/>
          </w:rPr>
          <w:instrText xml:space="preserve"> PAGEREF _Toc300000297 \h </w:instrText>
        </w:r>
        <w:r>
          <w:rPr>
            <w:noProof/>
            <w:webHidden/>
          </w:rPr>
          <w:fldChar w:fldCharType="separate"/>
        </w:r>
        <w:r>
          <w:rPr>
            <w:noProof/>
            <w:webHidden/>
          </w:rPr>
          <w:t>885</w:t>
        </w:r>
        <w:r>
          <w:rPr>
            <w:noProof/>
            <w:webHidden/>
          </w:rPr>
          <w:fldChar w:fldCharType="end"/>
        </w:r>
      </w:hyperlink>
    </w:p>
    <w:p>
      <w:pPr>
        <w:pStyle w:val="TOC2"/>
      </w:pPr>
      <w:hyperlink w:anchor="_Toc300000298" w:history="1">
        <w:r>
          <w:rPr>
            <w:noProof/>
          </w:rPr>
          <w:t xml:space="preserve">Article 10.4: Definitions</w:t>
        </w:r>
        <w:r>
          <w:rPr>
            <w:noProof/>
            <w:webHidden/>
          </w:rPr>
          <w:tab/>
        </w:r>
        <w:r>
          <w:rPr>
            <w:noProof/>
            <w:webHidden/>
          </w:rPr>
          <w:fldChar w:fldCharType="begin"/>
        </w:r>
        <w:r>
          <w:rPr>
            <w:noProof/>
            <w:webHidden/>
          </w:rPr>
          <w:instrText xml:space="preserve"> PAGEREF _Toc300000298 \h </w:instrText>
        </w:r>
        <w:r>
          <w:rPr>
            <w:noProof/>
            <w:webHidden/>
          </w:rPr>
          <w:fldChar w:fldCharType="separate"/>
        </w:r>
        <w:r>
          <w:rPr>
            <w:noProof/>
            <w:webHidden/>
          </w:rPr>
          <w:t>885</w:t>
        </w:r>
        <w:r>
          <w:rPr>
            <w:noProof/>
            <w:webHidden/>
          </w:rPr>
          <w:fldChar w:fldCharType="end"/>
        </w:r>
      </w:hyperlink>
    </w:p>
    <w:p>
      <w:pPr>
        <w:pStyle w:val="TOC2"/>
      </w:pPr>
      <w:hyperlink w:anchor="_Toc300000299" w:history="1">
        <w:r>
          <w:rPr>
            <w:noProof/>
          </w:rPr>
          <w:t xml:space="preserve">Article 10.5: Rights and Obligations</w:t>
        </w:r>
        <w:r>
          <w:rPr>
            <w:noProof/>
            <w:webHidden/>
          </w:rPr>
          <w:tab/>
        </w:r>
        <w:r>
          <w:rPr>
            <w:noProof/>
            <w:webHidden/>
          </w:rPr>
          <w:fldChar w:fldCharType="begin"/>
        </w:r>
        <w:r>
          <w:rPr>
            <w:noProof/>
            <w:webHidden/>
          </w:rPr>
          <w:instrText xml:space="preserve"> PAGEREF _Toc300000299 \h </w:instrText>
        </w:r>
        <w:r>
          <w:rPr>
            <w:noProof/>
            <w:webHidden/>
          </w:rPr>
          <w:fldChar w:fldCharType="separate"/>
        </w:r>
        <w:r>
          <w:rPr>
            <w:noProof/>
            <w:webHidden/>
          </w:rPr>
          <w:t>886</w:t>
        </w:r>
        <w:r>
          <w:rPr>
            <w:noProof/>
            <w:webHidden/>
          </w:rPr>
          <w:fldChar w:fldCharType="end"/>
        </w:r>
      </w:hyperlink>
    </w:p>
    <w:p>
      <w:pPr>
        <w:pStyle w:val="TOC2"/>
      </w:pPr>
      <w:hyperlink w:anchor="_Toc300000300" w:history="1">
        <w:r>
          <w:rPr>
            <w:noProof/>
          </w:rPr>
          <w:t xml:space="preserve">Article 10.6: General</w:t>
        </w:r>
        <w:r>
          <w:rPr>
            <w:noProof/>
            <w:webHidden/>
          </w:rPr>
          <w:tab/>
        </w:r>
        <w:r>
          <w:rPr>
            <w:noProof/>
            <w:webHidden/>
          </w:rPr>
          <w:fldChar w:fldCharType="begin"/>
        </w:r>
        <w:r>
          <w:rPr>
            <w:noProof/>
            <w:webHidden/>
          </w:rPr>
          <w:instrText xml:space="preserve"> PAGEREF _Toc300000300 \h </w:instrText>
        </w:r>
        <w:r>
          <w:rPr>
            <w:noProof/>
            <w:webHidden/>
          </w:rPr>
          <w:fldChar w:fldCharType="separate"/>
        </w:r>
        <w:r>
          <w:rPr>
            <w:noProof/>
            <w:webHidden/>
          </w:rPr>
          <w:t>886</w:t>
        </w:r>
        <w:r>
          <w:rPr>
            <w:noProof/>
            <w:webHidden/>
          </w:rPr>
          <w:fldChar w:fldCharType="end"/>
        </w:r>
      </w:hyperlink>
    </w:p>
    <w:p>
      <w:pPr>
        <w:pStyle w:val="TOC2"/>
      </w:pPr>
      <w:hyperlink w:anchor="_Toc300000301" w:history="1">
        <w:r>
          <w:rPr>
            <w:noProof/>
          </w:rPr>
          <w:t xml:space="preserve">Article 10.7: Duty Evasion Cooperation</w:t>
        </w:r>
        <w:r>
          <w:rPr>
            <w:noProof/>
            <w:webHidden/>
          </w:rPr>
          <w:tab/>
        </w:r>
        <w:r>
          <w:rPr>
            <w:noProof/>
            <w:webHidden/>
          </w:rPr>
          <w:fldChar w:fldCharType="begin"/>
        </w:r>
        <w:r>
          <w:rPr>
            <w:noProof/>
            <w:webHidden/>
          </w:rPr>
          <w:instrText xml:space="preserve"> PAGEREF _Toc300000301 \h </w:instrText>
        </w:r>
        <w:r>
          <w:rPr>
            <w:noProof/>
            <w:webHidden/>
          </w:rPr>
          <w:fldChar w:fldCharType="separate"/>
        </w:r>
        <w:r>
          <w:rPr>
            <w:noProof/>
            <w:webHidden/>
          </w:rPr>
          <w:t>887</w:t>
        </w:r>
        <w:r>
          <w:rPr>
            <w:noProof/>
            <w:webHidden/>
          </w:rPr>
          <w:fldChar w:fldCharType="end"/>
        </w:r>
      </w:hyperlink>
    </w:p>
    <w:p>
      <w:pPr>
        <w:pStyle w:val="TOC2"/>
      </w:pPr>
      <w:hyperlink w:anchor="_Toc300000302" w:history="1">
        <w:r>
          <w:rPr>
            <w:noProof/>
          </w:rPr>
          <w:t xml:space="preserve">Article 10.8: Definitions</w:t>
        </w:r>
        <w:r>
          <w:rPr>
            <w:noProof/>
            <w:webHidden/>
          </w:rPr>
          <w:tab/>
        </w:r>
        <w:r>
          <w:rPr>
            <w:noProof/>
            <w:webHidden/>
          </w:rPr>
          <w:fldChar w:fldCharType="begin"/>
        </w:r>
        <w:r>
          <w:rPr>
            <w:noProof/>
            <w:webHidden/>
          </w:rPr>
          <w:instrText xml:space="preserve"> PAGEREF _Toc300000302 \h </w:instrText>
        </w:r>
        <w:r>
          <w:rPr>
            <w:noProof/>
            <w:webHidden/>
          </w:rPr>
          <w:fldChar w:fldCharType="separate"/>
        </w:r>
        <w:r>
          <w:rPr>
            <w:noProof/>
            <w:webHidden/>
          </w:rPr>
          <w:t>888</w:t>
        </w:r>
        <w:r>
          <w:rPr>
            <w:noProof/>
            <w:webHidden/>
          </w:rPr>
          <w:fldChar w:fldCharType="end"/>
        </w:r>
      </w:hyperlink>
    </w:p>
    <w:p>
      <w:pPr>
        <w:pStyle w:val="TOC2"/>
      </w:pPr>
      <w:hyperlink w:anchor="_Toc300000303" w:history="1">
        <w:r>
          <w:rPr>
            <w:noProof/>
          </w:rPr>
          <w:t xml:space="preserve">Article 10.9: General Provisions</w:t>
        </w:r>
        <w:r>
          <w:rPr>
            <w:noProof/>
            <w:webHidden/>
          </w:rPr>
          <w:tab/>
        </w:r>
        <w:r>
          <w:rPr>
            <w:noProof/>
            <w:webHidden/>
          </w:rPr>
          <w:fldChar w:fldCharType="begin"/>
        </w:r>
        <w:r>
          <w:rPr>
            <w:noProof/>
            <w:webHidden/>
          </w:rPr>
          <w:instrText xml:space="preserve"> PAGEREF _Toc300000303 \h </w:instrText>
        </w:r>
        <w:r>
          <w:rPr>
            <w:noProof/>
            <w:webHidden/>
          </w:rPr>
          <w:fldChar w:fldCharType="separate"/>
        </w:r>
        <w:r>
          <w:rPr>
            <w:noProof/>
            <w:webHidden/>
          </w:rPr>
          <w:t>890</w:t>
        </w:r>
        <w:r>
          <w:rPr>
            <w:noProof/>
            <w:webHidden/>
          </w:rPr>
          <w:fldChar w:fldCharType="end"/>
        </w:r>
      </w:hyperlink>
    </w:p>
    <w:p>
      <w:pPr>
        <w:pStyle w:val="TOC2"/>
      </w:pPr>
      <w:hyperlink w:anchor="_Toc300000304" w:history="1">
        <w:r>
          <w:rPr>
            <w:noProof/>
          </w:rPr>
          <w:t xml:space="preserve">Article 10.10: Retention of Domestic Antidumping Law and Countervailing Duty Law</w:t>
        </w:r>
        <w:r>
          <w:rPr>
            <w:noProof/>
            <w:webHidden/>
          </w:rPr>
          <w:tab/>
        </w:r>
        <w:r>
          <w:rPr>
            <w:noProof/>
            <w:webHidden/>
          </w:rPr>
          <w:fldChar w:fldCharType="begin"/>
        </w:r>
        <w:r>
          <w:rPr>
            <w:noProof/>
            <w:webHidden/>
          </w:rPr>
          <w:instrText xml:space="preserve"> PAGEREF _Toc300000304 \h </w:instrText>
        </w:r>
        <w:r>
          <w:rPr>
            <w:noProof/>
            <w:webHidden/>
          </w:rPr>
          <w:fldChar w:fldCharType="separate"/>
        </w:r>
        <w:r>
          <w:rPr>
            <w:noProof/>
            <w:webHidden/>
          </w:rPr>
          <w:t>891</w:t>
        </w:r>
        <w:r>
          <w:rPr>
            <w:noProof/>
            <w:webHidden/>
          </w:rPr>
          <w:fldChar w:fldCharType="end"/>
        </w:r>
      </w:hyperlink>
    </w:p>
    <w:p>
      <w:pPr>
        <w:pStyle w:val="TOC2"/>
      </w:pPr>
      <w:hyperlink w:anchor="_Toc300000305" w:history="1">
        <w:r>
          <w:rPr>
            <w:noProof/>
          </w:rPr>
          <w:t xml:space="preserve">Article 10.11: Review of Statutory Amendments</w:t>
        </w:r>
        <w:r>
          <w:rPr>
            <w:noProof/>
            <w:webHidden/>
          </w:rPr>
          <w:tab/>
        </w:r>
        <w:r>
          <w:rPr>
            <w:noProof/>
            <w:webHidden/>
          </w:rPr>
          <w:fldChar w:fldCharType="begin"/>
        </w:r>
        <w:r>
          <w:rPr>
            <w:noProof/>
            <w:webHidden/>
          </w:rPr>
          <w:instrText xml:space="preserve"> PAGEREF _Toc300000305 \h </w:instrText>
        </w:r>
        <w:r>
          <w:rPr>
            <w:noProof/>
            <w:webHidden/>
          </w:rPr>
          <w:fldChar w:fldCharType="separate"/>
        </w:r>
        <w:r>
          <w:rPr>
            <w:noProof/>
            <w:webHidden/>
          </w:rPr>
          <w:t>891</w:t>
        </w:r>
        <w:r>
          <w:rPr>
            <w:noProof/>
            <w:webHidden/>
          </w:rPr>
          <w:fldChar w:fldCharType="end"/>
        </w:r>
      </w:hyperlink>
    </w:p>
    <w:p>
      <w:pPr>
        <w:pStyle w:val="TOC2"/>
      </w:pPr>
      <w:hyperlink w:anchor="_Toc300000306" w:history="1">
        <w:r>
          <w:rPr>
            <w:noProof/>
          </w:rPr>
          <w:t xml:space="preserve">Article 10.12: Review of Final Antidumping and Countervailing Duty Determinations</w:t>
        </w:r>
        <w:r>
          <w:rPr>
            <w:noProof/>
            <w:webHidden/>
          </w:rPr>
          <w:tab/>
        </w:r>
        <w:r>
          <w:rPr>
            <w:noProof/>
            <w:webHidden/>
          </w:rPr>
          <w:fldChar w:fldCharType="begin"/>
        </w:r>
        <w:r>
          <w:rPr>
            <w:noProof/>
            <w:webHidden/>
          </w:rPr>
          <w:instrText xml:space="preserve"> PAGEREF _Toc300000306 \h </w:instrText>
        </w:r>
        <w:r>
          <w:rPr>
            <w:noProof/>
            <w:webHidden/>
          </w:rPr>
          <w:fldChar w:fldCharType="separate"/>
        </w:r>
        <w:r>
          <w:rPr>
            <w:noProof/>
            <w:webHidden/>
          </w:rPr>
          <w:t>892</w:t>
        </w:r>
        <w:r>
          <w:rPr>
            <w:noProof/>
            <w:webHidden/>
          </w:rPr>
          <w:fldChar w:fldCharType="end"/>
        </w:r>
      </w:hyperlink>
    </w:p>
    <w:p>
      <w:pPr>
        <w:pStyle w:val="TOC2"/>
      </w:pPr>
      <w:hyperlink w:anchor="_Toc300000307" w:history="1">
        <w:r>
          <w:rPr>
            <w:noProof/>
          </w:rPr>
          <w:t xml:space="preserve">Article 10.13: Safeguarding the Panel Review System</w:t>
        </w:r>
        <w:r>
          <w:rPr>
            <w:noProof/>
            <w:webHidden/>
          </w:rPr>
          <w:tab/>
        </w:r>
        <w:r>
          <w:rPr>
            <w:noProof/>
            <w:webHidden/>
          </w:rPr>
          <w:fldChar w:fldCharType="begin"/>
        </w:r>
        <w:r>
          <w:rPr>
            <w:noProof/>
            <w:webHidden/>
          </w:rPr>
          <w:instrText xml:space="preserve"> PAGEREF _Toc300000307 \h </w:instrText>
        </w:r>
        <w:r>
          <w:rPr>
            <w:noProof/>
            <w:webHidden/>
          </w:rPr>
          <w:fldChar w:fldCharType="separate"/>
        </w:r>
        <w:r>
          <w:rPr>
            <w:noProof/>
            <w:webHidden/>
          </w:rPr>
          <w:t>895</w:t>
        </w:r>
        <w:r>
          <w:rPr>
            <w:noProof/>
            <w:webHidden/>
          </w:rPr>
          <w:fldChar w:fldCharType="end"/>
        </w:r>
      </w:hyperlink>
    </w:p>
    <w:p>
      <w:pPr>
        <w:pStyle w:val="TOC2"/>
      </w:pPr>
      <w:hyperlink w:anchor="_Toc300000308" w:history="1">
        <w:r>
          <w:rPr>
            <w:noProof/>
          </w:rPr>
          <w:t xml:space="preserve">Article 10.14: Prospective Application</w:t>
        </w:r>
        <w:r>
          <w:rPr>
            <w:noProof/>
            <w:webHidden/>
          </w:rPr>
          <w:tab/>
        </w:r>
        <w:r>
          <w:rPr>
            <w:noProof/>
            <w:webHidden/>
          </w:rPr>
          <w:fldChar w:fldCharType="begin"/>
        </w:r>
        <w:r>
          <w:rPr>
            <w:noProof/>
            <w:webHidden/>
          </w:rPr>
          <w:instrText xml:space="preserve"> PAGEREF _Toc300000308 \h </w:instrText>
        </w:r>
        <w:r>
          <w:rPr>
            <w:noProof/>
            <w:webHidden/>
          </w:rPr>
          <w:fldChar w:fldCharType="separate"/>
        </w:r>
        <w:r>
          <w:rPr>
            <w:noProof/>
            <w:webHidden/>
          </w:rPr>
          <w:t>897</w:t>
        </w:r>
        <w:r>
          <w:rPr>
            <w:noProof/>
            <w:webHidden/>
          </w:rPr>
          <w:fldChar w:fldCharType="end"/>
        </w:r>
      </w:hyperlink>
    </w:p>
    <w:p>
      <w:pPr>
        <w:pStyle w:val="TOC2"/>
      </w:pPr>
      <w:hyperlink w:anchor="_Toc300000309" w:history="1">
        <w:r>
          <w:rPr>
            <w:noProof/>
          </w:rPr>
          <w:t xml:space="preserve">Article 10.15: Consultations</w:t>
        </w:r>
        <w:r>
          <w:rPr>
            <w:noProof/>
            <w:webHidden/>
          </w:rPr>
          <w:tab/>
        </w:r>
        <w:r>
          <w:rPr>
            <w:noProof/>
            <w:webHidden/>
          </w:rPr>
          <w:fldChar w:fldCharType="begin"/>
        </w:r>
        <w:r>
          <w:rPr>
            <w:noProof/>
            <w:webHidden/>
          </w:rPr>
          <w:instrText xml:space="preserve"> PAGEREF _Toc300000309 \h </w:instrText>
        </w:r>
        <w:r>
          <w:rPr>
            <w:noProof/>
            <w:webHidden/>
          </w:rPr>
          <w:fldChar w:fldCharType="separate"/>
        </w:r>
        <w:r>
          <w:rPr>
            <w:noProof/>
            <w:webHidden/>
          </w:rPr>
          <w:t>897</w:t>
        </w:r>
        <w:r>
          <w:rPr>
            <w:noProof/>
            <w:webHidden/>
          </w:rPr>
          <w:fldChar w:fldCharType="end"/>
        </w:r>
      </w:hyperlink>
    </w:p>
    <w:p>
      <w:pPr>
        <w:pStyle w:val="TOC2"/>
      </w:pPr>
      <w:hyperlink w:anchor="_Toc300000310" w:history="1">
        <w:r>
          <w:rPr>
            <w:noProof/>
          </w:rPr>
          <w:t xml:space="preserve">Article 10.16: Special Secretariat Provisions</w:t>
        </w:r>
        <w:r>
          <w:rPr>
            <w:noProof/>
            <w:webHidden/>
          </w:rPr>
          <w:tab/>
        </w:r>
        <w:r>
          <w:rPr>
            <w:noProof/>
            <w:webHidden/>
          </w:rPr>
          <w:fldChar w:fldCharType="begin"/>
        </w:r>
        <w:r>
          <w:rPr>
            <w:noProof/>
            <w:webHidden/>
          </w:rPr>
          <w:instrText xml:space="preserve"> PAGEREF _Toc300000310 \h </w:instrText>
        </w:r>
        <w:r>
          <w:rPr>
            <w:noProof/>
            <w:webHidden/>
          </w:rPr>
          <w:fldChar w:fldCharType="separate"/>
        </w:r>
        <w:r>
          <w:rPr>
            <w:noProof/>
            <w:webHidden/>
          </w:rPr>
          <w:t>899</w:t>
        </w:r>
        <w:r>
          <w:rPr>
            <w:noProof/>
            <w:webHidden/>
          </w:rPr>
          <w:fldChar w:fldCharType="end"/>
        </w:r>
      </w:hyperlink>
    </w:p>
    <w:p>
      <w:pPr>
        <w:pStyle w:val="TOC2"/>
      </w:pPr>
      <w:hyperlink w:anchor="_Toc300000311" w:history="1">
        <w:r>
          <w:rPr>
            <w:noProof/>
          </w:rPr>
          <w:t xml:space="preserve">Article 10.17: Code of Conduct</w:t>
        </w:r>
        <w:r>
          <w:rPr>
            <w:noProof/>
            <w:webHidden/>
          </w:rPr>
          <w:tab/>
        </w:r>
        <w:r>
          <w:rPr>
            <w:noProof/>
            <w:webHidden/>
          </w:rPr>
          <w:fldChar w:fldCharType="begin"/>
        </w:r>
        <w:r>
          <w:rPr>
            <w:noProof/>
            <w:webHidden/>
          </w:rPr>
          <w:instrText xml:space="preserve"> PAGEREF _Toc300000311 \h </w:instrText>
        </w:r>
        <w:r>
          <w:rPr>
            <w:noProof/>
            <w:webHidden/>
          </w:rPr>
          <w:fldChar w:fldCharType="separate"/>
        </w:r>
        <w:r>
          <w:rPr>
            <w:noProof/>
            <w:webHidden/>
          </w:rPr>
          <w:t>899</w:t>
        </w:r>
        <w:r>
          <w:rPr>
            <w:noProof/>
            <w:webHidden/>
          </w:rPr>
          <w:fldChar w:fldCharType="end"/>
        </w:r>
      </w:hyperlink>
    </w:p>
    <w:p>
      <w:pPr>
        <w:pStyle w:val="TOC2"/>
      </w:pPr>
      <w:hyperlink w:anchor="_Toc300000312" w:history="1">
        <w:r>
          <w:rPr>
            <w:noProof/>
          </w:rPr>
          <w:t xml:space="preserve">Article 10.18: Miscellaneous</w:t>
        </w:r>
        <w:r>
          <w:rPr>
            <w:noProof/>
            <w:webHidden/>
          </w:rPr>
          <w:tab/>
        </w:r>
        <w:r>
          <w:rPr>
            <w:noProof/>
            <w:webHidden/>
          </w:rPr>
          <w:fldChar w:fldCharType="begin"/>
        </w:r>
        <w:r>
          <w:rPr>
            <w:noProof/>
            <w:webHidden/>
          </w:rPr>
          <w:instrText xml:space="preserve"> PAGEREF _Toc300000312 \h </w:instrText>
        </w:r>
        <w:r>
          <w:rPr>
            <w:noProof/>
            <w:webHidden/>
          </w:rPr>
          <w:fldChar w:fldCharType="separate"/>
        </w:r>
        <w:r>
          <w:rPr>
            <w:noProof/>
            <w:webHidden/>
          </w:rPr>
          <w:t>899</w:t>
        </w:r>
        <w:r>
          <w:rPr>
            <w:noProof/>
            <w:webHidden/>
          </w:rPr>
          <w:fldChar w:fldCharType="end"/>
        </w:r>
      </w:hyperlink>
    </w:p>
    <w:p>
      <w:pPr>
        <w:pStyle w:val="TOC2"/>
      </w:pPr>
      <w:hyperlink w:anchor="_Toc300000313" w:history="1">
        <w:r>
          <w:rPr>
            <w:noProof/>
          </w:rPr>
          <w:t xml:space="preserve">ANNEX 10-A PRACTICES RELATING TO ANTIDUMPING AND COUNTERVAILING DUTY PROCEEDINGS</w:t>
        </w:r>
        <w:r>
          <w:rPr>
            <w:noProof/>
            <w:webHidden/>
          </w:rPr>
          <w:tab/>
        </w:r>
        <w:r>
          <w:rPr>
            <w:noProof/>
            <w:webHidden/>
          </w:rPr>
          <w:fldChar w:fldCharType="begin"/>
        </w:r>
        <w:r>
          <w:rPr>
            <w:noProof/>
            <w:webHidden/>
          </w:rPr>
          <w:instrText xml:space="preserve"> PAGEREF _Toc300000313 \h </w:instrText>
        </w:r>
        <w:r>
          <w:rPr>
            <w:noProof/>
            <w:webHidden/>
          </w:rPr>
          <w:fldChar w:fldCharType="separate"/>
        </w:r>
        <w:r>
          <w:rPr>
            <w:noProof/>
            <w:webHidden/>
          </w:rPr>
          <w:t>900</w:t>
        </w:r>
        <w:r>
          <w:rPr>
            <w:noProof/>
            <w:webHidden/>
          </w:rPr>
          <w:fldChar w:fldCharType="end"/>
        </w:r>
      </w:hyperlink>
    </w:p>
    <w:p>
      <w:pPr>
        <w:pStyle w:val="TOC2"/>
      </w:pPr>
      <w:hyperlink w:anchor="_Toc300000314" w:history="1">
        <w:r>
          <w:rPr>
            <w:noProof/>
          </w:rPr>
          <w:t xml:space="preserve">ANNEX 10-B.1 ESTABLISHMENT OF BINATIONAL PANELS</w:t>
        </w:r>
        <w:r>
          <w:rPr>
            <w:noProof/>
            <w:webHidden/>
          </w:rPr>
          <w:tab/>
        </w:r>
        <w:r>
          <w:rPr>
            <w:noProof/>
            <w:webHidden/>
          </w:rPr>
          <w:fldChar w:fldCharType="begin"/>
        </w:r>
        <w:r>
          <w:rPr>
            <w:noProof/>
            <w:webHidden/>
          </w:rPr>
          <w:instrText xml:space="preserve"> PAGEREF _Toc300000314 \h </w:instrText>
        </w:r>
        <w:r>
          <w:rPr>
            <w:noProof/>
            <w:webHidden/>
          </w:rPr>
          <w:fldChar w:fldCharType="separate"/>
        </w:r>
        <w:r>
          <w:rPr>
            <w:noProof/>
            <w:webHidden/>
          </w:rPr>
          <w:t>902</w:t>
        </w:r>
        <w:r>
          <w:rPr>
            <w:noProof/>
            <w:webHidden/>
          </w:rPr>
          <w:fldChar w:fldCharType="end"/>
        </w:r>
      </w:hyperlink>
    </w:p>
    <w:p>
      <w:pPr>
        <w:pStyle w:val="TOC2"/>
      </w:pPr>
      <w:hyperlink w:anchor="_Toc300000315" w:history="1">
        <w:r>
          <w:rPr>
            <w:noProof/>
          </w:rPr>
          <w:t xml:space="preserve">ANNEX 10-B.2 PANEL PROCEDURES UNDER ARTICLE 10.11</w:t>
        </w:r>
        <w:r>
          <w:rPr>
            <w:noProof/>
            <w:webHidden/>
          </w:rPr>
          <w:tab/>
        </w:r>
        <w:r>
          <w:rPr>
            <w:noProof/>
            <w:webHidden/>
          </w:rPr>
          <w:fldChar w:fldCharType="begin"/>
        </w:r>
        <w:r>
          <w:rPr>
            <w:noProof/>
            <w:webHidden/>
          </w:rPr>
          <w:instrText xml:space="preserve"> PAGEREF _Toc300000315 \h </w:instrText>
        </w:r>
        <w:r>
          <w:rPr>
            <w:noProof/>
            <w:webHidden/>
          </w:rPr>
          <w:fldChar w:fldCharType="separate"/>
        </w:r>
        <w:r>
          <w:rPr>
            <w:noProof/>
            <w:webHidden/>
          </w:rPr>
          <w:t>904</w:t>
        </w:r>
        <w:r>
          <w:rPr>
            <w:noProof/>
            <w:webHidden/>
          </w:rPr>
          <w:fldChar w:fldCharType="end"/>
        </w:r>
      </w:hyperlink>
    </w:p>
    <w:p>
      <w:pPr>
        <w:pStyle w:val="TOC2"/>
      </w:pPr>
      <w:hyperlink w:anchor="_Toc300000316" w:history="1">
        <w:r>
          <w:rPr>
            <w:noProof/>
          </w:rPr>
          <w:t xml:space="preserve">ANNEX 10-B.3 EXTRAORDINARY CHALLENGE PROCEDURE</w:t>
        </w:r>
        <w:r>
          <w:rPr>
            <w:noProof/>
            <w:webHidden/>
          </w:rPr>
          <w:tab/>
        </w:r>
        <w:r>
          <w:rPr>
            <w:noProof/>
            <w:webHidden/>
          </w:rPr>
          <w:fldChar w:fldCharType="begin"/>
        </w:r>
        <w:r>
          <w:rPr>
            <w:noProof/>
            <w:webHidden/>
          </w:rPr>
          <w:instrText xml:space="preserve"> PAGEREF _Toc300000316 \h </w:instrText>
        </w:r>
        <w:r>
          <w:rPr>
            <w:noProof/>
            <w:webHidden/>
          </w:rPr>
          <w:fldChar w:fldCharType="separate"/>
        </w:r>
        <w:r>
          <w:rPr>
            <w:noProof/>
            <w:webHidden/>
          </w:rPr>
          <w:t>904</w:t>
        </w:r>
        <w:r>
          <w:rPr>
            <w:noProof/>
            <w:webHidden/>
          </w:rPr>
          <w:fldChar w:fldCharType="end"/>
        </w:r>
      </w:hyperlink>
    </w:p>
    <w:p>
      <w:pPr>
        <w:pStyle w:val="TOC2"/>
      </w:pPr>
      <w:hyperlink w:anchor="_Toc300000317" w:history="1">
        <w:r>
          <w:rPr>
            <w:noProof/>
          </w:rPr>
          <w:t xml:space="preserve">ANNEX 10-B.4 SPECIAL COMMITTEE PROCEDURES</w:t>
        </w:r>
        <w:r>
          <w:rPr>
            <w:noProof/>
            <w:webHidden/>
          </w:rPr>
          <w:tab/>
        </w:r>
        <w:r>
          <w:rPr>
            <w:noProof/>
            <w:webHidden/>
          </w:rPr>
          <w:fldChar w:fldCharType="begin"/>
        </w:r>
        <w:r>
          <w:rPr>
            <w:noProof/>
            <w:webHidden/>
          </w:rPr>
          <w:instrText xml:space="preserve"> PAGEREF _Toc300000317 \h </w:instrText>
        </w:r>
        <w:r>
          <w:rPr>
            <w:noProof/>
            <w:webHidden/>
          </w:rPr>
          <w:fldChar w:fldCharType="separate"/>
        </w:r>
        <w:r>
          <w:rPr>
            <w:noProof/>
            <w:webHidden/>
          </w:rPr>
          <w:t>905</w:t>
        </w:r>
        <w:r>
          <w:rPr>
            <w:noProof/>
            <w:webHidden/>
          </w:rPr>
          <w:fldChar w:fldCharType="end"/>
        </w:r>
      </w:hyperlink>
    </w:p>
    <w:p>
      <w:pPr>
        <w:pStyle w:val="TOC2"/>
      </w:pPr>
      <w:hyperlink w:anchor="_Toc300000318" w:history="1">
        <w:r>
          <w:rPr>
            <w:noProof/>
          </w:rPr>
          <w:t xml:space="preserve">ANNEX 10-B.5 AMENDMENTS TO DOMESTIC LAWS</w:t>
        </w:r>
        <w:r>
          <w:rPr>
            <w:noProof/>
            <w:webHidden/>
          </w:rPr>
          <w:tab/>
        </w:r>
        <w:r>
          <w:rPr>
            <w:noProof/>
            <w:webHidden/>
          </w:rPr>
          <w:fldChar w:fldCharType="begin"/>
        </w:r>
        <w:r>
          <w:rPr>
            <w:noProof/>
            <w:webHidden/>
          </w:rPr>
          <w:instrText xml:space="preserve"> PAGEREF _Toc300000318 \h </w:instrText>
        </w:r>
        <w:r>
          <w:rPr>
            <w:noProof/>
            <w:webHidden/>
          </w:rPr>
          <w:fldChar w:fldCharType="separate"/>
        </w:r>
        <w:r>
          <w:rPr>
            <w:noProof/>
            <w:webHidden/>
          </w:rPr>
          <w:t>905</w:t>
        </w:r>
        <w:r>
          <w:rPr>
            <w:noProof/>
            <w:webHidden/>
          </w:rPr>
          <w:fldChar w:fldCharType="end"/>
        </w:r>
      </w:hyperlink>
    </w:p>
    <w:p>
      <w:pPr>
        <w:pStyle w:val="TOC2"/>
      </w:pPr>
      <w:hyperlink w:anchor="_Toc300000319" w:history="1">
        <w:r>
          <w:rPr>
            <w:noProof/>
          </w:rPr>
          <w:t xml:space="preserve">CHAPTER 10: CUSMA 2.0 MODERNIZATION PROVISIONS</w:t>
        </w:r>
        <w:r>
          <w:rPr>
            <w:noProof/>
            <w:webHidden/>
          </w:rPr>
          <w:tab/>
        </w:r>
        <w:r>
          <w:rPr>
            <w:noProof/>
            <w:webHidden/>
          </w:rPr>
          <w:fldChar w:fldCharType="begin"/>
        </w:r>
        <w:r>
          <w:rPr>
            <w:noProof/>
            <w:webHidden/>
          </w:rPr>
          <w:instrText xml:space="preserve"> PAGEREF _Toc300000319 \h </w:instrText>
        </w:r>
        <w:r>
          <w:rPr>
            <w:noProof/>
            <w:webHidden/>
          </w:rPr>
          <w:fldChar w:fldCharType="separate"/>
        </w:r>
        <w:r>
          <w:rPr>
            <w:noProof/>
            <w:webHidden/>
          </w:rPr>
          <w:t>910</w:t>
        </w:r>
        <w:r>
          <w:rPr>
            <w:noProof/>
            <w:webHidden/>
          </w:rPr>
          <w:fldChar w:fldCharType="end"/>
        </w:r>
      </w:hyperlink>
    </w:p>
    <w:p>
      <w:pPr>
        <w:pStyle w:val="TOC2"/>
      </w:pPr>
      <w:hyperlink w:anchor="_Toc300000320" w:history="1">
        <w:r>
          <w:rPr>
            <w:noProof/>
          </w:rPr>
          <w:t xml:space="preserve">Article 10.A: Antidumping and Countervailing Duty Disciplines Among the Parties</w:t>
        </w:r>
        <w:r>
          <w:rPr>
            <w:noProof/>
            <w:webHidden/>
          </w:rPr>
          <w:tab/>
        </w:r>
        <w:r>
          <w:rPr>
            <w:noProof/>
            <w:webHidden/>
          </w:rPr>
          <w:fldChar w:fldCharType="begin"/>
        </w:r>
        <w:r>
          <w:rPr>
            <w:noProof/>
            <w:webHidden/>
          </w:rPr>
          <w:instrText xml:space="preserve"> PAGEREF _Toc300000320 \h </w:instrText>
        </w:r>
        <w:r>
          <w:rPr>
            <w:noProof/>
            <w:webHidden/>
          </w:rPr>
          <w:fldChar w:fldCharType="separate"/>
        </w:r>
        <w:r>
          <w:rPr>
            <w:noProof/>
            <w:webHidden/>
          </w:rPr>
          <w:t>910</w:t>
        </w:r>
        <w:r>
          <w:rPr>
            <w:noProof/>
            <w:webHidden/>
          </w:rPr>
          <w:fldChar w:fldCharType="end"/>
        </w:r>
      </w:hyperlink>
    </w:p>
    <w:p>
      <w:pPr>
        <w:pStyle w:val="TOC2"/>
      </w:pPr>
      <w:hyperlink w:anchor="_Toc300000321" w:history="1">
        <w:r>
          <w:rPr>
            <w:noProof/>
          </w:rPr>
          <w:t xml:space="preserve">Article 10.B: Safeguard Measures, Party-Specific Analysis</w:t>
        </w:r>
        <w:r>
          <w:rPr>
            <w:noProof/>
            <w:webHidden/>
          </w:rPr>
          <w:tab/>
        </w:r>
        <w:r>
          <w:rPr>
            <w:noProof/>
            <w:webHidden/>
          </w:rPr>
          <w:fldChar w:fldCharType="begin"/>
        </w:r>
        <w:r>
          <w:rPr>
            <w:noProof/>
            <w:webHidden/>
          </w:rPr>
          <w:instrText xml:space="preserve"> PAGEREF _Toc300000321 \h </w:instrText>
        </w:r>
        <w:r>
          <w:rPr>
            <w:noProof/>
            <w:webHidden/>
          </w:rPr>
          <w:fldChar w:fldCharType="separate"/>
        </w:r>
        <w:r>
          <w:rPr>
            <w:noProof/>
            <w:webHidden/>
          </w:rPr>
          <w:t>911</w:t>
        </w:r>
        <w:r>
          <w:rPr>
            <w:noProof/>
            <w:webHidden/>
          </w:rPr>
          <w:fldChar w:fldCharType="end"/>
        </w:r>
      </w:hyperlink>
    </w:p>
    <w:p>
      <w:pPr>
        <w:pStyle w:val="TOC1"/>
      </w:pPr>
      <w:hyperlink w:anchor="_Toc300000322" w:history="1">
        <w:r>
          <w:rPr>
            <w:noProof/>
          </w:rPr>
          <w:t xml:space="preserve">CHAPTER 11 TECHNICAL BARRIERS TO TRADE</w:t>
        </w:r>
        <w:r>
          <w:rPr>
            <w:noProof/>
            <w:webHidden/>
          </w:rPr>
          <w:tab/>
        </w:r>
        <w:r>
          <w:rPr>
            <w:noProof/>
            <w:webHidden/>
          </w:rPr>
          <w:fldChar w:fldCharType="begin"/>
        </w:r>
        <w:r>
          <w:rPr>
            <w:noProof/>
            <w:webHidden/>
          </w:rPr>
          <w:instrText xml:space="preserve"> PAGEREF _Toc300000322 \h </w:instrText>
        </w:r>
        <w:r>
          <w:rPr>
            <w:noProof/>
            <w:webHidden/>
          </w:rPr>
          <w:fldChar w:fldCharType="separate"/>
        </w:r>
        <w:r>
          <w:rPr>
            <w:noProof/>
            <w:webHidden/>
          </w:rPr>
          <w:t>912</w:t>
        </w:r>
        <w:r>
          <w:rPr>
            <w:noProof/>
            <w:webHidden/>
          </w:rPr>
          <w:fldChar w:fldCharType="end"/>
        </w:r>
      </w:hyperlink>
    </w:p>
    <w:p>
      <w:pPr>
        <w:pStyle w:val="TOC2"/>
      </w:pPr>
      <w:hyperlink w:anchor="_Toc300000323" w:history="1">
        <w:r>
          <w:rPr>
            <w:noProof/>
          </w:rPr>
          <w:t xml:space="preserve">Article 11.1: Definitions</w:t>
        </w:r>
        <w:r>
          <w:rPr>
            <w:noProof/>
            <w:webHidden/>
          </w:rPr>
          <w:tab/>
        </w:r>
        <w:r>
          <w:rPr>
            <w:noProof/>
            <w:webHidden/>
          </w:rPr>
          <w:fldChar w:fldCharType="begin"/>
        </w:r>
        <w:r>
          <w:rPr>
            <w:noProof/>
            <w:webHidden/>
          </w:rPr>
          <w:instrText xml:space="preserve"> PAGEREF _Toc300000323 \h </w:instrText>
        </w:r>
        <w:r>
          <w:rPr>
            <w:noProof/>
            <w:webHidden/>
          </w:rPr>
          <w:fldChar w:fldCharType="separate"/>
        </w:r>
        <w:r>
          <w:rPr>
            <w:noProof/>
            <w:webHidden/>
          </w:rPr>
          <w:t>912</w:t>
        </w:r>
        <w:r>
          <w:rPr>
            <w:noProof/>
            <w:webHidden/>
          </w:rPr>
          <w:fldChar w:fldCharType="end"/>
        </w:r>
      </w:hyperlink>
    </w:p>
    <w:p>
      <w:pPr>
        <w:pStyle w:val="TOC2"/>
      </w:pPr>
      <w:hyperlink w:anchor="_Toc300000324" w:history="1">
        <w:r>
          <w:rPr>
            <w:noProof/>
          </w:rPr>
          <w:t xml:space="preserve">Article 11.2: Scope</w:t>
        </w:r>
        <w:r>
          <w:rPr>
            <w:noProof/>
            <w:webHidden/>
          </w:rPr>
          <w:tab/>
        </w:r>
        <w:r>
          <w:rPr>
            <w:noProof/>
            <w:webHidden/>
          </w:rPr>
          <w:fldChar w:fldCharType="begin"/>
        </w:r>
        <w:r>
          <w:rPr>
            <w:noProof/>
            <w:webHidden/>
          </w:rPr>
          <w:instrText xml:space="preserve"> PAGEREF _Toc300000324 \h </w:instrText>
        </w:r>
        <w:r>
          <w:rPr>
            <w:noProof/>
            <w:webHidden/>
          </w:rPr>
          <w:fldChar w:fldCharType="separate"/>
        </w:r>
        <w:r>
          <w:rPr>
            <w:noProof/>
            <w:webHidden/>
          </w:rPr>
          <w:t>912</w:t>
        </w:r>
        <w:r>
          <w:rPr>
            <w:noProof/>
            <w:webHidden/>
          </w:rPr>
          <w:fldChar w:fldCharType="end"/>
        </w:r>
      </w:hyperlink>
    </w:p>
    <w:p>
      <w:pPr>
        <w:pStyle w:val="TOC2"/>
      </w:pPr>
      <w:hyperlink w:anchor="_Toc300000325" w:history="1">
        <w:r>
          <w:rPr>
            <w:noProof/>
          </w:rPr>
          <w:t xml:space="preserve">Article 11.3: Incorporation of the TBT Agreement</w:t>
        </w:r>
        <w:r>
          <w:rPr>
            <w:noProof/>
            <w:webHidden/>
          </w:rPr>
          <w:tab/>
        </w:r>
        <w:r>
          <w:rPr>
            <w:noProof/>
            <w:webHidden/>
          </w:rPr>
          <w:fldChar w:fldCharType="begin"/>
        </w:r>
        <w:r>
          <w:rPr>
            <w:noProof/>
            <w:webHidden/>
          </w:rPr>
          <w:instrText xml:space="preserve"> PAGEREF _Toc300000325 \h </w:instrText>
        </w:r>
        <w:r>
          <w:rPr>
            <w:noProof/>
            <w:webHidden/>
          </w:rPr>
          <w:fldChar w:fldCharType="separate"/>
        </w:r>
        <w:r>
          <w:rPr>
            <w:noProof/>
            <w:webHidden/>
          </w:rPr>
          <w:t>913</w:t>
        </w:r>
        <w:r>
          <w:rPr>
            <w:noProof/>
            <w:webHidden/>
          </w:rPr>
          <w:fldChar w:fldCharType="end"/>
        </w:r>
      </w:hyperlink>
    </w:p>
    <w:p>
      <w:pPr>
        <w:pStyle w:val="TOC2"/>
      </w:pPr>
      <w:hyperlink w:anchor="_Toc300000326" w:history="1">
        <w:r>
          <w:rPr>
            <w:noProof/>
          </w:rPr>
          <w:t xml:space="preserve">Article 11.4: International Standards, Guides and Recommendations</w:t>
        </w:r>
        <w:r>
          <w:rPr>
            <w:noProof/>
            <w:webHidden/>
          </w:rPr>
          <w:tab/>
        </w:r>
        <w:r>
          <w:rPr>
            <w:noProof/>
            <w:webHidden/>
          </w:rPr>
          <w:fldChar w:fldCharType="begin"/>
        </w:r>
        <w:r>
          <w:rPr>
            <w:noProof/>
            <w:webHidden/>
          </w:rPr>
          <w:instrText xml:space="preserve"> PAGEREF _Toc300000326 \h </w:instrText>
        </w:r>
        <w:r>
          <w:rPr>
            <w:noProof/>
            <w:webHidden/>
          </w:rPr>
          <w:fldChar w:fldCharType="separate"/>
        </w:r>
        <w:r>
          <w:rPr>
            <w:noProof/>
            <w:webHidden/>
          </w:rPr>
          <w:t>913</w:t>
        </w:r>
        <w:r>
          <w:rPr>
            <w:noProof/>
            <w:webHidden/>
          </w:rPr>
          <w:fldChar w:fldCharType="end"/>
        </w:r>
      </w:hyperlink>
    </w:p>
    <w:p>
      <w:pPr>
        <w:pStyle w:val="TOC2"/>
      </w:pPr>
      <w:hyperlink w:anchor="_Toc300000327" w:history="1">
        <w:r>
          <w:rPr>
            <w:noProof/>
          </w:rPr>
          <w:t xml:space="preserve">Article 11.5: Technical Regulations</w:t>
        </w:r>
        <w:r>
          <w:rPr>
            <w:noProof/>
            <w:webHidden/>
          </w:rPr>
          <w:tab/>
        </w:r>
        <w:r>
          <w:rPr>
            <w:noProof/>
            <w:webHidden/>
          </w:rPr>
          <w:fldChar w:fldCharType="begin"/>
        </w:r>
        <w:r>
          <w:rPr>
            <w:noProof/>
            <w:webHidden/>
          </w:rPr>
          <w:instrText xml:space="preserve"> PAGEREF _Toc300000327 \h </w:instrText>
        </w:r>
        <w:r>
          <w:rPr>
            <w:noProof/>
            <w:webHidden/>
          </w:rPr>
          <w:fldChar w:fldCharType="separate"/>
        </w:r>
        <w:r>
          <w:rPr>
            <w:noProof/>
            <w:webHidden/>
          </w:rPr>
          <w:t>914</w:t>
        </w:r>
        <w:r>
          <w:rPr>
            <w:noProof/>
            <w:webHidden/>
          </w:rPr>
          <w:fldChar w:fldCharType="end"/>
        </w:r>
      </w:hyperlink>
    </w:p>
    <w:p>
      <w:pPr>
        <w:pStyle w:val="TOC2"/>
      </w:pPr>
      <w:hyperlink w:anchor="_Toc300000328" w:history="1">
        <w:r>
          <w:rPr>
            <w:noProof/>
          </w:rPr>
          <w:t xml:space="preserve">Article 11.6: Conformity Assessment</w:t>
        </w:r>
        <w:r>
          <w:rPr>
            <w:noProof/>
            <w:webHidden/>
          </w:rPr>
          <w:tab/>
        </w:r>
        <w:r>
          <w:rPr>
            <w:noProof/>
            <w:webHidden/>
          </w:rPr>
          <w:fldChar w:fldCharType="begin"/>
        </w:r>
        <w:r>
          <w:rPr>
            <w:noProof/>
            <w:webHidden/>
          </w:rPr>
          <w:instrText xml:space="preserve"> PAGEREF _Toc300000328 \h </w:instrText>
        </w:r>
        <w:r>
          <w:rPr>
            <w:noProof/>
            <w:webHidden/>
          </w:rPr>
          <w:fldChar w:fldCharType="separate"/>
        </w:r>
        <w:r>
          <w:rPr>
            <w:noProof/>
            <w:webHidden/>
          </w:rPr>
          <w:t>915</w:t>
        </w:r>
        <w:r>
          <w:rPr>
            <w:noProof/>
            <w:webHidden/>
          </w:rPr>
          <w:fldChar w:fldCharType="end"/>
        </w:r>
      </w:hyperlink>
    </w:p>
    <w:p>
      <w:pPr>
        <w:pStyle w:val="TOC2"/>
      </w:pPr>
      <w:hyperlink w:anchor="_Toc300000329" w:history="1">
        <w:r>
          <w:rPr>
            <w:noProof/>
          </w:rPr>
          <w:t xml:space="preserve">Article 11.7: Transparency</w:t>
        </w:r>
        <w:r>
          <w:rPr>
            <w:noProof/>
            <w:webHidden/>
          </w:rPr>
          <w:tab/>
        </w:r>
        <w:r>
          <w:rPr>
            <w:noProof/>
            <w:webHidden/>
          </w:rPr>
          <w:fldChar w:fldCharType="begin"/>
        </w:r>
        <w:r>
          <w:rPr>
            <w:noProof/>
            <w:webHidden/>
          </w:rPr>
          <w:instrText xml:space="preserve"> PAGEREF _Toc300000329 \h </w:instrText>
        </w:r>
        <w:r>
          <w:rPr>
            <w:noProof/>
            <w:webHidden/>
          </w:rPr>
          <w:fldChar w:fldCharType="separate"/>
        </w:r>
        <w:r>
          <w:rPr>
            <w:noProof/>
            <w:webHidden/>
          </w:rPr>
          <w:t>918</w:t>
        </w:r>
        <w:r>
          <w:rPr>
            <w:noProof/>
            <w:webHidden/>
          </w:rPr>
          <w:fldChar w:fldCharType="end"/>
        </w:r>
      </w:hyperlink>
    </w:p>
    <w:p>
      <w:pPr>
        <w:pStyle w:val="TOC2"/>
      </w:pPr>
      <w:hyperlink w:anchor="_Toc300000330" w:history="1">
        <w:r>
          <w:rPr>
            <w:noProof/>
          </w:rPr>
          <w:t xml:space="preserve">Article 11.8: Compliance Period for Technical Regulations and Conformity Assessment Procedures</w:t>
        </w:r>
        <w:r>
          <w:rPr>
            <w:noProof/>
            <w:webHidden/>
          </w:rPr>
          <w:tab/>
        </w:r>
        <w:r>
          <w:rPr>
            <w:noProof/>
            <w:webHidden/>
          </w:rPr>
          <w:fldChar w:fldCharType="begin"/>
        </w:r>
        <w:r>
          <w:rPr>
            <w:noProof/>
            <w:webHidden/>
          </w:rPr>
          <w:instrText xml:space="preserve"> PAGEREF _Toc300000330 \h </w:instrText>
        </w:r>
        <w:r>
          <w:rPr>
            <w:noProof/>
            <w:webHidden/>
          </w:rPr>
          <w:fldChar w:fldCharType="separate"/>
        </w:r>
        <w:r>
          <w:rPr>
            <w:noProof/>
            <w:webHidden/>
          </w:rPr>
          <w:t>921</w:t>
        </w:r>
        <w:r>
          <w:rPr>
            <w:noProof/>
            <w:webHidden/>
          </w:rPr>
          <w:fldChar w:fldCharType="end"/>
        </w:r>
      </w:hyperlink>
    </w:p>
    <w:p>
      <w:pPr>
        <w:pStyle w:val="TOC2"/>
      </w:pPr>
      <w:hyperlink w:anchor="_Toc300000331" w:history="1">
        <w:r>
          <w:rPr>
            <w:noProof/>
          </w:rPr>
          <w:t xml:space="preserve">Article 11.9: Cooperation and Trade Facilitation</w:t>
        </w:r>
        <w:r>
          <w:rPr>
            <w:noProof/>
            <w:webHidden/>
          </w:rPr>
          <w:tab/>
        </w:r>
        <w:r>
          <w:rPr>
            <w:noProof/>
            <w:webHidden/>
          </w:rPr>
          <w:fldChar w:fldCharType="begin"/>
        </w:r>
        <w:r>
          <w:rPr>
            <w:noProof/>
            <w:webHidden/>
          </w:rPr>
          <w:instrText xml:space="preserve"> PAGEREF _Toc300000331 \h </w:instrText>
        </w:r>
        <w:r>
          <w:rPr>
            <w:noProof/>
            <w:webHidden/>
          </w:rPr>
          <w:fldChar w:fldCharType="separate"/>
        </w:r>
        <w:r>
          <w:rPr>
            <w:noProof/>
            <w:webHidden/>
          </w:rPr>
          <w:t>922</w:t>
        </w:r>
        <w:r>
          <w:rPr>
            <w:noProof/>
            <w:webHidden/>
          </w:rPr>
          <w:fldChar w:fldCharType="end"/>
        </w:r>
      </w:hyperlink>
    </w:p>
    <w:p>
      <w:pPr>
        <w:pStyle w:val="TOC2"/>
      </w:pPr>
      <w:hyperlink w:anchor="_Toc300000332" w:history="1">
        <w:r>
          <w:rPr>
            <w:noProof/>
          </w:rPr>
          <w:t xml:space="preserve">Article 11.10: Information Exchange and Technical Discussions</w:t>
        </w:r>
        <w:r>
          <w:rPr>
            <w:noProof/>
            <w:webHidden/>
          </w:rPr>
          <w:tab/>
        </w:r>
        <w:r>
          <w:rPr>
            <w:noProof/>
            <w:webHidden/>
          </w:rPr>
          <w:fldChar w:fldCharType="begin"/>
        </w:r>
        <w:r>
          <w:rPr>
            <w:noProof/>
            <w:webHidden/>
          </w:rPr>
          <w:instrText xml:space="preserve"> PAGEREF _Toc300000332 \h </w:instrText>
        </w:r>
        <w:r>
          <w:rPr>
            <w:noProof/>
            <w:webHidden/>
          </w:rPr>
          <w:fldChar w:fldCharType="separate"/>
        </w:r>
        <w:r>
          <w:rPr>
            <w:noProof/>
            <w:webHidden/>
          </w:rPr>
          <w:t>923</w:t>
        </w:r>
        <w:r>
          <w:rPr>
            <w:noProof/>
            <w:webHidden/>
          </w:rPr>
          <w:fldChar w:fldCharType="end"/>
        </w:r>
      </w:hyperlink>
    </w:p>
    <w:p>
      <w:pPr>
        <w:pStyle w:val="TOC2"/>
      </w:pPr>
      <w:hyperlink w:anchor="_Toc300000333" w:history="1">
        <w:r>
          <w:rPr>
            <w:noProof/>
          </w:rPr>
          <w:t xml:space="preserve">Article 11.11: Committee on Technical Barriers to Trade</w:t>
        </w:r>
        <w:r>
          <w:rPr>
            <w:noProof/>
            <w:webHidden/>
          </w:rPr>
          <w:tab/>
        </w:r>
        <w:r>
          <w:rPr>
            <w:noProof/>
            <w:webHidden/>
          </w:rPr>
          <w:fldChar w:fldCharType="begin"/>
        </w:r>
        <w:r>
          <w:rPr>
            <w:noProof/>
            <w:webHidden/>
          </w:rPr>
          <w:instrText xml:space="preserve"> PAGEREF _Toc300000333 \h </w:instrText>
        </w:r>
        <w:r>
          <w:rPr>
            <w:noProof/>
            <w:webHidden/>
          </w:rPr>
          <w:fldChar w:fldCharType="separate"/>
        </w:r>
        <w:r>
          <w:rPr>
            <w:noProof/>
            <w:webHidden/>
          </w:rPr>
          <w:t>924</w:t>
        </w:r>
        <w:r>
          <w:rPr>
            <w:noProof/>
            <w:webHidden/>
          </w:rPr>
          <w:fldChar w:fldCharType="end"/>
        </w:r>
      </w:hyperlink>
    </w:p>
    <w:p>
      <w:pPr>
        <w:pStyle w:val="TOC2"/>
      </w:pPr>
      <w:hyperlink w:anchor="_Toc300000334" w:history="1">
        <w:r>
          <w:rPr>
            <w:noProof/>
          </w:rPr>
          <w:t xml:space="preserve">Article 11.12: Contact Points</w:t>
        </w:r>
        <w:r>
          <w:rPr>
            <w:noProof/>
            <w:webHidden/>
          </w:rPr>
          <w:tab/>
        </w:r>
        <w:r>
          <w:rPr>
            <w:noProof/>
            <w:webHidden/>
          </w:rPr>
          <w:fldChar w:fldCharType="begin"/>
        </w:r>
        <w:r>
          <w:rPr>
            <w:noProof/>
            <w:webHidden/>
          </w:rPr>
          <w:instrText xml:space="preserve"> PAGEREF _Toc300000334 \h </w:instrText>
        </w:r>
        <w:r>
          <w:rPr>
            <w:noProof/>
            <w:webHidden/>
          </w:rPr>
          <w:fldChar w:fldCharType="separate"/>
        </w:r>
        <w:r>
          <w:rPr>
            <w:noProof/>
            <w:webHidden/>
          </w:rPr>
          <w:t>925</w:t>
        </w:r>
        <w:r>
          <w:rPr>
            <w:noProof/>
            <w:webHidden/>
          </w:rPr>
          <w:fldChar w:fldCharType="end"/>
        </w:r>
      </w:hyperlink>
    </w:p>
    <w:p>
      <w:pPr>
        <w:pStyle w:val="TOC1"/>
      </w:pPr>
      <w:hyperlink w:anchor="_Toc300000335" w:history="1">
        <w:r>
          <w:rPr>
            <w:noProof/>
          </w:rPr>
          <w:t xml:space="preserve">CHAPTER 12 SECTORAL ANNEXES</w:t>
        </w:r>
        <w:r>
          <w:rPr>
            <w:noProof/>
            <w:webHidden/>
          </w:rPr>
          <w:tab/>
        </w:r>
        <w:r>
          <w:rPr>
            <w:noProof/>
            <w:webHidden/>
          </w:rPr>
          <w:fldChar w:fldCharType="begin"/>
        </w:r>
        <w:r>
          <w:rPr>
            <w:noProof/>
            <w:webHidden/>
          </w:rPr>
          <w:instrText xml:space="preserve"> PAGEREF _Toc300000335 \h </w:instrText>
        </w:r>
        <w:r>
          <w:rPr>
            <w:noProof/>
            <w:webHidden/>
          </w:rPr>
          <w:fldChar w:fldCharType="separate"/>
        </w:r>
        <w:r>
          <w:rPr>
            <w:noProof/>
            <w:webHidden/>
          </w:rPr>
          <w:t>926</w:t>
        </w:r>
        <w:r>
          <w:rPr>
            <w:noProof/>
            <w:webHidden/>
          </w:rPr>
          <w:fldChar w:fldCharType="end"/>
        </w:r>
      </w:hyperlink>
    </w:p>
    <w:p>
      <w:pPr>
        <w:pStyle w:val="TOC2"/>
      </w:pPr>
      <w:hyperlink w:anchor="_Toc300000336" w:history="1">
        <w:r>
          <w:rPr>
            <w:noProof/>
          </w:rPr>
          <w:t xml:space="preserve">Article 12.1: Sectoral Annexes</w:t>
        </w:r>
        <w:r>
          <w:rPr>
            <w:noProof/>
            <w:webHidden/>
          </w:rPr>
          <w:tab/>
        </w:r>
        <w:r>
          <w:rPr>
            <w:noProof/>
            <w:webHidden/>
          </w:rPr>
          <w:fldChar w:fldCharType="begin"/>
        </w:r>
        <w:r>
          <w:rPr>
            <w:noProof/>
            <w:webHidden/>
          </w:rPr>
          <w:instrText xml:space="preserve"> PAGEREF _Toc300000336 \h </w:instrText>
        </w:r>
        <w:r>
          <w:rPr>
            <w:noProof/>
            <w:webHidden/>
          </w:rPr>
          <w:fldChar w:fldCharType="separate"/>
        </w:r>
        <w:r>
          <w:rPr>
            <w:noProof/>
            <w:webHidden/>
          </w:rPr>
          <w:t>926</w:t>
        </w:r>
        <w:r>
          <w:rPr>
            <w:noProof/>
            <w:webHidden/>
          </w:rPr>
          <w:fldChar w:fldCharType="end"/>
        </w:r>
      </w:hyperlink>
    </w:p>
    <w:p>
      <w:pPr>
        <w:pStyle w:val="TOC2"/>
      </w:pPr>
      <w:hyperlink w:anchor="_Toc300000337" w:history="1">
        <w:r>
          <w:rPr>
            <w:noProof/>
          </w:rPr>
          <w:t xml:space="preserve">Article 12.2: Sectoral Implementation Work Program</w:t>
        </w:r>
        <w:r>
          <w:rPr>
            <w:noProof/>
            <w:webHidden/>
          </w:rPr>
          <w:tab/>
        </w:r>
        <w:r>
          <w:rPr>
            <w:noProof/>
            <w:webHidden/>
          </w:rPr>
          <w:fldChar w:fldCharType="begin"/>
        </w:r>
        <w:r>
          <w:rPr>
            <w:noProof/>
            <w:webHidden/>
          </w:rPr>
          <w:instrText xml:space="preserve"> PAGEREF _Toc300000337 \h </w:instrText>
        </w:r>
        <w:r>
          <w:rPr>
            <w:noProof/>
            <w:webHidden/>
          </w:rPr>
          <w:fldChar w:fldCharType="separate"/>
        </w:r>
        <w:r>
          <w:rPr>
            <w:noProof/>
            <w:webHidden/>
          </w:rPr>
          <w:t>926</w:t>
        </w:r>
        <w:r>
          <w:rPr>
            <w:noProof/>
            <w:webHidden/>
          </w:rPr>
          <w:fldChar w:fldCharType="end"/>
        </w:r>
      </w:hyperlink>
    </w:p>
    <w:p>
      <w:pPr>
        <w:pStyle w:val="TOC2"/>
      </w:pPr>
      <w:hyperlink w:anchor="_Toc300000338" w:history="1">
        <w:r>
          <w:rPr>
            <w:noProof/>
          </w:rPr>
          <w:t xml:space="preserve">ANNEX 12-A CHEMICAL SUBSTANCES</w:t>
        </w:r>
        <w:r>
          <w:rPr>
            <w:noProof/>
            <w:webHidden/>
          </w:rPr>
          <w:tab/>
        </w:r>
        <w:r>
          <w:rPr>
            <w:noProof/>
            <w:webHidden/>
          </w:rPr>
          <w:fldChar w:fldCharType="begin"/>
        </w:r>
        <w:r>
          <w:rPr>
            <w:noProof/>
            <w:webHidden/>
          </w:rPr>
          <w:instrText xml:space="preserve"> PAGEREF _Toc300000338 \h </w:instrText>
        </w:r>
        <w:r>
          <w:rPr>
            <w:noProof/>
            <w:webHidden/>
          </w:rPr>
          <w:fldChar w:fldCharType="separate"/>
        </w:r>
        <w:r>
          <w:rPr>
            <w:noProof/>
            <w:webHidden/>
          </w:rPr>
          <w:t>926</w:t>
        </w:r>
        <w:r>
          <w:rPr>
            <w:noProof/>
            <w:webHidden/>
          </w:rPr>
          <w:fldChar w:fldCharType="end"/>
        </w:r>
      </w:hyperlink>
    </w:p>
    <w:p>
      <w:pPr>
        <w:pStyle w:val="TOC2"/>
      </w:pPr>
      <w:hyperlink w:anchor="_Toc300000339" w:history="1">
        <w:r>
          <w:rPr>
            <w:noProof/>
          </w:rPr>
          <w:t xml:space="preserve">Article 12.A.1: Definitions</w:t>
        </w:r>
        <w:r>
          <w:rPr>
            <w:noProof/>
            <w:webHidden/>
          </w:rPr>
          <w:tab/>
        </w:r>
        <w:r>
          <w:rPr>
            <w:noProof/>
            <w:webHidden/>
          </w:rPr>
          <w:fldChar w:fldCharType="begin"/>
        </w:r>
        <w:r>
          <w:rPr>
            <w:noProof/>
            <w:webHidden/>
          </w:rPr>
          <w:instrText xml:space="preserve"> PAGEREF _Toc300000339 \h </w:instrText>
        </w:r>
        <w:r>
          <w:rPr>
            <w:noProof/>
            <w:webHidden/>
          </w:rPr>
          <w:fldChar w:fldCharType="separate"/>
        </w:r>
        <w:r>
          <w:rPr>
            <w:noProof/>
            <w:webHidden/>
          </w:rPr>
          <w:t>926</w:t>
        </w:r>
        <w:r>
          <w:rPr>
            <w:noProof/>
            <w:webHidden/>
          </w:rPr>
          <w:fldChar w:fldCharType="end"/>
        </w:r>
      </w:hyperlink>
    </w:p>
    <w:p>
      <w:pPr>
        <w:pStyle w:val="TOC2"/>
      </w:pPr>
      <w:hyperlink w:anchor="_Toc300000340" w:history="1">
        <w:r>
          <w:rPr>
            <w:noProof/>
          </w:rPr>
          <w:t xml:space="preserve">Article 12.A.2: Scope</w:t>
        </w:r>
        <w:r>
          <w:rPr>
            <w:noProof/>
            <w:webHidden/>
          </w:rPr>
          <w:tab/>
        </w:r>
        <w:r>
          <w:rPr>
            <w:noProof/>
            <w:webHidden/>
          </w:rPr>
          <w:fldChar w:fldCharType="begin"/>
        </w:r>
        <w:r>
          <w:rPr>
            <w:noProof/>
            <w:webHidden/>
          </w:rPr>
          <w:instrText xml:space="preserve"> PAGEREF _Toc300000340 \h </w:instrText>
        </w:r>
        <w:r>
          <w:rPr>
            <w:noProof/>
            <w:webHidden/>
          </w:rPr>
          <w:fldChar w:fldCharType="separate"/>
        </w:r>
        <w:r>
          <w:rPr>
            <w:noProof/>
            <w:webHidden/>
          </w:rPr>
          <w:t>927</w:t>
        </w:r>
        <w:r>
          <w:rPr>
            <w:noProof/>
            <w:webHidden/>
          </w:rPr>
          <w:fldChar w:fldCharType="end"/>
        </w:r>
      </w:hyperlink>
    </w:p>
    <w:p>
      <w:pPr>
        <w:pStyle w:val="TOC2"/>
      </w:pPr>
      <w:hyperlink w:anchor="_Toc300000341" w:history="1">
        <w:r>
          <w:rPr>
            <w:noProof/>
          </w:rPr>
          <w:t xml:space="preserve">Article 12.A.3: Competent Authorities</w:t>
        </w:r>
        <w:r>
          <w:rPr>
            <w:noProof/>
            <w:webHidden/>
          </w:rPr>
          <w:tab/>
        </w:r>
        <w:r>
          <w:rPr>
            <w:noProof/>
            <w:webHidden/>
          </w:rPr>
          <w:fldChar w:fldCharType="begin"/>
        </w:r>
        <w:r>
          <w:rPr>
            <w:noProof/>
            <w:webHidden/>
          </w:rPr>
          <w:instrText xml:space="preserve"> PAGEREF _Toc300000341 \h </w:instrText>
        </w:r>
        <w:r>
          <w:rPr>
            <w:noProof/>
            <w:webHidden/>
          </w:rPr>
          <w:fldChar w:fldCharType="separate"/>
        </w:r>
        <w:r>
          <w:rPr>
            <w:noProof/>
            <w:webHidden/>
          </w:rPr>
          <w:t>927</w:t>
        </w:r>
        <w:r>
          <w:rPr>
            <w:noProof/>
            <w:webHidden/>
          </w:rPr>
          <w:fldChar w:fldCharType="end"/>
        </w:r>
      </w:hyperlink>
    </w:p>
    <w:p>
      <w:pPr>
        <w:pStyle w:val="TOC2"/>
      </w:pPr>
      <w:hyperlink w:anchor="_Toc300000342" w:history="1">
        <w:r>
          <w:rPr>
            <w:noProof/>
          </w:rPr>
          <w:t xml:space="preserve">Article 12.A.4: Enhancing Regulatory Compatibility</w:t>
        </w:r>
        <w:r>
          <w:rPr>
            <w:noProof/>
            <w:webHidden/>
          </w:rPr>
          <w:tab/>
        </w:r>
        <w:r>
          <w:rPr>
            <w:noProof/>
            <w:webHidden/>
          </w:rPr>
          <w:fldChar w:fldCharType="begin"/>
        </w:r>
        <w:r>
          <w:rPr>
            <w:noProof/>
            <w:webHidden/>
          </w:rPr>
          <w:instrText xml:space="preserve"> PAGEREF _Toc300000342 \h </w:instrText>
        </w:r>
        <w:r>
          <w:rPr>
            <w:noProof/>
            <w:webHidden/>
          </w:rPr>
          <w:fldChar w:fldCharType="separate"/>
        </w:r>
        <w:r>
          <w:rPr>
            <w:noProof/>
            <w:webHidden/>
          </w:rPr>
          <w:t>927</w:t>
        </w:r>
        <w:r>
          <w:rPr>
            <w:noProof/>
            <w:webHidden/>
          </w:rPr>
          <w:fldChar w:fldCharType="end"/>
        </w:r>
      </w:hyperlink>
    </w:p>
    <w:p>
      <w:pPr>
        <w:pStyle w:val="TOC2"/>
      </w:pPr>
      <w:hyperlink w:anchor="_Toc300000343" w:history="1">
        <w:r>
          <w:rPr>
            <w:noProof/>
          </w:rPr>
          <w:t xml:space="preserve">Article 12.A.5: Data and Information Exchange</w:t>
        </w:r>
        <w:r>
          <w:rPr>
            <w:noProof/>
            <w:webHidden/>
          </w:rPr>
          <w:tab/>
        </w:r>
        <w:r>
          <w:rPr>
            <w:noProof/>
            <w:webHidden/>
          </w:rPr>
          <w:fldChar w:fldCharType="begin"/>
        </w:r>
        <w:r>
          <w:rPr>
            <w:noProof/>
            <w:webHidden/>
          </w:rPr>
          <w:instrText xml:space="preserve"> PAGEREF _Toc300000343 \h </w:instrText>
        </w:r>
        <w:r>
          <w:rPr>
            <w:noProof/>
            <w:webHidden/>
          </w:rPr>
          <w:fldChar w:fldCharType="separate"/>
        </w:r>
        <w:r>
          <w:rPr>
            <w:noProof/>
            <w:webHidden/>
          </w:rPr>
          <w:t>928</w:t>
        </w:r>
        <w:r>
          <w:rPr>
            <w:noProof/>
            <w:webHidden/>
          </w:rPr>
          <w:fldChar w:fldCharType="end"/>
        </w:r>
      </w:hyperlink>
    </w:p>
    <w:p>
      <w:pPr>
        <w:pStyle w:val="TOC2"/>
      </w:pPr>
      <w:hyperlink w:anchor="_Toc300000344" w:history="1">
        <w:r>
          <w:rPr>
            <w:noProof/>
          </w:rPr>
          <w:t xml:space="preserve">ANNEX 12-B COSMETIC PRODUCTS</w:t>
        </w:r>
        <w:r>
          <w:rPr>
            <w:noProof/>
            <w:webHidden/>
          </w:rPr>
          <w:tab/>
        </w:r>
        <w:r>
          <w:rPr>
            <w:noProof/>
            <w:webHidden/>
          </w:rPr>
          <w:fldChar w:fldCharType="begin"/>
        </w:r>
        <w:r>
          <w:rPr>
            <w:noProof/>
            <w:webHidden/>
          </w:rPr>
          <w:instrText xml:space="preserve"> PAGEREF _Toc300000344 \h </w:instrText>
        </w:r>
        <w:r>
          <w:rPr>
            <w:noProof/>
            <w:webHidden/>
          </w:rPr>
          <w:fldChar w:fldCharType="separate"/>
        </w:r>
        <w:r>
          <w:rPr>
            <w:noProof/>
            <w:webHidden/>
          </w:rPr>
          <w:t>929</w:t>
        </w:r>
        <w:r>
          <w:rPr>
            <w:noProof/>
            <w:webHidden/>
          </w:rPr>
          <w:fldChar w:fldCharType="end"/>
        </w:r>
      </w:hyperlink>
    </w:p>
    <w:p>
      <w:pPr>
        <w:pStyle w:val="TOC2"/>
      </w:pPr>
      <w:hyperlink w:anchor="_Toc300000345" w:history="1">
        <w:r>
          <w:rPr>
            <w:noProof/>
          </w:rPr>
          <w:t xml:space="preserve">Article 12.B.1: Definitions</w:t>
        </w:r>
        <w:r>
          <w:rPr>
            <w:noProof/>
            <w:webHidden/>
          </w:rPr>
          <w:tab/>
        </w:r>
        <w:r>
          <w:rPr>
            <w:noProof/>
            <w:webHidden/>
          </w:rPr>
          <w:fldChar w:fldCharType="begin"/>
        </w:r>
        <w:r>
          <w:rPr>
            <w:noProof/>
            <w:webHidden/>
          </w:rPr>
          <w:instrText xml:space="preserve"> PAGEREF _Toc300000345 \h </w:instrText>
        </w:r>
        <w:r>
          <w:rPr>
            <w:noProof/>
            <w:webHidden/>
          </w:rPr>
          <w:fldChar w:fldCharType="separate"/>
        </w:r>
        <w:r>
          <w:rPr>
            <w:noProof/>
            <w:webHidden/>
          </w:rPr>
          <w:t>929</w:t>
        </w:r>
        <w:r>
          <w:rPr>
            <w:noProof/>
            <w:webHidden/>
          </w:rPr>
          <w:fldChar w:fldCharType="end"/>
        </w:r>
      </w:hyperlink>
    </w:p>
    <w:p>
      <w:pPr>
        <w:pStyle w:val="TOC2"/>
      </w:pPr>
      <w:hyperlink w:anchor="_Toc300000346" w:history="1">
        <w:r>
          <w:rPr>
            <w:noProof/>
          </w:rPr>
          <w:t xml:space="preserve">Article 12.B.2: Scope</w:t>
        </w:r>
        <w:r>
          <w:rPr>
            <w:noProof/>
            <w:webHidden/>
          </w:rPr>
          <w:tab/>
        </w:r>
        <w:r>
          <w:rPr>
            <w:noProof/>
            <w:webHidden/>
          </w:rPr>
          <w:fldChar w:fldCharType="begin"/>
        </w:r>
        <w:r>
          <w:rPr>
            <w:noProof/>
            <w:webHidden/>
          </w:rPr>
          <w:instrText xml:space="preserve"> PAGEREF _Toc300000346 \h </w:instrText>
        </w:r>
        <w:r>
          <w:rPr>
            <w:noProof/>
            <w:webHidden/>
          </w:rPr>
          <w:fldChar w:fldCharType="separate"/>
        </w:r>
        <w:r>
          <w:rPr>
            <w:noProof/>
            <w:webHidden/>
          </w:rPr>
          <w:t>929</w:t>
        </w:r>
        <w:r>
          <w:rPr>
            <w:noProof/>
            <w:webHidden/>
          </w:rPr>
          <w:fldChar w:fldCharType="end"/>
        </w:r>
      </w:hyperlink>
    </w:p>
    <w:p>
      <w:pPr>
        <w:pStyle w:val="TOC2"/>
      </w:pPr>
      <w:hyperlink w:anchor="_Toc300000347" w:history="1">
        <w:r>
          <w:rPr>
            <w:noProof/>
          </w:rPr>
          <w:t xml:space="preserve">Article 12.B.3: Competent Authorities</w:t>
        </w:r>
        <w:r>
          <w:rPr>
            <w:noProof/>
            <w:webHidden/>
          </w:rPr>
          <w:tab/>
        </w:r>
        <w:r>
          <w:rPr>
            <w:noProof/>
            <w:webHidden/>
          </w:rPr>
          <w:fldChar w:fldCharType="begin"/>
        </w:r>
        <w:r>
          <w:rPr>
            <w:noProof/>
            <w:webHidden/>
          </w:rPr>
          <w:instrText xml:space="preserve"> PAGEREF _Toc300000347 \h </w:instrText>
        </w:r>
        <w:r>
          <w:rPr>
            <w:noProof/>
            <w:webHidden/>
          </w:rPr>
          <w:fldChar w:fldCharType="separate"/>
        </w:r>
        <w:r>
          <w:rPr>
            <w:noProof/>
            <w:webHidden/>
          </w:rPr>
          <w:t>929</w:t>
        </w:r>
        <w:r>
          <w:rPr>
            <w:noProof/>
            <w:webHidden/>
          </w:rPr>
          <w:fldChar w:fldCharType="end"/>
        </w:r>
      </w:hyperlink>
    </w:p>
    <w:p>
      <w:pPr>
        <w:pStyle w:val="TOC2"/>
      </w:pPr>
      <w:hyperlink w:anchor="_Toc300000348" w:history="1">
        <w:r>
          <w:rPr>
            <w:noProof/>
          </w:rPr>
          <w:t xml:space="preserve">Article 12.B.4: Enhancing Regulatory Compatibility</w:t>
        </w:r>
        <w:r>
          <w:rPr>
            <w:noProof/>
            <w:webHidden/>
          </w:rPr>
          <w:tab/>
        </w:r>
        <w:r>
          <w:rPr>
            <w:noProof/>
            <w:webHidden/>
          </w:rPr>
          <w:fldChar w:fldCharType="begin"/>
        </w:r>
        <w:r>
          <w:rPr>
            <w:noProof/>
            <w:webHidden/>
          </w:rPr>
          <w:instrText xml:space="preserve"> PAGEREF _Toc300000348 \h </w:instrText>
        </w:r>
        <w:r>
          <w:rPr>
            <w:noProof/>
            <w:webHidden/>
          </w:rPr>
          <w:fldChar w:fldCharType="separate"/>
        </w:r>
        <w:r>
          <w:rPr>
            <w:noProof/>
            <w:webHidden/>
          </w:rPr>
          <w:t>929</w:t>
        </w:r>
        <w:r>
          <w:rPr>
            <w:noProof/>
            <w:webHidden/>
          </w:rPr>
          <w:fldChar w:fldCharType="end"/>
        </w:r>
      </w:hyperlink>
    </w:p>
    <w:p>
      <w:pPr>
        <w:pStyle w:val="TOC2"/>
      </w:pPr>
      <w:hyperlink w:anchor="_Toc300000349" w:history="1">
        <w:r>
          <w:rPr>
            <w:noProof/>
          </w:rPr>
          <w:t xml:space="preserve">Article 12.B.5: Application of Regulatory Controls</w:t>
        </w:r>
        <w:r>
          <w:rPr>
            <w:noProof/>
            <w:webHidden/>
          </w:rPr>
          <w:tab/>
        </w:r>
        <w:r>
          <w:rPr>
            <w:noProof/>
            <w:webHidden/>
          </w:rPr>
          <w:fldChar w:fldCharType="begin"/>
        </w:r>
        <w:r>
          <w:rPr>
            <w:noProof/>
            <w:webHidden/>
          </w:rPr>
          <w:instrText xml:space="preserve"> PAGEREF _Toc300000349 \h </w:instrText>
        </w:r>
        <w:r>
          <w:rPr>
            <w:noProof/>
            <w:webHidden/>
          </w:rPr>
          <w:fldChar w:fldCharType="separate"/>
        </w:r>
        <w:r>
          <w:rPr>
            <w:noProof/>
            <w:webHidden/>
          </w:rPr>
          <w:t>930</w:t>
        </w:r>
        <w:r>
          <w:rPr>
            <w:noProof/>
            <w:webHidden/>
          </w:rPr>
          <w:fldChar w:fldCharType="end"/>
        </w:r>
      </w:hyperlink>
    </w:p>
    <w:p>
      <w:pPr>
        <w:pStyle w:val="TOC2"/>
      </w:pPr>
      <w:hyperlink w:anchor="_Toc300000350" w:history="1">
        <w:r>
          <w:rPr>
            <w:noProof/>
          </w:rPr>
          <w:t xml:space="preserve">Article 12.B.6: Labeling</w:t>
        </w:r>
        <w:r>
          <w:rPr>
            <w:noProof/>
            <w:webHidden/>
          </w:rPr>
          <w:tab/>
        </w:r>
        <w:r>
          <w:rPr>
            <w:noProof/>
            <w:webHidden/>
          </w:rPr>
          <w:fldChar w:fldCharType="begin"/>
        </w:r>
        <w:r>
          <w:rPr>
            <w:noProof/>
            <w:webHidden/>
          </w:rPr>
          <w:instrText xml:space="preserve"> PAGEREF _Toc300000350 \h </w:instrText>
        </w:r>
        <w:r>
          <w:rPr>
            <w:noProof/>
            <w:webHidden/>
          </w:rPr>
          <w:fldChar w:fldCharType="separate"/>
        </w:r>
        <w:r>
          <w:rPr>
            <w:noProof/>
            <w:webHidden/>
          </w:rPr>
          <w:t>931</w:t>
        </w:r>
        <w:r>
          <w:rPr>
            <w:noProof/>
            <w:webHidden/>
          </w:rPr>
          <w:fldChar w:fldCharType="end"/>
        </w:r>
      </w:hyperlink>
    </w:p>
    <w:p>
      <w:pPr>
        <w:pStyle w:val="TOC2"/>
      </w:pPr>
      <w:hyperlink w:anchor="_Toc300000351" w:history="1">
        <w:r>
          <w:rPr>
            <w:noProof/>
          </w:rPr>
          <w:t xml:space="preserve">APPENDIX 1 ENHANCING REGULATORY COMPATIBILITY FOR PRODUCTS RECOGNIZED AS BEING AT THE INTERFACE OF COSMETICS AND DRUGS</w:t>
        </w:r>
        <w:r>
          <w:rPr>
            <w:noProof/>
            <w:webHidden/>
          </w:rPr>
          <w:tab/>
        </w:r>
        <w:r>
          <w:rPr>
            <w:noProof/>
            <w:webHidden/>
          </w:rPr>
          <w:fldChar w:fldCharType="begin"/>
        </w:r>
        <w:r>
          <w:rPr>
            <w:noProof/>
            <w:webHidden/>
          </w:rPr>
          <w:instrText xml:space="preserve"> PAGEREF _Toc300000351 \h </w:instrText>
        </w:r>
        <w:r>
          <w:rPr>
            <w:noProof/>
            <w:webHidden/>
          </w:rPr>
          <w:fldChar w:fldCharType="separate"/>
        </w:r>
        <w:r>
          <w:rPr>
            <w:noProof/>
            <w:webHidden/>
          </w:rPr>
          <w:t>931</w:t>
        </w:r>
        <w:r>
          <w:rPr>
            <w:noProof/>
            <w:webHidden/>
          </w:rPr>
          <w:fldChar w:fldCharType="end"/>
        </w:r>
      </w:hyperlink>
    </w:p>
    <w:p>
      <w:pPr>
        <w:pStyle w:val="TOC2"/>
      </w:pPr>
      <w:hyperlink w:anchor="_Toc300000352" w:history="1">
        <w:r>
          <w:rPr>
            <w:noProof/>
          </w:rPr>
          <w:t xml:space="preserve">ANNEX 12-C INFORMATION AND COMMUNICATION TECHNOLOGY</w:t>
        </w:r>
        <w:r>
          <w:rPr>
            <w:noProof/>
            <w:webHidden/>
          </w:rPr>
          <w:tab/>
        </w:r>
        <w:r>
          <w:rPr>
            <w:noProof/>
            <w:webHidden/>
          </w:rPr>
          <w:fldChar w:fldCharType="begin"/>
        </w:r>
        <w:r>
          <w:rPr>
            <w:noProof/>
            <w:webHidden/>
          </w:rPr>
          <w:instrText xml:space="preserve"> PAGEREF _Toc300000352 \h </w:instrText>
        </w:r>
        <w:r>
          <w:rPr>
            <w:noProof/>
            <w:webHidden/>
          </w:rPr>
          <w:fldChar w:fldCharType="separate"/>
        </w:r>
        <w:r>
          <w:rPr>
            <w:noProof/>
            <w:webHidden/>
          </w:rPr>
          <w:t>932</w:t>
        </w:r>
        <w:r>
          <w:rPr>
            <w:noProof/>
            <w:webHidden/>
          </w:rPr>
          <w:fldChar w:fldCharType="end"/>
        </w:r>
      </w:hyperlink>
    </w:p>
    <w:p>
      <w:pPr>
        <w:pStyle w:val="TOC2"/>
      </w:pPr>
      <w:hyperlink w:anchor="_Toc300000353" w:history="1">
        <w:r>
          <w:rPr>
            <w:noProof/>
          </w:rPr>
          <w:t xml:space="preserve">Article 12.C.2: ICT Goods that Use Cryptography</w:t>
        </w:r>
        <w:r>
          <w:rPr>
            <w:noProof/>
            <w:webHidden/>
          </w:rPr>
          <w:tab/>
        </w:r>
        <w:r>
          <w:rPr>
            <w:noProof/>
            <w:webHidden/>
          </w:rPr>
          <w:fldChar w:fldCharType="begin"/>
        </w:r>
        <w:r>
          <w:rPr>
            <w:noProof/>
            <w:webHidden/>
          </w:rPr>
          <w:instrText xml:space="preserve"> PAGEREF _Toc300000353 \h </w:instrText>
        </w:r>
        <w:r>
          <w:rPr>
            <w:noProof/>
            <w:webHidden/>
          </w:rPr>
          <w:fldChar w:fldCharType="separate"/>
        </w:r>
        <w:r>
          <w:rPr>
            <w:noProof/>
            <w:webHidden/>
          </w:rPr>
          <w:t>933</w:t>
        </w:r>
        <w:r>
          <w:rPr>
            <w:noProof/>
            <w:webHidden/>
          </w:rPr>
          <w:fldChar w:fldCharType="end"/>
        </w:r>
      </w:hyperlink>
    </w:p>
    <w:p>
      <w:pPr>
        <w:pStyle w:val="TOC2"/>
      </w:pPr>
      <w:hyperlink w:anchor="_Toc300000354" w:history="1">
        <w:r>
          <w:rPr>
            <w:noProof/>
          </w:rPr>
          <w:t xml:space="preserve">Article 12.C.3: Electromagnetic Compatibility of ITE Products</w:t>
        </w:r>
        <w:r>
          <w:rPr>
            <w:noProof/>
            <w:webHidden/>
          </w:rPr>
          <w:tab/>
        </w:r>
        <w:r>
          <w:rPr>
            <w:noProof/>
            <w:webHidden/>
          </w:rPr>
          <w:fldChar w:fldCharType="begin"/>
        </w:r>
        <w:r>
          <w:rPr>
            <w:noProof/>
            <w:webHidden/>
          </w:rPr>
          <w:instrText xml:space="preserve"> PAGEREF _Toc300000354 \h </w:instrText>
        </w:r>
        <w:r>
          <w:rPr>
            <w:noProof/>
            <w:webHidden/>
          </w:rPr>
          <w:fldChar w:fldCharType="separate"/>
        </w:r>
        <w:r>
          <w:rPr>
            <w:noProof/>
            <w:webHidden/>
          </w:rPr>
          <w:t>934</w:t>
        </w:r>
        <w:r>
          <w:rPr>
            <w:noProof/>
            <w:webHidden/>
          </w:rPr>
          <w:fldChar w:fldCharType="end"/>
        </w:r>
      </w:hyperlink>
    </w:p>
    <w:p>
      <w:pPr>
        <w:pStyle w:val="TOC2"/>
      </w:pPr>
      <w:hyperlink w:anchor="_Toc300000355" w:history="1">
        <w:r>
          <w:rPr>
            <w:noProof/>
          </w:rPr>
          <w:t xml:space="preserve">Article 12.C.4: Regional Cooperation Activities on Telecommunications Equipment</w:t>
        </w:r>
        <w:r>
          <w:rPr>
            <w:noProof/>
            <w:webHidden/>
          </w:rPr>
          <w:tab/>
        </w:r>
        <w:r>
          <w:rPr>
            <w:noProof/>
            <w:webHidden/>
          </w:rPr>
          <w:fldChar w:fldCharType="begin"/>
        </w:r>
        <w:r>
          <w:rPr>
            <w:noProof/>
            <w:webHidden/>
          </w:rPr>
          <w:instrText xml:space="preserve"> PAGEREF _Toc300000355 \h </w:instrText>
        </w:r>
        <w:r>
          <w:rPr>
            <w:noProof/>
            <w:webHidden/>
          </w:rPr>
          <w:fldChar w:fldCharType="separate"/>
        </w:r>
        <w:r>
          <w:rPr>
            <w:noProof/>
            <w:webHidden/>
          </w:rPr>
          <w:t>934</w:t>
        </w:r>
        <w:r>
          <w:rPr>
            <w:noProof/>
            <w:webHidden/>
          </w:rPr>
          <w:fldChar w:fldCharType="end"/>
        </w:r>
      </w:hyperlink>
    </w:p>
    <w:p>
      <w:pPr>
        <w:pStyle w:val="TOC2"/>
      </w:pPr>
      <w:hyperlink w:anchor="_Toc300000356" w:history="1">
        <w:r>
          <w:rPr>
            <w:noProof/>
          </w:rPr>
          <w:t xml:space="preserve">Article 12.C.5: Terminal Equipment</w:t>
        </w:r>
        <w:r>
          <w:rPr>
            <w:noProof/>
            <w:webHidden/>
          </w:rPr>
          <w:tab/>
        </w:r>
        <w:r>
          <w:rPr>
            <w:noProof/>
            <w:webHidden/>
          </w:rPr>
          <w:fldChar w:fldCharType="begin"/>
        </w:r>
        <w:r>
          <w:rPr>
            <w:noProof/>
            <w:webHidden/>
          </w:rPr>
          <w:instrText xml:space="preserve"> PAGEREF _Toc300000356 \h </w:instrText>
        </w:r>
        <w:r>
          <w:rPr>
            <w:noProof/>
            <w:webHidden/>
          </w:rPr>
          <w:fldChar w:fldCharType="separate"/>
        </w:r>
        <w:r>
          <w:rPr>
            <w:noProof/>
            <w:webHidden/>
          </w:rPr>
          <w:t>935</w:t>
        </w:r>
        <w:r>
          <w:rPr>
            <w:noProof/>
            <w:webHidden/>
          </w:rPr>
          <w:fldChar w:fldCharType="end"/>
        </w:r>
      </w:hyperlink>
    </w:p>
    <w:p>
      <w:pPr>
        <w:pStyle w:val="TOC2"/>
      </w:pPr>
      <w:hyperlink w:anchor="_Toc300000357" w:history="1">
        <w:r>
          <w:rPr>
            <w:noProof/>
          </w:rPr>
          <w:t xml:space="preserve">ANNEX 12-D ENERGY PERFORMANCE STANDARDS</w:t>
        </w:r>
        <w:r>
          <w:rPr>
            <w:noProof/>
            <w:webHidden/>
          </w:rPr>
          <w:tab/>
        </w:r>
        <w:r>
          <w:rPr>
            <w:noProof/>
            <w:webHidden/>
          </w:rPr>
          <w:fldChar w:fldCharType="begin"/>
        </w:r>
        <w:r>
          <w:rPr>
            <w:noProof/>
            <w:webHidden/>
          </w:rPr>
          <w:instrText xml:space="preserve"> PAGEREF _Toc300000357 \h </w:instrText>
        </w:r>
        <w:r>
          <w:rPr>
            <w:noProof/>
            <w:webHidden/>
          </w:rPr>
          <w:fldChar w:fldCharType="separate"/>
        </w:r>
        <w:r>
          <w:rPr>
            <w:noProof/>
            <w:webHidden/>
          </w:rPr>
          <w:t>935</w:t>
        </w:r>
        <w:r>
          <w:rPr>
            <w:noProof/>
            <w:webHidden/>
          </w:rPr>
          <w:fldChar w:fldCharType="end"/>
        </w:r>
      </w:hyperlink>
    </w:p>
    <w:p>
      <w:pPr>
        <w:pStyle w:val="TOC2"/>
      </w:pPr>
      <w:hyperlink w:anchor="_Toc300000358" w:history="1">
        <w:r>
          <w:rPr>
            <w:noProof/>
          </w:rPr>
          <w:t xml:space="preserve">Article 12.D.1: Definitions</w:t>
        </w:r>
        <w:r>
          <w:rPr>
            <w:noProof/>
            <w:webHidden/>
          </w:rPr>
          <w:tab/>
        </w:r>
        <w:r>
          <w:rPr>
            <w:noProof/>
            <w:webHidden/>
          </w:rPr>
          <w:fldChar w:fldCharType="begin"/>
        </w:r>
        <w:r>
          <w:rPr>
            <w:noProof/>
            <w:webHidden/>
          </w:rPr>
          <w:instrText xml:space="preserve"> PAGEREF _Toc300000358 \h </w:instrText>
        </w:r>
        <w:r>
          <w:rPr>
            <w:noProof/>
            <w:webHidden/>
          </w:rPr>
          <w:fldChar w:fldCharType="separate"/>
        </w:r>
        <w:r>
          <w:rPr>
            <w:noProof/>
            <w:webHidden/>
          </w:rPr>
          <w:t>935</w:t>
        </w:r>
        <w:r>
          <w:rPr>
            <w:noProof/>
            <w:webHidden/>
          </w:rPr>
          <w:fldChar w:fldCharType="end"/>
        </w:r>
      </w:hyperlink>
    </w:p>
    <w:p>
      <w:pPr>
        <w:pStyle w:val="TOC2"/>
      </w:pPr>
      <w:hyperlink w:anchor="_Toc300000359" w:history="1">
        <w:r>
          <w:rPr>
            <w:noProof/>
          </w:rPr>
          <w:t xml:space="preserve">Article 12.D.2: Scope</w:t>
        </w:r>
        <w:r>
          <w:rPr>
            <w:noProof/>
            <w:webHidden/>
          </w:rPr>
          <w:tab/>
        </w:r>
        <w:r>
          <w:rPr>
            <w:noProof/>
            <w:webHidden/>
          </w:rPr>
          <w:fldChar w:fldCharType="begin"/>
        </w:r>
        <w:r>
          <w:rPr>
            <w:noProof/>
            <w:webHidden/>
          </w:rPr>
          <w:instrText xml:space="preserve"> PAGEREF _Toc300000359 \h </w:instrText>
        </w:r>
        <w:r>
          <w:rPr>
            <w:noProof/>
            <w:webHidden/>
          </w:rPr>
          <w:fldChar w:fldCharType="separate"/>
        </w:r>
        <w:r>
          <w:rPr>
            <w:noProof/>
            <w:webHidden/>
          </w:rPr>
          <w:t>935</w:t>
        </w:r>
        <w:r>
          <w:rPr>
            <w:noProof/>
            <w:webHidden/>
          </w:rPr>
          <w:fldChar w:fldCharType="end"/>
        </w:r>
      </w:hyperlink>
    </w:p>
    <w:p>
      <w:pPr>
        <w:pStyle w:val="TOC2"/>
      </w:pPr>
      <w:hyperlink w:anchor="_Toc300000360" w:history="1">
        <w:r>
          <w:rPr>
            <w:noProof/>
          </w:rPr>
          <w:t xml:space="preserve">Article 12.D.3: Competent Authorities</w:t>
        </w:r>
        <w:r>
          <w:rPr>
            <w:noProof/>
            <w:webHidden/>
          </w:rPr>
          <w:tab/>
        </w:r>
        <w:r>
          <w:rPr>
            <w:noProof/>
            <w:webHidden/>
          </w:rPr>
          <w:fldChar w:fldCharType="begin"/>
        </w:r>
        <w:r>
          <w:rPr>
            <w:noProof/>
            <w:webHidden/>
          </w:rPr>
          <w:instrText xml:space="preserve"> PAGEREF _Toc300000360 \h </w:instrText>
        </w:r>
        <w:r>
          <w:rPr>
            <w:noProof/>
            <w:webHidden/>
          </w:rPr>
          <w:fldChar w:fldCharType="separate"/>
        </w:r>
        <w:r>
          <w:rPr>
            <w:noProof/>
            <w:webHidden/>
          </w:rPr>
          <w:t>936</w:t>
        </w:r>
        <w:r>
          <w:rPr>
            <w:noProof/>
            <w:webHidden/>
          </w:rPr>
          <w:fldChar w:fldCharType="end"/>
        </w:r>
      </w:hyperlink>
    </w:p>
    <w:p>
      <w:pPr>
        <w:pStyle w:val="TOC2"/>
      </w:pPr>
      <w:hyperlink w:anchor="_Toc300000361" w:history="1">
        <w:r>
          <w:rPr>
            <w:noProof/>
          </w:rPr>
          <w:t xml:space="preserve">Article 12.D.4: Enhancing Regulatory Compatibility</w:t>
        </w:r>
        <w:r>
          <w:rPr>
            <w:noProof/>
            <w:webHidden/>
          </w:rPr>
          <w:tab/>
        </w:r>
        <w:r>
          <w:rPr>
            <w:noProof/>
            <w:webHidden/>
          </w:rPr>
          <w:fldChar w:fldCharType="begin"/>
        </w:r>
        <w:r>
          <w:rPr>
            <w:noProof/>
            <w:webHidden/>
          </w:rPr>
          <w:instrText xml:space="preserve"> PAGEREF _Toc300000361 \h </w:instrText>
        </w:r>
        <w:r>
          <w:rPr>
            <w:noProof/>
            <w:webHidden/>
          </w:rPr>
          <w:fldChar w:fldCharType="separate"/>
        </w:r>
        <w:r>
          <w:rPr>
            <w:noProof/>
            <w:webHidden/>
          </w:rPr>
          <w:t>936</w:t>
        </w:r>
        <w:r>
          <w:rPr>
            <w:noProof/>
            <w:webHidden/>
          </w:rPr>
          <w:fldChar w:fldCharType="end"/>
        </w:r>
      </w:hyperlink>
    </w:p>
    <w:p>
      <w:pPr>
        <w:pStyle w:val="TOC2"/>
      </w:pPr>
      <w:hyperlink w:anchor="_Toc300000362" w:history="1">
        <w:r>
          <w:rPr>
            <w:noProof/>
          </w:rPr>
          <w:t xml:space="preserve">Article 12.D.5: Voluntary Approaches to Promote Energy Efficiency</w:t>
        </w:r>
        <w:r>
          <w:rPr>
            <w:noProof/>
            <w:webHidden/>
          </w:rPr>
          <w:tab/>
        </w:r>
        <w:r>
          <w:rPr>
            <w:noProof/>
            <w:webHidden/>
          </w:rPr>
          <w:fldChar w:fldCharType="begin"/>
        </w:r>
        <w:r>
          <w:rPr>
            <w:noProof/>
            <w:webHidden/>
          </w:rPr>
          <w:instrText xml:space="preserve"> PAGEREF _Toc300000362 \h </w:instrText>
        </w:r>
        <w:r>
          <w:rPr>
            <w:noProof/>
            <w:webHidden/>
          </w:rPr>
          <w:fldChar w:fldCharType="separate"/>
        </w:r>
        <w:r>
          <w:rPr>
            <w:noProof/>
            <w:webHidden/>
          </w:rPr>
          <w:t>936</w:t>
        </w:r>
        <w:r>
          <w:rPr>
            <w:noProof/>
            <w:webHidden/>
          </w:rPr>
          <w:fldChar w:fldCharType="end"/>
        </w:r>
      </w:hyperlink>
    </w:p>
    <w:p>
      <w:pPr>
        <w:pStyle w:val="TOC2"/>
      </w:pPr>
      <w:hyperlink w:anchor="_Toc300000363" w:history="1">
        <w:r>
          <w:rPr>
            <w:noProof/>
          </w:rPr>
          <w:t xml:space="preserve">ANNEX 12-E MEDICAL DEVICES</w:t>
        </w:r>
        <w:r>
          <w:rPr>
            <w:noProof/>
            <w:webHidden/>
          </w:rPr>
          <w:tab/>
        </w:r>
        <w:r>
          <w:rPr>
            <w:noProof/>
            <w:webHidden/>
          </w:rPr>
          <w:fldChar w:fldCharType="begin"/>
        </w:r>
        <w:r>
          <w:rPr>
            <w:noProof/>
            <w:webHidden/>
          </w:rPr>
          <w:instrText xml:space="preserve"> PAGEREF _Toc300000363 \h </w:instrText>
        </w:r>
        <w:r>
          <w:rPr>
            <w:noProof/>
            <w:webHidden/>
          </w:rPr>
          <w:fldChar w:fldCharType="separate"/>
        </w:r>
        <w:r>
          <w:rPr>
            <w:noProof/>
            <w:webHidden/>
          </w:rPr>
          <w:t>937</w:t>
        </w:r>
        <w:r>
          <w:rPr>
            <w:noProof/>
            <w:webHidden/>
          </w:rPr>
          <w:fldChar w:fldCharType="end"/>
        </w:r>
      </w:hyperlink>
    </w:p>
    <w:p>
      <w:pPr>
        <w:pStyle w:val="TOC2"/>
      </w:pPr>
      <w:hyperlink w:anchor="_Toc300000364" w:history="1">
        <w:r>
          <w:rPr>
            <w:noProof/>
          </w:rPr>
          <w:t xml:space="preserve">Article 12.E.1: Definitions</w:t>
        </w:r>
        <w:r>
          <w:rPr>
            <w:noProof/>
            <w:webHidden/>
          </w:rPr>
          <w:tab/>
        </w:r>
        <w:r>
          <w:rPr>
            <w:noProof/>
            <w:webHidden/>
          </w:rPr>
          <w:fldChar w:fldCharType="begin"/>
        </w:r>
        <w:r>
          <w:rPr>
            <w:noProof/>
            <w:webHidden/>
          </w:rPr>
          <w:instrText xml:space="preserve"> PAGEREF _Toc300000364 \h </w:instrText>
        </w:r>
        <w:r>
          <w:rPr>
            <w:noProof/>
            <w:webHidden/>
          </w:rPr>
          <w:fldChar w:fldCharType="separate"/>
        </w:r>
        <w:r>
          <w:rPr>
            <w:noProof/>
            <w:webHidden/>
          </w:rPr>
          <w:t>937</w:t>
        </w:r>
        <w:r>
          <w:rPr>
            <w:noProof/>
            <w:webHidden/>
          </w:rPr>
          <w:fldChar w:fldCharType="end"/>
        </w:r>
      </w:hyperlink>
    </w:p>
    <w:p>
      <w:pPr>
        <w:pStyle w:val="TOC2"/>
      </w:pPr>
      <w:hyperlink w:anchor="_Toc300000365" w:history="1">
        <w:r>
          <w:rPr>
            <w:noProof/>
          </w:rPr>
          <w:t xml:space="preserve">Article 12.E.3: Competent Authorities</w:t>
        </w:r>
        <w:r>
          <w:rPr>
            <w:noProof/>
            <w:webHidden/>
          </w:rPr>
          <w:tab/>
        </w:r>
        <w:r>
          <w:rPr>
            <w:noProof/>
            <w:webHidden/>
          </w:rPr>
          <w:fldChar w:fldCharType="begin"/>
        </w:r>
        <w:r>
          <w:rPr>
            <w:noProof/>
            <w:webHidden/>
          </w:rPr>
          <w:instrText xml:space="preserve"> PAGEREF _Toc300000365 \h </w:instrText>
        </w:r>
        <w:r>
          <w:rPr>
            <w:noProof/>
            <w:webHidden/>
          </w:rPr>
          <w:fldChar w:fldCharType="separate"/>
        </w:r>
        <w:r>
          <w:rPr>
            <w:noProof/>
            <w:webHidden/>
          </w:rPr>
          <w:t>937</w:t>
        </w:r>
        <w:r>
          <w:rPr>
            <w:noProof/>
            <w:webHidden/>
          </w:rPr>
          <w:fldChar w:fldCharType="end"/>
        </w:r>
      </w:hyperlink>
    </w:p>
    <w:p>
      <w:pPr>
        <w:pStyle w:val="TOC2"/>
      </w:pPr>
      <w:hyperlink w:anchor="_Toc300000366" w:history="1">
        <w:r>
          <w:rPr>
            <w:noProof/>
          </w:rPr>
          <w:t xml:space="preserve">Article 12.E.4: Enhancing Regulatory Compatibility</w:t>
        </w:r>
        <w:r>
          <w:rPr>
            <w:noProof/>
            <w:webHidden/>
          </w:rPr>
          <w:tab/>
        </w:r>
        <w:r>
          <w:rPr>
            <w:noProof/>
            <w:webHidden/>
          </w:rPr>
          <w:fldChar w:fldCharType="begin"/>
        </w:r>
        <w:r>
          <w:rPr>
            <w:noProof/>
            <w:webHidden/>
          </w:rPr>
          <w:instrText xml:space="preserve"> PAGEREF _Toc300000366 \h </w:instrText>
        </w:r>
        <w:r>
          <w:rPr>
            <w:noProof/>
            <w:webHidden/>
          </w:rPr>
          <w:fldChar w:fldCharType="separate"/>
        </w:r>
        <w:r>
          <w:rPr>
            <w:noProof/>
            <w:webHidden/>
          </w:rPr>
          <w:t>937</w:t>
        </w:r>
        <w:r>
          <w:rPr>
            <w:noProof/>
            <w:webHidden/>
          </w:rPr>
          <w:fldChar w:fldCharType="end"/>
        </w:r>
      </w:hyperlink>
    </w:p>
    <w:p>
      <w:pPr>
        <w:pStyle w:val="TOC2"/>
      </w:pPr>
      <w:hyperlink w:anchor="_Toc300000367" w:history="1">
        <w:r>
          <w:rPr>
            <w:noProof/>
          </w:rPr>
          <w:t xml:space="preserve">Article 12.E.5: Application of Regulatory Controls</w:t>
        </w:r>
        <w:r>
          <w:rPr>
            <w:noProof/>
            <w:webHidden/>
          </w:rPr>
          <w:tab/>
        </w:r>
        <w:r>
          <w:rPr>
            <w:noProof/>
            <w:webHidden/>
          </w:rPr>
          <w:fldChar w:fldCharType="begin"/>
        </w:r>
        <w:r>
          <w:rPr>
            <w:noProof/>
            <w:webHidden/>
          </w:rPr>
          <w:instrText xml:space="preserve"> PAGEREF _Toc300000367 \h </w:instrText>
        </w:r>
        <w:r>
          <w:rPr>
            <w:noProof/>
            <w:webHidden/>
          </w:rPr>
          <w:fldChar w:fldCharType="separate"/>
        </w:r>
        <w:r>
          <w:rPr>
            <w:noProof/>
            <w:webHidden/>
          </w:rPr>
          <w:t>938</w:t>
        </w:r>
        <w:r>
          <w:rPr>
            <w:noProof/>
            <w:webHidden/>
          </w:rPr>
          <w:fldChar w:fldCharType="end"/>
        </w:r>
      </w:hyperlink>
    </w:p>
    <w:p>
      <w:pPr>
        <w:pStyle w:val="TOC2"/>
      </w:pPr>
      <w:hyperlink w:anchor="_Toc300000368" w:history="1">
        <w:r>
          <w:rPr>
            <w:noProof/>
          </w:rPr>
          <w:t xml:space="preserve">ANNEX 12-F PHARMACEUTICALS</w:t>
        </w:r>
        <w:r>
          <w:rPr>
            <w:noProof/>
            <w:webHidden/>
          </w:rPr>
          <w:tab/>
        </w:r>
        <w:r>
          <w:rPr>
            <w:noProof/>
            <w:webHidden/>
          </w:rPr>
          <w:fldChar w:fldCharType="begin"/>
        </w:r>
        <w:r>
          <w:rPr>
            <w:noProof/>
            <w:webHidden/>
          </w:rPr>
          <w:instrText xml:space="preserve"> PAGEREF _Toc300000368 \h </w:instrText>
        </w:r>
        <w:r>
          <w:rPr>
            <w:noProof/>
            <w:webHidden/>
          </w:rPr>
          <w:fldChar w:fldCharType="separate"/>
        </w:r>
        <w:r>
          <w:rPr>
            <w:noProof/>
            <w:webHidden/>
          </w:rPr>
          <w:t>939</w:t>
        </w:r>
        <w:r>
          <w:rPr>
            <w:noProof/>
            <w:webHidden/>
          </w:rPr>
          <w:fldChar w:fldCharType="end"/>
        </w:r>
      </w:hyperlink>
    </w:p>
    <w:p>
      <w:pPr>
        <w:pStyle w:val="TOC2"/>
      </w:pPr>
      <w:hyperlink w:anchor="_Toc300000369" w:history="1">
        <w:r>
          <w:rPr>
            <w:noProof/>
          </w:rPr>
          <w:t xml:space="preserve">Article 12.F.1: Definitions</w:t>
        </w:r>
        <w:r>
          <w:rPr>
            <w:noProof/>
            <w:webHidden/>
          </w:rPr>
          <w:tab/>
        </w:r>
        <w:r>
          <w:rPr>
            <w:noProof/>
            <w:webHidden/>
          </w:rPr>
          <w:fldChar w:fldCharType="begin"/>
        </w:r>
        <w:r>
          <w:rPr>
            <w:noProof/>
            <w:webHidden/>
          </w:rPr>
          <w:instrText xml:space="preserve"> PAGEREF _Toc300000369 \h </w:instrText>
        </w:r>
        <w:r>
          <w:rPr>
            <w:noProof/>
            <w:webHidden/>
          </w:rPr>
          <w:fldChar w:fldCharType="separate"/>
        </w:r>
        <w:r>
          <w:rPr>
            <w:noProof/>
            <w:webHidden/>
          </w:rPr>
          <w:t>939</w:t>
        </w:r>
        <w:r>
          <w:rPr>
            <w:noProof/>
            <w:webHidden/>
          </w:rPr>
          <w:fldChar w:fldCharType="end"/>
        </w:r>
      </w:hyperlink>
    </w:p>
    <w:p>
      <w:pPr>
        <w:pStyle w:val="TOC2"/>
      </w:pPr>
      <w:hyperlink w:anchor="_Toc300000370" w:history="1">
        <w:r>
          <w:rPr>
            <w:noProof/>
          </w:rPr>
          <w:t xml:space="preserve">Article 12.F.2: Scope</w:t>
        </w:r>
        <w:r>
          <w:rPr>
            <w:noProof/>
            <w:webHidden/>
          </w:rPr>
          <w:tab/>
        </w:r>
        <w:r>
          <w:rPr>
            <w:noProof/>
            <w:webHidden/>
          </w:rPr>
          <w:fldChar w:fldCharType="begin"/>
        </w:r>
        <w:r>
          <w:rPr>
            <w:noProof/>
            <w:webHidden/>
          </w:rPr>
          <w:instrText xml:space="preserve"> PAGEREF _Toc300000370 \h </w:instrText>
        </w:r>
        <w:r>
          <w:rPr>
            <w:noProof/>
            <w:webHidden/>
          </w:rPr>
          <w:fldChar w:fldCharType="separate"/>
        </w:r>
        <w:r>
          <w:rPr>
            <w:noProof/>
            <w:webHidden/>
          </w:rPr>
          <w:t>940</w:t>
        </w:r>
        <w:r>
          <w:rPr>
            <w:noProof/>
            <w:webHidden/>
          </w:rPr>
          <w:fldChar w:fldCharType="end"/>
        </w:r>
      </w:hyperlink>
    </w:p>
    <w:p>
      <w:pPr>
        <w:pStyle w:val="TOC2"/>
      </w:pPr>
      <w:hyperlink w:anchor="_Toc300000371" w:history="1">
        <w:r>
          <w:rPr>
            <w:noProof/>
          </w:rPr>
          <w:t xml:space="preserve">Article 12.F.3: Competent Authorities</w:t>
        </w:r>
        <w:r>
          <w:rPr>
            <w:noProof/>
            <w:webHidden/>
          </w:rPr>
          <w:tab/>
        </w:r>
        <w:r>
          <w:rPr>
            <w:noProof/>
            <w:webHidden/>
          </w:rPr>
          <w:fldChar w:fldCharType="begin"/>
        </w:r>
        <w:r>
          <w:rPr>
            <w:noProof/>
            <w:webHidden/>
          </w:rPr>
          <w:instrText xml:space="preserve"> PAGEREF _Toc300000371 \h </w:instrText>
        </w:r>
        <w:r>
          <w:rPr>
            <w:noProof/>
            <w:webHidden/>
          </w:rPr>
          <w:fldChar w:fldCharType="separate"/>
        </w:r>
        <w:r>
          <w:rPr>
            <w:noProof/>
            <w:webHidden/>
          </w:rPr>
          <w:t>940</w:t>
        </w:r>
        <w:r>
          <w:rPr>
            <w:noProof/>
            <w:webHidden/>
          </w:rPr>
          <w:fldChar w:fldCharType="end"/>
        </w:r>
      </w:hyperlink>
    </w:p>
    <w:p>
      <w:pPr>
        <w:pStyle w:val="TOC2"/>
      </w:pPr>
      <w:hyperlink w:anchor="_Toc300000372" w:history="1">
        <w:r>
          <w:rPr>
            <w:noProof/>
          </w:rPr>
          <w:t xml:space="preserve">Article 12.F.4: Enhancing Regulatory Compatibility</w:t>
        </w:r>
        <w:r>
          <w:rPr>
            <w:noProof/>
            <w:webHidden/>
          </w:rPr>
          <w:tab/>
        </w:r>
        <w:r>
          <w:rPr>
            <w:noProof/>
            <w:webHidden/>
          </w:rPr>
          <w:fldChar w:fldCharType="begin"/>
        </w:r>
        <w:r>
          <w:rPr>
            <w:noProof/>
            <w:webHidden/>
          </w:rPr>
          <w:instrText xml:space="preserve"> PAGEREF _Toc300000372 \h </w:instrText>
        </w:r>
        <w:r>
          <w:rPr>
            <w:noProof/>
            <w:webHidden/>
          </w:rPr>
          <w:fldChar w:fldCharType="separate"/>
        </w:r>
        <w:r>
          <w:rPr>
            <w:noProof/>
            <w:webHidden/>
          </w:rPr>
          <w:t>940</w:t>
        </w:r>
        <w:r>
          <w:rPr>
            <w:noProof/>
            <w:webHidden/>
          </w:rPr>
          <w:fldChar w:fldCharType="end"/>
        </w:r>
      </w:hyperlink>
    </w:p>
    <w:p>
      <w:pPr>
        <w:pStyle w:val="TOC2"/>
      </w:pPr>
      <w:hyperlink w:anchor="_Toc300000373" w:history="1">
        <w:r>
          <w:rPr>
            <w:noProof/>
          </w:rPr>
          <w:t xml:space="preserve">Article 12.F.5: Application of Regulatory Controls</w:t>
        </w:r>
        <w:r>
          <w:rPr>
            <w:noProof/>
            <w:webHidden/>
          </w:rPr>
          <w:tab/>
        </w:r>
        <w:r>
          <w:rPr>
            <w:noProof/>
            <w:webHidden/>
          </w:rPr>
          <w:fldChar w:fldCharType="begin"/>
        </w:r>
        <w:r>
          <w:rPr>
            <w:noProof/>
            <w:webHidden/>
          </w:rPr>
          <w:instrText xml:space="preserve"> PAGEREF _Toc300000373 \h </w:instrText>
        </w:r>
        <w:r>
          <w:rPr>
            <w:noProof/>
            <w:webHidden/>
          </w:rPr>
          <w:fldChar w:fldCharType="separate"/>
        </w:r>
        <w:r>
          <w:rPr>
            <w:noProof/>
            <w:webHidden/>
          </w:rPr>
          <w:t>940</w:t>
        </w:r>
        <w:r>
          <w:rPr>
            <w:noProof/>
            <w:webHidden/>
          </w:rPr>
          <w:fldChar w:fldCharType="end"/>
        </w:r>
      </w:hyperlink>
    </w:p>
    <w:p>
      <w:pPr>
        <w:pStyle w:val="TOC2"/>
      </w:pPr>
      <w:hyperlink w:anchor="_Toc300000374" w:history="1">
        <w:r>
          <w:rPr>
            <w:noProof/>
          </w:rPr>
          <w:t xml:space="preserve">Article 12.F.6: Marketing Authorizations</w:t>
        </w:r>
        <w:r>
          <w:rPr>
            <w:noProof/>
            <w:webHidden/>
          </w:rPr>
          <w:tab/>
        </w:r>
        <w:r>
          <w:rPr>
            <w:noProof/>
            <w:webHidden/>
          </w:rPr>
          <w:fldChar w:fldCharType="begin"/>
        </w:r>
        <w:r>
          <w:rPr>
            <w:noProof/>
            <w:webHidden/>
          </w:rPr>
          <w:instrText xml:space="preserve"> PAGEREF _Toc300000374 \h </w:instrText>
        </w:r>
        <w:r>
          <w:rPr>
            <w:noProof/>
            <w:webHidden/>
          </w:rPr>
          <w:fldChar w:fldCharType="separate"/>
        </w:r>
        <w:r>
          <w:rPr>
            <w:noProof/>
            <w:webHidden/>
          </w:rPr>
          <w:t>941</w:t>
        </w:r>
        <w:r>
          <w:rPr>
            <w:noProof/>
            <w:webHidden/>
          </w:rPr>
          <w:fldChar w:fldCharType="end"/>
        </w:r>
      </w:hyperlink>
    </w:p>
    <w:p>
      <w:pPr>
        <w:pStyle w:val="TOC2"/>
      </w:pPr>
      <w:hyperlink w:anchor="_Toc300000375" w:history="1">
        <w:r>
          <w:rPr>
            <w:noProof/>
          </w:rPr>
          <w:t xml:space="preserve">CHAPTER 12: CUSMA 2.0 AVIATION CERTIFICATION MODERNIZATION</w:t>
        </w:r>
        <w:r>
          <w:rPr>
            <w:noProof/>
            <w:webHidden/>
          </w:rPr>
          <w:tab/>
        </w:r>
        <w:r>
          <w:rPr>
            <w:noProof/>
            <w:webHidden/>
          </w:rPr>
          <w:fldChar w:fldCharType="begin"/>
        </w:r>
        <w:r>
          <w:rPr>
            <w:noProof/>
            <w:webHidden/>
          </w:rPr>
          <w:instrText xml:space="preserve"> PAGEREF _Toc300000375 \h </w:instrText>
        </w:r>
        <w:r>
          <w:rPr>
            <w:noProof/>
            <w:webHidden/>
          </w:rPr>
          <w:fldChar w:fldCharType="separate"/>
        </w:r>
        <w:r>
          <w:rPr>
            <w:noProof/>
            <w:webHidden/>
          </w:rPr>
          <w:t>943</w:t>
        </w:r>
        <w:r>
          <w:rPr>
            <w:noProof/>
            <w:webHidden/>
          </w:rPr>
          <w:fldChar w:fldCharType="end"/>
        </w:r>
      </w:hyperlink>
    </w:p>
    <w:p>
      <w:pPr>
        <w:pStyle w:val="TOC2"/>
      </w:pPr>
      <w:hyperlink w:anchor="_Toc300000376" w:history="1">
        <w:r>
          <w:rPr>
            <w:noProof/>
          </w:rPr>
          <w:t xml:space="preserve">ANNEX 12-G: NORTH AMERICAN AVIATION CERTIFICATION FAST LANE</w:t>
        </w:r>
        <w:r>
          <w:rPr>
            <w:noProof/>
            <w:webHidden/>
          </w:rPr>
          <w:tab/>
        </w:r>
        <w:r>
          <w:rPr>
            <w:noProof/>
            <w:webHidden/>
          </w:rPr>
          <w:fldChar w:fldCharType="begin"/>
        </w:r>
        <w:r>
          <w:rPr>
            <w:noProof/>
            <w:webHidden/>
          </w:rPr>
          <w:instrText xml:space="preserve"> PAGEREF _Toc300000376 \h </w:instrText>
        </w:r>
        <w:r>
          <w:rPr>
            <w:noProof/>
            <w:webHidden/>
          </w:rPr>
          <w:fldChar w:fldCharType="separate"/>
        </w:r>
        <w:r>
          <w:rPr>
            <w:noProof/>
            <w:webHidden/>
          </w:rPr>
          <w:t>943</w:t>
        </w:r>
        <w:r>
          <w:rPr>
            <w:noProof/>
            <w:webHidden/>
          </w:rPr>
          <w:fldChar w:fldCharType="end"/>
        </w:r>
      </w:hyperlink>
    </w:p>
    <w:p>
      <w:pPr>
        <w:pStyle w:val="TOC2"/>
      </w:pPr>
      <w:hyperlink w:anchor="_Toc300000377" w:history="1">
        <w:r>
          <w:rPr>
            <w:noProof/>
          </w:rPr>
          <w:t xml:space="preserve">Article 12.G.1: Purpose and Scope</w:t>
        </w:r>
        <w:r>
          <w:rPr>
            <w:noProof/>
            <w:webHidden/>
          </w:rPr>
          <w:tab/>
        </w:r>
        <w:r>
          <w:rPr>
            <w:noProof/>
            <w:webHidden/>
          </w:rPr>
          <w:fldChar w:fldCharType="begin"/>
        </w:r>
        <w:r>
          <w:rPr>
            <w:noProof/>
            <w:webHidden/>
          </w:rPr>
          <w:instrText xml:space="preserve"> PAGEREF _Toc300000377 \h </w:instrText>
        </w:r>
        <w:r>
          <w:rPr>
            <w:noProof/>
            <w:webHidden/>
          </w:rPr>
          <w:fldChar w:fldCharType="separate"/>
        </w:r>
        <w:r>
          <w:rPr>
            <w:noProof/>
            <w:webHidden/>
          </w:rPr>
          <w:t>943</w:t>
        </w:r>
        <w:r>
          <w:rPr>
            <w:noProof/>
            <w:webHidden/>
          </w:rPr>
          <w:fldChar w:fldCharType="end"/>
        </w:r>
      </w:hyperlink>
    </w:p>
    <w:p>
      <w:pPr>
        <w:pStyle w:val="TOC2"/>
      </w:pPr>
      <w:hyperlink w:anchor="_Toc300000378" w:history="1">
        <w:r>
          <w:rPr>
            <w:noProof/>
          </w:rPr>
          <w:t xml:space="preserve">Article 12.G.2: Sovereign Safety Authority and Safety Firewall</w:t>
        </w:r>
        <w:r>
          <w:rPr>
            <w:noProof/>
            <w:webHidden/>
          </w:rPr>
          <w:tab/>
        </w:r>
        <w:r>
          <w:rPr>
            <w:noProof/>
            <w:webHidden/>
          </w:rPr>
          <w:fldChar w:fldCharType="begin"/>
        </w:r>
        <w:r>
          <w:rPr>
            <w:noProof/>
            <w:webHidden/>
          </w:rPr>
          <w:instrText xml:space="preserve"> PAGEREF _Toc300000378 \h </w:instrText>
        </w:r>
        <w:r>
          <w:rPr>
            <w:noProof/>
            <w:webHidden/>
          </w:rPr>
          <w:fldChar w:fldCharType="separate"/>
        </w:r>
        <w:r>
          <w:rPr>
            <w:noProof/>
            <w:webHidden/>
          </w:rPr>
          <w:t>943</w:t>
        </w:r>
        <w:r>
          <w:rPr>
            <w:noProof/>
            <w:webHidden/>
          </w:rPr>
          <w:fldChar w:fldCharType="end"/>
        </w:r>
      </w:hyperlink>
    </w:p>
    <w:p>
      <w:pPr>
        <w:pStyle w:val="TOC2"/>
      </w:pPr>
      <w:hyperlink w:anchor="_Toc300000379" w:history="1">
        <w:r>
          <w:rPr>
            <w:noProof/>
          </w:rPr>
          <w:t xml:space="preserve">Article 12.G.3: Concurrent and Coordinated Review</w:t>
        </w:r>
        <w:r>
          <w:rPr>
            <w:noProof/>
            <w:webHidden/>
          </w:rPr>
          <w:tab/>
        </w:r>
        <w:r>
          <w:rPr>
            <w:noProof/>
            <w:webHidden/>
          </w:rPr>
          <w:fldChar w:fldCharType="begin"/>
        </w:r>
        <w:r>
          <w:rPr>
            <w:noProof/>
            <w:webHidden/>
          </w:rPr>
          <w:instrText xml:space="preserve"> PAGEREF _Toc300000379 \h </w:instrText>
        </w:r>
        <w:r>
          <w:rPr>
            <w:noProof/>
            <w:webHidden/>
          </w:rPr>
          <w:fldChar w:fldCharType="separate"/>
        </w:r>
        <w:r>
          <w:rPr>
            <w:noProof/>
            <w:webHidden/>
          </w:rPr>
          <w:t>944</w:t>
        </w:r>
        <w:r>
          <w:rPr>
            <w:noProof/>
            <w:webHidden/>
          </w:rPr>
          <w:fldChar w:fldCharType="end"/>
        </w:r>
      </w:hyperlink>
    </w:p>
    <w:p>
      <w:pPr>
        <w:pStyle w:val="TOC2"/>
      </w:pPr>
      <w:hyperlink w:anchor="_Toc300000380" w:history="1">
        <w:r>
          <w:rPr>
            <w:noProof/>
          </w:rPr>
          <w:t xml:space="preserve">Article 12.G.4: Maximum Lawful Reliance and Avoidance of Duplicative Testing</w:t>
        </w:r>
        <w:r>
          <w:rPr>
            <w:noProof/>
            <w:webHidden/>
          </w:rPr>
          <w:tab/>
        </w:r>
        <w:r>
          <w:rPr>
            <w:noProof/>
            <w:webHidden/>
          </w:rPr>
          <w:fldChar w:fldCharType="begin"/>
        </w:r>
        <w:r>
          <w:rPr>
            <w:noProof/>
            <w:webHidden/>
          </w:rPr>
          <w:instrText xml:space="preserve"> PAGEREF _Toc300000380 \h </w:instrText>
        </w:r>
        <w:r>
          <w:rPr>
            <w:noProof/>
            <w:webHidden/>
          </w:rPr>
          <w:fldChar w:fldCharType="separate"/>
        </w:r>
        <w:r>
          <w:rPr>
            <w:noProof/>
            <w:webHidden/>
          </w:rPr>
          <w:t>944</w:t>
        </w:r>
        <w:r>
          <w:rPr>
            <w:noProof/>
            <w:webHidden/>
          </w:rPr>
          <w:fldChar w:fldCharType="end"/>
        </w:r>
      </w:hyperlink>
    </w:p>
    <w:p>
      <w:pPr>
        <w:pStyle w:val="TOC2"/>
      </w:pPr>
      <w:hyperlink w:anchor="_Toc300000381" w:history="1">
        <w:r>
          <w:rPr>
            <w:noProof/>
          </w:rPr>
          <w:t xml:space="preserve">Article 12.G.5: Published Response Clocks and Complete-Application Discipline</w:t>
        </w:r>
        <w:r>
          <w:rPr>
            <w:noProof/>
            <w:webHidden/>
          </w:rPr>
          <w:tab/>
        </w:r>
        <w:r>
          <w:rPr>
            <w:noProof/>
            <w:webHidden/>
          </w:rPr>
          <w:fldChar w:fldCharType="begin"/>
        </w:r>
        <w:r>
          <w:rPr>
            <w:noProof/>
            <w:webHidden/>
          </w:rPr>
          <w:instrText xml:space="preserve"> PAGEREF _Toc300000381 \h </w:instrText>
        </w:r>
        <w:r>
          <w:rPr>
            <w:noProof/>
            <w:webHidden/>
          </w:rPr>
          <w:fldChar w:fldCharType="separate"/>
        </w:r>
        <w:r>
          <w:rPr>
            <w:noProof/>
            <w:webHidden/>
          </w:rPr>
          <w:t>944</w:t>
        </w:r>
        <w:r>
          <w:rPr>
            <w:noProof/>
            <w:webHidden/>
          </w:rPr>
          <w:fldChar w:fldCharType="end"/>
        </w:r>
      </w:hyperlink>
    </w:p>
    <w:p>
      <w:pPr>
        <w:pStyle w:val="TOC2"/>
      </w:pPr>
      <w:hyperlink w:anchor="_Toc300000382" w:history="1">
        <w:r>
          <w:rPr>
            <w:noProof/>
          </w:rPr>
          <w:t xml:space="preserve">Article 12.G.6: Non-Discrimination and No Politically Motivated Certification Delay</w:t>
        </w:r>
        <w:r>
          <w:rPr>
            <w:noProof/>
            <w:webHidden/>
          </w:rPr>
          <w:tab/>
        </w:r>
        <w:r>
          <w:rPr>
            <w:noProof/>
            <w:webHidden/>
          </w:rPr>
          <w:fldChar w:fldCharType="begin"/>
        </w:r>
        <w:r>
          <w:rPr>
            <w:noProof/>
            <w:webHidden/>
          </w:rPr>
          <w:instrText xml:space="preserve"> PAGEREF _Toc300000382 \h </w:instrText>
        </w:r>
        <w:r>
          <w:rPr>
            <w:noProof/>
            <w:webHidden/>
          </w:rPr>
          <w:fldChar w:fldCharType="separate"/>
        </w:r>
        <w:r>
          <w:rPr>
            <w:noProof/>
            <w:webHidden/>
          </w:rPr>
          <w:t>945</w:t>
        </w:r>
        <w:r>
          <w:rPr>
            <w:noProof/>
            <w:webHidden/>
          </w:rPr>
          <w:fldChar w:fldCharType="end"/>
        </w:r>
      </w:hyperlink>
    </w:p>
    <w:p>
      <w:pPr>
        <w:pStyle w:val="TOC2"/>
      </w:pPr>
      <w:hyperlink w:anchor="_Toc300000383" w:history="1">
        <w:r>
          <w:rPr>
            <w:noProof/>
          </w:rPr>
          <w:t xml:space="preserve">Article 12.G.7: Delay Escalation, Technical Review, and Institutional Boundary</w:t>
        </w:r>
        <w:r>
          <w:rPr>
            <w:noProof/>
            <w:webHidden/>
          </w:rPr>
          <w:tab/>
        </w:r>
        <w:r>
          <w:rPr>
            <w:noProof/>
            <w:webHidden/>
          </w:rPr>
          <w:fldChar w:fldCharType="begin"/>
        </w:r>
        <w:r>
          <w:rPr>
            <w:noProof/>
            <w:webHidden/>
          </w:rPr>
          <w:instrText xml:space="preserve"> PAGEREF _Toc300000383 \h </w:instrText>
        </w:r>
        <w:r>
          <w:rPr>
            <w:noProof/>
            <w:webHidden/>
          </w:rPr>
          <w:fldChar w:fldCharType="separate"/>
        </w:r>
        <w:r>
          <w:rPr>
            <w:noProof/>
            <w:webHidden/>
          </w:rPr>
          <w:t>945</w:t>
        </w:r>
        <w:r>
          <w:rPr>
            <w:noProof/>
            <w:webHidden/>
          </w:rPr>
          <w:fldChar w:fldCharType="end"/>
        </w:r>
      </w:hyperlink>
    </w:p>
    <w:p>
      <w:pPr>
        <w:pStyle w:val="TOC2"/>
      </w:pPr>
      <w:hyperlink w:anchor="_Toc300000384" w:history="1">
        <w:r>
          <w:rPr>
            <w:noProof/>
          </w:rPr>
          <w:t xml:space="preserve">Article 12.G.8: North American Joint Certification Pathway and Continuous Improvement</w:t>
        </w:r>
        <w:r>
          <w:rPr>
            <w:noProof/>
            <w:webHidden/>
          </w:rPr>
          <w:tab/>
        </w:r>
        <w:r>
          <w:rPr>
            <w:noProof/>
            <w:webHidden/>
          </w:rPr>
          <w:fldChar w:fldCharType="begin"/>
        </w:r>
        <w:r>
          <w:rPr>
            <w:noProof/>
            <w:webHidden/>
          </w:rPr>
          <w:instrText xml:space="preserve"> PAGEREF _Toc300000384 \h </w:instrText>
        </w:r>
        <w:r>
          <w:rPr>
            <w:noProof/>
            <w:webHidden/>
          </w:rPr>
          <w:fldChar w:fldCharType="separate"/>
        </w:r>
        <w:r>
          <w:rPr>
            <w:noProof/>
            <w:webHidden/>
          </w:rPr>
          <w:t>945</w:t>
        </w:r>
        <w:r>
          <w:rPr>
            <w:noProof/>
            <w:webHidden/>
          </w:rPr>
          <w:fldChar w:fldCharType="end"/>
        </w:r>
      </w:hyperlink>
    </w:p>
    <w:p>
      <w:pPr>
        <w:pStyle w:val="TOC1"/>
      </w:pPr>
      <w:hyperlink w:anchor="_Toc300000385" w:history="1">
        <w:r>
          <w:rPr>
            <w:noProof/>
          </w:rPr>
          <w:t xml:space="preserve">CHAPTER 13 GOVERNMENT PROCUREMENT</w:t>
        </w:r>
        <w:r>
          <w:rPr>
            <w:noProof/>
            <w:webHidden/>
          </w:rPr>
          <w:tab/>
        </w:r>
        <w:r>
          <w:rPr>
            <w:noProof/>
            <w:webHidden/>
          </w:rPr>
          <w:fldChar w:fldCharType="begin"/>
        </w:r>
        <w:r>
          <w:rPr>
            <w:noProof/>
            <w:webHidden/>
          </w:rPr>
          <w:instrText xml:space="preserve"> PAGEREF _Toc300000385 \h </w:instrText>
        </w:r>
        <w:r>
          <w:rPr>
            <w:noProof/>
            <w:webHidden/>
          </w:rPr>
          <w:fldChar w:fldCharType="separate"/>
        </w:r>
        <w:r>
          <w:rPr>
            <w:noProof/>
            <w:webHidden/>
          </w:rPr>
          <w:t>947</w:t>
        </w:r>
        <w:r>
          <w:rPr>
            <w:noProof/>
            <w:webHidden/>
          </w:rPr>
          <w:fldChar w:fldCharType="end"/>
        </w:r>
      </w:hyperlink>
    </w:p>
    <w:p>
      <w:pPr>
        <w:pStyle w:val="TOC2"/>
      </w:pPr>
      <w:hyperlink w:anchor="_Toc300000386" w:history="1">
        <w:r>
          <w:rPr>
            <w:noProof/>
          </w:rPr>
          <w:t xml:space="preserve">Article 13.2: Scope</w:t>
        </w:r>
        <w:r>
          <w:rPr>
            <w:noProof/>
            <w:webHidden/>
          </w:rPr>
          <w:tab/>
        </w:r>
        <w:r>
          <w:rPr>
            <w:noProof/>
            <w:webHidden/>
          </w:rPr>
          <w:fldChar w:fldCharType="begin"/>
        </w:r>
        <w:r>
          <w:rPr>
            <w:noProof/>
            <w:webHidden/>
          </w:rPr>
          <w:instrText xml:space="preserve"> PAGEREF _Toc300000386 \h </w:instrText>
        </w:r>
        <w:r>
          <w:rPr>
            <w:noProof/>
            <w:webHidden/>
          </w:rPr>
          <w:fldChar w:fldCharType="separate"/>
        </w:r>
        <w:r>
          <w:rPr>
            <w:noProof/>
            <w:webHidden/>
          </w:rPr>
          <w:t>948</w:t>
        </w:r>
        <w:r>
          <w:rPr>
            <w:noProof/>
            <w:webHidden/>
          </w:rPr>
          <w:fldChar w:fldCharType="end"/>
        </w:r>
      </w:hyperlink>
    </w:p>
    <w:p>
      <w:pPr>
        <w:pStyle w:val="TOC2"/>
      </w:pPr>
      <w:hyperlink w:anchor="_Toc300000387" w:history="1">
        <w:r>
          <w:rPr>
            <w:noProof/>
          </w:rPr>
          <w:t xml:space="preserve">Article 13.3: Exceptions</w:t>
        </w:r>
        <w:r>
          <w:rPr>
            <w:noProof/>
            <w:webHidden/>
          </w:rPr>
          <w:tab/>
        </w:r>
        <w:r>
          <w:rPr>
            <w:noProof/>
            <w:webHidden/>
          </w:rPr>
          <w:fldChar w:fldCharType="begin"/>
        </w:r>
        <w:r>
          <w:rPr>
            <w:noProof/>
            <w:webHidden/>
          </w:rPr>
          <w:instrText xml:space="preserve"> PAGEREF _Toc300000387 \h </w:instrText>
        </w:r>
        <w:r>
          <w:rPr>
            <w:noProof/>
            <w:webHidden/>
          </w:rPr>
          <w:fldChar w:fldCharType="separate"/>
        </w:r>
        <w:r>
          <w:rPr>
            <w:noProof/>
            <w:webHidden/>
          </w:rPr>
          <w:t>949</w:t>
        </w:r>
        <w:r>
          <w:rPr>
            <w:noProof/>
            <w:webHidden/>
          </w:rPr>
          <w:fldChar w:fldCharType="end"/>
        </w:r>
      </w:hyperlink>
    </w:p>
    <w:p>
      <w:pPr>
        <w:pStyle w:val="TOC2"/>
      </w:pPr>
      <w:hyperlink w:anchor="_Toc300000388" w:history="1">
        <w:r>
          <w:rPr>
            <w:noProof/>
          </w:rPr>
          <w:t xml:space="preserve">Article 13.4: General Principles</w:t>
        </w:r>
        <w:r>
          <w:rPr>
            <w:noProof/>
            <w:webHidden/>
          </w:rPr>
          <w:tab/>
        </w:r>
        <w:r>
          <w:rPr>
            <w:noProof/>
            <w:webHidden/>
          </w:rPr>
          <w:fldChar w:fldCharType="begin"/>
        </w:r>
        <w:r>
          <w:rPr>
            <w:noProof/>
            <w:webHidden/>
          </w:rPr>
          <w:instrText xml:space="preserve"> PAGEREF _Toc300000388 \h </w:instrText>
        </w:r>
        <w:r>
          <w:rPr>
            <w:noProof/>
            <w:webHidden/>
          </w:rPr>
          <w:fldChar w:fldCharType="separate"/>
        </w:r>
        <w:r>
          <w:rPr>
            <w:noProof/>
            <w:webHidden/>
          </w:rPr>
          <w:t>949</w:t>
        </w:r>
        <w:r>
          <w:rPr>
            <w:noProof/>
            <w:webHidden/>
          </w:rPr>
          <w:fldChar w:fldCharType="end"/>
        </w:r>
      </w:hyperlink>
    </w:p>
    <w:p>
      <w:pPr>
        <w:pStyle w:val="TOC2"/>
      </w:pPr>
      <w:hyperlink w:anchor="_Toc300000389" w:history="1">
        <w:r>
          <w:rPr>
            <w:noProof/>
          </w:rPr>
          <w:t xml:space="preserve">Article 13.5: Publication of Procurement Information</w:t>
        </w:r>
        <w:r>
          <w:rPr>
            <w:noProof/>
            <w:webHidden/>
          </w:rPr>
          <w:tab/>
        </w:r>
        <w:r>
          <w:rPr>
            <w:noProof/>
            <w:webHidden/>
          </w:rPr>
          <w:fldChar w:fldCharType="begin"/>
        </w:r>
        <w:r>
          <w:rPr>
            <w:noProof/>
            <w:webHidden/>
          </w:rPr>
          <w:instrText xml:space="preserve"> PAGEREF _Toc300000389 \h </w:instrText>
        </w:r>
        <w:r>
          <w:rPr>
            <w:noProof/>
            <w:webHidden/>
          </w:rPr>
          <w:fldChar w:fldCharType="separate"/>
        </w:r>
        <w:r>
          <w:rPr>
            <w:noProof/>
            <w:webHidden/>
          </w:rPr>
          <w:t>950</w:t>
        </w:r>
        <w:r>
          <w:rPr>
            <w:noProof/>
            <w:webHidden/>
          </w:rPr>
          <w:fldChar w:fldCharType="end"/>
        </w:r>
      </w:hyperlink>
    </w:p>
    <w:p>
      <w:pPr>
        <w:pStyle w:val="TOC2"/>
      </w:pPr>
      <w:hyperlink w:anchor="_Toc300000390" w:history="1">
        <w:r>
          <w:rPr>
            <w:noProof/>
          </w:rPr>
          <w:t xml:space="preserve">Article 13.6: Notices of Intended Procurement</w:t>
        </w:r>
        <w:r>
          <w:rPr>
            <w:noProof/>
            <w:webHidden/>
          </w:rPr>
          <w:tab/>
        </w:r>
        <w:r>
          <w:rPr>
            <w:noProof/>
            <w:webHidden/>
          </w:rPr>
          <w:fldChar w:fldCharType="begin"/>
        </w:r>
        <w:r>
          <w:rPr>
            <w:noProof/>
            <w:webHidden/>
          </w:rPr>
          <w:instrText xml:space="preserve"> PAGEREF _Toc300000390 \h </w:instrText>
        </w:r>
        <w:r>
          <w:rPr>
            <w:noProof/>
            <w:webHidden/>
          </w:rPr>
          <w:fldChar w:fldCharType="separate"/>
        </w:r>
        <w:r>
          <w:rPr>
            <w:noProof/>
            <w:webHidden/>
          </w:rPr>
          <w:t>950</w:t>
        </w:r>
        <w:r>
          <w:rPr>
            <w:noProof/>
            <w:webHidden/>
          </w:rPr>
          <w:fldChar w:fldCharType="end"/>
        </w:r>
      </w:hyperlink>
    </w:p>
    <w:p>
      <w:pPr>
        <w:pStyle w:val="TOC2"/>
      </w:pPr>
      <w:hyperlink w:anchor="_Toc300000391" w:history="1">
        <w:r>
          <w:rPr>
            <w:noProof/>
          </w:rPr>
          <w:t xml:space="preserve">Article 13.7: Conditions for Participation</w:t>
        </w:r>
        <w:r>
          <w:rPr>
            <w:noProof/>
            <w:webHidden/>
          </w:rPr>
          <w:tab/>
        </w:r>
        <w:r>
          <w:rPr>
            <w:noProof/>
            <w:webHidden/>
          </w:rPr>
          <w:fldChar w:fldCharType="begin"/>
        </w:r>
        <w:r>
          <w:rPr>
            <w:noProof/>
            <w:webHidden/>
          </w:rPr>
          <w:instrText xml:space="preserve"> PAGEREF _Toc300000391 \h </w:instrText>
        </w:r>
        <w:r>
          <w:rPr>
            <w:noProof/>
            <w:webHidden/>
          </w:rPr>
          <w:fldChar w:fldCharType="separate"/>
        </w:r>
        <w:r>
          <w:rPr>
            <w:noProof/>
            <w:webHidden/>
          </w:rPr>
          <w:t>951</w:t>
        </w:r>
        <w:r>
          <w:rPr>
            <w:noProof/>
            <w:webHidden/>
          </w:rPr>
          <w:fldChar w:fldCharType="end"/>
        </w:r>
      </w:hyperlink>
    </w:p>
    <w:p>
      <w:pPr>
        <w:pStyle w:val="TOC2"/>
      </w:pPr>
      <w:hyperlink w:anchor="_Toc300000392" w:history="1">
        <w:r>
          <w:rPr>
            <w:noProof/>
          </w:rPr>
          <w:t xml:space="preserve">Article 13.8: Qualification of Suppliers</w:t>
        </w:r>
        <w:r>
          <w:rPr>
            <w:noProof/>
            <w:webHidden/>
          </w:rPr>
          <w:tab/>
        </w:r>
        <w:r>
          <w:rPr>
            <w:noProof/>
            <w:webHidden/>
          </w:rPr>
          <w:fldChar w:fldCharType="begin"/>
        </w:r>
        <w:r>
          <w:rPr>
            <w:noProof/>
            <w:webHidden/>
          </w:rPr>
          <w:instrText xml:space="preserve"> PAGEREF _Toc300000392 \h </w:instrText>
        </w:r>
        <w:r>
          <w:rPr>
            <w:noProof/>
            <w:webHidden/>
          </w:rPr>
          <w:fldChar w:fldCharType="separate"/>
        </w:r>
        <w:r>
          <w:rPr>
            <w:noProof/>
            <w:webHidden/>
          </w:rPr>
          <w:t>952</w:t>
        </w:r>
        <w:r>
          <w:rPr>
            <w:noProof/>
            <w:webHidden/>
          </w:rPr>
          <w:fldChar w:fldCharType="end"/>
        </w:r>
      </w:hyperlink>
    </w:p>
    <w:p>
      <w:pPr>
        <w:pStyle w:val="TOC2"/>
      </w:pPr>
      <w:hyperlink w:anchor="_Toc300000393" w:history="1">
        <w:r>
          <w:rPr>
            <w:noProof/>
          </w:rPr>
          <w:t xml:space="preserve">Article 13.9: Limited Tendering</w:t>
        </w:r>
        <w:r>
          <w:rPr>
            <w:noProof/>
            <w:webHidden/>
          </w:rPr>
          <w:tab/>
        </w:r>
        <w:r>
          <w:rPr>
            <w:noProof/>
            <w:webHidden/>
          </w:rPr>
          <w:fldChar w:fldCharType="begin"/>
        </w:r>
        <w:r>
          <w:rPr>
            <w:noProof/>
            <w:webHidden/>
          </w:rPr>
          <w:instrText xml:space="preserve"> PAGEREF _Toc300000393 \h </w:instrText>
        </w:r>
        <w:r>
          <w:rPr>
            <w:noProof/>
            <w:webHidden/>
          </w:rPr>
          <w:fldChar w:fldCharType="separate"/>
        </w:r>
        <w:r>
          <w:rPr>
            <w:noProof/>
            <w:webHidden/>
          </w:rPr>
          <w:t>953</w:t>
        </w:r>
        <w:r>
          <w:rPr>
            <w:noProof/>
            <w:webHidden/>
          </w:rPr>
          <w:fldChar w:fldCharType="end"/>
        </w:r>
      </w:hyperlink>
    </w:p>
    <w:p>
      <w:pPr>
        <w:pStyle w:val="TOC2"/>
      </w:pPr>
      <w:hyperlink w:anchor="_Toc300000394" w:history="1">
        <w:r>
          <w:rPr>
            <w:noProof/>
          </w:rPr>
          <w:t xml:space="preserve">Article 13.10: Negotiations</w:t>
        </w:r>
        <w:r>
          <w:rPr>
            <w:noProof/>
            <w:webHidden/>
          </w:rPr>
          <w:tab/>
        </w:r>
        <w:r>
          <w:rPr>
            <w:noProof/>
            <w:webHidden/>
          </w:rPr>
          <w:fldChar w:fldCharType="begin"/>
        </w:r>
        <w:r>
          <w:rPr>
            <w:noProof/>
            <w:webHidden/>
          </w:rPr>
          <w:instrText xml:space="preserve"> PAGEREF _Toc300000394 \h </w:instrText>
        </w:r>
        <w:r>
          <w:rPr>
            <w:noProof/>
            <w:webHidden/>
          </w:rPr>
          <w:fldChar w:fldCharType="separate"/>
        </w:r>
        <w:r>
          <w:rPr>
            <w:noProof/>
            <w:webHidden/>
          </w:rPr>
          <w:t>955</w:t>
        </w:r>
        <w:r>
          <w:rPr>
            <w:noProof/>
            <w:webHidden/>
          </w:rPr>
          <w:fldChar w:fldCharType="end"/>
        </w:r>
      </w:hyperlink>
    </w:p>
    <w:p>
      <w:pPr>
        <w:pStyle w:val="TOC2"/>
      </w:pPr>
      <w:hyperlink w:anchor="_Toc300000395" w:history="1">
        <w:r>
          <w:rPr>
            <w:noProof/>
          </w:rPr>
          <w:t xml:space="preserve">Article 13.11: Technical Specifications</w:t>
        </w:r>
        <w:r>
          <w:rPr>
            <w:noProof/>
            <w:webHidden/>
          </w:rPr>
          <w:tab/>
        </w:r>
        <w:r>
          <w:rPr>
            <w:noProof/>
            <w:webHidden/>
          </w:rPr>
          <w:fldChar w:fldCharType="begin"/>
        </w:r>
        <w:r>
          <w:rPr>
            <w:noProof/>
            <w:webHidden/>
          </w:rPr>
          <w:instrText xml:space="preserve"> PAGEREF _Toc300000395 \h </w:instrText>
        </w:r>
        <w:r>
          <w:rPr>
            <w:noProof/>
            <w:webHidden/>
          </w:rPr>
          <w:fldChar w:fldCharType="separate"/>
        </w:r>
        <w:r>
          <w:rPr>
            <w:noProof/>
            <w:webHidden/>
          </w:rPr>
          <w:t>955</w:t>
        </w:r>
        <w:r>
          <w:rPr>
            <w:noProof/>
            <w:webHidden/>
          </w:rPr>
          <w:fldChar w:fldCharType="end"/>
        </w:r>
      </w:hyperlink>
    </w:p>
    <w:p>
      <w:pPr>
        <w:pStyle w:val="TOC2"/>
      </w:pPr>
      <w:hyperlink w:anchor="_Toc300000396" w:history="1">
        <w:r>
          <w:rPr>
            <w:noProof/>
          </w:rPr>
          <w:t xml:space="preserve">Article 13.12: Tender Documentation</w:t>
        </w:r>
        <w:r>
          <w:rPr>
            <w:noProof/>
            <w:webHidden/>
          </w:rPr>
          <w:tab/>
        </w:r>
        <w:r>
          <w:rPr>
            <w:noProof/>
            <w:webHidden/>
          </w:rPr>
          <w:fldChar w:fldCharType="begin"/>
        </w:r>
        <w:r>
          <w:rPr>
            <w:noProof/>
            <w:webHidden/>
          </w:rPr>
          <w:instrText xml:space="preserve"> PAGEREF _Toc300000396 \h </w:instrText>
        </w:r>
        <w:r>
          <w:rPr>
            <w:noProof/>
            <w:webHidden/>
          </w:rPr>
          <w:fldChar w:fldCharType="separate"/>
        </w:r>
        <w:r>
          <w:rPr>
            <w:noProof/>
            <w:webHidden/>
          </w:rPr>
          <w:t>956</w:t>
        </w:r>
        <w:r>
          <w:rPr>
            <w:noProof/>
            <w:webHidden/>
          </w:rPr>
          <w:fldChar w:fldCharType="end"/>
        </w:r>
      </w:hyperlink>
    </w:p>
    <w:p>
      <w:pPr>
        <w:pStyle w:val="TOC2"/>
      </w:pPr>
      <w:hyperlink w:anchor="_Toc300000397" w:history="1">
        <w:r>
          <w:rPr>
            <w:noProof/>
          </w:rPr>
          <w:t xml:space="preserve">Article 13.13: Time Periods</w:t>
        </w:r>
        <w:r>
          <w:rPr>
            <w:noProof/>
            <w:webHidden/>
          </w:rPr>
          <w:tab/>
        </w:r>
        <w:r>
          <w:rPr>
            <w:noProof/>
            <w:webHidden/>
          </w:rPr>
          <w:fldChar w:fldCharType="begin"/>
        </w:r>
        <w:r>
          <w:rPr>
            <w:noProof/>
            <w:webHidden/>
          </w:rPr>
          <w:instrText xml:space="preserve"> PAGEREF _Toc300000397 \h </w:instrText>
        </w:r>
        <w:r>
          <w:rPr>
            <w:noProof/>
            <w:webHidden/>
          </w:rPr>
          <w:fldChar w:fldCharType="separate"/>
        </w:r>
        <w:r>
          <w:rPr>
            <w:noProof/>
            <w:webHidden/>
          </w:rPr>
          <w:t>956</w:t>
        </w:r>
        <w:r>
          <w:rPr>
            <w:noProof/>
            <w:webHidden/>
          </w:rPr>
          <w:fldChar w:fldCharType="end"/>
        </w:r>
      </w:hyperlink>
    </w:p>
    <w:p>
      <w:pPr>
        <w:pStyle w:val="TOC2"/>
      </w:pPr>
      <w:hyperlink w:anchor="_Toc300000398" w:history="1">
        <w:r>
          <w:rPr>
            <w:noProof/>
          </w:rPr>
          <w:t xml:space="preserve">Article 13.14: Treatment of Tenders and Awarding of Contracts</w:t>
        </w:r>
        <w:r>
          <w:rPr>
            <w:noProof/>
            <w:webHidden/>
          </w:rPr>
          <w:tab/>
        </w:r>
        <w:r>
          <w:rPr>
            <w:noProof/>
            <w:webHidden/>
          </w:rPr>
          <w:fldChar w:fldCharType="begin"/>
        </w:r>
        <w:r>
          <w:rPr>
            <w:noProof/>
            <w:webHidden/>
          </w:rPr>
          <w:instrText xml:space="preserve"> PAGEREF _Toc300000398 \h </w:instrText>
        </w:r>
        <w:r>
          <w:rPr>
            <w:noProof/>
            <w:webHidden/>
          </w:rPr>
          <w:fldChar w:fldCharType="separate"/>
        </w:r>
        <w:r>
          <w:rPr>
            <w:noProof/>
            <w:webHidden/>
          </w:rPr>
          <w:t>957</w:t>
        </w:r>
        <w:r>
          <w:rPr>
            <w:noProof/>
            <w:webHidden/>
          </w:rPr>
          <w:fldChar w:fldCharType="end"/>
        </w:r>
      </w:hyperlink>
    </w:p>
    <w:p>
      <w:pPr>
        <w:pStyle w:val="TOC2"/>
      </w:pPr>
      <w:hyperlink w:anchor="_Toc300000399" w:history="1">
        <w:r>
          <w:rPr>
            <w:noProof/>
          </w:rPr>
          <w:t xml:space="preserve">Article 13.15: Transparency and Post-Award Information</w:t>
        </w:r>
        <w:r>
          <w:rPr>
            <w:noProof/>
            <w:webHidden/>
          </w:rPr>
          <w:tab/>
        </w:r>
        <w:r>
          <w:rPr>
            <w:noProof/>
            <w:webHidden/>
          </w:rPr>
          <w:fldChar w:fldCharType="begin"/>
        </w:r>
        <w:r>
          <w:rPr>
            <w:noProof/>
            <w:webHidden/>
          </w:rPr>
          <w:instrText xml:space="preserve"> PAGEREF _Toc300000399 \h </w:instrText>
        </w:r>
        <w:r>
          <w:rPr>
            <w:noProof/>
            <w:webHidden/>
          </w:rPr>
          <w:fldChar w:fldCharType="separate"/>
        </w:r>
        <w:r>
          <w:rPr>
            <w:noProof/>
            <w:webHidden/>
          </w:rPr>
          <w:t>958</w:t>
        </w:r>
        <w:r>
          <w:rPr>
            <w:noProof/>
            <w:webHidden/>
          </w:rPr>
          <w:fldChar w:fldCharType="end"/>
        </w:r>
      </w:hyperlink>
    </w:p>
    <w:p>
      <w:pPr>
        <w:pStyle w:val="TOC2"/>
      </w:pPr>
      <w:hyperlink w:anchor="_Toc300000400" w:history="1">
        <w:r>
          <w:rPr>
            <w:noProof/>
          </w:rPr>
          <w:t xml:space="preserve">Article 13.16: Disclosure of Information</w:t>
        </w:r>
        <w:r>
          <w:rPr>
            <w:noProof/>
            <w:webHidden/>
          </w:rPr>
          <w:tab/>
        </w:r>
        <w:r>
          <w:rPr>
            <w:noProof/>
            <w:webHidden/>
          </w:rPr>
          <w:fldChar w:fldCharType="begin"/>
        </w:r>
        <w:r>
          <w:rPr>
            <w:noProof/>
            <w:webHidden/>
          </w:rPr>
          <w:instrText xml:space="preserve"> PAGEREF _Toc300000400 \h </w:instrText>
        </w:r>
        <w:r>
          <w:rPr>
            <w:noProof/>
            <w:webHidden/>
          </w:rPr>
          <w:fldChar w:fldCharType="separate"/>
        </w:r>
        <w:r>
          <w:rPr>
            <w:noProof/>
            <w:webHidden/>
          </w:rPr>
          <w:t>959</w:t>
        </w:r>
        <w:r>
          <w:rPr>
            <w:noProof/>
            <w:webHidden/>
          </w:rPr>
          <w:fldChar w:fldCharType="end"/>
        </w:r>
      </w:hyperlink>
    </w:p>
    <w:p>
      <w:pPr>
        <w:pStyle w:val="TOC2"/>
      </w:pPr>
      <w:hyperlink w:anchor="_Toc300000401" w:history="1">
        <w:r>
          <w:rPr>
            <w:noProof/>
          </w:rPr>
          <w:t xml:space="preserve">Article 13.17: Ensuring Integrity in Procurement Practices</w:t>
        </w:r>
        <w:r>
          <w:rPr>
            <w:noProof/>
            <w:webHidden/>
          </w:rPr>
          <w:tab/>
        </w:r>
        <w:r>
          <w:rPr>
            <w:noProof/>
            <w:webHidden/>
          </w:rPr>
          <w:fldChar w:fldCharType="begin"/>
        </w:r>
        <w:r>
          <w:rPr>
            <w:noProof/>
            <w:webHidden/>
          </w:rPr>
          <w:instrText xml:space="preserve"> PAGEREF _Toc300000401 \h </w:instrText>
        </w:r>
        <w:r>
          <w:rPr>
            <w:noProof/>
            <w:webHidden/>
          </w:rPr>
          <w:fldChar w:fldCharType="separate"/>
        </w:r>
        <w:r>
          <w:rPr>
            <w:noProof/>
            <w:webHidden/>
          </w:rPr>
          <w:t>959</w:t>
        </w:r>
        <w:r>
          <w:rPr>
            <w:noProof/>
            <w:webHidden/>
          </w:rPr>
          <w:fldChar w:fldCharType="end"/>
        </w:r>
      </w:hyperlink>
    </w:p>
    <w:p>
      <w:pPr>
        <w:pStyle w:val="TOC2"/>
      </w:pPr>
      <w:hyperlink w:anchor="_Toc300000402" w:history="1">
        <w:r>
          <w:rPr>
            <w:noProof/>
          </w:rPr>
          <w:t xml:space="preserve">Article 13.18: Domestic Review</w:t>
        </w:r>
        <w:r>
          <w:rPr>
            <w:noProof/>
            <w:webHidden/>
          </w:rPr>
          <w:tab/>
        </w:r>
        <w:r>
          <w:rPr>
            <w:noProof/>
            <w:webHidden/>
          </w:rPr>
          <w:fldChar w:fldCharType="begin"/>
        </w:r>
        <w:r>
          <w:rPr>
            <w:noProof/>
            <w:webHidden/>
          </w:rPr>
          <w:instrText xml:space="preserve"> PAGEREF _Toc300000402 \h </w:instrText>
        </w:r>
        <w:r>
          <w:rPr>
            <w:noProof/>
            <w:webHidden/>
          </w:rPr>
          <w:fldChar w:fldCharType="separate"/>
        </w:r>
        <w:r>
          <w:rPr>
            <w:noProof/>
            <w:webHidden/>
          </w:rPr>
          <w:t>960</w:t>
        </w:r>
        <w:r>
          <w:rPr>
            <w:noProof/>
            <w:webHidden/>
          </w:rPr>
          <w:fldChar w:fldCharType="end"/>
        </w:r>
      </w:hyperlink>
    </w:p>
    <w:p>
      <w:pPr>
        <w:pStyle w:val="TOC2"/>
      </w:pPr>
      <w:hyperlink w:anchor="_Toc300000403" w:history="1">
        <w:r>
          <w:rPr>
            <w:noProof/>
          </w:rPr>
          <w:t xml:space="preserve">Article 13.19: Modifications and Rectifications of Annex</w:t>
        </w:r>
        <w:r>
          <w:rPr>
            <w:noProof/>
            <w:webHidden/>
          </w:rPr>
          <w:tab/>
        </w:r>
        <w:r>
          <w:rPr>
            <w:noProof/>
            <w:webHidden/>
          </w:rPr>
          <w:fldChar w:fldCharType="begin"/>
        </w:r>
        <w:r>
          <w:rPr>
            <w:noProof/>
            <w:webHidden/>
          </w:rPr>
          <w:instrText xml:space="preserve"> PAGEREF _Toc300000403 \h </w:instrText>
        </w:r>
        <w:r>
          <w:rPr>
            <w:noProof/>
            <w:webHidden/>
          </w:rPr>
          <w:fldChar w:fldCharType="separate"/>
        </w:r>
        <w:r>
          <w:rPr>
            <w:noProof/>
            <w:webHidden/>
          </w:rPr>
          <w:t>961</w:t>
        </w:r>
        <w:r>
          <w:rPr>
            <w:noProof/>
            <w:webHidden/>
          </w:rPr>
          <w:fldChar w:fldCharType="end"/>
        </w:r>
      </w:hyperlink>
    </w:p>
    <w:p>
      <w:pPr>
        <w:pStyle w:val="TOC2"/>
      </w:pPr>
      <w:hyperlink w:anchor="_Toc300000404" w:history="1">
        <w:r>
          <w:rPr>
            <w:noProof/>
          </w:rPr>
          <w:t xml:space="preserve">Article 13.20: Facilitation of Participation by SMEs</w:t>
        </w:r>
        <w:r>
          <w:rPr>
            <w:noProof/>
            <w:webHidden/>
          </w:rPr>
          <w:tab/>
        </w:r>
        <w:r>
          <w:rPr>
            <w:noProof/>
            <w:webHidden/>
          </w:rPr>
          <w:fldChar w:fldCharType="begin"/>
        </w:r>
        <w:r>
          <w:rPr>
            <w:noProof/>
            <w:webHidden/>
          </w:rPr>
          <w:instrText xml:space="preserve"> PAGEREF _Toc300000404 \h </w:instrText>
        </w:r>
        <w:r>
          <w:rPr>
            <w:noProof/>
            <w:webHidden/>
          </w:rPr>
          <w:fldChar w:fldCharType="separate"/>
        </w:r>
        <w:r>
          <w:rPr>
            <w:noProof/>
            <w:webHidden/>
          </w:rPr>
          <w:t>962</w:t>
        </w:r>
        <w:r>
          <w:rPr>
            <w:noProof/>
            <w:webHidden/>
          </w:rPr>
          <w:fldChar w:fldCharType="end"/>
        </w:r>
      </w:hyperlink>
    </w:p>
    <w:p>
      <w:pPr>
        <w:pStyle w:val="TOC2"/>
      </w:pPr>
      <w:hyperlink w:anchor="_Toc300000405" w:history="1">
        <w:r>
          <w:rPr>
            <w:noProof/>
          </w:rPr>
          <w:t xml:space="preserve">Article 13.21: Committee on Government Procurement</w:t>
        </w:r>
        <w:r>
          <w:rPr>
            <w:noProof/>
            <w:webHidden/>
          </w:rPr>
          <w:tab/>
        </w:r>
        <w:r>
          <w:rPr>
            <w:noProof/>
            <w:webHidden/>
          </w:rPr>
          <w:fldChar w:fldCharType="begin"/>
        </w:r>
        <w:r>
          <w:rPr>
            <w:noProof/>
            <w:webHidden/>
          </w:rPr>
          <w:instrText xml:space="preserve"> PAGEREF _Toc300000405 \h </w:instrText>
        </w:r>
        <w:r>
          <w:rPr>
            <w:noProof/>
            <w:webHidden/>
          </w:rPr>
          <w:fldChar w:fldCharType="separate"/>
        </w:r>
        <w:r>
          <w:rPr>
            <w:noProof/>
            <w:webHidden/>
          </w:rPr>
          <w:t>962</w:t>
        </w:r>
        <w:r>
          <w:rPr>
            <w:noProof/>
            <w:webHidden/>
          </w:rPr>
          <w:fldChar w:fldCharType="end"/>
        </w:r>
      </w:hyperlink>
    </w:p>
    <w:p>
      <w:pPr>
        <w:pStyle w:val="TOC2"/>
      </w:pPr>
      <w:hyperlink w:anchor="_Toc300000406" w:history="1">
        <w:r>
          <w:rPr>
            <w:noProof/>
          </w:rPr>
          <w:t xml:space="preserve">ANNEX 13-A SCHEDULE OF MEXICO</w:t>
        </w:r>
        <w:r>
          <w:rPr>
            <w:noProof/>
            <w:webHidden/>
          </w:rPr>
          <w:tab/>
        </w:r>
        <w:r>
          <w:rPr>
            <w:noProof/>
            <w:webHidden/>
          </w:rPr>
          <w:fldChar w:fldCharType="begin"/>
        </w:r>
        <w:r>
          <w:rPr>
            <w:noProof/>
            <w:webHidden/>
          </w:rPr>
          <w:instrText xml:space="preserve"> PAGEREF _Toc300000406 \h </w:instrText>
        </w:r>
        <w:r>
          <w:rPr>
            <w:noProof/>
            <w:webHidden/>
          </w:rPr>
          <w:fldChar w:fldCharType="separate"/>
        </w:r>
        <w:r>
          <w:rPr>
            <w:noProof/>
            <w:webHidden/>
          </w:rPr>
          <w:t>962</w:t>
        </w:r>
        <w:r>
          <w:rPr>
            <w:noProof/>
            <w:webHidden/>
          </w:rPr>
          <w:fldChar w:fldCharType="end"/>
        </w:r>
      </w:hyperlink>
    </w:p>
    <w:p>
      <w:pPr>
        <w:pStyle w:val="TOC2"/>
      </w:pPr>
      <w:hyperlink w:anchor="_Toc300000407" w:history="1">
        <w:r>
          <w:rPr>
            <w:noProof/>
          </w:rPr>
          <w:t xml:space="preserve">Appendix 13-D-1: Common Classification System Services</w:t>
        </w:r>
        <w:r>
          <w:rPr>
            <w:noProof/>
            <w:webHidden/>
          </w:rPr>
          <w:tab/>
        </w:r>
        <w:r>
          <w:rPr>
            <w:noProof/>
            <w:webHidden/>
          </w:rPr>
          <w:fldChar w:fldCharType="begin"/>
        </w:r>
        <w:r>
          <w:rPr>
            <w:noProof/>
            <w:webHidden/>
          </w:rPr>
          <w:instrText xml:space="preserve"> PAGEREF _Toc300000407 \h </w:instrText>
        </w:r>
        <w:r>
          <w:rPr>
            <w:noProof/>
            <w:webHidden/>
          </w:rPr>
          <w:fldChar w:fldCharType="separate"/>
        </w:r>
        <w:r>
          <w:rPr>
            <w:noProof/>
            <w:webHidden/>
          </w:rPr>
          <w:t>976</w:t>
        </w:r>
        <w:r>
          <w:rPr>
            <w:noProof/>
            <w:webHidden/>
          </w:rPr>
          <w:fldChar w:fldCharType="end"/>
        </w:r>
      </w:hyperlink>
    </w:p>
    <w:p>
      <w:pPr>
        <w:pStyle w:val="TOC1"/>
      </w:pPr>
      <w:hyperlink w:anchor="_Toc300000408" w:history="1">
        <w:r>
          <w:rPr>
            <w:noProof/>
          </w:rPr>
          <w:t xml:space="preserve">CHAPTER 14 INVESTMENT</w:t>
        </w:r>
        <w:r>
          <w:rPr>
            <w:noProof/>
            <w:webHidden/>
          </w:rPr>
          <w:tab/>
        </w:r>
        <w:r>
          <w:rPr>
            <w:noProof/>
            <w:webHidden/>
          </w:rPr>
          <w:fldChar w:fldCharType="begin"/>
        </w:r>
        <w:r>
          <w:rPr>
            <w:noProof/>
            <w:webHidden/>
          </w:rPr>
          <w:instrText xml:space="preserve"> PAGEREF _Toc300000408 \h </w:instrText>
        </w:r>
        <w:r>
          <w:rPr>
            <w:noProof/>
            <w:webHidden/>
          </w:rPr>
          <w:fldChar w:fldCharType="separate"/>
        </w:r>
        <w:r>
          <w:rPr>
            <w:noProof/>
            <w:webHidden/>
          </w:rPr>
          <w:t>981</w:t>
        </w:r>
        <w:r>
          <w:rPr>
            <w:noProof/>
            <w:webHidden/>
          </w:rPr>
          <w:fldChar w:fldCharType="end"/>
        </w:r>
      </w:hyperlink>
    </w:p>
    <w:p>
      <w:pPr>
        <w:pStyle w:val="TOC2"/>
      </w:pPr>
      <w:hyperlink w:anchor="_Toc300000409" w:history="1">
        <w:r>
          <w:rPr>
            <w:noProof/>
          </w:rPr>
          <w:t xml:space="preserve">Article 14.1: Definitions</w:t>
        </w:r>
        <w:r>
          <w:rPr>
            <w:noProof/>
            <w:webHidden/>
          </w:rPr>
          <w:tab/>
        </w:r>
        <w:r>
          <w:rPr>
            <w:noProof/>
            <w:webHidden/>
          </w:rPr>
          <w:fldChar w:fldCharType="begin"/>
        </w:r>
        <w:r>
          <w:rPr>
            <w:noProof/>
            <w:webHidden/>
          </w:rPr>
          <w:instrText xml:space="preserve"> PAGEREF _Toc300000409 \h </w:instrText>
        </w:r>
        <w:r>
          <w:rPr>
            <w:noProof/>
            <w:webHidden/>
          </w:rPr>
          <w:fldChar w:fldCharType="separate"/>
        </w:r>
        <w:r>
          <w:rPr>
            <w:noProof/>
            <w:webHidden/>
          </w:rPr>
          <w:t>981</w:t>
        </w:r>
        <w:r>
          <w:rPr>
            <w:noProof/>
            <w:webHidden/>
          </w:rPr>
          <w:fldChar w:fldCharType="end"/>
        </w:r>
      </w:hyperlink>
    </w:p>
    <w:p>
      <w:pPr>
        <w:pStyle w:val="TOC2"/>
      </w:pPr>
      <w:hyperlink w:anchor="_Toc300000410" w:history="1">
        <w:r>
          <w:rPr>
            <w:noProof/>
          </w:rPr>
          <w:t xml:space="preserve">Article 14.2: Scope</w:t>
        </w:r>
        <w:r>
          <w:rPr>
            <w:noProof/>
            <w:webHidden/>
          </w:rPr>
          <w:tab/>
        </w:r>
        <w:r>
          <w:rPr>
            <w:noProof/>
            <w:webHidden/>
          </w:rPr>
          <w:fldChar w:fldCharType="begin"/>
        </w:r>
        <w:r>
          <w:rPr>
            <w:noProof/>
            <w:webHidden/>
          </w:rPr>
          <w:instrText xml:space="preserve"> PAGEREF _Toc300000410 \h </w:instrText>
        </w:r>
        <w:r>
          <w:rPr>
            <w:noProof/>
            <w:webHidden/>
          </w:rPr>
          <w:fldChar w:fldCharType="separate"/>
        </w:r>
        <w:r>
          <w:rPr>
            <w:noProof/>
            <w:webHidden/>
          </w:rPr>
          <w:t>982</w:t>
        </w:r>
        <w:r>
          <w:rPr>
            <w:noProof/>
            <w:webHidden/>
          </w:rPr>
          <w:fldChar w:fldCharType="end"/>
        </w:r>
      </w:hyperlink>
    </w:p>
    <w:p>
      <w:pPr>
        <w:pStyle w:val="TOC2"/>
      </w:pPr>
      <w:hyperlink w:anchor="_Toc300000411" w:history="1">
        <w:r>
          <w:rPr>
            <w:noProof/>
          </w:rPr>
          <w:t xml:space="preserve">Article 14.3: Relation to Other Chapters</w:t>
        </w:r>
        <w:r>
          <w:rPr>
            <w:noProof/>
            <w:webHidden/>
          </w:rPr>
          <w:tab/>
        </w:r>
        <w:r>
          <w:rPr>
            <w:noProof/>
            <w:webHidden/>
          </w:rPr>
          <w:fldChar w:fldCharType="begin"/>
        </w:r>
        <w:r>
          <w:rPr>
            <w:noProof/>
            <w:webHidden/>
          </w:rPr>
          <w:instrText xml:space="preserve"> PAGEREF _Toc300000411 \h </w:instrText>
        </w:r>
        <w:r>
          <w:rPr>
            <w:noProof/>
            <w:webHidden/>
          </w:rPr>
          <w:fldChar w:fldCharType="separate"/>
        </w:r>
        <w:r>
          <w:rPr>
            <w:noProof/>
            <w:webHidden/>
          </w:rPr>
          <w:t>982</w:t>
        </w:r>
        <w:r>
          <w:rPr>
            <w:noProof/>
            <w:webHidden/>
          </w:rPr>
          <w:fldChar w:fldCharType="end"/>
        </w:r>
      </w:hyperlink>
    </w:p>
    <w:p>
      <w:pPr>
        <w:pStyle w:val="TOC2"/>
      </w:pPr>
      <w:hyperlink w:anchor="_Toc300000412" w:history="1">
        <w:r>
          <w:rPr>
            <w:noProof/>
          </w:rPr>
          <w:t xml:space="preserve">Article 14.4: National Treatment</w:t>
        </w:r>
        <w:r>
          <w:rPr>
            <w:noProof/>
            <w:webHidden/>
          </w:rPr>
          <w:tab/>
        </w:r>
        <w:r>
          <w:rPr>
            <w:noProof/>
            <w:webHidden/>
          </w:rPr>
          <w:fldChar w:fldCharType="begin"/>
        </w:r>
        <w:r>
          <w:rPr>
            <w:noProof/>
            <w:webHidden/>
          </w:rPr>
          <w:instrText xml:space="preserve"> PAGEREF _Toc300000412 \h </w:instrText>
        </w:r>
        <w:r>
          <w:rPr>
            <w:noProof/>
            <w:webHidden/>
          </w:rPr>
          <w:fldChar w:fldCharType="separate"/>
        </w:r>
        <w:r>
          <w:rPr>
            <w:noProof/>
            <w:webHidden/>
          </w:rPr>
          <w:t>983</w:t>
        </w:r>
        <w:r>
          <w:rPr>
            <w:noProof/>
            <w:webHidden/>
          </w:rPr>
          <w:fldChar w:fldCharType="end"/>
        </w:r>
      </w:hyperlink>
    </w:p>
    <w:p>
      <w:pPr>
        <w:pStyle w:val="TOC2"/>
      </w:pPr>
      <w:hyperlink w:anchor="_Toc300000413" w:history="1">
        <w:r>
          <w:rPr>
            <w:noProof/>
          </w:rPr>
          <w:t xml:space="preserve">Article 14.5: Most-Favored-Nation Treatment</w:t>
        </w:r>
        <w:r>
          <w:rPr>
            <w:noProof/>
            <w:webHidden/>
          </w:rPr>
          <w:tab/>
        </w:r>
        <w:r>
          <w:rPr>
            <w:noProof/>
            <w:webHidden/>
          </w:rPr>
          <w:fldChar w:fldCharType="begin"/>
        </w:r>
        <w:r>
          <w:rPr>
            <w:noProof/>
            <w:webHidden/>
          </w:rPr>
          <w:instrText xml:space="preserve"> PAGEREF _Toc300000413 \h </w:instrText>
        </w:r>
        <w:r>
          <w:rPr>
            <w:noProof/>
            <w:webHidden/>
          </w:rPr>
          <w:fldChar w:fldCharType="separate"/>
        </w:r>
        <w:r>
          <w:rPr>
            <w:noProof/>
            <w:webHidden/>
          </w:rPr>
          <w:t>983</w:t>
        </w:r>
        <w:r>
          <w:rPr>
            <w:noProof/>
            <w:webHidden/>
          </w:rPr>
          <w:fldChar w:fldCharType="end"/>
        </w:r>
      </w:hyperlink>
    </w:p>
    <w:p>
      <w:pPr>
        <w:pStyle w:val="TOC2"/>
      </w:pPr>
      <w:hyperlink w:anchor="_Toc300000414" w:history="1">
        <w:r>
          <w:rPr>
            <w:noProof/>
          </w:rPr>
          <w:t xml:space="preserve">Article 14.6: Minimum Standard of Treatment</w:t>
        </w:r>
        <w:r>
          <w:rPr>
            <w:noProof/>
            <w:webHidden/>
          </w:rPr>
          <w:tab/>
        </w:r>
        <w:r>
          <w:rPr>
            <w:noProof/>
            <w:webHidden/>
          </w:rPr>
          <w:fldChar w:fldCharType="begin"/>
        </w:r>
        <w:r>
          <w:rPr>
            <w:noProof/>
            <w:webHidden/>
          </w:rPr>
          <w:instrText xml:space="preserve"> PAGEREF _Toc300000414 \h </w:instrText>
        </w:r>
        <w:r>
          <w:rPr>
            <w:noProof/>
            <w:webHidden/>
          </w:rPr>
          <w:fldChar w:fldCharType="separate"/>
        </w:r>
        <w:r>
          <w:rPr>
            <w:noProof/>
            <w:webHidden/>
          </w:rPr>
          <w:t>984</w:t>
        </w:r>
        <w:r>
          <w:rPr>
            <w:noProof/>
            <w:webHidden/>
          </w:rPr>
          <w:fldChar w:fldCharType="end"/>
        </w:r>
      </w:hyperlink>
    </w:p>
    <w:p>
      <w:pPr>
        <w:pStyle w:val="TOC2"/>
      </w:pPr>
      <w:hyperlink w:anchor="_Toc300000415" w:history="1">
        <w:r>
          <w:rPr>
            <w:noProof/>
          </w:rPr>
          <w:t xml:space="preserve">Article 14.7: Treatment in Case of Armed Conflict or Civil Strife</w:t>
        </w:r>
        <w:r>
          <w:rPr>
            <w:noProof/>
            <w:webHidden/>
          </w:rPr>
          <w:tab/>
        </w:r>
        <w:r>
          <w:rPr>
            <w:noProof/>
            <w:webHidden/>
          </w:rPr>
          <w:fldChar w:fldCharType="begin"/>
        </w:r>
        <w:r>
          <w:rPr>
            <w:noProof/>
            <w:webHidden/>
          </w:rPr>
          <w:instrText xml:space="preserve"> PAGEREF _Toc300000415 \h </w:instrText>
        </w:r>
        <w:r>
          <w:rPr>
            <w:noProof/>
            <w:webHidden/>
          </w:rPr>
          <w:fldChar w:fldCharType="separate"/>
        </w:r>
        <w:r>
          <w:rPr>
            <w:noProof/>
            <w:webHidden/>
          </w:rPr>
          <w:t>984</w:t>
        </w:r>
        <w:r>
          <w:rPr>
            <w:noProof/>
            <w:webHidden/>
          </w:rPr>
          <w:fldChar w:fldCharType="end"/>
        </w:r>
      </w:hyperlink>
    </w:p>
    <w:p>
      <w:pPr>
        <w:pStyle w:val="TOC2"/>
      </w:pPr>
      <w:hyperlink w:anchor="_Toc300000416" w:history="1">
        <w:r>
          <w:rPr>
            <w:noProof/>
          </w:rPr>
          <w:t xml:space="preserve">Article 14.8: Expropriation and Compensation</w:t>
        </w:r>
        <w:r>
          <w:rPr>
            <w:noProof/>
            <w:webHidden/>
          </w:rPr>
          <w:tab/>
        </w:r>
        <w:r>
          <w:rPr>
            <w:noProof/>
            <w:webHidden/>
          </w:rPr>
          <w:fldChar w:fldCharType="begin"/>
        </w:r>
        <w:r>
          <w:rPr>
            <w:noProof/>
            <w:webHidden/>
          </w:rPr>
          <w:instrText xml:space="preserve"> PAGEREF _Toc300000416 \h </w:instrText>
        </w:r>
        <w:r>
          <w:rPr>
            <w:noProof/>
            <w:webHidden/>
          </w:rPr>
          <w:fldChar w:fldCharType="separate"/>
        </w:r>
        <w:r>
          <w:rPr>
            <w:noProof/>
            <w:webHidden/>
          </w:rPr>
          <w:t>984</w:t>
        </w:r>
        <w:r>
          <w:rPr>
            <w:noProof/>
            <w:webHidden/>
          </w:rPr>
          <w:fldChar w:fldCharType="end"/>
        </w:r>
      </w:hyperlink>
    </w:p>
    <w:p>
      <w:pPr>
        <w:pStyle w:val="TOC2"/>
      </w:pPr>
      <w:hyperlink w:anchor="_Toc300000417" w:history="1">
        <w:r>
          <w:rPr>
            <w:noProof/>
          </w:rPr>
          <w:t xml:space="preserve">Article 14.9: Transfers</w:t>
        </w:r>
        <w:r>
          <w:rPr>
            <w:noProof/>
            <w:webHidden/>
          </w:rPr>
          <w:tab/>
        </w:r>
        <w:r>
          <w:rPr>
            <w:noProof/>
            <w:webHidden/>
          </w:rPr>
          <w:fldChar w:fldCharType="begin"/>
        </w:r>
        <w:r>
          <w:rPr>
            <w:noProof/>
            <w:webHidden/>
          </w:rPr>
          <w:instrText xml:space="preserve"> PAGEREF _Toc300000417 \h </w:instrText>
        </w:r>
        <w:r>
          <w:rPr>
            <w:noProof/>
            <w:webHidden/>
          </w:rPr>
          <w:fldChar w:fldCharType="separate"/>
        </w:r>
        <w:r>
          <w:rPr>
            <w:noProof/>
            <w:webHidden/>
          </w:rPr>
          <w:t>985</w:t>
        </w:r>
        <w:r>
          <w:rPr>
            <w:noProof/>
            <w:webHidden/>
          </w:rPr>
          <w:fldChar w:fldCharType="end"/>
        </w:r>
      </w:hyperlink>
    </w:p>
    <w:p>
      <w:pPr>
        <w:pStyle w:val="TOC2"/>
      </w:pPr>
      <w:hyperlink w:anchor="_Toc300000418" w:history="1">
        <w:r>
          <w:rPr>
            <w:noProof/>
          </w:rPr>
          <w:t xml:space="preserve">Article 14.10: Performance Requirements</w:t>
        </w:r>
        <w:r>
          <w:rPr>
            <w:noProof/>
            <w:webHidden/>
          </w:rPr>
          <w:tab/>
        </w:r>
        <w:r>
          <w:rPr>
            <w:noProof/>
            <w:webHidden/>
          </w:rPr>
          <w:fldChar w:fldCharType="begin"/>
        </w:r>
        <w:r>
          <w:rPr>
            <w:noProof/>
            <w:webHidden/>
          </w:rPr>
          <w:instrText xml:space="preserve"> PAGEREF _Toc300000418 \h </w:instrText>
        </w:r>
        <w:r>
          <w:rPr>
            <w:noProof/>
            <w:webHidden/>
          </w:rPr>
          <w:fldChar w:fldCharType="separate"/>
        </w:r>
        <w:r>
          <w:rPr>
            <w:noProof/>
            <w:webHidden/>
          </w:rPr>
          <w:t>986</w:t>
        </w:r>
        <w:r>
          <w:rPr>
            <w:noProof/>
            <w:webHidden/>
          </w:rPr>
          <w:fldChar w:fldCharType="end"/>
        </w:r>
      </w:hyperlink>
    </w:p>
    <w:p>
      <w:pPr>
        <w:pStyle w:val="TOC2"/>
      </w:pPr>
      <w:hyperlink w:anchor="_Toc300000419" w:history="1">
        <w:r>
          <w:rPr>
            <w:noProof/>
          </w:rPr>
          <w:t xml:space="preserve">Article 14.11: Senior Management and Boards of Directors</w:t>
        </w:r>
        <w:r>
          <w:rPr>
            <w:noProof/>
            <w:webHidden/>
          </w:rPr>
          <w:tab/>
        </w:r>
        <w:r>
          <w:rPr>
            <w:noProof/>
            <w:webHidden/>
          </w:rPr>
          <w:fldChar w:fldCharType="begin"/>
        </w:r>
        <w:r>
          <w:rPr>
            <w:noProof/>
            <w:webHidden/>
          </w:rPr>
          <w:instrText xml:space="preserve"> PAGEREF _Toc300000419 \h </w:instrText>
        </w:r>
        <w:r>
          <w:rPr>
            <w:noProof/>
            <w:webHidden/>
          </w:rPr>
          <w:fldChar w:fldCharType="separate"/>
        </w:r>
        <w:r>
          <w:rPr>
            <w:noProof/>
            <w:webHidden/>
          </w:rPr>
          <w:t>988</w:t>
        </w:r>
        <w:r>
          <w:rPr>
            <w:noProof/>
            <w:webHidden/>
          </w:rPr>
          <w:fldChar w:fldCharType="end"/>
        </w:r>
      </w:hyperlink>
    </w:p>
    <w:p>
      <w:pPr>
        <w:pStyle w:val="TOC2"/>
      </w:pPr>
      <w:hyperlink w:anchor="_Toc300000420" w:history="1">
        <w:r>
          <w:rPr>
            <w:noProof/>
          </w:rPr>
          <w:t xml:space="preserve">Article 14.12: Non-Conforming Measures</w:t>
        </w:r>
        <w:r>
          <w:rPr>
            <w:noProof/>
            <w:webHidden/>
          </w:rPr>
          <w:tab/>
        </w:r>
        <w:r>
          <w:rPr>
            <w:noProof/>
            <w:webHidden/>
          </w:rPr>
          <w:fldChar w:fldCharType="begin"/>
        </w:r>
        <w:r>
          <w:rPr>
            <w:noProof/>
            <w:webHidden/>
          </w:rPr>
          <w:instrText xml:space="preserve"> PAGEREF _Toc300000420 \h </w:instrText>
        </w:r>
        <w:r>
          <w:rPr>
            <w:noProof/>
            <w:webHidden/>
          </w:rPr>
          <w:fldChar w:fldCharType="separate"/>
        </w:r>
        <w:r>
          <w:rPr>
            <w:noProof/>
            <w:webHidden/>
          </w:rPr>
          <w:t>988</w:t>
        </w:r>
        <w:r>
          <w:rPr>
            <w:noProof/>
            <w:webHidden/>
          </w:rPr>
          <w:fldChar w:fldCharType="end"/>
        </w:r>
      </w:hyperlink>
    </w:p>
    <w:p>
      <w:pPr>
        <w:pStyle w:val="TOC2"/>
      </w:pPr>
      <w:hyperlink w:anchor="_Toc300000421" w:history="1">
        <w:r>
          <w:rPr>
            <w:noProof/>
          </w:rPr>
          <w:t xml:space="preserve">Article 14.13: Special Formalities and Information Requirements</w:t>
        </w:r>
        <w:r>
          <w:rPr>
            <w:noProof/>
            <w:webHidden/>
          </w:rPr>
          <w:tab/>
        </w:r>
        <w:r>
          <w:rPr>
            <w:noProof/>
            <w:webHidden/>
          </w:rPr>
          <w:fldChar w:fldCharType="begin"/>
        </w:r>
        <w:r>
          <w:rPr>
            <w:noProof/>
            <w:webHidden/>
          </w:rPr>
          <w:instrText xml:space="preserve"> PAGEREF _Toc300000421 \h </w:instrText>
        </w:r>
        <w:r>
          <w:rPr>
            <w:noProof/>
            <w:webHidden/>
          </w:rPr>
          <w:fldChar w:fldCharType="separate"/>
        </w:r>
        <w:r>
          <w:rPr>
            <w:noProof/>
            <w:webHidden/>
          </w:rPr>
          <w:t>989</w:t>
        </w:r>
        <w:r>
          <w:rPr>
            <w:noProof/>
            <w:webHidden/>
          </w:rPr>
          <w:fldChar w:fldCharType="end"/>
        </w:r>
      </w:hyperlink>
    </w:p>
    <w:p>
      <w:pPr>
        <w:pStyle w:val="TOC2"/>
      </w:pPr>
      <w:hyperlink w:anchor="_Toc300000422" w:history="1">
        <w:r>
          <w:rPr>
            <w:noProof/>
          </w:rPr>
          <w:t xml:space="preserve">Article 14.14: Denial of Benefits</w:t>
        </w:r>
        <w:r>
          <w:rPr>
            <w:noProof/>
            <w:webHidden/>
          </w:rPr>
          <w:tab/>
        </w:r>
        <w:r>
          <w:rPr>
            <w:noProof/>
            <w:webHidden/>
          </w:rPr>
          <w:fldChar w:fldCharType="begin"/>
        </w:r>
        <w:r>
          <w:rPr>
            <w:noProof/>
            <w:webHidden/>
          </w:rPr>
          <w:instrText xml:space="preserve"> PAGEREF _Toc300000422 \h </w:instrText>
        </w:r>
        <w:r>
          <w:rPr>
            <w:noProof/>
            <w:webHidden/>
          </w:rPr>
          <w:fldChar w:fldCharType="separate"/>
        </w:r>
        <w:r>
          <w:rPr>
            <w:noProof/>
            <w:webHidden/>
          </w:rPr>
          <w:t>989</w:t>
        </w:r>
        <w:r>
          <w:rPr>
            <w:noProof/>
            <w:webHidden/>
          </w:rPr>
          <w:fldChar w:fldCharType="end"/>
        </w:r>
      </w:hyperlink>
    </w:p>
    <w:p>
      <w:pPr>
        <w:pStyle w:val="TOC2"/>
      </w:pPr>
      <w:hyperlink w:anchor="_Toc300000423" w:history="1">
        <w:r>
          <w:rPr>
            <w:noProof/>
          </w:rPr>
          <w:t xml:space="preserve">Article 14.15: Subrogation</w:t>
        </w:r>
        <w:r>
          <w:rPr>
            <w:noProof/>
            <w:webHidden/>
          </w:rPr>
          <w:tab/>
        </w:r>
        <w:r>
          <w:rPr>
            <w:noProof/>
            <w:webHidden/>
          </w:rPr>
          <w:fldChar w:fldCharType="begin"/>
        </w:r>
        <w:r>
          <w:rPr>
            <w:noProof/>
            <w:webHidden/>
          </w:rPr>
          <w:instrText xml:space="preserve"> PAGEREF _Toc300000423 \h </w:instrText>
        </w:r>
        <w:r>
          <w:rPr>
            <w:noProof/>
            <w:webHidden/>
          </w:rPr>
          <w:fldChar w:fldCharType="separate"/>
        </w:r>
        <w:r>
          <w:rPr>
            <w:noProof/>
            <w:webHidden/>
          </w:rPr>
          <w:t>990</w:t>
        </w:r>
        <w:r>
          <w:rPr>
            <w:noProof/>
            <w:webHidden/>
          </w:rPr>
          <w:fldChar w:fldCharType="end"/>
        </w:r>
      </w:hyperlink>
    </w:p>
    <w:p>
      <w:pPr>
        <w:pStyle w:val="TOC2"/>
      </w:pPr>
      <w:hyperlink w:anchor="_Toc300000424" w:history="1">
        <w:r>
          <w:rPr>
            <w:noProof/>
          </w:rPr>
          <w:t xml:space="preserve">Article 14.16: Investment and Environmental, Health, Safety, and other Regulatory Objectives</w:t>
        </w:r>
        <w:r>
          <w:rPr>
            <w:noProof/>
            <w:webHidden/>
          </w:rPr>
          <w:tab/>
        </w:r>
        <w:r>
          <w:rPr>
            <w:noProof/>
            <w:webHidden/>
          </w:rPr>
          <w:fldChar w:fldCharType="begin"/>
        </w:r>
        <w:r>
          <w:rPr>
            <w:noProof/>
            <w:webHidden/>
          </w:rPr>
          <w:instrText xml:space="preserve"> PAGEREF _Toc300000424 \h </w:instrText>
        </w:r>
        <w:r>
          <w:rPr>
            <w:noProof/>
            <w:webHidden/>
          </w:rPr>
          <w:fldChar w:fldCharType="separate"/>
        </w:r>
        <w:r>
          <w:rPr>
            <w:noProof/>
            <w:webHidden/>
          </w:rPr>
          <w:t>990</w:t>
        </w:r>
        <w:r>
          <w:rPr>
            <w:noProof/>
            <w:webHidden/>
          </w:rPr>
          <w:fldChar w:fldCharType="end"/>
        </w:r>
      </w:hyperlink>
    </w:p>
    <w:p>
      <w:pPr>
        <w:pStyle w:val="TOC2"/>
      </w:pPr>
      <w:hyperlink w:anchor="_Toc300000425" w:history="1">
        <w:r>
          <w:rPr>
            <w:noProof/>
          </w:rPr>
          <w:t xml:space="preserve">Article 14.17: Corporate Social Responsibility</w:t>
        </w:r>
        <w:r>
          <w:rPr>
            <w:noProof/>
            <w:webHidden/>
          </w:rPr>
          <w:tab/>
        </w:r>
        <w:r>
          <w:rPr>
            <w:noProof/>
            <w:webHidden/>
          </w:rPr>
          <w:fldChar w:fldCharType="begin"/>
        </w:r>
        <w:r>
          <w:rPr>
            <w:noProof/>
            <w:webHidden/>
          </w:rPr>
          <w:instrText xml:space="preserve"> PAGEREF _Toc300000425 \h </w:instrText>
        </w:r>
        <w:r>
          <w:rPr>
            <w:noProof/>
            <w:webHidden/>
          </w:rPr>
          <w:fldChar w:fldCharType="separate"/>
        </w:r>
        <w:r>
          <w:rPr>
            <w:noProof/>
            <w:webHidden/>
          </w:rPr>
          <w:t>990</w:t>
        </w:r>
        <w:r>
          <w:rPr>
            <w:noProof/>
            <w:webHidden/>
          </w:rPr>
          <w:fldChar w:fldCharType="end"/>
        </w:r>
      </w:hyperlink>
    </w:p>
    <w:p>
      <w:pPr>
        <w:pStyle w:val="TOC2"/>
      </w:pPr>
      <w:hyperlink w:anchor="_Toc300000426" w:history="1">
        <w:r>
          <w:rPr>
            <w:noProof/>
          </w:rPr>
          <w:t xml:space="preserve">ANNEX 14-A CUSTOMARY INTERNATIONAL LAW</w:t>
        </w:r>
        <w:r>
          <w:rPr>
            <w:noProof/>
            <w:webHidden/>
          </w:rPr>
          <w:tab/>
        </w:r>
        <w:r>
          <w:rPr>
            <w:noProof/>
            <w:webHidden/>
          </w:rPr>
          <w:fldChar w:fldCharType="begin"/>
        </w:r>
        <w:r>
          <w:rPr>
            <w:noProof/>
            <w:webHidden/>
          </w:rPr>
          <w:instrText xml:space="preserve"> PAGEREF _Toc300000426 \h </w:instrText>
        </w:r>
        <w:r>
          <w:rPr>
            <w:noProof/>
            <w:webHidden/>
          </w:rPr>
          <w:fldChar w:fldCharType="separate"/>
        </w:r>
        <w:r>
          <w:rPr>
            <w:noProof/>
            <w:webHidden/>
          </w:rPr>
          <w:t>990</w:t>
        </w:r>
        <w:r>
          <w:rPr>
            <w:noProof/>
            <w:webHidden/>
          </w:rPr>
          <w:fldChar w:fldCharType="end"/>
        </w:r>
      </w:hyperlink>
    </w:p>
    <w:p>
      <w:pPr>
        <w:pStyle w:val="TOC2"/>
      </w:pPr>
      <w:hyperlink w:anchor="_Toc300000427" w:history="1">
        <w:r>
          <w:rPr>
            <w:noProof/>
          </w:rPr>
          <w:t xml:space="preserve">ANNEX 14-B EXPROPRIATION</w:t>
        </w:r>
        <w:r>
          <w:rPr>
            <w:noProof/>
            <w:webHidden/>
          </w:rPr>
          <w:tab/>
        </w:r>
        <w:r>
          <w:rPr>
            <w:noProof/>
            <w:webHidden/>
          </w:rPr>
          <w:fldChar w:fldCharType="begin"/>
        </w:r>
        <w:r>
          <w:rPr>
            <w:noProof/>
            <w:webHidden/>
          </w:rPr>
          <w:instrText xml:space="preserve"> PAGEREF _Toc300000427 \h </w:instrText>
        </w:r>
        <w:r>
          <w:rPr>
            <w:noProof/>
            <w:webHidden/>
          </w:rPr>
          <w:fldChar w:fldCharType="separate"/>
        </w:r>
        <w:r>
          <w:rPr>
            <w:noProof/>
            <w:webHidden/>
          </w:rPr>
          <w:t>991</w:t>
        </w:r>
        <w:r>
          <w:rPr>
            <w:noProof/>
            <w:webHidden/>
          </w:rPr>
          <w:fldChar w:fldCharType="end"/>
        </w:r>
      </w:hyperlink>
    </w:p>
    <w:p>
      <w:pPr>
        <w:pStyle w:val="TOC2"/>
      </w:pPr>
      <w:hyperlink w:anchor="_Toc300000428" w:history="1">
        <w:r>
          <w:rPr>
            <w:noProof/>
          </w:rPr>
          <w:t xml:space="preserve">ANNEX 14-C LEGACY INVESTMENT CLAIMS AND PENDING CLAIMS</w:t>
        </w:r>
        <w:r>
          <w:rPr>
            <w:noProof/>
            <w:webHidden/>
          </w:rPr>
          <w:tab/>
        </w:r>
        <w:r>
          <w:rPr>
            <w:noProof/>
            <w:webHidden/>
          </w:rPr>
          <w:fldChar w:fldCharType="begin"/>
        </w:r>
        <w:r>
          <w:rPr>
            <w:noProof/>
            <w:webHidden/>
          </w:rPr>
          <w:instrText xml:space="preserve"> PAGEREF _Toc300000428 \h </w:instrText>
        </w:r>
        <w:r>
          <w:rPr>
            <w:noProof/>
            <w:webHidden/>
          </w:rPr>
          <w:fldChar w:fldCharType="separate"/>
        </w:r>
        <w:r>
          <w:rPr>
            <w:noProof/>
            <w:webHidden/>
          </w:rPr>
          <w:t>991</w:t>
        </w:r>
        <w:r>
          <w:rPr>
            <w:noProof/>
            <w:webHidden/>
          </w:rPr>
          <w:fldChar w:fldCharType="end"/>
        </w:r>
      </w:hyperlink>
    </w:p>
    <w:p>
      <w:pPr>
        <w:pStyle w:val="TOC2"/>
      </w:pPr>
      <w:hyperlink w:anchor="_Toc300000429" w:history="1">
        <w:r>
          <w:rPr>
            <w:noProof/>
          </w:rPr>
          <w:t xml:space="preserve">ANNEX 14-D MEXICO-UNITED STATES INVESTMENT DISPUTES</w:t>
        </w:r>
        <w:r>
          <w:rPr>
            <w:noProof/>
            <w:webHidden/>
          </w:rPr>
          <w:tab/>
        </w:r>
        <w:r>
          <w:rPr>
            <w:noProof/>
            <w:webHidden/>
          </w:rPr>
          <w:fldChar w:fldCharType="begin"/>
        </w:r>
        <w:r>
          <w:rPr>
            <w:noProof/>
            <w:webHidden/>
          </w:rPr>
          <w:instrText xml:space="preserve"> PAGEREF _Toc300000429 \h </w:instrText>
        </w:r>
        <w:r>
          <w:rPr>
            <w:noProof/>
            <w:webHidden/>
          </w:rPr>
          <w:fldChar w:fldCharType="separate"/>
        </w:r>
        <w:r>
          <w:rPr>
            <w:noProof/>
            <w:webHidden/>
          </w:rPr>
          <w:t>992</w:t>
        </w:r>
        <w:r>
          <w:rPr>
            <w:noProof/>
            <w:webHidden/>
          </w:rPr>
          <w:fldChar w:fldCharType="end"/>
        </w:r>
      </w:hyperlink>
    </w:p>
    <w:p>
      <w:pPr>
        <w:pStyle w:val="TOC2"/>
      </w:pPr>
      <w:hyperlink w:anchor="_Toc300000430" w:history="1">
        <w:r>
          <w:rPr>
            <w:noProof/>
          </w:rPr>
          <w:t xml:space="preserve">Article 14.D.1: Definitions</w:t>
        </w:r>
        <w:r>
          <w:rPr>
            <w:noProof/>
            <w:webHidden/>
          </w:rPr>
          <w:tab/>
        </w:r>
        <w:r>
          <w:rPr>
            <w:noProof/>
            <w:webHidden/>
          </w:rPr>
          <w:fldChar w:fldCharType="begin"/>
        </w:r>
        <w:r>
          <w:rPr>
            <w:noProof/>
            <w:webHidden/>
          </w:rPr>
          <w:instrText xml:space="preserve"> PAGEREF _Toc300000430 \h </w:instrText>
        </w:r>
        <w:r>
          <w:rPr>
            <w:noProof/>
            <w:webHidden/>
          </w:rPr>
          <w:fldChar w:fldCharType="separate"/>
        </w:r>
        <w:r>
          <w:rPr>
            <w:noProof/>
            <w:webHidden/>
          </w:rPr>
          <w:t>992</w:t>
        </w:r>
        <w:r>
          <w:rPr>
            <w:noProof/>
            <w:webHidden/>
          </w:rPr>
          <w:fldChar w:fldCharType="end"/>
        </w:r>
      </w:hyperlink>
    </w:p>
    <w:p>
      <w:pPr>
        <w:pStyle w:val="TOC2"/>
      </w:pPr>
      <w:hyperlink w:anchor="_Toc300000431" w:history="1">
        <w:r>
          <w:rPr>
            <w:noProof/>
          </w:rPr>
          <w:t xml:space="preserve">Article 14.D.2: Consultation and Negotiation</w:t>
        </w:r>
        <w:r>
          <w:rPr>
            <w:noProof/>
            <w:webHidden/>
          </w:rPr>
          <w:tab/>
        </w:r>
        <w:r>
          <w:rPr>
            <w:noProof/>
            <w:webHidden/>
          </w:rPr>
          <w:fldChar w:fldCharType="begin"/>
        </w:r>
        <w:r>
          <w:rPr>
            <w:noProof/>
            <w:webHidden/>
          </w:rPr>
          <w:instrText xml:space="preserve"> PAGEREF _Toc300000431 \h </w:instrText>
        </w:r>
        <w:r>
          <w:rPr>
            <w:noProof/>
            <w:webHidden/>
          </w:rPr>
          <w:fldChar w:fldCharType="separate"/>
        </w:r>
        <w:r>
          <w:rPr>
            <w:noProof/>
            <w:webHidden/>
          </w:rPr>
          <w:t>993</w:t>
        </w:r>
        <w:r>
          <w:rPr>
            <w:noProof/>
            <w:webHidden/>
          </w:rPr>
          <w:fldChar w:fldCharType="end"/>
        </w:r>
      </w:hyperlink>
    </w:p>
    <w:p>
      <w:pPr>
        <w:pStyle w:val="TOC2"/>
      </w:pPr>
      <w:hyperlink w:anchor="_Toc300000432" w:history="1">
        <w:r>
          <w:rPr>
            <w:noProof/>
          </w:rPr>
          <w:t xml:space="preserve">Article 14.D.3: Submission of a Claim to Arbitration</w:t>
        </w:r>
        <w:r>
          <w:rPr>
            <w:noProof/>
            <w:webHidden/>
          </w:rPr>
          <w:tab/>
        </w:r>
        <w:r>
          <w:rPr>
            <w:noProof/>
            <w:webHidden/>
          </w:rPr>
          <w:fldChar w:fldCharType="begin"/>
        </w:r>
        <w:r>
          <w:rPr>
            <w:noProof/>
            <w:webHidden/>
          </w:rPr>
          <w:instrText xml:space="preserve"> PAGEREF _Toc300000432 \h </w:instrText>
        </w:r>
        <w:r>
          <w:rPr>
            <w:noProof/>
            <w:webHidden/>
          </w:rPr>
          <w:fldChar w:fldCharType="separate"/>
        </w:r>
        <w:r>
          <w:rPr>
            <w:noProof/>
            <w:webHidden/>
          </w:rPr>
          <w:t>993</w:t>
        </w:r>
        <w:r>
          <w:rPr>
            <w:noProof/>
            <w:webHidden/>
          </w:rPr>
          <w:fldChar w:fldCharType="end"/>
        </w:r>
      </w:hyperlink>
    </w:p>
    <w:p>
      <w:pPr>
        <w:pStyle w:val="TOC2"/>
      </w:pPr>
      <w:hyperlink w:anchor="_Toc300000433" w:history="1">
        <w:r>
          <w:rPr>
            <w:noProof/>
          </w:rPr>
          <w:t xml:space="preserve">Article 14.D.4: Consent to Arbitration</w:t>
        </w:r>
        <w:r>
          <w:rPr>
            <w:noProof/>
            <w:webHidden/>
          </w:rPr>
          <w:tab/>
        </w:r>
        <w:r>
          <w:rPr>
            <w:noProof/>
            <w:webHidden/>
          </w:rPr>
          <w:fldChar w:fldCharType="begin"/>
        </w:r>
        <w:r>
          <w:rPr>
            <w:noProof/>
            <w:webHidden/>
          </w:rPr>
          <w:instrText xml:space="preserve"> PAGEREF _Toc300000433 \h </w:instrText>
        </w:r>
        <w:r>
          <w:rPr>
            <w:noProof/>
            <w:webHidden/>
          </w:rPr>
          <w:fldChar w:fldCharType="separate"/>
        </w:r>
        <w:r>
          <w:rPr>
            <w:noProof/>
            <w:webHidden/>
          </w:rPr>
          <w:t>995</w:t>
        </w:r>
        <w:r>
          <w:rPr>
            <w:noProof/>
            <w:webHidden/>
          </w:rPr>
          <w:fldChar w:fldCharType="end"/>
        </w:r>
      </w:hyperlink>
    </w:p>
    <w:p>
      <w:pPr>
        <w:pStyle w:val="TOC2"/>
      </w:pPr>
      <w:hyperlink w:anchor="_Toc300000434" w:history="1">
        <w:r>
          <w:rPr>
            <w:noProof/>
          </w:rPr>
          <w:t xml:space="preserve">Article 14.D.5: Conditions and Limitations on Consent</w:t>
        </w:r>
        <w:r>
          <w:rPr>
            <w:noProof/>
            <w:webHidden/>
          </w:rPr>
          <w:tab/>
        </w:r>
        <w:r>
          <w:rPr>
            <w:noProof/>
            <w:webHidden/>
          </w:rPr>
          <w:fldChar w:fldCharType="begin"/>
        </w:r>
        <w:r>
          <w:rPr>
            <w:noProof/>
            <w:webHidden/>
          </w:rPr>
          <w:instrText xml:space="preserve"> PAGEREF _Toc300000434 \h </w:instrText>
        </w:r>
        <w:r>
          <w:rPr>
            <w:noProof/>
            <w:webHidden/>
          </w:rPr>
          <w:fldChar w:fldCharType="separate"/>
        </w:r>
        <w:r>
          <w:rPr>
            <w:noProof/>
            <w:webHidden/>
          </w:rPr>
          <w:t>995</w:t>
        </w:r>
        <w:r>
          <w:rPr>
            <w:noProof/>
            <w:webHidden/>
          </w:rPr>
          <w:fldChar w:fldCharType="end"/>
        </w:r>
      </w:hyperlink>
    </w:p>
    <w:p>
      <w:pPr>
        <w:pStyle w:val="TOC2"/>
      </w:pPr>
      <w:hyperlink w:anchor="_Toc300000435" w:history="1">
        <w:r>
          <w:rPr>
            <w:noProof/>
          </w:rPr>
          <w:t xml:space="preserve">Article 14.D.6: Selection of Arbitrators</w:t>
        </w:r>
        <w:r>
          <w:rPr>
            <w:noProof/>
            <w:webHidden/>
          </w:rPr>
          <w:tab/>
        </w:r>
        <w:r>
          <w:rPr>
            <w:noProof/>
            <w:webHidden/>
          </w:rPr>
          <w:fldChar w:fldCharType="begin"/>
        </w:r>
        <w:r>
          <w:rPr>
            <w:noProof/>
            <w:webHidden/>
          </w:rPr>
          <w:instrText xml:space="preserve"> PAGEREF _Toc300000435 \h </w:instrText>
        </w:r>
        <w:r>
          <w:rPr>
            <w:noProof/>
            <w:webHidden/>
          </w:rPr>
          <w:fldChar w:fldCharType="separate"/>
        </w:r>
        <w:r>
          <w:rPr>
            <w:noProof/>
            <w:webHidden/>
          </w:rPr>
          <w:t>996</w:t>
        </w:r>
        <w:r>
          <w:rPr>
            <w:noProof/>
            <w:webHidden/>
          </w:rPr>
          <w:fldChar w:fldCharType="end"/>
        </w:r>
      </w:hyperlink>
    </w:p>
    <w:p>
      <w:pPr>
        <w:pStyle w:val="TOC2"/>
      </w:pPr>
      <w:hyperlink w:anchor="_Toc300000436" w:history="1">
        <w:r>
          <w:rPr>
            <w:noProof/>
          </w:rPr>
          <w:t xml:space="preserve">Article 14.D.7: Conduct of the Arbitration</w:t>
        </w:r>
        <w:r>
          <w:rPr>
            <w:noProof/>
            <w:webHidden/>
          </w:rPr>
          <w:tab/>
        </w:r>
        <w:r>
          <w:rPr>
            <w:noProof/>
            <w:webHidden/>
          </w:rPr>
          <w:fldChar w:fldCharType="begin"/>
        </w:r>
        <w:r>
          <w:rPr>
            <w:noProof/>
            <w:webHidden/>
          </w:rPr>
          <w:instrText xml:space="preserve"> PAGEREF _Toc300000436 \h </w:instrText>
        </w:r>
        <w:r>
          <w:rPr>
            <w:noProof/>
            <w:webHidden/>
          </w:rPr>
          <w:fldChar w:fldCharType="separate"/>
        </w:r>
        <w:r>
          <w:rPr>
            <w:noProof/>
            <w:webHidden/>
          </w:rPr>
          <w:t>996</w:t>
        </w:r>
        <w:r>
          <w:rPr>
            <w:noProof/>
            <w:webHidden/>
          </w:rPr>
          <w:fldChar w:fldCharType="end"/>
        </w:r>
      </w:hyperlink>
    </w:p>
    <w:p>
      <w:pPr>
        <w:pStyle w:val="TOC2"/>
      </w:pPr>
      <w:hyperlink w:anchor="_Toc300000437" w:history="1">
        <w:r>
          <w:rPr>
            <w:noProof/>
          </w:rPr>
          <w:t xml:space="preserve">Article 14.D.8: Transparency of Arbitral Proceedings</w:t>
        </w:r>
        <w:r>
          <w:rPr>
            <w:noProof/>
            <w:webHidden/>
          </w:rPr>
          <w:tab/>
        </w:r>
        <w:r>
          <w:rPr>
            <w:noProof/>
            <w:webHidden/>
          </w:rPr>
          <w:fldChar w:fldCharType="begin"/>
        </w:r>
        <w:r>
          <w:rPr>
            <w:noProof/>
            <w:webHidden/>
          </w:rPr>
          <w:instrText xml:space="preserve"> PAGEREF _Toc300000437 \h </w:instrText>
        </w:r>
        <w:r>
          <w:rPr>
            <w:noProof/>
            <w:webHidden/>
          </w:rPr>
          <w:fldChar w:fldCharType="separate"/>
        </w:r>
        <w:r>
          <w:rPr>
            <w:noProof/>
            <w:webHidden/>
          </w:rPr>
          <w:t>999</w:t>
        </w:r>
        <w:r>
          <w:rPr>
            <w:noProof/>
            <w:webHidden/>
          </w:rPr>
          <w:fldChar w:fldCharType="end"/>
        </w:r>
      </w:hyperlink>
    </w:p>
    <w:p>
      <w:pPr>
        <w:pStyle w:val="TOC2"/>
      </w:pPr>
      <w:hyperlink w:anchor="_Toc300000438" w:history="1">
        <w:r>
          <w:rPr>
            <w:noProof/>
          </w:rPr>
          <w:t xml:space="preserve">Article 14.D.9: Governing Law</w:t>
        </w:r>
        <w:r>
          <w:rPr>
            <w:noProof/>
            <w:webHidden/>
          </w:rPr>
          <w:tab/>
        </w:r>
        <w:r>
          <w:rPr>
            <w:noProof/>
            <w:webHidden/>
          </w:rPr>
          <w:fldChar w:fldCharType="begin"/>
        </w:r>
        <w:r>
          <w:rPr>
            <w:noProof/>
            <w:webHidden/>
          </w:rPr>
          <w:instrText xml:space="preserve"> PAGEREF _Toc300000438 \h </w:instrText>
        </w:r>
        <w:r>
          <w:rPr>
            <w:noProof/>
            <w:webHidden/>
          </w:rPr>
          <w:fldChar w:fldCharType="separate"/>
        </w:r>
        <w:r>
          <w:rPr>
            <w:noProof/>
            <w:webHidden/>
          </w:rPr>
          <w:t>1000</w:t>
        </w:r>
        <w:r>
          <w:rPr>
            <w:noProof/>
            <w:webHidden/>
          </w:rPr>
          <w:fldChar w:fldCharType="end"/>
        </w:r>
      </w:hyperlink>
    </w:p>
    <w:p>
      <w:pPr>
        <w:pStyle w:val="TOC2"/>
      </w:pPr>
      <w:hyperlink w:anchor="_Toc300000439" w:history="1">
        <w:r>
          <w:rPr>
            <w:noProof/>
          </w:rPr>
          <w:t xml:space="preserve">Article 14.D.10: Interpretation of Annexes</w:t>
        </w:r>
        <w:r>
          <w:rPr>
            <w:noProof/>
            <w:webHidden/>
          </w:rPr>
          <w:tab/>
        </w:r>
        <w:r>
          <w:rPr>
            <w:noProof/>
            <w:webHidden/>
          </w:rPr>
          <w:fldChar w:fldCharType="begin"/>
        </w:r>
        <w:r>
          <w:rPr>
            <w:noProof/>
            <w:webHidden/>
          </w:rPr>
          <w:instrText xml:space="preserve"> PAGEREF _Toc300000439 \h </w:instrText>
        </w:r>
        <w:r>
          <w:rPr>
            <w:noProof/>
            <w:webHidden/>
          </w:rPr>
          <w:fldChar w:fldCharType="separate"/>
        </w:r>
        <w:r>
          <w:rPr>
            <w:noProof/>
            <w:webHidden/>
          </w:rPr>
          <w:t>1000</w:t>
        </w:r>
        <w:r>
          <w:rPr>
            <w:noProof/>
            <w:webHidden/>
          </w:rPr>
          <w:fldChar w:fldCharType="end"/>
        </w:r>
      </w:hyperlink>
    </w:p>
    <w:p>
      <w:pPr>
        <w:pStyle w:val="TOC2"/>
      </w:pPr>
      <w:hyperlink w:anchor="_Toc300000440" w:history="1">
        <w:r>
          <w:rPr>
            <w:noProof/>
          </w:rPr>
          <w:t xml:space="preserve">Article 14.D.11: Expert Reports</w:t>
        </w:r>
        <w:r>
          <w:rPr>
            <w:noProof/>
            <w:webHidden/>
          </w:rPr>
          <w:tab/>
        </w:r>
        <w:r>
          <w:rPr>
            <w:noProof/>
            <w:webHidden/>
          </w:rPr>
          <w:fldChar w:fldCharType="begin"/>
        </w:r>
        <w:r>
          <w:rPr>
            <w:noProof/>
            <w:webHidden/>
          </w:rPr>
          <w:instrText xml:space="preserve"> PAGEREF _Toc300000440 \h </w:instrText>
        </w:r>
        <w:r>
          <w:rPr>
            <w:noProof/>
            <w:webHidden/>
          </w:rPr>
          <w:fldChar w:fldCharType="separate"/>
        </w:r>
        <w:r>
          <w:rPr>
            <w:noProof/>
            <w:webHidden/>
          </w:rPr>
          <w:t>1000</w:t>
        </w:r>
        <w:r>
          <w:rPr>
            <w:noProof/>
            <w:webHidden/>
          </w:rPr>
          <w:fldChar w:fldCharType="end"/>
        </w:r>
      </w:hyperlink>
    </w:p>
    <w:p>
      <w:pPr>
        <w:pStyle w:val="TOC2"/>
      </w:pPr>
      <w:hyperlink w:anchor="_Toc300000441" w:history="1">
        <w:r>
          <w:rPr>
            <w:noProof/>
          </w:rPr>
          <w:t xml:space="preserve">Article 14.D.12: Consolidation</w:t>
        </w:r>
        <w:r>
          <w:rPr>
            <w:noProof/>
            <w:webHidden/>
          </w:rPr>
          <w:tab/>
        </w:r>
        <w:r>
          <w:rPr>
            <w:noProof/>
            <w:webHidden/>
          </w:rPr>
          <w:fldChar w:fldCharType="begin"/>
        </w:r>
        <w:r>
          <w:rPr>
            <w:noProof/>
            <w:webHidden/>
          </w:rPr>
          <w:instrText xml:space="preserve"> PAGEREF _Toc300000441 \h </w:instrText>
        </w:r>
        <w:r>
          <w:rPr>
            <w:noProof/>
            <w:webHidden/>
          </w:rPr>
          <w:fldChar w:fldCharType="separate"/>
        </w:r>
        <w:r>
          <w:rPr>
            <w:noProof/>
            <w:webHidden/>
          </w:rPr>
          <w:t>1000</w:t>
        </w:r>
        <w:r>
          <w:rPr>
            <w:noProof/>
            <w:webHidden/>
          </w:rPr>
          <w:fldChar w:fldCharType="end"/>
        </w:r>
      </w:hyperlink>
    </w:p>
    <w:p>
      <w:pPr>
        <w:pStyle w:val="TOC2"/>
      </w:pPr>
      <w:hyperlink w:anchor="_Toc300000442" w:history="1">
        <w:r>
          <w:rPr>
            <w:noProof/>
          </w:rPr>
          <w:t xml:space="preserve">Article 14.D.13: Awards</w:t>
        </w:r>
        <w:r>
          <w:rPr>
            <w:noProof/>
            <w:webHidden/>
          </w:rPr>
          <w:tab/>
        </w:r>
        <w:r>
          <w:rPr>
            <w:noProof/>
            <w:webHidden/>
          </w:rPr>
          <w:fldChar w:fldCharType="begin"/>
        </w:r>
        <w:r>
          <w:rPr>
            <w:noProof/>
            <w:webHidden/>
          </w:rPr>
          <w:instrText xml:space="preserve"> PAGEREF _Toc300000442 \h </w:instrText>
        </w:r>
        <w:r>
          <w:rPr>
            <w:noProof/>
            <w:webHidden/>
          </w:rPr>
          <w:fldChar w:fldCharType="separate"/>
        </w:r>
        <w:r>
          <w:rPr>
            <w:noProof/>
            <w:webHidden/>
          </w:rPr>
          <w:t>1002</w:t>
        </w:r>
        <w:r>
          <w:rPr>
            <w:noProof/>
            <w:webHidden/>
          </w:rPr>
          <w:fldChar w:fldCharType="end"/>
        </w:r>
      </w:hyperlink>
    </w:p>
    <w:p>
      <w:pPr>
        <w:pStyle w:val="TOC2"/>
      </w:pPr>
      <w:hyperlink w:anchor="_Toc300000443" w:history="1">
        <w:r>
          <w:rPr>
            <w:noProof/>
          </w:rPr>
          <w:t xml:space="preserve">Article 14.D.14: Service of Documents</w:t>
        </w:r>
        <w:r>
          <w:rPr>
            <w:noProof/>
            <w:webHidden/>
          </w:rPr>
          <w:tab/>
        </w:r>
        <w:r>
          <w:rPr>
            <w:noProof/>
            <w:webHidden/>
          </w:rPr>
          <w:fldChar w:fldCharType="begin"/>
        </w:r>
        <w:r>
          <w:rPr>
            <w:noProof/>
            <w:webHidden/>
          </w:rPr>
          <w:instrText xml:space="preserve"> PAGEREF _Toc300000443 \h </w:instrText>
        </w:r>
        <w:r>
          <w:rPr>
            <w:noProof/>
            <w:webHidden/>
          </w:rPr>
          <w:fldChar w:fldCharType="separate"/>
        </w:r>
        <w:r>
          <w:rPr>
            <w:noProof/>
            <w:webHidden/>
          </w:rPr>
          <w:t>1003</w:t>
        </w:r>
        <w:r>
          <w:rPr>
            <w:noProof/>
            <w:webHidden/>
          </w:rPr>
          <w:fldChar w:fldCharType="end"/>
        </w:r>
      </w:hyperlink>
    </w:p>
    <w:p>
      <w:pPr>
        <w:pStyle w:val="TOC2"/>
      </w:pPr>
      <w:hyperlink w:anchor="_Toc300000444" w:history="1">
        <w:r>
          <w:rPr>
            <w:noProof/>
          </w:rPr>
          <w:t xml:space="preserve">APPENDIX 1 SERVICE OF DOCUMENTS ON AN ANNEX PARTY</w:t>
        </w:r>
        <w:r>
          <w:rPr>
            <w:noProof/>
            <w:webHidden/>
          </w:rPr>
          <w:tab/>
        </w:r>
        <w:r>
          <w:rPr>
            <w:noProof/>
            <w:webHidden/>
          </w:rPr>
          <w:fldChar w:fldCharType="begin"/>
        </w:r>
        <w:r>
          <w:rPr>
            <w:noProof/>
            <w:webHidden/>
          </w:rPr>
          <w:instrText xml:space="preserve"> PAGEREF _Toc300000444 \h </w:instrText>
        </w:r>
        <w:r>
          <w:rPr>
            <w:noProof/>
            <w:webHidden/>
          </w:rPr>
          <w:fldChar w:fldCharType="separate"/>
        </w:r>
        <w:r>
          <w:rPr>
            <w:noProof/>
            <w:webHidden/>
          </w:rPr>
          <w:t>1003</w:t>
        </w:r>
        <w:r>
          <w:rPr>
            <w:noProof/>
            <w:webHidden/>
          </w:rPr>
          <w:fldChar w:fldCharType="end"/>
        </w:r>
      </w:hyperlink>
    </w:p>
    <w:p>
      <w:pPr>
        <w:pStyle w:val="TOC2"/>
      </w:pPr>
      <w:hyperlink w:anchor="_Toc300000445" w:history="1">
        <w:r>
          <w:rPr>
            <w:noProof/>
          </w:rPr>
          <w:t xml:space="preserve">APPENDIX 2 PUBLIC DEBT</w:t>
        </w:r>
        <w:r>
          <w:rPr>
            <w:noProof/>
            <w:webHidden/>
          </w:rPr>
          <w:tab/>
        </w:r>
        <w:r>
          <w:rPr>
            <w:noProof/>
            <w:webHidden/>
          </w:rPr>
          <w:fldChar w:fldCharType="begin"/>
        </w:r>
        <w:r>
          <w:rPr>
            <w:noProof/>
            <w:webHidden/>
          </w:rPr>
          <w:instrText xml:space="preserve"> PAGEREF _Toc300000445 \h </w:instrText>
        </w:r>
        <w:r>
          <w:rPr>
            <w:noProof/>
            <w:webHidden/>
          </w:rPr>
          <w:fldChar w:fldCharType="separate"/>
        </w:r>
        <w:r>
          <w:rPr>
            <w:noProof/>
            <w:webHidden/>
          </w:rPr>
          <w:t>1003</w:t>
        </w:r>
        <w:r>
          <w:rPr>
            <w:noProof/>
            <w:webHidden/>
          </w:rPr>
          <w:fldChar w:fldCharType="end"/>
        </w:r>
      </w:hyperlink>
    </w:p>
    <w:p>
      <w:pPr>
        <w:pStyle w:val="TOC2"/>
      </w:pPr>
      <w:hyperlink w:anchor="_Toc300000446" w:history="1">
        <w:r>
          <w:rPr>
            <w:noProof/>
          </w:rPr>
          <w:t xml:space="preserve">APPENDIX 3 SUBMISSION OF A CLAIM TO ARBITRATION</w:t>
        </w:r>
        <w:r>
          <w:rPr>
            <w:noProof/>
            <w:webHidden/>
          </w:rPr>
          <w:tab/>
        </w:r>
        <w:r>
          <w:rPr>
            <w:noProof/>
            <w:webHidden/>
          </w:rPr>
          <w:fldChar w:fldCharType="begin"/>
        </w:r>
        <w:r>
          <w:rPr>
            <w:noProof/>
            <w:webHidden/>
          </w:rPr>
          <w:instrText xml:space="preserve"> PAGEREF _Toc300000446 \h </w:instrText>
        </w:r>
        <w:r>
          <w:rPr>
            <w:noProof/>
            <w:webHidden/>
          </w:rPr>
          <w:fldChar w:fldCharType="separate"/>
        </w:r>
        <w:r>
          <w:rPr>
            <w:noProof/>
            <w:webHidden/>
          </w:rPr>
          <w:t>1004</w:t>
        </w:r>
        <w:r>
          <w:rPr>
            <w:noProof/>
            <w:webHidden/>
          </w:rPr>
          <w:fldChar w:fldCharType="end"/>
        </w:r>
      </w:hyperlink>
    </w:p>
    <w:p>
      <w:pPr>
        <w:pStyle w:val="TOC2"/>
      </w:pPr>
      <w:hyperlink w:anchor="_Toc300000447" w:history="1">
        <w:r>
          <w:rPr>
            <w:noProof/>
          </w:rPr>
          <w:t xml:space="preserve">ANNEX 14-E MEXICO-UNITED STATES INVESTMENT DISPUTES RELATED TO COVERED GOVERNMENT CONTRACTS</w:t>
        </w:r>
        <w:r>
          <w:rPr>
            <w:noProof/>
            <w:webHidden/>
          </w:rPr>
          <w:tab/>
        </w:r>
        <w:r>
          <w:rPr>
            <w:noProof/>
            <w:webHidden/>
          </w:rPr>
          <w:fldChar w:fldCharType="begin"/>
        </w:r>
        <w:r>
          <w:rPr>
            <w:noProof/>
            <w:webHidden/>
          </w:rPr>
          <w:instrText xml:space="preserve"> PAGEREF _Toc300000447 \h </w:instrText>
        </w:r>
        <w:r>
          <w:rPr>
            <w:noProof/>
            <w:webHidden/>
          </w:rPr>
          <w:fldChar w:fldCharType="separate"/>
        </w:r>
        <w:r>
          <w:rPr>
            <w:noProof/>
            <w:webHidden/>
          </w:rPr>
          <w:t>1004</w:t>
        </w:r>
        <w:r>
          <w:rPr>
            <w:noProof/>
            <w:webHidden/>
          </w:rPr>
          <w:fldChar w:fldCharType="end"/>
        </w:r>
      </w:hyperlink>
    </w:p>
    <w:p>
      <w:pPr>
        <w:pStyle w:val="TOC1"/>
      </w:pPr>
      <w:hyperlink w:anchor="_Toc300000448" w:history="1">
        <w:r>
          <w:rPr>
            <w:noProof/>
          </w:rPr>
          <w:t xml:space="preserve">CHAPTER 15 CROSS-BORDER TRADE IN SERVICES</w:t>
        </w:r>
        <w:r>
          <w:rPr>
            <w:noProof/>
            <w:webHidden/>
          </w:rPr>
          <w:tab/>
        </w:r>
        <w:r>
          <w:rPr>
            <w:noProof/>
            <w:webHidden/>
          </w:rPr>
          <w:fldChar w:fldCharType="begin"/>
        </w:r>
        <w:r>
          <w:rPr>
            <w:noProof/>
            <w:webHidden/>
          </w:rPr>
          <w:instrText xml:space="preserve"> PAGEREF _Toc300000448 \h </w:instrText>
        </w:r>
        <w:r>
          <w:rPr>
            <w:noProof/>
            <w:webHidden/>
          </w:rPr>
          <w:fldChar w:fldCharType="separate"/>
        </w:r>
        <w:r>
          <w:rPr>
            <w:noProof/>
            <w:webHidden/>
          </w:rPr>
          <w:t>1007</w:t>
        </w:r>
        <w:r>
          <w:rPr>
            <w:noProof/>
            <w:webHidden/>
          </w:rPr>
          <w:fldChar w:fldCharType="end"/>
        </w:r>
      </w:hyperlink>
    </w:p>
    <w:p>
      <w:pPr>
        <w:pStyle w:val="TOC2"/>
      </w:pPr>
      <w:hyperlink w:anchor="_Toc300000449" w:history="1">
        <w:r>
          <w:rPr>
            <w:noProof/>
          </w:rPr>
          <w:t xml:space="preserve">Article 15.1: Definitions</w:t>
        </w:r>
        <w:r>
          <w:rPr>
            <w:noProof/>
            <w:webHidden/>
          </w:rPr>
          <w:tab/>
        </w:r>
        <w:r>
          <w:rPr>
            <w:noProof/>
            <w:webHidden/>
          </w:rPr>
          <w:fldChar w:fldCharType="begin"/>
        </w:r>
        <w:r>
          <w:rPr>
            <w:noProof/>
            <w:webHidden/>
          </w:rPr>
          <w:instrText xml:space="preserve"> PAGEREF _Toc300000449 \h </w:instrText>
        </w:r>
        <w:r>
          <w:rPr>
            <w:noProof/>
            <w:webHidden/>
          </w:rPr>
          <w:fldChar w:fldCharType="separate"/>
        </w:r>
        <w:r>
          <w:rPr>
            <w:noProof/>
            <w:webHidden/>
          </w:rPr>
          <w:t>1007</w:t>
        </w:r>
        <w:r>
          <w:rPr>
            <w:noProof/>
            <w:webHidden/>
          </w:rPr>
          <w:fldChar w:fldCharType="end"/>
        </w:r>
      </w:hyperlink>
    </w:p>
    <w:p>
      <w:pPr>
        <w:pStyle w:val="TOC2"/>
      </w:pPr>
      <w:hyperlink w:anchor="_Toc300000450" w:history="1">
        <w:r>
          <w:rPr>
            <w:noProof/>
          </w:rPr>
          <w:t xml:space="preserve">Article 15.2: Scope</w:t>
        </w:r>
        <w:r>
          <w:rPr>
            <w:noProof/>
            <w:webHidden/>
          </w:rPr>
          <w:tab/>
        </w:r>
        <w:r>
          <w:rPr>
            <w:noProof/>
            <w:webHidden/>
          </w:rPr>
          <w:fldChar w:fldCharType="begin"/>
        </w:r>
        <w:r>
          <w:rPr>
            <w:noProof/>
            <w:webHidden/>
          </w:rPr>
          <w:instrText xml:space="preserve"> PAGEREF _Toc300000450 \h </w:instrText>
        </w:r>
        <w:r>
          <w:rPr>
            <w:noProof/>
            <w:webHidden/>
          </w:rPr>
          <w:fldChar w:fldCharType="separate"/>
        </w:r>
        <w:r>
          <w:rPr>
            <w:noProof/>
            <w:webHidden/>
          </w:rPr>
          <w:t>1007</w:t>
        </w:r>
        <w:r>
          <w:rPr>
            <w:noProof/>
            <w:webHidden/>
          </w:rPr>
          <w:fldChar w:fldCharType="end"/>
        </w:r>
      </w:hyperlink>
    </w:p>
    <w:p>
      <w:pPr>
        <w:pStyle w:val="TOC2"/>
      </w:pPr>
      <w:hyperlink w:anchor="_Toc300000451" w:history="1">
        <w:r>
          <w:rPr>
            <w:noProof/>
          </w:rPr>
          <w:t xml:space="preserve">Article 15.3: National Treatment</w:t>
        </w:r>
        <w:r>
          <w:rPr>
            <w:noProof/>
            <w:webHidden/>
          </w:rPr>
          <w:tab/>
        </w:r>
        <w:r>
          <w:rPr>
            <w:noProof/>
            <w:webHidden/>
          </w:rPr>
          <w:fldChar w:fldCharType="begin"/>
        </w:r>
        <w:r>
          <w:rPr>
            <w:noProof/>
            <w:webHidden/>
          </w:rPr>
          <w:instrText xml:space="preserve"> PAGEREF _Toc300000451 \h </w:instrText>
        </w:r>
        <w:r>
          <w:rPr>
            <w:noProof/>
            <w:webHidden/>
          </w:rPr>
          <w:fldChar w:fldCharType="separate"/>
        </w:r>
        <w:r>
          <w:rPr>
            <w:noProof/>
            <w:webHidden/>
          </w:rPr>
          <w:t>1008</w:t>
        </w:r>
        <w:r>
          <w:rPr>
            <w:noProof/>
            <w:webHidden/>
          </w:rPr>
          <w:fldChar w:fldCharType="end"/>
        </w:r>
      </w:hyperlink>
    </w:p>
    <w:p>
      <w:pPr>
        <w:pStyle w:val="TOC2"/>
      </w:pPr>
      <w:hyperlink w:anchor="_Toc300000452" w:history="1">
        <w:r>
          <w:rPr>
            <w:noProof/>
          </w:rPr>
          <w:t xml:space="preserve">Article 15.4: Most-Favored-Nation Treatment</w:t>
        </w:r>
        <w:r>
          <w:rPr>
            <w:noProof/>
            <w:webHidden/>
          </w:rPr>
          <w:tab/>
        </w:r>
        <w:r>
          <w:rPr>
            <w:noProof/>
            <w:webHidden/>
          </w:rPr>
          <w:fldChar w:fldCharType="begin"/>
        </w:r>
        <w:r>
          <w:rPr>
            <w:noProof/>
            <w:webHidden/>
          </w:rPr>
          <w:instrText xml:space="preserve"> PAGEREF _Toc300000452 \h </w:instrText>
        </w:r>
        <w:r>
          <w:rPr>
            <w:noProof/>
            <w:webHidden/>
          </w:rPr>
          <w:fldChar w:fldCharType="separate"/>
        </w:r>
        <w:r>
          <w:rPr>
            <w:noProof/>
            <w:webHidden/>
          </w:rPr>
          <w:t>1008</w:t>
        </w:r>
        <w:r>
          <w:rPr>
            <w:noProof/>
            <w:webHidden/>
          </w:rPr>
          <w:fldChar w:fldCharType="end"/>
        </w:r>
      </w:hyperlink>
    </w:p>
    <w:p>
      <w:pPr>
        <w:pStyle w:val="TOC2"/>
      </w:pPr>
      <w:hyperlink w:anchor="_Toc300000453" w:history="1">
        <w:r>
          <w:rPr>
            <w:noProof/>
          </w:rPr>
          <w:t xml:space="preserve">Article 15.5: Market Access</w:t>
        </w:r>
        <w:r>
          <w:rPr>
            <w:noProof/>
            <w:webHidden/>
          </w:rPr>
          <w:tab/>
        </w:r>
        <w:r>
          <w:rPr>
            <w:noProof/>
            <w:webHidden/>
          </w:rPr>
          <w:fldChar w:fldCharType="begin"/>
        </w:r>
        <w:r>
          <w:rPr>
            <w:noProof/>
            <w:webHidden/>
          </w:rPr>
          <w:instrText xml:space="preserve"> PAGEREF _Toc300000453 \h </w:instrText>
        </w:r>
        <w:r>
          <w:rPr>
            <w:noProof/>
            <w:webHidden/>
          </w:rPr>
          <w:fldChar w:fldCharType="separate"/>
        </w:r>
        <w:r>
          <w:rPr>
            <w:noProof/>
            <w:webHidden/>
          </w:rPr>
          <w:t>1009</w:t>
        </w:r>
        <w:r>
          <w:rPr>
            <w:noProof/>
            <w:webHidden/>
          </w:rPr>
          <w:fldChar w:fldCharType="end"/>
        </w:r>
      </w:hyperlink>
    </w:p>
    <w:p>
      <w:pPr>
        <w:pStyle w:val="TOC2"/>
      </w:pPr>
      <w:hyperlink w:anchor="_Toc300000454" w:history="1">
        <w:r>
          <w:rPr>
            <w:noProof/>
          </w:rPr>
          <w:t xml:space="preserve">Article 15.6: Local Presence</w:t>
        </w:r>
        <w:r>
          <w:rPr>
            <w:noProof/>
            <w:webHidden/>
          </w:rPr>
          <w:tab/>
        </w:r>
        <w:r>
          <w:rPr>
            <w:noProof/>
            <w:webHidden/>
          </w:rPr>
          <w:fldChar w:fldCharType="begin"/>
        </w:r>
        <w:r>
          <w:rPr>
            <w:noProof/>
            <w:webHidden/>
          </w:rPr>
          <w:instrText xml:space="preserve"> PAGEREF _Toc300000454 \h </w:instrText>
        </w:r>
        <w:r>
          <w:rPr>
            <w:noProof/>
            <w:webHidden/>
          </w:rPr>
          <w:fldChar w:fldCharType="separate"/>
        </w:r>
        <w:r>
          <w:rPr>
            <w:noProof/>
            <w:webHidden/>
          </w:rPr>
          <w:t>1009</w:t>
        </w:r>
        <w:r>
          <w:rPr>
            <w:noProof/>
            <w:webHidden/>
          </w:rPr>
          <w:fldChar w:fldCharType="end"/>
        </w:r>
      </w:hyperlink>
    </w:p>
    <w:p>
      <w:pPr>
        <w:pStyle w:val="TOC2"/>
      </w:pPr>
      <w:hyperlink w:anchor="_Toc300000455" w:history="1">
        <w:r>
          <w:rPr>
            <w:noProof/>
          </w:rPr>
          <w:t xml:space="preserve">Article 15.7: Non-Conforming Measures</w:t>
        </w:r>
        <w:r>
          <w:rPr>
            <w:noProof/>
            <w:webHidden/>
          </w:rPr>
          <w:tab/>
        </w:r>
        <w:r>
          <w:rPr>
            <w:noProof/>
            <w:webHidden/>
          </w:rPr>
          <w:fldChar w:fldCharType="begin"/>
        </w:r>
        <w:r>
          <w:rPr>
            <w:noProof/>
            <w:webHidden/>
          </w:rPr>
          <w:instrText xml:space="preserve"> PAGEREF _Toc300000455 \h </w:instrText>
        </w:r>
        <w:r>
          <w:rPr>
            <w:noProof/>
            <w:webHidden/>
          </w:rPr>
          <w:fldChar w:fldCharType="separate"/>
        </w:r>
        <w:r>
          <w:rPr>
            <w:noProof/>
            <w:webHidden/>
          </w:rPr>
          <w:t>1009</w:t>
        </w:r>
        <w:r>
          <w:rPr>
            <w:noProof/>
            <w:webHidden/>
          </w:rPr>
          <w:fldChar w:fldCharType="end"/>
        </w:r>
      </w:hyperlink>
    </w:p>
    <w:p>
      <w:pPr>
        <w:pStyle w:val="TOC2"/>
      </w:pPr>
      <w:hyperlink w:anchor="_Toc300000456" w:history="1">
        <w:r>
          <w:rPr>
            <w:noProof/>
          </w:rPr>
          <w:t xml:space="preserve">Article 15.8: Development and Administration of Measures</w:t>
        </w:r>
        <w:r>
          <w:rPr>
            <w:noProof/>
            <w:webHidden/>
          </w:rPr>
          <w:tab/>
        </w:r>
        <w:r>
          <w:rPr>
            <w:noProof/>
            <w:webHidden/>
          </w:rPr>
          <w:fldChar w:fldCharType="begin"/>
        </w:r>
        <w:r>
          <w:rPr>
            <w:noProof/>
            <w:webHidden/>
          </w:rPr>
          <w:instrText xml:space="preserve"> PAGEREF _Toc300000456 \h </w:instrText>
        </w:r>
        <w:r>
          <w:rPr>
            <w:noProof/>
            <w:webHidden/>
          </w:rPr>
          <w:fldChar w:fldCharType="separate"/>
        </w:r>
        <w:r>
          <w:rPr>
            <w:noProof/>
            <w:webHidden/>
          </w:rPr>
          <w:t>1010</w:t>
        </w:r>
        <w:r>
          <w:rPr>
            <w:noProof/>
            <w:webHidden/>
          </w:rPr>
          <w:fldChar w:fldCharType="end"/>
        </w:r>
      </w:hyperlink>
    </w:p>
    <w:p>
      <w:pPr>
        <w:pStyle w:val="TOC2"/>
      </w:pPr>
      <w:hyperlink w:anchor="_Toc300000457" w:history="1">
        <w:r>
          <w:rPr>
            <w:noProof/>
          </w:rPr>
          <w:t xml:space="preserve">Article 15.9: Recognition</w:t>
        </w:r>
        <w:r>
          <w:rPr>
            <w:noProof/>
            <w:webHidden/>
          </w:rPr>
          <w:tab/>
        </w:r>
        <w:r>
          <w:rPr>
            <w:noProof/>
            <w:webHidden/>
          </w:rPr>
          <w:fldChar w:fldCharType="begin"/>
        </w:r>
        <w:r>
          <w:rPr>
            <w:noProof/>
            <w:webHidden/>
          </w:rPr>
          <w:instrText xml:space="preserve"> PAGEREF _Toc300000457 \h </w:instrText>
        </w:r>
        <w:r>
          <w:rPr>
            <w:noProof/>
            <w:webHidden/>
          </w:rPr>
          <w:fldChar w:fldCharType="separate"/>
        </w:r>
        <w:r>
          <w:rPr>
            <w:noProof/>
            <w:webHidden/>
          </w:rPr>
          <w:t>1011</w:t>
        </w:r>
        <w:r>
          <w:rPr>
            <w:noProof/>
            <w:webHidden/>
          </w:rPr>
          <w:fldChar w:fldCharType="end"/>
        </w:r>
      </w:hyperlink>
    </w:p>
    <w:p>
      <w:pPr>
        <w:pStyle w:val="TOC2"/>
      </w:pPr>
      <w:hyperlink w:anchor="_Toc300000458" w:history="1">
        <w:r>
          <w:rPr>
            <w:noProof/>
          </w:rPr>
          <w:t xml:space="preserve">Article 15.10: Small and Medium-Sized Enterprises</w:t>
        </w:r>
        <w:r>
          <w:rPr>
            <w:noProof/>
            <w:webHidden/>
          </w:rPr>
          <w:tab/>
        </w:r>
        <w:r>
          <w:rPr>
            <w:noProof/>
            <w:webHidden/>
          </w:rPr>
          <w:fldChar w:fldCharType="begin"/>
        </w:r>
        <w:r>
          <w:rPr>
            <w:noProof/>
            <w:webHidden/>
          </w:rPr>
          <w:instrText xml:space="preserve"> PAGEREF _Toc300000458 \h </w:instrText>
        </w:r>
        <w:r>
          <w:rPr>
            <w:noProof/>
            <w:webHidden/>
          </w:rPr>
          <w:fldChar w:fldCharType="separate"/>
        </w:r>
        <w:r>
          <w:rPr>
            <w:noProof/>
            <w:webHidden/>
          </w:rPr>
          <w:t>1012</w:t>
        </w:r>
        <w:r>
          <w:rPr>
            <w:noProof/>
            <w:webHidden/>
          </w:rPr>
          <w:fldChar w:fldCharType="end"/>
        </w:r>
      </w:hyperlink>
    </w:p>
    <w:p>
      <w:pPr>
        <w:pStyle w:val="TOC2"/>
      </w:pPr>
      <w:hyperlink w:anchor="_Toc300000459" w:history="1">
        <w:r>
          <w:rPr>
            <w:noProof/>
          </w:rPr>
          <w:t xml:space="preserve">Article 15.11: Denial of Benefits</w:t>
        </w:r>
        <w:r>
          <w:rPr>
            <w:noProof/>
            <w:webHidden/>
          </w:rPr>
          <w:tab/>
        </w:r>
        <w:r>
          <w:rPr>
            <w:noProof/>
            <w:webHidden/>
          </w:rPr>
          <w:fldChar w:fldCharType="begin"/>
        </w:r>
        <w:r>
          <w:rPr>
            <w:noProof/>
            <w:webHidden/>
          </w:rPr>
          <w:instrText xml:space="preserve"> PAGEREF _Toc300000459 \h </w:instrText>
        </w:r>
        <w:r>
          <w:rPr>
            <w:noProof/>
            <w:webHidden/>
          </w:rPr>
          <w:fldChar w:fldCharType="separate"/>
        </w:r>
        <w:r>
          <w:rPr>
            <w:noProof/>
            <w:webHidden/>
          </w:rPr>
          <w:t>1012</w:t>
        </w:r>
        <w:r>
          <w:rPr>
            <w:noProof/>
            <w:webHidden/>
          </w:rPr>
          <w:fldChar w:fldCharType="end"/>
        </w:r>
      </w:hyperlink>
    </w:p>
    <w:p>
      <w:pPr>
        <w:pStyle w:val="TOC2"/>
      </w:pPr>
      <w:hyperlink w:anchor="_Toc300000460" w:history="1">
        <w:r>
          <w:rPr>
            <w:noProof/>
          </w:rPr>
          <w:t xml:space="preserve">Article 15.12: Payments and Transfers</w:t>
        </w:r>
        <w:r>
          <w:rPr>
            <w:noProof/>
            <w:webHidden/>
          </w:rPr>
          <w:tab/>
        </w:r>
        <w:r>
          <w:rPr>
            <w:noProof/>
            <w:webHidden/>
          </w:rPr>
          <w:fldChar w:fldCharType="begin"/>
        </w:r>
        <w:r>
          <w:rPr>
            <w:noProof/>
            <w:webHidden/>
          </w:rPr>
          <w:instrText xml:space="preserve"> PAGEREF _Toc300000460 \h </w:instrText>
        </w:r>
        <w:r>
          <w:rPr>
            <w:noProof/>
            <w:webHidden/>
          </w:rPr>
          <w:fldChar w:fldCharType="separate"/>
        </w:r>
        <w:r>
          <w:rPr>
            <w:noProof/>
            <w:webHidden/>
          </w:rPr>
          <w:t>1013</w:t>
        </w:r>
        <w:r>
          <w:rPr>
            <w:noProof/>
            <w:webHidden/>
          </w:rPr>
          <w:fldChar w:fldCharType="end"/>
        </w:r>
      </w:hyperlink>
    </w:p>
    <w:p>
      <w:pPr>
        <w:pStyle w:val="TOC2"/>
      </w:pPr>
      <w:hyperlink w:anchor="_Toc300000461" w:history="1">
        <w:r>
          <w:rPr>
            <w:noProof/>
          </w:rPr>
          <w:t xml:space="preserve">ANNEX 15-A DELIVERY SERVICES</w:t>
        </w:r>
        <w:r>
          <w:rPr>
            <w:noProof/>
            <w:webHidden/>
          </w:rPr>
          <w:tab/>
        </w:r>
        <w:r>
          <w:rPr>
            <w:noProof/>
            <w:webHidden/>
          </w:rPr>
          <w:fldChar w:fldCharType="begin"/>
        </w:r>
        <w:r>
          <w:rPr>
            <w:noProof/>
            <w:webHidden/>
          </w:rPr>
          <w:instrText xml:space="preserve"> PAGEREF _Toc300000461 \h </w:instrText>
        </w:r>
        <w:r>
          <w:rPr>
            <w:noProof/>
            <w:webHidden/>
          </w:rPr>
          <w:fldChar w:fldCharType="separate"/>
        </w:r>
        <w:r>
          <w:rPr>
            <w:noProof/>
            <w:webHidden/>
          </w:rPr>
          <w:t>1013</w:t>
        </w:r>
        <w:r>
          <w:rPr>
            <w:noProof/>
            <w:webHidden/>
          </w:rPr>
          <w:fldChar w:fldCharType="end"/>
        </w:r>
      </w:hyperlink>
    </w:p>
    <w:p>
      <w:pPr>
        <w:pStyle w:val="TOC2"/>
      </w:pPr>
      <w:hyperlink w:anchor="_Toc300000462" w:history="1">
        <w:r>
          <w:rPr>
            <w:noProof/>
          </w:rPr>
          <w:t xml:space="preserve">ANNEX 15-B COMMITTEE ON TRANSPORTATION SERVICES</w:t>
        </w:r>
        <w:r>
          <w:rPr>
            <w:noProof/>
            <w:webHidden/>
          </w:rPr>
          <w:tab/>
        </w:r>
        <w:r>
          <w:rPr>
            <w:noProof/>
            <w:webHidden/>
          </w:rPr>
          <w:fldChar w:fldCharType="begin"/>
        </w:r>
        <w:r>
          <w:rPr>
            <w:noProof/>
            <w:webHidden/>
          </w:rPr>
          <w:instrText xml:space="preserve"> PAGEREF _Toc300000462 \h </w:instrText>
        </w:r>
        <w:r>
          <w:rPr>
            <w:noProof/>
            <w:webHidden/>
          </w:rPr>
          <w:fldChar w:fldCharType="separate"/>
        </w:r>
        <w:r>
          <w:rPr>
            <w:noProof/>
            <w:webHidden/>
          </w:rPr>
          <w:t>1014</w:t>
        </w:r>
        <w:r>
          <w:rPr>
            <w:noProof/>
            <w:webHidden/>
          </w:rPr>
          <w:fldChar w:fldCharType="end"/>
        </w:r>
      </w:hyperlink>
    </w:p>
    <w:p>
      <w:pPr>
        <w:pStyle w:val="TOC2"/>
      </w:pPr>
      <w:hyperlink w:anchor="_Toc300000463" w:history="1">
        <w:r>
          <w:rPr>
            <w:noProof/>
          </w:rPr>
          <w:t xml:space="preserve">ANNEX 15-C PROFESSIONAL SERVICES</w:t>
        </w:r>
        <w:r>
          <w:rPr>
            <w:noProof/>
            <w:webHidden/>
          </w:rPr>
          <w:tab/>
        </w:r>
        <w:r>
          <w:rPr>
            <w:noProof/>
            <w:webHidden/>
          </w:rPr>
          <w:fldChar w:fldCharType="begin"/>
        </w:r>
        <w:r>
          <w:rPr>
            <w:noProof/>
            <w:webHidden/>
          </w:rPr>
          <w:instrText xml:space="preserve"> PAGEREF _Toc300000463 \h </w:instrText>
        </w:r>
        <w:r>
          <w:rPr>
            <w:noProof/>
            <w:webHidden/>
          </w:rPr>
          <w:fldChar w:fldCharType="separate"/>
        </w:r>
        <w:r>
          <w:rPr>
            <w:noProof/>
            <w:webHidden/>
          </w:rPr>
          <w:t>1015</w:t>
        </w:r>
        <w:r>
          <w:rPr>
            <w:noProof/>
            <w:webHidden/>
          </w:rPr>
          <w:fldChar w:fldCharType="end"/>
        </w:r>
      </w:hyperlink>
    </w:p>
    <w:p>
      <w:pPr>
        <w:pStyle w:val="TOC2"/>
      </w:pPr>
      <w:hyperlink w:anchor="_Toc300000464" w:history="1">
        <w:r>
          <w:rPr>
            <w:noProof/>
          </w:rPr>
          <w:t xml:space="preserve">APPENDIX 1 GUIDELINES FOR MUTUAL RECOGNITION AGREEMENTS OR ARRANGEMENTS FOR THE PROFESSIONAL SERVICES SECTOR</w:t>
        </w:r>
        <w:r>
          <w:rPr>
            <w:noProof/>
            <w:webHidden/>
          </w:rPr>
          <w:tab/>
        </w:r>
        <w:r>
          <w:rPr>
            <w:noProof/>
            <w:webHidden/>
          </w:rPr>
          <w:fldChar w:fldCharType="begin"/>
        </w:r>
        <w:r>
          <w:rPr>
            <w:noProof/>
            <w:webHidden/>
          </w:rPr>
          <w:instrText xml:space="preserve"> PAGEREF _Toc300000464 \h </w:instrText>
        </w:r>
        <w:r>
          <w:rPr>
            <w:noProof/>
            <w:webHidden/>
          </w:rPr>
          <w:fldChar w:fldCharType="separate"/>
        </w:r>
        <w:r>
          <w:rPr>
            <w:noProof/>
            <w:webHidden/>
          </w:rPr>
          <w:t>1016</w:t>
        </w:r>
        <w:r>
          <w:rPr>
            <w:noProof/>
            <w:webHidden/>
          </w:rPr>
          <w:fldChar w:fldCharType="end"/>
        </w:r>
      </w:hyperlink>
    </w:p>
    <w:p>
      <w:pPr>
        <w:pStyle w:val="TOC2"/>
      </w:pPr>
      <w:hyperlink w:anchor="_Toc300000465" w:history="1">
        <w:r>
          <w:rPr>
            <w:noProof/>
          </w:rPr>
          <w:t xml:space="preserve">ANNEX 15-D PROGRAMMING SERVICES</w:t>
        </w:r>
        <w:r>
          <w:rPr>
            <w:noProof/>
            <w:webHidden/>
          </w:rPr>
          <w:tab/>
        </w:r>
        <w:r>
          <w:rPr>
            <w:noProof/>
            <w:webHidden/>
          </w:rPr>
          <w:fldChar w:fldCharType="begin"/>
        </w:r>
        <w:r>
          <w:rPr>
            <w:noProof/>
            <w:webHidden/>
          </w:rPr>
          <w:instrText xml:space="preserve"> PAGEREF _Toc300000465 \h </w:instrText>
        </w:r>
        <w:r>
          <w:rPr>
            <w:noProof/>
            <w:webHidden/>
          </w:rPr>
          <w:fldChar w:fldCharType="separate"/>
        </w:r>
        <w:r>
          <w:rPr>
            <w:noProof/>
            <w:webHidden/>
          </w:rPr>
          <w:t>1018</w:t>
        </w:r>
        <w:r>
          <w:rPr>
            <w:noProof/>
            <w:webHidden/>
          </w:rPr>
          <w:fldChar w:fldCharType="end"/>
        </w:r>
      </w:hyperlink>
    </w:p>
    <w:p>
      <w:pPr>
        <w:pStyle w:val="TOC2"/>
      </w:pPr>
      <w:hyperlink w:anchor="_Toc300000466" w:history="1">
        <w:r>
          <w:rPr>
            <w:noProof/>
          </w:rPr>
          <w:t xml:space="preserve">ANNEX 15-E MEXICO’S CULTURAL EXCEPTIONS</w:t>
        </w:r>
        <w:r>
          <w:rPr>
            <w:noProof/>
            <w:webHidden/>
          </w:rPr>
          <w:tab/>
        </w:r>
        <w:r>
          <w:rPr>
            <w:noProof/>
            <w:webHidden/>
          </w:rPr>
          <w:fldChar w:fldCharType="begin"/>
        </w:r>
        <w:r>
          <w:rPr>
            <w:noProof/>
            <w:webHidden/>
          </w:rPr>
          <w:instrText xml:space="preserve"> PAGEREF _Toc300000466 \h </w:instrText>
        </w:r>
        <w:r>
          <w:rPr>
            <w:noProof/>
            <w:webHidden/>
          </w:rPr>
          <w:fldChar w:fldCharType="separate"/>
        </w:r>
        <w:r>
          <w:rPr>
            <w:noProof/>
            <w:webHidden/>
          </w:rPr>
          <w:t>1019</w:t>
        </w:r>
        <w:r>
          <w:rPr>
            <w:noProof/>
            <w:webHidden/>
          </w:rPr>
          <w:fldChar w:fldCharType="end"/>
        </w:r>
      </w:hyperlink>
    </w:p>
    <w:p>
      <w:pPr>
        <w:pStyle w:val="TOC2"/>
      </w:pPr>
      <w:hyperlink w:anchor="_Toc300000467" w:history="1">
        <w:r>
          <w:rPr>
            <w:noProof/>
          </w:rPr>
          <w:t xml:space="preserve">CHAPTER 15: CUSMA 2.0 MODERNIZATION PROVISIONS</w:t>
        </w:r>
        <w:r>
          <w:rPr>
            <w:noProof/>
            <w:webHidden/>
          </w:rPr>
          <w:tab/>
        </w:r>
        <w:r>
          <w:rPr>
            <w:noProof/>
            <w:webHidden/>
          </w:rPr>
          <w:fldChar w:fldCharType="begin"/>
        </w:r>
        <w:r>
          <w:rPr>
            <w:noProof/>
            <w:webHidden/>
          </w:rPr>
          <w:instrText xml:space="preserve"> PAGEREF _Toc300000467 \h </w:instrText>
        </w:r>
        <w:r>
          <w:rPr>
            <w:noProof/>
            <w:webHidden/>
          </w:rPr>
          <w:fldChar w:fldCharType="separate"/>
        </w:r>
        <w:r>
          <w:rPr>
            <w:noProof/>
            <w:webHidden/>
          </w:rPr>
          <w:t>1020</w:t>
        </w:r>
        <w:r>
          <w:rPr>
            <w:noProof/>
            <w:webHidden/>
          </w:rPr>
          <w:fldChar w:fldCharType="end"/>
        </w:r>
      </w:hyperlink>
    </w:p>
    <w:p>
      <w:pPr>
        <w:pStyle w:val="TOC2"/>
      </w:pPr>
      <w:hyperlink w:anchor="_Toc300000468" w:history="1">
        <w:r>
          <w:rPr>
            <w:noProof/>
          </w:rPr>
          <w:t xml:space="preserve">Article 15.H: North American Franchise and Consumer Services Market Access</w:t>
        </w:r>
        <w:r>
          <w:rPr>
            <w:noProof/>
            <w:webHidden/>
          </w:rPr>
          <w:tab/>
        </w:r>
        <w:r>
          <w:rPr>
            <w:noProof/>
            <w:webHidden/>
          </w:rPr>
          <w:fldChar w:fldCharType="begin"/>
        </w:r>
        <w:r>
          <w:rPr>
            <w:noProof/>
            <w:webHidden/>
          </w:rPr>
          <w:instrText xml:space="preserve"> PAGEREF _Toc300000468 \h </w:instrText>
        </w:r>
        <w:r>
          <w:rPr>
            <w:noProof/>
            <w:webHidden/>
          </w:rPr>
          <w:fldChar w:fldCharType="separate"/>
        </w:r>
        <w:r>
          <w:rPr>
            <w:noProof/>
            <w:webHidden/>
          </w:rPr>
          <w:t>1020</w:t>
        </w:r>
        <w:r>
          <w:rPr>
            <w:noProof/>
            <w:webHidden/>
          </w:rPr>
          <w:fldChar w:fldCharType="end"/>
        </w:r>
      </w:hyperlink>
    </w:p>
    <w:p>
      <w:pPr>
        <w:pStyle w:val="TOC1"/>
      </w:pPr>
      <w:hyperlink w:anchor="_Toc300000469" w:history="1">
        <w:r>
          <w:rPr>
            <w:noProof/>
          </w:rPr>
          <w:t xml:space="preserve">CHAPTER 16 TEMPORARY ENTRY FOR BUSINESS PERSONS</w:t>
        </w:r>
        <w:r>
          <w:rPr>
            <w:noProof/>
            <w:webHidden/>
          </w:rPr>
          <w:tab/>
        </w:r>
        <w:r>
          <w:rPr>
            <w:noProof/>
            <w:webHidden/>
          </w:rPr>
          <w:fldChar w:fldCharType="begin"/>
        </w:r>
        <w:r>
          <w:rPr>
            <w:noProof/>
            <w:webHidden/>
          </w:rPr>
          <w:instrText xml:space="preserve"> PAGEREF _Toc300000469 \h </w:instrText>
        </w:r>
        <w:r>
          <w:rPr>
            <w:noProof/>
            <w:webHidden/>
          </w:rPr>
          <w:fldChar w:fldCharType="separate"/>
        </w:r>
        <w:r>
          <w:rPr>
            <w:noProof/>
            <w:webHidden/>
          </w:rPr>
          <w:t>1022</w:t>
        </w:r>
        <w:r>
          <w:rPr>
            <w:noProof/>
            <w:webHidden/>
          </w:rPr>
          <w:fldChar w:fldCharType="end"/>
        </w:r>
      </w:hyperlink>
    </w:p>
    <w:p>
      <w:pPr>
        <w:pStyle w:val="TOC2"/>
      </w:pPr>
      <w:hyperlink w:anchor="_Toc300000470" w:history="1">
        <w:r>
          <w:rPr>
            <w:noProof/>
          </w:rPr>
          <w:t xml:space="preserve">Article 16.1: Definitions</w:t>
        </w:r>
        <w:r>
          <w:rPr>
            <w:noProof/>
            <w:webHidden/>
          </w:rPr>
          <w:tab/>
        </w:r>
        <w:r>
          <w:rPr>
            <w:noProof/>
            <w:webHidden/>
          </w:rPr>
          <w:fldChar w:fldCharType="begin"/>
        </w:r>
        <w:r>
          <w:rPr>
            <w:noProof/>
            <w:webHidden/>
          </w:rPr>
          <w:instrText xml:space="preserve"> PAGEREF _Toc300000470 \h </w:instrText>
        </w:r>
        <w:r>
          <w:rPr>
            <w:noProof/>
            <w:webHidden/>
          </w:rPr>
          <w:fldChar w:fldCharType="separate"/>
        </w:r>
        <w:r>
          <w:rPr>
            <w:noProof/>
            <w:webHidden/>
          </w:rPr>
          <w:t>1022</w:t>
        </w:r>
        <w:r>
          <w:rPr>
            <w:noProof/>
            <w:webHidden/>
          </w:rPr>
          <w:fldChar w:fldCharType="end"/>
        </w:r>
      </w:hyperlink>
    </w:p>
    <w:p>
      <w:pPr>
        <w:pStyle w:val="TOC2"/>
      </w:pPr>
      <w:hyperlink w:anchor="_Toc300000471" w:history="1">
        <w:r>
          <w:rPr>
            <w:noProof/>
          </w:rPr>
          <w:t xml:space="preserve">Article 16.2: Scope</w:t>
        </w:r>
        <w:r>
          <w:rPr>
            <w:noProof/>
            <w:webHidden/>
          </w:rPr>
          <w:tab/>
        </w:r>
        <w:r>
          <w:rPr>
            <w:noProof/>
            <w:webHidden/>
          </w:rPr>
          <w:fldChar w:fldCharType="begin"/>
        </w:r>
        <w:r>
          <w:rPr>
            <w:noProof/>
            <w:webHidden/>
          </w:rPr>
          <w:instrText xml:space="preserve"> PAGEREF _Toc300000471 \h </w:instrText>
        </w:r>
        <w:r>
          <w:rPr>
            <w:noProof/>
            <w:webHidden/>
          </w:rPr>
          <w:fldChar w:fldCharType="separate"/>
        </w:r>
        <w:r>
          <w:rPr>
            <w:noProof/>
            <w:webHidden/>
          </w:rPr>
          <w:t>1022</w:t>
        </w:r>
        <w:r>
          <w:rPr>
            <w:noProof/>
            <w:webHidden/>
          </w:rPr>
          <w:fldChar w:fldCharType="end"/>
        </w:r>
      </w:hyperlink>
    </w:p>
    <w:p>
      <w:pPr>
        <w:pStyle w:val="TOC2"/>
      </w:pPr>
      <w:hyperlink w:anchor="_Toc300000472" w:history="1">
        <w:r>
          <w:rPr>
            <w:noProof/>
          </w:rPr>
          <w:t xml:space="preserve">Article 16.3: General Obligations</w:t>
        </w:r>
        <w:r>
          <w:rPr>
            <w:noProof/>
            <w:webHidden/>
          </w:rPr>
          <w:tab/>
        </w:r>
        <w:r>
          <w:rPr>
            <w:noProof/>
            <w:webHidden/>
          </w:rPr>
          <w:fldChar w:fldCharType="begin"/>
        </w:r>
        <w:r>
          <w:rPr>
            <w:noProof/>
            <w:webHidden/>
          </w:rPr>
          <w:instrText xml:space="preserve"> PAGEREF _Toc300000472 \h </w:instrText>
        </w:r>
        <w:r>
          <w:rPr>
            <w:noProof/>
            <w:webHidden/>
          </w:rPr>
          <w:fldChar w:fldCharType="separate"/>
        </w:r>
        <w:r>
          <w:rPr>
            <w:noProof/>
            <w:webHidden/>
          </w:rPr>
          <w:t>1022</w:t>
        </w:r>
        <w:r>
          <w:rPr>
            <w:noProof/>
            <w:webHidden/>
          </w:rPr>
          <w:fldChar w:fldCharType="end"/>
        </w:r>
      </w:hyperlink>
    </w:p>
    <w:p>
      <w:pPr>
        <w:pStyle w:val="TOC2"/>
      </w:pPr>
      <w:hyperlink w:anchor="_Toc300000473" w:history="1">
        <w:r>
          <w:rPr>
            <w:noProof/>
          </w:rPr>
          <w:t xml:space="preserve">Article 16.4: Grant of Temporary Entry</w:t>
        </w:r>
        <w:r>
          <w:rPr>
            <w:noProof/>
            <w:webHidden/>
          </w:rPr>
          <w:tab/>
        </w:r>
        <w:r>
          <w:rPr>
            <w:noProof/>
            <w:webHidden/>
          </w:rPr>
          <w:fldChar w:fldCharType="begin"/>
        </w:r>
        <w:r>
          <w:rPr>
            <w:noProof/>
            <w:webHidden/>
          </w:rPr>
          <w:instrText xml:space="preserve"> PAGEREF _Toc300000473 \h </w:instrText>
        </w:r>
        <w:r>
          <w:rPr>
            <w:noProof/>
            <w:webHidden/>
          </w:rPr>
          <w:fldChar w:fldCharType="separate"/>
        </w:r>
        <w:r>
          <w:rPr>
            <w:noProof/>
            <w:webHidden/>
          </w:rPr>
          <w:t>1022</w:t>
        </w:r>
        <w:r>
          <w:rPr>
            <w:noProof/>
            <w:webHidden/>
          </w:rPr>
          <w:fldChar w:fldCharType="end"/>
        </w:r>
      </w:hyperlink>
    </w:p>
    <w:p>
      <w:pPr>
        <w:pStyle w:val="TOC2"/>
      </w:pPr>
      <w:hyperlink w:anchor="_Toc300000474" w:history="1">
        <w:r>
          <w:rPr>
            <w:noProof/>
          </w:rPr>
          <w:t xml:space="preserve">Article 16.5: Provision of Information</w:t>
        </w:r>
        <w:r>
          <w:rPr>
            <w:noProof/>
            <w:webHidden/>
          </w:rPr>
          <w:tab/>
        </w:r>
        <w:r>
          <w:rPr>
            <w:noProof/>
            <w:webHidden/>
          </w:rPr>
          <w:fldChar w:fldCharType="begin"/>
        </w:r>
        <w:r>
          <w:rPr>
            <w:noProof/>
            <w:webHidden/>
          </w:rPr>
          <w:instrText xml:space="preserve"> PAGEREF _Toc300000474 \h </w:instrText>
        </w:r>
        <w:r>
          <w:rPr>
            <w:noProof/>
            <w:webHidden/>
          </w:rPr>
          <w:fldChar w:fldCharType="separate"/>
        </w:r>
        <w:r>
          <w:rPr>
            <w:noProof/>
            <w:webHidden/>
          </w:rPr>
          <w:t>1023</w:t>
        </w:r>
        <w:r>
          <w:rPr>
            <w:noProof/>
            <w:webHidden/>
          </w:rPr>
          <w:fldChar w:fldCharType="end"/>
        </w:r>
      </w:hyperlink>
    </w:p>
    <w:p>
      <w:pPr>
        <w:pStyle w:val="TOC2"/>
      </w:pPr>
      <w:hyperlink w:anchor="_Toc300000475" w:history="1">
        <w:r>
          <w:rPr>
            <w:noProof/>
          </w:rPr>
          <w:t xml:space="preserve">Article 16.6: Temporary Entry Working Group</w:t>
        </w:r>
        <w:r>
          <w:rPr>
            <w:noProof/>
            <w:webHidden/>
          </w:rPr>
          <w:tab/>
        </w:r>
        <w:r>
          <w:rPr>
            <w:noProof/>
            <w:webHidden/>
          </w:rPr>
          <w:fldChar w:fldCharType="begin"/>
        </w:r>
        <w:r>
          <w:rPr>
            <w:noProof/>
            <w:webHidden/>
          </w:rPr>
          <w:instrText xml:space="preserve"> PAGEREF _Toc300000475 \h </w:instrText>
        </w:r>
        <w:r>
          <w:rPr>
            <w:noProof/>
            <w:webHidden/>
          </w:rPr>
          <w:fldChar w:fldCharType="separate"/>
        </w:r>
        <w:r>
          <w:rPr>
            <w:noProof/>
            <w:webHidden/>
          </w:rPr>
          <w:t>1023</w:t>
        </w:r>
        <w:r>
          <w:rPr>
            <w:noProof/>
            <w:webHidden/>
          </w:rPr>
          <w:fldChar w:fldCharType="end"/>
        </w:r>
      </w:hyperlink>
    </w:p>
    <w:p>
      <w:pPr>
        <w:pStyle w:val="TOC2"/>
      </w:pPr>
      <w:hyperlink w:anchor="_Toc300000476" w:history="1">
        <w:r>
          <w:rPr>
            <w:noProof/>
          </w:rPr>
          <w:t xml:space="preserve">Article 16.7: Dispute Settlement</w:t>
        </w:r>
        <w:r>
          <w:rPr>
            <w:noProof/>
            <w:webHidden/>
          </w:rPr>
          <w:tab/>
        </w:r>
        <w:r>
          <w:rPr>
            <w:noProof/>
            <w:webHidden/>
          </w:rPr>
          <w:fldChar w:fldCharType="begin"/>
        </w:r>
        <w:r>
          <w:rPr>
            <w:noProof/>
            <w:webHidden/>
          </w:rPr>
          <w:instrText xml:space="preserve"> PAGEREF _Toc300000476 \h </w:instrText>
        </w:r>
        <w:r>
          <w:rPr>
            <w:noProof/>
            <w:webHidden/>
          </w:rPr>
          <w:fldChar w:fldCharType="separate"/>
        </w:r>
        <w:r>
          <w:rPr>
            <w:noProof/>
            <w:webHidden/>
          </w:rPr>
          <w:t>1023</w:t>
        </w:r>
        <w:r>
          <w:rPr>
            <w:noProof/>
            <w:webHidden/>
          </w:rPr>
          <w:fldChar w:fldCharType="end"/>
        </w:r>
      </w:hyperlink>
    </w:p>
    <w:p>
      <w:pPr>
        <w:pStyle w:val="TOC2"/>
      </w:pPr>
      <w:hyperlink w:anchor="_Toc300000477" w:history="1">
        <w:r>
          <w:rPr>
            <w:noProof/>
          </w:rPr>
          <w:t xml:space="preserve">Article 16.8: Relation to Other Chapters</w:t>
        </w:r>
        <w:r>
          <w:rPr>
            <w:noProof/>
            <w:webHidden/>
          </w:rPr>
          <w:tab/>
        </w:r>
        <w:r>
          <w:rPr>
            <w:noProof/>
            <w:webHidden/>
          </w:rPr>
          <w:fldChar w:fldCharType="begin"/>
        </w:r>
        <w:r>
          <w:rPr>
            <w:noProof/>
            <w:webHidden/>
          </w:rPr>
          <w:instrText xml:space="preserve"> PAGEREF _Toc300000477 \h </w:instrText>
        </w:r>
        <w:r>
          <w:rPr>
            <w:noProof/>
            <w:webHidden/>
          </w:rPr>
          <w:fldChar w:fldCharType="separate"/>
        </w:r>
        <w:r>
          <w:rPr>
            <w:noProof/>
            <w:webHidden/>
          </w:rPr>
          <w:t>1024</w:t>
        </w:r>
        <w:r>
          <w:rPr>
            <w:noProof/>
            <w:webHidden/>
          </w:rPr>
          <w:fldChar w:fldCharType="end"/>
        </w:r>
      </w:hyperlink>
    </w:p>
    <w:p>
      <w:pPr>
        <w:pStyle w:val="TOC2"/>
      </w:pPr>
      <w:hyperlink w:anchor="_Toc300000478" w:history="1">
        <w:r>
          <w:rPr>
            <w:noProof/>
          </w:rPr>
          <w:t xml:space="preserve">ANNEX 16-A TEMPORARY ENTRY FOR BUSINESS PERSONS</w:t>
        </w:r>
        <w:r>
          <w:rPr>
            <w:noProof/>
            <w:webHidden/>
          </w:rPr>
          <w:tab/>
        </w:r>
        <w:r>
          <w:rPr>
            <w:noProof/>
            <w:webHidden/>
          </w:rPr>
          <w:fldChar w:fldCharType="begin"/>
        </w:r>
        <w:r>
          <w:rPr>
            <w:noProof/>
            <w:webHidden/>
          </w:rPr>
          <w:instrText xml:space="preserve"> PAGEREF _Toc300000478 \h </w:instrText>
        </w:r>
        <w:r>
          <w:rPr>
            <w:noProof/>
            <w:webHidden/>
          </w:rPr>
          <w:fldChar w:fldCharType="separate"/>
        </w:r>
        <w:r>
          <w:rPr>
            <w:noProof/>
            <w:webHidden/>
          </w:rPr>
          <w:t>1024</w:t>
        </w:r>
        <w:r>
          <w:rPr>
            <w:noProof/>
            <w:webHidden/>
          </w:rPr>
          <w:fldChar w:fldCharType="end"/>
        </w:r>
      </w:hyperlink>
    </w:p>
    <w:p>
      <w:pPr>
        <w:pStyle w:val="TOC2"/>
      </w:pPr>
      <w:hyperlink w:anchor="_Toc300000479" w:history="1">
        <w:r>
          <w:rPr>
            <w:noProof/>
          </w:rPr>
          <w:t xml:space="preserve">APPENDIX 1 BUSINESS VISITORS</w:t>
        </w:r>
        <w:r>
          <w:rPr>
            <w:noProof/>
            <w:webHidden/>
          </w:rPr>
          <w:tab/>
        </w:r>
        <w:r>
          <w:rPr>
            <w:noProof/>
            <w:webHidden/>
          </w:rPr>
          <w:fldChar w:fldCharType="begin"/>
        </w:r>
        <w:r>
          <w:rPr>
            <w:noProof/>
            <w:webHidden/>
          </w:rPr>
          <w:instrText xml:space="preserve"> PAGEREF _Toc300000479 \h </w:instrText>
        </w:r>
        <w:r>
          <w:rPr>
            <w:noProof/>
            <w:webHidden/>
          </w:rPr>
          <w:fldChar w:fldCharType="separate"/>
        </w:r>
        <w:r>
          <w:rPr>
            <w:noProof/>
            <w:webHidden/>
          </w:rPr>
          <w:t>1026</w:t>
        </w:r>
        <w:r>
          <w:rPr>
            <w:noProof/>
            <w:webHidden/>
          </w:rPr>
          <w:fldChar w:fldCharType="end"/>
        </w:r>
      </w:hyperlink>
    </w:p>
    <w:p>
      <w:pPr>
        <w:pStyle w:val="TOC2"/>
      </w:pPr>
      <w:hyperlink w:anchor="_Toc300000480" w:history="1">
        <w:r>
          <w:rPr>
            <w:noProof/>
          </w:rPr>
          <w:t xml:space="preserve">APPENDIX 2 PROFESSIONALS</w:t>
        </w:r>
        <w:r>
          <w:rPr>
            <w:noProof/>
            <w:webHidden/>
          </w:rPr>
          <w:tab/>
        </w:r>
        <w:r>
          <w:rPr>
            <w:noProof/>
            <w:webHidden/>
          </w:rPr>
          <w:fldChar w:fldCharType="begin"/>
        </w:r>
        <w:r>
          <w:rPr>
            <w:noProof/>
            <w:webHidden/>
          </w:rPr>
          <w:instrText xml:space="preserve"> PAGEREF _Toc300000480 \h </w:instrText>
        </w:r>
        <w:r>
          <w:rPr>
            <w:noProof/>
            <w:webHidden/>
          </w:rPr>
          <w:fldChar w:fldCharType="separate"/>
        </w:r>
        <w:r>
          <w:rPr>
            <w:noProof/>
            <w:webHidden/>
          </w:rPr>
          <w:t>1027</w:t>
        </w:r>
        <w:r>
          <w:rPr>
            <w:noProof/>
            <w:webHidden/>
          </w:rPr>
          <w:fldChar w:fldCharType="end"/>
        </w:r>
      </w:hyperlink>
    </w:p>
    <w:p>
      <w:pPr>
        <w:pStyle w:val="TOC2"/>
      </w:pPr>
      <w:hyperlink w:anchor="_Toc300000481" w:history="1">
        <w:r>
          <w:rPr>
            <w:noProof/>
          </w:rPr>
          <w:t xml:space="preserve">CHAPTER 16: CUSMA 2.0 MOBILITY SUPPLEMENT</w:t>
        </w:r>
        <w:r>
          <w:rPr>
            <w:noProof/>
            <w:webHidden/>
          </w:rPr>
          <w:tab/>
        </w:r>
        <w:r>
          <w:rPr>
            <w:noProof/>
            <w:webHidden/>
          </w:rPr>
          <w:fldChar w:fldCharType="begin"/>
        </w:r>
        <w:r>
          <w:rPr>
            <w:noProof/>
            <w:webHidden/>
          </w:rPr>
          <w:instrText xml:space="preserve"> PAGEREF _Toc300000481 \h </w:instrText>
        </w:r>
        <w:r>
          <w:rPr>
            <w:noProof/>
            <w:webHidden/>
          </w:rPr>
          <w:fldChar w:fldCharType="separate"/>
        </w:r>
        <w:r>
          <w:rPr>
            <w:noProof/>
            <w:webHidden/>
          </w:rPr>
          <w:t>1029</w:t>
        </w:r>
        <w:r>
          <w:rPr>
            <w:noProof/>
            <w:webHidden/>
          </w:rPr>
          <w:fldChar w:fldCharType="end"/>
        </w:r>
      </w:hyperlink>
    </w:p>
    <w:p>
      <w:pPr>
        <w:pStyle w:val="TOC2"/>
      </w:pPr>
      <w:hyperlink w:anchor="_Toc300000482" w:history="1">
        <w:r>
          <w:rPr>
            <w:noProof/>
          </w:rPr>
          <w:t xml:space="preserve">Article 16.B: Trusted North American Visitor and Snowbird Mobility Framework</w:t>
        </w:r>
        <w:r>
          <w:rPr>
            <w:noProof/>
            <w:webHidden/>
          </w:rPr>
          <w:tab/>
        </w:r>
        <w:r>
          <w:rPr>
            <w:noProof/>
            <w:webHidden/>
          </w:rPr>
          <w:fldChar w:fldCharType="begin"/>
        </w:r>
        <w:r>
          <w:rPr>
            <w:noProof/>
            <w:webHidden/>
          </w:rPr>
          <w:instrText xml:space="preserve"> PAGEREF _Toc300000482 \h </w:instrText>
        </w:r>
        <w:r>
          <w:rPr>
            <w:noProof/>
            <w:webHidden/>
          </w:rPr>
          <w:fldChar w:fldCharType="separate"/>
        </w:r>
        <w:r>
          <w:rPr>
            <w:noProof/>
            <w:webHidden/>
          </w:rPr>
          <w:t>1029</w:t>
        </w:r>
        <w:r>
          <w:rPr>
            <w:noProof/>
            <w:webHidden/>
          </w:rPr>
          <w:fldChar w:fldCharType="end"/>
        </w:r>
      </w:hyperlink>
    </w:p>
    <w:p>
      <w:pPr>
        <w:pStyle w:val="TOC1"/>
      </w:pPr>
      <w:hyperlink w:anchor="_Toc300000483" w:history="1">
        <w:r>
          <w:rPr>
            <w:noProof/>
          </w:rPr>
          <w:t xml:space="preserve">CHAPTER 17 FINANCIAL SERVICES</w:t>
        </w:r>
        <w:r>
          <w:rPr>
            <w:noProof/>
            <w:webHidden/>
          </w:rPr>
          <w:tab/>
        </w:r>
        <w:r>
          <w:rPr>
            <w:noProof/>
            <w:webHidden/>
          </w:rPr>
          <w:fldChar w:fldCharType="begin"/>
        </w:r>
        <w:r>
          <w:rPr>
            <w:noProof/>
            <w:webHidden/>
          </w:rPr>
          <w:instrText xml:space="preserve"> PAGEREF _Toc300000483 \h </w:instrText>
        </w:r>
        <w:r>
          <w:rPr>
            <w:noProof/>
            <w:webHidden/>
          </w:rPr>
          <w:fldChar w:fldCharType="separate"/>
        </w:r>
        <w:r>
          <w:rPr>
            <w:noProof/>
            <w:webHidden/>
          </w:rPr>
          <w:t>1031</w:t>
        </w:r>
        <w:r>
          <w:rPr>
            <w:noProof/>
            <w:webHidden/>
          </w:rPr>
          <w:fldChar w:fldCharType="end"/>
        </w:r>
      </w:hyperlink>
    </w:p>
    <w:p>
      <w:pPr>
        <w:pStyle w:val="TOC2"/>
      </w:pPr>
      <w:hyperlink w:anchor="_Toc300000484" w:history="1">
        <w:r>
          <w:rPr>
            <w:noProof/>
          </w:rPr>
          <w:t xml:space="preserve">Article 17.1: Definitions</w:t>
        </w:r>
        <w:r>
          <w:rPr>
            <w:noProof/>
            <w:webHidden/>
          </w:rPr>
          <w:tab/>
        </w:r>
        <w:r>
          <w:rPr>
            <w:noProof/>
            <w:webHidden/>
          </w:rPr>
          <w:fldChar w:fldCharType="begin"/>
        </w:r>
        <w:r>
          <w:rPr>
            <w:noProof/>
            <w:webHidden/>
          </w:rPr>
          <w:instrText xml:space="preserve"> PAGEREF _Toc300000484 \h </w:instrText>
        </w:r>
        <w:r>
          <w:rPr>
            <w:noProof/>
            <w:webHidden/>
          </w:rPr>
          <w:fldChar w:fldCharType="separate"/>
        </w:r>
        <w:r>
          <w:rPr>
            <w:noProof/>
            <w:webHidden/>
          </w:rPr>
          <w:t>1031</w:t>
        </w:r>
        <w:r>
          <w:rPr>
            <w:noProof/>
            <w:webHidden/>
          </w:rPr>
          <w:fldChar w:fldCharType="end"/>
        </w:r>
      </w:hyperlink>
    </w:p>
    <w:p>
      <w:pPr>
        <w:pStyle w:val="TOC2"/>
      </w:pPr>
      <w:hyperlink w:anchor="_Toc300000485" w:history="1">
        <w:r>
          <w:rPr>
            <w:noProof/>
          </w:rPr>
          <w:t xml:space="preserve">Article 17.2: Scope</w:t>
        </w:r>
        <w:r>
          <w:rPr>
            <w:noProof/>
            <w:webHidden/>
          </w:rPr>
          <w:tab/>
        </w:r>
        <w:r>
          <w:rPr>
            <w:noProof/>
            <w:webHidden/>
          </w:rPr>
          <w:fldChar w:fldCharType="begin"/>
        </w:r>
        <w:r>
          <w:rPr>
            <w:noProof/>
            <w:webHidden/>
          </w:rPr>
          <w:instrText xml:space="preserve"> PAGEREF _Toc300000485 \h </w:instrText>
        </w:r>
        <w:r>
          <w:rPr>
            <w:noProof/>
            <w:webHidden/>
          </w:rPr>
          <w:fldChar w:fldCharType="separate"/>
        </w:r>
        <w:r>
          <w:rPr>
            <w:noProof/>
            <w:webHidden/>
          </w:rPr>
          <w:t>1033</w:t>
        </w:r>
        <w:r>
          <w:rPr>
            <w:noProof/>
            <w:webHidden/>
          </w:rPr>
          <w:fldChar w:fldCharType="end"/>
        </w:r>
      </w:hyperlink>
    </w:p>
    <w:p>
      <w:pPr>
        <w:pStyle w:val="TOC2"/>
      </w:pPr>
      <w:hyperlink w:anchor="_Toc300000486" w:history="1">
        <w:r>
          <w:rPr>
            <w:noProof/>
          </w:rPr>
          <w:t xml:space="preserve">Article 17.3: National Treatment</w:t>
        </w:r>
        <w:r>
          <w:rPr>
            <w:noProof/>
            <w:webHidden/>
          </w:rPr>
          <w:tab/>
        </w:r>
        <w:r>
          <w:rPr>
            <w:noProof/>
            <w:webHidden/>
          </w:rPr>
          <w:fldChar w:fldCharType="begin"/>
        </w:r>
        <w:r>
          <w:rPr>
            <w:noProof/>
            <w:webHidden/>
          </w:rPr>
          <w:instrText xml:space="preserve"> PAGEREF _Toc300000486 \h </w:instrText>
        </w:r>
        <w:r>
          <w:rPr>
            <w:noProof/>
            <w:webHidden/>
          </w:rPr>
          <w:fldChar w:fldCharType="separate"/>
        </w:r>
        <w:r>
          <w:rPr>
            <w:noProof/>
            <w:webHidden/>
          </w:rPr>
          <w:t>1034</w:t>
        </w:r>
        <w:r>
          <w:rPr>
            <w:noProof/>
            <w:webHidden/>
          </w:rPr>
          <w:fldChar w:fldCharType="end"/>
        </w:r>
      </w:hyperlink>
    </w:p>
    <w:p>
      <w:pPr>
        <w:pStyle w:val="TOC2"/>
      </w:pPr>
      <w:hyperlink w:anchor="_Toc300000487" w:history="1">
        <w:r>
          <w:rPr>
            <w:noProof/>
          </w:rPr>
          <w:t xml:space="preserve">Article 17.4: Most-Favored-Nation Treatment</w:t>
        </w:r>
        <w:r>
          <w:rPr>
            <w:noProof/>
            <w:webHidden/>
          </w:rPr>
          <w:tab/>
        </w:r>
        <w:r>
          <w:rPr>
            <w:noProof/>
            <w:webHidden/>
          </w:rPr>
          <w:fldChar w:fldCharType="begin"/>
        </w:r>
        <w:r>
          <w:rPr>
            <w:noProof/>
            <w:webHidden/>
          </w:rPr>
          <w:instrText xml:space="preserve"> PAGEREF _Toc300000487 \h </w:instrText>
        </w:r>
        <w:r>
          <w:rPr>
            <w:noProof/>
            <w:webHidden/>
          </w:rPr>
          <w:fldChar w:fldCharType="separate"/>
        </w:r>
        <w:r>
          <w:rPr>
            <w:noProof/>
            <w:webHidden/>
          </w:rPr>
          <w:t>1034</w:t>
        </w:r>
        <w:r>
          <w:rPr>
            <w:noProof/>
            <w:webHidden/>
          </w:rPr>
          <w:fldChar w:fldCharType="end"/>
        </w:r>
      </w:hyperlink>
    </w:p>
    <w:p>
      <w:pPr>
        <w:pStyle w:val="TOC2"/>
      </w:pPr>
      <w:hyperlink w:anchor="_Toc300000488" w:history="1">
        <w:r>
          <w:rPr>
            <w:noProof/>
          </w:rPr>
          <w:t xml:space="preserve">Article 17.5: Market Access</w:t>
        </w:r>
        <w:r>
          <w:rPr>
            <w:noProof/>
            <w:webHidden/>
          </w:rPr>
          <w:tab/>
        </w:r>
        <w:r>
          <w:rPr>
            <w:noProof/>
            <w:webHidden/>
          </w:rPr>
          <w:fldChar w:fldCharType="begin"/>
        </w:r>
        <w:r>
          <w:rPr>
            <w:noProof/>
            <w:webHidden/>
          </w:rPr>
          <w:instrText xml:space="preserve"> PAGEREF _Toc300000488 \h </w:instrText>
        </w:r>
        <w:r>
          <w:rPr>
            <w:noProof/>
            <w:webHidden/>
          </w:rPr>
          <w:fldChar w:fldCharType="separate"/>
        </w:r>
        <w:r>
          <w:rPr>
            <w:noProof/>
            <w:webHidden/>
          </w:rPr>
          <w:t>1035</w:t>
        </w:r>
        <w:r>
          <w:rPr>
            <w:noProof/>
            <w:webHidden/>
          </w:rPr>
          <w:fldChar w:fldCharType="end"/>
        </w:r>
      </w:hyperlink>
    </w:p>
    <w:p>
      <w:pPr>
        <w:pStyle w:val="TOC2"/>
      </w:pPr>
      <w:hyperlink w:anchor="_Toc300000489" w:history="1">
        <w:r>
          <w:rPr>
            <w:noProof/>
          </w:rPr>
          <w:t xml:space="preserve">Article 17.6: Cross-Border Trade Standstill</w:t>
        </w:r>
        <w:r>
          <w:rPr>
            <w:noProof/>
            <w:webHidden/>
          </w:rPr>
          <w:tab/>
        </w:r>
        <w:r>
          <w:rPr>
            <w:noProof/>
            <w:webHidden/>
          </w:rPr>
          <w:fldChar w:fldCharType="begin"/>
        </w:r>
        <w:r>
          <w:rPr>
            <w:noProof/>
            <w:webHidden/>
          </w:rPr>
          <w:instrText xml:space="preserve"> PAGEREF _Toc300000489 \h </w:instrText>
        </w:r>
        <w:r>
          <w:rPr>
            <w:noProof/>
            <w:webHidden/>
          </w:rPr>
          <w:fldChar w:fldCharType="separate"/>
        </w:r>
        <w:r>
          <w:rPr>
            <w:noProof/>
            <w:webHidden/>
          </w:rPr>
          <w:t>1036</w:t>
        </w:r>
        <w:r>
          <w:rPr>
            <w:noProof/>
            <w:webHidden/>
          </w:rPr>
          <w:fldChar w:fldCharType="end"/>
        </w:r>
      </w:hyperlink>
    </w:p>
    <w:p>
      <w:pPr>
        <w:pStyle w:val="TOC2"/>
      </w:pPr>
      <w:hyperlink w:anchor="_Toc300000490" w:history="1">
        <w:r>
          <w:rPr>
            <w:noProof/>
          </w:rPr>
          <w:t xml:space="preserve">Article 17.7: New Financial Services</w:t>
        </w:r>
        <w:r>
          <w:rPr>
            <w:noProof/>
            <w:webHidden/>
          </w:rPr>
          <w:tab/>
        </w:r>
        <w:r>
          <w:rPr>
            <w:noProof/>
            <w:webHidden/>
          </w:rPr>
          <w:fldChar w:fldCharType="begin"/>
        </w:r>
        <w:r>
          <w:rPr>
            <w:noProof/>
            <w:webHidden/>
          </w:rPr>
          <w:instrText xml:space="preserve"> PAGEREF _Toc300000490 \h </w:instrText>
        </w:r>
        <w:r>
          <w:rPr>
            <w:noProof/>
            <w:webHidden/>
          </w:rPr>
          <w:fldChar w:fldCharType="separate"/>
        </w:r>
        <w:r>
          <w:rPr>
            <w:noProof/>
            <w:webHidden/>
          </w:rPr>
          <w:t>1036</w:t>
        </w:r>
        <w:r>
          <w:rPr>
            <w:noProof/>
            <w:webHidden/>
          </w:rPr>
          <w:fldChar w:fldCharType="end"/>
        </w:r>
      </w:hyperlink>
    </w:p>
    <w:p>
      <w:pPr>
        <w:pStyle w:val="TOC2"/>
      </w:pPr>
      <w:hyperlink w:anchor="_Toc300000491" w:history="1">
        <w:r>
          <w:rPr>
            <w:noProof/>
          </w:rPr>
          <w:t xml:space="preserve">Article 17.8: Treatment of Customer Information</w:t>
        </w:r>
        <w:r>
          <w:rPr>
            <w:noProof/>
            <w:webHidden/>
          </w:rPr>
          <w:tab/>
        </w:r>
        <w:r>
          <w:rPr>
            <w:noProof/>
            <w:webHidden/>
          </w:rPr>
          <w:fldChar w:fldCharType="begin"/>
        </w:r>
        <w:r>
          <w:rPr>
            <w:noProof/>
            <w:webHidden/>
          </w:rPr>
          <w:instrText xml:space="preserve"> PAGEREF _Toc300000491 \h </w:instrText>
        </w:r>
        <w:r>
          <w:rPr>
            <w:noProof/>
            <w:webHidden/>
          </w:rPr>
          <w:fldChar w:fldCharType="separate"/>
        </w:r>
        <w:r>
          <w:rPr>
            <w:noProof/>
            <w:webHidden/>
          </w:rPr>
          <w:t>1036</w:t>
        </w:r>
        <w:r>
          <w:rPr>
            <w:noProof/>
            <w:webHidden/>
          </w:rPr>
          <w:fldChar w:fldCharType="end"/>
        </w:r>
      </w:hyperlink>
    </w:p>
    <w:p>
      <w:pPr>
        <w:pStyle w:val="TOC2"/>
      </w:pPr>
      <w:hyperlink w:anchor="_Toc300000492" w:history="1">
        <w:r>
          <w:rPr>
            <w:noProof/>
          </w:rPr>
          <w:t xml:space="preserve">Article 17.9: Senior Management and Boards of Directors</w:t>
        </w:r>
        <w:r>
          <w:rPr>
            <w:noProof/>
            <w:webHidden/>
          </w:rPr>
          <w:tab/>
        </w:r>
        <w:r>
          <w:rPr>
            <w:noProof/>
            <w:webHidden/>
          </w:rPr>
          <w:fldChar w:fldCharType="begin"/>
        </w:r>
        <w:r>
          <w:rPr>
            <w:noProof/>
            <w:webHidden/>
          </w:rPr>
          <w:instrText xml:space="preserve"> PAGEREF _Toc300000492 \h </w:instrText>
        </w:r>
        <w:r>
          <w:rPr>
            <w:noProof/>
            <w:webHidden/>
          </w:rPr>
          <w:fldChar w:fldCharType="separate"/>
        </w:r>
        <w:r>
          <w:rPr>
            <w:noProof/>
            <w:webHidden/>
          </w:rPr>
          <w:t>1036</w:t>
        </w:r>
        <w:r>
          <w:rPr>
            <w:noProof/>
            <w:webHidden/>
          </w:rPr>
          <w:fldChar w:fldCharType="end"/>
        </w:r>
      </w:hyperlink>
    </w:p>
    <w:p>
      <w:pPr>
        <w:pStyle w:val="TOC2"/>
      </w:pPr>
      <w:hyperlink w:anchor="_Toc300000493" w:history="1">
        <w:r>
          <w:rPr>
            <w:noProof/>
          </w:rPr>
          <w:t xml:space="preserve">Article 17.10: Non-Conforming Measures</w:t>
        </w:r>
        <w:r>
          <w:rPr>
            <w:noProof/>
            <w:webHidden/>
          </w:rPr>
          <w:tab/>
        </w:r>
        <w:r>
          <w:rPr>
            <w:noProof/>
            <w:webHidden/>
          </w:rPr>
          <w:fldChar w:fldCharType="begin"/>
        </w:r>
        <w:r>
          <w:rPr>
            <w:noProof/>
            <w:webHidden/>
          </w:rPr>
          <w:instrText xml:space="preserve"> PAGEREF _Toc300000493 \h </w:instrText>
        </w:r>
        <w:r>
          <w:rPr>
            <w:noProof/>
            <w:webHidden/>
          </w:rPr>
          <w:fldChar w:fldCharType="separate"/>
        </w:r>
        <w:r>
          <w:rPr>
            <w:noProof/>
            <w:webHidden/>
          </w:rPr>
          <w:t>1037</w:t>
        </w:r>
        <w:r>
          <w:rPr>
            <w:noProof/>
            <w:webHidden/>
          </w:rPr>
          <w:fldChar w:fldCharType="end"/>
        </w:r>
      </w:hyperlink>
    </w:p>
    <w:p>
      <w:pPr>
        <w:pStyle w:val="TOC2"/>
      </w:pPr>
      <w:hyperlink w:anchor="_Toc300000494" w:history="1">
        <w:r>
          <w:rPr>
            <w:noProof/>
          </w:rPr>
          <w:t xml:space="preserve">Article 17.11: Exceptions</w:t>
        </w:r>
        <w:r>
          <w:rPr>
            <w:noProof/>
            <w:webHidden/>
          </w:rPr>
          <w:tab/>
        </w:r>
        <w:r>
          <w:rPr>
            <w:noProof/>
            <w:webHidden/>
          </w:rPr>
          <w:fldChar w:fldCharType="begin"/>
        </w:r>
        <w:r>
          <w:rPr>
            <w:noProof/>
            <w:webHidden/>
          </w:rPr>
          <w:instrText xml:space="preserve"> PAGEREF _Toc300000494 \h </w:instrText>
        </w:r>
        <w:r>
          <w:rPr>
            <w:noProof/>
            <w:webHidden/>
          </w:rPr>
          <w:fldChar w:fldCharType="separate"/>
        </w:r>
        <w:r>
          <w:rPr>
            <w:noProof/>
            <w:webHidden/>
          </w:rPr>
          <w:t>1037</w:t>
        </w:r>
        <w:r>
          <w:rPr>
            <w:noProof/>
            <w:webHidden/>
          </w:rPr>
          <w:fldChar w:fldCharType="end"/>
        </w:r>
      </w:hyperlink>
    </w:p>
    <w:p>
      <w:pPr>
        <w:pStyle w:val="TOC2"/>
      </w:pPr>
      <w:hyperlink w:anchor="_Toc300000495" w:history="1">
        <w:r>
          <w:rPr>
            <w:noProof/>
          </w:rPr>
          <w:t xml:space="preserve">Article 17.12: Recognition</w:t>
        </w:r>
        <w:r>
          <w:rPr>
            <w:noProof/>
            <w:webHidden/>
          </w:rPr>
          <w:tab/>
        </w:r>
        <w:r>
          <w:rPr>
            <w:noProof/>
            <w:webHidden/>
          </w:rPr>
          <w:fldChar w:fldCharType="begin"/>
        </w:r>
        <w:r>
          <w:rPr>
            <w:noProof/>
            <w:webHidden/>
          </w:rPr>
          <w:instrText xml:space="preserve"> PAGEREF _Toc300000495 \h </w:instrText>
        </w:r>
        <w:r>
          <w:rPr>
            <w:noProof/>
            <w:webHidden/>
          </w:rPr>
          <w:fldChar w:fldCharType="separate"/>
        </w:r>
        <w:r>
          <w:rPr>
            <w:noProof/>
            <w:webHidden/>
          </w:rPr>
          <w:t>1038</w:t>
        </w:r>
        <w:r>
          <w:rPr>
            <w:noProof/>
            <w:webHidden/>
          </w:rPr>
          <w:fldChar w:fldCharType="end"/>
        </w:r>
      </w:hyperlink>
    </w:p>
    <w:p>
      <w:pPr>
        <w:pStyle w:val="TOC2"/>
      </w:pPr>
      <w:hyperlink w:anchor="_Toc300000496" w:history="1">
        <w:r>
          <w:rPr>
            <w:noProof/>
          </w:rPr>
          <w:t xml:space="preserve">Article 17.13: Transparency and Administration of Certain Measures</w:t>
        </w:r>
        <w:r>
          <w:rPr>
            <w:noProof/>
            <w:webHidden/>
          </w:rPr>
          <w:tab/>
        </w:r>
        <w:r>
          <w:rPr>
            <w:noProof/>
            <w:webHidden/>
          </w:rPr>
          <w:fldChar w:fldCharType="begin"/>
        </w:r>
        <w:r>
          <w:rPr>
            <w:noProof/>
            <w:webHidden/>
          </w:rPr>
          <w:instrText xml:space="preserve"> PAGEREF _Toc300000496 \h </w:instrText>
        </w:r>
        <w:r>
          <w:rPr>
            <w:noProof/>
            <w:webHidden/>
          </w:rPr>
          <w:fldChar w:fldCharType="separate"/>
        </w:r>
        <w:r>
          <w:rPr>
            <w:noProof/>
            <w:webHidden/>
          </w:rPr>
          <w:t>1039</w:t>
        </w:r>
        <w:r>
          <w:rPr>
            <w:noProof/>
            <w:webHidden/>
          </w:rPr>
          <w:fldChar w:fldCharType="end"/>
        </w:r>
      </w:hyperlink>
    </w:p>
    <w:p>
      <w:pPr>
        <w:pStyle w:val="TOC2"/>
      </w:pPr>
      <w:hyperlink w:anchor="_Toc300000497" w:history="1">
        <w:r>
          <w:rPr>
            <w:noProof/>
          </w:rPr>
          <w:t xml:space="preserve">Article 17.14: Self-Regulatory Organizations</w:t>
        </w:r>
        <w:r>
          <w:rPr>
            <w:noProof/>
            <w:webHidden/>
          </w:rPr>
          <w:tab/>
        </w:r>
        <w:r>
          <w:rPr>
            <w:noProof/>
            <w:webHidden/>
          </w:rPr>
          <w:fldChar w:fldCharType="begin"/>
        </w:r>
        <w:r>
          <w:rPr>
            <w:noProof/>
            <w:webHidden/>
          </w:rPr>
          <w:instrText xml:space="preserve"> PAGEREF _Toc300000497 \h </w:instrText>
        </w:r>
        <w:r>
          <w:rPr>
            <w:noProof/>
            <w:webHidden/>
          </w:rPr>
          <w:fldChar w:fldCharType="separate"/>
        </w:r>
        <w:r>
          <w:rPr>
            <w:noProof/>
            <w:webHidden/>
          </w:rPr>
          <w:t>1040</w:t>
        </w:r>
        <w:r>
          <w:rPr>
            <w:noProof/>
            <w:webHidden/>
          </w:rPr>
          <w:fldChar w:fldCharType="end"/>
        </w:r>
      </w:hyperlink>
    </w:p>
    <w:p>
      <w:pPr>
        <w:pStyle w:val="TOC2"/>
      </w:pPr>
      <w:hyperlink w:anchor="_Toc300000498" w:history="1">
        <w:r>
          <w:rPr>
            <w:noProof/>
          </w:rPr>
          <w:t xml:space="preserve">Article 17.15: Payment and Clearing Systems</w:t>
        </w:r>
        <w:r>
          <w:rPr>
            <w:noProof/>
            <w:webHidden/>
          </w:rPr>
          <w:tab/>
        </w:r>
        <w:r>
          <w:rPr>
            <w:noProof/>
            <w:webHidden/>
          </w:rPr>
          <w:fldChar w:fldCharType="begin"/>
        </w:r>
        <w:r>
          <w:rPr>
            <w:noProof/>
            <w:webHidden/>
          </w:rPr>
          <w:instrText xml:space="preserve"> PAGEREF _Toc300000498 \h </w:instrText>
        </w:r>
        <w:r>
          <w:rPr>
            <w:noProof/>
            <w:webHidden/>
          </w:rPr>
          <w:fldChar w:fldCharType="separate"/>
        </w:r>
        <w:r>
          <w:rPr>
            <w:noProof/>
            <w:webHidden/>
          </w:rPr>
          <w:t>1040</w:t>
        </w:r>
        <w:r>
          <w:rPr>
            <w:noProof/>
            <w:webHidden/>
          </w:rPr>
          <w:fldChar w:fldCharType="end"/>
        </w:r>
      </w:hyperlink>
    </w:p>
    <w:p>
      <w:pPr>
        <w:pStyle w:val="TOC2"/>
      </w:pPr>
      <w:hyperlink w:anchor="_Toc300000499" w:history="1">
        <w:r>
          <w:rPr>
            <w:noProof/>
          </w:rPr>
          <w:t xml:space="preserve">Article 17.16: Expedited Availability of Insurance Services</w:t>
        </w:r>
        <w:r>
          <w:rPr>
            <w:noProof/>
            <w:webHidden/>
          </w:rPr>
          <w:tab/>
        </w:r>
        <w:r>
          <w:rPr>
            <w:noProof/>
            <w:webHidden/>
          </w:rPr>
          <w:fldChar w:fldCharType="begin"/>
        </w:r>
        <w:r>
          <w:rPr>
            <w:noProof/>
            <w:webHidden/>
          </w:rPr>
          <w:instrText xml:space="preserve"> PAGEREF _Toc300000499 \h </w:instrText>
        </w:r>
        <w:r>
          <w:rPr>
            <w:noProof/>
            <w:webHidden/>
          </w:rPr>
          <w:fldChar w:fldCharType="separate"/>
        </w:r>
        <w:r>
          <w:rPr>
            <w:noProof/>
            <w:webHidden/>
          </w:rPr>
          <w:t>1040</w:t>
        </w:r>
        <w:r>
          <w:rPr>
            <w:noProof/>
            <w:webHidden/>
          </w:rPr>
          <w:fldChar w:fldCharType="end"/>
        </w:r>
      </w:hyperlink>
    </w:p>
    <w:p>
      <w:pPr>
        <w:pStyle w:val="TOC2"/>
      </w:pPr>
      <w:hyperlink w:anchor="_Toc300000500" w:history="1">
        <w:r>
          <w:rPr>
            <w:noProof/>
          </w:rPr>
          <w:t xml:space="preserve">Article 17.17: Transfer of Information</w:t>
        </w:r>
        <w:r>
          <w:rPr>
            <w:noProof/>
            <w:webHidden/>
          </w:rPr>
          <w:tab/>
        </w:r>
        <w:r>
          <w:rPr>
            <w:noProof/>
            <w:webHidden/>
          </w:rPr>
          <w:fldChar w:fldCharType="begin"/>
        </w:r>
        <w:r>
          <w:rPr>
            <w:noProof/>
            <w:webHidden/>
          </w:rPr>
          <w:instrText xml:space="preserve"> PAGEREF _Toc300000500 \h </w:instrText>
        </w:r>
        <w:r>
          <w:rPr>
            <w:noProof/>
            <w:webHidden/>
          </w:rPr>
          <w:fldChar w:fldCharType="separate"/>
        </w:r>
        <w:r>
          <w:rPr>
            <w:noProof/>
            <w:webHidden/>
          </w:rPr>
          <w:t>1041</w:t>
        </w:r>
        <w:r>
          <w:rPr>
            <w:noProof/>
            <w:webHidden/>
          </w:rPr>
          <w:fldChar w:fldCharType="end"/>
        </w:r>
      </w:hyperlink>
    </w:p>
    <w:p>
      <w:pPr>
        <w:pStyle w:val="TOC2"/>
      </w:pPr>
      <w:hyperlink w:anchor="_Toc300000501" w:history="1">
        <w:r>
          <w:rPr>
            <w:noProof/>
          </w:rPr>
          <w:t xml:space="preserve">Article 17.18: Location of Computing Facilities</w:t>
        </w:r>
        <w:r>
          <w:rPr>
            <w:noProof/>
            <w:webHidden/>
          </w:rPr>
          <w:tab/>
        </w:r>
        <w:r>
          <w:rPr>
            <w:noProof/>
            <w:webHidden/>
          </w:rPr>
          <w:fldChar w:fldCharType="begin"/>
        </w:r>
        <w:r>
          <w:rPr>
            <w:noProof/>
            <w:webHidden/>
          </w:rPr>
          <w:instrText xml:space="preserve"> PAGEREF _Toc300000501 \h </w:instrText>
        </w:r>
        <w:r>
          <w:rPr>
            <w:noProof/>
            <w:webHidden/>
          </w:rPr>
          <w:fldChar w:fldCharType="separate"/>
        </w:r>
        <w:r>
          <w:rPr>
            <w:noProof/>
            <w:webHidden/>
          </w:rPr>
          <w:t>1041</w:t>
        </w:r>
        <w:r>
          <w:rPr>
            <w:noProof/>
            <w:webHidden/>
          </w:rPr>
          <w:fldChar w:fldCharType="end"/>
        </w:r>
      </w:hyperlink>
    </w:p>
    <w:p>
      <w:pPr>
        <w:pStyle w:val="TOC2"/>
      </w:pPr>
      <w:hyperlink w:anchor="_Toc300000502" w:history="1">
        <w:r>
          <w:rPr>
            <w:noProof/>
          </w:rPr>
          <w:t xml:space="preserve">Article 17.19: Committee on Financial Services</w:t>
        </w:r>
        <w:r>
          <w:rPr>
            <w:noProof/>
            <w:webHidden/>
          </w:rPr>
          <w:tab/>
        </w:r>
        <w:r>
          <w:rPr>
            <w:noProof/>
            <w:webHidden/>
          </w:rPr>
          <w:fldChar w:fldCharType="begin"/>
        </w:r>
        <w:r>
          <w:rPr>
            <w:noProof/>
            <w:webHidden/>
          </w:rPr>
          <w:instrText xml:space="preserve"> PAGEREF _Toc300000502 \h </w:instrText>
        </w:r>
        <w:r>
          <w:rPr>
            <w:noProof/>
            <w:webHidden/>
          </w:rPr>
          <w:fldChar w:fldCharType="separate"/>
        </w:r>
        <w:r>
          <w:rPr>
            <w:noProof/>
            <w:webHidden/>
          </w:rPr>
          <w:t>1042</w:t>
        </w:r>
        <w:r>
          <w:rPr>
            <w:noProof/>
            <w:webHidden/>
          </w:rPr>
          <w:fldChar w:fldCharType="end"/>
        </w:r>
      </w:hyperlink>
    </w:p>
    <w:p>
      <w:pPr>
        <w:pStyle w:val="TOC2"/>
      </w:pPr>
      <w:hyperlink w:anchor="_Toc300000503" w:history="1">
        <w:r>
          <w:rPr>
            <w:noProof/>
          </w:rPr>
          <w:t xml:space="preserve">Article 17.20: Consultations</w:t>
        </w:r>
        <w:r>
          <w:rPr>
            <w:noProof/>
            <w:webHidden/>
          </w:rPr>
          <w:tab/>
        </w:r>
        <w:r>
          <w:rPr>
            <w:noProof/>
            <w:webHidden/>
          </w:rPr>
          <w:fldChar w:fldCharType="begin"/>
        </w:r>
        <w:r>
          <w:rPr>
            <w:noProof/>
            <w:webHidden/>
          </w:rPr>
          <w:instrText xml:space="preserve"> PAGEREF _Toc300000503 \h </w:instrText>
        </w:r>
        <w:r>
          <w:rPr>
            <w:noProof/>
            <w:webHidden/>
          </w:rPr>
          <w:fldChar w:fldCharType="separate"/>
        </w:r>
        <w:r>
          <w:rPr>
            <w:noProof/>
            <w:webHidden/>
          </w:rPr>
          <w:t>1042</w:t>
        </w:r>
        <w:r>
          <w:rPr>
            <w:noProof/>
            <w:webHidden/>
          </w:rPr>
          <w:fldChar w:fldCharType="end"/>
        </w:r>
      </w:hyperlink>
    </w:p>
    <w:p>
      <w:pPr>
        <w:pStyle w:val="TOC2"/>
      </w:pPr>
      <w:hyperlink w:anchor="_Toc300000504" w:history="1">
        <w:r>
          <w:rPr>
            <w:noProof/>
          </w:rPr>
          <w:t xml:space="preserve">Article 17.21: Dispute Settlement</w:t>
        </w:r>
        <w:r>
          <w:rPr>
            <w:noProof/>
            <w:webHidden/>
          </w:rPr>
          <w:tab/>
        </w:r>
        <w:r>
          <w:rPr>
            <w:noProof/>
            <w:webHidden/>
          </w:rPr>
          <w:fldChar w:fldCharType="begin"/>
        </w:r>
        <w:r>
          <w:rPr>
            <w:noProof/>
            <w:webHidden/>
          </w:rPr>
          <w:instrText xml:space="preserve"> PAGEREF _Toc300000504 \h </w:instrText>
        </w:r>
        <w:r>
          <w:rPr>
            <w:noProof/>
            <w:webHidden/>
          </w:rPr>
          <w:fldChar w:fldCharType="separate"/>
        </w:r>
        <w:r>
          <w:rPr>
            <w:noProof/>
            <w:webHidden/>
          </w:rPr>
          <w:t>1042</w:t>
        </w:r>
        <w:r>
          <w:rPr>
            <w:noProof/>
            <w:webHidden/>
          </w:rPr>
          <w:fldChar w:fldCharType="end"/>
        </w:r>
      </w:hyperlink>
    </w:p>
    <w:p>
      <w:pPr>
        <w:pStyle w:val="TOC2"/>
      </w:pPr>
      <w:hyperlink w:anchor="_Toc300000505" w:history="1">
        <w:r>
          <w:rPr>
            <w:noProof/>
          </w:rPr>
          <w:t xml:space="preserve">ANNEX 17-A CROSS-BORDER TRADE</w:t>
        </w:r>
        <w:r>
          <w:rPr>
            <w:noProof/>
            <w:webHidden/>
          </w:rPr>
          <w:tab/>
        </w:r>
        <w:r>
          <w:rPr>
            <w:noProof/>
            <w:webHidden/>
          </w:rPr>
          <w:fldChar w:fldCharType="begin"/>
        </w:r>
        <w:r>
          <w:rPr>
            <w:noProof/>
            <w:webHidden/>
          </w:rPr>
          <w:instrText xml:space="preserve"> PAGEREF _Toc300000505 \h </w:instrText>
        </w:r>
        <w:r>
          <w:rPr>
            <w:noProof/>
            <w:webHidden/>
          </w:rPr>
          <w:fldChar w:fldCharType="separate"/>
        </w:r>
        <w:r>
          <w:rPr>
            <w:noProof/>
            <w:webHidden/>
          </w:rPr>
          <w:t>1043</w:t>
        </w:r>
        <w:r>
          <w:rPr>
            <w:noProof/>
            <w:webHidden/>
          </w:rPr>
          <w:fldChar w:fldCharType="end"/>
        </w:r>
      </w:hyperlink>
    </w:p>
    <w:p>
      <w:pPr>
        <w:pStyle w:val="TOC2"/>
      </w:pPr>
      <w:hyperlink w:anchor="_Toc300000506" w:history="1">
        <w:r>
          <w:rPr>
            <w:noProof/>
          </w:rPr>
          <w:t xml:space="preserve">ANNEX 17-B AUTHORITIES RESPONSIBLE FOR FINANCIAL SERVICES</w:t>
        </w:r>
        <w:r>
          <w:rPr>
            <w:noProof/>
            <w:webHidden/>
          </w:rPr>
          <w:tab/>
        </w:r>
        <w:r>
          <w:rPr>
            <w:noProof/>
            <w:webHidden/>
          </w:rPr>
          <w:fldChar w:fldCharType="begin"/>
        </w:r>
        <w:r>
          <w:rPr>
            <w:noProof/>
            <w:webHidden/>
          </w:rPr>
          <w:instrText xml:space="preserve"> PAGEREF _Toc300000506 \h </w:instrText>
        </w:r>
        <w:r>
          <w:rPr>
            <w:noProof/>
            <w:webHidden/>
          </w:rPr>
          <w:fldChar w:fldCharType="separate"/>
        </w:r>
        <w:r>
          <w:rPr>
            <w:noProof/>
            <w:webHidden/>
          </w:rPr>
          <w:t>1047</w:t>
        </w:r>
        <w:r>
          <w:rPr>
            <w:noProof/>
            <w:webHidden/>
          </w:rPr>
          <w:fldChar w:fldCharType="end"/>
        </w:r>
      </w:hyperlink>
    </w:p>
    <w:p>
      <w:pPr>
        <w:pStyle w:val="TOC2"/>
      </w:pPr>
      <w:hyperlink w:anchor="_Toc300000507" w:history="1">
        <w:r>
          <w:rPr>
            <w:noProof/>
          </w:rPr>
          <w:t xml:space="preserve">ANNEX 17-C MEXICO-UNITED STATES INVESTMENT DISPUTES IN FINANCIAL SERVICES</w:t>
        </w:r>
        <w:r>
          <w:rPr>
            <w:noProof/>
            <w:webHidden/>
          </w:rPr>
          <w:tab/>
        </w:r>
        <w:r>
          <w:rPr>
            <w:noProof/>
            <w:webHidden/>
          </w:rPr>
          <w:fldChar w:fldCharType="begin"/>
        </w:r>
        <w:r>
          <w:rPr>
            <w:noProof/>
            <w:webHidden/>
          </w:rPr>
          <w:instrText xml:space="preserve"> PAGEREF _Toc300000507 \h </w:instrText>
        </w:r>
        <w:r>
          <w:rPr>
            <w:noProof/>
            <w:webHidden/>
          </w:rPr>
          <w:fldChar w:fldCharType="separate"/>
        </w:r>
        <w:r>
          <w:rPr>
            <w:noProof/>
            <w:webHidden/>
          </w:rPr>
          <w:t>1047</w:t>
        </w:r>
        <w:r>
          <w:rPr>
            <w:noProof/>
            <w:webHidden/>
          </w:rPr>
          <w:fldChar w:fldCharType="end"/>
        </w:r>
      </w:hyperlink>
    </w:p>
    <w:p>
      <w:pPr>
        <w:pStyle w:val="TOC2"/>
      </w:pPr>
      <w:hyperlink w:anchor="_Toc300000508" w:history="1">
        <w:r>
          <w:rPr>
            <w:noProof/>
          </w:rPr>
          <w:t xml:space="preserve">ANNEX 17-D LOCATION OF COMPUTING FACILITIES</w:t>
        </w:r>
        <w:r>
          <w:rPr>
            <w:noProof/>
            <w:webHidden/>
          </w:rPr>
          <w:tab/>
        </w:r>
        <w:r>
          <w:rPr>
            <w:noProof/>
            <w:webHidden/>
          </w:rPr>
          <w:fldChar w:fldCharType="begin"/>
        </w:r>
        <w:r>
          <w:rPr>
            <w:noProof/>
            <w:webHidden/>
          </w:rPr>
          <w:instrText xml:space="preserve"> PAGEREF _Toc300000508 \h </w:instrText>
        </w:r>
        <w:r>
          <w:rPr>
            <w:noProof/>
            <w:webHidden/>
          </w:rPr>
          <w:fldChar w:fldCharType="separate"/>
        </w:r>
        <w:r>
          <w:rPr>
            <w:noProof/>
            <w:webHidden/>
          </w:rPr>
          <w:t>1050</w:t>
        </w:r>
        <w:r>
          <w:rPr>
            <w:noProof/>
            <w:webHidden/>
          </w:rPr>
          <w:fldChar w:fldCharType="end"/>
        </w:r>
      </w:hyperlink>
    </w:p>
    <w:p>
      <w:pPr>
        <w:pStyle w:val="TOC1"/>
      </w:pPr>
      <w:hyperlink w:anchor="_Toc300000509" w:history="1">
        <w:r>
          <w:rPr>
            <w:noProof/>
          </w:rPr>
          <w:t xml:space="preserve">CHAPTER 18 TELECOMMUNICATIONS</w:t>
        </w:r>
        <w:r>
          <w:rPr>
            <w:noProof/>
            <w:webHidden/>
          </w:rPr>
          <w:tab/>
        </w:r>
        <w:r>
          <w:rPr>
            <w:noProof/>
            <w:webHidden/>
          </w:rPr>
          <w:fldChar w:fldCharType="begin"/>
        </w:r>
        <w:r>
          <w:rPr>
            <w:noProof/>
            <w:webHidden/>
          </w:rPr>
          <w:instrText xml:space="preserve"> PAGEREF _Toc300000509 \h </w:instrText>
        </w:r>
        <w:r>
          <w:rPr>
            <w:noProof/>
            <w:webHidden/>
          </w:rPr>
          <w:fldChar w:fldCharType="separate"/>
        </w:r>
        <w:r>
          <w:rPr>
            <w:noProof/>
            <w:webHidden/>
          </w:rPr>
          <w:t>1051</w:t>
        </w:r>
        <w:r>
          <w:rPr>
            <w:noProof/>
            <w:webHidden/>
          </w:rPr>
          <w:fldChar w:fldCharType="end"/>
        </w:r>
      </w:hyperlink>
    </w:p>
    <w:p>
      <w:pPr>
        <w:pStyle w:val="TOC2"/>
      </w:pPr>
      <w:hyperlink w:anchor="_Toc300000510" w:history="1">
        <w:r>
          <w:rPr>
            <w:noProof/>
          </w:rPr>
          <w:t xml:space="preserve">Article 18.1: Definitions</w:t>
        </w:r>
        <w:r>
          <w:rPr>
            <w:noProof/>
            <w:webHidden/>
          </w:rPr>
          <w:tab/>
        </w:r>
        <w:r>
          <w:rPr>
            <w:noProof/>
            <w:webHidden/>
          </w:rPr>
          <w:fldChar w:fldCharType="begin"/>
        </w:r>
        <w:r>
          <w:rPr>
            <w:noProof/>
            <w:webHidden/>
          </w:rPr>
          <w:instrText xml:space="preserve"> PAGEREF _Toc300000510 \h </w:instrText>
        </w:r>
        <w:r>
          <w:rPr>
            <w:noProof/>
            <w:webHidden/>
          </w:rPr>
          <w:fldChar w:fldCharType="separate"/>
        </w:r>
        <w:r>
          <w:rPr>
            <w:noProof/>
            <w:webHidden/>
          </w:rPr>
          <w:t>1051</w:t>
        </w:r>
        <w:r>
          <w:rPr>
            <w:noProof/>
            <w:webHidden/>
          </w:rPr>
          <w:fldChar w:fldCharType="end"/>
        </w:r>
      </w:hyperlink>
    </w:p>
    <w:p>
      <w:pPr>
        <w:pStyle w:val="TOC2"/>
      </w:pPr>
      <w:hyperlink w:anchor="_Toc300000511" w:history="1">
        <w:r>
          <w:rPr>
            <w:noProof/>
          </w:rPr>
          <w:t xml:space="preserve">Article 18.2: Scope</w:t>
        </w:r>
        <w:r>
          <w:rPr>
            <w:noProof/>
            <w:webHidden/>
          </w:rPr>
          <w:tab/>
        </w:r>
        <w:r>
          <w:rPr>
            <w:noProof/>
            <w:webHidden/>
          </w:rPr>
          <w:fldChar w:fldCharType="begin"/>
        </w:r>
        <w:r>
          <w:rPr>
            <w:noProof/>
            <w:webHidden/>
          </w:rPr>
          <w:instrText xml:space="preserve"> PAGEREF _Toc300000511 \h </w:instrText>
        </w:r>
        <w:r>
          <w:rPr>
            <w:noProof/>
            <w:webHidden/>
          </w:rPr>
          <w:fldChar w:fldCharType="separate"/>
        </w:r>
        <w:r>
          <w:rPr>
            <w:noProof/>
            <w:webHidden/>
          </w:rPr>
          <w:t>1052</w:t>
        </w:r>
        <w:r>
          <w:rPr>
            <w:noProof/>
            <w:webHidden/>
          </w:rPr>
          <w:fldChar w:fldCharType="end"/>
        </w:r>
      </w:hyperlink>
    </w:p>
    <w:p>
      <w:pPr>
        <w:pStyle w:val="TOC2"/>
      </w:pPr>
      <w:hyperlink w:anchor="_Toc300000512" w:history="1">
        <w:r>
          <w:rPr>
            <w:noProof/>
          </w:rPr>
          <w:t xml:space="preserve">Article 18.3: Access and Use</w:t>
        </w:r>
        <w:r>
          <w:rPr>
            <w:noProof/>
            <w:webHidden/>
          </w:rPr>
          <w:tab/>
        </w:r>
        <w:r>
          <w:rPr>
            <w:noProof/>
            <w:webHidden/>
          </w:rPr>
          <w:fldChar w:fldCharType="begin"/>
        </w:r>
        <w:r>
          <w:rPr>
            <w:noProof/>
            <w:webHidden/>
          </w:rPr>
          <w:instrText xml:space="preserve"> PAGEREF _Toc300000512 \h </w:instrText>
        </w:r>
        <w:r>
          <w:rPr>
            <w:noProof/>
            <w:webHidden/>
          </w:rPr>
          <w:fldChar w:fldCharType="separate"/>
        </w:r>
        <w:r>
          <w:rPr>
            <w:noProof/>
            <w:webHidden/>
          </w:rPr>
          <w:t>1053</w:t>
        </w:r>
        <w:r>
          <w:rPr>
            <w:noProof/>
            <w:webHidden/>
          </w:rPr>
          <w:fldChar w:fldCharType="end"/>
        </w:r>
      </w:hyperlink>
    </w:p>
    <w:p>
      <w:pPr>
        <w:pStyle w:val="TOC2"/>
      </w:pPr>
      <w:hyperlink w:anchor="_Toc300000513" w:history="1">
        <w:r>
          <w:rPr>
            <w:noProof/>
          </w:rPr>
          <w:t xml:space="preserve">Article 18.4: Obligations Relating to Suppliers of Public Telecommunications Services</w:t>
        </w:r>
        <w:r>
          <w:rPr>
            <w:noProof/>
            <w:webHidden/>
          </w:rPr>
          <w:tab/>
        </w:r>
        <w:r>
          <w:rPr>
            <w:noProof/>
            <w:webHidden/>
          </w:rPr>
          <w:fldChar w:fldCharType="begin"/>
        </w:r>
        <w:r>
          <w:rPr>
            <w:noProof/>
            <w:webHidden/>
          </w:rPr>
          <w:instrText xml:space="preserve"> PAGEREF _Toc300000513 \h </w:instrText>
        </w:r>
        <w:r>
          <w:rPr>
            <w:noProof/>
            <w:webHidden/>
          </w:rPr>
          <w:fldChar w:fldCharType="separate"/>
        </w:r>
        <w:r>
          <w:rPr>
            <w:noProof/>
            <w:webHidden/>
          </w:rPr>
          <w:t>1054</w:t>
        </w:r>
        <w:r>
          <w:rPr>
            <w:noProof/>
            <w:webHidden/>
          </w:rPr>
          <w:fldChar w:fldCharType="end"/>
        </w:r>
      </w:hyperlink>
    </w:p>
    <w:p>
      <w:pPr>
        <w:pStyle w:val="TOC2"/>
      </w:pPr>
      <w:hyperlink w:anchor="_Toc300000514" w:history="1">
        <w:r>
          <w:rPr>
            <w:noProof/>
          </w:rPr>
          <w:t xml:space="preserve">Article 18.5: Treatment by Major Suppliers of Public Telecommunications Services</w:t>
        </w:r>
        <w:r>
          <w:rPr>
            <w:noProof/>
            <w:webHidden/>
          </w:rPr>
          <w:tab/>
        </w:r>
        <w:r>
          <w:rPr>
            <w:noProof/>
            <w:webHidden/>
          </w:rPr>
          <w:fldChar w:fldCharType="begin"/>
        </w:r>
        <w:r>
          <w:rPr>
            <w:noProof/>
            <w:webHidden/>
          </w:rPr>
          <w:instrText xml:space="preserve"> PAGEREF _Toc300000514 \h </w:instrText>
        </w:r>
        <w:r>
          <w:rPr>
            <w:noProof/>
            <w:webHidden/>
          </w:rPr>
          <w:fldChar w:fldCharType="separate"/>
        </w:r>
        <w:r>
          <w:rPr>
            <w:noProof/>
            <w:webHidden/>
          </w:rPr>
          <w:t>1054</w:t>
        </w:r>
        <w:r>
          <w:rPr>
            <w:noProof/>
            <w:webHidden/>
          </w:rPr>
          <w:fldChar w:fldCharType="end"/>
        </w:r>
      </w:hyperlink>
    </w:p>
    <w:p>
      <w:pPr>
        <w:pStyle w:val="TOC2"/>
      </w:pPr>
      <w:hyperlink w:anchor="_Toc300000515" w:history="1">
        <w:r>
          <w:rPr>
            <w:noProof/>
          </w:rPr>
          <w:t xml:space="preserve">Article 18.6: Competitive Safeguards</w:t>
        </w:r>
        <w:r>
          <w:rPr>
            <w:noProof/>
            <w:webHidden/>
          </w:rPr>
          <w:tab/>
        </w:r>
        <w:r>
          <w:rPr>
            <w:noProof/>
            <w:webHidden/>
          </w:rPr>
          <w:fldChar w:fldCharType="begin"/>
        </w:r>
        <w:r>
          <w:rPr>
            <w:noProof/>
            <w:webHidden/>
          </w:rPr>
          <w:instrText xml:space="preserve"> PAGEREF _Toc300000515 \h </w:instrText>
        </w:r>
        <w:r>
          <w:rPr>
            <w:noProof/>
            <w:webHidden/>
          </w:rPr>
          <w:fldChar w:fldCharType="separate"/>
        </w:r>
        <w:r>
          <w:rPr>
            <w:noProof/>
            <w:webHidden/>
          </w:rPr>
          <w:t>1055</w:t>
        </w:r>
        <w:r>
          <w:rPr>
            <w:noProof/>
            <w:webHidden/>
          </w:rPr>
          <w:fldChar w:fldCharType="end"/>
        </w:r>
      </w:hyperlink>
    </w:p>
    <w:p>
      <w:pPr>
        <w:pStyle w:val="TOC2"/>
      </w:pPr>
      <w:hyperlink w:anchor="_Toc300000516" w:history="1">
        <w:r>
          <w:rPr>
            <w:noProof/>
          </w:rPr>
          <w:t xml:space="preserve">Article 18.7: Resale</w:t>
        </w:r>
        <w:r>
          <w:rPr>
            <w:noProof/>
            <w:webHidden/>
          </w:rPr>
          <w:tab/>
        </w:r>
        <w:r>
          <w:rPr>
            <w:noProof/>
            <w:webHidden/>
          </w:rPr>
          <w:fldChar w:fldCharType="begin"/>
        </w:r>
        <w:r>
          <w:rPr>
            <w:noProof/>
            <w:webHidden/>
          </w:rPr>
          <w:instrText xml:space="preserve"> PAGEREF _Toc300000516 \h </w:instrText>
        </w:r>
        <w:r>
          <w:rPr>
            <w:noProof/>
            <w:webHidden/>
          </w:rPr>
          <w:fldChar w:fldCharType="separate"/>
        </w:r>
        <w:r>
          <w:rPr>
            <w:noProof/>
            <w:webHidden/>
          </w:rPr>
          <w:t>1055</w:t>
        </w:r>
        <w:r>
          <w:rPr>
            <w:noProof/>
            <w:webHidden/>
          </w:rPr>
          <w:fldChar w:fldCharType="end"/>
        </w:r>
      </w:hyperlink>
    </w:p>
    <w:p>
      <w:pPr>
        <w:pStyle w:val="TOC2"/>
      </w:pPr>
      <w:hyperlink w:anchor="_Toc300000517" w:history="1">
        <w:r>
          <w:rPr>
            <w:noProof/>
          </w:rPr>
          <w:t xml:space="preserve">Article 18.8: Unbundling of Network Elements</w:t>
        </w:r>
        <w:r>
          <w:rPr>
            <w:noProof/>
            <w:webHidden/>
          </w:rPr>
          <w:tab/>
        </w:r>
        <w:r>
          <w:rPr>
            <w:noProof/>
            <w:webHidden/>
          </w:rPr>
          <w:fldChar w:fldCharType="begin"/>
        </w:r>
        <w:r>
          <w:rPr>
            <w:noProof/>
            <w:webHidden/>
          </w:rPr>
          <w:instrText xml:space="preserve"> PAGEREF _Toc300000517 \h </w:instrText>
        </w:r>
        <w:r>
          <w:rPr>
            <w:noProof/>
            <w:webHidden/>
          </w:rPr>
          <w:fldChar w:fldCharType="separate"/>
        </w:r>
        <w:r>
          <w:rPr>
            <w:noProof/>
            <w:webHidden/>
          </w:rPr>
          <w:t>1055</w:t>
        </w:r>
        <w:r>
          <w:rPr>
            <w:noProof/>
            <w:webHidden/>
          </w:rPr>
          <w:fldChar w:fldCharType="end"/>
        </w:r>
      </w:hyperlink>
    </w:p>
    <w:p>
      <w:pPr>
        <w:pStyle w:val="TOC2"/>
      </w:pPr>
      <w:hyperlink w:anchor="_Toc300000518" w:history="1">
        <w:r>
          <w:rPr>
            <w:noProof/>
          </w:rPr>
          <w:t xml:space="preserve">Article 18.9: Interconnection with Major Suppliers</w:t>
        </w:r>
        <w:r>
          <w:rPr>
            <w:noProof/>
            <w:webHidden/>
          </w:rPr>
          <w:tab/>
        </w:r>
        <w:r>
          <w:rPr>
            <w:noProof/>
            <w:webHidden/>
          </w:rPr>
          <w:fldChar w:fldCharType="begin"/>
        </w:r>
        <w:r>
          <w:rPr>
            <w:noProof/>
            <w:webHidden/>
          </w:rPr>
          <w:instrText xml:space="preserve"> PAGEREF _Toc300000518 \h </w:instrText>
        </w:r>
        <w:r>
          <w:rPr>
            <w:noProof/>
            <w:webHidden/>
          </w:rPr>
          <w:fldChar w:fldCharType="separate"/>
        </w:r>
        <w:r>
          <w:rPr>
            <w:noProof/>
            <w:webHidden/>
          </w:rPr>
          <w:t>1056</w:t>
        </w:r>
        <w:r>
          <w:rPr>
            <w:noProof/>
            <w:webHidden/>
          </w:rPr>
          <w:fldChar w:fldCharType="end"/>
        </w:r>
      </w:hyperlink>
    </w:p>
    <w:p>
      <w:pPr>
        <w:pStyle w:val="TOC2"/>
      </w:pPr>
      <w:hyperlink w:anchor="_Toc300000519" w:history="1">
        <w:r>
          <w:rPr>
            <w:noProof/>
          </w:rPr>
          <w:t xml:space="preserve">Article 18.10: Provisioning and Pricing of Leased Circuits Services</w:t>
        </w:r>
        <w:r>
          <w:rPr>
            <w:noProof/>
            <w:webHidden/>
          </w:rPr>
          <w:tab/>
        </w:r>
        <w:r>
          <w:rPr>
            <w:noProof/>
            <w:webHidden/>
          </w:rPr>
          <w:fldChar w:fldCharType="begin"/>
        </w:r>
        <w:r>
          <w:rPr>
            <w:noProof/>
            <w:webHidden/>
          </w:rPr>
          <w:instrText xml:space="preserve"> PAGEREF _Toc300000519 \h </w:instrText>
        </w:r>
        <w:r>
          <w:rPr>
            <w:noProof/>
            <w:webHidden/>
          </w:rPr>
          <w:fldChar w:fldCharType="separate"/>
        </w:r>
        <w:r>
          <w:rPr>
            <w:noProof/>
            <w:webHidden/>
          </w:rPr>
          <w:t>1056</w:t>
        </w:r>
        <w:r>
          <w:rPr>
            <w:noProof/>
            <w:webHidden/>
          </w:rPr>
          <w:fldChar w:fldCharType="end"/>
        </w:r>
      </w:hyperlink>
    </w:p>
    <w:p>
      <w:pPr>
        <w:pStyle w:val="TOC2"/>
      </w:pPr>
      <w:hyperlink w:anchor="_Toc300000520" w:history="1">
        <w:r>
          <w:rPr>
            <w:noProof/>
          </w:rPr>
          <w:t xml:space="preserve">Article 18.11: Co-Location</w:t>
        </w:r>
        <w:r>
          <w:rPr>
            <w:noProof/>
            <w:webHidden/>
          </w:rPr>
          <w:tab/>
        </w:r>
        <w:r>
          <w:rPr>
            <w:noProof/>
            <w:webHidden/>
          </w:rPr>
          <w:fldChar w:fldCharType="begin"/>
        </w:r>
        <w:r>
          <w:rPr>
            <w:noProof/>
            <w:webHidden/>
          </w:rPr>
          <w:instrText xml:space="preserve"> PAGEREF _Toc300000520 \h </w:instrText>
        </w:r>
        <w:r>
          <w:rPr>
            <w:noProof/>
            <w:webHidden/>
          </w:rPr>
          <w:fldChar w:fldCharType="separate"/>
        </w:r>
        <w:r>
          <w:rPr>
            <w:noProof/>
            <w:webHidden/>
          </w:rPr>
          <w:t>1057</w:t>
        </w:r>
        <w:r>
          <w:rPr>
            <w:noProof/>
            <w:webHidden/>
          </w:rPr>
          <w:fldChar w:fldCharType="end"/>
        </w:r>
      </w:hyperlink>
    </w:p>
    <w:p>
      <w:pPr>
        <w:pStyle w:val="TOC2"/>
      </w:pPr>
      <w:hyperlink w:anchor="_Toc300000521" w:history="1">
        <w:r>
          <w:rPr>
            <w:noProof/>
          </w:rPr>
          <w:t xml:space="preserve">Article 18.12: Access to Poles, Ducts, Conduits, and Rights-of-Way</w:t>
        </w:r>
        <w:r>
          <w:rPr>
            <w:noProof/>
            <w:webHidden/>
          </w:rPr>
          <w:tab/>
        </w:r>
        <w:r>
          <w:rPr>
            <w:noProof/>
            <w:webHidden/>
          </w:rPr>
          <w:fldChar w:fldCharType="begin"/>
        </w:r>
        <w:r>
          <w:rPr>
            <w:noProof/>
            <w:webHidden/>
          </w:rPr>
          <w:instrText xml:space="preserve"> PAGEREF _Toc300000521 \h </w:instrText>
        </w:r>
        <w:r>
          <w:rPr>
            <w:noProof/>
            <w:webHidden/>
          </w:rPr>
          <w:fldChar w:fldCharType="separate"/>
        </w:r>
        <w:r>
          <w:rPr>
            <w:noProof/>
            <w:webHidden/>
          </w:rPr>
          <w:t>1057</w:t>
        </w:r>
        <w:r>
          <w:rPr>
            <w:noProof/>
            <w:webHidden/>
          </w:rPr>
          <w:fldChar w:fldCharType="end"/>
        </w:r>
      </w:hyperlink>
    </w:p>
    <w:p>
      <w:pPr>
        <w:pStyle w:val="TOC2"/>
      </w:pPr>
      <w:hyperlink w:anchor="_Toc300000522" w:history="1">
        <w:r>
          <w:rPr>
            <w:noProof/>
          </w:rPr>
          <w:t xml:space="preserve">Article 18.13: Submarine Cable Systems</w:t>
        </w:r>
        <w:r>
          <w:rPr>
            <w:noProof/>
            <w:webHidden/>
          </w:rPr>
          <w:tab/>
        </w:r>
        <w:r>
          <w:rPr>
            <w:noProof/>
            <w:webHidden/>
          </w:rPr>
          <w:fldChar w:fldCharType="begin"/>
        </w:r>
        <w:r>
          <w:rPr>
            <w:noProof/>
            <w:webHidden/>
          </w:rPr>
          <w:instrText xml:space="preserve"> PAGEREF _Toc300000522 \h </w:instrText>
        </w:r>
        <w:r>
          <w:rPr>
            <w:noProof/>
            <w:webHidden/>
          </w:rPr>
          <w:fldChar w:fldCharType="separate"/>
        </w:r>
        <w:r>
          <w:rPr>
            <w:noProof/>
            <w:webHidden/>
          </w:rPr>
          <w:t>1058</w:t>
        </w:r>
        <w:r>
          <w:rPr>
            <w:noProof/>
            <w:webHidden/>
          </w:rPr>
          <w:fldChar w:fldCharType="end"/>
        </w:r>
      </w:hyperlink>
    </w:p>
    <w:p>
      <w:pPr>
        <w:pStyle w:val="TOC2"/>
      </w:pPr>
      <w:hyperlink w:anchor="_Toc300000523" w:history="1">
        <w:r>
          <w:rPr>
            <w:noProof/>
          </w:rPr>
          <w:t xml:space="preserve">Article 18.14: Conditions for the Supply of Value-Added Services</w:t>
        </w:r>
        <w:r>
          <w:rPr>
            <w:noProof/>
            <w:webHidden/>
          </w:rPr>
          <w:tab/>
        </w:r>
        <w:r>
          <w:rPr>
            <w:noProof/>
            <w:webHidden/>
          </w:rPr>
          <w:fldChar w:fldCharType="begin"/>
        </w:r>
        <w:r>
          <w:rPr>
            <w:noProof/>
            <w:webHidden/>
          </w:rPr>
          <w:instrText xml:space="preserve"> PAGEREF _Toc300000523 \h </w:instrText>
        </w:r>
        <w:r>
          <w:rPr>
            <w:noProof/>
            <w:webHidden/>
          </w:rPr>
          <w:fldChar w:fldCharType="separate"/>
        </w:r>
        <w:r>
          <w:rPr>
            <w:noProof/>
            <w:webHidden/>
          </w:rPr>
          <w:t>1058</w:t>
        </w:r>
        <w:r>
          <w:rPr>
            <w:noProof/>
            <w:webHidden/>
          </w:rPr>
          <w:fldChar w:fldCharType="end"/>
        </w:r>
      </w:hyperlink>
    </w:p>
    <w:p>
      <w:pPr>
        <w:pStyle w:val="TOC2"/>
      </w:pPr>
      <w:hyperlink w:anchor="_Toc300000524" w:history="1">
        <w:r>
          <w:rPr>
            <w:noProof/>
          </w:rPr>
          <w:t xml:space="preserve">Article 18.15: Flexibility in the Choice of Technology</w:t>
        </w:r>
        <w:r>
          <w:rPr>
            <w:noProof/>
            <w:webHidden/>
          </w:rPr>
          <w:tab/>
        </w:r>
        <w:r>
          <w:rPr>
            <w:noProof/>
            <w:webHidden/>
          </w:rPr>
          <w:fldChar w:fldCharType="begin"/>
        </w:r>
        <w:r>
          <w:rPr>
            <w:noProof/>
            <w:webHidden/>
          </w:rPr>
          <w:instrText xml:space="preserve"> PAGEREF _Toc300000524 \h </w:instrText>
        </w:r>
        <w:r>
          <w:rPr>
            <w:noProof/>
            <w:webHidden/>
          </w:rPr>
          <w:fldChar w:fldCharType="separate"/>
        </w:r>
        <w:r>
          <w:rPr>
            <w:noProof/>
            <w:webHidden/>
          </w:rPr>
          <w:t>1059</w:t>
        </w:r>
        <w:r>
          <w:rPr>
            <w:noProof/>
            <w:webHidden/>
          </w:rPr>
          <w:fldChar w:fldCharType="end"/>
        </w:r>
      </w:hyperlink>
    </w:p>
    <w:p>
      <w:pPr>
        <w:pStyle w:val="TOC2"/>
      </w:pPr>
      <w:hyperlink w:anchor="_Toc300000525" w:history="1">
        <w:r>
          <w:rPr>
            <w:noProof/>
          </w:rPr>
          <w:t xml:space="preserve">Article 18.16: Approaches to Regulation</w:t>
        </w:r>
        <w:r>
          <w:rPr>
            <w:noProof/>
            <w:webHidden/>
          </w:rPr>
          <w:tab/>
        </w:r>
        <w:r>
          <w:rPr>
            <w:noProof/>
            <w:webHidden/>
          </w:rPr>
          <w:fldChar w:fldCharType="begin"/>
        </w:r>
        <w:r>
          <w:rPr>
            <w:noProof/>
            <w:webHidden/>
          </w:rPr>
          <w:instrText xml:space="preserve"> PAGEREF _Toc300000525 \h </w:instrText>
        </w:r>
        <w:r>
          <w:rPr>
            <w:noProof/>
            <w:webHidden/>
          </w:rPr>
          <w:fldChar w:fldCharType="separate"/>
        </w:r>
        <w:r>
          <w:rPr>
            <w:noProof/>
            <w:webHidden/>
          </w:rPr>
          <w:t>1059</w:t>
        </w:r>
        <w:r>
          <w:rPr>
            <w:noProof/>
            <w:webHidden/>
          </w:rPr>
          <w:fldChar w:fldCharType="end"/>
        </w:r>
      </w:hyperlink>
    </w:p>
    <w:p>
      <w:pPr>
        <w:pStyle w:val="TOC2"/>
      </w:pPr>
      <w:hyperlink w:anchor="_Toc300000526" w:history="1">
        <w:r>
          <w:rPr>
            <w:noProof/>
          </w:rPr>
          <w:t xml:space="preserve">Article 18.17: Telecommunications Regulatory Bodies</w:t>
        </w:r>
        <w:r>
          <w:rPr>
            <w:noProof/>
            <w:webHidden/>
          </w:rPr>
          <w:tab/>
        </w:r>
        <w:r>
          <w:rPr>
            <w:noProof/>
            <w:webHidden/>
          </w:rPr>
          <w:fldChar w:fldCharType="begin"/>
        </w:r>
        <w:r>
          <w:rPr>
            <w:noProof/>
            <w:webHidden/>
          </w:rPr>
          <w:instrText xml:space="preserve"> PAGEREF _Toc300000526 \h </w:instrText>
        </w:r>
        <w:r>
          <w:rPr>
            <w:noProof/>
            <w:webHidden/>
          </w:rPr>
          <w:fldChar w:fldCharType="separate"/>
        </w:r>
        <w:r>
          <w:rPr>
            <w:noProof/>
            <w:webHidden/>
          </w:rPr>
          <w:t>1059</w:t>
        </w:r>
        <w:r>
          <w:rPr>
            <w:noProof/>
            <w:webHidden/>
          </w:rPr>
          <w:fldChar w:fldCharType="end"/>
        </w:r>
      </w:hyperlink>
    </w:p>
    <w:p>
      <w:pPr>
        <w:pStyle w:val="TOC2"/>
      </w:pPr>
      <w:hyperlink w:anchor="_Toc300000527" w:history="1">
        <w:r>
          <w:rPr>
            <w:noProof/>
          </w:rPr>
          <w:t xml:space="preserve">Article 18.18: State Enterprises</w:t>
        </w:r>
        <w:r>
          <w:rPr>
            <w:noProof/>
            <w:webHidden/>
          </w:rPr>
          <w:tab/>
        </w:r>
        <w:r>
          <w:rPr>
            <w:noProof/>
            <w:webHidden/>
          </w:rPr>
          <w:fldChar w:fldCharType="begin"/>
        </w:r>
        <w:r>
          <w:rPr>
            <w:noProof/>
            <w:webHidden/>
          </w:rPr>
          <w:instrText xml:space="preserve"> PAGEREF _Toc300000527 \h </w:instrText>
        </w:r>
        <w:r>
          <w:rPr>
            <w:noProof/>
            <w:webHidden/>
          </w:rPr>
          <w:fldChar w:fldCharType="separate"/>
        </w:r>
        <w:r>
          <w:rPr>
            <w:noProof/>
            <w:webHidden/>
          </w:rPr>
          <w:t>1060</w:t>
        </w:r>
        <w:r>
          <w:rPr>
            <w:noProof/>
            <w:webHidden/>
          </w:rPr>
          <w:fldChar w:fldCharType="end"/>
        </w:r>
      </w:hyperlink>
    </w:p>
    <w:p>
      <w:pPr>
        <w:pStyle w:val="TOC2"/>
      </w:pPr>
      <w:hyperlink w:anchor="_Toc300000528" w:history="1">
        <w:r>
          <w:rPr>
            <w:noProof/>
          </w:rPr>
          <w:t xml:space="preserve">Article 18.19: Universal Services</w:t>
        </w:r>
        <w:r>
          <w:rPr>
            <w:noProof/>
            <w:webHidden/>
          </w:rPr>
          <w:tab/>
        </w:r>
        <w:r>
          <w:rPr>
            <w:noProof/>
            <w:webHidden/>
          </w:rPr>
          <w:fldChar w:fldCharType="begin"/>
        </w:r>
        <w:r>
          <w:rPr>
            <w:noProof/>
            <w:webHidden/>
          </w:rPr>
          <w:instrText xml:space="preserve"> PAGEREF _Toc300000528 \h </w:instrText>
        </w:r>
        <w:r>
          <w:rPr>
            <w:noProof/>
            <w:webHidden/>
          </w:rPr>
          <w:fldChar w:fldCharType="separate"/>
        </w:r>
        <w:r>
          <w:rPr>
            <w:noProof/>
            <w:webHidden/>
          </w:rPr>
          <w:t>1060</w:t>
        </w:r>
        <w:r>
          <w:rPr>
            <w:noProof/>
            <w:webHidden/>
          </w:rPr>
          <w:fldChar w:fldCharType="end"/>
        </w:r>
      </w:hyperlink>
    </w:p>
    <w:p>
      <w:pPr>
        <w:pStyle w:val="TOC2"/>
      </w:pPr>
      <w:hyperlink w:anchor="_Toc300000529" w:history="1">
        <w:r>
          <w:rPr>
            <w:noProof/>
          </w:rPr>
          <w:t xml:space="preserve">Article 18.20: Licensing Process</w:t>
        </w:r>
        <w:r>
          <w:rPr>
            <w:noProof/>
            <w:webHidden/>
          </w:rPr>
          <w:tab/>
        </w:r>
        <w:r>
          <w:rPr>
            <w:noProof/>
            <w:webHidden/>
          </w:rPr>
          <w:fldChar w:fldCharType="begin"/>
        </w:r>
        <w:r>
          <w:rPr>
            <w:noProof/>
            <w:webHidden/>
          </w:rPr>
          <w:instrText xml:space="preserve"> PAGEREF _Toc300000529 \h </w:instrText>
        </w:r>
        <w:r>
          <w:rPr>
            <w:noProof/>
            <w:webHidden/>
          </w:rPr>
          <w:fldChar w:fldCharType="separate"/>
        </w:r>
        <w:r>
          <w:rPr>
            <w:noProof/>
            <w:webHidden/>
          </w:rPr>
          <w:t>1060</w:t>
        </w:r>
        <w:r>
          <w:rPr>
            <w:noProof/>
            <w:webHidden/>
          </w:rPr>
          <w:fldChar w:fldCharType="end"/>
        </w:r>
      </w:hyperlink>
    </w:p>
    <w:p>
      <w:pPr>
        <w:pStyle w:val="TOC2"/>
      </w:pPr>
      <w:hyperlink w:anchor="_Toc300000530" w:history="1">
        <w:r>
          <w:rPr>
            <w:noProof/>
          </w:rPr>
          <w:t xml:space="preserve">Article 18.21: Allocation and Use of Scarce Resources</w:t>
        </w:r>
        <w:r>
          <w:rPr>
            <w:noProof/>
            <w:webHidden/>
          </w:rPr>
          <w:tab/>
        </w:r>
        <w:r>
          <w:rPr>
            <w:noProof/>
            <w:webHidden/>
          </w:rPr>
          <w:fldChar w:fldCharType="begin"/>
        </w:r>
        <w:r>
          <w:rPr>
            <w:noProof/>
            <w:webHidden/>
          </w:rPr>
          <w:instrText xml:space="preserve"> PAGEREF _Toc300000530 \h </w:instrText>
        </w:r>
        <w:r>
          <w:rPr>
            <w:noProof/>
            <w:webHidden/>
          </w:rPr>
          <w:fldChar w:fldCharType="separate"/>
        </w:r>
        <w:r>
          <w:rPr>
            <w:noProof/>
            <w:webHidden/>
          </w:rPr>
          <w:t>1061</w:t>
        </w:r>
        <w:r>
          <w:rPr>
            <w:noProof/>
            <w:webHidden/>
          </w:rPr>
          <w:fldChar w:fldCharType="end"/>
        </w:r>
      </w:hyperlink>
    </w:p>
    <w:p>
      <w:pPr>
        <w:pStyle w:val="TOC2"/>
      </w:pPr>
      <w:hyperlink w:anchor="_Toc300000531" w:history="1">
        <w:r>
          <w:rPr>
            <w:noProof/>
          </w:rPr>
          <w:t xml:space="preserve">Article 18.22: Enforcement</w:t>
        </w:r>
        <w:r>
          <w:rPr>
            <w:noProof/>
            <w:webHidden/>
          </w:rPr>
          <w:tab/>
        </w:r>
        <w:r>
          <w:rPr>
            <w:noProof/>
            <w:webHidden/>
          </w:rPr>
          <w:fldChar w:fldCharType="begin"/>
        </w:r>
        <w:r>
          <w:rPr>
            <w:noProof/>
            <w:webHidden/>
          </w:rPr>
          <w:instrText xml:space="preserve"> PAGEREF _Toc300000531 \h </w:instrText>
        </w:r>
        <w:r>
          <w:rPr>
            <w:noProof/>
            <w:webHidden/>
          </w:rPr>
          <w:fldChar w:fldCharType="separate"/>
        </w:r>
        <w:r>
          <w:rPr>
            <w:noProof/>
            <w:webHidden/>
          </w:rPr>
          <w:t>1061</w:t>
        </w:r>
        <w:r>
          <w:rPr>
            <w:noProof/>
            <w:webHidden/>
          </w:rPr>
          <w:fldChar w:fldCharType="end"/>
        </w:r>
      </w:hyperlink>
    </w:p>
    <w:p>
      <w:pPr>
        <w:pStyle w:val="TOC2"/>
      </w:pPr>
      <w:hyperlink w:anchor="_Toc300000532" w:history="1">
        <w:r>
          <w:rPr>
            <w:noProof/>
          </w:rPr>
          <w:t xml:space="preserve">Article 18.23: Resolution of Disputes</w:t>
        </w:r>
        <w:r>
          <w:rPr>
            <w:noProof/>
            <w:webHidden/>
          </w:rPr>
          <w:tab/>
        </w:r>
        <w:r>
          <w:rPr>
            <w:noProof/>
            <w:webHidden/>
          </w:rPr>
          <w:fldChar w:fldCharType="begin"/>
        </w:r>
        <w:r>
          <w:rPr>
            <w:noProof/>
            <w:webHidden/>
          </w:rPr>
          <w:instrText xml:space="preserve"> PAGEREF _Toc300000532 \h </w:instrText>
        </w:r>
        <w:r>
          <w:rPr>
            <w:noProof/>
            <w:webHidden/>
          </w:rPr>
          <w:fldChar w:fldCharType="separate"/>
        </w:r>
        <w:r>
          <w:rPr>
            <w:noProof/>
            <w:webHidden/>
          </w:rPr>
          <w:t>1061</w:t>
        </w:r>
        <w:r>
          <w:rPr>
            <w:noProof/>
            <w:webHidden/>
          </w:rPr>
          <w:fldChar w:fldCharType="end"/>
        </w:r>
      </w:hyperlink>
    </w:p>
    <w:p>
      <w:pPr>
        <w:pStyle w:val="TOC2"/>
      </w:pPr>
      <w:hyperlink w:anchor="_Toc300000533" w:history="1">
        <w:r>
          <w:rPr>
            <w:noProof/>
          </w:rPr>
          <w:t xml:space="preserve">Article 18.24: Transparency</w:t>
        </w:r>
        <w:r>
          <w:rPr>
            <w:noProof/>
            <w:webHidden/>
          </w:rPr>
          <w:tab/>
        </w:r>
        <w:r>
          <w:rPr>
            <w:noProof/>
            <w:webHidden/>
          </w:rPr>
          <w:fldChar w:fldCharType="begin"/>
        </w:r>
        <w:r>
          <w:rPr>
            <w:noProof/>
            <w:webHidden/>
          </w:rPr>
          <w:instrText xml:space="preserve"> PAGEREF _Toc300000533 \h </w:instrText>
        </w:r>
        <w:r>
          <w:rPr>
            <w:noProof/>
            <w:webHidden/>
          </w:rPr>
          <w:fldChar w:fldCharType="separate"/>
        </w:r>
        <w:r>
          <w:rPr>
            <w:noProof/>
            <w:webHidden/>
          </w:rPr>
          <w:t>1062</w:t>
        </w:r>
        <w:r>
          <w:rPr>
            <w:noProof/>
            <w:webHidden/>
          </w:rPr>
          <w:fldChar w:fldCharType="end"/>
        </w:r>
      </w:hyperlink>
    </w:p>
    <w:p>
      <w:pPr>
        <w:pStyle w:val="TOC2"/>
      </w:pPr>
      <w:hyperlink w:anchor="_Toc300000534" w:history="1">
        <w:r>
          <w:rPr>
            <w:noProof/>
          </w:rPr>
          <w:t xml:space="preserve">Article 18.25: International Roaming Services</w:t>
        </w:r>
        <w:r>
          <w:rPr>
            <w:noProof/>
            <w:webHidden/>
          </w:rPr>
          <w:tab/>
        </w:r>
        <w:r>
          <w:rPr>
            <w:noProof/>
            <w:webHidden/>
          </w:rPr>
          <w:fldChar w:fldCharType="begin"/>
        </w:r>
        <w:r>
          <w:rPr>
            <w:noProof/>
            <w:webHidden/>
          </w:rPr>
          <w:instrText xml:space="preserve"> PAGEREF _Toc300000534 \h </w:instrText>
        </w:r>
        <w:r>
          <w:rPr>
            <w:noProof/>
            <w:webHidden/>
          </w:rPr>
          <w:fldChar w:fldCharType="separate"/>
        </w:r>
        <w:r>
          <w:rPr>
            <w:noProof/>
            <w:webHidden/>
          </w:rPr>
          <w:t>1063</w:t>
        </w:r>
        <w:r>
          <w:rPr>
            <w:noProof/>
            <w:webHidden/>
          </w:rPr>
          <w:fldChar w:fldCharType="end"/>
        </w:r>
      </w:hyperlink>
    </w:p>
    <w:p>
      <w:pPr>
        <w:pStyle w:val="TOC2"/>
      </w:pPr>
      <w:hyperlink w:anchor="_Toc300000535" w:history="1">
        <w:r>
          <w:rPr>
            <w:noProof/>
          </w:rPr>
          <w:t xml:space="preserve">Article 18.26: Relation to Other Chapters</w:t>
        </w:r>
        <w:r>
          <w:rPr>
            <w:noProof/>
            <w:webHidden/>
          </w:rPr>
          <w:tab/>
        </w:r>
        <w:r>
          <w:rPr>
            <w:noProof/>
            <w:webHidden/>
          </w:rPr>
          <w:fldChar w:fldCharType="begin"/>
        </w:r>
        <w:r>
          <w:rPr>
            <w:noProof/>
            <w:webHidden/>
          </w:rPr>
          <w:instrText xml:space="preserve"> PAGEREF _Toc300000535 \h </w:instrText>
        </w:r>
        <w:r>
          <w:rPr>
            <w:noProof/>
            <w:webHidden/>
          </w:rPr>
          <w:fldChar w:fldCharType="separate"/>
        </w:r>
        <w:r>
          <w:rPr>
            <w:noProof/>
            <w:webHidden/>
          </w:rPr>
          <w:t>1063</w:t>
        </w:r>
        <w:r>
          <w:rPr>
            <w:noProof/>
            <w:webHidden/>
          </w:rPr>
          <w:fldChar w:fldCharType="end"/>
        </w:r>
      </w:hyperlink>
    </w:p>
    <w:p>
      <w:pPr>
        <w:pStyle w:val="TOC2"/>
      </w:pPr>
      <w:hyperlink w:anchor="_Toc300000536" w:history="1">
        <w:r>
          <w:rPr>
            <w:noProof/>
          </w:rPr>
          <w:t xml:space="preserve">Article 18.27: Telecommunications Committee</w:t>
        </w:r>
        <w:r>
          <w:rPr>
            <w:noProof/>
            <w:webHidden/>
          </w:rPr>
          <w:tab/>
        </w:r>
        <w:r>
          <w:rPr>
            <w:noProof/>
            <w:webHidden/>
          </w:rPr>
          <w:fldChar w:fldCharType="begin"/>
        </w:r>
        <w:r>
          <w:rPr>
            <w:noProof/>
            <w:webHidden/>
          </w:rPr>
          <w:instrText xml:space="preserve"> PAGEREF _Toc300000536 \h </w:instrText>
        </w:r>
        <w:r>
          <w:rPr>
            <w:noProof/>
            <w:webHidden/>
          </w:rPr>
          <w:fldChar w:fldCharType="separate"/>
        </w:r>
        <w:r>
          <w:rPr>
            <w:noProof/>
            <w:webHidden/>
          </w:rPr>
          <w:t>1063</w:t>
        </w:r>
        <w:r>
          <w:rPr>
            <w:noProof/>
            <w:webHidden/>
          </w:rPr>
          <w:fldChar w:fldCharType="end"/>
        </w:r>
      </w:hyperlink>
    </w:p>
    <w:p>
      <w:pPr>
        <w:pStyle w:val="TOC2"/>
      </w:pPr>
      <w:hyperlink w:anchor="_Toc300000537" w:history="1">
        <w:r>
          <w:rPr>
            <w:noProof/>
          </w:rPr>
          <w:t xml:space="preserve">ANNEX 18-A RURAL TELEPHONE SUPPLIERS</w:t>
        </w:r>
        <w:r>
          <w:rPr>
            <w:noProof/>
            <w:webHidden/>
          </w:rPr>
          <w:tab/>
        </w:r>
        <w:r>
          <w:rPr>
            <w:noProof/>
            <w:webHidden/>
          </w:rPr>
          <w:fldChar w:fldCharType="begin"/>
        </w:r>
        <w:r>
          <w:rPr>
            <w:noProof/>
            <w:webHidden/>
          </w:rPr>
          <w:instrText xml:space="preserve"> PAGEREF _Toc300000537 \h </w:instrText>
        </w:r>
        <w:r>
          <w:rPr>
            <w:noProof/>
            <w:webHidden/>
          </w:rPr>
          <w:fldChar w:fldCharType="separate"/>
        </w:r>
        <w:r>
          <w:rPr>
            <w:noProof/>
            <w:webHidden/>
          </w:rPr>
          <w:t>1064</w:t>
        </w:r>
        <w:r>
          <w:rPr>
            <w:noProof/>
            <w:webHidden/>
          </w:rPr>
          <w:fldChar w:fldCharType="end"/>
        </w:r>
      </w:hyperlink>
    </w:p>
    <w:p>
      <w:pPr>
        <w:pStyle w:val="TOC1"/>
      </w:pPr>
      <w:hyperlink w:anchor="_Toc300000538" w:history="1">
        <w:r>
          <w:rPr>
            <w:noProof/>
          </w:rPr>
          <w:t xml:space="preserve">CHAPTER 19 DIGITAL TRADE</w:t>
        </w:r>
        <w:r>
          <w:rPr>
            <w:noProof/>
            <w:webHidden/>
          </w:rPr>
          <w:tab/>
        </w:r>
        <w:r>
          <w:rPr>
            <w:noProof/>
            <w:webHidden/>
          </w:rPr>
          <w:fldChar w:fldCharType="begin"/>
        </w:r>
        <w:r>
          <w:rPr>
            <w:noProof/>
            <w:webHidden/>
          </w:rPr>
          <w:instrText xml:space="preserve"> PAGEREF _Toc300000538 \h </w:instrText>
        </w:r>
        <w:r>
          <w:rPr>
            <w:noProof/>
            <w:webHidden/>
          </w:rPr>
          <w:fldChar w:fldCharType="separate"/>
        </w:r>
        <w:r>
          <w:rPr>
            <w:noProof/>
            <w:webHidden/>
          </w:rPr>
          <w:t>1065</w:t>
        </w:r>
        <w:r>
          <w:rPr>
            <w:noProof/>
            <w:webHidden/>
          </w:rPr>
          <w:fldChar w:fldCharType="end"/>
        </w:r>
      </w:hyperlink>
    </w:p>
    <w:p>
      <w:pPr>
        <w:pStyle w:val="TOC2"/>
      </w:pPr>
      <w:hyperlink w:anchor="_Toc300000539" w:history="1">
        <w:r>
          <w:rPr>
            <w:noProof/>
          </w:rPr>
          <w:t xml:space="preserve">Article 19.1: Definitions</w:t>
        </w:r>
        <w:r>
          <w:rPr>
            <w:noProof/>
            <w:webHidden/>
          </w:rPr>
          <w:tab/>
        </w:r>
        <w:r>
          <w:rPr>
            <w:noProof/>
            <w:webHidden/>
          </w:rPr>
          <w:fldChar w:fldCharType="begin"/>
        </w:r>
        <w:r>
          <w:rPr>
            <w:noProof/>
            <w:webHidden/>
          </w:rPr>
          <w:instrText xml:space="preserve"> PAGEREF _Toc300000539 \h </w:instrText>
        </w:r>
        <w:r>
          <w:rPr>
            <w:noProof/>
            <w:webHidden/>
          </w:rPr>
          <w:fldChar w:fldCharType="separate"/>
        </w:r>
        <w:r>
          <w:rPr>
            <w:noProof/>
            <w:webHidden/>
          </w:rPr>
          <w:t>1065</w:t>
        </w:r>
        <w:r>
          <w:rPr>
            <w:noProof/>
            <w:webHidden/>
          </w:rPr>
          <w:fldChar w:fldCharType="end"/>
        </w:r>
      </w:hyperlink>
    </w:p>
    <w:p>
      <w:pPr>
        <w:pStyle w:val="TOC2"/>
      </w:pPr>
      <w:hyperlink w:anchor="_Toc300000540" w:history="1">
        <w:r>
          <w:rPr>
            <w:noProof/>
          </w:rPr>
          <w:t xml:space="preserve">Article 19.2: Scope and General Provisions</w:t>
        </w:r>
        <w:r>
          <w:rPr>
            <w:noProof/>
            <w:webHidden/>
          </w:rPr>
          <w:tab/>
        </w:r>
        <w:r>
          <w:rPr>
            <w:noProof/>
            <w:webHidden/>
          </w:rPr>
          <w:fldChar w:fldCharType="begin"/>
        </w:r>
        <w:r>
          <w:rPr>
            <w:noProof/>
            <w:webHidden/>
          </w:rPr>
          <w:instrText xml:space="preserve"> PAGEREF _Toc300000540 \h </w:instrText>
        </w:r>
        <w:r>
          <w:rPr>
            <w:noProof/>
            <w:webHidden/>
          </w:rPr>
          <w:fldChar w:fldCharType="separate"/>
        </w:r>
        <w:r>
          <w:rPr>
            <w:noProof/>
            <w:webHidden/>
          </w:rPr>
          <w:t>1065</w:t>
        </w:r>
        <w:r>
          <w:rPr>
            <w:noProof/>
            <w:webHidden/>
          </w:rPr>
          <w:fldChar w:fldCharType="end"/>
        </w:r>
      </w:hyperlink>
    </w:p>
    <w:p>
      <w:pPr>
        <w:pStyle w:val="TOC2"/>
      </w:pPr>
      <w:hyperlink w:anchor="_Toc300000541" w:history="1">
        <w:r>
          <w:rPr>
            <w:noProof/>
          </w:rPr>
          <w:t xml:space="preserve">Article 19.3: Customs Duties</w:t>
        </w:r>
        <w:r>
          <w:rPr>
            <w:noProof/>
            <w:webHidden/>
          </w:rPr>
          <w:tab/>
        </w:r>
        <w:r>
          <w:rPr>
            <w:noProof/>
            <w:webHidden/>
          </w:rPr>
          <w:fldChar w:fldCharType="begin"/>
        </w:r>
        <w:r>
          <w:rPr>
            <w:noProof/>
            <w:webHidden/>
          </w:rPr>
          <w:instrText xml:space="preserve"> PAGEREF _Toc300000541 \h </w:instrText>
        </w:r>
        <w:r>
          <w:rPr>
            <w:noProof/>
            <w:webHidden/>
          </w:rPr>
          <w:fldChar w:fldCharType="separate"/>
        </w:r>
        <w:r>
          <w:rPr>
            <w:noProof/>
            <w:webHidden/>
          </w:rPr>
          <w:t>1066</w:t>
        </w:r>
        <w:r>
          <w:rPr>
            <w:noProof/>
            <w:webHidden/>
          </w:rPr>
          <w:fldChar w:fldCharType="end"/>
        </w:r>
      </w:hyperlink>
    </w:p>
    <w:p>
      <w:pPr>
        <w:pStyle w:val="TOC2"/>
      </w:pPr>
      <w:hyperlink w:anchor="_Toc300000542" w:history="1">
        <w:r>
          <w:rPr>
            <w:noProof/>
          </w:rPr>
          <w:t xml:space="preserve">Article 19.4: Non-Discriminatory Treatment of Digital Products</w:t>
        </w:r>
        <w:r>
          <w:rPr>
            <w:noProof/>
            <w:webHidden/>
          </w:rPr>
          <w:tab/>
        </w:r>
        <w:r>
          <w:rPr>
            <w:noProof/>
            <w:webHidden/>
          </w:rPr>
          <w:fldChar w:fldCharType="begin"/>
        </w:r>
        <w:r>
          <w:rPr>
            <w:noProof/>
            <w:webHidden/>
          </w:rPr>
          <w:instrText xml:space="preserve"> PAGEREF _Toc300000542 \h </w:instrText>
        </w:r>
        <w:r>
          <w:rPr>
            <w:noProof/>
            <w:webHidden/>
          </w:rPr>
          <w:fldChar w:fldCharType="separate"/>
        </w:r>
        <w:r>
          <w:rPr>
            <w:noProof/>
            <w:webHidden/>
          </w:rPr>
          <w:t>1066</w:t>
        </w:r>
        <w:r>
          <w:rPr>
            <w:noProof/>
            <w:webHidden/>
          </w:rPr>
          <w:fldChar w:fldCharType="end"/>
        </w:r>
      </w:hyperlink>
    </w:p>
    <w:p>
      <w:pPr>
        <w:pStyle w:val="TOC2"/>
      </w:pPr>
      <w:hyperlink w:anchor="_Toc300000543" w:history="1">
        <w:r>
          <w:rPr>
            <w:noProof/>
          </w:rPr>
          <w:t xml:space="preserve">Article 19.5: Domestic Electronic Transactions Framework</w:t>
        </w:r>
        <w:r>
          <w:rPr>
            <w:noProof/>
            <w:webHidden/>
          </w:rPr>
          <w:tab/>
        </w:r>
        <w:r>
          <w:rPr>
            <w:noProof/>
            <w:webHidden/>
          </w:rPr>
          <w:fldChar w:fldCharType="begin"/>
        </w:r>
        <w:r>
          <w:rPr>
            <w:noProof/>
            <w:webHidden/>
          </w:rPr>
          <w:instrText xml:space="preserve"> PAGEREF _Toc300000543 \h </w:instrText>
        </w:r>
        <w:r>
          <w:rPr>
            <w:noProof/>
            <w:webHidden/>
          </w:rPr>
          <w:fldChar w:fldCharType="separate"/>
        </w:r>
        <w:r>
          <w:rPr>
            <w:noProof/>
            <w:webHidden/>
          </w:rPr>
          <w:t>1066</w:t>
        </w:r>
        <w:r>
          <w:rPr>
            <w:noProof/>
            <w:webHidden/>
          </w:rPr>
          <w:fldChar w:fldCharType="end"/>
        </w:r>
      </w:hyperlink>
    </w:p>
    <w:p>
      <w:pPr>
        <w:pStyle w:val="TOC2"/>
      </w:pPr>
      <w:hyperlink w:anchor="_Toc300000544" w:history="1">
        <w:r>
          <w:rPr>
            <w:noProof/>
          </w:rPr>
          <w:t xml:space="preserve">Article 19.6: Electronic Authentication and Electronic Signatures</w:t>
        </w:r>
        <w:r>
          <w:rPr>
            <w:noProof/>
            <w:webHidden/>
          </w:rPr>
          <w:tab/>
        </w:r>
        <w:r>
          <w:rPr>
            <w:noProof/>
            <w:webHidden/>
          </w:rPr>
          <w:fldChar w:fldCharType="begin"/>
        </w:r>
        <w:r>
          <w:rPr>
            <w:noProof/>
            <w:webHidden/>
          </w:rPr>
          <w:instrText xml:space="preserve"> PAGEREF _Toc300000544 \h </w:instrText>
        </w:r>
        <w:r>
          <w:rPr>
            <w:noProof/>
            <w:webHidden/>
          </w:rPr>
          <w:fldChar w:fldCharType="separate"/>
        </w:r>
        <w:r>
          <w:rPr>
            <w:noProof/>
            <w:webHidden/>
          </w:rPr>
          <w:t>1066</w:t>
        </w:r>
        <w:r>
          <w:rPr>
            <w:noProof/>
            <w:webHidden/>
          </w:rPr>
          <w:fldChar w:fldCharType="end"/>
        </w:r>
      </w:hyperlink>
    </w:p>
    <w:p>
      <w:pPr>
        <w:pStyle w:val="TOC2"/>
      </w:pPr>
      <w:hyperlink w:anchor="_Toc300000545" w:history="1">
        <w:r>
          <w:rPr>
            <w:noProof/>
          </w:rPr>
          <w:t xml:space="preserve">Article 19.7: Online Consumer Protection</w:t>
        </w:r>
        <w:r>
          <w:rPr>
            <w:noProof/>
            <w:webHidden/>
          </w:rPr>
          <w:tab/>
        </w:r>
        <w:r>
          <w:rPr>
            <w:noProof/>
            <w:webHidden/>
          </w:rPr>
          <w:fldChar w:fldCharType="begin"/>
        </w:r>
        <w:r>
          <w:rPr>
            <w:noProof/>
            <w:webHidden/>
          </w:rPr>
          <w:instrText xml:space="preserve"> PAGEREF _Toc300000545 \h </w:instrText>
        </w:r>
        <w:r>
          <w:rPr>
            <w:noProof/>
            <w:webHidden/>
          </w:rPr>
          <w:fldChar w:fldCharType="separate"/>
        </w:r>
        <w:r>
          <w:rPr>
            <w:noProof/>
            <w:webHidden/>
          </w:rPr>
          <w:t>1067</w:t>
        </w:r>
        <w:r>
          <w:rPr>
            <w:noProof/>
            <w:webHidden/>
          </w:rPr>
          <w:fldChar w:fldCharType="end"/>
        </w:r>
      </w:hyperlink>
    </w:p>
    <w:p>
      <w:pPr>
        <w:pStyle w:val="TOC2"/>
      </w:pPr>
      <w:hyperlink w:anchor="_Toc300000546" w:history="1">
        <w:r>
          <w:rPr>
            <w:noProof/>
          </w:rPr>
          <w:t xml:space="preserve">Article 19.8: Personal Information Protection</w:t>
        </w:r>
        <w:r>
          <w:rPr>
            <w:noProof/>
            <w:webHidden/>
          </w:rPr>
          <w:tab/>
        </w:r>
        <w:r>
          <w:rPr>
            <w:noProof/>
            <w:webHidden/>
          </w:rPr>
          <w:fldChar w:fldCharType="begin"/>
        </w:r>
        <w:r>
          <w:rPr>
            <w:noProof/>
            <w:webHidden/>
          </w:rPr>
          <w:instrText xml:space="preserve"> PAGEREF _Toc300000546 \h </w:instrText>
        </w:r>
        <w:r>
          <w:rPr>
            <w:noProof/>
            <w:webHidden/>
          </w:rPr>
          <w:fldChar w:fldCharType="separate"/>
        </w:r>
        <w:r>
          <w:rPr>
            <w:noProof/>
            <w:webHidden/>
          </w:rPr>
          <w:t>1067</w:t>
        </w:r>
        <w:r>
          <w:rPr>
            <w:noProof/>
            <w:webHidden/>
          </w:rPr>
          <w:fldChar w:fldCharType="end"/>
        </w:r>
      </w:hyperlink>
    </w:p>
    <w:p>
      <w:pPr>
        <w:pStyle w:val="TOC2"/>
      </w:pPr>
      <w:hyperlink w:anchor="_Toc300000547" w:history="1">
        <w:r>
          <w:rPr>
            <w:noProof/>
          </w:rPr>
          <w:t xml:space="preserve">Article 19.9: Paperless Trading</w:t>
        </w:r>
        <w:r>
          <w:rPr>
            <w:noProof/>
            <w:webHidden/>
          </w:rPr>
          <w:tab/>
        </w:r>
        <w:r>
          <w:rPr>
            <w:noProof/>
            <w:webHidden/>
          </w:rPr>
          <w:fldChar w:fldCharType="begin"/>
        </w:r>
        <w:r>
          <w:rPr>
            <w:noProof/>
            <w:webHidden/>
          </w:rPr>
          <w:instrText xml:space="preserve"> PAGEREF _Toc300000547 \h </w:instrText>
        </w:r>
        <w:r>
          <w:rPr>
            <w:noProof/>
            <w:webHidden/>
          </w:rPr>
          <w:fldChar w:fldCharType="separate"/>
        </w:r>
        <w:r>
          <w:rPr>
            <w:noProof/>
            <w:webHidden/>
          </w:rPr>
          <w:t>1068</w:t>
        </w:r>
        <w:r>
          <w:rPr>
            <w:noProof/>
            <w:webHidden/>
          </w:rPr>
          <w:fldChar w:fldCharType="end"/>
        </w:r>
      </w:hyperlink>
    </w:p>
    <w:p>
      <w:pPr>
        <w:pStyle w:val="TOC2"/>
      </w:pPr>
      <w:hyperlink w:anchor="_Toc300000548" w:history="1">
        <w:r>
          <w:rPr>
            <w:noProof/>
          </w:rPr>
          <w:t xml:space="preserve">Article 19.10: Principles on Access to and Use of the Internet for Digital Trade</w:t>
        </w:r>
        <w:r>
          <w:rPr>
            <w:noProof/>
            <w:webHidden/>
          </w:rPr>
          <w:tab/>
        </w:r>
        <w:r>
          <w:rPr>
            <w:noProof/>
            <w:webHidden/>
          </w:rPr>
          <w:fldChar w:fldCharType="begin"/>
        </w:r>
        <w:r>
          <w:rPr>
            <w:noProof/>
            <w:webHidden/>
          </w:rPr>
          <w:instrText xml:space="preserve"> PAGEREF _Toc300000548 \h </w:instrText>
        </w:r>
        <w:r>
          <w:rPr>
            <w:noProof/>
            <w:webHidden/>
          </w:rPr>
          <w:fldChar w:fldCharType="separate"/>
        </w:r>
        <w:r>
          <w:rPr>
            <w:noProof/>
            <w:webHidden/>
          </w:rPr>
          <w:t>1068</w:t>
        </w:r>
        <w:r>
          <w:rPr>
            <w:noProof/>
            <w:webHidden/>
          </w:rPr>
          <w:fldChar w:fldCharType="end"/>
        </w:r>
      </w:hyperlink>
    </w:p>
    <w:p>
      <w:pPr>
        <w:pStyle w:val="TOC2"/>
      </w:pPr>
      <w:hyperlink w:anchor="_Toc300000549" w:history="1">
        <w:r>
          <w:rPr>
            <w:noProof/>
          </w:rPr>
          <w:t xml:space="preserve">Article 19.11: Cross-Border Transfer of Information by Electronic Means</w:t>
        </w:r>
        <w:r>
          <w:rPr>
            <w:noProof/>
            <w:webHidden/>
          </w:rPr>
          <w:tab/>
        </w:r>
        <w:r>
          <w:rPr>
            <w:noProof/>
            <w:webHidden/>
          </w:rPr>
          <w:fldChar w:fldCharType="begin"/>
        </w:r>
        <w:r>
          <w:rPr>
            <w:noProof/>
            <w:webHidden/>
          </w:rPr>
          <w:instrText xml:space="preserve"> PAGEREF _Toc300000549 \h </w:instrText>
        </w:r>
        <w:r>
          <w:rPr>
            <w:noProof/>
            <w:webHidden/>
          </w:rPr>
          <w:fldChar w:fldCharType="separate"/>
        </w:r>
        <w:r>
          <w:rPr>
            <w:noProof/>
            <w:webHidden/>
          </w:rPr>
          <w:t>1068</w:t>
        </w:r>
        <w:r>
          <w:rPr>
            <w:noProof/>
            <w:webHidden/>
          </w:rPr>
          <w:fldChar w:fldCharType="end"/>
        </w:r>
      </w:hyperlink>
    </w:p>
    <w:p>
      <w:pPr>
        <w:pStyle w:val="TOC2"/>
      </w:pPr>
      <w:hyperlink w:anchor="_Toc300000550" w:history="1">
        <w:r>
          <w:rPr>
            <w:noProof/>
          </w:rPr>
          <w:t xml:space="preserve">Article 19.12: Location of Computing Facilities</w:t>
        </w:r>
        <w:r>
          <w:rPr>
            <w:noProof/>
            <w:webHidden/>
          </w:rPr>
          <w:tab/>
        </w:r>
        <w:r>
          <w:rPr>
            <w:noProof/>
            <w:webHidden/>
          </w:rPr>
          <w:fldChar w:fldCharType="begin"/>
        </w:r>
        <w:r>
          <w:rPr>
            <w:noProof/>
            <w:webHidden/>
          </w:rPr>
          <w:instrText xml:space="preserve"> PAGEREF _Toc300000550 \h </w:instrText>
        </w:r>
        <w:r>
          <w:rPr>
            <w:noProof/>
            <w:webHidden/>
          </w:rPr>
          <w:fldChar w:fldCharType="separate"/>
        </w:r>
        <w:r>
          <w:rPr>
            <w:noProof/>
            <w:webHidden/>
          </w:rPr>
          <w:t>1068</w:t>
        </w:r>
        <w:r>
          <w:rPr>
            <w:noProof/>
            <w:webHidden/>
          </w:rPr>
          <w:fldChar w:fldCharType="end"/>
        </w:r>
      </w:hyperlink>
    </w:p>
    <w:p>
      <w:pPr>
        <w:pStyle w:val="TOC2"/>
      </w:pPr>
      <w:hyperlink w:anchor="_Toc300000551" w:history="1">
        <w:r>
          <w:rPr>
            <w:noProof/>
          </w:rPr>
          <w:t xml:space="preserve">Article 19.13: Unsolicited Commercial Electronic Communications</w:t>
        </w:r>
        <w:r>
          <w:rPr>
            <w:noProof/>
            <w:webHidden/>
          </w:rPr>
          <w:tab/>
        </w:r>
        <w:r>
          <w:rPr>
            <w:noProof/>
            <w:webHidden/>
          </w:rPr>
          <w:fldChar w:fldCharType="begin"/>
        </w:r>
        <w:r>
          <w:rPr>
            <w:noProof/>
            <w:webHidden/>
          </w:rPr>
          <w:instrText xml:space="preserve"> PAGEREF _Toc300000551 \h </w:instrText>
        </w:r>
        <w:r>
          <w:rPr>
            <w:noProof/>
            <w:webHidden/>
          </w:rPr>
          <w:fldChar w:fldCharType="separate"/>
        </w:r>
        <w:r>
          <w:rPr>
            <w:noProof/>
            <w:webHidden/>
          </w:rPr>
          <w:t>1068</w:t>
        </w:r>
        <w:r>
          <w:rPr>
            <w:noProof/>
            <w:webHidden/>
          </w:rPr>
          <w:fldChar w:fldCharType="end"/>
        </w:r>
      </w:hyperlink>
    </w:p>
    <w:p>
      <w:pPr>
        <w:pStyle w:val="TOC2"/>
      </w:pPr>
      <w:hyperlink w:anchor="_Toc300000552" w:history="1">
        <w:r>
          <w:rPr>
            <w:noProof/>
          </w:rPr>
          <w:t xml:space="preserve">Article 19.14: Cooperation</w:t>
        </w:r>
        <w:r>
          <w:rPr>
            <w:noProof/>
            <w:webHidden/>
          </w:rPr>
          <w:tab/>
        </w:r>
        <w:r>
          <w:rPr>
            <w:noProof/>
            <w:webHidden/>
          </w:rPr>
          <w:fldChar w:fldCharType="begin"/>
        </w:r>
        <w:r>
          <w:rPr>
            <w:noProof/>
            <w:webHidden/>
          </w:rPr>
          <w:instrText xml:space="preserve"> PAGEREF _Toc300000552 \h </w:instrText>
        </w:r>
        <w:r>
          <w:rPr>
            <w:noProof/>
            <w:webHidden/>
          </w:rPr>
          <w:fldChar w:fldCharType="separate"/>
        </w:r>
        <w:r>
          <w:rPr>
            <w:noProof/>
            <w:webHidden/>
          </w:rPr>
          <w:t>1069</w:t>
        </w:r>
        <w:r>
          <w:rPr>
            <w:noProof/>
            <w:webHidden/>
          </w:rPr>
          <w:fldChar w:fldCharType="end"/>
        </w:r>
      </w:hyperlink>
    </w:p>
    <w:p>
      <w:pPr>
        <w:pStyle w:val="TOC2"/>
      </w:pPr>
      <w:hyperlink w:anchor="_Toc300000553" w:history="1">
        <w:r>
          <w:rPr>
            <w:noProof/>
          </w:rPr>
          <w:t xml:space="preserve">Article 19.15: Cybersecurity</w:t>
        </w:r>
        <w:r>
          <w:rPr>
            <w:noProof/>
            <w:webHidden/>
          </w:rPr>
          <w:tab/>
        </w:r>
        <w:r>
          <w:rPr>
            <w:noProof/>
            <w:webHidden/>
          </w:rPr>
          <w:fldChar w:fldCharType="begin"/>
        </w:r>
        <w:r>
          <w:rPr>
            <w:noProof/>
            <w:webHidden/>
          </w:rPr>
          <w:instrText xml:space="preserve"> PAGEREF _Toc300000553 \h </w:instrText>
        </w:r>
        <w:r>
          <w:rPr>
            <w:noProof/>
            <w:webHidden/>
          </w:rPr>
          <w:fldChar w:fldCharType="separate"/>
        </w:r>
        <w:r>
          <w:rPr>
            <w:noProof/>
            <w:webHidden/>
          </w:rPr>
          <w:t>1069</w:t>
        </w:r>
        <w:r>
          <w:rPr>
            <w:noProof/>
            <w:webHidden/>
          </w:rPr>
          <w:fldChar w:fldCharType="end"/>
        </w:r>
      </w:hyperlink>
    </w:p>
    <w:p>
      <w:pPr>
        <w:pStyle w:val="TOC2"/>
      </w:pPr>
      <w:hyperlink w:anchor="_Toc300000554" w:history="1">
        <w:r>
          <w:rPr>
            <w:noProof/>
          </w:rPr>
          <w:t xml:space="preserve">Article 19.16: Source Code</w:t>
        </w:r>
        <w:r>
          <w:rPr>
            <w:noProof/>
            <w:webHidden/>
          </w:rPr>
          <w:tab/>
        </w:r>
        <w:r>
          <w:rPr>
            <w:noProof/>
            <w:webHidden/>
          </w:rPr>
          <w:fldChar w:fldCharType="begin"/>
        </w:r>
        <w:r>
          <w:rPr>
            <w:noProof/>
            <w:webHidden/>
          </w:rPr>
          <w:instrText xml:space="preserve"> PAGEREF _Toc300000554 \h </w:instrText>
        </w:r>
        <w:r>
          <w:rPr>
            <w:noProof/>
            <w:webHidden/>
          </w:rPr>
          <w:fldChar w:fldCharType="separate"/>
        </w:r>
        <w:r>
          <w:rPr>
            <w:noProof/>
            <w:webHidden/>
          </w:rPr>
          <w:t>1070</w:t>
        </w:r>
        <w:r>
          <w:rPr>
            <w:noProof/>
            <w:webHidden/>
          </w:rPr>
          <w:fldChar w:fldCharType="end"/>
        </w:r>
      </w:hyperlink>
    </w:p>
    <w:p>
      <w:pPr>
        <w:pStyle w:val="TOC2"/>
      </w:pPr>
      <w:hyperlink w:anchor="_Toc300000555" w:history="1">
        <w:r>
          <w:rPr>
            <w:noProof/>
          </w:rPr>
          <w:t xml:space="preserve">Article 19.17: Interactive Computer Services</w:t>
        </w:r>
        <w:r>
          <w:rPr>
            <w:noProof/>
            <w:webHidden/>
          </w:rPr>
          <w:tab/>
        </w:r>
        <w:r>
          <w:rPr>
            <w:noProof/>
            <w:webHidden/>
          </w:rPr>
          <w:fldChar w:fldCharType="begin"/>
        </w:r>
        <w:r>
          <w:rPr>
            <w:noProof/>
            <w:webHidden/>
          </w:rPr>
          <w:instrText xml:space="preserve"> PAGEREF _Toc300000555 \h </w:instrText>
        </w:r>
        <w:r>
          <w:rPr>
            <w:noProof/>
            <w:webHidden/>
          </w:rPr>
          <w:fldChar w:fldCharType="separate"/>
        </w:r>
        <w:r>
          <w:rPr>
            <w:noProof/>
            <w:webHidden/>
          </w:rPr>
          <w:t>1070</w:t>
        </w:r>
        <w:r>
          <w:rPr>
            <w:noProof/>
            <w:webHidden/>
          </w:rPr>
          <w:fldChar w:fldCharType="end"/>
        </w:r>
      </w:hyperlink>
    </w:p>
    <w:p>
      <w:pPr>
        <w:pStyle w:val="TOC2"/>
      </w:pPr>
      <w:hyperlink w:anchor="_Toc300000556" w:history="1">
        <w:r>
          <w:rPr>
            <w:noProof/>
          </w:rPr>
          <w:t xml:space="preserve">Article 19.18: Open Government Data</w:t>
        </w:r>
        <w:r>
          <w:rPr>
            <w:noProof/>
            <w:webHidden/>
          </w:rPr>
          <w:tab/>
        </w:r>
        <w:r>
          <w:rPr>
            <w:noProof/>
            <w:webHidden/>
          </w:rPr>
          <w:fldChar w:fldCharType="begin"/>
        </w:r>
        <w:r>
          <w:rPr>
            <w:noProof/>
            <w:webHidden/>
          </w:rPr>
          <w:instrText xml:space="preserve"> PAGEREF _Toc300000556 \h </w:instrText>
        </w:r>
        <w:r>
          <w:rPr>
            <w:noProof/>
            <w:webHidden/>
          </w:rPr>
          <w:fldChar w:fldCharType="separate"/>
        </w:r>
        <w:r>
          <w:rPr>
            <w:noProof/>
            <w:webHidden/>
          </w:rPr>
          <w:t>1071</w:t>
        </w:r>
        <w:r>
          <w:rPr>
            <w:noProof/>
            <w:webHidden/>
          </w:rPr>
          <w:fldChar w:fldCharType="end"/>
        </w:r>
      </w:hyperlink>
    </w:p>
    <w:p>
      <w:pPr>
        <w:pStyle w:val="TOC2"/>
      </w:pPr>
      <w:hyperlink w:anchor="_Toc300000557" w:history="1">
        <w:r>
          <w:rPr>
            <w:noProof/>
          </w:rPr>
          <w:t xml:space="preserve">ANNEX 19-A</w:t>
        </w:r>
        <w:r>
          <w:rPr>
            <w:noProof/>
            <w:webHidden/>
          </w:rPr>
          <w:tab/>
        </w:r>
        <w:r>
          <w:rPr>
            <w:noProof/>
            <w:webHidden/>
          </w:rPr>
          <w:fldChar w:fldCharType="begin"/>
        </w:r>
        <w:r>
          <w:rPr>
            <w:noProof/>
            <w:webHidden/>
          </w:rPr>
          <w:instrText xml:space="preserve"> PAGEREF _Toc300000557 \h </w:instrText>
        </w:r>
        <w:r>
          <w:rPr>
            <w:noProof/>
            <w:webHidden/>
          </w:rPr>
          <w:fldChar w:fldCharType="separate"/>
        </w:r>
        <w:r>
          <w:rPr>
            <w:noProof/>
            <w:webHidden/>
          </w:rPr>
          <w:t>1071</w:t>
        </w:r>
        <w:r>
          <w:rPr>
            <w:noProof/>
            <w:webHidden/>
          </w:rPr>
          <w:fldChar w:fldCharType="end"/>
        </w:r>
      </w:hyperlink>
    </w:p>
    <w:p>
      <w:pPr>
        <w:pStyle w:val="TOC2"/>
      </w:pPr>
      <w:hyperlink w:anchor="_Toc300000558" w:history="1">
        <w:r>
          <w:rPr>
            <w:noProof/>
          </w:rPr>
          <w:t xml:space="preserve">CHAPTER 19: CUSMA 2.0 MODERNIZATION PROVISIONS</w:t>
        </w:r>
        <w:r>
          <w:rPr>
            <w:noProof/>
            <w:webHidden/>
          </w:rPr>
          <w:tab/>
        </w:r>
        <w:r>
          <w:rPr>
            <w:noProof/>
            <w:webHidden/>
          </w:rPr>
          <w:fldChar w:fldCharType="begin"/>
        </w:r>
        <w:r>
          <w:rPr>
            <w:noProof/>
            <w:webHidden/>
          </w:rPr>
          <w:instrText xml:space="preserve"> PAGEREF _Toc300000558 \h </w:instrText>
        </w:r>
        <w:r>
          <w:rPr>
            <w:noProof/>
            <w:webHidden/>
          </w:rPr>
          <w:fldChar w:fldCharType="separate"/>
        </w:r>
        <w:r>
          <w:rPr>
            <w:noProof/>
            <w:webHidden/>
          </w:rPr>
          <w:t>1072</w:t>
        </w:r>
        <w:r>
          <w:rPr>
            <w:noProof/>
            <w:webHidden/>
          </w:rPr>
          <w:fldChar w:fldCharType="end"/>
        </w:r>
      </w:hyperlink>
    </w:p>
    <w:p>
      <w:pPr>
        <w:pStyle w:val="TOC2"/>
      </w:pPr>
      <w:hyperlink w:anchor="_Toc300000559" w:history="1">
        <w:r>
          <w:rPr>
            <w:noProof/>
          </w:rPr>
          <w:t xml:space="preserve">Article 19.A: Scope Modernization</w:t>
        </w:r>
        <w:r>
          <w:rPr>
            <w:noProof/>
            <w:webHidden/>
          </w:rPr>
          <w:tab/>
        </w:r>
        <w:r>
          <w:rPr>
            <w:noProof/>
            <w:webHidden/>
          </w:rPr>
          <w:fldChar w:fldCharType="begin"/>
        </w:r>
        <w:r>
          <w:rPr>
            <w:noProof/>
            <w:webHidden/>
          </w:rPr>
          <w:instrText xml:space="preserve"> PAGEREF _Toc300000559 \h </w:instrText>
        </w:r>
        <w:r>
          <w:rPr>
            <w:noProof/>
            <w:webHidden/>
          </w:rPr>
          <w:fldChar w:fldCharType="separate"/>
        </w:r>
        <w:r>
          <w:rPr>
            <w:noProof/>
            <w:webHidden/>
          </w:rPr>
          <w:t>1072</w:t>
        </w:r>
        <w:r>
          <w:rPr>
            <w:noProof/>
            <w:webHidden/>
          </w:rPr>
          <w:fldChar w:fldCharType="end"/>
        </w:r>
      </w:hyperlink>
    </w:p>
    <w:p>
      <w:pPr>
        <w:pStyle w:val="TOC2"/>
      </w:pPr>
      <w:hyperlink w:anchor="_Toc300000560" w:history="1">
        <w:r>
          <w:rPr>
            <w:noProof/>
          </w:rPr>
          <w:t xml:space="preserve">Article 19.B: Cybersecurity Cooperation for Trade Infrastructure</w:t>
        </w:r>
        <w:r>
          <w:rPr>
            <w:noProof/>
            <w:webHidden/>
          </w:rPr>
          <w:tab/>
        </w:r>
        <w:r>
          <w:rPr>
            <w:noProof/>
            <w:webHidden/>
          </w:rPr>
          <w:fldChar w:fldCharType="begin"/>
        </w:r>
        <w:r>
          <w:rPr>
            <w:noProof/>
            <w:webHidden/>
          </w:rPr>
          <w:instrText xml:space="preserve"> PAGEREF _Toc300000560 \h </w:instrText>
        </w:r>
        <w:r>
          <w:rPr>
            <w:noProof/>
            <w:webHidden/>
          </w:rPr>
          <w:fldChar w:fldCharType="separate"/>
        </w:r>
        <w:r>
          <w:rPr>
            <w:noProof/>
            <w:webHidden/>
          </w:rPr>
          <w:t>1072</w:t>
        </w:r>
        <w:r>
          <w:rPr>
            <w:noProof/>
            <w:webHidden/>
          </w:rPr>
          <w:fldChar w:fldCharType="end"/>
        </w:r>
      </w:hyperlink>
    </w:p>
    <w:p>
      <w:pPr>
        <w:pStyle w:val="TOC2"/>
      </w:pPr>
      <w:hyperlink w:anchor="_Toc300000561" w:history="1">
        <w:r>
          <w:rPr>
            <w:noProof/>
          </w:rPr>
          <w:t xml:space="preserve">Article 19.C: Electronic Payments</w:t>
        </w:r>
        <w:r>
          <w:rPr>
            <w:noProof/>
            <w:webHidden/>
          </w:rPr>
          <w:tab/>
        </w:r>
        <w:r>
          <w:rPr>
            <w:noProof/>
            <w:webHidden/>
          </w:rPr>
          <w:fldChar w:fldCharType="begin"/>
        </w:r>
        <w:r>
          <w:rPr>
            <w:noProof/>
            <w:webHidden/>
          </w:rPr>
          <w:instrText xml:space="preserve"> PAGEREF _Toc300000561 \h </w:instrText>
        </w:r>
        <w:r>
          <w:rPr>
            <w:noProof/>
            <w:webHidden/>
          </w:rPr>
          <w:fldChar w:fldCharType="separate"/>
        </w:r>
        <w:r>
          <w:rPr>
            <w:noProof/>
            <w:webHidden/>
          </w:rPr>
          <w:t>1072</w:t>
        </w:r>
        <w:r>
          <w:rPr>
            <w:noProof/>
            <w:webHidden/>
          </w:rPr>
          <w:fldChar w:fldCharType="end"/>
        </w:r>
      </w:hyperlink>
    </w:p>
    <w:p>
      <w:pPr>
        <w:pStyle w:val="TOC2"/>
      </w:pPr>
      <w:hyperlink w:anchor="_Toc300000562" w:history="1">
        <w:r>
          <w:rPr>
            <w:noProof/>
          </w:rPr>
          <w:t xml:space="preserve">Article 19.D: Data Governance and Interoperability</w:t>
        </w:r>
        <w:r>
          <w:rPr>
            <w:noProof/>
            <w:webHidden/>
          </w:rPr>
          <w:tab/>
        </w:r>
        <w:r>
          <w:rPr>
            <w:noProof/>
            <w:webHidden/>
          </w:rPr>
          <w:fldChar w:fldCharType="begin"/>
        </w:r>
        <w:r>
          <w:rPr>
            <w:noProof/>
            <w:webHidden/>
          </w:rPr>
          <w:instrText xml:space="preserve"> PAGEREF _Toc300000562 \h </w:instrText>
        </w:r>
        <w:r>
          <w:rPr>
            <w:noProof/>
            <w:webHidden/>
          </w:rPr>
          <w:fldChar w:fldCharType="separate"/>
        </w:r>
        <w:r>
          <w:rPr>
            <w:noProof/>
            <w:webHidden/>
          </w:rPr>
          <w:t>1073</w:t>
        </w:r>
        <w:r>
          <w:rPr>
            <w:noProof/>
            <w:webHidden/>
          </w:rPr>
          <w:fldChar w:fldCharType="end"/>
        </w:r>
      </w:hyperlink>
    </w:p>
    <w:p>
      <w:pPr>
        <w:pStyle w:val="TOC2"/>
      </w:pPr>
      <w:hyperlink w:anchor="_Toc300000563" w:history="1">
        <w:r>
          <w:rPr>
            <w:noProof/>
          </w:rPr>
          <w:t xml:space="preserve">Article 19.E: Digital Identity and Trust Services</w:t>
        </w:r>
        <w:r>
          <w:rPr>
            <w:noProof/>
            <w:webHidden/>
          </w:rPr>
          <w:tab/>
        </w:r>
        <w:r>
          <w:rPr>
            <w:noProof/>
            <w:webHidden/>
          </w:rPr>
          <w:fldChar w:fldCharType="begin"/>
        </w:r>
        <w:r>
          <w:rPr>
            <w:noProof/>
            <w:webHidden/>
          </w:rPr>
          <w:instrText xml:space="preserve"> PAGEREF _Toc300000563 \h </w:instrText>
        </w:r>
        <w:r>
          <w:rPr>
            <w:noProof/>
            <w:webHidden/>
          </w:rPr>
          <w:fldChar w:fldCharType="separate"/>
        </w:r>
        <w:r>
          <w:rPr>
            <w:noProof/>
            <w:webHidden/>
          </w:rPr>
          <w:t>1073</w:t>
        </w:r>
        <w:r>
          <w:rPr>
            <w:noProof/>
            <w:webHidden/>
          </w:rPr>
          <w:fldChar w:fldCharType="end"/>
        </w:r>
      </w:hyperlink>
    </w:p>
    <w:p>
      <w:pPr>
        <w:pStyle w:val="TOC2"/>
      </w:pPr>
      <w:hyperlink w:anchor="_Toc300000564" w:history="1">
        <w:r>
          <w:rPr>
            <w:noProof/>
          </w:rPr>
          <w:t xml:space="preserve">Article 19.F: Committee on Digital Trade Cooperation</w:t>
        </w:r>
        <w:r>
          <w:rPr>
            <w:noProof/>
            <w:webHidden/>
          </w:rPr>
          <w:tab/>
        </w:r>
        <w:r>
          <w:rPr>
            <w:noProof/>
            <w:webHidden/>
          </w:rPr>
          <w:fldChar w:fldCharType="begin"/>
        </w:r>
        <w:r>
          <w:rPr>
            <w:noProof/>
            <w:webHidden/>
          </w:rPr>
          <w:instrText xml:space="preserve"> PAGEREF _Toc300000564 \h </w:instrText>
        </w:r>
        <w:r>
          <w:rPr>
            <w:noProof/>
            <w:webHidden/>
          </w:rPr>
          <w:fldChar w:fldCharType="separate"/>
        </w:r>
        <w:r>
          <w:rPr>
            <w:noProof/>
            <w:webHidden/>
          </w:rPr>
          <w:t>1073</w:t>
        </w:r>
        <w:r>
          <w:rPr>
            <w:noProof/>
            <w:webHidden/>
          </w:rPr>
          <w:fldChar w:fldCharType="end"/>
        </w:r>
      </w:hyperlink>
    </w:p>
    <w:p>
      <w:pPr>
        <w:pStyle w:val="TOC2"/>
      </w:pPr>
      <w:hyperlink w:anchor="_Toc300000565" w:history="1">
        <w:r>
          <w:rPr>
            <w:noProof/>
          </w:rPr>
          <w:t xml:space="preserve">Article 19.G: Open Government Data for Trade</w:t>
        </w:r>
        <w:r>
          <w:rPr>
            <w:noProof/>
            <w:webHidden/>
          </w:rPr>
          <w:tab/>
        </w:r>
        <w:r>
          <w:rPr>
            <w:noProof/>
            <w:webHidden/>
          </w:rPr>
          <w:fldChar w:fldCharType="begin"/>
        </w:r>
        <w:r>
          <w:rPr>
            <w:noProof/>
            <w:webHidden/>
          </w:rPr>
          <w:instrText xml:space="preserve"> PAGEREF _Toc300000565 \h </w:instrText>
        </w:r>
        <w:r>
          <w:rPr>
            <w:noProof/>
            <w:webHidden/>
          </w:rPr>
          <w:fldChar w:fldCharType="separate"/>
        </w:r>
        <w:r>
          <w:rPr>
            <w:noProof/>
            <w:webHidden/>
          </w:rPr>
          <w:t>1073</w:t>
        </w:r>
        <w:r>
          <w:rPr>
            <w:noProof/>
            <w:webHidden/>
          </w:rPr>
          <w:fldChar w:fldCharType="end"/>
        </w:r>
      </w:hyperlink>
    </w:p>
    <w:p>
      <w:pPr>
        <w:pStyle w:val="TOC2"/>
      </w:pPr>
      <w:hyperlink w:anchor="_Toc300000566" w:history="1">
        <w:r>
          <w:rPr>
            <w:noProof/>
          </w:rPr>
          <w:t xml:space="preserve">Article 19.H: Digital Regulatory Interoperability and Verified Outcomes</w:t>
        </w:r>
        <w:r>
          <w:rPr>
            <w:noProof/>
            <w:webHidden/>
          </w:rPr>
          <w:tab/>
        </w:r>
        <w:r>
          <w:rPr>
            <w:noProof/>
            <w:webHidden/>
          </w:rPr>
          <w:fldChar w:fldCharType="begin"/>
        </w:r>
        <w:r>
          <w:rPr>
            <w:noProof/>
            <w:webHidden/>
          </w:rPr>
          <w:instrText xml:space="preserve"> PAGEREF _Toc300000566 \h </w:instrText>
        </w:r>
        <w:r>
          <w:rPr>
            <w:noProof/>
            <w:webHidden/>
          </w:rPr>
          <w:fldChar w:fldCharType="separate"/>
        </w:r>
        <w:r>
          <w:rPr>
            <w:noProof/>
            <w:webHidden/>
          </w:rPr>
          <w:t>1074</w:t>
        </w:r>
        <w:r>
          <w:rPr>
            <w:noProof/>
            <w:webHidden/>
          </w:rPr>
          <w:fldChar w:fldCharType="end"/>
        </w:r>
      </w:hyperlink>
    </w:p>
    <w:p>
      <w:pPr>
        <w:pStyle w:val="TOC2"/>
      </w:pPr>
      <w:hyperlink w:anchor="_Toc300000567" w:history="1">
        <w:r>
          <w:rPr>
            <w:noProof/>
          </w:rPr>
          <w:t xml:space="preserve">Article 19.I: Portable Compliance Evidence and Regulatory Reliance</w:t>
        </w:r>
        <w:r>
          <w:rPr>
            <w:noProof/>
            <w:webHidden/>
          </w:rPr>
          <w:tab/>
        </w:r>
        <w:r>
          <w:rPr>
            <w:noProof/>
            <w:webHidden/>
          </w:rPr>
          <w:fldChar w:fldCharType="begin"/>
        </w:r>
        <w:r>
          <w:rPr>
            <w:noProof/>
            <w:webHidden/>
          </w:rPr>
          <w:instrText xml:space="preserve"> PAGEREF _Toc300000567 \h </w:instrText>
        </w:r>
        <w:r>
          <w:rPr>
            <w:noProof/>
            <w:webHidden/>
          </w:rPr>
          <w:fldChar w:fldCharType="separate"/>
        </w:r>
        <w:r>
          <w:rPr>
            <w:noProof/>
            <w:webHidden/>
          </w:rPr>
          <w:t>1074</w:t>
        </w:r>
        <w:r>
          <w:rPr>
            <w:noProof/>
            <w:webHidden/>
          </w:rPr>
          <w:fldChar w:fldCharType="end"/>
        </w:r>
      </w:hyperlink>
    </w:p>
    <w:p>
      <w:pPr>
        <w:pStyle w:val="TOC2"/>
      </w:pPr>
      <w:hyperlink w:anchor="_Toc300000568" w:history="1">
        <w:r>
          <w:rPr>
            <w:noProof/>
          </w:rPr>
          <w:t xml:space="preserve">Article 19.J: Child-Safe Digital Services and Incentive-Based Safety</w:t>
        </w:r>
        <w:r>
          <w:rPr>
            <w:noProof/>
            <w:webHidden/>
          </w:rPr>
          <w:tab/>
        </w:r>
        <w:r>
          <w:rPr>
            <w:noProof/>
            <w:webHidden/>
          </w:rPr>
          <w:fldChar w:fldCharType="begin"/>
        </w:r>
        <w:r>
          <w:rPr>
            <w:noProof/>
            <w:webHidden/>
          </w:rPr>
          <w:instrText xml:space="preserve"> PAGEREF _Toc300000568 \h </w:instrText>
        </w:r>
        <w:r>
          <w:rPr>
            <w:noProof/>
            <w:webHidden/>
          </w:rPr>
          <w:fldChar w:fldCharType="separate"/>
        </w:r>
        <w:r>
          <w:rPr>
            <w:noProof/>
            <w:webHidden/>
          </w:rPr>
          <w:t>1075</w:t>
        </w:r>
        <w:r>
          <w:rPr>
            <w:noProof/>
            <w:webHidden/>
          </w:rPr>
          <w:fldChar w:fldCharType="end"/>
        </w:r>
      </w:hyperlink>
    </w:p>
    <w:p>
      <w:pPr>
        <w:pStyle w:val="TOC2"/>
      </w:pPr>
      <w:hyperlink w:anchor="_Toc300000569" w:history="1">
        <w:r>
          <w:rPr>
            <w:noProof/>
          </w:rPr>
          <w:t xml:space="preserve">Article 19.K: Privacy-Preserving Age Assurance and Anonymous Adult Access</w:t>
        </w:r>
        <w:r>
          <w:rPr>
            <w:noProof/>
            <w:webHidden/>
          </w:rPr>
          <w:tab/>
        </w:r>
        <w:r>
          <w:rPr>
            <w:noProof/>
            <w:webHidden/>
          </w:rPr>
          <w:fldChar w:fldCharType="begin"/>
        </w:r>
        <w:r>
          <w:rPr>
            <w:noProof/>
            <w:webHidden/>
          </w:rPr>
          <w:instrText xml:space="preserve"> PAGEREF _Toc300000569 \h </w:instrText>
        </w:r>
        <w:r>
          <w:rPr>
            <w:noProof/>
            <w:webHidden/>
          </w:rPr>
          <w:fldChar w:fldCharType="separate"/>
        </w:r>
        <w:r>
          <w:rPr>
            <w:noProof/>
            <w:webHidden/>
          </w:rPr>
          <w:t>1075</w:t>
        </w:r>
        <w:r>
          <w:rPr>
            <w:noProof/>
            <w:webHidden/>
          </w:rPr>
          <w:fldChar w:fldCharType="end"/>
        </w:r>
      </w:hyperlink>
    </w:p>
    <w:p>
      <w:pPr>
        <w:pStyle w:val="TOC2"/>
      </w:pPr>
      <w:hyperlink w:anchor="_Toc300000570" w:history="1">
        <w:r>
          <w:rPr>
            <w:noProof/>
          </w:rPr>
          <w:t xml:space="preserve">Article 19.L: Digital Content and Function Risk Bands</w:t>
        </w:r>
        <w:r>
          <w:rPr>
            <w:noProof/>
            <w:webHidden/>
          </w:rPr>
          <w:tab/>
        </w:r>
        <w:r>
          <w:rPr>
            <w:noProof/>
            <w:webHidden/>
          </w:rPr>
          <w:fldChar w:fldCharType="begin"/>
        </w:r>
        <w:r>
          <w:rPr>
            <w:noProof/>
            <w:webHidden/>
          </w:rPr>
          <w:instrText xml:space="preserve"> PAGEREF _Toc300000570 \h </w:instrText>
        </w:r>
        <w:r>
          <w:rPr>
            <w:noProof/>
            <w:webHidden/>
          </w:rPr>
          <w:fldChar w:fldCharType="separate"/>
        </w:r>
        <w:r>
          <w:rPr>
            <w:noProof/>
            <w:webHidden/>
          </w:rPr>
          <w:t>1076</w:t>
        </w:r>
        <w:r>
          <w:rPr>
            <w:noProof/>
            <w:webHidden/>
          </w:rPr>
          <w:fldChar w:fldCharType="end"/>
        </w:r>
      </w:hyperlink>
    </w:p>
    <w:p>
      <w:pPr>
        <w:pStyle w:val="TOC2"/>
      </w:pPr>
      <w:hyperlink w:anchor="_Toc300000571" w:history="1">
        <w:r>
          <w:rPr>
            <w:noProof/>
          </w:rPr>
          <w:t xml:space="preserve">Article 19.M: Interactive Artificial Intelligence and Minor Safety</w:t>
        </w:r>
        <w:r>
          <w:rPr>
            <w:noProof/>
            <w:webHidden/>
          </w:rPr>
          <w:tab/>
        </w:r>
        <w:r>
          <w:rPr>
            <w:noProof/>
            <w:webHidden/>
          </w:rPr>
          <w:fldChar w:fldCharType="begin"/>
        </w:r>
        <w:r>
          <w:rPr>
            <w:noProof/>
            <w:webHidden/>
          </w:rPr>
          <w:instrText xml:space="preserve"> PAGEREF _Toc300000571 \h </w:instrText>
        </w:r>
        <w:r>
          <w:rPr>
            <w:noProof/>
            <w:webHidden/>
          </w:rPr>
          <w:fldChar w:fldCharType="separate"/>
        </w:r>
        <w:r>
          <w:rPr>
            <w:noProof/>
            <w:webHidden/>
          </w:rPr>
          <w:t>1076</w:t>
        </w:r>
        <w:r>
          <w:rPr>
            <w:noProof/>
            <w:webHidden/>
          </w:rPr>
          <w:fldChar w:fldCharType="end"/>
        </w:r>
      </w:hyperlink>
    </w:p>
    <w:p>
      <w:pPr>
        <w:pStyle w:val="TOC2"/>
      </w:pPr>
      <w:hyperlink w:anchor="_Toc300000572" w:history="1">
        <w:r>
          <w:rPr>
            <w:noProof/>
          </w:rPr>
          <w:t xml:space="preserve">Article 19.N: Encryption, Source Code, and Security-by-Design</w:t>
        </w:r>
        <w:r>
          <w:rPr>
            <w:noProof/>
            <w:webHidden/>
          </w:rPr>
          <w:tab/>
        </w:r>
        <w:r>
          <w:rPr>
            <w:noProof/>
            <w:webHidden/>
          </w:rPr>
          <w:fldChar w:fldCharType="begin"/>
        </w:r>
        <w:r>
          <w:rPr>
            <w:noProof/>
            <w:webHidden/>
          </w:rPr>
          <w:instrText xml:space="preserve"> PAGEREF _Toc300000572 \h </w:instrText>
        </w:r>
        <w:r>
          <w:rPr>
            <w:noProof/>
            <w:webHidden/>
          </w:rPr>
          <w:fldChar w:fldCharType="separate"/>
        </w:r>
        <w:r>
          <w:rPr>
            <w:noProof/>
            <w:webHidden/>
          </w:rPr>
          <w:t>1077</w:t>
        </w:r>
        <w:r>
          <w:rPr>
            <w:noProof/>
            <w:webHidden/>
          </w:rPr>
          <w:fldChar w:fldCharType="end"/>
        </w:r>
      </w:hyperlink>
    </w:p>
    <w:p>
      <w:pPr>
        <w:pStyle w:val="TOC2"/>
      </w:pPr>
      <w:hyperlink w:anchor="_Toc300000573" w:history="1">
        <w:r>
          <w:rPr>
            <w:noProof/>
          </w:rPr>
          <w:t xml:space="preserve">Article 19.O: Cybersecurity Interoperability and Reusable Assurance</w:t>
        </w:r>
        <w:r>
          <w:rPr>
            <w:noProof/>
            <w:webHidden/>
          </w:rPr>
          <w:tab/>
        </w:r>
        <w:r>
          <w:rPr>
            <w:noProof/>
            <w:webHidden/>
          </w:rPr>
          <w:fldChar w:fldCharType="begin"/>
        </w:r>
        <w:r>
          <w:rPr>
            <w:noProof/>
            <w:webHidden/>
          </w:rPr>
          <w:instrText xml:space="preserve"> PAGEREF _Toc300000573 \h </w:instrText>
        </w:r>
        <w:r>
          <w:rPr>
            <w:noProof/>
            <w:webHidden/>
          </w:rPr>
          <w:fldChar w:fldCharType="separate"/>
        </w:r>
        <w:r>
          <w:rPr>
            <w:noProof/>
            <w:webHidden/>
          </w:rPr>
          <w:t>1077</w:t>
        </w:r>
        <w:r>
          <w:rPr>
            <w:noProof/>
            <w:webHidden/>
          </w:rPr>
          <w:fldChar w:fldCharType="end"/>
        </w:r>
      </w:hyperlink>
    </w:p>
    <w:p>
      <w:pPr>
        <w:pStyle w:val="TOC2"/>
      </w:pPr>
      <w:hyperlink w:anchor="_Toc300000574" w:history="1">
        <w:r>
          <w:rPr>
            <w:noProof/>
          </w:rPr>
          <w:t xml:space="preserve">Article 19.P: Artificial Intelligence Capability and Productivity</w:t>
        </w:r>
        <w:r>
          <w:rPr>
            <w:noProof/>
            <w:webHidden/>
          </w:rPr>
          <w:tab/>
        </w:r>
        <w:r>
          <w:rPr>
            <w:noProof/>
            <w:webHidden/>
          </w:rPr>
          <w:fldChar w:fldCharType="begin"/>
        </w:r>
        <w:r>
          <w:rPr>
            <w:noProof/>
            <w:webHidden/>
          </w:rPr>
          <w:instrText xml:space="preserve"> PAGEREF _Toc300000574 \h </w:instrText>
        </w:r>
        <w:r>
          <w:rPr>
            <w:noProof/>
            <w:webHidden/>
          </w:rPr>
          <w:fldChar w:fldCharType="separate"/>
        </w:r>
        <w:r>
          <w:rPr>
            <w:noProof/>
            <w:webHidden/>
          </w:rPr>
          <w:t>1077</w:t>
        </w:r>
        <w:r>
          <w:rPr>
            <w:noProof/>
            <w:webHidden/>
          </w:rPr>
          <w:fldChar w:fldCharType="end"/>
        </w:r>
      </w:hyperlink>
    </w:p>
    <w:p>
      <w:pPr>
        <w:pStyle w:val="TOC2"/>
      </w:pPr>
      <w:hyperlink w:anchor="_Toc300000575" w:history="1">
        <w:r>
          <w:rPr>
            <w:noProof/>
          </w:rPr>
          <w:t xml:space="preserve">Article 19.Q: North American AI Literacy, Skills, and Opportunity</w:t>
        </w:r>
        <w:r>
          <w:rPr>
            <w:noProof/>
            <w:webHidden/>
          </w:rPr>
          <w:tab/>
        </w:r>
        <w:r>
          <w:rPr>
            <w:noProof/>
            <w:webHidden/>
          </w:rPr>
          <w:fldChar w:fldCharType="begin"/>
        </w:r>
        <w:r>
          <w:rPr>
            <w:noProof/>
            <w:webHidden/>
          </w:rPr>
          <w:instrText xml:space="preserve"> PAGEREF _Toc300000575 \h </w:instrText>
        </w:r>
        <w:r>
          <w:rPr>
            <w:noProof/>
            <w:webHidden/>
          </w:rPr>
          <w:fldChar w:fldCharType="separate"/>
        </w:r>
        <w:r>
          <w:rPr>
            <w:noProof/>
            <w:webHidden/>
          </w:rPr>
          <w:t>1078</w:t>
        </w:r>
        <w:r>
          <w:rPr>
            <w:noProof/>
            <w:webHidden/>
          </w:rPr>
          <w:fldChar w:fldCharType="end"/>
        </w:r>
      </w:hyperlink>
    </w:p>
    <w:p>
      <w:pPr>
        <w:pStyle w:val="TOC2"/>
      </w:pPr>
      <w:hyperlink w:anchor="_Toc300000576" w:history="1">
        <w:r>
          <w:rPr>
            <w:noProof/>
          </w:rPr>
          <w:t xml:space="preserve">Article 19.R: Portable AI Credentials and Workforce Mobility</w:t>
        </w:r>
        <w:r>
          <w:rPr>
            <w:noProof/>
            <w:webHidden/>
          </w:rPr>
          <w:tab/>
        </w:r>
        <w:r>
          <w:rPr>
            <w:noProof/>
            <w:webHidden/>
          </w:rPr>
          <w:fldChar w:fldCharType="begin"/>
        </w:r>
        <w:r>
          <w:rPr>
            <w:noProof/>
            <w:webHidden/>
          </w:rPr>
          <w:instrText xml:space="preserve"> PAGEREF _Toc300000576 \h </w:instrText>
        </w:r>
        <w:r>
          <w:rPr>
            <w:noProof/>
            <w:webHidden/>
          </w:rPr>
          <w:fldChar w:fldCharType="separate"/>
        </w:r>
        <w:r>
          <w:rPr>
            <w:noProof/>
            <w:webHidden/>
          </w:rPr>
          <w:t>1078</w:t>
        </w:r>
        <w:r>
          <w:rPr>
            <w:noProof/>
            <w:webHidden/>
          </w:rPr>
          <w:fldChar w:fldCharType="end"/>
        </w:r>
      </w:hyperlink>
    </w:p>
    <w:p>
      <w:pPr>
        <w:pStyle w:val="TOC2"/>
      </w:pPr>
      <w:hyperlink w:anchor="_Toc300000577" w:history="1">
        <w:r>
          <w:rPr>
            <w:noProof/>
          </w:rPr>
          <w:t xml:space="preserve">Article 19.S: SME Artificial Intelligence Diffusion</w:t>
        </w:r>
        <w:r>
          <w:rPr>
            <w:noProof/>
            <w:webHidden/>
          </w:rPr>
          <w:tab/>
        </w:r>
        <w:r>
          <w:rPr>
            <w:noProof/>
            <w:webHidden/>
          </w:rPr>
          <w:fldChar w:fldCharType="begin"/>
        </w:r>
        <w:r>
          <w:rPr>
            <w:noProof/>
            <w:webHidden/>
          </w:rPr>
          <w:instrText xml:space="preserve"> PAGEREF _Toc300000577 \h </w:instrText>
        </w:r>
        <w:r>
          <w:rPr>
            <w:noProof/>
            <w:webHidden/>
          </w:rPr>
          <w:fldChar w:fldCharType="separate"/>
        </w:r>
        <w:r>
          <w:rPr>
            <w:noProof/>
            <w:webHidden/>
          </w:rPr>
          <w:t>1079</w:t>
        </w:r>
        <w:r>
          <w:rPr>
            <w:noProof/>
            <w:webHidden/>
          </w:rPr>
          <w:fldChar w:fldCharType="end"/>
        </w:r>
      </w:hyperlink>
    </w:p>
    <w:p>
      <w:pPr>
        <w:pStyle w:val="TOC2"/>
      </w:pPr>
      <w:hyperlink w:anchor="_Toc300000578" w:history="1">
        <w:r>
          <w:rPr>
            <w:noProof/>
          </w:rPr>
          <w:t xml:space="preserve">Article 19.T: AI-Ready Public Data and Modular Government Technology</w:t>
        </w:r>
        <w:r>
          <w:rPr>
            <w:noProof/>
            <w:webHidden/>
          </w:rPr>
          <w:tab/>
        </w:r>
        <w:r>
          <w:rPr>
            <w:noProof/>
            <w:webHidden/>
          </w:rPr>
          <w:fldChar w:fldCharType="begin"/>
        </w:r>
        <w:r>
          <w:rPr>
            <w:noProof/>
            <w:webHidden/>
          </w:rPr>
          <w:instrText xml:space="preserve"> PAGEREF _Toc300000578 \h </w:instrText>
        </w:r>
        <w:r>
          <w:rPr>
            <w:noProof/>
            <w:webHidden/>
          </w:rPr>
          <w:fldChar w:fldCharType="separate"/>
        </w:r>
        <w:r>
          <w:rPr>
            <w:noProof/>
            <w:webHidden/>
          </w:rPr>
          <w:t>1079</w:t>
        </w:r>
        <w:r>
          <w:rPr>
            <w:noProof/>
            <w:webHidden/>
          </w:rPr>
          <w:fldChar w:fldCharType="end"/>
        </w:r>
      </w:hyperlink>
    </w:p>
    <w:p>
      <w:pPr>
        <w:pStyle w:val="TOC2"/>
      </w:pPr>
      <w:hyperlink w:anchor="_Toc300000579" w:history="1">
        <w:r>
          <w:rPr>
            <w:noProof/>
          </w:rPr>
          <w:t xml:space="preserve">Article 19.U: AI Productivity Dividend and Experimental Public-Service Adoption</w:t>
        </w:r>
        <w:r>
          <w:rPr>
            <w:noProof/>
            <w:webHidden/>
          </w:rPr>
          <w:tab/>
        </w:r>
        <w:r>
          <w:rPr>
            <w:noProof/>
            <w:webHidden/>
          </w:rPr>
          <w:fldChar w:fldCharType="begin"/>
        </w:r>
        <w:r>
          <w:rPr>
            <w:noProof/>
            <w:webHidden/>
          </w:rPr>
          <w:instrText xml:space="preserve"> PAGEREF _Toc300000579 \h </w:instrText>
        </w:r>
        <w:r>
          <w:rPr>
            <w:noProof/>
            <w:webHidden/>
          </w:rPr>
          <w:fldChar w:fldCharType="separate"/>
        </w:r>
        <w:r>
          <w:rPr>
            <w:noProof/>
            <w:webHidden/>
          </w:rPr>
          <w:t>1080</w:t>
        </w:r>
        <w:r>
          <w:rPr>
            <w:noProof/>
            <w:webHidden/>
          </w:rPr>
          <w:fldChar w:fldCharType="end"/>
        </w:r>
      </w:hyperlink>
    </w:p>
    <w:p>
      <w:pPr>
        <w:pStyle w:val="TOC2"/>
      </w:pPr>
      <w:hyperlink w:anchor="_Toc300000580" w:history="1">
        <w:r>
          <w:rPr>
            <w:noProof/>
          </w:rPr>
          <w:t xml:space="preserve">Article 19.V: AI-Enabled Health Innovation and Interoperability</w:t>
        </w:r>
        <w:r>
          <w:rPr>
            <w:noProof/>
            <w:webHidden/>
          </w:rPr>
          <w:tab/>
        </w:r>
        <w:r>
          <w:rPr>
            <w:noProof/>
            <w:webHidden/>
          </w:rPr>
          <w:fldChar w:fldCharType="begin"/>
        </w:r>
        <w:r>
          <w:rPr>
            <w:noProof/>
            <w:webHidden/>
          </w:rPr>
          <w:instrText xml:space="preserve"> PAGEREF _Toc300000580 \h </w:instrText>
        </w:r>
        <w:r>
          <w:rPr>
            <w:noProof/>
            <w:webHidden/>
          </w:rPr>
          <w:fldChar w:fldCharType="separate"/>
        </w:r>
        <w:r>
          <w:rPr>
            <w:noProof/>
            <w:webHidden/>
          </w:rPr>
          <w:t>1080</w:t>
        </w:r>
        <w:r>
          <w:rPr>
            <w:noProof/>
            <w:webHidden/>
          </w:rPr>
          <w:fldChar w:fldCharType="end"/>
        </w:r>
      </w:hyperlink>
    </w:p>
    <w:p>
      <w:pPr>
        <w:pStyle w:val="TOC2"/>
      </w:pPr>
      <w:hyperlink w:anchor="_Toc300000581" w:history="1">
        <w:r>
          <w:rPr>
            <w:noProof/>
          </w:rPr>
          <w:t xml:space="preserve">Article 19.W: North American Medical AI Evaluation and Research Evidence</w:t>
        </w:r>
        <w:r>
          <w:rPr>
            <w:noProof/>
            <w:webHidden/>
          </w:rPr>
          <w:tab/>
        </w:r>
        <w:r>
          <w:rPr>
            <w:noProof/>
            <w:webHidden/>
          </w:rPr>
          <w:fldChar w:fldCharType="begin"/>
        </w:r>
        <w:r>
          <w:rPr>
            <w:noProof/>
            <w:webHidden/>
          </w:rPr>
          <w:instrText xml:space="preserve"> PAGEREF _Toc300000581 \h </w:instrText>
        </w:r>
        <w:r>
          <w:rPr>
            <w:noProof/>
            <w:webHidden/>
          </w:rPr>
          <w:fldChar w:fldCharType="separate"/>
        </w:r>
        <w:r>
          <w:rPr>
            <w:noProof/>
            <w:webHidden/>
          </w:rPr>
          <w:t>1081</w:t>
        </w:r>
        <w:r>
          <w:rPr>
            <w:noProof/>
            <w:webHidden/>
          </w:rPr>
          <w:fldChar w:fldCharType="end"/>
        </w:r>
      </w:hyperlink>
    </w:p>
    <w:p>
      <w:pPr>
        <w:pStyle w:val="TOC2"/>
      </w:pPr>
      <w:hyperlink w:anchor="_Toc300000582" w:history="1">
        <w:r>
          <w:rPr>
            <w:noProof/>
          </w:rPr>
          <w:t xml:space="preserve">Article 19.X: AI Vendor Interoperability, Competition, and Open Interfaces</w:t>
        </w:r>
        <w:r>
          <w:rPr>
            <w:noProof/>
            <w:webHidden/>
          </w:rPr>
          <w:tab/>
        </w:r>
        <w:r>
          <w:rPr>
            <w:noProof/>
            <w:webHidden/>
          </w:rPr>
          <w:fldChar w:fldCharType="begin"/>
        </w:r>
        <w:r>
          <w:rPr>
            <w:noProof/>
            <w:webHidden/>
          </w:rPr>
          <w:instrText xml:space="preserve"> PAGEREF _Toc300000582 \h </w:instrText>
        </w:r>
        <w:r>
          <w:rPr>
            <w:noProof/>
            <w:webHidden/>
          </w:rPr>
          <w:fldChar w:fldCharType="separate"/>
        </w:r>
        <w:r>
          <w:rPr>
            <w:noProof/>
            <w:webHidden/>
          </w:rPr>
          <w:t>1081</w:t>
        </w:r>
        <w:r>
          <w:rPr>
            <w:noProof/>
            <w:webHidden/>
          </w:rPr>
          <w:fldChar w:fldCharType="end"/>
        </w:r>
      </w:hyperlink>
    </w:p>
    <w:p>
      <w:pPr>
        <w:pStyle w:val="TOC2"/>
      </w:pPr>
      <w:hyperlink w:anchor="_Toc300000583" w:history="1">
        <w:r>
          <w:rPr>
            <w:noProof/>
          </w:rPr>
          <w:t xml:space="preserve">Article 19.Y: Functional Classification of Digital Financial Services</w:t>
        </w:r>
        <w:r>
          <w:rPr>
            <w:noProof/>
            <w:webHidden/>
          </w:rPr>
          <w:tab/>
        </w:r>
        <w:r>
          <w:rPr>
            <w:noProof/>
            <w:webHidden/>
          </w:rPr>
          <w:fldChar w:fldCharType="begin"/>
        </w:r>
        <w:r>
          <w:rPr>
            <w:noProof/>
            <w:webHidden/>
          </w:rPr>
          <w:instrText xml:space="preserve"> PAGEREF _Toc300000583 \h </w:instrText>
        </w:r>
        <w:r>
          <w:rPr>
            <w:noProof/>
            <w:webHidden/>
          </w:rPr>
          <w:fldChar w:fldCharType="separate"/>
        </w:r>
        <w:r>
          <w:rPr>
            <w:noProof/>
            <w:webHidden/>
          </w:rPr>
          <w:t>1082</w:t>
        </w:r>
        <w:r>
          <w:rPr>
            <w:noProof/>
            <w:webHidden/>
          </w:rPr>
          <w:fldChar w:fldCharType="end"/>
        </w:r>
      </w:hyperlink>
    </w:p>
    <w:p>
      <w:pPr>
        <w:pStyle w:val="TOC2"/>
      </w:pPr>
      <w:hyperlink w:anchor="_Toc300000584" w:history="1">
        <w:r>
          <w:rPr>
            <w:noProof/>
          </w:rPr>
          <w:t xml:space="preserve">Article 19.Z: Existing-Institution Presumption for Digital and AI Cooperation</w:t>
        </w:r>
        <w:r>
          <w:rPr>
            <w:noProof/>
            <w:webHidden/>
          </w:rPr>
          <w:tab/>
        </w:r>
        <w:r>
          <w:rPr>
            <w:noProof/>
            <w:webHidden/>
          </w:rPr>
          <w:fldChar w:fldCharType="begin"/>
        </w:r>
        <w:r>
          <w:rPr>
            <w:noProof/>
            <w:webHidden/>
          </w:rPr>
          <w:instrText xml:space="preserve"> PAGEREF _Toc300000584 \h </w:instrText>
        </w:r>
        <w:r>
          <w:rPr>
            <w:noProof/>
            <w:webHidden/>
          </w:rPr>
          <w:fldChar w:fldCharType="separate"/>
        </w:r>
        <w:r>
          <w:rPr>
            <w:noProof/>
            <w:webHidden/>
          </w:rPr>
          <w:t>1082</w:t>
        </w:r>
        <w:r>
          <w:rPr>
            <w:noProof/>
            <w:webHidden/>
          </w:rPr>
          <w:fldChar w:fldCharType="end"/>
        </w:r>
      </w:hyperlink>
    </w:p>
    <w:p>
      <w:pPr>
        <w:pStyle w:val="TOC1"/>
      </w:pPr>
      <w:hyperlink w:anchor="_Toc300000585" w:history="1">
        <w:r>
          <w:rPr>
            <w:noProof/>
          </w:rPr>
          <w:t xml:space="preserve">CHAPTER 20 INTELLECTUAL PROPERTY RIGHTS Section A: General Provisions</w:t>
        </w:r>
        <w:r>
          <w:rPr>
            <w:noProof/>
            <w:webHidden/>
          </w:rPr>
          <w:tab/>
        </w:r>
        <w:r>
          <w:rPr>
            <w:noProof/>
            <w:webHidden/>
          </w:rPr>
          <w:fldChar w:fldCharType="begin"/>
        </w:r>
        <w:r>
          <w:rPr>
            <w:noProof/>
            <w:webHidden/>
          </w:rPr>
          <w:instrText xml:space="preserve"> PAGEREF _Toc300000585 \h </w:instrText>
        </w:r>
        <w:r>
          <w:rPr>
            <w:noProof/>
            <w:webHidden/>
          </w:rPr>
          <w:fldChar w:fldCharType="separate"/>
        </w:r>
        <w:r>
          <w:rPr>
            <w:noProof/>
            <w:webHidden/>
          </w:rPr>
          <w:t>1084</w:t>
        </w:r>
        <w:r>
          <w:rPr>
            <w:noProof/>
            <w:webHidden/>
          </w:rPr>
          <w:fldChar w:fldCharType="end"/>
        </w:r>
      </w:hyperlink>
    </w:p>
    <w:p>
      <w:pPr>
        <w:pStyle w:val="TOC2"/>
      </w:pPr>
      <w:hyperlink w:anchor="_Toc300000586" w:history="1">
        <w:r>
          <w:rPr>
            <w:noProof/>
          </w:rPr>
          <w:t xml:space="preserve">Article 20.1: Definitions</w:t>
        </w:r>
        <w:r>
          <w:rPr>
            <w:noProof/>
            <w:webHidden/>
          </w:rPr>
          <w:tab/>
        </w:r>
        <w:r>
          <w:rPr>
            <w:noProof/>
            <w:webHidden/>
          </w:rPr>
          <w:fldChar w:fldCharType="begin"/>
        </w:r>
        <w:r>
          <w:rPr>
            <w:noProof/>
            <w:webHidden/>
          </w:rPr>
          <w:instrText xml:space="preserve"> PAGEREF _Toc300000586 \h </w:instrText>
        </w:r>
        <w:r>
          <w:rPr>
            <w:noProof/>
            <w:webHidden/>
          </w:rPr>
          <w:fldChar w:fldCharType="separate"/>
        </w:r>
        <w:r>
          <w:rPr>
            <w:noProof/>
            <w:webHidden/>
          </w:rPr>
          <w:t>1084</w:t>
        </w:r>
        <w:r>
          <w:rPr>
            <w:noProof/>
            <w:webHidden/>
          </w:rPr>
          <w:fldChar w:fldCharType="end"/>
        </w:r>
      </w:hyperlink>
    </w:p>
    <w:p>
      <w:pPr>
        <w:pStyle w:val="TOC2"/>
      </w:pPr>
      <w:hyperlink w:anchor="_Toc300000587" w:history="1">
        <w:r>
          <w:rPr>
            <w:noProof/>
          </w:rPr>
          <w:t xml:space="preserve">Article 20.2: Objectives</w:t>
        </w:r>
        <w:r>
          <w:rPr>
            <w:noProof/>
            <w:webHidden/>
          </w:rPr>
          <w:tab/>
        </w:r>
        <w:r>
          <w:rPr>
            <w:noProof/>
            <w:webHidden/>
          </w:rPr>
          <w:fldChar w:fldCharType="begin"/>
        </w:r>
        <w:r>
          <w:rPr>
            <w:noProof/>
            <w:webHidden/>
          </w:rPr>
          <w:instrText xml:space="preserve"> PAGEREF _Toc300000587 \h </w:instrText>
        </w:r>
        <w:r>
          <w:rPr>
            <w:noProof/>
            <w:webHidden/>
          </w:rPr>
          <w:fldChar w:fldCharType="separate"/>
        </w:r>
        <w:r>
          <w:rPr>
            <w:noProof/>
            <w:webHidden/>
          </w:rPr>
          <w:t>1085</w:t>
        </w:r>
        <w:r>
          <w:rPr>
            <w:noProof/>
            <w:webHidden/>
          </w:rPr>
          <w:fldChar w:fldCharType="end"/>
        </w:r>
      </w:hyperlink>
    </w:p>
    <w:p>
      <w:pPr>
        <w:pStyle w:val="TOC2"/>
      </w:pPr>
      <w:hyperlink w:anchor="_Toc300000588" w:history="1">
        <w:r>
          <w:rPr>
            <w:noProof/>
          </w:rPr>
          <w:t xml:space="preserve">Article 20.3: Principles</w:t>
        </w:r>
        <w:r>
          <w:rPr>
            <w:noProof/>
            <w:webHidden/>
          </w:rPr>
          <w:tab/>
        </w:r>
        <w:r>
          <w:rPr>
            <w:noProof/>
            <w:webHidden/>
          </w:rPr>
          <w:fldChar w:fldCharType="begin"/>
        </w:r>
        <w:r>
          <w:rPr>
            <w:noProof/>
            <w:webHidden/>
          </w:rPr>
          <w:instrText xml:space="preserve"> PAGEREF _Toc300000588 \h </w:instrText>
        </w:r>
        <w:r>
          <w:rPr>
            <w:noProof/>
            <w:webHidden/>
          </w:rPr>
          <w:fldChar w:fldCharType="separate"/>
        </w:r>
        <w:r>
          <w:rPr>
            <w:noProof/>
            <w:webHidden/>
          </w:rPr>
          <w:t>1085</w:t>
        </w:r>
        <w:r>
          <w:rPr>
            <w:noProof/>
            <w:webHidden/>
          </w:rPr>
          <w:fldChar w:fldCharType="end"/>
        </w:r>
      </w:hyperlink>
    </w:p>
    <w:p>
      <w:pPr>
        <w:pStyle w:val="TOC2"/>
      </w:pPr>
      <w:hyperlink w:anchor="_Toc300000589" w:history="1">
        <w:r>
          <w:rPr>
            <w:noProof/>
          </w:rPr>
          <w:t xml:space="preserve">Article 20.4: Understandings in Respect of this Chapter</w:t>
        </w:r>
        <w:r>
          <w:rPr>
            <w:noProof/>
            <w:webHidden/>
          </w:rPr>
          <w:tab/>
        </w:r>
        <w:r>
          <w:rPr>
            <w:noProof/>
            <w:webHidden/>
          </w:rPr>
          <w:fldChar w:fldCharType="begin"/>
        </w:r>
        <w:r>
          <w:rPr>
            <w:noProof/>
            <w:webHidden/>
          </w:rPr>
          <w:instrText xml:space="preserve"> PAGEREF _Toc300000589 \h </w:instrText>
        </w:r>
        <w:r>
          <w:rPr>
            <w:noProof/>
            <w:webHidden/>
          </w:rPr>
          <w:fldChar w:fldCharType="separate"/>
        </w:r>
        <w:r>
          <w:rPr>
            <w:noProof/>
            <w:webHidden/>
          </w:rPr>
          <w:t>1085</w:t>
        </w:r>
        <w:r>
          <w:rPr>
            <w:noProof/>
            <w:webHidden/>
          </w:rPr>
          <w:fldChar w:fldCharType="end"/>
        </w:r>
      </w:hyperlink>
    </w:p>
    <w:p>
      <w:pPr>
        <w:pStyle w:val="TOC2"/>
      </w:pPr>
      <w:hyperlink w:anchor="_Toc300000590" w:history="1">
        <w:r>
          <w:rPr>
            <w:noProof/>
          </w:rPr>
          <w:t xml:space="preserve">Article 20.5: Nature and Scope of Obligations</w:t>
        </w:r>
        <w:r>
          <w:rPr>
            <w:noProof/>
            <w:webHidden/>
          </w:rPr>
          <w:tab/>
        </w:r>
        <w:r>
          <w:rPr>
            <w:noProof/>
            <w:webHidden/>
          </w:rPr>
          <w:fldChar w:fldCharType="begin"/>
        </w:r>
        <w:r>
          <w:rPr>
            <w:noProof/>
            <w:webHidden/>
          </w:rPr>
          <w:instrText xml:space="preserve"> PAGEREF _Toc300000590 \h </w:instrText>
        </w:r>
        <w:r>
          <w:rPr>
            <w:noProof/>
            <w:webHidden/>
          </w:rPr>
          <w:fldChar w:fldCharType="separate"/>
        </w:r>
        <w:r>
          <w:rPr>
            <w:noProof/>
            <w:webHidden/>
          </w:rPr>
          <w:t>1085</w:t>
        </w:r>
        <w:r>
          <w:rPr>
            <w:noProof/>
            <w:webHidden/>
          </w:rPr>
          <w:fldChar w:fldCharType="end"/>
        </w:r>
      </w:hyperlink>
    </w:p>
    <w:p>
      <w:pPr>
        <w:pStyle w:val="TOC2"/>
      </w:pPr>
      <w:hyperlink w:anchor="_Toc300000591" w:history="1">
        <w:r>
          <w:rPr>
            <w:noProof/>
          </w:rPr>
          <w:t xml:space="preserve">Article 20.6: Understandings Regarding Certain Public Health Measures</w:t>
        </w:r>
        <w:r>
          <w:rPr>
            <w:noProof/>
            <w:webHidden/>
          </w:rPr>
          <w:tab/>
        </w:r>
        <w:r>
          <w:rPr>
            <w:noProof/>
            <w:webHidden/>
          </w:rPr>
          <w:fldChar w:fldCharType="begin"/>
        </w:r>
        <w:r>
          <w:rPr>
            <w:noProof/>
            <w:webHidden/>
          </w:rPr>
          <w:instrText xml:space="preserve"> PAGEREF _Toc300000591 \h </w:instrText>
        </w:r>
        <w:r>
          <w:rPr>
            <w:noProof/>
            <w:webHidden/>
          </w:rPr>
          <w:fldChar w:fldCharType="separate"/>
        </w:r>
        <w:r>
          <w:rPr>
            <w:noProof/>
            <w:webHidden/>
          </w:rPr>
          <w:t>1085</w:t>
        </w:r>
        <w:r>
          <w:rPr>
            <w:noProof/>
            <w:webHidden/>
          </w:rPr>
          <w:fldChar w:fldCharType="end"/>
        </w:r>
      </w:hyperlink>
    </w:p>
    <w:p>
      <w:pPr>
        <w:pStyle w:val="TOC2"/>
      </w:pPr>
      <w:hyperlink w:anchor="_Toc300000592" w:history="1">
        <w:r>
          <w:rPr>
            <w:noProof/>
          </w:rPr>
          <w:t xml:space="preserve">Article 20.7: International Agreements</w:t>
        </w:r>
        <w:r>
          <w:rPr>
            <w:noProof/>
            <w:webHidden/>
          </w:rPr>
          <w:tab/>
        </w:r>
        <w:r>
          <w:rPr>
            <w:noProof/>
            <w:webHidden/>
          </w:rPr>
          <w:fldChar w:fldCharType="begin"/>
        </w:r>
        <w:r>
          <w:rPr>
            <w:noProof/>
            <w:webHidden/>
          </w:rPr>
          <w:instrText xml:space="preserve"> PAGEREF _Toc300000592 \h </w:instrText>
        </w:r>
        <w:r>
          <w:rPr>
            <w:noProof/>
            <w:webHidden/>
          </w:rPr>
          <w:fldChar w:fldCharType="separate"/>
        </w:r>
        <w:r>
          <w:rPr>
            <w:noProof/>
            <w:webHidden/>
          </w:rPr>
          <w:t>1086</w:t>
        </w:r>
        <w:r>
          <w:rPr>
            <w:noProof/>
            <w:webHidden/>
          </w:rPr>
          <w:fldChar w:fldCharType="end"/>
        </w:r>
      </w:hyperlink>
    </w:p>
    <w:p>
      <w:pPr>
        <w:pStyle w:val="TOC2"/>
      </w:pPr>
      <w:hyperlink w:anchor="_Toc300000593" w:history="1">
        <w:r>
          <w:rPr>
            <w:noProof/>
          </w:rPr>
          <w:t xml:space="preserve">Article 20.8: National Treatment</w:t>
        </w:r>
        <w:r>
          <w:rPr>
            <w:noProof/>
            <w:webHidden/>
          </w:rPr>
          <w:tab/>
        </w:r>
        <w:r>
          <w:rPr>
            <w:noProof/>
            <w:webHidden/>
          </w:rPr>
          <w:fldChar w:fldCharType="begin"/>
        </w:r>
        <w:r>
          <w:rPr>
            <w:noProof/>
            <w:webHidden/>
          </w:rPr>
          <w:instrText xml:space="preserve"> PAGEREF _Toc300000593 \h </w:instrText>
        </w:r>
        <w:r>
          <w:rPr>
            <w:noProof/>
            <w:webHidden/>
          </w:rPr>
          <w:fldChar w:fldCharType="separate"/>
        </w:r>
        <w:r>
          <w:rPr>
            <w:noProof/>
            <w:webHidden/>
          </w:rPr>
          <w:t>1086</w:t>
        </w:r>
        <w:r>
          <w:rPr>
            <w:noProof/>
            <w:webHidden/>
          </w:rPr>
          <w:fldChar w:fldCharType="end"/>
        </w:r>
      </w:hyperlink>
    </w:p>
    <w:p>
      <w:pPr>
        <w:pStyle w:val="TOC2"/>
      </w:pPr>
      <w:hyperlink w:anchor="_Toc300000594" w:history="1">
        <w:r>
          <w:rPr>
            <w:noProof/>
          </w:rPr>
          <w:t xml:space="preserve">Article 20.9: Transparency</w:t>
        </w:r>
        <w:r>
          <w:rPr>
            <w:noProof/>
            <w:webHidden/>
          </w:rPr>
          <w:tab/>
        </w:r>
        <w:r>
          <w:rPr>
            <w:noProof/>
            <w:webHidden/>
          </w:rPr>
          <w:fldChar w:fldCharType="begin"/>
        </w:r>
        <w:r>
          <w:rPr>
            <w:noProof/>
            <w:webHidden/>
          </w:rPr>
          <w:instrText xml:space="preserve"> PAGEREF _Toc300000594 \h </w:instrText>
        </w:r>
        <w:r>
          <w:rPr>
            <w:noProof/>
            <w:webHidden/>
          </w:rPr>
          <w:fldChar w:fldCharType="separate"/>
        </w:r>
        <w:r>
          <w:rPr>
            <w:noProof/>
            <w:webHidden/>
          </w:rPr>
          <w:t>1087</w:t>
        </w:r>
        <w:r>
          <w:rPr>
            <w:noProof/>
            <w:webHidden/>
          </w:rPr>
          <w:fldChar w:fldCharType="end"/>
        </w:r>
      </w:hyperlink>
    </w:p>
    <w:p>
      <w:pPr>
        <w:pStyle w:val="TOC2"/>
      </w:pPr>
      <w:hyperlink w:anchor="_Toc300000595" w:history="1">
        <w:r>
          <w:rPr>
            <w:noProof/>
          </w:rPr>
          <w:t xml:space="preserve">Article 20.10: Application of Chapter to Existing Subject Matter and Prior Acts</w:t>
        </w:r>
        <w:r>
          <w:rPr>
            <w:noProof/>
            <w:webHidden/>
          </w:rPr>
          <w:tab/>
        </w:r>
        <w:r>
          <w:rPr>
            <w:noProof/>
            <w:webHidden/>
          </w:rPr>
          <w:fldChar w:fldCharType="begin"/>
        </w:r>
        <w:r>
          <w:rPr>
            <w:noProof/>
            <w:webHidden/>
          </w:rPr>
          <w:instrText xml:space="preserve"> PAGEREF _Toc300000595 \h </w:instrText>
        </w:r>
        <w:r>
          <w:rPr>
            <w:noProof/>
            <w:webHidden/>
          </w:rPr>
          <w:fldChar w:fldCharType="separate"/>
        </w:r>
        <w:r>
          <w:rPr>
            <w:noProof/>
            <w:webHidden/>
          </w:rPr>
          <w:t>1087</w:t>
        </w:r>
        <w:r>
          <w:rPr>
            <w:noProof/>
            <w:webHidden/>
          </w:rPr>
          <w:fldChar w:fldCharType="end"/>
        </w:r>
      </w:hyperlink>
    </w:p>
    <w:p>
      <w:pPr>
        <w:pStyle w:val="TOC2"/>
      </w:pPr>
      <w:hyperlink w:anchor="_Toc300000596" w:history="1">
        <w:r>
          <w:rPr>
            <w:noProof/>
          </w:rPr>
          <w:t xml:space="preserve">Article 20.11: Exhaustion of Intellectual Property Rights</w:t>
        </w:r>
        <w:r>
          <w:rPr>
            <w:noProof/>
            <w:webHidden/>
          </w:rPr>
          <w:tab/>
        </w:r>
        <w:r>
          <w:rPr>
            <w:noProof/>
            <w:webHidden/>
          </w:rPr>
          <w:fldChar w:fldCharType="begin"/>
        </w:r>
        <w:r>
          <w:rPr>
            <w:noProof/>
            <w:webHidden/>
          </w:rPr>
          <w:instrText xml:space="preserve"> PAGEREF _Toc300000596 \h </w:instrText>
        </w:r>
        <w:r>
          <w:rPr>
            <w:noProof/>
            <w:webHidden/>
          </w:rPr>
          <w:fldChar w:fldCharType="separate"/>
        </w:r>
        <w:r>
          <w:rPr>
            <w:noProof/>
            <w:webHidden/>
          </w:rPr>
          <w:t>1088</w:t>
        </w:r>
        <w:r>
          <w:rPr>
            <w:noProof/>
            <w:webHidden/>
          </w:rPr>
          <w:fldChar w:fldCharType="end"/>
        </w:r>
      </w:hyperlink>
    </w:p>
    <w:p>
      <w:pPr>
        <w:pStyle w:val="TOC2"/>
      </w:pPr>
      <w:hyperlink w:anchor="_Toc300000597" w:history="1">
        <w:r>
          <w:rPr>
            <w:noProof/>
          </w:rPr>
          <w:t xml:space="preserve">Article 20.12: Contact Points for Cooperation</w:t>
        </w:r>
        <w:r>
          <w:rPr>
            <w:noProof/>
            <w:webHidden/>
          </w:rPr>
          <w:tab/>
        </w:r>
        <w:r>
          <w:rPr>
            <w:noProof/>
            <w:webHidden/>
          </w:rPr>
          <w:fldChar w:fldCharType="begin"/>
        </w:r>
        <w:r>
          <w:rPr>
            <w:noProof/>
            <w:webHidden/>
          </w:rPr>
          <w:instrText xml:space="preserve"> PAGEREF _Toc300000597 \h </w:instrText>
        </w:r>
        <w:r>
          <w:rPr>
            <w:noProof/>
            <w:webHidden/>
          </w:rPr>
          <w:fldChar w:fldCharType="separate"/>
        </w:r>
        <w:r>
          <w:rPr>
            <w:noProof/>
            <w:webHidden/>
          </w:rPr>
          <w:t>1088</w:t>
        </w:r>
        <w:r>
          <w:rPr>
            <w:noProof/>
            <w:webHidden/>
          </w:rPr>
          <w:fldChar w:fldCharType="end"/>
        </w:r>
      </w:hyperlink>
    </w:p>
    <w:p>
      <w:pPr>
        <w:pStyle w:val="TOC2"/>
      </w:pPr>
      <w:hyperlink w:anchor="_Toc300000598" w:history="1">
        <w:r>
          <w:rPr>
            <w:noProof/>
          </w:rPr>
          <w:t xml:space="preserve">Article 20.13: Cooperation</w:t>
        </w:r>
        <w:r>
          <w:rPr>
            <w:noProof/>
            <w:webHidden/>
          </w:rPr>
          <w:tab/>
        </w:r>
        <w:r>
          <w:rPr>
            <w:noProof/>
            <w:webHidden/>
          </w:rPr>
          <w:fldChar w:fldCharType="begin"/>
        </w:r>
        <w:r>
          <w:rPr>
            <w:noProof/>
            <w:webHidden/>
          </w:rPr>
          <w:instrText xml:space="preserve"> PAGEREF _Toc300000598 \h </w:instrText>
        </w:r>
        <w:r>
          <w:rPr>
            <w:noProof/>
            <w:webHidden/>
          </w:rPr>
          <w:fldChar w:fldCharType="separate"/>
        </w:r>
        <w:r>
          <w:rPr>
            <w:noProof/>
            <w:webHidden/>
          </w:rPr>
          <w:t>1088</w:t>
        </w:r>
        <w:r>
          <w:rPr>
            <w:noProof/>
            <w:webHidden/>
          </w:rPr>
          <w:fldChar w:fldCharType="end"/>
        </w:r>
      </w:hyperlink>
    </w:p>
    <w:p>
      <w:pPr>
        <w:pStyle w:val="TOC2"/>
      </w:pPr>
      <w:hyperlink w:anchor="_Toc300000599" w:history="1">
        <w:r>
          <w:rPr>
            <w:noProof/>
          </w:rPr>
          <w:t xml:space="preserve">Article 20.14: Committee on Intellectual Property Rights</w:t>
        </w:r>
        <w:r>
          <w:rPr>
            <w:noProof/>
            <w:webHidden/>
          </w:rPr>
          <w:tab/>
        </w:r>
        <w:r>
          <w:rPr>
            <w:noProof/>
            <w:webHidden/>
          </w:rPr>
          <w:fldChar w:fldCharType="begin"/>
        </w:r>
        <w:r>
          <w:rPr>
            <w:noProof/>
            <w:webHidden/>
          </w:rPr>
          <w:instrText xml:space="preserve"> PAGEREF _Toc300000599 \h </w:instrText>
        </w:r>
        <w:r>
          <w:rPr>
            <w:noProof/>
            <w:webHidden/>
          </w:rPr>
          <w:fldChar w:fldCharType="separate"/>
        </w:r>
        <w:r>
          <w:rPr>
            <w:noProof/>
            <w:webHidden/>
          </w:rPr>
          <w:t>1088</w:t>
        </w:r>
        <w:r>
          <w:rPr>
            <w:noProof/>
            <w:webHidden/>
          </w:rPr>
          <w:fldChar w:fldCharType="end"/>
        </w:r>
      </w:hyperlink>
    </w:p>
    <w:p>
      <w:pPr>
        <w:pStyle w:val="TOC2"/>
      </w:pPr>
      <w:hyperlink w:anchor="_Toc300000600" w:history="1">
        <w:r>
          <w:rPr>
            <w:noProof/>
          </w:rPr>
          <w:t xml:space="preserve">Article 20.15: Patent Cooperation and Work Sharing</w:t>
        </w:r>
        <w:r>
          <w:rPr>
            <w:noProof/>
            <w:webHidden/>
          </w:rPr>
          <w:tab/>
        </w:r>
        <w:r>
          <w:rPr>
            <w:noProof/>
            <w:webHidden/>
          </w:rPr>
          <w:fldChar w:fldCharType="begin"/>
        </w:r>
        <w:r>
          <w:rPr>
            <w:noProof/>
            <w:webHidden/>
          </w:rPr>
          <w:instrText xml:space="preserve"> PAGEREF _Toc300000600 \h </w:instrText>
        </w:r>
        <w:r>
          <w:rPr>
            <w:noProof/>
            <w:webHidden/>
          </w:rPr>
          <w:fldChar w:fldCharType="separate"/>
        </w:r>
        <w:r>
          <w:rPr>
            <w:noProof/>
            <w:webHidden/>
          </w:rPr>
          <w:t>1089</w:t>
        </w:r>
        <w:r>
          <w:rPr>
            <w:noProof/>
            <w:webHidden/>
          </w:rPr>
          <w:fldChar w:fldCharType="end"/>
        </w:r>
      </w:hyperlink>
    </w:p>
    <w:p>
      <w:pPr>
        <w:pStyle w:val="TOC2"/>
      </w:pPr>
      <w:hyperlink w:anchor="_Toc300000601" w:history="1">
        <w:r>
          <w:rPr>
            <w:noProof/>
          </w:rPr>
          <w:t xml:space="preserve">Article 20.16: Cooperation on Request</w:t>
        </w:r>
        <w:r>
          <w:rPr>
            <w:noProof/>
            <w:webHidden/>
          </w:rPr>
          <w:tab/>
        </w:r>
        <w:r>
          <w:rPr>
            <w:noProof/>
            <w:webHidden/>
          </w:rPr>
          <w:fldChar w:fldCharType="begin"/>
        </w:r>
        <w:r>
          <w:rPr>
            <w:noProof/>
            <w:webHidden/>
          </w:rPr>
          <w:instrText xml:space="preserve"> PAGEREF _Toc300000601 \h </w:instrText>
        </w:r>
        <w:r>
          <w:rPr>
            <w:noProof/>
            <w:webHidden/>
          </w:rPr>
          <w:fldChar w:fldCharType="separate"/>
        </w:r>
        <w:r>
          <w:rPr>
            <w:noProof/>
            <w:webHidden/>
          </w:rPr>
          <w:t>1089</w:t>
        </w:r>
        <w:r>
          <w:rPr>
            <w:noProof/>
            <w:webHidden/>
          </w:rPr>
          <w:fldChar w:fldCharType="end"/>
        </w:r>
      </w:hyperlink>
    </w:p>
    <w:p>
      <w:pPr>
        <w:pStyle w:val="TOC2"/>
      </w:pPr>
      <w:hyperlink w:anchor="_Toc300000602" w:history="1">
        <w:r>
          <w:rPr>
            <w:noProof/>
          </w:rPr>
          <w:t xml:space="preserve">Article 20.17: Types of Signs Registrable as Trademarks</w:t>
        </w:r>
        <w:r>
          <w:rPr>
            <w:noProof/>
            <w:webHidden/>
          </w:rPr>
          <w:tab/>
        </w:r>
        <w:r>
          <w:rPr>
            <w:noProof/>
            <w:webHidden/>
          </w:rPr>
          <w:fldChar w:fldCharType="begin"/>
        </w:r>
        <w:r>
          <w:rPr>
            <w:noProof/>
            <w:webHidden/>
          </w:rPr>
          <w:instrText xml:space="preserve"> PAGEREF _Toc300000602 \h </w:instrText>
        </w:r>
        <w:r>
          <w:rPr>
            <w:noProof/>
            <w:webHidden/>
          </w:rPr>
          <w:fldChar w:fldCharType="separate"/>
        </w:r>
        <w:r>
          <w:rPr>
            <w:noProof/>
            <w:webHidden/>
          </w:rPr>
          <w:t>1089</w:t>
        </w:r>
        <w:r>
          <w:rPr>
            <w:noProof/>
            <w:webHidden/>
          </w:rPr>
          <w:fldChar w:fldCharType="end"/>
        </w:r>
      </w:hyperlink>
    </w:p>
    <w:p>
      <w:pPr>
        <w:pStyle w:val="TOC2"/>
      </w:pPr>
      <w:hyperlink w:anchor="_Toc300000603" w:history="1">
        <w:r>
          <w:rPr>
            <w:noProof/>
          </w:rPr>
          <w:t xml:space="preserve">Article 20.18: Collective and Certification Marks</w:t>
        </w:r>
        <w:r>
          <w:rPr>
            <w:noProof/>
            <w:webHidden/>
          </w:rPr>
          <w:tab/>
        </w:r>
        <w:r>
          <w:rPr>
            <w:noProof/>
            <w:webHidden/>
          </w:rPr>
          <w:fldChar w:fldCharType="begin"/>
        </w:r>
        <w:r>
          <w:rPr>
            <w:noProof/>
            <w:webHidden/>
          </w:rPr>
          <w:instrText xml:space="preserve"> PAGEREF _Toc300000603 \h </w:instrText>
        </w:r>
        <w:r>
          <w:rPr>
            <w:noProof/>
            <w:webHidden/>
          </w:rPr>
          <w:fldChar w:fldCharType="separate"/>
        </w:r>
        <w:r>
          <w:rPr>
            <w:noProof/>
            <w:webHidden/>
          </w:rPr>
          <w:t>1090</w:t>
        </w:r>
        <w:r>
          <w:rPr>
            <w:noProof/>
            <w:webHidden/>
          </w:rPr>
          <w:fldChar w:fldCharType="end"/>
        </w:r>
      </w:hyperlink>
    </w:p>
    <w:p>
      <w:pPr>
        <w:pStyle w:val="TOC2"/>
      </w:pPr>
      <w:hyperlink w:anchor="_Toc300000604" w:history="1">
        <w:r>
          <w:rPr>
            <w:noProof/>
          </w:rPr>
          <w:t xml:space="preserve">Article 20.19: Use of Identical or Similar Signs</w:t>
        </w:r>
        <w:r>
          <w:rPr>
            <w:noProof/>
            <w:webHidden/>
          </w:rPr>
          <w:tab/>
        </w:r>
        <w:r>
          <w:rPr>
            <w:noProof/>
            <w:webHidden/>
          </w:rPr>
          <w:fldChar w:fldCharType="begin"/>
        </w:r>
        <w:r>
          <w:rPr>
            <w:noProof/>
            <w:webHidden/>
          </w:rPr>
          <w:instrText xml:space="preserve"> PAGEREF _Toc300000604 \h </w:instrText>
        </w:r>
        <w:r>
          <w:rPr>
            <w:noProof/>
            <w:webHidden/>
          </w:rPr>
          <w:fldChar w:fldCharType="separate"/>
        </w:r>
        <w:r>
          <w:rPr>
            <w:noProof/>
            <w:webHidden/>
          </w:rPr>
          <w:t>1090</w:t>
        </w:r>
        <w:r>
          <w:rPr>
            <w:noProof/>
            <w:webHidden/>
          </w:rPr>
          <w:fldChar w:fldCharType="end"/>
        </w:r>
      </w:hyperlink>
    </w:p>
    <w:p>
      <w:pPr>
        <w:pStyle w:val="TOC2"/>
      </w:pPr>
      <w:hyperlink w:anchor="_Toc300000605" w:history="1">
        <w:r>
          <w:rPr>
            <w:noProof/>
          </w:rPr>
          <w:t xml:space="preserve">Article 20.20: Exceptions</w:t>
        </w:r>
        <w:r>
          <w:rPr>
            <w:noProof/>
            <w:webHidden/>
          </w:rPr>
          <w:tab/>
        </w:r>
        <w:r>
          <w:rPr>
            <w:noProof/>
            <w:webHidden/>
          </w:rPr>
          <w:fldChar w:fldCharType="begin"/>
        </w:r>
        <w:r>
          <w:rPr>
            <w:noProof/>
            <w:webHidden/>
          </w:rPr>
          <w:instrText xml:space="preserve"> PAGEREF _Toc300000605 \h </w:instrText>
        </w:r>
        <w:r>
          <w:rPr>
            <w:noProof/>
            <w:webHidden/>
          </w:rPr>
          <w:fldChar w:fldCharType="separate"/>
        </w:r>
        <w:r>
          <w:rPr>
            <w:noProof/>
            <w:webHidden/>
          </w:rPr>
          <w:t>1090</w:t>
        </w:r>
        <w:r>
          <w:rPr>
            <w:noProof/>
            <w:webHidden/>
          </w:rPr>
          <w:fldChar w:fldCharType="end"/>
        </w:r>
      </w:hyperlink>
    </w:p>
    <w:p>
      <w:pPr>
        <w:pStyle w:val="TOC2"/>
      </w:pPr>
      <w:hyperlink w:anchor="_Toc300000606" w:history="1">
        <w:r>
          <w:rPr>
            <w:noProof/>
          </w:rPr>
          <w:t xml:space="preserve">Article 20.21: Well-Known Trademarks</w:t>
        </w:r>
        <w:r>
          <w:rPr>
            <w:noProof/>
            <w:webHidden/>
          </w:rPr>
          <w:tab/>
        </w:r>
        <w:r>
          <w:rPr>
            <w:noProof/>
            <w:webHidden/>
          </w:rPr>
          <w:fldChar w:fldCharType="begin"/>
        </w:r>
        <w:r>
          <w:rPr>
            <w:noProof/>
            <w:webHidden/>
          </w:rPr>
          <w:instrText xml:space="preserve"> PAGEREF _Toc300000606 \h </w:instrText>
        </w:r>
        <w:r>
          <w:rPr>
            <w:noProof/>
            <w:webHidden/>
          </w:rPr>
          <w:fldChar w:fldCharType="separate"/>
        </w:r>
        <w:r>
          <w:rPr>
            <w:noProof/>
            <w:webHidden/>
          </w:rPr>
          <w:t>1090</w:t>
        </w:r>
        <w:r>
          <w:rPr>
            <w:noProof/>
            <w:webHidden/>
          </w:rPr>
          <w:fldChar w:fldCharType="end"/>
        </w:r>
      </w:hyperlink>
    </w:p>
    <w:p>
      <w:pPr>
        <w:pStyle w:val="TOC2"/>
      </w:pPr>
      <w:hyperlink w:anchor="_Toc300000607" w:history="1">
        <w:r>
          <w:rPr>
            <w:noProof/>
          </w:rPr>
          <w:t xml:space="preserve">Article 20.22: Procedural Aspects of Examination, Opposition, and Cancellation</w:t>
        </w:r>
        <w:r>
          <w:rPr>
            <w:noProof/>
            <w:webHidden/>
          </w:rPr>
          <w:tab/>
        </w:r>
        <w:r>
          <w:rPr>
            <w:noProof/>
            <w:webHidden/>
          </w:rPr>
          <w:fldChar w:fldCharType="begin"/>
        </w:r>
        <w:r>
          <w:rPr>
            <w:noProof/>
            <w:webHidden/>
          </w:rPr>
          <w:instrText xml:space="preserve"> PAGEREF _Toc300000607 \h </w:instrText>
        </w:r>
        <w:r>
          <w:rPr>
            <w:noProof/>
            <w:webHidden/>
          </w:rPr>
          <w:fldChar w:fldCharType="separate"/>
        </w:r>
        <w:r>
          <w:rPr>
            <w:noProof/>
            <w:webHidden/>
          </w:rPr>
          <w:t>1091</w:t>
        </w:r>
        <w:r>
          <w:rPr>
            <w:noProof/>
            <w:webHidden/>
          </w:rPr>
          <w:fldChar w:fldCharType="end"/>
        </w:r>
      </w:hyperlink>
    </w:p>
    <w:p>
      <w:pPr>
        <w:pStyle w:val="TOC2"/>
      </w:pPr>
      <w:hyperlink w:anchor="_Toc300000608" w:history="1">
        <w:r>
          <w:rPr>
            <w:noProof/>
          </w:rPr>
          <w:t xml:space="preserve">Article 20.23: Electronic Trademarks System</w:t>
        </w:r>
        <w:r>
          <w:rPr>
            <w:noProof/>
            <w:webHidden/>
          </w:rPr>
          <w:tab/>
        </w:r>
        <w:r>
          <w:rPr>
            <w:noProof/>
            <w:webHidden/>
          </w:rPr>
          <w:fldChar w:fldCharType="begin"/>
        </w:r>
        <w:r>
          <w:rPr>
            <w:noProof/>
            <w:webHidden/>
          </w:rPr>
          <w:instrText xml:space="preserve"> PAGEREF _Toc300000608 \h </w:instrText>
        </w:r>
        <w:r>
          <w:rPr>
            <w:noProof/>
            <w:webHidden/>
          </w:rPr>
          <w:fldChar w:fldCharType="separate"/>
        </w:r>
        <w:r>
          <w:rPr>
            <w:noProof/>
            <w:webHidden/>
          </w:rPr>
          <w:t>1091</w:t>
        </w:r>
        <w:r>
          <w:rPr>
            <w:noProof/>
            <w:webHidden/>
          </w:rPr>
          <w:fldChar w:fldCharType="end"/>
        </w:r>
      </w:hyperlink>
    </w:p>
    <w:p>
      <w:pPr>
        <w:pStyle w:val="TOC2"/>
      </w:pPr>
      <w:hyperlink w:anchor="_Toc300000609" w:history="1">
        <w:r>
          <w:rPr>
            <w:noProof/>
          </w:rPr>
          <w:t xml:space="preserve">Article 20.24: Classification of Goods and Services</w:t>
        </w:r>
        <w:r>
          <w:rPr>
            <w:noProof/>
            <w:webHidden/>
          </w:rPr>
          <w:tab/>
        </w:r>
        <w:r>
          <w:rPr>
            <w:noProof/>
            <w:webHidden/>
          </w:rPr>
          <w:fldChar w:fldCharType="begin"/>
        </w:r>
        <w:r>
          <w:rPr>
            <w:noProof/>
            <w:webHidden/>
          </w:rPr>
          <w:instrText xml:space="preserve"> PAGEREF _Toc300000609 \h </w:instrText>
        </w:r>
        <w:r>
          <w:rPr>
            <w:noProof/>
            <w:webHidden/>
          </w:rPr>
          <w:fldChar w:fldCharType="separate"/>
        </w:r>
        <w:r>
          <w:rPr>
            <w:noProof/>
            <w:webHidden/>
          </w:rPr>
          <w:t>1091</w:t>
        </w:r>
        <w:r>
          <w:rPr>
            <w:noProof/>
            <w:webHidden/>
          </w:rPr>
          <w:fldChar w:fldCharType="end"/>
        </w:r>
      </w:hyperlink>
    </w:p>
    <w:p>
      <w:pPr>
        <w:pStyle w:val="TOC2"/>
      </w:pPr>
      <w:hyperlink w:anchor="_Toc300000610" w:history="1">
        <w:r>
          <w:rPr>
            <w:noProof/>
          </w:rPr>
          <w:t xml:space="preserve">Article 20.25: Term of Protection for Trademarks</w:t>
        </w:r>
        <w:r>
          <w:rPr>
            <w:noProof/>
            <w:webHidden/>
          </w:rPr>
          <w:tab/>
        </w:r>
        <w:r>
          <w:rPr>
            <w:noProof/>
            <w:webHidden/>
          </w:rPr>
          <w:fldChar w:fldCharType="begin"/>
        </w:r>
        <w:r>
          <w:rPr>
            <w:noProof/>
            <w:webHidden/>
          </w:rPr>
          <w:instrText xml:space="preserve"> PAGEREF _Toc300000610 \h </w:instrText>
        </w:r>
        <w:r>
          <w:rPr>
            <w:noProof/>
            <w:webHidden/>
          </w:rPr>
          <w:fldChar w:fldCharType="separate"/>
        </w:r>
        <w:r>
          <w:rPr>
            <w:noProof/>
            <w:webHidden/>
          </w:rPr>
          <w:t>1092</w:t>
        </w:r>
        <w:r>
          <w:rPr>
            <w:noProof/>
            <w:webHidden/>
          </w:rPr>
          <w:fldChar w:fldCharType="end"/>
        </w:r>
      </w:hyperlink>
    </w:p>
    <w:p>
      <w:pPr>
        <w:pStyle w:val="TOC2"/>
      </w:pPr>
      <w:hyperlink w:anchor="_Toc300000611" w:history="1">
        <w:r>
          <w:rPr>
            <w:noProof/>
          </w:rPr>
          <w:t xml:space="preserve">Article 20.26: Non-Recordal of a License</w:t>
        </w:r>
        <w:r>
          <w:rPr>
            <w:noProof/>
            <w:webHidden/>
          </w:rPr>
          <w:tab/>
        </w:r>
        <w:r>
          <w:rPr>
            <w:noProof/>
            <w:webHidden/>
          </w:rPr>
          <w:fldChar w:fldCharType="begin"/>
        </w:r>
        <w:r>
          <w:rPr>
            <w:noProof/>
            <w:webHidden/>
          </w:rPr>
          <w:instrText xml:space="preserve"> PAGEREF _Toc300000611 \h </w:instrText>
        </w:r>
        <w:r>
          <w:rPr>
            <w:noProof/>
            <w:webHidden/>
          </w:rPr>
          <w:fldChar w:fldCharType="separate"/>
        </w:r>
        <w:r>
          <w:rPr>
            <w:noProof/>
            <w:webHidden/>
          </w:rPr>
          <w:t>1092</w:t>
        </w:r>
        <w:r>
          <w:rPr>
            <w:noProof/>
            <w:webHidden/>
          </w:rPr>
          <w:fldChar w:fldCharType="end"/>
        </w:r>
      </w:hyperlink>
    </w:p>
    <w:p>
      <w:pPr>
        <w:pStyle w:val="TOC2"/>
      </w:pPr>
      <w:hyperlink w:anchor="_Toc300000612" w:history="1">
        <w:r>
          <w:rPr>
            <w:noProof/>
          </w:rPr>
          <w:t xml:space="preserve">Article 20.27: Domain Names</w:t>
        </w:r>
        <w:r>
          <w:rPr>
            <w:noProof/>
            <w:webHidden/>
          </w:rPr>
          <w:tab/>
        </w:r>
        <w:r>
          <w:rPr>
            <w:noProof/>
            <w:webHidden/>
          </w:rPr>
          <w:fldChar w:fldCharType="begin"/>
        </w:r>
        <w:r>
          <w:rPr>
            <w:noProof/>
            <w:webHidden/>
          </w:rPr>
          <w:instrText xml:space="preserve"> PAGEREF _Toc300000612 \h </w:instrText>
        </w:r>
        <w:r>
          <w:rPr>
            <w:noProof/>
            <w:webHidden/>
          </w:rPr>
          <w:fldChar w:fldCharType="separate"/>
        </w:r>
        <w:r>
          <w:rPr>
            <w:noProof/>
            <w:webHidden/>
          </w:rPr>
          <w:t>1092</w:t>
        </w:r>
        <w:r>
          <w:rPr>
            <w:noProof/>
            <w:webHidden/>
          </w:rPr>
          <w:fldChar w:fldCharType="end"/>
        </w:r>
      </w:hyperlink>
    </w:p>
    <w:p>
      <w:pPr>
        <w:pStyle w:val="TOC2"/>
      </w:pPr>
      <w:hyperlink w:anchor="_Toc300000613" w:history="1">
        <w:r>
          <w:rPr>
            <w:noProof/>
          </w:rPr>
          <w:t xml:space="preserve">Article 20.28: Country Names</w:t>
        </w:r>
        <w:r>
          <w:rPr>
            <w:noProof/>
            <w:webHidden/>
          </w:rPr>
          <w:tab/>
        </w:r>
        <w:r>
          <w:rPr>
            <w:noProof/>
            <w:webHidden/>
          </w:rPr>
          <w:fldChar w:fldCharType="begin"/>
        </w:r>
        <w:r>
          <w:rPr>
            <w:noProof/>
            <w:webHidden/>
          </w:rPr>
          <w:instrText xml:space="preserve"> PAGEREF _Toc300000613 \h </w:instrText>
        </w:r>
        <w:r>
          <w:rPr>
            <w:noProof/>
            <w:webHidden/>
          </w:rPr>
          <w:fldChar w:fldCharType="separate"/>
        </w:r>
        <w:r>
          <w:rPr>
            <w:noProof/>
            <w:webHidden/>
          </w:rPr>
          <w:t>1092</w:t>
        </w:r>
        <w:r>
          <w:rPr>
            <w:noProof/>
            <w:webHidden/>
          </w:rPr>
          <w:fldChar w:fldCharType="end"/>
        </w:r>
      </w:hyperlink>
    </w:p>
    <w:p>
      <w:pPr>
        <w:pStyle w:val="TOC2"/>
      </w:pPr>
      <w:hyperlink w:anchor="_Toc300000614" w:history="1">
        <w:r>
          <w:rPr>
            <w:noProof/>
          </w:rPr>
          <w:t xml:space="preserve">Article 20.29: Recognition of Geographical Indications</w:t>
        </w:r>
        <w:r>
          <w:rPr>
            <w:noProof/>
            <w:webHidden/>
          </w:rPr>
          <w:tab/>
        </w:r>
        <w:r>
          <w:rPr>
            <w:noProof/>
            <w:webHidden/>
          </w:rPr>
          <w:fldChar w:fldCharType="begin"/>
        </w:r>
        <w:r>
          <w:rPr>
            <w:noProof/>
            <w:webHidden/>
          </w:rPr>
          <w:instrText xml:space="preserve"> PAGEREF _Toc300000614 \h </w:instrText>
        </w:r>
        <w:r>
          <w:rPr>
            <w:noProof/>
            <w:webHidden/>
          </w:rPr>
          <w:fldChar w:fldCharType="separate"/>
        </w:r>
        <w:r>
          <w:rPr>
            <w:noProof/>
            <w:webHidden/>
          </w:rPr>
          <w:t>1092</w:t>
        </w:r>
        <w:r>
          <w:rPr>
            <w:noProof/>
            <w:webHidden/>
          </w:rPr>
          <w:fldChar w:fldCharType="end"/>
        </w:r>
      </w:hyperlink>
    </w:p>
    <w:p>
      <w:pPr>
        <w:pStyle w:val="TOC2"/>
      </w:pPr>
      <w:hyperlink w:anchor="_Toc300000615" w:history="1">
        <w:r>
          <w:rPr>
            <w:noProof/>
          </w:rPr>
          <w:t xml:space="preserve">Article 20.30: Administrative Procedures for the Protection or Recognition of Geographical Indications</w:t>
        </w:r>
        <w:r>
          <w:rPr>
            <w:noProof/>
            <w:webHidden/>
          </w:rPr>
          <w:tab/>
        </w:r>
        <w:r>
          <w:rPr>
            <w:noProof/>
            <w:webHidden/>
          </w:rPr>
          <w:fldChar w:fldCharType="begin"/>
        </w:r>
        <w:r>
          <w:rPr>
            <w:noProof/>
            <w:webHidden/>
          </w:rPr>
          <w:instrText xml:space="preserve"> PAGEREF _Toc300000615 \h </w:instrText>
        </w:r>
        <w:r>
          <w:rPr>
            <w:noProof/>
            <w:webHidden/>
          </w:rPr>
          <w:fldChar w:fldCharType="separate"/>
        </w:r>
        <w:r>
          <w:rPr>
            <w:noProof/>
            <w:webHidden/>
          </w:rPr>
          <w:t>1093</w:t>
        </w:r>
        <w:r>
          <w:rPr>
            <w:noProof/>
            <w:webHidden/>
          </w:rPr>
          <w:fldChar w:fldCharType="end"/>
        </w:r>
      </w:hyperlink>
    </w:p>
    <w:p>
      <w:pPr>
        <w:pStyle w:val="TOC2"/>
      </w:pPr>
      <w:hyperlink w:anchor="_Toc300000616" w:history="1">
        <w:r>
          <w:rPr>
            <w:noProof/>
          </w:rPr>
          <w:t xml:space="preserve">Article 20.31: Grounds of Denial, Opposition, and Cancellation</w:t>
        </w:r>
        <w:r>
          <w:rPr>
            <w:noProof/>
            <w:webHidden/>
          </w:rPr>
          <w:tab/>
        </w:r>
        <w:r>
          <w:rPr>
            <w:noProof/>
            <w:webHidden/>
          </w:rPr>
          <w:fldChar w:fldCharType="begin"/>
        </w:r>
        <w:r>
          <w:rPr>
            <w:noProof/>
            <w:webHidden/>
          </w:rPr>
          <w:instrText xml:space="preserve"> PAGEREF _Toc300000616 \h </w:instrText>
        </w:r>
        <w:r>
          <w:rPr>
            <w:noProof/>
            <w:webHidden/>
          </w:rPr>
          <w:fldChar w:fldCharType="separate"/>
        </w:r>
        <w:r>
          <w:rPr>
            <w:noProof/>
            <w:webHidden/>
          </w:rPr>
          <w:t>1093</w:t>
        </w:r>
        <w:r>
          <w:rPr>
            <w:noProof/>
            <w:webHidden/>
          </w:rPr>
          <w:fldChar w:fldCharType="end"/>
        </w:r>
      </w:hyperlink>
    </w:p>
    <w:p>
      <w:pPr>
        <w:pStyle w:val="TOC2"/>
      </w:pPr>
      <w:hyperlink w:anchor="_Toc300000617" w:history="1">
        <w:r>
          <w:rPr>
            <w:noProof/>
          </w:rPr>
          <w:t xml:space="preserve">Article 20.32: Guidelines for Determining Whether a Term is the Term Customary in the Common Language</w:t>
        </w:r>
        <w:r>
          <w:rPr>
            <w:noProof/>
            <w:webHidden/>
          </w:rPr>
          <w:tab/>
        </w:r>
        <w:r>
          <w:rPr>
            <w:noProof/>
            <w:webHidden/>
          </w:rPr>
          <w:fldChar w:fldCharType="begin"/>
        </w:r>
        <w:r>
          <w:rPr>
            <w:noProof/>
            <w:webHidden/>
          </w:rPr>
          <w:instrText xml:space="preserve"> PAGEREF _Toc300000617 \h </w:instrText>
        </w:r>
        <w:r>
          <w:rPr>
            <w:noProof/>
            <w:webHidden/>
          </w:rPr>
          <w:fldChar w:fldCharType="separate"/>
        </w:r>
        <w:r>
          <w:rPr>
            <w:noProof/>
            <w:webHidden/>
          </w:rPr>
          <w:t>1095</w:t>
        </w:r>
        <w:r>
          <w:rPr>
            <w:noProof/>
            <w:webHidden/>
          </w:rPr>
          <w:fldChar w:fldCharType="end"/>
        </w:r>
      </w:hyperlink>
    </w:p>
    <w:p>
      <w:pPr>
        <w:pStyle w:val="TOC2"/>
      </w:pPr>
      <w:hyperlink w:anchor="_Toc300000618" w:history="1">
        <w:r>
          <w:rPr>
            <w:noProof/>
          </w:rPr>
          <w:t xml:space="preserve">Article 20.33: Multi-Component Terms</w:t>
        </w:r>
        <w:r>
          <w:rPr>
            <w:noProof/>
            <w:webHidden/>
          </w:rPr>
          <w:tab/>
        </w:r>
        <w:r>
          <w:rPr>
            <w:noProof/>
            <w:webHidden/>
          </w:rPr>
          <w:fldChar w:fldCharType="begin"/>
        </w:r>
        <w:r>
          <w:rPr>
            <w:noProof/>
            <w:webHidden/>
          </w:rPr>
          <w:instrText xml:space="preserve"> PAGEREF _Toc300000618 \h </w:instrText>
        </w:r>
        <w:r>
          <w:rPr>
            <w:noProof/>
            <w:webHidden/>
          </w:rPr>
          <w:fldChar w:fldCharType="separate"/>
        </w:r>
        <w:r>
          <w:rPr>
            <w:noProof/>
            <w:webHidden/>
          </w:rPr>
          <w:t>1095</w:t>
        </w:r>
        <w:r>
          <w:rPr>
            <w:noProof/>
            <w:webHidden/>
          </w:rPr>
          <w:fldChar w:fldCharType="end"/>
        </w:r>
      </w:hyperlink>
    </w:p>
    <w:p>
      <w:pPr>
        <w:pStyle w:val="TOC2"/>
      </w:pPr>
      <w:hyperlink w:anchor="_Toc300000619" w:history="1">
        <w:r>
          <w:rPr>
            <w:noProof/>
          </w:rPr>
          <w:t xml:space="preserve">Article 20.34: Date of Protection of a Geographical Indication</w:t>
        </w:r>
        <w:r>
          <w:rPr>
            <w:noProof/>
            <w:webHidden/>
          </w:rPr>
          <w:tab/>
        </w:r>
        <w:r>
          <w:rPr>
            <w:noProof/>
            <w:webHidden/>
          </w:rPr>
          <w:fldChar w:fldCharType="begin"/>
        </w:r>
        <w:r>
          <w:rPr>
            <w:noProof/>
            <w:webHidden/>
          </w:rPr>
          <w:instrText xml:space="preserve"> PAGEREF _Toc300000619 \h </w:instrText>
        </w:r>
        <w:r>
          <w:rPr>
            <w:noProof/>
            <w:webHidden/>
          </w:rPr>
          <w:fldChar w:fldCharType="separate"/>
        </w:r>
        <w:r>
          <w:rPr>
            <w:noProof/>
            <w:webHidden/>
          </w:rPr>
          <w:t>1095</w:t>
        </w:r>
        <w:r>
          <w:rPr>
            <w:noProof/>
            <w:webHidden/>
          </w:rPr>
          <w:fldChar w:fldCharType="end"/>
        </w:r>
      </w:hyperlink>
    </w:p>
    <w:p>
      <w:pPr>
        <w:pStyle w:val="TOC2"/>
      </w:pPr>
      <w:hyperlink w:anchor="_Toc300000620" w:history="1">
        <w:r>
          <w:rPr>
            <w:noProof/>
          </w:rPr>
          <w:t xml:space="preserve">Article 20.35: International Agreements</w:t>
        </w:r>
        <w:r>
          <w:rPr>
            <w:noProof/>
            <w:webHidden/>
          </w:rPr>
          <w:tab/>
        </w:r>
        <w:r>
          <w:rPr>
            <w:noProof/>
            <w:webHidden/>
          </w:rPr>
          <w:fldChar w:fldCharType="begin"/>
        </w:r>
        <w:r>
          <w:rPr>
            <w:noProof/>
            <w:webHidden/>
          </w:rPr>
          <w:instrText xml:space="preserve"> PAGEREF _Toc300000620 \h </w:instrText>
        </w:r>
        <w:r>
          <w:rPr>
            <w:noProof/>
            <w:webHidden/>
          </w:rPr>
          <w:fldChar w:fldCharType="separate"/>
        </w:r>
        <w:r>
          <w:rPr>
            <w:noProof/>
            <w:webHidden/>
          </w:rPr>
          <w:t>1096</w:t>
        </w:r>
        <w:r>
          <w:rPr>
            <w:noProof/>
            <w:webHidden/>
          </w:rPr>
          <w:fldChar w:fldCharType="end"/>
        </w:r>
      </w:hyperlink>
    </w:p>
    <w:p>
      <w:pPr>
        <w:pStyle w:val="TOC2"/>
      </w:pPr>
      <w:hyperlink w:anchor="_Toc300000621" w:history="1">
        <w:r>
          <w:rPr>
            <w:noProof/>
          </w:rPr>
          <w:t xml:space="preserve">Article 20.36: Patentable Subject Matter</w:t>
        </w:r>
        <w:r>
          <w:rPr>
            <w:noProof/>
            <w:webHidden/>
          </w:rPr>
          <w:tab/>
        </w:r>
        <w:r>
          <w:rPr>
            <w:noProof/>
            <w:webHidden/>
          </w:rPr>
          <w:fldChar w:fldCharType="begin"/>
        </w:r>
        <w:r>
          <w:rPr>
            <w:noProof/>
            <w:webHidden/>
          </w:rPr>
          <w:instrText xml:space="preserve"> PAGEREF _Toc300000621 \h </w:instrText>
        </w:r>
        <w:r>
          <w:rPr>
            <w:noProof/>
            <w:webHidden/>
          </w:rPr>
          <w:fldChar w:fldCharType="separate"/>
        </w:r>
        <w:r>
          <w:rPr>
            <w:noProof/>
            <w:webHidden/>
          </w:rPr>
          <w:t>1097</w:t>
        </w:r>
        <w:r>
          <w:rPr>
            <w:noProof/>
            <w:webHidden/>
          </w:rPr>
          <w:fldChar w:fldCharType="end"/>
        </w:r>
      </w:hyperlink>
    </w:p>
    <w:p>
      <w:pPr>
        <w:pStyle w:val="TOC2"/>
      </w:pPr>
      <w:hyperlink w:anchor="_Toc300000622" w:history="1">
        <w:r>
          <w:rPr>
            <w:noProof/>
          </w:rPr>
          <w:t xml:space="preserve">Article 20.37: Grace Period</w:t>
        </w:r>
        <w:r>
          <w:rPr>
            <w:noProof/>
            <w:webHidden/>
          </w:rPr>
          <w:tab/>
        </w:r>
        <w:r>
          <w:rPr>
            <w:noProof/>
            <w:webHidden/>
          </w:rPr>
          <w:fldChar w:fldCharType="begin"/>
        </w:r>
        <w:r>
          <w:rPr>
            <w:noProof/>
            <w:webHidden/>
          </w:rPr>
          <w:instrText xml:space="preserve"> PAGEREF _Toc300000622 \h </w:instrText>
        </w:r>
        <w:r>
          <w:rPr>
            <w:noProof/>
            <w:webHidden/>
          </w:rPr>
          <w:fldChar w:fldCharType="separate"/>
        </w:r>
        <w:r>
          <w:rPr>
            <w:noProof/>
            <w:webHidden/>
          </w:rPr>
          <w:t>1098</w:t>
        </w:r>
        <w:r>
          <w:rPr>
            <w:noProof/>
            <w:webHidden/>
          </w:rPr>
          <w:fldChar w:fldCharType="end"/>
        </w:r>
      </w:hyperlink>
    </w:p>
    <w:p>
      <w:pPr>
        <w:pStyle w:val="TOC2"/>
      </w:pPr>
      <w:hyperlink w:anchor="_Toc300000623" w:history="1">
        <w:r>
          <w:rPr>
            <w:noProof/>
          </w:rPr>
          <w:t xml:space="preserve">Article 20.38: Patent Revocation</w:t>
        </w:r>
        <w:r>
          <w:rPr>
            <w:noProof/>
            <w:webHidden/>
          </w:rPr>
          <w:tab/>
        </w:r>
        <w:r>
          <w:rPr>
            <w:noProof/>
            <w:webHidden/>
          </w:rPr>
          <w:fldChar w:fldCharType="begin"/>
        </w:r>
        <w:r>
          <w:rPr>
            <w:noProof/>
            <w:webHidden/>
          </w:rPr>
          <w:instrText xml:space="preserve"> PAGEREF _Toc300000623 \h </w:instrText>
        </w:r>
        <w:r>
          <w:rPr>
            <w:noProof/>
            <w:webHidden/>
          </w:rPr>
          <w:fldChar w:fldCharType="separate"/>
        </w:r>
        <w:r>
          <w:rPr>
            <w:noProof/>
            <w:webHidden/>
          </w:rPr>
          <w:t>1098</w:t>
        </w:r>
        <w:r>
          <w:rPr>
            <w:noProof/>
            <w:webHidden/>
          </w:rPr>
          <w:fldChar w:fldCharType="end"/>
        </w:r>
      </w:hyperlink>
    </w:p>
    <w:p>
      <w:pPr>
        <w:pStyle w:val="TOC2"/>
      </w:pPr>
      <w:hyperlink w:anchor="_Toc300000624" w:history="1">
        <w:r>
          <w:rPr>
            <w:noProof/>
          </w:rPr>
          <w:t xml:space="preserve">Article 20.39: Exceptions</w:t>
        </w:r>
        <w:r>
          <w:rPr>
            <w:noProof/>
            <w:webHidden/>
          </w:rPr>
          <w:tab/>
        </w:r>
        <w:r>
          <w:rPr>
            <w:noProof/>
            <w:webHidden/>
          </w:rPr>
          <w:fldChar w:fldCharType="begin"/>
        </w:r>
        <w:r>
          <w:rPr>
            <w:noProof/>
            <w:webHidden/>
          </w:rPr>
          <w:instrText xml:space="preserve"> PAGEREF _Toc300000624 \h </w:instrText>
        </w:r>
        <w:r>
          <w:rPr>
            <w:noProof/>
            <w:webHidden/>
          </w:rPr>
          <w:fldChar w:fldCharType="separate"/>
        </w:r>
        <w:r>
          <w:rPr>
            <w:noProof/>
            <w:webHidden/>
          </w:rPr>
          <w:t>1098</w:t>
        </w:r>
        <w:r>
          <w:rPr>
            <w:noProof/>
            <w:webHidden/>
          </w:rPr>
          <w:fldChar w:fldCharType="end"/>
        </w:r>
      </w:hyperlink>
    </w:p>
    <w:p>
      <w:pPr>
        <w:pStyle w:val="TOC2"/>
      </w:pPr>
      <w:hyperlink w:anchor="_Toc300000625" w:history="1">
        <w:r>
          <w:rPr>
            <w:noProof/>
          </w:rPr>
          <w:t xml:space="preserve">Article 20.40: Other Use Without Authorization of the Right Holder</w:t>
        </w:r>
        <w:r>
          <w:rPr>
            <w:noProof/>
            <w:webHidden/>
          </w:rPr>
          <w:tab/>
        </w:r>
        <w:r>
          <w:rPr>
            <w:noProof/>
            <w:webHidden/>
          </w:rPr>
          <w:fldChar w:fldCharType="begin"/>
        </w:r>
        <w:r>
          <w:rPr>
            <w:noProof/>
            <w:webHidden/>
          </w:rPr>
          <w:instrText xml:space="preserve"> PAGEREF _Toc300000625 \h </w:instrText>
        </w:r>
        <w:r>
          <w:rPr>
            <w:noProof/>
            <w:webHidden/>
          </w:rPr>
          <w:fldChar w:fldCharType="separate"/>
        </w:r>
        <w:r>
          <w:rPr>
            <w:noProof/>
            <w:webHidden/>
          </w:rPr>
          <w:t>1098</w:t>
        </w:r>
        <w:r>
          <w:rPr>
            <w:noProof/>
            <w:webHidden/>
          </w:rPr>
          <w:fldChar w:fldCharType="end"/>
        </w:r>
      </w:hyperlink>
    </w:p>
    <w:p>
      <w:pPr>
        <w:pStyle w:val="TOC2"/>
      </w:pPr>
      <w:hyperlink w:anchor="_Toc300000626" w:history="1">
        <w:r>
          <w:rPr>
            <w:noProof/>
          </w:rPr>
          <w:t xml:space="preserve">Article 20.41: Amendments, Corrections, and Observations</w:t>
        </w:r>
        <w:r>
          <w:rPr>
            <w:noProof/>
            <w:webHidden/>
          </w:rPr>
          <w:tab/>
        </w:r>
        <w:r>
          <w:rPr>
            <w:noProof/>
            <w:webHidden/>
          </w:rPr>
          <w:fldChar w:fldCharType="begin"/>
        </w:r>
        <w:r>
          <w:rPr>
            <w:noProof/>
            <w:webHidden/>
          </w:rPr>
          <w:instrText xml:space="preserve"> PAGEREF _Toc300000626 \h </w:instrText>
        </w:r>
        <w:r>
          <w:rPr>
            <w:noProof/>
            <w:webHidden/>
          </w:rPr>
          <w:fldChar w:fldCharType="separate"/>
        </w:r>
        <w:r>
          <w:rPr>
            <w:noProof/>
            <w:webHidden/>
          </w:rPr>
          <w:t>1099</w:t>
        </w:r>
        <w:r>
          <w:rPr>
            <w:noProof/>
            <w:webHidden/>
          </w:rPr>
          <w:fldChar w:fldCharType="end"/>
        </w:r>
      </w:hyperlink>
    </w:p>
    <w:p>
      <w:pPr>
        <w:pStyle w:val="TOC2"/>
      </w:pPr>
      <w:hyperlink w:anchor="_Toc300000627" w:history="1">
        <w:r>
          <w:rPr>
            <w:noProof/>
          </w:rPr>
          <w:t xml:space="preserve">Article 20.42: Publication of Patent Applications</w:t>
        </w:r>
        <w:r>
          <w:rPr>
            <w:noProof/>
            <w:webHidden/>
          </w:rPr>
          <w:tab/>
        </w:r>
        <w:r>
          <w:rPr>
            <w:noProof/>
            <w:webHidden/>
          </w:rPr>
          <w:fldChar w:fldCharType="begin"/>
        </w:r>
        <w:r>
          <w:rPr>
            <w:noProof/>
            <w:webHidden/>
          </w:rPr>
          <w:instrText xml:space="preserve"> PAGEREF _Toc300000627 \h </w:instrText>
        </w:r>
        <w:r>
          <w:rPr>
            <w:noProof/>
            <w:webHidden/>
          </w:rPr>
          <w:fldChar w:fldCharType="separate"/>
        </w:r>
        <w:r>
          <w:rPr>
            <w:noProof/>
            <w:webHidden/>
          </w:rPr>
          <w:t>1099</w:t>
        </w:r>
        <w:r>
          <w:rPr>
            <w:noProof/>
            <w:webHidden/>
          </w:rPr>
          <w:fldChar w:fldCharType="end"/>
        </w:r>
      </w:hyperlink>
    </w:p>
    <w:p>
      <w:pPr>
        <w:pStyle w:val="TOC2"/>
      </w:pPr>
      <w:hyperlink w:anchor="_Toc300000628" w:history="1">
        <w:r>
          <w:rPr>
            <w:noProof/>
          </w:rPr>
          <w:t xml:space="preserve">Article 20.43: Information Relating to Published Patent Applications and Granted Patents</w:t>
        </w:r>
        <w:r>
          <w:rPr>
            <w:noProof/>
            <w:webHidden/>
          </w:rPr>
          <w:tab/>
        </w:r>
        <w:r>
          <w:rPr>
            <w:noProof/>
            <w:webHidden/>
          </w:rPr>
          <w:fldChar w:fldCharType="begin"/>
        </w:r>
        <w:r>
          <w:rPr>
            <w:noProof/>
            <w:webHidden/>
          </w:rPr>
          <w:instrText xml:space="preserve"> PAGEREF _Toc300000628 \h </w:instrText>
        </w:r>
        <w:r>
          <w:rPr>
            <w:noProof/>
            <w:webHidden/>
          </w:rPr>
          <w:fldChar w:fldCharType="separate"/>
        </w:r>
        <w:r>
          <w:rPr>
            <w:noProof/>
            <w:webHidden/>
          </w:rPr>
          <w:t>1099</w:t>
        </w:r>
        <w:r>
          <w:rPr>
            <w:noProof/>
            <w:webHidden/>
          </w:rPr>
          <w:fldChar w:fldCharType="end"/>
        </w:r>
      </w:hyperlink>
    </w:p>
    <w:p>
      <w:pPr>
        <w:pStyle w:val="TOC2"/>
      </w:pPr>
      <w:hyperlink w:anchor="_Toc300000629" w:history="1">
        <w:r>
          <w:rPr>
            <w:noProof/>
          </w:rPr>
          <w:t xml:space="preserve">Article 20.44: Patent Term Adjustment for Unreasonable Granting Authority Delays</w:t>
        </w:r>
        <w:r>
          <w:rPr>
            <w:noProof/>
            <w:webHidden/>
          </w:rPr>
          <w:tab/>
        </w:r>
        <w:r>
          <w:rPr>
            <w:noProof/>
            <w:webHidden/>
          </w:rPr>
          <w:fldChar w:fldCharType="begin"/>
        </w:r>
        <w:r>
          <w:rPr>
            <w:noProof/>
            <w:webHidden/>
          </w:rPr>
          <w:instrText xml:space="preserve"> PAGEREF _Toc300000629 \h </w:instrText>
        </w:r>
        <w:r>
          <w:rPr>
            <w:noProof/>
            <w:webHidden/>
          </w:rPr>
          <w:fldChar w:fldCharType="separate"/>
        </w:r>
        <w:r>
          <w:rPr>
            <w:noProof/>
            <w:webHidden/>
          </w:rPr>
          <w:t>1099</w:t>
        </w:r>
        <w:r>
          <w:rPr>
            <w:noProof/>
            <w:webHidden/>
          </w:rPr>
          <w:fldChar w:fldCharType="end"/>
        </w:r>
      </w:hyperlink>
    </w:p>
    <w:p>
      <w:pPr>
        <w:pStyle w:val="TOC2"/>
      </w:pPr>
      <w:hyperlink w:anchor="_Toc300000630" w:history="1">
        <w:r>
          <w:rPr>
            <w:noProof/>
          </w:rPr>
          <w:t xml:space="preserve">Article 20.45: Protection of Undisclosed Test or Other Data for Agricultural Chemical Products</w:t>
        </w:r>
        <w:r>
          <w:rPr>
            <w:noProof/>
            <w:webHidden/>
          </w:rPr>
          <w:tab/>
        </w:r>
        <w:r>
          <w:rPr>
            <w:noProof/>
            <w:webHidden/>
          </w:rPr>
          <w:fldChar w:fldCharType="begin"/>
        </w:r>
        <w:r>
          <w:rPr>
            <w:noProof/>
            <w:webHidden/>
          </w:rPr>
          <w:instrText xml:space="preserve"> PAGEREF _Toc300000630 \h </w:instrText>
        </w:r>
        <w:r>
          <w:rPr>
            <w:noProof/>
            <w:webHidden/>
          </w:rPr>
          <w:fldChar w:fldCharType="separate"/>
        </w:r>
        <w:r>
          <w:rPr>
            <w:noProof/>
            <w:webHidden/>
          </w:rPr>
          <w:t>1100</w:t>
        </w:r>
        <w:r>
          <w:rPr>
            <w:noProof/>
            <w:webHidden/>
          </w:rPr>
          <w:fldChar w:fldCharType="end"/>
        </w:r>
      </w:hyperlink>
    </w:p>
    <w:p>
      <w:pPr>
        <w:pStyle w:val="TOC2"/>
      </w:pPr>
      <w:hyperlink w:anchor="_Toc300000631" w:history="1">
        <w:r>
          <w:rPr>
            <w:noProof/>
          </w:rPr>
          <w:t xml:space="preserve">Article 20.46: Patent Term Adjustment for Unreasonable Curtailment</w:t>
        </w:r>
        <w:r>
          <w:rPr>
            <w:noProof/>
            <w:webHidden/>
          </w:rPr>
          <w:tab/>
        </w:r>
        <w:r>
          <w:rPr>
            <w:noProof/>
            <w:webHidden/>
          </w:rPr>
          <w:fldChar w:fldCharType="begin"/>
        </w:r>
        <w:r>
          <w:rPr>
            <w:noProof/>
            <w:webHidden/>
          </w:rPr>
          <w:instrText xml:space="preserve"> PAGEREF _Toc300000631 \h </w:instrText>
        </w:r>
        <w:r>
          <w:rPr>
            <w:noProof/>
            <w:webHidden/>
          </w:rPr>
          <w:fldChar w:fldCharType="separate"/>
        </w:r>
        <w:r>
          <w:rPr>
            <w:noProof/>
            <w:webHidden/>
          </w:rPr>
          <w:t>1101</w:t>
        </w:r>
        <w:r>
          <w:rPr>
            <w:noProof/>
            <w:webHidden/>
          </w:rPr>
          <w:fldChar w:fldCharType="end"/>
        </w:r>
      </w:hyperlink>
    </w:p>
    <w:p>
      <w:pPr>
        <w:pStyle w:val="TOC2"/>
      </w:pPr>
      <w:hyperlink w:anchor="_Toc300000632" w:history="1">
        <w:r>
          <w:rPr>
            <w:noProof/>
          </w:rPr>
          <w:t xml:space="preserve">Article 20.47: Regulatory Review Exception</w:t>
        </w:r>
        <w:r>
          <w:rPr>
            <w:noProof/>
            <w:webHidden/>
          </w:rPr>
          <w:tab/>
        </w:r>
        <w:r>
          <w:rPr>
            <w:noProof/>
            <w:webHidden/>
          </w:rPr>
          <w:fldChar w:fldCharType="begin"/>
        </w:r>
        <w:r>
          <w:rPr>
            <w:noProof/>
            <w:webHidden/>
          </w:rPr>
          <w:instrText xml:space="preserve"> PAGEREF _Toc300000632 \h </w:instrText>
        </w:r>
        <w:r>
          <w:rPr>
            <w:noProof/>
            <w:webHidden/>
          </w:rPr>
          <w:fldChar w:fldCharType="separate"/>
        </w:r>
        <w:r>
          <w:rPr>
            <w:noProof/>
            <w:webHidden/>
          </w:rPr>
          <w:t>1101</w:t>
        </w:r>
        <w:r>
          <w:rPr>
            <w:noProof/>
            <w:webHidden/>
          </w:rPr>
          <w:fldChar w:fldCharType="end"/>
        </w:r>
      </w:hyperlink>
    </w:p>
    <w:p>
      <w:pPr>
        <w:pStyle w:val="TOC2"/>
      </w:pPr>
      <w:hyperlink w:anchor="_Toc300000633" w:history="1">
        <w:r>
          <w:rPr>
            <w:noProof/>
          </w:rPr>
          <w:t xml:space="preserve">Article 20.48: Protection of Undisclosed Test or Other Data</w:t>
        </w:r>
        <w:r>
          <w:rPr>
            <w:noProof/>
            <w:webHidden/>
          </w:rPr>
          <w:tab/>
        </w:r>
        <w:r>
          <w:rPr>
            <w:noProof/>
            <w:webHidden/>
          </w:rPr>
          <w:fldChar w:fldCharType="begin"/>
        </w:r>
        <w:r>
          <w:rPr>
            <w:noProof/>
            <w:webHidden/>
          </w:rPr>
          <w:instrText xml:space="preserve"> PAGEREF _Toc300000633 \h </w:instrText>
        </w:r>
        <w:r>
          <w:rPr>
            <w:noProof/>
            <w:webHidden/>
          </w:rPr>
          <w:fldChar w:fldCharType="separate"/>
        </w:r>
        <w:r>
          <w:rPr>
            <w:noProof/>
            <w:webHidden/>
          </w:rPr>
          <w:t>1101</w:t>
        </w:r>
        <w:r>
          <w:rPr>
            <w:noProof/>
            <w:webHidden/>
          </w:rPr>
          <w:fldChar w:fldCharType="end"/>
        </w:r>
      </w:hyperlink>
    </w:p>
    <w:p>
      <w:pPr>
        <w:pStyle w:val="TOC2"/>
      </w:pPr>
      <w:hyperlink w:anchor="_Toc300000634" w:history="1">
        <w:r>
          <w:rPr>
            <w:noProof/>
          </w:rPr>
          <w:t xml:space="preserve">Article 20.49: Biologics</w:t>
        </w:r>
        <w:r>
          <w:rPr>
            <w:noProof/>
            <w:webHidden/>
          </w:rPr>
          <w:tab/>
        </w:r>
        <w:r>
          <w:rPr>
            <w:noProof/>
            <w:webHidden/>
          </w:rPr>
          <w:fldChar w:fldCharType="begin"/>
        </w:r>
        <w:r>
          <w:rPr>
            <w:noProof/>
            <w:webHidden/>
          </w:rPr>
          <w:instrText xml:space="preserve"> PAGEREF _Toc300000634 \h </w:instrText>
        </w:r>
        <w:r>
          <w:rPr>
            <w:noProof/>
            <w:webHidden/>
          </w:rPr>
          <w:fldChar w:fldCharType="separate"/>
        </w:r>
        <w:r>
          <w:rPr>
            <w:noProof/>
            <w:webHidden/>
          </w:rPr>
          <w:t>1102</w:t>
        </w:r>
        <w:r>
          <w:rPr>
            <w:noProof/>
            <w:webHidden/>
          </w:rPr>
          <w:fldChar w:fldCharType="end"/>
        </w:r>
      </w:hyperlink>
    </w:p>
    <w:p>
      <w:pPr>
        <w:pStyle w:val="TOC2"/>
      </w:pPr>
      <w:hyperlink w:anchor="_Toc300000635" w:history="1">
        <w:r>
          <w:rPr>
            <w:noProof/>
          </w:rPr>
          <w:t xml:space="preserve">Article 20.50: Definition of New Pharmaceutical Product</w:t>
        </w:r>
        <w:r>
          <w:rPr>
            <w:noProof/>
            <w:webHidden/>
          </w:rPr>
          <w:tab/>
        </w:r>
        <w:r>
          <w:rPr>
            <w:noProof/>
            <w:webHidden/>
          </w:rPr>
          <w:fldChar w:fldCharType="begin"/>
        </w:r>
        <w:r>
          <w:rPr>
            <w:noProof/>
            <w:webHidden/>
          </w:rPr>
          <w:instrText xml:space="preserve"> PAGEREF _Toc300000635 \h </w:instrText>
        </w:r>
        <w:r>
          <w:rPr>
            <w:noProof/>
            <w:webHidden/>
          </w:rPr>
          <w:fldChar w:fldCharType="separate"/>
        </w:r>
        <w:r>
          <w:rPr>
            <w:noProof/>
            <w:webHidden/>
          </w:rPr>
          <w:t>1103</w:t>
        </w:r>
        <w:r>
          <w:rPr>
            <w:noProof/>
            <w:webHidden/>
          </w:rPr>
          <w:fldChar w:fldCharType="end"/>
        </w:r>
      </w:hyperlink>
    </w:p>
    <w:p>
      <w:pPr>
        <w:pStyle w:val="TOC2"/>
      </w:pPr>
      <w:hyperlink w:anchor="_Toc300000636" w:history="1">
        <w:r>
          <w:rPr>
            <w:noProof/>
          </w:rPr>
          <w:t xml:space="preserve">Article 20.51: Measures Relating to the Marketing of Certain Pharmaceutical Products</w:t>
        </w:r>
        <w:r>
          <w:rPr>
            <w:noProof/>
            <w:webHidden/>
          </w:rPr>
          <w:tab/>
        </w:r>
        <w:r>
          <w:rPr>
            <w:noProof/>
            <w:webHidden/>
          </w:rPr>
          <w:fldChar w:fldCharType="begin"/>
        </w:r>
        <w:r>
          <w:rPr>
            <w:noProof/>
            <w:webHidden/>
          </w:rPr>
          <w:instrText xml:space="preserve"> PAGEREF _Toc300000636 \h </w:instrText>
        </w:r>
        <w:r>
          <w:rPr>
            <w:noProof/>
            <w:webHidden/>
          </w:rPr>
          <w:fldChar w:fldCharType="separate"/>
        </w:r>
        <w:r>
          <w:rPr>
            <w:noProof/>
            <w:webHidden/>
          </w:rPr>
          <w:t>1103</w:t>
        </w:r>
        <w:r>
          <w:rPr>
            <w:noProof/>
            <w:webHidden/>
          </w:rPr>
          <w:fldChar w:fldCharType="end"/>
        </w:r>
      </w:hyperlink>
    </w:p>
    <w:p>
      <w:pPr>
        <w:pStyle w:val="TOC2"/>
      </w:pPr>
      <w:hyperlink w:anchor="_Toc300000637" w:history="1">
        <w:r>
          <w:rPr>
            <w:noProof/>
          </w:rPr>
          <w:t xml:space="preserve">Article 20.52: Alteration of Period of Protection</w:t>
        </w:r>
        <w:r>
          <w:rPr>
            <w:noProof/>
            <w:webHidden/>
          </w:rPr>
          <w:tab/>
        </w:r>
        <w:r>
          <w:rPr>
            <w:noProof/>
            <w:webHidden/>
          </w:rPr>
          <w:fldChar w:fldCharType="begin"/>
        </w:r>
        <w:r>
          <w:rPr>
            <w:noProof/>
            <w:webHidden/>
          </w:rPr>
          <w:instrText xml:space="preserve"> PAGEREF _Toc300000637 \h </w:instrText>
        </w:r>
        <w:r>
          <w:rPr>
            <w:noProof/>
            <w:webHidden/>
          </w:rPr>
          <w:fldChar w:fldCharType="separate"/>
        </w:r>
        <w:r>
          <w:rPr>
            <w:noProof/>
            <w:webHidden/>
          </w:rPr>
          <w:t>1104</w:t>
        </w:r>
        <w:r>
          <w:rPr>
            <w:noProof/>
            <w:webHidden/>
          </w:rPr>
          <w:fldChar w:fldCharType="end"/>
        </w:r>
      </w:hyperlink>
    </w:p>
    <w:p>
      <w:pPr>
        <w:pStyle w:val="TOC2"/>
      </w:pPr>
      <w:hyperlink w:anchor="_Toc300000638" w:history="1">
        <w:r>
          <w:rPr>
            <w:noProof/>
          </w:rPr>
          <w:t xml:space="preserve">Article 20.53: Protection</w:t>
        </w:r>
        <w:r>
          <w:rPr>
            <w:noProof/>
            <w:webHidden/>
          </w:rPr>
          <w:tab/>
        </w:r>
        <w:r>
          <w:rPr>
            <w:noProof/>
            <w:webHidden/>
          </w:rPr>
          <w:fldChar w:fldCharType="begin"/>
        </w:r>
        <w:r>
          <w:rPr>
            <w:noProof/>
            <w:webHidden/>
          </w:rPr>
          <w:instrText xml:space="preserve"> PAGEREF _Toc300000638 \h </w:instrText>
        </w:r>
        <w:r>
          <w:rPr>
            <w:noProof/>
            <w:webHidden/>
          </w:rPr>
          <w:fldChar w:fldCharType="separate"/>
        </w:r>
        <w:r>
          <w:rPr>
            <w:noProof/>
            <w:webHidden/>
          </w:rPr>
          <w:t>1104</w:t>
        </w:r>
        <w:r>
          <w:rPr>
            <w:noProof/>
            <w:webHidden/>
          </w:rPr>
          <w:fldChar w:fldCharType="end"/>
        </w:r>
      </w:hyperlink>
    </w:p>
    <w:p>
      <w:pPr>
        <w:pStyle w:val="TOC2"/>
      </w:pPr>
      <w:hyperlink w:anchor="_Toc300000639" w:history="1">
        <w:r>
          <w:rPr>
            <w:noProof/>
          </w:rPr>
          <w:t xml:space="preserve">Article 20.54: Non-Prejudicial Disclosures/Grace Period</w:t>
        </w:r>
        <w:r>
          <w:rPr>
            <w:noProof/>
            <w:webHidden/>
          </w:rPr>
          <w:tab/>
        </w:r>
        <w:r>
          <w:rPr>
            <w:noProof/>
            <w:webHidden/>
          </w:rPr>
          <w:fldChar w:fldCharType="begin"/>
        </w:r>
        <w:r>
          <w:rPr>
            <w:noProof/>
            <w:webHidden/>
          </w:rPr>
          <w:instrText xml:space="preserve"> PAGEREF _Toc300000639 \h </w:instrText>
        </w:r>
        <w:r>
          <w:rPr>
            <w:noProof/>
            <w:webHidden/>
          </w:rPr>
          <w:fldChar w:fldCharType="separate"/>
        </w:r>
        <w:r>
          <w:rPr>
            <w:noProof/>
            <w:webHidden/>
          </w:rPr>
          <w:t>1104</w:t>
        </w:r>
        <w:r>
          <w:rPr>
            <w:noProof/>
            <w:webHidden/>
          </w:rPr>
          <w:fldChar w:fldCharType="end"/>
        </w:r>
      </w:hyperlink>
    </w:p>
    <w:p>
      <w:pPr>
        <w:pStyle w:val="TOC2"/>
      </w:pPr>
      <w:hyperlink w:anchor="_Toc300000640" w:history="1">
        <w:r>
          <w:rPr>
            <w:noProof/>
          </w:rPr>
          <w:t xml:space="preserve">Article 20.55: Electronic Industrial Design System</w:t>
        </w:r>
        <w:r>
          <w:rPr>
            <w:noProof/>
            <w:webHidden/>
          </w:rPr>
          <w:tab/>
        </w:r>
        <w:r>
          <w:rPr>
            <w:noProof/>
            <w:webHidden/>
          </w:rPr>
          <w:fldChar w:fldCharType="begin"/>
        </w:r>
        <w:r>
          <w:rPr>
            <w:noProof/>
            <w:webHidden/>
          </w:rPr>
          <w:instrText xml:space="preserve"> PAGEREF _Toc300000640 \h </w:instrText>
        </w:r>
        <w:r>
          <w:rPr>
            <w:noProof/>
            <w:webHidden/>
          </w:rPr>
          <w:fldChar w:fldCharType="separate"/>
        </w:r>
        <w:r>
          <w:rPr>
            <w:noProof/>
            <w:webHidden/>
          </w:rPr>
          <w:t>1104</w:t>
        </w:r>
        <w:r>
          <w:rPr>
            <w:noProof/>
            <w:webHidden/>
          </w:rPr>
          <w:fldChar w:fldCharType="end"/>
        </w:r>
      </w:hyperlink>
    </w:p>
    <w:p>
      <w:pPr>
        <w:pStyle w:val="TOC2"/>
      </w:pPr>
      <w:hyperlink w:anchor="_Toc300000641" w:history="1">
        <w:r>
          <w:rPr>
            <w:noProof/>
          </w:rPr>
          <w:t xml:space="preserve">Article 20.56: Term of Protection</w:t>
        </w:r>
        <w:r>
          <w:rPr>
            <w:noProof/>
            <w:webHidden/>
          </w:rPr>
          <w:tab/>
        </w:r>
        <w:r>
          <w:rPr>
            <w:noProof/>
            <w:webHidden/>
          </w:rPr>
          <w:fldChar w:fldCharType="begin"/>
        </w:r>
        <w:r>
          <w:rPr>
            <w:noProof/>
            <w:webHidden/>
          </w:rPr>
          <w:instrText xml:space="preserve"> PAGEREF _Toc300000641 \h </w:instrText>
        </w:r>
        <w:r>
          <w:rPr>
            <w:noProof/>
            <w:webHidden/>
          </w:rPr>
          <w:fldChar w:fldCharType="separate"/>
        </w:r>
        <w:r>
          <w:rPr>
            <w:noProof/>
            <w:webHidden/>
          </w:rPr>
          <w:t>1105</w:t>
        </w:r>
        <w:r>
          <w:rPr>
            <w:noProof/>
            <w:webHidden/>
          </w:rPr>
          <w:fldChar w:fldCharType="end"/>
        </w:r>
      </w:hyperlink>
    </w:p>
    <w:p>
      <w:pPr>
        <w:pStyle w:val="TOC2"/>
      </w:pPr>
      <w:hyperlink w:anchor="_Toc300000642" w:history="1">
        <w:r>
          <w:rPr>
            <w:noProof/>
          </w:rPr>
          <w:t xml:space="preserve">Article 20.57: Definitions</w:t>
        </w:r>
        <w:r>
          <w:rPr>
            <w:noProof/>
            <w:webHidden/>
          </w:rPr>
          <w:tab/>
        </w:r>
        <w:r>
          <w:rPr>
            <w:noProof/>
            <w:webHidden/>
          </w:rPr>
          <w:fldChar w:fldCharType="begin"/>
        </w:r>
        <w:r>
          <w:rPr>
            <w:noProof/>
            <w:webHidden/>
          </w:rPr>
          <w:instrText xml:space="preserve"> PAGEREF _Toc300000642 \h </w:instrText>
        </w:r>
        <w:r>
          <w:rPr>
            <w:noProof/>
            <w:webHidden/>
          </w:rPr>
          <w:fldChar w:fldCharType="separate"/>
        </w:r>
        <w:r>
          <w:rPr>
            <w:noProof/>
            <w:webHidden/>
          </w:rPr>
          <w:t>1105</w:t>
        </w:r>
        <w:r>
          <w:rPr>
            <w:noProof/>
            <w:webHidden/>
          </w:rPr>
          <w:fldChar w:fldCharType="end"/>
        </w:r>
      </w:hyperlink>
    </w:p>
    <w:p>
      <w:pPr>
        <w:pStyle w:val="TOC2"/>
      </w:pPr>
      <w:hyperlink w:anchor="_Toc300000643" w:history="1">
        <w:r>
          <w:rPr>
            <w:noProof/>
          </w:rPr>
          <w:t xml:space="preserve">Article 20.58: Right of Reproduction</w:t>
        </w:r>
        <w:r>
          <w:rPr>
            <w:noProof/>
            <w:webHidden/>
          </w:rPr>
          <w:tab/>
        </w:r>
        <w:r>
          <w:rPr>
            <w:noProof/>
            <w:webHidden/>
          </w:rPr>
          <w:fldChar w:fldCharType="begin"/>
        </w:r>
        <w:r>
          <w:rPr>
            <w:noProof/>
            <w:webHidden/>
          </w:rPr>
          <w:instrText xml:space="preserve"> PAGEREF _Toc300000643 \h </w:instrText>
        </w:r>
        <w:r>
          <w:rPr>
            <w:noProof/>
            <w:webHidden/>
          </w:rPr>
          <w:fldChar w:fldCharType="separate"/>
        </w:r>
        <w:r>
          <w:rPr>
            <w:noProof/>
            <w:webHidden/>
          </w:rPr>
          <w:t>1105</w:t>
        </w:r>
        <w:r>
          <w:rPr>
            <w:noProof/>
            <w:webHidden/>
          </w:rPr>
          <w:fldChar w:fldCharType="end"/>
        </w:r>
      </w:hyperlink>
    </w:p>
    <w:p>
      <w:pPr>
        <w:pStyle w:val="TOC2"/>
      </w:pPr>
      <w:hyperlink w:anchor="_Toc300000644" w:history="1">
        <w:r>
          <w:rPr>
            <w:noProof/>
          </w:rPr>
          <w:t xml:space="preserve">Article 20.59: Right of Communication to the Public</w:t>
        </w:r>
        <w:r>
          <w:rPr>
            <w:noProof/>
            <w:webHidden/>
          </w:rPr>
          <w:tab/>
        </w:r>
        <w:r>
          <w:rPr>
            <w:noProof/>
            <w:webHidden/>
          </w:rPr>
          <w:fldChar w:fldCharType="begin"/>
        </w:r>
        <w:r>
          <w:rPr>
            <w:noProof/>
            <w:webHidden/>
          </w:rPr>
          <w:instrText xml:space="preserve"> PAGEREF _Toc300000644 \h </w:instrText>
        </w:r>
        <w:r>
          <w:rPr>
            <w:noProof/>
            <w:webHidden/>
          </w:rPr>
          <w:fldChar w:fldCharType="separate"/>
        </w:r>
        <w:r>
          <w:rPr>
            <w:noProof/>
            <w:webHidden/>
          </w:rPr>
          <w:t>1105</w:t>
        </w:r>
        <w:r>
          <w:rPr>
            <w:noProof/>
            <w:webHidden/>
          </w:rPr>
          <w:fldChar w:fldCharType="end"/>
        </w:r>
      </w:hyperlink>
    </w:p>
    <w:p>
      <w:pPr>
        <w:pStyle w:val="TOC2"/>
      </w:pPr>
      <w:hyperlink w:anchor="_Toc300000645" w:history="1">
        <w:r>
          <w:rPr>
            <w:noProof/>
          </w:rPr>
          <w:t xml:space="preserve">Article 20.60: Right of Distribution</w:t>
        </w:r>
        <w:r>
          <w:rPr>
            <w:noProof/>
            <w:webHidden/>
          </w:rPr>
          <w:tab/>
        </w:r>
        <w:r>
          <w:rPr>
            <w:noProof/>
            <w:webHidden/>
          </w:rPr>
          <w:fldChar w:fldCharType="begin"/>
        </w:r>
        <w:r>
          <w:rPr>
            <w:noProof/>
            <w:webHidden/>
          </w:rPr>
          <w:instrText xml:space="preserve"> PAGEREF _Toc300000645 \h </w:instrText>
        </w:r>
        <w:r>
          <w:rPr>
            <w:noProof/>
            <w:webHidden/>
          </w:rPr>
          <w:fldChar w:fldCharType="separate"/>
        </w:r>
        <w:r>
          <w:rPr>
            <w:noProof/>
            <w:webHidden/>
          </w:rPr>
          <w:t>1106</w:t>
        </w:r>
        <w:r>
          <w:rPr>
            <w:noProof/>
            <w:webHidden/>
          </w:rPr>
          <w:fldChar w:fldCharType="end"/>
        </w:r>
      </w:hyperlink>
    </w:p>
    <w:p>
      <w:pPr>
        <w:pStyle w:val="TOC2"/>
      </w:pPr>
      <w:hyperlink w:anchor="_Toc300000646" w:history="1">
        <w:r>
          <w:rPr>
            <w:noProof/>
          </w:rPr>
          <w:t xml:space="preserve">Article 20.61: No Hierarchy</w:t>
        </w:r>
        <w:r>
          <w:rPr>
            <w:noProof/>
            <w:webHidden/>
          </w:rPr>
          <w:tab/>
        </w:r>
        <w:r>
          <w:rPr>
            <w:noProof/>
            <w:webHidden/>
          </w:rPr>
          <w:fldChar w:fldCharType="begin"/>
        </w:r>
        <w:r>
          <w:rPr>
            <w:noProof/>
            <w:webHidden/>
          </w:rPr>
          <w:instrText xml:space="preserve"> PAGEREF _Toc300000646 \h </w:instrText>
        </w:r>
        <w:r>
          <w:rPr>
            <w:noProof/>
            <w:webHidden/>
          </w:rPr>
          <w:fldChar w:fldCharType="separate"/>
        </w:r>
        <w:r>
          <w:rPr>
            <w:noProof/>
            <w:webHidden/>
          </w:rPr>
          <w:t>1106</w:t>
        </w:r>
        <w:r>
          <w:rPr>
            <w:noProof/>
            <w:webHidden/>
          </w:rPr>
          <w:fldChar w:fldCharType="end"/>
        </w:r>
      </w:hyperlink>
    </w:p>
    <w:p>
      <w:pPr>
        <w:pStyle w:val="TOC2"/>
      </w:pPr>
      <w:hyperlink w:anchor="_Toc300000647" w:history="1">
        <w:r>
          <w:rPr>
            <w:noProof/>
          </w:rPr>
          <w:t xml:space="preserve">Article 20.62: Related Rights</w:t>
        </w:r>
        <w:r>
          <w:rPr>
            <w:noProof/>
            <w:webHidden/>
          </w:rPr>
          <w:tab/>
        </w:r>
        <w:r>
          <w:rPr>
            <w:noProof/>
            <w:webHidden/>
          </w:rPr>
          <w:fldChar w:fldCharType="begin"/>
        </w:r>
        <w:r>
          <w:rPr>
            <w:noProof/>
            <w:webHidden/>
          </w:rPr>
          <w:instrText xml:space="preserve"> PAGEREF _Toc300000647 \h </w:instrText>
        </w:r>
        <w:r>
          <w:rPr>
            <w:noProof/>
            <w:webHidden/>
          </w:rPr>
          <w:fldChar w:fldCharType="separate"/>
        </w:r>
        <w:r>
          <w:rPr>
            <w:noProof/>
            <w:webHidden/>
          </w:rPr>
          <w:t>1106</w:t>
        </w:r>
        <w:r>
          <w:rPr>
            <w:noProof/>
            <w:webHidden/>
          </w:rPr>
          <w:fldChar w:fldCharType="end"/>
        </w:r>
      </w:hyperlink>
    </w:p>
    <w:p>
      <w:pPr>
        <w:pStyle w:val="TOC2"/>
      </w:pPr>
      <w:hyperlink w:anchor="_Toc300000648" w:history="1">
        <w:r>
          <w:rPr>
            <w:noProof/>
          </w:rPr>
          <w:t xml:space="preserve">Article 20.63: Term of Protection for Copyright and Related Rights</w:t>
        </w:r>
        <w:r>
          <w:rPr>
            <w:noProof/>
            <w:webHidden/>
          </w:rPr>
          <w:tab/>
        </w:r>
        <w:r>
          <w:rPr>
            <w:noProof/>
            <w:webHidden/>
          </w:rPr>
          <w:fldChar w:fldCharType="begin"/>
        </w:r>
        <w:r>
          <w:rPr>
            <w:noProof/>
            <w:webHidden/>
          </w:rPr>
          <w:instrText xml:space="preserve"> PAGEREF _Toc300000648 \h </w:instrText>
        </w:r>
        <w:r>
          <w:rPr>
            <w:noProof/>
            <w:webHidden/>
          </w:rPr>
          <w:fldChar w:fldCharType="separate"/>
        </w:r>
        <w:r>
          <w:rPr>
            <w:noProof/>
            <w:webHidden/>
          </w:rPr>
          <w:t>1107</w:t>
        </w:r>
        <w:r>
          <w:rPr>
            <w:noProof/>
            <w:webHidden/>
          </w:rPr>
          <w:fldChar w:fldCharType="end"/>
        </w:r>
      </w:hyperlink>
    </w:p>
    <w:p>
      <w:pPr>
        <w:pStyle w:val="TOC2"/>
      </w:pPr>
      <w:hyperlink w:anchor="_Toc300000649" w:history="1">
        <w:r>
          <w:rPr>
            <w:noProof/>
          </w:rPr>
          <w:t xml:space="preserve">Article 20.64: Application of Article 18 of the Berne Convention and Article 14.6 of the TRIPS Agreement</w:t>
        </w:r>
        <w:r>
          <w:rPr>
            <w:noProof/>
            <w:webHidden/>
          </w:rPr>
          <w:tab/>
        </w:r>
        <w:r>
          <w:rPr>
            <w:noProof/>
            <w:webHidden/>
          </w:rPr>
          <w:fldChar w:fldCharType="begin"/>
        </w:r>
        <w:r>
          <w:rPr>
            <w:noProof/>
            <w:webHidden/>
          </w:rPr>
          <w:instrText xml:space="preserve"> PAGEREF _Toc300000649 \h </w:instrText>
        </w:r>
        <w:r>
          <w:rPr>
            <w:noProof/>
            <w:webHidden/>
          </w:rPr>
          <w:fldChar w:fldCharType="separate"/>
        </w:r>
        <w:r>
          <w:rPr>
            <w:noProof/>
            <w:webHidden/>
          </w:rPr>
          <w:t>1108</w:t>
        </w:r>
        <w:r>
          <w:rPr>
            <w:noProof/>
            <w:webHidden/>
          </w:rPr>
          <w:fldChar w:fldCharType="end"/>
        </w:r>
      </w:hyperlink>
    </w:p>
    <w:p>
      <w:pPr>
        <w:pStyle w:val="TOC2"/>
      </w:pPr>
      <w:hyperlink w:anchor="_Toc300000650" w:history="1">
        <w:r>
          <w:rPr>
            <w:noProof/>
          </w:rPr>
          <w:t xml:space="preserve">Article 20.65: Limitations and Exceptions</w:t>
        </w:r>
        <w:r>
          <w:rPr>
            <w:noProof/>
            <w:webHidden/>
          </w:rPr>
          <w:tab/>
        </w:r>
        <w:r>
          <w:rPr>
            <w:noProof/>
            <w:webHidden/>
          </w:rPr>
          <w:fldChar w:fldCharType="begin"/>
        </w:r>
        <w:r>
          <w:rPr>
            <w:noProof/>
            <w:webHidden/>
          </w:rPr>
          <w:instrText xml:space="preserve"> PAGEREF _Toc300000650 \h </w:instrText>
        </w:r>
        <w:r>
          <w:rPr>
            <w:noProof/>
            <w:webHidden/>
          </w:rPr>
          <w:fldChar w:fldCharType="separate"/>
        </w:r>
        <w:r>
          <w:rPr>
            <w:noProof/>
            <w:webHidden/>
          </w:rPr>
          <w:t>1108</w:t>
        </w:r>
        <w:r>
          <w:rPr>
            <w:noProof/>
            <w:webHidden/>
          </w:rPr>
          <w:fldChar w:fldCharType="end"/>
        </w:r>
      </w:hyperlink>
    </w:p>
    <w:p>
      <w:pPr>
        <w:pStyle w:val="TOC2"/>
      </w:pPr>
      <w:hyperlink w:anchor="_Toc300000651" w:history="1">
        <w:r>
          <w:rPr>
            <w:noProof/>
          </w:rPr>
          <w:t xml:space="preserve">Article 20.66: Contractual Transfers</w:t>
        </w:r>
        <w:r>
          <w:rPr>
            <w:noProof/>
            <w:webHidden/>
          </w:rPr>
          <w:tab/>
        </w:r>
        <w:r>
          <w:rPr>
            <w:noProof/>
            <w:webHidden/>
          </w:rPr>
          <w:fldChar w:fldCharType="begin"/>
        </w:r>
        <w:r>
          <w:rPr>
            <w:noProof/>
            <w:webHidden/>
          </w:rPr>
          <w:instrText xml:space="preserve"> PAGEREF _Toc300000651 \h </w:instrText>
        </w:r>
        <w:r>
          <w:rPr>
            <w:noProof/>
            <w:webHidden/>
          </w:rPr>
          <w:fldChar w:fldCharType="separate"/>
        </w:r>
        <w:r>
          <w:rPr>
            <w:noProof/>
            <w:webHidden/>
          </w:rPr>
          <w:t>1108</w:t>
        </w:r>
        <w:r>
          <w:rPr>
            <w:noProof/>
            <w:webHidden/>
          </w:rPr>
          <w:fldChar w:fldCharType="end"/>
        </w:r>
      </w:hyperlink>
    </w:p>
    <w:p>
      <w:pPr>
        <w:pStyle w:val="TOC2"/>
      </w:pPr>
      <w:hyperlink w:anchor="_Toc300000652" w:history="1">
        <w:r>
          <w:rPr>
            <w:noProof/>
          </w:rPr>
          <w:t xml:space="preserve">Article 20.67: Technological Protection Measures</w:t>
        </w:r>
        <w:r>
          <w:rPr>
            <w:noProof/>
            <w:webHidden/>
          </w:rPr>
          <w:tab/>
        </w:r>
        <w:r>
          <w:rPr>
            <w:noProof/>
            <w:webHidden/>
          </w:rPr>
          <w:fldChar w:fldCharType="begin"/>
        </w:r>
        <w:r>
          <w:rPr>
            <w:noProof/>
            <w:webHidden/>
          </w:rPr>
          <w:instrText xml:space="preserve"> PAGEREF _Toc300000652 \h </w:instrText>
        </w:r>
        <w:r>
          <w:rPr>
            <w:noProof/>
            <w:webHidden/>
          </w:rPr>
          <w:fldChar w:fldCharType="separate"/>
        </w:r>
        <w:r>
          <w:rPr>
            <w:noProof/>
            <w:webHidden/>
          </w:rPr>
          <w:t>1108</w:t>
        </w:r>
        <w:r>
          <w:rPr>
            <w:noProof/>
            <w:webHidden/>
          </w:rPr>
          <w:fldChar w:fldCharType="end"/>
        </w:r>
      </w:hyperlink>
    </w:p>
    <w:p>
      <w:pPr>
        <w:pStyle w:val="TOC2"/>
      </w:pPr>
      <w:hyperlink w:anchor="_Toc300000653" w:history="1">
        <w:r>
          <w:rPr>
            <w:noProof/>
          </w:rPr>
          <w:t xml:space="preserve">Article 20.68: Rights Management Information</w:t>
        </w:r>
        <w:r>
          <w:rPr>
            <w:noProof/>
            <w:webHidden/>
          </w:rPr>
          <w:tab/>
        </w:r>
        <w:r>
          <w:rPr>
            <w:noProof/>
            <w:webHidden/>
          </w:rPr>
          <w:fldChar w:fldCharType="begin"/>
        </w:r>
        <w:r>
          <w:rPr>
            <w:noProof/>
            <w:webHidden/>
          </w:rPr>
          <w:instrText xml:space="preserve"> PAGEREF _Toc300000653 \h </w:instrText>
        </w:r>
        <w:r>
          <w:rPr>
            <w:noProof/>
            <w:webHidden/>
          </w:rPr>
          <w:fldChar w:fldCharType="separate"/>
        </w:r>
        <w:r>
          <w:rPr>
            <w:noProof/>
            <w:webHidden/>
          </w:rPr>
          <w:t>1111</w:t>
        </w:r>
        <w:r>
          <w:rPr>
            <w:noProof/>
            <w:webHidden/>
          </w:rPr>
          <w:fldChar w:fldCharType="end"/>
        </w:r>
      </w:hyperlink>
    </w:p>
    <w:p>
      <w:pPr>
        <w:pStyle w:val="TOC2"/>
      </w:pPr>
      <w:hyperlink w:anchor="_Toc300000654" w:history="1">
        <w:r>
          <w:rPr>
            <w:noProof/>
          </w:rPr>
          <w:t xml:space="preserve">Article 20.69: Collective Management</w:t>
        </w:r>
        <w:r>
          <w:rPr>
            <w:noProof/>
            <w:webHidden/>
          </w:rPr>
          <w:tab/>
        </w:r>
        <w:r>
          <w:rPr>
            <w:noProof/>
            <w:webHidden/>
          </w:rPr>
          <w:fldChar w:fldCharType="begin"/>
        </w:r>
        <w:r>
          <w:rPr>
            <w:noProof/>
            <w:webHidden/>
          </w:rPr>
          <w:instrText xml:space="preserve"> PAGEREF _Toc300000654 \h </w:instrText>
        </w:r>
        <w:r>
          <w:rPr>
            <w:noProof/>
            <w:webHidden/>
          </w:rPr>
          <w:fldChar w:fldCharType="separate"/>
        </w:r>
        <w:r>
          <w:rPr>
            <w:noProof/>
            <w:webHidden/>
          </w:rPr>
          <w:t>1112</w:t>
        </w:r>
        <w:r>
          <w:rPr>
            <w:noProof/>
            <w:webHidden/>
          </w:rPr>
          <w:fldChar w:fldCharType="end"/>
        </w:r>
      </w:hyperlink>
    </w:p>
    <w:p>
      <w:pPr>
        <w:pStyle w:val="TOC2"/>
      </w:pPr>
      <w:hyperlink w:anchor="_Toc300000655" w:history="1">
        <w:r>
          <w:rPr>
            <w:noProof/>
          </w:rPr>
          <w:t xml:space="preserve">Article 20.70: Protection of Trade Secrets</w:t>
        </w:r>
        <w:r>
          <w:rPr>
            <w:noProof/>
            <w:webHidden/>
          </w:rPr>
          <w:tab/>
        </w:r>
        <w:r>
          <w:rPr>
            <w:noProof/>
            <w:webHidden/>
          </w:rPr>
          <w:fldChar w:fldCharType="begin"/>
        </w:r>
        <w:r>
          <w:rPr>
            <w:noProof/>
            <w:webHidden/>
          </w:rPr>
          <w:instrText xml:space="preserve"> PAGEREF _Toc300000655 \h </w:instrText>
        </w:r>
        <w:r>
          <w:rPr>
            <w:noProof/>
            <w:webHidden/>
          </w:rPr>
          <w:fldChar w:fldCharType="separate"/>
        </w:r>
        <w:r>
          <w:rPr>
            <w:noProof/>
            <w:webHidden/>
          </w:rPr>
          <w:t>1112</w:t>
        </w:r>
        <w:r>
          <w:rPr>
            <w:noProof/>
            <w:webHidden/>
          </w:rPr>
          <w:fldChar w:fldCharType="end"/>
        </w:r>
      </w:hyperlink>
    </w:p>
    <w:p>
      <w:pPr>
        <w:pStyle w:val="TOC2"/>
      </w:pPr>
      <w:hyperlink w:anchor="_Toc300000656" w:history="1">
        <w:r>
          <w:rPr>
            <w:noProof/>
          </w:rPr>
          <w:t xml:space="preserve">Article 20.71: Civil Protection and Enforcement</w:t>
        </w:r>
        <w:r>
          <w:rPr>
            <w:noProof/>
            <w:webHidden/>
          </w:rPr>
          <w:tab/>
        </w:r>
        <w:r>
          <w:rPr>
            <w:noProof/>
            <w:webHidden/>
          </w:rPr>
          <w:fldChar w:fldCharType="begin"/>
        </w:r>
        <w:r>
          <w:rPr>
            <w:noProof/>
            <w:webHidden/>
          </w:rPr>
          <w:instrText xml:space="preserve"> PAGEREF _Toc300000656 \h </w:instrText>
        </w:r>
        <w:r>
          <w:rPr>
            <w:noProof/>
            <w:webHidden/>
          </w:rPr>
          <w:fldChar w:fldCharType="separate"/>
        </w:r>
        <w:r>
          <w:rPr>
            <w:noProof/>
            <w:webHidden/>
          </w:rPr>
          <w:t>1112</w:t>
        </w:r>
        <w:r>
          <w:rPr>
            <w:noProof/>
            <w:webHidden/>
          </w:rPr>
          <w:fldChar w:fldCharType="end"/>
        </w:r>
      </w:hyperlink>
    </w:p>
    <w:p>
      <w:pPr>
        <w:pStyle w:val="TOC2"/>
      </w:pPr>
      <w:hyperlink w:anchor="_Toc300000657" w:history="1">
        <w:r>
          <w:rPr>
            <w:noProof/>
          </w:rPr>
          <w:t xml:space="preserve">Article 20.72: Criminal Enforcement</w:t>
        </w:r>
        <w:r>
          <w:rPr>
            <w:noProof/>
            <w:webHidden/>
          </w:rPr>
          <w:tab/>
        </w:r>
        <w:r>
          <w:rPr>
            <w:noProof/>
            <w:webHidden/>
          </w:rPr>
          <w:fldChar w:fldCharType="begin"/>
        </w:r>
        <w:r>
          <w:rPr>
            <w:noProof/>
            <w:webHidden/>
          </w:rPr>
          <w:instrText xml:space="preserve"> PAGEREF _Toc300000657 \h </w:instrText>
        </w:r>
        <w:r>
          <w:rPr>
            <w:noProof/>
            <w:webHidden/>
          </w:rPr>
          <w:fldChar w:fldCharType="separate"/>
        </w:r>
        <w:r>
          <w:rPr>
            <w:noProof/>
            <w:webHidden/>
          </w:rPr>
          <w:t>1112</w:t>
        </w:r>
        <w:r>
          <w:rPr>
            <w:noProof/>
            <w:webHidden/>
          </w:rPr>
          <w:fldChar w:fldCharType="end"/>
        </w:r>
      </w:hyperlink>
    </w:p>
    <w:p>
      <w:pPr>
        <w:pStyle w:val="TOC2"/>
      </w:pPr>
      <w:hyperlink w:anchor="_Toc300000658" w:history="1">
        <w:r>
          <w:rPr>
            <w:noProof/>
          </w:rPr>
          <w:t xml:space="preserve">Article 20.73: Definitions</w:t>
        </w:r>
        <w:r>
          <w:rPr>
            <w:noProof/>
            <w:webHidden/>
          </w:rPr>
          <w:tab/>
        </w:r>
        <w:r>
          <w:rPr>
            <w:noProof/>
            <w:webHidden/>
          </w:rPr>
          <w:fldChar w:fldCharType="begin"/>
        </w:r>
        <w:r>
          <w:rPr>
            <w:noProof/>
            <w:webHidden/>
          </w:rPr>
          <w:instrText xml:space="preserve"> PAGEREF _Toc300000658 \h </w:instrText>
        </w:r>
        <w:r>
          <w:rPr>
            <w:noProof/>
            <w:webHidden/>
          </w:rPr>
          <w:fldChar w:fldCharType="separate"/>
        </w:r>
        <w:r>
          <w:rPr>
            <w:noProof/>
            <w:webHidden/>
          </w:rPr>
          <w:t>1113</w:t>
        </w:r>
        <w:r>
          <w:rPr>
            <w:noProof/>
            <w:webHidden/>
          </w:rPr>
          <w:fldChar w:fldCharType="end"/>
        </w:r>
      </w:hyperlink>
    </w:p>
    <w:p>
      <w:pPr>
        <w:pStyle w:val="TOC2"/>
      </w:pPr>
      <w:hyperlink w:anchor="_Toc300000659" w:history="1">
        <w:r>
          <w:rPr>
            <w:noProof/>
          </w:rPr>
          <w:t xml:space="preserve">Article 20.74: Provisional Measures</w:t>
        </w:r>
        <w:r>
          <w:rPr>
            <w:noProof/>
            <w:webHidden/>
          </w:rPr>
          <w:tab/>
        </w:r>
        <w:r>
          <w:rPr>
            <w:noProof/>
            <w:webHidden/>
          </w:rPr>
          <w:fldChar w:fldCharType="begin"/>
        </w:r>
        <w:r>
          <w:rPr>
            <w:noProof/>
            <w:webHidden/>
          </w:rPr>
          <w:instrText xml:space="preserve"> PAGEREF _Toc300000659 \h </w:instrText>
        </w:r>
        <w:r>
          <w:rPr>
            <w:noProof/>
            <w:webHidden/>
          </w:rPr>
          <w:fldChar w:fldCharType="separate"/>
        </w:r>
        <w:r>
          <w:rPr>
            <w:noProof/>
            <w:webHidden/>
          </w:rPr>
          <w:t>1113</w:t>
        </w:r>
        <w:r>
          <w:rPr>
            <w:noProof/>
            <w:webHidden/>
          </w:rPr>
          <w:fldChar w:fldCharType="end"/>
        </w:r>
      </w:hyperlink>
    </w:p>
    <w:p>
      <w:pPr>
        <w:pStyle w:val="TOC2"/>
      </w:pPr>
      <w:hyperlink w:anchor="_Toc300000660" w:history="1">
        <w:r>
          <w:rPr>
            <w:noProof/>
          </w:rPr>
          <w:t xml:space="preserve">Article 20.75: Confidentiality</w:t>
        </w:r>
        <w:r>
          <w:rPr>
            <w:noProof/>
            <w:webHidden/>
          </w:rPr>
          <w:tab/>
        </w:r>
        <w:r>
          <w:rPr>
            <w:noProof/>
            <w:webHidden/>
          </w:rPr>
          <w:fldChar w:fldCharType="begin"/>
        </w:r>
        <w:r>
          <w:rPr>
            <w:noProof/>
            <w:webHidden/>
          </w:rPr>
          <w:instrText xml:space="preserve"> PAGEREF _Toc300000660 \h </w:instrText>
        </w:r>
        <w:r>
          <w:rPr>
            <w:noProof/>
            <w:webHidden/>
          </w:rPr>
          <w:fldChar w:fldCharType="separate"/>
        </w:r>
        <w:r>
          <w:rPr>
            <w:noProof/>
            <w:webHidden/>
          </w:rPr>
          <w:t>1113</w:t>
        </w:r>
        <w:r>
          <w:rPr>
            <w:noProof/>
            <w:webHidden/>
          </w:rPr>
          <w:fldChar w:fldCharType="end"/>
        </w:r>
      </w:hyperlink>
    </w:p>
    <w:p>
      <w:pPr>
        <w:pStyle w:val="TOC2"/>
      </w:pPr>
      <w:hyperlink w:anchor="_Toc300000661" w:history="1">
        <w:r>
          <w:rPr>
            <w:noProof/>
          </w:rPr>
          <w:t xml:space="preserve">Article 20.76: Civil Remedies</w:t>
        </w:r>
        <w:r>
          <w:rPr>
            <w:noProof/>
            <w:webHidden/>
          </w:rPr>
          <w:tab/>
        </w:r>
        <w:r>
          <w:rPr>
            <w:noProof/>
            <w:webHidden/>
          </w:rPr>
          <w:fldChar w:fldCharType="begin"/>
        </w:r>
        <w:r>
          <w:rPr>
            <w:noProof/>
            <w:webHidden/>
          </w:rPr>
          <w:instrText xml:space="preserve"> PAGEREF _Toc300000661 \h </w:instrText>
        </w:r>
        <w:r>
          <w:rPr>
            <w:noProof/>
            <w:webHidden/>
          </w:rPr>
          <w:fldChar w:fldCharType="separate"/>
        </w:r>
        <w:r>
          <w:rPr>
            <w:noProof/>
            <w:webHidden/>
          </w:rPr>
          <w:t>1114</w:t>
        </w:r>
        <w:r>
          <w:rPr>
            <w:noProof/>
            <w:webHidden/>
          </w:rPr>
          <w:fldChar w:fldCharType="end"/>
        </w:r>
      </w:hyperlink>
    </w:p>
    <w:p>
      <w:pPr>
        <w:pStyle w:val="TOC2"/>
      </w:pPr>
      <w:hyperlink w:anchor="_Toc300000662" w:history="1">
        <w:r>
          <w:rPr>
            <w:noProof/>
          </w:rPr>
          <w:t xml:space="preserve">Article 20.77: Licensing and Transfer of Trade Secrets</w:t>
        </w:r>
        <w:r>
          <w:rPr>
            <w:noProof/>
            <w:webHidden/>
          </w:rPr>
          <w:tab/>
        </w:r>
        <w:r>
          <w:rPr>
            <w:noProof/>
            <w:webHidden/>
          </w:rPr>
          <w:fldChar w:fldCharType="begin"/>
        </w:r>
        <w:r>
          <w:rPr>
            <w:noProof/>
            <w:webHidden/>
          </w:rPr>
          <w:instrText xml:space="preserve"> PAGEREF _Toc300000662 \h </w:instrText>
        </w:r>
        <w:r>
          <w:rPr>
            <w:noProof/>
            <w:webHidden/>
          </w:rPr>
          <w:fldChar w:fldCharType="separate"/>
        </w:r>
        <w:r>
          <w:rPr>
            <w:noProof/>
            <w:webHidden/>
          </w:rPr>
          <w:t>1114</w:t>
        </w:r>
        <w:r>
          <w:rPr>
            <w:noProof/>
            <w:webHidden/>
          </w:rPr>
          <w:fldChar w:fldCharType="end"/>
        </w:r>
      </w:hyperlink>
    </w:p>
    <w:p>
      <w:pPr>
        <w:pStyle w:val="TOC2"/>
      </w:pPr>
      <w:hyperlink w:anchor="_Toc300000663" w:history="1">
        <w:r>
          <w:rPr>
            <w:noProof/>
          </w:rPr>
          <w:t xml:space="preserve">Article 20.78: Prohibition of Unauthorized Disclosure or Use of a Trade Secret by Government Officials Outside the Scope of Their Official Duties</w:t>
        </w:r>
        <w:r>
          <w:rPr>
            <w:noProof/>
            <w:webHidden/>
          </w:rPr>
          <w:tab/>
        </w:r>
        <w:r>
          <w:rPr>
            <w:noProof/>
            <w:webHidden/>
          </w:rPr>
          <w:fldChar w:fldCharType="begin"/>
        </w:r>
        <w:r>
          <w:rPr>
            <w:noProof/>
            <w:webHidden/>
          </w:rPr>
          <w:instrText xml:space="preserve"> PAGEREF _Toc300000663 \h </w:instrText>
        </w:r>
        <w:r>
          <w:rPr>
            <w:noProof/>
            <w:webHidden/>
          </w:rPr>
          <w:fldChar w:fldCharType="separate"/>
        </w:r>
        <w:r>
          <w:rPr>
            <w:noProof/>
            <w:webHidden/>
          </w:rPr>
          <w:t>1114</w:t>
        </w:r>
        <w:r>
          <w:rPr>
            <w:noProof/>
            <w:webHidden/>
          </w:rPr>
          <w:fldChar w:fldCharType="end"/>
        </w:r>
      </w:hyperlink>
    </w:p>
    <w:p>
      <w:pPr>
        <w:pStyle w:val="TOC2"/>
      </w:pPr>
      <w:hyperlink w:anchor="_Toc300000664" w:history="1">
        <w:r>
          <w:rPr>
            <w:noProof/>
          </w:rPr>
          <w:t xml:space="preserve">Article 20.79: General Obligations</w:t>
        </w:r>
        <w:r>
          <w:rPr>
            <w:noProof/>
            <w:webHidden/>
          </w:rPr>
          <w:tab/>
        </w:r>
        <w:r>
          <w:rPr>
            <w:noProof/>
            <w:webHidden/>
          </w:rPr>
          <w:fldChar w:fldCharType="begin"/>
        </w:r>
        <w:r>
          <w:rPr>
            <w:noProof/>
            <w:webHidden/>
          </w:rPr>
          <w:instrText xml:space="preserve"> PAGEREF _Toc300000664 \h </w:instrText>
        </w:r>
        <w:r>
          <w:rPr>
            <w:noProof/>
            <w:webHidden/>
          </w:rPr>
          <w:fldChar w:fldCharType="separate"/>
        </w:r>
        <w:r>
          <w:rPr>
            <w:noProof/>
            <w:webHidden/>
          </w:rPr>
          <w:t>1114</w:t>
        </w:r>
        <w:r>
          <w:rPr>
            <w:noProof/>
            <w:webHidden/>
          </w:rPr>
          <w:fldChar w:fldCharType="end"/>
        </w:r>
      </w:hyperlink>
    </w:p>
    <w:p>
      <w:pPr>
        <w:pStyle w:val="TOC2"/>
      </w:pPr>
      <w:hyperlink w:anchor="_Toc300000665" w:history="1">
        <w:r>
          <w:rPr>
            <w:noProof/>
          </w:rPr>
          <w:t xml:space="preserve">Article 20.80: Presumptions</w:t>
        </w:r>
        <w:r>
          <w:rPr>
            <w:noProof/>
            <w:webHidden/>
          </w:rPr>
          <w:tab/>
        </w:r>
        <w:r>
          <w:rPr>
            <w:noProof/>
            <w:webHidden/>
          </w:rPr>
          <w:fldChar w:fldCharType="begin"/>
        </w:r>
        <w:r>
          <w:rPr>
            <w:noProof/>
            <w:webHidden/>
          </w:rPr>
          <w:instrText xml:space="preserve"> PAGEREF _Toc300000665 \h </w:instrText>
        </w:r>
        <w:r>
          <w:rPr>
            <w:noProof/>
            <w:webHidden/>
          </w:rPr>
          <w:fldChar w:fldCharType="separate"/>
        </w:r>
        <w:r>
          <w:rPr>
            <w:noProof/>
            <w:webHidden/>
          </w:rPr>
          <w:t>1115</w:t>
        </w:r>
        <w:r>
          <w:rPr>
            <w:noProof/>
            <w:webHidden/>
          </w:rPr>
          <w:fldChar w:fldCharType="end"/>
        </w:r>
      </w:hyperlink>
    </w:p>
    <w:p>
      <w:pPr>
        <w:pStyle w:val="TOC2"/>
      </w:pPr>
      <w:hyperlink w:anchor="_Toc300000666" w:history="1">
        <w:r>
          <w:rPr>
            <w:noProof/>
          </w:rPr>
          <w:t xml:space="preserve">Article 20.81: Enforcement Practices with Respect to Intellectual Property Rights</w:t>
        </w:r>
        <w:r>
          <w:rPr>
            <w:noProof/>
            <w:webHidden/>
          </w:rPr>
          <w:tab/>
        </w:r>
        <w:r>
          <w:rPr>
            <w:noProof/>
            <w:webHidden/>
          </w:rPr>
          <w:fldChar w:fldCharType="begin"/>
        </w:r>
        <w:r>
          <w:rPr>
            <w:noProof/>
            <w:webHidden/>
          </w:rPr>
          <w:instrText xml:space="preserve"> PAGEREF _Toc300000666 \h </w:instrText>
        </w:r>
        <w:r>
          <w:rPr>
            <w:noProof/>
            <w:webHidden/>
          </w:rPr>
          <w:fldChar w:fldCharType="separate"/>
        </w:r>
        <w:r>
          <w:rPr>
            <w:noProof/>
            <w:webHidden/>
          </w:rPr>
          <w:t>1115</w:t>
        </w:r>
        <w:r>
          <w:rPr>
            <w:noProof/>
            <w:webHidden/>
          </w:rPr>
          <w:fldChar w:fldCharType="end"/>
        </w:r>
      </w:hyperlink>
    </w:p>
    <w:p>
      <w:pPr>
        <w:pStyle w:val="TOC2"/>
      </w:pPr>
      <w:hyperlink w:anchor="_Toc300000667" w:history="1">
        <w:r>
          <w:rPr>
            <w:noProof/>
          </w:rPr>
          <w:t xml:space="preserve">Article 20.82: Civil and Administrative Procedures and Remedies</w:t>
        </w:r>
        <w:r>
          <w:rPr>
            <w:noProof/>
            <w:webHidden/>
          </w:rPr>
          <w:tab/>
        </w:r>
        <w:r>
          <w:rPr>
            <w:noProof/>
            <w:webHidden/>
          </w:rPr>
          <w:fldChar w:fldCharType="begin"/>
        </w:r>
        <w:r>
          <w:rPr>
            <w:noProof/>
            <w:webHidden/>
          </w:rPr>
          <w:instrText xml:space="preserve"> PAGEREF _Toc300000667 \h </w:instrText>
        </w:r>
        <w:r>
          <w:rPr>
            <w:noProof/>
            <w:webHidden/>
          </w:rPr>
          <w:fldChar w:fldCharType="separate"/>
        </w:r>
        <w:r>
          <w:rPr>
            <w:noProof/>
            <w:webHidden/>
          </w:rPr>
          <w:t>1116</w:t>
        </w:r>
        <w:r>
          <w:rPr>
            <w:noProof/>
            <w:webHidden/>
          </w:rPr>
          <w:fldChar w:fldCharType="end"/>
        </w:r>
      </w:hyperlink>
    </w:p>
    <w:p>
      <w:pPr>
        <w:pStyle w:val="TOC2"/>
      </w:pPr>
      <w:hyperlink w:anchor="_Toc300000668" w:history="1">
        <w:r>
          <w:rPr>
            <w:noProof/>
          </w:rPr>
          <w:t xml:space="preserve">Article 20.83: Provisional Measures</w:t>
        </w:r>
        <w:r>
          <w:rPr>
            <w:noProof/>
            <w:webHidden/>
          </w:rPr>
          <w:tab/>
        </w:r>
        <w:r>
          <w:rPr>
            <w:noProof/>
            <w:webHidden/>
          </w:rPr>
          <w:fldChar w:fldCharType="begin"/>
        </w:r>
        <w:r>
          <w:rPr>
            <w:noProof/>
            <w:webHidden/>
          </w:rPr>
          <w:instrText xml:space="preserve"> PAGEREF _Toc300000668 \h </w:instrText>
        </w:r>
        <w:r>
          <w:rPr>
            <w:noProof/>
            <w:webHidden/>
          </w:rPr>
          <w:fldChar w:fldCharType="separate"/>
        </w:r>
        <w:r>
          <w:rPr>
            <w:noProof/>
            <w:webHidden/>
          </w:rPr>
          <w:t>1119</w:t>
        </w:r>
        <w:r>
          <w:rPr>
            <w:noProof/>
            <w:webHidden/>
          </w:rPr>
          <w:fldChar w:fldCharType="end"/>
        </w:r>
      </w:hyperlink>
    </w:p>
    <w:p>
      <w:pPr>
        <w:pStyle w:val="TOC2"/>
      </w:pPr>
      <w:hyperlink w:anchor="_Toc300000669" w:history="1">
        <w:r>
          <w:rPr>
            <w:noProof/>
          </w:rPr>
          <w:t xml:space="preserve">Article 20.84: Special Requirements Related to Border Measures</w:t>
        </w:r>
        <w:r>
          <w:rPr>
            <w:noProof/>
            <w:webHidden/>
          </w:rPr>
          <w:tab/>
        </w:r>
        <w:r>
          <w:rPr>
            <w:noProof/>
            <w:webHidden/>
          </w:rPr>
          <w:fldChar w:fldCharType="begin"/>
        </w:r>
        <w:r>
          <w:rPr>
            <w:noProof/>
            <w:webHidden/>
          </w:rPr>
          <w:instrText xml:space="preserve"> PAGEREF _Toc300000669 \h </w:instrText>
        </w:r>
        <w:r>
          <w:rPr>
            <w:noProof/>
            <w:webHidden/>
          </w:rPr>
          <w:fldChar w:fldCharType="separate"/>
        </w:r>
        <w:r>
          <w:rPr>
            <w:noProof/>
            <w:webHidden/>
          </w:rPr>
          <w:t>1119</w:t>
        </w:r>
        <w:r>
          <w:rPr>
            <w:noProof/>
            <w:webHidden/>
          </w:rPr>
          <w:fldChar w:fldCharType="end"/>
        </w:r>
      </w:hyperlink>
    </w:p>
    <w:p>
      <w:pPr>
        <w:pStyle w:val="TOC2"/>
      </w:pPr>
      <w:hyperlink w:anchor="_Toc300000670" w:history="1">
        <w:r>
          <w:rPr>
            <w:noProof/>
          </w:rPr>
          <w:t xml:space="preserve">Article 20.85: Criminal Procedures and Penalties</w:t>
        </w:r>
        <w:r>
          <w:rPr>
            <w:noProof/>
            <w:webHidden/>
          </w:rPr>
          <w:tab/>
        </w:r>
        <w:r>
          <w:rPr>
            <w:noProof/>
            <w:webHidden/>
          </w:rPr>
          <w:fldChar w:fldCharType="begin"/>
        </w:r>
        <w:r>
          <w:rPr>
            <w:noProof/>
            <w:webHidden/>
          </w:rPr>
          <w:instrText xml:space="preserve"> PAGEREF _Toc300000670 \h </w:instrText>
        </w:r>
        <w:r>
          <w:rPr>
            <w:noProof/>
            <w:webHidden/>
          </w:rPr>
          <w:fldChar w:fldCharType="separate"/>
        </w:r>
        <w:r>
          <w:rPr>
            <w:noProof/>
            <w:webHidden/>
          </w:rPr>
          <w:t>1121</w:t>
        </w:r>
        <w:r>
          <w:rPr>
            <w:noProof/>
            <w:webHidden/>
          </w:rPr>
          <w:fldChar w:fldCharType="end"/>
        </w:r>
      </w:hyperlink>
    </w:p>
    <w:p>
      <w:pPr>
        <w:pStyle w:val="TOC2"/>
      </w:pPr>
      <w:hyperlink w:anchor="_Toc300000671" w:history="1">
        <w:r>
          <w:rPr>
            <w:noProof/>
          </w:rPr>
          <w:t xml:space="preserve">Article 20.86: Protection of Encrypted Program-Carrying Satellite and Cable Signals</w:t>
        </w:r>
        <w:r>
          <w:rPr>
            <w:noProof/>
            <w:webHidden/>
          </w:rPr>
          <w:tab/>
        </w:r>
        <w:r>
          <w:rPr>
            <w:noProof/>
            <w:webHidden/>
          </w:rPr>
          <w:fldChar w:fldCharType="begin"/>
        </w:r>
        <w:r>
          <w:rPr>
            <w:noProof/>
            <w:webHidden/>
          </w:rPr>
          <w:instrText xml:space="preserve"> PAGEREF _Toc300000671 \h </w:instrText>
        </w:r>
        <w:r>
          <w:rPr>
            <w:noProof/>
            <w:webHidden/>
          </w:rPr>
          <w:fldChar w:fldCharType="separate"/>
        </w:r>
        <w:r>
          <w:rPr>
            <w:noProof/>
            <w:webHidden/>
          </w:rPr>
          <w:t>1123</w:t>
        </w:r>
        <w:r>
          <w:rPr>
            <w:noProof/>
            <w:webHidden/>
          </w:rPr>
          <w:fldChar w:fldCharType="end"/>
        </w:r>
      </w:hyperlink>
    </w:p>
    <w:p>
      <w:pPr>
        <w:pStyle w:val="TOC2"/>
      </w:pPr>
      <w:hyperlink w:anchor="_Toc300000672" w:history="1">
        <w:r>
          <w:rPr>
            <w:noProof/>
          </w:rPr>
          <w:t xml:space="preserve">Article 20.87: Government Use of Software</w:t>
        </w:r>
        <w:r>
          <w:rPr>
            <w:noProof/>
            <w:webHidden/>
          </w:rPr>
          <w:tab/>
        </w:r>
        <w:r>
          <w:rPr>
            <w:noProof/>
            <w:webHidden/>
          </w:rPr>
          <w:fldChar w:fldCharType="begin"/>
        </w:r>
        <w:r>
          <w:rPr>
            <w:noProof/>
            <w:webHidden/>
          </w:rPr>
          <w:instrText xml:space="preserve"> PAGEREF _Toc300000672 \h </w:instrText>
        </w:r>
        <w:r>
          <w:rPr>
            <w:noProof/>
            <w:webHidden/>
          </w:rPr>
          <w:fldChar w:fldCharType="separate"/>
        </w:r>
        <w:r>
          <w:rPr>
            <w:noProof/>
            <w:webHidden/>
          </w:rPr>
          <w:t>1124</w:t>
        </w:r>
        <w:r>
          <w:rPr>
            <w:noProof/>
            <w:webHidden/>
          </w:rPr>
          <w:fldChar w:fldCharType="end"/>
        </w:r>
      </w:hyperlink>
    </w:p>
    <w:p>
      <w:pPr>
        <w:pStyle w:val="TOC2"/>
      </w:pPr>
      <w:hyperlink w:anchor="_Toc300000673" w:history="1">
        <w:r>
          <w:rPr>
            <w:noProof/>
          </w:rPr>
          <w:t xml:space="preserve">Article 20.88: Internet Service Providers</w:t>
        </w:r>
        <w:r>
          <w:rPr>
            <w:noProof/>
            <w:webHidden/>
          </w:rPr>
          <w:tab/>
        </w:r>
        <w:r>
          <w:rPr>
            <w:noProof/>
            <w:webHidden/>
          </w:rPr>
          <w:fldChar w:fldCharType="begin"/>
        </w:r>
        <w:r>
          <w:rPr>
            <w:noProof/>
            <w:webHidden/>
          </w:rPr>
          <w:instrText xml:space="preserve"> PAGEREF _Toc300000673 \h </w:instrText>
        </w:r>
        <w:r>
          <w:rPr>
            <w:noProof/>
            <w:webHidden/>
          </w:rPr>
          <w:fldChar w:fldCharType="separate"/>
        </w:r>
        <w:r>
          <w:rPr>
            <w:noProof/>
            <w:webHidden/>
          </w:rPr>
          <w:t>1124</w:t>
        </w:r>
        <w:r>
          <w:rPr>
            <w:noProof/>
            <w:webHidden/>
          </w:rPr>
          <w:fldChar w:fldCharType="end"/>
        </w:r>
      </w:hyperlink>
    </w:p>
    <w:p>
      <w:pPr>
        <w:pStyle w:val="TOC2"/>
      </w:pPr>
      <w:hyperlink w:anchor="_Toc300000674" w:history="1">
        <w:r>
          <w:rPr>
            <w:noProof/>
          </w:rPr>
          <w:t xml:space="preserve">Article 20.89: Legal Remedies and Safe Harbors</w:t>
        </w:r>
        <w:r>
          <w:rPr>
            <w:noProof/>
            <w:webHidden/>
          </w:rPr>
          <w:tab/>
        </w:r>
        <w:r>
          <w:rPr>
            <w:noProof/>
            <w:webHidden/>
          </w:rPr>
          <w:fldChar w:fldCharType="begin"/>
        </w:r>
        <w:r>
          <w:rPr>
            <w:noProof/>
            <w:webHidden/>
          </w:rPr>
          <w:instrText xml:space="preserve"> PAGEREF _Toc300000674 \h </w:instrText>
        </w:r>
        <w:r>
          <w:rPr>
            <w:noProof/>
            <w:webHidden/>
          </w:rPr>
          <w:fldChar w:fldCharType="separate"/>
        </w:r>
        <w:r>
          <w:rPr>
            <w:noProof/>
            <w:webHidden/>
          </w:rPr>
          <w:t>1125</w:t>
        </w:r>
        <w:r>
          <w:rPr>
            <w:noProof/>
            <w:webHidden/>
          </w:rPr>
          <w:fldChar w:fldCharType="end"/>
        </w:r>
      </w:hyperlink>
    </w:p>
    <w:p>
      <w:pPr>
        <w:pStyle w:val="TOC2"/>
      </w:pPr>
      <w:hyperlink w:anchor="_Toc300000675" w:history="1">
        <w:r>
          <w:rPr>
            <w:noProof/>
          </w:rPr>
          <w:t xml:space="preserve">Article 20.90: Final Provisions</w:t>
        </w:r>
        <w:r>
          <w:rPr>
            <w:noProof/>
            <w:webHidden/>
          </w:rPr>
          <w:tab/>
        </w:r>
        <w:r>
          <w:rPr>
            <w:noProof/>
            <w:webHidden/>
          </w:rPr>
          <w:fldChar w:fldCharType="begin"/>
        </w:r>
        <w:r>
          <w:rPr>
            <w:noProof/>
            <w:webHidden/>
          </w:rPr>
          <w:instrText xml:space="preserve"> PAGEREF _Toc300000675 \h </w:instrText>
        </w:r>
        <w:r>
          <w:rPr>
            <w:noProof/>
            <w:webHidden/>
          </w:rPr>
          <w:fldChar w:fldCharType="separate"/>
        </w:r>
        <w:r>
          <w:rPr>
            <w:noProof/>
            <w:webHidden/>
          </w:rPr>
          <w:t>1127</w:t>
        </w:r>
        <w:r>
          <w:rPr>
            <w:noProof/>
            <w:webHidden/>
          </w:rPr>
          <w:fldChar w:fldCharType="end"/>
        </w:r>
      </w:hyperlink>
    </w:p>
    <w:p>
      <w:pPr>
        <w:pStyle w:val="TOC2"/>
      </w:pPr>
      <w:hyperlink w:anchor="_Toc300000676" w:history="1">
        <w:r>
          <w:rPr>
            <w:noProof/>
          </w:rPr>
          <w:t xml:space="preserve">ANNEX 20-A ANNEX TO SECTION J</w:t>
        </w:r>
        <w:r>
          <w:rPr>
            <w:noProof/>
            <w:webHidden/>
          </w:rPr>
          <w:tab/>
        </w:r>
        <w:r>
          <w:rPr>
            <w:noProof/>
            <w:webHidden/>
          </w:rPr>
          <w:fldChar w:fldCharType="begin"/>
        </w:r>
        <w:r>
          <w:rPr>
            <w:noProof/>
            <w:webHidden/>
          </w:rPr>
          <w:instrText xml:space="preserve"> PAGEREF _Toc300000676 \h </w:instrText>
        </w:r>
        <w:r>
          <w:rPr>
            <w:noProof/>
            <w:webHidden/>
          </w:rPr>
          <w:fldChar w:fldCharType="separate"/>
        </w:r>
        <w:r>
          <w:rPr>
            <w:noProof/>
            <w:webHidden/>
          </w:rPr>
          <w:t>1128</w:t>
        </w:r>
        <w:r>
          <w:rPr>
            <w:noProof/>
            <w:webHidden/>
          </w:rPr>
          <w:fldChar w:fldCharType="end"/>
        </w:r>
      </w:hyperlink>
    </w:p>
    <w:p>
      <w:pPr>
        <w:pStyle w:val="TOC1"/>
      </w:pPr>
      <w:hyperlink w:anchor="_Toc300000677" w:history="1">
        <w:r>
          <w:rPr>
            <w:noProof/>
          </w:rPr>
          <w:t xml:space="preserve">CHAPTER 21 COMPETITION POLICY</w:t>
        </w:r>
        <w:r>
          <w:rPr>
            <w:noProof/>
            <w:webHidden/>
          </w:rPr>
          <w:tab/>
        </w:r>
        <w:r>
          <w:rPr>
            <w:noProof/>
            <w:webHidden/>
          </w:rPr>
          <w:fldChar w:fldCharType="begin"/>
        </w:r>
        <w:r>
          <w:rPr>
            <w:noProof/>
            <w:webHidden/>
          </w:rPr>
          <w:instrText xml:space="preserve"> PAGEREF _Toc300000677 \h </w:instrText>
        </w:r>
        <w:r>
          <w:rPr>
            <w:noProof/>
            <w:webHidden/>
          </w:rPr>
          <w:fldChar w:fldCharType="separate"/>
        </w:r>
        <w:r>
          <w:rPr>
            <w:noProof/>
            <w:webHidden/>
          </w:rPr>
          <w:t>1130</w:t>
        </w:r>
        <w:r>
          <w:rPr>
            <w:noProof/>
            <w:webHidden/>
          </w:rPr>
          <w:fldChar w:fldCharType="end"/>
        </w:r>
      </w:hyperlink>
    </w:p>
    <w:p>
      <w:pPr>
        <w:pStyle w:val="TOC2"/>
      </w:pPr>
      <w:hyperlink w:anchor="_Toc300000678" w:history="1">
        <w:r>
          <w:rPr>
            <w:noProof/>
          </w:rPr>
          <w:t xml:space="preserve">Article 21.1: Competition Law and Authorities</w:t>
        </w:r>
        <w:r>
          <w:rPr>
            <w:noProof/>
            <w:webHidden/>
          </w:rPr>
          <w:tab/>
        </w:r>
        <w:r>
          <w:rPr>
            <w:noProof/>
            <w:webHidden/>
          </w:rPr>
          <w:fldChar w:fldCharType="begin"/>
        </w:r>
        <w:r>
          <w:rPr>
            <w:noProof/>
            <w:webHidden/>
          </w:rPr>
          <w:instrText xml:space="preserve"> PAGEREF _Toc300000678 \h </w:instrText>
        </w:r>
        <w:r>
          <w:rPr>
            <w:noProof/>
            <w:webHidden/>
          </w:rPr>
          <w:fldChar w:fldCharType="separate"/>
        </w:r>
        <w:r>
          <w:rPr>
            <w:noProof/>
            <w:webHidden/>
          </w:rPr>
          <w:t>1130</w:t>
        </w:r>
        <w:r>
          <w:rPr>
            <w:noProof/>
            <w:webHidden/>
          </w:rPr>
          <w:fldChar w:fldCharType="end"/>
        </w:r>
      </w:hyperlink>
    </w:p>
    <w:p>
      <w:pPr>
        <w:pStyle w:val="TOC2"/>
      </w:pPr>
      <w:hyperlink w:anchor="_Toc300000679" w:history="1">
        <w:r>
          <w:rPr>
            <w:noProof/>
          </w:rPr>
          <w:t xml:space="preserve">Article 21.2: Procedural Fairness in Competition Law Enforcement</w:t>
        </w:r>
        <w:r>
          <w:rPr>
            <w:noProof/>
            <w:webHidden/>
          </w:rPr>
          <w:tab/>
        </w:r>
        <w:r>
          <w:rPr>
            <w:noProof/>
            <w:webHidden/>
          </w:rPr>
          <w:fldChar w:fldCharType="begin"/>
        </w:r>
        <w:r>
          <w:rPr>
            <w:noProof/>
            <w:webHidden/>
          </w:rPr>
          <w:instrText xml:space="preserve"> PAGEREF _Toc300000679 \h </w:instrText>
        </w:r>
        <w:r>
          <w:rPr>
            <w:noProof/>
            <w:webHidden/>
          </w:rPr>
          <w:fldChar w:fldCharType="separate"/>
        </w:r>
        <w:r>
          <w:rPr>
            <w:noProof/>
            <w:webHidden/>
          </w:rPr>
          <w:t>1130</w:t>
        </w:r>
        <w:r>
          <w:rPr>
            <w:noProof/>
            <w:webHidden/>
          </w:rPr>
          <w:fldChar w:fldCharType="end"/>
        </w:r>
      </w:hyperlink>
    </w:p>
    <w:p>
      <w:pPr>
        <w:pStyle w:val="TOC2"/>
      </w:pPr>
      <w:hyperlink w:anchor="_Toc300000680" w:history="1">
        <w:r>
          <w:rPr>
            <w:noProof/>
          </w:rPr>
          <w:t xml:space="preserve">Article 21.3: Cooperation</w:t>
        </w:r>
        <w:r>
          <w:rPr>
            <w:noProof/>
            <w:webHidden/>
          </w:rPr>
          <w:tab/>
        </w:r>
        <w:r>
          <w:rPr>
            <w:noProof/>
            <w:webHidden/>
          </w:rPr>
          <w:fldChar w:fldCharType="begin"/>
        </w:r>
        <w:r>
          <w:rPr>
            <w:noProof/>
            <w:webHidden/>
          </w:rPr>
          <w:instrText xml:space="preserve"> PAGEREF _Toc300000680 \h </w:instrText>
        </w:r>
        <w:r>
          <w:rPr>
            <w:noProof/>
            <w:webHidden/>
          </w:rPr>
          <w:fldChar w:fldCharType="separate"/>
        </w:r>
        <w:r>
          <w:rPr>
            <w:noProof/>
            <w:webHidden/>
          </w:rPr>
          <w:t>1132</w:t>
        </w:r>
        <w:r>
          <w:rPr>
            <w:noProof/>
            <w:webHidden/>
          </w:rPr>
          <w:fldChar w:fldCharType="end"/>
        </w:r>
      </w:hyperlink>
    </w:p>
    <w:p>
      <w:pPr>
        <w:pStyle w:val="TOC2"/>
      </w:pPr>
      <w:hyperlink w:anchor="_Toc300000681" w:history="1">
        <w:r>
          <w:rPr>
            <w:noProof/>
          </w:rPr>
          <w:t xml:space="preserve">Article 21.4: Consumer Protection</w:t>
        </w:r>
        <w:r>
          <w:rPr>
            <w:noProof/>
            <w:webHidden/>
          </w:rPr>
          <w:tab/>
        </w:r>
        <w:r>
          <w:rPr>
            <w:noProof/>
            <w:webHidden/>
          </w:rPr>
          <w:fldChar w:fldCharType="begin"/>
        </w:r>
        <w:r>
          <w:rPr>
            <w:noProof/>
            <w:webHidden/>
          </w:rPr>
          <w:instrText xml:space="preserve"> PAGEREF _Toc300000681 \h </w:instrText>
        </w:r>
        <w:r>
          <w:rPr>
            <w:noProof/>
            <w:webHidden/>
          </w:rPr>
          <w:fldChar w:fldCharType="separate"/>
        </w:r>
        <w:r>
          <w:rPr>
            <w:noProof/>
            <w:webHidden/>
          </w:rPr>
          <w:t>1132</w:t>
        </w:r>
        <w:r>
          <w:rPr>
            <w:noProof/>
            <w:webHidden/>
          </w:rPr>
          <w:fldChar w:fldCharType="end"/>
        </w:r>
      </w:hyperlink>
    </w:p>
    <w:p>
      <w:pPr>
        <w:pStyle w:val="TOC2"/>
      </w:pPr>
      <w:hyperlink w:anchor="_Toc300000682" w:history="1">
        <w:r>
          <w:rPr>
            <w:noProof/>
          </w:rPr>
          <w:t xml:space="preserve">Article 21.5: Transparency</w:t>
        </w:r>
        <w:r>
          <w:rPr>
            <w:noProof/>
            <w:webHidden/>
          </w:rPr>
          <w:tab/>
        </w:r>
        <w:r>
          <w:rPr>
            <w:noProof/>
            <w:webHidden/>
          </w:rPr>
          <w:fldChar w:fldCharType="begin"/>
        </w:r>
        <w:r>
          <w:rPr>
            <w:noProof/>
            <w:webHidden/>
          </w:rPr>
          <w:instrText xml:space="preserve"> PAGEREF _Toc300000682 \h </w:instrText>
        </w:r>
        <w:r>
          <w:rPr>
            <w:noProof/>
            <w:webHidden/>
          </w:rPr>
          <w:fldChar w:fldCharType="separate"/>
        </w:r>
        <w:r>
          <w:rPr>
            <w:noProof/>
            <w:webHidden/>
          </w:rPr>
          <w:t>1133</w:t>
        </w:r>
        <w:r>
          <w:rPr>
            <w:noProof/>
            <w:webHidden/>
          </w:rPr>
          <w:fldChar w:fldCharType="end"/>
        </w:r>
      </w:hyperlink>
    </w:p>
    <w:p>
      <w:pPr>
        <w:pStyle w:val="TOC2"/>
      </w:pPr>
      <w:hyperlink w:anchor="_Toc300000683" w:history="1">
        <w:r>
          <w:rPr>
            <w:noProof/>
          </w:rPr>
          <w:t xml:space="preserve">Article 21.6: Consultations</w:t>
        </w:r>
        <w:r>
          <w:rPr>
            <w:noProof/>
            <w:webHidden/>
          </w:rPr>
          <w:tab/>
        </w:r>
        <w:r>
          <w:rPr>
            <w:noProof/>
            <w:webHidden/>
          </w:rPr>
          <w:fldChar w:fldCharType="begin"/>
        </w:r>
        <w:r>
          <w:rPr>
            <w:noProof/>
            <w:webHidden/>
          </w:rPr>
          <w:instrText xml:space="preserve"> PAGEREF _Toc300000683 \h </w:instrText>
        </w:r>
        <w:r>
          <w:rPr>
            <w:noProof/>
            <w:webHidden/>
          </w:rPr>
          <w:fldChar w:fldCharType="separate"/>
        </w:r>
        <w:r>
          <w:rPr>
            <w:noProof/>
            <w:webHidden/>
          </w:rPr>
          <w:t>1133</w:t>
        </w:r>
        <w:r>
          <w:rPr>
            <w:noProof/>
            <w:webHidden/>
          </w:rPr>
          <w:fldChar w:fldCharType="end"/>
        </w:r>
      </w:hyperlink>
    </w:p>
    <w:p>
      <w:pPr>
        <w:pStyle w:val="TOC2"/>
      </w:pPr>
      <w:hyperlink w:anchor="_Toc300000684" w:history="1">
        <w:r>
          <w:rPr>
            <w:noProof/>
          </w:rPr>
          <w:t xml:space="preserve">Article 21.7: Non-Application of Dispute Settlement</w:t>
        </w:r>
        <w:r>
          <w:rPr>
            <w:noProof/>
            <w:webHidden/>
          </w:rPr>
          <w:tab/>
        </w:r>
        <w:r>
          <w:rPr>
            <w:noProof/>
            <w:webHidden/>
          </w:rPr>
          <w:fldChar w:fldCharType="begin"/>
        </w:r>
        <w:r>
          <w:rPr>
            <w:noProof/>
            <w:webHidden/>
          </w:rPr>
          <w:instrText xml:space="preserve"> PAGEREF _Toc300000684 \h </w:instrText>
        </w:r>
        <w:r>
          <w:rPr>
            <w:noProof/>
            <w:webHidden/>
          </w:rPr>
          <w:fldChar w:fldCharType="separate"/>
        </w:r>
        <w:r>
          <w:rPr>
            <w:noProof/>
            <w:webHidden/>
          </w:rPr>
          <w:t>1133</w:t>
        </w:r>
        <w:r>
          <w:rPr>
            <w:noProof/>
            <w:webHidden/>
          </w:rPr>
          <w:fldChar w:fldCharType="end"/>
        </w:r>
      </w:hyperlink>
    </w:p>
    <w:p>
      <w:pPr>
        <w:pStyle w:val="TOC1"/>
      </w:pPr>
      <w:hyperlink w:anchor="_Toc300000685" w:history="1">
        <w:r>
          <w:rPr>
            <w:noProof/>
          </w:rPr>
          <w:t xml:space="preserve">CHAPTER 22 STATE-OWNED ENTERPRISES AND DESIGNATED MONOPOLIES</w:t>
        </w:r>
        <w:r>
          <w:rPr>
            <w:noProof/>
            <w:webHidden/>
          </w:rPr>
          <w:tab/>
        </w:r>
        <w:r>
          <w:rPr>
            <w:noProof/>
            <w:webHidden/>
          </w:rPr>
          <w:fldChar w:fldCharType="begin"/>
        </w:r>
        <w:r>
          <w:rPr>
            <w:noProof/>
            <w:webHidden/>
          </w:rPr>
          <w:instrText xml:space="preserve"> PAGEREF _Toc300000685 \h </w:instrText>
        </w:r>
        <w:r>
          <w:rPr>
            <w:noProof/>
            <w:webHidden/>
          </w:rPr>
          <w:fldChar w:fldCharType="separate"/>
        </w:r>
        <w:r>
          <w:rPr>
            <w:noProof/>
            <w:webHidden/>
          </w:rPr>
          <w:t>1134</w:t>
        </w:r>
        <w:r>
          <w:rPr>
            <w:noProof/>
            <w:webHidden/>
          </w:rPr>
          <w:fldChar w:fldCharType="end"/>
        </w:r>
      </w:hyperlink>
    </w:p>
    <w:p>
      <w:pPr>
        <w:pStyle w:val="TOC2"/>
      </w:pPr>
      <w:hyperlink w:anchor="_Toc300000686" w:history="1">
        <w:r>
          <w:rPr>
            <w:noProof/>
          </w:rPr>
          <w:t xml:space="preserve">Article 22.1: Definitions</w:t>
        </w:r>
        <w:r>
          <w:rPr>
            <w:noProof/>
            <w:webHidden/>
          </w:rPr>
          <w:tab/>
        </w:r>
        <w:r>
          <w:rPr>
            <w:noProof/>
            <w:webHidden/>
          </w:rPr>
          <w:fldChar w:fldCharType="begin"/>
        </w:r>
        <w:r>
          <w:rPr>
            <w:noProof/>
            <w:webHidden/>
          </w:rPr>
          <w:instrText xml:space="preserve"> PAGEREF _Toc300000686 \h </w:instrText>
        </w:r>
        <w:r>
          <w:rPr>
            <w:noProof/>
            <w:webHidden/>
          </w:rPr>
          <w:fldChar w:fldCharType="separate"/>
        </w:r>
        <w:r>
          <w:rPr>
            <w:noProof/>
            <w:webHidden/>
          </w:rPr>
          <w:t>1134</w:t>
        </w:r>
        <w:r>
          <w:rPr>
            <w:noProof/>
            <w:webHidden/>
          </w:rPr>
          <w:fldChar w:fldCharType="end"/>
        </w:r>
      </w:hyperlink>
    </w:p>
    <w:p>
      <w:pPr>
        <w:pStyle w:val="TOC2"/>
      </w:pPr>
      <w:hyperlink w:anchor="_Toc300000687" w:history="1">
        <w:r>
          <w:rPr>
            <w:noProof/>
          </w:rPr>
          <w:t xml:space="preserve">Article 22.2: Scope</w:t>
        </w:r>
        <w:r>
          <w:rPr>
            <w:noProof/>
            <w:webHidden/>
          </w:rPr>
          <w:tab/>
        </w:r>
        <w:r>
          <w:rPr>
            <w:noProof/>
            <w:webHidden/>
          </w:rPr>
          <w:fldChar w:fldCharType="begin"/>
        </w:r>
        <w:r>
          <w:rPr>
            <w:noProof/>
            <w:webHidden/>
          </w:rPr>
          <w:instrText xml:space="preserve"> PAGEREF _Toc300000687 \h </w:instrText>
        </w:r>
        <w:r>
          <w:rPr>
            <w:noProof/>
            <w:webHidden/>
          </w:rPr>
          <w:fldChar w:fldCharType="separate"/>
        </w:r>
        <w:r>
          <w:rPr>
            <w:noProof/>
            <w:webHidden/>
          </w:rPr>
          <w:t>1136</w:t>
        </w:r>
        <w:r>
          <w:rPr>
            <w:noProof/>
            <w:webHidden/>
          </w:rPr>
          <w:fldChar w:fldCharType="end"/>
        </w:r>
      </w:hyperlink>
    </w:p>
    <w:p>
      <w:pPr>
        <w:pStyle w:val="TOC2"/>
      </w:pPr>
      <w:hyperlink w:anchor="_Toc300000688" w:history="1">
        <w:r>
          <w:rPr>
            <w:noProof/>
          </w:rPr>
          <w:t xml:space="preserve">Article 22.3: Delegated Authority</w:t>
        </w:r>
        <w:r>
          <w:rPr>
            <w:noProof/>
            <w:webHidden/>
          </w:rPr>
          <w:tab/>
        </w:r>
        <w:r>
          <w:rPr>
            <w:noProof/>
            <w:webHidden/>
          </w:rPr>
          <w:fldChar w:fldCharType="begin"/>
        </w:r>
        <w:r>
          <w:rPr>
            <w:noProof/>
            <w:webHidden/>
          </w:rPr>
          <w:instrText xml:space="preserve"> PAGEREF _Toc300000688 \h </w:instrText>
        </w:r>
        <w:r>
          <w:rPr>
            <w:noProof/>
            <w:webHidden/>
          </w:rPr>
          <w:fldChar w:fldCharType="separate"/>
        </w:r>
        <w:r>
          <w:rPr>
            <w:noProof/>
            <w:webHidden/>
          </w:rPr>
          <w:t>1137</w:t>
        </w:r>
        <w:r>
          <w:rPr>
            <w:noProof/>
            <w:webHidden/>
          </w:rPr>
          <w:fldChar w:fldCharType="end"/>
        </w:r>
      </w:hyperlink>
    </w:p>
    <w:p>
      <w:pPr>
        <w:pStyle w:val="TOC2"/>
      </w:pPr>
      <w:hyperlink w:anchor="_Toc300000689" w:history="1">
        <w:r>
          <w:rPr>
            <w:noProof/>
          </w:rPr>
          <w:t xml:space="preserve">Article 22.4: Non-Discriminatory Treatment and Commercial Considerations</w:t>
        </w:r>
        <w:r>
          <w:rPr>
            <w:noProof/>
            <w:webHidden/>
          </w:rPr>
          <w:tab/>
        </w:r>
        <w:r>
          <w:rPr>
            <w:noProof/>
            <w:webHidden/>
          </w:rPr>
          <w:fldChar w:fldCharType="begin"/>
        </w:r>
        <w:r>
          <w:rPr>
            <w:noProof/>
            <w:webHidden/>
          </w:rPr>
          <w:instrText xml:space="preserve"> PAGEREF _Toc300000689 \h </w:instrText>
        </w:r>
        <w:r>
          <w:rPr>
            <w:noProof/>
            <w:webHidden/>
          </w:rPr>
          <w:fldChar w:fldCharType="separate"/>
        </w:r>
        <w:r>
          <w:rPr>
            <w:noProof/>
            <w:webHidden/>
          </w:rPr>
          <w:t>1137</w:t>
        </w:r>
        <w:r>
          <w:rPr>
            <w:noProof/>
            <w:webHidden/>
          </w:rPr>
          <w:fldChar w:fldCharType="end"/>
        </w:r>
      </w:hyperlink>
    </w:p>
    <w:p>
      <w:pPr>
        <w:pStyle w:val="TOC2"/>
      </w:pPr>
      <w:hyperlink w:anchor="_Toc300000690" w:history="1">
        <w:r>
          <w:rPr>
            <w:noProof/>
          </w:rPr>
          <w:t xml:space="preserve">Article 22.5: Courts and Administrative Bodies</w:t>
        </w:r>
        <w:r>
          <w:rPr>
            <w:noProof/>
            <w:webHidden/>
          </w:rPr>
          <w:tab/>
        </w:r>
        <w:r>
          <w:rPr>
            <w:noProof/>
            <w:webHidden/>
          </w:rPr>
          <w:fldChar w:fldCharType="begin"/>
        </w:r>
        <w:r>
          <w:rPr>
            <w:noProof/>
            <w:webHidden/>
          </w:rPr>
          <w:instrText xml:space="preserve"> PAGEREF _Toc300000690 \h </w:instrText>
        </w:r>
        <w:r>
          <w:rPr>
            <w:noProof/>
            <w:webHidden/>
          </w:rPr>
          <w:fldChar w:fldCharType="separate"/>
        </w:r>
        <w:r>
          <w:rPr>
            <w:noProof/>
            <w:webHidden/>
          </w:rPr>
          <w:t>1138</w:t>
        </w:r>
        <w:r>
          <w:rPr>
            <w:noProof/>
            <w:webHidden/>
          </w:rPr>
          <w:fldChar w:fldCharType="end"/>
        </w:r>
      </w:hyperlink>
    </w:p>
    <w:p>
      <w:pPr>
        <w:pStyle w:val="TOC2"/>
      </w:pPr>
      <w:hyperlink w:anchor="_Toc300000691" w:history="1">
        <w:r>
          <w:rPr>
            <w:noProof/>
          </w:rPr>
          <w:t xml:space="preserve">Article 22.6: Non-Commercial Assistance</w:t>
        </w:r>
        <w:r>
          <w:rPr>
            <w:noProof/>
            <w:webHidden/>
          </w:rPr>
          <w:tab/>
        </w:r>
        <w:r>
          <w:rPr>
            <w:noProof/>
            <w:webHidden/>
          </w:rPr>
          <w:fldChar w:fldCharType="begin"/>
        </w:r>
        <w:r>
          <w:rPr>
            <w:noProof/>
            <w:webHidden/>
          </w:rPr>
          <w:instrText xml:space="preserve"> PAGEREF _Toc300000691 \h </w:instrText>
        </w:r>
        <w:r>
          <w:rPr>
            <w:noProof/>
            <w:webHidden/>
          </w:rPr>
          <w:fldChar w:fldCharType="separate"/>
        </w:r>
        <w:r>
          <w:rPr>
            <w:noProof/>
            <w:webHidden/>
          </w:rPr>
          <w:t>1138</w:t>
        </w:r>
        <w:r>
          <w:rPr>
            <w:noProof/>
            <w:webHidden/>
          </w:rPr>
          <w:fldChar w:fldCharType="end"/>
        </w:r>
      </w:hyperlink>
    </w:p>
    <w:p>
      <w:pPr>
        <w:pStyle w:val="TOC2"/>
      </w:pPr>
      <w:hyperlink w:anchor="_Toc300000692" w:history="1">
        <w:r>
          <w:rPr>
            <w:noProof/>
          </w:rPr>
          <w:t xml:space="preserve">Article 22.7: Adverse Effects</w:t>
        </w:r>
        <w:r>
          <w:rPr>
            <w:noProof/>
            <w:webHidden/>
          </w:rPr>
          <w:tab/>
        </w:r>
        <w:r>
          <w:rPr>
            <w:noProof/>
            <w:webHidden/>
          </w:rPr>
          <w:fldChar w:fldCharType="begin"/>
        </w:r>
        <w:r>
          <w:rPr>
            <w:noProof/>
            <w:webHidden/>
          </w:rPr>
          <w:instrText xml:space="preserve"> PAGEREF _Toc300000692 \h </w:instrText>
        </w:r>
        <w:r>
          <w:rPr>
            <w:noProof/>
            <w:webHidden/>
          </w:rPr>
          <w:fldChar w:fldCharType="separate"/>
        </w:r>
        <w:r>
          <w:rPr>
            <w:noProof/>
            <w:webHidden/>
          </w:rPr>
          <w:t>1140</w:t>
        </w:r>
        <w:r>
          <w:rPr>
            <w:noProof/>
            <w:webHidden/>
          </w:rPr>
          <w:fldChar w:fldCharType="end"/>
        </w:r>
      </w:hyperlink>
    </w:p>
    <w:p>
      <w:pPr>
        <w:pStyle w:val="TOC2"/>
      </w:pPr>
      <w:hyperlink w:anchor="_Toc300000693" w:history="1">
        <w:r>
          <w:rPr>
            <w:noProof/>
          </w:rPr>
          <w:t xml:space="preserve">Article 22.8: Injury</w:t>
        </w:r>
        <w:r>
          <w:rPr>
            <w:noProof/>
            <w:webHidden/>
          </w:rPr>
          <w:tab/>
        </w:r>
        <w:r>
          <w:rPr>
            <w:noProof/>
            <w:webHidden/>
          </w:rPr>
          <w:fldChar w:fldCharType="begin"/>
        </w:r>
        <w:r>
          <w:rPr>
            <w:noProof/>
            <w:webHidden/>
          </w:rPr>
          <w:instrText xml:space="preserve"> PAGEREF _Toc300000693 \h </w:instrText>
        </w:r>
        <w:r>
          <w:rPr>
            <w:noProof/>
            <w:webHidden/>
          </w:rPr>
          <w:fldChar w:fldCharType="separate"/>
        </w:r>
        <w:r>
          <w:rPr>
            <w:noProof/>
            <w:webHidden/>
          </w:rPr>
          <w:t>1142</w:t>
        </w:r>
        <w:r>
          <w:rPr>
            <w:noProof/>
            <w:webHidden/>
          </w:rPr>
          <w:fldChar w:fldCharType="end"/>
        </w:r>
      </w:hyperlink>
    </w:p>
    <w:p>
      <w:pPr>
        <w:pStyle w:val="TOC2"/>
      </w:pPr>
      <w:hyperlink w:anchor="_Toc300000694" w:history="1">
        <w:r>
          <w:rPr>
            <w:noProof/>
          </w:rPr>
          <w:t xml:space="preserve">Article 22.9: Party-Specific Annexes</w:t>
        </w:r>
        <w:r>
          <w:rPr>
            <w:noProof/>
            <w:webHidden/>
          </w:rPr>
          <w:tab/>
        </w:r>
        <w:r>
          <w:rPr>
            <w:noProof/>
            <w:webHidden/>
          </w:rPr>
          <w:fldChar w:fldCharType="begin"/>
        </w:r>
        <w:r>
          <w:rPr>
            <w:noProof/>
            <w:webHidden/>
          </w:rPr>
          <w:instrText xml:space="preserve"> PAGEREF _Toc300000694 \h </w:instrText>
        </w:r>
        <w:r>
          <w:rPr>
            <w:noProof/>
            <w:webHidden/>
          </w:rPr>
          <w:fldChar w:fldCharType="separate"/>
        </w:r>
        <w:r>
          <w:rPr>
            <w:noProof/>
            <w:webHidden/>
          </w:rPr>
          <w:t>1143</w:t>
        </w:r>
        <w:r>
          <w:rPr>
            <w:noProof/>
            <w:webHidden/>
          </w:rPr>
          <w:fldChar w:fldCharType="end"/>
        </w:r>
      </w:hyperlink>
    </w:p>
    <w:p>
      <w:pPr>
        <w:pStyle w:val="TOC2"/>
      </w:pPr>
      <w:hyperlink w:anchor="_Toc300000695" w:history="1">
        <w:r>
          <w:rPr>
            <w:noProof/>
          </w:rPr>
          <w:t xml:space="preserve">Article 22.10: Transparency</w:t>
        </w:r>
        <w:r>
          <w:rPr>
            <w:noProof/>
            <w:webHidden/>
          </w:rPr>
          <w:tab/>
        </w:r>
        <w:r>
          <w:rPr>
            <w:noProof/>
            <w:webHidden/>
          </w:rPr>
          <w:fldChar w:fldCharType="begin"/>
        </w:r>
        <w:r>
          <w:rPr>
            <w:noProof/>
            <w:webHidden/>
          </w:rPr>
          <w:instrText xml:space="preserve"> PAGEREF _Toc300000695 \h </w:instrText>
        </w:r>
        <w:r>
          <w:rPr>
            <w:noProof/>
            <w:webHidden/>
          </w:rPr>
          <w:fldChar w:fldCharType="separate"/>
        </w:r>
        <w:r>
          <w:rPr>
            <w:noProof/>
            <w:webHidden/>
          </w:rPr>
          <w:t>1144</w:t>
        </w:r>
        <w:r>
          <w:rPr>
            <w:noProof/>
            <w:webHidden/>
          </w:rPr>
          <w:fldChar w:fldCharType="end"/>
        </w:r>
      </w:hyperlink>
    </w:p>
    <w:p>
      <w:pPr>
        <w:pStyle w:val="TOC2"/>
      </w:pPr>
      <w:hyperlink w:anchor="_Toc300000696" w:history="1">
        <w:r>
          <w:rPr>
            <w:noProof/>
          </w:rPr>
          <w:t xml:space="preserve">Article 22.11: Technical Cooperation</w:t>
        </w:r>
        <w:r>
          <w:rPr>
            <w:noProof/>
            <w:webHidden/>
          </w:rPr>
          <w:tab/>
        </w:r>
        <w:r>
          <w:rPr>
            <w:noProof/>
            <w:webHidden/>
          </w:rPr>
          <w:fldChar w:fldCharType="begin"/>
        </w:r>
        <w:r>
          <w:rPr>
            <w:noProof/>
            <w:webHidden/>
          </w:rPr>
          <w:instrText xml:space="preserve"> PAGEREF _Toc300000696 \h </w:instrText>
        </w:r>
        <w:r>
          <w:rPr>
            <w:noProof/>
            <w:webHidden/>
          </w:rPr>
          <w:fldChar w:fldCharType="separate"/>
        </w:r>
        <w:r>
          <w:rPr>
            <w:noProof/>
            <w:webHidden/>
          </w:rPr>
          <w:t>1145</w:t>
        </w:r>
        <w:r>
          <w:rPr>
            <w:noProof/>
            <w:webHidden/>
          </w:rPr>
          <w:fldChar w:fldCharType="end"/>
        </w:r>
      </w:hyperlink>
    </w:p>
    <w:p>
      <w:pPr>
        <w:pStyle w:val="TOC2"/>
      </w:pPr>
      <w:hyperlink w:anchor="_Toc300000697" w:history="1">
        <w:r>
          <w:rPr>
            <w:noProof/>
          </w:rPr>
          <w:t xml:space="preserve">Article 22.12: Committee on State-Owned Enterprises and Designated Monopolies</w:t>
        </w:r>
        <w:r>
          <w:rPr>
            <w:noProof/>
            <w:webHidden/>
          </w:rPr>
          <w:tab/>
        </w:r>
        <w:r>
          <w:rPr>
            <w:noProof/>
            <w:webHidden/>
          </w:rPr>
          <w:fldChar w:fldCharType="begin"/>
        </w:r>
        <w:r>
          <w:rPr>
            <w:noProof/>
            <w:webHidden/>
          </w:rPr>
          <w:instrText xml:space="preserve"> PAGEREF _Toc300000697 \h </w:instrText>
        </w:r>
        <w:r>
          <w:rPr>
            <w:noProof/>
            <w:webHidden/>
          </w:rPr>
          <w:fldChar w:fldCharType="separate"/>
        </w:r>
        <w:r>
          <w:rPr>
            <w:noProof/>
            <w:webHidden/>
          </w:rPr>
          <w:t>1146</w:t>
        </w:r>
        <w:r>
          <w:rPr>
            <w:noProof/>
            <w:webHidden/>
          </w:rPr>
          <w:fldChar w:fldCharType="end"/>
        </w:r>
      </w:hyperlink>
    </w:p>
    <w:p>
      <w:pPr>
        <w:pStyle w:val="TOC2"/>
      </w:pPr>
      <w:hyperlink w:anchor="_Toc300000698" w:history="1">
        <w:r>
          <w:rPr>
            <w:noProof/>
          </w:rPr>
          <w:t xml:space="preserve">Article 22.13: Exceptions</w:t>
        </w:r>
        <w:r>
          <w:rPr>
            <w:noProof/>
            <w:webHidden/>
          </w:rPr>
          <w:tab/>
        </w:r>
        <w:r>
          <w:rPr>
            <w:noProof/>
            <w:webHidden/>
          </w:rPr>
          <w:fldChar w:fldCharType="begin"/>
        </w:r>
        <w:r>
          <w:rPr>
            <w:noProof/>
            <w:webHidden/>
          </w:rPr>
          <w:instrText xml:space="preserve"> PAGEREF _Toc300000698 \h </w:instrText>
        </w:r>
        <w:r>
          <w:rPr>
            <w:noProof/>
            <w:webHidden/>
          </w:rPr>
          <w:fldChar w:fldCharType="separate"/>
        </w:r>
        <w:r>
          <w:rPr>
            <w:noProof/>
            <w:webHidden/>
          </w:rPr>
          <w:t>1146</w:t>
        </w:r>
        <w:r>
          <w:rPr>
            <w:noProof/>
            <w:webHidden/>
          </w:rPr>
          <w:fldChar w:fldCharType="end"/>
        </w:r>
      </w:hyperlink>
    </w:p>
    <w:p>
      <w:pPr>
        <w:pStyle w:val="TOC2"/>
      </w:pPr>
      <w:hyperlink w:anchor="_Toc300000699" w:history="1">
        <w:r>
          <w:rPr>
            <w:noProof/>
          </w:rPr>
          <w:t xml:space="preserve">Article 22.14: Further Negotiations</w:t>
        </w:r>
        <w:r>
          <w:rPr>
            <w:noProof/>
            <w:webHidden/>
          </w:rPr>
          <w:tab/>
        </w:r>
        <w:r>
          <w:rPr>
            <w:noProof/>
            <w:webHidden/>
          </w:rPr>
          <w:fldChar w:fldCharType="begin"/>
        </w:r>
        <w:r>
          <w:rPr>
            <w:noProof/>
            <w:webHidden/>
          </w:rPr>
          <w:instrText xml:space="preserve"> PAGEREF _Toc300000699 \h </w:instrText>
        </w:r>
        <w:r>
          <w:rPr>
            <w:noProof/>
            <w:webHidden/>
          </w:rPr>
          <w:fldChar w:fldCharType="separate"/>
        </w:r>
        <w:r>
          <w:rPr>
            <w:noProof/>
            <w:webHidden/>
          </w:rPr>
          <w:t>1147</w:t>
        </w:r>
        <w:r>
          <w:rPr>
            <w:noProof/>
            <w:webHidden/>
          </w:rPr>
          <w:fldChar w:fldCharType="end"/>
        </w:r>
      </w:hyperlink>
    </w:p>
    <w:p>
      <w:pPr>
        <w:pStyle w:val="TOC2"/>
      </w:pPr>
      <w:hyperlink w:anchor="_Toc300000700" w:history="1">
        <w:r>
          <w:rPr>
            <w:noProof/>
          </w:rPr>
          <w:t xml:space="preserve">Article 22.15: Process for Developing Information</w:t>
        </w:r>
        <w:r>
          <w:rPr>
            <w:noProof/>
            <w:webHidden/>
          </w:rPr>
          <w:tab/>
        </w:r>
        <w:r>
          <w:rPr>
            <w:noProof/>
            <w:webHidden/>
          </w:rPr>
          <w:fldChar w:fldCharType="begin"/>
        </w:r>
        <w:r>
          <w:rPr>
            <w:noProof/>
            <w:webHidden/>
          </w:rPr>
          <w:instrText xml:space="preserve"> PAGEREF _Toc300000700 \h </w:instrText>
        </w:r>
        <w:r>
          <w:rPr>
            <w:noProof/>
            <w:webHidden/>
          </w:rPr>
          <w:fldChar w:fldCharType="separate"/>
        </w:r>
        <w:r>
          <w:rPr>
            <w:noProof/>
            <w:webHidden/>
          </w:rPr>
          <w:t>1148</w:t>
        </w:r>
        <w:r>
          <w:rPr>
            <w:noProof/>
            <w:webHidden/>
          </w:rPr>
          <w:fldChar w:fldCharType="end"/>
        </w:r>
      </w:hyperlink>
    </w:p>
    <w:p>
      <w:pPr>
        <w:pStyle w:val="TOC2"/>
      </w:pPr>
      <w:hyperlink w:anchor="_Toc300000701" w:history="1">
        <w:r>
          <w:rPr>
            <w:noProof/>
          </w:rPr>
          <w:t xml:space="preserve">ANNEX 22A THRESHOLD CALCULATION</w:t>
        </w:r>
        <w:r>
          <w:rPr>
            <w:noProof/>
            <w:webHidden/>
          </w:rPr>
          <w:tab/>
        </w:r>
        <w:r>
          <w:rPr>
            <w:noProof/>
            <w:webHidden/>
          </w:rPr>
          <w:fldChar w:fldCharType="begin"/>
        </w:r>
        <w:r>
          <w:rPr>
            <w:noProof/>
            <w:webHidden/>
          </w:rPr>
          <w:instrText xml:space="preserve"> PAGEREF _Toc300000701 \h </w:instrText>
        </w:r>
        <w:r>
          <w:rPr>
            <w:noProof/>
            <w:webHidden/>
          </w:rPr>
          <w:fldChar w:fldCharType="separate"/>
        </w:r>
        <w:r>
          <w:rPr>
            <w:noProof/>
            <w:webHidden/>
          </w:rPr>
          <w:t>1148</w:t>
        </w:r>
        <w:r>
          <w:rPr>
            <w:noProof/>
            <w:webHidden/>
          </w:rPr>
          <w:fldChar w:fldCharType="end"/>
        </w:r>
      </w:hyperlink>
    </w:p>
    <w:p>
      <w:pPr>
        <w:pStyle w:val="TOC2"/>
      </w:pPr>
      <w:hyperlink w:anchor="_Toc300000702" w:history="1">
        <w:r>
          <w:rPr>
            <w:noProof/>
          </w:rPr>
          <w:t xml:space="preserve">ANNEX 22B PROCESS FOR DEVELOPING INFORMATION CONCERNING STATE OWNED ENTERPRISES AND DESIGNATED MONOPOLIES</w:t>
        </w:r>
        <w:r>
          <w:rPr>
            <w:noProof/>
            <w:webHidden/>
          </w:rPr>
          <w:tab/>
        </w:r>
        <w:r>
          <w:rPr>
            <w:noProof/>
            <w:webHidden/>
          </w:rPr>
          <w:fldChar w:fldCharType="begin"/>
        </w:r>
        <w:r>
          <w:rPr>
            <w:noProof/>
            <w:webHidden/>
          </w:rPr>
          <w:instrText xml:space="preserve"> PAGEREF _Toc300000702 \h </w:instrText>
        </w:r>
        <w:r>
          <w:rPr>
            <w:noProof/>
            <w:webHidden/>
          </w:rPr>
          <w:fldChar w:fldCharType="separate"/>
        </w:r>
        <w:r>
          <w:rPr>
            <w:noProof/>
            <w:webHidden/>
          </w:rPr>
          <w:t>1148</w:t>
        </w:r>
        <w:r>
          <w:rPr>
            <w:noProof/>
            <w:webHidden/>
          </w:rPr>
          <w:fldChar w:fldCharType="end"/>
        </w:r>
      </w:hyperlink>
    </w:p>
    <w:p>
      <w:pPr>
        <w:pStyle w:val="TOC2"/>
      </w:pPr>
      <w:hyperlink w:anchor="_Toc300000703" w:history="1">
        <w:r>
          <w:rPr>
            <w:noProof/>
          </w:rPr>
          <w:t xml:space="preserve">ANNEX 22C FURTHER NEGOTIATIONS</w:t>
        </w:r>
        <w:r>
          <w:rPr>
            <w:noProof/>
            <w:webHidden/>
          </w:rPr>
          <w:tab/>
        </w:r>
        <w:r>
          <w:rPr>
            <w:noProof/>
            <w:webHidden/>
          </w:rPr>
          <w:fldChar w:fldCharType="begin"/>
        </w:r>
        <w:r>
          <w:rPr>
            <w:noProof/>
            <w:webHidden/>
          </w:rPr>
          <w:instrText xml:space="preserve"> PAGEREF _Toc300000703 \h </w:instrText>
        </w:r>
        <w:r>
          <w:rPr>
            <w:noProof/>
            <w:webHidden/>
          </w:rPr>
          <w:fldChar w:fldCharType="separate"/>
        </w:r>
        <w:r>
          <w:rPr>
            <w:noProof/>
            <w:webHidden/>
          </w:rPr>
          <w:t>1150</w:t>
        </w:r>
        <w:r>
          <w:rPr>
            <w:noProof/>
            <w:webHidden/>
          </w:rPr>
          <w:fldChar w:fldCharType="end"/>
        </w:r>
      </w:hyperlink>
    </w:p>
    <w:p>
      <w:pPr>
        <w:pStyle w:val="TOC2"/>
      </w:pPr>
      <w:hyperlink w:anchor="_Toc300000704" w:history="1">
        <w:r>
          <w:rPr>
            <w:noProof/>
          </w:rPr>
          <w:t xml:space="preserve">ANNEX 22D APPLICATION TO SUBCENTRAL STATE-OWNED ENTERPRISES AND DESIGNATED MONOPOLIES</w:t>
        </w:r>
        <w:r>
          <w:rPr>
            <w:noProof/>
            <w:webHidden/>
          </w:rPr>
          <w:tab/>
        </w:r>
        <w:r>
          <w:rPr>
            <w:noProof/>
            <w:webHidden/>
          </w:rPr>
          <w:fldChar w:fldCharType="begin"/>
        </w:r>
        <w:r>
          <w:rPr>
            <w:noProof/>
            <w:webHidden/>
          </w:rPr>
          <w:instrText xml:space="preserve"> PAGEREF _Toc300000704 \h </w:instrText>
        </w:r>
        <w:r>
          <w:rPr>
            <w:noProof/>
            <w:webHidden/>
          </w:rPr>
          <w:fldChar w:fldCharType="separate"/>
        </w:r>
        <w:r>
          <w:rPr>
            <w:noProof/>
            <w:webHidden/>
          </w:rPr>
          <w:t>1150</w:t>
        </w:r>
        <w:r>
          <w:rPr>
            <w:noProof/>
            <w:webHidden/>
          </w:rPr>
          <w:fldChar w:fldCharType="end"/>
        </w:r>
      </w:hyperlink>
    </w:p>
    <w:p>
      <w:pPr>
        <w:pStyle w:val="TOC2"/>
      </w:pPr>
      <w:hyperlink w:anchor="_Toc300000705" w:history="1">
        <w:r>
          <w:rPr>
            <w:noProof/>
          </w:rPr>
          <w:t xml:space="preserve">ANNEX 22E SPECIAL PURPOSE VEHICLES OF STATE PRODUCTIVE ENTERPRISES</w:t>
        </w:r>
        <w:r>
          <w:rPr>
            <w:noProof/>
            <w:webHidden/>
          </w:rPr>
          <w:tab/>
        </w:r>
        <w:r>
          <w:rPr>
            <w:noProof/>
            <w:webHidden/>
          </w:rPr>
          <w:fldChar w:fldCharType="begin"/>
        </w:r>
        <w:r>
          <w:rPr>
            <w:noProof/>
            <w:webHidden/>
          </w:rPr>
          <w:instrText xml:space="preserve"> PAGEREF _Toc300000705 \h </w:instrText>
        </w:r>
        <w:r>
          <w:rPr>
            <w:noProof/>
            <w:webHidden/>
          </w:rPr>
          <w:fldChar w:fldCharType="separate"/>
        </w:r>
        <w:r>
          <w:rPr>
            <w:noProof/>
            <w:webHidden/>
          </w:rPr>
          <w:t>1151</w:t>
        </w:r>
        <w:r>
          <w:rPr>
            <w:noProof/>
            <w:webHidden/>
          </w:rPr>
          <w:fldChar w:fldCharType="end"/>
        </w:r>
      </w:hyperlink>
    </w:p>
    <w:p>
      <w:pPr>
        <w:pStyle w:val="TOC2"/>
      </w:pPr>
      <w:hyperlink w:anchor="_Toc300000706" w:history="1">
        <w:r>
          <w:rPr>
            <w:noProof/>
          </w:rPr>
          <w:t xml:space="preserve">ANNEX 22F NON-COMMERCIAL ASSISTANCE TO CERTAIN STATE PRODUCTIVE ENTERPRISES</w:t>
        </w:r>
        <w:r>
          <w:rPr>
            <w:noProof/>
            <w:webHidden/>
          </w:rPr>
          <w:tab/>
        </w:r>
        <w:r>
          <w:rPr>
            <w:noProof/>
            <w:webHidden/>
          </w:rPr>
          <w:fldChar w:fldCharType="begin"/>
        </w:r>
        <w:r>
          <w:rPr>
            <w:noProof/>
            <w:webHidden/>
          </w:rPr>
          <w:instrText xml:space="preserve"> PAGEREF _Toc300000706 \h </w:instrText>
        </w:r>
        <w:r>
          <w:rPr>
            <w:noProof/>
            <w:webHidden/>
          </w:rPr>
          <w:fldChar w:fldCharType="separate"/>
        </w:r>
        <w:r>
          <w:rPr>
            <w:noProof/>
            <w:webHidden/>
          </w:rPr>
          <w:t>1152</w:t>
        </w:r>
        <w:r>
          <w:rPr>
            <w:noProof/>
            <w:webHidden/>
          </w:rPr>
          <w:fldChar w:fldCharType="end"/>
        </w:r>
      </w:hyperlink>
    </w:p>
    <w:p>
      <w:pPr>
        <w:pStyle w:val="TOC1"/>
      </w:pPr>
      <w:hyperlink w:anchor="_Toc300000707" w:history="1">
        <w:r>
          <w:rPr>
            <w:noProof/>
          </w:rPr>
          <w:t xml:space="preserve">CHAPTER 23 LABOR</w:t>
        </w:r>
        <w:r>
          <w:rPr>
            <w:noProof/>
            <w:webHidden/>
          </w:rPr>
          <w:tab/>
        </w:r>
        <w:r>
          <w:rPr>
            <w:noProof/>
            <w:webHidden/>
          </w:rPr>
          <w:fldChar w:fldCharType="begin"/>
        </w:r>
        <w:r>
          <w:rPr>
            <w:noProof/>
            <w:webHidden/>
          </w:rPr>
          <w:instrText xml:space="preserve"> PAGEREF _Toc300000707 \h </w:instrText>
        </w:r>
        <w:r>
          <w:rPr>
            <w:noProof/>
            <w:webHidden/>
          </w:rPr>
          <w:fldChar w:fldCharType="separate"/>
        </w:r>
        <w:r>
          <w:rPr>
            <w:noProof/>
            <w:webHidden/>
          </w:rPr>
          <w:t>1153</w:t>
        </w:r>
        <w:r>
          <w:rPr>
            <w:noProof/>
            <w:webHidden/>
          </w:rPr>
          <w:fldChar w:fldCharType="end"/>
        </w:r>
      </w:hyperlink>
    </w:p>
    <w:p>
      <w:pPr>
        <w:pStyle w:val="TOC2"/>
      </w:pPr>
      <w:hyperlink w:anchor="_Toc300000708" w:history="1">
        <w:r>
          <w:rPr>
            <w:noProof/>
          </w:rPr>
          <w:t xml:space="preserve">Article 23.1: Definitions</w:t>
        </w:r>
        <w:r>
          <w:rPr>
            <w:noProof/>
            <w:webHidden/>
          </w:rPr>
          <w:tab/>
        </w:r>
        <w:r>
          <w:rPr>
            <w:noProof/>
            <w:webHidden/>
          </w:rPr>
          <w:fldChar w:fldCharType="begin"/>
        </w:r>
        <w:r>
          <w:rPr>
            <w:noProof/>
            <w:webHidden/>
          </w:rPr>
          <w:instrText xml:space="preserve"> PAGEREF _Toc300000708 \h </w:instrText>
        </w:r>
        <w:r>
          <w:rPr>
            <w:noProof/>
            <w:webHidden/>
          </w:rPr>
          <w:fldChar w:fldCharType="separate"/>
        </w:r>
        <w:r>
          <w:rPr>
            <w:noProof/>
            <w:webHidden/>
          </w:rPr>
          <w:t>1153</w:t>
        </w:r>
        <w:r>
          <w:rPr>
            <w:noProof/>
            <w:webHidden/>
          </w:rPr>
          <w:fldChar w:fldCharType="end"/>
        </w:r>
      </w:hyperlink>
    </w:p>
    <w:p>
      <w:pPr>
        <w:pStyle w:val="TOC2"/>
      </w:pPr>
      <w:hyperlink w:anchor="_Toc300000709" w:history="1">
        <w:r>
          <w:rPr>
            <w:noProof/>
          </w:rPr>
          <w:t xml:space="preserve">Article 23.2: Statement of Shared Commitments</w:t>
        </w:r>
        <w:r>
          <w:rPr>
            <w:noProof/>
            <w:webHidden/>
          </w:rPr>
          <w:tab/>
        </w:r>
        <w:r>
          <w:rPr>
            <w:noProof/>
            <w:webHidden/>
          </w:rPr>
          <w:fldChar w:fldCharType="begin"/>
        </w:r>
        <w:r>
          <w:rPr>
            <w:noProof/>
            <w:webHidden/>
          </w:rPr>
          <w:instrText xml:space="preserve"> PAGEREF _Toc300000709 \h </w:instrText>
        </w:r>
        <w:r>
          <w:rPr>
            <w:noProof/>
            <w:webHidden/>
          </w:rPr>
          <w:fldChar w:fldCharType="separate"/>
        </w:r>
        <w:r>
          <w:rPr>
            <w:noProof/>
            <w:webHidden/>
          </w:rPr>
          <w:t>1153</w:t>
        </w:r>
        <w:r>
          <w:rPr>
            <w:noProof/>
            <w:webHidden/>
          </w:rPr>
          <w:fldChar w:fldCharType="end"/>
        </w:r>
      </w:hyperlink>
    </w:p>
    <w:p>
      <w:pPr>
        <w:pStyle w:val="TOC2"/>
      </w:pPr>
      <w:hyperlink w:anchor="_Toc300000710" w:history="1">
        <w:r>
          <w:rPr>
            <w:noProof/>
          </w:rPr>
          <w:t xml:space="preserve">Article 23.3: Labor Rights</w:t>
        </w:r>
        <w:r>
          <w:rPr>
            <w:noProof/>
            <w:webHidden/>
          </w:rPr>
          <w:tab/>
        </w:r>
        <w:r>
          <w:rPr>
            <w:noProof/>
            <w:webHidden/>
          </w:rPr>
          <w:fldChar w:fldCharType="begin"/>
        </w:r>
        <w:r>
          <w:rPr>
            <w:noProof/>
            <w:webHidden/>
          </w:rPr>
          <w:instrText xml:space="preserve"> PAGEREF _Toc300000710 \h </w:instrText>
        </w:r>
        <w:r>
          <w:rPr>
            <w:noProof/>
            <w:webHidden/>
          </w:rPr>
          <w:fldChar w:fldCharType="separate"/>
        </w:r>
        <w:r>
          <w:rPr>
            <w:noProof/>
            <w:webHidden/>
          </w:rPr>
          <w:t>1153</w:t>
        </w:r>
        <w:r>
          <w:rPr>
            <w:noProof/>
            <w:webHidden/>
          </w:rPr>
          <w:fldChar w:fldCharType="end"/>
        </w:r>
      </w:hyperlink>
    </w:p>
    <w:p>
      <w:pPr>
        <w:pStyle w:val="TOC2"/>
      </w:pPr>
      <w:hyperlink w:anchor="_Toc300000711" w:history="1">
        <w:r>
          <w:rPr>
            <w:noProof/>
          </w:rPr>
          <w:t xml:space="preserve">Article 23.4: Non-Derogation</w:t>
        </w:r>
        <w:r>
          <w:rPr>
            <w:noProof/>
            <w:webHidden/>
          </w:rPr>
          <w:tab/>
        </w:r>
        <w:r>
          <w:rPr>
            <w:noProof/>
            <w:webHidden/>
          </w:rPr>
          <w:fldChar w:fldCharType="begin"/>
        </w:r>
        <w:r>
          <w:rPr>
            <w:noProof/>
            <w:webHidden/>
          </w:rPr>
          <w:instrText xml:space="preserve"> PAGEREF _Toc300000711 \h </w:instrText>
        </w:r>
        <w:r>
          <w:rPr>
            <w:noProof/>
            <w:webHidden/>
          </w:rPr>
          <w:fldChar w:fldCharType="separate"/>
        </w:r>
        <w:r>
          <w:rPr>
            <w:noProof/>
            <w:webHidden/>
          </w:rPr>
          <w:t>1154</w:t>
        </w:r>
        <w:r>
          <w:rPr>
            <w:noProof/>
            <w:webHidden/>
          </w:rPr>
          <w:fldChar w:fldCharType="end"/>
        </w:r>
      </w:hyperlink>
    </w:p>
    <w:p>
      <w:pPr>
        <w:pStyle w:val="TOC2"/>
      </w:pPr>
      <w:hyperlink w:anchor="_Toc300000712" w:history="1">
        <w:r>
          <w:rPr>
            <w:noProof/>
          </w:rPr>
          <w:t xml:space="preserve">Article 23.5: Enforcement of Labor Laws</w:t>
        </w:r>
        <w:r>
          <w:rPr>
            <w:noProof/>
            <w:webHidden/>
          </w:rPr>
          <w:tab/>
        </w:r>
        <w:r>
          <w:rPr>
            <w:noProof/>
            <w:webHidden/>
          </w:rPr>
          <w:fldChar w:fldCharType="begin"/>
        </w:r>
        <w:r>
          <w:rPr>
            <w:noProof/>
            <w:webHidden/>
          </w:rPr>
          <w:instrText xml:space="preserve"> PAGEREF _Toc300000712 \h </w:instrText>
        </w:r>
        <w:r>
          <w:rPr>
            <w:noProof/>
            <w:webHidden/>
          </w:rPr>
          <w:fldChar w:fldCharType="separate"/>
        </w:r>
        <w:r>
          <w:rPr>
            <w:noProof/>
            <w:webHidden/>
          </w:rPr>
          <w:t>1154</w:t>
        </w:r>
        <w:r>
          <w:rPr>
            <w:noProof/>
            <w:webHidden/>
          </w:rPr>
          <w:fldChar w:fldCharType="end"/>
        </w:r>
      </w:hyperlink>
    </w:p>
    <w:p>
      <w:pPr>
        <w:pStyle w:val="TOC2"/>
      </w:pPr>
      <w:hyperlink w:anchor="_Toc300000713" w:history="1">
        <w:r>
          <w:rPr>
            <w:noProof/>
          </w:rPr>
          <w:t xml:space="preserve">Article 23.6: Forced or Compulsory Labor</w:t>
        </w:r>
        <w:r>
          <w:rPr>
            <w:noProof/>
            <w:webHidden/>
          </w:rPr>
          <w:tab/>
        </w:r>
        <w:r>
          <w:rPr>
            <w:noProof/>
            <w:webHidden/>
          </w:rPr>
          <w:fldChar w:fldCharType="begin"/>
        </w:r>
        <w:r>
          <w:rPr>
            <w:noProof/>
            <w:webHidden/>
          </w:rPr>
          <w:instrText xml:space="preserve"> PAGEREF _Toc300000713 \h </w:instrText>
        </w:r>
        <w:r>
          <w:rPr>
            <w:noProof/>
            <w:webHidden/>
          </w:rPr>
          <w:fldChar w:fldCharType="separate"/>
        </w:r>
        <w:r>
          <w:rPr>
            <w:noProof/>
            <w:webHidden/>
          </w:rPr>
          <w:t>1155</w:t>
        </w:r>
        <w:r>
          <w:rPr>
            <w:noProof/>
            <w:webHidden/>
          </w:rPr>
          <w:fldChar w:fldCharType="end"/>
        </w:r>
      </w:hyperlink>
    </w:p>
    <w:p>
      <w:pPr>
        <w:pStyle w:val="TOC2"/>
      </w:pPr>
      <w:hyperlink w:anchor="_Toc300000714" w:history="1">
        <w:r>
          <w:rPr>
            <w:noProof/>
          </w:rPr>
          <w:t xml:space="preserve">Article 23.7: Violence Against Workers</w:t>
        </w:r>
        <w:r>
          <w:rPr>
            <w:noProof/>
            <w:webHidden/>
          </w:rPr>
          <w:tab/>
        </w:r>
        <w:r>
          <w:rPr>
            <w:noProof/>
            <w:webHidden/>
          </w:rPr>
          <w:fldChar w:fldCharType="begin"/>
        </w:r>
        <w:r>
          <w:rPr>
            <w:noProof/>
            <w:webHidden/>
          </w:rPr>
          <w:instrText xml:space="preserve"> PAGEREF _Toc300000714 \h </w:instrText>
        </w:r>
        <w:r>
          <w:rPr>
            <w:noProof/>
            <w:webHidden/>
          </w:rPr>
          <w:fldChar w:fldCharType="separate"/>
        </w:r>
        <w:r>
          <w:rPr>
            <w:noProof/>
            <w:webHidden/>
          </w:rPr>
          <w:t>1155</w:t>
        </w:r>
        <w:r>
          <w:rPr>
            <w:noProof/>
            <w:webHidden/>
          </w:rPr>
          <w:fldChar w:fldCharType="end"/>
        </w:r>
      </w:hyperlink>
    </w:p>
    <w:p>
      <w:pPr>
        <w:pStyle w:val="TOC2"/>
      </w:pPr>
      <w:hyperlink w:anchor="_Toc300000715" w:history="1">
        <w:r>
          <w:rPr>
            <w:noProof/>
          </w:rPr>
          <w:t xml:space="preserve">Article 23.8: Migrant Workers</w:t>
        </w:r>
        <w:r>
          <w:rPr>
            <w:noProof/>
            <w:webHidden/>
          </w:rPr>
          <w:tab/>
        </w:r>
        <w:r>
          <w:rPr>
            <w:noProof/>
            <w:webHidden/>
          </w:rPr>
          <w:fldChar w:fldCharType="begin"/>
        </w:r>
        <w:r>
          <w:rPr>
            <w:noProof/>
            <w:webHidden/>
          </w:rPr>
          <w:instrText xml:space="preserve"> PAGEREF _Toc300000715 \h </w:instrText>
        </w:r>
        <w:r>
          <w:rPr>
            <w:noProof/>
            <w:webHidden/>
          </w:rPr>
          <w:fldChar w:fldCharType="separate"/>
        </w:r>
        <w:r>
          <w:rPr>
            <w:noProof/>
            <w:webHidden/>
          </w:rPr>
          <w:t>1156</w:t>
        </w:r>
        <w:r>
          <w:rPr>
            <w:noProof/>
            <w:webHidden/>
          </w:rPr>
          <w:fldChar w:fldCharType="end"/>
        </w:r>
      </w:hyperlink>
    </w:p>
    <w:p>
      <w:pPr>
        <w:pStyle w:val="TOC2"/>
      </w:pPr>
      <w:hyperlink w:anchor="_Toc300000716" w:history="1">
        <w:r>
          <w:rPr>
            <w:noProof/>
          </w:rPr>
          <w:t xml:space="preserve">Article 23.9: Discrimination in the Workplace</w:t>
        </w:r>
        <w:r>
          <w:rPr>
            <w:noProof/>
            <w:webHidden/>
          </w:rPr>
          <w:tab/>
        </w:r>
        <w:r>
          <w:rPr>
            <w:noProof/>
            <w:webHidden/>
          </w:rPr>
          <w:fldChar w:fldCharType="begin"/>
        </w:r>
        <w:r>
          <w:rPr>
            <w:noProof/>
            <w:webHidden/>
          </w:rPr>
          <w:instrText xml:space="preserve"> PAGEREF _Toc300000716 \h </w:instrText>
        </w:r>
        <w:r>
          <w:rPr>
            <w:noProof/>
            <w:webHidden/>
          </w:rPr>
          <w:fldChar w:fldCharType="separate"/>
        </w:r>
        <w:r>
          <w:rPr>
            <w:noProof/>
            <w:webHidden/>
          </w:rPr>
          <w:t>1156</w:t>
        </w:r>
        <w:r>
          <w:rPr>
            <w:noProof/>
            <w:webHidden/>
          </w:rPr>
          <w:fldChar w:fldCharType="end"/>
        </w:r>
      </w:hyperlink>
    </w:p>
    <w:p>
      <w:pPr>
        <w:pStyle w:val="TOC2"/>
      </w:pPr>
      <w:hyperlink w:anchor="_Toc300000717" w:history="1">
        <w:r>
          <w:rPr>
            <w:noProof/>
          </w:rPr>
          <w:t xml:space="preserve">Article 23.10: Public Awareness and Procedural Guarantees</w:t>
        </w:r>
        <w:r>
          <w:rPr>
            <w:noProof/>
            <w:webHidden/>
          </w:rPr>
          <w:tab/>
        </w:r>
        <w:r>
          <w:rPr>
            <w:noProof/>
            <w:webHidden/>
          </w:rPr>
          <w:fldChar w:fldCharType="begin"/>
        </w:r>
        <w:r>
          <w:rPr>
            <w:noProof/>
            <w:webHidden/>
          </w:rPr>
          <w:instrText xml:space="preserve"> PAGEREF _Toc300000717 \h </w:instrText>
        </w:r>
        <w:r>
          <w:rPr>
            <w:noProof/>
            <w:webHidden/>
          </w:rPr>
          <w:fldChar w:fldCharType="separate"/>
        </w:r>
        <w:r>
          <w:rPr>
            <w:noProof/>
            <w:webHidden/>
          </w:rPr>
          <w:t>1156</w:t>
        </w:r>
        <w:r>
          <w:rPr>
            <w:noProof/>
            <w:webHidden/>
          </w:rPr>
          <w:fldChar w:fldCharType="end"/>
        </w:r>
      </w:hyperlink>
    </w:p>
    <w:p>
      <w:pPr>
        <w:pStyle w:val="TOC2"/>
      </w:pPr>
      <w:hyperlink w:anchor="_Toc300000718" w:history="1">
        <w:r>
          <w:rPr>
            <w:noProof/>
          </w:rPr>
          <w:t xml:space="preserve">Article 23.11: Public Submissions</w:t>
        </w:r>
        <w:r>
          <w:rPr>
            <w:noProof/>
            <w:webHidden/>
          </w:rPr>
          <w:tab/>
        </w:r>
        <w:r>
          <w:rPr>
            <w:noProof/>
            <w:webHidden/>
          </w:rPr>
          <w:fldChar w:fldCharType="begin"/>
        </w:r>
        <w:r>
          <w:rPr>
            <w:noProof/>
            <w:webHidden/>
          </w:rPr>
          <w:instrText xml:space="preserve"> PAGEREF _Toc300000718 \h </w:instrText>
        </w:r>
        <w:r>
          <w:rPr>
            <w:noProof/>
            <w:webHidden/>
          </w:rPr>
          <w:fldChar w:fldCharType="separate"/>
        </w:r>
        <w:r>
          <w:rPr>
            <w:noProof/>
            <w:webHidden/>
          </w:rPr>
          <w:t>1157</w:t>
        </w:r>
        <w:r>
          <w:rPr>
            <w:noProof/>
            <w:webHidden/>
          </w:rPr>
          <w:fldChar w:fldCharType="end"/>
        </w:r>
      </w:hyperlink>
    </w:p>
    <w:p>
      <w:pPr>
        <w:pStyle w:val="TOC2"/>
      </w:pPr>
      <w:hyperlink w:anchor="_Toc300000719" w:history="1">
        <w:r>
          <w:rPr>
            <w:noProof/>
          </w:rPr>
          <w:t xml:space="preserve">Article 23.12: Cooperation</w:t>
        </w:r>
        <w:r>
          <w:rPr>
            <w:noProof/>
            <w:webHidden/>
          </w:rPr>
          <w:tab/>
        </w:r>
        <w:r>
          <w:rPr>
            <w:noProof/>
            <w:webHidden/>
          </w:rPr>
          <w:fldChar w:fldCharType="begin"/>
        </w:r>
        <w:r>
          <w:rPr>
            <w:noProof/>
            <w:webHidden/>
          </w:rPr>
          <w:instrText xml:space="preserve"> PAGEREF _Toc300000719 \h </w:instrText>
        </w:r>
        <w:r>
          <w:rPr>
            <w:noProof/>
            <w:webHidden/>
          </w:rPr>
          <w:fldChar w:fldCharType="separate"/>
        </w:r>
        <w:r>
          <w:rPr>
            <w:noProof/>
            <w:webHidden/>
          </w:rPr>
          <w:t>1158</w:t>
        </w:r>
        <w:r>
          <w:rPr>
            <w:noProof/>
            <w:webHidden/>
          </w:rPr>
          <w:fldChar w:fldCharType="end"/>
        </w:r>
      </w:hyperlink>
    </w:p>
    <w:p>
      <w:pPr>
        <w:pStyle w:val="TOC2"/>
      </w:pPr>
      <w:hyperlink w:anchor="_Toc300000720" w:history="1">
        <w:r>
          <w:rPr>
            <w:noProof/>
          </w:rPr>
          <w:t xml:space="preserve">Article 23.13: Cooperative Labor Dialogue</w:t>
        </w:r>
        <w:r>
          <w:rPr>
            <w:noProof/>
            <w:webHidden/>
          </w:rPr>
          <w:tab/>
        </w:r>
        <w:r>
          <w:rPr>
            <w:noProof/>
            <w:webHidden/>
          </w:rPr>
          <w:fldChar w:fldCharType="begin"/>
        </w:r>
        <w:r>
          <w:rPr>
            <w:noProof/>
            <w:webHidden/>
          </w:rPr>
          <w:instrText xml:space="preserve"> PAGEREF _Toc300000720 \h </w:instrText>
        </w:r>
        <w:r>
          <w:rPr>
            <w:noProof/>
            <w:webHidden/>
          </w:rPr>
          <w:fldChar w:fldCharType="separate"/>
        </w:r>
        <w:r>
          <w:rPr>
            <w:noProof/>
            <w:webHidden/>
          </w:rPr>
          <w:t>1159</w:t>
        </w:r>
        <w:r>
          <w:rPr>
            <w:noProof/>
            <w:webHidden/>
          </w:rPr>
          <w:fldChar w:fldCharType="end"/>
        </w:r>
      </w:hyperlink>
    </w:p>
    <w:p>
      <w:pPr>
        <w:pStyle w:val="TOC2"/>
      </w:pPr>
      <w:hyperlink w:anchor="_Toc300000721" w:history="1">
        <w:r>
          <w:rPr>
            <w:noProof/>
          </w:rPr>
          <w:t xml:space="preserve">Article 23.14: Labor Council</w:t>
        </w:r>
        <w:r>
          <w:rPr>
            <w:noProof/>
            <w:webHidden/>
          </w:rPr>
          <w:tab/>
        </w:r>
        <w:r>
          <w:rPr>
            <w:noProof/>
            <w:webHidden/>
          </w:rPr>
          <w:fldChar w:fldCharType="begin"/>
        </w:r>
        <w:r>
          <w:rPr>
            <w:noProof/>
            <w:webHidden/>
          </w:rPr>
          <w:instrText xml:space="preserve"> PAGEREF _Toc300000721 \h </w:instrText>
        </w:r>
        <w:r>
          <w:rPr>
            <w:noProof/>
            <w:webHidden/>
          </w:rPr>
          <w:fldChar w:fldCharType="separate"/>
        </w:r>
        <w:r>
          <w:rPr>
            <w:noProof/>
            <w:webHidden/>
          </w:rPr>
          <w:t>1160</w:t>
        </w:r>
        <w:r>
          <w:rPr>
            <w:noProof/>
            <w:webHidden/>
          </w:rPr>
          <w:fldChar w:fldCharType="end"/>
        </w:r>
      </w:hyperlink>
    </w:p>
    <w:p>
      <w:pPr>
        <w:pStyle w:val="TOC2"/>
      </w:pPr>
      <w:hyperlink w:anchor="_Toc300000722" w:history="1">
        <w:r>
          <w:rPr>
            <w:noProof/>
          </w:rPr>
          <w:t xml:space="preserve">Article 23.15: Contact Points</w:t>
        </w:r>
        <w:r>
          <w:rPr>
            <w:noProof/>
            <w:webHidden/>
          </w:rPr>
          <w:tab/>
        </w:r>
        <w:r>
          <w:rPr>
            <w:noProof/>
            <w:webHidden/>
          </w:rPr>
          <w:fldChar w:fldCharType="begin"/>
        </w:r>
        <w:r>
          <w:rPr>
            <w:noProof/>
            <w:webHidden/>
          </w:rPr>
          <w:instrText xml:space="preserve"> PAGEREF _Toc300000722 \h </w:instrText>
        </w:r>
        <w:r>
          <w:rPr>
            <w:noProof/>
            <w:webHidden/>
          </w:rPr>
          <w:fldChar w:fldCharType="separate"/>
        </w:r>
        <w:r>
          <w:rPr>
            <w:noProof/>
            <w:webHidden/>
          </w:rPr>
          <w:t>1160</w:t>
        </w:r>
        <w:r>
          <w:rPr>
            <w:noProof/>
            <w:webHidden/>
          </w:rPr>
          <w:fldChar w:fldCharType="end"/>
        </w:r>
      </w:hyperlink>
    </w:p>
    <w:p>
      <w:pPr>
        <w:pStyle w:val="TOC2"/>
      </w:pPr>
      <w:hyperlink w:anchor="_Toc300000723" w:history="1">
        <w:r>
          <w:rPr>
            <w:noProof/>
          </w:rPr>
          <w:t xml:space="preserve">Article 23.16: Public Engagement</w:t>
        </w:r>
        <w:r>
          <w:rPr>
            <w:noProof/>
            <w:webHidden/>
          </w:rPr>
          <w:tab/>
        </w:r>
        <w:r>
          <w:rPr>
            <w:noProof/>
            <w:webHidden/>
          </w:rPr>
          <w:fldChar w:fldCharType="begin"/>
        </w:r>
        <w:r>
          <w:rPr>
            <w:noProof/>
            <w:webHidden/>
          </w:rPr>
          <w:instrText xml:space="preserve"> PAGEREF _Toc300000723 \h </w:instrText>
        </w:r>
        <w:r>
          <w:rPr>
            <w:noProof/>
            <w:webHidden/>
          </w:rPr>
          <w:fldChar w:fldCharType="separate"/>
        </w:r>
        <w:r>
          <w:rPr>
            <w:noProof/>
            <w:webHidden/>
          </w:rPr>
          <w:t>1161</w:t>
        </w:r>
        <w:r>
          <w:rPr>
            <w:noProof/>
            <w:webHidden/>
          </w:rPr>
          <w:fldChar w:fldCharType="end"/>
        </w:r>
      </w:hyperlink>
    </w:p>
    <w:p>
      <w:pPr>
        <w:pStyle w:val="TOC2"/>
      </w:pPr>
      <w:hyperlink w:anchor="_Toc300000724" w:history="1">
        <w:r>
          <w:rPr>
            <w:noProof/>
          </w:rPr>
          <w:t xml:space="preserve">Article 23.17: Labor Consultations</w:t>
        </w:r>
        <w:r>
          <w:rPr>
            <w:noProof/>
            <w:webHidden/>
          </w:rPr>
          <w:tab/>
        </w:r>
        <w:r>
          <w:rPr>
            <w:noProof/>
            <w:webHidden/>
          </w:rPr>
          <w:fldChar w:fldCharType="begin"/>
        </w:r>
        <w:r>
          <w:rPr>
            <w:noProof/>
            <w:webHidden/>
          </w:rPr>
          <w:instrText xml:space="preserve"> PAGEREF _Toc300000724 \h </w:instrText>
        </w:r>
        <w:r>
          <w:rPr>
            <w:noProof/>
            <w:webHidden/>
          </w:rPr>
          <w:fldChar w:fldCharType="separate"/>
        </w:r>
        <w:r>
          <w:rPr>
            <w:noProof/>
            <w:webHidden/>
          </w:rPr>
          <w:t>1161</w:t>
        </w:r>
        <w:r>
          <w:rPr>
            <w:noProof/>
            <w:webHidden/>
          </w:rPr>
          <w:fldChar w:fldCharType="end"/>
        </w:r>
      </w:hyperlink>
    </w:p>
    <w:p>
      <w:pPr>
        <w:pStyle w:val="TOC1"/>
      </w:pPr>
      <w:hyperlink w:anchor="_Toc300000725" w:history="1">
        <w:r>
          <w:rPr>
            <w:noProof/>
          </w:rPr>
          <w:t xml:space="preserve">ANNEX 23-A: WORKER REPRESENTATION, COLLECTIVE BARGAINING AND LABOUR-REFORM DURABILITY IN MEXICO</w:t>
        </w:r>
        <w:r>
          <w:rPr>
            <w:noProof/>
            <w:webHidden/>
          </w:rPr>
          <w:tab/>
        </w:r>
        <w:r>
          <w:rPr>
            <w:noProof/>
            <w:webHidden/>
          </w:rPr>
          <w:fldChar w:fldCharType="begin"/>
        </w:r>
        <w:r>
          <w:rPr>
            <w:noProof/>
            <w:webHidden/>
          </w:rPr>
          <w:instrText xml:space="preserve"> PAGEREF _Toc300000725 \h </w:instrText>
        </w:r>
        <w:r>
          <w:rPr>
            <w:noProof/>
            <w:webHidden/>
          </w:rPr>
          <w:fldChar w:fldCharType="separate"/>
        </w:r>
        <w:r>
          <w:rPr>
            <w:noProof/>
            <w:webHidden/>
          </w:rPr>
          <w:t>1163</w:t>
        </w:r>
        <w:r>
          <w:rPr>
            <w:noProof/>
            <w:webHidden/>
          </w:rPr>
          <w:fldChar w:fldCharType="end"/>
        </w:r>
      </w:hyperlink>
    </w:p>
    <w:p>
      <w:pPr>
        <w:pStyle w:val="TOC2"/>
      </w:pPr>
      <w:hyperlink w:anchor="_Toc300000726" w:history="1">
        <w:r>
          <w:rPr>
            <w:noProof/>
          </w:rPr>
          <w:t xml:space="preserve">23-A.1 Purpose and Durable Floor</w:t>
        </w:r>
        <w:r>
          <w:rPr>
            <w:noProof/>
            <w:webHidden/>
          </w:rPr>
          <w:tab/>
        </w:r>
        <w:r>
          <w:rPr>
            <w:noProof/>
            <w:webHidden/>
          </w:rPr>
          <w:fldChar w:fldCharType="begin"/>
        </w:r>
        <w:r>
          <w:rPr>
            <w:noProof/>
            <w:webHidden/>
          </w:rPr>
          <w:instrText xml:space="preserve"> PAGEREF _Toc300000726 \h </w:instrText>
        </w:r>
        <w:r>
          <w:rPr>
            <w:noProof/>
            <w:webHidden/>
          </w:rPr>
          <w:fldChar w:fldCharType="separate"/>
        </w:r>
        <w:r>
          <w:rPr>
            <w:noProof/>
            <w:webHidden/>
          </w:rPr>
          <w:t>1163</w:t>
        </w:r>
        <w:r>
          <w:rPr>
            <w:noProof/>
            <w:webHidden/>
          </w:rPr>
          <w:fldChar w:fldCharType="end"/>
        </w:r>
      </w:hyperlink>
    </w:p>
    <w:p>
      <w:pPr>
        <w:pStyle w:val="TOC2"/>
      </w:pPr>
      <w:hyperlink w:anchor="_Toc300000727" w:history="1">
        <w:r>
          <w:rPr>
            <w:noProof/>
          </w:rPr>
          <w:t xml:space="preserve">23-A.2 Freedom of Worker Organization</w:t>
        </w:r>
        <w:r>
          <w:rPr>
            <w:noProof/>
            <w:webHidden/>
          </w:rPr>
          <w:tab/>
        </w:r>
        <w:r>
          <w:rPr>
            <w:noProof/>
            <w:webHidden/>
          </w:rPr>
          <w:fldChar w:fldCharType="begin"/>
        </w:r>
        <w:r>
          <w:rPr>
            <w:noProof/>
            <w:webHidden/>
          </w:rPr>
          <w:instrText xml:space="preserve"> PAGEREF _Toc300000727 \h </w:instrText>
        </w:r>
        <w:r>
          <w:rPr>
            <w:noProof/>
            <w:webHidden/>
          </w:rPr>
          <w:fldChar w:fldCharType="separate"/>
        </w:r>
        <w:r>
          <w:rPr>
            <w:noProof/>
            <w:webHidden/>
          </w:rPr>
          <w:t>1163</w:t>
        </w:r>
        <w:r>
          <w:rPr>
            <w:noProof/>
            <w:webHidden/>
          </w:rPr>
          <w:fldChar w:fldCharType="end"/>
        </w:r>
      </w:hyperlink>
    </w:p>
    <w:p>
      <w:pPr>
        <w:pStyle w:val="TOC2"/>
      </w:pPr>
      <w:hyperlink w:anchor="_Toc300000728" w:history="1">
        <w:r>
          <w:rPr>
            <w:noProof/>
          </w:rPr>
          <w:t xml:space="preserve">23-A.3 Independent and Impartial Labour Institutions</w:t>
        </w:r>
        <w:r>
          <w:rPr>
            <w:noProof/>
            <w:webHidden/>
          </w:rPr>
          <w:tab/>
        </w:r>
        <w:r>
          <w:rPr>
            <w:noProof/>
            <w:webHidden/>
          </w:rPr>
          <w:fldChar w:fldCharType="begin"/>
        </w:r>
        <w:r>
          <w:rPr>
            <w:noProof/>
            <w:webHidden/>
          </w:rPr>
          <w:instrText xml:space="preserve"> PAGEREF _Toc300000728 \h </w:instrText>
        </w:r>
        <w:r>
          <w:rPr>
            <w:noProof/>
            <w:webHidden/>
          </w:rPr>
          <w:fldChar w:fldCharType="separate"/>
        </w:r>
        <w:r>
          <w:rPr>
            <w:noProof/>
            <w:webHidden/>
          </w:rPr>
          <w:t>1163</w:t>
        </w:r>
        <w:r>
          <w:rPr>
            <w:noProof/>
            <w:webHidden/>
          </w:rPr>
          <w:fldChar w:fldCharType="end"/>
        </w:r>
      </w:hyperlink>
    </w:p>
    <w:p>
      <w:pPr>
        <w:pStyle w:val="TOC2"/>
      </w:pPr>
      <w:hyperlink w:anchor="_Toc300000729" w:history="1">
        <w:r>
          <w:rPr>
            <w:noProof/>
          </w:rPr>
          <w:t xml:space="preserve">23-A.4 Personal, Free and Secret Worker Choice</w:t>
        </w:r>
        <w:r>
          <w:rPr>
            <w:noProof/>
            <w:webHidden/>
          </w:rPr>
          <w:tab/>
        </w:r>
        <w:r>
          <w:rPr>
            <w:noProof/>
            <w:webHidden/>
          </w:rPr>
          <w:fldChar w:fldCharType="begin"/>
        </w:r>
        <w:r>
          <w:rPr>
            <w:noProof/>
            <w:webHidden/>
          </w:rPr>
          <w:instrText xml:space="preserve"> PAGEREF _Toc300000729 \h </w:instrText>
        </w:r>
        <w:r>
          <w:rPr>
            <w:noProof/>
            <w:webHidden/>
          </w:rPr>
          <w:fldChar w:fldCharType="separate"/>
        </w:r>
        <w:r>
          <w:rPr>
            <w:noProof/>
            <w:webHidden/>
          </w:rPr>
          <w:t>1163</w:t>
        </w:r>
        <w:r>
          <w:rPr>
            <w:noProof/>
            <w:webHidden/>
          </w:rPr>
          <w:fldChar w:fldCharType="end"/>
        </w:r>
      </w:hyperlink>
    </w:p>
    <w:p>
      <w:pPr>
        <w:pStyle w:val="TOC2"/>
      </w:pPr>
      <w:hyperlink w:anchor="_Toc300000730" w:history="1">
        <w:r>
          <w:rPr>
            <w:noProof/>
          </w:rPr>
          <w:t xml:space="preserve">23-A.5 Authentic Support for Collective Bargaining Agreements</w:t>
        </w:r>
        <w:r>
          <w:rPr>
            <w:noProof/>
            <w:webHidden/>
          </w:rPr>
          <w:tab/>
        </w:r>
        <w:r>
          <w:rPr>
            <w:noProof/>
            <w:webHidden/>
          </w:rPr>
          <w:fldChar w:fldCharType="begin"/>
        </w:r>
        <w:r>
          <w:rPr>
            <w:noProof/>
            <w:webHidden/>
          </w:rPr>
          <w:instrText xml:space="preserve"> PAGEREF _Toc300000730 \h </w:instrText>
        </w:r>
        <w:r>
          <w:rPr>
            <w:noProof/>
            <w:webHidden/>
          </w:rPr>
          <w:fldChar w:fldCharType="separate"/>
        </w:r>
        <w:r>
          <w:rPr>
            <w:noProof/>
            <w:webHidden/>
          </w:rPr>
          <w:t>1163</w:t>
        </w:r>
        <w:r>
          <w:rPr>
            <w:noProof/>
            <w:webHidden/>
          </w:rPr>
          <w:fldChar w:fldCharType="end"/>
        </w:r>
      </w:hyperlink>
    </w:p>
    <w:p>
      <w:pPr>
        <w:pStyle w:val="TOC2"/>
      </w:pPr>
      <w:hyperlink w:anchor="_Toc300000731" w:history="1">
        <w:r>
          <w:rPr>
            <w:noProof/>
          </w:rPr>
          <w:t xml:space="preserve">23-A.6 Protection Against Fictitious or Employer-Dominated Agreements</w:t>
        </w:r>
        <w:r>
          <w:rPr>
            <w:noProof/>
            <w:webHidden/>
          </w:rPr>
          <w:tab/>
        </w:r>
        <w:r>
          <w:rPr>
            <w:noProof/>
            <w:webHidden/>
          </w:rPr>
          <w:fldChar w:fldCharType="begin"/>
        </w:r>
        <w:r>
          <w:rPr>
            <w:noProof/>
            <w:webHidden/>
          </w:rPr>
          <w:instrText xml:space="preserve"> PAGEREF _Toc300000731 \h </w:instrText>
        </w:r>
        <w:r>
          <w:rPr>
            <w:noProof/>
            <w:webHidden/>
          </w:rPr>
          <w:fldChar w:fldCharType="separate"/>
        </w:r>
        <w:r>
          <w:rPr>
            <w:noProof/>
            <w:webHidden/>
          </w:rPr>
          <w:t>1164</w:t>
        </w:r>
        <w:r>
          <w:rPr>
            <w:noProof/>
            <w:webHidden/>
          </w:rPr>
          <w:fldChar w:fldCharType="end"/>
        </w:r>
      </w:hyperlink>
    </w:p>
    <w:p>
      <w:pPr>
        <w:pStyle w:val="TOC2"/>
      </w:pPr>
      <w:hyperlink w:anchor="_Toc300000732" w:history="1">
        <w:r>
          <w:rPr>
            <w:noProof/>
          </w:rPr>
          <w:t xml:space="preserve">23-A.7 Information Before Consent</w:t>
        </w:r>
        <w:r>
          <w:rPr>
            <w:noProof/>
            <w:webHidden/>
          </w:rPr>
          <w:tab/>
        </w:r>
        <w:r>
          <w:rPr>
            <w:noProof/>
            <w:webHidden/>
          </w:rPr>
          <w:fldChar w:fldCharType="begin"/>
        </w:r>
        <w:r>
          <w:rPr>
            <w:noProof/>
            <w:webHidden/>
          </w:rPr>
          <w:instrText xml:space="preserve"> PAGEREF _Toc300000732 \h </w:instrText>
        </w:r>
        <w:r>
          <w:rPr>
            <w:noProof/>
            <w:webHidden/>
          </w:rPr>
          <w:fldChar w:fldCharType="separate"/>
        </w:r>
        <w:r>
          <w:rPr>
            <w:noProof/>
            <w:webHidden/>
          </w:rPr>
          <w:t>1164</w:t>
        </w:r>
        <w:r>
          <w:rPr>
            <w:noProof/>
            <w:webHidden/>
          </w:rPr>
          <w:fldChar w:fldCharType="end"/>
        </w:r>
      </w:hyperlink>
    </w:p>
    <w:p>
      <w:pPr>
        <w:pStyle w:val="TOC2"/>
      </w:pPr>
      <w:hyperlink w:anchor="_Toc300000733" w:history="1">
        <w:r>
          <w:rPr>
            <w:noProof/>
          </w:rPr>
          <w:t xml:space="preserve">23-A.8 Representation Challenges and Procedural Integrity</w:t>
        </w:r>
        <w:r>
          <w:rPr>
            <w:noProof/>
            <w:webHidden/>
          </w:rPr>
          <w:tab/>
        </w:r>
        <w:r>
          <w:rPr>
            <w:noProof/>
            <w:webHidden/>
          </w:rPr>
          <w:fldChar w:fldCharType="begin"/>
        </w:r>
        <w:r>
          <w:rPr>
            <w:noProof/>
            <w:webHidden/>
          </w:rPr>
          <w:instrText xml:space="preserve"> PAGEREF _Toc300000733 \h </w:instrText>
        </w:r>
        <w:r>
          <w:rPr>
            <w:noProof/>
            <w:webHidden/>
          </w:rPr>
          <w:fldChar w:fldCharType="separate"/>
        </w:r>
        <w:r>
          <w:rPr>
            <w:noProof/>
            <w:webHidden/>
          </w:rPr>
          <w:t>1164</w:t>
        </w:r>
        <w:r>
          <w:rPr>
            <w:noProof/>
            <w:webHidden/>
          </w:rPr>
          <w:fldChar w:fldCharType="end"/>
        </w:r>
      </w:hyperlink>
    </w:p>
    <w:p>
      <w:pPr>
        <w:pStyle w:val="TOC2"/>
      </w:pPr>
      <w:hyperlink w:anchor="_Toc300000734" w:history="1">
        <w:r>
          <w:rPr>
            <w:noProof/>
          </w:rPr>
          <w:t xml:space="preserve">23-A.9 Verification of Democratic Legitimacy</w:t>
        </w:r>
        <w:r>
          <w:rPr>
            <w:noProof/>
            <w:webHidden/>
          </w:rPr>
          <w:tab/>
        </w:r>
        <w:r>
          <w:rPr>
            <w:noProof/>
            <w:webHidden/>
          </w:rPr>
          <w:fldChar w:fldCharType="begin"/>
        </w:r>
        <w:r>
          <w:rPr>
            <w:noProof/>
            <w:webHidden/>
          </w:rPr>
          <w:instrText xml:space="preserve"> PAGEREF _Toc300000734 \h </w:instrText>
        </w:r>
        <w:r>
          <w:rPr>
            <w:noProof/>
            <w:webHidden/>
          </w:rPr>
          <w:fldChar w:fldCharType="separate"/>
        </w:r>
        <w:r>
          <w:rPr>
            <w:noProof/>
            <w:webHidden/>
          </w:rPr>
          <w:t>1164</w:t>
        </w:r>
        <w:r>
          <w:rPr>
            <w:noProof/>
            <w:webHidden/>
          </w:rPr>
          <w:fldChar w:fldCharType="end"/>
        </w:r>
      </w:hyperlink>
    </w:p>
    <w:p>
      <w:pPr>
        <w:pStyle w:val="TOC2"/>
      </w:pPr>
      <w:hyperlink w:anchor="_Toc300000735" w:history="1">
        <w:r>
          <w:rPr>
            <w:noProof/>
          </w:rPr>
          <w:t xml:space="preserve">23-A.10 Anti-Retaliation Protection</w:t>
        </w:r>
        <w:r>
          <w:rPr>
            <w:noProof/>
            <w:webHidden/>
          </w:rPr>
          <w:tab/>
        </w:r>
        <w:r>
          <w:rPr>
            <w:noProof/>
            <w:webHidden/>
          </w:rPr>
          <w:fldChar w:fldCharType="begin"/>
        </w:r>
        <w:r>
          <w:rPr>
            <w:noProof/>
            <w:webHidden/>
          </w:rPr>
          <w:instrText xml:space="preserve"> PAGEREF _Toc300000735 \h </w:instrText>
        </w:r>
        <w:r>
          <w:rPr>
            <w:noProof/>
            <w:webHidden/>
          </w:rPr>
          <w:fldChar w:fldCharType="separate"/>
        </w:r>
        <w:r>
          <w:rPr>
            <w:noProof/>
            <w:webHidden/>
          </w:rPr>
          <w:t>1164</w:t>
        </w:r>
        <w:r>
          <w:rPr>
            <w:noProof/>
            <w:webHidden/>
          </w:rPr>
          <w:fldChar w:fldCharType="end"/>
        </w:r>
      </w:hyperlink>
    </w:p>
    <w:p>
      <w:pPr>
        <w:pStyle w:val="TOC2"/>
      </w:pPr>
      <w:hyperlink w:anchor="_Toc300000736" w:history="1">
        <w:r>
          <w:rPr>
            <w:noProof/>
          </w:rPr>
          <w:t xml:space="preserve">23-A.11 Effective Worker Remedies</w:t>
        </w:r>
        <w:r>
          <w:rPr>
            <w:noProof/>
            <w:webHidden/>
          </w:rPr>
          <w:tab/>
        </w:r>
        <w:r>
          <w:rPr>
            <w:noProof/>
            <w:webHidden/>
          </w:rPr>
          <w:fldChar w:fldCharType="begin"/>
        </w:r>
        <w:r>
          <w:rPr>
            <w:noProof/>
            <w:webHidden/>
          </w:rPr>
          <w:instrText xml:space="preserve"> PAGEREF _Toc300000736 \h </w:instrText>
        </w:r>
        <w:r>
          <w:rPr>
            <w:noProof/>
            <w:webHidden/>
          </w:rPr>
          <w:fldChar w:fldCharType="separate"/>
        </w:r>
        <w:r>
          <w:rPr>
            <w:noProof/>
            <w:webHidden/>
          </w:rPr>
          <w:t>1165</w:t>
        </w:r>
        <w:r>
          <w:rPr>
            <w:noProof/>
            <w:webHidden/>
          </w:rPr>
          <w:fldChar w:fldCharType="end"/>
        </w:r>
      </w:hyperlink>
    </w:p>
    <w:p>
      <w:pPr>
        <w:pStyle w:val="TOC2"/>
      </w:pPr>
      <w:hyperlink w:anchor="_Toc300000737" w:history="1">
        <w:r>
          <w:rPr>
            <w:noProof/>
          </w:rPr>
          <w:t xml:space="preserve">23-A.12 Transparency and Privacy</w:t>
        </w:r>
        <w:r>
          <w:rPr>
            <w:noProof/>
            <w:webHidden/>
          </w:rPr>
          <w:tab/>
        </w:r>
        <w:r>
          <w:rPr>
            <w:noProof/>
            <w:webHidden/>
          </w:rPr>
          <w:fldChar w:fldCharType="begin"/>
        </w:r>
        <w:r>
          <w:rPr>
            <w:noProof/>
            <w:webHidden/>
          </w:rPr>
          <w:instrText xml:space="preserve"> PAGEREF _Toc300000737 \h </w:instrText>
        </w:r>
        <w:r>
          <w:rPr>
            <w:noProof/>
            <w:webHidden/>
          </w:rPr>
          <w:fldChar w:fldCharType="separate"/>
        </w:r>
        <w:r>
          <w:rPr>
            <w:noProof/>
            <w:webHidden/>
          </w:rPr>
          <w:t>1165</w:t>
        </w:r>
        <w:r>
          <w:rPr>
            <w:noProof/>
            <w:webHidden/>
          </w:rPr>
          <w:fldChar w:fldCharType="end"/>
        </w:r>
      </w:hyperlink>
    </w:p>
    <w:p>
      <w:pPr>
        <w:pStyle w:val="TOC2"/>
      </w:pPr>
      <w:hyperlink w:anchor="_Toc300000738" w:history="1">
        <w:r>
          <w:rPr>
            <w:noProof/>
          </w:rPr>
          <w:t xml:space="preserve">23-A.13 Non-Regression</w:t>
        </w:r>
        <w:r>
          <w:rPr>
            <w:noProof/>
            <w:webHidden/>
          </w:rPr>
          <w:tab/>
        </w:r>
        <w:r>
          <w:rPr>
            <w:noProof/>
            <w:webHidden/>
          </w:rPr>
          <w:fldChar w:fldCharType="begin"/>
        </w:r>
        <w:r>
          <w:rPr>
            <w:noProof/>
            <w:webHidden/>
          </w:rPr>
          <w:instrText xml:space="preserve"> PAGEREF _Toc300000738 \h </w:instrText>
        </w:r>
        <w:r>
          <w:rPr>
            <w:noProof/>
            <w:webHidden/>
          </w:rPr>
          <w:fldChar w:fldCharType="separate"/>
        </w:r>
        <w:r>
          <w:rPr>
            <w:noProof/>
            <w:webHidden/>
          </w:rPr>
          <w:t>1165</w:t>
        </w:r>
        <w:r>
          <w:rPr>
            <w:noProof/>
            <w:webHidden/>
          </w:rPr>
          <w:fldChar w:fldCharType="end"/>
        </w:r>
      </w:hyperlink>
    </w:p>
    <w:p>
      <w:pPr>
        <w:pStyle w:val="TOC2"/>
      </w:pPr>
      <w:hyperlink w:anchor="_Toc300000739" w:history="1">
        <w:r>
          <w:rPr>
            <w:noProof/>
          </w:rPr>
          <w:t xml:space="preserve">23-A.14 No Institutional Fossilization</w:t>
        </w:r>
        <w:r>
          <w:rPr>
            <w:noProof/>
            <w:webHidden/>
          </w:rPr>
          <w:tab/>
        </w:r>
        <w:r>
          <w:rPr>
            <w:noProof/>
            <w:webHidden/>
          </w:rPr>
          <w:fldChar w:fldCharType="begin"/>
        </w:r>
        <w:r>
          <w:rPr>
            <w:noProof/>
            <w:webHidden/>
          </w:rPr>
          <w:instrText xml:space="preserve"> PAGEREF _Toc300000739 \h </w:instrText>
        </w:r>
        <w:r>
          <w:rPr>
            <w:noProof/>
            <w:webHidden/>
          </w:rPr>
          <w:fldChar w:fldCharType="separate"/>
        </w:r>
        <w:r>
          <w:rPr>
            <w:noProof/>
            <w:webHidden/>
          </w:rPr>
          <w:t>1165</w:t>
        </w:r>
        <w:r>
          <w:rPr>
            <w:noProof/>
            <w:webHidden/>
          </w:rPr>
          <w:fldChar w:fldCharType="end"/>
        </w:r>
      </w:hyperlink>
    </w:p>
    <w:p>
      <w:pPr>
        <w:pStyle w:val="TOC2"/>
      </w:pPr>
      <w:hyperlink w:anchor="_Toc300000740" w:history="1">
        <w:r>
          <w:rPr>
            <w:noProof/>
          </w:rPr>
          <w:t xml:space="preserve">23-A.15 Performance and Durability Review</w:t>
        </w:r>
        <w:r>
          <w:rPr>
            <w:noProof/>
            <w:webHidden/>
          </w:rPr>
          <w:tab/>
        </w:r>
        <w:r>
          <w:rPr>
            <w:noProof/>
            <w:webHidden/>
          </w:rPr>
          <w:fldChar w:fldCharType="begin"/>
        </w:r>
        <w:r>
          <w:rPr>
            <w:noProof/>
            <w:webHidden/>
          </w:rPr>
          <w:instrText xml:space="preserve"> PAGEREF _Toc300000740 \h </w:instrText>
        </w:r>
        <w:r>
          <w:rPr>
            <w:noProof/>
            <w:webHidden/>
          </w:rPr>
          <w:fldChar w:fldCharType="separate"/>
        </w:r>
        <w:r>
          <w:rPr>
            <w:noProof/>
            <w:webHidden/>
          </w:rPr>
          <w:t>1165</w:t>
        </w:r>
        <w:r>
          <w:rPr>
            <w:noProof/>
            <w:webHidden/>
          </w:rPr>
          <w:fldChar w:fldCharType="end"/>
        </w:r>
      </w:hyperlink>
    </w:p>
    <w:p>
      <w:pPr>
        <w:pStyle w:val="TOC2"/>
      </w:pPr>
      <w:hyperlink w:anchor="_Toc300000741" w:history="1">
        <w:r>
          <w:rPr>
            <w:noProof/>
          </w:rPr>
          <w:t xml:space="preserve">23-A.16 Technical Cooperation Without Supervision</w:t>
        </w:r>
        <w:r>
          <w:rPr>
            <w:noProof/>
            <w:webHidden/>
          </w:rPr>
          <w:tab/>
        </w:r>
        <w:r>
          <w:rPr>
            <w:noProof/>
            <w:webHidden/>
          </w:rPr>
          <w:fldChar w:fldCharType="begin"/>
        </w:r>
        <w:r>
          <w:rPr>
            <w:noProof/>
            <w:webHidden/>
          </w:rPr>
          <w:instrText xml:space="preserve"> PAGEREF _Toc300000741 \h </w:instrText>
        </w:r>
        <w:r>
          <w:rPr>
            <w:noProof/>
            <w:webHidden/>
          </w:rPr>
          <w:fldChar w:fldCharType="separate"/>
        </w:r>
        <w:r>
          <w:rPr>
            <w:noProof/>
            <w:webHidden/>
          </w:rPr>
          <w:t>1165</w:t>
        </w:r>
        <w:r>
          <w:rPr>
            <w:noProof/>
            <w:webHidden/>
          </w:rPr>
          <w:fldChar w:fldCharType="end"/>
        </w:r>
      </w:hyperlink>
    </w:p>
    <w:p>
      <w:pPr>
        <w:pStyle w:val="TOC2"/>
      </w:pPr>
      <w:hyperlink w:anchor="_Toc300000742" w:history="1">
        <w:r>
          <w:rPr>
            <w:noProof/>
          </w:rPr>
          <w:t xml:space="preserve">23-A.17 Country-Specific Annex and Equal Party Status</w:t>
        </w:r>
        <w:r>
          <w:rPr>
            <w:noProof/>
            <w:webHidden/>
          </w:rPr>
          <w:tab/>
        </w:r>
        <w:r>
          <w:rPr>
            <w:noProof/>
            <w:webHidden/>
          </w:rPr>
          <w:fldChar w:fldCharType="begin"/>
        </w:r>
        <w:r>
          <w:rPr>
            <w:noProof/>
            <w:webHidden/>
          </w:rPr>
          <w:instrText xml:space="preserve"> PAGEREF _Toc300000742 \h </w:instrText>
        </w:r>
        <w:r>
          <w:rPr>
            <w:noProof/>
            <w:webHidden/>
          </w:rPr>
          <w:fldChar w:fldCharType="separate"/>
        </w:r>
        <w:r>
          <w:rPr>
            <w:noProof/>
            <w:webHidden/>
          </w:rPr>
          <w:t>1166</w:t>
        </w:r>
        <w:r>
          <w:rPr>
            <w:noProof/>
            <w:webHidden/>
          </w:rPr>
          <w:fldChar w:fldCharType="end"/>
        </w:r>
      </w:hyperlink>
    </w:p>
    <w:p>
      <w:pPr>
        <w:pStyle w:val="TOC2"/>
      </w:pPr>
      <w:hyperlink w:anchor="_Toc300000743" w:history="1">
        <w:r>
          <w:rPr>
            <w:noProof/>
          </w:rPr>
          <w:t xml:space="preserve">23-A.18 Relationship to Facility-Specific Enforcement</w:t>
        </w:r>
        <w:r>
          <w:rPr>
            <w:noProof/>
            <w:webHidden/>
          </w:rPr>
          <w:tab/>
        </w:r>
        <w:r>
          <w:rPr>
            <w:noProof/>
            <w:webHidden/>
          </w:rPr>
          <w:fldChar w:fldCharType="begin"/>
        </w:r>
        <w:r>
          <w:rPr>
            <w:noProof/>
            <w:webHidden/>
          </w:rPr>
          <w:instrText xml:space="preserve"> PAGEREF _Toc300000743 \h </w:instrText>
        </w:r>
        <w:r>
          <w:rPr>
            <w:noProof/>
            <w:webHidden/>
          </w:rPr>
          <w:fldChar w:fldCharType="separate"/>
        </w:r>
        <w:r>
          <w:rPr>
            <w:noProof/>
            <w:webHidden/>
          </w:rPr>
          <w:t>1166</w:t>
        </w:r>
        <w:r>
          <w:rPr>
            <w:noProof/>
            <w:webHidden/>
          </w:rPr>
          <w:fldChar w:fldCharType="end"/>
        </w:r>
      </w:hyperlink>
    </w:p>
    <w:p>
      <w:pPr>
        <w:pStyle w:val="TOC2"/>
      </w:pPr>
      <w:hyperlink w:anchor="_Toc300000744" w:history="1">
        <w:r>
          <w:rPr>
            <w:noProof/>
          </w:rPr>
          <w:t xml:space="preserve">23-A.19 Worker-Rights Firewall</w:t>
        </w:r>
        <w:r>
          <w:rPr>
            <w:noProof/>
            <w:webHidden/>
          </w:rPr>
          <w:tab/>
        </w:r>
        <w:r>
          <w:rPr>
            <w:noProof/>
            <w:webHidden/>
          </w:rPr>
          <w:fldChar w:fldCharType="begin"/>
        </w:r>
        <w:r>
          <w:rPr>
            <w:noProof/>
            <w:webHidden/>
          </w:rPr>
          <w:instrText xml:space="preserve"> PAGEREF _Toc300000744 \h </w:instrText>
        </w:r>
        <w:r>
          <w:rPr>
            <w:noProof/>
            <w:webHidden/>
          </w:rPr>
          <w:fldChar w:fldCharType="separate"/>
        </w:r>
        <w:r>
          <w:rPr>
            <w:noProof/>
            <w:webHidden/>
          </w:rPr>
          <w:t>1166</w:t>
        </w:r>
        <w:r>
          <w:rPr>
            <w:noProof/>
            <w:webHidden/>
          </w:rPr>
          <w:fldChar w:fldCharType="end"/>
        </w:r>
      </w:hyperlink>
    </w:p>
    <w:p>
      <w:pPr>
        <w:pStyle w:val="TOC2"/>
      </w:pPr>
      <w:hyperlink w:anchor="_Toc300000745" w:history="1">
        <w:r>
          <w:rPr>
            <w:noProof/>
          </w:rPr>
          <w:t xml:space="preserve">23-A.20 Future Improvement</w:t>
        </w:r>
        <w:r>
          <w:rPr>
            <w:noProof/>
            <w:webHidden/>
          </w:rPr>
          <w:tab/>
        </w:r>
        <w:r>
          <w:rPr>
            <w:noProof/>
            <w:webHidden/>
          </w:rPr>
          <w:fldChar w:fldCharType="begin"/>
        </w:r>
        <w:r>
          <w:rPr>
            <w:noProof/>
            <w:webHidden/>
          </w:rPr>
          <w:instrText xml:space="preserve"> PAGEREF _Toc300000745 \h </w:instrText>
        </w:r>
        <w:r>
          <w:rPr>
            <w:noProof/>
            <w:webHidden/>
          </w:rPr>
          <w:fldChar w:fldCharType="separate"/>
        </w:r>
        <w:r>
          <w:rPr>
            <w:noProof/>
            <w:webHidden/>
          </w:rPr>
          <w:t>1166</w:t>
        </w:r>
        <w:r>
          <w:rPr>
            <w:noProof/>
            <w:webHidden/>
          </w:rPr>
          <w:fldChar w:fldCharType="end"/>
        </w:r>
      </w:hyperlink>
    </w:p>
    <w:p>
      <w:pPr>
        <w:pStyle w:val="TOC2"/>
      </w:pPr>
      <w:hyperlink w:anchor="_Toc300000746" w:history="1">
        <w:r>
          <w:rPr>
            <w:noProof/>
          </w:rPr>
          <w:t xml:space="preserve">23-A.21 Completion of Historical Transitional Measures</w:t>
        </w:r>
        <w:r>
          <w:rPr>
            <w:noProof/>
            <w:webHidden/>
          </w:rPr>
          <w:tab/>
        </w:r>
        <w:r>
          <w:rPr>
            <w:noProof/>
            <w:webHidden/>
          </w:rPr>
          <w:fldChar w:fldCharType="begin"/>
        </w:r>
        <w:r>
          <w:rPr>
            <w:noProof/>
            <w:webHidden/>
          </w:rPr>
          <w:instrText xml:space="preserve"> PAGEREF _Toc300000746 \h </w:instrText>
        </w:r>
        <w:r>
          <w:rPr>
            <w:noProof/>
            <w:webHidden/>
          </w:rPr>
          <w:fldChar w:fldCharType="separate"/>
        </w:r>
        <w:r>
          <w:rPr>
            <w:noProof/>
            <w:webHidden/>
          </w:rPr>
          <w:t>1166</w:t>
        </w:r>
        <w:r>
          <w:rPr>
            <w:noProof/>
            <w:webHidden/>
          </w:rPr>
          <w:fldChar w:fldCharType="end"/>
        </w:r>
      </w:hyperlink>
    </w:p>
    <w:p>
      <w:pPr>
        <w:pStyle w:val="TOC2"/>
      </w:pPr>
      <w:hyperlink w:anchor="_Toc300000747" w:history="1">
        <w:r>
          <w:rPr>
            <w:noProof/>
          </w:rPr>
          <w:t xml:space="preserve">23-A.22 Chapter 23-B Remedies Following Labor-Enforcement Disruption</w:t>
        </w:r>
        <w:r>
          <w:rPr>
            <w:noProof/>
            <w:webHidden/>
          </w:rPr>
          <w:tab/>
        </w:r>
        <w:r>
          <w:rPr>
            <w:noProof/>
            <w:webHidden/>
          </w:rPr>
          <w:fldChar w:fldCharType="begin"/>
        </w:r>
        <w:r>
          <w:rPr>
            <w:noProof/>
            <w:webHidden/>
          </w:rPr>
          <w:instrText xml:space="preserve"> PAGEREF _Toc300000747 \h </w:instrText>
        </w:r>
        <w:r>
          <w:rPr>
            <w:noProof/>
            <w:webHidden/>
          </w:rPr>
          <w:fldChar w:fldCharType="separate"/>
        </w:r>
        <w:r>
          <w:rPr>
            <w:noProof/>
            <w:webHidden/>
          </w:rPr>
          <w:t>1167</w:t>
        </w:r>
        <w:r>
          <w:rPr>
            <w:noProof/>
            <w:webHidden/>
          </w:rPr>
          <w:fldChar w:fldCharType="end"/>
        </w:r>
      </w:hyperlink>
    </w:p>
    <w:p>
      <w:pPr>
        <w:pStyle w:val="TOC2"/>
      </w:pPr>
      <w:hyperlink w:anchor="_Toc300000748" w:history="1">
        <w:r>
          <w:rPr>
            <w:noProof/>
          </w:rPr>
          <w:t xml:space="preserve">CHAPTER 23: CUSMA 2.0 MODERNIZATION PROVISIONS</w:t>
        </w:r>
        <w:r>
          <w:rPr>
            <w:noProof/>
            <w:webHidden/>
          </w:rPr>
          <w:tab/>
        </w:r>
        <w:r>
          <w:rPr>
            <w:noProof/>
            <w:webHidden/>
          </w:rPr>
          <w:fldChar w:fldCharType="begin"/>
        </w:r>
        <w:r>
          <w:rPr>
            <w:noProof/>
            <w:webHidden/>
          </w:rPr>
          <w:instrText xml:space="preserve"> PAGEREF _Toc300000748 \h </w:instrText>
        </w:r>
        <w:r>
          <w:rPr>
            <w:noProof/>
            <w:webHidden/>
          </w:rPr>
          <w:fldChar w:fldCharType="separate"/>
        </w:r>
        <w:r>
          <w:rPr>
            <w:noProof/>
            <w:webHidden/>
          </w:rPr>
          <w:t>1167</w:t>
        </w:r>
        <w:r>
          <w:rPr>
            <w:noProof/>
            <w:webHidden/>
          </w:rPr>
          <w:fldChar w:fldCharType="end"/>
        </w:r>
      </w:hyperlink>
    </w:p>
    <w:p>
      <w:pPr>
        <w:pStyle w:val="TOC2"/>
      </w:pPr>
      <w:hyperlink w:anchor="_Toc300000749" w:history="1">
        <w:r>
          <w:rPr>
            <w:noProof/>
          </w:rPr>
          <w:t xml:space="preserve">Article 23.A: Forced Labour, Interoperable Enforcement</w:t>
        </w:r>
        <w:r>
          <w:rPr>
            <w:noProof/>
            <w:webHidden/>
          </w:rPr>
          <w:tab/>
        </w:r>
        <w:r>
          <w:rPr>
            <w:noProof/>
            <w:webHidden/>
          </w:rPr>
          <w:fldChar w:fldCharType="begin"/>
        </w:r>
        <w:r>
          <w:rPr>
            <w:noProof/>
            <w:webHidden/>
          </w:rPr>
          <w:instrText xml:space="preserve"> PAGEREF _Toc300000749 \h </w:instrText>
        </w:r>
        <w:r>
          <w:rPr>
            <w:noProof/>
            <w:webHidden/>
          </w:rPr>
          <w:fldChar w:fldCharType="separate"/>
        </w:r>
        <w:r>
          <w:rPr>
            <w:noProof/>
            <w:webHidden/>
          </w:rPr>
          <w:t>1167</w:t>
        </w:r>
        <w:r>
          <w:rPr>
            <w:noProof/>
            <w:webHidden/>
          </w:rPr>
          <w:fldChar w:fldCharType="end"/>
        </w:r>
      </w:hyperlink>
    </w:p>
    <w:p>
      <w:pPr>
        <w:pStyle w:val="TOC2"/>
      </w:pPr>
      <w:hyperlink w:anchor="_Toc300000750" w:history="1">
        <w:r>
          <w:rPr>
            <w:noProof/>
          </w:rPr>
          <w:t xml:space="preserve">Article 23.B: Labor Enforcement, Procedural Consistency</w:t>
        </w:r>
        <w:r>
          <w:rPr>
            <w:noProof/>
            <w:webHidden/>
          </w:rPr>
          <w:tab/>
        </w:r>
        <w:r>
          <w:rPr>
            <w:noProof/>
            <w:webHidden/>
          </w:rPr>
          <w:fldChar w:fldCharType="begin"/>
        </w:r>
        <w:r>
          <w:rPr>
            <w:noProof/>
            <w:webHidden/>
          </w:rPr>
          <w:instrText xml:space="preserve"> PAGEREF _Toc300000750 \h </w:instrText>
        </w:r>
        <w:r>
          <w:rPr>
            <w:noProof/>
            <w:webHidden/>
          </w:rPr>
          <w:fldChar w:fldCharType="separate"/>
        </w:r>
        <w:r>
          <w:rPr>
            <w:noProof/>
            <w:webHidden/>
          </w:rPr>
          <w:t>1167</w:t>
        </w:r>
        <w:r>
          <w:rPr>
            <w:noProof/>
            <w:webHidden/>
          </w:rPr>
          <w:fldChar w:fldCharType="end"/>
        </w:r>
      </w:hyperlink>
    </w:p>
    <w:p>
      <w:pPr>
        <w:pStyle w:val="TOC2"/>
      </w:pPr>
      <w:hyperlink w:anchor="_Toc300000751" w:history="1">
        <w:r>
          <w:rPr>
            <w:noProof/>
          </w:rPr>
          <w:t xml:space="preserve">Article 23.C: Independent Factual Verification of Labor Enforcement Complaints</w:t>
        </w:r>
        <w:r>
          <w:rPr>
            <w:noProof/>
            <w:webHidden/>
          </w:rPr>
          <w:tab/>
        </w:r>
        <w:r>
          <w:rPr>
            <w:noProof/>
            <w:webHidden/>
          </w:rPr>
          <w:fldChar w:fldCharType="begin"/>
        </w:r>
        <w:r>
          <w:rPr>
            <w:noProof/>
            <w:webHidden/>
          </w:rPr>
          <w:instrText xml:space="preserve"> PAGEREF _Toc300000751 \h </w:instrText>
        </w:r>
        <w:r>
          <w:rPr>
            <w:noProof/>
            <w:webHidden/>
          </w:rPr>
          <w:fldChar w:fldCharType="separate"/>
        </w:r>
        <w:r>
          <w:rPr>
            <w:noProof/>
            <w:webHidden/>
          </w:rPr>
          <w:t>1168</w:t>
        </w:r>
        <w:r>
          <w:rPr>
            <w:noProof/>
            <w:webHidden/>
          </w:rPr>
          <w:fldChar w:fldCharType="end"/>
        </w:r>
      </w:hyperlink>
    </w:p>
    <w:p>
      <w:pPr>
        <w:pStyle w:val="TOC2"/>
      </w:pPr>
      <w:hyperlink w:anchor="_Toc300000752" w:history="1">
        <w:r>
          <w:rPr>
            <w:noProof/>
          </w:rPr>
          <w:t xml:space="preserve">Article 23.D: Triadic Labour Floor and Equal Dignity in Employment</w:t>
        </w:r>
        <w:r>
          <w:rPr>
            <w:noProof/>
            <w:webHidden/>
          </w:rPr>
          <w:tab/>
        </w:r>
        <w:r>
          <w:rPr>
            <w:noProof/>
            <w:webHidden/>
          </w:rPr>
          <w:fldChar w:fldCharType="begin"/>
        </w:r>
        <w:r>
          <w:rPr>
            <w:noProof/>
            <w:webHidden/>
          </w:rPr>
          <w:instrText xml:space="preserve"> PAGEREF _Toc300000752 \h </w:instrText>
        </w:r>
        <w:r>
          <w:rPr>
            <w:noProof/>
            <w:webHidden/>
          </w:rPr>
          <w:fldChar w:fldCharType="separate"/>
        </w:r>
        <w:r>
          <w:rPr>
            <w:noProof/>
            <w:webHidden/>
          </w:rPr>
          <w:t>1168</w:t>
        </w:r>
        <w:r>
          <w:rPr>
            <w:noProof/>
            <w:webHidden/>
          </w:rPr>
          <w:fldChar w:fldCharType="end"/>
        </w:r>
      </w:hyperlink>
    </w:p>
    <w:p>
      <w:pPr>
        <w:pStyle w:val="TOC2"/>
      </w:pPr>
      <w:hyperlink w:anchor="_Toc300000753" w:history="1">
        <w:r>
          <w:rPr>
            <w:noProof/>
          </w:rPr>
          <w:t xml:space="preserve">Article 23.E: Basic Workplace Conditions Standard</w:t>
        </w:r>
        <w:r>
          <w:rPr>
            <w:noProof/>
            <w:webHidden/>
          </w:rPr>
          <w:tab/>
        </w:r>
        <w:r>
          <w:rPr>
            <w:noProof/>
            <w:webHidden/>
          </w:rPr>
          <w:fldChar w:fldCharType="begin"/>
        </w:r>
        <w:r>
          <w:rPr>
            <w:noProof/>
            <w:webHidden/>
          </w:rPr>
          <w:instrText xml:space="preserve"> PAGEREF _Toc300000753 \h </w:instrText>
        </w:r>
        <w:r>
          <w:rPr>
            <w:noProof/>
            <w:webHidden/>
          </w:rPr>
          <w:fldChar w:fldCharType="separate"/>
        </w:r>
        <w:r>
          <w:rPr>
            <w:noProof/>
            <w:webHidden/>
          </w:rPr>
          <w:t>1169</w:t>
        </w:r>
        <w:r>
          <w:rPr>
            <w:noProof/>
            <w:webHidden/>
          </w:rPr>
          <w:fldChar w:fldCharType="end"/>
        </w:r>
      </w:hyperlink>
    </w:p>
    <w:p>
      <w:pPr>
        <w:pStyle w:val="TOC2"/>
      </w:pPr>
      <w:hyperlink w:anchor="_Toc300000754" w:history="1">
        <w:r>
          <w:rPr>
            <w:noProof/>
          </w:rPr>
          <w:t xml:space="preserve">Article 23.F: Emergency Readiness and First-Aid Capability</w:t>
        </w:r>
        <w:r>
          <w:rPr>
            <w:noProof/>
            <w:webHidden/>
          </w:rPr>
          <w:tab/>
        </w:r>
        <w:r>
          <w:rPr>
            <w:noProof/>
            <w:webHidden/>
          </w:rPr>
          <w:fldChar w:fldCharType="begin"/>
        </w:r>
        <w:r>
          <w:rPr>
            <w:noProof/>
            <w:webHidden/>
          </w:rPr>
          <w:instrText xml:space="preserve"> PAGEREF _Toc300000754 \h </w:instrText>
        </w:r>
        <w:r>
          <w:rPr>
            <w:noProof/>
            <w:webHidden/>
          </w:rPr>
          <w:fldChar w:fldCharType="separate"/>
        </w:r>
        <w:r>
          <w:rPr>
            <w:noProof/>
            <w:webHidden/>
          </w:rPr>
          <w:t>1169</w:t>
        </w:r>
        <w:r>
          <w:rPr>
            <w:noProof/>
            <w:webHidden/>
          </w:rPr>
          <w:fldChar w:fldCharType="end"/>
        </w:r>
      </w:hyperlink>
    </w:p>
    <w:p>
      <w:pPr>
        <w:pStyle w:val="TOC2"/>
      </w:pPr>
      <w:hyperlink w:anchor="_Toc300000755" w:history="1">
        <w:r>
          <w:rPr>
            <w:noProof/>
          </w:rPr>
          <w:t xml:space="preserve">Article 23.G: Occupational Environmental Quality</w:t>
        </w:r>
        <w:r>
          <w:rPr>
            <w:noProof/>
            <w:webHidden/>
          </w:rPr>
          <w:tab/>
        </w:r>
        <w:r>
          <w:rPr>
            <w:noProof/>
            <w:webHidden/>
          </w:rPr>
          <w:fldChar w:fldCharType="begin"/>
        </w:r>
        <w:r>
          <w:rPr>
            <w:noProof/>
            <w:webHidden/>
          </w:rPr>
          <w:instrText xml:space="preserve"> PAGEREF _Toc300000755 \h </w:instrText>
        </w:r>
        <w:r>
          <w:rPr>
            <w:noProof/>
            <w:webHidden/>
          </w:rPr>
          <w:fldChar w:fldCharType="separate"/>
        </w:r>
        <w:r>
          <w:rPr>
            <w:noProof/>
            <w:webHidden/>
          </w:rPr>
          <w:t>1170</w:t>
        </w:r>
        <w:r>
          <w:rPr>
            <w:noProof/>
            <w:webHidden/>
          </w:rPr>
          <w:fldChar w:fldCharType="end"/>
        </w:r>
      </w:hyperlink>
    </w:p>
    <w:p>
      <w:pPr>
        <w:pStyle w:val="TOC2"/>
      </w:pPr>
      <w:hyperlink w:anchor="_Toc300000756" w:history="1">
        <w:r>
          <w:rPr>
            <w:noProof/>
          </w:rPr>
          <w:t xml:space="preserve">Article 23.H: Personal Protective Equipment and Fit</w:t>
        </w:r>
        <w:r>
          <w:rPr>
            <w:noProof/>
            <w:webHidden/>
          </w:rPr>
          <w:tab/>
        </w:r>
        <w:r>
          <w:rPr>
            <w:noProof/>
            <w:webHidden/>
          </w:rPr>
          <w:fldChar w:fldCharType="begin"/>
        </w:r>
        <w:r>
          <w:rPr>
            <w:noProof/>
            <w:webHidden/>
          </w:rPr>
          <w:instrText xml:space="preserve"> PAGEREF _Toc300000756 \h </w:instrText>
        </w:r>
        <w:r>
          <w:rPr>
            <w:noProof/>
            <w:webHidden/>
          </w:rPr>
          <w:fldChar w:fldCharType="separate"/>
        </w:r>
        <w:r>
          <w:rPr>
            <w:noProof/>
            <w:webHidden/>
          </w:rPr>
          <w:t>1170</w:t>
        </w:r>
        <w:r>
          <w:rPr>
            <w:noProof/>
            <w:webHidden/>
          </w:rPr>
          <w:fldChar w:fldCharType="end"/>
        </w:r>
      </w:hyperlink>
    </w:p>
    <w:p>
      <w:pPr>
        <w:pStyle w:val="TOC2"/>
      </w:pPr>
      <w:hyperlink w:anchor="_Toc300000757" w:history="1">
        <w:r>
          <w:rPr>
            <w:noProof/>
          </w:rPr>
          <w:t xml:space="preserve">Article 23.I: Rest, Seating, Lactation, and Reasonable Accommodation</w:t>
        </w:r>
        <w:r>
          <w:rPr>
            <w:noProof/>
            <w:webHidden/>
          </w:rPr>
          <w:tab/>
        </w:r>
        <w:r>
          <w:rPr>
            <w:noProof/>
            <w:webHidden/>
          </w:rPr>
          <w:fldChar w:fldCharType="begin"/>
        </w:r>
        <w:r>
          <w:rPr>
            <w:noProof/>
            <w:webHidden/>
          </w:rPr>
          <w:instrText xml:space="preserve"> PAGEREF _Toc300000757 \h </w:instrText>
        </w:r>
        <w:r>
          <w:rPr>
            <w:noProof/>
            <w:webHidden/>
          </w:rPr>
          <w:fldChar w:fldCharType="separate"/>
        </w:r>
        <w:r>
          <w:rPr>
            <w:noProof/>
            <w:webHidden/>
          </w:rPr>
          <w:t>1170</w:t>
        </w:r>
        <w:r>
          <w:rPr>
            <w:noProof/>
            <w:webHidden/>
          </w:rPr>
          <w:fldChar w:fldCharType="end"/>
        </w:r>
      </w:hyperlink>
    </w:p>
    <w:p>
      <w:pPr>
        <w:pStyle w:val="TOC2"/>
      </w:pPr>
      <w:hyperlink w:anchor="_Toc300000758" w:history="1">
        <w:r>
          <w:rPr>
            <w:noProof/>
          </w:rPr>
          <w:t xml:space="preserve">Article 23.J: Health, Illness, and Family Continuity</w:t>
        </w:r>
        <w:r>
          <w:rPr>
            <w:noProof/>
            <w:webHidden/>
          </w:rPr>
          <w:tab/>
        </w:r>
        <w:r>
          <w:rPr>
            <w:noProof/>
            <w:webHidden/>
          </w:rPr>
          <w:fldChar w:fldCharType="begin"/>
        </w:r>
        <w:r>
          <w:rPr>
            <w:noProof/>
            <w:webHidden/>
          </w:rPr>
          <w:instrText xml:space="preserve"> PAGEREF _Toc300000758 \h </w:instrText>
        </w:r>
        <w:r>
          <w:rPr>
            <w:noProof/>
            <w:webHidden/>
          </w:rPr>
          <w:fldChar w:fldCharType="separate"/>
        </w:r>
        <w:r>
          <w:rPr>
            <w:noProof/>
            <w:webHidden/>
          </w:rPr>
          <w:t>1170</w:t>
        </w:r>
        <w:r>
          <w:rPr>
            <w:noProof/>
            <w:webHidden/>
          </w:rPr>
          <w:fldChar w:fldCharType="end"/>
        </w:r>
      </w:hyperlink>
    </w:p>
    <w:p>
      <w:pPr>
        <w:pStyle w:val="TOC2"/>
      </w:pPr>
      <w:hyperlink w:anchor="_Toc300000759" w:history="1">
        <w:r>
          <w:rPr>
            <w:noProof/>
          </w:rPr>
          <w:t xml:space="preserve">Article 23.K: Universal Anti-Discrimination and Equality Standard</w:t>
        </w:r>
        <w:r>
          <w:rPr>
            <w:noProof/>
            <w:webHidden/>
          </w:rPr>
          <w:tab/>
        </w:r>
        <w:r>
          <w:rPr>
            <w:noProof/>
            <w:webHidden/>
          </w:rPr>
          <w:fldChar w:fldCharType="begin"/>
        </w:r>
        <w:r>
          <w:rPr>
            <w:noProof/>
            <w:webHidden/>
          </w:rPr>
          <w:instrText xml:space="preserve"> PAGEREF _Toc300000759 \h </w:instrText>
        </w:r>
        <w:r>
          <w:rPr>
            <w:noProof/>
            <w:webHidden/>
          </w:rPr>
          <w:fldChar w:fldCharType="separate"/>
        </w:r>
        <w:r>
          <w:rPr>
            <w:noProof/>
            <w:webHidden/>
          </w:rPr>
          <w:t>1171</w:t>
        </w:r>
        <w:r>
          <w:rPr>
            <w:noProof/>
            <w:webHidden/>
          </w:rPr>
          <w:fldChar w:fldCharType="end"/>
        </w:r>
      </w:hyperlink>
    </w:p>
    <w:p>
      <w:pPr>
        <w:pStyle w:val="TOC2"/>
      </w:pPr>
      <w:hyperlink w:anchor="_Toc300000760" w:history="1">
        <w:r>
          <w:rPr>
            <w:noProof/>
          </w:rPr>
          <w:t xml:space="preserve">Article 23.L: Proportionate Employer Equality Duties</w:t>
        </w:r>
        <w:r>
          <w:rPr>
            <w:noProof/>
            <w:webHidden/>
          </w:rPr>
          <w:tab/>
        </w:r>
        <w:r>
          <w:rPr>
            <w:noProof/>
            <w:webHidden/>
          </w:rPr>
          <w:fldChar w:fldCharType="begin"/>
        </w:r>
        <w:r>
          <w:rPr>
            <w:noProof/>
            <w:webHidden/>
          </w:rPr>
          <w:instrText xml:space="preserve"> PAGEREF _Toc300000760 \h </w:instrText>
        </w:r>
        <w:r>
          <w:rPr>
            <w:noProof/>
            <w:webHidden/>
          </w:rPr>
          <w:fldChar w:fldCharType="separate"/>
        </w:r>
        <w:r>
          <w:rPr>
            <w:noProof/>
            <w:webHidden/>
          </w:rPr>
          <w:t>1171</w:t>
        </w:r>
        <w:r>
          <w:rPr>
            <w:noProof/>
            <w:webHidden/>
          </w:rPr>
          <w:fldChar w:fldCharType="end"/>
        </w:r>
      </w:hyperlink>
    </w:p>
    <w:p>
      <w:pPr>
        <w:pStyle w:val="TOC2"/>
      </w:pPr>
      <w:hyperlink w:anchor="_Toc300000761" w:history="1">
        <w:r>
          <w:rPr>
            <w:noProof/>
          </w:rPr>
          <w:t xml:space="preserve">Article 23.M: Migrant, Temporary, Agency, and Contract Worker Parity</w:t>
        </w:r>
        <w:r>
          <w:rPr>
            <w:noProof/>
            <w:webHidden/>
          </w:rPr>
          <w:tab/>
        </w:r>
        <w:r>
          <w:rPr>
            <w:noProof/>
            <w:webHidden/>
          </w:rPr>
          <w:fldChar w:fldCharType="begin"/>
        </w:r>
        <w:r>
          <w:rPr>
            <w:noProof/>
            <w:webHidden/>
          </w:rPr>
          <w:instrText xml:space="preserve"> PAGEREF _Toc300000761 \h </w:instrText>
        </w:r>
        <w:r>
          <w:rPr>
            <w:noProof/>
            <w:webHidden/>
          </w:rPr>
          <w:fldChar w:fldCharType="separate"/>
        </w:r>
        <w:r>
          <w:rPr>
            <w:noProof/>
            <w:webHidden/>
          </w:rPr>
          <w:t>1171</w:t>
        </w:r>
        <w:r>
          <w:rPr>
            <w:noProof/>
            <w:webHidden/>
          </w:rPr>
          <w:fldChar w:fldCharType="end"/>
        </w:r>
      </w:hyperlink>
    </w:p>
    <w:p>
      <w:pPr>
        <w:pStyle w:val="TOC2"/>
      </w:pPr>
      <w:hyperlink w:anchor="_Toc300000762" w:history="1">
        <w:r>
          <w:rPr>
            <w:noProof/>
          </w:rPr>
          <w:t xml:space="preserve">Article 23.N: Automated Employment Decision Safeguards</w:t>
        </w:r>
        <w:r>
          <w:rPr>
            <w:noProof/>
            <w:webHidden/>
          </w:rPr>
          <w:tab/>
        </w:r>
        <w:r>
          <w:rPr>
            <w:noProof/>
            <w:webHidden/>
          </w:rPr>
          <w:fldChar w:fldCharType="begin"/>
        </w:r>
        <w:r>
          <w:rPr>
            <w:noProof/>
            <w:webHidden/>
          </w:rPr>
          <w:instrText xml:space="preserve"> PAGEREF _Toc300000762 \h </w:instrText>
        </w:r>
        <w:r>
          <w:rPr>
            <w:noProof/>
            <w:webHidden/>
          </w:rPr>
          <w:fldChar w:fldCharType="separate"/>
        </w:r>
        <w:r>
          <w:rPr>
            <w:noProof/>
            <w:webHidden/>
          </w:rPr>
          <w:t>1172</w:t>
        </w:r>
        <w:r>
          <w:rPr>
            <w:noProof/>
            <w:webHidden/>
          </w:rPr>
          <w:fldChar w:fldCharType="end"/>
        </w:r>
      </w:hyperlink>
    </w:p>
    <w:p>
      <w:pPr>
        <w:pStyle w:val="TOC2"/>
      </w:pPr>
      <w:hyperlink w:anchor="_Toc300000763" w:history="1">
        <w:r>
          <w:rPr>
            <w:noProof/>
          </w:rPr>
          <w:t xml:space="preserve">Article 23.O: Protected Exercise Firewall</w:t>
        </w:r>
        <w:r>
          <w:rPr>
            <w:noProof/>
            <w:webHidden/>
          </w:rPr>
          <w:tab/>
        </w:r>
        <w:r>
          <w:rPr>
            <w:noProof/>
            <w:webHidden/>
          </w:rPr>
          <w:fldChar w:fldCharType="begin"/>
        </w:r>
        <w:r>
          <w:rPr>
            <w:noProof/>
            <w:webHidden/>
          </w:rPr>
          <w:instrText xml:space="preserve"> PAGEREF _Toc300000763 \h </w:instrText>
        </w:r>
        <w:r>
          <w:rPr>
            <w:noProof/>
            <w:webHidden/>
          </w:rPr>
          <w:fldChar w:fldCharType="separate"/>
        </w:r>
        <w:r>
          <w:rPr>
            <w:noProof/>
            <w:webHidden/>
          </w:rPr>
          <w:t>1172</w:t>
        </w:r>
        <w:r>
          <w:rPr>
            <w:noProof/>
            <w:webHidden/>
          </w:rPr>
          <w:fldChar w:fldCharType="end"/>
        </w:r>
      </w:hyperlink>
    </w:p>
    <w:p>
      <w:pPr>
        <w:pStyle w:val="TOC2"/>
      </w:pPr>
      <w:hyperlink w:anchor="_Toc300000764" w:history="1">
        <w:r>
          <w:rPr>
            <w:noProof/>
          </w:rPr>
          <w:t xml:space="preserve">Article 23.P: Labour Enforcement Escalation and Institutional Restraint</w:t>
        </w:r>
        <w:r>
          <w:rPr>
            <w:noProof/>
            <w:webHidden/>
          </w:rPr>
          <w:tab/>
        </w:r>
        <w:r>
          <w:rPr>
            <w:noProof/>
            <w:webHidden/>
          </w:rPr>
          <w:fldChar w:fldCharType="begin"/>
        </w:r>
        <w:r>
          <w:rPr>
            <w:noProof/>
            <w:webHidden/>
          </w:rPr>
          <w:instrText xml:space="preserve"> PAGEREF _Toc300000764 \h </w:instrText>
        </w:r>
        <w:r>
          <w:rPr>
            <w:noProof/>
            <w:webHidden/>
          </w:rPr>
          <w:fldChar w:fldCharType="separate"/>
        </w:r>
        <w:r>
          <w:rPr>
            <w:noProof/>
            <w:webHidden/>
          </w:rPr>
          <w:t>1172</w:t>
        </w:r>
        <w:r>
          <w:rPr>
            <w:noProof/>
            <w:webHidden/>
          </w:rPr>
          <w:fldChar w:fldCharType="end"/>
        </w:r>
      </w:hyperlink>
    </w:p>
    <w:p>
      <w:pPr>
        <w:pStyle w:val="TOC2"/>
      </w:pPr>
      <w:hyperlink w:anchor="_Toc300000765" w:history="1">
        <w:r>
          <w:rPr>
            <w:noProof/>
          </w:rPr>
          <w:t xml:space="preserve">Article 23.Q: Worker-Rights Non-Bargaining Firewall</w:t>
        </w:r>
        <w:r>
          <w:rPr>
            <w:noProof/>
            <w:webHidden/>
          </w:rPr>
          <w:tab/>
        </w:r>
        <w:r>
          <w:rPr>
            <w:noProof/>
            <w:webHidden/>
          </w:rPr>
          <w:fldChar w:fldCharType="begin"/>
        </w:r>
        <w:r>
          <w:rPr>
            <w:noProof/>
            <w:webHidden/>
          </w:rPr>
          <w:instrText xml:space="preserve"> PAGEREF _Toc300000765 \h </w:instrText>
        </w:r>
        <w:r>
          <w:rPr>
            <w:noProof/>
            <w:webHidden/>
          </w:rPr>
          <w:fldChar w:fldCharType="separate"/>
        </w:r>
        <w:r>
          <w:rPr>
            <w:noProof/>
            <w:webHidden/>
          </w:rPr>
          <w:t>1172</w:t>
        </w:r>
        <w:r>
          <w:rPr>
            <w:noProof/>
            <w:webHidden/>
          </w:rPr>
          <w:fldChar w:fldCharType="end"/>
        </w:r>
      </w:hyperlink>
    </w:p>
    <w:p>
      <w:pPr>
        <w:pStyle w:val="TOC2"/>
      </w:pPr>
      <w:hyperlink w:anchor="_Toc300000766" w:history="1">
        <w:r>
          <w:rPr>
            <w:noProof/>
          </w:rPr>
          <w:t xml:space="preserve">Section 23.R: Relationship to Chapter 23-B (Just Transition)</w:t>
        </w:r>
        <w:r>
          <w:rPr>
            <w:noProof/>
            <w:webHidden/>
          </w:rPr>
          <w:tab/>
        </w:r>
        <w:r>
          <w:rPr>
            <w:noProof/>
            <w:webHidden/>
          </w:rPr>
          <w:fldChar w:fldCharType="begin"/>
        </w:r>
        <w:r>
          <w:rPr>
            <w:noProof/>
            <w:webHidden/>
          </w:rPr>
          <w:instrText xml:space="preserve"> PAGEREF _Toc300000766 \h </w:instrText>
        </w:r>
        <w:r>
          <w:rPr>
            <w:noProof/>
            <w:webHidden/>
          </w:rPr>
          <w:fldChar w:fldCharType="separate"/>
        </w:r>
        <w:r>
          <w:rPr>
            <w:noProof/>
            <w:webHidden/>
          </w:rPr>
          <w:t>1173</w:t>
        </w:r>
        <w:r>
          <w:rPr>
            <w:noProof/>
            <w:webHidden/>
          </w:rPr>
          <w:fldChar w:fldCharType="end"/>
        </w:r>
      </w:hyperlink>
    </w:p>
    <w:p>
      <w:pPr>
        <w:pStyle w:val="TOC1"/>
      </w:pPr>
      <w:hyperlink w:anchor="_Toc300000767" w:history="1">
        <w:r>
          <w:rPr>
            <w:noProof/>
          </w:rPr>
          <w:t xml:space="preserve">CHAPTER 23-B NORTH AMERICAN JUST TRANSITION AND WORKER SECURITY FRAMEWORK</w:t>
        </w:r>
        <w:r>
          <w:rPr>
            <w:noProof/>
            <w:webHidden/>
          </w:rPr>
          <w:tab/>
        </w:r>
        <w:r>
          <w:rPr>
            <w:noProof/>
            <w:webHidden/>
          </w:rPr>
          <w:fldChar w:fldCharType="begin"/>
        </w:r>
        <w:r>
          <w:rPr>
            <w:noProof/>
            <w:webHidden/>
          </w:rPr>
          <w:instrText xml:space="preserve"> PAGEREF _Toc300000767 \h </w:instrText>
        </w:r>
        <w:r>
          <w:rPr>
            <w:noProof/>
            <w:webHidden/>
          </w:rPr>
          <w:fldChar w:fldCharType="separate"/>
        </w:r>
        <w:r>
          <w:rPr>
            <w:noProof/>
            <w:webHidden/>
          </w:rPr>
          <w:t>1174</w:t>
        </w:r>
        <w:r>
          <w:rPr>
            <w:noProof/>
            <w:webHidden/>
          </w:rPr>
          <w:fldChar w:fldCharType="end"/>
        </w:r>
      </w:hyperlink>
    </w:p>
    <w:p>
      <w:pPr>
        <w:pStyle w:val="TOC2"/>
      </w:pPr>
      <w:hyperlink w:anchor="_Toc300000768" w:history="1">
        <w:r>
          <w:rPr>
            <w:noProof/>
          </w:rPr>
          <w:t xml:space="preserve">Article 23-B.1: Purpose and Principles</w:t>
        </w:r>
        <w:r>
          <w:rPr>
            <w:noProof/>
            <w:webHidden/>
          </w:rPr>
          <w:tab/>
        </w:r>
        <w:r>
          <w:rPr>
            <w:noProof/>
            <w:webHidden/>
          </w:rPr>
          <w:fldChar w:fldCharType="begin"/>
        </w:r>
        <w:r>
          <w:rPr>
            <w:noProof/>
            <w:webHidden/>
          </w:rPr>
          <w:instrText xml:space="preserve"> PAGEREF _Toc300000768 \h </w:instrText>
        </w:r>
        <w:r>
          <w:rPr>
            <w:noProof/>
            <w:webHidden/>
          </w:rPr>
          <w:fldChar w:fldCharType="separate"/>
        </w:r>
        <w:r>
          <w:rPr>
            <w:noProof/>
            <w:webHidden/>
          </w:rPr>
          <w:t>1174</w:t>
        </w:r>
        <w:r>
          <w:rPr>
            <w:noProof/>
            <w:webHidden/>
          </w:rPr>
          <w:fldChar w:fldCharType="end"/>
        </w:r>
      </w:hyperlink>
    </w:p>
    <w:p>
      <w:pPr>
        <w:pStyle w:val="TOC2"/>
      </w:pPr>
      <w:hyperlink w:anchor="_Toc300000769" w:history="1">
        <w:r>
          <w:rPr>
            <w:noProof/>
          </w:rPr>
          <w:t xml:space="preserve">Article 23-B.2: Definitions</w:t>
        </w:r>
        <w:r>
          <w:rPr>
            <w:noProof/>
            <w:webHidden/>
          </w:rPr>
          <w:tab/>
        </w:r>
        <w:r>
          <w:rPr>
            <w:noProof/>
            <w:webHidden/>
          </w:rPr>
          <w:fldChar w:fldCharType="begin"/>
        </w:r>
        <w:r>
          <w:rPr>
            <w:noProof/>
            <w:webHidden/>
          </w:rPr>
          <w:instrText xml:space="preserve"> PAGEREF _Toc300000769 \h </w:instrText>
        </w:r>
        <w:r>
          <w:rPr>
            <w:noProof/>
            <w:webHidden/>
          </w:rPr>
          <w:fldChar w:fldCharType="separate"/>
        </w:r>
        <w:r>
          <w:rPr>
            <w:noProof/>
            <w:webHidden/>
          </w:rPr>
          <w:t>1175</w:t>
        </w:r>
        <w:r>
          <w:rPr>
            <w:noProof/>
            <w:webHidden/>
          </w:rPr>
          <w:fldChar w:fldCharType="end"/>
        </w:r>
      </w:hyperlink>
    </w:p>
    <w:p>
      <w:pPr>
        <w:pStyle w:val="TOC2"/>
      </w:pPr>
      <w:hyperlink w:anchor="_Toc300000770" w:history="1">
        <w:r>
          <w:rPr>
            <w:noProof/>
          </w:rPr>
          <w:t xml:space="preserve">Article 23-B.3: Mandatory Worker Income Security and Transition Support</w:t>
        </w:r>
        <w:r>
          <w:rPr>
            <w:noProof/>
            <w:webHidden/>
          </w:rPr>
          <w:tab/>
        </w:r>
        <w:r>
          <w:rPr>
            <w:noProof/>
            <w:webHidden/>
          </w:rPr>
          <w:fldChar w:fldCharType="begin"/>
        </w:r>
        <w:r>
          <w:rPr>
            <w:noProof/>
            <w:webHidden/>
          </w:rPr>
          <w:instrText xml:space="preserve"> PAGEREF _Toc300000770 \h </w:instrText>
        </w:r>
        <w:r>
          <w:rPr>
            <w:noProof/>
            <w:webHidden/>
          </w:rPr>
          <w:fldChar w:fldCharType="separate"/>
        </w:r>
        <w:r>
          <w:rPr>
            <w:noProof/>
            <w:webHidden/>
          </w:rPr>
          <w:t>1176</w:t>
        </w:r>
        <w:r>
          <w:rPr>
            <w:noProof/>
            <w:webHidden/>
          </w:rPr>
          <w:fldChar w:fldCharType="end"/>
        </w:r>
      </w:hyperlink>
    </w:p>
    <w:p>
      <w:pPr>
        <w:pStyle w:val="TOC2"/>
      </w:pPr>
      <w:hyperlink w:anchor="_Toc300000771" w:history="1">
        <w:r>
          <w:rPr>
            <w:noProof/>
          </w:rPr>
          <w:t xml:space="preserve">Article 23-B.4: Mandatory Skills Development, Reskilling, and Lifelong Learning</w:t>
        </w:r>
        <w:r>
          <w:rPr>
            <w:noProof/>
            <w:webHidden/>
          </w:rPr>
          <w:tab/>
        </w:r>
        <w:r>
          <w:rPr>
            <w:noProof/>
            <w:webHidden/>
          </w:rPr>
          <w:fldChar w:fldCharType="begin"/>
        </w:r>
        <w:r>
          <w:rPr>
            <w:noProof/>
            <w:webHidden/>
          </w:rPr>
          <w:instrText xml:space="preserve"> PAGEREF _Toc300000771 \h </w:instrText>
        </w:r>
        <w:r>
          <w:rPr>
            <w:noProof/>
            <w:webHidden/>
          </w:rPr>
          <w:fldChar w:fldCharType="separate"/>
        </w:r>
        <w:r>
          <w:rPr>
            <w:noProof/>
            <w:webHidden/>
          </w:rPr>
          <w:t>1178</w:t>
        </w:r>
        <w:r>
          <w:rPr>
            <w:noProof/>
            <w:webHidden/>
          </w:rPr>
          <w:fldChar w:fldCharType="end"/>
        </w:r>
      </w:hyperlink>
    </w:p>
    <w:p>
      <w:pPr>
        <w:pStyle w:val="TOC2"/>
      </w:pPr>
      <w:hyperlink w:anchor="_Toc300000772" w:history="1">
        <w:r>
          <w:rPr>
            <w:noProof/>
          </w:rPr>
          <w:t xml:space="preserve">Article 23-B.5: Mandatory Portable Benefits and Cross-Border Social Protection</w:t>
        </w:r>
        <w:r>
          <w:rPr>
            <w:noProof/>
            <w:webHidden/>
          </w:rPr>
          <w:tab/>
        </w:r>
        <w:r>
          <w:rPr>
            <w:noProof/>
            <w:webHidden/>
          </w:rPr>
          <w:fldChar w:fldCharType="begin"/>
        </w:r>
        <w:r>
          <w:rPr>
            <w:noProof/>
            <w:webHidden/>
          </w:rPr>
          <w:instrText xml:space="preserve"> PAGEREF _Toc300000772 \h </w:instrText>
        </w:r>
        <w:r>
          <w:rPr>
            <w:noProof/>
            <w:webHidden/>
          </w:rPr>
          <w:fldChar w:fldCharType="separate"/>
        </w:r>
        <w:r>
          <w:rPr>
            <w:noProof/>
            <w:webHidden/>
          </w:rPr>
          <w:t>1181</w:t>
        </w:r>
        <w:r>
          <w:rPr>
            <w:noProof/>
            <w:webHidden/>
          </w:rPr>
          <w:fldChar w:fldCharType="end"/>
        </w:r>
      </w:hyperlink>
    </w:p>
    <w:p>
      <w:pPr>
        <w:pStyle w:val="TOC2"/>
      </w:pPr>
      <w:hyperlink w:anchor="_Toc300000773" w:history="1">
        <w:r>
          <w:rPr>
            <w:noProof/>
          </w:rPr>
          <w:t xml:space="preserve">Article 23-B.6: Mandatory Community Resilience and Economic Diversification</w:t>
        </w:r>
        <w:r>
          <w:rPr>
            <w:noProof/>
            <w:webHidden/>
          </w:rPr>
          <w:tab/>
        </w:r>
        <w:r>
          <w:rPr>
            <w:noProof/>
            <w:webHidden/>
          </w:rPr>
          <w:fldChar w:fldCharType="begin"/>
        </w:r>
        <w:r>
          <w:rPr>
            <w:noProof/>
            <w:webHidden/>
          </w:rPr>
          <w:instrText xml:space="preserve"> PAGEREF _Toc300000773 \h </w:instrText>
        </w:r>
        <w:r>
          <w:rPr>
            <w:noProof/>
            <w:webHidden/>
          </w:rPr>
          <w:fldChar w:fldCharType="separate"/>
        </w:r>
        <w:r>
          <w:rPr>
            <w:noProof/>
            <w:webHidden/>
          </w:rPr>
          <w:t>1184</w:t>
        </w:r>
        <w:r>
          <w:rPr>
            <w:noProof/>
            <w:webHidden/>
          </w:rPr>
          <w:fldChar w:fldCharType="end"/>
        </w:r>
      </w:hyperlink>
    </w:p>
    <w:p>
      <w:pPr>
        <w:pStyle w:val="TOC2"/>
      </w:pPr>
      <w:hyperlink w:anchor="_Toc300000774" w:history="1">
        <w:r>
          <w:rPr>
            <w:noProof/>
          </w:rPr>
          <w:t xml:space="preserve">Article 23-B.7: North American Just Transition Fund (With Binding Financial Commitments)</w:t>
        </w:r>
        <w:r>
          <w:rPr>
            <w:noProof/>
            <w:webHidden/>
          </w:rPr>
          <w:tab/>
        </w:r>
        <w:r>
          <w:rPr>
            <w:noProof/>
            <w:webHidden/>
          </w:rPr>
          <w:fldChar w:fldCharType="begin"/>
        </w:r>
        <w:r>
          <w:rPr>
            <w:noProof/>
            <w:webHidden/>
          </w:rPr>
          <w:instrText xml:space="preserve"> PAGEREF _Toc300000774 \h </w:instrText>
        </w:r>
        <w:r>
          <w:rPr>
            <w:noProof/>
            <w:webHidden/>
          </w:rPr>
          <w:fldChar w:fldCharType="separate"/>
        </w:r>
        <w:r>
          <w:rPr>
            <w:noProof/>
            <w:webHidden/>
          </w:rPr>
          <w:t>1186</w:t>
        </w:r>
        <w:r>
          <w:rPr>
            <w:noProof/>
            <w:webHidden/>
          </w:rPr>
          <w:fldChar w:fldCharType="end"/>
        </w:r>
      </w:hyperlink>
    </w:p>
    <w:p>
      <w:pPr>
        <w:pStyle w:val="TOC2"/>
      </w:pPr>
      <w:hyperlink w:anchor="_Toc300000775" w:history="1">
        <w:r>
          <w:rPr>
            <w:noProof/>
          </w:rPr>
          <w:t xml:space="preserve">Article 23-B.8: Mandatory Identification of Transition Sectors (Binding Process)</w:t>
        </w:r>
        <w:r>
          <w:rPr>
            <w:noProof/>
            <w:webHidden/>
          </w:rPr>
          <w:tab/>
        </w:r>
        <w:r>
          <w:rPr>
            <w:noProof/>
            <w:webHidden/>
          </w:rPr>
          <w:fldChar w:fldCharType="begin"/>
        </w:r>
        <w:r>
          <w:rPr>
            <w:noProof/>
            <w:webHidden/>
          </w:rPr>
          <w:instrText xml:space="preserve"> PAGEREF _Toc300000775 \h </w:instrText>
        </w:r>
        <w:r>
          <w:rPr>
            <w:noProof/>
            <w:webHidden/>
          </w:rPr>
          <w:fldChar w:fldCharType="separate"/>
        </w:r>
        <w:r>
          <w:rPr>
            <w:noProof/>
            <w:webHidden/>
          </w:rPr>
          <w:t>1188</w:t>
        </w:r>
        <w:r>
          <w:rPr>
            <w:noProof/>
            <w:webHidden/>
          </w:rPr>
          <w:fldChar w:fldCharType="end"/>
        </w:r>
      </w:hyperlink>
    </w:p>
    <w:p>
      <w:pPr>
        <w:pStyle w:val="TOC2"/>
      </w:pPr>
      <w:hyperlink w:anchor="_Toc300000776" w:history="1">
        <w:r>
          <w:rPr>
            <w:noProof/>
          </w:rPr>
          <w:t xml:space="preserve">Article 23-B.9: Mandatory Monitoring and Reporting (Strengthened and Detailed)</w:t>
        </w:r>
        <w:r>
          <w:rPr>
            <w:noProof/>
            <w:webHidden/>
          </w:rPr>
          <w:tab/>
        </w:r>
        <w:r>
          <w:rPr>
            <w:noProof/>
            <w:webHidden/>
          </w:rPr>
          <w:fldChar w:fldCharType="begin"/>
        </w:r>
        <w:r>
          <w:rPr>
            <w:noProof/>
            <w:webHidden/>
          </w:rPr>
          <w:instrText xml:space="preserve"> PAGEREF _Toc300000776 \h </w:instrText>
        </w:r>
        <w:r>
          <w:rPr>
            <w:noProof/>
            <w:webHidden/>
          </w:rPr>
          <w:fldChar w:fldCharType="separate"/>
        </w:r>
        <w:r>
          <w:rPr>
            <w:noProof/>
            <w:webHidden/>
          </w:rPr>
          <w:t>1190</w:t>
        </w:r>
        <w:r>
          <w:rPr>
            <w:noProof/>
            <w:webHidden/>
          </w:rPr>
          <w:fldChar w:fldCharType="end"/>
        </w:r>
      </w:hyperlink>
    </w:p>
    <w:p>
      <w:pPr>
        <w:pStyle w:val="TOC2"/>
      </w:pPr>
      <w:hyperlink w:anchor="_Toc300000777" w:history="1">
        <w:r>
          <w:rPr>
            <w:noProof/>
          </w:rPr>
          <w:t xml:space="preserve">Article 23-B.10: Relationship to Other Chapters and Primacy Provision</w:t>
        </w:r>
        <w:r>
          <w:rPr>
            <w:noProof/>
            <w:webHidden/>
          </w:rPr>
          <w:tab/>
        </w:r>
        <w:r>
          <w:rPr>
            <w:noProof/>
            <w:webHidden/>
          </w:rPr>
          <w:fldChar w:fldCharType="begin"/>
        </w:r>
        <w:r>
          <w:rPr>
            <w:noProof/>
            <w:webHidden/>
          </w:rPr>
          <w:instrText xml:space="preserve"> PAGEREF _Toc300000777 \h </w:instrText>
        </w:r>
        <w:r>
          <w:rPr>
            <w:noProof/>
            <w:webHidden/>
          </w:rPr>
          <w:fldChar w:fldCharType="separate"/>
        </w:r>
        <w:r>
          <w:rPr>
            <w:noProof/>
            <w:webHidden/>
          </w:rPr>
          <w:t>1193</w:t>
        </w:r>
        <w:r>
          <w:rPr>
            <w:noProof/>
            <w:webHidden/>
          </w:rPr>
          <w:fldChar w:fldCharType="end"/>
        </w:r>
      </w:hyperlink>
    </w:p>
    <w:p>
      <w:pPr>
        <w:pStyle w:val="TOC2"/>
      </w:pPr>
      <w:hyperlink w:anchor="_Toc300000778" w:history="1">
        <w:r>
          <w:rPr>
            <w:noProof/>
          </w:rPr>
          <w:t xml:space="preserve">Article 23-B.11: Dispute Settlement and Enforcement</w:t>
        </w:r>
        <w:r>
          <w:rPr>
            <w:noProof/>
            <w:webHidden/>
          </w:rPr>
          <w:tab/>
        </w:r>
        <w:r>
          <w:rPr>
            <w:noProof/>
            <w:webHidden/>
          </w:rPr>
          <w:fldChar w:fldCharType="begin"/>
        </w:r>
        <w:r>
          <w:rPr>
            <w:noProof/>
            <w:webHidden/>
          </w:rPr>
          <w:instrText xml:space="preserve"> PAGEREF _Toc300000778 \h </w:instrText>
        </w:r>
        <w:r>
          <w:rPr>
            <w:noProof/>
            <w:webHidden/>
          </w:rPr>
          <w:fldChar w:fldCharType="separate"/>
        </w:r>
        <w:r>
          <w:rPr>
            <w:noProof/>
            <w:webHidden/>
          </w:rPr>
          <w:t>1195</w:t>
        </w:r>
        <w:r>
          <w:rPr>
            <w:noProof/>
            <w:webHidden/>
          </w:rPr>
          <w:fldChar w:fldCharType="end"/>
        </w:r>
      </w:hyperlink>
    </w:p>
    <w:p>
      <w:pPr>
        <w:pStyle w:val="TOC2"/>
      </w:pPr>
      <w:hyperlink w:anchor="_Toc300000779" w:history="1">
        <w:r>
          <w:rPr>
            <w:noProof/>
          </w:rPr>
          <w:t xml:space="preserve">Article 23-B.12: Entry into Force and Implementation Deadlines</w:t>
        </w:r>
        <w:r>
          <w:rPr>
            <w:noProof/>
            <w:webHidden/>
          </w:rPr>
          <w:tab/>
        </w:r>
        <w:r>
          <w:rPr>
            <w:noProof/>
            <w:webHidden/>
          </w:rPr>
          <w:fldChar w:fldCharType="begin"/>
        </w:r>
        <w:r>
          <w:rPr>
            <w:noProof/>
            <w:webHidden/>
          </w:rPr>
          <w:instrText xml:space="preserve"> PAGEREF _Toc300000779 \h </w:instrText>
        </w:r>
        <w:r>
          <w:rPr>
            <w:noProof/>
            <w:webHidden/>
          </w:rPr>
          <w:fldChar w:fldCharType="separate"/>
        </w:r>
        <w:r>
          <w:rPr>
            <w:noProof/>
            <w:webHidden/>
          </w:rPr>
          <w:t>1197</w:t>
        </w:r>
        <w:r>
          <w:rPr>
            <w:noProof/>
            <w:webHidden/>
          </w:rPr>
          <w:fldChar w:fldCharType="end"/>
        </w:r>
      </w:hyperlink>
    </w:p>
    <w:p>
      <w:pPr>
        <w:pStyle w:val="TOC2"/>
      </w:pPr>
      <w:hyperlink w:anchor="_Toc300000780" w:history="1">
        <w:r>
          <w:rPr>
            <w:noProof/>
          </w:rPr>
          <w:t xml:space="preserve">Article 23-B.13: Definitions of Terms in Chapter 23-B Context</w:t>
        </w:r>
        <w:r>
          <w:rPr>
            <w:noProof/>
            <w:webHidden/>
          </w:rPr>
          <w:tab/>
        </w:r>
        <w:r>
          <w:rPr>
            <w:noProof/>
            <w:webHidden/>
          </w:rPr>
          <w:fldChar w:fldCharType="begin"/>
        </w:r>
        <w:r>
          <w:rPr>
            <w:noProof/>
            <w:webHidden/>
          </w:rPr>
          <w:instrText xml:space="preserve"> PAGEREF _Toc300000780 \h </w:instrText>
        </w:r>
        <w:r>
          <w:rPr>
            <w:noProof/>
            <w:webHidden/>
          </w:rPr>
          <w:fldChar w:fldCharType="separate"/>
        </w:r>
        <w:r>
          <w:rPr>
            <w:noProof/>
            <w:webHidden/>
          </w:rPr>
          <w:t>1198</w:t>
        </w:r>
        <w:r>
          <w:rPr>
            <w:noProof/>
            <w:webHidden/>
          </w:rPr>
          <w:fldChar w:fldCharType="end"/>
        </w:r>
      </w:hyperlink>
    </w:p>
    <w:p>
      <w:pPr>
        <w:pStyle w:val="TOC1"/>
      </w:pPr>
      <w:hyperlink w:anchor="_Toc300000781" w:history="1">
        <w:r>
          <w:rPr>
            <w:noProof/>
          </w:rPr>
          <w:t xml:space="preserve">CHAPTER 24 ENVIRONMENT</w:t>
        </w:r>
        <w:r>
          <w:rPr>
            <w:noProof/>
            <w:webHidden/>
          </w:rPr>
          <w:tab/>
        </w:r>
        <w:r>
          <w:rPr>
            <w:noProof/>
            <w:webHidden/>
          </w:rPr>
          <w:fldChar w:fldCharType="begin"/>
        </w:r>
        <w:r>
          <w:rPr>
            <w:noProof/>
            <w:webHidden/>
          </w:rPr>
          <w:instrText xml:space="preserve"> PAGEREF _Toc300000781 \h </w:instrText>
        </w:r>
        <w:r>
          <w:rPr>
            <w:noProof/>
            <w:webHidden/>
          </w:rPr>
          <w:fldChar w:fldCharType="separate"/>
        </w:r>
        <w:r>
          <w:rPr>
            <w:noProof/>
            <w:webHidden/>
          </w:rPr>
          <w:t>1199</w:t>
        </w:r>
        <w:r>
          <w:rPr>
            <w:noProof/>
            <w:webHidden/>
          </w:rPr>
          <w:fldChar w:fldCharType="end"/>
        </w:r>
      </w:hyperlink>
    </w:p>
    <w:p>
      <w:pPr>
        <w:pStyle w:val="TOC2"/>
      </w:pPr>
      <w:hyperlink w:anchor="_Toc300000782" w:history="1">
        <w:r>
          <w:rPr>
            <w:noProof/>
          </w:rPr>
          <w:t xml:space="preserve">Article 24.1: Definitions</w:t>
        </w:r>
        <w:r>
          <w:rPr>
            <w:noProof/>
            <w:webHidden/>
          </w:rPr>
          <w:tab/>
        </w:r>
        <w:r>
          <w:rPr>
            <w:noProof/>
            <w:webHidden/>
          </w:rPr>
          <w:fldChar w:fldCharType="begin"/>
        </w:r>
        <w:r>
          <w:rPr>
            <w:noProof/>
            <w:webHidden/>
          </w:rPr>
          <w:instrText xml:space="preserve"> PAGEREF _Toc300000782 \h </w:instrText>
        </w:r>
        <w:r>
          <w:rPr>
            <w:noProof/>
            <w:webHidden/>
          </w:rPr>
          <w:fldChar w:fldCharType="separate"/>
        </w:r>
        <w:r>
          <w:rPr>
            <w:noProof/>
            <w:webHidden/>
          </w:rPr>
          <w:t>1199</w:t>
        </w:r>
        <w:r>
          <w:rPr>
            <w:noProof/>
            <w:webHidden/>
          </w:rPr>
          <w:fldChar w:fldCharType="end"/>
        </w:r>
      </w:hyperlink>
    </w:p>
    <w:p>
      <w:pPr>
        <w:pStyle w:val="TOC2"/>
      </w:pPr>
      <w:hyperlink w:anchor="_Toc300000783" w:history="1">
        <w:r>
          <w:rPr>
            <w:noProof/>
          </w:rPr>
          <w:t xml:space="preserve">Article 24.2: Scope and Objectives</w:t>
        </w:r>
        <w:r>
          <w:rPr>
            <w:noProof/>
            <w:webHidden/>
          </w:rPr>
          <w:tab/>
        </w:r>
        <w:r>
          <w:rPr>
            <w:noProof/>
            <w:webHidden/>
          </w:rPr>
          <w:fldChar w:fldCharType="begin"/>
        </w:r>
        <w:r>
          <w:rPr>
            <w:noProof/>
            <w:webHidden/>
          </w:rPr>
          <w:instrText xml:space="preserve"> PAGEREF _Toc300000783 \h </w:instrText>
        </w:r>
        <w:r>
          <w:rPr>
            <w:noProof/>
            <w:webHidden/>
          </w:rPr>
          <w:fldChar w:fldCharType="separate"/>
        </w:r>
        <w:r>
          <w:rPr>
            <w:noProof/>
            <w:webHidden/>
          </w:rPr>
          <w:t>1199</w:t>
        </w:r>
        <w:r>
          <w:rPr>
            <w:noProof/>
            <w:webHidden/>
          </w:rPr>
          <w:fldChar w:fldCharType="end"/>
        </w:r>
      </w:hyperlink>
    </w:p>
    <w:p>
      <w:pPr>
        <w:pStyle w:val="TOC2"/>
      </w:pPr>
      <w:hyperlink w:anchor="_Toc300000784" w:history="1">
        <w:r>
          <w:rPr>
            <w:noProof/>
          </w:rPr>
          <w:t xml:space="preserve">Article 24.3: Levels of Protection</w:t>
        </w:r>
        <w:r>
          <w:rPr>
            <w:noProof/>
            <w:webHidden/>
          </w:rPr>
          <w:tab/>
        </w:r>
        <w:r>
          <w:rPr>
            <w:noProof/>
            <w:webHidden/>
          </w:rPr>
          <w:fldChar w:fldCharType="begin"/>
        </w:r>
        <w:r>
          <w:rPr>
            <w:noProof/>
            <w:webHidden/>
          </w:rPr>
          <w:instrText xml:space="preserve"> PAGEREF _Toc300000784 \h </w:instrText>
        </w:r>
        <w:r>
          <w:rPr>
            <w:noProof/>
            <w:webHidden/>
          </w:rPr>
          <w:fldChar w:fldCharType="separate"/>
        </w:r>
        <w:r>
          <w:rPr>
            <w:noProof/>
            <w:webHidden/>
          </w:rPr>
          <w:t>1200</w:t>
        </w:r>
        <w:r>
          <w:rPr>
            <w:noProof/>
            <w:webHidden/>
          </w:rPr>
          <w:fldChar w:fldCharType="end"/>
        </w:r>
      </w:hyperlink>
    </w:p>
    <w:p>
      <w:pPr>
        <w:pStyle w:val="TOC2"/>
      </w:pPr>
      <w:hyperlink w:anchor="_Toc300000785" w:history="1">
        <w:r>
          <w:rPr>
            <w:noProof/>
          </w:rPr>
          <w:t xml:space="preserve">Article 24.4: Enforcement of Environmental Laws</w:t>
        </w:r>
        <w:r>
          <w:rPr>
            <w:noProof/>
            <w:webHidden/>
          </w:rPr>
          <w:tab/>
        </w:r>
        <w:r>
          <w:rPr>
            <w:noProof/>
            <w:webHidden/>
          </w:rPr>
          <w:fldChar w:fldCharType="begin"/>
        </w:r>
        <w:r>
          <w:rPr>
            <w:noProof/>
            <w:webHidden/>
          </w:rPr>
          <w:instrText xml:space="preserve"> PAGEREF _Toc300000785 \h </w:instrText>
        </w:r>
        <w:r>
          <w:rPr>
            <w:noProof/>
            <w:webHidden/>
          </w:rPr>
          <w:fldChar w:fldCharType="separate"/>
        </w:r>
        <w:r>
          <w:rPr>
            <w:noProof/>
            <w:webHidden/>
          </w:rPr>
          <w:t>1200</w:t>
        </w:r>
        <w:r>
          <w:rPr>
            <w:noProof/>
            <w:webHidden/>
          </w:rPr>
          <w:fldChar w:fldCharType="end"/>
        </w:r>
      </w:hyperlink>
    </w:p>
    <w:p>
      <w:pPr>
        <w:pStyle w:val="TOC2"/>
      </w:pPr>
      <w:hyperlink w:anchor="_Toc300000786" w:history="1">
        <w:r>
          <w:rPr>
            <w:noProof/>
          </w:rPr>
          <w:t xml:space="preserve">Article 24.5: Public Information and Participation</w:t>
        </w:r>
        <w:r>
          <w:rPr>
            <w:noProof/>
            <w:webHidden/>
          </w:rPr>
          <w:tab/>
        </w:r>
        <w:r>
          <w:rPr>
            <w:noProof/>
            <w:webHidden/>
          </w:rPr>
          <w:fldChar w:fldCharType="begin"/>
        </w:r>
        <w:r>
          <w:rPr>
            <w:noProof/>
            <w:webHidden/>
          </w:rPr>
          <w:instrText xml:space="preserve"> PAGEREF _Toc300000786 \h </w:instrText>
        </w:r>
        <w:r>
          <w:rPr>
            <w:noProof/>
            <w:webHidden/>
          </w:rPr>
          <w:fldChar w:fldCharType="separate"/>
        </w:r>
        <w:r>
          <w:rPr>
            <w:noProof/>
            <w:webHidden/>
          </w:rPr>
          <w:t>1200</w:t>
        </w:r>
        <w:r>
          <w:rPr>
            <w:noProof/>
            <w:webHidden/>
          </w:rPr>
          <w:fldChar w:fldCharType="end"/>
        </w:r>
      </w:hyperlink>
    </w:p>
    <w:p>
      <w:pPr>
        <w:pStyle w:val="TOC2"/>
      </w:pPr>
      <w:hyperlink w:anchor="_Toc300000787" w:history="1">
        <w:r>
          <w:rPr>
            <w:noProof/>
          </w:rPr>
          <w:t xml:space="preserve">Article 24.6: Procedural Matters</w:t>
        </w:r>
        <w:r>
          <w:rPr>
            <w:noProof/>
            <w:webHidden/>
          </w:rPr>
          <w:tab/>
        </w:r>
        <w:r>
          <w:rPr>
            <w:noProof/>
            <w:webHidden/>
          </w:rPr>
          <w:fldChar w:fldCharType="begin"/>
        </w:r>
        <w:r>
          <w:rPr>
            <w:noProof/>
            <w:webHidden/>
          </w:rPr>
          <w:instrText xml:space="preserve"> PAGEREF _Toc300000787 \h </w:instrText>
        </w:r>
        <w:r>
          <w:rPr>
            <w:noProof/>
            <w:webHidden/>
          </w:rPr>
          <w:fldChar w:fldCharType="separate"/>
        </w:r>
        <w:r>
          <w:rPr>
            <w:noProof/>
            <w:webHidden/>
          </w:rPr>
          <w:t>1201</w:t>
        </w:r>
        <w:r>
          <w:rPr>
            <w:noProof/>
            <w:webHidden/>
          </w:rPr>
          <w:fldChar w:fldCharType="end"/>
        </w:r>
      </w:hyperlink>
    </w:p>
    <w:p>
      <w:pPr>
        <w:pStyle w:val="TOC2"/>
      </w:pPr>
      <w:hyperlink w:anchor="_Toc300000788" w:history="1">
        <w:r>
          <w:rPr>
            <w:noProof/>
          </w:rPr>
          <w:t xml:space="preserve">Article 24.7: Environmental Impact Assessment</w:t>
        </w:r>
        <w:r>
          <w:rPr>
            <w:noProof/>
            <w:webHidden/>
          </w:rPr>
          <w:tab/>
        </w:r>
        <w:r>
          <w:rPr>
            <w:noProof/>
            <w:webHidden/>
          </w:rPr>
          <w:fldChar w:fldCharType="begin"/>
        </w:r>
        <w:r>
          <w:rPr>
            <w:noProof/>
            <w:webHidden/>
          </w:rPr>
          <w:instrText xml:space="preserve"> PAGEREF _Toc300000788 \h </w:instrText>
        </w:r>
        <w:r>
          <w:rPr>
            <w:noProof/>
            <w:webHidden/>
          </w:rPr>
          <w:fldChar w:fldCharType="separate"/>
        </w:r>
        <w:r>
          <w:rPr>
            <w:noProof/>
            <w:webHidden/>
          </w:rPr>
          <w:t>1202</w:t>
        </w:r>
        <w:r>
          <w:rPr>
            <w:noProof/>
            <w:webHidden/>
          </w:rPr>
          <w:fldChar w:fldCharType="end"/>
        </w:r>
      </w:hyperlink>
    </w:p>
    <w:p>
      <w:pPr>
        <w:pStyle w:val="TOC2"/>
      </w:pPr>
      <w:hyperlink w:anchor="_Toc300000789" w:history="1">
        <w:r>
          <w:rPr>
            <w:noProof/>
          </w:rPr>
          <w:t xml:space="preserve">Article 24.8: Multilateral Environmental Agreements</w:t>
        </w:r>
        <w:r>
          <w:rPr>
            <w:noProof/>
            <w:webHidden/>
          </w:rPr>
          <w:tab/>
        </w:r>
        <w:r>
          <w:rPr>
            <w:noProof/>
            <w:webHidden/>
          </w:rPr>
          <w:fldChar w:fldCharType="begin"/>
        </w:r>
        <w:r>
          <w:rPr>
            <w:noProof/>
            <w:webHidden/>
          </w:rPr>
          <w:instrText xml:space="preserve"> PAGEREF _Toc300000789 \h </w:instrText>
        </w:r>
        <w:r>
          <w:rPr>
            <w:noProof/>
            <w:webHidden/>
          </w:rPr>
          <w:fldChar w:fldCharType="separate"/>
        </w:r>
        <w:r>
          <w:rPr>
            <w:noProof/>
            <w:webHidden/>
          </w:rPr>
          <w:t>1202</w:t>
        </w:r>
        <w:r>
          <w:rPr>
            <w:noProof/>
            <w:webHidden/>
          </w:rPr>
          <w:fldChar w:fldCharType="end"/>
        </w:r>
      </w:hyperlink>
    </w:p>
    <w:p>
      <w:pPr>
        <w:pStyle w:val="TOC2"/>
      </w:pPr>
      <w:hyperlink w:anchor="_Toc300000790" w:history="1">
        <w:r>
          <w:rPr>
            <w:noProof/>
          </w:rPr>
          <w:t xml:space="preserve">Article 24.9: Protection of the Ozone Layer</w:t>
        </w:r>
        <w:r>
          <w:rPr>
            <w:noProof/>
            <w:webHidden/>
          </w:rPr>
          <w:tab/>
        </w:r>
        <w:r>
          <w:rPr>
            <w:noProof/>
            <w:webHidden/>
          </w:rPr>
          <w:fldChar w:fldCharType="begin"/>
        </w:r>
        <w:r>
          <w:rPr>
            <w:noProof/>
            <w:webHidden/>
          </w:rPr>
          <w:instrText xml:space="preserve"> PAGEREF _Toc300000790 \h </w:instrText>
        </w:r>
        <w:r>
          <w:rPr>
            <w:noProof/>
            <w:webHidden/>
          </w:rPr>
          <w:fldChar w:fldCharType="separate"/>
        </w:r>
        <w:r>
          <w:rPr>
            <w:noProof/>
            <w:webHidden/>
          </w:rPr>
          <w:t>1202</w:t>
        </w:r>
        <w:r>
          <w:rPr>
            <w:noProof/>
            <w:webHidden/>
          </w:rPr>
          <w:fldChar w:fldCharType="end"/>
        </w:r>
      </w:hyperlink>
    </w:p>
    <w:p>
      <w:pPr>
        <w:pStyle w:val="TOC2"/>
      </w:pPr>
      <w:hyperlink w:anchor="_Toc300000791" w:history="1">
        <w:r>
          <w:rPr>
            <w:noProof/>
          </w:rPr>
          <w:t xml:space="preserve">Article 24.10: Protection of the Marine Environment from Ship Pollution</w:t>
        </w:r>
        <w:r>
          <w:rPr>
            <w:noProof/>
            <w:webHidden/>
          </w:rPr>
          <w:tab/>
        </w:r>
        <w:r>
          <w:rPr>
            <w:noProof/>
            <w:webHidden/>
          </w:rPr>
          <w:fldChar w:fldCharType="begin"/>
        </w:r>
        <w:r>
          <w:rPr>
            <w:noProof/>
            <w:webHidden/>
          </w:rPr>
          <w:instrText xml:space="preserve"> PAGEREF _Toc300000791 \h </w:instrText>
        </w:r>
        <w:r>
          <w:rPr>
            <w:noProof/>
            <w:webHidden/>
          </w:rPr>
          <w:fldChar w:fldCharType="separate"/>
        </w:r>
        <w:r>
          <w:rPr>
            <w:noProof/>
            <w:webHidden/>
          </w:rPr>
          <w:t>1203</w:t>
        </w:r>
        <w:r>
          <w:rPr>
            <w:noProof/>
            <w:webHidden/>
          </w:rPr>
          <w:fldChar w:fldCharType="end"/>
        </w:r>
      </w:hyperlink>
    </w:p>
    <w:p>
      <w:pPr>
        <w:pStyle w:val="TOC2"/>
      </w:pPr>
      <w:hyperlink w:anchor="_Toc300000792" w:history="1">
        <w:r>
          <w:rPr>
            <w:noProof/>
          </w:rPr>
          <w:t xml:space="preserve">Article 24.11: Air Quality</w:t>
        </w:r>
        <w:r>
          <w:rPr>
            <w:noProof/>
            <w:webHidden/>
          </w:rPr>
          <w:tab/>
        </w:r>
        <w:r>
          <w:rPr>
            <w:noProof/>
            <w:webHidden/>
          </w:rPr>
          <w:fldChar w:fldCharType="begin"/>
        </w:r>
        <w:r>
          <w:rPr>
            <w:noProof/>
            <w:webHidden/>
          </w:rPr>
          <w:instrText xml:space="preserve"> PAGEREF _Toc300000792 \h </w:instrText>
        </w:r>
        <w:r>
          <w:rPr>
            <w:noProof/>
            <w:webHidden/>
          </w:rPr>
          <w:fldChar w:fldCharType="separate"/>
        </w:r>
        <w:r>
          <w:rPr>
            <w:noProof/>
            <w:webHidden/>
          </w:rPr>
          <w:t>1204</w:t>
        </w:r>
        <w:r>
          <w:rPr>
            <w:noProof/>
            <w:webHidden/>
          </w:rPr>
          <w:fldChar w:fldCharType="end"/>
        </w:r>
      </w:hyperlink>
    </w:p>
    <w:p>
      <w:pPr>
        <w:pStyle w:val="TOC2"/>
      </w:pPr>
      <w:hyperlink w:anchor="_Toc300000793" w:history="1">
        <w:r>
          <w:rPr>
            <w:noProof/>
          </w:rPr>
          <w:t xml:space="preserve">Article 24.12: Marine Litter</w:t>
        </w:r>
        <w:r>
          <w:rPr>
            <w:noProof/>
            <w:webHidden/>
          </w:rPr>
          <w:tab/>
        </w:r>
        <w:r>
          <w:rPr>
            <w:noProof/>
            <w:webHidden/>
          </w:rPr>
          <w:fldChar w:fldCharType="begin"/>
        </w:r>
        <w:r>
          <w:rPr>
            <w:noProof/>
            <w:webHidden/>
          </w:rPr>
          <w:instrText xml:space="preserve"> PAGEREF _Toc300000793 \h </w:instrText>
        </w:r>
        <w:r>
          <w:rPr>
            <w:noProof/>
            <w:webHidden/>
          </w:rPr>
          <w:fldChar w:fldCharType="separate"/>
        </w:r>
        <w:r>
          <w:rPr>
            <w:noProof/>
            <w:webHidden/>
          </w:rPr>
          <w:t>1205</w:t>
        </w:r>
        <w:r>
          <w:rPr>
            <w:noProof/>
            <w:webHidden/>
          </w:rPr>
          <w:fldChar w:fldCharType="end"/>
        </w:r>
      </w:hyperlink>
    </w:p>
    <w:p>
      <w:pPr>
        <w:pStyle w:val="TOC2"/>
      </w:pPr>
      <w:hyperlink w:anchor="_Toc300000794" w:history="1">
        <w:r>
          <w:rPr>
            <w:noProof/>
          </w:rPr>
          <w:t xml:space="preserve">Article 24.13: Corporate Social Responsibility and Responsible Business Conduct</w:t>
        </w:r>
        <w:r>
          <w:rPr>
            <w:noProof/>
            <w:webHidden/>
          </w:rPr>
          <w:tab/>
        </w:r>
        <w:r>
          <w:rPr>
            <w:noProof/>
            <w:webHidden/>
          </w:rPr>
          <w:fldChar w:fldCharType="begin"/>
        </w:r>
        <w:r>
          <w:rPr>
            <w:noProof/>
            <w:webHidden/>
          </w:rPr>
          <w:instrText xml:space="preserve"> PAGEREF _Toc300000794 \h </w:instrText>
        </w:r>
        <w:r>
          <w:rPr>
            <w:noProof/>
            <w:webHidden/>
          </w:rPr>
          <w:fldChar w:fldCharType="separate"/>
        </w:r>
        <w:r>
          <w:rPr>
            <w:noProof/>
            <w:webHidden/>
          </w:rPr>
          <w:t>1205</w:t>
        </w:r>
        <w:r>
          <w:rPr>
            <w:noProof/>
            <w:webHidden/>
          </w:rPr>
          <w:fldChar w:fldCharType="end"/>
        </w:r>
      </w:hyperlink>
    </w:p>
    <w:p>
      <w:pPr>
        <w:pStyle w:val="TOC2"/>
      </w:pPr>
      <w:hyperlink w:anchor="_Toc300000795" w:history="1">
        <w:r>
          <w:rPr>
            <w:noProof/>
          </w:rPr>
          <w:t xml:space="preserve">Article 24.14: Voluntary Mechanisms to Enhance Environmental Performance</w:t>
        </w:r>
        <w:r>
          <w:rPr>
            <w:noProof/>
            <w:webHidden/>
          </w:rPr>
          <w:tab/>
        </w:r>
        <w:r>
          <w:rPr>
            <w:noProof/>
            <w:webHidden/>
          </w:rPr>
          <w:fldChar w:fldCharType="begin"/>
        </w:r>
        <w:r>
          <w:rPr>
            <w:noProof/>
            <w:webHidden/>
          </w:rPr>
          <w:instrText xml:space="preserve"> PAGEREF _Toc300000795 \h </w:instrText>
        </w:r>
        <w:r>
          <w:rPr>
            <w:noProof/>
            <w:webHidden/>
          </w:rPr>
          <w:fldChar w:fldCharType="separate"/>
        </w:r>
        <w:r>
          <w:rPr>
            <w:noProof/>
            <w:webHidden/>
          </w:rPr>
          <w:t>1205</w:t>
        </w:r>
        <w:r>
          <w:rPr>
            <w:noProof/>
            <w:webHidden/>
          </w:rPr>
          <w:fldChar w:fldCharType="end"/>
        </w:r>
      </w:hyperlink>
    </w:p>
    <w:p>
      <w:pPr>
        <w:pStyle w:val="TOC2"/>
      </w:pPr>
      <w:hyperlink w:anchor="_Toc300000796" w:history="1">
        <w:r>
          <w:rPr>
            <w:noProof/>
          </w:rPr>
          <w:t xml:space="preserve">Article 24.15: Trade and Biodiversity</w:t>
        </w:r>
        <w:r>
          <w:rPr>
            <w:noProof/>
            <w:webHidden/>
          </w:rPr>
          <w:tab/>
        </w:r>
        <w:r>
          <w:rPr>
            <w:noProof/>
            <w:webHidden/>
          </w:rPr>
          <w:fldChar w:fldCharType="begin"/>
        </w:r>
        <w:r>
          <w:rPr>
            <w:noProof/>
            <w:webHidden/>
          </w:rPr>
          <w:instrText xml:space="preserve"> PAGEREF _Toc300000796 \h </w:instrText>
        </w:r>
        <w:r>
          <w:rPr>
            <w:noProof/>
            <w:webHidden/>
          </w:rPr>
          <w:fldChar w:fldCharType="separate"/>
        </w:r>
        <w:r>
          <w:rPr>
            <w:noProof/>
            <w:webHidden/>
          </w:rPr>
          <w:t>1206</w:t>
        </w:r>
        <w:r>
          <w:rPr>
            <w:noProof/>
            <w:webHidden/>
          </w:rPr>
          <w:fldChar w:fldCharType="end"/>
        </w:r>
      </w:hyperlink>
    </w:p>
    <w:p>
      <w:pPr>
        <w:pStyle w:val="TOC2"/>
      </w:pPr>
      <w:hyperlink w:anchor="_Toc300000797" w:history="1">
        <w:r>
          <w:rPr>
            <w:noProof/>
          </w:rPr>
          <w:t xml:space="preserve">Article 24.16: Invasive Alien Species</w:t>
        </w:r>
        <w:r>
          <w:rPr>
            <w:noProof/>
            <w:webHidden/>
          </w:rPr>
          <w:tab/>
        </w:r>
        <w:r>
          <w:rPr>
            <w:noProof/>
            <w:webHidden/>
          </w:rPr>
          <w:fldChar w:fldCharType="begin"/>
        </w:r>
        <w:r>
          <w:rPr>
            <w:noProof/>
            <w:webHidden/>
          </w:rPr>
          <w:instrText xml:space="preserve"> PAGEREF _Toc300000797 \h </w:instrText>
        </w:r>
        <w:r>
          <w:rPr>
            <w:noProof/>
            <w:webHidden/>
          </w:rPr>
          <w:fldChar w:fldCharType="separate"/>
        </w:r>
        <w:r>
          <w:rPr>
            <w:noProof/>
            <w:webHidden/>
          </w:rPr>
          <w:t>1206</w:t>
        </w:r>
        <w:r>
          <w:rPr>
            <w:noProof/>
            <w:webHidden/>
          </w:rPr>
          <w:fldChar w:fldCharType="end"/>
        </w:r>
      </w:hyperlink>
    </w:p>
    <w:p>
      <w:pPr>
        <w:pStyle w:val="TOC2"/>
      </w:pPr>
      <w:hyperlink w:anchor="_Toc300000798" w:history="1">
        <w:r>
          <w:rPr>
            <w:noProof/>
          </w:rPr>
          <w:t xml:space="preserve">Article 24.17: Marine Wild Capture Fisheries</w:t>
        </w:r>
        <w:r>
          <w:rPr>
            <w:noProof/>
            <w:webHidden/>
          </w:rPr>
          <w:tab/>
        </w:r>
        <w:r>
          <w:rPr>
            <w:noProof/>
            <w:webHidden/>
          </w:rPr>
          <w:fldChar w:fldCharType="begin"/>
        </w:r>
        <w:r>
          <w:rPr>
            <w:noProof/>
            <w:webHidden/>
          </w:rPr>
          <w:instrText xml:space="preserve"> PAGEREF _Toc300000798 \h </w:instrText>
        </w:r>
        <w:r>
          <w:rPr>
            <w:noProof/>
            <w:webHidden/>
          </w:rPr>
          <w:fldChar w:fldCharType="separate"/>
        </w:r>
        <w:r>
          <w:rPr>
            <w:noProof/>
            <w:webHidden/>
          </w:rPr>
          <w:t>1207</w:t>
        </w:r>
        <w:r>
          <w:rPr>
            <w:noProof/>
            <w:webHidden/>
          </w:rPr>
          <w:fldChar w:fldCharType="end"/>
        </w:r>
      </w:hyperlink>
    </w:p>
    <w:p>
      <w:pPr>
        <w:pStyle w:val="TOC2"/>
      </w:pPr>
      <w:hyperlink w:anchor="_Toc300000799" w:history="1">
        <w:r>
          <w:rPr>
            <w:noProof/>
          </w:rPr>
          <w:t xml:space="preserve">Article 24.18: Sustainable Fisheries Management</w:t>
        </w:r>
        <w:r>
          <w:rPr>
            <w:noProof/>
            <w:webHidden/>
          </w:rPr>
          <w:tab/>
        </w:r>
        <w:r>
          <w:rPr>
            <w:noProof/>
            <w:webHidden/>
          </w:rPr>
          <w:fldChar w:fldCharType="begin"/>
        </w:r>
        <w:r>
          <w:rPr>
            <w:noProof/>
            <w:webHidden/>
          </w:rPr>
          <w:instrText xml:space="preserve"> PAGEREF _Toc300000799 \h </w:instrText>
        </w:r>
        <w:r>
          <w:rPr>
            <w:noProof/>
            <w:webHidden/>
          </w:rPr>
          <w:fldChar w:fldCharType="separate"/>
        </w:r>
        <w:r>
          <w:rPr>
            <w:noProof/>
            <w:webHidden/>
          </w:rPr>
          <w:t>1208</w:t>
        </w:r>
        <w:r>
          <w:rPr>
            <w:noProof/>
            <w:webHidden/>
          </w:rPr>
          <w:fldChar w:fldCharType="end"/>
        </w:r>
      </w:hyperlink>
    </w:p>
    <w:p>
      <w:pPr>
        <w:pStyle w:val="TOC2"/>
      </w:pPr>
      <w:hyperlink w:anchor="_Toc300000800" w:history="1">
        <w:r>
          <w:rPr>
            <w:noProof/>
          </w:rPr>
          <w:t xml:space="preserve">Article 24.19: Conservation of Marine Species</w:t>
        </w:r>
        <w:r>
          <w:rPr>
            <w:noProof/>
            <w:webHidden/>
          </w:rPr>
          <w:tab/>
        </w:r>
        <w:r>
          <w:rPr>
            <w:noProof/>
            <w:webHidden/>
          </w:rPr>
          <w:fldChar w:fldCharType="begin"/>
        </w:r>
        <w:r>
          <w:rPr>
            <w:noProof/>
            <w:webHidden/>
          </w:rPr>
          <w:instrText xml:space="preserve"> PAGEREF _Toc300000800 \h </w:instrText>
        </w:r>
        <w:r>
          <w:rPr>
            <w:noProof/>
            <w:webHidden/>
          </w:rPr>
          <w:fldChar w:fldCharType="separate"/>
        </w:r>
        <w:r>
          <w:rPr>
            <w:noProof/>
            <w:webHidden/>
          </w:rPr>
          <w:t>1208</w:t>
        </w:r>
        <w:r>
          <w:rPr>
            <w:noProof/>
            <w:webHidden/>
          </w:rPr>
          <w:fldChar w:fldCharType="end"/>
        </w:r>
      </w:hyperlink>
    </w:p>
    <w:p>
      <w:pPr>
        <w:pStyle w:val="TOC2"/>
      </w:pPr>
      <w:hyperlink w:anchor="_Toc300000801" w:history="1">
        <w:r>
          <w:rPr>
            <w:noProof/>
          </w:rPr>
          <w:t xml:space="preserve">Article 24.20: Fisheries Subsidies</w:t>
        </w:r>
        <w:r>
          <w:rPr>
            <w:noProof/>
            <w:webHidden/>
          </w:rPr>
          <w:tab/>
        </w:r>
        <w:r>
          <w:rPr>
            <w:noProof/>
            <w:webHidden/>
          </w:rPr>
          <w:fldChar w:fldCharType="begin"/>
        </w:r>
        <w:r>
          <w:rPr>
            <w:noProof/>
            <w:webHidden/>
          </w:rPr>
          <w:instrText xml:space="preserve"> PAGEREF _Toc300000801 \h </w:instrText>
        </w:r>
        <w:r>
          <w:rPr>
            <w:noProof/>
            <w:webHidden/>
          </w:rPr>
          <w:fldChar w:fldCharType="separate"/>
        </w:r>
        <w:r>
          <w:rPr>
            <w:noProof/>
            <w:webHidden/>
          </w:rPr>
          <w:t>1209</w:t>
        </w:r>
        <w:r>
          <w:rPr>
            <w:noProof/>
            <w:webHidden/>
          </w:rPr>
          <w:fldChar w:fldCharType="end"/>
        </w:r>
      </w:hyperlink>
    </w:p>
    <w:p>
      <w:pPr>
        <w:pStyle w:val="TOC2"/>
      </w:pPr>
      <w:hyperlink w:anchor="_Toc300000802" w:history="1">
        <w:r>
          <w:rPr>
            <w:noProof/>
          </w:rPr>
          <w:t xml:space="preserve">Article 24.21: Illegal, Unreported, and Unregulated (IUU) Fishing</w:t>
        </w:r>
        <w:r>
          <w:rPr>
            <w:noProof/>
            <w:webHidden/>
          </w:rPr>
          <w:tab/>
        </w:r>
        <w:r>
          <w:rPr>
            <w:noProof/>
            <w:webHidden/>
          </w:rPr>
          <w:fldChar w:fldCharType="begin"/>
        </w:r>
        <w:r>
          <w:rPr>
            <w:noProof/>
            <w:webHidden/>
          </w:rPr>
          <w:instrText xml:space="preserve"> PAGEREF _Toc300000802 \h </w:instrText>
        </w:r>
        <w:r>
          <w:rPr>
            <w:noProof/>
            <w:webHidden/>
          </w:rPr>
          <w:fldChar w:fldCharType="separate"/>
        </w:r>
        <w:r>
          <w:rPr>
            <w:noProof/>
            <w:webHidden/>
          </w:rPr>
          <w:t>1211</w:t>
        </w:r>
        <w:r>
          <w:rPr>
            <w:noProof/>
            <w:webHidden/>
          </w:rPr>
          <w:fldChar w:fldCharType="end"/>
        </w:r>
      </w:hyperlink>
    </w:p>
    <w:p>
      <w:pPr>
        <w:pStyle w:val="TOC2"/>
      </w:pPr>
      <w:hyperlink w:anchor="_Toc300000803" w:history="1">
        <w:r>
          <w:rPr>
            <w:noProof/>
          </w:rPr>
          <w:t xml:space="preserve">Article 24.22: Conservation and Trade</w:t>
        </w:r>
        <w:r>
          <w:rPr>
            <w:noProof/>
            <w:webHidden/>
          </w:rPr>
          <w:tab/>
        </w:r>
        <w:r>
          <w:rPr>
            <w:noProof/>
            <w:webHidden/>
          </w:rPr>
          <w:fldChar w:fldCharType="begin"/>
        </w:r>
        <w:r>
          <w:rPr>
            <w:noProof/>
            <w:webHidden/>
          </w:rPr>
          <w:instrText xml:space="preserve"> PAGEREF _Toc300000803 \h </w:instrText>
        </w:r>
        <w:r>
          <w:rPr>
            <w:noProof/>
            <w:webHidden/>
          </w:rPr>
          <w:fldChar w:fldCharType="separate"/>
        </w:r>
        <w:r>
          <w:rPr>
            <w:noProof/>
            <w:webHidden/>
          </w:rPr>
          <w:t>1211</w:t>
        </w:r>
        <w:r>
          <w:rPr>
            <w:noProof/>
            <w:webHidden/>
          </w:rPr>
          <w:fldChar w:fldCharType="end"/>
        </w:r>
      </w:hyperlink>
    </w:p>
    <w:p>
      <w:pPr>
        <w:pStyle w:val="TOC2"/>
      </w:pPr>
      <w:hyperlink w:anchor="_Toc300000804" w:history="1">
        <w:r>
          <w:rPr>
            <w:noProof/>
          </w:rPr>
          <w:t xml:space="preserve">Article 24.23: Sustainable Forest Management and Trade</w:t>
        </w:r>
        <w:r>
          <w:rPr>
            <w:noProof/>
            <w:webHidden/>
          </w:rPr>
          <w:tab/>
        </w:r>
        <w:r>
          <w:rPr>
            <w:noProof/>
            <w:webHidden/>
          </w:rPr>
          <w:fldChar w:fldCharType="begin"/>
        </w:r>
        <w:r>
          <w:rPr>
            <w:noProof/>
            <w:webHidden/>
          </w:rPr>
          <w:instrText xml:space="preserve"> PAGEREF _Toc300000804 \h </w:instrText>
        </w:r>
        <w:r>
          <w:rPr>
            <w:noProof/>
            <w:webHidden/>
          </w:rPr>
          <w:fldChar w:fldCharType="separate"/>
        </w:r>
        <w:r>
          <w:rPr>
            <w:noProof/>
            <w:webHidden/>
          </w:rPr>
          <w:t>1213</w:t>
        </w:r>
        <w:r>
          <w:rPr>
            <w:noProof/>
            <w:webHidden/>
          </w:rPr>
          <w:fldChar w:fldCharType="end"/>
        </w:r>
      </w:hyperlink>
    </w:p>
    <w:p>
      <w:pPr>
        <w:pStyle w:val="TOC2"/>
      </w:pPr>
      <w:hyperlink w:anchor="_Toc300000805" w:history="1">
        <w:r>
          <w:rPr>
            <w:noProof/>
          </w:rPr>
          <w:t xml:space="preserve">Article 24.24: Environmental Goods and Services</w:t>
        </w:r>
        <w:r>
          <w:rPr>
            <w:noProof/>
            <w:webHidden/>
          </w:rPr>
          <w:tab/>
        </w:r>
        <w:r>
          <w:rPr>
            <w:noProof/>
            <w:webHidden/>
          </w:rPr>
          <w:fldChar w:fldCharType="begin"/>
        </w:r>
        <w:r>
          <w:rPr>
            <w:noProof/>
            <w:webHidden/>
          </w:rPr>
          <w:instrText xml:space="preserve"> PAGEREF _Toc300000805 \h </w:instrText>
        </w:r>
        <w:r>
          <w:rPr>
            <w:noProof/>
            <w:webHidden/>
          </w:rPr>
          <w:fldChar w:fldCharType="separate"/>
        </w:r>
        <w:r>
          <w:rPr>
            <w:noProof/>
            <w:webHidden/>
          </w:rPr>
          <w:t>1214</w:t>
        </w:r>
        <w:r>
          <w:rPr>
            <w:noProof/>
            <w:webHidden/>
          </w:rPr>
          <w:fldChar w:fldCharType="end"/>
        </w:r>
      </w:hyperlink>
    </w:p>
    <w:p>
      <w:pPr>
        <w:pStyle w:val="TOC2"/>
      </w:pPr>
      <w:hyperlink w:anchor="_Toc300000806" w:history="1">
        <w:r>
          <w:rPr>
            <w:noProof/>
          </w:rPr>
          <w:t xml:space="preserve">Article 24.25: Environmental Cooperation</w:t>
        </w:r>
        <w:r>
          <w:rPr>
            <w:noProof/>
            <w:webHidden/>
          </w:rPr>
          <w:tab/>
        </w:r>
        <w:r>
          <w:rPr>
            <w:noProof/>
            <w:webHidden/>
          </w:rPr>
          <w:fldChar w:fldCharType="begin"/>
        </w:r>
        <w:r>
          <w:rPr>
            <w:noProof/>
            <w:webHidden/>
          </w:rPr>
          <w:instrText xml:space="preserve"> PAGEREF _Toc300000806 \h </w:instrText>
        </w:r>
        <w:r>
          <w:rPr>
            <w:noProof/>
            <w:webHidden/>
          </w:rPr>
          <w:fldChar w:fldCharType="separate"/>
        </w:r>
        <w:r>
          <w:rPr>
            <w:noProof/>
            <w:webHidden/>
          </w:rPr>
          <w:t>1214</w:t>
        </w:r>
        <w:r>
          <w:rPr>
            <w:noProof/>
            <w:webHidden/>
          </w:rPr>
          <w:fldChar w:fldCharType="end"/>
        </w:r>
      </w:hyperlink>
    </w:p>
    <w:p>
      <w:pPr>
        <w:pStyle w:val="TOC2"/>
      </w:pPr>
      <w:hyperlink w:anchor="_Toc300000807" w:history="1">
        <w:r>
          <w:rPr>
            <w:noProof/>
          </w:rPr>
          <w:t xml:space="preserve">Article 24.26: Environment Committee and Contact Points</w:t>
        </w:r>
        <w:r>
          <w:rPr>
            <w:noProof/>
            <w:webHidden/>
          </w:rPr>
          <w:tab/>
        </w:r>
        <w:r>
          <w:rPr>
            <w:noProof/>
            <w:webHidden/>
          </w:rPr>
          <w:fldChar w:fldCharType="begin"/>
        </w:r>
        <w:r>
          <w:rPr>
            <w:noProof/>
            <w:webHidden/>
          </w:rPr>
          <w:instrText xml:space="preserve"> PAGEREF _Toc300000807 \h </w:instrText>
        </w:r>
        <w:r>
          <w:rPr>
            <w:noProof/>
            <w:webHidden/>
          </w:rPr>
          <w:fldChar w:fldCharType="separate"/>
        </w:r>
        <w:r>
          <w:rPr>
            <w:noProof/>
            <w:webHidden/>
          </w:rPr>
          <w:t>1215</w:t>
        </w:r>
        <w:r>
          <w:rPr>
            <w:noProof/>
            <w:webHidden/>
          </w:rPr>
          <w:fldChar w:fldCharType="end"/>
        </w:r>
      </w:hyperlink>
    </w:p>
    <w:p>
      <w:pPr>
        <w:pStyle w:val="TOC2"/>
      </w:pPr>
      <w:hyperlink w:anchor="_Toc300000808" w:history="1">
        <w:r>
          <w:rPr>
            <w:noProof/>
          </w:rPr>
          <w:t xml:space="preserve">Article 24.27: Submissions on Enforcement Matters</w:t>
        </w:r>
        <w:r>
          <w:rPr>
            <w:noProof/>
            <w:webHidden/>
          </w:rPr>
          <w:tab/>
        </w:r>
        <w:r>
          <w:rPr>
            <w:noProof/>
            <w:webHidden/>
          </w:rPr>
          <w:fldChar w:fldCharType="begin"/>
        </w:r>
        <w:r>
          <w:rPr>
            <w:noProof/>
            <w:webHidden/>
          </w:rPr>
          <w:instrText xml:space="preserve"> PAGEREF _Toc300000808 \h </w:instrText>
        </w:r>
        <w:r>
          <w:rPr>
            <w:noProof/>
            <w:webHidden/>
          </w:rPr>
          <w:fldChar w:fldCharType="separate"/>
        </w:r>
        <w:r>
          <w:rPr>
            <w:noProof/>
            <w:webHidden/>
          </w:rPr>
          <w:t>1216</w:t>
        </w:r>
        <w:r>
          <w:rPr>
            <w:noProof/>
            <w:webHidden/>
          </w:rPr>
          <w:fldChar w:fldCharType="end"/>
        </w:r>
      </w:hyperlink>
    </w:p>
    <w:p>
      <w:pPr>
        <w:pStyle w:val="TOC2"/>
      </w:pPr>
      <w:hyperlink w:anchor="_Toc300000809" w:history="1">
        <w:r>
          <w:rPr>
            <w:noProof/>
          </w:rPr>
          <w:t xml:space="preserve">Article 24.28: Factual Records and Related Cooperation</w:t>
        </w:r>
        <w:r>
          <w:rPr>
            <w:noProof/>
            <w:webHidden/>
          </w:rPr>
          <w:tab/>
        </w:r>
        <w:r>
          <w:rPr>
            <w:noProof/>
            <w:webHidden/>
          </w:rPr>
          <w:fldChar w:fldCharType="begin"/>
        </w:r>
        <w:r>
          <w:rPr>
            <w:noProof/>
            <w:webHidden/>
          </w:rPr>
          <w:instrText xml:space="preserve"> PAGEREF _Toc300000809 \h </w:instrText>
        </w:r>
        <w:r>
          <w:rPr>
            <w:noProof/>
            <w:webHidden/>
          </w:rPr>
          <w:fldChar w:fldCharType="separate"/>
        </w:r>
        <w:r>
          <w:rPr>
            <w:noProof/>
            <w:webHidden/>
          </w:rPr>
          <w:t>1216</w:t>
        </w:r>
        <w:r>
          <w:rPr>
            <w:noProof/>
            <w:webHidden/>
          </w:rPr>
          <w:fldChar w:fldCharType="end"/>
        </w:r>
      </w:hyperlink>
    </w:p>
    <w:p>
      <w:pPr>
        <w:pStyle w:val="TOC2"/>
      </w:pPr>
      <w:hyperlink w:anchor="_Toc300000810" w:history="1">
        <w:r>
          <w:rPr>
            <w:noProof/>
          </w:rPr>
          <w:t xml:space="preserve">Article 24.29: Environment Consultations</w:t>
        </w:r>
        <w:r>
          <w:rPr>
            <w:noProof/>
            <w:webHidden/>
          </w:rPr>
          <w:tab/>
        </w:r>
        <w:r>
          <w:rPr>
            <w:noProof/>
            <w:webHidden/>
          </w:rPr>
          <w:fldChar w:fldCharType="begin"/>
        </w:r>
        <w:r>
          <w:rPr>
            <w:noProof/>
            <w:webHidden/>
          </w:rPr>
          <w:instrText xml:space="preserve"> PAGEREF _Toc300000810 \h </w:instrText>
        </w:r>
        <w:r>
          <w:rPr>
            <w:noProof/>
            <w:webHidden/>
          </w:rPr>
          <w:fldChar w:fldCharType="separate"/>
        </w:r>
        <w:r>
          <w:rPr>
            <w:noProof/>
            <w:webHidden/>
          </w:rPr>
          <w:t>1217</w:t>
        </w:r>
        <w:r>
          <w:rPr>
            <w:noProof/>
            <w:webHidden/>
          </w:rPr>
          <w:fldChar w:fldCharType="end"/>
        </w:r>
      </w:hyperlink>
    </w:p>
    <w:p>
      <w:pPr>
        <w:pStyle w:val="TOC2"/>
      </w:pPr>
      <w:hyperlink w:anchor="_Toc300000811" w:history="1">
        <w:r>
          <w:rPr>
            <w:noProof/>
          </w:rPr>
          <w:t xml:space="preserve">Article 24.30: Senior Representative Consultations</w:t>
        </w:r>
        <w:r>
          <w:rPr>
            <w:noProof/>
            <w:webHidden/>
          </w:rPr>
          <w:tab/>
        </w:r>
        <w:r>
          <w:rPr>
            <w:noProof/>
            <w:webHidden/>
          </w:rPr>
          <w:fldChar w:fldCharType="begin"/>
        </w:r>
        <w:r>
          <w:rPr>
            <w:noProof/>
            <w:webHidden/>
          </w:rPr>
          <w:instrText xml:space="preserve"> PAGEREF _Toc300000811 \h </w:instrText>
        </w:r>
        <w:r>
          <w:rPr>
            <w:noProof/>
            <w:webHidden/>
          </w:rPr>
          <w:fldChar w:fldCharType="separate"/>
        </w:r>
        <w:r>
          <w:rPr>
            <w:noProof/>
            <w:webHidden/>
          </w:rPr>
          <w:t>1218</w:t>
        </w:r>
        <w:r>
          <w:rPr>
            <w:noProof/>
            <w:webHidden/>
          </w:rPr>
          <w:fldChar w:fldCharType="end"/>
        </w:r>
      </w:hyperlink>
    </w:p>
    <w:p>
      <w:pPr>
        <w:pStyle w:val="TOC2"/>
      </w:pPr>
      <w:hyperlink w:anchor="_Toc300000812" w:history="1">
        <w:r>
          <w:rPr>
            <w:noProof/>
          </w:rPr>
          <w:t xml:space="preserve">Article 24.31: Ministerial Consultations</w:t>
        </w:r>
        <w:r>
          <w:rPr>
            <w:noProof/>
            <w:webHidden/>
          </w:rPr>
          <w:tab/>
        </w:r>
        <w:r>
          <w:rPr>
            <w:noProof/>
            <w:webHidden/>
          </w:rPr>
          <w:fldChar w:fldCharType="begin"/>
        </w:r>
        <w:r>
          <w:rPr>
            <w:noProof/>
            <w:webHidden/>
          </w:rPr>
          <w:instrText xml:space="preserve"> PAGEREF _Toc300000812 \h </w:instrText>
        </w:r>
        <w:r>
          <w:rPr>
            <w:noProof/>
            <w:webHidden/>
          </w:rPr>
          <w:fldChar w:fldCharType="separate"/>
        </w:r>
        <w:r>
          <w:rPr>
            <w:noProof/>
            <w:webHidden/>
          </w:rPr>
          <w:t>1218</w:t>
        </w:r>
        <w:r>
          <w:rPr>
            <w:noProof/>
            <w:webHidden/>
          </w:rPr>
          <w:fldChar w:fldCharType="end"/>
        </w:r>
      </w:hyperlink>
    </w:p>
    <w:p>
      <w:pPr>
        <w:pStyle w:val="TOC2"/>
      </w:pPr>
      <w:hyperlink w:anchor="_Toc300000813" w:history="1">
        <w:r>
          <w:rPr>
            <w:noProof/>
          </w:rPr>
          <w:t xml:space="preserve">Article 24.32: Dispute Resolution</w:t>
        </w:r>
        <w:r>
          <w:rPr>
            <w:noProof/>
            <w:webHidden/>
          </w:rPr>
          <w:tab/>
        </w:r>
        <w:r>
          <w:rPr>
            <w:noProof/>
            <w:webHidden/>
          </w:rPr>
          <w:fldChar w:fldCharType="begin"/>
        </w:r>
        <w:r>
          <w:rPr>
            <w:noProof/>
            <w:webHidden/>
          </w:rPr>
          <w:instrText xml:space="preserve"> PAGEREF _Toc300000813 \h </w:instrText>
        </w:r>
        <w:r>
          <w:rPr>
            <w:noProof/>
            <w:webHidden/>
          </w:rPr>
          <w:fldChar w:fldCharType="separate"/>
        </w:r>
        <w:r>
          <w:rPr>
            <w:noProof/>
            <w:webHidden/>
          </w:rPr>
          <w:t>1218</w:t>
        </w:r>
        <w:r>
          <w:rPr>
            <w:noProof/>
            <w:webHidden/>
          </w:rPr>
          <w:fldChar w:fldCharType="end"/>
        </w:r>
      </w:hyperlink>
    </w:p>
    <w:p>
      <w:pPr>
        <w:pStyle w:val="TOC2"/>
      </w:pPr>
      <w:hyperlink w:anchor="_Toc300000814" w:history="1">
        <w:r>
          <w:rPr>
            <w:noProof/>
          </w:rPr>
          <w:t xml:space="preserve">ANNEX 24-A</w:t>
        </w:r>
        <w:r>
          <w:rPr>
            <w:noProof/>
            <w:webHidden/>
          </w:rPr>
          <w:tab/>
        </w:r>
        <w:r>
          <w:rPr>
            <w:noProof/>
            <w:webHidden/>
          </w:rPr>
          <w:fldChar w:fldCharType="begin"/>
        </w:r>
        <w:r>
          <w:rPr>
            <w:noProof/>
            <w:webHidden/>
          </w:rPr>
          <w:instrText xml:space="preserve"> PAGEREF _Toc300000814 \h </w:instrText>
        </w:r>
        <w:r>
          <w:rPr>
            <w:noProof/>
            <w:webHidden/>
          </w:rPr>
          <w:fldChar w:fldCharType="separate"/>
        </w:r>
        <w:r>
          <w:rPr>
            <w:noProof/>
            <w:webHidden/>
          </w:rPr>
          <w:t>1219</w:t>
        </w:r>
        <w:r>
          <w:rPr>
            <w:noProof/>
            <w:webHidden/>
          </w:rPr>
          <w:fldChar w:fldCharType="end"/>
        </w:r>
      </w:hyperlink>
    </w:p>
    <w:p>
      <w:pPr>
        <w:pStyle w:val="TOC2"/>
      </w:pPr>
      <w:hyperlink w:anchor="_Toc300000815" w:history="1">
        <w:r>
          <w:rPr>
            <w:noProof/>
          </w:rPr>
          <w:t xml:space="preserve">ANNEX 24-B</w:t>
        </w:r>
        <w:r>
          <w:rPr>
            <w:noProof/>
            <w:webHidden/>
          </w:rPr>
          <w:tab/>
        </w:r>
        <w:r>
          <w:rPr>
            <w:noProof/>
            <w:webHidden/>
          </w:rPr>
          <w:fldChar w:fldCharType="begin"/>
        </w:r>
        <w:r>
          <w:rPr>
            <w:noProof/>
            <w:webHidden/>
          </w:rPr>
          <w:instrText xml:space="preserve"> PAGEREF _Toc300000815 \h </w:instrText>
        </w:r>
        <w:r>
          <w:rPr>
            <w:noProof/>
            <w:webHidden/>
          </w:rPr>
          <w:fldChar w:fldCharType="separate"/>
        </w:r>
        <w:r>
          <w:rPr>
            <w:noProof/>
            <w:webHidden/>
          </w:rPr>
          <w:t>1219</w:t>
        </w:r>
        <w:r>
          <w:rPr>
            <w:noProof/>
            <w:webHidden/>
          </w:rPr>
          <w:fldChar w:fldCharType="end"/>
        </w:r>
      </w:hyperlink>
    </w:p>
    <w:p>
      <w:pPr>
        <w:pStyle w:val="TOC2"/>
      </w:pPr>
      <w:hyperlink w:anchor="_Toc300000816" w:history="1">
        <w:r>
          <w:rPr>
            <w:noProof/>
          </w:rPr>
          <w:t xml:space="preserve">CHAPTER 24: CUSMA 2.0 MODERNIZATION PROVISIONS</w:t>
        </w:r>
        <w:r>
          <w:rPr>
            <w:noProof/>
            <w:webHidden/>
          </w:rPr>
          <w:tab/>
        </w:r>
        <w:r>
          <w:rPr>
            <w:noProof/>
            <w:webHidden/>
          </w:rPr>
          <w:fldChar w:fldCharType="begin"/>
        </w:r>
        <w:r>
          <w:rPr>
            <w:noProof/>
            <w:webHidden/>
          </w:rPr>
          <w:instrText xml:space="preserve"> PAGEREF _Toc300000816 \h </w:instrText>
        </w:r>
        <w:r>
          <w:rPr>
            <w:noProof/>
            <w:webHidden/>
          </w:rPr>
          <w:fldChar w:fldCharType="separate"/>
        </w:r>
        <w:r>
          <w:rPr>
            <w:noProof/>
            <w:webHidden/>
          </w:rPr>
          <w:t>1219</w:t>
        </w:r>
        <w:r>
          <w:rPr>
            <w:noProof/>
            <w:webHidden/>
          </w:rPr>
          <w:fldChar w:fldCharType="end"/>
        </w:r>
      </w:hyperlink>
    </w:p>
    <w:p>
      <w:pPr>
        <w:pStyle w:val="TOC2"/>
      </w:pPr>
      <w:hyperlink w:anchor="_Toc300000817" w:history="1">
        <w:r>
          <w:rPr>
            <w:noProof/>
          </w:rPr>
          <w:t xml:space="preserve">Article 24.A: Environmental Traceability and Circular Production</w:t>
        </w:r>
        <w:r>
          <w:rPr>
            <w:noProof/>
            <w:webHidden/>
          </w:rPr>
          <w:tab/>
        </w:r>
        <w:r>
          <w:rPr>
            <w:noProof/>
            <w:webHidden/>
          </w:rPr>
          <w:fldChar w:fldCharType="begin"/>
        </w:r>
        <w:r>
          <w:rPr>
            <w:noProof/>
            <w:webHidden/>
          </w:rPr>
          <w:instrText xml:space="preserve"> PAGEREF _Toc300000817 \h </w:instrText>
        </w:r>
        <w:r>
          <w:rPr>
            <w:noProof/>
            <w:webHidden/>
          </w:rPr>
          <w:fldChar w:fldCharType="separate"/>
        </w:r>
        <w:r>
          <w:rPr>
            <w:noProof/>
            <w:webHidden/>
          </w:rPr>
          <w:t>1219</w:t>
        </w:r>
        <w:r>
          <w:rPr>
            <w:noProof/>
            <w:webHidden/>
          </w:rPr>
          <w:fldChar w:fldCharType="end"/>
        </w:r>
      </w:hyperlink>
    </w:p>
    <w:p>
      <w:pPr>
        <w:pStyle w:val="TOC2"/>
      </w:pPr>
      <w:hyperlink w:anchor="_Toc300000818" w:history="1">
        <w:r>
          <w:rPr>
            <w:noProof/>
          </w:rPr>
          <w:t xml:space="preserve">Article 24.B: Wildfire and Transboundary Environmental Events</w:t>
        </w:r>
        <w:r>
          <w:rPr>
            <w:noProof/>
            <w:webHidden/>
          </w:rPr>
          <w:tab/>
        </w:r>
        <w:r>
          <w:rPr>
            <w:noProof/>
            <w:webHidden/>
          </w:rPr>
          <w:fldChar w:fldCharType="begin"/>
        </w:r>
        <w:r>
          <w:rPr>
            <w:noProof/>
            <w:webHidden/>
          </w:rPr>
          <w:instrText xml:space="preserve"> PAGEREF _Toc300000818 \h </w:instrText>
        </w:r>
        <w:r>
          <w:rPr>
            <w:noProof/>
            <w:webHidden/>
          </w:rPr>
          <w:fldChar w:fldCharType="separate"/>
        </w:r>
        <w:r>
          <w:rPr>
            <w:noProof/>
            <w:webHidden/>
          </w:rPr>
          <w:t>1219</w:t>
        </w:r>
        <w:r>
          <w:rPr>
            <w:noProof/>
            <w:webHidden/>
          </w:rPr>
          <w:fldChar w:fldCharType="end"/>
        </w:r>
      </w:hyperlink>
    </w:p>
    <w:p>
      <w:pPr>
        <w:pStyle w:val="TOC2"/>
      </w:pPr>
      <w:hyperlink w:anchor="_Toc300000819" w:history="1">
        <w:r>
          <w:rPr>
            <w:noProof/>
          </w:rPr>
          <w:t xml:space="preserve">Article 24.C: Independent Factual Verification of Environmental Enforcement Complaints</w:t>
        </w:r>
        <w:r>
          <w:rPr>
            <w:noProof/>
            <w:webHidden/>
          </w:rPr>
          <w:tab/>
        </w:r>
        <w:r>
          <w:rPr>
            <w:noProof/>
            <w:webHidden/>
          </w:rPr>
          <w:fldChar w:fldCharType="begin"/>
        </w:r>
        <w:r>
          <w:rPr>
            <w:noProof/>
            <w:webHidden/>
          </w:rPr>
          <w:instrText xml:space="preserve"> PAGEREF _Toc300000819 \h </w:instrText>
        </w:r>
        <w:r>
          <w:rPr>
            <w:noProof/>
            <w:webHidden/>
          </w:rPr>
          <w:fldChar w:fldCharType="separate"/>
        </w:r>
        <w:r>
          <w:rPr>
            <w:noProof/>
            <w:webHidden/>
          </w:rPr>
          <w:t>1220</w:t>
        </w:r>
        <w:r>
          <w:rPr>
            <w:noProof/>
            <w:webHidden/>
          </w:rPr>
          <w:fldChar w:fldCharType="end"/>
        </w:r>
      </w:hyperlink>
    </w:p>
    <w:p>
      <w:pPr>
        <w:pStyle w:val="TOC2"/>
      </w:pPr>
      <w:hyperlink w:anchor="_Toc300000820" w:history="1">
        <w:r>
          <w:rPr>
            <w:noProof/>
          </w:rPr>
          <w:t xml:space="preserve">Article 24.D: North American Wildfire Innovation, Prevention and Smoke-Mitigation Partnership</w:t>
        </w:r>
        <w:r>
          <w:rPr>
            <w:noProof/>
            <w:webHidden/>
          </w:rPr>
          <w:tab/>
        </w:r>
        <w:r>
          <w:rPr>
            <w:noProof/>
            <w:webHidden/>
          </w:rPr>
          <w:fldChar w:fldCharType="begin"/>
        </w:r>
        <w:r>
          <w:rPr>
            <w:noProof/>
            <w:webHidden/>
          </w:rPr>
          <w:instrText xml:space="preserve"> PAGEREF _Toc300000820 \h </w:instrText>
        </w:r>
        <w:r>
          <w:rPr>
            <w:noProof/>
            <w:webHidden/>
          </w:rPr>
          <w:fldChar w:fldCharType="separate"/>
        </w:r>
        <w:r>
          <w:rPr>
            <w:noProof/>
            <w:webHidden/>
          </w:rPr>
          <w:t>1220</w:t>
        </w:r>
        <w:r>
          <w:rPr>
            <w:noProof/>
            <w:webHidden/>
          </w:rPr>
          <w:fldChar w:fldCharType="end"/>
        </w:r>
      </w:hyperlink>
    </w:p>
    <w:p>
      <w:pPr>
        <w:pStyle w:val="TOC2"/>
      </w:pPr>
      <w:hyperlink w:anchor="_Toc300000821" w:history="1">
        <w:r>
          <w:rPr>
            <w:noProof/>
          </w:rPr>
          <w:t xml:space="preserve">Article 24.E: Storm-Damaged Forest Fuel Recovery</w:t>
        </w:r>
        <w:r>
          <w:rPr>
            <w:noProof/>
            <w:webHidden/>
          </w:rPr>
          <w:tab/>
        </w:r>
        <w:r>
          <w:rPr>
            <w:noProof/>
            <w:webHidden/>
          </w:rPr>
          <w:fldChar w:fldCharType="begin"/>
        </w:r>
        <w:r>
          <w:rPr>
            <w:noProof/>
            <w:webHidden/>
          </w:rPr>
          <w:instrText xml:space="preserve"> PAGEREF _Toc300000821 \h </w:instrText>
        </w:r>
        <w:r>
          <w:rPr>
            <w:noProof/>
            <w:webHidden/>
          </w:rPr>
          <w:fldChar w:fldCharType="separate"/>
        </w:r>
        <w:r>
          <w:rPr>
            <w:noProof/>
            <w:webHidden/>
          </w:rPr>
          <w:t>1221</w:t>
        </w:r>
        <w:r>
          <w:rPr>
            <w:noProof/>
            <w:webHidden/>
          </w:rPr>
          <w:fldChar w:fldCharType="end"/>
        </w:r>
      </w:hyperlink>
    </w:p>
    <w:p>
      <w:pPr>
        <w:pStyle w:val="TOC2"/>
      </w:pPr>
      <w:hyperlink w:anchor="_Toc300000822" w:history="1">
        <w:r>
          <w:rPr>
            <w:noProof/>
          </w:rPr>
          <w:t xml:space="preserve">Article 24.F: Environmental Resilience, Cooperation Before Restriction, and Non-Weaponization</w:t>
        </w:r>
        <w:r>
          <w:rPr>
            <w:noProof/>
            <w:webHidden/>
          </w:rPr>
          <w:tab/>
        </w:r>
        <w:r>
          <w:rPr>
            <w:noProof/>
            <w:webHidden/>
          </w:rPr>
          <w:fldChar w:fldCharType="begin"/>
        </w:r>
        <w:r>
          <w:rPr>
            <w:noProof/>
            <w:webHidden/>
          </w:rPr>
          <w:instrText xml:space="preserve"> PAGEREF _Toc300000822 \h </w:instrText>
        </w:r>
        <w:r>
          <w:rPr>
            <w:noProof/>
            <w:webHidden/>
          </w:rPr>
          <w:fldChar w:fldCharType="separate"/>
        </w:r>
        <w:r>
          <w:rPr>
            <w:noProof/>
            <w:webHidden/>
          </w:rPr>
          <w:t>1221</w:t>
        </w:r>
        <w:r>
          <w:rPr>
            <w:noProof/>
            <w:webHidden/>
          </w:rPr>
          <w:fldChar w:fldCharType="end"/>
        </w:r>
      </w:hyperlink>
    </w:p>
    <w:p>
      <w:pPr>
        <w:pStyle w:val="TOC2"/>
      </w:pPr>
      <w:hyperlink w:anchor="_Toc300000823" w:history="1">
        <w:r>
          <w:rPr>
            <w:noProof/>
          </w:rPr>
          <w:t xml:space="preserve">Article 24.G: North American Wildfire, Smoke, and Landscape Resilience</w:t>
        </w:r>
        <w:r>
          <w:rPr>
            <w:noProof/>
            <w:webHidden/>
          </w:rPr>
          <w:tab/>
        </w:r>
        <w:r>
          <w:rPr>
            <w:noProof/>
            <w:webHidden/>
          </w:rPr>
          <w:fldChar w:fldCharType="begin"/>
        </w:r>
        <w:r>
          <w:rPr>
            <w:noProof/>
            <w:webHidden/>
          </w:rPr>
          <w:instrText xml:space="preserve"> PAGEREF _Toc300000823 \h </w:instrText>
        </w:r>
        <w:r>
          <w:rPr>
            <w:noProof/>
            <w:webHidden/>
          </w:rPr>
          <w:fldChar w:fldCharType="separate"/>
        </w:r>
        <w:r>
          <w:rPr>
            <w:noProof/>
            <w:webHidden/>
          </w:rPr>
          <w:t>1222</w:t>
        </w:r>
        <w:r>
          <w:rPr>
            <w:noProof/>
            <w:webHidden/>
          </w:rPr>
          <w:fldChar w:fldCharType="end"/>
        </w:r>
      </w:hyperlink>
    </w:p>
    <w:p>
      <w:pPr>
        <w:pStyle w:val="TOC2"/>
      </w:pPr>
      <w:hyperlink w:anchor="_Toc300000824" w:history="1">
        <w:r>
          <w:rPr>
            <w:noProof/>
          </w:rPr>
          <w:t xml:space="preserve">Article 24.H: Marine Debris, Ghost Gear, and Circular Fishing Materials</w:t>
        </w:r>
        <w:r>
          <w:rPr>
            <w:noProof/>
            <w:webHidden/>
          </w:rPr>
          <w:tab/>
        </w:r>
        <w:r>
          <w:rPr>
            <w:noProof/>
            <w:webHidden/>
          </w:rPr>
          <w:fldChar w:fldCharType="begin"/>
        </w:r>
        <w:r>
          <w:rPr>
            <w:noProof/>
            <w:webHidden/>
          </w:rPr>
          <w:instrText xml:space="preserve"> PAGEREF _Toc300000824 \h </w:instrText>
        </w:r>
        <w:r>
          <w:rPr>
            <w:noProof/>
            <w:webHidden/>
          </w:rPr>
          <w:fldChar w:fldCharType="separate"/>
        </w:r>
        <w:r>
          <w:rPr>
            <w:noProof/>
            <w:webHidden/>
          </w:rPr>
          <w:t>1222</w:t>
        </w:r>
        <w:r>
          <w:rPr>
            <w:noProof/>
            <w:webHidden/>
          </w:rPr>
          <w:fldChar w:fldCharType="end"/>
        </w:r>
      </w:hyperlink>
    </w:p>
    <w:p>
      <w:pPr>
        <w:pStyle w:val="TOC2"/>
      </w:pPr>
      <w:hyperlink w:anchor="_Toc300000825" w:history="1">
        <w:r>
          <w:rPr>
            <w:noProof/>
          </w:rPr>
          <w:t xml:space="preserve">Article 24.I: Marine Mammals, Acoustic Monitoring, and Vessel Interaction</w:t>
        </w:r>
        <w:r>
          <w:rPr>
            <w:noProof/>
            <w:webHidden/>
          </w:rPr>
          <w:tab/>
        </w:r>
        <w:r>
          <w:rPr>
            <w:noProof/>
            <w:webHidden/>
          </w:rPr>
          <w:fldChar w:fldCharType="begin"/>
        </w:r>
        <w:r>
          <w:rPr>
            <w:noProof/>
            <w:webHidden/>
          </w:rPr>
          <w:instrText xml:space="preserve"> PAGEREF _Toc300000825 \h </w:instrText>
        </w:r>
        <w:r>
          <w:rPr>
            <w:noProof/>
            <w:webHidden/>
          </w:rPr>
          <w:fldChar w:fldCharType="separate"/>
        </w:r>
        <w:r>
          <w:rPr>
            <w:noProof/>
            <w:webHidden/>
          </w:rPr>
          <w:t>1223</w:t>
        </w:r>
        <w:r>
          <w:rPr>
            <w:noProof/>
            <w:webHidden/>
          </w:rPr>
          <w:fldChar w:fldCharType="end"/>
        </w:r>
      </w:hyperlink>
    </w:p>
    <w:p>
      <w:pPr>
        <w:pStyle w:val="TOC2"/>
      </w:pPr>
      <w:hyperlink w:anchor="_Toc300000826" w:history="1">
        <w:r>
          <w:rPr>
            <w:noProof/>
          </w:rPr>
          <w:t xml:space="preserve">Article 24.J: Coastal Habitat, Blue Carbon, and Nature-Based Resilience</w:t>
        </w:r>
        <w:r>
          <w:rPr>
            <w:noProof/>
            <w:webHidden/>
          </w:rPr>
          <w:tab/>
        </w:r>
        <w:r>
          <w:rPr>
            <w:noProof/>
            <w:webHidden/>
          </w:rPr>
          <w:fldChar w:fldCharType="begin"/>
        </w:r>
        <w:r>
          <w:rPr>
            <w:noProof/>
            <w:webHidden/>
          </w:rPr>
          <w:instrText xml:space="preserve"> PAGEREF _Toc300000826 \h </w:instrText>
        </w:r>
        <w:r>
          <w:rPr>
            <w:noProof/>
            <w:webHidden/>
          </w:rPr>
          <w:fldChar w:fldCharType="separate"/>
        </w:r>
        <w:r>
          <w:rPr>
            <w:noProof/>
            <w:webHidden/>
          </w:rPr>
          <w:t>1223</w:t>
        </w:r>
        <w:r>
          <w:rPr>
            <w:noProof/>
            <w:webHidden/>
          </w:rPr>
          <w:fldChar w:fldCharType="end"/>
        </w:r>
      </w:hyperlink>
    </w:p>
    <w:p>
      <w:pPr>
        <w:pStyle w:val="TOC2"/>
      </w:pPr>
      <w:hyperlink w:anchor="_Toc300000827" w:history="1">
        <w:r>
          <w:rPr>
            <w:noProof/>
          </w:rPr>
          <w:t xml:space="preserve">Article 24.K: Blue Bioeconomy and Marine Biomaterials</w:t>
        </w:r>
        <w:r>
          <w:rPr>
            <w:noProof/>
            <w:webHidden/>
          </w:rPr>
          <w:tab/>
        </w:r>
        <w:r>
          <w:rPr>
            <w:noProof/>
            <w:webHidden/>
          </w:rPr>
          <w:fldChar w:fldCharType="begin"/>
        </w:r>
        <w:r>
          <w:rPr>
            <w:noProof/>
            <w:webHidden/>
          </w:rPr>
          <w:instrText xml:space="preserve"> PAGEREF _Toc300000827 \h </w:instrText>
        </w:r>
        <w:r>
          <w:rPr>
            <w:noProof/>
            <w:webHidden/>
          </w:rPr>
          <w:fldChar w:fldCharType="separate"/>
        </w:r>
        <w:r>
          <w:rPr>
            <w:noProof/>
            <w:webHidden/>
          </w:rPr>
          <w:t>1223</w:t>
        </w:r>
        <w:r>
          <w:rPr>
            <w:noProof/>
            <w:webHidden/>
          </w:rPr>
          <w:fldChar w:fldCharType="end"/>
        </w:r>
      </w:hyperlink>
    </w:p>
    <w:p>
      <w:pPr>
        <w:pStyle w:val="TOC2"/>
      </w:pPr>
      <w:hyperlink w:anchor="_Toc300000828" w:history="1">
        <w:r>
          <w:rPr>
            <w:noProof/>
          </w:rPr>
          <w:t xml:space="preserve">Article 24.L: Water, Watershed, and Aquatic Resilience</w:t>
        </w:r>
        <w:r>
          <w:rPr>
            <w:noProof/>
            <w:webHidden/>
          </w:rPr>
          <w:tab/>
        </w:r>
        <w:r>
          <w:rPr>
            <w:noProof/>
            <w:webHidden/>
          </w:rPr>
          <w:fldChar w:fldCharType="begin"/>
        </w:r>
        <w:r>
          <w:rPr>
            <w:noProof/>
            <w:webHidden/>
          </w:rPr>
          <w:instrText xml:space="preserve"> PAGEREF _Toc300000828 \h </w:instrText>
        </w:r>
        <w:r>
          <w:rPr>
            <w:noProof/>
            <w:webHidden/>
          </w:rPr>
          <w:fldChar w:fldCharType="separate"/>
        </w:r>
        <w:r>
          <w:rPr>
            <w:noProof/>
            <w:webHidden/>
          </w:rPr>
          <w:t>1224</w:t>
        </w:r>
        <w:r>
          <w:rPr>
            <w:noProof/>
            <w:webHidden/>
          </w:rPr>
          <w:fldChar w:fldCharType="end"/>
        </w:r>
      </w:hyperlink>
    </w:p>
    <w:p>
      <w:pPr>
        <w:pStyle w:val="TOC2"/>
      </w:pPr>
      <w:hyperlink w:anchor="_Toc300000829" w:history="1">
        <w:r>
          <w:rPr>
            <w:noProof/>
          </w:rPr>
          <w:t xml:space="preserve">Article 24.M: Brine Resource Recovery and Desalination Innovation</w:t>
        </w:r>
        <w:r>
          <w:rPr>
            <w:noProof/>
            <w:webHidden/>
          </w:rPr>
          <w:tab/>
        </w:r>
        <w:r>
          <w:rPr>
            <w:noProof/>
            <w:webHidden/>
          </w:rPr>
          <w:fldChar w:fldCharType="begin"/>
        </w:r>
        <w:r>
          <w:rPr>
            <w:noProof/>
            <w:webHidden/>
          </w:rPr>
          <w:instrText xml:space="preserve"> PAGEREF _Toc300000829 \h </w:instrText>
        </w:r>
        <w:r>
          <w:rPr>
            <w:noProof/>
            <w:webHidden/>
          </w:rPr>
          <w:fldChar w:fldCharType="separate"/>
        </w:r>
        <w:r>
          <w:rPr>
            <w:noProof/>
            <w:webHidden/>
          </w:rPr>
          <w:t>1224</w:t>
        </w:r>
        <w:r>
          <w:rPr>
            <w:noProof/>
            <w:webHidden/>
          </w:rPr>
          <w:fldChar w:fldCharType="end"/>
        </w:r>
      </w:hyperlink>
    </w:p>
    <w:p>
      <w:pPr>
        <w:pStyle w:val="TOC2"/>
      </w:pPr>
      <w:hyperlink w:anchor="_Toc300000830" w:history="1">
        <w:r>
          <w:rPr>
            <w:noProof/>
          </w:rPr>
          <w:t xml:space="preserve">Article 24.N: Waste-to-Resource and Residual Valorization</w:t>
        </w:r>
        <w:r>
          <w:rPr>
            <w:noProof/>
            <w:webHidden/>
          </w:rPr>
          <w:tab/>
        </w:r>
        <w:r>
          <w:rPr>
            <w:noProof/>
            <w:webHidden/>
          </w:rPr>
          <w:fldChar w:fldCharType="begin"/>
        </w:r>
        <w:r>
          <w:rPr>
            <w:noProof/>
            <w:webHidden/>
          </w:rPr>
          <w:instrText xml:space="preserve"> PAGEREF _Toc300000830 \h </w:instrText>
        </w:r>
        <w:r>
          <w:rPr>
            <w:noProof/>
            <w:webHidden/>
          </w:rPr>
          <w:fldChar w:fldCharType="separate"/>
        </w:r>
        <w:r>
          <w:rPr>
            <w:noProof/>
            <w:webHidden/>
          </w:rPr>
          <w:t>1225</w:t>
        </w:r>
        <w:r>
          <w:rPr>
            <w:noProof/>
            <w:webHidden/>
          </w:rPr>
          <w:fldChar w:fldCharType="end"/>
        </w:r>
      </w:hyperlink>
    </w:p>
    <w:p>
      <w:pPr>
        <w:pStyle w:val="TOC2"/>
      </w:pPr>
      <w:hyperlink w:anchor="_Toc300000831" w:history="1">
        <w:r>
          <w:rPr>
            <w:noProof/>
          </w:rPr>
          <w:t xml:space="preserve">Article 24.O: Circular Materials and Industrial Symbiosis</w:t>
        </w:r>
        <w:r>
          <w:rPr>
            <w:noProof/>
            <w:webHidden/>
          </w:rPr>
          <w:tab/>
        </w:r>
        <w:r>
          <w:rPr>
            <w:noProof/>
            <w:webHidden/>
          </w:rPr>
          <w:fldChar w:fldCharType="begin"/>
        </w:r>
        <w:r>
          <w:rPr>
            <w:noProof/>
            <w:webHidden/>
          </w:rPr>
          <w:instrText xml:space="preserve"> PAGEREF _Toc300000831 \h </w:instrText>
        </w:r>
        <w:r>
          <w:rPr>
            <w:noProof/>
            <w:webHidden/>
          </w:rPr>
          <w:fldChar w:fldCharType="separate"/>
        </w:r>
        <w:r>
          <w:rPr>
            <w:noProof/>
            <w:webHidden/>
          </w:rPr>
          <w:t>1225</w:t>
        </w:r>
        <w:r>
          <w:rPr>
            <w:noProof/>
            <w:webHidden/>
          </w:rPr>
          <w:fldChar w:fldCharType="end"/>
        </w:r>
      </w:hyperlink>
    </w:p>
    <w:p>
      <w:pPr>
        <w:pStyle w:val="TOC2"/>
      </w:pPr>
      <w:hyperlink w:anchor="_Toc300000832" w:history="1">
        <w:r>
          <w:rPr>
            <w:noProof/>
          </w:rPr>
          <w:t xml:space="preserve">Article 24.P: Critical Minerals and Sustainable Mining</w:t>
        </w:r>
        <w:r>
          <w:rPr>
            <w:noProof/>
            <w:webHidden/>
          </w:rPr>
          <w:tab/>
        </w:r>
        <w:r>
          <w:rPr>
            <w:noProof/>
            <w:webHidden/>
          </w:rPr>
          <w:fldChar w:fldCharType="begin"/>
        </w:r>
        <w:r>
          <w:rPr>
            <w:noProof/>
            <w:webHidden/>
          </w:rPr>
          <w:instrText xml:space="preserve"> PAGEREF _Toc300000832 \h </w:instrText>
        </w:r>
        <w:r>
          <w:rPr>
            <w:noProof/>
            <w:webHidden/>
          </w:rPr>
          <w:fldChar w:fldCharType="separate"/>
        </w:r>
        <w:r>
          <w:rPr>
            <w:noProof/>
            <w:webHidden/>
          </w:rPr>
          <w:t>1226</w:t>
        </w:r>
        <w:r>
          <w:rPr>
            <w:noProof/>
            <w:webHidden/>
          </w:rPr>
          <w:fldChar w:fldCharType="end"/>
        </w:r>
      </w:hyperlink>
    </w:p>
    <w:p>
      <w:pPr>
        <w:pStyle w:val="TOC2"/>
      </w:pPr>
      <w:hyperlink w:anchor="_Toc300000833" w:history="1">
        <w:r>
          <w:rPr>
            <w:noProof/>
          </w:rPr>
          <w:t xml:space="preserve">Article 24.Q: Clean Energy, Grid, and Industrial Decarbonization Interoperability</w:t>
        </w:r>
        <w:r>
          <w:rPr>
            <w:noProof/>
            <w:webHidden/>
          </w:rPr>
          <w:tab/>
        </w:r>
        <w:r>
          <w:rPr>
            <w:noProof/>
            <w:webHidden/>
          </w:rPr>
          <w:fldChar w:fldCharType="begin"/>
        </w:r>
        <w:r>
          <w:rPr>
            <w:noProof/>
            <w:webHidden/>
          </w:rPr>
          <w:instrText xml:space="preserve"> PAGEREF _Toc300000833 \h </w:instrText>
        </w:r>
        <w:r>
          <w:rPr>
            <w:noProof/>
            <w:webHidden/>
          </w:rPr>
          <w:fldChar w:fldCharType="separate"/>
        </w:r>
        <w:r>
          <w:rPr>
            <w:noProof/>
            <w:webHidden/>
          </w:rPr>
          <w:t>1226</w:t>
        </w:r>
        <w:r>
          <w:rPr>
            <w:noProof/>
            <w:webHidden/>
          </w:rPr>
          <w:fldChar w:fldCharType="end"/>
        </w:r>
      </w:hyperlink>
    </w:p>
    <w:p>
      <w:pPr>
        <w:pStyle w:val="TOC2"/>
      </w:pPr>
      <w:hyperlink w:anchor="_Toc300000834" w:history="1">
        <w:r>
          <w:rPr>
            <w:noProof/>
          </w:rPr>
          <w:t xml:space="preserve">Article 24.R: Sustainable Freight, Ports, Aviation, and Trade Infrastructure</w:t>
        </w:r>
        <w:r>
          <w:rPr>
            <w:noProof/>
            <w:webHidden/>
          </w:rPr>
          <w:tab/>
        </w:r>
        <w:r>
          <w:rPr>
            <w:noProof/>
            <w:webHidden/>
          </w:rPr>
          <w:fldChar w:fldCharType="begin"/>
        </w:r>
        <w:r>
          <w:rPr>
            <w:noProof/>
            <w:webHidden/>
          </w:rPr>
          <w:instrText xml:space="preserve"> PAGEREF _Toc300000834 \h </w:instrText>
        </w:r>
        <w:r>
          <w:rPr>
            <w:noProof/>
            <w:webHidden/>
          </w:rPr>
          <w:fldChar w:fldCharType="separate"/>
        </w:r>
        <w:r>
          <w:rPr>
            <w:noProof/>
            <w:webHidden/>
          </w:rPr>
          <w:t>1227</w:t>
        </w:r>
        <w:r>
          <w:rPr>
            <w:noProof/>
            <w:webHidden/>
          </w:rPr>
          <w:fldChar w:fldCharType="end"/>
        </w:r>
      </w:hyperlink>
    </w:p>
    <w:p>
      <w:pPr>
        <w:pStyle w:val="TOC2"/>
      </w:pPr>
      <w:hyperlink w:anchor="_Toc300000835" w:history="1">
        <w:r>
          <w:rPr>
            <w:noProof/>
          </w:rPr>
          <w:t xml:space="preserve">Article 24.S: Transboundary Pollution and Environmental Emergency Response</w:t>
        </w:r>
        <w:r>
          <w:rPr>
            <w:noProof/>
            <w:webHidden/>
          </w:rPr>
          <w:tab/>
        </w:r>
        <w:r>
          <w:rPr>
            <w:noProof/>
            <w:webHidden/>
          </w:rPr>
          <w:fldChar w:fldCharType="begin"/>
        </w:r>
        <w:r>
          <w:rPr>
            <w:noProof/>
            <w:webHidden/>
          </w:rPr>
          <w:instrText xml:space="preserve"> PAGEREF _Toc300000835 \h </w:instrText>
        </w:r>
        <w:r>
          <w:rPr>
            <w:noProof/>
            <w:webHidden/>
          </w:rPr>
          <w:fldChar w:fldCharType="separate"/>
        </w:r>
        <w:r>
          <w:rPr>
            <w:noProof/>
            <w:webHidden/>
          </w:rPr>
          <w:t>1227</w:t>
        </w:r>
        <w:r>
          <w:rPr>
            <w:noProof/>
            <w:webHidden/>
          </w:rPr>
          <w:fldChar w:fldCharType="end"/>
        </w:r>
      </w:hyperlink>
    </w:p>
    <w:p>
      <w:pPr>
        <w:pStyle w:val="TOC2"/>
      </w:pPr>
      <w:hyperlink w:anchor="_Toc300000836" w:history="1">
        <w:r>
          <w:rPr>
            <w:noProof/>
          </w:rPr>
          <w:t xml:space="preserve">Article 24.T: Environmental Experimental Technology and Iterative Validation</w:t>
        </w:r>
        <w:r>
          <w:rPr>
            <w:noProof/>
            <w:webHidden/>
          </w:rPr>
          <w:tab/>
        </w:r>
        <w:r>
          <w:rPr>
            <w:noProof/>
            <w:webHidden/>
          </w:rPr>
          <w:fldChar w:fldCharType="begin"/>
        </w:r>
        <w:r>
          <w:rPr>
            <w:noProof/>
            <w:webHidden/>
          </w:rPr>
          <w:instrText xml:space="preserve"> PAGEREF _Toc300000836 \h </w:instrText>
        </w:r>
        <w:r>
          <w:rPr>
            <w:noProof/>
            <w:webHidden/>
          </w:rPr>
          <w:fldChar w:fldCharType="separate"/>
        </w:r>
        <w:r>
          <w:rPr>
            <w:noProof/>
            <w:webHidden/>
          </w:rPr>
          <w:t>1228</w:t>
        </w:r>
        <w:r>
          <w:rPr>
            <w:noProof/>
            <w:webHidden/>
          </w:rPr>
          <w:fldChar w:fldCharType="end"/>
        </w:r>
      </w:hyperlink>
    </w:p>
    <w:p>
      <w:pPr>
        <w:pStyle w:val="TOC2"/>
      </w:pPr>
      <w:hyperlink w:anchor="_Toc300000837" w:history="1">
        <w:r>
          <w:rPr>
            <w:noProof/>
          </w:rPr>
          <w:t xml:space="preserve">Article 24.U: Environmental Data, Verification, and Anti-Greenwashing</w:t>
        </w:r>
        <w:r>
          <w:rPr>
            <w:noProof/>
            <w:webHidden/>
          </w:rPr>
          <w:tab/>
        </w:r>
        <w:r>
          <w:rPr>
            <w:noProof/>
            <w:webHidden/>
          </w:rPr>
          <w:fldChar w:fldCharType="begin"/>
        </w:r>
        <w:r>
          <w:rPr>
            <w:noProof/>
            <w:webHidden/>
          </w:rPr>
          <w:instrText xml:space="preserve"> PAGEREF _Toc300000837 \h </w:instrText>
        </w:r>
        <w:r>
          <w:rPr>
            <w:noProof/>
            <w:webHidden/>
          </w:rPr>
          <w:fldChar w:fldCharType="separate"/>
        </w:r>
        <w:r>
          <w:rPr>
            <w:noProof/>
            <w:webHidden/>
          </w:rPr>
          <w:t>1228</w:t>
        </w:r>
        <w:r>
          <w:rPr>
            <w:noProof/>
            <w:webHidden/>
          </w:rPr>
          <w:fldChar w:fldCharType="end"/>
        </w:r>
      </w:hyperlink>
    </w:p>
    <w:p>
      <w:pPr>
        <w:pStyle w:val="TOC2"/>
      </w:pPr>
      <w:hyperlink w:anchor="_Toc300000838" w:history="1">
        <w:r>
          <w:rPr>
            <w:noProof/>
          </w:rPr>
          <w:t xml:space="preserve">Article 24.V: Implementation Through Existing Institutions</w:t>
        </w:r>
        <w:r>
          <w:rPr>
            <w:noProof/>
            <w:webHidden/>
          </w:rPr>
          <w:tab/>
        </w:r>
        <w:r>
          <w:rPr>
            <w:noProof/>
            <w:webHidden/>
          </w:rPr>
          <w:fldChar w:fldCharType="begin"/>
        </w:r>
        <w:r>
          <w:rPr>
            <w:noProof/>
            <w:webHidden/>
          </w:rPr>
          <w:instrText xml:space="preserve"> PAGEREF _Toc300000838 \h </w:instrText>
        </w:r>
        <w:r>
          <w:rPr>
            <w:noProof/>
            <w:webHidden/>
          </w:rPr>
          <w:fldChar w:fldCharType="separate"/>
        </w:r>
        <w:r>
          <w:rPr>
            <w:noProof/>
            <w:webHidden/>
          </w:rPr>
          <w:t>1229</w:t>
        </w:r>
        <w:r>
          <w:rPr>
            <w:noProof/>
            <w:webHidden/>
          </w:rPr>
          <w:fldChar w:fldCharType="end"/>
        </w:r>
      </w:hyperlink>
    </w:p>
    <w:p>
      <w:pPr>
        <w:pStyle w:val="TOC2"/>
      </w:pPr>
      <w:hyperlink w:anchor="_Toc300000839" w:history="1">
        <w:r>
          <w:rPr>
            <w:noProof/>
          </w:rPr>
          <w:t xml:space="preserve">Article 24.W: North American Legacy and Orphan Well Discovery, Safety, Remediation and Prevention Framework</w:t>
        </w:r>
        <w:r>
          <w:rPr>
            <w:noProof/>
            <w:webHidden/>
          </w:rPr>
          <w:tab/>
        </w:r>
        <w:r>
          <w:rPr>
            <w:noProof/>
            <w:webHidden/>
          </w:rPr>
          <w:fldChar w:fldCharType="begin"/>
        </w:r>
        <w:r>
          <w:rPr>
            <w:noProof/>
            <w:webHidden/>
          </w:rPr>
          <w:instrText xml:space="preserve"> PAGEREF _Toc300000839 \h </w:instrText>
        </w:r>
        <w:r>
          <w:rPr>
            <w:noProof/>
            <w:webHidden/>
          </w:rPr>
          <w:fldChar w:fldCharType="separate"/>
        </w:r>
        <w:r>
          <w:rPr>
            <w:noProof/>
            <w:webHidden/>
          </w:rPr>
          <w:t>1229</w:t>
        </w:r>
        <w:r>
          <w:rPr>
            <w:noProof/>
            <w:webHidden/>
          </w:rPr>
          <w:fldChar w:fldCharType="end"/>
        </w:r>
      </w:hyperlink>
    </w:p>
    <w:p>
      <w:pPr>
        <w:pStyle w:val="TOC1"/>
      </w:pPr>
      <w:hyperlink w:anchor="_Toc300000840" w:history="1">
        <w:r>
          <w:rPr>
            <w:noProof/>
          </w:rPr>
          <w:t xml:space="preserve">ANNEX 24-W: NORTH AMERICAN LEGACY AND ORPHAN WELL DISCOVERY, SAFETY, REMEDIATION AND PREVENTION FRAMEWORK</w:t>
        </w:r>
        <w:r>
          <w:rPr>
            <w:noProof/>
            <w:webHidden/>
          </w:rPr>
          <w:tab/>
        </w:r>
        <w:r>
          <w:rPr>
            <w:noProof/>
            <w:webHidden/>
          </w:rPr>
          <w:fldChar w:fldCharType="begin"/>
        </w:r>
        <w:r>
          <w:rPr>
            <w:noProof/>
            <w:webHidden/>
          </w:rPr>
          <w:instrText xml:space="preserve"> PAGEREF _Toc300000840 \h </w:instrText>
        </w:r>
        <w:r>
          <w:rPr>
            <w:noProof/>
            <w:webHidden/>
          </w:rPr>
          <w:fldChar w:fldCharType="separate"/>
        </w:r>
        <w:r>
          <w:rPr>
            <w:noProof/>
            <w:webHidden/>
          </w:rPr>
          <w:t>1230</w:t>
        </w:r>
        <w:r>
          <w:rPr>
            <w:noProof/>
            <w:webHidden/>
          </w:rPr>
          <w:fldChar w:fldCharType="end"/>
        </w:r>
      </w:hyperlink>
    </w:p>
    <w:p>
      <w:pPr>
        <w:pStyle w:val="TOC2"/>
      </w:pPr>
      <w:hyperlink w:anchor="_Toc300000841" w:history="1">
        <w:r>
          <w:rPr>
            <w:noProof/>
          </w:rPr>
          <w:t xml:space="preserve">CATEGORY 24-W-A: PURPOSE, SCOPE, STATUS, AND INTERPRETATION</w:t>
        </w:r>
        <w:r>
          <w:rPr>
            <w:noProof/>
            <w:webHidden/>
          </w:rPr>
          <w:tab/>
        </w:r>
        <w:r>
          <w:rPr>
            <w:noProof/>
            <w:webHidden/>
          </w:rPr>
          <w:fldChar w:fldCharType="begin"/>
        </w:r>
        <w:r>
          <w:rPr>
            <w:noProof/>
            <w:webHidden/>
          </w:rPr>
          <w:instrText xml:space="preserve"> PAGEREF _Toc300000841 \h </w:instrText>
        </w:r>
        <w:r>
          <w:rPr>
            <w:noProof/>
            <w:webHidden/>
          </w:rPr>
          <w:fldChar w:fldCharType="separate"/>
        </w:r>
        <w:r>
          <w:rPr>
            <w:noProof/>
            <w:webHidden/>
          </w:rPr>
          <w:t>1230</w:t>
        </w:r>
        <w:r>
          <w:rPr>
            <w:noProof/>
            <w:webHidden/>
          </w:rPr>
          <w:fldChar w:fldCharType="end"/>
        </w:r>
      </w:hyperlink>
    </w:p>
    <w:p>
      <w:pPr>
        <w:pStyle w:val="TOC2"/>
      </w:pPr>
      <w:hyperlink w:anchor="_Toc300000842" w:history="1">
        <w:r>
          <w:rPr>
            <w:noProof/>
          </w:rPr>
          <w:t xml:space="preserve">Article 24-W.1: Purpose and Operating Principles</w:t>
        </w:r>
        <w:r>
          <w:rPr>
            <w:noProof/>
            <w:webHidden/>
          </w:rPr>
          <w:tab/>
        </w:r>
        <w:r>
          <w:rPr>
            <w:noProof/>
            <w:webHidden/>
          </w:rPr>
          <w:fldChar w:fldCharType="begin"/>
        </w:r>
        <w:r>
          <w:rPr>
            <w:noProof/>
            <w:webHidden/>
          </w:rPr>
          <w:instrText xml:space="preserve"> PAGEREF _Toc300000842 \h </w:instrText>
        </w:r>
        <w:r>
          <w:rPr>
            <w:noProof/>
            <w:webHidden/>
          </w:rPr>
          <w:fldChar w:fldCharType="separate"/>
        </w:r>
        <w:r>
          <w:rPr>
            <w:noProof/>
            <w:webHidden/>
          </w:rPr>
          <w:t>1230</w:t>
        </w:r>
        <w:r>
          <w:rPr>
            <w:noProof/>
            <w:webHidden/>
          </w:rPr>
          <w:fldChar w:fldCharType="end"/>
        </w:r>
      </w:hyperlink>
    </w:p>
    <w:p>
      <w:pPr>
        <w:pStyle w:val="TOC2"/>
      </w:pPr>
      <w:hyperlink w:anchor="_Toc300000843" w:history="1">
        <w:r>
          <w:rPr>
            <w:noProof/>
          </w:rPr>
          <w:t xml:space="preserve">Article 24-W.2: Scope and Domestic Classification Mapping</w:t>
        </w:r>
        <w:r>
          <w:rPr>
            <w:noProof/>
            <w:webHidden/>
          </w:rPr>
          <w:tab/>
        </w:r>
        <w:r>
          <w:rPr>
            <w:noProof/>
            <w:webHidden/>
          </w:rPr>
          <w:fldChar w:fldCharType="begin"/>
        </w:r>
        <w:r>
          <w:rPr>
            <w:noProof/>
            <w:webHidden/>
          </w:rPr>
          <w:instrText xml:space="preserve"> PAGEREF _Toc300000843 \h </w:instrText>
        </w:r>
        <w:r>
          <w:rPr>
            <w:noProof/>
            <w:webHidden/>
          </w:rPr>
          <w:fldChar w:fldCharType="separate"/>
        </w:r>
        <w:r>
          <w:rPr>
            <w:noProof/>
            <w:webHidden/>
          </w:rPr>
          <w:t>1230</w:t>
        </w:r>
        <w:r>
          <w:rPr>
            <w:noProof/>
            <w:webHidden/>
          </w:rPr>
          <w:fldChar w:fldCharType="end"/>
        </w:r>
      </w:hyperlink>
    </w:p>
    <w:p>
      <w:pPr>
        <w:pStyle w:val="TOC2"/>
      </w:pPr>
      <w:hyperlink w:anchor="_Toc300000844" w:history="1">
        <w:r>
          <w:rPr>
            <w:noProof/>
          </w:rPr>
          <w:t xml:space="preserve">Article 24-W.3: Core Defined Terms and Status Architecture</w:t>
        </w:r>
        <w:r>
          <w:rPr>
            <w:noProof/>
            <w:webHidden/>
          </w:rPr>
          <w:tab/>
        </w:r>
        <w:r>
          <w:rPr>
            <w:noProof/>
            <w:webHidden/>
          </w:rPr>
          <w:fldChar w:fldCharType="begin"/>
        </w:r>
        <w:r>
          <w:rPr>
            <w:noProof/>
            <w:webHidden/>
          </w:rPr>
          <w:instrText xml:space="preserve"> PAGEREF _Toc300000844 \h </w:instrText>
        </w:r>
        <w:r>
          <w:rPr>
            <w:noProof/>
            <w:webHidden/>
          </w:rPr>
          <w:fldChar w:fldCharType="separate"/>
        </w:r>
        <w:r>
          <w:rPr>
            <w:noProof/>
            <w:webHidden/>
          </w:rPr>
          <w:t>1231</w:t>
        </w:r>
        <w:r>
          <w:rPr>
            <w:noProof/>
            <w:webHidden/>
          </w:rPr>
          <w:fldChar w:fldCharType="end"/>
        </w:r>
      </w:hyperlink>
    </w:p>
    <w:p>
      <w:pPr>
        <w:pStyle w:val="TOC2"/>
      </w:pPr>
      <w:hyperlink w:anchor="_Toc300000845" w:history="1">
        <w:r>
          <w:rPr>
            <w:noProof/>
          </w:rPr>
          <w:t xml:space="preserve">CATEGORY 24-W-B: GOVERNANCE, AUTHORITY, AND INSTITUTIONAL INTERFACE</w:t>
        </w:r>
        <w:r>
          <w:rPr>
            <w:noProof/>
            <w:webHidden/>
          </w:rPr>
          <w:tab/>
        </w:r>
        <w:r>
          <w:rPr>
            <w:noProof/>
            <w:webHidden/>
          </w:rPr>
          <w:fldChar w:fldCharType="begin"/>
        </w:r>
        <w:r>
          <w:rPr>
            <w:noProof/>
            <w:webHidden/>
          </w:rPr>
          <w:instrText xml:space="preserve"> PAGEREF _Toc300000845 \h </w:instrText>
        </w:r>
        <w:r>
          <w:rPr>
            <w:noProof/>
            <w:webHidden/>
          </w:rPr>
          <w:fldChar w:fldCharType="separate"/>
        </w:r>
        <w:r>
          <w:rPr>
            <w:noProof/>
            <w:webHidden/>
          </w:rPr>
          <w:t>1231</w:t>
        </w:r>
        <w:r>
          <w:rPr>
            <w:noProof/>
            <w:webHidden/>
          </w:rPr>
          <w:fldChar w:fldCharType="end"/>
        </w:r>
      </w:hyperlink>
    </w:p>
    <w:p>
      <w:pPr>
        <w:pStyle w:val="TOC2"/>
      </w:pPr>
      <w:hyperlink w:anchor="_Toc300000846" w:history="1">
        <w:r>
          <w:rPr>
            <w:noProof/>
          </w:rPr>
          <w:t xml:space="preserve">Article 24-W.4: North American Legacy Well Coordination Board</w:t>
        </w:r>
        <w:r>
          <w:rPr>
            <w:noProof/>
            <w:webHidden/>
          </w:rPr>
          <w:tab/>
        </w:r>
        <w:r>
          <w:rPr>
            <w:noProof/>
            <w:webHidden/>
          </w:rPr>
          <w:fldChar w:fldCharType="begin"/>
        </w:r>
        <w:r>
          <w:rPr>
            <w:noProof/>
            <w:webHidden/>
          </w:rPr>
          <w:instrText xml:space="preserve"> PAGEREF _Toc300000846 \h </w:instrText>
        </w:r>
        <w:r>
          <w:rPr>
            <w:noProof/>
            <w:webHidden/>
          </w:rPr>
          <w:fldChar w:fldCharType="separate"/>
        </w:r>
        <w:r>
          <w:rPr>
            <w:noProof/>
            <w:webHidden/>
          </w:rPr>
          <w:t>1231</w:t>
        </w:r>
        <w:r>
          <w:rPr>
            <w:noProof/>
            <w:webHidden/>
          </w:rPr>
          <w:fldChar w:fldCharType="end"/>
        </w:r>
      </w:hyperlink>
    </w:p>
    <w:p>
      <w:pPr>
        <w:pStyle w:val="TOC2"/>
      </w:pPr>
      <w:hyperlink w:anchor="_Toc300000847" w:history="1">
        <w:r>
          <w:rPr>
            <w:noProof/>
          </w:rPr>
          <w:t xml:space="preserve">Article 24-W.5: Authority Firewall and Decision Rules</w:t>
        </w:r>
        <w:r>
          <w:rPr>
            <w:noProof/>
            <w:webHidden/>
          </w:rPr>
          <w:tab/>
        </w:r>
        <w:r>
          <w:rPr>
            <w:noProof/>
            <w:webHidden/>
          </w:rPr>
          <w:fldChar w:fldCharType="begin"/>
        </w:r>
        <w:r>
          <w:rPr>
            <w:noProof/>
            <w:webHidden/>
          </w:rPr>
          <w:instrText xml:space="preserve"> PAGEREF _Toc300000847 \h </w:instrText>
        </w:r>
        <w:r>
          <w:rPr>
            <w:noProof/>
            <w:webHidden/>
          </w:rPr>
          <w:fldChar w:fldCharType="separate"/>
        </w:r>
        <w:r>
          <w:rPr>
            <w:noProof/>
            <w:webHidden/>
          </w:rPr>
          <w:t>1232</w:t>
        </w:r>
        <w:r>
          <w:rPr>
            <w:noProof/>
            <w:webHidden/>
          </w:rPr>
          <w:fldChar w:fldCharType="end"/>
        </w:r>
      </w:hyperlink>
    </w:p>
    <w:p>
      <w:pPr>
        <w:pStyle w:val="TOC2"/>
      </w:pPr>
      <w:hyperlink w:anchor="_Toc300000848" w:history="1">
        <w:r>
          <w:rPr>
            <w:noProof/>
          </w:rPr>
          <w:t xml:space="preserve">Article 24-W.6: Existing-Institution-First Interface</w:t>
        </w:r>
        <w:r>
          <w:rPr>
            <w:noProof/>
            <w:webHidden/>
          </w:rPr>
          <w:tab/>
        </w:r>
        <w:r>
          <w:rPr>
            <w:noProof/>
            <w:webHidden/>
          </w:rPr>
          <w:fldChar w:fldCharType="begin"/>
        </w:r>
        <w:r>
          <w:rPr>
            <w:noProof/>
            <w:webHidden/>
          </w:rPr>
          <w:instrText xml:space="preserve"> PAGEREF _Toc300000848 \h </w:instrText>
        </w:r>
        <w:r>
          <w:rPr>
            <w:noProof/>
            <w:webHidden/>
          </w:rPr>
          <w:fldChar w:fldCharType="separate"/>
        </w:r>
        <w:r>
          <w:rPr>
            <w:noProof/>
            <w:webHidden/>
          </w:rPr>
          <w:t>1232</w:t>
        </w:r>
        <w:r>
          <w:rPr>
            <w:noProof/>
            <w:webHidden/>
          </w:rPr>
          <w:fldChar w:fldCharType="end"/>
        </w:r>
      </w:hyperlink>
    </w:p>
    <w:p>
      <w:pPr>
        <w:pStyle w:val="TOC2"/>
      </w:pPr>
      <w:hyperlink w:anchor="_Toc300000849" w:history="1">
        <w:r>
          <w:rPr>
            <w:noProof/>
          </w:rPr>
          <w:t xml:space="preserve">CATEGORY 24-W-C: FEDERATED REGISTRY, PROVENANCE, AND DATA GOVERNANCE</w:t>
        </w:r>
        <w:r>
          <w:rPr>
            <w:noProof/>
            <w:webHidden/>
          </w:rPr>
          <w:tab/>
        </w:r>
        <w:r>
          <w:rPr>
            <w:noProof/>
            <w:webHidden/>
          </w:rPr>
          <w:fldChar w:fldCharType="begin"/>
        </w:r>
        <w:r>
          <w:rPr>
            <w:noProof/>
            <w:webHidden/>
          </w:rPr>
          <w:instrText xml:space="preserve"> PAGEREF _Toc300000849 \h </w:instrText>
        </w:r>
        <w:r>
          <w:rPr>
            <w:noProof/>
            <w:webHidden/>
          </w:rPr>
          <w:fldChar w:fldCharType="separate"/>
        </w:r>
        <w:r>
          <w:rPr>
            <w:noProof/>
            <w:webHidden/>
          </w:rPr>
          <w:t>1233</w:t>
        </w:r>
        <w:r>
          <w:rPr>
            <w:noProof/>
            <w:webHidden/>
          </w:rPr>
          <w:fldChar w:fldCharType="end"/>
        </w:r>
      </w:hyperlink>
    </w:p>
    <w:p>
      <w:pPr>
        <w:pStyle w:val="TOC2"/>
      </w:pPr>
      <w:hyperlink w:anchor="_Toc300000850" w:history="1">
        <w:r>
          <w:rPr>
            <w:noProof/>
          </w:rPr>
          <w:t xml:space="preserve">Article 24-W.7: North American Legacy Well Registry</w:t>
        </w:r>
        <w:r>
          <w:rPr>
            <w:noProof/>
            <w:webHidden/>
          </w:rPr>
          <w:tab/>
        </w:r>
        <w:r>
          <w:rPr>
            <w:noProof/>
            <w:webHidden/>
          </w:rPr>
          <w:fldChar w:fldCharType="begin"/>
        </w:r>
        <w:r>
          <w:rPr>
            <w:noProof/>
            <w:webHidden/>
          </w:rPr>
          <w:instrText xml:space="preserve"> PAGEREF _Toc300000850 \h </w:instrText>
        </w:r>
        <w:r>
          <w:rPr>
            <w:noProof/>
            <w:webHidden/>
          </w:rPr>
          <w:fldChar w:fldCharType="separate"/>
        </w:r>
        <w:r>
          <w:rPr>
            <w:noProof/>
            <w:webHidden/>
          </w:rPr>
          <w:t>1233</w:t>
        </w:r>
        <w:r>
          <w:rPr>
            <w:noProof/>
            <w:webHidden/>
          </w:rPr>
          <w:fldChar w:fldCharType="end"/>
        </w:r>
      </w:hyperlink>
    </w:p>
    <w:p>
      <w:pPr>
        <w:pStyle w:val="TOC2"/>
      </w:pPr>
      <w:hyperlink w:anchor="_Toc300000851" w:history="1">
        <w:r>
          <w:rPr>
            <w:noProof/>
          </w:rPr>
          <w:t xml:space="preserve">Article 24-W.8: Provenance, Location Confidence, and Verification State</w:t>
        </w:r>
        <w:r>
          <w:rPr>
            <w:noProof/>
            <w:webHidden/>
          </w:rPr>
          <w:tab/>
        </w:r>
        <w:r>
          <w:rPr>
            <w:noProof/>
            <w:webHidden/>
          </w:rPr>
          <w:fldChar w:fldCharType="begin"/>
        </w:r>
        <w:r>
          <w:rPr>
            <w:noProof/>
            <w:webHidden/>
          </w:rPr>
          <w:instrText xml:space="preserve"> PAGEREF _Toc300000851 \h </w:instrText>
        </w:r>
        <w:r>
          <w:rPr>
            <w:noProof/>
            <w:webHidden/>
          </w:rPr>
          <w:fldChar w:fldCharType="separate"/>
        </w:r>
        <w:r>
          <w:rPr>
            <w:noProof/>
            <w:webHidden/>
          </w:rPr>
          <w:t>1233</w:t>
        </w:r>
        <w:r>
          <w:rPr>
            <w:noProof/>
            <w:webHidden/>
          </w:rPr>
          <w:fldChar w:fldCharType="end"/>
        </w:r>
      </w:hyperlink>
    </w:p>
    <w:p>
      <w:pPr>
        <w:pStyle w:val="TOC2"/>
      </w:pPr>
      <w:hyperlink w:anchor="_Toc300000852" w:history="1">
        <w:r>
          <w:rPr>
            <w:noProof/>
          </w:rPr>
          <w:t xml:space="preserve">Article 24-W.9: Access, Privacy, Security, and Sensitive Locations</w:t>
        </w:r>
        <w:r>
          <w:rPr>
            <w:noProof/>
            <w:webHidden/>
          </w:rPr>
          <w:tab/>
        </w:r>
        <w:r>
          <w:rPr>
            <w:noProof/>
            <w:webHidden/>
          </w:rPr>
          <w:fldChar w:fldCharType="begin"/>
        </w:r>
        <w:r>
          <w:rPr>
            <w:noProof/>
            <w:webHidden/>
          </w:rPr>
          <w:instrText xml:space="preserve"> PAGEREF _Toc300000852 \h </w:instrText>
        </w:r>
        <w:r>
          <w:rPr>
            <w:noProof/>
            <w:webHidden/>
          </w:rPr>
          <w:fldChar w:fldCharType="separate"/>
        </w:r>
        <w:r>
          <w:rPr>
            <w:noProof/>
            <w:webHidden/>
          </w:rPr>
          <w:t>1233</w:t>
        </w:r>
        <w:r>
          <w:rPr>
            <w:noProof/>
            <w:webHidden/>
          </w:rPr>
          <w:fldChar w:fldCharType="end"/>
        </w:r>
      </w:hyperlink>
    </w:p>
    <w:p>
      <w:pPr>
        <w:pStyle w:val="TOC2"/>
      </w:pPr>
      <w:hyperlink w:anchor="_Toc300000853" w:history="1">
        <w:r>
          <w:rPr>
            <w:noProof/>
          </w:rPr>
          <w:t xml:space="preserve">CATEGORY 24-W-D: DISCOVERY, LOCATION, AND COMMUNITY REPORTING</w:t>
        </w:r>
        <w:r>
          <w:rPr>
            <w:noProof/>
            <w:webHidden/>
          </w:rPr>
          <w:tab/>
        </w:r>
        <w:r>
          <w:rPr>
            <w:noProof/>
            <w:webHidden/>
          </w:rPr>
          <w:fldChar w:fldCharType="begin"/>
        </w:r>
        <w:r>
          <w:rPr>
            <w:noProof/>
            <w:webHidden/>
          </w:rPr>
          <w:instrText xml:space="preserve"> PAGEREF _Toc300000853 \h </w:instrText>
        </w:r>
        <w:r>
          <w:rPr>
            <w:noProof/>
            <w:webHidden/>
          </w:rPr>
          <w:fldChar w:fldCharType="separate"/>
        </w:r>
        <w:r>
          <w:rPr>
            <w:noProof/>
            <w:webHidden/>
          </w:rPr>
          <w:t>1234</w:t>
        </w:r>
        <w:r>
          <w:rPr>
            <w:noProof/>
            <w:webHidden/>
          </w:rPr>
          <w:fldChar w:fldCharType="end"/>
        </w:r>
      </w:hyperlink>
    </w:p>
    <w:p>
      <w:pPr>
        <w:pStyle w:val="TOC2"/>
      </w:pPr>
      <w:hyperlink w:anchor="_Toc300000854" w:history="1">
        <w:r>
          <w:rPr>
            <w:noProof/>
          </w:rPr>
          <w:t xml:space="preserve">Article 24-W.10: Continental Discovery Strategy</w:t>
        </w:r>
        <w:r>
          <w:rPr>
            <w:noProof/>
            <w:webHidden/>
          </w:rPr>
          <w:tab/>
        </w:r>
        <w:r>
          <w:rPr>
            <w:noProof/>
            <w:webHidden/>
          </w:rPr>
          <w:fldChar w:fldCharType="begin"/>
        </w:r>
        <w:r>
          <w:rPr>
            <w:noProof/>
            <w:webHidden/>
          </w:rPr>
          <w:instrText xml:space="preserve"> PAGEREF _Toc300000854 \h </w:instrText>
        </w:r>
        <w:r>
          <w:rPr>
            <w:noProof/>
            <w:webHidden/>
          </w:rPr>
          <w:fldChar w:fldCharType="separate"/>
        </w:r>
        <w:r>
          <w:rPr>
            <w:noProof/>
            <w:webHidden/>
          </w:rPr>
          <w:t>1234</w:t>
        </w:r>
        <w:r>
          <w:rPr>
            <w:noProof/>
            <w:webHidden/>
          </w:rPr>
          <w:fldChar w:fldCharType="end"/>
        </w:r>
      </w:hyperlink>
    </w:p>
    <w:p>
      <w:pPr>
        <w:pStyle w:val="TOC2"/>
      </w:pPr>
      <w:hyperlink w:anchor="_Toc300000855" w:history="1">
        <w:r>
          <w:rPr>
            <w:noProof/>
          </w:rPr>
          <w:t xml:space="preserve">Article 24-W.11: Escalating Detection and Search Sufficiency</w:t>
        </w:r>
        <w:r>
          <w:rPr>
            <w:noProof/>
            <w:webHidden/>
          </w:rPr>
          <w:tab/>
        </w:r>
        <w:r>
          <w:rPr>
            <w:noProof/>
            <w:webHidden/>
          </w:rPr>
          <w:fldChar w:fldCharType="begin"/>
        </w:r>
        <w:r>
          <w:rPr>
            <w:noProof/>
            <w:webHidden/>
          </w:rPr>
          <w:instrText xml:space="preserve"> PAGEREF _Toc300000855 \h </w:instrText>
        </w:r>
        <w:r>
          <w:rPr>
            <w:noProof/>
            <w:webHidden/>
          </w:rPr>
          <w:fldChar w:fldCharType="separate"/>
        </w:r>
        <w:r>
          <w:rPr>
            <w:noProof/>
            <w:webHidden/>
          </w:rPr>
          <w:t>1234</w:t>
        </w:r>
        <w:r>
          <w:rPr>
            <w:noProof/>
            <w:webHidden/>
          </w:rPr>
          <w:fldChar w:fldCharType="end"/>
        </w:r>
      </w:hyperlink>
    </w:p>
    <w:p>
      <w:pPr>
        <w:pStyle w:val="TOC2"/>
      </w:pPr>
      <w:hyperlink w:anchor="_Toc300000856" w:history="1">
        <w:r>
          <w:rPr>
            <w:noProof/>
          </w:rPr>
          <w:t xml:space="preserve">Article 24-W.12: Citizen Discovery Program</w:t>
        </w:r>
        <w:r>
          <w:rPr>
            <w:noProof/>
            <w:webHidden/>
          </w:rPr>
          <w:tab/>
        </w:r>
        <w:r>
          <w:rPr>
            <w:noProof/>
            <w:webHidden/>
          </w:rPr>
          <w:fldChar w:fldCharType="begin"/>
        </w:r>
        <w:r>
          <w:rPr>
            <w:noProof/>
            <w:webHidden/>
          </w:rPr>
          <w:instrText xml:space="preserve"> PAGEREF _Toc300000856 \h </w:instrText>
        </w:r>
        <w:r>
          <w:rPr>
            <w:noProof/>
            <w:webHidden/>
          </w:rPr>
          <w:fldChar w:fldCharType="separate"/>
        </w:r>
        <w:r>
          <w:rPr>
            <w:noProof/>
            <w:webHidden/>
          </w:rPr>
          <w:t>1235</w:t>
        </w:r>
        <w:r>
          <w:rPr>
            <w:noProof/>
            <w:webHidden/>
          </w:rPr>
          <w:fldChar w:fldCharType="end"/>
        </w:r>
      </w:hyperlink>
    </w:p>
    <w:p>
      <w:pPr>
        <w:pStyle w:val="TOC2"/>
      </w:pPr>
      <w:hyperlink w:anchor="_Toc300000857" w:history="1">
        <w:r>
          <w:rPr>
            <w:noProof/>
          </w:rPr>
          <w:t xml:space="preserve">Article 24-W.13: Community, Historical, and Institutional Evidence</w:t>
        </w:r>
        <w:r>
          <w:rPr>
            <w:noProof/>
            <w:webHidden/>
          </w:rPr>
          <w:tab/>
        </w:r>
        <w:r>
          <w:rPr>
            <w:noProof/>
            <w:webHidden/>
          </w:rPr>
          <w:fldChar w:fldCharType="begin"/>
        </w:r>
        <w:r>
          <w:rPr>
            <w:noProof/>
            <w:webHidden/>
          </w:rPr>
          <w:instrText xml:space="preserve"> PAGEREF _Toc300000857 \h </w:instrText>
        </w:r>
        <w:r>
          <w:rPr>
            <w:noProof/>
            <w:webHidden/>
          </w:rPr>
          <w:fldChar w:fldCharType="separate"/>
        </w:r>
        <w:r>
          <w:rPr>
            <w:noProof/>
            <w:webHidden/>
          </w:rPr>
          <w:t>1235</w:t>
        </w:r>
        <w:r>
          <w:rPr>
            <w:noProof/>
            <w:webHidden/>
          </w:rPr>
          <w:fldChar w:fldCharType="end"/>
        </w:r>
      </w:hyperlink>
    </w:p>
    <w:p>
      <w:pPr>
        <w:pStyle w:val="TOC2"/>
      </w:pPr>
      <w:hyperlink w:anchor="_Toc300000858" w:history="1">
        <w:r>
          <w:rPr>
            <w:noProof/>
          </w:rPr>
          <w:t xml:space="preserve">Article 24-W.14: Discovery Verification Pipeline and Safe Harbor</w:t>
        </w:r>
        <w:r>
          <w:rPr>
            <w:noProof/>
            <w:webHidden/>
          </w:rPr>
          <w:tab/>
        </w:r>
        <w:r>
          <w:rPr>
            <w:noProof/>
            <w:webHidden/>
          </w:rPr>
          <w:fldChar w:fldCharType="begin"/>
        </w:r>
        <w:r>
          <w:rPr>
            <w:noProof/>
            <w:webHidden/>
          </w:rPr>
          <w:instrText xml:space="preserve"> PAGEREF _Toc300000858 \h </w:instrText>
        </w:r>
        <w:r>
          <w:rPr>
            <w:noProof/>
            <w:webHidden/>
          </w:rPr>
          <w:fldChar w:fldCharType="separate"/>
        </w:r>
        <w:r>
          <w:rPr>
            <w:noProof/>
            <w:webHidden/>
          </w:rPr>
          <w:t>1235</w:t>
        </w:r>
        <w:r>
          <w:rPr>
            <w:noProof/>
            <w:webHidden/>
          </w:rPr>
          <w:fldChar w:fldCharType="end"/>
        </w:r>
      </w:hyperlink>
    </w:p>
    <w:p>
      <w:pPr>
        <w:pStyle w:val="TOC2"/>
      </w:pPr>
      <w:hyperlink w:anchor="_Toc300000859" w:history="1">
        <w:r>
          <w:rPr>
            <w:noProof/>
          </w:rPr>
          <w:t xml:space="preserve">CATEGORY 24-W-E: RISK CLASSIFICATION, ACUTE SAFETY, AND AREA-BASED RESPONSE</w:t>
        </w:r>
        <w:r>
          <w:rPr>
            <w:noProof/>
            <w:webHidden/>
          </w:rPr>
          <w:tab/>
        </w:r>
        <w:r>
          <w:rPr>
            <w:noProof/>
            <w:webHidden/>
          </w:rPr>
          <w:fldChar w:fldCharType="begin"/>
        </w:r>
        <w:r>
          <w:rPr>
            <w:noProof/>
            <w:webHidden/>
          </w:rPr>
          <w:instrText xml:space="preserve"> PAGEREF _Toc300000859 \h </w:instrText>
        </w:r>
        <w:r>
          <w:rPr>
            <w:noProof/>
            <w:webHidden/>
          </w:rPr>
          <w:fldChar w:fldCharType="separate"/>
        </w:r>
        <w:r>
          <w:rPr>
            <w:noProof/>
            <w:webHidden/>
          </w:rPr>
          <w:t>1236</w:t>
        </w:r>
        <w:r>
          <w:rPr>
            <w:noProof/>
            <w:webHidden/>
          </w:rPr>
          <w:fldChar w:fldCharType="end"/>
        </w:r>
      </w:hyperlink>
    </w:p>
    <w:p>
      <w:pPr>
        <w:pStyle w:val="TOC2"/>
      </w:pPr>
      <w:hyperlink w:anchor="_Toc300000860" w:history="1">
        <w:r>
          <w:rPr>
            <w:noProof/>
          </w:rPr>
          <w:t xml:space="preserve">Article 24-W.15: Risk Classification and Re-Tiering</w:t>
        </w:r>
        <w:r>
          <w:rPr>
            <w:noProof/>
            <w:webHidden/>
          </w:rPr>
          <w:tab/>
        </w:r>
        <w:r>
          <w:rPr>
            <w:noProof/>
            <w:webHidden/>
          </w:rPr>
          <w:fldChar w:fldCharType="begin"/>
        </w:r>
        <w:r>
          <w:rPr>
            <w:noProof/>
            <w:webHidden/>
          </w:rPr>
          <w:instrText xml:space="preserve"> PAGEREF _Toc300000860 \h </w:instrText>
        </w:r>
        <w:r>
          <w:rPr>
            <w:noProof/>
            <w:webHidden/>
          </w:rPr>
          <w:fldChar w:fldCharType="separate"/>
        </w:r>
        <w:r>
          <w:rPr>
            <w:noProof/>
            <w:webHidden/>
          </w:rPr>
          <w:t>1236</w:t>
        </w:r>
        <w:r>
          <w:rPr>
            <w:noProof/>
            <w:webHidden/>
          </w:rPr>
          <w:fldChar w:fldCharType="end"/>
        </w:r>
      </w:hyperlink>
    </w:p>
    <w:p>
      <w:pPr>
        <w:pStyle w:val="TOC2"/>
      </w:pPr>
      <w:hyperlink w:anchor="_Toc300000861" w:history="1">
        <w:r>
          <w:rPr>
            <w:noProof/>
          </w:rPr>
          <w:t xml:space="preserve">Article 24-W.16: Acute Hazard and Emergency Lane</w:t>
        </w:r>
        <w:r>
          <w:rPr>
            <w:noProof/>
            <w:webHidden/>
          </w:rPr>
          <w:tab/>
        </w:r>
        <w:r>
          <w:rPr>
            <w:noProof/>
            <w:webHidden/>
          </w:rPr>
          <w:fldChar w:fldCharType="begin"/>
        </w:r>
        <w:r>
          <w:rPr>
            <w:noProof/>
            <w:webHidden/>
          </w:rPr>
          <w:instrText xml:space="preserve"> PAGEREF _Toc300000861 \h </w:instrText>
        </w:r>
        <w:r>
          <w:rPr>
            <w:noProof/>
            <w:webHidden/>
          </w:rPr>
          <w:fldChar w:fldCharType="separate"/>
        </w:r>
        <w:r>
          <w:rPr>
            <w:noProof/>
            <w:webHidden/>
          </w:rPr>
          <w:t>1236</w:t>
        </w:r>
        <w:r>
          <w:rPr>
            <w:noProof/>
            <w:webHidden/>
          </w:rPr>
          <w:fldChar w:fldCharType="end"/>
        </w:r>
      </w:hyperlink>
    </w:p>
    <w:p>
      <w:pPr>
        <w:pStyle w:val="TOC2"/>
      </w:pPr>
      <w:hyperlink w:anchor="_Toc300000862" w:history="1">
        <w:r>
          <w:rPr>
            <w:noProof/>
          </w:rPr>
          <w:t xml:space="preserve">Article 24-W.17: Public Warning, Occupant Notification, and Local Response</w:t>
        </w:r>
        <w:r>
          <w:rPr>
            <w:noProof/>
            <w:webHidden/>
          </w:rPr>
          <w:tab/>
        </w:r>
        <w:r>
          <w:rPr>
            <w:noProof/>
            <w:webHidden/>
          </w:rPr>
          <w:fldChar w:fldCharType="begin"/>
        </w:r>
        <w:r>
          <w:rPr>
            <w:noProof/>
            <w:webHidden/>
          </w:rPr>
          <w:instrText xml:space="preserve"> PAGEREF _Toc300000862 \h </w:instrText>
        </w:r>
        <w:r>
          <w:rPr>
            <w:noProof/>
            <w:webHidden/>
          </w:rPr>
          <w:fldChar w:fldCharType="separate"/>
        </w:r>
        <w:r>
          <w:rPr>
            <w:noProof/>
            <w:webHidden/>
          </w:rPr>
          <w:t>1236</w:t>
        </w:r>
        <w:r>
          <w:rPr>
            <w:noProof/>
            <w:webHidden/>
          </w:rPr>
          <w:fldChar w:fldCharType="end"/>
        </w:r>
      </w:hyperlink>
    </w:p>
    <w:p>
      <w:pPr>
        <w:pStyle w:val="TOC2"/>
      </w:pPr>
      <w:hyperlink w:anchor="_Toc300000863" w:history="1">
        <w:r>
          <w:rPr>
            <w:noProof/>
          </w:rPr>
          <w:t xml:space="preserve">Article 24-W.18: Geographic Clusters and Integrated Remediation Zones</w:t>
        </w:r>
        <w:r>
          <w:rPr>
            <w:noProof/>
            <w:webHidden/>
          </w:rPr>
          <w:tab/>
        </w:r>
        <w:r>
          <w:rPr>
            <w:noProof/>
            <w:webHidden/>
          </w:rPr>
          <w:fldChar w:fldCharType="begin"/>
        </w:r>
        <w:r>
          <w:rPr>
            <w:noProof/>
            <w:webHidden/>
          </w:rPr>
          <w:instrText xml:space="preserve"> PAGEREF _Toc300000863 \h </w:instrText>
        </w:r>
        <w:r>
          <w:rPr>
            <w:noProof/>
            <w:webHidden/>
          </w:rPr>
          <w:fldChar w:fldCharType="separate"/>
        </w:r>
        <w:r>
          <w:rPr>
            <w:noProof/>
            <w:webHidden/>
          </w:rPr>
          <w:t>1237</w:t>
        </w:r>
        <w:r>
          <w:rPr>
            <w:noProof/>
            <w:webHidden/>
          </w:rPr>
          <w:fldChar w:fldCharType="end"/>
        </w:r>
      </w:hyperlink>
    </w:p>
    <w:p>
      <w:pPr>
        <w:pStyle w:val="TOC2"/>
      </w:pPr>
      <w:hyperlink w:anchor="_Toc300000864" w:history="1">
        <w:r>
          <w:rPr>
            <w:noProof/>
          </w:rPr>
          <w:t xml:space="preserve">CATEGORY 24-W-F: REMEDIATION, CLOSURE VERIFICATION, AND POST-CLOSURE DUTY</w:t>
        </w:r>
        <w:r>
          <w:rPr>
            <w:noProof/>
            <w:webHidden/>
          </w:rPr>
          <w:tab/>
        </w:r>
        <w:r>
          <w:rPr>
            <w:noProof/>
            <w:webHidden/>
          </w:rPr>
          <w:fldChar w:fldCharType="begin"/>
        </w:r>
        <w:r>
          <w:rPr>
            <w:noProof/>
            <w:webHidden/>
          </w:rPr>
          <w:instrText xml:space="preserve"> PAGEREF _Toc300000864 \h </w:instrText>
        </w:r>
        <w:r>
          <w:rPr>
            <w:noProof/>
            <w:webHidden/>
          </w:rPr>
          <w:fldChar w:fldCharType="separate"/>
        </w:r>
        <w:r>
          <w:rPr>
            <w:noProof/>
            <w:webHidden/>
          </w:rPr>
          <w:t>1237</w:t>
        </w:r>
        <w:r>
          <w:rPr>
            <w:noProof/>
            <w:webHidden/>
          </w:rPr>
          <w:fldChar w:fldCharType="end"/>
        </w:r>
      </w:hyperlink>
    </w:p>
    <w:p>
      <w:pPr>
        <w:pStyle w:val="TOC2"/>
      </w:pPr>
      <w:hyperlink w:anchor="_Toc300000865" w:history="1">
        <w:r>
          <w:rPr>
            <w:noProof/>
          </w:rPr>
          <w:t xml:space="preserve">Article 24-W.19: Remediation Planning and Execution</w:t>
        </w:r>
        <w:r>
          <w:rPr>
            <w:noProof/>
            <w:webHidden/>
          </w:rPr>
          <w:tab/>
        </w:r>
        <w:r>
          <w:rPr>
            <w:noProof/>
            <w:webHidden/>
          </w:rPr>
          <w:fldChar w:fldCharType="begin"/>
        </w:r>
        <w:r>
          <w:rPr>
            <w:noProof/>
            <w:webHidden/>
          </w:rPr>
          <w:instrText xml:space="preserve"> PAGEREF _Toc300000865 \h </w:instrText>
        </w:r>
        <w:r>
          <w:rPr>
            <w:noProof/>
            <w:webHidden/>
          </w:rPr>
          <w:fldChar w:fldCharType="separate"/>
        </w:r>
        <w:r>
          <w:rPr>
            <w:noProof/>
            <w:webHidden/>
          </w:rPr>
          <w:t>1237</w:t>
        </w:r>
        <w:r>
          <w:rPr>
            <w:noProof/>
            <w:webHidden/>
          </w:rPr>
          <w:fldChar w:fldCharType="end"/>
        </w:r>
      </w:hyperlink>
    </w:p>
    <w:p>
      <w:pPr>
        <w:pStyle w:val="TOC2"/>
      </w:pPr>
      <w:hyperlink w:anchor="_Toc300000866" w:history="1">
        <w:r>
          <w:rPr>
            <w:noProof/>
          </w:rPr>
          <w:t xml:space="preserve">Article 24-W.20: Closure Verification</w:t>
        </w:r>
        <w:r>
          <w:rPr>
            <w:noProof/>
            <w:webHidden/>
          </w:rPr>
          <w:tab/>
        </w:r>
        <w:r>
          <w:rPr>
            <w:noProof/>
            <w:webHidden/>
          </w:rPr>
          <w:fldChar w:fldCharType="begin"/>
        </w:r>
        <w:r>
          <w:rPr>
            <w:noProof/>
            <w:webHidden/>
          </w:rPr>
          <w:instrText xml:space="preserve"> PAGEREF _Toc300000866 \h </w:instrText>
        </w:r>
        <w:r>
          <w:rPr>
            <w:noProof/>
            <w:webHidden/>
          </w:rPr>
          <w:fldChar w:fldCharType="separate"/>
        </w:r>
        <w:r>
          <w:rPr>
            <w:noProof/>
            <w:webHidden/>
          </w:rPr>
          <w:t>1238</w:t>
        </w:r>
        <w:r>
          <w:rPr>
            <w:noProof/>
            <w:webHidden/>
          </w:rPr>
          <w:fldChar w:fldCharType="end"/>
        </w:r>
      </w:hyperlink>
    </w:p>
    <w:p>
      <w:pPr>
        <w:pStyle w:val="TOC2"/>
      </w:pPr>
      <w:hyperlink w:anchor="_Toc300000867" w:history="1">
        <w:r>
          <w:rPr>
            <w:noProof/>
          </w:rPr>
          <w:t xml:space="preserve">Article 24-W.21: Post-Closure Monitoring and Reopening</w:t>
        </w:r>
        <w:r>
          <w:rPr>
            <w:noProof/>
            <w:webHidden/>
          </w:rPr>
          <w:tab/>
        </w:r>
        <w:r>
          <w:rPr>
            <w:noProof/>
            <w:webHidden/>
          </w:rPr>
          <w:fldChar w:fldCharType="begin"/>
        </w:r>
        <w:r>
          <w:rPr>
            <w:noProof/>
            <w:webHidden/>
          </w:rPr>
          <w:instrText xml:space="preserve"> PAGEREF _Toc300000867 \h </w:instrText>
        </w:r>
        <w:r>
          <w:rPr>
            <w:noProof/>
            <w:webHidden/>
          </w:rPr>
          <w:fldChar w:fldCharType="separate"/>
        </w:r>
        <w:r>
          <w:rPr>
            <w:noProof/>
            <w:webHidden/>
          </w:rPr>
          <w:t>1238</w:t>
        </w:r>
        <w:r>
          <w:rPr>
            <w:noProof/>
            <w:webHidden/>
          </w:rPr>
          <w:fldChar w:fldCharType="end"/>
        </w:r>
      </w:hyperlink>
    </w:p>
    <w:p>
      <w:pPr>
        <w:pStyle w:val="TOC2"/>
      </w:pPr>
      <w:hyperlink w:anchor="_Toc300000868" w:history="1">
        <w:r>
          <w:rPr>
            <w:noProof/>
          </w:rPr>
          <w:t xml:space="preserve">CATEGORY 24-W-G: POOLED FUNDING, DIFFICULT WELLS, AND FINANCIAL INTEGRITY</w:t>
        </w:r>
        <w:r>
          <w:rPr>
            <w:noProof/>
            <w:webHidden/>
          </w:rPr>
          <w:tab/>
        </w:r>
        <w:r>
          <w:rPr>
            <w:noProof/>
            <w:webHidden/>
          </w:rPr>
          <w:fldChar w:fldCharType="begin"/>
        </w:r>
        <w:r>
          <w:rPr>
            <w:noProof/>
            <w:webHidden/>
          </w:rPr>
          <w:instrText xml:space="preserve"> PAGEREF _Toc300000868 \h </w:instrText>
        </w:r>
        <w:r>
          <w:rPr>
            <w:noProof/>
            <w:webHidden/>
          </w:rPr>
          <w:fldChar w:fldCharType="separate"/>
        </w:r>
        <w:r>
          <w:rPr>
            <w:noProof/>
            <w:webHidden/>
          </w:rPr>
          <w:t>1238</w:t>
        </w:r>
        <w:r>
          <w:rPr>
            <w:noProof/>
            <w:webHidden/>
          </w:rPr>
          <w:fldChar w:fldCharType="end"/>
        </w:r>
      </w:hyperlink>
    </w:p>
    <w:p>
      <w:pPr>
        <w:pStyle w:val="TOC2"/>
      </w:pPr>
      <w:hyperlink w:anchor="_Toc300000869" w:history="1">
        <w:r>
          <w:rPr>
            <w:noProof/>
          </w:rPr>
          <w:t xml:space="preserve">Article 24-W.22: North American Legacy Well Discovery and Remediation Facility</w:t>
        </w:r>
        <w:r>
          <w:rPr>
            <w:noProof/>
            <w:webHidden/>
          </w:rPr>
          <w:tab/>
        </w:r>
        <w:r>
          <w:rPr>
            <w:noProof/>
            <w:webHidden/>
          </w:rPr>
          <w:fldChar w:fldCharType="begin"/>
        </w:r>
        <w:r>
          <w:rPr>
            <w:noProof/>
            <w:webHidden/>
          </w:rPr>
          <w:instrText xml:space="preserve"> PAGEREF _Toc300000869 \h </w:instrText>
        </w:r>
        <w:r>
          <w:rPr>
            <w:noProof/>
            <w:webHidden/>
          </w:rPr>
          <w:fldChar w:fldCharType="separate"/>
        </w:r>
        <w:r>
          <w:rPr>
            <w:noProof/>
            <w:webHidden/>
          </w:rPr>
          <w:t>1238</w:t>
        </w:r>
        <w:r>
          <w:rPr>
            <w:noProof/>
            <w:webHidden/>
          </w:rPr>
          <w:fldChar w:fldCharType="end"/>
        </w:r>
      </w:hyperlink>
    </w:p>
    <w:p>
      <w:pPr>
        <w:pStyle w:val="TOC2"/>
      </w:pPr>
      <w:hyperlink w:anchor="_Toc300000870" w:history="1">
        <w:r>
          <w:rPr>
            <w:noProof/>
          </w:rPr>
          <w:t xml:space="preserve">Article 24-W.23: Funding Windows</w:t>
        </w:r>
        <w:r>
          <w:rPr>
            <w:noProof/>
            <w:webHidden/>
          </w:rPr>
          <w:tab/>
        </w:r>
        <w:r>
          <w:rPr>
            <w:noProof/>
            <w:webHidden/>
          </w:rPr>
          <w:fldChar w:fldCharType="begin"/>
        </w:r>
        <w:r>
          <w:rPr>
            <w:noProof/>
            <w:webHidden/>
          </w:rPr>
          <w:instrText xml:space="preserve"> PAGEREF _Toc300000870 \h </w:instrText>
        </w:r>
        <w:r>
          <w:rPr>
            <w:noProof/>
            <w:webHidden/>
          </w:rPr>
          <w:fldChar w:fldCharType="separate"/>
        </w:r>
        <w:r>
          <w:rPr>
            <w:noProof/>
            <w:webHidden/>
          </w:rPr>
          <w:t>1239</w:t>
        </w:r>
        <w:r>
          <w:rPr>
            <w:noProof/>
            <w:webHidden/>
          </w:rPr>
          <w:fldChar w:fldCharType="end"/>
        </w:r>
      </w:hyperlink>
    </w:p>
    <w:p>
      <w:pPr>
        <w:pStyle w:val="TOC2"/>
      </w:pPr>
      <w:hyperlink w:anchor="_Toc300000871" w:history="1">
        <w:r>
          <w:rPr>
            <w:noProof/>
          </w:rPr>
          <w:t xml:space="preserve">Article 24-W.24: Difficult-Well Reserve and Shared Technical Capacity</w:t>
        </w:r>
        <w:r>
          <w:rPr>
            <w:noProof/>
            <w:webHidden/>
          </w:rPr>
          <w:tab/>
        </w:r>
        <w:r>
          <w:rPr>
            <w:noProof/>
            <w:webHidden/>
          </w:rPr>
          <w:fldChar w:fldCharType="begin"/>
        </w:r>
        <w:r>
          <w:rPr>
            <w:noProof/>
            <w:webHidden/>
          </w:rPr>
          <w:instrText xml:space="preserve"> PAGEREF _Toc300000871 \h </w:instrText>
        </w:r>
        <w:r>
          <w:rPr>
            <w:noProof/>
            <w:webHidden/>
          </w:rPr>
          <w:fldChar w:fldCharType="separate"/>
        </w:r>
        <w:r>
          <w:rPr>
            <w:noProof/>
            <w:webHidden/>
          </w:rPr>
          <w:t>1239</w:t>
        </w:r>
        <w:r>
          <w:rPr>
            <w:noProof/>
            <w:webHidden/>
          </w:rPr>
          <w:fldChar w:fldCharType="end"/>
        </w:r>
      </w:hyperlink>
    </w:p>
    <w:p>
      <w:pPr>
        <w:pStyle w:val="TOC2"/>
      </w:pPr>
      <w:hyperlink w:anchor="_Toc300000872" w:history="1">
        <w:r>
          <w:rPr>
            <w:noProof/>
          </w:rPr>
          <w:t xml:space="preserve">Article 24-W.25: Grant Integrity, Verification, and Anti-Substitution</w:t>
        </w:r>
        <w:r>
          <w:rPr>
            <w:noProof/>
            <w:webHidden/>
          </w:rPr>
          <w:tab/>
        </w:r>
        <w:r>
          <w:rPr>
            <w:noProof/>
            <w:webHidden/>
          </w:rPr>
          <w:fldChar w:fldCharType="begin"/>
        </w:r>
        <w:r>
          <w:rPr>
            <w:noProof/>
            <w:webHidden/>
          </w:rPr>
          <w:instrText xml:space="preserve"> PAGEREF _Toc300000872 \h </w:instrText>
        </w:r>
        <w:r>
          <w:rPr>
            <w:noProof/>
            <w:webHidden/>
          </w:rPr>
          <w:fldChar w:fldCharType="separate"/>
        </w:r>
        <w:r>
          <w:rPr>
            <w:noProof/>
            <w:webHidden/>
          </w:rPr>
          <w:t>1240</w:t>
        </w:r>
        <w:r>
          <w:rPr>
            <w:noProof/>
            <w:webHidden/>
          </w:rPr>
          <w:fldChar w:fldCharType="end"/>
        </w:r>
      </w:hyperlink>
    </w:p>
    <w:p>
      <w:pPr>
        <w:pStyle w:val="TOC2"/>
      </w:pPr>
      <w:hyperlink w:anchor="_Toc300000873" w:history="1">
        <w:r>
          <w:rPr>
            <w:noProof/>
          </w:rPr>
          <w:t xml:space="preserve">CATEGORY 24-W-H: FUTURE-ORPHAN PREVENTION AND RESPONSIBILITY CONTINUITY</w:t>
        </w:r>
        <w:r>
          <w:rPr>
            <w:noProof/>
            <w:webHidden/>
          </w:rPr>
          <w:tab/>
        </w:r>
        <w:r>
          <w:rPr>
            <w:noProof/>
            <w:webHidden/>
          </w:rPr>
          <w:fldChar w:fldCharType="begin"/>
        </w:r>
        <w:r>
          <w:rPr>
            <w:noProof/>
            <w:webHidden/>
          </w:rPr>
          <w:instrText xml:space="preserve"> PAGEREF _Toc300000873 \h </w:instrText>
        </w:r>
        <w:r>
          <w:rPr>
            <w:noProof/>
            <w:webHidden/>
          </w:rPr>
          <w:fldChar w:fldCharType="separate"/>
        </w:r>
        <w:r>
          <w:rPr>
            <w:noProof/>
            <w:webHidden/>
          </w:rPr>
          <w:t>1240</w:t>
        </w:r>
        <w:r>
          <w:rPr>
            <w:noProof/>
            <w:webHidden/>
          </w:rPr>
          <w:fldChar w:fldCharType="end"/>
        </w:r>
      </w:hyperlink>
    </w:p>
    <w:p>
      <w:pPr>
        <w:pStyle w:val="TOC2"/>
      </w:pPr>
      <w:hyperlink w:anchor="_Toc300000874" w:history="1">
        <w:r>
          <w:rPr>
            <w:noProof/>
          </w:rPr>
          <w:t xml:space="preserve">Article 24-W.26: Adequacy of End-of-Life Financial Assurance</w:t>
        </w:r>
        <w:r>
          <w:rPr>
            <w:noProof/>
            <w:webHidden/>
          </w:rPr>
          <w:tab/>
        </w:r>
        <w:r>
          <w:rPr>
            <w:noProof/>
            <w:webHidden/>
          </w:rPr>
          <w:fldChar w:fldCharType="begin"/>
        </w:r>
        <w:r>
          <w:rPr>
            <w:noProof/>
            <w:webHidden/>
          </w:rPr>
          <w:instrText xml:space="preserve"> PAGEREF _Toc300000874 \h </w:instrText>
        </w:r>
        <w:r>
          <w:rPr>
            <w:noProof/>
            <w:webHidden/>
          </w:rPr>
          <w:fldChar w:fldCharType="separate"/>
        </w:r>
        <w:r>
          <w:rPr>
            <w:noProof/>
            <w:webHidden/>
          </w:rPr>
          <w:t>1240</w:t>
        </w:r>
        <w:r>
          <w:rPr>
            <w:noProof/>
            <w:webHidden/>
          </w:rPr>
          <w:fldChar w:fldCharType="end"/>
        </w:r>
      </w:hyperlink>
    </w:p>
    <w:p>
      <w:pPr>
        <w:pStyle w:val="TOC2"/>
      </w:pPr>
      <w:hyperlink w:anchor="_Toc300000875" w:history="1">
        <w:r>
          <w:rPr>
            <w:noProof/>
          </w:rPr>
          <w:t xml:space="preserve">Article 24-W.27: Transfer, Distress, and Orphan-Prevention Controls</w:t>
        </w:r>
        <w:r>
          <w:rPr>
            <w:noProof/>
            <w:webHidden/>
          </w:rPr>
          <w:tab/>
        </w:r>
        <w:r>
          <w:rPr>
            <w:noProof/>
            <w:webHidden/>
          </w:rPr>
          <w:fldChar w:fldCharType="begin"/>
        </w:r>
        <w:r>
          <w:rPr>
            <w:noProof/>
            <w:webHidden/>
          </w:rPr>
          <w:instrText xml:space="preserve"> PAGEREF _Toc300000875 \h </w:instrText>
        </w:r>
        <w:r>
          <w:rPr>
            <w:noProof/>
            <w:webHidden/>
          </w:rPr>
          <w:fldChar w:fldCharType="separate"/>
        </w:r>
        <w:r>
          <w:rPr>
            <w:noProof/>
            <w:webHidden/>
          </w:rPr>
          <w:t>1240</w:t>
        </w:r>
        <w:r>
          <w:rPr>
            <w:noProof/>
            <w:webHidden/>
          </w:rPr>
          <w:fldChar w:fldCharType="end"/>
        </w:r>
      </w:hyperlink>
    </w:p>
    <w:p>
      <w:pPr>
        <w:pStyle w:val="TOC2"/>
      </w:pPr>
      <w:hyperlink w:anchor="_Toc300000876" w:history="1">
        <w:r>
          <w:rPr>
            <w:noProof/>
          </w:rPr>
          <w:t xml:space="preserve">Article 24-W.28: Innocent Owners and Responsible-Party Recovery</w:t>
        </w:r>
        <w:r>
          <w:rPr>
            <w:noProof/>
            <w:webHidden/>
          </w:rPr>
          <w:tab/>
        </w:r>
        <w:r>
          <w:rPr>
            <w:noProof/>
            <w:webHidden/>
          </w:rPr>
          <w:fldChar w:fldCharType="begin"/>
        </w:r>
        <w:r>
          <w:rPr>
            <w:noProof/>
            <w:webHidden/>
          </w:rPr>
          <w:instrText xml:space="preserve"> PAGEREF _Toc300000876 \h </w:instrText>
        </w:r>
        <w:r>
          <w:rPr>
            <w:noProof/>
            <w:webHidden/>
          </w:rPr>
          <w:fldChar w:fldCharType="separate"/>
        </w:r>
        <w:r>
          <w:rPr>
            <w:noProof/>
            <w:webHidden/>
          </w:rPr>
          <w:t>1241</w:t>
        </w:r>
        <w:r>
          <w:rPr>
            <w:noProof/>
            <w:webHidden/>
          </w:rPr>
          <w:fldChar w:fldCharType="end"/>
        </w:r>
      </w:hyperlink>
    </w:p>
    <w:p>
      <w:pPr>
        <w:pStyle w:val="TOC2"/>
      </w:pPr>
      <w:hyperlink w:anchor="_Toc300000877" w:history="1">
        <w:r>
          <w:rPr>
            <w:noProof/>
          </w:rPr>
          <w:t xml:space="preserve">CATEGORY 24-W-I: TECHNOLOGY, CAPACITY, LAND-USE INTERFACE, AND INDIGENOUS SAFEGUARDS</w:t>
        </w:r>
        <w:r>
          <w:rPr>
            <w:noProof/>
            <w:webHidden/>
          </w:rPr>
          <w:tab/>
        </w:r>
        <w:r>
          <w:rPr>
            <w:noProof/>
            <w:webHidden/>
          </w:rPr>
          <w:fldChar w:fldCharType="begin"/>
        </w:r>
        <w:r>
          <w:rPr>
            <w:noProof/>
            <w:webHidden/>
          </w:rPr>
          <w:instrText xml:space="preserve"> PAGEREF _Toc300000877 \h </w:instrText>
        </w:r>
        <w:r>
          <w:rPr>
            <w:noProof/>
            <w:webHidden/>
          </w:rPr>
          <w:fldChar w:fldCharType="separate"/>
        </w:r>
        <w:r>
          <w:rPr>
            <w:noProof/>
            <w:webHidden/>
          </w:rPr>
          <w:t>1241</w:t>
        </w:r>
        <w:r>
          <w:rPr>
            <w:noProof/>
            <w:webHidden/>
          </w:rPr>
          <w:fldChar w:fldCharType="end"/>
        </w:r>
      </w:hyperlink>
    </w:p>
    <w:p>
      <w:pPr>
        <w:pStyle w:val="TOC2"/>
      </w:pPr>
      <w:hyperlink w:anchor="_Toc300000878" w:history="1">
        <w:r>
          <w:rPr>
            <w:noProof/>
          </w:rPr>
          <w:t xml:space="preserve">Article 24-W.29: Research, Technology, and Methods Modernization</w:t>
        </w:r>
        <w:r>
          <w:rPr>
            <w:noProof/>
            <w:webHidden/>
          </w:rPr>
          <w:tab/>
        </w:r>
        <w:r>
          <w:rPr>
            <w:noProof/>
            <w:webHidden/>
          </w:rPr>
          <w:fldChar w:fldCharType="begin"/>
        </w:r>
        <w:r>
          <w:rPr>
            <w:noProof/>
            <w:webHidden/>
          </w:rPr>
          <w:instrText xml:space="preserve"> PAGEREF _Toc300000878 \h </w:instrText>
        </w:r>
        <w:r>
          <w:rPr>
            <w:noProof/>
            <w:webHidden/>
          </w:rPr>
          <w:fldChar w:fldCharType="separate"/>
        </w:r>
        <w:r>
          <w:rPr>
            <w:noProof/>
            <w:webHidden/>
          </w:rPr>
          <w:t>1241</w:t>
        </w:r>
        <w:r>
          <w:rPr>
            <w:noProof/>
            <w:webHidden/>
          </w:rPr>
          <w:fldChar w:fldCharType="end"/>
        </w:r>
      </w:hyperlink>
    </w:p>
    <w:p>
      <w:pPr>
        <w:pStyle w:val="TOC2"/>
      </w:pPr>
      <w:hyperlink w:anchor="_Toc300000879" w:history="1">
        <w:r>
          <w:rPr>
            <w:noProof/>
          </w:rPr>
          <w:t xml:space="preserve">Article 24-W.30: Workforce, Training, and Mutual Technical Assistance</w:t>
        </w:r>
        <w:r>
          <w:rPr>
            <w:noProof/>
            <w:webHidden/>
          </w:rPr>
          <w:tab/>
        </w:r>
        <w:r>
          <w:rPr>
            <w:noProof/>
            <w:webHidden/>
          </w:rPr>
          <w:fldChar w:fldCharType="begin"/>
        </w:r>
        <w:r>
          <w:rPr>
            <w:noProof/>
            <w:webHidden/>
          </w:rPr>
          <w:instrText xml:space="preserve"> PAGEREF _Toc300000879 \h </w:instrText>
        </w:r>
        <w:r>
          <w:rPr>
            <w:noProof/>
            <w:webHidden/>
          </w:rPr>
          <w:fldChar w:fldCharType="separate"/>
        </w:r>
        <w:r>
          <w:rPr>
            <w:noProof/>
            <w:webHidden/>
          </w:rPr>
          <w:t>1242</w:t>
        </w:r>
        <w:r>
          <w:rPr>
            <w:noProof/>
            <w:webHidden/>
          </w:rPr>
          <w:fldChar w:fldCharType="end"/>
        </w:r>
      </w:hyperlink>
    </w:p>
    <w:p>
      <w:pPr>
        <w:pStyle w:val="TOC2"/>
      </w:pPr>
      <w:hyperlink w:anchor="_Toc300000880" w:history="1">
        <w:r>
          <w:rPr>
            <w:noProof/>
          </w:rPr>
          <w:t xml:space="preserve">Article 24-W.31: Indigenous and Tribal Rights, Knowledge, and Data Governance</w:t>
        </w:r>
        <w:r>
          <w:rPr>
            <w:noProof/>
            <w:webHidden/>
          </w:rPr>
          <w:tab/>
        </w:r>
        <w:r>
          <w:rPr>
            <w:noProof/>
            <w:webHidden/>
          </w:rPr>
          <w:fldChar w:fldCharType="begin"/>
        </w:r>
        <w:r>
          <w:rPr>
            <w:noProof/>
            <w:webHidden/>
          </w:rPr>
          <w:instrText xml:space="preserve"> PAGEREF _Toc300000880 \h </w:instrText>
        </w:r>
        <w:r>
          <w:rPr>
            <w:noProof/>
            <w:webHidden/>
          </w:rPr>
          <w:fldChar w:fldCharType="separate"/>
        </w:r>
        <w:r>
          <w:rPr>
            <w:noProof/>
            <w:webHidden/>
          </w:rPr>
          <w:t>1242</w:t>
        </w:r>
        <w:r>
          <w:rPr>
            <w:noProof/>
            <w:webHidden/>
          </w:rPr>
          <w:fldChar w:fldCharType="end"/>
        </w:r>
      </w:hyperlink>
    </w:p>
    <w:p>
      <w:pPr>
        <w:pStyle w:val="TOC2"/>
      </w:pPr>
      <w:hyperlink w:anchor="_Toc300000881" w:history="1">
        <w:r>
          <w:rPr>
            <w:noProof/>
          </w:rPr>
          <w:t xml:space="preserve">Article 24-W.32: Land-Use, Development, and Subsurface-Project Interface</w:t>
        </w:r>
        <w:r>
          <w:rPr>
            <w:noProof/>
            <w:webHidden/>
          </w:rPr>
          <w:tab/>
        </w:r>
        <w:r>
          <w:rPr>
            <w:noProof/>
            <w:webHidden/>
          </w:rPr>
          <w:fldChar w:fldCharType="begin"/>
        </w:r>
        <w:r>
          <w:rPr>
            <w:noProof/>
            <w:webHidden/>
          </w:rPr>
          <w:instrText xml:space="preserve"> PAGEREF _Toc300000881 \h </w:instrText>
        </w:r>
        <w:r>
          <w:rPr>
            <w:noProof/>
            <w:webHidden/>
          </w:rPr>
          <w:fldChar w:fldCharType="separate"/>
        </w:r>
        <w:r>
          <w:rPr>
            <w:noProof/>
            <w:webHidden/>
          </w:rPr>
          <w:t>1242</w:t>
        </w:r>
        <w:r>
          <w:rPr>
            <w:noProof/>
            <w:webHidden/>
          </w:rPr>
          <w:fldChar w:fldCharType="end"/>
        </w:r>
      </w:hyperlink>
    </w:p>
    <w:p>
      <w:pPr>
        <w:pStyle w:val="TOC2"/>
      </w:pPr>
      <w:hyperlink w:anchor="_Toc300000882" w:history="1">
        <w:r>
          <w:rPr>
            <w:noProof/>
          </w:rPr>
          <w:t xml:space="preserve">CATEGORY 24-W-J: PERFORMANCE, VERIFICATION, CORRECTION, AND NO-FADE</w:t>
        </w:r>
        <w:r>
          <w:rPr>
            <w:noProof/>
            <w:webHidden/>
          </w:rPr>
          <w:tab/>
        </w:r>
        <w:r>
          <w:rPr>
            <w:noProof/>
            <w:webHidden/>
          </w:rPr>
          <w:fldChar w:fldCharType="begin"/>
        </w:r>
        <w:r>
          <w:rPr>
            <w:noProof/>
            <w:webHidden/>
          </w:rPr>
          <w:instrText xml:space="preserve"> PAGEREF _Toc300000882 \h </w:instrText>
        </w:r>
        <w:r>
          <w:rPr>
            <w:noProof/>
            <w:webHidden/>
          </w:rPr>
          <w:fldChar w:fldCharType="separate"/>
        </w:r>
        <w:r>
          <w:rPr>
            <w:noProof/>
            <w:webHidden/>
          </w:rPr>
          <w:t>1243</w:t>
        </w:r>
        <w:r>
          <w:rPr>
            <w:noProof/>
            <w:webHidden/>
          </w:rPr>
          <w:fldChar w:fldCharType="end"/>
        </w:r>
      </w:hyperlink>
    </w:p>
    <w:p>
      <w:pPr>
        <w:pStyle w:val="TOC2"/>
      </w:pPr>
      <w:hyperlink w:anchor="_Toc300000883" w:history="1">
        <w:r>
          <w:rPr>
            <w:noProof/>
          </w:rPr>
          <w:t xml:space="preserve">Article 24-W.33: Performance Metrics and Discovery-Neutral Accounting</w:t>
        </w:r>
        <w:r>
          <w:rPr>
            <w:noProof/>
            <w:webHidden/>
          </w:rPr>
          <w:tab/>
        </w:r>
        <w:r>
          <w:rPr>
            <w:noProof/>
            <w:webHidden/>
          </w:rPr>
          <w:fldChar w:fldCharType="begin"/>
        </w:r>
        <w:r>
          <w:rPr>
            <w:noProof/>
            <w:webHidden/>
          </w:rPr>
          <w:instrText xml:space="preserve"> PAGEREF _Toc300000883 \h </w:instrText>
        </w:r>
        <w:r>
          <w:rPr>
            <w:noProof/>
            <w:webHidden/>
          </w:rPr>
          <w:fldChar w:fldCharType="separate"/>
        </w:r>
        <w:r>
          <w:rPr>
            <w:noProof/>
            <w:webHidden/>
          </w:rPr>
          <w:t>1243</w:t>
        </w:r>
        <w:r>
          <w:rPr>
            <w:noProof/>
            <w:webHidden/>
          </w:rPr>
          <w:fldChar w:fldCharType="end"/>
        </w:r>
      </w:hyperlink>
    </w:p>
    <w:p>
      <w:pPr>
        <w:pStyle w:val="TOC2"/>
      </w:pPr>
      <w:hyperlink w:anchor="_Toc300000884" w:history="1">
        <w:r>
          <w:rPr>
            <w:noProof/>
          </w:rPr>
          <w:t xml:space="preserve">Article 24-W.34: Cothrom Verification and Evidence Reconciliation</w:t>
        </w:r>
        <w:r>
          <w:rPr>
            <w:noProof/>
            <w:webHidden/>
          </w:rPr>
          <w:tab/>
        </w:r>
        <w:r>
          <w:rPr>
            <w:noProof/>
            <w:webHidden/>
          </w:rPr>
          <w:fldChar w:fldCharType="begin"/>
        </w:r>
        <w:r>
          <w:rPr>
            <w:noProof/>
            <w:webHidden/>
          </w:rPr>
          <w:instrText xml:space="preserve"> PAGEREF _Toc300000884 \h </w:instrText>
        </w:r>
        <w:r>
          <w:rPr>
            <w:noProof/>
            <w:webHidden/>
          </w:rPr>
          <w:fldChar w:fldCharType="separate"/>
        </w:r>
        <w:r>
          <w:rPr>
            <w:noProof/>
            <w:webHidden/>
          </w:rPr>
          <w:t>1243</w:t>
        </w:r>
        <w:r>
          <w:rPr>
            <w:noProof/>
            <w:webHidden/>
          </w:rPr>
          <w:fldChar w:fldCharType="end"/>
        </w:r>
      </w:hyperlink>
    </w:p>
    <w:p>
      <w:pPr>
        <w:pStyle w:val="TOC2"/>
      </w:pPr>
      <w:hyperlink w:anchor="_Toc300000885" w:history="1">
        <w:r>
          <w:rPr>
            <w:noProof/>
          </w:rPr>
          <w:t xml:space="preserve">Article 24-W.35: Correction, Cure, and Restoration</w:t>
        </w:r>
        <w:r>
          <w:rPr>
            <w:noProof/>
            <w:webHidden/>
          </w:rPr>
          <w:tab/>
        </w:r>
        <w:r>
          <w:rPr>
            <w:noProof/>
            <w:webHidden/>
          </w:rPr>
          <w:fldChar w:fldCharType="begin"/>
        </w:r>
        <w:r>
          <w:rPr>
            <w:noProof/>
            <w:webHidden/>
          </w:rPr>
          <w:instrText xml:space="preserve"> PAGEREF _Toc300000885 \h </w:instrText>
        </w:r>
        <w:r>
          <w:rPr>
            <w:noProof/>
            <w:webHidden/>
          </w:rPr>
          <w:fldChar w:fldCharType="separate"/>
        </w:r>
        <w:r>
          <w:rPr>
            <w:noProof/>
            <w:webHidden/>
          </w:rPr>
          <w:t>1243</w:t>
        </w:r>
        <w:r>
          <w:rPr>
            <w:noProof/>
            <w:webHidden/>
          </w:rPr>
          <w:fldChar w:fldCharType="end"/>
        </w:r>
      </w:hyperlink>
    </w:p>
    <w:p>
      <w:pPr>
        <w:pStyle w:val="TOC2"/>
      </w:pPr>
      <w:hyperlink w:anchor="_Toc300000886" w:history="1">
        <w:r>
          <w:rPr>
            <w:noProof/>
          </w:rPr>
          <w:t xml:space="preserve">Article 24-W.36: Administrative Classification Anti-Laundering</w:t>
        </w:r>
        <w:r>
          <w:rPr>
            <w:noProof/>
            <w:webHidden/>
          </w:rPr>
          <w:tab/>
        </w:r>
        <w:r>
          <w:rPr>
            <w:noProof/>
            <w:webHidden/>
          </w:rPr>
          <w:fldChar w:fldCharType="begin"/>
        </w:r>
        <w:r>
          <w:rPr>
            <w:noProof/>
            <w:webHidden/>
          </w:rPr>
          <w:instrText xml:space="preserve"> PAGEREF _Toc300000886 \h </w:instrText>
        </w:r>
        <w:r>
          <w:rPr>
            <w:noProof/>
            <w:webHidden/>
          </w:rPr>
          <w:fldChar w:fldCharType="separate"/>
        </w:r>
        <w:r>
          <w:rPr>
            <w:noProof/>
            <w:webHidden/>
          </w:rPr>
          <w:t>1244</w:t>
        </w:r>
        <w:r>
          <w:rPr>
            <w:noProof/>
            <w:webHidden/>
          </w:rPr>
          <w:fldChar w:fldCharType="end"/>
        </w:r>
      </w:hyperlink>
    </w:p>
    <w:p>
      <w:pPr>
        <w:pStyle w:val="TOC2"/>
      </w:pPr>
      <w:hyperlink w:anchor="_Toc300000887" w:history="1">
        <w:r>
          <w:rPr>
            <w:noProof/>
          </w:rPr>
          <w:t xml:space="preserve">Article 24-W.37: No-Fade and Continuing Discovery</w:t>
        </w:r>
        <w:r>
          <w:rPr>
            <w:noProof/>
            <w:webHidden/>
          </w:rPr>
          <w:tab/>
        </w:r>
        <w:r>
          <w:rPr>
            <w:noProof/>
            <w:webHidden/>
          </w:rPr>
          <w:fldChar w:fldCharType="begin"/>
        </w:r>
        <w:r>
          <w:rPr>
            <w:noProof/>
            <w:webHidden/>
          </w:rPr>
          <w:instrText xml:space="preserve"> PAGEREF _Toc300000887 \h </w:instrText>
        </w:r>
        <w:r>
          <w:rPr>
            <w:noProof/>
            <w:webHidden/>
          </w:rPr>
          <w:fldChar w:fldCharType="separate"/>
        </w:r>
        <w:r>
          <w:rPr>
            <w:noProof/>
            <w:webHidden/>
          </w:rPr>
          <w:t>1244</w:t>
        </w:r>
        <w:r>
          <w:rPr>
            <w:noProof/>
            <w:webHidden/>
          </w:rPr>
          <w:fldChar w:fldCharType="end"/>
        </w:r>
      </w:hyperlink>
    </w:p>
    <w:p>
      <w:pPr>
        <w:pStyle w:val="TOC2"/>
      </w:pPr>
      <w:hyperlink w:anchor="_Toc300000888" w:history="1">
        <w:r>
          <w:rPr>
            <w:noProof/>
          </w:rPr>
          <w:t xml:space="preserve">CATEGORY 24-W-K: REVIEW, AMENDMENT, DISPUTES, AND TECHNICAL SCHEDULES</w:t>
        </w:r>
        <w:r>
          <w:rPr>
            <w:noProof/>
            <w:webHidden/>
          </w:rPr>
          <w:tab/>
        </w:r>
        <w:r>
          <w:rPr>
            <w:noProof/>
            <w:webHidden/>
          </w:rPr>
          <w:fldChar w:fldCharType="begin"/>
        </w:r>
        <w:r>
          <w:rPr>
            <w:noProof/>
            <w:webHidden/>
          </w:rPr>
          <w:instrText xml:space="preserve"> PAGEREF _Toc300000888 \h </w:instrText>
        </w:r>
        <w:r>
          <w:rPr>
            <w:noProof/>
            <w:webHidden/>
          </w:rPr>
          <w:fldChar w:fldCharType="separate"/>
        </w:r>
        <w:r>
          <w:rPr>
            <w:noProof/>
            <w:webHidden/>
          </w:rPr>
          <w:t>1244</w:t>
        </w:r>
        <w:r>
          <w:rPr>
            <w:noProof/>
            <w:webHidden/>
          </w:rPr>
          <w:fldChar w:fldCharType="end"/>
        </w:r>
      </w:hyperlink>
    </w:p>
    <w:p>
      <w:pPr>
        <w:pStyle w:val="TOC2"/>
      </w:pPr>
      <w:hyperlink w:anchor="_Toc300000889" w:history="1">
        <w:r>
          <w:rPr>
            <w:noProof/>
          </w:rPr>
          <w:t xml:space="preserve">Article 24-W.38: Review and Adaptive Administration</w:t>
        </w:r>
        <w:r>
          <w:rPr>
            <w:noProof/>
            <w:webHidden/>
          </w:rPr>
          <w:tab/>
        </w:r>
        <w:r>
          <w:rPr>
            <w:noProof/>
            <w:webHidden/>
          </w:rPr>
          <w:fldChar w:fldCharType="begin"/>
        </w:r>
        <w:r>
          <w:rPr>
            <w:noProof/>
            <w:webHidden/>
          </w:rPr>
          <w:instrText xml:space="preserve"> PAGEREF _Toc300000889 \h </w:instrText>
        </w:r>
        <w:r>
          <w:rPr>
            <w:noProof/>
            <w:webHidden/>
          </w:rPr>
          <w:fldChar w:fldCharType="separate"/>
        </w:r>
        <w:r>
          <w:rPr>
            <w:noProof/>
            <w:webHidden/>
          </w:rPr>
          <w:t>1244</w:t>
        </w:r>
        <w:r>
          <w:rPr>
            <w:noProof/>
            <w:webHidden/>
          </w:rPr>
          <w:fldChar w:fldCharType="end"/>
        </w:r>
      </w:hyperlink>
    </w:p>
    <w:p>
      <w:pPr>
        <w:pStyle w:val="TOC2"/>
      </w:pPr>
      <w:hyperlink w:anchor="_Toc300000890" w:history="1">
        <w:r>
          <w:rPr>
            <w:noProof/>
          </w:rPr>
          <w:t xml:space="preserve">Article 24-W.39: Technical Schedule Maintenance</w:t>
        </w:r>
        <w:r>
          <w:rPr>
            <w:noProof/>
            <w:webHidden/>
          </w:rPr>
          <w:tab/>
        </w:r>
        <w:r>
          <w:rPr>
            <w:noProof/>
            <w:webHidden/>
          </w:rPr>
          <w:fldChar w:fldCharType="begin"/>
        </w:r>
        <w:r>
          <w:rPr>
            <w:noProof/>
            <w:webHidden/>
          </w:rPr>
          <w:instrText xml:space="preserve"> PAGEREF _Toc300000890 \h </w:instrText>
        </w:r>
        <w:r>
          <w:rPr>
            <w:noProof/>
            <w:webHidden/>
          </w:rPr>
          <w:fldChar w:fldCharType="separate"/>
        </w:r>
        <w:r>
          <w:rPr>
            <w:noProof/>
            <w:webHidden/>
          </w:rPr>
          <w:t>1245</w:t>
        </w:r>
        <w:r>
          <w:rPr>
            <w:noProof/>
            <w:webHidden/>
          </w:rPr>
          <w:fldChar w:fldCharType="end"/>
        </w:r>
      </w:hyperlink>
    </w:p>
    <w:p>
      <w:pPr>
        <w:pStyle w:val="TOC2"/>
      </w:pPr>
      <w:hyperlink w:anchor="_Toc300000891" w:history="1">
        <w:r>
          <w:rPr>
            <w:noProof/>
          </w:rPr>
          <w:t xml:space="preserve">Article 24-W.40: Dispute Settlement and Savings</w:t>
        </w:r>
        <w:r>
          <w:rPr>
            <w:noProof/>
            <w:webHidden/>
          </w:rPr>
          <w:tab/>
        </w:r>
        <w:r>
          <w:rPr>
            <w:noProof/>
            <w:webHidden/>
          </w:rPr>
          <w:fldChar w:fldCharType="begin"/>
        </w:r>
        <w:r>
          <w:rPr>
            <w:noProof/>
            <w:webHidden/>
          </w:rPr>
          <w:instrText xml:space="preserve"> PAGEREF _Toc300000891 \h </w:instrText>
        </w:r>
        <w:r>
          <w:rPr>
            <w:noProof/>
            <w:webHidden/>
          </w:rPr>
          <w:fldChar w:fldCharType="separate"/>
        </w:r>
        <w:r>
          <w:rPr>
            <w:noProof/>
            <w:webHidden/>
          </w:rPr>
          <w:t>1245</w:t>
        </w:r>
        <w:r>
          <w:rPr>
            <w:noProof/>
            <w:webHidden/>
          </w:rPr>
          <w:fldChar w:fldCharType="end"/>
        </w:r>
      </w:hyperlink>
    </w:p>
    <w:p>
      <w:pPr>
        <w:pStyle w:val="TOC2"/>
      </w:pPr>
      <w:hyperlink w:anchor="_Toc300000892" w:history="1">
        <w:r>
          <w:rPr>
            <w:noProof/>
          </w:rPr>
          <w:t xml:space="preserve">SCHEDULE 24-W-A: COMMON REGISTRY RECORD</w:t>
        </w:r>
        <w:r>
          <w:rPr>
            <w:noProof/>
            <w:webHidden/>
          </w:rPr>
          <w:tab/>
        </w:r>
        <w:r>
          <w:rPr>
            <w:noProof/>
            <w:webHidden/>
          </w:rPr>
          <w:fldChar w:fldCharType="begin"/>
        </w:r>
        <w:r>
          <w:rPr>
            <w:noProof/>
            <w:webHidden/>
          </w:rPr>
          <w:instrText xml:space="preserve"> PAGEREF _Toc300000892 \h </w:instrText>
        </w:r>
        <w:r>
          <w:rPr>
            <w:noProof/>
            <w:webHidden/>
          </w:rPr>
          <w:fldChar w:fldCharType="separate"/>
        </w:r>
        <w:r>
          <w:rPr>
            <w:noProof/>
            <w:webHidden/>
          </w:rPr>
          <w:t>1245</w:t>
        </w:r>
        <w:r>
          <w:rPr>
            <w:noProof/>
            <w:webHidden/>
          </w:rPr>
          <w:fldChar w:fldCharType="end"/>
        </w:r>
      </w:hyperlink>
    </w:p>
    <w:p>
      <w:pPr>
        <w:pStyle w:val="TOC2"/>
      </w:pPr>
      <w:hyperlink w:anchor="_Toc300000893" w:history="1">
        <w:r>
          <w:rPr>
            <w:noProof/>
          </w:rPr>
          <w:t xml:space="preserve">24-W-A.1: Minimum Common Record</w:t>
        </w:r>
        <w:r>
          <w:rPr>
            <w:noProof/>
            <w:webHidden/>
          </w:rPr>
          <w:tab/>
        </w:r>
        <w:r>
          <w:rPr>
            <w:noProof/>
            <w:webHidden/>
          </w:rPr>
          <w:fldChar w:fldCharType="begin"/>
        </w:r>
        <w:r>
          <w:rPr>
            <w:noProof/>
            <w:webHidden/>
          </w:rPr>
          <w:instrText xml:space="preserve"> PAGEREF _Toc300000893 \h </w:instrText>
        </w:r>
        <w:r>
          <w:rPr>
            <w:noProof/>
            <w:webHidden/>
          </w:rPr>
          <w:fldChar w:fldCharType="separate"/>
        </w:r>
        <w:r>
          <w:rPr>
            <w:noProof/>
            <w:webHidden/>
          </w:rPr>
          <w:t>1245</w:t>
        </w:r>
        <w:r>
          <w:rPr>
            <w:noProof/>
            <w:webHidden/>
          </w:rPr>
          <w:fldChar w:fldCharType="end"/>
        </w:r>
      </w:hyperlink>
    </w:p>
    <w:p>
      <w:pPr>
        <w:pStyle w:val="TOC2"/>
      </w:pPr>
      <w:hyperlink w:anchor="_Toc300000894" w:history="1">
        <w:r>
          <w:rPr>
            <w:noProof/>
          </w:rPr>
          <w:t xml:space="preserve">SCHEDULE 24-W-B: LOCATION CONFIDENCE AND VERIFICATION STATES</w:t>
        </w:r>
        <w:r>
          <w:rPr>
            <w:noProof/>
            <w:webHidden/>
          </w:rPr>
          <w:tab/>
        </w:r>
        <w:r>
          <w:rPr>
            <w:noProof/>
            <w:webHidden/>
          </w:rPr>
          <w:fldChar w:fldCharType="begin"/>
        </w:r>
        <w:r>
          <w:rPr>
            <w:noProof/>
            <w:webHidden/>
          </w:rPr>
          <w:instrText xml:space="preserve"> PAGEREF _Toc300000894 \h </w:instrText>
        </w:r>
        <w:r>
          <w:rPr>
            <w:noProof/>
            <w:webHidden/>
          </w:rPr>
          <w:fldChar w:fldCharType="separate"/>
        </w:r>
        <w:r>
          <w:rPr>
            <w:noProof/>
            <w:webHidden/>
          </w:rPr>
          <w:t>1246</w:t>
        </w:r>
        <w:r>
          <w:rPr>
            <w:noProof/>
            <w:webHidden/>
          </w:rPr>
          <w:fldChar w:fldCharType="end"/>
        </w:r>
      </w:hyperlink>
    </w:p>
    <w:p>
      <w:pPr>
        <w:pStyle w:val="TOC2"/>
      </w:pPr>
      <w:hyperlink w:anchor="_Toc300000895" w:history="1">
        <w:r>
          <w:rPr>
            <w:noProof/>
          </w:rPr>
          <w:t xml:space="preserve">24-W-B.1: Location Confidence</w:t>
        </w:r>
        <w:r>
          <w:rPr>
            <w:noProof/>
            <w:webHidden/>
          </w:rPr>
          <w:tab/>
        </w:r>
        <w:r>
          <w:rPr>
            <w:noProof/>
            <w:webHidden/>
          </w:rPr>
          <w:fldChar w:fldCharType="begin"/>
        </w:r>
        <w:r>
          <w:rPr>
            <w:noProof/>
            <w:webHidden/>
          </w:rPr>
          <w:instrText xml:space="preserve"> PAGEREF _Toc300000895 \h </w:instrText>
        </w:r>
        <w:r>
          <w:rPr>
            <w:noProof/>
            <w:webHidden/>
          </w:rPr>
          <w:fldChar w:fldCharType="separate"/>
        </w:r>
        <w:r>
          <w:rPr>
            <w:noProof/>
            <w:webHidden/>
          </w:rPr>
          <w:t>1246</w:t>
        </w:r>
        <w:r>
          <w:rPr>
            <w:noProof/>
            <w:webHidden/>
          </w:rPr>
          <w:fldChar w:fldCharType="end"/>
        </w:r>
      </w:hyperlink>
    </w:p>
    <w:p>
      <w:pPr>
        <w:pStyle w:val="TOC2"/>
      </w:pPr>
      <w:hyperlink w:anchor="_Toc300000896" w:history="1">
        <w:r>
          <w:rPr>
            <w:noProof/>
          </w:rPr>
          <w:t xml:space="preserve">24-W-B.2: Verification States</w:t>
        </w:r>
        <w:r>
          <w:rPr>
            <w:noProof/>
            <w:webHidden/>
          </w:rPr>
          <w:tab/>
        </w:r>
        <w:r>
          <w:rPr>
            <w:noProof/>
            <w:webHidden/>
          </w:rPr>
          <w:fldChar w:fldCharType="begin"/>
        </w:r>
        <w:r>
          <w:rPr>
            <w:noProof/>
            <w:webHidden/>
          </w:rPr>
          <w:instrText xml:space="preserve"> PAGEREF _Toc300000896 \h </w:instrText>
        </w:r>
        <w:r>
          <w:rPr>
            <w:noProof/>
            <w:webHidden/>
          </w:rPr>
          <w:fldChar w:fldCharType="separate"/>
        </w:r>
        <w:r>
          <w:rPr>
            <w:noProof/>
            <w:webHidden/>
          </w:rPr>
          <w:t>1246</w:t>
        </w:r>
        <w:r>
          <w:rPr>
            <w:noProof/>
            <w:webHidden/>
          </w:rPr>
          <w:fldChar w:fldCharType="end"/>
        </w:r>
      </w:hyperlink>
    </w:p>
    <w:p>
      <w:pPr>
        <w:pStyle w:val="TOC2"/>
      </w:pPr>
      <w:hyperlink w:anchor="_Toc300000897" w:history="1">
        <w:r>
          <w:rPr>
            <w:noProof/>
          </w:rPr>
          <w:t xml:space="preserve">SCHEDULE 24-W-C: RISK METHODOLOGY</w:t>
        </w:r>
        <w:r>
          <w:rPr>
            <w:noProof/>
            <w:webHidden/>
          </w:rPr>
          <w:tab/>
        </w:r>
        <w:r>
          <w:rPr>
            <w:noProof/>
            <w:webHidden/>
          </w:rPr>
          <w:fldChar w:fldCharType="begin"/>
        </w:r>
        <w:r>
          <w:rPr>
            <w:noProof/>
            <w:webHidden/>
          </w:rPr>
          <w:instrText xml:space="preserve"> PAGEREF _Toc300000897 \h </w:instrText>
        </w:r>
        <w:r>
          <w:rPr>
            <w:noProof/>
            <w:webHidden/>
          </w:rPr>
          <w:fldChar w:fldCharType="separate"/>
        </w:r>
        <w:r>
          <w:rPr>
            <w:noProof/>
            <w:webHidden/>
          </w:rPr>
          <w:t>1246</w:t>
        </w:r>
        <w:r>
          <w:rPr>
            <w:noProof/>
            <w:webHidden/>
          </w:rPr>
          <w:fldChar w:fldCharType="end"/>
        </w:r>
      </w:hyperlink>
    </w:p>
    <w:p>
      <w:pPr>
        <w:pStyle w:val="TOC2"/>
      </w:pPr>
      <w:hyperlink w:anchor="_Toc300000898" w:history="1">
        <w:r>
          <w:rPr>
            <w:noProof/>
          </w:rPr>
          <w:t xml:space="preserve">24-W-C.1: Risk Factors and Priority Logic</w:t>
        </w:r>
        <w:r>
          <w:rPr>
            <w:noProof/>
            <w:webHidden/>
          </w:rPr>
          <w:tab/>
        </w:r>
        <w:r>
          <w:rPr>
            <w:noProof/>
            <w:webHidden/>
          </w:rPr>
          <w:fldChar w:fldCharType="begin"/>
        </w:r>
        <w:r>
          <w:rPr>
            <w:noProof/>
            <w:webHidden/>
          </w:rPr>
          <w:instrText xml:space="preserve"> PAGEREF _Toc300000898 \h </w:instrText>
        </w:r>
        <w:r>
          <w:rPr>
            <w:noProof/>
            <w:webHidden/>
          </w:rPr>
          <w:fldChar w:fldCharType="separate"/>
        </w:r>
        <w:r>
          <w:rPr>
            <w:noProof/>
            <w:webHidden/>
          </w:rPr>
          <w:t>1246</w:t>
        </w:r>
        <w:r>
          <w:rPr>
            <w:noProof/>
            <w:webHidden/>
          </w:rPr>
          <w:fldChar w:fldCharType="end"/>
        </w:r>
      </w:hyperlink>
    </w:p>
    <w:p>
      <w:pPr>
        <w:pStyle w:val="TOC2"/>
      </w:pPr>
      <w:hyperlink w:anchor="_Toc300000899" w:history="1">
        <w:r>
          <w:rPr>
            <w:noProof/>
          </w:rPr>
          <w:t xml:space="preserve">SCHEDULE 24-W-D: FUNDING WINDOWS AND EVIDENCE</w:t>
        </w:r>
        <w:r>
          <w:rPr>
            <w:noProof/>
            <w:webHidden/>
          </w:rPr>
          <w:tab/>
        </w:r>
        <w:r>
          <w:rPr>
            <w:noProof/>
            <w:webHidden/>
          </w:rPr>
          <w:fldChar w:fldCharType="begin"/>
        </w:r>
        <w:r>
          <w:rPr>
            <w:noProof/>
            <w:webHidden/>
          </w:rPr>
          <w:instrText xml:space="preserve"> PAGEREF _Toc300000899 \h </w:instrText>
        </w:r>
        <w:r>
          <w:rPr>
            <w:noProof/>
            <w:webHidden/>
          </w:rPr>
          <w:fldChar w:fldCharType="separate"/>
        </w:r>
        <w:r>
          <w:rPr>
            <w:noProof/>
            <w:webHidden/>
          </w:rPr>
          <w:t>1246</w:t>
        </w:r>
        <w:r>
          <w:rPr>
            <w:noProof/>
            <w:webHidden/>
          </w:rPr>
          <w:fldChar w:fldCharType="end"/>
        </w:r>
      </w:hyperlink>
    </w:p>
    <w:p>
      <w:pPr>
        <w:pStyle w:val="TOC2"/>
      </w:pPr>
      <w:hyperlink w:anchor="_Toc300000900" w:history="1">
        <w:r>
          <w:rPr>
            <w:noProof/>
          </w:rPr>
          <w:t xml:space="preserve">24-W-D.1: Funding Windows</w:t>
        </w:r>
        <w:r>
          <w:rPr>
            <w:noProof/>
            <w:webHidden/>
          </w:rPr>
          <w:tab/>
        </w:r>
        <w:r>
          <w:rPr>
            <w:noProof/>
            <w:webHidden/>
          </w:rPr>
          <w:fldChar w:fldCharType="begin"/>
        </w:r>
        <w:r>
          <w:rPr>
            <w:noProof/>
            <w:webHidden/>
          </w:rPr>
          <w:instrText xml:space="preserve"> PAGEREF _Toc300000900 \h </w:instrText>
        </w:r>
        <w:r>
          <w:rPr>
            <w:noProof/>
            <w:webHidden/>
          </w:rPr>
          <w:fldChar w:fldCharType="separate"/>
        </w:r>
        <w:r>
          <w:rPr>
            <w:noProof/>
            <w:webHidden/>
          </w:rPr>
          <w:t>1246</w:t>
        </w:r>
        <w:r>
          <w:rPr>
            <w:noProof/>
            <w:webHidden/>
          </w:rPr>
          <w:fldChar w:fldCharType="end"/>
        </w:r>
      </w:hyperlink>
    </w:p>
    <w:p>
      <w:pPr>
        <w:pStyle w:val="TOC2"/>
      </w:pPr>
      <w:hyperlink w:anchor="_Toc300000901" w:history="1">
        <w:r>
          <w:rPr>
            <w:noProof/>
          </w:rPr>
          <w:t xml:space="preserve">SCHEDULE 24-W-E: NON-EXHAUSTIVE TECHNICAL METHODS MENU</w:t>
        </w:r>
        <w:r>
          <w:rPr>
            <w:noProof/>
            <w:webHidden/>
          </w:rPr>
          <w:tab/>
        </w:r>
        <w:r>
          <w:rPr>
            <w:noProof/>
            <w:webHidden/>
          </w:rPr>
          <w:fldChar w:fldCharType="begin"/>
        </w:r>
        <w:r>
          <w:rPr>
            <w:noProof/>
            <w:webHidden/>
          </w:rPr>
          <w:instrText xml:space="preserve"> PAGEREF _Toc300000901 \h </w:instrText>
        </w:r>
        <w:r>
          <w:rPr>
            <w:noProof/>
            <w:webHidden/>
          </w:rPr>
          <w:fldChar w:fldCharType="separate"/>
        </w:r>
        <w:r>
          <w:rPr>
            <w:noProof/>
            <w:webHidden/>
          </w:rPr>
          <w:t>1247</w:t>
        </w:r>
        <w:r>
          <w:rPr>
            <w:noProof/>
            <w:webHidden/>
          </w:rPr>
          <w:fldChar w:fldCharType="end"/>
        </w:r>
      </w:hyperlink>
    </w:p>
    <w:p>
      <w:pPr>
        <w:pStyle w:val="TOC2"/>
      </w:pPr>
      <w:hyperlink w:anchor="_Toc300000902" w:history="1">
        <w:r>
          <w:rPr>
            <w:noProof/>
          </w:rPr>
          <w:t xml:space="preserve">24-W-E.1: Discovery and Characterization Methods</w:t>
        </w:r>
        <w:r>
          <w:rPr>
            <w:noProof/>
            <w:webHidden/>
          </w:rPr>
          <w:tab/>
        </w:r>
        <w:r>
          <w:rPr>
            <w:noProof/>
            <w:webHidden/>
          </w:rPr>
          <w:fldChar w:fldCharType="begin"/>
        </w:r>
        <w:r>
          <w:rPr>
            <w:noProof/>
            <w:webHidden/>
          </w:rPr>
          <w:instrText xml:space="preserve"> PAGEREF _Toc300000902 \h </w:instrText>
        </w:r>
        <w:r>
          <w:rPr>
            <w:noProof/>
            <w:webHidden/>
          </w:rPr>
          <w:fldChar w:fldCharType="separate"/>
        </w:r>
        <w:r>
          <w:rPr>
            <w:noProof/>
            <w:webHidden/>
          </w:rPr>
          <w:t>1247</w:t>
        </w:r>
        <w:r>
          <w:rPr>
            <w:noProof/>
            <w:webHidden/>
          </w:rPr>
          <w:fldChar w:fldCharType="end"/>
        </w:r>
      </w:hyperlink>
    </w:p>
    <w:p>
      <w:pPr>
        <w:pStyle w:val="TOC1"/>
      </w:pPr>
      <w:hyperlink w:anchor="_Toc300000903" w:history="1">
        <w:r>
          <w:rPr>
            <w:noProof/>
          </w:rPr>
          <w:t xml:space="preserve">CHAPTER 25 SMALL AND MEDIUM-SIZED ENTERPRISES</w:t>
        </w:r>
        <w:r>
          <w:rPr>
            <w:noProof/>
            <w:webHidden/>
          </w:rPr>
          <w:tab/>
        </w:r>
        <w:r>
          <w:rPr>
            <w:noProof/>
            <w:webHidden/>
          </w:rPr>
          <w:fldChar w:fldCharType="begin"/>
        </w:r>
        <w:r>
          <w:rPr>
            <w:noProof/>
            <w:webHidden/>
          </w:rPr>
          <w:instrText xml:space="preserve"> PAGEREF _Toc300000903 \h </w:instrText>
        </w:r>
        <w:r>
          <w:rPr>
            <w:noProof/>
            <w:webHidden/>
          </w:rPr>
          <w:fldChar w:fldCharType="separate"/>
        </w:r>
        <w:r>
          <w:rPr>
            <w:noProof/>
            <w:webHidden/>
          </w:rPr>
          <w:t>1248</w:t>
        </w:r>
        <w:r>
          <w:rPr>
            <w:noProof/>
            <w:webHidden/>
          </w:rPr>
          <w:fldChar w:fldCharType="end"/>
        </w:r>
      </w:hyperlink>
    </w:p>
    <w:p>
      <w:pPr>
        <w:pStyle w:val="TOC2"/>
      </w:pPr>
      <w:hyperlink w:anchor="_Toc300000904" w:history="1">
        <w:r>
          <w:rPr>
            <w:noProof/>
          </w:rPr>
          <w:t xml:space="preserve">Article 25.1: General Principles</w:t>
        </w:r>
        <w:r>
          <w:rPr>
            <w:noProof/>
            <w:webHidden/>
          </w:rPr>
          <w:tab/>
        </w:r>
        <w:r>
          <w:rPr>
            <w:noProof/>
            <w:webHidden/>
          </w:rPr>
          <w:fldChar w:fldCharType="begin"/>
        </w:r>
        <w:r>
          <w:rPr>
            <w:noProof/>
            <w:webHidden/>
          </w:rPr>
          <w:instrText xml:space="preserve"> PAGEREF _Toc300000904 \h </w:instrText>
        </w:r>
        <w:r>
          <w:rPr>
            <w:noProof/>
            <w:webHidden/>
          </w:rPr>
          <w:fldChar w:fldCharType="separate"/>
        </w:r>
        <w:r>
          <w:rPr>
            <w:noProof/>
            <w:webHidden/>
          </w:rPr>
          <w:t>1248</w:t>
        </w:r>
        <w:r>
          <w:rPr>
            <w:noProof/>
            <w:webHidden/>
          </w:rPr>
          <w:fldChar w:fldCharType="end"/>
        </w:r>
      </w:hyperlink>
    </w:p>
    <w:p>
      <w:pPr>
        <w:pStyle w:val="TOC2"/>
      </w:pPr>
      <w:hyperlink w:anchor="_Toc300000905" w:history="1">
        <w:r>
          <w:rPr>
            <w:noProof/>
          </w:rPr>
          <w:t xml:space="preserve">Article 25.2: Cooperation to Increase Trade and Investment Opportunities for SMEs</w:t>
        </w:r>
        <w:r>
          <w:rPr>
            <w:noProof/>
            <w:webHidden/>
          </w:rPr>
          <w:tab/>
        </w:r>
        <w:r>
          <w:rPr>
            <w:noProof/>
            <w:webHidden/>
          </w:rPr>
          <w:fldChar w:fldCharType="begin"/>
        </w:r>
        <w:r>
          <w:rPr>
            <w:noProof/>
            <w:webHidden/>
          </w:rPr>
          <w:instrText xml:space="preserve"> PAGEREF _Toc300000905 \h </w:instrText>
        </w:r>
        <w:r>
          <w:rPr>
            <w:noProof/>
            <w:webHidden/>
          </w:rPr>
          <w:fldChar w:fldCharType="separate"/>
        </w:r>
        <w:r>
          <w:rPr>
            <w:noProof/>
            <w:webHidden/>
          </w:rPr>
          <w:t>1248</w:t>
        </w:r>
        <w:r>
          <w:rPr>
            <w:noProof/>
            <w:webHidden/>
          </w:rPr>
          <w:fldChar w:fldCharType="end"/>
        </w:r>
      </w:hyperlink>
    </w:p>
    <w:p>
      <w:pPr>
        <w:pStyle w:val="TOC2"/>
      </w:pPr>
      <w:hyperlink w:anchor="_Toc300000906" w:history="1">
        <w:r>
          <w:rPr>
            <w:noProof/>
          </w:rPr>
          <w:t xml:space="preserve">Article 25.3: Information Sharing</w:t>
        </w:r>
        <w:r>
          <w:rPr>
            <w:noProof/>
            <w:webHidden/>
          </w:rPr>
          <w:tab/>
        </w:r>
        <w:r>
          <w:rPr>
            <w:noProof/>
            <w:webHidden/>
          </w:rPr>
          <w:fldChar w:fldCharType="begin"/>
        </w:r>
        <w:r>
          <w:rPr>
            <w:noProof/>
            <w:webHidden/>
          </w:rPr>
          <w:instrText xml:space="preserve"> PAGEREF _Toc300000906 \h </w:instrText>
        </w:r>
        <w:r>
          <w:rPr>
            <w:noProof/>
            <w:webHidden/>
          </w:rPr>
          <w:fldChar w:fldCharType="separate"/>
        </w:r>
        <w:r>
          <w:rPr>
            <w:noProof/>
            <w:webHidden/>
          </w:rPr>
          <w:t>1248</w:t>
        </w:r>
        <w:r>
          <w:rPr>
            <w:noProof/>
            <w:webHidden/>
          </w:rPr>
          <w:fldChar w:fldCharType="end"/>
        </w:r>
      </w:hyperlink>
    </w:p>
    <w:p>
      <w:pPr>
        <w:pStyle w:val="TOC2"/>
      </w:pPr>
      <w:hyperlink w:anchor="_Toc300000907" w:history="1">
        <w:r>
          <w:rPr>
            <w:noProof/>
          </w:rPr>
          <w:t xml:space="preserve">Article 25.4: Committee on SME Issues</w:t>
        </w:r>
        <w:r>
          <w:rPr>
            <w:noProof/>
            <w:webHidden/>
          </w:rPr>
          <w:tab/>
        </w:r>
        <w:r>
          <w:rPr>
            <w:noProof/>
            <w:webHidden/>
          </w:rPr>
          <w:fldChar w:fldCharType="begin"/>
        </w:r>
        <w:r>
          <w:rPr>
            <w:noProof/>
            <w:webHidden/>
          </w:rPr>
          <w:instrText xml:space="preserve"> PAGEREF _Toc300000907 \h </w:instrText>
        </w:r>
        <w:r>
          <w:rPr>
            <w:noProof/>
            <w:webHidden/>
          </w:rPr>
          <w:fldChar w:fldCharType="separate"/>
        </w:r>
        <w:r>
          <w:rPr>
            <w:noProof/>
            <w:webHidden/>
          </w:rPr>
          <w:t>1249</w:t>
        </w:r>
        <w:r>
          <w:rPr>
            <w:noProof/>
            <w:webHidden/>
          </w:rPr>
          <w:fldChar w:fldCharType="end"/>
        </w:r>
      </w:hyperlink>
    </w:p>
    <w:p>
      <w:pPr>
        <w:pStyle w:val="TOC2"/>
      </w:pPr>
      <w:hyperlink w:anchor="_Toc300000908" w:history="1">
        <w:r>
          <w:rPr>
            <w:noProof/>
          </w:rPr>
          <w:t xml:space="preserve">Article 25.5: SME Dialogue</w:t>
        </w:r>
        <w:r>
          <w:rPr>
            <w:noProof/>
            <w:webHidden/>
          </w:rPr>
          <w:tab/>
        </w:r>
        <w:r>
          <w:rPr>
            <w:noProof/>
            <w:webHidden/>
          </w:rPr>
          <w:fldChar w:fldCharType="begin"/>
        </w:r>
        <w:r>
          <w:rPr>
            <w:noProof/>
            <w:webHidden/>
          </w:rPr>
          <w:instrText xml:space="preserve"> PAGEREF _Toc300000908 \h </w:instrText>
        </w:r>
        <w:r>
          <w:rPr>
            <w:noProof/>
            <w:webHidden/>
          </w:rPr>
          <w:fldChar w:fldCharType="separate"/>
        </w:r>
        <w:r>
          <w:rPr>
            <w:noProof/>
            <w:webHidden/>
          </w:rPr>
          <w:t>1250</w:t>
        </w:r>
        <w:r>
          <w:rPr>
            <w:noProof/>
            <w:webHidden/>
          </w:rPr>
          <w:fldChar w:fldCharType="end"/>
        </w:r>
      </w:hyperlink>
    </w:p>
    <w:p>
      <w:pPr>
        <w:pStyle w:val="TOC2"/>
      </w:pPr>
      <w:hyperlink w:anchor="_Toc300000909" w:history="1">
        <w:r>
          <w:rPr>
            <w:noProof/>
          </w:rPr>
          <w:t xml:space="preserve">Article 25.6: Obligations in the Agreement that Benefit SMEs</w:t>
        </w:r>
        <w:r>
          <w:rPr>
            <w:noProof/>
            <w:webHidden/>
          </w:rPr>
          <w:tab/>
        </w:r>
        <w:r>
          <w:rPr>
            <w:noProof/>
            <w:webHidden/>
          </w:rPr>
          <w:fldChar w:fldCharType="begin"/>
        </w:r>
        <w:r>
          <w:rPr>
            <w:noProof/>
            <w:webHidden/>
          </w:rPr>
          <w:instrText xml:space="preserve"> PAGEREF _Toc300000909 \h </w:instrText>
        </w:r>
        <w:r>
          <w:rPr>
            <w:noProof/>
            <w:webHidden/>
          </w:rPr>
          <w:fldChar w:fldCharType="separate"/>
        </w:r>
        <w:r>
          <w:rPr>
            <w:noProof/>
            <w:webHidden/>
          </w:rPr>
          <w:t>1250</w:t>
        </w:r>
        <w:r>
          <w:rPr>
            <w:noProof/>
            <w:webHidden/>
          </w:rPr>
          <w:fldChar w:fldCharType="end"/>
        </w:r>
      </w:hyperlink>
    </w:p>
    <w:p>
      <w:pPr>
        <w:pStyle w:val="TOC2"/>
      </w:pPr>
      <w:hyperlink w:anchor="_Toc300000910" w:history="1">
        <w:r>
          <w:rPr>
            <w:noProof/>
          </w:rPr>
          <w:t xml:space="preserve">Article 25.7: Non-Application of Dispute Settlement</w:t>
        </w:r>
        <w:r>
          <w:rPr>
            <w:noProof/>
            <w:webHidden/>
          </w:rPr>
          <w:tab/>
        </w:r>
        <w:r>
          <w:rPr>
            <w:noProof/>
            <w:webHidden/>
          </w:rPr>
          <w:fldChar w:fldCharType="begin"/>
        </w:r>
        <w:r>
          <w:rPr>
            <w:noProof/>
            <w:webHidden/>
          </w:rPr>
          <w:instrText xml:space="preserve"> PAGEREF _Toc300000910 \h </w:instrText>
        </w:r>
        <w:r>
          <w:rPr>
            <w:noProof/>
            <w:webHidden/>
          </w:rPr>
          <w:fldChar w:fldCharType="separate"/>
        </w:r>
        <w:r>
          <w:rPr>
            <w:noProof/>
            <w:webHidden/>
          </w:rPr>
          <w:t>1251</w:t>
        </w:r>
        <w:r>
          <w:rPr>
            <w:noProof/>
            <w:webHidden/>
          </w:rPr>
          <w:fldChar w:fldCharType="end"/>
        </w:r>
      </w:hyperlink>
    </w:p>
    <w:p>
      <w:pPr>
        <w:pStyle w:val="TOC1"/>
      </w:pPr>
      <w:hyperlink w:anchor="_Toc300000911" w:history="1">
        <w:r>
          <w:rPr>
            <w:noProof/>
          </w:rPr>
          <w:t xml:space="preserve">CHAPTER 26 COMPETITIVENESS</w:t>
        </w:r>
        <w:r>
          <w:rPr>
            <w:noProof/>
            <w:webHidden/>
          </w:rPr>
          <w:tab/>
        </w:r>
        <w:r>
          <w:rPr>
            <w:noProof/>
            <w:webHidden/>
          </w:rPr>
          <w:fldChar w:fldCharType="begin"/>
        </w:r>
        <w:r>
          <w:rPr>
            <w:noProof/>
            <w:webHidden/>
          </w:rPr>
          <w:instrText xml:space="preserve"> PAGEREF _Toc300000911 \h </w:instrText>
        </w:r>
        <w:r>
          <w:rPr>
            <w:noProof/>
            <w:webHidden/>
          </w:rPr>
          <w:fldChar w:fldCharType="separate"/>
        </w:r>
        <w:r>
          <w:rPr>
            <w:noProof/>
            <w:webHidden/>
          </w:rPr>
          <w:t>1252</w:t>
        </w:r>
        <w:r>
          <w:rPr>
            <w:noProof/>
            <w:webHidden/>
          </w:rPr>
          <w:fldChar w:fldCharType="end"/>
        </w:r>
      </w:hyperlink>
    </w:p>
    <w:p>
      <w:pPr>
        <w:pStyle w:val="TOC2"/>
      </w:pPr>
      <w:hyperlink w:anchor="_Toc300000912" w:history="1">
        <w:r>
          <w:rPr>
            <w:noProof/>
          </w:rPr>
          <w:t xml:space="preserve">Article 26.1: North American Competitiveness Committee</w:t>
        </w:r>
        <w:r>
          <w:rPr>
            <w:noProof/>
            <w:webHidden/>
          </w:rPr>
          <w:tab/>
        </w:r>
        <w:r>
          <w:rPr>
            <w:noProof/>
            <w:webHidden/>
          </w:rPr>
          <w:fldChar w:fldCharType="begin"/>
        </w:r>
        <w:r>
          <w:rPr>
            <w:noProof/>
            <w:webHidden/>
          </w:rPr>
          <w:instrText xml:space="preserve"> PAGEREF _Toc300000912 \h </w:instrText>
        </w:r>
        <w:r>
          <w:rPr>
            <w:noProof/>
            <w:webHidden/>
          </w:rPr>
          <w:fldChar w:fldCharType="separate"/>
        </w:r>
        <w:r>
          <w:rPr>
            <w:noProof/>
            <w:webHidden/>
          </w:rPr>
          <w:t>1252</w:t>
        </w:r>
        <w:r>
          <w:rPr>
            <w:noProof/>
            <w:webHidden/>
          </w:rPr>
          <w:fldChar w:fldCharType="end"/>
        </w:r>
      </w:hyperlink>
    </w:p>
    <w:p>
      <w:pPr>
        <w:pStyle w:val="TOC2"/>
      </w:pPr>
      <w:hyperlink w:anchor="_Toc300000913" w:history="1">
        <w:r>
          <w:rPr>
            <w:noProof/>
          </w:rPr>
          <w:t xml:space="preserve">Article 26.2: Engagement with Interested Persons</w:t>
        </w:r>
        <w:r>
          <w:rPr>
            <w:noProof/>
            <w:webHidden/>
          </w:rPr>
          <w:tab/>
        </w:r>
        <w:r>
          <w:rPr>
            <w:noProof/>
            <w:webHidden/>
          </w:rPr>
          <w:fldChar w:fldCharType="begin"/>
        </w:r>
        <w:r>
          <w:rPr>
            <w:noProof/>
            <w:webHidden/>
          </w:rPr>
          <w:instrText xml:space="preserve"> PAGEREF _Toc300000913 \h </w:instrText>
        </w:r>
        <w:r>
          <w:rPr>
            <w:noProof/>
            <w:webHidden/>
          </w:rPr>
          <w:fldChar w:fldCharType="separate"/>
        </w:r>
        <w:r>
          <w:rPr>
            <w:noProof/>
            <w:webHidden/>
          </w:rPr>
          <w:t>1253</w:t>
        </w:r>
        <w:r>
          <w:rPr>
            <w:noProof/>
            <w:webHidden/>
          </w:rPr>
          <w:fldChar w:fldCharType="end"/>
        </w:r>
      </w:hyperlink>
    </w:p>
    <w:p>
      <w:pPr>
        <w:pStyle w:val="TOC2"/>
      </w:pPr>
      <w:hyperlink w:anchor="_Toc300000914" w:history="1">
        <w:r>
          <w:rPr>
            <w:noProof/>
          </w:rPr>
          <w:t xml:space="preserve">Article 26.3: Non-Application of Dispute Settlement</w:t>
        </w:r>
        <w:r>
          <w:rPr>
            <w:noProof/>
            <w:webHidden/>
          </w:rPr>
          <w:tab/>
        </w:r>
        <w:r>
          <w:rPr>
            <w:noProof/>
            <w:webHidden/>
          </w:rPr>
          <w:fldChar w:fldCharType="begin"/>
        </w:r>
        <w:r>
          <w:rPr>
            <w:noProof/>
            <w:webHidden/>
          </w:rPr>
          <w:instrText xml:space="preserve"> PAGEREF _Toc300000914 \h </w:instrText>
        </w:r>
        <w:r>
          <w:rPr>
            <w:noProof/>
            <w:webHidden/>
          </w:rPr>
          <w:fldChar w:fldCharType="separate"/>
        </w:r>
        <w:r>
          <w:rPr>
            <w:noProof/>
            <w:webHidden/>
          </w:rPr>
          <w:t>1253</w:t>
        </w:r>
        <w:r>
          <w:rPr>
            <w:noProof/>
            <w:webHidden/>
          </w:rPr>
          <w:fldChar w:fldCharType="end"/>
        </w:r>
      </w:hyperlink>
    </w:p>
    <w:p>
      <w:pPr>
        <w:pStyle w:val="TOC2"/>
      </w:pPr>
      <w:hyperlink w:anchor="_Toc300000915" w:history="1">
        <w:r>
          <w:rPr>
            <w:noProof/>
          </w:rPr>
          <w:t xml:space="preserve">CHAPTER 26: CUSMA 2.0 MODERNIZATION PROVISIONS</w:t>
        </w:r>
        <w:r>
          <w:rPr>
            <w:noProof/>
            <w:webHidden/>
          </w:rPr>
          <w:tab/>
        </w:r>
        <w:r>
          <w:rPr>
            <w:noProof/>
            <w:webHidden/>
          </w:rPr>
          <w:fldChar w:fldCharType="begin"/>
        </w:r>
        <w:r>
          <w:rPr>
            <w:noProof/>
            <w:webHidden/>
          </w:rPr>
          <w:instrText xml:space="preserve"> PAGEREF _Toc300000915 \h </w:instrText>
        </w:r>
        <w:r>
          <w:rPr>
            <w:noProof/>
            <w:webHidden/>
          </w:rPr>
          <w:fldChar w:fldCharType="separate"/>
        </w:r>
        <w:r>
          <w:rPr>
            <w:noProof/>
            <w:webHidden/>
          </w:rPr>
          <w:t>1253</w:t>
        </w:r>
        <w:r>
          <w:rPr>
            <w:noProof/>
            <w:webHidden/>
          </w:rPr>
          <w:fldChar w:fldCharType="end"/>
        </w:r>
      </w:hyperlink>
    </w:p>
    <w:p>
      <w:pPr>
        <w:pStyle w:val="TOC2"/>
      </w:pPr>
      <w:hyperlink w:anchor="_Toc300000916" w:history="1">
        <w:r>
          <w:rPr>
            <w:noProof/>
          </w:rPr>
          <w:t xml:space="preserve">Article 26.A: Expanded Mandate of the Committee on Competitiveness</w:t>
        </w:r>
        <w:r>
          <w:rPr>
            <w:noProof/>
            <w:webHidden/>
          </w:rPr>
          <w:tab/>
        </w:r>
        <w:r>
          <w:rPr>
            <w:noProof/>
            <w:webHidden/>
          </w:rPr>
          <w:fldChar w:fldCharType="begin"/>
        </w:r>
        <w:r>
          <w:rPr>
            <w:noProof/>
            <w:webHidden/>
          </w:rPr>
          <w:instrText xml:space="preserve"> PAGEREF _Toc300000916 \h </w:instrText>
        </w:r>
        <w:r>
          <w:rPr>
            <w:noProof/>
            <w:webHidden/>
          </w:rPr>
          <w:fldChar w:fldCharType="separate"/>
        </w:r>
        <w:r>
          <w:rPr>
            <w:noProof/>
            <w:webHidden/>
          </w:rPr>
          <w:t>1253</w:t>
        </w:r>
        <w:r>
          <w:rPr>
            <w:noProof/>
            <w:webHidden/>
          </w:rPr>
          <w:fldChar w:fldCharType="end"/>
        </w:r>
      </w:hyperlink>
    </w:p>
    <w:p>
      <w:pPr>
        <w:pStyle w:val="TOC2"/>
      </w:pPr>
      <w:hyperlink w:anchor="_Toc300000917" w:history="1">
        <w:r>
          <w:rPr>
            <w:noProof/>
          </w:rPr>
          <w:t xml:space="preserve">Article 26.B: Economic Security and Supply Chain Resilience Subcommittee; Stakeholder Channels</w:t>
        </w:r>
        <w:r>
          <w:rPr>
            <w:noProof/>
            <w:webHidden/>
          </w:rPr>
          <w:tab/>
        </w:r>
        <w:r>
          <w:rPr>
            <w:noProof/>
            <w:webHidden/>
          </w:rPr>
          <w:fldChar w:fldCharType="begin"/>
        </w:r>
        <w:r>
          <w:rPr>
            <w:noProof/>
            <w:webHidden/>
          </w:rPr>
          <w:instrText xml:space="preserve"> PAGEREF _Toc300000917 \h </w:instrText>
        </w:r>
        <w:r>
          <w:rPr>
            <w:noProof/>
            <w:webHidden/>
          </w:rPr>
          <w:fldChar w:fldCharType="separate"/>
        </w:r>
        <w:r>
          <w:rPr>
            <w:noProof/>
            <w:webHidden/>
          </w:rPr>
          <w:t>1253</w:t>
        </w:r>
        <w:r>
          <w:rPr>
            <w:noProof/>
            <w:webHidden/>
          </w:rPr>
          <w:fldChar w:fldCharType="end"/>
        </w:r>
      </w:hyperlink>
    </w:p>
    <w:p>
      <w:pPr>
        <w:pStyle w:val="TOC2"/>
      </w:pPr>
      <w:hyperlink w:anchor="_Toc300000918" w:history="1">
        <w:r>
          <w:rPr>
            <w:noProof/>
          </w:rPr>
          <w:t xml:space="preserve">Article 26.C: Infrastructure and Trade-Corridor Coordination</w:t>
        </w:r>
        <w:r>
          <w:rPr>
            <w:noProof/>
            <w:webHidden/>
          </w:rPr>
          <w:tab/>
        </w:r>
        <w:r>
          <w:rPr>
            <w:noProof/>
            <w:webHidden/>
          </w:rPr>
          <w:fldChar w:fldCharType="begin"/>
        </w:r>
        <w:r>
          <w:rPr>
            <w:noProof/>
            <w:webHidden/>
          </w:rPr>
          <w:instrText xml:space="preserve"> PAGEREF _Toc300000918 \h </w:instrText>
        </w:r>
        <w:r>
          <w:rPr>
            <w:noProof/>
            <w:webHidden/>
          </w:rPr>
          <w:fldChar w:fldCharType="separate"/>
        </w:r>
        <w:r>
          <w:rPr>
            <w:noProof/>
            <w:webHidden/>
          </w:rPr>
          <w:t>1254</w:t>
        </w:r>
        <w:r>
          <w:rPr>
            <w:noProof/>
            <w:webHidden/>
          </w:rPr>
          <w:fldChar w:fldCharType="end"/>
        </w:r>
      </w:hyperlink>
    </w:p>
    <w:p>
      <w:pPr>
        <w:pStyle w:val="TOC1"/>
      </w:pPr>
      <w:hyperlink w:anchor="_Toc300000919" w:history="1">
        <w:r>
          <w:rPr>
            <w:noProof/>
          </w:rPr>
          <w:t xml:space="preserve">CHAPTER 27 ANTICORRUPTION</w:t>
        </w:r>
        <w:r>
          <w:rPr>
            <w:noProof/>
            <w:webHidden/>
          </w:rPr>
          <w:tab/>
        </w:r>
        <w:r>
          <w:rPr>
            <w:noProof/>
            <w:webHidden/>
          </w:rPr>
          <w:fldChar w:fldCharType="begin"/>
        </w:r>
        <w:r>
          <w:rPr>
            <w:noProof/>
            <w:webHidden/>
          </w:rPr>
          <w:instrText xml:space="preserve"> PAGEREF _Toc300000919 \h </w:instrText>
        </w:r>
        <w:r>
          <w:rPr>
            <w:noProof/>
            <w:webHidden/>
          </w:rPr>
          <w:fldChar w:fldCharType="separate"/>
        </w:r>
        <w:r>
          <w:rPr>
            <w:noProof/>
            <w:webHidden/>
          </w:rPr>
          <w:t>1255</w:t>
        </w:r>
        <w:r>
          <w:rPr>
            <w:noProof/>
            <w:webHidden/>
          </w:rPr>
          <w:fldChar w:fldCharType="end"/>
        </w:r>
      </w:hyperlink>
    </w:p>
    <w:p>
      <w:pPr>
        <w:pStyle w:val="TOC2"/>
      </w:pPr>
      <w:hyperlink w:anchor="_Toc300000920" w:history="1">
        <w:r>
          <w:rPr>
            <w:noProof/>
          </w:rPr>
          <w:t xml:space="preserve">Article 27.1: Definitions</w:t>
        </w:r>
        <w:r>
          <w:rPr>
            <w:noProof/>
            <w:webHidden/>
          </w:rPr>
          <w:tab/>
        </w:r>
        <w:r>
          <w:rPr>
            <w:noProof/>
            <w:webHidden/>
          </w:rPr>
          <w:fldChar w:fldCharType="begin"/>
        </w:r>
        <w:r>
          <w:rPr>
            <w:noProof/>
            <w:webHidden/>
          </w:rPr>
          <w:instrText xml:space="preserve"> PAGEREF _Toc300000920 \h </w:instrText>
        </w:r>
        <w:r>
          <w:rPr>
            <w:noProof/>
            <w:webHidden/>
          </w:rPr>
          <w:fldChar w:fldCharType="separate"/>
        </w:r>
        <w:r>
          <w:rPr>
            <w:noProof/>
            <w:webHidden/>
          </w:rPr>
          <w:t>1255</w:t>
        </w:r>
        <w:r>
          <w:rPr>
            <w:noProof/>
            <w:webHidden/>
          </w:rPr>
          <w:fldChar w:fldCharType="end"/>
        </w:r>
      </w:hyperlink>
    </w:p>
    <w:p>
      <w:pPr>
        <w:pStyle w:val="TOC2"/>
      </w:pPr>
      <w:hyperlink w:anchor="_Toc300000921" w:history="1">
        <w:r>
          <w:rPr>
            <w:noProof/>
          </w:rPr>
          <w:t xml:space="preserve">Article 27.2: Scope</w:t>
        </w:r>
        <w:r>
          <w:rPr>
            <w:noProof/>
            <w:webHidden/>
          </w:rPr>
          <w:tab/>
        </w:r>
        <w:r>
          <w:rPr>
            <w:noProof/>
            <w:webHidden/>
          </w:rPr>
          <w:fldChar w:fldCharType="begin"/>
        </w:r>
        <w:r>
          <w:rPr>
            <w:noProof/>
            <w:webHidden/>
          </w:rPr>
          <w:instrText xml:space="preserve"> PAGEREF _Toc300000921 \h </w:instrText>
        </w:r>
        <w:r>
          <w:rPr>
            <w:noProof/>
            <w:webHidden/>
          </w:rPr>
          <w:fldChar w:fldCharType="separate"/>
        </w:r>
        <w:r>
          <w:rPr>
            <w:noProof/>
            <w:webHidden/>
          </w:rPr>
          <w:t>1255</w:t>
        </w:r>
        <w:r>
          <w:rPr>
            <w:noProof/>
            <w:webHidden/>
          </w:rPr>
          <w:fldChar w:fldCharType="end"/>
        </w:r>
      </w:hyperlink>
    </w:p>
    <w:p>
      <w:pPr>
        <w:pStyle w:val="TOC2"/>
      </w:pPr>
      <w:hyperlink w:anchor="_Toc300000922" w:history="1">
        <w:r>
          <w:rPr>
            <w:noProof/>
          </w:rPr>
          <w:t xml:space="preserve">Article 27.3: Measures to Combat Corruption</w:t>
        </w:r>
        <w:r>
          <w:rPr>
            <w:noProof/>
            <w:webHidden/>
          </w:rPr>
          <w:tab/>
        </w:r>
        <w:r>
          <w:rPr>
            <w:noProof/>
            <w:webHidden/>
          </w:rPr>
          <w:fldChar w:fldCharType="begin"/>
        </w:r>
        <w:r>
          <w:rPr>
            <w:noProof/>
            <w:webHidden/>
          </w:rPr>
          <w:instrText xml:space="preserve"> PAGEREF _Toc300000922 \h </w:instrText>
        </w:r>
        <w:r>
          <w:rPr>
            <w:noProof/>
            <w:webHidden/>
          </w:rPr>
          <w:fldChar w:fldCharType="separate"/>
        </w:r>
        <w:r>
          <w:rPr>
            <w:noProof/>
            <w:webHidden/>
          </w:rPr>
          <w:t>1256</w:t>
        </w:r>
        <w:r>
          <w:rPr>
            <w:noProof/>
            <w:webHidden/>
          </w:rPr>
          <w:fldChar w:fldCharType="end"/>
        </w:r>
      </w:hyperlink>
    </w:p>
    <w:p>
      <w:pPr>
        <w:pStyle w:val="TOC2"/>
      </w:pPr>
      <w:hyperlink w:anchor="_Toc300000923" w:history="1">
        <w:r>
          <w:rPr>
            <w:noProof/>
          </w:rPr>
          <w:t xml:space="preserve">Article 27.4: Promoting Integrity among Public Officials</w:t>
        </w:r>
        <w:r>
          <w:rPr>
            <w:noProof/>
            <w:webHidden/>
          </w:rPr>
          <w:tab/>
        </w:r>
        <w:r>
          <w:rPr>
            <w:noProof/>
            <w:webHidden/>
          </w:rPr>
          <w:fldChar w:fldCharType="begin"/>
        </w:r>
        <w:r>
          <w:rPr>
            <w:noProof/>
            <w:webHidden/>
          </w:rPr>
          <w:instrText xml:space="preserve"> PAGEREF _Toc300000923 \h </w:instrText>
        </w:r>
        <w:r>
          <w:rPr>
            <w:noProof/>
            <w:webHidden/>
          </w:rPr>
          <w:fldChar w:fldCharType="separate"/>
        </w:r>
        <w:r>
          <w:rPr>
            <w:noProof/>
            <w:webHidden/>
          </w:rPr>
          <w:t>1257</w:t>
        </w:r>
        <w:r>
          <w:rPr>
            <w:noProof/>
            <w:webHidden/>
          </w:rPr>
          <w:fldChar w:fldCharType="end"/>
        </w:r>
      </w:hyperlink>
    </w:p>
    <w:p>
      <w:pPr>
        <w:pStyle w:val="TOC2"/>
      </w:pPr>
      <w:hyperlink w:anchor="_Toc300000924" w:history="1">
        <w:r>
          <w:rPr>
            <w:noProof/>
          </w:rPr>
          <w:t xml:space="preserve">Article 27.5: Participation of Private Sector and Society</w:t>
        </w:r>
        <w:r>
          <w:rPr>
            <w:noProof/>
            <w:webHidden/>
          </w:rPr>
          <w:tab/>
        </w:r>
        <w:r>
          <w:rPr>
            <w:noProof/>
            <w:webHidden/>
          </w:rPr>
          <w:fldChar w:fldCharType="begin"/>
        </w:r>
        <w:r>
          <w:rPr>
            <w:noProof/>
            <w:webHidden/>
          </w:rPr>
          <w:instrText xml:space="preserve"> PAGEREF _Toc300000924 \h </w:instrText>
        </w:r>
        <w:r>
          <w:rPr>
            <w:noProof/>
            <w:webHidden/>
          </w:rPr>
          <w:fldChar w:fldCharType="separate"/>
        </w:r>
        <w:r>
          <w:rPr>
            <w:noProof/>
            <w:webHidden/>
          </w:rPr>
          <w:t>1258</w:t>
        </w:r>
        <w:r>
          <w:rPr>
            <w:noProof/>
            <w:webHidden/>
          </w:rPr>
          <w:fldChar w:fldCharType="end"/>
        </w:r>
      </w:hyperlink>
    </w:p>
    <w:p>
      <w:pPr>
        <w:pStyle w:val="TOC2"/>
      </w:pPr>
      <w:hyperlink w:anchor="_Toc300000925" w:history="1">
        <w:r>
          <w:rPr>
            <w:noProof/>
          </w:rPr>
          <w:t xml:space="preserve">Article 27.6: Application and Enforcement of Anticorruption Laws</w:t>
        </w:r>
        <w:r>
          <w:rPr>
            <w:noProof/>
            <w:webHidden/>
          </w:rPr>
          <w:tab/>
        </w:r>
        <w:r>
          <w:rPr>
            <w:noProof/>
            <w:webHidden/>
          </w:rPr>
          <w:fldChar w:fldCharType="begin"/>
        </w:r>
        <w:r>
          <w:rPr>
            <w:noProof/>
            <w:webHidden/>
          </w:rPr>
          <w:instrText xml:space="preserve"> PAGEREF _Toc300000925 \h </w:instrText>
        </w:r>
        <w:r>
          <w:rPr>
            <w:noProof/>
            <w:webHidden/>
          </w:rPr>
          <w:fldChar w:fldCharType="separate"/>
        </w:r>
        <w:r>
          <w:rPr>
            <w:noProof/>
            <w:webHidden/>
          </w:rPr>
          <w:t>1259</w:t>
        </w:r>
        <w:r>
          <w:rPr>
            <w:noProof/>
            <w:webHidden/>
          </w:rPr>
          <w:fldChar w:fldCharType="end"/>
        </w:r>
      </w:hyperlink>
    </w:p>
    <w:p>
      <w:pPr>
        <w:pStyle w:val="TOC2"/>
      </w:pPr>
      <w:hyperlink w:anchor="_Toc300000926" w:history="1">
        <w:r>
          <w:rPr>
            <w:noProof/>
          </w:rPr>
          <w:t xml:space="preserve">Article 27.7: Relation to Other Agreements</w:t>
        </w:r>
        <w:r>
          <w:rPr>
            <w:noProof/>
            <w:webHidden/>
          </w:rPr>
          <w:tab/>
        </w:r>
        <w:r>
          <w:rPr>
            <w:noProof/>
            <w:webHidden/>
          </w:rPr>
          <w:fldChar w:fldCharType="begin"/>
        </w:r>
        <w:r>
          <w:rPr>
            <w:noProof/>
            <w:webHidden/>
          </w:rPr>
          <w:instrText xml:space="preserve"> PAGEREF _Toc300000926 \h </w:instrText>
        </w:r>
        <w:r>
          <w:rPr>
            <w:noProof/>
            <w:webHidden/>
          </w:rPr>
          <w:fldChar w:fldCharType="separate"/>
        </w:r>
        <w:r>
          <w:rPr>
            <w:noProof/>
            <w:webHidden/>
          </w:rPr>
          <w:t>1259</w:t>
        </w:r>
        <w:r>
          <w:rPr>
            <w:noProof/>
            <w:webHidden/>
          </w:rPr>
          <w:fldChar w:fldCharType="end"/>
        </w:r>
      </w:hyperlink>
    </w:p>
    <w:p>
      <w:pPr>
        <w:pStyle w:val="TOC2"/>
      </w:pPr>
      <w:hyperlink w:anchor="_Toc300000927" w:history="1">
        <w:r>
          <w:rPr>
            <w:noProof/>
          </w:rPr>
          <w:t xml:space="preserve">Article 27.8: Dispute Settlement</w:t>
        </w:r>
        <w:r>
          <w:rPr>
            <w:noProof/>
            <w:webHidden/>
          </w:rPr>
          <w:tab/>
        </w:r>
        <w:r>
          <w:rPr>
            <w:noProof/>
            <w:webHidden/>
          </w:rPr>
          <w:fldChar w:fldCharType="begin"/>
        </w:r>
        <w:r>
          <w:rPr>
            <w:noProof/>
            <w:webHidden/>
          </w:rPr>
          <w:instrText xml:space="preserve"> PAGEREF _Toc300000927 \h </w:instrText>
        </w:r>
        <w:r>
          <w:rPr>
            <w:noProof/>
            <w:webHidden/>
          </w:rPr>
          <w:fldChar w:fldCharType="separate"/>
        </w:r>
        <w:r>
          <w:rPr>
            <w:noProof/>
            <w:webHidden/>
          </w:rPr>
          <w:t>1259</w:t>
        </w:r>
        <w:r>
          <w:rPr>
            <w:noProof/>
            <w:webHidden/>
          </w:rPr>
          <w:fldChar w:fldCharType="end"/>
        </w:r>
      </w:hyperlink>
    </w:p>
    <w:p>
      <w:pPr>
        <w:pStyle w:val="TOC2"/>
      </w:pPr>
      <w:hyperlink w:anchor="_Toc300000928" w:history="1">
        <w:r>
          <w:rPr>
            <w:noProof/>
          </w:rPr>
          <w:t xml:space="preserve">Article 27.9: Cooperation</w:t>
        </w:r>
        <w:r>
          <w:rPr>
            <w:noProof/>
            <w:webHidden/>
          </w:rPr>
          <w:tab/>
        </w:r>
        <w:r>
          <w:rPr>
            <w:noProof/>
            <w:webHidden/>
          </w:rPr>
          <w:fldChar w:fldCharType="begin"/>
        </w:r>
        <w:r>
          <w:rPr>
            <w:noProof/>
            <w:webHidden/>
          </w:rPr>
          <w:instrText xml:space="preserve"> PAGEREF _Toc300000928 \h </w:instrText>
        </w:r>
        <w:r>
          <w:rPr>
            <w:noProof/>
            <w:webHidden/>
          </w:rPr>
          <w:fldChar w:fldCharType="separate"/>
        </w:r>
        <w:r>
          <w:rPr>
            <w:noProof/>
            <w:webHidden/>
          </w:rPr>
          <w:t>1260</w:t>
        </w:r>
        <w:r>
          <w:rPr>
            <w:noProof/>
            <w:webHidden/>
          </w:rPr>
          <w:fldChar w:fldCharType="end"/>
        </w:r>
      </w:hyperlink>
    </w:p>
    <w:p>
      <w:pPr>
        <w:pStyle w:val="TOC2"/>
      </w:pPr>
      <w:hyperlink w:anchor="_Toc300000929" w:history="1">
        <w:r>
          <w:rPr>
            <w:noProof/>
          </w:rPr>
          <w:t xml:space="preserve">CHAPTER 27: CUSMA 2.0 INTEGRITY ENFORCEMENT PROVISIONS</w:t>
        </w:r>
        <w:r>
          <w:rPr>
            <w:noProof/>
            <w:webHidden/>
          </w:rPr>
          <w:tab/>
        </w:r>
        <w:r>
          <w:rPr>
            <w:noProof/>
            <w:webHidden/>
          </w:rPr>
          <w:fldChar w:fldCharType="begin"/>
        </w:r>
        <w:r>
          <w:rPr>
            <w:noProof/>
            <w:webHidden/>
          </w:rPr>
          <w:instrText xml:space="preserve"> PAGEREF _Toc300000929 \h </w:instrText>
        </w:r>
        <w:r>
          <w:rPr>
            <w:noProof/>
            <w:webHidden/>
          </w:rPr>
          <w:fldChar w:fldCharType="separate"/>
        </w:r>
        <w:r>
          <w:rPr>
            <w:noProof/>
            <w:webHidden/>
          </w:rPr>
          <w:t>1260</w:t>
        </w:r>
        <w:r>
          <w:rPr>
            <w:noProof/>
            <w:webHidden/>
          </w:rPr>
          <w:fldChar w:fldCharType="end"/>
        </w:r>
      </w:hyperlink>
    </w:p>
    <w:p>
      <w:pPr>
        <w:pStyle w:val="TOC2"/>
      </w:pPr>
      <w:hyperlink w:anchor="_Toc300000930" w:history="1">
        <w:r>
          <w:rPr>
            <w:noProof/>
          </w:rPr>
          <w:t xml:space="preserve">Article 27.A: Systemic Anti-Corruption Enforcement Failure</w:t>
        </w:r>
        <w:r>
          <w:rPr>
            <w:noProof/>
            <w:webHidden/>
          </w:rPr>
          <w:tab/>
        </w:r>
        <w:r>
          <w:rPr>
            <w:noProof/>
            <w:webHidden/>
          </w:rPr>
          <w:fldChar w:fldCharType="begin"/>
        </w:r>
        <w:r>
          <w:rPr>
            <w:noProof/>
            <w:webHidden/>
          </w:rPr>
          <w:instrText xml:space="preserve"> PAGEREF _Toc300000930 \h </w:instrText>
        </w:r>
        <w:r>
          <w:rPr>
            <w:noProof/>
            <w:webHidden/>
          </w:rPr>
          <w:fldChar w:fldCharType="separate"/>
        </w:r>
        <w:r>
          <w:rPr>
            <w:noProof/>
            <w:webHidden/>
          </w:rPr>
          <w:t>1260</w:t>
        </w:r>
        <w:r>
          <w:rPr>
            <w:noProof/>
            <w:webHidden/>
          </w:rPr>
          <w:fldChar w:fldCharType="end"/>
        </w:r>
      </w:hyperlink>
    </w:p>
    <w:p>
      <w:pPr>
        <w:pStyle w:val="TOC2"/>
      </w:pPr>
      <w:hyperlink w:anchor="_Toc300000931" w:history="1">
        <w:r>
          <w:rPr>
            <w:noProof/>
          </w:rPr>
          <w:t xml:space="preserve">Article 27.B: Integrity Cure Procedure</w:t>
        </w:r>
        <w:r>
          <w:rPr>
            <w:noProof/>
            <w:webHidden/>
          </w:rPr>
          <w:tab/>
        </w:r>
        <w:r>
          <w:rPr>
            <w:noProof/>
            <w:webHidden/>
          </w:rPr>
          <w:fldChar w:fldCharType="begin"/>
        </w:r>
        <w:r>
          <w:rPr>
            <w:noProof/>
            <w:webHidden/>
          </w:rPr>
          <w:instrText xml:space="preserve"> PAGEREF _Toc300000931 \h </w:instrText>
        </w:r>
        <w:r>
          <w:rPr>
            <w:noProof/>
            <w:webHidden/>
          </w:rPr>
          <w:fldChar w:fldCharType="separate"/>
        </w:r>
        <w:r>
          <w:rPr>
            <w:noProof/>
            <w:webHidden/>
          </w:rPr>
          <w:t>1261</w:t>
        </w:r>
        <w:r>
          <w:rPr>
            <w:noProof/>
            <w:webHidden/>
          </w:rPr>
          <w:fldChar w:fldCharType="end"/>
        </w:r>
      </w:hyperlink>
    </w:p>
    <w:p>
      <w:pPr>
        <w:pStyle w:val="TOC1"/>
      </w:pPr>
      <w:hyperlink w:anchor="_Toc300000932" w:history="1">
        <w:r>
          <w:rPr>
            <w:noProof/>
          </w:rPr>
          <w:t xml:space="preserve">CHAPTER 28 GOOD REGULATORY PRACTICES</w:t>
        </w:r>
        <w:r>
          <w:rPr>
            <w:noProof/>
            <w:webHidden/>
          </w:rPr>
          <w:tab/>
        </w:r>
        <w:r>
          <w:rPr>
            <w:noProof/>
            <w:webHidden/>
          </w:rPr>
          <w:fldChar w:fldCharType="begin"/>
        </w:r>
        <w:r>
          <w:rPr>
            <w:noProof/>
            <w:webHidden/>
          </w:rPr>
          <w:instrText xml:space="preserve"> PAGEREF _Toc300000932 \h </w:instrText>
        </w:r>
        <w:r>
          <w:rPr>
            <w:noProof/>
            <w:webHidden/>
          </w:rPr>
          <w:fldChar w:fldCharType="separate"/>
        </w:r>
        <w:r>
          <w:rPr>
            <w:noProof/>
            <w:webHidden/>
          </w:rPr>
          <w:t>1262</w:t>
        </w:r>
        <w:r>
          <w:rPr>
            <w:noProof/>
            <w:webHidden/>
          </w:rPr>
          <w:fldChar w:fldCharType="end"/>
        </w:r>
      </w:hyperlink>
    </w:p>
    <w:p>
      <w:pPr>
        <w:pStyle w:val="TOC2"/>
      </w:pPr>
      <w:hyperlink w:anchor="_Toc300000933" w:history="1">
        <w:r>
          <w:rPr>
            <w:noProof/>
          </w:rPr>
          <w:t xml:space="preserve">Article 28.1: Definitions</w:t>
        </w:r>
        <w:r>
          <w:rPr>
            <w:noProof/>
            <w:webHidden/>
          </w:rPr>
          <w:tab/>
        </w:r>
        <w:r>
          <w:rPr>
            <w:noProof/>
            <w:webHidden/>
          </w:rPr>
          <w:fldChar w:fldCharType="begin"/>
        </w:r>
        <w:r>
          <w:rPr>
            <w:noProof/>
            <w:webHidden/>
          </w:rPr>
          <w:instrText xml:space="preserve"> PAGEREF _Toc300000933 \h </w:instrText>
        </w:r>
        <w:r>
          <w:rPr>
            <w:noProof/>
            <w:webHidden/>
          </w:rPr>
          <w:fldChar w:fldCharType="separate"/>
        </w:r>
        <w:r>
          <w:rPr>
            <w:noProof/>
            <w:webHidden/>
          </w:rPr>
          <w:t>1262</w:t>
        </w:r>
        <w:r>
          <w:rPr>
            <w:noProof/>
            <w:webHidden/>
          </w:rPr>
          <w:fldChar w:fldCharType="end"/>
        </w:r>
      </w:hyperlink>
    </w:p>
    <w:p>
      <w:pPr>
        <w:pStyle w:val="TOC2"/>
      </w:pPr>
      <w:hyperlink w:anchor="_Toc300000934" w:history="1">
        <w:r>
          <w:rPr>
            <w:noProof/>
          </w:rPr>
          <w:t xml:space="preserve">Article 28.2: Subject Matter and General Provisions</w:t>
        </w:r>
        <w:r>
          <w:rPr>
            <w:noProof/>
            <w:webHidden/>
          </w:rPr>
          <w:tab/>
        </w:r>
        <w:r>
          <w:rPr>
            <w:noProof/>
            <w:webHidden/>
          </w:rPr>
          <w:fldChar w:fldCharType="begin"/>
        </w:r>
        <w:r>
          <w:rPr>
            <w:noProof/>
            <w:webHidden/>
          </w:rPr>
          <w:instrText xml:space="preserve"> PAGEREF _Toc300000934 \h </w:instrText>
        </w:r>
        <w:r>
          <w:rPr>
            <w:noProof/>
            <w:webHidden/>
          </w:rPr>
          <w:fldChar w:fldCharType="separate"/>
        </w:r>
        <w:r>
          <w:rPr>
            <w:noProof/>
            <w:webHidden/>
          </w:rPr>
          <w:t>1262</w:t>
        </w:r>
        <w:r>
          <w:rPr>
            <w:noProof/>
            <w:webHidden/>
          </w:rPr>
          <w:fldChar w:fldCharType="end"/>
        </w:r>
      </w:hyperlink>
    </w:p>
    <w:p>
      <w:pPr>
        <w:pStyle w:val="TOC2"/>
      </w:pPr>
      <w:hyperlink w:anchor="_Toc300000935" w:history="1">
        <w:r>
          <w:rPr>
            <w:noProof/>
          </w:rPr>
          <w:t xml:space="preserve">Article 28.3: Central Regulatory Coordinating Body</w:t>
        </w:r>
        <w:r>
          <w:rPr>
            <w:noProof/>
            <w:webHidden/>
          </w:rPr>
          <w:tab/>
        </w:r>
        <w:r>
          <w:rPr>
            <w:noProof/>
            <w:webHidden/>
          </w:rPr>
          <w:fldChar w:fldCharType="begin"/>
        </w:r>
        <w:r>
          <w:rPr>
            <w:noProof/>
            <w:webHidden/>
          </w:rPr>
          <w:instrText xml:space="preserve"> PAGEREF _Toc300000935 \h </w:instrText>
        </w:r>
        <w:r>
          <w:rPr>
            <w:noProof/>
            <w:webHidden/>
          </w:rPr>
          <w:fldChar w:fldCharType="separate"/>
        </w:r>
        <w:r>
          <w:rPr>
            <w:noProof/>
            <w:webHidden/>
          </w:rPr>
          <w:t>1262</w:t>
        </w:r>
        <w:r>
          <w:rPr>
            <w:noProof/>
            <w:webHidden/>
          </w:rPr>
          <w:fldChar w:fldCharType="end"/>
        </w:r>
      </w:hyperlink>
    </w:p>
    <w:p>
      <w:pPr>
        <w:pStyle w:val="TOC2"/>
      </w:pPr>
      <w:hyperlink w:anchor="_Toc300000936" w:history="1">
        <w:r>
          <w:rPr>
            <w:noProof/>
          </w:rPr>
          <w:t xml:space="preserve">Article 28.4: Internal Consultation, Coordination, and Review</w:t>
        </w:r>
        <w:r>
          <w:rPr>
            <w:noProof/>
            <w:webHidden/>
          </w:rPr>
          <w:tab/>
        </w:r>
        <w:r>
          <w:rPr>
            <w:noProof/>
            <w:webHidden/>
          </w:rPr>
          <w:fldChar w:fldCharType="begin"/>
        </w:r>
        <w:r>
          <w:rPr>
            <w:noProof/>
            <w:webHidden/>
          </w:rPr>
          <w:instrText xml:space="preserve"> PAGEREF _Toc300000936 \h </w:instrText>
        </w:r>
        <w:r>
          <w:rPr>
            <w:noProof/>
            <w:webHidden/>
          </w:rPr>
          <w:fldChar w:fldCharType="separate"/>
        </w:r>
        <w:r>
          <w:rPr>
            <w:noProof/>
            <w:webHidden/>
          </w:rPr>
          <w:t>1263</w:t>
        </w:r>
        <w:r>
          <w:rPr>
            <w:noProof/>
            <w:webHidden/>
          </w:rPr>
          <w:fldChar w:fldCharType="end"/>
        </w:r>
      </w:hyperlink>
    </w:p>
    <w:p>
      <w:pPr>
        <w:pStyle w:val="TOC2"/>
      </w:pPr>
      <w:hyperlink w:anchor="_Toc300000937" w:history="1">
        <w:r>
          <w:rPr>
            <w:noProof/>
          </w:rPr>
          <w:t xml:space="preserve">Article 28.5: Information Quality</w:t>
        </w:r>
        <w:r>
          <w:rPr>
            <w:noProof/>
            <w:webHidden/>
          </w:rPr>
          <w:tab/>
        </w:r>
        <w:r>
          <w:rPr>
            <w:noProof/>
            <w:webHidden/>
          </w:rPr>
          <w:fldChar w:fldCharType="begin"/>
        </w:r>
        <w:r>
          <w:rPr>
            <w:noProof/>
            <w:webHidden/>
          </w:rPr>
          <w:instrText xml:space="preserve"> PAGEREF _Toc300000937 \h </w:instrText>
        </w:r>
        <w:r>
          <w:rPr>
            <w:noProof/>
            <w:webHidden/>
          </w:rPr>
          <w:fldChar w:fldCharType="separate"/>
        </w:r>
        <w:r>
          <w:rPr>
            <w:noProof/>
            <w:webHidden/>
          </w:rPr>
          <w:t>1263</w:t>
        </w:r>
        <w:r>
          <w:rPr>
            <w:noProof/>
            <w:webHidden/>
          </w:rPr>
          <w:fldChar w:fldCharType="end"/>
        </w:r>
      </w:hyperlink>
    </w:p>
    <w:p>
      <w:pPr>
        <w:pStyle w:val="TOC2"/>
      </w:pPr>
      <w:hyperlink w:anchor="_Toc300000938" w:history="1">
        <w:r>
          <w:rPr>
            <w:noProof/>
          </w:rPr>
          <w:t xml:space="preserve">Article 28.6: Early Planning</w:t>
        </w:r>
        <w:r>
          <w:rPr>
            <w:noProof/>
            <w:webHidden/>
          </w:rPr>
          <w:tab/>
        </w:r>
        <w:r>
          <w:rPr>
            <w:noProof/>
            <w:webHidden/>
          </w:rPr>
          <w:fldChar w:fldCharType="begin"/>
        </w:r>
        <w:r>
          <w:rPr>
            <w:noProof/>
            <w:webHidden/>
          </w:rPr>
          <w:instrText xml:space="preserve"> PAGEREF _Toc300000938 \h </w:instrText>
        </w:r>
        <w:r>
          <w:rPr>
            <w:noProof/>
            <w:webHidden/>
          </w:rPr>
          <w:fldChar w:fldCharType="separate"/>
        </w:r>
        <w:r>
          <w:rPr>
            <w:noProof/>
            <w:webHidden/>
          </w:rPr>
          <w:t>1263</w:t>
        </w:r>
        <w:r>
          <w:rPr>
            <w:noProof/>
            <w:webHidden/>
          </w:rPr>
          <w:fldChar w:fldCharType="end"/>
        </w:r>
      </w:hyperlink>
    </w:p>
    <w:p>
      <w:pPr>
        <w:pStyle w:val="TOC2"/>
      </w:pPr>
      <w:hyperlink w:anchor="_Toc300000939" w:history="1">
        <w:r>
          <w:rPr>
            <w:noProof/>
          </w:rPr>
          <w:t xml:space="preserve">Article 28.7: Dedicated Website</w:t>
        </w:r>
        <w:r>
          <w:rPr>
            <w:noProof/>
            <w:webHidden/>
          </w:rPr>
          <w:tab/>
        </w:r>
        <w:r>
          <w:rPr>
            <w:noProof/>
            <w:webHidden/>
          </w:rPr>
          <w:fldChar w:fldCharType="begin"/>
        </w:r>
        <w:r>
          <w:rPr>
            <w:noProof/>
            <w:webHidden/>
          </w:rPr>
          <w:instrText xml:space="preserve"> PAGEREF _Toc300000939 \h </w:instrText>
        </w:r>
        <w:r>
          <w:rPr>
            <w:noProof/>
            <w:webHidden/>
          </w:rPr>
          <w:fldChar w:fldCharType="separate"/>
        </w:r>
        <w:r>
          <w:rPr>
            <w:noProof/>
            <w:webHidden/>
          </w:rPr>
          <w:t>1264</w:t>
        </w:r>
        <w:r>
          <w:rPr>
            <w:noProof/>
            <w:webHidden/>
          </w:rPr>
          <w:fldChar w:fldCharType="end"/>
        </w:r>
      </w:hyperlink>
    </w:p>
    <w:p>
      <w:pPr>
        <w:pStyle w:val="TOC2"/>
      </w:pPr>
      <w:hyperlink w:anchor="_Toc300000940" w:history="1">
        <w:r>
          <w:rPr>
            <w:noProof/>
          </w:rPr>
          <w:t xml:space="preserve">Article 28.8: Use of Plain Language</w:t>
        </w:r>
        <w:r>
          <w:rPr>
            <w:noProof/>
            <w:webHidden/>
          </w:rPr>
          <w:tab/>
        </w:r>
        <w:r>
          <w:rPr>
            <w:noProof/>
            <w:webHidden/>
          </w:rPr>
          <w:fldChar w:fldCharType="begin"/>
        </w:r>
        <w:r>
          <w:rPr>
            <w:noProof/>
            <w:webHidden/>
          </w:rPr>
          <w:instrText xml:space="preserve"> PAGEREF _Toc300000940 \h </w:instrText>
        </w:r>
        <w:r>
          <w:rPr>
            <w:noProof/>
            <w:webHidden/>
          </w:rPr>
          <w:fldChar w:fldCharType="separate"/>
        </w:r>
        <w:r>
          <w:rPr>
            <w:noProof/>
            <w:webHidden/>
          </w:rPr>
          <w:t>1264</w:t>
        </w:r>
        <w:r>
          <w:rPr>
            <w:noProof/>
            <w:webHidden/>
          </w:rPr>
          <w:fldChar w:fldCharType="end"/>
        </w:r>
      </w:hyperlink>
    </w:p>
    <w:p>
      <w:pPr>
        <w:pStyle w:val="TOC2"/>
      </w:pPr>
      <w:hyperlink w:anchor="_Toc300000941" w:history="1">
        <w:r>
          <w:rPr>
            <w:noProof/>
          </w:rPr>
          <w:t xml:space="preserve">Article 28.9: Transparent Development of Regulations</w:t>
        </w:r>
        <w:r>
          <w:rPr>
            <w:noProof/>
            <w:webHidden/>
          </w:rPr>
          <w:tab/>
        </w:r>
        <w:r>
          <w:rPr>
            <w:noProof/>
            <w:webHidden/>
          </w:rPr>
          <w:fldChar w:fldCharType="begin"/>
        </w:r>
        <w:r>
          <w:rPr>
            <w:noProof/>
            <w:webHidden/>
          </w:rPr>
          <w:instrText xml:space="preserve"> PAGEREF _Toc300000941 \h </w:instrText>
        </w:r>
        <w:r>
          <w:rPr>
            <w:noProof/>
            <w:webHidden/>
          </w:rPr>
          <w:fldChar w:fldCharType="separate"/>
        </w:r>
        <w:r>
          <w:rPr>
            <w:noProof/>
            <w:webHidden/>
          </w:rPr>
          <w:t>1264</w:t>
        </w:r>
        <w:r>
          <w:rPr>
            <w:noProof/>
            <w:webHidden/>
          </w:rPr>
          <w:fldChar w:fldCharType="end"/>
        </w:r>
      </w:hyperlink>
    </w:p>
    <w:p>
      <w:pPr>
        <w:pStyle w:val="TOC2"/>
      </w:pPr>
      <w:hyperlink w:anchor="_Toc300000942" w:history="1">
        <w:r>
          <w:rPr>
            <w:noProof/>
          </w:rPr>
          <w:t xml:space="preserve">Article 28.10: Expert Advisory Groups</w:t>
        </w:r>
        <w:r>
          <w:rPr>
            <w:noProof/>
            <w:webHidden/>
          </w:rPr>
          <w:tab/>
        </w:r>
        <w:r>
          <w:rPr>
            <w:noProof/>
            <w:webHidden/>
          </w:rPr>
          <w:fldChar w:fldCharType="begin"/>
        </w:r>
        <w:r>
          <w:rPr>
            <w:noProof/>
            <w:webHidden/>
          </w:rPr>
          <w:instrText xml:space="preserve"> PAGEREF _Toc300000942 \h </w:instrText>
        </w:r>
        <w:r>
          <w:rPr>
            <w:noProof/>
            <w:webHidden/>
          </w:rPr>
          <w:fldChar w:fldCharType="separate"/>
        </w:r>
        <w:r>
          <w:rPr>
            <w:noProof/>
            <w:webHidden/>
          </w:rPr>
          <w:t>1265</w:t>
        </w:r>
        <w:r>
          <w:rPr>
            <w:noProof/>
            <w:webHidden/>
          </w:rPr>
          <w:fldChar w:fldCharType="end"/>
        </w:r>
      </w:hyperlink>
    </w:p>
    <w:p>
      <w:pPr>
        <w:pStyle w:val="TOC2"/>
      </w:pPr>
      <w:hyperlink w:anchor="_Toc300000943" w:history="1">
        <w:r>
          <w:rPr>
            <w:noProof/>
          </w:rPr>
          <w:t xml:space="preserve">Article 28.11: Regulatory Impact Assessment</w:t>
        </w:r>
        <w:r>
          <w:rPr>
            <w:noProof/>
            <w:webHidden/>
          </w:rPr>
          <w:tab/>
        </w:r>
        <w:r>
          <w:rPr>
            <w:noProof/>
            <w:webHidden/>
          </w:rPr>
          <w:fldChar w:fldCharType="begin"/>
        </w:r>
        <w:r>
          <w:rPr>
            <w:noProof/>
            <w:webHidden/>
          </w:rPr>
          <w:instrText xml:space="preserve"> PAGEREF _Toc300000943 \h </w:instrText>
        </w:r>
        <w:r>
          <w:rPr>
            <w:noProof/>
            <w:webHidden/>
          </w:rPr>
          <w:fldChar w:fldCharType="separate"/>
        </w:r>
        <w:r>
          <w:rPr>
            <w:noProof/>
            <w:webHidden/>
          </w:rPr>
          <w:t>1266</w:t>
        </w:r>
        <w:r>
          <w:rPr>
            <w:noProof/>
            <w:webHidden/>
          </w:rPr>
          <w:fldChar w:fldCharType="end"/>
        </w:r>
      </w:hyperlink>
    </w:p>
    <w:p>
      <w:pPr>
        <w:pStyle w:val="TOC2"/>
      </w:pPr>
      <w:hyperlink w:anchor="_Toc300000944" w:history="1">
        <w:r>
          <w:rPr>
            <w:noProof/>
          </w:rPr>
          <w:t xml:space="preserve">Article 28.12: Final Publication</w:t>
        </w:r>
        <w:r>
          <w:rPr>
            <w:noProof/>
            <w:webHidden/>
          </w:rPr>
          <w:tab/>
        </w:r>
        <w:r>
          <w:rPr>
            <w:noProof/>
            <w:webHidden/>
          </w:rPr>
          <w:fldChar w:fldCharType="begin"/>
        </w:r>
        <w:r>
          <w:rPr>
            <w:noProof/>
            <w:webHidden/>
          </w:rPr>
          <w:instrText xml:space="preserve"> PAGEREF _Toc300000944 \h </w:instrText>
        </w:r>
        <w:r>
          <w:rPr>
            <w:noProof/>
            <w:webHidden/>
          </w:rPr>
          <w:fldChar w:fldCharType="separate"/>
        </w:r>
        <w:r>
          <w:rPr>
            <w:noProof/>
            <w:webHidden/>
          </w:rPr>
          <w:t>1267</w:t>
        </w:r>
        <w:r>
          <w:rPr>
            <w:noProof/>
            <w:webHidden/>
          </w:rPr>
          <w:fldChar w:fldCharType="end"/>
        </w:r>
      </w:hyperlink>
    </w:p>
    <w:p>
      <w:pPr>
        <w:pStyle w:val="TOC2"/>
      </w:pPr>
      <w:hyperlink w:anchor="_Toc300000945" w:history="1">
        <w:r>
          <w:rPr>
            <w:noProof/>
          </w:rPr>
          <w:t xml:space="preserve">Article 28.13: Retrospective Review</w:t>
        </w:r>
        <w:r>
          <w:rPr>
            <w:noProof/>
            <w:webHidden/>
          </w:rPr>
          <w:tab/>
        </w:r>
        <w:r>
          <w:rPr>
            <w:noProof/>
            <w:webHidden/>
          </w:rPr>
          <w:fldChar w:fldCharType="begin"/>
        </w:r>
        <w:r>
          <w:rPr>
            <w:noProof/>
            <w:webHidden/>
          </w:rPr>
          <w:instrText xml:space="preserve"> PAGEREF _Toc300000945 \h </w:instrText>
        </w:r>
        <w:r>
          <w:rPr>
            <w:noProof/>
            <w:webHidden/>
          </w:rPr>
          <w:fldChar w:fldCharType="separate"/>
        </w:r>
        <w:r>
          <w:rPr>
            <w:noProof/>
            <w:webHidden/>
          </w:rPr>
          <w:t>1267</w:t>
        </w:r>
        <w:r>
          <w:rPr>
            <w:noProof/>
            <w:webHidden/>
          </w:rPr>
          <w:fldChar w:fldCharType="end"/>
        </w:r>
      </w:hyperlink>
    </w:p>
    <w:p>
      <w:pPr>
        <w:pStyle w:val="TOC2"/>
      </w:pPr>
      <w:hyperlink w:anchor="_Toc300000946" w:history="1">
        <w:r>
          <w:rPr>
            <w:noProof/>
          </w:rPr>
          <w:t xml:space="preserve">Article 28.14: Suggestions for Improvement</w:t>
        </w:r>
        <w:r>
          <w:rPr>
            <w:noProof/>
            <w:webHidden/>
          </w:rPr>
          <w:tab/>
        </w:r>
        <w:r>
          <w:rPr>
            <w:noProof/>
            <w:webHidden/>
          </w:rPr>
          <w:fldChar w:fldCharType="begin"/>
        </w:r>
        <w:r>
          <w:rPr>
            <w:noProof/>
            <w:webHidden/>
          </w:rPr>
          <w:instrText xml:space="preserve"> PAGEREF _Toc300000946 \h </w:instrText>
        </w:r>
        <w:r>
          <w:rPr>
            <w:noProof/>
            <w:webHidden/>
          </w:rPr>
          <w:fldChar w:fldCharType="separate"/>
        </w:r>
        <w:r>
          <w:rPr>
            <w:noProof/>
            <w:webHidden/>
          </w:rPr>
          <w:t>1268</w:t>
        </w:r>
        <w:r>
          <w:rPr>
            <w:noProof/>
            <w:webHidden/>
          </w:rPr>
          <w:fldChar w:fldCharType="end"/>
        </w:r>
      </w:hyperlink>
    </w:p>
    <w:p>
      <w:pPr>
        <w:pStyle w:val="TOC2"/>
      </w:pPr>
      <w:hyperlink w:anchor="_Toc300000947" w:history="1">
        <w:r>
          <w:rPr>
            <w:noProof/>
          </w:rPr>
          <w:t xml:space="preserve">Article 28.15: Information About Regulatory Processes</w:t>
        </w:r>
        <w:r>
          <w:rPr>
            <w:noProof/>
            <w:webHidden/>
          </w:rPr>
          <w:tab/>
        </w:r>
        <w:r>
          <w:rPr>
            <w:noProof/>
            <w:webHidden/>
          </w:rPr>
          <w:fldChar w:fldCharType="begin"/>
        </w:r>
        <w:r>
          <w:rPr>
            <w:noProof/>
            <w:webHidden/>
          </w:rPr>
          <w:instrText xml:space="preserve"> PAGEREF _Toc300000947 \h </w:instrText>
        </w:r>
        <w:r>
          <w:rPr>
            <w:noProof/>
            <w:webHidden/>
          </w:rPr>
          <w:fldChar w:fldCharType="separate"/>
        </w:r>
        <w:r>
          <w:rPr>
            <w:noProof/>
            <w:webHidden/>
          </w:rPr>
          <w:t>1268</w:t>
        </w:r>
        <w:r>
          <w:rPr>
            <w:noProof/>
            <w:webHidden/>
          </w:rPr>
          <w:fldChar w:fldCharType="end"/>
        </w:r>
      </w:hyperlink>
    </w:p>
    <w:p>
      <w:pPr>
        <w:pStyle w:val="TOC2"/>
      </w:pPr>
      <w:hyperlink w:anchor="_Toc300000948" w:history="1">
        <w:r>
          <w:rPr>
            <w:noProof/>
          </w:rPr>
          <w:t xml:space="preserve">Article 28.16: Annual Report</w:t>
        </w:r>
        <w:r>
          <w:rPr>
            <w:noProof/>
            <w:webHidden/>
          </w:rPr>
          <w:tab/>
        </w:r>
        <w:r>
          <w:rPr>
            <w:noProof/>
            <w:webHidden/>
          </w:rPr>
          <w:fldChar w:fldCharType="begin"/>
        </w:r>
        <w:r>
          <w:rPr>
            <w:noProof/>
            <w:webHidden/>
          </w:rPr>
          <w:instrText xml:space="preserve"> PAGEREF _Toc300000948 \h </w:instrText>
        </w:r>
        <w:r>
          <w:rPr>
            <w:noProof/>
            <w:webHidden/>
          </w:rPr>
          <w:fldChar w:fldCharType="separate"/>
        </w:r>
        <w:r>
          <w:rPr>
            <w:noProof/>
            <w:webHidden/>
          </w:rPr>
          <w:t>1268</w:t>
        </w:r>
        <w:r>
          <w:rPr>
            <w:noProof/>
            <w:webHidden/>
          </w:rPr>
          <w:fldChar w:fldCharType="end"/>
        </w:r>
      </w:hyperlink>
    </w:p>
    <w:p>
      <w:pPr>
        <w:pStyle w:val="TOC2"/>
      </w:pPr>
      <w:hyperlink w:anchor="_Toc300000949" w:history="1">
        <w:r>
          <w:rPr>
            <w:noProof/>
          </w:rPr>
          <w:t xml:space="preserve">Article 28.17: Encouragement of Regulatory Compatibility and Cooperation</w:t>
        </w:r>
        <w:r>
          <w:rPr>
            <w:noProof/>
            <w:webHidden/>
          </w:rPr>
          <w:tab/>
        </w:r>
        <w:r>
          <w:rPr>
            <w:noProof/>
            <w:webHidden/>
          </w:rPr>
          <w:fldChar w:fldCharType="begin"/>
        </w:r>
        <w:r>
          <w:rPr>
            <w:noProof/>
            <w:webHidden/>
          </w:rPr>
          <w:instrText xml:space="preserve"> PAGEREF _Toc300000949 \h </w:instrText>
        </w:r>
        <w:r>
          <w:rPr>
            <w:noProof/>
            <w:webHidden/>
          </w:rPr>
          <w:fldChar w:fldCharType="separate"/>
        </w:r>
        <w:r>
          <w:rPr>
            <w:noProof/>
            <w:webHidden/>
          </w:rPr>
          <w:t>1268</w:t>
        </w:r>
        <w:r>
          <w:rPr>
            <w:noProof/>
            <w:webHidden/>
          </w:rPr>
          <w:fldChar w:fldCharType="end"/>
        </w:r>
      </w:hyperlink>
    </w:p>
    <w:p>
      <w:pPr>
        <w:pStyle w:val="TOC2"/>
      </w:pPr>
      <w:hyperlink w:anchor="_Toc300000950" w:history="1">
        <w:r>
          <w:rPr>
            <w:noProof/>
          </w:rPr>
          <w:t xml:space="preserve">Article 28.18: Committee on Good Regulatory Practices</w:t>
        </w:r>
        <w:r>
          <w:rPr>
            <w:noProof/>
            <w:webHidden/>
          </w:rPr>
          <w:tab/>
        </w:r>
        <w:r>
          <w:rPr>
            <w:noProof/>
            <w:webHidden/>
          </w:rPr>
          <w:fldChar w:fldCharType="begin"/>
        </w:r>
        <w:r>
          <w:rPr>
            <w:noProof/>
            <w:webHidden/>
          </w:rPr>
          <w:instrText xml:space="preserve"> PAGEREF _Toc300000950 \h </w:instrText>
        </w:r>
        <w:r>
          <w:rPr>
            <w:noProof/>
            <w:webHidden/>
          </w:rPr>
          <w:fldChar w:fldCharType="separate"/>
        </w:r>
        <w:r>
          <w:rPr>
            <w:noProof/>
            <w:webHidden/>
          </w:rPr>
          <w:t>1269</w:t>
        </w:r>
        <w:r>
          <w:rPr>
            <w:noProof/>
            <w:webHidden/>
          </w:rPr>
          <w:fldChar w:fldCharType="end"/>
        </w:r>
      </w:hyperlink>
    </w:p>
    <w:p>
      <w:pPr>
        <w:pStyle w:val="TOC2"/>
      </w:pPr>
      <w:hyperlink w:anchor="_Toc300000951" w:history="1">
        <w:r>
          <w:rPr>
            <w:noProof/>
          </w:rPr>
          <w:t xml:space="preserve">Article 28.19: Contact Points</w:t>
        </w:r>
        <w:r>
          <w:rPr>
            <w:noProof/>
            <w:webHidden/>
          </w:rPr>
          <w:tab/>
        </w:r>
        <w:r>
          <w:rPr>
            <w:noProof/>
            <w:webHidden/>
          </w:rPr>
          <w:fldChar w:fldCharType="begin"/>
        </w:r>
        <w:r>
          <w:rPr>
            <w:noProof/>
            <w:webHidden/>
          </w:rPr>
          <w:instrText xml:space="preserve"> PAGEREF _Toc300000951 \h </w:instrText>
        </w:r>
        <w:r>
          <w:rPr>
            <w:noProof/>
            <w:webHidden/>
          </w:rPr>
          <w:fldChar w:fldCharType="separate"/>
        </w:r>
        <w:r>
          <w:rPr>
            <w:noProof/>
            <w:webHidden/>
          </w:rPr>
          <w:t>1270</w:t>
        </w:r>
        <w:r>
          <w:rPr>
            <w:noProof/>
            <w:webHidden/>
          </w:rPr>
          <w:fldChar w:fldCharType="end"/>
        </w:r>
      </w:hyperlink>
    </w:p>
    <w:p>
      <w:pPr>
        <w:pStyle w:val="TOC2"/>
      </w:pPr>
      <w:hyperlink w:anchor="_Toc300000952" w:history="1">
        <w:r>
          <w:rPr>
            <w:noProof/>
          </w:rPr>
          <w:t xml:space="preserve">Article 28.20: Application of Dispute Settlement</w:t>
        </w:r>
        <w:r>
          <w:rPr>
            <w:noProof/>
            <w:webHidden/>
          </w:rPr>
          <w:tab/>
        </w:r>
        <w:r>
          <w:rPr>
            <w:noProof/>
            <w:webHidden/>
          </w:rPr>
          <w:fldChar w:fldCharType="begin"/>
        </w:r>
        <w:r>
          <w:rPr>
            <w:noProof/>
            <w:webHidden/>
          </w:rPr>
          <w:instrText xml:space="preserve"> PAGEREF _Toc300000952 \h </w:instrText>
        </w:r>
        <w:r>
          <w:rPr>
            <w:noProof/>
            <w:webHidden/>
          </w:rPr>
          <w:fldChar w:fldCharType="separate"/>
        </w:r>
        <w:r>
          <w:rPr>
            <w:noProof/>
            <w:webHidden/>
          </w:rPr>
          <w:t>1270</w:t>
        </w:r>
        <w:r>
          <w:rPr>
            <w:noProof/>
            <w:webHidden/>
          </w:rPr>
          <w:fldChar w:fldCharType="end"/>
        </w:r>
      </w:hyperlink>
    </w:p>
    <w:p>
      <w:pPr>
        <w:pStyle w:val="TOC2"/>
      </w:pPr>
      <w:hyperlink w:anchor="_Toc300000953" w:history="1">
        <w:r>
          <w:rPr>
            <w:noProof/>
          </w:rPr>
          <w:t xml:space="preserve">ANNEX 28-A ADDITIONAL PROVISIONS CONCERNING THE SCOPE OF “REGULATIONS” AND “REGULATORY AUTHORITIES”</w:t>
        </w:r>
        <w:r>
          <w:rPr>
            <w:noProof/>
            <w:webHidden/>
          </w:rPr>
          <w:tab/>
        </w:r>
        <w:r>
          <w:rPr>
            <w:noProof/>
            <w:webHidden/>
          </w:rPr>
          <w:fldChar w:fldCharType="begin"/>
        </w:r>
        <w:r>
          <w:rPr>
            <w:noProof/>
            <w:webHidden/>
          </w:rPr>
          <w:instrText xml:space="preserve"> PAGEREF _Toc300000953 \h </w:instrText>
        </w:r>
        <w:r>
          <w:rPr>
            <w:noProof/>
            <w:webHidden/>
          </w:rPr>
          <w:fldChar w:fldCharType="separate"/>
        </w:r>
        <w:r>
          <w:rPr>
            <w:noProof/>
            <w:webHidden/>
          </w:rPr>
          <w:t>1270</w:t>
        </w:r>
        <w:r>
          <w:rPr>
            <w:noProof/>
            <w:webHidden/>
          </w:rPr>
          <w:fldChar w:fldCharType="end"/>
        </w:r>
      </w:hyperlink>
    </w:p>
    <w:p>
      <w:pPr>
        <w:pStyle w:val="TOC2"/>
      </w:pPr>
      <w:hyperlink w:anchor="_Toc300000954" w:history="1">
        <w:r>
          <w:rPr>
            <w:noProof/>
          </w:rPr>
          <w:t xml:space="preserve">CHAPTER 28: CUSMA 2.0 STAKE AND FRICTION-REDUCTION PROVISIONS</w:t>
        </w:r>
        <w:r>
          <w:rPr>
            <w:noProof/>
            <w:webHidden/>
          </w:rPr>
          <w:tab/>
        </w:r>
        <w:r>
          <w:rPr>
            <w:noProof/>
            <w:webHidden/>
          </w:rPr>
          <w:fldChar w:fldCharType="begin"/>
        </w:r>
        <w:r>
          <w:rPr>
            <w:noProof/>
            <w:webHidden/>
          </w:rPr>
          <w:instrText xml:space="preserve"> PAGEREF _Toc300000954 \h </w:instrText>
        </w:r>
        <w:r>
          <w:rPr>
            <w:noProof/>
            <w:webHidden/>
          </w:rPr>
          <w:fldChar w:fldCharType="separate"/>
        </w:r>
        <w:r>
          <w:rPr>
            <w:noProof/>
            <w:webHidden/>
          </w:rPr>
          <w:t>1271</w:t>
        </w:r>
        <w:r>
          <w:rPr>
            <w:noProof/>
            <w:webHidden/>
          </w:rPr>
          <w:fldChar w:fldCharType="end"/>
        </w:r>
      </w:hyperlink>
    </w:p>
    <w:p>
      <w:pPr>
        <w:pStyle w:val="TOC2"/>
      </w:pPr>
      <w:hyperlink w:anchor="_Toc300000955" w:history="1">
        <w:r>
          <w:rPr>
            <w:noProof/>
          </w:rPr>
          <w:t xml:space="preserve">Article 28.A: Recognition, Equivalence, and Regulatory Autonomy</w:t>
        </w:r>
        <w:r>
          <w:rPr>
            <w:noProof/>
            <w:webHidden/>
          </w:rPr>
          <w:tab/>
        </w:r>
        <w:r>
          <w:rPr>
            <w:noProof/>
            <w:webHidden/>
          </w:rPr>
          <w:fldChar w:fldCharType="begin"/>
        </w:r>
        <w:r>
          <w:rPr>
            <w:noProof/>
            <w:webHidden/>
          </w:rPr>
          <w:instrText xml:space="preserve"> PAGEREF _Toc300000955 \h </w:instrText>
        </w:r>
        <w:r>
          <w:rPr>
            <w:noProof/>
            <w:webHidden/>
          </w:rPr>
          <w:fldChar w:fldCharType="separate"/>
        </w:r>
        <w:r>
          <w:rPr>
            <w:noProof/>
            <w:webHidden/>
          </w:rPr>
          <w:t>1271</w:t>
        </w:r>
        <w:r>
          <w:rPr>
            <w:noProof/>
            <w:webHidden/>
          </w:rPr>
          <w:fldChar w:fldCharType="end"/>
        </w:r>
      </w:hyperlink>
    </w:p>
    <w:p>
      <w:pPr>
        <w:pStyle w:val="TOC2"/>
      </w:pPr>
      <w:hyperlink w:anchor="_Toc300000956" w:history="1">
        <w:r>
          <w:rPr>
            <w:noProof/>
          </w:rPr>
          <w:t xml:space="preserve">Article 28.B: Advance Regulatory Transparency and Emergency Exception</w:t>
        </w:r>
        <w:r>
          <w:rPr>
            <w:noProof/>
            <w:webHidden/>
          </w:rPr>
          <w:tab/>
        </w:r>
        <w:r>
          <w:rPr>
            <w:noProof/>
            <w:webHidden/>
          </w:rPr>
          <w:fldChar w:fldCharType="begin"/>
        </w:r>
        <w:r>
          <w:rPr>
            <w:noProof/>
            <w:webHidden/>
          </w:rPr>
          <w:instrText xml:space="preserve"> PAGEREF _Toc300000956 \h </w:instrText>
        </w:r>
        <w:r>
          <w:rPr>
            <w:noProof/>
            <w:webHidden/>
          </w:rPr>
          <w:fldChar w:fldCharType="separate"/>
        </w:r>
        <w:r>
          <w:rPr>
            <w:noProof/>
            <w:webHidden/>
          </w:rPr>
          <w:t>1271</w:t>
        </w:r>
        <w:r>
          <w:rPr>
            <w:noProof/>
            <w:webHidden/>
          </w:rPr>
          <w:fldChar w:fldCharType="end"/>
        </w:r>
      </w:hyperlink>
    </w:p>
    <w:p>
      <w:pPr>
        <w:pStyle w:val="TOC2"/>
      </w:pPr>
      <w:hyperlink w:anchor="_Toc300000957" w:history="1">
        <w:r>
          <w:rPr>
            <w:noProof/>
          </w:rPr>
          <w:t xml:space="preserve">Article 28.C: Sector Technical Working Groups and North American Trade Friction Portal</w:t>
        </w:r>
        <w:r>
          <w:rPr>
            <w:noProof/>
            <w:webHidden/>
          </w:rPr>
          <w:tab/>
        </w:r>
        <w:r>
          <w:rPr>
            <w:noProof/>
            <w:webHidden/>
          </w:rPr>
          <w:fldChar w:fldCharType="begin"/>
        </w:r>
        <w:r>
          <w:rPr>
            <w:noProof/>
            <w:webHidden/>
          </w:rPr>
          <w:instrText xml:space="preserve"> PAGEREF _Toc300000957 \h </w:instrText>
        </w:r>
        <w:r>
          <w:rPr>
            <w:noProof/>
            <w:webHidden/>
          </w:rPr>
          <w:fldChar w:fldCharType="separate"/>
        </w:r>
        <w:r>
          <w:rPr>
            <w:noProof/>
            <w:webHidden/>
          </w:rPr>
          <w:t>1272</w:t>
        </w:r>
        <w:r>
          <w:rPr>
            <w:noProof/>
            <w:webHidden/>
          </w:rPr>
          <w:fldChar w:fldCharType="end"/>
        </w:r>
      </w:hyperlink>
    </w:p>
    <w:p>
      <w:pPr>
        <w:pStyle w:val="TOC1"/>
      </w:pPr>
      <w:hyperlink w:anchor="_Toc300000958" w:history="1">
        <w:r>
          <w:rPr>
            <w:noProof/>
          </w:rPr>
          <w:t xml:space="preserve">CHAPTER 29 PUBLICATION AND ADMINISTRATION Section A: Publication and Administration</w:t>
        </w:r>
        <w:r>
          <w:rPr>
            <w:noProof/>
            <w:webHidden/>
          </w:rPr>
          <w:tab/>
        </w:r>
        <w:r>
          <w:rPr>
            <w:noProof/>
            <w:webHidden/>
          </w:rPr>
          <w:fldChar w:fldCharType="begin"/>
        </w:r>
        <w:r>
          <w:rPr>
            <w:noProof/>
            <w:webHidden/>
          </w:rPr>
          <w:instrText xml:space="preserve"> PAGEREF _Toc300000958 \h </w:instrText>
        </w:r>
        <w:r>
          <w:rPr>
            <w:noProof/>
            <w:webHidden/>
          </w:rPr>
          <w:fldChar w:fldCharType="separate"/>
        </w:r>
        <w:r>
          <w:rPr>
            <w:noProof/>
            <w:webHidden/>
          </w:rPr>
          <w:t>1273</w:t>
        </w:r>
        <w:r>
          <w:rPr>
            <w:noProof/>
            <w:webHidden/>
          </w:rPr>
          <w:fldChar w:fldCharType="end"/>
        </w:r>
      </w:hyperlink>
    </w:p>
    <w:p>
      <w:pPr>
        <w:pStyle w:val="TOC2"/>
      </w:pPr>
      <w:hyperlink w:anchor="_Toc300000959" w:history="1">
        <w:r>
          <w:rPr>
            <w:noProof/>
          </w:rPr>
          <w:t xml:space="preserve">Article 29.1: Definitions</w:t>
        </w:r>
        <w:r>
          <w:rPr>
            <w:noProof/>
            <w:webHidden/>
          </w:rPr>
          <w:tab/>
        </w:r>
        <w:r>
          <w:rPr>
            <w:noProof/>
            <w:webHidden/>
          </w:rPr>
          <w:fldChar w:fldCharType="begin"/>
        </w:r>
        <w:r>
          <w:rPr>
            <w:noProof/>
            <w:webHidden/>
          </w:rPr>
          <w:instrText xml:space="preserve"> PAGEREF _Toc300000959 \h </w:instrText>
        </w:r>
        <w:r>
          <w:rPr>
            <w:noProof/>
            <w:webHidden/>
          </w:rPr>
          <w:fldChar w:fldCharType="separate"/>
        </w:r>
        <w:r>
          <w:rPr>
            <w:noProof/>
            <w:webHidden/>
          </w:rPr>
          <w:t>1273</w:t>
        </w:r>
        <w:r>
          <w:rPr>
            <w:noProof/>
            <w:webHidden/>
          </w:rPr>
          <w:fldChar w:fldCharType="end"/>
        </w:r>
      </w:hyperlink>
    </w:p>
    <w:p>
      <w:pPr>
        <w:pStyle w:val="TOC2"/>
      </w:pPr>
      <w:hyperlink w:anchor="_Toc300000960" w:history="1">
        <w:r>
          <w:rPr>
            <w:noProof/>
          </w:rPr>
          <w:t xml:space="preserve">Article 29.2: Publication</w:t>
        </w:r>
        <w:r>
          <w:rPr>
            <w:noProof/>
            <w:webHidden/>
          </w:rPr>
          <w:tab/>
        </w:r>
        <w:r>
          <w:rPr>
            <w:noProof/>
            <w:webHidden/>
          </w:rPr>
          <w:fldChar w:fldCharType="begin"/>
        </w:r>
        <w:r>
          <w:rPr>
            <w:noProof/>
            <w:webHidden/>
          </w:rPr>
          <w:instrText xml:space="preserve"> PAGEREF _Toc300000960 \h </w:instrText>
        </w:r>
        <w:r>
          <w:rPr>
            <w:noProof/>
            <w:webHidden/>
          </w:rPr>
          <w:fldChar w:fldCharType="separate"/>
        </w:r>
        <w:r>
          <w:rPr>
            <w:noProof/>
            <w:webHidden/>
          </w:rPr>
          <w:t>1273</w:t>
        </w:r>
        <w:r>
          <w:rPr>
            <w:noProof/>
            <w:webHidden/>
          </w:rPr>
          <w:fldChar w:fldCharType="end"/>
        </w:r>
      </w:hyperlink>
    </w:p>
    <w:p>
      <w:pPr>
        <w:pStyle w:val="TOC2"/>
      </w:pPr>
      <w:hyperlink w:anchor="_Toc300000961" w:history="1">
        <w:r>
          <w:rPr>
            <w:noProof/>
          </w:rPr>
          <w:t xml:space="preserve">Article 29.3: Administrative Proceedings</w:t>
        </w:r>
        <w:r>
          <w:rPr>
            <w:noProof/>
            <w:webHidden/>
          </w:rPr>
          <w:tab/>
        </w:r>
        <w:r>
          <w:rPr>
            <w:noProof/>
            <w:webHidden/>
          </w:rPr>
          <w:fldChar w:fldCharType="begin"/>
        </w:r>
        <w:r>
          <w:rPr>
            <w:noProof/>
            <w:webHidden/>
          </w:rPr>
          <w:instrText xml:space="preserve"> PAGEREF _Toc300000961 \h </w:instrText>
        </w:r>
        <w:r>
          <w:rPr>
            <w:noProof/>
            <w:webHidden/>
          </w:rPr>
          <w:fldChar w:fldCharType="separate"/>
        </w:r>
        <w:r>
          <w:rPr>
            <w:noProof/>
            <w:webHidden/>
          </w:rPr>
          <w:t>1273</w:t>
        </w:r>
        <w:r>
          <w:rPr>
            <w:noProof/>
            <w:webHidden/>
          </w:rPr>
          <w:fldChar w:fldCharType="end"/>
        </w:r>
      </w:hyperlink>
    </w:p>
    <w:p>
      <w:pPr>
        <w:pStyle w:val="TOC2"/>
      </w:pPr>
      <w:hyperlink w:anchor="_Toc300000962" w:history="1">
        <w:r>
          <w:rPr>
            <w:noProof/>
          </w:rPr>
          <w:t xml:space="preserve">Article 29.4: Review and Appeal</w:t>
        </w:r>
        <w:r>
          <w:rPr>
            <w:noProof/>
            <w:webHidden/>
          </w:rPr>
          <w:tab/>
        </w:r>
        <w:r>
          <w:rPr>
            <w:noProof/>
            <w:webHidden/>
          </w:rPr>
          <w:fldChar w:fldCharType="begin"/>
        </w:r>
        <w:r>
          <w:rPr>
            <w:noProof/>
            <w:webHidden/>
          </w:rPr>
          <w:instrText xml:space="preserve"> PAGEREF _Toc300000962 \h </w:instrText>
        </w:r>
        <w:r>
          <w:rPr>
            <w:noProof/>
            <w:webHidden/>
          </w:rPr>
          <w:fldChar w:fldCharType="separate"/>
        </w:r>
        <w:r>
          <w:rPr>
            <w:noProof/>
            <w:webHidden/>
          </w:rPr>
          <w:t>1274</w:t>
        </w:r>
        <w:r>
          <w:rPr>
            <w:noProof/>
            <w:webHidden/>
          </w:rPr>
          <w:fldChar w:fldCharType="end"/>
        </w:r>
      </w:hyperlink>
    </w:p>
    <w:p>
      <w:pPr>
        <w:pStyle w:val="TOC2"/>
      </w:pPr>
      <w:hyperlink w:anchor="_Toc300000963" w:history="1">
        <w:r>
          <w:rPr>
            <w:noProof/>
          </w:rPr>
          <w:t xml:space="preserve">Article 29.5: Definitions</w:t>
        </w:r>
        <w:r>
          <w:rPr>
            <w:noProof/>
            <w:webHidden/>
          </w:rPr>
          <w:tab/>
        </w:r>
        <w:r>
          <w:rPr>
            <w:noProof/>
            <w:webHidden/>
          </w:rPr>
          <w:fldChar w:fldCharType="begin"/>
        </w:r>
        <w:r>
          <w:rPr>
            <w:noProof/>
            <w:webHidden/>
          </w:rPr>
          <w:instrText xml:space="preserve"> PAGEREF _Toc300000963 \h </w:instrText>
        </w:r>
        <w:r>
          <w:rPr>
            <w:noProof/>
            <w:webHidden/>
          </w:rPr>
          <w:fldChar w:fldCharType="separate"/>
        </w:r>
        <w:r>
          <w:rPr>
            <w:noProof/>
            <w:webHidden/>
          </w:rPr>
          <w:t>1274</w:t>
        </w:r>
        <w:r>
          <w:rPr>
            <w:noProof/>
            <w:webHidden/>
          </w:rPr>
          <w:fldChar w:fldCharType="end"/>
        </w:r>
      </w:hyperlink>
    </w:p>
    <w:p>
      <w:pPr>
        <w:pStyle w:val="TOC2"/>
      </w:pPr>
      <w:hyperlink w:anchor="_Toc300000964" w:history="1">
        <w:r>
          <w:rPr>
            <w:noProof/>
          </w:rPr>
          <w:t xml:space="preserve">Article 29.6: Principles</w:t>
        </w:r>
        <w:r>
          <w:rPr>
            <w:noProof/>
            <w:webHidden/>
          </w:rPr>
          <w:tab/>
        </w:r>
        <w:r>
          <w:rPr>
            <w:noProof/>
            <w:webHidden/>
          </w:rPr>
          <w:fldChar w:fldCharType="begin"/>
        </w:r>
        <w:r>
          <w:rPr>
            <w:noProof/>
            <w:webHidden/>
          </w:rPr>
          <w:instrText xml:space="preserve"> PAGEREF _Toc300000964 \h </w:instrText>
        </w:r>
        <w:r>
          <w:rPr>
            <w:noProof/>
            <w:webHidden/>
          </w:rPr>
          <w:fldChar w:fldCharType="separate"/>
        </w:r>
        <w:r>
          <w:rPr>
            <w:noProof/>
            <w:webHidden/>
          </w:rPr>
          <w:t>1274</w:t>
        </w:r>
        <w:r>
          <w:rPr>
            <w:noProof/>
            <w:webHidden/>
          </w:rPr>
          <w:fldChar w:fldCharType="end"/>
        </w:r>
      </w:hyperlink>
    </w:p>
    <w:p>
      <w:pPr>
        <w:pStyle w:val="TOC2"/>
      </w:pPr>
      <w:hyperlink w:anchor="_Toc300000965" w:history="1">
        <w:r>
          <w:rPr>
            <w:noProof/>
          </w:rPr>
          <w:t xml:space="preserve">Article 29.7: Procedural Fairness</w:t>
        </w:r>
        <w:r>
          <w:rPr>
            <w:noProof/>
            <w:webHidden/>
          </w:rPr>
          <w:tab/>
        </w:r>
        <w:r>
          <w:rPr>
            <w:noProof/>
            <w:webHidden/>
          </w:rPr>
          <w:fldChar w:fldCharType="begin"/>
        </w:r>
        <w:r>
          <w:rPr>
            <w:noProof/>
            <w:webHidden/>
          </w:rPr>
          <w:instrText xml:space="preserve"> PAGEREF _Toc300000965 \h </w:instrText>
        </w:r>
        <w:r>
          <w:rPr>
            <w:noProof/>
            <w:webHidden/>
          </w:rPr>
          <w:fldChar w:fldCharType="separate"/>
        </w:r>
        <w:r>
          <w:rPr>
            <w:noProof/>
            <w:webHidden/>
          </w:rPr>
          <w:t>1275</w:t>
        </w:r>
        <w:r>
          <w:rPr>
            <w:noProof/>
            <w:webHidden/>
          </w:rPr>
          <w:fldChar w:fldCharType="end"/>
        </w:r>
      </w:hyperlink>
    </w:p>
    <w:p>
      <w:pPr>
        <w:pStyle w:val="TOC2"/>
      </w:pPr>
      <w:hyperlink w:anchor="_Toc300000966" w:history="1">
        <w:r>
          <w:rPr>
            <w:noProof/>
          </w:rPr>
          <w:t xml:space="preserve">Article 29.8: Dissemination of Information to Health Professionals and Consumers</w:t>
        </w:r>
        <w:r>
          <w:rPr>
            <w:noProof/>
            <w:webHidden/>
          </w:rPr>
          <w:tab/>
        </w:r>
        <w:r>
          <w:rPr>
            <w:noProof/>
            <w:webHidden/>
          </w:rPr>
          <w:fldChar w:fldCharType="begin"/>
        </w:r>
        <w:r>
          <w:rPr>
            <w:noProof/>
            <w:webHidden/>
          </w:rPr>
          <w:instrText xml:space="preserve"> PAGEREF _Toc300000966 \h </w:instrText>
        </w:r>
        <w:r>
          <w:rPr>
            <w:noProof/>
            <w:webHidden/>
          </w:rPr>
          <w:fldChar w:fldCharType="separate"/>
        </w:r>
        <w:r>
          <w:rPr>
            <w:noProof/>
            <w:webHidden/>
          </w:rPr>
          <w:t>1276</w:t>
        </w:r>
        <w:r>
          <w:rPr>
            <w:noProof/>
            <w:webHidden/>
          </w:rPr>
          <w:fldChar w:fldCharType="end"/>
        </w:r>
      </w:hyperlink>
    </w:p>
    <w:p>
      <w:pPr>
        <w:pStyle w:val="TOC2"/>
      </w:pPr>
      <w:hyperlink w:anchor="_Toc300000967" w:history="1">
        <w:r>
          <w:rPr>
            <w:noProof/>
          </w:rPr>
          <w:t xml:space="preserve">Article 29.9: Consultations</w:t>
        </w:r>
        <w:r>
          <w:rPr>
            <w:noProof/>
            <w:webHidden/>
          </w:rPr>
          <w:tab/>
        </w:r>
        <w:r>
          <w:rPr>
            <w:noProof/>
            <w:webHidden/>
          </w:rPr>
          <w:fldChar w:fldCharType="begin"/>
        </w:r>
        <w:r>
          <w:rPr>
            <w:noProof/>
            <w:webHidden/>
          </w:rPr>
          <w:instrText xml:space="preserve"> PAGEREF _Toc300000967 \h </w:instrText>
        </w:r>
        <w:r>
          <w:rPr>
            <w:noProof/>
            <w:webHidden/>
          </w:rPr>
          <w:fldChar w:fldCharType="separate"/>
        </w:r>
        <w:r>
          <w:rPr>
            <w:noProof/>
            <w:webHidden/>
          </w:rPr>
          <w:t>1276</w:t>
        </w:r>
        <w:r>
          <w:rPr>
            <w:noProof/>
            <w:webHidden/>
          </w:rPr>
          <w:fldChar w:fldCharType="end"/>
        </w:r>
      </w:hyperlink>
    </w:p>
    <w:p>
      <w:pPr>
        <w:pStyle w:val="TOC2"/>
      </w:pPr>
      <w:hyperlink w:anchor="_Toc300000968" w:history="1">
        <w:r>
          <w:rPr>
            <w:noProof/>
          </w:rPr>
          <w:t xml:space="preserve">Article 29.10: Non-Application of Dispute Settlement</w:t>
        </w:r>
        <w:r>
          <w:rPr>
            <w:noProof/>
            <w:webHidden/>
          </w:rPr>
          <w:tab/>
        </w:r>
        <w:r>
          <w:rPr>
            <w:noProof/>
            <w:webHidden/>
          </w:rPr>
          <w:fldChar w:fldCharType="begin"/>
        </w:r>
        <w:r>
          <w:rPr>
            <w:noProof/>
            <w:webHidden/>
          </w:rPr>
          <w:instrText xml:space="preserve"> PAGEREF _Toc300000968 \h </w:instrText>
        </w:r>
        <w:r>
          <w:rPr>
            <w:noProof/>
            <w:webHidden/>
          </w:rPr>
          <w:fldChar w:fldCharType="separate"/>
        </w:r>
        <w:r>
          <w:rPr>
            <w:noProof/>
            <w:webHidden/>
          </w:rPr>
          <w:t>1276</w:t>
        </w:r>
        <w:r>
          <w:rPr>
            <w:noProof/>
            <w:webHidden/>
          </w:rPr>
          <w:fldChar w:fldCharType="end"/>
        </w:r>
      </w:hyperlink>
    </w:p>
    <w:p>
      <w:pPr>
        <w:pStyle w:val="TOC2"/>
      </w:pPr>
      <w:hyperlink w:anchor="_Toc300000969" w:history="1">
        <w:r>
          <w:rPr>
            <w:noProof/>
          </w:rPr>
          <w:t xml:space="preserve">ANNEX 29-A PUBLICATION OF LAWS AND REGULATIONS OF GENERAL APPLICATION</w:t>
        </w:r>
        <w:r>
          <w:rPr>
            <w:noProof/>
            <w:webHidden/>
          </w:rPr>
          <w:tab/>
        </w:r>
        <w:r>
          <w:rPr>
            <w:noProof/>
            <w:webHidden/>
          </w:rPr>
          <w:fldChar w:fldCharType="begin"/>
        </w:r>
        <w:r>
          <w:rPr>
            <w:noProof/>
            <w:webHidden/>
          </w:rPr>
          <w:instrText xml:space="preserve"> PAGEREF _Toc300000969 \h </w:instrText>
        </w:r>
        <w:r>
          <w:rPr>
            <w:noProof/>
            <w:webHidden/>
          </w:rPr>
          <w:fldChar w:fldCharType="separate"/>
        </w:r>
        <w:r>
          <w:rPr>
            <w:noProof/>
            <w:webHidden/>
          </w:rPr>
          <w:t>1277</w:t>
        </w:r>
        <w:r>
          <w:rPr>
            <w:noProof/>
            <w:webHidden/>
          </w:rPr>
          <w:fldChar w:fldCharType="end"/>
        </w:r>
      </w:hyperlink>
    </w:p>
    <w:p>
      <w:pPr>
        <w:pStyle w:val="TOC2"/>
      </w:pPr>
      <w:hyperlink w:anchor="_Toc300000970" w:history="1">
        <w:r>
          <w:rPr>
            <w:noProof/>
          </w:rPr>
          <w:t xml:space="preserve">ANNEX 29-B PARTY-SPECIFIC DEFINITIONS</w:t>
        </w:r>
        <w:r>
          <w:rPr>
            <w:noProof/>
            <w:webHidden/>
          </w:rPr>
          <w:tab/>
        </w:r>
        <w:r>
          <w:rPr>
            <w:noProof/>
            <w:webHidden/>
          </w:rPr>
          <w:fldChar w:fldCharType="begin"/>
        </w:r>
        <w:r>
          <w:rPr>
            <w:noProof/>
            <w:webHidden/>
          </w:rPr>
          <w:instrText xml:space="preserve"> PAGEREF _Toc300000970 \h </w:instrText>
        </w:r>
        <w:r>
          <w:rPr>
            <w:noProof/>
            <w:webHidden/>
          </w:rPr>
          <w:fldChar w:fldCharType="separate"/>
        </w:r>
        <w:r>
          <w:rPr>
            <w:noProof/>
            <w:webHidden/>
          </w:rPr>
          <w:t>1277</w:t>
        </w:r>
        <w:r>
          <w:rPr>
            <w:noProof/>
            <w:webHidden/>
          </w:rPr>
          <w:fldChar w:fldCharType="end"/>
        </w:r>
      </w:hyperlink>
    </w:p>
    <w:p>
      <w:pPr>
        <w:pStyle w:val="TOC2"/>
      </w:pPr>
      <w:hyperlink w:anchor="_Toc300000971" w:history="1">
        <w:r>
          <w:rPr>
            <w:noProof/>
          </w:rPr>
          <w:t xml:space="preserve">CHAPTER 29: CUSMA 2.0 TRANSPARENCY AND RELIANCE PROVISIONS</w:t>
        </w:r>
        <w:r>
          <w:rPr>
            <w:noProof/>
            <w:webHidden/>
          </w:rPr>
          <w:tab/>
        </w:r>
        <w:r>
          <w:rPr>
            <w:noProof/>
            <w:webHidden/>
          </w:rPr>
          <w:fldChar w:fldCharType="begin"/>
        </w:r>
        <w:r>
          <w:rPr>
            <w:noProof/>
            <w:webHidden/>
          </w:rPr>
          <w:instrText xml:space="preserve"> PAGEREF _Toc300000971 \h </w:instrText>
        </w:r>
        <w:r>
          <w:rPr>
            <w:noProof/>
            <w:webHidden/>
          </w:rPr>
          <w:fldChar w:fldCharType="separate"/>
        </w:r>
        <w:r>
          <w:rPr>
            <w:noProof/>
            <w:webHidden/>
          </w:rPr>
          <w:t>1277</w:t>
        </w:r>
        <w:r>
          <w:rPr>
            <w:noProof/>
            <w:webHidden/>
          </w:rPr>
          <w:fldChar w:fldCharType="end"/>
        </w:r>
      </w:hyperlink>
    </w:p>
    <w:p>
      <w:pPr>
        <w:pStyle w:val="TOC2"/>
      </w:pPr>
      <w:hyperlink w:anchor="_Toc300000972" w:history="1">
        <w:r>
          <w:rPr>
            <w:noProof/>
          </w:rPr>
          <w:t xml:space="preserve">Article 29.A: Treaty-Relevant Financial and Institutional Transparency</w:t>
        </w:r>
        <w:r>
          <w:rPr>
            <w:noProof/>
            <w:webHidden/>
          </w:rPr>
          <w:tab/>
        </w:r>
        <w:r>
          <w:rPr>
            <w:noProof/>
            <w:webHidden/>
          </w:rPr>
          <w:fldChar w:fldCharType="begin"/>
        </w:r>
        <w:r>
          <w:rPr>
            <w:noProof/>
            <w:webHidden/>
          </w:rPr>
          <w:instrText xml:space="preserve"> PAGEREF _Toc300000972 \h </w:instrText>
        </w:r>
        <w:r>
          <w:rPr>
            <w:noProof/>
            <w:webHidden/>
          </w:rPr>
          <w:fldChar w:fldCharType="separate"/>
        </w:r>
        <w:r>
          <w:rPr>
            <w:noProof/>
            <w:webHidden/>
          </w:rPr>
          <w:t>1277</w:t>
        </w:r>
        <w:r>
          <w:rPr>
            <w:noProof/>
            <w:webHidden/>
          </w:rPr>
          <w:fldChar w:fldCharType="end"/>
        </w:r>
      </w:hyperlink>
    </w:p>
    <w:p>
      <w:pPr>
        <w:pStyle w:val="TOC2"/>
      </w:pPr>
      <w:hyperlink w:anchor="_Toc300000973" w:history="1">
        <w:r>
          <w:rPr>
            <w:noProof/>
          </w:rPr>
          <w:t xml:space="preserve">Article 29.B: Dispute and Trade-Action Transparency</w:t>
        </w:r>
        <w:r>
          <w:rPr>
            <w:noProof/>
            <w:webHidden/>
          </w:rPr>
          <w:tab/>
        </w:r>
        <w:r>
          <w:rPr>
            <w:noProof/>
            <w:webHidden/>
          </w:rPr>
          <w:fldChar w:fldCharType="begin"/>
        </w:r>
        <w:r>
          <w:rPr>
            <w:noProof/>
            <w:webHidden/>
          </w:rPr>
          <w:instrText xml:space="preserve"> PAGEREF _Toc300000973 \h </w:instrText>
        </w:r>
        <w:r>
          <w:rPr>
            <w:noProof/>
            <w:webHidden/>
          </w:rPr>
          <w:fldChar w:fldCharType="separate"/>
        </w:r>
        <w:r>
          <w:rPr>
            <w:noProof/>
            <w:webHidden/>
          </w:rPr>
          <w:t>1277</w:t>
        </w:r>
        <w:r>
          <w:rPr>
            <w:noProof/>
            <w:webHidden/>
          </w:rPr>
          <w:fldChar w:fldCharType="end"/>
        </w:r>
      </w:hyperlink>
    </w:p>
    <w:p>
      <w:pPr>
        <w:pStyle w:val="TOC2"/>
      </w:pPr>
      <w:hyperlink w:anchor="_Toc300000974" w:history="1">
        <w:r>
          <w:rPr>
            <w:noProof/>
          </w:rPr>
          <w:t xml:space="preserve">Article 29.C: Reliance on Advance Customs and Administrative Rulings</w:t>
        </w:r>
        <w:r>
          <w:rPr>
            <w:noProof/>
            <w:webHidden/>
          </w:rPr>
          <w:tab/>
        </w:r>
        <w:r>
          <w:rPr>
            <w:noProof/>
            <w:webHidden/>
          </w:rPr>
          <w:fldChar w:fldCharType="begin"/>
        </w:r>
        <w:r>
          <w:rPr>
            <w:noProof/>
            <w:webHidden/>
          </w:rPr>
          <w:instrText xml:space="preserve"> PAGEREF _Toc300000974 \h </w:instrText>
        </w:r>
        <w:r>
          <w:rPr>
            <w:noProof/>
            <w:webHidden/>
          </w:rPr>
          <w:fldChar w:fldCharType="separate"/>
        </w:r>
        <w:r>
          <w:rPr>
            <w:noProof/>
            <w:webHidden/>
          </w:rPr>
          <w:t>1278</w:t>
        </w:r>
        <w:r>
          <w:rPr>
            <w:noProof/>
            <w:webHidden/>
          </w:rPr>
          <w:fldChar w:fldCharType="end"/>
        </w:r>
      </w:hyperlink>
    </w:p>
    <w:p>
      <w:pPr>
        <w:pStyle w:val="TOC1"/>
      </w:pPr>
      <w:hyperlink w:anchor="_Toc300000975" w:history="1">
        <w:r>
          <w:rPr>
            <w:noProof/>
          </w:rPr>
          <w:t xml:space="preserve">CHAPTER 30 ADMINISTRATIVE AND INSTITUTIONAL PROVISIONS</w:t>
        </w:r>
        <w:r>
          <w:rPr>
            <w:noProof/>
            <w:webHidden/>
          </w:rPr>
          <w:tab/>
        </w:r>
        <w:r>
          <w:rPr>
            <w:noProof/>
            <w:webHidden/>
          </w:rPr>
          <w:fldChar w:fldCharType="begin"/>
        </w:r>
        <w:r>
          <w:rPr>
            <w:noProof/>
            <w:webHidden/>
          </w:rPr>
          <w:instrText xml:space="preserve"> PAGEREF _Toc300000975 \h </w:instrText>
        </w:r>
        <w:r>
          <w:rPr>
            <w:noProof/>
            <w:webHidden/>
          </w:rPr>
          <w:fldChar w:fldCharType="separate"/>
        </w:r>
        <w:r>
          <w:rPr>
            <w:noProof/>
            <w:webHidden/>
          </w:rPr>
          <w:t>1279</w:t>
        </w:r>
        <w:r>
          <w:rPr>
            <w:noProof/>
            <w:webHidden/>
          </w:rPr>
          <w:fldChar w:fldCharType="end"/>
        </w:r>
      </w:hyperlink>
    </w:p>
    <w:p>
      <w:pPr>
        <w:pStyle w:val="TOC2"/>
      </w:pPr>
      <w:hyperlink w:anchor="_Toc300000976" w:history="1">
        <w:r>
          <w:rPr>
            <w:noProof/>
          </w:rPr>
          <w:t xml:space="preserve">Article 30.1: Establishment of the Free Trade Commission</w:t>
        </w:r>
        <w:r>
          <w:rPr>
            <w:noProof/>
            <w:webHidden/>
          </w:rPr>
          <w:tab/>
        </w:r>
        <w:r>
          <w:rPr>
            <w:noProof/>
            <w:webHidden/>
          </w:rPr>
          <w:fldChar w:fldCharType="begin"/>
        </w:r>
        <w:r>
          <w:rPr>
            <w:noProof/>
            <w:webHidden/>
          </w:rPr>
          <w:instrText xml:space="preserve"> PAGEREF _Toc300000976 \h </w:instrText>
        </w:r>
        <w:r>
          <w:rPr>
            <w:noProof/>
            <w:webHidden/>
          </w:rPr>
          <w:fldChar w:fldCharType="separate"/>
        </w:r>
        <w:r>
          <w:rPr>
            <w:noProof/>
            <w:webHidden/>
          </w:rPr>
          <w:t>1279</w:t>
        </w:r>
        <w:r>
          <w:rPr>
            <w:noProof/>
            <w:webHidden/>
          </w:rPr>
          <w:fldChar w:fldCharType="end"/>
        </w:r>
      </w:hyperlink>
    </w:p>
    <w:p>
      <w:pPr>
        <w:pStyle w:val="TOC2"/>
      </w:pPr>
      <w:hyperlink w:anchor="_Toc300000977" w:history="1">
        <w:r>
          <w:rPr>
            <w:noProof/>
          </w:rPr>
          <w:t xml:space="preserve">Article 30.2: Functions of the Commission</w:t>
        </w:r>
        <w:r>
          <w:rPr>
            <w:noProof/>
            <w:webHidden/>
          </w:rPr>
          <w:tab/>
        </w:r>
        <w:r>
          <w:rPr>
            <w:noProof/>
            <w:webHidden/>
          </w:rPr>
          <w:fldChar w:fldCharType="begin"/>
        </w:r>
        <w:r>
          <w:rPr>
            <w:noProof/>
            <w:webHidden/>
          </w:rPr>
          <w:instrText xml:space="preserve"> PAGEREF _Toc300000977 \h </w:instrText>
        </w:r>
        <w:r>
          <w:rPr>
            <w:noProof/>
            <w:webHidden/>
          </w:rPr>
          <w:fldChar w:fldCharType="separate"/>
        </w:r>
        <w:r>
          <w:rPr>
            <w:noProof/>
            <w:webHidden/>
          </w:rPr>
          <w:t>1279</w:t>
        </w:r>
        <w:r>
          <w:rPr>
            <w:noProof/>
            <w:webHidden/>
          </w:rPr>
          <w:fldChar w:fldCharType="end"/>
        </w:r>
      </w:hyperlink>
    </w:p>
    <w:p>
      <w:pPr>
        <w:pStyle w:val="TOC2"/>
      </w:pPr>
      <w:hyperlink w:anchor="_Toc300000978" w:history="1">
        <w:r>
          <w:rPr>
            <w:noProof/>
          </w:rPr>
          <w:t xml:space="preserve">Article 30.3: Decision-Making</w:t>
        </w:r>
        <w:r>
          <w:rPr>
            <w:noProof/>
            <w:webHidden/>
          </w:rPr>
          <w:tab/>
        </w:r>
        <w:r>
          <w:rPr>
            <w:noProof/>
            <w:webHidden/>
          </w:rPr>
          <w:fldChar w:fldCharType="begin"/>
        </w:r>
        <w:r>
          <w:rPr>
            <w:noProof/>
            <w:webHidden/>
          </w:rPr>
          <w:instrText xml:space="preserve"> PAGEREF _Toc300000978 \h </w:instrText>
        </w:r>
        <w:r>
          <w:rPr>
            <w:noProof/>
            <w:webHidden/>
          </w:rPr>
          <w:fldChar w:fldCharType="separate"/>
        </w:r>
        <w:r>
          <w:rPr>
            <w:noProof/>
            <w:webHidden/>
          </w:rPr>
          <w:t>1280</w:t>
        </w:r>
        <w:r>
          <w:rPr>
            <w:noProof/>
            <w:webHidden/>
          </w:rPr>
          <w:fldChar w:fldCharType="end"/>
        </w:r>
      </w:hyperlink>
    </w:p>
    <w:p>
      <w:pPr>
        <w:pStyle w:val="TOC2"/>
      </w:pPr>
      <w:hyperlink w:anchor="_Toc300000979" w:history="1">
        <w:r>
          <w:rPr>
            <w:noProof/>
          </w:rPr>
          <w:t xml:space="preserve">Article 30.4: Rules of Procedure of the Commission and Subsidiary Bodies</w:t>
        </w:r>
        <w:r>
          <w:rPr>
            <w:noProof/>
            <w:webHidden/>
          </w:rPr>
          <w:tab/>
        </w:r>
        <w:r>
          <w:rPr>
            <w:noProof/>
            <w:webHidden/>
          </w:rPr>
          <w:fldChar w:fldCharType="begin"/>
        </w:r>
        <w:r>
          <w:rPr>
            <w:noProof/>
            <w:webHidden/>
          </w:rPr>
          <w:instrText xml:space="preserve"> PAGEREF _Toc300000979 \h </w:instrText>
        </w:r>
        <w:r>
          <w:rPr>
            <w:noProof/>
            <w:webHidden/>
          </w:rPr>
          <w:fldChar w:fldCharType="separate"/>
        </w:r>
        <w:r>
          <w:rPr>
            <w:noProof/>
            <w:webHidden/>
          </w:rPr>
          <w:t>1280</w:t>
        </w:r>
        <w:r>
          <w:rPr>
            <w:noProof/>
            <w:webHidden/>
          </w:rPr>
          <w:fldChar w:fldCharType="end"/>
        </w:r>
      </w:hyperlink>
    </w:p>
    <w:p>
      <w:pPr>
        <w:pStyle w:val="TOC2"/>
      </w:pPr>
      <w:hyperlink w:anchor="_Toc300000980" w:history="1">
        <w:r>
          <w:rPr>
            <w:noProof/>
          </w:rPr>
          <w:t xml:space="preserve">Article 30.5: Agreement Coordinator and Contact Points</w:t>
        </w:r>
        <w:r>
          <w:rPr>
            <w:noProof/>
            <w:webHidden/>
          </w:rPr>
          <w:tab/>
        </w:r>
        <w:r>
          <w:rPr>
            <w:noProof/>
            <w:webHidden/>
          </w:rPr>
          <w:fldChar w:fldCharType="begin"/>
        </w:r>
        <w:r>
          <w:rPr>
            <w:noProof/>
            <w:webHidden/>
          </w:rPr>
          <w:instrText xml:space="preserve"> PAGEREF _Toc300000980 \h </w:instrText>
        </w:r>
        <w:r>
          <w:rPr>
            <w:noProof/>
            <w:webHidden/>
          </w:rPr>
          <w:fldChar w:fldCharType="separate"/>
        </w:r>
        <w:r>
          <w:rPr>
            <w:noProof/>
            <w:webHidden/>
          </w:rPr>
          <w:t>1280</w:t>
        </w:r>
        <w:r>
          <w:rPr>
            <w:noProof/>
            <w:webHidden/>
          </w:rPr>
          <w:fldChar w:fldCharType="end"/>
        </w:r>
      </w:hyperlink>
    </w:p>
    <w:p>
      <w:pPr>
        <w:pStyle w:val="TOC2"/>
      </w:pPr>
      <w:hyperlink w:anchor="_Toc300000981" w:history="1">
        <w:r>
          <w:rPr>
            <w:noProof/>
          </w:rPr>
          <w:t xml:space="preserve">Article 30.6: The Secretariat</w:t>
        </w:r>
        <w:r>
          <w:rPr>
            <w:noProof/>
            <w:webHidden/>
          </w:rPr>
          <w:tab/>
        </w:r>
        <w:r>
          <w:rPr>
            <w:noProof/>
            <w:webHidden/>
          </w:rPr>
          <w:fldChar w:fldCharType="begin"/>
        </w:r>
        <w:r>
          <w:rPr>
            <w:noProof/>
            <w:webHidden/>
          </w:rPr>
          <w:instrText xml:space="preserve"> PAGEREF _Toc300000981 \h </w:instrText>
        </w:r>
        <w:r>
          <w:rPr>
            <w:noProof/>
            <w:webHidden/>
          </w:rPr>
          <w:fldChar w:fldCharType="separate"/>
        </w:r>
        <w:r>
          <w:rPr>
            <w:noProof/>
            <w:webHidden/>
          </w:rPr>
          <w:t>1280</w:t>
        </w:r>
        <w:r>
          <w:rPr>
            <w:noProof/>
            <w:webHidden/>
          </w:rPr>
          <w:fldChar w:fldCharType="end"/>
        </w:r>
      </w:hyperlink>
    </w:p>
    <w:p>
      <w:pPr>
        <w:pStyle w:val="TOC2"/>
      </w:pPr>
      <w:hyperlink w:anchor="_Toc300000982" w:history="1">
        <w:r>
          <w:rPr>
            <w:noProof/>
          </w:rPr>
          <w:t xml:space="preserve">CHAPTER 30: CUSMA 2.0 MODERNIZATION PROVISIONS</w:t>
        </w:r>
        <w:r>
          <w:rPr>
            <w:noProof/>
            <w:webHidden/>
          </w:rPr>
          <w:tab/>
        </w:r>
        <w:r>
          <w:rPr>
            <w:noProof/>
            <w:webHidden/>
          </w:rPr>
          <w:fldChar w:fldCharType="begin"/>
        </w:r>
        <w:r>
          <w:rPr>
            <w:noProof/>
            <w:webHidden/>
          </w:rPr>
          <w:instrText xml:space="preserve"> PAGEREF _Toc300000982 \h </w:instrText>
        </w:r>
        <w:r>
          <w:rPr>
            <w:noProof/>
            <w:webHidden/>
          </w:rPr>
          <w:fldChar w:fldCharType="separate"/>
        </w:r>
        <w:r>
          <w:rPr>
            <w:noProof/>
            <w:webHidden/>
          </w:rPr>
          <w:t>1281</w:t>
        </w:r>
        <w:r>
          <w:rPr>
            <w:noProof/>
            <w:webHidden/>
          </w:rPr>
          <w:fldChar w:fldCharType="end"/>
        </w:r>
      </w:hyperlink>
    </w:p>
    <w:p>
      <w:pPr>
        <w:pStyle w:val="TOC2"/>
      </w:pPr>
      <w:hyperlink w:anchor="_Toc300000983" w:history="1">
        <w:r>
          <w:rPr>
            <w:noProof/>
          </w:rPr>
          <w:t xml:space="preserve">Article 30.A: Institutional Architecture, Consolidated Structure</w:t>
        </w:r>
        <w:r>
          <w:rPr>
            <w:noProof/>
            <w:webHidden/>
          </w:rPr>
          <w:tab/>
        </w:r>
        <w:r>
          <w:rPr>
            <w:noProof/>
            <w:webHidden/>
          </w:rPr>
          <w:fldChar w:fldCharType="begin"/>
        </w:r>
        <w:r>
          <w:rPr>
            <w:noProof/>
            <w:webHidden/>
          </w:rPr>
          <w:instrText xml:space="preserve"> PAGEREF _Toc300000983 \h </w:instrText>
        </w:r>
        <w:r>
          <w:rPr>
            <w:noProof/>
            <w:webHidden/>
          </w:rPr>
          <w:fldChar w:fldCharType="separate"/>
        </w:r>
        <w:r>
          <w:rPr>
            <w:noProof/>
            <w:webHidden/>
          </w:rPr>
          <w:t>1281</w:t>
        </w:r>
        <w:r>
          <w:rPr>
            <w:noProof/>
            <w:webHidden/>
          </w:rPr>
          <w:fldChar w:fldCharType="end"/>
        </w:r>
      </w:hyperlink>
    </w:p>
    <w:p>
      <w:pPr>
        <w:pStyle w:val="TOC2"/>
      </w:pPr>
      <w:hyperlink w:anchor="_Toc300000984" w:history="1">
        <w:r>
          <w:rPr>
            <w:noProof/>
          </w:rPr>
          <w:t xml:space="preserve">Article 30.B: Secretariat Functions</w:t>
        </w:r>
        <w:r>
          <w:rPr>
            <w:noProof/>
            <w:webHidden/>
          </w:rPr>
          <w:tab/>
        </w:r>
        <w:r>
          <w:rPr>
            <w:noProof/>
            <w:webHidden/>
          </w:rPr>
          <w:fldChar w:fldCharType="begin"/>
        </w:r>
        <w:r>
          <w:rPr>
            <w:noProof/>
            <w:webHidden/>
          </w:rPr>
          <w:instrText xml:space="preserve"> PAGEREF _Toc300000984 \h </w:instrText>
        </w:r>
        <w:r>
          <w:rPr>
            <w:noProof/>
            <w:webHidden/>
          </w:rPr>
          <w:fldChar w:fldCharType="separate"/>
        </w:r>
        <w:r>
          <w:rPr>
            <w:noProof/>
            <w:webHidden/>
          </w:rPr>
          <w:t>1282</w:t>
        </w:r>
        <w:r>
          <w:rPr>
            <w:noProof/>
            <w:webHidden/>
          </w:rPr>
          <w:fldChar w:fldCharType="end"/>
        </w:r>
      </w:hyperlink>
    </w:p>
    <w:p>
      <w:pPr>
        <w:pStyle w:val="TOC2"/>
      </w:pPr>
      <w:hyperlink w:anchor="_Toc300000985" w:history="1">
        <w:r>
          <w:rPr>
            <w:noProof/>
          </w:rPr>
          <w:t xml:space="preserve">Article 30.C: Institutional Deadlines and Anti-Deadlock</w:t>
        </w:r>
        <w:r>
          <w:rPr>
            <w:noProof/>
            <w:webHidden/>
          </w:rPr>
          <w:tab/>
        </w:r>
        <w:r>
          <w:rPr>
            <w:noProof/>
            <w:webHidden/>
          </w:rPr>
          <w:fldChar w:fldCharType="begin"/>
        </w:r>
        <w:r>
          <w:rPr>
            <w:noProof/>
            <w:webHidden/>
          </w:rPr>
          <w:instrText xml:space="preserve"> PAGEREF _Toc300000985 \h </w:instrText>
        </w:r>
        <w:r>
          <w:rPr>
            <w:noProof/>
            <w:webHidden/>
          </w:rPr>
          <w:fldChar w:fldCharType="separate"/>
        </w:r>
        <w:r>
          <w:rPr>
            <w:noProof/>
            <w:webHidden/>
          </w:rPr>
          <w:t>1282</w:t>
        </w:r>
        <w:r>
          <w:rPr>
            <w:noProof/>
            <w:webHidden/>
          </w:rPr>
          <w:fldChar w:fldCharType="end"/>
        </w:r>
      </w:hyperlink>
    </w:p>
    <w:p>
      <w:pPr>
        <w:pStyle w:val="TOC2"/>
      </w:pPr>
      <w:hyperlink w:anchor="_Toc300000986" w:history="1">
        <w:r>
          <w:rPr>
            <w:noProof/>
          </w:rPr>
          <w:t xml:space="preserve">Article 30.C.1: No-Unnecessary-Institution Rule</w:t>
        </w:r>
        <w:r>
          <w:rPr>
            <w:noProof/>
            <w:webHidden/>
          </w:rPr>
          <w:tab/>
        </w:r>
        <w:r>
          <w:rPr>
            <w:noProof/>
            <w:webHidden/>
          </w:rPr>
          <w:fldChar w:fldCharType="begin"/>
        </w:r>
        <w:r>
          <w:rPr>
            <w:noProof/>
            <w:webHidden/>
          </w:rPr>
          <w:instrText xml:space="preserve"> PAGEREF _Toc300000986 \h </w:instrText>
        </w:r>
        <w:r>
          <w:rPr>
            <w:noProof/>
            <w:webHidden/>
          </w:rPr>
          <w:fldChar w:fldCharType="separate"/>
        </w:r>
        <w:r>
          <w:rPr>
            <w:noProof/>
            <w:webHidden/>
          </w:rPr>
          <w:t>1282</w:t>
        </w:r>
        <w:r>
          <w:rPr>
            <w:noProof/>
            <w:webHidden/>
          </w:rPr>
          <w:fldChar w:fldCharType="end"/>
        </w:r>
      </w:hyperlink>
    </w:p>
    <w:p>
      <w:pPr>
        <w:pStyle w:val="TOC1"/>
      </w:pPr>
      <w:hyperlink w:anchor="_Toc300000987" w:history="1">
        <w:r>
          <w:rPr>
            <w:noProof/>
          </w:rPr>
          <w:t xml:space="preserve">CHAPTER 31 DISPUTE SETTLEMENT Section A: Dispute Settlement</w:t>
        </w:r>
        <w:r>
          <w:rPr>
            <w:noProof/>
            <w:webHidden/>
          </w:rPr>
          <w:tab/>
        </w:r>
        <w:r>
          <w:rPr>
            <w:noProof/>
            <w:webHidden/>
          </w:rPr>
          <w:fldChar w:fldCharType="begin"/>
        </w:r>
        <w:r>
          <w:rPr>
            <w:noProof/>
            <w:webHidden/>
          </w:rPr>
          <w:instrText xml:space="preserve"> PAGEREF _Toc300000987 \h </w:instrText>
        </w:r>
        <w:r>
          <w:rPr>
            <w:noProof/>
            <w:webHidden/>
          </w:rPr>
          <w:fldChar w:fldCharType="separate"/>
        </w:r>
        <w:r>
          <w:rPr>
            <w:noProof/>
            <w:webHidden/>
          </w:rPr>
          <w:t>1284</w:t>
        </w:r>
        <w:r>
          <w:rPr>
            <w:noProof/>
            <w:webHidden/>
          </w:rPr>
          <w:fldChar w:fldCharType="end"/>
        </w:r>
      </w:hyperlink>
    </w:p>
    <w:p>
      <w:pPr>
        <w:pStyle w:val="TOC2"/>
      </w:pPr>
      <w:hyperlink w:anchor="_Toc300000988" w:history="1">
        <w:r>
          <w:rPr>
            <w:noProof/>
          </w:rPr>
          <w:t xml:space="preserve">Article 31.1: Cooperation</w:t>
        </w:r>
        <w:r>
          <w:rPr>
            <w:noProof/>
            <w:webHidden/>
          </w:rPr>
          <w:tab/>
        </w:r>
        <w:r>
          <w:rPr>
            <w:noProof/>
            <w:webHidden/>
          </w:rPr>
          <w:fldChar w:fldCharType="begin"/>
        </w:r>
        <w:r>
          <w:rPr>
            <w:noProof/>
            <w:webHidden/>
          </w:rPr>
          <w:instrText xml:space="preserve"> PAGEREF _Toc300000988 \h </w:instrText>
        </w:r>
        <w:r>
          <w:rPr>
            <w:noProof/>
            <w:webHidden/>
          </w:rPr>
          <w:fldChar w:fldCharType="separate"/>
        </w:r>
        <w:r>
          <w:rPr>
            <w:noProof/>
            <w:webHidden/>
          </w:rPr>
          <w:t>1284</w:t>
        </w:r>
        <w:r>
          <w:rPr>
            <w:noProof/>
            <w:webHidden/>
          </w:rPr>
          <w:fldChar w:fldCharType="end"/>
        </w:r>
      </w:hyperlink>
    </w:p>
    <w:p>
      <w:pPr>
        <w:pStyle w:val="TOC2"/>
      </w:pPr>
      <w:hyperlink w:anchor="_Toc300000989" w:history="1">
        <w:r>
          <w:rPr>
            <w:noProof/>
          </w:rPr>
          <w:t xml:space="preserve">Article 31.2: Scope</w:t>
        </w:r>
        <w:r>
          <w:rPr>
            <w:noProof/>
            <w:webHidden/>
          </w:rPr>
          <w:tab/>
        </w:r>
        <w:r>
          <w:rPr>
            <w:noProof/>
            <w:webHidden/>
          </w:rPr>
          <w:fldChar w:fldCharType="begin"/>
        </w:r>
        <w:r>
          <w:rPr>
            <w:noProof/>
            <w:webHidden/>
          </w:rPr>
          <w:instrText xml:space="preserve"> PAGEREF _Toc300000989 \h </w:instrText>
        </w:r>
        <w:r>
          <w:rPr>
            <w:noProof/>
            <w:webHidden/>
          </w:rPr>
          <w:fldChar w:fldCharType="separate"/>
        </w:r>
        <w:r>
          <w:rPr>
            <w:noProof/>
            <w:webHidden/>
          </w:rPr>
          <w:t>1284</w:t>
        </w:r>
        <w:r>
          <w:rPr>
            <w:noProof/>
            <w:webHidden/>
          </w:rPr>
          <w:fldChar w:fldCharType="end"/>
        </w:r>
      </w:hyperlink>
    </w:p>
    <w:p>
      <w:pPr>
        <w:pStyle w:val="TOC2"/>
      </w:pPr>
      <w:hyperlink w:anchor="_Toc300000990" w:history="1">
        <w:r>
          <w:rPr>
            <w:noProof/>
          </w:rPr>
          <w:t xml:space="preserve">Article 31.3: Choice of Forum</w:t>
        </w:r>
        <w:r>
          <w:rPr>
            <w:noProof/>
            <w:webHidden/>
          </w:rPr>
          <w:tab/>
        </w:r>
        <w:r>
          <w:rPr>
            <w:noProof/>
            <w:webHidden/>
          </w:rPr>
          <w:fldChar w:fldCharType="begin"/>
        </w:r>
        <w:r>
          <w:rPr>
            <w:noProof/>
            <w:webHidden/>
          </w:rPr>
          <w:instrText xml:space="preserve"> PAGEREF _Toc300000990 \h </w:instrText>
        </w:r>
        <w:r>
          <w:rPr>
            <w:noProof/>
            <w:webHidden/>
          </w:rPr>
          <w:fldChar w:fldCharType="separate"/>
        </w:r>
        <w:r>
          <w:rPr>
            <w:noProof/>
            <w:webHidden/>
          </w:rPr>
          <w:t>1284</w:t>
        </w:r>
        <w:r>
          <w:rPr>
            <w:noProof/>
            <w:webHidden/>
          </w:rPr>
          <w:fldChar w:fldCharType="end"/>
        </w:r>
      </w:hyperlink>
    </w:p>
    <w:p>
      <w:pPr>
        <w:pStyle w:val="TOC2"/>
      </w:pPr>
      <w:hyperlink w:anchor="_Toc300000991" w:history="1">
        <w:r>
          <w:rPr>
            <w:noProof/>
          </w:rPr>
          <w:t xml:space="preserve">Article 31.4: Consultations</w:t>
        </w:r>
        <w:r>
          <w:rPr>
            <w:noProof/>
            <w:webHidden/>
          </w:rPr>
          <w:tab/>
        </w:r>
        <w:r>
          <w:rPr>
            <w:noProof/>
            <w:webHidden/>
          </w:rPr>
          <w:fldChar w:fldCharType="begin"/>
        </w:r>
        <w:r>
          <w:rPr>
            <w:noProof/>
            <w:webHidden/>
          </w:rPr>
          <w:instrText xml:space="preserve"> PAGEREF _Toc300000991 \h </w:instrText>
        </w:r>
        <w:r>
          <w:rPr>
            <w:noProof/>
            <w:webHidden/>
          </w:rPr>
          <w:fldChar w:fldCharType="separate"/>
        </w:r>
        <w:r>
          <w:rPr>
            <w:noProof/>
            <w:webHidden/>
          </w:rPr>
          <w:t>1284</w:t>
        </w:r>
        <w:r>
          <w:rPr>
            <w:noProof/>
            <w:webHidden/>
          </w:rPr>
          <w:fldChar w:fldCharType="end"/>
        </w:r>
      </w:hyperlink>
    </w:p>
    <w:p>
      <w:pPr>
        <w:pStyle w:val="TOC2"/>
      </w:pPr>
      <w:hyperlink w:anchor="_Toc300000992" w:history="1">
        <w:r>
          <w:rPr>
            <w:noProof/>
          </w:rPr>
          <w:t xml:space="preserve">Article 31.5: Commission, Good Offices, Conciliation, and Mediation</w:t>
        </w:r>
        <w:r>
          <w:rPr>
            <w:noProof/>
            <w:webHidden/>
          </w:rPr>
          <w:tab/>
        </w:r>
        <w:r>
          <w:rPr>
            <w:noProof/>
            <w:webHidden/>
          </w:rPr>
          <w:fldChar w:fldCharType="begin"/>
        </w:r>
        <w:r>
          <w:rPr>
            <w:noProof/>
            <w:webHidden/>
          </w:rPr>
          <w:instrText xml:space="preserve"> PAGEREF _Toc300000992 \h </w:instrText>
        </w:r>
        <w:r>
          <w:rPr>
            <w:noProof/>
            <w:webHidden/>
          </w:rPr>
          <w:fldChar w:fldCharType="separate"/>
        </w:r>
        <w:r>
          <w:rPr>
            <w:noProof/>
            <w:webHidden/>
          </w:rPr>
          <w:t>1285</w:t>
        </w:r>
        <w:r>
          <w:rPr>
            <w:noProof/>
            <w:webHidden/>
          </w:rPr>
          <w:fldChar w:fldCharType="end"/>
        </w:r>
      </w:hyperlink>
    </w:p>
    <w:p>
      <w:pPr>
        <w:pStyle w:val="TOC2"/>
      </w:pPr>
      <w:hyperlink w:anchor="_Toc300000993" w:history="1">
        <w:r>
          <w:rPr>
            <w:noProof/>
          </w:rPr>
          <w:t xml:space="preserve">Article 31.6: Establishment of a Panel</w:t>
        </w:r>
        <w:r>
          <w:rPr>
            <w:noProof/>
            <w:webHidden/>
          </w:rPr>
          <w:tab/>
        </w:r>
        <w:r>
          <w:rPr>
            <w:noProof/>
            <w:webHidden/>
          </w:rPr>
          <w:fldChar w:fldCharType="begin"/>
        </w:r>
        <w:r>
          <w:rPr>
            <w:noProof/>
            <w:webHidden/>
          </w:rPr>
          <w:instrText xml:space="preserve"> PAGEREF _Toc300000993 \h </w:instrText>
        </w:r>
        <w:r>
          <w:rPr>
            <w:noProof/>
            <w:webHidden/>
          </w:rPr>
          <w:fldChar w:fldCharType="separate"/>
        </w:r>
        <w:r>
          <w:rPr>
            <w:noProof/>
            <w:webHidden/>
          </w:rPr>
          <w:t>1286</w:t>
        </w:r>
        <w:r>
          <w:rPr>
            <w:noProof/>
            <w:webHidden/>
          </w:rPr>
          <w:fldChar w:fldCharType="end"/>
        </w:r>
      </w:hyperlink>
    </w:p>
    <w:p>
      <w:pPr>
        <w:pStyle w:val="TOC2"/>
      </w:pPr>
      <w:hyperlink w:anchor="_Toc300000994" w:history="1">
        <w:r>
          <w:rPr>
            <w:noProof/>
          </w:rPr>
          <w:t xml:space="preserve">Article 31.7: Terms of Reference</w:t>
        </w:r>
        <w:r>
          <w:rPr>
            <w:noProof/>
            <w:webHidden/>
          </w:rPr>
          <w:tab/>
        </w:r>
        <w:r>
          <w:rPr>
            <w:noProof/>
            <w:webHidden/>
          </w:rPr>
          <w:fldChar w:fldCharType="begin"/>
        </w:r>
        <w:r>
          <w:rPr>
            <w:noProof/>
            <w:webHidden/>
          </w:rPr>
          <w:instrText xml:space="preserve"> PAGEREF _Toc300000994 \h </w:instrText>
        </w:r>
        <w:r>
          <w:rPr>
            <w:noProof/>
            <w:webHidden/>
          </w:rPr>
          <w:fldChar w:fldCharType="separate"/>
        </w:r>
        <w:r>
          <w:rPr>
            <w:noProof/>
            <w:webHidden/>
          </w:rPr>
          <w:t>1287</w:t>
        </w:r>
        <w:r>
          <w:rPr>
            <w:noProof/>
            <w:webHidden/>
          </w:rPr>
          <w:fldChar w:fldCharType="end"/>
        </w:r>
      </w:hyperlink>
    </w:p>
    <w:p>
      <w:pPr>
        <w:pStyle w:val="TOC2"/>
      </w:pPr>
      <w:hyperlink w:anchor="_Toc300000995" w:history="1">
        <w:r>
          <w:rPr>
            <w:noProof/>
          </w:rPr>
          <w:t xml:space="preserve">Article 31.8: Roster and Qualifications of Panelists</w:t>
        </w:r>
        <w:r>
          <w:rPr>
            <w:noProof/>
            <w:webHidden/>
          </w:rPr>
          <w:tab/>
        </w:r>
        <w:r>
          <w:rPr>
            <w:noProof/>
            <w:webHidden/>
          </w:rPr>
          <w:fldChar w:fldCharType="begin"/>
        </w:r>
        <w:r>
          <w:rPr>
            <w:noProof/>
            <w:webHidden/>
          </w:rPr>
          <w:instrText xml:space="preserve"> PAGEREF _Toc300000995 \h </w:instrText>
        </w:r>
        <w:r>
          <w:rPr>
            <w:noProof/>
            <w:webHidden/>
          </w:rPr>
          <w:fldChar w:fldCharType="separate"/>
        </w:r>
        <w:r>
          <w:rPr>
            <w:noProof/>
            <w:webHidden/>
          </w:rPr>
          <w:t>1287</w:t>
        </w:r>
        <w:r>
          <w:rPr>
            <w:noProof/>
            <w:webHidden/>
          </w:rPr>
          <w:fldChar w:fldCharType="end"/>
        </w:r>
      </w:hyperlink>
    </w:p>
    <w:p>
      <w:pPr>
        <w:pStyle w:val="TOC2"/>
      </w:pPr>
      <w:hyperlink w:anchor="_Toc300000996" w:history="1">
        <w:r>
          <w:rPr>
            <w:noProof/>
          </w:rPr>
          <w:t xml:space="preserve">Article 31.9: Panel Composition</w:t>
        </w:r>
        <w:r>
          <w:rPr>
            <w:noProof/>
            <w:webHidden/>
          </w:rPr>
          <w:tab/>
        </w:r>
        <w:r>
          <w:rPr>
            <w:noProof/>
            <w:webHidden/>
          </w:rPr>
          <w:fldChar w:fldCharType="begin"/>
        </w:r>
        <w:r>
          <w:rPr>
            <w:noProof/>
            <w:webHidden/>
          </w:rPr>
          <w:instrText xml:space="preserve"> PAGEREF _Toc300000996 \h </w:instrText>
        </w:r>
        <w:r>
          <w:rPr>
            <w:noProof/>
            <w:webHidden/>
          </w:rPr>
          <w:fldChar w:fldCharType="separate"/>
        </w:r>
        <w:r>
          <w:rPr>
            <w:noProof/>
            <w:webHidden/>
          </w:rPr>
          <w:t>1287</w:t>
        </w:r>
        <w:r>
          <w:rPr>
            <w:noProof/>
            <w:webHidden/>
          </w:rPr>
          <w:fldChar w:fldCharType="end"/>
        </w:r>
      </w:hyperlink>
    </w:p>
    <w:p>
      <w:pPr>
        <w:pStyle w:val="TOC2"/>
      </w:pPr>
      <w:hyperlink w:anchor="_Toc300000997" w:history="1">
        <w:r>
          <w:rPr>
            <w:noProof/>
          </w:rPr>
          <w:t xml:space="preserve">Article 31.10: Replacement of Panelists</w:t>
        </w:r>
        <w:r>
          <w:rPr>
            <w:noProof/>
            <w:webHidden/>
          </w:rPr>
          <w:tab/>
        </w:r>
        <w:r>
          <w:rPr>
            <w:noProof/>
            <w:webHidden/>
          </w:rPr>
          <w:fldChar w:fldCharType="begin"/>
        </w:r>
        <w:r>
          <w:rPr>
            <w:noProof/>
            <w:webHidden/>
          </w:rPr>
          <w:instrText xml:space="preserve"> PAGEREF _Toc300000997 \h </w:instrText>
        </w:r>
        <w:r>
          <w:rPr>
            <w:noProof/>
            <w:webHidden/>
          </w:rPr>
          <w:fldChar w:fldCharType="separate"/>
        </w:r>
        <w:r>
          <w:rPr>
            <w:noProof/>
            <w:webHidden/>
          </w:rPr>
          <w:t>1288</w:t>
        </w:r>
        <w:r>
          <w:rPr>
            <w:noProof/>
            <w:webHidden/>
          </w:rPr>
          <w:fldChar w:fldCharType="end"/>
        </w:r>
      </w:hyperlink>
    </w:p>
    <w:p>
      <w:pPr>
        <w:pStyle w:val="TOC2"/>
      </w:pPr>
      <w:hyperlink w:anchor="_Toc300000998" w:history="1">
        <w:r>
          <w:rPr>
            <w:noProof/>
          </w:rPr>
          <w:t xml:space="preserve">Article 31.11: Rules of Procedure for Panels</w:t>
        </w:r>
        <w:r>
          <w:rPr>
            <w:noProof/>
            <w:webHidden/>
          </w:rPr>
          <w:tab/>
        </w:r>
        <w:r>
          <w:rPr>
            <w:noProof/>
            <w:webHidden/>
          </w:rPr>
          <w:fldChar w:fldCharType="begin"/>
        </w:r>
        <w:r>
          <w:rPr>
            <w:noProof/>
            <w:webHidden/>
          </w:rPr>
          <w:instrText xml:space="preserve"> PAGEREF _Toc300000998 \h </w:instrText>
        </w:r>
        <w:r>
          <w:rPr>
            <w:noProof/>
            <w:webHidden/>
          </w:rPr>
          <w:fldChar w:fldCharType="separate"/>
        </w:r>
        <w:r>
          <w:rPr>
            <w:noProof/>
            <w:webHidden/>
          </w:rPr>
          <w:t>1289</w:t>
        </w:r>
        <w:r>
          <w:rPr>
            <w:noProof/>
            <w:webHidden/>
          </w:rPr>
          <w:fldChar w:fldCharType="end"/>
        </w:r>
      </w:hyperlink>
    </w:p>
    <w:p>
      <w:pPr>
        <w:pStyle w:val="TOC2"/>
      </w:pPr>
      <w:hyperlink w:anchor="_Toc300000999" w:history="1">
        <w:r>
          <w:rPr>
            <w:noProof/>
          </w:rPr>
          <w:t xml:space="preserve">Article 31.12: Electronic Document Filing</w:t>
        </w:r>
        <w:r>
          <w:rPr>
            <w:noProof/>
            <w:webHidden/>
          </w:rPr>
          <w:tab/>
        </w:r>
        <w:r>
          <w:rPr>
            <w:noProof/>
            <w:webHidden/>
          </w:rPr>
          <w:fldChar w:fldCharType="begin"/>
        </w:r>
        <w:r>
          <w:rPr>
            <w:noProof/>
            <w:webHidden/>
          </w:rPr>
          <w:instrText xml:space="preserve"> PAGEREF _Toc300000999 \h </w:instrText>
        </w:r>
        <w:r>
          <w:rPr>
            <w:noProof/>
            <w:webHidden/>
          </w:rPr>
          <w:fldChar w:fldCharType="separate"/>
        </w:r>
        <w:r>
          <w:rPr>
            <w:noProof/>
            <w:webHidden/>
          </w:rPr>
          <w:t>1289</w:t>
        </w:r>
        <w:r>
          <w:rPr>
            <w:noProof/>
            <w:webHidden/>
          </w:rPr>
          <w:fldChar w:fldCharType="end"/>
        </w:r>
      </w:hyperlink>
    </w:p>
    <w:p>
      <w:pPr>
        <w:pStyle w:val="TOC2"/>
      </w:pPr>
      <w:hyperlink w:anchor="_Toc300001000" w:history="1">
        <w:r>
          <w:rPr>
            <w:noProof/>
          </w:rPr>
          <w:t xml:space="preserve">Article 31.13: Function of Panels</w:t>
        </w:r>
        <w:r>
          <w:rPr>
            <w:noProof/>
            <w:webHidden/>
          </w:rPr>
          <w:tab/>
        </w:r>
        <w:r>
          <w:rPr>
            <w:noProof/>
            <w:webHidden/>
          </w:rPr>
          <w:fldChar w:fldCharType="begin"/>
        </w:r>
        <w:r>
          <w:rPr>
            <w:noProof/>
            <w:webHidden/>
          </w:rPr>
          <w:instrText xml:space="preserve"> PAGEREF _Toc300001000 \h </w:instrText>
        </w:r>
        <w:r>
          <w:rPr>
            <w:noProof/>
            <w:webHidden/>
          </w:rPr>
          <w:fldChar w:fldCharType="separate"/>
        </w:r>
        <w:r>
          <w:rPr>
            <w:noProof/>
            <w:webHidden/>
          </w:rPr>
          <w:t>1289</w:t>
        </w:r>
        <w:r>
          <w:rPr>
            <w:noProof/>
            <w:webHidden/>
          </w:rPr>
          <w:fldChar w:fldCharType="end"/>
        </w:r>
      </w:hyperlink>
    </w:p>
    <w:p>
      <w:pPr>
        <w:pStyle w:val="TOC2"/>
      </w:pPr>
      <w:hyperlink w:anchor="_Toc300001001" w:history="1">
        <w:r>
          <w:rPr>
            <w:noProof/>
          </w:rPr>
          <w:t xml:space="preserve">Article 31.14: Third Party Participation</w:t>
        </w:r>
        <w:r>
          <w:rPr>
            <w:noProof/>
            <w:webHidden/>
          </w:rPr>
          <w:tab/>
        </w:r>
        <w:r>
          <w:rPr>
            <w:noProof/>
            <w:webHidden/>
          </w:rPr>
          <w:fldChar w:fldCharType="begin"/>
        </w:r>
        <w:r>
          <w:rPr>
            <w:noProof/>
            <w:webHidden/>
          </w:rPr>
          <w:instrText xml:space="preserve"> PAGEREF _Toc300001001 \h </w:instrText>
        </w:r>
        <w:r>
          <w:rPr>
            <w:noProof/>
            <w:webHidden/>
          </w:rPr>
          <w:fldChar w:fldCharType="separate"/>
        </w:r>
        <w:r>
          <w:rPr>
            <w:noProof/>
            <w:webHidden/>
          </w:rPr>
          <w:t>1290</w:t>
        </w:r>
        <w:r>
          <w:rPr>
            <w:noProof/>
            <w:webHidden/>
          </w:rPr>
          <w:fldChar w:fldCharType="end"/>
        </w:r>
      </w:hyperlink>
    </w:p>
    <w:p>
      <w:pPr>
        <w:pStyle w:val="TOC2"/>
      </w:pPr>
      <w:hyperlink w:anchor="_Toc300001002" w:history="1">
        <w:r>
          <w:rPr>
            <w:noProof/>
          </w:rPr>
          <w:t xml:space="preserve">Article 31.15: Role of Experts</w:t>
        </w:r>
        <w:r>
          <w:rPr>
            <w:noProof/>
            <w:webHidden/>
          </w:rPr>
          <w:tab/>
        </w:r>
        <w:r>
          <w:rPr>
            <w:noProof/>
            <w:webHidden/>
          </w:rPr>
          <w:fldChar w:fldCharType="begin"/>
        </w:r>
        <w:r>
          <w:rPr>
            <w:noProof/>
            <w:webHidden/>
          </w:rPr>
          <w:instrText xml:space="preserve"> PAGEREF _Toc300001002 \h </w:instrText>
        </w:r>
        <w:r>
          <w:rPr>
            <w:noProof/>
            <w:webHidden/>
          </w:rPr>
          <w:fldChar w:fldCharType="separate"/>
        </w:r>
        <w:r>
          <w:rPr>
            <w:noProof/>
            <w:webHidden/>
          </w:rPr>
          <w:t>1290</w:t>
        </w:r>
        <w:r>
          <w:rPr>
            <w:noProof/>
            <w:webHidden/>
          </w:rPr>
          <w:fldChar w:fldCharType="end"/>
        </w:r>
      </w:hyperlink>
    </w:p>
    <w:p>
      <w:pPr>
        <w:pStyle w:val="TOC2"/>
      </w:pPr>
      <w:hyperlink w:anchor="_Toc300001003" w:history="1">
        <w:r>
          <w:rPr>
            <w:noProof/>
          </w:rPr>
          <w:t xml:space="preserve">Article 31.16: Suspension or Termination of Proceedings</w:t>
        </w:r>
        <w:r>
          <w:rPr>
            <w:noProof/>
            <w:webHidden/>
          </w:rPr>
          <w:tab/>
        </w:r>
        <w:r>
          <w:rPr>
            <w:noProof/>
            <w:webHidden/>
          </w:rPr>
          <w:fldChar w:fldCharType="begin"/>
        </w:r>
        <w:r>
          <w:rPr>
            <w:noProof/>
            <w:webHidden/>
          </w:rPr>
          <w:instrText xml:space="preserve"> PAGEREF _Toc300001003 \h </w:instrText>
        </w:r>
        <w:r>
          <w:rPr>
            <w:noProof/>
            <w:webHidden/>
          </w:rPr>
          <w:fldChar w:fldCharType="separate"/>
        </w:r>
        <w:r>
          <w:rPr>
            <w:noProof/>
            <w:webHidden/>
          </w:rPr>
          <w:t>1290</w:t>
        </w:r>
        <w:r>
          <w:rPr>
            <w:noProof/>
            <w:webHidden/>
          </w:rPr>
          <w:fldChar w:fldCharType="end"/>
        </w:r>
      </w:hyperlink>
    </w:p>
    <w:p>
      <w:pPr>
        <w:pStyle w:val="TOC2"/>
      </w:pPr>
      <w:hyperlink w:anchor="_Toc300001004" w:history="1">
        <w:r>
          <w:rPr>
            <w:noProof/>
          </w:rPr>
          <w:t xml:space="preserve">Article 31.17: Panel Report</w:t>
        </w:r>
        <w:r>
          <w:rPr>
            <w:noProof/>
            <w:webHidden/>
          </w:rPr>
          <w:tab/>
        </w:r>
        <w:r>
          <w:rPr>
            <w:noProof/>
            <w:webHidden/>
          </w:rPr>
          <w:fldChar w:fldCharType="begin"/>
        </w:r>
        <w:r>
          <w:rPr>
            <w:noProof/>
            <w:webHidden/>
          </w:rPr>
          <w:instrText xml:space="preserve"> PAGEREF _Toc300001004 \h </w:instrText>
        </w:r>
        <w:r>
          <w:rPr>
            <w:noProof/>
            <w:webHidden/>
          </w:rPr>
          <w:fldChar w:fldCharType="separate"/>
        </w:r>
        <w:r>
          <w:rPr>
            <w:noProof/>
            <w:webHidden/>
          </w:rPr>
          <w:t>1290</w:t>
        </w:r>
        <w:r>
          <w:rPr>
            <w:noProof/>
            <w:webHidden/>
          </w:rPr>
          <w:fldChar w:fldCharType="end"/>
        </w:r>
      </w:hyperlink>
    </w:p>
    <w:p>
      <w:pPr>
        <w:pStyle w:val="TOC2"/>
      </w:pPr>
      <w:hyperlink w:anchor="_Toc300001005" w:history="1">
        <w:r>
          <w:rPr>
            <w:noProof/>
          </w:rPr>
          <w:t xml:space="preserve">Article 31.18: Implementation of Final Report</w:t>
        </w:r>
        <w:r>
          <w:rPr>
            <w:noProof/>
            <w:webHidden/>
          </w:rPr>
          <w:tab/>
        </w:r>
        <w:r>
          <w:rPr>
            <w:noProof/>
            <w:webHidden/>
          </w:rPr>
          <w:fldChar w:fldCharType="begin"/>
        </w:r>
        <w:r>
          <w:rPr>
            <w:noProof/>
            <w:webHidden/>
          </w:rPr>
          <w:instrText xml:space="preserve"> PAGEREF _Toc300001005 \h </w:instrText>
        </w:r>
        <w:r>
          <w:rPr>
            <w:noProof/>
            <w:webHidden/>
          </w:rPr>
          <w:fldChar w:fldCharType="separate"/>
        </w:r>
        <w:r>
          <w:rPr>
            <w:noProof/>
            <w:webHidden/>
          </w:rPr>
          <w:t>1291</w:t>
        </w:r>
        <w:r>
          <w:rPr>
            <w:noProof/>
            <w:webHidden/>
          </w:rPr>
          <w:fldChar w:fldCharType="end"/>
        </w:r>
      </w:hyperlink>
    </w:p>
    <w:p>
      <w:pPr>
        <w:pStyle w:val="TOC2"/>
      </w:pPr>
      <w:hyperlink w:anchor="_Toc300001006" w:history="1">
        <w:r>
          <w:rPr>
            <w:noProof/>
          </w:rPr>
          <w:t xml:space="preserve">Article 31.19: Non-Implementation – Suspension of Benefits</w:t>
        </w:r>
        <w:r>
          <w:rPr>
            <w:noProof/>
            <w:webHidden/>
          </w:rPr>
          <w:tab/>
        </w:r>
        <w:r>
          <w:rPr>
            <w:noProof/>
            <w:webHidden/>
          </w:rPr>
          <w:fldChar w:fldCharType="begin"/>
        </w:r>
        <w:r>
          <w:rPr>
            <w:noProof/>
            <w:webHidden/>
          </w:rPr>
          <w:instrText xml:space="preserve"> PAGEREF _Toc300001006 \h </w:instrText>
        </w:r>
        <w:r>
          <w:rPr>
            <w:noProof/>
            <w:webHidden/>
          </w:rPr>
          <w:fldChar w:fldCharType="separate"/>
        </w:r>
        <w:r>
          <w:rPr>
            <w:noProof/>
            <w:webHidden/>
          </w:rPr>
          <w:t>1291</w:t>
        </w:r>
        <w:r>
          <w:rPr>
            <w:noProof/>
            <w:webHidden/>
          </w:rPr>
          <w:fldChar w:fldCharType="end"/>
        </w:r>
      </w:hyperlink>
    </w:p>
    <w:p>
      <w:pPr>
        <w:pStyle w:val="TOC2"/>
      </w:pPr>
      <w:hyperlink w:anchor="_Toc300001007" w:history="1">
        <w:r>
          <w:rPr>
            <w:noProof/>
          </w:rPr>
          <w:t xml:space="preserve">Article 31.20: Referrals of Matters from Judicial or Administrative Proceedings</w:t>
        </w:r>
        <w:r>
          <w:rPr>
            <w:noProof/>
            <w:webHidden/>
          </w:rPr>
          <w:tab/>
        </w:r>
        <w:r>
          <w:rPr>
            <w:noProof/>
            <w:webHidden/>
          </w:rPr>
          <w:fldChar w:fldCharType="begin"/>
        </w:r>
        <w:r>
          <w:rPr>
            <w:noProof/>
            <w:webHidden/>
          </w:rPr>
          <w:instrText xml:space="preserve"> PAGEREF _Toc300001007 \h </w:instrText>
        </w:r>
        <w:r>
          <w:rPr>
            <w:noProof/>
            <w:webHidden/>
          </w:rPr>
          <w:fldChar w:fldCharType="separate"/>
        </w:r>
        <w:r>
          <w:rPr>
            <w:noProof/>
            <w:webHidden/>
          </w:rPr>
          <w:t>1292</w:t>
        </w:r>
        <w:r>
          <w:rPr>
            <w:noProof/>
            <w:webHidden/>
          </w:rPr>
          <w:fldChar w:fldCharType="end"/>
        </w:r>
      </w:hyperlink>
    </w:p>
    <w:p>
      <w:pPr>
        <w:pStyle w:val="TOC2"/>
      </w:pPr>
      <w:hyperlink w:anchor="_Toc300001008" w:history="1">
        <w:r>
          <w:rPr>
            <w:noProof/>
          </w:rPr>
          <w:t xml:space="preserve">Article 31.21: Private Rights</w:t>
        </w:r>
        <w:r>
          <w:rPr>
            <w:noProof/>
            <w:webHidden/>
          </w:rPr>
          <w:tab/>
        </w:r>
        <w:r>
          <w:rPr>
            <w:noProof/>
            <w:webHidden/>
          </w:rPr>
          <w:fldChar w:fldCharType="begin"/>
        </w:r>
        <w:r>
          <w:rPr>
            <w:noProof/>
            <w:webHidden/>
          </w:rPr>
          <w:instrText xml:space="preserve"> PAGEREF _Toc300001008 \h </w:instrText>
        </w:r>
        <w:r>
          <w:rPr>
            <w:noProof/>
            <w:webHidden/>
          </w:rPr>
          <w:fldChar w:fldCharType="separate"/>
        </w:r>
        <w:r>
          <w:rPr>
            <w:noProof/>
            <w:webHidden/>
          </w:rPr>
          <w:t>1292</w:t>
        </w:r>
        <w:r>
          <w:rPr>
            <w:noProof/>
            <w:webHidden/>
          </w:rPr>
          <w:fldChar w:fldCharType="end"/>
        </w:r>
      </w:hyperlink>
    </w:p>
    <w:p>
      <w:pPr>
        <w:pStyle w:val="TOC2"/>
      </w:pPr>
      <w:hyperlink w:anchor="_Toc300001009" w:history="1">
        <w:r>
          <w:rPr>
            <w:noProof/>
          </w:rPr>
          <w:t xml:space="preserve">Article 31.22: Alternative Dispute Resolution</w:t>
        </w:r>
        <w:r>
          <w:rPr>
            <w:noProof/>
            <w:webHidden/>
          </w:rPr>
          <w:tab/>
        </w:r>
        <w:r>
          <w:rPr>
            <w:noProof/>
            <w:webHidden/>
          </w:rPr>
          <w:fldChar w:fldCharType="begin"/>
        </w:r>
        <w:r>
          <w:rPr>
            <w:noProof/>
            <w:webHidden/>
          </w:rPr>
          <w:instrText xml:space="preserve"> PAGEREF _Toc300001009 \h </w:instrText>
        </w:r>
        <w:r>
          <w:rPr>
            <w:noProof/>
            <w:webHidden/>
          </w:rPr>
          <w:fldChar w:fldCharType="separate"/>
        </w:r>
        <w:r>
          <w:rPr>
            <w:noProof/>
            <w:webHidden/>
          </w:rPr>
          <w:t>1292</w:t>
        </w:r>
        <w:r>
          <w:rPr>
            <w:noProof/>
            <w:webHidden/>
          </w:rPr>
          <w:fldChar w:fldCharType="end"/>
        </w:r>
      </w:hyperlink>
    </w:p>
    <w:p>
      <w:pPr>
        <w:pStyle w:val="TOC2"/>
      </w:pPr>
      <w:hyperlink w:anchor="_Toc300001010" w:history="1">
        <w:r>
          <w:rPr>
            <w:noProof/>
          </w:rPr>
          <w:t xml:space="preserve">CHAPTER 31: CUSMA 2.0 MODERNIZATION PROVISIONS</w:t>
        </w:r>
        <w:r>
          <w:rPr>
            <w:noProof/>
            <w:webHidden/>
          </w:rPr>
          <w:tab/>
        </w:r>
        <w:r>
          <w:rPr>
            <w:noProof/>
            <w:webHidden/>
          </w:rPr>
          <w:fldChar w:fldCharType="begin"/>
        </w:r>
        <w:r>
          <w:rPr>
            <w:noProof/>
            <w:webHidden/>
          </w:rPr>
          <w:instrText xml:space="preserve"> PAGEREF _Toc300001010 \h </w:instrText>
        </w:r>
        <w:r>
          <w:rPr>
            <w:noProof/>
            <w:webHidden/>
          </w:rPr>
          <w:fldChar w:fldCharType="separate"/>
        </w:r>
        <w:r>
          <w:rPr>
            <w:noProof/>
            <w:webHidden/>
          </w:rPr>
          <w:t>1293</w:t>
        </w:r>
        <w:r>
          <w:rPr>
            <w:noProof/>
            <w:webHidden/>
          </w:rPr>
          <w:fldChar w:fldCharType="end"/>
        </w:r>
      </w:hyperlink>
    </w:p>
    <w:p>
      <w:pPr>
        <w:pStyle w:val="TOC2"/>
      </w:pPr>
      <w:hyperlink w:anchor="_Toc300001011" w:history="1">
        <w:r>
          <w:rPr>
            <w:noProof/>
          </w:rPr>
          <w:t xml:space="preserve">Article 31.A: Expedited Tariff Panel Procedure</w:t>
        </w:r>
        <w:r>
          <w:rPr>
            <w:noProof/>
            <w:webHidden/>
          </w:rPr>
          <w:tab/>
        </w:r>
        <w:r>
          <w:rPr>
            <w:noProof/>
            <w:webHidden/>
          </w:rPr>
          <w:fldChar w:fldCharType="begin"/>
        </w:r>
        <w:r>
          <w:rPr>
            <w:noProof/>
            <w:webHidden/>
          </w:rPr>
          <w:instrText xml:space="preserve"> PAGEREF _Toc300001011 \h </w:instrText>
        </w:r>
        <w:r>
          <w:rPr>
            <w:noProof/>
            <w:webHidden/>
          </w:rPr>
          <w:fldChar w:fldCharType="separate"/>
        </w:r>
        <w:r>
          <w:rPr>
            <w:noProof/>
            <w:webHidden/>
          </w:rPr>
          <w:t>1293</w:t>
        </w:r>
        <w:r>
          <w:rPr>
            <w:noProof/>
            <w:webHidden/>
          </w:rPr>
          <w:fldChar w:fldCharType="end"/>
        </w:r>
      </w:hyperlink>
    </w:p>
    <w:p>
      <w:pPr>
        <w:pStyle w:val="TOC2"/>
      </w:pPr>
      <w:hyperlink w:anchor="_Toc300001012" w:history="1">
        <w:r>
          <w:rPr>
            <w:noProof/>
          </w:rPr>
          <w:t xml:space="preserve">Article 31.B: Consultations, Modernized Clocks</w:t>
        </w:r>
        <w:r>
          <w:rPr>
            <w:noProof/>
            <w:webHidden/>
          </w:rPr>
          <w:tab/>
        </w:r>
        <w:r>
          <w:rPr>
            <w:noProof/>
            <w:webHidden/>
          </w:rPr>
          <w:fldChar w:fldCharType="begin"/>
        </w:r>
        <w:r>
          <w:rPr>
            <w:noProof/>
            <w:webHidden/>
          </w:rPr>
          <w:instrText xml:space="preserve"> PAGEREF _Toc300001012 \h </w:instrText>
        </w:r>
        <w:r>
          <w:rPr>
            <w:noProof/>
            <w:webHidden/>
          </w:rPr>
          <w:fldChar w:fldCharType="separate"/>
        </w:r>
        <w:r>
          <w:rPr>
            <w:noProof/>
            <w:webHidden/>
          </w:rPr>
          <w:t>1294</w:t>
        </w:r>
        <w:r>
          <w:rPr>
            <w:noProof/>
            <w:webHidden/>
          </w:rPr>
          <w:fldChar w:fldCharType="end"/>
        </w:r>
      </w:hyperlink>
    </w:p>
    <w:p>
      <w:pPr>
        <w:pStyle w:val="TOC2"/>
      </w:pPr>
      <w:hyperlink w:anchor="_Toc300001013" w:history="1">
        <w:r>
          <w:rPr>
            <w:noProof/>
          </w:rPr>
          <w:t xml:space="preserve">Article 31.C: Standing Rosters, Independence, and Anti-Deadlock</w:t>
        </w:r>
        <w:r>
          <w:rPr>
            <w:noProof/>
            <w:webHidden/>
          </w:rPr>
          <w:tab/>
        </w:r>
        <w:r>
          <w:rPr>
            <w:noProof/>
            <w:webHidden/>
          </w:rPr>
          <w:fldChar w:fldCharType="begin"/>
        </w:r>
        <w:r>
          <w:rPr>
            <w:noProof/>
            <w:webHidden/>
          </w:rPr>
          <w:instrText xml:space="preserve"> PAGEREF _Toc300001013 \h </w:instrText>
        </w:r>
        <w:r>
          <w:rPr>
            <w:noProof/>
            <w:webHidden/>
          </w:rPr>
          <w:fldChar w:fldCharType="separate"/>
        </w:r>
        <w:r>
          <w:rPr>
            <w:noProof/>
            <w:webHidden/>
          </w:rPr>
          <w:t>1294</w:t>
        </w:r>
        <w:r>
          <w:rPr>
            <w:noProof/>
            <w:webHidden/>
          </w:rPr>
          <w:fldChar w:fldCharType="end"/>
        </w:r>
      </w:hyperlink>
    </w:p>
    <w:p>
      <w:pPr>
        <w:pStyle w:val="TOC2"/>
      </w:pPr>
      <w:hyperlink w:anchor="_Toc300001014" w:history="1">
        <w:r>
          <w:rPr>
            <w:noProof/>
          </w:rPr>
          <w:t xml:space="preserve">Article 31.D: Implementation, Compliance Review, and the End of Procedural Limbo</w:t>
        </w:r>
        <w:r>
          <w:rPr>
            <w:noProof/>
            <w:webHidden/>
          </w:rPr>
          <w:tab/>
        </w:r>
        <w:r>
          <w:rPr>
            <w:noProof/>
            <w:webHidden/>
          </w:rPr>
          <w:fldChar w:fldCharType="begin"/>
        </w:r>
        <w:r>
          <w:rPr>
            <w:noProof/>
            <w:webHidden/>
          </w:rPr>
          <w:instrText xml:space="preserve"> PAGEREF _Toc300001014 \h </w:instrText>
        </w:r>
        <w:r>
          <w:rPr>
            <w:noProof/>
            <w:webHidden/>
          </w:rPr>
          <w:fldChar w:fldCharType="separate"/>
        </w:r>
        <w:r>
          <w:rPr>
            <w:noProof/>
            <w:webHidden/>
          </w:rPr>
          <w:t>1295</w:t>
        </w:r>
        <w:r>
          <w:rPr>
            <w:noProof/>
            <w:webHidden/>
          </w:rPr>
          <w:fldChar w:fldCharType="end"/>
        </w:r>
      </w:hyperlink>
    </w:p>
    <w:p>
      <w:pPr>
        <w:pStyle w:val="TOC2"/>
      </w:pPr>
      <w:hyperlink w:anchor="_Toc300001015" w:history="1">
        <w:r>
          <w:rPr>
            <w:noProof/>
          </w:rPr>
          <w:t xml:space="preserve">Article 31.E: North American Facility-Specific Labour Remedy</w:t>
        </w:r>
        <w:r>
          <w:rPr>
            <w:noProof/>
            <w:webHidden/>
          </w:rPr>
          <w:tab/>
        </w:r>
        <w:r>
          <w:rPr>
            <w:noProof/>
            <w:webHidden/>
          </w:rPr>
          <w:fldChar w:fldCharType="begin"/>
        </w:r>
        <w:r>
          <w:rPr>
            <w:noProof/>
            <w:webHidden/>
          </w:rPr>
          <w:instrText xml:space="preserve"> PAGEREF _Toc300001015 \h </w:instrText>
        </w:r>
        <w:r>
          <w:rPr>
            <w:noProof/>
            <w:webHidden/>
          </w:rPr>
          <w:fldChar w:fldCharType="separate"/>
        </w:r>
        <w:r>
          <w:rPr>
            <w:noProof/>
            <w:webHidden/>
          </w:rPr>
          <w:t>1296</w:t>
        </w:r>
        <w:r>
          <w:rPr>
            <w:noProof/>
            <w:webHidden/>
          </w:rPr>
          <w:fldChar w:fldCharType="end"/>
        </w:r>
      </w:hyperlink>
    </w:p>
    <w:p>
      <w:pPr>
        <w:pStyle w:val="TOC2"/>
      </w:pPr>
      <w:hyperlink w:anchor="_Toc300001016" w:history="1">
        <w:r>
          <w:rPr>
            <w:noProof/>
          </w:rPr>
          <w:t xml:space="preserve">Article 31.F: Chapter 23-B Disputes, Expedited Procedures</w:t>
        </w:r>
        <w:r>
          <w:rPr>
            <w:noProof/>
            <w:webHidden/>
          </w:rPr>
          <w:tab/>
        </w:r>
        <w:r>
          <w:rPr>
            <w:noProof/>
            <w:webHidden/>
          </w:rPr>
          <w:fldChar w:fldCharType="begin"/>
        </w:r>
        <w:r>
          <w:rPr>
            <w:noProof/>
            <w:webHidden/>
          </w:rPr>
          <w:instrText xml:space="preserve"> PAGEREF _Toc300001016 \h </w:instrText>
        </w:r>
        <w:r>
          <w:rPr>
            <w:noProof/>
            <w:webHidden/>
          </w:rPr>
          <w:fldChar w:fldCharType="separate"/>
        </w:r>
        <w:r>
          <w:rPr>
            <w:noProof/>
            <w:webHidden/>
          </w:rPr>
          <w:t>1301</w:t>
        </w:r>
        <w:r>
          <w:rPr>
            <w:noProof/>
            <w:webHidden/>
          </w:rPr>
          <w:fldChar w:fldCharType="end"/>
        </w:r>
      </w:hyperlink>
    </w:p>
    <w:p>
      <w:pPr>
        <w:pStyle w:val="TOC1"/>
      </w:pPr>
      <w:hyperlink w:anchor="_Toc300001017" w:history="1">
        <w:r>
          <w:rPr>
            <w:noProof/>
          </w:rPr>
          <w:t xml:space="preserve">CHAPTER 32 EXCEPTIONS AND GENERAL PROVISIONS Section A: Exceptions</w:t>
        </w:r>
        <w:r>
          <w:rPr>
            <w:noProof/>
            <w:webHidden/>
          </w:rPr>
          <w:tab/>
        </w:r>
        <w:r>
          <w:rPr>
            <w:noProof/>
            <w:webHidden/>
          </w:rPr>
          <w:fldChar w:fldCharType="begin"/>
        </w:r>
        <w:r>
          <w:rPr>
            <w:noProof/>
            <w:webHidden/>
          </w:rPr>
          <w:instrText xml:space="preserve"> PAGEREF _Toc300001017 \h </w:instrText>
        </w:r>
        <w:r>
          <w:rPr>
            <w:noProof/>
            <w:webHidden/>
          </w:rPr>
          <w:fldChar w:fldCharType="separate"/>
        </w:r>
        <w:r>
          <w:rPr>
            <w:noProof/>
            <w:webHidden/>
          </w:rPr>
          <w:t>1302</w:t>
        </w:r>
        <w:r>
          <w:rPr>
            <w:noProof/>
            <w:webHidden/>
          </w:rPr>
          <w:fldChar w:fldCharType="end"/>
        </w:r>
      </w:hyperlink>
    </w:p>
    <w:p>
      <w:pPr>
        <w:pStyle w:val="TOC2"/>
      </w:pPr>
      <w:hyperlink w:anchor="_Toc300001018" w:history="1">
        <w:r>
          <w:rPr>
            <w:noProof/>
          </w:rPr>
          <w:t xml:space="preserve">Article 32.1: General Exceptions</w:t>
        </w:r>
        <w:r>
          <w:rPr>
            <w:noProof/>
            <w:webHidden/>
          </w:rPr>
          <w:tab/>
        </w:r>
        <w:r>
          <w:rPr>
            <w:noProof/>
            <w:webHidden/>
          </w:rPr>
          <w:fldChar w:fldCharType="begin"/>
        </w:r>
        <w:r>
          <w:rPr>
            <w:noProof/>
            <w:webHidden/>
          </w:rPr>
          <w:instrText xml:space="preserve"> PAGEREF _Toc300001018 \h </w:instrText>
        </w:r>
        <w:r>
          <w:rPr>
            <w:noProof/>
            <w:webHidden/>
          </w:rPr>
          <w:fldChar w:fldCharType="separate"/>
        </w:r>
        <w:r>
          <w:rPr>
            <w:noProof/>
            <w:webHidden/>
          </w:rPr>
          <w:t>1302</w:t>
        </w:r>
        <w:r>
          <w:rPr>
            <w:noProof/>
            <w:webHidden/>
          </w:rPr>
          <w:fldChar w:fldCharType="end"/>
        </w:r>
      </w:hyperlink>
    </w:p>
    <w:p>
      <w:pPr>
        <w:pStyle w:val="TOC2"/>
      </w:pPr>
      <w:hyperlink w:anchor="_Toc300001019" w:history="1">
        <w:r>
          <w:rPr>
            <w:noProof/>
          </w:rPr>
          <w:t xml:space="preserve">Article 32.2: Essential Security</w:t>
        </w:r>
        <w:r>
          <w:rPr>
            <w:noProof/>
            <w:webHidden/>
          </w:rPr>
          <w:tab/>
        </w:r>
        <w:r>
          <w:rPr>
            <w:noProof/>
            <w:webHidden/>
          </w:rPr>
          <w:fldChar w:fldCharType="begin"/>
        </w:r>
        <w:r>
          <w:rPr>
            <w:noProof/>
            <w:webHidden/>
          </w:rPr>
          <w:instrText xml:space="preserve"> PAGEREF _Toc300001019 \h </w:instrText>
        </w:r>
        <w:r>
          <w:rPr>
            <w:noProof/>
            <w:webHidden/>
          </w:rPr>
          <w:fldChar w:fldCharType="separate"/>
        </w:r>
        <w:r>
          <w:rPr>
            <w:noProof/>
            <w:webHidden/>
          </w:rPr>
          <w:t>1302</w:t>
        </w:r>
        <w:r>
          <w:rPr>
            <w:noProof/>
            <w:webHidden/>
          </w:rPr>
          <w:fldChar w:fldCharType="end"/>
        </w:r>
      </w:hyperlink>
    </w:p>
    <w:p>
      <w:pPr>
        <w:pStyle w:val="TOC2"/>
      </w:pPr>
      <w:hyperlink w:anchor="_Toc300001020" w:history="1">
        <w:r>
          <w:rPr>
            <w:noProof/>
          </w:rPr>
          <w:t xml:space="preserve">Article 32.3: Taxation Measures</w:t>
        </w:r>
        <w:r>
          <w:rPr>
            <w:noProof/>
            <w:webHidden/>
          </w:rPr>
          <w:tab/>
        </w:r>
        <w:r>
          <w:rPr>
            <w:noProof/>
            <w:webHidden/>
          </w:rPr>
          <w:fldChar w:fldCharType="begin"/>
        </w:r>
        <w:r>
          <w:rPr>
            <w:noProof/>
            <w:webHidden/>
          </w:rPr>
          <w:instrText xml:space="preserve"> PAGEREF _Toc300001020 \h </w:instrText>
        </w:r>
        <w:r>
          <w:rPr>
            <w:noProof/>
            <w:webHidden/>
          </w:rPr>
          <w:fldChar w:fldCharType="separate"/>
        </w:r>
        <w:r>
          <w:rPr>
            <w:noProof/>
            <w:webHidden/>
          </w:rPr>
          <w:t>1302</w:t>
        </w:r>
        <w:r>
          <w:rPr>
            <w:noProof/>
            <w:webHidden/>
          </w:rPr>
          <w:fldChar w:fldCharType="end"/>
        </w:r>
      </w:hyperlink>
    </w:p>
    <w:p>
      <w:pPr>
        <w:pStyle w:val="TOC2"/>
      </w:pPr>
      <w:hyperlink w:anchor="_Toc300001021" w:history="1">
        <w:r>
          <w:rPr>
            <w:noProof/>
          </w:rPr>
          <w:t xml:space="preserve">Article 32.4: Temporary Safeguards Measures</w:t>
        </w:r>
        <w:r>
          <w:rPr>
            <w:noProof/>
            <w:webHidden/>
          </w:rPr>
          <w:tab/>
        </w:r>
        <w:r>
          <w:rPr>
            <w:noProof/>
            <w:webHidden/>
          </w:rPr>
          <w:fldChar w:fldCharType="begin"/>
        </w:r>
        <w:r>
          <w:rPr>
            <w:noProof/>
            <w:webHidden/>
          </w:rPr>
          <w:instrText xml:space="preserve"> PAGEREF _Toc300001021 \h </w:instrText>
        </w:r>
        <w:r>
          <w:rPr>
            <w:noProof/>
            <w:webHidden/>
          </w:rPr>
          <w:fldChar w:fldCharType="separate"/>
        </w:r>
        <w:r>
          <w:rPr>
            <w:noProof/>
            <w:webHidden/>
          </w:rPr>
          <w:t>1305</w:t>
        </w:r>
        <w:r>
          <w:rPr>
            <w:noProof/>
            <w:webHidden/>
          </w:rPr>
          <w:fldChar w:fldCharType="end"/>
        </w:r>
      </w:hyperlink>
    </w:p>
    <w:p>
      <w:pPr>
        <w:pStyle w:val="TOC2"/>
      </w:pPr>
      <w:hyperlink w:anchor="_Toc300001022" w:history="1">
        <w:r>
          <w:rPr>
            <w:noProof/>
          </w:rPr>
          <w:t xml:space="preserve">Article 32.5: Indigenous Peoples Rights</w:t>
        </w:r>
        <w:r>
          <w:rPr>
            <w:noProof/>
            <w:webHidden/>
          </w:rPr>
          <w:tab/>
        </w:r>
        <w:r>
          <w:rPr>
            <w:noProof/>
            <w:webHidden/>
          </w:rPr>
          <w:fldChar w:fldCharType="begin"/>
        </w:r>
        <w:r>
          <w:rPr>
            <w:noProof/>
            <w:webHidden/>
          </w:rPr>
          <w:instrText xml:space="preserve"> PAGEREF _Toc300001022 \h </w:instrText>
        </w:r>
        <w:r>
          <w:rPr>
            <w:noProof/>
            <w:webHidden/>
          </w:rPr>
          <w:fldChar w:fldCharType="separate"/>
        </w:r>
        <w:r>
          <w:rPr>
            <w:noProof/>
            <w:webHidden/>
          </w:rPr>
          <w:t>1307</w:t>
        </w:r>
        <w:r>
          <w:rPr>
            <w:noProof/>
            <w:webHidden/>
          </w:rPr>
          <w:fldChar w:fldCharType="end"/>
        </w:r>
      </w:hyperlink>
    </w:p>
    <w:p>
      <w:pPr>
        <w:pStyle w:val="TOC2"/>
      </w:pPr>
      <w:hyperlink w:anchor="_Toc300001023" w:history="1">
        <w:r>
          <w:rPr>
            <w:noProof/>
          </w:rPr>
          <w:t xml:space="preserve">Article 32.6: Cultural Industries</w:t>
        </w:r>
        <w:r>
          <w:rPr>
            <w:noProof/>
            <w:webHidden/>
          </w:rPr>
          <w:tab/>
        </w:r>
        <w:r>
          <w:rPr>
            <w:noProof/>
            <w:webHidden/>
          </w:rPr>
          <w:fldChar w:fldCharType="begin"/>
        </w:r>
        <w:r>
          <w:rPr>
            <w:noProof/>
            <w:webHidden/>
          </w:rPr>
          <w:instrText xml:space="preserve"> PAGEREF _Toc300001023 \h </w:instrText>
        </w:r>
        <w:r>
          <w:rPr>
            <w:noProof/>
            <w:webHidden/>
          </w:rPr>
          <w:fldChar w:fldCharType="separate"/>
        </w:r>
        <w:r>
          <w:rPr>
            <w:noProof/>
            <w:webHidden/>
          </w:rPr>
          <w:t>1307</w:t>
        </w:r>
        <w:r>
          <w:rPr>
            <w:noProof/>
            <w:webHidden/>
          </w:rPr>
          <w:fldChar w:fldCharType="end"/>
        </w:r>
      </w:hyperlink>
    </w:p>
    <w:p>
      <w:pPr>
        <w:pStyle w:val="TOC2"/>
      </w:pPr>
      <w:hyperlink w:anchor="_Toc300001024" w:history="1">
        <w:r>
          <w:rPr>
            <w:noProof/>
          </w:rPr>
          <w:t xml:space="preserve">Article 32.7: Disclosure of Information</w:t>
        </w:r>
        <w:r>
          <w:rPr>
            <w:noProof/>
            <w:webHidden/>
          </w:rPr>
          <w:tab/>
        </w:r>
        <w:r>
          <w:rPr>
            <w:noProof/>
            <w:webHidden/>
          </w:rPr>
          <w:fldChar w:fldCharType="begin"/>
        </w:r>
        <w:r>
          <w:rPr>
            <w:noProof/>
            <w:webHidden/>
          </w:rPr>
          <w:instrText xml:space="preserve"> PAGEREF _Toc300001024 \h </w:instrText>
        </w:r>
        <w:r>
          <w:rPr>
            <w:noProof/>
            <w:webHidden/>
          </w:rPr>
          <w:fldChar w:fldCharType="separate"/>
        </w:r>
        <w:r>
          <w:rPr>
            <w:noProof/>
            <w:webHidden/>
          </w:rPr>
          <w:t>1308</w:t>
        </w:r>
        <w:r>
          <w:rPr>
            <w:noProof/>
            <w:webHidden/>
          </w:rPr>
          <w:fldChar w:fldCharType="end"/>
        </w:r>
      </w:hyperlink>
    </w:p>
    <w:p>
      <w:pPr>
        <w:pStyle w:val="TOC2"/>
      </w:pPr>
      <w:hyperlink w:anchor="_Toc300001025" w:history="1">
        <w:r>
          <w:rPr>
            <w:noProof/>
          </w:rPr>
          <w:t xml:space="preserve">Article 32.8: Personal Information Protection</w:t>
        </w:r>
        <w:r>
          <w:rPr>
            <w:noProof/>
            <w:webHidden/>
          </w:rPr>
          <w:tab/>
        </w:r>
        <w:r>
          <w:rPr>
            <w:noProof/>
            <w:webHidden/>
          </w:rPr>
          <w:fldChar w:fldCharType="begin"/>
        </w:r>
        <w:r>
          <w:rPr>
            <w:noProof/>
            <w:webHidden/>
          </w:rPr>
          <w:instrText xml:space="preserve"> PAGEREF _Toc300001025 \h </w:instrText>
        </w:r>
        <w:r>
          <w:rPr>
            <w:noProof/>
            <w:webHidden/>
          </w:rPr>
          <w:fldChar w:fldCharType="separate"/>
        </w:r>
        <w:r>
          <w:rPr>
            <w:noProof/>
            <w:webHidden/>
          </w:rPr>
          <w:t>1308</w:t>
        </w:r>
        <w:r>
          <w:rPr>
            <w:noProof/>
            <w:webHidden/>
          </w:rPr>
          <w:fldChar w:fldCharType="end"/>
        </w:r>
      </w:hyperlink>
    </w:p>
    <w:p>
      <w:pPr>
        <w:pStyle w:val="TOC2"/>
      </w:pPr>
      <w:hyperlink w:anchor="_Toc300001026" w:history="1">
        <w:r>
          <w:rPr>
            <w:noProof/>
          </w:rPr>
          <w:t xml:space="preserve">Article 32.9: Access to Information</w:t>
        </w:r>
        <w:r>
          <w:rPr>
            <w:noProof/>
            <w:webHidden/>
          </w:rPr>
          <w:tab/>
        </w:r>
        <w:r>
          <w:rPr>
            <w:noProof/>
            <w:webHidden/>
          </w:rPr>
          <w:fldChar w:fldCharType="begin"/>
        </w:r>
        <w:r>
          <w:rPr>
            <w:noProof/>
            <w:webHidden/>
          </w:rPr>
          <w:instrText xml:space="preserve"> PAGEREF _Toc300001026 \h </w:instrText>
        </w:r>
        <w:r>
          <w:rPr>
            <w:noProof/>
            <w:webHidden/>
          </w:rPr>
          <w:fldChar w:fldCharType="separate"/>
        </w:r>
        <w:r>
          <w:rPr>
            <w:noProof/>
            <w:webHidden/>
          </w:rPr>
          <w:t>1309</w:t>
        </w:r>
        <w:r>
          <w:rPr>
            <w:noProof/>
            <w:webHidden/>
          </w:rPr>
          <w:fldChar w:fldCharType="end"/>
        </w:r>
      </w:hyperlink>
    </w:p>
    <w:p>
      <w:pPr>
        <w:pStyle w:val="TOC2"/>
      </w:pPr>
      <w:hyperlink w:anchor="_Toc300001027" w:history="1">
        <w:r>
          <w:rPr>
            <w:noProof/>
          </w:rPr>
          <w:t xml:space="preserve">Article 32.10: Non-Market Country FTA</w:t>
        </w:r>
        <w:r>
          <w:rPr>
            <w:noProof/>
            <w:webHidden/>
          </w:rPr>
          <w:tab/>
        </w:r>
        <w:r>
          <w:rPr>
            <w:noProof/>
            <w:webHidden/>
          </w:rPr>
          <w:fldChar w:fldCharType="begin"/>
        </w:r>
        <w:r>
          <w:rPr>
            <w:noProof/>
            <w:webHidden/>
          </w:rPr>
          <w:instrText xml:space="preserve"> PAGEREF _Toc300001027 \h </w:instrText>
        </w:r>
        <w:r>
          <w:rPr>
            <w:noProof/>
            <w:webHidden/>
          </w:rPr>
          <w:fldChar w:fldCharType="separate"/>
        </w:r>
        <w:r>
          <w:rPr>
            <w:noProof/>
            <w:webHidden/>
          </w:rPr>
          <w:t>1309</w:t>
        </w:r>
        <w:r>
          <w:rPr>
            <w:noProof/>
            <w:webHidden/>
          </w:rPr>
          <w:fldChar w:fldCharType="end"/>
        </w:r>
      </w:hyperlink>
    </w:p>
    <w:p>
      <w:pPr>
        <w:pStyle w:val="TOC2"/>
      </w:pPr>
      <w:hyperlink w:anchor="_Toc300001028" w:history="1">
        <w:r>
          <w:rPr>
            <w:noProof/>
          </w:rPr>
          <w:t xml:space="preserve">Article 32.11: Specific Provision on Cross-Border Trade in Services, Investment, and State-Owned Enterprises and Designated Monopolies for Mexico</w:t>
        </w:r>
        <w:r>
          <w:rPr>
            <w:noProof/>
            <w:webHidden/>
          </w:rPr>
          <w:tab/>
        </w:r>
        <w:r>
          <w:rPr>
            <w:noProof/>
            <w:webHidden/>
          </w:rPr>
          <w:fldChar w:fldCharType="begin"/>
        </w:r>
        <w:r>
          <w:rPr>
            <w:noProof/>
            <w:webHidden/>
          </w:rPr>
          <w:instrText xml:space="preserve"> PAGEREF _Toc300001028 \h </w:instrText>
        </w:r>
        <w:r>
          <w:rPr>
            <w:noProof/>
            <w:webHidden/>
          </w:rPr>
          <w:fldChar w:fldCharType="separate"/>
        </w:r>
        <w:r>
          <w:rPr>
            <w:noProof/>
            <w:webHidden/>
          </w:rPr>
          <w:t>1310</w:t>
        </w:r>
        <w:r>
          <w:rPr>
            <w:noProof/>
            <w:webHidden/>
          </w:rPr>
          <w:fldChar w:fldCharType="end"/>
        </w:r>
      </w:hyperlink>
    </w:p>
    <w:p>
      <w:pPr>
        <w:pStyle w:val="TOC2"/>
      </w:pPr>
      <w:hyperlink w:anchor="_Toc300001029" w:history="1">
        <w:r>
          <w:rPr>
            <w:noProof/>
          </w:rPr>
          <w:t xml:space="preserve">Article 32.12: Exclusion from Dispute Settlement</w:t>
        </w:r>
        <w:r>
          <w:rPr>
            <w:noProof/>
            <w:webHidden/>
          </w:rPr>
          <w:tab/>
        </w:r>
        <w:r>
          <w:rPr>
            <w:noProof/>
            <w:webHidden/>
          </w:rPr>
          <w:fldChar w:fldCharType="begin"/>
        </w:r>
        <w:r>
          <w:rPr>
            <w:noProof/>
            <w:webHidden/>
          </w:rPr>
          <w:instrText xml:space="preserve"> PAGEREF _Toc300001029 \h </w:instrText>
        </w:r>
        <w:r>
          <w:rPr>
            <w:noProof/>
            <w:webHidden/>
          </w:rPr>
          <w:fldChar w:fldCharType="separate"/>
        </w:r>
        <w:r>
          <w:rPr>
            <w:noProof/>
            <w:webHidden/>
          </w:rPr>
          <w:t>1310</w:t>
        </w:r>
        <w:r>
          <w:rPr>
            <w:noProof/>
            <w:webHidden/>
          </w:rPr>
          <w:fldChar w:fldCharType="end"/>
        </w:r>
      </w:hyperlink>
    </w:p>
    <w:p>
      <w:pPr>
        <w:pStyle w:val="TOC2"/>
      </w:pPr>
      <w:hyperlink w:anchor="_Toc300001030" w:history="1">
        <w:r>
          <w:rPr>
            <w:noProof/>
          </w:rPr>
          <w:t xml:space="preserve">CHAPTER 32: CUSMA 2.0 MODERNIZATION PROVISIONS</w:t>
        </w:r>
        <w:r>
          <w:rPr>
            <w:noProof/>
            <w:webHidden/>
          </w:rPr>
          <w:tab/>
        </w:r>
        <w:r>
          <w:rPr>
            <w:noProof/>
            <w:webHidden/>
          </w:rPr>
          <w:fldChar w:fldCharType="begin"/>
        </w:r>
        <w:r>
          <w:rPr>
            <w:noProof/>
            <w:webHidden/>
          </w:rPr>
          <w:instrText xml:space="preserve"> PAGEREF _Toc300001030 \h </w:instrText>
        </w:r>
        <w:r>
          <w:rPr>
            <w:noProof/>
            <w:webHidden/>
          </w:rPr>
          <w:fldChar w:fldCharType="separate"/>
        </w:r>
        <w:r>
          <w:rPr>
            <w:noProof/>
            <w:webHidden/>
          </w:rPr>
          <w:t>1312</w:t>
        </w:r>
        <w:r>
          <w:rPr>
            <w:noProof/>
            <w:webHidden/>
          </w:rPr>
          <w:fldChar w:fldCharType="end"/>
        </w:r>
      </w:hyperlink>
    </w:p>
    <w:p>
      <w:pPr>
        <w:pStyle w:val="TOC2"/>
      </w:pPr>
      <w:hyperlink w:anchor="_Toc300001031" w:history="1">
        <w:r>
          <w:rPr>
            <w:noProof/>
          </w:rPr>
          <w:t xml:space="preserve">Article 32.A: Essential Security (Replacement of Article 32.2)</w:t>
        </w:r>
        <w:r>
          <w:rPr>
            <w:noProof/>
            <w:webHidden/>
          </w:rPr>
          <w:tab/>
        </w:r>
        <w:r>
          <w:rPr>
            <w:noProof/>
            <w:webHidden/>
          </w:rPr>
          <w:fldChar w:fldCharType="begin"/>
        </w:r>
        <w:r>
          <w:rPr>
            <w:noProof/>
            <w:webHidden/>
          </w:rPr>
          <w:instrText xml:space="preserve"> PAGEREF _Toc300001031 \h </w:instrText>
        </w:r>
        <w:r>
          <w:rPr>
            <w:noProof/>
            <w:webHidden/>
          </w:rPr>
          <w:fldChar w:fldCharType="separate"/>
        </w:r>
        <w:r>
          <w:rPr>
            <w:noProof/>
            <w:webHidden/>
          </w:rPr>
          <w:t>1312</w:t>
        </w:r>
        <w:r>
          <w:rPr>
            <w:noProof/>
            <w:webHidden/>
          </w:rPr>
          <w:fldChar w:fldCharType="end"/>
        </w:r>
      </w:hyperlink>
    </w:p>
    <w:p>
      <w:pPr>
        <w:pStyle w:val="TOC2"/>
      </w:pPr>
      <w:hyperlink w:anchor="_Toc300001032" w:history="1">
        <w:r>
          <w:rPr>
            <w:noProof/>
          </w:rPr>
          <w:t xml:space="preserve">Article 32.A.1: Functional Equivalence and Domestic-Law Anti-Circumvention</w:t>
        </w:r>
        <w:r>
          <w:rPr>
            <w:noProof/>
            <w:webHidden/>
          </w:rPr>
          <w:tab/>
        </w:r>
        <w:r>
          <w:rPr>
            <w:noProof/>
            <w:webHidden/>
          </w:rPr>
          <w:fldChar w:fldCharType="begin"/>
        </w:r>
        <w:r>
          <w:rPr>
            <w:noProof/>
            <w:webHidden/>
          </w:rPr>
          <w:instrText xml:space="preserve"> PAGEREF _Toc300001032 \h </w:instrText>
        </w:r>
        <w:r>
          <w:rPr>
            <w:noProof/>
            <w:webHidden/>
          </w:rPr>
          <w:fldChar w:fldCharType="separate"/>
        </w:r>
        <w:r>
          <w:rPr>
            <w:noProof/>
            <w:webHidden/>
          </w:rPr>
          <w:t>1313</w:t>
        </w:r>
        <w:r>
          <w:rPr>
            <w:noProof/>
            <w:webHidden/>
          </w:rPr>
          <w:fldChar w:fldCharType="end"/>
        </w:r>
      </w:hyperlink>
    </w:p>
    <w:p>
      <w:pPr>
        <w:pStyle w:val="TOC2"/>
      </w:pPr>
      <w:hyperlink w:anchor="_Toc300001033" w:history="1">
        <w:r>
          <w:rPr>
            <w:noProof/>
          </w:rPr>
          <w:t xml:space="preserve">Article 32.A.2: Sovereign Security Judgment and Reviewable Implementation</w:t>
        </w:r>
        <w:r>
          <w:rPr>
            <w:noProof/>
            <w:webHidden/>
          </w:rPr>
          <w:tab/>
        </w:r>
        <w:r>
          <w:rPr>
            <w:noProof/>
            <w:webHidden/>
          </w:rPr>
          <w:fldChar w:fldCharType="begin"/>
        </w:r>
        <w:r>
          <w:rPr>
            <w:noProof/>
            <w:webHidden/>
          </w:rPr>
          <w:instrText xml:space="preserve"> PAGEREF _Toc300001033 \h </w:instrText>
        </w:r>
        <w:r>
          <w:rPr>
            <w:noProof/>
            <w:webHidden/>
          </w:rPr>
          <w:fldChar w:fldCharType="separate"/>
        </w:r>
        <w:r>
          <w:rPr>
            <w:noProof/>
            <w:webHidden/>
          </w:rPr>
          <w:t>1314</w:t>
        </w:r>
        <w:r>
          <w:rPr>
            <w:noProof/>
            <w:webHidden/>
          </w:rPr>
          <w:fldChar w:fldCharType="end"/>
        </w:r>
      </w:hyperlink>
    </w:p>
    <w:p>
      <w:pPr>
        <w:pStyle w:val="TOC2"/>
      </w:pPr>
      <w:hyperlink w:anchor="_Toc300001034" w:history="1">
        <w:r>
          <w:rPr>
            <w:noProof/>
          </w:rPr>
          <w:t xml:space="preserve">Article 32.A.3: Trusted North American Supply Presumption</w:t>
        </w:r>
        <w:r>
          <w:rPr>
            <w:noProof/>
            <w:webHidden/>
          </w:rPr>
          <w:tab/>
        </w:r>
        <w:r>
          <w:rPr>
            <w:noProof/>
            <w:webHidden/>
          </w:rPr>
          <w:fldChar w:fldCharType="begin"/>
        </w:r>
        <w:r>
          <w:rPr>
            <w:noProof/>
            <w:webHidden/>
          </w:rPr>
          <w:instrText xml:space="preserve"> PAGEREF _Toc300001034 \h </w:instrText>
        </w:r>
        <w:r>
          <w:rPr>
            <w:noProof/>
            <w:webHidden/>
          </w:rPr>
          <w:fldChar w:fldCharType="separate"/>
        </w:r>
        <w:r>
          <w:rPr>
            <w:noProof/>
            <w:webHidden/>
          </w:rPr>
          <w:t>1314</w:t>
        </w:r>
        <w:r>
          <w:rPr>
            <w:noProof/>
            <w:webHidden/>
          </w:rPr>
          <w:fldChar w:fldCharType="end"/>
        </w:r>
      </w:hyperlink>
    </w:p>
    <w:p>
      <w:pPr>
        <w:pStyle w:val="TOC2"/>
      </w:pPr>
      <w:hyperlink w:anchor="_Toc300001035" w:history="1">
        <w:r>
          <w:rPr>
            <w:noProof/>
          </w:rPr>
          <w:t xml:space="preserve">Article 32.A.4: Third-Country Connection and Ownership Discipline</w:t>
        </w:r>
        <w:r>
          <w:rPr>
            <w:noProof/>
            <w:webHidden/>
          </w:rPr>
          <w:tab/>
        </w:r>
        <w:r>
          <w:rPr>
            <w:noProof/>
            <w:webHidden/>
          </w:rPr>
          <w:fldChar w:fldCharType="begin"/>
        </w:r>
        <w:r>
          <w:rPr>
            <w:noProof/>
            <w:webHidden/>
          </w:rPr>
          <w:instrText xml:space="preserve"> PAGEREF _Toc300001035 \h </w:instrText>
        </w:r>
        <w:r>
          <w:rPr>
            <w:noProof/>
            <w:webHidden/>
          </w:rPr>
          <w:fldChar w:fldCharType="separate"/>
        </w:r>
        <w:r>
          <w:rPr>
            <w:noProof/>
            <w:webHidden/>
          </w:rPr>
          <w:t>1314</w:t>
        </w:r>
        <w:r>
          <w:rPr>
            <w:noProof/>
            <w:webHidden/>
          </w:rPr>
          <w:fldChar w:fldCharType="end"/>
        </w:r>
      </w:hyperlink>
    </w:p>
    <w:p>
      <w:pPr>
        <w:pStyle w:val="TOC2"/>
      </w:pPr>
      <w:hyperlink w:anchor="_Toc300001036" w:history="1">
        <w:r>
          <w:rPr>
            <w:noProof/>
          </w:rPr>
          <w:t xml:space="preserve">Article 32.A.5: Self-Created Security Vulnerability</w:t>
        </w:r>
        <w:r>
          <w:rPr>
            <w:noProof/>
            <w:webHidden/>
          </w:rPr>
          <w:tab/>
        </w:r>
        <w:r>
          <w:rPr>
            <w:noProof/>
            <w:webHidden/>
          </w:rPr>
          <w:fldChar w:fldCharType="begin"/>
        </w:r>
        <w:r>
          <w:rPr>
            <w:noProof/>
            <w:webHidden/>
          </w:rPr>
          <w:instrText xml:space="preserve"> PAGEREF _Toc300001036 \h </w:instrText>
        </w:r>
        <w:r>
          <w:rPr>
            <w:noProof/>
            <w:webHidden/>
          </w:rPr>
          <w:fldChar w:fldCharType="separate"/>
        </w:r>
        <w:r>
          <w:rPr>
            <w:noProof/>
            <w:webHidden/>
          </w:rPr>
          <w:t>1315</w:t>
        </w:r>
        <w:r>
          <w:rPr>
            <w:noProof/>
            <w:webHidden/>
          </w:rPr>
          <w:fldChar w:fldCharType="end"/>
        </w:r>
      </w:hyperlink>
    </w:p>
    <w:p>
      <w:pPr>
        <w:pStyle w:val="TOC2"/>
      </w:pPr>
      <w:hyperlink w:anchor="_Toc300001037" w:history="1">
        <w:r>
          <w:rPr>
            <w:noProof/>
          </w:rPr>
          <w:t xml:space="preserve">Article 32.A.6: Least-Restrictive Trusted-Partner Security Measure</w:t>
        </w:r>
        <w:r>
          <w:rPr>
            <w:noProof/>
            <w:webHidden/>
          </w:rPr>
          <w:tab/>
        </w:r>
        <w:r>
          <w:rPr>
            <w:noProof/>
            <w:webHidden/>
          </w:rPr>
          <w:fldChar w:fldCharType="begin"/>
        </w:r>
        <w:r>
          <w:rPr>
            <w:noProof/>
            <w:webHidden/>
          </w:rPr>
          <w:instrText xml:space="preserve"> PAGEREF _Toc300001037 \h </w:instrText>
        </w:r>
        <w:r>
          <w:rPr>
            <w:noProof/>
            <w:webHidden/>
          </w:rPr>
          <w:fldChar w:fldCharType="separate"/>
        </w:r>
        <w:r>
          <w:rPr>
            <w:noProof/>
            <w:webHidden/>
          </w:rPr>
          <w:t>1315</w:t>
        </w:r>
        <w:r>
          <w:rPr>
            <w:noProof/>
            <w:webHidden/>
          </w:rPr>
          <w:fldChar w:fldCharType="end"/>
        </w:r>
      </w:hyperlink>
    </w:p>
    <w:p>
      <w:pPr>
        <w:pStyle w:val="TOC2"/>
      </w:pPr>
      <w:hyperlink w:anchor="_Toc300001038" w:history="1">
        <w:r>
          <w:rPr>
            <w:noProof/>
          </w:rPr>
          <w:t xml:space="preserve">Article 32.A.7: Security Investigation Integrity and Anti-Harassment</w:t>
        </w:r>
        <w:r>
          <w:rPr>
            <w:noProof/>
            <w:webHidden/>
          </w:rPr>
          <w:tab/>
        </w:r>
        <w:r>
          <w:rPr>
            <w:noProof/>
            <w:webHidden/>
          </w:rPr>
          <w:fldChar w:fldCharType="begin"/>
        </w:r>
        <w:r>
          <w:rPr>
            <w:noProof/>
            <w:webHidden/>
          </w:rPr>
          <w:instrText xml:space="preserve"> PAGEREF _Toc300001038 \h </w:instrText>
        </w:r>
        <w:r>
          <w:rPr>
            <w:noProof/>
            <w:webHidden/>
          </w:rPr>
          <w:fldChar w:fldCharType="separate"/>
        </w:r>
        <w:r>
          <w:rPr>
            <w:noProof/>
            <w:webHidden/>
          </w:rPr>
          <w:t>1315</w:t>
        </w:r>
        <w:r>
          <w:rPr>
            <w:noProof/>
            <w:webHidden/>
          </w:rPr>
          <w:fldChar w:fldCharType="end"/>
        </w:r>
      </w:hyperlink>
    </w:p>
    <w:p>
      <w:pPr>
        <w:pStyle w:val="TOC2"/>
      </w:pPr>
      <w:hyperlink w:anchor="_Toc300001039" w:history="1">
        <w:r>
          <w:rPr>
            <w:noProof/>
          </w:rPr>
          <w:t xml:space="preserve">Article 32.A.8: Classified Evidence and Non-Derogable Procedural Core</w:t>
        </w:r>
        <w:r>
          <w:rPr>
            <w:noProof/>
            <w:webHidden/>
          </w:rPr>
          <w:tab/>
        </w:r>
        <w:r>
          <w:rPr>
            <w:noProof/>
            <w:webHidden/>
          </w:rPr>
          <w:fldChar w:fldCharType="begin"/>
        </w:r>
        <w:r>
          <w:rPr>
            <w:noProof/>
            <w:webHidden/>
          </w:rPr>
          <w:instrText xml:space="preserve"> PAGEREF _Toc300001039 \h </w:instrText>
        </w:r>
        <w:r>
          <w:rPr>
            <w:noProof/>
            <w:webHidden/>
          </w:rPr>
          <w:fldChar w:fldCharType="separate"/>
        </w:r>
        <w:r>
          <w:rPr>
            <w:noProof/>
            <w:webHidden/>
          </w:rPr>
          <w:t>1316</w:t>
        </w:r>
        <w:r>
          <w:rPr>
            <w:noProof/>
            <w:webHidden/>
          </w:rPr>
          <w:fldChar w:fldCharType="end"/>
        </w:r>
      </w:hyperlink>
    </w:p>
    <w:p>
      <w:pPr>
        <w:pStyle w:val="TOC2"/>
      </w:pPr>
      <w:hyperlink w:anchor="_Toc300001040" w:history="1">
        <w:r>
          <w:rPr>
            <w:noProof/>
          </w:rPr>
          <w:t xml:space="preserve">Article 32.A.9: Security Necessity Review, Sunset, and Restoration</w:t>
        </w:r>
        <w:r>
          <w:rPr>
            <w:noProof/>
            <w:webHidden/>
          </w:rPr>
          <w:tab/>
        </w:r>
        <w:r>
          <w:rPr>
            <w:noProof/>
            <w:webHidden/>
          </w:rPr>
          <w:fldChar w:fldCharType="begin"/>
        </w:r>
        <w:r>
          <w:rPr>
            <w:noProof/>
            <w:webHidden/>
          </w:rPr>
          <w:instrText xml:space="preserve"> PAGEREF _Toc300001040 \h </w:instrText>
        </w:r>
        <w:r>
          <w:rPr>
            <w:noProof/>
            <w:webHidden/>
          </w:rPr>
          <w:fldChar w:fldCharType="separate"/>
        </w:r>
        <w:r>
          <w:rPr>
            <w:noProof/>
            <w:webHidden/>
          </w:rPr>
          <w:t>1316</w:t>
        </w:r>
        <w:r>
          <w:rPr>
            <w:noProof/>
            <w:webHidden/>
          </w:rPr>
          <w:fldChar w:fldCharType="end"/>
        </w:r>
      </w:hyperlink>
    </w:p>
    <w:p>
      <w:pPr>
        <w:pStyle w:val="TOC2"/>
      </w:pPr>
      <w:hyperlink w:anchor="_Toc300001041" w:history="1">
        <w:r>
          <w:rPr>
            <w:noProof/>
          </w:rPr>
          <w:t xml:space="preserve">Article 32.B: Economic Emergency and Balance-of-Payments Measures (Replacement of Article 32.4)</w:t>
        </w:r>
        <w:r>
          <w:rPr>
            <w:noProof/>
            <w:webHidden/>
          </w:rPr>
          <w:tab/>
        </w:r>
        <w:r>
          <w:rPr>
            <w:noProof/>
            <w:webHidden/>
          </w:rPr>
          <w:fldChar w:fldCharType="begin"/>
        </w:r>
        <w:r>
          <w:rPr>
            <w:noProof/>
            <w:webHidden/>
          </w:rPr>
          <w:instrText xml:space="preserve"> PAGEREF _Toc300001041 \h </w:instrText>
        </w:r>
        <w:r>
          <w:rPr>
            <w:noProof/>
            <w:webHidden/>
          </w:rPr>
          <w:fldChar w:fldCharType="separate"/>
        </w:r>
        <w:r>
          <w:rPr>
            <w:noProof/>
            <w:webHidden/>
          </w:rPr>
          <w:t>1316</w:t>
        </w:r>
        <w:r>
          <w:rPr>
            <w:noProof/>
            <w:webHidden/>
          </w:rPr>
          <w:fldChar w:fldCharType="end"/>
        </w:r>
      </w:hyperlink>
    </w:p>
    <w:p>
      <w:pPr>
        <w:pStyle w:val="TOC2"/>
      </w:pPr>
      <w:hyperlink w:anchor="_Toc300001042" w:history="1">
        <w:r>
          <w:rPr>
            <w:noProof/>
          </w:rPr>
          <w:t xml:space="preserve">Article 32.C: General Exceptions, Anti-Abuse Discipline</w:t>
        </w:r>
        <w:r>
          <w:rPr>
            <w:noProof/>
            <w:webHidden/>
          </w:rPr>
          <w:tab/>
        </w:r>
        <w:r>
          <w:rPr>
            <w:noProof/>
            <w:webHidden/>
          </w:rPr>
          <w:fldChar w:fldCharType="begin"/>
        </w:r>
        <w:r>
          <w:rPr>
            <w:noProof/>
            <w:webHidden/>
          </w:rPr>
          <w:instrText xml:space="preserve"> PAGEREF _Toc300001042 \h </w:instrText>
        </w:r>
        <w:r>
          <w:rPr>
            <w:noProof/>
            <w:webHidden/>
          </w:rPr>
          <w:fldChar w:fldCharType="separate"/>
        </w:r>
        <w:r>
          <w:rPr>
            <w:noProof/>
            <w:webHidden/>
          </w:rPr>
          <w:t>1317</w:t>
        </w:r>
        <w:r>
          <w:rPr>
            <w:noProof/>
            <w:webHidden/>
          </w:rPr>
          <w:fldChar w:fldCharType="end"/>
        </w:r>
      </w:hyperlink>
    </w:p>
    <w:p>
      <w:pPr>
        <w:pStyle w:val="TOC2"/>
      </w:pPr>
      <w:hyperlink w:anchor="_Toc300001043" w:history="1">
        <w:r>
          <w:rPr>
            <w:noProof/>
          </w:rPr>
          <w:t xml:space="preserve">Article 32.D: Indigenous Peoples Rights</w:t>
        </w:r>
        <w:r>
          <w:rPr>
            <w:noProof/>
            <w:webHidden/>
          </w:rPr>
          <w:tab/>
        </w:r>
        <w:r>
          <w:rPr>
            <w:noProof/>
            <w:webHidden/>
          </w:rPr>
          <w:fldChar w:fldCharType="begin"/>
        </w:r>
        <w:r>
          <w:rPr>
            <w:noProof/>
            <w:webHidden/>
          </w:rPr>
          <w:instrText xml:space="preserve"> PAGEREF _Toc300001043 \h </w:instrText>
        </w:r>
        <w:r>
          <w:rPr>
            <w:noProof/>
            <w:webHidden/>
          </w:rPr>
          <w:fldChar w:fldCharType="separate"/>
        </w:r>
        <w:r>
          <w:rPr>
            <w:noProof/>
            <w:webHidden/>
          </w:rPr>
          <w:t>1317</w:t>
        </w:r>
        <w:r>
          <w:rPr>
            <w:noProof/>
            <w:webHidden/>
          </w:rPr>
          <w:fldChar w:fldCharType="end"/>
        </w:r>
      </w:hyperlink>
    </w:p>
    <w:p>
      <w:pPr>
        <w:pStyle w:val="TOC2"/>
      </w:pPr>
      <w:hyperlink w:anchor="_Toc300001044" w:history="1">
        <w:r>
          <w:rPr>
            <w:noProof/>
          </w:rPr>
          <w:t xml:space="preserve">Article 32.E: Disclosure of Information</w:t>
        </w:r>
        <w:r>
          <w:rPr>
            <w:noProof/>
            <w:webHidden/>
          </w:rPr>
          <w:tab/>
        </w:r>
        <w:r>
          <w:rPr>
            <w:noProof/>
            <w:webHidden/>
          </w:rPr>
          <w:fldChar w:fldCharType="begin"/>
        </w:r>
        <w:r>
          <w:rPr>
            <w:noProof/>
            <w:webHidden/>
          </w:rPr>
          <w:instrText xml:space="preserve"> PAGEREF _Toc300001044 \h </w:instrText>
        </w:r>
        <w:r>
          <w:rPr>
            <w:noProof/>
            <w:webHidden/>
          </w:rPr>
          <w:fldChar w:fldCharType="separate"/>
        </w:r>
        <w:r>
          <w:rPr>
            <w:noProof/>
            <w:webHidden/>
          </w:rPr>
          <w:t>1317</w:t>
        </w:r>
        <w:r>
          <w:rPr>
            <w:noProof/>
            <w:webHidden/>
          </w:rPr>
          <w:fldChar w:fldCharType="end"/>
        </w:r>
      </w:hyperlink>
    </w:p>
    <w:p>
      <w:pPr>
        <w:pStyle w:val="TOC2"/>
      </w:pPr>
      <w:hyperlink w:anchor="_Toc300001045" w:history="1">
        <w:r>
          <w:rPr>
            <w:noProof/>
          </w:rPr>
          <w:t xml:space="preserve">Article 32.F: Risk-Based and Nationality-Neutral Administration</w:t>
        </w:r>
        <w:r>
          <w:rPr>
            <w:noProof/>
            <w:webHidden/>
          </w:rPr>
          <w:tab/>
        </w:r>
        <w:r>
          <w:rPr>
            <w:noProof/>
            <w:webHidden/>
          </w:rPr>
          <w:fldChar w:fldCharType="begin"/>
        </w:r>
        <w:r>
          <w:rPr>
            <w:noProof/>
            <w:webHidden/>
          </w:rPr>
          <w:instrText xml:space="preserve"> PAGEREF _Toc300001045 \h </w:instrText>
        </w:r>
        <w:r>
          <w:rPr>
            <w:noProof/>
            <w:webHidden/>
          </w:rPr>
          <w:fldChar w:fldCharType="separate"/>
        </w:r>
        <w:r>
          <w:rPr>
            <w:noProof/>
            <w:webHidden/>
          </w:rPr>
          <w:t>1318</w:t>
        </w:r>
        <w:r>
          <w:rPr>
            <w:noProof/>
            <w:webHidden/>
          </w:rPr>
          <w:fldChar w:fldCharType="end"/>
        </w:r>
      </w:hyperlink>
    </w:p>
    <w:p>
      <w:pPr>
        <w:pStyle w:val="TOC2"/>
      </w:pPr>
      <w:hyperlink w:anchor="_Toc300001046" w:history="1">
        <w:r>
          <w:rPr>
            <w:noProof/>
          </w:rPr>
          <w:t xml:space="preserve">Article 32.G: External Economic Relations and Treaty Sovereignty (Replacement of Article 32.10)</w:t>
        </w:r>
        <w:r>
          <w:rPr>
            <w:noProof/>
            <w:webHidden/>
          </w:rPr>
          <w:tab/>
        </w:r>
        <w:r>
          <w:rPr>
            <w:noProof/>
            <w:webHidden/>
          </w:rPr>
          <w:fldChar w:fldCharType="begin"/>
        </w:r>
        <w:r>
          <w:rPr>
            <w:noProof/>
            <w:webHidden/>
          </w:rPr>
          <w:instrText xml:space="preserve"> PAGEREF _Toc300001046 \h </w:instrText>
        </w:r>
        <w:r>
          <w:rPr>
            <w:noProof/>
            <w:webHidden/>
          </w:rPr>
          <w:fldChar w:fldCharType="separate"/>
        </w:r>
        <w:r>
          <w:rPr>
            <w:noProof/>
            <w:webHidden/>
          </w:rPr>
          <w:t>1318</w:t>
        </w:r>
        <w:r>
          <w:rPr>
            <w:noProof/>
            <w:webHidden/>
          </w:rPr>
          <w:fldChar w:fldCharType="end"/>
        </w:r>
      </w:hyperlink>
    </w:p>
    <w:p>
      <w:pPr>
        <w:pStyle w:val="TOC2"/>
      </w:pPr>
      <w:hyperlink w:anchor="_Toc300001047" w:history="1">
        <w:r>
          <w:rPr>
            <w:noProof/>
          </w:rPr>
          <w:t xml:space="preserve">Article 32.H: Exceptions Do Not Apply to Chapter 23-B</w:t>
        </w:r>
        <w:r>
          <w:rPr>
            <w:noProof/>
            <w:webHidden/>
          </w:rPr>
          <w:tab/>
        </w:r>
        <w:r>
          <w:rPr>
            <w:noProof/>
            <w:webHidden/>
          </w:rPr>
          <w:fldChar w:fldCharType="begin"/>
        </w:r>
        <w:r>
          <w:rPr>
            <w:noProof/>
            <w:webHidden/>
          </w:rPr>
          <w:instrText xml:space="preserve"> PAGEREF _Toc300001047 \h </w:instrText>
        </w:r>
        <w:r>
          <w:rPr>
            <w:noProof/>
            <w:webHidden/>
          </w:rPr>
          <w:fldChar w:fldCharType="separate"/>
        </w:r>
        <w:r>
          <w:rPr>
            <w:noProof/>
            <w:webHidden/>
          </w:rPr>
          <w:t>1319</w:t>
        </w:r>
        <w:r>
          <w:rPr>
            <w:noProof/>
            <w:webHidden/>
          </w:rPr>
          <w:fldChar w:fldCharType="end"/>
        </w:r>
      </w:hyperlink>
    </w:p>
    <w:p>
      <w:pPr>
        <w:pStyle w:val="TOC1"/>
      </w:pPr>
      <w:hyperlink w:anchor="_Toc300001048" w:history="1">
        <w:r>
          <w:rPr>
            <w:noProof/>
          </w:rPr>
          <w:t xml:space="preserve">CHAPTER 33 MACROECONOMIC POLICIES AND EXCHANGE RATE MATTERS</w:t>
        </w:r>
        <w:r>
          <w:rPr>
            <w:noProof/>
            <w:webHidden/>
          </w:rPr>
          <w:tab/>
        </w:r>
        <w:r>
          <w:rPr>
            <w:noProof/>
            <w:webHidden/>
          </w:rPr>
          <w:fldChar w:fldCharType="begin"/>
        </w:r>
        <w:r>
          <w:rPr>
            <w:noProof/>
            <w:webHidden/>
          </w:rPr>
          <w:instrText xml:space="preserve"> PAGEREF _Toc300001048 \h </w:instrText>
        </w:r>
        <w:r>
          <w:rPr>
            <w:noProof/>
            <w:webHidden/>
          </w:rPr>
          <w:fldChar w:fldCharType="separate"/>
        </w:r>
        <w:r>
          <w:rPr>
            <w:noProof/>
            <w:webHidden/>
          </w:rPr>
          <w:t>1320</w:t>
        </w:r>
        <w:r>
          <w:rPr>
            <w:noProof/>
            <w:webHidden/>
          </w:rPr>
          <w:fldChar w:fldCharType="end"/>
        </w:r>
      </w:hyperlink>
    </w:p>
    <w:p>
      <w:pPr>
        <w:pStyle w:val="TOC2"/>
      </w:pPr>
      <w:hyperlink w:anchor="_Toc300001049" w:history="1">
        <w:r>
          <w:rPr>
            <w:noProof/>
          </w:rPr>
          <w:t xml:space="preserve">Article 33.1: Definitions</w:t>
        </w:r>
        <w:r>
          <w:rPr>
            <w:noProof/>
            <w:webHidden/>
          </w:rPr>
          <w:tab/>
        </w:r>
        <w:r>
          <w:rPr>
            <w:noProof/>
            <w:webHidden/>
          </w:rPr>
          <w:fldChar w:fldCharType="begin"/>
        </w:r>
        <w:r>
          <w:rPr>
            <w:noProof/>
            <w:webHidden/>
          </w:rPr>
          <w:instrText xml:space="preserve"> PAGEREF _Toc300001049 \h </w:instrText>
        </w:r>
        <w:r>
          <w:rPr>
            <w:noProof/>
            <w:webHidden/>
          </w:rPr>
          <w:fldChar w:fldCharType="separate"/>
        </w:r>
        <w:r>
          <w:rPr>
            <w:noProof/>
            <w:webHidden/>
          </w:rPr>
          <w:t>1320</w:t>
        </w:r>
        <w:r>
          <w:rPr>
            <w:noProof/>
            <w:webHidden/>
          </w:rPr>
          <w:fldChar w:fldCharType="end"/>
        </w:r>
      </w:hyperlink>
    </w:p>
    <w:p>
      <w:pPr>
        <w:pStyle w:val="TOC2"/>
      </w:pPr>
      <w:hyperlink w:anchor="_Toc300001050" w:history="1">
        <w:r>
          <w:rPr>
            <w:noProof/>
          </w:rPr>
          <w:t xml:space="preserve">Article 33.2: General Provisions</w:t>
        </w:r>
        <w:r>
          <w:rPr>
            <w:noProof/>
            <w:webHidden/>
          </w:rPr>
          <w:tab/>
        </w:r>
        <w:r>
          <w:rPr>
            <w:noProof/>
            <w:webHidden/>
          </w:rPr>
          <w:fldChar w:fldCharType="begin"/>
        </w:r>
        <w:r>
          <w:rPr>
            <w:noProof/>
            <w:webHidden/>
          </w:rPr>
          <w:instrText xml:space="preserve"> PAGEREF _Toc300001050 \h </w:instrText>
        </w:r>
        <w:r>
          <w:rPr>
            <w:noProof/>
            <w:webHidden/>
          </w:rPr>
          <w:fldChar w:fldCharType="separate"/>
        </w:r>
        <w:r>
          <w:rPr>
            <w:noProof/>
            <w:webHidden/>
          </w:rPr>
          <w:t>1321</w:t>
        </w:r>
        <w:r>
          <w:rPr>
            <w:noProof/>
            <w:webHidden/>
          </w:rPr>
          <w:fldChar w:fldCharType="end"/>
        </w:r>
      </w:hyperlink>
    </w:p>
    <w:p>
      <w:pPr>
        <w:pStyle w:val="TOC2"/>
      </w:pPr>
      <w:hyperlink w:anchor="_Toc300001051" w:history="1">
        <w:r>
          <w:rPr>
            <w:noProof/>
          </w:rPr>
          <w:t xml:space="preserve">Article 33.3: Scope</w:t>
        </w:r>
        <w:r>
          <w:rPr>
            <w:noProof/>
            <w:webHidden/>
          </w:rPr>
          <w:tab/>
        </w:r>
        <w:r>
          <w:rPr>
            <w:noProof/>
            <w:webHidden/>
          </w:rPr>
          <w:fldChar w:fldCharType="begin"/>
        </w:r>
        <w:r>
          <w:rPr>
            <w:noProof/>
            <w:webHidden/>
          </w:rPr>
          <w:instrText xml:space="preserve"> PAGEREF _Toc300001051 \h </w:instrText>
        </w:r>
        <w:r>
          <w:rPr>
            <w:noProof/>
            <w:webHidden/>
          </w:rPr>
          <w:fldChar w:fldCharType="separate"/>
        </w:r>
        <w:r>
          <w:rPr>
            <w:noProof/>
            <w:webHidden/>
          </w:rPr>
          <w:t>1321</w:t>
        </w:r>
        <w:r>
          <w:rPr>
            <w:noProof/>
            <w:webHidden/>
          </w:rPr>
          <w:fldChar w:fldCharType="end"/>
        </w:r>
      </w:hyperlink>
    </w:p>
    <w:p>
      <w:pPr>
        <w:pStyle w:val="TOC2"/>
      </w:pPr>
      <w:hyperlink w:anchor="_Toc300001052" w:history="1">
        <w:r>
          <w:rPr>
            <w:noProof/>
          </w:rPr>
          <w:t xml:space="preserve">Article 33.4: Exchange Rate Practices</w:t>
        </w:r>
        <w:r>
          <w:rPr>
            <w:noProof/>
            <w:webHidden/>
          </w:rPr>
          <w:tab/>
        </w:r>
        <w:r>
          <w:rPr>
            <w:noProof/>
            <w:webHidden/>
          </w:rPr>
          <w:fldChar w:fldCharType="begin"/>
        </w:r>
        <w:r>
          <w:rPr>
            <w:noProof/>
            <w:webHidden/>
          </w:rPr>
          <w:instrText xml:space="preserve"> PAGEREF _Toc300001052 \h </w:instrText>
        </w:r>
        <w:r>
          <w:rPr>
            <w:noProof/>
            <w:webHidden/>
          </w:rPr>
          <w:fldChar w:fldCharType="separate"/>
        </w:r>
        <w:r>
          <w:rPr>
            <w:noProof/>
            <w:webHidden/>
          </w:rPr>
          <w:t>1321</w:t>
        </w:r>
        <w:r>
          <w:rPr>
            <w:noProof/>
            <w:webHidden/>
          </w:rPr>
          <w:fldChar w:fldCharType="end"/>
        </w:r>
      </w:hyperlink>
    </w:p>
    <w:p>
      <w:pPr>
        <w:pStyle w:val="TOC2"/>
      </w:pPr>
      <w:hyperlink w:anchor="_Toc300001053" w:history="1">
        <w:r>
          <w:rPr>
            <w:noProof/>
          </w:rPr>
          <w:t xml:space="preserve">Article 33.5: Transparency and Reporting</w:t>
        </w:r>
        <w:r>
          <w:rPr>
            <w:noProof/>
            <w:webHidden/>
          </w:rPr>
          <w:tab/>
        </w:r>
        <w:r>
          <w:rPr>
            <w:noProof/>
            <w:webHidden/>
          </w:rPr>
          <w:fldChar w:fldCharType="begin"/>
        </w:r>
        <w:r>
          <w:rPr>
            <w:noProof/>
            <w:webHidden/>
          </w:rPr>
          <w:instrText xml:space="preserve"> PAGEREF _Toc300001053 \h </w:instrText>
        </w:r>
        <w:r>
          <w:rPr>
            <w:noProof/>
            <w:webHidden/>
          </w:rPr>
          <w:fldChar w:fldCharType="separate"/>
        </w:r>
        <w:r>
          <w:rPr>
            <w:noProof/>
            <w:webHidden/>
          </w:rPr>
          <w:t>1322</w:t>
        </w:r>
        <w:r>
          <w:rPr>
            <w:noProof/>
            <w:webHidden/>
          </w:rPr>
          <w:fldChar w:fldCharType="end"/>
        </w:r>
      </w:hyperlink>
    </w:p>
    <w:p>
      <w:pPr>
        <w:pStyle w:val="TOC2"/>
      </w:pPr>
      <w:hyperlink w:anchor="_Toc300001054" w:history="1">
        <w:r>
          <w:rPr>
            <w:noProof/>
          </w:rPr>
          <w:t xml:space="preserve">Article 33.6: Macroeconomic Committee</w:t>
        </w:r>
        <w:r>
          <w:rPr>
            <w:noProof/>
            <w:webHidden/>
          </w:rPr>
          <w:tab/>
        </w:r>
        <w:r>
          <w:rPr>
            <w:noProof/>
            <w:webHidden/>
          </w:rPr>
          <w:fldChar w:fldCharType="begin"/>
        </w:r>
        <w:r>
          <w:rPr>
            <w:noProof/>
            <w:webHidden/>
          </w:rPr>
          <w:instrText xml:space="preserve"> PAGEREF _Toc300001054 \h </w:instrText>
        </w:r>
        <w:r>
          <w:rPr>
            <w:noProof/>
            <w:webHidden/>
          </w:rPr>
          <w:fldChar w:fldCharType="separate"/>
        </w:r>
        <w:r>
          <w:rPr>
            <w:noProof/>
            <w:webHidden/>
          </w:rPr>
          <w:t>1322</w:t>
        </w:r>
        <w:r>
          <w:rPr>
            <w:noProof/>
            <w:webHidden/>
          </w:rPr>
          <w:fldChar w:fldCharType="end"/>
        </w:r>
      </w:hyperlink>
    </w:p>
    <w:p>
      <w:pPr>
        <w:pStyle w:val="TOC2"/>
      </w:pPr>
      <w:hyperlink w:anchor="_Toc300001055" w:history="1">
        <w:r>
          <w:rPr>
            <w:noProof/>
          </w:rPr>
          <w:t xml:space="preserve">Article 33.7: Principal Representative Consultations</w:t>
        </w:r>
        <w:r>
          <w:rPr>
            <w:noProof/>
            <w:webHidden/>
          </w:rPr>
          <w:tab/>
        </w:r>
        <w:r>
          <w:rPr>
            <w:noProof/>
            <w:webHidden/>
          </w:rPr>
          <w:fldChar w:fldCharType="begin"/>
        </w:r>
        <w:r>
          <w:rPr>
            <w:noProof/>
            <w:webHidden/>
          </w:rPr>
          <w:instrText xml:space="preserve"> PAGEREF _Toc300001055 \h </w:instrText>
        </w:r>
        <w:r>
          <w:rPr>
            <w:noProof/>
            <w:webHidden/>
          </w:rPr>
          <w:fldChar w:fldCharType="separate"/>
        </w:r>
        <w:r>
          <w:rPr>
            <w:noProof/>
            <w:webHidden/>
          </w:rPr>
          <w:t>1323</w:t>
        </w:r>
        <w:r>
          <w:rPr>
            <w:noProof/>
            <w:webHidden/>
          </w:rPr>
          <w:fldChar w:fldCharType="end"/>
        </w:r>
      </w:hyperlink>
    </w:p>
    <w:p>
      <w:pPr>
        <w:pStyle w:val="TOC2"/>
      </w:pPr>
      <w:hyperlink w:anchor="_Toc300001056" w:history="1">
        <w:r>
          <w:rPr>
            <w:noProof/>
          </w:rPr>
          <w:t xml:space="preserve">Article 33.8: Dispute Settlement</w:t>
        </w:r>
        <w:r>
          <w:rPr>
            <w:noProof/>
            <w:webHidden/>
          </w:rPr>
          <w:tab/>
        </w:r>
        <w:r>
          <w:rPr>
            <w:noProof/>
            <w:webHidden/>
          </w:rPr>
          <w:fldChar w:fldCharType="begin"/>
        </w:r>
        <w:r>
          <w:rPr>
            <w:noProof/>
            <w:webHidden/>
          </w:rPr>
          <w:instrText xml:space="preserve"> PAGEREF _Toc300001056 \h </w:instrText>
        </w:r>
        <w:r>
          <w:rPr>
            <w:noProof/>
            <w:webHidden/>
          </w:rPr>
          <w:fldChar w:fldCharType="separate"/>
        </w:r>
        <w:r>
          <w:rPr>
            <w:noProof/>
            <w:webHidden/>
          </w:rPr>
          <w:t>1323</w:t>
        </w:r>
        <w:r>
          <w:rPr>
            <w:noProof/>
            <w:webHidden/>
          </w:rPr>
          <w:fldChar w:fldCharType="end"/>
        </w:r>
      </w:hyperlink>
    </w:p>
    <w:p>
      <w:pPr>
        <w:pStyle w:val="TOC1"/>
      </w:pPr>
      <w:hyperlink w:anchor="_Toc300001057" w:history="1">
        <w:r>
          <w:rPr>
            <w:noProof/>
          </w:rPr>
          <w:t xml:space="preserve">CHAPTER 34 FINAL PROVISIONS</w:t>
        </w:r>
        <w:r>
          <w:rPr>
            <w:noProof/>
            <w:webHidden/>
          </w:rPr>
          <w:tab/>
        </w:r>
        <w:r>
          <w:rPr>
            <w:noProof/>
            <w:webHidden/>
          </w:rPr>
          <w:fldChar w:fldCharType="begin"/>
        </w:r>
        <w:r>
          <w:rPr>
            <w:noProof/>
            <w:webHidden/>
          </w:rPr>
          <w:instrText xml:space="preserve"> PAGEREF _Toc300001057 \h </w:instrText>
        </w:r>
        <w:r>
          <w:rPr>
            <w:noProof/>
            <w:webHidden/>
          </w:rPr>
          <w:fldChar w:fldCharType="separate"/>
        </w:r>
        <w:r>
          <w:rPr>
            <w:noProof/>
            <w:webHidden/>
          </w:rPr>
          <w:t>1325</w:t>
        </w:r>
        <w:r>
          <w:rPr>
            <w:noProof/>
            <w:webHidden/>
          </w:rPr>
          <w:fldChar w:fldCharType="end"/>
        </w:r>
      </w:hyperlink>
    </w:p>
    <w:p>
      <w:pPr>
        <w:pStyle w:val="TOC2"/>
      </w:pPr>
      <w:hyperlink w:anchor="_Toc300001058" w:history="1">
        <w:r>
          <w:rPr>
            <w:noProof/>
          </w:rPr>
          <w:t xml:space="preserve">Article 34.1: Transitional Provision from NAFTA 1994</w:t>
        </w:r>
        <w:r>
          <w:rPr>
            <w:noProof/>
            <w:webHidden/>
          </w:rPr>
          <w:tab/>
        </w:r>
        <w:r>
          <w:rPr>
            <w:noProof/>
            <w:webHidden/>
          </w:rPr>
          <w:fldChar w:fldCharType="begin"/>
        </w:r>
        <w:r>
          <w:rPr>
            <w:noProof/>
            <w:webHidden/>
          </w:rPr>
          <w:instrText xml:space="preserve"> PAGEREF _Toc300001058 \h </w:instrText>
        </w:r>
        <w:r>
          <w:rPr>
            <w:noProof/>
            <w:webHidden/>
          </w:rPr>
          <w:fldChar w:fldCharType="separate"/>
        </w:r>
        <w:r>
          <w:rPr>
            <w:noProof/>
            <w:webHidden/>
          </w:rPr>
          <w:t>1325</w:t>
        </w:r>
        <w:r>
          <w:rPr>
            <w:noProof/>
            <w:webHidden/>
          </w:rPr>
          <w:fldChar w:fldCharType="end"/>
        </w:r>
      </w:hyperlink>
    </w:p>
    <w:p>
      <w:pPr>
        <w:pStyle w:val="TOC2"/>
      </w:pPr>
      <w:hyperlink w:anchor="_Toc300001059" w:history="1">
        <w:r>
          <w:rPr>
            <w:noProof/>
          </w:rPr>
          <w:t xml:space="preserve">Article 34.2: Annexes, Appendices, and Footnotes</w:t>
        </w:r>
        <w:r>
          <w:rPr>
            <w:noProof/>
            <w:webHidden/>
          </w:rPr>
          <w:tab/>
        </w:r>
        <w:r>
          <w:rPr>
            <w:noProof/>
            <w:webHidden/>
          </w:rPr>
          <w:fldChar w:fldCharType="begin"/>
        </w:r>
        <w:r>
          <w:rPr>
            <w:noProof/>
            <w:webHidden/>
          </w:rPr>
          <w:instrText xml:space="preserve"> PAGEREF _Toc300001059 \h </w:instrText>
        </w:r>
        <w:r>
          <w:rPr>
            <w:noProof/>
            <w:webHidden/>
          </w:rPr>
          <w:fldChar w:fldCharType="separate"/>
        </w:r>
        <w:r>
          <w:rPr>
            <w:noProof/>
            <w:webHidden/>
          </w:rPr>
          <w:t>1325</w:t>
        </w:r>
        <w:r>
          <w:rPr>
            <w:noProof/>
            <w:webHidden/>
          </w:rPr>
          <w:fldChar w:fldCharType="end"/>
        </w:r>
      </w:hyperlink>
    </w:p>
    <w:p>
      <w:pPr>
        <w:pStyle w:val="TOC2"/>
      </w:pPr>
      <w:hyperlink w:anchor="_Toc300001060" w:history="1">
        <w:r>
          <w:rPr>
            <w:noProof/>
          </w:rPr>
          <w:t xml:space="preserve">Article 34.3: Amendments</w:t>
        </w:r>
        <w:r>
          <w:rPr>
            <w:noProof/>
            <w:webHidden/>
          </w:rPr>
          <w:tab/>
        </w:r>
        <w:r>
          <w:rPr>
            <w:noProof/>
            <w:webHidden/>
          </w:rPr>
          <w:fldChar w:fldCharType="begin"/>
        </w:r>
        <w:r>
          <w:rPr>
            <w:noProof/>
            <w:webHidden/>
          </w:rPr>
          <w:instrText xml:space="preserve"> PAGEREF _Toc300001060 \h </w:instrText>
        </w:r>
        <w:r>
          <w:rPr>
            <w:noProof/>
            <w:webHidden/>
          </w:rPr>
          <w:fldChar w:fldCharType="separate"/>
        </w:r>
        <w:r>
          <w:rPr>
            <w:noProof/>
            <w:webHidden/>
          </w:rPr>
          <w:t>1325</w:t>
        </w:r>
        <w:r>
          <w:rPr>
            <w:noProof/>
            <w:webHidden/>
          </w:rPr>
          <w:fldChar w:fldCharType="end"/>
        </w:r>
      </w:hyperlink>
    </w:p>
    <w:p>
      <w:pPr>
        <w:pStyle w:val="TOC2"/>
      </w:pPr>
      <w:hyperlink w:anchor="_Toc300001061" w:history="1">
        <w:r>
          <w:rPr>
            <w:noProof/>
          </w:rPr>
          <w:t xml:space="preserve">Article 34.4: Amendment of the WTO Agreement</w:t>
        </w:r>
        <w:r>
          <w:rPr>
            <w:noProof/>
            <w:webHidden/>
          </w:rPr>
          <w:tab/>
        </w:r>
        <w:r>
          <w:rPr>
            <w:noProof/>
            <w:webHidden/>
          </w:rPr>
          <w:fldChar w:fldCharType="begin"/>
        </w:r>
        <w:r>
          <w:rPr>
            <w:noProof/>
            <w:webHidden/>
          </w:rPr>
          <w:instrText xml:space="preserve"> PAGEREF _Toc300001061 \h </w:instrText>
        </w:r>
        <w:r>
          <w:rPr>
            <w:noProof/>
            <w:webHidden/>
          </w:rPr>
          <w:fldChar w:fldCharType="separate"/>
        </w:r>
        <w:r>
          <w:rPr>
            <w:noProof/>
            <w:webHidden/>
          </w:rPr>
          <w:t>1326</w:t>
        </w:r>
        <w:r>
          <w:rPr>
            <w:noProof/>
            <w:webHidden/>
          </w:rPr>
          <w:fldChar w:fldCharType="end"/>
        </w:r>
      </w:hyperlink>
    </w:p>
    <w:p>
      <w:pPr>
        <w:pStyle w:val="TOC2"/>
      </w:pPr>
      <w:hyperlink w:anchor="_Toc300001062" w:history="1">
        <w:r>
          <w:rPr>
            <w:noProof/>
          </w:rPr>
          <w:t xml:space="preserve">Article 34.5: Entry into Force</w:t>
        </w:r>
        <w:r>
          <w:rPr>
            <w:noProof/>
            <w:webHidden/>
          </w:rPr>
          <w:tab/>
        </w:r>
        <w:r>
          <w:rPr>
            <w:noProof/>
            <w:webHidden/>
          </w:rPr>
          <w:fldChar w:fldCharType="begin"/>
        </w:r>
        <w:r>
          <w:rPr>
            <w:noProof/>
            <w:webHidden/>
          </w:rPr>
          <w:instrText xml:space="preserve"> PAGEREF _Toc300001062 \h </w:instrText>
        </w:r>
        <w:r>
          <w:rPr>
            <w:noProof/>
            <w:webHidden/>
          </w:rPr>
          <w:fldChar w:fldCharType="separate"/>
        </w:r>
        <w:r>
          <w:rPr>
            <w:noProof/>
            <w:webHidden/>
          </w:rPr>
          <w:t>1326</w:t>
        </w:r>
        <w:r>
          <w:rPr>
            <w:noProof/>
            <w:webHidden/>
          </w:rPr>
          <w:fldChar w:fldCharType="end"/>
        </w:r>
      </w:hyperlink>
    </w:p>
    <w:p>
      <w:pPr>
        <w:pStyle w:val="TOC2"/>
      </w:pPr>
      <w:hyperlink w:anchor="_Toc300001063" w:history="1">
        <w:r>
          <w:rPr>
            <w:noProof/>
          </w:rPr>
          <w:t xml:space="preserve">Article 34.6: Withdrawal</w:t>
        </w:r>
        <w:r>
          <w:rPr>
            <w:noProof/>
            <w:webHidden/>
          </w:rPr>
          <w:tab/>
        </w:r>
        <w:r>
          <w:rPr>
            <w:noProof/>
            <w:webHidden/>
          </w:rPr>
          <w:fldChar w:fldCharType="begin"/>
        </w:r>
        <w:r>
          <w:rPr>
            <w:noProof/>
            <w:webHidden/>
          </w:rPr>
          <w:instrText xml:space="preserve"> PAGEREF _Toc300001063 \h </w:instrText>
        </w:r>
        <w:r>
          <w:rPr>
            <w:noProof/>
            <w:webHidden/>
          </w:rPr>
          <w:fldChar w:fldCharType="separate"/>
        </w:r>
        <w:r>
          <w:rPr>
            <w:noProof/>
            <w:webHidden/>
          </w:rPr>
          <w:t>1326</w:t>
        </w:r>
        <w:r>
          <w:rPr>
            <w:noProof/>
            <w:webHidden/>
          </w:rPr>
          <w:fldChar w:fldCharType="end"/>
        </w:r>
      </w:hyperlink>
    </w:p>
    <w:p>
      <w:pPr>
        <w:pStyle w:val="TOC2"/>
      </w:pPr>
      <w:hyperlink w:anchor="_Toc300001064" w:history="1">
        <w:r>
          <w:rPr>
            <w:noProof/>
          </w:rPr>
          <w:t xml:space="preserve">Article 34.7: Continuous Duration and Periodic Modernization Review</w:t>
        </w:r>
        <w:r>
          <w:rPr>
            <w:noProof/>
            <w:webHidden/>
          </w:rPr>
          <w:tab/>
        </w:r>
        <w:r>
          <w:rPr>
            <w:noProof/>
            <w:webHidden/>
          </w:rPr>
          <w:fldChar w:fldCharType="begin"/>
        </w:r>
        <w:r>
          <w:rPr>
            <w:noProof/>
            <w:webHidden/>
          </w:rPr>
          <w:instrText xml:space="preserve"> PAGEREF _Toc300001064 \h </w:instrText>
        </w:r>
        <w:r>
          <w:rPr>
            <w:noProof/>
            <w:webHidden/>
          </w:rPr>
          <w:fldChar w:fldCharType="separate"/>
        </w:r>
        <w:r>
          <w:rPr>
            <w:noProof/>
            <w:webHidden/>
          </w:rPr>
          <w:t>1326</w:t>
        </w:r>
        <w:r>
          <w:rPr>
            <w:noProof/>
            <w:webHidden/>
          </w:rPr>
          <w:fldChar w:fldCharType="end"/>
        </w:r>
      </w:hyperlink>
    </w:p>
    <w:p>
      <w:pPr>
        <w:pStyle w:val="TOC2"/>
      </w:pPr>
      <w:hyperlink w:anchor="_Toc300001065" w:history="1">
        <w:r>
          <w:rPr>
            <w:noProof/>
          </w:rPr>
          <w:t xml:space="preserve">Article 34.8: Authentic Texts</w:t>
        </w:r>
        <w:r>
          <w:rPr>
            <w:noProof/>
            <w:webHidden/>
          </w:rPr>
          <w:tab/>
        </w:r>
        <w:r>
          <w:rPr>
            <w:noProof/>
            <w:webHidden/>
          </w:rPr>
          <w:fldChar w:fldCharType="begin"/>
        </w:r>
        <w:r>
          <w:rPr>
            <w:noProof/>
            <w:webHidden/>
          </w:rPr>
          <w:instrText xml:space="preserve"> PAGEREF _Toc300001065 \h </w:instrText>
        </w:r>
        <w:r>
          <w:rPr>
            <w:noProof/>
            <w:webHidden/>
          </w:rPr>
          <w:fldChar w:fldCharType="separate"/>
        </w:r>
        <w:r>
          <w:rPr>
            <w:noProof/>
            <w:webHidden/>
          </w:rPr>
          <w:t>1327</w:t>
        </w:r>
        <w:r>
          <w:rPr>
            <w:noProof/>
            <w:webHidden/>
          </w:rPr>
          <w:fldChar w:fldCharType="end"/>
        </w:r>
      </w:hyperlink>
    </w:p>
    <w:p>
      <w:pPr>
        <w:pStyle w:val="TOC2"/>
      </w:pPr>
      <w:hyperlink w:anchor="_Toc300001066" w:history="1">
        <w:r>
          <w:rPr>
            <w:noProof/>
          </w:rPr>
          <w:t xml:space="preserve">CHAPTER 34: CUSMA 2.0 MODERNIZATION PROVISIONS</w:t>
        </w:r>
        <w:r>
          <w:rPr>
            <w:noProof/>
            <w:webHidden/>
          </w:rPr>
          <w:tab/>
        </w:r>
        <w:r>
          <w:rPr>
            <w:noProof/>
            <w:webHidden/>
          </w:rPr>
          <w:fldChar w:fldCharType="begin"/>
        </w:r>
        <w:r>
          <w:rPr>
            <w:noProof/>
            <w:webHidden/>
          </w:rPr>
          <w:instrText xml:space="preserve"> PAGEREF _Toc300001066 \h </w:instrText>
        </w:r>
        <w:r>
          <w:rPr>
            <w:noProof/>
            <w:webHidden/>
          </w:rPr>
          <w:fldChar w:fldCharType="separate"/>
        </w:r>
        <w:r>
          <w:rPr>
            <w:noProof/>
            <w:webHidden/>
          </w:rPr>
          <w:t>1327</w:t>
        </w:r>
        <w:r>
          <w:rPr>
            <w:noProof/>
            <w:webHidden/>
          </w:rPr>
          <w:fldChar w:fldCharType="end"/>
        </w:r>
      </w:hyperlink>
    </w:p>
    <w:p>
      <w:pPr>
        <w:pStyle w:val="TOC2"/>
      </w:pPr>
      <w:hyperlink w:anchor="_Toc300001067" w:history="1">
        <w:r>
          <w:rPr>
            <w:noProof/>
          </w:rPr>
          <w:t xml:space="preserve">Article 34.A: Amendments and the Structured Technical Amendment Procedure (Supplement to Article 34.3)</w:t>
        </w:r>
        <w:r>
          <w:rPr>
            <w:noProof/>
            <w:webHidden/>
          </w:rPr>
          <w:tab/>
        </w:r>
        <w:r>
          <w:rPr>
            <w:noProof/>
            <w:webHidden/>
          </w:rPr>
          <w:fldChar w:fldCharType="begin"/>
        </w:r>
        <w:r>
          <w:rPr>
            <w:noProof/>
            <w:webHidden/>
          </w:rPr>
          <w:instrText xml:space="preserve"> PAGEREF _Toc300001067 \h </w:instrText>
        </w:r>
        <w:r>
          <w:rPr>
            <w:noProof/>
            <w:webHidden/>
          </w:rPr>
          <w:fldChar w:fldCharType="separate"/>
        </w:r>
        <w:r>
          <w:rPr>
            <w:noProof/>
            <w:webHidden/>
          </w:rPr>
          <w:t>1327</w:t>
        </w:r>
        <w:r>
          <w:rPr>
            <w:noProof/>
            <w:webHidden/>
          </w:rPr>
          <w:fldChar w:fldCharType="end"/>
        </w:r>
      </w:hyperlink>
    </w:p>
    <w:p>
      <w:pPr>
        <w:pStyle w:val="TOC2"/>
      </w:pPr>
      <w:hyperlink w:anchor="_Toc300001068" w:history="1">
        <w:r>
          <w:rPr>
            <w:noProof/>
          </w:rPr>
          <w:t xml:space="preserve">Article 34.A.1A: Reserved Sovereignty Matters and Late-Stage Amendment Safeguard</w:t>
        </w:r>
        <w:r>
          <w:rPr>
            <w:noProof/>
            <w:webHidden/>
          </w:rPr>
          <w:tab/>
        </w:r>
        <w:r>
          <w:rPr>
            <w:noProof/>
            <w:webHidden/>
          </w:rPr>
          <w:fldChar w:fldCharType="begin"/>
        </w:r>
        <w:r>
          <w:rPr>
            <w:noProof/>
            <w:webHidden/>
          </w:rPr>
          <w:instrText xml:space="preserve"> PAGEREF _Toc300001068 \h </w:instrText>
        </w:r>
        <w:r>
          <w:rPr>
            <w:noProof/>
            <w:webHidden/>
          </w:rPr>
          <w:fldChar w:fldCharType="separate"/>
        </w:r>
        <w:r>
          <w:rPr>
            <w:noProof/>
            <w:webHidden/>
          </w:rPr>
          <w:t>1328</w:t>
        </w:r>
        <w:r>
          <w:rPr>
            <w:noProof/>
            <w:webHidden/>
          </w:rPr>
          <w:fldChar w:fldCharType="end"/>
        </w:r>
      </w:hyperlink>
    </w:p>
    <w:p>
      <w:pPr>
        <w:pStyle w:val="TOC2"/>
      </w:pPr>
      <w:hyperlink w:anchor="_Toc300001069" w:history="1">
        <w:r>
          <w:rPr>
            <w:noProof/>
          </w:rPr>
          <w:t xml:space="preserve">Article 34.A.1B: Restrictions on Chapter 23-B Amendments</w:t>
        </w:r>
        <w:r>
          <w:rPr>
            <w:noProof/>
            <w:webHidden/>
          </w:rPr>
          <w:tab/>
        </w:r>
        <w:r>
          <w:rPr>
            <w:noProof/>
            <w:webHidden/>
          </w:rPr>
          <w:fldChar w:fldCharType="begin"/>
        </w:r>
        <w:r>
          <w:rPr>
            <w:noProof/>
            <w:webHidden/>
          </w:rPr>
          <w:instrText xml:space="preserve"> PAGEREF _Toc300001069 \h </w:instrText>
        </w:r>
        <w:r>
          <w:rPr>
            <w:noProof/>
            <w:webHidden/>
          </w:rPr>
          <w:fldChar w:fldCharType="separate"/>
        </w:r>
        <w:r>
          <w:rPr>
            <w:noProof/>
            <w:webHidden/>
          </w:rPr>
          <w:t>1328</w:t>
        </w:r>
        <w:r>
          <w:rPr>
            <w:noProof/>
            <w:webHidden/>
          </w:rPr>
          <w:fldChar w:fldCharType="end"/>
        </w:r>
      </w:hyperlink>
    </w:p>
    <w:p>
      <w:pPr>
        <w:pStyle w:val="TOC2"/>
      </w:pPr>
      <w:hyperlink w:anchor="_Toc300001070" w:history="1">
        <w:r>
          <w:rPr>
            <w:noProof/>
          </w:rPr>
          <w:t xml:space="preserve">Article 34.B: Continuous Duration and Periodic Modernization Review (Replacement of Article 34.7)</w:t>
        </w:r>
        <w:r>
          <w:rPr>
            <w:noProof/>
            <w:webHidden/>
          </w:rPr>
          <w:tab/>
        </w:r>
        <w:r>
          <w:rPr>
            <w:noProof/>
            <w:webHidden/>
          </w:rPr>
          <w:fldChar w:fldCharType="begin"/>
        </w:r>
        <w:r>
          <w:rPr>
            <w:noProof/>
            <w:webHidden/>
          </w:rPr>
          <w:instrText xml:space="preserve"> PAGEREF _Toc300001070 \h </w:instrText>
        </w:r>
        <w:r>
          <w:rPr>
            <w:noProof/>
            <w:webHidden/>
          </w:rPr>
          <w:fldChar w:fldCharType="separate"/>
        </w:r>
        <w:r>
          <w:rPr>
            <w:noProof/>
            <w:webHidden/>
          </w:rPr>
          <w:t>1329</w:t>
        </w:r>
        <w:r>
          <w:rPr>
            <w:noProof/>
            <w:webHidden/>
          </w:rPr>
          <w:fldChar w:fldCharType="end"/>
        </w:r>
      </w:hyperlink>
    </w:p>
    <w:p>
      <w:pPr>
        <w:pStyle w:val="TOC2"/>
      </w:pPr>
      <w:hyperlink w:anchor="_Toc300001071" w:history="1">
        <w:r>
          <w:rPr>
            <w:noProof/>
          </w:rPr>
          <w:t xml:space="preserve">Article 34.B.1: Primacy of Human Rights and Worker Protection</w:t>
        </w:r>
        <w:r>
          <w:rPr>
            <w:noProof/>
            <w:webHidden/>
          </w:rPr>
          <w:tab/>
        </w:r>
        <w:r>
          <w:rPr>
            <w:noProof/>
            <w:webHidden/>
          </w:rPr>
          <w:fldChar w:fldCharType="begin"/>
        </w:r>
        <w:r>
          <w:rPr>
            <w:noProof/>
            <w:webHidden/>
          </w:rPr>
          <w:instrText xml:space="preserve"> PAGEREF _Toc300001071 \h </w:instrText>
        </w:r>
        <w:r>
          <w:rPr>
            <w:noProof/>
            <w:webHidden/>
          </w:rPr>
          <w:fldChar w:fldCharType="separate"/>
        </w:r>
        <w:r>
          <w:rPr>
            <w:noProof/>
            <w:webHidden/>
          </w:rPr>
          <w:t>1330</w:t>
        </w:r>
        <w:r>
          <w:rPr>
            <w:noProof/>
            <w:webHidden/>
          </w:rPr>
          <w:fldChar w:fldCharType="end"/>
        </w:r>
      </w:hyperlink>
    </w:p>
    <w:p>
      <w:pPr>
        <w:pStyle w:val="TOC2"/>
      </w:pPr>
      <w:hyperlink w:anchor="_Toc300001072" w:history="1">
        <w:r>
          <w:rPr>
            <w:noProof/>
          </w:rPr>
          <w:t xml:space="preserve">Article 34.C: Consolidation and Legacy Instruments</w:t>
        </w:r>
        <w:r>
          <w:rPr>
            <w:noProof/>
            <w:webHidden/>
          </w:rPr>
          <w:tab/>
        </w:r>
        <w:r>
          <w:rPr>
            <w:noProof/>
            <w:webHidden/>
          </w:rPr>
          <w:fldChar w:fldCharType="begin"/>
        </w:r>
        <w:r>
          <w:rPr>
            <w:noProof/>
            <w:webHidden/>
          </w:rPr>
          <w:instrText xml:space="preserve"> PAGEREF _Toc300001072 \h </w:instrText>
        </w:r>
        <w:r>
          <w:rPr>
            <w:noProof/>
            <w:webHidden/>
          </w:rPr>
          <w:fldChar w:fldCharType="separate"/>
        </w:r>
        <w:r>
          <w:rPr>
            <w:noProof/>
            <w:webHidden/>
          </w:rPr>
          <w:t>1330</w:t>
        </w:r>
        <w:r>
          <w:rPr>
            <w:noProof/>
            <w:webHidden/>
          </w:rPr>
          <w:fldChar w:fldCharType="end"/>
        </w:r>
      </w:hyperlink>
    </w:p>
    <w:p>
      <w:pPr>
        <w:pStyle w:val="TOC2"/>
      </w:pPr>
      <w:hyperlink w:anchor="_Toc300001073" w:history="1">
        <w:r>
          <w:rPr>
            <w:noProof/>
          </w:rPr>
          <w:t xml:space="preserve">Article 34.D: Accession and Future Relations</w:t>
        </w:r>
        <w:r>
          <w:rPr>
            <w:noProof/>
            <w:webHidden/>
          </w:rPr>
          <w:tab/>
        </w:r>
        <w:r>
          <w:rPr>
            <w:noProof/>
            <w:webHidden/>
          </w:rPr>
          <w:fldChar w:fldCharType="begin"/>
        </w:r>
        <w:r>
          <w:rPr>
            <w:noProof/>
            <w:webHidden/>
          </w:rPr>
          <w:instrText xml:space="preserve"> PAGEREF _Toc300001073 \h </w:instrText>
        </w:r>
        <w:r>
          <w:rPr>
            <w:noProof/>
            <w:webHidden/>
          </w:rPr>
          <w:fldChar w:fldCharType="separate"/>
        </w:r>
        <w:r>
          <w:rPr>
            <w:noProof/>
            <w:webHidden/>
          </w:rPr>
          <w:t>1330</w:t>
        </w:r>
        <w:r>
          <w:rPr>
            <w:noProof/>
            <w:webHidden/>
          </w:rPr>
          <w:fldChar w:fldCharType="end"/>
        </w:r>
      </w:hyperlink>
    </w:p>
    <w:p>
      <w:pPr>
        <w:pStyle w:val="TOC2"/>
      </w:pPr>
      <w:hyperlink w:anchor="_Toc300001074" w:history="1">
        <w:r>
          <w:rPr>
            <w:noProof/>
          </w:rPr>
          <w:t xml:space="preserve">Article 34.E: Entry into Force and Transitional Provisions</w:t>
        </w:r>
        <w:r>
          <w:rPr>
            <w:noProof/>
            <w:webHidden/>
          </w:rPr>
          <w:tab/>
        </w:r>
        <w:r>
          <w:rPr>
            <w:noProof/>
            <w:webHidden/>
          </w:rPr>
          <w:fldChar w:fldCharType="begin"/>
        </w:r>
        <w:r>
          <w:rPr>
            <w:noProof/>
            <w:webHidden/>
          </w:rPr>
          <w:instrText xml:space="preserve"> PAGEREF _Toc300001074 \h </w:instrText>
        </w:r>
        <w:r>
          <w:rPr>
            <w:noProof/>
            <w:webHidden/>
          </w:rPr>
          <w:fldChar w:fldCharType="separate"/>
        </w:r>
        <w:r>
          <w:rPr>
            <w:noProof/>
            <w:webHidden/>
          </w:rPr>
          <w:t>1331</w:t>
        </w:r>
        <w:r>
          <w:rPr>
            <w:noProof/>
            <w:webHidden/>
          </w:rPr>
          <w:fldChar w:fldCharType="end"/>
        </w:r>
      </w:hyperlink>
    </w:p>
    <w:p>
      <w:pPr>
        <w:pStyle w:val="TOC2"/>
      </w:pPr>
      <w:hyperlink w:anchor="_Toc300001075" w:history="1">
        <w:r>
          <w:rPr>
            <w:noProof/>
          </w:rPr>
          <w:t xml:space="preserve">ANNEX 34-G: PRESERVED AMENDING PROTOCOL, INTEGRAL INSTRUMENTS, AND IMPLEMENTATION CONTINUITY</w:t>
        </w:r>
        <w:r>
          <w:rPr>
            <w:noProof/>
            <w:webHidden/>
          </w:rPr>
          <w:tab/>
        </w:r>
        <w:r>
          <w:rPr>
            <w:noProof/>
            <w:webHidden/>
          </w:rPr>
          <w:fldChar w:fldCharType="begin"/>
        </w:r>
        <w:r>
          <w:rPr>
            <w:noProof/>
            <w:webHidden/>
          </w:rPr>
          <w:instrText xml:space="preserve"> PAGEREF _Toc300001075 \h </w:instrText>
        </w:r>
        <w:r>
          <w:rPr>
            <w:noProof/>
            <w:webHidden/>
          </w:rPr>
          <w:fldChar w:fldCharType="separate"/>
        </w:r>
        <w:r>
          <w:rPr>
            <w:noProof/>
            <w:webHidden/>
          </w:rPr>
          <w:t>1332</w:t>
        </w:r>
        <w:r>
          <w:rPr>
            <w:noProof/>
            <w:webHidden/>
          </w:rPr>
          <w:fldChar w:fldCharType="end"/>
        </w:r>
      </w:hyperlink>
    </w:p>
    <w:p>
      <w:pPr>
        <w:pStyle w:val="TOC2"/>
      </w:pPr>
      <w:hyperlink w:anchor="_Toc300001076" w:history="1">
        <w:r>
          <w:rPr>
            <w:noProof/>
          </w:rPr>
          <w:t xml:space="preserve">PART A: 2019 PROTOCOL OF AMENDMENT (CONTROLLING ORIGINAL TEXT)</w:t>
        </w:r>
        <w:r>
          <w:rPr>
            <w:noProof/>
            <w:webHidden/>
          </w:rPr>
          <w:tab/>
        </w:r>
        <w:r>
          <w:rPr>
            <w:noProof/>
            <w:webHidden/>
          </w:rPr>
          <w:fldChar w:fldCharType="begin"/>
        </w:r>
        <w:r>
          <w:rPr>
            <w:noProof/>
            <w:webHidden/>
          </w:rPr>
          <w:instrText xml:space="preserve"> PAGEREF _Toc300001076 \h </w:instrText>
        </w:r>
        <w:r>
          <w:rPr>
            <w:noProof/>
            <w:webHidden/>
          </w:rPr>
          <w:fldChar w:fldCharType="separate"/>
        </w:r>
        <w:r>
          <w:rPr>
            <w:noProof/>
            <w:webHidden/>
          </w:rPr>
          <w:t>1332</w:t>
        </w:r>
        <w:r>
          <w:rPr>
            <w:noProof/>
            <w:webHidden/>
          </w:rPr>
          <w:fldChar w:fldCharType="end"/>
        </w:r>
      </w:hyperlink>
    </w:p>
    <w:p>
      <w:pPr>
        <w:pStyle w:val="TOC2"/>
      </w:pPr>
      <w:hyperlink w:anchor="_Toc300001077" w:history="1">
        <w:r>
          <w:rPr>
            <w:noProof/>
          </w:rPr>
          <w:t xml:space="preserve">ANNEX 31-A UNITED STATES-MEXICO FACILITY-SPECIFIC RAPID RESPONSE LABOR MECHANISM</w:t>
        </w:r>
        <w:r>
          <w:rPr>
            <w:noProof/>
            <w:webHidden/>
          </w:rPr>
          <w:tab/>
        </w:r>
        <w:r>
          <w:rPr>
            <w:noProof/>
            <w:webHidden/>
          </w:rPr>
          <w:fldChar w:fldCharType="begin"/>
        </w:r>
        <w:r>
          <w:rPr>
            <w:noProof/>
            <w:webHidden/>
          </w:rPr>
          <w:instrText xml:space="preserve"> PAGEREF _Toc300001077 \h </w:instrText>
        </w:r>
        <w:r>
          <w:rPr>
            <w:noProof/>
            <w:webHidden/>
          </w:rPr>
          <w:fldChar w:fldCharType="separate"/>
        </w:r>
        <w:r>
          <w:rPr>
            <w:noProof/>
            <w:webHidden/>
          </w:rPr>
          <w:t>1341</w:t>
        </w:r>
        <w:r>
          <w:rPr>
            <w:noProof/>
            <w:webHidden/>
          </w:rPr>
          <w:fldChar w:fldCharType="end"/>
        </w:r>
      </w:hyperlink>
    </w:p>
    <w:p>
      <w:pPr>
        <w:pStyle w:val="TOC2"/>
      </w:pPr>
      <w:hyperlink w:anchor="_Toc300001078" w:history="1">
        <w:r>
          <w:rPr>
            <w:noProof/>
          </w:rPr>
          <w:t xml:space="preserve">TRANSITIONAL STATUS UNDER NAESTMA ARTICLE 31.E</w:t>
        </w:r>
        <w:r>
          <w:rPr>
            <w:noProof/>
            <w:webHidden/>
          </w:rPr>
          <w:tab/>
        </w:r>
        <w:r>
          <w:rPr>
            <w:noProof/>
            <w:webHidden/>
          </w:rPr>
          <w:fldChar w:fldCharType="begin"/>
        </w:r>
        <w:r>
          <w:rPr>
            <w:noProof/>
            <w:webHidden/>
          </w:rPr>
          <w:instrText xml:space="preserve"> PAGEREF _Toc300001078 \h </w:instrText>
        </w:r>
        <w:r>
          <w:rPr>
            <w:noProof/>
            <w:webHidden/>
          </w:rPr>
          <w:fldChar w:fldCharType="separate"/>
        </w:r>
        <w:r>
          <w:rPr>
            <w:noProof/>
            <w:webHidden/>
          </w:rPr>
          <w:t>1341</w:t>
        </w:r>
        <w:r>
          <w:rPr>
            <w:noProof/>
            <w:webHidden/>
          </w:rPr>
          <w:fldChar w:fldCharType="end"/>
        </w:r>
      </w:hyperlink>
    </w:p>
    <w:p>
      <w:pPr>
        <w:pStyle w:val="TOC2"/>
      </w:pPr>
      <w:hyperlink w:anchor="_Toc300001079" w:history="1">
        <w:r>
          <w:rPr>
            <w:noProof/>
          </w:rPr>
          <w:t xml:space="preserve">Article 31-A.1: Scope and Purpose</w:t>
        </w:r>
        <w:r>
          <w:rPr>
            <w:noProof/>
            <w:webHidden/>
          </w:rPr>
          <w:tab/>
        </w:r>
        <w:r>
          <w:rPr>
            <w:noProof/>
            <w:webHidden/>
          </w:rPr>
          <w:fldChar w:fldCharType="begin"/>
        </w:r>
        <w:r>
          <w:rPr>
            <w:noProof/>
            <w:webHidden/>
          </w:rPr>
          <w:instrText xml:space="preserve"> PAGEREF _Toc300001079 \h </w:instrText>
        </w:r>
        <w:r>
          <w:rPr>
            <w:noProof/>
            <w:webHidden/>
          </w:rPr>
          <w:fldChar w:fldCharType="separate"/>
        </w:r>
        <w:r>
          <w:rPr>
            <w:noProof/>
            <w:webHidden/>
          </w:rPr>
          <w:t>1341</w:t>
        </w:r>
        <w:r>
          <w:rPr>
            <w:noProof/>
            <w:webHidden/>
          </w:rPr>
          <w:fldChar w:fldCharType="end"/>
        </w:r>
      </w:hyperlink>
    </w:p>
    <w:p>
      <w:pPr>
        <w:pStyle w:val="TOC2"/>
      </w:pPr>
      <w:hyperlink w:anchor="_Toc300001080" w:history="1">
        <w:r>
          <w:rPr>
            <w:noProof/>
          </w:rPr>
          <w:t xml:space="preserve">Article 31-A.2: Denial of Rights</w:t>
        </w:r>
        <w:r>
          <w:rPr>
            <w:noProof/>
            <w:webHidden/>
          </w:rPr>
          <w:tab/>
        </w:r>
        <w:r>
          <w:rPr>
            <w:noProof/>
            <w:webHidden/>
          </w:rPr>
          <w:fldChar w:fldCharType="begin"/>
        </w:r>
        <w:r>
          <w:rPr>
            <w:noProof/>
            <w:webHidden/>
          </w:rPr>
          <w:instrText xml:space="preserve"> PAGEREF _Toc300001080 \h </w:instrText>
        </w:r>
        <w:r>
          <w:rPr>
            <w:noProof/>
            <w:webHidden/>
          </w:rPr>
          <w:fldChar w:fldCharType="separate"/>
        </w:r>
        <w:r>
          <w:rPr>
            <w:noProof/>
            <w:webHidden/>
          </w:rPr>
          <w:t>1341</w:t>
        </w:r>
        <w:r>
          <w:rPr>
            <w:noProof/>
            <w:webHidden/>
          </w:rPr>
          <w:fldChar w:fldCharType="end"/>
        </w:r>
      </w:hyperlink>
    </w:p>
    <w:p>
      <w:pPr>
        <w:pStyle w:val="TOC2"/>
      </w:pPr>
      <w:hyperlink w:anchor="_Toc300001081" w:history="1">
        <w:r>
          <w:rPr>
            <w:noProof/>
          </w:rPr>
          <w:t xml:space="preserve">Article 31-A.3: Lists of Rapid Response Labor Panelists</w:t>
        </w:r>
        <w:r>
          <w:rPr>
            <w:noProof/>
            <w:webHidden/>
          </w:rPr>
          <w:tab/>
        </w:r>
        <w:r>
          <w:rPr>
            <w:noProof/>
            <w:webHidden/>
          </w:rPr>
          <w:fldChar w:fldCharType="begin"/>
        </w:r>
        <w:r>
          <w:rPr>
            <w:noProof/>
            <w:webHidden/>
          </w:rPr>
          <w:instrText xml:space="preserve"> PAGEREF _Toc300001081 \h </w:instrText>
        </w:r>
        <w:r>
          <w:rPr>
            <w:noProof/>
            <w:webHidden/>
          </w:rPr>
          <w:fldChar w:fldCharType="separate"/>
        </w:r>
        <w:r>
          <w:rPr>
            <w:noProof/>
            <w:webHidden/>
          </w:rPr>
          <w:t>1341</w:t>
        </w:r>
        <w:r>
          <w:rPr>
            <w:noProof/>
            <w:webHidden/>
          </w:rPr>
          <w:fldChar w:fldCharType="end"/>
        </w:r>
      </w:hyperlink>
    </w:p>
    <w:p>
      <w:pPr>
        <w:pStyle w:val="TOC2"/>
      </w:pPr>
      <w:hyperlink w:anchor="_Toc300001082" w:history="1">
        <w:r>
          <w:rPr>
            <w:noProof/>
          </w:rPr>
          <w:t xml:space="preserve">Article 31-A.4: Requests for Review and Remediation</w:t>
        </w:r>
        <w:r>
          <w:rPr>
            <w:noProof/>
            <w:webHidden/>
          </w:rPr>
          <w:tab/>
        </w:r>
        <w:r>
          <w:rPr>
            <w:noProof/>
            <w:webHidden/>
          </w:rPr>
          <w:fldChar w:fldCharType="begin"/>
        </w:r>
        <w:r>
          <w:rPr>
            <w:noProof/>
            <w:webHidden/>
          </w:rPr>
          <w:instrText xml:space="preserve"> PAGEREF _Toc300001082 \h </w:instrText>
        </w:r>
        <w:r>
          <w:rPr>
            <w:noProof/>
            <w:webHidden/>
          </w:rPr>
          <w:fldChar w:fldCharType="separate"/>
        </w:r>
        <w:r>
          <w:rPr>
            <w:noProof/>
            <w:webHidden/>
          </w:rPr>
          <w:t>1342</w:t>
        </w:r>
        <w:r>
          <w:rPr>
            <w:noProof/>
            <w:webHidden/>
          </w:rPr>
          <w:fldChar w:fldCharType="end"/>
        </w:r>
      </w:hyperlink>
    </w:p>
    <w:p>
      <w:pPr>
        <w:pStyle w:val="TOC2"/>
      </w:pPr>
      <w:hyperlink w:anchor="_Toc300001083" w:history="1">
        <w:r>
          <w:rPr>
            <w:noProof/>
          </w:rPr>
          <w:t xml:space="preserve">Article 31-A.5: Requests for Establishment of Rapid Response Labor Panel</w:t>
        </w:r>
        <w:r>
          <w:rPr>
            <w:noProof/>
            <w:webHidden/>
          </w:rPr>
          <w:tab/>
        </w:r>
        <w:r>
          <w:rPr>
            <w:noProof/>
            <w:webHidden/>
          </w:rPr>
          <w:fldChar w:fldCharType="begin"/>
        </w:r>
        <w:r>
          <w:rPr>
            <w:noProof/>
            <w:webHidden/>
          </w:rPr>
          <w:instrText xml:space="preserve"> PAGEREF _Toc300001083 \h </w:instrText>
        </w:r>
        <w:r>
          <w:rPr>
            <w:noProof/>
            <w:webHidden/>
          </w:rPr>
          <w:fldChar w:fldCharType="separate"/>
        </w:r>
        <w:r>
          <w:rPr>
            <w:noProof/>
            <w:webHidden/>
          </w:rPr>
          <w:t>1343</w:t>
        </w:r>
        <w:r>
          <w:rPr>
            <w:noProof/>
            <w:webHidden/>
          </w:rPr>
          <w:fldChar w:fldCharType="end"/>
        </w:r>
      </w:hyperlink>
    </w:p>
    <w:p>
      <w:pPr>
        <w:pStyle w:val="TOC2"/>
      </w:pPr>
      <w:hyperlink w:anchor="_Toc300001084" w:history="1">
        <w:r>
          <w:rPr>
            <w:noProof/>
          </w:rPr>
          <w:t xml:space="preserve">Article 31-A.6: Confirmation of Petition</w:t>
        </w:r>
        <w:r>
          <w:rPr>
            <w:noProof/>
            <w:webHidden/>
          </w:rPr>
          <w:tab/>
        </w:r>
        <w:r>
          <w:rPr>
            <w:noProof/>
            <w:webHidden/>
          </w:rPr>
          <w:fldChar w:fldCharType="begin"/>
        </w:r>
        <w:r>
          <w:rPr>
            <w:noProof/>
            <w:webHidden/>
          </w:rPr>
          <w:instrText xml:space="preserve"> PAGEREF _Toc300001084 \h </w:instrText>
        </w:r>
        <w:r>
          <w:rPr>
            <w:noProof/>
            <w:webHidden/>
          </w:rPr>
          <w:fldChar w:fldCharType="separate"/>
        </w:r>
        <w:r>
          <w:rPr>
            <w:noProof/>
            <w:webHidden/>
          </w:rPr>
          <w:t>1343</w:t>
        </w:r>
        <w:r>
          <w:rPr>
            <w:noProof/>
            <w:webHidden/>
          </w:rPr>
          <w:fldChar w:fldCharType="end"/>
        </w:r>
      </w:hyperlink>
    </w:p>
    <w:p>
      <w:pPr>
        <w:pStyle w:val="TOC2"/>
      </w:pPr>
      <w:hyperlink w:anchor="_Toc300001085" w:history="1">
        <w:r>
          <w:rPr>
            <w:noProof/>
          </w:rPr>
          <w:t xml:space="preserve">Article 31-A.7: Verification</w:t>
        </w:r>
        <w:r>
          <w:rPr>
            <w:noProof/>
            <w:webHidden/>
          </w:rPr>
          <w:tab/>
        </w:r>
        <w:r>
          <w:rPr>
            <w:noProof/>
            <w:webHidden/>
          </w:rPr>
          <w:fldChar w:fldCharType="begin"/>
        </w:r>
        <w:r>
          <w:rPr>
            <w:noProof/>
            <w:webHidden/>
          </w:rPr>
          <w:instrText xml:space="preserve"> PAGEREF _Toc300001085 \h </w:instrText>
        </w:r>
        <w:r>
          <w:rPr>
            <w:noProof/>
            <w:webHidden/>
          </w:rPr>
          <w:fldChar w:fldCharType="separate"/>
        </w:r>
        <w:r>
          <w:rPr>
            <w:noProof/>
            <w:webHidden/>
          </w:rPr>
          <w:t>1343</w:t>
        </w:r>
        <w:r>
          <w:rPr>
            <w:noProof/>
            <w:webHidden/>
          </w:rPr>
          <w:fldChar w:fldCharType="end"/>
        </w:r>
      </w:hyperlink>
    </w:p>
    <w:p>
      <w:pPr>
        <w:pStyle w:val="TOC2"/>
      </w:pPr>
      <w:hyperlink w:anchor="_Toc300001086" w:history="1">
        <w:r>
          <w:rPr>
            <w:noProof/>
          </w:rPr>
          <w:t xml:space="preserve">Article 31-A.8: Panel Process and Determination</w:t>
        </w:r>
        <w:r>
          <w:rPr>
            <w:noProof/>
            <w:webHidden/>
          </w:rPr>
          <w:tab/>
        </w:r>
        <w:r>
          <w:rPr>
            <w:noProof/>
            <w:webHidden/>
          </w:rPr>
          <w:fldChar w:fldCharType="begin"/>
        </w:r>
        <w:r>
          <w:rPr>
            <w:noProof/>
            <w:webHidden/>
          </w:rPr>
          <w:instrText xml:space="preserve"> PAGEREF _Toc300001086 \h </w:instrText>
        </w:r>
        <w:r>
          <w:rPr>
            <w:noProof/>
            <w:webHidden/>
          </w:rPr>
          <w:fldChar w:fldCharType="separate"/>
        </w:r>
        <w:r>
          <w:rPr>
            <w:noProof/>
            <w:webHidden/>
          </w:rPr>
          <w:t>1345</w:t>
        </w:r>
        <w:r>
          <w:rPr>
            <w:noProof/>
            <w:webHidden/>
          </w:rPr>
          <w:fldChar w:fldCharType="end"/>
        </w:r>
      </w:hyperlink>
    </w:p>
    <w:p>
      <w:pPr>
        <w:pStyle w:val="TOC2"/>
      </w:pPr>
      <w:hyperlink w:anchor="_Toc300001087" w:history="1">
        <w:r>
          <w:rPr>
            <w:noProof/>
          </w:rPr>
          <w:t xml:space="preserve">Article 31-A.9: Consultations and Remediation</w:t>
        </w:r>
        <w:r>
          <w:rPr>
            <w:noProof/>
            <w:webHidden/>
          </w:rPr>
          <w:tab/>
        </w:r>
        <w:r>
          <w:rPr>
            <w:noProof/>
            <w:webHidden/>
          </w:rPr>
          <w:fldChar w:fldCharType="begin"/>
        </w:r>
        <w:r>
          <w:rPr>
            <w:noProof/>
            <w:webHidden/>
          </w:rPr>
          <w:instrText xml:space="preserve"> PAGEREF _Toc300001087 \h </w:instrText>
        </w:r>
        <w:r>
          <w:rPr>
            <w:noProof/>
            <w:webHidden/>
          </w:rPr>
          <w:fldChar w:fldCharType="separate"/>
        </w:r>
        <w:r>
          <w:rPr>
            <w:noProof/>
            <w:webHidden/>
          </w:rPr>
          <w:t>1345</w:t>
        </w:r>
        <w:r>
          <w:rPr>
            <w:noProof/>
            <w:webHidden/>
          </w:rPr>
          <w:fldChar w:fldCharType="end"/>
        </w:r>
      </w:hyperlink>
    </w:p>
    <w:p>
      <w:pPr>
        <w:pStyle w:val="TOC2"/>
      </w:pPr>
      <w:hyperlink w:anchor="_Toc300001088" w:history="1">
        <w:r>
          <w:rPr>
            <w:noProof/>
          </w:rPr>
          <w:t xml:space="preserve">Article 31-A.10: Remedies</w:t>
        </w:r>
        <w:r>
          <w:rPr>
            <w:noProof/>
            <w:webHidden/>
          </w:rPr>
          <w:tab/>
        </w:r>
        <w:r>
          <w:rPr>
            <w:noProof/>
            <w:webHidden/>
          </w:rPr>
          <w:fldChar w:fldCharType="begin"/>
        </w:r>
        <w:r>
          <w:rPr>
            <w:noProof/>
            <w:webHidden/>
          </w:rPr>
          <w:instrText xml:space="preserve"> PAGEREF _Toc300001088 \h </w:instrText>
        </w:r>
        <w:r>
          <w:rPr>
            <w:noProof/>
            <w:webHidden/>
          </w:rPr>
          <w:fldChar w:fldCharType="separate"/>
        </w:r>
        <w:r>
          <w:rPr>
            <w:noProof/>
            <w:webHidden/>
          </w:rPr>
          <w:t>1345</w:t>
        </w:r>
        <w:r>
          <w:rPr>
            <w:noProof/>
            <w:webHidden/>
          </w:rPr>
          <w:fldChar w:fldCharType="end"/>
        </w:r>
      </w:hyperlink>
    </w:p>
    <w:p>
      <w:pPr>
        <w:pStyle w:val="TOC2"/>
      </w:pPr>
      <w:hyperlink w:anchor="_Toc300001089" w:history="1">
        <w:r>
          <w:rPr>
            <w:noProof/>
          </w:rPr>
          <w:t xml:space="preserve">Article 31-A.11: Good Faith Use of the Mechanism</w:t>
        </w:r>
        <w:r>
          <w:rPr>
            <w:noProof/>
            <w:webHidden/>
          </w:rPr>
          <w:tab/>
        </w:r>
        <w:r>
          <w:rPr>
            <w:noProof/>
            <w:webHidden/>
          </w:rPr>
          <w:fldChar w:fldCharType="begin"/>
        </w:r>
        <w:r>
          <w:rPr>
            <w:noProof/>
            <w:webHidden/>
          </w:rPr>
          <w:instrText xml:space="preserve"> PAGEREF _Toc300001089 \h </w:instrText>
        </w:r>
        <w:r>
          <w:rPr>
            <w:noProof/>
            <w:webHidden/>
          </w:rPr>
          <w:fldChar w:fldCharType="separate"/>
        </w:r>
        <w:r>
          <w:rPr>
            <w:noProof/>
            <w:webHidden/>
          </w:rPr>
          <w:t>1346</w:t>
        </w:r>
        <w:r>
          <w:rPr>
            <w:noProof/>
            <w:webHidden/>
          </w:rPr>
          <w:fldChar w:fldCharType="end"/>
        </w:r>
      </w:hyperlink>
    </w:p>
    <w:p>
      <w:pPr>
        <w:pStyle w:val="TOC2"/>
      </w:pPr>
      <w:hyperlink w:anchor="_Toc300001090" w:history="1">
        <w:r>
          <w:rPr>
            <w:noProof/>
          </w:rPr>
          <w:t xml:space="preserve">Article 31-A.12: Expansion of Claims</w:t>
        </w:r>
        <w:r>
          <w:rPr>
            <w:noProof/>
            <w:webHidden/>
          </w:rPr>
          <w:tab/>
        </w:r>
        <w:r>
          <w:rPr>
            <w:noProof/>
            <w:webHidden/>
          </w:rPr>
          <w:fldChar w:fldCharType="begin"/>
        </w:r>
        <w:r>
          <w:rPr>
            <w:noProof/>
            <w:webHidden/>
          </w:rPr>
          <w:instrText xml:space="preserve"> PAGEREF _Toc300001090 \h </w:instrText>
        </w:r>
        <w:r>
          <w:rPr>
            <w:noProof/>
            <w:webHidden/>
          </w:rPr>
          <w:fldChar w:fldCharType="separate"/>
        </w:r>
        <w:r>
          <w:rPr>
            <w:noProof/>
            <w:webHidden/>
          </w:rPr>
          <w:t>1346</w:t>
        </w:r>
        <w:r>
          <w:rPr>
            <w:noProof/>
            <w:webHidden/>
          </w:rPr>
          <w:fldChar w:fldCharType="end"/>
        </w:r>
      </w:hyperlink>
    </w:p>
    <w:p>
      <w:pPr>
        <w:pStyle w:val="TOC2"/>
      </w:pPr>
      <w:hyperlink w:anchor="_Toc300001091" w:history="1">
        <w:r>
          <w:rPr>
            <w:noProof/>
          </w:rPr>
          <w:t xml:space="preserve">Article 31-A.13: Review of Priority Sectors</w:t>
        </w:r>
        <w:r>
          <w:rPr>
            <w:noProof/>
            <w:webHidden/>
          </w:rPr>
          <w:tab/>
        </w:r>
        <w:r>
          <w:rPr>
            <w:noProof/>
            <w:webHidden/>
          </w:rPr>
          <w:fldChar w:fldCharType="begin"/>
        </w:r>
        <w:r>
          <w:rPr>
            <w:noProof/>
            <w:webHidden/>
          </w:rPr>
          <w:instrText xml:space="preserve"> PAGEREF _Toc300001091 \h </w:instrText>
        </w:r>
        <w:r>
          <w:rPr>
            <w:noProof/>
            <w:webHidden/>
          </w:rPr>
          <w:fldChar w:fldCharType="separate"/>
        </w:r>
        <w:r>
          <w:rPr>
            <w:noProof/>
            <w:webHidden/>
          </w:rPr>
          <w:t>1346</w:t>
        </w:r>
        <w:r>
          <w:rPr>
            <w:noProof/>
            <w:webHidden/>
          </w:rPr>
          <w:fldChar w:fldCharType="end"/>
        </w:r>
      </w:hyperlink>
    </w:p>
    <w:p>
      <w:pPr>
        <w:pStyle w:val="TOC2"/>
      </w:pPr>
      <w:hyperlink w:anchor="_Toc300001092" w:history="1">
        <w:r>
          <w:rPr>
            <w:noProof/>
          </w:rPr>
          <w:t xml:space="preserve">Article 31-A.14: Cooperation to Promote Compliance</w:t>
        </w:r>
        <w:r>
          <w:rPr>
            <w:noProof/>
            <w:webHidden/>
          </w:rPr>
          <w:tab/>
        </w:r>
        <w:r>
          <w:rPr>
            <w:noProof/>
            <w:webHidden/>
          </w:rPr>
          <w:fldChar w:fldCharType="begin"/>
        </w:r>
        <w:r>
          <w:rPr>
            <w:noProof/>
            <w:webHidden/>
          </w:rPr>
          <w:instrText xml:space="preserve"> PAGEREF _Toc300001092 \h </w:instrText>
        </w:r>
        <w:r>
          <w:rPr>
            <w:noProof/>
            <w:webHidden/>
          </w:rPr>
          <w:fldChar w:fldCharType="separate"/>
        </w:r>
        <w:r>
          <w:rPr>
            <w:noProof/>
            <w:webHidden/>
          </w:rPr>
          <w:t>1346</w:t>
        </w:r>
        <w:r>
          <w:rPr>
            <w:noProof/>
            <w:webHidden/>
          </w:rPr>
          <w:fldChar w:fldCharType="end"/>
        </w:r>
      </w:hyperlink>
    </w:p>
    <w:p>
      <w:pPr>
        <w:pStyle w:val="TOC2"/>
      </w:pPr>
      <w:hyperlink w:anchor="_Toc300001093" w:history="1">
        <w:r>
          <w:rPr>
            <w:noProof/>
          </w:rPr>
          <w:t xml:space="preserve">Article 31-A.15: Definitions</w:t>
        </w:r>
        <w:r>
          <w:rPr>
            <w:noProof/>
            <w:webHidden/>
          </w:rPr>
          <w:tab/>
        </w:r>
        <w:r>
          <w:rPr>
            <w:noProof/>
            <w:webHidden/>
          </w:rPr>
          <w:fldChar w:fldCharType="begin"/>
        </w:r>
        <w:r>
          <w:rPr>
            <w:noProof/>
            <w:webHidden/>
          </w:rPr>
          <w:instrText xml:space="preserve"> PAGEREF _Toc300001093 \h </w:instrText>
        </w:r>
        <w:r>
          <w:rPr>
            <w:noProof/>
            <w:webHidden/>
          </w:rPr>
          <w:fldChar w:fldCharType="separate"/>
        </w:r>
        <w:r>
          <w:rPr>
            <w:noProof/>
            <w:webHidden/>
          </w:rPr>
          <w:t>1347</w:t>
        </w:r>
        <w:r>
          <w:rPr>
            <w:noProof/>
            <w:webHidden/>
          </w:rPr>
          <w:fldChar w:fldCharType="end"/>
        </w:r>
      </w:hyperlink>
    </w:p>
    <w:p>
      <w:pPr>
        <w:pStyle w:val="TOC2"/>
      </w:pPr>
      <w:hyperlink w:anchor="_Toc300001094" w:history="1">
        <w:r>
          <w:rPr>
            <w:noProof/>
          </w:rPr>
          <w:t xml:space="preserve">ANNEX 31-B CANADA-MEXICO FACILITY-SPECIFIC RAPID RESPONSE LABOR MECHANISM</w:t>
        </w:r>
        <w:r>
          <w:rPr>
            <w:noProof/>
            <w:webHidden/>
          </w:rPr>
          <w:tab/>
        </w:r>
        <w:r>
          <w:rPr>
            <w:noProof/>
            <w:webHidden/>
          </w:rPr>
          <w:fldChar w:fldCharType="begin"/>
        </w:r>
        <w:r>
          <w:rPr>
            <w:noProof/>
            <w:webHidden/>
          </w:rPr>
          <w:instrText xml:space="preserve"> PAGEREF _Toc300001094 \h </w:instrText>
        </w:r>
        <w:r>
          <w:rPr>
            <w:noProof/>
            <w:webHidden/>
          </w:rPr>
          <w:fldChar w:fldCharType="separate"/>
        </w:r>
        <w:r>
          <w:rPr>
            <w:noProof/>
            <w:webHidden/>
          </w:rPr>
          <w:t>1347</w:t>
        </w:r>
        <w:r>
          <w:rPr>
            <w:noProof/>
            <w:webHidden/>
          </w:rPr>
          <w:fldChar w:fldCharType="end"/>
        </w:r>
      </w:hyperlink>
    </w:p>
    <w:p>
      <w:pPr>
        <w:pStyle w:val="TOC2"/>
      </w:pPr>
      <w:hyperlink w:anchor="_Toc300001095" w:history="1">
        <w:r>
          <w:rPr>
            <w:noProof/>
          </w:rPr>
          <w:t xml:space="preserve">TRANSITIONAL STATUS UNDER NAESTMA ARTICLE 31.E</w:t>
        </w:r>
        <w:r>
          <w:rPr>
            <w:noProof/>
            <w:webHidden/>
          </w:rPr>
          <w:tab/>
        </w:r>
        <w:r>
          <w:rPr>
            <w:noProof/>
            <w:webHidden/>
          </w:rPr>
          <w:fldChar w:fldCharType="begin"/>
        </w:r>
        <w:r>
          <w:rPr>
            <w:noProof/>
            <w:webHidden/>
          </w:rPr>
          <w:instrText xml:space="preserve"> PAGEREF _Toc300001095 \h </w:instrText>
        </w:r>
        <w:r>
          <w:rPr>
            <w:noProof/>
            <w:webHidden/>
          </w:rPr>
          <w:fldChar w:fldCharType="separate"/>
        </w:r>
        <w:r>
          <w:rPr>
            <w:noProof/>
            <w:webHidden/>
          </w:rPr>
          <w:t>1347</w:t>
        </w:r>
        <w:r>
          <w:rPr>
            <w:noProof/>
            <w:webHidden/>
          </w:rPr>
          <w:fldChar w:fldCharType="end"/>
        </w:r>
      </w:hyperlink>
    </w:p>
    <w:p>
      <w:pPr>
        <w:pStyle w:val="TOC2"/>
      </w:pPr>
      <w:hyperlink w:anchor="_Toc300001096" w:history="1">
        <w:r>
          <w:rPr>
            <w:noProof/>
          </w:rPr>
          <w:t xml:space="preserve">Article 31-B.1: Scope and Purpose</w:t>
        </w:r>
        <w:r>
          <w:rPr>
            <w:noProof/>
            <w:webHidden/>
          </w:rPr>
          <w:tab/>
        </w:r>
        <w:r>
          <w:rPr>
            <w:noProof/>
            <w:webHidden/>
          </w:rPr>
          <w:fldChar w:fldCharType="begin"/>
        </w:r>
        <w:r>
          <w:rPr>
            <w:noProof/>
            <w:webHidden/>
          </w:rPr>
          <w:instrText xml:space="preserve"> PAGEREF _Toc300001096 \h </w:instrText>
        </w:r>
        <w:r>
          <w:rPr>
            <w:noProof/>
            <w:webHidden/>
          </w:rPr>
          <w:fldChar w:fldCharType="separate"/>
        </w:r>
        <w:r>
          <w:rPr>
            <w:noProof/>
            <w:webHidden/>
          </w:rPr>
          <w:t>1347</w:t>
        </w:r>
        <w:r>
          <w:rPr>
            <w:noProof/>
            <w:webHidden/>
          </w:rPr>
          <w:fldChar w:fldCharType="end"/>
        </w:r>
      </w:hyperlink>
    </w:p>
    <w:p>
      <w:pPr>
        <w:pStyle w:val="TOC2"/>
      </w:pPr>
      <w:hyperlink w:anchor="_Toc300001097" w:history="1">
        <w:r>
          <w:rPr>
            <w:noProof/>
          </w:rPr>
          <w:t xml:space="preserve">Article 31-B.2: Denial of Rights</w:t>
        </w:r>
        <w:r>
          <w:rPr>
            <w:noProof/>
            <w:webHidden/>
          </w:rPr>
          <w:tab/>
        </w:r>
        <w:r>
          <w:rPr>
            <w:noProof/>
            <w:webHidden/>
          </w:rPr>
          <w:fldChar w:fldCharType="begin"/>
        </w:r>
        <w:r>
          <w:rPr>
            <w:noProof/>
            <w:webHidden/>
          </w:rPr>
          <w:instrText xml:space="preserve"> PAGEREF _Toc300001097 \h </w:instrText>
        </w:r>
        <w:r>
          <w:rPr>
            <w:noProof/>
            <w:webHidden/>
          </w:rPr>
          <w:fldChar w:fldCharType="separate"/>
        </w:r>
        <w:r>
          <w:rPr>
            <w:noProof/>
            <w:webHidden/>
          </w:rPr>
          <w:t>1347</w:t>
        </w:r>
        <w:r>
          <w:rPr>
            <w:noProof/>
            <w:webHidden/>
          </w:rPr>
          <w:fldChar w:fldCharType="end"/>
        </w:r>
      </w:hyperlink>
    </w:p>
    <w:p>
      <w:pPr>
        <w:pStyle w:val="TOC2"/>
      </w:pPr>
      <w:hyperlink w:anchor="_Toc300001098" w:history="1">
        <w:r>
          <w:rPr>
            <w:noProof/>
          </w:rPr>
          <w:t xml:space="preserve">Article 31-B.3: Lists of Rapid Response Labor Panelists</w:t>
        </w:r>
        <w:r>
          <w:rPr>
            <w:noProof/>
            <w:webHidden/>
          </w:rPr>
          <w:tab/>
        </w:r>
        <w:r>
          <w:rPr>
            <w:noProof/>
            <w:webHidden/>
          </w:rPr>
          <w:fldChar w:fldCharType="begin"/>
        </w:r>
        <w:r>
          <w:rPr>
            <w:noProof/>
            <w:webHidden/>
          </w:rPr>
          <w:instrText xml:space="preserve"> PAGEREF _Toc300001098 \h </w:instrText>
        </w:r>
        <w:r>
          <w:rPr>
            <w:noProof/>
            <w:webHidden/>
          </w:rPr>
          <w:fldChar w:fldCharType="separate"/>
        </w:r>
        <w:r>
          <w:rPr>
            <w:noProof/>
            <w:webHidden/>
          </w:rPr>
          <w:t>1348</w:t>
        </w:r>
        <w:r>
          <w:rPr>
            <w:noProof/>
            <w:webHidden/>
          </w:rPr>
          <w:fldChar w:fldCharType="end"/>
        </w:r>
      </w:hyperlink>
    </w:p>
    <w:p>
      <w:pPr>
        <w:pStyle w:val="TOC2"/>
      </w:pPr>
      <w:hyperlink w:anchor="_Toc300001099" w:history="1">
        <w:r>
          <w:rPr>
            <w:noProof/>
          </w:rPr>
          <w:t xml:space="preserve">Article 31-B.4: Requests for Review and Remediation</w:t>
        </w:r>
        <w:r>
          <w:rPr>
            <w:noProof/>
            <w:webHidden/>
          </w:rPr>
          <w:tab/>
        </w:r>
        <w:r>
          <w:rPr>
            <w:noProof/>
            <w:webHidden/>
          </w:rPr>
          <w:fldChar w:fldCharType="begin"/>
        </w:r>
        <w:r>
          <w:rPr>
            <w:noProof/>
            <w:webHidden/>
          </w:rPr>
          <w:instrText xml:space="preserve"> PAGEREF _Toc300001099 \h </w:instrText>
        </w:r>
        <w:r>
          <w:rPr>
            <w:noProof/>
            <w:webHidden/>
          </w:rPr>
          <w:fldChar w:fldCharType="separate"/>
        </w:r>
        <w:r>
          <w:rPr>
            <w:noProof/>
            <w:webHidden/>
          </w:rPr>
          <w:t>1348</w:t>
        </w:r>
        <w:r>
          <w:rPr>
            <w:noProof/>
            <w:webHidden/>
          </w:rPr>
          <w:fldChar w:fldCharType="end"/>
        </w:r>
      </w:hyperlink>
    </w:p>
    <w:p>
      <w:pPr>
        <w:pStyle w:val="TOC2"/>
      </w:pPr>
      <w:hyperlink w:anchor="_Toc300001100" w:history="1">
        <w:r>
          <w:rPr>
            <w:noProof/>
          </w:rPr>
          <w:t xml:space="preserve">Article 31-B.5: Requests for Establishment of Rapid Response Labor Panel</w:t>
        </w:r>
        <w:r>
          <w:rPr>
            <w:noProof/>
            <w:webHidden/>
          </w:rPr>
          <w:tab/>
        </w:r>
        <w:r>
          <w:rPr>
            <w:noProof/>
            <w:webHidden/>
          </w:rPr>
          <w:fldChar w:fldCharType="begin"/>
        </w:r>
        <w:r>
          <w:rPr>
            <w:noProof/>
            <w:webHidden/>
          </w:rPr>
          <w:instrText xml:space="preserve"> PAGEREF _Toc300001100 \h </w:instrText>
        </w:r>
        <w:r>
          <w:rPr>
            <w:noProof/>
            <w:webHidden/>
          </w:rPr>
          <w:fldChar w:fldCharType="separate"/>
        </w:r>
        <w:r>
          <w:rPr>
            <w:noProof/>
            <w:webHidden/>
          </w:rPr>
          <w:t>1350</w:t>
        </w:r>
        <w:r>
          <w:rPr>
            <w:noProof/>
            <w:webHidden/>
          </w:rPr>
          <w:fldChar w:fldCharType="end"/>
        </w:r>
      </w:hyperlink>
    </w:p>
    <w:p>
      <w:pPr>
        <w:pStyle w:val="TOC2"/>
      </w:pPr>
      <w:hyperlink w:anchor="_Toc300001101" w:history="1">
        <w:r>
          <w:rPr>
            <w:noProof/>
          </w:rPr>
          <w:t xml:space="preserve">Article 31-B.6: Confirmation of Petition</w:t>
        </w:r>
        <w:r>
          <w:rPr>
            <w:noProof/>
            <w:webHidden/>
          </w:rPr>
          <w:tab/>
        </w:r>
        <w:r>
          <w:rPr>
            <w:noProof/>
            <w:webHidden/>
          </w:rPr>
          <w:fldChar w:fldCharType="begin"/>
        </w:r>
        <w:r>
          <w:rPr>
            <w:noProof/>
            <w:webHidden/>
          </w:rPr>
          <w:instrText xml:space="preserve"> PAGEREF _Toc300001101 \h </w:instrText>
        </w:r>
        <w:r>
          <w:rPr>
            <w:noProof/>
            <w:webHidden/>
          </w:rPr>
          <w:fldChar w:fldCharType="separate"/>
        </w:r>
        <w:r>
          <w:rPr>
            <w:noProof/>
            <w:webHidden/>
          </w:rPr>
          <w:t>1350</w:t>
        </w:r>
        <w:r>
          <w:rPr>
            <w:noProof/>
            <w:webHidden/>
          </w:rPr>
          <w:fldChar w:fldCharType="end"/>
        </w:r>
      </w:hyperlink>
    </w:p>
    <w:p>
      <w:pPr>
        <w:pStyle w:val="TOC2"/>
      </w:pPr>
      <w:hyperlink w:anchor="_Toc300001102" w:history="1">
        <w:r>
          <w:rPr>
            <w:noProof/>
          </w:rPr>
          <w:t xml:space="preserve">Article 31-B.7: Verification</w:t>
        </w:r>
        <w:r>
          <w:rPr>
            <w:noProof/>
            <w:webHidden/>
          </w:rPr>
          <w:tab/>
        </w:r>
        <w:r>
          <w:rPr>
            <w:noProof/>
            <w:webHidden/>
          </w:rPr>
          <w:fldChar w:fldCharType="begin"/>
        </w:r>
        <w:r>
          <w:rPr>
            <w:noProof/>
            <w:webHidden/>
          </w:rPr>
          <w:instrText xml:space="preserve"> PAGEREF _Toc300001102 \h </w:instrText>
        </w:r>
        <w:r>
          <w:rPr>
            <w:noProof/>
            <w:webHidden/>
          </w:rPr>
          <w:fldChar w:fldCharType="separate"/>
        </w:r>
        <w:r>
          <w:rPr>
            <w:noProof/>
            <w:webHidden/>
          </w:rPr>
          <w:t>1350</w:t>
        </w:r>
        <w:r>
          <w:rPr>
            <w:noProof/>
            <w:webHidden/>
          </w:rPr>
          <w:fldChar w:fldCharType="end"/>
        </w:r>
      </w:hyperlink>
    </w:p>
    <w:p>
      <w:pPr>
        <w:pStyle w:val="TOC2"/>
      </w:pPr>
      <w:hyperlink w:anchor="_Toc300001103" w:history="1">
        <w:r>
          <w:rPr>
            <w:noProof/>
          </w:rPr>
          <w:t xml:space="preserve">Article 31-B.8: Panel Process and Determination</w:t>
        </w:r>
        <w:r>
          <w:rPr>
            <w:noProof/>
            <w:webHidden/>
          </w:rPr>
          <w:tab/>
        </w:r>
        <w:r>
          <w:rPr>
            <w:noProof/>
            <w:webHidden/>
          </w:rPr>
          <w:fldChar w:fldCharType="begin"/>
        </w:r>
        <w:r>
          <w:rPr>
            <w:noProof/>
            <w:webHidden/>
          </w:rPr>
          <w:instrText xml:space="preserve"> PAGEREF _Toc300001103 \h </w:instrText>
        </w:r>
        <w:r>
          <w:rPr>
            <w:noProof/>
            <w:webHidden/>
          </w:rPr>
          <w:fldChar w:fldCharType="separate"/>
        </w:r>
        <w:r>
          <w:rPr>
            <w:noProof/>
            <w:webHidden/>
          </w:rPr>
          <w:t>1351</w:t>
        </w:r>
        <w:r>
          <w:rPr>
            <w:noProof/>
            <w:webHidden/>
          </w:rPr>
          <w:fldChar w:fldCharType="end"/>
        </w:r>
      </w:hyperlink>
    </w:p>
    <w:p>
      <w:pPr>
        <w:pStyle w:val="TOC2"/>
      </w:pPr>
      <w:hyperlink w:anchor="_Toc300001104" w:history="1">
        <w:r>
          <w:rPr>
            <w:noProof/>
          </w:rPr>
          <w:t xml:space="preserve">Article 31-B.9: Consultations and Remediation</w:t>
        </w:r>
        <w:r>
          <w:rPr>
            <w:noProof/>
            <w:webHidden/>
          </w:rPr>
          <w:tab/>
        </w:r>
        <w:r>
          <w:rPr>
            <w:noProof/>
            <w:webHidden/>
          </w:rPr>
          <w:fldChar w:fldCharType="begin"/>
        </w:r>
        <w:r>
          <w:rPr>
            <w:noProof/>
            <w:webHidden/>
          </w:rPr>
          <w:instrText xml:space="preserve"> PAGEREF _Toc300001104 \h </w:instrText>
        </w:r>
        <w:r>
          <w:rPr>
            <w:noProof/>
            <w:webHidden/>
          </w:rPr>
          <w:fldChar w:fldCharType="separate"/>
        </w:r>
        <w:r>
          <w:rPr>
            <w:noProof/>
            <w:webHidden/>
          </w:rPr>
          <w:t>1352</w:t>
        </w:r>
        <w:r>
          <w:rPr>
            <w:noProof/>
            <w:webHidden/>
          </w:rPr>
          <w:fldChar w:fldCharType="end"/>
        </w:r>
      </w:hyperlink>
    </w:p>
    <w:p>
      <w:pPr>
        <w:pStyle w:val="TOC2"/>
      </w:pPr>
      <w:hyperlink w:anchor="_Toc300001105" w:history="1">
        <w:r>
          <w:rPr>
            <w:noProof/>
          </w:rPr>
          <w:t xml:space="preserve">Article 31-B.10: Remedies</w:t>
        </w:r>
        <w:r>
          <w:rPr>
            <w:noProof/>
            <w:webHidden/>
          </w:rPr>
          <w:tab/>
        </w:r>
        <w:r>
          <w:rPr>
            <w:noProof/>
            <w:webHidden/>
          </w:rPr>
          <w:fldChar w:fldCharType="begin"/>
        </w:r>
        <w:r>
          <w:rPr>
            <w:noProof/>
            <w:webHidden/>
          </w:rPr>
          <w:instrText xml:space="preserve"> PAGEREF _Toc300001105 \h </w:instrText>
        </w:r>
        <w:r>
          <w:rPr>
            <w:noProof/>
            <w:webHidden/>
          </w:rPr>
          <w:fldChar w:fldCharType="separate"/>
        </w:r>
        <w:r>
          <w:rPr>
            <w:noProof/>
            <w:webHidden/>
          </w:rPr>
          <w:t>1352</w:t>
        </w:r>
        <w:r>
          <w:rPr>
            <w:noProof/>
            <w:webHidden/>
          </w:rPr>
          <w:fldChar w:fldCharType="end"/>
        </w:r>
      </w:hyperlink>
    </w:p>
    <w:p>
      <w:pPr>
        <w:pStyle w:val="TOC2"/>
      </w:pPr>
      <w:hyperlink w:anchor="_Toc300001106" w:history="1">
        <w:r>
          <w:rPr>
            <w:noProof/>
          </w:rPr>
          <w:t xml:space="preserve">Article 31-B.11: Good Faith Use of the Mechanism</w:t>
        </w:r>
        <w:r>
          <w:rPr>
            <w:noProof/>
            <w:webHidden/>
          </w:rPr>
          <w:tab/>
        </w:r>
        <w:r>
          <w:rPr>
            <w:noProof/>
            <w:webHidden/>
          </w:rPr>
          <w:fldChar w:fldCharType="begin"/>
        </w:r>
        <w:r>
          <w:rPr>
            <w:noProof/>
            <w:webHidden/>
          </w:rPr>
          <w:instrText xml:space="preserve"> PAGEREF _Toc300001106 \h </w:instrText>
        </w:r>
        <w:r>
          <w:rPr>
            <w:noProof/>
            <w:webHidden/>
          </w:rPr>
          <w:fldChar w:fldCharType="separate"/>
        </w:r>
        <w:r>
          <w:rPr>
            <w:noProof/>
            <w:webHidden/>
          </w:rPr>
          <w:t>1353</w:t>
        </w:r>
        <w:r>
          <w:rPr>
            <w:noProof/>
            <w:webHidden/>
          </w:rPr>
          <w:fldChar w:fldCharType="end"/>
        </w:r>
      </w:hyperlink>
    </w:p>
    <w:p>
      <w:pPr>
        <w:pStyle w:val="TOC2"/>
      </w:pPr>
      <w:hyperlink w:anchor="_Toc300001107" w:history="1">
        <w:r>
          <w:rPr>
            <w:noProof/>
          </w:rPr>
          <w:t xml:space="preserve">Article 31-B.12: Expansion of Claims</w:t>
        </w:r>
        <w:r>
          <w:rPr>
            <w:noProof/>
            <w:webHidden/>
          </w:rPr>
          <w:tab/>
        </w:r>
        <w:r>
          <w:rPr>
            <w:noProof/>
            <w:webHidden/>
          </w:rPr>
          <w:fldChar w:fldCharType="begin"/>
        </w:r>
        <w:r>
          <w:rPr>
            <w:noProof/>
            <w:webHidden/>
          </w:rPr>
          <w:instrText xml:space="preserve"> PAGEREF _Toc300001107 \h </w:instrText>
        </w:r>
        <w:r>
          <w:rPr>
            <w:noProof/>
            <w:webHidden/>
          </w:rPr>
          <w:fldChar w:fldCharType="separate"/>
        </w:r>
        <w:r>
          <w:rPr>
            <w:noProof/>
            <w:webHidden/>
          </w:rPr>
          <w:t>1353</w:t>
        </w:r>
        <w:r>
          <w:rPr>
            <w:noProof/>
            <w:webHidden/>
          </w:rPr>
          <w:fldChar w:fldCharType="end"/>
        </w:r>
      </w:hyperlink>
    </w:p>
    <w:p>
      <w:pPr>
        <w:pStyle w:val="TOC2"/>
      </w:pPr>
      <w:hyperlink w:anchor="_Toc300001108" w:history="1">
        <w:r>
          <w:rPr>
            <w:noProof/>
          </w:rPr>
          <w:t xml:space="preserve">Article 31-B.13: Review of Priority Sectors</w:t>
        </w:r>
        <w:r>
          <w:rPr>
            <w:noProof/>
            <w:webHidden/>
          </w:rPr>
          <w:tab/>
        </w:r>
        <w:r>
          <w:rPr>
            <w:noProof/>
            <w:webHidden/>
          </w:rPr>
          <w:fldChar w:fldCharType="begin"/>
        </w:r>
        <w:r>
          <w:rPr>
            <w:noProof/>
            <w:webHidden/>
          </w:rPr>
          <w:instrText xml:space="preserve"> PAGEREF _Toc300001108 \h </w:instrText>
        </w:r>
        <w:r>
          <w:rPr>
            <w:noProof/>
            <w:webHidden/>
          </w:rPr>
          <w:fldChar w:fldCharType="separate"/>
        </w:r>
        <w:r>
          <w:rPr>
            <w:noProof/>
            <w:webHidden/>
          </w:rPr>
          <w:t>1353</w:t>
        </w:r>
        <w:r>
          <w:rPr>
            <w:noProof/>
            <w:webHidden/>
          </w:rPr>
          <w:fldChar w:fldCharType="end"/>
        </w:r>
      </w:hyperlink>
    </w:p>
    <w:p>
      <w:pPr>
        <w:pStyle w:val="TOC2"/>
      </w:pPr>
      <w:hyperlink w:anchor="_Toc300001109" w:history="1">
        <w:r>
          <w:rPr>
            <w:noProof/>
          </w:rPr>
          <w:t xml:space="preserve">Article 31-B.14: Cooperation to Promote Compliance</w:t>
        </w:r>
        <w:r>
          <w:rPr>
            <w:noProof/>
            <w:webHidden/>
          </w:rPr>
          <w:tab/>
        </w:r>
        <w:r>
          <w:rPr>
            <w:noProof/>
            <w:webHidden/>
          </w:rPr>
          <w:fldChar w:fldCharType="begin"/>
        </w:r>
        <w:r>
          <w:rPr>
            <w:noProof/>
            <w:webHidden/>
          </w:rPr>
          <w:instrText xml:space="preserve"> PAGEREF _Toc300001109 \h </w:instrText>
        </w:r>
        <w:r>
          <w:rPr>
            <w:noProof/>
            <w:webHidden/>
          </w:rPr>
          <w:fldChar w:fldCharType="separate"/>
        </w:r>
        <w:r>
          <w:rPr>
            <w:noProof/>
            <w:webHidden/>
          </w:rPr>
          <w:t>1353</w:t>
        </w:r>
        <w:r>
          <w:rPr>
            <w:noProof/>
            <w:webHidden/>
          </w:rPr>
          <w:fldChar w:fldCharType="end"/>
        </w:r>
      </w:hyperlink>
    </w:p>
    <w:p>
      <w:pPr>
        <w:pStyle w:val="TOC2"/>
      </w:pPr>
      <w:hyperlink w:anchor="_Toc300001110" w:history="1">
        <w:r>
          <w:rPr>
            <w:noProof/>
          </w:rPr>
          <w:t xml:space="preserve">Article 31-B.15: Definitions</w:t>
        </w:r>
        <w:r>
          <w:rPr>
            <w:noProof/>
            <w:webHidden/>
          </w:rPr>
          <w:tab/>
        </w:r>
        <w:r>
          <w:rPr>
            <w:noProof/>
            <w:webHidden/>
          </w:rPr>
          <w:fldChar w:fldCharType="begin"/>
        </w:r>
        <w:r>
          <w:rPr>
            <w:noProof/>
            <w:webHidden/>
          </w:rPr>
          <w:instrText xml:space="preserve"> PAGEREF _Toc300001110 \h </w:instrText>
        </w:r>
        <w:r>
          <w:rPr>
            <w:noProof/>
            <w:webHidden/>
          </w:rPr>
          <w:fldChar w:fldCharType="separate"/>
        </w:r>
        <w:r>
          <w:rPr>
            <w:noProof/>
            <w:webHidden/>
          </w:rPr>
          <w:t>1353</w:t>
        </w:r>
        <w:r>
          <w:rPr>
            <w:noProof/>
            <w:webHidden/>
          </w:rPr>
          <w:fldChar w:fldCharType="end"/>
        </w:r>
      </w:hyperlink>
    </w:p>
    <w:p>
      <w:pPr>
        <w:pStyle w:val="TOC2"/>
      </w:pPr>
      <w:hyperlink w:anchor="_Toc300001111" w:history="1">
        <w:r>
          <w:rPr>
            <w:noProof/>
          </w:rPr>
          <w:t xml:space="preserve">PART B: CANADA–UNITED STATES ENERGY REGULATORY MEASURES AND REGULATORY TRANSPARENCY</w:t>
        </w:r>
        <w:r>
          <w:rPr>
            <w:noProof/>
            <w:webHidden/>
          </w:rPr>
          <w:tab/>
        </w:r>
        <w:r>
          <w:rPr>
            <w:noProof/>
            <w:webHidden/>
          </w:rPr>
          <w:fldChar w:fldCharType="begin"/>
        </w:r>
        <w:r>
          <w:rPr>
            <w:noProof/>
            <w:webHidden/>
          </w:rPr>
          <w:instrText xml:space="preserve"> PAGEREF _Toc300001111 \h </w:instrText>
        </w:r>
        <w:r>
          <w:rPr>
            <w:noProof/>
            <w:webHidden/>
          </w:rPr>
          <w:fldChar w:fldCharType="separate"/>
        </w:r>
        <w:r>
          <w:rPr>
            <w:noProof/>
            <w:webHidden/>
          </w:rPr>
          <w:t>1355</w:t>
        </w:r>
        <w:r>
          <w:rPr>
            <w:noProof/>
            <w:webHidden/>
          </w:rPr>
          <w:fldChar w:fldCharType="end"/>
        </w:r>
      </w:hyperlink>
    </w:p>
    <w:p>
      <w:pPr>
        <w:pStyle w:val="TOC3"/>
      </w:pPr>
      <w:hyperlink w:anchor="_Toc300001112" w:history="1">
        <w:r>
          <w:rPr>
            <w:noProof/>
          </w:rPr>
          <w:t xml:space="preserve">Article 1: Definitions</w:t>
        </w:r>
        <w:r>
          <w:rPr>
            <w:noProof/>
            <w:webHidden/>
          </w:rPr>
          <w:tab/>
        </w:r>
        <w:r>
          <w:rPr>
            <w:noProof/>
            <w:webHidden/>
          </w:rPr>
          <w:fldChar w:fldCharType="begin"/>
        </w:r>
        <w:r>
          <w:rPr>
            <w:noProof/>
            <w:webHidden/>
          </w:rPr>
          <w:instrText xml:space="preserve"> PAGEREF _Toc300001112 \h </w:instrText>
        </w:r>
        <w:r>
          <w:rPr>
            <w:noProof/>
            <w:webHidden/>
          </w:rPr>
          <w:fldChar w:fldCharType="separate"/>
        </w:r>
        <w:r>
          <w:rPr>
            <w:noProof/>
            <w:webHidden/>
          </w:rPr>
          <w:t>1356</w:t>
        </w:r>
        <w:r>
          <w:rPr>
            <w:noProof/>
            <w:webHidden/>
          </w:rPr>
          <w:fldChar w:fldCharType="end"/>
        </w:r>
      </w:hyperlink>
    </w:p>
    <w:p>
      <w:pPr>
        <w:pStyle w:val="TOC3"/>
      </w:pPr>
      <w:hyperlink w:anchor="_Toc300001113" w:history="1">
        <w:r>
          <w:rPr>
            <w:noProof/>
          </w:rPr>
          <w:t xml:space="preserve">Article 2: Scope</w:t>
        </w:r>
        <w:r>
          <w:rPr>
            <w:noProof/>
            <w:webHidden/>
          </w:rPr>
          <w:tab/>
        </w:r>
        <w:r>
          <w:rPr>
            <w:noProof/>
            <w:webHidden/>
          </w:rPr>
          <w:fldChar w:fldCharType="begin"/>
        </w:r>
        <w:r>
          <w:rPr>
            <w:noProof/>
            <w:webHidden/>
          </w:rPr>
          <w:instrText xml:space="preserve"> PAGEREF _Toc300001113 \h </w:instrText>
        </w:r>
        <w:r>
          <w:rPr>
            <w:noProof/>
            <w:webHidden/>
          </w:rPr>
          <w:fldChar w:fldCharType="separate"/>
        </w:r>
        <w:r>
          <w:rPr>
            <w:noProof/>
            <w:webHidden/>
          </w:rPr>
          <w:t>1356</w:t>
        </w:r>
        <w:r>
          <w:rPr>
            <w:noProof/>
            <w:webHidden/>
          </w:rPr>
          <w:fldChar w:fldCharType="end"/>
        </w:r>
      </w:hyperlink>
    </w:p>
    <w:p>
      <w:pPr>
        <w:pStyle w:val="TOC3"/>
      </w:pPr>
      <w:hyperlink w:anchor="_Toc300001114" w:history="1">
        <w:r>
          <w:rPr>
            <w:noProof/>
          </w:rPr>
          <w:t xml:space="preserve">Article 3: Cooperation</w:t>
        </w:r>
        <w:r>
          <w:rPr>
            <w:noProof/>
            <w:webHidden/>
          </w:rPr>
          <w:tab/>
        </w:r>
        <w:r>
          <w:rPr>
            <w:noProof/>
            <w:webHidden/>
          </w:rPr>
          <w:fldChar w:fldCharType="begin"/>
        </w:r>
        <w:r>
          <w:rPr>
            <w:noProof/>
            <w:webHidden/>
          </w:rPr>
          <w:instrText xml:space="preserve"> PAGEREF _Toc300001114 \h </w:instrText>
        </w:r>
        <w:r>
          <w:rPr>
            <w:noProof/>
            <w:webHidden/>
          </w:rPr>
          <w:fldChar w:fldCharType="separate"/>
        </w:r>
        <w:r>
          <w:rPr>
            <w:noProof/>
            <w:webHidden/>
          </w:rPr>
          <w:t>1357</w:t>
        </w:r>
        <w:r>
          <w:rPr>
            <w:noProof/>
            <w:webHidden/>
          </w:rPr>
          <w:fldChar w:fldCharType="end"/>
        </w:r>
      </w:hyperlink>
    </w:p>
    <w:p>
      <w:pPr>
        <w:pStyle w:val="TOC3"/>
      </w:pPr>
      <w:hyperlink w:anchor="_Toc300001115" w:history="1">
        <w:r>
          <w:rPr>
            <w:noProof/>
          </w:rPr>
          <w:t xml:space="preserve">Article 4: Energy Regulatory Measures and Regulatory Transparency</w:t>
        </w:r>
        <w:r>
          <w:rPr>
            <w:noProof/>
            <w:webHidden/>
          </w:rPr>
          <w:tab/>
        </w:r>
        <w:r>
          <w:rPr>
            <w:noProof/>
            <w:webHidden/>
          </w:rPr>
          <w:fldChar w:fldCharType="begin"/>
        </w:r>
        <w:r>
          <w:rPr>
            <w:noProof/>
            <w:webHidden/>
          </w:rPr>
          <w:instrText xml:space="preserve"> PAGEREF _Toc300001115 \h </w:instrText>
        </w:r>
        <w:r>
          <w:rPr>
            <w:noProof/>
            <w:webHidden/>
          </w:rPr>
          <w:fldChar w:fldCharType="separate"/>
        </w:r>
        <w:r>
          <w:rPr>
            <w:noProof/>
            <w:webHidden/>
          </w:rPr>
          <w:t>1357</w:t>
        </w:r>
        <w:r>
          <w:rPr>
            <w:noProof/>
            <w:webHidden/>
          </w:rPr>
          <w:fldChar w:fldCharType="end"/>
        </w:r>
      </w:hyperlink>
    </w:p>
    <w:p>
      <w:pPr>
        <w:pStyle w:val="TOC3"/>
      </w:pPr>
      <w:hyperlink w:anchor="_Toc300001116" w:history="1">
        <w:r>
          <w:rPr>
            <w:noProof/>
          </w:rPr>
          <w:t xml:space="preserve">Article 5: Access to Electric Transmission Facilities and Pipeline Networks</w:t>
        </w:r>
        <w:r>
          <w:rPr>
            <w:noProof/>
            <w:webHidden/>
          </w:rPr>
          <w:tab/>
        </w:r>
        <w:r>
          <w:rPr>
            <w:noProof/>
            <w:webHidden/>
          </w:rPr>
          <w:fldChar w:fldCharType="begin"/>
        </w:r>
        <w:r>
          <w:rPr>
            <w:noProof/>
            <w:webHidden/>
          </w:rPr>
          <w:instrText xml:space="preserve"> PAGEREF _Toc300001116 \h </w:instrText>
        </w:r>
        <w:r>
          <w:rPr>
            <w:noProof/>
            <w:webHidden/>
          </w:rPr>
          <w:fldChar w:fldCharType="separate"/>
        </w:r>
        <w:r>
          <w:rPr>
            <w:noProof/>
            <w:webHidden/>
          </w:rPr>
          <w:t>1358</w:t>
        </w:r>
        <w:r>
          <w:rPr>
            <w:noProof/>
            <w:webHidden/>
          </w:rPr>
          <w:fldChar w:fldCharType="end"/>
        </w:r>
      </w:hyperlink>
    </w:p>
    <w:p>
      <w:pPr>
        <w:pStyle w:val="TOC3"/>
      </w:pPr>
      <w:hyperlink w:anchor="_Toc300001117" w:history="1">
        <w:r>
          <w:rPr>
            <w:noProof/>
          </w:rPr>
          <w:t xml:space="preserve">Article 6: Relation to other Chapters</w:t>
        </w:r>
        <w:r>
          <w:rPr>
            <w:noProof/>
            <w:webHidden/>
          </w:rPr>
          <w:tab/>
        </w:r>
        <w:r>
          <w:rPr>
            <w:noProof/>
            <w:webHidden/>
          </w:rPr>
          <w:fldChar w:fldCharType="begin"/>
        </w:r>
        <w:r>
          <w:rPr>
            <w:noProof/>
            <w:webHidden/>
          </w:rPr>
          <w:instrText xml:space="preserve"> PAGEREF _Toc300001117 \h </w:instrText>
        </w:r>
        <w:r>
          <w:rPr>
            <w:noProof/>
            <w:webHidden/>
          </w:rPr>
          <w:fldChar w:fldCharType="separate"/>
        </w:r>
        <w:r>
          <w:rPr>
            <w:noProof/>
            <w:webHidden/>
          </w:rPr>
          <w:t>1358</w:t>
        </w:r>
        <w:r>
          <w:rPr>
            <w:noProof/>
            <w:webHidden/>
          </w:rPr>
          <w:fldChar w:fldCharType="end"/>
        </w:r>
      </w:hyperlink>
    </w:p>
    <w:p>
      <w:pPr>
        <w:pStyle w:val="TOC2"/>
      </w:pPr>
      <w:hyperlink w:anchor="_Toc300001118" w:history="1">
        <w:r>
          <w:rPr>
            <w:noProof/>
          </w:rPr>
          <w:t xml:space="preserve">PART C: CANADA–UNITED STATES NATURAL WATER RESOURCES UNDERSTANDING</w:t>
        </w:r>
        <w:r>
          <w:rPr>
            <w:noProof/>
            <w:webHidden/>
          </w:rPr>
          <w:tab/>
        </w:r>
        <w:r>
          <w:rPr>
            <w:noProof/>
            <w:webHidden/>
          </w:rPr>
          <w:fldChar w:fldCharType="begin"/>
        </w:r>
        <w:r>
          <w:rPr>
            <w:noProof/>
            <w:webHidden/>
          </w:rPr>
          <w:instrText xml:space="preserve"> PAGEREF _Toc300001118 \h </w:instrText>
        </w:r>
        <w:r>
          <w:rPr>
            <w:noProof/>
            <w:webHidden/>
          </w:rPr>
          <w:fldChar w:fldCharType="separate"/>
        </w:r>
        <w:r>
          <w:rPr>
            <w:noProof/>
            <w:webHidden/>
          </w:rPr>
          <w:t>1358</w:t>
        </w:r>
        <w:r>
          <w:rPr>
            <w:noProof/>
            <w:webHidden/>
          </w:rPr>
          <w:fldChar w:fldCharType="end"/>
        </w:r>
      </w:hyperlink>
    </w:p>
    <w:p>
      <w:pPr>
        <w:pStyle w:val="TOC2"/>
      </w:pPr>
      <w:hyperlink w:anchor="_Toc300001119" w:history="1">
        <w:r>
          <w:rPr>
            <w:noProof/>
          </w:rPr>
          <w:t xml:space="preserve">PART D: CANADA–UNITED STATES 2004 RESEARCH AND DEVELOPMENT EXPENDITURES UNDERSTANDING</w:t>
        </w:r>
        <w:r>
          <w:rPr>
            <w:noProof/>
            <w:webHidden/>
          </w:rPr>
          <w:tab/>
        </w:r>
        <w:r>
          <w:rPr>
            <w:noProof/>
            <w:webHidden/>
          </w:rPr>
          <w:fldChar w:fldCharType="begin"/>
        </w:r>
        <w:r>
          <w:rPr>
            <w:noProof/>
            <w:webHidden/>
          </w:rPr>
          <w:instrText xml:space="preserve"> PAGEREF _Toc300001119 \h </w:instrText>
        </w:r>
        <w:r>
          <w:rPr>
            <w:noProof/>
            <w:webHidden/>
          </w:rPr>
          <w:fldChar w:fldCharType="separate"/>
        </w:r>
        <w:r>
          <w:rPr>
            <w:noProof/>
            <w:webHidden/>
          </w:rPr>
          <w:t>1358</w:t>
        </w:r>
        <w:r>
          <w:rPr>
            <w:noProof/>
            <w:webHidden/>
          </w:rPr>
          <w:fldChar w:fldCharType="end"/>
        </w:r>
      </w:hyperlink>
    </w:p>
    <w:p>
      <w:pPr>
        <w:pStyle w:val="TOC2"/>
      </w:pPr>
      <w:hyperlink w:anchor="_Toc300001120" w:history="1">
        <w:r>
          <w:rPr>
            <w:noProof/>
          </w:rPr>
          <w:t xml:space="preserve">PART E: AGREEMENT ON ENVIRONMENTAL COOPERATION (COMPANION AGREEMENT; REPRODUCED FOR OPERATIONAL COMPLETENESS)</w:t>
        </w:r>
        <w:r>
          <w:rPr>
            <w:noProof/>
            <w:webHidden/>
          </w:rPr>
          <w:tab/>
        </w:r>
        <w:r>
          <w:rPr>
            <w:noProof/>
            <w:webHidden/>
          </w:rPr>
          <w:fldChar w:fldCharType="begin"/>
        </w:r>
        <w:r>
          <w:rPr>
            <w:noProof/>
            <w:webHidden/>
          </w:rPr>
          <w:instrText xml:space="preserve"> PAGEREF _Toc300001120 \h </w:instrText>
        </w:r>
        <w:r>
          <w:rPr>
            <w:noProof/>
            <w:webHidden/>
          </w:rPr>
          <w:fldChar w:fldCharType="separate"/>
        </w:r>
        <w:r>
          <w:rPr>
            <w:noProof/>
            <w:webHidden/>
          </w:rPr>
          <w:t>1359</w:t>
        </w:r>
        <w:r>
          <w:rPr>
            <w:noProof/>
            <w:webHidden/>
          </w:rPr>
          <w:fldChar w:fldCharType="end"/>
        </w:r>
      </w:hyperlink>
    </w:p>
    <w:p>
      <w:pPr>
        <w:pStyle w:val="TOC3"/>
      </w:pPr>
      <w:hyperlink w:anchor="_Toc300001121" w:history="1">
        <w:r>
          <w:rPr>
            <w:noProof/>
          </w:rPr>
          <w:t xml:space="preserve">PART ONE: OBJECTIVES</w:t>
        </w:r>
        <w:r>
          <w:rPr>
            <w:noProof/>
            <w:webHidden/>
          </w:rPr>
          <w:tab/>
        </w:r>
        <w:r>
          <w:rPr>
            <w:noProof/>
            <w:webHidden/>
          </w:rPr>
          <w:fldChar w:fldCharType="begin"/>
        </w:r>
        <w:r>
          <w:rPr>
            <w:noProof/>
            <w:webHidden/>
          </w:rPr>
          <w:instrText xml:space="preserve"> PAGEREF _Toc300001121 \h </w:instrText>
        </w:r>
        <w:r>
          <w:rPr>
            <w:noProof/>
            <w:webHidden/>
          </w:rPr>
          <w:fldChar w:fldCharType="separate"/>
        </w:r>
        <w:r>
          <w:rPr>
            <w:noProof/>
            <w:webHidden/>
          </w:rPr>
          <w:t>1359</w:t>
        </w:r>
        <w:r>
          <w:rPr>
            <w:noProof/>
            <w:webHidden/>
          </w:rPr>
          <w:fldChar w:fldCharType="end"/>
        </w:r>
      </w:hyperlink>
    </w:p>
    <w:p>
      <w:pPr>
        <w:pStyle w:val="TOC3"/>
      </w:pPr>
      <w:hyperlink w:anchor="_Toc300001122" w:history="1">
        <w:r>
          <w:rPr>
            <w:noProof/>
          </w:rPr>
          <w:t xml:space="preserve">Article 1: Objectives</w:t>
        </w:r>
        <w:r>
          <w:rPr>
            <w:noProof/>
            <w:webHidden/>
          </w:rPr>
          <w:tab/>
        </w:r>
        <w:r>
          <w:rPr>
            <w:noProof/>
            <w:webHidden/>
          </w:rPr>
          <w:fldChar w:fldCharType="begin"/>
        </w:r>
        <w:r>
          <w:rPr>
            <w:noProof/>
            <w:webHidden/>
          </w:rPr>
          <w:instrText xml:space="preserve"> PAGEREF _Toc300001122 \h </w:instrText>
        </w:r>
        <w:r>
          <w:rPr>
            <w:noProof/>
            <w:webHidden/>
          </w:rPr>
          <w:fldChar w:fldCharType="separate"/>
        </w:r>
        <w:r>
          <w:rPr>
            <w:noProof/>
            <w:webHidden/>
          </w:rPr>
          <w:t>1359</w:t>
        </w:r>
        <w:r>
          <w:rPr>
            <w:noProof/>
            <w:webHidden/>
          </w:rPr>
          <w:fldChar w:fldCharType="end"/>
        </w:r>
      </w:hyperlink>
    </w:p>
    <w:p>
      <w:pPr>
        <w:pStyle w:val="TOC3"/>
      </w:pPr>
      <w:hyperlink w:anchor="_Toc300001123" w:history="1">
        <w:r>
          <w:rPr>
            <w:noProof/>
          </w:rPr>
          <w:t xml:space="preserve">PART TWO: COMMISSION FOR ENVIRONMENTAL COOPERATION</w:t>
        </w:r>
        <w:r>
          <w:rPr>
            <w:noProof/>
            <w:webHidden/>
          </w:rPr>
          <w:tab/>
        </w:r>
        <w:r>
          <w:rPr>
            <w:noProof/>
            <w:webHidden/>
          </w:rPr>
          <w:fldChar w:fldCharType="begin"/>
        </w:r>
        <w:r>
          <w:rPr>
            <w:noProof/>
            <w:webHidden/>
          </w:rPr>
          <w:instrText xml:space="preserve"> PAGEREF _Toc300001123 \h </w:instrText>
        </w:r>
        <w:r>
          <w:rPr>
            <w:noProof/>
            <w:webHidden/>
          </w:rPr>
          <w:fldChar w:fldCharType="separate"/>
        </w:r>
        <w:r>
          <w:rPr>
            <w:noProof/>
            <w:webHidden/>
          </w:rPr>
          <w:t>1360</w:t>
        </w:r>
        <w:r>
          <w:rPr>
            <w:noProof/>
            <w:webHidden/>
          </w:rPr>
          <w:fldChar w:fldCharType="end"/>
        </w:r>
      </w:hyperlink>
    </w:p>
    <w:p>
      <w:pPr>
        <w:pStyle w:val="TOC3"/>
      </w:pPr>
      <w:hyperlink w:anchor="_Toc300001124" w:history="1">
        <w:r>
          <w:rPr>
            <w:noProof/>
          </w:rPr>
          <w:t xml:space="preserve">Article 2: The Commission for Environmental Cooperation</w:t>
        </w:r>
        <w:r>
          <w:rPr>
            <w:noProof/>
            <w:webHidden/>
          </w:rPr>
          <w:tab/>
        </w:r>
        <w:r>
          <w:rPr>
            <w:noProof/>
            <w:webHidden/>
          </w:rPr>
          <w:fldChar w:fldCharType="begin"/>
        </w:r>
        <w:r>
          <w:rPr>
            <w:noProof/>
            <w:webHidden/>
          </w:rPr>
          <w:instrText xml:space="preserve"> PAGEREF _Toc300001124 \h </w:instrText>
        </w:r>
        <w:r>
          <w:rPr>
            <w:noProof/>
            <w:webHidden/>
          </w:rPr>
          <w:fldChar w:fldCharType="separate"/>
        </w:r>
        <w:r>
          <w:rPr>
            <w:noProof/>
            <w:webHidden/>
          </w:rPr>
          <w:t>1360</w:t>
        </w:r>
        <w:r>
          <w:rPr>
            <w:noProof/>
            <w:webHidden/>
          </w:rPr>
          <w:fldChar w:fldCharType="end"/>
        </w:r>
      </w:hyperlink>
    </w:p>
    <w:p>
      <w:pPr>
        <w:pStyle w:val="TOC3"/>
      </w:pPr>
      <w:hyperlink w:anchor="_Toc300001125" w:history="1">
        <w:r>
          <w:rPr>
            <w:noProof/>
          </w:rPr>
          <w:t xml:space="preserve">Article 3: Council Structures and Procedures</w:t>
        </w:r>
        <w:r>
          <w:rPr>
            <w:noProof/>
            <w:webHidden/>
          </w:rPr>
          <w:tab/>
        </w:r>
        <w:r>
          <w:rPr>
            <w:noProof/>
            <w:webHidden/>
          </w:rPr>
          <w:fldChar w:fldCharType="begin"/>
        </w:r>
        <w:r>
          <w:rPr>
            <w:noProof/>
            <w:webHidden/>
          </w:rPr>
          <w:instrText xml:space="preserve"> PAGEREF _Toc300001125 \h </w:instrText>
        </w:r>
        <w:r>
          <w:rPr>
            <w:noProof/>
            <w:webHidden/>
          </w:rPr>
          <w:fldChar w:fldCharType="separate"/>
        </w:r>
        <w:r>
          <w:rPr>
            <w:noProof/>
            <w:webHidden/>
          </w:rPr>
          <w:t>1360</w:t>
        </w:r>
        <w:r>
          <w:rPr>
            <w:noProof/>
            <w:webHidden/>
          </w:rPr>
          <w:fldChar w:fldCharType="end"/>
        </w:r>
      </w:hyperlink>
    </w:p>
    <w:p>
      <w:pPr>
        <w:pStyle w:val="TOC3"/>
      </w:pPr>
      <w:hyperlink w:anchor="_Toc300001126" w:history="1">
        <w:r>
          <w:rPr>
            <w:noProof/>
          </w:rPr>
          <w:t xml:space="preserve">Article 4: Council Functions</w:t>
        </w:r>
        <w:r>
          <w:rPr>
            <w:noProof/>
            <w:webHidden/>
          </w:rPr>
          <w:tab/>
        </w:r>
        <w:r>
          <w:rPr>
            <w:noProof/>
            <w:webHidden/>
          </w:rPr>
          <w:fldChar w:fldCharType="begin"/>
        </w:r>
        <w:r>
          <w:rPr>
            <w:noProof/>
            <w:webHidden/>
          </w:rPr>
          <w:instrText xml:space="preserve"> PAGEREF _Toc300001126 \h </w:instrText>
        </w:r>
        <w:r>
          <w:rPr>
            <w:noProof/>
            <w:webHidden/>
          </w:rPr>
          <w:fldChar w:fldCharType="separate"/>
        </w:r>
        <w:r>
          <w:rPr>
            <w:noProof/>
            <w:webHidden/>
          </w:rPr>
          <w:t>1361</w:t>
        </w:r>
        <w:r>
          <w:rPr>
            <w:noProof/>
            <w:webHidden/>
          </w:rPr>
          <w:fldChar w:fldCharType="end"/>
        </w:r>
      </w:hyperlink>
    </w:p>
    <w:p>
      <w:pPr>
        <w:pStyle w:val="TOC3"/>
      </w:pPr>
      <w:hyperlink w:anchor="_Toc300001127" w:history="1">
        <w:r>
          <w:rPr>
            <w:noProof/>
          </w:rPr>
          <w:t xml:space="preserve">Article 5: Secretariat Structure and Procedures</w:t>
        </w:r>
        <w:r>
          <w:rPr>
            <w:noProof/>
            <w:webHidden/>
          </w:rPr>
          <w:tab/>
        </w:r>
        <w:r>
          <w:rPr>
            <w:noProof/>
            <w:webHidden/>
          </w:rPr>
          <w:fldChar w:fldCharType="begin"/>
        </w:r>
        <w:r>
          <w:rPr>
            <w:noProof/>
            <w:webHidden/>
          </w:rPr>
          <w:instrText xml:space="preserve"> PAGEREF _Toc300001127 \h </w:instrText>
        </w:r>
        <w:r>
          <w:rPr>
            <w:noProof/>
            <w:webHidden/>
          </w:rPr>
          <w:fldChar w:fldCharType="separate"/>
        </w:r>
        <w:r>
          <w:rPr>
            <w:noProof/>
            <w:webHidden/>
          </w:rPr>
          <w:t>1361</w:t>
        </w:r>
        <w:r>
          <w:rPr>
            <w:noProof/>
            <w:webHidden/>
          </w:rPr>
          <w:fldChar w:fldCharType="end"/>
        </w:r>
      </w:hyperlink>
    </w:p>
    <w:p>
      <w:pPr>
        <w:pStyle w:val="TOC3"/>
      </w:pPr>
      <w:hyperlink w:anchor="_Toc300001128" w:history="1">
        <w:r>
          <w:rPr>
            <w:noProof/>
          </w:rPr>
          <w:t xml:space="preserve">Article 6: The Joint Public Advisory Committee</w:t>
        </w:r>
        <w:r>
          <w:rPr>
            <w:noProof/>
            <w:webHidden/>
          </w:rPr>
          <w:tab/>
        </w:r>
        <w:r>
          <w:rPr>
            <w:noProof/>
            <w:webHidden/>
          </w:rPr>
          <w:fldChar w:fldCharType="begin"/>
        </w:r>
        <w:r>
          <w:rPr>
            <w:noProof/>
            <w:webHidden/>
          </w:rPr>
          <w:instrText xml:space="preserve"> PAGEREF _Toc300001128 \h </w:instrText>
        </w:r>
        <w:r>
          <w:rPr>
            <w:noProof/>
            <w:webHidden/>
          </w:rPr>
          <w:fldChar w:fldCharType="separate"/>
        </w:r>
        <w:r>
          <w:rPr>
            <w:noProof/>
            <w:webHidden/>
          </w:rPr>
          <w:t>1362</w:t>
        </w:r>
        <w:r>
          <w:rPr>
            <w:noProof/>
            <w:webHidden/>
          </w:rPr>
          <w:fldChar w:fldCharType="end"/>
        </w:r>
      </w:hyperlink>
    </w:p>
    <w:p>
      <w:pPr>
        <w:pStyle w:val="TOC3"/>
      </w:pPr>
      <w:hyperlink w:anchor="_Toc300001129" w:history="1">
        <w:r>
          <w:rPr>
            <w:noProof/>
          </w:rPr>
          <w:t xml:space="preserve">Article 7: Official Languages</w:t>
        </w:r>
        <w:r>
          <w:rPr>
            <w:noProof/>
            <w:webHidden/>
          </w:rPr>
          <w:tab/>
        </w:r>
        <w:r>
          <w:rPr>
            <w:noProof/>
            <w:webHidden/>
          </w:rPr>
          <w:fldChar w:fldCharType="begin"/>
        </w:r>
        <w:r>
          <w:rPr>
            <w:noProof/>
            <w:webHidden/>
          </w:rPr>
          <w:instrText xml:space="preserve"> PAGEREF _Toc300001129 \h </w:instrText>
        </w:r>
        <w:r>
          <w:rPr>
            <w:noProof/>
            <w:webHidden/>
          </w:rPr>
          <w:fldChar w:fldCharType="separate"/>
        </w:r>
        <w:r>
          <w:rPr>
            <w:noProof/>
            <w:webHidden/>
          </w:rPr>
          <w:t>1362</w:t>
        </w:r>
        <w:r>
          <w:rPr>
            <w:noProof/>
            <w:webHidden/>
          </w:rPr>
          <w:fldChar w:fldCharType="end"/>
        </w:r>
      </w:hyperlink>
    </w:p>
    <w:p>
      <w:pPr>
        <w:pStyle w:val="TOC3"/>
      </w:pPr>
      <w:hyperlink w:anchor="_Toc300001130" w:history="1">
        <w:r>
          <w:rPr>
            <w:noProof/>
          </w:rPr>
          <w:t xml:space="preserve">Article 8: Annual Report of the Commission</w:t>
        </w:r>
        <w:r>
          <w:rPr>
            <w:noProof/>
            <w:webHidden/>
          </w:rPr>
          <w:tab/>
        </w:r>
        <w:r>
          <w:rPr>
            <w:noProof/>
            <w:webHidden/>
          </w:rPr>
          <w:fldChar w:fldCharType="begin"/>
        </w:r>
        <w:r>
          <w:rPr>
            <w:noProof/>
            <w:webHidden/>
          </w:rPr>
          <w:instrText xml:space="preserve"> PAGEREF _Toc300001130 \h </w:instrText>
        </w:r>
        <w:r>
          <w:rPr>
            <w:noProof/>
            <w:webHidden/>
          </w:rPr>
          <w:fldChar w:fldCharType="separate"/>
        </w:r>
        <w:r>
          <w:rPr>
            <w:noProof/>
            <w:webHidden/>
          </w:rPr>
          <w:t>1362</w:t>
        </w:r>
        <w:r>
          <w:rPr>
            <w:noProof/>
            <w:webHidden/>
          </w:rPr>
          <w:fldChar w:fldCharType="end"/>
        </w:r>
      </w:hyperlink>
    </w:p>
    <w:p>
      <w:pPr>
        <w:pStyle w:val="TOC3"/>
      </w:pPr>
      <w:hyperlink w:anchor="_Toc300001131" w:history="1">
        <w:r>
          <w:rPr>
            <w:noProof/>
          </w:rPr>
          <w:t xml:space="preserve">PART THREE: COOPERATION</w:t>
        </w:r>
        <w:r>
          <w:rPr>
            <w:noProof/>
            <w:webHidden/>
          </w:rPr>
          <w:tab/>
        </w:r>
        <w:r>
          <w:rPr>
            <w:noProof/>
            <w:webHidden/>
          </w:rPr>
          <w:fldChar w:fldCharType="begin"/>
        </w:r>
        <w:r>
          <w:rPr>
            <w:noProof/>
            <w:webHidden/>
          </w:rPr>
          <w:instrText xml:space="preserve"> PAGEREF _Toc300001131 \h </w:instrText>
        </w:r>
        <w:r>
          <w:rPr>
            <w:noProof/>
            <w:webHidden/>
          </w:rPr>
          <w:fldChar w:fldCharType="separate"/>
        </w:r>
        <w:r>
          <w:rPr>
            <w:noProof/>
            <w:webHidden/>
          </w:rPr>
          <w:t>1363</w:t>
        </w:r>
        <w:r>
          <w:rPr>
            <w:noProof/>
            <w:webHidden/>
          </w:rPr>
          <w:fldChar w:fldCharType="end"/>
        </w:r>
      </w:hyperlink>
    </w:p>
    <w:p>
      <w:pPr>
        <w:pStyle w:val="TOC3"/>
      </w:pPr>
      <w:hyperlink w:anchor="_Toc300001132" w:history="1">
        <w:r>
          <w:rPr>
            <w:noProof/>
          </w:rPr>
          <w:t xml:space="preserve">Article 9: Modalities and Forms of Cooperation</w:t>
        </w:r>
        <w:r>
          <w:rPr>
            <w:noProof/>
            <w:webHidden/>
          </w:rPr>
          <w:tab/>
        </w:r>
        <w:r>
          <w:rPr>
            <w:noProof/>
            <w:webHidden/>
          </w:rPr>
          <w:fldChar w:fldCharType="begin"/>
        </w:r>
        <w:r>
          <w:rPr>
            <w:noProof/>
            <w:webHidden/>
          </w:rPr>
          <w:instrText xml:space="preserve"> PAGEREF _Toc300001132 \h </w:instrText>
        </w:r>
        <w:r>
          <w:rPr>
            <w:noProof/>
            <w:webHidden/>
          </w:rPr>
          <w:fldChar w:fldCharType="separate"/>
        </w:r>
        <w:r>
          <w:rPr>
            <w:noProof/>
            <w:webHidden/>
          </w:rPr>
          <w:t>1363</w:t>
        </w:r>
        <w:r>
          <w:rPr>
            <w:noProof/>
            <w:webHidden/>
          </w:rPr>
          <w:fldChar w:fldCharType="end"/>
        </w:r>
      </w:hyperlink>
    </w:p>
    <w:p>
      <w:pPr>
        <w:pStyle w:val="TOC3"/>
      </w:pPr>
      <w:hyperlink w:anchor="_Toc300001133" w:history="1">
        <w:r>
          <w:rPr>
            <w:noProof/>
          </w:rPr>
          <w:t xml:space="preserve">Article 10: Work Program</w:t>
        </w:r>
        <w:r>
          <w:rPr>
            <w:noProof/>
            <w:webHidden/>
          </w:rPr>
          <w:tab/>
        </w:r>
        <w:r>
          <w:rPr>
            <w:noProof/>
            <w:webHidden/>
          </w:rPr>
          <w:fldChar w:fldCharType="begin"/>
        </w:r>
        <w:r>
          <w:rPr>
            <w:noProof/>
            <w:webHidden/>
          </w:rPr>
          <w:instrText xml:space="preserve"> PAGEREF _Toc300001133 \h </w:instrText>
        </w:r>
        <w:r>
          <w:rPr>
            <w:noProof/>
            <w:webHidden/>
          </w:rPr>
          <w:fldChar w:fldCharType="separate"/>
        </w:r>
        <w:r>
          <w:rPr>
            <w:noProof/>
            <w:webHidden/>
          </w:rPr>
          <w:t>1363</w:t>
        </w:r>
        <w:r>
          <w:rPr>
            <w:noProof/>
            <w:webHidden/>
          </w:rPr>
          <w:fldChar w:fldCharType="end"/>
        </w:r>
      </w:hyperlink>
    </w:p>
    <w:p>
      <w:pPr>
        <w:pStyle w:val="TOC3"/>
      </w:pPr>
      <w:hyperlink w:anchor="_Toc300001134" w:history="1">
        <w:r>
          <w:rPr>
            <w:noProof/>
          </w:rPr>
          <w:t xml:space="preserve">Article 11: Opportunities for Public Participation</w:t>
        </w:r>
        <w:r>
          <w:rPr>
            <w:noProof/>
            <w:webHidden/>
          </w:rPr>
          <w:tab/>
        </w:r>
        <w:r>
          <w:rPr>
            <w:noProof/>
            <w:webHidden/>
          </w:rPr>
          <w:fldChar w:fldCharType="begin"/>
        </w:r>
        <w:r>
          <w:rPr>
            <w:noProof/>
            <w:webHidden/>
          </w:rPr>
          <w:instrText xml:space="preserve"> PAGEREF _Toc300001134 \h </w:instrText>
        </w:r>
        <w:r>
          <w:rPr>
            <w:noProof/>
            <w:webHidden/>
          </w:rPr>
          <w:fldChar w:fldCharType="separate"/>
        </w:r>
        <w:r>
          <w:rPr>
            <w:noProof/>
            <w:webHidden/>
          </w:rPr>
          <w:t>1365</w:t>
        </w:r>
        <w:r>
          <w:rPr>
            <w:noProof/>
            <w:webHidden/>
          </w:rPr>
          <w:fldChar w:fldCharType="end"/>
        </w:r>
      </w:hyperlink>
    </w:p>
    <w:p>
      <w:pPr>
        <w:pStyle w:val="TOC3"/>
      </w:pPr>
      <w:hyperlink w:anchor="_Toc300001135" w:history="1">
        <w:r>
          <w:rPr>
            <w:noProof/>
          </w:rPr>
          <w:t xml:space="preserve">PART FOUR: GENERAL PROVISIONS</w:t>
        </w:r>
        <w:r>
          <w:rPr>
            <w:noProof/>
            <w:webHidden/>
          </w:rPr>
          <w:tab/>
        </w:r>
        <w:r>
          <w:rPr>
            <w:noProof/>
            <w:webHidden/>
          </w:rPr>
          <w:fldChar w:fldCharType="begin"/>
        </w:r>
        <w:r>
          <w:rPr>
            <w:noProof/>
            <w:webHidden/>
          </w:rPr>
          <w:instrText xml:space="preserve"> PAGEREF _Toc300001135 \h </w:instrText>
        </w:r>
        <w:r>
          <w:rPr>
            <w:noProof/>
            <w:webHidden/>
          </w:rPr>
          <w:fldChar w:fldCharType="separate"/>
        </w:r>
        <w:r>
          <w:rPr>
            <w:noProof/>
            <w:webHidden/>
          </w:rPr>
          <w:t>1365</w:t>
        </w:r>
        <w:r>
          <w:rPr>
            <w:noProof/>
            <w:webHidden/>
          </w:rPr>
          <w:fldChar w:fldCharType="end"/>
        </w:r>
      </w:hyperlink>
    </w:p>
    <w:p>
      <w:pPr>
        <w:pStyle w:val="TOC3"/>
      </w:pPr>
      <w:hyperlink w:anchor="_Toc300001136" w:history="1">
        <w:r>
          <w:rPr>
            <w:noProof/>
          </w:rPr>
          <w:t xml:space="preserve">Article 12: Resources</w:t>
        </w:r>
        <w:r>
          <w:rPr>
            <w:noProof/>
            <w:webHidden/>
          </w:rPr>
          <w:tab/>
        </w:r>
        <w:r>
          <w:rPr>
            <w:noProof/>
            <w:webHidden/>
          </w:rPr>
          <w:fldChar w:fldCharType="begin"/>
        </w:r>
        <w:r>
          <w:rPr>
            <w:noProof/>
            <w:webHidden/>
          </w:rPr>
          <w:instrText xml:space="preserve"> PAGEREF _Toc300001136 \h </w:instrText>
        </w:r>
        <w:r>
          <w:rPr>
            <w:noProof/>
            <w:webHidden/>
          </w:rPr>
          <w:fldChar w:fldCharType="separate"/>
        </w:r>
        <w:r>
          <w:rPr>
            <w:noProof/>
            <w:webHidden/>
          </w:rPr>
          <w:t>1365</w:t>
        </w:r>
        <w:r>
          <w:rPr>
            <w:noProof/>
            <w:webHidden/>
          </w:rPr>
          <w:fldChar w:fldCharType="end"/>
        </w:r>
      </w:hyperlink>
    </w:p>
    <w:p>
      <w:pPr>
        <w:pStyle w:val="TOC3"/>
      </w:pPr>
      <w:hyperlink w:anchor="_Toc300001137" w:history="1">
        <w:r>
          <w:rPr>
            <w:noProof/>
          </w:rPr>
          <w:t xml:space="preserve">Article 13: Equipment and Personnel</w:t>
        </w:r>
        <w:r>
          <w:rPr>
            <w:noProof/>
            <w:webHidden/>
          </w:rPr>
          <w:tab/>
        </w:r>
        <w:r>
          <w:rPr>
            <w:noProof/>
            <w:webHidden/>
          </w:rPr>
          <w:fldChar w:fldCharType="begin"/>
        </w:r>
        <w:r>
          <w:rPr>
            <w:noProof/>
            <w:webHidden/>
          </w:rPr>
          <w:instrText xml:space="preserve"> PAGEREF _Toc300001137 \h </w:instrText>
        </w:r>
        <w:r>
          <w:rPr>
            <w:noProof/>
            <w:webHidden/>
          </w:rPr>
          <w:fldChar w:fldCharType="separate"/>
        </w:r>
        <w:r>
          <w:rPr>
            <w:noProof/>
            <w:webHidden/>
          </w:rPr>
          <w:t>1365</w:t>
        </w:r>
        <w:r>
          <w:rPr>
            <w:noProof/>
            <w:webHidden/>
          </w:rPr>
          <w:fldChar w:fldCharType="end"/>
        </w:r>
      </w:hyperlink>
    </w:p>
    <w:p>
      <w:pPr>
        <w:pStyle w:val="TOC3"/>
      </w:pPr>
      <w:hyperlink w:anchor="_Toc300001138" w:history="1">
        <w:r>
          <w:rPr>
            <w:noProof/>
          </w:rPr>
          <w:t xml:space="preserve">Article 14: Provision of Information for Factual Records</w:t>
        </w:r>
        <w:r>
          <w:rPr>
            <w:noProof/>
            <w:webHidden/>
          </w:rPr>
          <w:tab/>
        </w:r>
        <w:r>
          <w:rPr>
            <w:noProof/>
            <w:webHidden/>
          </w:rPr>
          <w:fldChar w:fldCharType="begin"/>
        </w:r>
        <w:r>
          <w:rPr>
            <w:noProof/>
            <w:webHidden/>
          </w:rPr>
          <w:instrText xml:space="preserve"> PAGEREF _Toc300001138 \h </w:instrText>
        </w:r>
        <w:r>
          <w:rPr>
            <w:noProof/>
            <w:webHidden/>
          </w:rPr>
          <w:fldChar w:fldCharType="separate"/>
        </w:r>
        <w:r>
          <w:rPr>
            <w:noProof/>
            <w:webHidden/>
          </w:rPr>
          <w:t>1366</w:t>
        </w:r>
        <w:r>
          <w:rPr>
            <w:noProof/>
            <w:webHidden/>
          </w:rPr>
          <w:fldChar w:fldCharType="end"/>
        </w:r>
      </w:hyperlink>
    </w:p>
    <w:p>
      <w:pPr>
        <w:pStyle w:val="TOC3"/>
      </w:pPr>
      <w:hyperlink w:anchor="_Toc300001139" w:history="1">
        <w:r>
          <w:rPr>
            <w:noProof/>
          </w:rPr>
          <w:t xml:space="preserve">Article 15: Technical and Confidential Information and Intellectual Property</w:t>
        </w:r>
        <w:r>
          <w:rPr>
            <w:noProof/>
            <w:webHidden/>
          </w:rPr>
          <w:tab/>
        </w:r>
        <w:r>
          <w:rPr>
            <w:noProof/>
            <w:webHidden/>
          </w:rPr>
          <w:fldChar w:fldCharType="begin"/>
        </w:r>
        <w:r>
          <w:rPr>
            <w:noProof/>
            <w:webHidden/>
          </w:rPr>
          <w:instrText xml:space="preserve"> PAGEREF _Toc300001139 \h </w:instrText>
        </w:r>
        <w:r>
          <w:rPr>
            <w:noProof/>
            <w:webHidden/>
          </w:rPr>
          <w:fldChar w:fldCharType="separate"/>
        </w:r>
        <w:r>
          <w:rPr>
            <w:noProof/>
            <w:webHidden/>
          </w:rPr>
          <w:t>1366</w:t>
        </w:r>
        <w:r>
          <w:rPr>
            <w:noProof/>
            <w:webHidden/>
          </w:rPr>
          <w:fldChar w:fldCharType="end"/>
        </w:r>
      </w:hyperlink>
    </w:p>
    <w:p>
      <w:pPr>
        <w:pStyle w:val="TOC3"/>
      </w:pPr>
      <w:hyperlink w:anchor="_Toc300001140" w:history="1">
        <w:r>
          <w:rPr>
            <w:noProof/>
          </w:rPr>
          <w:t xml:space="preserve">Article 16. Protection of Information</w:t>
        </w:r>
        <w:r>
          <w:rPr>
            <w:noProof/>
            <w:webHidden/>
          </w:rPr>
          <w:tab/>
        </w:r>
        <w:r>
          <w:rPr>
            <w:noProof/>
            <w:webHidden/>
          </w:rPr>
          <w:fldChar w:fldCharType="begin"/>
        </w:r>
        <w:r>
          <w:rPr>
            <w:noProof/>
            <w:webHidden/>
          </w:rPr>
          <w:instrText xml:space="preserve"> PAGEREF _Toc300001140 \h </w:instrText>
        </w:r>
        <w:r>
          <w:rPr>
            <w:noProof/>
            <w:webHidden/>
          </w:rPr>
          <w:fldChar w:fldCharType="separate"/>
        </w:r>
        <w:r>
          <w:rPr>
            <w:noProof/>
            <w:webHidden/>
          </w:rPr>
          <w:t>1366</w:t>
        </w:r>
        <w:r>
          <w:rPr>
            <w:noProof/>
            <w:webHidden/>
          </w:rPr>
          <w:fldChar w:fldCharType="end"/>
        </w:r>
      </w:hyperlink>
    </w:p>
    <w:p>
      <w:pPr>
        <w:pStyle w:val="TOC3"/>
      </w:pPr>
      <w:hyperlink w:anchor="_Toc300001141" w:history="1">
        <w:r>
          <w:rPr>
            <w:noProof/>
          </w:rPr>
          <w:t xml:space="preserve">Article 17: Entry into Force, Withdrawal, Amendments, Accession</w:t>
        </w:r>
        <w:r>
          <w:rPr>
            <w:noProof/>
            <w:webHidden/>
          </w:rPr>
          <w:tab/>
        </w:r>
        <w:r>
          <w:rPr>
            <w:noProof/>
            <w:webHidden/>
          </w:rPr>
          <w:fldChar w:fldCharType="begin"/>
        </w:r>
        <w:r>
          <w:rPr>
            <w:noProof/>
            <w:webHidden/>
          </w:rPr>
          <w:instrText xml:space="preserve"> PAGEREF _Toc300001141 \h </w:instrText>
        </w:r>
        <w:r>
          <w:rPr>
            <w:noProof/>
            <w:webHidden/>
          </w:rPr>
          <w:fldChar w:fldCharType="separate"/>
        </w:r>
        <w:r>
          <w:rPr>
            <w:noProof/>
            <w:webHidden/>
          </w:rPr>
          <w:t>1366</w:t>
        </w:r>
        <w:r>
          <w:rPr>
            <w:noProof/>
            <w:webHidden/>
          </w:rPr>
          <w:fldChar w:fldCharType="end"/>
        </w:r>
      </w:hyperlink>
    </w:p>
    <w:p>
      <w:pPr>
        <w:pStyle w:val="TOC2"/>
      </w:pPr>
      <w:hyperlink w:anchor="_Toc300001142" w:history="1">
        <w:r>
          <w:rPr>
            <w:noProof/>
          </w:rPr>
          <w:t xml:space="preserve">PART F: UNIFORM REGULATIONS AND IMPLEMENTATION CONTINUITY</w:t>
        </w:r>
        <w:r>
          <w:rPr>
            <w:noProof/>
            <w:webHidden/>
          </w:rPr>
          <w:tab/>
        </w:r>
        <w:r>
          <w:rPr>
            <w:noProof/>
            <w:webHidden/>
          </w:rPr>
          <w:fldChar w:fldCharType="begin"/>
        </w:r>
        <w:r>
          <w:rPr>
            <w:noProof/>
            <w:webHidden/>
          </w:rPr>
          <w:instrText xml:space="preserve"> PAGEREF _Toc300001142 \h </w:instrText>
        </w:r>
        <w:r>
          <w:rPr>
            <w:noProof/>
            <w:webHidden/>
          </w:rPr>
          <w:fldChar w:fldCharType="separate"/>
        </w:r>
        <w:r>
          <w:rPr>
            <w:noProof/>
            <w:webHidden/>
          </w:rPr>
          <w:t>1367</w:t>
        </w:r>
        <w:r>
          <w:rPr>
            <w:noProof/>
            <w:webHidden/>
          </w:rPr>
          <w:fldChar w:fldCharType="end"/>
        </w:r>
      </w:hyperlink>
    </w:p>
    <w:p>
      <w:pPr>
        <w:pStyle w:val="TOC2"/>
      </w:pPr>
      <w:hyperlink w:anchor="_Toc300001143" w:history="1">
        <w:r>
          <w:rPr>
            <w:noProof/>
          </w:rPr>
          <w:t xml:space="preserve">PART G: STATUS OF SUPERSEDED, SPENT, AND HISTORICAL ORIGINAL INSTRUMENTS</w:t>
        </w:r>
        <w:r>
          <w:rPr>
            <w:noProof/>
            <w:webHidden/>
          </w:rPr>
          <w:tab/>
        </w:r>
        <w:r>
          <w:rPr>
            <w:noProof/>
            <w:webHidden/>
          </w:rPr>
          <w:fldChar w:fldCharType="begin"/>
        </w:r>
        <w:r>
          <w:rPr>
            <w:noProof/>
            <w:webHidden/>
          </w:rPr>
          <w:instrText xml:space="preserve"> PAGEREF _Toc300001143 \h </w:instrText>
        </w:r>
        <w:r>
          <w:rPr>
            <w:noProof/>
            <w:webHidden/>
          </w:rPr>
          <w:fldChar w:fldCharType="separate"/>
        </w:r>
        <w:r>
          <w:rPr>
            <w:noProof/>
            <w:webHidden/>
          </w:rPr>
          <w:t>1368</w:t>
        </w:r>
        <w:r>
          <w:rPr>
            <w:noProof/>
            <w:webHidden/>
          </w:rPr>
          <w:fldChar w:fldCharType="end"/>
        </w:r>
      </w:hyperlink>
    </w:p>
    <w:p>
      <w:pPr>
        <w:pStyle w:val="TOC2"/>
      </w:pPr>
      <w:hyperlink w:anchor="_Toc300001144" w:history="1">
        <w:r>
          <w:rPr>
            <w:noProof/>
          </w:rPr>
          <w:t xml:space="preserve">ANNEX 34-H: ADMINISTRATIVE CONTINUITY AND DEFAULT PROCEDURES</w:t>
        </w:r>
        <w:r>
          <w:rPr>
            <w:noProof/>
            <w:webHidden/>
          </w:rPr>
          <w:tab/>
        </w:r>
        <w:r>
          <w:rPr>
            <w:noProof/>
            <w:webHidden/>
          </w:rPr>
          <w:fldChar w:fldCharType="begin"/>
        </w:r>
        <w:r>
          <w:rPr>
            <w:noProof/>
            <w:webHidden/>
          </w:rPr>
          <w:instrText xml:space="preserve"> PAGEREF _Toc300001144 \h </w:instrText>
        </w:r>
        <w:r>
          <w:rPr>
            <w:noProof/>
            <w:webHidden/>
          </w:rPr>
          <w:fldChar w:fldCharType="separate"/>
        </w:r>
        <w:r>
          <w:rPr>
            <w:noProof/>
            <w:webHidden/>
          </w:rPr>
          <w:t>1368</w:t>
        </w:r>
        <w:r>
          <w:rPr>
            <w:noProof/>
            <w:webHidden/>
          </w:rPr>
          <w:fldChar w:fldCharType="end"/>
        </w:r>
      </w:hyperlink>
    </w:p>
    <w:p>
      <w:pPr>
        <w:pStyle w:val="TOC2"/>
      </w:pPr>
      <w:hyperlink w:anchor="_Toc300001145" w:history="1">
        <w:r>
          <w:rPr>
            <w:noProof/>
          </w:rPr>
          <w:t xml:space="preserve">Article 34.F: Orderly Withdrawal, Public Notice, and Reliance Transition</w:t>
        </w:r>
        <w:r>
          <w:rPr>
            <w:noProof/>
            <w:webHidden/>
          </w:rPr>
          <w:tab/>
        </w:r>
        <w:r>
          <w:rPr>
            <w:noProof/>
            <w:webHidden/>
          </w:rPr>
          <w:fldChar w:fldCharType="begin"/>
        </w:r>
        <w:r>
          <w:rPr>
            <w:noProof/>
            <w:webHidden/>
          </w:rPr>
          <w:instrText xml:space="preserve"> PAGEREF _Toc300001145 \h </w:instrText>
        </w:r>
        <w:r>
          <w:rPr>
            <w:noProof/>
            <w:webHidden/>
          </w:rPr>
          <w:fldChar w:fldCharType="separate"/>
        </w:r>
        <w:r>
          <w:rPr>
            <w:noProof/>
            <w:webHidden/>
          </w:rPr>
          <w:t>1371</w:t>
        </w:r>
        <w:r>
          <w:rPr>
            <w:noProof/>
            <w:webHidden/>
          </w:rPr>
          <w:fldChar w:fldCharType="end"/>
        </w:r>
      </w:hyperlink>
    </w:p>
    <w:p>
      <w:pPr>
        <w:pStyle w:val="TOC2"/>
      </w:pPr>
      <w:hyperlink w:anchor="_Toc300001146" w:history="1">
        <w:r>
          <w:rPr>
            <w:noProof/>
          </w:rPr>
          <w:t xml:space="preserve">Article 34.G: Withdrawal Notice Neutrality and Anti-Ultimatum Rule</w:t>
        </w:r>
        <w:r>
          <w:rPr>
            <w:noProof/>
            <w:webHidden/>
          </w:rPr>
          <w:tab/>
        </w:r>
        <w:r>
          <w:rPr>
            <w:noProof/>
            <w:webHidden/>
          </w:rPr>
          <w:fldChar w:fldCharType="begin"/>
        </w:r>
        <w:r>
          <w:rPr>
            <w:noProof/>
            <w:webHidden/>
          </w:rPr>
          <w:instrText xml:space="preserve"> PAGEREF _Toc300001146 \h </w:instrText>
        </w:r>
        <w:r>
          <w:rPr>
            <w:noProof/>
            <w:webHidden/>
          </w:rPr>
          <w:fldChar w:fldCharType="separate"/>
        </w:r>
        <w:r>
          <w:rPr>
            <w:noProof/>
            <w:webHidden/>
          </w:rPr>
          <w:t>1371</w:t>
        </w:r>
        <w:r>
          <w:rPr>
            <w:noProof/>
            <w:webHidden/>
          </w:rPr>
          <w:fldChar w:fldCharType="end"/>
        </w:r>
      </w:hyperlink>
    </w:p>
    <w:p>
      <w:pPr>
        <w:pStyle w:val="TOC2"/>
      </w:pPr>
      <w:hyperlink w:anchor="_Toc300001147" w:history="1">
        <w:r>
          <w:rPr>
            <w:noProof/>
          </w:rPr>
          <w:t xml:space="preserve">Article 34.H: Notice Cycling, Formal Status, and Market Integrity</w:t>
        </w:r>
        <w:r>
          <w:rPr>
            <w:noProof/>
            <w:webHidden/>
          </w:rPr>
          <w:tab/>
        </w:r>
        <w:r>
          <w:rPr>
            <w:noProof/>
            <w:webHidden/>
          </w:rPr>
          <w:fldChar w:fldCharType="begin"/>
        </w:r>
        <w:r>
          <w:rPr>
            <w:noProof/>
            <w:webHidden/>
          </w:rPr>
          <w:instrText xml:space="preserve"> PAGEREF _Toc300001147 \h </w:instrText>
        </w:r>
        <w:r>
          <w:rPr>
            <w:noProof/>
            <w:webHidden/>
          </w:rPr>
          <w:fldChar w:fldCharType="separate"/>
        </w:r>
        <w:r>
          <w:rPr>
            <w:noProof/>
            <w:webHidden/>
          </w:rPr>
          <w:t>1372</w:t>
        </w:r>
        <w:r>
          <w:rPr>
            <w:noProof/>
            <w:webHidden/>
          </w:rPr>
          <w:fldChar w:fldCharType="end"/>
        </w:r>
      </w:hyperlink>
    </w:p>
    <w:p>
      <w:pPr>
        <w:pStyle w:val="TOC2"/>
      </w:pPr>
      <w:hyperlink w:anchor="_Toc300001148" w:history="1">
        <w:r>
          <w:rPr>
            <w:noProof/>
          </w:rPr>
          <w:t xml:space="preserve">Article 34.I: Whole-Treaty Exit and Trilateral Amendment Integrity</w:t>
        </w:r>
        <w:r>
          <w:rPr>
            <w:noProof/>
            <w:webHidden/>
          </w:rPr>
          <w:tab/>
        </w:r>
        <w:r>
          <w:rPr>
            <w:noProof/>
            <w:webHidden/>
          </w:rPr>
          <w:fldChar w:fldCharType="begin"/>
        </w:r>
        <w:r>
          <w:rPr>
            <w:noProof/>
            <w:webHidden/>
          </w:rPr>
          <w:instrText xml:space="preserve"> PAGEREF _Toc300001148 \h </w:instrText>
        </w:r>
        <w:r>
          <w:rPr>
            <w:noProof/>
            <w:webHidden/>
          </w:rPr>
          <w:fldChar w:fldCharType="separate"/>
        </w:r>
        <w:r>
          <w:rPr>
            <w:noProof/>
            <w:webHidden/>
          </w:rPr>
          <w:t>1372</w:t>
        </w:r>
        <w:r>
          <w:rPr>
            <w:noProof/>
            <w:webHidden/>
          </w:rPr>
          <w:fldChar w:fldCharType="end"/>
        </w:r>
      </w:hyperlink>
    </w:p>
    <w:p>
      <w:pPr>
        <w:pStyle w:val="TOC2"/>
      </w:pPr>
      <w:hyperlink w:anchor="_Toc300001149" w:history="1">
        <w:r>
          <w:rPr>
            <w:noProof/>
          </w:rPr>
          <w:t xml:space="preserve">Article 34.J: Full Performance, Survival Jurisdiction, and Accrued Obligations</w:t>
        </w:r>
        <w:r>
          <w:rPr>
            <w:noProof/>
            <w:webHidden/>
          </w:rPr>
          <w:tab/>
        </w:r>
        <w:r>
          <w:rPr>
            <w:noProof/>
            <w:webHidden/>
          </w:rPr>
          <w:fldChar w:fldCharType="begin"/>
        </w:r>
        <w:r>
          <w:rPr>
            <w:noProof/>
            <w:webHidden/>
          </w:rPr>
          <w:instrText xml:space="preserve"> PAGEREF _Toc300001149 \h </w:instrText>
        </w:r>
        <w:r>
          <w:rPr>
            <w:noProof/>
            <w:webHidden/>
          </w:rPr>
          <w:fldChar w:fldCharType="separate"/>
        </w:r>
        <w:r>
          <w:rPr>
            <w:noProof/>
            <w:webHidden/>
          </w:rPr>
          <w:t>1373</w:t>
        </w:r>
        <w:r>
          <w:rPr>
            <w:noProof/>
            <w:webHidden/>
          </w:rPr>
          <w:fldChar w:fldCharType="end"/>
        </w:r>
      </w:hyperlink>
    </w:p>
    <w:p>
      <w:pPr>
        <w:pStyle w:val="TOC2"/>
      </w:pPr>
      <w:hyperlink w:anchor="_Toc300001150" w:history="1">
        <w:r>
          <w:rPr>
            <w:noProof/>
          </w:rPr>
          <w:t xml:space="preserve">Article 34.K: Withdrawal Record Hold and Reliance Administration</w:t>
        </w:r>
        <w:r>
          <w:rPr>
            <w:noProof/>
            <w:webHidden/>
          </w:rPr>
          <w:tab/>
        </w:r>
        <w:r>
          <w:rPr>
            <w:noProof/>
            <w:webHidden/>
          </w:rPr>
          <w:fldChar w:fldCharType="begin"/>
        </w:r>
        <w:r>
          <w:rPr>
            <w:noProof/>
            <w:webHidden/>
          </w:rPr>
          <w:instrText xml:space="preserve"> PAGEREF _Toc300001150 \h </w:instrText>
        </w:r>
        <w:r>
          <w:rPr>
            <w:noProof/>
            <w:webHidden/>
          </w:rPr>
          <w:fldChar w:fldCharType="separate"/>
        </w:r>
        <w:r>
          <w:rPr>
            <w:noProof/>
            <w:webHidden/>
          </w:rPr>
          <w:t>1373</w:t>
        </w:r>
        <w:r>
          <w:rPr>
            <w:noProof/>
            <w:webHidden/>
          </w:rPr>
          <w:fldChar w:fldCharType="end"/>
        </w:r>
      </w:hyperlink>
    </w:p>
    <w:p>
      <w:pPr>
        <w:pStyle w:val="TOC2"/>
      </w:pPr>
      <w:hyperlink w:anchor="_Toc300001151" w:history="1">
        <w:r>
          <w:rPr>
            <w:noProof/>
          </w:rPr>
          <w:t xml:space="preserve">Article 34.L: Settlement Finality and No Payment for Existing Performance</w:t>
        </w:r>
        <w:r>
          <w:rPr>
            <w:noProof/>
            <w:webHidden/>
          </w:rPr>
          <w:tab/>
        </w:r>
        <w:r>
          <w:rPr>
            <w:noProof/>
            <w:webHidden/>
          </w:rPr>
          <w:fldChar w:fldCharType="begin"/>
        </w:r>
        <w:r>
          <w:rPr>
            <w:noProof/>
            <w:webHidden/>
          </w:rPr>
          <w:instrText xml:space="preserve"> PAGEREF _Toc300001151 \h </w:instrText>
        </w:r>
        <w:r>
          <w:rPr>
            <w:noProof/>
            <w:webHidden/>
          </w:rPr>
          <w:fldChar w:fldCharType="separate"/>
        </w:r>
        <w:r>
          <w:rPr>
            <w:noProof/>
            <w:webHidden/>
          </w:rPr>
          <w:t>1373</w:t>
        </w:r>
        <w:r>
          <w:rPr>
            <w:noProof/>
            <w:webHidden/>
          </w:rPr>
          <w:fldChar w:fldCharType="end"/>
        </w:r>
      </w:hyperlink>
    </w:p>
    <w:p>
      <w:pPr>
        <w:pStyle w:val="TOC2"/>
      </w:pPr>
      <w:hyperlink w:anchor="_Toc300001152" w:history="1">
        <w:r>
          <w:rPr>
            <w:noProof/>
          </w:rPr>
          <w:t xml:space="preserve">Article 34.M: Reaccession after Withdrawal</w:t>
        </w:r>
        <w:r>
          <w:rPr>
            <w:noProof/>
            <w:webHidden/>
          </w:rPr>
          <w:tab/>
        </w:r>
        <w:r>
          <w:rPr>
            <w:noProof/>
            <w:webHidden/>
          </w:rPr>
          <w:fldChar w:fldCharType="begin"/>
        </w:r>
        <w:r>
          <w:rPr>
            <w:noProof/>
            <w:webHidden/>
          </w:rPr>
          <w:instrText xml:space="preserve"> PAGEREF _Toc300001152 \h </w:instrText>
        </w:r>
        <w:r>
          <w:rPr>
            <w:noProof/>
            <w:webHidden/>
          </w:rPr>
          <w:fldChar w:fldCharType="separate"/>
        </w:r>
        <w:r>
          <w:rPr>
            <w:noProof/>
            <w:webHidden/>
          </w:rPr>
          <w:t>1374</w:t>
        </w:r>
        <w:r>
          <w:rPr>
            <w:noProof/>
            <w:webHidden/>
          </w:rPr>
          <w:fldChar w:fldCharType="end"/>
        </w:r>
      </w:hyperlink>
    </w:p>
    <w:p>
      <w:pPr>
        <w:pStyle w:val="TOC2"/>
      </w:pPr>
      <w:hyperlink w:anchor="_Toc300001153" w:history="1">
        <w:r>
          <w:rPr>
            <w:noProof/>
          </w:rPr>
          <w:t xml:space="preserve">Article 34.N: Domestic Legislative Approval of Withdrawal</w:t>
        </w:r>
        <w:r>
          <w:rPr>
            <w:noProof/>
            <w:webHidden/>
          </w:rPr>
          <w:tab/>
        </w:r>
        <w:r>
          <w:rPr>
            <w:noProof/>
            <w:webHidden/>
          </w:rPr>
          <w:fldChar w:fldCharType="begin"/>
        </w:r>
        <w:r>
          <w:rPr>
            <w:noProof/>
            <w:webHidden/>
          </w:rPr>
          <w:instrText xml:space="preserve"> PAGEREF _Toc300001153 \h </w:instrText>
        </w:r>
        <w:r>
          <w:rPr>
            <w:noProof/>
            <w:webHidden/>
          </w:rPr>
          <w:fldChar w:fldCharType="separate"/>
        </w:r>
        <w:r>
          <w:rPr>
            <w:noProof/>
            <w:webHidden/>
          </w:rPr>
          <w:t>1374</w:t>
        </w:r>
        <w:r>
          <w:rPr>
            <w:noProof/>
            <w:webHidden/>
          </w:rPr>
          <w:fldChar w:fldCharType="end"/>
        </w:r>
      </w:hyperlink>
    </w:p>
    <w:p>
      <w:pPr>
        <w:pStyle w:val="TOC2"/>
      </w:pPr>
      <w:hyperlink w:anchor="_Toc300001154" w:history="1">
        <w:r>
          <w:rPr>
            <w:noProof/>
          </w:rPr>
          <w:t xml:space="preserve">Article 34.O: No Constructive Withdrawal or Functional Evasion</w:t>
        </w:r>
        <w:r>
          <w:rPr>
            <w:noProof/>
            <w:webHidden/>
          </w:rPr>
          <w:tab/>
        </w:r>
        <w:r>
          <w:rPr>
            <w:noProof/>
            <w:webHidden/>
          </w:rPr>
          <w:fldChar w:fldCharType="begin"/>
        </w:r>
        <w:r>
          <w:rPr>
            <w:noProof/>
            <w:webHidden/>
          </w:rPr>
          <w:instrText xml:space="preserve"> PAGEREF _Toc300001154 \h </w:instrText>
        </w:r>
        <w:r>
          <w:rPr>
            <w:noProof/>
            <w:webHidden/>
          </w:rPr>
          <w:fldChar w:fldCharType="separate"/>
        </w:r>
        <w:r>
          <w:rPr>
            <w:noProof/>
            <w:webHidden/>
          </w:rPr>
          <w:t>1374</w:t>
        </w:r>
        <w:r>
          <w:rPr>
            <w:noProof/>
            <w:webHidden/>
          </w:rPr>
          <w:fldChar w:fldCharType="end"/>
        </w:r>
      </w:hyperlink>
    </w:p>
    <w:p>
      <w:pPr>
        <w:pStyle w:val="TOC2"/>
      </w:pPr>
      <w:hyperlink w:anchor="_Toc300001155" w:history="1">
        <w:r>
          <w:rPr>
            <w:noProof/>
          </w:rPr>
          <w:t xml:space="preserve">Article 34.P: Severability and Constitutional Savings</w:t>
        </w:r>
        <w:r>
          <w:rPr>
            <w:noProof/>
            <w:webHidden/>
          </w:rPr>
          <w:tab/>
        </w:r>
        <w:r>
          <w:rPr>
            <w:noProof/>
            <w:webHidden/>
          </w:rPr>
          <w:fldChar w:fldCharType="begin"/>
        </w:r>
        <w:r>
          <w:rPr>
            <w:noProof/>
            <w:webHidden/>
          </w:rPr>
          <w:instrText xml:space="preserve"> PAGEREF _Toc300001155 \h </w:instrText>
        </w:r>
        <w:r>
          <w:rPr>
            <w:noProof/>
            <w:webHidden/>
          </w:rPr>
          <w:fldChar w:fldCharType="separate"/>
        </w:r>
        <w:r>
          <w:rPr>
            <w:noProof/>
            <w:webHidden/>
          </w:rPr>
          <w:t>1375</w:t>
        </w:r>
        <w:r>
          <w:rPr>
            <w:noProof/>
            <w:webHidden/>
          </w:rPr>
          <w:fldChar w:fldCharType="end"/>
        </w:r>
      </w:hyperlink>
    </w:p>
    <w:p>
      <w:pPr>
        <w:pStyle w:val="TOC2"/>
      </w:pPr>
      <w:hyperlink w:anchor="_Toc300001156" w:history="1">
        <w:r>
          <w:rPr>
            <w:noProof/>
          </w:rPr>
          <w:t xml:space="preserve">Article 34.Q: Domestic Sovereignty and Limits of Treaty Bodies</w:t>
        </w:r>
        <w:r>
          <w:rPr>
            <w:noProof/>
            <w:webHidden/>
          </w:rPr>
          <w:tab/>
        </w:r>
        <w:r>
          <w:rPr>
            <w:noProof/>
            <w:webHidden/>
          </w:rPr>
          <w:fldChar w:fldCharType="begin"/>
        </w:r>
        <w:r>
          <w:rPr>
            <w:noProof/>
            <w:webHidden/>
          </w:rPr>
          <w:instrText xml:space="preserve"> PAGEREF _Toc300001156 \h </w:instrText>
        </w:r>
        <w:r>
          <w:rPr>
            <w:noProof/>
            <w:webHidden/>
          </w:rPr>
          <w:fldChar w:fldCharType="separate"/>
        </w:r>
        <w:r>
          <w:rPr>
            <w:noProof/>
            <w:webHidden/>
          </w:rPr>
          <w:t>1375</w:t>
        </w:r>
        <w:r>
          <w:rPr>
            <w:noProof/>
            <w:webHidden/>
          </w:rPr>
          <w:fldChar w:fldCharType="end"/>
        </w:r>
      </w:hyperlink>
    </w:p>
    <w:p>
      <w:pPr>
        <w:pStyle w:val="TOC2"/>
      </w:pPr>
      <w:hyperlink w:anchor="_Toc300001157" w:history="1">
        <w:r>
          <w:rPr>
            <w:noProof/>
          </w:rPr>
          <w:t xml:space="preserve">Article 34.A.1: Living Amendment Ledger</w:t>
        </w:r>
        <w:r>
          <w:rPr>
            <w:noProof/>
            <w:webHidden/>
          </w:rPr>
          <w:tab/>
        </w:r>
        <w:r>
          <w:rPr>
            <w:noProof/>
            <w:webHidden/>
          </w:rPr>
          <w:fldChar w:fldCharType="begin"/>
        </w:r>
        <w:r>
          <w:rPr>
            <w:noProof/>
            <w:webHidden/>
          </w:rPr>
          <w:instrText xml:space="preserve"> PAGEREF _Toc300001157 \h </w:instrText>
        </w:r>
        <w:r>
          <w:rPr>
            <w:noProof/>
            <w:webHidden/>
          </w:rPr>
          <w:fldChar w:fldCharType="separate"/>
        </w:r>
        <w:r>
          <w:rPr>
            <w:noProof/>
            <w:webHidden/>
          </w:rPr>
          <w:t>1376</w:t>
        </w:r>
        <w:r>
          <w:rPr>
            <w:noProof/>
            <w:webHidden/>
          </w:rPr>
          <w:fldChar w:fldCharType="end"/>
        </w:r>
      </w:hyperlink>
    </w:p>
    <w:p>
      <w:pPr>
        <w:pStyle w:val="TOC1"/>
      </w:pPr>
      <w:hyperlink w:anchor="_Toc300001158" w:history="1">
        <w:r>
          <w:rPr>
            <w:noProof/>
          </w:rPr>
          <w:t xml:space="preserve">ANNEX 34-J: FINAL SETTLEMENT ARCHITECTURE AND ADOPTION FRAMEWORK</w:t>
        </w:r>
        <w:r>
          <w:rPr>
            <w:noProof/>
            <w:webHidden/>
          </w:rPr>
          <w:tab/>
        </w:r>
        <w:r>
          <w:rPr>
            <w:noProof/>
            <w:webHidden/>
          </w:rPr>
          <w:fldChar w:fldCharType="begin"/>
        </w:r>
        <w:r>
          <w:rPr>
            <w:noProof/>
            <w:webHidden/>
          </w:rPr>
          <w:instrText xml:space="preserve"> PAGEREF _Toc300001158 \h </w:instrText>
        </w:r>
        <w:r>
          <w:rPr>
            <w:noProof/>
            <w:webHidden/>
          </w:rPr>
          <w:fldChar w:fldCharType="separate"/>
        </w:r>
        <w:r>
          <w:rPr>
            <w:noProof/>
            <w:webHidden/>
          </w:rPr>
          <w:t>1377</w:t>
        </w:r>
        <w:r>
          <w:rPr>
            <w:noProof/>
            <w:webHidden/>
          </w:rPr>
          <w:fldChar w:fldCharType="end"/>
        </w:r>
      </w:hyperlink>
    </w:p>
    <w:p>
      <w:pPr>
        <w:pStyle w:val="TOC2"/>
      </w:pPr>
      <w:hyperlink w:anchor="_Toc300001159" w:history="1">
        <w:r>
          <w:rPr>
            <w:noProof/>
          </w:rPr>
          <w:t xml:space="preserve">FS-00.1: Package Identity, Purpose, and Scope</w:t>
        </w:r>
        <w:r>
          <w:rPr>
            <w:noProof/>
            <w:webHidden/>
          </w:rPr>
          <w:tab/>
        </w:r>
        <w:r>
          <w:rPr>
            <w:noProof/>
            <w:webHidden/>
          </w:rPr>
          <w:fldChar w:fldCharType="begin"/>
        </w:r>
        <w:r>
          <w:rPr>
            <w:noProof/>
            <w:webHidden/>
          </w:rPr>
          <w:instrText xml:space="preserve"> PAGEREF _Toc300001159 \h </w:instrText>
        </w:r>
        <w:r>
          <w:rPr>
            <w:noProof/>
            <w:webHidden/>
          </w:rPr>
          <w:fldChar w:fldCharType="separate"/>
        </w:r>
        <w:r>
          <w:rPr>
            <w:noProof/>
            <w:webHidden/>
          </w:rPr>
          <w:t>1377</w:t>
        </w:r>
        <w:r>
          <w:rPr>
            <w:noProof/>
            <w:webHidden/>
          </w:rPr>
          <w:fldChar w:fldCharType="end"/>
        </w:r>
      </w:hyperlink>
    </w:p>
    <w:p>
      <w:pPr>
        <w:pStyle w:val="TOC2"/>
      </w:pPr>
      <w:hyperlink w:anchor="_Toc300001160" w:history="1">
        <w:r>
          <w:rPr>
            <w:noProof/>
          </w:rPr>
          <w:t xml:space="preserve">FS-00.2: Authority, Hierarchy, and Conflict Discipline</w:t>
        </w:r>
        <w:r>
          <w:rPr>
            <w:noProof/>
            <w:webHidden/>
          </w:rPr>
          <w:tab/>
        </w:r>
        <w:r>
          <w:rPr>
            <w:noProof/>
            <w:webHidden/>
          </w:rPr>
          <w:fldChar w:fldCharType="begin"/>
        </w:r>
        <w:r>
          <w:rPr>
            <w:noProof/>
            <w:webHidden/>
          </w:rPr>
          <w:instrText xml:space="preserve"> PAGEREF _Toc300001160 \h </w:instrText>
        </w:r>
        <w:r>
          <w:rPr>
            <w:noProof/>
            <w:webHidden/>
          </w:rPr>
          <w:fldChar w:fldCharType="separate"/>
        </w:r>
        <w:r>
          <w:rPr>
            <w:noProof/>
            <w:webHidden/>
          </w:rPr>
          <w:t>1378</w:t>
        </w:r>
        <w:r>
          <w:rPr>
            <w:noProof/>
            <w:webHidden/>
          </w:rPr>
          <w:fldChar w:fldCharType="end"/>
        </w:r>
      </w:hyperlink>
    </w:p>
    <w:p>
      <w:pPr>
        <w:pStyle w:val="TOC2"/>
      </w:pPr>
      <w:hyperlink w:anchor="_Toc300001161" w:history="1">
        <w:r>
          <w:rPr>
            <w:noProof/>
          </w:rPr>
          <w:t xml:space="preserve">FS-00.3: Adoption, Participation, and Reciprocity</w:t>
        </w:r>
        <w:r>
          <w:rPr>
            <w:noProof/>
            <w:webHidden/>
          </w:rPr>
          <w:tab/>
        </w:r>
        <w:r>
          <w:rPr>
            <w:noProof/>
            <w:webHidden/>
          </w:rPr>
          <w:fldChar w:fldCharType="begin"/>
        </w:r>
        <w:r>
          <w:rPr>
            <w:noProof/>
            <w:webHidden/>
          </w:rPr>
          <w:instrText xml:space="preserve"> PAGEREF _Toc300001161 \h </w:instrText>
        </w:r>
        <w:r>
          <w:rPr>
            <w:noProof/>
            <w:webHidden/>
          </w:rPr>
          <w:fldChar w:fldCharType="separate"/>
        </w:r>
        <w:r>
          <w:rPr>
            <w:noProof/>
            <w:webHidden/>
          </w:rPr>
          <w:t>1380</w:t>
        </w:r>
        <w:r>
          <w:rPr>
            <w:noProof/>
            <w:webHidden/>
          </w:rPr>
          <w:fldChar w:fldCharType="end"/>
        </w:r>
      </w:hyperlink>
    </w:p>
    <w:p>
      <w:pPr>
        <w:pStyle w:val="TOC2"/>
      </w:pPr>
      <w:hyperlink w:anchor="_Toc300001162" w:history="1">
        <w:r>
          <w:rPr>
            <w:noProof/>
          </w:rPr>
          <w:t xml:space="preserve">FS-00.4: Schedule Architecture, Identifiers, and Evidentiary Status</w:t>
        </w:r>
        <w:r>
          <w:rPr>
            <w:noProof/>
            <w:webHidden/>
          </w:rPr>
          <w:tab/>
        </w:r>
        <w:r>
          <w:rPr>
            <w:noProof/>
            <w:webHidden/>
          </w:rPr>
          <w:fldChar w:fldCharType="begin"/>
        </w:r>
        <w:r>
          <w:rPr>
            <w:noProof/>
            <w:webHidden/>
          </w:rPr>
          <w:instrText xml:space="preserve"> PAGEREF _Toc300001162 \h </w:instrText>
        </w:r>
        <w:r>
          <w:rPr>
            <w:noProof/>
            <w:webHidden/>
          </w:rPr>
          <w:fldChar w:fldCharType="separate"/>
        </w:r>
        <w:r>
          <w:rPr>
            <w:noProof/>
            <w:webHidden/>
          </w:rPr>
          <w:t>1381</w:t>
        </w:r>
        <w:r>
          <w:rPr>
            <w:noProof/>
            <w:webHidden/>
          </w:rPr>
          <w:fldChar w:fldCharType="end"/>
        </w:r>
      </w:hyperlink>
    </w:p>
    <w:p>
      <w:pPr>
        <w:pStyle w:val="TOC2"/>
      </w:pPr>
      <w:hyperlink w:anchor="_Toc300001163" w:history="1">
        <w:r>
          <w:rPr>
            <w:noProof/>
          </w:rPr>
          <w:t xml:space="preserve">FS-00.5: Cross-Module Implementation, Verification, and Restoration</w:t>
        </w:r>
        <w:r>
          <w:rPr>
            <w:noProof/>
            <w:webHidden/>
          </w:rPr>
          <w:tab/>
        </w:r>
        <w:r>
          <w:rPr>
            <w:noProof/>
            <w:webHidden/>
          </w:rPr>
          <w:fldChar w:fldCharType="begin"/>
        </w:r>
        <w:r>
          <w:rPr>
            <w:noProof/>
            <w:webHidden/>
          </w:rPr>
          <w:instrText xml:space="preserve"> PAGEREF _Toc300001163 \h </w:instrText>
        </w:r>
        <w:r>
          <w:rPr>
            <w:noProof/>
            <w:webHidden/>
          </w:rPr>
          <w:fldChar w:fldCharType="separate"/>
        </w:r>
        <w:r>
          <w:rPr>
            <w:noProof/>
            <w:webHidden/>
          </w:rPr>
          <w:t>1383</w:t>
        </w:r>
        <w:r>
          <w:rPr>
            <w:noProof/>
            <w:webHidden/>
          </w:rPr>
          <w:fldChar w:fldCharType="end"/>
        </w:r>
      </w:hyperlink>
    </w:p>
    <w:p>
      <w:pPr>
        <w:pStyle w:val="TOC2"/>
      </w:pPr>
      <w:hyperlink w:anchor="_Toc300001164" w:history="1">
        <w:r>
          <w:rPr>
            <w:noProof/>
          </w:rPr>
          <w:t xml:space="preserve">FS-00.6: Review, Amendment, Completion, and Closure</w:t>
        </w:r>
        <w:r>
          <w:rPr>
            <w:noProof/>
            <w:webHidden/>
          </w:rPr>
          <w:tab/>
        </w:r>
        <w:r>
          <w:rPr>
            <w:noProof/>
            <w:webHidden/>
          </w:rPr>
          <w:fldChar w:fldCharType="begin"/>
        </w:r>
        <w:r>
          <w:rPr>
            <w:noProof/>
            <w:webHidden/>
          </w:rPr>
          <w:instrText xml:space="preserve"> PAGEREF _Toc300001164 \h </w:instrText>
        </w:r>
        <w:r>
          <w:rPr>
            <w:noProof/>
            <w:webHidden/>
          </w:rPr>
          <w:fldChar w:fldCharType="separate"/>
        </w:r>
        <w:r>
          <w:rPr>
            <w:noProof/>
            <w:webHidden/>
          </w:rPr>
          <w:t>1384</w:t>
        </w:r>
        <w:r>
          <w:rPr>
            <w:noProof/>
            <w:webHidden/>
          </w:rPr>
          <w:fldChar w:fldCharType="end"/>
        </w:r>
      </w:hyperlink>
    </w:p>
    <w:p>
      <w:pPr>
        <w:pStyle w:val="TOC2"/>
      </w:pPr>
      <w:hyperlink w:anchor="_Toc300001165" w:history="1">
        <w:r>
          <w:rPr>
            <w:noProof/>
          </w:rPr>
          <w:t xml:space="preserve">Schedule FS-00-A: Final Settlement Module Adoption and Participation Register</w:t>
        </w:r>
        <w:r>
          <w:rPr>
            <w:noProof/>
            <w:webHidden/>
          </w:rPr>
          <w:tab/>
        </w:r>
        <w:r>
          <w:rPr>
            <w:noProof/>
            <w:webHidden/>
          </w:rPr>
          <w:fldChar w:fldCharType="begin"/>
        </w:r>
        <w:r>
          <w:rPr>
            <w:noProof/>
            <w:webHidden/>
          </w:rPr>
          <w:instrText xml:space="preserve"> PAGEREF _Toc300001165 \h </w:instrText>
        </w:r>
        <w:r>
          <w:rPr>
            <w:noProof/>
            <w:webHidden/>
          </w:rPr>
          <w:fldChar w:fldCharType="separate"/>
        </w:r>
        <w:r>
          <w:rPr>
            <w:noProof/>
            <w:webHidden/>
          </w:rPr>
          <w:t>1386</w:t>
        </w:r>
        <w:r>
          <w:rPr>
            <w:noProof/>
            <w:webHidden/>
          </w:rPr>
          <w:fldChar w:fldCharType="end"/>
        </w:r>
      </w:hyperlink>
    </w:p>
    <w:p>
      <w:pPr>
        <w:pStyle w:val="TOC2"/>
      </w:pPr>
      <w:hyperlink w:anchor="_Toc300001166" w:history="1">
        <w:r>
          <w:rPr>
            <w:noProof/>
          </w:rPr>
          <w:t xml:space="preserve">Schedule FS-00-B: Cross-Module Authority and Interface Register</w:t>
        </w:r>
        <w:r>
          <w:rPr>
            <w:noProof/>
            <w:webHidden/>
          </w:rPr>
          <w:tab/>
        </w:r>
        <w:r>
          <w:rPr>
            <w:noProof/>
            <w:webHidden/>
          </w:rPr>
          <w:fldChar w:fldCharType="begin"/>
        </w:r>
        <w:r>
          <w:rPr>
            <w:noProof/>
            <w:webHidden/>
          </w:rPr>
          <w:instrText xml:space="preserve"> PAGEREF _Toc300001166 \h </w:instrText>
        </w:r>
        <w:r>
          <w:rPr>
            <w:noProof/>
            <w:webHidden/>
          </w:rPr>
          <w:fldChar w:fldCharType="separate"/>
        </w:r>
        <w:r>
          <w:rPr>
            <w:noProof/>
            <w:webHidden/>
          </w:rPr>
          <w:t>1387</w:t>
        </w:r>
        <w:r>
          <w:rPr>
            <w:noProof/>
            <w:webHidden/>
          </w:rPr>
          <w:fldChar w:fldCharType="end"/>
        </w:r>
      </w:hyperlink>
    </w:p>
    <w:p>
      <w:pPr>
        <w:pStyle w:val="TOC2"/>
      </w:pPr>
      <w:hyperlink w:anchor="_Toc300001167" w:history="1">
        <w:r>
          <w:rPr>
            <w:noProof/>
          </w:rPr>
          <w:t xml:space="preserve">Schedule FS-00-C: Final Settlement Closure Record</w:t>
        </w:r>
        <w:r>
          <w:rPr>
            <w:noProof/>
            <w:webHidden/>
          </w:rPr>
          <w:tab/>
        </w:r>
        <w:r>
          <w:rPr>
            <w:noProof/>
            <w:webHidden/>
          </w:rPr>
          <w:fldChar w:fldCharType="begin"/>
        </w:r>
        <w:r>
          <w:rPr>
            <w:noProof/>
            <w:webHidden/>
          </w:rPr>
          <w:instrText xml:space="preserve"> PAGEREF _Toc300001167 \h </w:instrText>
        </w:r>
        <w:r>
          <w:rPr>
            <w:noProof/>
            <w:webHidden/>
          </w:rPr>
          <w:fldChar w:fldCharType="separate"/>
        </w:r>
        <w:r>
          <w:rPr>
            <w:noProof/>
            <w:webHidden/>
          </w:rPr>
          <w:t>1387</w:t>
        </w:r>
        <w:r>
          <w:rPr>
            <w:noProof/>
            <w:webHidden/>
          </w:rPr>
          <w:fldChar w:fldCharType="end"/>
        </w:r>
      </w:hyperlink>
    </w:p>
    <w:p>
      <w:pPr>
        <w:pStyle w:val="TOC1"/>
      </w:pPr>
      <w:hyperlink w:anchor="_Toc300001168" w:history="1">
        <w:r>
          <w:rPr>
            <w:noProof/>
          </w:rPr>
          <w:t xml:space="preserve">CHAPTER 35 TREATY INTEGRITY AND THE PROPORTIONAL TRADE ADJUSTMENT MECHANISM</w:t>
        </w:r>
        <w:r>
          <w:rPr>
            <w:noProof/>
            <w:webHidden/>
          </w:rPr>
          <w:tab/>
        </w:r>
        <w:r>
          <w:rPr>
            <w:noProof/>
            <w:webHidden/>
          </w:rPr>
          <w:fldChar w:fldCharType="begin"/>
        </w:r>
        <w:r>
          <w:rPr>
            <w:noProof/>
            <w:webHidden/>
          </w:rPr>
          <w:instrText xml:space="preserve"> PAGEREF _Toc300001168 \h </w:instrText>
        </w:r>
        <w:r>
          <w:rPr>
            <w:noProof/>
            <w:webHidden/>
          </w:rPr>
          <w:fldChar w:fldCharType="separate"/>
        </w:r>
        <w:r>
          <w:rPr>
            <w:noProof/>
            <w:webHidden/>
          </w:rPr>
          <w:t>1389</w:t>
        </w:r>
        <w:r>
          <w:rPr>
            <w:noProof/>
            <w:webHidden/>
          </w:rPr>
          <w:fldChar w:fldCharType="end"/>
        </w:r>
      </w:hyperlink>
    </w:p>
    <w:p>
      <w:pPr>
        <w:pStyle w:val="TOC2"/>
      </w:pPr>
      <w:hyperlink w:anchor="_Toc300001169" w:history="1">
        <w:r>
          <w:rPr>
            <w:noProof/>
          </w:rPr>
          <w:t xml:space="preserve">Article 35.1: Purpose and Governing Principles</w:t>
        </w:r>
        <w:r>
          <w:rPr>
            <w:noProof/>
            <w:webHidden/>
          </w:rPr>
          <w:tab/>
        </w:r>
        <w:r>
          <w:rPr>
            <w:noProof/>
            <w:webHidden/>
          </w:rPr>
          <w:fldChar w:fldCharType="begin"/>
        </w:r>
        <w:r>
          <w:rPr>
            <w:noProof/>
            <w:webHidden/>
          </w:rPr>
          <w:instrText xml:space="preserve"> PAGEREF _Toc300001169 \h </w:instrText>
        </w:r>
        <w:r>
          <w:rPr>
            <w:noProof/>
            <w:webHidden/>
          </w:rPr>
          <w:fldChar w:fldCharType="separate"/>
        </w:r>
        <w:r>
          <w:rPr>
            <w:noProof/>
            <w:webHidden/>
          </w:rPr>
          <w:t>1389</w:t>
        </w:r>
        <w:r>
          <w:rPr>
            <w:noProof/>
            <w:webHidden/>
          </w:rPr>
          <w:fldChar w:fldCharType="end"/>
        </w:r>
      </w:hyperlink>
    </w:p>
    <w:p>
      <w:pPr>
        <w:pStyle w:val="TOC2"/>
      </w:pPr>
      <w:hyperlink w:anchor="_Toc300001170" w:history="1">
        <w:r>
          <w:rPr>
            <w:noProof/>
          </w:rPr>
          <w:t xml:space="preserve">Article 35.2: Definitions</w:t>
        </w:r>
        <w:r>
          <w:rPr>
            <w:noProof/>
            <w:webHidden/>
          </w:rPr>
          <w:tab/>
        </w:r>
        <w:r>
          <w:rPr>
            <w:noProof/>
            <w:webHidden/>
          </w:rPr>
          <w:fldChar w:fldCharType="begin"/>
        </w:r>
        <w:r>
          <w:rPr>
            <w:noProof/>
            <w:webHidden/>
          </w:rPr>
          <w:instrText xml:space="preserve"> PAGEREF _Toc300001170 \h </w:instrText>
        </w:r>
        <w:r>
          <w:rPr>
            <w:noProof/>
            <w:webHidden/>
          </w:rPr>
          <w:fldChar w:fldCharType="separate"/>
        </w:r>
        <w:r>
          <w:rPr>
            <w:noProof/>
            <w:webHidden/>
          </w:rPr>
          <w:t>1390</w:t>
        </w:r>
        <w:r>
          <w:rPr>
            <w:noProof/>
            <w:webHidden/>
          </w:rPr>
          <w:fldChar w:fldCharType="end"/>
        </w:r>
      </w:hyperlink>
    </w:p>
    <w:p>
      <w:pPr>
        <w:pStyle w:val="TOC2"/>
      </w:pPr>
      <w:hyperlink w:anchor="_Toc300001171" w:history="1">
        <w:r>
          <w:rPr>
            <w:noProof/>
          </w:rPr>
          <w:t xml:space="preserve">Article 35.3: CUSMA-Originating Goods Tariff Guarantee</w:t>
        </w:r>
        <w:r>
          <w:rPr>
            <w:noProof/>
            <w:webHidden/>
          </w:rPr>
          <w:tab/>
        </w:r>
        <w:r>
          <w:rPr>
            <w:noProof/>
            <w:webHidden/>
          </w:rPr>
          <w:fldChar w:fldCharType="begin"/>
        </w:r>
        <w:r>
          <w:rPr>
            <w:noProof/>
            <w:webHidden/>
          </w:rPr>
          <w:instrText xml:space="preserve"> PAGEREF _Toc300001171 \h </w:instrText>
        </w:r>
        <w:r>
          <w:rPr>
            <w:noProof/>
            <w:webHidden/>
          </w:rPr>
          <w:fldChar w:fldCharType="separate"/>
        </w:r>
        <w:r>
          <w:rPr>
            <w:noProof/>
            <w:webHidden/>
          </w:rPr>
          <w:t>1392</w:t>
        </w:r>
        <w:r>
          <w:rPr>
            <w:noProof/>
            <w:webHidden/>
          </w:rPr>
          <w:fldChar w:fldCharType="end"/>
        </w:r>
      </w:hyperlink>
    </w:p>
    <w:p>
      <w:pPr>
        <w:pStyle w:val="TOC2"/>
      </w:pPr>
      <w:hyperlink w:anchor="_Toc300001172" w:history="1">
        <w:r>
          <w:rPr>
            <w:noProof/>
          </w:rPr>
          <w:t xml:space="preserve">Article 35.3A: Export Measures</w:t>
        </w:r>
        <w:r>
          <w:rPr>
            <w:noProof/>
            <w:webHidden/>
          </w:rPr>
          <w:tab/>
        </w:r>
        <w:r>
          <w:rPr>
            <w:noProof/>
            <w:webHidden/>
          </w:rPr>
          <w:fldChar w:fldCharType="begin"/>
        </w:r>
        <w:r>
          <w:rPr>
            <w:noProof/>
            <w:webHidden/>
          </w:rPr>
          <w:instrText xml:space="preserve"> PAGEREF _Toc300001172 \h </w:instrText>
        </w:r>
        <w:r>
          <w:rPr>
            <w:noProof/>
            <w:webHidden/>
          </w:rPr>
          <w:fldChar w:fldCharType="separate"/>
        </w:r>
        <w:r>
          <w:rPr>
            <w:noProof/>
            <w:webHidden/>
          </w:rPr>
          <w:t>1393</w:t>
        </w:r>
        <w:r>
          <w:rPr>
            <w:noProof/>
            <w:webHidden/>
          </w:rPr>
          <w:fldChar w:fldCharType="end"/>
        </w:r>
      </w:hyperlink>
    </w:p>
    <w:p>
      <w:pPr>
        <w:pStyle w:val="TOC2"/>
      </w:pPr>
      <w:hyperlink w:anchor="_Toc300001173" w:history="1">
        <w:r>
          <w:rPr>
            <w:noProof/>
          </w:rPr>
          <w:t xml:space="preserve">Article 35.4: Equivalent Measures and Anti-Evasion</w:t>
        </w:r>
        <w:r>
          <w:rPr>
            <w:noProof/>
            <w:webHidden/>
          </w:rPr>
          <w:tab/>
        </w:r>
        <w:r>
          <w:rPr>
            <w:noProof/>
            <w:webHidden/>
          </w:rPr>
          <w:fldChar w:fldCharType="begin"/>
        </w:r>
        <w:r>
          <w:rPr>
            <w:noProof/>
            <w:webHidden/>
          </w:rPr>
          <w:instrText xml:space="preserve"> PAGEREF _Toc300001173 \h </w:instrText>
        </w:r>
        <w:r>
          <w:rPr>
            <w:noProof/>
            <w:webHidden/>
          </w:rPr>
          <w:fldChar w:fldCharType="separate"/>
        </w:r>
        <w:r>
          <w:rPr>
            <w:noProof/>
            <w:webHidden/>
          </w:rPr>
          <w:t>1394</w:t>
        </w:r>
        <w:r>
          <w:rPr>
            <w:noProof/>
            <w:webHidden/>
          </w:rPr>
          <w:fldChar w:fldCharType="end"/>
        </w:r>
      </w:hyperlink>
    </w:p>
    <w:p>
      <w:pPr>
        <w:pStyle w:val="TOC2"/>
      </w:pPr>
      <w:hyperlink w:anchor="_Toc300001174" w:history="1">
        <w:r>
          <w:rPr>
            <w:noProof/>
          </w:rPr>
          <w:t xml:space="preserve">Article 35.4A: Substitute Measures, Internal, Regulatory, Customs-Administration, and Procurement Routes</w:t>
        </w:r>
        <w:r>
          <w:rPr>
            <w:noProof/>
            <w:webHidden/>
          </w:rPr>
          <w:tab/>
        </w:r>
        <w:r>
          <w:rPr>
            <w:noProof/>
            <w:webHidden/>
          </w:rPr>
          <w:fldChar w:fldCharType="begin"/>
        </w:r>
        <w:r>
          <w:rPr>
            <w:noProof/>
            <w:webHidden/>
          </w:rPr>
          <w:instrText xml:space="preserve"> PAGEREF _Toc300001174 \h </w:instrText>
        </w:r>
        <w:r>
          <w:rPr>
            <w:noProof/>
            <w:webHidden/>
          </w:rPr>
          <w:fldChar w:fldCharType="separate"/>
        </w:r>
        <w:r>
          <w:rPr>
            <w:noProof/>
            <w:webHidden/>
          </w:rPr>
          <w:t>1395</w:t>
        </w:r>
        <w:r>
          <w:rPr>
            <w:noProof/>
            <w:webHidden/>
          </w:rPr>
          <w:fldChar w:fldCharType="end"/>
        </w:r>
      </w:hyperlink>
    </w:p>
    <w:p>
      <w:pPr>
        <w:pStyle w:val="TOC2"/>
      </w:pPr>
      <w:hyperlink w:anchor="_Toc300001175" w:history="1">
        <w:r>
          <w:rPr>
            <w:noProof/>
          </w:rPr>
          <w:t xml:space="preserve">Article 35.4B: Regulatory Safe Harbor</w:t>
        </w:r>
        <w:r>
          <w:rPr>
            <w:noProof/>
            <w:webHidden/>
          </w:rPr>
          <w:tab/>
        </w:r>
        <w:r>
          <w:rPr>
            <w:noProof/>
            <w:webHidden/>
          </w:rPr>
          <w:fldChar w:fldCharType="begin"/>
        </w:r>
        <w:r>
          <w:rPr>
            <w:noProof/>
            <w:webHidden/>
          </w:rPr>
          <w:instrText xml:space="preserve"> PAGEREF _Toc300001175 \h </w:instrText>
        </w:r>
        <w:r>
          <w:rPr>
            <w:noProof/>
            <w:webHidden/>
          </w:rPr>
          <w:fldChar w:fldCharType="separate"/>
        </w:r>
        <w:r>
          <w:rPr>
            <w:noProof/>
            <w:webHidden/>
          </w:rPr>
          <w:t>1396</w:t>
        </w:r>
        <w:r>
          <w:rPr>
            <w:noProof/>
            <w:webHidden/>
          </w:rPr>
          <w:fldChar w:fldCharType="end"/>
        </w:r>
      </w:hyperlink>
    </w:p>
    <w:p>
      <w:pPr>
        <w:pStyle w:val="TOC2"/>
      </w:pPr>
      <w:hyperlink w:anchor="_Toc300001176" w:history="1">
        <w:r>
          <w:rPr>
            <w:noProof/>
          </w:rPr>
          <w:t xml:space="preserve">Article 35.5: Exclusive Remedies for Trade Matters</w:t>
        </w:r>
        <w:r>
          <w:rPr>
            <w:noProof/>
            <w:webHidden/>
          </w:rPr>
          <w:tab/>
        </w:r>
        <w:r>
          <w:rPr>
            <w:noProof/>
            <w:webHidden/>
          </w:rPr>
          <w:fldChar w:fldCharType="begin"/>
        </w:r>
        <w:r>
          <w:rPr>
            <w:noProof/>
            <w:webHidden/>
          </w:rPr>
          <w:instrText xml:space="preserve"> PAGEREF _Toc300001176 \h </w:instrText>
        </w:r>
        <w:r>
          <w:rPr>
            <w:noProof/>
            <w:webHidden/>
          </w:rPr>
          <w:fldChar w:fldCharType="separate"/>
        </w:r>
        <w:r>
          <w:rPr>
            <w:noProof/>
            <w:webHidden/>
          </w:rPr>
          <w:t>1397</w:t>
        </w:r>
        <w:r>
          <w:rPr>
            <w:noProof/>
            <w:webHidden/>
          </w:rPr>
          <w:fldChar w:fldCharType="end"/>
        </w:r>
      </w:hyperlink>
    </w:p>
    <w:p>
      <w:pPr>
        <w:pStyle w:val="TOC2"/>
      </w:pPr>
      <w:hyperlink w:anchor="_Toc300001177" w:history="1">
        <w:r>
          <w:rPr>
            <w:noProof/>
          </w:rPr>
          <w:t xml:space="preserve">Article 35.6: Standstill on New Extraordinary Measures</w:t>
        </w:r>
        <w:r>
          <w:rPr>
            <w:noProof/>
            <w:webHidden/>
          </w:rPr>
          <w:tab/>
        </w:r>
        <w:r>
          <w:rPr>
            <w:noProof/>
            <w:webHidden/>
          </w:rPr>
          <w:fldChar w:fldCharType="begin"/>
        </w:r>
        <w:r>
          <w:rPr>
            <w:noProof/>
            <w:webHidden/>
          </w:rPr>
          <w:instrText xml:space="preserve"> PAGEREF _Toc300001177 \h </w:instrText>
        </w:r>
        <w:r>
          <w:rPr>
            <w:noProof/>
            <w:webHidden/>
          </w:rPr>
          <w:fldChar w:fldCharType="separate"/>
        </w:r>
        <w:r>
          <w:rPr>
            <w:noProof/>
            <w:webHidden/>
          </w:rPr>
          <w:t>1397</w:t>
        </w:r>
        <w:r>
          <w:rPr>
            <w:noProof/>
            <w:webHidden/>
          </w:rPr>
          <w:fldChar w:fldCharType="end"/>
        </w:r>
      </w:hyperlink>
    </w:p>
    <w:p>
      <w:pPr>
        <w:pStyle w:val="TOC2"/>
      </w:pPr>
      <w:hyperlink w:anchor="_Toc300001178" w:history="1">
        <w:r>
          <w:rPr>
            <w:noProof/>
          </w:rPr>
          <w:t xml:space="preserve">Article 35.7: Prohibited Uses of Covered Border Measures</w:t>
        </w:r>
        <w:r>
          <w:rPr>
            <w:noProof/>
            <w:webHidden/>
          </w:rPr>
          <w:tab/>
        </w:r>
        <w:r>
          <w:rPr>
            <w:noProof/>
            <w:webHidden/>
          </w:rPr>
          <w:fldChar w:fldCharType="begin"/>
        </w:r>
        <w:r>
          <w:rPr>
            <w:noProof/>
            <w:webHidden/>
          </w:rPr>
          <w:instrText xml:space="preserve"> PAGEREF _Toc300001178 \h </w:instrText>
        </w:r>
        <w:r>
          <w:rPr>
            <w:noProof/>
            <w:webHidden/>
          </w:rPr>
          <w:fldChar w:fldCharType="separate"/>
        </w:r>
        <w:r>
          <w:rPr>
            <w:noProof/>
            <w:webHidden/>
          </w:rPr>
          <w:t>1398</w:t>
        </w:r>
        <w:r>
          <w:rPr>
            <w:noProof/>
            <w:webHidden/>
          </w:rPr>
          <w:fldChar w:fldCharType="end"/>
        </w:r>
      </w:hyperlink>
    </w:p>
    <w:p>
      <w:pPr>
        <w:pStyle w:val="TOC2"/>
      </w:pPr>
      <w:hyperlink w:anchor="_Toc300001179" w:history="1">
        <w:r>
          <w:rPr>
            <w:noProof/>
          </w:rPr>
          <w:t xml:space="preserve">Article 35.8: Initiation of the Mechanism and Consultation</w:t>
        </w:r>
        <w:r>
          <w:rPr>
            <w:noProof/>
            <w:webHidden/>
          </w:rPr>
          <w:tab/>
        </w:r>
        <w:r>
          <w:rPr>
            <w:noProof/>
            <w:webHidden/>
          </w:rPr>
          <w:fldChar w:fldCharType="begin"/>
        </w:r>
        <w:r>
          <w:rPr>
            <w:noProof/>
            <w:webHidden/>
          </w:rPr>
          <w:instrText xml:space="preserve"> PAGEREF _Toc300001179 \h </w:instrText>
        </w:r>
        <w:r>
          <w:rPr>
            <w:noProof/>
            <w:webHidden/>
          </w:rPr>
          <w:fldChar w:fldCharType="separate"/>
        </w:r>
        <w:r>
          <w:rPr>
            <w:noProof/>
            <w:webHidden/>
          </w:rPr>
          <w:t>1398</w:t>
        </w:r>
        <w:r>
          <w:rPr>
            <w:noProof/>
            <w:webHidden/>
          </w:rPr>
          <w:fldChar w:fldCharType="end"/>
        </w:r>
      </w:hyperlink>
    </w:p>
    <w:p>
      <w:pPr>
        <w:pStyle w:val="TOC2"/>
      </w:pPr>
      <w:hyperlink w:anchor="_Toc300001180" w:history="1">
        <w:r>
          <w:rPr>
            <w:noProof/>
          </w:rPr>
          <w:t xml:space="preserve">Article 35.9: Evidence Package</w:t>
        </w:r>
        <w:r>
          <w:rPr>
            <w:noProof/>
            <w:webHidden/>
          </w:rPr>
          <w:tab/>
        </w:r>
        <w:r>
          <w:rPr>
            <w:noProof/>
            <w:webHidden/>
          </w:rPr>
          <w:fldChar w:fldCharType="begin"/>
        </w:r>
        <w:r>
          <w:rPr>
            <w:noProof/>
            <w:webHidden/>
          </w:rPr>
          <w:instrText xml:space="preserve"> PAGEREF _Toc300001180 \h </w:instrText>
        </w:r>
        <w:r>
          <w:rPr>
            <w:noProof/>
            <w:webHidden/>
          </w:rPr>
          <w:fldChar w:fldCharType="separate"/>
        </w:r>
        <w:r>
          <w:rPr>
            <w:noProof/>
            <w:webHidden/>
          </w:rPr>
          <w:t>1399</w:t>
        </w:r>
        <w:r>
          <w:rPr>
            <w:noProof/>
            <w:webHidden/>
          </w:rPr>
          <w:fldChar w:fldCharType="end"/>
        </w:r>
      </w:hyperlink>
    </w:p>
    <w:p>
      <w:pPr>
        <w:pStyle w:val="TOC2"/>
      </w:pPr>
      <w:hyperlink w:anchor="_Toc300001181" w:history="1">
        <w:r>
          <w:rPr>
            <w:noProof/>
          </w:rPr>
          <w:t xml:space="preserve">Article 35.9A: Minimum Viable Enforcement Track for Facial Violations</w:t>
        </w:r>
        <w:r>
          <w:rPr>
            <w:noProof/>
            <w:webHidden/>
          </w:rPr>
          <w:tab/>
        </w:r>
        <w:r>
          <w:rPr>
            <w:noProof/>
            <w:webHidden/>
          </w:rPr>
          <w:fldChar w:fldCharType="begin"/>
        </w:r>
        <w:r>
          <w:rPr>
            <w:noProof/>
            <w:webHidden/>
          </w:rPr>
          <w:instrText xml:space="preserve"> PAGEREF _Toc300001181 \h </w:instrText>
        </w:r>
        <w:r>
          <w:rPr>
            <w:noProof/>
            <w:webHidden/>
          </w:rPr>
          <w:fldChar w:fldCharType="separate"/>
        </w:r>
        <w:r>
          <w:rPr>
            <w:noProof/>
            <w:webHidden/>
          </w:rPr>
          <w:t>1399</w:t>
        </w:r>
        <w:r>
          <w:rPr>
            <w:noProof/>
            <w:webHidden/>
          </w:rPr>
          <w:fldChar w:fldCharType="end"/>
        </w:r>
      </w:hyperlink>
    </w:p>
    <w:p>
      <w:pPr>
        <w:pStyle w:val="TOC2"/>
      </w:pPr>
      <w:hyperlink w:anchor="_Toc300001182" w:history="1">
        <w:r>
          <w:rPr>
            <w:noProof/>
          </w:rPr>
          <w:t xml:space="preserve">Article 35.9B: Technical Truth Escalation Chain</w:t>
        </w:r>
        <w:r>
          <w:rPr>
            <w:noProof/>
            <w:webHidden/>
          </w:rPr>
          <w:tab/>
        </w:r>
        <w:r>
          <w:rPr>
            <w:noProof/>
            <w:webHidden/>
          </w:rPr>
          <w:fldChar w:fldCharType="begin"/>
        </w:r>
        <w:r>
          <w:rPr>
            <w:noProof/>
            <w:webHidden/>
          </w:rPr>
          <w:instrText xml:space="preserve"> PAGEREF _Toc300001182 \h </w:instrText>
        </w:r>
        <w:r>
          <w:rPr>
            <w:noProof/>
            <w:webHidden/>
          </w:rPr>
          <w:fldChar w:fldCharType="separate"/>
        </w:r>
        <w:r>
          <w:rPr>
            <w:noProof/>
            <w:webHidden/>
          </w:rPr>
          <w:t>1400</w:t>
        </w:r>
        <w:r>
          <w:rPr>
            <w:noProof/>
            <w:webHidden/>
          </w:rPr>
          <w:fldChar w:fldCharType="end"/>
        </w:r>
      </w:hyperlink>
    </w:p>
    <w:p>
      <w:pPr>
        <w:pStyle w:val="TOC2"/>
      </w:pPr>
      <w:hyperlink w:anchor="_Toc300001183" w:history="1">
        <w:r>
          <w:rPr>
            <w:noProof/>
          </w:rPr>
          <w:t xml:space="preserve">Article 35.10: North American Trade Verification Mechanism</w:t>
        </w:r>
        <w:r>
          <w:rPr>
            <w:noProof/>
            <w:webHidden/>
          </w:rPr>
          <w:tab/>
        </w:r>
        <w:r>
          <w:rPr>
            <w:noProof/>
            <w:webHidden/>
          </w:rPr>
          <w:fldChar w:fldCharType="begin"/>
        </w:r>
        <w:r>
          <w:rPr>
            <w:noProof/>
            <w:webHidden/>
          </w:rPr>
          <w:instrText xml:space="preserve"> PAGEREF _Toc300001183 \h </w:instrText>
        </w:r>
        <w:r>
          <w:rPr>
            <w:noProof/>
            <w:webHidden/>
          </w:rPr>
          <w:fldChar w:fldCharType="separate"/>
        </w:r>
        <w:r>
          <w:rPr>
            <w:noProof/>
            <w:webHidden/>
          </w:rPr>
          <w:t>1400</w:t>
        </w:r>
        <w:r>
          <w:rPr>
            <w:noProof/>
            <w:webHidden/>
          </w:rPr>
          <w:fldChar w:fldCharType="end"/>
        </w:r>
      </w:hyperlink>
    </w:p>
    <w:p>
      <w:pPr>
        <w:pStyle w:val="TOC2"/>
      </w:pPr>
      <w:hyperlink w:anchor="_Toc300001184" w:history="1">
        <w:r>
          <w:rPr>
            <w:noProof/>
          </w:rPr>
          <w:t xml:space="preserve">Article 35.10A: Rights of Affected Entities</w:t>
        </w:r>
        <w:r>
          <w:rPr>
            <w:noProof/>
            <w:webHidden/>
          </w:rPr>
          <w:tab/>
        </w:r>
        <w:r>
          <w:rPr>
            <w:noProof/>
            <w:webHidden/>
          </w:rPr>
          <w:fldChar w:fldCharType="begin"/>
        </w:r>
        <w:r>
          <w:rPr>
            <w:noProof/>
            <w:webHidden/>
          </w:rPr>
          <w:instrText xml:space="preserve"> PAGEREF _Toc300001184 \h </w:instrText>
        </w:r>
        <w:r>
          <w:rPr>
            <w:noProof/>
            <w:webHidden/>
          </w:rPr>
          <w:fldChar w:fldCharType="separate"/>
        </w:r>
        <w:r>
          <w:rPr>
            <w:noProof/>
            <w:webHidden/>
          </w:rPr>
          <w:t>1402</w:t>
        </w:r>
        <w:r>
          <w:rPr>
            <w:noProof/>
            <w:webHidden/>
          </w:rPr>
          <w:fldChar w:fldCharType="end"/>
        </w:r>
      </w:hyperlink>
    </w:p>
    <w:p>
      <w:pPr>
        <w:pStyle w:val="TOC2"/>
      </w:pPr>
      <w:hyperlink w:anchor="_Toc300001185" w:history="1">
        <w:r>
          <w:rPr>
            <w:noProof/>
          </w:rPr>
          <w:t xml:space="preserve">Article 35.11: Classification of Distortions</w:t>
        </w:r>
        <w:r>
          <w:rPr>
            <w:noProof/>
            <w:webHidden/>
          </w:rPr>
          <w:tab/>
        </w:r>
        <w:r>
          <w:rPr>
            <w:noProof/>
            <w:webHidden/>
          </w:rPr>
          <w:fldChar w:fldCharType="begin"/>
        </w:r>
        <w:r>
          <w:rPr>
            <w:noProof/>
            <w:webHidden/>
          </w:rPr>
          <w:instrText xml:space="preserve"> PAGEREF _Toc300001185 \h </w:instrText>
        </w:r>
        <w:r>
          <w:rPr>
            <w:noProof/>
            <w:webHidden/>
          </w:rPr>
          <w:fldChar w:fldCharType="separate"/>
        </w:r>
        <w:r>
          <w:rPr>
            <w:noProof/>
            <w:webHidden/>
          </w:rPr>
          <w:t>1402</w:t>
        </w:r>
        <w:r>
          <w:rPr>
            <w:noProof/>
            <w:webHidden/>
          </w:rPr>
          <w:fldChar w:fldCharType="end"/>
        </w:r>
      </w:hyperlink>
    </w:p>
    <w:p>
      <w:pPr>
        <w:pStyle w:val="TOC2"/>
      </w:pPr>
      <w:hyperlink w:anchor="_Toc300001186" w:history="1">
        <w:r>
          <w:rPr>
            <w:noProof/>
          </w:rPr>
          <w:t xml:space="preserve">Article 35.12: Proportional Trade Adjustments</w:t>
        </w:r>
        <w:r>
          <w:rPr>
            <w:noProof/>
            <w:webHidden/>
          </w:rPr>
          <w:tab/>
        </w:r>
        <w:r>
          <w:rPr>
            <w:noProof/>
            <w:webHidden/>
          </w:rPr>
          <w:fldChar w:fldCharType="begin"/>
        </w:r>
        <w:r>
          <w:rPr>
            <w:noProof/>
            <w:webHidden/>
          </w:rPr>
          <w:instrText xml:space="preserve"> PAGEREF _Toc300001186 \h </w:instrText>
        </w:r>
        <w:r>
          <w:rPr>
            <w:noProof/>
            <w:webHidden/>
          </w:rPr>
          <w:fldChar w:fldCharType="separate"/>
        </w:r>
        <w:r>
          <w:rPr>
            <w:noProof/>
            <w:webHidden/>
          </w:rPr>
          <w:t>1403</w:t>
        </w:r>
        <w:r>
          <w:rPr>
            <w:noProof/>
            <w:webHidden/>
          </w:rPr>
          <w:fldChar w:fldCharType="end"/>
        </w:r>
      </w:hyperlink>
    </w:p>
    <w:p>
      <w:pPr>
        <w:pStyle w:val="TOC2"/>
      </w:pPr>
      <w:hyperlink w:anchor="_Toc300001187" w:history="1">
        <w:r>
          <w:rPr>
            <w:noProof/>
          </w:rPr>
          <w:t xml:space="preserve">Article 35.13: Narrowest-Sufficient-Remedy Rule</w:t>
        </w:r>
        <w:r>
          <w:rPr>
            <w:noProof/>
            <w:webHidden/>
          </w:rPr>
          <w:tab/>
        </w:r>
        <w:r>
          <w:rPr>
            <w:noProof/>
            <w:webHidden/>
          </w:rPr>
          <w:fldChar w:fldCharType="begin"/>
        </w:r>
        <w:r>
          <w:rPr>
            <w:noProof/>
            <w:webHidden/>
          </w:rPr>
          <w:instrText xml:space="preserve"> PAGEREF _Toc300001187 \h </w:instrText>
        </w:r>
        <w:r>
          <w:rPr>
            <w:noProof/>
            <w:webHidden/>
          </w:rPr>
          <w:fldChar w:fldCharType="separate"/>
        </w:r>
        <w:r>
          <w:rPr>
            <w:noProof/>
            <w:webHidden/>
          </w:rPr>
          <w:t>1404</w:t>
        </w:r>
        <w:r>
          <w:rPr>
            <w:noProof/>
            <w:webHidden/>
          </w:rPr>
          <w:fldChar w:fldCharType="end"/>
        </w:r>
      </w:hyperlink>
    </w:p>
    <w:p>
      <w:pPr>
        <w:pStyle w:val="TOC2"/>
      </w:pPr>
      <w:hyperlink w:anchor="_Toc300001188" w:history="1">
        <w:r>
          <w:rPr>
            <w:noProof/>
          </w:rPr>
          <w:t xml:space="preserve">Article 35.13A: Anti-Fragmentation of Integrated Products</w:t>
        </w:r>
        <w:r>
          <w:rPr>
            <w:noProof/>
            <w:webHidden/>
          </w:rPr>
          <w:tab/>
        </w:r>
        <w:r>
          <w:rPr>
            <w:noProof/>
            <w:webHidden/>
          </w:rPr>
          <w:fldChar w:fldCharType="begin"/>
        </w:r>
        <w:r>
          <w:rPr>
            <w:noProof/>
            <w:webHidden/>
          </w:rPr>
          <w:instrText xml:space="preserve"> PAGEREF _Toc300001188 \h </w:instrText>
        </w:r>
        <w:r>
          <w:rPr>
            <w:noProof/>
            <w:webHidden/>
          </w:rPr>
          <w:fldChar w:fldCharType="separate"/>
        </w:r>
        <w:r>
          <w:rPr>
            <w:noProof/>
            <w:webHidden/>
          </w:rPr>
          <w:t>1405</w:t>
        </w:r>
        <w:r>
          <w:rPr>
            <w:noProof/>
            <w:webHidden/>
          </w:rPr>
          <w:fldChar w:fldCharType="end"/>
        </w:r>
      </w:hyperlink>
    </w:p>
    <w:p>
      <w:pPr>
        <w:pStyle w:val="TOC2"/>
      </w:pPr>
      <w:hyperlink w:anchor="_Toc300001189" w:history="1">
        <w:r>
          <w:rPr>
            <w:noProof/>
          </w:rPr>
          <w:t xml:space="preserve">Article 35.14: Escrow in Lieu of Collection</w:t>
        </w:r>
        <w:r>
          <w:rPr>
            <w:noProof/>
            <w:webHidden/>
          </w:rPr>
          <w:tab/>
        </w:r>
        <w:r>
          <w:rPr>
            <w:noProof/>
            <w:webHidden/>
          </w:rPr>
          <w:fldChar w:fldCharType="begin"/>
        </w:r>
        <w:r>
          <w:rPr>
            <w:noProof/>
            <w:webHidden/>
          </w:rPr>
          <w:instrText xml:space="preserve"> PAGEREF _Toc300001189 \h </w:instrText>
        </w:r>
        <w:r>
          <w:rPr>
            <w:noProof/>
            <w:webHidden/>
          </w:rPr>
          <w:fldChar w:fldCharType="separate"/>
        </w:r>
        <w:r>
          <w:rPr>
            <w:noProof/>
            <w:webHidden/>
          </w:rPr>
          <w:t>1405</w:t>
        </w:r>
        <w:r>
          <w:rPr>
            <w:noProof/>
            <w:webHidden/>
          </w:rPr>
          <w:fldChar w:fldCharType="end"/>
        </w:r>
      </w:hyperlink>
    </w:p>
    <w:p>
      <w:pPr>
        <w:pStyle w:val="TOC2"/>
      </w:pPr>
      <w:hyperlink w:anchor="_Toc300001190" w:history="1">
        <w:r>
          <w:rPr>
            <w:noProof/>
          </w:rPr>
          <w:t xml:space="preserve">Article 35.15: Module Firewall</w:t>
        </w:r>
        <w:r>
          <w:rPr>
            <w:noProof/>
            <w:webHidden/>
          </w:rPr>
          <w:tab/>
        </w:r>
        <w:r>
          <w:rPr>
            <w:noProof/>
            <w:webHidden/>
          </w:rPr>
          <w:fldChar w:fldCharType="begin"/>
        </w:r>
        <w:r>
          <w:rPr>
            <w:noProof/>
            <w:webHidden/>
          </w:rPr>
          <w:instrText xml:space="preserve"> PAGEREF _Toc300001190 \h </w:instrText>
        </w:r>
        <w:r>
          <w:rPr>
            <w:noProof/>
            <w:webHidden/>
          </w:rPr>
          <w:fldChar w:fldCharType="separate"/>
        </w:r>
        <w:r>
          <w:rPr>
            <w:noProof/>
            <w:webHidden/>
          </w:rPr>
          <w:t>1406</w:t>
        </w:r>
        <w:r>
          <w:rPr>
            <w:noProof/>
            <w:webHidden/>
          </w:rPr>
          <w:fldChar w:fldCharType="end"/>
        </w:r>
      </w:hyperlink>
    </w:p>
    <w:p>
      <w:pPr>
        <w:pStyle w:val="TOC2"/>
      </w:pPr>
      <w:hyperlink w:anchor="_Toc300001191" w:history="1">
        <w:r>
          <w:rPr>
            <w:noProof/>
          </w:rPr>
          <w:t xml:space="preserve">Article 35.16: Step-Back Stages, Graduated Response</w:t>
        </w:r>
        <w:r>
          <w:rPr>
            <w:noProof/>
            <w:webHidden/>
          </w:rPr>
          <w:tab/>
        </w:r>
        <w:r>
          <w:rPr>
            <w:noProof/>
            <w:webHidden/>
          </w:rPr>
          <w:fldChar w:fldCharType="begin"/>
        </w:r>
        <w:r>
          <w:rPr>
            <w:noProof/>
            <w:webHidden/>
          </w:rPr>
          <w:instrText xml:space="preserve"> PAGEREF _Toc300001191 \h </w:instrText>
        </w:r>
        <w:r>
          <w:rPr>
            <w:noProof/>
            <w:webHidden/>
          </w:rPr>
          <w:fldChar w:fldCharType="separate"/>
        </w:r>
        <w:r>
          <w:rPr>
            <w:noProof/>
            <w:webHidden/>
          </w:rPr>
          <w:t>1406</w:t>
        </w:r>
        <w:r>
          <w:rPr>
            <w:noProof/>
            <w:webHidden/>
          </w:rPr>
          <w:fldChar w:fldCharType="end"/>
        </w:r>
      </w:hyperlink>
    </w:p>
    <w:p>
      <w:pPr>
        <w:pStyle w:val="TOC2"/>
      </w:pPr>
      <w:hyperlink w:anchor="_Toc300001192" w:history="1">
        <w:r>
          <w:rPr>
            <w:noProof/>
          </w:rPr>
          <w:t xml:space="preserve">Article 35.17: Remediation and Earn-Back</w:t>
        </w:r>
        <w:r>
          <w:rPr>
            <w:noProof/>
            <w:webHidden/>
          </w:rPr>
          <w:tab/>
        </w:r>
        <w:r>
          <w:rPr>
            <w:noProof/>
            <w:webHidden/>
          </w:rPr>
          <w:fldChar w:fldCharType="begin"/>
        </w:r>
        <w:r>
          <w:rPr>
            <w:noProof/>
            <w:webHidden/>
          </w:rPr>
          <w:instrText xml:space="preserve"> PAGEREF _Toc300001192 \h </w:instrText>
        </w:r>
        <w:r>
          <w:rPr>
            <w:noProof/>
            <w:webHidden/>
          </w:rPr>
          <w:fldChar w:fldCharType="separate"/>
        </w:r>
        <w:r>
          <w:rPr>
            <w:noProof/>
            <w:webHidden/>
          </w:rPr>
          <w:t>1408</w:t>
        </w:r>
        <w:r>
          <w:rPr>
            <w:noProof/>
            <w:webHidden/>
          </w:rPr>
          <w:fldChar w:fldCharType="end"/>
        </w:r>
      </w:hyperlink>
    </w:p>
    <w:p>
      <w:pPr>
        <w:pStyle w:val="TOC2"/>
      </w:pPr>
      <w:hyperlink w:anchor="_Toc300001193" w:history="1">
        <w:r>
          <w:rPr>
            <w:noProof/>
          </w:rPr>
          <w:t xml:space="preserve">Article 35.17A: Remediation Investment and Corrective Compensation</w:t>
        </w:r>
        <w:r>
          <w:rPr>
            <w:noProof/>
            <w:webHidden/>
          </w:rPr>
          <w:tab/>
        </w:r>
        <w:r>
          <w:rPr>
            <w:noProof/>
            <w:webHidden/>
          </w:rPr>
          <w:fldChar w:fldCharType="begin"/>
        </w:r>
        <w:r>
          <w:rPr>
            <w:noProof/>
            <w:webHidden/>
          </w:rPr>
          <w:instrText xml:space="preserve"> PAGEREF _Toc300001193 \h </w:instrText>
        </w:r>
        <w:r>
          <w:rPr>
            <w:noProof/>
            <w:webHidden/>
          </w:rPr>
          <w:fldChar w:fldCharType="separate"/>
        </w:r>
        <w:r>
          <w:rPr>
            <w:noProof/>
            <w:webHidden/>
          </w:rPr>
          <w:t>1408</w:t>
        </w:r>
        <w:r>
          <w:rPr>
            <w:noProof/>
            <w:webHidden/>
          </w:rPr>
          <w:fldChar w:fldCharType="end"/>
        </w:r>
      </w:hyperlink>
    </w:p>
    <w:p>
      <w:pPr>
        <w:pStyle w:val="TOC2"/>
      </w:pPr>
      <w:hyperlink w:anchor="_Toc300001194" w:history="1">
        <w:r>
          <w:rPr>
            <w:noProof/>
          </w:rPr>
          <w:t xml:space="preserve">Article 35.18: Automatic Restoration</w:t>
        </w:r>
        <w:r>
          <w:rPr>
            <w:noProof/>
            <w:webHidden/>
          </w:rPr>
          <w:tab/>
        </w:r>
        <w:r>
          <w:rPr>
            <w:noProof/>
            <w:webHidden/>
          </w:rPr>
          <w:fldChar w:fldCharType="begin"/>
        </w:r>
        <w:r>
          <w:rPr>
            <w:noProof/>
            <w:webHidden/>
          </w:rPr>
          <w:instrText xml:space="preserve"> PAGEREF _Toc300001194 \h </w:instrText>
        </w:r>
        <w:r>
          <w:rPr>
            <w:noProof/>
            <w:webHidden/>
          </w:rPr>
          <w:fldChar w:fldCharType="separate"/>
        </w:r>
        <w:r>
          <w:rPr>
            <w:noProof/>
            <w:webHidden/>
          </w:rPr>
          <w:t>1409</w:t>
        </w:r>
        <w:r>
          <w:rPr>
            <w:noProof/>
            <w:webHidden/>
          </w:rPr>
          <w:fldChar w:fldCharType="end"/>
        </w:r>
      </w:hyperlink>
    </w:p>
    <w:p>
      <w:pPr>
        <w:pStyle w:val="TOC2"/>
      </w:pPr>
      <w:hyperlink w:anchor="_Toc300001195" w:history="1">
        <w:r>
          <w:rPr>
            <w:noProof/>
          </w:rPr>
          <w:t xml:space="preserve">Article 35.19: Discipline of Allegations</w:t>
        </w:r>
        <w:r>
          <w:rPr>
            <w:noProof/>
            <w:webHidden/>
          </w:rPr>
          <w:tab/>
        </w:r>
        <w:r>
          <w:rPr>
            <w:noProof/>
            <w:webHidden/>
          </w:rPr>
          <w:fldChar w:fldCharType="begin"/>
        </w:r>
        <w:r>
          <w:rPr>
            <w:noProof/>
            <w:webHidden/>
          </w:rPr>
          <w:instrText xml:space="preserve"> PAGEREF _Toc300001195 \h </w:instrText>
        </w:r>
        <w:r>
          <w:rPr>
            <w:noProof/>
            <w:webHidden/>
          </w:rPr>
          <w:fldChar w:fldCharType="separate"/>
        </w:r>
        <w:r>
          <w:rPr>
            <w:noProof/>
            <w:webHidden/>
          </w:rPr>
          <w:t>1410</w:t>
        </w:r>
        <w:r>
          <w:rPr>
            <w:noProof/>
            <w:webHidden/>
          </w:rPr>
          <w:fldChar w:fldCharType="end"/>
        </w:r>
      </w:hyperlink>
    </w:p>
    <w:p>
      <w:pPr>
        <w:pStyle w:val="TOC2"/>
      </w:pPr>
      <w:hyperlink w:anchor="_Toc300001196" w:history="1">
        <w:r>
          <w:rPr>
            <w:noProof/>
          </w:rPr>
          <w:t xml:space="preserve">Article 35.20: Compensation Before Escalation</w:t>
        </w:r>
        <w:r>
          <w:rPr>
            <w:noProof/>
            <w:webHidden/>
          </w:rPr>
          <w:tab/>
        </w:r>
        <w:r>
          <w:rPr>
            <w:noProof/>
            <w:webHidden/>
          </w:rPr>
          <w:fldChar w:fldCharType="begin"/>
        </w:r>
        <w:r>
          <w:rPr>
            <w:noProof/>
            <w:webHidden/>
          </w:rPr>
          <w:instrText xml:space="preserve"> PAGEREF _Toc300001196 \h </w:instrText>
        </w:r>
        <w:r>
          <w:rPr>
            <w:noProof/>
            <w:webHidden/>
          </w:rPr>
          <w:fldChar w:fldCharType="separate"/>
        </w:r>
        <w:r>
          <w:rPr>
            <w:noProof/>
            <w:webHidden/>
          </w:rPr>
          <w:t>1411</w:t>
        </w:r>
        <w:r>
          <w:rPr>
            <w:noProof/>
            <w:webHidden/>
          </w:rPr>
          <w:fldChar w:fldCharType="end"/>
        </w:r>
      </w:hyperlink>
    </w:p>
    <w:p>
      <w:pPr>
        <w:pStyle w:val="TOC2"/>
      </w:pPr>
      <w:hyperlink w:anchor="_Toc300001197" w:history="1">
        <w:r>
          <w:rPr>
            <w:noProof/>
          </w:rPr>
          <w:t xml:space="preserve">Article 35.21: Genuine Emergencies, Expedited Track</w:t>
        </w:r>
        <w:r>
          <w:rPr>
            <w:noProof/>
            <w:webHidden/>
          </w:rPr>
          <w:tab/>
        </w:r>
        <w:r>
          <w:rPr>
            <w:noProof/>
            <w:webHidden/>
          </w:rPr>
          <w:fldChar w:fldCharType="begin"/>
        </w:r>
        <w:r>
          <w:rPr>
            <w:noProof/>
            <w:webHidden/>
          </w:rPr>
          <w:instrText xml:space="preserve"> PAGEREF _Toc300001197 \h </w:instrText>
        </w:r>
        <w:r>
          <w:rPr>
            <w:noProof/>
            <w:webHidden/>
          </w:rPr>
          <w:fldChar w:fldCharType="separate"/>
        </w:r>
        <w:r>
          <w:rPr>
            <w:noProof/>
            <w:webHidden/>
          </w:rPr>
          <w:t>1411</w:t>
        </w:r>
        <w:r>
          <w:rPr>
            <w:noProof/>
            <w:webHidden/>
          </w:rPr>
          <w:fldChar w:fldCharType="end"/>
        </w:r>
      </w:hyperlink>
    </w:p>
    <w:p>
      <w:pPr>
        <w:pStyle w:val="TOC2"/>
      </w:pPr>
      <w:hyperlink w:anchor="_Toc300001198" w:history="1">
        <w:r>
          <w:rPr>
            <w:noProof/>
          </w:rPr>
          <w:t xml:space="preserve">Article 35.22: Essential Security Measures, Special Lane</w:t>
        </w:r>
        <w:r>
          <w:rPr>
            <w:noProof/>
            <w:webHidden/>
          </w:rPr>
          <w:tab/>
        </w:r>
        <w:r>
          <w:rPr>
            <w:noProof/>
            <w:webHidden/>
          </w:rPr>
          <w:fldChar w:fldCharType="begin"/>
        </w:r>
        <w:r>
          <w:rPr>
            <w:noProof/>
            <w:webHidden/>
          </w:rPr>
          <w:instrText xml:space="preserve"> PAGEREF _Toc300001198 \h </w:instrText>
        </w:r>
        <w:r>
          <w:rPr>
            <w:noProof/>
            <w:webHidden/>
          </w:rPr>
          <w:fldChar w:fldCharType="separate"/>
        </w:r>
        <w:r>
          <w:rPr>
            <w:noProof/>
            <w:webHidden/>
          </w:rPr>
          <w:t>1412</w:t>
        </w:r>
        <w:r>
          <w:rPr>
            <w:noProof/>
            <w:webHidden/>
          </w:rPr>
          <w:fldChar w:fldCharType="end"/>
        </w:r>
      </w:hyperlink>
    </w:p>
    <w:p>
      <w:pPr>
        <w:pStyle w:val="TOC2"/>
      </w:pPr>
      <w:hyperlink w:anchor="_Toc300001199" w:history="1">
        <w:r>
          <w:rPr>
            <w:noProof/>
          </w:rPr>
          <w:t xml:space="preserve">Article 35.23: Strategic-Sector Circuit Breakers</w:t>
        </w:r>
        <w:r>
          <w:rPr>
            <w:noProof/>
            <w:webHidden/>
          </w:rPr>
          <w:tab/>
        </w:r>
        <w:r>
          <w:rPr>
            <w:noProof/>
            <w:webHidden/>
          </w:rPr>
          <w:fldChar w:fldCharType="begin"/>
        </w:r>
        <w:r>
          <w:rPr>
            <w:noProof/>
            <w:webHidden/>
          </w:rPr>
          <w:instrText xml:space="preserve"> PAGEREF _Toc300001199 \h </w:instrText>
        </w:r>
        <w:r>
          <w:rPr>
            <w:noProof/>
            <w:webHidden/>
          </w:rPr>
          <w:fldChar w:fldCharType="separate"/>
        </w:r>
        <w:r>
          <w:rPr>
            <w:noProof/>
            <w:webHidden/>
          </w:rPr>
          <w:t>1414</w:t>
        </w:r>
        <w:r>
          <w:rPr>
            <w:noProof/>
            <w:webHidden/>
          </w:rPr>
          <w:fldChar w:fldCharType="end"/>
        </w:r>
      </w:hyperlink>
    </w:p>
    <w:p>
      <w:pPr>
        <w:pStyle w:val="TOC2"/>
      </w:pPr>
      <w:hyperlink w:anchor="_Toc300001200" w:history="1">
        <w:r>
          <w:rPr>
            <w:noProof/>
          </w:rPr>
          <w:t xml:space="preserve">Article 35.24: North American Trade Measures Registry and Transparency</w:t>
        </w:r>
        <w:r>
          <w:rPr>
            <w:noProof/>
            <w:webHidden/>
          </w:rPr>
          <w:tab/>
        </w:r>
        <w:r>
          <w:rPr>
            <w:noProof/>
            <w:webHidden/>
          </w:rPr>
          <w:fldChar w:fldCharType="begin"/>
        </w:r>
        <w:r>
          <w:rPr>
            <w:noProof/>
            <w:webHidden/>
          </w:rPr>
          <w:instrText xml:space="preserve"> PAGEREF _Toc300001200 \h </w:instrText>
        </w:r>
        <w:r>
          <w:rPr>
            <w:noProof/>
            <w:webHidden/>
          </w:rPr>
          <w:fldChar w:fldCharType="separate"/>
        </w:r>
        <w:r>
          <w:rPr>
            <w:noProof/>
            <w:webHidden/>
          </w:rPr>
          <w:t>1414</w:t>
        </w:r>
        <w:r>
          <w:rPr>
            <w:noProof/>
            <w:webHidden/>
          </w:rPr>
          <w:fldChar w:fldCharType="end"/>
        </w:r>
      </w:hyperlink>
    </w:p>
    <w:p>
      <w:pPr>
        <w:pStyle w:val="TOC2"/>
      </w:pPr>
      <w:hyperlink w:anchor="_Toc300001201" w:history="1">
        <w:r>
          <w:rPr>
            <w:noProof/>
          </w:rPr>
          <w:t xml:space="preserve">Article 35.25: North American Trade Impact Facility</w:t>
        </w:r>
        <w:r>
          <w:rPr>
            <w:noProof/>
            <w:webHidden/>
          </w:rPr>
          <w:tab/>
        </w:r>
        <w:r>
          <w:rPr>
            <w:noProof/>
            <w:webHidden/>
          </w:rPr>
          <w:fldChar w:fldCharType="begin"/>
        </w:r>
        <w:r>
          <w:rPr>
            <w:noProof/>
            <w:webHidden/>
          </w:rPr>
          <w:instrText xml:space="preserve"> PAGEREF _Toc300001201 \h </w:instrText>
        </w:r>
        <w:r>
          <w:rPr>
            <w:noProof/>
            <w:webHidden/>
          </w:rPr>
          <w:fldChar w:fldCharType="separate"/>
        </w:r>
        <w:r>
          <w:rPr>
            <w:noProof/>
            <w:webHidden/>
          </w:rPr>
          <w:t>1415</w:t>
        </w:r>
        <w:r>
          <w:rPr>
            <w:noProof/>
            <w:webHidden/>
          </w:rPr>
          <w:fldChar w:fldCharType="end"/>
        </w:r>
      </w:hyperlink>
    </w:p>
    <w:p>
      <w:pPr>
        <w:pStyle w:val="TOC2"/>
      </w:pPr>
      <w:hyperlink w:anchor="_Toc300001202" w:history="1">
        <w:r>
          <w:rPr>
            <w:noProof/>
          </w:rPr>
          <w:t xml:space="preserve">Article 35.25A: Automatic Consequences and Provisional Enforcement</w:t>
        </w:r>
        <w:r>
          <w:rPr>
            <w:noProof/>
            <w:webHidden/>
          </w:rPr>
          <w:tab/>
        </w:r>
        <w:r>
          <w:rPr>
            <w:noProof/>
            <w:webHidden/>
          </w:rPr>
          <w:fldChar w:fldCharType="begin"/>
        </w:r>
        <w:r>
          <w:rPr>
            <w:noProof/>
            <w:webHidden/>
          </w:rPr>
          <w:instrText xml:space="preserve"> PAGEREF _Toc300001202 \h </w:instrText>
        </w:r>
        <w:r>
          <w:rPr>
            <w:noProof/>
            <w:webHidden/>
          </w:rPr>
          <w:fldChar w:fldCharType="separate"/>
        </w:r>
        <w:r>
          <w:rPr>
            <w:noProof/>
            <w:webHidden/>
          </w:rPr>
          <w:t>1415</w:t>
        </w:r>
        <w:r>
          <w:rPr>
            <w:noProof/>
            <w:webHidden/>
          </w:rPr>
          <w:fldChar w:fldCharType="end"/>
        </w:r>
      </w:hyperlink>
    </w:p>
    <w:p>
      <w:pPr>
        <w:pStyle w:val="TOC2"/>
      </w:pPr>
      <w:hyperlink w:anchor="_Toc300001203" w:history="1">
        <w:r>
          <w:rPr>
            <w:noProof/>
          </w:rPr>
          <w:t xml:space="preserve">Article 35.26: Relationship to Other Chapters</w:t>
        </w:r>
        <w:r>
          <w:rPr>
            <w:noProof/>
            <w:webHidden/>
          </w:rPr>
          <w:tab/>
        </w:r>
        <w:r>
          <w:rPr>
            <w:noProof/>
            <w:webHidden/>
          </w:rPr>
          <w:fldChar w:fldCharType="begin"/>
        </w:r>
        <w:r>
          <w:rPr>
            <w:noProof/>
            <w:webHidden/>
          </w:rPr>
          <w:instrText xml:space="preserve"> PAGEREF _Toc300001203 \h </w:instrText>
        </w:r>
        <w:r>
          <w:rPr>
            <w:noProof/>
            <w:webHidden/>
          </w:rPr>
          <w:fldChar w:fldCharType="separate"/>
        </w:r>
        <w:r>
          <w:rPr>
            <w:noProof/>
            <w:webHidden/>
          </w:rPr>
          <w:t>1416</w:t>
        </w:r>
        <w:r>
          <w:rPr>
            <w:noProof/>
            <w:webHidden/>
          </w:rPr>
          <w:fldChar w:fldCharType="end"/>
        </w:r>
      </w:hyperlink>
    </w:p>
    <w:p>
      <w:pPr>
        <w:pStyle w:val="TOC2"/>
      </w:pPr>
      <w:hyperlink w:anchor="_Toc300001204" w:history="1">
        <w:r>
          <w:rPr>
            <w:noProof/>
          </w:rPr>
          <w:t xml:space="preserve">Article 35.27: Legacy Measures Wind-Down</w:t>
        </w:r>
        <w:r>
          <w:rPr>
            <w:noProof/>
            <w:webHidden/>
          </w:rPr>
          <w:tab/>
        </w:r>
        <w:r>
          <w:rPr>
            <w:noProof/>
            <w:webHidden/>
          </w:rPr>
          <w:fldChar w:fldCharType="begin"/>
        </w:r>
        <w:r>
          <w:rPr>
            <w:noProof/>
            <w:webHidden/>
          </w:rPr>
          <w:instrText xml:space="preserve"> PAGEREF _Toc300001204 \h </w:instrText>
        </w:r>
        <w:r>
          <w:rPr>
            <w:noProof/>
            <w:webHidden/>
          </w:rPr>
          <w:fldChar w:fldCharType="separate"/>
        </w:r>
        <w:r>
          <w:rPr>
            <w:noProof/>
            <w:webHidden/>
          </w:rPr>
          <w:t>1417</w:t>
        </w:r>
        <w:r>
          <w:rPr>
            <w:noProof/>
            <w:webHidden/>
          </w:rPr>
          <w:fldChar w:fldCharType="end"/>
        </w:r>
      </w:hyperlink>
    </w:p>
    <w:p>
      <w:pPr>
        <w:pStyle w:val="TOC2"/>
      </w:pPr>
      <w:hyperlink w:anchor="_Toc300001205" w:history="1">
        <w:r>
          <w:rPr>
            <w:noProof/>
          </w:rPr>
          <w:t xml:space="preserve">Article 35.28: Treaty Integrity Functions and Commission Oversight</w:t>
        </w:r>
        <w:r>
          <w:rPr>
            <w:noProof/>
            <w:webHidden/>
          </w:rPr>
          <w:tab/>
        </w:r>
        <w:r>
          <w:rPr>
            <w:noProof/>
            <w:webHidden/>
          </w:rPr>
          <w:fldChar w:fldCharType="begin"/>
        </w:r>
        <w:r>
          <w:rPr>
            <w:noProof/>
            <w:webHidden/>
          </w:rPr>
          <w:instrText xml:space="preserve"> PAGEREF _Toc300001205 \h </w:instrText>
        </w:r>
        <w:r>
          <w:rPr>
            <w:noProof/>
            <w:webHidden/>
          </w:rPr>
          <w:fldChar w:fldCharType="separate"/>
        </w:r>
        <w:r>
          <w:rPr>
            <w:noProof/>
            <w:webHidden/>
          </w:rPr>
          <w:t>1418</w:t>
        </w:r>
        <w:r>
          <w:rPr>
            <w:noProof/>
            <w:webHidden/>
          </w:rPr>
          <w:fldChar w:fldCharType="end"/>
        </w:r>
      </w:hyperlink>
    </w:p>
    <w:p>
      <w:pPr>
        <w:pStyle w:val="TOC2"/>
      </w:pPr>
      <w:hyperlink w:anchor="_Toc300001206" w:history="1">
        <w:r>
          <w:rPr>
            <w:noProof/>
          </w:rPr>
          <w:t xml:space="preserve">Article 35.29: No-Fade Guarantee</w:t>
        </w:r>
        <w:r>
          <w:rPr>
            <w:noProof/>
            <w:webHidden/>
          </w:rPr>
          <w:tab/>
        </w:r>
        <w:r>
          <w:rPr>
            <w:noProof/>
            <w:webHidden/>
          </w:rPr>
          <w:fldChar w:fldCharType="begin"/>
        </w:r>
        <w:r>
          <w:rPr>
            <w:noProof/>
            <w:webHidden/>
          </w:rPr>
          <w:instrText xml:space="preserve"> PAGEREF _Toc300001206 \h </w:instrText>
        </w:r>
        <w:r>
          <w:rPr>
            <w:noProof/>
            <w:webHidden/>
          </w:rPr>
          <w:fldChar w:fldCharType="separate"/>
        </w:r>
        <w:r>
          <w:rPr>
            <w:noProof/>
            <w:webHidden/>
          </w:rPr>
          <w:t>1419</w:t>
        </w:r>
        <w:r>
          <w:rPr>
            <w:noProof/>
            <w:webHidden/>
          </w:rPr>
          <w:fldChar w:fldCharType="end"/>
        </w:r>
      </w:hyperlink>
    </w:p>
    <w:p>
      <w:pPr>
        <w:pStyle w:val="TOC2"/>
      </w:pPr>
      <w:hyperlink w:anchor="_Toc300001207" w:history="1">
        <w:r>
          <w:rPr>
            <w:noProof/>
          </w:rPr>
          <w:t xml:space="preserve">Article 35.30: Continuity, Anti-Circumvention, and No Hostage Principle</w:t>
        </w:r>
        <w:r>
          <w:rPr>
            <w:noProof/>
            <w:webHidden/>
          </w:rPr>
          <w:tab/>
        </w:r>
        <w:r>
          <w:rPr>
            <w:noProof/>
            <w:webHidden/>
          </w:rPr>
          <w:fldChar w:fldCharType="begin"/>
        </w:r>
        <w:r>
          <w:rPr>
            <w:noProof/>
            <w:webHidden/>
          </w:rPr>
          <w:instrText xml:space="preserve"> PAGEREF _Toc300001207 \h </w:instrText>
        </w:r>
        <w:r>
          <w:rPr>
            <w:noProof/>
            <w:webHidden/>
          </w:rPr>
          <w:fldChar w:fldCharType="separate"/>
        </w:r>
        <w:r>
          <w:rPr>
            <w:noProof/>
            <w:webHidden/>
          </w:rPr>
          <w:t>1420</w:t>
        </w:r>
        <w:r>
          <w:rPr>
            <w:noProof/>
            <w:webHidden/>
          </w:rPr>
          <w:fldChar w:fldCharType="end"/>
        </w:r>
      </w:hyperlink>
    </w:p>
    <w:p>
      <w:pPr>
        <w:pStyle w:val="TOC2"/>
      </w:pPr>
      <w:hyperlink w:anchor="_Toc300001208" w:history="1">
        <w:r>
          <w:rPr>
            <w:noProof/>
          </w:rPr>
          <w:t xml:space="preserve">Article 35.31: Narrowest-Sufficient-Remedy and Cure Ladder</w:t>
        </w:r>
        <w:r>
          <w:rPr>
            <w:noProof/>
            <w:webHidden/>
          </w:rPr>
          <w:tab/>
        </w:r>
        <w:r>
          <w:rPr>
            <w:noProof/>
            <w:webHidden/>
          </w:rPr>
          <w:fldChar w:fldCharType="begin"/>
        </w:r>
        <w:r>
          <w:rPr>
            <w:noProof/>
            <w:webHidden/>
          </w:rPr>
          <w:instrText xml:space="preserve"> PAGEREF _Toc300001208 \h </w:instrText>
        </w:r>
        <w:r>
          <w:rPr>
            <w:noProof/>
            <w:webHidden/>
          </w:rPr>
          <w:fldChar w:fldCharType="separate"/>
        </w:r>
        <w:r>
          <w:rPr>
            <w:noProof/>
            <w:webHidden/>
          </w:rPr>
          <w:t>1420</w:t>
        </w:r>
        <w:r>
          <w:rPr>
            <w:noProof/>
            <w:webHidden/>
          </w:rPr>
          <w:fldChar w:fldCharType="end"/>
        </w:r>
      </w:hyperlink>
    </w:p>
    <w:p>
      <w:pPr>
        <w:pStyle w:val="TOC2"/>
      </w:pPr>
      <w:hyperlink w:anchor="_Toc300001209" w:history="1">
        <w:r>
          <w:rPr>
            <w:noProof/>
          </w:rPr>
          <w:t xml:space="preserve">Article 35.32: Extraordinary-Measure Transparency and Escrow</w:t>
        </w:r>
        <w:r>
          <w:rPr>
            <w:noProof/>
            <w:webHidden/>
          </w:rPr>
          <w:tab/>
        </w:r>
        <w:r>
          <w:rPr>
            <w:noProof/>
            <w:webHidden/>
          </w:rPr>
          <w:fldChar w:fldCharType="begin"/>
        </w:r>
        <w:r>
          <w:rPr>
            <w:noProof/>
            <w:webHidden/>
          </w:rPr>
          <w:instrText xml:space="preserve"> PAGEREF _Toc300001209 \h </w:instrText>
        </w:r>
        <w:r>
          <w:rPr>
            <w:noProof/>
            <w:webHidden/>
          </w:rPr>
          <w:fldChar w:fldCharType="separate"/>
        </w:r>
        <w:r>
          <w:rPr>
            <w:noProof/>
            <w:webHidden/>
          </w:rPr>
          <w:t>1420</w:t>
        </w:r>
        <w:r>
          <w:rPr>
            <w:noProof/>
            <w:webHidden/>
          </w:rPr>
          <w:fldChar w:fldCharType="end"/>
        </w:r>
      </w:hyperlink>
    </w:p>
    <w:p>
      <w:pPr>
        <w:pStyle w:val="TOC2"/>
      </w:pPr>
      <w:hyperlink w:anchor="_Toc300001210" w:history="1">
        <w:r>
          <w:rPr>
            <w:noProof/>
          </w:rPr>
          <w:t xml:space="preserve">ANNEX 35-A: PROPORTIONAL TRADE ADJUSTMENT CALCULATION METHODOLOGY</w:t>
        </w:r>
        <w:r>
          <w:rPr>
            <w:noProof/>
            <w:webHidden/>
          </w:rPr>
          <w:tab/>
        </w:r>
        <w:r>
          <w:rPr>
            <w:noProof/>
            <w:webHidden/>
          </w:rPr>
          <w:fldChar w:fldCharType="begin"/>
        </w:r>
        <w:r>
          <w:rPr>
            <w:noProof/>
            <w:webHidden/>
          </w:rPr>
          <w:instrText xml:space="preserve"> PAGEREF _Toc300001210 \h </w:instrText>
        </w:r>
        <w:r>
          <w:rPr>
            <w:noProof/>
            <w:webHidden/>
          </w:rPr>
          <w:fldChar w:fldCharType="separate"/>
        </w:r>
        <w:r>
          <w:rPr>
            <w:noProof/>
            <w:webHidden/>
          </w:rPr>
          <w:t>1421</w:t>
        </w:r>
        <w:r>
          <w:rPr>
            <w:noProof/>
            <w:webHidden/>
          </w:rPr>
          <w:fldChar w:fldCharType="end"/>
        </w:r>
      </w:hyperlink>
    </w:p>
    <w:p>
      <w:pPr>
        <w:pStyle w:val="TOC2"/>
      </w:pPr>
      <w:hyperlink w:anchor="_Toc300001211" w:history="1">
        <w:r>
          <w:rPr>
            <w:noProof/>
          </w:rPr>
          <w:t xml:space="preserve">ANNEX 35-B: TRADE MODULES AND STRATEGIC SECTORS</w:t>
        </w:r>
        <w:r>
          <w:rPr>
            <w:noProof/>
            <w:webHidden/>
          </w:rPr>
          <w:tab/>
        </w:r>
        <w:r>
          <w:rPr>
            <w:noProof/>
            <w:webHidden/>
          </w:rPr>
          <w:fldChar w:fldCharType="begin"/>
        </w:r>
        <w:r>
          <w:rPr>
            <w:noProof/>
            <w:webHidden/>
          </w:rPr>
          <w:instrText xml:space="preserve"> PAGEREF _Toc300001211 \h </w:instrText>
        </w:r>
        <w:r>
          <w:rPr>
            <w:noProof/>
            <w:webHidden/>
          </w:rPr>
          <w:fldChar w:fldCharType="separate"/>
        </w:r>
        <w:r>
          <w:rPr>
            <w:noProof/>
            <w:webHidden/>
          </w:rPr>
          <w:t>1423</w:t>
        </w:r>
        <w:r>
          <w:rPr>
            <w:noProof/>
            <w:webHidden/>
          </w:rPr>
          <w:fldChar w:fldCharType="end"/>
        </w:r>
      </w:hyperlink>
    </w:p>
    <w:p>
      <w:pPr>
        <w:pStyle w:val="TOC2"/>
      </w:pPr>
      <w:hyperlink w:anchor="_Toc300001212" w:history="1">
        <w:r>
          <w:rPr>
            <w:noProof/>
          </w:rPr>
          <w:t xml:space="preserve">ANNEX 35-C: SHARED TRADE DATA REGISTRY AND VERIFICATION DATA STANDARDS</w:t>
        </w:r>
        <w:r>
          <w:rPr>
            <w:noProof/>
            <w:webHidden/>
          </w:rPr>
          <w:tab/>
        </w:r>
        <w:r>
          <w:rPr>
            <w:noProof/>
            <w:webHidden/>
          </w:rPr>
          <w:fldChar w:fldCharType="begin"/>
        </w:r>
        <w:r>
          <w:rPr>
            <w:noProof/>
            <w:webHidden/>
          </w:rPr>
          <w:instrText xml:space="preserve"> PAGEREF _Toc300001212 \h </w:instrText>
        </w:r>
        <w:r>
          <w:rPr>
            <w:noProof/>
            <w:webHidden/>
          </w:rPr>
          <w:fldChar w:fldCharType="separate"/>
        </w:r>
        <w:r>
          <w:rPr>
            <w:noProof/>
            <w:webHidden/>
          </w:rPr>
          <w:t>1425</w:t>
        </w:r>
        <w:r>
          <w:rPr>
            <w:noProof/>
            <w:webHidden/>
          </w:rPr>
          <w:fldChar w:fldCharType="end"/>
        </w:r>
      </w:hyperlink>
    </w:p>
    <w:p>
      <w:pPr>
        <w:pStyle w:val="TOC2"/>
      </w:pPr>
      <w:hyperlink w:anchor="_Toc300001213" w:history="1">
        <w:r>
          <w:rPr>
            <w:noProof/>
          </w:rPr>
          <w:t xml:space="preserve">Article 35.36: No Uncompensated Front-Loading and Synchronized Exchange</w:t>
        </w:r>
        <w:r>
          <w:rPr>
            <w:noProof/>
            <w:webHidden/>
          </w:rPr>
          <w:tab/>
        </w:r>
        <w:r>
          <w:rPr>
            <w:noProof/>
            <w:webHidden/>
          </w:rPr>
          <w:fldChar w:fldCharType="begin"/>
        </w:r>
        <w:r>
          <w:rPr>
            <w:noProof/>
            <w:webHidden/>
          </w:rPr>
          <w:instrText xml:space="preserve"> PAGEREF _Toc300001213 \h </w:instrText>
        </w:r>
        <w:r>
          <w:rPr>
            <w:noProof/>
            <w:webHidden/>
          </w:rPr>
          <w:fldChar w:fldCharType="separate"/>
        </w:r>
        <w:r>
          <w:rPr>
            <w:noProof/>
            <w:webHidden/>
          </w:rPr>
          <w:t>1427</w:t>
        </w:r>
        <w:r>
          <w:rPr>
            <w:noProof/>
            <w:webHidden/>
          </w:rPr>
          <w:fldChar w:fldCharType="end"/>
        </w:r>
      </w:hyperlink>
    </w:p>
    <w:p>
      <w:pPr>
        <w:pStyle w:val="TOC2"/>
      </w:pPr>
      <w:hyperlink w:anchor="_Toc300001214" w:history="1">
        <w:r>
          <w:rPr>
            <w:noProof/>
          </w:rPr>
          <w:t xml:space="preserve">Article 35.37: North American Demerit and Preference Step-Back System</w:t>
        </w:r>
        <w:r>
          <w:rPr>
            <w:noProof/>
            <w:webHidden/>
          </w:rPr>
          <w:tab/>
        </w:r>
        <w:r>
          <w:rPr>
            <w:noProof/>
            <w:webHidden/>
          </w:rPr>
          <w:fldChar w:fldCharType="begin"/>
        </w:r>
        <w:r>
          <w:rPr>
            <w:noProof/>
            <w:webHidden/>
          </w:rPr>
          <w:instrText xml:space="preserve"> PAGEREF _Toc300001214 \h </w:instrText>
        </w:r>
        <w:r>
          <w:rPr>
            <w:noProof/>
            <w:webHidden/>
          </w:rPr>
          <w:fldChar w:fldCharType="separate"/>
        </w:r>
        <w:r>
          <w:rPr>
            <w:noProof/>
            <w:webHidden/>
          </w:rPr>
          <w:t>1428</w:t>
        </w:r>
        <w:r>
          <w:rPr>
            <w:noProof/>
            <w:webHidden/>
          </w:rPr>
          <w:fldChar w:fldCharType="end"/>
        </w:r>
      </w:hyperlink>
    </w:p>
    <w:p>
      <w:pPr>
        <w:pStyle w:val="TOC2"/>
      </w:pPr>
      <w:hyperlink w:anchor="_Toc300001215" w:history="1">
        <w:r>
          <w:rPr>
            <w:noProof/>
          </w:rPr>
          <w:t xml:space="preserve">Article 35.38: Tariff Quarantine and Absolute Last-Resort Test</w:t>
        </w:r>
        <w:r>
          <w:rPr>
            <w:noProof/>
            <w:webHidden/>
          </w:rPr>
          <w:tab/>
        </w:r>
        <w:r>
          <w:rPr>
            <w:noProof/>
            <w:webHidden/>
          </w:rPr>
          <w:fldChar w:fldCharType="begin"/>
        </w:r>
        <w:r>
          <w:rPr>
            <w:noProof/>
            <w:webHidden/>
          </w:rPr>
          <w:instrText xml:space="preserve"> PAGEREF _Toc300001215 \h </w:instrText>
        </w:r>
        <w:r>
          <w:rPr>
            <w:noProof/>
            <w:webHidden/>
          </w:rPr>
          <w:fldChar w:fldCharType="separate"/>
        </w:r>
        <w:r>
          <w:rPr>
            <w:noProof/>
            <w:webHidden/>
          </w:rPr>
          <w:t>1429</w:t>
        </w:r>
        <w:r>
          <w:rPr>
            <w:noProof/>
            <w:webHidden/>
          </w:rPr>
          <w:fldChar w:fldCharType="end"/>
        </w:r>
      </w:hyperlink>
    </w:p>
    <w:p>
      <w:pPr>
        <w:pStyle w:val="TOC2"/>
      </w:pPr>
      <w:hyperlink w:anchor="_Toc300001216" w:history="1">
        <w:r>
          <w:rPr>
            <w:noProof/>
          </w:rPr>
          <w:t xml:space="preserve">Article 35.39: Rotating Neutral Guarantor Panel</w:t>
        </w:r>
        <w:r>
          <w:rPr>
            <w:noProof/>
            <w:webHidden/>
          </w:rPr>
          <w:tab/>
        </w:r>
        <w:r>
          <w:rPr>
            <w:noProof/>
            <w:webHidden/>
          </w:rPr>
          <w:fldChar w:fldCharType="begin"/>
        </w:r>
        <w:r>
          <w:rPr>
            <w:noProof/>
            <w:webHidden/>
          </w:rPr>
          <w:instrText xml:space="preserve"> PAGEREF _Toc300001216 \h </w:instrText>
        </w:r>
        <w:r>
          <w:rPr>
            <w:noProof/>
            <w:webHidden/>
          </w:rPr>
          <w:fldChar w:fldCharType="separate"/>
        </w:r>
        <w:r>
          <w:rPr>
            <w:noProof/>
            <w:webHidden/>
          </w:rPr>
          <w:t>1430</w:t>
        </w:r>
        <w:r>
          <w:rPr>
            <w:noProof/>
            <w:webHidden/>
          </w:rPr>
          <w:fldChar w:fldCharType="end"/>
        </w:r>
      </w:hyperlink>
    </w:p>
    <w:p>
      <w:pPr>
        <w:pStyle w:val="TOC2"/>
      </w:pPr>
      <w:hyperlink w:anchor="_Toc300001217" w:history="1">
        <w:r>
          <w:rPr>
            <w:noProof/>
          </w:rPr>
          <w:t xml:space="preserve">Article 35.40: Tariff Authorization Limits, Burden Test, Sunset, and Renewal</w:t>
        </w:r>
        <w:r>
          <w:rPr>
            <w:noProof/>
            <w:webHidden/>
          </w:rPr>
          <w:tab/>
        </w:r>
        <w:r>
          <w:rPr>
            <w:noProof/>
            <w:webHidden/>
          </w:rPr>
          <w:fldChar w:fldCharType="begin"/>
        </w:r>
        <w:r>
          <w:rPr>
            <w:noProof/>
            <w:webHidden/>
          </w:rPr>
          <w:instrText xml:space="preserve"> PAGEREF _Toc300001217 \h </w:instrText>
        </w:r>
        <w:r>
          <w:rPr>
            <w:noProof/>
            <w:webHidden/>
          </w:rPr>
          <w:fldChar w:fldCharType="separate"/>
        </w:r>
        <w:r>
          <w:rPr>
            <w:noProof/>
            <w:webHidden/>
          </w:rPr>
          <w:t>1431</w:t>
        </w:r>
        <w:r>
          <w:rPr>
            <w:noProof/>
            <w:webHidden/>
          </w:rPr>
          <w:fldChar w:fldCharType="end"/>
        </w:r>
      </w:hyperlink>
    </w:p>
    <w:p>
      <w:pPr>
        <w:pStyle w:val="TOC2"/>
      </w:pPr>
      <w:hyperlink w:anchor="_Toc300001218" w:history="1">
        <w:r>
          <w:rPr>
            <w:noProof/>
          </w:rPr>
          <w:t xml:space="preserve">Article 35.41: Three-Year Joint Study on Complete Elimination of Intra-North-American Tariffs</w:t>
        </w:r>
        <w:r>
          <w:rPr>
            <w:noProof/>
            <w:webHidden/>
          </w:rPr>
          <w:tab/>
        </w:r>
        <w:r>
          <w:rPr>
            <w:noProof/>
            <w:webHidden/>
          </w:rPr>
          <w:fldChar w:fldCharType="begin"/>
        </w:r>
        <w:r>
          <w:rPr>
            <w:noProof/>
            <w:webHidden/>
          </w:rPr>
          <w:instrText xml:space="preserve"> PAGEREF _Toc300001218 \h </w:instrText>
        </w:r>
        <w:r>
          <w:rPr>
            <w:noProof/>
            <w:webHidden/>
          </w:rPr>
          <w:fldChar w:fldCharType="separate"/>
        </w:r>
        <w:r>
          <w:rPr>
            <w:noProof/>
            <w:webHidden/>
          </w:rPr>
          <w:t>1431</w:t>
        </w:r>
        <w:r>
          <w:rPr>
            <w:noProof/>
            <w:webHidden/>
          </w:rPr>
          <w:fldChar w:fldCharType="end"/>
        </w:r>
      </w:hyperlink>
    </w:p>
    <w:p>
      <w:pPr>
        <w:pStyle w:val="TOC2"/>
      </w:pPr>
      <w:hyperlink w:anchor="_Toc300001219" w:history="1">
        <w:r>
          <w:rPr>
            <w:noProof/>
          </w:rPr>
          <w:t xml:space="preserve">Article 35.42: Guarantor Integrity Firewall and Anti-Inducement Rule</w:t>
        </w:r>
        <w:r>
          <w:rPr>
            <w:noProof/>
            <w:webHidden/>
          </w:rPr>
          <w:tab/>
        </w:r>
        <w:r>
          <w:rPr>
            <w:noProof/>
            <w:webHidden/>
          </w:rPr>
          <w:fldChar w:fldCharType="begin"/>
        </w:r>
        <w:r>
          <w:rPr>
            <w:noProof/>
            <w:webHidden/>
          </w:rPr>
          <w:instrText xml:space="preserve"> PAGEREF _Toc300001219 \h </w:instrText>
        </w:r>
        <w:r>
          <w:rPr>
            <w:noProof/>
            <w:webHidden/>
          </w:rPr>
          <w:fldChar w:fldCharType="separate"/>
        </w:r>
        <w:r>
          <w:rPr>
            <w:noProof/>
            <w:webHidden/>
          </w:rPr>
          <w:t>1433</w:t>
        </w:r>
        <w:r>
          <w:rPr>
            <w:noProof/>
            <w:webHidden/>
          </w:rPr>
          <w:fldChar w:fldCharType="end"/>
        </w:r>
      </w:hyperlink>
    </w:p>
    <w:p>
      <w:pPr>
        <w:pStyle w:val="TOC2"/>
      </w:pPr>
      <w:hyperlink w:anchor="_Toc300001220" w:history="1">
        <w:r>
          <w:rPr>
            <w:noProof/>
          </w:rPr>
          <w:t xml:space="preserve">Article 35.43: Communications Docket, Ex Parte Firewall, and Equality of Arms</w:t>
        </w:r>
        <w:r>
          <w:rPr>
            <w:noProof/>
            <w:webHidden/>
          </w:rPr>
          <w:tab/>
        </w:r>
        <w:r>
          <w:rPr>
            <w:noProof/>
            <w:webHidden/>
          </w:rPr>
          <w:fldChar w:fldCharType="begin"/>
        </w:r>
        <w:r>
          <w:rPr>
            <w:noProof/>
            <w:webHidden/>
          </w:rPr>
          <w:instrText xml:space="preserve"> PAGEREF _Toc300001220 \h </w:instrText>
        </w:r>
        <w:r>
          <w:rPr>
            <w:noProof/>
            <w:webHidden/>
          </w:rPr>
          <w:fldChar w:fldCharType="separate"/>
        </w:r>
        <w:r>
          <w:rPr>
            <w:noProof/>
            <w:webHidden/>
          </w:rPr>
          <w:t>1434</w:t>
        </w:r>
        <w:r>
          <w:rPr>
            <w:noProof/>
            <w:webHidden/>
          </w:rPr>
          <w:fldChar w:fldCharType="end"/>
        </w:r>
      </w:hyperlink>
    </w:p>
    <w:p>
      <w:pPr>
        <w:pStyle w:val="TOC2"/>
      </w:pPr>
      <w:hyperlink w:anchor="_Toc300001221" w:history="1">
        <w:r>
          <w:rPr>
            <w:noProof/>
          </w:rPr>
          <w:t xml:space="preserve">Article 35.44: Guarantor Financial Integrity, Disclosure, Gifts, and Cooling-Off</w:t>
        </w:r>
        <w:r>
          <w:rPr>
            <w:noProof/>
            <w:webHidden/>
          </w:rPr>
          <w:tab/>
        </w:r>
        <w:r>
          <w:rPr>
            <w:noProof/>
            <w:webHidden/>
          </w:rPr>
          <w:fldChar w:fldCharType="begin"/>
        </w:r>
        <w:r>
          <w:rPr>
            <w:noProof/>
            <w:webHidden/>
          </w:rPr>
          <w:instrText xml:space="preserve"> PAGEREF _Toc300001221 \h </w:instrText>
        </w:r>
        <w:r>
          <w:rPr>
            <w:noProof/>
            <w:webHidden/>
          </w:rPr>
          <w:fldChar w:fldCharType="separate"/>
        </w:r>
        <w:r>
          <w:rPr>
            <w:noProof/>
            <w:webHidden/>
          </w:rPr>
          <w:t>1434</w:t>
        </w:r>
        <w:r>
          <w:rPr>
            <w:noProof/>
            <w:webHidden/>
          </w:rPr>
          <w:fldChar w:fldCharType="end"/>
        </w:r>
      </w:hyperlink>
    </w:p>
    <w:p>
      <w:pPr>
        <w:pStyle w:val="TOC2"/>
      </w:pPr>
      <w:hyperlink w:anchor="_Toc300001222" w:history="1">
        <w:r>
          <w:rPr>
            <w:noProof/>
          </w:rPr>
          <w:t xml:space="preserve">Article 35.45: Integrity Panel, Tainted Panel Rule, Recusal Review, and Remedies</w:t>
        </w:r>
        <w:r>
          <w:rPr>
            <w:noProof/>
            <w:webHidden/>
          </w:rPr>
          <w:tab/>
        </w:r>
        <w:r>
          <w:rPr>
            <w:noProof/>
            <w:webHidden/>
          </w:rPr>
          <w:fldChar w:fldCharType="begin"/>
        </w:r>
        <w:r>
          <w:rPr>
            <w:noProof/>
            <w:webHidden/>
          </w:rPr>
          <w:instrText xml:space="preserve"> PAGEREF _Toc300001222 \h </w:instrText>
        </w:r>
        <w:r>
          <w:rPr>
            <w:noProof/>
            <w:webHidden/>
          </w:rPr>
          <w:fldChar w:fldCharType="separate"/>
        </w:r>
        <w:r>
          <w:rPr>
            <w:noProof/>
            <w:webHidden/>
          </w:rPr>
          <w:t>1435</w:t>
        </w:r>
        <w:r>
          <w:rPr>
            <w:noProof/>
            <w:webHidden/>
          </w:rPr>
          <w:fldChar w:fldCharType="end"/>
        </w:r>
      </w:hyperlink>
    </w:p>
    <w:p>
      <w:pPr>
        <w:pStyle w:val="TOC2"/>
      </w:pPr>
      <w:hyperlink w:anchor="_Toc300001223" w:history="1">
        <w:r>
          <w:rPr>
            <w:noProof/>
          </w:rPr>
          <w:t xml:space="preserve">ANNEX 35-I: GUARANTOR INTEGRITY OPERATING RULES</w:t>
        </w:r>
        <w:r>
          <w:rPr>
            <w:noProof/>
            <w:webHidden/>
          </w:rPr>
          <w:tab/>
        </w:r>
        <w:r>
          <w:rPr>
            <w:noProof/>
            <w:webHidden/>
          </w:rPr>
          <w:fldChar w:fldCharType="begin"/>
        </w:r>
        <w:r>
          <w:rPr>
            <w:noProof/>
            <w:webHidden/>
          </w:rPr>
          <w:instrText xml:space="preserve"> PAGEREF _Toc300001223 \h </w:instrText>
        </w:r>
        <w:r>
          <w:rPr>
            <w:noProof/>
            <w:webHidden/>
          </w:rPr>
          <w:fldChar w:fldCharType="separate"/>
        </w:r>
        <w:r>
          <w:rPr>
            <w:noProof/>
            <w:webHidden/>
          </w:rPr>
          <w:t>1436</w:t>
        </w:r>
        <w:r>
          <w:rPr>
            <w:noProof/>
            <w:webHidden/>
          </w:rPr>
          <w:fldChar w:fldCharType="end"/>
        </w:r>
      </w:hyperlink>
    </w:p>
    <w:p>
      <w:pPr>
        <w:pStyle w:val="TOC2"/>
      </w:pPr>
      <w:hyperlink w:anchor="_Toc300001224" w:history="1">
        <w:r>
          <w:rPr>
            <w:noProof/>
          </w:rPr>
          <w:t xml:space="preserve">Article 35.46: Objective Cure Certification and Compliance Finality</w:t>
        </w:r>
        <w:r>
          <w:rPr>
            <w:noProof/>
            <w:webHidden/>
          </w:rPr>
          <w:tab/>
        </w:r>
        <w:r>
          <w:rPr>
            <w:noProof/>
            <w:webHidden/>
          </w:rPr>
          <w:fldChar w:fldCharType="begin"/>
        </w:r>
        <w:r>
          <w:rPr>
            <w:noProof/>
            <w:webHidden/>
          </w:rPr>
          <w:instrText xml:space="preserve"> PAGEREF _Toc300001224 \h </w:instrText>
        </w:r>
        <w:r>
          <w:rPr>
            <w:noProof/>
            <w:webHidden/>
          </w:rPr>
          <w:fldChar w:fldCharType="separate"/>
        </w:r>
        <w:r>
          <w:rPr>
            <w:noProof/>
            <w:webHidden/>
          </w:rPr>
          <w:t>1437</w:t>
        </w:r>
        <w:r>
          <w:rPr>
            <w:noProof/>
            <w:webHidden/>
          </w:rPr>
          <w:fldChar w:fldCharType="end"/>
        </w:r>
      </w:hyperlink>
    </w:p>
    <w:p>
      <w:pPr>
        <w:pStyle w:val="TOC2"/>
      </w:pPr>
      <w:hyperlink w:anchor="_Toc300001225" w:history="1">
        <w:r>
          <w:rPr>
            <w:noProof/>
          </w:rPr>
          <w:t xml:space="preserve">Article 35.47: Strict Exhaustion and Non-Tariff Incapacity Test</w:t>
        </w:r>
        <w:r>
          <w:rPr>
            <w:noProof/>
            <w:webHidden/>
          </w:rPr>
          <w:tab/>
        </w:r>
        <w:r>
          <w:rPr>
            <w:noProof/>
            <w:webHidden/>
          </w:rPr>
          <w:fldChar w:fldCharType="begin"/>
        </w:r>
        <w:r>
          <w:rPr>
            <w:noProof/>
            <w:webHidden/>
          </w:rPr>
          <w:instrText xml:space="preserve"> PAGEREF _Toc300001225 \h </w:instrText>
        </w:r>
        <w:r>
          <w:rPr>
            <w:noProof/>
            <w:webHidden/>
          </w:rPr>
          <w:fldChar w:fldCharType="separate"/>
        </w:r>
        <w:r>
          <w:rPr>
            <w:noProof/>
            <w:webHidden/>
          </w:rPr>
          <w:t>1437</w:t>
        </w:r>
        <w:r>
          <w:rPr>
            <w:noProof/>
            <w:webHidden/>
          </w:rPr>
          <w:fldChar w:fldCharType="end"/>
        </w:r>
      </w:hyperlink>
    </w:p>
    <w:p>
      <w:pPr>
        <w:pStyle w:val="TOC2"/>
      </w:pPr>
      <w:hyperlink w:anchor="_Toc300001226" w:history="1">
        <w:r>
          <w:rPr>
            <w:noProof/>
          </w:rPr>
          <w:t xml:space="preserve">Article 35.48: Economic Harm, Causation, and Model Integrity Standard</w:t>
        </w:r>
        <w:r>
          <w:rPr>
            <w:noProof/>
            <w:webHidden/>
          </w:rPr>
          <w:tab/>
        </w:r>
        <w:r>
          <w:rPr>
            <w:noProof/>
            <w:webHidden/>
          </w:rPr>
          <w:fldChar w:fldCharType="begin"/>
        </w:r>
        <w:r>
          <w:rPr>
            <w:noProof/>
            <w:webHidden/>
          </w:rPr>
          <w:instrText xml:space="preserve"> PAGEREF _Toc300001226 \h </w:instrText>
        </w:r>
        <w:r>
          <w:rPr>
            <w:noProof/>
            <w:webHidden/>
          </w:rPr>
          <w:fldChar w:fldCharType="separate"/>
        </w:r>
        <w:r>
          <w:rPr>
            <w:noProof/>
            <w:webHidden/>
          </w:rPr>
          <w:t>1437</w:t>
        </w:r>
        <w:r>
          <w:rPr>
            <w:noProof/>
            <w:webHidden/>
          </w:rPr>
          <w:fldChar w:fldCharType="end"/>
        </w:r>
      </w:hyperlink>
    </w:p>
    <w:p>
      <w:pPr>
        <w:pStyle w:val="TOC2"/>
      </w:pPr>
      <w:hyperlink w:anchor="_Toc300001227" w:history="1">
        <w:r>
          <w:rPr>
            <w:noProof/>
          </w:rPr>
          <w:t xml:space="preserve">Article 35.49: Strategic-Nexus and Market-Definition Safeguards</w:t>
        </w:r>
        <w:r>
          <w:rPr>
            <w:noProof/>
            <w:webHidden/>
          </w:rPr>
          <w:tab/>
        </w:r>
        <w:r>
          <w:rPr>
            <w:noProof/>
            <w:webHidden/>
          </w:rPr>
          <w:fldChar w:fldCharType="begin"/>
        </w:r>
        <w:r>
          <w:rPr>
            <w:noProof/>
            <w:webHidden/>
          </w:rPr>
          <w:instrText xml:space="preserve"> PAGEREF _Toc300001227 \h </w:instrText>
        </w:r>
        <w:r>
          <w:rPr>
            <w:noProof/>
            <w:webHidden/>
          </w:rPr>
          <w:fldChar w:fldCharType="separate"/>
        </w:r>
        <w:r>
          <w:rPr>
            <w:noProof/>
            <w:webHidden/>
          </w:rPr>
          <w:t>1438</w:t>
        </w:r>
        <w:r>
          <w:rPr>
            <w:noProof/>
            <w:webHidden/>
          </w:rPr>
          <w:fldChar w:fldCharType="end"/>
        </w:r>
      </w:hyperlink>
    </w:p>
    <w:p>
      <w:pPr>
        <w:pStyle w:val="TOC2"/>
      </w:pPr>
      <w:hyperlink w:anchor="_Toc300001228" w:history="1">
        <w:r>
          <w:rPr>
            <w:noProof/>
          </w:rPr>
          <w:t xml:space="preserve">Article 35.50: Aggregate Remedy Burden and Anti-Fragmentation Safeguard</w:t>
        </w:r>
        <w:r>
          <w:rPr>
            <w:noProof/>
            <w:webHidden/>
          </w:rPr>
          <w:tab/>
        </w:r>
        <w:r>
          <w:rPr>
            <w:noProof/>
            <w:webHidden/>
          </w:rPr>
          <w:fldChar w:fldCharType="begin"/>
        </w:r>
        <w:r>
          <w:rPr>
            <w:noProof/>
            <w:webHidden/>
          </w:rPr>
          <w:instrText xml:space="preserve"> PAGEREF _Toc300001228 \h </w:instrText>
        </w:r>
        <w:r>
          <w:rPr>
            <w:noProof/>
            <w:webHidden/>
          </w:rPr>
          <w:fldChar w:fldCharType="separate"/>
        </w:r>
        <w:r>
          <w:rPr>
            <w:noProof/>
            <w:webHidden/>
          </w:rPr>
          <w:t>1438</w:t>
        </w:r>
        <w:r>
          <w:rPr>
            <w:noProof/>
            <w:webHidden/>
          </w:rPr>
          <w:fldChar w:fldCharType="end"/>
        </w:r>
      </w:hyperlink>
    </w:p>
    <w:p>
      <w:pPr>
        <w:pStyle w:val="TOC2"/>
      </w:pPr>
      <w:hyperlink w:anchor="_Toc300001229" w:history="1">
        <w:r>
          <w:rPr>
            <w:noProof/>
          </w:rPr>
          <w:t xml:space="preserve">Article 35.51: Repetitive Petition, Safe-Harbour, and Process-Abuse Rules</w:t>
        </w:r>
        <w:r>
          <w:rPr>
            <w:noProof/>
            <w:webHidden/>
          </w:rPr>
          <w:tab/>
        </w:r>
        <w:r>
          <w:rPr>
            <w:noProof/>
            <w:webHidden/>
          </w:rPr>
          <w:fldChar w:fldCharType="begin"/>
        </w:r>
        <w:r>
          <w:rPr>
            <w:noProof/>
            <w:webHidden/>
          </w:rPr>
          <w:instrText xml:space="preserve"> PAGEREF _Toc300001229 \h </w:instrText>
        </w:r>
        <w:r>
          <w:rPr>
            <w:noProof/>
            <w:webHidden/>
          </w:rPr>
          <w:fldChar w:fldCharType="separate"/>
        </w:r>
        <w:r>
          <w:rPr>
            <w:noProof/>
            <w:webHidden/>
          </w:rPr>
          <w:t>1439</w:t>
        </w:r>
        <w:r>
          <w:rPr>
            <w:noProof/>
            <w:webHidden/>
          </w:rPr>
          <w:fldChar w:fldCharType="end"/>
        </w:r>
      </w:hyperlink>
    </w:p>
    <w:p>
      <w:pPr>
        <w:pStyle w:val="TOC2"/>
      </w:pPr>
      <w:hyperlink w:anchor="_Toc300001230" w:history="1">
        <w:r>
          <w:rPr>
            <w:noProof/>
          </w:rPr>
          <w:t xml:space="preserve">Article 35.52: Exceptional Remedy Learning and Self-Extinguishing Tariff Review</w:t>
        </w:r>
        <w:r>
          <w:rPr>
            <w:noProof/>
            <w:webHidden/>
          </w:rPr>
          <w:tab/>
        </w:r>
        <w:r>
          <w:rPr>
            <w:noProof/>
            <w:webHidden/>
          </w:rPr>
          <w:fldChar w:fldCharType="begin"/>
        </w:r>
        <w:r>
          <w:rPr>
            <w:noProof/>
            <w:webHidden/>
          </w:rPr>
          <w:instrText xml:space="preserve"> PAGEREF _Toc300001230 \h </w:instrText>
        </w:r>
        <w:r>
          <w:rPr>
            <w:noProof/>
            <w:webHidden/>
          </w:rPr>
          <w:fldChar w:fldCharType="separate"/>
        </w:r>
        <w:r>
          <w:rPr>
            <w:noProof/>
            <w:webHidden/>
          </w:rPr>
          <w:t>1439</w:t>
        </w:r>
        <w:r>
          <w:rPr>
            <w:noProof/>
            <w:webHidden/>
          </w:rPr>
          <w:fldChar w:fldCharType="end"/>
        </w:r>
      </w:hyperlink>
    </w:p>
    <w:p>
      <w:pPr>
        <w:pStyle w:val="TOC2"/>
      </w:pPr>
      <w:hyperlink w:anchor="_Toc300001231" w:history="1">
        <w:r>
          <w:rPr>
            <w:noProof/>
          </w:rPr>
          <w:t xml:space="preserve">Article 35.53: Material Non-Public Trade Information and Market Integrity Firewall</w:t>
        </w:r>
        <w:r>
          <w:rPr>
            <w:noProof/>
            <w:webHidden/>
          </w:rPr>
          <w:tab/>
        </w:r>
        <w:r>
          <w:rPr>
            <w:noProof/>
            <w:webHidden/>
          </w:rPr>
          <w:fldChar w:fldCharType="begin"/>
        </w:r>
        <w:r>
          <w:rPr>
            <w:noProof/>
            <w:webHidden/>
          </w:rPr>
          <w:instrText xml:space="preserve"> PAGEREF _Toc300001231 \h </w:instrText>
        </w:r>
        <w:r>
          <w:rPr>
            <w:noProof/>
            <w:webHidden/>
          </w:rPr>
          <w:fldChar w:fldCharType="separate"/>
        </w:r>
        <w:r>
          <w:rPr>
            <w:noProof/>
            <w:webHidden/>
          </w:rPr>
          <w:t>1440</w:t>
        </w:r>
        <w:r>
          <w:rPr>
            <w:noProof/>
            <w:webHidden/>
          </w:rPr>
          <w:fldChar w:fldCharType="end"/>
        </w:r>
      </w:hyperlink>
    </w:p>
    <w:p>
      <w:pPr>
        <w:pStyle w:val="TOC2"/>
      </w:pPr>
      <w:hyperlink w:anchor="_Toc300001232" w:history="1">
        <w:r>
          <w:rPr>
            <w:noProof/>
          </w:rPr>
          <w:t xml:space="preserve">Article 35.54: Trading Blackout, Preclearance, Beneficial Ownership, and Record Preservation</w:t>
        </w:r>
        <w:r>
          <w:rPr>
            <w:noProof/>
            <w:webHidden/>
          </w:rPr>
          <w:tab/>
        </w:r>
        <w:r>
          <w:rPr>
            <w:noProof/>
            <w:webHidden/>
          </w:rPr>
          <w:fldChar w:fldCharType="begin"/>
        </w:r>
        <w:r>
          <w:rPr>
            <w:noProof/>
            <w:webHidden/>
          </w:rPr>
          <w:instrText xml:space="preserve"> PAGEREF _Toc300001232 \h </w:instrText>
        </w:r>
        <w:r>
          <w:rPr>
            <w:noProof/>
            <w:webHidden/>
          </w:rPr>
          <w:fldChar w:fldCharType="separate"/>
        </w:r>
        <w:r>
          <w:rPr>
            <w:noProof/>
            <w:webHidden/>
          </w:rPr>
          <w:t>1440</w:t>
        </w:r>
        <w:r>
          <w:rPr>
            <w:noProof/>
            <w:webHidden/>
          </w:rPr>
          <w:fldChar w:fldCharType="end"/>
        </w:r>
      </w:hyperlink>
    </w:p>
    <w:p>
      <w:pPr>
        <w:pStyle w:val="TOC2"/>
      </w:pPr>
      <w:hyperlink w:anchor="_Toc300001233" w:history="1">
        <w:r>
          <w:rPr>
            <w:noProof/>
          </w:rPr>
          <w:t xml:space="preserve">Article 35.55: Simultaneous Publication, Selective Disclosure, and Rumour Firewall</w:t>
        </w:r>
        <w:r>
          <w:rPr>
            <w:noProof/>
            <w:webHidden/>
          </w:rPr>
          <w:tab/>
        </w:r>
        <w:r>
          <w:rPr>
            <w:noProof/>
            <w:webHidden/>
          </w:rPr>
          <w:fldChar w:fldCharType="begin"/>
        </w:r>
        <w:r>
          <w:rPr>
            <w:noProof/>
            <w:webHidden/>
          </w:rPr>
          <w:instrText xml:space="preserve"> PAGEREF _Toc300001233 \h </w:instrText>
        </w:r>
        <w:r>
          <w:rPr>
            <w:noProof/>
            <w:webHidden/>
          </w:rPr>
          <w:fldChar w:fldCharType="separate"/>
        </w:r>
        <w:r>
          <w:rPr>
            <w:noProof/>
            <w:webHidden/>
          </w:rPr>
          <w:t>1441</w:t>
        </w:r>
        <w:r>
          <w:rPr>
            <w:noProof/>
            <w:webHidden/>
          </w:rPr>
          <w:fldChar w:fldCharType="end"/>
        </w:r>
      </w:hyperlink>
    </w:p>
    <w:p>
      <w:pPr>
        <w:pStyle w:val="TOC2"/>
      </w:pPr>
      <w:hyperlink w:anchor="_Toc300001234" w:history="1">
        <w:r>
          <w:rPr>
            <w:noProof/>
          </w:rPr>
          <w:t xml:space="preserve">Article 35.56: Market Surveillance Cooperation and Independent Market Integrity Review</w:t>
        </w:r>
        <w:r>
          <w:rPr>
            <w:noProof/>
            <w:webHidden/>
          </w:rPr>
          <w:tab/>
        </w:r>
        <w:r>
          <w:rPr>
            <w:noProof/>
            <w:webHidden/>
          </w:rPr>
          <w:fldChar w:fldCharType="begin"/>
        </w:r>
        <w:r>
          <w:rPr>
            <w:noProof/>
            <w:webHidden/>
          </w:rPr>
          <w:instrText xml:space="preserve"> PAGEREF _Toc300001234 \h </w:instrText>
        </w:r>
        <w:r>
          <w:rPr>
            <w:noProof/>
            <w:webHidden/>
          </w:rPr>
          <w:fldChar w:fldCharType="separate"/>
        </w:r>
        <w:r>
          <w:rPr>
            <w:noProof/>
            <w:webHidden/>
          </w:rPr>
          <w:t>1442</w:t>
        </w:r>
        <w:r>
          <w:rPr>
            <w:noProof/>
            <w:webHidden/>
          </w:rPr>
          <w:fldChar w:fldCharType="end"/>
        </w:r>
      </w:hyperlink>
    </w:p>
    <w:p>
      <w:pPr>
        <w:pStyle w:val="TOC2"/>
      </w:pPr>
      <w:hyperlink w:anchor="_Toc300001235" w:history="1">
        <w:r>
          <w:rPr>
            <w:noProof/>
          </w:rPr>
          <w:t xml:space="preserve">Article 35.57: Market Manipulation Consequences, Disgorgement Cooperation, and Anti-False-Flag Rule</w:t>
        </w:r>
        <w:r>
          <w:rPr>
            <w:noProof/>
            <w:webHidden/>
          </w:rPr>
          <w:tab/>
        </w:r>
        <w:r>
          <w:rPr>
            <w:noProof/>
            <w:webHidden/>
          </w:rPr>
          <w:fldChar w:fldCharType="begin"/>
        </w:r>
        <w:r>
          <w:rPr>
            <w:noProof/>
            <w:webHidden/>
          </w:rPr>
          <w:instrText xml:space="preserve"> PAGEREF _Toc300001235 \h </w:instrText>
        </w:r>
        <w:r>
          <w:rPr>
            <w:noProof/>
            <w:webHidden/>
          </w:rPr>
          <w:fldChar w:fldCharType="separate"/>
        </w:r>
        <w:r>
          <w:rPr>
            <w:noProof/>
            <w:webHidden/>
          </w:rPr>
          <w:t>1442</w:t>
        </w:r>
        <w:r>
          <w:rPr>
            <w:noProof/>
            <w:webHidden/>
          </w:rPr>
          <w:fldChar w:fldCharType="end"/>
        </w:r>
      </w:hyperlink>
    </w:p>
    <w:p>
      <w:pPr>
        <w:pStyle w:val="TOC2"/>
      </w:pPr>
      <w:hyperlink w:anchor="_Toc300001236" w:history="1">
        <w:r>
          <w:rPr>
            <w:noProof/>
          </w:rPr>
          <w:t xml:space="preserve">Article 35.58: Market-Impact Evidence for the Three-Year Tariff Abolition Study</w:t>
        </w:r>
        <w:r>
          <w:rPr>
            <w:noProof/>
            <w:webHidden/>
          </w:rPr>
          <w:tab/>
        </w:r>
        <w:r>
          <w:rPr>
            <w:noProof/>
            <w:webHidden/>
          </w:rPr>
          <w:fldChar w:fldCharType="begin"/>
        </w:r>
        <w:r>
          <w:rPr>
            <w:noProof/>
            <w:webHidden/>
          </w:rPr>
          <w:instrText xml:space="preserve"> PAGEREF _Toc300001236 \h </w:instrText>
        </w:r>
        <w:r>
          <w:rPr>
            <w:noProof/>
            <w:webHidden/>
          </w:rPr>
          <w:fldChar w:fldCharType="separate"/>
        </w:r>
        <w:r>
          <w:rPr>
            <w:noProof/>
            <w:webHidden/>
          </w:rPr>
          <w:t>1443</w:t>
        </w:r>
        <w:r>
          <w:rPr>
            <w:noProof/>
            <w:webHidden/>
          </w:rPr>
          <w:fldChar w:fldCharType="end"/>
        </w:r>
      </w:hyperlink>
    </w:p>
    <w:p>
      <w:pPr>
        <w:pStyle w:val="TOC2"/>
      </w:pPr>
      <w:hyperlink w:anchor="_Toc300001237" w:history="1">
        <w:r>
          <w:rPr>
            <w:noProof/>
          </w:rPr>
          <w:t xml:space="preserve">ANNEX 35-J: MARKET INTEGRITY OPERATING RULES</w:t>
        </w:r>
        <w:r>
          <w:rPr>
            <w:noProof/>
            <w:webHidden/>
          </w:rPr>
          <w:tab/>
        </w:r>
        <w:r>
          <w:rPr>
            <w:noProof/>
            <w:webHidden/>
          </w:rPr>
          <w:fldChar w:fldCharType="begin"/>
        </w:r>
        <w:r>
          <w:rPr>
            <w:noProof/>
            <w:webHidden/>
          </w:rPr>
          <w:instrText xml:space="preserve"> PAGEREF _Toc300001237 \h </w:instrText>
        </w:r>
        <w:r>
          <w:rPr>
            <w:noProof/>
            <w:webHidden/>
          </w:rPr>
          <w:fldChar w:fldCharType="separate"/>
        </w:r>
        <w:r>
          <w:rPr>
            <w:noProof/>
            <w:webHidden/>
          </w:rPr>
          <w:t>1443</w:t>
        </w:r>
        <w:r>
          <w:rPr>
            <w:noProof/>
            <w:webHidden/>
          </w:rPr>
          <w:fldChar w:fldCharType="end"/>
        </w:r>
      </w:hyperlink>
    </w:p>
    <w:p>
      <w:pPr>
        <w:pStyle w:val="TOC2"/>
      </w:pPr>
      <w:hyperlink w:anchor="_Toc300001238" w:history="1">
        <w:r>
          <w:rPr>
            <w:noProof/>
          </w:rPr>
          <w:t xml:space="preserve">Article 35.59: Treaty-Wide Issue-Nexus and Non-Trade Coercion Firewall</w:t>
        </w:r>
        <w:r>
          <w:rPr>
            <w:noProof/>
            <w:webHidden/>
          </w:rPr>
          <w:tab/>
        </w:r>
        <w:r>
          <w:rPr>
            <w:noProof/>
            <w:webHidden/>
          </w:rPr>
          <w:fldChar w:fldCharType="begin"/>
        </w:r>
        <w:r>
          <w:rPr>
            <w:noProof/>
            <w:webHidden/>
          </w:rPr>
          <w:instrText xml:space="preserve"> PAGEREF _Toc300001238 \h </w:instrText>
        </w:r>
        <w:r>
          <w:rPr>
            <w:noProof/>
            <w:webHidden/>
          </w:rPr>
          <w:fldChar w:fldCharType="separate"/>
        </w:r>
        <w:r>
          <w:rPr>
            <w:noProof/>
            <w:webHidden/>
          </w:rPr>
          <w:t>1444</w:t>
        </w:r>
        <w:r>
          <w:rPr>
            <w:noProof/>
            <w:webHidden/>
          </w:rPr>
          <w:fldChar w:fldCharType="end"/>
        </w:r>
      </w:hyperlink>
    </w:p>
    <w:p>
      <w:pPr>
        <w:pStyle w:val="TOC2"/>
      </w:pPr>
      <w:hyperlink w:anchor="_Toc300001239" w:history="1">
        <w:r>
          <w:rPr>
            <w:noProof/>
          </w:rPr>
          <w:t xml:space="preserve">ANNEX 35-G: DEMERIT POINT AND PREFERENCE STEP-BACK MATRIX</w:t>
        </w:r>
        <w:r>
          <w:rPr>
            <w:noProof/>
            <w:webHidden/>
          </w:rPr>
          <w:tab/>
        </w:r>
        <w:r>
          <w:rPr>
            <w:noProof/>
            <w:webHidden/>
          </w:rPr>
          <w:fldChar w:fldCharType="begin"/>
        </w:r>
        <w:r>
          <w:rPr>
            <w:noProof/>
            <w:webHidden/>
          </w:rPr>
          <w:instrText xml:space="preserve"> PAGEREF _Toc300001239 \h </w:instrText>
        </w:r>
        <w:r>
          <w:rPr>
            <w:noProof/>
            <w:webHidden/>
          </w:rPr>
          <w:fldChar w:fldCharType="separate"/>
        </w:r>
        <w:r>
          <w:rPr>
            <w:noProof/>
            <w:webHidden/>
          </w:rPr>
          <w:t>1444</w:t>
        </w:r>
        <w:r>
          <w:rPr>
            <w:noProof/>
            <w:webHidden/>
          </w:rPr>
          <w:fldChar w:fldCharType="end"/>
        </w:r>
      </w:hyperlink>
    </w:p>
    <w:p>
      <w:pPr>
        <w:pStyle w:val="TOC2"/>
      </w:pPr>
      <w:hyperlink w:anchor="_Toc300001240" w:history="1">
        <w:r>
          <w:rPr>
            <w:noProof/>
          </w:rPr>
          <w:t xml:space="preserve">ANNEX 35-H: ROTATING NEUTRAL GUARANTOR POOL</w:t>
        </w:r>
        <w:r>
          <w:rPr>
            <w:noProof/>
            <w:webHidden/>
          </w:rPr>
          <w:tab/>
        </w:r>
        <w:r>
          <w:rPr>
            <w:noProof/>
            <w:webHidden/>
          </w:rPr>
          <w:fldChar w:fldCharType="begin"/>
        </w:r>
        <w:r>
          <w:rPr>
            <w:noProof/>
            <w:webHidden/>
          </w:rPr>
          <w:instrText xml:space="preserve"> PAGEREF _Toc300001240 \h </w:instrText>
        </w:r>
        <w:r>
          <w:rPr>
            <w:noProof/>
            <w:webHidden/>
          </w:rPr>
          <w:fldChar w:fldCharType="separate"/>
        </w:r>
        <w:r>
          <w:rPr>
            <w:noProof/>
            <w:webHidden/>
          </w:rPr>
          <w:t>1445</w:t>
        </w:r>
        <w:r>
          <w:rPr>
            <w:noProof/>
            <w:webHidden/>
          </w:rPr>
          <w:fldChar w:fldCharType="end"/>
        </w:r>
      </w:hyperlink>
    </w:p>
    <w:p>
      <w:pPr>
        <w:pStyle w:val="TOC2"/>
      </w:pPr>
      <w:hyperlink w:anchor="_Toc300001241" w:history="1">
        <w:r>
          <w:rPr>
            <w:noProof/>
          </w:rPr>
          <w:t xml:space="preserve">ANNEX 35-F: COTHROM BALANCED VERIFICATION OPERATING PROTOCOL</w:t>
        </w:r>
        <w:r>
          <w:rPr>
            <w:noProof/>
            <w:webHidden/>
          </w:rPr>
          <w:tab/>
        </w:r>
        <w:r>
          <w:rPr>
            <w:noProof/>
            <w:webHidden/>
          </w:rPr>
          <w:fldChar w:fldCharType="begin"/>
        </w:r>
        <w:r>
          <w:rPr>
            <w:noProof/>
            <w:webHidden/>
          </w:rPr>
          <w:instrText xml:space="preserve"> PAGEREF _Toc300001241 \h </w:instrText>
        </w:r>
        <w:r>
          <w:rPr>
            <w:noProof/>
            <w:webHidden/>
          </w:rPr>
          <w:fldChar w:fldCharType="separate"/>
        </w:r>
        <w:r>
          <w:rPr>
            <w:noProof/>
            <w:webHidden/>
          </w:rPr>
          <w:t>1446</w:t>
        </w:r>
        <w:r>
          <w:rPr>
            <w:noProof/>
            <w:webHidden/>
          </w:rPr>
          <w:fldChar w:fldCharType="end"/>
        </w:r>
      </w:hyperlink>
    </w:p>
    <w:p>
      <w:pPr>
        <w:pStyle w:val="TOC2"/>
      </w:pPr>
      <w:hyperlink w:anchor="_Toc300001242" w:history="1">
        <w:r>
          <w:rPr>
            <w:noProof/>
          </w:rPr>
          <w:t xml:space="preserve">ANNEX 35-D: LEGACY MEASURE WIND-DOWN SCHEDULE</w:t>
        </w:r>
        <w:r>
          <w:rPr>
            <w:noProof/>
            <w:webHidden/>
          </w:rPr>
          <w:tab/>
        </w:r>
        <w:r>
          <w:rPr>
            <w:noProof/>
            <w:webHidden/>
          </w:rPr>
          <w:fldChar w:fldCharType="begin"/>
        </w:r>
        <w:r>
          <w:rPr>
            <w:noProof/>
            <w:webHidden/>
          </w:rPr>
          <w:instrText xml:space="preserve"> PAGEREF _Toc300001242 \h </w:instrText>
        </w:r>
        <w:r>
          <w:rPr>
            <w:noProof/>
            <w:webHidden/>
          </w:rPr>
          <w:fldChar w:fldCharType="separate"/>
        </w:r>
        <w:r>
          <w:rPr>
            <w:noProof/>
            <w:webHidden/>
          </w:rPr>
          <w:t>1447</w:t>
        </w:r>
        <w:r>
          <w:rPr>
            <w:noProof/>
            <w:webHidden/>
          </w:rPr>
          <w:fldChar w:fldCharType="end"/>
        </w:r>
      </w:hyperlink>
    </w:p>
    <w:p>
      <w:pPr>
        <w:pStyle w:val="TOC2"/>
      </w:pPr>
      <w:hyperlink w:anchor="_Toc300001243" w:history="1">
        <w:r>
          <w:rPr>
            <w:noProof/>
          </w:rPr>
          <w:t xml:space="preserve">ANNEX 35-D.1: PRINCIPAL-LEVEL TARIFF LANDING OPTIONS</w:t>
        </w:r>
        <w:r>
          <w:rPr>
            <w:noProof/>
            <w:webHidden/>
          </w:rPr>
          <w:tab/>
        </w:r>
        <w:r>
          <w:rPr>
            <w:noProof/>
            <w:webHidden/>
          </w:rPr>
          <w:fldChar w:fldCharType="begin"/>
        </w:r>
        <w:r>
          <w:rPr>
            <w:noProof/>
            <w:webHidden/>
          </w:rPr>
          <w:instrText xml:space="preserve"> PAGEREF _Toc300001243 \h </w:instrText>
        </w:r>
        <w:r>
          <w:rPr>
            <w:noProof/>
            <w:webHidden/>
          </w:rPr>
          <w:fldChar w:fldCharType="separate"/>
        </w:r>
        <w:r>
          <w:rPr>
            <w:noProof/>
            <w:webHidden/>
          </w:rPr>
          <w:t>1448</w:t>
        </w:r>
        <w:r>
          <w:rPr>
            <w:noProof/>
            <w:webHidden/>
          </w:rPr>
          <w:fldChar w:fldCharType="end"/>
        </w:r>
      </w:hyperlink>
    </w:p>
    <w:p>
      <w:pPr>
        <w:pStyle w:val="TOC2"/>
      </w:pPr>
      <w:hyperlink w:anchor="_Toc300001244" w:history="1">
        <w:r>
          <w:rPr>
            <w:noProof/>
          </w:rPr>
          <w:t xml:space="preserve">ANNEX 35-E: MARKET-ACCESS CREDITS (OPTIONAL INSTRUMENT)</w:t>
        </w:r>
        <w:r>
          <w:rPr>
            <w:noProof/>
            <w:webHidden/>
          </w:rPr>
          <w:tab/>
        </w:r>
        <w:r>
          <w:rPr>
            <w:noProof/>
            <w:webHidden/>
          </w:rPr>
          <w:fldChar w:fldCharType="begin"/>
        </w:r>
        <w:r>
          <w:rPr>
            <w:noProof/>
            <w:webHidden/>
          </w:rPr>
          <w:instrText xml:space="preserve"> PAGEREF _Toc300001244 \h </w:instrText>
        </w:r>
        <w:r>
          <w:rPr>
            <w:noProof/>
            <w:webHidden/>
          </w:rPr>
          <w:fldChar w:fldCharType="separate"/>
        </w:r>
        <w:r>
          <w:rPr>
            <w:noProof/>
            <w:webHidden/>
          </w:rPr>
          <w:t>1449</w:t>
        </w:r>
        <w:r>
          <w:rPr>
            <w:noProof/>
            <w:webHidden/>
          </w:rPr>
          <w:fldChar w:fldCharType="end"/>
        </w:r>
      </w:hyperlink>
    </w:p>
    <w:p>
      <w:pPr>
        <w:pStyle w:val="TOC2"/>
      </w:pPr>
      <w:hyperlink w:anchor="_Toc300001245" w:history="1">
        <w:r>
          <w:rPr>
            <w:noProof/>
          </w:rPr>
          <w:t xml:space="preserve">Article 35.3D: Binding Effect of Tariff Suspensions</w:t>
        </w:r>
        <w:r>
          <w:rPr>
            <w:noProof/>
            <w:webHidden/>
          </w:rPr>
          <w:tab/>
        </w:r>
        <w:r>
          <w:rPr>
            <w:noProof/>
            <w:webHidden/>
          </w:rPr>
          <w:fldChar w:fldCharType="begin"/>
        </w:r>
        <w:r>
          <w:rPr>
            <w:noProof/>
            <w:webHidden/>
          </w:rPr>
          <w:instrText xml:space="preserve"> PAGEREF _Toc300001245 \h </w:instrText>
        </w:r>
        <w:r>
          <w:rPr>
            <w:noProof/>
            <w:webHidden/>
          </w:rPr>
          <w:fldChar w:fldCharType="separate"/>
        </w:r>
        <w:r>
          <w:rPr>
            <w:noProof/>
            <w:webHidden/>
          </w:rPr>
          <w:t>1450</w:t>
        </w:r>
        <w:r>
          <w:rPr>
            <w:noProof/>
            <w:webHidden/>
          </w:rPr>
          <w:fldChar w:fldCharType="end"/>
        </w:r>
      </w:hyperlink>
    </w:p>
    <w:p>
      <w:pPr>
        <w:pStyle w:val="TOC2"/>
      </w:pPr>
      <w:hyperlink w:anchor="_Toc300001246" w:history="1">
        <w:r>
          <w:rPr>
            <w:noProof/>
          </w:rPr>
          <w:t xml:space="preserve">Article 35.3B: Negotiation-Pause Continuity Protocol</w:t>
        </w:r>
        <w:r>
          <w:rPr>
            <w:noProof/>
            <w:webHidden/>
          </w:rPr>
          <w:tab/>
        </w:r>
        <w:r>
          <w:rPr>
            <w:noProof/>
            <w:webHidden/>
          </w:rPr>
          <w:fldChar w:fldCharType="begin"/>
        </w:r>
        <w:r>
          <w:rPr>
            <w:noProof/>
            <w:webHidden/>
          </w:rPr>
          <w:instrText xml:space="preserve"> PAGEREF _Toc300001246 \h </w:instrText>
        </w:r>
        <w:r>
          <w:rPr>
            <w:noProof/>
            <w:webHidden/>
          </w:rPr>
          <w:fldChar w:fldCharType="separate"/>
        </w:r>
        <w:r>
          <w:rPr>
            <w:noProof/>
            <w:webHidden/>
          </w:rPr>
          <w:t>1450</w:t>
        </w:r>
        <w:r>
          <w:rPr>
            <w:noProof/>
            <w:webHidden/>
          </w:rPr>
          <w:fldChar w:fldCharType="end"/>
        </w:r>
      </w:hyperlink>
    </w:p>
    <w:p>
      <w:pPr>
        <w:pStyle w:val="TOC2"/>
      </w:pPr>
      <w:hyperlink w:anchor="_Toc300001247" w:history="1">
        <w:r>
          <w:rPr>
            <w:noProof/>
          </w:rPr>
          <w:t xml:space="preserve">Article 35.3C: Interim Legal-Text Finalization Protection</w:t>
        </w:r>
        <w:r>
          <w:rPr>
            <w:noProof/>
            <w:webHidden/>
          </w:rPr>
          <w:tab/>
        </w:r>
        <w:r>
          <w:rPr>
            <w:noProof/>
            <w:webHidden/>
          </w:rPr>
          <w:fldChar w:fldCharType="begin"/>
        </w:r>
        <w:r>
          <w:rPr>
            <w:noProof/>
            <w:webHidden/>
          </w:rPr>
          <w:instrText xml:space="preserve"> PAGEREF _Toc300001247 \h </w:instrText>
        </w:r>
        <w:r>
          <w:rPr>
            <w:noProof/>
            <w:webHidden/>
          </w:rPr>
          <w:fldChar w:fldCharType="separate"/>
        </w:r>
        <w:r>
          <w:rPr>
            <w:noProof/>
            <w:webHidden/>
          </w:rPr>
          <w:t>1450</w:t>
        </w:r>
        <w:r>
          <w:rPr>
            <w:noProof/>
            <w:webHidden/>
          </w:rPr>
          <w:fldChar w:fldCharType="end"/>
        </w:r>
      </w:hyperlink>
    </w:p>
    <w:p>
      <w:pPr>
        <w:pStyle w:val="TOC2"/>
      </w:pPr>
      <w:hyperlink w:anchor="_Toc300001248" w:history="1">
        <w:r>
          <w:rPr>
            <w:noProof/>
          </w:rPr>
          <w:t xml:space="preserve">Article 35.11A: Screening Indicator Safe Harbor</w:t>
        </w:r>
        <w:r>
          <w:rPr>
            <w:noProof/>
            <w:webHidden/>
          </w:rPr>
          <w:tab/>
        </w:r>
        <w:r>
          <w:rPr>
            <w:noProof/>
            <w:webHidden/>
          </w:rPr>
          <w:fldChar w:fldCharType="begin"/>
        </w:r>
        <w:r>
          <w:rPr>
            <w:noProof/>
            <w:webHidden/>
          </w:rPr>
          <w:instrText xml:space="preserve"> PAGEREF _Toc300001248 \h </w:instrText>
        </w:r>
        <w:r>
          <w:rPr>
            <w:noProof/>
            <w:webHidden/>
          </w:rPr>
          <w:fldChar w:fldCharType="separate"/>
        </w:r>
        <w:r>
          <w:rPr>
            <w:noProof/>
            <w:webHidden/>
          </w:rPr>
          <w:t>1450</w:t>
        </w:r>
        <w:r>
          <w:rPr>
            <w:noProof/>
            <w:webHidden/>
          </w:rPr>
          <w:fldChar w:fldCharType="end"/>
        </w:r>
      </w:hyperlink>
    </w:p>
    <w:p>
      <w:pPr>
        <w:pStyle w:val="TOC2"/>
      </w:pPr>
      <w:hyperlink w:anchor="_Toc300001249" w:history="1">
        <w:r>
          <w:rPr>
            <w:noProof/>
          </w:rPr>
          <w:t xml:space="preserve">Article 35.29A: Review Is Modernization, Not Renewal</w:t>
        </w:r>
        <w:r>
          <w:rPr>
            <w:noProof/>
            <w:webHidden/>
          </w:rPr>
          <w:tab/>
        </w:r>
        <w:r>
          <w:rPr>
            <w:noProof/>
            <w:webHidden/>
          </w:rPr>
          <w:fldChar w:fldCharType="begin"/>
        </w:r>
        <w:r>
          <w:rPr>
            <w:noProof/>
            <w:webHidden/>
          </w:rPr>
          <w:instrText xml:space="preserve"> PAGEREF _Toc300001249 \h </w:instrText>
        </w:r>
        <w:r>
          <w:rPr>
            <w:noProof/>
            <w:webHidden/>
          </w:rPr>
          <w:fldChar w:fldCharType="separate"/>
        </w:r>
        <w:r>
          <w:rPr>
            <w:noProof/>
            <w:webHidden/>
          </w:rPr>
          <w:t>1451</w:t>
        </w:r>
        <w:r>
          <w:rPr>
            <w:noProof/>
            <w:webHidden/>
          </w:rPr>
          <w:fldChar w:fldCharType="end"/>
        </w:r>
      </w:hyperlink>
    </w:p>
    <w:p>
      <w:pPr>
        <w:pStyle w:val="TOC2"/>
      </w:pPr>
      <w:hyperlink w:anchor="_Toc300001250" w:history="1">
        <w:r>
          <w:rPr>
            <w:noProof/>
          </w:rPr>
          <w:t xml:space="preserve">Article 35.30A: Good Faith and Non-Weaponization of Covered Border Measures</w:t>
        </w:r>
        <w:r>
          <w:rPr>
            <w:noProof/>
            <w:webHidden/>
          </w:rPr>
          <w:tab/>
        </w:r>
        <w:r>
          <w:rPr>
            <w:noProof/>
            <w:webHidden/>
          </w:rPr>
          <w:fldChar w:fldCharType="begin"/>
        </w:r>
        <w:r>
          <w:rPr>
            <w:noProof/>
            <w:webHidden/>
          </w:rPr>
          <w:instrText xml:space="preserve"> PAGEREF _Toc300001250 \h </w:instrText>
        </w:r>
        <w:r>
          <w:rPr>
            <w:noProof/>
            <w:webHidden/>
          </w:rPr>
          <w:fldChar w:fldCharType="separate"/>
        </w:r>
        <w:r>
          <w:rPr>
            <w:noProof/>
            <w:webHidden/>
          </w:rPr>
          <w:t>1451</w:t>
        </w:r>
        <w:r>
          <w:rPr>
            <w:noProof/>
            <w:webHidden/>
          </w:rPr>
          <w:fldChar w:fldCharType="end"/>
        </w:r>
      </w:hyperlink>
    </w:p>
    <w:p>
      <w:pPr>
        <w:pStyle w:val="TOC2"/>
      </w:pPr>
      <w:hyperlink w:anchor="_Toc300001251" w:history="1">
        <w:r>
          <w:rPr>
            <w:noProof/>
          </w:rPr>
          <w:t xml:space="preserve">Article 35.30B: North American Trilateral Anti-Fragmentation Protocol</w:t>
        </w:r>
        <w:r>
          <w:rPr>
            <w:noProof/>
            <w:webHidden/>
          </w:rPr>
          <w:tab/>
        </w:r>
        <w:r>
          <w:rPr>
            <w:noProof/>
            <w:webHidden/>
          </w:rPr>
          <w:fldChar w:fldCharType="begin"/>
        </w:r>
        <w:r>
          <w:rPr>
            <w:noProof/>
            <w:webHidden/>
          </w:rPr>
          <w:instrText xml:space="preserve"> PAGEREF _Toc300001251 \h </w:instrText>
        </w:r>
        <w:r>
          <w:rPr>
            <w:noProof/>
            <w:webHidden/>
          </w:rPr>
          <w:fldChar w:fldCharType="separate"/>
        </w:r>
        <w:r>
          <w:rPr>
            <w:noProof/>
            <w:webHidden/>
          </w:rPr>
          <w:t>1451</w:t>
        </w:r>
        <w:r>
          <w:rPr>
            <w:noProof/>
            <w:webHidden/>
          </w:rPr>
          <w:fldChar w:fldCharType="end"/>
        </w:r>
      </w:hyperlink>
    </w:p>
    <w:p>
      <w:pPr>
        <w:pStyle w:val="TOC2"/>
      </w:pPr>
      <w:hyperlink w:anchor="_Toc300001252" w:history="1">
        <w:r>
          <w:rPr>
            <w:noProof/>
          </w:rPr>
          <w:t xml:space="preserve">Article 35.33: Permanent Continental Zero-Tariff Presumption</w:t>
        </w:r>
        <w:r>
          <w:rPr>
            <w:noProof/>
            <w:webHidden/>
          </w:rPr>
          <w:tab/>
        </w:r>
        <w:r>
          <w:rPr>
            <w:noProof/>
            <w:webHidden/>
          </w:rPr>
          <w:fldChar w:fldCharType="begin"/>
        </w:r>
        <w:r>
          <w:rPr>
            <w:noProof/>
            <w:webHidden/>
          </w:rPr>
          <w:instrText xml:space="preserve"> PAGEREF _Toc300001252 \h </w:instrText>
        </w:r>
        <w:r>
          <w:rPr>
            <w:noProof/>
            <w:webHidden/>
          </w:rPr>
          <w:fldChar w:fldCharType="separate"/>
        </w:r>
        <w:r>
          <w:rPr>
            <w:noProof/>
            <w:webHidden/>
          </w:rPr>
          <w:t>1453</w:t>
        </w:r>
        <w:r>
          <w:rPr>
            <w:noProof/>
            <w:webHidden/>
          </w:rPr>
          <w:fldChar w:fldCharType="end"/>
        </w:r>
      </w:hyperlink>
    </w:p>
    <w:p>
      <w:pPr>
        <w:pStyle w:val="TOC2"/>
      </w:pPr>
      <w:hyperlink w:anchor="_Toc300001253" w:history="1">
        <w:r>
          <w:rPr>
            <w:noProof/>
          </w:rPr>
          <w:t xml:space="preserve">Article 35.34: Corrective Tariff Budget and Six-Month Lockout</w:t>
        </w:r>
        <w:r>
          <w:rPr>
            <w:noProof/>
            <w:webHidden/>
          </w:rPr>
          <w:tab/>
        </w:r>
        <w:r>
          <w:rPr>
            <w:noProof/>
            <w:webHidden/>
          </w:rPr>
          <w:fldChar w:fldCharType="begin"/>
        </w:r>
        <w:r>
          <w:rPr>
            <w:noProof/>
            <w:webHidden/>
          </w:rPr>
          <w:instrText xml:space="preserve"> PAGEREF _Toc300001253 \h </w:instrText>
        </w:r>
        <w:r>
          <w:rPr>
            <w:noProof/>
            <w:webHidden/>
          </w:rPr>
          <w:fldChar w:fldCharType="separate"/>
        </w:r>
        <w:r>
          <w:rPr>
            <w:noProof/>
            <w:webHidden/>
          </w:rPr>
          <w:t>1453</w:t>
        </w:r>
        <w:r>
          <w:rPr>
            <w:noProof/>
            <w:webHidden/>
          </w:rPr>
          <w:fldChar w:fldCharType="end"/>
        </w:r>
      </w:hyperlink>
    </w:p>
    <w:p>
      <w:pPr>
        <w:pStyle w:val="TOC2"/>
      </w:pPr>
      <w:hyperlink w:anchor="_Toc300001254" w:history="1">
        <w:r>
          <w:rPr>
            <w:noProof/>
          </w:rPr>
          <w:t xml:space="preserve">Article 35.35: Humanitarian Tariff Firewall</w:t>
        </w:r>
        <w:r>
          <w:rPr>
            <w:noProof/>
            <w:webHidden/>
          </w:rPr>
          <w:tab/>
        </w:r>
        <w:r>
          <w:rPr>
            <w:noProof/>
            <w:webHidden/>
          </w:rPr>
          <w:fldChar w:fldCharType="begin"/>
        </w:r>
        <w:r>
          <w:rPr>
            <w:noProof/>
            <w:webHidden/>
          </w:rPr>
          <w:instrText xml:space="preserve"> PAGEREF _Toc300001254 \h </w:instrText>
        </w:r>
        <w:r>
          <w:rPr>
            <w:noProof/>
            <w:webHidden/>
          </w:rPr>
          <w:fldChar w:fldCharType="separate"/>
        </w:r>
        <w:r>
          <w:rPr>
            <w:noProof/>
            <w:webHidden/>
          </w:rPr>
          <w:t>1454</w:t>
        </w:r>
        <w:r>
          <w:rPr>
            <w:noProof/>
            <w:webHidden/>
          </w:rPr>
          <w:fldChar w:fldCharType="end"/>
        </w:r>
      </w:hyperlink>
    </w:p>
    <w:p>
      <w:pPr>
        <w:pStyle w:val="TOC1"/>
      </w:pPr>
      <w:hyperlink w:anchor="_Toc300001255" w:history="1">
        <w:r>
          <w:rPr>
            <w:noProof/>
          </w:rPr>
          <w:t xml:space="preserve">ANNEX 35-K: STRATEGIC-SECTOR TARIFF NORMALIZATION AND SYNCHRONIZED STAND-DOWN PROTOCOL</w:t>
        </w:r>
        <w:r>
          <w:rPr>
            <w:noProof/>
            <w:webHidden/>
          </w:rPr>
          <w:tab/>
        </w:r>
        <w:r>
          <w:rPr>
            <w:noProof/>
            <w:webHidden/>
          </w:rPr>
          <w:fldChar w:fldCharType="begin"/>
        </w:r>
        <w:r>
          <w:rPr>
            <w:noProof/>
            <w:webHidden/>
          </w:rPr>
          <w:instrText xml:space="preserve"> PAGEREF _Toc300001255 \h </w:instrText>
        </w:r>
        <w:r>
          <w:rPr>
            <w:noProof/>
            <w:webHidden/>
          </w:rPr>
          <w:fldChar w:fldCharType="separate"/>
        </w:r>
        <w:r>
          <w:rPr>
            <w:noProof/>
            <w:webHidden/>
          </w:rPr>
          <w:t>1456</w:t>
        </w:r>
        <w:r>
          <w:rPr>
            <w:noProof/>
            <w:webHidden/>
          </w:rPr>
          <w:fldChar w:fldCharType="end"/>
        </w:r>
      </w:hyperlink>
    </w:p>
    <w:p>
      <w:pPr>
        <w:pStyle w:val="TOC2"/>
      </w:pPr>
      <w:hyperlink w:anchor="_Toc300001256" w:history="1">
        <w:r>
          <w:rPr>
            <w:noProof/>
          </w:rPr>
          <w:t xml:space="preserve">FS-01.1: Purpose, Scope, and Legal Relationship</w:t>
        </w:r>
        <w:r>
          <w:rPr>
            <w:noProof/>
            <w:webHidden/>
          </w:rPr>
          <w:tab/>
        </w:r>
        <w:r>
          <w:rPr>
            <w:noProof/>
            <w:webHidden/>
          </w:rPr>
          <w:fldChar w:fldCharType="begin"/>
        </w:r>
        <w:r>
          <w:rPr>
            <w:noProof/>
            <w:webHidden/>
          </w:rPr>
          <w:instrText xml:space="preserve"> PAGEREF _Toc300001256 \h </w:instrText>
        </w:r>
        <w:r>
          <w:rPr>
            <w:noProof/>
            <w:webHidden/>
          </w:rPr>
          <w:fldChar w:fldCharType="separate"/>
        </w:r>
        <w:r>
          <w:rPr>
            <w:noProof/>
            <w:webHidden/>
          </w:rPr>
          <w:t>1456</w:t>
        </w:r>
        <w:r>
          <w:rPr>
            <w:noProof/>
            <w:webHidden/>
          </w:rPr>
          <w:fldChar w:fldCharType="end"/>
        </w:r>
      </w:hyperlink>
    </w:p>
    <w:p>
      <w:pPr>
        <w:pStyle w:val="TOC2"/>
      </w:pPr>
      <w:hyperlink w:anchor="_Toc300001257" w:history="1">
        <w:r>
          <w:rPr>
            <w:noProof/>
          </w:rPr>
          <w:t xml:space="preserve">FS-01.2: Covered Measures and Synchronized Readiness</w:t>
        </w:r>
        <w:r>
          <w:rPr>
            <w:noProof/>
            <w:webHidden/>
          </w:rPr>
          <w:tab/>
        </w:r>
        <w:r>
          <w:rPr>
            <w:noProof/>
            <w:webHidden/>
          </w:rPr>
          <w:fldChar w:fldCharType="begin"/>
        </w:r>
        <w:r>
          <w:rPr>
            <w:noProof/>
            <w:webHidden/>
          </w:rPr>
          <w:instrText xml:space="preserve"> PAGEREF _Toc300001257 \h </w:instrText>
        </w:r>
        <w:r>
          <w:rPr>
            <w:noProof/>
            <w:webHidden/>
          </w:rPr>
          <w:fldChar w:fldCharType="separate"/>
        </w:r>
        <w:r>
          <w:rPr>
            <w:noProof/>
            <w:webHidden/>
          </w:rPr>
          <w:t>1458</w:t>
        </w:r>
        <w:r>
          <w:rPr>
            <w:noProof/>
            <w:webHidden/>
          </w:rPr>
          <w:fldChar w:fldCharType="end"/>
        </w:r>
      </w:hyperlink>
    </w:p>
    <w:p>
      <w:pPr>
        <w:pStyle w:val="TOC2"/>
      </w:pPr>
      <w:hyperlink w:anchor="_Toc300001258" w:history="1">
        <w:r>
          <w:rPr>
            <w:noProof/>
          </w:rPr>
          <w:t xml:space="preserve">FS-01.3: Normalization Sequence and Treatment</w:t>
        </w:r>
        <w:r>
          <w:rPr>
            <w:noProof/>
            <w:webHidden/>
          </w:rPr>
          <w:tab/>
        </w:r>
        <w:r>
          <w:rPr>
            <w:noProof/>
            <w:webHidden/>
          </w:rPr>
          <w:fldChar w:fldCharType="begin"/>
        </w:r>
        <w:r>
          <w:rPr>
            <w:noProof/>
            <w:webHidden/>
          </w:rPr>
          <w:instrText xml:space="preserve"> PAGEREF _Toc300001258 \h </w:instrText>
        </w:r>
        <w:r>
          <w:rPr>
            <w:noProof/>
            <w:webHidden/>
          </w:rPr>
          <w:fldChar w:fldCharType="separate"/>
        </w:r>
        <w:r>
          <w:rPr>
            <w:noProof/>
            <w:webHidden/>
          </w:rPr>
          <w:t>1459</w:t>
        </w:r>
        <w:r>
          <w:rPr>
            <w:noProof/>
            <w:webHidden/>
          </w:rPr>
          <w:fldChar w:fldCharType="end"/>
        </w:r>
      </w:hyperlink>
    </w:p>
    <w:p>
      <w:pPr>
        <w:pStyle w:val="TOC2"/>
      </w:pPr>
      <w:hyperlink w:anchor="_Toc300001259" w:history="1">
        <w:r>
          <w:rPr>
            <w:noProof/>
          </w:rPr>
          <w:t xml:space="preserve">FS-01.4: Verification, Fraud Containment, and Continuity</w:t>
        </w:r>
        <w:r>
          <w:rPr>
            <w:noProof/>
            <w:webHidden/>
          </w:rPr>
          <w:tab/>
        </w:r>
        <w:r>
          <w:rPr>
            <w:noProof/>
            <w:webHidden/>
          </w:rPr>
          <w:fldChar w:fldCharType="begin"/>
        </w:r>
        <w:r>
          <w:rPr>
            <w:noProof/>
            <w:webHidden/>
          </w:rPr>
          <w:instrText xml:space="preserve"> PAGEREF _Toc300001259 \h </w:instrText>
        </w:r>
        <w:r>
          <w:rPr>
            <w:noProof/>
            <w:webHidden/>
          </w:rPr>
          <w:fldChar w:fldCharType="separate"/>
        </w:r>
        <w:r>
          <w:rPr>
            <w:noProof/>
            <w:webHidden/>
          </w:rPr>
          <w:t>1461</w:t>
        </w:r>
        <w:r>
          <w:rPr>
            <w:noProof/>
            <w:webHidden/>
          </w:rPr>
          <w:fldChar w:fldCharType="end"/>
        </w:r>
      </w:hyperlink>
    </w:p>
    <w:p>
      <w:pPr>
        <w:pStyle w:val="TOC2"/>
      </w:pPr>
      <w:hyperlink w:anchor="_Toc300001260" w:history="1">
        <w:r>
          <w:rPr>
            <w:noProof/>
          </w:rPr>
          <w:t xml:space="preserve">FS-01.5: Exceptional Measures, Anti-Revival, and Restoration</w:t>
        </w:r>
        <w:r>
          <w:rPr>
            <w:noProof/>
            <w:webHidden/>
          </w:rPr>
          <w:tab/>
        </w:r>
        <w:r>
          <w:rPr>
            <w:noProof/>
            <w:webHidden/>
          </w:rPr>
          <w:fldChar w:fldCharType="begin"/>
        </w:r>
        <w:r>
          <w:rPr>
            <w:noProof/>
            <w:webHidden/>
          </w:rPr>
          <w:instrText xml:space="preserve"> PAGEREF _Toc300001260 \h </w:instrText>
        </w:r>
        <w:r>
          <w:rPr>
            <w:noProof/>
            <w:webHidden/>
          </w:rPr>
          <w:fldChar w:fldCharType="separate"/>
        </w:r>
        <w:r>
          <w:rPr>
            <w:noProof/>
            <w:webHidden/>
          </w:rPr>
          <w:t>1462</w:t>
        </w:r>
        <w:r>
          <w:rPr>
            <w:noProof/>
            <w:webHidden/>
          </w:rPr>
          <w:fldChar w:fldCharType="end"/>
        </w:r>
      </w:hyperlink>
    </w:p>
    <w:p>
      <w:pPr>
        <w:pStyle w:val="TOC2"/>
      </w:pPr>
      <w:hyperlink w:anchor="_Toc300001261" w:history="1">
        <w:r>
          <w:rPr>
            <w:noProof/>
          </w:rPr>
          <w:t xml:space="preserve">FS-01.6: Certification, Closure, and Administration</w:t>
        </w:r>
        <w:r>
          <w:rPr>
            <w:noProof/>
            <w:webHidden/>
          </w:rPr>
          <w:tab/>
        </w:r>
        <w:r>
          <w:rPr>
            <w:noProof/>
            <w:webHidden/>
          </w:rPr>
          <w:fldChar w:fldCharType="begin"/>
        </w:r>
        <w:r>
          <w:rPr>
            <w:noProof/>
            <w:webHidden/>
          </w:rPr>
          <w:instrText xml:space="preserve"> PAGEREF _Toc300001261 \h </w:instrText>
        </w:r>
        <w:r>
          <w:rPr>
            <w:noProof/>
            <w:webHidden/>
          </w:rPr>
          <w:fldChar w:fldCharType="separate"/>
        </w:r>
        <w:r>
          <w:rPr>
            <w:noProof/>
            <w:webHidden/>
          </w:rPr>
          <w:t>1464</w:t>
        </w:r>
        <w:r>
          <w:rPr>
            <w:noProof/>
            <w:webHidden/>
          </w:rPr>
          <w:fldChar w:fldCharType="end"/>
        </w:r>
      </w:hyperlink>
    </w:p>
    <w:p>
      <w:pPr>
        <w:pStyle w:val="TOC2"/>
      </w:pPr>
      <w:hyperlink w:anchor="_Toc300001262" w:history="1">
        <w:r>
          <w:rPr>
            <w:noProof/>
          </w:rPr>
          <w:t xml:space="preserve">SCHEDULE FS-01-A: Covered Measures, Landing Options, Verification Milestones, and Post-Normalization Treatment, DEVELOPMENT TEMPLATE: NON-OPERATIVE UNTIL ADOPTED</w:t>
        </w:r>
        <w:r>
          <w:rPr>
            <w:noProof/>
            <w:webHidden/>
          </w:rPr>
          <w:tab/>
        </w:r>
        <w:r>
          <w:rPr>
            <w:noProof/>
            <w:webHidden/>
          </w:rPr>
          <w:fldChar w:fldCharType="begin"/>
        </w:r>
        <w:r>
          <w:rPr>
            <w:noProof/>
            <w:webHidden/>
          </w:rPr>
          <w:instrText xml:space="preserve"> PAGEREF _Toc300001262 \h </w:instrText>
        </w:r>
        <w:r>
          <w:rPr>
            <w:noProof/>
            <w:webHidden/>
          </w:rPr>
          <w:fldChar w:fldCharType="separate"/>
        </w:r>
        <w:r>
          <w:rPr>
            <w:noProof/>
            <w:webHidden/>
          </w:rPr>
          <w:t>1466</w:t>
        </w:r>
        <w:r>
          <w:rPr>
            <w:noProof/>
            <w:webHidden/>
          </w:rPr>
          <w:fldChar w:fldCharType="end"/>
        </w:r>
      </w:hyperlink>
    </w:p>
    <w:p>
      <w:pPr>
        <w:pStyle w:val="TOC2"/>
      </w:pPr>
      <w:hyperlink w:anchor="_Toc300001263" w:history="1">
        <w:r>
          <w:rPr>
            <w:noProof/>
          </w:rPr>
          <w:t xml:space="preserve">FS-01-A.1: Required Adopted-Schedule Data</w:t>
        </w:r>
        <w:r>
          <w:rPr>
            <w:noProof/>
            <w:webHidden/>
          </w:rPr>
          <w:tab/>
        </w:r>
        <w:r>
          <w:rPr>
            <w:noProof/>
            <w:webHidden/>
          </w:rPr>
          <w:fldChar w:fldCharType="begin"/>
        </w:r>
        <w:r>
          <w:rPr>
            <w:noProof/>
            <w:webHidden/>
          </w:rPr>
          <w:instrText xml:space="preserve"> PAGEREF _Toc300001263 \h </w:instrText>
        </w:r>
        <w:r>
          <w:rPr>
            <w:noProof/>
            <w:webHidden/>
          </w:rPr>
          <w:fldChar w:fldCharType="separate"/>
        </w:r>
        <w:r>
          <w:rPr>
            <w:noProof/>
            <w:webHidden/>
          </w:rPr>
          <w:t>1468</w:t>
        </w:r>
        <w:r>
          <w:rPr>
            <w:noProof/>
            <w:webHidden/>
          </w:rPr>
          <w:fldChar w:fldCharType="end"/>
        </w:r>
      </w:hyperlink>
    </w:p>
    <w:p>
      <w:pPr>
        <w:pStyle w:val="TOC2"/>
      </w:pPr>
      <w:hyperlink w:anchor="_Toc300001264" w:history="1">
        <w:r>
          <w:rPr>
            <w:noProof/>
          </w:rPr>
          <w:t xml:space="preserve">FS-01-A.2: DEVELOPMENT RED LIGHTS, NON-OPERATIVE DRAFTING CONTROLS</w:t>
        </w:r>
        <w:r>
          <w:rPr>
            <w:noProof/>
            <w:webHidden/>
          </w:rPr>
          <w:tab/>
        </w:r>
        <w:r>
          <w:rPr>
            <w:noProof/>
            <w:webHidden/>
          </w:rPr>
          <w:fldChar w:fldCharType="begin"/>
        </w:r>
        <w:r>
          <w:rPr>
            <w:noProof/>
            <w:webHidden/>
          </w:rPr>
          <w:instrText xml:space="preserve"> PAGEREF _Toc300001264 \h </w:instrText>
        </w:r>
        <w:r>
          <w:rPr>
            <w:noProof/>
            <w:webHidden/>
          </w:rPr>
          <w:fldChar w:fldCharType="separate"/>
        </w:r>
        <w:r>
          <w:rPr>
            <w:noProof/>
            <w:webHidden/>
          </w:rPr>
          <w:t>1468</w:t>
        </w:r>
        <w:r>
          <w:rPr>
            <w:noProof/>
            <w:webHidden/>
          </w:rPr>
          <w:fldChar w:fldCharType="end"/>
        </w:r>
      </w:hyperlink>
    </w:p>
    <w:p>
      <w:pPr>
        <w:pStyle w:val="TOC1"/>
      </w:pPr>
      <w:hyperlink w:anchor="_Toc300001265" w:history="1">
        <w:r>
          <w:rPr>
            <w:noProof/>
          </w:rPr>
          <w:t xml:space="preserve">CHAPTER 36 NORTH AMERICAN ECONOMIC SECURITY AND SUPPLY CHAIN RESILIENCE</w:t>
        </w:r>
        <w:r>
          <w:rPr>
            <w:noProof/>
            <w:webHidden/>
          </w:rPr>
          <w:tab/>
        </w:r>
        <w:r>
          <w:rPr>
            <w:noProof/>
            <w:webHidden/>
          </w:rPr>
          <w:fldChar w:fldCharType="begin"/>
        </w:r>
        <w:r>
          <w:rPr>
            <w:noProof/>
            <w:webHidden/>
          </w:rPr>
          <w:instrText xml:space="preserve"> PAGEREF _Toc300001265 \h </w:instrText>
        </w:r>
        <w:r>
          <w:rPr>
            <w:noProof/>
            <w:webHidden/>
          </w:rPr>
          <w:fldChar w:fldCharType="separate"/>
        </w:r>
        <w:r>
          <w:rPr>
            <w:noProof/>
            <w:webHidden/>
          </w:rPr>
          <w:t>1470</w:t>
        </w:r>
        <w:r>
          <w:rPr>
            <w:noProof/>
            <w:webHidden/>
          </w:rPr>
          <w:fldChar w:fldCharType="end"/>
        </w:r>
      </w:hyperlink>
    </w:p>
    <w:p>
      <w:pPr>
        <w:pStyle w:val="TOC2"/>
      </w:pPr>
      <w:hyperlink w:anchor="_Toc300001266" w:history="1">
        <w:r>
          <w:rPr>
            <w:noProof/>
          </w:rPr>
          <w:t xml:space="preserve">Article 36.1: Purpose and Concept</w:t>
        </w:r>
        <w:r>
          <w:rPr>
            <w:noProof/>
            <w:webHidden/>
          </w:rPr>
          <w:tab/>
        </w:r>
        <w:r>
          <w:rPr>
            <w:noProof/>
            <w:webHidden/>
          </w:rPr>
          <w:fldChar w:fldCharType="begin"/>
        </w:r>
        <w:r>
          <w:rPr>
            <w:noProof/>
            <w:webHidden/>
          </w:rPr>
          <w:instrText xml:space="preserve"> PAGEREF _Toc300001266 \h </w:instrText>
        </w:r>
        <w:r>
          <w:rPr>
            <w:noProof/>
            <w:webHidden/>
          </w:rPr>
          <w:fldChar w:fldCharType="separate"/>
        </w:r>
        <w:r>
          <w:rPr>
            <w:noProof/>
            <w:webHidden/>
          </w:rPr>
          <w:t>1470</w:t>
        </w:r>
        <w:r>
          <w:rPr>
            <w:noProof/>
            <w:webHidden/>
          </w:rPr>
          <w:fldChar w:fldCharType="end"/>
        </w:r>
      </w:hyperlink>
    </w:p>
    <w:p>
      <w:pPr>
        <w:pStyle w:val="TOC2"/>
      </w:pPr>
      <w:hyperlink w:anchor="_Toc300001267" w:history="1">
        <w:r>
          <w:rPr>
            <w:noProof/>
          </w:rPr>
          <w:t xml:space="preserve">Article 36.2: Definitions</w:t>
        </w:r>
        <w:r>
          <w:rPr>
            <w:noProof/>
            <w:webHidden/>
          </w:rPr>
          <w:tab/>
        </w:r>
        <w:r>
          <w:rPr>
            <w:noProof/>
            <w:webHidden/>
          </w:rPr>
          <w:fldChar w:fldCharType="begin"/>
        </w:r>
        <w:r>
          <w:rPr>
            <w:noProof/>
            <w:webHidden/>
          </w:rPr>
          <w:instrText xml:space="preserve"> PAGEREF _Toc300001267 \h </w:instrText>
        </w:r>
        <w:r>
          <w:rPr>
            <w:noProof/>
            <w:webHidden/>
          </w:rPr>
          <w:fldChar w:fldCharType="separate"/>
        </w:r>
        <w:r>
          <w:rPr>
            <w:noProof/>
            <w:webHidden/>
          </w:rPr>
          <w:t>1470</w:t>
        </w:r>
        <w:r>
          <w:rPr>
            <w:noProof/>
            <w:webHidden/>
          </w:rPr>
          <w:fldChar w:fldCharType="end"/>
        </w:r>
      </w:hyperlink>
    </w:p>
    <w:p>
      <w:pPr>
        <w:pStyle w:val="TOC2"/>
      </w:pPr>
      <w:hyperlink w:anchor="_Toc300001268" w:history="1">
        <w:r>
          <w:rPr>
            <w:noProof/>
          </w:rPr>
          <w:t xml:space="preserve">Article 36.3: Economic Security and Supply Chain Resilience Subcommittee</w:t>
        </w:r>
        <w:r>
          <w:rPr>
            <w:noProof/>
            <w:webHidden/>
          </w:rPr>
          <w:tab/>
        </w:r>
        <w:r>
          <w:rPr>
            <w:noProof/>
            <w:webHidden/>
          </w:rPr>
          <w:fldChar w:fldCharType="begin"/>
        </w:r>
        <w:r>
          <w:rPr>
            <w:noProof/>
            <w:webHidden/>
          </w:rPr>
          <w:instrText xml:space="preserve"> PAGEREF _Toc300001268 \h </w:instrText>
        </w:r>
        <w:r>
          <w:rPr>
            <w:noProof/>
            <w:webHidden/>
          </w:rPr>
          <w:fldChar w:fldCharType="separate"/>
        </w:r>
        <w:r>
          <w:rPr>
            <w:noProof/>
            <w:webHidden/>
          </w:rPr>
          <w:t>1471</w:t>
        </w:r>
        <w:r>
          <w:rPr>
            <w:noProof/>
            <w:webHidden/>
          </w:rPr>
          <w:fldChar w:fldCharType="end"/>
        </w:r>
      </w:hyperlink>
    </w:p>
    <w:p>
      <w:pPr>
        <w:pStyle w:val="TOC2"/>
      </w:pPr>
      <w:hyperlink w:anchor="_Toc300001269" w:history="1">
        <w:r>
          <w:rPr>
            <w:noProof/>
          </w:rPr>
          <w:t xml:space="preserve">Article 36.4: Designated Strategic Sectors</w:t>
        </w:r>
        <w:r>
          <w:rPr>
            <w:noProof/>
            <w:webHidden/>
          </w:rPr>
          <w:tab/>
        </w:r>
        <w:r>
          <w:rPr>
            <w:noProof/>
            <w:webHidden/>
          </w:rPr>
          <w:fldChar w:fldCharType="begin"/>
        </w:r>
        <w:r>
          <w:rPr>
            <w:noProof/>
            <w:webHidden/>
          </w:rPr>
          <w:instrText xml:space="preserve"> PAGEREF _Toc300001269 \h </w:instrText>
        </w:r>
        <w:r>
          <w:rPr>
            <w:noProof/>
            <w:webHidden/>
          </w:rPr>
          <w:fldChar w:fldCharType="separate"/>
        </w:r>
        <w:r>
          <w:rPr>
            <w:noProof/>
            <w:webHidden/>
          </w:rPr>
          <w:t>1471</w:t>
        </w:r>
        <w:r>
          <w:rPr>
            <w:noProof/>
            <w:webHidden/>
          </w:rPr>
          <w:fldChar w:fldCharType="end"/>
        </w:r>
      </w:hyperlink>
    </w:p>
    <w:p>
      <w:pPr>
        <w:pStyle w:val="TOC2"/>
      </w:pPr>
      <w:hyperlink w:anchor="_Toc300001270" w:history="1">
        <w:r>
          <w:rPr>
            <w:noProof/>
          </w:rPr>
          <w:t xml:space="preserve">Article 36.5: Common External Defense Against Circumvention</w:t>
        </w:r>
        <w:r>
          <w:rPr>
            <w:noProof/>
            <w:webHidden/>
          </w:rPr>
          <w:tab/>
        </w:r>
        <w:r>
          <w:rPr>
            <w:noProof/>
            <w:webHidden/>
          </w:rPr>
          <w:fldChar w:fldCharType="begin"/>
        </w:r>
        <w:r>
          <w:rPr>
            <w:noProof/>
            <w:webHidden/>
          </w:rPr>
          <w:instrText xml:space="preserve"> PAGEREF _Toc300001270 \h </w:instrText>
        </w:r>
        <w:r>
          <w:rPr>
            <w:noProof/>
            <w:webHidden/>
          </w:rPr>
          <w:fldChar w:fldCharType="separate"/>
        </w:r>
        <w:r>
          <w:rPr>
            <w:noProof/>
            <w:webHidden/>
          </w:rPr>
          <w:t>1472</w:t>
        </w:r>
        <w:r>
          <w:rPr>
            <w:noProof/>
            <w:webHidden/>
          </w:rPr>
          <w:fldChar w:fldCharType="end"/>
        </w:r>
      </w:hyperlink>
    </w:p>
    <w:p>
      <w:pPr>
        <w:pStyle w:val="TOC2"/>
      </w:pPr>
      <w:hyperlink w:anchor="_Toc300001271" w:history="1">
        <w:r>
          <w:rPr>
            <w:noProof/>
          </w:rPr>
          <w:t xml:space="preserve">Article 36.6: Trusted North American Origin</w:t>
        </w:r>
        <w:r>
          <w:rPr>
            <w:noProof/>
            <w:webHidden/>
          </w:rPr>
          <w:tab/>
        </w:r>
        <w:r>
          <w:rPr>
            <w:noProof/>
            <w:webHidden/>
          </w:rPr>
          <w:fldChar w:fldCharType="begin"/>
        </w:r>
        <w:r>
          <w:rPr>
            <w:noProof/>
            <w:webHidden/>
          </w:rPr>
          <w:instrText xml:space="preserve"> PAGEREF _Toc300001271 \h </w:instrText>
        </w:r>
        <w:r>
          <w:rPr>
            <w:noProof/>
            <w:webHidden/>
          </w:rPr>
          <w:fldChar w:fldCharType="separate"/>
        </w:r>
        <w:r>
          <w:rPr>
            <w:noProof/>
            <w:webHidden/>
          </w:rPr>
          <w:t>1472</w:t>
        </w:r>
        <w:r>
          <w:rPr>
            <w:noProof/>
            <w:webHidden/>
          </w:rPr>
          <w:fldChar w:fldCharType="end"/>
        </w:r>
      </w:hyperlink>
    </w:p>
    <w:p>
      <w:pPr>
        <w:pStyle w:val="TOC2"/>
      </w:pPr>
      <w:hyperlink w:anchor="_Toc300001272" w:history="1">
        <w:r>
          <w:rPr>
            <w:noProof/>
          </w:rPr>
          <w:t xml:space="preserve">Article 36.7: Non-Market Practices</w:t>
        </w:r>
        <w:r>
          <w:rPr>
            <w:noProof/>
            <w:webHidden/>
          </w:rPr>
          <w:tab/>
        </w:r>
        <w:r>
          <w:rPr>
            <w:noProof/>
            <w:webHidden/>
          </w:rPr>
          <w:fldChar w:fldCharType="begin"/>
        </w:r>
        <w:r>
          <w:rPr>
            <w:noProof/>
            <w:webHidden/>
          </w:rPr>
          <w:instrText xml:space="preserve"> PAGEREF _Toc300001272 \h </w:instrText>
        </w:r>
        <w:r>
          <w:rPr>
            <w:noProof/>
            <w:webHidden/>
          </w:rPr>
          <w:fldChar w:fldCharType="separate"/>
        </w:r>
        <w:r>
          <w:rPr>
            <w:noProof/>
            <w:webHidden/>
          </w:rPr>
          <w:t>1473</w:t>
        </w:r>
        <w:r>
          <w:rPr>
            <w:noProof/>
            <w:webHidden/>
          </w:rPr>
          <w:fldChar w:fldCharType="end"/>
        </w:r>
      </w:hyperlink>
    </w:p>
    <w:p>
      <w:pPr>
        <w:pStyle w:val="TOC2"/>
      </w:pPr>
      <w:hyperlink w:anchor="_Toc300001273" w:history="1">
        <w:r>
          <w:rPr>
            <w:noProof/>
          </w:rPr>
          <w:t xml:space="preserve">Article 36.8: Investment Screening Consultation</w:t>
        </w:r>
        <w:r>
          <w:rPr>
            <w:noProof/>
            <w:webHidden/>
          </w:rPr>
          <w:tab/>
        </w:r>
        <w:r>
          <w:rPr>
            <w:noProof/>
            <w:webHidden/>
          </w:rPr>
          <w:fldChar w:fldCharType="begin"/>
        </w:r>
        <w:r>
          <w:rPr>
            <w:noProof/>
            <w:webHidden/>
          </w:rPr>
          <w:instrText xml:space="preserve"> PAGEREF _Toc300001273 \h </w:instrText>
        </w:r>
        <w:r>
          <w:rPr>
            <w:noProof/>
            <w:webHidden/>
          </w:rPr>
          <w:fldChar w:fldCharType="separate"/>
        </w:r>
        <w:r>
          <w:rPr>
            <w:noProof/>
            <w:webHidden/>
          </w:rPr>
          <w:t>1474</w:t>
        </w:r>
        <w:r>
          <w:rPr>
            <w:noProof/>
            <w:webHidden/>
          </w:rPr>
          <w:fldChar w:fldCharType="end"/>
        </w:r>
      </w:hyperlink>
    </w:p>
    <w:p>
      <w:pPr>
        <w:pStyle w:val="TOC2"/>
      </w:pPr>
      <w:hyperlink w:anchor="_Toc300001274" w:history="1">
        <w:r>
          <w:rPr>
            <w:noProof/>
          </w:rPr>
          <w:t xml:space="preserve">Article 36.9: Sovereignty Safeguard</w:t>
        </w:r>
        <w:r>
          <w:rPr>
            <w:noProof/>
            <w:webHidden/>
          </w:rPr>
          <w:tab/>
        </w:r>
        <w:r>
          <w:rPr>
            <w:noProof/>
            <w:webHidden/>
          </w:rPr>
          <w:fldChar w:fldCharType="begin"/>
        </w:r>
        <w:r>
          <w:rPr>
            <w:noProof/>
            <w:webHidden/>
          </w:rPr>
          <w:instrText xml:space="preserve"> PAGEREF _Toc300001274 \h </w:instrText>
        </w:r>
        <w:r>
          <w:rPr>
            <w:noProof/>
            <w:webHidden/>
          </w:rPr>
          <w:fldChar w:fldCharType="separate"/>
        </w:r>
        <w:r>
          <w:rPr>
            <w:noProof/>
            <w:webHidden/>
          </w:rPr>
          <w:t>1474</w:t>
        </w:r>
        <w:r>
          <w:rPr>
            <w:noProof/>
            <w:webHidden/>
          </w:rPr>
          <w:fldChar w:fldCharType="end"/>
        </w:r>
      </w:hyperlink>
    </w:p>
    <w:p>
      <w:pPr>
        <w:pStyle w:val="TOC2"/>
      </w:pPr>
      <w:hyperlink w:anchor="_Toc300001275" w:history="1">
        <w:r>
          <w:rPr>
            <w:noProof/>
          </w:rPr>
          <w:t xml:space="preserve">Article 36.10: Data, Metrics, and Early Warning</w:t>
        </w:r>
        <w:r>
          <w:rPr>
            <w:noProof/>
            <w:webHidden/>
          </w:rPr>
          <w:tab/>
        </w:r>
        <w:r>
          <w:rPr>
            <w:noProof/>
            <w:webHidden/>
          </w:rPr>
          <w:fldChar w:fldCharType="begin"/>
        </w:r>
        <w:r>
          <w:rPr>
            <w:noProof/>
            <w:webHidden/>
          </w:rPr>
          <w:instrText xml:space="preserve"> PAGEREF _Toc300001275 \h </w:instrText>
        </w:r>
        <w:r>
          <w:rPr>
            <w:noProof/>
            <w:webHidden/>
          </w:rPr>
          <w:fldChar w:fldCharType="separate"/>
        </w:r>
        <w:r>
          <w:rPr>
            <w:noProof/>
            <w:webHidden/>
          </w:rPr>
          <w:t>1474</w:t>
        </w:r>
        <w:r>
          <w:rPr>
            <w:noProof/>
            <w:webHidden/>
          </w:rPr>
          <w:fldChar w:fldCharType="end"/>
        </w:r>
      </w:hyperlink>
    </w:p>
    <w:p>
      <w:pPr>
        <w:pStyle w:val="TOC2"/>
      </w:pPr>
      <w:hyperlink w:anchor="_Toc300001276" w:history="1">
        <w:r>
          <w:rPr>
            <w:noProof/>
          </w:rPr>
          <w:t xml:space="preserve">Article 36.11: North American Anti-Circumvention Rapid Response</w:t>
        </w:r>
        <w:r>
          <w:rPr>
            <w:noProof/>
            <w:webHidden/>
          </w:rPr>
          <w:tab/>
        </w:r>
        <w:r>
          <w:rPr>
            <w:noProof/>
            <w:webHidden/>
          </w:rPr>
          <w:fldChar w:fldCharType="begin"/>
        </w:r>
        <w:r>
          <w:rPr>
            <w:noProof/>
            <w:webHidden/>
          </w:rPr>
          <w:instrText xml:space="preserve"> PAGEREF _Toc300001276 \h </w:instrText>
        </w:r>
        <w:r>
          <w:rPr>
            <w:noProof/>
            <w:webHidden/>
          </w:rPr>
          <w:fldChar w:fldCharType="separate"/>
        </w:r>
        <w:r>
          <w:rPr>
            <w:noProof/>
            <w:webHidden/>
          </w:rPr>
          <w:t>1474</w:t>
        </w:r>
        <w:r>
          <w:rPr>
            <w:noProof/>
            <w:webHidden/>
          </w:rPr>
          <w:fldChar w:fldCharType="end"/>
        </w:r>
      </w:hyperlink>
    </w:p>
    <w:p>
      <w:pPr>
        <w:pStyle w:val="TOC2"/>
      </w:pPr>
      <w:hyperlink w:anchor="_Toc300001277" w:history="1">
        <w:r>
          <w:rPr>
            <w:noProof/>
          </w:rPr>
          <w:t xml:space="preserve">Article 36.12: Enhanced North American Content Incentives</w:t>
        </w:r>
        <w:r>
          <w:rPr>
            <w:noProof/>
            <w:webHidden/>
          </w:rPr>
          <w:tab/>
        </w:r>
        <w:r>
          <w:rPr>
            <w:noProof/>
            <w:webHidden/>
          </w:rPr>
          <w:fldChar w:fldCharType="begin"/>
        </w:r>
        <w:r>
          <w:rPr>
            <w:noProof/>
            <w:webHidden/>
          </w:rPr>
          <w:instrText xml:space="preserve"> PAGEREF _Toc300001277 \h </w:instrText>
        </w:r>
        <w:r>
          <w:rPr>
            <w:noProof/>
            <w:webHidden/>
          </w:rPr>
          <w:fldChar w:fldCharType="separate"/>
        </w:r>
        <w:r>
          <w:rPr>
            <w:noProof/>
            <w:webHidden/>
          </w:rPr>
          <w:t>1475</w:t>
        </w:r>
        <w:r>
          <w:rPr>
            <w:noProof/>
            <w:webHidden/>
          </w:rPr>
          <w:fldChar w:fldCharType="end"/>
        </w:r>
      </w:hyperlink>
    </w:p>
    <w:p>
      <w:pPr>
        <w:pStyle w:val="TOC2"/>
      </w:pPr>
      <w:hyperlink w:anchor="_Toc300001278" w:history="1">
        <w:r>
          <w:rPr>
            <w:noProof/>
          </w:rPr>
          <w:t xml:space="preserve">Article 36.13: Automotive, Battery, and Advanced-Component Investment Facilitation</w:t>
        </w:r>
        <w:r>
          <w:rPr>
            <w:noProof/>
            <w:webHidden/>
          </w:rPr>
          <w:tab/>
        </w:r>
        <w:r>
          <w:rPr>
            <w:noProof/>
            <w:webHidden/>
          </w:rPr>
          <w:fldChar w:fldCharType="begin"/>
        </w:r>
        <w:r>
          <w:rPr>
            <w:noProof/>
            <w:webHidden/>
          </w:rPr>
          <w:instrText xml:space="preserve"> PAGEREF _Toc300001278 \h </w:instrText>
        </w:r>
        <w:r>
          <w:rPr>
            <w:noProof/>
            <w:webHidden/>
          </w:rPr>
          <w:fldChar w:fldCharType="separate"/>
        </w:r>
        <w:r>
          <w:rPr>
            <w:noProof/>
            <w:webHidden/>
          </w:rPr>
          <w:t>1475</w:t>
        </w:r>
        <w:r>
          <w:rPr>
            <w:noProof/>
            <w:webHidden/>
          </w:rPr>
          <w:fldChar w:fldCharType="end"/>
        </w:r>
      </w:hyperlink>
    </w:p>
    <w:p>
      <w:pPr>
        <w:pStyle w:val="TOC2"/>
      </w:pPr>
      <w:hyperlink w:anchor="_Toc300001279" w:history="1">
        <w:r>
          <w:rPr>
            <w:noProof/>
          </w:rPr>
          <w:t xml:space="preserve">Article 36.13A: Voluntary United States Manufacturing Accelerator</w:t>
        </w:r>
        <w:r>
          <w:rPr>
            <w:noProof/>
            <w:webHidden/>
          </w:rPr>
          <w:tab/>
        </w:r>
        <w:r>
          <w:rPr>
            <w:noProof/>
            <w:webHidden/>
          </w:rPr>
          <w:fldChar w:fldCharType="begin"/>
        </w:r>
        <w:r>
          <w:rPr>
            <w:noProof/>
            <w:webHidden/>
          </w:rPr>
          <w:instrText xml:space="preserve"> PAGEREF _Toc300001279 \h </w:instrText>
        </w:r>
        <w:r>
          <w:rPr>
            <w:noProof/>
            <w:webHidden/>
          </w:rPr>
          <w:fldChar w:fldCharType="separate"/>
        </w:r>
        <w:r>
          <w:rPr>
            <w:noProof/>
            <w:webHidden/>
          </w:rPr>
          <w:t>1476</w:t>
        </w:r>
        <w:r>
          <w:rPr>
            <w:noProof/>
            <w:webHidden/>
          </w:rPr>
          <w:fldChar w:fldCharType="end"/>
        </w:r>
      </w:hyperlink>
    </w:p>
    <w:p>
      <w:pPr>
        <w:pStyle w:val="TOC2"/>
      </w:pPr>
      <w:hyperlink w:anchor="_Toc300001280" w:history="1">
        <w:r>
          <w:rPr>
            <w:noProof/>
          </w:rPr>
          <w:t xml:space="preserve">Article 36.14: North American Steel and Aluminum Security Framework</w:t>
        </w:r>
        <w:r>
          <w:rPr>
            <w:noProof/>
            <w:webHidden/>
          </w:rPr>
          <w:tab/>
        </w:r>
        <w:r>
          <w:rPr>
            <w:noProof/>
            <w:webHidden/>
          </w:rPr>
          <w:fldChar w:fldCharType="begin"/>
        </w:r>
        <w:r>
          <w:rPr>
            <w:noProof/>
            <w:webHidden/>
          </w:rPr>
          <w:instrText xml:space="preserve"> PAGEREF _Toc300001280 \h </w:instrText>
        </w:r>
        <w:r>
          <w:rPr>
            <w:noProof/>
            <w:webHidden/>
          </w:rPr>
          <w:fldChar w:fldCharType="separate"/>
        </w:r>
        <w:r>
          <w:rPr>
            <w:noProof/>
            <w:webHidden/>
          </w:rPr>
          <w:t>1476</w:t>
        </w:r>
        <w:r>
          <w:rPr>
            <w:noProof/>
            <w:webHidden/>
          </w:rPr>
          <w:fldChar w:fldCharType="end"/>
        </w:r>
      </w:hyperlink>
    </w:p>
    <w:p>
      <w:pPr>
        <w:pStyle w:val="TOC2"/>
      </w:pPr>
      <w:hyperlink w:anchor="_Toc300001281" w:history="1">
        <w:r>
          <w:rPr>
            <w:noProof/>
          </w:rPr>
          <w:t xml:space="preserve">Article 36.14A: North American Metals Investment Compact</w:t>
        </w:r>
        <w:r>
          <w:rPr>
            <w:noProof/>
            <w:webHidden/>
          </w:rPr>
          <w:tab/>
        </w:r>
        <w:r>
          <w:rPr>
            <w:noProof/>
            <w:webHidden/>
          </w:rPr>
          <w:fldChar w:fldCharType="begin"/>
        </w:r>
        <w:r>
          <w:rPr>
            <w:noProof/>
            <w:webHidden/>
          </w:rPr>
          <w:instrText xml:space="preserve"> PAGEREF _Toc300001281 \h </w:instrText>
        </w:r>
        <w:r>
          <w:rPr>
            <w:noProof/>
            <w:webHidden/>
          </w:rPr>
          <w:fldChar w:fldCharType="separate"/>
        </w:r>
        <w:r>
          <w:rPr>
            <w:noProof/>
            <w:webHidden/>
          </w:rPr>
          <w:t>1477</w:t>
        </w:r>
        <w:r>
          <w:rPr>
            <w:noProof/>
            <w:webHidden/>
          </w:rPr>
          <w:fldChar w:fldCharType="end"/>
        </w:r>
      </w:hyperlink>
    </w:p>
    <w:p>
      <w:pPr>
        <w:pStyle w:val="TOC2"/>
      </w:pPr>
      <w:hyperlink w:anchor="_Toc300001282" w:history="1">
        <w:r>
          <w:rPr>
            <w:noProof/>
          </w:rPr>
          <w:t xml:space="preserve">Article 36.15: Strategic Dependency Reduction and Reshoring</w:t>
        </w:r>
        <w:r>
          <w:rPr>
            <w:noProof/>
            <w:webHidden/>
          </w:rPr>
          <w:tab/>
        </w:r>
        <w:r>
          <w:rPr>
            <w:noProof/>
            <w:webHidden/>
          </w:rPr>
          <w:fldChar w:fldCharType="begin"/>
        </w:r>
        <w:r>
          <w:rPr>
            <w:noProof/>
            <w:webHidden/>
          </w:rPr>
          <w:instrText xml:space="preserve"> PAGEREF _Toc300001282 \h </w:instrText>
        </w:r>
        <w:r>
          <w:rPr>
            <w:noProof/>
            <w:webHidden/>
          </w:rPr>
          <w:fldChar w:fldCharType="separate"/>
        </w:r>
        <w:r>
          <w:rPr>
            <w:noProof/>
            <w:webHidden/>
          </w:rPr>
          <w:t>1478</w:t>
        </w:r>
        <w:r>
          <w:rPr>
            <w:noProof/>
            <w:webHidden/>
          </w:rPr>
          <w:fldChar w:fldCharType="end"/>
        </w:r>
      </w:hyperlink>
    </w:p>
    <w:p>
      <w:pPr>
        <w:pStyle w:val="TOC2"/>
      </w:pPr>
      <w:hyperlink w:anchor="_Toc300001283" w:history="1">
        <w:r>
          <w:rPr>
            <w:noProof/>
          </w:rPr>
          <w:t xml:space="preserve">Article 36.16: Forced-Labor Perimeter and Trusted Supply-Chain Safe Harbor</w:t>
        </w:r>
        <w:r>
          <w:rPr>
            <w:noProof/>
            <w:webHidden/>
          </w:rPr>
          <w:tab/>
        </w:r>
        <w:r>
          <w:rPr>
            <w:noProof/>
            <w:webHidden/>
          </w:rPr>
          <w:fldChar w:fldCharType="begin"/>
        </w:r>
        <w:r>
          <w:rPr>
            <w:noProof/>
            <w:webHidden/>
          </w:rPr>
          <w:instrText xml:space="preserve"> PAGEREF _Toc300001283 \h </w:instrText>
        </w:r>
        <w:r>
          <w:rPr>
            <w:noProof/>
            <w:webHidden/>
          </w:rPr>
          <w:fldChar w:fldCharType="separate"/>
        </w:r>
        <w:r>
          <w:rPr>
            <w:noProof/>
            <w:webHidden/>
          </w:rPr>
          <w:t>1478</w:t>
        </w:r>
        <w:r>
          <w:rPr>
            <w:noProof/>
            <w:webHidden/>
          </w:rPr>
          <w:fldChar w:fldCharType="end"/>
        </w:r>
      </w:hyperlink>
    </w:p>
    <w:p>
      <w:pPr>
        <w:pStyle w:val="TOC2"/>
      </w:pPr>
      <w:hyperlink w:anchor="_Toc300001284" w:history="1">
        <w:r>
          <w:rPr>
            <w:noProof/>
          </w:rPr>
          <w:t xml:space="preserve">Article 36.17: Origin Fraud and Repeat-Offender Discipline</w:t>
        </w:r>
        <w:r>
          <w:rPr>
            <w:noProof/>
            <w:webHidden/>
          </w:rPr>
          <w:tab/>
        </w:r>
        <w:r>
          <w:rPr>
            <w:noProof/>
            <w:webHidden/>
          </w:rPr>
          <w:fldChar w:fldCharType="begin"/>
        </w:r>
        <w:r>
          <w:rPr>
            <w:noProof/>
            <w:webHidden/>
          </w:rPr>
          <w:instrText xml:space="preserve"> PAGEREF _Toc300001284 \h </w:instrText>
        </w:r>
        <w:r>
          <w:rPr>
            <w:noProof/>
            <w:webHidden/>
          </w:rPr>
          <w:fldChar w:fldCharType="separate"/>
        </w:r>
        <w:r>
          <w:rPr>
            <w:noProof/>
            <w:webHidden/>
          </w:rPr>
          <w:t>1479</w:t>
        </w:r>
        <w:r>
          <w:rPr>
            <w:noProof/>
            <w:webHidden/>
          </w:rPr>
          <w:fldChar w:fldCharType="end"/>
        </w:r>
      </w:hyperlink>
    </w:p>
    <w:p>
      <w:pPr>
        <w:pStyle w:val="TOC2"/>
      </w:pPr>
      <w:hyperlink w:anchor="_Toc300001285" w:history="1">
        <w:r>
          <w:rPr>
            <w:noProof/>
          </w:rPr>
          <w:t xml:space="preserve">Article 36.18: Agricultural Market-Access Assurance</w:t>
        </w:r>
        <w:r>
          <w:rPr>
            <w:noProof/>
            <w:webHidden/>
          </w:rPr>
          <w:tab/>
        </w:r>
        <w:r>
          <w:rPr>
            <w:noProof/>
            <w:webHidden/>
          </w:rPr>
          <w:fldChar w:fldCharType="begin"/>
        </w:r>
        <w:r>
          <w:rPr>
            <w:noProof/>
            <w:webHidden/>
          </w:rPr>
          <w:instrText xml:space="preserve"> PAGEREF _Toc300001285 \h </w:instrText>
        </w:r>
        <w:r>
          <w:rPr>
            <w:noProof/>
            <w:webHidden/>
          </w:rPr>
          <w:fldChar w:fldCharType="separate"/>
        </w:r>
        <w:r>
          <w:rPr>
            <w:noProof/>
            <w:webHidden/>
          </w:rPr>
          <w:t>1479</w:t>
        </w:r>
        <w:r>
          <w:rPr>
            <w:noProof/>
            <w:webHidden/>
          </w:rPr>
          <w:fldChar w:fldCharType="end"/>
        </w:r>
      </w:hyperlink>
    </w:p>
    <w:p>
      <w:pPr>
        <w:pStyle w:val="TOC2"/>
      </w:pPr>
      <w:hyperlink w:anchor="_Toc300001286" w:history="1">
        <w:r>
          <w:rPr>
            <w:noProof/>
          </w:rPr>
          <w:t xml:space="preserve">Article 36.19: North American Energy Security and Continuity</w:t>
        </w:r>
        <w:r>
          <w:rPr>
            <w:noProof/>
            <w:webHidden/>
          </w:rPr>
          <w:tab/>
        </w:r>
        <w:r>
          <w:rPr>
            <w:noProof/>
            <w:webHidden/>
          </w:rPr>
          <w:fldChar w:fldCharType="begin"/>
        </w:r>
        <w:r>
          <w:rPr>
            <w:noProof/>
            <w:webHidden/>
          </w:rPr>
          <w:instrText xml:space="preserve"> PAGEREF _Toc300001286 \h </w:instrText>
        </w:r>
        <w:r>
          <w:rPr>
            <w:noProof/>
            <w:webHidden/>
          </w:rPr>
          <w:fldChar w:fldCharType="separate"/>
        </w:r>
        <w:r>
          <w:rPr>
            <w:noProof/>
            <w:webHidden/>
          </w:rPr>
          <w:t>1479</w:t>
        </w:r>
        <w:r>
          <w:rPr>
            <w:noProof/>
            <w:webHidden/>
          </w:rPr>
          <w:fldChar w:fldCharType="end"/>
        </w:r>
      </w:hyperlink>
    </w:p>
    <w:p>
      <w:pPr>
        <w:pStyle w:val="TOC2"/>
      </w:pPr>
      <w:hyperlink w:anchor="_Toc300001287" w:history="1">
        <w:r>
          <w:rPr>
            <w:noProof/>
          </w:rPr>
          <w:t xml:space="preserve">Article 36.20: Semiconductor and Advanced-Manufacturing Compact</w:t>
        </w:r>
        <w:r>
          <w:rPr>
            <w:noProof/>
            <w:webHidden/>
          </w:rPr>
          <w:tab/>
        </w:r>
        <w:r>
          <w:rPr>
            <w:noProof/>
            <w:webHidden/>
          </w:rPr>
          <w:fldChar w:fldCharType="begin"/>
        </w:r>
        <w:r>
          <w:rPr>
            <w:noProof/>
            <w:webHidden/>
          </w:rPr>
          <w:instrText xml:space="preserve"> PAGEREF _Toc300001287 \h </w:instrText>
        </w:r>
        <w:r>
          <w:rPr>
            <w:noProof/>
            <w:webHidden/>
          </w:rPr>
          <w:fldChar w:fldCharType="separate"/>
        </w:r>
        <w:r>
          <w:rPr>
            <w:noProof/>
            <w:webHidden/>
          </w:rPr>
          <w:t>1479</w:t>
        </w:r>
        <w:r>
          <w:rPr>
            <w:noProof/>
            <w:webHidden/>
          </w:rPr>
          <w:fldChar w:fldCharType="end"/>
        </w:r>
      </w:hyperlink>
    </w:p>
    <w:p>
      <w:pPr>
        <w:pStyle w:val="TOC2"/>
      </w:pPr>
      <w:hyperlink w:anchor="_Toc300001288" w:history="1">
        <w:r>
          <w:rPr>
            <w:noProof/>
          </w:rPr>
          <w:t xml:space="preserve">Article 36.21: Small-Business Export Fast Lane</w:t>
        </w:r>
        <w:r>
          <w:rPr>
            <w:noProof/>
            <w:webHidden/>
          </w:rPr>
          <w:tab/>
        </w:r>
        <w:r>
          <w:rPr>
            <w:noProof/>
            <w:webHidden/>
          </w:rPr>
          <w:fldChar w:fldCharType="begin"/>
        </w:r>
        <w:r>
          <w:rPr>
            <w:noProof/>
            <w:webHidden/>
          </w:rPr>
          <w:instrText xml:space="preserve"> PAGEREF _Toc300001288 \h </w:instrText>
        </w:r>
        <w:r>
          <w:rPr>
            <w:noProof/>
            <w:webHidden/>
          </w:rPr>
          <w:fldChar w:fldCharType="separate"/>
        </w:r>
        <w:r>
          <w:rPr>
            <w:noProof/>
            <w:webHidden/>
          </w:rPr>
          <w:t>1480</w:t>
        </w:r>
        <w:r>
          <w:rPr>
            <w:noProof/>
            <w:webHidden/>
          </w:rPr>
          <w:fldChar w:fldCharType="end"/>
        </w:r>
      </w:hyperlink>
    </w:p>
    <w:p>
      <w:pPr>
        <w:pStyle w:val="TOC2"/>
      </w:pPr>
      <w:hyperlink w:anchor="_Toc300001289" w:history="1">
        <w:r>
          <w:rPr>
            <w:noProof/>
          </w:rPr>
          <w:t xml:space="preserve">Article 36.22: Regulatory Barrier Rapid Review</w:t>
        </w:r>
        <w:r>
          <w:rPr>
            <w:noProof/>
            <w:webHidden/>
          </w:rPr>
          <w:tab/>
        </w:r>
        <w:r>
          <w:rPr>
            <w:noProof/>
            <w:webHidden/>
          </w:rPr>
          <w:fldChar w:fldCharType="begin"/>
        </w:r>
        <w:r>
          <w:rPr>
            <w:noProof/>
            <w:webHidden/>
          </w:rPr>
          <w:instrText xml:space="preserve"> PAGEREF _Toc300001289 \h </w:instrText>
        </w:r>
        <w:r>
          <w:rPr>
            <w:noProof/>
            <w:webHidden/>
          </w:rPr>
          <w:fldChar w:fldCharType="separate"/>
        </w:r>
        <w:r>
          <w:rPr>
            <w:noProof/>
            <w:webHidden/>
          </w:rPr>
          <w:t>1480</w:t>
        </w:r>
        <w:r>
          <w:rPr>
            <w:noProof/>
            <w:webHidden/>
          </w:rPr>
          <w:fldChar w:fldCharType="end"/>
        </w:r>
      </w:hyperlink>
    </w:p>
    <w:p>
      <w:pPr>
        <w:pStyle w:val="TOC2"/>
      </w:pPr>
      <w:hyperlink w:anchor="_Toc300001290" w:history="1">
        <w:r>
          <w:rPr>
            <w:noProof/>
          </w:rPr>
          <w:t xml:space="preserve">Article 36.23: Digital Trade and Advanced-Technology Non-Discrimination</w:t>
        </w:r>
        <w:r>
          <w:rPr>
            <w:noProof/>
            <w:webHidden/>
          </w:rPr>
          <w:tab/>
        </w:r>
        <w:r>
          <w:rPr>
            <w:noProof/>
            <w:webHidden/>
          </w:rPr>
          <w:fldChar w:fldCharType="begin"/>
        </w:r>
        <w:r>
          <w:rPr>
            <w:noProof/>
            <w:webHidden/>
          </w:rPr>
          <w:instrText xml:space="preserve"> PAGEREF _Toc300001290 \h </w:instrText>
        </w:r>
        <w:r>
          <w:rPr>
            <w:noProof/>
            <w:webHidden/>
          </w:rPr>
          <w:fldChar w:fldCharType="separate"/>
        </w:r>
        <w:r>
          <w:rPr>
            <w:noProof/>
            <w:webHidden/>
          </w:rPr>
          <w:t>1480</w:t>
        </w:r>
        <w:r>
          <w:rPr>
            <w:noProof/>
            <w:webHidden/>
          </w:rPr>
          <w:fldChar w:fldCharType="end"/>
        </w:r>
      </w:hyperlink>
    </w:p>
    <w:p>
      <w:pPr>
        <w:pStyle w:val="TOC2"/>
      </w:pPr>
      <w:hyperlink w:anchor="_Toc300001291" w:history="1">
        <w:r>
          <w:rPr>
            <w:noProof/>
          </w:rPr>
          <w:t xml:space="preserve">Article 36.24: North American Trade Rebalancing and Investment Mechanism</w:t>
        </w:r>
        <w:r>
          <w:rPr>
            <w:noProof/>
            <w:webHidden/>
          </w:rPr>
          <w:tab/>
        </w:r>
        <w:r>
          <w:rPr>
            <w:noProof/>
            <w:webHidden/>
          </w:rPr>
          <w:fldChar w:fldCharType="begin"/>
        </w:r>
        <w:r>
          <w:rPr>
            <w:noProof/>
            <w:webHidden/>
          </w:rPr>
          <w:instrText xml:space="preserve"> PAGEREF _Toc300001291 \h </w:instrText>
        </w:r>
        <w:r>
          <w:rPr>
            <w:noProof/>
            <w:webHidden/>
          </w:rPr>
          <w:fldChar w:fldCharType="separate"/>
        </w:r>
        <w:r>
          <w:rPr>
            <w:noProof/>
            <w:webHidden/>
          </w:rPr>
          <w:t>1481</w:t>
        </w:r>
        <w:r>
          <w:rPr>
            <w:noProof/>
            <w:webHidden/>
          </w:rPr>
          <w:fldChar w:fldCharType="end"/>
        </w:r>
      </w:hyperlink>
    </w:p>
    <w:p>
      <w:pPr>
        <w:pStyle w:val="TOC2"/>
      </w:pPr>
      <w:hyperlink w:anchor="_Toc300001292" w:history="1">
        <w:r>
          <w:rPr>
            <w:noProof/>
          </w:rPr>
          <w:t xml:space="preserve">Article 36.25: Voluntary Subnational Market Access Framework</w:t>
        </w:r>
        <w:r>
          <w:rPr>
            <w:noProof/>
            <w:webHidden/>
          </w:rPr>
          <w:tab/>
        </w:r>
        <w:r>
          <w:rPr>
            <w:noProof/>
            <w:webHidden/>
          </w:rPr>
          <w:fldChar w:fldCharType="begin"/>
        </w:r>
        <w:r>
          <w:rPr>
            <w:noProof/>
            <w:webHidden/>
          </w:rPr>
          <w:instrText xml:space="preserve"> PAGEREF _Toc300001292 \h </w:instrText>
        </w:r>
        <w:r>
          <w:rPr>
            <w:noProof/>
            <w:webHidden/>
          </w:rPr>
          <w:fldChar w:fldCharType="separate"/>
        </w:r>
        <w:r>
          <w:rPr>
            <w:noProof/>
            <w:webHidden/>
          </w:rPr>
          <w:t>1482</w:t>
        </w:r>
        <w:r>
          <w:rPr>
            <w:noProof/>
            <w:webHidden/>
          </w:rPr>
          <w:fldChar w:fldCharType="end"/>
        </w:r>
      </w:hyperlink>
    </w:p>
    <w:p>
      <w:pPr>
        <w:pStyle w:val="TOC2"/>
      </w:pPr>
      <w:hyperlink w:anchor="_Toc300001293" w:history="1">
        <w:r>
          <w:rPr>
            <w:noProof/>
          </w:rPr>
          <w:t xml:space="preserve">Article 36.26: Provincial-Demand Agricultural Allocation Option</w:t>
        </w:r>
        <w:r>
          <w:rPr>
            <w:noProof/>
            <w:webHidden/>
          </w:rPr>
          <w:tab/>
        </w:r>
        <w:r>
          <w:rPr>
            <w:noProof/>
            <w:webHidden/>
          </w:rPr>
          <w:fldChar w:fldCharType="begin"/>
        </w:r>
        <w:r>
          <w:rPr>
            <w:noProof/>
            <w:webHidden/>
          </w:rPr>
          <w:instrText xml:space="preserve"> PAGEREF _Toc300001293 \h </w:instrText>
        </w:r>
        <w:r>
          <w:rPr>
            <w:noProof/>
            <w:webHidden/>
          </w:rPr>
          <w:fldChar w:fldCharType="separate"/>
        </w:r>
        <w:r>
          <w:rPr>
            <w:noProof/>
            <w:webHidden/>
          </w:rPr>
          <w:t>1483</w:t>
        </w:r>
        <w:r>
          <w:rPr>
            <w:noProof/>
            <w:webHidden/>
          </w:rPr>
          <w:fldChar w:fldCharType="end"/>
        </w:r>
      </w:hyperlink>
    </w:p>
    <w:p>
      <w:pPr>
        <w:pStyle w:val="TOC2"/>
      </w:pPr>
      <w:hyperlink w:anchor="_Toc300001294" w:history="1">
        <w:r>
          <w:rPr>
            <w:noProof/>
          </w:rPr>
          <w:t xml:space="preserve">Article 36.27: Strategic Procurement and Trusted-Supplier Reciprocity</w:t>
        </w:r>
        <w:r>
          <w:rPr>
            <w:noProof/>
            <w:webHidden/>
          </w:rPr>
          <w:tab/>
        </w:r>
        <w:r>
          <w:rPr>
            <w:noProof/>
            <w:webHidden/>
          </w:rPr>
          <w:fldChar w:fldCharType="begin"/>
        </w:r>
        <w:r>
          <w:rPr>
            <w:noProof/>
            <w:webHidden/>
          </w:rPr>
          <w:instrText xml:space="preserve"> PAGEREF _Toc300001294 \h </w:instrText>
        </w:r>
        <w:r>
          <w:rPr>
            <w:noProof/>
            <w:webHidden/>
          </w:rPr>
          <w:fldChar w:fldCharType="separate"/>
        </w:r>
        <w:r>
          <w:rPr>
            <w:noProof/>
            <w:webHidden/>
          </w:rPr>
          <w:t>1484</w:t>
        </w:r>
        <w:r>
          <w:rPr>
            <w:noProof/>
            <w:webHidden/>
          </w:rPr>
          <w:fldChar w:fldCharType="end"/>
        </w:r>
      </w:hyperlink>
    </w:p>
    <w:p>
      <w:pPr>
        <w:pStyle w:val="TOC2"/>
      </w:pPr>
      <w:hyperlink w:anchor="_Toc300001295" w:history="1">
        <w:r>
          <w:rPr>
            <w:noProof/>
          </w:rPr>
          <w:t xml:space="preserve">Article 36.28: Stronger-Deal Extension Review</w:t>
        </w:r>
        <w:r>
          <w:rPr>
            <w:noProof/>
            <w:webHidden/>
          </w:rPr>
          <w:tab/>
        </w:r>
        <w:r>
          <w:rPr>
            <w:noProof/>
            <w:webHidden/>
          </w:rPr>
          <w:fldChar w:fldCharType="begin"/>
        </w:r>
        <w:r>
          <w:rPr>
            <w:noProof/>
            <w:webHidden/>
          </w:rPr>
          <w:instrText xml:space="preserve"> PAGEREF _Toc300001295 \h </w:instrText>
        </w:r>
        <w:r>
          <w:rPr>
            <w:noProof/>
            <w:webHidden/>
          </w:rPr>
          <w:fldChar w:fldCharType="separate"/>
        </w:r>
        <w:r>
          <w:rPr>
            <w:noProof/>
            <w:webHidden/>
          </w:rPr>
          <w:t>1484</w:t>
        </w:r>
        <w:r>
          <w:rPr>
            <w:noProof/>
            <w:webHidden/>
          </w:rPr>
          <w:fldChar w:fldCharType="end"/>
        </w:r>
      </w:hyperlink>
    </w:p>
    <w:p>
      <w:pPr>
        <w:pStyle w:val="TOC2"/>
      </w:pPr>
      <w:hyperlink w:anchor="_Toc300001296" w:history="1">
        <w:r>
          <w:rPr>
            <w:noProof/>
          </w:rPr>
          <w:t xml:space="preserve">Article 36.29: Supply-Chain Resilience and Worker Transition</w:t>
        </w:r>
        <w:r>
          <w:rPr>
            <w:noProof/>
            <w:webHidden/>
          </w:rPr>
          <w:tab/>
        </w:r>
        <w:r>
          <w:rPr>
            <w:noProof/>
            <w:webHidden/>
          </w:rPr>
          <w:fldChar w:fldCharType="begin"/>
        </w:r>
        <w:r>
          <w:rPr>
            <w:noProof/>
            <w:webHidden/>
          </w:rPr>
          <w:instrText xml:space="preserve"> PAGEREF _Toc300001296 \h </w:instrText>
        </w:r>
        <w:r>
          <w:rPr>
            <w:noProof/>
            <w:webHidden/>
          </w:rPr>
          <w:fldChar w:fldCharType="separate"/>
        </w:r>
        <w:r>
          <w:rPr>
            <w:noProof/>
            <w:webHidden/>
          </w:rPr>
          <w:t>1484</w:t>
        </w:r>
        <w:r>
          <w:rPr>
            <w:noProof/>
            <w:webHidden/>
          </w:rPr>
          <w:fldChar w:fldCharType="end"/>
        </w:r>
      </w:hyperlink>
    </w:p>
    <w:p>
      <w:pPr>
        <w:pStyle w:val="TOC1"/>
      </w:pPr>
      <w:hyperlink w:anchor="_Toc300001297" w:history="1">
        <w:r>
          <w:rPr>
            <w:noProof/>
          </w:rPr>
          <w:t xml:space="preserve">ANNEX 36-A: STRATEGIC NORTH AMERICAN CONTENT ASSURANCE AND RESILIENCE PROTOCOL</w:t>
        </w:r>
        <w:r>
          <w:rPr>
            <w:noProof/>
            <w:webHidden/>
          </w:rPr>
          <w:tab/>
        </w:r>
        <w:r>
          <w:rPr>
            <w:noProof/>
            <w:webHidden/>
          </w:rPr>
          <w:fldChar w:fldCharType="begin"/>
        </w:r>
        <w:r>
          <w:rPr>
            <w:noProof/>
            <w:webHidden/>
          </w:rPr>
          <w:instrText xml:space="preserve"> PAGEREF _Toc300001297 \h </w:instrText>
        </w:r>
        <w:r>
          <w:rPr>
            <w:noProof/>
            <w:webHidden/>
          </w:rPr>
          <w:fldChar w:fldCharType="separate"/>
        </w:r>
        <w:r>
          <w:rPr>
            <w:noProof/>
            <w:webHidden/>
          </w:rPr>
          <w:t>1486</w:t>
        </w:r>
        <w:r>
          <w:rPr>
            <w:noProof/>
            <w:webHidden/>
          </w:rPr>
          <w:fldChar w:fldCharType="end"/>
        </w:r>
      </w:hyperlink>
    </w:p>
    <w:p>
      <w:pPr>
        <w:pStyle w:val="TOC2"/>
      </w:pPr>
      <w:hyperlink w:anchor="_Toc300001298" w:history="1">
        <w:r>
          <w:rPr>
            <w:noProof/>
          </w:rPr>
          <w:t xml:space="preserve">FS-02.1: Purpose, Existing-Law Relationship, and Sovereignty Firewall</w:t>
        </w:r>
        <w:r>
          <w:rPr>
            <w:noProof/>
            <w:webHidden/>
          </w:rPr>
          <w:tab/>
        </w:r>
        <w:r>
          <w:rPr>
            <w:noProof/>
            <w:webHidden/>
          </w:rPr>
          <w:fldChar w:fldCharType="begin"/>
        </w:r>
        <w:r>
          <w:rPr>
            <w:noProof/>
            <w:webHidden/>
          </w:rPr>
          <w:instrText xml:space="preserve"> PAGEREF _Toc300001298 \h </w:instrText>
        </w:r>
        <w:r>
          <w:rPr>
            <w:noProof/>
            <w:webHidden/>
          </w:rPr>
          <w:fldChar w:fldCharType="separate"/>
        </w:r>
        <w:r>
          <w:rPr>
            <w:noProof/>
            <w:webHidden/>
          </w:rPr>
          <w:t>1486</w:t>
        </w:r>
        <w:r>
          <w:rPr>
            <w:noProof/>
            <w:webHidden/>
          </w:rPr>
          <w:fldChar w:fldCharType="end"/>
        </w:r>
      </w:hyperlink>
    </w:p>
    <w:p>
      <w:pPr>
        <w:pStyle w:val="TOC2"/>
      </w:pPr>
      <w:hyperlink w:anchor="_Toc300001299" w:history="1">
        <w:r>
          <w:rPr>
            <w:noProof/>
          </w:rPr>
          <w:t xml:space="preserve">FS-02.2: Eligible Strategic Sectors and Verified Resilience Deficiency</w:t>
        </w:r>
        <w:r>
          <w:rPr>
            <w:noProof/>
            <w:webHidden/>
          </w:rPr>
          <w:tab/>
        </w:r>
        <w:r>
          <w:rPr>
            <w:noProof/>
            <w:webHidden/>
          </w:rPr>
          <w:fldChar w:fldCharType="begin"/>
        </w:r>
        <w:r>
          <w:rPr>
            <w:noProof/>
            <w:webHidden/>
          </w:rPr>
          <w:instrText xml:space="preserve"> PAGEREF _Toc300001299 \h </w:instrText>
        </w:r>
        <w:r>
          <w:rPr>
            <w:noProof/>
            <w:webHidden/>
          </w:rPr>
          <w:fldChar w:fldCharType="separate"/>
        </w:r>
        <w:r>
          <w:rPr>
            <w:noProof/>
            <w:webHidden/>
          </w:rPr>
          <w:t>1488</w:t>
        </w:r>
        <w:r>
          <w:rPr>
            <w:noProof/>
            <w:webHidden/>
          </w:rPr>
          <w:fldChar w:fldCharType="end"/>
        </w:r>
      </w:hyperlink>
    </w:p>
    <w:p>
      <w:pPr>
        <w:pStyle w:val="TOC2"/>
      </w:pPr>
      <w:hyperlink w:anchor="_Toc300001300" w:history="1">
        <w:r>
          <w:rPr>
            <w:noProof/>
          </w:rPr>
          <w:t xml:space="preserve">FS-02.3: Three-Bucket Content and Assurance Architecture</w:t>
        </w:r>
        <w:r>
          <w:rPr>
            <w:noProof/>
            <w:webHidden/>
          </w:rPr>
          <w:tab/>
        </w:r>
        <w:r>
          <w:rPr>
            <w:noProof/>
            <w:webHidden/>
          </w:rPr>
          <w:fldChar w:fldCharType="begin"/>
        </w:r>
        <w:r>
          <w:rPr>
            <w:noProof/>
            <w:webHidden/>
          </w:rPr>
          <w:instrText xml:space="preserve"> PAGEREF _Toc300001300 \h </w:instrText>
        </w:r>
        <w:r>
          <w:rPr>
            <w:noProof/>
            <w:webHidden/>
          </w:rPr>
          <w:fldChar w:fldCharType="separate"/>
        </w:r>
        <w:r>
          <w:rPr>
            <w:noProof/>
            <w:webHidden/>
          </w:rPr>
          <w:t>1489</w:t>
        </w:r>
        <w:r>
          <w:rPr>
            <w:noProof/>
            <w:webHidden/>
          </w:rPr>
          <w:fldChar w:fldCharType="end"/>
        </w:r>
      </w:hyperlink>
    </w:p>
    <w:p>
      <w:pPr>
        <w:pStyle w:val="TOC2"/>
      </w:pPr>
      <w:hyperlink w:anchor="_Toc300001301" w:history="1">
        <w:r>
          <w:rPr>
            <w:noProof/>
          </w:rPr>
          <w:t xml:space="preserve">FS-02.4: Strategic Content Assurance Schedule and Earned Benefits</w:t>
        </w:r>
        <w:r>
          <w:rPr>
            <w:noProof/>
            <w:webHidden/>
          </w:rPr>
          <w:tab/>
        </w:r>
        <w:r>
          <w:rPr>
            <w:noProof/>
            <w:webHidden/>
          </w:rPr>
          <w:fldChar w:fldCharType="begin"/>
        </w:r>
        <w:r>
          <w:rPr>
            <w:noProof/>
            <w:webHidden/>
          </w:rPr>
          <w:instrText xml:space="preserve"> PAGEREF _Toc300001301 \h </w:instrText>
        </w:r>
        <w:r>
          <w:rPr>
            <w:noProof/>
            <w:webHidden/>
          </w:rPr>
          <w:fldChar w:fldCharType="separate"/>
        </w:r>
        <w:r>
          <w:rPr>
            <w:noProof/>
            <w:webHidden/>
          </w:rPr>
          <w:t>1491</w:t>
        </w:r>
        <w:r>
          <w:rPr>
            <w:noProof/>
            <w:webHidden/>
          </w:rPr>
          <w:fldChar w:fldCharType="end"/>
        </w:r>
      </w:hyperlink>
    </w:p>
    <w:p>
      <w:pPr>
        <w:pStyle w:val="TOC2"/>
      </w:pPr>
      <w:hyperlink w:anchor="_Toc300001302" w:history="1">
        <w:r>
          <w:rPr>
            <w:noProof/>
          </w:rPr>
          <w:t xml:space="preserve">FS-02.5: Verification, TNAO, Trusted External Sources, and Anti-Circumvention</w:t>
        </w:r>
        <w:r>
          <w:rPr>
            <w:noProof/>
            <w:webHidden/>
          </w:rPr>
          <w:tab/>
        </w:r>
        <w:r>
          <w:rPr>
            <w:noProof/>
            <w:webHidden/>
          </w:rPr>
          <w:fldChar w:fldCharType="begin"/>
        </w:r>
        <w:r>
          <w:rPr>
            <w:noProof/>
            <w:webHidden/>
          </w:rPr>
          <w:instrText xml:space="preserve"> PAGEREF _Toc300001302 \h </w:instrText>
        </w:r>
        <w:r>
          <w:rPr>
            <w:noProof/>
            <w:webHidden/>
          </w:rPr>
          <w:fldChar w:fldCharType="separate"/>
        </w:r>
        <w:r>
          <w:rPr>
            <w:noProof/>
            <w:webHidden/>
          </w:rPr>
          <w:t>1493</w:t>
        </w:r>
        <w:r>
          <w:rPr>
            <w:noProof/>
            <w:webHidden/>
          </w:rPr>
          <w:fldChar w:fldCharType="end"/>
        </w:r>
      </w:hyperlink>
    </w:p>
    <w:p>
      <w:pPr>
        <w:pStyle w:val="TOC2"/>
      </w:pPr>
      <w:hyperlink w:anchor="_Toc300001303" w:history="1">
        <w:r>
          <w:rPr>
            <w:noProof/>
          </w:rPr>
          <w:t xml:space="preserve">FS-02.6: Anti-Abuse, Review, Exit, and Restoration</w:t>
        </w:r>
        <w:r>
          <w:rPr>
            <w:noProof/>
            <w:webHidden/>
          </w:rPr>
          <w:tab/>
        </w:r>
        <w:r>
          <w:rPr>
            <w:noProof/>
            <w:webHidden/>
          </w:rPr>
          <w:fldChar w:fldCharType="begin"/>
        </w:r>
        <w:r>
          <w:rPr>
            <w:noProof/>
            <w:webHidden/>
          </w:rPr>
          <w:instrText xml:space="preserve"> PAGEREF _Toc300001303 \h </w:instrText>
        </w:r>
        <w:r>
          <w:rPr>
            <w:noProof/>
            <w:webHidden/>
          </w:rPr>
          <w:fldChar w:fldCharType="separate"/>
        </w:r>
        <w:r>
          <w:rPr>
            <w:noProof/>
            <w:webHidden/>
          </w:rPr>
          <w:t>1494</w:t>
        </w:r>
        <w:r>
          <w:rPr>
            <w:noProof/>
            <w:webHidden/>
          </w:rPr>
          <w:fldChar w:fldCharType="end"/>
        </w:r>
      </w:hyperlink>
    </w:p>
    <w:p>
      <w:pPr>
        <w:pStyle w:val="TOC2"/>
      </w:pPr>
      <w:hyperlink w:anchor="_Toc300001304" w:history="1">
        <w:r>
          <w:rPr>
            <w:noProof/>
          </w:rPr>
          <w:t xml:space="preserve">SCHEDULE FS-02-A: STRATEGIC CONTENT ASSURANCE AND RESILIENCE COMMITMENTS, DEVELOPMENT TEMPLATE: NON-OPERATIVE UNTIL ADOPTED</w:t>
        </w:r>
        <w:r>
          <w:rPr>
            <w:noProof/>
            <w:webHidden/>
          </w:rPr>
          <w:tab/>
        </w:r>
        <w:r>
          <w:rPr>
            <w:noProof/>
            <w:webHidden/>
          </w:rPr>
          <w:fldChar w:fldCharType="begin"/>
        </w:r>
        <w:r>
          <w:rPr>
            <w:noProof/>
            <w:webHidden/>
          </w:rPr>
          <w:instrText xml:space="preserve"> PAGEREF _Toc300001304 \h </w:instrText>
        </w:r>
        <w:r>
          <w:rPr>
            <w:noProof/>
            <w:webHidden/>
          </w:rPr>
          <w:fldChar w:fldCharType="separate"/>
        </w:r>
        <w:r>
          <w:rPr>
            <w:noProof/>
            <w:webHidden/>
          </w:rPr>
          <w:t>1496</w:t>
        </w:r>
        <w:r>
          <w:rPr>
            <w:noProof/>
            <w:webHidden/>
          </w:rPr>
          <w:fldChar w:fldCharType="end"/>
        </w:r>
      </w:hyperlink>
    </w:p>
    <w:p>
      <w:pPr>
        <w:pStyle w:val="TOC2"/>
      </w:pPr>
      <w:hyperlink w:anchor="_Toc300001305" w:history="1">
        <w:r>
          <w:rPr>
            <w:noProof/>
          </w:rPr>
          <w:t xml:space="preserve">Required Adopted-Schedule Data</w:t>
        </w:r>
        <w:r>
          <w:rPr>
            <w:noProof/>
            <w:webHidden/>
          </w:rPr>
          <w:tab/>
        </w:r>
        <w:r>
          <w:rPr>
            <w:noProof/>
            <w:webHidden/>
          </w:rPr>
          <w:fldChar w:fldCharType="begin"/>
        </w:r>
        <w:r>
          <w:rPr>
            <w:noProof/>
            <w:webHidden/>
          </w:rPr>
          <w:instrText xml:space="preserve"> PAGEREF _Toc300001305 \h </w:instrText>
        </w:r>
        <w:r>
          <w:rPr>
            <w:noProof/>
            <w:webHidden/>
          </w:rPr>
          <w:fldChar w:fldCharType="separate"/>
        </w:r>
        <w:r>
          <w:rPr>
            <w:noProof/>
            <w:webHidden/>
          </w:rPr>
          <w:t>1497</w:t>
        </w:r>
        <w:r>
          <w:rPr>
            <w:noProof/>
            <w:webHidden/>
          </w:rPr>
          <w:fldChar w:fldCharType="end"/>
        </w:r>
      </w:hyperlink>
    </w:p>
    <w:p>
      <w:pPr>
        <w:pStyle w:val="TOC2"/>
      </w:pPr>
      <w:hyperlink w:anchor="_Toc300001306" w:history="1">
        <w:r>
          <w:rPr>
            <w:noProof/>
          </w:rPr>
          <w:t xml:space="preserve">DEVELOPMENT RED LIGHTS: NON-OPERATIVE DRAFTING CONTROLS</w:t>
        </w:r>
        <w:r>
          <w:rPr>
            <w:noProof/>
            <w:webHidden/>
          </w:rPr>
          <w:tab/>
        </w:r>
        <w:r>
          <w:rPr>
            <w:noProof/>
            <w:webHidden/>
          </w:rPr>
          <w:fldChar w:fldCharType="begin"/>
        </w:r>
        <w:r>
          <w:rPr>
            <w:noProof/>
            <w:webHidden/>
          </w:rPr>
          <w:instrText xml:space="preserve"> PAGEREF _Toc300001306 \h </w:instrText>
        </w:r>
        <w:r>
          <w:rPr>
            <w:noProof/>
            <w:webHidden/>
          </w:rPr>
          <w:fldChar w:fldCharType="separate"/>
        </w:r>
        <w:r>
          <w:rPr>
            <w:noProof/>
            <w:webHidden/>
          </w:rPr>
          <w:t>1498</w:t>
        </w:r>
        <w:r>
          <w:rPr>
            <w:noProof/>
            <w:webHidden/>
          </w:rPr>
          <w:fldChar w:fldCharType="end"/>
        </w:r>
      </w:hyperlink>
    </w:p>
    <w:p>
      <w:pPr>
        <w:pStyle w:val="TOC2"/>
      </w:pPr>
      <w:hyperlink w:anchor="_Toc300001307" w:history="1">
        <w:r>
          <w:rPr>
            <w:noProof/>
          </w:rPr>
          <w:t xml:space="preserve">Module Interface Reference: Extract of the FS-00 Final Settlement Integration Map</w:t>
        </w:r>
        <w:r>
          <w:rPr>
            <w:noProof/>
            <w:webHidden/>
          </w:rPr>
          <w:tab/>
        </w:r>
        <w:r>
          <w:rPr>
            <w:noProof/>
            <w:webHidden/>
          </w:rPr>
          <w:fldChar w:fldCharType="begin"/>
        </w:r>
        <w:r>
          <w:rPr>
            <w:noProof/>
            <w:webHidden/>
          </w:rPr>
          <w:instrText xml:space="preserve"> PAGEREF _Toc300001307 \h </w:instrText>
        </w:r>
        <w:r>
          <w:rPr>
            <w:noProof/>
            <w:webHidden/>
          </w:rPr>
          <w:fldChar w:fldCharType="separate"/>
        </w:r>
        <w:r>
          <w:rPr>
            <w:noProof/>
            <w:webHidden/>
          </w:rPr>
          <w:t>1499</w:t>
        </w:r>
        <w:r>
          <w:rPr>
            <w:noProof/>
            <w:webHidden/>
          </w:rPr>
          <w:fldChar w:fldCharType="end"/>
        </w:r>
      </w:hyperlink>
    </w:p>
    <w:p>
      <w:pPr>
        <w:pStyle w:val="TOC1"/>
      </w:pPr>
      <w:hyperlink w:anchor="_Toc300001308" w:history="1">
        <w:r>
          <w:rPr>
            <w:noProof/>
          </w:rPr>
          <w:t xml:space="preserve">CHAPTER 37 CRITICAL MINERALS AND STRATEGIC MATERIALS</w:t>
        </w:r>
        <w:r>
          <w:rPr>
            <w:noProof/>
            <w:webHidden/>
          </w:rPr>
          <w:tab/>
        </w:r>
        <w:r>
          <w:rPr>
            <w:noProof/>
            <w:webHidden/>
          </w:rPr>
          <w:fldChar w:fldCharType="begin"/>
        </w:r>
        <w:r>
          <w:rPr>
            <w:noProof/>
            <w:webHidden/>
          </w:rPr>
          <w:instrText xml:space="preserve"> PAGEREF _Toc300001308 \h </w:instrText>
        </w:r>
        <w:r>
          <w:rPr>
            <w:noProof/>
            <w:webHidden/>
          </w:rPr>
          <w:fldChar w:fldCharType="separate"/>
        </w:r>
        <w:r>
          <w:rPr>
            <w:noProof/>
            <w:webHidden/>
          </w:rPr>
          <w:t>1500</w:t>
        </w:r>
        <w:r>
          <w:rPr>
            <w:noProof/>
            <w:webHidden/>
          </w:rPr>
          <w:fldChar w:fldCharType="end"/>
        </w:r>
      </w:hyperlink>
    </w:p>
    <w:p>
      <w:pPr>
        <w:pStyle w:val="TOC2"/>
      </w:pPr>
      <w:hyperlink w:anchor="_Toc300001309" w:history="1">
        <w:r>
          <w:rPr>
            <w:noProof/>
          </w:rPr>
          <w:t xml:space="preserve">Article 37.1: Purpose</w:t>
        </w:r>
        <w:r>
          <w:rPr>
            <w:noProof/>
            <w:webHidden/>
          </w:rPr>
          <w:tab/>
        </w:r>
        <w:r>
          <w:rPr>
            <w:noProof/>
            <w:webHidden/>
          </w:rPr>
          <w:fldChar w:fldCharType="begin"/>
        </w:r>
        <w:r>
          <w:rPr>
            <w:noProof/>
            <w:webHidden/>
          </w:rPr>
          <w:instrText xml:space="preserve"> PAGEREF _Toc300001309 \h </w:instrText>
        </w:r>
        <w:r>
          <w:rPr>
            <w:noProof/>
            <w:webHidden/>
          </w:rPr>
          <w:fldChar w:fldCharType="separate"/>
        </w:r>
        <w:r>
          <w:rPr>
            <w:noProof/>
            <w:webHidden/>
          </w:rPr>
          <w:t>1500</w:t>
        </w:r>
        <w:r>
          <w:rPr>
            <w:noProof/>
            <w:webHidden/>
          </w:rPr>
          <w:fldChar w:fldCharType="end"/>
        </w:r>
      </w:hyperlink>
    </w:p>
    <w:p>
      <w:pPr>
        <w:pStyle w:val="TOC2"/>
      </w:pPr>
      <w:hyperlink w:anchor="_Toc300001310" w:history="1">
        <w:r>
          <w:rPr>
            <w:noProof/>
          </w:rPr>
          <w:t xml:space="preserve">Article 37.2: Definitions and Scope</w:t>
        </w:r>
        <w:r>
          <w:rPr>
            <w:noProof/>
            <w:webHidden/>
          </w:rPr>
          <w:tab/>
        </w:r>
        <w:r>
          <w:rPr>
            <w:noProof/>
            <w:webHidden/>
          </w:rPr>
          <w:fldChar w:fldCharType="begin"/>
        </w:r>
        <w:r>
          <w:rPr>
            <w:noProof/>
            <w:webHidden/>
          </w:rPr>
          <w:instrText xml:space="preserve"> PAGEREF _Toc300001310 \h </w:instrText>
        </w:r>
        <w:r>
          <w:rPr>
            <w:noProof/>
            <w:webHidden/>
          </w:rPr>
          <w:fldChar w:fldCharType="separate"/>
        </w:r>
        <w:r>
          <w:rPr>
            <w:noProof/>
            <w:webHidden/>
          </w:rPr>
          <w:t>1500</w:t>
        </w:r>
        <w:r>
          <w:rPr>
            <w:noProof/>
            <w:webHidden/>
          </w:rPr>
          <w:fldChar w:fldCharType="end"/>
        </w:r>
      </w:hyperlink>
    </w:p>
    <w:p>
      <w:pPr>
        <w:pStyle w:val="TOC2"/>
      </w:pPr>
      <w:hyperlink w:anchor="_Toc300001311" w:history="1">
        <w:r>
          <w:rPr>
            <w:noProof/>
          </w:rPr>
          <w:t xml:space="preserve">Article 37.3: Facilitation of Trade</w:t>
        </w:r>
        <w:r>
          <w:rPr>
            <w:noProof/>
            <w:webHidden/>
          </w:rPr>
          <w:tab/>
        </w:r>
        <w:r>
          <w:rPr>
            <w:noProof/>
            <w:webHidden/>
          </w:rPr>
          <w:fldChar w:fldCharType="begin"/>
        </w:r>
        <w:r>
          <w:rPr>
            <w:noProof/>
            <w:webHidden/>
          </w:rPr>
          <w:instrText xml:space="preserve"> PAGEREF _Toc300001311 \h </w:instrText>
        </w:r>
        <w:r>
          <w:rPr>
            <w:noProof/>
            <w:webHidden/>
          </w:rPr>
          <w:fldChar w:fldCharType="separate"/>
        </w:r>
        <w:r>
          <w:rPr>
            <w:noProof/>
            <w:webHidden/>
          </w:rPr>
          <w:t>1500</w:t>
        </w:r>
        <w:r>
          <w:rPr>
            <w:noProof/>
            <w:webHidden/>
          </w:rPr>
          <w:fldChar w:fldCharType="end"/>
        </w:r>
      </w:hyperlink>
    </w:p>
    <w:p>
      <w:pPr>
        <w:pStyle w:val="TOC2"/>
      </w:pPr>
      <w:hyperlink w:anchor="_Toc300001312" w:history="1">
        <w:r>
          <w:rPr>
            <w:noProof/>
          </w:rPr>
          <w:t xml:space="preserve">Article 37.4: Traceability</w:t>
        </w:r>
        <w:r>
          <w:rPr>
            <w:noProof/>
            <w:webHidden/>
          </w:rPr>
          <w:tab/>
        </w:r>
        <w:r>
          <w:rPr>
            <w:noProof/>
            <w:webHidden/>
          </w:rPr>
          <w:fldChar w:fldCharType="begin"/>
        </w:r>
        <w:r>
          <w:rPr>
            <w:noProof/>
            <w:webHidden/>
          </w:rPr>
          <w:instrText xml:space="preserve"> PAGEREF _Toc300001312 \h </w:instrText>
        </w:r>
        <w:r>
          <w:rPr>
            <w:noProof/>
            <w:webHidden/>
          </w:rPr>
          <w:fldChar w:fldCharType="separate"/>
        </w:r>
        <w:r>
          <w:rPr>
            <w:noProof/>
            <w:webHidden/>
          </w:rPr>
          <w:t>1501</w:t>
        </w:r>
        <w:r>
          <w:rPr>
            <w:noProof/>
            <w:webHidden/>
          </w:rPr>
          <w:fldChar w:fldCharType="end"/>
        </w:r>
      </w:hyperlink>
    </w:p>
    <w:p>
      <w:pPr>
        <w:pStyle w:val="TOC2"/>
      </w:pPr>
      <w:hyperlink w:anchor="_Toc300001313" w:history="1">
        <w:r>
          <w:rPr>
            <w:noProof/>
          </w:rPr>
          <w:t xml:space="preserve">Article 37.5: Resilient Processing Capacity</w:t>
        </w:r>
        <w:r>
          <w:rPr>
            <w:noProof/>
            <w:webHidden/>
          </w:rPr>
          <w:tab/>
        </w:r>
        <w:r>
          <w:rPr>
            <w:noProof/>
            <w:webHidden/>
          </w:rPr>
          <w:fldChar w:fldCharType="begin"/>
        </w:r>
        <w:r>
          <w:rPr>
            <w:noProof/>
            <w:webHidden/>
          </w:rPr>
          <w:instrText xml:space="preserve"> PAGEREF _Toc300001313 \h </w:instrText>
        </w:r>
        <w:r>
          <w:rPr>
            <w:noProof/>
            <w:webHidden/>
          </w:rPr>
          <w:fldChar w:fldCharType="separate"/>
        </w:r>
        <w:r>
          <w:rPr>
            <w:noProof/>
            <w:webHidden/>
          </w:rPr>
          <w:t>1501</w:t>
        </w:r>
        <w:r>
          <w:rPr>
            <w:noProof/>
            <w:webHidden/>
          </w:rPr>
          <w:fldChar w:fldCharType="end"/>
        </w:r>
      </w:hyperlink>
    </w:p>
    <w:p>
      <w:pPr>
        <w:pStyle w:val="TOC2"/>
      </w:pPr>
      <w:hyperlink w:anchor="_Toc300001314" w:history="1">
        <w:r>
          <w:rPr>
            <w:noProof/>
          </w:rPr>
          <w:t xml:space="preserve">Article 37.6: Recycling and Circular Supply</w:t>
        </w:r>
        <w:r>
          <w:rPr>
            <w:noProof/>
            <w:webHidden/>
          </w:rPr>
          <w:tab/>
        </w:r>
        <w:r>
          <w:rPr>
            <w:noProof/>
            <w:webHidden/>
          </w:rPr>
          <w:fldChar w:fldCharType="begin"/>
        </w:r>
        <w:r>
          <w:rPr>
            <w:noProof/>
            <w:webHidden/>
          </w:rPr>
          <w:instrText xml:space="preserve"> PAGEREF _Toc300001314 \h </w:instrText>
        </w:r>
        <w:r>
          <w:rPr>
            <w:noProof/>
            <w:webHidden/>
          </w:rPr>
          <w:fldChar w:fldCharType="separate"/>
        </w:r>
        <w:r>
          <w:rPr>
            <w:noProof/>
            <w:webHidden/>
          </w:rPr>
          <w:t>1502</w:t>
        </w:r>
        <w:r>
          <w:rPr>
            <w:noProof/>
            <w:webHidden/>
          </w:rPr>
          <w:fldChar w:fldCharType="end"/>
        </w:r>
      </w:hyperlink>
    </w:p>
    <w:p>
      <w:pPr>
        <w:pStyle w:val="TOC2"/>
      </w:pPr>
      <w:hyperlink w:anchor="_Toc300001315" w:history="1">
        <w:r>
          <w:rPr>
            <w:noProof/>
          </w:rPr>
          <w:t xml:space="preserve">Article 37.6A: Trusted Non-Party Strategic Materials and Advanced-Metals Access</w:t>
        </w:r>
        <w:r>
          <w:rPr>
            <w:noProof/>
            <w:webHidden/>
          </w:rPr>
          <w:tab/>
        </w:r>
        <w:r>
          <w:rPr>
            <w:noProof/>
            <w:webHidden/>
          </w:rPr>
          <w:fldChar w:fldCharType="begin"/>
        </w:r>
        <w:r>
          <w:rPr>
            <w:noProof/>
            <w:webHidden/>
          </w:rPr>
          <w:instrText xml:space="preserve"> PAGEREF _Toc300001315 \h </w:instrText>
        </w:r>
        <w:r>
          <w:rPr>
            <w:noProof/>
            <w:webHidden/>
          </w:rPr>
          <w:fldChar w:fldCharType="separate"/>
        </w:r>
        <w:r>
          <w:rPr>
            <w:noProof/>
            <w:webHidden/>
          </w:rPr>
          <w:t>1502</w:t>
        </w:r>
        <w:r>
          <w:rPr>
            <w:noProof/>
            <w:webHidden/>
          </w:rPr>
          <w:fldChar w:fldCharType="end"/>
        </w:r>
      </w:hyperlink>
    </w:p>
    <w:p>
      <w:pPr>
        <w:pStyle w:val="TOC2"/>
      </w:pPr>
      <w:hyperlink w:anchor="_Toc300001316" w:history="1">
        <w:r>
          <w:rPr>
            <w:noProof/>
          </w:rPr>
          <w:t xml:space="preserve">Article 37.6B: Strategic Resource Non-Exclusivity and Voluntary Offtake</w:t>
        </w:r>
        <w:r>
          <w:rPr>
            <w:noProof/>
            <w:webHidden/>
          </w:rPr>
          <w:tab/>
        </w:r>
        <w:r>
          <w:rPr>
            <w:noProof/>
            <w:webHidden/>
          </w:rPr>
          <w:fldChar w:fldCharType="begin"/>
        </w:r>
        <w:r>
          <w:rPr>
            <w:noProof/>
            <w:webHidden/>
          </w:rPr>
          <w:instrText xml:space="preserve"> PAGEREF _Toc300001316 \h </w:instrText>
        </w:r>
        <w:r>
          <w:rPr>
            <w:noProof/>
            <w:webHidden/>
          </w:rPr>
          <w:fldChar w:fldCharType="separate"/>
        </w:r>
        <w:r>
          <w:rPr>
            <w:noProof/>
            <w:webHidden/>
          </w:rPr>
          <w:t>1503</w:t>
        </w:r>
        <w:r>
          <w:rPr>
            <w:noProof/>
            <w:webHidden/>
          </w:rPr>
          <w:fldChar w:fldCharType="end"/>
        </w:r>
      </w:hyperlink>
    </w:p>
    <w:p>
      <w:pPr>
        <w:pStyle w:val="TOC2"/>
      </w:pPr>
      <w:hyperlink w:anchor="_Toc300001317" w:history="1">
        <w:r>
          <w:rPr>
            <w:noProof/>
          </w:rPr>
          <w:t xml:space="preserve">Article 37.6C: Strategic Materials Preferred Commercial Access Portfolio</w:t>
        </w:r>
        <w:r>
          <w:rPr>
            <w:noProof/>
            <w:webHidden/>
          </w:rPr>
          <w:tab/>
        </w:r>
        <w:r>
          <w:rPr>
            <w:noProof/>
            <w:webHidden/>
          </w:rPr>
          <w:fldChar w:fldCharType="begin"/>
        </w:r>
        <w:r>
          <w:rPr>
            <w:noProof/>
            <w:webHidden/>
          </w:rPr>
          <w:instrText xml:space="preserve"> PAGEREF _Toc300001317 \h </w:instrText>
        </w:r>
        <w:r>
          <w:rPr>
            <w:noProof/>
            <w:webHidden/>
          </w:rPr>
          <w:fldChar w:fldCharType="separate"/>
        </w:r>
        <w:r>
          <w:rPr>
            <w:noProof/>
            <w:webHidden/>
          </w:rPr>
          <w:t>1504</w:t>
        </w:r>
        <w:r>
          <w:rPr>
            <w:noProof/>
            <w:webHidden/>
          </w:rPr>
          <w:fldChar w:fldCharType="end"/>
        </w:r>
      </w:hyperlink>
    </w:p>
    <w:p>
      <w:pPr>
        <w:pStyle w:val="TOC2"/>
      </w:pPr>
      <w:hyperlink w:anchor="_Toc300001318" w:history="1">
        <w:r>
          <w:rPr>
            <w:noProof/>
          </w:rPr>
          <w:t xml:space="preserve">Article 37.6D: Abundance-Sensitive and Strategic-Sensitivity Calibration</w:t>
        </w:r>
        <w:r>
          <w:rPr>
            <w:noProof/>
            <w:webHidden/>
          </w:rPr>
          <w:tab/>
        </w:r>
        <w:r>
          <w:rPr>
            <w:noProof/>
            <w:webHidden/>
          </w:rPr>
          <w:fldChar w:fldCharType="begin"/>
        </w:r>
        <w:r>
          <w:rPr>
            <w:noProof/>
            <w:webHidden/>
          </w:rPr>
          <w:instrText xml:space="preserve"> PAGEREF _Toc300001318 \h </w:instrText>
        </w:r>
        <w:r>
          <w:rPr>
            <w:noProof/>
            <w:webHidden/>
          </w:rPr>
          <w:fldChar w:fldCharType="separate"/>
        </w:r>
        <w:r>
          <w:rPr>
            <w:noProof/>
            <w:webHidden/>
          </w:rPr>
          <w:t>1505</w:t>
        </w:r>
        <w:r>
          <w:rPr>
            <w:noProof/>
            <w:webHidden/>
          </w:rPr>
          <w:fldChar w:fldCharType="end"/>
        </w:r>
      </w:hyperlink>
    </w:p>
    <w:p>
      <w:pPr>
        <w:pStyle w:val="TOC2"/>
      </w:pPr>
      <w:hyperlink w:anchor="_Toc300001319" w:history="1">
        <w:r>
          <w:rPr>
            <w:noProof/>
          </w:rPr>
          <w:t xml:space="preserve">Article 37.7: Strategic Stockpile Information</w:t>
        </w:r>
        <w:r>
          <w:rPr>
            <w:noProof/>
            <w:webHidden/>
          </w:rPr>
          <w:tab/>
        </w:r>
        <w:r>
          <w:rPr>
            <w:noProof/>
            <w:webHidden/>
          </w:rPr>
          <w:fldChar w:fldCharType="begin"/>
        </w:r>
        <w:r>
          <w:rPr>
            <w:noProof/>
            <w:webHidden/>
          </w:rPr>
          <w:instrText xml:space="preserve"> PAGEREF _Toc300001319 \h </w:instrText>
        </w:r>
        <w:r>
          <w:rPr>
            <w:noProof/>
            <w:webHidden/>
          </w:rPr>
          <w:fldChar w:fldCharType="separate"/>
        </w:r>
        <w:r>
          <w:rPr>
            <w:noProof/>
            <w:webHidden/>
          </w:rPr>
          <w:t>1505</w:t>
        </w:r>
        <w:r>
          <w:rPr>
            <w:noProof/>
            <w:webHidden/>
          </w:rPr>
          <w:fldChar w:fldCharType="end"/>
        </w:r>
      </w:hyperlink>
    </w:p>
    <w:p>
      <w:pPr>
        <w:pStyle w:val="TOC2"/>
      </w:pPr>
      <w:hyperlink w:anchor="_Toc300001320" w:history="1">
        <w:r>
          <w:rPr>
            <w:noProof/>
          </w:rPr>
          <w:t xml:space="preserve">ANNEX 37-B: INITIAL TRUSTED STRATEGIC MATERIALS COOPERATION</w:t>
        </w:r>
        <w:r>
          <w:rPr>
            <w:noProof/>
            <w:webHidden/>
          </w:rPr>
          <w:tab/>
        </w:r>
        <w:r>
          <w:rPr>
            <w:noProof/>
            <w:webHidden/>
          </w:rPr>
          <w:fldChar w:fldCharType="begin"/>
        </w:r>
        <w:r>
          <w:rPr>
            <w:noProof/>
            <w:webHidden/>
          </w:rPr>
          <w:instrText xml:space="preserve"> PAGEREF _Toc300001320 \h </w:instrText>
        </w:r>
        <w:r>
          <w:rPr>
            <w:noProof/>
            <w:webHidden/>
          </w:rPr>
          <w:fldChar w:fldCharType="separate"/>
        </w:r>
        <w:r>
          <w:rPr>
            <w:noProof/>
            <w:webHidden/>
          </w:rPr>
          <w:t>1506</w:t>
        </w:r>
        <w:r>
          <w:rPr>
            <w:noProof/>
            <w:webHidden/>
          </w:rPr>
          <w:fldChar w:fldCharType="end"/>
        </w:r>
      </w:hyperlink>
    </w:p>
    <w:p>
      <w:pPr>
        <w:pStyle w:val="TOC2"/>
      </w:pPr>
      <w:hyperlink w:anchor="_Toc300001321" w:history="1">
        <w:r>
          <w:rPr>
            <w:noProof/>
          </w:rPr>
          <w:t xml:space="preserve">ANNEX 37-A: CRITICAL MINERALS AND STRATEGIC MATERIALS LIST</w:t>
        </w:r>
        <w:r>
          <w:rPr>
            <w:noProof/>
            <w:webHidden/>
          </w:rPr>
          <w:tab/>
        </w:r>
        <w:r>
          <w:rPr>
            <w:noProof/>
            <w:webHidden/>
          </w:rPr>
          <w:fldChar w:fldCharType="begin"/>
        </w:r>
        <w:r>
          <w:rPr>
            <w:noProof/>
            <w:webHidden/>
          </w:rPr>
          <w:instrText xml:space="preserve"> PAGEREF _Toc300001321 \h </w:instrText>
        </w:r>
        <w:r>
          <w:rPr>
            <w:noProof/>
            <w:webHidden/>
          </w:rPr>
          <w:fldChar w:fldCharType="separate"/>
        </w:r>
        <w:r>
          <w:rPr>
            <w:noProof/>
            <w:webHidden/>
          </w:rPr>
          <w:t>1506</w:t>
        </w:r>
        <w:r>
          <w:rPr>
            <w:noProof/>
            <w:webHidden/>
          </w:rPr>
          <w:fldChar w:fldCharType="end"/>
        </w:r>
      </w:hyperlink>
    </w:p>
    <w:p>
      <w:pPr>
        <w:pStyle w:val="TOC2"/>
      </w:pPr>
      <w:hyperlink w:anchor="_Toc300001322" w:history="1">
        <w:r>
          <w:rPr>
            <w:noProof/>
          </w:rPr>
          <w:t xml:space="preserve">Article 37.8: North American Aluminum Security and Capacity Expansion</w:t>
        </w:r>
        <w:r>
          <w:rPr>
            <w:noProof/>
            <w:webHidden/>
          </w:rPr>
          <w:tab/>
        </w:r>
        <w:r>
          <w:rPr>
            <w:noProof/>
            <w:webHidden/>
          </w:rPr>
          <w:fldChar w:fldCharType="begin"/>
        </w:r>
        <w:r>
          <w:rPr>
            <w:noProof/>
            <w:webHidden/>
          </w:rPr>
          <w:instrText xml:space="preserve"> PAGEREF _Toc300001322 \h </w:instrText>
        </w:r>
        <w:r>
          <w:rPr>
            <w:noProof/>
            <w:webHidden/>
          </w:rPr>
          <w:fldChar w:fldCharType="separate"/>
        </w:r>
        <w:r>
          <w:rPr>
            <w:noProof/>
            <w:webHidden/>
          </w:rPr>
          <w:t>1507</w:t>
        </w:r>
        <w:r>
          <w:rPr>
            <w:noProof/>
            <w:webHidden/>
          </w:rPr>
          <w:fldChar w:fldCharType="end"/>
        </w:r>
      </w:hyperlink>
    </w:p>
    <w:p>
      <w:pPr>
        <w:pStyle w:val="TOC2"/>
      </w:pPr>
      <w:hyperlink w:anchor="_Toc300001323" w:history="1">
        <w:r>
          <w:rPr>
            <w:noProof/>
          </w:rPr>
          <w:t xml:space="preserve">Article 37.9: Semiconductor Materials Security and High-Purity Processing</w:t>
        </w:r>
        <w:r>
          <w:rPr>
            <w:noProof/>
            <w:webHidden/>
          </w:rPr>
          <w:tab/>
        </w:r>
        <w:r>
          <w:rPr>
            <w:noProof/>
            <w:webHidden/>
          </w:rPr>
          <w:fldChar w:fldCharType="begin"/>
        </w:r>
        <w:r>
          <w:rPr>
            <w:noProof/>
            <w:webHidden/>
          </w:rPr>
          <w:instrText xml:space="preserve"> PAGEREF _Toc300001323 \h </w:instrText>
        </w:r>
        <w:r>
          <w:rPr>
            <w:noProof/>
            <w:webHidden/>
          </w:rPr>
          <w:fldChar w:fldCharType="separate"/>
        </w:r>
        <w:r>
          <w:rPr>
            <w:noProof/>
            <w:webHidden/>
          </w:rPr>
          <w:t>1507</w:t>
        </w:r>
        <w:r>
          <w:rPr>
            <w:noProof/>
            <w:webHidden/>
          </w:rPr>
          <w:fldChar w:fldCharType="end"/>
        </w:r>
      </w:hyperlink>
    </w:p>
    <w:p>
      <w:pPr>
        <w:pStyle w:val="TOC2"/>
      </w:pPr>
      <w:hyperlink w:anchor="_Toc300001324" w:history="1">
        <w:r>
          <w:rPr>
            <w:noProof/>
          </w:rPr>
          <w:t xml:space="preserve">Article 37.10: North American Strategic Materials Compact and Reciprocal Supply Assurance</w:t>
        </w:r>
        <w:r>
          <w:rPr>
            <w:noProof/>
            <w:webHidden/>
          </w:rPr>
          <w:tab/>
        </w:r>
        <w:r>
          <w:rPr>
            <w:noProof/>
            <w:webHidden/>
          </w:rPr>
          <w:fldChar w:fldCharType="begin"/>
        </w:r>
        <w:r>
          <w:rPr>
            <w:noProof/>
            <w:webHidden/>
          </w:rPr>
          <w:instrText xml:space="preserve"> PAGEREF _Toc300001324 \h </w:instrText>
        </w:r>
        <w:r>
          <w:rPr>
            <w:noProof/>
            <w:webHidden/>
          </w:rPr>
          <w:fldChar w:fldCharType="separate"/>
        </w:r>
        <w:r>
          <w:rPr>
            <w:noProof/>
            <w:webHidden/>
          </w:rPr>
          <w:t>1507</w:t>
        </w:r>
        <w:r>
          <w:rPr>
            <w:noProof/>
            <w:webHidden/>
          </w:rPr>
          <w:fldChar w:fldCharType="end"/>
        </w:r>
      </w:hyperlink>
    </w:p>
    <w:p>
      <w:pPr>
        <w:pStyle w:val="TOC2"/>
      </w:pPr>
      <w:hyperlink w:anchor="_Toc300001325" w:history="1">
        <w:r>
          <w:rPr>
            <w:noProof/>
          </w:rPr>
          <w:t xml:space="preserve">Article 37.11: Strategic Availability Rates, Capacity-Ramp Commitments, and Continuity Guarantees</w:t>
        </w:r>
        <w:r>
          <w:rPr>
            <w:noProof/>
            <w:webHidden/>
          </w:rPr>
          <w:tab/>
        </w:r>
        <w:r>
          <w:rPr>
            <w:noProof/>
            <w:webHidden/>
          </w:rPr>
          <w:fldChar w:fldCharType="begin"/>
        </w:r>
        <w:r>
          <w:rPr>
            <w:noProof/>
            <w:webHidden/>
          </w:rPr>
          <w:instrText xml:space="preserve"> PAGEREF _Toc300001325 \h </w:instrText>
        </w:r>
        <w:r>
          <w:rPr>
            <w:noProof/>
            <w:webHidden/>
          </w:rPr>
          <w:fldChar w:fldCharType="separate"/>
        </w:r>
        <w:r>
          <w:rPr>
            <w:noProof/>
            <w:webHidden/>
          </w:rPr>
          <w:t>1508</w:t>
        </w:r>
        <w:r>
          <w:rPr>
            <w:noProof/>
            <w:webHidden/>
          </w:rPr>
          <w:fldChar w:fldCharType="end"/>
        </w:r>
      </w:hyperlink>
    </w:p>
    <w:p>
      <w:pPr>
        <w:pStyle w:val="TOC2"/>
      </w:pPr>
      <w:hyperlink w:anchor="_Toc300001326" w:history="1">
        <w:r>
          <w:rPr>
            <w:noProof/>
          </w:rPr>
          <w:t xml:space="preserve">Article 37.12: Strategic Availability Calibration and Technical Review</w:t>
        </w:r>
        <w:r>
          <w:rPr>
            <w:noProof/>
            <w:webHidden/>
          </w:rPr>
          <w:tab/>
        </w:r>
        <w:r>
          <w:rPr>
            <w:noProof/>
            <w:webHidden/>
          </w:rPr>
          <w:fldChar w:fldCharType="begin"/>
        </w:r>
        <w:r>
          <w:rPr>
            <w:noProof/>
            <w:webHidden/>
          </w:rPr>
          <w:instrText xml:space="preserve"> PAGEREF _Toc300001326 \h </w:instrText>
        </w:r>
        <w:r>
          <w:rPr>
            <w:noProof/>
            <w:webHidden/>
          </w:rPr>
          <w:fldChar w:fldCharType="separate"/>
        </w:r>
        <w:r>
          <w:rPr>
            <w:noProof/>
            <w:webHidden/>
          </w:rPr>
          <w:t>1509</w:t>
        </w:r>
        <w:r>
          <w:rPr>
            <w:noProof/>
            <w:webHidden/>
          </w:rPr>
          <w:fldChar w:fldCharType="end"/>
        </w:r>
      </w:hyperlink>
    </w:p>
    <w:p>
      <w:pPr>
        <w:pStyle w:val="TOC2"/>
      </w:pPr>
      <w:hyperlink w:anchor="_Toc300001327" w:history="1">
        <w:r>
          <w:rPr>
            <w:noProof/>
          </w:rPr>
          <w:t xml:space="preserve">Article 37.13: Strategic Value-Added Levels and Processing-First Development</w:t>
        </w:r>
        <w:r>
          <w:rPr>
            <w:noProof/>
            <w:webHidden/>
          </w:rPr>
          <w:tab/>
        </w:r>
        <w:r>
          <w:rPr>
            <w:noProof/>
            <w:webHidden/>
          </w:rPr>
          <w:fldChar w:fldCharType="begin"/>
        </w:r>
        <w:r>
          <w:rPr>
            <w:noProof/>
            <w:webHidden/>
          </w:rPr>
          <w:instrText xml:space="preserve"> PAGEREF _Toc300001327 \h </w:instrText>
        </w:r>
        <w:r>
          <w:rPr>
            <w:noProof/>
            <w:webHidden/>
          </w:rPr>
          <w:fldChar w:fldCharType="separate"/>
        </w:r>
        <w:r>
          <w:rPr>
            <w:noProof/>
            <w:webHidden/>
          </w:rPr>
          <w:t>1509</w:t>
        </w:r>
        <w:r>
          <w:rPr>
            <w:noProof/>
            <w:webHidden/>
          </w:rPr>
          <w:fldChar w:fldCharType="end"/>
        </w:r>
      </w:hyperlink>
    </w:p>
    <w:p>
      <w:pPr>
        <w:pStyle w:val="TOC2"/>
      </w:pPr>
      <w:hyperlink w:anchor="_Toc300001328" w:history="1">
        <w:r>
          <w:rPr>
            <w:noProof/>
          </w:rPr>
          <w:t xml:space="preserve">Article 37.14: Strategic Project Pipeline, Qualification, Offtake, and Reserve Eligibility</w:t>
        </w:r>
        <w:r>
          <w:rPr>
            <w:noProof/>
            <w:webHidden/>
          </w:rPr>
          <w:tab/>
        </w:r>
        <w:r>
          <w:rPr>
            <w:noProof/>
            <w:webHidden/>
          </w:rPr>
          <w:fldChar w:fldCharType="begin"/>
        </w:r>
        <w:r>
          <w:rPr>
            <w:noProof/>
            <w:webHidden/>
          </w:rPr>
          <w:instrText xml:space="preserve"> PAGEREF _Toc300001328 \h </w:instrText>
        </w:r>
        <w:r>
          <w:rPr>
            <w:noProof/>
            <w:webHidden/>
          </w:rPr>
          <w:fldChar w:fldCharType="separate"/>
        </w:r>
        <w:r>
          <w:rPr>
            <w:noProof/>
            <w:webHidden/>
          </w:rPr>
          <w:t>1510</w:t>
        </w:r>
        <w:r>
          <w:rPr>
            <w:noProof/>
            <w:webHidden/>
          </w:rPr>
          <w:fldChar w:fldCharType="end"/>
        </w:r>
      </w:hyperlink>
    </w:p>
    <w:p>
      <w:pPr>
        <w:pStyle w:val="TOC2"/>
      </w:pPr>
      <w:hyperlink w:anchor="_Toc300001329" w:history="1">
        <w:r>
          <w:rPr>
            <w:noProof/>
          </w:rPr>
          <w:t xml:space="preserve">Article 37.15: Emergency Allocation, Domestic-Needs Floor, and No Preferential Starvation</w:t>
        </w:r>
        <w:r>
          <w:rPr>
            <w:noProof/>
            <w:webHidden/>
          </w:rPr>
          <w:tab/>
        </w:r>
        <w:r>
          <w:rPr>
            <w:noProof/>
            <w:webHidden/>
          </w:rPr>
          <w:fldChar w:fldCharType="begin"/>
        </w:r>
        <w:r>
          <w:rPr>
            <w:noProof/>
            <w:webHidden/>
          </w:rPr>
          <w:instrText xml:space="preserve"> PAGEREF _Toc300001329 \h </w:instrText>
        </w:r>
        <w:r>
          <w:rPr>
            <w:noProof/>
            <w:webHidden/>
          </w:rPr>
          <w:fldChar w:fldCharType="separate"/>
        </w:r>
        <w:r>
          <w:rPr>
            <w:noProof/>
            <w:webHidden/>
          </w:rPr>
          <w:t>1510</w:t>
        </w:r>
        <w:r>
          <w:rPr>
            <w:noProof/>
            <w:webHidden/>
          </w:rPr>
          <w:fldChar w:fldCharType="end"/>
        </w:r>
      </w:hyperlink>
    </w:p>
    <w:p>
      <w:pPr>
        <w:pStyle w:val="TOC2"/>
      </w:pPr>
      <w:hyperlink w:anchor="_Toc300001330" w:history="1">
        <w:r>
          <w:rPr>
            <w:noProof/>
          </w:rPr>
          <w:t xml:space="preserve">Article 37.16: Anti-Hoarding, Anti-Diversion, Origin Integrity, and Strategic Supply Verification</w:t>
        </w:r>
        <w:r>
          <w:rPr>
            <w:noProof/>
            <w:webHidden/>
          </w:rPr>
          <w:tab/>
        </w:r>
        <w:r>
          <w:rPr>
            <w:noProof/>
            <w:webHidden/>
          </w:rPr>
          <w:fldChar w:fldCharType="begin"/>
        </w:r>
        <w:r>
          <w:rPr>
            <w:noProof/>
            <w:webHidden/>
          </w:rPr>
          <w:instrText xml:space="preserve"> PAGEREF _Toc300001330 \h </w:instrText>
        </w:r>
        <w:r>
          <w:rPr>
            <w:noProof/>
            <w:webHidden/>
          </w:rPr>
          <w:fldChar w:fldCharType="separate"/>
        </w:r>
        <w:r>
          <w:rPr>
            <w:noProof/>
            <w:webHidden/>
          </w:rPr>
          <w:t>1511</w:t>
        </w:r>
        <w:r>
          <w:rPr>
            <w:noProof/>
            <w:webHidden/>
          </w:rPr>
          <w:fldChar w:fldCharType="end"/>
        </w:r>
      </w:hyperlink>
    </w:p>
    <w:p>
      <w:pPr>
        <w:pStyle w:val="TOC2"/>
      </w:pPr>
      <w:hyperlink w:anchor="_Toc300001331" w:history="1">
        <w:r>
          <w:rPr>
            <w:noProof/>
          </w:rPr>
          <w:t xml:space="preserve">Article 37.17: Trilateral Industrialization, Community Participation, and Circular Supply</w:t>
        </w:r>
        <w:r>
          <w:rPr>
            <w:noProof/>
            <w:webHidden/>
          </w:rPr>
          <w:tab/>
        </w:r>
        <w:r>
          <w:rPr>
            <w:noProof/>
            <w:webHidden/>
          </w:rPr>
          <w:fldChar w:fldCharType="begin"/>
        </w:r>
        <w:r>
          <w:rPr>
            <w:noProof/>
            <w:webHidden/>
          </w:rPr>
          <w:instrText xml:space="preserve"> PAGEREF _Toc300001331 \h </w:instrText>
        </w:r>
        <w:r>
          <w:rPr>
            <w:noProof/>
            <w:webHidden/>
          </w:rPr>
          <w:fldChar w:fldCharType="separate"/>
        </w:r>
        <w:r>
          <w:rPr>
            <w:noProof/>
            <w:webHidden/>
          </w:rPr>
          <w:t>1511</w:t>
        </w:r>
        <w:r>
          <w:rPr>
            <w:noProof/>
            <w:webHidden/>
          </w:rPr>
          <w:fldChar w:fldCharType="end"/>
        </w:r>
      </w:hyperlink>
    </w:p>
    <w:p>
      <w:pPr>
        <w:pStyle w:val="TOC2"/>
      </w:pPr>
      <w:hyperlink w:anchor="_Toc300001332" w:history="1">
        <w:r>
          <w:rPr>
            <w:noProof/>
          </w:rPr>
          <w:t xml:space="preserve">Article 37.18: Strategic Resources Stability Bargain and Cross-Sector De-escalation</w:t>
        </w:r>
        <w:r>
          <w:rPr>
            <w:noProof/>
            <w:webHidden/>
          </w:rPr>
          <w:tab/>
        </w:r>
        <w:r>
          <w:rPr>
            <w:noProof/>
            <w:webHidden/>
          </w:rPr>
          <w:fldChar w:fldCharType="begin"/>
        </w:r>
        <w:r>
          <w:rPr>
            <w:noProof/>
            <w:webHidden/>
          </w:rPr>
          <w:instrText xml:space="preserve"> PAGEREF _Toc300001332 \h </w:instrText>
        </w:r>
        <w:r>
          <w:rPr>
            <w:noProof/>
            <w:webHidden/>
          </w:rPr>
          <w:fldChar w:fldCharType="separate"/>
        </w:r>
        <w:r>
          <w:rPr>
            <w:noProof/>
            <w:webHidden/>
          </w:rPr>
          <w:t>1512</w:t>
        </w:r>
        <w:r>
          <w:rPr>
            <w:noProof/>
            <w:webHidden/>
          </w:rPr>
          <w:fldChar w:fldCharType="end"/>
        </w:r>
      </w:hyperlink>
    </w:p>
    <w:p>
      <w:pPr>
        <w:pStyle w:val="TOC2"/>
      </w:pPr>
      <w:hyperlink w:anchor="_Toc300001333" w:history="1">
        <w:r>
          <w:rPr>
            <w:noProof/>
          </w:rPr>
          <w:t xml:space="preserve">ANNEX 37-C: NORTH AMERICAN STRATEGIC MATERIALS MATRIX</w:t>
        </w:r>
        <w:r>
          <w:rPr>
            <w:noProof/>
            <w:webHidden/>
          </w:rPr>
          <w:tab/>
        </w:r>
        <w:r>
          <w:rPr>
            <w:noProof/>
            <w:webHidden/>
          </w:rPr>
          <w:fldChar w:fldCharType="begin"/>
        </w:r>
        <w:r>
          <w:rPr>
            <w:noProof/>
            <w:webHidden/>
          </w:rPr>
          <w:instrText xml:space="preserve"> PAGEREF _Toc300001333 \h </w:instrText>
        </w:r>
        <w:r>
          <w:rPr>
            <w:noProof/>
            <w:webHidden/>
          </w:rPr>
          <w:fldChar w:fldCharType="separate"/>
        </w:r>
        <w:r>
          <w:rPr>
            <w:noProof/>
            <w:webHidden/>
          </w:rPr>
          <w:t>1512</w:t>
        </w:r>
        <w:r>
          <w:rPr>
            <w:noProof/>
            <w:webHidden/>
          </w:rPr>
          <w:fldChar w:fldCharType="end"/>
        </w:r>
      </w:hyperlink>
    </w:p>
    <w:p>
      <w:pPr>
        <w:pStyle w:val="TOC2"/>
      </w:pPr>
      <w:hyperlink w:anchor="_Toc300001334" w:history="1">
        <w:r>
          <w:rPr>
            <w:noProof/>
          </w:rPr>
          <w:t xml:space="preserve">Article 37.19: North American Strategic Minerals Bargain Framework</w:t>
        </w:r>
        <w:r>
          <w:rPr>
            <w:noProof/>
            <w:webHidden/>
          </w:rPr>
          <w:tab/>
        </w:r>
        <w:r>
          <w:rPr>
            <w:noProof/>
            <w:webHidden/>
          </w:rPr>
          <w:fldChar w:fldCharType="begin"/>
        </w:r>
        <w:r>
          <w:rPr>
            <w:noProof/>
            <w:webHidden/>
          </w:rPr>
          <w:instrText xml:space="preserve"> PAGEREF _Toc300001334 \h </w:instrText>
        </w:r>
        <w:r>
          <w:rPr>
            <w:noProof/>
            <w:webHidden/>
          </w:rPr>
          <w:fldChar w:fldCharType="separate"/>
        </w:r>
        <w:r>
          <w:rPr>
            <w:noProof/>
            <w:webHidden/>
          </w:rPr>
          <w:t>1515</w:t>
        </w:r>
        <w:r>
          <w:rPr>
            <w:noProof/>
            <w:webHidden/>
          </w:rPr>
          <w:fldChar w:fldCharType="end"/>
        </w:r>
      </w:hyperlink>
    </w:p>
    <w:p>
      <w:pPr>
        <w:pStyle w:val="TOC2"/>
      </w:pPr>
      <w:hyperlink w:anchor="_Toc300001335" w:history="1">
        <w:r>
          <w:rPr>
            <w:noProof/>
          </w:rPr>
          <w:t xml:space="preserve">Article 37.20: Strategic Supply Access and Offtake</w:t>
        </w:r>
        <w:r>
          <w:rPr>
            <w:noProof/>
            <w:webHidden/>
          </w:rPr>
          <w:tab/>
        </w:r>
        <w:r>
          <w:rPr>
            <w:noProof/>
            <w:webHidden/>
          </w:rPr>
          <w:fldChar w:fldCharType="begin"/>
        </w:r>
        <w:r>
          <w:rPr>
            <w:noProof/>
            <w:webHidden/>
          </w:rPr>
          <w:instrText xml:space="preserve"> PAGEREF _Toc300001335 \h </w:instrText>
        </w:r>
        <w:r>
          <w:rPr>
            <w:noProof/>
            <w:webHidden/>
          </w:rPr>
          <w:fldChar w:fldCharType="separate"/>
        </w:r>
        <w:r>
          <w:rPr>
            <w:noProof/>
            <w:webHidden/>
          </w:rPr>
          <w:t>1516</w:t>
        </w:r>
        <w:r>
          <w:rPr>
            <w:noProof/>
            <w:webHidden/>
          </w:rPr>
          <w:fldChar w:fldCharType="end"/>
        </w:r>
      </w:hyperlink>
    </w:p>
    <w:p>
      <w:pPr>
        <w:pStyle w:val="TOC2"/>
      </w:pPr>
      <w:hyperlink w:anchor="_Toc300001336" w:history="1">
        <w:r>
          <w:rPr>
            <w:noProof/>
          </w:rPr>
          <w:t xml:space="preserve">Article 37.21: Midstream Gap Register and Raw-to-Refined Additionality</w:t>
        </w:r>
        <w:r>
          <w:rPr>
            <w:noProof/>
            <w:webHidden/>
          </w:rPr>
          <w:tab/>
        </w:r>
        <w:r>
          <w:rPr>
            <w:noProof/>
            <w:webHidden/>
          </w:rPr>
          <w:fldChar w:fldCharType="begin"/>
        </w:r>
        <w:r>
          <w:rPr>
            <w:noProof/>
            <w:webHidden/>
          </w:rPr>
          <w:instrText xml:space="preserve"> PAGEREF _Toc300001336 \h </w:instrText>
        </w:r>
        <w:r>
          <w:rPr>
            <w:noProof/>
            <w:webHidden/>
          </w:rPr>
          <w:fldChar w:fldCharType="separate"/>
        </w:r>
        <w:r>
          <w:rPr>
            <w:noProof/>
            <w:webHidden/>
          </w:rPr>
          <w:t>1516</w:t>
        </w:r>
        <w:r>
          <w:rPr>
            <w:noProof/>
            <w:webHidden/>
          </w:rPr>
          <w:fldChar w:fldCharType="end"/>
        </w:r>
      </w:hyperlink>
    </w:p>
    <w:p>
      <w:pPr>
        <w:pStyle w:val="TOC2"/>
      </w:pPr>
      <w:hyperlink w:anchor="_Toc300001337" w:history="1">
        <w:r>
          <w:rPr>
            <w:noProof/>
          </w:rPr>
          <w:t xml:space="preserve">Article 37.22: Canada - Midstream Industrialization Track</w:t>
        </w:r>
        <w:r>
          <w:rPr>
            <w:noProof/>
            <w:webHidden/>
          </w:rPr>
          <w:tab/>
        </w:r>
        <w:r>
          <w:rPr>
            <w:noProof/>
            <w:webHidden/>
          </w:rPr>
          <w:fldChar w:fldCharType="begin"/>
        </w:r>
        <w:r>
          <w:rPr>
            <w:noProof/>
            <w:webHidden/>
          </w:rPr>
          <w:instrText xml:space="preserve"> PAGEREF _Toc300001337 \h </w:instrText>
        </w:r>
        <w:r>
          <w:rPr>
            <w:noProof/>
            <w:webHidden/>
          </w:rPr>
          <w:fldChar w:fldCharType="separate"/>
        </w:r>
        <w:r>
          <w:rPr>
            <w:noProof/>
            <w:webHidden/>
          </w:rPr>
          <w:t>1516</w:t>
        </w:r>
        <w:r>
          <w:rPr>
            <w:noProof/>
            <w:webHidden/>
          </w:rPr>
          <w:fldChar w:fldCharType="end"/>
        </w:r>
      </w:hyperlink>
    </w:p>
    <w:p>
      <w:pPr>
        <w:pStyle w:val="TOC2"/>
      </w:pPr>
      <w:hyperlink w:anchor="_Toc300001338" w:history="1">
        <w:r>
          <w:rPr>
            <w:noProof/>
          </w:rPr>
          <w:t xml:space="preserve">Article 37.23: United States - Strategic Dependency Reduction Track</w:t>
        </w:r>
        <w:r>
          <w:rPr>
            <w:noProof/>
            <w:webHidden/>
          </w:rPr>
          <w:tab/>
        </w:r>
        <w:r>
          <w:rPr>
            <w:noProof/>
            <w:webHidden/>
          </w:rPr>
          <w:fldChar w:fldCharType="begin"/>
        </w:r>
        <w:r>
          <w:rPr>
            <w:noProof/>
            <w:webHidden/>
          </w:rPr>
          <w:instrText xml:space="preserve"> PAGEREF _Toc300001338 \h </w:instrText>
        </w:r>
        <w:r>
          <w:rPr>
            <w:noProof/>
            <w:webHidden/>
          </w:rPr>
          <w:fldChar w:fldCharType="separate"/>
        </w:r>
        <w:r>
          <w:rPr>
            <w:noProof/>
            <w:webHidden/>
          </w:rPr>
          <w:t>1517</w:t>
        </w:r>
        <w:r>
          <w:rPr>
            <w:noProof/>
            <w:webHidden/>
          </w:rPr>
          <w:fldChar w:fldCharType="end"/>
        </w:r>
      </w:hyperlink>
    </w:p>
    <w:p>
      <w:pPr>
        <w:pStyle w:val="TOC2"/>
      </w:pPr>
      <w:hyperlink w:anchor="_Toc300001339" w:history="1">
        <w:r>
          <w:rPr>
            <w:noProof/>
          </w:rPr>
          <w:t xml:space="preserve">Article 37.24: Mexico - Industrial Inputs Security and Specialty Minerals Track</w:t>
        </w:r>
        <w:r>
          <w:rPr>
            <w:noProof/>
            <w:webHidden/>
          </w:rPr>
          <w:tab/>
        </w:r>
        <w:r>
          <w:rPr>
            <w:noProof/>
            <w:webHidden/>
          </w:rPr>
          <w:fldChar w:fldCharType="begin"/>
        </w:r>
        <w:r>
          <w:rPr>
            <w:noProof/>
            <w:webHidden/>
          </w:rPr>
          <w:instrText xml:space="preserve"> PAGEREF _Toc300001339 \h </w:instrText>
        </w:r>
        <w:r>
          <w:rPr>
            <w:noProof/>
            <w:webHidden/>
          </w:rPr>
          <w:fldChar w:fldCharType="separate"/>
        </w:r>
        <w:r>
          <w:rPr>
            <w:noProof/>
            <w:webHidden/>
          </w:rPr>
          <w:t>1517</w:t>
        </w:r>
        <w:r>
          <w:rPr>
            <w:noProof/>
            <w:webHidden/>
          </w:rPr>
          <w:fldChar w:fldCharType="end"/>
        </w:r>
      </w:hyperlink>
    </w:p>
    <w:p>
      <w:pPr>
        <w:pStyle w:val="TOC2"/>
      </w:pPr>
      <w:hyperlink w:anchor="_Toc300001340" w:history="1">
        <w:r>
          <w:rPr>
            <w:noProof/>
          </w:rPr>
          <w:t xml:space="preserve">Article 37.25: Mexican Fluorspar, Antimony, and Bismuth Cooperation</w:t>
        </w:r>
        <w:r>
          <w:rPr>
            <w:noProof/>
            <w:webHidden/>
          </w:rPr>
          <w:tab/>
        </w:r>
        <w:r>
          <w:rPr>
            <w:noProof/>
            <w:webHidden/>
          </w:rPr>
          <w:fldChar w:fldCharType="begin"/>
        </w:r>
        <w:r>
          <w:rPr>
            <w:noProof/>
            <w:webHidden/>
          </w:rPr>
          <w:instrText xml:space="preserve"> PAGEREF _Toc300001340 \h </w:instrText>
        </w:r>
        <w:r>
          <w:rPr>
            <w:noProof/>
            <w:webHidden/>
          </w:rPr>
          <w:fldChar w:fldCharType="separate"/>
        </w:r>
        <w:r>
          <w:rPr>
            <w:noProof/>
            <w:webHidden/>
          </w:rPr>
          <w:t>1518</w:t>
        </w:r>
        <w:r>
          <w:rPr>
            <w:noProof/>
            <w:webHidden/>
          </w:rPr>
          <w:fldChar w:fldCharType="end"/>
        </w:r>
      </w:hyperlink>
    </w:p>
    <w:p>
      <w:pPr>
        <w:pStyle w:val="TOC2"/>
      </w:pPr>
      <w:hyperlink w:anchor="_Toc300001341" w:history="1">
        <w:r>
          <w:rPr>
            <w:noProof/>
          </w:rPr>
          <w:t xml:space="preserve">Article 37.26: By-Product Recovery and Circular Strategic Materials Initiative</w:t>
        </w:r>
        <w:r>
          <w:rPr>
            <w:noProof/>
            <w:webHidden/>
          </w:rPr>
          <w:tab/>
        </w:r>
        <w:r>
          <w:rPr>
            <w:noProof/>
            <w:webHidden/>
          </w:rPr>
          <w:fldChar w:fldCharType="begin"/>
        </w:r>
        <w:r>
          <w:rPr>
            <w:noProof/>
            <w:webHidden/>
          </w:rPr>
          <w:instrText xml:space="preserve"> PAGEREF _Toc300001341 \h </w:instrText>
        </w:r>
        <w:r>
          <w:rPr>
            <w:noProof/>
            <w:webHidden/>
          </w:rPr>
          <w:fldChar w:fldCharType="separate"/>
        </w:r>
        <w:r>
          <w:rPr>
            <w:noProof/>
            <w:webHidden/>
          </w:rPr>
          <w:t>1518</w:t>
        </w:r>
        <w:r>
          <w:rPr>
            <w:noProof/>
            <w:webHidden/>
          </w:rPr>
          <w:fldChar w:fldCharType="end"/>
        </w:r>
      </w:hyperlink>
    </w:p>
    <w:p>
      <w:pPr>
        <w:pStyle w:val="TOC2"/>
      </w:pPr>
      <w:hyperlink w:anchor="_Toc300001342" w:history="1">
        <w:r>
          <w:rPr>
            <w:noProof/>
          </w:rPr>
          <w:t xml:space="preserve">Article 37.27: In-Continent Conversion Incentive and Processing Retention Principle</w:t>
        </w:r>
        <w:r>
          <w:rPr>
            <w:noProof/>
            <w:webHidden/>
          </w:rPr>
          <w:tab/>
        </w:r>
        <w:r>
          <w:rPr>
            <w:noProof/>
            <w:webHidden/>
          </w:rPr>
          <w:fldChar w:fldCharType="begin"/>
        </w:r>
        <w:r>
          <w:rPr>
            <w:noProof/>
            <w:webHidden/>
          </w:rPr>
          <w:instrText xml:space="preserve"> PAGEREF _Toc300001342 \h </w:instrText>
        </w:r>
        <w:r>
          <w:rPr>
            <w:noProof/>
            <w:webHidden/>
          </w:rPr>
          <w:fldChar w:fldCharType="separate"/>
        </w:r>
        <w:r>
          <w:rPr>
            <w:noProof/>
            <w:webHidden/>
          </w:rPr>
          <w:t>1518</w:t>
        </w:r>
        <w:r>
          <w:rPr>
            <w:noProof/>
            <w:webHidden/>
          </w:rPr>
          <w:fldChar w:fldCharType="end"/>
        </w:r>
      </w:hyperlink>
    </w:p>
    <w:p>
      <w:pPr>
        <w:pStyle w:val="TOC2"/>
      </w:pPr>
      <w:hyperlink w:anchor="_Toc300001343" w:history="1">
        <w:r>
          <w:rPr>
            <w:noProof/>
          </w:rPr>
          <w:t xml:space="preserve">Article 37.28: Strategic Supply Surge Doctrine</w:t>
        </w:r>
        <w:r>
          <w:rPr>
            <w:noProof/>
            <w:webHidden/>
          </w:rPr>
          <w:tab/>
        </w:r>
        <w:r>
          <w:rPr>
            <w:noProof/>
            <w:webHidden/>
          </w:rPr>
          <w:fldChar w:fldCharType="begin"/>
        </w:r>
        <w:r>
          <w:rPr>
            <w:noProof/>
            <w:webHidden/>
          </w:rPr>
          <w:instrText xml:space="preserve"> PAGEREF _Toc300001343 \h </w:instrText>
        </w:r>
        <w:r>
          <w:rPr>
            <w:noProof/>
            <w:webHidden/>
          </w:rPr>
          <w:fldChar w:fldCharType="separate"/>
        </w:r>
        <w:r>
          <w:rPr>
            <w:noProof/>
            <w:webHidden/>
          </w:rPr>
          <w:t>1519</w:t>
        </w:r>
        <w:r>
          <w:rPr>
            <w:noProof/>
            <w:webHidden/>
          </w:rPr>
          <w:fldChar w:fldCharType="end"/>
        </w:r>
      </w:hyperlink>
    </w:p>
    <w:p>
      <w:pPr>
        <w:pStyle w:val="TOC2"/>
      </w:pPr>
      <w:hyperlink w:anchor="_Toc300001344" w:history="1">
        <w:r>
          <w:rPr>
            <w:noProof/>
          </w:rPr>
          <w:t xml:space="preserve">Article 37.29: Authorized Supply Surge Firewall</w:t>
        </w:r>
        <w:r>
          <w:rPr>
            <w:noProof/>
            <w:webHidden/>
          </w:rPr>
          <w:tab/>
        </w:r>
        <w:r>
          <w:rPr>
            <w:noProof/>
            <w:webHidden/>
          </w:rPr>
          <w:fldChar w:fldCharType="begin"/>
        </w:r>
        <w:r>
          <w:rPr>
            <w:noProof/>
            <w:webHidden/>
          </w:rPr>
          <w:instrText xml:space="preserve"> PAGEREF _Toc300001344 \h </w:instrText>
        </w:r>
        <w:r>
          <w:rPr>
            <w:noProof/>
            <w:webHidden/>
          </w:rPr>
          <w:fldChar w:fldCharType="separate"/>
        </w:r>
        <w:r>
          <w:rPr>
            <w:noProof/>
            <w:webHidden/>
          </w:rPr>
          <w:t>1519</w:t>
        </w:r>
        <w:r>
          <w:rPr>
            <w:noProof/>
            <w:webHidden/>
          </w:rPr>
          <w:fldChar w:fldCharType="end"/>
        </w:r>
      </w:hyperlink>
    </w:p>
    <w:p>
      <w:pPr>
        <w:pStyle w:val="TOC2"/>
      </w:pPr>
      <w:hyperlink w:anchor="_Toc300001345" w:history="1">
        <w:r>
          <w:rPr>
            <w:noProof/>
          </w:rPr>
          <w:t xml:space="preserve">Article 37.30: North American Strategic Chain Qualification</w:t>
        </w:r>
        <w:r>
          <w:rPr>
            <w:noProof/>
            <w:webHidden/>
          </w:rPr>
          <w:tab/>
        </w:r>
        <w:r>
          <w:rPr>
            <w:noProof/>
            <w:webHidden/>
          </w:rPr>
          <w:fldChar w:fldCharType="begin"/>
        </w:r>
        <w:r>
          <w:rPr>
            <w:noProof/>
            <w:webHidden/>
          </w:rPr>
          <w:instrText xml:space="preserve"> PAGEREF _Toc300001345 \h </w:instrText>
        </w:r>
        <w:r>
          <w:rPr>
            <w:noProof/>
            <w:webHidden/>
          </w:rPr>
          <w:fldChar w:fldCharType="separate"/>
        </w:r>
        <w:r>
          <w:rPr>
            <w:noProof/>
            <w:webHidden/>
          </w:rPr>
          <w:t>1519</w:t>
        </w:r>
        <w:r>
          <w:rPr>
            <w:noProof/>
            <w:webHidden/>
          </w:rPr>
          <w:fldChar w:fldCharType="end"/>
        </w:r>
      </w:hyperlink>
    </w:p>
    <w:p>
      <w:pPr>
        <w:pStyle w:val="TOC2"/>
      </w:pPr>
      <w:hyperlink w:anchor="_Toc300001346" w:history="1">
        <w:r>
          <w:rPr>
            <w:noProof/>
          </w:rPr>
          <w:t xml:space="preserve">Article 37.31: North American Strategic Industrial Scale-Up Pathway</w:t>
        </w:r>
        <w:r>
          <w:rPr>
            <w:noProof/>
            <w:webHidden/>
          </w:rPr>
          <w:tab/>
        </w:r>
        <w:r>
          <w:rPr>
            <w:noProof/>
            <w:webHidden/>
          </w:rPr>
          <w:fldChar w:fldCharType="begin"/>
        </w:r>
        <w:r>
          <w:rPr>
            <w:noProof/>
            <w:webHidden/>
          </w:rPr>
          <w:instrText xml:space="preserve"> PAGEREF _Toc300001346 \h </w:instrText>
        </w:r>
        <w:r>
          <w:rPr>
            <w:noProof/>
            <w:webHidden/>
          </w:rPr>
          <w:fldChar w:fldCharType="separate"/>
        </w:r>
        <w:r>
          <w:rPr>
            <w:noProof/>
            <w:webHidden/>
          </w:rPr>
          <w:t>1520</w:t>
        </w:r>
        <w:r>
          <w:rPr>
            <w:noProof/>
            <w:webHidden/>
          </w:rPr>
          <w:fldChar w:fldCharType="end"/>
        </w:r>
      </w:hyperlink>
    </w:p>
    <w:p>
      <w:pPr>
        <w:pStyle w:val="TOC2"/>
      </w:pPr>
      <w:hyperlink w:anchor="_Toc300001347" w:history="1">
        <w:r>
          <w:rPr>
            <w:noProof/>
          </w:rPr>
          <w:t xml:space="preserve">Article 37.32: Critical Minerals Pilot Plant and Demonstration Network</w:t>
        </w:r>
        <w:r>
          <w:rPr>
            <w:noProof/>
            <w:webHidden/>
          </w:rPr>
          <w:tab/>
        </w:r>
        <w:r>
          <w:rPr>
            <w:noProof/>
            <w:webHidden/>
          </w:rPr>
          <w:fldChar w:fldCharType="begin"/>
        </w:r>
        <w:r>
          <w:rPr>
            <w:noProof/>
            <w:webHidden/>
          </w:rPr>
          <w:instrText xml:space="preserve"> PAGEREF _Toc300001347 \h </w:instrText>
        </w:r>
        <w:r>
          <w:rPr>
            <w:noProof/>
            <w:webHidden/>
          </w:rPr>
          <w:fldChar w:fldCharType="separate"/>
        </w:r>
        <w:r>
          <w:rPr>
            <w:noProof/>
            <w:webHidden/>
          </w:rPr>
          <w:t>1520</w:t>
        </w:r>
        <w:r>
          <w:rPr>
            <w:noProof/>
            <w:webHidden/>
          </w:rPr>
          <w:fldChar w:fldCharType="end"/>
        </w:r>
      </w:hyperlink>
    </w:p>
    <w:p>
      <w:pPr>
        <w:pStyle w:val="TOC2"/>
      </w:pPr>
      <w:hyperlink w:anchor="_Toc300001348" w:history="1">
        <w:r>
          <w:rPr>
            <w:noProof/>
          </w:rPr>
          <w:t xml:space="preserve">Article 37.33: Strategic Project Risk-Sharing and Insurance Facilitation</w:t>
        </w:r>
        <w:r>
          <w:rPr>
            <w:noProof/>
            <w:webHidden/>
          </w:rPr>
          <w:tab/>
        </w:r>
        <w:r>
          <w:rPr>
            <w:noProof/>
            <w:webHidden/>
          </w:rPr>
          <w:fldChar w:fldCharType="begin"/>
        </w:r>
        <w:r>
          <w:rPr>
            <w:noProof/>
            <w:webHidden/>
          </w:rPr>
          <w:instrText xml:space="preserve"> PAGEREF _Toc300001348 \h </w:instrText>
        </w:r>
        <w:r>
          <w:rPr>
            <w:noProof/>
            <w:webHidden/>
          </w:rPr>
          <w:fldChar w:fldCharType="separate"/>
        </w:r>
        <w:r>
          <w:rPr>
            <w:noProof/>
            <w:webHidden/>
          </w:rPr>
          <w:t>1521</w:t>
        </w:r>
        <w:r>
          <w:rPr>
            <w:noProof/>
            <w:webHidden/>
          </w:rPr>
          <w:fldChar w:fldCharType="end"/>
        </w:r>
      </w:hyperlink>
    </w:p>
    <w:p>
      <w:pPr>
        <w:pStyle w:val="TOC2"/>
      </w:pPr>
      <w:hyperlink w:anchor="_Toc300001349" w:history="1">
        <w:r>
          <w:rPr>
            <w:noProof/>
          </w:rPr>
          <w:t xml:space="preserve">Article 37.34: Urban Mining, Magnet Recovery, and Secondary Resource Inventory</w:t>
        </w:r>
        <w:r>
          <w:rPr>
            <w:noProof/>
            <w:webHidden/>
          </w:rPr>
          <w:tab/>
        </w:r>
        <w:r>
          <w:rPr>
            <w:noProof/>
            <w:webHidden/>
          </w:rPr>
          <w:fldChar w:fldCharType="begin"/>
        </w:r>
        <w:r>
          <w:rPr>
            <w:noProof/>
            <w:webHidden/>
          </w:rPr>
          <w:instrText xml:space="preserve"> PAGEREF _Toc300001349 \h </w:instrText>
        </w:r>
        <w:r>
          <w:rPr>
            <w:noProof/>
            <w:webHidden/>
          </w:rPr>
          <w:fldChar w:fldCharType="separate"/>
        </w:r>
        <w:r>
          <w:rPr>
            <w:noProof/>
            <w:webHidden/>
          </w:rPr>
          <w:t>1521</w:t>
        </w:r>
        <w:r>
          <w:rPr>
            <w:noProof/>
            <w:webHidden/>
          </w:rPr>
          <w:fldChar w:fldCharType="end"/>
        </w:r>
      </w:hyperlink>
    </w:p>
    <w:p>
      <w:pPr>
        <w:pStyle w:val="TOC2"/>
      </w:pPr>
      <w:hyperlink w:anchor="_Toc300001350" w:history="1">
        <w:r>
          <w:rPr>
            <w:noProof/>
          </w:rPr>
          <w:t xml:space="preserve">Article 37.35: Mineral Substitution, Efficiency, and By-Product Innovation</w:t>
        </w:r>
        <w:r>
          <w:rPr>
            <w:noProof/>
            <w:webHidden/>
          </w:rPr>
          <w:tab/>
        </w:r>
        <w:r>
          <w:rPr>
            <w:noProof/>
            <w:webHidden/>
          </w:rPr>
          <w:fldChar w:fldCharType="begin"/>
        </w:r>
        <w:r>
          <w:rPr>
            <w:noProof/>
            <w:webHidden/>
          </w:rPr>
          <w:instrText xml:space="preserve"> PAGEREF _Toc300001350 \h </w:instrText>
        </w:r>
        <w:r>
          <w:rPr>
            <w:noProof/>
            <w:webHidden/>
          </w:rPr>
          <w:fldChar w:fldCharType="separate"/>
        </w:r>
        <w:r>
          <w:rPr>
            <w:noProof/>
            <w:webHidden/>
          </w:rPr>
          <w:t>1521</w:t>
        </w:r>
        <w:r>
          <w:rPr>
            <w:noProof/>
            <w:webHidden/>
          </w:rPr>
          <w:fldChar w:fldCharType="end"/>
        </w:r>
      </w:hyperlink>
    </w:p>
    <w:p>
      <w:pPr>
        <w:pStyle w:val="TOC2"/>
      </w:pPr>
      <w:hyperlink w:anchor="_Toc300001351" w:history="1">
        <w:r>
          <w:rPr>
            <w:noProof/>
          </w:rPr>
          <w:t xml:space="preserve">Article 37.36: Mine and Processing Community Transition Planning</w:t>
        </w:r>
        <w:r>
          <w:rPr>
            <w:noProof/>
            <w:webHidden/>
          </w:rPr>
          <w:tab/>
        </w:r>
        <w:r>
          <w:rPr>
            <w:noProof/>
            <w:webHidden/>
          </w:rPr>
          <w:fldChar w:fldCharType="begin"/>
        </w:r>
        <w:r>
          <w:rPr>
            <w:noProof/>
            <w:webHidden/>
          </w:rPr>
          <w:instrText xml:space="preserve"> PAGEREF _Toc300001351 \h </w:instrText>
        </w:r>
        <w:r>
          <w:rPr>
            <w:noProof/>
            <w:webHidden/>
          </w:rPr>
          <w:fldChar w:fldCharType="separate"/>
        </w:r>
        <w:r>
          <w:rPr>
            <w:noProof/>
            <w:webHidden/>
          </w:rPr>
          <w:t>1522</w:t>
        </w:r>
        <w:r>
          <w:rPr>
            <w:noProof/>
            <w:webHidden/>
          </w:rPr>
          <w:fldChar w:fldCharType="end"/>
        </w:r>
      </w:hyperlink>
    </w:p>
    <w:p>
      <w:pPr>
        <w:pStyle w:val="TOC1"/>
      </w:pPr>
      <w:hyperlink w:anchor="_Toc300001352" w:history="1">
        <w:r>
          <w:rPr>
            <w:noProof/>
          </w:rPr>
          <w:t xml:space="preserve">CHAPTER 38 EMERGENCY TRADE CONTINUITY</w:t>
        </w:r>
        <w:r>
          <w:rPr>
            <w:noProof/>
            <w:webHidden/>
          </w:rPr>
          <w:tab/>
        </w:r>
        <w:r>
          <w:rPr>
            <w:noProof/>
            <w:webHidden/>
          </w:rPr>
          <w:fldChar w:fldCharType="begin"/>
        </w:r>
        <w:r>
          <w:rPr>
            <w:noProof/>
            <w:webHidden/>
          </w:rPr>
          <w:instrText xml:space="preserve"> PAGEREF _Toc300001352 \h </w:instrText>
        </w:r>
        <w:r>
          <w:rPr>
            <w:noProof/>
            <w:webHidden/>
          </w:rPr>
          <w:fldChar w:fldCharType="separate"/>
        </w:r>
        <w:r>
          <w:rPr>
            <w:noProof/>
            <w:webHidden/>
          </w:rPr>
          <w:t>1523</w:t>
        </w:r>
        <w:r>
          <w:rPr>
            <w:noProof/>
            <w:webHidden/>
          </w:rPr>
          <w:fldChar w:fldCharType="end"/>
        </w:r>
      </w:hyperlink>
    </w:p>
    <w:p>
      <w:pPr>
        <w:pStyle w:val="TOC2"/>
      </w:pPr>
      <w:hyperlink w:anchor="_Toc300001353" w:history="1">
        <w:r>
          <w:rPr>
            <w:noProof/>
          </w:rPr>
          <w:t xml:space="preserve">Article 38.1: Purpose</w:t>
        </w:r>
        <w:r>
          <w:rPr>
            <w:noProof/>
            <w:webHidden/>
          </w:rPr>
          <w:tab/>
        </w:r>
        <w:r>
          <w:rPr>
            <w:noProof/>
            <w:webHidden/>
          </w:rPr>
          <w:fldChar w:fldCharType="begin"/>
        </w:r>
        <w:r>
          <w:rPr>
            <w:noProof/>
            <w:webHidden/>
          </w:rPr>
          <w:instrText xml:space="preserve"> PAGEREF _Toc300001353 \h </w:instrText>
        </w:r>
        <w:r>
          <w:rPr>
            <w:noProof/>
            <w:webHidden/>
          </w:rPr>
          <w:fldChar w:fldCharType="separate"/>
        </w:r>
        <w:r>
          <w:rPr>
            <w:noProof/>
            <w:webHidden/>
          </w:rPr>
          <w:t>1523</w:t>
        </w:r>
        <w:r>
          <w:rPr>
            <w:noProof/>
            <w:webHidden/>
          </w:rPr>
          <w:fldChar w:fldCharType="end"/>
        </w:r>
      </w:hyperlink>
    </w:p>
    <w:p>
      <w:pPr>
        <w:pStyle w:val="TOC2"/>
      </w:pPr>
      <w:hyperlink w:anchor="_Toc300001354" w:history="1">
        <w:r>
          <w:rPr>
            <w:noProof/>
          </w:rPr>
          <w:t xml:space="preserve">Article 38.2: Definitions and Trigger</w:t>
        </w:r>
        <w:r>
          <w:rPr>
            <w:noProof/>
            <w:webHidden/>
          </w:rPr>
          <w:tab/>
        </w:r>
        <w:r>
          <w:rPr>
            <w:noProof/>
            <w:webHidden/>
          </w:rPr>
          <w:fldChar w:fldCharType="begin"/>
        </w:r>
        <w:r>
          <w:rPr>
            <w:noProof/>
            <w:webHidden/>
          </w:rPr>
          <w:instrText xml:space="preserve"> PAGEREF _Toc300001354 \h </w:instrText>
        </w:r>
        <w:r>
          <w:rPr>
            <w:noProof/>
            <w:webHidden/>
          </w:rPr>
          <w:fldChar w:fldCharType="separate"/>
        </w:r>
        <w:r>
          <w:rPr>
            <w:noProof/>
            <w:webHidden/>
          </w:rPr>
          <w:t>1523</w:t>
        </w:r>
        <w:r>
          <w:rPr>
            <w:noProof/>
            <w:webHidden/>
          </w:rPr>
          <w:fldChar w:fldCharType="end"/>
        </w:r>
      </w:hyperlink>
    </w:p>
    <w:p>
      <w:pPr>
        <w:pStyle w:val="TOC2"/>
      </w:pPr>
      <w:hyperlink w:anchor="_Toc300001355" w:history="1">
        <w:r>
          <w:rPr>
            <w:noProof/>
          </w:rPr>
          <w:t xml:space="preserve">Article 38.3: Critical Trade Corridors and Essential Flows</w:t>
        </w:r>
        <w:r>
          <w:rPr>
            <w:noProof/>
            <w:webHidden/>
          </w:rPr>
          <w:tab/>
        </w:r>
        <w:r>
          <w:rPr>
            <w:noProof/>
            <w:webHidden/>
          </w:rPr>
          <w:fldChar w:fldCharType="begin"/>
        </w:r>
        <w:r>
          <w:rPr>
            <w:noProof/>
            <w:webHidden/>
          </w:rPr>
          <w:instrText xml:space="preserve"> PAGEREF _Toc300001355 \h </w:instrText>
        </w:r>
        <w:r>
          <w:rPr>
            <w:noProof/>
            <w:webHidden/>
          </w:rPr>
          <w:fldChar w:fldCharType="separate"/>
        </w:r>
        <w:r>
          <w:rPr>
            <w:noProof/>
            <w:webHidden/>
          </w:rPr>
          <w:t>1523</w:t>
        </w:r>
        <w:r>
          <w:rPr>
            <w:noProof/>
            <w:webHidden/>
          </w:rPr>
          <w:fldChar w:fldCharType="end"/>
        </w:r>
      </w:hyperlink>
    </w:p>
    <w:p>
      <w:pPr>
        <w:pStyle w:val="TOC2"/>
      </w:pPr>
      <w:hyperlink w:anchor="_Toc300001356" w:history="1">
        <w:r>
          <w:rPr>
            <w:noProof/>
          </w:rPr>
          <w:t xml:space="preserve">Article 38.4: Continuity Obligations During an Emergency</w:t>
        </w:r>
        <w:r>
          <w:rPr>
            <w:noProof/>
            <w:webHidden/>
          </w:rPr>
          <w:tab/>
        </w:r>
        <w:r>
          <w:rPr>
            <w:noProof/>
            <w:webHidden/>
          </w:rPr>
          <w:fldChar w:fldCharType="begin"/>
        </w:r>
        <w:r>
          <w:rPr>
            <w:noProof/>
            <w:webHidden/>
          </w:rPr>
          <w:instrText xml:space="preserve"> PAGEREF _Toc300001356 \h </w:instrText>
        </w:r>
        <w:r>
          <w:rPr>
            <w:noProof/>
            <w:webHidden/>
          </w:rPr>
          <w:fldChar w:fldCharType="separate"/>
        </w:r>
        <w:r>
          <w:rPr>
            <w:noProof/>
            <w:webHidden/>
          </w:rPr>
          <w:t>1523</w:t>
        </w:r>
        <w:r>
          <w:rPr>
            <w:noProof/>
            <w:webHidden/>
          </w:rPr>
          <w:fldChar w:fldCharType="end"/>
        </w:r>
      </w:hyperlink>
    </w:p>
    <w:p>
      <w:pPr>
        <w:pStyle w:val="TOC2"/>
      </w:pPr>
      <w:hyperlink w:anchor="_Toc300001357" w:history="1">
        <w:r>
          <w:rPr>
            <w:noProof/>
          </w:rPr>
          <w:t xml:space="preserve">Article 38.5: Emergency Coordination Body</w:t>
        </w:r>
        <w:r>
          <w:rPr>
            <w:noProof/>
            <w:webHidden/>
          </w:rPr>
          <w:tab/>
        </w:r>
        <w:r>
          <w:rPr>
            <w:noProof/>
            <w:webHidden/>
          </w:rPr>
          <w:fldChar w:fldCharType="begin"/>
        </w:r>
        <w:r>
          <w:rPr>
            <w:noProof/>
            <w:webHidden/>
          </w:rPr>
          <w:instrText xml:space="preserve"> PAGEREF _Toc300001357 \h </w:instrText>
        </w:r>
        <w:r>
          <w:rPr>
            <w:noProof/>
            <w:webHidden/>
          </w:rPr>
          <w:fldChar w:fldCharType="separate"/>
        </w:r>
        <w:r>
          <w:rPr>
            <w:noProof/>
            <w:webHidden/>
          </w:rPr>
          <w:t>1524</w:t>
        </w:r>
        <w:r>
          <w:rPr>
            <w:noProof/>
            <w:webHidden/>
          </w:rPr>
          <w:fldChar w:fldCharType="end"/>
        </w:r>
      </w:hyperlink>
    </w:p>
    <w:p>
      <w:pPr>
        <w:pStyle w:val="TOC2"/>
      </w:pPr>
      <w:hyperlink w:anchor="_Toc300001358" w:history="1">
        <w:r>
          <w:rPr>
            <w:noProof/>
          </w:rPr>
          <w:t xml:space="preserve">Article 38.6: Health-Security Supply Chains</w:t>
        </w:r>
        <w:r>
          <w:rPr>
            <w:noProof/>
            <w:webHidden/>
          </w:rPr>
          <w:tab/>
        </w:r>
        <w:r>
          <w:rPr>
            <w:noProof/>
            <w:webHidden/>
          </w:rPr>
          <w:fldChar w:fldCharType="begin"/>
        </w:r>
        <w:r>
          <w:rPr>
            <w:noProof/>
            <w:webHidden/>
          </w:rPr>
          <w:instrText xml:space="preserve"> PAGEREF _Toc300001358 \h </w:instrText>
        </w:r>
        <w:r>
          <w:rPr>
            <w:noProof/>
            <w:webHidden/>
          </w:rPr>
          <w:fldChar w:fldCharType="separate"/>
        </w:r>
        <w:r>
          <w:rPr>
            <w:noProof/>
            <w:webHidden/>
          </w:rPr>
          <w:t>1524</w:t>
        </w:r>
        <w:r>
          <w:rPr>
            <w:noProof/>
            <w:webHidden/>
          </w:rPr>
          <w:fldChar w:fldCharType="end"/>
        </w:r>
      </w:hyperlink>
    </w:p>
    <w:p>
      <w:pPr>
        <w:pStyle w:val="TOC2"/>
      </w:pPr>
      <w:hyperlink w:anchor="_Toc300001359" w:history="1">
        <w:r>
          <w:rPr>
            <w:noProof/>
          </w:rPr>
          <w:t xml:space="preserve">Article 38.7: Food Security Continuity</w:t>
        </w:r>
        <w:r>
          <w:rPr>
            <w:noProof/>
            <w:webHidden/>
          </w:rPr>
          <w:tab/>
        </w:r>
        <w:r>
          <w:rPr>
            <w:noProof/>
            <w:webHidden/>
          </w:rPr>
          <w:fldChar w:fldCharType="begin"/>
        </w:r>
        <w:r>
          <w:rPr>
            <w:noProof/>
            <w:webHidden/>
          </w:rPr>
          <w:instrText xml:space="preserve"> PAGEREF _Toc300001359 \h </w:instrText>
        </w:r>
        <w:r>
          <w:rPr>
            <w:noProof/>
            <w:webHidden/>
          </w:rPr>
          <w:fldChar w:fldCharType="separate"/>
        </w:r>
        <w:r>
          <w:rPr>
            <w:noProof/>
            <w:webHidden/>
          </w:rPr>
          <w:t>1524</w:t>
        </w:r>
        <w:r>
          <w:rPr>
            <w:noProof/>
            <w:webHidden/>
          </w:rPr>
          <w:fldChar w:fldCharType="end"/>
        </w:r>
      </w:hyperlink>
    </w:p>
    <w:p>
      <w:pPr>
        <w:pStyle w:val="TOC2"/>
      </w:pPr>
      <w:hyperlink w:anchor="_Toc300001360" w:history="1">
        <w:r>
          <w:rPr>
            <w:noProof/>
          </w:rPr>
          <w:t xml:space="preserve">Article 38.8: Cyber Incidents Affecting Trade Infrastructure</w:t>
        </w:r>
        <w:r>
          <w:rPr>
            <w:noProof/>
            <w:webHidden/>
          </w:rPr>
          <w:tab/>
        </w:r>
        <w:r>
          <w:rPr>
            <w:noProof/>
            <w:webHidden/>
          </w:rPr>
          <w:fldChar w:fldCharType="begin"/>
        </w:r>
        <w:r>
          <w:rPr>
            <w:noProof/>
            <w:webHidden/>
          </w:rPr>
          <w:instrText xml:space="preserve"> PAGEREF _Toc300001360 \h </w:instrText>
        </w:r>
        <w:r>
          <w:rPr>
            <w:noProof/>
            <w:webHidden/>
          </w:rPr>
          <w:fldChar w:fldCharType="separate"/>
        </w:r>
        <w:r>
          <w:rPr>
            <w:noProof/>
            <w:webHidden/>
          </w:rPr>
          <w:t>1525</w:t>
        </w:r>
        <w:r>
          <w:rPr>
            <w:noProof/>
            <w:webHidden/>
          </w:rPr>
          <w:fldChar w:fldCharType="end"/>
        </w:r>
      </w:hyperlink>
    </w:p>
    <w:p>
      <w:pPr>
        <w:pStyle w:val="TOC2"/>
      </w:pPr>
      <w:hyperlink w:anchor="_Toc300001361" w:history="1">
        <w:r>
          <w:rPr>
            <w:noProof/>
          </w:rPr>
          <w:t xml:space="preserve">Article 38.9: Humanitarian Life-Saving Goods Continuity Protocol</w:t>
        </w:r>
        <w:r>
          <w:rPr>
            <w:noProof/>
            <w:webHidden/>
          </w:rPr>
          <w:tab/>
        </w:r>
        <w:r>
          <w:rPr>
            <w:noProof/>
            <w:webHidden/>
          </w:rPr>
          <w:fldChar w:fldCharType="begin"/>
        </w:r>
        <w:r>
          <w:rPr>
            <w:noProof/>
            <w:webHidden/>
          </w:rPr>
          <w:instrText xml:space="preserve"> PAGEREF _Toc300001361 \h </w:instrText>
        </w:r>
        <w:r>
          <w:rPr>
            <w:noProof/>
            <w:webHidden/>
          </w:rPr>
          <w:fldChar w:fldCharType="separate"/>
        </w:r>
        <w:r>
          <w:rPr>
            <w:noProof/>
            <w:webHidden/>
          </w:rPr>
          <w:t>1525</w:t>
        </w:r>
        <w:r>
          <w:rPr>
            <w:noProof/>
            <w:webHidden/>
          </w:rPr>
          <w:fldChar w:fldCharType="end"/>
        </w:r>
      </w:hyperlink>
    </w:p>
    <w:p>
      <w:pPr>
        <w:pStyle w:val="TOC2"/>
      </w:pPr>
      <w:hyperlink w:anchor="_Toc300001362" w:history="1">
        <w:r>
          <w:rPr>
            <w:noProof/>
          </w:rPr>
          <w:t xml:space="preserve">ANNEX 38-B: Illustrative Humanitarian Life-Saving Categories</w:t>
        </w:r>
        <w:r>
          <w:rPr>
            <w:noProof/>
            <w:webHidden/>
          </w:rPr>
          <w:tab/>
        </w:r>
        <w:r>
          <w:rPr>
            <w:noProof/>
            <w:webHidden/>
          </w:rPr>
          <w:fldChar w:fldCharType="begin"/>
        </w:r>
        <w:r>
          <w:rPr>
            <w:noProof/>
            <w:webHidden/>
          </w:rPr>
          <w:instrText xml:space="preserve"> PAGEREF _Toc300001362 \h </w:instrText>
        </w:r>
        <w:r>
          <w:rPr>
            <w:noProof/>
            <w:webHidden/>
          </w:rPr>
          <w:fldChar w:fldCharType="separate"/>
        </w:r>
        <w:r>
          <w:rPr>
            <w:noProof/>
            <w:webHidden/>
          </w:rPr>
          <w:t>1525</w:t>
        </w:r>
        <w:r>
          <w:rPr>
            <w:noProof/>
            <w:webHidden/>
          </w:rPr>
          <w:fldChar w:fldCharType="end"/>
        </w:r>
      </w:hyperlink>
    </w:p>
    <w:p>
      <w:pPr>
        <w:pStyle w:val="TOC1"/>
      </w:pPr>
      <w:hyperlink w:anchor="_Toc300001363" w:history="1">
        <w:r>
          <w:rPr>
            <w:noProof/>
          </w:rPr>
          <w:t xml:space="preserve">CHAPTER 39 ADVANCED TECHNOLOGY AND ARTIFICIAL INTELLIGENCE</w:t>
        </w:r>
        <w:r>
          <w:rPr>
            <w:noProof/>
            <w:webHidden/>
          </w:rPr>
          <w:tab/>
        </w:r>
        <w:r>
          <w:rPr>
            <w:noProof/>
            <w:webHidden/>
          </w:rPr>
          <w:fldChar w:fldCharType="begin"/>
        </w:r>
        <w:r>
          <w:rPr>
            <w:noProof/>
            <w:webHidden/>
          </w:rPr>
          <w:instrText xml:space="preserve"> PAGEREF _Toc300001363 \h </w:instrText>
        </w:r>
        <w:r>
          <w:rPr>
            <w:noProof/>
            <w:webHidden/>
          </w:rPr>
          <w:fldChar w:fldCharType="separate"/>
        </w:r>
        <w:r>
          <w:rPr>
            <w:noProof/>
            <w:webHidden/>
          </w:rPr>
          <w:t>1527</w:t>
        </w:r>
        <w:r>
          <w:rPr>
            <w:noProof/>
            <w:webHidden/>
          </w:rPr>
          <w:fldChar w:fldCharType="end"/>
        </w:r>
      </w:hyperlink>
    </w:p>
    <w:p>
      <w:pPr>
        <w:pStyle w:val="TOC2"/>
      </w:pPr>
      <w:hyperlink w:anchor="_Toc300001364" w:history="1">
        <w:r>
          <w:rPr>
            <w:noProof/>
          </w:rPr>
          <w:t xml:space="preserve">Article 39.1: Purpose and Approach</w:t>
        </w:r>
        <w:r>
          <w:rPr>
            <w:noProof/>
            <w:webHidden/>
          </w:rPr>
          <w:tab/>
        </w:r>
        <w:r>
          <w:rPr>
            <w:noProof/>
            <w:webHidden/>
          </w:rPr>
          <w:fldChar w:fldCharType="begin"/>
        </w:r>
        <w:r>
          <w:rPr>
            <w:noProof/>
            <w:webHidden/>
          </w:rPr>
          <w:instrText xml:space="preserve"> PAGEREF _Toc300001364 \h </w:instrText>
        </w:r>
        <w:r>
          <w:rPr>
            <w:noProof/>
            <w:webHidden/>
          </w:rPr>
          <w:fldChar w:fldCharType="separate"/>
        </w:r>
        <w:r>
          <w:rPr>
            <w:noProof/>
            <w:webHidden/>
          </w:rPr>
          <w:t>1527</w:t>
        </w:r>
        <w:r>
          <w:rPr>
            <w:noProof/>
            <w:webHidden/>
          </w:rPr>
          <w:fldChar w:fldCharType="end"/>
        </w:r>
      </w:hyperlink>
    </w:p>
    <w:p>
      <w:pPr>
        <w:pStyle w:val="TOC2"/>
      </w:pPr>
      <w:hyperlink w:anchor="_Toc300001365" w:history="1">
        <w:r>
          <w:rPr>
            <w:noProof/>
          </w:rPr>
          <w:t xml:space="preserve">Article 39.2: AI-Enabled Trade</w:t>
        </w:r>
        <w:r>
          <w:rPr>
            <w:noProof/>
            <w:webHidden/>
          </w:rPr>
          <w:tab/>
        </w:r>
        <w:r>
          <w:rPr>
            <w:noProof/>
            <w:webHidden/>
          </w:rPr>
          <w:fldChar w:fldCharType="begin"/>
        </w:r>
        <w:r>
          <w:rPr>
            <w:noProof/>
            <w:webHidden/>
          </w:rPr>
          <w:instrText xml:space="preserve"> PAGEREF _Toc300001365 \h </w:instrText>
        </w:r>
        <w:r>
          <w:rPr>
            <w:noProof/>
            <w:webHidden/>
          </w:rPr>
          <w:fldChar w:fldCharType="separate"/>
        </w:r>
        <w:r>
          <w:rPr>
            <w:noProof/>
            <w:webHidden/>
          </w:rPr>
          <w:t>1527</w:t>
        </w:r>
        <w:r>
          <w:rPr>
            <w:noProof/>
            <w:webHidden/>
          </w:rPr>
          <w:fldChar w:fldCharType="end"/>
        </w:r>
      </w:hyperlink>
    </w:p>
    <w:p>
      <w:pPr>
        <w:pStyle w:val="TOC2"/>
      </w:pPr>
      <w:hyperlink w:anchor="_Toc300001366" w:history="1">
        <w:r>
          <w:rPr>
            <w:noProof/>
          </w:rPr>
          <w:t xml:space="preserve">Article 39.3: Regulatory Cooperation on Artificial Intelligence</w:t>
        </w:r>
        <w:r>
          <w:rPr>
            <w:noProof/>
            <w:webHidden/>
          </w:rPr>
          <w:tab/>
        </w:r>
        <w:r>
          <w:rPr>
            <w:noProof/>
            <w:webHidden/>
          </w:rPr>
          <w:fldChar w:fldCharType="begin"/>
        </w:r>
        <w:r>
          <w:rPr>
            <w:noProof/>
            <w:webHidden/>
          </w:rPr>
          <w:instrText xml:space="preserve"> PAGEREF _Toc300001366 \h </w:instrText>
        </w:r>
        <w:r>
          <w:rPr>
            <w:noProof/>
            <w:webHidden/>
          </w:rPr>
          <w:fldChar w:fldCharType="separate"/>
        </w:r>
        <w:r>
          <w:rPr>
            <w:noProof/>
            <w:webHidden/>
          </w:rPr>
          <w:t>1527</w:t>
        </w:r>
        <w:r>
          <w:rPr>
            <w:noProof/>
            <w:webHidden/>
          </w:rPr>
          <w:fldChar w:fldCharType="end"/>
        </w:r>
      </w:hyperlink>
    </w:p>
    <w:p>
      <w:pPr>
        <w:pStyle w:val="TOC2"/>
      </w:pPr>
      <w:hyperlink w:anchor="_Toc300001367" w:history="1">
        <w:r>
          <w:rPr>
            <w:noProof/>
          </w:rPr>
          <w:t xml:space="preserve">Article 39.4: Semiconductors and Advanced Electronics</w:t>
        </w:r>
        <w:r>
          <w:rPr>
            <w:noProof/>
            <w:webHidden/>
          </w:rPr>
          <w:tab/>
        </w:r>
        <w:r>
          <w:rPr>
            <w:noProof/>
            <w:webHidden/>
          </w:rPr>
          <w:fldChar w:fldCharType="begin"/>
        </w:r>
        <w:r>
          <w:rPr>
            <w:noProof/>
            <w:webHidden/>
          </w:rPr>
          <w:instrText xml:space="preserve"> PAGEREF _Toc300001367 \h </w:instrText>
        </w:r>
        <w:r>
          <w:rPr>
            <w:noProof/>
            <w:webHidden/>
          </w:rPr>
          <w:fldChar w:fldCharType="separate"/>
        </w:r>
        <w:r>
          <w:rPr>
            <w:noProof/>
            <w:webHidden/>
          </w:rPr>
          <w:t>1527</w:t>
        </w:r>
        <w:r>
          <w:rPr>
            <w:noProof/>
            <w:webHidden/>
          </w:rPr>
          <w:fldChar w:fldCharType="end"/>
        </w:r>
      </w:hyperlink>
    </w:p>
    <w:p>
      <w:pPr>
        <w:pStyle w:val="TOC2"/>
      </w:pPr>
      <w:hyperlink w:anchor="_Toc300001368" w:history="1">
        <w:r>
          <w:rPr>
            <w:noProof/>
          </w:rPr>
          <w:t xml:space="preserve">Article 39.5: Advanced Technology Annex and Technology-Update Mechanism</w:t>
        </w:r>
        <w:r>
          <w:rPr>
            <w:noProof/>
            <w:webHidden/>
          </w:rPr>
          <w:tab/>
        </w:r>
        <w:r>
          <w:rPr>
            <w:noProof/>
            <w:webHidden/>
          </w:rPr>
          <w:fldChar w:fldCharType="begin"/>
        </w:r>
        <w:r>
          <w:rPr>
            <w:noProof/>
            <w:webHidden/>
          </w:rPr>
          <w:instrText xml:space="preserve"> PAGEREF _Toc300001368 \h </w:instrText>
        </w:r>
        <w:r>
          <w:rPr>
            <w:noProof/>
            <w:webHidden/>
          </w:rPr>
          <w:fldChar w:fldCharType="separate"/>
        </w:r>
        <w:r>
          <w:rPr>
            <w:noProof/>
            <w:webHidden/>
          </w:rPr>
          <w:t>1528</w:t>
        </w:r>
        <w:r>
          <w:rPr>
            <w:noProof/>
            <w:webHidden/>
          </w:rPr>
          <w:fldChar w:fldCharType="end"/>
        </w:r>
      </w:hyperlink>
    </w:p>
    <w:p>
      <w:pPr>
        <w:pStyle w:val="TOC2"/>
      </w:pPr>
      <w:hyperlink w:anchor="_Toc300001369" w:history="1">
        <w:r>
          <w:rPr>
            <w:noProof/>
          </w:rPr>
          <w:t xml:space="preserve">Article 39.6: Quantum and Emerging Technologies</w:t>
        </w:r>
        <w:r>
          <w:rPr>
            <w:noProof/>
            <w:webHidden/>
          </w:rPr>
          <w:tab/>
        </w:r>
        <w:r>
          <w:rPr>
            <w:noProof/>
            <w:webHidden/>
          </w:rPr>
          <w:fldChar w:fldCharType="begin"/>
        </w:r>
        <w:r>
          <w:rPr>
            <w:noProof/>
            <w:webHidden/>
          </w:rPr>
          <w:instrText xml:space="preserve"> PAGEREF _Toc300001369 \h </w:instrText>
        </w:r>
        <w:r>
          <w:rPr>
            <w:noProof/>
            <w:webHidden/>
          </w:rPr>
          <w:fldChar w:fldCharType="separate"/>
        </w:r>
        <w:r>
          <w:rPr>
            <w:noProof/>
            <w:webHidden/>
          </w:rPr>
          <w:t>1528</w:t>
        </w:r>
        <w:r>
          <w:rPr>
            <w:noProof/>
            <w:webHidden/>
          </w:rPr>
          <w:fldChar w:fldCharType="end"/>
        </w:r>
      </w:hyperlink>
    </w:p>
    <w:p>
      <w:pPr>
        <w:pStyle w:val="TOC2"/>
      </w:pPr>
      <w:hyperlink w:anchor="_Toc300001370" w:history="1">
        <w:r>
          <w:rPr>
            <w:noProof/>
          </w:rPr>
          <w:t xml:space="preserve">Article 39.7: Strategic Compute Infrastructure Cooperation</w:t>
        </w:r>
        <w:r>
          <w:rPr>
            <w:noProof/>
            <w:webHidden/>
          </w:rPr>
          <w:tab/>
        </w:r>
        <w:r>
          <w:rPr>
            <w:noProof/>
            <w:webHidden/>
          </w:rPr>
          <w:fldChar w:fldCharType="begin"/>
        </w:r>
        <w:r>
          <w:rPr>
            <w:noProof/>
            <w:webHidden/>
          </w:rPr>
          <w:instrText xml:space="preserve"> PAGEREF _Toc300001370 \h </w:instrText>
        </w:r>
        <w:r>
          <w:rPr>
            <w:noProof/>
            <w:webHidden/>
          </w:rPr>
          <w:fldChar w:fldCharType="separate"/>
        </w:r>
        <w:r>
          <w:rPr>
            <w:noProof/>
            <w:webHidden/>
          </w:rPr>
          <w:t>1528</w:t>
        </w:r>
        <w:r>
          <w:rPr>
            <w:noProof/>
            <w:webHidden/>
          </w:rPr>
          <w:fldChar w:fldCharType="end"/>
        </w:r>
      </w:hyperlink>
    </w:p>
    <w:p>
      <w:pPr>
        <w:pStyle w:val="TOC2"/>
      </w:pPr>
      <w:hyperlink w:anchor="_Toc300001371" w:history="1">
        <w:r>
          <w:rPr>
            <w:noProof/>
          </w:rPr>
          <w:t xml:space="preserve">Article 39.8: North American Advanced Compute Demonstration Corridor</w:t>
        </w:r>
        <w:r>
          <w:rPr>
            <w:noProof/>
            <w:webHidden/>
          </w:rPr>
          <w:tab/>
        </w:r>
        <w:r>
          <w:rPr>
            <w:noProof/>
            <w:webHidden/>
          </w:rPr>
          <w:fldChar w:fldCharType="begin"/>
        </w:r>
        <w:r>
          <w:rPr>
            <w:noProof/>
            <w:webHidden/>
          </w:rPr>
          <w:instrText xml:space="preserve"> PAGEREF _Toc300001371 \h </w:instrText>
        </w:r>
        <w:r>
          <w:rPr>
            <w:noProof/>
            <w:webHidden/>
          </w:rPr>
          <w:fldChar w:fldCharType="separate"/>
        </w:r>
        <w:r>
          <w:rPr>
            <w:noProof/>
            <w:webHidden/>
          </w:rPr>
          <w:t>1528</w:t>
        </w:r>
        <w:r>
          <w:rPr>
            <w:noProof/>
            <w:webHidden/>
          </w:rPr>
          <w:fldChar w:fldCharType="end"/>
        </w:r>
      </w:hyperlink>
    </w:p>
    <w:p>
      <w:pPr>
        <w:pStyle w:val="TOC2"/>
      </w:pPr>
      <w:hyperlink w:anchor="_Toc300001372" w:history="1">
        <w:r>
          <w:rPr>
            <w:noProof/>
          </w:rPr>
          <w:t xml:space="preserve">Article 39.9: North American Experimental Technology Pathway</w:t>
        </w:r>
        <w:r>
          <w:rPr>
            <w:noProof/>
            <w:webHidden/>
          </w:rPr>
          <w:tab/>
        </w:r>
        <w:r>
          <w:rPr>
            <w:noProof/>
            <w:webHidden/>
          </w:rPr>
          <w:fldChar w:fldCharType="begin"/>
        </w:r>
        <w:r>
          <w:rPr>
            <w:noProof/>
            <w:webHidden/>
          </w:rPr>
          <w:instrText xml:space="preserve"> PAGEREF _Toc300001372 \h </w:instrText>
        </w:r>
        <w:r>
          <w:rPr>
            <w:noProof/>
            <w:webHidden/>
          </w:rPr>
          <w:fldChar w:fldCharType="separate"/>
        </w:r>
        <w:r>
          <w:rPr>
            <w:noProof/>
            <w:webHidden/>
          </w:rPr>
          <w:t>1529</w:t>
        </w:r>
        <w:r>
          <w:rPr>
            <w:noProof/>
            <w:webHidden/>
          </w:rPr>
          <w:fldChar w:fldCharType="end"/>
        </w:r>
      </w:hyperlink>
    </w:p>
    <w:p>
      <w:pPr>
        <w:pStyle w:val="TOC2"/>
      </w:pPr>
      <w:hyperlink w:anchor="_Toc300001373" w:history="1">
        <w:r>
          <w:rPr>
            <w:noProof/>
          </w:rPr>
          <w:t xml:space="preserve">Article 39.10: Iterative Experimental Development Principle</w:t>
        </w:r>
        <w:r>
          <w:rPr>
            <w:noProof/>
            <w:webHidden/>
          </w:rPr>
          <w:tab/>
        </w:r>
        <w:r>
          <w:rPr>
            <w:noProof/>
            <w:webHidden/>
          </w:rPr>
          <w:fldChar w:fldCharType="begin"/>
        </w:r>
        <w:r>
          <w:rPr>
            <w:noProof/>
            <w:webHidden/>
          </w:rPr>
          <w:instrText xml:space="preserve"> PAGEREF _Toc300001373 \h </w:instrText>
        </w:r>
        <w:r>
          <w:rPr>
            <w:noProof/>
            <w:webHidden/>
          </w:rPr>
          <w:fldChar w:fldCharType="separate"/>
        </w:r>
        <w:r>
          <w:rPr>
            <w:noProof/>
            <w:webHidden/>
          </w:rPr>
          <w:t>1529</w:t>
        </w:r>
        <w:r>
          <w:rPr>
            <w:noProof/>
            <w:webHidden/>
          </w:rPr>
          <w:fldChar w:fldCharType="end"/>
        </w:r>
      </w:hyperlink>
    </w:p>
    <w:p>
      <w:pPr>
        <w:pStyle w:val="TOC2"/>
      </w:pPr>
      <w:hyperlink w:anchor="_Toc300001374" w:history="1">
        <w:r>
          <w:rPr>
            <w:noProof/>
          </w:rPr>
          <w:t xml:space="preserve">Article 39.11: Revalidation Gate After Repeated Unsuccessful Iterations</w:t>
        </w:r>
        <w:r>
          <w:rPr>
            <w:noProof/>
            <w:webHidden/>
          </w:rPr>
          <w:tab/>
        </w:r>
        <w:r>
          <w:rPr>
            <w:noProof/>
            <w:webHidden/>
          </w:rPr>
          <w:fldChar w:fldCharType="begin"/>
        </w:r>
        <w:r>
          <w:rPr>
            <w:noProof/>
            <w:webHidden/>
          </w:rPr>
          <w:instrText xml:space="preserve"> PAGEREF _Toc300001374 \h </w:instrText>
        </w:r>
        <w:r>
          <w:rPr>
            <w:noProof/>
            <w:webHidden/>
          </w:rPr>
          <w:fldChar w:fldCharType="separate"/>
        </w:r>
        <w:r>
          <w:rPr>
            <w:noProof/>
            <w:webHidden/>
          </w:rPr>
          <w:t>1530</w:t>
        </w:r>
        <w:r>
          <w:rPr>
            <w:noProof/>
            <w:webHidden/>
          </w:rPr>
          <w:fldChar w:fldCharType="end"/>
        </w:r>
      </w:hyperlink>
    </w:p>
    <w:p>
      <w:pPr>
        <w:pStyle w:val="TOC2"/>
      </w:pPr>
      <w:hyperlink w:anchor="_Toc300001375" w:history="1">
        <w:r>
          <w:rPr>
            <w:noProof/>
          </w:rPr>
          <w:t xml:space="preserve">Article 39.12: Productive Experimental Closure and Derivative Development</w:t>
        </w:r>
        <w:r>
          <w:rPr>
            <w:noProof/>
            <w:webHidden/>
          </w:rPr>
          <w:tab/>
        </w:r>
        <w:r>
          <w:rPr>
            <w:noProof/>
            <w:webHidden/>
          </w:rPr>
          <w:fldChar w:fldCharType="begin"/>
        </w:r>
        <w:r>
          <w:rPr>
            <w:noProof/>
            <w:webHidden/>
          </w:rPr>
          <w:instrText xml:space="preserve"> PAGEREF _Toc300001375 \h </w:instrText>
        </w:r>
        <w:r>
          <w:rPr>
            <w:noProof/>
            <w:webHidden/>
          </w:rPr>
          <w:fldChar w:fldCharType="separate"/>
        </w:r>
        <w:r>
          <w:rPr>
            <w:noProof/>
            <w:webHidden/>
          </w:rPr>
          <w:t>1530</w:t>
        </w:r>
        <w:r>
          <w:rPr>
            <w:noProof/>
            <w:webHidden/>
          </w:rPr>
          <w:fldChar w:fldCharType="end"/>
        </w:r>
      </w:hyperlink>
    </w:p>
    <w:p>
      <w:pPr>
        <w:pStyle w:val="TOC2"/>
      </w:pPr>
      <w:hyperlink w:anchor="_Toc300001376" w:history="1">
        <w:r>
          <w:rPr>
            <w:noProof/>
          </w:rPr>
          <w:t xml:space="preserve">Article 39.13: North American Semiconductor Security and Competitiveness Pact</w:t>
        </w:r>
        <w:r>
          <w:rPr>
            <w:noProof/>
            <w:webHidden/>
          </w:rPr>
          <w:tab/>
        </w:r>
        <w:r>
          <w:rPr>
            <w:noProof/>
            <w:webHidden/>
          </w:rPr>
          <w:fldChar w:fldCharType="begin"/>
        </w:r>
        <w:r>
          <w:rPr>
            <w:noProof/>
            <w:webHidden/>
          </w:rPr>
          <w:instrText xml:space="preserve"> PAGEREF _Toc300001376 \h </w:instrText>
        </w:r>
        <w:r>
          <w:rPr>
            <w:noProof/>
            <w:webHidden/>
          </w:rPr>
          <w:fldChar w:fldCharType="separate"/>
        </w:r>
        <w:r>
          <w:rPr>
            <w:noProof/>
            <w:webHidden/>
          </w:rPr>
          <w:t>1531</w:t>
        </w:r>
        <w:r>
          <w:rPr>
            <w:noProof/>
            <w:webHidden/>
          </w:rPr>
          <w:fldChar w:fldCharType="end"/>
        </w:r>
      </w:hyperlink>
    </w:p>
    <w:p>
      <w:pPr>
        <w:pStyle w:val="TOC2"/>
      </w:pPr>
      <w:hyperlink w:anchor="_Toc300001377" w:history="1">
        <w:r>
          <w:rPr>
            <w:noProof/>
          </w:rPr>
          <w:t xml:space="preserve">Article 39.14: Semiconductor-Specific Origin, Chiplet, and Packaging Cooperation</w:t>
        </w:r>
        <w:r>
          <w:rPr>
            <w:noProof/>
            <w:webHidden/>
          </w:rPr>
          <w:tab/>
        </w:r>
        <w:r>
          <w:rPr>
            <w:noProof/>
            <w:webHidden/>
          </w:rPr>
          <w:fldChar w:fldCharType="begin"/>
        </w:r>
        <w:r>
          <w:rPr>
            <w:noProof/>
            <w:webHidden/>
          </w:rPr>
          <w:instrText xml:space="preserve"> PAGEREF _Toc300001377 \h </w:instrText>
        </w:r>
        <w:r>
          <w:rPr>
            <w:noProof/>
            <w:webHidden/>
          </w:rPr>
          <w:fldChar w:fldCharType="separate"/>
        </w:r>
        <w:r>
          <w:rPr>
            <w:noProof/>
            <w:webHidden/>
          </w:rPr>
          <w:t>1531</w:t>
        </w:r>
        <w:r>
          <w:rPr>
            <w:noProof/>
            <w:webHidden/>
          </w:rPr>
          <w:fldChar w:fldCharType="end"/>
        </w:r>
      </w:hyperlink>
    </w:p>
    <w:p>
      <w:pPr>
        <w:pStyle w:val="TOC2"/>
      </w:pPr>
      <w:hyperlink w:anchor="_Toc300001378" w:history="1">
        <w:r>
          <w:rPr>
            <w:noProof/>
          </w:rPr>
          <w:t xml:space="preserve">Article 39.15: Capacity-Gap Safe Harbor and Trusted Foundry Access</w:t>
        </w:r>
        <w:r>
          <w:rPr>
            <w:noProof/>
            <w:webHidden/>
          </w:rPr>
          <w:tab/>
        </w:r>
        <w:r>
          <w:rPr>
            <w:noProof/>
            <w:webHidden/>
          </w:rPr>
          <w:fldChar w:fldCharType="begin"/>
        </w:r>
        <w:r>
          <w:rPr>
            <w:noProof/>
            <w:webHidden/>
          </w:rPr>
          <w:instrText xml:space="preserve"> PAGEREF _Toc300001378 \h </w:instrText>
        </w:r>
        <w:r>
          <w:rPr>
            <w:noProof/>
            <w:webHidden/>
          </w:rPr>
          <w:fldChar w:fldCharType="separate"/>
        </w:r>
        <w:r>
          <w:rPr>
            <w:noProof/>
            <w:webHidden/>
          </w:rPr>
          <w:t>1531</w:t>
        </w:r>
        <w:r>
          <w:rPr>
            <w:noProof/>
            <w:webHidden/>
          </w:rPr>
          <w:fldChar w:fldCharType="end"/>
        </w:r>
      </w:hyperlink>
    </w:p>
    <w:p>
      <w:pPr>
        <w:pStyle w:val="TOC2"/>
      </w:pPr>
      <w:hyperlink w:anchor="_Toc300001379" w:history="1">
        <w:r>
          <w:rPr>
            <w:noProof/>
          </w:rPr>
          <w:t xml:space="preserve">Article 39.16: Semiconductor Workforce, Research, and SME Access</w:t>
        </w:r>
        <w:r>
          <w:rPr>
            <w:noProof/>
            <w:webHidden/>
          </w:rPr>
          <w:tab/>
        </w:r>
        <w:r>
          <w:rPr>
            <w:noProof/>
            <w:webHidden/>
          </w:rPr>
          <w:fldChar w:fldCharType="begin"/>
        </w:r>
        <w:r>
          <w:rPr>
            <w:noProof/>
            <w:webHidden/>
          </w:rPr>
          <w:instrText xml:space="preserve"> PAGEREF _Toc300001379 \h </w:instrText>
        </w:r>
        <w:r>
          <w:rPr>
            <w:noProof/>
            <w:webHidden/>
          </w:rPr>
          <w:fldChar w:fldCharType="separate"/>
        </w:r>
        <w:r>
          <w:rPr>
            <w:noProof/>
            <w:webHidden/>
          </w:rPr>
          <w:t>1532</w:t>
        </w:r>
        <w:r>
          <w:rPr>
            <w:noProof/>
            <w:webHidden/>
          </w:rPr>
          <w:fldChar w:fldCharType="end"/>
        </w:r>
      </w:hyperlink>
    </w:p>
    <w:p>
      <w:pPr>
        <w:pStyle w:val="TOC2"/>
      </w:pPr>
      <w:hyperlink w:anchor="_Toc300001380" w:history="1">
        <w:r>
          <w:rPr>
            <w:noProof/>
          </w:rPr>
          <w:t xml:space="preserve">Article 39.17: Semiconductor Capacity Reservation and Shortage Response</w:t>
        </w:r>
        <w:r>
          <w:rPr>
            <w:noProof/>
            <w:webHidden/>
          </w:rPr>
          <w:tab/>
        </w:r>
        <w:r>
          <w:rPr>
            <w:noProof/>
            <w:webHidden/>
          </w:rPr>
          <w:fldChar w:fldCharType="begin"/>
        </w:r>
        <w:r>
          <w:rPr>
            <w:noProof/>
            <w:webHidden/>
          </w:rPr>
          <w:instrText xml:space="preserve"> PAGEREF _Toc300001380 \h </w:instrText>
        </w:r>
        <w:r>
          <w:rPr>
            <w:noProof/>
            <w:webHidden/>
          </w:rPr>
          <w:fldChar w:fldCharType="separate"/>
        </w:r>
        <w:r>
          <w:rPr>
            <w:noProof/>
            <w:webHidden/>
          </w:rPr>
          <w:t>1532</w:t>
        </w:r>
        <w:r>
          <w:rPr>
            <w:noProof/>
            <w:webHidden/>
          </w:rPr>
          <w:fldChar w:fldCharType="end"/>
        </w:r>
      </w:hyperlink>
    </w:p>
    <w:p>
      <w:pPr>
        <w:pStyle w:val="TOC2"/>
      </w:pPr>
      <w:hyperlink w:anchor="_Toc300001381" w:history="1">
        <w:r>
          <w:rPr>
            <w:noProof/>
          </w:rPr>
          <w:t xml:space="preserve">Article 39.18: Semiconductor Investment Additionality and Non-Poaching</w:t>
        </w:r>
        <w:r>
          <w:rPr>
            <w:noProof/>
            <w:webHidden/>
          </w:rPr>
          <w:tab/>
        </w:r>
        <w:r>
          <w:rPr>
            <w:noProof/>
            <w:webHidden/>
          </w:rPr>
          <w:fldChar w:fldCharType="begin"/>
        </w:r>
        <w:r>
          <w:rPr>
            <w:noProof/>
            <w:webHidden/>
          </w:rPr>
          <w:instrText xml:space="preserve"> PAGEREF _Toc300001381 \h </w:instrText>
        </w:r>
        <w:r>
          <w:rPr>
            <w:noProof/>
            <w:webHidden/>
          </w:rPr>
          <w:fldChar w:fldCharType="separate"/>
        </w:r>
        <w:r>
          <w:rPr>
            <w:noProof/>
            <w:webHidden/>
          </w:rPr>
          <w:t>1532</w:t>
        </w:r>
        <w:r>
          <w:rPr>
            <w:noProof/>
            <w:webHidden/>
          </w:rPr>
          <w:fldChar w:fldCharType="end"/>
        </w:r>
      </w:hyperlink>
    </w:p>
    <w:p>
      <w:pPr>
        <w:pStyle w:val="TOC2"/>
      </w:pPr>
      <w:hyperlink w:anchor="_Toc300001382" w:history="1">
        <w:r>
          <w:rPr>
            <w:noProof/>
          </w:rPr>
          <w:t xml:space="preserve">PART B: ARTIFICIAL INTELLIGENCE GOVERNANCE, RIGHTS, SAFETY AND INNOVATION FRAMEWORK</w:t>
        </w:r>
        <w:r>
          <w:rPr>
            <w:noProof/>
            <w:webHidden/>
          </w:rPr>
          <w:tab/>
        </w:r>
        <w:r>
          <w:rPr>
            <w:noProof/>
            <w:webHidden/>
          </w:rPr>
          <w:fldChar w:fldCharType="begin"/>
        </w:r>
        <w:r>
          <w:rPr>
            <w:noProof/>
            <w:webHidden/>
          </w:rPr>
          <w:instrText xml:space="preserve"> PAGEREF _Toc300001382 \h </w:instrText>
        </w:r>
        <w:r>
          <w:rPr>
            <w:noProof/>
            <w:webHidden/>
          </w:rPr>
          <w:fldChar w:fldCharType="separate"/>
        </w:r>
        <w:r>
          <w:rPr>
            <w:noProof/>
            <w:webHidden/>
          </w:rPr>
          <w:t>1533</w:t>
        </w:r>
        <w:r>
          <w:rPr>
            <w:noProof/>
            <w:webHidden/>
          </w:rPr>
          <w:fldChar w:fldCharType="end"/>
        </w:r>
      </w:hyperlink>
    </w:p>
    <w:p>
      <w:pPr>
        <w:pStyle w:val="TOC2"/>
      </w:pPr>
      <w:hyperlink w:anchor="_Toc300001383" w:history="1">
        <w:r>
          <w:rPr>
            <w:noProof/>
          </w:rPr>
          <w:t xml:space="preserve">Article 39.19: Purpose, Scope and Balanced AI Governance</w:t>
        </w:r>
        <w:r>
          <w:rPr>
            <w:noProof/>
            <w:webHidden/>
          </w:rPr>
          <w:tab/>
        </w:r>
        <w:r>
          <w:rPr>
            <w:noProof/>
            <w:webHidden/>
          </w:rPr>
          <w:fldChar w:fldCharType="begin"/>
        </w:r>
        <w:r>
          <w:rPr>
            <w:noProof/>
            <w:webHidden/>
          </w:rPr>
          <w:instrText xml:space="preserve"> PAGEREF _Toc300001383 \h </w:instrText>
        </w:r>
        <w:r>
          <w:rPr>
            <w:noProof/>
            <w:webHidden/>
          </w:rPr>
          <w:fldChar w:fldCharType="separate"/>
        </w:r>
        <w:r>
          <w:rPr>
            <w:noProof/>
            <w:webHidden/>
          </w:rPr>
          <w:t>1533</w:t>
        </w:r>
        <w:r>
          <w:rPr>
            <w:noProof/>
            <w:webHidden/>
          </w:rPr>
          <w:fldChar w:fldCharType="end"/>
        </w:r>
      </w:hyperlink>
    </w:p>
    <w:p>
      <w:pPr>
        <w:pStyle w:val="TOC2"/>
      </w:pPr>
      <w:hyperlink w:anchor="_Toc300001384" w:history="1">
        <w:r>
          <w:rPr>
            <w:noProof/>
          </w:rPr>
          <w:t xml:space="preserve">Article 39.20: Definitions and Functional Classification</w:t>
        </w:r>
        <w:r>
          <w:rPr>
            <w:noProof/>
            <w:webHidden/>
          </w:rPr>
          <w:tab/>
        </w:r>
        <w:r>
          <w:rPr>
            <w:noProof/>
            <w:webHidden/>
          </w:rPr>
          <w:fldChar w:fldCharType="begin"/>
        </w:r>
        <w:r>
          <w:rPr>
            <w:noProof/>
            <w:webHidden/>
          </w:rPr>
          <w:instrText xml:space="preserve"> PAGEREF _Toc300001384 \h </w:instrText>
        </w:r>
        <w:r>
          <w:rPr>
            <w:noProof/>
            <w:webHidden/>
          </w:rPr>
          <w:fldChar w:fldCharType="separate"/>
        </w:r>
        <w:r>
          <w:rPr>
            <w:noProof/>
            <w:webHidden/>
          </w:rPr>
          <w:t>1535</w:t>
        </w:r>
        <w:r>
          <w:rPr>
            <w:noProof/>
            <w:webHidden/>
          </w:rPr>
          <w:fldChar w:fldCharType="end"/>
        </w:r>
      </w:hyperlink>
    </w:p>
    <w:p>
      <w:pPr>
        <w:pStyle w:val="TOC2"/>
      </w:pPr>
      <w:hyperlink w:anchor="_Toc300001385" w:history="1">
        <w:r>
          <w:rPr>
            <w:noProof/>
          </w:rPr>
          <w:t xml:space="preserve">Article 39.21: Risk Classification and Reclassification</w:t>
        </w:r>
        <w:r>
          <w:rPr>
            <w:noProof/>
            <w:webHidden/>
          </w:rPr>
          <w:tab/>
        </w:r>
        <w:r>
          <w:rPr>
            <w:noProof/>
            <w:webHidden/>
          </w:rPr>
          <w:fldChar w:fldCharType="begin"/>
        </w:r>
        <w:r>
          <w:rPr>
            <w:noProof/>
            <w:webHidden/>
          </w:rPr>
          <w:instrText xml:space="preserve"> PAGEREF _Toc300001385 \h </w:instrText>
        </w:r>
        <w:r>
          <w:rPr>
            <w:noProof/>
            <w:webHidden/>
          </w:rPr>
          <w:fldChar w:fldCharType="separate"/>
        </w:r>
        <w:r>
          <w:rPr>
            <w:noProof/>
            <w:webHidden/>
          </w:rPr>
          <w:t>1536</w:t>
        </w:r>
        <w:r>
          <w:rPr>
            <w:noProof/>
            <w:webHidden/>
          </w:rPr>
          <w:fldChar w:fldCharType="end"/>
        </w:r>
      </w:hyperlink>
    </w:p>
    <w:p>
      <w:pPr>
        <w:pStyle w:val="TOC2"/>
      </w:pPr>
      <w:hyperlink w:anchor="_Toc300001386" w:history="1">
        <w:r>
          <w:rPr>
            <w:noProof/>
          </w:rPr>
          <w:t xml:space="preserve">Article 39.22: Governing Firewalls and No AI Exceptionalism</w:t>
        </w:r>
        <w:r>
          <w:rPr>
            <w:noProof/>
            <w:webHidden/>
          </w:rPr>
          <w:tab/>
        </w:r>
        <w:r>
          <w:rPr>
            <w:noProof/>
            <w:webHidden/>
          </w:rPr>
          <w:fldChar w:fldCharType="begin"/>
        </w:r>
        <w:r>
          <w:rPr>
            <w:noProof/>
            <w:webHidden/>
          </w:rPr>
          <w:instrText xml:space="preserve"> PAGEREF _Toc300001386 \h </w:instrText>
        </w:r>
        <w:r>
          <w:rPr>
            <w:noProof/>
            <w:webHidden/>
          </w:rPr>
          <w:fldChar w:fldCharType="separate"/>
        </w:r>
        <w:r>
          <w:rPr>
            <w:noProof/>
            <w:webHidden/>
          </w:rPr>
          <w:t>1538</w:t>
        </w:r>
        <w:r>
          <w:rPr>
            <w:noProof/>
            <w:webHidden/>
          </w:rPr>
          <w:fldChar w:fldCharType="end"/>
        </w:r>
      </w:hyperlink>
    </w:p>
    <w:p>
      <w:pPr>
        <w:pStyle w:val="TOC2"/>
      </w:pPr>
      <w:hyperlink w:anchor="_Toc300001387" w:history="1">
        <w:r>
          <w:rPr>
            <w:noProof/>
          </w:rPr>
          <w:t xml:space="preserve">Article 39.23: Human Authority and Accountable Decision-Making</w:t>
        </w:r>
        <w:r>
          <w:rPr>
            <w:noProof/>
            <w:webHidden/>
          </w:rPr>
          <w:tab/>
        </w:r>
        <w:r>
          <w:rPr>
            <w:noProof/>
            <w:webHidden/>
          </w:rPr>
          <w:fldChar w:fldCharType="begin"/>
        </w:r>
        <w:r>
          <w:rPr>
            <w:noProof/>
            <w:webHidden/>
          </w:rPr>
          <w:instrText xml:space="preserve"> PAGEREF _Toc300001387 \h </w:instrText>
        </w:r>
        <w:r>
          <w:rPr>
            <w:noProof/>
            <w:webHidden/>
          </w:rPr>
          <w:fldChar w:fldCharType="separate"/>
        </w:r>
        <w:r>
          <w:rPr>
            <w:noProof/>
            <w:webHidden/>
          </w:rPr>
          <w:t>1540</w:t>
        </w:r>
        <w:r>
          <w:rPr>
            <w:noProof/>
            <w:webHidden/>
          </w:rPr>
          <w:fldChar w:fldCharType="end"/>
        </w:r>
      </w:hyperlink>
    </w:p>
    <w:p>
      <w:pPr>
        <w:pStyle w:val="TOC2"/>
      </w:pPr>
      <w:hyperlink w:anchor="_Toc300001388" w:history="1">
        <w:r>
          <w:rPr>
            <w:noProof/>
          </w:rPr>
          <w:t xml:space="preserve">Article 39.24: Notice, Explanation and Disclosure to Affected Persons</w:t>
        </w:r>
        <w:r>
          <w:rPr>
            <w:noProof/>
            <w:webHidden/>
          </w:rPr>
          <w:tab/>
        </w:r>
        <w:r>
          <w:rPr>
            <w:noProof/>
            <w:webHidden/>
          </w:rPr>
          <w:fldChar w:fldCharType="begin"/>
        </w:r>
        <w:r>
          <w:rPr>
            <w:noProof/>
            <w:webHidden/>
          </w:rPr>
          <w:instrText xml:space="preserve"> PAGEREF _Toc300001388 \h </w:instrText>
        </w:r>
        <w:r>
          <w:rPr>
            <w:noProof/>
            <w:webHidden/>
          </w:rPr>
          <w:fldChar w:fldCharType="separate"/>
        </w:r>
        <w:r>
          <w:rPr>
            <w:noProof/>
            <w:webHidden/>
          </w:rPr>
          <w:t>1542</w:t>
        </w:r>
        <w:r>
          <w:rPr>
            <w:noProof/>
            <w:webHidden/>
          </w:rPr>
          <w:fldChar w:fldCharType="end"/>
        </w:r>
      </w:hyperlink>
    </w:p>
    <w:p>
      <w:pPr>
        <w:pStyle w:val="TOC2"/>
      </w:pPr>
      <w:hyperlink w:anchor="_Toc300001389" w:history="1">
        <w:r>
          <w:rPr>
            <w:noProof/>
          </w:rPr>
          <w:t xml:space="preserve">Article 39.25: Contestability, Appeal and Correction</w:t>
        </w:r>
        <w:r>
          <w:rPr>
            <w:noProof/>
            <w:webHidden/>
          </w:rPr>
          <w:tab/>
        </w:r>
        <w:r>
          <w:rPr>
            <w:noProof/>
            <w:webHidden/>
          </w:rPr>
          <w:fldChar w:fldCharType="begin"/>
        </w:r>
        <w:r>
          <w:rPr>
            <w:noProof/>
            <w:webHidden/>
          </w:rPr>
          <w:instrText xml:space="preserve"> PAGEREF _Toc300001389 \h </w:instrText>
        </w:r>
        <w:r>
          <w:rPr>
            <w:noProof/>
            <w:webHidden/>
          </w:rPr>
          <w:fldChar w:fldCharType="separate"/>
        </w:r>
        <w:r>
          <w:rPr>
            <w:noProof/>
            <w:webHidden/>
          </w:rPr>
          <w:t>1543</w:t>
        </w:r>
        <w:r>
          <w:rPr>
            <w:noProof/>
            <w:webHidden/>
          </w:rPr>
          <w:fldChar w:fldCharType="end"/>
        </w:r>
      </w:hyperlink>
    </w:p>
    <w:p>
      <w:pPr>
        <w:pStyle w:val="TOC2"/>
      </w:pPr>
      <w:hyperlink w:anchor="_Toc300001390" w:history="1">
        <w:r>
          <w:rPr>
            <w:noProof/>
          </w:rPr>
          <w:t xml:space="preserve">Article 39.26: Consequential Automated Decision Safeguards</w:t>
        </w:r>
        <w:r>
          <w:rPr>
            <w:noProof/>
            <w:webHidden/>
          </w:rPr>
          <w:tab/>
        </w:r>
        <w:r>
          <w:rPr>
            <w:noProof/>
            <w:webHidden/>
          </w:rPr>
          <w:fldChar w:fldCharType="begin"/>
        </w:r>
        <w:r>
          <w:rPr>
            <w:noProof/>
            <w:webHidden/>
          </w:rPr>
          <w:instrText xml:space="preserve"> PAGEREF _Toc300001390 \h </w:instrText>
        </w:r>
        <w:r>
          <w:rPr>
            <w:noProof/>
            <w:webHidden/>
          </w:rPr>
          <w:fldChar w:fldCharType="separate"/>
        </w:r>
        <w:r>
          <w:rPr>
            <w:noProof/>
            <w:webHidden/>
          </w:rPr>
          <w:t>1545</w:t>
        </w:r>
        <w:r>
          <w:rPr>
            <w:noProof/>
            <w:webHidden/>
          </w:rPr>
          <w:fldChar w:fldCharType="end"/>
        </w:r>
      </w:hyperlink>
    </w:p>
    <w:p>
      <w:pPr>
        <w:pStyle w:val="TOC2"/>
      </w:pPr>
      <w:hyperlink w:anchor="_Toc300001391" w:history="1">
        <w:r>
          <w:rPr>
            <w:noProof/>
          </w:rPr>
          <w:t xml:space="preserve">Article 39.27: Impact Assessment and Deployment Documentation</w:t>
        </w:r>
        <w:r>
          <w:rPr>
            <w:noProof/>
            <w:webHidden/>
          </w:rPr>
          <w:tab/>
        </w:r>
        <w:r>
          <w:rPr>
            <w:noProof/>
            <w:webHidden/>
          </w:rPr>
          <w:fldChar w:fldCharType="begin"/>
        </w:r>
        <w:r>
          <w:rPr>
            <w:noProof/>
            <w:webHidden/>
          </w:rPr>
          <w:instrText xml:space="preserve"> PAGEREF _Toc300001391 \h </w:instrText>
        </w:r>
        <w:r>
          <w:rPr>
            <w:noProof/>
            <w:webHidden/>
          </w:rPr>
          <w:fldChar w:fldCharType="separate"/>
        </w:r>
        <w:r>
          <w:rPr>
            <w:noProof/>
            <w:webHidden/>
          </w:rPr>
          <w:t>1547</w:t>
        </w:r>
        <w:r>
          <w:rPr>
            <w:noProof/>
            <w:webHidden/>
          </w:rPr>
          <w:fldChar w:fldCharType="end"/>
        </w:r>
      </w:hyperlink>
    </w:p>
    <w:p>
      <w:pPr>
        <w:pStyle w:val="TOC2"/>
      </w:pPr>
      <w:hyperlink w:anchor="_Toc300001392" w:history="1">
        <w:r>
          <w:rPr>
            <w:noProof/>
          </w:rPr>
          <w:t xml:space="preserve">Article 39.28: Audit, Assurance and Independent Review</w:t>
        </w:r>
        <w:r>
          <w:rPr>
            <w:noProof/>
            <w:webHidden/>
          </w:rPr>
          <w:tab/>
        </w:r>
        <w:r>
          <w:rPr>
            <w:noProof/>
            <w:webHidden/>
          </w:rPr>
          <w:fldChar w:fldCharType="begin"/>
        </w:r>
        <w:r>
          <w:rPr>
            <w:noProof/>
            <w:webHidden/>
          </w:rPr>
          <w:instrText xml:space="preserve"> PAGEREF _Toc300001392 \h </w:instrText>
        </w:r>
        <w:r>
          <w:rPr>
            <w:noProof/>
            <w:webHidden/>
          </w:rPr>
          <w:fldChar w:fldCharType="separate"/>
        </w:r>
        <w:r>
          <w:rPr>
            <w:noProof/>
            <w:webHidden/>
          </w:rPr>
          <w:t>1548</w:t>
        </w:r>
        <w:r>
          <w:rPr>
            <w:noProof/>
            <w:webHidden/>
          </w:rPr>
          <w:fldChar w:fldCharType="end"/>
        </w:r>
      </w:hyperlink>
    </w:p>
    <w:p>
      <w:pPr>
        <w:pStyle w:val="TOC2"/>
      </w:pPr>
      <w:hyperlink w:anchor="_Toc300001393" w:history="1">
        <w:r>
          <w:rPr>
            <w:noProof/>
          </w:rPr>
          <w:t xml:space="preserve">Article 39.29: Performance, Bias and Validation</w:t>
        </w:r>
        <w:r>
          <w:rPr>
            <w:noProof/>
            <w:webHidden/>
          </w:rPr>
          <w:tab/>
        </w:r>
        <w:r>
          <w:rPr>
            <w:noProof/>
            <w:webHidden/>
          </w:rPr>
          <w:fldChar w:fldCharType="begin"/>
        </w:r>
        <w:r>
          <w:rPr>
            <w:noProof/>
            <w:webHidden/>
          </w:rPr>
          <w:instrText xml:space="preserve"> PAGEREF _Toc300001393 \h </w:instrText>
        </w:r>
        <w:r>
          <w:rPr>
            <w:noProof/>
            <w:webHidden/>
          </w:rPr>
          <w:fldChar w:fldCharType="separate"/>
        </w:r>
        <w:r>
          <w:rPr>
            <w:noProof/>
            <w:webHidden/>
          </w:rPr>
          <w:t>1550</w:t>
        </w:r>
        <w:r>
          <w:rPr>
            <w:noProof/>
            <w:webHidden/>
          </w:rPr>
          <w:fldChar w:fldCharType="end"/>
        </w:r>
      </w:hyperlink>
    </w:p>
    <w:p>
      <w:pPr>
        <w:pStyle w:val="TOC2"/>
      </w:pPr>
      <w:hyperlink w:anchor="_Toc300001394" w:history="1">
        <w:r>
          <w:rPr>
            <w:noProof/>
          </w:rPr>
          <w:t xml:space="preserve">Article 39.30: Safety Engineering and Risk Controls</w:t>
        </w:r>
        <w:r>
          <w:rPr>
            <w:noProof/>
            <w:webHidden/>
          </w:rPr>
          <w:tab/>
        </w:r>
        <w:r>
          <w:rPr>
            <w:noProof/>
            <w:webHidden/>
          </w:rPr>
          <w:fldChar w:fldCharType="begin"/>
        </w:r>
        <w:r>
          <w:rPr>
            <w:noProof/>
            <w:webHidden/>
          </w:rPr>
          <w:instrText xml:space="preserve"> PAGEREF _Toc300001394 \h </w:instrText>
        </w:r>
        <w:r>
          <w:rPr>
            <w:noProof/>
            <w:webHidden/>
          </w:rPr>
          <w:fldChar w:fldCharType="separate"/>
        </w:r>
        <w:r>
          <w:rPr>
            <w:noProof/>
            <w:webHidden/>
          </w:rPr>
          <w:t>1552</w:t>
        </w:r>
        <w:r>
          <w:rPr>
            <w:noProof/>
            <w:webHidden/>
          </w:rPr>
          <w:fldChar w:fldCharType="end"/>
        </w:r>
      </w:hyperlink>
    </w:p>
    <w:p>
      <w:pPr>
        <w:pStyle w:val="TOC2"/>
      </w:pPr>
      <w:hyperlink w:anchor="_Toc300001395" w:history="1">
        <w:r>
          <w:rPr>
            <w:noProof/>
          </w:rPr>
          <w:t xml:space="preserve">Article 39.31: Lifecycle Governance and Change Control</w:t>
        </w:r>
        <w:r>
          <w:rPr>
            <w:noProof/>
            <w:webHidden/>
          </w:rPr>
          <w:tab/>
        </w:r>
        <w:r>
          <w:rPr>
            <w:noProof/>
            <w:webHidden/>
          </w:rPr>
          <w:fldChar w:fldCharType="begin"/>
        </w:r>
        <w:r>
          <w:rPr>
            <w:noProof/>
            <w:webHidden/>
          </w:rPr>
          <w:instrText xml:space="preserve"> PAGEREF _Toc300001395 \h </w:instrText>
        </w:r>
        <w:r>
          <w:rPr>
            <w:noProof/>
            <w:webHidden/>
          </w:rPr>
          <w:fldChar w:fldCharType="separate"/>
        </w:r>
        <w:r>
          <w:rPr>
            <w:noProof/>
            <w:webHidden/>
          </w:rPr>
          <w:t>1553</w:t>
        </w:r>
        <w:r>
          <w:rPr>
            <w:noProof/>
            <w:webHidden/>
          </w:rPr>
          <w:fldChar w:fldCharType="end"/>
        </w:r>
      </w:hyperlink>
    </w:p>
    <w:p>
      <w:pPr>
        <w:pStyle w:val="TOC2"/>
      </w:pPr>
      <w:hyperlink w:anchor="_Toc300001396" w:history="1">
        <w:r>
          <w:rPr>
            <w:noProof/>
          </w:rPr>
          <w:t xml:space="preserve">Article 39.32: Red Teaming, Robustness and Adversarial Testing</w:t>
        </w:r>
        <w:r>
          <w:rPr>
            <w:noProof/>
            <w:webHidden/>
          </w:rPr>
          <w:tab/>
        </w:r>
        <w:r>
          <w:rPr>
            <w:noProof/>
            <w:webHidden/>
          </w:rPr>
          <w:fldChar w:fldCharType="begin"/>
        </w:r>
        <w:r>
          <w:rPr>
            <w:noProof/>
            <w:webHidden/>
          </w:rPr>
          <w:instrText xml:space="preserve"> PAGEREF _Toc300001396 \h </w:instrText>
        </w:r>
        <w:r>
          <w:rPr>
            <w:noProof/>
            <w:webHidden/>
          </w:rPr>
          <w:fldChar w:fldCharType="separate"/>
        </w:r>
        <w:r>
          <w:rPr>
            <w:noProof/>
            <w:webHidden/>
          </w:rPr>
          <w:t>1555</w:t>
        </w:r>
        <w:r>
          <w:rPr>
            <w:noProof/>
            <w:webHidden/>
          </w:rPr>
          <w:fldChar w:fldCharType="end"/>
        </w:r>
      </w:hyperlink>
    </w:p>
    <w:p>
      <w:pPr>
        <w:pStyle w:val="TOC2"/>
      </w:pPr>
      <w:hyperlink w:anchor="_Toc300001397" w:history="1">
        <w:r>
          <w:rPr>
            <w:noProof/>
          </w:rPr>
          <w:t xml:space="preserve">Article 39.33: Fail-Safe Design, Graceful Degradation and Rollback</w:t>
        </w:r>
        <w:r>
          <w:rPr>
            <w:noProof/>
            <w:webHidden/>
          </w:rPr>
          <w:tab/>
        </w:r>
        <w:r>
          <w:rPr>
            <w:noProof/>
            <w:webHidden/>
          </w:rPr>
          <w:fldChar w:fldCharType="begin"/>
        </w:r>
        <w:r>
          <w:rPr>
            <w:noProof/>
            <w:webHidden/>
          </w:rPr>
          <w:instrText xml:space="preserve"> PAGEREF _Toc300001397 \h </w:instrText>
        </w:r>
        <w:r>
          <w:rPr>
            <w:noProof/>
            <w:webHidden/>
          </w:rPr>
          <w:fldChar w:fldCharType="separate"/>
        </w:r>
        <w:r>
          <w:rPr>
            <w:noProof/>
            <w:webHidden/>
          </w:rPr>
          <w:t>1557</w:t>
        </w:r>
        <w:r>
          <w:rPr>
            <w:noProof/>
            <w:webHidden/>
          </w:rPr>
          <w:fldChar w:fldCharType="end"/>
        </w:r>
      </w:hyperlink>
    </w:p>
    <w:p>
      <w:pPr>
        <w:pStyle w:val="TOC2"/>
      </w:pPr>
      <w:hyperlink w:anchor="_Toc300001398" w:history="1">
        <w:r>
          <w:rPr>
            <w:noProof/>
          </w:rPr>
          <w:t xml:space="preserve">Article 39.34: Serious AI Incident Classification and Notification</w:t>
        </w:r>
        <w:r>
          <w:rPr>
            <w:noProof/>
            <w:webHidden/>
          </w:rPr>
          <w:tab/>
        </w:r>
        <w:r>
          <w:rPr>
            <w:noProof/>
            <w:webHidden/>
          </w:rPr>
          <w:fldChar w:fldCharType="begin"/>
        </w:r>
        <w:r>
          <w:rPr>
            <w:noProof/>
            <w:webHidden/>
          </w:rPr>
          <w:instrText xml:space="preserve"> PAGEREF _Toc300001398 \h </w:instrText>
        </w:r>
        <w:r>
          <w:rPr>
            <w:noProof/>
            <w:webHidden/>
          </w:rPr>
          <w:fldChar w:fldCharType="separate"/>
        </w:r>
        <w:r>
          <w:rPr>
            <w:noProof/>
            <w:webHidden/>
          </w:rPr>
          <w:t>1558</w:t>
        </w:r>
        <w:r>
          <w:rPr>
            <w:noProof/>
            <w:webHidden/>
          </w:rPr>
          <w:fldChar w:fldCharType="end"/>
        </w:r>
      </w:hyperlink>
    </w:p>
    <w:p>
      <w:pPr>
        <w:pStyle w:val="TOC2"/>
      </w:pPr>
      <w:hyperlink w:anchor="_Toc300001399" w:history="1">
        <w:r>
          <w:rPr>
            <w:noProof/>
          </w:rPr>
          <w:t xml:space="preserve">Article 39.35: Incident Investigation, Learning and Corrective Action</w:t>
        </w:r>
        <w:r>
          <w:rPr>
            <w:noProof/>
            <w:webHidden/>
          </w:rPr>
          <w:tab/>
        </w:r>
        <w:r>
          <w:rPr>
            <w:noProof/>
            <w:webHidden/>
          </w:rPr>
          <w:fldChar w:fldCharType="begin"/>
        </w:r>
        <w:r>
          <w:rPr>
            <w:noProof/>
            <w:webHidden/>
          </w:rPr>
          <w:instrText xml:space="preserve"> PAGEREF _Toc300001399 \h </w:instrText>
        </w:r>
        <w:r>
          <w:rPr>
            <w:noProof/>
            <w:webHidden/>
          </w:rPr>
          <w:fldChar w:fldCharType="separate"/>
        </w:r>
        <w:r>
          <w:rPr>
            <w:noProof/>
            <w:webHidden/>
          </w:rPr>
          <w:t>1560</w:t>
        </w:r>
        <w:r>
          <w:rPr>
            <w:noProof/>
            <w:webHidden/>
          </w:rPr>
          <w:fldChar w:fldCharType="end"/>
        </w:r>
      </w:hyperlink>
    </w:p>
    <w:p>
      <w:pPr>
        <w:pStyle w:val="TOC2"/>
      </w:pPr>
      <w:hyperlink w:anchor="_Toc300001400" w:history="1">
        <w:r>
          <w:rPr>
            <w:noProof/>
          </w:rPr>
          <w:t xml:space="preserve">Article 39.36: Model Identity and Deployment Versioning</w:t>
        </w:r>
        <w:r>
          <w:rPr>
            <w:noProof/>
            <w:webHidden/>
          </w:rPr>
          <w:tab/>
        </w:r>
        <w:r>
          <w:rPr>
            <w:noProof/>
            <w:webHidden/>
          </w:rPr>
          <w:fldChar w:fldCharType="begin"/>
        </w:r>
        <w:r>
          <w:rPr>
            <w:noProof/>
            <w:webHidden/>
          </w:rPr>
          <w:instrText xml:space="preserve"> PAGEREF _Toc300001400 \h </w:instrText>
        </w:r>
        <w:r>
          <w:rPr>
            <w:noProof/>
            <w:webHidden/>
          </w:rPr>
          <w:fldChar w:fldCharType="separate"/>
        </w:r>
        <w:r>
          <w:rPr>
            <w:noProof/>
            <w:webHidden/>
          </w:rPr>
          <w:t>1562</w:t>
        </w:r>
        <w:r>
          <w:rPr>
            <w:noProof/>
            <w:webHidden/>
          </w:rPr>
          <w:fldChar w:fldCharType="end"/>
        </w:r>
      </w:hyperlink>
    </w:p>
    <w:p>
      <w:pPr>
        <w:pStyle w:val="TOC2"/>
      </w:pPr>
      <w:hyperlink w:anchor="_Toc300001401" w:history="1">
        <w:r>
          <w:rPr>
            <w:noProof/>
          </w:rPr>
          <w:t xml:space="preserve">Article 39.37: Material Changes and Revalidation</w:t>
        </w:r>
        <w:r>
          <w:rPr>
            <w:noProof/>
            <w:webHidden/>
          </w:rPr>
          <w:tab/>
        </w:r>
        <w:r>
          <w:rPr>
            <w:noProof/>
            <w:webHidden/>
          </w:rPr>
          <w:fldChar w:fldCharType="begin"/>
        </w:r>
        <w:r>
          <w:rPr>
            <w:noProof/>
            <w:webHidden/>
          </w:rPr>
          <w:instrText xml:space="preserve"> PAGEREF _Toc300001401 \h </w:instrText>
        </w:r>
        <w:r>
          <w:rPr>
            <w:noProof/>
            <w:webHidden/>
          </w:rPr>
          <w:fldChar w:fldCharType="separate"/>
        </w:r>
        <w:r>
          <w:rPr>
            <w:noProof/>
            <w:webHidden/>
          </w:rPr>
          <w:t>1563</w:t>
        </w:r>
        <w:r>
          <w:rPr>
            <w:noProof/>
            <w:webHidden/>
          </w:rPr>
          <w:fldChar w:fldCharType="end"/>
        </w:r>
      </w:hyperlink>
    </w:p>
    <w:p>
      <w:pPr>
        <w:pStyle w:val="TOC2"/>
      </w:pPr>
      <w:hyperlink w:anchor="_Toc300001402" w:history="1">
        <w:r>
          <w:rPr>
            <w:noProof/>
          </w:rPr>
          <w:t xml:space="preserve">Article 39.38: Traceability, Logging and Decision Reconstruction</w:t>
        </w:r>
        <w:r>
          <w:rPr>
            <w:noProof/>
            <w:webHidden/>
          </w:rPr>
          <w:tab/>
        </w:r>
        <w:r>
          <w:rPr>
            <w:noProof/>
            <w:webHidden/>
          </w:rPr>
          <w:fldChar w:fldCharType="begin"/>
        </w:r>
        <w:r>
          <w:rPr>
            <w:noProof/>
            <w:webHidden/>
          </w:rPr>
          <w:instrText xml:space="preserve"> PAGEREF _Toc300001402 \h </w:instrText>
        </w:r>
        <w:r>
          <w:rPr>
            <w:noProof/>
            <w:webHidden/>
          </w:rPr>
          <w:fldChar w:fldCharType="separate"/>
        </w:r>
        <w:r>
          <w:rPr>
            <w:noProof/>
            <w:webHidden/>
          </w:rPr>
          <w:t>1565</w:t>
        </w:r>
        <w:r>
          <w:rPr>
            <w:noProof/>
            <w:webHidden/>
          </w:rPr>
          <w:fldChar w:fldCharType="end"/>
        </w:r>
      </w:hyperlink>
    </w:p>
    <w:p>
      <w:pPr>
        <w:pStyle w:val="TOC2"/>
      </w:pPr>
      <w:hyperlink w:anchor="_Toc300001403" w:history="1">
        <w:r>
          <w:rPr>
            <w:noProof/>
          </w:rPr>
          <w:t xml:space="preserve">Article 39.39: AI Output Verification and Hallucination Literacy</w:t>
        </w:r>
        <w:r>
          <w:rPr>
            <w:noProof/>
            <w:webHidden/>
          </w:rPr>
          <w:tab/>
        </w:r>
        <w:r>
          <w:rPr>
            <w:noProof/>
            <w:webHidden/>
          </w:rPr>
          <w:fldChar w:fldCharType="begin"/>
        </w:r>
        <w:r>
          <w:rPr>
            <w:noProof/>
            <w:webHidden/>
          </w:rPr>
          <w:instrText xml:space="preserve"> PAGEREF _Toc300001403 \h </w:instrText>
        </w:r>
        <w:r>
          <w:rPr>
            <w:noProof/>
            <w:webHidden/>
          </w:rPr>
          <w:fldChar w:fldCharType="separate"/>
        </w:r>
        <w:r>
          <w:rPr>
            <w:noProof/>
            <w:webHidden/>
          </w:rPr>
          <w:t>1567</w:t>
        </w:r>
        <w:r>
          <w:rPr>
            <w:noProof/>
            <w:webHidden/>
          </w:rPr>
          <w:fldChar w:fldCharType="end"/>
        </w:r>
      </w:hyperlink>
    </w:p>
    <w:p>
      <w:pPr>
        <w:pStyle w:val="TOC2"/>
      </w:pPr>
      <w:hyperlink w:anchor="_Toc300001404" w:history="1">
        <w:r>
          <w:rPr>
            <w:noProof/>
          </w:rPr>
          <w:t xml:space="preserve">Article 39.40: Source-Boundary and Context Integrity</w:t>
        </w:r>
        <w:r>
          <w:rPr>
            <w:noProof/>
            <w:webHidden/>
          </w:rPr>
          <w:tab/>
        </w:r>
        <w:r>
          <w:rPr>
            <w:noProof/>
            <w:webHidden/>
          </w:rPr>
          <w:fldChar w:fldCharType="begin"/>
        </w:r>
        <w:r>
          <w:rPr>
            <w:noProof/>
            <w:webHidden/>
          </w:rPr>
          <w:instrText xml:space="preserve"> PAGEREF _Toc300001404 \h </w:instrText>
        </w:r>
        <w:r>
          <w:rPr>
            <w:noProof/>
            <w:webHidden/>
          </w:rPr>
          <w:fldChar w:fldCharType="separate"/>
        </w:r>
        <w:r>
          <w:rPr>
            <w:noProof/>
            <w:webHidden/>
          </w:rPr>
          <w:t>1568</w:t>
        </w:r>
        <w:r>
          <w:rPr>
            <w:noProof/>
            <w:webHidden/>
          </w:rPr>
          <w:fldChar w:fldCharType="end"/>
        </w:r>
      </w:hyperlink>
    </w:p>
    <w:p>
      <w:pPr>
        <w:pStyle w:val="TOC2"/>
      </w:pPr>
      <w:hyperlink w:anchor="_Toc300001405" w:history="1">
        <w:r>
          <w:rPr>
            <w:noProof/>
          </w:rPr>
          <w:t xml:space="preserve">Article 39.41: Privacy, Data Minimization and Purpose Limitation</w:t>
        </w:r>
        <w:r>
          <w:rPr>
            <w:noProof/>
            <w:webHidden/>
          </w:rPr>
          <w:tab/>
        </w:r>
        <w:r>
          <w:rPr>
            <w:noProof/>
            <w:webHidden/>
          </w:rPr>
          <w:fldChar w:fldCharType="begin"/>
        </w:r>
        <w:r>
          <w:rPr>
            <w:noProof/>
            <w:webHidden/>
          </w:rPr>
          <w:instrText xml:space="preserve"> PAGEREF _Toc300001405 \h </w:instrText>
        </w:r>
        <w:r>
          <w:rPr>
            <w:noProof/>
            <w:webHidden/>
          </w:rPr>
          <w:fldChar w:fldCharType="separate"/>
        </w:r>
        <w:r>
          <w:rPr>
            <w:noProof/>
            <w:webHidden/>
          </w:rPr>
          <w:t>1569</w:t>
        </w:r>
        <w:r>
          <w:rPr>
            <w:noProof/>
            <w:webHidden/>
          </w:rPr>
          <w:fldChar w:fldCharType="end"/>
        </w:r>
      </w:hyperlink>
    </w:p>
    <w:p>
      <w:pPr>
        <w:pStyle w:val="TOC2"/>
      </w:pPr>
      <w:hyperlink w:anchor="_Toc300001406" w:history="1">
        <w:r>
          <w:rPr>
            <w:noProof/>
          </w:rPr>
          <w:t xml:space="preserve">Article 39.42: Training Data Rights and Governance</w:t>
        </w:r>
        <w:r>
          <w:rPr>
            <w:noProof/>
            <w:webHidden/>
          </w:rPr>
          <w:tab/>
        </w:r>
        <w:r>
          <w:rPr>
            <w:noProof/>
            <w:webHidden/>
          </w:rPr>
          <w:fldChar w:fldCharType="begin"/>
        </w:r>
        <w:r>
          <w:rPr>
            <w:noProof/>
            <w:webHidden/>
          </w:rPr>
          <w:instrText xml:space="preserve"> PAGEREF _Toc300001406 \h </w:instrText>
        </w:r>
        <w:r>
          <w:rPr>
            <w:noProof/>
            <w:webHidden/>
          </w:rPr>
          <w:fldChar w:fldCharType="separate"/>
        </w:r>
        <w:r>
          <w:rPr>
            <w:noProof/>
            <w:webHidden/>
          </w:rPr>
          <w:t>1571</w:t>
        </w:r>
        <w:r>
          <w:rPr>
            <w:noProof/>
            <w:webHidden/>
          </w:rPr>
          <w:fldChar w:fldCharType="end"/>
        </w:r>
      </w:hyperlink>
    </w:p>
    <w:p>
      <w:pPr>
        <w:pStyle w:val="TOC2"/>
      </w:pPr>
      <w:hyperlink w:anchor="_Toc300001407" w:history="1">
        <w:r>
          <w:rPr>
            <w:noProof/>
          </w:rPr>
          <w:t xml:space="preserve">Article 39.43: Model Memorization, Leakage and Confidentiality</w:t>
        </w:r>
        <w:r>
          <w:rPr>
            <w:noProof/>
            <w:webHidden/>
          </w:rPr>
          <w:tab/>
        </w:r>
        <w:r>
          <w:rPr>
            <w:noProof/>
            <w:webHidden/>
          </w:rPr>
          <w:fldChar w:fldCharType="begin"/>
        </w:r>
        <w:r>
          <w:rPr>
            <w:noProof/>
            <w:webHidden/>
          </w:rPr>
          <w:instrText xml:space="preserve"> PAGEREF _Toc300001407 \h </w:instrText>
        </w:r>
        <w:r>
          <w:rPr>
            <w:noProof/>
            <w:webHidden/>
          </w:rPr>
          <w:fldChar w:fldCharType="separate"/>
        </w:r>
        <w:r>
          <w:rPr>
            <w:noProof/>
            <w:webHidden/>
          </w:rPr>
          <w:t>1573</w:t>
        </w:r>
        <w:r>
          <w:rPr>
            <w:noProof/>
            <w:webHidden/>
          </w:rPr>
          <w:fldChar w:fldCharType="end"/>
        </w:r>
      </w:hyperlink>
    </w:p>
    <w:p>
      <w:pPr>
        <w:pStyle w:val="TOC2"/>
      </w:pPr>
      <w:hyperlink w:anchor="_Toc300001408" w:history="1">
        <w:r>
          <w:rPr>
            <w:noProof/>
          </w:rPr>
          <w:t xml:space="preserve">Article 39.44: Biometrics and Persistent Identity</w:t>
        </w:r>
        <w:r>
          <w:rPr>
            <w:noProof/>
            <w:webHidden/>
          </w:rPr>
          <w:tab/>
        </w:r>
        <w:r>
          <w:rPr>
            <w:noProof/>
            <w:webHidden/>
          </w:rPr>
          <w:fldChar w:fldCharType="begin"/>
        </w:r>
        <w:r>
          <w:rPr>
            <w:noProof/>
            <w:webHidden/>
          </w:rPr>
          <w:instrText xml:space="preserve"> PAGEREF _Toc300001408 \h </w:instrText>
        </w:r>
        <w:r>
          <w:rPr>
            <w:noProof/>
            <w:webHidden/>
          </w:rPr>
          <w:fldChar w:fldCharType="separate"/>
        </w:r>
        <w:r>
          <w:rPr>
            <w:noProof/>
            <w:webHidden/>
          </w:rPr>
          <w:t>1575</w:t>
        </w:r>
        <w:r>
          <w:rPr>
            <w:noProof/>
            <w:webHidden/>
          </w:rPr>
          <w:fldChar w:fldCharType="end"/>
        </w:r>
      </w:hyperlink>
    </w:p>
    <w:p>
      <w:pPr>
        <w:pStyle w:val="TOC2"/>
      </w:pPr>
      <w:hyperlink w:anchor="_Toc300001409" w:history="1">
        <w:r>
          <w:rPr>
            <w:noProof/>
          </w:rPr>
          <w:t xml:space="preserve">Article 39.45: Synthetic Media, Authenticity and Provenance</w:t>
        </w:r>
        <w:r>
          <w:rPr>
            <w:noProof/>
            <w:webHidden/>
          </w:rPr>
          <w:tab/>
        </w:r>
        <w:r>
          <w:rPr>
            <w:noProof/>
            <w:webHidden/>
          </w:rPr>
          <w:fldChar w:fldCharType="begin"/>
        </w:r>
        <w:r>
          <w:rPr>
            <w:noProof/>
            <w:webHidden/>
          </w:rPr>
          <w:instrText xml:space="preserve"> PAGEREF _Toc300001409 \h </w:instrText>
        </w:r>
        <w:r>
          <w:rPr>
            <w:noProof/>
            <w:webHidden/>
          </w:rPr>
          <w:fldChar w:fldCharType="separate"/>
        </w:r>
        <w:r>
          <w:rPr>
            <w:noProof/>
            <w:webHidden/>
          </w:rPr>
          <w:t>1577</w:t>
        </w:r>
        <w:r>
          <w:rPr>
            <w:noProof/>
            <w:webHidden/>
          </w:rPr>
          <w:fldChar w:fldCharType="end"/>
        </w:r>
      </w:hyperlink>
    </w:p>
    <w:p>
      <w:pPr>
        <w:pStyle w:val="TOC2"/>
      </w:pPr>
      <w:hyperlink w:anchor="_Toc300001410" w:history="1">
        <w:r>
          <w:rPr>
            <w:noProof/>
          </w:rPr>
          <w:t xml:space="preserve">Article 39.46: Impersonation, Voice Cloning and Deepfake Harm</w:t>
        </w:r>
        <w:r>
          <w:rPr>
            <w:noProof/>
            <w:webHidden/>
          </w:rPr>
          <w:tab/>
        </w:r>
        <w:r>
          <w:rPr>
            <w:noProof/>
            <w:webHidden/>
          </w:rPr>
          <w:fldChar w:fldCharType="begin"/>
        </w:r>
        <w:r>
          <w:rPr>
            <w:noProof/>
            <w:webHidden/>
          </w:rPr>
          <w:instrText xml:space="preserve"> PAGEREF _Toc300001410 \h </w:instrText>
        </w:r>
        <w:r>
          <w:rPr>
            <w:noProof/>
            <w:webHidden/>
          </w:rPr>
          <w:fldChar w:fldCharType="separate"/>
        </w:r>
        <w:r>
          <w:rPr>
            <w:noProof/>
            <w:webHidden/>
          </w:rPr>
          <w:t>1579</w:t>
        </w:r>
        <w:r>
          <w:rPr>
            <w:noProof/>
            <w:webHidden/>
          </w:rPr>
          <w:fldChar w:fldCharType="end"/>
        </w:r>
      </w:hyperlink>
    </w:p>
    <w:p>
      <w:pPr>
        <w:pStyle w:val="TOC2"/>
      </w:pPr>
      <w:hyperlink w:anchor="_Toc300001411" w:history="1">
        <w:r>
          <w:rPr>
            <w:noProof/>
          </w:rPr>
          <w:t xml:space="preserve">Article 39.47: Worker Notice, Consultation and Deployment</w:t>
        </w:r>
        <w:r>
          <w:rPr>
            <w:noProof/>
            <w:webHidden/>
          </w:rPr>
          <w:tab/>
        </w:r>
        <w:r>
          <w:rPr>
            <w:noProof/>
            <w:webHidden/>
          </w:rPr>
          <w:fldChar w:fldCharType="begin"/>
        </w:r>
        <w:r>
          <w:rPr>
            <w:noProof/>
            <w:webHidden/>
          </w:rPr>
          <w:instrText xml:space="preserve"> PAGEREF _Toc300001411 \h </w:instrText>
        </w:r>
        <w:r>
          <w:rPr>
            <w:noProof/>
            <w:webHidden/>
          </w:rPr>
          <w:fldChar w:fldCharType="separate"/>
        </w:r>
        <w:r>
          <w:rPr>
            <w:noProof/>
            <w:webHidden/>
          </w:rPr>
          <w:t>1581</w:t>
        </w:r>
        <w:r>
          <w:rPr>
            <w:noProof/>
            <w:webHidden/>
          </w:rPr>
          <w:fldChar w:fldCharType="end"/>
        </w:r>
      </w:hyperlink>
    </w:p>
    <w:p>
      <w:pPr>
        <w:pStyle w:val="TOC2"/>
      </w:pPr>
      <w:hyperlink w:anchor="_Toc300001412" w:history="1">
        <w:r>
          <w:rPr>
            <w:noProof/>
          </w:rPr>
          <w:t xml:space="preserve">Article 39.48: Automated Hiring, Discipline and Termination</w:t>
        </w:r>
        <w:r>
          <w:rPr>
            <w:noProof/>
            <w:webHidden/>
          </w:rPr>
          <w:tab/>
        </w:r>
        <w:r>
          <w:rPr>
            <w:noProof/>
            <w:webHidden/>
          </w:rPr>
          <w:fldChar w:fldCharType="begin"/>
        </w:r>
        <w:r>
          <w:rPr>
            <w:noProof/>
            <w:webHidden/>
          </w:rPr>
          <w:instrText xml:space="preserve"> PAGEREF _Toc300001412 \h </w:instrText>
        </w:r>
        <w:r>
          <w:rPr>
            <w:noProof/>
            <w:webHidden/>
          </w:rPr>
          <w:fldChar w:fldCharType="separate"/>
        </w:r>
        <w:r>
          <w:rPr>
            <w:noProof/>
            <w:webHidden/>
          </w:rPr>
          <w:t>1582</w:t>
        </w:r>
        <w:r>
          <w:rPr>
            <w:noProof/>
            <w:webHidden/>
          </w:rPr>
          <w:fldChar w:fldCharType="end"/>
        </w:r>
      </w:hyperlink>
    </w:p>
    <w:p>
      <w:pPr>
        <w:pStyle w:val="TOC2"/>
      </w:pPr>
      <w:hyperlink w:anchor="_Toc300001413" w:history="1">
        <w:r>
          <w:rPr>
            <w:noProof/>
          </w:rPr>
          <w:t xml:space="preserve">Article 39.49: Worker Monitoring, Scoring and Dignity</w:t>
        </w:r>
        <w:r>
          <w:rPr>
            <w:noProof/>
            <w:webHidden/>
          </w:rPr>
          <w:tab/>
        </w:r>
        <w:r>
          <w:rPr>
            <w:noProof/>
            <w:webHidden/>
          </w:rPr>
          <w:fldChar w:fldCharType="begin"/>
        </w:r>
        <w:r>
          <w:rPr>
            <w:noProof/>
            <w:webHidden/>
          </w:rPr>
          <w:instrText xml:space="preserve"> PAGEREF _Toc300001413 \h </w:instrText>
        </w:r>
        <w:r>
          <w:rPr>
            <w:noProof/>
            <w:webHidden/>
          </w:rPr>
          <w:fldChar w:fldCharType="separate"/>
        </w:r>
        <w:r>
          <w:rPr>
            <w:noProof/>
            <w:webHidden/>
          </w:rPr>
          <w:t>1584</w:t>
        </w:r>
        <w:r>
          <w:rPr>
            <w:noProof/>
            <w:webHidden/>
          </w:rPr>
          <w:fldChar w:fldCharType="end"/>
        </w:r>
      </w:hyperlink>
    </w:p>
    <w:p>
      <w:pPr>
        <w:pStyle w:val="TOC2"/>
      </w:pPr>
      <w:hyperlink w:anchor="_Toc300001414" w:history="1">
        <w:r>
          <w:rPr>
            <w:noProof/>
          </w:rPr>
          <w:t xml:space="preserve">Article 39.50: Platform, Gig and Worker Data Governance</w:t>
        </w:r>
        <w:r>
          <w:rPr>
            <w:noProof/>
            <w:webHidden/>
          </w:rPr>
          <w:tab/>
        </w:r>
        <w:r>
          <w:rPr>
            <w:noProof/>
            <w:webHidden/>
          </w:rPr>
          <w:fldChar w:fldCharType="begin"/>
        </w:r>
        <w:r>
          <w:rPr>
            <w:noProof/>
            <w:webHidden/>
          </w:rPr>
          <w:instrText xml:space="preserve"> PAGEREF _Toc300001414 \h </w:instrText>
        </w:r>
        <w:r>
          <w:rPr>
            <w:noProof/>
            <w:webHidden/>
          </w:rPr>
          <w:fldChar w:fldCharType="separate"/>
        </w:r>
        <w:r>
          <w:rPr>
            <w:noProof/>
            <w:webHidden/>
          </w:rPr>
          <w:t>1586</w:t>
        </w:r>
        <w:r>
          <w:rPr>
            <w:noProof/>
            <w:webHidden/>
          </w:rPr>
          <w:fldChar w:fldCharType="end"/>
        </w:r>
      </w:hyperlink>
    </w:p>
    <w:p>
      <w:pPr>
        <w:pStyle w:val="TOC2"/>
      </w:pPr>
      <w:hyperlink w:anchor="_Toc300001415" w:history="1">
        <w:r>
          <w:rPr>
            <w:noProof/>
          </w:rPr>
          <w:t xml:space="preserve">Article 39.51: Healthcare AI Clinical Authority</w:t>
        </w:r>
        <w:r>
          <w:rPr>
            <w:noProof/>
            <w:webHidden/>
          </w:rPr>
          <w:tab/>
        </w:r>
        <w:r>
          <w:rPr>
            <w:noProof/>
            <w:webHidden/>
          </w:rPr>
          <w:fldChar w:fldCharType="begin"/>
        </w:r>
        <w:r>
          <w:rPr>
            <w:noProof/>
            <w:webHidden/>
          </w:rPr>
          <w:instrText xml:space="preserve"> PAGEREF _Toc300001415 \h </w:instrText>
        </w:r>
        <w:r>
          <w:rPr>
            <w:noProof/>
            <w:webHidden/>
          </w:rPr>
          <w:fldChar w:fldCharType="separate"/>
        </w:r>
        <w:r>
          <w:rPr>
            <w:noProof/>
            <w:webHidden/>
          </w:rPr>
          <w:t>1588</w:t>
        </w:r>
        <w:r>
          <w:rPr>
            <w:noProof/>
            <w:webHidden/>
          </w:rPr>
          <w:fldChar w:fldCharType="end"/>
        </w:r>
      </w:hyperlink>
    </w:p>
    <w:p>
      <w:pPr>
        <w:pStyle w:val="TOC2"/>
      </w:pPr>
      <w:hyperlink w:anchor="_Toc300001416" w:history="1">
        <w:r>
          <w:rPr>
            <w:noProof/>
          </w:rPr>
          <w:t xml:space="preserve">Article 39.52: Healthcare AI Validation and Performance</w:t>
        </w:r>
        <w:r>
          <w:rPr>
            <w:noProof/>
            <w:webHidden/>
          </w:rPr>
          <w:tab/>
        </w:r>
        <w:r>
          <w:rPr>
            <w:noProof/>
            <w:webHidden/>
          </w:rPr>
          <w:fldChar w:fldCharType="begin"/>
        </w:r>
        <w:r>
          <w:rPr>
            <w:noProof/>
            <w:webHidden/>
          </w:rPr>
          <w:instrText xml:space="preserve"> PAGEREF _Toc300001416 \h </w:instrText>
        </w:r>
        <w:r>
          <w:rPr>
            <w:noProof/>
            <w:webHidden/>
          </w:rPr>
          <w:fldChar w:fldCharType="separate"/>
        </w:r>
        <w:r>
          <w:rPr>
            <w:noProof/>
            <w:webHidden/>
          </w:rPr>
          <w:t>1590</w:t>
        </w:r>
        <w:r>
          <w:rPr>
            <w:noProof/>
            <w:webHidden/>
          </w:rPr>
          <w:fldChar w:fldCharType="end"/>
        </w:r>
      </w:hyperlink>
    </w:p>
    <w:p>
      <w:pPr>
        <w:pStyle w:val="TOC2"/>
      </w:pPr>
      <w:hyperlink w:anchor="_Toc300001417" w:history="1">
        <w:r>
          <w:rPr>
            <w:noProof/>
          </w:rPr>
          <w:t xml:space="preserve">Article 39.53: Healthcare AI Consent, Privacy and Patient Data</w:t>
        </w:r>
        <w:r>
          <w:rPr>
            <w:noProof/>
            <w:webHidden/>
          </w:rPr>
          <w:tab/>
        </w:r>
        <w:r>
          <w:rPr>
            <w:noProof/>
            <w:webHidden/>
          </w:rPr>
          <w:fldChar w:fldCharType="begin"/>
        </w:r>
        <w:r>
          <w:rPr>
            <w:noProof/>
            <w:webHidden/>
          </w:rPr>
          <w:instrText xml:space="preserve"> PAGEREF _Toc300001417 \h </w:instrText>
        </w:r>
        <w:r>
          <w:rPr>
            <w:noProof/>
            <w:webHidden/>
          </w:rPr>
          <w:fldChar w:fldCharType="separate"/>
        </w:r>
        <w:r>
          <w:rPr>
            <w:noProof/>
            <w:webHidden/>
          </w:rPr>
          <w:t>1591</w:t>
        </w:r>
        <w:r>
          <w:rPr>
            <w:noProof/>
            <w:webHidden/>
          </w:rPr>
          <w:fldChar w:fldCharType="end"/>
        </w:r>
      </w:hyperlink>
    </w:p>
    <w:p>
      <w:pPr>
        <w:pStyle w:val="TOC2"/>
      </w:pPr>
      <w:hyperlink w:anchor="_Toc300001418" w:history="1">
        <w:r>
          <w:rPr>
            <w:noProof/>
          </w:rPr>
          <w:t xml:space="preserve">Article 39.54: Healthcare Deployment, Change Control and Human Factors</w:t>
        </w:r>
        <w:r>
          <w:rPr>
            <w:noProof/>
            <w:webHidden/>
          </w:rPr>
          <w:tab/>
        </w:r>
        <w:r>
          <w:rPr>
            <w:noProof/>
            <w:webHidden/>
          </w:rPr>
          <w:fldChar w:fldCharType="begin"/>
        </w:r>
        <w:r>
          <w:rPr>
            <w:noProof/>
            <w:webHidden/>
          </w:rPr>
          <w:instrText xml:space="preserve"> PAGEREF _Toc300001418 \h </w:instrText>
        </w:r>
        <w:r>
          <w:rPr>
            <w:noProof/>
            <w:webHidden/>
          </w:rPr>
          <w:fldChar w:fldCharType="separate"/>
        </w:r>
        <w:r>
          <w:rPr>
            <w:noProof/>
            <w:webHidden/>
          </w:rPr>
          <w:t>1593</w:t>
        </w:r>
        <w:r>
          <w:rPr>
            <w:noProof/>
            <w:webHidden/>
          </w:rPr>
          <w:fldChar w:fldCharType="end"/>
        </w:r>
      </w:hyperlink>
    </w:p>
    <w:p>
      <w:pPr>
        <w:pStyle w:val="TOC2"/>
      </w:pPr>
      <w:hyperlink w:anchor="_Toc300001419" w:history="1">
        <w:r>
          <w:rPr>
            <w:noProof/>
          </w:rPr>
          <w:t xml:space="preserve">Article 39.55: Healthcare Post-Market Safety, Equity and Access</w:t>
        </w:r>
        <w:r>
          <w:rPr>
            <w:noProof/>
            <w:webHidden/>
          </w:rPr>
          <w:tab/>
        </w:r>
        <w:r>
          <w:rPr>
            <w:noProof/>
            <w:webHidden/>
          </w:rPr>
          <w:fldChar w:fldCharType="begin"/>
        </w:r>
        <w:r>
          <w:rPr>
            <w:noProof/>
            <w:webHidden/>
          </w:rPr>
          <w:instrText xml:space="preserve"> PAGEREF _Toc300001419 \h </w:instrText>
        </w:r>
        <w:r>
          <w:rPr>
            <w:noProof/>
            <w:webHidden/>
          </w:rPr>
          <w:fldChar w:fldCharType="separate"/>
        </w:r>
        <w:r>
          <w:rPr>
            <w:noProof/>
            <w:webHidden/>
          </w:rPr>
          <w:t>1595</w:t>
        </w:r>
        <w:r>
          <w:rPr>
            <w:noProof/>
            <w:webHidden/>
          </w:rPr>
          <w:fldChar w:fldCharType="end"/>
        </w:r>
      </w:hyperlink>
    </w:p>
    <w:p>
      <w:pPr>
        <w:pStyle w:val="TOC2"/>
      </w:pPr>
      <w:hyperlink w:anchor="_Toc300001420" w:history="1">
        <w:r>
          <w:rPr>
            <w:noProof/>
          </w:rPr>
          <w:t xml:space="preserve">Article 39.56: Teacher, Student and Institutional Human Authority</w:t>
        </w:r>
        <w:r>
          <w:rPr>
            <w:noProof/>
            <w:webHidden/>
          </w:rPr>
          <w:tab/>
        </w:r>
        <w:r>
          <w:rPr>
            <w:noProof/>
            <w:webHidden/>
          </w:rPr>
          <w:fldChar w:fldCharType="begin"/>
        </w:r>
        <w:r>
          <w:rPr>
            <w:noProof/>
            <w:webHidden/>
          </w:rPr>
          <w:instrText xml:space="preserve"> PAGEREF _Toc300001420 \h </w:instrText>
        </w:r>
        <w:r>
          <w:rPr>
            <w:noProof/>
            <w:webHidden/>
          </w:rPr>
          <w:fldChar w:fldCharType="separate"/>
        </w:r>
        <w:r>
          <w:rPr>
            <w:noProof/>
            <w:webHidden/>
          </w:rPr>
          <w:t>1596</w:t>
        </w:r>
        <w:r>
          <w:rPr>
            <w:noProof/>
            <w:webHidden/>
          </w:rPr>
          <w:fldChar w:fldCharType="end"/>
        </w:r>
      </w:hyperlink>
    </w:p>
    <w:p>
      <w:pPr>
        <w:pStyle w:val="TOC2"/>
      </w:pPr>
      <w:hyperlink w:anchor="_Toc300001421" w:history="1">
        <w:r>
          <w:rPr>
            <w:noProof/>
          </w:rPr>
          <w:t xml:space="preserve">Article 39.57: Student Privacy, Age-Appropriate Design and Safety</w:t>
        </w:r>
        <w:r>
          <w:rPr>
            <w:noProof/>
            <w:webHidden/>
          </w:rPr>
          <w:tab/>
        </w:r>
        <w:r>
          <w:rPr>
            <w:noProof/>
            <w:webHidden/>
          </w:rPr>
          <w:fldChar w:fldCharType="begin"/>
        </w:r>
        <w:r>
          <w:rPr>
            <w:noProof/>
            <w:webHidden/>
          </w:rPr>
          <w:instrText xml:space="preserve"> PAGEREF _Toc300001421 \h </w:instrText>
        </w:r>
        <w:r>
          <w:rPr>
            <w:noProof/>
            <w:webHidden/>
          </w:rPr>
          <w:fldChar w:fldCharType="separate"/>
        </w:r>
        <w:r>
          <w:rPr>
            <w:noProof/>
            <w:webHidden/>
          </w:rPr>
          <w:t>1598</w:t>
        </w:r>
        <w:r>
          <w:rPr>
            <w:noProof/>
            <w:webHidden/>
          </w:rPr>
          <w:fldChar w:fldCharType="end"/>
        </w:r>
      </w:hyperlink>
    </w:p>
    <w:p>
      <w:pPr>
        <w:pStyle w:val="TOC2"/>
      </w:pPr>
      <w:hyperlink w:anchor="_Toc300001422" w:history="1">
        <w:r>
          <w:rPr>
            <w:noProof/>
          </w:rPr>
          <w:t xml:space="preserve">Article 39.58: Educational Assessment, Integrity and Fairness</w:t>
        </w:r>
        <w:r>
          <w:rPr>
            <w:noProof/>
            <w:webHidden/>
          </w:rPr>
          <w:tab/>
        </w:r>
        <w:r>
          <w:rPr>
            <w:noProof/>
            <w:webHidden/>
          </w:rPr>
          <w:fldChar w:fldCharType="begin"/>
        </w:r>
        <w:r>
          <w:rPr>
            <w:noProof/>
            <w:webHidden/>
          </w:rPr>
          <w:instrText xml:space="preserve"> PAGEREF _Toc300001422 \h </w:instrText>
        </w:r>
        <w:r>
          <w:rPr>
            <w:noProof/>
            <w:webHidden/>
          </w:rPr>
          <w:fldChar w:fldCharType="separate"/>
        </w:r>
        <w:r>
          <w:rPr>
            <w:noProof/>
            <w:webHidden/>
          </w:rPr>
          <w:t>1600</w:t>
        </w:r>
        <w:r>
          <w:rPr>
            <w:noProof/>
            <w:webHidden/>
          </w:rPr>
          <w:fldChar w:fldCharType="end"/>
        </w:r>
      </w:hyperlink>
    </w:p>
    <w:p>
      <w:pPr>
        <w:pStyle w:val="TOC2"/>
      </w:pPr>
      <w:hyperlink w:anchor="_Toc300001423" w:history="1">
        <w:r>
          <w:rPr>
            <w:noProof/>
          </w:rPr>
          <w:t xml:space="preserve">Article 39.59: AI Literacy, Verification and Public Capability</w:t>
        </w:r>
        <w:r>
          <w:rPr>
            <w:noProof/>
            <w:webHidden/>
          </w:rPr>
          <w:tab/>
        </w:r>
        <w:r>
          <w:rPr>
            <w:noProof/>
            <w:webHidden/>
          </w:rPr>
          <w:fldChar w:fldCharType="begin"/>
        </w:r>
        <w:r>
          <w:rPr>
            <w:noProof/>
            <w:webHidden/>
          </w:rPr>
          <w:instrText xml:space="preserve"> PAGEREF _Toc300001423 \h </w:instrText>
        </w:r>
        <w:r>
          <w:rPr>
            <w:noProof/>
            <w:webHidden/>
          </w:rPr>
          <w:fldChar w:fldCharType="separate"/>
        </w:r>
        <w:r>
          <w:rPr>
            <w:noProof/>
            <w:webHidden/>
          </w:rPr>
          <w:t>1602</w:t>
        </w:r>
        <w:r>
          <w:rPr>
            <w:noProof/>
            <w:webHidden/>
          </w:rPr>
          <w:fldChar w:fldCharType="end"/>
        </w:r>
      </w:hyperlink>
    </w:p>
    <w:p>
      <w:pPr>
        <w:pStyle w:val="TOC2"/>
      </w:pPr>
      <w:hyperlink w:anchor="_Toc300001424" w:history="1">
        <w:r>
          <w:rPr>
            <w:noProof/>
          </w:rPr>
          <w:t xml:space="preserve">Article 39.60: AI Cybersecurity, Poisoning and Adversarial Resilience</w:t>
        </w:r>
        <w:r>
          <w:rPr>
            <w:noProof/>
            <w:webHidden/>
          </w:rPr>
          <w:tab/>
        </w:r>
        <w:r>
          <w:rPr>
            <w:noProof/>
            <w:webHidden/>
          </w:rPr>
          <w:fldChar w:fldCharType="begin"/>
        </w:r>
        <w:r>
          <w:rPr>
            <w:noProof/>
            <w:webHidden/>
          </w:rPr>
          <w:instrText xml:space="preserve"> PAGEREF _Toc300001424 \h </w:instrText>
        </w:r>
        <w:r>
          <w:rPr>
            <w:noProof/>
            <w:webHidden/>
          </w:rPr>
          <w:fldChar w:fldCharType="separate"/>
        </w:r>
        <w:r>
          <w:rPr>
            <w:noProof/>
            <w:webHidden/>
          </w:rPr>
          <w:t>1603</w:t>
        </w:r>
        <w:r>
          <w:rPr>
            <w:noProof/>
            <w:webHidden/>
          </w:rPr>
          <w:fldChar w:fldCharType="end"/>
        </w:r>
      </w:hyperlink>
    </w:p>
    <w:p>
      <w:pPr>
        <w:pStyle w:val="TOC2"/>
      </w:pPr>
      <w:hyperlink w:anchor="_Toc300001425" w:history="1">
        <w:r>
          <w:rPr>
            <w:noProof/>
          </w:rPr>
          <w:t xml:space="preserve">Article 39.61: Critical Infrastructure AI Resilience</w:t>
        </w:r>
        <w:r>
          <w:rPr>
            <w:noProof/>
            <w:webHidden/>
          </w:rPr>
          <w:tab/>
        </w:r>
        <w:r>
          <w:rPr>
            <w:noProof/>
            <w:webHidden/>
          </w:rPr>
          <w:fldChar w:fldCharType="begin"/>
        </w:r>
        <w:r>
          <w:rPr>
            <w:noProof/>
            <w:webHidden/>
          </w:rPr>
          <w:instrText xml:space="preserve"> PAGEREF _Toc300001425 \h </w:instrText>
        </w:r>
        <w:r>
          <w:rPr>
            <w:noProof/>
            <w:webHidden/>
          </w:rPr>
          <w:fldChar w:fldCharType="separate"/>
        </w:r>
        <w:r>
          <w:rPr>
            <w:noProof/>
            <w:webHidden/>
          </w:rPr>
          <w:t>1604</w:t>
        </w:r>
        <w:r>
          <w:rPr>
            <w:noProof/>
            <w:webHidden/>
          </w:rPr>
          <w:fldChar w:fldCharType="end"/>
        </w:r>
      </w:hyperlink>
    </w:p>
    <w:p>
      <w:pPr>
        <w:pStyle w:val="TOC2"/>
      </w:pPr>
      <w:hyperlink w:anchor="_Toc300001426" w:history="1">
        <w:r>
          <w:rPr>
            <w:noProof/>
          </w:rPr>
          <w:t xml:space="preserve">Article 39.62: AI Supply Chain, Vendor and Open-Source Security</w:t>
        </w:r>
        <w:r>
          <w:rPr>
            <w:noProof/>
            <w:webHidden/>
          </w:rPr>
          <w:tab/>
        </w:r>
        <w:r>
          <w:rPr>
            <w:noProof/>
            <w:webHidden/>
          </w:rPr>
          <w:fldChar w:fldCharType="begin"/>
        </w:r>
        <w:r>
          <w:rPr>
            <w:noProof/>
            <w:webHidden/>
          </w:rPr>
          <w:instrText xml:space="preserve"> PAGEREF _Toc300001426 \h </w:instrText>
        </w:r>
        <w:r>
          <w:rPr>
            <w:noProof/>
            <w:webHidden/>
          </w:rPr>
          <w:fldChar w:fldCharType="separate"/>
        </w:r>
        <w:r>
          <w:rPr>
            <w:noProof/>
            <w:webHidden/>
          </w:rPr>
          <w:t>1605</w:t>
        </w:r>
        <w:r>
          <w:rPr>
            <w:noProof/>
            <w:webHidden/>
          </w:rPr>
          <w:fldChar w:fldCharType="end"/>
        </w:r>
      </w:hyperlink>
    </w:p>
    <w:p>
      <w:pPr>
        <w:pStyle w:val="TOC2"/>
      </w:pPr>
      <w:hyperlink w:anchor="_Toc300001427" w:history="1">
        <w:r>
          <w:rPr>
            <w:noProof/>
          </w:rPr>
          <w:t xml:space="preserve">Article 39.63: Compute Infrastructure, Data Sovereignty, Industrial Capacity and Talent</w:t>
        </w:r>
        <w:r>
          <w:rPr>
            <w:noProof/>
            <w:webHidden/>
          </w:rPr>
          <w:tab/>
        </w:r>
        <w:r>
          <w:rPr>
            <w:noProof/>
            <w:webHidden/>
          </w:rPr>
          <w:fldChar w:fldCharType="begin"/>
        </w:r>
        <w:r>
          <w:rPr>
            <w:noProof/>
            <w:webHidden/>
          </w:rPr>
          <w:instrText xml:space="preserve"> PAGEREF _Toc300001427 \h </w:instrText>
        </w:r>
        <w:r>
          <w:rPr>
            <w:noProof/>
            <w:webHidden/>
          </w:rPr>
          <w:fldChar w:fldCharType="separate"/>
        </w:r>
        <w:r>
          <w:rPr>
            <w:noProof/>
            <w:webHidden/>
          </w:rPr>
          <w:t>1606</w:t>
        </w:r>
        <w:r>
          <w:rPr>
            <w:noProof/>
            <w:webHidden/>
          </w:rPr>
          <w:fldChar w:fldCharType="end"/>
        </w:r>
      </w:hyperlink>
    </w:p>
    <w:p>
      <w:pPr>
        <w:pStyle w:val="TOC2"/>
      </w:pPr>
      <w:hyperlink w:anchor="_Toc300001428" w:history="1">
        <w:r>
          <w:rPr>
            <w:noProof/>
          </w:rPr>
          <w:t xml:space="preserve">Article 39.64: Consumer Protection, Accessibility and Market Fairness</w:t>
        </w:r>
        <w:r>
          <w:rPr>
            <w:noProof/>
            <w:webHidden/>
          </w:rPr>
          <w:tab/>
        </w:r>
        <w:r>
          <w:rPr>
            <w:noProof/>
            <w:webHidden/>
          </w:rPr>
          <w:fldChar w:fldCharType="begin"/>
        </w:r>
        <w:r>
          <w:rPr>
            <w:noProof/>
            <w:webHidden/>
          </w:rPr>
          <w:instrText xml:space="preserve"> PAGEREF _Toc300001428 \h </w:instrText>
        </w:r>
        <w:r>
          <w:rPr>
            <w:noProof/>
            <w:webHidden/>
          </w:rPr>
          <w:fldChar w:fldCharType="separate"/>
        </w:r>
        <w:r>
          <w:rPr>
            <w:noProof/>
            <w:webHidden/>
          </w:rPr>
          <w:t>1608</w:t>
        </w:r>
        <w:r>
          <w:rPr>
            <w:noProof/>
            <w:webHidden/>
          </w:rPr>
          <w:fldChar w:fldCharType="end"/>
        </w:r>
      </w:hyperlink>
    </w:p>
    <w:p>
      <w:pPr>
        <w:pStyle w:val="TOC2"/>
      </w:pPr>
      <w:hyperlink w:anchor="_Toc300001429" w:history="1">
        <w:r>
          <w:rPr>
            <w:noProof/>
          </w:rPr>
          <w:t xml:space="preserve">Article 39.65: Indigenous Data and AI Governance</w:t>
        </w:r>
        <w:r>
          <w:rPr>
            <w:noProof/>
            <w:webHidden/>
          </w:rPr>
          <w:tab/>
        </w:r>
        <w:r>
          <w:rPr>
            <w:noProof/>
            <w:webHidden/>
          </w:rPr>
          <w:fldChar w:fldCharType="begin"/>
        </w:r>
        <w:r>
          <w:rPr>
            <w:noProof/>
            <w:webHidden/>
          </w:rPr>
          <w:instrText xml:space="preserve"> PAGEREF _Toc300001429 \h </w:instrText>
        </w:r>
        <w:r>
          <w:rPr>
            <w:noProof/>
            <w:webHidden/>
          </w:rPr>
          <w:fldChar w:fldCharType="separate"/>
        </w:r>
        <w:r>
          <w:rPr>
            <w:noProof/>
            <w:webHidden/>
          </w:rPr>
          <w:t>1609</w:t>
        </w:r>
        <w:r>
          <w:rPr>
            <w:noProof/>
            <w:webHidden/>
          </w:rPr>
          <w:fldChar w:fldCharType="end"/>
        </w:r>
      </w:hyperlink>
    </w:p>
    <w:p>
      <w:pPr>
        <w:pStyle w:val="TOC2"/>
      </w:pPr>
      <w:hyperlink w:anchor="_Toc300001430" w:history="1">
        <w:r>
          <w:rPr>
            <w:noProof/>
          </w:rPr>
          <w:t xml:space="preserve">Article 39.66: Research, Open Science, Sandboxes and Environmental Applications</w:t>
        </w:r>
        <w:r>
          <w:rPr>
            <w:noProof/>
            <w:webHidden/>
          </w:rPr>
          <w:tab/>
        </w:r>
        <w:r>
          <w:rPr>
            <w:noProof/>
            <w:webHidden/>
          </w:rPr>
          <w:fldChar w:fldCharType="begin"/>
        </w:r>
        <w:r>
          <w:rPr>
            <w:noProof/>
            <w:webHidden/>
          </w:rPr>
          <w:instrText xml:space="preserve"> PAGEREF _Toc300001430 \h </w:instrText>
        </w:r>
        <w:r>
          <w:rPr>
            <w:noProof/>
            <w:webHidden/>
          </w:rPr>
          <w:fldChar w:fldCharType="separate"/>
        </w:r>
        <w:r>
          <w:rPr>
            <w:noProof/>
            <w:webHidden/>
          </w:rPr>
          <w:t>1610</w:t>
        </w:r>
        <w:r>
          <w:rPr>
            <w:noProof/>
            <w:webHidden/>
          </w:rPr>
          <w:fldChar w:fldCharType="end"/>
        </w:r>
      </w:hyperlink>
    </w:p>
    <w:p>
      <w:pPr>
        <w:pStyle w:val="TOC2"/>
      </w:pPr>
      <w:hyperlink w:anchor="_Toc300001431" w:history="1">
        <w:r>
          <w:rPr>
            <w:noProof/>
          </w:rPr>
          <w:t xml:space="preserve">Article 39.67: Military and National-Security AI Safeguards</w:t>
        </w:r>
        <w:r>
          <w:rPr>
            <w:noProof/>
            <w:webHidden/>
          </w:rPr>
          <w:tab/>
        </w:r>
        <w:r>
          <w:rPr>
            <w:noProof/>
            <w:webHidden/>
          </w:rPr>
          <w:fldChar w:fldCharType="begin"/>
        </w:r>
        <w:r>
          <w:rPr>
            <w:noProof/>
            <w:webHidden/>
          </w:rPr>
          <w:instrText xml:space="preserve"> PAGEREF _Toc300001431 \h </w:instrText>
        </w:r>
        <w:r>
          <w:rPr>
            <w:noProof/>
            <w:webHidden/>
          </w:rPr>
          <w:fldChar w:fldCharType="separate"/>
        </w:r>
        <w:r>
          <w:rPr>
            <w:noProof/>
            <w:webHidden/>
          </w:rPr>
          <w:t>1611</w:t>
        </w:r>
        <w:r>
          <w:rPr>
            <w:noProof/>
            <w:webHidden/>
          </w:rPr>
          <w:fldChar w:fldCharType="end"/>
        </w:r>
      </w:hyperlink>
    </w:p>
    <w:p>
      <w:pPr>
        <w:pStyle w:val="TOC2"/>
      </w:pPr>
      <w:hyperlink w:anchor="_Toc300001432" w:history="1">
        <w:r>
          <w:rPr>
            <w:noProof/>
          </w:rPr>
          <w:t xml:space="preserve">Article 39.68: Cognitive Liberty and Freedom of AI-Assisted Thought</w:t>
        </w:r>
        <w:r>
          <w:rPr>
            <w:noProof/>
            <w:webHidden/>
          </w:rPr>
          <w:tab/>
        </w:r>
        <w:r>
          <w:rPr>
            <w:noProof/>
            <w:webHidden/>
          </w:rPr>
          <w:fldChar w:fldCharType="begin"/>
        </w:r>
        <w:r>
          <w:rPr>
            <w:noProof/>
            <w:webHidden/>
          </w:rPr>
          <w:instrText xml:space="preserve"> PAGEREF _Toc300001432 \h </w:instrText>
        </w:r>
        <w:r>
          <w:rPr>
            <w:noProof/>
            <w:webHidden/>
          </w:rPr>
          <w:fldChar w:fldCharType="separate"/>
        </w:r>
        <w:r>
          <w:rPr>
            <w:noProof/>
            <w:webHidden/>
          </w:rPr>
          <w:t>1612</w:t>
        </w:r>
        <w:r>
          <w:rPr>
            <w:noProof/>
            <w:webHidden/>
          </w:rPr>
          <w:fldChar w:fldCharType="end"/>
        </w:r>
      </w:hyperlink>
    </w:p>
    <w:p>
      <w:pPr>
        <w:pStyle w:val="TOC2"/>
      </w:pPr>
      <w:hyperlink w:anchor="_Toc300001433" w:history="1">
        <w:r>
          <w:rPr>
            <w:noProof/>
          </w:rPr>
          <w:t xml:space="preserve">Article 39.69: Mental-Health Nondiscrimination and Diagnostic Integrity</w:t>
        </w:r>
        <w:r>
          <w:rPr>
            <w:noProof/>
            <w:webHidden/>
          </w:rPr>
          <w:tab/>
        </w:r>
        <w:r>
          <w:rPr>
            <w:noProof/>
            <w:webHidden/>
          </w:rPr>
          <w:fldChar w:fldCharType="begin"/>
        </w:r>
        <w:r>
          <w:rPr>
            <w:noProof/>
            <w:webHidden/>
          </w:rPr>
          <w:instrText xml:space="preserve"> PAGEREF _Toc300001433 \h </w:instrText>
        </w:r>
        <w:r>
          <w:rPr>
            <w:noProof/>
            <w:webHidden/>
          </w:rPr>
          <w:fldChar w:fldCharType="separate"/>
        </w:r>
        <w:r>
          <w:rPr>
            <w:noProof/>
            <w:webHidden/>
          </w:rPr>
          <w:t>1613</w:t>
        </w:r>
        <w:r>
          <w:rPr>
            <w:noProof/>
            <w:webHidden/>
          </w:rPr>
          <w:fldChar w:fldCharType="end"/>
        </w:r>
      </w:hyperlink>
    </w:p>
    <w:p>
      <w:pPr>
        <w:pStyle w:val="TOC2"/>
      </w:pPr>
      <w:hyperlink w:anchor="_Toc300001434" w:history="1">
        <w:r>
          <w:rPr>
            <w:noProof/>
          </w:rPr>
          <w:t xml:space="preserve">Article 39.70: AI Conversation Privacy and Mental-Health Procedural Safeguards</w:t>
        </w:r>
        <w:r>
          <w:rPr>
            <w:noProof/>
            <w:webHidden/>
          </w:rPr>
          <w:tab/>
        </w:r>
        <w:r>
          <w:rPr>
            <w:noProof/>
            <w:webHidden/>
          </w:rPr>
          <w:fldChar w:fldCharType="begin"/>
        </w:r>
        <w:r>
          <w:rPr>
            <w:noProof/>
            <w:webHidden/>
          </w:rPr>
          <w:instrText xml:space="preserve"> PAGEREF _Toc300001434 \h </w:instrText>
        </w:r>
        <w:r>
          <w:rPr>
            <w:noProof/>
            <w:webHidden/>
          </w:rPr>
          <w:fldChar w:fldCharType="separate"/>
        </w:r>
        <w:r>
          <w:rPr>
            <w:noProof/>
            <w:webHidden/>
          </w:rPr>
          <w:t>1614</w:t>
        </w:r>
        <w:r>
          <w:rPr>
            <w:noProof/>
            <w:webHidden/>
          </w:rPr>
          <w:fldChar w:fldCharType="end"/>
        </w:r>
      </w:hyperlink>
    </w:p>
    <w:p>
      <w:pPr>
        <w:pStyle w:val="TOC2"/>
      </w:pPr>
      <w:hyperlink w:anchor="_Toc300001435" w:history="1">
        <w:r>
          <w:rPr>
            <w:noProof/>
          </w:rPr>
          <w:t xml:space="preserve">Article 39.71: Provider and Clinical Mental-Health Safeguards</w:t>
        </w:r>
        <w:r>
          <w:rPr>
            <w:noProof/>
            <w:webHidden/>
          </w:rPr>
          <w:tab/>
        </w:r>
        <w:r>
          <w:rPr>
            <w:noProof/>
            <w:webHidden/>
          </w:rPr>
          <w:fldChar w:fldCharType="begin"/>
        </w:r>
        <w:r>
          <w:rPr>
            <w:noProof/>
            <w:webHidden/>
          </w:rPr>
          <w:instrText xml:space="preserve"> PAGEREF _Toc300001435 \h </w:instrText>
        </w:r>
        <w:r>
          <w:rPr>
            <w:noProof/>
            <w:webHidden/>
          </w:rPr>
          <w:fldChar w:fldCharType="separate"/>
        </w:r>
        <w:r>
          <w:rPr>
            <w:noProof/>
            <w:webHidden/>
          </w:rPr>
          <w:t>1615</w:t>
        </w:r>
        <w:r>
          <w:rPr>
            <w:noProof/>
            <w:webHidden/>
          </w:rPr>
          <w:fldChar w:fldCharType="end"/>
        </w:r>
      </w:hyperlink>
    </w:p>
    <w:p>
      <w:pPr>
        <w:pStyle w:val="TOC2"/>
      </w:pPr>
      <w:hyperlink w:anchor="_Toc300001436" w:history="1">
        <w:r>
          <w:rPr>
            <w:noProof/>
          </w:rPr>
          <w:t xml:space="preserve">Article 39.72: Agentic, Embodied and Emerging AI</w:t>
        </w:r>
        <w:r>
          <w:rPr>
            <w:noProof/>
            <w:webHidden/>
          </w:rPr>
          <w:tab/>
        </w:r>
        <w:r>
          <w:rPr>
            <w:noProof/>
            <w:webHidden/>
          </w:rPr>
          <w:fldChar w:fldCharType="begin"/>
        </w:r>
        <w:r>
          <w:rPr>
            <w:noProof/>
            <w:webHidden/>
          </w:rPr>
          <w:instrText xml:space="preserve"> PAGEREF _Toc300001436 \h </w:instrText>
        </w:r>
        <w:r>
          <w:rPr>
            <w:noProof/>
            <w:webHidden/>
          </w:rPr>
          <w:fldChar w:fldCharType="separate"/>
        </w:r>
        <w:r>
          <w:rPr>
            <w:noProof/>
            <w:webHidden/>
          </w:rPr>
          <w:t>1616</w:t>
        </w:r>
        <w:r>
          <w:rPr>
            <w:noProof/>
            <w:webHidden/>
          </w:rPr>
          <w:fldChar w:fldCharType="end"/>
        </w:r>
      </w:hyperlink>
    </w:p>
    <w:p>
      <w:pPr>
        <w:pStyle w:val="TOC2"/>
      </w:pPr>
      <w:hyperlink w:anchor="_Toc300001437" w:history="1">
        <w:r>
          <w:rPr>
            <w:noProof/>
          </w:rPr>
          <w:t xml:space="preserve">Article 39.73: Interoperability, International Standards and Regulatory Cooperation</w:t>
        </w:r>
        <w:r>
          <w:rPr>
            <w:noProof/>
            <w:webHidden/>
          </w:rPr>
          <w:tab/>
        </w:r>
        <w:r>
          <w:rPr>
            <w:noProof/>
            <w:webHidden/>
          </w:rPr>
          <w:fldChar w:fldCharType="begin"/>
        </w:r>
        <w:r>
          <w:rPr>
            <w:noProof/>
            <w:webHidden/>
          </w:rPr>
          <w:instrText xml:space="preserve"> PAGEREF _Toc300001437 \h </w:instrText>
        </w:r>
        <w:r>
          <w:rPr>
            <w:noProof/>
            <w:webHidden/>
          </w:rPr>
          <w:fldChar w:fldCharType="separate"/>
        </w:r>
        <w:r>
          <w:rPr>
            <w:noProof/>
            <w:webHidden/>
          </w:rPr>
          <w:t>1617</w:t>
        </w:r>
        <w:r>
          <w:rPr>
            <w:noProof/>
            <w:webHidden/>
          </w:rPr>
          <w:fldChar w:fldCharType="end"/>
        </w:r>
      </w:hyperlink>
    </w:p>
    <w:p>
      <w:pPr>
        <w:pStyle w:val="TOC2"/>
      </w:pPr>
      <w:hyperlink w:anchor="_Toc300001438" w:history="1">
        <w:r>
          <w:rPr>
            <w:noProof/>
          </w:rPr>
          <w:t xml:space="preserve">Article 39.74: Institutions, Remedies, Optionality and Closing Rules</w:t>
        </w:r>
        <w:r>
          <w:rPr>
            <w:noProof/>
            <w:webHidden/>
          </w:rPr>
          <w:tab/>
        </w:r>
        <w:r>
          <w:rPr>
            <w:noProof/>
            <w:webHidden/>
          </w:rPr>
          <w:fldChar w:fldCharType="begin"/>
        </w:r>
        <w:r>
          <w:rPr>
            <w:noProof/>
            <w:webHidden/>
          </w:rPr>
          <w:instrText xml:space="preserve"> PAGEREF _Toc300001438 \h </w:instrText>
        </w:r>
        <w:r>
          <w:rPr>
            <w:noProof/>
            <w:webHidden/>
          </w:rPr>
          <w:fldChar w:fldCharType="separate"/>
        </w:r>
        <w:r>
          <w:rPr>
            <w:noProof/>
            <w:webHidden/>
          </w:rPr>
          <w:t>1618</w:t>
        </w:r>
        <w:r>
          <w:rPr>
            <w:noProof/>
            <w:webHidden/>
          </w:rPr>
          <w:fldChar w:fldCharType="end"/>
        </w:r>
      </w:hyperlink>
    </w:p>
    <w:p>
      <w:pPr>
        <w:pStyle w:val="TOC2"/>
      </w:pPr>
      <w:hyperlink w:anchor="_Toc300001439" w:history="1">
        <w:r>
          <w:rPr>
            <w:noProof/>
          </w:rPr>
          <w:t xml:space="preserve">Article 39.75: Relationship to Existing Chapter 39 Architecture</w:t>
        </w:r>
        <w:r>
          <w:rPr>
            <w:noProof/>
            <w:webHidden/>
          </w:rPr>
          <w:tab/>
        </w:r>
        <w:r>
          <w:rPr>
            <w:noProof/>
            <w:webHidden/>
          </w:rPr>
          <w:fldChar w:fldCharType="begin"/>
        </w:r>
        <w:r>
          <w:rPr>
            <w:noProof/>
            <w:webHidden/>
          </w:rPr>
          <w:instrText xml:space="preserve"> PAGEREF _Toc300001439 \h </w:instrText>
        </w:r>
        <w:r>
          <w:rPr>
            <w:noProof/>
            <w:webHidden/>
          </w:rPr>
          <w:fldChar w:fldCharType="separate"/>
        </w:r>
        <w:r>
          <w:rPr>
            <w:noProof/>
            <w:webHidden/>
          </w:rPr>
          <w:t>1619</w:t>
        </w:r>
        <w:r>
          <w:rPr>
            <w:noProof/>
            <w:webHidden/>
          </w:rPr>
          <w:fldChar w:fldCharType="end"/>
        </w:r>
      </w:hyperlink>
    </w:p>
    <w:p>
      <w:pPr>
        <w:pStyle w:val="TOC2"/>
      </w:pPr>
      <w:hyperlink w:anchor="_Toc300001440" w:history="1">
        <w:r>
          <w:rPr>
            <w:noProof/>
          </w:rPr>
          <w:t xml:space="preserve">PART C: AI-ENABLED TRADE, CUSTOMS AND BORDER INTEROPERABILITY</w:t>
        </w:r>
        <w:r>
          <w:rPr>
            <w:noProof/>
            <w:webHidden/>
          </w:rPr>
          <w:tab/>
        </w:r>
        <w:r>
          <w:rPr>
            <w:noProof/>
            <w:webHidden/>
          </w:rPr>
          <w:fldChar w:fldCharType="begin"/>
        </w:r>
        <w:r>
          <w:rPr>
            <w:noProof/>
            <w:webHidden/>
          </w:rPr>
          <w:instrText xml:space="preserve"> PAGEREF _Toc300001440 \h </w:instrText>
        </w:r>
        <w:r>
          <w:rPr>
            <w:noProof/>
            <w:webHidden/>
          </w:rPr>
          <w:fldChar w:fldCharType="separate"/>
        </w:r>
        <w:r>
          <w:rPr>
            <w:noProof/>
            <w:webHidden/>
          </w:rPr>
          <w:t>1619</w:t>
        </w:r>
        <w:r>
          <w:rPr>
            <w:noProof/>
            <w:webHidden/>
          </w:rPr>
          <w:fldChar w:fldCharType="end"/>
        </w:r>
      </w:hyperlink>
    </w:p>
    <w:p>
      <w:pPr>
        <w:pStyle w:val="TOC2"/>
      </w:pPr>
      <w:hyperlink w:anchor="_Toc300001441" w:history="1">
        <w:r>
          <w:rPr>
            <w:noProof/>
          </w:rPr>
          <w:t xml:space="preserve">Article 39.76: Trade-AI Scope and Covered Systems</w:t>
        </w:r>
        <w:r>
          <w:rPr>
            <w:noProof/>
            <w:webHidden/>
          </w:rPr>
          <w:tab/>
        </w:r>
        <w:r>
          <w:rPr>
            <w:noProof/>
            <w:webHidden/>
          </w:rPr>
          <w:fldChar w:fldCharType="begin"/>
        </w:r>
        <w:r>
          <w:rPr>
            <w:noProof/>
            <w:webHidden/>
          </w:rPr>
          <w:instrText xml:space="preserve"> PAGEREF _Toc300001441 \h </w:instrText>
        </w:r>
        <w:r>
          <w:rPr>
            <w:noProof/>
            <w:webHidden/>
          </w:rPr>
          <w:fldChar w:fldCharType="separate"/>
        </w:r>
        <w:r>
          <w:rPr>
            <w:noProof/>
            <w:webHidden/>
          </w:rPr>
          <w:t>1619</w:t>
        </w:r>
        <w:r>
          <w:rPr>
            <w:noProof/>
            <w:webHidden/>
          </w:rPr>
          <w:fldChar w:fldCharType="end"/>
        </w:r>
      </w:hyperlink>
    </w:p>
    <w:p>
      <w:pPr>
        <w:pStyle w:val="TOC2"/>
      </w:pPr>
      <w:hyperlink w:anchor="_Toc300001442" w:history="1">
        <w:r>
          <w:rPr>
            <w:noProof/>
          </w:rPr>
          <w:t xml:space="preserve">Article 39.77: Customs AI Legal Authority and Attribution</w:t>
        </w:r>
        <w:r>
          <w:rPr>
            <w:noProof/>
            <w:webHidden/>
          </w:rPr>
          <w:tab/>
        </w:r>
        <w:r>
          <w:rPr>
            <w:noProof/>
            <w:webHidden/>
          </w:rPr>
          <w:fldChar w:fldCharType="begin"/>
        </w:r>
        <w:r>
          <w:rPr>
            <w:noProof/>
            <w:webHidden/>
          </w:rPr>
          <w:instrText xml:space="preserve"> PAGEREF _Toc300001442 \h </w:instrText>
        </w:r>
        <w:r>
          <w:rPr>
            <w:noProof/>
            <w:webHidden/>
          </w:rPr>
          <w:fldChar w:fldCharType="separate"/>
        </w:r>
        <w:r>
          <w:rPr>
            <w:noProof/>
            <w:webHidden/>
          </w:rPr>
          <w:t>1621</w:t>
        </w:r>
        <w:r>
          <w:rPr>
            <w:noProof/>
            <w:webHidden/>
          </w:rPr>
          <w:fldChar w:fldCharType="end"/>
        </w:r>
      </w:hyperlink>
    </w:p>
    <w:p>
      <w:pPr>
        <w:pStyle w:val="TOC2"/>
      </w:pPr>
      <w:hyperlink w:anchor="_Toc300001443" w:history="1">
        <w:r>
          <w:rPr>
            <w:noProof/>
          </w:rPr>
          <w:t xml:space="preserve">Article 39.78: Border-AI Mission Limits and Non-Retaliation</w:t>
        </w:r>
        <w:r>
          <w:rPr>
            <w:noProof/>
            <w:webHidden/>
          </w:rPr>
          <w:tab/>
        </w:r>
        <w:r>
          <w:rPr>
            <w:noProof/>
            <w:webHidden/>
          </w:rPr>
          <w:fldChar w:fldCharType="begin"/>
        </w:r>
        <w:r>
          <w:rPr>
            <w:noProof/>
            <w:webHidden/>
          </w:rPr>
          <w:instrText xml:space="preserve"> PAGEREF _Toc300001443 \h </w:instrText>
        </w:r>
        <w:r>
          <w:rPr>
            <w:noProof/>
            <w:webHidden/>
          </w:rPr>
          <w:fldChar w:fldCharType="separate"/>
        </w:r>
        <w:r>
          <w:rPr>
            <w:noProof/>
            <w:webHidden/>
          </w:rPr>
          <w:t>1623</w:t>
        </w:r>
        <w:r>
          <w:rPr>
            <w:noProof/>
            <w:webHidden/>
          </w:rPr>
          <w:fldChar w:fldCharType="end"/>
        </w:r>
      </w:hyperlink>
    </w:p>
    <w:p>
      <w:pPr>
        <w:pStyle w:val="TOC2"/>
      </w:pPr>
      <w:hyperlink w:anchor="_Toc300001444" w:history="1">
        <w:r>
          <w:rPr>
            <w:noProof/>
          </w:rPr>
          <w:t xml:space="preserve">Article 39.79: Human Authority in AI-Assisted Border Decisions</w:t>
        </w:r>
        <w:r>
          <w:rPr>
            <w:noProof/>
            <w:webHidden/>
          </w:rPr>
          <w:tab/>
        </w:r>
        <w:r>
          <w:rPr>
            <w:noProof/>
            <w:webHidden/>
          </w:rPr>
          <w:fldChar w:fldCharType="begin"/>
        </w:r>
        <w:r>
          <w:rPr>
            <w:noProof/>
            <w:webHidden/>
          </w:rPr>
          <w:instrText xml:space="preserve"> PAGEREF _Toc300001444 \h </w:instrText>
        </w:r>
        <w:r>
          <w:rPr>
            <w:noProof/>
            <w:webHidden/>
          </w:rPr>
          <w:fldChar w:fldCharType="separate"/>
        </w:r>
        <w:r>
          <w:rPr>
            <w:noProof/>
            <w:webHidden/>
          </w:rPr>
          <w:t>1625</w:t>
        </w:r>
        <w:r>
          <w:rPr>
            <w:noProof/>
            <w:webHidden/>
          </w:rPr>
          <w:fldChar w:fldCharType="end"/>
        </w:r>
      </w:hyperlink>
    </w:p>
    <w:p>
      <w:pPr>
        <w:pStyle w:val="TOC2"/>
      </w:pPr>
      <w:hyperlink w:anchor="_Toc300001445" w:history="1">
        <w:r>
          <w:rPr>
            <w:noProof/>
          </w:rPr>
          <w:t xml:space="preserve">Article 39.80: AI-Assisted Tariff Classification</w:t>
        </w:r>
        <w:r>
          <w:rPr>
            <w:noProof/>
            <w:webHidden/>
          </w:rPr>
          <w:tab/>
        </w:r>
        <w:r>
          <w:rPr>
            <w:noProof/>
            <w:webHidden/>
          </w:rPr>
          <w:fldChar w:fldCharType="begin"/>
        </w:r>
        <w:r>
          <w:rPr>
            <w:noProof/>
            <w:webHidden/>
          </w:rPr>
          <w:instrText xml:space="preserve"> PAGEREF _Toc300001445 \h </w:instrText>
        </w:r>
        <w:r>
          <w:rPr>
            <w:noProof/>
            <w:webHidden/>
          </w:rPr>
          <w:fldChar w:fldCharType="separate"/>
        </w:r>
        <w:r>
          <w:rPr>
            <w:noProof/>
            <w:webHidden/>
          </w:rPr>
          <w:t>1626</w:t>
        </w:r>
        <w:r>
          <w:rPr>
            <w:noProof/>
            <w:webHidden/>
          </w:rPr>
          <w:fldChar w:fldCharType="end"/>
        </w:r>
      </w:hyperlink>
    </w:p>
    <w:p>
      <w:pPr>
        <w:pStyle w:val="TOC2"/>
      </w:pPr>
      <w:hyperlink w:anchor="_Toc300001446" w:history="1">
        <w:r>
          <w:rPr>
            <w:noProof/>
          </w:rPr>
          <w:t xml:space="preserve">Article 39.81: AI-Assisted Customs Valuation</w:t>
        </w:r>
        <w:r>
          <w:rPr>
            <w:noProof/>
            <w:webHidden/>
          </w:rPr>
          <w:tab/>
        </w:r>
        <w:r>
          <w:rPr>
            <w:noProof/>
            <w:webHidden/>
          </w:rPr>
          <w:fldChar w:fldCharType="begin"/>
        </w:r>
        <w:r>
          <w:rPr>
            <w:noProof/>
            <w:webHidden/>
          </w:rPr>
          <w:instrText xml:space="preserve"> PAGEREF _Toc300001446 \h </w:instrText>
        </w:r>
        <w:r>
          <w:rPr>
            <w:noProof/>
            <w:webHidden/>
          </w:rPr>
          <w:fldChar w:fldCharType="separate"/>
        </w:r>
        <w:r>
          <w:rPr>
            <w:noProof/>
            <w:webHidden/>
          </w:rPr>
          <w:t>1628</w:t>
        </w:r>
        <w:r>
          <w:rPr>
            <w:noProof/>
            <w:webHidden/>
          </w:rPr>
          <w:fldChar w:fldCharType="end"/>
        </w:r>
      </w:hyperlink>
    </w:p>
    <w:p>
      <w:pPr>
        <w:pStyle w:val="TOC2"/>
      </w:pPr>
      <w:hyperlink w:anchor="_Toc300001447" w:history="1">
        <w:r>
          <w:rPr>
            <w:noProof/>
          </w:rPr>
          <w:t xml:space="preserve">Article 39.82: AI-Assisted Origin and Preference Determinations</w:t>
        </w:r>
        <w:r>
          <w:rPr>
            <w:noProof/>
            <w:webHidden/>
          </w:rPr>
          <w:tab/>
        </w:r>
        <w:r>
          <w:rPr>
            <w:noProof/>
            <w:webHidden/>
          </w:rPr>
          <w:fldChar w:fldCharType="begin"/>
        </w:r>
        <w:r>
          <w:rPr>
            <w:noProof/>
            <w:webHidden/>
          </w:rPr>
          <w:instrText xml:space="preserve"> PAGEREF _Toc300001447 \h </w:instrText>
        </w:r>
        <w:r>
          <w:rPr>
            <w:noProof/>
            <w:webHidden/>
          </w:rPr>
          <w:fldChar w:fldCharType="separate"/>
        </w:r>
        <w:r>
          <w:rPr>
            <w:noProof/>
            <w:webHidden/>
          </w:rPr>
          <w:t>1630</w:t>
        </w:r>
        <w:r>
          <w:rPr>
            <w:noProof/>
            <w:webHidden/>
          </w:rPr>
          <w:fldChar w:fldCharType="end"/>
        </w:r>
      </w:hyperlink>
    </w:p>
    <w:p>
      <w:pPr>
        <w:pStyle w:val="TOC2"/>
      </w:pPr>
      <w:hyperlink w:anchor="_Toc300001448" w:history="1">
        <w:r>
          <w:rPr>
            <w:noProof/>
          </w:rPr>
          <w:t xml:space="preserve">Article 39.83: AI-Assisted RVC and Origin Calculations</w:t>
        </w:r>
        <w:r>
          <w:rPr>
            <w:noProof/>
            <w:webHidden/>
          </w:rPr>
          <w:tab/>
        </w:r>
        <w:r>
          <w:rPr>
            <w:noProof/>
            <w:webHidden/>
          </w:rPr>
          <w:fldChar w:fldCharType="begin"/>
        </w:r>
        <w:r>
          <w:rPr>
            <w:noProof/>
            <w:webHidden/>
          </w:rPr>
          <w:instrText xml:space="preserve"> PAGEREF _Toc300001448 \h </w:instrText>
        </w:r>
        <w:r>
          <w:rPr>
            <w:noProof/>
            <w:webHidden/>
          </w:rPr>
          <w:fldChar w:fldCharType="separate"/>
        </w:r>
        <w:r>
          <w:rPr>
            <w:noProof/>
            <w:webHidden/>
          </w:rPr>
          <w:t>1632</w:t>
        </w:r>
        <w:r>
          <w:rPr>
            <w:noProof/>
            <w:webHidden/>
          </w:rPr>
          <w:fldChar w:fldCharType="end"/>
        </w:r>
      </w:hyperlink>
    </w:p>
    <w:p>
      <w:pPr>
        <w:pStyle w:val="TOC2"/>
      </w:pPr>
      <w:hyperlink w:anchor="_Toc300001449" w:history="1">
        <w:r>
          <w:rPr>
            <w:noProof/>
          </w:rPr>
          <w:t xml:space="preserve">Article 39.84: AI-Influenced Duties, Fees and Penalties</w:t>
        </w:r>
        <w:r>
          <w:rPr>
            <w:noProof/>
            <w:webHidden/>
          </w:rPr>
          <w:tab/>
        </w:r>
        <w:r>
          <w:rPr>
            <w:noProof/>
            <w:webHidden/>
          </w:rPr>
          <w:fldChar w:fldCharType="begin"/>
        </w:r>
        <w:r>
          <w:rPr>
            <w:noProof/>
            <w:webHidden/>
          </w:rPr>
          <w:instrText xml:space="preserve"> PAGEREF _Toc300001449 \h </w:instrText>
        </w:r>
        <w:r>
          <w:rPr>
            <w:noProof/>
            <w:webHidden/>
          </w:rPr>
          <w:fldChar w:fldCharType="separate"/>
        </w:r>
        <w:r>
          <w:rPr>
            <w:noProof/>
            <w:webHidden/>
          </w:rPr>
          <w:t>1634</w:t>
        </w:r>
        <w:r>
          <w:rPr>
            <w:noProof/>
            <w:webHidden/>
          </w:rPr>
          <w:fldChar w:fldCharType="end"/>
        </w:r>
      </w:hyperlink>
    </w:p>
    <w:p>
      <w:pPr>
        <w:pStyle w:val="TOC2"/>
      </w:pPr>
      <w:hyperlink w:anchor="_Toc300001450" w:history="1">
        <w:r>
          <w:rPr>
            <w:noProof/>
          </w:rPr>
          <w:t xml:space="preserve">Article 39.85: AI Customs Holds and Enhanced Verification</w:t>
        </w:r>
        <w:r>
          <w:rPr>
            <w:noProof/>
            <w:webHidden/>
          </w:rPr>
          <w:tab/>
        </w:r>
        <w:r>
          <w:rPr>
            <w:noProof/>
            <w:webHidden/>
          </w:rPr>
          <w:fldChar w:fldCharType="begin"/>
        </w:r>
        <w:r>
          <w:rPr>
            <w:noProof/>
            <w:webHidden/>
          </w:rPr>
          <w:instrText xml:space="preserve"> PAGEREF _Toc300001450 \h </w:instrText>
        </w:r>
        <w:r>
          <w:rPr>
            <w:noProof/>
            <w:webHidden/>
          </w:rPr>
          <w:fldChar w:fldCharType="separate"/>
        </w:r>
        <w:r>
          <w:rPr>
            <w:noProof/>
            <w:webHidden/>
          </w:rPr>
          <w:t>1636</w:t>
        </w:r>
        <w:r>
          <w:rPr>
            <w:noProof/>
            <w:webHidden/>
          </w:rPr>
          <w:fldChar w:fldCharType="end"/>
        </w:r>
      </w:hyperlink>
    </w:p>
    <w:p>
      <w:pPr>
        <w:pStyle w:val="TOC2"/>
      </w:pPr>
      <w:hyperlink w:anchor="_Toc300001451" w:history="1">
        <w:r>
          <w:rPr>
            <w:noProof/>
          </w:rPr>
          <w:t xml:space="preserve">Article 39.86: No Silent Algorithmic Tariff or Treatment Creep</w:t>
        </w:r>
        <w:r>
          <w:rPr>
            <w:noProof/>
            <w:webHidden/>
          </w:rPr>
          <w:tab/>
        </w:r>
        <w:r>
          <w:rPr>
            <w:noProof/>
            <w:webHidden/>
          </w:rPr>
          <w:fldChar w:fldCharType="begin"/>
        </w:r>
        <w:r>
          <w:rPr>
            <w:noProof/>
            <w:webHidden/>
          </w:rPr>
          <w:instrText xml:space="preserve"> PAGEREF _Toc300001451 \h </w:instrText>
        </w:r>
        <w:r>
          <w:rPr>
            <w:noProof/>
            <w:webHidden/>
          </w:rPr>
          <w:fldChar w:fldCharType="separate"/>
        </w:r>
        <w:r>
          <w:rPr>
            <w:noProof/>
            <w:webHidden/>
          </w:rPr>
          <w:t>1638</w:t>
        </w:r>
        <w:r>
          <w:rPr>
            <w:noProof/>
            <w:webHidden/>
          </w:rPr>
          <w:fldChar w:fldCharType="end"/>
        </w:r>
      </w:hyperlink>
    </w:p>
    <w:p>
      <w:pPr>
        <w:pStyle w:val="TOC2"/>
      </w:pPr>
      <w:hyperlink w:anchor="_Toc300001452" w:history="1">
        <w:r>
          <w:rPr>
            <w:noProof/>
          </w:rPr>
          <w:t xml:space="preserve">Article 39.87: Customs AI Risk-Scoring Inputs</w:t>
        </w:r>
        <w:r>
          <w:rPr>
            <w:noProof/>
            <w:webHidden/>
          </w:rPr>
          <w:tab/>
        </w:r>
        <w:r>
          <w:rPr>
            <w:noProof/>
            <w:webHidden/>
          </w:rPr>
          <w:fldChar w:fldCharType="begin"/>
        </w:r>
        <w:r>
          <w:rPr>
            <w:noProof/>
            <w:webHidden/>
          </w:rPr>
          <w:instrText xml:space="preserve"> PAGEREF _Toc300001452 \h </w:instrText>
        </w:r>
        <w:r>
          <w:rPr>
            <w:noProof/>
            <w:webHidden/>
          </w:rPr>
          <w:fldChar w:fldCharType="separate"/>
        </w:r>
        <w:r>
          <w:rPr>
            <w:noProof/>
            <w:webHidden/>
          </w:rPr>
          <w:t>1640</w:t>
        </w:r>
        <w:r>
          <w:rPr>
            <w:noProof/>
            <w:webHidden/>
          </w:rPr>
          <w:fldChar w:fldCharType="end"/>
        </w:r>
      </w:hyperlink>
    </w:p>
    <w:p>
      <w:pPr>
        <w:pStyle w:val="TOC2"/>
      </w:pPr>
      <w:hyperlink w:anchor="_Toc300001453" w:history="1">
        <w:r>
          <w:rPr>
            <w:noProof/>
          </w:rPr>
          <w:t xml:space="preserve">Article 39.88: Risk Scoring, Origin Neutrality and Anti-Proxy Rules</w:t>
        </w:r>
        <w:r>
          <w:rPr>
            <w:noProof/>
            <w:webHidden/>
          </w:rPr>
          <w:tab/>
        </w:r>
        <w:r>
          <w:rPr>
            <w:noProof/>
            <w:webHidden/>
          </w:rPr>
          <w:fldChar w:fldCharType="begin"/>
        </w:r>
        <w:r>
          <w:rPr>
            <w:noProof/>
            <w:webHidden/>
          </w:rPr>
          <w:instrText xml:space="preserve"> PAGEREF _Toc300001453 \h </w:instrText>
        </w:r>
        <w:r>
          <w:rPr>
            <w:noProof/>
            <w:webHidden/>
          </w:rPr>
          <w:fldChar w:fldCharType="separate"/>
        </w:r>
        <w:r>
          <w:rPr>
            <w:noProof/>
            <w:webHidden/>
          </w:rPr>
          <w:t>1642</w:t>
        </w:r>
        <w:r>
          <w:rPr>
            <w:noProof/>
            <w:webHidden/>
          </w:rPr>
          <w:fldChar w:fldCharType="end"/>
        </w:r>
      </w:hyperlink>
    </w:p>
    <w:p>
      <w:pPr>
        <w:pStyle w:val="TOC2"/>
      </w:pPr>
      <w:hyperlink w:anchor="_Toc300001454" w:history="1">
        <w:r>
          <w:rPr>
            <w:noProof/>
          </w:rPr>
          <w:t xml:space="preserve">Article 39.89: Risk-Score Explainability and Trader Contestability</w:t>
        </w:r>
        <w:r>
          <w:rPr>
            <w:noProof/>
            <w:webHidden/>
          </w:rPr>
          <w:tab/>
        </w:r>
        <w:r>
          <w:rPr>
            <w:noProof/>
            <w:webHidden/>
          </w:rPr>
          <w:fldChar w:fldCharType="begin"/>
        </w:r>
        <w:r>
          <w:rPr>
            <w:noProof/>
            <w:webHidden/>
          </w:rPr>
          <w:instrText xml:space="preserve"> PAGEREF _Toc300001454 \h </w:instrText>
        </w:r>
        <w:r>
          <w:rPr>
            <w:noProof/>
            <w:webHidden/>
          </w:rPr>
          <w:fldChar w:fldCharType="separate"/>
        </w:r>
        <w:r>
          <w:rPr>
            <w:noProof/>
            <w:webHidden/>
          </w:rPr>
          <w:t>1644</w:t>
        </w:r>
        <w:r>
          <w:rPr>
            <w:noProof/>
            <w:webHidden/>
          </w:rPr>
          <w:fldChar w:fldCharType="end"/>
        </w:r>
      </w:hyperlink>
    </w:p>
    <w:p>
      <w:pPr>
        <w:pStyle w:val="TOC2"/>
      </w:pPr>
      <w:hyperlink w:anchor="_Toc300001455" w:history="1">
        <w:r>
          <w:rPr>
            <w:noProof/>
          </w:rPr>
          <w:t xml:space="preserve">Article 39.90: Risk-Model Validation and False-Positive Control</w:t>
        </w:r>
        <w:r>
          <w:rPr>
            <w:noProof/>
            <w:webHidden/>
          </w:rPr>
          <w:tab/>
        </w:r>
        <w:r>
          <w:rPr>
            <w:noProof/>
            <w:webHidden/>
          </w:rPr>
          <w:fldChar w:fldCharType="begin"/>
        </w:r>
        <w:r>
          <w:rPr>
            <w:noProof/>
            <w:webHidden/>
          </w:rPr>
          <w:instrText xml:space="preserve"> PAGEREF _Toc300001455 \h </w:instrText>
        </w:r>
        <w:r>
          <w:rPr>
            <w:noProof/>
            <w:webHidden/>
          </w:rPr>
          <w:fldChar w:fldCharType="separate"/>
        </w:r>
        <w:r>
          <w:rPr>
            <w:noProof/>
            <w:webHidden/>
          </w:rPr>
          <w:t>1645</w:t>
        </w:r>
        <w:r>
          <w:rPr>
            <w:noProof/>
            <w:webHidden/>
          </w:rPr>
          <w:fldChar w:fldCharType="end"/>
        </w:r>
      </w:hyperlink>
    </w:p>
    <w:p>
      <w:pPr>
        <w:pStyle w:val="TOC2"/>
      </w:pPr>
      <w:hyperlink w:anchor="_Toc300001456" w:history="1">
        <w:r>
          <w:rPr>
            <w:noProof/>
          </w:rPr>
          <w:t xml:space="preserve">Article 39.91: Inspection Selectivity and Anti-Harassment Safeguards</w:t>
        </w:r>
        <w:r>
          <w:rPr>
            <w:noProof/>
            <w:webHidden/>
          </w:rPr>
          <w:tab/>
        </w:r>
        <w:r>
          <w:rPr>
            <w:noProof/>
            <w:webHidden/>
          </w:rPr>
          <w:fldChar w:fldCharType="begin"/>
        </w:r>
        <w:r>
          <w:rPr>
            <w:noProof/>
            <w:webHidden/>
          </w:rPr>
          <w:instrText xml:space="preserve"> PAGEREF _Toc300001456 \h </w:instrText>
        </w:r>
        <w:r>
          <w:rPr>
            <w:noProof/>
            <w:webHidden/>
          </w:rPr>
          <w:fldChar w:fldCharType="separate"/>
        </w:r>
        <w:r>
          <w:rPr>
            <w:noProof/>
            <w:webHidden/>
          </w:rPr>
          <w:t>1647</w:t>
        </w:r>
        <w:r>
          <w:rPr>
            <w:noProof/>
            <w:webHidden/>
          </w:rPr>
          <w:fldChar w:fldCharType="end"/>
        </w:r>
      </w:hyperlink>
    </w:p>
    <w:p>
      <w:pPr>
        <w:pStyle w:val="TOC2"/>
      </w:pPr>
      <w:hyperlink w:anchor="_Toc300001457" w:history="1">
        <w:r>
          <w:rPr>
            <w:noProof/>
          </w:rPr>
          <w:t xml:space="preserve">Article 39.92: AI-Enabled Pre-Arrival Processing</w:t>
        </w:r>
        <w:r>
          <w:rPr>
            <w:noProof/>
            <w:webHidden/>
          </w:rPr>
          <w:tab/>
        </w:r>
        <w:r>
          <w:rPr>
            <w:noProof/>
            <w:webHidden/>
          </w:rPr>
          <w:fldChar w:fldCharType="begin"/>
        </w:r>
        <w:r>
          <w:rPr>
            <w:noProof/>
            <w:webHidden/>
          </w:rPr>
          <w:instrText xml:space="preserve"> PAGEREF _Toc300001457 \h </w:instrText>
        </w:r>
        <w:r>
          <w:rPr>
            <w:noProof/>
            <w:webHidden/>
          </w:rPr>
          <w:fldChar w:fldCharType="separate"/>
        </w:r>
        <w:r>
          <w:rPr>
            <w:noProof/>
            <w:webHidden/>
          </w:rPr>
          <w:t>1649</w:t>
        </w:r>
        <w:r>
          <w:rPr>
            <w:noProof/>
            <w:webHidden/>
          </w:rPr>
          <w:fldChar w:fldCharType="end"/>
        </w:r>
      </w:hyperlink>
    </w:p>
    <w:p>
      <w:pPr>
        <w:pStyle w:val="TOC2"/>
      </w:pPr>
      <w:hyperlink w:anchor="_Toc300001458" w:history="1">
        <w:r>
          <w:rPr>
            <w:noProof/>
          </w:rPr>
          <w:t xml:space="preserve">Article 39.93: Automated Clearance and Release</w:t>
        </w:r>
        <w:r>
          <w:rPr>
            <w:noProof/>
            <w:webHidden/>
          </w:rPr>
          <w:tab/>
        </w:r>
        <w:r>
          <w:rPr>
            <w:noProof/>
            <w:webHidden/>
          </w:rPr>
          <w:fldChar w:fldCharType="begin"/>
        </w:r>
        <w:r>
          <w:rPr>
            <w:noProof/>
            <w:webHidden/>
          </w:rPr>
          <w:instrText xml:space="preserve"> PAGEREF _Toc300001458 \h </w:instrText>
        </w:r>
        <w:r>
          <w:rPr>
            <w:noProof/>
            <w:webHidden/>
          </w:rPr>
          <w:fldChar w:fldCharType="separate"/>
        </w:r>
        <w:r>
          <w:rPr>
            <w:noProof/>
            <w:webHidden/>
          </w:rPr>
          <w:t>1651</w:t>
        </w:r>
        <w:r>
          <w:rPr>
            <w:noProof/>
            <w:webHidden/>
          </w:rPr>
          <w:fldChar w:fldCharType="end"/>
        </w:r>
      </w:hyperlink>
    </w:p>
    <w:p>
      <w:pPr>
        <w:pStyle w:val="TOC2"/>
      </w:pPr>
      <w:hyperlink w:anchor="_Toc300001459" w:history="1">
        <w:r>
          <w:rPr>
            <w:noProof/>
          </w:rPr>
          <w:t xml:space="preserve">Article 39.94: Border-System Degraded-Mode Processing</w:t>
        </w:r>
        <w:r>
          <w:rPr>
            <w:noProof/>
            <w:webHidden/>
          </w:rPr>
          <w:tab/>
        </w:r>
        <w:r>
          <w:rPr>
            <w:noProof/>
            <w:webHidden/>
          </w:rPr>
          <w:fldChar w:fldCharType="begin"/>
        </w:r>
        <w:r>
          <w:rPr>
            <w:noProof/>
            <w:webHidden/>
          </w:rPr>
          <w:instrText xml:space="preserve"> PAGEREF _Toc300001459 \h </w:instrText>
        </w:r>
        <w:r>
          <w:rPr>
            <w:noProof/>
            <w:webHidden/>
          </w:rPr>
          <w:fldChar w:fldCharType="separate"/>
        </w:r>
        <w:r>
          <w:rPr>
            <w:noProof/>
            <w:webHidden/>
          </w:rPr>
          <w:t>1653</w:t>
        </w:r>
        <w:r>
          <w:rPr>
            <w:noProof/>
            <w:webHidden/>
          </w:rPr>
          <w:fldChar w:fldCharType="end"/>
        </w:r>
      </w:hyperlink>
    </w:p>
    <w:p>
      <w:pPr>
        <w:pStyle w:val="TOC2"/>
      </w:pPr>
      <w:hyperlink w:anchor="_Toc300001460" w:history="1">
        <w:r>
          <w:rPr>
            <w:noProof/>
          </w:rPr>
          <w:t xml:space="preserve">Article 39.95: Trade-Critical AI Incident Notification</w:t>
        </w:r>
        <w:r>
          <w:rPr>
            <w:noProof/>
            <w:webHidden/>
          </w:rPr>
          <w:tab/>
        </w:r>
        <w:r>
          <w:rPr>
            <w:noProof/>
            <w:webHidden/>
          </w:rPr>
          <w:fldChar w:fldCharType="begin"/>
        </w:r>
        <w:r>
          <w:rPr>
            <w:noProof/>
            <w:webHidden/>
          </w:rPr>
          <w:instrText xml:space="preserve"> PAGEREF _Toc300001460 \h </w:instrText>
        </w:r>
        <w:r>
          <w:rPr>
            <w:noProof/>
            <w:webHidden/>
          </w:rPr>
          <w:fldChar w:fldCharType="separate"/>
        </w:r>
        <w:r>
          <w:rPr>
            <w:noProof/>
            <w:webHidden/>
          </w:rPr>
          <w:t>1655</w:t>
        </w:r>
        <w:r>
          <w:rPr>
            <w:noProof/>
            <w:webHidden/>
          </w:rPr>
          <w:fldChar w:fldCharType="end"/>
        </w:r>
      </w:hyperlink>
    </w:p>
    <w:p>
      <w:pPr>
        <w:pStyle w:val="TOC2"/>
      </w:pPr>
      <w:hyperlink w:anchor="_Toc300001461" w:history="1">
        <w:r>
          <w:rPr>
            <w:noProof/>
          </w:rPr>
          <w:t xml:space="preserve">Article 39.96: Trade-Critical AI Recovery and Reconciliation</w:t>
        </w:r>
        <w:r>
          <w:rPr>
            <w:noProof/>
            <w:webHidden/>
          </w:rPr>
          <w:tab/>
        </w:r>
        <w:r>
          <w:rPr>
            <w:noProof/>
            <w:webHidden/>
          </w:rPr>
          <w:fldChar w:fldCharType="begin"/>
        </w:r>
        <w:r>
          <w:rPr>
            <w:noProof/>
            <w:webHidden/>
          </w:rPr>
          <w:instrText xml:space="preserve"> PAGEREF _Toc300001461 \h </w:instrText>
        </w:r>
        <w:r>
          <w:rPr>
            <w:noProof/>
            <w:webHidden/>
          </w:rPr>
          <w:fldChar w:fldCharType="separate"/>
        </w:r>
        <w:r>
          <w:rPr>
            <w:noProof/>
            <w:webHidden/>
          </w:rPr>
          <w:t>1656</w:t>
        </w:r>
        <w:r>
          <w:rPr>
            <w:noProof/>
            <w:webHidden/>
          </w:rPr>
          <w:fldChar w:fldCharType="end"/>
        </w:r>
      </w:hyperlink>
    </w:p>
    <w:p>
      <w:pPr>
        <w:pStyle w:val="TOC2"/>
      </w:pPr>
      <w:hyperlink w:anchor="_Toc300001462" w:history="1">
        <w:r>
          <w:rPr>
            <w:noProof/>
          </w:rPr>
          <w:t xml:space="preserve">Article 39.97: AI Non-Intrusive Inspection Deployment</w:t>
        </w:r>
        <w:r>
          <w:rPr>
            <w:noProof/>
            <w:webHidden/>
          </w:rPr>
          <w:tab/>
        </w:r>
        <w:r>
          <w:rPr>
            <w:noProof/>
            <w:webHidden/>
          </w:rPr>
          <w:fldChar w:fldCharType="begin"/>
        </w:r>
        <w:r>
          <w:rPr>
            <w:noProof/>
            <w:webHidden/>
          </w:rPr>
          <w:instrText xml:space="preserve"> PAGEREF _Toc300001462 \h </w:instrText>
        </w:r>
        <w:r>
          <w:rPr>
            <w:noProof/>
            <w:webHidden/>
          </w:rPr>
          <w:fldChar w:fldCharType="separate"/>
        </w:r>
        <w:r>
          <w:rPr>
            <w:noProof/>
            <w:webHidden/>
          </w:rPr>
          <w:t>1658</w:t>
        </w:r>
        <w:r>
          <w:rPr>
            <w:noProof/>
            <w:webHidden/>
          </w:rPr>
          <w:fldChar w:fldCharType="end"/>
        </w:r>
      </w:hyperlink>
    </w:p>
    <w:p>
      <w:pPr>
        <w:pStyle w:val="TOC2"/>
      </w:pPr>
      <w:hyperlink w:anchor="_Toc300001463" w:history="1">
        <w:r>
          <w:rPr>
            <w:noProof/>
          </w:rPr>
          <w:t xml:space="preserve">Article 39.98: NII Model Validation and Performance</w:t>
        </w:r>
        <w:r>
          <w:rPr>
            <w:noProof/>
            <w:webHidden/>
          </w:rPr>
          <w:tab/>
        </w:r>
        <w:r>
          <w:rPr>
            <w:noProof/>
            <w:webHidden/>
          </w:rPr>
          <w:fldChar w:fldCharType="begin"/>
        </w:r>
        <w:r>
          <w:rPr>
            <w:noProof/>
            <w:webHidden/>
          </w:rPr>
          <w:instrText xml:space="preserve"> PAGEREF _Toc300001463 \h </w:instrText>
        </w:r>
        <w:r>
          <w:rPr>
            <w:noProof/>
            <w:webHidden/>
          </w:rPr>
          <w:fldChar w:fldCharType="separate"/>
        </w:r>
        <w:r>
          <w:rPr>
            <w:noProof/>
            <w:webHidden/>
          </w:rPr>
          <w:t>1660</w:t>
        </w:r>
        <w:r>
          <w:rPr>
            <w:noProof/>
            <w:webHidden/>
          </w:rPr>
          <w:fldChar w:fldCharType="end"/>
        </w:r>
      </w:hyperlink>
    </w:p>
    <w:p>
      <w:pPr>
        <w:pStyle w:val="TOC2"/>
      </w:pPr>
      <w:hyperlink w:anchor="_Toc300001464" w:history="1">
        <w:r>
          <w:rPr>
            <w:noProof/>
          </w:rPr>
          <w:t xml:space="preserve">Article 39.99: NII Sensor, Image and Evidence Governance</w:t>
        </w:r>
        <w:r>
          <w:rPr>
            <w:noProof/>
            <w:webHidden/>
          </w:rPr>
          <w:tab/>
        </w:r>
        <w:r>
          <w:rPr>
            <w:noProof/>
            <w:webHidden/>
          </w:rPr>
          <w:fldChar w:fldCharType="begin"/>
        </w:r>
        <w:r>
          <w:rPr>
            <w:noProof/>
            <w:webHidden/>
          </w:rPr>
          <w:instrText xml:space="preserve"> PAGEREF _Toc300001464 \h </w:instrText>
        </w:r>
        <w:r>
          <w:rPr>
            <w:noProof/>
            <w:webHidden/>
          </w:rPr>
          <w:fldChar w:fldCharType="separate"/>
        </w:r>
        <w:r>
          <w:rPr>
            <w:noProof/>
            <w:webHidden/>
          </w:rPr>
          <w:t>1662</w:t>
        </w:r>
        <w:r>
          <w:rPr>
            <w:noProof/>
            <w:webHidden/>
          </w:rPr>
          <w:fldChar w:fldCharType="end"/>
        </w:r>
      </w:hyperlink>
    </w:p>
    <w:p>
      <w:pPr>
        <w:pStyle w:val="TOC2"/>
      </w:pPr>
      <w:hyperlink w:anchor="_Toc300001465" w:history="1">
        <w:r>
          <w:rPr>
            <w:noProof/>
          </w:rPr>
          <w:t xml:space="preserve">Article 39.100: Cross-Border NII and Forensic Reliance</w:t>
        </w:r>
        <w:r>
          <w:rPr>
            <w:noProof/>
            <w:webHidden/>
          </w:rPr>
          <w:tab/>
        </w:r>
        <w:r>
          <w:rPr>
            <w:noProof/>
            <w:webHidden/>
          </w:rPr>
          <w:fldChar w:fldCharType="begin"/>
        </w:r>
        <w:r>
          <w:rPr>
            <w:noProof/>
            <w:webHidden/>
          </w:rPr>
          <w:instrText xml:space="preserve"> PAGEREF _Toc300001465 \h </w:instrText>
        </w:r>
        <w:r>
          <w:rPr>
            <w:noProof/>
            <w:webHidden/>
          </w:rPr>
          <w:fldChar w:fldCharType="separate"/>
        </w:r>
        <w:r>
          <w:rPr>
            <w:noProof/>
            <w:webHidden/>
          </w:rPr>
          <w:t>1664</w:t>
        </w:r>
        <w:r>
          <w:rPr>
            <w:noProof/>
            <w:webHidden/>
          </w:rPr>
          <w:fldChar w:fldCharType="end"/>
        </w:r>
      </w:hyperlink>
    </w:p>
    <w:p>
      <w:pPr>
        <w:pStyle w:val="TOC2"/>
      </w:pPr>
      <w:hyperlink w:anchor="_Toc300001466" w:history="1">
        <w:r>
          <w:rPr>
            <w:noProof/>
          </w:rPr>
          <w:t xml:space="preserve">Article 39.101: AI-Assisted Trusted Trader Administration</w:t>
        </w:r>
        <w:r>
          <w:rPr>
            <w:noProof/>
            <w:webHidden/>
          </w:rPr>
          <w:tab/>
        </w:r>
        <w:r>
          <w:rPr>
            <w:noProof/>
            <w:webHidden/>
          </w:rPr>
          <w:fldChar w:fldCharType="begin"/>
        </w:r>
        <w:r>
          <w:rPr>
            <w:noProof/>
            <w:webHidden/>
          </w:rPr>
          <w:instrText xml:space="preserve"> PAGEREF _Toc300001466 \h </w:instrText>
        </w:r>
        <w:r>
          <w:rPr>
            <w:noProof/>
            <w:webHidden/>
          </w:rPr>
          <w:fldChar w:fldCharType="separate"/>
        </w:r>
        <w:r>
          <w:rPr>
            <w:noProof/>
            <w:webHidden/>
          </w:rPr>
          <w:t>1665</w:t>
        </w:r>
        <w:r>
          <w:rPr>
            <w:noProof/>
            <w:webHidden/>
          </w:rPr>
          <w:fldChar w:fldCharType="end"/>
        </w:r>
      </w:hyperlink>
    </w:p>
    <w:p>
      <w:pPr>
        <w:pStyle w:val="TOC2"/>
      </w:pPr>
      <w:hyperlink w:anchor="_Toc300001467" w:history="1">
        <w:r>
          <w:rPr>
            <w:noProof/>
          </w:rPr>
          <w:t xml:space="preserve">Article 39.102: Trusted Trader AI Suspension and Revocation Safeguards</w:t>
        </w:r>
        <w:r>
          <w:rPr>
            <w:noProof/>
            <w:webHidden/>
          </w:rPr>
          <w:tab/>
        </w:r>
        <w:r>
          <w:rPr>
            <w:noProof/>
            <w:webHidden/>
          </w:rPr>
          <w:fldChar w:fldCharType="begin"/>
        </w:r>
        <w:r>
          <w:rPr>
            <w:noProof/>
            <w:webHidden/>
          </w:rPr>
          <w:instrText xml:space="preserve"> PAGEREF _Toc300001467 \h </w:instrText>
        </w:r>
        <w:r>
          <w:rPr>
            <w:noProof/>
            <w:webHidden/>
          </w:rPr>
          <w:fldChar w:fldCharType="separate"/>
        </w:r>
        <w:r>
          <w:rPr>
            <w:noProof/>
            <w:webHidden/>
          </w:rPr>
          <w:t>1667</w:t>
        </w:r>
        <w:r>
          <w:rPr>
            <w:noProof/>
            <w:webHidden/>
          </w:rPr>
          <w:fldChar w:fldCharType="end"/>
        </w:r>
      </w:hyperlink>
    </w:p>
    <w:p>
      <w:pPr>
        <w:pStyle w:val="TOC2"/>
      </w:pPr>
      <w:hyperlink w:anchor="_Toc300001468" w:history="1">
        <w:r>
          <w:rPr>
            <w:noProof/>
          </w:rPr>
          <w:t xml:space="preserve">Article 39.103: Cross-Border AEO Data and Recognition</w:t>
        </w:r>
        <w:r>
          <w:rPr>
            <w:noProof/>
            <w:webHidden/>
          </w:rPr>
          <w:tab/>
        </w:r>
        <w:r>
          <w:rPr>
            <w:noProof/>
            <w:webHidden/>
          </w:rPr>
          <w:fldChar w:fldCharType="begin"/>
        </w:r>
        <w:r>
          <w:rPr>
            <w:noProof/>
            <w:webHidden/>
          </w:rPr>
          <w:instrText xml:space="preserve"> PAGEREF _Toc300001468 \h </w:instrText>
        </w:r>
        <w:r>
          <w:rPr>
            <w:noProof/>
            <w:webHidden/>
          </w:rPr>
          <w:fldChar w:fldCharType="separate"/>
        </w:r>
        <w:r>
          <w:rPr>
            <w:noProof/>
            <w:webHidden/>
          </w:rPr>
          <w:t>1669</w:t>
        </w:r>
        <w:r>
          <w:rPr>
            <w:noProof/>
            <w:webHidden/>
          </w:rPr>
          <w:fldChar w:fldCharType="end"/>
        </w:r>
      </w:hyperlink>
    </w:p>
    <w:p>
      <w:pPr>
        <w:pStyle w:val="TOC2"/>
      </w:pPr>
      <w:hyperlink w:anchor="_Toc300001469" w:history="1">
        <w:r>
          <w:rPr>
            <w:noProof/>
          </w:rPr>
          <w:t xml:space="preserve">Article 39.104: AI-Ready Single Window Data Architecture</w:t>
        </w:r>
        <w:r>
          <w:rPr>
            <w:noProof/>
            <w:webHidden/>
          </w:rPr>
          <w:tab/>
        </w:r>
        <w:r>
          <w:rPr>
            <w:noProof/>
            <w:webHidden/>
          </w:rPr>
          <w:fldChar w:fldCharType="begin"/>
        </w:r>
        <w:r>
          <w:rPr>
            <w:noProof/>
            <w:webHidden/>
          </w:rPr>
          <w:instrText xml:space="preserve"> PAGEREF _Toc300001469 \h </w:instrText>
        </w:r>
        <w:r>
          <w:rPr>
            <w:noProof/>
            <w:webHidden/>
          </w:rPr>
          <w:fldChar w:fldCharType="separate"/>
        </w:r>
        <w:r>
          <w:rPr>
            <w:noProof/>
            <w:webHidden/>
          </w:rPr>
          <w:t>1671</w:t>
        </w:r>
        <w:r>
          <w:rPr>
            <w:noProof/>
            <w:webHidden/>
          </w:rPr>
          <w:fldChar w:fldCharType="end"/>
        </w:r>
      </w:hyperlink>
    </w:p>
    <w:p>
      <w:pPr>
        <w:pStyle w:val="TOC2"/>
      </w:pPr>
      <w:hyperlink w:anchor="_Toc300001470" w:history="1">
        <w:r>
          <w:rPr>
            <w:noProof/>
          </w:rPr>
          <w:t xml:space="preserve">Article 39.105: Border-AI Common Schemas and Data Dictionaries</w:t>
        </w:r>
        <w:r>
          <w:rPr>
            <w:noProof/>
            <w:webHidden/>
          </w:rPr>
          <w:tab/>
        </w:r>
        <w:r>
          <w:rPr>
            <w:noProof/>
            <w:webHidden/>
          </w:rPr>
          <w:fldChar w:fldCharType="begin"/>
        </w:r>
        <w:r>
          <w:rPr>
            <w:noProof/>
            <w:webHidden/>
          </w:rPr>
          <w:instrText xml:space="preserve"> PAGEREF _Toc300001470 \h </w:instrText>
        </w:r>
        <w:r>
          <w:rPr>
            <w:noProof/>
            <w:webHidden/>
          </w:rPr>
          <w:fldChar w:fldCharType="separate"/>
        </w:r>
        <w:r>
          <w:rPr>
            <w:noProof/>
            <w:webHidden/>
          </w:rPr>
          <w:t>1673</w:t>
        </w:r>
        <w:r>
          <w:rPr>
            <w:noProof/>
            <w:webHidden/>
          </w:rPr>
          <w:fldChar w:fldCharType="end"/>
        </w:r>
      </w:hyperlink>
    </w:p>
    <w:p>
      <w:pPr>
        <w:pStyle w:val="TOC2"/>
      </w:pPr>
      <w:hyperlink w:anchor="_Toc300001471" w:history="1">
        <w:r>
          <w:rPr>
            <w:noProof/>
          </w:rPr>
          <w:t xml:space="preserve">Article 39.106: Border-AI Provenance and Source Integrity</w:t>
        </w:r>
        <w:r>
          <w:rPr>
            <w:noProof/>
            <w:webHidden/>
          </w:rPr>
          <w:tab/>
        </w:r>
        <w:r>
          <w:rPr>
            <w:noProof/>
            <w:webHidden/>
          </w:rPr>
          <w:fldChar w:fldCharType="begin"/>
        </w:r>
        <w:r>
          <w:rPr>
            <w:noProof/>
            <w:webHidden/>
          </w:rPr>
          <w:instrText xml:space="preserve"> PAGEREF _Toc300001471 \h </w:instrText>
        </w:r>
        <w:r>
          <w:rPr>
            <w:noProof/>
            <w:webHidden/>
          </w:rPr>
          <w:fldChar w:fldCharType="separate"/>
        </w:r>
        <w:r>
          <w:rPr>
            <w:noProof/>
            <w:webHidden/>
          </w:rPr>
          <w:t>1674</w:t>
        </w:r>
        <w:r>
          <w:rPr>
            <w:noProof/>
            <w:webHidden/>
          </w:rPr>
          <w:fldChar w:fldCharType="end"/>
        </w:r>
      </w:hyperlink>
    </w:p>
    <w:p>
      <w:pPr>
        <w:pStyle w:val="TOC2"/>
      </w:pPr>
      <w:hyperlink w:anchor="_Toc300001472" w:history="1">
        <w:r>
          <w:rPr>
            <w:noProof/>
          </w:rPr>
          <w:t xml:space="preserve">Article 39.107: Border-AI Model, Ruleset and Version Traceability</w:t>
        </w:r>
        <w:r>
          <w:rPr>
            <w:noProof/>
            <w:webHidden/>
          </w:rPr>
          <w:tab/>
        </w:r>
        <w:r>
          <w:rPr>
            <w:noProof/>
            <w:webHidden/>
          </w:rPr>
          <w:fldChar w:fldCharType="begin"/>
        </w:r>
        <w:r>
          <w:rPr>
            <w:noProof/>
            <w:webHidden/>
          </w:rPr>
          <w:instrText xml:space="preserve"> PAGEREF _Toc300001472 \h </w:instrText>
        </w:r>
        <w:r>
          <w:rPr>
            <w:noProof/>
            <w:webHidden/>
          </w:rPr>
          <w:fldChar w:fldCharType="separate"/>
        </w:r>
        <w:r>
          <w:rPr>
            <w:noProof/>
            <w:webHidden/>
          </w:rPr>
          <w:t>1676</w:t>
        </w:r>
        <w:r>
          <w:rPr>
            <w:noProof/>
            <w:webHidden/>
          </w:rPr>
          <w:fldChar w:fldCharType="end"/>
        </w:r>
      </w:hyperlink>
    </w:p>
    <w:p>
      <w:pPr>
        <w:pStyle w:val="TOC2"/>
      </w:pPr>
      <w:hyperlink w:anchor="_Toc300001473" w:history="1">
        <w:r>
          <w:rPr>
            <w:noProof/>
          </w:rPr>
          <w:t xml:space="preserve">Article 39.108: Real-Time Border Risk-Signal Exchange</w:t>
        </w:r>
        <w:r>
          <w:rPr>
            <w:noProof/>
            <w:webHidden/>
          </w:rPr>
          <w:tab/>
        </w:r>
        <w:r>
          <w:rPr>
            <w:noProof/>
            <w:webHidden/>
          </w:rPr>
          <w:fldChar w:fldCharType="begin"/>
        </w:r>
        <w:r>
          <w:rPr>
            <w:noProof/>
            <w:webHidden/>
          </w:rPr>
          <w:instrText xml:space="preserve"> PAGEREF _Toc300001473 \h </w:instrText>
        </w:r>
        <w:r>
          <w:rPr>
            <w:noProof/>
            <w:webHidden/>
          </w:rPr>
          <w:fldChar w:fldCharType="separate"/>
        </w:r>
        <w:r>
          <w:rPr>
            <w:noProof/>
            <w:webHidden/>
          </w:rPr>
          <w:t>1678</w:t>
        </w:r>
        <w:r>
          <w:rPr>
            <w:noProof/>
            <w:webHidden/>
          </w:rPr>
          <w:fldChar w:fldCharType="end"/>
        </w:r>
      </w:hyperlink>
    </w:p>
    <w:p>
      <w:pPr>
        <w:pStyle w:val="TOC2"/>
      </w:pPr>
      <w:hyperlink w:anchor="_Toc300001474" w:history="1">
        <w:r>
          <w:rPr>
            <w:noProof/>
          </w:rPr>
          <w:t xml:space="preserve">Article 39.109: Trade-AI Interfaces, Portability and Anti-Lock-In</w:t>
        </w:r>
        <w:r>
          <w:rPr>
            <w:noProof/>
            <w:webHidden/>
          </w:rPr>
          <w:tab/>
        </w:r>
        <w:r>
          <w:rPr>
            <w:noProof/>
            <w:webHidden/>
          </w:rPr>
          <w:fldChar w:fldCharType="begin"/>
        </w:r>
        <w:r>
          <w:rPr>
            <w:noProof/>
            <w:webHidden/>
          </w:rPr>
          <w:instrText xml:space="preserve"> PAGEREF _Toc300001474 \h </w:instrText>
        </w:r>
        <w:r>
          <w:rPr>
            <w:noProof/>
            <w:webHidden/>
          </w:rPr>
          <w:fldChar w:fldCharType="separate"/>
        </w:r>
        <w:r>
          <w:rPr>
            <w:noProof/>
            <w:webHidden/>
          </w:rPr>
          <w:t>1680</w:t>
        </w:r>
        <w:r>
          <w:rPr>
            <w:noProof/>
            <w:webHidden/>
          </w:rPr>
          <w:fldChar w:fldCharType="end"/>
        </w:r>
      </w:hyperlink>
    </w:p>
    <w:p>
      <w:pPr>
        <w:pStyle w:val="TOC2"/>
      </w:pPr>
      <w:hyperlink w:anchor="_Toc300001475" w:history="1">
        <w:r>
          <w:rPr>
            <w:noProof/>
          </w:rPr>
          <w:t xml:space="preserve">Article 39.110: Border-AI Data Minimization and Purpose Limitation</w:t>
        </w:r>
        <w:r>
          <w:rPr>
            <w:noProof/>
            <w:webHidden/>
          </w:rPr>
          <w:tab/>
        </w:r>
        <w:r>
          <w:rPr>
            <w:noProof/>
            <w:webHidden/>
          </w:rPr>
          <w:fldChar w:fldCharType="begin"/>
        </w:r>
        <w:r>
          <w:rPr>
            <w:noProof/>
            <w:webHidden/>
          </w:rPr>
          <w:instrText xml:space="preserve"> PAGEREF _Toc300001475 \h </w:instrText>
        </w:r>
        <w:r>
          <w:rPr>
            <w:noProof/>
            <w:webHidden/>
          </w:rPr>
          <w:fldChar w:fldCharType="separate"/>
        </w:r>
        <w:r>
          <w:rPr>
            <w:noProof/>
            <w:webHidden/>
          </w:rPr>
          <w:t>1682</w:t>
        </w:r>
        <w:r>
          <w:rPr>
            <w:noProof/>
            <w:webHidden/>
          </w:rPr>
          <w:fldChar w:fldCharType="end"/>
        </w:r>
      </w:hyperlink>
    </w:p>
    <w:p>
      <w:pPr>
        <w:pStyle w:val="TOC2"/>
      </w:pPr>
      <w:hyperlink w:anchor="_Toc300001476" w:history="1">
        <w:r>
          <w:rPr>
            <w:noProof/>
          </w:rPr>
          <w:t xml:space="preserve">Article 39.111: Trade-AI Cloud, Compute and Data Portability</w:t>
        </w:r>
        <w:r>
          <w:rPr>
            <w:noProof/>
            <w:webHidden/>
          </w:rPr>
          <w:tab/>
        </w:r>
        <w:r>
          <w:rPr>
            <w:noProof/>
            <w:webHidden/>
          </w:rPr>
          <w:fldChar w:fldCharType="begin"/>
        </w:r>
        <w:r>
          <w:rPr>
            <w:noProof/>
            <w:webHidden/>
          </w:rPr>
          <w:instrText xml:space="preserve"> PAGEREF _Toc300001476 \h </w:instrText>
        </w:r>
        <w:r>
          <w:rPr>
            <w:noProof/>
            <w:webHidden/>
          </w:rPr>
          <w:fldChar w:fldCharType="separate"/>
        </w:r>
        <w:r>
          <w:rPr>
            <w:noProof/>
            <w:webHidden/>
          </w:rPr>
          <w:t>1684</w:t>
        </w:r>
        <w:r>
          <w:rPr>
            <w:noProof/>
            <w:webHidden/>
          </w:rPr>
          <w:fldChar w:fldCharType="end"/>
        </w:r>
      </w:hyperlink>
    </w:p>
    <w:p>
      <w:pPr>
        <w:pStyle w:val="TOC2"/>
      </w:pPr>
      <w:hyperlink w:anchor="_Toc300001477" w:history="1">
        <w:r>
          <w:rPr>
            <w:noProof/>
          </w:rPr>
          <w:t xml:space="preserve">Article 39.112: AI Trade Secrets and Model-Weight Protection</w:t>
        </w:r>
        <w:r>
          <w:rPr>
            <w:noProof/>
            <w:webHidden/>
          </w:rPr>
          <w:tab/>
        </w:r>
        <w:r>
          <w:rPr>
            <w:noProof/>
            <w:webHidden/>
          </w:rPr>
          <w:fldChar w:fldCharType="begin"/>
        </w:r>
        <w:r>
          <w:rPr>
            <w:noProof/>
            <w:webHidden/>
          </w:rPr>
          <w:instrText xml:space="preserve"> PAGEREF _Toc300001477 \h </w:instrText>
        </w:r>
        <w:r>
          <w:rPr>
            <w:noProof/>
            <w:webHidden/>
          </w:rPr>
          <w:fldChar w:fldCharType="separate"/>
        </w:r>
        <w:r>
          <w:rPr>
            <w:noProof/>
            <w:webHidden/>
          </w:rPr>
          <w:t>1686</w:t>
        </w:r>
        <w:r>
          <w:rPr>
            <w:noProof/>
            <w:webHidden/>
          </w:rPr>
          <w:fldChar w:fldCharType="end"/>
        </w:r>
      </w:hyperlink>
    </w:p>
    <w:p>
      <w:pPr>
        <w:pStyle w:val="TOC2"/>
      </w:pPr>
      <w:hyperlink w:anchor="_Toc300001478" w:history="1">
        <w:r>
          <w:rPr>
            <w:noProof/>
          </w:rPr>
          <w:t xml:space="preserve">Article 39.113: Controlled Regulatory Access to Protected AI Information</w:t>
        </w:r>
        <w:r>
          <w:rPr>
            <w:noProof/>
            <w:webHidden/>
          </w:rPr>
          <w:tab/>
        </w:r>
        <w:r>
          <w:rPr>
            <w:noProof/>
            <w:webHidden/>
          </w:rPr>
          <w:fldChar w:fldCharType="begin"/>
        </w:r>
        <w:r>
          <w:rPr>
            <w:noProof/>
            <w:webHidden/>
          </w:rPr>
          <w:instrText xml:space="preserve"> PAGEREF _Toc300001478 \h </w:instrText>
        </w:r>
        <w:r>
          <w:rPr>
            <w:noProof/>
            <w:webHidden/>
          </w:rPr>
          <w:fldChar w:fldCharType="separate"/>
        </w:r>
        <w:r>
          <w:rPr>
            <w:noProof/>
            <w:webHidden/>
          </w:rPr>
          <w:t>1688</w:t>
        </w:r>
        <w:r>
          <w:rPr>
            <w:noProof/>
            <w:webHidden/>
          </w:rPr>
          <w:fldChar w:fldCharType="end"/>
        </w:r>
      </w:hyperlink>
    </w:p>
    <w:p>
      <w:pPr>
        <w:pStyle w:val="TOC2"/>
      </w:pPr>
      <w:hyperlink w:anchor="_Toc300001479" w:history="1">
        <w:r>
          <w:rPr>
            <w:noProof/>
          </w:rPr>
          <w:t xml:space="preserve">Article 39.114: AI Fraud and Transshipment Detection</w:t>
        </w:r>
        <w:r>
          <w:rPr>
            <w:noProof/>
            <w:webHidden/>
          </w:rPr>
          <w:tab/>
        </w:r>
        <w:r>
          <w:rPr>
            <w:noProof/>
            <w:webHidden/>
          </w:rPr>
          <w:fldChar w:fldCharType="begin"/>
        </w:r>
        <w:r>
          <w:rPr>
            <w:noProof/>
            <w:webHidden/>
          </w:rPr>
          <w:instrText xml:space="preserve"> PAGEREF _Toc300001479 \h </w:instrText>
        </w:r>
        <w:r>
          <w:rPr>
            <w:noProof/>
            <w:webHidden/>
          </w:rPr>
          <w:fldChar w:fldCharType="separate"/>
        </w:r>
        <w:r>
          <w:rPr>
            <w:noProof/>
            <w:webHidden/>
          </w:rPr>
          <w:t>1689</w:t>
        </w:r>
        <w:r>
          <w:rPr>
            <w:noProof/>
            <w:webHidden/>
          </w:rPr>
          <w:fldChar w:fldCharType="end"/>
        </w:r>
      </w:hyperlink>
    </w:p>
    <w:p>
      <w:pPr>
        <w:pStyle w:val="TOC2"/>
      </w:pPr>
      <w:hyperlink w:anchor="_Toc300001480" w:history="1">
        <w:r>
          <w:rPr>
            <w:noProof/>
          </w:rPr>
          <w:t xml:space="preserve">Article 39.115: AI Document, Invoice and Identity Fraud Detection</w:t>
        </w:r>
        <w:r>
          <w:rPr>
            <w:noProof/>
            <w:webHidden/>
          </w:rPr>
          <w:tab/>
        </w:r>
        <w:r>
          <w:rPr>
            <w:noProof/>
            <w:webHidden/>
          </w:rPr>
          <w:fldChar w:fldCharType="begin"/>
        </w:r>
        <w:r>
          <w:rPr>
            <w:noProof/>
            <w:webHidden/>
          </w:rPr>
          <w:instrText xml:space="preserve"> PAGEREF _Toc300001480 \h </w:instrText>
        </w:r>
        <w:r>
          <w:rPr>
            <w:noProof/>
            <w:webHidden/>
          </w:rPr>
          <w:fldChar w:fldCharType="separate"/>
        </w:r>
        <w:r>
          <w:rPr>
            <w:noProof/>
            <w:webHidden/>
          </w:rPr>
          <w:t>1691</w:t>
        </w:r>
        <w:r>
          <w:rPr>
            <w:noProof/>
            <w:webHidden/>
          </w:rPr>
          <w:fldChar w:fldCharType="end"/>
        </w:r>
      </w:hyperlink>
    </w:p>
    <w:p>
      <w:pPr>
        <w:pStyle w:val="TOC2"/>
      </w:pPr>
      <w:hyperlink w:anchor="_Toc300001481" w:history="1">
        <w:r>
          <w:rPr>
            <w:noProof/>
          </w:rPr>
          <w:t xml:space="preserve">Article 39.116: Trade-AI Cybersecurity and Adversarial Resilience</w:t>
        </w:r>
        <w:r>
          <w:rPr>
            <w:noProof/>
            <w:webHidden/>
          </w:rPr>
          <w:tab/>
        </w:r>
        <w:r>
          <w:rPr>
            <w:noProof/>
            <w:webHidden/>
          </w:rPr>
          <w:fldChar w:fldCharType="begin"/>
        </w:r>
        <w:r>
          <w:rPr>
            <w:noProof/>
            <w:webHidden/>
          </w:rPr>
          <w:instrText xml:space="preserve"> PAGEREF _Toc300001481 \h </w:instrText>
        </w:r>
        <w:r>
          <w:rPr>
            <w:noProof/>
            <w:webHidden/>
          </w:rPr>
          <w:fldChar w:fldCharType="separate"/>
        </w:r>
        <w:r>
          <w:rPr>
            <w:noProof/>
            <w:webHidden/>
          </w:rPr>
          <w:t>1693</w:t>
        </w:r>
        <w:r>
          <w:rPr>
            <w:noProof/>
            <w:webHidden/>
          </w:rPr>
          <w:fldChar w:fldCharType="end"/>
        </w:r>
      </w:hyperlink>
    </w:p>
    <w:p>
      <w:pPr>
        <w:pStyle w:val="TOC2"/>
      </w:pPr>
      <w:hyperlink w:anchor="_Toc300001482" w:history="1">
        <w:r>
          <w:rPr>
            <w:noProof/>
          </w:rPr>
          <w:t xml:space="preserve">Article 39.117: Compromised Trade-AI System Recovery</w:t>
        </w:r>
        <w:r>
          <w:rPr>
            <w:noProof/>
            <w:webHidden/>
          </w:rPr>
          <w:tab/>
        </w:r>
        <w:r>
          <w:rPr>
            <w:noProof/>
            <w:webHidden/>
          </w:rPr>
          <w:fldChar w:fldCharType="begin"/>
        </w:r>
        <w:r>
          <w:rPr>
            <w:noProof/>
            <w:webHidden/>
          </w:rPr>
          <w:instrText xml:space="preserve"> PAGEREF _Toc300001482 \h </w:instrText>
        </w:r>
        <w:r>
          <w:rPr>
            <w:noProof/>
            <w:webHidden/>
          </w:rPr>
          <w:fldChar w:fldCharType="separate"/>
        </w:r>
        <w:r>
          <w:rPr>
            <w:noProof/>
            <w:webHidden/>
          </w:rPr>
          <w:t>1694</w:t>
        </w:r>
        <w:r>
          <w:rPr>
            <w:noProof/>
            <w:webHidden/>
          </w:rPr>
          <w:fldChar w:fldCharType="end"/>
        </w:r>
      </w:hyperlink>
    </w:p>
    <w:p>
      <w:pPr>
        <w:pStyle w:val="TOC2"/>
      </w:pPr>
      <w:hyperlink w:anchor="_Toc300001483" w:history="1">
        <w:r>
          <w:rPr>
            <w:noProof/>
          </w:rPr>
          <w:t xml:space="preserve">Article 39.118: AI Logistics and Port Resilience</w:t>
        </w:r>
        <w:r>
          <w:rPr>
            <w:noProof/>
            <w:webHidden/>
          </w:rPr>
          <w:tab/>
        </w:r>
        <w:r>
          <w:rPr>
            <w:noProof/>
            <w:webHidden/>
          </w:rPr>
          <w:fldChar w:fldCharType="begin"/>
        </w:r>
        <w:r>
          <w:rPr>
            <w:noProof/>
            <w:webHidden/>
          </w:rPr>
          <w:instrText xml:space="preserve"> PAGEREF _Toc300001483 \h </w:instrText>
        </w:r>
        <w:r>
          <w:rPr>
            <w:noProof/>
            <w:webHidden/>
          </w:rPr>
          <w:fldChar w:fldCharType="separate"/>
        </w:r>
        <w:r>
          <w:rPr>
            <w:noProof/>
            <w:webHidden/>
          </w:rPr>
          <w:t>1695</w:t>
        </w:r>
        <w:r>
          <w:rPr>
            <w:noProof/>
            <w:webHidden/>
          </w:rPr>
          <w:fldChar w:fldCharType="end"/>
        </w:r>
      </w:hyperlink>
    </w:p>
    <w:p>
      <w:pPr>
        <w:pStyle w:val="TOC2"/>
      </w:pPr>
      <w:hyperlink w:anchor="_Toc300001484" w:history="1">
        <w:r>
          <w:rPr>
            <w:noProof/>
          </w:rPr>
          <w:t xml:space="preserve">Article 39.119: Autonomous Cross-Border Road Freight</w:t>
        </w:r>
        <w:r>
          <w:rPr>
            <w:noProof/>
            <w:webHidden/>
          </w:rPr>
          <w:tab/>
        </w:r>
        <w:r>
          <w:rPr>
            <w:noProof/>
            <w:webHidden/>
          </w:rPr>
          <w:fldChar w:fldCharType="begin"/>
        </w:r>
        <w:r>
          <w:rPr>
            <w:noProof/>
            <w:webHidden/>
          </w:rPr>
          <w:instrText xml:space="preserve"> PAGEREF _Toc300001484 \h </w:instrText>
        </w:r>
        <w:r>
          <w:rPr>
            <w:noProof/>
            <w:webHidden/>
          </w:rPr>
          <w:fldChar w:fldCharType="separate"/>
        </w:r>
        <w:r>
          <w:rPr>
            <w:noProof/>
            <w:webHidden/>
          </w:rPr>
          <w:t>1696</w:t>
        </w:r>
        <w:r>
          <w:rPr>
            <w:noProof/>
            <w:webHidden/>
          </w:rPr>
          <w:fldChar w:fldCharType="end"/>
        </w:r>
      </w:hyperlink>
    </w:p>
    <w:p>
      <w:pPr>
        <w:pStyle w:val="TOC2"/>
      </w:pPr>
      <w:hyperlink w:anchor="_Toc300001485" w:history="1">
        <w:r>
          <w:rPr>
            <w:noProof/>
          </w:rPr>
          <w:t xml:space="preserve">Article 39.120: Autonomous Cross-Border Rail Freight</w:t>
        </w:r>
        <w:r>
          <w:rPr>
            <w:noProof/>
            <w:webHidden/>
          </w:rPr>
          <w:tab/>
        </w:r>
        <w:r>
          <w:rPr>
            <w:noProof/>
            <w:webHidden/>
          </w:rPr>
          <w:fldChar w:fldCharType="begin"/>
        </w:r>
        <w:r>
          <w:rPr>
            <w:noProof/>
            <w:webHidden/>
          </w:rPr>
          <w:instrText xml:space="preserve"> PAGEREF _Toc300001485 \h </w:instrText>
        </w:r>
        <w:r>
          <w:rPr>
            <w:noProof/>
            <w:webHidden/>
          </w:rPr>
          <w:fldChar w:fldCharType="separate"/>
        </w:r>
        <w:r>
          <w:rPr>
            <w:noProof/>
            <w:webHidden/>
          </w:rPr>
          <w:t>1697</w:t>
        </w:r>
        <w:r>
          <w:rPr>
            <w:noProof/>
            <w:webHidden/>
          </w:rPr>
          <w:fldChar w:fldCharType="end"/>
        </w:r>
      </w:hyperlink>
    </w:p>
    <w:p>
      <w:pPr>
        <w:pStyle w:val="TOC2"/>
      </w:pPr>
      <w:hyperlink w:anchor="_Toc300001486" w:history="1">
        <w:r>
          <w:rPr>
            <w:noProof/>
          </w:rPr>
          <w:t xml:space="preserve">Article 39.121: Autonomous Maritime and Port Cargo Systems</w:t>
        </w:r>
        <w:r>
          <w:rPr>
            <w:noProof/>
            <w:webHidden/>
          </w:rPr>
          <w:tab/>
        </w:r>
        <w:r>
          <w:rPr>
            <w:noProof/>
            <w:webHidden/>
          </w:rPr>
          <w:fldChar w:fldCharType="begin"/>
        </w:r>
        <w:r>
          <w:rPr>
            <w:noProof/>
            <w:webHidden/>
          </w:rPr>
          <w:instrText xml:space="preserve"> PAGEREF _Toc300001486 \h </w:instrText>
        </w:r>
        <w:r>
          <w:rPr>
            <w:noProof/>
            <w:webHidden/>
          </w:rPr>
          <w:fldChar w:fldCharType="separate"/>
        </w:r>
        <w:r>
          <w:rPr>
            <w:noProof/>
            <w:webHidden/>
          </w:rPr>
          <w:t>1698</w:t>
        </w:r>
        <w:r>
          <w:rPr>
            <w:noProof/>
            <w:webHidden/>
          </w:rPr>
          <w:fldChar w:fldCharType="end"/>
        </w:r>
      </w:hyperlink>
    </w:p>
    <w:p>
      <w:pPr>
        <w:pStyle w:val="TOC2"/>
      </w:pPr>
      <w:hyperlink w:anchor="_Toc300001487" w:history="1">
        <w:r>
          <w:rPr>
            <w:noProof/>
          </w:rPr>
          <w:t xml:space="preserve">Article 39.122: Autonomous Aviation and Cargo-Drone Trade</w:t>
        </w:r>
        <w:r>
          <w:rPr>
            <w:noProof/>
            <w:webHidden/>
          </w:rPr>
          <w:tab/>
        </w:r>
        <w:r>
          <w:rPr>
            <w:noProof/>
            <w:webHidden/>
          </w:rPr>
          <w:fldChar w:fldCharType="begin"/>
        </w:r>
        <w:r>
          <w:rPr>
            <w:noProof/>
            <w:webHidden/>
          </w:rPr>
          <w:instrText xml:space="preserve"> PAGEREF _Toc300001487 \h </w:instrText>
        </w:r>
        <w:r>
          <w:rPr>
            <w:noProof/>
            <w:webHidden/>
          </w:rPr>
          <w:fldChar w:fldCharType="separate"/>
        </w:r>
        <w:r>
          <w:rPr>
            <w:noProof/>
            <w:webHidden/>
          </w:rPr>
          <w:t>1699</w:t>
        </w:r>
        <w:r>
          <w:rPr>
            <w:noProof/>
            <w:webHidden/>
          </w:rPr>
          <w:fldChar w:fldCharType="end"/>
        </w:r>
      </w:hyperlink>
    </w:p>
    <w:p>
      <w:pPr>
        <w:pStyle w:val="TOC2"/>
      </w:pPr>
      <w:hyperlink w:anchor="_Toc300001488" w:history="1">
        <w:r>
          <w:rPr>
            <w:noProof/>
          </w:rPr>
          <w:t xml:space="preserve">Article 39.123: AI Trade-Measure Proportionality and Non-Discrimination</w:t>
        </w:r>
        <w:r>
          <w:rPr>
            <w:noProof/>
            <w:webHidden/>
          </w:rPr>
          <w:tab/>
        </w:r>
        <w:r>
          <w:rPr>
            <w:noProof/>
            <w:webHidden/>
          </w:rPr>
          <w:fldChar w:fldCharType="begin"/>
        </w:r>
        <w:r>
          <w:rPr>
            <w:noProof/>
            <w:webHidden/>
          </w:rPr>
          <w:instrText xml:space="preserve"> PAGEREF _Toc300001488 \h </w:instrText>
        </w:r>
        <w:r>
          <w:rPr>
            <w:noProof/>
            <w:webHidden/>
          </w:rPr>
          <w:fldChar w:fldCharType="separate"/>
        </w:r>
        <w:r>
          <w:rPr>
            <w:noProof/>
            <w:webHidden/>
          </w:rPr>
          <w:t>1700</w:t>
        </w:r>
        <w:r>
          <w:rPr>
            <w:noProof/>
            <w:webHidden/>
          </w:rPr>
          <w:fldChar w:fldCharType="end"/>
        </w:r>
      </w:hyperlink>
    </w:p>
    <w:p>
      <w:pPr>
        <w:pStyle w:val="TOC2"/>
      </w:pPr>
      <w:hyperlink w:anchor="_Toc300001489" w:history="1">
        <w:r>
          <w:rPr>
            <w:noProof/>
          </w:rPr>
          <w:t xml:space="preserve">Article 39.124: Expedited AI Regulatory Trade-Friction Consultation</w:t>
        </w:r>
        <w:r>
          <w:rPr>
            <w:noProof/>
            <w:webHidden/>
          </w:rPr>
          <w:tab/>
        </w:r>
        <w:r>
          <w:rPr>
            <w:noProof/>
            <w:webHidden/>
          </w:rPr>
          <w:fldChar w:fldCharType="begin"/>
        </w:r>
        <w:r>
          <w:rPr>
            <w:noProof/>
            <w:webHidden/>
          </w:rPr>
          <w:instrText xml:space="preserve"> PAGEREF _Toc300001489 \h </w:instrText>
        </w:r>
        <w:r>
          <w:rPr>
            <w:noProof/>
            <w:webHidden/>
          </w:rPr>
          <w:fldChar w:fldCharType="separate"/>
        </w:r>
        <w:r>
          <w:rPr>
            <w:noProof/>
            <w:webHidden/>
          </w:rPr>
          <w:t>1701</w:t>
        </w:r>
        <w:r>
          <w:rPr>
            <w:noProof/>
            <w:webHidden/>
          </w:rPr>
          <w:fldChar w:fldCharType="end"/>
        </w:r>
      </w:hyperlink>
    </w:p>
    <w:p>
      <w:pPr>
        <w:pStyle w:val="TOC2"/>
      </w:pPr>
      <w:hyperlink w:anchor="_Toc300001490" w:history="1">
        <w:r>
          <w:rPr>
            <w:noProof/>
          </w:rPr>
          <w:t xml:space="preserve">Article 39.125: AI Equivalence and Regulatory Reliance</w:t>
        </w:r>
        <w:r>
          <w:rPr>
            <w:noProof/>
            <w:webHidden/>
          </w:rPr>
          <w:tab/>
        </w:r>
        <w:r>
          <w:rPr>
            <w:noProof/>
            <w:webHidden/>
          </w:rPr>
          <w:fldChar w:fldCharType="begin"/>
        </w:r>
        <w:r>
          <w:rPr>
            <w:noProof/>
            <w:webHidden/>
          </w:rPr>
          <w:instrText xml:space="preserve"> PAGEREF _Toc300001490 \h </w:instrText>
        </w:r>
        <w:r>
          <w:rPr>
            <w:noProof/>
            <w:webHidden/>
          </w:rPr>
          <w:fldChar w:fldCharType="separate"/>
        </w:r>
        <w:r>
          <w:rPr>
            <w:noProof/>
            <w:webHidden/>
          </w:rPr>
          <w:t>1702</w:t>
        </w:r>
        <w:r>
          <w:rPr>
            <w:noProof/>
            <w:webHidden/>
          </w:rPr>
          <w:fldChar w:fldCharType="end"/>
        </w:r>
      </w:hyperlink>
    </w:p>
    <w:p>
      <w:pPr>
        <w:pStyle w:val="TOC2"/>
      </w:pPr>
      <w:hyperlink w:anchor="_Toc300001491" w:history="1">
        <w:r>
          <w:rPr>
            <w:noProof/>
          </w:rPr>
          <w:t xml:space="preserve">Article 39.126: AI Testing, Sandboxes and Conformity Evidence</w:t>
        </w:r>
        <w:r>
          <w:rPr>
            <w:noProof/>
            <w:webHidden/>
          </w:rPr>
          <w:tab/>
        </w:r>
        <w:r>
          <w:rPr>
            <w:noProof/>
            <w:webHidden/>
          </w:rPr>
          <w:fldChar w:fldCharType="begin"/>
        </w:r>
        <w:r>
          <w:rPr>
            <w:noProof/>
            <w:webHidden/>
          </w:rPr>
          <w:instrText xml:space="preserve"> PAGEREF _Toc300001491 \h </w:instrText>
        </w:r>
        <w:r>
          <w:rPr>
            <w:noProof/>
            <w:webHidden/>
          </w:rPr>
          <w:fldChar w:fldCharType="separate"/>
        </w:r>
        <w:r>
          <w:rPr>
            <w:noProof/>
            <w:webHidden/>
          </w:rPr>
          <w:t>1703</w:t>
        </w:r>
        <w:r>
          <w:rPr>
            <w:noProof/>
            <w:webHidden/>
          </w:rPr>
          <w:fldChar w:fldCharType="end"/>
        </w:r>
      </w:hyperlink>
    </w:p>
    <w:p>
      <w:pPr>
        <w:pStyle w:val="TOC2"/>
      </w:pPr>
      <w:hyperlink w:anchor="_Toc300001492" w:history="1">
        <w:r>
          <w:rPr>
            <w:noProof/>
          </w:rPr>
          <w:t xml:space="preserve">Article 39.127: AI-Trade Workforce Competence</w:t>
        </w:r>
        <w:r>
          <w:rPr>
            <w:noProof/>
            <w:webHidden/>
          </w:rPr>
          <w:tab/>
        </w:r>
        <w:r>
          <w:rPr>
            <w:noProof/>
            <w:webHidden/>
          </w:rPr>
          <w:fldChar w:fldCharType="begin"/>
        </w:r>
        <w:r>
          <w:rPr>
            <w:noProof/>
            <w:webHidden/>
          </w:rPr>
          <w:instrText xml:space="preserve"> PAGEREF _Toc300001492 \h </w:instrText>
        </w:r>
        <w:r>
          <w:rPr>
            <w:noProof/>
            <w:webHidden/>
          </w:rPr>
          <w:fldChar w:fldCharType="separate"/>
        </w:r>
        <w:r>
          <w:rPr>
            <w:noProof/>
            <w:webHidden/>
          </w:rPr>
          <w:t>1704</w:t>
        </w:r>
        <w:r>
          <w:rPr>
            <w:noProof/>
            <w:webHidden/>
          </w:rPr>
          <w:fldChar w:fldCharType="end"/>
        </w:r>
      </w:hyperlink>
    </w:p>
    <w:p>
      <w:pPr>
        <w:pStyle w:val="TOC2"/>
      </w:pPr>
      <w:hyperlink w:anchor="_Toc300001493" w:history="1">
        <w:r>
          <w:rPr>
            <w:noProof/>
          </w:rPr>
          <w:t xml:space="preserve">Article 39.128: Trader, SME and Broker AI Literacy</w:t>
        </w:r>
        <w:r>
          <w:rPr>
            <w:noProof/>
            <w:webHidden/>
          </w:rPr>
          <w:tab/>
        </w:r>
        <w:r>
          <w:rPr>
            <w:noProof/>
            <w:webHidden/>
          </w:rPr>
          <w:fldChar w:fldCharType="begin"/>
        </w:r>
        <w:r>
          <w:rPr>
            <w:noProof/>
            <w:webHidden/>
          </w:rPr>
          <w:instrText xml:space="preserve"> PAGEREF _Toc300001493 \h </w:instrText>
        </w:r>
        <w:r>
          <w:rPr>
            <w:noProof/>
            <w:webHidden/>
          </w:rPr>
          <w:fldChar w:fldCharType="separate"/>
        </w:r>
        <w:r>
          <w:rPr>
            <w:noProof/>
            <w:webHidden/>
          </w:rPr>
          <w:t>1705</w:t>
        </w:r>
        <w:r>
          <w:rPr>
            <w:noProof/>
            <w:webHidden/>
          </w:rPr>
          <w:fldChar w:fldCharType="end"/>
        </w:r>
      </w:hyperlink>
    </w:p>
    <w:p>
      <w:pPr>
        <w:pStyle w:val="TOC2"/>
      </w:pPr>
      <w:hyperlink w:anchor="_Toc300001494" w:history="1">
        <w:r>
          <w:rPr>
            <w:noProof/>
          </w:rPr>
          <w:t xml:space="preserve">Article 39.129: AI Investment, Procurement and Infrastructure Neutrality</w:t>
        </w:r>
        <w:r>
          <w:rPr>
            <w:noProof/>
            <w:webHidden/>
          </w:rPr>
          <w:tab/>
        </w:r>
        <w:r>
          <w:rPr>
            <w:noProof/>
            <w:webHidden/>
          </w:rPr>
          <w:fldChar w:fldCharType="begin"/>
        </w:r>
        <w:r>
          <w:rPr>
            <w:noProof/>
            <w:webHidden/>
          </w:rPr>
          <w:instrText xml:space="preserve"> PAGEREF _Toc300001494 \h </w:instrText>
        </w:r>
        <w:r>
          <w:rPr>
            <w:noProof/>
            <w:webHidden/>
          </w:rPr>
          <w:fldChar w:fldCharType="separate"/>
        </w:r>
        <w:r>
          <w:rPr>
            <w:noProof/>
            <w:webHidden/>
          </w:rPr>
          <w:t>1706</w:t>
        </w:r>
        <w:r>
          <w:rPr>
            <w:noProof/>
            <w:webHidden/>
          </w:rPr>
          <w:fldChar w:fldCharType="end"/>
        </w:r>
      </w:hyperlink>
    </w:p>
    <w:p>
      <w:pPr>
        <w:pStyle w:val="TOC2"/>
      </w:pPr>
      <w:hyperlink w:anchor="_Toc300001495" w:history="1">
        <w:r>
          <w:rPr>
            <w:noProof/>
          </w:rPr>
          <w:t xml:space="preserve">Article 39.130: AI-Trade Biennial Review and Update Mechanism</w:t>
        </w:r>
        <w:r>
          <w:rPr>
            <w:noProof/>
            <w:webHidden/>
          </w:rPr>
          <w:tab/>
        </w:r>
        <w:r>
          <w:rPr>
            <w:noProof/>
            <w:webHidden/>
          </w:rPr>
          <w:fldChar w:fldCharType="begin"/>
        </w:r>
        <w:r>
          <w:rPr>
            <w:noProof/>
            <w:webHidden/>
          </w:rPr>
          <w:instrText xml:space="preserve"> PAGEREF _Toc300001495 \h </w:instrText>
        </w:r>
        <w:r>
          <w:rPr>
            <w:noProof/>
            <w:webHidden/>
          </w:rPr>
          <w:fldChar w:fldCharType="separate"/>
        </w:r>
        <w:r>
          <w:rPr>
            <w:noProof/>
            <w:webHidden/>
          </w:rPr>
          <w:t>1707</w:t>
        </w:r>
        <w:r>
          <w:rPr>
            <w:noProof/>
            <w:webHidden/>
          </w:rPr>
          <w:fldChar w:fldCharType="end"/>
        </w:r>
      </w:hyperlink>
    </w:p>
    <w:p>
      <w:pPr>
        <w:pStyle w:val="TOC2"/>
      </w:pPr>
      <w:hyperlink w:anchor="_Toc300001496" w:history="1">
        <w:r>
          <w:rPr>
            <w:noProof/>
          </w:rPr>
          <w:t xml:space="preserve">Article 39.131: AI-Trade Administration, Optionality and Remedies</w:t>
        </w:r>
        <w:r>
          <w:rPr>
            <w:noProof/>
            <w:webHidden/>
          </w:rPr>
          <w:tab/>
        </w:r>
        <w:r>
          <w:rPr>
            <w:noProof/>
            <w:webHidden/>
          </w:rPr>
          <w:fldChar w:fldCharType="begin"/>
        </w:r>
        <w:r>
          <w:rPr>
            <w:noProof/>
            <w:webHidden/>
          </w:rPr>
          <w:instrText xml:space="preserve"> PAGEREF _Toc300001496 \h </w:instrText>
        </w:r>
        <w:r>
          <w:rPr>
            <w:noProof/>
            <w:webHidden/>
          </w:rPr>
          <w:fldChar w:fldCharType="separate"/>
        </w:r>
        <w:r>
          <w:rPr>
            <w:noProof/>
            <w:webHidden/>
          </w:rPr>
          <w:t>1708</w:t>
        </w:r>
        <w:r>
          <w:rPr>
            <w:noProof/>
            <w:webHidden/>
          </w:rPr>
          <w:fldChar w:fldCharType="end"/>
        </w:r>
      </w:hyperlink>
    </w:p>
    <w:p>
      <w:pPr>
        <w:pStyle w:val="TOC2"/>
      </w:pPr>
      <w:hyperlink w:anchor="_Toc300001497" w:history="1">
        <w:r>
          <w:rPr>
            <w:noProof/>
          </w:rPr>
          <w:t xml:space="preserve">Article 39.132: Relationship to Specialized Trade Chapters</w:t>
        </w:r>
        <w:r>
          <w:rPr>
            <w:noProof/>
            <w:webHidden/>
          </w:rPr>
          <w:tab/>
        </w:r>
        <w:r>
          <w:rPr>
            <w:noProof/>
            <w:webHidden/>
          </w:rPr>
          <w:fldChar w:fldCharType="begin"/>
        </w:r>
        <w:r>
          <w:rPr>
            <w:noProof/>
            <w:webHidden/>
          </w:rPr>
          <w:instrText xml:space="preserve"> PAGEREF _Toc300001497 \h </w:instrText>
        </w:r>
        <w:r>
          <w:rPr>
            <w:noProof/>
            <w:webHidden/>
          </w:rPr>
          <w:fldChar w:fldCharType="separate"/>
        </w:r>
        <w:r>
          <w:rPr>
            <w:noProof/>
            <w:webHidden/>
          </w:rPr>
          <w:t>1709</w:t>
        </w:r>
        <w:r>
          <w:rPr>
            <w:noProof/>
            <w:webHidden/>
          </w:rPr>
          <w:fldChar w:fldCharType="end"/>
        </w:r>
      </w:hyperlink>
    </w:p>
    <w:p>
      <w:pPr>
        <w:pStyle w:val="TOC1"/>
      </w:pPr>
      <w:hyperlink w:anchor="_Toc300001498" w:history="1">
        <w:r>
          <w:rPr>
            <w:noProof/>
          </w:rPr>
          <w:t xml:space="preserve">CHAPTER 40 ENERGY SECURITY AND GRID RESILIENCE</w:t>
        </w:r>
        <w:r>
          <w:rPr>
            <w:noProof/>
            <w:webHidden/>
          </w:rPr>
          <w:tab/>
        </w:r>
        <w:r>
          <w:rPr>
            <w:noProof/>
            <w:webHidden/>
          </w:rPr>
          <w:fldChar w:fldCharType="begin"/>
        </w:r>
        <w:r>
          <w:rPr>
            <w:noProof/>
            <w:webHidden/>
          </w:rPr>
          <w:instrText xml:space="preserve"> PAGEREF _Toc300001498 \h </w:instrText>
        </w:r>
        <w:r>
          <w:rPr>
            <w:noProof/>
            <w:webHidden/>
          </w:rPr>
          <w:fldChar w:fldCharType="separate"/>
        </w:r>
        <w:r>
          <w:rPr>
            <w:noProof/>
            <w:webHidden/>
          </w:rPr>
          <w:t>1710</w:t>
        </w:r>
        <w:r>
          <w:rPr>
            <w:noProof/>
            <w:webHidden/>
          </w:rPr>
          <w:fldChar w:fldCharType="end"/>
        </w:r>
      </w:hyperlink>
    </w:p>
    <w:p>
      <w:pPr>
        <w:pStyle w:val="TOC2"/>
      </w:pPr>
      <w:hyperlink w:anchor="_Toc300001499" w:history="1">
        <w:r>
          <w:rPr>
            <w:noProof/>
          </w:rPr>
          <w:t xml:space="preserve">Article 40.1: Purpose</w:t>
        </w:r>
        <w:r>
          <w:rPr>
            <w:noProof/>
            <w:webHidden/>
          </w:rPr>
          <w:tab/>
        </w:r>
        <w:r>
          <w:rPr>
            <w:noProof/>
            <w:webHidden/>
          </w:rPr>
          <w:fldChar w:fldCharType="begin"/>
        </w:r>
        <w:r>
          <w:rPr>
            <w:noProof/>
            <w:webHidden/>
          </w:rPr>
          <w:instrText xml:space="preserve"> PAGEREF _Toc300001499 \h </w:instrText>
        </w:r>
        <w:r>
          <w:rPr>
            <w:noProof/>
            <w:webHidden/>
          </w:rPr>
          <w:fldChar w:fldCharType="separate"/>
        </w:r>
        <w:r>
          <w:rPr>
            <w:noProof/>
            <w:webHidden/>
          </w:rPr>
          <w:t>1710</w:t>
        </w:r>
        <w:r>
          <w:rPr>
            <w:noProof/>
            <w:webHidden/>
          </w:rPr>
          <w:fldChar w:fldCharType="end"/>
        </w:r>
      </w:hyperlink>
    </w:p>
    <w:p>
      <w:pPr>
        <w:pStyle w:val="TOC2"/>
      </w:pPr>
      <w:hyperlink w:anchor="_Toc300001500" w:history="1">
        <w:r>
          <w:rPr>
            <w:noProof/>
          </w:rPr>
          <w:t xml:space="preserve">Article 40.2: Energy Trade</w:t>
        </w:r>
        <w:r>
          <w:rPr>
            <w:noProof/>
            <w:webHidden/>
          </w:rPr>
          <w:tab/>
        </w:r>
        <w:r>
          <w:rPr>
            <w:noProof/>
            <w:webHidden/>
          </w:rPr>
          <w:fldChar w:fldCharType="begin"/>
        </w:r>
        <w:r>
          <w:rPr>
            <w:noProof/>
            <w:webHidden/>
          </w:rPr>
          <w:instrText xml:space="preserve"> PAGEREF _Toc300001500 \h </w:instrText>
        </w:r>
        <w:r>
          <w:rPr>
            <w:noProof/>
            <w:webHidden/>
          </w:rPr>
          <w:fldChar w:fldCharType="separate"/>
        </w:r>
        <w:r>
          <w:rPr>
            <w:noProof/>
            <w:webHidden/>
          </w:rPr>
          <w:t>1710</w:t>
        </w:r>
        <w:r>
          <w:rPr>
            <w:noProof/>
            <w:webHidden/>
          </w:rPr>
          <w:fldChar w:fldCharType="end"/>
        </w:r>
      </w:hyperlink>
    </w:p>
    <w:p>
      <w:pPr>
        <w:pStyle w:val="TOC2"/>
      </w:pPr>
      <w:hyperlink w:anchor="_Toc300001501" w:history="1">
        <w:r>
          <w:rPr>
            <w:noProof/>
          </w:rPr>
          <w:t xml:space="preserve">Article 40.3: Grid Resilience</w:t>
        </w:r>
        <w:r>
          <w:rPr>
            <w:noProof/>
            <w:webHidden/>
          </w:rPr>
          <w:tab/>
        </w:r>
        <w:r>
          <w:rPr>
            <w:noProof/>
            <w:webHidden/>
          </w:rPr>
          <w:fldChar w:fldCharType="begin"/>
        </w:r>
        <w:r>
          <w:rPr>
            <w:noProof/>
            <w:webHidden/>
          </w:rPr>
          <w:instrText xml:space="preserve"> PAGEREF _Toc300001501 \h </w:instrText>
        </w:r>
        <w:r>
          <w:rPr>
            <w:noProof/>
            <w:webHidden/>
          </w:rPr>
          <w:fldChar w:fldCharType="separate"/>
        </w:r>
        <w:r>
          <w:rPr>
            <w:noProof/>
            <w:webHidden/>
          </w:rPr>
          <w:t>1710</w:t>
        </w:r>
        <w:r>
          <w:rPr>
            <w:noProof/>
            <w:webHidden/>
          </w:rPr>
          <w:fldChar w:fldCharType="end"/>
        </w:r>
      </w:hyperlink>
    </w:p>
    <w:p>
      <w:pPr>
        <w:pStyle w:val="TOC2"/>
      </w:pPr>
      <w:hyperlink w:anchor="_Toc300001502" w:history="1">
        <w:r>
          <w:rPr>
            <w:noProof/>
          </w:rPr>
          <w:t xml:space="preserve">Article 40.4: Critical Energy Equipment</w:t>
        </w:r>
        <w:r>
          <w:rPr>
            <w:noProof/>
            <w:webHidden/>
          </w:rPr>
          <w:tab/>
        </w:r>
        <w:r>
          <w:rPr>
            <w:noProof/>
            <w:webHidden/>
          </w:rPr>
          <w:fldChar w:fldCharType="begin"/>
        </w:r>
        <w:r>
          <w:rPr>
            <w:noProof/>
            <w:webHidden/>
          </w:rPr>
          <w:instrText xml:space="preserve"> PAGEREF _Toc300001502 \h </w:instrText>
        </w:r>
        <w:r>
          <w:rPr>
            <w:noProof/>
            <w:webHidden/>
          </w:rPr>
          <w:fldChar w:fldCharType="separate"/>
        </w:r>
        <w:r>
          <w:rPr>
            <w:noProof/>
            <w:webHidden/>
          </w:rPr>
          <w:t>1710</w:t>
        </w:r>
        <w:r>
          <w:rPr>
            <w:noProof/>
            <w:webHidden/>
          </w:rPr>
          <w:fldChar w:fldCharType="end"/>
        </w:r>
      </w:hyperlink>
    </w:p>
    <w:p>
      <w:pPr>
        <w:pStyle w:val="TOC2"/>
      </w:pPr>
      <w:hyperlink w:anchor="_Toc300001503" w:history="1">
        <w:r>
          <w:rPr>
            <w:noProof/>
          </w:rPr>
          <w:t xml:space="preserve">Article 40.5: New Energy Technologies</w:t>
        </w:r>
        <w:r>
          <w:rPr>
            <w:noProof/>
            <w:webHidden/>
          </w:rPr>
          <w:tab/>
        </w:r>
        <w:r>
          <w:rPr>
            <w:noProof/>
            <w:webHidden/>
          </w:rPr>
          <w:fldChar w:fldCharType="begin"/>
        </w:r>
        <w:r>
          <w:rPr>
            <w:noProof/>
            <w:webHidden/>
          </w:rPr>
          <w:instrText xml:space="preserve"> PAGEREF _Toc300001503 \h </w:instrText>
        </w:r>
        <w:r>
          <w:rPr>
            <w:noProof/>
            <w:webHidden/>
          </w:rPr>
          <w:fldChar w:fldCharType="separate"/>
        </w:r>
        <w:r>
          <w:rPr>
            <w:noProof/>
            <w:webHidden/>
          </w:rPr>
          <w:t>1711</w:t>
        </w:r>
        <w:r>
          <w:rPr>
            <w:noProof/>
            <w:webHidden/>
          </w:rPr>
          <w:fldChar w:fldCharType="end"/>
        </w:r>
      </w:hyperlink>
    </w:p>
    <w:p>
      <w:pPr>
        <w:pStyle w:val="TOC2"/>
      </w:pPr>
      <w:hyperlink w:anchor="_Toc300001504" w:history="1">
        <w:r>
          <w:rPr>
            <w:noProof/>
          </w:rPr>
          <w:t xml:space="preserve">Article 40.6: Non-Discrimination in Energy Markets</w:t>
        </w:r>
        <w:r>
          <w:rPr>
            <w:noProof/>
            <w:webHidden/>
          </w:rPr>
          <w:tab/>
        </w:r>
        <w:r>
          <w:rPr>
            <w:noProof/>
            <w:webHidden/>
          </w:rPr>
          <w:fldChar w:fldCharType="begin"/>
        </w:r>
        <w:r>
          <w:rPr>
            <w:noProof/>
            <w:webHidden/>
          </w:rPr>
          <w:instrText xml:space="preserve"> PAGEREF _Toc300001504 \h </w:instrText>
        </w:r>
        <w:r>
          <w:rPr>
            <w:noProof/>
            <w:webHidden/>
          </w:rPr>
          <w:fldChar w:fldCharType="separate"/>
        </w:r>
        <w:r>
          <w:rPr>
            <w:noProof/>
            <w:webHidden/>
          </w:rPr>
          <w:t>1711</w:t>
        </w:r>
        <w:r>
          <w:rPr>
            <w:noProof/>
            <w:webHidden/>
          </w:rPr>
          <w:fldChar w:fldCharType="end"/>
        </w:r>
      </w:hyperlink>
    </w:p>
    <w:p>
      <w:pPr>
        <w:pStyle w:val="TOC2"/>
      </w:pPr>
      <w:hyperlink w:anchor="_Toc300001505" w:history="1">
        <w:r>
          <w:rPr>
            <w:noProof/>
          </w:rPr>
          <w:t xml:space="preserve">Article 40.7: North American Energy, Compute and Storage Initiative</w:t>
        </w:r>
        <w:r>
          <w:rPr>
            <w:noProof/>
            <w:webHidden/>
          </w:rPr>
          <w:tab/>
        </w:r>
        <w:r>
          <w:rPr>
            <w:noProof/>
            <w:webHidden/>
          </w:rPr>
          <w:fldChar w:fldCharType="begin"/>
        </w:r>
        <w:r>
          <w:rPr>
            <w:noProof/>
            <w:webHidden/>
          </w:rPr>
          <w:instrText xml:space="preserve"> PAGEREF _Toc300001505 \h </w:instrText>
        </w:r>
        <w:r>
          <w:rPr>
            <w:noProof/>
            <w:webHidden/>
          </w:rPr>
          <w:fldChar w:fldCharType="separate"/>
        </w:r>
        <w:r>
          <w:rPr>
            <w:noProof/>
            <w:webHidden/>
          </w:rPr>
          <w:t>1711</w:t>
        </w:r>
        <w:r>
          <w:rPr>
            <w:noProof/>
            <w:webHidden/>
          </w:rPr>
          <w:fldChar w:fldCharType="end"/>
        </w:r>
      </w:hyperlink>
    </w:p>
    <w:p>
      <w:pPr>
        <w:pStyle w:val="TOC2"/>
      </w:pPr>
      <w:hyperlink w:anchor="_Toc300001506" w:history="1">
        <w:r>
          <w:rPr>
            <w:noProof/>
          </w:rPr>
          <w:t xml:space="preserve">Article 40.8: Principles for Energy-Intensive Digital Infrastructure</w:t>
        </w:r>
        <w:r>
          <w:rPr>
            <w:noProof/>
            <w:webHidden/>
          </w:rPr>
          <w:tab/>
        </w:r>
        <w:r>
          <w:rPr>
            <w:noProof/>
            <w:webHidden/>
          </w:rPr>
          <w:fldChar w:fldCharType="begin"/>
        </w:r>
        <w:r>
          <w:rPr>
            <w:noProof/>
            <w:webHidden/>
          </w:rPr>
          <w:instrText xml:space="preserve"> PAGEREF _Toc300001506 \h </w:instrText>
        </w:r>
        <w:r>
          <w:rPr>
            <w:noProof/>
            <w:webHidden/>
          </w:rPr>
          <w:fldChar w:fldCharType="separate"/>
        </w:r>
        <w:r>
          <w:rPr>
            <w:noProof/>
            <w:webHidden/>
          </w:rPr>
          <w:t>1711</w:t>
        </w:r>
        <w:r>
          <w:rPr>
            <w:noProof/>
            <w:webHidden/>
          </w:rPr>
          <w:fldChar w:fldCharType="end"/>
        </w:r>
      </w:hyperlink>
    </w:p>
    <w:p>
      <w:pPr>
        <w:pStyle w:val="TOC2"/>
      </w:pPr>
      <w:hyperlink w:anchor="_Toc300001507" w:history="1">
        <w:r>
          <w:rPr>
            <w:noProof/>
          </w:rPr>
          <w:t xml:space="preserve">Article 40.9: Build-the-Power-with-the-Load Principle</w:t>
        </w:r>
        <w:r>
          <w:rPr>
            <w:noProof/>
            <w:webHidden/>
          </w:rPr>
          <w:tab/>
        </w:r>
        <w:r>
          <w:rPr>
            <w:noProof/>
            <w:webHidden/>
          </w:rPr>
          <w:fldChar w:fldCharType="begin"/>
        </w:r>
        <w:r>
          <w:rPr>
            <w:noProof/>
            <w:webHidden/>
          </w:rPr>
          <w:instrText xml:space="preserve"> PAGEREF _Toc300001507 \h </w:instrText>
        </w:r>
        <w:r>
          <w:rPr>
            <w:noProof/>
            <w:webHidden/>
          </w:rPr>
          <w:fldChar w:fldCharType="separate"/>
        </w:r>
        <w:r>
          <w:rPr>
            <w:noProof/>
            <w:webHidden/>
          </w:rPr>
          <w:t>1712</w:t>
        </w:r>
        <w:r>
          <w:rPr>
            <w:noProof/>
            <w:webHidden/>
          </w:rPr>
          <w:fldChar w:fldCharType="end"/>
        </w:r>
      </w:hyperlink>
    </w:p>
    <w:p>
      <w:pPr>
        <w:pStyle w:val="TOC2"/>
      </w:pPr>
      <w:hyperlink w:anchor="_Toc300001508" w:history="1">
        <w:r>
          <w:rPr>
            <w:noProof/>
          </w:rPr>
          <w:t xml:space="preserve">Article 40.10: Strategic Compute and Energy Zones</w:t>
        </w:r>
        <w:r>
          <w:rPr>
            <w:noProof/>
            <w:webHidden/>
          </w:rPr>
          <w:tab/>
        </w:r>
        <w:r>
          <w:rPr>
            <w:noProof/>
            <w:webHidden/>
          </w:rPr>
          <w:fldChar w:fldCharType="begin"/>
        </w:r>
        <w:r>
          <w:rPr>
            <w:noProof/>
            <w:webHidden/>
          </w:rPr>
          <w:instrText xml:space="preserve"> PAGEREF _Toc300001508 \h </w:instrText>
        </w:r>
        <w:r>
          <w:rPr>
            <w:noProof/>
            <w:webHidden/>
          </w:rPr>
          <w:fldChar w:fldCharType="separate"/>
        </w:r>
        <w:r>
          <w:rPr>
            <w:noProof/>
            <w:webHidden/>
          </w:rPr>
          <w:t>1712</w:t>
        </w:r>
        <w:r>
          <w:rPr>
            <w:noProof/>
            <w:webHidden/>
          </w:rPr>
          <w:fldChar w:fldCharType="end"/>
        </w:r>
      </w:hyperlink>
    </w:p>
    <w:p>
      <w:pPr>
        <w:pStyle w:val="TOC2"/>
      </w:pPr>
      <w:hyperlink w:anchor="_Toc300001509" w:history="1">
        <w:r>
          <w:rPr>
            <w:noProof/>
          </w:rPr>
          <w:t xml:space="preserve">Article 40.11: Cross-Border Clean Power and Compute Corridors</w:t>
        </w:r>
        <w:r>
          <w:rPr>
            <w:noProof/>
            <w:webHidden/>
          </w:rPr>
          <w:tab/>
        </w:r>
        <w:r>
          <w:rPr>
            <w:noProof/>
            <w:webHidden/>
          </w:rPr>
          <w:fldChar w:fldCharType="begin"/>
        </w:r>
        <w:r>
          <w:rPr>
            <w:noProof/>
            <w:webHidden/>
          </w:rPr>
          <w:instrText xml:space="preserve"> PAGEREF _Toc300001509 \h </w:instrText>
        </w:r>
        <w:r>
          <w:rPr>
            <w:noProof/>
            <w:webHidden/>
          </w:rPr>
          <w:fldChar w:fldCharType="separate"/>
        </w:r>
        <w:r>
          <w:rPr>
            <w:noProof/>
            <w:webHidden/>
          </w:rPr>
          <w:t>1712</w:t>
        </w:r>
        <w:r>
          <w:rPr>
            <w:noProof/>
            <w:webHidden/>
          </w:rPr>
          <w:fldChar w:fldCharType="end"/>
        </w:r>
      </w:hyperlink>
    </w:p>
    <w:p>
      <w:pPr>
        <w:pStyle w:val="TOC2"/>
      </w:pPr>
      <w:hyperlink w:anchor="_Toc300001510" w:history="1">
        <w:r>
          <w:rPr>
            <w:noProof/>
          </w:rPr>
          <w:t xml:space="preserve">Article 40.12: Domestic Reliability and Anti-Crowding-Out Safeguard</w:t>
        </w:r>
        <w:r>
          <w:rPr>
            <w:noProof/>
            <w:webHidden/>
          </w:rPr>
          <w:tab/>
        </w:r>
        <w:r>
          <w:rPr>
            <w:noProof/>
            <w:webHidden/>
          </w:rPr>
          <w:fldChar w:fldCharType="begin"/>
        </w:r>
        <w:r>
          <w:rPr>
            <w:noProof/>
            <w:webHidden/>
          </w:rPr>
          <w:instrText xml:space="preserve"> PAGEREF _Toc300001510 \h </w:instrText>
        </w:r>
        <w:r>
          <w:rPr>
            <w:noProof/>
            <w:webHidden/>
          </w:rPr>
          <w:fldChar w:fldCharType="separate"/>
        </w:r>
        <w:r>
          <w:rPr>
            <w:noProof/>
            <w:webHidden/>
          </w:rPr>
          <w:t>1713</w:t>
        </w:r>
        <w:r>
          <w:rPr>
            <w:noProof/>
            <w:webHidden/>
          </w:rPr>
          <w:fldChar w:fldCharType="end"/>
        </w:r>
      </w:hyperlink>
    </w:p>
    <w:p>
      <w:pPr>
        <w:pStyle w:val="TOC2"/>
      </w:pPr>
      <w:hyperlink w:anchor="_Toc300001511" w:history="1">
        <w:r>
          <w:rPr>
            <w:noProof/>
          </w:rPr>
          <w:t xml:space="preserve">Article 40.13: Reciprocal Electricity Market Access</w:t>
        </w:r>
        <w:r>
          <w:rPr>
            <w:noProof/>
            <w:webHidden/>
          </w:rPr>
          <w:tab/>
        </w:r>
        <w:r>
          <w:rPr>
            <w:noProof/>
            <w:webHidden/>
          </w:rPr>
          <w:fldChar w:fldCharType="begin"/>
        </w:r>
        <w:r>
          <w:rPr>
            <w:noProof/>
            <w:webHidden/>
          </w:rPr>
          <w:instrText xml:space="preserve"> PAGEREF _Toc300001511 \h </w:instrText>
        </w:r>
        <w:r>
          <w:rPr>
            <w:noProof/>
            <w:webHidden/>
          </w:rPr>
          <w:fldChar w:fldCharType="separate"/>
        </w:r>
        <w:r>
          <w:rPr>
            <w:noProof/>
            <w:webHidden/>
          </w:rPr>
          <w:t>1713</w:t>
        </w:r>
        <w:r>
          <w:rPr>
            <w:noProof/>
            <w:webHidden/>
          </w:rPr>
          <w:fldChar w:fldCharType="end"/>
        </w:r>
      </w:hyperlink>
    </w:p>
    <w:p>
      <w:pPr>
        <w:pStyle w:val="TOC2"/>
      </w:pPr>
      <w:hyperlink w:anchor="_Toc300001512" w:history="1">
        <w:r>
          <w:rPr>
            <w:noProof/>
          </w:rPr>
          <w:t xml:space="preserve">Article 40.14: Transmission, Interconnection and Permitting Cooperation</w:t>
        </w:r>
        <w:r>
          <w:rPr>
            <w:noProof/>
            <w:webHidden/>
          </w:rPr>
          <w:tab/>
        </w:r>
        <w:r>
          <w:rPr>
            <w:noProof/>
            <w:webHidden/>
          </w:rPr>
          <w:fldChar w:fldCharType="begin"/>
        </w:r>
        <w:r>
          <w:rPr>
            <w:noProof/>
            <w:webHidden/>
          </w:rPr>
          <w:instrText xml:space="preserve"> PAGEREF _Toc300001512 \h </w:instrText>
        </w:r>
        <w:r>
          <w:rPr>
            <w:noProof/>
            <w:webHidden/>
          </w:rPr>
          <w:fldChar w:fldCharType="separate"/>
        </w:r>
        <w:r>
          <w:rPr>
            <w:noProof/>
            <w:webHidden/>
          </w:rPr>
          <w:t>1713</w:t>
        </w:r>
        <w:r>
          <w:rPr>
            <w:noProof/>
            <w:webHidden/>
          </w:rPr>
          <w:fldChar w:fldCharType="end"/>
        </w:r>
      </w:hyperlink>
    </w:p>
    <w:p>
      <w:pPr>
        <w:pStyle w:val="TOC2"/>
      </w:pPr>
      <w:hyperlink w:anchor="_Toc300001513" w:history="1">
        <w:r>
          <w:rPr>
            <w:noProof/>
          </w:rPr>
          <w:t xml:space="preserve">Article 40.15: Flexible Digital Load and Grid Services</w:t>
        </w:r>
        <w:r>
          <w:rPr>
            <w:noProof/>
            <w:webHidden/>
          </w:rPr>
          <w:tab/>
        </w:r>
        <w:r>
          <w:rPr>
            <w:noProof/>
            <w:webHidden/>
          </w:rPr>
          <w:fldChar w:fldCharType="begin"/>
        </w:r>
        <w:r>
          <w:rPr>
            <w:noProof/>
            <w:webHidden/>
          </w:rPr>
          <w:instrText xml:space="preserve"> PAGEREF _Toc300001513 \h </w:instrText>
        </w:r>
        <w:r>
          <w:rPr>
            <w:noProof/>
            <w:webHidden/>
          </w:rPr>
          <w:fldChar w:fldCharType="separate"/>
        </w:r>
        <w:r>
          <w:rPr>
            <w:noProof/>
            <w:webHidden/>
          </w:rPr>
          <w:t>1714</w:t>
        </w:r>
        <w:r>
          <w:rPr>
            <w:noProof/>
            <w:webHidden/>
          </w:rPr>
          <w:fldChar w:fldCharType="end"/>
        </w:r>
      </w:hyperlink>
    </w:p>
    <w:p>
      <w:pPr>
        <w:pStyle w:val="TOC2"/>
      </w:pPr>
      <w:hyperlink w:anchor="_Toc300001514" w:history="1">
        <w:r>
          <w:rPr>
            <w:noProof/>
          </w:rPr>
          <w:t xml:space="preserve">Article 40.16: Energy Storage and Long-Duration Flexibility</w:t>
        </w:r>
        <w:r>
          <w:rPr>
            <w:noProof/>
            <w:webHidden/>
          </w:rPr>
          <w:tab/>
        </w:r>
        <w:r>
          <w:rPr>
            <w:noProof/>
            <w:webHidden/>
          </w:rPr>
          <w:fldChar w:fldCharType="begin"/>
        </w:r>
        <w:r>
          <w:rPr>
            <w:noProof/>
            <w:webHidden/>
          </w:rPr>
          <w:instrText xml:space="preserve"> PAGEREF _Toc300001514 \h </w:instrText>
        </w:r>
        <w:r>
          <w:rPr>
            <w:noProof/>
            <w:webHidden/>
          </w:rPr>
          <w:fldChar w:fldCharType="separate"/>
        </w:r>
        <w:r>
          <w:rPr>
            <w:noProof/>
            <w:webHidden/>
          </w:rPr>
          <w:t>1714</w:t>
        </w:r>
        <w:r>
          <w:rPr>
            <w:noProof/>
            <w:webHidden/>
          </w:rPr>
          <w:fldChar w:fldCharType="end"/>
        </w:r>
      </w:hyperlink>
    </w:p>
    <w:p>
      <w:pPr>
        <w:pStyle w:val="TOC2"/>
      </w:pPr>
      <w:hyperlink w:anchor="_Toc300001515" w:history="1">
        <w:r>
          <w:rPr>
            <w:noProof/>
          </w:rPr>
          <w:t xml:space="preserve">Article 40.17: Advanced Storage and Thermal-Energy Demonstration Pathway</w:t>
        </w:r>
        <w:r>
          <w:rPr>
            <w:noProof/>
            <w:webHidden/>
          </w:rPr>
          <w:tab/>
        </w:r>
        <w:r>
          <w:rPr>
            <w:noProof/>
            <w:webHidden/>
          </w:rPr>
          <w:fldChar w:fldCharType="begin"/>
        </w:r>
        <w:r>
          <w:rPr>
            <w:noProof/>
            <w:webHidden/>
          </w:rPr>
          <w:instrText xml:space="preserve"> PAGEREF _Toc300001515 \h </w:instrText>
        </w:r>
        <w:r>
          <w:rPr>
            <w:noProof/>
            <w:webHidden/>
          </w:rPr>
          <w:fldChar w:fldCharType="separate"/>
        </w:r>
        <w:r>
          <w:rPr>
            <w:noProof/>
            <w:webHidden/>
          </w:rPr>
          <w:t>1714</w:t>
        </w:r>
        <w:r>
          <w:rPr>
            <w:noProof/>
            <w:webHidden/>
          </w:rPr>
          <w:fldChar w:fldCharType="end"/>
        </w:r>
      </w:hyperlink>
    </w:p>
    <w:p>
      <w:pPr>
        <w:pStyle w:val="TOC2"/>
      </w:pPr>
      <w:hyperlink w:anchor="_Toc300001516" w:history="1">
        <w:r>
          <w:rPr>
            <w:noProof/>
          </w:rPr>
          <w:t xml:space="preserve">Article 40.18: Curtailment-to-Storage and Surplus-Energy Utilization</w:t>
        </w:r>
        <w:r>
          <w:rPr>
            <w:noProof/>
            <w:webHidden/>
          </w:rPr>
          <w:tab/>
        </w:r>
        <w:r>
          <w:rPr>
            <w:noProof/>
            <w:webHidden/>
          </w:rPr>
          <w:fldChar w:fldCharType="begin"/>
        </w:r>
        <w:r>
          <w:rPr>
            <w:noProof/>
            <w:webHidden/>
          </w:rPr>
          <w:instrText xml:space="preserve"> PAGEREF _Toc300001516 \h </w:instrText>
        </w:r>
        <w:r>
          <w:rPr>
            <w:noProof/>
            <w:webHidden/>
          </w:rPr>
          <w:fldChar w:fldCharType="separate"/>
        </w:r>
        <w:r>
          <w:rPr>
            <w:noProof/>
            <w:webHidden/>
          </w:rPr>
          <w:t>1715</w:t>
        </w:r>
        <w:r>
          <w:rPr>
            <w:noProof/>
            <w:webHidden/>
          </w:rPr>
          <w:fldChar w:fldCharType="end"/>
        </w:r>
      </w:hyperlink>
    </w:p>
    <w:p>
      <w:pPr>
        <w:pStyle w:val="TOC2"/>
      </w:pPr>
      <w:hyperlink w:anchor="_Toc300001517" w:history="1">
        <w:r>
          <w:rPr>
            <w:noProof/>
          </w:rPr>
          <w:t xml:space="preserve">Article 40.19: Foreign Strategic Technology Integration</w:t>
        </w:r>
        <w:r>
          <w:rPr>
            <w:noProof/>
            <w:webHidden/>
          </w:rPr>
          <w:tab/>
        </w:r>
        <w:r>
          <w:rPr>
            <w:noProof/>
            <w:webHidden/>
          </w:rPr>
          <w:fldChar w:fldCharType="begin"/>
        </w:r>
        <w:r>
          <w:rPr>
            <w:noProof/>
            <w:webHidden/>
          </w:rPr>
          <w:instrText xml:space="preserve"> PAGEREF _Toc300001517 \h </w:instrText>
        </w:r>
        <w:r>
          <w:rPr>
            <w:noProof/>
            <w:webHidden/>
          </w:rPr>
          <w:fldChar w:fldCharType="separate"/>
        </w:r>
        <w:r>
          <w:rPr>
            <w:noProof/>
            <w:webHidden/>
          </w:rPr>
          <w:t>1715</w:t>
        </w:r>
        <w:r>
          <w:rPr>
            <w:noProof/>
            <w:webHidden/>
          </w:rPr>
          <w:fldChar w:fldCharType="end"/>
        </w:r>
      </w:hyperlink>
    </w:p>
    <w:p>
      <w:pPr>
        <w:pStyle w:val="TOC2"/>
      </w:pPr>
      <w:hyperlink w:anchor="_Toc300001518" w:history="1">
        <w:r>
          <w:rPr>
            <w:noProof/>
          </w:rPr>
          <w:t xml:space="preserve">Article 40.20: Critical Infrastructure Cybersecurity and Trusted Systems</w:t>
        </w:r>
        <w:r>
          <w:rPr>
            <w:noProof/>
            <w:webHidden/>
          </w:rPr>
          <w:tab/>
        </w:r>
        <w:r>
          <w:rPr>
            <w:noProof/>
            <w:webHidden/>
          </w:rPr>
          <w:fldChar w:fldCharType="begin"/>
        </w:r>
        <w:r>
          <w:rPr>
            <w:noProof/>
            <w:webHidden/>
          </w:rPr>
          <w:instrText xml:space="preserve"> PAGEREF _Toc300001518 \h </w:instrText>
        </w:r>
        <w:r>
          <w:rPr>
            <w:noProof/>
            <w:webHidden/>
          </w:rPr>
          <w:fldChar w:fldCharType="separate"/>
        </w:r>
        <w:r>
          <w:rPr>
            <w:noProof/>
            <w:webHidden/>
          </w:rPr>
          <w:t>1715</w:t>
        </w:r>
        <w:r>
          <w:rPr>
            <w:noProof/>
            <w:webHidden/>
          </w:rPr>
          <w:fldChar w:fldCharType="end"/>
        </w:r>
      </w:hyperlink>
    </w:p>
    <w:p>
      <w:pPr>
        <w:pStyle w:val="TOC2"/>
      </w:pPr>
      <w:hyperlink w:anchor="_Toc300001519" w:history="1">
        <w:r>
          <w:rPr>
            <w:noProof/>
          </w:rPr>
          <w:t xml:space="preserve">Article 40.21: Canadian, United States and Mexican Compute Access and Sovereignty</w:t>
        </w:r>
        <w:r>
          <w:rPr>
            <w:noProof/>
            <w:webHidden/>
          </w:rPr>
          <w:tab/>
        </w:r>
        <w:r>
          <w:rPr>
            <w:noProof/>
            <w:webHidden/>
          </w:rPr>
          <w:fldChar w:fldCharType="begin"/>
        </w:r>
        <w:r>
          <w:rPr>
            <w:noProof/>
            <w:webHidden/>
          </w:rPr>
          <w:instrText xml:space="preserve"> PAGEREF _Toc300001519 \h </w:instrText>
        </w:r>
        <w:r>
          <w:rPr>
            <w:noProof/>
            <w:webHidden/>
          </w:rPr>
          <w:fldChar w:fldCharType="separate"/>
        </w:r>
        <w:r>
          <w:rPr>
            <w:noProof/>
            <w:webHidden/>
          </w:rPr>
          <w:t>1716</w:t>
        </w:r>
        <w:r>
          <w:rPr>
            <w:noProof/>
            <w:webHidden/>
          </w:rPr>
          <w:fldChar w:fldCharType="end"/>
        </w:r>
      </w:hyperlink>
    </w:p>
    <w:p>
      <w:pPr>
        <w:pStyle w:val="TOC2"/>
      </w:pPr>
      <w:hyperlink w:anchor="_Toc300001520" w:history="1">
        <w:r>
          <w:rPr>
            <w:noProof/>
          </w:rPr>
          <w:t xml:space="preserve">Article 40.22: Fibre, Telecommunications and Data-Movement Resilience</w:t>
        </w:r>
        <w:r>
          <w:rPr>
            <w:noProof/>
            <w:webHidden/>
          </w:rPr>
          <w:tab/>
        </w:r>
        <w:r>
          <w:rPr>
            <w:noProof/>
            <w:webHidden/>
          </w:rPr>
          <w:fldChar w:fldCharType="begin"/>
        </w:r>
        <w:r>
          <w:rPr>
            <w:noProof/>
            <w:webHidden/>
          </w:rPr>
          <w:instrText xml:space="preserve"> PAGEREF _Toc300001520 \h </w:instrText>
        </w:r>
        <w:r>
          <w:rPr>
            <w:noProof/>
            <w:webHidden/>
          </w:rPr>
          <w:fldChar w:fldCharType="separate"/>
        </w:r>
        <w:r>
          <w:rPr>
            <w:noProof/>
            <w:webHidden/>
          </w:rPr>
          <w:t>1716</w:t>
        </w:r>
        <w:r>
          <w:rPr>
            <w:noProof/>
            <w:webHidden/>
          </w:rPr>
          <w:fldChar w:fldCharType="end"/>
        </w:r>
      </w:hyperlink>
    </w:p>
    <w:p>
      <w:pPr>
        <w:pStyle w:val="TOC2"/>
      </w:pPr>
      <w:hyperlink w:anchor="_Toc300001521" w:history="1">
        <w:r>
          <w:rPr>
            <w:noProof/>
          </w:rPr>
          <w:t xml:space="preserve">Article 40.23: Host-Community, Workforce and Indigenous Participation</w:t>
        </w:r>
        <w:r>
          <w:rPr>
            <w:noProof/>
            <w:webHidden/>
          </w:rPr>
          <w:tab/>
        </w:r>
        <w:r>
          <w:rPr>
            <w:noProof/>
            <w:webHidden/>
          </w:rPr>
          <w:fldChar w:fldCharType="begin"/>
        </w:r>
        <w:r>
          <w:rPr>
            <w:noProof/>
            <w:webHidden/>
          </w:rPr>
          <w:instrText xml:space="preserve"> PAGEREF _Toc300001521 \h </w:instrText>
        </w:r>
        <w:r>
          <w:rPr>
            <w:noProof/>
            <w:webHidden/>
          </w:rPr>
          <w:fldChar w:fldCharType="separate"/>
        </w:r>
        <w:r>
          <w:rPr>
            <w:noProof/>
            <w:webHidden/>
          </w:rPr>
          <w:t>1716</w:t>
        </w:r>
        <w:r>
          <w:rPr>
            <w:noProof/>
            <w:webHidden/>
          </w:rPr>
          <w:fldChar w:fldCharType="end"/>
        </w:r>
      </w:hyperlink>
    </w:p>
    <w:p>
      <w:pPr>
        <w:pStyle w:val="TOC2"/>
      </w:pPr>
      <w:hyperlink w:anchor="_Toc300001522" w:history="1">
        <w:r>
          <w:rPr>
            <w:noProof/>
          </w:rPr>
          <w:t xml:space="preserve">Article 40.24: Implementation, Metrics and Review</w:t>
        </w:r>
        <w:r>
          <w:rPr>
            <w:noProof/>
            <w:webHidden/>
          </w:rPr>
          <w:tab/>
        </w:r>
        <w:r>
          <w:rPr>
            <w:noProof/>
            <w:webHidden/>
          </w:rPr>
          <w:fldChar w:fldCharType="begin"/>
        </w:r>
        <w:r>
          <w:rPr>
            <w:noProof/>
            <w:webHidden/>
          </w:rPr>
          <w:instrText xml:space="preserve"> PAGEREF _Toc300001522 \h </w:instrText>
        </w:r>
        <w:r>
          <w:rPr>
            <w:noProof/>
            <w:webHidden/>
          </w:rPr>
          <w:fldChar w:fldCharType="separate"/>
        </w:r>
        <w:r>
          <w:rPr>
            <w:noProof/>
            <w:webHidden/>
          </w:rPr>
          <w:t>1717</w:t>
        </w:r>
        <w:r>
          <w:rPr>
            <w:noProof/>
            <w:webHidden/>
          </w:rPr>
          <w:fldChar w:fldCharType="end"/>
        </w:r>
      </w:hyperlink>
    </w:p>
    <w:p>
      <w:pPr>
        <w:pStyle w:val="TOC1"/>
      </w:pPr>
      <w:hyperlink w:anchor="_Toc300001523" w:history="1">
        <w:r>
          <w:rPr>
            <w:noProof/>
          </w:rPr>
          <w:t xml:space="preserve">ANNEX 40-A NORTH AMERICAN ENERGY, COMPUTE AND STORAGE IMPLEMENTATION FRAMEWORK</w:t>
        </w:r>
        <w:r>
          <w:rPr>
            <w:noProof/>
            <w:webHidden/>
          </w:rPr>
          <w:tab/>
        </w:r>
        <w:r>
          <w:rPr>
            <w:noProof/>
            <w:webHidden/>
          </w:rPr>
          <w:fldChar w:fldCharType="begin"/>
        </w:r>
        <w:r>
          <w:rPr>
            <w:noProof/>
            <w:webHidden/>
          </w:rPr>
          <w:instrText xml:space="preserve"> PAGEREF _Toc300001523 \h </w:instrText>
        </w:r>
        <w:r>
          <w:rPr>
            <w:noProof/>
            <w:webHidden/>
          </w:rPr>
          <w:fldChar w:fldCharType="separate"/>
        </w:r>
        <w:r>
          <w:rPr>
            <w:noProof/>
            <w:webHidden/>
          </w:rPr>
          <w:t>1718</w:t>
        </w:r>
        <w:r>
          <w:rPr>
            <w:noProof/>
            <w:webHidden/>
          </w:rPr>
          <w:fldChar w:fldCharType="end"/>
        </w:r>
      </w:hyperlink>
    </w:p>
    <w:p>
      <w:pPr>
        <w:pStyle w:val="TOC1"/>
      </w:pPr>
      <w:hyperlink w:anchor="_Toc300001524" w:history="1">
        <w:r>
          <w:rPr>
            <w:noProof/>
          </w:rPr>
          <w:t xml:space="preserve">ANNEX I-EXPLANATORY NOTE-2</w:t>
        </w:r>
        <w:r>
          <w:rPr>
            <w:noProof/>
            <w:webHidden/>
          </w:rPr>
          <w:tab/>
        </w:r>
        <w:r>
          <w:rPr>
            <w:noProof/>
            <w:webHidden/>
          </w:rPr>
          <w:fldChar w:fldCharType="begin"/>
        </w:r>
        <w:r>
          <w:rPr>
            <w:noProof/>
            <w:webHidden/>
          </w:rPr>
          <w:instrText xml:space="preserve"> PAGEREF _Toc300001524 \h </w:instrText>
        </w:r>
        <w:r>
          <w:rPr>
            <w:noProof/>
            <w:webHidden/>
          </w:rPr>
          <w:fldChar w:fldCharType="separate"/>
        </w:r>
        <w:r>
          <w:rPr>
            <w:noProof/>
            <w:webHidden/>
          </w:rPr>
          <w:t>1721</w:t>
        </w:r>
        <w:r>
          <w:rPr>
            <w:noProof/>
            <w:webHidden/>
          </w:rPr>
          <w:fldChar w:fldCharType="end"/>
        </w:r>
      </w:hyperlink>
    </w:p>
    <w:p>
      <w:pPr>
        <w:pStyle w:val="TOC1"/>
      </w:pPr>
      <w:hyperlink w:anchor="_Toc300001525" w:history="1">
        <w:r>
          <w:rPr>
            <w:noProof/>
          </w:rPr>
          <w:t xml:space="preserve">ANNEX I – CANADA – 38</w:t>
        </w:r>
        <w:r>
          <w:rPr>
            <w:noProof/>
            <w:webHidden/>
          </w:rPr>
          <w:tab/>
        </w:r>
        <w:r>
          <w:rPr>
            <w:noProof/>
            <w:webHidden/>
          </w:rPr>
          <w:fldChar w:fldCharType="begin"/>
        </w:r>
        <w:r>
          <w:rPr>
            <w:noProof/>
            <w:webHidden/>
          </w:rPr>
          <w:instrText xml:space="preserve"> PAGEREF _Toc300001525 \h </w:instrText>
        </w:r>
        <w:r>
          <w:rPr>
            <w:noProof/>
            <w:webHidden/>
          </w:rPr>
          <w:fldChar w:fldCharType="separate"/>
        </w:r>
        <w:r>
          <w:rPr>
            <w:noProof/>
            <w:webHidden/>
          </w:rPr>
          <w:t>1733</w:t>
        </w:r>
        <w:r>
          <w:rPr>
            <w:noProof/>
            <w:webHidden/>
          </w:rPr>
          <w:fldChar w:fldCharType="end"/>
        </w:r>
      </w:hyperlink>
    </w:p>
    <w:p>
      <w:pPr>
        <w:pStyle w:val="TOC1"/>
      </w:pPr>
      <w:hyperlink w:anchor="_Toc300001526" w:history="1">
        <w:r>
          <w:rPr>
            <w:noProof/>
          </w:rPr>
          <w:t xml:space="preserve">ANNEX I – MEXICO – 50</w:t>
        </w:r>
        <w:r>
          <w:rPr>
            <w:noProof/>
            <w:webHidden/>
          </w:rPr>
          <w:tab/>
        </w:r>
        <w:r>
          <w:rPr>
            <w:noProof/>
            <w:webHidden/>
          </w:rPr>
          <w:fldChar w:fldCharType="begin"/>
        </w:r>
        <w:r>
          <w:rPr>
            <w:noProof/>
            <w:webHidden/>
          </w:rPr>
          <w:instrText xml:space="preserve"> PAGEREF _Toc300001526 \h </w:instrText>
        </w:r>
        <w:r>
          <w:rPr>
            <w:noProof/>
            <w:webHidden/>
          </w:rPr>
          <w:fldChar w:fldCharType="separate"/>
        </w:r>
        <w:r>
          <w:rPr>
            <w:noProof/>
            <w:webHidden/>
          </w:rPr>
          <w:t>1751</w:t>
        </w:r>
        <w:r>
          <w:rPr>
            <w:noProof/>
            <w:webHidden/>
          </w:rPr>
          <w:fldChar w:fldCharType="end"/>
        </w:r>
      </w:hyperlink>
    </w:p>
    <w:p>
      <w:pPr>
        <w:pStyle w:val="TOC1"/>
      </w:pPr>
      <w:hyperlink w:anchor="_Toc300001527" w:history="1">
        <w:r>
          <w:rPr>
            <w:noProof/>
          </w:rPr>
          <w:t xml:space="preserve">ANNEX I – UNITED STATES – 1</w:t>
        </w:r>
        <w:r>
          <w:rPr>
            <w:noProof/>
            <w:webHidden/>
          </w:rPr>
          <w:tab/>
        </w:r>
        <w:r>
          <w:rPr>
            <w:noProof/>
            <w:webHidden/>
          </w:rPr>
          <w:fldChar w:fldCharType="begin"/>
        </w:r>
        <w:r>
          <w:rPr>
            <w:noProof/>
            <w:webHidden/>
          </w:rPr>
          <w:instrText xml:space="preserve"> PAGEREF _Toc300001527 \h </w:instrText>
        </w:r>
        <w:r>
          <w:rPr>
            <w:noProof/>
            <w:webHidden/>
          </w:rPr>
          <w:fldChar w:fldCharType="separate"/>
        </w:r>
        <w:r>
          <w:rPr>
            <w:noProof/>
            <w:webHidden/>
          </w:rPr>
          <w:t>1752</w:t>
        </w:r>
        <w:r>
          <w:rPr>
            <w:noProof/>
            <w:webHidden/>
          </w:rPr>
          <w:fldChar w:fldCharType="end"/>
        </w:r>
      </w:hyperlink>
    </w:p>
    <w:p>
      <w:pPr>
        <w:pStyle w:val="TOC1"/>
      </w:pPr>
      <w:hyperlink w:anchor="_Toc300001528" w:history="1">
        <w:r>
          <w:rPr>
            <w:noProof/>
          </w:rPr>
          <w:t xml:space="preserve">ANNEX I – UNITED STATES – 15 EXPLANATORY NOTE</w:t>
        </w:r>
        <w:r>
          <w:rPr>
            <w:noProof/>
            <w:webHidden/>
          </w:rPr>
          <w:tab/>
        </w:r>
        <w:r>
          <w:rPr>
            <w:noProof/>
            <w:webHidden/>
          </w:rPr>
          <w:fldChar w:fldCharType="begin"/>
        </w:r>
        <w:r>
          <w:rPr>
            <w:noProof/>
            <w:webHidden/>
          </w:rPr>
          <w:instrText xml:space="preserve"> PAGEREF _Toc300001528 \h </w:instrText>
        </w:r>
        <w:r>
          <w:rPr>
            <w:noProof/>
            <w:webHidden/>
          </w:rPr>
          <w:fldChar w:fldCharType="separate"/>
        </w:r>
        <w:r>
          <w:rPr>
            <w:noProof/>
            <w:webHidden/>
          </w:rPr>
          <w:t>1757</w:t>
        </w:r>
        <w:r>
          <w:rPr>
            <w:noProof/>
            <w:webHidden/>
          </w:rPr>
          <w:fldChar w:fldCharType="end"/>
        </w:r>
      </w:hyperlink>
    </w:p>
    <w:p>
      <w:pPr>
        <w:pStyle w:val="TOC1"/>
      </w:pPr>
      <w:hyperlink w:anchor="_Toc300001529" w:history="1">
        <w:r>
          <w:rPr>
            <w:noProof/>
          </w:rPr>
          <w:t xml:space="preserve">ANNEX II-EXPLANATORY NOTE-2</w:t>
        </w:r>
        <w:r>
          <w:rPr>
            <w:noProof/>
            <w:webHidden/>
          </w:rPr>
          <w:tab/>
        </w:r>
        <w:r>
          <w:rPr>
            <w:noProof/>
            <w:webHidden/>
          </w:rPr>
          <w:fldChar w:fldCharType="begin"/>
        </w:r>
        <w:r>
          <w:rPr>
            <w:noProof/>
            <w:webHidden/>
          </w:rPr>
          <w:instrText xml:space="preserve"> PAGEREF _Toc300001529 \h </w:instrText>
        </w:r>
        <w:r>
          <w:rPr>
            <w:noProof/>
            <w:webHidden/>
          </w:rPr>
          <w:fldChar w:fldCharType="separate"/>
        </w:r>
        <w:r>
          <w:rPr>
            <w:noProof/>
            <w:webHidden/>
          </w:rPr>
          <w:t>1758</w:t>
        </w:r>
        <w:r>
          <w:rPr>
            <w:noProof/>
            <w:webHidden/>
          </w:rPr>
          <w:fldChar w:fldCharType="end"/>
        </w:r>
      </w:hyperlink>
    </w:p>
    <w:p>
      <w:pPr>
        <w:pStyle w:val="TOC1"/>
      </w:pPr>
      <w:hyperlink w:anchor="_Toc300001530" w:history="1">
        <w:r>
          <w:rPr>
            <w:noProof/>
          </w:rPr>
          <w:t xml:space="preserve">ANNEX II – UNITED STATES – 5. Existing Measures:</w:t>
        </w:r>
        <w:r>
          <w:rPr>
            <w:noProof/>
            <w:webHidden/>
          </w:rPr>
          <w:tab/>
        </w:r>
        <w:r>
          <w:rPr>
            <w:noProof/>
            <w:webHidden/>
          </w:rPr>
          <w:fldChar w:fldCharType="begin"/>
        </w:r>
        <w:r>
          <w:rPr>
            <w:noProof/>
            <w:webHidden/>
          </w:rPr>
          <w:instrText xml:space="preserve"> PAGEREF _Toc300001530 \h </w:instrText>
        </w:r>
        <w:r>
          <w:rPr>
            <w:noProof/>
            <w:webHidden/>
          </w:rPr>
          <w:fldChar w:fldCharType="separate"/>
        </w:r>
        <w:r>
          <w:rPr>
            <w:noProof/>
            <w:webHidden/>
          </w:rPr>
          <w:t>1761</w:t>
        </w:r>
        <w:r>
          <w:rPr>
            <w:noProof/>
            <w:webHidden/>
          </w:rPr>
          <w:fldChar w:fldCharType="end"/>
        </w:r>
      </w:hyperlink>
    </w:p>
    <w:p>
      <w:pPr>
        <w:pStyle w:val="TOC1"/>
      </w:pPr>
      <w:hyperlink w:anchor="_Toc300001531" w:history="1">
        <w:r>
          <w:rPr>
            <w:noProof/>
          </w:rPr>
          <w:t xml:space="preserve">ANNEX II – CANADA – 19</w:t>
        </w:r>
        <w:r>
          <w:rPr>
            <w:noProof/>
            <w:webHidden/>
          </w:rPr>
          <w:tab/>
        </w:r>
        <w:r>
          <w:rPr>
            <w:noProof/>
            <w:webHidden/>
          </w:rPr>
          <w:fldChar w:fldCharType="begin"/>
        </w:r>
        <w:r>
          <w:rPr>
            <w:noProof/>
            <w:webHidden/>
          </w:rPr>
          <w:instrText xml:space="preserve"> PAGEREF _Toc300001531 \h </w:instrText>
        </w:r>
        <w:r>
          <w:rPr>
            <w:noProof/>
            <w:webHidden/>
          </w:rPr>
          <w:fldChar w:fldCharType="separate"/>
        </w:r>
        <w:r>
          <w:rPr>
            <w:noProof/>
            <w:webHidden/>
          </w:rPr>
          <w:t>1764</w:t>
        </w:r>
        <w:r>
          <w:rPr>
            <w:noProof/>
            <w:webHidden/>
          </w:rPr>
          <w:fldChar w:fldCharType="end"/>
        </w:r>
      </w:hyperlink>
    </w:p>
    <w:p>
      <w:pPr>
        <w:pStyle w:val="TOC1"/>
      </w:pPr>
      <w:hyperlink w:anchor="_Toc300001532" w:history="1">
        <w:r>
          <w:rPr>
            <w:noProof/>
          </w:rPr>
          <w:t xml:space="preserve">ANNEX II – MEXICO – 37</w:t>
        </w:r>
        <w:r>
          <w:rPr>
            <w:noProof/>
            <w:webHidden/>
          </w:rPr>
          <w:tab/>
        </w:r>
        <w:r>
          <w:rPr>
            <w:noProof/>
            <w:webHidden/>
          </w:rPr>
          <w:fldChar w:fldCharType="begin"/>
        </w:r>
        <w:r>
          <w:rPr>
            <w:noProof/>
            <w:webHidden/>
          </w:rPr>
          <w:instrText xml:space="preserve"> PAGEREF _Toc300001532 \h </w:instrText>
        </w:r>
        <w:r>
          <w:rPr>
            <w:noProof/>
            <w:webHidden/>
          </w:rPr>
          <w:fldChar w:fldCharType="separate"/>
        </w:r>
        <w:r>
          <w:rPr>
            <w:noProof/>
            <w:webHidden/>
          </w:rPr>
          <w:t>1779</w:t>
        </w:r>
        <w:r>
          <w:rPr>
            <w:noProof/>
            <w:webHidden/>
          </w:rPr>
          <w:fldChar w:fldCharType="end"/>
        </w:r>
      </w:hyperlink>
    </w:p>
    <w:p>
      <w:pPr>
        <w:pStyle w:val="TOC1"/>
      </w:pPr>
      <w:hyperlink w:anchor="_Toc300001533" w:history="1">
        <w:r>
          <w:rPr>
            <w:noProof/>
          </w:rPr>
          <w:t xml:space="preserve">ANNEX II – UNITED STATES – 15</w:t>
        </w:r>
        <w:r>
          <w:rPr>
            <w:noProof/>
            <w:webHidden/>
          </w:rPr>
          <w:tab/>
        </w:r>
        <w:r>
          <w:rPr>
            <w:noProof/>
            <w:webHidden/>
          </w:rPr>
          <w:fldChar w:fldCharType="begin"/>
        </w:r>
        <w:r>
          <w:rPr>
            <w:noProof/>
            <w:webHidden/>
          </w:rPr>
          <w:instrText xml:space="preserve"> PAGEREF _Toc300001533 \h </w:instrText>
        </w:r>
        <w:r>
          <w:rPr>
            <w:noProof/>
            <w:webHidden/>
          </w:rPr>
          <w:fldChar w:fldCharType="separate"/>
        </w:r>
        <w:r>
          <w:rPr>
            <w:noProof/>
            <w:webHidden/>
          </w:rPr>
          <w:t>1785</w:t>
        </w:r>
        <w:r>
          <w:rPr>
            <w:noProof/>
            <w:webHidden/>
          </w:rPr>
          <w:fldChar w:fldCharType="end"/>
        </w:r>
      </w:hyperlink>
    </w:p>
    <w:p>
      <w:pPr>
        <w:pStyle w:val="TOC1"/>
      </w:pPr>
      <w:hyperlink w:anchor="_Toc300001534" w:history="1">
        <w:r>
          <w:rPr>
            <w:noProof/>
          </w:rPr>
          <w:t xml:space="preserve">ANNEX III – EXPLANATORY NOTE – 3</w:t>
        </w:r>
        <w:r>
          <w:rPr>
            <w:noProof/>
            <w:webHidden/>
          </w:rPr>
          <w:tab/>
        </w:r>
        <w:r>
          <w:rPr>
            <w:noProof/>
            <w:webHidden/>
          </w:rPr>
          <w:fldChar w:fldCharType="begin"/>
        </w:r>
        <w:r>
          <w:rPr>
            <w:noProof/>
            <w:webHidden/>
          </w:rPr>
          <w:instrText xml:space="preserve"> PAGEREF _Toc300001534 \h </w:instrText>
        </w:r>
        <w:r>
          <w:rPr>
            <w:noProof/>
            <w:webHidden/>
          </w:rPr>
          <w:fldChar w:fldCharType="separate"/>
        </w:r>
        <w:r>
          <w:rPr>
            <w:noProof/>
            <w:webHidden/>
          </w:rPr>
          <w:t>1787</w:t>
        </w:r>
        <w:r>
          <w:rPr>
            <w:noProof/>
            <w:webHidden/>
          </w:rPr>
          <w:fldChar w:fldCharType="end"/>
        </w:r>
      </w:hyperlink>
    </w:p>
    <w:p>
      <w:pPr>
        <w:pStyle w:val="TOC1"/>
      </w:pPr>
      <w:hyperlink w:anchor="_Toc300001535" w:history="1">
        <w:r>
          <w:rPr>
            <w:noProof/>
          </w:rPr>
          <w:t xml:space="preserve">ANNEX III – CANADA – 13</w:t>
        </w:r>
        <w:r>
          <w:rPr>
            <w:noProof/>
            <w:webHidden/>
          </w:rPr>
          <w:tab/>
        </w:r>
        <w:r>
          <w:rPr>
            <w:noProof/>
            <w:webHidden/>
          </w:rPr>
          <w:fldChar w:fldCharType="begin"/>
        </w:r>
        <w:r>
          <w:rPr>
            <w:noProof/>
            <w:webHidden/>
          </w:rPr>
          <w:instrText xml:space="preserve"> PAGEREF _Toc300001535 \h </w:instrText>
        </w:r>
        <w:r>
          <w:rPr>
            <w:noProof/>
            <w:webHidden/>
          </w:rPr>
          <w:fldChar w:fldCharType="separate"/>
        </w:r>
        <w:r>
          <w:rPr>
            <w:noProof/>
            <w:webHidden/>
          </w:rPr>
          <w:t>1790</w:t>
        </w:r>
        <w:r>
          <w:rPr>
            <w:noProof/>
            <w:webHidden/>
          </w:rPr>
          <w:fldChar w:fldCharType="end"/>
        </w:r>
      </w:hyperlink>
    </w:p>
    <w:p>
      <w:pPr>
        <w:pStyle w:val="TOC1"/>
      </w:pPr>
      <w:hyperlink w:anchor="_Toc300001536" w:history="1">
        <w:r>
          <w:rPr>
            <w:noProof/>
          </w:rPr>
          <w:t xml:space="preserve">ANNEX III – MEXICO – 17</w:t>
        </w:r>
        <w:r>
          <w:rPr>
            <w:noProof/>
            <w:webHidden/>
          </w:rPr>
          <w:tab/>
        </w:r>
        <w:r>
          <w:rPr>
            <w:noProof/>
            <w:webHidden/>
          </w:rPr>
          <w:fldChar w:fldCharType="begin"/>
        </w:r>
        <w:r>
          <w:rPr>
            <w:noProof/>
            <w:webHidden/>
          </w:rPr>
          <w:instrText xml:space="preserve"> PAGEREF _Toc300001536 \h </w:instrText>
        </w:r>
        <w:r>
          <w:rPr>
            <w:noProof/>
            <w:webHidden/>
          </w:rPr>
          <w:fldChar w:fldCharType="separate"/>
        </w:r>
        <w:r>
          <w:rPr>
            <w:noProof/>
            <w:webHidden/>
          </w:rPr>
          <w:t>1796</w:t>
        </w:r>
        <w:r>
          <w:rPr>
            <w:noProof/>
            <w:webHidden/>
          </w:rPr>
          <w:fldChar w:fldCharType="end"/>
        </w:r>
      </w:hyperlink>
    </w:p>
    <w:p>
      <w:pPr>
        <w:pStyle w:val="TOC1"/>
      </w:pPr>
      <w:hyperlink w:anchor="_Toc300001537" w:history="1">
        <w:r>
          <w:rPr>
            <w:noProof/>
          </w:rPr>
          <w:t xml:space="preserve">ANNEX III – MEXICO – 23</w:t>
        </w:r>
        <w:r>
          <w:rPr>
            <w:noProof/>
            <w:webHidden/>
          </w:rPr>
          <w:tab/>
        </w:r>
        <w:r>
          <w:rPr>
            <w:noProof/>
            <w:webHidden/>
          </w:rPr>
          <w:fldChar w:fldCharType="begin"/>
        </w:r>
        <w:r>
          <w:rPr>
            <w:noProof/>
            <w:webHidden/>
          </w:rPr>
          <w:instrText xml:space="preserve"> PAGEREF _Toc300001537 \h </w:instrText>
        </w:r>
        <w:r>
          <w:rPr>
            <w:noProof/>
            <w:webHidden/>
          </w:rPr>
          <w:fldChar w:fldCharType="separate"/>
        </w:r>
        <w:r>
          <w:rPr>
            <w:noProof/>
            <w:webHidden/>
          </w:rPr>
          <w:t>1798</w:t>
        </w:r>
        <w:r>
          <w:rPr>
            <w:noProof/>
            <w:webHidden/>
          </w:rPr>
          <w:fldChar w:fldCharType="end"/>
        </w:r>
      </w:hyperlink>
    </w:p>
    <w:p>
      <w:pPr>
        <w:pStyle w:val="TOC1"/>
      </w:pPr>
      <w:hyperlink w:anchor="_Toc300001538" w:history="1">
        <w:r>
          <w:rPr>
            <w:noProof/>
          </w:rPr>
          <w:t xml:space="preserve">ANNEX III – UNITED STATES – 2</w:t>
        </w:r>
        <w:r>
          <w:rPr>
            <w:noProof/>
            <w:webHidden/>
          </w:rPr>
          <w:tab/>
        </w:r>
        <w:r>
          <w:rPr>
            <w:noProof/>
            <w:webHidden/>
          </w:rPr>
          <w:fldChar w:fldCharType="begin"/>
        </w:r>
        <w:r>
          <w:rPr>
            <w:noProof/>
            <w:webHidden/>
          </w:rPr>
          <w:instrText xml:space="preserve"> PAGEREF _Toc300001538 \h </w:instrText>
        </w:r>
        <w:r>
          <w:rPr>
            <w:noProof/>
            <w:webHidden/>
          </w:rPr>
          <w:fldChar w:fldCharType="separate"/>
        </w:r>
        <w:r>
          <w:rPr>
            <w:noProof/>
            <w:webHidden/>
          </w:rPr>
          <w:t>1799</w:t>
        </w:r>
        <w:r>
          <w:rPr>
            <w:noProof/>
            <w:webHidden/>
          </w:rPr>
          <w:fldChar w:fldCharType="end"/>
        </w:r>
      </w:hyperlink>
    </w:p>
    <w:p>
      <w:pPr>
        <w:pStyle w:val="TOC1"/>
      </w:pPr>
      <w:hyperlink w:anchor="_Toc300001539" w:history="1">
        <w:r>
          <w:rPr>
            <w:noProof/>
          </w:rPr>
          <w:t xml:space="preserve">ANNEX III – UNITED STATES – 26</w:t>
        </w:r>
        <w:r>
          <w:rPr>
            <w:noProof/>
            <w:webHidden/>
          </w:rPr>
          <w:tab/>
        </w:r>
        <w:r>
          <w:rPr>
            <w:noProof/>
            <w:webHidden/>
          </w:rPr>
          <w:fldChar w:fldCharType="begin"/>
        </w:r>
        <w:r>
          <w:rPr>
            <w:noProof/>
            <w:webHidden/>
          </w:rPr>
          <w:instrText xml:space="preserve"> PAGEREF _Toc300001539 \h </w:instrText>
        </w:r>
        <w:r>
          <w:rPr>
            <w:noProof/>
            <w:webHidden/>
          </w:rPr>
          <w:fldChar w:fldCharType="separate"/>
        </w:r>
        <w:r>
          <w:rPr>
            <w:noProof/>
            <w:webHidden/>
          </w:rPr>
          <w:t>1805</w:t>
        </w:r>
        <w:r>
          <w:rPr>
            <w:noProof/>
            <w:webHidden/>
          </w:rPr>
          <w:fldChar w:fldCharType="end"/>
        </w:r>
      </w:hyperlink>
    </w:p>
    <w:p>
      <w:pPr>
        <w:pStyle w:val="TOC1"/>
      </w:pPr>
      <w:hyperlink w:anchor="_Toc300001540" w:history="1">
        <w:r>
          <w:rPr>
            <w:noProof/>
          </w:rPr>
          <w:t xml:space="preserve">ANNEX III – UNITED STATES – 28</w:t>
        </w:r>
        <w:r>
          <w:rPr>
            <w:noProof/>
            <w:webHidden/>
          </w:rPr>
          <w:tab/>
        </w:r>
        <w:r>
          <w:rPr>
            <w:noProof/>
            <w:webHidden/>
          </w:rPr>
          <w:fldChar w:fldCharType="begin"/>
        </w:r>
        <w:r>
          <w:rPr>
            <w:noProof/>
            <w:webHidden/>
          </w:rPr>
          <w:instrText xml:space="preserve"> PAGEREF _Toc300001540 \h </w:instrText>
        </w:r>
        <w:r>
          <w:rPr>
            <w:noProof/>
            <w:webHidden/>
          </w:rPr>
          <w:fldChar w:fldCharType="separate"/>
        </w:r>
        <w:r>
          <w:rPr>
            <w:noProof/>
            <w:webHidden/>
          </w:rPr>
          <w:t>1806</w:t>
        </w:r>
        <w:r>
          <w:rPr>
            <w:noProof/>
            <w:webHidden/>
          </w:rPr>
          <w:fldChar w:fldCharType="end"/>
        </w:r>
      </w:hyperlink>
    </w:p>
    <w:p>
      <w:pPr>
        <w:pStyle w:val="TOC1"/>
      </w:pPr>
      <w:hyperlink w:anchor="_Toc300001541" w:history="1">
        <w:r>
          <w:rPr>
            <w:noProof/>
          </w:rPr>
          <w:t xml:space="preserve">ANNEX IV – UNITED STATES – 4</w:t>
        </w:r>
        <w:r>
          <w:rPr>
            <w:noProof/>
            <w:webHidden/>
          </w:rPr>
          <w:tab/>
        </w:r>
        <w:r>
          <w:rPr>
            <w:noProof/>
            <w:webHidden/>
          </w:rPr>
          <w:fldChar w:fldCharType="begin"/>
        </w:r>
        <w:r>
          <w:rPr>
            <w:noProof/>
            <w:webHidden/>
          </w:rPr>
          <w:instrText xml:space="preserve"> PAGEREF _Toc300001541 \h </w:instrText>
        </w:r>
        <w:r>
          <w:rPr>
            <w:noProof/>
            <w:webHidden/>
          </w:rPr>
          <w:fldChar w:fldCharType="separate"/>
        </w:r>
        <w:r>
          <w:rPr>
            <w:noProof/>
            <w:webHidden/>
          </w:rPr>
          <w:t>1815</w:t>
        </w:r>
        <w:r>
          <w:rPr>
            <w:noProof/>
            <w:webHidden/>
          </w:rPr>
          <w:fldChar w:fldCharType="end"/>
        </w:r>
      </w:hyperlink>
    </w:p>
    <w:p>
      <w:pPr>
        <w:pStyle w:val="TOC2"/>
      </w:pPr>
      <w:hyperlink w:anchor="_Toc300001542" w:history="1">
        <w:r>
          <w:rPr>
            <w:noProof/>
          </w:rPr>
          <w:t xml:space="preserve">Article 40.25: North American Energy Capacity and Corridor Optionality</w:t>
        </w:r>
        <w:r>
          <w:rPr>
            <w:noProof/>
            <w:webHidden/>
          </w:rPr>
          <w:tab/>
        </w:r>
        <w:r>
          <w:rPr>
            <w:noProof/>
            <w:webHidden/>
          </w:rPr>
          <w:fldChar w:fldCharType="begin"/>
        </w:r>
        <w:r>
          <w:rPr>
            <w:noProof/>
            <w:webHidden/>
          </w:rPr>
          <w:instrText xml:space="preserve"> PAGEREF _Toc300001542 \h </w:instrText>
        </w:r>
        <w:r>
          <w:rPr>
            <w:noProof/>
            <w:webHidden/>
          </w:rPr>
          <w:fldChar w:fldCharType="separate"/>
        </w:r>
        <w:r>
          <w:rPr>
            <w:noProof/>
            <w:webHidden/>
          </w:rPr>
          <w:t>1815</w:t>
        </w:r>
        <w:r>
          <w:rPr>
            <w:noProof/>
            <w:webHidden/>
          </w:rPr>
          <w:fldChar w:fldCharType="end"/>
        </w:r>
      </w:hyperlink>
    </w:p>
    <w:p>
      <w:pPr>
        <w:pStyle w:val="TOC2"/>
      </w:pPr>
      <w:hyperlink w:anchor="_Toc300001543" w:history="1">
        <w:r>
          <w:rPr>
            <w:noProof/>
          </w:rPr>
          <w:t xml:space="preserve">Article 40.26: No Named-Project Obligation</w:t>
        </w:r>
        <w:r>
          <w:rPr>
            <w:noProof/>
            <w:webHidden/>
          </w:rPr>
          <w:tab/>
        </w:r>
        <w:r>
          <w:rPr>
            <w:noProof/>
            <w:webHidden/>
          </w:rPr>
          <w:fldChar w:fldCharType="begin"/>
        </w:r>
        <w:r>
          <w:rPr>
            <w:noProof/>
            <w:webHidden/>
          </w:rPr>
          <w:instrText xml:space="preserve"> PAGEREF _Toc300001543 \h </w:instrText>
        </w:r>
        <w:r>
          <w:rPr>
            <w:noProof/>
            <w:webHidden/>
          </w:rPr>
          <w:fldChar w:fldCharType="separate"/>
        </w:r>
        <w:r>
          <w:rPr>
            <w:noProof/>
            <w:webHidden/>
          </w:rPr>
          <w:t>1815</w:t>
        </w:r>
        <w:r>
          <w:rPr>
            <w:noProof/>
            <w:webHidden/>
          </w:rPr>
          <w:fldChar w:fldCharType="end"/>
        </w:r>
      </w:hyperlink>
    </w:p>
    <w:p>
      <w:pPr>
        <w:pStyle w:val="TOC2"/>
      </w:pPr>
      <w:hyperlink w:anchor="_Toc300001544" w:history="1">
        <w:r>
          <w:rPr>
            <w:noProof/>
          </w:rPr>
          <w:t xml:space="preserve">Article 40.27: Functional Equivalence and Portfolio Satisfaction</w:t>
        </w:r>
        <w:r>
          <w:rPr>
            <w:noProof/>
            <w:webHidden/>
          </w:rPr>
          <w:tab/>
        </w:r>
        <w:r>
          <w:rPr>
            <w:noProof/>
            <w:webHidden/>
          </w:rPr>
          <w:fldChar w:fldCharType="begin"/>
        </w:r>
        <w:r>
          <w:rPr>
            <w:noProof/>
            <w:webHidden/>
          </w:rPr>
          <w:instrText xml:space="preserve"> PAGEREF _Toc300001544 \h </w:instrText>
        </w:r>
        <w:r>
          <w:rPr>
            <w:noProof/>
            <w:webHidden/>
          </w:rPr>
          <w:fldChar w:fldCharType="separate"/>
        </w:r>
        <w:r>
          <w:rPr>
            <w:noProof/>
            <w:webHidden/>
          </w:rPr>
          <w:t>1815</w:t>
        </w:r>
        <w:r>
          <w:rPr>
            <w:noProof/>
            <w:webHidden/>
          </w:rPr>
          <w:fldChar w:fldCharType="end"/>
        </w:r>
      </w:hyperlink>
    </w:p>
    <w:p>
      <w:pPr>
        <w:pStyle w:val="TOC2"/>
      </w:pPr>
      <w:hyperlink w:anchor="_Toc300001545" w:history="1">
        <w:r>
          <w:rPr>
            <w:noProof/>
          </w:rPr>
          <w:t xml:space="preserve">Article 40.28: Existing Corridor Capacity Enhancement</w:t>
        </w:r>
        <w:r>
          <w:rPr>
            <w:noProof/>
            <w:webHidden/>
          </w:rPr>
          <w:tab/>
        </w:r>
        <w:r>
          <w:rPr>
            <w:noProof/>
            <w:webHidden/>
          </w:rPr>
          <w:fldChar w:fldCharType="begin"/>
        </w:r>
        <w:r>
          <w:rPr>
            <w:noProof/>
            <w:webHidden/>
          </w:rPr>
          <w:instrText xml:space="preserve"> PAGEREF _Toc300001545 \h </w:instrText>
        </w:r>
        <w:r>
          <w:rPr>
            <w:noProof/>
            <w:webHidden/>
          </w:rPr>
          <w:fldChar w:fldCharType="separate"/>
        </w:r>
        <w:r>
          <w:rPr>
            <w:noProof/>
            <w:webHidden/>
          </w:rPr>
          <w:t>1816</w:t>
        </w:r>
        <w:r>
          <w:rPr>
            <w:noProof/>
            <w:webHidden/>
          </w:rPr>
          <w:fldChar w:fldCharType="end"/>
        </w:r>
      </w:hyperlink>
    </w:p>
    <w:p>
      <w:pPr>
        <w:pStyle w:val="TOC2"/>
      </w:pPr>
      <w:hyperlink w:anchor="_Toc300001546" w:history="1">
        <w:r>
          <w:rPr>
            <w:noProof/>
          </w:rPr>
          <w:t xml:space="preserve">Article 40.29: Predictable Cross-Border Energy Project Review</w:t>
        </w:r>
        <w:r>
          <w:rPr>
            <w:noProof/>
            <w:webHidden/>
          </w:rPr>
          <w:tab/>
        </w:r>
        <w:r>
          <w:rPr>
            <w:noProof/>
            <w:webHidden/>
          </w:rPr>
          <w:fldChar w:fldCharType="begin"/>
        </w:r>
        <w:r>
          <w:rPr>
            <w:noProof/>
            <w:webHidden/>
          </w:rPr>
          <w:instrText xml:space="preserve"> PAGEREF _Toc300001546 \h </w:instrText>
        </w:r>
        <w:r>
          <w:rPr>
            <w:noProof/>
            <w:webHidden/>
          </w:rPr>
          <w:fldChar w:fldCharType="separate"/>
        </w:r>
        <w:r>
          <w:rPr>
            <w:noProof/>
            <w:webHidden/>
          </w:rPr>
          <w:t>1816</w:t>
        </w:r>
        <w:r>
          <w:rPr>
            <w:noProof/>
            <w:webHidden/>
          </w:rPr>
          <w:fldChar w:fldCharType="end"/>
        </w:r>
      </w:hyperlink>
    </w:p>
    <w:p>
      <w:pPr>
        <w:pStyle w:val="TOC2"/>
      </w:pPr>
      <w:hyperlink w:anchor="_Toc300001547" w:history="1">
        <w:r>
          <w:rPr>
            <w:noProof/>
          </w:rPr>
          <w:t xml:space="preserve">Article 40.30: Energy Security and Resilience Portfolio</w:t>
        </w:r>
        <w:r>
          <w:rPr>
            <w:noProof/>
            <w:webHidden/>
          </w:rPr>
          <w:tab/>
        </w:r>
        <w:r>
          <w:rPr>
            <w:noProof/>
            <w:webHidden/>
          </w:rPr>
          <w:fldChar w:fldCharType="begin"/>
        </w:r>
        <w:r>
          <w:rPr>
            <w:noProof/>
            <w:webHidden/>
          </w:rPr>
          <w:instrText xml:space="preserve"> PAGEREF _Toc300001547 \h </w:instrText>
        </w:r>
        <w:r>
          <w:rPr>
            <w:noProof/>
            <w:webHidden/>
          </w:rPr>
          <w:fldChar w:fldCharType="separate"/>
        </w:r>
        <w:r>
          <w:rPr>
            <w:noProof/>
            <w:webHidden/>
          </w:rPr>
          <w:t>1816</w:t>
        </w:r>
        <w:r>
          <w:rPr>
            <w:noProof/>
            <w:webHidden/>
          </w:rPr>
          <w:fldChar w:fldCharType="end"/>
        </w:r>
      </w:hyperlink>
    </w:p>
    <w:p>
      <w:pPr>
        <w:pStyle w:val="TOC2"/>
      </w:pPr>
      <w:hyperlink w:anchor="_Toc300001548" w:history="1">
        <w:r>
          <w:rPr>
            <w:noProof/>
          </w:rPr>
          <w:t xml:space="preserve">Article 40.31: Energy Workforce and Skills Cooperation</w:t>
        </w:r>
        <w:r>
          <w:rPr>
            <w:noProof/>
            <w:webHidden/>
          </w:rPr>
          <w:tab/>
        </w:r>
        <w:r>
          <w:rPr>
            <w:noProof/>
            <w:webHidden/>
          </w:rPr>
          <w:fldChar w:fldCharType="begin"/>
        </w:r>
        <w:r>
          <w:rPr>
            <w:noProof/>
            <w:webHidden/>
          </w:rPr>
          <w:instrText xml:space="preserve"> PAGEREF _Toc300001548 \h </w:instrText>
        </w:r>
        <w:r>
          <w:rPr>
            <w:noProof/>
            <w:webHidden/>
          </w:rPr>
          <w:fldChar w:fldCharType="separate"/>
        </w:r>
        <w:r>
          <w:rPr>
            <w:noProof/>
            <w:webHidden/>
          </w:rPr>
          <w:t>1816</w:t>
        </w:r>
        <w:r>
          <w:rPr>
            <w:noProof/>
            <w:webHidden/>
          </w:rPr>
          <w:fldChar w:fldCharType="end"/>
        </w:r>
      </w:hyperlink>
    </w:p>
    <w:p>
      <w:pPr>
        <w:pStyle w:val="TOC2"/>
      </w:pPr>
      <w:hyperlink w:anchor="_Toc300001549" w:history="1">
        <w:r>
          <w:rPr>
            <w:noProof/>
          </w:rPr>
          <w:t xml:space="preserve">Article 40.32: Commercial Project Window and Candidate Register</w:t>
        </w:r>
        <w:r>
          <w:rPr>
            <w:noProof/>
            <w:webHidden/>
          </w:rPr>
          <w:tab/>
        </w:r>
        <w:r>
          <w:rPr>
            <w:noProof/>
            <w:webHidden/>
          </w:rPr>
          <w:fldChar w:fldCharType="begin"/>
        </w:r>
        <w:r>
          <w:rPr>
            <w:noProof/>
            <w:webHidden/>
          </w:rPr>
          <w:instrText xml:space="preserve"> PAGEREF _Toc300001549 \h </w:instrText>
        </w:r>
        <w:r>
          <w:rPr>
            <w:noProof/>
            <w:webHidden/>
          </w:rPr>
          <w:fldChar w:fldCharType="separate"/>
        </w:r>
        <w:r>
          <w:rPr>
            <w:noProof/>
            <w:webHidden/>
          </w:rPr>
          <w:t>1817</w:t>
        </w:r>
        <w:r>
          <w:rPr>
            <w:noProof/>
            <w:webHidden/>
          </w:rPr>
          <w:fldChar w:fldCharType="end"/>
        </w:r>
      </w:hyperlink>
    </w:p>
    <w:p>
      <w:pPr>
        <w:pStyle w:val="TOC2"/>
      </w:pPr>
      <w:hyperlink w:anchor="_Toc300001550" w:history="1">
        <w:r>
          <w:rPr>
            <w:noProof/>
          </w:rPr>
          <w:t xml:space="preserve">Article 40.33: Energy Sovereignty and No Compulsory Project, Extraction, or Export</w:t>
        </w:r>
        <w:r>
          <w:rPr>
            <w:noProof/>
            <w:webHidden/>
          </w:rPr>
          <w:tab/>
        </w:r>
        <w:r>
          <w:rPr>
            <w:noProof/>
            <w:webHidden/>
          </w:rPr>
          <w:fldChar w:fldCharType="begin"/>
        </w:r>
        <w:r>
          <w:rPr>
            <w:noProof/>
            <w:webHidden/>
          </w:rPr>
          <w:instrText xml:space="preserve"> PAGEREF _Toc300001550 \h </w:instrText>
        </w:r>
        <w:r>
          <w:rPr>
            <w:noProof/>
            <w:webHidden/>
          </w:rPr>
          <w:fldChar w:fldCharType="separate"/>
        </w:r>
        <w:r>
          <w:rPr>
            <w:noProof/>
            <w:webHidden/>
          </w:rPr>
          <w:t>1817</w:t>
        </w:r>
        <w:r>
          <w:rPr>
            <w:noProof/>
            <w:webHidden/>
          </w:rPr>
          <w:fldChar w:fldCharType="end"/>
        </w:r>
      </w:hyperlink>
    </w:p>
    <w:p>
      <w:pPr>
        <w:pStyle w:val="TOC2"/>
      </w:pPr>
      <w:hyperlink w:anchor="_Toc300001551" w:history="1">
        <w:r>
          <w:rPr>
            <w:noProof/>
          </w:rPr>
          <w:t xml:space="preserve">Article 40.34: Functional Energy Outcome and Alternative Fulfilment Right</w:t>
        </w:r>
        <w:r>
          <w:rPr>
            <w:noProof/>
            <w:webHidden/>
          </w:rPr>
          <w:tab/>
        </w:r>
        <w:r>
          <w:rPr>
            <w:noProof/>
            <w:webHidden/>
          </w:rPr>
          <w:fldChar w:fldCharType="begin"/>
        </w:r>
        <w:r>
          <w:rPr>
            <w:noProof/>
            <w:webHidden/>
          </w:rPr>
          <w:instrText xml:space="preserve"> PAGEREF _Toc300001551 \h </w:instrText>
        </w:r>
        <w:r>
          <w:rPr>
            <w:noProof/>
            <w:webHidden/>
          </w:rPr>
          <w:fldChar w:fldCharType="separate"/>
        </w:r>
        <w:r>
          <w:rPr>
            <w:noProof/>
            <w:webHidden/>
          </w:rPr>
          <w:t>1818</w:t>
        </w:r>
        <w:r>
          <w:rPr>
            <w:noProof/>
            <w:webHidden/>
          </w:rPr>
          <w:fldChar w:fldCharType="end"/>
        </w:r>
      </w:hyperlink>
    </w:p>
    <w:p>
      <w:pPr>
        <w:pStyle w:val="TOC2"/>
      </w:pPr>
      <w:hyperlink w:anchor="_Toc300001552" w:history="1">
        <w:r>
          <w:rPr>
            <w:noProof/>
          </w:rPr>
          <w:t xml:space="preserve">Article 40.35: No Throughput, Purchase, or Utilization Guarantee</w:t>
        </w:r>
        <w:r>
          <w:rPr>
            <w:noProof/>
            <w:webHidden/>
          </w:rPr>
          <w:tab/>
        </w:r>
        <w:r>
          <w:rPr>
            <w:noProof/>
            <w:webHidden/>
          </w:rPr>
          <w:fldChar w:fldCharType="begin"/>
        </w:r>
        <w:r>
          <w:rPr>
            <w:noProof/>
            <w:webHidden/>
          </w:rPr>
          <w:instrText xml:space="preserve"> PAGEREF _Toc300001552 \h </w:instrText>
        </w:r>
        <w:r>
          <w:rPr>
            <w:noProof/>
            <w:webHidden/>
          </w:rPr>
          <w:fldChar w:fldCharType="separate"/>
        </w:r>
        <w:r>
          <w:rPr>
            <w:noProof/>
            <w:webHidden/>
          </w:rPr>
          <w:t>1818</w:t>
        </w:r>
        <w:r>
          <w:rPr>
            <w:noProof/>
            <w:webHidden/>
          </w:rPr>
          <w:fldChar w:fldCharType="end"/>
        </w:r>
      </w:hyperlink>
    </w:p>
    <w:p>
      <w:pPr>
        <w:pStyle w:val="TOC2"/>
      </w:pPr>
      <w:hyperlink w:anchor="_Toc300001553" w:history="1">
        <w:r>
          <w:rPr>
            <w:noProof/>
          </w:rPr>
          <w:t xml:space="preserve">Article 40.36: Domestic Reliability, Affordability, and Incremental-Cost Protection</w:t>
        </w:r>
        <w:r>
          <w:rPr>
            <w:noProof/>
            <w:webHidden/>
          </w:rPr>
          <w:tab/>
        </w:r>
        <w:r>
          <w:rPr>
            <w:noProof/>
            <w:webHidden/>
          </w:rPr>
          <w:fldChar w:fldCharType="begin"/>
        </w:r>
        <w:r>
          <w:rPr>
            <w:noProof/>
            <w:webHidden/>
          </w:rPr>
          <w:instrText xml:space="preserve"> PAGEREF _Toc300001553 \h </w:instrText>
        </w:r>
        <w:r>
          <w:rPr>
            <w:noProof/>
            <w:webHidden/>
          </w:rPr>
          <w:fldChar w:fldCharType="separate"/>
        </w:r>
        <w:r>
          <w:rPr>
            <w:noProof/>
            <w:webHidden/>
          </w:rPr>
          <w:t>1818</w:t>
        </w:r>
        <w:r>
          <w:rPr>
            <w:noProof/>
            <w:webHidden/>
          </w:rPr>
          <w:fldChar w:fldCharType="end"/>
        </w:r>
      </w:hyperlink>
    </w:p>
    <w:p>
      <w:pPr>
        <w:pStyle w:val="TOC2"/>
      </w:pPr>
      <w:hyperlink w:anchor="_Toc300001554" w:history="1">
        <w:r>
          <w:rPr>
            <w:noProof/>
          </w:rPr>
          <w:t xml:space="preserve">Article 40.37: Effective Energy Access and Anti-Circumvention</w:t>
        </w:r>
        <w:r>
          <w:rPr>
            <w:noProof/>
            <w:webHidden/>
          </w:rPr>
          <w:tab/>
        </w:r>
        <w:r>
          <w:rPr>
            <w:noProof/>
            <w:webHidden/>
          </w:rPr>
          <w:fldChar w:fldCharType="begin"/>
        </w:r>
        <w:r>
          <w:rPr>
            <w:noProof/>
            <w:webHidden/>
          </w:rPr>
          <w:instrText xml:space="preserve"> PAGEREF _Toc300001554 \h </w:instrText>
        </w:r>
        <w:r>
          <w:rPr>
            <w:noProof/>
            <w:webHidden/>
          </w:rPr>
          <w:fldChar w:fldCharType="separate"/>
        </w:r>
        <w:r>
          <w:rPr>
            <w:noProof/>
            <w:webHidden/>
          </w:rPr>
          <w:t>1819</w:t>
        </w:r>
        <w:r>
          <w:rPr>
            <w:noProof/>
            <w:webHidden/>
          </w:rPr>
          <w:fldChar w:fldCharType="end"/>
        </w:r>
      </w:hyperlink>
    </w:p>
    <w:p>
      <w:pPr>
        <w:pStyle w:val="TOC2"/>
      </w:pPr>
      <w:hyperlink w:anchor="_Toc300001555" w:history="1">
        <w:r>
          <w:rPr>
            <w:noProof/>
          </w:rPr>
          <w:t xml:space="preserve">Article 40.38: Environmental, Indigenous, Water, and Land-Use Safeguard</w:t>
        </w:r>
        <w:r>
          <w:rPr>
            <w:noProof/>
            <w:webHidden/>
          </w:rPr>
          <w:tab/>
        </w:r>
        <w:r>
          <w:rPr>
            <w:noProof/>
            <w:webHidden/>
          </w:rPr>
          <w:fldChar w:fldCharType="begin"/>
        </w:r>
        <w:r>
          <w:rPr>
            <w:noProof/>
            <w:webHidden/>
          </w:rPr>
          <w:instrText xml:space="preserve"> PAGEREF _Toc300001555 \h </w:instrText>
        </w:r>
        <w:r>
          <w:rPr>
            <w:noProof/>
            <w:webHidden/>
          </w:rPr>
          <w:fldChar w:fldCharType="separate"/>
        </w:r>
        <w:r>
          <w:rPr>
            <w:noProof/>
            <w:webHidden/>
          </w:rPr>
          <w:t>1819</w:t>
        </w:r>
        <w:r>
          <w:rPr>
            <w:noProof/>
            <w:webHidden/>
          </w:rPr>
          <w:fldChar w:fldCharType="end"/>
        </w:r>
      </w:hyperlink>
    </w:p>
    <w:p>
      <w:pPr>
        <w:pStyle w:val="TOC2"/>
      </w:pPr>
      <w:hyperlink w:anchor="_Toc300001556" w:history="1">
        <w:r>
          <w:rPr>
            <w:noProof/>
          </w:rPr>
          <w:t xml:space="preserve">Article 40.39: Energy Dispute Containment and No Cross-Sector Hostage Taking</w:t>
        </w:r>
        <w:r>
          <w:rPr>
            <w:noProof/>
            <w:webHidden/>
          </w:rPr>
          <w:tab/>
        </w:r>
        <w:r>
          <w:rPr>
            <w:noProof/>
            <w:webHidden/>
          </w:rPr>
          <w:fldChar w:fldCharType="begin"/>
        </w:r>
        <w:r>
          <w:rPr>
            <w:noProof/>
            <w:webHidden/>
          </w:rPr>
          <w:instrText xml:space="preserve"> PAGEREF _Toc300001556 \h </w:instrText>
        </w:r>
        <w:r>
          <w:rPr>
            <w:noProof/>
            <w:webHidden/>
          </w:rPr>
          <w:fldChar w:fldCharType="separate"/>
        </w:r>
        <w:r>
          <w:rPr>
            <w:noProof/>
            <w:webHidden/>
          </w:rPr>
          <w:t>1819</w:t>
        </w:r>
        <w:r>
          <w:rPr>
            <w:noProof/>
            <w:webHidden/>
          </w:rPr>
          <w:fldChar w:fldCharType="end"/>
        </w:r>
      </w:hyperlink>
    </w:p>
    <w:p>
      <w:pPr>
        <w:pStyle w:val="TOC2"/>
      </w:pPr>
      <w:hyperlink w:anchor="_Toc300001557" w:history="1">
        <w:r>
          <w:rPr>
            <w:noProof/>
          </w:rPr>
          <w:t xml:space="preserve">Article 40.40: Energy Emergency Safe Mode</w:t>
        </w:r>
        <w:r>
          <w:rPr>
            <w:noProof/>
            <w:webHidden/>
          </w:rPr>
          <w:tab/>
        </w:r>
        <w:r>
          <w:rPr>
            <w:noProof/>
            <w:webHidden/>
          </w:rPr>
          <w:fldChar w:fldCharType="begin"/>
        </w:r>
        <w:r>
          <w:rPr>
            <w:noProof/>
            <w:webHidden/>
          </w:rPr>
          <w:instrText xml:space="preserve"> PAGEREF _Toc300001557 \h </w:instrText>
        </w:r>
        <w:r>
          <w:rPr>
            <w:noProof/>
            <w:webHidden/>
          </w:rPr>
          <w:fldChar w:fldCharType="separate"/>
        </w:r>
        <w:r>
          <w:rPr>
            <w:noProof/>
            <w:webHidden/>
          </w:rPr>
          <w:t>1820</w:t>
        </w:r>
        <w:r>
          <w:rPr>
            <w:noProof/>
            <w:webHidden/>
          </w:rPr>
          <w:fldChar w:fldCharType="end"/>
        </w:r>
      </w:hyperlink>
    </w:p>
    <w:p>
      <w:pPr>
        <w:pStyle w:val="TOC2"/>
      </w:pPr>
      <w:hyperlink w:anchor="_Toc300001558" w:history="1">
        <w:r>
          <w:rPr>
            <w:noProof/>
          </w:rPr>
          <w:t xml:space="preserve">Article 40.41: Change of Control and Critical-Infrastructure Security</w:t>
        </w:r>
        <w:r>
          <w:rPr>
            <w:noProof/>
            <w:webHidden/>
          </w:rPr>
          <w:tab/>
        </w:r>
        <w:r>
          <w:rPr>
            <w:noProof/>
            <w:webHidden/>
          </w:rPr>
          <w:fldChar w:fldCharType="begin"/>
        </w:r>
        <w:r>
          <w:rPr>
            <w:noProof/>
            <w:webHidden/>
          </w:rPr>
          <w:instrText xml:space="preserve"> PAGEREF _Toc300001558 \h </w:instrText>
        </w:r>
        <w:r>
          <w:rPr>
            <w:noProof/>
            <w:webHidden/>
          </w:rPr>
          <w:fldChar w:fldCharType="separate"/>
        </w:r>
        <w:r>
          <w:rPr>
            <w:noProof/>
            <w:webHidden/>
          </w:rPr>
          <w:t>1820</w:t>
        </w:r>
        <w:r>
          <w:rPr>
            <w:noProof/>
            <w:webHidden/>
          </w:rPr>
          <w:fldChar w:fldCharType="end"/>
        </w:r>
      </w:hyperlink>
    </w:p>
    <w:p>
      <w:pPr>
        <w:pStyle w:val="TOC2"/>
      </w:pPr>
      <w:hyperlink w:anchor="_Toc300001559" w:history="1">
        <w:r>
          <w:rPr>
            <w:noProof/>
          </w:rPr>
          <w:t xml:space="preserve">Article 40.42: Energy Capacity Credit and No Double Counting</w:t>
        </w:r>
        <w:r>
          <w:rPr>
            <w:noProof/>
            <w:webHidden/>
          </w:rPr>
          <w:tab/>
        </w:r>
        <w:r>
          <w:rPr>
            <w:noProof/>
            <w:webHidden/>
          </w:rPr>
          <w:fldChar w:fldCharType="begin"/>
        </w:r>
        <w:r>
          <w:rPr>
            <w:noProof/>
            <w:webHidden/>
          </w:rPr>
          <w:instrText xml:space="preserve"> PAGEREF _Toc300001559 \h </w:instrText>
        </w:r>
        <w:r>
          <w:rPr>
            <w:noProof/>
            <w:webHidden/>
          </w:rPr>
          <w:fldChar w:fldCharType="separate"/>
        </w:r>
        <w:r>
          <w:rPr>
            <w:noProof/>
            <w:webHidden/>
          </w:rPr>
          <w:t>1820</w:t>
        </w:r>
        <w:r>
          <w:rPr>
            <w:noProof/>
            <w:webHidden/>
          </w:rPr>
          <w:fldChar w:fldCharType="end"/>
        </w:r>
      </w:hyperlink>
    </w:p>
    <w:p>
      <w:pPr>
        <w:pStyle w:val="TOC2"/>
      </w:pPr>
      <w:hyperlink w:anchor="_Toc300001560" w:history="1">
        <w:r>
          <w:rPr>
            <w:noProof/>
          </w:rPr>
          <w:t xml:space="preserve">Article 40.43: North American Integrated Energy-Compute-Water Simulation Initiative</w:t>
        </w:r>
        <w:r>
          <w:rPr>
            <w:noProof/>
            <w:webHidden/>
          </w:rPr>
          <w:tab/>
        </w:r>
        <w:r>
          <w:rPr>
            <w:noProof/>
            <w:webHidden/>
          </w:rPr>
          <w:fldChar w:fldCharType="begin"/>
        </w:r>
        <w:r>
          <w:rPr>
            <w:noProof/>
            <w:webHidden/>
          </w:rPr>
          <w:instrText xml:space="preserve"> PAGEREF _Toc300001560 \h </w:instrText>
        </w:r>
        <w:r>
          <w:rPr>
            <w:noProof/>
            <w:webHidden/>
          </w:rPr>
          <w:fldChar w:fldCharType="separate"/>
        </w:r>
        <w:r>
          <w:rPr>
            <w:noProof/>
            <w:webHidden/>
          </w:rPr>
          <w:t>1820</w:t>
        </w:r>
        <w:r>
          <w:rPr>
            <w:noProof/>
            <w:webHidden/>
          </w:rPr>
          <w:fldChar w:fldCharType="end"/>
        </w:r>
      </w:hyperlink>
    </w:p>
    <w:p>
      <w:pPr>
        <w:pStyle w:val="TOC2"/>
      </w:pPr>
      <w:hyperlink w:anchor="_Toc300001561" w:history="1">
        <w:r>
          <w:rPr>
            <w:noProof/>
          </w:rPr>
          <w:t xml:space="preserve">Article 40.44: Reference Architectures and Technology Neutrality</w:t>
        </w:r>
        <w:r>
          <w:rPr>
            <w:noProof/>
            <w:webHidden/>
          </w:rPr>
          <w:tab/>
        </w:r>
        <w:r>
          <w:rPr>
            <w:noProof/>
            <w:webHidden/>
          </w:rPr>
          <w:fldChar w:fldCharType="begin"/>
        </w:r>
        <w:r>
          <w:rPr>
            <w:noProof/>
            <w:webHidden/>
          </w:rPr>
          <w:instrText xml:space="preserve"> PAGEREF _Toc300001561 \h </w:instrText>
        </w:r>
        <w:r>
          <w:rPr>
            <w:noProof/>
            <w:webHidden/>
          </w:rPr>
          <w:fldChar w:fldCharType="separate"/>
        </w:r>
        <w:r>
          <w:rPr>
            <w:noProof/>
            <w:webHidden/>
          </w:rPr>
          <w:t>1821</w:t>
        </w:r>
        <w:r>
          <w:rPr>
            <w:noProof/>
            <w:webHidden/>
          </w:rPr>
          <w:fldChar w:fldCharType="end"/>
        </w:r>
      </w:hyperlink>
    </w:p>
    <w:p>
      <w:pPr>
        <w:pStyle w:val="TOC2"/>
      </w:pPr>
      <w:hyperlink w:anchor="_Toc300001562" w:history="1">
        <w:r>
          <w:rPr>
            <w:noProof/>
          </w:rPr>
          <w:t xml:space="preserve">Article 40.45: Integrated Infrastructure Simulation Scope and Shared Learning</w:t>
        </w:r>
        <w:r>
          <w:rPr>
            <w:noProof/>
            <w:webHidden/>
          </w:rPr>
          <w:tab/>
        </w:r>
        <w:r>
          <w:rPr>
            <w:noProof/>
            <w:webHidden/>
          </w:rPr>
          <w:fldChar w:fldCharType="begin"/>
        </w:r>
        <w:r>
          <w:rPr>
            <w:noProof/>
            <w:webHidden/>
          </w:rPr>
          <w:instrText xml:space="preserve"> PAGEREF _Toc300001562 \h </w:instrText>
        </w:r>
        <w:r>
          <w:rPr>
            <w:noProof/>
            <w:webHidden/>
          </w:rPr>
          <w:fldChar w:fldCharType="separate"/>
        </w:r>
        <w:r>
          <w:rPr>
            <w:noProof/>
            <w:webHidden/>
          </w:rPr>
          <w:t>1821</w:t>
        </w:r>
        <w:r>
          <w:rPr>
            <w:noProof/>
            <w:webHidden/>
          </w:rPr>
          <w:fldChar w:fldCharType="end"/>
        </w:r>
      </w:hyperlink>
    </w:p>
    <w:p>
      <w:pPr>
        <w:pStyle w:val="TOC2"/>
      </w:pPr>
      <w:hyperlink w:anchor="_Toc300001563" w:history="1">
        <w:r>
          <w:rPr>
            <w:noProof/>
          </w:rPr>
          <w:t xml:space="preserve">Article 40.46: Optional Advancement Gates for Integrated Infrastructure</w:t>
        </w:r>
        <w:r>
          <w:rPr>
            <w:noProof/>
            <w:webHidden/>
          </w:rPr>
          <w:tab/>
        </w:r>
        <w:r>
          <w:rPr>
            <w:noProof/>
            <w:webHidden/>
          </w:rPr>
          <w:fldChar w:fldCharType="begin"/>
        </w:r>
        <w:r>
          <w:rPr>
            <w:noProof/>
            <w:webHidden/>
          </w:rPr>
          <w:instrText xml:space="preserve"> PAGEREF _Toc300001563 \h </w:instrText>
        </w:r>
        <w:r>
          <w:rPr>
            <w:noProof/>
            <w:webHidden/>
          </w:rPr>
          <w:fldChar w:fldCharType="separate"/>
        </w:r>
        <w:r>
          <w:rPr>
            <w:noProof/>
            <w:webHidden/>
          </w:rPr>
          <w:t>1822</w:t>
        </w:r>
        <w:r>
          <w:rPr>
            <w:noProof/>
            <w:webHidden/>
          </w:rPr>
          <w:fldChar w:fldCharType="end"/>
        </w:r>
      </w:hyperlink>
    </w:p>
    <w:p>
      <w:pPr>
        <w:pStyle w:val="TOC2"/>
      </w:pPr>
      <w:hyperlink w:anchor="_Toc300001564" w:history="1">
        <w:r>
          <w:rPr>
            <w:noProof/>
          </w:rPr>
          <w:t xml:space="preserve">Article 40.47: Implementation Without New Permanent Bureaucracy</w:t>
        </w:r>
        <w:r>
          <w:rPr>
            <w:noProof/>
            <w:webHidden/>
          </w:rPr>
          <w:tab/>
        </w:r>
        <w:r>
          <w:rPr>
            <w:noProof/>
            <w:webHidden/>
          </w:rPr>
          <w:fldChar w:fldCharType="begin"/>
        </w:r>
        <w:r>
          <w:rPr>
            <w:noProof/>
            <w:webHidden/>
          </w:rPr>
          <w:instrText xml:space="preserve"> PAGEREF _Toc300001564 \h </w:instrText>
        </w:r>
        <w:r>
          <w:rPr>
            <w:noProof/>
            <w:webHidden/>
          </w:rPr>
          <w:fldChar w:fldCharType="separate"/>
        </w:r>
        <w:r>
          <w:rPr>
            <w:noProof/>
            <w:webHidden/>
          </w:rPr>
          <w:t>1822</w:t>
        </w:r>
        <w:r>
          <w:rPr>
            <w:noProof/>
            <w:webHidden/>
          </w:rPr>
          <w:fldChar w:fldCharType="end"/>
        </w:r>
      </w:hyperlink>
    </w:p>
    <w:p>
      <w:pPr>
        <w:pStyle w:val="TOC2"/>
      </w:pPr>
      <w:hyperlink w:anchor="_Toc300001565" w:history="1">
        <w:r>
          <w:rPr>
            <w:noProof/>
          </w:rPr>
          <w:t xml:space="preserve">ANNEX 40-B: Energy Optionality and Equivalency Matrix</w:t>
        </w:r>
        <w:r>
          <w:rPr>
            <w:noProof/>
            <w:webHidden/>
          </w:rPr>
          <w:tab/>
        </w:r>
        <w:r>
          <w:rPr>
            <w:noProof/>
            <w:webHidden/>
          </w:rPr>
          <w:fldChar w:fldCharType="begin"/>
        </w:r>
        <w:r>
          <w:rPr>
            <w:noProof/>
            <w:webHidden/>
          </w:rPr>
          <w:instrText xml:space="preserve"> PAGEREF _Toc300001565 \h </w:instrText>
        </w:r>
        <w:r>
          <w:rPr>
            <w:noProof/>
            <w:webHidden/>
          </w:rPr>
          <w:fldChar w:fldCharType="separate"/>
        </w:r>
        <w:r>
          <w:rPr>
            <w:noProof/>
            <w:webHidden/>
          </w:rPr>
          <w:t>1822</w:t>
        </w:r>
        <w:r>
          <w:rPr>
            <w:noProof/>
            <w:webHidden/>
          </w:rPr>
          <w:fldChar w:fldCharType="end"/>
        </w:r>
      </w:hyperlink>
    </w:p>
    <w:p>
      <w:pPr>
        <w:pStyle w:val="TOC1"/>
      </w:pPr>
      <w:hyperlink w:anchor="_Toc300001566" w:history="1">
        <w:r>
          <w:rPr>
            <w:noProof/>
          </w:rPr>
          <w:t xml:space="preserve">CHAPTER 41 DOMESTIC SOVEREIGNTY AND REGULATORY AUTONOMY</w:t>
        </w:r>
        <w:r>
          <w:rPr>
            <w:noProof/>
            <w:webHidden/>
          </w:rPr>
          <w:tab/>
        </w:r>
        <w:r>
          <w:rPr>
            <w:noProof/>
            <w:webHidden/>
          </w:rPr>
          <w:fldChar w:fldCharType="begin"/>
        </w:r>
        <w:r>
          <w:rPr>
            <w:noProof/>
            <w:webHidden/>
          </w:rPr>
          <w:instrText xml:space="preserve"> PAGEREF _Toc300001566 \h </w:instrText>
        </w:r>
        <w:r>
          <w:rPr>
            <w:noProof/>
            <w:webHidden/>
          </w:rPr>
          <w:fldChar w:fldCharType="separate"/>
        </w:r>
        <w:r>
          <w:rPr>
            <w:noProof/>
            <w:webHidden/>
          </w:rPr>
          <w:t>1824</w:t>
        </w:r>
        <w:r>
          <w:rPr>
            <w:noProof/>
            <w:webHidden/>
          </w:rPr>
          <w:fldChar w:fldCharType="end"/>
        </w:r>
      </w:hyperlink>
    </w:p>
    <w:p>
      <w:pPr>
        <w:pStyle w:val="TOC2"/>
      </w:pPr>
      <w:hyperlink w:anchor="_Toc300001567" w:history="1">
        <w:r>
          <w:rPr>
            <w:noProof/>
          </w:rPr>
          <w:t xml:space="preserve">Article 41.1: Governing Principle</w:t>
        </w:r>
        <w:r>
          <w:rPr>
            <w:noProof/>
            <w:webHidden/>
          </w:rPr>
          <w:tab/>
        </w:r>
        <w:r>
          <w:rPr>
            <w:noProof/>
            <w:webHidden/>
          </w:rPr>
          <w:fldChar w:fldCharType="begin"/>
        </w:r>
        <w:r>
          <w:rPr>
            <w:noProof/>
            <w:webHidden/>
          </w:rPr>
          <w:instrText xml:space="preserve"> PAGEREF _Toc300001567 \h </w:instrText>
        </w:r>
        <w:r>
          <w:rPr>
            <w:noProof/>
            <w:webHidden/>
          </w:rPr>
          <w:fldChar w:fldCharType="separate"/>
        </w:r>
        <w:r>
          <w:rPr>
            <w:noProof/>
            <w:webHidden/>
          </w:rPr>
          <w:t>1824</w:t>
        </w:r>
        <w:r>
          <w:rPr>
            <w:noProof/>
            <w:webHidden/>
          </w:rPr>
          <w:fldChar w:fldCharType="end"/>
        </w:r>
      </w:hyperlink>
    </w:p>
    <w:p>
      <w:pPr>
        <w:pStyle w:val="TOC2"/>
      </w:pPr>
      <w:hyperlink w:anchor="_Toc300001568" w:history="1">
        <w:r>
          <w:rPr>
            <w:noProof/>
          </w:rPr>
          <w:t xml:space="preserve">Article 41.2: Climate, Energy, and Environmental Policy Space</w:t>
        </w:r>
        <w:r>
          <w:rPr>
            <w:noProof/>
            <w:webHidden/>
          </w:rPr>
          <w:tab/>
        </w:r>
        <w:r>
          <w:rPr>
            <w:noProof/>
            <w:webHidden/>
          </w:rPr>
          <w:fldChar w:fldCharType="begin"/>
        </w:r>
        <w:r>
          <w:rPr>
            <w:noProof/>
            <w:webHidden/>
          </w:rPr>
          <w:instrText xml:space="preserve"> PAGEREF _Toc300001568 \h </w:instrText>
        </w:r>
        <w:r>
          <w:rPr>
            <w:noProof/>
            <w:webHidden/>
          </w:rPr>
          <w:fldChar w:fldCharType="separate"/>
        </w:r>
        <w:r>
          <w:rPr>
            <w:noProof/>
            <w:webHidden/>
          </w:rPr>
          <w:t>1824</w:t>
        </w:r>
        <w:r>
          <w:rPr>
            <w:noProof/>
            <w:webHidden/>
          </w:rPr>
          <w:fldChar w:fldCharType="end"/>
        </w:r>
      </w:hyperlink>
    </w:p>
    <w:p>
      <w:pPr>
        <w:pStyle w:val="TOC2"/>
      </w:pPr>
      <w:hyperlink w:anchor="_Toc300001569" w:history="1">
        <w:r>
          <w:rPr>
            <w:noProof/>
          </w:rPr>
          <w:t xml:space="preserve">Article 41.3: Public Health, Therapeutic Products, and Scientific Regulation</w:t>
        </w:r>
        <w:r>
          <w:rPr>
            <w:noProof/>
            <w:webHidden/>
          </w:rPr>
          <w:tab/>
        </w:r>
        <w:r>
          <w:rPr>
            <w:noProof/>
            <w:webHidden/>
          </w:rPr>
          <w:fldChar w:fldCharType="begin"/>
        </w:r>
        <w:r>
          <w:rPr>
            <w:noProof/>
            <w:webHidden/>
          </w:rPr>
          <w:instrText xml:space="preserve"> PAGEREF _Toc300001569 \h </w:instrText>
        </w:r>
        <w:r>
          <w:rPr>
            <w:noProof/>
            <w:webHidden/>
          </w:rPr>
          <w:fldChar w:fldCharType="separate"/>
        </w:r>
        <w:r>
          <w:rPr>
            <w:noProof/>
            <w:webHidden/>
          </w:rPr>
          <w:t>1824</w:t>
        </w:r>
        <w:r>
          <w:rPr>
            <w:noProof/>
            <w:webHidden/>
          </w:rPr>
          <w:fldChar w:fldCharType="end"/>
        </w:r>
      </w:hyperlink>
    </w:p>
    <w:p>
      <w:pPr>
        <w:pStyle w:val="TOC2"/>
      </w:pPr>
      <w:hyperlink w:anchor="_Toc300001570" w:history="1">
        <w:r>
          <w:rPr>
            <w:noProof/>
          </w:rPr>
          <w:t xml:space="preserve">Article 41.4: Artificial Intelligence, Privacy, Cybersecurity, and Government Data</w:t>
        </w:r>
        <w:r>
          <w:rPr>
            <w:noProof/>
            <w:webHidden/>
          </w:rPr>
          <w:tab/>
        </w:r>
        <w:r>
          <w:rPr>
            <w:noProof/>
            <w:webHidden/>
          </w:rPr>
          <w:fldChar w:fldCharType="begin"/>
        </w:r>
        <w:r>
          <w:rPr>
            <w:noProof/>
            <w:webHidden/>
          </w:rPr>
          <w:instrText xml:space="preserve"> PAGEREF _Toc300001570 \h </w:instrText>
        </w:r>
        <w:r>
          <w:rPr>
            <w:noProof/>
            <w:webHidden/>
          </w:rPr>
          <w:fldChar w:fldCharType="separate"/>
        </w:r>
        <w:r>
          <w:rPr>
            <w:noProof/>
            <w:webHidden/>
          </w:rPr>
          <w:t>1824</w:t>
        </w:r>
        <w:r>
          <w:rPr>
            <w:noProof/>
            <w:webHidden/>
          </w:rPr>
          <w:fldChar w:fldCharType="end"/>
        </w:r>
      </w:hyperlink>
    </w:p>
    <w:p>
      <w:pPr>
        <w:pStyle w:val="TOC2"/>
      </w:pPr>
      <w:hyperlink w:anchor="_Toc300001571" w:history="1">
        <w:r>
          <w:rPr>
            <w:noProof/>
          </w:rPr>
          <w:t xml:space="preserve">Article 41.5: Natural Resources, Water, Forestry, and the Arctic</w:t>
        </w:r>
        <w:r>
          <w:rPr>
            <w:noProof/>
            <w:webHidden/>
          </w:rPr>
          <w:tab/>
        </w:r>
        <w:r>
          <w:rPr>
            <w:noProof/>
            <w:webHidden/>
          </w:rPr>
          <w:fldChar w:fldCharType="begin"/>
        </w:r>
        <w:r>
          <w:rPr>
            <w:noProof/>
            <w:webHidden/>
          </w:rPr>
          <w:instrText xml:space="preserve"> PAGEREF _Toc300001571 \h </w:instrText>
        </w:r>
        <w:r>
          <w:rPr>
            <w:noProof/>
            <w:webHidden/>
          </w:rPr>
          <w:fldChar w:fldCharType="separate"/>
        </w:r>
        <w:r>
          <w:rPr>
            <w:noProof/>
            <w:webHidden/>
          </w:rPr>
          <w:t>1825</w:t>
        </w:r>
        <w:r>
          <w:rPr>
            <w:noProof/>
            <w:webHidden/>
          </w:rPr>
          <w:fldChar w:fldCharType="end"/>
        </w:r>
      </w:hyperlink>
    </w:p>
    <w:p>
      <w:pPr>
        <w:pStyle w:val="TOC2"/>
      </w:pPr>
      <w:hyperlink w:anchor="_Toc300001572" w:history="1">
        <w:r>
          <w:rPr>
            <w:noProof/>
          </w:rPr>
          <w:t xml:space="preserve">Article 41.6: Indigenous Peoples</w:t>
        </w:r>
        <w:r>
          <w:rPr>
            <w:noProof/>
            <w:webHidden/>
          </w:rPr>
          <w:tab/>
        </w:r>
        <w:r>
          <w:rPr>
            <w:noProof/>
            <w:webHidden/>
          </w:rPr>
          <w:fldChar w:fldCharType="begin"/>
        </w:r>
        <w:r>
          <w:rPr>
            <w:noProof/>
            <w:webHidden/>
          </w:rPr>
          <w:instrText xml:space="preserve"> PAGEREF _Toc300001572 \h </w:instrText>
        </w:r>
        <w:r>
          <w:rPr>
            <w:noProof/>
            <w:webHidden/>
          </w:rPr>
          <w:fldChar w:fldCharType="separate"/>
        </w:r>
        <w:r>
          <w:rPr>
            <w:noProof/>
            <w:webHidden/>
          </w:rPr>
          <w:t>1825</w:t>
        </w:r>
        <w:r>
          <w:rPr>
            <w:noProof/>
            <w:webHidden/>
          </w:rPr>
          <w:fldChar w:fldCharType="end"/>
        </w:r>
      </w:hyperlink>
    </w:p>
    <w:p>
      <w:pPr>
        <w:pStyle w:val="TOC2"/>
      </w:pPr>
      <w:hyperlink w:anchor="_Toc300001573" w:history="1">
        <w:r>
          <w:rPr>
            <w:noProof/>
          </w:rPr>
          <w:t xml:space="preserve">Article 41.7: Immigration, Labor-Market Programs, and Culture</w:t>
        </w:r>
        <w:r>
          <w:rPr>
            <w:noProof/>
            <w:webHidden/>
          </w:rPr>
          <w:tab/>
        </w:r>
        <w:r>
          <w:rPr>
            <w:noProof/>
            <w:webHidden/>
          </w:rPr>
          <w:fldChar w:fldCharType="begin"/>
        </w:r>
        <w:r>
          <w:rPr>
            <w:noProof/>
            <w:webHidden/>
          </w:rPr>
          <w:instrText xml:space="preserve"> PAGEREF _Toc300001573 \h </w:instrText>
        </w:r>
        <w:r>
          <w:rPr>
            <w:noProof/>
            <w:webHidden/>
          </w:rPr>
          <w:fldChar w:fldCharType="separate"/>
        </w:r>
        <w:r>
          <w:rPr>
            <w:noProof/>
            <w:webHidden/>
          </w:rPr>
          <w:t>1825</w:t>
        </w:r>
        <w:r>
          <w:rPr>
            <w:noProof/>
            <w:webHidden/>
          </w:rPr>
          <w:fldChar w:fldCharType="end"/>
        </w:r>
      </w:hyperlink>
    </w:p>
    <w:p>
      <w:pPr>
        <w:pStyle w:val="TOC2"/>
      </w:pPr>
      <w:hyperlink w:anchor="_Toc300001574" w:history="1">
        <w:r>
          <w:rPr>
            <w:noProof/>
          </w:rPr>
          <w:t xml:space="preserve">Article 41.7A: Cultural and Linguistic Sovereignty Firewall</w:t>
        </w:r>
        <w:r>
          <w:rPr>
            <w:noProof/>
            <w:webHidden/>
          </w:rPr>
          <w:tab/>
        </w:r>
        <w:r>
          <w:rPr>
            <w:noProof/>
            <w:webHidden/>
          </w:rPr>
          <w:fldChar w:fldCharType="begin"/>
        </w:r>
        <w:r>
          <w:rPr>
            <w:noProof/>
            <w:webHidden/>
          </w:rPr>
          <w:instrText xml:space="preserve"> PAGEREF _Toc300001574 \h </w:instrText>
        </w:r>
        <w:r>
          <w:rPr>
            <w:noProof/>
            <w:webHidden/>
          </w:rPr>
          <w:fldChar w:fldCharType="separate"/>
        </w:r>
        <w:r>
          <w:rPr>
            <w:noProof/>
            <w:webHidden/>
          </w:rPr>
          <w:t>1825</w:t>
        </w:r>
        <w:r>
          <w:rPr>
            <w:noProof/>
            <w:webHidden/>
          </w:rPr>
          <w:fldChar w:fldCharType="end"/>
        </w:r>
      </w:hyperlink>
    </w:p>
    <w:p>
      <w:pPr>
        <w:pStyle w:val="TOC2"/>
      </w:pPr>
      <w:hyperlink w:anchor="_Toc300001575" w:history="1">
        <w:r>
          <w:rPr>
            <w:noProof/>
          </w:rPr>
          <w:t xml:space="preserve">Article 41.8: Infrastructure and Domestic Approval</w:t>
        </w:r>
        <w:r>
          <w:rPr>
            <w:noProof/>
            <w:webHidden/>
          </w:rPr>
          <w:tab/>
        </w:r>
        <w:r>
          <w:rPr>
            <w:noProof/>
            <w:webHidden/>
          </w:rPr>
          <w:fldChar w:fldCharType="begin"/>
        </w:r>
        <w:r>
          <w:rPr>
            <w:noProof/>
            <w:webHidden/>
          </w:rPr>
          <w:instrText xml:space="preserve"> PAGEREF _Toc300001575 \h </w:instrText>
        </w:r>
        <w:r>
          <w:rPr>
            <w:noProof/>
            <w:webHidden/>
          </w:rPr>
          <w:fldChar w:fldCharType="separate"/>
        </w:r>
        <w:r>
          <w:rPr>
            <w:noProof/>
            <w:webHidden/>
          </w:rPr>
          <w:t>1827</w:t>
        </w:r>
        <w:r>
          <w:rPr>
            <w:noProof/>
            <w:webHidden/>
          </w:rPr>
          <w:fldChar w:fldCharType="end"/>
        </w:r>
      </w:hyperlink>
    </w:p>
    <w:p>
      <w:pPr>
        <w:pStyle w:val="TOC2"/>
      </w:pPr>
      <w:hyperlink w:anchor="_Toc300001576" w:history="1">
        <w:r>
          <w:rPr>
            <w:noProof/>
          </w:rPr>
          <w:t xml:space="preserve">Article 41.9: Safe-Harbor Coordination</w:t>
        </w:r>
        <w:r>
          <w:rPr>
            <w:noProof/>
            <w:webHidden/>
          </w:rPr>
          <w:tab/>
        </w:r>
        <w:r>
          <w:rPr>
            <w:noProof/>
            <w:webHidden/>
          </w:rPr>
          <w:fldChar w:fldCharType="begin"/>
        </w:r>
        <w:r>
          <w:rPr>
            <w:noProof/>
            <w:webHidden/>
          </w:rPr>
          <w:instrText xml:space="preserve"> PAGEREF _Toc300001576 \h </w:instrText>
        </w:r>
        <w:r>
          <w:rPr>
            <w:noProof/>
            <w:webHidden/>
          </w:rPr>
          <w:fldChar w:fldCharType="separate"/>
        </w:r>
        <w:r>
          <w:rPr>
            <w:noProof/>
            <w:webHidden/>
          </w:rPr>
          <w:t>1827</w:t>
        </w:r>
        <w:r>
          <w:rPr>
            <w:noProof/>
            <w:webHidden/>
          </w:rPr>
          <w:fldChar w:fldCharType="end"/>
        </w:r>
      </w:hyperlink>
    </w:p>
    <w:p>
      <w:pPr>
        <w:pStyle w:val="TOC1"/>
      </w:pPr>
      <w:hyperlink w:anchor="_Toc300001577" w:history="1">
        <w:r>
          <w:rPr>
            <w:noProof/>
          </w:rPr>
          <w:t xml:space="preserve">CHAPTER 42 SOFTWOOD LUMBER STABILITY AND FORESTRY TRADE</w:t>
        </w:r>
        <w:r>
          <w:rPr>
            <w:noProof/>
            <w:webHidden/>
          </w:rPr>
          <w:tab/>
        </w:r>
        <w:r>
          <w:rPr>
            <w:noProof/>
            <w:webHidden/>
          </w:rPr>
          <w:fldChar w:fldCharType="begin"/>
        </w:r>
        <w:r>
          <w:rPr>
            <w:noProof/>
            <w:webHidden/>
          </w:rPr>
          <w:instrText xml:space="preserve"> PAGEREF _Toc300001577 \h </w:instrText>
        </w:r>
        <w:r>
          <w:rPr>
            <w:noProof/>
            <w:webHidden/>
          </w:rPr>
          <w:fldChar w:fldCharType="separate"/>
        </w:r>
        <w:r>
          <w:rPr>
            <w:noProof/>
            <w:webHidden/>
          </w:rPr>
          <w:t>1828</w:t>
        </w:r>
        <w:r>
          <w:rPr>
            <w:noProof/>
            <w:webHidden/>
          </w:rPr>
          <w:fldChar w:fldCharType="end"/>
        </w:r>
      </w:hyperlink>
    </w:p>
    <w:p>
      <w:pPr>
        <w:pStyle w:val="TOC2"/>
      </w:pPr>
      <w:hyperlink w:anchor="_Toc300001578" w:history="1">
        <w:r>
          <w:rPr>
            <w:noProof/>
          </w:rPr>
          <w:t xml:space="preserve">Article 42.1: Purpose</w:t>
        </w:r>
        <w:r>
          <w:rPr>
            <w:noProof/>
            <w:webHidden/>
          </w:rPr>
          <w:tab/>
        </w:r>
        <w:r>
          <w:rPr>
            <w:noProof/>
            <w:webHidden/>
          </w:rPr>
          <w:fldChar w:fldCharType="begin"/>
        </w:r>
        <w:r>
          <w:rPr>
            <w:noProof/>
            <w:webHidden/>
          </w:rPr>
          <w:instrText xml:space="preserve"> PAGEREF _Toc300001578 \h </w:instrText>
        </w:r>
        <w:r>
          <w:rPr>
            <w:noProof/>
            <w:webHidden/>
          </w:rPr>
          <w:fldChar w:fldCharType="separate"/>
        </w:r>
        <w:r>
          <w:rPr>
            <w:noProof/>
            <w:webHidden/>
          </w:rPr>
          <w:t>1828</w:t>
        </w:r>
        <w:r>
          <w:rPr>
            <w:noProof/>
            <w:webHidden/>
          </w:rPr>
          <w:fldChar w:fldCharType="end"/>
        </w:r>
      </w:hyperlink>
    </w:p>
    <w:p>
      <w:pPr>
        <w:pStyle w:val="TOC2"/>
      </w:pPr>
      <w:hyperlink w:anchor="_Toc300001579" w:history="1">
        <w:r>
          <w:rPr>
            <w:noProof/>
          </w:rPr>
          <w:t xml:space="preserve">Article 42.2: Stumpage and Benchmark Transparency</w:t>
        </w:r>
        <w:r>
          <w:rPr>
            <w:noProof/>
            <w:webHidden/>
          </w:rPr>
          <w:tab/>
        </w:r>
        <w:r>
          <w:rPr>
            <w:noProof/>
            <w:webHidden/>
          </w:rPr>
          <w:fldChar w:fldCharType="begin"/>
        </w:r>
        <w:r>
          <w:rPr>
            <w:noProof/>
            <w:webHidden/>
          </w:rPr>
          <w:instrText xml:space="preserve"> PAGEREF _Toc300001579 \h </w:instrText>
        </w:r>
        <w:r>
          <w:rPr>
            <w:noProof/>
            <w:webHidden/>
          </w:rPr>
          <w:fldChar w:fldCharType="separate"/>
        </w:r>
        <w:r>
          <w:rPr>
            <w:noProof/>
            <w:webHidden/>
          </w:rPr>
          <w:t>1828</w:t>
        </w:r>
        <w:r>
          <w:rPr>
            <w:noProof/>
            <w:webHidden/>
          </w:rPr>
          <w:fldChar w:fldCharType="end"/>
        </w:r>
      </w:hyperlink>
    </w:p>
    <w:p>
      <w:pPr>
        <w:pStyle w:val="TOC2"/>
      </w:pPr>
      <w:hyperlink w:anchor="_Toc300001580" w:history="1">
        <w:r>
          <w:rPr>
            <w:noProof/>
          </w:rPr>
          <w:t xml:space="preserve">Article 42.3: Stumpage Neutrality Test</w:t>
        </w:r>
        <w:r>
          <w:rPr>
            <w:noProof/>
            <w:webHidden/>
          </w:rPr>
          <w:tab/>
        </w:r>
        <w:r>
          <w:rPr>
            <w:noProof/>
            <w:webHidden/>
          </w:rPr>
          <w:fldChar w:fldCharType="begin"/>
        </w:r>
        <w:r>
          <w:rPr>
            <w:noProof/>
            <w:webHidden/>
          </w:rPr>
          <w:instrText xml:space="preserve"> PAGEREF _Toc300001580 \h </w:instrText>
        </w:r>
        <w:r>
          <w:rPr>
            <w:noProof/>
            <w:webHidden/>
          </w:rPr>
          <w:fldChar w:fldCharType="separate"/>
        </w:r>
        <w:r>
          <w:rPr>
            <w:noProof/>
            <w:webHidden/>
          </w:rPr>
          <w:t>1828</w:t>
        </w:r>
        <w:r>
          <w:rPr>
            <w:noProof/>
            <w:webHidden/>
          </w:rPr>
          <w:fldChar w:fldCharType="end"/>
        </w:r>
      </w:hyperlink>
    </w:p>
    <w:p>
      <w:pPr>
        <w:pStyle w:val="TOC2"/>
      </w:pPr>
      <w:hyperlink w:anchor="_Toc300001581" w:history="1">
        <w:r>
          <w:rPr>
            <w:noProof/>
          </w:rPr>
          <w:t xml:space="preserve">Article 42.4: Expedited Softwood Review</w:t>
        </w:r>
        <w:r>
          <w:rPr>
            <w:noProof/>
            <w:webHidden/>
          </w:rPr>
          <w:tab/>
        </w:r>
        <w:r>
          <w:rPr>
            <w:noProof/>
            <w:webHidden/>
          </w:rPr>
          <w:fldChar w:fldCharType="begin"/>
        </w:r>
        <w:r>
          <w:rPr>
            <w:noProof/>
            <w:webHidden/>
          </w:rPr>
          <w:instrText xml:space="preserve"> PAGEREF _Toc300001581 \h </w:instrText>
        </w:r>
        <w:r>
          <w:rPr>
            <w:noProof/>
            <w:webHidden/>
          </w:rPr>
          <w:fldChar w:fldCharType="separate"/>
        </w:r>
        <w:r>
          <w:rPr>
            <w:noProof/>
            <w:webHidden/>
          </w:rPr>
          <w:t>1828</w:t>
        </w:r>
        <w:r>
          <w:rPr>
            <w:noProof/>
            <w:webHidden/>
          </w:rPr>
          <w:fldChar w:fldCharType="end"/>
        </w:r>
      </w:hyperlink>
    </w:p>
    <w:p>
      <w:pPr>
        <w:pStyle w:val="TOC2"/>
      </w:pPr>
      <w:hyperlink w:anchor="_Toc300001582" w:history="1">
        <w:r>
          <w:rPr>
            <w:noProof/>
          </w:rPr>
          <w:t xml:space="preserve">Article 42.5: Sustainable Forestry Facilitation</w:t>
        </w:r>
        <w:r>
          <w:rPr>
            <w:noProof/>
            <w:webHidden/>
          </w:rPr>
          <w:tab/>
        </w:r>
        <w:r>
          <w:rPr>
            <w:noProof/>
            <w:webHidden/>
          </w:rPr>
          <w:fldChar w:fldCharType="begin"/>
        </w:r>
        <w:r>
          <w:rPr>
            <w:noProof/>
            <w:webHidden/>
          </w:rPr>
          <w:instrText xml:space="preserve"> PAGEREF _Toc300001582 \h </w:instrText>
        </w:r>
        <w:r>
          <w:rPr>
            <w:noProof/>
            <w:webHidden/>
          </w:rPr>
          <w:fldChar w:fldCharType="separate"/>
        </w:r>
        <w:r>
          <w:rPr>
            <w:noProof/>
            <w:webHidden/>
          </w:rPr>
          <w:t>1829</w:t>
        </w:r>
        <w:r>
          <w:rPr>
            <w:noProof/>
            <w:webHidden/>
          </w:rPr>
          <w:fldChar w:fldCharType="end"/>
        </w:r>
      </w:hyperlink>
    </w:p>
    <w:p>
      <w:pPr>
        <w:pStyle w:val="TOC2"/>
      </w:pPr>
      <w:hyperlink w:anchor="_Toc300001583" w:history="1">
        <w:r>
          <w:rPr>
            <w:noProof/>
          </w:rPr>
          <w:t xml:space="preserve">Article 42.6: Forestry Adjustment and Modernization Facility</w:t>
        </w:r>
        <w:r>
          <w:rPr>
            <w:noProof/>
            <w:webHidden/>
          </w:rPr>
          <w:tab/>
        </w:r>
        <w:r>
          <w:rPr>
            <w:noProof/>
            <w:webHidden/>
          </w:rPr>
          <w:fldChar w:fldCharType="begin"/>
        </w:r>
        <w:r>
          <w:rPr>
            <w:noProof/>
            <w:webHidden/>
          </w:rPr>
          <w:instrText xml:space="preserve"> PAGEREF _Toc300001583 \h </w:instrText>
        </w:r>
        <w:r>
          <w:rPr>
            <w:noProof/>
            <w:webHidden/>
          </w:rPr>
          <w:fldChar w:fldCharType="separate"/>
        </w:r>
        <w:r>
          <w:rPr>
            <w:noProof/>
            <w:webHidden/>
          </w:rPr>
          <w:t>1829</w:t>
        </w:r>
        <w:r>
          <w:rPr>
            <w:noProof/>
            <w:webHidden/>
          </w:rPr>
          <w:fldChar w:fldCharType="end"/>
        </w:r>
      </w:hyperlink>
    </w:p>
    <w:p>
      <w:pPr>
        <w:pStyle w:val="TOC2"/>
      </w:pPr>
      <w:hyperlink w:anchor="_Toc300001584" w:history="1">
        <w:r>
          <w:rPr>
            <w:noProof/>
          </w:rPr>
          <w:t xml:space="preserve">Article 42.7: No-Fade Continuity and Rolling-Horizon Review</w:t>
        </w:r>
        <w:r>
          <w:rPr>
            <w:noProof/>
            <w:webHidden/>
          </w:rPr>
          <w:tab/>
        </w:r>
        <w:r>
          <w:rPr>
            <w:noProof/>
            <w:webHidden/>
          </w:rPr>
          <w:fldChar w:fldCharType="begin"/>
        </w:r>
        <w:r>
          <w:rPr>
            <w:noProof/>
            <w:webHidden/>
          </w:rPr>
          <w:instrText xml:space="preserve"> PAGEREF _Toc300001584 \h </w:instrText>
        </w:r>
        <w:r>
          <w:rPr>
            <w:noProof/>
            <w:webHidden/>
          </w:rPr>
          <w:fldChar w:fldCharType="separate"/>
        </w:r>
        <w:r>
          <w:rPr>
            <w:noProof/>
            <w:webHidden/>
          </w:rPr>
          <w:t>1829</w:t>
        </w:r>
        <w:r>
          <w:rPr>
            <w:noProof/>
            <w:webHidden/>
          </w:rPr>
          <w:fldChar w:fldCharType="end"/>
        </w:r>
      </w:hyperlink>
    </w:p>
    <w:p>
      <w:pPr>
        <w:pStyle w:val="TOC2"/>
      </w:pPr>
      <w:hyperlink w:anchor="_Toc300001585" w:history="1">
        <w:r>
          <w:rPr>
            <w:noProof/>
          </w:rPr>
          <w:t xml:space="preserve">Article 42.8: Objective-Criteria and Non-Arbitrariness Rule</w:t>
        </w:r>
        <w:r>
          <w:rPr>
            <w:noProof/>
            <w:webHidden/>
          </w:rPr>
          <w:tab/>
        </w:r>
        <w:r>
          <w:rPr>
            <w:noProof/>
            <w:webHidden/>
          </w:rPr>
          <w:fldChar w:fldCharType="begin"/>
        </w:r>
        <w:r>
          <w:rPr>
            <w:noProof/>
            <w:webHidden/>
          </w:rPr>
          <w:instrText xml:space="preserve"> PAGEREF _Toc300001585 \h </w:instrText>
        </w:r>
        <w:r>
          <w:rPr>
            <w:noProof/>
            <w:webHidden/>
          </w:rPr>
          <w:fldChar w:fldCharType="separate"/>
        </w:r>
        <w:r>
          <w:rPr>
            <w:noProof/>
            <w:webHidden/>
          </w:rPr>
          <w:t>1829</w:t>
        </w:r>
        <w:r>
          <w:rPr>
            <w:noProof/>
            <w:webHidden/>
          </w:rPr>
          <w:fldChar w:fldCharType="end"/>
        </w:r>
      </w:hyperlink>
    </w:p>
    <w:p>
      <w:pPr>
        <w:pStyle w:val="TOC2"/>
      </w:pPr>
      <w:hyperlink w:anchor="_Toc300001586" w:history="1">
        <w:r>
          <w:rPr>
            <w:noProof/>
          </w:rPr>
          <w:t xml:space="preserve">Article 42.9: Market-Based Forestry Practice Safe Harbor</w:t>
        </w:r>
        <w:r>
          <w:rPr>
            <w:noProof/>
            <w:webHidden/>
          </w:rPr>
          <w:tab/>
        </w:r>
        <w:r>
          <w:rPr>
            <w:noProof/>
            <w:webHidden/>
          </w:rPr>
          <w:fldChar w:fldCharType="begin"/>
        </w:r>
        <w:r>
          <w:rPr>
            <w:noProof/>
            <w:webHidden/>
          </w:rPr>
          <w:instrText xml:space="preserve"> PAGEREF _Toc300001586 \h </w:instrText>
        </w:r>
        <w:r>
          <w:rPr>
            <w:noProof/>
            <w:webHidden/>
          </w:rPr>
          <w:fldChar w:fldCharType="separate"/>
        </w:r>
        <w:r>
          <w:rPr>
            <w:noProof/>
            <w:webHidden/>
          </w:rPr>
          <w:t>1829</w:t>
        </w:r>
        <w:r>
          <w:rPr>
            <w:noProof/>
            <w:webHidden/>
          </w:rPr>
          <w:fldChar w:fldCharType="end"/>
        </w:r>
      </w:hyperlink>
    </w:p>
    <w:p>
      <w:pPr>
        <w:pStyle w:val="TOC2"/>
      </w:pPr>
      <w:hyperlink w:anchor="_Toc300001587" w:history="1">
        <w:r>
          <w:rPr>
            <w:noProof/>
          </w:rPr>
          <w:t xml:space="preserve">Article 42.10: North American Housing Supply and Affordability Cooperation</w:t>
        </w:r>
        <w:r>
          <w:rPr>
            <w:noProof/>
            <w:webHidden/>
          </w:rPr>
          <w:tab/>
        </w:r>
        <w:r>
          <w:rPr>
            <w:noProof/>
            <w:webHidden/>
          </w:rPr>
          <w:fldChar w:fldCharType="begin"/>
        </w:r>
        <w:r>
          <w:rPr>
            <w:noProof/>
            <w:webHidden/>
          </w:rPr>
          <w:instrText xml:space="preserve"> PAGEREF _Toc300001587 \h </w:instrText>
        </w:r>
        <w:r>
          <w:rPr>
            <w:noProof/>
            <w:webHidden/>
          </w:rPr>
          <w:fldChar w:fldCharType="separate"/>
        </w:r>
        <w:r>
          <w:rPr>
            <w:noProof/>
            <w:webHidden/>
          </w:rPr>
          <w:t>1830</w:t>
        </w:r>
        <w:r>
          <w:rPr>
            <w:noProof/>
            <w:webHidden/>
          </w:rPr>
          <w:fldChar w:fldCharType="end"/>
        </w:r>
      </w:hyperlink>
    </w:p>
    <w:p>
      <w:pPr>
        <w:pStyle w:val="TOC2"/>
      </w:pPr>
      <w:hyperlink w:anchor="_Toc300001588" w:history="1">
        <w:r>
          <w:rPr>
            <w:noProof/>
          </w:rPr>
          <w:t xml:space="preserve">Article 42.11: Housing and Disaster Reconstruction Emergency Valve</w:t>
        </w:r>
        <w:r>
          <w:rPr>
            <w:noProof/>
            <w:webHidden/>
          </w:rPr>
          <w:tab/>
        </w:r>
        <w:r>
          <w:rPr>
            <w:noProof/>
            <w:webHidden/>
          </w:rPr>
          <w:fldChar w:fldCharType="begin"/>
        </w:r>
        <w:r>
          <w:rPr>
            <w:noProof/>
            <w:webHidden/>
          </w:rPr>
          <w:instrText xml:space="preserve"> PAGEREF _Toc300001588 \h </w:instrText>
        </w:r>
        <w:r>
          <w:rPr>
            <w:noProof/>
            <w:webHidden/>
          </w:rPr>
          <w:fldChar w:fldCharType="separate"/>
        </w:r>
        <w:r>
          <w:rPr>
            <w:noProof/>
            <w:webHidden/>
          </w:rPr>
          <w:t>1830</w:t>
        </w:r>
        <w:r>
          <w:rPr>
            <w:noProof/>
            <w:webHidden/>
          </w:rPr>
          <w:fldChar w:fldCharType="end"/>
        </w:r>
      </w:hyperlink>
    </w:p>
    <w:p>
      <w:pPr>
        <w:pStyle w:val="TOC2"/>
      </w:pPr>
      <w:hyperlink w:anchor="_Toc300001589" w:history="1">
        <w:r>
          <w:rPr>
            <w:noProof/>
          </w:rPr>
          <w:t xml:space="preserve">Article 42.12: Advanced Wood Products and Value-Added Manufacturing Corridor</w:t>
        </w:r>
        <w:r>
          <w:rPr>
            <w:noProof/>
            <w:webHidden/>
          </w:rPr>
          <w:tab/>
        </w:r>
        <w:r>
          <w:rPr>
            <w:noProof/>
            <w:webHidden/>
          </w:rPr>
          <w:fldChar w:fldCharType="begin"/>
        </w:r>
        <w:r>
          <w:rPr>
            <w:noProof/>
            <w:webHidden/>
          </w:rPr>
          <w:instrText xml:space="preserve"> PAGEREF _Toc300001589 \h </w:instrText>
        </w:r>
        <w:r>
          <w:rPr>
            <w:noProof/>
            <w:webHidden/>
          </w:rPr>
          <w:fldChar w:fldCharType="separate"/>
        </w:r>
        <w:r>
          <w:rPr>
            <w:noProof/>
            <w:webHidden/>
          </w:rPr>
          <w:t>1830</w:t>
        </w:r>
        <w:r>
          <w:rPr>
            <w:noProof/>
            <w:webHidden/>
          </w:rPr>
          <w:fldChar w:fldCharType="end"/>
        </w:r>
      </w:hyperlink>
    </w:p>
    <w:p>
      <w:pPr>
        <w:pStyle w:val="TOC2"/>
      </w:pPr>
      <w:hyperlink w:anchor="_Toc300001590" w:history="1">
        <w:r>
          <w:rPr>
            <w:noProof/>
          </w:rPr>
          <w:t xml:space="preserve">Article 42.13: Forest Products Mutual Recognition Framework</w:t>
        </w:r>
        <w:r>
          <w:rPr>
            <w:noProof/>
            <w:webHidden/>
          </w:rPr>
          <w:tab/>
        </w:r>
        <w:r>
          <w:rPr>
            <w:noProof/>
            <w:webHidden/>
          </w:rPr>
          <w:fldChar w:fldCharType="begin"/>
        </w:r>
        <w:r>
          <w:rPr>
            <w:noProof/>
            <w:webHidden/>
          </w:rPr>
          <w:instrText xml:space="preserve"> PAGEREF _Toc300001590 \h </w:instrText>
        </w:r>
        <w:r>
          <w:rPr>
            <w:noProof/>
            <w:webHidden/>
          </w:rPr>
          <w:fldChar w:fldCharType="separate"/>
        </w:r>
        <w:r>
          <w:rPr>
            <w:noProof/>
            <w:webHidden/>
          </w:rPr>
          <w:t>1831</w:t>
        </w:r>
        <w:r>
          <w:rPr>
            <w:noProof/>
            <w:webHidden/>
          </w:rPr>
          <w:fldChar w:fldCharType="end"/>
        </w:r>
      </w:hyperlink>
    </w:p>
    <w:p>
      <w:pPr>
        <w:pStyle w:val="TOC2"/>
      </w:pPr>
      <w:hyperlink w:anchor="_Toc300001591" w:history="1">
        <w:r>
          <w:rPr>
            <w:noProof/>
          </w:rPr>
          <w:t xml:space="preserve">Article 42.14: Prospective Treatment, Advance Notice, and Reliance Protection</w:t>
        </w:r>
        <w:r>
          <w:rPr>
            <w:noProof/>
            <w:webHidden/>
          </w:rPr>
          <w:tab/>
        </w:r>
        <w:r>
          <w:rPr>
            <w:noProof/>
            <w:webHidden/>
          </w:rPr>
          <w:fldChar w:fldCharType="begin"/>
        </w:r>
        <w:r>
          <w:rPr>
            <w:noProof/>
            <w:webHidden/>
          </w:rPr>
          <w:instrText xml:space="preserve"> PAGEREF _Toc300001591 \h </w:instrText>
        </w:r>
        <w:r>
          <w:rPr>
            <w:noProof/>
            <w:webHidden/>
          </w:rPr>
          <w:fldChar w:fldCharType="separate"/>
        </w:r>
        <w:r>
          <w:rPr>
            <w:noProof/>
            <w:webHidden/>
          </w:rPr>
          <w:t>1831</w:t>
        </w:r>
        <w:r>
          <w:rPr>
            <w:noProof/>
            <w:webHidden/>
          </w:rPr>
          <w:fldChar w:fldCharType="end"/>
        </w:r>
      </w:hyperlink>
    </w:p>
    <w:p>
      <w:pPr>
        <w:pStyle w:val="TOC2"/>
      </w:pPr>
      <w:hyperlink w:anchor="_Toc300001592" w:history="1">
        <w:r>
          <w:rPr>
            <w:noProof/>
          </w:rPr>
          <w:t xml:space="preserve">Article 42.15: Trusted Forest Products Trade Lane</w:t>
        </w:r>
        <w:r>
          <w:rPr>
            <w:noProof/>
            <w:webHidden/>
          </w:rPr>
          <w:tab/>
        </w:r>
        <w:r>
          <w:rPr>
            <w:noProof/>
            <w:webHidden/>
          </w:rPr>
          <w:fldChar w:fldCharType="begin"/>
        </w:r>
        <w:r>
          <w:rPr>
            <w:noProof/>
            <w:webHidden/>
          </w:rPr>
          <w:instrText xml:space="preserve"> PAGEREF _Toc300001592 \h </w:instrText>
        </w:r>
        <w:r>
          <w:rPr>
            <w:noProof/>
            <w:webHidden/>
          </w:rPr>
          <w:fldChar w:fldCharType="separate"/>
        </w:r>
        <w:r>
          <w:rPr>
            <w:noProof/>
            <w:webHidden/>
          </w:rPr>
          <w:t>1831</w:t>
        </w:r>
        <w:r>
          <w:rPr>
            <w:noProof/>
            <w:webHidden/>
          </w:rPr>
          <w:fldChar w:fldCharType="end"/>
        </w:r>
      </w:hyperlink>
    </w:p>
    <w:p>
      <w:pPr>
        <w:pStyle w:val="TOC2"/>
      </w:pPr>
      <w:hyperlink w:anchor="_Toc300001593" w:history="1">
        <w:r>
          <w:rPr>
            <w:noProof/>
          </w:rPr>
          <w:t xml:space="preserve">Article 42.16: Forestry Resilience and Forest-Health Partnership</w:t>
        </w:r>
        <w:r>
          <w:rPr>
            <w:noProof/>
            <w:webHidden/>
          </w:rPr>
          <w:tab/>
        </w:r>
        <w:r>
          <w:rPr>
            <w:noProof/>
            <w:webHidden/>
          </w:rPr>
          <w:fldChar w:fldCharType="begin"/>
        </w:r>
        <w:r>
          <w:rPr>
            <w:noProof/>
            <w:webHidden/>
          </w:rPr>
          <w:instrText xml:space="preserve"> PAGEREF _Toc300001593 \h </w:instrText>
        </w:r>
        <w:r>
          <w:rPr>
            <w:noProof/>
            <w:webHidden/>
          </w:rPr>
          <w:fldChar w:fldCharType="separate"/>
        </w:r>
        <w:r>
          <w:rPr>
            <w:noProof/>
            <w:webHidden/>
          </w:rPr>
          <w:t>1832</w:t>
        </w:r>
        <w:r>
          <w:rPr>
            <w:noProof/>
            <w:webHidden/>
          </w:rPr>
          <w:fldChar w:fldCharType="end"/>
        </w:r>
      </w:hyperlink>
    </w:p>
    <w:p>
      <w:pPr>
        <w:pStyle w:val="TOC2"/>
      </w:pPr>
      <w:hyperlink w:anchor="_Toc300001594" w:history="1">
        <w:r>
          <w:rPr>
            <w:noProof/>
          </w:rPr>
          <w:t xml:space="preserve">Article 42.17: Indigenous and Community Forestry Participation</w:t>
        </w:r>
        <w:r>
          <w:rPr>
            <w:noProof/>
            <w:webHidden/>
          </w:rPr>
          <w:tab/>
        </w:r>
        <w:r>
          <w:rPr>
            <w:noProof/>
            <w:webHidden/>
          </w:rPr>
          <w:fldChar w:fldCharType="begin"/>
        </w:r>
        <w:r>
          <w:rPr>
            <w:noProof/>
            <w:webHidden/>
          </w:rPr>
          <w:instrText xml:space="preserve"> PAGEREF _Toc300001594 \h </w:instrText>
        </w:r>
        <w:r>
          <w:rPr>
            <w:noProof/>
            <w:webHidden/>
          </w:rPr>
          <w:fldChar w:fldCharType="separate"/>
        </w:r>
        <w:r>
          <w:rPr>
            <w:noProof/>
            <w:webHidden/>
          </w:rPr>
          <w:t>1832</w:t>
        </w:r>
        <w:r>
          <w:rPr>
            <w:noProof/>
            <w:webHidden/>
          </w:rPr>
          <w:fldChar w:fldCharType="end"/>
        </w:r>
      </w:hyperlink>
    </w:p>
    <w:p>
      <w:pPr>
        <w:pStyle w:val="TOC2"/>
      </w:pPr>
      <w:hyperlink w:anchor="_Toc300001595" w:history="1">
        <w:r>
          <w:rPr>
            <w:noProof/>
          </w:rPr>
          <w:t xml:space="preserve">Article 42.18: Federal and Public-Sector Construction Cooperation</w:t>
        </w:r>
        <w:r>
          <w:rPr>
            <w:noProof/>
            <w:webHidden/>
          </w:rPr>
          <w:tab/>
        </w:r>
        <w:r>
          <w:rPr>
            <w:noProof/>
            <w:webHidden/>
          </w:rPr>
          <w:fldChar w:fldCharType="begin"/>
        </w:r>
        <w:r>
          <w:rPr>
            <w:noProof/>
            <w:webHidden/>
          </w:rPr>
          <w:instrText xml:space="preserve"> PAGEREF _Toc300001595 \h </w:instrText>
        </w:r>
        <w:r>
          <w:rPr>
            <w:noProof/>
            <w:webHidden/>
          </w:rPr>
          <w:fldChar w:fldCharType="separate"/>
        </w:r>
        <w:r>
          <w:rPr>
            <w:noProof/>
            <w:webHidden/>
          </w:rPr>
          <w:t>1832</w:t>
        </w:r>
        <w:r>
          <w:rPr>
            <w:noProof/>
            <w:webHidden/>
          </w:rPr>
          <w:fldChar w:fldCharType="end"/>
        </w:r>
      </w:hyperlink>
    </w:p>
    <w:p>
      <w:pPr>
        <w:pStyle w:val="TOC2"/>
      </w:pPr>
      <w:hyperlink w:anchor="_Toc300001596" w:history="1">
        <w:r>
          <w:rPr>
            <w:noProof/>
          </w:rPr>
          <w:t xml:space="preserve">Article 42.19: Softwood Lumber Technical Consultation and Cothrom Interface</w:t>
        </w:r>
        <w:r>
          <w:rPr>
            <w:noProof/>
            <w:webHidden/>
          </w:rPr>
          <w:tab/>
        </w:r>
        <w:r>
          <w:rPr>
            <w:noProof/>
            <w:webHidden/>
          </w:rPr>
          <w:fldChar w:fldCharType="begin"/>
        </w:r>
        <w:r>
          <w:rPr>
            <w:noProof/>
            <w:webHidden/>
          </w:rPr>
          <w:instrText xml:space="preserve"> PAGEREF _Toc300001596 \h </w:instrText>
        </w:r>
        <w:r>
          <w:rPr>
            <w:noProof/>
            <w:webHidden/>
          </w:rPr>
          <w:fldChar w:fldCharType="separate"/>
        </w:r>
        <w:r>
          <w:rPr>
            <w:noProof/>
            <w:webHidden/>
          </w:rPr>
          <w:t>1833</w:t>
        </w:r>
        <w:r>
          <w:rPr>
            <w:noProof/>
            <w:webHidden/>
          </w:rPr>
          <w:fldChar w:fldCharType="end"/>
        </w:r>
      </w:hyperlink>
    </w:p>
    <w:p>
      <w:pPr>
        <w:pStyle w:val="TOC2"/>
      </w:pPr>
      <w:hyperlink w:anchor="_Toc300001597" w:history="1">
        <w:r>
          <w:rPr>
            <w:noProof/>
          </w:rPr>
          <w:t xml:space="preserve">Article 42.20: Performance Measurement and Rolling-Horizon Work Program</w:t>
        </w:r>
        <w:r>
          <w:rPr>
            <w:noProof/>
            <w:webHidden/>
          </w:rPr>
          <w:tab/>
        </w:r>
        <w:r>
          <w:rPr>
            <w:noProof/>
            <w:webHidden/>
          </w:rPr>
          <w:fldChar w:fldCharType="begin"/>
        </w:r>
        <w:r>
          <w:rPr>
            <w:noProof/>
            <w:webHidden/>
          </w:rPr>
          <w:instrText xml:space="preserve"> PAGEREF _Toc300001597 \h </w:instrText>
        </w:r>
        <w:r>
          <w:rPr>
            <w:noProof/>
            <w:webHidden/>
          </w:rPr>
          <w:fldChar w:fldCharType="separate"/>
        </w:r>
        <w:r>
          <w:rPr>
            <w:noProof/>
            <w:webHidden/>
          </w:rPr>
          <w:t>1833</w:t>
        </w:r>
        <w:r>
          <w:rPr>
            <w:noProof/>
            <w:webHidden/>
          </w:rPr>
          <w:fldChar w:fldCharType="end"/>
        </w:r>
      </w:hyperlink>
    </w:p>
    <w:p>
      <w:pPr>
        <w:pStyle w:val="TOC2"/>
      </w:pPr>
      <w:hyperlink w:anchor="_Toc300001598" w:history="1">
        <w:r>
          <w:rPr>
            <w:noProof/>
          </w:rPr>
          <w:t xml:space="preserve">Article 42.X: Limited Bridge to Chapter 35</w:t>
        </w:r>
        <w:r>
          <w:rPr>
            <w:noProof/>
            <w:webHidden/>
          </w:rPr>
          <w:tab/>
        </w:r>
        <w:r>
          <w:rPr>
            <w:noProof/>
            <w:webHidden/>
          </w:rPr>
          <w:fldChar w:fldCharType="begin"/>
        </w:r>
        <w:r>
          <w:rPr>
            <w:noProof/>
            <w:webHidden/>
          </w:rPr>
          <w:instrText xml:space="preserve"> PAGEREF _Toc300001598 \h </w:instrText>
        </w:r>
        <w:r>
          <w:rPr>
            <w:noProof/>
            <w:webHidden/>
          </w:rPr>
          <w:fldChar w:fldCharType="separate"/>
        </w:r>
        <w:r>
          <w:rPr>
            <w:noProof/>
            <w:webHidden/>
          </w:rPr>
          <w:t>1833</w:t>
        </w:r>
        <w:r>
          <w:rPr>
            <w:noProof/>
            <w:webHidden/>
          </w:rPr>
          <w:fldChar w:fldCharType="end"/>
        </w:r>
      </w:hyperlink>
    </w:p>
    <w:p>
      <w:pPr>
        <w:pStyle w:val="TOC2"/>
      </w:pPr>
      <w:hyperlink w:anchor="_Toc300001599" w:history="1">
        <w:r>
          <w:rPr>
            <w:noProof/>
          </w:rPr>
          <w:t xml:space="preserve">Article 42.19A: Strategic Minerals-for-Forestry Normalization Framework</w:t>
        </w:r>
        <w:r>
          <w:rPr>
            <w:noProof/>
            <w:webHidden/>
          </w:rPr>
          <w:tab/>
        </w:r>
        <w:r>
          <w:rPr>
            <w:noProof/>
            <w:webHidden/>
          </w:rPr>
          <w:fldChar w:fldCharType="begin"/>
        </w:r>
        <w:r>
          <w:rPr>
            <w:noProof/>
            <w:webHidden/>
          </w:rPr>
          <w:instrText xml:space="preserve"> PAGEREF _Toc300001599 \h </w:instrText>
        </w:r>
        <w:r>
          <w:rPr>
            <w:noProof/>
            <w:webHidden/>
          </w:rPr>
          <w:fldChar w:fldCharType="separate"/>
        </w:r>
        <w:r>
          <w:rPr>
            <w:noProof/>
            <w:webHidden/>
          </w:rPr>
          <w:t>1834</w:t>
        </w:r>
        <w:r>
          <w:rPr>
            <w:noProof/>
            <w:webHidden/>
          </w:rPr>
          <w:fldChar w:fldCharType="end"/>
        </w:r>
      </w:hyperlink>
    </w:p>
    <w:p>
      <w:pPr>
        <w:pStyle w:val="TOC2"/>
      </w:pPr>
      <w:hyperlink w:anchor="_Toc300001600" w:history="1">
        <w:r>
          <w:rPr>
            <w:noProof/>
          </w:rPr>
          <w:t xml:space="preserve">Article 42.20A: Staged Forestry Normalization</w:t>
        </w:r>
        <w:r>
          <w:rPr>
            <w:noProof/>
            <w:webHidden/>
          </w:rPr>
          <w:tab/>
        </w:r>
        <w:r>
          <w:rPr>
            <w:noProof/>
            <w:webHidden/>
          </w:rPr>
          <w:fldChar w:fldCharType="begin"/>
        </w:r>
        <w:r>
          <w:rPr>
            <w:noProof/>
            <w:webHidden/>
          </w:rPr>
          <w:instrText xml:space="preserve"> PAGEREF _Toc300001600 \h </w:instrText>
        </w:r>
        <w:r>
          <w:rPr>
            <w:noProof/>
            <w:webHidden/>
          </w:rPr>
          <w:fldChar w:fldCharType="separate"/>
        </w:r>
        <w:r>
          <w:rPr>
            <w:noProof/>
            <w:webHidden/>
          </w:rPr>
          <w:t>1834</w:t>
        </w:r>
        <w:r>
          <w:rPr>
            <w:noProof/>
            <w:webHidden/>
          </w:rPr>
          <w:fldChar w:fldCharType="end"/>
        </w:r>
      </w:hyperlink>
    </w:p>
    <w:p>
      <w:pPr>
        <w:pStyle w:val="TOC2"/>
      </w:pPr>
      <w:hyperlink w:anchor="_Toc300001601" w:history="1">
        <w:r>
          <w:rPr>
            <w:noProof/>
          </w:rPr>
          <w:t xml:space="preserve">Article 42.21: Institutional Performance Rather Than Compulsory Tonnage</w:t>
        </w:r>
        <w:r>
          <w:rPr>
            <w:noProof/>
            <w:webHidden/>
          </w:rPr>
          <w:tab/>
        </w:r>
        <w:r>
          <w:rPr>
            <w:noProof/>
            <w:webHidden/>
          </w:rPr>
          <w:fldChar w:fldCharType="begin"/>
        </w:r>
        <w:r>
          <w:rPr>
            <w:noProof/>
            <w:webHidden/>
          </w:rPr>
          <w:instrText xml:space="preserve"> PAGEREF _Toc300001601 \h </w:instrText>
        </w:r>
        <w:r>
          <w:rPr>
            <w:noProof/>
            <w:webHidden/>
          </w:rPr>
          <w:fldChar w:fldCharType="separate"/>
        </w:r>
        <w:r>
          <w:rPr>
            <w:noProof/>
            <w:webHidden/>
          </w:rPr>
          <w:t>1835</w:t>
        </w:r>
        <w:r>
          <w:rPr>
            <w:noProof/>
            <w:webHidden/>
          </w:rPr>
          <w:fldChar w:fldCharType="end"/>
        </w:r>
      </w:hyperlink>
    </w:p>
    <w:p>
      <w:pPr>
        <w:pStyle w:val="TOC2"/>
      </w:pPr>
      <w:hyperlink w:anchor="_Toc300001602" w:history="1">
        <w:r>
          <w:rPr>
            <w:noProof/>
          </w:rPr>
          <w:t xml:space="preserve">Article 42.22: Proportional Linkage and No Essential-Supply Cutoff</w:t>
        </w:r>
        <w:r>
          <w:rPr>
            <w:noProof/>
            <w:webHidden/>
          </w:rPr>
          <w:tab/>
        </w:r>
        <w:r>
          <w:rPr>
            <w:noProof/>
            <w:webHidden/>
          </w:rPr>
          <w:fldChar w:fldCharType="begin"/>
        </w:r>
        <w:r>
          <w:rPr>
            <w:noProof/>
            <w:webHidden/>
          </w:rPr>
          <w:instrText xml:space="preserve"> PAGEREF _Toc300001602 \h </w:instrText>
        </w:r>
        <w:r>
          <w:rPr>
            <w:noProof/>
            <w:webHidden/>
          </w:rPr>
          <w:fldChar w:fldCharType="separate"/>
        </w:r>
        <w:r>
          <w:rPr>
            <w:noProof/>
            <w:webHidden/>
          </w:rPr>
          <w:t>1835</w:t>
        </w:r>
        <w:r>
          <w:rPr>
            <w:noProof/>
            <w:webHidden/>
          </w:rPr>
          <w:fldChar w:fldCharType="end"/>
        </w:r>
      </w:hyperlink>
    </w:p>
    <w:p>
      <w:pPr>
        <w:pStyle w:val="TOC2"/>
      </w:pPr>
      <w:hyperlink w:anchor="_Toc300001603" w:history="1">
        <w:r>
          <w:rPr>
            <w:noProof/>
          </w:rPr>
          <w:t xml:space="preserve">Article 42.23: Joint Forestry and Strategic Materials Review</w:t>
        </w:r>
        <w:r>
          <w:rPr>
            <w:noProof/>
            <w:webHidden/>
          </w:rPr>
          <w:tab/>
        </w:r>
        <w:r>
          <w:rPr>
            <w:noProof/>
            <w:webHidden/>
          </w:rPr>
          <w:fldChar w:fldCharType="begin"/>
        </w:r>
        <w:r>
          <w:rPr>
            <w:noProof/>
            <w:webHidden/>
          </w:rPr>
          <w:instrText xml:space="preserve"> PAGEREF _Toc300001603 \h </w:instrText>
        </w:r>
        <w:r>
          <w:rPr>
            <w:noProof/>
            <w:webHidden/>
          </w:rPr>
          <w:fldChar w:fldCharType="separate"/>
        </w:r>
        <w:r>
          <w:rPr>
            <w:noProof/>
            <w:webHidden/>
          </w:rPr>
          <w:t>1835</w:t>
        </w:r>
        <w:r>
          <w:rPr>
            <w:noProof/>
            <w:webHidden/>
          </w:rPr>
          <w:fldChar w:fldCharType="end"/>
        </w:r>
      </w:hyperlink>
    </w:p>
    <w:p>
      <w:pPr>
        <w:pStyle w:val="TOC2"/>
      </w:pPr>
      <w:hyperlink w:anchor="_Toc300001604" w:history="1">
        <w:r>
          <w:rPr>
            <w:noProof/>
          </w:rPr>
          <w:t xml:space="preserve">Article 42.23A: Strategic Materials-for-Forestry Normalization Ladder</w:t>
        </w:r>
        <w:r>
          <w:rPr>
            <w:noProof/>
            <w:webHidden/>
          </w:rPr>
          <w:tab/>
        </w:r>
        <w:r>
          <w:rPr>
            <w:noProof/>
            <w:webHidden/>
          </w:rPr>
          <w:fldChar w:fldCharType="begin"/>
        </w:r>
        <w:r>
          <w:rPr>
            <w:noProof/>
            <w:webHidden/>
          </w:rPr>
          <w:instrText xml:space="preserve"> PAGEREF _Toc300001604 \h </w:instrText>
        </w:r>
        <w:r>
          <w:rPr>
            <w:noProof/>
            <w:webHidden/>
          </w:rPr>
          <w:fldChar w:fldCharType="separate"/>
        </w:r>
        <w:r>
          <w:rPr>
            <w:noProof/>
            <w:webHidden/>
          </w:rPr>
          <w:t>1835</w:t>
        </w:r>
        <w:r>
          <w:rPr>
            <w:noProof/>
            <w:webHidden/>
          </w:rPr>
          <w:fldChar w:fldCharType="end"/>
        </w:r>
      </w:hyperlink>
    </w:p>
    <w:p>
      <w:pPr>
        <w:pStyle w:val="TOC2"/>
      </w:pPr>
      <w:hyperlink w:anchor="_Toc300001605" w:history="1">
        <w:r>
          <w:rPr>
            <w:noProof/>
          </w:rPr>
          <w:t xml:space="preserve">Article 42.23B: No Double Payment, No Commodity Contagion, and Value Preservation</w:t>
        </w:r>
        <w:r>
          <w:rPr>
            <w:noProof/>
            <w:webHidden/>
          </w:rPr>
          <w:tab/>
        </w:r>
        <w:r>
          <w:rPr>
            <w:noProof/>
            <w:webHidden/>
          </w:rPr>
          <w:fldChar w:fldCharType="begin"/>
        </w:r>
        <w:r>
          <w:rPr>
            <w:noProof/>
            <w:webHidden/>
          </w:rPr>
          <w:instrText xml:space="preserve"> PAGEREF _Toc300001605 \h </w:instrText>
        </w:r>
        <w:r>
          <w:rPr>
            <w:noProof/>
            <w:webHidden/>
          </w:rPr>
          <w:fldChar w:fldCharType="separate"/>
        </w:r>
        <w:r>
          <w:rPr>
            <w:noProof/>
            <w:webHidden/>
          </w:rPr>
          <w:t>1836</w:t>
        </w:r>
        <w:r>
          <w:rPr>
            <w:noProof/>
            <w:webHidden/>
          </w:rPr>
          <w:fldChar w:fldCharType="end"/>
        </w:r>
      </w:hyperlink>
    </w:p>
    <w:p>
      <w:pPr>
        <w:pStyle w:val="TOC2"/>
      </w:pPr>
      <w:hyperlink w:anchor="_Toc300001606" w:history="1">
        <w:r>
          <w:rPr>
            <w:noProof/>
          </w:rPr>
          <w:t xml:space="preserve">Article 42.24: Trilateral Forestry and Wood-Products Integration Lane</w:t>
        </w:r>
        <w:r>
          <w:rPr>
            <w:noProof/>
            <w:webHidden/>
          </w:rPr>
          <w:tab/>
        </w:r>
        <w:r>
          <w:rPr>
            <w:noProof/>
            <w:webHidden/>
          </w:rPr>
          <w:fldChar w:fldCharType="begin"/>
        </w:r>
        <w:r>
          <w:rPr>
            <w:noProof/>
            <w:webHidden/>
          </w:rPr>
          <w:instrText xml:space="preserve"> PAGEREF _Toc300001606 \h </w:instrText>
        </w:r>
        <w:r>
          <w:rPr>
            <w:noProof/>
            <w:webHidden/>
          </w:rPr>
          <w:fldChar w:fldCharType="separate"/>
        </w:r>
        <w:r>
          <w:rPr>
            <w:noProof/>
            <w:webHidden/>
          </w:rPr>
          <w:t>1837</w:t>
        </w:r>
        <w:r>
          <w:rPr>
            <w:noProof/>
            <w:webHidden/>
          </w:rPr>
          <w:fldChar w:fldCharType="end"/>
        </w:r>
      </w:hyperlink>
    </w:p>
    <w:p>
      <w:pPr>
        <w:pStyle w:val="TOC2"/>
      </w:pPr>
      <w:hyperlink w:anchor="_Toc300001607" w:history="1">
        <w:r>
          <w:rPr>
            <w:noProof/>
          </w:rPr>
          <w:t xml:space="preserve">Article 42.25: Mexican Lumber Supply Security and Canadian Market Diversification</w:t>
        </w:r>
        <w:r>
          <w:rPr>
            <w:noProof/>
            <w:webHidden/>
          </w:rPr>
          <w:tab/>
        </w:r>
        <w:r>
          <w:rPr>
            <w:noProof/>
            <w:webHidden/>
          </w:rPr>
          <w:fldChar w:fldCharType="begin"/>
        </w:r>
        <w:r>
          <w:rPr>
            <w:noProof/>
            <w:webHidden/>
          </w:rPr>
          <w:instrText xml:space="preserve"> PAGEREF _Toc300001607 \h </w:instrText>
        </w:r>
        <w:r>
          <w:rPr>
            <w:noProof/>
            <w:webHidden/>
          </w:rPr>
          <w:fldChar w:fldCharType="separate"/>
        </w:r>
        <w:r>
          <w:rPr>
            <w:noProof/>
            <w:webHidden/>
          </w:rPr>
          <w:t>1837</w:t>
        </w:r>
        <w:r>
          <w:rPr>
            <w:noProof/>
            <w:webHidden/>
          </w:rPr>
          <w:fldChar w:fldCharType="end"/>
        </w:r>
      </w:hyperlink>
    </w:p>
    <w:p>
      <w:pPr>
        <w:pStyle w:val="TOC2"/>
      </w:pPr>
      <w:hyperlink w:anchor="_Toc300001608" w:history="1">
        <w:r>
          <w:rPr>
            <w:noProof/>
          </w:rPr>
          <w:t xml:space="preserve">Article 42.26: Mexican Value-Added Wood Manufacturing and North American Transformation</w:t>
        </w:r>
        <w:r>
          <w:rPr>
            <w:noProof/>
            <w:webHidden/>
          </w:rPr>
          <w:tab/>
        </w:r>
        <w:r>
          <w:rPr>
            <w:noProof/>
            <w:webHidden/>
          </w:rPr>
          <w:fldChar w:fldCharType="begin"/>
        </w:r>
        <w:r>
          <w:rPr>
            <w:noProof/>
            <w:webHidden/>
          </w:rPr>
          <w:instrText xml:space="preserve"> PAGEREF _Toc300001608 \h </w:instrText>
        </w:r>
        <w:r>
          <w:rPr>
            <w:noProof/>
            <w:webHidden/>
          </w:rPr>
          <w:fldChar w:fldCharType="separate"/>
        </w:r>
        <w:r>
          <w:rPr>
            <w:noProof/>
            <w:webHidden/>
          </w:rPr>
          <w:t>1838</w:t>
        </w:r>
        <w:r>
          <w:rPr>
            <w:noProof/>
            <w:webHidden/>
          </w:rPr>
          <w:fldChar w:fldCharType="end"/>
        </w:r>
      </w:hyperlink>
    </w:p>
    <w:p>
      <w:pPr>
        <w:pStyle w:val="TOC2"/>
      </w:pPr>
      <w:hyperlink w:anchor="_Toc300001609" w:history="1">
        <w:r>
          <w:rPr>
            <w:noProof/>
          </w:rPr>
          <w:t xml:space="preserve">Article 42.27: Forest-to-Factory Corridors and Housing Inputs</w:t>
        </w:r>
        <w:r>
          <w:rPr>
            <w:noProof/>
            <w:webHidden/>
          </w:rPr>
          <w:tab/>
        </w:r>
        <w:r>
          <w:rPr>
            <w:noProof/>
            <w:webHidden/>
          </w:rPr>
          <w:fldChar w:fldCharType="begin"/>
        </w:r>
        <w:r>
          <w:rPr>
            <w:noProof/>
            <w:webHidden/>
          </w:rPr>
          <w:instrText xml:space="preserve"> PAGEREF _Toc300001609 \h </w:instrText>
        </w:r>
        <w:r>
          <w:rPr>
            <w:noProof/>
            <w:webHidden/>
          </w:rPr>
          <w:fldChar w:fldCharType="separate"/>
        </w:r>
        <w:r>
          <w:rPr>
            <w:noProof/>
            <w:webHidden/>
          </w:rPr>
          <w:t>1838</w:t>
        </w:r>
        <w:r>
          <w:rPr>
            <w:noProof/>
            <w:webHidden/>
          </w:rPr>
          <w:fldChar w:fldCharType="end"/>
        </w:r>
      </w:hyperlink>
    </w:p>
    <w:p>
      <w:pPr>
        <w:pStyle w:val="TOC2"/>
      </w:pPr>
      <w:hyperlink w:anchor="_Toc300001610" w:history="1">
        <w:r>
          <w:rPr>
            <w:noProof/>
          </w:rPr>
          <w:t xml:space="preserve">Article 42.28: Salvage-to-Value and Forest Recovery Cooperation</w:t>
        </w:r>
        <w:r>
          <w:rPr>
            <w:noProof/>
            <w:webHidden/>
          </w:rPr>
          <w:tab/>
        </w:r>
        <w:r>
          <w:rPr>
            <w:noProof/>
            <w:webHidden/>
          </w:rPr>
          <w:fldChar w:fldCharType="begin"/>
        </w:r>
        <w:r>
          <w:rPr>
            <w:noProof/>
            <w:webHidden/>
          </w:rPr>
          <w:instrText xml:space="preserve"> PAGEREF _Toc300001610 \h </w:instrText>
        </w:r>
        <w:r>
          <w:rPr>
            <w:noProof/>
            <w:webHidden/>
          </w:rPr>
          <w:fldChar w:fldCharType="separate"/>
        </w:r>
        <w:r>
          <w:rPr>
            <w:noProof/>
            <w:webHidden/>
          </w:rPr>
          <w:t>1838</w:t>
        </w:r>
        <w:r>
          <w:rPr>
            <w:noProof/>
            <w:webHidden/>
          </w:rPr>
          <w:fldChar w:fldCharType="end"/>
        </w:r>
      </w:hyperlink>
    </w:p>
    <w:p>
      <w:pPr>
        <w:pStyle w:val="TOC2"/>
      </w:pPr>
      <w:hyperlink w:anchor="_Toc300001611" w:history="1">
        <w:r>
          <w:rPr>
            <w:noProof/>
          </w:rPr>
          <w:t xml:space="preserve">Article 42.29: Mexico Non-Participation Firewall for Bilateral Lumber Remedies</w:t>
        </w:r>
        <w:r>
          <w:rPr>
            <w:noProof/>
            <w:webHidden/>
          </w:rPr>
          <w:tab/>
        </w:r>
        <w:r>
          <w:rPr>
            <w:noProof/>
            <w:webHidden/>
          </w:rPr>
          <w:fldChar w:fldCharType="begin"/>
        </w:r>
        <w:r>
          <w:rPr>
            <w:noProof/>
            <w:webHidden/>
          </w:rPr>
          <w:instrText xml:space="preserve"> PAGEREF _Toc300001611 \h </w:instrText>
        </w:r>
        <w:r>
          <w:rPr>
            <w:noProof/>
            <w:webHidden/>
          </w:rPr>
          <w:fldChar w:fldCharType="separate"/>
        </w:r>
        <w:r>
          <w:rPr>
            <w:noProof/>
            <w:webHidden/>
          </w:rPr>
          <w:t>1839</w:t>
        </w:r>
        <w:r>
          <w:rPr>
            <w:noProof/>
            <w:webHidden/>
          </w:rPr>
          <w:fldChar w:fldCharType="end"/>
        </w:r>
      </w:hyperlink>
    </w:p>
    <w:p>
      <w:pPr>
        <w:pStyle w:val="TOC1"/>
      </w:pPr>
      <w:hyperlink w:anchor="_Toc300001612" w:history="1">
        <w:r>
          <w:rPr>
            <w:noProof/>
          </w:rPr>
          <w:t xml:space="preserve">CHAPTER 43 AGRICULTURAL MARKET ACCESS, COMPETITIVE NEUTRALITY, AND INNOVATION</w:t>
        </w:r>
        <w:r>
          <w:rPr>
            <w:noProof/>
            <w:webHidden/>
          </w:rPr>
          <w:tab/>
        </w:r>
        <w:r>
          <w:rPr>
            <w:noProof/>
            <w:webHidden/>
          </w:rPr>
          <w:fldChar w:fldCharType="begin"/>
        </w:r>
        <w:r>
          <w:rPr>
            <w:noProof/>
            <w:webHidden/>
          </w:rPr>
          <w:instrText xml:space="preserve"> PAGEREF _Toc300001612 \h </w:instrText>
        </w:r>
        <w:r>
          <w:rPr>
            <w:noProof/>
            <w:webHidden/>
          </w:rPr>
          <w:fldChar w:fldCharType="separate"/>
        </w:r>
        <w:r>
          <w:rPr>
            <w:noProof/>
            <w:webHidden/>
          </w:rPr>
          <w:t>1840</w:t>
        </w:r>
        <w:r>
          <w:rPr>
            <w:noProof/>
            <w:webHidden/>
          </w:rPr>
          <w:fldChar w:fldCharType="end"/>
        </w:r>
      </w:hyperlink>
    </w:p>
    <w:p>
      <w:pPr>
        <w:pStyle w:val="TOC2"/>
      </w:pPr>
      <w:hyperlink w:anchor="_Toc300001613" w:history="1">
        <w:r>
          <w:rPr>
            <w:noProof/>
          </w:rPr>
          <w:t xml:space="preserve">Article 43.1: Balanced Agricultural Market Access</w:t>
        </w:r>
        <w:r>
          <w:rPr>
            <w:noProof/>
            <w:webHidden/>
          </w:rPr>
          <w:tab/>
        </w:r>
        <w:r>
          <w:rPr>
            <w:noProof/>
            <w:webHidden/>
          </w:rPr>
          <w:fldChar w:fldCharType="begin"/>
        </w:r>
        <w:r>
          <w:rPr>
            <w:noProof/>
            <w:webHidden/>
          </w:rPr>
          <w:instrText xml:space="preserve"> PAGEREF _Toc300001613 \h </w:instrText>
        </w:r>
        <w:r>
          <w:rPr>
            <w:noProof/>
            <w:webHidden/>
          </w:rPr>
          <w:fldChar w:fldCharType="separate"/>
        </w:r>
        <w:r>
          <w:rPr>
            <w:noProof/>
            <w:webHidden/>
          </w:rPr>
          <w:t>1840</w:t>
        </w:r>
        <w:r>
          <w:rPr>
            <w:noProof/>
            <w:webHidden/>
          </w:rPr>
          <w:fldChar w:fldCharType="end"/>
        </w:r>
      </w:hyperlink>
    </w:p>
    <w:p>
      <w:pPr>
        <w:pStyle w:val="TOC2"/>
      </w:pPr>
      <w:hyperlink w:anchor="_Toc300001614" w:history="1">
        <w:r>
          <w:rPr>
            <w:noProof/>
          </w:rPr>
          <w:t xml:space="preserve">Article 43.1A: Supply Management Sovereignty and Negotiated Market Access</w:t>
        </w:r>
        <w:r>
          <w:rPr>
            <w:noProof/>
            <w:webHidden/>
          </w:rPr>
          <w:tab/>
        </w:r>
        <w:r>
          <w:rPr>
            <w:noProof/>
            <w:webHidden/>
          </w:rPr>
          <w:fldChar w:fldCharType="begin"/>
        </w:r>
        <w:r>
          <w:rPr>
            <w:noProof/>
            <w:webHidden/>
          </w:rPr>
          <w:instrText xml:space="preserve"> PAGEREF _Toc300001614 \h </w:instrText>
        </w:r>
        <w:r>
          <w:rPr>
            <w:noProof/>
            <w:webHidden/>
          </w:rPr>
          <w:fldChar w:fldCharType="separate"/>
        </w:r>
        <w:r>
          <w:rPr>
            <w:noProof/>
            <w:webHidden/>
          </w:rPr>
          <w:t>1840</w:t>
        </w:r>
        <w:r>
          <w:rPr>
            <w:noProof/>
            <w:webHidden/>
          </w:rPr>
          <w:fldChar w:fldCharType="end"/>
        </w:r>
      </w:hyperlink>
    </w:p>
    <w:p>
      <w:pPr>
        <w:pStyle w:val="TOC2"/>
      </w:pPr>
      <w:hyperlink w:anchor="_Toc300001615" w:history="1">
        <w:r>
          <w:rPr>
            <w:noProof/>
          </w:rPr>
          <w:t xml:space="preserve">Article 43.1B: Poultry and Egg TRQ Administration and Commercial Usability</w:t>
        </w:r>
        <w:r>
          <w:rPr>
            <w:noProof/>
            <w:webHidden/>
          </w:rPr>
          <w:tab/>
        </w:r>
        <w:r>
          <w:rPr>
            <w:noProof/>
            <w:webHidden/>
          </w:rPr>
          <w:fldChar w:fldCharType="begin"/>
        </w:r>
        <w:r>
          <w:rPr>
            <w:noProof/>
            <w:webHidden/>
          </w:rPr>
          <w:instrText xml:space="preserve"> PAGEREF _Toc300001615 \h </w:instrText>
        </w:r>
        <w:r>
          <w:rPr>
            <w:noProof/>
            <w:webHidden/>
          </w:rPr>
          <w:fldChar w:fldCharType="separate"/>
        </w:r>
        <w:r>
          <w:rPr>
            <w:noProof/>
            <w:webHidden/>
          </w:rPr>
          <w:t>1841</w:t>
        </w:r>
        <w:r>
          <w:rPr>
            <w:noProof/>
            <w:webHidden/>
          </w:rPr>
          <w:fldChar w:fldCharType="end"/>
        </w:r>
      </w:hyperlink>
    </w:p>
    <w:p>
      <w:pPr>
        <w:pStyle w:val="TOC2"/>
      </w:pPr>
      <w:hyperlink w:anchor="_Toc300001616" w:history="1">
        <w:r>
          <w:rPr>
            <w:noProof/>
          </w:rPr>
          <w:t xml:space="preserve">Article 43.1C: Permanent Access, Temporary Flexibility, and No-Ratchet Rules</w:t>
        </w:r>
        <w:r>
          <w:rPr>
            <w:noProof/>
            <w:webHidden/>
          </w:rPr>
          <w:tab/>
        </w:r>
        <w:r>
          <w:rPr>
            <w:noProof/>
            <w:webHidden/>
          </w:rPr>
          <w:fldChar w:fldCharType="begin"/>
        </w:r>
        <w:r>
          <w:rPr>
            <w:noProof/>
            <w:webHidden/>
          </w:rPr>
          <w:instrText xml:space="preserve"> PAGEREF _Toc300001616 \h </w:instrText>
        </w:r>
        <w:r>
          <w:rPr>
            <w:noProof/>
            <w:webHidden/>
          </w:rPr>
          <w:fldChar w:fldCharType="separate"/>
        </w:r>
        <w:r>
          <w:rPr>
            <w:noProof/>
            <w:webHidden/>
          </w:rPr>
          <w:t>1842</w:t>
        </w:r>
        <w:r>
          <w:rPr>
            <w:noProof/>
            <w:webHidden/>
          </w:rPr>
          <w:fldChar w:fldCharType="end"/>
        </w:r>
      </w:hyperlink>
    </w:p>
    <w:p>
      <w:pPr>
        <w:pStyle w:val="TOC2"/>
      </w:pPr>
      <w:hyperlink w:anchor="_Toc300001617" w:history="1">
        <w:r>
          <w:rPr>
            <w:noProof/>
          </w:rPr>
          <w:t xml:space="preserve">Article 43.1D: North American Poultry and Egg Supply Observatory</w:t>
        </w:r>
        <w:r>
          <w:rPr>
            <w:noProof/>
            <w:webHidden/>
          </w:rPr>
          <w:tab/>
        </w:r>
        <w:r>
          <w:rPr>
            <w:noProof/>
            <w:webHidden/>
          </w:rPr>
          <w:fldChar w:fldCharType="begin"/>
        </w:r>
        <w:r>
          <w:rPr>
            <w:noProof/>
            <w:webHidden/>
          </w:rPr>
          <w:instrText xml:space="preserve"> PAGEREF _Toc300001617 \h </w:instrText>
        </w:r>
        <w:r>
          <w:rPr>
            <w:noProof/>
            <w:webHidden/>
          </w:rPr>
          <w:fldChar w:fldCharType="separate"/>
        </w:r>
        <w:r>
          <w:rPr>
            <w:noProof/>
            <w:webHidden/>
          </w:rPr>
          <w:t>1843</w:t>
        </w:r>
        <w:r>
          <w:rPr>
            <w:noProof/>
            <w:webHidden/>
          </w:rPr>
          <w:fldChar w:fldCharType="end"/>
        </w:r>
      </w:hyperlink>
    </w:p>
    <w:p>
      <w:pPr>
        <w:pStyle w:val="TOC2"/>
      </w:pPr>
      <w:hyperlink w:anchor="_Toc300001618" w:history="1">
        <w:r>
          <w:rPr>
            <w:noProof/>
          </w:rPr>
          <w:t xml:space="preserve">Article 43.1E: Consumer Affordability, Producer Stability, and Supply Continuity</w:t>
        </w:r>
        <w:r>
          <w:rPr>
            <w:noProof/>
            <w:webHidden/>
          </w:rPr>
          <w:tab/>
        </w:r>
        <w:r>
          <w:rPr>
            <w:noProof/>
            <w:webHidden/>
          </w:rPr>
          <w:fldChar w:fldCharType="begin"/>
        </w:r>
        <w:r>
          <w:rPr>
            <w:noProof/>
            <w:webHidden/>
          </w:rPr>
          <w:instrText xml:space="preserve"> PAGEREF _Toc300001618 \h </w:instrText>
        </w:r>
        <w:r>
          <w:rPr>
            <w:noProof/>
            <w:webHidden/>
          </w:rPr>
          <w:fldChar w:fldCharType="separate"/>
        </w:r>
        <w:r>
          <w:rPr>
            <w:noProof/>
            <w:webHidden/>
          </w:rPr>
          <w:t>1844</w:t>
        </w:r>
        <w:r>
          <w:rPr>
            <w:noProof/>
            <w:webHidden/>
          </w:rPr>
          <w:fldChar w:fldCharType="end"/>
        </w:r>
      </w:hyperlink>
    </w:p>
    <w:p>
      <w:pPr>
        <w:pStyle w:val="TOC2"/>
      </w:pPr>
      <w:hyperlink w:anchor="_Toc300001619" w:history="1">
        <w:r>
          <w:rPr>
            <w:noProof/>
          </w:rPr>
          <w:t xml:space="preserve">Article 43.1F: Verified Poultry and Egg Shortage Determination</w:t>
        </w:r>
        <w:r>
          <w:rPr>
            <w:noProof/>
            <w:webHidden/>
          </w:rPr>
          <w:tab/>
        </w:r>
        <w:r>
          <w:rPr>
            <w:noProof/>
            <w:webHidden/>
          </w:rPr>
          <w:fldChar w:fldCharType="begin"/>
        </w:r>
        <w:r>
          <w:rPr>
            <w:noProof/>
            <w:webHidden/>
          </w:rPr>
          <w:instrText xml:space="preserve"> PAGEREF _Toc300001619 \h </w:instrText>
        </w:r>
        <w:r>
          <w:rPr>
            <w:noProof/>
            <w:webHidden/>
          </w:rPr>
          <w:fldChar w:fldCharType="separate"/>
        </w:r>
        <w:r>
          <w:rPr>
            <w:noProof/>
            <w:webHidden/>
          </w:rPr>
          <w:t>1845</w:t>
        </w:r>
        <w:r>
          <w:rPr>
            <w:noProof/>
            <w:webHidden/>
          </w:rPr>
          <w:fldChar w:fldCharType="end"/>
        </w:r>
      </w:hyperlink>
    </w:p>
    <w:p>
      <w:pPr>
        <w:pStyle w:val="TOC2"/>
      </w:pPr>
      <w:hyperlink w:anchor="_Toc300001620" w:history="1">
        <w:r>
          <w:rPr>
            <w:noProof/>
          </w:rPr>
          <w:t xml:space="preserve">Article 43.1G: North American Poultry and Egg Emergency Supply Surge</w:t>
        </w:r>
        <w:r>
          <w:rPr>
            <w:noProof/>
            <w:webHidden/>
          </w:rPr>
          <w:tab/>
        </w:r>
        <w:r>
          <w:rPr>
            <w:noProof/>
            <w:webHidden/>
          </w:rPr>
          <w:fldChar w:fldCharType="begin"/>
        </w:r>
        <w:r>
          <w:rPr>
            <w:noProof/>
            <w:webHidden/>
          </w:rPr>
          <w:instrText xml:space="preserve"> PAGEREF _Toc300001620 \h </w:instrText>
        </w:r>
        <w:r>
          <w:rPr>
            <w:noProof/>
            <w:webHidden/>
          </w:rPr>
          <w:fldChar w:fldCharType="separate"/>
        </w:r>
        <w:r>
          <w:rPr>
            <w:noProof/>
            <w:webHidden/>
          </w:rPr>
          <w:t>1846</w:t>
        </w:r>
        <w:r>
          <w:rPr>
            <w:noProof/>
            <w:webHidden/>
          </w:rPr>
          <w:fldChar w:fldCharType="end"/>
        </w:r>
      </w:hyperlink>
    </w:p>
    <w:p>
      <w:pPr>
        <w:pStyle w:val="TOC2"/>
      </w:pPr>
      <w:hyperlink w:anchor="_Toc300001621" w:history="1">
        <w:r>
          <w:rPr>
            <w:noProof/>
          </w:rPr>
          <w:t xml:space="preserve">Article 43.1H: Canada-United States Egg Supply Security Partnership</w:t>
        </w:r>
        <w:r>
          <w:rPr>
            <w:noProof/>
            <w:webHidden/>
          </w:rPr>
          <w:tab/>
        </w:r>
        <w:r>
          <w:rPr>
            <w:noProof/>
            <w:webHidden/>
          </w:rPr>
          <w:fldChar w:fldCharType="begin"/>
        </w:r>
        <w:r>
          <w:rPr>
            <w:noProof/>
            <w:webHidden/>
          </w:rPr>
          <w:instrText xml:space="preserve"> PAGEREF _Toc300001621 \h </w:instrText>
        </w:r>
        <w:r>
          <w:rPr>
            <w:noProof/>
            <w:webHidden/>
          </w:rPr>
          <w:fldChar w:fldCharType="separate"/>
        </w:r>
        <w:r>
          <w:rPr>
            <w:noProof/>
            <w:webHidden/>
          </w:rPr>
          <w:t>1848</w:t>
        </w:r>
        <w:r>
          <w:rPr>
            <w:noProof/>
            <w:webHidden/>
          </w:rPr>
          <w:fldChar w:fldCharType="end"/>
        </w:r>
      </w:hyperlink>
    </w:p>
    <w:p>
      <w:pPr>
        <w:pStyle w:val="TOC2"/>
      </w:pPr>
      <w:hyperlink w:anchor="_Toc300001622" w:history="1">
        <w:r>
          <w:rPr>
            <w:noProof/>
          </w:rPr>
          <w:t xml:space="preserve">Article 43.1I: Emergency Egg Reserve, Replenishment, and Surplus Absorption</w:t>
        </w:r>
        <w:r>
          <w:rPr>
            <w:noProof/>
            <w:webHidden/>
          </w:rPr>
          <w:tab/>
        </w:r>
        <w:r>
          <w:rPr>
            <w:noProof/>
            <w:webHidden/>
          </w:rPr>
          <w:fldChar w:fldCharType="begin"/>
        </w:r>
        <w:r>
          <w:rPr>
            <w:noProof/>
            <w:webHidden/>
          </w:rPr>
          <w:instrText xml:space="preserve"> PAGEREF _Toc300001622 \h </w:instrText>
        </w:r>
        <w:r>
          <w:rPr>
            <w:noProof/>
            <w:webHidden/>
          </w:rPr>
          <w:fldChar w:fldCharType="separate"/>
        </w:r>
        <w:r>
          <w:rPr>
            <w:noProof/>
            <w:webHidden/>
          </w:rPr>
          <w:t>1849</w:t>
        </w:r>
        <w:r>
          <w:rPr>
            <w:noProof/>
            <w:webHidden/>
          </w:rPr>
          <w:fldChar w:fldCharType="end"/>
        </w:r>
      </w:hyperlink>
    </w:p>
    <w:p>
      <w:pPr>
        <w:pStyle w:val="TOC2"/>
      </w:pPr>
      <w:hyperlink w:anchor="_Toc300001623" w:history="1">
        <w:r>
          <w:rPr>
            <w:noProof/>
          </w:rPr>
          <w:t xml:space="preserve">Article 43.1J: Avian Influenza, Disease Regionalization, and Trade Continuity</w:t>
        </w:r>
        <w:r>
          <w:rPr>
            <w:noProof/>
            <w:webHidden/>
          </w:rPr>
          <w:tab/>
        </w:r>
        <w:r>
          <w:rPr>
            <w:noProof/>
            <w:webHidden/>
          </w:rPr>
          <w:fldChar w:fldCharType="begin"/>
        </w:r>
        <w:r>
          <w:rPr>
            <w:noProof/>
            <w:webHidden/>
          </w:rPr>
          <w:instrText xml:space="preserve"> PAGEREF _Toc300001623 \h </w:instrText>
        </w:r>
        <w:r>
          <w:rPr>
            <w:noProof/>
            <w:webHidden/>
          </w:rPr>
          <w:fldChar w:fldCharType="separate"/>
        </w:r>
        <w:r>
          <w:rPr>
            <w:noProof/>
            <w:webHidden/>
          </w:rPr>
          <w:t>1850</w:t>
        </w:r>
        <w:r>
          <w:rPr>
            <w:noProof/>
            <w:webHidden/>
          </w:rPr>
          <w:fldChar w:fldCharType="end"/>
        </w:r>
      </w:hyperlink>
    </w:p>
    <w:p>
      <w:pPr>
        <w:pStyle w:val="TOC2"/>
      </w:pPr>
      <w:hyperlink w:anchor="_Toc300001624" w:history="1">
        <w:r>
          <w:rPr>
            <w:noProof/>
          </w:rPr>
          <w:t xml:space="preserve">Article 43.1K: Hatching Stock, Genetic Capacity, and Post-Outbreak Repopulation</w:t>
        </w:r>
        <w:r>
          <w:rPr>
            <w:noProof/>
            <w:webHidden/>
          </w:rPr>
          <w:tab/>
        </w:r>
        <w:r>
          <w:rPr>
            <w:noProof/>
            <w:webHidden/>
          </w:rPr>
          <w:fldChar w:fldCharType="begin"/>
        </w:r>
        <w:r>
          <w:rPr>
            <w:noProof/>
            <w:webHidden/>
          </w:rPr>
          <w:instrText xml:space="preserve"> PAGEREF _Toc300001624 \h </w:instrText>
        </w:r>
        <w:r>
          <w:rPr>
            <w:noProof/>
            <w:webHidden/>
          </w:rPr>
          <w:fldChar w:fldCharType="separate"/>
        </w:r>
        <w:r>
          <w:rPr>
            <w:noProof/>
            <w:webHidden/>
          </w:rPr>
          <w:t>1851</w:t>
        </w:r>
        <w:r>
          <w:rPr>
            <w:noProof/>
            <w:webHidden/>
          </w:rPr>
          <w:fldChar w:fldCharType="end"/>
        </w:r>
      </w:hyperlink>
    </w:p>
    <w:p>
      <w:pPr>
        <w:pStyle w:val="TOC2"/>
      </w:pPr>
      <w:hyperlink w:anchor="_Toc300001625" w:history="1">
        <w:r>
          <w:rPr>
            <w:noProof/>
          </w:rPr>
          <w:t xml:space="preserve">Article 43.1L: Poultry and Egg Trade Facilitation and Emergency Logistics</w:t>
        </w:r>
        <w:r>
          <w:rPr>
            <w:noProof/>
            <w:webHidden/>
          </w:rPr>
          <w:tab/>
        </w:r>
        <w:r>
          <w:rPr>
            <w:noProof/>
            <w:webHidden/>
          </w:rPr>
          <w:fldChar w:fldCharType="begin"/>
        </w:r>
        <w:r>
          <w:rPr>
            <w:noProof/>
            <w:webHidden/>
          </w:rPr>
          <w:instrText xml:space="preserve"> PAGEREF _Toc300001625 \h </w:instrText>
        </w:r>
        <w:r>
          <w:rPr>
            <w:noProof/>
            <w:webHidden/>
          </w:rPr>
          <w:fldChar w:fldCharType="separate"/>
        </w:r>
        <w:r>
          <w:rPr>
            <w:noProof/>
            <w:webHidden/>
          </w:rPr>
          <w:t>1852</w:t>
        </w:r>
        <w:r>
          <w:rPr>
            <w:noProof/>
            <w:webHidden/>
          </w:rPr>
          <w:fldChar w:fldCharType="end"/>
        </w:r>
      </w:hyperlink>
    </w:p>
    <w:p>
      <w:pPr>
        <w:pStyle w:val="TOC2"/>
      </w:pPr>
      <w:hyperlink w:anchor="_Toc300001626" w:history="1">
        <w:r>
          <w:rPr>
            <w:noProof/>
          </w:rPr>
          <w:t xml:space="preserve">Article 43.1M: Poultry and Egg Transparency, Consultation, and Cothrom Review</w:t>
        </w:r>
        <w:r>
          <w:rPr>
            <w:noProof/>
            <w:webHidden/>
          </w:rPr>
          <w:tab/>
        </w:r>
        <w:r>
          <w:rPr>
            <w:noProof/>
            <w:webHidden/>
          </w:rPr>
          <w:fldChar w:fldCharType="begin"/>
        </w:r>
        <w:r>
          <w:rPr>
            <w:noProof/>
            <w:webHidden/>
          </w:rPr>
          <w:instrText xml:space="preserve"> PAGEREF _Toc300001626 \h </w:instrText>
        </w:r>
        <w:r>
          <w:rPr>
            <w:noProof/>
            <w:webHidden/>
          </w:rPr>
          <w:fldChar w:fldCharType="separate"/>
        </w:r>
        <w:r>
          <w:rPr>
            <w:noProof/>
            <w:webHidden/>
          </w:rPr>
          <w:t>1853</w:t>
        </w:r>
        <w:r>
          <w:rPr>
            <w:noProof/>
            <w:webHidden/>
          </w:rPr>
          <w:fldChar w:fldCharType="end"/>
        </w:r>
      </w:hyperlink>
    </w:p>
    <w:p>
      <w:pPr>
        <w:pStyle w:val="TOC2"/>
      </w:pPr>
      <w:hyperlink w:anchor="_Toc300001627" w:history="1">
        <w:r>
          <w:rPr>
            <w:noProof/>
          </w:rPr>
          <w:t xml:space="preserve">Article 43.1N: Poultry and Egg Technical Committee and Long-Term Stability</w:t>
        </w:r>
        <w:r>
          <w:rPr>
            <w:noProof/>
            <w:webHidden/>
          </w:rPr>
          <w:tab/>
        </w:r>
        <w:r>
          <w:rPr>
            <w:noProof/>
            <w:webHidden/>
          </w:rPr>
          <w:fldChar w:fldCharType="begin"/>
        </w:r>
        <w:r>
          <w:rPr>
            <w:noProof/>
            <w:webHidden/>
          </w:rPr>
          <w:instrText xml:space="preserve"> PAGEREF _Toc300001627 \h </w:instrText>
        </w:r>
        <w:r>
          <w:rPr>
            <w:noProof/>
            <w:webHidden/>
          </w:rPr>
          <w:fldChar w:fldCharType="separate"/>
        </w:r>
        <w:r>
          <w:rPr>
            <w:noProof/>
            <w:webHidden/>
          </w:rPr>
          <w:t>1854</w:t>
        </w:r>
        <w:r>
          <w:rPr>
            <w:noProof/>
            <w:webHidden/>
          </w:rPr>
          <w:fldChar w:fldCharType="end"/>
        </w:r>
      </w:hyperlink>
    </w:p>
    <w:p>
      <w:pPr>
        <w:pStyle w:val="TOC2"/>
      </w:pPr>
      <w:hyperlink w:anchor="_Toc300001628" w:history="1">
        <w:r>
          <w:rPr>
            <w:noProof/>
          </w:rPr>
          <w:t xml:space="preserve">Article 43.1O: Specialty and Exotic Avian Products - Scope, Classification, and Definitions</w:t>
        </w:r>
        <w:r>
          <w:rPr>
            <w:noProof/>
            <w:webHidden/>
          </w:rPr>
          <w:tab/>
        </w:r>
        <w:r>
          <w:rPr>
            <w:noProof/>
            <w:webHidden/>
          </w:rPr>
          <w:fldChar w:fldCharType="begin"/>
        </w:r>
        <w:r>
          <w:rPr>
            <w:noProof/>
            <w:webHidden/>
          </w:rPr>
          <w:instrText xml:space="preserve"> PAGEREF _Toc300001628 \h </w:instrText>
        </w:r>
        <w:r>
          <w:rPr>
            <w:noProof/>
            <w:webHidden/>
          </w:rPr>
          <w:fldChar w:fldCharType="separate"/>
        </w:r>
        <w:r>
          <w:rPr>
            <w:noProof/>
            <w:webHidden/>
          </w:rPr>
          <w:t>1855</w:t>
        </w:r>
        <w:r>
          <w:rPr>
            <w:noProof/>
            <w:webHidden/>
          </w:rPr>
          <w:fldChar w:fldCharType="end"/>
        </w:r>
      </w:hyperlink>
    </w:p>
    <w:p>
      <w:pPr>
        <w:pStyle w:val="TOC2"/>
      </w:pPr>
      <w:hyperlink w:anchor="_Toc300001629" w:history="1">
        <w:r>
          <w:rPr>
            <w:noProof/>
          </w:rPr>
          <w:t xml:space="preserve">Article 43.1P: Specialty Avian Tariff, Quota, Origin, and Processing Facilitation</w:t>
        </w:r>
        <w:r>
          <w:rPr>
            <w:noProof/>
            <w:webHidden/>
          </w:rPr>
          <w:tab/>
        </w:r>
        <w:r>
          <w:rPr>
            <w:noProof/>
            <w:webHidden/>
          </w:rPr>
          <w:fldChar w:fldCharType="begin"/>
        </w:r>
        <w:r>
          <w:rPr>
            <w:noProof/>
            <w:webHidden/>
          </w:rPr>
          <w:instrText xml:space="preserve"> PAGEREF _Toc300001629 \h </w:instrText>
        </w:r>
        <w:r>
          <w:rPr>
            <w:noProof/>
            <w:webHidden/>
          </w:rPr>
          <w:fldChar w:fldCharType="separate"/>
        </w:r>
        <w:r>
          <w:rPr>
            <w:noProof/>
            <w:webHidden/>
          </w:rPr>
          <w:t>1856</w:t>
        </w:r>
        <w:r>
          <w:rPr>
            <w:noProof/>
            <w:webHidden/>
          </w:rPr>
          <w:fldChar w:fldCharType="end"/>
        </w:r>
      </w:hyperlink>
    </w:p>
    <w:p>
      <w:pPr>
        <w:pStyle w:val="TOC2"/>
      </w:pPr>
      <w:hyperlink w:anchor="_Toc300001630" w:history="1">
        <w:r>
          <w:rPr>
            <w:noProof/>
          </w:rPr>
          <w:t xml:space="preserve">Article 43.1Q: Specialty Avian SPS, Veterinary Certification, and Disease Control</w:t>
        </w:r>
        <w:r>
          <w:rPr>
            <w:noProof/>
            <w:webHidden/>
          </w:rPr>
          <w:tab/>
        </w:r>
        <w:r>
          <w:rPr>
            <w:noProof/>
            <w:webHidden/>
          </w:rPr>
          <w:fldChar w:fldCharType="begin"/>
        </w:r>
        <w:r>
          <w:rPr>
            <w:noProof/>
            <w:webHidden/>
          </w:rPr>
          <w:instrText xml:space="preserve"> PAGEREF _Toc300001630 \h </w:instrText>
        </w:r>
        <w:r>
          <w:rPr>
            <w:noProof/>
            <w:webHidden/>
          </w:rPr>
          <w:fldChar w:fldCharType="separate"/>
        </w:r>
        <w:r>
          <w:rPr>
            <w:noProof/>
            <w:webHidden/>
          </w:rPr>
          <w:t>1857</w:t>
        </w:r>
        <w:r>
          <w:rPr>
            <w:noProof/>
            <w:webHidden/>
          </w:rPr>
          <w:fldChar w:fldCharType="end"/>
        </w:r>
      </w:hyperlink>
    </w:p>
    <w:p>
      <w:pPr>
        <w:pStyle w:val="TOC2"/>
      </w:pPr>
      <w:hyperlink w:anchor="_Toc300001631" w:history="1">
        <w:r>
          <w:rPr>
            <w:noProof/>
          </w:rPr>
          <w:t xml:space="preserve">Article 43.1R: Specialty Avian Market Development, Digital Commerce, and Full-Value Supply Chains</w:t>
        </w:r>
        <w:r>
          <w:rPr>
            <w:noProof/>
            <w:webHidden/>
          </w:rPr>
          <w:tab/>
        </w:r>
        <w:r>
          <w:rPr>
            <w:noProof/>
            <w:webHidden/>
          </w:rPr>
          <w:fldChar w:fldCharType="begin"/>
        </w:r>
        <w:r>
          <w:rPr>
            <w:noProof/>
            <w:webHidden/>
          </w:rPr>
          <w:instrText xml:space="preserve"> PAGEREF _Toc300001631 \h </w:instrText>
        </w:r>
        <w:r>
          <w:rPr>
            <w:noProof/>
            <w:webHidden/>
          </w:rPr>
          <w:fldChar w:fldCharType="separate"/>
        </w:r>
        <w:r>
          <w:rPr>
            <w:noProof/>
            <w:webHidden/>
          </w:rPr>
          <w:t>1858</w:t>
        </w:r>
        <w:r>
          <w:rPr>
            <w:noProof/>
            <w:webHidden/>
          </w:rPr>
          <w:fldChar w:fldCharType="end"/>
        </w:r>
      </w:hyperlink>
    </w:p>
    <w:p>
      <w:pPr>
        <w:pStyle w:val="TOC2"/>
      </w:pPr>
      <w:hyperlink w:anchor="_Toc300001632" w:history="1">
        <w:r>
          <w:rPr>
            <w:noProof/>
          </w:rPr>
          <w:t xml:space="preserve">ANNEX 43-C: POULTRY, EGG, EMERGENCY SUPPLY, AND SPECIALTY AVIAN IMPLEMENTATION SCHEDULE</w:t>
        </w:r>
        <w:r>
          <w:rPr>
            <w:noProof/>
            <w:webHidden/>
          </w:rPr>
          <w:tab/>
        </w:r>
        <w:r>
          <w:rPr>
            <w:noProof/>
            <w:webHidden/>
          </w:rPr>
          <w:fldChar w:fldCharType="begin"/>
        </w:r>
        <w:r>
          <w:rPr>
            <w:noProof/>
            <w:webHidden/>
          </w:rPr>
          <w:instrText xml:space="preserve"> PAGEREF _Toc300001632 \h </w:instrText>
        </w:r>
        <w:r>
          <w:rPr>
            <w:noProof/>
            <w:webHidden/>
          </w:rPr>
          <w:fldChar w:fldCharType="separate"/>
        </w:r>
        <w:r>
          <w:rPr>
            <w:noProof/>
            <w:webHidden/>
          </w:rPr>
          <w:t>1859</w:t>
        </w:r>
        <w:r>
          <w:rPr>
            <w:noProof/>
            <w:webHidden/>
          </w:rPr>
          <w:fldChar w:fldCharType="end"/>
        </w:r>
      </w:hyperlink>
    </w:p>
    <w:p>
      <w:pPr>
        <w:pStyle w:val="TOC2"/>
      </w:pPr>
      <w:hyperlink w:anchor="_Toc300001633" w:history="1">
        <w:r>
          <w:rPr>
            <w:noProof/>
          </w:rPr>
          <w:t xml:space="preserve">Article 43.1S: Reciprocal Agricultural Market Access and Regulatory Facilitation</w:t>
        </w:r>
        <w:r>
          <w:rPr>
            <w:noProof/>
            <w:webHidden/>
          </w:rPr>
          <w:tab/>
        </w:r>
        <w:r>
          <w:rPr>
            <w:noProof/>
            <w:webHidden/>
          </w:rPr>
          <w:fldChar w:fldCharType="begin"/>
        </w:r>
        <w:r>
          <w:rPr>
            <w:noProof/>
            <w:webHidden/>
          </w:rPr>
          <w:instrText xml:space="preserve"> PAGEREF _Toc300001633 \h </w:instrText>
        </w:r>
        <w:r>
          <w:rPr>
            <w:noProof/>
            <w:webHidden/>
          </w:rPr>
          <w:fldChar w:fldCharType="separate"/>
        </w:r>
        <w:r>
          <w:rPr>
            <w:noProof/>
            <w:webHidden/>
          </w:rPr>
          <w:t>1861</w:t>
        </w:r>
        <w:r>
          <w:rPr>
            <w:noProof/>
            <w:webHidden/>
          </w:rPr>
          <w:fldChar w:fldCharType="end"/>
        </w:r>
      </w:hyperlink>
    </w:p>
    <w:p>
      <w:pPr>
        <w:pStyle w:val="TOC2"/>
      </w:pPr>
      <w:hyperlink w:anchor="_Toc300001634" w:history="1">
        <w:r>
          <w:rPr>
            <w:noProof/>
          </w:rPr>
          <w:t xml:space="preserve">Article 43.1T: Science-Based SPS Sovereignty and Least-Trade-Restrictive Administration</w:t>
        </w:r>
        <w:r>
          <w:rPr>
            <w:noProof/>
            <w:webHidden/>
          </w:rPr>
          <w:tab/>
        </w:r>
        <w:r>
          <w:rPr>
            <w:noProof/>
            <w:webHidden/>
          </w:rPr>
          <w:fldChar w:fldCharType="begin"/>
        </w:r>
        <w:r>
          <w:rPr>
            <w:noProof/>
            <w:webHidden/>
          </w:rPr>
          <w:instrText xml:space="preserve"> PAGEREF _Toc300001634 \h </w:instrText>
        </w:r>
        <w:r>
          <w:rPr>
            <w:noProof/>
            <w:webHidden/>
          </w:rPr>
          <w:fldChar w:fldCharType="separate"/>
        </w:r>
        <w:r>
          <w:rPr>
            <w:noProof/>
            <w:webHidden/>
          </w:rPr>
          <w:t>1862</w:t>
        </w:r>
        <w:r>
          <w:rPr>
            <w:noProof/>
            <w:webHidden/>
          </w:rPr>
          <w:fldChar w:fldCharType="end"/>
        </w:r>
      </w:hyperlink>
    </w:p>
    <w:p>
      <w:pPr>
        <w:pStyle w:val="TOC2"/>
      </w:pPr>
      <w:hyperlink w:anchor="_Toc300001635" w:history="1">
        <w:r>
          <w:rPr>
            <w:noProof/>
          </w:rPr>
          <w:t xml:space="preserve">Article 43.1U: Equivalence, Systems Recognition, and Comparable Outcomes</w:t>
        </w:r>
        <w:r>
          <w:rPr>
            <w:noProof/>
            <w:webHidden/>
          </w:rPr>
          <w:tab/>
        </w:r>
        <w:r>
          <w:rPr>
            <w:noProof/>
            <w:webHidden/>
          </w:rPr>
          <w:fldChar w:fldCharType="begin"/>
        </w:r>
        <w:r>
          <w:rPr>
            <w:noProof/>
            <w:webHidden/>
          </w:rPr>
          <w:instrText xml:space="preserve"> PAGEREF _Toc300001635 \h </w:instrText>
        </w:r>
        <w:r>
          <w:rPr>
            <w:noProof/>
            <w:webHidden/>
          </w:rPr>
          <w:fldChar w:fldCharType="separate"/>
        </w:r>
        <w:r>
          <w:rPr>
            <w:noProof/>
            <w:webHidden/>
          </w:rPr>
          <w:t>1862</w:t>
        </w:r>
        <w:r>
          <w:rPr>
            <w:noProof/>
            <w:webHidden/>
          </w:rPr>
          <w:fldChar w:fldCharType="end"/>
        </w:r>
      </w:hyperlink>
    </w:p>
    <w:p>
      <w:pPr>
        <w:pStyle w:val="TOC2"/>
      </w:pPr>
      <w:hyperlink w:anchor="_Toc300001636" w:history="1">
        <w:r>
          <w:rPr>
            <w:noProof/>
          </w:rPr>
          <w:t xml:space="preserve">Article 43.1V: Regionalization, Compartmentalization, and Trade Continuity</w:t>
        </w:r>
        <w:r>
          <w:rPr>
            <w:noProof/>
            <w:webHidden/>
          </w:rPr>
          <w:tab/>
        </w:r>
        <w:r>
          <w:rPr>
            <w:noProof/>
            <w:webHidden/>
          </w:rPr>
          <w:fldChar w:fldCharType="begin"/>
        </w:r>
        <w:r>
          <w:rPr>
            <w:noProof/>
            <w:webHidden/>
          </w:rPr>
          <w:instrText xml:space="preserve"> PAGEREF _Toc300001636 \h </w:instrText>
        </w:r>
        <w:r>
          <w:rPr>
            <w:noProof/>
            <w:webHidden/>
          </w:rPr>
          <w:fldChar w:fldCharType="separate"/>
        </w:r>
        <w:r>
          <w:rPr>
            <w:noProof/>
            <w:webHidden/>
          </w:rPr>
          <w:t>1863</w:t>
        </w:r>
        <w:r>
          <w:rPr>
            <w:noProof/>
            <w:webHidden/>
          </w:rPr>
          <w:fldChar w:fldCharType="end"/>
        </w:r>
      </w:hyperlink>
    </w:p>
    <w:p>
      <w:pPr>
        <w:pStyle w:val="TOC2"/>
      </w:pPr>
      <w:hyperlink w:anchor="_Toc300001637" w:history="1">
        <w:r>
          <w:rPr>
            <w:noProof/>
          </w:rPr>
          <w:t xml:space="preserve">Article 43.1W: Agricultural Inspection, Certification, and Trusted Operator Facilitation</w:t>
        </w:r>
        <w:r>
          <w:rPr>
            <w:noProof/>
            <w:webHidden/>
          </w:rPr>
          <w:tab/>
        </w:r>
        <w:r>
          <w:rPr>
            <w:noProof/>
            <w:webHidden/>
          </w:rPr>
          <w:fldChar w:fldCharType="begin"/>
        </w:r>
        <w:r>
          <w:rPr>
            <w:noProof/>
            <w:webHidden/>
          </w:rPr>
          <w:instrText xml:space="preserve"> PAGEREF _Toc300001637 \h </w:instrText>
        </w:r>
        <w:r>
          <w:rPr>
            <w:noProof/>
            <w:webHidden/>
          </w:rPr>
          <w:fldChar w:fldCharType="separate"/>
        </w:r>
        <w:r>
          <w:rPr>
            <w:noProof/>
            <w:webHidden/>
          </w:rPr>
          <w:t>1864</w:t>
        </w:r>
        <w:r>
          <w:rPr>
            <w:noProof/>
            <w:webHidden/>
          </w:rPr>
          <w:fldChar w:fldCharType="end"/>
        </w:r>
      </w:hyperlink>
    </w:p>
    <w:p>
      <w:pPr>
        <w:pStyle w:val="TOC2"/>
      </w:pPr>
      <w:hyperlink w:anchor="_Toc300001638" w:history="1">
        <w:r>
          <w:rPr>
            <w:noProof/>
          </w:rPr>
          <w:t xml:space="preserve">Article 43.1X: Electronic Agricultural Certification and Single-Window Administration</w:t>
        </w:r>
        <w:r>
          <w:rPr>
            <w:noProof/>
            <w:webHidden/>
          </w:rPr>
          <w:tab/>
        </w:r>
        <w:r>
          <w:rPr>
            <w:noProof/>
            <w:webHidden/>
          </w:rPr>
          <w:fldChar w:fldCharType="begin"/>
        </w:r>
        <w:r>
          <w:rPr>
            <w:noProof/>
            <w:webHidden/>
          </w:rPr>
          <w:instrText xml:space="preserve"> PAGEREF _Toc300001638 \h </w:instrText>
        </w:r>
        <w:r>
          <w:rPr>
            <w:noProof/>
            <w:webHidden/>
          </w:rPr>
          <w:fldChar w:fldCharType="separate"/>
        </w:r>
        <w:r>
          <w:rPr>
            <w:noProof/>
            <w:webHidden/>
          </w:rPr>
          <w:t>1865</w:t>
        </w:r>
        <w:r>
          <w:rPr>
            <w:noProof/>
            <w:webHidden/>
          </w:rPr>
          <w:fldChar w:fldCharType="end"/>
        </w:r>
      </w:hyperlink>
    </w:p>
    <w:p>
      <w:pPr>
        <w:pStyle w:val="TOC2"/>
      </w:pPr>
      <w:hyperlink w:anchor="_Toc300001639" w:history="1">
        <w:r>
          <w:rPr>
            <w:noProof/>
          </w:rPr>
          <w:t xml:space="preserve">Article 43.1Y: Perishable Agricultural Goods and Border-Time Discipline</w:t>
        </w:r>
        <w:r>
          <w:rPr>
            <w:noProof/>
            <w:webHidden/>
          </w:rPr>
          <w:tab/>
        </w:r>
        <w:r>
          <w:rPr>
            <w:noProof/>
            <w:webHidden/>
          </w:rPr>
          <w:fldChar w:fldCharType="begin"/>
        </w:r>
        <w:r>
          <w:rPr>
            <w:noProof/>
            <w:webHidden/>
          </w:rPr>
          <w:instrText xml:space="preserve"> PAGEREF _Toc300001639 \h </w:instrText>
        </w:r>
        <w:r>
          <w:rPr>
            <w:noProof/>
            <w:webHidden/>
          </w:rPr>
          <w:fldChar w:fldCharType="separate"/>
        </w:r>
        <w:r>
          <w:rPr>
            <w:noProof/>
            <w:webHidden/>
          </w:rPr>
          <w:t>1865</w:t>
        </w:r>
        <w:r>
          <w:rPr>
            <w:noProof/>
            <w:webHidden/>
          </w:rPr>
          <w:fldChar w:fldCharType="end"/>
        </w:r>
      </w:hyperlink>
    </w:p>
    <w:p>
      <w:pPr>
        <w:pStyle w:val="TOC2"/>
      </w:pPr>
      <w:hyperlink w:anchor="_Toc300001640" w:history="1">
        <w:r>
          <w:rPr>
            <w:noProof/>
          </w:rPr>
          <w:t xml:space="preserve">Article 43.1Z: Laboratory Testing, Sampling, and Duplicate-Control Reduction</w:t>
        </w:r>
        <w:r>
          <w:rPr>
            <w:noProof/>
            <w:webHidden/>
          </w:rPr>
          <w:tab/>
        </w:r>
        <w:r>
          <w:rPr>
            <w:noProof/>
            <w:webHidden/>
          </w:rPr>
          <w:fldChar w:fldCharType="begin"/>
        </w:r>
        <w:r>
          <w:rPr>
            <w:noProof/>
            <w:webHidden/>
          </w:rPr>
          <w:instrText xml:space="preserve"> PAGEREF _Toc300001640 \h </w:instrText>
        </w:r>
        <w:r>
          <w:rPr>
            <w:noProof/>
            <w:webHidden/>
          </w:rPr>
          <w:fldChar w:fldCharType="separate"/>
        </w:r>
        <w:r>
          <w:rPr>
            <w:noProof/>
            <w:webHidden/>
          </w:rPr>
          <w:t>1866</w:t>
        </w:r>
        <w:r>
          <w:rPr>
            <w:noProof/>
            <w:webHidden/>
          </w:rPr>
          <w:fldChar w:fldCharType="end"/>
        </w:r>
      </w:hyperlink>
    </w:p>
    <w:p>
      <w:pPr>
        <w:pStyle w:val="TOC2"/>
      </w:pPr>
      <w:hyperlink w:anchor="_Toc300001641" w:history="1">
        <w:r>
          <w:rPr>
            <w:noProof/>
          </w:rPr>
          <w:t xml:space="preserve">Article 43.1AA: New Product, Facility, Treatment, and Market-Access Applications</w:t>
        </w:r>
        <w:r>
          <w:rPr>
            <w:noProof/>
            <w:webHidden/>
          </w:rPr>
          <w:tab/>
        </w:r>
        <w:r>
          <w:rPr>
            <w:noProof/>
            <w:webHidden/>
          </w:rPr>
          <w:fldChar w:fldCharType="begin"/>
        </w:r>
        <w:r>
          <w:rPr>
            <w:noProof/>
            <w:webHidden/>
          </w:rPr>
          <w:instrText xml:space="preserve"> PAGEREF _Toc300001641 \h </w:instrText>
        </w:r>
        <w:r>
          <w:rPr>
            <w:noProof/>
            <w:webHidden/>
          </w:rPr>
          <w:fldChar w:fldCharType="separate"/>
        </w:r>
        <w:r>
          <w:rPr>
            <w:noProof/>
            <w:webHidden/>
          </w:rPr>
          <w:t>1867</w:t>
        </w:r>
        <w:r>
          <w:rPr>
            <w:noProof/>
            <w:webHidden/>
          </w:rPr>
          <w:fldChar w:fldCharType="end"/>
        </w:r>
      </w:hyperlink>
    </w:p>
    <w:p>
      <w:pPr>
        <w:pStyle w:val="TOC2"/>
      </w:pPr>
      <w:hyperlink w:anchor="_Toc300001642" w:history="1">
        <w:r>
          <w:rPr>
            <w:noProof/>
          </w:rPr>
          <w:t xml:space="preserve">Article 43.1AB: Emergency Agricultural SPS Measures and Rapid Review</w:t>
        </w:r>
        <w:r>
          <w:rPr>
            <w:noProof/>
            <w:webHidden/>
          </w:rPr>
          <w:tab/>
        </w:r>
        <w:r>
          <w:rPr>
            <w:noProof/>
            <w:webHidden/>
          </w:rPr>
          <w:fldChar w:fldCharType="begin"/>
        </w:r>
        <w:r>
          <w:rPr>
            <w:noProof/>
            <w:webHidden/>
          </w:rPr>
          <w:instrText xml:space="preserve"> PAGEREF _Toc300001642 \h </w:instrText>
        </w:r>
        <w:r>
          <w:rPr>
            <w:noProof/>
            <w:webHidden/>
          </w:rPr>
          <w:fldChar w:fldCharType="separate"/>
        </w:r>
        <w:r>
          <w:rPr>
            <w:noProof/>
            <w:webHidden/>
          </w:rPr>
          <w:t>1867</w:t>
        </w:r>
        <w:r>
          <w:rPr>
            <w:noProof/>
            <w:webHidden/>
          </w:rPr>
          <w:fldChar w:fldCharType="end"/>
        </w:r>
      </w:hyperlink>
    </w:p>
    <w:p>
      <w:pPr>
        <w:pStyle w:val="TOC2"/>
      </w:pPr>
      <w:hyperlink w:anchor="_Toc300001643" w:history="1">
        <w:r>
          <w:rPr>
            <w:noProof/>
          </w:rPr>
          <w:t xml:space="preserve">Article 43.1AC: Agricultural Administrative Barrier Review and Corrective Action</w:t>
        </w:r>
        <w:r>
          <w:rPr>
            <w:noProof/>
            <w:webHidden/>
          </w:rPr>
          <w:tab/>
        </w:r>
        <w:r>
          <w:rPr>
            <w:noProof/>
            <w:webHidden/>
          </w:rPr>
          <w:fldChar w:fldCharType="begin"/>
        </w:r>
        <w:r>
          <w:rPr>
            <w:noProof/>
            <w:webHidden/>
          </w:rPr>
          <w:instrText xml:space="preserve"> PAGEREF _Toc300001643 \h </w:instrText>
        </w:r>
        <w:r>
          <w:rPr>
            <w:noProof/>
            <w:webHidden/>
          </w:rPr>
          <w:fldChar w:fldCharType="separate"/>
        </w:r>
        <w:r>
          <w:rPr>
            <w:noProof/>
            <w:webHidden/>
          </w:rPr>
          <w:t>1868</w:t>
        </w:r>
        <w:r>
          <w:rPr>
            <w:noProof/>
            <w:webHidden/>
          </w:rPr>
          <w:fldChar w:fldCharType="end"/>
        </w:r>
      </w:hyperlink>
    </w:p>
    <w:p>
      <w:pPr>
        <w:pStyle w:val="TOC2"/>
      </w:pPr>
      <w:hyperlink w:anchor="_Toc300001644" w:history="1">
        <w:r>
          <w:rPr>
            <w:noProof/>
          </w:rPr>
          <w:t xml:space="preserve">Article 43.1AD: Reciprocity Circuit Breaker, Review, and Non-Retaliation</w:t>
        </w:r>
        <w:r>
          <w:rPr>
            <w:noProof/>
            <w:webHidden/>
          </w:rPr>
          <w:tab/>
        </w:r>
        <w:r>
          <w:rPr>
            <w:noProof/>
            <w:webHidden/>
          </w:rPr>
          <w:fldChar w:fldCharType="begin"/>
        </w:r>
        <w:r>
          <w:rPr>
            <w:noProof/>
            <w:webHidden/>
          </w:rPr>
          <w:instrText xml:space="preserve"> PAGEREF _Toc300001644 \h </w:instrText>
        </w:r>
        <w:r>
          <w:rPr>
            <w:noProof/>
            <w:webHidden/>
          </w:rPr>
          <w:fldChar w:fldCharType="separate"/>
        </w:r>
        <w:r>
          <w:rPr>
            <w:noProof/>
            <w:webHidden/>
          </w:rPr>
          <w:t>1869</w:t>
        </w:r>
        <w:r>
          <w:rPr>
            <w:noProof/>
            <w:webHidden/>
          </w:rPr>
          <w:fldChar w:fldCharType="end"/>
        </w:r>
      </w:hyperlink>
    </w:p>
    <w:p>
      <w:pPr>
        <w:pStyle w:val="TOC2"/>
      </w:pPr>
      <w:hyperlink w:anchor="_Toc300001645" w:history="1">
        <w:r>
          <w:rPr>
            <w:noProof/>
          </w:rPr>
          <w:t xml:space="preserve">Article 43.2: Dairy Manufacturing Inputs</w:t>
        </w:r>
        <w:r>
          <w:rPr>
            <w:noProof/>
            <w:webHidden/>
          </w:rPr>
          <w:tab/>
        </w:r>
        <w:r>
          <w:rPr>
            <w:noProof/>
            <w:webHidden/>
          </w:rPr>
          <w:fldChar w:fldCharType="begin"/>
        </w:r>
        <w:r>
          <w:rPr>
            <w:noProof/>
            <w:webHidden/>
          </w:rPr>
          <w:instrText xml:space="preserve"> PAGEREF _Toc300001645 \h </w:instrText>
        </w:r>
        <w:r>
          <w:rPr>
            <w:noProof/>
            <w:webHidden/>
          </w:rPr>
          <w:fldChar w:fldCharType="separate"/>
        </w:r>
        <w:r>
          <w:rPr>
            <w:noProof/>
            <w:webHidden/>
          </w:rPr>
          <w:t>1871</w:t>
        </w:r>
        <w:r>
          <w:rPr>
            <w:noProof/>
            <w:webHidden/>
          </w:rPr>
          <w:fldChar w:fldCharType="end"/>
        </w:r>
      </w:hyperlink>
    </w:p>
    <w:p>
      <w:pPr>
        <w:pStyle w:val="TOC2"/>
      </w:pPr>
      <w:hyperlink w:anchor="_Toc300001646" w:history="1">
        <w:r>
          <w:rPr>
            <w:noProof/>
          </w:rPr>
          <w:t xml:space="preserve">Article 43.2A: North American Dairy Settlement and Supply-Management Stability</w:t>
        </w:r>
        <w:r>
          <w:rPr>
            <w:noProof/>
            <w:webHidden/>
          </w:rPr>
          <w:tab/>
        </w:r>
        <w:r>
          <w:rPr>
            <w:noProof/>
            <w:webHidden/>
          </w:rPr>
          <w:fldChar w:fldCharType="begin"/>
        </w:r>
        <w:r>
          <w:rPr>
            <w:noProof/>
            <w:webHidden/>
          </w:rPr>
          <w:instrText xml:space="preserve"> PAGEREF _Toc300001646 \h </w:instrText>
        </w:r>
        <w:r>
          <w:rPr>
            <w:noProof/>
            <w:webHidden/>
          </w:rPr>
          <w:fldChar w:fldCharType="separate"/>
        </w:r>
        <w:r>
          <w:rPr>
            <w:noProof/>
            <w:webHidden/>
          </w:rPr>
          <w:t>1871</w:t>
        </w:r>
        <w:r>
          <w:rPr>
            <w:noProof/>
            <w:webHidden/>
          </w:rPr>
          <w:fldChar w:fldCharType="end"/>
        </w:r>
      </w:hyperlink>
    </w:p>
    <w:p>
      <w:pPr>
        <w:pStyle w:val="TOC2"/>
      </w:pPr>
      <w:hyperlink w:anchor="_Toc300001647" w:history="1">
        <w:r>
          <w:rPr>
            <w:noProof/>
          </w:rPr>
          <w:t xml:space="preserve">Article 43.2B: Effective Dairy Access Guarantee</w:t>
        </w:r>
        <w:r>
          <w:rPr>
            <w:noProof/>
            <w:webHidden/>
          </w:rPr>
          <w:tab/>
        </w:r>
        <w:r>
          <w:rPr>
            <w:noProof/>
            <w:webHidden/>
          </w:rPr>
          <w:fldChar w:fldCharType="begin"/>
        </w:r>
        <w:r>
          <w:rPr>
            <w:noProof/>
            <w:webHidden/>
          </w:rPr>
          <w:instrText xml:space="preserve"> PAGEREF _Toc300001647 \h </w:instrText>
        </w:r>
        <w:r>
          <w:rPr>
            <w:noProof/>
            <w:webHidden/>
          </w:rPr>
          <w:fldChar w:fldCharType="separate"/>
        </w:r>
        <w:r>
          <w:rPr>
            <w:noProof/>
            <w:webHidden/>
          </w:rPr>
          <w:t>1872</w:t>
        </w:r>
        <w:r>
          <w:rPr>
            <w:noProof/>
            <w:webHidden/>
          </w:rPr>
          <w:fldChar w:fldCharType="end"/>
        </w:r>
      </w:hyperlink>
    </w:p>
    <w:p>
      <w:pPr>
        <w:pStyle w:val="TOC2"/>
      </w:pPr>
      <w:hyperlink w:anchor="_Toc300001648" w:history="1">
        <w:r>
          <w:rPr>
            <w:noProof/>
          </w:rPr>
          <w:t xml:space="preserve">Article 43.2C: Utilization, Adaptive TRQs, and Access Restoration</w:t>
        </w:r>
        <w:r>
          <w:rPr>
            <w:noProof/>
            <w:webHidden/>
          </w:rPr>
          <w:tab/>
        </w:r>
        <w:r>
          <w:rPr>
            <w:noProof/>
            <w:webHidden/>
          </w:rPr>
          <w:fldChar w:fldCharType="begin"/>
        </w:r>
        <w:r>
          <w:rPr>
            <w:noProof/>
            <w:webHidden/>
          </w:rPr>
          <w:instrText xml:space="preserve"> PAGEREF _Toc300001648 \h </w:instrText>
        </w:r>
        <w:r>
          <w:rPr>
            <w:noProof/>
            <w:webHidden/>
          </w:rPr>
          <w:fldChar w:fldCharType="separate"/>
        </w:r>
        <w:r>
          <w:rPr>
            <w:noProof/>
            <w:webHidden/>
          </w:rPr>
          <w:t>1873</w:t>
        </w:r>
        <w:r>
          <w:rPr>
            <w:noProof/>
            <w:webHidden/>
          </w:rPr>
          <w:fldChar w:fldCharType="end"/>
        </w:r>
      </w:hyperlink>
    </w:p>
    <w:p>
      <w:pPr>
        <w:pStyle w:val="TOC2"/>
      </w:pPr>
      <w:hyperlink w:anchor="_Toc300001649" w:history="1">
        <w:r>
          <w:rPr>
            <w:noProof/>
          </w:rPr>
          <w:t xml:space="preserve">Article 43.2D: Mexico Integration, Capacity Development, and Balanced Trilateral Opportunity</w:t>
        </w:r>
        <w:r>
          <w:rPr>
            <w:noProof/>
            <w:webHidden/>
          </w:rPr>
          <w:tab/>
        </w:r>
        <w:r>
          <w:rPr>
            <w:noProof/>
            <w:webHidden/>
          </w:rPr>
          <w:fldChar w:fldCharType="begin"/>
        </w:r>
        <w:r>
          <w:rPr>
            <w:noProof/>
            <w:webHidden/>
          </w:rPr>
          <w:instrText xml:space="preserve"> PAGEREF _Toc300001649 \h </w:instrText>
        </w:r>
        <w:r>
          <w:rPr>
            <w:noProof/>
            <w:webHidden/>
          </w:rPr>
          <w:fldChar w:fldCharType="separate"/>
        </w:r>
        <w:r>
          <w:rPr>
            <w:noProof/>
            <w:webHidden/>
          </w:rPr>
          <w:t>1873</w:t>
        </w:r>
        <w:r>
          <w:rPr>
            <w:noProof/>
            <w:webHidden/>
          </w:rPr>
          <w:fldChar w:fldCharType="end"/>
        </w:r>
      </w:hyperlink>
    </w:p>
    <w:p>
      <w:pPr>
        <w:pStyle w:val="TOC2"/>
      </w:pPr>
      <w:hyperlink w:anchor="_Toc300001650" w:history="1">
        <w:r>
          <w:rPr>
            <w:noProof/>
          </w:rPr>
          <w:t xml:space="preserve">Article 43.2E: Dairy Proteins, Concentrates, and Competitive-Neutrality Safe Harbor</w:t>
        </w:r>
        <w:r>
          <w:rPr>
            <w:noProof/>
            <w:webHidden/>
          </w:rPr>
          <w:tab/>
        </w:r>
        <w:r>
          <w:rPr>
            <w:noProof/>
            <w:webHidden/>
          </w:rPr>
          <w:fldChar w:fldCharType="begin"/>
        </w:r>
        <w:r>
          <w:rPr>
            <w:noProof/>
            <w:webHidden/>
          </w:rPr>
          <w:instrText xml:space="preserve"> PAGEREF _Toc300001650 \h </w:instrText>
        </w:r>
        <w:r>
          <w:rPr>
            <w:noProof/>
            <w:webHidden/>
          </w:rPr>
          <w:fldChar w:fldCharType="separate"/>
        </w:r>
        <w:r>
          <w:rPr>
            <w:noProof/>
            <w:webHidden/>
          </w:rPr>
          <w:t>1874</w:t>
        </w:r>
        <w:r>
          <w:rPr>
            <w:noProof/>
            <w:webHidden/>
          </w:rPr>
          <w:fldChar w:fldCharType="end"/>
        </w:r>
      </w:hyperlink>
    </w:p>
    <w:p>
      <w:pPr>
        <w:pStyle w:val="TOC2"/>
      </w:pPr>
      <w:hyperlink w:anchor="_Toc300001651" w:history="1">
        <w:r>
          <w:rPr>
            <w:noProof/>
          </w:rPr>
          <w:t xml:space="preserve">Article 43.2F: Regulatory Equivalence, Inspection, and Dairy Border Facilitation</w:t>
        </w:r>
        <w:r>
          <w:rPr>
            <w:noProof/>
            <w:webHidden/>
          </w:rPr>
          <w:tab/>
        </w:r>
        <w:r>
          <w:rPr>
            <w:noProof/>
            <w:webHidden/>
          </w:rPr>
          <w:fldChar w:fldCharType="begin"/>
        </w:r>
        <w:r>
          <w:rPr>
            <w:noProof/>
            <w:webHidden/>
          </w:rPr>
          <w:instrText xml:space="preserve"> PAGEREF _Toc300001651 \h </w:instrText>
        </w:r>
        <w:r>
          <w:rPr>
            <w:noProof/>
            <w:webHidden/>
          </w:rPr>
          <w:fldChar w:fldCharType="separate"/>
        </w:r>
        <w:r>
          <w:rPr>
            <w:noProof/>
            <w:webHidden/>
          </w:rPr>
          <w:t>1875</w:t>
        </w:r>
        <w:r>
          <w:rPr>
            <w:noProof/>
            <w:webHidden/>
          </w:rPr>
          <w:fldChar w:fldCharType="end"/>
        </w:r>
      </w:hyperlink>
    </w:p>
    <w:p>
      <w:pPr>
        <w:pStyle w:val="TOC2"/>
      </w:pPr>
      <w:hyperlink w:anchor="_Toc300001652" w:history="1">
        <w:r>
          <w:rPr>
            <w:noProof/>
          </w:rPr>
          <w:t xml:space="preserve">Article 43.2G: Specialty Dairy, Small Producers, and Novel Products</w:t>
        </w:r>
        <w:r>
          <w:rPr>
            <w:noProof/>
            <w:webHidden/>
          </w:rPr>
          <w:tab/>
        </w:r>
        <w:r>
          <w:rPr>
            <w:noProof/>
            <w:webHidden/>
          </w:rPr>
          <w:fldChar w:fldCharType="begin"/>
        </w:r>
        <w:r>
          <w:rPr>
            <w:noProof/>
            <w:webHidden/>
          </w:rPr>
          <w:instrText xml:space="preserve"> PAGEREF _Toc300001652 \h </w:instrText>
        </w:r>
        <w:r>
          <w:rPr>
            <w:noProof/>
            <w:webHidden/>
          </w:rPr>
          <w:fldChar w:fldCharType="separate"/>
        </w:r>
        <w:r>
          <w:rPr>
            <w:noProof/>
            <w:webHidden/>
          </w:rPr>
          <w:t>1875</w:t>
        </w:r>
        <w:r>
          <w:rPr>
            <w:noProof/>
            <w:webHidden/>
          </w:rPr>
          <w:fldChar w:fldCharType="end"/>
        </w:r>
      </w:hyperlink>
    </w:p>
    <w:p>
      <w:pPr>
        <w:pStyle w:val="TOC2"/>
      </w:pPr>
      <w:hyperlink w:anchor="_Toc300001653" w:history="1">
        <w:r>
          <w:rPr>
            <w:noProof/>
          </w:rPr>
          <w:t xml:space="preserve">Article 43.2H: North American Specialty Dairy Experimental Pathway</w:t>
        </w:r>
        <w:r>
          <w:rPr>
            <w:noProof/>
            <w:webHidden/>
          </w:rPr>
          <w:tab/>
        </w:r>
        <w:r>
          <w:rPr>
            <w:noProof/>
            <w:webHidden/>
          </w:rPr>
          <w:fldChar w:fldCharType="begin"/>
        </w:r>
        <w:r>
          <w:rPr>
            <w:noProof/>
            <w:webHidden/>
          </w:rPr>
          <w:instrText xml:space="preserve"> PAGEREF _Toc300001653 \h </w:instrText>
        </w:r>
        <w:r>
          <w:rPr>
            <w:noProof/>
            <w:webHidden/>
          </w:rPr>
          <w:fldChar w:fldCharType="separate"/>
        </w:r>
        <w:r>
          <w:rPr>
            <w:noProof/>
            <w:webHidden/>
          </w:rPr>
          <w:t>1876</w:t>
        </w:r>
        <w:r>
          <w:rPr>
            <w:noProof/>
            <w:webHidden/>
          </w:rPr>
          <w:fldChar w:fldCharType="end"/>
        </w:r>
      </w:hyperlink>
    </w:p>
    <w:p>
      <w:pPr>
        <w:pStyle w:val="TOC2"/>
      </w:pPr>
      <w:hyperlink w:anchor="_Toc300001654" w:history="1">
        <w:r>
          <w:rPr>
            <w:noProof/>
          </w:rPr>
          <w:t xml:space="preserve">Article 43.2I: Producer, Consumer, and Supply-Chain Stability</w:t>
        </w:r>
        <w:r>
          <w:rPr>
            <w:noProof/>
            <w:webHidden/>
          </w:rPr>
          <w:tab/>
        </w:r>
        <w:r>
          <w:rPr>
            <w:noProof/>
            <w:webHidden/>
          </w:rPr>
          <w:fldChar w:fldCharType="begin"/>
        </w:r>
        <w:r>
          <w:rPr>
            <w:noProof/>
            <w:webHidden/>
          </w:rPr>
          <w:instrText xml:space="preserve"> PAGEREF _Toc300001654 \h </w:instrText>
        </w:r>
        <w:r>
          <w:rPr>
            <w:noProof/>
            <w:webHidden/>
          </w:rPr>
          <w:fldChar w:fldCharType="separate"/>
        </w:r>
        <w:r>
          <w:rPr>
            <w:noProof/>
            <w:webHidden/>
          </w:rPr>
          <w:t>1877</w:t>
        </w:r>
        <w:r>
          <w:rPr>
            <w:noProof/>
            <w:webHidden/>
          </w:rPr>
          <w:fldChar w:fldCharType="end"/>
        </w:r>
      </w:hyperlink>
    </w:p>
    <w:p>
      <w:pPr>
        <w:pStyle w:val="TOC2"/>
      </w:pPr>
      <w:hyperlink w:anchor="_Toc300001655" w:history="1">
        <w:r>
          <w:rPr>
            <w:noProof/>
          </w:rPr>
          <w:t xml:space="preserve">Article 43.2J: Accelerated Dairy Cothrom Review and Cure</w:t>
        </w:r>
        <w:r>
          <w:rPr>
            <w:noProof/>
            <w:webHidden/>
          </w:rPr>
          <w:tab/>
        </w:r>
        <w:r>
          <w:rPr>
            <w:noProof/>
            <w:webHidden/>
          </w:rPr>
          <w:fldChar w:fldCharType="begin"/>
        </w:r>
        <w:r>
          <w:rPr>
            <w:noProof/>
            <w:webHidden/>
          </w:rPr>
          <w:instrText xml:space="preserve"> PAGEREF _Toc300001655 \h </w:instrText>
        </w:r>
        <w:r>
          <w:rPr>
            <w:noProof/>
            <w:webHidden/>
          </w:rPr>
          <w:fldChar w:fldCharType="separate"/>
        </w:r>
        <w:r>
          <w:rPr>
            <w:noProof/>
            <w:webHidden/>
          </w:rPr>
          <w:t>1877</w:t>
        </w:r>
        <w:r>
          <w:rPr>
            <w:noProof/>
            <w:webHidden/>
          </w:rPr>
          <w:fldChar w:fldCharType="end"/>
        </w:r>
      </w:hyperlink>
    </w:p>
    <w:p>
      <w:pPr>
        <w:pStyle w:val="TOC2"/>
      </w:pPr>
      <w:hyperlink w:anchor="_Toc300001656" w:history="1">
        <w:r>
          <w:rPr>
            <w:noProof/>
          </w:rPr>
          <w:t xml:space="preserve">Article 43.2K: Dairy Peace Clause, No-Surprises Rule, and No-Fade Guarantee</w:t>
        </w:r>
        <w:r>
          <w:rPr>
            <w:noProof/>
            <w:webHidden/>
          </w:rPr>
          <w:tab/>
        </w:r>
        <w:r>
          <w:rPr>
            <w:noProof/>
            <w:webHidden/>
          </w:rPr>
          <w:fldChar w:fldCharType="begin"/>
        </w:r>
        <w:r>
          <w:rPr>
            <w:noProof/>
            <w:webHidden/>
          </w:rPr>
          <w:instrText xml:space="preserve"> PAGEREF _Toc300001656 \h </w:instrText>
        </w:r>
        <w:r>
          <w:rPr>
            <w:noProof/>
            <w:webHidden/>
          </w:rPr>
          <w:fldChar w:fldCharType="separate"/>
        </w:r>
        <w:r>
          <w:rPr>
            <w:noProof/>
            <w:webHidden/>
          </w:rPr>
          <w:t>1878</w:t>
        </w:r>
        <w:r>
          <w:rPr>
            <w:noProof/>
            <w:webHidden/>
          </w:rPr>
          <w:fldChar w:fldCharType="end"/>
        </w:r>
      </w:hyperlink>
    </w:p>
    <w:p>
      <w:pPr>
        <w:pStyle w:val="TOC2"/>
      </w:pPr>
      <w:hyperlink w:anchor="_Toc300001657" w:history="1">
        <w:r>
          <w:rPr>
            <w:noProof/>
          </w:rPr>
          <w:t xml:space="preserve">Article 43.2L: Dairy Data, Research, and Implementation</w:t>
        </w:r>
        <w:r>
          <w:rPr>
            <w:noProof/>
            <w:webHidden/>
          </w:rPr>
          <w:tab/>
        </w:r>
        <w:r>
          <w:rPr>
            <w:noProof/>
            <w:webHidden/>
          </w:rPr>
          <w:fldChar w:fldCharType="begin"/>
        </w:r>
        <w:r>
          <w:rPr>
            <w:noProof/>
            <w:webHidden/>
          </w:rPr>
          <w:instrText xml:space="preserve"> PAGEREF _Toc300001657 \h </w:instrText>
        </w:r>
        <w:r>
          <w:rPr>
            <w:noProof/>
            <w:webHidden/>
          </w:rPr>
          <w:fldChar w:fldCharType="separate"/>
        </w:r>
        <w:r>
          <w:rPr>
            <w:noProof/>
            <w:webHidden/>
          </w:rPr>
          <w:t>1879</w:t>
        </w:r>
        <w:r>
          <w:rPr>
            <w:noProof/>
            <w:webHidden/>
          </w:rPr>
          <w:fldChar w:fldCharType="end"/>
        </w:r>
      </w:hyperlink>
    </w:p>
    <w:p>
      <w:pPr>
        <w:pStyle w:val="TOC2"/>
      </w:pPr>
      <w:hyperlink w:anchor="_Toc300001658" w:history="1">
        <w:r>
          <w:rPr>
            <w:noProof/>
          </w:rPr>
          <w:t xml:space="preserve">Article 43.2L.1: Dairy Access Portability and Active-Use Reallocation</w:t>
        </w:r>
        <w:r>
          <w:rPr>
            <w:noProof/>
            <w:webHidden/>
          </w:rPr>
          <w:tab/>
        </w:r>
        <w:r>
          <w:rPr>
            <w:noProof/>
            <w:webHidden/>
          </w:rPr>
          <w:fldChar w:fldCharType="begin"/>
        </w:r>
        <w:r>
          <w:rPr>
            <w:noProof/>
            <w:webHidden/>
          </w:rPr>
          <w:instrText xml:space="preserve"> PAGEREF _Toc300001658 \h </w:instrText>
        </w:r>
        <w:r>
          <w:rPr>
            <w:noProof/>
            <w:webHidden/>
          </w:rPr>
          <w:fldChar w:fldCharType="separate"/>
        </w:r>
        <w:r>
          <w:rPr>
            <w:noProof/>
            <w:webHidden/>
          </w:rPr>
          <w:t>1882</w:t>
        </w:r>
        <w:r>
          <w:rPr>
            <w:noProof/>
            <w:webHidden/>
          </w:rPr>
          <w:fldChar w:fldCharType="end"/>
        </w:r>
      </w:hyperlink>
    </w:p>
    <w:p>
      <w:pPr>
        <w:pStyle w:val="TOC2"/>
      </w:pPr>
      <w:hyperlink w:anchor="_Toc300001659" w:history="1">
        <w:r>
          <w:rPr>
            <w:noProof/>
          </w:rPr>
          <w:t xml:space="preserve">Article 43.2L.2: Functional Dairy Access Pools</w:t>
        </w:r>
        <w:r>
          <w:rPr>
            <w:noProof/>
            <w:webHidden/>
          </w:rPr>
          <w:tab/>
        </w:r>
        <w:r>
          <w:rPr>
            <w:noProof/>
            <w:webHidden/>
          </w:rPr>
          <w:fldChar w:fldCharType="begin"/>
        </w:r>
        <w:r>
          <w:rPr>
            <w:noProof/>
            <w:webHidden/>
          </w:rPr>
          <w:instrText xml:space="preserve"> PAGEREF _Toc300001659 \h </w:instrText>
        </w:r>
        <w:r>
          <w:rPr>
            <w:noProof/>
            <w:webHidden/>
          </w:rPr>
          <w:fldChar w:fldCharType="separate"/>
        </w:r>
        <w:r>
          <w:rPr>
            <w:noProof/>
            <w:webHidden/>
          </w:rPr>
          <w:t>1883</w:t>
        </w:r>
        <w:r>
          <w:rPr>
            <w:noProof/>
            <w:webHidden/>
          </w:rPr>
          <w:fldChar w:fldCharType="end"/>
        </w:r>
      </w:hyperlink>
    </w:p>
    <w:p>
      <w:pPr>
        <w:pStyle w:val="TOC2"/>
      </w:pPr>
      <w:hyperlink w:anchor="_Toc300001660" w:history="1">
        <w:r>
          <w:rPr>
            <w:noProof/>
          </w:rPr>
          <w:t xml:space="preserve">Article 43.2L.3: Dairy Exporter Pre-Clearance and New-Entrant Gateway</w:t>
        </w:r>
        <w:r>
          <w:rPr>
            <w:noProof/>
            <w:webHidden/>
          </w:rPr>
          <w:tab/>
        </w:r>
        <w:r>
          <w:rPr>
            <w:noProof/>
            <w:webHidden/>
          </w:rPr>
          <w:fldChar w:fldCharType="begin"/>
        </w:r>
        <w:r>
          <w:rPr>
            <w:noProof/>
            <w:webHidden/>
          </w:rPr>
          <w:instrText xml:space="preserve"> PAGEREF _Toc300001660 \h </w:instrText>
        </w:r>
        <w:r>
          <w:rPr>
            <w:noProof/>
            <w:webHidden/>
          </w:rPr>
          <w:fldChar w:fldCharType="separate"/>
        </w:r>
        <w:r>
          <w:rPr>
            <w:noProof/>
            <w:webHidden/>
          </w:rPr>
          <w:t>1883</w:t>
        </w:r>
        <w:r>
          <w:rPr>
            <w:noProof/>
            <w:webHidden/>
          </w:rPr>
          <w:fldChar w:fldCharType="end"/>
        </w:r>
      </w:hyperlink>
    </w:p>
    <w:p>
      <w:pPr>
        <w:pStyle w:val="TOC2"/>
      </w:pPr>
      <w:hyperlink w:anchor="_Toc300001661" w:history="1">
        <w:r>
          <w:rPr>
            <w:noProof/>
          </w:rPr>
          <w:t xml:space="preserve">Article 43.2L.4: Provincial United States Dairy Access Floor</w:t>
        </w:r>
        <w:r>
          <w:rPr>
            <w:noProof/>
            <w:webHidden/>
          </w:rPr>
          <w:tab/>
        </w:r>
        <w:r>
          <w:rPr>
            <w:noProof/>
            <w:webHidden/>
          </w:rPr>
          <w:fldChar w:fldCharType="begin"/>
        </w:r>
        <w:r>
          <w:rPr>
            <w:noProof/>
            <w:webHidden/>
          </w:rPr>
          <w:instrText xml:space="preserve"> PAGEREF _Toc300001661 \h </w:instrText>
        </w:r>
        <w:r>
          <w:rPr>
            <w:noProof/>
            <w:webHidden/>
          </w:rPr>
          <w:fldChar w:fldCharType="separate"/>
        </w:r>
        <w:r>
          <w:rPr>
            <w:noProof/>
            <w:webHidden/>
          </w:rPr>
          <w:t>1883</w:t>
        </w:r>
        <w:r>
          <w:rPr>
            <w:noProof/>
            <w:webHidden/>
          </w:rPr>
          <w:fldChar w:fldCharType="end"/>
        </w:r>
      </w:hyperlink>
    </w:p>
    <w:p>
      <w:pPr>
        <w:pStyle w:val="TOC2"/>
      </w:pPr>
      <w:hyperlink w:anchor="_Toc300001662" w:history="1">
        <w:r>
          <w:rPr>
            <w:noProof/>
          </w:rPr>
          <w:t xml:space="preserve">Article 43.2L.5: Commercial Utilization, Use-or-Return, and Reallocation</w:t>
        </w:r>
        <w:r>
          <w:rPr>
            <w:noProof/>
            <w:webHidden/>
          </w:rPr>
          <w:tab/>
        </w:r>
        <w:r>
          <w:rPr>
            <w:noProof/>
            <w:webHidden/>
          </w:rPr>
          <w:fldChar w:fldCharType="begin"/>
        </w:r>
        <w:r>
          <w:rPr>
            <w:noProof/>
            <w:webHidden/>
          </w:rPr>
          <w:instrText xml:space="preserve"> PAGEREF _Toc300001662 \h </w:instrText>
        </w:r>
        <w:r>
          <w:rPr>
            <w:noProof/>
            <w:webHidden/>
          </w:rPr>
          <w:fldChar w:fldCharType="separate"/>
        </w:r>
        <w:r>
          <w:rPr>
            <w:noProof/>
            <w:webHidden/>
          </w:rPr>
          <w:t>1884</w:t>
        </w:r>
        <w:r>
          <w:rPr>
            <w:noProof/>
            <w:webHidden/>
          </w:rPr>
          <w:fldChar w:fldCharType="end"/>
        </w:r>
      </w:hyperlink>
    </w:p>
    <w:p>
      <w:pPr>
        <w:pStyle w:val="TOC2"/>
      </w:pPr>
      <w:hyperlink w:anchor="_Toc300001663" w:history="1">
        <w:r>
          <w:rPr>
            <w:noProof/>
          </w:rPr>
          <w:t xml:space="preserve">Article 43.2L.6: Provincial Distribution, Regional Flexibility, and Anti-Concentration</w:t>
        </w:r>
        <w:r>
          <w:rPr>
            <w:noProof/>
            <w:webHidden/>
          </w:rPr>
          <w:tab/>
        </w:r>
        <w:r>
          <w:rPr>
            <w:noProof/>
            <w:webHidden/>
          </w:rPr>
          <w:fldChar w:fldCharType="begin"/>
        </w:r>
        <w:r>
          <w:rPr>
            <w:noProof/>
            <w:webHidden/>
          </w:rPr>
          <w:instrText xml:space="preserve"> PAGEREF _Toc300001663 \h </w:instrText>
        </w:r>
        <w:r>
          <w:rPr>
            <w:noProof/>
            <w:webHidden/>
          </w:rPr>
          <w:fldChar w:fldCharType="separate"/>
        </w:r>
        <w:r>
          <w:rPr>
            <w:noProof/>
            <w:webHidden/>
          </w:rPr>
          <w:t>1885</w:t>
        </w:r>
        <w:r>
          <w:rPr>
            <w:noProof/>
            <w:webHidden/>
          </w:rPr>
          <w:fldChar w:fldCharType="end"/>
        </w:r>
      </w:hyperlink>
    </w:p>
    <w:p>
      <w:pPr>
        <w:pStyle w:val="TOC2"/>
      </w:pPr>
      <w:hyperlink w:anchor="_Toc300001664" w:history="1">
        <w:r>
          <w:rPr>
            <w:noProof/>
          </w:rPr>
          <w:t xml:space="preserve">Article 43.2L.7: Product Mix, Milk-Equivalent Accounting, and Reference Volume</w:t>
        </w:r>
        <w:r>
          <w:rPr>
            <w:noProof/>
            <w:webHidden/>
          </w:rPr>
          <w:tab/>
        </w:r>
        <w:r>
          <w:rPr>
            <w:noProof/>
            <w:webHidden/>
          </w:rPr>
          <w:fldChar w:fldCharType="begin"/>
        </w:r>
        <w:r>
          <w:rPr>
            <w:noProof/>
            <w:webHidden/>
          </w:rPr>
          <w:instrText xml:space="preserve"> PAGEREF _Toc300001664 \h </w:instrText>
        </w:r>
        <w:r>
          <w:rPr>
            <w:noProof/>
            <w:webHidden/>
          </w:rPr>
          <w:fldChar w:fldCharType="separate"/>
        </w:r>
        <w:r>
          <w:rPr>
            <w:noProof/>
            <w:webHidden/>
          </w:rPr>
          <w:t>1886</w:t>
        </w:r>
        <w:r>
          <w:rPr>
            <w:noProof/>
            <w:webHidden/>
          </w:rPr>
          <w:fldChar w:fldCharType="end"/>
        </w:r>
      </w:hyperlink>
    </w:p>
    <w:p>
      <w:pPr>
        <w:pStyle w:val="TOC2"/>
      </w:pPr>
      <w:hyperlink w:anchor="_Toc300001665" w:history="1">
        <w:r>
          <w:rPr>
            <w:noProof/>
          </w:rPr>
          <w:t xml:space="preserve">Article 43.2L.8: Supply-Management Stability and No-Ratchet Safeguard</w:t>
        </w:r>
        <w:r>
          <w:rPr>
            <w:noProof/>
            <w:webHidden/>
          </w:rPr>
          <w:tab/>
        </w:r>
        <w:r>
          <w:rPr>
            <w:noProof/>
            <w:webHidden/>
          </w:rPr>
          <w:fldChar w:fldCharType="begin"/>
        </w:r>
        <w:r>
          <w:rPr>
            <w:noProof/>
            <w:webHidden/>
          </w:rPr>
          <w:instrText xml:space="preserve"> PAGEREF _Toc300001665 \h </w:instrText>
        </w:r>
        <w:r>
          <w:rPr>
            <w:noProof/>
            <w:webHidden/>
          </w:rPr>
          <w:fldChar w:fldCharType="separate"/>
        </w:r>
        <w:r>
          <w:rPr>
            <w:noProof/>
            <w:webHidden/>
          </w:rPr>
          <w:t>1887</w:t>
        </w:r>
        <w:r>
          <w:rPr>
            <w:noProof/>
            <w:webHidden/>
          </w:rPr>
          <w:fldChar w:fldCharType="end"/>
        </w:r>
      </w:hyperlink>
    </w:p>
    <w:p>
      <w:pPr>
        <w:pStyle w:val="TOC2"/>
      </w:pPr>
      <w:hyperlink w:anchor="_Toc300001666" w:history="1">
        <w:r>
          <w:rPr>
            <w:noProof/>
          </w:rPr>
          <w:t xml:space="preserve">Article 43.2L.9: Synchronized Exchange, Trilateral Balance, and Review</w:t>
        </w:r>
        <w:r>
          <w:rPr>
            <w:noProof/>
            <w:webHidden/>
          </w:rPr>
          <w:tab/>
        </w:r>
        <w:r>
          <w:rPr>
            <w:noProof/>
            <w:webHidden/>
          </w:rPr>
          <w:fldChar w:fldCharType="begin"/>
        </w:r>
        <w:r>
          <w:rPr>
            <w:noProof/>
            <w:webHidden/>
          </w:rPr>
          <w:instrText xml:space="preserve"> PAGEREF _Toc300001666 \h </w:instrText>
        </w:r>
        <w:r>
          <w:rPr>
            <w:noProof/>
            <w:webHidden/>
          </w:rPr>
          <w:fldChar w:fldCharType="separate"/>
        </w:r>
        <w:r>
          <w:rPr>
            <w:noProof/>
            <w:webHidden/>
          </w:rPr>
          <w:t>1887</w:t>
        </w:r>
        <w:r>
          <w:rPr>
            <w:noProof/>
            <w:webHidden/>
          </w:rPr>
          <w:fldChar w:fldCharType="end"/>
        </w:r>
      </w:hyperlink>
    </w:p>
    <w:p>
      <w:pPr>
        <w:pStyle w:val="TOC2"/>
      </w:pPr>
      <w:hyperlink w:anchor="_Toc300001667" w:history="1">
        <w:r>
          <w:rPr>
            <w:noProof/>
          </w:rPr>
          <w:t xml:space="preserve">Article 43.2L.10: Provincial Priority Cheese Access Bonus</w:t>
        </w:r>
        <w:r>
          <w:rPr>
            <w:noProof/>
            <w:webHidden/>
          </w:rPr>
          <w:tab/>
        </w:r>
        <w:r>
          <w:rPr>
            <w:noProof/>
            <w:webHidden/>
          </w:rPr>
          <w:fldChar w:fldCharType="begin"/>
        </w:r>
        <w:r>
          <w:rPr>
            <w:noProof/>
            <w:webHidden/>
          </w:rPr>
          <w:instrText xml:space="preserve"> PAGEREF _Toc300001667 \h </w:instrText>
        </w:r>
        <w:r>
          <w:rPr>
            <w:noProof/>
            <w:webHidden/>
          </w:rPr>
          <w:fldChar w:fldCharType="separate"/>
        </w:r>
        <w:r>
          <w:rPr>
            <w:noProof/>
            <w:webHidden/>
          </w:rPr>
          <w:t>1888</w:t>
        </w:r>
        <w:r>
          <w:rPr>
            <w:noProof/>
            <w:webHidden/>
          </w:rPr>
          <w:fldChar w:fldCharType="end"/>
        </w:r>
      </w:hyperlink>
    </w:p>
    <w:p>
      <w:pPr>
        <w:pStyle w:val="TOC2"/>
      </w:pPr>
      <w:hyperlink w:anchor="_Toc300001668" w:history="1">
        <w:r>
          <w:rPr>
            <w:noProof/>
          </w:rPr>
          <w:t xml:space="preserve">Article 43.2L.11: OPTIONAL CANADA-UNITED STATES ENHANCED DAIRY ACCESS AND SOFTWOOD LUMBER NORMALIZATION EXCHANGE</w:t>
        </w:r>
        <w:r>
          <w:rPr>
            <w:noProof/>
            <w:webHidden/>
          </w:rPr>
          <w:tab/>
        </w:r>
        <w:r>
          <w:rPr>
            <w:noProof/>
            <w:webHidden/>
          </w:rPr>
          <w:fldChar w:fldCharType="begin"/>
        </w:r>
        <w:r>
          <w:rPr>
            <w:noProof/>
            <w:webHidden/>
          </w:rPr>
          <w:instrText xml:space="preserve"> PAGEREF _Toc300001668 \h </w:instrText>
        </w:r>
        <w:r>
          <w:rPr>
            <w:noProof/>
            <w:webHidden/>
          </w:rPr>
          <w:fldChar w:fldCharType="separate"/>
        </w:r>
        <w:r>
          <w:rPr>
            <w:noProof/>
            <w:webHidden/>
          </w:rPr>
          <w:t>1889</w:t>
        </w:r>
        <w:r>
          <w:rPr>
            <w:noProof/>
            <w:webHidden/>
          </w:rPr>
          <w:fldChar w:fldCharType="end"/>
        </w:r>
      </w:hyperlink>
    </w:p>
    <w:p>
      <w:pPr>
        <w:pStyle w:val="TOC2"/>
      </w:pPr>
      <w:hyperlink w:anchor="_Toc300001669" w:history="1">
        <w:r>
          <w:rPr>
            <w:noProof/>
          </w:rPr>
          <w:t xml:space="preserve">Article 43.2M: North American Beverage Alcohol Stability, Regulatory Sovereignty, and Three-Win Framework</w:t>
        </w:r>
        <w:r>
          <w:rPr>
            <w:noProof/>
            <w:webHidden/>
          </w:rPr>
          <w:tab/>
        </w:r>
        <w:r>
          <w:rPr>
            <w:noProof/>
            <w:webHidden/>
          </w:rPr>
          <w:fldChar w:fldCharType="begin"/>
        </w:r>
        <w:r>
          <w:rPr>
            <w:noProof/>
            <w:webHidden/>
          </w:rPr>
          <w:instrText xml:space="preserve"> PAGEREF _Toc300001669 \h </w:instrText>
        </w:r>
        <w:r>
          <w:rPr>
            <w:noProof/>
            <w:webHidden/>
          </w:rPr>
          <w:fldChar w:fldCharType="separate"/>
        </w:r>
        <w:r>
          <w:rPr>
            <w:noProof/>
            <w:webHidden/>
          </w:rPr>
          <w:t>1892</w:t>
        </w:r>
        <w:r>
          <w:rPr>
            <w:noProof/>
            <w:webHidden/>
          </w:rPr>
          <w:fldChar w:fldCharType="end"/>
        </w:r>
      </w:hyperlink>
    </w:p>
    <w:p>
      <w:pPr>
        <w:pStyle w:val="TOC2"/>
      </w:pPr>
      <w:hyperlink w:anchor="_Toc300001670" w:history="1">
        <w:r>
          <w:rPr>
            <w:noProof/>
          </w:rPr>
          <w:t xml:space="preserve">Article 43.2N: Effective and Non-discriminatory Beverage Market Access</w:t>
        </w:r>
        <w:r>
          <w:rPr>
            <w:noProof/>
            <w:webHidden/>
          </w:rPr>
          <w:tab/>
        </w:r>
        <w:r>
          <w:rPr>
            <w:noProof/>
            <w:webHidden/>
          </w:rPr>
          <w:fldChar w:fldCharType="begin"/>
        </w:r>
        <w:r>
          <w:rPr>
            <w:noProof/>
            <w:webHidden/>
          </w:rPr>
          <w:instrText xml:space="preserve"> PAGEREF _Toc300001670 \h </w:instrText>
        </w:r>
        <w:r>
          <w:rPr>
            <w:noProof/>
            <w:webHidden/>
          </w:rPr>
          <w:fldChar w:fldCharType="separate"/>
        </w:r>
        <w:r>
          <w:rPr>
            <w:noProof/>
            <w:webHidden/>
          </w:rPr>
          <w:t>1893</w:t>
        </w:r>
        <w:r>
          <w:rPr>
            <w:noProof/>
            <w:webHidden/>
          </w:rPr>
          <w:fldChar w:fldCharType="end"/>
        </w:r>
      </w:hyperlink>
    </w:p>
    <w:p>
      <w:pPr>
        <w:pStyle w:val="TOC2"/>
      </w:pPr>
      <w:hyperlink w:anchor="_Toc300001671" w:history="1">
        <w:r>
          <w:rPr>
            <w:noProof/>
          </w:rPr>
          <w:t xml:space="preserve">Article 43.2O: Tariff-Linked Restoration, Transition, and Inventory Reconciliation</w:t>
        </w:r>
        <w:r>
          <w:rPr>
            <w:noProof/>
            <w:webHidden/>
          </w:rPr>
          <w:tab/>
        </w:r>
        <w:r>
          <w:rPr>
            <w:noProof/>
            <w:webHidden/>
          </w:rPr>
          <w:fldChar w:fldCharType="begin"/>
        </w:r>
        <w:r>
          <w:rPr>
            <w:noProof/>
            <w:webHidden/>
          </w:rPr>
          <w:instrText xml:space="preserve"> PAGEREF _Toc300001671 \h </w:instrText>
        </w:r>
        <w:r>
          <w:rPr>
            <w:noProof/>
            <w:webHidden/>
          </w:rPr>
          <w:fldChar w:fldCharType="separate"/>
        </w:r>
        <w:r>
          <w:rPr>
            <w:noProof/>
            <w:webHidden/>
          </w:rPr>
          <w:t>1893</w:t>
        </w:r>
        <w:r>
          <w:rPr>
            <w:noProof/>
            <w:webHidden/>
          </w:rPr>
          <w:fldChar w:fldCharType="end"/>
        </w:r>
      </w:hyperlink>
    </w:p>
    <w:p>
      <w:pPr>
        <w:pStyle w:val="TOC2"/>
      </w:pPr>
      <w:hyperlink w:anchor="_Toc300001672" w:history="1">
        <w:r>
          <w:rPr>
            <w:noProof/>
          </w:rPr>
          <w:t xml:space="preserve">Article 43.2P: Small, Independent, Indigenous, and Specialty Beverage Producers</w:t>
        </w:r>
        <w:r>
          <w:rPr>
            <w:noProof/>
            <w:webHidden/>
          </w:rPr>
          <w:tab/>
        </w:r>
        <w:r>
          <w:rPr>
            <w:noProof/>
            <w:webHidden/>
          </w:rPr>
          <w:fldChar w:fldCharType="begin"/>
        </w:r>
        <w:r>
          <w:rPr>
            <w:noProof/>
            <w:webHidden/>
          </w:rPr>
          <w:instrText xml:space="preserve"> PAGEREF _Toc300001672 \h </w:instrText>
        </w:r>
        <w:r>
          <w:rPr>
            <w:noProof/>
            <w:webHidden/>
          </w:rPr>
          <w:fldChar w:fldCharType="separate"/>
        </w:r>
        <w:r>
          <w:rPr>
            <w:noProof/>
            <w:webHidden/>
          </w:rPr>
          <w:t>1894</w:t>
        </w:r>
        <w:r>
          <w:rPr>
            <w:noProof/>
            <w:webHidden/>
          </w:rPr>
          <w:fldChar w:fldCharType="end"/>
        </w:r>
      </w:hyperlink>
    </w:p>
    <w:p>
      <w:pPr>
        <w:pStyle w:val="TOC2"/>
      </w:pPr>
      <w:hyperlink w:anchor="_Toc300001673" w:history="1">
        <w:r>
          <w:rPr>
            <w:noProof/>
          </w:rPr>
          <w:t xml:space="preserve">Article 43.2Q: Distinctive Products, Authenticity, Specialty Beverages, and Origin Integrity</w:t>
        </w:r>
        <w:r>
          <w:rPr>
            <w:noProof/>
            <w:webHidden/>
          </w:rPr>
          <w:tab/>
        </w:r>
        <w:r>
          <w:rPr>
            <w:noProof/>
            <w:webHidden/>
          </w:rPr>
          <w:fldChar w:fldCharType="begin"/>
        </w:r>
        <w:r>
          <w:rPr>
            <w:noProof/>
            <w:webHidden/>
          </w:rPr>
          <w:instrText xml:space="preserve"> PAGEREF _Toc300001673 \h </w:instrText>
        </w:r>
        <w:r>
          <w:rPr>
            <w:noProof/>
            <w:webHidden/>
          </w:rPr>
          <w:fldChar w:fldCharType="separate"/>
        </w:r>
        <w:r>
          <w:rPr>
            <w:noProof/>
            <w:webHidden/>
          </w:rPr>
          <w:t>1895</w:t>
        </w:r>
        <w:r>
          <w:rPr>
            <w:noProof/>
            <w:webHidden/>
          </w:rPr>
          <w:fldChar w:fldCharType="end"/>
        </w:r>
      </w:hyperlink>
    </w:p>
    <w:p>
      <w:pPr>
        <w:pStyle w:val="TOC2"/>
      </w:pPr>
      <w:hyperlink w:anchor="_Toc300001674" w:history="1">
        <w:r>
          <w:rPr>
            <w:noProof/>
          </w:rPr>
          <w:t xml:space="preserve">Article 43.2R: Regulatory Interoperability, Testing, Labeling, and Product Approval</w:t>
        </w:r>
        <w:r>
          <w:rPr>
            <w:noProof/>
            <w:webHidden/>
          </w:rPr>
          <w:tab/>
        </w:r>
        <w:r>
          <w:rPr>
            <w:noProof/>
            <w:webHidden/>
          </w:rPr>
          <w:fldChar w:fldCharType="begin"/>
        </w:r>
        <w:r>
          <w:rPr>
            <w:noProof/>
            <w:webHidden/>
          </w:rPr>
          <w:instrText xml:space="preserve"> PAGEREF _Toc300001674 \h </w:instrText>
        </w:r>
        <w:r>
          <w:rPr>
            <w:noProof/>
            <w:webHidden/>
          </w:rPr>
          <w:fldChar w:fldCharType="separate"/>
        </w:r>
        <w:r>
          <w:rPr>
            <w:noProof/>
            <w:webHidden/>
          </w:rPr>
          <w:t>1895</w:t>
        </w:r>
        <w:r>
          <w:rPr>
            <w:noProof/>
            <w:webHidden/>
          </w:rPr>
          <w:fldChar w:fldCharType="end"/>
        </w:r>
      </w:hyperlink>
    </w:p>
    <w:p>
      <w:pPr>
        <w:pStyle w:val="TOC2"/>
      </w:pPr>
      <w:hyperlink w:anchor="_Toc300001675" w:history="1">
        <w:r>
          <w:rPr>
            <w:noProof/>
          </w:rPr>
          <w:t xml:space="preserve">Article 43.2S: Digital Single Window, Customs, Logistics, and Trusted Beverage Operators</w:t>
        </w:r>
        <w:r>
          <w:rPr>
            <w:noProof/>
            <w:webHidden/>
          </w:rPr>
          <w:tab/>
        </w:r>
        <w:r>
          <w:rPr>
            <w:noProof/>
            <w:webHidden/>
          </w:rPr>
          <w:fldChar w:fldCharType="begin"/>
        </w:r>
        <w:r>
          <w:rPr>
            <w:noProof/>
            <w:webHidden/>
          </w:rPr>
          <w:instrText xml:space="preserve"> PAGEREF _Toc300001675 \h </w:instrText>
        </w:r>
        <w:r>
          <w:rPr>
            <w:noProof/>
            <w:webHidden/>
          </w:rPr>
          <w:fldChar w:fldCharType="separate"/>
        </w:r>
        <w:r>
          <w:rPr>
            <w:noProof/>
            <w:webHidden/>
          </w:rPr>
          <w:t>1896</w:t>
        </w:r>
        <w:r>
          <w:rPr>
            <w:noProof/>
            <w:webHidden/>
          </w:rPr>
          <w:fldChar w:fldCharType="end"/>
        </w:r>
      </w:hyperlink>
    </w:p>
    <w:p>
      <w:pPr>
        <w:pStyle w:val="TOC2"/>
      </w:pPr>
      <w:hyperlink w:anchor="_Toc300001676" w:history="1">
        <w:r>
          <w:rPr>
            <w:noProof/>
          </w:rPr>
          <w:t xml:space="preserve">Article 43.2T: Direct Commerce, Experimental Pathways, and Subnational Participation</w:t>
        </w:r>
        <w:r>
          <w:rPr>
            <w:noProof/>
            <w:webHidden/>
          </w:rPr>
          <w:tab/>
        </w:r>
        <w:r>
          <w:rPr>
            <w:noProof/>
            <w:webHidden/>
          </w:rPr>
          <w:fldChar w:fldCharType="begin"/>
        </w:r>
        <w:r>
          <w:rPr>
            <w:noProof/>
            <w:webHidden/>
          </w:rPr>
          <w:instrText xml:space="preserve"> PAGEREF _Toc300001676 \h </w:instrText>
        </w:r>
        <w:r>
          <w:rPr>
            <w:noProof/>
            <w:webHidden/>
          </w:rPr>
          <w:fldChar w:fldCharType="separate"/>
        </w:r>
        <w:r>
          <w:rPr>
            <w:noProof/>
            <w:webHidden/>
          </w:rPr>
          <w:t>1897</w:t>
        </w:r>
        <w:r>
          <w:rPr>
            <w:noProof/>
            <w:webHidden/>
          </w:rPr>
          <w:fldChar w:fldCharType="end"/>
        </w:r>
      </w:hyperlink>
    </w:p>
    <w:p>
      <w:pPr>
        <w:pStyle w:val="TOC2"/>
      </w:pPr>
      <w:hyperlink w:anchor="_Toc300001677" w:history="1">
        <w:r>
          <w:rPr>
            <w:noProof/>
          </w:rPr>
          <w:t xml:space="preserve">Article 43.2U: Beverage Safety, Illicit Trade, Recall, and Resilience Cooperation</w:t>
        </w:r>
        <w:r>
          <w:rPr>
            <w:noProof/>
            <w:webHidden/>
          </w:rPr>
          <w:tab/>
        </w:r>
        <w:r>
          <w:rPr>
            <w:noProof/>
            <w:webHidden/>
          </w:rPr>
          <w:fldChar w:fldCharType="begin"/>
        </w:r>
        <w:r>
          <w:rPr>
            <w:noProof/>
            <w:webHidden/>
          </w:rPr>
          <w:instrText xml:space="preserve"> PAGEREF _Toc300001677 \h </w:instrText>
        </w:r>
        <w:r>
          <w:rPr>
            <w:noProof/>
            <w:webHidden/>
          </w:rPr>
          <w:fldChar w:fldCharType="separate"/>
        </w:r>
        <w:r>
          <w:rPr>
            <w:noProof/>
            <w:webHidden/>
          </w:rPr>
          <w:t>1898</w:t>
        </w:r>
        <w:r>
          <w:rPr>
            <w:noProof/>
            <w:webHidden/>
          </w:rPr>
          <w:fldChar w:fldCharType="end"/>
        </w:r>
      </w:hyperlink>
    </w:p>
    <w:p>
      <w:pPr>
        <w:pStyle w:val="TOC2"/>
      </w:pPr>
      <w:hyperlink w:anchor="_Toc300001678" w:history="1">
        <w:r>
          <w:rPr>
            <w:noProof/>
          </w:rPr>
          <w:t xml:space="preserve">Article 43.2V: Transparency, Advance Rulings, Regulatory Change, and No-Surprises Rule</w:t>
        </w:r>
        <w:r>
          <w:rPr>
            <w:noProof/>
            <w:webHidden/>
          </w:rPr>
          <w:tab/>
        </w:r>
        <w:r>
          <w:rPr>
            <w:noProof/>
            <w:webHidden/>
          </w:rPr>
          <w:fldChar w:fldCharType="begin"/>
        </w:r>
        <w:r>
          <w:rPr>
            <w:noProof/>
            <w:webHidden/>
          </w:rPr>
          <w:instrText xml:space="preserve"> PAGEREF _Toc300001678 \h </w:instrText>
        </w:r>
        <w:r>
          <w:rPr>
            <w:noProof/>
            <w:webHidden/>
          </w:rPr>
          <w:fldChar w:fldCharType="separate"/>
        </w:r>
        <w:r>
          <w:rPr>
            <w:noProof/>
            <w:webHidden/>
          </w:rPr>
          <w:t>1898</w:t>
        </w:r>
        <w:r>
          <w:rPr>
            <w:noProof/>
            <w:webHidden/>
          </w:rPr>
          <w:fldChar w:fldCharType="end"/>
        </w:r>
      </w:hyperlink>
    </w:p>
    <w:p>
      <w:pPr>
        <w:pStyle w:val="TOC2"/>
      </w:pPr>
      <w:hyperlink w:anchor="_Toc300001679" w:history="1">
        <w:r>
          <w:rPr>
            <w:noProof/>
          </w:rPr>
          <w:t xml:space="preserve">Article 43.2W: Safeguards, Cothrom Review, De-escalation, and Alcohol Peace Clause</w:t>
        </w:r>
        <w:r>
          <w:rPr>
            <w:noProof/>
            <w:webHidden/>
          </w:rPr>
          <w:tab/>
        </w:r>
        <w:r>
          <w:rPr>
            <w:noProof/>
            <w:webHidden/>
          </w:rPr>
          <w:fldChar w:fldCharType="begin"/>
        </w:r>
        <w:r>
          <w:rPr>
            <w:noProof/>
            <w:webHidden/>
          </w:rPr>
          <w:instrText xml:space="preserve"> PAGEREF _Toc300001679 \h </w:instrText>
        </w:r>
        <w:r>
          <w:rPr>
            <w:noProof/>
            <w:webHidden/>
          </w:rPr>
          <w:fldChar w:fldCharType="separate"/>
        </w:r>
        <w:r>
          <w:rPr>
            <w:noProof/>
            <w:webHidden/>
          </w:rPr>
          <w:t>1899</w:t>
        </w:r>
        <w:r>
          <w:rPr>
            <w:noProof/>
            <w:webHidden/>
          </w:rPr>
          <w:fldChar w:fldCharType="end"/>
        </w:r>
      </w:hyperlink>
    </w:p>
    <w:p>
      <w:pPr>
        <w:pStyle w:val="TOC2"/>
      </w:pPr>
      <w:hyperlink w:anchor="_Toc300001680" w:history="1">
        <w:r>
          <w:rPr>
            <w:noProof/>
          </w:rPr>
          <w:t xml:space="preserve">Article 43.2W.1: Beverage Listing Transparency and Special-Order Access</w:t>
        </w:r>
        <w:r>
          <w:rPr>
            <w:noProof/>
            <w:webHidden/>
          </w:rPr>
          <w:tab/>
        </w:r>
        <w:r>
          <w:rPr>
            <w:noProof/>
            <w:webHidden/>
          </w:rPr>
          <w:fldChar w:fldCharType="begin"/>
        </w:r>
        <w:r>
          <w:rPr>
            <w:noProof/>
            <w:webHidden/>
          </w:rPr>
          <w:instrText xml:space="preserve"> PAGEREF _Toc300001680 \h </w:instrText>
        </w:r>
        <w:r>
          <w:rPr>
            <w:noProof/>
            <w:webHidden/>
          </w:rPr>
          <w:fldChar w:fldCharType="separate"/>
        </w:r>
        <w:r>
          <w:rPr>
            <w:noProof/>
            <w:webHidden/>
          </w:rPr>
          <w:t>1900</w:t>
        </w:r>
        <w:r>
          <w:rPr>
            <w:noProof/>
            <w:webHidden/>
          </w:rPr>
          <w:fldChar w:fldCharType="end"/>
        </w:r>
      </w:hyperlink>
    </w:p>
    <w:p>
      <w:pPr>
        <w:pStyle w:val="TOC2"/>
      </w:pPr>
      <w:hyperlink w:anchor="_Toc300001681" w:history="1">
        <w:r>
          <w:rPr>
            <w:noProof/>
          </w:rPr>
          <w:t xml:space="preserve">Article 43.2W.2: North American Small Beverage Producer Gateway</w:t>
        </w:r>
        <w:r>
          <w:rPr>
            <w:noProof/>
            <w:webHidden/>
          </w:rPr>
          <w:tab/>
        </w:r>
        <w:r>
          <w:rPr>
            <w:noProof/>
            <w:webHidden/>
          </w:rPr>
          <w:fldChar w:fldCharType="begin"/>
        </w:r>
        <w:r>
          <w:rPr>
            <w:noProof/>
            <w:webHidden/>
          </w:rPr>
          <w:instrText xml:space="preserve"> PAGEREF _Toc300001681 \h </w:instrText>
        </w:r>
        <w:r>
          <w:rPr>
            <w:noProof/>
            <w:webHidden/>
          </w:rPr>
          <w:fldChar w:fldCharType="separate"/>
        </w:r>
        <w:r>
          <w:rPr>
            <w:noProof/>
            <w:webHidden/>
          </w:rPr>
          <w:t>1900</w:t>
        </w:r>
        <w:r>
          <w:rPr>
            <w:noProof/>
            <w:webHidden/>
          </w:rPr>
          <w:fldChar w:fldCharType="end"/>
        </w:r>
      </w:hyperlink>
    </w:p>
    <w:p>
      <w:pPr>
        <w:pStyle w:val="TOC2"/>
      </w:pPr>
      <w:hyperlink w:anchor="_Toc300001682" w:history="1">
        <w:r>
          <w:rPr>
            <w:noProof/>
          </w:rPr>
          <w:t xml:space="preserve">Article 43.2W.3: North American Beverage Inputs and Packaging Cooperation</w:t>
        </w:r>
        <w:r>
          <w:rPr>
            <w:noProof/>
            <w:webHidden/>
          </w:rPr>
          <w:tab/>
        </w:r>
        <w:r>
          <w:rPr>
            <w:noProof/>
            <w:webHidden/>
          </w:rPr>
          <w:fldChar w:fldCharType="begin"/>
        </w:r>
        <w:r>
          <w:rPr>
            <w:noProof/>
            <w:webHidden/>
          </w:rPr>
          <w:instrText xml:space="preserve"> PAGEREF _Toc300001682 \h </w:instrText>
        </w:r>
        <w:r>
          <w:rPr>
            <w:noProof/>
            <w:webHidden/>
          </w:rPr>
          <w:fldChar w:fldCharType="separate"/>
        </w:r>
        <w:r>
          <w:rPr>
            <w:noProof/>
            <w:webHidden/>
          </w:rPr>
          <w:t>1900</w:t>
        </w:r>
        <w:r>
          <w:rPr>
            <w:noProof/>
            <w:webHidden/>
          </w:rPr>
          <w:fldChar w:fldCharType="end"/>
        </w:r>
      </w:hyperlink>
    </w:p>
    <w:p>
      <w:pPr>
        <w:pStyle w:val="TOC2"/>
      </w:pPr>
      <w:hyperlink w:anchor="_Toc300001683" w:history="1">
        <w:r>
          <w:rPr>
            <w:noProof/>
          </w:rPr>
          <w:t xml:space="preserve">Article 43.2W.4: Subnational Implementation Flexibility and Nationality-Neutral Compliance</w:t>
        </w:r>
        <w:r>
          <w:rPr>
            <w:noProof/>
            <w:webHidden/>
          </w:rPr>
          <w:tab/>
        </w:r>
        <w:r>
          <w:rPr>
            <w:noProof/>
            <w:webHidden/>
          </w:rPr>
          <w:fldChar w:fldCharType="begin"/>
        </w:r>
        <w:r>
          <w:rPr>
            <w:noProof/>
            <w:webHidden/>
          </w:rPr>
          <w:instrText xml:space="preserve"> PAGEREF _Toc300001683 \h </w:instrText>
        </w:r>
        <w:r>
          <w:rPr>
            <w:noProof/>
            <w:webHidden/>
          </w:rPr>
          <w:fldChar w:fldCharType="separate"/>
        </w:r>
        <w:r>
          <w:rPr>
            <w:noProof/>
            <w:webHidden/>
          </w:rPr>
          <w:t>1901</w:t>
        </w:r>
        <w:r>
          <w:rPr>
            <w:noProof/>
            <w:webHidden/>
          </w:rPr>
          <w:fldChar w:fldCharType="end"/>
        </w:r>
      </w:hyperlink>
    </w:p>
    <w:p>
      <w:pPr>
        <w:pStyle w:val="TOC2"/>
      </w:pPr>
      <w:hyperlink w:anchor="_Toc300001684" w:history="1">
        <w:r>
          <w:rPr>
            <w:noProof/>
          </w:rPr>
          <w:t xml:space="preserve">Article 43.2W.5: Restoration of Products Affected by Nationality-Specific Delisting</w:t>
        </w:r>
        <w:r>
          <w:rPr>
            <w:noProof/>
            <w:webHidden/>
          </w:rPr>
          <w:tab/>
        </w:r>
        <w:r>
          <w:rPr>
            <w:noProof/>
            <w:webHidden/>
          </w:rPr>
          <w:fldChar w:fldCharType="begin"/>
        </w:r>
        <w:r>
          <w:rPr>
            <w:noProof/>
            <w:webHidden/>
          </w:rPr>
          <w:instrText xml:space="preserve"> PAGEREF _Toc300001684 \h </w:instrText>
        </w:r>
        <w:r>
          <w:rPr>
            <w:noProof/>
            <w:webHidden/>
          </w:rPr>
          <w:fldChar w:fldCharType="separate"/>
        </w:r>
        <w:r>
          <w:rPr>
            <w:noProof/>
            <w:webHidden/>
          </w:rPr>
          <w:t>1902</w:t>
        </w:r>
        <w:r>
          <w:rPr>
            <w:noProof/>
            <w:webHidden/>
          </w:rPr>
          <w:fldChar w:fldCharType="end"/>
        </w:r>
      </w:hyperlink>
    </w:p>
    <w:p>
      <w:pPr>
        <w:pStyle w:val="TOC2"/>
      </w:pPr>
      <w:hyperlink w:anchor="_Toc300001685" w:history="1">
        <w:r>
          <w:rPr>
            <w:noProof/>
          </w:rPr>
          <w:t xml:space="preserve">Article 43.2W.6: Listing, Category Management, and Commercial Performance Neutrality</w:t>
        </w:r>
        <w:r>
          <w:rPr>
            <w:noProof/>
            <w:webHidden/>
          </w:rPr>
          <w:tab/>
        </w:r>
        <w:r>
          <w:rPr>
            <w:noProof/>
            <w:webHidden/>
          </w:rPr>
          <w:fldChar w:fldCharType="begin"/>
        </w:r>
        <w:r>
          <w:rPr>
            <w:noProof/>
            <w:webHidden/>
          </w:rPr>
          <w:instrText xml:space="preserve"> PAGEREF _Toc300001685 \h </w:instrText>
        </w:r>
        <w:r>
          <w:rPr>
            <w:noProof/>
            <w:webHidden/>
          </w:rPr>
          <w:fldChar w:fldCharType="separate"/>
        </w:r>
        <w:r>
          <w:rPr>
            <w:noProof/>
            <w:webHidden/>
          </w:rPr>
          <w:t>1903</w:t>
        </w:r>
        <w:r>
          <w:rPr>
            <w:noProof/>
            <w:webHidden/>
          </w:rPr>
          <w:fldChar w:fldCharType="end"/>
        </w:r>
      </w:hyperlink>
    </w:p>
    <w:p>
      <w:pPr>
        <w:pStyle w:val="TOC2"/>
      </w:pPr>
      <w:hyperlink w:anchor="_Toc300001686" w:history="1">
        <w:r>
          <w:rPr>
            <w:noProof/>
          </w:rPr>
          <w:t xml:space="preserve">Article 43.2W.7: Pricing, Markups, Fees, and Minimum-Price Neutrality</w:t>
        </w:r>
        <w:r>
          <w:rPr>
            <w:noProof/>
            <w:webHidden/>
          </w:rPr>
          <w:tab/>
        </w:r>
        <w:r>
          <w:rPr>
            <w:noProof/>
            <w:webHidden/>
          </w:rPr>
          <w:fldChar w:fldCharType="begin"/>
        </w:r>
        <w:r>
          <w:rPr>
            <w:noProof/>
            <w:webHidden/>
          </w:rPr>
          <w:instrText xml:space="preserve"> PAGEREF _Toc300001686 \h </w:instrText>
        </w:r>
        <w:r>
          <w:rPr>
            <w:noProof/>
            <w:webHidden/>
          </w:rPr>
          <w:fldChar w:fldCharType="separate"/>
        </w:r>
        <w:r>
          <w:rPr>
            <w:noProof/>
            <w:webHidden/>
          </w:rPr>
          <w:t>1904</w:t>
        </w:r>
        <w:r>
          <w:rPr>
            <w:noProof/>
            <w:webHidden/>
          </w:rPr>
          <w:fldChar w:fldCharType="end"/>
        </w:r>
      </w:hyperlink>
    </w:p>
    <w:p>
      <w:pPr>
        <w:pStyle w:val="TOC2"/>
      </w:pPr>
      <w:hyperlink w:anchor="_Toc300001687" w:history="1">
        <w:r>
          <w:rPr>
            <w:noProof/>
          </w:rPr>
          <w:t xml:space="preserve">Article 43.2W.8: Channel, Distribution, Logistics, and Event Access Neutrality</w:t>
        </w:r>
        <w:r>
          <w:rPr>
            <w:noProof/>
            <w:webHidden/>
          </w:rPr>
          <w:tab/>
        </w:r>
        <w:r>
          <w:rPr>
            <w:noProof/>
            <w:webHidden/>
          </w:rPr>
          <w:fldChar w:fldCharType="begin"/>
        </w:r>
        <w:r>
          <w:rPr>
            <w:noProof/>
            <w:webHidden/>
          </w:rPr>
          <w:instrText xml:space="preserve"> PAGEREF _Toc300001687 \h </w:instrText>
        </w:r>
        <w:r>
          <w:rPr>
            <w:noProof/>
            <w:webHidden/>
          </w:rPr>
          <w:fldChar w:fldCharType="separate"/>
        </w:r>
        <w:r>
          <w:rPr>
            <w:noProof/>
            <w:webHidden/>
          </w:rPr>
          <w:t>1905</w:t>
        </w:r>
        <w:r>
          <w:rPr>
            <w:noProof/>
            <w:webHidden/>
          </w:rPr>
          <w:fldChar w:fldCharType="end"/>
        </w:r>
      </w:hyperlink>
    </w:p>
    <w:p>
      <w:pPr>
        <w:pStyle w:val="TOC2"/>
      </w:pPr>
      <w:hyperlink w:anchor="_Toc300001688" w:history="1">
        <w:r>
          <w:rPr>
            <w:noProof/>
          </w:rPr>
          <w:t xml:space="preserve">Article 43.2W.9: Regulatory Recognition, Testing, Labeling, and Product Approval</w:t>
        </w:r>
        <w:r>
          <w:rPr>
            <w:noProof/>
            <w:webHidden/>
          </w:rPr>
          <w:tab/>
        </w:r>
        <w:r>
          <w:rPr>
            <w:noProof/>
            <w:webHidden/>
          </w:rPr>
          <w:fldChar w:fldCharType="begin"/>
        </w:r>
        <w:r>
          <w:rPr>
            <w:noProof/>
            <w:webHidden/>
          </w:rPr>
          <w:instrText xml:space="preserve"> PAGEREF _Toc300001688 \h </w:instrText>
        </w:r>
        <w:r>
          <w:rPr>
            <w:noProof/>
            <w:webHidden/>
          </w:rPr>
          <w:fldChar w:fldCharType="separate"/>
        </w:r>
        <w:r>
          <w:rPr>
            <w:noProof/>
            <w:webHidden/>
          </w:rPr>
          <w:t>1907</w:t>
        </w:r>
        <w:r>
          <w:rPr>
            <w:noProof/>
            <w:webHidden/>
          </w:rPr>
          <w:fldChar w:fldCharType="end"/>
        </w:r>
      </w:hyperlink>
    </w:p>
    <w:p>
      <w:pPr>
        <w:pStyle w:val="TOC2"/>
      </w:pPr>
      <w:hyperlink w:anchor="_Toc300001689" w:history="1">
        <w:r>
          <w:rPr>
            <w:noProof/>
          </w:rPr>
          <w:t xml:space="preserve">Article 43.2W.10: Cross-Sector Non-Retaliation, Cothrom Cure, and Targeted Remedies</w:t>
        </w:r>
        <w:r>
          <w:rPr>
            <w:noProof/>
            <w:webHidden/>
          </w:rPr>
          <w:tab/>
        </w:r>
        <w:r>
          <w:rPr>
            <w:noProof/>
            <w:webHidden/>
          </w:rPr>
          <w:fldChar w:fldCharType="begin"/>
        </w:r>
        <w:r>
          <w:rPr>
            <w:noProof/>
            <w:webHidden/>
          </w:rPr>
          <w:instrText xml:space="preserve"> PAGEREF _Toc300001689 \h </w:instrText>
        </w:r>
        <w:r>
          <w:rPr>
            <w:noProof/>
            <w:webHidden/>
          </w:rPr>
          <w:fldChar w:fldCharType="separate"/>
        </w:r>
        <w:r>
          <w:rPr>
            <w:noProof/>
            <w:webHidden/>
          </w:rPr>
          <w:t>1908</w:t>
        </w:r>
        <w:r>
          <w:rPr>
            <w:noProof/>
            <w:webHidden/>
          </w:rPr>
          <w:fldChar w:fldCharType="end"/>
        </w:r>
      </w:hyperlink>
    </w:p>
    <w:p>
      <w:pPr>
        <w:pStyle w:val="TOC2"/>
      </w:pPr>
      <w:hyperlink w:anchor="_Toc300001690" w:history="1">
        <w:r>
          <w:rPr>
            <w:noProof/>
          </w:rPr>
          <w:t xml:space="preserve">Article 43.2W.11: Permanent Liquor-Board Commercial Neutrality and Ordinary-State Disciplines</w:t>
        </w:r>
        <w:r>
          <w:rPr>
            <w:noProof/>
            <w:webHidden/>
          </w:rPr>
          <w:tab/>
        </w:r>
        <w:r>
          <w:rPr>
            <w:noProof/>
            <w:webHidden/>
          </w:rPr>
          <w:fldChar w:fldCharType="begin"/>
        </w:r>
        <w:r>
          <w:rPr>
            <w:noProof/>
            <w:webHidden/>
          </w:rPr>
          <w:instrText xml:space="preserve"> PAGEREF _Toc300001690 \h </w:instrText>
        </w:r>
        <w:r>
          <w:rPr>
            <w:noProof/>
            <w:webHidden/>
          </w:rPr>
          <w:fldChar w:fldCharType="separate"/>
        </w:r>
        <w:r>
          <w:rPr>
            <w:noProof/>
            <w:webHidden/>
          </w:rPr>
          <w:t>1909</w:t>
        </w:r>
        <w:r>
          <w:rPr>
            <w:noProof/>
            <w:webHidden/>
          </w:rPr>
          <w:fldChar w:fldCharType="end"/>
        </w:r>
      </w:hyperlink>
    </w:p>
    <w:p>
      <w:pPr>
        <w:pStyle w:val="TOC2"/>
      </w:pPr>
      <w:hyperlink w:anchor="_Toc300001691" w:history="1">
        <w:r>
          <w:rPr>
            <w:noProof/>
          </w:rPr>
          <w:t xml:space="preserve">ANNEX 43-B-1: NATIONALITY-NEUTRAL ALCOHOL RESTORATION AND SUBNATIONAL IMPLEMENTATION SCHEDULE</w:t>
        </w:r>
        <w:r>
          <w:rPr>
            <w:noProof/>
            <w:webHidden/>
          </w:rPr>
          <w:tab/>
        </w:r>
        <w:r>
          <w:rPr>
            <w:noProof/>
            <w:webHidden/>
          </w:rPr>
          <w:fldChar w:fldCharType="begin"/>
        </w:r>
        <w:r>
          <w:rPr>
            <w:noProof/>
            <w:webHidden/>
          </w:rPr>
          <w:instrText xml:space="preserve"> PAGEREF _Toc300001691 \h </w:instrText>
        </w:r>
        <w:r>
          <w:rPr>
            <w:noProof/>
            <w:webHidden/>
          </w:rPr>
          <w:fldChar w:fldCharType="separate"/>
        </w:r>
        <w:r>
          <w:rPr>
            <w:noProof/>
            <w:webHidden/>
          </w:rPr>
          <w:t>1911</w:t>
        </w:r>
        <w:r>
          <w:rPr>
            <w:noProof/>
            <w:webHidden/>
          </w:rPr>
          <w:fldChar w:fldCharType="end"/>
        </w:r>
      </w:hyperlink>
    </w:p>
    <w:p>
      <w:pPr>
        <w:pStyle w:val="TOC2"/>
      </w:pPr>
      <w:hyperlink w:anchor="_Toc300001692" w:history="1">
        <w:r>
          <w:rPr>
            <w:noProof/>
          </w:rPr>
          <w:t xml:space="preserve">Article 43.3: Agricultural Competitive Neutrality Review</w:t>
        </w:r>
        <w:r>
          <w:rPr>
            <w:noProof/>
            <w:webHidden/>
          </w:rPr>
          <w:tab/>
        </w:r>
        <w:r>
          <w:rPr>
            <w:noProof/>
            <w:webHidden/>
          </w:rPr>
          <w:fldChar w:fldCharType="begin"/>
        </w:r>
        <w:r>
          <w:rPr>
            <w:noProof/>
            <w:webHidden/>
          </w:rPr>
          <w:instrText xml:space="preserve"> PAGEREF _Toc300001692 \h </w:instrText>
        </w:r>
        <w:r>
          <w:rPr>
            <w:noProof/>
            <w:webHidden/>
          </w:rPr>
          <w:fldChar w:fldCharType="separate"/>
        </w:r>
        <w:r>
          <w:rPr>
            <w:noProof/>
            <w:webHidden/>
          </w:rPr>
          <w:t>1914</w:t>
        </w:r>
        <w:r>
          <w:rPr>
            <w:noProof/>
            <w:webHidden/>
          </w:rPr>
          <w:fldChar w:fldCharType="end"/>
        </w:r>
      </w:hyperlink>
    </w:p>
    <w:p>
      <w:pPr>
        <w:pStyle w:val="TOC2"/>
      </w:pPr>
      <w:hyperlink w:anchor="_Toc300001693" w:history="1">
        <w:r>
          <w:rPr>
            <w:noProof/>
          </w:rPr>
          <w:t xml:space="preserve">Article 43.4: Agricultural Support Non-Escalation</w:t>
        </w:r>
        <w:r>
          <w:rPr>
            <w:noProof/>
            <w:webHidden/>
          </w:rPr>
          <w:tab/>
        </w:r>
        <w:r>
          <w:rPr>
            <w:noProof/>
            <w:webHidden/>
          </w:rPr>
          <w:fldChar w:fldCharType="begin"/>
        </w:r>
        <w:r>
          <w:rPr>
            <w:noProof/>
            <w:webHidden/>
          </w:rPr>
          <w:instrText xml:space="preserve"> PAGEREF _Toc300001693 \h </w:instrText>
        </w:r>
        <w:r>
          <w:rPr>
            <w:noProof/>
            <w:webHidden/>
          </w:rPr>
          <w:fldChar w:fldCharType="separate"/>
        </w:r>
        <w:r>
          <w:rPr>
            <w:noProof/>
            <w:webHidden/>
          </w:rPr>
          <w:t>1914</w:t>
        </w:r>
        <w:r>
          <w:rPr>
            <w:noProof/>
            <w:webHidden/>
          </w:rPr>
          <w:fldChar w:fldCharType="end"/>
        </w:r>
      </w:hyperlink>
    </w:p>
    <w:p>
      <w:pPr>
        <w:pStyle w:val="TOC2"/>
      </w:pPr>
      <w:hyperlink w:anchor="_Toc300001694" w:history="1">
        <w:r>
          <w:rPr>
            <w:noProof/>
          </w:rPr>
          <w:t xml:space="preserve">Article 43.5: North American Agricultural Innovation and Productivity Initiative</w:t>
        </w:r>
        <w:r>
          <w:rPr>
            <w:noProof/>
            <w:webHidden/>
          </w:rPr>
          <w:tab/>
        </w:r>
        <w:r>
          <w:rPr>
            <w:noProof/>
            <w:webHidden/>
          </w:rPr>
          <w:fldChar w:fldCharType="begin"/>
        </w:r>
        <w:r>
          <w:rPr>
            <w:noProof/>
            <w:webHidden/>
          </w:rPr>
          <w:instrText xml:space="preserve"> PAGEREF _Toc300001694 \h </w:instrText>
        </w:r>
        <w:r>
          <w:rPr>
            <w:noProof/>
            <w:webHidden/>
          </w:rPr>
          <w:fldChar w:fldCharType="separate"/>
        </w:r>
        <w:r>
          <w:rPr>
            <w:noProof/>
            <w:webHidden/>
          </w:rPr>
          <w:t>1914</w:t>
        </w:r>
        <w:r>
          <w:rPr>
            <w:noProof/>
            <w:webHidden/>
          </w:rPr>
          <w:fldChar w:fldCharType="end"/>
        </w:r>
      </w:hyperlink>
    </w:p>
    <w:p>
      <w:pPr>
        <w:pStyle w:val="TOC2"/>
      </w:pPr>
      <w:hyperlink w:anchor="_Toc300001695" w:history="1">
        <w:r>
          <w:rPr>
            <w:noProof/>
          </w:rPr>
          <w:t xml:space="preserve">Article 43.6: Public Procurement</w:t>
        </w:r>
        <w:r>
          <w:rPr>
            <w:noProof/>
            <w:webHidden/>
          </w:rPr>
          <w:tab/>
        </w:r>
        <w:r>
          <w:rPr>
            <w:noProof/>
            <w:webHidden/>
          </w:rPr>
          <w:fldChar w:fldCharType="begin"/>
        </w:r>
        <w:r>
          <w:rPr>
            <w:noProof/>
            <w:webHidden/>
          </w:rPr>
          <w:instrText xml:space="preserve"> PAGEREF _Toc300001695 \h </w:instrText>
        </w:r>
        <w:r>
          <w:rPr>
            <w:noProof/>
            <w:webHidden/>
          </w:rPr>
          <w:fldChar w:fldCharType="separate"/>
        </w:r>
        <w:r>
          <w:rPr>
            <w:noProof/>
            <w:webHidden/>
          </w:rPr>
          <w:t>1914</w:t>
        </w:r>
        <w:r>
          <w:rPr>
            <w:noProof/>
            <w:webHidden/>
          </w:rPr>
          <w:fldChar w:fldCharType="end"/>
        </w:r>
      </w:hyperlink>
    </w:p>
    <w:p>
      <w:pPr>
        <w:pStyle w:val="TOC2"/>
      </w:pPr>
      <w:hyperlink w:anchor="_Toc300001696" w:history="1">
        <w:r>
          <w:rPr>
            <w:noProof/>
          </w:rPr>
          <w:t xml:space="preserve">Article 43.7: Data and Administration</w:t>
        </w:r>
        <w:r>
          <w:rPr>
            <w:noProof/>
            <w:webHidden/>
          </w:rPr>
          <w:tab/>
        </w:r>
        <w:r>
          <w:rPr>
            <w:noProof/>
            <w:webHidden/>
          </w:rPr>
          <w:fldChar w:fldCharType="begin"/>
        </w:r>
        <w:r>
          <w:rPr>
            <w:noProof/>
            <w:webHidden/>
          </w:rPr>
          <w:instrText xml:space="preserve"> PAGEREF _Toc300001696 \h </w:instrText>
        </w:r>
        <w:r>
          <w:rPr>
            <w:noProof/>
            <w:webHidden/>
          </w:rPr>
          <w:fldChar w:fldCharType="separate"/>
        </w:r>
        <w:r>
          <w:rPr>
            <w:noProof/>
            <w:webHidden/>
          </w:rPr>
          <w:t>1915</w:t>
        </w:r>
        <w:r>
          <w:rPr>
            <w:noProof/>
            <w:webHidden/>
          </w:rPr>
          <w:fldChar w:fldCharType="end"/>
        </w:r>
      </w:hyperlink>
    </w:p>
    <w:p>
      <w:pPr>
        <w:pStyle w:val="TOC2"/>
      </w:pPr>
      <w:hyperlink w:anchor="_Toc300001697" w:history="1">
        <w:r>
          <w:rPr>
            <w:noProof/>
          </w:rPr>
          <w:t xml:space="preserve">Article 43.8: North American Potash Expansion and Fertilizer Security</w:t>
        </w:r>
        <w:r>
          <w:rPr>
            <w:noProof/>
            <w:webHidden/>
          </w:rPr>
          <w:tab/>
        </w:r>
        <w:r>
          <w:rPr>
            <w:noProof/>
            <w:webHidden/>
          </w:rPr>
          <w:fldChar w:fldCharType="begin"/>
        </w:r>
        <w:r>
          <w:rPr>
            <w:noProof/>
            <w:webHidden/>
          </w:rPr>
          <w:instrText xml:space="preserve"> PAGEREF _Toc300001697 \h </w:instrText>
        </w:r>
        <w:r>
          <w:rPr>
            <w:noProof/>
            <w:webHidden/>
          </w:rPr>
          <w:fldChar w:fldCharType="separate"/>
        </w:r>
        <w:r>
          <w:rPr>
            <w:noProof/>
            <w:webHidden/>
          </w:rPr>
          <w:t>1915</w:t>
        </w:r>
        <w:r>
          <w:rPr>
            <w:noProof/>
            <w:webHidden/>
          </w:rPr>
          <w:fldChar w:fldCharType="end"/>
        </w:r>
      </w:hyperlink>
    </w:p>
    <w:p>
      <w:pPr>
        <w:pStyle w:val="TOC2"/>
      </w:pPr>
      <w:hyperlink w:anchor="_Toc300001698" w:history="1">
        <w:r>
          <w:rPr>
            <w:noProof/>
          </w:rPr>
          <w:t xml:space="preserve">Article 43.9: North American Fertilizer Innovation Initiative</w:t>
        </w:r>
        <w:r>
          <w:rPr>
            <w:noProof/>
            <w:webHidden/>
          </w:rPr>
          <w:tab/>
        </w:r>
        <w:r>
          <w:rPr>
            <w:noProof/>
            <w:webHidden/>
          </w:rPr>
          <w:fldChar w:fldCharType="begin"/>
        </w:r>
        <w:r>
          <w:rPr>
            <w:noProof/>
            <w:webHidden/>
          </w:rPr>
          <w:instrText xml:space="preserve"> PAGEREF _Toc300001698 \h </w:instrText>
        </w:r>
        <w:r>
          <w:rPr>
            <w:noProof/>
            <w:webHidden/>
          </w:rPr>
          <w:fldChar w:fldCharType="separate"/>
        </w:r>
        <w:r>
          <w:rPr>
            <w:noProof/>
            <w:webHidden/>
          </w:rPr>
          <w:t>1915</w:t>
        </w:r>
        <w:r>
          <w:rPr>
            <w:noProof/>
            <w:webHidden/>
          </w:rPr>
          <w:fldChar w:fldCharType="end"/>
        </w:r>
      </w:hyperlink>
    </w:p>
    <w:p>
      <w:pPr>
        <w:pStyle w:val="TOC2"/>
      </w:pPr>
      <w:hyperlink w:anchor="_Toc300001699" w:history="1">
        <w:r>
          <w:rPr>
            <w:noProof/>
          </w:rPr>
          <w:t xml:space="preserve">Article 43.10: North American Agricultural Production Security and Resilience Framework</w:t>
        </w:r>
        <w:r>
          <w:rPr>
            <w:noProof/>
            <w:webHidden/>
          </w:rPr>
          <w:tab/>
        </w:r>
        <w:r>
          <w:rPr>
            <w:noProof/>
            <w:webHidden/>
          </w:rPr>
          <w:fldChar w:fldCharType="begin"/>
        </w:r>
        <w:r>
          <w:rPr>
            <w:noProof/>
            <w:webHidden/>
          </w:rPr>
          <w:instrText xml:space="preserve"> PAGEREF _Toc300001699 \h </w:instrText>
        </w:r>
        <w:r>
          <w:rPr>
            <w:noProof/>
            <w:webHidden/>
          </w:rPr>
          <w:fldChar w:fldCharType="separate"/>
        </w:r>
        <w:r>
          <w:rPr>
            <w:noProof/>
            <w:webHidden/>
          </w:rPr>
          <w:t>1915</w:t>
        </w:r>
        <w:r>
          <w:rPr>
            <w:noProof/>
            <w:webHidden/>
          </w:rPr>
          <w:fldChar w:fldCharType="end"/>
        </w:r>
      </w:hyperlink>
    </w:p>
    <w:p>
      <w:pPr>
        <w:pStyle w:val="TOC2"/>
      </w:pPr>
      <w:hyperlink w:anchor="_Toc300001700" w:history="1">
        <w:r>
          <w:rPr>
            <w:noProof/>
          </w:rPr>
          <w:t xml:space="preserve">Article 43.11: Seed, Planting Material, Germplasm, and Public Breeding Security</w:t>
        </w:r>
        <w:r>
          <w:rPr>
            <w:noProof/>
            <w:webHidden/>
          </w:rPr>
          <w:tab/>
        </w:r>
        <w:r>
          <w:rPr>
            <w:noProof/>
            <w:webHidden/>
          </w:rPr>
          <w:fldChar w:fldCharType="begin"/>
        </w:r>
        <w:r>
          <w:rPr>
            <w:noProof/>
            <w:webHidden/>
          </w:rPr>
          <w:instrText xml:space="preserve"> PAGEREF _Toc300001700 \h </w:instrText>
        </w:r>
        <w:r>
          <w:rPr>
            <w:noProof/>
            <w:webHidden/>
          </w:rPr>
          <w:fldChar w:fldCharType="separate"/>
        </w:r>
        <w:r>
          <w:rPr>
            <w:noProof/>
            <w:webHidden/>
          </w:rPr>
          <w:t>1916</w:t>
        </w:r>
        <w:r>
          <w:rPr>
            <w:noProof/>
            <w:webHidden/>
          </w:rPr>
          <w:fldChar w:fldCharType="end"/>
        </w:r>
      </w:hyperlink>
    </w:p>
    <w:p>
      <w:pPr>
        <w:pStyle w:val="TOC2"/>
      </w:pPr>
      <w:hyperlink w:anchor="_Toc300001701" w:history="1">
        <w:r>
          <w:rPr>
            <w:noProof/>
          </w:rPr>
          <w:t xml:space="preserve">Article 43.12: Biotechnology Regulatory Interoperability and Sovereign Review</w:t>
        </w:r>
        <w:r>
          <w:rPr>
            <w:noProof/>
            <w:webHidden/>
          </w:rPr>
          <w:tab/>
        </w:r>
        <w:r>
          <w:rPr>
            <w:noProof/>
            <w:webHidden/>
          </w:rPr>
          <w:fldChar w:fldCharType="begin"/>
        </w:r>
        <w:r>
          <w:rPr>
            <w:noProof/>
            <w:webHidden/>
          </w:rPr>
          <w:instrText xml:space="preserve"> PAGEREF _Toc300001701 \h </w:instrText>
        </w:r>
        <w:r>
          <w:rPr>
            <w:noProof/>
            <w:webHidden/>
          </w:rPr>
          <w:fldChar w:fldCharType="separate"/>
        </w:r>
        <w:r>
          <w:rPr>
            <w:noProof/>
            <w:webHidden/>
          </w:rPr>
          <w:t>1917</w:t>
        </w:r>
        <w:r>
          <w:rPr>
            <w:noProof/>
            <w:webHidden/>
          </w:rPr>
          <w:fldChar w:fldCharType="end"/>
        </w:r>
      </w:hyperlink>
    </w:p>
    <w:p>
      <w:pPr>
        <w:pStyle w:val="TOC2"/>
      </w:pPr>
      <w:hyperlink w:anchor="_Toc300001702" w:history="1">
        <w:r>
          <w:rPr>
            <w:noProof/>
          </w:rPr>
          <w:t xml:space="preserve">Article 43.13: Innocent Genetic Presence, Farmer Choice, and Agricultural Coexistence</w:t>
        </w:r>
        <w:r>
          <w:rPr>
            <w:noProof/>
            <w:webHidden/>
          </w:rPr>
          <w:tab/>
        </w:r>
        <w:r>
          <w:rPr>
            <w:noProof/>
            <w:webHidden/>
          </w:rPr>
          <w:fldChar w:fldCharType="begin"/>
        </w:r>
        <w:r>
          <w:rPr>
            <w:noProof/>
            <w:webHidden/>
          </w:rPr>
          <w:instrText xml:space="preserve"> PAGEREF _Toc300001702 \h </w:instrText>
        </w:r>
        <w:r>
          <w:rPr>
            <w:noProof/>
            <w:webHidden/>
          </w:rPr>
          <w:fldChar w:fldCharType="separate"/>
        </w:r>
        <w:r>
          <w:rPr>
            <w:noProof/>
            <w:webHidden/>
          </w:rPr>
          <w:t>1917</w:t>
        </w:r>
        <w:r>
          <w:rPr>
            <w:noProof/>
            <w:webHidden/>
          </w:rPr>
          <w:fldChar w:fldCharType="end"/>
        </w:r>
      </w:hyperlink>
    </w:p>
    <w:p>
      <w:pPr>
        <w:pStyle w:val="TOC2"/>
      </w:pPr>
      <w:hyperlink w:anchor="_Toc300001703" w:history="1">
        <w:r>
          <w:rPr>
            <w:noProof/>
          </w:rPr>
          <w:t xml:space="preserve">Article 43.14: North American Plant Health Watch List and Biological Production Security</w:t>
        </w:r>
        <w:r>
          <w:rPr>
            <w:noProof/>
            <w:webHidden/>
          </w:rPr>
          <w:tab/>
        </w:r>
        <w:r>
          <w:rPr>
            <w:noProof/>
            <w:webHidden/>
          </w:rPr>
          <w:fldChar w:fldCharType="begin"/>
        </w:r>
        <w:r>
          <w:rPr>
            <w:noProof/>
            <w:webHidden/>
          </w:rPr>
          <w:instrText xml:space="preserve"> PAGEREF _Toc300001703 \h </w:instrText>
        </w:r>
        <w:r>
          <w:rPr>
            <w:noProof/>
            <w:webHidden/>
          </w:rPr>
          <w:fldChar w:fldCharType="separate"/>
        </w:r>
        <w:r>
          <w:rPr>
            <w:noProof/>
            <w:webHidden/>
          </w:rPr>
          <w:t>1918</w:t>
        </w:r>
        <w:r>
          <w:rPr>
            <w:noProof/>
            <w:webHidden/>
          </w:rPr>
          <w:fldChar w:fldCharType="end"/>
        </w:r>
      </w:hyperlink>
    </w:p>
    <w:p>
      <w:pPr>
        <w:pStyle w:val="TOC2"/>
      </w:pPr>
      <w:hyperlink w:anchor="_Toc300001704" w:history="1">
        <w:r>
          <w:rPr>
            <w:noProof/>
          </w:rPr>
          <w:t xml:space="preserve">Article 43.15: Pest-Movement Controls, Emergency Containment Corridors, and Forest-Agriculture Interface</w:t>
        </w:r>
        <w:r>
          <w:rPr>
            <w:noProof/>
            <w:webHidden/>
          </w:rPr>
          <w:tab/>
        </w:r>
        <w:r>
          <w:rPr>
            <w:noProof/>
            <w:webHidden/>
          </w:rPr>
          <w:fldChar w:fldCharType="begin"/>
        </w:r>
        <w:r>
          <w:rPr>
            <w:noProof/>
            <w:webHidden/>
          </w:rPr>
          <w:instrText xml:space="preserve"> PAGEREF _Toc300001704 \h </w:instrText>
        </w:r>
        <w:r>
          <w:rPr>
            <w:noProof/>
            <w:webHidden/>
          </w:rPr>
          <w:fldChar w:fldCharType="separate"/>
        </w:r>
        <w:r>
          <w:rPr>
            <w:noProof/>
            <w:webHidden/>
          </w:rPr>
          <w:t>1919</w:t>
        </w:r>
        <w:r>
          <w:rPr>
            <w:noProof/>
            <w:webHidden/>
          </w:rPr>
          <w:fldChar w:fldCharType="end"/>
        </w:r>
      </w:hyperlink>
    </w:p>
    <w:p>
      <w:pPr>
        <w:pStyle w:val="TOC2"/>
      </w:pPr>
      <w:hyperlink w:anchor="_Toc300001705" w:history="1">
        <w:r>
          <w:rPr>
            <w:noProof/>
          </w:rPr>
          <w:t xml:space="preserve">Article 43.16: Crop Protection Modernization and Safer Substitution</w:t>
        </w:r>
        <w:r>
          <w:rPr>
            <w:noProof/>
            <w:webHidden/>
          </w:rPr>
          <w:tab/>
        </w:r>
        <w:r>
          <w:rPr>
            <w:noProof/>
            <w:webHidden/>
          </w:rPr>
          <w:fldChar w:fldCharType="begin"/>
        </w:r>
        <w:r>
          <w:rPr>
            <w:noProof/>
            <w:webHidden/>
          </w:rPr>
          <w:instrText xml:space="preserve"> PAGEREF _Toc300001705 \h </w:instrText>
        </w:r>
        <w:r>
          <w:rPr>
            <w:noProof/>
            <w:webHidden/>
          </w:rPr>
          <w:fldChar w:fldCharType="separate"/>
        </w:r>
        <w:r>
          <w:rPr>
            <w:noProof/>
            <w:webHidden/>
          </w:rPr>
          <w:t>1919</w:t>
        </w:r>
        <w:r>
          <w:rPr>
            <w:noProof/>
            <w:webHidden/>
          </w:rPr>
          <w:fldChar w:fldCharType="end"/>
        </w:r>
      </w:hyperlink>
    </w:p>
    <w:p>
      <w:pPr>
        <w:pStyle w:val="TOC2"/>
      </w:pPr>
      <w:hyperlink w:anchor="_Toc300001706" w:history="1">
        <w:r>
          <w:rPr>
            <w:noProof/>
          </w:rPr>
          <w:t xml:space="preserve">Article 43.17: Initial Priority Agricultural Active-Substance Review Schedule</w:t>
        </w:r>
        <w:r>
          <w:rPr>
            <w:noProof/>
            <w:webHidden/>
          </w:rPr>
          <w:tab/>
        </w:r>
        <w:r>
          <w:rPr>
            <w:noProof/>
            <w:webHidden/>
          </w:rPr>
          <w:fldChar w:fldCharType="begin"/>
        </w:r>
        <w:r>
          <w:rPr>
            <w:noProof/>
            <w:webHidden/>
          </w:rPr>
          <w:instrText xml:space="preserve"> PAGEREF _Toc300001706 \h </w:instrText>
        </w:r>
        <w:r>
          <w:rPr>
            <w:noProof/>
            <w:webHidden/>
          </w:rPr>
          <w:fldChar w:fldCharType="separate"/>
        </w:r>
        <w:r>
          <w:rPr>
            <w:noProof/>
            <w:webHidden/>
          </w:rPr>
          <w:t>1920</w:t>
        </w:r>
        <w:r>
          <w:rPr>
            <w:noProof/>
            <w:webHidden/>
          </w:rPr>
          <w:fldChar w:fldCharType="end"/>
        </w:r>
      </w:hyperlink>
    </w:p>
    <w:p>
      <w:pPr>
        <w:pStyle w:val="TOC2"/>
      </w:pPr>
      <w:hyperlink w:anchor="_Toc300001707" w:history="1">
        <w:r>
          <w:rPr>
            <w:noProof/>
          </w:rPr>
          <w:t xml:space="preserve">Article 43.18: Agricultural Off-Target Effects, Drift, and Neighbor Protection</w:t>
        </w:r>
        <w:r>
          <w:rPr>
            <w:noProof/>
            <w:webHidden/>
          </w:rPr>
          <w:tab/>
        </w:r>
        <w:r>
          <w:rPr>
            <w:noProof/>
            <w:webHidden/>
          </w:rPr>
          <w:fldChar w:fldCharType="begin"/>
        </w:r>
        <w:r>
          <w:rPr>
            <w:noProof/>
            <w:webHidden/>
          </w:rPr>
          <w:instrText xml:space="preserve"> PAGEREF _Toc300001707 \h </w:instrText>
        </w:r>
        <w:r>
          <w:rPr>
            <w:noProof/>
            <w:webHidden/>
          </w:rPr>
          <w:fldChar w:fldCharType="separate"/>
        </w:r>
        <w:r>
          <w:rPr>
            <w:noProof/>
            <w:webHidden/>
          </w:rPr>
          <w:t>1921</w:t>
        </w:r>
        <w:r>
          <w:rPr>
            <w:noProof/>
            <w:webHidden/>
          </w:rPr>
          <w:fldChar w:fldCharType="end"/>
        </w:r>
      </w:hyperlink>
    </w:p>
    <w:p>
      <w:pPr>
        <w:pStyle w:val="TOC2"/>
      </w:pPr>
      <w:hyperlink w:anchor="_Toc300001708" w:history="1">
        <w:r>
          <w:rPr>
            <w:noProof/>
          </w:rPr>
          <w:t xml:space="preserve">Article 43.19: Resistance Management and Integrated Pest Management</w:t>
        </w:r>
        <w:r>
          <w:rPr>
            <w:noProof/>
            <w:webHidden/>
          </w:rPr>
          <w:tab/>
        </w:r>
        <w:r>
          <w:rPr>
            <w:noProof/>
            <w:webHidden/>
          </w:rPr>
          <w:fldChar w:fldCharType="begin"/>
        </w:r>
        <w:r>
          <w:rPr>
            <w:noProof/>
            <w:webHidden/>
          </w:rPr>
          <w:instrText xml:space="preserve"> PAGEREF _Toc300001708 \h </w:instrText>
        </w:r>
        <w:r>
          <w:rPr>
            <w:noProof/>
            <w:webHidden/>
          </w:rPr>
          <w:fldChar w:fldCharType="separate"/>
        </w:r>
        <w:r>
          <w:rPr>
            <w:noProof/>
            <w:webHidden/>
          </w:rPr>
          <w:t>1921</w:t>
        </w:r>
        <w:r>
          <w:rPr>
            <w:noProof/>
            <w:webHidden/>
          </w:rPr>
          <w:fldChar w:fldCharType="end"/>
        </w:r>
      </w:hyperlink>
    </w:p>
    <w:p>
      <w:pPr>
        <w:pStyle w:val="TOC2"/>
      </w:pPr>
      <w:hyperlink w:anchor="_Toc300001709" w:history="1">
        <w:r>
          <w:rPr>
            <w:noProof/>
          </w:rPr>
          <w:t xml:space="preserve">Article 43.20: Soil, Water, Drought, and Climate-Resilient Crop Production</w:t>
        </w:r>
        <w:r>
          <w:rPr>
            <w:noProof/>
            <w:webHidden/>
          </w:rPr>
          <w:tab/>
        </w:r>
        <w:r>
          <w:rPr>
            <w:noProof/>
            <w:webHidden/>
          </w:rPr>
          <w:fldChar w:fldCharType="begin"/>
        </w:r>
        <w:r>
          <w:rPr>
            <w:noProof/>
            <w:webHidden/>
          </w:rPr>
          <w:instrText xml:space="preserve"> PAGEREF _Toc300001709 \h </w:instrText>
        </w:r>
        <w:r>
          <w:rPr>
            <w:noProof/>
            <w:webHidden/>
          </w:rPr>
          <w:fldChar w:fldCharType="separate"/>
        </w:r>
        <w:r>
          <w:rPr>
            <w:noProof/>
            <w:webHidden/>
          </w:rPr>
          <w:t>1922</w:t>
        </w:r>
        <w:r>
          <w:rPr>
            <w:noProof/>
            <w:webHidden/>
          </w:rPr>
          <w:fldChar w:fldCharType="end"/>
        </w:r>
      </w:hyperlink>
    </w:p>
    <w:p>
      <w:pPr>
        <w:pStyle w:val="TOC2"/>
      </w:pPr>
      <w:hyperlink w:anchor="_Toc300001710" w:history="1">
        <w:r>
          <w:rPr>
            <w:noProof/>
          </w:rPr>
          <w:t xml:space="preserve">Article 43.21: Agricultural Machinery, Parts, Diagnostics, and Seasonal Continuity</w:t>
        </w:r>
        <w:r>
          <w:rPr>
            <w:noProof/>
            <w:webHidden/>
          </w:rPr>
          <w:tab/>
        </w:r>
        <w:r>
          <w:rPr>
            <w:noProof/>
            <w:webHidden/>
          </w:rPr>
          <w:fldChar w:fldCharType="begin"/>
        </w:r>
        <w:r>
          <w:rPr>
            <w:noProof/>
            <w:webHidden/>
          </w:rPr>
          <w:instrText xml:space="preserve"> PAGEREF _Toc300001710 \h </w:instrText>
        </w:r>
        <w:r>
          <w:rPr>
            <w:noProof/>
            <w:webHidden/>
          </w:rPr>
          <w:fldChar w:fldCharType="separate"/>
        </w:r>
        <w:r>
          <w:rPr>
            <w:noProof/>
            <w:webHidden/>
          </w:rPr>
          <w:t>1922</w:t>
        </w:r>
        <w:r>
          <w:rPr>
            <w:noProof/>
            <w:webHidden/>
          </w:rPr>
          <w:fldChar w:fldCharType="end"/>
        </w:r>
      </w:hyperlink>
    </w:p>
    <w:p>
      <w:pPr>
        <w:pStyle w:val="TOC2"/>
      </w:pPr>
      <w:hyperlink w:anchor="_Toc300001711" w:history="1">
        <w:r>
          <w:rPr>
            <w:noProof/>
          </w:rPr>
          <w:t xml:space="preserve">Article 43.22: Agricultural Nutrient and Manure Circularity Framework</w:t>
        </w:r>
        <w:r>
          <w:rPr>
            <w:noProof/>
            <w:webHidden/>
          </w:rPr>
          <w:tab/>
        </w:r>
        <w:r>
          <w:rPr>
            <w:noProof/>
            <w:webHidden/>
          </w:rPr>
          <w:fldChar w:fldCharType="begin"/>
        </w:r>
        <w:r>
          <w:rPr>
            <w:noProof/>
            <w:webHidden/>
          </w:rPr>
          <w:instrText xml:space="preserve"> PAGEREF _Toc300001711 \h </w:instrText>
        </w:r>
        <w:r>
          <w:rPr>
            <w:noProof/>
            <w:webHidden/>
          </w:rPr>
          <w:fldChar w:fldCharType="separate"/>
        </w:r>
        <w:r>
          <w:rPr>
            <w:noProof/>
            <w:webHidden/>
          </w:rPr>
          <w:t>1923</w:t>
        </w:r>
        <w:r>
          <w:rPr>
            <w:noProof/>
            <w:webHidden/>
          </w:rPr>
          <w:fldChar w:fldCharType="end"/>
        </w:r>
      </w:hyperlink>
    </w:p>
    <w:p>
      <w:pPr>
        <w:pStyle w:val="TOC2"/>
      </w:pPr>
      <w:hyperlink w:anchor="_Toc300001712" w:history="1">
        <w:r>
          <w:rPr>
            <w:noProof/>
          </w:rPr>
          <w:t xml:space="preserve">Article 43.23: Recovered Agricultural Nutrients, Resource Cascade, and Nutrient Exchange Corridors</w:t>
        </w:r>
        <w:r>
          <w:rPr>
            <w:noProof/>
            <w:webHidden/>
          </w:rPr>
          <w:tab/>
        </w:r>
        <w:r>
          <w:rPr>
            <w:noProof/>
            <w:webHidden/>
          </w:rPr>
          <w:fldChar w:fldCharType="begin"/>
        </w:r>
        <w:r>
          <w:rPr>
            <w:noProof/>
            <w:webHidden/>
          </w:rPr>
          <w:instrText xml:space="preserve"> PAGEREF _Toc300001712 \h </w:instrText>
        </w:r>
        <w:r>
          <w:rPr>
            <w:noProof/>
            <w:webHidden/>
          </w:rPr>
          <w:fldChar w:fldCharType="separate"/>
        </w:r>
        <w:r>
          <w:rPr>
            <w:noProof/>
            <w:webHidden/>
          </w:rPr>
          <w:t>1924</w:t>
        </w:r>
        <w:r>
          <w:rPr>
            <w:noProof/>
            <w:webHidden/>
          </w:rPr>
          <w:fldChar w:fldCharType="end"/>
        </w:r>
      </w:hyperlink>
    </w:p>
    <w:p>
      <w:pPr>
        <w:pStyle w:val="TOC2"/>
      </w:pPr>
      <w:hyperlink w:anchor="_Toc300001713" w:history="1">
        <w:r>
          <w:rPr>
            <w:noProof/>
          </w:rPr>
          <w:t xml:space="preserve">Article 43.24: Agricultural Watershed Protection and Shared Nutrient Outcomes</w:t>
        </w:r>
        <w:r>
          <w:rPr>
            <w:noProof/>
            <w:webHidden/>
          </w:rPr>
          <w:tab/>
        </w:r>
        <w:r>
          <w:rPr>
            <w:noProof/>
            <w:webHidden/>
          </w:rPr>
          <w:fldChar w:fldCharType="begin"/>
        </w:r>
        <w:r>
          <w:rPr>
            <w:noProof/>
            <w:webHidden/>
          </w:rPr>
          <w:instrText xml:space="preserve"> PAGEREF _Toc300001713 \h </w:instrText>
        </w:r>
        <w:r>
          <w:rPr>
            <w:noProof/>
            <w:webHidden/>
          </w:rPr>
          <w:fldChar w:fldCharType="separate"/>
        </w:r>
        <w:r>
          <w:rPr>
            <w:noProof/>
            <w:webHidden/>
          </w:rPr>
          <w:t>1924</w:t>
        </w:r>
        <w:r>
          <w:rPr>
            <w:noProof/>
            <w:webHidden/>
          </w:rPr>
          <w:fldChar w:fldCharType="end"/>
        </w:r>
      </w:hyperlink>
    </w:p>
    <w:p>
      <w:pPr>
        <w:pStyle w:val="TOC2"/>
      </w:pPr>
      <w:hyperlink w:anchor="_Toc300001714" w:history="1">
        <w:r>
          <w:rPr>
            <w:noProof/>
          </w:rPr>
          <w:t xml:space="preserve">Article 43.25: Agricultural Labor, Automation, and Operational Continuity</w:t>
        </w:r>
        <w:r>
          <w:rPr>
            <w:noProof/>
            <w:webHidden/>
          </w:rPr>
          <w:tab/>
        </w:r>
        <w:r>
          <w:rPr>
            <w:noProof/>
            <w:webHidden/>
          </w:rPr>
          <w:fldChar w:fldCharType="begin"/>
        </w:r>
        <w:r>
          <w:rPr>
            <w:noProof/>
            <w:webHidden/>
          </w:rPr>
          <w:instrText xml:space="preserve"> PAGEREF _Toc300001714 \h </w:instrText>
        </w:r>
        <w:r>
          <w:rPr>
            <w:noProof/>
            <w:webHidden/>
          </w:rPr>
          <w:fldChar w:fldCharType="separate"/>
        </w:r>
        <w:r>
          <w:rPr>
            <w:noProof/>
            <w:webHidden/>
          </w:rPr>
          <w:t>1925</w:t>
        </w:r>
        <w:r>
          <w:rPr>
            <w:noProof/>
            <w:webHidden/>
          </w:rPr>
          <w:fldChar w:fldCharType="end"/>
        </w:r>
      </w:hyperlink>
    </w:p>
    <w:p>
      <w:pPr>
        <w:pStyle w:val="TOC2"/>
      </w:pPr>
      <w:hyperlink w:anchor="_Toc300001715" w:history="1">
        <w:r>
          <w:rPr>
            <w:noProof/>
          </w:rPr>
          <w:t xml:space="preserve">Article 43.26: Mexico Co-Design and Regional Production Diversity</w:t>
        </w:r>
        <w:r>
          <w:rPr>
            <w:noProof/>
            <w:webHidden/>
          </w:rPr>
          <w:tab/>
        </w:r>
        <w:r>
          <w:rPr>
            <w:noProof/>
            <w:webHidden/>
          </w:rPr>
          <w:fldChar w:fldCharType="begin"/>
        </w:r>
        <w:r>
          <w:rPr>
            <w:noProof/>
            <w:webHidden/>
          </w:rPr>
          <w:instrText xml:space="preserve"> PAGEREF _Toc300001715 \h </w:instrText>
        </w:r>
        <w:r>
          <w:rPr>
            <w:noProof/>
            <w:webHidden/>
          </w:rPr>
          <w:fldChar w:fldCharType="separate"/>
        </w:r>
        <w:r>
          <w:rPr>
            <w:noProof/>
            <w:webHidden/>
          </w:rPr>
          <w:t>1925</w:t>
        </w:r>
        <w:r>
          <w:rPr>
            <w:noProof/>
            <w:webHidden/>
          </w:rPr>
          <w:fldChar w:fldCharType="end"/>
        </w:r>
      </w:hyperlink>
    </w:p>
    <w:p>
      <w:pPr>
        <w:pStyle w:val="TOC2"/>
      </w:pPr>
      <w:hyperlink w:anchor="_Toc300001716" w:history="1">
        <w:r>
          <w:rPr>
            <w:noProof/>
          </w:rPr>
          <w:t xml:space="preserve">Article 43.27: Food Security Without Dependency and Producer Resilience</w:t>
        </w:r>
        <w:r>
          <w:rPr>
            <w:noProof/>
            <w:webHidden/>
          </w:rPr>
          <w:tab/>
        </w:r>
        <w:r>
          <w:rPr>
            <w:noProof/>
            <w:webHidden/>
          </w:rPr>
          <w:fldChar w:fldCharType="begin"/>
        </w:r>
        <w:r>
          <w:rPr>
            <w:noProof/>
            <w:webHidden/>
          </w:rPr>
          <w:instrText xml:space="preserve"> PAGEREF _Toc300001716 \h </w:instrText>
        </w:r>
        <w:r>
          <w:rPr>
            <w:noProof/>
            <w:webHidden/>
          </w:rPr>
          <w:fldChar w:fldCharType="separate"/>
        </w:r>
        <w:r>
          <w:rPr>
            <w:noProof/>
            <w:webHidden/>
          </w:rPr>
          <w:t>1926</w:t>
        </w:r>
        <w:r>
          <w:rPr>
            <w:noProof/>
            <w:webHidden/>
          </w:rPr>
          <w:fldChar w:fldCharType="end"/>
        </w:r>
      </w:hyperlink>
    </w:p>
    <w:p>
      <w:pPr>
        <w:pStyle w:val="TOC2"/>
      </w:pPr>
      <w:hyperlink w:anchor="_Toc300001717" w:history="1">
        <w:r>
          <w:rPr>
            <w:noProof/>
          </w:rPr>
          <w:t xml:space="preserve">ANNEX 43-G: AGRICULTURAL PRODUCTION SECURITY IMPLEMENTATION SCHEDULE</w:t>
        </w:r>
        <w:r>
          <w:rPr>
            <w:noProof/>
            <w:webHidden/>
          </w:rPr>
          <w:tab/>
        </w:r>
        <w:r>
          <w:rPr>
            <w:noProof/>
            <w:webHidden/>
          </w:rPr>
          <w:fldChar w:fldCharType="begin"/>
        </w:r>
        <w:r>
          <w:rPr>
            <w:noProof/>
            <w:webHidden/>
          </w:rPr>
          <w:instrText xml:space="preserve"> PAGEREF _Toc300001717 \h </w:instrText>
        </w:r>
        <w:r>
          <w:rPr>
            <w:noProof/>
            <w:webHidden/>
          </w:rPr>
          <w:fldChar w:fldCharType="separate"/>
        </w:r>
        <w:r>
          <w:rPr>
            <w:noProof/>
            <w:webHidden/>
          </w:rPr>
          <w:t>1926</w:t>
        </w:r>
        <w:r>
          <w:rPr>
            <w:noProof/>
            <w:webHidden/>
          </w:rPr>
          <w:fldChar w:fldCharType="end"/>
        </w:r>
      </w:hyperlink>
    </w:p>
    <w:p>
      <w:pPr>
        <w:pStyle w:val="TOC2"/>
      </w:pPr>
      <w:hyperlink w:anchor="_Toc300001718" w:history="1">
        <w:r>
          <w:rPr>
            <w:noProof/>
          </w:rPr>
          <w:t xml:space="preserve">ANNEX 43-F: BEVERAGE ALCOHOL MARKET-ACCESS LANDING AND IMPLEMENTATION RAMP</w:t>
        </w:r>
        <w:r>
          <w:rPr>
            <w:noProof/>
            <w:webHidden/>
          </w:rPr>
          <w:tab/>
        </w:r>
        <w:r>
          <w:rPr>
            <w:noProof/>
            <w:webHidden/>
          </w:rPr>
          <w:fldChar w:fldCharType="begin"/>
        </w:r>
        <w:r>
          <w:rPr>
            <w:noProof/>
            <w:webHidden/>
          </w:rPr>
          <w:instrText xml:space="preserve"> PAGEREF _Toc300001718 \h </w:instrText>
        </w:r>
        <w:r>
          <w:rPr>
            <w:noProof/>
            <w:webHidden/>
          </w:rPr>
          <w:fldChar w:fldCharType="separate"/>
        </w:r>
        <w:r>
          <w:rPr>
            <w:noProof/>
            <w:webHidden/>
          </w:rPr>
          <w:t>1927</w:t>
        </w:r>
        <w:r>
          <w:rPr>
            <w:noProof/>
            <w:webHidden/>
          </w:rPr>
          <w:fldChar w:fldCharType="end"/>
        </w:r>
      </w:hyperlink>
    </w:p>
    <w:p>
      <w:pPr>
        <w:pStyle w:val="TOC1"/>
      </w:pPr>
      <w:hyperlink w:anchor="_Toc300001719" w:history="1">
        <w:r>
          <w:rPr>
            <w:noProof/>
          </w:rPr>
          <w:t xml:space="preserve">ANNEX 43-I: AGRICULTURAL FINAL SETTLEMENT SELECTION AND TRANSITION PROTOCOL</w:t>
        </w:r>
        <w:r>
          <w:rPr>
            <w:noProof/>
            <w:webHidden/>
          </w:rPr>
          <w:tab/>
        </w:r>
        <w:r>
          <w:rPr>
            <w:noProof/>
            <w:webHidden/>
          </w:rPr>
          <w:fldChar w:fldCharType="begin"/>
        </w:r>
        <w:r>
          <w:rPr>
            <w:noProof/>
            <w:webHidden/>
          </w:rPr>
          <w:instrText xml:space="preserve"> PAGEREF _Toc300001719 \h </w:instrText>
        </w:r>
        <w:r>
          <w:rPr>
            <w:noProof/>
            <w:webHidden/>
          </w:rPr>
          <w:fldChar w:fldCharType="separate"/>
        </w:r>
        <w:r>
          <w:rPr>
            <w:noProof/>
            <w:webHidden/>
          </w:rPr>
          <w:t>1929</w:t>
        </w:r>
        <w:r>
          <w:rPr>
            <w:noProof/>
            <w:webHidden/>
          </w:rPr>
          <w:fldChar w:fldCharType="end"/>
        </w:r>
      </w:hyperlink>
    </w:p>
    <w:p>
      <w:pPr>
        <w:pStyle w:val="TOC2"/>
      </w:pPr>
      <w:hyperlink w:anchor="_Toc300001720" w:history="1">
        <w:r>
          <w:rPr>
            <w:noProof/>
          </w:rPr>
          <w:t xml:space="preserve">FS-04.1: Purpose, Existing-Law Relationship, and Agricultural Settlement Election</w:t>
        </w:r>
        <w:r>
          <w:rPr>
            <w:noProof/>
            <w:webHidden/>
          </w:rPr>
          <w:tab/>
        </w:r>
        <w:r>
          <w:rPr>
            <w:noProof/>
            <w:webHidden/>
          </w:rPr>
          <w:fldChar w:fldCharType="begin"/>
        </w:r>
        <w:r>
          <w:rPr>
            <w:noProof/>
            <w:webHidden/>
          </w:rPr>
          <w:instrText xml:space="preserve"> PAGEREF _Toc300001720 \h </w:instrText>
        </w:r>
        <w:r>
          <w:rPr>
            <w:noProof/>
            <w:webHidden/>
          </w:rPr>
          <w:fldChar w:fldCharType="separate"/>
        </w:r>
        <w:r>
          <w:rPr>
            <w:noProof/>
            <w:webHidden/>
          </w:rPr>
          <w:t>1929</w:t>
        </w:r>
        <w:r>
          <w:rPr>
            <w:noProof/>
            <w:webHidden/>
          </w:rPr>
          <w:fldChar w:fldCharType="end"/>
        </w:r>
      </w:hyperlink>
    </w:p>
    <w:p>
      <w:pPr>
        <w:pStyle w:val="TOC2"/>
      </w:pPr>
      <w:hyperlink w:anchor="_Toc300001721" w:history="1">
        <w:r>
          <w:rPr>
            <w:noProof/>
          </w:rPr>
          <w:t xml:space="preserve">FS-04.2: Existing Zero Treatment, Baseline Integrity, and No-Regression</w:t>
        </w:r>
        <w:r>
          <w:rPr>
            <w:noProof/>
            <w:webHidden/>
          </w:rPr>
          <w:tab/>
        </w:r>
        <w:r>
          <w:rPr>
            <w:noProof/>
            <w:webHidden/>
          </w:rPr>
          <w:fldChar w:fldCharType="begin"/>
        </w:r>
        <w:r>
          <w:rPr>
            <w:noProof/>
            <w:webHidden/>
          </w:rPr>
          <w:instrText xml:space="preserve"> PAGEREF _Toc300001721 \h </w:instrText>
        </w:r>
        <w:r>
          <w:rPr>
            <w:noProof/>
            <w:webHidden/>
          </w:rPr>
          <w:fldChar w:fldCharType="separate"/>
        </w:r>
        <w:r>
          <w:rPr>
            <w:noProof/>
            <w:webHidden/>
          </w:rPr>
          <w:t>1930</w:t>
        </w:r>
        <w:r>
          <w:rPr>
            <w:noProof/>
            <w:webHidden/>
          </w:rPr>
          <w:fldChar w:fldCharType="end"/>
        </w:r>
      </w:hyperlink>
    </w:p>
    <w:p>
      <w:pPr>
        <w:pStyle w:val="TOC2"/>
      </w:pPr>
      <w:hyperlink w:anchor="_Toc300001722" w:history="1">
        <w:r>
          <w:rPr>
            <w:noProof/>
          </w:rPr>
          <w:t xml:space="preserve">FS-04.3: Agricultural Final Settlement Selection</w:t>
        </w:r>
        <w:r>
          <w:rPr>
            <w:noProof/>
            <w:webHidden/>
          </w:rPr>
          <w:tab/>
        </w:r>
        <w:r>
          <w:rPr>
            <w:noProof/>
            <w:webHidden/>
          </w:rPr>
          <w:fldChar w:fldCharType="begin"/>
        </w:r>
        <w:r>
          <w:rPr>
            <w:noProof/>
            <w:webHidden/>
          </w:rPr>
          <w:instrText xml:space="preserve"> PAGEREF _Toc300001722 \h </w:instrText>
        </w:r>
        <w:r>
          <w:rPr>
            <w:noProof/>
            <w:webHidden/>
          </w:rPr>
          <w:fldChar w:fldCharType="separate"/>
        </w:r>
        <w:r>
          <w:rPr>
            <w:noProof/>
            <w:webHidden/>
          </w:rPr>
          <w:t>1931</w:t>
        </w:r>
        <w:r>
          <w:rPr>
            <w:noProof/>
            <w:webHidden/>
          </w:rPr>
          <w:fldChar w:fldCharType="end"/>
        </w:r>
      </w:hyperlink>
    </w:p>
    <w:p>
      <w:pPr>
        <w:pStyle w:val="TOC2"/>
      </w:pPr>
      <w:hyperlink w:anchor="_Toc300001723" w:history="1">
        <w:r>
          <w:rPr>
            <w:noProof/>
          </w:rPr>
          <w:t xml:space="preserve">FS-04.4: Transition Bridge and NAAFTC Socket</w:t>
        </w:r>
        <w:r>
          <w:rPr>
            <w:noProof/>
            <w:webHidden/>
          </w:rPr>
          <w:tab/>
        </w:r>
        <w:r>
          <w:rPr>
            <w:noProof/>
            <w:webHidden/>
          </w:rPr>
          <w:fldChar w:fldCharType="begin"/>
        </w:r>
        <w:r>
          <w:rPr>
            <w:noProof/>
            <w:webHidden/>
          </w:rPr>
          <w:instrText xml:space="preserve"> PAGEREF _Toc300001723 \h </w:instrText>
        </w:r>
        <w:r>
          <w:rPr>
            <w:noProof/>
            <w:webHidden/>
          </w:rPr>
          <w:fldChar w:fldCharType="separate"/>
        </w:r>
        <w:r>
          <w:rPr>
            <w:noProof/>
            <w:webHidden/>
          </w:rPr>
          <w:t>1933</w:t>
        </w:r>
        <w:r>
          <w:rPr>
            <w:noProof/>
            <w:webHidden/>
          </w:rPr>
          <w:fldChar w:fldCharType="end"/>
        </w:r>
      </w:hyperlink>
    </w:p>
    <w:p>
      <w:pPr>
        <w:pStyle w:val="TOC2"/>
      </w:pPr>
      <w:hyperlink w:anchor="_Toc300001724" w:history="1">
        <w:r>
          <w:rPr>
            <w:noProof/>
          </w:rPr>
          <w:t xml:space="preserve">FS-04.5: Existing Administration, SPS, Emergency, and Commercial-Usability Interface</w:t>
        </w:r>
        <w:r>
          <w:rPr>
            <w:noProof/>
            <w:webHidden/>
          </w:rPr>
          <w:tab/>
        </w:r>
        <w:r>
          <w:rPr>
            <w:noProof/>
            <w:webHidden/>
          </w:rPr>
          <w:fldChar w:fldCharType="begin"/>
        </w:r>
        <w:r>
          <w:rPr>
            <w:noProof/>
            <w:webHidden/>
          </w:rPr>
          <w:instrText xml:space="preserve"> PAGEREF _Toc300001724 \h </w:instrText>
        </w:r>
        <w:r>
          <w:rPr>
            <w:noProof/>
            <w:webHidden/>
          </w:rPr>
          <w:fldChar w:fldCharType="separate"/>
        </w:r>
        <w:r>
          <w:rPr>
            <w:noProof/>
            <w:webHidden/>
          </w:rPr>
          <w:t>1934</w:t>
        </w:r>
        <w:r>
          <w:rPr>
            <w:noProof/>
            <w:webHidden/>
          </w:rPr>
          <w:fldChar w:fldCharType="end"/>
        </w:r>
      </w:hyperlink>
    </w:p>
    <w:p>
      <w:pPr>
        <w:pStyle w:val="TOC2"/>
      </w:pPr>
      <w:hyperlink w:anchor="_Toc300001725" w:history="1">
        <w:r>
          <w:rPr>
            <w:noProof/>
          </w:rPr>
          <w:t xml:space="preserve">FS-04.6: Completion, No-Fade, Restoration, and Closure</w:t>
        </w:r>
        <w:r>
          <w:rPr>
            <w:noProof/>
            <w:webHidden/>
          </w:rPr>
          <w:tab/>
        </w:r>
        <w:r>
          <w:rPr>
            <w:noProof/>
            <w:webHidden/>
          </w:rPr>
          <w:fldChar w:fldCharType="begin"/>
        </w:r>
        <w:r>
          <w:rPr>
            <w:noProof/>
            <w:webHidden/>
          </w:rPr>
          <w:instrText xml:space="preserve"> PAGEREF _Toc300001725 \h </w:instrText>
        </w:r>
        <w:r>
          <w:rPr>
            <w:noProof/>
            <w:webHidden/>
          </w:rPr>
          <w:fldChar w:fldCharType="separate"/>
        </w:r>
        <w:r>
          <w:rPr>
            <w:noProof/>
            <w:webHidden/>
          </w:rPr>
          <w:t>1935</w:t>
        </w:r>
        <w:r>
          <w:rPr>
            <w:noProof/>
            <w:webHidden/>
          </w:rPr>
          <w:fldChar w:fldCharType="end"/>
        </w:r>
      </w:hyperlink>
    </w:p>
    <w:p>
      <w:pPr>
        <w:pStyle w:val="TOC2"/>
      </w:pPr>
      <w:hyperlink w:anchor="_Toc300001726" w:history="1">
        <w:r>
          <w:rPr>
            <w:noProof/>
          </w:rPr>
          <w:t xml:space="preserve">Schedule FS-04-A: Agricultural Final Settlement Schedule</w:t>
        </w:r>
        <w:r>
          <w:rPr>
            <w:noProof/>
            <w:webHidden/>
          </w:rPr>
          <w:tab/>
        </w:r>
        <w:r>
          <w:rPr>
            <w:noProof/>
            <w:webHidden/>
          </w:rPr>
          <w:fldChar w:fldCharType="begin"/>
        </w:r>
        <w:r>
          <w:rPr>
            <w:noProof/>
            <w:webHidden/>
          </w:rPr>
          <w:instrText xml:space="preserve"> PAGEREF _Toc300001726 \h </w:instrText>
        </w:r>
        <w:r>
          <w:rPr>
            <w:noProof/>
            <w:webHidden/>
          </w:rPr>
          <w:fldChar w:fldCharType="separate"/>
        </w:r>
        <w:r>
          <w:rPr>
            <w:noProof/>
            <w:webHidden/>
          </w:rPr>
          <w:t>1937</w:t>
        </w:r>
        <w:r>
          <w:rPr>
            <w:noProof/>
            <w:webHidden/>
          </w:rPr>
          <w:fldChar w:fldCharType="end"/>
        </w:r>
      </w:hyperlink>
    </w:p>
    <w:p>
      <w:pPr>
        <w:pStyle w:val="TOC2"/>
      </w:pPr>
      <w:hyperlink w:anchor="_Toc300001727" w:history="1">
        <w:r>
          <w:rPr>
            <w:noProof/>
          </w:rPr>
          <w:t xml:space="preserve">Schedule FS-04-B: Agricultural Transition and Completion Schedule</w:t>
        </w:r>
        <w:r>
          <w:rPr>
            <w:noProof/>
            <w:webHidden/>
          </w:rPr>
          <w:tab/>
        </w:r>
        <w:r>
          <w:rPr>
            <w:noProof/>
            <w:webHidden/>
          </w:rPr>
          <w:fldChar w:fldCharType="begin"/>
        </w:r>
        <w:r>
          <w:rPr>
            <w:noProof/>
            <w:webHidden/>
          </w:rPr>
          <w:instrText xml:space="preserve"> PAGEREF _Toc300001727 \h </w:instrText>
        </w:r>
        <w:r>
          <w:rPr>
            <w:noProof/>
            <w:webHidden/>
          </w:rPr>
          <w:fldChar w:fldCharType="separate"/>
        </w:r>
        <w:r>
          <w:rPr>
            <w:noProof/>
            <w:webHidden/>
          </w:rPr>
          <w:t>1937</w:t>
        </w:r>
        <w:r>
          <w:rPr>
            <w:noProof/>
            <w:webHidden/>
          </w:rPr>
          <w:fldChar w:fldCharType="end"/>
        </w:r>
      </w:hyperlink>
    </w:p>
    <w:p>
      <w:pPr>
        <w:pStyle w:val="TOC2"/>
      </w:pPr>
      <w:hyperlink w:anchor="_Toc300001728" w:history="1">
        <w:r>
          <w:rPr>
            <w:noProof/>
          </w:rPr>
          <w:t xml:space="preserve">Schedule FS-04-C: NAAFTC Incorporation / Compatibility Schedule</w:t>
        </w:r>
        <w:r>
          <w:rPr>
            <w:noProof/>
            <w:webHidden/>
          </w:rPr>
          <w:tab/>
        </w:r>
        <w:r>
          <w:rPr>
            <w:noProof/>
            <w:webHidden/>
          </w:rPr>
          <w:fldChar w:fldCharType="begin"/>
        </w:r>
        <w:r>
          <w:rPr>
            <w:noProof/>
            <w:webHidden/>
          </w:rPr>
          <w:instrText xml:space="preserve"> PAGEREF _Toc300001728 \h </w:instrText>
        </w:r>
        <w:r>
          <w:rPr>
            <w:noProof/>
            <w:webHidden/>
          </w:rPr>
          <w:fldChar w:fldCharType="separate"/>
        </w:r>
        <w:r>
          <w:rPr>
            <w:noProof/>
            <w:webHidden/>
          </w:rPr>
          <w:t>1938</w:t>
        </w:r>
        <w:r>
          <w:rPr>
            <w:noProof/>
            <w:webHidden/>
          </w:rPr>
          <w:fldChar w:fldCharType="end"/>
        </w:r>
      </w:hyperlink>
    </w:p>
    <w:p>
      <w:pPr>
        <w:pStyle w:val="TOC1"/>
      </w:pPr>
      <w:hyperlink w:anchor="_Toc300001729" w:history="1">
        <w:r>
          <w:rPr>
            <w:noProof/>
          </w:rPr>
          <w:t xml:space="preserve">CHAPTER 44 TRADE FACILITATION, TRUSTED MOBILITY, AND CO-INVESTMENT</w:t>
        </w:r>
        <w:r>
          <w:rPr>
            <w:noProof/>
            <w:webHidden/>
          </w:rPr>
          <w:tab/>
        </w:r>
        <w:r>
          <w:rPr>
            <w:noProof/>
            <w:webHidden/>
          </w:rPr>
          <w:fldChar w:fldCharType="begin"/>
        </w:r>
        <w:r>
          <w:rPr>
            <w:noProof/>
            <w:webHidden/>
          </w:rPr>
          <w:instrText xml:space="preserve"> PAGEREF _Toc300001729 \h </w:instrText>
        </w:r>
        <w:r>
          <w:rPr>
            <w:noProof/>
            <w:webHidden/>
          </w:rPr>
          <w:fldChar w:fldCharType="separate"/>
        </w:r>
        <w:r>
          <w:rPr>
            <w:noProof/>
            <w:webHidden/>
          </w:rPr>
          <w:t>1939</w:t>
        </w:r>
        <w:r>
          <w:rPr>
            <w:noProof/>
            <w:webHidden/>
          </w:rPr>
          <w:fldChar w:fldCharType="end"/>
        </w:r>
      </w:hyperlink>
    </w:p>
    <w:p>
      <w:pPr>
        <w:pStyle w:val="TOC2"/>
      </w:pPr>
      <w:hyperlink w:anchor="_Toc300001730" w:history="1">
        <w:r>
          <w:rPr>
            <w:noProof/>
          </w:rPr>
          <w:t xml:space="preserve">Article 44.1: North American Trade Facilitation Index</w:t>
        </w:r>
        <w:r>
          <w:rPr>
            <w:noProof/>
            <w:webHidden/>
          </w:rPr>
          <w:tab/>
        </w:r>
        <w:r>
          <w:rPr>
            <w:noProof/>
            <w:webHidden/>
          </w:rPr>
          <w:fldChar w:fldCharType="begin"/>
        </w:r>
        <w:r>
          <w:rPr>
            <w:noProof/>
            <w:webHidden/>
          </w:rPr>
          <w:instrText xml:space="preserve"> PAGEREF _Toc300001730 \h </w:instrText>
        </w:r>
        <w:r>
          <w:rPr>
            <w:noProof/>
            <w:webHidden/>
          </w:rPr>
          <w:fldChar w:fldCharType="separate"/>
        </w:r>
        <w:r>
          <w:rPr>
            <w:noProof/>
            <w:webHidden/>
          </w:rPr>
          <w:t>1939</w:t>
        </w:r>
        <w:r>
          <w:rPr>
            <w:noProof/>
            <w:webHidden/>
          </w:rPr>
          <w:fldChar w:fldCharType="end"/>
        </w:r>
      </w:hyperlink>
    </w:p>
    <w:p>
      <w:pPr>
        <w:pStyle w:val="TOC2"/>
      </w:pPr>
      <w:hyperlink w:anchor="_Toc300001731" w:history="1">
        <w:r>
          <w:rPr>
            <w:noProof/>
          </w:rPr>
          <w:t xml:space="preserve">Article 44.2: Trusted Trader Mutual Recognition</w:t>
        </w:r>
        <w:r>
          <w:rPr>
            <w:noProof/>
            <w:webHidden/>
          </w:rPr>
          <w:tab/>
        </w:r>
        <w:r>
          <w:rPr>
            <w:noProof/>
            <w:webHidden/>
          </w:rPr>
          <w:fldChar w:fldCharType="begin"/>
        </w:r>
        <w:r>
          <w:rPr>
            <w:noProof/>
            <w:webHidden/>
          </w:rPr>
          <w:instrText xml:space="preserve"> PAGEREF _Toc300001731 \h </w:instrText>
        </w:r>
        <w:r>
          <w:rPr>
            <w:noProof/>
            <w:webHidden/>
          </w:rPr>
          <w:fldChar w:fldCharType="separate"/>
        </w:r>
        <w:r>
          <w:rPr>
            <w:noProof/>
            <w:webHidden/>
          </w:rPr>
          <w:t>1939</w:t>
        </w:r>
        <w:r>
          <w:rPr>
            <w:noProof/>
            <w:webHidden/>
          </w:rPr>
          <w:fldChar w:fldCharType="end"/>
        </w:r>
      </w:hyperlink>
    </w:p>
    <w:p>
      <w:pPr>
        <w:pStyle w:val="TOC2"/>
      </w:pPr>
      <w:hyperlink w:anchor="_Toc300001732" w:history="1">
        <w:r>
          <w:rPr>
            <w:noProof/>
          </w:rPr>
          <w:t xml:space="preserve">Article 44.3: Customs Data Interoperability</w:t>
        </w:r>
        <w:r>
          <w:rPr>
            <w:noProof/>
            <w:webHidden/>
          </w:rPr>
          <w:tab/>
        </w:r>
        <w:r>
          <w:rPr>
            <w:noProof/>
            <w:webHidden/>
          </w:rPr>
          <w:fldChar w:fldCharType="begin"/>
        </w:r>
        <w:r>
          <w:rPr>
            <w:noProof/>
            <w:webHidden/>
          </w:rPr>
          <w:instrText xml:space="preserve"> PAGEREF _Toc300001732 \h </w:instrText>
        </w:r>
        <w:r>
          <w:rPr>
            <w:noProof/>
            <w:webHidden/>
          </w:rPr>
          <w:fldChar w:fldCharType="separate"/>
        </w:r>
        <w:r>
          <w:rPr>
            <w:noProof/>
            <w:webHidden/>
          </w:rPr>
          <w:t>1939</w:t>
        </w:r>
        <w:r>
          <w:rPr>
            <w:noProof/>
            <w:webHidden/>
          </w:rPr>
          <w:fldChar w:fldCharType="end"/>
        </w:r>
      </w:hyperlink>
    </w:p>
    <w:p>
      <w:pPr>
        <w:pStyle w:val="TOC2"/>
      </w:pPr>
      <w:hyperlink w:anchor="_Toc300001733" w:history="1">
        <w:r>
          <w:rPr>
            <w:noProof/>
          </w:rPr>
          <w:t xml:space="preserve">Article 44.4: Skilled Professional and Business Mobility Service Standards</w:t>
        </w:r>
        <w:r>
          <w:rPr>
            <w:noProof/>
            <w:webHidden/>
          </w:rPr>
          <w:tab/>
        </w:r>
        <w:r>
          <w:rPr>
            <w:noProof/>
            <w:webHidden/>
          </w:rPr>
          <w:fldChar w:fldCharType="begin"/>
        </w:r>
        <w:r>
          <w:rPr>
            <w:noProof/>
            <w:webHidden/>
          </w:rPr>
          <w:instrText xml:space="preserve"> PAGEREF _Toc300001733 \h </w:instrText>
        </w:r>
        <w:r>
          <w:rPr>
            <w:noProof/>
            <w:webHidden/>
          </w:rPr>
          <w:fldChar w:fldCharType="separate"/>
        </w:r>
        <w:r>
          <w:rPr>
            <w:noProof/>
            <w:webHidden/>
          </w:rPr>
          <w:t>1939</w:t>
        </w:r>
        <w:r>
          <w:rPr>
            <w:noProof/>
            <w:webHidden/>
          </w:rPr>
          <w:fldChar w:fldCharType="end"/>
        </w:r>
      </w:hyperlink>
    </w:p>
    <w:p>
      <w:pPr>
        <w:pStyle w:val="TOC2"/>
      </w:pPr>
      <w:hyperlink w:anchor="_Toc300001734" w:history="1">
        <w:r>
          <w:rPr>
            <w:noProof/>
          </w:rPr>
          <w:t xml:space="preserve">Article 44.5: Trusted Traveler and Commercial Driver Expansion</w:t>
        </w:r>
        <w:r>
          <w:rPr>
            <w:noProof/>
            <w:webHidden/>
          </w:rPr>
          <w:tab/>
        </w:r>
        <w:r>
          <w:rPr>
            <w:noProof/>
            <w:webHidden/>
          </w:rPr>
          <w:fldChar w:fldCharType="begin"/>
        </w:r>
        <w:r>
          <w:rPr>
            <w:noProof/>
            <w:webHidden/>
          </w:rPr>
          <w:instrText xml:space="preserve"> PAGEREF _Toc300001734 \h </w:instrText>
        </w:r>
        <w:r>
          <w:rPr>
            <w:noProof/>
            <w:webHidden/>
          </w:rPr>
          <w:fldChar w:fldCharType="separate"/>
        </w:r>
        <w:r>
          <w:rPr>
            <w:noProof/>
            <w:webHidden/>
          </w:rPr>
          <w:t>1939</w:t>
        </w:r>
        <w:r>
          <w:rPr>
            <w:noProof/>
            <w:webHidden/>
          </w:rPr>
          <w:fldChar w:fldCharType="end"/>
        </w:r>
      </w:hyperlink>
    </w:p>
    <w:p>
      <w:pPr>
        <w:pStyle w:val="TOC2"/>
      </w:pPr>
      <w:hyperlink w:anchor="_Toc300001735" w:history="1">
        <w:r>
          <w:rPr>
            <w:noProof/>
          </w:rPr>
          <w:t xml:space="preserve">Article 44.6: North American Trade Infrastructure Facility</w:t>
        </w:r>
        <w:r>
          <w:rPr>
            <w:noProof/>
            <w:webHidden/>
          </w:rPr>
          <w:tab/>
        </w:r>
        <w:r>
          <w:rPr>
            <w:noProof/>
            <w:webHidden/>
          </w:rPr>
          <w:fldChar w:fldCharType="begin"/>
        </w:r>
        <w:r>
          <w:rPr>
            <w:noProof/>
            <w:webHidden/>
          </w:rPr>
          <w:instrText xml:space="preserve"> PAGEREF _Toc300001735 \h </w:instrText>
        </w:r>
        <w:r>
          <w:rPr>
            <w:noProof/>
            <w:webHidden/>
          </w:rPr>
          <w:fldChar w:fldCharType="separate"/>
        </w:r>
        <w:r>
          <w:rPr>
            <w:noProof/>
            <w:webHidden/>
          </w:rPr>
          <w:t>1940</w:t>
        </w:r>
        <w:r>
          <w:rPr>
            <w:noProof/>
            <w:webHidden/>
          </w:rPr>
          <w:fldChar w:fldCharType="end"/>
        </w:r>
      </w:hyperlink>
    </w:p>
    <w:p>
      <w:pPr>
        <w:pStyle w:val="TOC2"/>
      </w:pPr>
      <w:hyperlink w:anchor="_Toc300001736" w:history="1">
        <w:r>
          <w:rPr>
            <w:noProof/>
          </w:rPr>
          <w:t xml:space="preserve">Article 44.7: Beneficial Ownership and Anti-Circumvention Cooperation</w:t>
        </w:r>
        <w:r>
          <w:rPr>
            <w:noProof/>
            <w:webHidden/>
          </w:rPr>
          <w:tab/>
        </w:r>
        <w:r>
          <w:rPr>
            <w:noProof/>
            <w:webHidden/>
          </w:rPr>
          <w:fldChar w:fldCharType="begin"/>
        </w:r>
        <w:r>
          <w:rPr>
            <w:noProof/>
            <w:webHidden/>
          </w:rPr>
          <w:instrText xml:space="preserve"> PAGEREF _Toc300001736 \h </w:instrText>
        </w:r>
        <w:r>
          <w:rPr>
            <w:noProof/>
            <w:webHidden/>
          </w:rPr>
          <w:fldChar w:fldCharType="separate"/>
        </w:r>
        <w:r>
          <w:rPr>
            <w:noProof/>
            <w:webHidden/>
          </w:rPr>
          <w:t>1940</w:t>
        </w:r>
        <w:r>
          <w:rPr>
            <w:noProof/>
            <w:webHidden/>
          </w:rPr>
          <w:fldChar w:fldCharType="end"/>
        </w:r>
      </w:hyperlink>
    </w:p>
    <w:p>
      <w:pPr>
        <w:pStyle w:val="TOC2"/>
      </w:pPr>
      <w:hyperlink w:anchor="_Toc300001737" w:history="1">
        <w:r>
          <w:rPr>
            <w:noProof/>
          </w:rPr>
          <w:t xml:space="preserve">Article 44.8: Foreign Trade-Lobbying Transparency</w:t>
        </w:r>
        <w:r>
          <w:rPr>
            <w:noProof/>
            <w:webHidden/>
          </w:rPr>
          <w:tab/>
        </w:r>
        <w:r>
          <w:rPr>
            <w:noProof/>
            <w:webHidden/>
          </w:rPr>
          <w:fldChar w:fldCharType="begin"/>
        </w:r>
        <w:r>
          <w:rPr>
            <w:noProof/>
            <w:webHidden/>
          </w:rPr>
          <w:instrText xml:space="preserve"> PAGEREF _Toc300001737 \h </w:instrText>
        </w:r>
        <w:r>
          <w:rPr>
            <w:noProof/>
            <w:webHidden/>
          </w:rPr>
          <w:fldChar w:fldCharType="separate"/>
        </w:r>
        <w:r>
          <w:rPr>
            <w:noProof/>
            <w:webHidden/>
          </w:rPr>
          <w:t>1940</w:t>
        </w:r>
        <w:r>
          <w:rPr>
            <w:noProof/>
            <w:webHidden/>
          </w:rPr>
          <w:fldChar w:fldCharType="end"/>
        </w:r>
      </w:hyperlink>
    </w:p>
    <w:p>
      <w:pPr>
        <w:pStyle w:val="TOC1"/>
      </w:pPr>
      <w:hyperlink w:anchor="_Toc300001738" w:history="1">
        <w:r>
          <w:rPr>
            <w:noProof/>
          </w:rPr>
          <w:t xml:space="preserve">CHAPTER 45 INSTITUTIONAL DIVERSITY AND MEXICAN ACCOMMODATION</w:t>
        </w:r>
        <w:r>
          <w:rPr>
            <w:noProof/>
            <w:webHidden/>
          </w:rPr>
          <w:tab/>
        </w:r>
        <w:r>
          <w:rPr>
            <w:noProof/>
            <w:webHidden/>
          </w:rPr>
          <w:fldChar w:fldCharType="begin"/>
        </w:r>
        <w:r>
          <w:rPr>
            <w:noProof/>
            <w:webHidden/>
          </w:rPr>
          <w:instrText xml:space="preserve"> PAGEREF _Toc300001738 \h </w:instrText>
        </w:r>
        <w:r>
          <w:rPr>
            <w:noProof/>
            <w:webHidden/>
          </w:rPr>
          <w:fldChar w:fldCharType="separate"/>
        </w:r>
        <w:r>
          <w:rPr>
            <w:noProof/>
            <w:webHidden/>
          </w:rPr>
          <w:t>1941</w:t>
        </w:r>
        <w:r>
          <w:rPr>
            <w:noProof/>
            <w:webHidden/>
          </w:rPr>
          <w:fldChar w:fldCharType="end"/>
        </w:r>
      </w:hyperlink>
    </w:p>
    <w:p>
      <w:pPr>
        <w:pStyle w:val="TOC2"/>
      </w:pPr>
      <w:hyperlink w:anchor="_Toc300001739" w:history="1">
        <w:r>
          <w:rPr>
            <w:noProof/>
          </w:rPr>
          <w:t xml:space="preserve">Article 45.1: Institutional Diversity Principle</w:t>
        </w:r>
        <w:r>
          <w:rPr>
            <w:noProof/>
            <w:webHidden/>
          </w:rPr>
          <w:tab/>
        </w:r>
        <w:r>
          <w:rPr>
            <w:noProof/>
            <w:webHidden/>
          </w:rPr>
          <w:fldChar w:fldCharType="begin"/>
        </w:r>
        <w:r>
          <w:rPr>
            <w:noProof/>
            <w:webHidden/>
          </w:rPr>
          <w:instrText xml:space="preserve"> PAGEREF _Toc300001739 \h </w:instrText>
        </w:r>
        <w:r>
          <w:rPr>
            <w:noProof/>
            <w:webHidden/>
          </w:rPr>
          <w:fldChar w:fldCharType="separate"/>
        </w:r>
        <w:r>
          <w:rPr>
            <w:noProof/>
            <w:webHidden/>
          </w:rPr>
          <w:t>1941</w:t>
        </w:r>
        <w:r>
          <w:rPr>
            <w:noProof/>
            <w:webHidden/>
          </w:rPr>
          <w:fldChar w:fldCharType="end"/>
        </w:r>
      </w:hyperlink>
    </w:p>
    <w:p>
      <w:pPr>
        <w:pStyle w:val="TOC2"/>
      </w:pPr>
      <w:hyperlink w:anchor="_Toc300001740" w:history="1">
        <w:r>
          <w:rPr>
            <w:noProof/>
          </w:rPr>
          <w:t xml:space="preserve">Article 45.2: Constitutional and State-Enterprise Accommodation</w:t>
        </w:r>
        <w:r>
          <w:rPr>
            <w:noProof/>
            <w:webHidden/>
          </w:rPr>
          <w:tab/>
        </w:r>
        <w:r>
          <w:rPr>
            <w:noProof/>
            <w:webHidden/>
          </w:rPr>
          <w:fldChar w:fldCharType="begin"/>
        </w:r>
        <w:r>
          <w:rPr>
            <w:noProof/>
            <w:webHidden/>
          </w:rPr>
          <w:instrText xml:space="preserve"> PAGEREF _Toc300001740 \h </w:instrText>
        </w:r>
        <w:r>
          <w:rPr>
            <w:noProof/>
            <w:webHidden/>
          </w:rPr>
          <w:fldChar w:fldCharType="separate"/>
        </w:r>
        <w:r>
          <w:rPr>
            <w:noProof/>
            <w:webHidden/>
          </w:rPr>
          <w:t>1941</w:t>
        </w:r>
        <w:r>
          <w:rPr>
            <w:noProof/>
            <w:webHidden/>
          </w:rPr>
          <w:fldChar w:fldCharType="end"/>
        </w:r>
      </w:hyperlink>
    </w:p>
    <w:p>
      <w:pPr>
        <w:pStyle w:val="TOC2"/>
      </w:pPr>
      <w:hyperlink w:anchor="_Toc300001741" w:history="1">
        <w:r>
          <w:rPr>
            <w:noProof/>
          </w:rPr>
          <w:t xml:space="preserve">Article 45.3: Ejidos, Communal Tenure, and Social Land Policy</w:t>
        </w:r>
        <w:r>
          <w:rPr>
            <w:noProof/>
            <w:webHidden/>
          </w:rPr>
          <w:tab/>
        </w:r>
        <w:r>
          <w:rPr>
            <w:noProof/>
            <w:webHidden/>
          </w:rPr>
          <w:fldChar w:fldCharType="begin"/>
        </w:r>
        <w:r>
          <w:rPr>
            <w:noProof/>
            <w:webHidden/>
          </w:rPr>
          <w:instrText xml:space="preserve"> PAGEREF _Toc300001741 \h </w:instrText>
        </w:r>
        <w:r>
          <w:rPr>
            <w:noProof/>
            <w:webHidden/>
          </w:rPr>
          <w:fldChar w:fldCharType="separate"/>
        </w:r>
        <w:r>
          <w:rPr>
            <w:noProof/>
            <w:webHidden/>
          </w:rPr>
          <w:t>1941</w:t>
        </w:r>
        <w:r>
          <w:rPr>
            <w:noProof/>
            <w:webHidden/>
          </w:rPr>
          <w:fldChar w:fldCharType="end"/>
        </w:r>
      </w:hyperlink>
    </w:p>
    <w:p>
      <w:pPr>
        <w:pStyle w:val="TOC2"/>
      </w:pPr>
      <w:hyperlink w:anchor="_Toc300001742" w:history="1">
        <w:r>
          <w:rPr>
            <w:noProof/>
          </w:rPr>
          <w:t xml:space="preserve">Article 45.4: Rural Development and Smallholder Support</w:t>
        </w:r>
        <w:r>
          <w:rPr>
            <w:noProof/>
            <w:webHidden/>
          </w:rPr>
          <w:tab/>
        </w:r>
        <w:r>
          <w:rPr>
            <w:noProof/>
            <w:webHidden/>
          </w:rPr>
          <w:fldChar w:fldCharType="begin"/>
        </w:r>
        <w:r>
          <w:rPr>
            <w:noProof/>
            <w:webHidden/>
          </w:rPr>
          <w:instrText xml:space="preserve"> PAGEREF _Toc300001742 \h </w:instrText>
        </w:r>
        <w:r>
          <w:rPr>
            <w:noProof/>
            <w:webHidden/>
          </w:rPr>
          <w:fldChar w:fldCharType="separate"/>
        </w:r>
        <w:r>
          <w:rPr>
            <w:noProof/>
            <w:webHidden/>
          </w:rPr>
          <w:t>1942</w:t>
        </w:r>
        <w:r>
          <w:rPr>
            <w:noProof/>
            <w:webHidden/>
          </w:rPr>
          <w:fldChar w:fldCharType="end"/>
        </w:r>
      </w:hyperlink>
    </w:p>
    <w:p>
      <w:pPr>
        <w:pStyle w:val="TOC2"/>
      </w:pPr>
      <w:hyperlink w:anchor="_Toc300001743" w:history="1">
        <w:r>
          <w:rPr>
            <w:noProof/>
          </w:rPr>
          <w:t xml:space="preserve">Article 45.5: United States-Mexico Water Treaty Firewall</w:t>
        </w:r>
        <w:r>
          <w:rPr>
            <w:noProof/>
            <w:webHidden/>
          </w:rPr>
          <w:tab/>
        </w:r>
        <w:r>
          <w:rPr>
            <w:noProof/>
            <w:webHidden/>
          </w:rPr>
          <w:fldChar w:fldCharType="begin"/>
        </w:r>
        <w:r>
          <w:rPr>
            <w:noProof/>
            <w:webHidden/>
          </w:rPr>
          <w:instrText xml:space="preserve"> PAGEREF _Toc300001743 \h </w:instrText>
        </w:r>
        <w:r>
          <w:rPr>
            <w:noProof/>
            <w:webHidden/>
          </w:rPr>
          <w:fldChar w:fldCharType="separate"/>
        </w:r>
        <w:r>
          <w:rPr>
            <w:noProof/>
            <w:webHidden/>
          </w:rPr>
          <w:t>1942</w:t>
        </w:r>
        <w:r>
          <w:rPr>
            <w:noProof/>
            <w:webHidden/>
          </w:rPr>
          <w:fldChar w:fldCharType="end"/>
        </w:r>
      </w:hyperlink>
    </w:p>
    <w:p>
      <w:pPr>
        <w:pStyle w:val="TOC2"/>
      </w:pPr>
      <w:hyperlink w:anchor="_Toc300001744" w:history="1">
        <w:r>
          <w:rPr>
            <w:noProof/>
          </w:rPr>
          <w:t xml:space="preserve">Article 45.6: Mining, Restoration, and Community Benefit</w:t>
        </w:r>
        <w:r>
          <w:rPr>
            <w:noProof/>
            <w:webHidden/>
          </w:rPr>
          <w:tab/>
        </w:r>
        <w:r>
          <w:rPr>
            <w:noProof/>
            <w:webHidden/>
          </w:rPr>
          <w:fldChar w:fldCharType="begin"/>
        </w:r>
        <w:r>
          <w:rPr>
            <w:noProof/>
            <w:webHidden/>
          </w:rPr>
          <w:instrText xml:space="preserve"> PAGEREF _Toc300001744 \h </w:instrText>
        </w:r>
        <w:r>
          <w:rPr>
            <w:noProof/>
            <w:webHidden/>
          </w:rPr>
          <w:fldChar w:fldCharType="separate"/>
        </w:r>
        <w:r>
          <w:rPr>
            <w:noProof/>
            <w:webHidden/>
          </w:rPr>
          <w:t>1942</w:t>
        </w:r>
        <w:r>
          <w:rPr>
            <w:noProof/>
            <w:webHidden/>
          </w:rPr>
          <w:fldChar w:fldCharType="end"/>
        </w:r>
      </w:hyperlink>
    </w:p>
    <w:p>
      <w:pPr>
        <w:pStyle w:val="TOC2"/>
      </w:pPr>
      <w:hyperlink w:anchor="_Toc300001745" w:history="1">
        <w:r>
          <w:rPr>
            <w:noProof/>
          </w:rPr>
          <w:t xml:space="preserve">Article 45.7: Research Security and Strategic Technology Cooperation</w:t>
        </w:r>
        <w:r>
          <w:rPr>
            <w:noProof/>
            <w:webHidden/>
          </w:rPr>
          <w:tab/>
        </w:r>
        <w:r>
          <w:rPr>
            <w:noProof/>
            <w:webHidden/>
          </w:rPr>
          <w:fldChar w:fldCharType="begin"/>
        </w:r>
        <w:r>
          <w:rPr>
            <w:noProof/>
            <w:webHidden/>
          </w:rPr>
          <w:instrText xml:space="preserve"> PAGEREF _Toc300001745 \h </w:instrText>
        </w:r>
        <w:r>
          <w:rPr>
            <w:noProof/>
            <w:webHidden/>
          </w:rPr>
          <w:fldChar w:fldCharType="separate"/>
        </w:r>
        <w:r>
          <w:rPr>
            <w:noProof/>
            <w:webHidden/>
          </w:rPr>
          <w:t>1942</w:t>
        </w:r>
        <w:r>
          <w:rPr>
            <w:noProof/>
            <w:webHidden/>
          </w:rPr>
          <w:fldChar w:fldCharType="end"/>
        </w:r>
      </w:hyperlink>
    </w:p>
    <w:p>
      <w:pPr>
        <w:pStyle w:val="TOC2"/>
      </w:pPr>
      <w:hyperlink w:anchor="_Toc300001746" w:history="1">
        <w:r>
          <w:rPr>
            <w:noProof/>
          </w:rPr>
          <w:t xml:space="preserve">Article 45.8: Remittance and Fintech Facilitation</w:t>
        </w:r>
        <w:r>
          <w:rPr>
            <w:noProof/>
            <w:webHidden/>
          </w:rPr>
          <w:tab/>
        </w:r>
        <w:r>
          <w:rPr>
            <w:noProof/>
            <w:webHidden/>
          </w:rPr>
          <w:fldChar w:fldCharType="begin"/>
        </w:r>
        <w:r>
          <w:rPr>
            <w:noProof/>
            <w:webHidden/>
          </w:rPr>
          <w:instrText xml:space="preserve"> PAGEREF _Toc300001746 \h </w:instrText>
        </w:r>
        <w:r>
          <w:rPr>
            <w:noProof/>
            <w:webHidden/>
          </w:rPr>
          <w:fldChar w:fldCharType="separate"/>
        </w:r>
        <w:r>
          <w:rPr>
            <w:noProof/>
            <w:webHidden/>
          </w:rPr>
          <w:t>1943</w:t>
        </w:r>
        <w:r>
          <w:rPr>
            <w:noProof/>
            <w:webHidden/>
          </w:rPr>
          <w:fldChar w:fldCharType="end"/>
        </w:r>
      </w:hyperlink>
    </w:p>
    <w:p>
      <w:pPr>
        <w:pStyle w:val="TOC2"/>
      </w:pPr>
      <w:hyperlink w:anchor="_Toc300001747" w:history="1">
        <w:r>
          <w:rPr>
            <w:noProof/>
          </w:rPr>
          <w:t xml:space="preserve">Article 45.9: Traditional Knowledge and Geographic Indications</w:t>
        </w:r>
        <w:r>
          <w:rPr>
            <w:noProof/>
            <w:webHidden/>
          </w:rPr>
          <w:tab/>
        </w:r>
        <w:r>
          <w:rPr>
            <w:noProof/>
            <w:webHidden/>
          </w:rPr>
          <w:fldChar w:fldCharType="begin"/>
        </w:r>
        <w:r>
          <w:rPr>
            <w:noProof/>
            <w:webHidden/>
          </w:rPr>
          <w:instrText xml:space="preserve"> PAGEREF _Toc300001747 \h </w:instrText>
        </w:r>
        <w:r>
          <w:rPr>
            <w:noProof/>
            <w:webHidden/>
          </w:rPr>
          <w:fldChar w:fldCharType="separate"/>
        </w:r>
        <w:r>
          <w:rPr>
            <w:noProof/>
            <w:webHidden/>
          </w:rPr>
          <w:t>1943</w:t>
        </w:r>
        <w:r>
          <w:rPr>
            <w:noProof/>
            <w:webHidden/>
          </w:rPr>
          <w:fldChar w:fldCharType="end"/>
        </w:r>
      </w:hyperlink>
    </w:p>
    <w:p>
      <w:pPr>
        <w:pStyle w:val="TOC2"/>
      </w:pPr>
      <w:hyperlink w:anchor="_Toc300001748" w:history="1">
        <w:r>
          <w:rPr>
            <w:noProof/>
          </w:rPr>
          <w:t xml:space="preserve">Article 45.10: Border-Region Micro and SME Facilitation</w:t>
        </w:r>
        <w:r>
          <w:rPr>
            <w:noProof/>
            <w:webHidden/>
          </w:rPr>
          <w:tab/>
        </w:r>
        <w:r>
          <w:rPr>
            <w:noProof/>
            <w:webHidden/>
          </w:rPr>
          <w:fldChar w:fldCharType="begin"/>
        </w:r>
        <w:r>
          <w:rPr>
            <w:noProof/>
            <w:webHidden/>
          </w:rPr>
          <w:instrText xml:space="preserve"> PAGEREF _Toc300001748 \h </w:instrText>
        </w:r>
        <w:r>
          <w:rPr>
            <w:noProof/>
            <w:webHidden/>
          </w:rPr>
          <w:fldChar w:fldCharType="separate"/>
        </w:r>
        <w:r>
          <w:rPr>
            <w:noProof/>
            <w:webHidden/>
          </w:rPr>
          <w:t>1943</w:t>
        </w:r>
        <w:r>
          <w:rPr>
            <w:noProof/>
            <w:webHidden/>
          </w:rPr>
          <w:fldChar w:fldCharType="end"/>
        </w:r>
      </w:hyperlink>
    </w:p>
    <w:p>
      <w:pPr>
        <w:pStyle w:val="TOC1"/>
      </w:pPr>
      <w:hyperlink w:anchor="_Toc300001749" w:history="1">
        <w:r>
          <w:rPr>
            <w:noProof/>
          </w:rPr>
          <w:t xml:space="preserve">CHAPTER 46 COTHROM BALANCED VERIFICATION AND EVIDENTIARY ARCHITECTURE</w:t>
        </w:r>
        <w:r>
          <w:rPr>
            <w:noProof/>
            <w:webHidden/>
          </w:rPr>
          <w:tab/>
        </w:r>
        <w:r>
          <w:rPr>
            <w:noProof/>
            <w:webHidden/>
          </w:rPr>
          <w:fldChar w:fldCharType="begin"/>
        </w:r>
        <w:r>
          <w:rPr>
            <w:noProof/>
            <w:webHidden/>
          </w:rPr>
          <w:instrText xml:space="preserve"> PAGEREF _Toc300001749 \h </w:instrText>
        </w:r>
        <w:r>
          <w:rPr>
            <w:noProof/>
            <w:webHidden/>
          </w:rPr>
          <w:fldChar w:fldCharType="separate"/>
        </w:r>
        <w:r>
          <w:rPr>
            <w:noProof/>
            <w:webHidden/>
          </w:rPr>
          <w:t>1944</w:t>
        </w:r>
        <w:r>
          <w:rPr>
            <w:noProof/>
            <w:webHidden/>
          </w:rPr>
          <w:fldChar w:fldCharType="end"/>
        </w:r>
      </w:hyperlink>
    </w:p>
    <w:p>
      <w:pPr>
        <w:pStyle w:val="TOC2"/>
      </w:pPr>
      <w:hyperlink w:anchor="_Toc300001750" w:history="1">
        <w:r>
          <w:rPr>
            <w:noProof/>
          </w:rPr>
          <w:t xml:space="preserve">Article 46.1: Cothrom Principle</w:t>
        </w:r>
        <w:r>
          <w:rPr>
            <w:noProof/>
            <w:webHidden/>
          </w:rPr>
          <w:tab/>
        </w:r>
        <w:r>
          <w:rPr>
            <w:noProof/>
            <w:webHidden/>
          </w:rPr>
          <w:fldChar w:fldCharType="begin"/>
        </w:r>
        <w:r>
          <w:rPr>
            <w:noProof/>
            <w:webHidden/>
          </w:rPr>
          <w:instrText xml:space="preserve"> PAGEREF _Toc300001750 \h </w:instrText>
        </w:r>
        <w:r>
          <w:rPr>
            <w:noProof/>
            <w:webHidden/>
          </w:rPr>
          <w:fldChar w:fldCharType="separate"/>
        </w:r>
        <w:r>
          <w:rPr>
            <w:noProof/>
            <w:webHidden/>
          </w:rPr>
          <w:t>1944</w:t>
        </w:r>
        <w:r>
          <w:rPr>
            <w:noProof/>
            <w:webHidden/>
          </w:rPr>
          <w:fldChar w:fldCharType="end"/>
        </w:r>
      </w:hyperlink>
    </w:p>
    <w:p>
      <w:pPr>
        <w:pStyle w:val="TOC2"/>
      </w:pPr>
      <w:hyperlink w:anchor="_Toc300001751" w:history="1">
        <w:r>
          <w:rPr>
            <w:noProof/>
          </w:rPr>
          <w:t xml:space="preserve">Article 46.2: Data Symmetry and the Golden Record</w:t>
        </w:r>
        <w:r>
          <w:rPr>
            <w:noProof/>
            <w:webHidden/>
          </w:rPr>
          <w:tab/>
        </w:r>
        <w:r>
          <w:rPr>
            <w:noProof/>
            <w:webHidden/>
          </w:rPr>
          <w:fldChar w:fldCharType="begin"/>
        </w:r>
        <w:r>
          <w:rPr>
            <w:noProof/>
            <w:webHidden/>
          </w:rPr>
          <w:instrText xml:space="preserve"> PAGEREF _Toc300001751 \h </w:instrText>
        </w:r>
        <w:r>
          <w:rPr>
            <w:noProof/>
            <w:webHidden/>
          </w:rPr>
          <w:fldChar w:fldCharType="separate"/>
        </w:r>
        <w:r>
          <w:rPr>
            <w:noProof/>
            <w:webHidden/>
          </w:rPr>
          <w:t>1944</w:t>
        </w:r>
        <w:r>
          <w:rPr>
            <w:noProof/>
            <w:webHidden/>
          </w:rPr>
          <w:fldChar w:fldCharType="end"/>
        </w:r>
      </w:hyperlink>
    </w:p>
    <w:p>
      <w:pPr>
        <w:pStyle w:val="TOC2"/>
      </w:pPr>
      <w:hyperlink w:anchor="_Toc300001752" w:history="1">
        <w:r>
          <w:rPr>
            <w:noProof/>
          </w:rPr>
          <w:t xml:space="preserve">Article 46.3: Anomaly Severity and Noise Filtering</w:t>
        </w:r>
        <w:r>
          <w:rPr>
            <w:noProof/>
            <w:webHidden/>
          </w:rPr>
          <w:tab/>
        </w:r>
        <w:r>
          <w:rPr>
            <w:noProof/>
            <w:webHidden/>
          </w:rPr>
          <w:fldChar w:fldCharType="begin"/>
        </w:r>
        <w:r>
          <w:rPr>
            <w:noProof/>
            <w:webHidden/>
          </w:rPr>
          <w:instrText xml:space="preserve"> PAGEREF _Toc300001752 \h </w:instrText>
        </w:r>
        <w:r>
          <w:rPr>
            <w:noProof/>
            <w:webHidden/>
          </w:rPr>
          <w:fldChar w:fldCharType="separate"/>
        </w:r>
        <w:r>
          <w:rPr>
            <w:noProof/>
            <w:webHidden/>
          </w:rPr>
          <w:t>1944</w:t>
        </w:r>
        <w:r>
          <w:rPr>
            <w:noProof/>
            <w:webHidden/>
          </w:rPr>
          <w:fldChar w:fldCharType="end"/>
        </w:r>
      </w:hyperlink>
    </w:p>
    <w:p>
      <w:pPr>
        <w:pStyle w:val="TOC2"/>
      </w:pPr>
      <w:hyperlink w:anchor="_Toc300001753" w:history="1">
        <w:r>
          <w:rPr>
            <w:noProof/>
          </w:rPr>
          <w:t xml:space="preserve">Article 46.4: Claim and Objection Precision</w:t>
        </w:r>
        <w:r>
          <w:rPr>
            <w:noProof/>
            <w:webHidden/>
          </w:rPr>
          <w:tab/>
        </w:r>
        <w:r>
          <w:rPr>
            <w:noProof/>
            <w:webHidden/>
          </w:rPr>
          <w:fldChar w:fldCharType="begin"/>
        </w:r>
        <w:r>
          <w:rPr>
            <w:noProof/>
            <w:webHidden/>
          </w:rPr>
          <w:instrText xml:space="preserve"> PAGEREF _Toc300001753 \h </w:instrText>
        </w:r>
        <w:r>
          <w:rPr>
            <w:noProof/>
            <w:webHidden/>
          </w:rPr>
          <w:fldChar w:fldCharType="separate"/>
        </w:r>
        <w:r>
          <w:rPr>
            <w:noProof/>
            <w:webHidden/>
          </w:rPr>
          <w:t>1945</w:t>
        </w:r>
        <w:r>
          <w:rPr>
            <w:noProof/>
            <w:webHidden/>
          </w:rPr>
          <w:fldChar w:fldCharType="end"/>
        </w:r>
      </w:hyperlink>
    </w:p>
    <w:p>
      <w:pPr>
        <w:pStyle w:val="TOC2"/>
      </w:pPr>
      <w:hyperlink w:anchor="_Toc300001754" w:history="1">
        <w:r>
          <w:rPr>
            <w:noProof/>
          </w:rPr>
          <w:t xml:space="preserve">Article 46.5: Confirmation Levels and Partial Findings</w:t>
        </w:r>
        <w:r>
          <w:rPr>
            <w:noProof/>
            <w:webHidden/>
          </w:rPr>
          <w:tab/>
        </w:r>
        <w:r>
          <w:rPr>
            <w:noProof/>
            <w:webHidden/>
          </w:rPr>
          <w:fldChar w:fldCharType="begin"/>
        </w:r>
        <w:r>
          <w:rPr>
            <w:noProof/>
            <w:webHidden/>
          </w:rPr>
          <w:instrText xml:space="preserve"> PAGEREF _Toc300001754 \h </w:instrText>
        </w:r>
        <w:r>
          <w:rPr>
            <w:noProof/>
            <w:webHidden/>
          </w:rPr>
          <w:fldChar w:fldCharType="separate"/>
        </w:r>
        <w:r>
          <w:rPr>
            <w:noProof/>
            <w:webHidden/>
          </w:rPr>
          <w:t>1945</w:t>
        </w:r>
        <w:r>
          <w:rPr>
            <w:noProof/>
            <w:webHidden/>
          </w:rPr>
          <w:fldChar w:fldCharType="end"/>
        </w:r>
      </w:hyperlink>
    </w:p>
    <w:p>
      <w:pPr>
        <w:pStyle w:val="TOC2"/>
      </w:pPr>
      <w:hyperlink w:anchor="_Toc300001755" w:history="1">
        <w:r>
          <w:rPr>
            <w:noProof/>
          </w:rPr>
          <w:t xml:space="preserve">Article 46.6: Standing Neutral Expert Pool</w:t>
        </w:r>
        <w:r>
          <w:rPr>
            <w:noProof/>
            <w:webHidden/>
          </w:rPr>
          <w:tab/>
        </w:r>
        <w:r>
          <w:rPr>
            <w:noProof/>
            <w:webHidden/>
          </w:rPr>
          <w:fldChar w:fldCharType="begin"/>
        </w:r>
        <w:r>
          <w:rPr>
            <w:noProof/>
            <w:webHidden/>
          </w:rPr>
          <w:instrText xml:space="preserve"> PAGEREF _Toc300001755 \h </w:instrText>
        </w:r>
        <w:r>
          <w:rPr>
            <w:noProof/>
            <w:webHidden/>
          </w:rPr>
          <w:fldChar w:fldCharType="separate"/>
        </w:r>
        <w:r>
          <w:rPr>
            <w:noProof/>
            <w:webHidden/>
          </w:rPr>
          <w:t>1945</w:t>
        </w:r>
        <w:r>
          <w:rPr>
            <w:noProof/>
            <w:webHidden/>
          </w:rPr>
          <w:fldChar w:fldCharType="end"/>
        </w:r>
      </w:hyperlink>
    </w:p>
    <w:p>
      <w:pPr>
        <w:pStyle w:val="TOC2"/>
      </w:pPr>
      <w:hyperlink w:anchor="_Toc300001756" w:history="1">
        <w:r>
          <w:rPr>
            <w:noProof/>
          </w:rPr>
          <w:t xml:space="preserve">Article 46.7: Human-in-the-Loop Requirement</w:t>
        </w:r>
        <w:r>
          <w:rPr>
            <w:noProof/>
            <w:webHidden/>
          </w:rPr>
          <w:tab/>
        </w:r>
        <w:r>
          <w:rPr>
            <w:noProof/>
            <w:webHidden/>
          </w:rPr>
          <w:fldChar w:fldCharType="begin"/>
        </w:r>
        <w:r>
          <w:rPr>
            <w:noProof/>
            <w:webHidden/>
          </w:rPr>
          <w:instrText xml:space="preserve"> PAGEREF _Toc300001756 \h </w:instrText>
        </w:r>
        <w:r>
          <w:rPr>
            <w:noProof/>
            <w:webHidden/>
          </w:rPr>
          <w:fldChar w:fldCharType="separate"/>
        </w:r>
        <w:r>
          <w:rPr>
            <w:noProof/>
            <w:webHidden/>
          </w:rPr>
          <w:t>1946</w:t>
        </w:r>
        <w:r>
          <w:rPr>
            <w:noProof/>
            <w:webHidden/>
          </w:rPr>
          <w:fldChar w:fldCharType="end"/>
        </w:r>
      </w:hyperlink>
    </w:p>
    <w:p>
      <w:pPr>
        <w:pStyle w:val="TOC2"/>
      </w:pPr>
      <w:hyperlink w:anchor="_Toc300001757" w:history="1">
        <w:r>
          <w:rPr>
            <w:noProof/>
          </w:rPr>
          <w:t xml:space="preserve">Article 46.8: Verification Continuity and Technical Failure</w:t>
        </w:r>
        <w:r>
          <w:rPr>
            <w:noProof/>
            <w:webHidden/>
          </w:rPr>
          <w:tab/>
        </w:r>
        <w:r>
          <w:rPr>
            <w:noProof/>
            <w:webHidden/>
          </w:rPr>
          <w:fldChar w:fldCharType="begin"/>
        </w:r>
        <w:r>
          <w:rPr>
            <w:noProof/>
            <w:webHidden/>
          </w:rPr>
          <w:instrText xml:space="preserve"> PAGEREF _Toc300001757 \h </w:instrText>
        </w:r>
        <w:r>
          <w:rPr>
            <w:noProof/>
            <w:webHidden/>
          </w:rPr>
          <w:fldChar w:fldCharType="separate"/>
        </w:r>
        <w:r>
          <w:rPr>
            <w:noProof/>
            <w:webHidden/>
          </w:rPr>
          <w:t>1946</w:t>
        </w:r>
        <w:r>
          <w:rPr>
            <w:noProof/>
            <w:webHidden/>
          </w:rPr>
          <w:fldChar w:fldCharType="end"/>
        </w:r>
      </w:hyperlink>
    </w:p>
    <w:p>
      <w:pPr>
        <w:pStyle w:val="TOC2"/>
      </w:pPr>
      <w:hyperlink w:anchor="_Toc300001758" w:history="1">
        <w:r>
          <w:rPr>
            <w:noProof/>
          </w:rPr>
          <w:t xml:space="preserve">Article 46.9: Cooling-Off and Attribution Discipline</w:t>
        </w:r>
        <w:r>
          <w:rPr>
            <w:noProof/>
            <w:webHidden/>
          </w:rPr>
          <w:tab/>
        </w:r>
        <w:r>
          <w:rPr>
            <w:noProof/>
            <w:webHidden/>
          </w:rPr>
          <w:fldChar w:fldCharType="begin"/>
        </w:r>
        <w:r>
          <w:rPr>
            <w:noProof/>
            <w:webHidden/>
          </w:rPr>
          <w:instrText xml:space="preserve"> PAGEREF _Toc300001758 \h </w:instrText>
        </w:r>
        <w:r>
          <w:rPr>
            <w:noProof/>
            <w:webHidden/>
          </w:rPr>
          <w:fldChar w:fldCharType="separate"/>
        </w:r>
        <w:r>
          <w:rPr>
            <w:noProof/>
            <w:webHidden/>
          </w:rPr>
          <w:t>1946</w:t>
        </w:r>
        <w:r>
          <w:rPr>
            <w:noProof/>
            <w:webHidden/>
          </w:rPr>
          <w:fldChar w:fldCharType="end"/>
        </w:r>
      </w:hyperlink>
    </w:p>
    <w:p>
      <w:pPr>
        <w:pStyle w:val="TOC2"/>
      </w:pPr>
      <w:hyperlink w:anchor="_Toc300001759" w:history="1">
        <w:r>
          <w:rPr>
            <w:noProof/>
          </w:rPr>
          <w:t xml:space="preserve">Article 46.10: Verification Metrics</w:t>
        </w:r>
        <w:r>
          <w:rPr>
            <w:noProof/>
            <w:webHidden/>
          </w:rPr>
          <w:tab/>
        </w:r>
        <w:r>
          <w:rPr>
            <w:noProof/>
            <w:webHidden/>
          </w:rPr>
          <w:fldChar w:fldCharType="begin"/>
        </w:r>
        <w:r>
          <w:rPr>
            <w:noProof/>
            <w:webHidden/>
          </w:rPr>
          <w:instrText xml:space="preserve"> PAGEREF _Toc300001759 \h </w:instrText>
        </w:r>
        <w:r>
          <w:rPr>
            <w:noProof/>
            <w:webHidden/>
          </w:rPr>
          <w:fldChar w:fldCharType="separate"/>
        </w:r>
        <w:r>
          <w:rPr>
            <w:noProof/>
            <w:webHidden/>
          </w:rPr>
          <w:t>1947</w:t>
        </w:r>
        <w:r>
          <w:rPr>
            <w:noProof/>
            <w:webHidden/>
          </w:rPr>
          <w:fldChar w:fldCharType="end"/>
        </w:r>
      </w:hyperlink>
    </w:p>
    <w:p>
      <w:pPr>
        <w:pStyle w:val="TOC2"/>
      </w:pPr>
      <w:hyperlink w:anchor="_Toc300001760" w:history="1">
        <w:r>
          <w:rPr>
            <w:noProof/>
          </w:rPr>
          <w:t xml:space="preserve">Article 46.11: Technical Corrections</w:t>
        </w:r>
        <w:r>
          <w:rPr>
            <w:noProof/>
            <w:webHidden/>
          </w:rPr>
          <w:tab/>
        </w:r>
        <w:r>
          <w:rPr>
            <w:noProof/>
            <w:webHidden/>
          </w:rPr>
          <w:fldChar w:fldCharType="begin"/>
        </w:r>
        <w:r>
          <w:rPr>
            <w:noProof/>
            <w:webHidden/>
          </w:rPr>
          <w:instrText xml:space="preserve"> PAGEREF _Toc300001760 \h </w:instrText>
        </w:r>
        <w:r>
          <w:rPr>
            <w:noProof/>
            <w:webHidden/>
          </w:rPr>
          <w:fldChar w:fldCharType="separate"/>
        </w:r>
        <w:r>
          <w:rPr>
            <w:noProof/>
            <w:webHidden/>
          </w:rPr>
          <w:t>1947</w:t>
        </w:r>
        <w:r>
          <w:rPr>
            <w:noProof/>
            <w:webHidden/>
          </w:rPr>
          <w:fldChar w:fldCharType="end"/>
        </w:r>
      </w:hyperlink>
    </w:p>
    <w:p>
      <w:pPr>
        <w:pStyle w:val="TOC2"/>
      </w:pPr>
      <w:hyperlink w:anchor="_Toc300001761" w:history="1">
        <w:r>
          <w:rPr>
            <w:noProof/>
          </w:rPr>
          <w:t xml:space="preserve">Article 46.12: Vacancy-Proof Institutional Continuity</w:t>
        </w:r>
        <w:r>
          <w:rPr>
            <w:noProof/>
            <w:webHidden/>
          </w:rPr>
          <w:tab/>
        </w:r>
        <w:r>
          <w:rPr>
            <w:noProof/>
            <w:webHidden/>
          </w:rPr>
          <w:fldChar w:fldCharType="begin"/>
        </w:r>
        <w:r>
          <w:rPr>
            <w:noProof/>
            <w:webHidden/>
          </w:rPr>
          <w:instrText xml:space="preserve"> PAGEREF _Toc300001761 \h </w:instrText>
        </w:r>
        <w:r>
          <w:rPr>
            <w:noProof/>
            <w:webHidden/>
          </w:rPr>
          <w:fldChar w:fldCharType="separate"/>
        </w:r>
        <w:r>
          <w:rPr>
            <w:noProof/>
            <w:webHidden/>
          </w:rPr>
          <w:t>1947</w:t>
        </w:r>
        <w:r>
          <w:rPr>
            <w:noProof/>
            <w:webHidden/>
          </w:rPr>
          <w:fldChar w:fldCharType="end"/>
        </w:r>
      </w:hyperlink>
    </w:p>
    <w:p>
      <w:pPr>
        <w:pStyle w:val="TOC2"/>
      </w:pPr>
      <w:hyperlink w:anchor="_Toc300001762" w:history="1">
        <w:r>
          <w:rPr>
            <w:noProof/>
          </w:rPr>
          <w:t xml:space="preserve">Article 46.13: Quorum, Boycott, and Consensus Anti-Hostage Rules</w:t>
        </w:r>
        <w:r>
          <w:rPr>
            <w:noProof/>
            <w:webHidden/>
          </w:rPr>
          <w:tab/>
        </w:r>
        <w:r>
          <w:rPr>
            <w:noProof/>
            <w:webHidden/>
          </w:rPr>
          <w:fldChar w:fldCharType="begin"/>
        </w:r>
        <w:r>
          <w:rPr>
            <w:noProof/>
            <w:webHidden/>
          </w:rPr>
          <w:instrText xml:space="preserve"> PAGEREF _Toc300001762 \h </w:instrText>
        </w:r>
        <w:r>
          <w:rPr>
            <w:noProof/>
            <w:webHidden/>
          </w:rPr>
          <w:fldChar w:fldCharType="separate"/>
        </w:r>
        <w:r>
          <w:rPr>
            <w:noProof/>
            <w:webHidden/>
          </w:rPr>
          <w:t>1947</w:t>
        </w:r>
        <w:r>
          <w:rPr>
            <w:noProof/>
            <w:webHidden/>
          </w:rPr>
          <w:fldChar w:fldCharType="end"/>
        </w:r>
      </w:hyperlink>
    </w:p>
    <w:p>
      <w:pPr>
        <w:pStyle w:val="TOC2"/>
      </w:pPr>
      <w:hyperlink w:anchor="_Toc300001763" w:history="1">
        <w:r>
          <w:rPr>
            <w:noProof/>
          </w:rPr>
          <w:t xml:space="preserve">Article 46.14: Data Continuity, Protected Access, and Adverse Inference</w:t>
        </w:r>
        <w:r>
          <w:rPr>
            <w:noProof/>
            <w:webHidden/>
          </w:rPr>
          <w:tab/>
        </w:r>
        <w:r>
          <w:rPr>
            <w:noProof/>
            <w:webHidden/>
          </w:rPr>
          <w:fldChar w:fldCharType="begin"/>
        </w:r>
        <w:r>
          <w:rPr>
            <w:noProof/>
            <w:webHidden/>
          </w:rPr>
          <w:instrText xml:space="preserve"> PAGEREF _Toc300001763 \h </w:instrText>
        </w:r>
        <w:r>
          <w:rPr>
            <w:noProof/>
            <w:webHidden/>
          </w:rPr>
          <w:fldChar w:fldCharType="separate"/>
        </w:r>
        <w:r>
          <w:rPr>
            <w:noProof/>
            <w:webHidden/>
          </w:rPr>
          <w:t>1948</w:t>
        </w:r>
        <w:r>
          <w:rPr>
            <w:noProof/>
            <w:webHidden/>
          </w:rPr>
          <w:fldChar w:fldCharType="end"/>
        </w:r>
      </w:hyperlink>
    </w:p>
    <w:p>
      <w:pPr>
        <w:pStyle w:val="TOC2"/>
      </w:pPr>
      <w:hyperlink w:anchor="_Toc300001764" w:history="1">
        <w:r>
          <w:rPr>
            <w:noProof/>
          </w:rPr>
          <w:t xml:space="preserve">Article 46.15: Evidentiary Proportionality and Anti-Landfill Rule</w:t>
        </w:r>
        <w:r>
          <w:rPr>
            <w:noProof/>
            <w:webHidden/>
          </w:rPr>
          <w:tab/>
        </w:r>
        <w:r>
          <w:rPr>
            <w:noProof/>
            <w:webHidden/>
          </w:rPr>
          <w:fldChar w:fldCharType="begin"/>
        </w:r>
        <w:r>
          <w:rPr>
            <w:noProof/>
            <w:webHidden/>
          </w:rPr>
          <w:instrText xml:space="preserve"> PAGEREF _Toc300001764 \h </w:instrText>
        </w:r>
        <w:r>
          <w:rPr>
            <w:noProof/>
            <w:webHidden/>
          </w:rPr>
          <w:fldChar w:fldCharType="separate"/>
        </w:r>
        <w:r>
          <w:rPr>
            <w:noProof/>
            <w:webHidden/>
          </w:rPr>
          <w:t>1948</w:t>
        </w:r>
        <w:r>
          <w:rPr>
            <w:noProof/>
            <w:webHidden/>
          </w:rPr>
          <w:fldChar w:fldCharType="end"/>
        </w:r>
      </w:hyperlink>
    </w:p>
    <w:p>
      <w:pPr>
        <w:pStyle w:val="TOC2"/>
      </w:pPr>
      <w:hyperlink w:anchor="_Toc300001765" w:history="1">
        <w:r>
          <w:rPr>
            <w:noProof/>
          </w:rPr>
          <w:t xml:space="preserve">Article 46.16: Successor Measure and Anti-Whack-a-Mole Jurisdiction</w:t>
        </w:r>
        <w:r>
          <w:rPr>
            <w:noProof/>
            <w:webHidden/>
          </w:rPr>
          <w:tab/>
        </w:r>
        <w:r>
          <w:rPr>
            <w:noProof/>
            <w:webHidden/>
          </w:rPr>
          <w:fldChar w:fldCharType="begin"/>
        </w:r>
        <w:r>
          <w:rPr>
            <w:noProof/>
            <w:webHidden/>
          </w:rPr>
          <w:instrText xml:space="preserve"> PAGEREF _Toc300001765 \h </w:instrText>
        </w:r>
        <w:r>
          <w:rPr>
            <w:noProof/>
            <w:webHidden/>
          </w:rPr>
          <w:fldChar w:fldCharType="separate"/>
        </w:r>
        <w:r>
          <w:rPr>
            <w:noProof/>
            <w:webHidden/>
          </w:rPr>
          <w:t>1948</w:t>
        </w:r>
        <w:r>
          <w:rPr>
            <w:noProof/>
            <w:webHidden/>
          </w:rPr>
          <w:fldChar w:fldCharType="end"/>
        </w:r>
      </w:hyperlink>
    </w:p>
    <w:p>
      <w:pPr>
        <w:pStyle w:val="TOC2"/>
      </w:pPr>
      <w:hyperlink w:anchor="_Toc300001766" w:history="1">
        <w:r>
          <w:rPr>
            <w:noProof/>
          </w:rPr>
          <w:t xml:space="preserve">Article 46.17: Administrative Pattern and Cumulative Burden Review</w:t>
        </w:r>
        <w:r>
          <w:rPr>
            <w:noProof/>
            <w:webHidden/>
          </w:rPr>
          <w:tab/>
        </w:r>
        <w:r>
          <w:rPr>
            <w:noProof/>
            <w:webHidden/>
          </w:rPr>
          <w:fldChar w:fldCharType="begin"/>
        </w:r>
        <w:r>
          <w:rPr>
            <w:noProof/>
            <w:webHidden/>
          </w:rPr>
          <w:instrText xml:space="preserve"> PAGEREF _Toc300001766 \h </w:instrText>
        </w:r>
        <w:r>
          <w:rPr>
            <w:noProof/>
            <w:webHidden/>
          </w:rPr>
          <w:fldChar w:fldCharType="separate"/>
        </w:r>
        <w:r>
          <w:rPr>
            <w:noProof/>
            <w:webHidden/>
          </w:rPr>
          <w:t>1949</w:t>
        </w:r>
        <w:r>
          <w:rPr>
            <w:noProof/>
            <w:webHidden/>
          </w:rPr>
          <w:fldChar w:fldCharType="end"/>
        </w:r>
      </w:hyperlink>
    </w:p>
    <w:p>
      <w:pPr>
        <w:pStyle w:val="TOC2"/>
      </w:pPr>
      <w:hyperlink w:anchor="_Toc300001767" w:history="1">
        <w:r>
          <w:rPr>
            <w:noProof/>
          </w:rPr>
          <w:t xml:space="preserve">Article 46.18: Procedural Denial-of-Service and Case Consolidation</w:t>
        </w:r>
        <w:r>
          <w:rPr>
            <w:noProof/>
            <w:webHidden/>
          </w:rPr>
          <w:tab/>
        </w:r>
        <w:r>
          <w:rPr>
            <w:noProof/>
            <w:webHidden/>
          </w:rPr>
          <w:fldChar w:fldCharType="begin"/>
        </w:r>
        <w:r>
          <w:rPr>
            <w:noProof/>
            <w:webHidden/>
          </w:rPr>
          <w:instrText xml:space="preserve"> PAGEREF _Toc300001767 \h </w:instrText>
        </w:r>
        <w:r>
          <w:rPr>
            <w:noProof/>
            <w:webHidden/>
          </w:rPr>
          <w:fldChar w:fldCharType="separate"/>
        </w:r>
        <w:r>
          <w:rPr>
            <w:noProof/>
            <w:webHidden/>
          </w:rPr>
          <w:t>1949</w:t>
        </w:r>
        <w:r>
          <w:rPr>
            <w:noProof/>
            <w:webHidden/>
          </w:rPr>
          <w:fldChar w:fldCharType="end"/>
        </w:r>
      </w:hyperlink>
    </w:p>
    <w:p>
      <w:pPr>
        <w:pStyle w:val="TOC2"/>
      </w:pPr>
      <w:hyperlink w:anchor="_Toc300001768" w:history="1">
        <w:r>
          <w:rPr>
            <w:noProof/>
          </w:rPr>
          <w:t xml:space="preserve">Article 46.19: Automatic Post-Ruling Compliance Supervision</w:t>
        </w:r>
        <w:r>
          <w:rPr>
            <w:noProof/>
            <w:webHidden/>
          </w:rPr>
          <w:tab/>
        </w:r>
        <w:r>
          <w:rPr>
            <w:noProof/>
            <w:webHidden/>
          </w:rPr>
          <w:fldChar w:fldCharType="begin"/>
        </w:r>
        <w:r>
          <w:rPr>
            <w:noProof/>
            <w:webHidden/>
          </w:rPr>
          <w:instrText xml:space="preserve"> PAGEREF _Toc300001768 \h </w:instrText>
        </w:r>
        <w:r>
          <w:rPr>
            <w:noProof/>
            <w:webHidden/>
          </w:rPr>
          <w:fldChar w:fldCharType="separate"/>
        </w:r>
        <w:r>
          <w:rPr>
            <w:noProof/>
            <w:webHidden/>
          </w:rPr>
          <w:t>1949</w:t>
        </w:r>
        <w:r>
          <w:rPr>
            <w:noProof/>
            <w:webHidden/>
          </w:rPr>
          <w:fldChar w:fldCharType="end"/>
        </w:r>
      </w:hyperlink>
    </w:p>
    <w:p>
      <w:pPr>
        <w:pStyle w:val="TOC1"/>
      </w:pPr>
      <w:hyperlink w:anchor="_Toc300001769" w:history="1">
        <w:r>
          <w:rPr>
            <w:noProof/>
          </w:rPr>
          <w:t xml:space="preserve">CHAPTER 47 TREATY RESILIENCE, SAFE MODE, AND RECONSTITUTION</w:t>
        </w:r>
        <w:r>
          <w:rPr>
            <w:noProof/>
            <w:webHidden/>
          </w:rPr>
          <w:tab/>
        </w:r>
        <w:r>
          <w:rPr>
            <w:noProof/>
            <w:webHidden/>
          </w:rPr>
          <w:fldChar w:fldCharType="begin"/>
        </w:r>
        <w:r>
          <w:rPr>
            <w:noProof/>
            <w:webHidden/>
          </w:rPr>
          <w:instrText xml:space="preserve"> PAGEREF _Toc300001769 \h </w:instrText>
        </w:r>
        <w:r>
          <w:rPr>
            <w:noProof/>
            <w:webHidden/>
          </w:rPr>
          <w:fldChar w:fldCharType="separate"/>
        </w:r>
        <w:r>
          <w:rPr>
            <w:noProof/>
            <w:webHidden/>
          </w:rPr>
          <w:t>1950</w:t>
        </w:r>
        <w:r>
          <w:rPr>
            <w:noProof/>
            <w:webHidden/>
          </w:rPr>
          <w:fldChar w:fldCharType="end"/>
        </w:r>
      </w:hyperlink>
    </w:p>
    <w:p>
      <w:pPr>
        <w:pStyle w:val="TOC2"/>
      </w:pPr>
      <w:hyperlink w:anchor="_Toc300001770" w:history="1">
        <w:r>
          <w:rPr>
            <w:noProof/>
          </w:rPr>
          <w:t xml:space="preserve">Article 47.0A: Effective Treaty Performance and Anti-Malicious-Compliance Principle</w:t>
        </w:r>
        <w:r>
          <w:rPr>
            <w:noProof/>
            <w:webHidden/>
          </w:rPr>
          <w:tab/>
        </w:r>
        <w:r>
          <w:rPr>
            <w:noProof/>
            <w:webHidden/>
          </w:rPr>
          <w:fldChar w:fldCharType="begin"/>
        </w:r>
        <w:r>
          <w:rPr>
            <w:noProof/>
            <w:webHidden/>
          </w:rPr>
          <w:instrText xml:space="preserve"> PAGEREF _Toc300001770 \h </w:instrText>
        </w:r>
        <w:r>
          <w:rPr>
            <w:noProof/>
            <w:webHidden/>
          </w:rPr>
          <w:fldChar w:fldCharType="separate"/>
        </w:r>
        <w:r>
          <w:rPr>
            <w:noProof/>
            <w:webHidden/>
          </w:rPr>
          <w:t>1950</w:t>
        </w:r>
        <w:r>
          <w:rPr>
            <w:noProof/>
            <w:webHidden/>
          </w:rPr>
          <w:fldChar w:fldCharType="end"/>
        </w:r>
      </w:hyperlink>
    </w:p>
    <w:p>
      <w:pPr>
        <w:pStyle w:val="TOC2"/>
      </w:pPr>
      <w:hyperlink w:anchor="_Toc300001771" w:history="1">
        <w:r>
          <w:rPr>
            <w:noProof/>
          </w:rPr>
          <w:t xml:space="preserve">Article 47.0B: Cumulative Friction, Whole-of-Government, and Rolling-Window Review</w:t>
        </w:r>
        <w:r>
          <w:rPr>
            <w:noProof/>
            <w:webHidden/>
          </w:rPr>
          <w:tab/>
        </w:r>
        <w:r>
          <w:rPr>
            <w:noProof/>
            <w:webHidden/>
          </w:rPr>
          <w:fldChar w:fldCharType="begin"/>
        </w:r>
        <w:r>
          <w:rPr>
            <w:noProof/>
            <w:webHidden/>
          </w:rPr>
          <w:instrText xml:space="preserve"> PAGEREF _Toc300001771 \h </w:instrText>
        </w:r>
        <w:r>
          <w:rPr>
            <w:noProof/>
            <w:webHidden/>
          </w:rPr>
          <w:fldChar w:fldCharType="separate"/>
        </w:r>
        <w:r>
          <w:rPr>
            <w:noProof/>
            <w:webHidden/>
          </w:rPr>
          <w:t>1950</w:t>
        </w:r>
        <w:r>
          <w:rPr>
            <w:noProof/>
            <w:webHidden/>
          </w:rPr>
          <w:fldChar w:fldCharType="end"/>
        </w:r>
      </w:hyperlink>
    </w:p>
    <w:p>
      <w:pPr>
        <w:pStyle w:val="TOC2"/>
      </w:pPr>
      <w:hyperlink w:anchor="_Toc300001772" w:history="1">
        <w:r>
          <w:rPr>
            <w:noProof/>
          </w:rPr>
          <w:t xml:space="preserve">Article 47.0C: Functional Successor Pattern and Effective Restoration</w:t>
        </w:r>
        <w:r>
          <w:rPr>
            <w:noProof/>
            <w:webHidden/>
          </w:rPr>
          <w:tab/>
        </w:r>
        <w:r>
          <w:rPr>
            <w:noProof/>
            <w:webHidden/>
          </w:rPr>
          <w:fldChar w:fldCharType="begin"/>
        </w:r>
        <w:r>
          <w:rPr>
            <w:noProof/>
            <w:webHidden/>
          </w:rPr>
          <w:instrText xml:space="preserve"> PAGEREF _Toc300001772 \h </w:instrText>
        </w:r>
        <w:r>
          <w:rPr>
            <w:noProof/>
            <w:webHidden/>
          </w:rPr>
          <w:fldChar w:fldCharType="separate"/>
        </w:r>
        <w:r>
          <w:rPr>
            <w:noProof/>
            <w:webHidden/>
          </w:rPr>
          <w:t>1951</w:t>
        </w:r>
        <w:r>
          <w:rPr>
            <w:noProof/>
            <w:webHidden/>
          </w:rPr>
          <w:fldChar w:fldCharType="end"/>
        </w:r>
      </w:hyperlink>
    </w:p>
    <w:p>
      <w:pPr>
        <w:pStyle w:val="TOC2"/>
      </w:pPr>
      <w:hyperlink w:anchor="_Toc300001773" w:history="1">
        <w:r>
          <w:rPr>
            <w:noProof/>
          </w:rPr>
          <w:t xml:space="preserve">Article 47.0D: Institutional Anti-Paralysis and Usable Proceedings</w:t>
        </w:r>
        <w:r>
          <w:rPr>
            <w:noProof/>
            <w:webHidden/>
          </w:rPr>
          <w:tab/>
        </w:r>
        <w:r>
          <w:rPr>
            <w:noProof/>
            <w:webHidden/>
          </w:rPr>
          <w:fldChar w:fldCharType="begin"/>
        </w:r>
        <w:r>
          <w:rPr>
            <w:noProof/>
            <w:webHidden/>
          </w:rPr>
          <w:instrText xml:space="preserve"> PAGEREF _Toc300001773 \h </w:instrText>
        </w:r>
        <w:r>
          <w:rPr>
            <w:noProof/>
            <w:webHidden/>
          </w:rPr>
          <w:fldChar w:fldCharType="separate"/>
        </w:r>
        <w:r>
          <w:rPr>
            <w:noProof/>
            <w:webHidden/>
          </w:rPr>
          <w:t>1951</w:t>
        </w:r>
        <w:r>
          <w:rPr>
            <w:noProof/>
            <w:webHidden/>
          </w:rPr>
          <w:fldChar w:fldCharType="end"/>
        </w:r>
      </w:hyperlink>
    </w:p>
    <w:p>
      <w:pPr>
        <w:pStyle w:val="TOC2"/>
      </w:pPr>
      <w:hyperlink w:anchor="_Toc300001774" w:history="1">
        <w:r>
          <w:rPr>
            <w:noProof/>
          </w:rPr>
          <w:t xml:space="preserve">Article 47.0E: Implementation Simplicity and Procedure Selection</w:t>
        </w:r>
        <w:r>
          <w:rPr>
            <w:noProof/>
            <w:webHidden/>
          </w:rPr>
          <w:tab/>
        </w:r>
        <w:r>
          <w:rPr>
            <w:noProof/>
            <w:webHidden/>
          </w:rPr>
          <w:fldChar w:fldCharType="begin"/>
        </w:r>
        <w:r>
          <w:rPr>
            <w:noProof/>
            <w:webHidden/>
          </w:rPr>
          <w:instrText xml:space="preserve"> PAGEREF _Toc300001774 \h </w:instrText>
        </w:r>
        <w:r>
          <w:rPr>
            <w:noProof/>
            <w:webHidden/>
          </w:rPr>
          <w:fldChar w:fldCharType="separate"/>
        </w:r>
        <w:r>
          <w:rPr>
            <w:noProof/>
            <w:webHidden/>
          </w:rPr>
          <w:t>1951</w:t>
        </w:r>
        <w:r>
          <w:rPr>
            <w:noProof/>
            <w:webHidden/>
          </w:rPr>
          <w:fldChar w:fldCharType="end"/>
        </w:r>
      </w:hyperlink>
    </w:p>
    <w:p>
      <w:pPr>
        <w:pStyle w:val="TOC2"/>
      </w:pPr>
      <w:hyperlink w:anchor="_Toc300001775" w:history="1">
        <w:r>
          <w:rPr>
            <w:noProof/>
          </w:rPr>
          <w:t xml:space="preserve">Article 47.1: Differential Routing</w:t>
        </w:r>
        <w:r>
          <w:rPr>
            <w:noProof/>
            <w:webHidden/>
          </w:rPr>
          <w:tab/>
        </w:r>
        <w:r>
          <w:rPr>
            <w:noProof/>
            <w:webHidden/>
          </w:rPr>
          <w:fldChar w:fldCharType="begin"/>
        </w:r>
        <w:r>
          <w:rPr>
            <w:noProof/>
            <w:webHidden/>
          </w:rPr>
          <w:instrText xml:space="preserve"> PAGEREF _Toc300001775 \h </w:instrText>
        </w:r>
        <w:r>
          <w:rPr>
            <w:noProof/>
            <w:webHidden/>
          </w:rPr>
          <w:fldChar w:fldCharType="separate"/>
        </w:r>
        <w:r>
          <w:rPr>
            <w:noProof/>
            <w:webHidden/>
          </w:rPr>
          <w:t>1952</w:t>
        </w:r>
        <w:r>
          <w:rPr>
            <w:noProof/>
            <w:webHidden/>
          </w:rPr>
          <w:fldChar w:fldCharType="end"/>
        </w:r>
      </w:hyperlink>
    </w:p>
    <w:p>
      <w:pPr>
        <w:pStyle w:val="TOC2"/>
      </w:pPr>
      <w:hyperlink w:anchor="_Toc300001776" w:history="1">
        <w:r>
          <w:rPr>
            <w:noProof/>
          </w:rPr>
          <w:t xml:space="preserve">Article 47.2: Lateral Transfer</w:t>
        </w:r>
        <w:r>
          <w:rPr>
            <w:noProof/>
            <w:webHidden/>
          </w:rPr>
          <w:tab/>
        </w:r>
        <w:r>
          <w:rPr>
            <w:noProof/>
            <w:webHidden/>
          </w:rPr>
          <w:fldChar w:fldCharType="begin"/>
        </w:r>
        <w:r>
          <w:rPr>
            <w:noProof/>
            <w:webHidden/>
          </w:rPr>
          <w:instrText xml:space="preserve"> PAGEREF _Toc300001776 \h </w:instrText>
        </w:r>
        <w:r>
          <w:rPr>
            <w:noProof/>
            <w:webHidden/>
          </w:rPr>
          <w:fldChar w:fldCharType="separate"/>
        </w:r>
        <w:r>
          <w:rPr>
            <w:noProof/>
            <w:webHidden/>
          </w:rPr>
          <w:t>1952</w:t>
        </w:r>
        <w:r>
          <w:rPr>
            <w:noProof/>
            <w:webHidden/>
          </w:rPr>
          <w:fldChar w:fldCharType="end"/>
        </w:r>
      </w:hyperlink>
    </w:p>
    <w:p>
      <w:pPr>
        <w:pStyle w:val="TOC2"/>
      </w:pPr>
      <w:hyperlink w:anchor="_Toc300001777" w:history="1">
        <w:r>
          <w:rPr>
            <w:noProof/>
          </w:rPr>
          <w:t xml:space="preserve">Article 47.3: Treaty Reliance Archive</w:t>
        </w:r>
        <w:r>
          <w:rPr>
            <w:noProof/>
            <w:webHidden/>
          </w:rPr>
          <w:tab/>
        </w:r>
        <w:r>
          <w:rPr>
            <w:noProof/>
            <w:webHidden/>
          </w:rPr>
          <w:fldChar w:fldCharType="begin"/>
        </w:r>
        <w:r>
          <w:rPr>
            <w:noProof/>
            <w:webHidden/>
          </w:rPr>
          <w:instrText xml:space="preserve"> PAGEREF _Toc300001777 \h </w:instrText>
        </w:r>
        <w:r>
          <w:rPr>
            <w:noProof/>
            <w:webHidden/>
          </w:rPr>
          <w:fldChar w:fldCharType="separate"/>
        </w:r>
        <w:r>
          <w:rPr>
            <w:noProof/>
            <w:webHidden/>
          </w:rPr>
          <w:t>1952</w:t>
        </w:r>
        <w:r>
          <w:rPr>
            <w:noProof/>
            <w:webHidden/>
          </w:rPr>
          <w:fldChar w:fldCharType="end"/>
        </w:r>
      </w:hyperlink>
    </w:p>
    <w:p>
      <w:pPr>
        <w:pStyle w:val="TOC2"/>
      </w:pPr>
      <w:hyperlink w:anchor="_Toc300001778" w:history="1">
        <w:r>
          <w:rPr>
            <w:noProof/>
          </w:rPr>
          <w:t xml:space="preserve">Article 47.4: Economic Safe Mode</w:t>
        </w:r>
        <w:r>
          <w:rPr>
            <w:noProof/>
            <w:webHidden/>
          </w:rPr>
          <w:tab/>
        </w:r>
        <w:r>
          <w:rPr>
            <w:noProof/>
            <w:webHidden/>
          </w:rPr>
          <w:fldChar w:fldCharType="begin"/>
        </w:r>
        <w:r>
          <w:rPr>
            <w:noProof/>
            <w:webHidden/>
          </w:rPr>
          <w:instrText xml:space="preserve"> PAGEREF _Toc300001778 \h </w:instrText>
        </w:r>
        <w:r>
          <w:rPr>
            <w:noProof/>
            <w:webHidden/>
          </w:rPr>
          <w:fldChar w:fldCharType="separate"/>
        </w:r>
        <w:r>
          <w:rPr>
            <w:noProof/>
            <w:webHidden/>
          </w:rPr>
          <w:t>1952</w:t>
        </w:r>
        <w:r>
          <w:rPr>
            <w:noProof/>
            <w:webHidden/>
          </w:rPr>
          <w:fldChar w:fldCharType="end"/>
        </w:r>
      </w:hyperlink>
    </w:p>
    <w:p>
      <w:pPr>
        <w:pStyle w:val="TOC2"/>
      </w:pPr>
      <w:hyperlink w:anchor="_Toc300001779" w:history="1">
        <w:r>
          <w:rPr>
            <w:noProof/>
          </w:rPr>
          <w:t xml:space="preserve">Article 47.5: Good-Faith Pause</w:t>
        </w:r>
        <w:r>
          <w:rPr>
            <w:noProof/>
            <w:webHidden/>
          </w:rPr>
          <w:tab/>
        </w:r>
        <w:r>
          <w:rPr>
            <w:noProof/>
            <w:webHidden/>
          </w:rPr>
          <w:fldChar w:fldCharType="begin"/>
        </w:r>
        <w:r>
          <w:rPr>
            <w:noProof/>
            <w:webHidden/>
          </w:rPr>
          <w:instrText xml:space="preserve"> PAGEREF _Toc300001779 \h </w:instrText>
        </w:r>
        <w:r>
          <w:rPr>
            <w:noProof/>
            <w:webHidden/>
          </w:rPr>
          <w:fldChar w:fldCharType="separate"/>
        </w:r>
        <w:r>
          <w:rPr>
            <w:noProof/>
            <w:webHidden/>
          </w:rPr>
          <w:t>1953</w:t>
        </w:r>
        <w:r>
          <w:rPr>
            <w:noProof/>
            <w:webHidden/>
          </w:rPr>
          <w:fldChar w:fldCharType="end"/>
        </w:r>
      </w:hyperlink>
    </w:p>
    <w:p>
      <w:pPr>
        <w:pStyle w:val="TOC2"/>
      </w:pPr>
      <w:hyperlink w:anchor="_Toc300001780" w:history="1">
        <w:r>
          <w:rPr>
            <w:noProof/>
          </w:rPr>
          <w:t xml:space="preserve">Article 47.6: Scenario Repository and Pre-Negotiated Playbooks</w:t>
        </w:r>
        <w:r>
          <w:rPr>
            <w:noProof/>
            <w:webHidden/>
          </w:rPr>
          <w:tab/>
        </w:r>
        <w:r>
          <w:rPr>
            <w:noProof/>
            <w:webHidden/>
          </w:rPr>
          <w:fldChar w:fldCharType="begin"/>
        </w:r>
        <w:r>
          <w:rPr>
            <w:noProof/>
            <w:webHidden/>
          </w:rPr>
          <w:instrText xml:space="preserve"> PAGEREF _Toc300001780 \h </w:instrText>
        </w:r>
        <w:r>
          <w:rPr>
            <w:noProof/>
            <w:webHidden/>
          </w:rPr>
          <w:fldChar w:fldCharType="separate"/>
        </w:r>
        <w:r>
          <w:rPr>
            <w:noProof/>
            <w:webHidden/>
          </w:rPr>
          <w:t>1953</w:t>
        </w:r>
        <w:r>
          <w:rPr>
            <w:noProof/>
            <w:webHidden/>
          </w:rPr>
          <w:fldChar w:fldCharType="end"/>
        </w:r>
      </w:hyperlink>
    </w:p>
    <w:p>
      <w:pPr>
        <w:pStyle w:val="TOC2"/>
      </w:pPr>
      <w:hyperlink w:anchor="_Toc300001781" w:history="1">
        <w:r>
          <w:rPr>
            <w:noProof/>
          </w:rPr>
          <w:t xml:space="preserve">Article 47.7: Pilot Mechanism</w:t>
        </w:r>
        <w:r>
          <w:rPr>
            <w:noProof/>
            <w:webHidden/>
          </w:rPr>
          <w:tab/>
        </w:r>
        <w:r>
          <w:rPr>
            <w:noProof/>
            <w:webHidden/>
          </w:rPr>
          <w:fldChar w:fldCharType="begin"/>
        </w:r>
        <w:r>
          <w:rPr>
            <w:noProof/>
            <w:webHidden/>
          </w:rPr>
          <w:instrText xml:space="preserve"> PAGEREF _Toc300001781 \h </w:instrText>
        </w:r>
        <w:r>
          <w:rPr>
            <w:noProof/>
            <w:webHidden/>
          </w:rPr>
          <w:fldChar w:fldCharType="separate"/>
        </w:r>
        <w:r>
          <w:rPr>
            <w:noProof/>
            <w:webHidden/>
          </w:rPr>
          <w:t>1953</w:t>
        </w:r>
        <w:r>
          <w:rPr>
            <w:noProof/>
            <w:webHidden/>
          </w:rPr>
          <w:fldChar w:fldCharType="end"/>
        </w:r>
      </w:hyperlink>
    </w:p>
    <w:p>
      <w:pPr>
        <w:pStyle w:val="TOC2"/>
      </w:pPr>
      <w:hyperlink w:anchor="_Toc300001782" w:history="1">
        <w:r>
          <w:rPr>
            <w:noProof/>
          </w:rPr>
          <w:t xml:space="preserve">Article 47.8: Dormancy and Reactivation</w:t>
        </w:r>
        <w:r>
          <w:rPr>
            <w:noProof/>
            <w:webHidden/>
          </w:rPr>
          <w:tab/>
        </w:r>
        <w:r>
          <w:rPr>
            <w:noProof/>
            <w:webHidden/>
          </w:rPr>
          <w:fldChar w:fldCharType="begin"/>
        </w:r>
        <w:r>
          <w:rPr>
            <w:noProof/>
            <w:webHidden/>
          </w:rPr>
          <w:instrText xml:space="preserve"> PAGEREF _Toc300001782 \h </w:instrText>
        </w:r>
        <w:r>
          <w:rPr>
            <w:noProof/>
            <w:webHidden/>
          </w:rPr>
          <w:fldChar w:fldCharType="separate"/>
        </w:r>
        <w:r>
          <w:rPr>
            <w:noProof/>
            <w:webHidden/>
          </w:rPr>
          <w:t>1954</w:t>
        </w:r>
        <w:r>
          <w:rPr>
            <w:noProof/>
            <w:webHidden/>
          </w:rPr>
          <w:fldChar w:fldCharType="end"/>
        </w:r>
      </w:hyperlink>
    </w:p>
    <w:p>
      <w:pPr>
        <w:pStyle w:val="TOC2"/>
      </w:pPr>
      <w:hyperlink w:anchor="_Toc300001783" w:history="1">
        <w:r>
          <w:rPr>
            <w:noProof/>
          </w:rPr>
          <w:t xml:space="preserve">Article 47.9: Personnel and Knowledge Continuity</w:t>
        </w:r>
        <w:r>
          <w:rPr>
            <w:noProof/>
            <w:webHidden/>
          </w:rPr>
          <w:tab/>
        </w:r>
        <w:r>
          <w:rPr>
            <w:noProof/>
            <w:webHidden/>
          </w:rPr>
          <w:fldChar w:fldCharType="begin"/>
        </w:r>
        <w:r>
          <w:rPr>
            <w:noProof/>
            <w:webHidden/>
          </w:rPr>
          <w:instrText xml:space="preserve"> PAGEREF _Toc300001783 \h </w:instrText>
        </w:r>
        <w:r>
          <w:rPr>
            <w:noProof/>
            <w:webHidden/>
          </w:rPr>
          <w:fldChar w:fldCharType="separate"/>
        </w:r>
        <w:r>
          <w:rPr>
            <w:noProof/>
            <w:webHidden/>
          </w:rPr>
          <w:t>1954</w:t>
        </w:r>
        <w:r>
          <w:rPr>
            <w:noProof/>
            <w:webHidden/>
          </w:rPr>
          <w:fldChar w:fldCharType="end"/>
        </w:r>
      </w:hyperlink>
    </w:p>
    <w:p>
      <w:pPr>
        <w:pStyle w:val="TOC2"/>
      </w:pPr>
      <w:hyperlink w:anchor="_Toc300001784" w:history="1">
        <w:r>
          <w:rPr>
            <w:noProof/>
          </w:rPr>
          <w:t xml:space="preserve">Article 47.10: Administrative Burden Audit</w:t>
        </w:r>
        <w:r>
          <w:rPr>
            <w:noProof/>
            <w:webHidden/>
          </w:rPr>
          <w:tab/>
        </w:r>
        <w:r>
          <w:rPr>
            <w:noProof/>
            <w:webHidden/>
          </w:rPr>
          <w:fldChar w:fldCharType="begin"/>
        </w:r>
        <w:r>
          <w:rPr>
            <w:noProof/>
            <w:webHidden/>
          </w:rPr>
          <w:instrText xml:space="preserve"> PAGEREF _Toc300001784 \h </w:instrText>
        </w:r>
        <w:r>
          <w:rPr>
            <w:noProof/>
            <w:webHidden/>
          </w:rPr>
          <w:fldChar w:fldCharType="separate"/>
        </w:r>
        <w:r>
          <w:rPr>
            <w:noProof/>
            <w:webHidden/>
          </w:rPr>
          <w:t>1954</w:t>
        </w:r>
        <w:r>
          <w:rPr>
            <w:noProof/>
            <w:webHidden/>
          </w:rPr>
          <w:fldChar w:fldCharType="end"/>
        </w:r>
      </w:hyperlink>
    </w:p>
    <w:p>
      <w:pPr>
        <w:pStyle w:val="TOC2"/>
      </w:pPr>
      <w:hyperlink w:anchor="_Toc300001785" w:history="1">
        <w:r>
          <w:rPr>
            <w:noProof/>
          </w:rPr>
          <w:t xml:space="preserve">Article 47.11: Routine, Standard, and Emergency Administrative Decisions</w:t>
        </w:r>
        <w:r>
          <w:rPr>
            <w:noProof/>
            <w:webHidden/>
          </w:rPr>
          <w:tab/>
        </w:r>
        <w:r>
          <w:rPr>
            <w:noProof/>
            <w:webHidden/>
          </w:rPr>
          <w:fldChar w:fldCharType="begin"/>
        </w:r>
        <w:r>
          <w:rPr>
            <w:noProof/>
            <w:webHidden/>
          </w:rPr>
          <w:instrText xml:space="preserve"> PAGEREF _Toc300001785 \h </w:instrText>
        </w:r>
        <w:r>
          <w:rPr>
            <w:noProof/>
            <w:webHidden/>
          </w:rPr>
          <w:fldChar w:fldCharType="separate"/>
        </w:r>
        <w:r>
          <w:rPr>
            <w:noProof/>
            <w:webHidden/>
          </w:rPr>
          <w:t>1955</w:t>
        </w:r>
        <w:r>
          <w:rPr>
            <w:noProof/>
            <w:webHidden/>
          </w:rPr>
          <w:fldChar w:fldCharType="end"/>
        </w:r>
      </w:hyperlink>
    </w:p>
    <w:p>
      <w:pPr>
        <w:pStyle w:val="TOC2"/>
      </w:pPr>
      <w:hyperlink w:anchor="_Toc300001786" w:history="1">
        <w:r>
          <w:rPr>
            <w:noProof/>
          </w:rPr>
          <w:t xml:space="preserve">Article 47.12: Treaty Resilience Exercises</w:t>
        </w:r>
        <w:r>
          <w:rPr>
            <w:noProof/>
            <w:webHidden/>
          </w:rPr>
          <w:tab/>
        </w:r>
        <w:r>
          <w:rPr>
            <w:noProof/>
            <w:webHidden/>
          </w:rPr>
          <w:fldChar w:fldCharType="begin"/>
        </w:r>
        <w:r>
          <w:rPr>
            <w:noProof/>
            <w:webHidden/>
          </w:rPr>
          <w:instrText xml:space="preserve"> PAGEREF _Toc300001786 \h </w:instrText>
        </w:r>
        <w:r>
          <w:rPr>
            <w:noProof/>
            <w:webHidden/>
          </w:rPr>
          <w:fldChar w:fldCharType="separate"/>
        </w:r>
        <w:r>
          <w:rPr>
            <w:noProof/>
            <w:webHidden/>
          </w:rPr>
          <w:t>1955</w:t>
        </w:r>
        <w:r>
          <w:rPr>
            <w:noProof/>
            <w:webHidden/>
          </w:rPr>
          <w:fldChar w:fldCharType="end"/>
        </w:r>
      </w:hyperlink>
    </w:p>
    <w:p>
      <w:pPr>
        <w:pStyle w:val="TOC2"/>
      </w:pPr>
      <w:hyperlink w:anchor="_Toc300001787" w:history="1">
        <w:r>
          <w:rPr>
            <w:noProof/>
          </w:rPr>
          <w:t xml:space="preserve">Article 47.13: Post-Crisis Reconstitution</w:t>
        </w:r>
        <w:r>
          <w:rPr>
            <w:noProof/>
            <w:webHidden/>
          </w:rPr>
          <w:tab/>
        </w:r>
        <w:r>
          <w:rPr>
            <w:noProof/>
            <w:webHidden/>
          </w:rPr>
          <w:fldChar w:fldCharType="begin"/>
        </w:r>
        <w:r>
          <w:rPr>
            <w:noProof/>
            <w:webHidden/>
          </w:rPr>
          <w:instrText xml:space="preserve"> PAGEREF _Toc300001787 \h </w:instrText>
        </w:r>
        <w:r>
          <w:rPr>
            <w:noProof/>
            <w:webHidden/>
          </w:rPr>
          <w:fldChar w:fldCharType="separate"/>
        </w:r>
        <w:r>
          <w:rPr>
            <w:noProof/>
            <w:webHidden/>
          </w:rPr>
          <w:t>1955</w:t>
        </w:r>
        <w:r>
          <w:rPr>
            <w:noProof/>
            <w:webHidden/>
          </w:rPr>
          <w:fldChar w:fldCharType="end"/>
        </w:r>
      </w:hyperlink>
    </w:p>
    <w:p>
      <w:pPr>
        <w:pStyle w:val="TOC1"/>
      </w:pPr>
      <w:hyperlink w:anchor="_Toc300001788" w:history="1">
        <w:r>
          <w:rPr>
            <w:noProof/>
          </w:rPr>
          <w:t xml:space="preserve">PACKAGE K: NORTH AMERICAN MARKET-ACCESS AND ECONOMIC-SECURITY INCENTIVES</w:t>
        </w:r>
        <w:r>
          <w:rPr>
            <w:noProof/>
            <w:webHidden/>
          </w:rPr>
          <w:tab/>
        </w:r>
        <w:r>
          <w:rPr>
            <w:noProof/>
            <w:webHidden/>
          </w:rPr>
          <w:fldChar w:fldCharType="begin"/>
        </w:r>
        <w:r>
          <w:rPr>
            <w:noProof/>
            <w:webHidden/>
          </w:rPr>
          <w:instrText xml:space="preserve"> PAGEREF _Toc300001788 \h </w:instrText>
        </w:r>
        <w:r>
          <w:rPr>
            <w:noProof/>
            <w:webHidden/>
          </w:rPr>
          <w:fldChar w:fldCharType="separate"/>
        </w:r>
        <w:r>
          <w:rPr>
            <w:noProof/>
            <w:webHidden/>
          </w:rPr>
          <w:t>1956</w:t>
        </w:r>
        <w:r>
          <w:rPr>
            <w:noProof/>
            <w:webHidden/>
          </w:rPr>
          <w:fldChar w:fldCharType="end"/>
        </w:r>
      </w:hyperlink>
    </w:p>
    <w:p>
      <w:pPr>
        <w:pStyle w:val="TOC2"/>
      </w:pPr>
      <w:hyperlink w:anchor="_Toc300001789" w:history="1">
        <w:r>
          <w:rPr>
            <w:noProof/>
          </w:rPr>
          <w:t xml:space="preserve">Article 47.14: Protected Core Functions and Minimum Institutional Continuity Fund</w:t>
        </w:r>
        <w:r>
          <w:rPr>
            <w:noProof/>
            <w:webHidden/>
          </w:rPr>
          <w:tab/>
        </w:r>
        <w:r>
          <w:rPr>
            <w:noProof/>
            <w:webHidden/>
          </w:rPr>
          <w:fldChar w:fldCharType="begin"/>
        </w:r>
        <w:r>
          <w:rPr>
            <w:noProof/>
            <w:webHidden/>
          </w:rPr>
          <w:instrText xml:space="preserve"> PAGEREF _Toc300001789 \h </w:instrText>
        </w:r>
        <w:r>
          <w:rPr>
            <w:noProof/>
            <w:webHidden/>
          </w:rPr>
          <w:fldChar w:fldCharType="separate"/>
        </w:r>
        <w:r>
          <w:rPr>
            <w:noProof/>
            <w:webHidden/>
          </w:rPr>
          <w:t>1958</w:t>
        </w:r>
        <w:r>
          <w:rPr>
            <w:noProof/>
            <w:webHidden/>
          </w:rPr>
          <w:fldChar w:fldCharType="end"/>
        </w:r>
      </w:hyperlink>
    </w:p>
    <w:p>
      <w:pPr>
        <w:pStyle w:val="TOC2"/>
      </w:pPr>
      <w:hyperlink w:anchor="_Toc300001790" w:history="1">
        <w:r>
          <w:rPr>
            <w:noProof/>
          </w:rPr>
          <w:t xml:space="preserve">Article 47.15: Secretariat Integrity, Distributed Custody, and Operational Auditability</w:t>
        </w:r>
        <w:r>
          <w:rPr>
            <w:noProof/>
            <w:webHidden/>
          </w:rPr>
          <w:tab/>
        </w:r>
        <w:r>
          <w:rPr>
            <w:noProof/>
            <w:webHidden/>
          </w:rPr>
          <w:fldChar w:fldCharType="begin"/>
        </w:r>
        <w:r>
          <w:rPr>
            <w:noProof/>
            <w:webHidden/>
          </w:rPr>
          <w:instrText xml:space="preserve"> PAGEREF _Toc300001790 \h </w:instrText>
        </w:r>
        <w:r>
          <w:rPr>
            <w:noProof/>
            <w:webHidden/>
          </w:rPr>
          <w:fldChar w:fldCharType="separate"/>
        </w:r>
        <w:r>
          <w:rPr>
            <w:noProof/>
            <w:webHidden/>
          </w:rPr>
          <w:t>1958</w:t>
        </w:r>
        <w:r>
          <w:rPr>
            <w:noProof/>
            <w:webHidden/>
          </w:rPr>
          <w:fldChar w:fldCharType="end"/>
        </w:r>
      </w:hyperlink>
    </w:p>
    <w:p>
      <w:pPr>
        <w:pStyle w:val="TOC2"/>
      </w:pPr>
      <w:hyperlink w:anchor="_Toc300001791" w:history="1">
        <w:r>
          <w:rPr>
            <w:noProof/>
          </w:rPr>
          <w:t xml:space="preserve">Article 47.16: Institutional Safe Mode and No-Benefit-from-Outage Rule</w:t>
        </w:r>
        <w:r>
          <w:rPr>
            <w:noProof/>
            <w:webHidden/>
          </w:rPr>
          <w:tab/>
        </w:r>
        <w:r>
          <w:rPr>
            <w:noProof/>
            <w:webHidden/>
          </w:rPr>
          <w:fldChar w:fldCharType="begin"/>
        </w:r>
        <w:r>
          <w:rPr>
            <w:noProof/>
            <w:webHidden/>
          </w:rPr>
          <w:instrText xml:space="preserve"> PAGEREF _Toc300001791 \h </w:instrText>
        </w:r>
        <w:r>
          <w:rPr>
            <w:noProof/>
            <w:webHidden/>
          </w:rPr>
          <w:fldChar w:fldCharType="separate"/>
        </w:r>
        <w:r>
          <w:rPr>
            <w:noProof/>
            <w:webHidden/>
          </w:rPr>
          <w:t>1958</w:t>
        </w:r>
        <w:r>
          <w:rPr>
            <w:noProof/>
            <w:webHidden/>
          </w:rPr>
          <w:fldChar w:fldCharType="end"/>
        </w:r>
      </w:hyperlink>
    </w:p>
    <w:p>
      <w:pPr>
        <w:pStyle w:val="TOC2"/>
      </w:pPr>
      <w:hyperlink w:anchor="_Toc300001792" w:history="1">
        <w:r>
          <w:rPr>
            <w:noProof/>
          </w:rPr>
          <w:t xml:space="preserve">Article 47.17: Administrative Reliance, Government Error, and Data Portability</w:t>
        </w:r>
        <w:r>
          <w:rPr>
            <w:noProof/>
            <w:webHidden/>
          </w:rPr>
          <w:tab/>
        </w:r>
        <w:r>
          <w:rPr>
            <w:noProof/>
            <w:webHidden/>
          </w:rPr>
          <w:fldChar w:fldCharType="begin"/>
        </w:r>
        <w:r>
          <w:rPr>
            <w:noProof/>
            <w:webHidden/>
          </w:rPr>
          <w:instrText xml:space="preserve"> PAGEREF _Toc300001792 \h </w:instrText>
        </w:r>
        <w:r>
          <w:rPr>
            <w:noProof/>
            <w:webHidden/>
          </w:rPr>
          <w:fldChar w:fldCharType="separate"/>
        </w:r>
        <w:r>
          <w:rPr>
            <w:noProof/>
            <w:webHidden/>
          </w:rPr>
          <w:t>1959</w:t>
        </w:r>
        <w:r>
          <w:rPr>
            <w:noProof/>
            <w:webHidden/>
          </w:rPr>
          <w:fldChar w:fldCharType="end"/>
        </w:r>
      </w:hyperlink>
    </w:p>
    <w:p>
      <w:pPr>
        <w:pStyle w:val="TOC2"/>
      </w:pPr>
      <w:hyperlink w:anchor="_Toc300001793" w:history="1">
        <w:r>
          <w:rPr>
            <w:noProof/>
          </w:rPr>
          <w:t xml:space="preserve">Article 47.18: Automated Administration Symmetry and Algorithmic Accountability</w:t>
        </w:r>
        <w:r>
          <w:rPr>
            <w:noProof/>
            <w:webHidden/>
          </w:rPr>
          <w:tab/>
        </w:r>
        <w:r>
          <w:rPr>
            <w:noProof/>
            <w:webHidden/>
          </w:rPr>
          <w:fldChar w:fldCharType="begin"/>
        </w:r>
        <w:r>
          <w:rPr>
            <w:noProof/>
            <w:webHidden/>
          </w:rPr>
          <w:instrText xml:space="preserve"> PAGEREF _Toc300001793 \h </w:instrText>
        </w:r>
        <w:r>
          <w:rPr>
            <w:noProof/>
            <w:webHidden/>
          </w:rPr>
          <w:fldChar w:fldCharType="separate"/>
        </w:r>
        <w:r>
          <w:rPr>
            <w:noProof/>
            <w:webHidden/>
          </w:rPr>
          <w:t>1959</w:t>
        </w:r>
        <w:r>
          <w:rPr>
            <w:noProof/>
            <w:webHidden/>
          </w:rPr>
          <w:fldChar w:fldCharType="end"/>
        </w:r>
      </w:hyperlink>
    </w:p>
    <w:p>
      <w:pPr>
        <w:pStyle w:val="TOC1"/>
      </w:pPr>
      <w:hyperlink w:anchor="_Toc300001794" w:history="1">
        <w:r>
          <w:rPr>
            <w:noProof/>
          </w:rPr>
          <w:t xml:space="preserve">CHAPTER 48 REVIEW STABILITY, IMPLEMENTATION, AND COMPETITIVENESS</w:t>
        </w:r>
        <w:r>
          <w:rPr>
            <w:noProof/>
            <w:webHidden/>
          </w:rPr>
          <w:tab/>
        </w:r>
        <w:r>
          <w:rPr>
            <w:noProof/>
            <w:webHidden/>
          </w:rPr>
          <w:fldChar w:fldCharType="begin"/>
        </w:r>
        <w:r>
          <w:rPr>
            <w:noProof/>
            <w:webHidden/>
          </w:rPr>
          <w:instrText xml:space="preserve"> PAGEREF _Toc300001794 \h </w:instrText>
        </w:r>
        <w:r>
          <w:rPr>
            <w:noProof/>
            <w:webHidden/>
          </w:rPr>
          <w:fldChar w:fldCharType="separate"/>
        </w:r>
        <w:r>
          <w:rPr>
            <w:noProof/>
            <w:webHidden/>
          </w:rPr>
          <w:t>1960</w:t>
        </w:r>
        <w:r>
          <w:rPr>
            <w:noProof/>
            <w:webHidden/>
          </w:rPr>
          <w:fldChar w:fldCharType="end"/>
        </w:r>
      </w:hyperlink>
    </w:p>
    <w:p>
      <w:pPr>
        <w:pStyle w:val="TOC2"/>
      </w:pPr>
      <w:hyperlink w:anchor="_Toc300001795" w:history="1">
        <w:r>
          <w:rPr>
            <w:noProof/>
          </w:rPr>
          <w:t xml:space="preserve">Article 48.1: Structured Joint Review Protocol</w:t>
        </w:r>
        <w:r>
          <w:rPr>
            <w:noProof/>
            <w:webHidden/>
          </w:rPr>
          <w:tab/>
        </w:r>
        <w:r>
          <w:rPr>
            <w:noProof/>
            <w:webHidden/>
          </w:rPr>
          <w:fldChar w:fldCharType="begin"/>
        </w:r>
        <w:r>
          <w:rPr>
            <w:noProof/>
            <w:webHidden/>
          </w:rPr>
          <w:instrText xml:space="preserve"> PAGEREF _Toc300001795 \h </w:instrText>
        </w:r>
        <w:r>
          <w:rPr>
            <w:noProof/>
            <w:webHidden/>
          </w:rPr>
          <w:fldChar w:fldCharType="separate"/>
        </w:r>
        <w:r>
          <w:rPr>
            <w:noProof/>
            <w:webHidden/>
          </w:rPr>
          <w:t>1960</w:t>
        </w:r>
        <w:r>
          <w:rPr>
            <w:noProof/>
            <w:webHidden/>
          </w:rPr>
          <w:fldChar w:fldCharType="end"/>
        </w:r>
      </w:hyperlink>
    </w:p>
    <w:p>
      <w:pPr>
        <w:pStyle w:val="TOC2"/>
      </w:pPr>
      <w:hyperlink w:anchor="_Toc300001796" w:history="1">
        <w:r>
          <w:rPr>
            <w:noProof/>
          </w:rPr>
          <w:t xml:space="preserve">Article 48.2: Multi-Year Joint Work Plans</w:t>
        </w:r>
        <w:r>
          <w:rPr>
            <w:noProof/>
            <w:webHidden/>
          </w:rPr>
          <w:tab/>
        </w:r>
        <w:r>
          <w:rPr>
            <w:noProof/>
            <w:webHidden/>
          </w:rPr>
          <w:fldChar w:fldCharType="begin"/>
        </w:r>
        <w:r>
          <w:rPr>
            <w:noProof/>
            <w:webHidden/>
          </w:rPr>
          <w:instrText xml:space="preserve"> PAGEREF _Toc300001796 \h </w:instrText>
        </w:r>
        <w:r>
          <w:rPr>
            <w:noProof/>
            <w:webHidden/>
          </w:rPr>
          <w:fldChar w:fldCharType="separate"/>
        </w:r>
        <w:r>
          <w:rPr>
            <w:noProof/>
            <w:webHidden/>
          </w:rPr>
          <w:t>1960</w:t>
        </w:r>
        <w:r>
          <w:rPr>
            <w:noProof/>
            <w:webHidden/>
          </w:rPr>
          <w:fldChar w:fldCharType="end"/>
        </w:r>
      </w:hyperlink>
    </w:p>
    <w:p>
      <w:pPr>
        <w:pStyle w:val="TOC2"/>
      </w:pPr>
      <w:hyperlink w:anchor="_Toc300001797" w:history="1">
        <w:r>
          <w:rPr>
            <w:noProof/>
          </w:rPr>
          <w:t xml:space="preserve">Article 48.3: Review Predictability and Investment Reliance</w:t>
        </w:r>
        <w:r>
          <w:rPr>
            <w:noProof/>
            <w:webHidden/>
          </w:rPr>
          <w:tab/>
        </w:r>
        <w:r>
          <w:rPr>
            <w:noProof/>
            <w:webHidden/>
          </w:rPr>
          <w:fldChar w:fldCharType="begin"/>
        </w:r>
        <w:r>
          <w:rPr>
            <w:noProof/>
            <w:webHidden/>
          </w:rPr>
          <w:instrText xml:space="preserve"> PAGEREF _Toc300001797 \h </w:instrText>
        </w:r>
        <w:r>
          <w:rPr>
            <w:noProof/>
            <w:webHidden/>
          </w:rPr>
          <w:fldChar w:fldCharType="separate"/>
        </w:r>
        <w:r>
          <w:rPr>
            <w:noProof/>
            <w:webHidden/>
          </w:rPr>
          <w:t>1960</w:t>
        </w:r>
        <w:r>
          <w:rPr>
            <w:noProof/>
            <w:webHidden/>
          </w:rPr>
          <w:fldChar w:fldCharType="end"/>
        </w:r>
      </w:hyperlink>
    </w:p>
    <w:p>
      <w:pPr>
        <w:pStyle w:val="TOC2"/>
      </w:pPr>
      <w:hyperlink w:anchor="_Toc300001798" w:history="1">
        <w:r>
          <w:rPr>
            <w:noProof/>
          </w:rPr>
          <w:t xml:space="preserve">Article 48.4: North American Competitiveness Advisory Forum</w:t>
        </w:r>
        <w:r>
          <w:rPr>
            <w:noProof/>
            <w:webHidden/>
          </w:rPr>
          <w:tab/>
        </w:r>
        <w:r>
          <w:rPr>
            <w:noProof/>
            <w:webHidden/>
          </w:rPr>
          <w:fldChar w:fldCharType="begin"/>
        </w:r>
        <w:r>
          <w:rPr>
            <w:noProof/>
            <w:webHidden/>
          </w:rPr>
          <w:instrText xml:space="preserve"> PAGEREF _Toc300001798 \h </w:instrText>
        </w:r>
        <w:r>
          <w:rPr>
            <w:noProof/>
            <w:webHidden/>
          </w:rPr>
          <w:fldChar w:fldCharType="separate"/>
        </w:r>
        <w:r>
          <w:rPr>
            <w:noProof/>
            <w:webHidden/>
          </w:rPr>
          <w:t>1960</w:t>
        </w:r>
        <w:r>
          <w:rPr>
            <w:noProof/>
            <w:webHidden/>
          </w:rPr>
          <w:fldChar w:fldCharType="end"/>
        </w:r>
      </w:hyperlink>
    </w:p>
    <w:p>
      <w:pPr>
        <w:pStyle w:val="TOC2"/>
      </w:pPr>
      <w:hyperlink w:anchor="_Toc300001799" w:history="1">
        <w:r>
          <w:rPr>
            <w:noProof/>
          </w:rPr>
          <w:t xml:space="preserve">Article 48.5: Review-Process Disputes</w:t>
        </w:r>
        <w:r>
          <w:rPr>
            <w:noProof/>
            <w:webHidden/>
          </w:rPr>
          <w:tab/>
        </w:r>
        <w:r>
          <w:rPr>
            <w:noProof/>
            <w:webHidden/>
          </w:rPr>
          <w:fldChar w:fldCharType="begin"/>
        </w:r>
        <w:r>
          <w:rPr>
            <w:noProof/>
            <w:webHidden/>
          </w:rPr>
          <w:instrText xml:space="preserve"> PAGEREF _Toc300001799 \h </w:instrText>
        </w:r>
        <w:r>
          <w:rPr>
            <w:noProof/>
            <w:webHidden/>
          </w:rPr>
          <w:fldChar w:fldCharType="separate"/>
        </w:r>
        <w:r>
          <w:rPr>
            <w:noProof/>
            <w:webHidden/>
          </w:rPr>
          <w:t>1961</w:t>
        </w:r>
        <w:r>
          <w:rPr>
            <w:noProof/>
            <w:webHidden/>
          </w:rPr>
          <w:fldChar w:fldCharType="end"/>
        </w:r>
      </w:hyperlink>
    </w:p>
    <w:p>
      <w:pPr>
        <w:pStyle w:val="TOC2"/>
      </w:pPr>
      <w:hyperlink w:anchor="_Toc300001800" w:history="1">
        <w:r>
          <w:rPr>
            <w:noProof/>
          </w:rPr>
          <w:t xml:space="preserve">Article 48.6: Trilateral Continuity, Mexico Parity, and Investment Reliance</w:t>
        </w:r>
        <w:r>
          <w:rPr>
            <w:noProof/>
            <w:webHidden/>
          </w:rPr>
          <w:tab/>
        </w:r>
        <w:r>
          <w:rPr>
            <w:noProof/>
            <w:webHidden/>
          </w:rPr>
          <w:fldChar w:fldCharType="begin"/>
        </w:r>
        <w:r>
          <w:rPr>
            <w:noProof/>
            <w:webHidden/>
          </w:rPr>
          <w:instrText xml:space="preserve"> PAGEREF _Toc300001800 \h </w:instrText>
        </w:r>
        <w:r>
          <w:rPr>
            <w:noProof/>
            <w:webHidden/>
          </w:rPr>
          <w:fldChar w:fldCharType="separate"/>
        </w:r>
        <w:r>
          <w:rPr>
            <w:noProof/>
            <w:webHidden/>
          </w:rPr>
          <w:t>1961</w:t>
        </w:r>
        <w:r>
          <w:rPr>
            <w:noProof/>
            <w:webHidden/>
          </w:rPr>
          <w:fldChar w:fldCharType="end"/>
        </w:r>
      </w:hyperlink>
    </w:p>
    <w:p>
      <w:pPr>
        <w:pStyle w:val="TOC1"/>
      </w:pPr>
      <w:hyperlink w:anchor="_Toc300001801" w:history="1">
        <w:r>
          <w:rPr>
            <w:noProof/>
          </w:rPr>
          <w:t xml:space="preserve">CHAPTER 49 SECTORAL MARKET ACCESS AND IMPLEMENTATION SAFEGUARDS</w:t>
        </w:r>
        <w:r>
          <w:rPr>
            <w:noProof/>
            <w:webHidden/>
          </w:rPr>
          <w:tab/>
        </w:r>
        <w:r>
          <w:rPr>
            <w:noProof/>
            <w:webHidden/>
          </w:rPr>
          <w:fldChar w:fldCharType="begin"/>
        </w:r>
        <w:r>
          <w:rPr>
            <w:noProof/>
            <w:webHidden/>
          </w:rPr>
          <w:instrText xml:space="preserve"> PAGEREF _Toc300001801 \h </w:instrText>
        </w:r>
        <w:r>
          <w:rPr>
            <w:noProof/>
            <w:webHidden/>
          </w:rPr>
          <w:fldChar w:fldCharType="separate"/>
        </w:r>
        <w:r>
          <w:rPr>
            <w:noProof/>
            <w:webHidden/>
          </w:rPr>
          <w:t>1962</w:t>
        </w:r>
        <w:r>
          <w:rPr>
            <w:noProof/>
            <w:webHidden/>
          </w:rPr>
          <w:fldChar w:fldCharType="end"/>
        </w:r>
      </w:hyperlink>
    </w:p>
    <w:p>
      <w:pPr>
        <w:pStyle w:val="TOC2"/>
      </w:pPr>
      <w:hyperlink w:anchor="_Toc300001802" w:history="1">
        <w:r>
          <w:rPr>
            <w:noProof/>
          </w:rPr>
          <w:t xml:space="preserve">Article 49.1: Originating Distilled Spirits, Zero Customs Duty</w:t>
        </w:r>
        <w:r>
          <w:rPr>
            <w:noProof/>
            <w:webHidden/>
          </w:rPr>
          <w:tab/>
        </w:r>
        <w:r>
          <w:rPr>
            <w:noProof/>
            <w:webHidden/>
          </w:rPr>
          <w:fldChar w:fldCharType="begin"/>
        </w:r>
        <w:r>
          <w:rPr>
            <w:noProof/>
            <w:webHidden/>
          </w:rPr>
          <w:instrText xml:space="preserve"> PAGEREF _Toc300001802 \h </w:instrText>
        </w:r>
        <w:r>
          <w:rPr>
            <w:noProof/>
            <w:webHidden/>
          </w:rPr>
          <w:fldChar w:fldCharType="separate"/>
        </w:r>
        <w:r>
          <w:rPr>
            <w:noProof/>
            <w:webHidden/>
          </w:rPr>
          <w:t>1962</w:t>
        </w:r>
        <w:r>
          <w:rPr>
            <w:noProof/>
            <w:webHidden/>
          </w:rPr>
          <w:fldChar w:fldCharType="end"/>
        </w:r>
      </w:hyperlink>
    </w:p>
    <w:p>
      <w:pPr>
        <w:pStyle w:val="TOC2"/>
      </w:pPr>
      <w:hyperlink w:anchor="_Toc300001803" w:history="1">
        <w:r>
          <w:rPr>
            <w:noProof/>
          </w:rPr>
          <w:t xml:space="preserve">Article 49.2: Alcohol Distribution Best-Practice Safe Harbor</w:t>
        </w:r>
        <w:r>
          <w:rPr>
            <w:noProof/>
            <w:webHidden/>
          </w:rPr>
          <w:tab/>
        </w:r>
        <w:r>
          <w:rPr>
            <w:noProof/>
            <w:webHidden/>
          </w:rPr>
          <w:fldChar w:fldCharType="begin"/>
        </w:r>
        <w:r>
          <w:rPr>
            <w:noProof/>
            <w:webHidden/>
          </w:rPr>
          <w:instrText xml:space="preserve"> PAGEREF _Toc300001803 \h </w:instrText>
        </w:r>
        <w:r>
          <w:rPr>
            <w:noProof/>
            <w:webHidden/>
          </w:rPr>
          <w:fldChar w:fldCharType="separate"/>
        </w:r>
        <w:r>
          <w:rPr>
            <w:noProof/>
            <w:webHidden/>
          </w:rPr>
          <w:t>1962</w:t>
        </w:r>
        <w:r>
          <w:rPr>
            <w:noProof/>
            <w:webHidden/>
          </w:rPr>
          <w:fldChar w:fldCharType="end"/>
        </w:r>
      </w:hyperlink>
    </w:p>
    <w:p>
      <w:pPr>
        <w:pStyle w:val="TOC2"/>
      </w:pPr>
      <w:hyperlink w:anchor="_Toc300001804" w:history="1">
        <w:r>
          <w:rPr>
            <w:noProof/>
          </w:rPr>
          <w:t xml:space="preserve">Article 49.3: Dairy TRQ Transparency and Transition</w:t>
        </w:r>
        <w:r>
          <w:rPr>
            <w:noProof/>
            <w:webHidden/>
          </w:rPr>
          <w:tab/>
        </w:r>
        <w:r>
          <w:rPr>
            <w:noProof/>
            <w:webHidden/>
          </w:rPr>
          <w:fldChar w:fldCharType="begin"/>
        </w:r>
        <w:r>
          <w:rPr>
            <w:noProof/>
            <w:webHidden/>
          </w:rPr>
          <w:instrText xml:space="preserve"> PAGEREF _Toc300001804 \h </w:instrText>
        </w:r>
        <w:r>
          <w:rPr>
            <w:noProof/>
            <w:webHidden/>
          </w:rPr>
          <w:fldChar w:fldCharType="separate"/>
        </w:r>
        <w:r>
          <w:rPr>
            <w:noProof/>
            <w:webHidden/>
          </w:rPr>
          <w:t>1962</w:t>
        </w:r>
        <w:r>
          <w:rPr>
            <w:noProof/>
            <w:webHidden/>
          </w:rPr>
          <w:fldChar w:fldCharType="end"/>
        </w:r>
      </w:hyperlink>
    </w:p>
    <w:p>
      <w:pPr>
        <w:pStyle w:val="TOC2"/>
      </w:pPr>
      <w:hyperlink w:anchor="_Toc300001805" w:history="1">
        <w:r>
          <w:rPr>
            <w:noProof/>
          </w:rPr>
          <w:t xml:space="preserve">Article 49.4: Automotive Rule Change Discipline</w:t>
        </w:r>
        <w:r>
          <w:rPr>
            <w:noProof/>
            <w:webHidden/>
          </w:rPr>
          <w:tab/>
        </w:r>
        <w:r>
          <w:rPr>
            <w:noProof/>
            <w:webHidden/>
          </w:rPr>
          <w:fldChar w:fldCharType="begin"/>
        </w:r>
        <w:r>
          <w:rPr>
            <w:noProof/>
            <w:webHidden/>
          </w:rPr>
          <w:instrText xml:space="preserve"> PAGEREF _Toc300001805 \h </w:instrText>
        </w:r>
        <w:r>
          <w:rPr>
            <w:noProof/>
            <w:webHidden/>
          </w:rPr>
          <w:fldChar w:fldCharType="separate"/>
        </w:r>
        <w:r>
          <w:rPr>
            <w:noProof/>
            <w:webHidden/>
          </w:rPr>
          <w:t>1963</w:t>
        </w:r>
        <w:r>
          <w:rPr>
            <w:noProof/>
            <w:webHidden/>
          </w:rPr>
          <w:fldChar w:fldCharType="end"/>
        </w:r>
      </w:hyperlink>
    </w:p>
    <w:p>
      <w:pPr>
        <w:pStyle w:val="TOC2"/>
      </w:pPr>
      <w:hyperlink w:anchor="_Toc300001806" w:history="1">
        <w:r>
          <w:rPr>
            <w:noProof/>
          </w:rPr>
          <w:t xml:space="preserve">Article 49.5: Originating Steel and Aluminum Security Presumption</w:t>
        </w:r>
        <w:r>
          <w:rPr>
            <w:noProof/>
            <w:webHidden/>
          </w:rPr>
          <w:tab/>
        </w:r>
        <w:r>
          <w:rPr>
            <w:noProof/>
            <w:webHidden/>
          </w:rPr>
          <w:fldChar w:fldCharType="begin"/>
        </w:r>
        <w:r>
          <w:rPr>
            <w:noProof/>
            <w:webHidden/>
          </w:rPr>
          <w:instrText xml:space="preserve"> PAGEREF _Toc300001806 \h </w:instrText>
        </w:r>
        <w:r>
          <w:rPr>
            <w:noProof/>
            <w:webHidden/>
          </w:rPr>
          <w:fldChar w:fldCharType="separate"/>
        </w:r>
        <w:r>
          <w:rPr>
            <w:noProof/>
            <w:webHidden/>
          </w:rPr>
          <w:t>1963</w:t>
        </w:r>
        <w:r>
          <w:rPr>
            <w:noProof/>
            <w:webHidden/>
          </w:rPr>
          <w:fldChar w:fldCharType="end"/>
        </w:r>
      </w:hyperlink>
    </w:p>
    <w:p>
      <w:pPr>
        <w:pStyle w:val="TOC2"/>
      </w:pPr>
      <w:hyperlink w:anchor="_Toc300001807" w:history="1">
        <w:r>
          <w:rPr>
            <w:noProof/>
          </w:rPr>
          <w:t xml:space="preserve">Article 49.6: Public Procurement and Sovereign Cloud</w:t>
        </w:r>
        <w:r>
          <w:rPr>
            <w:noProof/>
            <w:webHidden/>
          </w:rPr>
          <w:tab/>
        </w:r>
        <w:r>
          <w:rPr>
            <w:noProof/>
            <w:webHidden/>
          </w:rPr>
          <w:fldChar w:fldCharType="begin"/>
        </w:r>
        <w:r>
          <w:rPr>
            <w:noProof/>
            <w:webHidden/>
          </w:rPr>
          <w:instrText xml:space="preserve"> PAGEREF _Toc300001807 \h </w:instrText>
        </w:r>
        <w:r>
          <w:rPr>
            <w:noProof/>
            <w:webHidden/>
          </w:rPr>
          <w:fldChar w:fldCharType="separate"/>
        </w:r>
        <w:r>
          <w:rPr>
            <w:noProof/>
            <w:webHidden/>
          </w:rPr>
          <w:t>1963</w:t>
        </w:r>
        <w:r>
          <w:rPr>
            <w:noProof/>
            <w:webHidden/>
          </w:rPr>
          <w:fldChar w:fldCharType="end"/>
        </w:r>
      </w:hyperlink>
    </w:p>
    <w:p>
      <w:pPr>
        <w:pStyle w:val="TOC2"/>
      </w:pPr>
      <w:hyperlink w:anchor="_Toc300001808" w:history="1">
        <w:r>
          <w:rPr>
            <w:noProof/>
          </w:rPr>
          <w:t xml:space="preserve">Article 49.7: North American Strategic Procurement Reciprocity Framework</w:t>
        </w:r>
        <w:r>
          <w:rPr>
            <w:noProof/>
            <w:webHidden/>
          </w:rPr>
          <w:tab/>
        </w:r>
        <w:r>
          <w:rPr>
            <w:noProof/>
            <w:webHidden/>
          </w:rPr>
          <w:fldChar w:fldCharType="begin"/>
        </w:r>
        <w:r>
          <w:rPr>
            <w:noProof/>
            <w:webHidden/>
          </w:rPr>
          <w:instrText xml:space="preserve"> PAGEREF _Toc300001808 \h </w:instrText>
        </w:r>
        <w:r>
          <w:rPr>
            <w:noProof/>
            <w:webHidden/>
          </w:rPr>
          <w:fldChar w:fldCharType="separate"/>
        </w:r>
        <w:r>
          <w:rPr>
            <w:noProof/>
            <w:webHidden/>
          </w:rPr>
          <w:t>1964</w:t>
        </w:r>
        <w:r>
          <w:rPr>
            <w:noProof/>
            <w:webHidden/>
          </w:rPr>
          <w:fldChar w:fldCharType="end"/>
        </w:r>
      </w:hyperlink>
    </w:p>
    <w:p>
      <w:pPr>
        <w:pStyle w:val="TOC2"/>
      </w:pPr>
      <w:hyperlink w:anchor="_Toc300001809" w:history="1">
        <w:r>
          <w:rPr>
            <w:noProof/>
          </w:rPr>
          <w:t xml:space="preserve">Article 49.7A: Reciprocal Procurement Compact and Practical-Opportunity Principle</w:t>
        </w:r>
        <w:r>
          <w:rPr>
            <w:noProof/>
            <w:webHidden/>
          </w:rPr>
          <w:tab/>
        </w:r>
        <w:r>
          <w:rPr>
            <w:noProof/>
            <w:webHidden/>
          </w:rPr>
          <w:fldChar w:fldCharType="begin"/>
        </w:r>
        <w:r>
          <w:rPr>
            <w:noProof/>
            <w:webHidden/>
          </w:rPr>
          <w:instrText xml:space="preserve"> PAGEREF _Toc300001809 \h </w:instrText>
        </w:r>
        <w:r>
          <w:rPr>
            <w:noProof/>
            <w:webHidden/>
          </w:rPr>
          <w:fldChar w:fldCharType="separate"/>
        </w:r>
        <w:r>
          <w:rPr>
            <w:noProof/>
            <w:webHidden/>
          </w:rPr>
          <w:t>1964</w:t>
        </w:r>
        <w:r>
          <w:rPr>
            <w:noProof/>
            <w:webHidden/>
          </w:rPr>
          <w:fldChar w:fldCharType="end"/>
        </w:r>
      </w:hyperlink>
    </w:p>
    <w:p>
      <w:pPr>
        <w:pStyle w:val="TOC2"/>
      </w:pPr>
      <w:hyperlink w:anchor="_Toc300001810" w:history="1">
        <w:r>
          <w:rPr>
            <w:noProof/>
          </w:rPr>
          <w:t xml:space="preserve">Article 49.7B: Effective Accessible Procurement Value and Value-Equivalence Test</w:t>
        </w:r>
        <w:r>
          <w:rPr>
            <w:noProof/>
            <w:webHidden/>
          </w:rPr>
          <w:tab/>
        </w:r>
        <w:r>
          <w:rPr>
            <w:noProof/>
            <w:webHidden/>
          </w:rPr>
          <w:fldChar w:fldCharType="begin"/>
        </w:r>
        <w:r>
          <w:rPr>
            <w:noProof/>
            <w:webHidden/>
          </w:rPr>
          <w:instrText xml:space="preserve"> PAGEREF _Toc300001810 \h </w:instrText>
        </w:r>
        <w:r>
          <w:rPr>
            <w:noProof/>
            <w:webHidden/>
          </w:rPr>
          <w:fldChar w:fldCharType="separate"/>
        </w:r>
        <w:r>
          <w:rPr>
            <w:noProof/>
            <w:webHidden/>
          </w:rPr>
          <w:t>1965</w:t>
        </w:r>
        <w:r>
          <w:rPr>
            <w:noProof/>
            <w:webHidden/>
          </w:rPr>
          <w:fldChar w:fldCharType="end"/>
        </w:r>
      </w:hyperlink>
    </w:p>
    <w:p>
      <w:pPr>
        <w:pStyle w:val="TOC2"/>
      </w:pPr>
      <w:hyperlink w:anchor="_Toc300001811" w:history="1">
        <w:r>
          <w:rPr>
            <w:noProof/>
          </w:rPr>
          <w:t xml:space="preserve">Article 49.7C: Reciprocity Bands, Rebalancing, and Earn-Back</w:t>
        </w:r>
        <w:r>
          <w:rPr>
            <w:noProof/>
            <w:webHidden/>
          </w:rPr>
          <w:tab/>
        </w:r>
        <w:r>
          <w:rPr>
            <w:noProof/>
            <w:webHidden/>
          </w:rPr>
          <w:fldChar w:fldCharType="begin"/>
        </w:r>
        <w:r>
          <w:rPr>
            <w:noProof/>
            <w:webHidden/>
          </w:rPr>
          <w:instrText xml:space="preserve"> PAGEREF _Toc300001811 \h </w:instrText>
        </w:r>
        <w:r>
          <w:rPr>
            <w:noProof/>
            <w:webHidden/>
          </w:rPr>
          <w:fldChar w:fldCharType="separate"/>
        </w:r>
        <w:r>
          <w:rPr>
            <w:noProof/>
            <w:webHidden/>
          </w:rPr>
          <w:t>1965</w:t>
        </w:r>
        <w:r>
          <w:rPr>
            <w:noProof/>
            <w:webHidden/>
          </w:rPr>
          <w:fldChar w:fldCharType="end"/>
        </w:r>
      </w:hyperlink>
    </w:p>
    <w:p>
      <w:pPr>
        <w:pStyle w:val="TOC2"/>
      </w:pPr>
      <w:hyperlink w:anchor="_Toc300001812" w:history="1">
        <w:r>
          <w:rPr>
            <w:noProof/>
          </w:rPr>
          <w:t xml:space="preserve">Article 49.7D: North American SME Procurement Passport and Opportunity Discovery</w:t>
        </w:r>
        <w:r>
          <w:rPr>
            <w:noProof/>
            <w:webHidden/>
          </w:rPr>
          <w:tab/>
        </w:r>
        <w:r>
          <w:rPr>
            <w:noProof/>
            <w:webHidden/>
          </w:rPr>
          <w:fldChar w:fldCharType="begin"/>
        </w:r>
        <w:r>
          <w:rPr>
            <w:noProof/>
            <w:webHidden/>
          </w:rPr>
          <w:instrText xml:space="preserve"> PAGEREF _Toc300001812 \h </w:instrText>
        </w:r>
        <w:r>
          <w:rPr>
            <w:noProof/>
            <w:webHidden/>
          </w:rPr>
          <w:fldChar w:fldCharType="separate"/>
        </w:r>
        <w:r>
          <w:rPr>
            <w:noProof/>
            <w:webHidden/>
          </w:rPr>
          <w:t>1966</w:t>
        </w:r>
        <w:r>
          <w:rPr>
            <w:noProof/>
            <w:webHidden/>
          </w:rPr>
          <w:fldChar w:fldCharType="end"/>
        </w:r>
      </w:hyperlink>
    </w:p>
    <w:p>
      <w:pPr>
        <w:pStyle w:val="TOC2"/>
      </w:pPr>
      <w:hyperlink w:anchor="_Toc300001813" w:history="1">
        <w:r>
          <w:rPr>
            <w:noProof/>
          </w:rPr>
          <w:t xml:space="preserve">Article 49.7E: Constitutional Federalism and Voluntary Subnational Participation</w:t>
        </w:r>
        <w:r>
          <w:rPr>
            <w:noProof/>
            <w:webHidden/>
          </w:rPr>
          <w:tab/>
        </w:r>
        <w:r>
          <w:rPr>
            <w:noProof/>
            <w:webHidden/>
          </w:rPr>
          <w:fldChar w:fldCharType="begin"/>
        </w:r>
        <w:r>
          <w:rPr>
            <w:noProof/>
            <w:webHidden/>
          </w:rPr>
          <w:instrText xml:space="preserve"> PAGEREF _Toc300001813 \h </w:instrText>
        </w:r>
        <w:r>
          <w:rPr>
            <w:noProof/>
            <w:webHidden/>
          </w:rPr>
          <w:fldChar w:fldCharType="separate"/>
        </w:r>
        <w:r>
          <w:rPr>
            <w:noProof/>
            <w:webHidden/>
          </w:rPr>
          <w:t>1966</w:t>
        </w:r>
        <w:r>
          <w:rPr>
            <w:noProof/>
            <w:webHidden/>
          </w:rPr>
          <w:fldChar w:fldCharType="end"/>
        </w:r>
      </w:hyperlink>
    </w:p>
    <w:p>
      <w:pPr>
        <w:pStyle w:val="TOC2"/>
      </w:pPr>
      <w:hyperlink w:anchor="_Toc300001814" w:history="1">
        <w:r>
          <w:rPr>
            <w:noProof/>
          </w:rPr>
          <w:t xml:space="preserve">Article 49.7F: Strategic Capacity, Resilience, and Optional Aggregated Demand</w:t>
        </w:r>
        <w:r>
          <w:rPr>
            <w:noProof/>
            <w:webHidden/>
          </w:rPr>
          <w:tab/>
        </w:r>
        <w:r>
          <w:rPr>
            <w:noProof/>
            <w:webHidden/>
          </w:rPr>
          <w:fldChar w:fldCharType="begin"/>
        </w:r>
        <w:r>
          <w:rPr>
            <w:noProof/>
            <w:webHidden/>
          </w:rPr>
          <w:instrText xml:space="preserve"> PAGEREF _Toc300001814 \h </w:instrText>
        </w:r>
        <w:r>
          <w:rPr>
            <w:noProof/>
            <w:webHidden/>
          </w:rPr>
          <w:fldChar w:fldCharType="separate"/>
        </w:r>
        <w:r>
          <w:rPr>
            <w:noProof/>
            <w:webHidden/>
          </w:rPr>
          <w:t>1967</w:t>
        </w:r>
        <w:r>
          <w:rPr>
            <w:noProof/>
            <w:webHidden/>
          </w:rPr>
          <w:fldChar w:fldCharType="end"/>
        </w:r>
      </w:hyperlink>
    </w:p>
    <w:p>
      <w:pPr>
        <w:pStyle w:val="TOC2"/>
      </w:pPr>
      <w:hyperlink w:anchor="_Toc300001815" w:history="1">
        <w:r>
          <w:rPr>
            <w:noProof/>
          </w:rPr>
          <w:t xml:space="preserve">Article 49.7G: Anti-Gaming, Procurement Stability, and Practical Neutrality</w:t>
        </w:r>
        <w:r>
          <w:rPr>
            <w:noProof/>
            <w:webHidden/>
          </w:rPr>
          <w:tab/>
        </w:r>
        <w:r>
          <w:rPr>
            <w:noProof/>
            <w:webHidden/>
          </w:rPr>
          <w:fldChar w:fldCharType="begin"/>
        </w:r>
        <w:r>
          <w:rPr>
            <w:noProof/>
            <w:webHidden/>
          </w:rPr>
          <w:instrText xml:space="preserve"> PAGEREF _Toc300001815 \h </w:instrText>
        </w:r>
        <w:r>
          <w:rPr>
            <w:noProof/>
            <w:webHidden/>
          </w:rPr>
          <w:fldChar w:fldCharType="separate"/>
        </w:r>
        <w:r>
          <w:rPr>
            <w:noProof/>
            <w:webHidden/>
          </w:rPr>
          <w:t>1967</w:t>
        </w:r>
        <w:r>
          <w:rPr>
            <w:noProof/>
            <w:webHidden/>
          </w:rPr>
          <w:fldChar w:fldCharType="end"/>
        </w:r>
      </w:hyperlink>
    </w:p>
    <w:p>
      <w:pPr>
        <w:pStyle w:val="TOC2"/>
      </w:pPr>
      <w:hyperlink w:anchor="_Toc300001816" w:history="1">
        <w:r>
          <w:rPr>
            <w:noProof/>
          </w:rPr>
          <w:t xml:space="preserve">Article 49.7H: Emergency, Security, Review, and Remedies</w:t>
        </w:r>
        <w:r>
          <w:rPr>
            <w:noProof/>
            <w:webHidden/>
          </w:rPr>
          <w:tab/>
        </w:r>
        <w:r>
          <w:rPr>
            <w:noProof/>
            <w:webHidden/>
          </w:rPr>
          <w:fldChar w:fldCharType="begin"/>
        </w:r>
        <w:r>
          <w:rPr>
            <w:noProof/>
            <w:webHidden/>
          </w:rPr>
          <w:instrText xml:space="preserve"> PAGEREF _Toc300001816 \h </w:instrText>
        </w:r>
        <w:r>
          <w:rPr>
            <w:noProof/>
            <w:webHidden/>
          </w:rPr>
          <w:fldChar w:fldCharType="separate"/>
        </w:r>
        <w:r>
          <w:rPr>
            <w:noProof/>
            <w:webHidden/>
          </w:rPr>
          <w:t>1968</w:t>
        </w:r>
        <w:r>
          <w:rPr>
            <w:noProof/>
            <w:webHidden/>
          </w:rPr>
          <w:fldChar w:fldCharType="end"/>
        </w:r>
      </w:hyperlink>
    </w:p>
    <w:p>
      <w:pPr>
        <w:pStyle w:val="TOC2"/>
      </w:pPr>
      <w:hyperlink w:anchor="_Toc300001817" w:history="1">
        <w:r>
          <w:rPr>
            <w:noProof/>
          </w:rPr>
          <w:t xml:space="preserve">Article 49.7I: Subnational Reciprocity, Preference Notification, and No Uncompensated Opening</w:t>
        </w:r>
        <w:r>
          <w:rPr>
            <w:noProof/>
            <w:webHidden/>
          </w:rPr>
          <w:tab/>
        </w:r>
        <w:r>
          <w:rPr>
            <w:noProof/>
            <w:webHidden/>
          </w:rPr>
          <w:fldChar w:fldCharType="begin"/>
        </w:r>
        <w:r>
          <w:rPr>
            <w:noProof/>
            <w:webHidden/>
          </w:rPr>
          <w:instrText xml:space="preserve"> PAGEREF _Toc300001817 \h </w:instrText>
        </w:r>
        <w:r>
          <w:rPr>
            <w:noProof/>
            <w:webHidden/>
          </w:rPr>
          <w:fldChar w:fldCharType="separate"/>
        </w:r>
        <w:r>
          <w:rPr>
            <w:noProof/>
            <w:webHidden/>
          </w:rPr>
          <w:t>1968</w:t>
        </w:r>
        <w:r>
          <w:rPr>
            <w:noProof/>
            <w:webHidden/>
          </w:rPr>
          <w:fldChar w:fldCharType="end"/>
        </w:r>
      </w:hyperlink>
    </w:p>
    <w:p>
      <w:pPr>
        <w:pStyle w:val="TOC2"/>
      </w:pPr>
      <w:hyperlink w:anchor="_Toc300001818" w:history="1">
        <w:r>
          <w:rPr>
            <w:noProof/>
          </w:rPr>
          <w:t xml:space="preserve">Article 49.8: Mexican Extraordinary-Tariff Normalization Track</w:t>
        </w:r>
        <w:r>
          <w:rPr>
            <w:noProof/>
            <w:webHidden/>
          </w:rPr>
          <w:tab/>
        </w:r>
        <w:r>
          <w:rPr>
            <w:noProof/>
            <w:webHidden/>
          </w:rPr>
          <w:fldChar w:fldCharType="begin"/>
        </w:r>
        <w:r>
          <w:rPr>
            <w:noProof/>
            <w:webHidden/>
          </w:rPr>
          <w:instrText xml:space="preserve"> PAGEREF _Toc300001818 \h </w:instrText>
        </w:r>
        <w:r>
          <w:rPr>
            <w:noProof/>
            <w:webHidden/>
          </w:rPr>
          <w:fldChar w:fldCharType="separate"/>
        </w:r>
        <w:r>
          <w:rPr>
            <w:noProof/>
            <w:webHidden/>
          </w:rPr>
          <w:t>1970</w:t>
        </w:r>
        <w:r>
          <w:rPr>
            <w:noProof/>
            <w:webHidden/>
          </w:rPr>
          <w:fldChar w:fldCharType="end"/>
        </w:r>
      </w:hyperlink>
    </w:p>
    <w:p>
      <w:pPr>
        <w:pStyle w:val="TOC2"/>
      </w:pPr>
      <w:hyperlink w:anchor="_Toc300001819" w:history="1">
        <w:r>
          <w:rPr>
            <w:noProof/>
          </w:rPr>
          <w:t xml:space="preserve">Article 49.9: Trilateral Steel and Aluminum Normalization and Anti-Diversion Bargain</w:t>
        </w:r>
        <w:r>
          <w:rPr>
            <w:noProof/>
            <w:webHidden/>
          </w:rPr>
          <w:tab/>
        </w:r>
        <w:r>
          <w:rPr>
            <w:noProof/>
            <w:webHidden/>
          </w:rPr>
          <w:fldChar w:fldCharType="begin"/>
        </w:r>
        <w:r>
          <w:rPr>
            <w:noProof/>
            <w:webHidden/>
          </w:rPr>
          <w:instrText xml:space="preserve"> PAGEREF _Toc300001819 \h </w:instrText>
        </w:r>
        <w:r>
          <w:rPr>
            <w:noProof/>
            <w:webHidden/>
          </w:rPr>
          <w:fldChar w:fldCharType="separate"/>
        </w:r>
        <w:r>
          <w:rPr>
            <w:noProof/>
            <w:webHidden/>
          </w:rPr>
          <w:t>1970</w:t>
        </w:r>
        <w:r>
          <w:rPr>
            <w:noProof/>
            <w:webHidden/>
          </w:rPr>
          <w:fldChar w:fldCharType="end"/>
        </w:r>
      </w:hyperlink>
    </w:p>
    <w:p>
      <w:pPr>
        <w:pStyle w:val="TOC2"/>
      </w:pPr>
      <w:hyperlink w:anchor="_Toc300001820" w:history="1">
        <w:r>
          <w:rPr>
            <w:noProof/>
          </w:rPr>
          <w:t xml:space="preserve">ANNEX 49-A: NORTH AMERICAN PROCUREMENT VALUE-EQUIVALENCE AND LANDING SCHEDULE</w:t>
        </w:r>
        <w:r>
          <w:rPr>
            <w:noProof/>
            <w:webHidden/>
          </w:rPr>
          <w:tab/>
        </w:r>
        <w:r>
          <w:rPr>
            <w:noProof/>
            <w:webHidden/>
          </w:rPr>
          <w:fldChar w:fldCharType="begin"/>
        </w:r>
        <w:r>
          <w:rPr>
            <w:noProof/>
            <w:webHidden/>
          </w:rPr>
          <w:instrText xml:space="preserve"> PAGEREF _Toc300001820 \h </w:instrText>
        </w:r>
        <w:r>
          <w:rPr>
            <w:noProof/>
            <w:webHidden/>
          </w:rPr>
          <w:fldChar w:fldCharType="separate"/>
        </w:r>
        <w:r>
          <w:rPr>
            <w:noProof/>
            <w:webHidden/>
          </w:rPr>
          <w:t>1971</w:t>
        </w:r>
        <w:r>
          <w:rPr>
            <w:noProof/>
            <w:webHidden/>
          </w:rPr>
          <w:fldChar w:fldCharType="end"/>
        </w:r>
      </w:hyperlink>
    </w:p>
    <w:p>
      <w:pPr>
        <w:pStyle w:val="TOC1"/>
      </w:pPr>
      <w:hyperlink w:anchor="_Toc300001821" w:history="1">
        <w:r>
          <w:rPr>
            <w:noProof/>
          </w:rPr>
          <w:t xml:space="preserve">CHAPTER 50 SME, CUSTOMS, DIGITAL, AND SUPPLY-CHAIN MODERNIZATION</w:t>
        </w:r>
        <w:r>
          <w:rPr>
            <w:noProof/>
            <w:webHidden/>
          </w:rPr>
          <w:tab/>
        </w:r>
        <w:r>
          <w:rPr>
            <w:noProof/>
            <w:webHidden/>
          </w:rPr>
          <w:fldChar w:fldCharType="begin"/>
        </w:r>
        <w:r>
          <w:rPr>
            <w:noProof/>
            <w:webHidden/>
          </w:rPr>
          <w:instrText xml:space="preserve"> PAGEREF _Toc300001821 \h </w:instrText>
        </w:r>
        <w:r>
          <w:rPr>
            <w:noProof/>
            <w:webHidden/>
          </w:rPr>
          <w:fldChar w:fldCharType="separate"/>
        </w:r>
        <w:r>
          <w:rPr>
            <w:noProof/>
            <w:webHidden/>
          </w:rPr>
          <w:t>1974</w:t>
        </w:r>
        <w:r>
          <w:rPr>
            <w:noProof/>
            <w:webHidden/>
          </w:rPr>
          <w:fldChar w:fldCharType="end"/>
        </w:r>
      </w:hyperlink>
    </w:p>
    <w:p>
      <w:pPr>
        <w:pStyle w:val="TOC2"/>
      </w:pPr>
      <w:hyperlink w:anchor="_Toc300001822" w:history="1">
        <w:r>
          <w:rPr>
            <w:noProof/>
          </w:rPr>
          <w:t xml:space="preserve">Article 50.1: Trusted SME Exporter</w:t>
        </w:r>
        <w:r>
          <w:rPr>
            <w:noProof/>
            <w:webHidden/>
          </w:rPr>
          <w:tab/>
        </w:r>
        <w:r>
          <w:rPr>
            <w:noProof/>
            <w:webHidden/>
          </w:rPr>
          <w:fldChar w:fldCharType="begin"/>
        </w:r>
        <w:r>
          <w:rPr>
            <w:noProof/>
            <w:webHidden/>
          </w:rPr>
          <w:instrText xml:space="preserve"> PAGEREF _Toc300001822 \h </w:instrText>
        </w:r>
        <w:r>
          <w:rPr>
            <w:noProof/>
            <w:webHidden/>
          </w:rPr>
          <w:fldChar w:fldCharType="separate"/>
        </w:r>
        <w:r>
          <w:rPr>
            <w:noProof/>
            <w:webHidden/>
          </w:rPr>
          <w:t>1974</w:t>
        </w:r>
        <w:r>
          <w:rPr>
            <w:noProof/>
            <w:webHidden/>
          </w:rPr>
          <w:fldChar w:fldCharType="end"/>
        </w:r>
      </w:hyperlink>
    </w:p>
    <w:p>
      <w:pPr>
        <w:pStyle w:val="TOC2"/>
      </w:pPr>
      <w:hyperlink w:anchor="_Toc300001823" w:history="1">
        <w:r>
          <w:rPr>
            <w:noProof/>
          </w:rPr>
          <w:t xml:space="preserve">Article 50.2: Plain-Language and Port Consistency Rule</w:t>
        </w:r>
        <w:r>
          <w:rPr>
            <w:noProof/>
            <w:webHidden/>
          </w:rPr>
          <w:tab/>
        </w:r>
        <w:r>
          <w:rPr>
            <w:noProof/>
            <w:webHidden/>
          </w:rPr>
          <w:fldChar w:fldCharType="begin"/>
        </w:r>
        <w:r>
          <w:rPr>
            <w:noProof/>
            <w:webHidden/>
          </w:rPr>
          <w:instrText xml:space="preserve"> PAGEREF _Toc300001823 \h </w:instrText>
        </w:r>
        <w:r>
          <w:rPr>
            <w:noProof/>
            <w:webHidden/>
          </w:rPr>
          <w:fldChar w:fldCharType="separate"/>
        </w:r>
        <w:r>
          <w:rPr>
            <w:noProof/>
            <w:webHidden/>
          </w:rPr>
          <w:t>1974</w:t>
        </w:r>
        <w:r>
          <w:rPr>
            <w:noProof/>
            <w:webHidden/>
          </w:rPr>
          <w:fldChar w:fldCharType="end"/>
        </w:r>
      </w:hyperlink>
    </w:p>
    <w:p>
      <w:pPr>
        <w:pStyle w:val="TOC2"/>
      </w:pPr>
      <w:hyperlink w:anchor="_Toc300001824" w:history="1">
        <w:r>
          <w:rPr>
            <w:noProof/>
          </w:rPr>
          <w:t xml:space="preserve">Article 50.3: Harmonized Core Customs Data</w:t>
        </w:r>
        <w:r>
          <w:rPr>
            <w:noProof/>
            <w:webHidden/>
          </w:rPr>
          <w:tab/>
        </w:r>
        <w:r>
          <w:rPr>
            <w:noProof/>
            <w:webHidden/>
          </w:rPr>
          <w:fldChar w:fldCharType="begin"/>
        </w:r>
        <w:r>
          <w:rPr>
            <w:noProof/>
            <w:webHidden/>
          </w:rPr>
          <w:instrText xml:space="preserve"> PAGEREF _Toc300001824 \h </w:instrText>
        </w:r>
        <w:r>
          <w:rPr>
            <w:noProof/>
            <w:webHidden/>
          </w:rPr>
          <w:fldChar w:fldCharType="separate"/>
        </w:r>
        <w:r>
          <w:rPr>
            <w:noProof/>
            <w:webHidden/>
          </w:rPr>
          <w:t>1974</w:t>
        </w:r>
        <w:r>
          <w:rPr>
            <w:noProof/>
            <w:webHidden/>
          </w:rPr>
          <w:fldChar w:fldCharType="end"/>
        </w:r>
      </w:hyperlink>
    </w:p>
    <w:p>
      <w:pPr>
        <w:pStyle w:val="TOC2"/>
      </w:pPr>
      <w:hyperlink w:anchor="_Toc300001825" w:history="1">
        <w:r>
          <w:rPr>
            <w:noProof/>
          </w:rPr>
          <w:t xml:space="preserve">Article 50.4: Non-Market Practice Definition and Review</w:t>
        </w:r>
        <w:r>
          <w:rPr>
            <w:noProof/>
            <w:webHidden/>
          </w:rPr>
          <w:tab/>
        </w:r>
        <w:r>
          <w:rPr>
            <w:noProof/>
            <w:webHidden/>
          </w:rPr>
          <w:fldChar w:fldCharType="begin"/>
        </w:r>
        <w:r>
          <w:rPr>
            <w:noProof/>
            <w:webHidden/>
          </w:rPr>
          <w:instrText xml:space="preserve"> PAGEREF _Toc300001825 \h </w:instrText>
        </w:r>
        <w:r>
          <w:rPr>
            <w:noProof/>
            <w:webHidden/>
          </w:rPr>
          <w:fldChar w:fldCharType="separate"/>
        </w:r>
        <w:r>
          <w:rPr>
            <w:noProof/>
            <w:webHidden/>
          </w:rPr>
          <w:t>1974</w:t>
        </w:r>
        <w:r>
          <w:rPr>
            <w:noProof/>
            <w:webHidden/>
          </w:rPr>
          <w:fldChar w:fldCharType="end"/>
        </w:r>
      </w:hyperlink>
    </w:p>
    <w:p>
      <w:pPr>
        <w:pStyle w:val="TOC2"/>
      </w:pPr>
      <w:hyperlink w:anchor="_Toc300001826" w:history="1">
        <w:r>
          <w:rPr>
            <w:noProof/>
          </w:rPr>
          <w:t xml:space="preserve">Article 50.5: Supply-Chain Risk Map and Early Warning</w:t>
        </w:r>
        <w:r>
          <w:rPr>
            <w:noProof/>
            <w:webHidden/>
          </w:rPr>
          <w:tab/>
        </w:r>
        <w:r>
          <w:rPr>
            <w:noProof/>
            <w:webHidden/>
          </w:rPr>
          <w:fldChar w:fldCharType="begin"/>
        </w:r>
        <w:r>
          <w:rPr>
            <w:noProof/>
            <w:webHidden/>
          </w:rPr>
          <w:instrText xml:space="preserve"> PAGEREF _Toc300001826 \h </w:instrText>
        </w:r>
        <w:r>
          <w:rPr>
            <w:noProof/>
            <w:webHidden/>
          </w:rPr>
          <w:fldChar w:fldCharType="separate"/>
        </w:r>
        <w:r>
          <w:rPr>
            <w:noProof/>
            <w:webHidden/>
          </w:rPr>
          <w:t>1975</w:t>
        </w:r>
        <w:r>
          <w:rPr>
            <w:noProof/>
            <w:webHidden/>
          </w:rPr>
          <w:fldChar w:fldCharType="end"/>
        </w:r>
      </w:hyperlink>
    </w:p>
    <w:p>
      <w:pPr>
        <w:pStyle w:val="TOC2"/>
      </w:pPr>
      <w:hyperlink w:anchor="_Toc300001827" w:history="1">
        <w:r>
          <w:rPr>
            <w:noProof/>
          </w:rPr>
          <w:t xml:space="preserve">Article 50.6: Digital Economy Regulatory Principles</w:t>
        </w:r>
        <w:r>
          <w:rPr>
            <w:noProof/>
            <w:webHidden/>
          </w:rPr>
          <w:tab/>
        </w:r>
        <w:r>
          <w:rPr>
            <w:noProof/>
            <w:webHidden/>
          </w:rPr>
          <w:fldChar w:fldCharType="begin"/>
        </w:r>
        <w:r>
          <w:rPr>
            <w:noProof/>
            <w:webHidden/>
          </w:rPr>
          <w:instrText xml:space="preserve"> PAGEREF _Toc300001827 \h </w:instrText>
        </w:r>
        <w:r>
          <w:rPr>
            <w:noProof/>
            <w:webHidden/>
          </w:rPr>
          <w:fldChar w:fldCharType="separate"/>
        </w:r>
        <w:r>
          <w:rPr>
            <w:noProof/>
            <w:webHidden/>
          </w:rPr>
          <w:t>1975</w:t>
        </w:r>
        <w:r>
          <w:rPr>
            <w:noProof/>
            <w:webHidden/>
          </w:rPr>
          <w:fldChar w:fldCharType="end"/>
        </w:r>
      </w:hyperlink>
    </w:p>
    <w:p>
      <w:pPr>
        <w:pStyle w:val="TOC2"/>
      </w:pPr>
      <w:hyperlink w:anchor="_Toc300001828" w:history="1">
        <w:r>
          <w:rPr>
            <w:noProof/>
          </w:rPr>
          <w:t xml:space="preserve">Article 50.7: Cryptographic Authenticity and Fraud Coordination</w:t>
        </w:r>
        <w:r>
          <w:rPr>
            <w:noProof/>
            <w:webHidden/>
          </w:rPr>
          <w:tab/>
        </w:r>
        <w:r>
          <w:rPr>
            <w:noProof/>
            <w:webHidden/>
          </w:rPr>
          <w:fldChar w:fldCharType="begin"/>
        </w:r>
        <w:r>
          <w:rPr>
            <w:noProof/>
            <w:webHidden/>
          </w:rPr>
          <w:instrText xml:space="preserve"> PAGEREF _Toc300001828 \h </w:instrText>
        </w:r>
        <w:r>
          <w:rPr>
            <w:noProof/>
            <w:webHidden/>
          </w:rPr>
          <w:fldChar w:fldCharType="separate"/>
        </w:r>
        <w:r>
          <w:rPr>
            <w:noProof/>
            <w:webHidden/>
          </w:rPr>
          <w:t>1975</w:t>
        </w:r>
        <w:r>
          <w:rPr>
            <w:noProof/>
            <w:webHidden/>
          </w:rPr>
          <w:fldChar w:fldCharType="end"/>
        </w:r>
      </w:hyperlink>
    </w:p>
    <w:p>
      <w:pPr>
        <w:pStyle w:val="TOC2"/>
      </w:pPr>
      <w:hyperlink w:anchor="_Toc300001829" w:history="1">
        <w:r>
          <w:rPr>
            <w:noProof/>
          </w:rPr>
          <w:t xml:space="preserve">Article 50.8: Mexican Digital Manufacturing and SME Export Lane</w:t>
        </w:r>
        <w:r>
          <w:rPr>
            <w:noProof/>
            <w:webHidden/>
          </w:rPr>
          <w:tab/>
        </w:r>
        <w:r>
          <w:rPr>
            <w:noProof/>
            <w:webHidden/>
          </w:rPr>
          <w:fldChar w:fldCharType="begin"/>
        </w:r>
        <w:r>
          <w:rPr>
            <w:noProof/>
            <w:webHidden/>
          </w:rPr>
          <w:instrText xml:space="preserve"> PAGEREF _Toc300001829 \h </w:instrText>
        </w:r>
        <w:r>
          <w:rPr>
            <w:noProof/>
            <w:webHidden/>
          </w:rPr>
          <w:fldChar w:fldCharType="separate"/>
        </w:r>
        <w:r>
          <w:rPr>
            <w:noProof/>
            <w:webHidden/>
          </w:rPr>
          <w:t>1976</w:t>
        </w:r>
        <w:r>
          <w:rPr>
            <w:noProof/>
            <w:webHidden/>
          </w:rPr>
          <w:fldChar w:fldCharType="end"/>
        </w:r>
      </w:hyperlink>
    </w:p>
    <w:p>
      <w:pPr>
        <w:pStyle w:val="TOC2"/>
      </w:pPr>
      <w:hyperlink w:anchor="_Toc300001830" w:history="1">
        <w:r>
          <w:rPr>
            <w:noProof/>
          </w:rPr>
          <w:t xml:space="preserve">Article 50.9: Administrative Friction and Border Performance Safeguard</w:t>
        </w:r>
        <w:r>
          <w:rPr>
            <w:noProof/>
            <w:webHidden/>
          </w:rPr>
          <w:tab/>
        </w:r>
        <w:r>
          <w:rPr>
            <w:noProof/>
            <w:webHidden/>
          </w:rPr>
          <w:fldChar w:fldCharType="begin"/>
        </w:r>
        <w:r>
          <w:rPr>
            <w:noProof/>
            <w:webHidden/>
          </w:rPr>
          <w:instrText xml:space="preserve"> PAGEREF _Toc300001830 \h </w:instrText>
        </w:r>
        <w:r>
          <w:rPr>
            <w:noProof/>
            <w:webHidden/>
          </w:rPr>
          <w:fldChar w:fldCharType="separate"/>
        </w:r>
        <w:r>
          <w:rPr>
            <w:noProof/>
            <w:webHidden/>
          </w:rPr>
          <w:t>1976</w:t>
        </w:r>
        <w:r>
          <w:rPr>
            <w:noProof/>
            <w:webHidden/>
          </w:rPr>
          <w:fldChar w:fldCharType="end"/>
        </w:r>
      </w:hyperlink>
    </w:p>
    <w:p>
      <w:pPr>
        <w:pStyle w:val="TOC2"/>
      </w:pPr>
      <w:hyperlink w:anchor="_Toc300001831" w:history="1">
        <w:r>
          <w:rPr>
            <w:noProof/>
          </w:rPr>
          <w:t xml:space="preserve">Article 50.10: Least-Burdensome Verification and Repeat-Audit Safeguard</w:t>
        </w:r>
        <w:r>
          <w:rPr>
            <w:noProof/>
            <w:webHidden/>
          </w:rPr>
          <w:tab/>
        </w:r>
        <w:r>
          <w:rPr>
            <w:noProof/>
            <w:webHidden/>
          </w:rPr>
          <w:fldChar w:fldCharType="begin"/>
        </w:r>
        <w:r>
          <w:rPr>
            <w:noProof/>
            <w:webHidden/>
          </w:rPr>
          <w:instrText xml:space="preserve"> PAGEREF _Toc300001831 \h </w:instrText>
        </w:r>
        <w:r>
          <w:rPr>
            <w:noProof/>
            <w:webHidden/>
          </w:rPr>
          <w:fldChar w:fldCharType="separate"/>
        </w:r>
        <w:r>
          <w:rPr>
            <w:noProof/>
            <w:webHidden/>
          </w:rPr>
          <w:t>1976</w:t>
        </w:r>
        <w:r>
          <w:rPr>
            <w:noProof/>
            <w:webHidden/>
          </w:rPr>
          <w:fldChar w:fldCharType="end"/>
        </w:r>
      </w:hyperlink>
    </w:p>
    <w:p>
      <w:pPr>
        <w:pStyle w:val="TOC2"/>
      </w:pPr>
      <w:hyperlink w:anchor="_Toc300001832" w:history="1">
        <w:r>
          <w:rPr>
            <w:noProof/>
          </w:rPr>
          <w:t xml:space="preserve">Article 50.11: Decision-or-Explain Deadlines and Application Completeness Lock</w:t>
        </w:r>
        <w:r>
          <w:rPr>
            <w:noProof/>
            <w:webHidden/>
          </w:rPr>
          <w:tab/>
        </w:r>
        <w:r>
          <w:rPr>
            <w:noProof/>
            <w:webHidden/>
          </w:rPr>
          <w:fldChar w:fldCharType="begin"/>
        </w:r>
        <w:r>
          <w:rPr>
            <w:noProof/>
            <w:webHidden/>
          </w:rPr>
          <w:instrText xml:space="preserve"> PAGEREF _Toc300001832 \h </w:instrText>
        </w:r>
        <w:r>
          <w:rPr>
            <w:noProof/>
            <w:webHidden/>
          </w:rPr>
          <w:fldChar w:fldCharType="separate"/>
        </w:r>
        <w:r>
          <w:rPr>
            <w:noProof/>
            <w:webHidden/>
          </w:rPr>
          <w:t>1977</w:t>
        </w:r>
        <w:r>
          <w:rPr>
            <w:noProof/>
            <w:webHidden/>
          </w:rPr>
          <w:fldChar w:fldCharType="end"/>
        </w:r>
      </w:hyperlink>
    </w:p>
    <w:p>
      <w:pPr>
        <w:pStyle w:val="TOC2"/>
      </w:pPr>
      <w:hyperlink w:anchor="_Toc300001833" w:history="1">
        <w:r>
          <w:rPr>
            <w:noProof/>
          </w:rPr>
          <w:t xml:space="preserve">Article 50.12: Trusted Status Due Process</w:t>
        </w:r>
        <w:r>
          <w:rPr>
            <w:noProof/>
            <w:webHidden/>
          </w:rPr>
          <w:tab/>
        </w:r>
        <w:r>
          <w:rPr>
            <w:noProof/>
            <w:webHidden/>
          </w:rPr>
          <w:fldChar w:fldCharType="begin"/>
        </w:r>
        <w:r>
          <w:rPr>
            <w:noProof/>
            <w:webHidden/>
          </w:rPr>
          <w:instrText xml:space="preserve"> PAGEREF _Toc300001833 \h </w:instrText>
        </w:r>
        <w:r>
          <w:rPr>
            <w:noProof/>
            <w:webHidden/>
          </w:rPr>
          <w:fldChar w:fldCharType="separate"/>
        </w:r>
        <w:r>
          <w:rPr>
            <w:noProof/>
            <w:webHidden/>
          </w:rPr>
          <w:t>1977</w:t>
        </w:r>
        <w:r>
          <w:rPr>
            <w:noProof/>
            <w:webHidden/>
          </w:rPr>
          <w:fldChar w:fldCharType="end"/>
        </w:r>
      </w:hyperlink>
    </w:p>
    <w:p>
      <w:pPr>
        <w:pStyle w:val="TOC2"/>
      </w:pPr>
      <w:hyperlink w:anchor="_Toc300001834" w:history="1">
        <w:r>
          <w:rPr>
            <w:noProof/>
          </w:rPr>
          <w:t xml:space="preserve">Article 50.13: Technical Standard and Conformity-Assessment Capacity Protection</w:t>
        </w:r>
        <w:r>
          <w:rPr>
            <w:noProof/>
            <w:webHidden/>
          </w:rPr>
          <w:tab/>
        </w:r>
        <w:r>
          <w:rPr>
            <w:noProof/>
            <w:webHidden/>
          </w:rPr>
          <w:fldChar w:fldCharType="begin"/>
        </w:r>
        <w:r>
          <w:rPr>
            <w:noProof/>
            <w:webHidden/>
          </w:rPr>
          <w:instrText xml:space="preserve"> PAGEREF _Toc300001834 \h </w:instrText>
        </w:r>
        <w:r>
          <w:rPr>
            <w:noProof/>
            <w:webHidden/>
          </w:rPr>
          <w:fldChar w:fldCharType="separate"/>
        </w:r>
        <w:r>
          <w:rPr>
            <w:noProof/>
            <w:webHidden/>
          </w:rPr>
          <w:t>1977</w:t>
        </w:r>
        <w:r>
          <w:rPr>
            <w:noProof/>
            <w:webHidden/>
          </w:rPr>
          <w:fldChar w:fldCharType="end"/>
        </w:r>
      </w:hyperlink>
    </w:p>
    <w:p>
      <w:pPr>
        <w:pStyle w:val="TOC2"/>
      </w:pPr>
      <w:hyperlink w:anchor="_Toc300001835" w:history="1">
        <w:r>
          <w:rPr>
            <w:noProof/>
          </w:rPr>
          <w:t xml:space="preserve">Article 50.14: Service, Business-Day, and Technical-Failure Fairness</w:t>
        </w:r>
        <w:r>
          <w:rPr>
            <w:noProof/>
            <w:webHidden/>
          </w:rPr>
          <w:tab/>
        </w:r>
        <w:r>
          <w:rPr>
            <w:noProof/>
            <w:webHidden/>
          </w:rPr>
          <w:fldChar w:fldCharType="begin"/>
        </w:r>
        <w:r>
          <w:rPr>
            <w:noProof/>
            <w:webHidden/>
          </w:rPr>
          <w:instrText xml:space="preserve"> PAGEREF _Toc300001835 \h </w:instrText>
        </w:r>
        <w:r>
          <w:rPr>
            <w:noProof/>
            <w:webHidden/>
          </w:rPr>
          <w:fldChar w:fldCharType="separate"/>
        </w:r>
        <w:r>
          <w:rPr>
            <w:noProof/>
            <w:webHidden/>
          </w:rPr>
          <w:t>1978</w:t>
        </w:r>
        <w:r>
          <w:rPr>
            <w:noProof/>
            <w:webHidden/>
          </w:rPr>
          <w:fldChar w:fldCharType="end"/>
        </w:r>
      </w:hyperlink>
    </w:p>
    <w:p>
      <w:pPr>
        <w:pStyle w:val="TOC1"/>
      </w:pPr>
      <w:hyperlink w:anchor="_Toc300001836" w:history="1">
        <w:r>
          <w:rPr>
            <w:noProof/>
          </w:rPr>
          <w:t xml:space="preserve">CHAPTER 51 SYMMETRICAL LABOR, ENVIRONMENTAL, AND SCIENTIFIC COOPERATION</w:t>
        </w:r>
        <w:r>
          <w:rPr>
            <w:noProof/>
            <w:webHidden/>
          </w:rPr>
          <w:tab/>
        </w:r>
        <w:r>
          <w:rPr>
            <w:noProof/>
            <w:webHidden/>
          </w:rPr>
          <w:fldChar w:fldCharType="begin"/>
        </w:r>
        <w:r>
          <w:rPr>
            <w:noProof/>
            <w:webHidden/>
          </w:rPr>
          <w:instrText xml:space="preserve"> PAGEREF _Toc300001836 \h </w:instrText>
        </w:r>
        <w:r>
          <w:rPr>
            <w:noProof/>
            <w:webHidden/>
          </w:rPr>
          <w:fldChar w:fldCharType="separate"/>
        </w:r>
        <w:r>
          <w:rPr>
            <w:noProof/>
            <w:webHidden/>
          </w:rPr>
          <w:t>1979</w:t>
        </w:r>
        <w:r>
          <w:rPr>
            <w:noProof/>
            <w:webHidden/>
          </w:rPr>
          <w:fldChar w:fldCharType="end"/>
        </w:r>
      </w:hyperlink>
    </w:p>
    <w:p>
      <w:pPr>
        <w:pStyle w:val="TOC2"/>
      </w:pPr>
      <w:hyperlink w:anchor="_Toc300001837" w:history="1">
        <w:r>
          <w:rPr>
            <w:noProof/>
          </w:rPr>
          <w:t xml:space="preserve">Article 50.15: Concurrent Processing, Clock Integrity, and Completeness Finality</w:t>
        </w:r>
        <w:r>
          <w:rPr>
            <w:noProof/>
            <w:webHidden/>
          </w:rPr>
          <w:tab/>
        </w:r>
        <w:r>
          <w:rPr>
            <w:noProof/>
            <w:webHidden/>
          </w:rPr>
          <w:fldChar w:fldCharType="begin"/>
        </w:r>
        <w:r>
          <w:rPr>
            <w:noProof/>
            <w:webHidden/>
          </w:rPr>
          <w:instrText xml:space="preserve"> PAGEREF _Toc300001837 \h </w:instrText>
        </w:r>
        <w:r>
          <w:rPr>
            <w:noProof/>
            <w:webHidden/>
          </w:rPr>
          <w:fldChar w:fldCharType="separate"/>
        </w:r>
        <w:r>
          <w:rPr>
            <w:noProof/>
            <w:webHidden/>
          </w:rPr>
          <w:t>1979</w:t>
        </w:r>
        <w:r>
          <w:rPr>
            <w:noProof/>
            <w:webHidden/>
          </w:rPr>
          <w:fldChar w:fldCharType="end"/>
        </w:r>
      </w:hyperlink>
    </w:p>
    <w:p>
      <w:pPr>
        <w:pStyle w:val="TOC2"/>
      </w:pPr>
      <w:hyperlink w:anchor="_Toc300001838" w:history="1">
        <w:r>
          <w:rPr>
            <w:noProof/>
          </w:rPr>
          <w:t xml:space="preserve">Article 50.16: Administrative Intensity, Proxy Discrimination, and Performance Comparators</w:t>
        </w:r>
        <w:r>
          <w:rPr>
            <w:noProof/>
            <w:webHidden/>
          </w:rPr>
          <w:tab/>
        </w:r>
        <w:r>
          <w:rPr>
            <w:noProof/>
            <w:webHidden/>
          </w:rPr>
          <w:fldChar w:fldCharType="begin"/>
        </w:r>
        <w:r>
          <w:rPr>
            <w:noProof/>
            <w:webHidden/>
          </w:rPr>
          <w:instrText xml:space="preserve"> PAGEREF _Toc300001838 \h </w:instrText>
        </w:r>
        <w:r>
          <w:rPr>
            <w:noProof/>
            <w:webHidden/>
          </w:rPr>
          <w:fldChar w:fldCharType="separate"/>
        </w:r>
        <w:r>
          <w:rPr>
            <w:noProof/>
            <w:webHidden/>
          </w:rPr>
          <w:t>1979</w:t>
        </w:r>
        <w:r>
          <w:rPr>
            <w:noProof/>
            <w:webHidden/>
          </w:rPr>
          <w:fldChar w:fldCharType="end"/>
        </w:r>
      </w:hyperlink>
    </w:p>
    <w:p>
      <w:pPr>
        <w:pStyle w:val="TOC2"/>
      </w:pPr>
      <w:hyperlink w:anchor="_Toc300001839" w:history="1">
        <w:r>
          <w:rPr>
            <w:noProof/>
          </w:rPr>
          <w:t xml:space="preserve">Article 50.17: Operational Availability, Capacity, and Optional-Pathway Non-Coercion</w:t>
        </w:r>
        <w:r>
          <w:rPr>
            <w:noProof/>
            <w:webHidden/>
          </w:rPr>
          <w:tab/>
        </w:r>
        <w:r>
          <w:rPr>
            <w:noProof/>
            <w:webHidden/>
          </w:rPr>
          <w:fldChar w:fldCharType="begin"/>
        </w:r>
        <w:r>
          <w:rPr>
            <w:noProof/>
            <w:webHidden/>
          </w:rPr>
          <w:instrText xml:space="preserve"> PAGEREF _Toc300001839 \h </w:instrText>
        </w:r>
        <w:r>
          <w:rPr>
            <w:noProof/>
            <w:webHidden/>
          </w:rPr>
          <w:fldChar w:fldCharType="separate"/>
        </w:r>
        <w:r>
          <w:rPr>
            <w:noProof/>
            <w:webHidden/>
          </w:rPr>
          <w:t>1980</w:t>
        </w:r>
        <w:r>
          <w:rPr>
            <w:noProof/>
            <w:webHidden/>
          </w:rPr>
          <w:fldChar w:fldCharType="end"/>
        </w:r>
      </w:hyperlink>
    </w:p>
    <w:p>
      <w:pPr>
        <w:pStyle w:val="TOC2"/>
      </w:pPr>
      <w:hyperlink w:anchor="_Toc300001840" w:history="1">
        <w:r>
          <w:rPr>
            <w:noProof/>
          </w:rPr>
          <w:t xml:space="preserve">Article 50.18: Functional Administrative Instruments and Reliance</w:t>
        </w:r>
        <w:r>
          <w:rPr>
            <w:noProof/>
            <w:webHidden/>
          </w:rPr>
          <w:tab/>
        </w:r>
        <w:r>
          <w:rPr>
            <w:noProof/>
            <w:webHidden/>
          </w:rPr>
          <w:fldChar w:fldCharType="begin"/>
        </w:r>
        <w:r>
          <w:rPr>
            <w:noProof/>
            <w:webHidden/>
          </w:rPr>
          <w:instrText xml:space="preserve"> PAGEREF _Toc300001840 \h </w:instrText>
        </w:r>
        <w:r>
          <w:rPr>
            <w:noProof/>
            <w:webHidden/>
          </w:rPr>
          <w:fldChar w:fldCharType="separate"/>
        </w:r>
        <w:r>
          <w:rPr>
            <w:noProof/>
            <w:webHidden/>
          </w:rPr>
          <w:t>1980</w:t>
        </w:r>
        <w:r>
          <w:rPr>
            <w:noProof/>
            <w:webHidden/>
          </w:rPr>
          <w:fldChar w:fldCharType="end"/>
        </w:r>
      </w:hyperlink>
    </w:p>
    <w:p>
      <w:pPr>
        <w:pStyle w:val="TOC2"/>
      </w:pPr>
      <w:hyperlink w:anchor="_Toc300001841" w:history="1">
        <w:r>
          <w:rPr>
            <w:noProof/>
          </w:rPr>
          <w:t xml:space="preserve">Article 50.19: Seasonal, Corridor, Tail-Risk, and Commercial-Criticality Review</w:t>
        </w:r>
        <w:r>
          <w:rPr>
            <w:noProof/>
            <w:webHidden/>
          </w:rPr>
          <w:tab/>
        </w:r>
        <w:r>
          <w:rPr>
            <w:noProof/>
            <w:webHidden/>
          </w:rPr>
          <w:fldChar w:fldCharType="begin"/>
        </w:r>
        <w:r>
          <w:rPr>
            <w:noProof/>
            <w:webHidden/>
          </w:rPr>
          <w:instrText xml:space="preserve"> PAGEREF _Toc300001841 \h </w:instrText>
        </w:r>
        <w:r>
          <w:rPr>
            <w:noProof/>
            <w:webHidden/>
          </w:rPr>
          <w:fldChar w:fldCharType="separate"/>
        </w:r>
        <w:r>
          <w:rPr>
            <w:noProof/>
            <w:webHidden/>
          </w:rPr>
          <w:t>1981</w:t>
        </w:r>
        <w:r>
          <w:rPr>
            <w:noProof/>
            <w:webHidden/>
          </w:rPr>
          <w:fldChar w:fldCharType="end"/>
        </w:r>
      </w:hyperlink>
    </w:p>
    <w:p>
      <w:pPr>
        <w:pStyle w:val="TOC2"/>
      </w:pPr>
      <w:hyperlink w:anchor="_Toc300001842" w:history="1">
        <w:r>
          <w:rPr>
            <w:noProof/>
          </w:rPr>
          <w:t xml:space="preserve">Article 51.1: Symmetrical Labor Enforcement</w:t>
        </w:r>
        <w:r>
          <w:rPr>
            <w:noProof/>
            <w:webHidden/>
          </w:rPr>
          <w:tab/>
        </w:r>
        <w:r>
          <w:rPr>
            <w:noProof/>
            <w:webHidden/>
          </w:rPr>
          <w:fldChar w:fldCharType="begin"/>
        </w:r>
        <w:r>
          <w:rPr>
            <w:noProof/>
            <w:webHidden/>
          </w:rPr>
          <w:instrText xml:space="preserve"> PAGEREF _Toc300001842 \h </w:instrText>
        </w:r>
        <w:r>
          <w:rPr>
            <w:noProof/>
            <w:webHidden/>
          </w:rPr>
          <w:fldChar w:fldCharType="separate"/>
        </w:r>
        <w:r>
          <w:rPr>
            <w:noProof/>
            <w:webHidden/>
          </w:rPr>
          <w:t>1981</w:t>
        </w:r>
        <w:r>
          <w:rPr>
            <w:noProof/>
            <w:webHidden/>
          </w:rPr>
          <w:fldChar w:fldCharType="end"/>
        </w:r>
      </w:hyperlink>
    </w:p>
    <w:p>
      <w:pPr>
        <w:pStyle w:val="TOC2"/>
      </w:pPr>
      <w:hyperlink w:anchor="_Toc300001843" w:history="1">
        <w:r>
          <w:rPr>
            <w:noProof/>
          </w:rPr>
          <w:t xml:space="preserve">Article 51.2: Environmental Rapid Technical Review</w:t>
        </w:r>
        <w:r>
          <w:rPr>
            <w:noProof/>
            <w:webHidden/>
          </w:rPr>
          <w:tab/>
        </w:r>
        <w:r>
          <w:rPr>
            <w:noProof/>
            <w:webHidden/>
          </w:rPr>
          <w:fldChar w:fldCharType="begin"/>
        </w:r>
        <w:r>
          <w:rPr>
            <w:noProof/>
            <w:webHidden/>
          </w:rPr>
          <w:instrText xml:space="preserve"> PAGEREF _Toc300001843 \h </w:instrText>
        </w:r>
        <w:r>
          <w:rPr>
            <w:noProof/>
            <w:webHidden/>
          </w:rPr>
          <w:fldChar w:fldCharType="separate"/>
        </w:r>
        <w:r>
          <w:rPr>
            <w:noProof/>
            <w:webHidden/>
          </w:rPr>
          <w:t>1981</w:t>
        </w:r>
        <w:r>
          <w:rPr>
            <w:noProof/>
            <w:webHidden/>
          </w:rPr>
          <w:fldChar w:fldCharType="end"/>
        </w:r>
      </w:hyperlink>
    </w:p>
    <w:p>
      <w:pPr>
        <w:pStyle w:val="TOC2"/>
      </w:pPr>
      <w:hyperlink w:anchor="_Toc300001844" w:history="1">
        <w:r>
          <w:rPr>
            <w:noProof/>
          </w:rPr>
          <w:t xml:space="preserve">Article 51.3: Biodiversity, Habitat, and Circular Economy Cooperation</w:t>
        </w:r>
        <w:r>
          <w:rPr>
            <w:noProof/>
            <w:webHidden/>
          </w:rPr>
          <w:tab/>
        </w:r>
        <w:r>
          <w:rPr>
            <w:noProof/>
            <w:webHidden/>
          </w:rPr>
          <w:fldChar w:fldCharType="begin"/>
        </w:r>
        <w:r>
          <w:rPr>
            <w:noProof/>
            <w:webHidden/>
          </w:rPr>
          <w:instrText xml:space="preserve"> PAGEREF _Toc300001844 \h </w:instrText>
        </w:r>
        <w:r>
          <w:rPr>
            <w:noProof/>
            <w:webHidden/>
          </w:rPr>
          <w:fldChar w:fldCharType="separate"/>
        </w:r>
        <w:r>
          <w:rPr>
            <w:noProof/>
            <w:webHidden/>
          </w:rPr>
          <w:t>1981</w:t>
        </w:r>
        <w:r>
          <w:rPr>
            <w:noProof/>
            <w:webHidden/>
          </w:rPr>
          <w:fldChar w:fldCharType="end"/>
        </w:r>
      </w:hyperlink>
    </w:p>
    <w:p>
      <w:pPr>
        <w:pStyle w:val="TOC2"/>
      </w:pPr>
      <w:hyperlink w:anchor="_Toc300001845" w:history="1">
        <w:r>
          <w:rPr>
            <w:noProof/>
          </w:rPr>
          <w:t xml:space="preserve">Article 51.4: Independent Scientific Advisory Review</w:t>
        </w:r>
        <w:r>
          <w:rPr>
            <w:noProof/>
            <w:webHidden/>
          </w:rPr>
          <w:tab/>
        </w:r>
        <w:r>
          <w:rPr>
            <w:noProof/>
            <w:webHidden/>
          </w:rPr>
          <w:fldChar w:fldCharType="begin"/>
        </w:r>
        <w:r>
          <w:rPr>
            <w:noProof/>
            <w:webHidden/>
          </w:rPr>
          <w:instrText xml:space="preserve"> PAGEREF _Toc300001845 \h </w:instrText>
        </w:r>
        <w:r>
          <w:rPr>
            <w:noProof/>
            <w:webHidden/>
          </w:rPr>
          <w:fldChar w:fldCharType="separate"/>
        </w:r>
        <w:r>
          <w:rPr>
            <w:noProof/>
            <w:webHidden/>
          </w:rPr>
          <w:t>1982</w:t>
        </w:r>
        <w:r>
          <w:rPr>
            <w:noProof/>
            <w:webHidden/>
          </w:rPr>
          <w:fldChar w:fldCharType="end"/>
        </w:r>
      </w:hyperlink>
    </w:p>
    <w:p>
      <w:pPr>
        <w:pStyle w:val="TOC2"/>
      </w:pPr>
      <w:hyperlink w:anchor="_Toc300001846" w:history="1">
        <w:r>
          <w:rPr>
            <w:noProof/>
          </w:rPr>
          <w:t xml:space="preserve">Article 51.5: Rapid SPS Scientific Exchange and Equivalence</w:t>
        </w:r>
        <w:r>
          <w:rPr>
            <w:noProof/>
            <w:webHidden/>
          </w:rPr>
          <w:tab/>
        </w:r>
        <w:r>
          <w:rPr>
            <w:noProof/>
            <w:webHidden/>
          </w:rPr>
          <w:fldChar w:fldCharType="begin"/>
        </w:r>
        <w:r>
          <w:rPr>
            <w:noProof/>
            <w:webHidden/>
          </w:rPr>
          <w:instrText xml:space="preserve"> PAGEREF _Toc300001846 \h </w:instrText>
        </w:r>
        <w:r>
          <w:rPr>
            <w:noProof/>
            <w:webHidden/>
          </w:rPr>
          <w:fldChar w:fldCharType="separate"/>
        </w:r>
        <w:r>
          <w:rPr>
            <w:noProof/>
            <w:webHidden/>
          </w:rPr>
          <w:t>1982</w:t>
        </w:r>
        <w:r>
          <w:rPr>
            <w:noProof/>
            <w:webHidden/>
          </w:rPr>
          <w:fldChar w:fldCharType="end"/>
        </w:r>
      </w:hyperlink>
    </w:p>
    <w:p>
      <w:pPr>
        <w:pStyle w:val="TOC1"/>
      </w:pPr>
      <w:hyperlink w:anchor="_Toc300001847" w:history="1">
        <w:r>
          <w:rPr>
            <w:noProof/>
          </w:rPr>
          <w:t xml:space="preserve">CHAPTER 52 SIDE INSTRUMENTS, TRILATERAL INTEGRITY, AND IMPLEMENTATION</w:t>
        </w:r>
        <w:r>
          <w:rPr>
            <w:noProof/>
            <w:webHidden/>
          </w:rPr>
          <w:tab/>
        </w:r>
        <w:r>
          <w:rPr>
            <w:noProof/>
            <w:webHidden/>
          </w:rPr>
          <w:fldChar w:fldCharType="begin"/>
        </w:r>
        <w:r>
          <w:rPr>
            <w:noProof/>
            <w:webHidden/>
          </w:rPr>
          <w:instrText xml:space="preserve"> PAGEREF _Toc300001847 \h </w:instrText>
        </w:r>
        <w:r>
          <w:rPr>
            <w:noProof/>
            <w:webHidden/>
          </w:rPr>
          <w:fldChar w:fldCharType="separate"/>
        </w:r>
        <w:r>
          <w:rPr>
            <w:noProof/>
            <w:webHidden/>
          </w:rPr>
          <w:t>1983</w:t>
        </w:r>
        <w:r>
          <w:rPr>
            <w:noProof/>
            <w:webHidden/>
          </w:rPr>
          <w:fldChar w:fldCharType="end"/>
        </w:r>
      </w:hyperlink>
    </w:p>
    <w:p>
      <w:pPr>
        <w:pStyle w:val="TOC2"/>
      </w:pPr>
      <w:hyperlink w:anchor="_Toc300001848" w:history="1">
        <w:r>
          <w:rPr>
            <w:noProof/>
          </w:rPr>
          <w:t xml:space="preserve">Article 52.1: Bilateral Side Instruments</w:t>
        </w:r>
        <w:r>
          <w:rPr>
            <w:noProof/>
            <w:webHidden/>
          </w:rPr>
          <w:tab/>
        </w:r>
        <w:r>
          <w:rPr>
            <w:noProof/>
            <w:webHidden/>
          </w:rPr>
          <w:fldChar w:fldCharType="begin"/>
        </w:r>
        <w:r>
          <w:rPr>
            <w:noProof/>
            <w:webHidden/>
          </w:rPr>
          <w:instrText xml:space="preserve"> PAGEREF _Toc300001848 \h </w:instrText>
        </w:r>
        <w:r>
          <w:rPr>
            <w:noProof/>
            <w:webHidden/>
          </w:rPr>
          <w:fldChar w:fldCharType="separate"/>
        </w:r>
        <w:r>
          <w:rPr>
            <w:noProof/>
            <w:webHidden/>
          </w:rPr>
          <w:t>1983</w:t>
        </w:r>
        <w:r>
          <w:rPr>
            <w:noProof/>
            <w:webHidden/>
          </w:rPr>
          <w:fldChar w:fldCharType="end"/>
        </w:r>
      </w:hyperlink>
    </w:p>
    <w:p>
      <w:pPr>
        <w:pStyle w:val="TOC2"/>
      </w:pPr>
      <w:hyperlink w:anchor="_Toc300001849" w:history="1">
        <w:r>
          <w:rPr>
            <w:noProof/>
          </w:rPr>
          <w:t xml:space="preserve">Article 52.2: Implementation Fallback</w:t>
        </w:r>
        <w:r>
          <w:rPr>
            <w:noProof/>
            <w:webHidden/>
          </w:rPr>
          <w:tab/>
        </w:r>
        <w:r>
          <w:rPr>
            <w:noProof/>
            <w:webHidden/>
          </w:rPr>
          <w:fldChar w:fldCharType="begin"/>
        </w:r>
        <w:r>
          <w:rPr>
            <w:noProof/>
            <w:webHidden/>
          </w:rPr>
          <w:instrText xml:space="preserve"> PAGEREF _Toc300001849 \h </w:instrText>
        </w:r>
        <w:r>
          <w:rPr>
            <w:noProof/>
            <w:webHidden/>
          </w:rPr>
          <w:fldChar w:fldCharType="separate"/>
        </w:r>
        <w:r>
          <w:rPr>
            <w:noProof/>
            <w:webHidden/>
          </w:rPr>
          <w:t>1983</w:t>
        </w:r>
        <w:r>
          <w:rPr>
            <w:noProof/>
            <w:webHidden/>
          </w:rPr>
          <w:fldChar w:fldCharType="end"/>
        </w:r>
      </w:hyperlink>
    </w:p>
    <w:p>
      <w:pPr>
        <w:pStyle w:val="TOC2"/>
      </w:pPr>
      <w:hyperlink w:anchor="_Toc300001850" w:history="1">
        <w:r>
          <w:rPr>
            <w:noProof/>
          </w:rPr>
          <w:t xml:space="preserve">Article 52.3: Transition Design Rule</w:t>
        </w:r>
        <w:r>
          <w:rPr>
            <w:noProof/>
            <w:webHidden/>
          </w:rPr>
          <w:tab/>
        </w:r>
        <w:r>
          <w:rPr>
            <w:noProof/>
            <w:webHidden/>
          </w:rPr>
          <w:fldChar w:fldCharType="begin"/>
        </w:r>
        <w:r>
          <w:rPr>
            <w:noProof/>
            <w:webHidden/>
          </w:rPr>
          <w:instrText xml:space="preserve"> PAGEREF _Toc300001850 \h </w:instrText>
        </w:r>
        <w:r>
          <w:rPr>
            <w:noProof/>
            <w:webHidden/>
          </w:rPr>
          <w:fldChar w:fldCharType="separate"/>
        </w:r>
        <w:r>
          <w:rPr>
            <w:noProof/>
            <w:webHidden/>
          </w:rPr>
          <w:t>1983</w:t>
        </w:r>
        <w:r>
          <w:rPr>
            <w:noProof/>
            <w:webHidden/>
          </w:rPr>
          <w:fldChar w:fldCharType="end"/>
        </w:r>
      </w:hyperlink>
    </w:p>
    <w:p>
      <w:pPr>
        <w:pStyle w:val="TOC1"/>
      </w:pPr>
      <w:hyperlink w:anchor="_Toc300001851" w:history="1">
        <w:r>
          <w:rPr>
            <w:noProof/>
          </w:rPr>
          <w:t xml:space="preserve">CHAPTER 53 PREDICTABILITY, PATTERN REVIEW, AND ADAPTIVE IMPLEMENTATION</w:t>
        </w:r>
        <w:r>
          <w:rPr>
            <w:noProof/>
            <w:webHidden/>
          </w:rPr>
          <w:tab/>
        </w:r>
        <w:r>
          <w:rPr>
            <w:noProof/>
            <w:webHidden/>
          </w:rPr>
          <w:fldChar w:fldCharType="begin"/>
        </w:r>
        <w:r>
          <w:rPr>
            <w:noProof/>
            <w:webHidden/>
          </w:rPr>
          <w:instrText xml:space="preserve"> PAGEREF _Toc300001851 \h </w:instrText>
        </w:r>
        <w:r>
          <w:rPr>
            <w:noProof/>
            <w:webHidden/>
          </w:rPr>
          <w:fldChar w:fldCharType="separate"/>
        </w:r>
        <w:r>
          <w:rPr>
            <w:noProof/>
            <w:webHidden/>
          </w:rPr>
          <w:t>1985</w:t>
        </w:r>
        <w:r>
          <w:rPr>
            <w:noProof/>
            <w:webHidden/>
          </w:rPr>
          <w:fldChar w:fldCharType="end"/>
        </w:r>
      </w:hyperlink>
    </w:p>
    <w:p>
      <w:pPr>
        <w:pStyle w:val="TOC2"/>
      </w:pPr>
      <w:hyperlink w:anchor="_Toc300001852" w:history="1">
        <w:r>
          <w:rPr>
            <w:noProof/>
          </w:rPr>
          <w:t xml:space="preserve">Article 53.1: Material Trade Measure Notice Rule</w:t>
        </w:r>
        <w:r>
          <w:rPr>
            <w:noProof/>
            <w:webHidden/>
          </w:rPr>
          <w:tab/>
        </w:r>
        <w:r>
          <w:rPr>
            <w:noProof/>
            <w:webHidden/>
          </w:rPr>
          <w:fldChar w:fldCharType="begin"/>
        </w:r>
        <w:r>
          <w:rPr>
            <w:noProof/>
            <w:webHidden/>
          </w:rPr>
          <w:instrText xml:space="preserve"> PAGEREF _Toc300001852 \h </w:instrText>
        </w:r>
        <w:r>
          <w:rPr>
            <w:noProof/>
            <w:webHidden/>
          </w:rPr>
          <w:fldChar w:fldCharType="separate"/>
        </w:r>
        <w:r>
          <w:rPr>
            <w:noProof/>
            <w:webHidden/>
          </w:rPr>
          <w:t>1985</w:t>
        </w:r>
        <w:r>
          <w:rPr>
            <w:noProof/>
            <w:webHidden/>
          </w:rPr>
          <w:fldChar w:fldCharType="end"/>
        </w:r>
      </w:hyperlink>
    </w:p>
    <w:p>
      <w:pPr>
        <w:pStyle w:val="TOC2"/>
      </w:pPr>
      <w:hyperlink w:anchor="_Toc300001853" w:history="1">
        <w:r>
          <w:rPr>
            <w:noProof/>
          </w:rPr>
          <w:t xml:space="preserve">Article 53.2: Administrative Obstruction and Regulatory Surprise Review</w:t>
        </w:r>
        <w:r>
          <w:rPr>
            <w:noProof/>
            <w:webHidden/>
          </w:rPr>
          <w:tab/>
        </w:r>
        <w:r>
          <w:rPr>
            <w:noProof/>
            <w:webHidden/>
          </w:rPr>
          <w:fldChar w:fldCharType="begin"/>
        </w:r>
        <w:r>
          <w:rPr>
            <w:noProof/>
            <w:webHidden/>
          </w:rPr>
          <w:instrText xml:space="preserve"> PAGEREF _Toc300001853 \h </w:instrText>
        </w:r>
        <w:r>
          <w:rPr>
            <w:noProof/>
            <w:webHidden/>
          </w:rPr>
          <w:fldChar w:fldCharType="separate"/>
        </w:r>
        <w:r>
          <w:rPr>
            <w:noProof/>
            <w:webHidden/>
          </w:rPr>
          <w:t>1985</w:t>
        </w:r>
        <w:r>
          <w:rPr>
            <w:noProof/>
            <w:webHidden/>
          </w:rPr>
          <w:fldChar w:fldCharType="end"/>
        </w:r>
      </w:hyperlink>
    </w:p>
    <w:p>
      <w:pPr>
        <w:pStyle w:val="TOC2"/>
      </w:pPr>
      <w:hyperlink w:anchor="_Toc300001854" w:history="1">
        <w:r>
          <w:rPr>
            <w:noProof/>
          </w:rPr>
          <w:t xml:space="preserve">Article 53.3: Pattern-of-Conduct Ledger</w:t>
        </w:r>
        <w:r>
          <w:rPr>
            <w:noProof/>
            <w:webHidden/>
          </w:rPr>
          <w:tab/>
        </w:r>
        <w:r>
          <w:rPr>
            <w:noProof/>
            <w:webHidden/>
          </w:rPr>
          <w:fldChar w:fldCharType="begin"/>
        </w:r>
        <w:r>
          <w:rPr>
            <w:noProof/>
            <w:webHidden/>
          </w:rPr>
          <w:instrText xml:space="preserve"> PAGEREF _Toc300001854 \h </w:instrText>
        </w:r>
        <w:r>
          <w:rPr>
            <w:noProof/>
            <w:webHidden/>
          </w:rPr>
          <w:fldChar w:fldCharType="separate"/>
        </w:r>
        <w:r>
          <w:rPr>
            <w:noProof/>
            <w:webHidden/>
          </w:rPr>
          <w:t>1985</w:t>
        </w:r>
        <w:r>
          <w:rPr>
            <w:noProof/>
            <w:webHidden/>
          </w:rPr>
          <w:fldChar w:fldCharType="end"/>
        </w:r>
      </w:hyperlink>
    </w:p>
    <w:p>
      <w:pPr>
        <w:pStyle w:val="TOC2"/>
      </w:pPr>
      <w:hyperlink w:anchor="_Toc300001855" w:history="1">
        <w:r>
          <w:rPr>
            <w:noProof/>
          </w:rPr>
          <w:t xml:space="preserve">Article 53.4: Compliance Stabilization and Predictability Restoration Pathway</w:t>
        </w:r>
        <w:r>
          <w:rPr>
            <w:noProof/>
            <w:webHidden/>
          </w:rPr>
          <w:tab/>
        </w:r>
        <w:r>
          <w:rPr>
            <w:noProof/>
            <w:webHidden/>
          </w:rPr>
          <w:fldChar w:fldCharType="begin"/>
        </w:r>
        <w:r>
          <w:rPr>
            <w:noProof/>
            <w:webHidden/>
          </w:rPr>
          <w:instrText xml:space="preserve"> PAGEREF _Toc300001855 \h </w:instrText>
        </w:r>
        <w:r>
          <w:rPr>
            <w:noProof/>
            <w:webHidden/>
          </w:rPr>
          <w:fldChar w:fldCharType="separate"/>
        </w:r>
        <w:r>
          <w:rPr>
            <w:noProof/>
            <w:webHidden/>
          </w:rPr>
          <w:t>1986</w:t>
        </w:r>
        <w:r>
          <w:rPr>
            <w:noProof/>
            <w:webHidden/>
          </w:rPr>
          <w:fldChar w:fldCharType="end"/>
        </w:r>
      </w:hyperlink>
    </w:p>
    <w:p>
      <w:pPr>
        <w:pStyle w:val="TOC2"/>
      </w:pPr>
      <w:hyperlink w:anchor="_Toc300001856" w:history="1">
        <w:r>
          <w:rPr>
            <w:noProof/>
          </w:rPr>
          <w:t xml:space="preserve">Article 53.5: Institutional Predictability Calendar</w:t>
        </w:r>
        <w:r>
          <w:rPr>
            <w:noProof/>
            <w:webHidden/>
          </w:rPr>
          <w:tab/>
        </w:r>
        <w:r>
          <w:rPr>
            <w:noProof/>
            <w:webHidden/>
          </w:rPr>
          <w:fldChar w:fldCharType="begin"/>
        </w:r>
        <w:r>
          <w:rPr>
            <w:noProof/>
            <w:webHidden/>
          </w:rPr>
          <w:instrText xml:space="preserve"> PAGEREF _Toc300001856 \h </w:instrText>
        </w:r>
        <w:r>
          <w:rPr>
            <w:noProof/>
            <w:webHidden/>
          </w:rPr>
          <w:fldChar w:fldCharType="separate"/>
        </w:r>
        <w:r>
          <w:rPr>
            <w:noProof/>
            <w:webHidden/>
          </w:rPr>
          <w:t>1986</w:t>
        </w:r>
        <w:r>
          <w:rPr>
            <w:noProof/>
            <w:webHidden/>
          </w:rPr>
          <w:fldChar w:fldCharType="end"/>
        </w:r>
      </w:hyperlink>
    </w:p>
    <w:p>
      <w:pPr>
        <w:pStyle w:val="TOC2"/>
      </w:pPr>
      <w:hyperlink w:anchor="_Toc300001857" w:history="1">
        <w:r>
          <w:rPr>
            <w:noProof/>
          </w:rPr>
          <w:t xml:space="preserve">Article 53.6: Learning Engine and Recursive Improvement</w:t>
        </w:r>
        <w:r>
          <w:rPr>
            <w:noProof/>
            <w:webHidden/>
          </w:rPr>
          <w:tab/>
        </w:r>
        <w:r>
          <w:rPr>
            <w:noProof/>
            <w:webHidden/>
          </w:rPr>
          <w:fldChar w:fldCharType="begin"/>
        </w:r>
        <w:r>
          <w:rPr>
            <w:noProof/>
            <w:webHidden/>
          </w:rPr>
          <w:instrText xml:space="preserve"> PAGEREF _Toc300001857 \h </w:instrText>
        </w:r>
        <w:r>
          <w:rPr>
            <w:noProof/>
            <w:webHidden/>
          </w:rPr>
          <w:fldChar w:fldCharType="separate"/>
        </w:r>
        <w:r>
          <w:rPr>
            <w:noProof/>
            <w:webHidden/>
          </w:rPr>
          <w:t>1986</w:t>
        </w:r>
        <w:r>
          <w:rPr>
            <w:noProof/>
            <w:webHidden/>
          </w:rPr>
          <w:fldChar w:fldCharType="end"/>
        </w:r>
      </w:hyperlink>
    </w:p>
    <w:p>
      <w:pPr>
        <w:pStyle w:val="TOC2"/>
      </w:pPr>
      <w:hyperlink w:anchor="_Toc300001858" w:history="1">
        <w:r>
          <w:rPr>
            <w:noProof/>
          </w:rPr>
          <w:t xml:space="preserve">Article 53.7: Outcome-Based Effectiveness Audit</w:t>
        </w:r>
        <w:r>
          <w:rPr>
            <w:noProof/>
            <w:webHidden/>
          </w:rPr>
          <w:tab/>
        </w:r>
        <w:r>
          <w:rPr>
            <w:noProof/>
            <w:webHidden/>
          </w:rPr>
          <w:fldChar w:fldCharType="begin"/>
        </w:r>
        <w:r>
          <w:rPr>
            <w:noProof/>
            <w:webHidden/>
          </w:rPr>
          <w:instrText xml:space="preserve"> PAGEREF _Toc300001858 \h </w:instrText>
        </w:r>
        <w:r>
          <w:rPr>
            <w:noProof/>
            <w:webHidden/>
          </w:rPr>
          <w:fldChar w:fldCharType="separate"/>
        </w:r>
        <w:r>
          <w:rPr>
            <w:noProof/>
            <w:webHidden/>
          </w:rPr>
          <w:t>1987</w:t>
        </w:r>
        <w:r>
          <w:rPr>
            <w:noProof/>
            <w:webHidden/>
          </w:rPr>
          <w:fldChar w:fldCharType="end"/>
        </w:r>
      </w:hyperlink>
    </w:p>
    <w:p>
      <w:pPr>
        <w:pStyle w:val="TOC2"/>
      </w:pPr>
      <w:hyperlink w:anchor="_Toc300001859" w:history="1">
        <w:r>
          <w:rPr>
            <w:noProof/>
          </w:rPr>
          <w:t xml:space="preserve">Article 53.8: Treaty Restraint Dashboard</w:t>
        </w:r>
        <w:r>
          <w:rPr>
            <w:noProof/>
            <w:webHidden/>
          </w:rPr>
          <w:tab/>
        </w:r>
        <w:r>
          <w:rPr>
            <w:noProof/>
            <w:webHidden/>
          </w:rPr>
          <w:fldChar w:fldCharType="begin"/>
        </w:r>
        <w:r>
          <w:rPr>
            <w:noProof/>
            <w:webHidden/>
          </w:rPr>
          <w:instrText xml:space="preserve"> PAGEREF _Toc300001859 \h </w:instrText>
        </w:r>
        <w:r>
          <w:rPr>
            <w:noProof/>
            <w:webHidden/>
          </w:rPr>
          <w:fldChar w:fldCharType="separate"/>
        </w:r>
        <w:r>
          <w:rPr>
            <w:noProof/>
            <w:webHidden/>
          </w:rPr>
          <w:t>1987</w:t>
        </w:r>
        <w:r>
          <w:rPr>
            <w:noProof/>
            <w:webHidden/>
          </w:rPr>
          <w:fldChar w:fldCharType="end"/>
        </w:r>
      </w:hyperlink>
    </w:p>
    <w:p>
      <w:pPr>
        <w:pStyle w:val="TOC1"/>
      </w:pPr>
      <w:hyperlink w:anchor="_Toc300001860" w:history="1">
        <w:r>
          <w:rPr>
            <w:noProof/>
          </w:rPr>
          <w:t xml:space="preserve">CHAPTER 54 PRIVATE-SECTOR CONTINUITY, INTEGRITY, AND COMMERCIAL EARLY WARNING</w:t>
        </w:r>
        <w:r>
          <w:rPr>
            <w:noProof/>
            <w:webHidden/>
          </w:rPr>
          <w:tab/>
        </w:r>
        <w:r>
          <w:rPr>
            <w:noProof/>
            <w:webHidden/>
          </w:rPr>
          <w:fldChar w:fldCharType="begin"/>
        </w:r>
        <w:r>
          <w:rPr>
            <w:noProof/>
            <w:webHidden/>
          </w:rPr>
          <w:instrText xml:space="preserve"> PAGEREF _Toc300001860 \h </w:instrText>
        </w:r>
        <w:r>
          <w:rPr>
            <w:noProof/>
            <w:webHidden/>
          </w:rPr>
          <w:fldChar w:fldCharType="separate"/>
        </w:r>
        <w:r>
          <w:rPr>
            <w:noProof/>
            <w:webHidden/>
          </w:rPr>
          <w:t>1988</w:t>
        </w:r>
        <w:r>
          <w:rPr>
            <w:noProof/>
            <w:webHidden/>
          </w:rPr>
          <w:fldChar w:fldCharType="end"/>
        </w:r>
      </w:hyperlink>
    </w:p>
    <w:p>
      <w:pPr>
        <w:pStyle w:val="TOC2"/>
      </w:pPr>
      <w:hyperlink w:anchor="_Toc300001861" w:history="1">
        <w:r>
          <w:rPr>
            <w:noProof/>
          </w:rPr>
          <w:t xml:space="preserve">Article 54.1: Private-Sector Compliance Principles</w:t>
        </w:r>
        <w:r>
          <w:rPr>
            <w:noProof/>
            <w:webHidden/>
          </w:rPr>
          <w:tab/>
        </w:r>
        <w:r>
          <w:rPr>
            <w:noProof/>
            <w:webHidden/>
          </w:rPr>
          <w:fldChar w:fldCharType="begin"/>
        </w:r>
        <w:r>
          <w:rPr>
            <w:noProof/>
            <w:webHidden/>
          </w:rPr>
          <w:instrText xml:space="preserve"> PAGEREF _Toc300001861 \h </w:instrText>
        </w:r>
        <w:r>
          <w:rPr>
            <w:noProof/>
            <w:webHidden/>
          </w:rPr>
          <w:fldChar w:fldCharType="separate"/>
        </w:r>
        <w:r>
          <w:rPr>
            <w:noProof/>
            <w:webHidden/>
          </w:rPr>
          <w:t>1988</w:t>
        </w:r>
        <w:r>
          <w:rPr>
            <w:noProof/>
            <w:webHidden/>
          </w:rPr>
          <w:fldChar w:fldCharType="end"/>
        </w:r>
      </w:hyperlink>
    </w:p>
    <w:p>
      <w:pPr>
        <w:pStyle w:val="TOC2"/>
      </w:pPr>
      <w:hyperlink w:anchor="_Toc300001862" w:history="1">
        <w:r>
          <w:rPr>
            <w:noProof/>
          </w:rPr>
          <w:t xml:space="preserve">Article 54.2: Commercial Friction Early Warning Channel</w:t>
        </w:r>
        <w:r>
          <w:rPr>
            <w:noProof/>
            <w:webHidden/>
          </w:rPr>
          <w:tab/>
        </w:r>
        <w:r>
          <w:rPr>
            <w:noProof/>
            <w:webHidden/>
          </w:rPr>
          <w:fldChar w:fldCharType="begin"/>
        </w:r>
        <w:r>
          <w:rPr>
            <w:noProof/>
            <w:webHidden/>
          </w:rPr>
          <w:instrText xml:space="preserve"> PAGEREF _Toc300001862 \h </w:instrText>
        </w:r>
        <w:r>
          <w:rPr>
            <w:noProof/>
            <w:webHidden/>
          </w:rPr>
          <w:fldChar w:fldCharType="separate"/>
        </w:r>
        <w:r>
          <w:rPr>
            <w:noProof/>
            <w:webHidden/>
          </w:rPr>
          <w:t>1988</w:t>
        </w:r>
        <w:r>
          <w:rPr>
            <w:noProof/>
            <w:webHidden/>
          </w:rPr>
          <w:fldChar w:fldCharType="end"/>
        </w:r>
      </w:hyperlink>
    </w:p>
    <w:p>
      <w:pPr>
        <w:pStyle w:val="TOC2"/>
      </w:pPr>
      <w:hyperlink w:anchor="_Toc300001863" w:history="1">
        <w:r>
          <w:rPr>
            <w:noProof/>
          </w:rPr>
          <w:t xml:space="preserve">Article 54.3: Business Continuity Safe Harbor</w:t>
        </w:r>
        <w:r>
          <w:rPr>
            <w:noProof/>
            <w:webHidden/>
          </w:rPr>
          <w:tab/>
        </w:r>
        <w:r>
          <w:rPr>
            <w:noProof/>
            <w:webHidden/>
          </w:rPr>
          <w:fldChar w:fldCharType="begin"/>
        </w:r>
        <w:r>
          <w:rPr>
            <w:noProof/>
            <w:webHidden/>
          </w:rPr>
          <w:instrText xml:space="preserve"> PAGEREF _Toc300001863 \h </w:instrText>
        </w:r>
        <w:r>
          <w:rPr>
            <w:noProof/>
            <w:webHidden/>
          </w:rPr>
          <w:fldChar w:fldCharType="separate"/>
        </w:r>
        <w:r>
          <w:rPr>
            <w:noProof/>
            <w:webHidden/>
          </w:rPr>
          <w:t>1988</w:t>
        </w:r>
        <w:r>
          <w:rPr>
            <w:noProof/>
            <w:webHidden/>
          </w:rPr>
          <w:fldChar w:fldCharType="end"/>
        </w:r>
      </w:hyperlink>
    </w:p>
    <w:p>
      <w:pPr>
        <w:pStyle w:val="TOC2"/>
      </w:pPr>
      <w:hyperlink w:anchor="_Toc300001864" w:history="1">
        <w:r>
          <w:rPr>
            <w:noProof/>
          </w:rPr>
          <w:t xml:space="preserve">Article 54.4: Continuity-Certified Supplier Program</w:t>
        </w:r>
        <w:r>
          <w:rPr>
            <w:noProof/>
            <w:webHidden/>
          </w:rPr>
          <w:tab/>
        </w:r>
        <w:r>
          <w:rPr>
            <w:noProof/>
            <w:webHidden/>
          </w:rPr>
          <w:fldChar w:fldCharType="begin"/>
        </w:r>
        <w:r>
          <w:rPr>
            <w:noProof/>
            <w:webHidden/>
          </w:rPr>
          <w:instrText xml:space="preserve"> PAGEREF _Toc300001864 \h </w:instrText>
        </w:r>
        <w:r>
          <w:rPr>
            <w:noProof/>
            <w:webHidden/>
          </w:rPr>
          <w:fldChar w:fldCharType="separate"/>
        </w:r>
        <w:r>
          <w:rPr>
            <w:noProof/>
            <w:webHidden/>
          </w:rPr>
          <w:t>1989</w:t>
        </w:r>
        <w:r>
          <w:rPr>
            <w:noProof/>
            <w:webHidden/>
          </w:rPr>
          <w:fldChar w:fldCharType="end"/>
        </w:r>
      </w:hyperlink>
    </w:p>
    <w:p>
      <w:pPr>
        <w:pStyle w:val="TOC2"/>
      </w:pPr>
      <w:hyperlink w:anchor="_Toc300001865" w:history="1">
        <w:r>
          <w:rPr>
            <w:noProof/>
          </w:rPr>
          <w:t xml:space="preserve">Article 54.5: Standing Expert Rotation and Independence</w:t>
        </w:r>
        <w:r>
          <w:rPr>
            <w:noProof/>
            <w:webHidden/>
          </w:rPr>
          <w:tab/>
        </w:r>
        <w:r>
          <w:rPr>
            <w:noProof/>
            <w:webHidden/>
          </w:rPr>
          <w:fldChar w:fldCharType="begin"/>
        </w:r>
        <w:r>
          <w:rPr>
            <w:noProof/>
            <w:webHidden/>
          </w:rPr>
          <w:instrText xml:space="preserve"> PAGEREF _Toc300001865 \h </w:instrText>
        </w:r>
        <w:r>
          <w:rPr>
            <w:noProof/>
            <w:webHidden/>
          </w:rPr>
          <w:fldChar w:fldCharType="separate"/>
        </w:r>
        <w:r>
          <w:rPr>
            <w:noProof/>
            <w:webHidden/>
          </w:rPr>
          <w:t>1989</w:t>
        </w:r>
        <w:r>
          <w:rPr>
            <w:noProof/>
            <w:webHidden/>
          </w:rPr>
          <w:fldChar w:fldCharType="end"/>
        </w:r>
      </w:hyperlink>
    </w:p>
    <w:p>
      <w:pPr>
        <w:pStyle w:val="TOC2"/>
      </w:pPr>
      <w:hyperlink w:anchor="_Toc300001866" w:history="1">
        <w:r>
          <w:rPr>
            <w:noProof/>
          </w:rPr>
          <w:t xml:space="preserve">Article 54.6: Treaty Integrity Function and Protected Reporting</w:t>
        </w:r>
        <w:r>
          <w:rPr>
            <w:noProof/>
            <w:webHidden/>
          </w:rPr>
          <w:tab/>
        </w:r>
        <w:r>
          <w:rPr>
            <w:noProof/>
            <w:webHidden/>
          </w:rPr>
          <w:fldChar w:fldCharType="begin"/>
        </w:r>
        <w:r>
          <w:rPr>
            <w:noProof/>
            <w:webHidden/>
          </w:rPr>
          <w:instrText xml:space="preserve"> PAGEREF _Toc300001866 \h </w:instrText>
        </w:r>
        <w:r>
          <w:rPr>
            <w:noProof/>
            <w:webHidden/>
          </w:rPr>
          <w:fldChar w:fldCharType="separate"/>
        </w:r>
        <w:r>
          <w:rPr>
            <w:noProof/>
            <w:webHidden/>
          </w:rPr>
          <w:t>1989</w:t>
        </w:r>
        <w:r>
          <w:rPr>
            <w:noProof/>
            <w:webHidden/>
          </w:rPr>
          <w:fldChar w:fldCharType="end"/>
        </w:r>
      </w:hyperlink>
    </w:p>
    <w:p>
      <w:pPr>
        <w:pStyle w:val="TOC1"/>
      </w:pPr>
      <w:hyperlink w:anchor="_Toc300001867" w:history="1">
        <w:r>
          <w:rPr>
            <w:noProof/>
          </w:rPr>
          <w:t xml:space="preserve">CHAPTER 55 STRATEGIC MATERIALS AND LOGISTICS CONTINUITY</w:t>
        </w:r>
        <w:r>
          <w:rPr>
            <w:noProof/>
            <w:webHidden/>
          </w:rPr>
          <w:tab/>
        </w:r>
        <w:r>
          <w:rPr>
            <w:noProof/>
            <w:webHidden/>
          </w:rPr>
          <w:fldChar w:fldCharType="begin"/>
        </w:r>
        <w:r>
          <w:rPr>
            <w:noProof/>
            <w:webHidden/>
          </w:rPr>
          <w:instrText xml:space="preserve"> PAGEREF _Toc300001867 \h </w:instrText>
        </w:r>
        <w:r>
          <w:rPr>
            <w:noProof/>
            <w:webHidden/>
          </w:rPr>
          <w:fldChar w:fldCharType="separate"/>
        </w:r>
        <w:r>
          <w:rPr>
            <w:noProof/>
            <w:webHidden/>
          </w:rPr>
          <w:t>1990</w:t>
        </w:r>
        <w:r>
          <w:rPr>
            <w:noProof/>
            <w:webHidden/>
          </w:rPr>
          <w:fldChar w:fldCharType="end"/>
        </w:r>
      </w:hyperlink>
    </w:p>
    <w:p>
      <w:pPr>
        <w:pStyle w:val="TOC2"/>
      </w:pPr>
      <w:hyperlink w:anchor="_Toc300001868" w:history="1">
        <w:r>
          <w:rPr>
            <w:noProof/>
          </w:rPr>
          <w:t xml:space="preserve">Article 55.1: Processed Strategic Materials Reserve Framework</w:t>
        </w:r>
        <w:r>
          <w:rPr>
            <w:noProof/>
            <w:webHidden/>
          </w:rPr>
          <w:tab/>
        </w:r>
        <w:r>
          <w:rPr>
            <w:noProof/>
            <w:webHidden/>
          </w:rPr>
          <w:fldChar w:fldCharType="begin"/>
        </w:r>
        <w:r>
          <w:rPr>
            <w:noProof/>
            <w:webHidden/>
          </w:rPr>
          <w:instrText xml:space="preserve"> PAGEREF _Toc300001868 \h </w:instrText>
        </w:r>
        <w:r>
          <w:rPr>
            <w:noProof/>
            <w:webHidden/>
          </w:rPr>
          <w:fldChar w:fldCharType="separate"/>
        </w:r>
        <w:r>
          <w:rPr>
            <w:noProof/>
            <w:webHidden/>
          </w:rPr>
          <w:t>1990</w:t>
        </w:r>
        <w:r>
          <w:rPr>
            <w:noProof/>
            <w:webHidden/>
          </w:rPr>
          <w:fldChar w:fldCharType="end"/>
        </w:r>
      </w:hyperlink>
    </w:p>
    <w:p>
      <w:pPr>
        <w:pStyle w:val="TOC2"/>
      </w:pPr>
      <w:hyperlink w:anchor="_Toc300001869" w:history="1">
        <w:r>
          <w:rPr>
            <w:noProof/>
          </w:rPr>
          <w:t xml:space="preserve">Article 55.2: Emergency Logistics Surge Arrangements</w:t>
        </w:r>
        <w:r>
          <w:rPr>
            <w:noProof/>
            <w:webHidden/>
          </w:rPr>
          <w:tab/>
        </w:r>
        <w:r>
          <w:rPr>
            <w:noProof/>
            <w:webHidden/>
          </w:rPr>
          <w:fldChar w:fldCharType="begin"/>
        </w:r>
        <w:r>
          <w:rPr>
            <w:noProof/>
            <w:webHidden/>
          </w:rPr>
          <w:instrText xml:space="preserve"> PAGEREF _Toc300001869 \h </w:instrText>
        </w:r>
        <w:r>
          <w:rPr>
            <w:noProof/>
            <w:webHidden/>
          </w:rPr>
          <w:fldChar w:fldCharType="separate"/>
        </w:r>
        <w:r>
          <w:rPr>
            <w:noProof/>
            <w:webHidden/>
          </w:rPr>
          <w:t>1990</w:t>
        </w:r>
        <w:r>
          <w:rPr>
            <w:noProof/>
            <w:webHidden/>
          </w:rPr>
          <w:fldChar w:fldCharType="end"/>
        </w:r>
      </w:hyperlink>
    </w:p>
    <w:p>
      <w:pPr>
        <w:pStyle w:val="TOC2"/>
      </w:pPr>
      <w:hyperlink w:anchor="_Toc300001870" w:history="1">
        <w:r>
          <w:rPr>
            <w:noProof/>
          </w:rPr>
          <w:t xml:space="preserve">Article 55.3: North American Trade Facilitation Corridors</w:t>
        </w:r>
        <w:r>
          <w:rPr>
            <w:noProof/>
            <w:webHidden/>
          </w:rPr>
          <w:tab/>
        </w:r>
        <w:r>
          <w:rPr>
            <w:noProof/>
            <w:webHidden/>
          </w:rPr>
          <w:fldChar w:fldCharType="begin"/>
        </w:r>
        <w:r>
          <w:rPr>
            <w:noProof/>
            <w:webHidden/>
          </w:rPr>
          <w:instrText xml:space="preserve"> PAGEREF _Toc300001870 \h </w:instrText>
        </w:r>
        <w:r>
          <w:rPr>
            <w:noProof/>
            <w:webHidden/>
          </w:rPr>
          <w:fldChar w:fldCharType="separate"/>
        </w:r>
        <w:r>
          <w:rPr>
            <w:noProof/>
            <w:webHidden/>
          </w:rPr>
          <w:t>1990</w:t>
        </w:r>
        <w:r>
          <w:rPr>
            <w:noProof/>
            <w:webHidden/>
          </w:rPr>
          <w:fldChar w:fldCharType="end"/>
        </w:r>
      </w:hyperlink>
    </w:p>
    <w:p>
      <w:pPr>
        <w:pStyle w:val="TOC2"/>
      </w:pPr>
      <w:hyperlink w:anchor="_Toc300001871" w:history="1">
        <w:r>
          <w:rPr>
            <w:noProof/>
          </w:rPr>
          <w:t xml:space="preserve">Article 55.4: Strategic Supply Pre-Investment and Capacity Mapping</w:t>
        </w:r>
        <w:r>
          <w:rPr>
            <w:noProof/>
            <w:webHidden/>
          </w:rPr>
          <w:tab/>
        </w:r>
        <w:r>
          <w:rPr>
            <w:noProof/>
            <w:webHidden/>
          </w:rPr>
          <w:fldChar w:fldCharType="begin"/>
        </w:r>
        <w:r>
          <w:rPr>
            <w:noProof/>
            <w:webHidden/>
          </w:rPr>
          <w:instrText xml:space="preserve"> PAGEREF _Toc300001871 \h </w:instrText>
        </w:r>
        <w:r>
          <w:rPr>
            <w:noProof/>
            <w:webHidden/>
          </w:rPr>
          <w:fldChar w:fldCharType="separate"/>
        </w:r>
        <w:r>
          <w:rPr>
            <w:noProof/>
            <w:webHidden/>
          </w:rPr>
          <w:t>1991</w:t>
        </w:r>
        <w:r>
          <w:rPr>
            <w:noProof/>
            <w:webHidden/>
          </w:rPr>
          <w:fldChar w:fldCharType="end"/>
        </w:r>
      </w:hyperlink>
    </w:p>
    <w:p>
      <w:pPr>
        <w:pStyle w:val="TOC2"/>
      </w:pPr>
      <w:hyperlink w:anchor="_Toc300001872" w:history="1">
        <w:r>
          <w:rPr>
            <w:noProof/>
          </w:rPr>
          <w:t xml:space="preserve">Article 55.5: Essential-Imports Continuity Principle</w:t>
        </w:r>
        <w:r>
          <w:rPr>
            <w:noProof/>
            <w:webHidden/>
          </w:rPr>
          <w:tab/>
        </w:r>
        <w:r>
          <w:rPr>
            <w:noProof/>
            <w:webHidden/>
          </w:rPr>
          <w:fldChar w:fldCharType="begin"/>
        </w:r>
        <w:r>
          <w:rPr>
            <w:noProof/>
            <w:webHidden/>
          </w:rPr>
          <w:instrText xml:space="preserve"> PAGEREF _Toc300001872 \h </w:instrText>
        </w:r>
        <w:r>
          <w:rPr>
            <w:noProof/>
            <w:webHidden/>
          </w:rPr>
          <w:fldChar w:fldCharType="separate"/>
        </w:r>
        <w:r>
          <w:rPr>
            <w:noProof/>
            <w:webHidden/>
          </w:rPr>
          <w:t>1991</w:t>
        </w:r>
        <w:r>
          <w:rPr>
            <w:noProof/>
            <w:webHidden/>
          </w:rPr>
          <w:fldChar w:fldCharType="end"/>
        </w:r>
      </w:hyperlink>
    </w:p>
    <w:p>
      <w:pPr>
        <w:pStyle w:val="TOC2"/>
      </w:pPr>
      <w:hyperlink w:anchor="_Toc300001873" w:history="1">
        <w:r>
          <w:rPr>
            <w:noProof/>
          </w:rPr>
          <w:t xml:space="preserve">ANNEX 34-I: CUSMA OPERATIONAL MANUAL AND TIERED INSTRUMENT HIERARCHY</w:t>
        </w:r>
        <w:r>
          <w:rPr>
            <w:noProof/>
            <w:webHidden/>
          </w:rPr>
          <w:tab/>
        </w:r>
        <w:r>
          <w:rPr>
            <w:noProof/>
            <w:webHidden/>
          </w:rPr>
          <w:fldChar w:fldCharType="begin"/>
        </w:r>
        <w:r>
          <w:rPr>
            <w:noProof/>
            <w:webHidden/>
          </w:rPr>
          <w:instrText xml:space="preserve"> PAGEREF _Toc300001873 \h </w:instrText>
        </w:r>
        <w:r>
          <w:rPr>
            <w:noProof/>
            <w:webHidden/>
          </w:rPr>
          <w:fldChar w:fldCharType="separate"/>
        </w:r>
        <w:r>
          <w:rPr>
            <w:noProof/>
            <w:webHidden/>
          </w:rPr>
          <w:t>1991</w:t>
        </w:r>
        <w:r>
          <w:rPr>
            <w:noProof/>
            <w:webHidden/>
          </w:rPr>
          <w:fldChar w:fldCharType="end"/>
        </w:r>
      </w:hyperlink>
    </w:p>
    <w:p>
      <w:pPr>
        <w:pStyle w:val="TOC1"/>
      </w:pPr>
      <w:hyperlink w:anchor="_Toc300001874" w:history="1">
        <w:r>
          <w:rPr>
            <w:noProof/>
          </w:rPr>
          <w:t xml:space="preserve">CHAPTER 56 ADAPTIVE THRESHOLDS, INSTITUTIONAL MEMORY, AND CONTROLLED EXPERIMENTATION</w:t>
        </w:r>
        <w:r>
          <w:rPr>
            <w:noProof/>
            <w:webHidden/>
          </w:rPr>
          <w:tab/>
        </w:r>
        <w:r>
          <w:rPr>
            <w:noProof/>
            <w:webHidden/>
          </w:rPr>
          <w:fldChar w:fldCharType="begin"/>
        </w:r>
        <w:r>
          <w:rPr>
            <w:noProof/>
            <w:webHidden/>
          </w:rPr>
          <w:instrText xml:space="preserve"> PAGEREF _Toc300001874 \h </w:instrText>
        </w:r>
        <w:r>
          <w:rPr>
            <w:noProof/>
            <w:webHidden/>
          </w:rPr>
          <w:fldChar w:fldCharType="separate"/>
        </w:r>
        <w:r>
          <w:rPr>
            <w:noProof/>
            <w:webHidden/>
          </w:rPr>
          <w:t>1993</w:t>
        </w:r>
        <w:r>
          <w:rPr>
            <w:noProof/>
            <w:webHidden/>
          </w:rPr>
          <w:fldChar w:fldCharType="end"/>
        </w:r>
      </w:hyperlink>
    </w:p>
    <w:p>
      <w:pPr>
        <w:pStyle w:val="TOC2"/>
      </w:pPr>
      <w:hyperlink w:anchor="_Toc300001875" w:history="1">
        <w:r>
          <w:rPr>
            <w:noProof/>
          </w:rPr>
          <w:t xml:space="preserve">Article 56.1: Stability-Band Thresholds</w:t>
        </w:r>
        <w:r>
          <w:rPr>
            <w:noProof/>
            <w:webHidden/>
          </w:rPr>
          <w:tab/>
        </w:r>
        <w:r>
          <w:rPr>
            <w:noProof/>
            <w:webHidden/>
          </w:rPr>
          <w:fldChar w:fldCharType="begin"/>
        </w:r>
        <w:r>
          <w:rPr>
            <w:noProof/>
            <w:webHidden/>
          </w:rPr>
          <w:instrText xml:space="preserve"> PAGEREF _Toc300001875 \h </w:instrText>
        </w:r>
        <w:r>
          <w:rPr>
            <w:noProof/>
            <w:webHidden/>
          </w:rPr>
          <w:fldChar w:fldCharType="separate"/>
        </w:r>
        <w:r>
          <w:rPr>
            <w:noProof/>
            <w:webHidden/>
          </w:rPr>
          <w:t>1993</w:t>
        </w:r>
        <w:r>
          <w:rPr>
            <w:noProof/>
            <w:webHidden/>
          </w:rPr>
          <w:fldChar w:fldCharType="end"/>
        </w:r>
      </w:hyperlink>
    </w:p>
    <w:p>
      <w:pPr>
        <w:pStyle w:val="TOC2"/>
      </w:pPr>
      <w:hyperlink w:anchor="_Toc300001876" w:history="1">
        <w:r>
          <w:rPr>
            <w:noProof/>
          </w:rPr>
          <w:t xml:space="preserve">Article 56.2: Compliance History Decay and Clean-Record Restoration</w:t>
        </w:r>
        <w:r>
          <w:rPr>
            <w:noProof/>
            <w:webHidden/>
          </w:rPr>
          <w:tab/>
        </w:r>
        <w:r>
          <w:rPr>
            <w:noProof/>
            <w:webHidden/>
          </w:rPr>
          <w:fldChar w:fldCharType="begin"/>
        </w:r>
        <w:r>
          <w:rPr>
            <w:noProof/>
            <w:webHidden/>
          </w:rPr>
          <w:instrText xml:space="preserve"> PAGEREF _Toc300001876 \h </w:instrText>
        </w:r>
        <w:r>
          <w:rPr>
            <w:noProof/>
            <w:webHidden/>
          </w:rPr>
          <w:fldChar w:fldCharType="separate"/>
        </w:r>
        <w:r>
          <w:rPr>
            <w:noProof/>
            <w:webHidden/>
          </w:rPr>
          <w:t>1993</w:t>
        </w:r>
        <w:r>
          <w:rPr>
            <w:noProof/>
            <w:webHidden/>
          </w:rPr>
          <w:fldChar w:fldCharType="end"/>
        </w:r>
      </w:hyperlink>
    </w:p>
    <w:p>
      <w:pPr>
        <w:pStyle w:val="TOC2"/>
      </w:pPr>
      <w:hyperlink w:anchor="_Toc300001877" w:history="1">
        <w:r>
          <w:rPr>
            <w:noProof/>
          </w:rPr>
          <w:t xml:space="preserve">Article 56.3: Multi-Party Authorization Controls</w:t>
        </w:r>
        <w:r>
          <w:rPr>
            <w:noProof/>
            <w:webHidden/>
          </w:rPr>
          <w:tab/>
        </w:r>
        <w:r>
          <w:rPr>
            <w:noProof/>
            <w:webHidden/>
          </w:rPr>
          <w:fldChar w:fldCharType="begin"/>
        </w:r>
        <w:r>
          <w:rPr>
            <w:noProof/>
            <w:webHidden/>
          </w:rPr>
          <w:instrText xml:space="preserve"> PAGEREF _Toc300001877 \h </w:instrText>
        </w:r>
        <w:r>
          <w:rPr>
            <w:noProof/>
            <w:webHidden/>
          </w:rPr>
          <w:fldChar w:fldCharType="separate"/>
        </w:r>
        <w:r>
          <w:rPr>
            <w:noProof/>
            <w:webHidden/>
          </w:rPr>
          <w:t>1993</w:t>
        </w:r>
        <w:r>
          <w:rPr>
            <w:noProof/>
            <w:webHidden/>
          </w:rPr>
          <w:fldChar w:fldCharType="end"/>
        </w:r>
      </w:hyperlink>
    </w:p>
    <w:p>
      <w:pPr>
        <w:pStyle w:val="TOC2"/>
      </w:pPr>
      <w:hyperlink w:anchor="_Toc300001878" w:history="1">
        <w:r>
          <w:rPr>
            <w:noProof/>
          </w:rPr>
          <w:t xml:space="preserve">Article 56.4: Dormant Authority Expiry</w:t>
        </w:r>
        <w:r>
          <w:rPr>
            <w:noProof/>
            <w:webHidden/>
          </w:rPr>
          <w:tab/>
        </w:r>
        <w:r>
          <w:rPr>
            <w:noProof/>
            <w:webHidden/>
          </w:rPr>
          <w:fldChar w:fldCharType="begin"/>
        </w:r>
        <w:r>
          <w:rPr>
            <w:noProof/>
            <w:webHidden/>
          </w:rPr>
          <w:instrText xml:space="preserve"> PAGEREF _Toc300001878 \h </w:instrText>
        </w:r>
        <w:r>
          <w:rPr>
            <w:noProof/>
            <w:webHidden/>
          </w:rPr>
          <w:fldChar w:fldCharType="separate"/>
        </w:r>
        <w:r>
          <w:rPr>
            <w:noProof/>
            <w:webHidden/>
          </w:rPr>
          <w:t>1994</w:t>
        </w:r>
        <w:r>
          <w:rPr>
            <w:noProof/>
            <w:webHidden/>
          </w:rPr>
          <w:fldChar w:fldCharType="end"/>
        </w:r>
      </w:hyperlink>
    </w:p>
    <w:p>
      <w:pPr>
        <w:pStyle w:val="TOC2"/>
      </w:pPr>
      <w:hyperlink w:anchor="_Toc300001879" w:history="1">
        <w:r>
          <w:rPr>
            <w:noProof/>
          </w:rPr>
          <w:t xml:space="preserve">Article 56.5: Interpretive Uncertainty Register</w:t>
        </w:r>
        <w:r>
          <w:rPr>
            <w:noProof/>
            <w:webHidden/>
          </w:rPr>
          <w:tab/>
        </w:r>
        <w:r>
          <w:rPr>
            <w:noProof/>
            <w:webHidden/>
          </w:rPr>
          <w:fldChar w:fldCharType="begin"/>
        </w:r>
        <w:r>
          <w:rPr>
            <w:noProof/>
            <w:webHidden/>
          </w:rPr>
          <w:instrText xml:space="preserve"> PAGEREF _Toc300001879 \h </w:instrText>
        </w:r>
        <w:r>
          <w:rPr>
            <w:noProof/>
            <w:webHidden/>
          </w:rPr>
          <w:fldChar w:fldCharType="separate"/>
        </w:r>
        <w:r>
          <w:rPr>
            <w:noProof/>
            <w:webHidden/>
          </w:rPr>
          <w:t>1994</w:t>
        </w:r>
        <w:r>
          <w:rPr>
            <w:noProof/>
            <w:webHidden/>
          </w:rPr>
          <w:fldChar w:fldCharType="end"/>
        </w:r>
      </w:hyperlink>
    </w:p>
    <w:p>
      <w:pPr>
        <w:pStyle w:val="TOC2"/>
      </w:pPr>
      <w:hyperlink w:anchor="_Toc300001880" w:history="1">
        <w:r>
          <w:rPr>
            <w:noProof/>
          </w:rPr>
          <w:t xml:space="preserve">Article 56.6: Equivalent Implementation Pilot Framework</w:t>
        </w:r>
        <w:r>
          <w:rPr>
            <w:noProof/>
            <w:webHidden/>
          </w:rPr>
          <w:tab/>
        </w:r>
        <w:r>
          <w:rPr>
            <w:noProof/>
            <w:webHidden/>
          </w:rPr>
          <w:fldChar w:fldCharType="begin"/>
        </w:r>
        <w:r>
          <w:rPr>
            <w:noProof/>
            <w:webHidden/>
          </w:rPr>
          <w:instrText xml:space="preserve"> PAGEREF _Toc300001880 \h </w:instrText>
        </w:r>
        <w:r>
          <w:rPr>
            <w:noProof/>
            <w:webHidden/>
          </w:rPr>
          <w:fldChar w:fldCharType="separate"/>
        </w:r>
        <w:r>
          <w:rPr>
            <w:noProof/>
            <w:webHidden/>
          </w:rPr>
          <w:t>1994</w:t>
        </w:r>
        <w:r>
          <w:rPr>
            <w:noProof/>
            <w:webHidden/>
          </w:rPr>
          <w:fldChar w:fldCharType="end"/>
        </w:r>
      </w:hyperlink>
    </w:p>
    <w:p>
      <w:pPr>
        <w:pStyle w:val="TOC2"/>
      </w:pPr>
      <w:hyperlink w:anchor="_Toc300001881" w:history="1">
        <w:r>
          <w:rPr>
            <w:noProof/>
          </w:rPr>
          <w:t xml:space="preserve">Article 56.7: Tiered Trust and Privilege Unlocking</w:t>
        </w:r>
        <w:r>
          <w:rPr>
            <w:noProof/>
            <w:webHidden/>
          </w:rPr>
          <w:tab/>
        </w:r>
        <w:r>
          <w:rPr>
            <w:noProof/>
            <w:webHidden/>
          </w:rPr>
          <w:fldChar w:fldCharType="begin"/>
        </w:r>
        <w:r>
          <w:rPr>
            <w:noProof/>
            <w:webHidden/>
          </w:rPr>
          <w:instrText xml:space="preserve"> PAGEREF _Toc300001881 \h </w:instrText>
        </w:r>
        <w:r>
          <w:rPr>
            <w:noProof/>
            <w:webHidden/>
          </w:rPr>
          <w:fldChar w:fldCharType="separate"/>
        </w:r>
        <w:r>
          <w:rPr>
            <w:noProof/>
            <w:webHidden/>
          </w:rPr>
          <w:t>1995</w:t>
        </w:r>
        <w:r>
          <w:rPr>
            <w:noProof/>
            <w:webHidden/>
          </w:rPr>
          <w:fldChar w:fldCharType="end"/>
        </w:r>
      </w:hyperlink>
    </w:p>
    <w:p>
      <w:pPr>
        <w:pStyle w:val="TOC2"/>
      </w:pPr>
      <w:hyperlink w:anchor="_Toc300001882" w:history="1">
        <w:r>
          <w:rPr>
            <w:noProof/>
          </w:rPr>
          <w:t xml:space="preserve">Article 56.8: Equivalent Contribution Accounting</w:t>
        </w:r>
        <w:r>
          <w:rPr>
            <w:noProof/>
            <w:webHidden/>
          </w:rPr>
          <w:tab/>
        </w:r>
        <w:r>
          <w:rPr>
            <w:noProof/>
            <w:webHidden/>
          </w:rPr>
          <w:fldChar w:fldCharType="begin"/>
        </w:r>
        <w:r>
          <w:rPr>
            <w:noProof/>
            <w:webHidden/>
          </w:rPr>
          <w:instrText xml:space="preserve"> PAGEREF _Toc300001882 \h </w:instrText>
        </w:r>
        <w:r>
          <w:rPr>
            <w:noProof/>
            <w:webHidden/>
          </w:rPr>
          <w:fldChar w:fldCharType="separate"/>
        </w:r>
        <w:r>
          <w:rPr>
            <w:noProof/>
            <w:webHidden/>
          </w:rPr>
          <w:t>1995</w:t>
        </w:r>
        <w:r>
          <w:rPr>
            <w:noProof/>
            <w:webHidden/>
          </w:rPr>
          <w:fldChar w:fldCharType="end"/>
        </w:r>
      </w:hyperlink>
    </w:p>
    <w:p>
      <w:pPr>
        <w:pStyle w:val="TOC1"/>
      </w:pPr>
      <w:hyperlink w:anchor="_Toc300001883" w:history="1">
        <w:r>
          <w:rPr>
            <w:noProof/>
          </w:rPr>
          <w:t xml:space="preserve">CHAPTER 57 FAILURE CONTAINMENT, SERVICE CONTINUITY, AND DISTRIBUTED COORDINATION</w:t>
        </w:r>
        <w:r>
          <w:rPr>
            <w:noProof/>
            <w:webHidden/>
          </w:rPr>
          <w:tab/>
        </w:r>
        <w:r>
          <w:rPr>
            <w:noProof/>
            <w:webHidden/>
          </w:rPr>
          <w:fldChar w:fldCharType="begin"/>
        </w:r>
        <w:r>
          <w:rPr>
            <w:noProof/>
            <w:webHidden/>
          </w:rPr>
          <w:instrText xml:space="preserve"> PAGEREF _Toc300001883 \h </w:instrText>
        </w:r>
        <w:r>
          <w:rPr>
            <w:noProof/>
            <w:webHidden/>
          </w:rPr>
          <w:fldChar w:fldCharType="separate"/>
        </w:r>
        <w:r>
          <w:rPr>
            <w:noProof/>
            <w:webHidden/>
          </w:rPr>
          <w:t>1996</w:t>
        </w:r>
        <w:r>
          <w:rPr>
            <w:noProof/>
            <w:webHidden/>
          </w:rPr>
          <w:fldChar w:fldCharType="end"/>
        </w:r>
      </w:hyperlink>
    </w:p>
    <w:p>
      <w:pPr>
        <w:pStyle w:val="TOC2"/>
      </w:pPr>
      <w:hyperlink w:anchor="_Toc300001884" w:history="1">
        <w:r>
          <w:rPr>
            <w:noProof/>
          </w:rPr>
          <w:t xml:space="preserve">Article 57.1: Cross-Module Contagion Test</w:t>
        </w:r>
        <w:r>
          <w:rPr>
            <w:noProof/>
            <w:webHidden/>
          </w:rPr>
          <w:tab/>
        </w:r>
        <w:r>
          <w:rPr>
            <w:noProof/>
            <w:webHidden/>
          </w:rPr>
          <w:fldChar w:fldCharType="begin"/>
        </w:r>
        <w:r>
          <w:rPr>
            <w:noProof/>
            <w:webHidden/>
          </w:rPr>
          <w:instrText xml:space="preserve"> PAGEREF _Toc300001884 \h </w:instrText>
        </w:r>
        <w:r>
          <w:rPr>
            <w:noProof/>
            <w:webHidden/>
          </w:rPr>
          <w:fldChar w:fldCharType="separate"/>
        </w:r>
        <w:r>
          <w:rPr>
            <w:noProof/>
            <w:webHidden/>
          </w:rPr>
          <w:t>1996</w:t>
        </w:r>
        <w:r>
          <w:rPr>
            <w:noProof/>
            <w:webHidden/>
          </w:rPr>
          <w:fldChar w:fldCharType="end"/>
        </w:r>
      </w:hyperlink>
    </w:p>
    <w:p>
      <w:pPr>
        <w:pStyle w:val="TOC2"/>
      </w:pPr>
      <w:hyperlink w:anchor="_Toc300001885" w:history="1">
        <w:r>
          <w:rPr>
            <w:noProof/>
          </w:rPr>
          <w:t xml:space="preserve">Article 57.2: Institutional Continuity Transfer Rule</w:t>
        </w:r>
        <w:r>
          <w:rPr>
            <w:noProof/>
            <w:webHidden/>
          </w:rPr>
          <w:tab/>
        </w:r>
        <w:r>
          <w:rPr>
            <w:noProof/>
            <w:webHidden/>
          </w:rPr>
          <w:fldChar w:fldCharType="begin"/>
        </w:r>
        <w:r>
          <w:rPr>
            <w:noProof/>
            <w:webHidden/>
          </w:rPr>
          <w:instrText xml:space="preserve"> PAGEREF _Toc300001885 \h </w:instrText>
        </w:r>
        <w:r>
          <w:rPr>
            <w:noProof/>
            <w:webHidden/>
          </w:rPr>
          <w:fldChar w:fldCharType="separate"/>
        </w:r>
        <w:r>
          <w:rPr>
            <w:noProof/>
            <w:webHidden/>
          </w:rPr>
          <w:t>1996</w:t>
        </w:r>
        <w:r>
          <w:rPr>
            <w:noProof/>
            <w:webHidden/>
          </w:rPr>
          <w:fldChar w:fldCharType="end"/>
        </w:r>
      </w:hyperlink>
    </w:p>
    <w:p>
      <w:pPr>
        <w:pStyle w:val="TOC2"/>
      </w:pPr>
      <w:hyperlink w:anchor="_Toc300001886" w:history="1">
        <w:r>
          <w:rPr>
            <w:noProof/>
          </w:rPr>
          <w:t xml:space="preserve">Article 57.3: Degraded Operations and Controlled Restoration</w:t>
        </w:r>
        <w:r>
          <w:rPr>
            <w:noProof/>
            <w:webHidden/>
          </w:rPr>
          <w:tab/>
        </w:r>
        <w:r>
          <w:rPr>
            <w:noProof/>
            <w:webHidden/>
          </w:rPr>
          <w:fldChar w:fldCharType="begin"/>
        </w:r>
        <w:r>
          <w:rPr>
            <w:noProof/>
            <w:webHidden/>
          </w:rPr>
          <w:instrText xml:space="preserve"> PAGEREF _Toc300001886 \h </w:instrText>
        </w:r>
        <w:r>
          <w:rPr>
            <w:noProof/>
            <w:webHidden/>
          </w:rPr>
          <w:fldChar w:fldCharType="separate"/>
        </w:r>
        <w:r>
          <w:rPr>
            <w:noProof/>
            <w:webHidden/>
          </w:rPr>
          <w:t>1996</w:t>
        </w:r>
        <w:r>
          <w:rPr>
            <w:noProof/>
            <w:webHidden/>
          </w:rPr>
          <w:fldChar w:fldCharType="end"/>
        </w:r>
      </w:hyperlink>
    </w:p>
    <w:p>
      <w:pPr>
        <w:pStyle w:val="TOC2"/>
      </w:pPr>
      <w:hyperlink w:anchor="_Toc300001887" w:history="1">
        <w:r>
          <w:rPr>
            <w:noProof/>
          </w:rPr>
          <w:t xml:space="preserve">Article 57.4: Institutional Stall Detection</w:t>
        </w:r>
        <w:r>
          <w:rPr>
            <w:noProof/>
            <w:webHidden/>
          </w:rPr>
          <w:tab/>
        </w:r>
        <w:r>
          <w:rPr>
            <w:noProof/>
            <w:webHidden/>
          </w:rPr>
          <w:fldChar w:fldCharType="begin"/>
        </w:r>
        <w:r>
          <w:rPr>
            <w:noProof/>
            <w:webHidden/>
          </w:rPr>
          <w:instrText xml:space="preserve"> PAGEREF _Toc300001887 \h </w:instrText>
        </w:r>
        <w:r>
          <w:rPr>
            <w:noProof/>
            <w:webHidden/>
          </w:rPr>
          <w:fldChar w:fldCharType="separate"/>
        </w:r>
        <w:r>
          <w:rPr>
            <w:noProof/>
            <w:webHidden/>
          </w:rPr>
          <w:t>1997</w:t>
        </w:r>
        <w:r>
          <w:rPr>
            <w:noProof/>
            <w:webHidden/>
          </w:rPr>
          <w:fldChar w:fldCharType="end"/>
        </w:r>
      </w:hyperlink>
    </w:p>
    <w:p>
      <w:pPr>
        <w:pStyle w:val="TOC2"/>
      </w:pPr>
      <w:hyperlink w:anchor="_Toc300001888" w:history="1">
        <w:r>
          <w:rPr>
            <w:noProof/>
          </w:rPr>
          <w:t xml:space="preserve">Article 57.5: Direction-Specific Ratchets</w:t>
        </w:r>
        <w:r>
          <w:rPr>
            <w:noProof/>
            <w:webHidden/>
          </w:rPr>
          <w:tab/>
        </w:r>
        <w:r>
          <w:rPr>
            <w:noProof/>
            <w:webHidden/>
          </w:rPr>
          <w:fldChar w:fldCharType="begin"/>
        </w:r>
        <w:r>
          <w:rPr>
            <w:noProof/>
            <w:webHidden/>
          </w:rPr>
          <w:instrText xml:space="preserve"> PAGEREF _Toc300001888 \h </w:instrText>
        </w:r>
        <w:r>
          <w:rPr>
            <w:noProof/>
            <w:webHidden/>
          </w:rPr>
          <w:fldChar w:fldCharType="separate"/>
        </w:r>
        <w:r>
          <w:rPr>
            <w:noProof/>
            <w:webHidden/>
          </w:rPr>
          <w:t>1997</w:t>
        </w:r>
        <w:r>
          <w:rPr>
            <w:noProof/>
            <w:webHidden/>
          </w:rPr>
          <w:fldChar w:fldCharType="end"/>
        </w:r>
      </w:hyperlink>
    </w:p>
    <w:p>
      <w:pPr>
        <w:pStyle w:val="TOC2"/>
      </w:pPr>
      <w:hyperlink w:anchor="_Toc300001889" w:history="1">
        <w:r>
          <w:rPr>
            <w:noProof/>
          </w:rPr>
          <w:t xml:space="preserve">Article 57.6: Correlated Micro-Signal Review</w:t>
        </w:r>
        <w:r>
          <w:rPr>
            <w:noProof/>
            <w:webHidden/>
          </w:rPr>
          <w:tab/>
        </w:r>
        <w:r>
          <w:rPr>
            <w:noProof/>
            <w:webHidden/>
          </w:rPr>
          <w:fldChar w:fldCharType="begin"/>
        </w:r>
        <w:r>
          <w:rPr>
            <w:noProof/>
            <w:webHidden/>
          </w:rPr>
          <w:instrText xml:space="preserve"> PAGEREF _Toc300001889 \h </w:instrText>
        </w:r>
        <w:r>
          <w:rPr>
            <w:noProof/>
            <w:webHidden/>
          </w:rPr>
          <w:fldChar w:fldCharType="separate"/>
        </w:r>
        <w:r>
          <w:rPr>
            <w:noProof/>
            <w:webHidden/>
          </w:rPr>
          <w:t>1997</w:t>
        </w:r>
        <w:r>
          <w:rPr>
            <w:noProof/>
            <w:webHidden/>
          </w:rPr>
          <w:fldChar w:fldCharType="end"/>
        </w:r>
      </w:hyperlink>
    </w:p>
    <w:p>
      <w:pPr>
        <w:pStyle w:val="TOC2"/>
      </w:pPr>
      <w:hyperlink w:anchor="_Toc300001890" w:history="1">
        <w:r>
          <w:rPr>
            <w:noProof/>
          </w:rPr>
          <w:t xml:space="preserve">Article 57.7: Shared Operational State Framework</w:t>
        </w:r>
        <w:r>
          <w:rPr>
            <w:noProof/>
            <w:webHidden/>
          </w:rPr>
          <w:tab/>
        </w:r>
        <w:r>
          <w:rPr>
            <w:noProof/>
            <w:webHidden/>
          </w:rPr>
          <w:fldChar w:fldCharType="begin"/>
        </w:r>
        <w:r>
          <w:rPr>
            <w:noProof/>
            <w:webHidden/>
          </w:rPr>
          <w:instrText xml:space="preserve"> PAGEREF _Toc300001890 \h </w:instrText>
        </w:r>
        <w:r>
          <w:rPr>
            <w:noProof/>
            <w:webHidden/>
          </w:rPr>
          <w:fldChar w:fldCharType="separate"/>
        </w:r>
        <w:r>
          <w:rPr>
            <w:noProof/>
            <w:webHidden/>
          </w:rPr>
          <w:t>1997</w:t>
        </w:r>
        <w:r>
          <w:rPr>
            <w:noProof/>
            <w:webHidden/>
          </w:rPr>
          <w:fldChar w:fldCharType="end"/>
        </w:r>
      </w:hyperlink>
    </w:p>
    <w:p>
      <w:pPr>
        <w:pStyle w:val="TOC2"/>
      </w:pPr>
      <w:hyperlink w:anchor="_Toc300001891" w:history="1">
        <w:r>
          <w:rPr>
            <w:noProof/>
          </w:rPr>
          <w:t xml:space="preserve">Article 57.8: Pre-Scripted Redirection Paths</w:t>
        </w:r>
        <w:r>
          <w:rPr>
            <w:noProof/>
            <w:webHidden/>
          </w:rPr>
          <w:tab/>
        </w:r>
        <w:r>
          <w:rPr>
            <w:noProof/>
            <w:webHidden/>
          </w:rPr>
          <w:fldChar w:fldCharType="begin"/>
        </w:r>
        <w:r>
          <w:rPr>
            <w:noProof/>
            <w:webHidden/>
          </w:rPr>
          <w:instrText xml:space="preserve"> PAGEREF _Toc300001891 \h </w:instrText>
        </w:r>
        <w:r>
          <w:rPr>
            <w:noProof/>
            <w:webHidden/>
          </w:rPr>
          <w:fldChar w:fldCharType="separate"/>
        </w:r>
        <w:r>
          <w:rPr>
            <w:noProof/>
            <w:webHidden/>
          </w:rPr>
          <w:t>1998</w:t>
        </w:r>
        <w:r>
          <w:rPr>
            <w:noProof/>
            <w:webHidden/>
          </w:rPr>
          <w:fldChar w:fldCharType="end"/>
        </w:r>
      </w:hyperlink>
    </w:p>
    <w:p>
      <w:pPr>
        <w:pStyle w:val="TOC1"/>
      </w:pPr>
      <w:hyperlink w:anchor="_Toc300001892" w:history="1">
        <w:r>
          <w:rPr>
            <w:noProof/>
          </w:rPr>
          <w:t xml:space="preserve">CHAPTER 58 PROCEDURAL PARTICIPATION, REMEDY SAFEGUARDS, AND TECHNICAL INTEROPERABILITY</w:t>
        </w:r>
        <w:r>
          <w:rPr>
            <w:noProof/>
            <w:webHidden/>
          </w:rPr>
          <w:tab/>
        </w:r>
        <w:r>
          <w:rPr>
            <w:noProof/>
            <w:webHidden/>
          </w:rPr>
          <w:fldChar w:fldCharType="begin"/>
        </w:r>
        <w:r>
          <w:rPr>
            <w:noProof/>
            <w:webHidden/>
          </w:rPr>
          <w:instrText xml:space="preserve"> PAGEREF _Toc300001892 \h </w:instrText>
        </w:r>
        <w:r>
          <w:rPr>
            <w:noProof/>
            <w:webHidden/>
          </w:rPr>
          <w:fldChar w:fldCharType="separate"/>
        </w:r>
        <w:r>
          <w:rPr>
            <w:noProof/>
            <w:webHidden/>
          </w:rPr>
          <w:t>1999</w:t>
        </w:r>
        <w:r>
          <w:rPr>
            <w:noProof/>
            <w:webHidden/>
          </w:rPr>
          <w:fldChar w:fldCharType="end"/>
        </w:r>
      </w:hyperlink>
    </w:p>
    <w:p>
      <w:pPr>
        <w:pStyle w:val="TOC2"/>
      </w:pPr>
      <w:hyperlink w:anchor="_Toc300001893" w:history="1">
        <w:r>
          <w:rPr>
            <w:noProof/>
          </w:rPr>
          <w:t xml:space="preserve">Article 58.1: Structured Amicus Participation</w:t>
        </w:r>
        <w:r>
          <w:rPr>
            <w:noProof/>
            <w:webHidden/>
          </w:rPr>
          <w:tab/>
        </w:r>
        <w:r>
          <w:rPr>
            <w:noProof/>
            <w:webHidden/>
          </w:rPr>
          <w:fldChar w:fldCharType="begin"/>
        </w:r>
        <w:r>
          <w:rPr>
            <w:noProof/>
            <w:webHidden/>
          </w:rPr>
          <w:instrText xml:space="preserve"> PAGEREF _Toc300001893 \h </w:instrText>
        </w:r>
        <w:r>
          <w:rPr>
            <w:noProof/>
            <w:webHidden/>
          </w:rPr>
          <w:fldChar w:fldCharType="separate"/>
        </w:r>
        <w:r>
          <w:rPr>
            <w:noProof/>
            <w:webHidden/>
          </w:rPr>
          <w:t>1999</w:t>
        </w:r>
        <w:r>
          <w:rPr>
            <w:noProof/>
            <w:webHidden/>
          </w:rPr>
          <w:fldChar w:fldCharType="end"/>
        </w:r>
      </w:hyperlink>
    </w:p>
    <w:p>
      <w:pPr>
        <w:pStyle w:val="TOC2"/>
      </w:pPr>
      <w:hyperlink w:anchor="_Toc300001894" w:history="1">
        <w:r>
          <w:rPr>
            <w:noProof/>
          </w:rPr>
          <w:t xml:space="preserve">Article 58.2: PTA Collateral-Harm Circuit Breaker</w:t>
        </w:r>
        <w:r>
          <w:rPr>
            <w:noProof/>
            <w:webHidden/>
          </w:rPr>
          <w:tab/>
        </w:r>
        <w:r>
          <w:rPr>
            <w:noProof/>
            <w:webHidden/>
          </w:rPr>
          <w:fldChar w:fldCharType="begin"/>
        </w:r>
        <w:r>
          <w:rPr>
            <w:noProof/>
            <w:webHidden/>
          </w:rPr>
          <w:instrText xml:space="preserve"> PAGEREF _Toc300001894 \h </w:instrText>
        </w:r>
        <w:r>
          <w:rPr>
            <w:noProof/>
            <w:webHidden/>
          </w:rPr>
          <w:fldChar w:fldCharType="separate"/>
        </w:r>
        <w:r>
          <w:rPr>
            <w:noProof/>
            <w:webHidden/>
          </w:rPr>
          <w:t>1999</w:t>
        </w:r>
        <w:r>
          <w:rPr>
            <w:noProof/>
            <w:webHidden/>
          </w:rPr>
          <w:fldChar w:fldCharType="end"/>
        </w:r>
      </w:hyperlink>
    </w:p>
    <w:p>
      <w:pPr>
        <w:pStyle w:val="TOC2"/>
      </w:pPr>
      <w:hyperlink w:anchor="_Toc300001895" w:history="1">
        <w:r>
          <w:rPr>
            <w:noProof/>
          </w:rPr>
          <w:t xml:space="preserve">Article 58.3: Post-Ruling Compliance Audit</w:t>
        </w:r>
        <w:r>
          <w:rPr>
            <w:noProof/>
            <w:webHidden/>
          </w:rPr>
          <w:tab/>
        </w:r>
        <w:r>
          <w:rPr>
            <w:noProof/>
            <w:webHidden/>
          </w:rPr>
          <w:fldChar w:fldCharType="begin"/>
        </w:r>
        <w:r>
          <w:rPr>
            <w:noProof/>
            <w:webHidden/>
          </w:rPr>
          <w:instrText xml:space="preserve"> PAGEREF _Toc300001895 \h </w:instrText>
        </w:r>
        <w:r>
          <w:rPr>
            <w:noProof/>
            <w:webHidden/>
          </w:rPr>
          <w:fldChar w:fldCharType="separate"/>
        </w:r>
        <w:r>
          <w:rPr>
            <w:noProof/>
            <w:webHidden/>
          </w:rPr>
          <w:t>1999</w:t>
        </w:r>
        <w:r>
          <w:rPr>
            <w:noProof/>
            <w:webHidden/>
          </w:rPr>
          <w:fldChar w:fldCharType="end"/>
        </w:r>
      </w:hyperlink>
    </w:p>
    <w:p>
      <w:pPr>
        <w:pStyle w:val="TOC2"/>
      </w:pPr>
      <w:hyperlink w:anchor="_Toc300001896" w:history="1">
        <w:r>
          <w:rPr>
            <w:noProof/>
          </w:rPr>
          <w:t xml:space="preserve">Article 58.4: Interim Preservation Orders</w:t>
        </w:r>
        <w:r>
          <w:rPr>
            <w:noProof/>
            <w:webHidden/>
          </w:rPr>
          <w:tab/>
        </w:r>
        <w:r>
          <w:rPr>
            <w:noProof/>
            <w:webHidden/>
          </w:rPr>
          <w:fldChar w:fldCharType="begin"/>
        </w:r>
        <w:r>
          <w:rPr>
            <w:noProof/>
            <w:webHidden/>
          </w:rPr>
          <w:instrText xml:space="preserve"> PAGEREF _Toc300001896 \h </w:instrText>
        </w:r>
        <w:r>
          <w:rPr>
            <w:noProof/>
            <w:webHidden/>
          </w:rPr>
          <w:fldChar w:fldCharType="separate"/>
        </w:r>
        <w:r>
          <w:rPr>
            <w:noProof/>
            <w:webHidden/>
          </w:rPr>
          <w:t>1999</w:t>
        </w:r>
        <w:r>
          <w:rPr>
            <w:noProof/>
            <w:webHidden/>
          </w:rPr>
          <w:fldChar w:fldCharType="end"/>
        </w:r>
      </w:hyperlink>
    </w:p>
    <w:p>
      <w:pPr>
        <w:pStyle w:val="TOC2"/>
      </w:pPr>
      <w:hyperlink w:anchor="_Toc300001897" w:history="1">
        <w:r>
          <w:rPr>
            <w:noProof/>
          </w:rPr>
          <w:t xml:space="preserve">Article 58.5: Steel and Aluminum Provenance Interoperability</w:t>
        </w:r>
        <w:r>
          <w:rPr>
            <w:noProof/>
            <w:webHidden/>
          </w:rPr>
          <w:tab/>
        </w:r>
        <w:r>
          <w:rPr>
            <w:noProof/>
            <w:webHidden/>
          </w:rPr>
          <w:fldChar w:fldCharType="begin"/>
        </w:r>
        <w:r>
          <w:rPr>
            <w:noProof/>
            <w:webHidden/>
          </w:rPr>
          <w:instrText xml:space="preserve"> PAGEREF _Toc300001897 \h </w:instrText>
        </w:r>
        <w:r>
          <w:rPr>
            <w:noProof/>
            <w:webHidden/>
          </w:rPr>
          <w:fldChar w:fldCharType="separate"/>
        </w:r>
        <w:r>
          <w:rPr>
            <w:noProof/>
            <w:webHidden/>
          </w:rPr>
          <w:t>2000</w:t>
        </w:r>
        <w:r>
          <w:rPr>
            <w:noProof/>
            <w:webHidden/>
          </w:rPr>
          <w:fldChar w:fldCharType="end"/>
        </w:r>
      </w:hyperlink>
    </w:p>
    <w:p>
      <w:pPr>
        <w:pStyle w:val="TOC2"/>
      </w:pPr>
      <w:hyperlink w:anchor="_Toc300001898" w:history="1">
        <w:r>
          <w:rPr>
            <w:noProof/>
          </w:rPr>
          <w:t xml:space="preserve">Article 58.6: Strategic Reserve Mutual Assistance</w:t>
        </w:r>
        <w:r>
          <w:rPr>
            <w:noProof/>
            <w:webHidden/>
          </w:rPr>
          <w:tab/>
        </w:r>
        <w:r>
          <w:rPr>
            <w:noProof/>
            <w:webHidden/>
          </w:rPr>
          <w:fldChar w:fldCharType="begin"/>
        </w:r>
        <w:r>
          <w:rPr>
            <w:noProof/>
            <w:webHidden/>
          </w:rPr>
          <w:instrText xml:space="preserve"> PAGEREF _Toc300001898 \h </w:instrText>
        </w:r>
        <w:r>
          <w:rPr>
            <w:noProof/>
            <w:webHidden/>
          </w:rPr>
          <w:fldChar w:fldCharType="separate"/>
        </w:r>
        <w:r>
          <w:rPr>
            <w:noProof/>
            <w:webHidden/>
          </w:rPr>
          <w:t>2000</w:t>
        </w:r>
        <w:r>
          <w:rPr>
            <w:noProof/>
            <w:webHidden/>
          </w:rPr>
          <w:fldChar w:fldCharType="end"/>
        </w:r>
      </w:hyperlink>
    </w:p>
    <w:p>
      <w:pPr>
        <w:pStyle w:val="TOC2"/>
      </w:pPr>
      <w:hyperlink w:anchor="_Toc300001899" w:history="1">
        <w:r>
          <w:rPr>
            <w:noProof/>
          </w:rPr>
          <w:t xml:space="preserve">Article 58.7: AI Assurance Mutual Recognition</w:t>
        </w:r>
        <w:r>
          <w:rPr>
            <w:noProof/>
            <w:webHidden/>
          </w:rPr>
          <w:tab/>
        </w:r>
        <w:r>
          <w:rPr>
            <w:noProof/>
            <w:webHidden/>
          </w:rPr>
          <w:fldChar w:fldCharType="begin"/>
        </w:r>
        <w:r>
          <w:rPr>
            <w:noProof/>
            <w:webHidden/>
          </w:rPr>
          <w:instrText xml:space="preserve"> PAGEREF _Toc300001899 \h </w:instrText>
        </w:r>
        <w:r>
          <w:rPr>
            <w:noProof/>
            <w:webHidden/>
          </w:rPr>
          <w:fldChar w:fldCharType="separate"/>
        </w:r>
        <w:r>
          <w:rPr>
            <w:noProof/>
            <w:webHidden/>
          </w:rPr>
          <w:t>2000</w:t>
        </w:r>
        <w:r>
          <w:rPr>
            <w:noProof/>
            <w:webHidden/>
          </w:rPr>
          <w:fldChar w:fldCharType="end"/>
        </w:r>
      </w:hyperlink>
    </w:p>
    <w:p>
      <w:pPr>
        <w:pStyle w:val="TOC2"/>
      </w:pPr>
      <w:hyperlink w:anchor="_Toc300001900" w:history="1">
        <w:r>
          <w:rPr>
            <w:noProof/>
          </w:rPr>
          <w:t xml:space="preserve">Article 58.8: Interoperable Trade Identity and Signature</w:t>
        </w:r>
        <w:r>
          <w:rPr>
            <w:noProof/>
            <w:webHidden/>
          </w:rPr>
          <w:tab/>
        </w:r>
        <w:r>
          <w:rPr>
            <w:noProof/>
            <w:webHidden/>
          </w:rPr>
          <w:fldChar w:fldCharType="begin"/>
        </w:r>
        <w:r>
          <w:rPr>
            <w:noProof/>
            <w:webHidden/>
          </w:rPr>
          <w:instrText xml:space="preserve"> PAGEREF _Toc300001900 \h </w:instrText>
        </w:r>
        <w:r>
          <w:rPr>
            <w:noProof/>
            <w:webHidden/>
          </w:rPr>
          <w:fldChar w:fldCharType="separate"/>
        </w:r>
        <w:r>
          <w:rPr>
            <w:noProof/>
            <w:webHidden/>
          </w:rPr>
          <w:t>2000</w:t>
        </w:r>
        <w:r>
          <w:rPr>
            <w:noProof/>
            <w:webHidden/>
          </w:rPr>
          <w:fldChar w:fldCharType="end"/>
        </w:r>
      </w:hyperlink>
    </w:p>
    <w:p>
      <w:pPr>
        <w:pStyle w:val="TOC2"/>
      </w:pPr>
      <w:hyperlink w:anchor="_Toc300001901" w:history="1">
        <w:r>
          <w:rPr>
            <w:noProof/>
          </w:rPr>
          <w:t xml:space="preserve">Article 58.9: Transboundary Environmental Emergency Protocol</w:t>
        </w:r>
        <w:r>
          <w:rPr>
            <w:noProof/>
            <w:webHidden/>
          </w:rPr>
          <w:tab/>
        </w:r>
        <w:r>
          <w:rPr>
            <w:noProof/>
            <w:webHidden/>
          </w:rPr>
          <w:fldChar w:fldCharType="begin"/>
        </w:r>
        <w:r>
          <w:rPr>
            <w:noProof/>
            <w:webHidden/>
          </w:rPr>
          <w:instrText xml:space="preserve"> PAGEREF _Toc300001901 \h </w:instrText>
        </w:r>
        <w:r>
          <w:rPr>
            <w:noProof/>
            <w:webHidden/>
          </w:rPr>
          <w:fldChar w:fldCharType="separate"/>
        </w:r>
        <w:r>
          <w:rPr>
            <w:noProof/>
            <w:webHidden/>
          </w:rPr>
          <w:t>2001</w:t>
        </w:r>
        <w:r>
          <w:rPr>
            <w:noProof/>
            <w:webHidden/>
          </w:rPr>
          <w:fldChar w:fldCharType="end"/>
        </w:r>
      </w:hyperlink>
    </w:p>
    <w:p>
      <w:pPr>
        <w:pStyle w:val="TOC2"/>
      </w:pPr>
      <w:hyperlink w:anchor="_Toc300001902" w:history="1">
        <w:r>
          <w:rPr>
            <w:noProof/>
          </w:rPr>
          <w:t xml:space="preserve">Article 58.10: Embedded-Carbon Measurement Interoperability</w:t>
        </w:r>
        <w:r>
          <w:rPr>
            <w:noProof/>
            <w:webHidden/>
          </w:rPr>
          <w:tab/>
        </w:r>
        <w:r>
          <w:rPr>
            <w:noProof/>
            <w:webHidden/>
          </w:rPr>
          <w:fldChar w:fldCharType="begin"/>
        </w:r>
        <w:r>
          <w:rPr>
            <w:noProof/>
            <w:webHidden/>
          </w:rPr>
          <w:instrText xml:space="preserve"> PAGEREF _Toc300001902 \h </w:instrText>
        </w:r>
        <w:r>
          <w:rPr>
            <w:noProof/>
            <w:webHidden/>
          </w:rPr>
          <w:fldChar w:fldCharType="separate"/>
        </w:r>
        <w:r>
          <w:rPr>
            <w:noProof/>
            <w:webHidden/>
          </w:rPr>
          <w:t>2001</w:t>
        </w:r>
        <w:r>
          <w:rPr>
            <w:noProof/>
            <w:webHidden/>
          </w:rPr>
          <w:fldChar w:fldCharType="end"/>
        </w:r>
      </w:hyperlink>
    </w:p>
    <w:p>
      <w:pPr>
        <w:pStyle w:val="TOC2"/>
      </w:pPr>
      <w:hyperlink w:anchor="_Toc300001903" w:history="1">
        <w:r>
          <w:rPr>
            <w:noProof/>
          </w:rPr>
          <w:t xml:space="preserve">Article 58.11: Emergency Energy Equipment Facilitation</w:t>
        </w:r>
        <w:r>
          <w:rPr>
            <w:noProof/>
            <w:webHidden/>
          </w:rPr>
          <w:tab/>
        </w:r>
        <w:r>
          <w:rPr>
            <w:noProof/>
            <w:webHidden/>
          </w:rPr>
          <w:fldChar w:fldCharType="begin"/>
        </w:r>
        <w:r>
          <w:rPr>
            <w:noProof/>
            <w:webHidden/>
          </w:rPr>
          <w:instrText xml:space="preserve"> PAGEREF _Toc300001903 \h </w:instrText>
        </w:r>
        <w:r>
          <w:rPr>
            <w:noProof/>
            <w:webHidden/>
          </w:rPr>
          <w:fldChar w:fldCharType="separate"/>
        </w:r>
        <w:r>
          <w:rPr>
            <w:noProof/>
            <w:webHidden/>
          </w:rPr>
          <w:t>2001</w:t>
        </w:r>
        <w:r>
          <w:rPr>
            <w:noProof/>
            <w:webHidden/>
          </w:rPr>
          <w:fldChar w:fldCharType="end"/>
        </w:r>
      </w:hyperlink>
    </w:p>
    <w:p>
      <w:pPr>
        <w:pStyle w:val="TOC2"/>
      </w:pPr>
      <w:hyperlink w:anchor="_Toc300001904" w:history="1">
        <w:r>
          <w:rPr>
            <w:noProof/>
          </w:rPr>
          <w:t xml:space="preserve">Article 58.12: Public Treaty Improvement Portal</w:t>
        </w:r>
        <w:r>
          <w:rPr>
            <w:noProof/>
            <w:webHidden/>
          </w:rPr>
          <w:tab/>
        </w:r>
        <w:r>
          <w:rPr>
            <w:noProof/>
            <w:webHidden/>
          </w:rPr>
          <w:fldChar w:fldCharType="begin"/>
        </w:r>
        <w:r>
          <w:rPr>
            <w:noProof/>
            <w:webHidden/>
          </w:rPr>
          <w:instrText xml:space="preserve"> PAGEREF _Toc300001904 \h </w:instrText>
        </w:r>
        <w:r>
          <w:rPr>
            <w:noProof/>
            <w:webHidden/>
          </w:rPr>
          <w:fldChar w:fldCharType="separate"/>
        </w:r>
        <w:r>
          <w:rPr>
            <w:noProof/>
            <w:webHidden/>
          </w:rPr>
          <w:t>2001</w:t>
        </w:r>
        <w:r>
          <w:rPr>
            <w:noProof/>
            <w:webHidden/>
          </w:rPr>
          <w:fldChar w:fldCharType="end"/>
        </w:r>
      </w:hyperlink>
    </w:p>
    <w:p>
      <w:pPr>
        <w:pStyle w:val="TOC2"/>
      </w:pPr>
      <w:hyperlink w:anchor="_Toc300001905" w:history="1">
        <w:r>
          <w:rPr>
            <w:noProof/>
          </w:rPr>
          <w:t xml:space="preserve">Article 58.12A: Trusted-Technology Border Modernization</w:t>
        </w:r>
        <w:r>
          <w:rPr>
            <w:noProof/>
            <w:webHidden/>
          </w:rPr>
          <w:tab/>
        </w:r>
        <w:r>
          <w:rPr>
            <w:noProof/>
            <w:webHidden/>
          </w:rPr>
          <w:fldChar w:fldCharType="begin"/>
        </w:r>
        <w:r>
          <w:rPr>
            <w:noProof/>
            <w:webHidden/>
          </w:rPr>
          <w:instrText xml:space="preserve"> PAGEREF _Toc300001905 \h </w:instrText>
        </w:r>
        <w:r>
          <w:rPr>
            <w:noProof/>
            <w:webHidden/>
          </w:rPr>
          <w:fldChar w:fldCharType="separate"/>
        </w:r>
        <w:r>
          <w:rPr>
            <w:noProof/>
            <w:webHidden/>
          </w:rPr>
          <w:t>2002</w:t>
        </w:r>
        <w:r>
          <w:rPr>
            <w:noProof/>
            <w:webHidden/>
          </w:rPr>
          <w:fldChar w:fldCharType="end"/>
        </w:r>
      </w:hyperlink>
    </w:p>
    <w:p>
      <w:pPr>
        <w:pStyle w:val="TOC2"/>
      </w:pPr>
      <w:hyperlink w:anchor="_Toc300001906" w:history="1">
        <w:r>
          <w:rPr>
            <w:noProof/>
          </w:rPr>
          <w:t xml:space="preserve">Article 58.13: Secretariat Funding Continuity</w:t>
        </w:r>
        <w:r>
          <w:rPr>
            <w:noProof/>
            <w:webHidden/>
          </w:rPr>
          <w:tab/>
        </w:r>
        <w:r>
          <w:rPr>
            <w:noProof/>
            <w:webHidden/>
          </w:rPr>
          <w:fldChar w:fldCharType="begin"/>
        </w:r>
        <w:r>
          <w:rPr>
            <w:noProof/>
            <w:webHidden/>
          </w:rPr>
          <w:instrText xml:space="preserve"> PAGEREF _Toc300001906 \h </w:instrText>
        </w:r>
        <w:r>
          <w:rPr>
            <w:noProof/>
            <w:webHidden/>
          </w:rPr>
          <w:fldChar w:fldCharType="separate"/>
        </w:r>
        <w:r>
          <w:rPr>
            <w:noProof/>
            <w:webHidden/>
          </w:rPr>
          <w:t>2002</w:t>
        </w:r>
        <w:r>
          <w:rPr>
            <w:noProof/>
            <w:webHidden/>
          </w:rPr>
          <w:fldChar w:fldCharType="end"/>
        </w:r>
      </w:hyperlink>
    </w:p>
    <w:p>
      <w:pPr>
        <w:pStyle w:val="TOC1"/>
      </w:pPr>
      <w:hyperlink w:anchor="_Toc300001907" w:history="1">
        <w:r>
          <w:rPr>
            <w:noProof/>
          </w:rPr>
          <w:t xml:space="preserve">CHAPTER 59 NORTH AMERICAN AUTOMOTIVE INTEGRATION, RESILIENCE, AND ENHANCED ORIGIN</w:t>
        </w:r>
        <w:r>
          <w:rPr>
            <w:noProof/>
            <w:webHidden/>
          </w:rPr>
          <w:tab/>
        </w:r>
        <w:r>
          <w:rPr>
            <w:noProof/>
            <w:webHidden/>
          </w:rPr>
          <w:fldChar w:fldCharType="begin"/>
        </w:r>
        <w:r>
          <w:rPr>
            <w:noProof/>
            <w:webHidden/>
          </w:rPr>
          <w:instrText xml:space="preserve"> PAGEREF _Toc300001907 \h </w:instrText>
        </w:r>
        <w:r>
          <w:rPr>
            <w:noProof/>
            <w:webHidden/>
          </w:rPr>
          <w:fldChar w:fldCharType="separate"/>
        </w:r>
        <w:r>
          <w:rPr>
            <w:noProof/>
            <w:webHidden/>
          </w:rPr>
          <w:t>2004</w:t>
        </w:r>
        <w:r>
          <w:rPr>
            <w:noProof/>
            <w:webHidden/>
          </w:rPr>
          <w:fldChar w:fldCharType="end"/>
        </w:r>
      </w:hyperlink>
    </w:p>
    <w:p>
      <w:pPr>
        <w:pStyle w:val="TOC2"/>
      </w:pPr>
      <w:hyperlink w:anchor="_Toc300001908" w:history="1">
        <w:r>
          <w:rPr>
            <w:noProof/>
          </w:rPr>
          <w:t xml:space="preserve">Article 59.1: Objectives and Governing Principles</w:t>
        </w:r>
        <w:r>
          <w:rPr>
            <w:noProof/>
            <w:webHidden/>
          </w:rPr>
          <w:tab/>
        </w:r>
        <w:r>
          <w:rPr>
            <w:noProof/>
            <w:webHidden/>
          </w:rPr>
          <w:fldChar w:fldCharType="begin"/>
        </w:r>
        <w:r>
          <w:rPr>
            <w:noProof/>
            <w:webHidden/>
          </w:rPr>
          <w:instrText xml:space="preserve"> PAGEREF _Toc300001908 \h </w:instrText>
        </w:r>
        <w:r>
          <w:rPr>
            <w:noProof/>
            <w:webHidden/>
          </w:rPr>
          <w:fldChar w:fldCharType="separate"/>
        </w:r>
        <w:r>
          <w:rPr>
            <w:noProof/>
            <w:webHidden/>
          </w:rPr>
          <w:t>2004</w:t>
        </w:r>
        <w:r>
          <w:rPr>
            <w:noProof/>
            <w:webHidden/>
          </w:rPr>
          <w:fldChar w:fldCharType="end"/>
        </w:r>
      </w:hyperlink>
    </w:p>
    <w:p>
      <w:pPr>
        <w:pStyle w:val="TOC2"/>
      </w:pPr>
      <w:hyperlink w:anchor="_Toc300001909" w:history="1">
        <w:r>
          <w:rPr>
            <w:noProof/>
          </w:rPr>
          <w:t xml:space="preserve">Article 59.2: Standard, Enhanced, and Strategic North American Automotive Origin</w:t>
        </w:r>
        <w:r>
          <w:rPr>
            <w:noProof/>
            <w:webHidden/>
          </w:rPr>
          <w:tab/>
        </w:r>
        <w:r>
          <w:rPr>
            <w:noProof/>
            <w:webHidden/>
          </w:rPr>
          <w:fldChar w:fldCharType="begin"/>
        </w:r>
        <w:r>
          <w:rPr>
            <w:noProof/>
            <w:webHidden/>
          </w:rPr>
          <w:instrText xml:space="preserve"> PAGEREF _Toc300001909 \h </w:instrText>
        </w:r>
        <w:r>
          <w:rPr>
            <w:noProof/>
            <w:webHidden/>
          </w:rPr>
          <w:fldChar w:fldCharType="separate"/>
        </w:r>
        <w:r>
          <w:rPr>
            <w:noProof/>
            <w:webHidden/>
          </w:rPr>
          <w:t>2004</w:t>
        </w:r>
        <w:r>
          <w:rPr>
            <w:noProof/>
            <w:webHidden/>
          </w:rPr>
          <w:fldChar w:fldCharType="end"/>
        </w:r>
      </w:hyperlink>
    </w:p>
    <w:p>
      <w:pPr>
        <w:pStyle w:val="TOC2"/>
      </w:pPr>
      <w:hyperlink w:anchor="_Toc300001910" w:history="1">
        <w:r>
          <w:rPr>
            <w:noProof/>
          </w:rPr>
          <w:t xml:space="preserve">Article 59.3: Strategic Component Points System</w:t>
        </w:r>
        <w:r>
          <w:rPr>
            <w:noProof/>
            <w:webHidden/>
          </w:rPr>
          <w:tab/>
        </w:r>
        <w:r>
          <w:rPr>
            <w:noProof/>
            <w:webHidden/>
          </w:rPr>
          <w:fldChar w:fldCharType="begin"/>
        </w:r>
        <w:r>
          <w:rPr>
            <w:noProof/>
            <w:webHidden/>
          </w:rPr>
          <w:instrText xml:space="preserve"> PAGEREF _Toc300001910 \h </w:instrText>
        </w:r>
        <w:r>
          <w:rPr>
            <w:noProof/>
            <w:webHidden/>
          </w:rPr>
          <w:fldChar w:fldCharType="separate"/>
        </w:r>
        <w:r>
          <w:rPr>
            <w:noProof/>
            <w:webHidden/>
          </w:rPr>
          <w:t>2005</w:t>
        </w:r>
        <w:r>
          <w:rPr>
            <w:noProof/>
            <w:webHidden/>
          </w:rPr>
          <w:fldChar w:fldCharType="end"/>
        </w:r>
      </w:hyperlink>
    </w:p>
    <w:p>
      <w:pPr>
        <w:pStyle w:val="TOC2"/>
      </w:pPr>
      <w:hyperlink w:anchor="_Toc300001911" w:history="1">
        <w:r>
          <w:rPr>
            <w:noProof/>
          </w:rPr>
          <w:t xml:space="preserve">Article 59.4: Automotive Supplier Declaration, Advance Ruling, and Good-Faith Cure</w:t>
        </w:r>
        <w:r>
          <w:rPr>
            <w:noProof/>
            <w:webHidden/>
          </w:rPr>
          <w:tab/>
        </w:r>
        <w:r>
          <w:rPr>
            <w:noProof/>
            <w:webHidden/>
          </w:rPr>
          <w:fldChar w:fldCharType="begin"/>
        </w:r>
        <w:r>
          <w:rPr>
            <w:noProof/>
            <w:webHidden/>
          </w:rPr>
          <w:instrText xml:space="preserve"> PAGEREF _Toc300001911 \h </w:instrText>
        </w:r>
        <w:r>
          <w:rPr>
            <w:noProof/>
            <w:webHidden/>
          </w:rPr>
          <w:fldChar w:fldCharType="separate"/>
        </w:r>
        <w:r>
          <w:rPr>
            <w:noProof/>
            <w:webHidden/>
          </w:rPr>
          <w:t>2006</w:t>
        </w:r>
        <w:r>
          <w:rPr>
            <w:noProof/>
            <w:webHidden/>
          </w:rPr>
          <w:fldChar w:fldCharType="end"/>
        </w:r>
      </w:hyperlink>
    </w:p>
    <w:p>
      <w:pPr>
        <w:pStyle w:val="TOC2"/>
      </w:pPr>
      <w:hyperlink w:anchor="_Toc300001912" w:history="1">
        <w:r>
          <w:rPr>
            <w:noProof/>
          </w:rPr>
          <w:t xml:space="preserve">Article 59.5: Non-North-American-Value Tariff Pilot and Valuation Architecture</w:t>
        </w:r>
        <w:r>
          <w:rPr>
            <w:noProof/>
            <w:webHidden/>
          </w:rPr>
          <w:tab/>
        </w:r>
        <w:r>
          <w:rPr>
            <w:noProof/>
            <w:webHidden/>
          </w:rPr>
          <w:fldChar w:fldCharType="begin"/>
        </w:r>
        <w:r>
          <w:rPr>
            <w:noProof/>
            <w:webHidden/>
          </w:rPr>
          <w:instrText xml:space="preserve"> PAGEREF _Toc300001912 \h </w:instrText>
        </w:r>
        <w:r>
          <w:rPr>
            <w:noProof/>
            <w:webHidden/>
          </w:rPr>
          <w:fldChar w:fldCharType="separate"/>
        </w:r>
        <w:r>
          <w:rPr>
            <w:noProof/>
            <w:webHidden/>
          </w:rPr>
          <w:t>2006</w:t>
        </w:r>
        <w:r>
          <w:rPr>
            <w:noProof/>
            <w:webHidden/>
          </w:rPr>
          <w:fldChar w:fldCharType="end"/>
        </w:r>
      </w:hyperlink>
    </w:p>
    <w:p>
      <w:pPr>
        <w:pStyle w:val="TOC2"/>
      </w:pPr>
      <w:hyperlink w:anchor="_Toc300001913" w:history="1">
        <w:r>
          <w:rPr>
            <w:noProof/>
          </w:rPr>
          <w:t xml:space="preserve">Article 59.6: Capacity-Gap Transitional Import and Build-the-Gap Pathway</w:t>
        </w:r>
        <w:r>
          <w:rPr>
            <w:noProof/>
            <w:webHidden/>
          </w:rPr>
          <w:tab/>
        </w:r>
        <w:r>
          <w:rPr>
            <w:noProof/>
            <w:webHidden/>
          </w:rPr>
          <w:fldChar w:fldCharType="begin"/>
        </w:r>
        <w:r>
          <w:rPr>
            <w:noProof/>
            <w:webHidden/>
          </w:rPr>
          <w:instrText xml:space="preserve"> PAGEREF _Toc300001913 \h </w:instrText>
        </w:r>
        <w:r>
          <w:rPr>
            <w:noProof/>
            <w:webHidden/>
          </w:rPr>
          <w:fldChar w:fldCharType="separate"/>
        </w:r>
        <w:r>
          <w:rPr>
            <w:noProof/>
            <w:webHidden/>
          </w:rPr>
          <w:t>2007</w:t>
        </w:r>
        <w:r>
          <w:rPr>
            <w:noProof/>
            <w:webHidden/>
          </w:rPr>
          <w:fldChar w:fldCharType="end"/>
        </w:r>
      </w:hyperlink>
    </w:p>
    <w:p>
      <w:pPr>
        <w:pStyle w:val="TOC2"/>
      </w:pPr>
      <w:hyperlink w:anchor="_Toc300001914" w:history="1">
        <w:r>
          <w:rPr>
            <w:noProof/>
          </w:rPr>
          <w:t xml:space="preserve">Article 59.7: North American Automotive Capacity, Investment, and Nearshoring Platform</w:t>
        </w:r>
        <w:r>
          <w:rPr>
            <w:noProof/>
            <w:webHidden/>
          </w:rPr>
          <w:tab/>
        </w:r>
        <w:r>
          <w:rPr>
            <w:noProof/>
            <w:webHidden/>
          </w:rPr>
          <w:fldChar w:fldCharType="begin"/>
        </w:r>
        <w:r>
          <w:rPr>
            <w:noProof/>
            <w:webHidden/>
          </w:rPr>
          <w:instrText xml:space="preserve"> PAGEREF _Toc300001914 \h </w:instrText>
        </w:r>
        <w:r>
          <w:rPr>
            <w:noProof/>
            <w:webHidden/>
          </w:rPr>
          <w:fldChar w:fldCharType="separate"/>
        </w:r>
        <w:r>
          <w:rPr>
            <w:noProof/>
            <w:webHidden/>
          </w:rPr>
          <w:t>2007</w:t>
        </w:r>
        <w:r>
          <w:rPr>
            <w:noProof/>
            <w:webHidden/>
          </w:rPr>
          <w:fldChar w:fldCharType="end"/>
        </w:r>
      </w:hyperlink>
    </w:p>
    <w:p>
      <w:pPr>
        <w:pStyle w:val="TOC2"/>
      </w:pPr>
      <w:hyperlink w:anchor="_Toc300001915" w:history="1">
        <w:r>
          <w:rPr>
            <w:noProof/>
          </w:rPr>
          <w:t xml:space="preserve">Article 59.8: Supplier Second-Source and Resilience Ladder</w:t>
        </w:r>
        <w:r>
          <w:rPr>
            <w:noProof/>
            <w:webHidden/>
          </w:rPr>
          <w:tab/>
        </w:r>
        <w:r>
          <w:rPr>
            <w:noProof/>
            <w:webHidden/>
          </w:rPr>
          <w:fldChar w:fldCharType="begin"/>
        </w:r>
        <w:r>
          <w:rPr>
            <w:noProof/>
            <w:webHidden/>
          </w:rPr>
          <w:instrText xml:space="preserve"> PAGEREF _Toc300001915 \h </w:instrText>
        </w:r>
        <w:r>
          <w:rPr>
            <w:noProof/>
            <w:webHidden/>
          </w:rPr>
          <w:fldChar w:fldCharType="separate"/>
        </w:r>
        <w:r>
          <w:rPr>
            <w:noProof/>
            <w:webHidden/>
          </w:rPr>
          <w:t>2008</w:t>
        </w:r>
        <w:r>
          <w:rPr>
            <w:noProof/>
            <w:webHidden/>
          </w:rPr>
          <w:fldChar w:fldCharType="end"/>
        </w:r>
      </w:hyperlink>
    </w:p>
    <w:p>
      <w:pPr>
        <w:pStyle w:val="TOC2"/>
      </w:pPr>
      <w:hyperlink w:anchor="_Toc300001916" w:history="1">
        <w:r>
          <w:rPr>
            <w:noProof/>
          </w:rPr>
          <w:t xml:space="preserve">Article 59.9: Trusted Automotive Trade Corridor and Virtual In-Bond System</w:t>
        </w:r>
        <w:r>
          <w:rPr>
            <w:noProof/>
            <w:webHidden/>
          </w:rPr>
          <w:tab/>
        </w:r>
        <w:r>
          <w:rPr>
            <w:noProof/>
            <w:webHidden/>
          </w:rPr>
          <w:fldChar w:fldCharType="begin"/>
        </w:r>
        <w:r>
          <w:rPr>
            <w:noProof/>
            <w:webHidden/>
          </w:rPr>
          <w:instrText xml:space="preserve"> PAGEREF _Toc300001916 \h </w:instrText>
        </w:r>
        <w:r>
          <w:rPr>
            <w:noProof/>
            <w:webHidden/>
          </w:rPr>
          <w:fldChar w:fldCharType="separate"/>
        </w:r>
        <w:r>
          <w:rPr>
            <w:noProof/>
            <w:webHidden/>
          </w:rPr>
          <w:t>2008</w:t>
        </w:r>
        <w:r>
          <w:rPr>
            <w:noProof/>
            <w:webHidden/>
          </w:rPr>
          <w:fldChar w:fldCharType="end"/>
        </w:r>
      </w:hyperlink>
    </w:p>
    <w:p>
      <w:pPr>
        <w:pStyle w:val="TOC2"/>
      </w:pPr>
      <w:hyperlink w:anchor="_Toc300001917" w:history="1">
        <w:r>
          <w:rPr>
            <w:noProof/>
          </w:rPr>
          <w:t xml:space="preserve">Article 59.10: Battery, Strategic Material, and Circular Automotive Lifecycle</w:t>
        </w:r>
        <w:r>
          <w:rPr>
            <w:noProof/>
            <w:webHidden/>
          </w:rPr>
          <w:tab/>
        </w:r>
        <w:r>
          <w:rPr>
            <w:noProof/>
            <w:webHidden/>
          </w:rPr>
          <w:fldChar w:fldCharType="begin"/>
        </w:r>
        <w:r>
          <w:rPr>
            <w:noProof/>
            <w:webHidden/>
          </w:rPr>
          <w:instrText xml:space="preserve"> PAGEREF _Toc300001917 \h </w:instrText>
        </w:r>
        <w:r>
          <w:rPr>
            <w:noProof/>
            <w:webHidden/>
          </w:rPr>
          <w:fldChar w:fldCharType="separate"/>
        </w:r>
        <w:r>
          <w:rPr>
            <w:noProof/>
            <w:webHidden/>
          </w:rPr>
          <w:t>2009</w:t>
        </w:r>
        <w:r>
          <w:rPr>
            <w:noProof/>
            <w:webHidden/>
          </w:rPr>
          <w:fldChar w:fldCharType="end"/>
        </w:r>
      </w:hyperlink>
    </w:p>
    <w:p>
      <w:pPr>
        <w:pStyle w:val="TOC2"/>
      </w:pPr>
      <w:hyperlink w:anchor="_Toc300001918" w:history="1">
        <w:r>
          <w:rPr>
            <w:noProof/>
          </w:rPr>
          <w:t xml:space="preserve">Article 59.11: Semiconductor and Strategic Electronics Resilience</w:t>
        </w:r>
        <w:r>
          <w:rPr>
            <w:noProof/>
            <w:webHidden/>
          </w:rPr>
          <w:tab/>
        </w:r>
        <w:r>
          <w:rPr>
            <w:noProof/>
            <w:webHidden/>
          </w:rPr>
          <w:fldChar w:fldCharType="begin"/>
        </w:r>
        <w:r>
          <w:rPr>
            <w:noProof/>
            <w:webHidden/>
          </w:rPr>
          <w:instrText xml:space="preserve"> PAGEREF _Toc300001918 \h </w:instrText>
        </w:r>
        <w:r>
          <w:rPr>
            <w:noProof/>
            <w:webHidden/>
          </w:rPr>
          <w:fldChar w:fldCharType="separate"/>
        </w:r>
        <w:r>
          <w:rPr>
            <w:noProof/>
            <w:webHidden/>
          </w:rPr>
          <w:t>2009</w:t>
        </w:r>
        <w:r>
          <w:rPr>
            <w:noProof/>
            <w:webHidden/>
          </w:rPr>
          <w:fldChar w:fldCharType="end"/>
        </w:r>
      </w:hyperlink>
    </w:p>
    <w:p>
      <w:pPr>
        <w:pStyle w:val="TOC2"/>
      </w:pPr>
      <w:hyperlink w:anchor="_Toc300001919" w:history="1">
        <w:r>
          <w:rPr>
            <w:noProof/>
          </w:rPr>
          <w:t xml:space="preserve">Article 59.12: Automotive Mutual Recognition, Open Interfaces, and Repair Interoperability</w:t>
        </w:r>
        <w:r>
          <w:rPr>
            <w:noProof/>
            <w:webHidden/>
          </w:rPr>
          <w:tab/>
        </w:r>
        <w:r>
          <w:rPr>
            <w:noProof/>
            <w:webHidden/>
          </w:rPr>
          <w:fldChar w:fldCharType="begin"/>
        </w:r>
        <w:r>
          <w:rPr>
            <w:noProof/>
            <w:webHidden/>
          </w:rPr>
          <w:instrText xml:space="preserve"> PAGEREF _Toc300001919 \h </w:instrText>
        </w:r>
        <w:r>
          <w:rPr>
            <w:noProof/>
            <w:webHidden/>
          </w:rPr>
          <w:fldChar w:fldCharType="separate"/>
        </w:r>
        <w:r>
          <w:rPr>
            <w:noProof/>
            <w:webHidden/>
          </w:rPr>
          <w:t>2010</w:t>
        </w:r>
        <w:r>
          <w:rPr>
            <w:noProof/>
            <w:webHidden/>
          </w:rPr>
          <w:fldChar w:fldCharType="end"/>
        </w:r>
      </w:hyperlink>
    </w:p>
    <w:p>
      <w:pPr>
        <w:pStyle w:val="TOC2"/>
      </w:pPr>
      <w:hyperlink w:anchor="_Toc300001920" w:history="1">
        <w:r>
          <w:rPr>
            <w:noProof/>
          </w:rPr>
          <w:t xml:space="preserve">Article 59.13: Vehicle Lifecycle Passport and Secondary-Market Integrity</w:t>
        </w:r>
        <w:r>
          <w:rPr>
            <w:noProof/>
            <w:webHidden/>
          </w:rPr>
          <w:tab/>
        </w:r>
        <w:r>
          <w:rPr>
            <w:noProof/>
            <w:webHidden/>
          </w:rPr>
          <w:fldChar w:fldCharType="begin"/>
        </w:r>
        <w:r>
          <w:rPr>
            <w:noProof/>
            <w:webHidden/>
          </w:rPr>
          <w:instrText xml:space="preserve"> PAGEREF _Toc300001920 \h </w:instrText>
        </w:r>
        <w:r>
          <w:rPr>
            <w:noProof/>
            <w:webHidden/>
          </w:rPr>
          <w:fldChar w:fldCharType="separate"/>
        </w:r>
        <w:r>
          <w:rPr>
            <w:noProof/>
            <w:webHidden/>
          </w:rPr>
          <w:t>2010</w:t>
        </w:r>
        <w:r>
          <w:rPr>
            <w:noProof/>
            <w:webHidden/>
          </w:rPr>
          <w:fldChar w:fldCharType="end"/>
        </w:r>
      </w:hyperlink>
    </w:p>
    <w:p>
      <w:pPr>
        <w:pStyle w:val="TOC2"/>
      </w:pPr>
      <w:hyperlink w:anchor="_Toc300001921" w:history="1">
        <w:r>
          <w:rPr>
            <w:noProof/>
          </w:rPr>
          <w:t xml:space="preserve">Article 59.14: Automotive Skills, Credentials, Mobility, and Workforce Transition</w:t>
        </w:r>
        <w:r>
          <w:rPr>
            <w:noProof/>
            <w:webHidden/>
          </w:rPr>
          <w:tab/>
        </w:r>
        <w:r>
          <w:rPr>
            <w:noProof/>
            <w:webHidden/>
          </w:rPr>
          <w:fldChar w:fldCharType="begin"/>
        </w:r>
        <w:r>
          <w:rPr>
            <w:noProof/>
            <w:webHidden/>
          </w:rPr>
          <w:instrText xml:space="preserve"> PAGEREF _Toc300001921 \h </w:instrText>
        </w:r>
        <w:r>
          <w:rPr>
            <w:noProof/>
            <w:webHidden/>
          </w:rPr>
          <w:fldChar w:fldCharType="separate"/>
        </w:r>
        <w:r>
          <w:rPr>
            <w:noProof/>
            <w:webHidden/>
          </w:rPr>
          <w:t>2010</w:t>
        </w:r>
        <w:r>
          <w:rPr>
            <w:noProof/>
            <w:webHidden/>
          </w:rPr>
          <w:fldChar w:fldCharType="end"/>
        </w:r>
      </w:hyperlink>
    </w:p>
    <w:p>
      <w:pPr>
        <w:pStyle w:val="TOC2"/>
      </w:pPr>
      <w:hyperlink w:anchor="_Toc300001922" w:history="1">
        <w:r>
          <w:rPr>
            <w:noProof/>
          </w:rPr>
          <w:t xml:space="preserve">Article 59.15: Precompetitive Research Commons, Innovation Labs, and Grand Challenges</w:t>
        </w:r>
        <w:r>
          <w:rPr>
            <w:noProof/>
            <w:webHidden/>
          </w:rPr>
          <w:tab/>
        </w:r>
        <w:r>
          <w:rPr>
            <w:noProof/>
            <w:webHidden/>
          </w:rPr>
          <w:fldChar w:fldCharType="begin"/>
        </w:r>
        <w:r>
          <w:rPr>
            <w:noProof/>
            <w:webHidden/>
          </w:rPr>
          <w:instrText xml:space="preserve"> PAGEREF _Toc300001922 \h </w:instrText>
        </w:r>
        <w:r>
          <w:rPr>
            <w:noProof/>
            <w:webHidden/>
          </w:rPr>
          <w:fldChar w:fldCharType="separate"/>
        </w:r>
        <w:r>
          <w:rPr>
            <w:noProof/>
            <w:webHidden/>
          </w:rPr>
          <w:t>2011</w:t>
        </w:r>
        <w:r>
          <w:rPr>
            <w:noProof/>
            <w:webHidden/>
          </w:rPr>
          <w:fldChar w:fldCharType="end"/>
        </w:r>
      </w:hyperlink>
    </w:p>
    <w:p>
      <w:pPr>
        <w:pStyle w:val="TOC2"/>
      </w:pPr>
      <w:hyperlink w:anchor="_Toc300001923" w:history="1">
        <w:r>
          <w:rPr>
            <w:noProof/>
          </w:rPr>
          <w:t xml:space="preserve">Article 59.16: Automotive Cybersecurity, AI Assurance, and Connected-Vehicle Cooperation</w:t>
        </w:r>
        <w:r>
          <w:rPr>
            <w:noProof/>
            <w:webHidden/>
          </w:rPr>
          <w:tab/>
        </w:r>
        <w:r>
          <w:rPr>
            <w:noProof/>
            <w:webHidden/>
          </w:rPr>
          <w:fldChar w:fldCharType="begin"/>
        </w:r>
        <w:r>
          <w:rPr>
            <w:noProof/>
            <w:webHidden/>
          </w:rPr>
          <w:instrText xml:space="preserve"> PAGEREF _Toc300001923 \h </w:instrText>
        </w:r>
        <w:r>
          <w:rPr>
            <w:noProof/>
            <w:webHidden/>
          </w:rPr>
          <w:fldChar w:fldCharType="separate"/>
        </w:r>
        <w:r>
          <w:rPr>
            <w:noProof/>
            <w:webHidden/>
          </w:rPr>
          <w:t>2012</w:t>
        </w:r>
        <w:r>
          <w:rPr>
            <w:noProof/>
            <w:webHidden/>
          </w:rPr>
          <w:fldChar w:fldCharType="end"/>
        </w:r>
      </w:hyperlink>
    </w:p>
    <w:p>
      <w:pPr>
        <w:pStyle w:val="TOC2"/>
      </w:pPr>
      <w:hyperlink w:anchor="_Toc300001924" w:history="1">
        <w:r>
          <w:rPr>
            <w:noProof/>
          </w:rPr>
          <w:t xml:space="preserve">Article 59.17: Infrastructure, Grid, Water, Logistics, and All-Hazards Resilience</w:t>
        </w:r>
        <w:r>
          <w:rPr>
            <w:noProof/>
            <w:webHidden/>
          </w:rPr>
          <w:tab/>
        </w:r>
        <w:r>
          <w:rPr>
            <w:noProof/>
            <w:webHidden/>
          </w:rPr>
          <w:fldChar w:fldCharType="begin"/>
        </w:r>
        <w:r>
          <w:rPr>
            <w:noProof/>
            <w:webHidden/>
          </w:rPr>
          <w:instrText xml:space="preserve"> PAGEREF _Toc300001924 \h </w:instrText>
        </w:r>
        <w:r>
          <w:rPr>
            <w:noProof/>
            <w:webHidden/>
          </w:rPr>
          <w:fldChar w:fldCharType="separate"/>
        </w:r>
        <w:r>
          <w:rPr>
            <w:noProof/>
            <w:webHidden/>
          </w:rPr>
          <w:t>2012</w:t>
        </w:r>
        <w:r>
          <w:rPr>
            <w:noProof/>
            <w:webHidden/>
          </w:rPr>
          <w:fldChar w:fldCharType="end"/>
        </w:r>
      </w:hyperlink>
    </w:p>
    <w:p>
      <w:pPr>
        <w:pStyle w:val="TOC2"/>
      </w:pPr>
      <w:hyperlink w:anchor="_Toc300001925" w:history="1">
        <w:r>
          <w:rPr>
            <w:noProof/>
          </w:rPr>
          <w:t xml:space="preserve">Article 59.18: Sustainable Materials and Environmental Performance</w:t>
        </w:r>
        <w:r>
          <w:rPr>
            <w:noProof/>
            <w:webHidden/>
          </w:rPr>
          <w:tab/>
        </w:r>
        <w:r>
          <w:rPr>
            <w:noProof/>
            <w:webHidden/>
          </w:rPr>
          <w:fldChar w:fldCharType="begin"/>
        </w:r>
        <w:r>
          <w:rPr>
            <w:noProof/>
            <w:webHidden/>
          </w:rPr>
          <w:instrText xml:space="preserve"> PAGEREF _Toc300001925 \h </w:instrText>
        </w:r>
        <w:r>
          <w:rPr>
            <w:noProof/>
            <w:webHidden/>
          </w:rPr>
          <w:fldChar w:fldCharType="separate"/>
        </w:r>
        <w:r>
          <w:rPr>
            <w:noProof/>
            <w:webHidden/>
          </w:rPr>
          <w:t>2012</w:t>
        </w:r>
        <w:r>
          <w:rPr>
            <w:noProof/>
            <w:webHidden/>
          </w:rPr>
          <w:fldChar w:fldCharType="end"/>
        </w:r>
      </w:hyperlink>
    </w:p>
    <w:p>
      <w:pPr>
        <w:pStyle w:val="TOC2"/>
      </w:pPr>
      <w:hyperlink w:anchor="_Toc300001926" w:history="1">
        <w:r>
          <w:rPr>
            <w:noProof/>
          </w:rPr>
          <w:t xml:space="preserve">Article 59.19: Cothrom Automotive Stabilizer and Crisis Management</w:t>
        </w:r>
        <w:r>
          <w:rPr>
            <w:noProof/>
            <w:webHidden/>
          </w:rPr>
          <w:tab/>
        </w:r>
        <w:r>
          <w:rPr>
            <w:noProof/>
            <w:webHidden/>
          </w:rPr>
          <w:fldChar w:fldCharType="begin"/>
        </w:r>
        <w:r>
          <w:rPr>
            <w:noProof/>
            <w:webHidden/>
          </w:rPr>
          <w:instrText xml:space="preserve"> PAGEREF _Toc300001926 \h </w:instrText>
        </w:r>
        <w:r>
          <w:rPr>
            <w:noProof/>
            <w:webHidden/>
          </w:rPr>
          <w:fldChar w:fldCharType="separate"/>
        </w:r>
        <w:r>
          <w:rPr>
            <w:noProof/>
            <w:webHidden/>
          </w:rPr>
          <w:t>2013</w:t>
        </w:r>
        <w:r>
          <w:rPr>
            <w:noProof/>
            <w:webHidden/>
          </w:rPr>
          <w:fldChar w:fldCharType="end"/>
        </w:r>
      </w:hyperlink>
    </w:p>
    <w:p>
      <w:pPr>
        <w:pStyle w:val="TOC2"/>
      </w:pPr>
      <w:hyperlink w:anchor="_Toc300001927" w:history="1">
        <w:r>
          <w:rPr>
            <w:noProof/>
          </w:rPr>
          <w:t xml:space="preserve">Article 59.20: Automotive Performance Dashboard, Machine-Readable Rules, and Rolling Horizons</w:t>
        </w:r>
        <w:r>
          <w:rPr>
            <w:noProof/>
            <w:webHidden/>
          </w:rPr>
          <w:tab/>
        </w:r>
        <w:r>
          <w:rPr>
            <w:noProof/>
            <w:webHidden/>
          </w:rPr>
          <w:fldChar w:fldCharType="begin"/>
        </w:r>
        <w:r>
          <w:rPr>
            <w:noProof/>
            <w:webHidden/>
          </w:rPr>
          <w:instrText xml:space="preserve"> PAGEREF _Toc300001927 \h </w:instrText>
        </w:r>
        <w:r>
          <w:rPr>
            <w:noProof/>
            <w:webHidden/>
          </w:rPr>
          <w:fldChar w:fldCharType="separate"/>
        </w:r>
        <w:r>
          <w:rPr>
            <w:noProof/>
            <w:webHidden/>
          </w:rPr>
          <w:t>2013</w:t>
        </w:r>
        <w:r>
          <w:rPr>
            <w:noProof/>
            <w:webHidden/>
          </w:rPr>
          <w:fldChar w:fldCharType="end"/>
        </w:r>
      </w:hyperlink>
    </w:p>
    <w:p>
      <w:pPr>
        <w:pStyle w:val="TOC2"/>
      </w:pPr>
      <w:hyperlink w:anchor="_Toc300001928" w:history="1">
        <w:r>
          <w:rPr>
            <w:noProof/>
          </w:rPr>
          <w:t xml:space="preserve">Article 59.21: Relationship to Other Chapters and Non-Derogation</w:t>
        </w:r>
        <w:r>
          <w:rPr>
            <w:noProof/>
            <w:webHidden/>
          </w:rPr>
          <w:tab/>
        </w:r>
        <w:r>
          <w:rPr>
            <w:noProof/>
            <w:webHidden/>
          </w:rPr>
          <w:fldChar w:fldCharType="begin"/>
        </w:r>
        <w:r>
          <w:rPr>
            <w:noProof/>
            <w:webHidden/>
          </w:rPr>
          <w:instrText xml:space="preserve"> PAGEREF _Toc300001928 \h </w:instrText>
        </w:r>
        <w:r>
          <w:rPr>
            <w:noProof/>
            <w:webHidden/>
          </w:rPr>
          <w:fldChar w:fldCharType="separate"/>
        </w:r>
        <w:r>
          <w:rPr>
            <w:noProof/>
            <w:webHidden/>
          </w:rPr>
          <w:t>2014</w:t>
        </w:r>
        <w:r>
          <w:rPr>
            <w:noProof/>
            <w:webHidden/>
          </w:rPr>
          <w:fldChar w:fldCharType="end"/>
        </w:r>
      </w:hyperlink>
    </w:p>
    <w:p>
      <w:pPr>
        <w:pStyle w:val="TOC2"/>
      </w:pPr>
      <w:hyperlink w:anchor="_Toc300001929" w:history="1">
        <w:r>
          <w:rPr>
            <w:noProof/>
          </w:rPr>
          <w:t xml:space="preserve">Article 59.22: Mexican Automotive Tariff Normalization and Continental Additionality</w:t>
        </w:r>
        <w:r>
          <w:rPr>
            <w:noProof/>
            <w:webHidden/>
          </w:rPr>
          <w:tab/>
        </w:r>
        <w:r>
          <w:rPr>
            <w:noProof/>
            <w:webHidden/>
          </w:rPr>
          <w:fldChar w:fldCharType="begin"/>
        </w:r>
        <w:r>
          <w:rPr>
            <w:noProof/>
            <w:webHidden/>
          </w:rPr>
          <w:instrText xml:space="preserve"> PAGEREF _Toc300001929 \h </w:instrText>
        </w:r>
        <w:r>
          <w:rPr>
            <w:noProof/>
            <w:webHidden/>
          </w:rPr>
          <w:fldChar w:fldCharType="separate"/>
        </w:r>
        <w:r>
          <w:rPr>
            <w:noProof/>
            <w:webHidden/>
          </w:rPr>
          <w:t>2014</w:t>
        </w:r>
        <w:r>
          <w:rPr>
            <w:noProof/>
            <w:webHidden/>
          </w:rPr>
          <w:fldChar w:fldCharType="end"/>
        </w:r>
      </w:hyperlink>
    </w:p>
    <w:p>
      <w:pPr>
        <w:pStyle w:val="TOC2"/>
      </w:pPr>
      <w:hyperlink w:anchor="_Toc300001930" w:history="1">
        <w:r>
          <w:rPr>
            <w:noProof/>
          </w:rPr>
          <w:t xml:space="preserve">Article 59.22A: Automotive Full-Scope and Anti-Cherry-Picking Guarantee</w:t>
        </w:r>
        <w:r>
          <w:rPr>
            <w:noProof/>
            <w:webHidden/>
          </w:rPr>
          <w:tab/>
        </w:r>
        <w:r>
          <w:rPr>
            <w:noProof/>
            <w:webHidden/>
          </w:rPr>
          <w:fldChar w:fldCharType="begin"/>
        </w:r>
        <w:r>
          <w:rPr>
            <w:noProof/>
            <w:webHidden/>
          </w:rPr>
          <w:instrText xml:space="preserve"> PAGEREF _Toc300001930 \h </w:instrText>
        </w:r>
        <w:r>
          <w:rPr>
            <w:noProof/>
            <w:webHidden/>
          </w:rPr>
          <w:fldChar w:fldCharType="separate"/>
        </w:r>
        <w:r>
          <w:rPr>
            <w:noProof/>
            <w:webHidden/>
          </w:rPr>
          <w:t>2015</w:t>
        </w:r>
        <w:r>
          <w:rPr>
            <w:noProof/>
            <w:webHidden/>
          </w:rPr>
          <w:fldChar w:fldCharType="end"/>
        </w:r>
      </w:hyperlink>
    </w:p>
    <w:p>
      <w:pPr>
        <w:pStyle w:val="TOC2"/>
      </w:pPr>
      <w:hyperlink w:anchor="_Toc300001931" w:history="1">
        <w:r>
          <w:rPr>
            <w:noProof/>
          </w:rPr>
          <w:t xml:space="preserve">Article 59.23: Automotive Platform and Model-Family Content Banking</w:t>
        </w:r>
        <w:r>
          <w:rPr>
            <w:noProof/>
            <w:webHidden/>
          </w:rPr>
          <w:tab/>
        </w:r>
        <w:r>
          <w:rPr>
            <w:noProof/>
            <w:webHidden/>
          </w:rPr>
          <w:fldChar w:fldCharType="begin"/>
        </w:r>
        <w:r>
          <w:rPr>
            <w:noProof/>
            <w:webHidden/>
          </w:rPr>
          <w:instrText xml:space="preserve"> PAGEREF _Toc300001931 \h </w:instrText>
        </w:r>
        <w:r>
          <w:rPr>
            <w:noProof/>
            <w:webHidden/>
          </w:rPr>
          <w:fldChar w:fldCharType="separate"/>
        </w:r>
        <w:r>
          <w:rPr>
            <w:noProof/>
            <w:webHidden/>
          </w:rPr>
          <w:t>2016</w:t>
        </w:r>
        <w:r>
          <w:rPr>
            <w:noProof/>
            <w:webHidden/>
          </w:rPr>
          <w:fldChar w:fldCharType="end"/>
        </w:r>
      </w:hyperlink>
    </w:p>
    <w:p>
      <w:pPr>
        <w:pStyle w:val="TOC2"/>
      </w:pPr>
      <w:hyperlink w:anchor="_Toc300001932" w:history="1">
        <w:r>
          <w:rPr>
            <w:noProof/>
          </w:rPr>
          <w:t xml:space="preserve">Article 59.24: Automotive Qualification Commons and Shared Failure Analysis</w:t>
        </w:r>
        <w:r>
          <w:rPr>
            <w:noProof/>
            <w:webHidden/>
          </w:rPr>
          <w:tab/>
        </w:r>
        <w:r>
          <w:rPr>
            <w:noProof/>
            <w:webHidden/>
          </w:rPr>
          <w:fldChar w:fldCharType="begin"/>
        </w:r>
        <w:r>
          <w:rPr>
            <w:noProof/>
            <w:webHidden/>
          </w:rPr>
          <w:instrText xml:space="preserve"> PAGEREF _Toc300001932 \h </w:instrText>
        </w:r>
        <w:r>
          <w:rPr>
            <w:noProof/>
            <w:webHidden/>
          </w:rPr>
          <w:fldChar w:fldCharType="separate"/>
        </w:r>
        <w:r>
          <w:rPr>
            <w:noProof/>
            <w:webHidden/>
          </w:rPr>
          <w:t>2016</w:t>
        </w:r>
        <w:r>
          <w:rPr>
            <w:noProof/>
            <w:webHidden/>
          </w:rPr>
          <w:fldChar w:fldCharType="end"/>
        </w:r>
      </w:hyperlink>
    </w:p>
    <w:p>
      <w:pPr>
        <w:pStyle w:val="TOC2"/>
      </w:pPr>
      <w:hyperlink w:anchor="_Toc300001933" w:history="1">
        <w:r>
          <w:rPr>
            <w:noProof/>
          </w:rPr>
          <w:t xml:space="preserve">Article 59.25: Investment-Linked Transitional Tariff Credit</w:t>
        </w:r>
        <w:r>
          <w:rPr>
            <w:noProof/>
            <w:webHidden/>
          </w:rPr>
          <w:tab/>
        </w:r>
        <w:r>
          <w:rPr>
            <w:noProof/>
            <w:webHidden/>
          </w:rPr>
          <w:fldChar w:fldCharType="begin"/>
        </w:r>
        <w:r>
          <w:rPr>
            <w:noProof/>
            <w:webHidden/>
          </w:rPr>
          <w:instrText xml:space="preserve"> PAGEREF _Toc300001933 \h </w:instrText>
        </w:r>
        <w:r>
          <w:rPr>
            <w:noProof/>
            <w:webHidden/>
          </w:rPr>
          <w:fldChar w:fldCharType="separate"/>
        </w:r>
        <w:r>
          <w:rPr>
            <w:noProof/>
            <w:webHidden/>
          </w:rPr>
          <w:t>2017</w:t>
        </w:r>
        <w:r>
          <w:rPr>
            <w:noProof/>
            <w:webHidden/>
          </w:rPr>
          <w:fldChar w:fldCharType="end"/>
        </w:r>
      </w:hyperlink>
    </w:p>
    <w:p>
      <w:pPr>
        <w:pStyle w:val="TOC2"/>
      </w:pPr>
      <w:hyperlink w:anchor="_Toc300001934" w:history="1">
        <w:r>
          <w:rPr>
            <w:noProof/>
          </w:rPr>
          <w:t xml:space="preserve">ANNEX 59-A: AUTOMOTIVE ENHANCED-TIER IMPLEMENTATION FRAMEWORK</w:t>
        </w:r>
        <w:r>
          <w:rPr>
            <w:noProof/>
            <w:webHidden/>
          </w:rPr>
          <w:tab/>
        </w:r>
        <w:r>
          <w:rPr>
            <w:noProof/>
            <w:webHidden/>
          </w:rPr>
          <w:fldChar w:fldCharType="begin"/>
        </w:r>
        <w:r>
          <w:rPr>
            <w:noProof/>
            <w:webHidden/>
          </w:rPr>
          <w:instrText xml:space="preserve"> PAGEREF _Toc300001934 \h </w:instrText>
        </w:r>
        <w:r>
          <w:rPr>
            <w:noProof/>
            <w:webHidden/>
          </w:rPr>
          <w:fldChar w:fldCharType="separate"/>
        </w:r>
        <w:r>
          <w:rPr>
            <w:noProof/>
            <w:webHidden/>
          </w:rPr>
          <w:t>2017</w:t>
        </w:r>
        <w:r>
          <w:rPr>
            <w:noProof/>
            <w:webHidden/>
          </w:rPr>
          <w:fldChar w:fldCharType="end"/>
        </w:r>
      </w:hyperlink>
    </w:p>
    <w:p>
      <w:pPr>
        <w:pStyle w:val="TOC2"/>
      </w:pPr>
      <w:hyperlink w:anchor="_Toc300001935" w:history="1">
        <w:r>
          <w:rPr>
            <w:noProof/>
          </w:rPr>
          <w:t xml:space="preserve">Article 59.5A: North American Automotive Settlement Rate and Earned Integration Credits</w:t>
        </w:r>
        <w:r>
          <w:rPr>
            <w:noProof/>
            <w:webHidden/>
          </w:rPr>
          <w:tab/>
        </w:r>
        <w:r>
          <w:rPr>
            <w:noProof/>
            <w:webHidden/>
          </w:rPr>
          <w:fldChar w:fldCharType="begin"/>
        </w:r>
        <w:r>
          <w:rPr>
            <w:noProof/>
            <w:webHidden/>
          </w:rPr>
          <w:instrText xml:space="preserve"> PAGEREF _Toc300001935 \h </w:instrText>
        </w:r>
        <w:r>
          <w:rPr>
            <w:noProof/>
            <w:webHidden/>
          </w:rPr>
          <w:fldChar w:fldCharType="separate"/>
        </w:r>
        <w:r>
          <w:rPr>
            <w:noProof/>
            <w:webHidden/>
          </w:rPr>
          <w:t>2019</w:t>
        </w:r>
        <w:r>
          <w:rPr>
            <w:noProof/>
            <w:webHidden/>
          </w:rPr>
          <w:fldChar w:fldCharType="end"/>
        </w:r>
      </w:hyperlink>
    </w:p>
    <w:p>
      <w:pPr>
        <w:pStyle w:val="TOC2"/>
      </w:pPr>
      <w:hyperlink w:anchor="_Toc300001936" w:history="1">
        <w:r>
          <w:rPr>
            <w:noProof/>
          </w:rPr>
          <w:t xml:space="preserve">ANNEX 59-B: AUTOMOTIVE SETTLEMENT AND INCENTIVE BACKLOG FRAMEWORK</w:t>
        </w:r>
        <w:r>
          <w:rPr>
            <w:noProof/>
            <w:webHidden/>
          </w:rPr>
          <w:tab/>
        </w:r>
        <w:r>
          <w:rPr>
            <w:noProof/>
            <w:webHidden/>
          </w:rPr>
          <w:fldChar w:fldCharType="begin"/>
        </w:r>
        <w:r>
          <w:rPr>
            <w:noProof/>
            <w:webHidden/>
          </w:rPr>
          <w:instrText xml:space="preserve"> PAGEREF _Toc300001936 \h </w:instrText>
        </w:r>
        <w:r>
          <w:rPr>
            <w:noProof/>
            <w:webHidden/>
          </w:rPr>
          <w:fldChar w:fldCharType="separate"/>
        </w:r>
        <w:r>
          <w:rPr>
            <w:noProof/>
            <w:webHidden/>
          </w:rPr>
          <w:t>2023</w:t>
        </w:r>
        <w:r>
          <w:rPr>
            <w:noProof/>
            <w:webHidden/>
          </w:rPr>
          <w:fldChar w:fldCharType="end"/>
        </w:r>
      </w:hyperlink>
    </w:p>
    <w:p>
      <w:pPr>
        <w:pStyle w:val="TOC1"/>
      </w:pPr>
      <w:hyperlink w:anchor="_Toc300001937" w:history="1">
        <w:r>
          <w:rPr>
            <w:noProof/>
          </w:rPr>
          <w:t xml:space="preserve">PACKAGE X: AUTOMOTIVE SETTLEMENT AND EARNED-INTEGRATION ARCHITECTURE (v4.3), DEVELOPMENT PROVENANCE AFTER ANNEX 59-C INTEGRATION</w:t>
        </w:r>
        <w:r>
          <w:rPr>
            <w:noProof/>
            <w:webHidden/>
          </w:rPr>
          <w:tab/>
        </w:r>
        <w:r>
          <w:rPr>
            <w:noProof/>
            <w:webHidden/>
          </w:rPr>
          <w:fldChar w:fldCharType="begin"/>
        </w:r>
        <w:r>
          <w:rPr>
            <w:noProof/>
            <w:webHidden/>
          </w:rPr>
          <w:instrText xml:space="preserve"> PAGEREF _Toc300001937 \h </w:instrText>
        </w:r>
        <w:r>
          <w:rPr>
            <w:noProof/>
            <w:webHidden/>
          </w:rPr>
          <w:fldChar w:fldCharType="separate"/>
        </w:r>
        <w:r>
          <w:rPr>
            <w:noProof/>
            <w:webHidden/>
          </w:rPr>
          <w:t>2027</w:t>
        </w:r>
        <w:r>
          <w:rPr>
            <w:noProof/>
            <w:webHidden/>
          </w:rPr>
          <w:fldChar w:fldCharType="end"/>
        </w:r>
      </w:hyperlink>
    </w:p>
    <w:p>
      <w:pPr>
        <w:pStyle w:val="TOC2"/>
      </w:pPr>
      <w:hyperlink w:anchor="_Toc300001938" w:history="1">
        <w:r>
          <w:rPr>
            <w:noProof/>
          </w:rPr>
          <w:t xml:space="preserve">PACKAGE W: AUTOMOTIVE INTEGRATION, ENHANCED ORIGIN, AND RESILIENCE</w:t>
        </w:r>
        <w:r>
          <w:rPr>
            <w:noProof/>
            <w:webHidden/>
          </w:rPr>
          <w:tab/>
        </w:r>
        <w:r>
          <w:rPr>
            <w:noProof/>
            <w:webHidden/>
          </w:rPr>
          <w:fldChar w:fldCharType="begin"/>
        </w:r>
        <w:r>
          <w:rPr>
            <w:noProof/>
            <w:webHidden/>
          </w:rPr>
          <w:instrText xml:space="preserve"> PAGEREF _Toc300001938 \h </w:instrText>
        </w:r>
        <w:r>
          <w:rPr>
            <w:noProof/>
            <w:webHidden/>
          </w:rPr>
          <w:fldChar w:fldCharType="separate"/>
        </w:r>
        <w:r>
          <w:rPr>
            <w:noProof/>
            <w:webHidden/>
          </w:rPr>
          <w:t>2027</w:t>
        </w:r>
        <w:r>
          <w:rPr>
            <w:noProof/>
            <w:webHidden/>
          </w:rPr>
          <w:fldChar w:fldCharType="end"/>
        </w:r>
      </w:hyperlink>
    </w:p>
    <w:p>
      <w:pPr>
        <w:pStyle w:val="TOC2"/>
      </w:pPr>
      <w:hyperlink w:anchor="_Toc300001939" w:history="1">
        <w:r>
          <w:rPr>
            <w:noProof/>
          </w:rPr>
          <w:t xml:space="preserve">Article 59.26: Automotive Administrative Implementation Standard</w:t>
        </w:r>
        <w:r>
          <w:rPr>
            <w:noProof/>
            <w:webHidden/>
          </w:rPr>
          <w:tab/>
        </w:r>
        <w:r>
          <w:rPr>
            <w:noProof/>
            <w:webHidden/>
          </w:rPr>
          <w:fldChar w:fldCharType="begin"/>
        </w:r>
        <w:r>
          <w:rPr>
            <w:noProof/>
            <w:webHidden/>
          </w:rPr>
          <w:instrText xml:space="preserve"> PAGEREF _Toc300001939 \h </w:instrText>
        </w:r>
        <w:r>
          <w:rPr>
            <w:noProof/>
            <w:webHidden/>
          </w:rPr>
          <w:fldChar w:fldCharType="separate"/>
        </w:r>
        <w:r>
          <w:rPr>
            <w:noProof/>
            <w:webHidden/>
          </w:rPr>
          <w:t>2027</w:t>
        </w:r>
        <w:r>
          <w:rPr>
            <w:noProof/>
            <w:webHidden/>
          </w:rPr>
          <w:fldChar w:fldCharType="end"/>
        </w:r>
      </w:hyperlink>
    </w:p>
    <w:p>
      <w:pPr>
        <w:pStyle w:val="TOC1"/>
      </w:pPr>
      <w:hyperlink w:anchor="_Toc300001940" w:history="1">
        <w:r>
          <w:rPr>
            <w:noProof/>
          </w:rPr>
          <w:t xml:space="preserve">ANNEX 59-C: AUTOMOTIVE REGIONAL INTEGRATION AND FINAL SETTLEMENT PROTOCOL</w:t>
        </w:r>
        <w:r>
          <w:rPr>
            <w:noProof/>
            <w:webHidden/>
          </w:rPr>
          <w:tab/>
        </w:r>
        <w:r>
          <w:rPr>
            <w:noProof/>
            <w:webHidden/>
          </w:rPr>
          <w:fldChar w:fldCharType="begin"/>
        </w:r>
        <w:r>
          <w:rPr>
            <w:noProof/>
            <w:webHidden/>
          </w:rPr>
          <w:instrText xml:space="preserve"> PAGEREF _Toc300001940 \h </w:instrText>
        </w:r>
        <w:r>
          <w:rPr>
            <w:noProof/>
            <w:webHidden/>
          </w:rPr>
          <w:fldChar w:fldCharType="separate"/>
        </w:r>
        <w:r>
          <w:rPr>
            <w:noProof/>
            <w:webHidden/>
          </w:rPr>
          <w:t>2029</w:t>
        </w:r>
        <w:r>
          <w:rPr>
            <w:noProof/>
            <w:webHidden/>
          </w:rPr>
          <w:fldChar w:fldCharType="end"/>
        </w:r>
      </w:hyperlink>
    </w:p>
    <w:p>
      <w:pPr>
        <w:pStyle w:val="TOC2"/>
      </w:pPr>
      <w:hyperlink w:anchor="_Toc300001941" w:history="1">
        <w:r>
          <w:rPr>
            <w:noProof/>
          </w:rPr>
          <w:t xml:space="preserve">FS-03.1: Purpose, Existing-Law Relationship, and Settlement Selection Rule</w:t>
        </w:r>
        <w:r>
          <w:rPr>
            <w:noProof/>
            <w:webHidden/>
          </w:rPr>
          <w:tab/>
        </w:r>
        <w:r>
          <w:rPr>
            <w:noProof/>
            <w:webHidden/>
          </w:rPr>
          <w:fldChar w:fldCharType="begin"/>
        </w:r>
        <w:r>
          <w:rPr>
            <w:noProof/>
            <w:webHidden/>
          </w:rPr>
          <w:instrText xml:space="preserve"> PAGEREF _Toc300001941 \h </w:instrText>
        </w:r>
        <w:r>
          <w:rPr>
            <w:noProof/>
            <w:webHidden/>
          </w:rPr>
          <w:fldChar w:fldCharType="separate"/>
        </w:r>
        <w:r>
          <w:rPr>
            <w:noProof/>
            <w:webHidden/>
          </w:rPr>
          <w:t>2029</w:t>
        </w:r>
        <w:r>
          <w:rPr>
            <w:noProof/>
            <w:webHidden/>
          </w:rPr>
          <w:fldChar w:fldCharType="end"/>
        </w:r>
      </w:hyperlink>
    </w:p>
    <w:p>
      <w:pPr>
        <w:pStyle w:val="TOC2"/>
      </w:pPr>
      <w:hyperlink w:anchor="_Toc300001942" w:history="1">
        <w:r>
          <w:rPr>
            <w:noProof/>
          </w:rPr>
          <w:t xml:space="preserve">FS-03.2: Ordinary Origin, Regional Integration, and Domestic Additionality</w:t>
        </w:r>
        <w:r>
          <w:rPr>
            <w:noProof/>
            <w:webHidden/>
          </w:rPr>
          <w:tab/>
        </w:r>
        <w:r>
          <w:rPr>
            <w:noProof/>
            <w:webHidden/>
          </w:rPr>
          <w:fldChar w:fldCharType="begin"/>
        </w:r>
        <w:r>
          <w:rPr>
            <w:noProof/>
            <w:webHidden/>
          </w:rPr>
          <w:instrText xml:space="preserve"> PAGEREF _Toc300001942 \h </w:instrText>
        </w:r>
        <w:r>
          <w:rPr>
            <w:noProof/>
            <w:webHidden/>
          </w:rPr>
          <w:fldChar w:fldCharType="separate"/>
        </w:r>
        <w:r>
          <w:rPr>
            <w:noProof/>
            <w:webHidden/>
          </w:rPr>
          <w:t>2030</w:t>
        </w:r>
        <w:r>
          <w:rPr>
            <w:noProof/>
            <w:webHidden/>
          </w:rPr>
          <w:fldChar w:fldCharType="end"/>
        </w:r>
      </w:hyperlink>
    </w:p>
    <w:p>
      <w:pPr>
        <w:pStyle w:val="TOC2"/>
      </w:pPr>
      <w:hyperlink w:anchor="_Toc300001943" w:history="1">
        <w:r>
          <w:rPr>
            <w:noProof/>
          </w:rPr>
          <w:t xml:space="preserve">FS-03.3: Automotive Final Settlement Schedule</w:t>
        </w:r>
        <w:r>
          <w:rPr>
            <w:noProof/>
            <w:webHidden/>
          </w:rPr>
          <w:tab/>
        </w:r>
        <w:r>
          <w:rPr>
            <w:noProof/>
            <w:webHidden/>
          </w:rPr>
          <w:fldChar w:fldCharType="begin"/>
        </w:r>
        <w:r>
          <w:rPr>
            <w:noProof/>
            <w:webHidden/>
          </w:rPr>
          <w:instrText xml:space="preserve"> PAGEREF _Toc300001943 \h </w:instrText>
        </w:r>
        <w:r>
          <w:rPr>
            <w:noProof/>
            <w:webHidden/>
          </w:rPr>
          <w:fldChar w:fldCharType="separate"/>
        </w:r>
        <w:r>
          <w:rPr>
            <w:noProof/>
            <w:webHidden/>
          </w:rPr>
          <w:t>2032</w:t>
        </w:r>
        <w:r>
          <w:rPr>
            <w:noProof/>
            <w:webHidden/>
          </w:rPr>
          <w:fldChar w:fldCharType="end"/>
        </w:r>
      </w:hyperlink>
    </w:p>
    <w:p>
      <w:pPr>
        <w:pStyle w:val="TOC2"/>
      </w:pPr>
      <w:hyperlink w:anchor="_Toc300001944" w:history="1">
        <w:r>
          <w:rPr>
            <w:noProof/>
          </w:rPr>
          <w:t xml:space="preserve">FS-03.4: Reciprocal Automotive Stand-Down and FS-01 Interface</w:t>
        </w:r>
        <w:r>
          <w:rPr>
            <w:noProof/>
            <w:webHidden/>
          </w:rPr>
          <w:tab/>
        </w:r>
        <w:r>
          <w:rPr>
            <w:noProof/>
            <w:webHidden/>
          </w:rPr>
          <w:fldChar w:fldCharType="begin"/>
        </w:r>
        <w:r>
          <w:rPr>
            <w:noProof/>
            <w:webHidden/>
          </w:rPr>
          <w:instrText xml:space="preserve"> PAGEREF _Toc300001944 \h </w:instrText>
        </w:r>
        <w:r>
          <w:rPr>
            <w:noProof/>
            <w:webHidden/>
          </w:rPr>
          <w:fldChar w:fldCharType="separate"/>
        </w:r>
        <w:r>
          <w:rPr>
            <w:noProof/>
            <w:webHidden/>
          </w:rPr>
          <w:t>2033</w:t>
        </w:r>
        <w:r>
          <w:rPr>
            <w:noProof/>
            <w:webHidden/>
          </w:rPr>
          <w:fldChar w:fldCharType="end"/>
        </w:r>
      </w:hyperlink>
    </w:p>
    <w:p>
      <w:pPr>
        <w:pStyle w:val="TOC2"/>
      </w:pPr>
      <w:hyperlink w:anchor="_Toc300001945" w:history="1">
        <w:r>
          <w:rPr>
            <w:noProof/>
          </w:rPr>
          <w:t xml:space="preserve">FS-03.5: Administration, Classification Continuity, and Change Control</w:t>
        </w:r>
        <w:r>
          <w:rPr>
            <w:noProof/>
            <w:webHidden/>
          </w:rPr>
          <w:tab/>
        </w:r>
        <w:r>
          <w:rPr>
            <w:noProof/>
            <w:webHidden/>
          </w:rPr>
          <w:fldChar w:fldCharType="begin"/>
        </w:r>
        <w:r>
          <w:rPr>
            <w:noProof/>
            <w:webHidden/>
          </w:rPr>
          <w:instrText xml:space="preserve"> PAGEREF _Toc300001945 \h </w:instrText>
        </w:r>
        <w:r>
          <w:rPr>
            <w:noProof/>
            <w:webHidden/>
          </w:rPr>
          <w:fldChar w:fldCharType="separate"/>
        </w:r>
        <w:r>
          <w:rPr>
            <w:noProof/>
            <w:webHidden/>
          </w:rPr>
          <w:t>2034</w:t>
        </w:r>
        <w:r>
          <w:rPr>
            <w:noProof/>
            <w:webHidden/>
          </w:rPr>
          <w:fldChar w:fldCharType="end"/>
        </w:r>
      </w:hyperlink>
    </w:p>
    <w:p>
      <w:pPr>
        <w:pStyle w:val="TOC2"/>
      </w:pPr>
      <w:hyperlink w:anchor="_Toc300001946" w:history="1">
        <w:r>
          <w:rPr>
            <w:noProof/>
          </w:rPr>
          <w:t xml:space="preserve">FS-03.6: Cothrom Stabilization, Review, Restoration, and Closure</w:t>
        </w:r>
        <w:r>
          <w:rPr>
            <w:noProof/>
            <w:webHidden/>
          </w:rPr>
          <w:tab/>
        </w:r>
        <w:r>
          <w:rPr>
            <w:noProof/>
            <w:webHidden/>
          </w:rPr>
          <w:fldChar w:fldCharType="begin"/>
        </w:r>
        <w:r>
          <w:rPr>
            <w:noProof/>
            <w:webHidden/>
          </w:rPr>
          <w:instrText xml:space="preserve"> PAGEREF _Toc300001946 \h </w:instrText>
        </w:r>
        <w:r>
          <w:rPr>
            <w:noProof/>
            <w:webHidden/>
          </w:rPr>
          <w:fldChar w:fldCharType="separate"/>
        </w:r>
        <w:r>
          <w:rPr>
            <w:noProof/>
            <w:webHidden/>
          </w:rPr>
          <w:t>2035</w:t>
        </w:r>
        <w:r>
          <w:rPr>
            <w:noProof/>
            <w:webHidden/>
          </w:rPr>
          <w:fldChar w:fldCharType="end"/>
        </w:r>
      </w:hyperlink>
    </w:p>
    <w:p>
      <w:pPr>
        <w:pStyle w:val="TOC2"/>
      </w:pPr>
      <w:hyperlink w:anchor="_Toc300001947" w:history="1">
        <w:r>
          <w:rPr>
            <w:noProof/>
          </w:rPr>
          <w:t xml:space="preserve">SCHEDULE FS-03-A: CORE AUTOMOTIVE FINAL SETTLEMENT TERMS, DEVELOPMENT TEMPLATE: NON-OPERATIVE UNTIL ADOPTED</w:t>
        </w:r>
        <w:r>
          <w:rPr>
            <w:noProof/>
            <w:webHidden/>
          </w:rPr>
          <w:tab/>
        </w:r>
        <w:r>
          <w:rPr>
            <w:noProof/>
            <w:webHidden/>
          </w:rPr>
          <w:fldChar w:fldCharType="begin"/>
        </w:r>
        <w:r>
          <w:rPr>
            <w:noProof/>
            <w:webHidden/>
          </w:rPr>
          <w:instrText xml:space="preserve"> PAGEREF _Toc300001947 \h </w:instrText>
        </w:r>
        <w:r>
          <w:rPr>
            <w:noProof/>
            <w:webHidden/>
          </w:rPr>
          <w:fldChar w:fldCharType="separate"/>
        </w:r>
        <w:r>
          <w:rPr>
            <w:noProof/>
            <w:webHidden/>
          </w:rPr>
          <w:t>2037</w:t>
        </w:r>
        <w:r>
          <w:rPr>
            <w:noProof/>
            <w:webHidden/>
          </w:rPr>
          <w:fldChar w:fldCharType="end"/>
        </w:r>
      </w:hyperlink>
    </w:p>
    <w:p>
      <w:pPr>
        <w:pStyle w:val="TOC2"/>
      </w:pPr>
      <w:hyperlink w:anchor="_Toc300001948" w:history="1">
        <w:r>
          <w:rPr>
            <w:noProof/>
          </w:rPr>
          <w:t xml:space="preserve">SCHEDULE FS-03-B: SELECTED AUTOMOTIVE EARNED BENEFITS, DEVELOPMENT TEMPLATE: NON-OPERATIVE UNTIL ADOPTED</w:t>
        </w:r>
        <w:r>
          <w:rPr>
            <w:noProof/>
            <w:webHidden/>
          </w:rPr>
          <w:tab/>
        </w:r>
        <w:r>
          <w:rPr>
            <w:noProof/>
            <w:webHidden/>
          </w:rPr>
          <w:fldChar w:fldCharType="begin"/>
        </w:r>
        <w:r>
          <w:rPr>
            <w:noProof/>
            <w:webHidden/>
          </w:rPr>
          <w:instrText xml:space="preserve"> PAGEREF _Toc300001948 \h </w:instrText>
        </w:r>
        <w:r>
          <w:rPr>
            <w:noProof/>
            <w:webHidden/>
          </w:rPr>
          <w:fldChar w:fldCharType="separate"/>
        </w:r>
        <w:r>
          <w:rPr>
            <w:noProof/>
            <w:webHidden/>
          </w:rPr>
          <w:t>2038</w:t>
        </w:r>
        <w:r>
          <w:rPr>
            <w:noProof/>
            <w:webHidden/>
          </w:rPr>
          <w:fldChar w:fldCharType="end"/>
        </w:r>
      </w:hyperlink>
    </w:p>
    <w:p>
      <w:pPr>
        <w:pStyle w:val="TOC2"/>
      </w:pPr>
      <w:hyperlink w:anchor="_Toc300001949" w:history="1">
        <w:r>
          <w:rPr>
            <w:noProof/>
          </w:rPr>
          <w:t xml:space="preserve">REQUIRED ADOPTED-SCHEDULE DATA</w:t>
        </w:r>
        <w:r>
          <w:rPr>
            <w:noProof/>
            <w:webHidden/>
          </w:rPr>
          <w:tab/>
        </w:r>
        <w:r>
          <w:rPr>
            <w:noProof/>
            <w:webHidden/>
          </w:rPr>
          <w:fldChar w:fldCharType="begin"/>
        </w:r>
        <w:r>
          <w:rPr>
            <w:noProof/>
            <w:webHidden/>
          </w:rPr>
          <w:instrText xml:space="preserve"> PAGEREF _Toc300001949 \h </w:instrText>
        </w:r>
        <w:r>
          <w:rPr>
            <w:noProof/>
            <w:webHidden/>
          </w:rPr>
          <w:fldChar w:fldCharType="separate"/>
        </w:r>
        <w:r>
          <w:rPr>
            <w:noProof/>
            <w:webHidden/>
          </w:rPr>
          <w:t>2039</w:t>
        </w:r>
        <w:r>
          <w:rPr>
            <w:noProof/>
            <w:webHidden/>
          </w:rPr>
          <w:fldChar w:fldCharType="end"/>
        </w:r>
      </w:hyperlink>
    </w:p>
    <w:p>
      <w:pPr>
        <w:pStyle w:val="TOC2"/>
      </w:pPr>
      <w:hyperlink w:anchor="_Toc300001950" w:history="1">
        <w:r>
          <w:rPr>
            <w:noProof/>
          </w:rPr>
          <w:t xml:space="preserve">DEVELOPMENT RED LIGHTS: NON-OPERATIVE DRAFTING CONTROLS</w:t>
        </w:r>
        <w:r>
          <w:rPr>
            <w:noProof/>
            <w:webHidden/>
          </w:rPr>
          <w:tab/>
        </w:r>
        <w:r>
          <w:rPr>
            <w:noProof/>
            <w:webHidden/>
          </w:rPr>
          <w:fldChar w:fldCharType="begin"/>
        </w:r>
        <w:r>
          <w:rPr>
            <w:noProof/>
            <w:webHidden/>
          </w:rPr>
          <w:instrText xml:space="preserve"> PAGEREF _Toc300001950 \h </w:instrText>
        </w:r>
        <w:r>
          <w:rPr>
            <w:noProof/>
            <w:webHidden/>
          </w:rPr>
          <w:fldChar w:fldCharType="separate"/>
        </w:r>
        <w:r>
          <w:rPr>
            <w:noProof/>
            <w:webHidden/>
          </w:rPr>
          <w:t>2039</w:t>
        </w:r>
        <w:r>
          <w:rPr>
            <w:noProof/>
            <w:webHidden/>
          </w:rPr>
          <w:fldChar w:fldCharType="end"/>
        </w:r>
      </w:hyperlink>
    </w:p>
    <w:p>
      <w:pPr>
        <w:pStyle w:val="TOC2"/>
      </w:pPr>
      <w:hyperlink w:anchor="_Toc300001951" w:history="1">
        <w:r>
          <w:rPr>
            <w:noProof/>
          </w:rPr>
          <w:t xml:space="preserve">MODULE INTERFACE REFERENCE: EXTRACT OF THE FS-00 FINAL SETTLEMENT INTEGRATION MAP</w:t>
        </w:r>
        <w:r>
          <w:rPr>
            <w:noProof/>
            <w:webHidden/>
          </w:rPr>
          <w:tab/>
        </w:r>
        <w:r>
          <w:rPr>
            <w:noProof/>
            <w:webHidden/>
          </w:rPr>
          <w:fldChar w:fldCharType="begin"/>
        </w:r>
        <w:r>
          <w:rPr>
            <w:noProof/>
            <w:webHidden/>
          </w:rPr>
          <w:instrText xml:space="preserve"> PAGEREF _Toc300001951 \h </w:instrText>
        </w:r>
        <w:r>
          <w:rPr>
            <w:noProof/>
            <w:webHidden/>
          </w:rPr>
          <w:fldChar w:fldCharType="separate"/>
        </w:r>
        <w:r>
          <w:rPr>
            <w:noProof/>
            <w:webHidden/>
          </w:rPr>
          <w:t>2040</w:t>
        </w:r>
        <w:r>
          <w:rPr>
            <w:noProof/>
            <w:webHidden/>
          </w:rPr>
          <w:fldChar w:fldCharType="end"/>
        </w:r>
      </w:hyperlink>
    </w:p>
    <w:p>
      <w:pPr>
        <w:pStyle w:val="TOC1"/>
      </w:pPr>
      <w:hyperlink w:anchor="_Toc300001952" w:history="1">
        <w:r>
          <w:rPr>
            <w:noProof/>
          </w:rPr>
          <w:t xml:space="preserve">CHAPTER 60 CROSS-BORDER ENFORCEMENT SOVEREIGNTY, DATA PURPOSE LIMITATION, AND PROTECTED COOPERATION</w:t>
        </w:r>
        <w:r>
          <w:rPr>
            <w:noProof/>
            <w:webHidden/>
          </w:rPr>
          <w:tab/>
        </w:r>
        <w:r>
          <w:rPr>
            <w:noProof/>
            <w:webHidden/>
          </w:rPr>
          <w:fldChar w:fldCharType="begin"/>
        </w:r>
        <w:r>
          <w:rPr>
            <w:noProof/>
            <w:webHidden/>
          </w:rPr>
          <w:instrText xml:space="preserve"> PAGEREF _Toc300001952 \h </w:instrText>
        </w:r>
        <w:r>
          <w:rPr>
            <w:noProof/>
            <w:webHidden/>
          </w:rPr>
          <w:fldChar w:fldCharType="separate"/>
        </w:r>
        <w:r>
          <w:rPr>
            <w:noProof/>
            <w:webHidden/>
          </w:rPr>
          <w:t>2042</w:t>
        </w:r>
        <w:r>
          <w:rPr>
            <w:noProof/>
            <w:webHidden/>
          </w:rPr>
          <w:fldChar w:fldCharType="end"/>
        </w:r>
      </w:hyperlink>
    </w:p>
    <w:p>
      <w:pPr>
        <w:pStyle w:val="TOC2"/>
      </w:pPr>
      <w:hyperlink w:anchor="_Toc300001953" w:history="1">
        <w:r>
          <w:rPr>
            <w:noProof/>
          </w:rPr>
          <w:t xml:space="preserve">Article 60.1: Territorial Sovereignty and Non-Delegation of Enforcement Authority</w:t>
        </w:r>
        <w:r>
          <w:rPr>
            <w:noProof/>
            <w:webHidden/>
          </w:rPr>
          <w:tab/>
        </w:r>
        <w:r>
          <w:rPr>
            <w:noProof/>
            <w:webHidden/>
          </w:rPr>
          <w:fldChar w:fldCharType="begin"/>
        </w:r>
        <w:r>
          <w:rPr>
            <w:noProof/>
            <w:webHidden/>
          </w:rPr>
          <w:instrText xml:space="preserve"> PAGEREF _Toc300001953 \h </w:instrText>
        </w:r>
        <w:r>
          <w:rPr>
            <w:noProof/>
            <w:webHidden/>
          </w:rPr>
          <w:fldChar w:fldCharType="separate"/>
        </w:r>
        <w:r>
          <w:rPr>
            <w:noProof/>
            <w:webHidden/>
          </w:rPr>
          <w:t>2042</w:t>
        </w:r>
        <w:r>
          <w:rPr>
            <w:noProof/>
            <w:webHidden/>
          </w:rPr>
          <w:fldChar w:fldCharType="end"/>
        </w:r>
      </w:hyperlink>
    </w:p>
    <w:p>
      <w:pPr>
        <w:pStyle w:val="TOC2"/>
      </w:pPr>
      <w:hyperlink w:anchor="_Toc300001954" w:history="1">
        <w:r>
          <w:rPr>
            <w:noProof/>
          </w:rPr>
          <w:t xml:space="preserve">Article 60.2: Treaty Data Shall Not Create General Immigration-Enforcement Authority</w:t>
        </w:r>
        <w:r>
          <w:rPr>
            <w:noProof/>
            <w:webHidden/>
          </w:rPr>
          <w:tab/>
        </w:r>
        <w:r>
          <w:rPr>
            <w:noProof/>
            <w:webHidden/>
          </w:rPr>
          <w:fldChar w:fldCharType="begin"/>
        </w:r>
        <w:r>
          <w:rPr>
            <w:noProof/>
            <w:webHidden/>
          </w:rPr>
          <w:instrText xml:space="preserve"> PAGEREF _Toc300001954 \h </w:instrText>
        </w:r>
        <w:r>
          <w:rPr>
            <w:noProof/>
            <w:webHidden/>
          </w:rPr>
          <w:fldChar w:fldCharType="separate"/>
        </w:r>
        <w:r>
          <w:rPr>
            <w:noProof/>
            <w:webHidden/>
          </w:rPr>
          <w:t>2042</w:t>
        </w:r>
        <w:r>
          <w:rPr>
            <w:noProof/>
            <w:webHidden/>
          </w:rPr>
          <w:fldChar w:fldCharType="end"/>
        </w:r>
      </w:hyperlink>
    </w:p>
    <w:p>
      <w:pPr>
        <w:pStyle w:val="TOC2"/>
      </w:pPr>
      <w:hyperlink w:anchor="_Toc300001955" w:history="1">
        <w:r>
          <w:rPr>
            <w:noProof/>
          </w:rPr>
          <w:t xml:space="preserve">Article 60.3: Purpose Limitation, Necessity, and Data Minimization</w:t>
        </w:r>
        <w:r>
          <w:rPr>
            <w:noProof/>
            <w:webHidden/>
          </w:rPr>
          <w:tab/>
        </w:r>
        <w:r>
          <w:rPr>
            <w:noProof/>
            <w:webHidden/>
          </w:rPr>
          <w:fldChar w:fldCharType="begin"/>
        </w:r>
        <w:r>
          <w:rPr>
            <w:noProof/>
            <w:webHidden/>
          </w:rPr>
          <w:instrText xml:space="preserve"> PAGEREF _Toc300001955 \h </w:instrText>
        </w:r>
        <w:r>
          <w:rPr>
            <w:noProof/>
            <w:webHidden/>
          </w:rPr>
          <w:fldChar w:fldCharType="separate"/>
        </w:r>
        <w:r>
          <w:rPr>
            <w:noProof/>
            <w:webHidden/>
          </w:rPr>
          <w:t>2042</w:t>
        </w:r>
        <w:r>
          <w:rPr>
            <w:noProof/>
            <w:webHidden/>
          </w:rPr>
          <w:fldChar w:fldCharType="end"/>
        </w:r>
      </w:hyperlink>
    </w:p>
    <w:p>
      <w:pPr>
        <w:pStyle w:val="TOC2"/>
      </w:pPr>
      <w:hyperlink w:anchor="_Toc300001956" w:history="1">
        <w:r>
          <w:rPr>
            <w:noProof/>
          </w:rPr>
          <w:t xml:space="preserve">Article 60.4: Sensitive Institutions and Humanitarian Information Firewall</w:t>
        </w:r>
        <w:r>
          <w:rPr>
            <w:noProof/>
            <w:webHidden/>
          </w:rPr>
          <w:tab/>
        </w:r>
        <w:r>
          <w:rPr>
            <w:noProof/>
            <w:webHidden/>
          </w:rPr>
          <w:fldChar w:fldCharType="begin"/>
        </w:r>
        <w:r>
          <w:rPr>
            <w:noProof/>
            <w:webHidden/>
          </w:rPr>
          <w:instrText xml:space="preserve"> PAGEREF _Toc300001956 \h </w:instrText>
        </w:r>
        <w:r>
          <w:rPr>
            <w:noProof/>
            <w:webHidden/>
          </w:rPr>
          <w:fldChar w:fldCharType="separate"/>
        </w:r>
        <w:r>
          <w:rPr>
            <w:noProof/>
            <w:webHidden/>
          </w:rPr>
          <w:t>2043</w:t>
        </w:r>
        <w:r>
          <w:rPr>
            <w:noProof/>
            <w:webHidden/>
          </w:rPr>
          <w:fldChar w:fldCharType="end"/>
        </w:r>
      </w:hyperlink>
    </w:p>
    <w:p>
      <w:pPr>
        <w:pStyle w:val="TOC2"/>
      </w:pPr>
      <w:hyperlink w:anchor="_Toc300001957" w:history="1">
        <w:r>
          <w:rPr>
            <w:noProof/>
          </w:rPr>
          <w:t xml:space="preserve">Article 60.5: Foreign Enforcement Officer Stand-Down Protocol</w:t>
        </w:r>
        <w:r>
          <w:rPr>
            <w:noProof/>
            <w:webHidden/>
          </w:rPr>
          <w:tab/>
        </w:r>
        <w:r>
          <w:rPr>
            <w:noProof/>
            <w:webHidden/>
          </w:rPr>
          <w:fldChar w:fldCharType="begin"/>
        </w:r>
        <w:r>
          <w:rPr>
            <w:noProof/>
            <w:webHidden/>
          </w:rPr>
          <w:instrText xml:space="preserve"> PAGEREF _Toc300001957 \h </w:instrText>
        </w:r>
        <w:r>
          <w:rPr>
            <w:noProof/>
            <w:webHidden/>
          </w:rPr>
          <w:fldChar w:fldCharType="separate"/>
        </w:r>
        <w:r>
          <w:rPr>
            <w:noProof/>
            <w:webHidden/>
          </w:rPr>
          <w:t>2043</w:t>
        </w:r>
        <w:r>
          <w:rPr>
            <w:noProof/>
            <w:webHidden/>
          </w:rPr>
          <w:fldChar w:fldCharType="end"/>
        </w:r>
      </w:hyperlink>
    </w:p>
    <w:p>
      <w:pPr>
        <w:pStyle w:val="TOC2"/>
      </w:pPr>
      <w:hyperlink w:anchor="_Toc300001958" w:history="1">
        <w:r>
          <w:rPr>
            <w:noProof/>
          </w:rPr>
          <w:t xml:space="preserve">Article 60.6: Non-Discrimination in Treaty-Enabled Enforcement Cooperation</w:t>
        </w:r>
        <w:r>
          <w:rPr>
            <w:noProof/>
            <w:webHidden/>
          </w:rPr>
          <w:tab/>
        </w:r>
        <w:r>
          <w:rPr>
            <w:noProof/>
            <w:webHidden/>
          </w:rPr>
          <w:fldChar w:fldCharType="begin"/>
        </w:r>
        <w:r>
          <w:rPr>
            <w:noProof/>
            <w:webHidden/>
          </w:rPr>
          <w:instrText xml:space="preserve"> PAGEREF _Toc300001958 \h </w:instrText>
        </w:r>
        <w:r>
          <w:rPr>
            <w:noProof/>
            <w:webHidden/>
          </w:rPr>
          <w:fldChar w:fldCharType="separate"/>
        </w:r>
        <w:r>
          <w:rPr>
            <w:noProof/>
            <w:webHidden/>
          </w:rPr>
          <w:t>2043</w:t>
        </w:r>
        <w:r>
          <w:rPr>
            <w:noProof/>
            <w:webHidden/>
          </w:rPr>
          <w:fldChar w:fldCharType="end"/>
        </w:r>
      </w:hyperlink>
    </w:p>
    <w:p>
      <w:pPr>
        <w:pStyle w:val="TOC2"/>
      </w:pPr>
      <w:hyperlink w:anchor="_Toc300001959" w:history="1">
        <w:r>
          <w:rPr>
            <w:noProof/>
          </w:rPr>
          <w:t xml:space="preserve">Article 60.7: No Automatic Execution of Foreign Civil Immigration Measures</w:t>
        </w:r>
        <w:r>
          <w:rPr>
            <w:noProof/>
            <w:webHidden/>
          </w:rPr>
          <w:tab/>
        </w:r>
        <w:r>
          <w:rPr>
            <w:noProof/>
            <w:webHidden/>
          </w:rPr>
          <w:fldChar w:fldCharType="begin"/>
        </w:r>
        <w:r>
          <w:rPr>
            <w:noProof/>
            <w:webHidden/>
          </w:rPr>
          <w:instrText xml:space="preserve"> PAGEREF _Toc300001959 \h </w:instrText>
        </w:r>
        <w:r>
          <w:rPr>
            <w:noProof/>
            <w:webHidden/>
          </w:rPr>
          <w:fldChar w:fldCharType="separate"/>
        </w:r>
        <w:r>
          <w:rPr>
            <w:noProof/>
            <w:webHidden/>
          </w:rPr>
          <w:t>2044</w:t>
        </w:r>
        <w:r>
          <w:rPr>
            <w:noProof/>
            <w:webHidden/>
          </w:rPr>
          <w:fldChar w:fldCharType="end"/>
        </w:r>
      </w:hyperlink>
    </w:p>
    <w:p>
      <w:pPr>
        <w:pStyle w:val="TOC2"/>
      </w:pPr>
      <w:hyperlink w:anchor="_Toc300001960" w:history="1">
        <w:r>
          <w:rPr>
            <w:noProof/>
          </w:rPr>
          <w:t xml:space="preserve">Article 60.8: Oversight, Complaint, and Remedy</w:t>
        </w:r>
        <w:r>
          <w:rPr>
            <w:noProof/>
            <w:webHidden/>
          </w:rPr>
          <w:tab/>
        </w:r>
        <w:r>
          <w:rPr>
            <w:noProof/>
            <w:webHidden/>
          </w:rPr>
          <w:fldChar w:fldCharType="begin"/>
        </w:r>
        <w:r>
          <w:rPr>
            <w:noProof/>
            <w:webHidden/>
          </w:rPr>
          <w:instrText xml:space="preserve"> PAGEREF _Toc300001960 \h </w:instrText>
        </w:r>
        <w:r>
          <w:rPr>
            <w:noProof/>
            <w:webHidden/>
          </w:rPr>
          <w:fldChar w:fldCharType="separate"/>
        </w:r>
        <w:r>
          <w:rPr>
            <w:noProof/>
            <w:webHidden/>
          </w:rPr>
          <w:t>2044</w:t>
        </w:r>
        <w:r>
          <w:rPr>
            <w:noProof/>
            <w:webHidden/>
          </w:rPr>
          <w:fldChar w:fldCharType="end"/>
        </w:r>
      </w:hyperlink>
    </w:p>
    <w:p>
      <w:pPr>
        <w:pStyle w:val="TOC1"/>
      </w:pPr>
      <w:hyperlink w:anchor="_Toc300001961" w:history="1">
        <w:r>
          <w:rPr>
            <w:noProof/>
          </w:rPr>
          <w:t xml:space="preserve">CHAPTER 61 NORTH AMERICAN DEFENSE-INDUSTRIAL MATERIALS, CAPACITY, AND PROCUREMENT RESILIENCE</w:t>
        </w:r>
        <w:r>
          <w:rPr>
            <w:noProof/>
            <w:webHidden/>
          </w:rPr>
          <w:tab/>
        </w:r>
        <w:r>
          <w:rPr>
            <w:noProof/>
            <w:webHidden/>
          </w:rPr>
          <w:fldChar w:fldCharType="begin"/>
        </w:r>
        <w:r>
          <w:rPr>
            <w:noProof/>
            <w:webHidden/>
          </w:rPr>
          <w:instrText xml:space="preserve"> PAGEREF _Toc300001961 \h </w:instrText>
        </w:r>
        <w:r>
          <w:rPr>
            <w:noProof/>
            <w:webHidden/>
          </w:rPr>
          <w:fldChar w:fldCharType="separate"/>
        </w:r>
        <w:r>
          <w:rPr>
            <w:noProof/>
            <w:webHidden/>
          </w:rPr>
          <w:t>2045</w:t>
        </w:r>
        <w:r>
          <w:rPr>
            <w:noProof/>
            <w:webHidden/>
          </w:rPr>
          <w:fldChar w:fldCharType="end"/>
        </w:r>
      </w:hyperlink>
    </w:p>
    <w:p>
      <w:pPr>
        <w:pStyle w:val="TOC2"/>
      </w:pPr>
      <w:hyperlink w:anchor="_Toc300001962" w:history="1">
        <w:r>
          <w:rPr>
            <w:noProof/>
          </w:rPr>
          <w:t xml:space="preserve">Article 61.1: Objectives</w:t>
        </w:r>
        <w:r>
          <w:rPr>
            <w:noProof/>
            <w:webHidden/>
          </w:rPr>
          <w:tab/>
        </w:r>
        <w:r>
          <w:rPr>
            <w:noProof/>
            <w:webHidden/>
          </w:rPr>
          <w:fldChar w:fldCharType="begin"/>
        </w:r>
        <w:r>
          <w:rPr>
            <w:noProof/>
            <w:webHidden/>
          </w:rPr>
          <w:instrText xml:space="preserve"> PAGEREF _Toc300001962 \h </w:instrText>
        </w:r>
        <w:r>
          <w:rPr>
            <w:noProof/>
            <w:webHidden/>
          </w:rPr>
          <w:fldChar w:fldCharType="separate"/>
        </w:r>
        <w:r>
          <w:rPr>
            <w:noProof/>
            <w:webHidden/>
          </w:rPr>
          <w:t>2045</w:t>
        </w:r>
        <w:r>
          <w:rPr>
            <w:noProof/>
            <w:webHidden/>
          </w:rPr>
          <w:fldChar w:fldCharType="end"/>
        </w:r>
      </w:hyperlink>
    </w:p>
    <w:p>
      <w:pPr>
        <w:pStyle w:val="TOC2"/>
      </w:pPr>
      <w:hyperlink w:anchor="_Toc300001963" w:history="1">
        <w:r>
          <w:rPr>
            <w:noProof/>
          </w:rPr>
          <w:t xml:space="preserve">Article 61.2: Defense-Industrial Materials Security Lane</w:t>
        </w:r>
        <w:r>
          <w:rPr>
            <w:noProof/>
            <w:webHidden/>
          </w:rPr>
          <w:tab/>
        </w:r>
        <w:r>
          <w:rPr>
            <w:noProof/>
            <w:webHidden/>
          </w:rPr>
          <w:fldChar w:fldCharType="begin"/>
        </w:r>
        <w:r>
          <w:rPr>
            <w:noProof/>
            <w:webHidden/>
          </w:rPr>
          <w:instrText xml:space="preserve"> PAGEREF _Toc300001963 \h </w:instrText>
        </w:r>
        <w:r>
          <w:rPr>
            <w:noProof/>
            <w:webHidden/>
          </w:rPr>
          <w:fldChar w:fldCharType="separate"/>
        </w:r>
        <w:r>
          <w:rPr>
            <w:noProof/>
            <w:webHidden/>
          </w:rPr>
          <w:t>2045</w:t>
        </w:r>
        <w:r>
          <w:rPr>
            <w:noProof/>
            <w:webHidden/>
          </w:rPr>
          <w:fldChar w:fldCharType="end"/>
        </w:r>
      </w:hyperlink>
    </w:p>
    <w:p>
      <w:pPr>
        <w:pStyle w:val="TOC2"/>
      </w:pPr>
      <w:hyperlink w:anchor="_Toc300001964" w:history="1">
        <w:r>
          <w:rPr>
            <w:noProof/>
          </w:rPr>
          <w:t xml:space="preserve">Article 61.3: Long-Term Offtake and Demand-Signal Framework</w:t>
        </w:r>
        <w:r>
          <w:rPr>
            <w:noProof/>
            <w:webHidden/>
          </w:rPr>
          <w:tab/>
        </w:r>
        <w:r>
          <w:rPr>
            <w:noProof/>
            <w:webHidden/>
          </w:rPr>
          <w:fldChar w:fldCharType="begin"/>
        </w:r>
        <w:r>
          <w:rPr>
            <w:noProof/>
            <w:webHidden/>
          </w:rPr>
          <w:instrText xml:space="preserve"> PAGEREF _Toc300001964 \h </w:instrText>
        </w:r>
        <w:r>
          <w:rPr>
            <w:noProof/>
            <w:webHidden/>
          </w:rPr>
          <w:fldChar w:fldCharType="separate"/>
        </w:r>
        <w:r>
          <w:rPr>
            <w:noProof/>
            <w:webHidden/>
          </w:rPr>
          <w:t>2045</w:t>
        </w:r>
        <w:r>
          <w:rPr>
            <w:noProof/>
            <w:webHidden/>
          </w:rPr>
          <w:fldChar w:fldCharType="end"/>
        </w:r>
      </w:hyperlink>
    </w:p>
    <w:p>
      <w:pPr>
        <w:pStyle w:val="TOC2"/>
      </w:pPr>
      <w:hyperlink w:anchor="_Toc300001965" w:history="1">
        <w:r>
          <w:rPr>
            <w:noProof/>
          </w:rPr>
          <w:t xml:space="preserve">Article 61.4: Reciprocal Supplier Qualification and Procurement Access</w:t>
        </w:r>
        <w:r>
          <w:rPr>
            <w:noProof/>
            <w:webHidden/>
          </w:rPr>
          <w:tab/>
        </w:r>
        <w:r>
          <w:rPr>
            <w:noProof/>
            <w:webHidden/>
          </w:rPr>
          <w:fldChar w:fldCharType="begin"/>
        </w:r>
        <w:r>
          <w:rPr>
            <w:noProof/>
            <w:webHidden/>
          </w:rPr>
          <w:instrText xml:space="preserve"> PAGEREF _Toc300001965 \h </w:instrText>
        </w:r>
        <w:r>
          <w:rPr>
            <w:noProof/>
            <w:webHidden/>
          </w:rPr>
          <w:fldChar w:fldCharType="separate"/>
        </w:r>
        <w:r>
          <w:rPr>
            <w:noProof/>
            <w:webHidden/>
          </w:rPr>
          <w:t>2046</w:t>
        </w:r>
        <w:r>
          <w:rPr>
            <w:noProof/>
            <w:webHidden/>
          </w:rPr>
          <w:fldChar w:fldCharType="end"/>
        </w:r>
      </w:hyperlink>
    </w:p>
    <w:p>
      <w:pPr>
        <w:pStyle w:val="TOC2"/>
      </w:pPr>
      <w:hyperlink w:anchor="_Toc300001966" w:history="1">
        <w:r>
          <w:rPr>
            <w:noProof/>
          </w:rPr>
          <w:t xml:space="preserve">Article 61.5: North American Defense-Industrial Materials Reserve</w:t>
        </w:r>
        <w:r>
          <w:rPr>
            <w:noProof/>
            <w:webHidden/>
          </w:rPr>
          <w:tab/>
        </w:r>
        <w:r>
          <w:rPr>
            <w:noProof/>
            <w:webHidden/>
          </w:rPr>
          <w:fldChar w:fldCharType="begin"/>
        </w:r>
        <w:r>
          <w:rPr>
            <w:noProof/>
            <w:webHidden/>
          </w:rPr>
          <w:instrText xml:space="preserve"> PAGEREF _Toc300001966 \h </w:instrText>
        </w:r>
        <w:r>
          <w:rPr>
            <w:noProof/>
            <w:webHidden/>
          </w:rPr>
          <w:fldChar w:fldCharType="separate"/>
        </w:r>
        <w:r>
          <w:rPr>
            <w:noProof/>
            <w:webHidden/>
          </w:rPr>
          <w:t>2046</w:t>
        </w:r>
        <w:r>
          <w:rPr>
            <w:noProof/>
            <w:webHidden/>
          </w:rPr>
          <w:fldChar w:fldCharType="end"/>
        </w:r>
      </w:hyperlink>
    </w:p>
    <w:p>
      <w:pPr>
        <w:pStyle w:val="TOC2"/>
      </w:pPr>
      <w:hyperlink w:anchor="_Toc300001967" w:history="1">
        <w:r>
          <w:rPr>
            <w:noProof/>
          </w:rPr>
          <w:t xml:space="preserve">Article 61.6: Surge Capacity and Industrial Mobilization</w:t>
        </w:r>
        <w:r>
          <w:rPr>
            <w:noProof/>
            <w:webHidden/>
          </w:rPr>
          <w:tab/>
        </w:r>
        <w:r>
          <w:rPr>
            <w:noProof/>
            <w:webHidden/>
          </w:rPr>
          <w:fldChar w:fldCharType="begin"/>
        </w:r>
        <w:r>
          <w:rPr>
            <w:noProof/>
            <w:webHidden/>
          </w:rPr>
          <w:instrText xml:space="preserve"> PAGEREF _Toc300001967 \h </w:instrText>
        </w:r>
        <w:r>
          <w:rPr>
            <w:noProof/>
            <w:webHidden/>
          </w:rPr>
          <w:fldChar w:fldCharType="separate"/>
        </w:r>
        <w:r>
          <w:rPr>
            <w:noProof/>
            <w:webHidden/>
          </w:rPr>
          <w:t>2046</w:t>
        </w:r>
        <w:r>
          <w:rPr>
            <w:noProof/>
            <w:webHidden/>
          </w:rPr>
          <w:fldChar w:fldCharType="end"/>
        </w:r>
      </w:hyperlink>
    </w:p>
    <w:p>
      <w:pPr>
        <w:pStyle w:val="TOC2"/>
      </w:pPr>
      <w:hyperlink w:anchor="_Toc300001968" w:history="1">
        <w:r>
          <w:rPr>
            <w:noProof/>
          </w:rPr>
          <w:t xml:space="preserve">Article 61.7: Civilian Priority Firewall</w:t>
        </w:r>
        <w:r>
          <w:rPr>
            <w:noProof/>
            <w:webHidden/>
          </w:rPr>
          <w:tab/>
        </w:r>
        <w:r>
          <w:rPr>
            <w:noProof/>
            <w:webHidden/>
          </w:rPr>
          <w:fldChar w:fldCharType="begin"/>
        </w:r>
        <w:r>
          <w:rPr>
            <w:noProof/>
            <w:webHidden/>
          </w:rPr>
          <w:instrText xml:space="preserve"> PAGEREF _Toc300001968 \h </w:instrText>
        </w:r>
        <w:r>
          <w:rPr>
            <w:noProof/>
            <w:webHidden/>
          </w:rPr>
          <w:fldChar w:fldCharType="separate"/>
        </w:r>
        <w:r>
          <w:rPr>
            <w:noProof/>
            <w:webHidden/>
          </w:rPr>
          <w:t>2046</w:t>
        </w:r>
        <w:r>
          <w:rPr>
            <w:noProof/>
            <w:webHidden/>
          </w:rPr>
          <w:fldChar w:fldCharType="end"/>
        </w:r>
      </w:hyperlink>
    </w:p>
    <w:p>
      <w:pPr>
        <w:pStyle w:val="TOC2"/>
      </w:pPr>
      <w:hyperlink w:anchor="_Toc300001969" w:history="1">
        <w:r>
          <w:rPr>
            <w:noProof/>
          </w:rPr>
          <w:t xml:space="preserve">Article 61.8: Recycling, Recovery, and Circular Strategic Materials</w:t>
        </w:r>
        <w:r>
          <w:rPr>
            <w:noProof/>
            <w:webHidden/>
          </w:rPr>
          <w:tab/>
        </w:r>
        <w:r>
          <w:rPr>
            <w:noProof/>
            <w:webHidden/>
          </w:rPr>
          <w:fldChar w:fldCharType="begin"/>
        </w:r>
        <w:r>
          <w:rPr>
            <w:noProof/>
            <w:webHidden/>
          </w:rPr>
          <w:instrText xml:space="preserve"> PAGEREF _Toc300001969 \h </w:instrText>
        </w:r>
        <w:r>
          <w:rPr>
            <w:noProof/>
            <w:webHidden/>
          </w:rPr>
          <w:fldChar w:fldCharType="separate"/>
        </w:r>
        <w:r>
          <w:rPr>
            <w:noProof/>
            <w:webHidden/>
          </w:rPr>
          <w:t>2047</w:t>
        </w:r>
        <w:r>
          <w:rPr>
            <w:noProof/>
            <w:webHidden/>
          </w:rPr>
          <w:fldChar w:fldCharType="end"/>
        </w:r>
      </w:hyperlink>
    </w:p>
    <w:p>
      <w:pPr>
        <w:pStyle w:val="TOC2"/>
      </w:pPr>
      <w:hyperlink w:anchor="_Toc300001970" w:history="1">
        <w:r>
          <w:rPr>
            <w:noProof/>
          </w:rPr>
          <w:t xml:space="preserve">Article 61.9: Workforce and Facility Resilience</w:t>
        </w:r>
        <w:r>
          <w:rPr>
            <w:noProof/>
            <w:webHidden/>
          </w:rPr>
          <w:tab/>
        </w:r>
        <w:r>
          <w:rPr>
            <w:noProof/>
            <w:webHidden/>
          </w:rPr>
          <w:fldChar w:fldCharType="begin"/>
        </w:r>
        <w:r>
          <w:rPr>
            <w:noProof/>
            <w:webHidden/>
          </w:rPr>
          <w:instrText xml:space="preserve"> PAGEREF _Toc300001970 \h </w:instrText>
        </w:r>
        <w:r>
          <w:rPr>
            <w:noProof/>
            <w:webHidden/>
          </w:rPr>
          <w:fldChar w:fldCharType="separate"/>
        </w:r>
        <w:r>
          <w:rPr>
            <w:noProof/>
            <w:webHidden/>
          </w:rPr>
          <w:t>2047</w:t>
        </w:r>
        <w:r>
          <w:rPr>
            <w:noProof/>
            <w:webHidden/>
          </w:rPr>
          <w:fldChar w:fldCharType="end"/>
        </w:r>
      </w:hyperlink>
    </w:p>
    <w:p>
      <w:pPr>
        <w:pStyle w:val="TOC2"/>
      </w:pPr>
      <w:hyperlink w:anchor="_Toc300001971" w:history="1">
        <w:r>
          <w:rPr>
            <w:noProof/>
          </w:rPr>
          <w:t xml:space="preserve">Article 61.10: Cothrom Review and No Cross-Sector Punishment</w:t>
        </w:r>
        <w:r>
          <w:rPr>
            <w:noProof/>
            <w:webHidden/>
          </w:rPr>
          <w:tab/>
        </w:r>
        <w:r>
          <w:rPr>
            <w:noProof/>
            <w:webHidden/>
          </w:rPr>
          <w:fldChar w:fldCharType="begin"/>
        </w:r>
        <w:r>
          <w:rPr>
            <w:noProof/>
            <w:webHidden/>
          </w:rPr>
          <w:instrText xml:space="preserve"> PAGEREF _Toc300001971 \h </w:instrText>
        </w:r>
        <w:r>
          <w:rPr>
            <w:noProof/>
            <w:webHidden/>
          </w:rPr>
          <w:fldChar w:fldCharType="separate"/>
        </w:r>
        <w:r>
          <w:rPr>
            <w:noProof/>
            <w:webHidden/>
          </w:rPr>
          <w:t>2047</w:t>
        </w:r>
        <w:r>
          <w:rPr>
            <w:noProof/>
            <w:webHidden/>
          </w:rPr>
          <w:fldChar w:fldCharType="end"/>
        </w:r>
      </w:hyperlink>
    </w:p>
    <w:p>
      <w:pPr>
        <w:pStyle w:val="TOC2"/>
      </w:pPr>
      <w:hyperlink w:anchor="_Toc300001972" w:history="1">
        <w:r>
          <w:rPr>
            <w:noProof/>
          </w:rPr>
          <w:t xml:space="preserve">IMPLEMENTATION INSTRUMENT I-1: DAY-ONE / DAY-30 / DAY-90 / YEAR-ONE ROADMAP</w:t>
        </w:r>
        <w:r>
          <w:rPr>
            <w:noProof/>
            <w:webHidden/>
          </w:rPr>
          <w:tab/>
        </w:r>
        <w:r>
          <w:rPr>
            <w:noProof/>
            <w:webHidden/>
          </w:rPr>
          <w:fldChar w:fldCharType="begin"/>
        </w:r>
        <w:r>
          <w:rPr>
            <w:noProof/>
            <w:webHidden/>
          </w:rPr>
          <w:instrText xml:space="preserve"> PAGEREF _Toc300001972 \h </w:instrText>
        </w:r>
        <w:r>
          <w:rPr>
            <w:noProof/>
            <w:webHidden/>
          </w:rPr>
          <w:fldChar w:fldCharType="separate"/>
        </w:r>
        <w:r>
          <w:rPr>
            <w:noProof/>
            <w:webHidden/>
          </w:rPr>
          <w:t>2047</w:t>
        </w:r>
        <w:r>
          <w:rPr>
            <w:noProof/>
            <w:webHidden/>
          </w:rPr>
          <w:fldChar w:fldCharType="end"/>
        </w:r>
      </w:hyperlink>
    </w:p>
    <w:p>
      <w:pPr>
        <w:pStyle w:val="TOC1"/>
      </w:pPr>
      <w:hyperlink w:anchor="_Toc300001973" w:history="1">
        <w:r>
          <w:rPr>
            <w:noProof/>
          </w:rPr>
          <w:t xml:space="preserve">CHAPTER 62 NORTH AMERICAN DISASTER RESILIENCE, MUTUAL ASSISTANCE, AND ECONOMIC CONTINUITY</w:t>
        </w:r>
        <w:r>
          <w:rPr>
            <w:noProof/>
            <w:webHidden/>
          </w:rPr>
          <w:tab/>
        </w:r>
        <w:r>
          <w:rPr>
            <w:noProof/>
            <w:webHidden/>
          </w:rPr>
          <w:fldChar w:fldCharType="begin"/>
        </w:r>
        <w:r>
          <w:rPr>
            <w:noProof/>
            <w:webHidden/>
          </w:rPr>
          <w:instrText xml:space="preserve"> PAGEREF _Toc300001973 \h </w:instrText>
        </w:r>
        <w:r>
          <w:rPr>
            <w:noProof/>
            <w:webHidden/>
          </w:rPr>
          <w:fldChar w:fldCharType="separate"/>
        </w:r>
        <w:r>
          <w:rPr>
            <w:noProof/>
            <w:webHidden/>
          </w:rPr>
          <w:t>2049</w:t>
        </w:r>
        <w:r>
          <w:rPr>
            <w:noProof/>
            <w:webHidden/>
          </w:rPr>
          <w:fldChar w:fldCharType="end"/>
        </w:r>
      </w:hyperlink>
    </w:p>
    <w:p>
      <w:pPr>
        <w:pStyle w:val="TOC2"/>
      </w:pPr>
      <w:hyperlink w:anchor="_Toc300001974" w:history="1">
        <w:r>
          <w:rPr>
            <w:noProof/>
          </w:rPr>
          <w:t xml:space="preserve">Article 62.1: Purpose and Scope</w:t>
        </w:r>
        <w:r>
          <w:rPr>
            <w:noProof/>
            <w:webHidden/>
          </w:rPr>
          <w:tab/>
        </w:r>
        <w:r>
          <w:rPr>
            <w:noProof/>
            <w:webHidden/>
          </w:rPr>
          <w:fldChar w:fldCharType="begin"/>
        </w:r>
        <w:r>
          <w:rPr>
            <w:noProof/>
            <w:webHidden/>
          </w:rPr>
          <w:instrText xml:space="preserve"> PAGEREF _Toc300001974 \h </w:instrText>
        </w:r>
        <w:r>
          <w:rPr>
            <w:noProof/>
            <w:webHidden/>
          </w:rPr>
          <w:fldChar w:fldCharType="separate"/>
        </w:r>
        <w:r>
          <w:rPr>
            <w:noProof/>
            <w:webHidden/>
          </w:rPr>
          <w:t>2049</w:t>
        </w:r>
        <w:r>
          <w:rPr>
            <w:noProof/>
            <w:webHidden/>
          </w:rPr>
          <w:fldChar w:fldCharType="end"/>
        </w:r>
      </w:hyperlink>
    </w:p>
    <w:p>
      <w:pPr>
        <w:pStyle w:val="TOC2"/>
      </w:pPr>
      <w:hyperlink w:anchor="_Toc300001975" w:history="1">
        <w:r>
          <w:rPr>
            <w:noProof/>
          </w:rPr>
          <w:t xml:space="preserve">Article 62.2: North American Emergency Mutual Assistance Compact</w:t>
        </w:r>
        <w:r>
          <w:rPr>
            <w:noProof/>
            <w:webHidden/>
          </w:rPr>
          <w:tab/>
        </w:r>
        <w:r>
          <w:rPr>
            <w:noProof/>
            <w:webHidden/>
          </w:rPr>
          <w:fldChar w:fldCharType="begin"/>
        </w:r>
        <w:r>
          <w:rPr>
            <w:noProof/>
            <w:webHidden/>
          </w:rPr>
          <w:instrText xml:space="preserve"> PAGEREF _Toc300001975 \h </w:instrText>
        </w:r>
        <w:r>
          <w:rPr>
            <w:noProof/>
            <w:webHidden/>
          </w:rPr>
          <w:fldChar w:fldCharType="separate"/>
        </w:r>
        <w:r>
          <w:rPr>
            <w:noProof/>
            <w:webHidden/>
          </w:rPr>
          <w:t>2049</w:t>
        </w:r>
        <w:r>
          <w:rPr>
            <w:noProof/>
            <w:webHidden/>
          </w:rPr>
          <w:fldChar w:fldCharType="end"/>
        </w:r>
      </w:hyperlink>
    </w:p>
    <w:p>
      <w:pPr>
        <w:pStyle w:val="TOC2"/>
      </w:pPr>
      <w:hyperlink w:anchor="_Toc300001976" w:history="1">
        <w:r>
          <w:rPr>
            <w:noProof/>
          </w:rPr>
          <w:t xml:space="preserve">Article 62.3: Responder Credentials and Good-Faith Assistance</w:t>
        </w:r>
        <w:r>
          <w:rPr>
            <w:noProof/>
            <w:webHidden/>
          </w:rPr>
          <w:tab/>
        </w:r>
        <w:r>
          <w:rPr>
            <w:noProof/>
            <w:webHidden/>
          </w:rPr>
          <w:fldChar w:fldCharType="begin"/>
        </w:r>
        <w:r>
          <w:rPr>
            <w:noProof/>
            <w:webHidden/>
          </w:rPr>
          <w:instrText xml:space="preserve"> PAGEREF _Toc300001976 \h </w:instrText>
        </w:r>
        <w:r>
          <w:rPr>
            <w:noProof/>
            <w:webHidden/>
          </w:rPr>
          <w:fldChar w:fldCharType="separate"/>
        </w:r>
        <w:r>
          <w:rPr>
            <w:noProof/>
            <w:webHidden/>
          </w:rPr>
          <w:t>2049</w:t>
        </w:r>
        <w:r>
          <w:rPr>
            <w:noProof/>
            <w:webHidden/>
          </w:rPr>
          <w:fldChar w:fldCharType="end"/>
        </w:r>
      </w:hyperlink>
    </w:p>
    <w:p>
      <w:pPr>
        <w:pStyle w:val="TOC2"/>
      </w:pPr>
      <w:hyperlink w:anchor="_Toc300001977" w:history="1">
        <w:r>
          <w:rPr>
            <w:noProof/>
          </w:rPr>
          <w:t xml:space="preserve">Article 62.4: Disaster Lanes and Emergency Border Processing</w:t>
        </w:r>
        <w:r>
          <w:rPr>
            <w:noProof/>
            <w:webHidden/>
          </w:rPr>
          <w:tab/>
        </w:r>
        <w:r>
          <w:rPr>
            <w:noProof/>
            <w:webHidden/>
          </w:rPr>
          <w:fldChar w:fldCharType="begin"/>
        </w:r>
        <w:r>
          <w:rPr>
            <w:noProof/>
            <w:webHidden/>
          </w:rPr>
          <w:instrText xml:space="preserve"> PAGEREF _Toc300001977 \h </w:instrText>
        </w:r>
        <w:r>
          <w:rPr>
            <w:noProof/>
            <w:webHidden/>
          </w:rPr>
          <w:fldChar w:fldCharType="separate"/>
        </w:r>
        <w:r>
          <w:rPr>
            <w:noProof/>
            <w:webHidden/>
          </w:rPr>
          <w:t>2050</w:t>
        </w:r>
        <w:r>
          <w:rPr>
            <w:noProof/>
            <w:webHidden/>
          </w:rPr>
          <w:fldChar w:fldCharType="end"/>
        </w:r>
      </w:hyperlink>
    </w:p>
    <w:p>
      <w:pPr>
        <w:pStyle w:val="TOC2"/>
      </w:pPr>
      <w:hyperlink w:anchor="_Toc300001978" w:history="1">
        <w:r>
          <w:rPr>
            <w:noProof/>
          </w:rPr>
          <w:t xml:space="preserve">Article 62.5: Emergency Call-Off Contracts and Supplier Surge Network</w:t>
        </w:r>
        <w:r>
          <w:rPr>
            <w:noProof/>
            <w:webHidden/>
          </w:rPr>
          <w:tab/>
        </w:r>
        <w:r>
          <w:rPr>
            <w:noProof/>
            <w:webHidden/>
          </w:rPr>
          <w:fldChar w:fldCharType="begin"/>
        </w:r>
        <w:r>
          <w:rPr>
            <w:noProof/>
            <w:webHidden/>
          </w:rPr>
          <w:instrText xml:space="preserve"> PAGEREF _Toc300001978 \h </w:instrText>
        </w:r>
        <w:r>
          <w:rPr>
            <w:noProof/>
            <w:webHidden/>
          </w:rPr>
          <w:fldChar w:fldCharType="separate"/>
        </w:r>
        <w:r>
          <w:rPr>
            <w:noProof/>
            <w:webHidden/>
          </w:rPr>
          <w:t>2050</w:t>
        </w:r>
        <w:r>
          <w:rPr>
            <w:noProof/>
            <w:webHidden/>
          </w:rPr>
          <w:fldChar w:fldCharType="end"/>
        </w:r>
      </w:hyperlink>
    </w:p>
    <w:p>
      <w:pPr>
        <w:pStyle w:val="TOC2"/>
      </w:pPr>
      <w:hyperlink w:anchor="_Toc300001979" w:history="1">
        <w:r>
          <w:rPr>
            <w:noProof/>
          </w:rPr>
          <w:t xml:space="preserve">Article 62.6: Power Restoration and Critical Infrastructure Equipment Coordination</w:t>
        </w:r>
        <w:r>
          <w:rPr>
            <w:noProof/>
            <w:webHidden/>
          </w:rPr>
          <w:tab/>
        </w:r>
        <w:r>
          <w:rPr>
            <w:noProof/>
            <w:webHidden/>
          </w:rPr>
          <w:fldChar w:fldCharType="begin"/>
        </w:r>
        <w:r>
          <w:rPr>
            <w:noProof/>
            <w:webHidden/>
          </w:rPr>
          <w:instrText xml:space="preserve"> PAGEREF _Toc300001979 \h </w:instrText>
        </w:r>
        <w:r>
          <w:rPr>
            <w:noProof/>
            <w:webHidden/>
          </w:rPr>
          <w:fldChar w:fldCharType="separate"/>
        </w:r>
        <w:r>
          <w:rPr>
            <w:noProof/>
            <w:webHidden/>
          </w:rPr>
          <w:t>2050</w:t>
        </w:r>
        <w:r>
          <w:rPr>
            <w:noProof/>
            <w:webHidden/>
          </w:rPr>
          <w:fldChar w:fldCharType="end"/>
        </w:r>
      </w:hyperlink>
    </w:p>
    <w:p>
      <w:pPr>
        <w:pStyle w:val="TOC2"/>
      </w:pPr>
      <w:hyperlink w:anchor="_Toc300001980" w:history="1">
        <w:r>
          <w:rPr>
            <w:noProof/>
          </w:rPr>
          <w:t xml:space="preserve">Article 62.7: Wildfire and All-Hazards Equipment Reserve</w:t>
        </w:r>
        <w:r>
          <w:rPr>
            <w:noProof/>
            <w:webHidden/>
          </w:rPr>
          <w:tab/>
        </w:r>
        <w:r>
          <w:rPr>
            <w:noProof/>
            <w:webHidden/>
          </w:rPr>
          <w:fldChar w:fldCharType="begin"/>
        </w:r>
        <w:r>
          <w:rPr>
            <w:noProof/>
            <w:webHidden/>
          </w:rPr>
          <w:instrText xml:space="preserve"> PAGEREF _Toc300001980 \h </w:instrText>
        </w:r>
        <w:r>
          <w:rPr>
            <w:noProof/>
            <w:webHidden/>
          </w:rPr>
          <w:fldChar w:fldCharType="separate"/>
        </w:r>
        <w:r>
          <w:rPr>
            <w:noProof/>
            <w:webHidden/>
          </w:rPr>
          <w:t>2051</w:t>
        </w:r>
        <w:r>
          <w:rPr>
            <w:noProof/>
            <w:webHidden/>
          </w:rPr>
          <w:fldChar w:fldCharType="end"/>
        </w:r>
      </w:hyperlink>
    </w:p>
    <w:p>
      <w:pPr>
        <w:pStyle w:val="TOC2"/>
      </w:pPr>
      <w:hyperlink w:anchor="_Toc300001981" w:history="1">
        <w:r>
          <w:rPr>
            <w:noProof/>
          </w:rPr>
          <w:t xml:space="preserve">Article 62.8: Strategic Construction Materials and Modular Recovery Supply</w:t>
        </w:r>
        <w:r>
          <w:rPr>
            <w:noProof/>
            <w:webHidden/>
          </w:rPr>
          <w:tab/>
        </w:r>
        <w:r>
          <w:rPr>
            <w:noProof/>
            <w:webHidden/>
          </w:rPr>
          <w:fldChar w:fldCharType="begin"/>
        </w:r>
        <w:r>
          <w:rPr>
            <w:noProof/>
            <w:webHidden/>
          </w:rPr>
          <w:instrText xml:space="preserve"> PAGEREF _Toc300001981 \h </w:instrText>
        </w:r>
        <w:r>
          <w:rPr>
            <w:noProof/>
            <w:webHidden/>
          </w:rPr>
          <w:fldChar w:fldCharType="separate"/>
        </w:r>
        <w:r>
          <w:rPr>
            <w:noProof/>
            <w:webHidden/>
          </w:rPr>
          <w:t>2051</w:t>
        </w:r>
        <w:r>
          <w:rPr>
            <w:noProof/>
            <w:webHidden/>
          </w:rPr>
          <w:fldChar w:fldCharType="end"/>
        </w:r>
      </w:hyperlink>
    </w:p>
    <w:p>
      <w:pPr>
        <w:pStyle w:val="TOC2"/>
      </w:pPr>
      <w:hyperlink w:anchor="_Toc300001982" w:history="1">
        <w:r>
          <w:rPr>
            <w:noProof/>
          </w:rPr>
          <w:t xml:space="preserve">Article 62.9: Common Operating Picture and Early Warning Interoperability</w:t>
        </w:r>
        <w:r>
          <w:rPr>
            <w:noProof/>
            <w:webHidden/>
          </w:rPr>
          <w:tab/>
        </w:r>
        <w:r>
          <w:rPr>
            <w:noProof/>
            <w:webHidden/>
          </w:rPr>
          <w:fldChar w:fldCharType="begin"/>
        </w:r>
        <w:r>
          <w:rPr>
            <w:noProof/>
            <w:webHidden/>
          </w:rPr>
          <w:instrText xml:space="preserve"> PAGEREF _Toc300001982 \h </w:instrText>
        </w:r>
        <w:r>
          <w:rPr>
            <w:noProof/>
            <w:webHidden/>
          </w:rPr>
          <w:fldChar w:fldCharType="separate"/>
        </w:r>
        <w:r>
          <w:rPr>
            <w:noProof/>
            <w:webHidden/>
          </w:rPr>
          <w:t>2051</w:t>
        </w:r>
        <w:r>
          <w:rPr>
            <w:noProof/>
            <w:webHidden/>
          </w:rPr>
          <w:fldChar w:fldCharType="end"/>
        </w:r>
      </w:hyperlink>
    </w:p>
    <w:p>
      <w:pPr>
        <w:pStyle w:val="TOC2"/>
      </w:pPr>
      <w:hyperlink w:anchor="_Toc300001983" w:history="1">
        <w:r>
          <w:rPr>
            <w:noProof/>
          </w:rPr>
          <w:t xml:space="preserve">Article 62.10: Satellite, Mapping, and Damage-Assessment Cooperation</w:t>
        </w:r>
        <w:r>
          <w:rPr>
            <w:noProof/>
            <w:webHidden/>
          </w:rPr>
          <w:tab/>
        </w:r>
        <w:r>
          <w:rPr>
            <w:noProof/>
            <w:webHidden/>
          </w:rPr>
          <w:fldChar w:fldCharType="begin"/>
        </w:r>
        <w:r>
          <w:rPr>
            <w:noProof/>
            <w:webHidden/>
          </w:rPr>
          <w:instrText xml:space="preserve"> PAGEREF _Toc300001983 \h </w:instrText>
        </w:r>
        <w:r>
          <w:rPr>
            <w:noProof/>
            <w:webHidden/>
          </w:rPr>
          <w:fldChar w:fldCharType="separate"/>
        </w:r>
        <w:r>
          <w:rPr>
            <w:noProof/>
            <w:webHidden/>
          </w:rPr>
          <w:t>2051</w:t>
        </w:r>
        <w:r>
          <w:rPr>
            <w:noProof/>
            <w:webHidden/>
          </w:rPr>
          <w:fldChar w:fldCharType="end"/>
        </w:r>
      </w:hyperlink>
    </w:p>
    <w:p>
      <w:pPr>
        <w:pStyle w:val="TOC2"/>
      </w:pPr>
      <w:hyperlink w:anchor="_Toc300001984" w:history="1">
        <w:r>
          <w:rPr>
            <w:noProof/>
          </w:rPr>
          <w:t xml:space="preserve">Article 62.11: Joint Exercises and Tabletop Testing</w:t>
        </w:r>
        <w:r>
          <w:rPr>
            <w:noProof/>
            <w:webHidden/>
          </w:rPr>
          <w:tab/>
        </w:r>
        <w:r>
          <w:rPr>
            <w:noProof/>
            <w:webHidden/>
          </w:rPr>
          <w:fldChar w:fldCharType="begin"/>
        </w:r>
        <w:r>
          <w:rPr>
            <w:noProof/>
            <w:webHidden/>
          </w:rPr>
          <w:instrText xml:space="preserve"> PAGEREF _Toc300001984 \h </w:instrText>
        </w:r>
        <w:r>
          <w:rPr>
            <w:noProof/>
            <w:webHidden/>
          </w:rPr>
          <w:fldChar w:fldCharType="separate"/>
        </w:r>
        <w:r>
          <w:rPr>
            <w:noProof/>
            <w:webHidden/>
          </w:rPr>
          <w:t>2052</w:t>
        </w:r>
        <w:r>
          <w:rPr>
            <w:noProof/>
            <w:webHidden/>
          </w:rPr>
          <w:fldChar w:fldCharType="end"/>
        </w:r>
      </w:hyperlink>
    </w:p>
    <w:p>
      <w:pPr>
        <w:pStyle w:val="TOC2"/>
      </w:pPr>
      <w:hyperlink w:anchor="_Toc300001985" w:history="1">
        <w:r>
          <w:rPr>
            <w:noProof/>
          </w:rPr>
          <w:t xml:space="preserve">Article 62.12: Indigenous, Tribal, Remote, and Border Community Resilience</w:t>
        </w:r>
        <w:r>
          <w:rPr>
            <w:noProof/>
            <w:webHidden/>
          </w:rPr>
          <w:tab/>
        </w:r>
        <w:r>
          <w:rPr>
            <w:noProof/>
            <w:webHidden/>
          </w:rPr>
          <w:fldChar w:fldCharType="begin"/>
        </w:r>
        <w:r>
          <w:rPr>
            <w:noProof/>
            <w:webHidden/>
          </w:rPr>
          <w:instrText xml:space="preserve"> PAGEREF _Toc300001985 \h </w:instrText>
        </w:r>
        <w:r>
          <w:rPr>
            <w:noProof/>
            <w:webHidden/>
          </w:rPr>
          <w:fldChar w:fldCharType="separate"/>
        </w:r>
        <w:r>
          <w:rPr>
            <w:noProof/>
            <w:webHidden/>
          </w:rPr>
          <w:t>2052</w:t>
        </w:r>
        <w:r>
          <w:rPr>
            <w:noProof/>
            <w:webHidden/>
          </w:rPr>
          <w:fldChar w:fldCharType="end"/>
        </w:r>
      </w:hyperlink>
    </w:p>
    <w:p>
      <w:pPr>
        <w:pStyle w:val="TOC2"/>
      </w:pPr>
      <w:hyperlink w:anchor="_Toc300001986" w:history="1">
        <w:r>
          <w:rPr>
            <w:noProof/>
          </w:rPr>
          <w:t xml:space="preserve">Article 62.13: Agricultural, Food, and Animal-Health Emergency Logistics</w:t>
        </w:r>
        <w:r>
          <w:rPr>
            <w:noProof/>
            <w:webHidden/>
          </w:rPr>
          <w:tab/>
        </w:r>
        <w:r>
          <w:rPr>
            <w:noProof/>
            <w:webHidden/>
          </w:rPr>
          <w:fldChar w:fldCharType="begin"/>
        </w:r>
        <w:r>
          <w:rPr>
            <w:noProof/>
            <w:webHidden/>
          </w:rPr>
          <w:instrText xml:space="preserve"> PAGEREF _Toc300001986 \h </w:instrText>
        </w:r>
        <w:r>
          <w:rPr>
            <w:noProof/>
            <w:webHidden/>
          </w:rPr>
          <w:fldChar w:fldCharType="separate"/>
        </w:r>
        <w:r>
          <w:rPr>
            <w:noProof/>
            <w:webHidden/>
          </w:rPr>
          <w:t>2052</w:t>
        </w:r>
        <w:r>
          <w:rPr>
            <w:noProof/>
            <w:webHidden/>
          </w:rPr>
          <w:fldChar w:fldCharType="end"/>
        </w:r>
      </w:hyperlink>
    </w:p>
    <w:p>
      <w:pPr>
        <w:pStyle w:val="TOC2"/>
      </w:pPr>
      <w:hyperlink w:anchor="_Toc300001987" w:history="1">
        <w:r>
          <w:rPr>
            <w:noProof/>
          </w:rPr>
          <w:t xml:space="preserve">Article 62.14: Resilience Finance and Catastrophe-Risk Tools</w:t>
        </w:r>
        <w:r>
          <w:rPr>
            <w:noProof/>
            <w:webHidden/>
          </w:rPr>
          <w:tab/>
        </w:r>
        <w:r>
          <w:rPr>
            <w:noProof/>
            <w:webHidden/>
          </w:rPr>
          <w:fldChar w:fldCharType="begin"/>
        </w:r>
        <w:r>
          <w:rPr>
            <w:noProof/>
            <w:webHidden/>
          </w:rPr>
          <w:instrText xml:space="preserve"> PAGEREF _Toc300001987 \h </w:instrText>
        </w:r>
        <w:r>
          <w:rPr>
            <w:noProof/>
            <w:webHidden/>
          </w:rPr>
          <w:fldChar w:fldCharType="separate"/>
        </w:r>
        <w:r>
          <w:rPr>
            <w:noProof/>
            <w:webHidden/>
          </w:rPr>
          <w:t>2052</w:t>
        </w:r>
        <w:r>
          <w:rPr>
            <w:noProof/>
            <w:webHidden/>
          </w:rPr>
          <w:fldChar w:fldCharType="end"/>
        </w:r>
      </w:hyperlink>
    </w:p>
    <w:p>
      <w:pPr>
        <w:pStyle w:val="TOC2"/>
      </w:pPr>
      <w:hyperlink w:anchor="_Toc300001988" w:history="1">
        <w:r>
          <w:rPr>
            <w:noProof/>
          </w:rPr>
          <w:t xml:space="preserve">Article 62.15: Disaster Innovation and Rapid Qualification Pathway</w:t>
        </w:r>
        <w:r>
          <w:rPr>
            <w:noProof/>
            <w:webHidden/>
          </w:rPr>
          <w:tab/>
        </w:r>
        <w:r>
          <w:rPr>
            <w:noProof/>
            <w:webHidden/>
          </w:rPr>
          <w:fldChar w:fldCharType="begin"/>
        </w:r>
        <w:r>
          <w:rPr>
            <w:noProof/>
            <w:webHidden/>
          </w:rPr>
          <w:instrText xml:space="preserve"> PAGEREF _Toc300001988 \h </w:instrText>
        </w:r>
        <w:r>
          <w:rPr>
            <w:noProof/>
            <w:webHidden/>
          </w:rPr>
          <w:fldChar w:fldCharType="separate"/>
        </w:r>
        <w:r>
          <w:rPr>
            <w:noProof/>
            <w:webHidden/>
          </w:rPr>
          <w:t>2053</w:t>
        </w:r>
        <w:r>
          <w:rPr>
            <w:noProof/>
            <w:webHidden/>
          </w:rPr>
          <w:fldChar w:fldCharType="end"/>
        </w:r>
      </w:hyperlink>
    </w:p>
    <w:p>
      <w:pPr>
        <w:pStyle w:val="TOC2"/>
      </w:pPr>
      <w:hyperlink w:anchor="_Toc300001989" w:history="1">
        <w:r>
          <w:rPr>
            <w:noProof/>
          </w:rPr>
          <w:t xml:space="preserve">Article 62.16: Recovery, Reconstruction, and Local Economic Continuity</w:t>
        </w:r>
        <w:r>
          <w:rPr>
            <w:noProof/>
            <w:webHidden/>
          </w:rPr>
          <w:tab/>
        </w:r>
        <w:r>
          <w:rPr>
            <w:noProof/>
            <w:webHidden/>
          </w:rPr>
          <w:fldChar w:fldCharType="begin"/>
        </w:r>
        <w:r>
          <w:rPr>
            <w:noProof/>
            <w:webHidden/>
          </w:rPr>
          <w:instrText xml:space="preserve"> PAGEREF _Toc300001989 \h </w:instrText>
        </w:r>
        <w:r>
          <w:rPr>
            <w:noProof/>
            <w:webHidden/>
          </w:rPr>
          <w:fldChar w:fldCharType="separate"/>
        </w:r>
        <w:r>
          <w:rPr>
            <w:noProof/>
            <w:webHidden/>
          </w:rPr>
          <w:t>2053</w:t>
        </w:r>
        <w:r>
          <w:rPr>
            <w:noProof/>
            <w:webHidden/>
          </w:rPr>
          <w:fldChar w:fldCharType="end"/>
        </w:r>
      </w:hyperlink>
    </w:p>
    <w:p>
      <w:pPr>
        <w:pStyle w:val="TOC2"/>
      </w:pPr>
      <w:hyperlink w:anchor="_Toc300001990" w:history="1">
        <w:r>
          <w:rPr>
            <w:noProof/>
          </w:rPr>
          <w:t xml:space="preserve">Article 62.17: After-Action Review and No-Fault Learning</w:t>
        </w:r>
        <w:r>
          <w:rPr>
            <w:noProof/>
            <w:webHidden/>
          </w:rPr>
          <w:tab/>
        </w:r>
        <w:r>
          <w:rPr>
            <w:noProof/>
            <w:webHidden/>
          </w:rPr>
          <w:fldChar w:fldCharType="begin"/>
        </w:r>
        <w:r>
          <w:rPr>
            <w:noProof/>
            <w:webHidden/>
          </w:rPr>
          <w:instrText xml:space="preserve"> PAGEREF _Toc300001990 \h </w:instrText>
        </w:r>
        <w:r>
          <w:rPr>
            <w:noProof/>
            <w:webHidden/>
          </w:rPr>
          <w:fldChar w:fldCharType="separate"/>
        </w:r>
        <w:r>
          <w:rPr>
            <w:noProof/>
            <w:webHidden/>
          </w:rPr>
          <w:t>2053</w:t>
        </w:r>
        <w:r>
          <w:rPr>
            <w:noProof/>
            <w:webHidden/>
          </w:rPr>
          <w:fldChar w:fldCharType="end"/>
        </w:r>
      </w:hyperlink>
    </w:p>
    <w:p>
      <w:pPr>
        <w:pStyle w:val="TOC2"/>
      </w:pPr>
      <w:hyperlink w:anchor="_Toc300001991" w:history="1">
        <w:r>
          <w:rPr>
            <w:noProof/>
          </w:rPr>
          <w:t xml:space="preserve">Article 62.18: Relationship to Other Chapters and Cothrom Review</w:t>
        </w:r>
        <w:r>
          <w:rPr>
            <w:noProof/>
            <w:webHidden/>
          </w:rPr>
          <w:tab/>
        </w:r>
        <w:r>
          <w:rPr>
            <w:noProof/>
            <w:webHidden/>
          </w:rPr>
          <w:fldChar w:fldCharType="begin"/>
        </w:r>
        <w:r>
          <w:rPr>
            <w:noProof/>
            <w:webHidden/>
          </w:rPr>
          <w:instrText xml:space="preserve"> PAGEREF _Toc300001991 \h </w:instrText>
        </w:r>
        <w:r>
          <w:rPr>
            <w:noProof/>
            <w:webHidden/>
          </w:rPr>
          <w:fldChar w:fldCharType="separate"/>
        </w:r>
        <w:r>
          <w:rPr>
            <w:noProof/>
            <w:webHidden/>
          </w:rPr>
          <w:t>2053</w:t>
        </w:r>
        <w:r>
          <w:rPr>
            <w:noProof/>
            <w:webHidden/>
          </w:rPr>
          <w:fldChar w:fldCharType="end"/>
        </w:r>
      </w:hyperlink>
    </w:p>
    <w:p>
      <w:pPr>
        <w:pStyle w:val="TOC2"/>
      </w:pPr>
      <w:hyperlink w:anchor="_Toc300001992" w:history="1">
        <w:r>
          <w:rPr>
            <w:noProof/>
          </w:rPr>
          <w:t xml:space="preserve">ANNEX 62-A: INITIAL CONTINENTAL RESILIENCE MODULES</w:t>
        </w:r>
        <w:r>
          <w:rPr>
            <w:noProof/>
            <w:webHidden/>
          </w:rPr>
          <w:tab/>
        </w:r>
        <w:r>
          <w:rPr>
            <w:noProof/>
            <w:webHidden/>
          </w:rPr>
          <w:fldChar w:fldCharType="begin"/>
        </w:r>
        <w:r>
          <w:rPr>
            <w:noProof/>
            <w:webHidden/>
          </w:rPr>
          <w:instrText xml:space="preserve"> PAGEREF _Toc300001992 \h </w:instrText>
        </w:r>
        <w:r>
          <w:rPr>
            <w:noProof/>
            <w:webHidden/>
          </w:rPr>
          <w:fldChar w:fldCharType="separate"/>
        </w:r>
        <w:r>
          <w:rPr>
            <w:noProof/>
            <w:webHidden/>
          </w:rPr>
          <w:t>2054</w:t>
        </w:r>
        <w:r>
          <w:rPr>
            <w:noProof/>
            <w:webHidden/>
          </w:rPr>
          <w:fldChar w:fldCharType="end"/>
        </w:r>
      </w:hyperlink>
    </w:p>
    <w:p>
      <w:pPr>
        <w:pStyle w:val="TOC2"/>
      </w:pPr>
      <w:hyperlink w:anchor="_Toc300001993" w:history="1">
        <w:r>
          <w:rPr>
            <w:noProof/>
          </w:rPr>
          <w:t xml:space="preserve">PACKAGE AD: CONTINENTAL RESILIENCE ENRICHMENT AND IMPLEMENTATION PACKAGE (v5.3)</w:t>
        </w:r>
        <w:r>
          <w:rPr>
            <w:noProof/>
            <w:webHidden/>
          </w:rPr>
          <w:tab/>
        </w:r>
        <w:r>
          <w:rPr>
            <w:noProof/>
            <w:webHidden/>
          </w:rPr>
          <w:fldChar w:fldCharType="begin"/>
        </w:r>
        <w:r>
          <w:rPr>
            <w:noProof/>
            <w:webHidden/>
          </w:rPr>
          <w:instrText xml:space="preserve"> PAGEREF _Toc300001993 \h </w:instrText>
        </w:r>
        <w:r>
          <w:rPr>
            <w:noProof/>
            <w:webHidden/>
          </w:rPr>
          <w:fldChar w:fldCharType="separate"/>
        </w:r>
        <w:r>
          <w:rPr>
            <w:noProof/>
            <w:webHidden/>
          </w:rPr>
          <w:t>2054</w:t>
        </w:r>
        <w:r>
          <w:rPr>
            <w:noProof/>
            <w:webHidden/>
          </w:rPr>
          <w:fldChar w:fldCharType="end"/>
        </w:r>
      </w:hyperlink>
    </w:p>
    <w:p>
      <w:pPr>
        <w:pStyle w:val="TOC2"/>
      </w:pPr>
      <w:hyperlink w:anchor="_Toc300001994" w:history="1">
        <w:r>
          <w:rPr>
            <w:noProof/>
          </w:rPr>
          <w:t xml:space="preserve">PACKAGE AC: FINAL IMPLEMENTATION AND INTEGRATION PACKAGE (v5.1)</w:t>
        </w:r>
        <w:r>
          <w:rPr>
            <w:noProof/>
            <w:webHidden/>
          </w:rPr>
          <w:tab/>
        </w:r>
        <w:r>
          <w:rPr>
            <w:noProof/>
            <w:webHidden/>
          </w:rPr>
          <w:fldChar w:fldCharType="begin"/>
        </w:r>
        <w:r>
          <w:rPr>
            <w:noProof/>
            <w:webHidden/>
          </w:rPr>
          <w:instrText xml:space="preserve"> PAGEREF _Toc300001994 \h </w:instrText>
        </w:r>
        <w:r>
          <w:rPr>
            <w:noProof/>
            <w:webHidden/>
          </w:rPr>
          <w:fldChar w:fldCharType="separate"/>
        </w:r>
        <w:r>
          <w:rPr>
            <w:noProof/>
            <w:webHidden/>
          </w:rPr>
          <w:t>2055</w:t>
        </w:r>
        <w:r>
          <w:rPr>
            <w:noProof/>
            <w:webHidden/>
          </w:rPr>
          <w:fldChar w:fldCharType="end"/>
        </w:r>
      </w:hyperlink>
    </w:p>
    <w:p>
      <w:pPr>
        <w:pStyle w:val="TOC2"/>
      </w:pPr>
      <w:hyperlink w:anchor="_Toc300001995" w:history="1">
        <w:r>
          <w:rPr>
            <w:noProof/>
          </w:rPr>
          <w:t xml:space="preserve">PACKAGE AB: MEXICO PARITY, TRILATERAL PROCUREMENT, FORESTRY INTEGRATION, AND INDUSTRIAL RESILIENCE PACKAGE (v5.0)</w:t>
        </w:r>
        <w:r>
          <w:rPr>
            <w:noProof/>
            <w:webHidden/>
          </w:rPr>
          <w:tab/>
        </w:r>
        <w:r>
          <w:rPr>
            <w:noProof/>
            <w:webHidden/>
          </w:rPr>
          <w:fldChar w:fldCharType="begin"/>
        </w:r>
        <w:r>
          <w:rPr>
            <w:noProof/>
            <w:webHidden/>
          </w:rPr>
          <w:instrText xml:space="preserve"> PAGEREF _Toc300001995 \h </w:instrText>
        </w:r>
        <w:r>
          <w:rPr>
            <w:noProof/>
            <w:webHidden/>
          </w:rPr>
          <w:fldChar w:fldCharType="separate"/>
        </w:r>
        <w:r>
          <w:rPr>
            <w:noProof/>
            <w:webHidden/>
          </w:rPr>
          <w:t>2055</w:t>
        </w:r>
        <w:r>
          <w:rPr>
            <w:noProof/>
            <w:webHidden/>
          </w:rPr>
          <w:fldChar w:fldCharType="end"/>
        </w:r>
      </w:hyperlink>
    </w:p>
    <w:p>
      <w:pPr>
        <w:pStyle w:val="TOC2"/>
      </w:pPr>
      <w:hyperlink w:anchor="_Toc300001996" w:history="1">
        <w:r>
          <w:rPr>
            <w:noProof/>
          </w:rPr>
          <w:t xml:space="preserve">PACKAGE AA: TRIADIC LABOUR FLOOR, EQUAL DIGNITY, AND CROSS-BORDER SOVEREIGNTY HARDENING (v4.9)</w:t>
        </w:r>
        <w:r>
          <w:rPr>
            <w:noProof/>
            <w:webHidden/>
          </w:rPr>
          <w:tab/>
        </w:r>
        <w:r>
          <w:rPr>
            <w:noProof/>
            <w:webHidden/>
          </w:rPr>
          <w:fldChar w:fldCharType="begin"/>
        </w:r>
        <w:r>
          <w:rPr>
            <w:noProof/>
            <w:webHidden/>
          </w:rPr>
          <w:instrText xml:space="preserve"> PAGEREF _Toc300001996 \h </w:instrText>
        </w:r>
        <w:r>
          <w:rPr>
            <w:noProof/>
            <w:webHidden/>
          </w:rPr>
          <w:fldChar w:fldCharType="separate"/>
        </w:r>
        <w:r>
          <w:rPr>
            <w:noProof/>
            <w:webHidden/>
          </w:rPr>
          <w:t>2056</w:t>
        </w:r>
        <w:r>
          <w:rPr>
            <w:noProof/>
            <w:webHidden/>
          </w:rPr>
          <w:fldChar w:fldCharType="end"/>
        </w:r>
      </w:hyperlink>
    </w:p>
    <w:p>
      <w:pPr>
        <w:pStyle w:val="TOC1"/>
      </w:pPr>
      <w:hyperlink w:anchor="_Toc300001997" w:history="1">
        <w:r>
          <w:rPr>
            <w:noProof/>
          </w:rPr>
          <w:t xml:space="preserve">CHAPTER 63: NORTH AMERICAN MEDICINES SECURITY AND PHARMACEUTICAL RESILIENCE</w:t>
        </w:r>
        <w:r>
          <w:rPr>
            <w:noProof/>
            <w:webHidden/>
          </w:rPr>
          <w:tab/>
        </w:r>
        <w:r>
          <w:rPr>
            <w:noProof/>
            <w:webHidden/>
          </w:rPr>
          <w:fldChar w:fldCharType="begin"/>
        </w:r>
        <w:r>
          <w:rPr>
            <w:noProof/>
            <w:webHidden/>
          </w:rPr>
          <w:instrText xml:space="preserve"> PAGEREF _Toc300001997 \h </w:instrText>
        </w:r>
        <w:r>
          <w:rPr>
            <w:noProof/>
            <w:webHidden/>
          </w:rPr>
          <w:fldChar w:fldCharType="separate"/>
        </w:r>
        <w:r>
          <w:rPr>
            <w:noProof/>
            <w:webHidden/>
          </w:rPr>
          <w:t>2057</w:t>
        </w:r>
        <w:r>
          <w:rPr>
            <w:noProof/>
            <w:webHidden/>
          </w:rPr>
          <w:fldChar w:fldCharType="end"/>
        </w:r>
      </w:hyperlink>
    </w:p>
    <w:p>
      <w:pPr>
        <w:pStyle w:val="TOC2"/>
      </w:pPr>
      <w:hyperlink w:anchor="_Toc300001998" w:history="1">
        <w:r>
          <w:rPr>
            <w:noProof/>
          </w:rPr>
          <w:t xml:space="preserve">Article 63.1: Purpose and Governing Principles</w:t>
        </w:r>
        <w:r>
          <w:rPr>
            <w:noProof/>
            <w:webHidden/>
          </w:rPr>
          <w:tab/>
        </w:r>
        <w:r>
          <w:rPr>
            <w:noProof/>
            <w:webHidden/>
          </w:rPr>
          <w:fldChar w:fldCharType="begin"/>
        </w:r>
        <w:r>
          <w:rPr>
            <w:noProof/>
            <w:webHidden/>
          </w:rPr>
          <w:instrText xml:space="preserve"> PAGEREF _Toc300001998 \h </w:instrText>
        </w:r>
        <w:r>
          <w:rPr>
            <w:noProof/>
            <w:webHidden/>
          </w:rPr>
          <w:fldChar w:fldCharType="separate"/>
        </w:r>
        <w:r>
          <w:rPr>
            <w:noProof/>
            <w:webHidden/>
          </w:rPr>
          <w:t>2057</w:t>
        </w:r>
        <w:r>
          <w:rPr>
            <w:noProof/>
            <w:webHidden/>
          </w:rPr>
          <w:fldChar w:fldCharType="end"/>
        </w:r>
      </w:hyperlink>
    </w:p>
    <w:p>
      <w:pPr>
        <w:pStyle w:val="TOC2"/>
      </w:pPr>
      <w:hyperlink w:anchor="_Toc300001999" w:history="1">
        <w:r>
          <w:rPr>
            <w:noProof/>
          </w:rPr>
          <w:t xml:space="preserve">Article 63.2: Essential Medicines and Strategic Pharmaceutical Classification</w:t>
        </w:r>
        <w:r>
          <w:rPr>
            <w:noProof/>
            <w:webHidden/>
          </w:rPr>
          <w:tab/>
        </w:r>
        <w:r>
          <w:rPr>
            <w:noProof/>
            <w:webHidden/>
          </w:rPr>
          <w:fldChar w:fldCharType="begin"/>
        </w:r>
        <w:r>
          <w:rPr>
            <w:noProof/>
            <w:webHidden/>
          </w:rPr>
          <w:instrText xml:space="preserve"> PAGEREF _Toc300001999 \h </w:instrText>
        </w:r>
        <w:r>
          <w:rPr>
            <w:noProof/>
            <w:webHidden/>
          </w:rPr>
          <w:fldChar w:fldCharType="separate"/>
        </w:r>
        <w:r>
          <w:rPr>
            <w:noProof/>
            <w:webHidden/>
          </w:rPr>
          <w:t>2057</w:t>
        </w:r>
        <w:r>
          <w:rPr>
            <w:noProof/>
            <w:webHidden/>
          </w:rPr>
          <w:fldChar w:fldCharType="end"/>
        </w:r>
      </w:hyperlink>
    </w:p>
    <w:p>
      <w:pPr>
        <w:pStyle w:val="TOC2"/>
      </w:pPr>
      <w:hyperlink w:anchor="_Toc300002000" w:history="1">
        <w:r>
          <w:rPr>
            <w:noProof/>
          </w:rPr>
          <w:t xml:space="preserve">Article 63.3: Medicines Peace Clause and No-Tariff-Hostage Rule</w:t>
        </w:r>
        <w:r>
          <w:rPr>
            <w:noProof/>
            <w:webHidden/>
          </w:rPr>
          <w:tab/>
        </w:r>
        <w:r>
          <w:rPr>
            <w:noProof/>
            <w:webHidden/>
          </w:rPr>
          <w:fldChar w:fldCharType="begin"/>
        </w:r>
        <w:r>
          <w:rPr>
            <w:noProof/>
            <w:webHidden/>
          </w:rPr>
          <w:instrText xml:space="preserve"> PAGEREF _Toc300002000 \h </w:instrText>
        </w:r>
        <w:r>
          <w:rPr>
            <w:noProof/>
            <w:webHidden/>
          </w:rPr>
          <w:fldChar w:fldCharType="separate"/>
        </w:r>
        <w:r>
          <w:rPr>
            <w:noProof/>
            <w:webHidden/>
          </w:rPr>
          <w:t>2057</w:t>
        </w:r>
        <w:r>
          <w:rPr>
            <w:noProof/>
            <w:webHidden/>
          </w:rPr>
          <w:fldChar w:fldCharType="end"/>
        </w:r>
      </w:hyperlink>
    </w:p>
    <w:p>
      <w:pPr>
        <w:pStyle w:val="TOC2"/>
      </w:pPr>
      <w:hyperlink w:anchor="_Toc300002001" w:history="1">
        <w:r>
          <w:rPr>
            <w:noProof/>
          </w:rPr>
          <w:t xml:space="preserve">Article 63.4: Pharmaceutical Rules of Origin and Transformation</w:t>
        </w:r>
        <w:r>
          <w:rPr>
            <w:noProof/>
            <w:webHidden/>
          </w:rPr>
          <w:tab/>
        </w:r>
        <w:r>
          <w:rPr>
            <w:noProof/>
            <w:webHidden/>
          </w:rPr>
          <w:fldChar w:fldCharType="begin"/>
        </w:r>
        <w:r>
          <w:rPr>
            <w:noProof/>
            <w:webHidden/>
          </w:rPr>
          <w:instrText xml:space="preserve"> PAGEREF _Toc300002001 \h </w:instrText>
        </w:r>
        <w:r>
          <w:rPr>
            <w:noProof/>
            <w:webHidden/>
          </w:rPr>
          <w:fldChar w:fldCharType="separate"/>
        </w:r>
        <w:r>
          <w:rPr>
            <w:noProof/>
            <w:webHidden/>
          </w:rPr>
          <w:t>2058</w:t>
        </w:r>
        <w:r>
          <w:rPr>
            <w:noProof/>
            <w:webHidden/>
          </w:rPr>
          <w:fldChar w:fldCharType="end"/>
        </w:r>
      </w:hyperlink>
    </w:p>
    <w:p>
      <w:pPr>
        <w:pStyle w:val="TOC2"/>
      </w:pPr>
      <w:hyperlink w:anchor="_Toc300002002" w:history="1">
        <w:r>
          <w:rPr>
            <w:noProof/>
          </w:rPr>
          <w:t xml:space="preserve">Article 63.5: Critical API and Key Starting Material Security</w:t>
        </w:r>
        <w:r>
          <w:rPr>
            <w:noProof/>
            <w:webHidden/>
          </w:rPr>
          <w:tab/>
        </w:r>
        <w:r>
          <w:rPr>
            <w:noProof/>
            <w:webHidden/>
          </w:rPr>
          <w:fldChar w:fldCharType="begin"/>
        </w:r>
        <w:r>
          <w:rPr>
            <w:noProof/>
            <w:webHidden/>
          </w:rPr>
          <w:instrText xml:space="preserve"> PAGEREF _Toc300002002 \h </w:instrText>
        </w:r>
        <w:r>
          <w:rPr>
            <w:noProof/>
            <w:webHidden/>
          </w:rPr>
          <w:fldChar w:fldCharType="separate"/>
        </w:r>
        <w:r>
          <w:rPr>
            <w:noProof/>
            <w:webHidden/>
          </w:rPr>
          <w:t>2058</w:t>
        </w:r>
        <w:r>
          <w:rPr>
            <w:noProof/>
            <w:webHidden/>
          </w:rPr>
          <w:fldChar w:fldCharType="end"/>
        </w:r>
      </w:hyperlink>
    </w:p>
    <w:p>
      <w:pPr>
        <w:pStyle w:val="TOC2"/>
      </w:pPr>
      <w:hyperlink w:anchor="_Toc300002003" w:history="1">
        <w:r>
          <w:rPr>
            <w:noProof/>
          </w:rPr>
          <w:t xml:space="preserve">Article 63.6: Essential Generics Security</w:t>
        </w:r>
        <w:r>
          <w:rPr>
            <w:noProof/>
            <w:webHidden/>
          </w:rPr>
          <w:tab/>
        </w:r>
        <w:r>
          <w:rPr>
            <w:noProof/>
            <w:webHidden/>
          </w:rPr>
          <w:fldChar w:fldCharType="begin"/>
        </w:r>
        <w:r>
          <w:rPr>
            <w:noProof/>
            <w:webHidden/>
          </w:rPr>
          <w:instrText xml:space="preserve"> PAGEREF _Toc300002003 \h </w:instrText>
        </w:r>
        <w:r>
          <w:rPr>
            <w:noProof/>
            <w:webHidden/>
          </w:rPr>
          <w:fldChar w:fldCharType="separate"/>
        </w:r>
        <w:r>
          <w:rPr>
            <w:noProof/>
            <w:webHidden/>
          </w:rPr>
          <w:t>2059</w:t>
        </w:r>
        <w:r>
          <w:rPr>
            <w:noProof/>
            <w:webHidden/>
          </w:rPr>
          <w:fldChar w:fldCharType="end"/>
        </w:r>
      </w:hyperlink>
    </w:p>
    <w:p>
      <w:pPr>
        <w:pStyle w:val="TOC2"/>
      </w:pPr>
      <w:hyperlink w:anchor="_Toc300002004" w:history="1">
        <w:r>
          <w:rPr>
            <w:noProof/>
          </w:rPr>
          <w:t xml:space="preserve">Article 63.7: Sterile Injectables and Fill-Finish Resilience</w:t>
        </w:r>
        <w:r>
          <w:rPr>
            <w:noProof/>
            <w:webHidden/>
          </w:rPr>
          <w:tab/>
        </w:r>
        <w:r>
          <w:rPr>
            <w:noProof/>
            <w:webHidden/>
          </w:rPr>
          <w:fldChar w:fldCharType="begin"/>
        </w:r>
        <w:r>
          <w:rPr>
            <w:noProof/>
            <w:webHidden/>
          </w:rPr>
          <w:instrText xml:space="preserve"> PAGEREF _Toc300002004 \h </w:instrText>
        </w:r>
        <w:r>
          <w:rPr>
            <w:noProof/>
            <w:webHidden/>
          </w:rPr>
          <w:fldChar w:fldCharType="separate"/>
        </w:r>
        <w:r>
          <w:rPr>
            <w:noProof/>
            <w:webHidden/>
          </w:rPr>
          <w:t>2059</w:t>
        </w:r>
        <w:r>
          <w:rPr>
            <w:noProof/>
            <w:webHidden/>
          </w:rPr>
          <w:fldChar w:fldCharType="end"/>
        </w:r>
      </w:hyperlink>
    </w:p>
    <w:p>
      <w:pPr>
        <w:pStyle w:val="TOC2"/>
      </w:pPr>
      <w:hyperlink w:anchor="_Toc300002005" w:history="1">
        <w:r>
          <w:rPr>
            <w:noProof/>
          </w:rPr>
          <w:t xml:space="preserve">Article 63.8: Strategic Pharmaceutical Manufacturing Inputs</w:t>
        </w:r>
        <w:r>
          <w:rPr>
            <w:noProof/>
            <w:webHidden/>
          </w:rPr>
          <w:tab/>
        </w:r>
        <w:r>
          <w:rPr>
            <w:noProof/>
            <w:webHidden/>
          </w:rPr>
          <w:fldChar w:fldCharType="begin"/>
        </w:r>
        <w:r>
          <w:rPr>
            <w:noProof/>
            <w:webHidden/>
          </w:rPr>
          <w:instrText xml:space="preserve"> PAGEREF _Toc300002005 \h </w:instrText>
        </w:r>
        <w:r>
          <w:rPr>
            <w:noProof/>
            <w:webHidden/>
          </w:rPr>
          <w:fldChar w:fldCharType="separate"/>
        </w:r>
        <w:r>
          <w:rPr>
            <w:noProof/>
            <w:webHidden/>
          </w:rPr>
          <w:t>2059</w:t>
        </w:r>
        <w:r>
          <w:rPr>
            <w:noProof/>
            <w:webHidden/>
          </w:rPr>
          <w:fldChar w:fldCharType="end"/>
        </w:r>
      </w:hyperlink>
    </w:p>
    <w:p>
      <w:pPr>
        <w:pStyle w:val="TOC2"/>
      </w:pPr>
      <w:hyperlink w:anchor="_Toc300002006" w:history="1">
        <w:r>
          <w:rPr>
            <w:noProof/>
          </w:rPr>
          <w:t xml:space="preserve">Article 63.9: Antibiotic and Antiviral Security Initiative</w:t>
        </w:r>
        <w:r>
          <w:rPr>
            <w:noProof/>
            <w:webHidden/>
          </w:rPr>
          <w:tab/>
        </w:r>
        <w:r>
          <w:rPr>
            <w:noProof/>
            <w:webHidden/>
          </w:rPr>
          <w:fldChar w:fldCharType="begin"/>
        </w:r>
        <w:r>
          <w:rPr>
            <w:noProof/>
            <w:webHidden/>
          </w:rPr>
          <w:instrText xml:space="preserve"> PAGEREF _Toc300002006 \h </w:instrText>
        </w:r>
        <w:r>
          <w:rPr>
            <w:noProof/>
            <w:webHidden/>
          </w:rPr>
          <w:fldChar w:fldCharType="separate"/>
        </w:r>
        <w:r>
          <w:rPr>
            <w:noProof/>
            <w:webHidden/>
          </w:rPr>
          <w:t>2059</w:t>
        </w:r>
        <w:r>
          <w:rPr>
            <w:noProof/>
            <w:webHidden/>
          </w:rPr>
          <w:fldChar w:fldCharType="end"/>
        </w:r>
      </w:hyperlink>
    </w:p>
    <w:p>
      <w:pPr>
        <w:pStyle w:val="TOC2"/>
      </w:pPr>
      <w:hyperlink w:anchor="_Toc300002007" w:history="1">
        <w:r>
          <w:rPr>
            <w:noProof/>
          </w:rPr>
          <w:t xml:space="preserve">Article 63.10: Vaccines, Biologics and Platform Manufacturing</w:t>
        </w:r>
        <w:r>
          <w:rPr>
            <w:noProof/>
            <w:webHidden/>
          </w:rPr>
          <w:tab/>
        </w:r>
        <w:r>
          <w:rPr>
            <w:noProof/>
            <w:webHidden/>
          </w:rPr>
          <w:fldChar w:fldCharType="begin"/>
        </w:r>
        <w:r>
          <w:rPr>
            <w:noProof/>
            <w:webHidden/>
          </w:rPr>
          <w:instrText xml:space="preserve"> PAGEREF _Toc300002007 \h </w:instrText>
        </w:r>
        <w:r>
          <w:rPr>
            <w:noProof/>
            <w:webHidden/>
          </w:rPr>
          <w:fldChar w:fldCharType="separate"/>
        </w:r>
        <w:r>
          <w:rPr>
            <w:noProof/>
            <w:webHidden/>
          </w:rPr>
          <w:t>2060</w:t>
        </w:r>
        <w:r>
          <w:rPr>
            <w:noProof/>
            <w:webHidden/>
          </w:rPr>
          <w:fldChar w:fldCharType="end"/>
        </w:r>
      </w:hyperlink>
    </w:p>
    <w:p>
      <w:pPr>
        <w:pStyle w:val="TOC2"/>
      </w:pPr>
      <w:hyperlink w:anchor="_Toc300002008" w:history="1">
        <w:r>
          <w:rPr>
            <w:noProof/>
          </w:rPr>
          <w:t xml:space="preserve">Article 63.11: Pharmaceutical Cold Chain and Emergency Logistics</w:t>
        </w:r>
        <w:r>
          <w:rPr>
            <w:noProof/>
            <w:webHidden/>
          </w:rPr>
          <w:tab/>
        </w:r>
        <w:r>
          <w:rPr>
            <w:noProof/>
            <w:webHidden/>
          </w:rPr>
          <w:fldChar w:fldCharType="begin"/>
        </w:r>
        <w:r>
          <w:rPr>
            <w:noProof/>
            <w:webHidden/>
          </w:rPr>
          <w:instrText xml:space="preserve"> PAGEREF _Toc300002008 \h </w:instrText>
        </w:r>
        <w:r>
          <w:rPr>
            <w:noProof/>
            <w:webHidden/>
          </w:rPr>
          <w:fldChar w:fldCharType="separate"/>
        </w:r>
        <w:r>
          <w:rPr>
            <w:noProof/>
            <w:webHidden/>
          </w:rPr>
          <w:t>2060</w:t>
        </w:r>
        <w:r>
          <w:rPr>
            <w:noProof/>
            <w:webHidden/>
          </w:rPr>
          <w:fldChar w:fldCharType="end"/>
        </w:r>
      </w:hyperlink>
    </w:p>
    <w:p>
      <w:pPr>
        <w:pStyle w:val="TOC2"/>
      </w:pPr>
      <w:hyperlink w:anchor="_Toc300002009" w:history="1">
        <w:r>
          <w:rPr>
            <w:noProof/>
          </w:rPr>
          <w:t xml:space="preserve">Article 63.12: Resilience Equivalence Principle</w:t>
        </w:r>
        <w:r>
          <w:rPr>
            <w:noProof/>
            <w:webHidden/>
          </w:rPr>
          <w:tab/>
        </w:r>
        <w:r>
          <w:rPr>
            <w:noProof/>
            <w:webHidden/>
          </w:rPr>
          <w:fldChar w:fldCharType="begin"/>
        </w:r>
        <w:r>
          <w:rPr>
            <w:noProof/>
            <w:webHidden/>
          </w:rPr>
          <w:instrText xml:space="preserve"> PAGEREF _Toc300002009 \h </w:instrText>
        </w:r>
        <w:r>
          <w:rPr>
            <w:noProof/>
            <w:webHidden/>
          </w:rPr>
          <w:fldChar w:fldCharType="separate"/>
        </w:r>
        <w:r>
          <w:rPr>
            <w:noProof/>
            <w:webHidden/>
          </w:rPr>
          <w:t>2060</w:t>
        </w:r>
        <w:r>
          <w:rPr>
            <w:noProof/>
            <w:webHidden/>
          </w:rPr>
          <w:fldChar w:fldCharType="end"/>
        </w:r>
      </w:hyperlink>
    </w:p>
    <w:p>
      <w:pPr>
        <w:pStyle w:val="TOC2"/>
      </w:pPr>
      <w:hyperlink w:anchor="_Toc300002010" w:history="1">
        <w:r>
          <w:rPr>
            <w:noProof/>
          </w:rPr>
          <w:t xml:space="preserve">Article 63.13: No Single Point of Continental Failure</w:t>
        </w:r>
        <w:r>
          <w:rPr>
            <w:noProof/>
            <w:webHidden/>
          </w:rPr>
          <w:tab/>
        </w:r>
        <w:r>
          <w:rPr>
            <w:noProof/>
            <w:webHidden/>
          </w:rPr>
          <w:fldChar w:fldCharType="begin"/>
        </w:r>
        <w:r>
          <w:rPr>
            <w:noProof/>
            <w:webHidden/>
          </w:rPr>
          <w:instrText xml:space="preserve"> PAGEREF _Toc300002010 \h </w:instrText>
        </w:r>
        <w:r>
          <w:rPr>
            <w:noProof/>
            <w:webHidden/>
          </w:rPr>
          <w:fldChar w:fldCharType="separate"/>
        </w:r>
        <w:r>
          <w:rPr>
            <w:noProof/>
            <w:webHidden/>
          </w:rPr>
          <w:t>2060</w:t>
        </w:r>
        <w:r>
          <w:rPr>
            <w:noProof/>
            <w:webHidden/>
          </w:rPr>
          <w:fldChar w:fldCharType="end"/>
        </w:r>
      </w:hyperlink>
    </w:p>
    <w:p>
      <w:pPr>
        <w:pStyle w:val="TOC2"/>
      </w:pPr>
      <w:hyperlink w:anchor="_Toc300002011" w:history="1">
        <w:r>
          <w:rPr>
            <w:noProof/>
          </w:rPr>
          <w:t xml:space="preserve">Article 63.14: Strategic Medicine Reserves and Rotation</w:t>
        </w:r>
        <w:r>
          <w:rPr>
            <w:noProof/>
            <w:webHidden/>
          </w:rPr>
          <w:tab/>
        </w:r>
        <w:r>
          <w:rPr>
            <w:noProof/>
            <w:webHidden/>
          </w:rPr>
          <w:fldChar w:fldCharType="begin"/>
        </w:r>
        <w:r>
          <w:rPr>
            <w:noProof/>
            <w:webHidden/>
          </w:rPr>
          <w:instrText xml:space="preserve"> PAGEREF _Toc300002011 \h </w:instrText>
        </w:r>
        <w:r>
          <w:rPr>
            <w:noProof/>
            <w:webHidden/>
          </w:rPr>
          <w:fldChar w:fldCharType="separate"/>
        </w:r>
        <w:r>
          <w:rPr>
            <w:noProof/>
            <w:webHidden/>
          </w:rPr>
          <w:t>2060</w:t>
        </w:r>
        <w:r>
          <w:rPr>
            <w:noProof/>
            <w:webHidden/>
          </w:rPr>
          <w:fldChar w:fldCharType="end"/>
        </w:r>
      </w:hyperlink>
    </w:p>
    <w:p>
      <w:pPr>
        <w:pStyle w:val="TOC2"/>
      </w:pPr>
      <w:hyperlink w:anchor="_Toc300002012" w:history="1">
        <w:r>
          <w:rPr>
            <w:noProof/>
          </w:rPr>
          <w:t xml:space="preserve">Article 63.15: Medical Isotopes and Radiopharmaceuticals</w:t>
        </w:r>
        <w:r>
          <w:rPr>
            <w:noProof/>
            <w:webHidden/>
          </w:rPr>
          <w:tab/>
        </w:r>
        <w:r>
          <w:rPr>
            <w:noProof/>
            <w:webHidden/>
          </w:rPr>
          <w:fldChar w:fldCharType="begin"/>
        </w:r>
        <w:r>
          <w:rPr>
            <w:noProof/>
            <w:webHidden/>
          </w:rPr>
          <w:instrText xml:space="preserve"> PAGEREF _Toc300002012 \h </w:instrText>
        </w:r>
        <w:r>
          <w:rPr>
            <w:noProof/>
            <w:webHidden/>
          </w:rPr>
          <w:fldChar w:fldCharType="separate"/>
        </w:r>
        <w:r>
          <w:rPr>
            <w:noProof/>
            <w:webHidden/>
          </w:rPr>
          <w:t>2061</w:t>
        </w:r>
        <w:r>
          <w:rPr>
            <w:noProof/>
            <w:webHidden/>
          </w:rPr>
          <w:fldChar w:fldCharType="end"/>
        </w:r>
      </w:hyperlink>
    </w:p>
    <w:p>
      <w:pPr>
        <w:pStyle w:val="TOC2"/>
      </w:pPr>
      <w:hyperlink w:anchor="_Toc300002013" w:history="1">
        <w:r>
          <w:rPr>
            <w:noProof/>
          </w:rPr>
          <w:t xml:space="preserve">Article 63.16: Regulatory Cooperation and Pharmaceutical Fast Lane</w:t>
        </w:r>
        <w:r>
          <w:rPr>
            <w:noProof/>
            <w:webHidden/>
          </w:rPr>
          <w:tab/>
        </w:r>
        <w:r>
          <w:rPr>
            <w:noProof/>
            <w:webHidden/>
          </w:rPr>
          <w:fldChar w:fldCharType="begin"/>
        </w:r>
        <w:r>
          <w:rPr>
            <w:noProof/>
            <w:webHidden/>
          </w:rPr>
          <w:instrText xml:space="preserve"> PAGEREF _Toc300002013 \h </w:instrText>
        </w:r>
        <w:r>
          <w:rPr>
            <w:noProof/>
            <w:webHidden/>
          </w:rPr>
          <w:fldChar w:fldCharType="separate"/>
        </w:r>
        <w:r>
          <w:rPr>
            <w:noProof/>
            <w:webHidden/>
          </w:rPr>
          <w:t>2061</w:t>
        </w:r>
        <w:r>
          <w:rPr>
            <w:noProof/>
            <w:webHidden/>
          </w:rPr>
          <w:fldChar w:fldCharType="end"/>
        </w:r>
      </w:hyperlink>
    </w:p>
    <w:p>
      <w:pPr>
        <w:pStyle w:val="TOC2"/>
      </w:pPr>
      <w:hyperlink w:anchor="_Toc300002014" w:history="1">
        <w:r>
          <w:rPr>
            <w:noProof/>
          </w:rPr>
          <w:t xml:space="preserve">Article 63.17: Pharmaceutical Facility PreCheck and Commissioning Cooperation</w:t>
        </w:r>
        <w:r>
          <w:rPr>
            <w:noProof/>
            <w:webHidden/>
          </w:rPr>
          <w:tab/>
        </w:r>
        <w:r>
          <w:rPr>
            <w:noProof/>
            <w:webHidden/>
          </w:rPr>
          <w:fldChar w:fldCharType="begin"/>
        </w:r>
        <w:r>
          <w:rPr>
            <w:noProof/>
            <w:webHidden/>
          </w:rPr>
          <w:instrText xml:space="preserve"> PAGEREF _Toc300002014 \h </w:instrText>
        </w:r>
        <w:r>
          <w:rPr>
            <w:noProof/>
            <w:webHidden/>
          </w:rPr>
          <w:fldChar w:fldCharType="separate"/>
        </w:r>
        <w:r>
          <w:rPr>
            <w:noProof/>
            <w:webHidden/>
          </w:rPr>
          <w:t>2061</w:t>
        </w:r>
        <w:r>
          <w:rPr>
            <w:noProof/>
            <w:webHidden/>
          </w:rPr>
          <w:fldChar w:fldCharType="end"/>
        </w:r>
      </w:hyperlink>
    </w:p>
    <w:p>
      <w:pPr>
        <w:pStyle w:val="TOC2"/>
      </w:pPr>
      <w:hyperlink w:anchor="_Toc300002015" w:history="1">
        <w:r>
          <w:rPr>
            <w:noProof/>
          </w:rPr>
          <w:t xml:space="preserve">Article 63.18: Pharmaceutical Workforce and Professional Mobility</w:t>
        </w:r>
        <w:r>
          <w:rPr>
            <w:noProof/>
            <w:webHidden/>
          </w:rPr>
          <w:tab/>
        </w:r>
        <w:r>
          <w:rPr>
            <w:noProof/>
            <w:webHidden/>
          </w:rPr>
          <w:fldChar w:fldCharType="begin"/>
        </w:r>
        <w:r>
          <w:rPr>
            <w:noProof/>
            <w:webHidden/>
          </w:rPr>
          <w:instrText xml:space="preserve"> PAGEREF _Toc300002015 \h </w:instrText>
        </w:r>
        <w:r>
          <w:rPr>
            <w:noProof/>
            <w:webHidden/>
          </w:rPr>
          <w:fldChar w:fldCharType="separate"/>
        </w:r>
        <w:r>
          <w:rPr>
            <w:noProof/>
            <w:webHidden/>
          </w:rPr>
          <w:t>2061</w:t>
        </w:r>
        <w:r>
          <w:rPr>
            <w:noProof/>
            <w:webHidden/>
          </w:rPr>
          <w:fldChar w:fldCharType="end"/>
        </w:r>
      </w:hyperlink>
    </w:p>
    <w:p>
      <w:pPr>
        <w:pStyle w:val="TOC2"/>
      </w:pPr>
      <w:hyperlink w:anchor="_Toc300002016" w:history="1">
        <w:r>
          <w:rPr>
            <w:noProof/>
          </w:rPr>
          <w:t xml:space="preserve">Article 63.19: Research, Advanced and Distributed Manufacturing</w:t>
        </w:r>
        <w:r>
          <w:rPr>
            <w:noProof/>
            <w:webHidden/>
          </w:rPr>
          <w:tab/>
        </w:r>
        <w:r>
          <w:rPr>
            <w:noProof/>
            <w:webHidden/>
          </w:rPr>
          <w:fldChar w:fldCharType="begin"/>
        </w:r>
        <w:r>
          <w:rPr>
            <w:noProof/>
            <w:webHidden/>
          </w:rPr>
          <w:instrText xml:space="preserve"> PAGEREF _Toc300002016 \h </w:instrText>
        </w:r>
        <w:r>
          <w:rPr>
            <w:noProof/>
            <w:webHidden/>
          </w:rPr>
          <w:fldChar w:fldCharType="separate"/>
        </w:r>
        <w:r>
          <w:rPr>
            <w:noProof/>
            <w:webHidden/>
          </w:rPr>
          <w:t>2062</w:t>
        </w:r>
        <w:r>
          <w:rPr>
            <w:noProof/>
            <w:webHidden/>
          </w:rPr>
          <w:fldChar w:fldCharType="end"/>
        </w:r>
      </w:hyperlink>
    </w:p>
    <w:p>
      <w:pPr>
        <w:pStyle w:val="TOC2"/>
      </w:pPr>
      <w:hyperlink w:anchor="_Toc300002017" w:history="1">
        <w:r>
          <w:rPr>
            <w:noProof/>
          </w:rPr>
          <w:t xml:space="preserve">Article 63.20: Intellectual Property and Emergency Licensing</w:t>
        </w:r>
        <w:r>
          <w:rPr>
            <w:noProof/>
            <w:webHidden/>
          </w:rPr>
          <w:tab/>
        </w:r>
        <w:r>
          <w:rPr>
            <w:noProof/>
            <w:webHidden/>
          </w:rPr>
          <w:fldChar w:fldCharType="begin"/>
        </w:r>
        <w:r>
          <w:rPr>
            <w:noProof/>
            <w:webHidden/>
          </w:rPr>
          <w:instrText xml:space="preserve"> PAGEREF _Toc300002017 \h </w:instrText>
        </w:r>
        <w:r>
          <w:rPr>
            <w:noProof/>
            <w:webHidden/>
          </w:rPr>
          <w:fldChar w:fldCharType="separate"/>
        </w:r>
        <w:r>
          <w:rPr>
            <w:noProof/>
            <w:webHidden/>
          </w:rPr>
          <w:t>2062</w:t>
        </w:r>
        <w:r>
          <w:rPr>
            <w:noProof/>
            <w:webHidden/>
          </w:rPr>
          <w:fldChar w:fldCharType="end"/>
        </w:r>
      </w:hyperlink>
    </w:p>
    <w:p>
      <w:pPr>
        <w:pStyle w:val="TOC2"/>
      </w:pPr>
      <w:hyperlink w:anchor="_Toc300002018" w:history="1">
        <w:r>
          <w:rPr>
            <w:noProof/>
          </w:rPr>
          <w:t xml:space="preserve">Article 63.21: United States Pharmaceutical Reshoring and Advanced Medicines Track</w:t>
        </w:r>
        <w:r>
          <w:rPr>
            <w:noProof/>
            <w:webHidden/>
          </w:rPr>
          <w:tab/>
        </w:r>
        <w:r>
          <w:rPr>
            <w:noProof/>
            <w:webHidden/>
          </w:rPr>
          <w:fldChar w:fldCharType="begin"/>
        </w:r>
        <w:r>
          <w:rPr>
            <w:noProof/>
            <w:webHidden/>
          </w:rPr>
          <w:instrText xml:space="preserve"> PAGEREF _Toc300002018 \h </w:instrText>
        </w:r>
        <w:r>
          <w:rPr>
            <w:noProof/>
            <w:webHidden/>
          </w:rPr>
          <w:fldChar w:fldCharType="separate"/>
        </w:r>
        <w:r>
          <w:rPr>
            <w:noProof/>
            <w:webHidden/>
          </w:rPr>
          <w:t>2062</w:t>
        </w:r>
        <w:r>
          <w:rPr>
            <w:noProof/>
            <w:webHidden/>
          </w:rPr>
          <w:fldChar w:fldCharType="end"/>
        </w:r>
      </w:hyperlink>
    </w:p>
    <w:p>
      <w:pPr>
        <w:pStyle w:val="TOC2"/>
      </w:pPr>
      <w:hyperlink w:anchor="_Toc300002019" w:history="1">
        <w:r>
          <w:rPr>
            <w:noProof/>
          </w:rPr>
          <w:t xml:space="preserve">Article 63.22: Canadian Pharmaceutical Security and Medical-Isotope Track</w:t>
        </w:r>
        <w:r>
          <w:rPr>
            <w:noProof/>
            <w:webHidden/>
          </w:rPr>
          <w:tab/>
        </w:r>
        <w:r>
          <w:rPr>
            <w:noProof/>
            <w:webHidden/>
          </w:rPr>
          <w:fldChar w:fldCharType="begin"/>
        </w:r>
        <w:r>
          <w:rPr>
            <w:noProof/>
            <w:webHidden/>
          </w:rPr>
          <w:instrText xml:space="preserve"> PAGEREF _Toc300002019 \h </w:instrText>
        </w:r>
        <w:r>
          <w:rPr>
            <w:noProof/>
            <w:webHidden/>
          </w:rPr>
          <w:fldChar w:fldCharType="separate"/>
        </w:r>
        <w:r>
          <w:rPr>
            <w:noProof/>
            <w:webHidden/>
          </w:rPr>
          <w:t>2062</w:t>
        </w:r>
        <w:r>
          <w:rPr>
            <w:noProof/>
            <w:webHidden/>
          </w:rPr>
          <w:fldChar w:fldCharType="end"/>
        </w:r>
      </w:hyperlink>
    </w:p>
    <w:p>
      <w:pPr>
        <w:pStyle w:val="TOC2"/>
      </w:pPr>
      <w:hyperlink w:anchor="_Toc300002020" w:history="1">
        <w:r>
          <w:rPr>
            <w:noProof/>
          </w:rPr>
          <w:t xml:space="preserve">Article 63.23: Mexican Pharmaceutical Manufacturing and Industrial-Upgrading Track</w:t>
        </w:r>
        <w:r>
          <w:rPr>
            <w:noProof/>
            <w:webHidden/>
          </w:rPr>
          <w:tab/>
        </w:r>
        <w:r>
          <w:rPr>
            <w:noProof/>
            <w:webHidden/>
          </w:rPr>
          <w:fldChar w:fldCharType="begin"/>
        </w:r>
        <w:r>
          <w:rPr>
            <w:noProof/>
            <w:webHidden/>
          </w:rPr>
          <w:instrText xml:space="preserve"> PAGEREF _Toc300002020 \h </w:instrText>
        </w:r>
        <w:r>
          <w:rPr>
            <w:noProof/>
            <w:webHidden/>
          </w:rPr>
          <w:fldChar w:fldCharType="separate"/>
        </w:r>
        <w:r>
          <w:rPr>
            <w:noProof/>
            <w:webHidden/>
          </w:rPr>
          <w:t>2062</w:t>
        </w:r>
        <w:r>
          <w:rPr>
            <w:noProof/>
            <w:webHidden/>
          </w:rPr>
          <w:fldChar w:fldCharType="end"/>
        </w:r>
      </w:hyperlink>
    </w:p>
    <w:p>
      <w:pPr>
        <w:pStyle w:val="TOC2"/>
      </w:pPr>
      <w:hyperlink w:anchor="_Toc300002021" w:history="1">
        <w:r>
          <w:rPr>
            <w:noProof/>
          </w:rPr>
          <w:t xml:space="preserve">Article 63.24: Pharmaceutical Education and Regulatory Science Network</w:t>
        </w:r>
        <w:r>
          <w:rPr>
            <w:noProof/>
            <w:webHidden/>
          </w:rPr>
          <w:tab/>
        </w:r>
        <w:r>
          <w:rPr>
            <w:noProof/>
            <w:webHidden/>
          </w:rPr>
          <w:fldChar w:fldCharType="begin"/>
        </w:r>
        <w:r>
          <w:rPr>
            <w:noProof/>
            <w:webHidden/>
          </w:rPr>
          <w:instrText xml:space="preserve"> PAGEREF _Toc300002021 \h </w:instrText>
        </w:r>
        <w:r>
          <w:rPr>
            <w:noProof/>
            <w:webHidden/>
          </w:rPr>
          <w:fldChar w:fldCharType="separate"/>
        </w:r>
        <w:r>
          <w:rPr>
            <w:noProof/>
            <w:webHidden/>
          </w:rPr>
          <w:t>2063</w:t>
        </w:r>
        <w:r>
          <w:rPr>
            <w:noProof/>
            <w:webHidden/>
          </w:rPr>
          <w:fldChar w:fldCharType="end"/>
        </w:r>
      </w:hyperlink>
    </w:p>
    <w:p>
      <w:pPr>
        <w:pStyle w:val="TOC2"/>
      </w:pPr>
      <w:hyperlink w:anchor="_Toc300002022" w:history="1">
        <w:r>
          <w:rPr>
            <w:noProof/>
          </w:rPr>
          <w:t xml:space="preserve">Article 63.25: Controlled Medicines, Diversion Prevention and Illicit Fentanyl Firewall</w:t>
        </w:r>
        <w:r>
          <w:rPr>
            <w:noProof/>
            <w:webHidden/>
          </w:rPr>
          <w:tab/>
        </w:r>
        <w:r>
          <w:rPr>
            <w:noProof/>
            <w:webHidden/>
          </w:rPr>
          <w:fldChar w:fldCharType="begin"/>
        </w:r>
        <w:r>
          <w:rPr>
            <w:noProof/>
            <w:webHidden/>
          </w:rPr>
          <w:instrText xml:space="preserve"> PAGEREF _Toc300002022 \h </w:instrText>
        </w:r>
        <w:r>
          <w:rPr>
            <w:noProof/>
            <w:webHidden/>
          </w:rPr>
          <w:fldChar w:fldCharType="separate"/>
        </w:r>
        <w:r>
          <w:rPr>
            <w:noProof/>
            <w:webHidden/>
          </w:rPr>
          <w:t>2063</w:t>
        </w:r>
        <w:r>
          <w:rPr>
            <w:noProof/>
            <w:webHidden/>
          </w:rPr>
          <w:fldChar w:fldCharType="end"/>
        </w:r>
      </w:hyperlink>
    </w:p>
    <w:p>
      <w:pPr>
        <w:pStyle w:val="TOC2"/>
      </w:pPr>
      <w:hyperlink w:anchor="_Toc300002023" w:history="1">
        <w:r>
          <w:rPr>
            <w:noProof/>
          </w:rPr>
          <w:t xml:space="preserve">Article 63.26: Fentanyl Enforcement Transparency and Chapter 66 Interface</w:t>
        </w:r>
        <w:r>
          <w:rPr>
            <w:noProof/>
            <w:webHidden/>
          </w:rPr>
          <w:tab/>
        </w:r>
        <w:r>
          <w:rPr>
            <w:noProof/>
            <w:webHidden/>
          </w:rPr>
          <w:fldChar w:fldCharType="begin"/>
        </w:r>
        <w:r>
          <w:rPr>
            <w:noProof/>
            <w:webHidden/>
          </w:rPr>
          <w:instrText xml:space="preserve"> PAGEREF _Toc300002023 \h </w:instrText>
        </w:r>
        <w:r>
          <w:rPr>
            <w:noProof/>
            <w:webHidden/>
          </w:rPr>
          <w:fldChar w:fldCharType="separate"/>
        </w:r>
        <w:r>
          <w:rPr>
            <w:noProof/>
            <w:webHidden/>
          </w:rPr>
          <w:t>2063</w:t>
        </w:r>
        <w:r>
          <w:rPr>
            <w:noProof/>
            <w:webHidden/>
          </w:rPr>
          <w:fldChar w:fldCharType="end"/>
        </w:r>
      </w:hyperlink>
    </w:p>
    <w:p>
      <w:pPr>
        <w:pStyle w:val="TOC2"/>
      </w:pPr>
      <w:hyperlink w:anchor="_Toc300002024" w:history="1">
        <w:r>
          <w:rPr>
            <w:noProof/>
          </w:rPr>
          <w:t xml:space="preserve">Article 63.27: Pharmaceutical Investment Pipeline and Resilience Dashboard</w:t>
        </w:r>
        <w:r>
          <w:rPr>
            <w:noProof/>
            <w:webHidden/>
          </w:rPr>
          <w:tab/>
        </w:r>
        <w:r>
          <w:rPr>
            <w:noProof/>
            <w:webHidden/>
          </w:rPr>
          <w:fldChar w:fldCharType="begin"/>
        </w:r>
        <w:r>
          <w:rPr>
            <w:noProof/>
            <w:webHidden/>
          </w:rPr>
          <w:instrText xml:space="preserve"> PAGEREF _Toc300002024 \h </w:instrText>
        </w:r>
        <w:r>
          <w:rPr>
            <w:noProof/>
            <w:webHidden/>
          </w:rPr>
          <w:fldChar w:fldCharType="separate"/>
        </w:r>
        <w:r>
          <w:rPr>
            <w:noProof/>
            <w:webHidden/>
          </w:rPr>
          <w:t>2064</w:t>
        </w:r>
        <w:r>
          <w:rPr>
            <w:noProof/>
            <w:webHidden/>
          </w:rPr>
          <w:fldChar w:fldCharType="end"/>
        </w:r>
      </w:hyperlink>
    </w:p>
    <w:p>
      <w:pPr>
        <w:pStyle w:val="TOC2"/>
      </w:pPr>
      <w:hyperlink w:anchor="_Toc300002025" w:history="1">
        <w:r>
          <w:rPr>
            <w:noProof/>
          </w:rPr>
          <w:t xml:space="preserve">Article 63.28: Emergency Exercises and Continuous Improvement</w:t>
        </w:r>
        <w:r>
          <w:rPr>
            <w:noProof/>
            <w:webHidden/>
          </w:rPr>
          <w:tab/>
        </w:r>
        <w:r>
          <w:rPr>
            <w:noProof/>
            <w:webHidden/>
          </w:rPr>
          <w:fldChar w:fldCharType="begin"/>
        </w:r>
        <w:r>
          <w:rPr>
            <w:noProof/>
            <w:webHidden/>
          </w:rPr>
          <w:instrText xml:space="preserve"> PAGEREF _Toc300002025 \h </w:instrText>
        </w:r>
        <w:r>
          <w:rPr>
            <w:noProof/>
            <w:webHidden/>
          </w:rPr>
          <w:fldChar w:fldCharType="separate"/>
        </w:r>
        <w:r>
          <w:rPr>
            <w:noProof/>
            <w:webHidden/>
          </w:rPr>
          <w:t>2064</w:t>
        </w:r>
        <w:r>
          <w:rPr>
            <w:noProof/>
            <w:webHidden/>
          </w:rPr>
          <w:fldChar w:fldCharType="end"/>
        </w:r>
      </w:hyperlink>
    </w:p>
    <w:p>
      <w:pPr>
        <w:pStyle w:val="TOC2"/>
      </w:pPr>
      <w:hyperlink w:anchor="_Toc300002026" w:history="1">
        <w:r>
          <w:rPr>
            <w:noProof/>
          </w:rPr>
          <w:t xml:space="preserve">Article 63.29: No New Supranational Pharmaceutical Government</w:t>
        </w:r>
        <w:r>
          <w:rPr>
            <w:noProof/>
            <w:webHidden/>
          </w:rPr>
          <w:tab/>
        </w:r>
        <w:r>
          <w:rPr>
            <w:noProof/>
            <w:webHidden/>
          </w:rPr>
          <w:fldChar w:fldCharType="begin"/>
        </w:r>
        <w:r>
          <w:rPr>
            <w:noProof/>
            <w:webHidden/>
          </w:rPr>
          <w:instrText xml:space="preserve"> PAGEREF _Toc300002026 \h </w:instrText>
        </w:r>
        <w:r>
          <w:rPr>
            <w:noProof/>
            <w:webHidden/>
          </w:rPr>
          <w:fldChar w:fldCharType="separate"/>
        </w:r>
        <w:r>
          <w:rPr>
            <w:noProof/>
            <w:webHidden/>
          </w:rPr>
          <w:t>2064</w:t>
        </w:r>
        <w:r>
          <w:rPr>
            <w:noProof/>
            <w:webHidden/>
          </w:rPr>
          <w:fldChar w:fldCharType="end"/>
        </w:r>
      </w:hyperlink>
    </w:p>
    <w:p>
      <w:pPr>
        <w:pStyle w:val="TOC2"/>
      </w:pPr>
      <w:hyperlink w:anchor="_Toc300002027" w:history="1">
        <w:r>
          <w:rPr>
            <w:noProof/>
          </w:rPr>
          <w:t xml:space="preserve">Article 63.30: No Uncompensated Front-Loading</w:t>
        </w:r>
        <w:r>
          <w:rPr>
            <w:noProof/>
            <w:webHidden/>
          </w:rPr>
          <w:tab/>
        </w:r>
        <w:r>
          <w:rPr>
            <w:noProof/>
            <w:webHidden/>
          </w:rPr>
          <w:fldChar w:fldCharType="begin"/>
        </w:r>
        <w:r>
          <w:rPr>
            <w:noProof/>
            <w:webHidden/>
          </w:rPr>
          <w:instrText xml:space="preserve"> PAGEREF _Toc300002027 \h </w:instrText>
        </w:r>
        <w:r>
          <w:rPr>
            <w:noProof/>
            <w:webHidden/>
          </w:rPr>
          <w:fldChar w:fldCharType="separate"/>
        </w:r>
        <w:r>
          <w:rPr>
            <w:noProof/>
            <w:webHidden/>
          </w:rPr>
          <w:t>2064</w:t>
        </w:r>
        <w:r>
          <w:rPr>
            <w:noProof/>
            <w:webHidden/>
          </w:rPr>
          <w:fldChar w:fldCharType="end"/>
        </w:r>
      </w:hyperlink>
    </w:p>
    <w:p>
      <w:pPr>
        <w:pStyle w:val="TOC2"/>
      </w:pPr>
      <w:hyperlink w:anchor="_Toc300002028" w:history="1">
        <w:r>
          <w:rPr>
            <w:noProof/>
          </w:rPr>
          <w:t xml:space="preserve">Article 63.31: Review and Evolution</w:t>
        </w:r>
        <w:r>
          <w:rPr>
            <w:noProof/>
            <w:webHidden/>
          </w:rPr>
          <w:tab/>
        </w:r>
        <w:r>
          <w:rPr>
            <w:noProof/>
            <w:webHidden/>
          </w:rPr>
          <w:fldChar w:fldCharType="begin"/>
        </w:r>
        <w:r>
          <w:rPr>
            <w:noProof/>
            <w:webHidden/>
          </w:rPr>
          <w:instrText xml:space="preserve"> PAGEREF _Toc300002028 \h </w:instrText>
        </w:r>
        <w:r>
          <w:rPr>
            <w:noProof/>
            <w:webHidden/>
          </w:rPr>
          <w:fldChar w:fldCharType="separate"/>
        </w:r>
        <w:r>
          <w:rPr>
            <w:noProof/>
            <w:webHidden/>
          </w:rPr>
          <w:t>2065</w:t>
        </w:r>
        <w:r>
          <w:rPr>
            <w:noProof/>
            <w:webHidden/>
          </w:rPr>
          <w:fldChar w:fldCharType="end"/>
        </w:r>
      </w:hyperlink>
    </w:p>
    <w:p>
      <w:pPr>
        <w:pStyle w:val="TOC1"/>
      </w:pPr>
      <w:hyperlink w:anchor="_Toc300002029" w:history="1">
        <w:r>
          <w:rPr>
            <w:noProof/>
          </w:rPr>
          <w:t xml:space="preserve">CHAPTER 64: NORTH AMERICAN COMMERCIAL WINS LEDGER AND EXPORT OPPORTUNITY SCOREBOARD</w:t>
        </w:r>
        <w:r>
          <w:rPr>
            <w:noProof/>
            <w:webHidden/>
          </w:rPr>
          <w:tab/>
        </w:r>
        <w:r>
          <w:rPr>
            <w:noProof/>
            <w:webHidden/>
          </w:rPr>
          <w:fldChar w:fldCharType="begin"/>
        </w:r>
        <w:r>
          <w:rPr>
            <w:noProof/>
            <w:webHidden/>
          </w:rPr>
          <w:instrText xml:space="preserve"> PAGEREF _Toc300002029 \h </w:instrText>
        </w:r>
        <w:r>
          <w:rPr>
            <w:noProof/>
            <w:webHidden/>
          </w:rPr>
          <w:fldChar w:fldCharType="separate"/>
        </w:r>
        <w:r>
          <w:rPr>
            <w:noProof/>
            <w:webHidden/>
          </w:rPr>
          <w:t>2066</w:t>
        </w:r>
        <w:r>
          <w:rPr>
            <w:noProof/>
            <w:webHidden/>
          </w:rPr>
          <w:fldChar w:fldCharType="end"/>
        </w:r>
      </w:hyperlink>
    </w:p>
    <w:p>
      <w:pPr>
        <w:pStyle w:val="TOC2"/>
      </w:pPr>
      <w:hyperlink w:anchor="_Toc300002030" w:history="1">
        <w:r>
          <w:rPr>
            <w:noProof/>
          </w:rPr>
          <w:t xml:space="preserve">Article 64.1: Purpose</w:t>
        </w:r>
        <w:r>
          <w:rPr>
            <w:noProof/>
            <w:webHidden/>
          </w:rPr>
          <w:tab/>
        </w:r>
        <w:r>
          <w:rPr>
            <w:noProof/>
            <w:webHidden/>
          </w:rPr>
          <w:fldChar w:fldCharType="begin"/>
        </w:r>
        <w:r>
          <w:rPr>
            <w:noProof/>
            <w:webHidden/>
          </w:rPr>
          <w:instrText xml:space="preserve"> PAGEREF _Toc300002030 \h </w:instrText>
        </w:r>
        <w:r>
          <w:rPr>
            <w:noProof/>
            <w:webHidden/>
          </w:rPr>
          <w:fldChar w:fldCharType="separate"/>
        </w:r>
        <w:r>
          <w:rPr>
            <w:noProof/>
            <w:webHidden/>
          </w:rPr>
          <w:t>2066</w:t>
        </w:r>
        <w:r>
          <w:rPr>
            <w:noProof/>
            <w:webHidden/>
          </w:rPr>
          <w:fldChar w:fldCharType="end"/>
        </w:r>
      </w:hyperlink>
    </w:p>
    <w:p>
      <w:pPr>
        <w:pStyle w:val="TOC2"/>
      </w:pPr>
      <w:hyperlink w:anchor="_Toc300002031" w:history="1">
        <w:r>
          <w:rPr>
            <w:noProof/>
          </w:rPr>
          <w:t xml:space="preserve">Article 64.2: No Bilateral Deficit Target or Automatic Deficit Trigger</w:t>
        </w:r>
        <w:r>
          <w:rPr>
            <w:noProof/>
            <w:webHidden/>
          </w:rPr>
          <w:tab/>
        </w:r>
        <w:r>
          <w:rPr>
            <w:noProof/>
            <w:webHidden/>
          </w:rPr>
          <w:fldChar w:fldCharType="begin"/>
        </w:r>
        <w:r>
          <w:rPr>
            <w:noProof/>
            <w:webHidden/>
          </w:rPr>
          <w:instrText xml:space="preserve"> PAGEREF _Toc300002031 \h </w:instrText>
        </w:r>
        <w:r>
          <w:rPr>
            <w:noProof/>
            <w:webHidden/>
          </w:rPr>
          <w:fldChar w:fldCharType="separate"/>
        </w:r>
        <w:r>
          <w:rPr>
            <w:noProof/>
            <w:webHidden/>
          </w:rPr>
          <w:t>2066</w:t>
        </w:r>
        <w:r>
          <w:rPr>
            <w:noProof/>
            <w:webHidden/>
          </w:rPr>
          <w:fldChar w:fldCharType="end"/>
        </w:r>
      </w:hyperlink>
    </w:p>
    <w:p>
      <w:pPr>
        <w:pStyle w:val="TOC2"/>
      </w:pPr>
      <w:hyperlink w:anchor="_Toc300002032" w:history="1">
        <w:r>
          <w:rPr>
            <w:noProof/>
          </w:rPr>
          <w:t xml:space="preserve">Article 64.3: North American Commercial Wins Ledger</w:t>
        </w:r>
        <w:r>
          <w:rPr>
            <w:noProof/>
            <w:webHidden/>
          </w:rPr>
          <w:tab/>
        </w:r>
        <w:r>
          <w:rPr>
            <w:noProof/>
            <w:webHidden/>
          </w:rPr>
          <w:fldChar w:fldCharType="begin"/>
        </w:r>
        <w:r>
          <w:rPr>
            <w:noProof/>
            <w:webHidden/>
          </w:rPr>
          <w:instrText xml:space="preserve"> PAGEREF _Toc300002032 \h </w:instrText>
        </w:r>
        <w:r>
          <w:rPr>
            <w:noProof/>
            <w:webHidden/>
          </w:rPr>
          <w:fldChar w:fldCharType="separate"/>
        </w:r>
        <w:r>
          <w:rPr>
            <w:noProof/>
            <w:webHidden/>
          </w:rPr>
          <w:t>2066</w:t>
        </w:r>
        <w:r>
          <w:rPr>
            <w:noProof/>
            <w:webHidden/>
          </w:rPr>
          <w:fldChar w:fldCharType="end"/>
        </w:r>
      </w:hyperlink>
    </w:p>
    <w:p>
      <w:pPr>
        <w:pStyle w:val="TOC2"/>
      </w:pPr>
      <w:hyperlink w:anchor="_Toc300002033" w:history="1">
        <w:r>
          <w:rPr>
            <w:noProof/>
          </w:rPr>
          <w:t xml:space="preserve">Article 64.4: Realized, Contracted and Enabled Accounts</w:t>
        </w:r>
        <w:r>
          <w:rPr>
            <w:noProof/>
            <w:webHidden/>
          </w:rPr>
          <w:tab/>
        </w:r>
        <w:r>
          <w:rPr>
            <w:noProof/>
            <w:webHidden/>
          </w:rPr>
          <w:fldChar w:fldCharType="begin"/>
        </w:r>
        <w:r>
          <w:rPr>
            <w:noProof/>
            <w:webHidden/>
          </w:rPr>
          <w:instrText xml:space="preserve"> PAGEREF _Toc300002033 \h </w:instrText>
        </w:r>
        <w:r>
          <w:rPr>
            <w:noProof/>
            <w:webHidden/>
          </w:rPr>
          <w:fldChar w:fldCharType="separate"/>
        </w:r>
        <w:r>
          <w:rPr>
            <w:noProof/>
            <w:webHidden/>
          </w:rPr>
          <w:t>2066</w:t>
        </w:r>
        <w:r>
          <w:rPr>
            <w:noProof/>
            <w:webHidden/>
          </w:rPr>
          <w:fldChar w:fldCharType="end"/>
        </w:r>
      </w:hyperlink>
    </w:p>
    <w:p>
      <w:pPr>
        <w:pStyle w:val="TOC2"/>
      </w:pPr>
      <w:hyperlink w:anchor="_Toc300002034" w:history="1">
        <w:r>
          <w:rPr>
            <w:noProof/>
          </w:rPr>
          <w:t xml:space="preserve">Article 64.5: Verified Commercial Additionality Standard</w:t>
        </w:r>
        <w:r>
          <w:rPr>
            <w:noProof/>
            <w:webHidden/>
          </w:rPr>
          <w:tab/>
        </w:r>
        <w:r>
          <w:rPr>
            <w:noProof/>
            <w:webHidden/>
          </w:rPr>
          <w:fldChar w:fldCharType="begin"/>
        </w:r>
        <w:r>
          <w:rPr>
            <w:noProof/>
            <w:webHidden/>
          </w:rPr>
          <w:instrText xml:space="preserve"> PAGEREF _Toc300002034 \h </w:instrText>
        </w:r>
        <w:r>
          <w:rPr>
            <w:noProof/>
            <w:webHidden/>
          </w:rPr>
          <w:fldChar w:fldCharType="separate"/>
        </w:r>
        <w:r>
          <w:rPr>
            <w:noProof/>
            <w:webHidden/>
          </w:rPr>
          <w:t>2067</w:t>
        </w:r>
        <w:r>
          <w:rPr>
            <w:noProof/>
            <w:webHidden/>
          </w:rPr>
          <w:fldChar w:fldCharType="end"/>
        </w:r>
      </w:hyperlink>
    </w:p>
    <w:p>
      <w:pPr>
        <w:pStyle w:val="TOC2"/>
      </w:pPr>
      <w:hyperlink w:anchor="_Toc300002035" w:history="1">
        <w:r>
          <w:rPr>
            <w:noProof/>
          </w:rPr>
          <w:t xml:space="preserve">Article 64.6: Baselines and Counterfactual Discipline</w:t>
        </w:r>
        <w:r>
          <w:rPr>
            <w:noProof/>
            <w:webHidden/>
          </w:rPr>
          <w:tab/>
        </w:r>
        <w:r>
          <w:rPr>
            <w:noProof/>
            <w:webHidden/>
          </w:rPr>
          <w:fldChar w:fldCharType="begin"/>
        </w:r>
        <w:r>
          <w:rPr>
            <w:noProof/>
            <w:webHidden/>
          </w:rPr>
          <w:instrText xml:space="preserve"> PAGEREF _Toc300002035 \h </w:instrText>
        </w:r>
        <w:r>
          <w:rPr>
            <w:noProof/>
            <w:webHidden/>
          </w:rPr>
          <w:fldChar w:fldCharType="separate"/>
        </w:r>
        <w:r>
          <w:rPr>
            <w:noProof/>
            <w:webHidden/>
          </w:rPr>
          <w:t>2067</w:t>
        </w:r>
        <w:r>
          <w:rPr>
            <w:noProof/>
            <w:webHidden/>
          </w:rPr>
          <w:fldChar w:fldCharType="end"/>
        </w:r>
      </w:hyperlink>
    </w:p>
    <w:p>
      <w:pPr>
        <w:pStyle w:val="TOC2"/>
      </w:pPr>
      <w:hyperlink w:anchor="_Toc300002036" w:history="1">
        <w:r>
          <w:rPr>
            <w:noProof/>
          </w:rPr>
          <w:t xml:space="preserve">Article 64.7: Services, Intellectual Property and Supply-Chain Exports</w:t>
        </w:r>
        <w:r>
          <w:rPr>
            <w:noProof/>
            <w:webHidden/>
          </w:rPr>
          <w:tab/>
        </w:r>
        <w:r>
          <w:rPr>
            <w:noProof/>
            <w:webHidden/>
          </w:rPr>
          <w:fldChar w:fldCharType="begin"/>
        </w:r>
        <w:r>
          <w:rPr>
            <w:noProof/>
            <w:webHidden/>
          </w:rPr>
          <w:instrText xml:space="preserve"> PAGEREF _Toc300002036 \h </w:instrText>
        </w:r>
        <w:r>
          <w:rPr>
            <w:noProof/>
            <w:webHidden/>
          </w:rPr>
          <w:fldChar w:fldCharType="separate"/>
        </w:r>
        <w:r>
          <w:rPr>
            <w:noProof/>
            <w:webHidden/>
          </w:rPr>
          <w:t>2067</w:t>
        </w:r>
        <w:r>
          <w:rPr>
            <w:noProof/>
            <w:webHidden/>
          </w:rPr>
          <w:fldChar w:fldCharType="end"/>
        </w:r>
      </w:hyperlink>
    </w:p>
    <w:p>
      <w:pPr>
        <w:pStyle w:val="TOC2"/>
      </w:pPr>
      <w:hyperlink w:anchor="_Toc300002037" w:history="1">
        <w:r>
          <w:rPr>
            <w:noProof/>
          </w:rPr>
          <w:t xml:space="preserve">Article 64.8: Effective Export Access Test</w:t>
        </w:r>
        <w:r>
          <w:rPr>
            <w:noProof/>
            <w:webHidden/>
          </w:rPr>
          <w:tab/>
        </w:r>
        <w:r>
          <w:rPr>
            <w:noProof/>
            <w:webHidden/>
          </w:rPr>
          <w:fldChar w:fldCharType="begin"/>
        </w:r>
        <w:r>
          <w:rPr>
            <w:noProof/>
            <w:webHidden/>
          </w:rPr>
          <w:instrText xml:space="preserve"> PAGEREF _Toc300002037 \h </w:instrText>
        </w:r>
        <w:r>
          <w:rPr>
            <w:noProof/>
            <w:webHidden/>
          </w:rPr>
          <w:fldChar w:fldCharType="separate"/>
        </w:r>
        <w:r>
          <w:rPr>
            <w:noProof/>
            <w:webHidden/>
          </w:rPr>
          <w:t>2068</w:t>
        </w:r>
        <w:r>
          <w:rPr>
            <w:noProof/>
            <w:webHidden/>
          </w:rPr>
          <w:fldChar w:fldCharType="end"/>
        </w:r>
      </w:hyperlink>
    </w:p>
    <w:p>
      <w:pPr>
        <w:pStyle w:val="TOC2"/>
      </w:pPr>
      <w:hyperlink w:anchor="_Toc300002038" w:history="1">
        <w:r>
          <w:rPr>
            <w:noProof/>
          </w:rPr>
          <w:t xml:space="preserve">Article 64.9: Sector and Geographic Classification</w:t>
        </w:r>
        <w:r>
          <w:rPr>
            <w:noProof/>
            <w:webHidden/>
          </w:rPr>
          <w:tab/>
        </w:r>
        <w:r>
          <w:rPr>
            <w:noProof/>
            <w:webHidden/>
          </w:rPr>
          <w:fldChar w:fldCharType="begin"/>
        </w:r>
        <w:r>
          <w:rPr>
            <w:noProof/>
            <w:webHidden/>
          </w:rPr>
          <w:instrText xml:space="preserve"> PAGEREF _Toc300002038 \h </w:instrText>
        </w:r>
        <w:r>
          <w:rPr>
            <w:noProof/>
            <w:webHidden/>
          </w:rPr>
          <w:fldChar w:fldCharType="separate"/>
        </w:r>
        <w:r>
          <w:rPr>
            <w:noProof/>
            <w:webHidden/>
          </w:rPr>
          <w:t>2068</w:t>
        </w:r>
        <w:r>
          <w:rPr>
            <w:noProof/>
            <w:webHidden/>
          </w:rPr>
          <w:fldChar w:fldCharType="end"/>
        </w:r>
      </w:hyperlink>
    </w:p>
    <w:p>
      <w:pPr>
        <w:pStyle w:val="TOC2"/>
      </w:pPr>
      <w:hyperlink w:anchor="_Toc300002039" w:history="1">
        <w:r>
          <w:rPr>
            <w:noProof/>
          </w:rPr>
          <w:t xml:space="preserve">Article 64.10: Forecast Accountability</w:t>
        </w:r>
        <w:r>
          <w:rPr>
            <w:noProof/>
            <w:webHidden/>
          </w:rPr>
          <w:tab/>
        </w:r>
        <w:r>
          <w:rPr>
            <w:noProof/>
            <w:webHidden/>
          </w:rPr>
          <w:fldChar w:fldCharType="begin"/>
        </w:r>
        <w:r>
          <w:rPr>
            <w:noProof/>
            <w:webHidden/>
          </w:rPr>
          <w:instrText xml:space="preserve"> PAGEREF _Toc300002039 \h </w:instrText>
        </w:r>
        <w:r>
          <w:rPr>
            <w:noProof/>
            <w:webHidden/>
          </w:rPr>
          <w:fldChar w:fldCharType="separate"/>
        </w:r>
        <w:r>
          <w:rPr>
            <w:noProof/>
            <w:webHidden/>
          </w:rPr>
          <w:t>2068</w:t>
        </w:r>
        <w:r>
          <w:rPr>
            <w:noProof/>
            <w:webHidden/>
          </w:rPr>
          <w:fldChar w:fldCharType="end"/>
        </w:r>
      </w:hyperlink>
    </w:p>
    <w:p>
      <w:pPr>
        <w:pStyle w:val="TOC2"/>
      </w:pPr>
      <w:hyperlink w:anchor="_Toc300002040" w:history="1">
        <w:r>
          <w:rPr>
            <w:noProof/>
          </w:rPr>
          <w:t xml:space="preserve">Article 64.11: No Double Counting, Revisions and Statistical Integrity</w:t>
        </w:r>
        <w:r>
          <w:rPr>
            <w:noProof/>
            <w:webHidden/>
          </w:rPr>
          <w:tab/>
        </w:r>
        <w:r>
          <w:rPr>
            <w:noProof/>
            <w:webHidden/>
          </w:rPr>
          <w:fldChar w:fldCharType="begin"/>
        </w:r>
        <w:r>
          <w:rPr>
            <w:noProof/>
            <w:webHidden/>
          </w:rPr>
          <w:instrText xml:space="preserve"> PAGEREF _Toc300002040 \h </w:instrText>
        </w:r>
        <w:r>
          <w:rPr>
            <w:noProof/>
            <w:webHidden/>
          </w:rPr>
          <w:fldChar w:fldCharType="separate"/>
        </w:r>
        <w:r>
          <w:rPr>
            <w:noProof/>
            <w:webHidden/>
          </w:rPr>
          <w:t>2068</w:t>
        </w:r>
        <w:r>
          <w:rPr>
            <w:noProof/>
            <w:webHidden/>
          </w:rPr>
          <w:fldChar w:fldCharType="end"/>
        </w:r>
      </w:hyperlink>
    </w:p>
    <w:p>
      <w:pPr>
        <w:pStyle w:val="TOC2"/>
      </w:pPr>
      <w:hyperlink w:anchor="_Toc300002041" w:history="1">
        <w:r>
          <w:rPr>
            <w:noProof/>
          </w:rPr>
          <w:t xml:space="preserve">Article 64.12: Voluntary Commercial-Win Registration</w:t>
        </w:r>
        <w:r>
          <w:rPr>
            <w:noProof/>
            <w:webHidden/>
          </w:rPr>
          <w:tab/>
        </w:r>
        <w:r>
          <w:rPr>
            <w:noProof/>
            <w:webHidden/>
          </w:rPr>
          <w:fldChar w:fldCharType="begin"/>
        </w:r>
        <w:r>
          <w:rPr>
            <w:noProof/>
            <w:webHidden/>
          </w:rPr>
          <w:instrText xml:space="preserve"> PAGEREF _Toc300002041 \h </w:instrText>
        </w:r>
        <w:r>
          <w:rPr>
            <w:noProof/>
            <w:webHidden/>
          </w:rPr>
          <w:fldChar w:fldCharType="separate"/>
        </w:r>
        <w:r>
          <w:rPr>
            <w:noProof/>
            <w:webHidden/>
          </w:rPr>
          <w:t>2068</w:t>
        </w:r>
        <w:r>
          <w:rPr>
            <w:noProof/>
            <w:webHidden/>
          </w:rPr>
          <w:fldChar w:fldCharType="end"/>
        </w:r>
      </w:hyperlink>
    </w:p>
    <w:p>
      <w:pPr>
        <w:pStyle w:val="TOC2"/>
      </w:pPr>
      <w:hyperlink w:anchor="_Toc300002042" w:history="1">
        <w:r>
          <w:rPr>
            <w:noProof/>
          </w:rPr>
          <w:t xml:space="preserve">Article 64.13: Commercial Friction Register</w:t>
        </w:r>
        <w:r>
          <w:rPr>
            <w:noProof/>
            <w:webHidden/>
          </w:rPr>
          <w:tab/>
        </w:r>
        <w:r>
          <w:rPr>
            <w:noProof/>
            <w:webHidden/>
          </w:rPr>
          <w:fldChar w:fldCharType="begin"/>
        </w:r>
        <w:r>
          <w:rPr>
            <w:noProof/>
            <w:webHidden/>
          </w:rPr>
          <w:instrText xml:space="preserve"> PAGEREF _Toc300002042 \h </w:instrText>
        </w:r>
        <w:r>
          <w:rPr>
            <w:noProof/>
            <w:webHidden/>
          </w:rPr>
          <w:fldChar w:fldCharType="separate"/>
        </w:r>
        <w:r>
          <w:rPr>
            <w:noProof/>
            <w:webHidden/>
          </w:rPr>
          <w:t>2069</w:t>
        </w:r>
        <w:r>
          <w:rPr>
            <w:noProof/>
            <w:webHidden/>
          </w:rPr>
          <w:fldChar w:fldCharType="end"/>
        </w:r>
      </w:hyperlink>
    </w:p>
    <w:p>
      <w:pPr>
        <w:pStyle w:val="TOC2"/>
      </w:pPr>
      <w:hyperlink w:anchor="_Toc300002043" w:history="1">
        <w:r>
          <w:rPr>
            <w:noProof/>
          </w:rPr>
          <w:t xml:space="preserve">Article 64.14: Trade-Balance Context</w:t>
        </w:r>
        <w:r>
          <w:rPr>
            <w:noProof/>
            <w:webHidden/>
          </w:rPr>
          <w:tab/>
        </w:r>
        <w:r>
          <w:rPr>
            <w:noProof/>
            <w:webHidden/>
          </w:rPr>
          <w:fldChar w:fldCharType="begin"/>
        </w:r>
        <w:r>
          <w:rPr>
            <w:noProof/>
            <w:webHidden/>
          </w:rPr>
          <w:instrText xml:space="preserve"> PAGEREF _Toc300002043 \h </w:instrText>
        </w:r>
        <w:r>
          <w:rPr>
            <w:noProof/>
            <w:webHidden/>
          </w:rPr>
          <w:fldChar w:fldCharType="separate"/>
        </w:r>
        <w:r>
          <w:rPr>
            <w:noProof/>
            <w:webHidden/>
          </w:rPr>
          <w:t>2069</w:t>
        </w:r>
        <w:r>
          <w:rPr>
            <w:noProof/>
            <w:webHidden/>
          </w:rPr>
          <w:fldChar w:fldCharType="end"/>
        </w:r>
      </w:hyperlink>
    </w:p>
    <w:p>
      <w:pPr>
        <w:pStyle w:val="TOC2"/>
      </w:pPr>
      <w:hyperlink w:anchor="_Toc300002044" w:history="1">
        <w:r>
          <w:rPr>
            <w:noProof/>
          </w:rPr>
          <w:t xml:space="preserve">Article 64.15: Public Commercial Wins Dashboard</w:t>
        </w:r>
        <w:r>
          <w:rPr>
            <w:noProof/>
            <w:webHidden/>
          </w:rPr>
          <w:tab/>
        </w:r>
        <w:r>
          <w:rPr>
            <w:noProof/>
            <w:webHidden/>
          </w:rPr>
          <w:fldChar w:fldCharType="begin"/>
        </w:r>
        <w:r>
          <w:rPr>
            <w:noProof/>
            <w:webHidden/>
          </w:rPr>
          <w:instrText xml:space="preserve"> PAGEREF _Toc300002044 \h </w:instrText>
        </w:r>
        <w:r>
          <w:rPr>
            <w:noProof/>
            <w:webHidden/>
          </w:rPr>
          <w:fldChar w:fldCharType="separate"/>
        </w:r>
        <w:r>
          <w:rPr>
            <w:noProof/>
            <w:webHidden/>
          </w:rPr>
          <w:t>2069</w:t>
        </w:r>
        <w:r>
          <w:rPr>
            <w:noProof/>
            <w:webHidden/>
          </w:rPr>
          <w:fldChar w:fldCharType="end"/>
        </w:r>
      </w:hyperlink>
    </w:p>
    <w:p>
      <w:pPr>
        <w:pStyle w:val="TOC2"/>
      </w:pPr>
      <w:hyperlink w:anchor="_Toc300002045" w:history="1">
        <w:r>
          <w:rPr>
            <w:noProof/>
          </w:rPr>
          <w:t xml:space="preserve">Article 64.16: Optional Public Presentation and Achievement Features</w:t>
        </w:r>
        <w:r>
          <w:rPr>
            <w:noProof/>
            <w:webHidden/>
          </w:rPr>
          <w:tab/>
        </w:r>
        <w:r>
          <w:rPr>
            <w:noProof/>
            <w:webHidden/>
          </w:rPr>
          <w:fldChar w:fldCharType="begin"/>
        </w:r>
        <w:r>
          <w:rPr>
            <w:noProof/>
            <w:webHidden/>
          </w:rPr>
          <w:instrText xml:space="preserve"> PAGEREF _Toc300002045 \h </w:instrText>
        </w:r>
        <w:r>
          <w:rPr>
            <w:noProof/>
            <w:webHidden/>
          </w:rPr>
          <w:fldChar w:fldCharType="separate"/>
        </w:r>
        <w:r>
          <w:rPr>
            <w:noProof/>
            <w:webHidden/>
          </w:rPr>
          <w:t>2069</w:t>
        </w:r>
        <w:r>
          <w:rPr>
            <w:noProof/>
            <w:webHidden/>
          </w:rPr>
          <w:fldChar w:fldCharType="end"/>
        </w:r>
      </w:hyperlink>
    </w:p>
    <w:p>
      <w:pPr>
        <w:pStyle w:val="TOC2"/>
      </w:pPr>
      <w:hyperlink w:anchor="_Toc300002046" w:history="1">
        <w:r>
          <w:rPr>
            <w:noProof/>
          </w:rPr>
          <w:t xml:space="preserve">Article 64.17: Optional Export Wins Application</w:t>
        </w:r>
        <w:r>
          <w:rPr>
            <w:noProof/>
            <w:webHidden/>
          </w:rPr>
          <w:tab/>
        </w:r>
        <w:r>
          <w:rPr>
            <w:noProof/>
            <w:webHidden/>
          </w:rPr>
          <w:fldChar w:fldCharType="begin"/>
        </w:r>
        <w:r>
          <w:rPr>
            <w:noProof/>
            <w:webHidden/>
          </w:rPr>
          <w:instrText xml:space="preserve"> PAGEREF _Toc300002046 \h </w:instrText>
        </w:r>
        <w:r>
          <w:rPr>
            <w:noProof/>
            <w:webHidden/>
          </w:rPr>
          <w:fldChar w:fldCharType="separate"/>
        </w:r>
        <w:r>
          <w:rPr>
            <w:noProof/>
            <w:webHidden/>
          </w:rPr>
          <w:t>2069</w:t>
        </w:r>
        <w:r>
          <w:rPr>
            <w:noProof/>
            <w:webHidden/>
          </w:rPr>
          <w:fldChar w:fldCharType="end"/>
        </w:r>
      </w:hyperlink>
    </w:p>
    <w:p>
      <w:pPr>
        <w:pStyle w:val="TOC2"/>
      </w:pPr>
      <w:hyperlink w:anchor="_Toc300002047" w:history="1">
        <w:r>
          <w:rPr>
            <w:noProof/>
          </w:rPr>
          <w:t xml:space="preserve">Article 64.18: Optional Public Forecasting Interface</w:t>
        </w:r>
        <w:r>
          <w:rPr>
            <w:noProof/>
            <w:webHidden/>
          </w:rPr>
          <w:tab/>
        </w:r>
        <w:r>
          <w:rPr>
            <w:noProof/>
            <w:webHidden/>
          </w:rPr>
          <w:fldChar w:fldCharType="begin"/>
        </w:r>
        <w:r>
          <w:rPr>
            <w:noProof/>
            <w:webHidden/>
          </w:rPr>
          <w:instrText xml:space="preserve"> PAGEREF _Toc300002047 \h </w:instrText>
        </w:r>
        <w:r>
          <w:rPr>
            <w:noProof/>
            <w:webHidden/>
          </w:rPr>
          <w:fldChar w:fldCharType="separate"/>
        </w:r>
        <w:r>
          <w:rPr>
            <w:noProof/>
            <w:webHidden/>
          </w:rPr>
          <w:t>2070</w:t>
        </w:r>
        <w:r>
          <w:rPr>
            <w:noProof/>
            <w:webHidden/>
          </w:rPr>
          <w:fldChar w:fldCharType="end"/>
        </w:r>
      </w:hyperlink>
    </w:p>
    <w:p>
      <w:pPr>
        <w:pStyle w:val="TOC2"/>
      </w:pPr>
      <w:hyperlink w:anchor="_Toc300002048" w:history="1">
        <w:r>
          <w:rPr>
            <w:noProof/>
          </w:rPr>
          <w:t xml:space="preserve">Article 64.19: Optional Non-Monetary Interface Customization</w:t>
        </w:r>
        <w:r>
          <w:rPr>
            <w:noProof/>
            <w:webHidden/>
          </w:rPr>
          <w:tab/>
        </w:r>
        <w:r>
          <w:rPr>
            <w:noProof/>
            <w:webHidden/>
          </w:rPr>
          <w:fldChar w:fldCharType="begin"/>
        </w:r>
        <w:r>
          <w:rPr>
            <w:noProof/>
            <w:webHidden/>
          </w:rPr>
          <w:instrText xml:space="preserve"> PAGEREF _Toc300002048 \h </w:instrText>
        </w:r>
        <w:r>
          <w:rPr>
            <w:noProof/>
            <w:webHidden/>
          </w:rPr>
          <w:fldChar w:fldCharType="separate"/>
        </w:r>
        <w:r>
          <w:rPr>
            <w:noProof/>
            <w:webHidden/>
          </w:rPr>
          <w:t>2070</w:t>
        </w:r>
        <w:r>
          <w:rPr>
            <w:noProof/>
            <w:webHidden/>
          </w:rPr>
          <w:fldChar w:fldCharType="end"/>
        </w:r>
      </w:hyperlink>
    </w:p>
    <w:p>
      <w:pPr>
        <w:pStyle w:val="TOC2"/>
      </w:pPr>
      <w:hyperlink w:anchor="_Toc300002049" w:history="1">
        <w:r>
          <w:rPr>
            <w:noProof/>
          </w:rPr>
          <w:t xml:space="preserve">Article 64.20: Optional Forecasting Interface Integrity and Safety</w:t>
        </w:r>
        <w:r>
          <w:rPr>
            <w:noProof/>
            <w:webHidden/>
          </w:rPr>
          <w:tab/>
        </w:r>
        <w:r>
          <w:rPr>
            <w:noProof/>
            <w:webHidden/>
          </w:rPr>
          <w:fldChar w:fldCharType="begin"/>
        </w:r>
        <w:r>
          <w:rPr>
            <w:noProof/>
            <w:webHidden/>
          </w:rPr>
          <w:instrText xml:space="preserve"> PAGEREF _Toc300002049 \h </w:instrText>
        </w:r>
        <w:r>
          <w:rPr>
            <w:noProof/>
            <w:webHidden/>
          </w:rPr>
          <w:fldChar w:fldCharType="separate"/>
        </w:r>
        <w:r>
          <w:rPr>
            <w:noProof/>
            <w:webHidden/>
          </w:rPr>
          <w:t>2070</w:t>
        </w:r>
        <w:r>
          <w:rPr>
            <w:noProof/>
            <w:webHidden/>
          </w:rPr>
          <w:fldChar w:fldCharType="end"/>
        </w:r>
      </w:hyperlink>
    </w:p>
    <w:p>
      <w:pPr>
        <w:pStyle w:val="TOC2"/>
      </w:pPr>
      <w:hyperlink w:anchor="_Toc300002050" w:history="1">
        <w:r>
          <w:rPr>
            <w:noProof/>
          </w:rPr>
          <w:t xml:space="preserve">Article 64.21: Optional Public Forecast Consensus and Learning</w:t>
        </w:r>
        <w:r>
          <w:rPr>
            <w:noProof/>
            <w:webHidden/>
          </w:rPr>
          <w:tab/>
        </w:r>
        <w:r>
          <w:rPr>
            <w:noProof/>
            <w:webHidden/>
          </w:rPr>
          <w:fldChar w:fldCharType="begin"/>
        </w:r>
        <w:r>
          <w:rPr>
            <w:noProof/>
            <w:webHidden/>
          </w:rPr>
          <w:instrText xml:space="preserve"> PAGEREF _Toc300002050 \h </w:instrText>
        </w:r>
        <w:r>
          <w:rPr>
            <w:noProof/>
            <w:webHidden/>
          </w:rPr>
          <w:fldChar w:fldCharType="separate"/>
        </w:r>
        <w:r>
          <w:rPr>
            <w:noProof/>
            <w:webHidden/>
          </w:rPr>
          <w:t>2071</w:t>
        </w:r>
        <w:r>
          <w:rPr>
            <w:noProof/>
            <w:webHidden/>
          </w:rPr>
          <w:fldChar w:fldCharType="end"/>
        </w:r>
      </w:hyperlink>
    </w:p>
    <w:p>
      <w:pPr>
        <w:pStyle w:val="TOC2"/>
      </w:pPr>
      <w:hyperlink w:anchor="_Toc300002051" w:history="1">
        <w:r>
          <w:rPr>
            <w:noProof/>
          </w:rPr>
          <w:t xml:space="preserve">Article 64.22: Data Verification and Existing Institutions</w:t>
        </w:r>
        <w:r>
          <w:rPr>
            <w:noProof/>
            <w:webHidden/>
          </w:rPr>
          <w:tab/>
        </w:r>
        <w:r>
          <w:rPr>
            <w:noProof/>
            <w:webHidden/>
          </w:rPr>
          <w:fldChar w:fldCharType="begin"/>
        </w:r>
        <w:r>
          <w:rPr>
            <w:noProof/>
            <w:webHidden/>
          </w:rPr>
          <w:instrText xml:space="preserve"> PAGEREF _Toc300002051 \h </w:instrText>
        </w:r>
        <w:r>
          <w:rPr>
            <w:noProof/>
            <w:webHidden/>
          </w:rPr>
          <w:fldChar w:fldCharType="separate"/>
        </w:r>
        <w:r>
          <w:rPr>
            <w:noProof/>
            <w:webHidden/>
          </w:rPr>
          <w:t>2071</w:t>
        </w:r>
        <w:r>
          <w:rPr>
            <w:noProof/>
            <w:webHidden/>
          </w:rPr>
          <w:fldChar w:fldCharType="end"/>
        </w:r>
      </w:hyperlink>
    </w:p>
    <w:p>
      <w:pPr>
        <w:pStyle w:val="TOC2"/>
      </w:pPr>
      <w:hyperlink w:anchor="_Toc300002052" w:history="1">
        <w:r>
          <w:rPr>
            <w:noProof/>
          </w:rPr>
          <w:t xml:space="preserve">Article 64.23: Symmetry and National Presentation Freedom</w:t>
        </w:r>
        <w:r>
          <w:rPr>
            <w:noProof/>
            <w:webHidden/>
          </w:rPr>
          <w:tab/>
        </w:r>
        <w:r>
          <w:rPr>
            <w:noProof/>
            <w:webHidden/>
          </w:rPr>
          <w:fldChar w:fldCharType="begin"/>
        </w:r>
        <w:r>
          <w:rPr>
            <w:noProof/>
            <w:webHidden/>
          </w:rPr>
          <w:instrText xml:space="preserve"> PAGEREF _Toc300002052 \h </w:instrText>
        </w:r>
        <w:r>
          <w:rPr>
            <w:noProof/>
            <w:webHidden/>
          </w:rPr>
          <w:fldChar w:fldCharType="separate"/>
        </w:r>
        <w:r>
          <w:rPr>
            <w:noProof/>
            <w:webHidden/>
          </w:rPr>
          <w:t>2071</w:t>
        </w:r>
        <w:r>
          <w:rPr>
            <w:noProof/>
            <w:webHidden/>
          </w:rPr>
          <w:fldChar w:fldCharType="end"/>
        </w:r>
      </w:hyperlink>
    </w:p>
    <w:p>
      <w:pPr>
        <w:pStyle w:val="TOC2"/>
      </w:pPr>
      <w:hyperlink w:anchor="_Toc300002053" w:history="1">
        <w:r>
          <w:rPr>
            <w:noProof/>
          </w:rPr>
          <w:t xml:space="preserve">Article 64.24: Governing Principle</w:t>
        </w:r>
        <w:r>
          <w:rPr>
            <w:noProof/>
            <w:webHidden/>
          </w:rPr>
          <w:tab/>
        </w:r>
        <w:r>
          <w:rPr>
            <w:noProof/>
            <w:webHidden/>
          </w:rPr>
          <w:fldChar w:fldCharType="begin"/>
        </w:r>
        <w:r>
          <w:rPr>
            <w:noProof/>
            <w:webHidden/>
          </w:rPr>
          <w:instrText xml:space="preserve"> PAGEREF _Toc300002053 \h </w:instrText>
        </w:r>
        <w:r>
          <w:rPr>
            <w:noProof/>
            <w:webHidden/>
          </w:rPr>
          <w:fldChar w:fldCharType="separate"/>
        </w:r>
        <w:r>
          <w:rPr>
            <w:noProof/>
            <w:webHidden/>
          </w:rPr>
          <w:t>2071</w:t>
        </w:r>
        <w:r>
          <w:rPr>
            <w:noProof/>
            <w:webHidden/>
          </w:rPr>
          <w:fldChar w:fldCharType="end"/>
        </w:r>
      </w:hyperlink>
    </w:p>
    <w:p>
      <w:pPr>
        <w:pStyle w:val="TOC1"/>
      </w:pPr>
      <w:hyperlink w:anchor="_Toc300002054" w:history="1">
        <w:r>
          <w:rPr>
            <w:noProof/>
          </w:rPr>
          <w:t xml:space="preserve">CHAPTER 65: NORTH AMERICAN RECIPROCAL PROCUREMENT COMPACT</w:t>
        </w:r>
        <w:r>
          <w:rPr>
            <w:noProof/>
            <w:webHidden/>
          </w:rPr>
          <w:tab/>
        </w:r>
        <w:r>
          <w:rPr>
            <w:noProof/>
            <w:webHidden/>
          </w:rPr>
          <w:fldChar w:fldCharType="begin"/>
        </w:r>
        <w:r>
          <w:rPr>
            <w:noProof/>
            <w:webHidden/>
          </w:rPr>
          <w:instrText xml:space="preserve"> PAGEREF _Toc300002054 \h </w:instrText>
        </w:r>
        <w:r>
          <w:rPr>
            <w:noProof/>
            <w:webHidden/>
          </w:rPr>
          <w:fldChar w:fldCharType="separate"/>
        </w:r>
        <w:r>
          <w:rPr>
            <w:noProof/>
            <w:webHidden/>
          </w:rPr>
          <w:t>2072</w:t>
        </w:r>
        <w:r>
          <w:rPr>
            <w:noProof/>
            <w:webHidden/>
          </w:rPr>
          <w:fldChar w:fldCharType="end"/>
        </w:r>
      </w:hyperlink>
    </w:p>
    <w:p>
      <w:pPr>
        <w:pStyle w:val="TOC2"/>
      </w:pPr>
      <w:hyperlink w:anchor="_Toc300002055" w:history="1">
        <w:r>
          <w:rPr>
            <w:noProof/>
          </w:rPr>
          <w:t xml:space="preserve">Article 65.1: Purpose</w:t>
        </w:r>
        <w:r>
          <w:rPr>
            <w:noProof/>
            <w:webHidden/>
          </w:rPr>
          <w:tab/>
        </w:r>
        <w:r>
          <w:rPr>
            <w:noProof/>
            <w:webHidden/>
          </w:rPr>
          <w:fldChar w:fldCharType="begin"/>
        </w:r>
        <w:r>
          <w:rPr>
            <w:noProof/>
            <w:webHidden/>
          </w:rPr>
          <w:instrText xml:space="preserve"> PAGEREF _Toc300002055 \h </w:instrText>
        </w:r>
        <w:r>
          <w:rPr>
            <w:noProof/>
            <w:webHidden/>
          </w:rPr>
          <w:fldChar w:fldCharType="separate"/>
        </w:r>
        <w:r>
          <w:rPr>
            <w:noProof/>
            <w:webHidden/>
          </w:rPr>
          <w:t>2072</w:t>
        </w:r>
        <w:r>
          <w:rPr>
            <w:noProof/>
            <w:webHidden/>
          </w:rPr>
          <w:fldChar w:fldCharType="end"/>
        </w:r>
      </w:hyperlink>
    </w:p>
    <w:p>
      <w:pPr>
        <w:pStyle w:val="TOC2"/>
      </w:pPr>
      <w:hyperlink w:anchor="_Toc300002056" w:history="1">
        <w:r>
          <w:rPr>
            <w:noProof/>
          </w:rPr>
          <w:t xml:space="preserve">Article 65.2: 370-Entry Candidate Opportunity Portfolio</w:t>
        </w:r>
        <w:r>
          <w:rPr>
            <w:noProof/>
            <w:webHidden/>
          </w:rPr>
          <w:tab/>
        </w:r>
        <w:r>
          <w:rPr>
            <w:noProof/>
            <w:webHidden/>
          </w:rPr>
          <w:fldChar w:fldCharType="begin"/>
        </w:r>
        <w:r>
          <w:rPr>
            <w:noProof/>
            <w:webHidden/>
          </w:rPr>
          <w:instrText xml:space="preserve"> PAGEREF _Toc300002056 \h </w:instrText>
        </w:r>
        <w:r>
          <w:rPr>
            <w:noProof/>
            <w:webHidden/>
          </w:rPr>
          <w:fldChar w:fldCharType="separate"/>
        </w:r>
        <w:r>
          <w:rPr>
            <w:noProof/>
            <w:webHidden/>
          </w:rPr>
          <w:t>2072</w:t>
        </w:r>
        <w:r>
          <w:rPr>
            <w:noProof/>
            <w:webHidden/>
          </w:rPr>
          <w:fldChar w:fldCharType="end"/>
        </w:r>
      </w:hyperlink>
    </w:p>
    <w:p>
      <w:pPr>
        <w:pStyle w:val="TOC2"/>
      </w:pPr>
      <w:hyperlink w:anchor="_Toc300002057" w:history="1">
        <w:r>
          <w:rPr>
            <w:noProof/>
          </w:rPr>
          <w:t xml:space="preserve">Article 65.3: Priority and Maturity Classes</w:t>
        </w:r>
        <w:r>
          <w:rPr>
            <w:noProof/>
            <w:webHidden/>
          </w:rPr>
          <w:tab/>
        </w:r>
        <w:r>
          <w:rPr>
            <w:noProof/>
            <w:webHidden/>
          </w:rPr>
          <w:fldChar w:fldCharType="begin"/>
        </w:r>
        <w:r>
          <w:rPr>
            <w:noProof/>
            <w:webHidden/>
          </w:rPr>
          <w:instrText xml:space="preserve"> PAGEREF _Toc300002057 \h </w:instrText>
        </w:r>
        <w:r>
          <w:rPr>
            <w:noProof/>
            <w:webHidden/>
          </w:rPr>
          <w:fldChar w:fldCharType="separate"/>
        </w:r>
        <w:r>
          <w:rPr>
            <w:noProof/>
            <w:webHidden/>
          </w:rPr>
          <w:t>2072</w:t>
        </w:r>
        <w:r>
          <w:rPr>
            <w:noProof/>
            <w:webHidden/>
          </w:rPr>
          <w:fldChar w:fldCharType="end"/>
        </w:r>
      </w:hyperlink>
    </w:p>
    <w:p>
      <w:pPr>
        <w:pStyle w:val="TOC2"/>
      </w:pPr>
      <w:hyperlink w:anchor="_Toc300002058" w:history="1">
        <w:r>
          <w:rPr>
            <w:noProof/>
          </w:rPr>
          <w:t xml:space="preserve">Article 65.4: Project-Specific Reciprocity and Affirmative Designation</w:t>
        </w:r>
        <w:r>
          <w:rPr>
            <w:noProof/>
            <w:webHidden/>
          </w:rPr>
          <w:tab/>
        </w:r>
        <w:r>
          <w:rPr>
            <w:noProof/>
            <w:webHidden/>
          </w:rPr>
          <w:fldChar w:fldCharType="begin"/>
        </w:r>
        <w:r>
          <w:rPr>
            <w:noProof/>
            <w:webHidden/>
          </w:rPr>
          <w:instrText xml:space="preserve"> PAGEREF _Toc300002058 \h </w:instrText>
        </w:r>
        <w:r>
          <w:rPr>
            <w:noProof/>
            <w:webHidden/>
          </w:rPr>
          <w:fldChar w:fldCharType="separate"/>
        </w:r>
        <w:r>
          <w:rPr>
            <w:noProof/>
            <w:webHidden/>
          </w:rPr>
          <w:t>2073</w:t>
        </w:r>
        <w:r>
          <w:rPr>
            <w:noProof/>
            <w:webHidden/>
          </w:rPr>
          <w:fldChar w:fldCharType="end"/>
        </w:r>
      </w:hyperlink>
    </w:p>
    <w:p>
      <w:pPr>
        <w:pStyle w:val="TOC2"/>
      </w:pPr>
      <w:hyperlink w:anchor="_Toc300002059" w:history="1">
        <w:r>
          <w:rPr>
            <w:noProof/>
          </w:rPr>
          <w:t xml:space="preserve">Article 65.5: No Blanket Buy American Waiver</w:t>
        </w:r>
        <w:r>
          <w:rPr>
            <w:noProof/>
            <w:webHidden/>
          </w:rPr>
          <w:tab/>
        </w:r>
        <w:r>
          <w:rPr>
            <w:noProof/>
            <w:webHidden/>
          </w:rPr>
          <w:fldChar w:fldCharType="begin"/>
        </w:r>
        <w:r>
          <w:rPr>
            <w:noProof/>
            <w:webHidden/>
          </w:rPr>
          <w:instrText xml:space="preserve"> PAGEREF _Toc300002059 \h </w:instrText>
        </w:r>
        <w:r>
          <w:rPr>
            <w:noProof/>
            <w:webHidden/>
          </w:rPr>
          <w:fldChar w:fldCharType="separate"/>
        </w:r>
        <w:r>
          <w:rPr>
            <w:noProof/>
            <w:webHidden/>
          </w:rPr>
          <w:t>2073</w:t>
        </w:r>
        <w:r>
          <w:rPr>
            <w:noProof/>
            <w:webHidden/>
          </w:rPr>
          <w:fldChar w:fldCharType="end"/>
        </w:r>
      </w:hyperlink>
    </w:p>
    <w:p>
      <w:pPr>
        <w:pStyle w:val="TOC2"/>
      </w:pPr>
      <w:hyperlink w:anchor="_Toc300002060" w:history="1">
        <w:r>
          <w:rPr>
            <w:noProof/>
          </w:rPr>
          <w:t xml:space="preserve">Article 65.6: Opportunity, Not Award</w:t>
        </w:r>
        <w:r>
          <w:rPr>
            <w:noProof/>
            <w:webHidden/>
          </w:rPr>
          <w:tab/>
        </w:r>
        <w:r>
          <w:rPr>
            <w:noProof/>
            <w:webHidden/>
          </w:rPr>
          <w:fldChar w:fldCharType="begin"/>
        </w:r>
        <w:r>
          <w:rPr>
            <w:noProof/>
            <w:webHidden/>
          </w:rPr>
          <w:instrText xml:space="preserve"> PAGEREF _Toc300002060 \h </w:instrText>
        </w:r>
        <w:r>
          <w:rPr>
            <w:noProof/>
            <w:webHidden/>
          </w:rPr>
          <w:fldChar w:fldCharType="separate"/>
        </w:r>
        <w:r>
          <w:rPr>
            <w:noProof/>
            <w:webHidden/>
          </w:rPr>
          <w:t>2073</w:t>
        </w:r>
        <w:r>
          <w:rPr>
            <w:noProof/>
            <w:webHidden/>
          </w:rPr>
          <w:fldChar w:fldCharType="end"/>
        </w:r>
      </w:hyperlink>
    </w:p>
    <w:p>
      <w:pPr>
        <w:pStyle w:val="TOC2"/>
      </w:pPr>
      <w:hyperlink w:anchor="_Toc300002061" w:history="1">
        <w:r>
          <w:rPr>
            <w:noProof/>
          </w:rPr>
          <w:t xml:space="preserve">Article 65.7: Procurement Opportunity Certificate</w:t>
        </w:r>
        <w:r>
          <w:rPr>
            <w:noProof/>
            <w:webHidden/>
          </w:rPr>
          <w:tab/>
        </w:r>
        <w:r>
          <w:rPr>
            <w:noProof/>
            <w:webHidden/>
          </w:rPr>
          <w:fldChar w:fldCharType="begin"/>
        </w:r>
        <w:r>
          <w:rPr>
            <w:noProof/>
            <w:webHidden/>
          </w:rPr>
          <w:instrText xml:space="preserve"> PAGEREF _Toc300002061 \h </w:instrText>
        </w:r>
        <w:r>
          <w:rPr>
            <w:noProof/>
            <w:webHidden/>
          </w:rPr>
          <w:fldChar w:fldCharType="separate"/>
        </w:r>
        <w:r>
          <w:rPr>
            <w:noProof/>
            <w:webHidden/>
          </w:rPr>
          <w:t>2073</w:t>
        </w:r>
        <w:r>
          <w:rPr>
            <w:noProof/>
            <w:webHidden/>
          </w:rPr>
          <w:fldChar w:fldCharType="end"/>
        </w:r>
      </w:hyperlink>
    </w:p>
    <w:p>
      <w:pPr>
        <w:pStyle w:val="TOC2"/>
      </w:pPr>
      <w:hyperlink w:anchor="_Toc300002062" w:history="1">
        <w:r>
          <w:rPr>
            <w:noProof/>
          </w:rPr>
          <w:t xml:space="preserve">Article 65.8: Verification Ladder</w:t>
        </w:r>
        <w:r>
          <w:rPr>
            <w:noProof/>
            <w:webHidden/>
          </w:rPr>
          <w:tab/>
        </w:r>
        <w:r>
          <w:rPr>
            <w:noProof/>
            <w:webHidden/>
          </w:rPr>
          <w:fldChar w:fldCharType="begin"/>
        </w:r>
        <w:r>
          <w:rPr>
            <w:noProof/>
            <w:webHidden/>
          </w:rPr>
          <w:instrText xml:space="preserve"> PAGEREF _Toc300002062 \h </w:instrText>
        </w:r>
        <w:r>
          <w:rPr>
            <w:noProof/>
            <w:webHidden/>
          </w:rPr>
          <w:fldChar w:fldCharType="separate"/>
        </w:r>
        <w:r>
          <w:rPr>
            <w:noProof/>
            <w:webHidden/>
          </w:rPr>
          <w:t>2073</w:t>
        </w:r>
        <w:r>
          <w:rPr>
            <w:noProof/>
            <w:webHidden/>
          </w:rPr>
          <w:fldChar w:fldCharType="end"/>
        </w:r>
      </w:hyperlink>
    </w:p>
    <w:p>
      <w:pPr>
        <w:pStyle w:val="TOC2"/>
      </w:pPr>
      <w:hyperlink w:anchor="_Toc300002063" w:history="1">
        <w:r>
          <w:rPr>
            <w:noProof/>
          </w:rPr>
          <w:t xml:space="preserve">Article 65.9: Procurement Value Integrity</w:t>
        </w:r>
        <w:r>
          <w:rPr>
            <w:noProof/>
            <w:webHidden/>
          </w:rPr>
          <w:tab/>
        </w:r>
        <w:r>
          <w:rPr>
            <w:noProof/>
            <w:webHidden/>
          </w:rPr>
          <w:fldChar w:fldCharType="begin"/>
        </w:r>
        <w:r>
          <w:rPr>
            <w:noProof/>
            <w:webHidden/>
          </w:rPr>
          <w:instrText xml:space="preserve"> PAGEREF _Toc300002063 \h </w:instrText>
        </w:r>
        <w:r>
          <w:rPr>
            <w:noProof/>
            <w:webHidden/>
          </w:rPr>
          <w:fldChar w:fldCharType="separate"/>
        </w:r>
        <w:r>
          <w:rPr>
            <w:noProof/>
            <w:webHidden/>
          </w:rPr>
          <w:t>2074</w:t>
        </w:r>
        <w:r>
          <w:rPr>
            <w:noProof/>
            <w:webHidden/>
          </w:rPr>
          <w:fldChar w:fldCharType="end"/>
        </w:r>
      </w:hyperlink>
    </w:p>
    <w:p>
      <w:pPr>
        <w:pStyle w:val="TOC2"/>
      </w:pPr>
      <w:hyperlink w:anchor="_Toc300002064" w:history="1">
        <w:r>
          <w:rPr>
            <w:noProof/>
          </w:rPr>
          <w:t xml:space="preserve">Article 65.10: Effective Procurement Access Test</w:t>
        </w:r>
        <w:r>
          <w:rPr>
            <w:noProof/>
            <w:webHidden/>
          </w:rPr>
          <w:tab/>
        </w:r>
        <w:r>
          <w:rPr>
            <w:noProof/>
            <w:webHidden/>
          </w:rPr>
          <w:fldChar w:fldCharType="begin"/>
        </w:r>
        <w:r>
          <w:rPr>
            <w:noProof/>
            <w:webHidden/>
          </w:rPr>
          <w:instrText xml:space="preserve"> PAGEREF _Toc300002064 \h </w:instrText>
        </w:r>
        <w:r>
          <w:rPr>
            <w:noProof/>
            <w:webHidden/>
          </w:rPr>
          <w:fldChar w:fldCharType="separate"/>
        </w:r>
        <w:r>
          <w:rPr>
            <w:noProof/>
            <w:webHidden/>
          </w:rPr>
          <w:t>2074</w:t>
        </w:r>
        <w:r>
          <w:rPr>
            <w:noProof/>
            <w:webHidden/>
          </w:rPr>
          <w:fldChar w:fldCharType="end"/>
        </w:r>
      </w:hyperlink>
    </w:p>
    <w:p>
      <w:pPr>
        <w:pStyle w:val="TOC2"/>
      </w:pPr>
      <w:hyperlink w:anchor="_Toc300002065" w:history="1">
        <w:r>
          <w:rPr>
            <w:noProof/>
          </w:rPr>
          <w:t xml:space="preserve">Article 65.11: Reciprocal Portfolio Equivalence</w:t>
        </w:r>
        <w:r>
          <w:rPr>
            <w:noProof/>
            <w:webHidden/>
          </w:rPr>
          <w:tab/>
        </w:r>
        <w:r>
          <w:rPr>
            <w:noProof/>
            <w:webHidden/>
          </w:rPr>
          <w:fldChar w:fldCharType="begin"/>
        </w:r>
        <w:r>
          <w:rPr>
            <w:noProof/>
            <w:webHidden/>
          </w:rPr>
          <w:instrText xml:space="preserve"> PAGEREF _Toc300002065 \h </w:instrText>
        </w:r>
        <w:r>
          <w:rPr>
            <w:noProof/>
            <w:webHidden/>
          </w:rPr>
          <w:fldChar w:fldCharType="separate"/>
        </w:r>
        <w:r>
          <w:rPr>
            <w:noProof/>
            <w:webHidden/>
          </w:rPr>
          <w:t>2074</w:t>
        </w:r>
        <w:r>
          <w:rPr>
            <w:noProof/>
            <w:webHidden/>
          </w:rPr>
          <w:fldChar w:fldCharType="end"/>
        </w:r>
      </w:hyperlink>
    </w:p>
    <w:p>
      <w:pPr>
        <w:pStyle w:val="TOC2"/>
      </w:pPr>
      <w:hyperlink w:anchor="_Toc300002066" w:history="1">
        <w:r>
          <w:rPr>
            <w:noProof/>
          </w:rPr>
          <w:t xml:space="preserve">Article 65.12: North American Content and Prequalification Lane</w:t>
        </w:r>
        <w:r>
          <w:rPr>
            <w:noProof/>
            <w:webHidden/>
          </w:rPr>
          <w:tab/>
        </w:r>
        <w:r>
          <w:rPr>
            <w:noProof/>
            <w:webHidden/>
          </w:rPr>
          <w:fldChar w:fldCharType="begin"/>
        </w:r>
        <w:r>
          <w:rPr>
            <w:noProof/>
            <w:webHidden/>
          </w:rPr>
          <w:instrText xml:space="preserve"> PAGEREF _Toc300002066 \h </w:instrText>
        </w:r>
        <w:r>
          <w:rPr>
            <w:noProof/>
            <w:webHidden/>
          </w:rPr>
          <w:fldChar w:fldCharType="separate"/>
        </w:r>
        <w:r>
          <w:rPr>
            <w:noProof/>
            <w:webHidden/>
          </w:rPr>
          <w:t>2074</w:t>
        </w:r>
        <w:r>
          <w:rPr>
            <w:noProof/>
            <w:webHidden/>
          </w:rPr>
          <w:fldChar w:fldCharType="end"/>
        </w:r>
      </w:hyperlink>
    </w:p>
    <w:p>
      <w:pPr>
        <w:pStyle w:val="TOC2"/>
      </w:pPr>
      <w:hyperlink w:anchor="_Toc300002067" w:history="1">
        <w:r>
          <w:rPr>
            <w:noProof/>
          </w:rPr>
          <w:t xml:space="preserve">Article 65.13: Subnational Reciprocity Track</w:t>
        </w:r>
        <w:r>
          <w:rPr>
            <w:noProof/>
            <w:webHidden/>
          </w:rPr>
          <w:tab/>
        </w:r>
        <w:r>
          <w:rPr>
            <w:noProof/>
            <w:webHidden/>
          </w:rPr>
          <w:fldChar w:fldCharType="begin"/>
        </w:r>
        <w:r>
          <w:rPr>
            <w:noProof/>
            <w:webHidden/>
          </w:rPr>
          <w:instrText xml:space="preserve"> PAGEREF _Toc300002067 \h </w:instrText>
        </w:r>
        <w:r>
          <w:rPr>
            <w:noProof/>
            <w:webHidden/>
          </w:rPr>
          <w:fldChar w:fldCharType="separate"/>
        </w:r>
        <w:r>
          <w:rPr>
            <w:noProof/>
            <w:webHidden/>
          </w:rPr>
          <w:t>2074</w:t>
        </w:r>
        <w:r>
          <w:rPr>
            <w:noProof/>
            <w:webHidden/>
          </w:rPr>
          <w:fldChar w:fldCharType="end"/>
        </w:r>
      </w:hyperlink>
    </w:p>
    <w:p>
      <w:pPr>
        <w:pStyle w:val="TOC2"/>
      </w:pPr>
      <w:hyperlink w:anchor="_Toc300002068" w:history="1">
        <w:r>
          <w:rPr>
            <w:noProof/>
          </w:rPr>
          <w:t xml:space="preserve">Article 65.14: Community, Indigenous and SME Participation</w:t>
        </w:r>
        <w:r>
          <w:rPr>
            <w:noProof/>
            <w:webHidden/>
          </w:rPr>
          <w:tab/>
        </w:r>
        <w:r>
          <w:rPr>
            <w:noProof/>
            <w:webHidden/>
          </w:rPr>
          <w:fldChar w:fldCharType="begin"/>
        </w:r>
        <w:r>
          <w:rPr>
            <w:noProof/>
            <w:webHidden/>
          </w:rPr>
          <w:instrText xml:space="preserve"> PAGEREF _Toc300002068 \h </w:instrText>
        </w:r>
        <w:r>
          <w:rPr>
            <w:noProof/>
            <w:webHidden/>
          </w:rPr>
          <w:fldChar w:fldCharType="separate"/>
        </w:r>
        <w:r>
          <w:rPr>
            <w:noProof/>
            <w:webHidden/>
          </w:rPr>
          <w:t>2074</w:t>
        </w:r>
        <w:r>
          <w:rPr>
            <w:noProof/>
            <w:webHidden/>
          </w:rPr>
          <w:fldChar w:fldCharType="end"/>
        </w:r>
      </w:hyperlink>
    </w:p>
    <w:p>
      <w:pPr>
        <w:pStyle w:val="TOC2"/>
      </w:pPr>
      <w:hyperlink w:anchor="_Toc300002069" w:history="1">
        <w:r>
          <w:rPr>
            <w:noProof/>
          </w:rPr>
          <w:t xml:space="preserve">Article 65.15: Public, Private and Mixed Projects</w:t>
        </w:r>
        <w:r>
          <w:rPr>
            <w:noProof/>
            <w:webHidden/>
          </w:rPr>
          <w:tab/>
        </w:r>
        <w:r>
          <w:rPr>
            <w:noProof/>
            <w:webHidden/>
          </w:rPr>
          <w:fldChar w:fldCharType="begin"/>
        </w:r>
        <w:r>
          <w:rPr>
            <w:noProof/>
            <w:webHidden/>
          </w:rPr>
          <w:instrText xml:space="preserve"> PAGEREF _Toc300002069 \h </w:instrText>
        </w:r>
        <w:r>
          <w:rPr>
            <w:noProof/>
            <w:webHidden/>
          </w:rPr>
          <w:fldChar w:fldCharType="separate"/>
        </w:r>
        <w:r>
          <w:rPr>
            <w:noProof/>
            <w:webHidden/>
          </w:rPr>
          <w:t>2075</w:t>
        </w:r>
        <w:r>
          <w:rPr>
            <w:noProof/>
            <w:webHidden/>
          </w:rPr>
          <w:fldChar w:fldCharType="end"/>
        </w:r>
      </w:hyperlink>
    </w:p>
    <w:p>
      <w:pPr>
        <w:pStyle w:val="TOC2"/>
      </w:pPr>
      <w:hyperlink w:anchor="_Toc300002070" w:history="1">
        <w:r>
          <w:rPr>
            <w:noProof/>
          </w:rPr>
          <w:t xml:space="preserve">Article 65.16: Security and Sensitive Procurement Firewall</w:t>
        </w:r>
        <w:r>
          <w:rPr>
            <w:noProof/>
            <w:webHidden/>
          </w:rPr>
          <w:tab/>
        </w:r>
        <w:r>
          <w:rPr>
            <w:noProof/>
            <w:webHidden/>
          </w:rPr>
          <w:fldChar w:fldCharType="begin"/>
        </w:r>
        <w:r>
          <w:rPr>
            <w:noProof/>
            <w:webHidden/>
          </w:rPr>
          <w:instrText xml:space="preserve"> PAGEREF _Toc300002070 \h </w:instrText>
        </w:r>
        <w:r>
          <w:rPr>
            <w:noProof/>
            <w:webHidden/>
          </w:rPr>
          <w:fldChar w:fldCharType="separate"/>
        </w:r>
        <w:r>
          <w:rPr>
            <w:noProof/>
            <w:webHidden/>
          </w:rPr>
          <w:t>2075</w:t>
        </w:r>
        <w:r>
          <w:rPr>
            <w:noProof/>
            <w:webHidden/>
          </w:rPr>
          <w:fldChar w:fldCharType="end"/>
        </w:r>
      </w:hyperlink>
    </w:p>
    <w:p>
      <w:pPr>
        <w:pStyle w:val="TOC2"/>
      </w:pPr>
      <w:hyperlink w:anchor="_Toc300002071" w:history="1">
        <w:r>
          <w:rPr>
            <w:noProof/>
          </w:rPr>
          <w:t xml:space="preserve">Article 65.17: Permitting, Rights and Regulatory Firewall</w:t>
        </w:r>
        <w:r>
          <w:rPr>
            <w:noProof/>
            <w:webHidden/>
          </w:rPr>
          <w:tab/>
        </w:r>
        <w:r>
          <w:rPr>
            <w:noProof/>
            <w:webHidden/>
          </w:rPr>
          <w:fldChar w:fldCharType="begin"/>
        </w:r>
        <w:r>
          <w:rPr>
            <w:noProof/>
            <w:webHidden/>
          </w:rPr>
          <w:instrText xml:space="preserve"> PAGEREF _Toc300002071 \h </w:instrText>
        </w:r>
        <w:r>
          <w:rPr>
            <w:noProof/>
            <w:webHidden/>
          </w:rPr>
          <w:fldChar w:fldCharType="separate"/>
        </w:r>
        <w:r>
          <w:rPr>
            <w:noProof/>
            <w:webHidden/>
          </w:rPr>
          <w:t>2075</w:t>
        </w:r>
        <w:r>
          <w:rPr>
            <w:noProof/>
            <w:webHidden/>
          </w:rPr>
          <w:fldChar w:fldCharType="end"/>
        </w:r>
      </w:hyperlink>
    </w:p>
    <w:p>
      <w:pPr>
        <w:pStyle w:val="TOC2"/>
      </w:pPr>
      <w:hyperlink w:anchor="_Toc300002072" w:history="1">
        <w:r>
          <w:rPr>
            <w:noProof/>
          </w:rPr>
          <w:t xml:space="preserve">Article 65.18: Three-Receipt Rule</w:t>
        </w:r>
        <w:r>
          <w:rPr>
            <w:noProof/>
            <w:webHidden/>
          </w:rPr>
          <w:tab/>
        </w:r>
        <w:r>
          <w:rPr>
            <w:noProof/>
            <w:webHidden/>
          </w:rPr>
          <w:fldChar w:fldCharType="begin"/>
        </w:r>
        <w:r>
          <w:rPr>
            <w:noProof/>
            <w:webHidden/>
          </w:rPr>
          <w:instrText xml:space="preserve"> PAGEREF _Toc300002072 \h </w:instrText>
        </w:r>
        <w:r>
          <w:rPr>
            <w:noProof/>
            <w:webHidden/>
          </w:rPr>
          <w:fldChar w:fldCharType="separate"/>
        </w:r>
        <w:r>
          <w:rPr>
            <w:noProof/>
            <w:webHidden/>
          </w:rPr>
          <w:t>2075</w:t>
        </w:r>
        <w:r>
          <w:rPr>
            <w:noProof/>
            <w:webHidden/>
          </w:rPr>
          <w:fldChar w:fldCharType="end"/>
        </w:r>
      </w:hyperlink>
    </w:p>
    <w:p>
      <w:pPr>
        <w:pStyle w:val="TOC2"/>
      </w:pPr>
      <w:hyperlink w:anchor="_Toc300002073" w:history="1">
        <w:r>
          <w:rPr>
            <w:noProof/>
          </w:rPr>
          <w:t xml:space="preserve">Article 65.19: Opportunity-to-Delivery Accounting</w:t>
        </w:r>
        <w:r>
          <w:rPr>
            <w:noProof/>
            <w:webHidden/>
          </w:rPr>
          <w:tab/>
        </w:r>
        <w:r>
          <w:rPr>
            <w:noProof/>
            <w:webHidden/>
          </w:rPr>
          <w:fldChar w:fldCharType="begin"/>
        </w:r>
        <w:r>
          <w:rPr>
            <w:noProof/>
            <w:webHidden/>
          </w:rPr>
          <w:instrText xml:space="preserve"> PAGEREF _Toc300002073 \h </w:instrText>
        </w:r>
        <w:r>
          <w:rPr>
            <w:noProof/>
            <w:webHidden/>
          </w:rPr>
          <w:fldChar w:fldCharType="separate"/>
        </w:r>
        <w:r>
          <w:rPr>
            <w:noProof/>
            <w:webHidden/>
          </w:rPr>
          <w:t>2075</w:t>
        </w:r>
        <w:r>
          <w:rPr>
            <w:noProof/>
            <w:webHidden/>
          </w:rPr>
          <w:fldChar w:fldCharType="end"/>
        </w:r>
      </w:hyperlink>
    </w:p>
    <w:p>
      <w:pPr>
        <w:pStyle w:val="TOC2"/>
      </w:pPr>
      <w:hyperlink w:anchor="_Toc300002074" w:history="1">
        <w:r>
          <w:rPr>
            <w:noProof/>
          </w:rPr>
          <w:t xml:space="preserve">Article 65.20: Procurement Availability Ratio</w:t>
        </w:r>
        <w:r>
          <w:rPr>
            <w:noProof/>
            <w:webHidden/>
          </w:rPr>
          <w:tab/>
        </w:r>
        <w:r>
          <w:rPr>
            <w:noProof/>
            <w:webHidden/>
          </w:rPr>
          <w:fldChar w:fldCharType="begin"/>
        </w:r>
        <w:r>
          <w:rPr>
            <w:noProof/>
            <w:webHidden/>
          </w:rPr>
          <w:instrText xml:space="preserve"> PAGEREF _Toc300002074 \h </w:instrText>
        </w:r>
        <w:r>
          <w:rPr>
            <w:noProof/>
            <w:webHidden/>
          </w:rPr>
          <w:fldChar w:fldCharType="separate"/>
        </w:r>
        <w:r>
          <w:rPr>
            <w:noProof/>
            <w:webHidden/>
          </w:rPr>
          <w:t>2075</w:t>
        </w:r>
        <w:r>
          <w:rPr>
            <w:noProof/>
            <w:webHidden/>
          </w:rPr>
          <w:fldChar w:fldCharType="end"/>
        </w:r>
      </w:hyperlink>
    </w:p>
    <w:p>
      <w:pPr>
        <w:pStyle w:val="TOC2"/>
      </w:pPr>
      <w:hyperlink w:anchor="_Toc300002075" w:history="1">
        <w:r>
          <w:rPr>
            <w:noProof/>
          </w:rPr>
          <w:t xml:space="preserve">Article 65.21: Initial, Rolling and Development Schedules</w:t>
        </w:r>
        <w:r>
          <w:rPr>
            <w:noProof/>
            <w:webHidden/>
          </w:rPr>
          <w:tab/>
        </w:r>
        <w:r>
          <w:rPr>
            <w:noProof/>
            <w:webHidden/>
          </w:rPr>
          <w:fldChar w:fldCharType="begin"/>
        </w:r>
        <w:r>
          <w:rPr>
            <w:noProof/>
            <w:webHidden/>
          </w:rPr>
          <w:instrText xml:space="preserve"> PAGEREF _Toc300002075 \h </w:instrText>
        </w:r>
        <w:r>
          <w:rPr>
            <w:noProof/>
            <w:webHidden/>
          </w:rPr>
          <w:fldChar w:fldCharType="separate"/>
        </w:r>
        <w:r>
          <w:rPr>
            <w:noProof/>
            <w:webHidden/>
          </w:rPr>
          <w:t>2075</w:t>
        </w:r>
        <w:r>
          <w:rPr>
            <w:noProof/>
            <w:webHidden/>
          </w:rPr>
          <w:fldChar w:fldCharType="end"/>
        </w:r>
      </w:hyperlink>
    </w:p>
    <w:p>
      <w:pPr>
        <w:pStyle w:val="TOC2"/>
      </w:pPr>
      <w:hyperlink w:anchor="_Toc300002076" w:history="1">
        <w:r>
          <w:rPr>
            <w:noProof/>
          </w:rPr>
          <w:t xml:space="preserve">Article 65.22: Expansion and Substitution Registry</w:t>
        </w:r>
        <w:r>
          <w:rPr>
            <w:noProof/>
            <w:webHidden/>
          </w:rPr>
          <w:tab/>
        </w:r>
        <w:r>
          <w:rPr>
            <w:noProof/>
            <w:webHidden/>
          </w:rPr>
          <w:fldChar w:fldCharType="begin"/>
        </w:r>
        <w:r>
          <w:rPr>
            <w:noProof/>
            <w:webHidden/>
          </w:rPr>
          <w:instrText xml:space="preserve"> PAGEREF _Toc300002076 \h </w:instrText>
        </w:r>
        <w:r>
          <w:rPr>
            <w:noProof/>
            <w:webHidden/>
          </w:rPr>
          <w:fldChar w:fldCharType="separate"/>
        </w:r>
        <w:r>
          <w:rPr>
            <w:noProof/>
            <w:webHidden/>
          </w:rPr>
          <w:t>2076</w:t>
        </w:r>
        <w:r>
          <w:rPr>
            <w:noProof/>
            <w:webHidden/>
          </w:rPr>
          <w:fldChar w:fldCharType="end"/>
        </w:r>
      </w:hyperlink>
    </w:p>
    <w:p>
      <w:pPr>
        <w:pStyle w:val="TOC2"/>
      </w:pPr>
      <w:hyperlink w:anchor="_Toc300002077" w:history="1">
        <w:r>
          <w:rPr>
            <w:noProof/>
          </w:rPr>
          <w:t xml:space="preserve">Article 65.23: Substitution Without Concealment</w:t>
        </w:r>
        <w:r>
          <w:rPr>
            <w:noProof/>
            <w:webHidden/>
          </w:rPr>
          <w:tab/>
        </w:r>
        <w:r>
          <w:rPr>
            <w:noProof/>
            <w:webHidden/>
          </w:rPr>
          <w:fldChar w:fldCharType="begin"/>
        </w:r>
        <w:r>
          <w:rPr>
            <w:noProof/>
            <w:webHidden/>
          </w:rPr>
          <w:instrText xml:space="preserve"> PAGEREF _Toc300002077 \h </w:instrText>
        </w:r>
        <w:r>
          <w:rPr>
            <w:noProof/>
            <w:webHidden/>
          </w:rPr>
          <w:fldChar w:fldCharType="separate"/>
        </w:r>
        <w:r>
          <w:rPr>
            <w:noProof/>
            <w:webHidden/>
          </w:rPr>
          <w:t>2076</w:t>
        </w:r>
        <w:r>
          <w:rPr>
            <w:noProof/>
            <w:webHidden/>
          </w:rPr>
          <w:fldChar w:fldCharType="end"/>
        </w:r>
      </w:hyperlink>
    </w:p>
    <w:p>
      <w:pPr>
        <w:pStyle w:val="TOC2"/>
      </w:pPr>
      <w:hyperlink w:anchor="_Toc300002078" w:history="1">
        <w:r>
          <w:rPr>
            <w:noProof/>
          </w:rPr>
          <w:t xml:space="preserve">Article 65.24: Procurement Opportunity Registry</w:t>
        </w:r>
        <w:r>
          <w:rPr>
            <w:noProof/>
            <w:webHidden/>
          </w:rPr>
          <w:tab/>
        </w:r>
        <w:r>
          <w:rPr>
            <w:noProof/>
            <w:webHidden/>
          </w:rPr>
          <w:fldChar w:fldCharType="begin"/>
        </w:r>
        <w:r>
          <w:rPr>
            <w:noProof/>
            <w:webHidden/>
          </w:rPr>
          <w:instrText xml:space="preserve"> PAGEREF _Toc300002078 \h </w:instrText>
        </w:r>
        <w:r>
          <w:rPr>
            <w:noProof/>
            <w:webHidden/>
          </w:rPr>
          <w:fldChar w:fldCharType="separate"/>
        </w:r>
        <w:r>
          <w:rPr>
            <w:noProof/>
            <w:webHidden/>
          </w:rPr>
          <w:t>2076</w:t>
        </w:r>
        <w:r>
          <w:rPr>
            <w:noProof/>
            <w:webHidden/>
          </w:rPr>
          <w:fldChar w:fldCharType="end"/>
        </w:r>
      </w:hyperlink>
    </w:p>
    <w:p>
      <w:pPr>
        <w:pStyle w:val="TOC2"/>
      </w:pPr>
      <w:hyperlink w:anchor="_Toc300002079" w:history="1">
        <w:r>
          <w:rPr>
            <w:noProof/>
          </w:rPr>
          <w:t xml:space="preserve">Article 65.25: Commercial Wins Integration</w:t>
        </w:r>
        <w:r>
          <w:rPr>
            <w:noProof/>
            <w:webHidden/>
          </w:rPr>
          <w:tab/>
        </w:r>
        <w:r>
          <w:rPr>
            <w:noProof/>
            <w:webHidden/>
          </w:rPr>
          <w:fldChar w:fldCharType="begin"/>
        </w:r>
        <w:r>
          <w:rPr>
            <w:noProof/>
            <w:webHidden/>
          </w:rPr>
          <w:instrText xml:space="preserve"> PAGEREF _Toc300002079 \h </w:instrText>
        </w:r>
        <w:r>
          <w:rPr>
            <w:noProof/>
            <w:webHidden/>
          </w:rPr>
          <w:fldChar w:fldCharType="separate"/>
        </w:r>
        <w:r>
          <w:rPr>
            <w:noProof/>
            <w:webHidden/>
          </w:rPr>
          <w:t>2076</w:t>
        </w:r>
        <w:r>
          <w:rPr>
            <w:noProof/>
            <w:webHidden/>
          </w:rPr>
          <w:fldChar w:fldCharType="end"/>
        </w:r>
      </w:hyperlink>
    </w:p>
    <w:p>
      <w:pPr>
        <w:pStyle w:val="TOC2"/>
      </w:pPr>
      <w:hyperlink w:anchor="_Toc300002080" w:history="1">
        <w:r>
          <w:rPr>
            <w:noProof/>
          </w:rPr>
          <w:t xml:space="preserve">Article 65.26: No Uncompensated Front-Loading</w:t>
        </w:r>
        <w:r>
          <w:rPr>
            <w:noProof/>
            <w:webHidden/>
          </w:rPr>
          <w:tab/>
        </w:r>
        <w:r>
          <w:rPr>
            <w:noProof/>
            <w:webHidden/>
          </w:rPr>
          <w:fldChar w:fldCharType="begin"/>
        </w:r>
        <w:r>
          <w:rPr>
            <w:noProof/>
            <w:webHidden/>
          </w:rPr>
          <w:instrText xml:space="preserve"> PAGEREF _Toc300002080 \h </w:instrText>
        </w:r>
        <w:r>
          <w:rPr>
            <w:noProof/>
            <w:webHidden/>
          </w:rPr>
          <w:fldChar w:fldCharType="separate"/>
        </w:r>
        <w:r>
          <w:rPr>
            <w:noProof/>
            <w:webHidden/>
          </w:rPr>
          <w:t>2076</w:t>
        </w:r>
        <w:r>
          <w:rPr>
            <w:noProof/>
            <w:webHidden/>
          </w:rPr>
          <w:fldChar w:fldCharType="end"/>
        </w:r>
      </w:hyperlink>
    </w:p>
    <w:p>
      <w:pPr>
        <w:pStyle w:val="TOC2"/>
      </w:pPr>
      <w:hyperlink w:anchor="_Toc300002081" w:history="1">
        <w:r>
          <w:rPr>
            <w:noProof/>
          </w:rPr>
          <w:t xml:space="preserve">Article 65.27: No Cross-Sector Procurement Punishment</w:t>
        </w:r>
        <w:r>
          <w:rPr>
            <w:noProof/>
            <w:webHidden/>
          </w:rPr>
          <w:tab/>
        </w:r>
        <w:r>
          <w:rPr>
            <w:noProof/>
            <w:webHidden/>
          </w:rPr>
          <w:fldChar w:fldCharType="begin"/>
        </w:r>
        <w:r>
          <w:rPr>
            <w:noProof/>
            <w:webHidden/>
          </w:rPr>
          <w:instrText xml:space="preserve"> PAGEREF _Toc300002081 \h </w:instrText>
        </w:r>
        <w:r>
          <w:rPr>
            <w:noProof/>
            <w:webHidden/>
          </w:rPr>
          <w:fldChar w:fldCharType="separate"/>
        </w:r>
        <w:r>
          <w:rPr>
            <w:noProof/>
            <w:webHidden/>
          </w:rPr>
          <w:t>2077</w:t>
        </w:r>
        <w:r>
          <w:rPr>
            <w:noProof/>
            <w:webHidden/>
          </w:rPr>
          <w:fldChar w:fldCharType="end"/>
        </w:r>
      </w:hyperlink>
    </w:p>
    <w:p>
      <w:pPr>
        <w:pStyle w:val="TOC2"/>
      </w:pPr>
      <w:hyperlink w:anchor="_Toc300002082" w:history="1">
        <w:r>
          <w:rPr>
            <w:noProof/>
          </w:rPr>
          <w:t xml:space="preserve">Article 65.28: Review, Promotion and Evolution</w:t>
        </w:r>
        <w:r>
          <w:rPr>
            <w:noProof/>
            <w:webHidden/>
          </w:rPr>
          <w:tab/>
        </w:r>
        <w:r>
          <w:rPr>
            <w:noProof/>
            <w:webHidden/>
          </w:rPr>
          <w:fldChar w:fldCharType="begin"/>
        </w:r>
        <w:r>
          <w:rPr>
            <w:noProof/>
            <w:webHidden/>
          </w:rPr>
          <w:instrText xml:space="preserve"> PAGEREF _Toc300002082 \h </w:instrText>
        </w:r>
        <w:r>
          <w:rPr>
            <w:noProof/>
            <w:webHidden/>
          </w:rPr>
          <w:fldChar w:fldCharType="separate"/>
        </w:r>
        <w:r>
          <w:rPr>
            <w:noProof/>
            <w:webHidden/>
          </w:rPr>
          <w:t>2077</w:t>
        </w:r>
        <w:r>
          <w:rPr>
            <w:noProof/>
            <w:webHidden/>
          </w:rPr>
          <w:fldChar w:fldCharType="end"/>
        </w:r>
      </w:hyperlink>
    </w:p>
    <w:p>
      <w:pPr>
        <w:pStyle w:val="TOC2"/>
      </w:pPr>
      <w:hyperlink w:anchor="_Toc300002083" w:history="1">
        <w:r>
          <w:rPr>
            <w:noProof/>
          </w:rPr>
          <w:t xml:space="preserve">ANNEX 65-A: 370-ENTRY CANDIDATE OPPORTUNITY REGISTER (NON-BINDING UNTIL DESIGNATED)</w:t>
        </w:r>
        <w:r>
          <w:rPr>
            <w:noProof/>
            <w:webHidden/>
          </w:rPr>
          <w:tab/>
        </w:r>
        <w:r>
          <w:rPr>
            <w:noProof/>
            <w:webHidden/>
          </w:rPr>
          <w:fldChar w:fldCharType="begin"/>
        </w:r>
        <w:r>
          <w:rPr>
            <w:noProof/>
            <w:webHidden/>
          </w:rPr>
          <w:instrText xml:space="preserve"> PAGEREF _Toc300002083 \h </w:instrText>
        </w:r>
        <w:r>
          <w:rPr>
            <w:noProof/>
            <w:webHidden/>
          </w:rPr>
          <w:fldChar w:fldCharType="separate"/>
        </w:r>
        <w:r>
          <w:rPr>
            <w:noProof/>
            <w:webHidden/>
          </w:rPr>
          <w:t>2077</w:t>
        </w:r>
        <w:r>
          <w:rPr>
            <w:noProof/>
            <w:webHidden/>
          </w:rPr>
          <w:fldChar w:fldCharType="end"/>
        </w:r>
      </w:hyperlink>
    </w:p>
    <w:p>
      <w:pPr>
        <w:pStyle w:val="TOC2"/>
      </w:pPr>
      <w:hyperlink w:anchor="_Toc300002084" w:history="1">
        <w:r>
          <w:rPr>
            <w:noProof/>
          </w:rPr>
          <w:t xml:space="preserve">ANNEX 65-B: GOVERNING ARCHITECTURE SUMMARY</w:t>
        </w:r>
        <w:r>
          <w:rPr>
            <w:noProof/>
            <w:webHidden/>
          </w:rPr>
          <w:tab/>
        </w:r>
        <w:r>
          <w:rPr>
            <w:noProof/>
            <w:webHidden/>
          </w:rPr>
          <w:fldChar w:fldCharType="begin"/>
        </w:r>
        <w:r>
          <w:rPr>
            <w:noProof/>
            <w:webHidden/>
          </w:rPr>
          <w:instrText xml:space="preserve"> PAGEREF _Toc300002084 \h </w:instrText>
        </w:r>
        <w:r>
          <w:rPr>
            <w:noProof/>
            <w:webHidden/>
          </w:rPr>
          <w:fldChar w:fldCharType="separate"/>
        </w:r>
        <w:r>
          <w:rPr>
            <w:noProof/>
            <w:webHidden/>
          </w:rPr>
          <w:t>2104</w:t>
        </w:r>
        <w:r>
          <w:rPr>
            <w:noProof/>
            <w:webHidden/>
          </w:rPr>
          <w:fldChar w:fldCharType="end"/>
        </w:r>
      </w:hyperlink>
    </w:p>
    <w:p>
      <w:pPr>
        <w:pStyle w:val="TOC2"/>
      </w:pPr>
      <w:hyperlink w:anchor="_Toc300002085" w:history="1">
        <w:r>
          <w:rPr>
            <w:noProof/>
          </w:rPr>
          <w:t xml:space="preserve">ANNEX 65-C: PROCUREMENT OPPORTUNITY CERTIFICATE MINIMUM FIELDS</w:t>
        </w:r>
        <w:r>
          <w:rPr>
            <w:noProof/>
            <w:webHidden/>
          </w:rPr>
          <w:tab/>
        </w:r>
        <w:r>
          <w:rPr>
            <w:noProof/>
            <w:webHidden/>
          </w:rPr>
          <w:fldChar w:fldCharType="begin"/>
        </w:r>
        <w:r>
          <w:rPr>
            <w:noProof/>
            <w:webHidden/>
          </w:rPr>
          <w:instrText xml:space="preserve"> PAGEREF _Toc300002085 \h </w:instrText>
        </w:r>
        <w:r>
          <w:rPr>
            <w:noProof/>
            <w:webHidden/>
          </w:rPr>
          <w:fldChar w:fldCharType="separate"/>
        </w:r>
        <w:r>
          <w:rPr>
            <w:noProof/>
            <w:webHidden/>
          </w:rPr>
          <w:t>2104</w:t>
        </w:r>
        <w:r>
          <w:rPr>
            <w:noProof/>
            <w:webHidden/>
          </w:rPr>
          <w:fldChar w:fldCharType="end"/>
        </w:r>
      </w:hyperlink>
    </w:p>
    <w:p>
      <w:pPr>
        <w:pStyle w:val="TOC1"/>
      </w:pPr>
      <w:hyperlink w:anchor="_Toc300002086" w:history="1">
        <w:r>
          <w:rPr>
            <w:noProof/>
          </w:rPr>
          <w:t xml:space="preserve">CHAPTER 66: NORTH AMERICAN SHIELD, FENTANYL, PRECURSOR AND BORDER SECURITY COMPACT</w:t>
        </w:r>
        <w:r>
          <w:rPr>
            <w:noProof/>
            <w:webHidden/>
          </w:rPr>
          <w:tab/>
        </w:r>
        <w:r>
          <w:rPr>
            <w:noProof/>
            <w:webHidden/>
          </w:rPr>
          <w:fldChar w:fldCharType="begin"/>
        </w:r>
        <w:r>
          <w:rPr>
            <w:noProof/>
            <w:webHidden/>
          </w:rPr>
          <w:instrText xml:space="preserve"> PAGEREF _Toc300002086 \h </w:instrText>
        </w:r>
        <w:r>
          <w:rPr>
            <w:noProof/>
            <w:webHidden/>
          </w:rPr>
          <w:fldChar w:fldCharType="separate"/>
        </w:r>
        <w:r>
          <w:rPr>
            <w:noProof/>
            <w:webHidden/>
          </w:rPr>
          <w:t>2106</w:t>
        </w:r>
        <w:r>
          <w:rPr>
            <w:noProof/>
            <w:webHidden/>
          </w:rPr>
          <w:fldChar w:fldCharType="end"/>
        </w:r>
      </w:hyperlink>
    </w:p>
    <w:p>
      <w:pPr>
        <w:pStyle w:val="TOC2"/>
      </w:pPr>
      <w:hyperlink w:anchor="_Toc300002087" w:history="1">
        <w:r>
          <w:rPr>
            <w:noProof/>
          </w:rPr>
          <w:t xml:space="preserve">Article 66.1: Purpose and Security Bargain</w:t>
        </w:r>
        <w:r>
          <w:rPr>
            <w:noProof/>
            <w:webHidden/>
          </w:rPr>
          <w:tab/>
        </w:r>
        <w:r>
          <w:rPr>
            <w:noProof/>
            <w:webHidden/>
          </w:rPr>
          <w:fldChar w:fldCharType="begin"/>
        </w:r>
        <w:r>
          <w:rPr>
            <w:noProof/>
            <w:webHidden/>
          </w:rPr>
          <w:instrText xml:space="preserve"> PAGEREF _Toc300002087 \h </w:instrText>
        </w:r>
        <w:r>
          <w:rPr>
            <w:noProof/>
            <w:webHidden/>
          </w:rPr>
          <w:fldChar w:fldCharType="separate"/>
        </w:r>
        <w:r>
          <w:rPr>
            <w:noProof/>
            <w:webHidden/>
          </w:rPr>
          <w:t>2106</w:t>
        </w:r>
        <w:r>
          <w:rPr>
            <w:noProof/>
            <w:webHidden/>
          </w:rPr>
          <w:fldChar w:fldCharType="end"/>
        </w:r>
      </w:hyperlink>
    </w:p>
    <w:p>
      <w:pPr>
        <w:pStyle w:val="TOC2"/>
      </w:pPr>
      <w:hyperlink w:anchor="_Toc300002088" w:history="1">
        <w:r>
          <w:rPr>
            <w:noProof/>
          </w:rPr>
          <w:t xml:space="preserve">Article 66.2: Governing Principle, Cooperate Continentally, Enforce Nationally</w:t>
        </w:r>
        <w:r>
          <w:rPr>
            <w:noProof/>
            <w:webHidden/>
          </w:rPr>
          <w:tab/>
        </w:r>
        <w:r>
          <w:rPr>
            <w:noProof/>
            <w:webHidden/>
          </w:rPr>
          <w:fldChar w:fldCharType="begin"/>
        </w:r>
        <w:r>
          <w:rPr>
            <w:noProof/>
            <w:webHidden/>
          </w:rPr>
          <w:instrText xml:space="preserve"> PAGEREF _Toc300002088 \h </w:instrText>
        </w:r>
        <w:r>
          <w:rPr>
            <w:noProof/>
            <w:webHidden/>
          </w:rPr>
          <w:fldChar w:fldCharType="separate"/>
        </w:r>
        <w:r>
          <w:rPr>
            <w:noProof/>
            <w:webHidden/>
          </w:rPr>
          <w:t>2106</w:t>
        </w:r>
        <w:r>
          <w:rPr>
            <w:noProof/>
            <w:webHidden/>
          </w:rPr>
          <w:fldChar w:fldCharType="end"/>
        </w:r>
      </w:hyperlink>
    </w:p>
    <w:p>
      <w:pPr>
        <w:pStyle w:val="TOC2"/>
      </w:pPr>
      <w:hyperlink w:anchor="_Toc300002089" w:history="1">
        <w:r>
          <w:rPr>
            <w:noProof/>
          </w:rPr>
          <w:t xml:space="preserve">Article 66.3: No Foreign Enforcement Power</w:t>
        </w:r>
        <w:r>
          <w:rPr>
            <w:noProof/>
            <w:webHidden/>
          </w:rPr>
          <w:tab/>
        </w:r>
        <w:r>
          <w:rPr>
            <w:noProof/>
            <w:webHidden/>
          </w:rPr>
          <w:fldChar w:fldCharType="begin"/>
        </w:r>
        <w:r>
          <w:rPr>
            <w:noProof/>
            <w:webHidden/>
          </w:rPr>
          <w:instrText xml:space="preserve"> PAGEREF _Toc300002089 \h </w:instrText>
        </w:r>
        <w:r>
          <w:rPr>
            <w:noProof/>
            <w:webHidden/>
          </w:rPr>
          <w:fldChar w:fldCharType="separate"/>
        </w:r>
        <w:r>
          <w:rPr>
            <w:noProof/>
            <w:webHidden/>
          </w:rPr>
          <w:t>2106</w:t>
        </w:r>
        <w:r>
          <w:rPr>
            <w:noProof/>
            <w:webHidden/>
          </w:rPr>
          <w:fldChar w:fldCharType="end"/>
        </w:r>
      </w:hyperlink>
    </w:p>
    <w:p>
      <w:pPr>
        <w:pStyle w:val="TOC2"/>
      </w:pPr>
      <w:hyperlink w:anchor="_Toc300002090" w:history="1">
        <w:r>
          <w:rPr>
            <w:noProof/>
          </w:rPr>
          <w:t xml:space="preserve">Article 66.4: Shield Reciprocity Doctrine</w:t>
        </w:r>
        <w:r>
          <w:rPr>
            <w:noProof/>
            <w:webHidden/>
          </w:rPr>
          <w:tab/>
        </w:r>
        <w:r>
          <w:rPr>
            <w:noProof/>
            <w:webHidden/>
          </w:rPr>
          <w:fldChar w:fldCharType="begin"/>
        </w:r>
        <w:r>
          <w:rPr>
            <w:noProof/>
            <w:webHidden/>
          </w:rPr>
          <w:instrText xml:space="preserve"> PAGEREF _Toc300002090 \h </w:instrText>
        </w:r>
        <w:r>
          <w:rPr>
            <w:noProof/>
            <w:webHidden/>
          </w:rPr>
          <w:fldChar w:fldCharType="separate"/>
        </w:r>
        <w:r>
          <w:rPr>
            <w:noProof/>
            <w:webHidden/>
          </w:rPr>
          <w:t>2106</w:t>
        </w:r>
        <w:r>
          <w:rPr>
            <w:noProof/>
            <w:webHidden/>
          </w:rPr>
          <w:fldChar w:fldCharType="end"/>
        </w:r>
      </w:hyperlink>
    </w:p>
    <w:p>
      <w:pPr>
        <w:pStyle w:val="TOC2"/>
      </w:pPr>
      <w:hyperlink w:anchor="_Toc300002091" w:history="1">
        <w:r>
          <w:rPr>
            <w:noProof/>
          </w:rPr>
          <w:t xml:space="preserve">Article 66.5: Covered Illicit Flows</w:t>
        </w:r>
        <w:r>
          <w:rPr>
            <w:noProof/>
            <w:webHidden/>
          </w:rPr>
          <w:tab/>
        </w:r>
        <w:r>
          <w:rPr>
            <w:noProof/>
            <w:webHidden/>
          </w:rPr>
          <w:fldChar w:fldCharType="begin"/>
        </w:r>
        <w:r>
          <w:rPr>
            <w:noProof/>
            <w:webHidden/>
          </w:rPr>
          <w:instrText xml:space="preserve"> PAGEREF _Toc300002091 \h </w:instrText>
        </w:r>
        <w:r>
          <w:rPr>
            <w:noProof/>
            <w:webHidden/>
          </w:rPr>
          <w:fldChar w:fldCharType="separate"/>
        </w:r>
        <w:r>
          <w:rPr>
            <w:noProof/>
            <w:webHidden/>
          </w:rPr>
          <w:t>2107</w:t>
        </w:r>
        <w:r>
          <w:rPr>
            <w:noProof/>
            <w:webHidden/>
          </w:rPr>
          <w:fldChar w:fldCharType="end"/>
        </w:r>
      </w:hyperlink>
    </w:p>
    <w:p>
      <w:pPr>
        <w:pStyle w:val="TOC2"/>
      </w:pPr>
      <w:hyperlink w:anchor="_Toc300002092" w:history="1">
        <w:r>
          <w:rPr>
            <w:noProof/>
          </w:rPr>
          <w:t xml:space="preserve">Article 66.6: Secure-and-Accelerate Principle</w:t>
        </w:r>
        <w:r>
          <w:rPr>
            <w:noProof/>
            <w:webHidden/>
          </w:rPr>
          <w:tab/>
        </w:r>
        <w:r>
          <w:rPr>
            <w:noProof/>
            <w:webHidden/>
          </w:rPr>
          <w:fldChar w:fldCharType="begin"/>
        </w:r>
        <w:r>
          <w:rPr>
            <w:noProof/>
            <w:webHidden/>
          </w:rPr>
          <w:instrText xml:space="preserve"> PAGEREF _Toc300002092 \h </w:instrText>
        </w:r>
        <w:r>
          <w:rPr>
            <w:noProof/>
            <w:webHidden/>
          </w:rPr>
          <w:fldChar w:fldCharType="separate"/>
        </w:r>
        <w:r>
          <w:rPr>
            <w:noProof/>
            <w:webHidden/>
          </w:rPr>
          <w:t>2107</w:t>
        </w:r>
        <w:r>
          <w:rPr>
            <w:noProof/>
            <w:webHidden/>
          </w:rPr>
          <w:fldChar w:fldCharType="end"/>
        </w:r>
      </w:hyperlink>
    </w:p>
    <w:p>
      <w:pPr>
        <w:pStyle w:val="TOC2"/>
      </w:pPr>
      <w:hyperlink w:anchor="_Toc300002093" w:history="1">
        <w:r>
          <w:rPr>
            <w:noProof/>
          </w:rPr>
          <w:t xml:space="preserve">Article 66.7: Detection and Non-Intrusive Inspection Capability</w:t>
        </w:r>
        <w:r>
          <w:rPr>
            <w:noProof/>
            <w:webHidden/>
          </w:rPr>
          <w:tab/>
        </w:r>
        <w:r>
          <w:rPr>
            <w:noProof/>
            <w:webHidden/>
          </w:rPr>
          <w:fldChar w:fldCharType="begin"/>
        </w:r>
        <w:r>
          <w:rPr>
            <w:noProof/>
            <w:webHidden/>
          </w:rPr>
          <w:instrText xml:space="preserve"> PAGEREF _Toc300002093 \h </w:instrText>
        </w:r>
        <w:r>
          <w:rPr>
            <w:noProof/>
            <w:webHidden/>
          </w:rPr>
          <w:fldChar w:fldCharType="separate"/>
        </w:r>
        <w:r>
          <w:rPr>
            <w:noProof/>
            <w:webHidden/>
          </w:rPr>
          <w:t>2107</w:t>
        </w:r>
        <w:r>
          <w:rPr>
            <w:noProof/>
            <w:webHidden/>
          </w:rPr>
          <w:fldChar w:fldCharType="end"/>
        </w:r>
      </w:hyperlink>
    </w:p>
    <w:p>
      <w:pPr>
        <w:pStyle w:val="TOC2"/>
      </w:pPr>
      <w:hyperlink w:anchor="_Toc300002094" w:history="1">
        <w:r>
          <w:rPr>
            <w:noProof/>
          </w:rPr>
          <w:t xml:space="preserve">Article 66.8: Operational Availability and Maintenance</w:t>
        </w:r>
        <w:r>
          <w:rPr>
            <w:noProof/>
            <w:webHidden/>
          </w:rPr>
          <w:tab/>
        </w:r>
        <w:r>
          <w:rPr>
            <w:noProof/>
            <w:webHidden/>
          </w:rPr>
          <w:fldChar w:fldCharType="begin"/>
        </w:r>
        <w:r>
          <w:rPr>
            <w:noProof/>
            <w:webHidden/>
          </w:rPr>
          <w:instrText xml:space="preserve"> PAGEREF _Toc300002094 \h </w:instrText>
        </w:r>
        <w:r>
          <w:rPr>
            <w:noProof/>
            <w:webHidden/>
          </w:rPr>
          <w:fldChar w:fldCharType="separate"/>
        </w:r>
        <w:r>
          <w:rPr>
            <w:noProof/>
            <w:webHidden/>
          </w:rPr>
          <w:t>2108</w:t>
        </w:r>
        <w:r>
          <w:rPr>
            <w:noProof/>
            <w:webHidden/>
          </w:rPr>
          <w:fldChar w:fldCharType="end"/>
        </w:r>
      </w:hyperlink>
    </w:p>
    <w:p>
      <w:pPr>
        <w:pStyle w:val="TOC2"/>
      </w:pPr>
      <w:hyperlink w:anchor="_Toc300002095" w:history="1">
        <w:r>
          <w:rPr>
            <w:noProof/>
          </w:rPr>
          <w:t xml:space="preserve">Article 66.9: Cargo Targeting and Risk Intelligence</w:t>
        </w:r>
        <w:r>
          <w:rPr>
            <w:noProof/>
            <w:webHidden/>
          </w:rPr>
          <w:tab/>
        </w:r>
        <w:r>
          <w:rPr>
            <w:noProof/>
            <w:webHidden/>
          </w:rPr>
          <w:fldChar w:fldCharType="begin"/>
        </w:r>
        <w:r>
          <w:rPr>
            <w:noProof/>
            <w:webHidden/>
          </w:rPr>
          <w:instrText xml:space="preserve"> PAGEREF _Toc300002095 \h </w:instrText>
        </w:r>
        <w:r>
          <w:rPr>
            <w:noProof/>
            <w:webHidden/>
          </w:rPr>
          <w:fldChar w:fldCharType="separate"/>
        </w:r>
        <w:r>
          <w:rPr>
            <w:noProof/>
            <w:webHidden/>
          </w:rPr>
          <w:t>2108</w:t>
        </w:r>
        <w:r>
          <w:rPr>
            <w:noProof/>
            <w:webHidden/>
          </w:rPr>
          <w:fldChar w:fldCharType="end"/>
        </w:r>
      </w:hyperlink>
    </w:p>
    <w:p>
      <w:pPr>
        <w:pStyle w:val="TOC2"/>
      </w:pPr>
      <w:hyperlink w:anchor="_Toc300002096" w:history="1">
        <w:r>
          <w:rPr>
            <w:noProof/>
          </w:rPr>
          <w:t xml:space="preserve">Article 66.10: Algorithmic Targeting Integrity</w:t>
        </w:r>
        <w:r>
          <w:rPr>
            <w:noProof/>
            <w:webHidden/>
          </w:rPr>
          <w:tab/>
        </w:r>
        <w:r>
          <w:rPr>
            <w:noProof/>
            <w:webHidden/>
          </w:rPr>
          <w:fldChar w:fldCharType="begin"/>
        </w:r>
        <w:r>
          <w:rPr>
            <w:noProof/>
            <w:webHidden/>
          </w:rPr>
          <w:instrText xml:space="preserve"> PAGEREF _Toc300002096 \h </w:instrText>
        </w:r>
        <w:r>
          <w:rPr>
            <w:noProof/>
            <w:webHidden/>
          </w:rPr>
          <w:fldChar w:fldCharType="separate"/>
        </w:r>
        <w:r>
          <w:rPr>
            <w:noProof/>
            <w:webHidden/>
          </w:rPr>
          <w:t>2108</w:t>
        </w:r>
        <w:r>
          <w:rPr>
            <w:noProof/>
            <w:webHidden/>
          </w:rPr>
          <w:fldChar w:fldCharType="end"/>
        </w:r>
      </w:hyperlink>
    </w:p>
    <w:p>
      <w:pPr>
        <w:pStyle w:val="TOC2"/>
      </w:pPr>
      <w:hyperlink w:anchor="_Toc300002097" w:history="1">
        <w:r>
          <w:rPr>
            <w:noProof/>
          </w:rPr>
          <w:t xml:space="preserve">Article 66.11: Precursor Risk and Rapid Response</w:t>
        </w:r>
        <w:r>
          <w:rPr>
            <w:noProof/>
            <w:webHidden/>
          </w:rPr>
          <w:tab/>
        </w:r>
        <w:r>
          <w:rPr>
            <w:noProof/>
            <w:webHidden/>
          </w:rPr>
          <w:fldChar w:fldCharType="begin"/>
        </w:r>
        <w:r>
          <w:rPr>
            <w:noProof/>
            <w:webHidden/>
          </w:rPr>
          <w:instrText xml:space="preserve"> PAGEREF _Toc300002097 \h </w:instrText>
        </w:r>
        <w:r>
          <w:rPr>
            <w:noProof/>
            <w:webHidden/>
          </w:rPr>
          <w:fldChar w:fldCharType="separate"/>
        </w:r>
        <w:r>
          <w:rPr>
            <w:noProof/>
            <w:webHidden/>
          </w:rPr>
          <w:t>2108</w:t>
        </w:r>
        <w:r>
          <w:rPr>
            <w:noProof/>
            <w:webHidden/>
          </w:rPr>
          <w:fldChar w:fldCharType="end"/>
        </w:r>
      </w:hyperlink>
    </w:p>
    <w:p>
      <w:pPr>
        <w:pStyle w:val="TOC2"/>
      </w:pPr>
      <w:hyperlink w:anchor="_Toc300002098" w:history="1">
        <w:r>
          <w:rPr>
            <w:noProof/>
          </w:rPr>
          <w:t xml:space="preserve">Article 66.12: Suspicious Orders, End Users and Manufacturing Equipment</w:t>
        </w:r>
        <w:r>
          <w:rPr>
            <w:noProof/>
            <w:webHidden/>
          </w:rPr>
          <w:tab/>
        </w:r>
        <w:r>
          <w:rPr>
            <w:noProof/>
            <w:webHidden/>
          </w:rPr>
          <w:fldChar w:fldCharType="begin"/>
        </w:r>
        <w:r>
          <w:rPr>
            <w:noProof/>
            <w:webHidden/>
          </w:rPr>
          <w:instrText xml:space="preserve"> PAGEREF _Toc300002098 \h </w:instrText>
        </w:r>
        <w:r>
          <w:rPr>
            <w:noProof/>
            <w:webHidden/>
          </w:rPr>
          <w:fldChar w:fldCharType="separate"/>
        </w:r>
        <w:r>
          <w:rPr>
            <w:noProof/>
            <w:webHidden/>
          </w:rPr>
          <w:t>2109</w:t>
        </w:r>
        <w:r>
          <w:rPr>
            <w:noProof/>
            <w:webHidden/>
          </w:rPr>
          <w:fldChar w:fldCharType="end"/>
        </w:r>
      </w:hyperlink>
    </w:p>
    <w:p>
      <w:pPr>
        <w:pStyle w:val="TOC2"/>
      </w:pPr>
      <w:hyperlink w:anchor="_Toc300002099" w:history="1">
        <w:r>
          <w:rPr>
            <w:noProof/>
          </w:rPr>
          <w:t xml:space="preserve">Article 66.13: Drug Profiling and Forensic Network</w:t>
        </w:r>
        <w:r>
          <w:rPr>
            <w:noProof/>
            <w:webHidden/>
          </w:rPr>
          <w:tab/>
        </w:r>
        <w:r>
          <w:rPr>
            <w:noProof/>
            <w:webHidden/>
          </w:rPr>
          <w:fldChar w:fldCharType="begin"/>
        </w:r>
        <w:r>
          <w:rPr>
            <w:noProof/>
            <w:webHidden/>
          </w:rPr>
          <w:instrText xml:space="preserve"> PAGEREF _Toc300002099 \h </w:instrText>
        </w:r>
        <w:r>
          <w:rPr>
            <w:noProof/>
            <w:webHidden/>
          </w:rPr>
          <w:fldChar w:fldCharType="separate"/>
        </w:r>
        <w:r>
          <w:rPr>
            <w:noProof/>
            <w:webHidden/>
          </w:rPr>
          <w:t>2109</w:t>
        </w:r>
        <w:r>
          <w:rPr>
            <w:noProof/>
            <w:webHidden/>
          </w:rPr>
          <w:fldChar w:fldCharType="end"/>
        </w:r>
      </w:hyperlink>
    </w:p>
    <w:p>
      <w:pPr>
        <w:pStyle w:val="TOC2"/>
      </w:pPr>
      <w:hyperlink w:anchor="_Toc300002100" w:history="1">
        <w:r>
          <w:rPr>
            <w:noProof/>
          </w:rPr>
          <w:t xml:space="preserve">Article 66.14: Ports of Entry and Coordinated Inspection</w:t>
        </w:r>
        <w:r>
          <w:rPr>
            <w:noProof/>
            <w:webHidden/>
          </w:rPr>
          <w:tab/>
        </w:r>
        <w:r>
          <w:rPr>
            <w:noProof/>
            <w:webHidden/>
          </w:rPr>
          <w:fldChar w:fldCharType="begin"/>
        </w:r>
        <w:r>
          <w:rPr>
            <w:noProof/>
            <w:webHidden/>
          </w:rPr>
          <w:instrText xml:space="preserve"> PAGEREF _Toc300002100 \h </w:instrText>
        </w:r>
        <w:r>
          <w:rPr>
            <w:noProof/>
            <w:webHidden/>
          </w:rPr>
          <w:fldChar w:fldCharType="separate"/>
        </w:r>
        <w:r>
          <w:rPr>
            <w:noProof/>
            <w:webHidden/>
          </w:rPr>
          <w:t>2109</w:t>
        </w:r>
        <w:r>
          <w:rPr>
            <w:noProof/>
            <w:webHidden/>
          </w:rPr>
          <w:fldChar w:fldCharType="end"/>
        </w:r>
      </w:hyperlink>
    </w:p>
    <w:p>
      <w:pPr>
        <w:pStyle w:val="TOC2"/>
      </w:pPr>
      <w:hyperlink w:anchor="_Toc300002101" w:history="1">
        <w:r>
          <w:rPr>
            <w:noProof/>
          </w:rPr>
          <w:t xml:space="preserve">Article 66.15: Rail, Maritime and Aviation Security</w:t>
        </w:r>
        <w:r>
          <w:rPr>
            <w:noProof/>
            <w:webHidden/>
          </w:rPr>
          <w:tab/>
        </w:r>
        <w:r>
          <w:rPr>
            <w:noProof/>
            <w:webHidden/>
          </w:rPr>
          <w:fldChar w:fldCharType="begin"/>
        </w:r>
        <w:r>
          <w:rPr>
            <w:noProof/>
            <w:webHidden/>
          </w:rPr>
          <w:instrText xml:space="preserve"> PAGEREF _Toc300002101 \h </w:instrText>
        </w:r>
        <w:r>
          <w:rPr>
            <w:noProof/>
            <w:webHidden/>
          </w:rPr>
          <w:fldChar w:fldCharType="separate"/>
        </w:r>
        <w:r>
          <w:rPr>
            <w:noProof/>
            <w:webHidden/>
          </w:rPr>
          <w:t>2109</w:t>
        </w:r>
        <w:r>
          <w:rPr>
            <w:noProof/>
            <w:webHidden/>
          </w:rPr>
          <w:fldChar w:fldCharType="end"/>
        </w:r>
      </w:hyperlink>
    </w:p>
    <w:p>
      <w:pPr>
        <w:pStyle w:val="TOC2"/>
      </w:pPr>
      <w:hyperlink w:anchor="_Toc300002102" w:history="1">
        <w:r>
          <w:rPr>
            <w:noProof/>
          </w:rPr>
          <w:t xml:space="preserve">Article 66.16: Postal, Courier and Small-Parcel Security</w:t>
        </w:r>
        <w:r>
          <w:rPr>
            <w:noProof/>
            <w:webHidden/>
          </w:rPr>
          <w:tab/>
        </w:r>
        <w:r>
          <w:rPr>
            <w:noProof/>
            <w:webHidden/>
          </w:rPr>
          <w:fldChar w:fldCharType="begin"/>
        </w:r>
        <w:r>
          <w:rPr>
            <w:noProof/>
            <w:webHidden/>
          </w:rPr>
          <w:instrText xml:space="preserve"> PAGEREF _Toc300002102 \h </w:instrText>
        </w:r>
        <w:r>
          <w:rPr>
            <w:noProof/>
            <w:webHidden/>
          </w:rPr>
          <w:fldChar w:fldCharType="separate"/>
        </w:r>
        <w:r>
          <w:rPr>
            <w:noProof/>
            <w:webHidden/>
          </w:rPr>
          <w:t>2110</w:t>
        </w:r>
        <w:r>
          <w:rPr>
            <w:noProof/>
            <w:webHidden/>
          </w:rPr>
          <w:fldChar w:fldCharType="end"/>
        </w:r>
      </w:hyperlink>
    </w:p>
    <w:p>
      <w:pPr>
        <w:pStyle w:val="TOC2"/>
      </w:pPr>
      <w:hyperlink w:anchor="_Toc300002103" w:history="1">
        <w:r>
          <w:rPr>
            <w:noProof/>
          </w:rPr>
          <w:t xml:space="preserve">Article 66.17: Organized-Crime Cooperation</w:t>
        </w:r>
        <w:r>
          <w:rPr>
            <w:noProof/>
            <w:webHidden/>
          </w:rPr>
          <w:tab/>
        </w:r>
        <w:r>
          <w:rPr>
            <w:noProof/>
            <w:webHidden/>
          </w:rPr>
          <w:fldChar w:fldCharType="begin"/>
        </w:r>
        <w:r>
          <w:rPr>
            <w:noProof/>
            <w:webHidden/>
          </w:rPr>
          <w:instrText xml:space="preserve"> PAGEREF _Toc300002103 \h </w:instrText>
        </w:r>
        <w:r>
          <w:rPr>
            <w:noProof/>
            <w:webHidden/>
          </w:rPr>
          <w:fldChar w:fldCharType="separate"/>
        </w:r>
        <w:r>
          <w:rPr>
            <w:noProof/>
            <w:webHidden/>
          </w:rPr>
          <w:t>2110</w:t>
        </w:r>
        <w:r>
          <w:rPr>
            <w:noProof/>
            <w:webHidden/>
          </w:rPr>
          <w:fldChar w:fldCharType="end"/>
        </w:r>
      </w:hyperlink>
    </w:p>
    <w:p>
      <w:pPr>
        <w:pStyle w:val="TOC2"/>
      </w:pPr>
      <w:hyperlink w:anchor="_Toc300002104" w:history="1">
        <w:r>
          <w:rPr>
            <w:noProof/>
          </w:rPr>
          <w:t xml:space="preserve">Article 66.18: Illegal Firearms Trafficking</w:t>
        </w:r>
        <w:r>
          <w:rPr>
            <w:noProof/>
            <w:webHidden/>
          </w:rPr>
          <w:tab/>
        </w:r>
        <w:r>
          <w:rPr>
            <w:noProof/>
            <w:webHidden/>
          </w:rPr>
          <w:fldChar w:fldCharType="begin"/>
        </w:r>
        <w:r>
          <w:rPr>
            <w:noProof/>
            <w:webHidden/>
          </w:rPr>
          <w:instrText xml:space="preserve"> PAGEREF _Toc300002104 \h </w:instrText>
        </w:r>
        <w:r>
          <w:rPr>
            <w:noProof/>
            <w:webHidden/>
          </w:rPr>
          <w:fldChar w:fldCharType="separate"/>
        </w:r>
        <w:r>
          <w:rPr>
            <w:noProof/>
            <w:webHidden/>
          </w:rPr>
          <w:t>2110</w:t>
        </w:r>
        <w:r>
          <w:rPr>
            <w:noProof/>
            <w:webHidden/>
          </w:rPr>
          <w:fldChar w:fldCharType="end"/>
        </w:r>
      </w:hyperlink>
    </w:p>
    <w:p>
      <w:pPr>
        <w:pStyle w:val="TOC2"/>
      </w:pPr>
      <w:hyperlink w:anchor="_Toc300002105" w:history="1">
        <w:r>
          <w:rPr>
            <w:noProof/>
          </w:rPr>
          <w:t xml:space="preserve">Article 66.19: Illicit Finance and Asset Disruption</w:t>
        </w:r>
        <w:r>
          <w:rPr>
            <w:noProof/>
            <w:webHidden/>
          </w:rPr>
          <w:tab/>
        </w:r>
        <w:r>
          <w:rPr>
            <w:noProof/>
            <w:webHidden/>
          </w:rPr>
          <w:fldChar w:fldCharType="begin"/>
        </w:r>
        <w:r>
          <w:rPr>
            <w:noProof/>
            <w:webHidden/>
          </w:rPr>
          <w:instrText xml:space="preserve"> PAGEREF _Toc300002105 \h </w:instrText>
        </w:r>
        <w:r>
          <w:rPr>
            <w:noProof/>
            <w:webHidden/>
          </w:rPr>
          <w:fldChar w:fldCharType="separate"/>
        </w:r>
        <w:r>
          <w:rPr>
            <w:noProof/>
            <w:webHidden/>
          </w:rPr>
          <w:t>2111</w:t>
        </w:r>
        <w:r>
          <w:rPr>
            <w:noProof/>
            <w:webHidden/>
          </w:rPr>
          <w:fldChar w:fldCharType="end"/>
        </w:r>
      </w:hyperlink>
    </w:p>
    <w:p>
      <w:pPr>
        <w:pStyle w:val="TOC2"/>
      </w:pPr>
      <w:hyperlink w:anchor="_Toc300002106" w:history="1">
        <w:r>
          <w:rPr>
            <w:noProof/>
          </w:rPr>
          <w:t xml:space="preserve">Article 66.20: No Enforcement Bounty</w:t>
        </w:r>
        <w:r>
          <w:rPr>
            <w:noProof/>
            <w:webHidden/>
          </w:rPr>
          <w:tab/>
        </w:r>
        <w:r>
          <w:rPr>
            <w:noProof/>
            <w:webHidden/>
          </w:rPr>
          <w:fldChar w:fldCharType="begin"/>
        </w:r>
        <w:r>
          <w:rPr>
            <w:noProof/>
            <w:webHidden/>
          </w:rPr>
          <w:instrText xml:space="preserve"> PAGEREF _Toc300002106 \h </w:instrText>
        </w:r>
        <w:r>
          <w:rPr>
            <w:noProof/>
            <w:webHidden/>
          </w:rPr>
          <w:fldChar w:fldCharType="separate"/>
        </w:r>
        <w:r>
          <w:rPr>
            <w:noProof/>
            <w:webHidden/>
          </w:rPr>
          <w:t>2111</w:t>
        </w:r>
        <w:r>
          <w:rPr>
            <w:noProof/>
            <w:webHidden/>
          </w:rPr>
          <w:fldChar w:fldCharType="end"/>
        </w:r>
      </w:hyperlink>
    </w:p>
    <w:p>
      <w:pPr>
        <w:pStyle w:val="TOC2"/>
      </w:pPr>
      <w:hyperlink w:anchor="_Toc300002107" w:history="1">
        <w:r>
          <w:rPr>
            <w:noProof/>
          </w:rPr>
          <w:t xml:space="preserve">Article 66.21: Cyber and Darknet Trafficking</w:t>
        </w:r>
        <w:r>
          <w:rPr>
            <w:noProof/>
            <w:webHidden/>
          </w:rPr>
          <w:tab/>
        </w:r>
        <w:r>
          <w:rPr>
            <w:noProof/>
            <w:webHidden/>
          </w:rPr>
          <w:fldChar w:fldCharType="begin"/>
        </w:r>
        <w:r>
          <w:rPr>
            <w:noProof/>
            <w:webHidden/>
          </w:rPr>
          <w:instrText xml:space="preserve"> PAGEREF _Toc300002107 \h </w:instrText>
        </w:r>
        <w:r>
          <w:rPr>
            <w:noProof/>
            <w:webHidden/>
          </w:rPr>
          <w:fldChar w:fldCharType="separate"/>
        </w:r>
        <w:r>
          <w:rPr>
            <w:noProof/>
            <w:webHidden/>
          </w:rPr>
          <w:t>2111</w:t>
        </w:r>
        <w:r>
          <w:rPr>
            <w:noProof/>
            <w:webHidden/>
          </w:rPr>
          <w:fldChar w:fldCharType="end"/>
        </w:r>
      </w:hyperlink>
    </w:p>
    <w:p>
      <w:pPr>
        <w:pStyle w:val="TOC2"/>
      </w:pPr>
      <w:hyperlink w:anchor="_Toc300002108" w:history="1">
        <w:r>
          <w:rPr>
            <w:noProof/>
          </w:rPr>
          <w:t xml:space="preserve">Article 66.22: No Encryption Backdoor Mandate</w:t>
        </w:r>
        <w:r>
          <w:rPr>
            <w:noProof/>
            <w:webHidden/>
          </w:rPr>
          <w:tab/>
        </w:r>
        <w:r>
          <w:rPr>
            <w:noProof/>
            <w:webHidden/>
          </w:rPr>
          <w:fldChar w:fldCharType="begin"/>
        </w:r>
        <w:r>
          <w:rPr>
            <w:noProof/>
            <w:webHidden/>
          </w:rPr>
          <w:instrText xml:space="preserve"> PAGEREF _Toc300002108 \h </w:instrText>
        </w:r>
        <w:r>
          <w:rPr>
            <w:noProof/>
            <w:webHidden/>
          </w:rPr>
          <w:fldChar w:fldCharType="separate"/>
        </w:r>
        <w:r>
          <w:rPr>
            <w:noProof/>
            <w:webHidden/>
          </w:rPr>
          <w:t>2112</w:t>
        </w:r>
        <w:r>
          <w:rPr>
            <w:noProof/>
            <w:webHidden/>
          </w:rPr>
          <w:fldChar w:fldCharType="end"/>
        </w:r>
      </w:hyperlink>
    </w:p>
    <w:p>
      <w:pPr>
        <w:pStyle w:val="TOC2"/>
      </w:pPr>
      <w:hyperlink w:anchor="_Toc300002109" w:history="1">
        <w:r>
          <w:rPr>
            <w:noProof/>
          </w:rPr>
          <w:t xml:space="preserve">Article 66.23: Targeted Surveillance Authorization Test</w:t>
        </w:r>
        <w:r>
          <w:rPr>
            <w:noProof/>
            <w:webHidden/>
          </w:rPr>
          <w:tab/>
        </w:r>
        <w:r>
          <w:rPr>
            <w:noProof/>
            <w:webHidden/>
          </w:rPr>
          <w:fldChar w:fldCharType="begin"/>
        </w:r>
        <w:r>
          <w:rPr>
            <w:noProof/>
            <w:webHidden/>
          </w:rPr>
          <w:instrText xml:space="preserve"> PAGEREF _Toc300002109 \h </w:instrText>
        </w:r>
        <w:r>
          <w:rPr>
            <w:noProof/>
            <w:webHidden/>
          </w:rPr>
          <w:fldChar w:fldCharType="separate"/>
        </w:r>
        <w:r>
          <w:rPr>
            <w:noProof/>
            <w:webHidden/>
          </w:rPr>
          <w:t>2112</w:t>
        </w:r>
        <w:r>
          <w:rPr>
            <w:noProof/>
            <w:webHidden/>
          </w:rPr>
          <w:fldChar w:fldCharType="end"/>
        </w:r>
      </w:hyperlink>
    </w:p>
    <w:p>
      <w:pPr>
        <w:pStyle w:val="TOC2"/>
      </w:pPr>
      <w:hyperlink w:anchor="_Toc300002110" w:history="1">
        <w:r>
          <w:rPr>
            <w:noProof/>
          </w:rPr>
          <w:t xml:space="preserve">Article 66.24: No Generalized Biometric or Licence-Plate Interoperability</w:t>
        </w:r>
        <w:r>
          <w:rPr>
            <w:noProof/>
            <w:webHidden/>
          </w:rPr>
          <w:tab/>
        </w:r>
        <w:r>
          <w:rPr>
            <w:noProof/>
            <w:webHidden/>
          </w:rPr>
          <w:fldChar w:fldCharType="begin"/>
        </w:r>
        <w:r>
          <w:rPr>
            <w:noProof/>
            <w:webHidden/>
          </w:rPr>
          <w:instrText xml:space="preserve"> PAGEREF _Toc300002110 \h </w:instrText>
        </w:r>
        <w:r>
          <w:rPr>
            <w:noProof/>
            <w:webHidden/>
          </w:rPr>
          <w:fldChar w:fldCharType="separate"/>
        </w:r>
        <w:r>
          <w:rPr>
            <w:noProof/>
            <w:webHidden/>
          </w:rPr>
          <w:t>2112</w:t>
        </w:r>
        <w:r>
          <w:rPr>
            <w:noProof/>
            <w:webHidden/>
          </w:rPr>
          <w:fldChar w:fldCharType="end"/>
        </w:r>
      </w:hyperlink>
    </w:p>
    <w:p>
      <w:pPr>
        <w:pStyle w:val="TOC2"/>
      </w:pPr>
      <w:hyperlink w:anchor="_Toc300002111" w:history="1">
        <w:r>
          <w:rPr>
            <w:noProof/>
          </w:rPr>
          <w:t xml:space="preserve">Article 66.25: Information-Sharing Purpose Limitation</w:t>
        </w:r>
        <w:r>
          <w:rPr>
            <w:noProof/>
            <w:webHidden/>
          </w:rPr>
          <w:tab/>
        </w:r>
        <w:r>
          <w:rPr>
            <w:noProof/>
            <w:webHidden/>
          </w:rPr>
          <w:fldChar w:fldCharType="begin"/>
        </w:r>
        <w:r>
          <w:rPr>
            <w:noProof/>
            <w:webHidden/>
          </w:rPr>
          <w:instrText xml:space="preserve"> PAGEREF _Toc300002111 \h </w:instrText>
        </w:r>
        <w:r>
          <w:rPr>
            <w:noProof/>
            <w:webHidden/>
          </w:rPr>
          <w:fldChar w:fldCharType="separate"/>
        </w:r>
        <w:r>
          <w:rPr>
            <w:noProof/>
            <w:webHidden/>
          </w:rPr>
          <w:t>2112</w:t>
        </w:r>
        <w:r>
          <w:rPr>
            <w:noProof/>
            <w:webHidden/>
          </w:rPr>
          <w:fldChar w:fldCharType="end"/>
        </w:r>
      </w:hyperlink>
    </w:p>
    <w:p>
      <w:pPr>
        <w:pStyle w:val="TOC2"/>
      </w:pPr>
      <w:hyperlink w:anchor="_Toc300002112" w:history="1">
        <w:r>
          <w:rPr>
            <w:noProof/>
          </w:rPr>
          <w:t xml:space="preserve">Article 66.26: Data Minimization and Case-Specific Default</w:t>
        </w:r>
        <w:r>
          <w:rPr>
            <w:noProof/>
            <w:webHidden/>
          </w:rPr>
          <w:tab/>
        </w:r>
        <w:r>
          <w:rPr>
            <w:noProof/>
            <w:webHidden/>
          </w:rPr>
          <w:fldChar w:fldCharType="begin"/>
        </w:r>
        <w:r>
          <w:rPr>
            <w:noProof/>
            <w:webHidden/>
          </w:rPr>
          <w:instrText xml:space="preserve"> PAGEREF _Toc300002112 \h </w:instrText>
        </w:r>
        <w:r>
          <w:rPr>
            <w:noProof/>
            <w:webHidden/>
          </w:rPr>
          <w:fldChar w:fldCharType="separate"/>
        </w:r>
        <w:r>
          <w:rPr>
            <w:noProof/>
            <w:webHidden/>
          </w:rPr>
          <w:t>2112</w:t>
        </w:r>
        <w:r>
          <w:rPr>
            <w:noProof/>
            <w:webHidden/>
          </w:rPr>
          <w:fldChar w:fldCharType="end"/>
        </w:r>
      </w:hyperlink>
    </w:p>
    <w:p>
      <w:pPr>
        <w:pStyle w:val="TOC2"/>
      </w:pPr>
      <w:hyperlink w:anchor="_Toc300002113" w:history="1">
        <w:r>
          <w:rPr>
            <w:noProof/>
          </w:rPr>
          <w:t xml:space="preserve">Article 66.27: Originator Control, Audit and Correction</w:t>
        </w:r>
        <w:r>
          <w:rPr>
            <w:noProof/>
            <w:webHidden/>
          </w:rPr>
          <w:tab/>
        </w:r>
        <w:r>
          <w:rPr>
            <w:noProof/>
            <w:webHidden/>
          </w:rPr>
          <w:fldChar w:fldCharType="begin"/>
        </w:r>
        <w:r>
          <w:rPr>
            <w:noProof/>
            <w:webHidden/>
          </w:rPr>
          <w:instrText xml:space="preserve"> PAGEREF _Toc300002113 \h </w:instrText>
        </w:r>
        <w:r>
          <w:rPr>
            <w:noProof/>
            <w:webHidden/>
          </w:rPr>
          <w:fldChar w:fldCharType="separate"/>
        </w:r>
        <w:r>
          <w:rPr>
            <w:noProof/>
            <w:webHidden/>
          </w:rPr>
          <w:t>2113</w:t>
        </w:r>
        <w:r>
          <w:rPr>
            <w:noProof/>
            <w:webHidden/>
          </w:rPr>
          <w:fldChar w:fldCharType="end"/>
        </w:r>
      </w:hyperlink>
    </w:p>
    <w:p>
      <w:pPr>
        <w:pStyle w:val="TOC2"/>
      </w:pPr>
      <w:hyperlink w:anchor="_Toc300002114" w:history="1">
        <w:r>
          <w:rPr>
            <w:noProof/>
          </w:rPr>
          <w:t xml:space="preserve">Article 66.28: Redress and Sensitive Categories</w:t>
        </w:r>
        <w:r>
          <w:rPr>
            <w:noProof/>
            <w:webHidden/>
          </w:rPr>
          <w:tab/>
        </w:r>
        <w:r>
          <w:rPr>
            <w:noProof/>
            <w:webHidden/>
          </w:rPr>
          <w:fldChar w:fldCharType="begin"/>
        </w:r>
        <w:r>
          <w:rPr>
            <w:noProof/>
            <w:webHidden/>
          </w:rPr>
          <w:instrText xml:space="preserve"> PAGEREF _Toc300002114 \h </w:instrText>
        </w:r>
        <w:r>
          <w:rPr>
            <w:noProof/>
            <w:webHidden/>
          </w:rPr>
          <w:fldChar w:fldCharType="separate"/>
        </w:r>
        <w:r>
          <w:rPr>
            <w:noProof/>
            <w:webHidden/>
          </w:rPr>
          <w:t>2113</w:t>
        </w:r>
        <w:r>
          <w:rPr>
            <w:noProof/>
            <w:webHidden/>
          </w:rPr>
          <w:fldChar w:fldCharType="end"/>
        </w:r>
      </w:hyperlink>
    </w:p>
    <w:p>
      <w:pPr>
        <w:pStyle w:val="TOC2"/>
      </w:pPr>
      <w:hyperlink w:anchor="_Toc300002115" w:history="1">
        <w:r>
          <w:rPr>
            <w:noProof/>
          </w:rPr>
          <w:t xml:space="preserve">Article 66.29: No Automated Adverse Action Solely From Foreign Data</w:t>
        </w:r>
        <w:r>
          <w:rPr>
            <w:noProof/>
            <w:webHidden/>
          </w:rPr>
          <w:tab/>
        </w:r>
        <w:r>
          <w:rPr>
            <w:noProof/>
            <w:webHidden/>
          </w:rPr>
          <w:fldChar w:fldCharType="begin"/>
        </w:r>
        <w:r>
          <w:rPr>
            <w:noProof/>
            <w:webHidden/>
          </w:rPr>
          <w:instrText xml:space="preserve"> PAGEREF _Toc300002115 \h </w:instrText>
        </w:r>
        <w:r>
          <w:rPr>
            <w:noProof/>
            <w:webHidden/>
          </w:rPr>
          <w:fldChar w:fldCharType="separate"/>
        </w:r>
        <w:r>
          <w:rPr>
            <w:noProof/>
            <w:webHidden/>
          </w:rPr>
          <w:t>2113</w:t>
        </w:r>
        <w:r>
          <w:rPr>
            <w:noProof/>
            <w:webHidden/>
          </w:rPr>
          <w:fldChar w:fldCharType="end"/>
        </w:r>
      </w:hyperlink>
    </w:p>
    <w:p>
      <w:pPr>
        <w:pStyle w:val="TOC2"/>
      </w:pPr>
      <w:hyperlink w:anchor="_Toc300002116" w:history="1">
        <w:r>
          <w:rPr>
            <w:noProof/>
          </w:rPr>
          <w:t xml:space="preserve">Article 66.30: Immigration-Purpose Firewall</w:t>
        </w:r>
        <w:r>
          <w:rPr>
            <w:noProof/>
            <w:webHidden/>
          </w:rPr>
          <w:tab/>
        </w:r>
        <w:r>
          <w:rPr>
            <w:noProof/>
            <w:webHidden/>
          </w:rPr>
          <w:fldChar w:fldCharType="begin"/>
        </w:r>
        <w:r>
          <w:rPr>
            <w:noProof/>
            <w:webHidden/>
          </w:rPr>
          <w:instrText xml:space="preserve"> PAGEREF _Toc300002116 \h </w:instrText>
        </w:r>
        <w:r>
          <w:rPr>
            <w:noProof/>
            <w:webHidden/>
          </w:rPr>
          <w:fldChar w:fldCharType="separate"/>
        </w:r>
        <w:r>
          <w:rPr>
            <w:noProof/>
            <w:webHidden/>
          </w:rPr>
          <w:t>2113</w:t>
        </w:r>
        <w:r>
          <w:rPr>
            <w:noProof/>
            <w:webHidden/>
          </w:rPr>
          <w:fldChar w:fldCharType="end"/>
        </w:r>
      </w:hyperlink>
    </w:p>
    <w:p>
      <w:pPr>
        <w:pStyle w:val="TOC2"/>
      </w:pPr>
      <w:hyperlink w:anchor="_Toc300002117" w:history="1">
        <w:r>
          <w:rPr>
            <w:noProof/>
          </w:rPr>
          <w:t xml:space="preserve">Article 66.31: Indigenous and Border-Community Protection</w:t>
        </w:r>
        <w:r>
          <w:rPr>
            <w:noProof/>
            <w:webHidden/>
          </w:rPr>
          <w:tab/>
        </w:r>
        <w:r>
          <w:rPr>
            <w:noProof/>
            <w:webHidden/>
          </w:rPr>
          <w:fldChar w:fldCharType="begin"/>
        </w:r>
        <w:r>
          <w:rPr>
            <w:noProof/>
            <w:webHidden/>
          </w:rPr>
          <w:instrText xml:space="preserve"> PAGEREF _Toc300002117 \h </w:instrText>
        </w:r>
        <w:r>
          <w:rPr>
            <w:noProof/>
            <w:webHidden/>
          </w:rPr>
          <w:fldChar w:fldCharType="separate"/>
        </w:r>
        <w:r>
          <w:rPr>
            <w:noProof/>
            <w:webHidden/>
          </w:rPr>
          <w:t>2114</w:t>
        </w:r>
        <w:r>
          <w:rPr>
            <w:noProof/>
            <w:webHidden/>
          </w:rPr>
          <w:fldChar w:fldCharType="end"/>
        </w:r>
      </w:hyperlink>
    </w:p>
    <w:p>
      <w:pPr>
        <w:pStyle w:val="TOC2"/>
      </w:pPr>
      <w:hyperlink w:anchor="_Toc300002118" w:history="1">
        <w:r>
          <w:rPr>
            <w:noProof/>
          </w:rPr>
          <w:t xml:space="preserve">Article 66.32: Personnel, Training and Integrity</w:t>
        </w:r>
        <w:r>
          <w:rPr>
            <w:noProof/>
            <w:webHidden/>
          </w:rPr>
          <w:tab/>
        </w:r>
        <w:r>
          <w:rPr>
            <w:noProof/>
            <w:webHidden/>
          </w:rPr>
          <w:fldChar w:fldCharType="begin"/>
        </w:r>
        <w:r>
          <w:rPr>
            <w:noProof/>
            <w:webHidden/>
          </w:rPr>
          <w:instrText xml:space="preserve"> PAGEREF _Toc300002118 \h </w:instrText>
        </w:r>
        <w:r>
          <w:rPr>
            <w:noProof/>
            <w:webHidden/>
          </w:rPr>
          <w:fldChar w:fldCharType="separate"/>
        </w:r>
        <w:r>
          <w:rPr>
            <w:noProof/>
            <w:webHidden/>
          </w:rPr>
          <w:t>2114</w:t>
        </w:r>
        <w:r>
          <w:rPr>
            <w:noProof/>
            <w:webHidden/>
          </w:rPr>
          <w:fldChar w:fldCharType="end"/>
        </w:r>
      </w:hyperlink>
    </w:p>
    <w:p>
      <w:pPr>
        <w:pStyle w:val="TOC2"/>
      </w:pPr>
      <w:hyperlink w:anchor="_Toc300002119" w:history="1">
        <w:r>
          <w:rPr>
            <w:noProof/>
          </w:rPr>
          <w:t xml:space="preserve">Article 66.33: Public Health and Officer Safety</w:t>
        </w:r>
        <w:r>
          <w:rPr>
            <w:noProof/>
            <w:webHidden/>
          </w:rPr>
          <w:tab/>
        </w:r>
        <w:r>
          <w:rPr>
            <w:noProof/>
            <w:webHidden/>
          </w:rPr>
          <w:fldChar w:fldCharType="begin"/>
        </w:r>
        <w:r>
          <w:rPr>
            <w:noProof/>
            <w:webHidden/>
          </w:rPr>
          <w:instrText xml:space="preserve"> PAGEREF _Toc300002119 \h </w:instrText>
        </w:r>
        <w:r>
          <w:rPr>
            <w:noProof/>
            <w:webHidden/>
          </w:rPr>
          <w:fldChar w:fldCharType="separate"/>
        </w:r>
        <w:r>
          <w:rPr>
            <w:noProof/>
            <w:webHidden/>
          </w:rPr>
          <w:t>2114</w:t>
        </w:r>
        <w:r>
          <w:rPr>
            <w:noProof/>
            <w:webHidden/>
          </w:rPr>
          <w:fldChar w:fldCharType="end"/>
        </w:r>
      </w:hyperlink>
    </w:p>
    <w:p>
      <w:pPr>
        <w:pStyle w:val="TOC2"/>
      </w:pPr>
      <w:hyperlink w:anchor="_Toc300002120" w:history="1">
        <w:r>
          <w:rPr>
            <w:noProof/>
          </w:rPr>
          <w:t xml:space="preserve">Article 66.34: North American Shield Coordination</w:t>
        </w:r>
        <w:r>
          <w:rPr>
            <w:noProof/>
            <w:webHidden/>
          </w:rPr>
          <w:tab/>
        </w:r>
        <w:r>
          <w:rPr>
            <w:noProof/>
            <w:webHidden/>
          </w:rPr>
          <w:fldChar w:fldCharType="begin"/>
        </w:r>
        <w:r>
          <w:rPr>
            <w:noProof/>
            <w:webHidden/>
          </w:rPr>
          <w:instrText xml:space="preserve"> PAGEREF _Toc300002120 \h </w:instrText>
        </w:r>
        <w:r>
          <w:rPr>
            <w:noProof/>
            <w:webHidden/>
          </w:rPr>
          <w:fldChar w:fldCharType="separate"/>
        </w:r>
        <w:r>
          <w:rPr>
            <w:noProof/>
            <w:webHidden/>
          </w:rPr>
          <w:t>2114</w:t>
        </w:r>
        <w:r>
          <w:rPr>
            <w:noProof/>
            <w:webHidden/>
          </w:rPr>
          <w:fldChar w:fldCharType="end"/>
        </w:r>
      </w:hyperlink>
    </w:p>
    <w:p>
      <w:pPr>
        <w:pStyle w:val="TOC2"/>
      </w:pPr>
      <w:hyperlink w:anchor="_Toc300002121" w:history="1">
        <w:r>
          <w:rPr>
            <w:noProof/>
          </w:rPr>
          <w:t xml:space="preserve">Article 66.35: Shield Performance Dashboard</w:t>
        </w:r>
        <w:r>
          <w:rPr>
            <w:noProof/>
            <w:webHidden/>
          </w:rPr>
          <w:tab/>
        </w:r>
        <w:r>
          <w:rPr>
            <w:noProof/>
            <w:webHidden/>
          </w:rPr>
          <w:fldChar w:fldCharType="begin"/>
        </w:r>
        <w:r>
          <w:rPr>
            <w:noProof/>
            <w:webHidden/>
          </w:rPr>
          <w:instrText xml:space="preserve"> PAGEREF _Toc300002121 \h </w:instrText>
        </w:r>
        <w:r>
          <w:rPr>
            <w:noProof/>
            <w:webHidden/>
          </w:rPr>
          <w:fldChar w:fldCharType="separate"/>
        </w:r>
        <w:r>
          <w:rPr>
            <w:noProof/>
            <w:webHidden/>
          </w:rPr>
          <w:t>2115</w:t>
        </w:r>
        <w:r>
          <w:rPr>
            <w:noProof/>
            <w:webHidden/>
          </w:rPr>
          <w:fldChar w:fldCharType="end"/>
        </w:r>
      </w:hyperlink>
    </w:p>
    <w:p>
      <w:pPr>
        <w:pStyle w:val="TOC2"/>
      </w:pPr>
      <w:hyperlink w:anchor="_Toc300002122" w:history="1">
        <w:r>
          <w:rPr>
            <w:noProof/>
          </w:rPr>
          <w:t xml:space="preserve">Article 66.36: Metric Integrity</w:t>
        </w:r>
        <w:r>
          <w:rPr>
            <w:noProof/>
            <w:webHidden/>
          </w:rPr>
          <w:tab/>
        </w:r>
        <w:r>
          <w:rPr>
            <w:noProof/>
            <w:webHidden/>
          </w:rPr>
          <w:fldChar w:fldCharType="begin"/>
        </w:r>
        <w:r>
          <w:rPr>
            <w:noProof/>
            <w:webHidden/>
          </w:rPr>
          <w:instrText xml:space="preserve"> PAGEREF _Toc300002122 \h </w:instrText>
        </w:r>
        <w:r>
          <w:rPr>
            <w:noProof/>
            <w:webHidden/>
          </w:rPr>
          <w:fldChar w:fldCharType="separate"/>
        </w:r>
        <w:r>
          <w:rPr>
            <w:noProof/>
            <w:webHidden/>
          </w:rPr>
          <w:t>2115</w:t>
        </w:r>
        <w:r>
          <w:rPr>
            <w:noProof/>
            <w:webHidden/>
          </w:rPr>
          <w:fldChar w:fldCharType="end"/>
        </w:r>
      </w:hyperlink>
    </w:p>
    <w:p>
      <w:pPr>
        <w:pStyle w:val="TOC2"/>
      </w:pPr>
      <w:hyperlink w:anchor="_Toc300002123" w:history="1">
        <w:r>
          <w:rPr>
            <w:noProof/>
          </w:rPr>
          <w:t xml:space="preserve">Article 66.37: Security Performance Assurance</w:t>
        </w:r>
        <w:r>
          <w:rPr>
            <w:noProof/>
            <w:webHidden/>
          </w:rPr>
          <w:tab/>
        </w:r>
        <w:r>
          <w:rPr>
            <w:noProof/>
            <w:webHidden/>
          </w:rPr>
          <w:fldChar w:fldCharType="begin"/>
        </w:r>
        <w:r>
          <w:rPr>
            <w:noProof/>
            <w:webHidden/>
          </w:rPr>
          <w:instrText xml:space="preserve"> PAGEREF _Toc300002123 \h </w:instrText>
        </w:r>
        <w:r>
          <w:rPr>
            <w:noProof/>
            <w:webHidden/>
          </w:rPr>
          <w:fldChar w:fldCharType="separate"/>
        </w:r>
        <w:r>
          <w:rPr>
            <w:noProof/>
            <w:webHidden/>
          </w:rPr>
          <w:t>2115</w:t>
        </w:r>
        <w:r>
          <w:rPr>
            <w:noProof/>
            <w:webHidden/>
          </w:rPr>
          <w:fldChar w:fldCharType="end"/>
        </w:r>
      </w:hyperlink>
    </w:p>
    <w:p>
      <w:pPr>
        <w:pStyle w:val="TOC2"/>
      </w:pPr>
      <w:hyperlink w:anchor="_Toc300002124" w:history="1">
        <w:r>
          <w:rPr>
            <w:noProof/>
          </w:rPr>
          <w:t xml:space="preserve">Article 66.38: Security Performance Safe Harbor</w:t>
        </w:r>
        <w:r>
          <w:rPr>
            <w:noProof/>
            <w:webHidden/>
          </w:rPr>
          <w:tab/>
        </w:r>
        <w:r>
          <w:rPr>
            <w:noProof/>
            <w:webHidden/>
          </w:rPr>
          <w:fldChar w:fldCharType="begin"/>
        </w:r>
        <w:r>
          <w:rPr>
            <w:noProof/>
            <w:webHidden/>
          </w:rPr>
          <w:instrText xml:space="preserve"> PAGEREF _Toc300002124 \h </w:instrText>
        </w:r>
        <w:r>
          <w:rPr>
            <w:noProof/>
            <w:webHidden/>
          </w:rPr>
          <w:fldChar w:fldCharType="separate"/>
        </w:r>
        <w:r>
          <w:rPr>
            <w:noProof/>
            <w:webHidden/>
          </w:rPr>
          <w:t>2115</w:t>
        </w:r>
        <w:r>
          <w:rPr>
            <w:noProof/>
            <w:webHidden/>
          </w:rPr>
          <w:fldChar w:fldCharType="end"/>
        </w:r>
      </w:hyperlink>
    </w:p>
    <w:p>
      <w:pPr>
        <w:pStyle w:val="TOC2"/>
      </w:pPr>
      <w:hyperlink w:anchor="_Toc300002125" w:history="1">
        <w:r>
          <w:rPr>
            <w:noProof/>
          </w:rPr>
          <w:t xml:space="preserve">Article 66.39: Covered-Rationale Exhaustion</w:t>
        </w:r>
        <w:r>
          <w:rPr>
            <w:noProof/>
            <w:webHidden/>
          </w:rPr>
          <w:tab/>
        </w:r>
        <w:r>
          <w:rPr>
            <w:noProof/>
            <w:webHidden/>
          </w:rPr>
          <w:fldChar w:fldCharType="begin"/>
        </w:r>
        <w:r>
          <w:rPr>
            <w:noProof/>
            <w:webHidden/>
          </w:rPr>
          <w:instrText xml:space="preserve"> PAGEREF _Toc300002125 \h </w:instrText>
        </w:r>
        <w:r>
          <w:rPr>
            <w:noProof/>
            <w:webHidden/>
          </w:rPr>
          <w:fldChar w:fldCharType="separate"/>
        </w:r>
        <w:r>
          <w:rPr>
            <w:noProof/>
            <w:webHidden/>
          </w:rPr>
          <w:t>2116</w:t>
        </w:r>
        <w:r>
          <w:rPr>
            <w:noProof/>
            <w:webHidden/>
          </w:rPr>
          <w:fldChar w:fldCharType="end"/>
        </w:r>
      </w:hyperlink>
    </w:p>
    <w:p>
      <w:pPr>
        <w:pStyle w:val="TOC2"/>
      </w:pPr>
      <w:hyperlink w:anchor="_Toc300002126" w:history="1">
        <w:r>
          <w:rPr>
            <w:noProof/>
          </w:rPr>
          <w:t xml:space="preserve">Article 66.40: Verification, Consultation and Cure</w:t>
        </w:r>
        <w:r>
          <w:rPr>
            <w:noProof/>
            <w:webHidden/>
          </w:rPr>
          <w:tab/>
        </w:r>
        <w:r>
          <w:rPr>
            <w:noProof/>
            <w:webHidden/>
          </w:rPr>
          <w:fldChar w:fldCharType="begin"/>
        </w:r>
        <w:r>
          <w:rPr>
            <w:noProof/>
            <w:webHidden/>
          </w:rPr>
          <w:instrText xml:space="preserve"> PAGEREF _Toc300002126 \h </w:instrText>
        </w:r>
        <w:r>
          <w:rPr>
            <w:noProof/>
            <w:webHidden/>
          </w:rPr>
          <w:fldChar w:fldCharType="separate"/>
        </w:r>
        <w:r>
          <w:rPr>
            <w:noProof/>
            <w:webHidden/>
          </w:rPr>
          <w:t>2116</w:t>
        </w:r>
        <w:r>
          <w:rPr>
            <w:noProof/>
            <w:webHidden/>
          </w:rPr>
          <w:fldChar w:fldCharType="end"/>
        </w:r>
      </w:hyperlink>
    </w:p>
    <w:p>
      <w:pPr>
        <w:pStyle w:val="TOC2"/>
      </w:pPr>
      <w:hyperlink w:anchor="_Toc300002127" w:history="1">
        <w:r>
          <w:rPr>
            <w:noProof/>
          </w:rPr>
          <w:t xml:space="preserve">Article 66.41: Proportional Shield-Specific Step-Back and Restoration</w:t>
        </w:r>
        <w:r>
          <w:rPr>
            <w:noProof/>
            <w:webHidden/>
          </w:rPr>
          <w:tab/>
        </w:r>
        <w:r>
          <w:rPr>
            <w:noProof/>
            <w:webHidden/>
          </w:rPr>
          <w:fldChar w:fldCharType="begin"/>
        </w:r>
        <w:r>
          <w:rPr>
            <w:noProof/>
            <w:webHidden/>
          </w:rPr>
          <w:instrText xml:space="preserve"> PAGEREF _Toc300002127 \h </w:instrText>
        </w:r>
        <w:r>
          <w:rPr>
            <w:noProof/>
            <w:webHidden/>
          </w:rPr>
          <w:fldChar w:fldCharType="separate"/>
        </w:r>
        <w:r>
          <w:rPr>
            <w:noProof/>
            <w:webHidden/>
          </w:rPr>
          <w:t>2116</w:t>
        </w:r>
        <w:r>
          <w:rPr>
            <w:noProof/>
            <w:webHidden/>
          </w:rPr>
          <w:fldChar w:fldCharType="end"/>
        </w:r>
      </w:hyperlink>
    </w:p>
    <w:p>
      <w:pPr>
        <w:pStyle w:val="TOC2"/>
      </w:pPr>
      <w:hyperlink w:anchor="_Toc300002128" w:history="1">
        <w:r>
          <w:rPr>
            <w:noProof/>
          </w:rPr>
          <w:t xml:space="preserve">Article 66.42: Review, Pilots and No Automatic Permanence</w:t>
        </w:r>
        <w:r>
          <w:rPr>
            <w:noProof/>
            <w:webHidden/>
          </w:rPr>
          <w:tab/>
        </w:r>
        <w:r>
          <w:rPr>
            <w:noProof/>
            <w:webHidden/>
          </w:rPr>
          <w:fldChar w:fldCharType="begin"/>
        </w:r>
        <w:r>
          <w:rPr>
            <w:noProof/>
            <w:webHidden/>
          </w:rPr>
          <w:instrText xml:space="preserve"> PAGEREF _Toc300002128 \h </w:instrText>
        </w:r>
        <w:r>
          <w:rPr>
            <w:noProof/>
            <w:webHidden/>
          </w:rPr>
          <w:fldChar w:fldCharType="separate"/>
        </w:r>
        <w:r>
          <w:rPr>
            <w:noProof/>
            <w:webHidden/>
          </w:rPr>
          <w:t>2117</w:t>
        </w:r>
        <w:r>
          <w:rPr>
            <w:noProof/>
            <w:webHidden/>
          </w:rPr>
          <w:fldChar w:fldCharType="end"/>
        </w:r>
      </w:hyperlink>
    </w:p>
    <w:p>
      <w:pPr>
        <w:pStyle w:val="TOC2"/>
      </w:pPr>
      <w:hyperlink w:anchor="_Toc300002129" w:history="1">
        <w:r>
          <w:rPr>
            <w:noProof/>
          </w:rPr>
          <w:t xml:space="preserve">ANNEX 66-A: BINDING COMMITMENTS REFERENCE REGISTER</w:t>
        </w:r>
        <w:r>
          <w:rPr>
            <w:noProof/>
            <w:webHidden/>
          </w:rPr>
          <w:tab/>
        </w:r>
        <w:r>
          <w:rPr>
            <w:noProof/>
            <w:webHidden/>
          </w:rPr>
          <w:fldChar w:fldCharType="begin"/>
        </w:r>
        <w:r>
          <w:rPr>
            <w:noProof/>
            <w:webHidden/>
          </w:rPr>
          <w:instrText xml:space="preserve"> PAGEREF _Toc300002129 \h </w:instrText>
        </w:r>
        <w:r>
          <w:rPr>
            <w:noProof/>
            <w:webHidden/>
          </w:rPr>
          <w:fldChar w:fldCharType="separate"/>
        </w:r>
        <w:r>
          <w:rPr>
            <w:noProof/>
            <w:webHidden/>
          </w:rPr>
          <w:t>2117</w:t>
        </w:r>
        <w:r>
          <w:rPr>
            <w:noProof/>
            <w:webHidden/>
          </w:rPr>
          <w:fldChar w:fldCharType="end"/>
        </w:r>
      </w:hyperlink>
    </w:p>
    <w:p>
      <w:pPr>
        <w:pStyle w:val="TOC2"/>
      </w:pPr>
      <w:hyperlink w:anchor="_Toc300002130" w:history="1">
        <w:r>
          <w:rPr>
            <w:noProof/>
          </w:rPr>
          <w:t xml:space="preserve">ANNEX 66-B: OPERATIONAL MECHANISMS REFERENCE REGISTER</w:t>
        </w:r>
        <w:r>
          <w:rPr>
            <w:noProof/>
            <w:webHidden/>
          </w:rPr>
          <w:tab/>
        </w:r>
        <w:r>
          <w:rPr>
            <w:noProof/>
            <w:webHidden/>
          </w:rPr>
          <w:fldChar w:fldCharType="begin"/>
        </w:r>
        <w:r>
          <w:rPr>
            <w:noProof/>
            <w:webHidden/>
          </w:rPr>
          <w:instrText xml:space="preserve"> PAGEREF _Toc300002130 \h </w:instrText>
        </w:r>
        <w:r>
          <w:rPr>
            <w:noProof/>
            <w:webHidden/>
          </w:rPr>
          <w:fldChar w:fldCharType="separate"/>
        </w:r>
        <w:r>
          <w:rPr>
            <w:noProof/>
            <w:webHidden/>
          </w:rPr>
          <w:t>2119</w:t>
        </w:r>
        <w:r>
          <w:rPr>
            <w:noProof/>
            <w:webHidden/>
          </w:rPr>
          <w:fldChar w:fldCharType="end"/>
        </w:r>
      </w:hyperlink>
    </w:p>
    <w:p>
      <w:pPr>
        <w:pStyle w:val="TOC2"/>
      </w:pPr>
      <w:hyperlink w:anchor="_Toc300002131" w:history="1">
        <w:r>
          <w:rPr>
            <w:noProof/>
          </w:rPr>
          <w:t xml:space="preserve">ANNEX 66-C: CONTROLLED NATIONAL IMPLEMENTATION SCHEDULE REGISTER</w:t>
        </w:r>
        <w:r>
          <w:rPr>
            <w:noProof/>
            <w:webHidden/>
          </w:rPr>
          <w:tab/>
        </w:r>
        <w:r>
          <w:rPr>
            <w:noProof/>
            <w:webHidden/>
          </w:rPr>
          <w:fldChar w:fldCharType="begin"/>
        </w:r>
        <w:r>
          <w:rPr>
            <w:noProof/>
            <w:webHidden/>
          </w:rPr>
          <w:instrText xml:space="preserve"> PAGEREF _Toc300002131 \h </w:instrText>
        </w:r>
        <w:r>
          <w:rPr>
            <w:noProof/>
            <w:webHidden/>
          </w:rPr>
          <w:fldChar w:fldCharType="separate"/>
        </w:r>
        <w:r>
          <w:rPr>
            <w:noProof/>
            <w:webHidden/>
          </w:rPr>
          <w:t>2123</w:t>
        </w:r>
        <w:r>
          <w:rPr>
            <w:noProof/>
            <w:webHidden/>
          </w:rPr>
          <w:fldChar w:fldCharType="end"/>
        </w:r>
      </w:hyperlink>
    </w:p>
    <w:p>
      <w:pPr>
        <w:pStyle w:val="TOC2"/>
      </w:pPr>
      <w:hyperlink w:anchor="_Toc300002132" w:history="1">
        <w:r>
          <w:rPr>
            <w:noProof/>
          </w:rPr>
          <w:t xml:space="preserve">ANNEX 66-D: OPTIONAL CONTROLLED PILOT REGISTER</w:t>
        </w:r>
        <w:r>
          <w:rPr>
            <w:noProof/>
            <w:webHidden/>
          </w:rPr>
          <w:tab/>
        </w:r>
        <w:r>
          <w:rPr>
            <w:noProof/>
            <w:webHidden/>
          </w:rPr>
          <w:fldChar w:fldCharType="begin"/>
        </w:r>
        <w:r>
          <w:rPr>
            <w:noProof/>
            <w:webHidden/>
          </w:rPr>
          <w:instrText xml:space="preserve"> PAGEREF _Toc300002132 \h </w:instrText>
        </w:r>
        <w:r>
          <w:rPr>
            <w:noProof/>
            <w:webHidden/>
          </w:rPr>
          <w:fldChar w:fldCharType="separate"/>
        </w:r>
        <w:r>
          <w:rPr>
            <w:noProof/>
            <w:webHidden/>
          </w:rPr>
          <w:t>2126</w:t>
        </w:r>
        <w:r>
          <w:rPr>
            <w:noProof/>
            <w:webHidden/>
          </w:rPr>
          <w:fldChar w:fldCharType="end"/>
        </w:r>
      </w:hyperlink>
    </w:p>
    <w:p>
      <w:pPr>
        <w:pStyle w:val="TOC2"/>
      </w:pPr>
      <w:hyperlink w:anchor="_Toc300002133" w:history="1">
        <w:r>
          <w:rPr>
            <w:noProof/>
          </w:rPr>
          <w:t xml:space="preserve">ANNEX 66-E: NON-BINDING PUBLIC COMMUNICATIONS / VISIBLE-WIN OVERLAY</w:t>
        </w:r>
        <w:r>
          <w:rPr>
            <w:noProof/>
            <w:webHidden/>
          </w:rPr>
          <w:tab/>
        </w:r>
        <w:r>
          <w:rPr>
            <w:noProof/>
            <w:webHidden/>
          </w:rPr>
          <w:fldChar w:fldCharType="begin"/>
        </w:r>
        <w:r>
          <w:rPr>
            <w:noProof/>
            <w:webHidden/>
          </w:rPr>
          <w:instrText xml:space="preserve"> PAGEREF _Toc300002133 \h </w:instrText>
        </w:r>
        <w:r>
          <w:rPr>
            <w:noProof/>
            <w:webHidden/>
          </w:rPr>
          <w:fldChar w:fldCharType="separate"/>
        </w:r>
        <w:r>
          <w:rPr>
            <w:noProof/>
            <w:webHidden/>
          </w:rPr>
          <w:t>2126</w:t>
        </w:r>
        <w:r>
          <w:rPr>
            <w:noProof/>
            <w:webHidden/>
          </w:rPr>
          <w:fldChar w:fldCharType="end"/>
        </w:r>
      </w:hyperlink>
    </w:p>
    <w:p>
      <w:pPr>
        <w:pStyle w:val="TOC2"/>
      </w:pPr>
      <w:hyperlink w:anchor="_Toc300002134" w:history="1">
        <w:r>
          <w:rPr>
            <w:noProof/>
          </w:rPr>
          <w:t xml:space="preserve">ANNEX 66-F: TREATY-WIDE FACT, AUTHORITY AND CLAIM VERIFICATION RULE</w:t>
        </w:r>
        <w:r>
          <w:rPr>
            <w:noProof/>
            <w:webHidden/>
          </w:rPr>
          <w:tab/>
        </w:r>
        <w:r>
          <w:rPr>
            <w:noProof/>
            <w:webHidden/>
          </w:rPr>
          <w:fldChar w:fldCharType="begin"/>
        </w:r>
        <w:r>
          <w:rPr>
            <w:noProof/>
            <w:webHidden/>
          </w:rPr>
          <w:instrText xml:space="preserve"> PAGEREF _Toc300002134 \h </w:instrText>
        </w:r>
        <w:r>
          <w:rPr>
            <w:noProof/>
            <w:webHidden/>
          </w:rPr>
          <w:fldChar w:fldCharType="separate"/>
        </w:r>
        <w:r>
          <w:rPr>
            <w:noProof/>
            <w:webHidden/>
          </w:rPr>
          <w:t>2127</w:t>
        </w:r>
        <w:r>
          <w:rPr>
            <w:noProof/>
            <w:webHidden/>
          </w:rPr>
          <w:fldChar w:fldCharType="end"/>
        </w:r>
      </w:hyperlink>
    </w:p>
    <w:p>
      <w:pPr>
        <w:pStyle w:val="TOC1"/>
      </w:pPr>
      <w:hyperlink w:anchor="_Toc300002135" w:history="1">
        <w:r>
          <w:rPr>
            <w:noProof/>
          </w:rPr>
          <w:t xml:space="preserve">CHAPTER 67: NORTH AMERICAN ARCTIC SECURITY, SOVEREIGNTY AND CONTINENTAL DEFENCE COMPACT</w:t>
        </w:r>
        <w:r>
          <w:rPr>
            <w:noProof/>
            <w:webHidden/>
          </w:rPr>
          <w:tab/>
        </w:r>
        <w:r>
          <w:rPr>
            <w:noProof/>
            <w:webHidden/>
          </w:rPr>
          <w:fldChar w:fldCharType="begin"/>
        </w:r>
        <w:r>
          <w:rPr>
            <w:noProof/>
            <w:webHidden/>
          </w:rPr>
          <w:instrText xml:space="preserve"> PAGEREF _Toc300002135 \h </w:instrText>
        </w:r>
        <w:r>
          <w:rPr>
            <w:noProof/>
            <w:webHidden/>
          </w:rPr>
          <w:fldChar w:fldCharType="separate"/>
        </w:r>
        <w:r>
          <w:rPr>
            <w:noProof/>
            <w:webHidden/>
          </w:rPr>
          <w:t>2128</w:t>
        </w:r>
        <w:r>
          <w:rPr>
            <w:noProof/>
            <w:webHidden/>
          </w:rPr>
          <w:fldChar w:fldCharType="end"/>
        </w:r>
      </w:hyperlink>
    </w:p>
    <w:p>
      <w:pPr>
        <w:pStyle w:val="TOC2"/>
      </w:pPr>
      <w:hyperlink w:anchor="_Toc300002136" w:history="1">
        <w:r>
          <w:rPr>
            <w:noProof/>
          </w:rPr>
          <w:t xml:space="preserve">ARTICLE 67.1: Purpose and Bargain</w:t>
        </w:r>
        <w:r>
          <w:rPr>
            <w:noProof/>
            <w:webHidden/>
          </w:rPr>
          <w:tab/>
        </w:r>
        <w:r>
          <w:rPr>
            <w:noProof/>
            <w:webHidden/>
          </w:rPr>
          <w:fldChar w:fldCharType="begin"/>
        </w:r>
        <w:r>
          <w:rPr>
            <w:noProof/>
            <w:webHidden/>
          </w:rPr>
          <w:instrText xml:space="preserve"> PAGEREF _Toc300002136 \h </w:instrText>
        </w:r>
        <w:r>
          <w:rPr>
            <w:noProof/>
            <w:webHidden/>
          </w:rPr>
          <w:fldChar w:fldCharType="separate"/>
        </w:r>
        <w:r>
          <w:rPr>
            <w:noProof/>
            <w:webHidden/>
          </w:rPr>
          <w:t>2128</w:t>
        </w:r>
        <w:r>
          <w:rPr>
            <w:noProof/>
            <w:webHidden/>
          </w:rPr>
          <w:fldChar w:fldCharType="end"/>
        </w:r>
      </w:hyperlink>
    </w:p>
    <w:p>
      <w:pPr>
        <w:pStyle w:val="TOC2"/>
      </w:pPr>
      <w:hyperlink w:anchor="_Toc300002137" w:history="1">
        <w:r>
          <w:rPr>
            <w:noProof/>
          </w:rPr>
          <w:t xml:space="preserve">ARTICLE 67.2: Governing Principle, Sovereign Infrastructure, Continental Benefit</w:t>
        </w:r>
        <w:r>
          <w:rPr>
            <w:noProof/>
            <w:webHidden/>
          </w:rPr>
          <w:tab/>
        </w:r>
        <w:r>
          <w:rPr>
            <w:noProof/>
            <w:webHidden/>
          </w:rPr>
          <w:fldChar w:fldCharType="begin"/>
        </w:r>
        <w:r>
          <w:rPr>
            <w:noProof/>
            <w:webHidden/>
          </w:rPr>
          <w:instrText xml:space="preserve"> PAGEREF _Toc300002137 \h </w:instrText>
        </w:r>
        <w:r>
          <w:rPr>
            <w:noProof/>
            <w:webHidden/>
          </w:rPr>
          <w:fldChar w:fldCharType="separate"/>
        </w:r>
        <w:r>
          <w:rPr>
            <w:noProof/>
            <w:webHidden/>
          </w:rPr>
          <w:t>2128</w:t>
        </w:r>
        <w:r>
          <w:rPr>
            <w:noProof/>
            <w:webHidden/>
          </w:rPr>
          <w:fldChar w:fldCharType="end"/>
        </w:r>
      </w:hyperlink>
    </w:p>
    <w:p>
      <w:pPr>
        <w:pStyle w:val="TOC2"/>
      </w:pPr>
      <w:hyperlink w:anchor="_Toc300002138" w:history="1">
        <w:r>
          <w:rPr>
            <w:noProof/>
          </w:rPr>
          <w:t xml:space="preserve">ARTICLE 67.3: Canadian Arctic Sovereignty and Legal-Position Savings</w:t>
        </w:r>
        <w:r>
          <w:rPr>
            <w:noProof/>
            <w:webHidden/>
          </w:rPr>
          <w:tab/>
        </w:r>
        <w:r>
          <w:rPr>
            <w:noProof/>
            <w:webHidden/>
          </w:rPr>
          <w:fldChar w:fldCharType="begin"/>
        </w:r>
        <w:r>
          <w:rPr>
            <w:noProof/>
            <w:webHidden/>
          </w:rPr>
          <w:instrText xml:space="preserve"> PAGEREF _Toc300002138 \h </w:instrText>
        </w:r>
        <w:r>
          <w:rPr>
            <w:noProof/>
            <w:webHidden/>
          </w:rPr>
          <w:fldChar w:fldCharType="separate"/>
        </w:r>
        <w:r>
          <w:rPr>
            <w:noProof/>
            <w:webHidden/>
          </w:rPr>
          <w:t>2128</w:t>
        </w:r>
        <w:r>
          <w:rPr>
            <w:noProof/>
            <w:webHidden/>
          </w:rPr>
          <w:fldChar w:fldCharType="end"/>
        </w:r>
      </w:hyperlink>
    </w:p>
    <w:p>
      <w:pPr>
        <w:pStyle w:val="TOC2"/>
      </w:pPr>
      <w:hyperlink w:anchor="_Toc300002139" w:history="1">
        <w:r>
          <w:rPr>
            <w:noProof/>
          </w:rPr>
          <w:t xml:space="preserve">ARTICLE 67.4: Canadian Soil, Canadian Authority</w:t>
        </w:r>
        <w:r>
          <w:rPr>
            <w:noProof/>
            <w:webHidden/>
          </w:rPr>
          <w:tab/>
        </w:r>
        <w:r>
          <w:rPr>
            <w:noProof/>
            <w:webHidden/>
          </w:rPr>
          <w:fldChar w:fldCharType="begin"/>
        </w:r>
        <w:r>
          <w:rPr>
            <w:noProof/>
            <w:webHidden/>
          </w:rPr>
          <w:instrText xml:space="preserve"> PAGEREF _Toc300002139 \h </w:instrText>
        </w:r>
        <w:r>
          <w:rPr>
            <w:noProof/>
            <w:webHidden/>
          </w:rPr>
          <w:fldChar w:fldCharType="separate"/>
        </w:r>
        <w:r>
          <w:rPr>
            <w:noProof/>
            <w:webHidden/>
          </w:rPr>
          <w:t>2129</w:t>
        </w:r>
        <w:r>
          <w:rPr>
            <w:noProof/>
            <w:webHidden/>
          </w:rPr>
          <w:fldChar w:fldCharType="end"/>
        </w:r>
      </w:hyperlink>
    </w:p>
    <w:p>
      <w:pPr>
        <w:pStyle w:val="TOC2"/>
      </w:pPr>
      <w:hyperlink w:anchor="_Toc300002140" w:history="1">
        <w:r>
          <w:rPr>
            <w:noProof/>
          </w:rPr>
          <w:t xml:space="preserve">ARTICLE 67.5: National Command and Capability Without Compulsion</w:t>
        </w:r>
        <w:r>
          <w:rPr>
            <w:noProof/>
            <w:webHidden/>
          </w:rPr>
          <w:tab/>
        </w:r>
        <w:r>
          <w:rPr>
            <w:noProof/>
            <w:webHidden/>
          </w:rPr>
          <w:fldChar w:fldCharType="begin"/>
        </w:r>
        <w:r>
          <w:rPr>
            <w:noProof/>
            <w:webHidden/>
          </w:rPr>
          <w:instrText xml:space="preserve"> PAGEREF _Toc300002140 \h </w:instrText>
        </w:r>
        <w:r>
          <w:rPr>
            <w:noProof/>
            <w:webHidden/>
          </w:rPr>
          <w:fldChar w:fldCharType="separate"/>
        </w:r>
        <w:r>
          <w:rPr>
            <w:noProof/>
            <w:webHidden/>
          </w:rPr>
          <w:t>2129</w:t>
        </w:r>
        <w:r>
          <w:rPr>
            <w:noProof/>
            <w:webHidden/>
          </w:rPr>
          <w:fldChar w:fldCharType="end"/>
        </w:r>
      </w:hyperlink>
    </w:p>
    <w:p>
      <w:pPr>
        <w:pStyle w:val="TOC2"/>
      </w:pPr>
      <w:hyperlink w:anchor="_Toc300002141" w:history="1">
        <w:r>
          <w:rPr>
            <w:noProof/>
          </w:rPr>
          <w:t xml:space="preserve">ARTICLE 67.6: Trilateral Where Functional, Binational Where Operational</w:t>
        </w:r>
        <w:r>
          <w:rPr>
            <w:noProof/>
            <w:webHidden/>
          </w:rPr>
          <w:tab/>
        </w:r>
        <w:r>
          <w:rPr>
            <w:noProof/>
            <w:webHidden/>
          </w:rPr>
          <w:fldChar w:fldCharType="begin"/>
        </w:r>
        <w:r>
          <w:rPr>
            <w:noProof/>
            <w:webHidden/>
          </w:rPr>
          <w:instrText xml:space="preserve"> PAGEREF _Toc300002141 \h </w:instrText>
        </w:r>
        <w:r>
          <w:rPr>
            <w:noProof/>
            <w:webHidden/>
          </w:rPr>
          <w:fldChar w:fldCharType="separate"/>
        </w:r>
        <w:r>
          <w:rPr>
            <w:noProof/>
            <w:webHidden/>
          </w:rPr>
          <w:t>2129</w:t>
        </w:r>
        <w:r>
          <w:rPr>
            <w:noProof/>
            <w:webHidden/>
          </w:rPr>
          <w:fldChar w:fldCharType="end"/>
        </w:r>
      </w:hyperlink>
    </w:p>
    <w:p>
      <w:pPr>
        <w:pStyle w:val="TOC2"/>
      </w:pPr>
      <w:hyperlink w:anchor="_Toc300002142" w:history="1">
        <w:r>
          <w:rPr>
            <w:noProof/>
          </w:rPr>
          <w:t xml:space="preserve">ARTICLE 67.7: Maintain While Modernizing</w:t>
        </w:r>
        <w:r>
          <w:rPr>
            <w:noProof/>
            <w:webHidden/>
          </w:rPr>
          <w:tab/>
        </w:r>
        <w:r>
          <w:rPr>
            <w:noProof/>
            <w:webHidden/>
          </w:rPr>
          <w:fldChar w:fldCharType="begin"/>
        </w:r>
        <w:r>
          <w:rPr>
            <w:noProof/>
            <w:webHidden/>
          </w:rPr>
          <w:instrText xml:space="preserve"> PAGEREF _Toc300002142 \h </w:instrText>
        </w:r>
        <w:r>
          <w:rPr>
            <w:noProof/>
            <w:webHidden/>
          </w:rPr>
          <w:fldChar w:fldCharType="separate"/>
        </w:r>
        <w:r>
          <w:rPr>
            <w:noProof/>
            <w:webHidden/>
          </w:rPr>
          <w:t>2129</w:t>
        </w:r>
        <w:r>
          <w:rPr>
            <w:noProof/>
            <w:webHidden/>
          </w:rPr>
          <w:fldChar w:fldCharType="end"/>
        </w:r>
      </w:hyperlink>
    </w:p>
    <w:p>
      <w:pPr>
        <w:pStyle w:val="TOC2"/>
      </w:pPr>
      <w:hyperlink w:anchor="_Toc300002143" w:history="1">
        <w:r>
          <w:rPr>
            <w:noProof/>
          </w:rPr>
          <w:t xml:space="preserve">ARTICLE 67.8: Public Commitment, Classified Implementation</w:t>
        </w:r>
        <w:r>
          <w:rPr>
            <w:noProof/>
            <w:webHidden/>
          </w:rPr>
          <w:tab/>
        </w:r>
        <w:r>
          <w:rPr>
            <w:noProof/>
            <w:webHidden/>
          </w:rPr>
          <w:fldChar w:fldCharType="begin"/>
        </w:r>
        <w:r>
          <w:rPr>
            <w:noProof/>
            <w:webHidden/>
          </w:rPr>
          <w:instrText xml:space="preserve"> PAGEREF _Toc300002143 \h </w:instrText>
        </w:r>
        <w:r>
          <w:rPr>
            <w:noProof/>
            <w:webHidden/>
          </w:rPr>
          <w:fldChar w:fldCharType="separate"/>
        </w:r>
        <w:r>
          <w:rPr>
            <w:noProof/>
            <w:webHidden/>
          </w:rPr>
          <w:t>2129</w:t>
        </w:r>
        <w:r>
          <w:rPr>
            <w:noProof/>
            <w:webHidden/>
          </w:rPr>
          <w:fldChar w:fldCharType="end"/>
        </w:r>
      </w:hyperlink>
    </w:p>
    <w:p>
      <w:pPr>
        <w:pStyle w:val="TOC2"/>
      </w:pPr>
      <w:hyperlink w:anchor="_Toc300002144" w:history="1">
        <w:r>
          <w:rPr>
            <w:noProof/>
          </w:rPr>
          <w:t xml:space="preserve">ARTICLE 67.9: Interoperability Without Surrender of National Control</w:t>
        </w:r>
        <w:r>
          <w:rPr>
            <w:noProof/>
            <w:webHidden/>
          </w:rPr>
          <w:tab/>
        </w:r>
        <w:r>
          <w:rPr>
            <w:noProof/>
            <w:webHidden/>
          </w:rPr>
          <w:fldChar w:fldCharType="begin"/>
        </w:r>
        <w:r>
          <w:rPr>
            <w:noProof/>
            <w:webHidden/>
          </w:rPr>
          <w:instrText xml:space="preserve"> PAGEREF _Toc300002144 \h </w:instrText>
        </w:r>
        <w:r>
          <w:rPr>
            <w:noProof/>
            <w:webHidden/>
          </w:rPr>
          <w:fldChar w:fldCharType="separate"/>
        </w:r>
        <w:r>
          <w:rPr>
            <w:noProof/>
            <w:webHidden/>
          </w:rPr>
          <w:t>2130</w:t>
        </w:r>
        <w:r>
          <w:rPr>
            <w:noProof/>
            <w:webHidden/>
          </w:rPr>
          <w:fldChar w:fldCharType="end"/>
        </w:r>
      </w:hyperlink>
    </w:p>
    <w:p>
      <w:pPr>
        <w:pStyle w:val="TOC2"/>
      </w:pPr>
      <w:hyperlink w:anchor="_Toc300002145" w:history="1">
        <w:r>
          <w:rPr>
            <w:noProof/>
          </w:rPr>
          <w:t xml:space="preserve">ARTICLE 67.10: Dual-Use Northern Dividend</w:t>
        </w:r>
        <w:r>
          <w:rPr>
            <w:noProof/>
            <w:webHidden/>
          </w:rPr>
          <w:tab/>
        </w:r>
        <w:r>
          <w:rPr>
            <w:noProof/>
            <w:webHidden/>
          </w:rPr>
          <w:fldChar w:fldCharType="begin"/>
        </w:r>
        <w:r>
          <w:rPr>
            <w:noProof/>
            <w:webHidden/>
          </w:rPr>
          <w:instrText xml:space="preserve"> PAGEREF _Toc300002145 \h </w:instrText>
        </w:r>
        <w:r>
          <w:rPr>
            <w:noProof/>
            <w:webHidden/>
          </w:rPr>
          <w:fldChar w:fldCharType="separate"/>
        </w:r>
        <w:r>
          <w:rPr>
            <w:noProof/>
            <w:webHidden/>
          </w:rPr>
          <w:t>2130</w:t>
        </w:r>
        <w:r>
          <w:rPr>
            <w:noProof/>
            <w:webHidden/>
          </w:rPr>
          <w:fldChar w:fldCharType="end"/>
        </w:r>
      </w:hyperlink>
    </w:p>
    <w:p>
      <w:pPr>
        <w:pStyle w:val="TOC2"/>
      </w:pPr>
      <w:hyperlink w:anchor="_Toc300002146" w:history="1">
        <w:r>
          <w:rPr>
            <w:noProof/>
          </w:rPr>
          <w:t xml:space="preserve">ARTICLE 67.11: No Northern Capacity Crowding-Out</w:t>
        </w:r>
        <w:r>
          <w:rPr>
            <w:noProof/>
            <w:webHidden/>
          </w:rPr>
          <w:tab/>
        </w:r>
        <w:r>
          <w:rPr>
            <w:noProof/>
            <w:webHidden/>
          </w:rPr>
          <w:fldChar w:fldCharType="begin"/>
        </w:r>
        <w:r>
          <w:rPr>
            <w:noProof/>
            <w:webHidden/>
          </w:rPr>
          <w:instrText xml:space="preserve"> PAGEREF _Toc300002146 \h </w:instrText>
        </w:r>
        <w:r>
          <w:rPr>
            <w:noProof/>
            <w:webHidden/>
          </w:rPr>
          <w:fldChar w:fldCharType="separate"/>
        </w:r>
        <w:r>
          <w:rPr>
            <w:noProof/>
            <w:webHidden/>
          </w:rPr>
          <w:t>2130</w:t>
        </w:r>
        <w:r>
          <w:rPr>
            <w:noProof/>
            <w:webHidden/>
          </w:rPr>
          <w:fldChar w:fldCharType="end"/>
        </w:r>
      </w:hyperlink>
    </w:p>
    <w:p>
      <w:pPr>
        <w:pStyle w:val="TOC2"/>
      </w:pPr>
      <w:hyperlink w:anchor="_Toc300002147" w:history="1">
        <w:r>
          <w:rPr>
            <w:noProof/>
          </w:rPr>
          <w:t xml:space="preserve">ARTICLE 67.12: Rights First, Partnership By Design</w:t>
        </w:r>
        <w:r>
          <w:rPr>
            <w:noProof/>
            <w:webHidden/>
          </w:rPr>
          <w:tab/>
        </w:r>
        <w:r>
          <w:rPr>
            <w:noProof/>
            <w:webHidden/>
          </w:rPr>
          <w:fldChar w:fldCharType="begin"/>
        </w:r>
        <w:r>
          <w:rPr>
            <w:noProof/>
            <w:webHidden/>
          </w:rPr>
          <w:instrText xml:space="preserve"> PAGEREF _Toc300002147 \h </w:instrText>
        </w:r>
        <w:r>
          <w:rPr>
            <w:noProof/>
            <w:webHidden/>
          </w:rPr>
          <w:fldChar w:fldCharType="separate"/>
        </w:r>
        <w:r>
          <w:rPr>
            <w:noProof/>
            <w:webHidden/>
          </w:rPr>
          <w:t>2130</w:t>
        </w:r>
        <w:r>
          <w:rPr>
            <w:noProof/>
            <w:webHidden/>
          </w:rPr>
          <w:fldChar w:fldCharType="end"/>
        </w:r>
      </w:hyperlink>
    </w:p>
    <w:p>
      <w:pPr>
        <w:pStyle w:val="TOC2"/>
      </w:pPr>
      <w:hyperlink w:anchor="_Toc300002148" w:history="1">
        <w:r>
          <w:rPr>
            <w:noProof/>
          </w:rPr>
          <w:t xml:space="preserve">ARTICLE 67.13: Traditional Knowledge and Cultural Protection</w:t>
        </w:r>
        <w:r>
          <w:rPr>
            <w:noProof/>
            <w:webHidden/>
          </w:rPr>
          <w:tab/>
        </w:r>
        <w:r>
          <w:rPr>
            <w:noProof/>
            <w:webHidden/>
          </w:rPr>
          <w:fldChar w:fldCharType="begin"/>
        </w:r>
        <w:r>
          <w:rPr>
            <w:noProof/>
            <w:webHidden/>
          </w:rPr>
          <w:instrText xml:space="preserve"> PAGEREF _Toc300002148 \h </w:instrText>
        </w:r>
        <w:r>
          <w:rPr>
            <w:noProof/>
            <w:webHidden/>
          </w:rPr>
          <w:fldChar w:fldCharType="separate"/>
        </w:r>
        <w:r>
          <w:rPr>
            <w:noProof/>
            <w:webHidden/>
          </w:rPr>
          <w:t>2131</w:t>
        </w:r>
        <w:r>
          <w:rPr>
            <w:noProof/>
            <w:webHidden/>
          </w:rPr>
          <w:fldChar w:fldCharType="end"/>
        </w:r>
      </w:hyperlink>
    </w:p>
    <w:p>
      <w:pPr>
        <w:pStyle w:val="TOC2"/>
      </w:pPr>
      <w:hyperlink w:anchor="_Toc300002149" w:history="1">
        <w:r>
          <w:rPr>
            <w:noProof/>
          </w:rPr>
          <w:t xml:space="preserve">ARTICLE 67.14: Existing Investment Recognition and Additionality</w:t>
        </w:r>
        <w:r>
          <w:rPr>
            <w:noProof/>
            <w:webHidden/>
          </w:rPr>
          <w:tab/>
        </w:r>
        <w:r>
          <w:rPr>
            <w:noProof/>
            <w:webHidden/>
          </w:rPr>
          <w:fldChar w:fldCharType="begin"/>
        </w:r>
        <w:r>
          <w:rPr>
            <w:noProof/>
            <w:webHidden/>
          </w:rPr>
          <w:instrText xml:space="preserve"> PAGEREF _Toc300002149 \h </w:instrText>
        </w:r>
        <w:r>
          <w:rPr>
            <w:noProof/>
            <w:webHidden/>
          </w:rPr>
          <w:fldChar w:fldCharType="separate"/>
        </w:r>
        <w:r>
          <w:rPr>
            <w:noProof/>
            <w:webHidden/>
          </w:rPr>
          <w:t>2131</w:t>
        </w:r>
        <w:r>
          <w:rPr>
            <w:noProof/>
            <w:webHidden/>
          </w:rPr>
          <w:fldChar w:fldCharType="end"/>
        </w:r>
      </w:hyperlink>
    </w:p>
    <w:p>
      <w:pPr>
        <w:pStyle w:val="TOC2"/>
      </w:pPr>
      <w:hyperlink w:anchor="_Toc300002150" w:history="1">
        <w:r>
          <w:rPr>
            <w:noProof/>
          </w:rPr>
          <w:t xml:space="preserve">ARTICLE 67.15: One Dollar, One Investment</w:t>
        </w:r>
        <w:r>
          <w:rPr>
            <w:noProof/>
            <w:webHidden/>
          </w:rPr>
          <w:tab/>
        </w:r>
        <w:r>
          <w:rPr>
            <w:noProof/>
            <w:webHidden/>
          </w:rPr>
          <w:fldChar w:fldCharType="begin"/>
        </w:r>
        <w:r>
          <w:rPr>
            <w:noProof/>
            <w:webHidden/>
          </w:rPr>
          <w:instrText xml:space="preserve"> PAGEREF _Toc300002150 \h </w:instrText>
        </w:r>
        <w:r>
          <w:rPr>
            <w:noProof/>
            <w:webHidden/>
          </w:rPr>
          <w:fldChar w:fldCharType="separate"/>
        </w:r>
        <w:r>
          <w:rPr>
            <w:noProof/>
            <w:webHidden/>
          </w:rPr>
          <w:t>2131</w:t>
        </w:r>
        <w:r>
          <w:rPr>
            <w:noProof/>
            <w:webHidden/>
          </w:rPr>
          <w:fldChar w:fldCharType="end"/>
        </w:r>
      </w:hyperlink>
    </w:p>
    <w:p>
      <w:pPr>
        <w:pStyle w:val="TOC2"/>
      </w:pPr>
      <w:hyperlink w:anchor="_Toc300002151" w:history="1">
        <w:r>
          <w:rPr>
            <w:noProof/>
          </w:rPr>
          <w:t xml:space="preserve">ARTICLE 67.16: Arctic Investment Ledger</w:t>
        </w:r>
        <w:r>
          <w:rPr>
            <w:noProof/>
            <w:webHidden/>
          </w:rPr>
          <w:tab/>
        </w:r>
        <w:r>
          <w:rPr>
            <w:noProof/>
            <w:webHidden/>
          </w:rPr>
          <w:fldChar w:fldCharType="begin"/>
        </w:r>
        <w:r>
          <w:rPr>
            <w:noProof/>
            <w:webHidden/>
          </w:rPr>
          <w:instrText xml:space="preserve"> PAGEREF _Toc300002151 \h </w:instrText>
        </w:r>
        <w:r>
          <w:rPr>
            <w:noProof/>
            <w:webHidden/>
          </w:rPr>
          <w:fldChar w:fldCharType="separate"/>
        </w:r>
        <w:r>
          <w:rPr>
            <w:noProof/>
            <w:webHidden/>
          </w:rPr>
          <w:t>2131</w:t>
        </w:r>
        <w:r>
          <w:rPr>
            <w:noProof/>
            <w:webHidden/>
          </w:rPr>
          <w:fldChar w:fldCharType="end"/>
        </w:r>
      </w:hyperlink>
    </w:p>
    <w:p>
      <w:pPr>
        <w:pStyle w:val="TOC2"/>
      </w:pPr>
      <w:hyperlink w:anchor="_Toc300002152" w:history="1">
        <w:r>
          <w:rPr>
            <w:noProof/>
          </w:rPr>
          <w:t xml:space="preserve">ARTICLE 67.17: Baseline and Additionality</w:t>
        </w:r>
        <w:r>
          <w:rPr>
            <w:noProof/>
            <w:webHidden/>
          </w:rPr>
          <w:tab/>
        </w:r>
        <w:r>
          <w:rPr>
            <w:noProof/>
            <w:webHidden/>
          </w:rPr>
          <w:fldChar w:fldCharType="begin"/>
        </w:r>
        <w:r>
          <w:rPr>
            <w:noProof/>
            <w:webHidden/>
          </w:rPr>
          <w:instrText xml:space="preserve"> PAGEREF _Toc300002152 \h </w:instrText>
        </w:r>
        <w:r>
          <w:rPr>
            <w:noProof/>
            <w:webHidden/>
          </w:rPr>
          <w:fldChar w:fldCharType="separate"/>
        </w:r>
        <w:r>
          <w:rPr>
            <w:noProof/>
            <w:webHidden/>
          </w:rPr>
          <w:t>2132</w:t>
        </w:r>
        <w:r>
          <w:rPr>
            <w:noProof/>
            <w:webHidden/>
          </w:rPr>
          <w:fldChar w:fldCharType="end"/>
        </w:r>
      </w:hyperlink>
    </w:p>
    <w:p>
      <w:pPr>
        <w:pStyle w:val="TOC2"/>
      </w:pPr>
      <w:hyperlink w:anchor="_Toc300002153" w:history="1">
        <w:r>
          <w:rPr>
            <w:noProof/>
          </w:rPr>
          <w:t xml:space="preserve">ARTICLE 67.18: Independent Baseline and Headline Verification</w:t>
        </w:r>
        <w:r>
          <w:rPr>
            <w:noProof/>
            <w:webHidden/>
          </w:rPr>
          <w:tab/>
        </w:r>
        <w:r>
          <w:rPr>
            <w:noProof/>
            <w:webHidden/>
          </w:rPr>
          <w:fldChar w:fldCharType="begin"/>
        </w:r>
        <w:r>
          <w:rPr>
            <w:noProof/>
            <w:webHidden/>
          </w:rPr>
          <w:instrText xml:space="preserve"> PAGEREF _Toc300002153 \h </w:instrText>
        </w:r>
        <w:r>
          <w:rPr>
            <w:noProof/>
            <w:webHidden/>
          </w:rPr>
          <w:fldChar w:fldCharType="separate"/>
        </w:r>
        <w:r>
          <w:rPr>
            <w:noProof/>
            <w:webHidden/>
          </w:rPr>
          <w:t>2132</w:t>
        </w:r>
        <w:r>
          <w:rPr>
            <w:noProof/>
            <w:webHidden/>
          </w:rPr>
          <w:fldChar w:fldCharType="end"/>
        </w:r>
      </w:hyperlink>
    </w:p>
    <w:p>
      <w:pPr>
        <w:pStyle w:val="TOC2"/>
      </w:pPr>
      <w:hyperlink w:anchor="_Toc300002154" w:history="1">
        <w:r>
          <w:rPr>
            <w:noProof/>
          </w:rPr>
          <w:t xml:space="preserve">ARTICLE 67.19: Northern Warning and Domain Awareness</w:t>
        </w:r>
        <w:r>
          <w:rPr>
            <w:noProof/>
            <w:webHidden/>
          </w:rPr>
          <w:tab/>
        </w:r>
        <w:r>
          <w:rPr>
            <w:noProof/>
            <w:webHidden/>
          </w:rPr>
          <w:fldChar w:fldCharType="begin"/>
        </w:r>
        <w:r>
          <w:rPr>
            <w:noProof/>
            <w:webHidden/>
          </w:rPr>
          <w:instrText xml:space="preserve"> PAGEREF _Toc300002154 \h </w:instrText>
        </w:r>
        <w:r>
          <w:rPr>
            <w:noProof/>
            <w:webHidden/>
          </w:rPr>
          <w:fldChar w:fldCharType="separate"/>
        </w:r>
        <w:r>
          <w:rPr>
            <w:noProof/>
            <w:webHidden/>
          </w:rPr>
          <w:t>2132</w:t>
        </w:r>
        <w:r>
          <w:rPr>
            <w:noProof/>
            <w:webHidden/>
          </w:rPr>
          <w:fldChar w:fldCharType="end"/>
        </w:r>
      </w:hyperlink>
    </w:p>
    <w:p>
      <w:pPr>
        <w:pStyle w:val="TOC2"/>
      </w:pPr>
      <w:hyperlink w:anchor="_Toc300002155" w:history="1">
        <w:r>
          <w:rPr>
            <w:noProof/>
          </w:rPr>
          <w:t xml:space="preserve">ARTICLE 67.20: Northern Airfields, Basing and Operational Support</w:t>
        </w:r>
        <w:r>
          <w:rPr>
            <w:noProof/>
            <w:webHidden/>
          </w:rPr>
          <w:tab/>
        </w:r>
        <w:r>
          <w:rPr>
            <w:noProof/>
            <w:webHidden/>
          </w:rPr>
          <w:fldChar w:fldCharType="begin"/>
        </w:r>
        <w:r>
          <w:rPr>
            <w:noProof/>
            <w:webHidden/>
          </w:rPr>
          <w:instrText xml:space="preserve"> PAGEREF _Toc300002155 \h </w:instrText>
        </w:r>
        <w:r>
          <w:rPr>
            <w:noProof/>
            <w:webHidden/>
          </w:rPr>
          <w:fldChar w:fldCharType="separate"/>
        </w:r>
        <w:r>
          <w:rPr>
            <w:noProof/>
            <w:webHidden/>
          </w:rPr>
          <w:t>2132</w:t>
        </w:r>
        <w:r>
          <w:rPr>
            <w:noProof/>
            <w:webHidden/>
          </w:rPr>
          <w:fldChar w:fldCharType="end"/>
        </w:r>
      </w:hyperlink>
    </w:p>
    <w:p>
      <w:pPr>
        <w:pStyle w:val="TOC2"/>
      </w:pPr>
      <w:hyperlink w:anchor="_Toc300002156" w:history="1">
        <w:r>
          <w:rPr>
            <w:noProof/>
          </w:rPr>
          <w:t xml:space="preserve">ARTICLE 67.21: Ports, Sealift, Ice-Capable and Maritime Support</w:t>
        </w:r>
        <w:r>
          <w:rPr>
            <w:noProof/>
            <w:webHidden/>
          </w:rPr>
          <w:tab/>
        </w:r>
        <w:r>
          <w:rPr>
            <w:noProof/>
            <w:webHidden/>
          </w:rPr>
          <w:fldChar w:fldCharType="begin"/>
        </w:r>
        <w:r>
          <w:rPr>
            <w:noProof/>
            <w:webHidden/>
          </w:rPr>
          <w:instrText xml:space="preserve"> PAGEREF _Toc300002156 \h </w:instrText>
        </w:r>
        <w:r>
          <w:rPr>
            <w:noProof/>
            <w:webHidden/>
          </w:rPr>
          <w:fldChar w:fldCharType="separate"/>
        </w:r>
        <w:r>
          <w:rPr>
            <w:noProof/>
            <w:webHidden/>
          </w:rPr>
          <w:t>2133</w:t>
        </w:r>
        <w:r>
          <w:rPr>
            <w:noProof/>
            <w:webHidden/>
          </w:rPr>
          <w:fldChar w:fldCharType="end"/>
        </w:r>
      </w:hyperlink>
    </w:p>
    <w:p>
      <w:pPr>
        <w:pStyle w:val="TOC2"/>
      </w:pPr>
      <w:hyperlink w:anchor="_Toc300002157" w:history="1">
        <w:r>
          <w:rPr>
            <w:noProof/>
          </w:rPr>
          <w:t xml:space="preserve">ARTICLE 67.22: Undersea Domain and Cable Protection</w:t>
        </w:r>
        <w:r>
          <w:rPr>
            <w:noProof/>
            <w:webHidden/>
          </w:rPr>
          <w:tab/>
        </w:r>
        <w:r>
          <w:rPr>
            <w:noProof/>
            <w:webHidden/>
          </w:rPr>
          <w:fldChar w:fldCharType="begin"/>
        </w:r>
        <w:r>
          <w:rPr>
            <w:noProof/>
            <w:webHidden/>
          </w:rPr>
          <w:instrText xml:space="preserve"> PAGEREF _Toc300002157 \h </w:instrText>
        </w:r>
        <w:r>
          <w:rPr>
            <w:noProof/>
            <w:webHidden/>
          </w:rPr>
          <w:fldChar w:fldCharType="separate"/>
        </w:r>
        <w:r>
          <w:rPr>
            <w:noProof/>
            <w:webHidden/>
          </w:rPr>
          <w:t>2133</w:t>
        </w:r>
        <w:r>
          <w:rPr>
            <w:noProof/>
            <w:webHidden/>
          </w:rPr>
          <w:fldChar w:fldCharType="end"/>
        </w:r>
      </w:hyperlink>
    </w:p>
    <w:p>
      <w:pPr>
        <w:pStyle w:val="TOC2"/>
      </w:pPr>
      <w:hyperlink w:anchor="_Toc300002158" w:history="1">
        <w:r>
          <w:rPr>
            <w:noProof/>
          </w:rPr>
          <w:t xml:space="preserve">ARTICLE 67.23: Airborne Early Warning and Air-Defence Evolution</w:t>
        </w:r>
        <w:r>
          <w:rPr>
            <w:noProof/>
            <w:webHidden/>
          </w:rPr>
          <w:tab/>
        </w:r>
        <w:r>
          <w:rPr>
            <w:noProof/>
            <w:webHidden/>
          </w:rPr>
          <w:fldChar w:fldCharType="begin"/>
        </w:r>
        <w:r>
          <w:rPr>
            <w:noProof/>
            <w:webHidden/>
          </w:rPr>
          <w:instrText xml:space="preserve"> PAGEREF _Toc300002158 \h </w:instrText>
        </w:r>
        <w:r>
          <w:rPr>
            <w:noProof/>
            <w:webHidden/>
          </w:rPr>
          <w:fldChar w:fldCharType="separate"/>
        </w:r>
        <w:r>
          <w:rPr>
            <w:noProof/>
            <w:webHidden/>
          </w:rPr>
          <w:t>2133</w:t>
        </w:r>
        <w:r>
          <w:rPr>
            <w:noProof/>
            <w:webHidden/>
          </w:rPr>
          <w:fldChar w:fldCharType="end"/>
        </w:r>
      </w:hyperlink>
    </w:p>
    <w:p>
      <w:pPr>
        <w:pStyle w:val="TOC2"/>
      </w:pPr>
      <w:hyperlink w:anchor="_Toc300002159" w:history="1">
        <w:r>
          <w:rPr>
            <w:noProof/>
          </w:rPr>
          <w:t xml:space="preserve">ARTICLE 67.24: Polar Communications, Space and C4ISR Resilience</w:t>
        </w:r>
        <w:r>
          <w:rPr>
            <w:noProof/>
            <w:webHidden/>
          </w:rPr>
          <w:tab/>
        </w:r>
        <w:r>
          <w:rPr>
            <w:noProof/>
            <w:webHidden/>
          </w:rPr>
          <w:fldChar w:fldCharType="begin"/>
        </w:r>
        <w:r>
          <w:rPr>
            <w:noProof/>
            <w:webHidden/>
          </w:rPr>
          <w:instrText xml:space="preserve"> PAGEREF _Toc300002159 \h </w:instrText>
        </w:r>
        <w:r>
          <w:rPr>
            <w:noProof/>
            <w:webHidden/>
          </w:rPr>
          <w:fldChar w:fldCharType="separate"/>
        </w:r>
        <w:r>
          <w:rPr>
            <w:noProof/>
            <w:webHidden/>
          </w:rPr>
          <w:t>2134</w:t>
        </w:r>
        <w:r>
          <w:rPr>
            <w:noProof/>
            <w:webHidden/>
          </w:rPr>
          <w:fldChar w:fldCharType="end"/>
        </w:r>
      </w:hyperlink>
    </w:p>
    <w:p>
      <w:pPr>
        <w:pStyle w:val="TOC2"/>
      </w:pPr>
      <w:hyperlink w:anchor="_Toc300002160" w:history="1">
        <w:r>
          <w:rPr>
            <w:noProof/>
          </w:rPr>
          <w:t xml:space="preserve">ARTICLE 67.25: Northern Strategic Mobility and Logistics</w:t>
        </w:r>
        <w:r>
          <w:rPr>
            <w:noProof/>
            <w:webHidden/>
          </w:rPr>
          <w:tab/>
        </w:r>
        <w:r>
          <w:rPr>
            <w:noProof/>
            <w:webHidden/>
          </w:rPr>
          <w:fldChar w:fldCharType="begin"/>
        </w:r>
        <w:r>
          <w:rPr>
            <w:noProof/>
            <w:webHidden/>
          </w:rPr>
          <w:instrText xml:space="preserve"> PAGEREF _Toc300002160 \h </w:instrText>
        </w:r>
        <w:r>
          <w:rPr>
            <w:noProof/>
            <w:webHidden/>
          </w:rPr>
          <w:fldChar w:fldCharType="separate"/>
        </w:r>
        <w:r>
          <w:rPr>
            <w:noProof/>
            <w:webHidden/>
          </w:rPr>
          <w:t>2134</w:t>
        </w:r>
        <w:r>
          <w:rPr>
            <w:noProof/>
            <w:webHidden/>
          </w:rPr>
          <w:fldChar w:fldCharType="end"/>
        </w:r>
      </w:hyperlink>
    </w:p>
    <w:p>
      <w:pPr>
        <w:pStyle w:val="TOC2"/>
      </w:pPr>
      <w:hyperlink w:anchor="_Toc300002161" w:history="1">
        <w:r>
          <w:rPr>
            <w:noProof/>
          </w:rPr>
          <w:t xml:space="preserve">ARTICLE 67.26: Northern Energy and Fuel Resilience</w:t>
        </w:r>
        <w:r>
          <w:rPr>
            <w:noProof/>
            <w:webHidden/>
          </w:rPr>
          <w:tab/>
        </w:r>
        <w:r>
          <w:rPr>
            <w:noProof/>
            <w:webHidden/>
          </w:rPr>
          <w:fldChar w:fldCharType="begin"/>
        </w:r>
        <w:r>
          <w:rPr>
            <w:noProof/>
            <w:webHidden/>
          </w:rPr>
          <w:instrText xml:space="preserve"> PAGEREF _Toc300002161 \h </w:instrText>
        </w:r>
        <w:r>
          <w:rPr>
            <w:noProof/>
            <w:webHidden/>
          </w:rPr>
          <w:fldChar w:fldCharType="separate"/>
        </w:r>
        <w:r>
          <w:rPr>
            <w:noProof/>
            <w:webHidden/>
          </w:rPr>
          <w:t>2134</w:t>
        </w:r>
        <w:r>
          <w:rPr>
            <w:noProof/>
            <w:webHidden/>
          </w:rPr>
          <w:fldChar w:fldCharType="end"/>
        </w:r>
      </w:hyperlink>
    </w:p>
    <w:p>
      <w:pPr>
        <w:pStyle w:val="TOC2"/>
      </w:pPr>
      <w:hyperlink w:anchor="_Toc300002162" w:history="1">
        <w:r>
          <w:rPr>
            <w:noProof/>
          </w:rPr>
          <w:t xml:space="preserve">ARTICLE 67.27: Search and Rescue, Health and Human Security</w:t>
        </w:r>
        <w:r>
          <w:rPr>
            <w:noProof/>
            <w:webHidden/>
          </w:rPr>
          <w:tab/>
        </w:r>
        <w:r>
          <w:rPr>
            <w:noProof/>
            <w:webHidden/>
          </w:rPr>
          <w:fldChar w:fldCharType="begin"/>
        </w:r>
        <w:r>
          <w:rPr>
            <w:noProof/>
            <w:webHidden/>
          </w:rPr>
          <w:instrText xml:space="preserve"> PAGEREF _Toc300002162 \h </w:instrText>
        </w:r>
        <w:r>
          <w:rPr>
            <w:noProof/>
            <w:webHidden/>
          </w:rPr>
          <w:fldChar w:fldCharType="separate"/>
        </w:r>
        <w:r>
          <w:rPr>
            <w:noProof/>
            <w:webHidden/>
          </w:rPr>
          <w:t>2134</w:t>
        </w:r>
        <w:r>
          <w:rPr>
            <w:noProof/>
            <w:webHidden/>
          </w:rPr>
          <w:fldChar w:fldCharType="end"/>
        </w:r>
      </w:hyperlink>
    </w:p>
    <w:p>
      <w:pPr>
        <w:pStyle w:val="TOC2"/>
      </w:pPr>
      <w:hyperlink w:anchor="_Toc300002163" w:history="1">
        <w:r>
          <w:rPr>
            <w:noProof/>
          </w:rPr>
          <w:t xml:space="preserve">ARTICLE 67.28: Climate, Science, Environment and Ocean Governance</w:t>
        </w:r>
        <w:r>
          <w:rPr>
            <w:noProof/>
            <w:webHidden/>
          </w:rPr>
          <w:tab/>
        </w:r>
        <w:r>
          <w:rPr>
            <w:noProof/>
            <w:webHidden/>
          </w:rPr>
          <w:fldChar w:fldCharType="begin"/>
        </w:r>
        <w:r>
          <w:rPr>
            <w:noProof/>
            <w:webHidden/>
          </w:rPr>
          <w:instrText xml:space="preserve"> PAGEREF _Toc300002163 \h </w:instrText>
        </w:r>
        <w:r>
          <w:rPr>
            <w:noProof/>
            <w:webHidden/>
          </w:rPr>
          <w:fldChar w:fldCharType="separate"/>
        </w:r>
        <w:r>
          <w:rPr>
            <w:noProof/>
            <w:webHidden/>
          </w:rPr>
          <w:t>2135</w:t>
        </w:r>
        <w:r>
          <w:rPr>
            <w:noProof/>
            <w:webHidden/>
          </w:rPr>
          <w:fldChar w:fldCharType="end"/>
        </w:r>
      </w:hyperlink>
    </w:p>
    <w:p>
      <w:pPr>
        <w:pStyle w:val="TOC2"/>
      </w:pPr>
      <w:hyperlink w:anchor="_Toc300002164" w:history="1">
        <w:r>
          <w:rPr>
            <w:noProof/>
          </w:rPr>
          <w:t xml:space="preserve">ARTICLE 67.29: North American Arctic Industrial Base</w:t>
        </w:r>
        <w:r>
          <w:rPr>
            <w:noProof/>
            <w:webHidden/>
          </w:rPr>
          <w:tab/>
        </w:r>
        <w:r>
          <w:rPr>
            <w:noProof/>
            <w:webHidden/>
          </w:rPr>
          <w:fldChar w:fldCharType="begin"/>
        </w:r>
        <w:r>
          <w:rPr>
            <w:noProof/>
            <w:webHidden/>
          </w:rPr>
          <w:instrText xml:space="preserve"> PAGEREF _Toc300002164 \h </w:instrText>
        </w:r>
        <w:r>
          <w:rPr>
            <w:noProof/>
            <w:webHidden/>
          </w:rPr>
          <w:fldChar w:fldCharType="separate"/>
        </w:r>
        <w:r>
          <w:rPr>
            <w:noProof/>
            <w:webHidden/>
          </w:rPr>
          <w:t>2135</w:t>
        </w:r>
        <w:r>
          <w:rPr>
            <w:noProof/>
            <w:webHidden/>
          </w:rPr>
          <w:fldChar w:fldCharType="end"/>
        </w:r>
      </w:hyperlink>
    </w:p>
    <w:p>
      <w:pPr>
        <w:pStyle w:val="TOC2"/>
      </w:pPr>
      <w:hyperlink w:anchor="_Toc300002165" w:history="1">
        <w:r>
          <w:rPr>
            <w:noProof/>
          </w:rPr>
          <w:t xml:space="preserve">ARTICLE 67.30: Procurement Is Opportunity, Not Award</w:t>
        </w:r>
        <w:r>
          <w:rPr>
            <w:noProof/>
            <w:webHidden/>
          </w:rPr>
          <w:tab/>
        </w:r>
        <w:r>
          <w:rPr>
            <w:noProof/>
            <w:webHidden/>
          </w:rPr>
          <w:fldChar w:fldCharType="begin"/>
        </w:r>
        <w:r>
          <w:rPr>
            <w:noProof/>
            <w:webHidden/>
          </w:rPr>
          <w:instrText xml:space="preserve"> PAGEREF _Toc300002165 \h </w:instrText>
        </w:r>
        <w:r>
          <w:rPr>
            <w:noProof/>
            <w:webHidden/>
          </w:rPr>
          <w:fldChar w:fldCharType="separate"/>
        </w:r>
        <w:r>
          <w:rPr>
            <w:noProof/>
            <w:webHidden/>
          </w:rPr>
          <w:t>2135</w:t>
        </w:r>
        <w:r>
          <w:rPr>
            <w:noProof/>
            <w:webHidden/>
          </w:rPr>
          <w:fldChar w:fldCharType="end"/>
        </w:r>
      </w:hyperlink>
    </w:p>
    <w:p>
      <w:pPr>
        <w:pStyle w:val="TOC2"/>
      </w:pPr>
      <w:hyperlink w:anchor="_Toc300002166" w:history="1">
        <w:r>
          <w:rPr>
            <w:noProof/>
          </w:rPr>
          <w:t xml:space="preserve">ARTICLE 67.31: Workforce and Northern Capacity</w:t>
        </w:r>
        <w:r>
          <w:rPr>
            <w:noProof/>
            <w:webHidden/>
          </w:rPr>
          <w:tab/>
        </w:r>
        <w:r>
          <w:rPr>
            <w:noProof/>
            <w:webHidden/>
          </w:rPr>
          <w:fldChar w:fldCharType="begin"/>
        </w:r>
        <w:r>
          <w:rPr>
            <w:noProof/>
            <w:webHidden/>
          </w:rPr>
          <w:instrText xml:space="preserve"> PAGEREF _Toc300002166 \h </w:instrText>
        </w:r>
        <w:r>
          <w:rPr>
            <w:noProof/>
            <w:webHidden/>
          </w:rPr>
          <w:fldChar w:fldCharType="separate"/>
        </w:r>
        <w:r>
          <w:rPr>
            <w:noProof/>
            <w:webHidden/>
          </w:rPr>
          <w:t>2135</w:t>
        </w:r>
        <w:r>
          <w:rPr>
            <w:noProof/>
            <w:webHidden/>
          </w:rPr>
          <w:fldChar w:fldCharType="end"/>
        </w:r>
      </w:hyperlink>
    </w:p>
    <w:p>
      <w:pPr>
        <w:pStyle w:val="TOC2"/>
      </w:pPr>
      <w:hyperlink w:anchor="_Toc300002167" w:history="1">
        <w:r>
          <w:rPr>
            <w:noProof/>
          </w:rPr>
          <w:t xml:space="preserve">ARTICLE 67.32: Northern Vigilance Scorecard</w:t>
        </w:r>
        <w:r>
          <w:rPr>
            <w:noProof/>
            <w:webHidden/>
          </w:rPr>
          <w:tab/>
        </w:r>
        <w:r>
          <w:rPr>
            <w:noProof/>
            <w:webHidden/>
          </w:rPr>
          <w:fldChar w:fldCharType="begin"/>
        </w:r>
        <w:r>
          <w:rPr>
            <w:noProof/>
            <w:webHidden/>
          </w:rPr>
          <w:instrText xml:space="preserve"> PAGEREF _Toc300002167 \h </w:instrText>
        </w:r>
        <w:r>
          <w:rPr>
            <w:noProof/>
            <w:webHidden/>
          </w:rPr>
          <w:fldChar w:fldCharType="separate"/>
        </w:r>
        <w:r>
          <w:rPr>
            <w:noProof/>
            <w:webHidden/>
          </w:rPr>
          <w:t>2136</w:t>
        </w:r>
        <w:r>
          <w:rPr>
            <w:noProof/>
            <w:webHidden/>
          </w:rPr>
          <w:fldChar w:fldCharType="end"/>
        </w:r>
      </w:hyperlink>
    </w:p>
    <w:p>
      <w:pPr>
        <w:pStyle w:val="TOC2"/>
      </w:pPr>
      <w:hyperlink w:anchor="_Toc300002168" w:history="1">
        <w:r>
          <w:rPr>
            <w:noProof/>
          </w:rPr>
          <w:t xml:space="preserve">ARTICLE 67.33: State of the Vigilant North</w:t>
        </w:r>
        <w:r>
          <w:rPr>
            <w:noProof/>
            <w:webHidden/>
          </w:rPr>
          <w:tab/>
        </w:r>
        <w:r>
          <w:rPr>
            <w:noProof/>
            <w:webHidden/>
          </w:rPr>
          <w:fldChar w:fldCharType="begin"/>
        </w:r>
        <w:r>
          <w:rPr>
            <w:noProof/>
            <w:webHidden/>
          </w:rPr>
          <w:instrText xml:space="preserve"> PAGEREF _Toc300002168 \h </w:instrText>
        </w:r>
        <w:r>
          <w:rPr>
            <w:noProof/>
            <w:webHidden/>
          </w:rPr>
          <w:fldChar w:fldCharType="separate"/>
        </w:r>
        <w:r>
          <w:rPr>
            <w:noProof/>
            <w:webHidden/>
          </w:rPr>
          <w:t>2136</w:t>
        </w:r>
        <w:r>
          <w:rPr>
            <w:noProof/>
            <w:webHidden/>
          </w:rPr>
          <w:fldChar w:fldCharType="end"/>
        </w:r>
      </w:hyperlink>
    </w:p>
    <w:p>
      <w:pPr>
        <w:pStyle w:val="TOC2"/>
      </w:pPr>
      <w:hyperlink w:anchor="_Toc300002169" w:history="1">
        <w:r>
          <w:rPr>
            <w:noProof/>
          </w:rPr>
          <w:t xml:space="preserve">ARTICLE 67.34: No Zombie Projects</w:t>
        </w:r>
        <w:r>
          <w:rPr>
            <w:noProof/>
            <w:webHidden/>
          </w:rPr>
          <w:tab/>
        </w:r>
        <w:r>
          <w:rPr>
            <w:noProof/>
            <w:webHidden/>
          </w:rPr>
          <w:fldChar w:fldCharType="begin"/>
        </w:r>
        <w:r>
          <w:rPr>
            <w:noProof/>
            <w:webHidden/>
          </w:rPr>
          <w:instrText xml:space="preserve"> PAGEREF _Toc300002169 \h </w:instrText>
        </w:r>
        <w:r>
          <w:rPr>
            <w:noProof/>
            <w:webHidden/>
          </w:rPr>
          <w:fldChar w:fldCharType="separate"/>
        </w:r>
        <w:r>
          <w:rPr>
            <w:noProof/>
            <w:webHidden/>
          </w:rPr>
          <w:t>2136</w:t>
        </w:r>
        <w:r>
          <w:rPr>
            <w:noProof/>
            <w:webHidden/>
          </w:rPr>
          <w:fldChar w:fldCharType="end"/>
        </w:r>
      </w:hyperlink>
    </w:p>
    <w:p>
      <w:pPr>
        <w:pStyle w:val="TOC2"/>
      </w:pPr>
      <w:hyperlink w:anchor="_Toc300002170" w:history="1">
        <w:r>
          <w:rPr>
            <w:noProof/>
          </w:rPr>
          <w:t xml:space="preserve">ARTICLE 67.35: Project Verification Ladder</w:t>
        </w:r>
        <w:r>
          <w:rPr>
            <w:noProof/>
            <w:webHidden/>
          </w:rPr>
          <w:tab/>
        </w:r>
        <w:r>
          <w:rPr>
            <w:noProof/>
            <w:webHidden/>
          </w:rPr>
          <w:fldChar w:fldCharType="begin"/>
        </w:r>
        <w:r>
          <w:rPr>
            <w:noProof/>
            <w:webHidden/>
          </w:rPr>
          <w:instrText xml:space="preserve"> PAGEREF _Toc300002170 \h </w:instrText>
        </w:r>
        <w:r>
          <w:rPr>
            <w:noProof/>
            <w:webHidden/>
          </w:rPr>
          <w:fldChar w:fldCharType="separate"/>
        </w:r>
        <w:r>
          <w:rPr>
            <w:noProof/>
            <w:webHidden/>
          </w:rPr>
          <w:t>2136</w:t>
        </w:r>
        <w:r>
          <w:rPr>
            <w:noProof/>
            <w:webHidden/>
          </w:rPr>
          <w:fldChar w:fldCharType="end"/>
        </w:r>
      </w:hyperlink>
    </w:p>
    <w:p>
      <w:pPr>
        <w:pStyle w:val="TOC2"/>
      </w:pPr>
      <w:hyperlink w:anchor="_Toc300002171" w:history="1">
        <w:r>
          <w:rPr>
            <w:noProof/>
          </w:rPr>
          <w:t xml:space="preserve">ARTICLE 67.36: Project Scheduling and No Automatic Approval</w:t>
        </w:r>
        <w:r>
          <w:rPr>
            <w:noProof/>
            <w:webHidden/>
          </w:rPr>
          <w:tab/>
        </w:r>
        <w:r>
          <w:rPr>
            <w:noProof/>
            <w:webHidden/>
          </w:rPr>
          <w:fldChar w:fldCharType="begin"/>
        </w:r>
        <w:r>
          <w:rPr>
            <w:noProof/>
            <w:webHidden/>
          </w:rPr>
          <w:instrText xml:space="preserve"> PAGEREF _Toc300002171 \h </w:instrText>
        </w:r>
        <w:r>
          <w:rPr>
            <w:noProof/>
            <w:webHidden/>
          </w:rPr>
          <w:fldChar w:fldCharType="separate"/>
        </w:r>
        <w:r>
          <w:rPr>
            <w:noProof/>
            <w:webHidden/>
          </w:rPr>
          <w:t>2137</w:t>
        </w:r>
        <w:r>
          <w:rPr>
            <w:noProof/>
            <w:webHidden/>
          </w:rPr>
          <w:fldChar w:fldCharType="end"/>
        </w:r>
      </w:hyperlink>
    </w:p>
    <w:p>
      <w:pPr>
        <w:pStyle w:val="TOC2"/>
      </w:pPr>
      <w:hyperlink w:anchor="_Toc300002172" w:history="1">
        <w:r>
          <w:rPr>
            <w:noProof/>
          </w:rPr>
          <w:t xml:space="preserve">ARTICLE 67.37: Northern Vigilance Milestone Certification</w:t>
        </w:r>
        <w:r>
          <w:rPr>
            <w:noProof/>
            <w:webHidden/>
          </w:rPr>
          <w:tab/>
        </w:r>
        <w:r>
          <w:rPr>
            <w:noProof/>
            <w:webHidden/>
          </w:rPr>
          <w:fldChar w:fldCharType="begin"/>
        </w:r>
        <w:r>
          <w:rPr>
            <w:noProof/>
            <w:webHidden/>
          </w:rPr>
          <w:instrText xml:space="preserve"> PAGEREF _Toc300002172 \h </w:instrText>
        </w:r>
        <w:r>
          <w:rPr>
            <w:noProof/>
            <w:webHidden/>
          </w:rPr>
          <w:fldChar w:fldCharType="separate"/>
        </w:r>
        <w:r>
          <w:rPr>
            <w:noProof/>
            <w:webHidden/>
          </w:rPr>
          <w:t>2137</w:t>
        </w:r>
        <w:r>
          <w:rPr>
            <w:noProof/>
            <w:webHidden/>
          </w:rPr>
          <w:fldChar w:fldCharType="end"/>
        </w:r>
      </w:hyperlink>
    </w:p>
    <w:p>
      <w:pPr>
        <w:pStyle w:val="TOC2"/>
      </w:pPr>
      <w:hyperlink w:anchor="_Toc300002173" w:history="1">
        <w:r>
          <w:rPr>
            <w:noProof/>
          </w:rPr>
          <w:t xml:space="preserve">ARTICLE 67.38: Controlled-Capability Ladder</w:t>
        </w:r>
        <w:r>
          <w:rPr>
            <w:noProof/>
            <w:webHidden/>
          </w:rPr>
          <w:tab/>
        </w:r>
        <w:r>
          <w:rPr>
            <w:noProof/>
            <w:webHidden/>
          </w:rPr>
          <w:fldChar w:fldCharType="begin"/>
        </w:r>
        <w:r>
          <w:rPr>
            <w:noProof/>
            <w:webHidden/>
          </w:rPr>
          <w:instrText xml:space="preserve"> PAGEREF _Toc300002173 \h </w:instrText>
        </w:r>
        <w:r>
          <w:rPr>
            <w:noProof/>
            <w:webHidden/>
          </w:rPr>
          <w:fldChar w:fldCharType="separate"/>
        </w:r>
        <w:r>
          <w:rPr>
            <w:noProof/>
            <w:webHidden/>
          </w:rPr>
          <w:t>2137</w:t>
        </w:r>
        <w:r>
          <w:rPr>
            <w:noProof/>
            <w:webHidden/>
          </w:rPr>
          <w:fldChar w:fldCharType="end"/>
        </w:r>
      </w:hyperlink>
    </w:p>
    <w:p>
      <w:pPr>
        <w:pStyle w:val="TOC2"/>
      </w:pPr>
      <w:hyperlink w:anchor="_Toc300002174" w:history="1">
        <w:r>
          <w:rPr>
            <w:noProof/>
          </w:rPr>
          <w:t xml:space="preserve">ARTICLE 67.39: Data Governance and Sensitive Information</w:t>
        </w:r>
        <w:r>
          <w:rPr>
            <w:noProof/>
            <w:webHidden/>
          </w:rPr>
          <w:tab/>
        </w:r>
        <w:r>
          <w:rPr>
            <w:noProof/>
            <w:webHidden/>
          </w:rPr>
          <w:fldChar w:fldCharType="begin"/>
        </w:r>
        <w:r>
          <w:rPr>
            <w:noProof/>
            <w:webHidden/>
          </w:rPr>
          <w:instrText xml:space="preserve"> PAGEREF _Toc300002174 \h </w:instrText>
        </w:r>
        <w:r>
          <w:rPr>
            <w:noProof/>
            <w:webHidden/>
          </w:rPr>
          <w:fldChar w:fldCharType="separate"/>
        </w:r>
        <w:r>
          <w:rPr>
            <w:noProof/>
            <w:webHidden/>
          </w:rPr>
          <w:t>2137</w:t>
        </w:r>
        <w:r>
          <w:rPr>
            <w:noProof/>
            <w:webHidden/>
          </w:rPr>
          <w:fldChar w:fldCharType="end"/>
        </w:r>
      </w:hyperlink>
    </w:p>
    <w:p>
      <w:pPr>
        <w:pStyle w:val="TOC2"/>
      </w:pPr>
      <w:hyperlink w:anchor="_Toc300002175" w:history="1">
        <w:r>
          <w:rPr>
            <w:noProof/>
          </w:rPr>
          <w:t xml:space="preserve">ARTICLE 67.40: Foreign Personnel, Liability and Status</w:t>
        </w:r>
        <w:r>
          <w:rPr>
            <w:noProof/>
            <w:webHidden/>
          </w:rPr>
          <w:tab/>
        </w:r>
        <w:r>
          <w:rPr>
            <w:noProof/>
            <w:webHidden/>
          </w:rPr>
          <w:fldChar w:fldCharType="begin"/>
        </w:r>
        <w:r>
          <w:rPr>
            <w:noProof/>
            <w:webHidden/>
          </w:rPr>
          <w:instrText xml:space="preserve"> PAGEREF _Toc300002175 \h </w:instrText>
        </w:r>
        <w:r>
          <w:rPr>
            <w:noProof/>
            <w:webHidden/>
          </w:rPr>
          <w:fldChar w:fldCharType="separate"/>
        </w:r>
        <w:r>
          <w:rPr>
            <w:noProof/>
            <w:webHidden/>
          </w:rPr>
          <w:t>2138</w:t>
        </w:r>
        <w:r>
          <w:rPr>
            <w:noProof/>
            <w:webHidden/>
          </w:rPr>
          <w:fldChar w:fldCharType="end"/>
        </w:r>
      </w:hyperlink>
    </w:p>
    <w:p>
      <w:pPr>
        <w:pStyle w:val="TOC2"/>
      </w:pPr>
      <w:hyperlink w:anchor="_Toc300002176" w:history="1">
        <w:r>
          <w:rPr>
            <w:noProof/>
          </w:rPr>
          <w:t xml:space="preserve">ARTICLE 67.41: Environmental and Procurement Integrity</w:t>
        </w:r>
        <w:r>
          <w:rPr>
            <w:noProof/>
            <w:webHidden/>
          </w:rPr>
          <w:tab/>
        </w:r>
        <w:r>
          <w:rPr>
            <w:noProof/>
            <w:webHidden/>
          </w:rPr>
          <w:fldChar w:fldCharType="begin"/>
        </w:r>
        <w:r>
          <w:rPr>
            <w:noProof/>
            <w:webHidden/>
          </w:rPr>
          <w:instrText xml:space="preserve"> PAGEREF _Toc300002176 \h </w:instrText>
        </w:r>
        <w:r>
          <w:rPr>
            <w:noProof/>
            <w:webHidden/>
          </w:rPr>
          <w:fldChar w:fldCharType="separate"/>
        </w:r>
        <w:r>
          <w:rPr>
            <w:noProof/>
            <w:webHidden/>
          </w:rPr>
          <w:t>2138</w:t>
        </w:r>
        <w:r>
          <w:rPr>
            <w:noProof/>
            <w:webHidden/>
          </w:rPr>
          <w:fldChar w:fldCharType="end"/>
        </w:r>
      </w:hyperlink>
    </w:p>
    <w:p>
      <w:pPr>
        <w:pStyle w:val="TOC2"/>
      </w:pPr>
      <w:hyperlink w:anchor="_Toc300002177" w:history="1">
        <w:r>
          <w:rPr>
            <w:noProof/>
          </w:rPr>
          <w:t xml:space="preserve">ARTICLE 67.42: Security Performance and Good-Faith Implementation</w:t>
        </w:r>
        <w:r>
          <w:rPr>
            <w:noProof/>
            <w:webHidden/>
          </w:rPr>
          <w:tab/>
        </w:r>
        <w:r>
          <w:rPr>
            <w:noProof/>
            <w:webHidden/>
          </w:rPr>
          <w:fldChar w:fldCharType="begin"/>
        </w:r>
        <w:r>
          <w:rPr>
            <w:noProof/>
            <w:webHidden/>
          </w:rPr>
          <w:instrText xml:space="preserve"> PAGEREF _Toc300002177 \h </w:instrText>
        </w:r>
        <w:r>
          <w:rPr>
            <w:noProof/>
            <w:webHidden/>
          </w:rPr>
          <w:fldChar w:fldCharType="separate"/>
        </w:r>
        <w:r>
          <w:rPr>
            <w:noProof/>
            <w:webHidden/>
          </w:rPr>
          <w:t>2138</w:t>
        </w:r>
        <w:r>
          <w:rPr>
            <w:noProof/>
            <w:webHidden/>
          </w:rPr>
          <w:fldChar w:fldCharType="end"/>
        </w:r>
      </w:hyperlink>
    </w:p>
    <w:p>
      <w:pPr>
        <w:pStyle w:val="TOC2"/>
      </w:pPr>
      <w:hyperlink w:anchor="_Toc300002178" w:history="1">
        <w:r>
          <w:rPr>
            <w:noProof/>
          </w:rPr>
          <w:t xml:space="preserve">ARTICLE 67.43: Verification, Consultation and Cure</w:t>
        </w:r>
        <w:r>
          <w:rPr>
            <w:noProof/>
            <w:webHidden/>
          </w:rPr>
          <w:tab/>
        </w:r>
        <w:r>
          <w:rPr>
            <w:noProof/>
            <w:webHidden/>
          </w:rPr>
          <w:fldChar w:fldCharType="begin"/>
        </w:r>
        <w:r>
          <w:rPr>
            <w:noProof/>
            <w:webHidden/>
          </w:rPr>
          <w:instrText xml:space="preserve"> PAGEREF _Toc300002178 \h </w:instrText>
        </w:r>
        <w:r>
          <w:rPr>
            <w:noProof/>
            <w:webHidden/>
          </w:rPr>
          <w:fldChar w:fldCharType="separate"/>
        </w:r>
        <w:r>
          <w:rPr>
            <w:noProof/>
            <w:webHidden/>
          </w:rPr>
          <w:t>2138</w:t>
        </w:r>
        <w:r>
          <w:rPr>
            <w:noProof/>
            <w:webHidden/>
          </w:rPr>
          <w:fldChar w:fldCharType="end"/>
        </w:r>
      </w:hyperlink>
    </w:p>
    <w:p>
      <w:pPr>
        <w:pStyle w:val="TOC2"/>
      </w:pPr>
      <w:hyperlink w:anchor="_Toc300002179" w:history="1">
        <w:r>
          <w:rPr>
            <w:noProof/>
          </w:rPr>
          <w:t xml:space="preserve">ARTICLE 67.44: Proportional Northern-Vigilance Step-Back</w:t>
        </w:r>
        <w:r>
          <w:rPr>
            <w:noProof/>
            <w:webHidden/>
          </w:rPr>
          <w:tab/>
        </w:r>
        <w:r>
          <w:rPr>
            <w:noProof/>
            <w:webHidden/>
          </w:rPr>
          <w:fldChar w:fldCharType="begin"/>
        </w:r>
        <w:r>
          <w:rPr>
            <w:noProof/>
            <w:webHidden/>
          </w:rPr>
          <w:instrText xml:space="preserve"> PAGEREF _Toc300002179 \h </w:instrText>
        </w:r>
        <w:r>
          <w:rPr>
            <w:noProof/>
            <w:webHidden/>
          </w:rPr>
          <w:fldChar w:fldCharType="separate"/>
        </w:r>
        <w:r>
          <w:rPr>
            <w:noProof/>
            <w:webHidden/>
          </w:rPr>
          <w:t>2139</w:t>
        </w:r>
        <w:r>
          <w:rPr>
            <w:noProof/>
            <w:webHidden/>
          </w:rPr>
          <w:fldChar w:fldCharType="end"/>
        </w:r>
      </w:hyperlink>
    </w:p>
    <w:p>
      <w:pPr>
        <w:pStyle w:val="TOC2"/>
      </w:pPr>
      <w:hyperlink w:anchor="_Toc300002180" w:history="1">
        <w:r>
          <w:rPr>
            <w:noProof/>
          </w:rPr>
          <w:t xml:space="preserve">ARTICLE 67.45: Automatic Restoration After Cure</w:t>
        </w:r>
        <w:r>
          <w:rPr>
            <w:noProof/>
            <w:webHidden/>
          </w:rPr>
          <w:tab/>
        </w:r>
        <w:r>
          <w:rPr>
            <w:noProof/>
            <w:webHidden/>
          </w:rPr>
          <w:fldChar w:fldCharType="begin"/>
        </w:r>
        <w:r>
          <w:rPr>
            <w:noProof/>
            <w:webHidden/>
          </w:rPr>
          <w:instrText xml:space="preserve"> PAGEREF _Toc300002180 \h </w:instrText>
        </w:r>
        <w:r>
          <w:rPr>
            <w:noProof/>
            <w:webHidden/>
          </w:rPr>
          <w:fldChar w:fldCharType="separate"/>
        </w:r>
        <w:r>
          <w:rPr>
            <w:noProof/>
            <w:webHidden/>
          </w:rPr>
          <w:t>2139</w:t>
        </w:r>
        <w:r>
          <w:rPr>
            <w:noProof/>
            <w:webHidden/>
          </w:rPr>
          <w:fldChar w:fldCharType="end"/>
        </w:r>
      </w:hyperlink>
    </w:p>
    <w:p>
      <w:pPr>
        <w:pStyle w:val="TOC2"/>
      </w:pPr>
      <w:hyperlink w:anchor="_Toc300002181" w:history="1">
        <w:r>
          <w:rPr>
            <w:noProof/>
          </w:rPr>
          <w:t xml:space="preserve">ARTICLE 67.46: Trade-Measure Exclusion and Covered-Rationale Exhaustion</w:t>
        </w:r>
        <w:r>
          <w:rPr>
            <w:noProof/>
            <w:webHidden/>
          </w:rPr>
          <w:tab/>
        </w:r>
        <w:r>
          <w:rPr>
            <w:noProof/>
            <w:webHidden/>
          </w:rPr>
          <w:fldChar w:fldCharType="begin"/>
        </w:r>
        <w:r>
          <w:rPr>
            <w:noProof/>
            <w:webHidden/>
          </w:rPr>
          <w:instrText xml:space="preserve"> PAGEREF _Toc300002181 \h </w:instrText>
        </w:r>
        <w:r>
          <w:rPr>
            <w:noProof/>
            <w:webHidden/>
          </w:rPr>
          <w:fldChar w:fldCharType="separate"/>
        </w:r>
        <w:r>
          <w:rPr>
            <w:noProof/>
            <w:webHidden/>
          </w:rPr>
          <w:t>2139</w:t>
        </w:r>
        <w:r>
          <w:rPr>
            <w:noProof/>
            <w:webHidden/>
          </w:rPr>
          <w:fldChar w:fldCharType="end"/>
        </w:r>
      </w:hyperlink>
    </w:p>
    <w:p>
      <w:pPr>
        <w:pStyle w:val="TOC2"/>
      </w:pPr>
      <w:hyperlink w:anchor="_Toc300002182" w:history="1">
        <w:r>
          <w:rPr>
            <w:noProof/>
          </w:rPr>
          <w:t xml:space="preserve">ARTICLE 67.47: Review, Renewal and Orderly Wind-Down</w:t>
        </w:r>
        <w:r>
          <w:rPr>
            <w:noProof/>
            <w:webHidden/>
          </w:rPr>
          <w:tab/>
        </w:r>
        <w:r>
          <w:rPr>
            <w:noProof/>
            <w:webHidden/>
          </w:rPr>
          <w:fldChar w:fldCharType="begin"/>
        </w:r>
        <w:r>
          <w:rPr>
            <w:noProof/>
            <w:webHidden/>
          </w:rPr>
          <w:instrText xml:space="preserve"> PAGEREF _Toc300002182 \h </w:instrText>
        </w:r>
        <w:r>
          <w:rPr>
            <w:noProof/>
            <w:webHidden/>
          </w:rPr>
          <w:fldChar w:fldCharType="separate"/>
        </w:r>
        <w:r>
          <w:rPr>
            <w:noProof/>
            <w:webHidden/>
          </w:rPr>
          <w:t>2139</w:t>
        </w:r>
        <w:r>
          <w:rPr>
            <w:noProof/>
            <w:webHidden/>
          </w:rPr>
          <w:fldChar w:fldCharType="end"/>
        </w:r>
      </w:hyperlink>
    </w:p>
    <w:p>
      <w:pPr>
        <w:pStyle w:val="TOC2"/>
      </w:pPr>
      <w:hyperlink w:anchor="_Toc300002183" w:history="1">
        <w:r>
          <w:rPr>
            <w:noProof/>
          </w:rPr>
          <w:t xml:space="preserve">ANNEX 67-A: CORNERSTONE OBLIGATIONS REGISTER (47)</w:t>
        </w:r>
        <w:r>
          <w:rPr>
            <w:noProof/>
            <w:webHidden/>
          </w:rPr>
          <w:tab/>
        </w:r>
        <w:r>
          <w:rPr>
            <w:noProof/>
            <w:webHidden/>
          </w:rPr>
          <w:fldChar w:fldCharType="begin"/>
        </w:r>
        <w:r>
          <w:rPr>
            <w:noProof/>
            <w:webHidden/>
          </w:rPr>
          <w:instrText xml:space="preserve"> PAGEREF _Toc300002183 \h </w:instrText>
        </w:r>
        <w:r>
          <w:rPr>
            <w:noProof/>
            <w:webHidden/>
          </w:rPr>
          <w:fldChar w:fldCharType="separate"/>
        </w:r>
        <w:r>
          <w:rPr>
            <w:noProof/>
            <w:webHidden/>
          </w:rPr>
          <w:t>2140</w:t>
        </w:r>
        <w:r>
          <w:rPr>
            <w:noProof/>
            <w:webHidden/>
          </w:rPr>
          <w:fldChar w:fldCharType="end"/>
        </w:r>
      </w:hyperlink>
    </w:p>
    <w:p>
      <w:pPr>
        <w:pStyle w:val="TOC2"/>
      </w:pPr>
      <w:hyperlink w:anchor="_Toc300002184" w:history="1">
        <w:r>
          <w:rPr>
            <w:noProof/>
          </w:rPr>
          <w:t xml:space="preserve">ANNEX 67-B: OPERATIONAL AND CAPABILITY MECHANISM REGISTER (128)</w:t>
        </w:r>
        <w:r>
          <w:rPr>
            <w:noProof/>
            <w:webHidden/>
          </w:rPr>
          <w:tab/>
        </w:r>
        <w:r>
          <w:rPr>
            <w:noProof/>
            <w:webHidden/>
          </w:rPr>
          <w:fldChar w:fldCharType="begin"/>
        </w:r>
        <w:r>
          <w:rPr>
            <w:noProof/>
            <w:webHidden/>
          </w:rPr>
          <w:instrText xml:space="preserve"> PAGEREF _Toc300002184 \h </w:instrText>
        </w:r>
        <w:r>
          <w:rPr>
            <w:noProof/>
            <w:webHidden/>
          </w:rPr>
          <w:fldChar w:fldCharType="separate"/>
        </w:r>
        <w:r>
          <w:rPr>
            <w:noProof/>
            <w:webHidden/>
          </w:rPr>
          <w:t>2141</w:t>
        </w:r>
        <w:r>
          <w:rPr>
            <w:noProof/>
            <w:webHidden/>
          </w:rPr>
          <w:fldChar w:fldCharType="end"/>
        </w:r>
      </w:hyperlink>
    </w:p>
    <w:p>
      <w:pPr>
        <w:pStyle w:val="TOC2"/>
      </w:pPr>
      <w:hyperlink w:anchor="_Toc300002185" w:history="1">
        <w:r>
          <w:rPr>
            <w:noProof/>
          </w:rPr>
          <w:t xml:space="preserve">ANNEX 67-C: PROJECT AND INVESTMENT CANDIDATE REGISTER (121)</w:t>
        </w:r>
        <w:r>
          <w:rPr>
            <w:noProof/>
            <w:webHidden/>
          </w:rPr>
          <w:tab/>
        </w:r>
        <w:r>
          <w:rPr>
            <w:noProof/>
            <w:webHidden/>
          </w:rPr>
          <w:fldChar w:fldCharType="begin"/>
        </w:r>
        <w:r>
          <w:rPr>
            <w:noProof/>
            <w:webHidden/>
          </w:rPr>
          <w:instrText xml:space="preserve"> PAGEREF _Toc300002185 \h </w:instrText>
        </w:r>
        <w:r>
          <w:rPr>
            <w:noProof/>
            <w:webHidden/>
          </w:rPr>
          <w:fldChar w:fldCharType="separate"/>
        </w:r>
        <w:r>
          <w:rPr>
            <w:noProof/>
            <w:webHidden/>
          </w:rPr>
          <w:t>2146</w:t>
        </w:r>
        <w:r>
          <w:rPr>
            <w:noProof/>
            <w:webHidden/>
          </w:rPr>
          <w:fldChar w:fldCharType="end"/>
        </w:r>
      </w:hyperlink>
    </w:p>
    <w:p>
      <w:pPr>
        <w:pStyle w:val="TOC2"/>
      </w:pPr>
      <w:hyperlink w:anchor="_Toc300002186" w:history="1">
        <w:r>
          <w:rPr>
            <w:noProof/>
          </w:rPr>
          <w:t xml:space="preserve">ANNEX 67-D: CONTROLLED-CAPABILITY REGISTER (7)</w:t>
        </w:r>
        <w:r>
          <w:rPr>
            <w:noProof/>
            <w:webHidden/>
          </w:rPr>
          <w:tab/>
        </w:r>
        <w:r>
          <w:rPr>
            <w:noProof/>
            <w:webHidden/>
          </w:rPr>
          <w:fldChar w:fldCharType="begin"/>
        </w:r>
        <w:r>
          <w:rPr>
            <w:noProof/>
            <w:webHidden/>
          </w:rPr>
          <w:instrText xml:space="preserve"> PAGEREF _Toc300002186 \h </w:instrText>
        </w:r>
        <w:r>
          <w:rPr>
            <w:noProof/>
            <w:webHidden/>
          </w:rPr>
          <w:fldChar w:fldCharType="separate"/>
        </w:r>
        <w:r>
          <w:rPr>
            <w:noProof/>
            <w:webHidden/>
          </w:rPr>
          <w:t>2153</w:t>
        </w:r>
        <w:r>
          <w:rPr>
            <w:noProof/>
            <w:webHidden/>
          </w:rPr>
          <w:fldChar w:fldCharType="end"/>
        </w:r>
      </w:hyperlink>
    </w:p>
    <w:p>
      <w:pPr>
        <w:pStyle w:val="TOC2"/>
      </w:pPr>
      <w:hyperlink w:anchor="_Toc300002187" w:history="1">
        <w:r>
          <w:rPr>
            <w:noProof/>
          </w:rPr>
          <w:t xml:space="preserve">ANNEX 67-E: VISIBLE NORTHERN VIGILANCE TROPHY OVERLAY (30)</w:t>
        </w:r>
        <w:r>
          <w:rPr>
            <w:noProof/>
            <w:webHidden/>
          </w:rPr>
          <w:tab/>
        </w:r>
        <w:r>
          <w:rPr>
            <w:noProof/>
            <w:webHidden/>
          </w:rPr>
          <w:fldChar w:fldCharType="begin"/>
        </w:r>
        <w:r>
          <w:rPr>
            <w:noProof/>
            <w:webHidden/>
          </w:rPr>
          <w:instrText xml:space="preserve"> PAGEREF _Toc300002187 \h </w:instrText>
        </w:r>
        <w:r>
          <w:rPr>
            <w:noProof/>
            <w:webHidden/>
          </w:rPr>
          <w:fldChar w:fldCharType="separate"/>
        </w:r>
        <w:r>
          <w:rPr>
            <w:noProof/>
            <w:webHidden/>
          </w:rPr>
          <w:t>2153</w:t>
        </w:r>
        <w:r>
          <w:rPr>
            <w:noProof/>
            <w:webHidden/>
          </w:rPr>
          <w:fldChar w:fldCharType="end"/>
        </w:r>
      </w:hyperlink>
    </w:p>
    <w:p>
      <w:pPr>
        <w:pStyle w:val="TOC2"/>
      </w:pPr>
      <w:hyperlink w:anchor="_Toc300002188" w:history="1">
        <w:r>
          <w:rPr>
            <w:noProof/>
          </w:rPr>
          <w:t xml:space="preserve">ANNEX 67-F: PROJECT STATUS, CLAIM AND ACCOUNTING VERIFICATION RULE</w:t>
        </w:r>
        <w:r>
          <w:rPr>
            <w:noProof/>
            <w:webHidden/>
          </w:rPr>
          <w:tab/>
        </w:r>
        <w:r>
          <w:rPr>
            <w:noProof/>
            <w:webHidden/>
          </w:rPr>
          <w:fldChar w:fldCharType="begin"/>
        </w:r>
        <w:r>
          <w:rPr>
            <w:noProof/>
            <w:webHidden/>
          </w:rPr>
          <w:instrText xml:space="preserve"> PAGEREF _Toc300002188 \h </w:instrText>
        </w:r>
        <w:r>
          <w:rPr>
            <w:noProof/>
            <w:webHidden/>
          </w:rPr>
          <w:fldChar w:fldCharType="separate"/>
        </w:r>
        <w:r>
          <w:rPr>
            <w:noProof/>
            <w:webHidden/>
          </w:rPr>
          <w:t>2155</w:t>
        </w:r>
        <w:r>
          <w:rPr>
            <w:noProof/>
            <w:webHidden/>
          </w:rPr>
          <w:fldChar w:fldCharType="end"/>
        </w:r>
      </w:hyperlink>
    </w:p>
    <w:p>
      <w:pPr>
        <w:pStyle w:val="TOC1"/>
      </w:pPr>
      <w:hyperlink w:anchor="_Toc300002189" w:history="1">
        <w:r>
          <w:rPr>
            <w:noProof/>
          </w:rPr>
          <w:t xml:space="preserve">CHAPTER 68: GREAT WHALE COMPACT: NORTH AMERICAN CETACEAN RECOVERY, SAFETY AND STEWARDSHIP</w:t>
        </w:r>
        <w:r>
          <w:rPr>
            <w:noProof/>
            <w:webHidden/>
          </w:rPr>
          <w:tab/>
        </w:r>
        <w:r>
          <w:rPr>
            <w:noProof/>
            <w:webHidden/>
          </w:rPr>
          <w:fldChar w:fldCharType="begin"/>
        </w:r>
        <w:r>
          <w:rPr>
            <w:noProof/>
            <w:webHidden/>
          </w:rPr>
          <w:instrText xml:space="preserve"> PAGEREF _Toc300002189 \h </w:instrText>
        </w:r>
        <w:r>
          <w:rPr>
            <w:noProof/>
            <w:webHidden/>
          </w:rPr>
          <w:fldChar w:fldCharType="separate"/>
        </w:r>
        <w:r>
          <w:rPr>
            <w:noProof/>
            <w:webHidden/>
          </w:rPr>
          <w:t>2157</w:t>
        </w:r>
        <w:r>
          <w:rPr>
            <w:noProof/>
            <w:webHidden/>
          </w:rPr>
          <w:fldChar w:fldCharType="end"/>
        </w:r>
      </w:hyperlink>
    </w:p>
    <w:p>
      <w:pPr>
        <w:pStyle w:val="TOC2"/>
      </w:pPr>
      <w:hyperlink w:anchor="_Toc300002190" w:history="1">
        <w:r>
          <w:rPr>
            <w:noProof/>
          </w:rPr>
          <w:t xml:space="preserve">68.1. Purpose and Great Whale Bargain.</w:t>
        </w:r>
        <w:r>
          <w:rPr>
            <w:noProof/>
            <w:webHidden/>
          </w:rPr>
          <w:tab/>
        </w:r>
        <w:r>
          <w:rPr>
            <w:noProof/>
            <w:webHidden/>
          </w:rPr>
          <w:fldChar w:fldCharType="begin"/>
        </w:r>
        <w:r>
          <w:rPr>
            <w:noProof/>
            <w:webHidden/>
          </w:rPr>
          <w:instrText xml:space="preserve"> PAGEREF _Toc300002190 \h </w:instrText>
        </w:r>
        <w:r>
          <w:rPr>
            <w:noProof/>
            <w:webHidden/>
          </w:rPr>
          <w:fldChar w:fldCharType="separate"/>
        </w:r>
        <w:r>
          <w:rPr>
            <w:noProof/>
            <w:webHidden/>
          </w:rPr>
          <w:t>2157</w:t>
        </w:r>
        <w:r>
          <w:rPr>
            <w:noProof/>
            <w:webHidden/>
          </w:rPr>
          <w:fldChar w:fldCharType="end"/>
        </w:r>
      </w:hyperlink>
    </w:p>
    <w:p>
      <w:pPr>
        <w:pStyle w:val="TOC2"/>
      </w:pPr>
      <w:hyperlink w:anchor="_Toc300002191" w:history="1">
        <w:r>
          <w:rPr>
            <w:noProof/>
          </w:rPr>
          <w:t xml:space="preserve">68.2. National Sovereignty and Domestic Authority.</w:t>
        </w:r>
        <w:r>
          <w:rPr>
            <w:noProof/>
            <w:webHidden/>
          </w:rPr>
          <w:tab/>
        </w:r>
        <w:r>
          <w:rPr>
            <w:noProof/>
            <w:webHidden/>
          </w:rPr>
          <w:fldChar w:fldCharType="begin"/>
        </w:r>
        <w:r>
          <w:rPr>
            <w:noProof/>
            <w:webHidden/>
          </w:rPr>
          <w:instrText xml:space="preserve"> PAGEREF _Toc300002191 \h </w:instrText>
        </w:r>
        <w:r>
          <w:rPr>
            <w:noProof/>
            <w:webHidden/>
          </w:rPr>
          <w:fldChar w:fldCharType="separate"/>
        </w:r>
        <w:r>
          <w:rPr>
            <w:noProof/>
            <w:webHidden/>
          </w:rPr>
          <w:t>2157</w:t>
        </w:r>
        <w:r>
          <w:rPr>
            <w:noProof/>
            <w:webHidden/>
          </w:rPr>
          <w:fldChar w:fldCharType="end"/>
        </w:r>
      </w:hyperlink>
    </w:p>
    <w:p>
      <w:pPr>
        <w:pStyle w:val="TOC2"/>
      </w:pPr>
      <w:hyperlink w:anchor="_Toc300002192" w:history="1">
        <w:r>
          <w:rPr>
            <w:noProof/>
          </w:rPr>
          <w:t xml:space="preserve">68.3. Existing Institutions Before New Institutions.</w:t>
        </w:r>
        <w:r>
          <w:rPr>
            <w:noProof/>
            <w:webHidden/>
          </w:rPr>
          <w:tab/>
        </w:r>
        <w:r>
          <w:rPr>
            <w:noProof/>
            <w:webHidden/>
          </w:rPr>
          <w:fldChar w:fldCharType="begin"/>
        </w:r>
        <w:r>
          <w:rPr>
            <w:noProof/>
            <w:webHidden/>
          </w:rPr>
          <w:instrText xml:space="preserve"> PAGEREF _Toc300002192 \h </w:instrText>
        </w:r>
        <w:r>
          <w:rPr>
            <w:noProof/>
            <w:webHidden/>
          </w:rPr>
          <w:fldChar w:fldCharType="separate"/>
        </w:r>
        <w:r>
          <w:rPr>
            <w:noProof/>
            <w:webHidden/>
          </w:rPr>
          <w:t>2157</w:t>
        </w:r>
        <w:r>
          <w:rPr>
            <w:noProof/>
            <w:webHidden/>
          </w:rPr>
          <w:fldChar w:fldCharType="end"/>
        </w:r>
      </w:hyperlink>
    </w:p>
    <w:p>
      <w:pPr>
        <w:pStyle w:val="TOC2"/>
      </w:pPr>
      <w:hyperlink w:anchor="_Toc300002193" w:history="1">
        <w:r>
          <w:rPr>
            <w:noProof/>
          </w:rPr>
          <w:t xml:space="preserve">68.4. Science-First Decisionmaking.</w:t>
        </w:r>
        <w:r>
          <w:rPr>
            <w:noProof/>
            <w:webHidden/>
          </w:rPr>
          <w:tab/>
        </w:r>
        <w:r>
          <w:rPr>
            <w:noProof/>
            <w:webHidden/>
          </w:rPr>
          <w:fldChar w:fldCharType="begin"/>
        </w:r>
        <w:r>
          <w:rPr>
            <w:noProof/>
            <w:webHidden/>
          </w:rPr>
          <w:instrText xml:space="preserve"> PAGEREF _Toc300002193 \h </w:instrText>
        </w:r>
        <w:r>
          <w:rPr>
            <w:noProof/>
            <w:webHidden/>
          </w:rPr>
          <w:fldChar w:fldCharType="separate"/>
        </w:r>
        <w:r>
          <w:rPr>
            <w:noProof/>
            <w:webHidden/>
          </w:rPr>
          <w:t>2157</w:t>
        </w:r>
        <w:r>
          <w:rPr>
            <w:noProof/>
            <w:webHidden/>
          </w:rPr>
          <w:fldChar w:fldCharType="end"/>
        </w:r>
      </w:hyperlink>
    </w:p>
    <w:p>
      <w:pPr>
        <w:pStyle w:val="TOC2"/>
      </w:pPr>
      <w:hyperlink w:anchor="_Toc300002194" w:history="1">
        <w:r>
          <w:rPr>
            <w:noProof/>
          </w:rPr>
          <w:t xml:space="preserve">68.5. Least-Burdensome Effective Protection.</w:t>
        </w:r>
        <w:r>
          <w:rPr>
            <w:noProof/>
            <w:webHidden/>
          </w:rPr>
          <w:tab/>
        </w:r>
        <w:r>
          <w:rPr>
            <w:noProof/>
            <w:webHidden/>
          </w:rPr>
          <w:fldChar w:fldCharType="begin"/>
        </w:r>
        <w:r>
          <w:rPr>
            <w:noProof/>
            <w:webHidden/>
          </w:rPr>
          <w:instrText xml:space="preserve"> PAGEREF _Toc300002194 \h </w:instrText>
        </w:r>
        <w:r>
          <w:rPr>
            <w:noProof/>
            <w:webHidden/>
          </w:rPr>
          <w:fldChar w:fldCharType="separate"/>
        </w:r>
        <w:r>
          <w:rPr>
            <w:noProof/>
            <w:webHidden/>
          </w:rPr>
          <w:t>2157</w:t>
        </w:r>
        <w:r>
          <w:rPr>
            <w:noProof/>
            <w:webHidden/>
          </w:rPr>
          <w:fldChar w:fldCharType="end"/>
        </w:r>
      </w:hyperlink>
    </w:p>
    <w:p>
      <w:pPr>
        <w:pStyle w:val="TOC2"/>
      </w:pPr>
      <w:hyperlink w:anchor="_Toc300002195" w:history="1">
        <w:r>
          <w:rPr>
            <w:noProof/>
          </w:rPr>
          <w:t xml:space="preserve">68.6. Adaptive Management.</w:t>
        </w:r>
        <w:r>
          <w:rPr>
            <w:noProof/>
            <w:webHidden/>
          </w:rPr>
          <w:tab/>
        </w:r>
        <w:r>
          <w:rPr>
            <w:noProof/>
            <w:webHidden/>
          </w:rPr>
          <w:fldChar w:fldCharType="begin"/>
        </w:r>
        <w:r>
          <w:rPr>
            <w:noProof/>
            <w:webHidden/>
          </w:rPr>
          <w:instrText xml:space="preserve"> PAGEREF _Toc300002195 \h </w:instrText>
        </w:r>
        <w:r>
          <w:rPr>
            <w:noProof/>
            <w:webHidden/>
          </w:rPr>
          <w:fldChar w:fldCharType="separate"/>
        </w:r>
        <w:r>
          <w:rPr>
            <w:noProof/>
            <w:webHidden/>
          </w:rPr>
          <w:t>2158</w:t>
        </w:r>
        <w:r>
          <w:rPr>
            <w:noProof/>
            <w:webHidden/>
          </w:rPr>
          <w:fldChar w:fldCharType="end"/>
        </w:r>
      </w:hyperlink>
    </w:p>
    <w:p>
      <w:pPr>
        <w:pStyle w:val="TOC2"/>
      </w:pPr>
      <w:hyperlink w:anchor="_Toc300002196" w:history="1">
        <w:r>
          <w:rPr>
            <w:noProof/>
          </w:rPr>
          <w:t xml:space="preserve">68.7. Activation and Deactivation.</w:t>
        </w:r>
        <w:r>
          <w:rPr>
            <w:noProof/>
            <w:webHidden/>
          </w:rPr>
          <w:tab/>
        </w:r>
        <w:r>
          <w:rPr>
            <w:noProof/>
            <w:webHidden/>
          </w:rPr>
          <w:fldChar w:fldCharType="begin"/>
        </w:r>
        <w:r>
          <w:rPr>
            <w:noProof/>
            <w:webHidden/>
          </w:rPr>
          <w:instrText xml:space="preserve"> PAGEREF _Toc300002196 \h </w:instrText>
        </w:r>
        <w:r>
          <w:rPr>
            <w:noProof/>
            <w:webHidden/>
          </w:rPr>
          <w:fldChar w:fldCharType="separate"/>
        </w:r>
        <w:r>
          <w:rPr>
            <w:noProof/>
            <w:webHidden/>
          </w:rPr>
          <w:t>2158</w:t>
        </w:r>
        <w:r>
          <w:rPr>
            <w:noProof/>
            <w:webHidden/>
          </w:rPr>
          <w:fldChar w:fldCharType="end"/>
        </w:r>
      </w:hyperlink>
    </w:p>
    <w:p>
      <w:pPr>
        <w:pStyle w:val="TOC2"/>
      </w:pPr>
      <w:hyperlink w:anchor="_Toc300002197" w:history="1">
        <w:r>
          <w:rPr>
            <w:noProof/>
          </w:rPr>
          <w:t xml:space="preserve">68.8. Human Authority Over Automated Consequences.</w:t>
        </w:r>
        <w:r>
          <w:rPr>
            <w:noProof/>
            <w:webHidden/>
          </w:rPr>
          <w:tab/>
        </w:r>
        <w:r>
          <w:rPr>
            <w:noProof/>
            <w:webHidden/>
          </w:rPr>
          <w:fldChar w:fldCharType="begin"/>
        </w:r>
        <w:r>
          <w:rPr>
            <w:noProof/>
            <w:webHidden/>
          </w:rPr>
          <w:instrText xml:space="preserve"> PAGEREF _Toc300002197 \h </w:instrText>
        </w:r>
        <w:r>
          <w:rPr>
            <w:noProof/>
            <w:webHidden/>
          </w:rPr>
          <w:fldChar w:fldCharType="separate"/>
        </w:r>
        <w:r>
          <w:rPr>
            <w:noProof/>
            <w:webHidden/>
          </w:rPr>
          <w:t>2158</w:t>
        </w:r>
        <w:r>
          <w:rPr>
            <w:noProof/>
            <w:webHidden/>
          </w:rPr>
          <w:fldChar w:fldCharType="end"/>
        </w:r>
      </w:hyperlink>
    </w:p>
    <w:p>
      <w:pPr>
        <w:pStyle w:val="TOC2"/>
      </w:pPr>
      <w:hyperlink w:anchor="_Toc300002198" w:history="1">
        <w:r>
          <w:rPr>
            <w:noProof/>
          </w:rPr>
          <w:t xml:space="preserve">68.9. Species-Appropriate Protection.</w:t>
        </w:r>
        <w:r>
          <w:rPr>
            <w:noProof/>
            <w:webHidden/>
          </w:rPr>
          <w:tab/>
        </w:r>
        <w:r>
          <w:rPr>
            <w:noProof/>
            <w:webHidden/>
          </w:rPr>
          <w:fldChar w:fldCharType="begin"/>
        </w:r>
        <w:r>
          <w:rPr>
            <w:noProof/>
            <w:webHidden/>
          </w:rPr>
          <w:instrText xml:space="preserve"> PAGEREF _Toc300002198 \h </w:instrText>
        </w:r>
        <w:r>
          <w:rPr>
            <w:noProof/>
            <w:webHidden/>
          </w:rPr>
          <w:fldChar w:fldCharType="separate"/>
        </w:r>
        <w:r>
          <w:rPr>
            <w:noProof/>
            <w:webHidden/>
          </w:rPr>
          <w:t>2158</w:t>
        </w:r>
        <w:r>
          <w:rPr>
            <w:noProof/>
            <w:webHidden/>
          </w:rPr>
          <w:fldChar w:fldCharType="end"/>
        </w:r>
      </w:hyperlink>
    </w:p>
    <w:p>
      <w:pPr>
        <w:pStyle w:val="TOC2"/>
      </w:pPr>
      <w:hyperlink w:anchor="_Toc300002199" w:history="1">
        <w:r>
          <w:rPr>
            <w:noProof/>
          </w:rPr>
          <w:t xml:space="preserve">68.10. Avoidable Governance Failure.</w:t>
        </w:r>
        <w:r>
          <w:rPr>
            <w:noProof/>
            <w:webHidden/>
          </w:rPr>
          <w:tab/>
        </w:r>
        <w:r>
          <w:rPr>
            <w:noProof/>
            <w:webHidden/>
          </w:rPr>
          <w:fldChar w:fldCharType="begin"/>
        </w:r>
        <w:r>
          <w:rPr>
            <w:noProof/>
            <w:webHidden/>
          </w:rPr>
          <w:instrText xml:space="preserve"> PAGEREF _Toc300002199 \h </w:instrText>
        </w:r>
        <w:r>
          <w:rPr>
            <w:noProof/>
            <w:webHidden/>
          </w:rPr>
          <w:fldChar w:fldCharType="separate"/>
        </w:r>
        <w:r>
          <w:rPr>
            <w:noProof/>
            <w:webHidden/>
          </w:rPr>
          <w:t>2158</w:t>
        </w:r>
        <w:r>
          <w:rPr>
            <w:noProof/>
            <w:webHidden/>
          </w:rPr>
          <w:fldChar w:fldCharType="end"/>
        </w:r>
      </w:hyperlink>
    </w:p>
    <w:p>
      <w:pPr>
        <w:pStyle w:val="TOC2"/>
      </w:pPr>
      <w:hyperlink w:anchor="_Toc300002200" w:history="1">
        <w:r>
          <w:rPr>
            <w:noProof/>
          </w:rPr>
          <w:t xml:space="preserve">68.11. Indigenous Rights Savings.</w:t>
        </w:r>
        <w:r>
          <w:rPr>
            <w:noProof/>
            <w:webHidden/>
          </w:rPr>
          <w:tab/>
        </w:r>
        <w:r>
          <w:rPr>
            <w:noProof/>
            <w:webHidden/>
          </w:rPr>
          <w:fldChar w:fldCharType="begin"/>
        </w:r>
        <w:r>
          <w:rPr>
            <w:noProof/>
            <w:webHidden/>
          </w:rPr>
          <w:instrText xml:space="preserve"> PAGEREF _Toc300002200 \h </w:instrText>
        </w:r>
        <w:r>
          <w:rPr>
            <w:noProof/>
            <w:webHidden/>
          </w:rPr>
          <w:fldChar w:fldCharType="separate"/>
        </w:r>
        <w:r>
          <w:rPr>
            <w:noProof/>
            <w:webHidden/>
          </w:rPr>
          <w:t>2158</w:t>
        </w:r>
        <w:r>
          <w:rPr>
            <w:noProof/>
            <w:webHidden/>
          </w:rPr>
          <w:fldChar w:fldCharType="end"/>
        </w:r>
      </w:hyperlink>
    </w:p>
    <w:p>
      <w:pPr>
        <w:pStyle w:val="TOC2"/>
      </w:pPr>
      <w:hyperlink w:anchor="_Toc300002201" w:history="1">
        <w:r>
          <w:rPr>
            <w:noProof/>
          </w:rPr>
          <w:t xml:space="preserve">68.12. Indigenous Knowledge and Data Governance.</w:t>
        </w:r>
        <w:r>
          <w:rPr>
            <w:noProof/>
            <w:webHidden/>
          </w:rPr>
          <w:tab/>
        </w:r>
        <w:r>
          <w:rPr>
            <w:noProof/>
            <w:webHidden/>
          </w:rPr>
          <w:fldChar w:fldCharType="begin"/>
        </w:r>
        <w:r>
          <w:rPr>
            <w:noProof/>
            <w:webHidden/>
          </w:rPr>
          <w:instrText xml:space="preserve"> PAGEREF _Toc300002201 \h </w:instrText>
        </w:r>
        <w:r>
          <w:rPr>
            <w:noProof/>
            <w:webHidden/>
          </w:rPr>
          <w:fldChar w:fldCharType="separate"/>
        </w:r>
        <w:r>
          <w:rPr>
            <w:noProof/>
            <w:webHidden/>
          </w:rPr>
          <w:t>2158</w:t>
        </w:r>
        <w:r>
          <w:rPr>
            <w:noProof/>
            <w:webHidden/>
          </w:rPr>
          <w:fldChar w:fldCharType="end"/>
        </w:r>
      </w:hyperlink>
    </w:p>
    <w:p>
      <w:pPr>
        <w:pStyle w:val="TOC2"/>
      </w:pPr>
      <w:hyperlink w:anchor="_Toc300002202" w:history="1">
        <w:r>
          <w:rPr>
            <w:noProof/>
          </w:rPr>
          <w:t xml:space="preserve">68.13. Vessel-Strike Reduction.</w:t>
        </w:r>
        <w:r>
          <w:rPr>
            <w:noProof/>
            <w:webHidden/>
          </w:rPr>
          <w:tab/>
        </w:r>
        <w:r>
          <w:rPr>
            <w:noProof/>
            <w:webHidden/>
          </w:rPr>
          <w:fldChar w:fldCharType="begin"/>
        </w:r>
        <w:r>
          <w:rPr>
            <w:noProof/>
            <w:webHidden/>
          </w:rPr>
          <w:instrText xml:space="preserve"> PAGEREF _Toc300002202 \h </w:instrText>
        </w:r>
        <w:r>
          <w:rPr>
            <w:noProof/>
            <w:webHidden/>
          </w:rPr>
          <w:fldChar w:fldCharType="separate"/>
        </w:r>
        <w:r>
          <w:rPr>
            <w:noProof/>
            <w:webHidden/>
          </w:rPr>
          <w:t>2158</w:t>
        </w:r>
        <w:r>
          <w:rPr>
            <w:noProof/>
            <w:webHidden/>
          </w:rPr>
          <w:fldChar w:fldCharType="end"/>
        </w:r>
      </w:hyperlink>
    </w:p>
    <w:p>
      <w:pPr>
        <w:pStyle w:val="TOC2"/>
      </w:pPr>
      <w:hyperlink w:anchor="_Toc300002203" w:history="1">
        <w:r>
          <w:rPr>
            <w:noProof/>
          </w:rPr>
          <w:t xml:space="preserve">68.14. Entanglement Reduction.</w:t>
        </w:r>
        <w:r>
          <w:rPr>
            <w:noProof/>
            <w:webHidden/>
          </w:rPr>
          <w:tab/>
        </w:r>
        <w:r>
          <w:rPr>
            <w:noProof/>
            <w:webHidden/>
          </w:rPr>
          <w:fldChar w:fldCharType="begin"/>
        </w:r>
        <w:r>
          <w:rPr>
            <w:noProof/>
            <w:webHidden/>
          </w:rPr>
          <w:instrText xml:space="preserve"> PAGEREF _Toc300002203 \h </w:instrText>
        </w:r>
        <w:r>
          <w:rPr>
            <w:noProof/>
            <w:webHidden/>
          </w:rPr>
          <w:fldChar w:fldCharType="separate"/>
        </w:r>
        <w:r>
          <w:rPr>
            <w:noProof/>
            <w:webHidden/>
          </w:rPr>
          <w:t>2158</w:t>
        </w:r>
        <w:r>
          <w:rPr>
            <w:noProof/>
            <w:webHidden/>
          </w:rPr>
          <w:fldChar w:fldCharType="end"/>
        </w:r>
      </w:hyperlink>
    </w:p>
    <w:p>
      <w:pPr>
        <w:pStyle w:val="TOC2"/>
      </w:pPr>
      <w:hyperlink w:anchor="_Toc300002204" w:history="1">
        <w:r>
          <w:rPr>
            <w:noProof/>
          </w:rPr>
          <w:t xml:space="preserve">68.15. Whale-Safe Fishing Transition.</w:t>
        </w:r>
        <w:r>
          <w:rPr>
            <w:noProof/>
            <w:webHidden/>
          </w:rPr>
          <w:tab/>
        </w:r>
        <w:r>
          <w:rPr>
            <w:noProof/>
            <w:webHidden/>
          </w:rPr>
          <w:fldChar w:fldCharType="begin"/>
        </w:r>
        <w:r>
          <w:rPr>
            <w:noProof/>
            <w:webHidden/>
          </w:rPr>
          <w:instrText xml:space="preserve"> PAGEREF _Toc300002204 \h </w:instrText>
        </w:r>
        <w:r>
          <w:rPr>
            <w:noProof/>
            <w:webHidden/>
          </w:rPr>
          <w:fldChar w:fldCharType="separate"/>
        </w:r>
        <w:r>
          <w:rPr>
            <w:noProof/>
            <w:webHidden/>
          </w:rPr>
          <w:t>2159</w:t>
        </w:r>
        <w:r>
          <w:rPr>
            <w:noProof/>
            <w:webHidden/>
          </w:rPr>
          <w:fldChar w:fldCharType="end"/>
        </w:r>
      </w:hyperlink>
    </w:p>
    <w:p>
      <w:pPr>
        <w:pStyle w:val="TOC2"/>
      </w:pPr>
      <w:hyperlink w:anchor="_Toc300002205" w:history="1">
        <w:r>
          <w:rPr>
            <w:noProof/>
          </w:rPr>
          <w:t xml:space="preserve">68.16. Ghost-Gear Prevention and Recovery.</w:t>
        </w:r>
        <w:r>
          <w:rPr>
            <w:noProof/>
            <w:webHidden/>
          </w:rPr>
          <w:tab/>
        </w:r>
        <w:r>
          <w:rPr>
            <w:noProof/>
            <w:webHidden/>
          </w:rPr>
          <w:fldChar w:fldCharType="begin"/>
        </w:r>
        <w:r>
          <w:rPr>
            <w:noProof/>
            <w:webHidden/>
          </w:rPr>
          <w:instrText xml:space="preserve"> PAGEREF _Toc300002205 \h </w:instrText>
        </w:r>
        <w:r>
          <w:rPr>
            <w:noProof/>
            <w:webHidden/>
          </w:rPr>
          <w:fldChar w:fldCharType="separate"/>
        </w:r>
        <w:r>
          <w:rPr>
            <w:noProof/>
            <w:webHidden/>
          </w:rPr>
          <w:t>2159</w:t>
        </w:r>
        <w:r>
          <w:rPr>
            <w:noProof/>
            <w:webHidden/>
          </w:rPr>
          <w:fldChar w:fldCharType="end"/>
        </w:r>
      </w:hyperlink>
    </w:p>
    <w:p>
      <w:pPr>
        <w:pStyle w:val="TOC2"/>
      </w:pPr>
      <w:hyperlink w:anchor="_Toc300002206" w:history="1">
        <w:r>
          <w:rPr>
            <w:noProof/>
          </w:rPr>
          <w:t xml:space="preserve">68.17. Continental Detection Cooperation.</w:t>
        </w:r>
        <w:r>
          <w:rPr>
            <w:noProof/>
            <w:webHidden/>
          </w:rPr>
          <w:tab/>
        </w:r>
        <w:r>
          <w:rPr>
            <w:noProof/>
            <w:webHidden/>
          </w:rPr>
          <w:fldChar w:fldCharType="begin"/>
        </w:r>
        <w:r>
          <w:rPr>
            <w:noProof/>
            <w:webHidden/>
          </w:rPr>
          <w:instrText xml:space="preserve"> PAGEREF _Toc300002206 \h </w:instrText>
        </w:r>
        <w:r>
          <w:rPr>
            <w:noProof/>
            <w:webHidden/>
          </w:rPr>
          <w:fldChar w:fldCharType="separate"/>
        </w:r>
        <w:r>
          <w:rPr>
            <w:noProof/>
            <w:webHidden/>
          </w:rPr>
          <w:t>2159</w:t>
        </w:r>
        <w:r>
          <w:rPr>
            <w:noProof/>
            <w:webHidden/>
          </w:rPr>
          <w:fldChar w:fldCharType="end"/>
        </w:r>
      </w:hyperlink>
    </w:p>
    <w:p>
      <w:pPr>
        <w:pStyle w:val="TOC2"/>
      </w:pPr>
      <w:hyperlink w:anchor="_Toc300002207" w:history="1">
        <w:r>
          <w:rPr>
            <w:noProof/>
          </w:rPr>
          <w:t xml:space="preserve">68.18. Detection Reliability.</w:t>
        </w:r>
        <w:r>
          <w:rPr>
            <w:noProof/>
            <w:webHidden/>
          </w:rPr>
          <w:tab/>
        </w:r>
        <w:r>
          <w:rPr>
            <w:noProof/>
            <w:webHidden/>
          </w:rPr>
          <w:fldChar w:fldCharType="begin"/>
        </w:r>
        <w:r>
          <w:rPr>
            <w:noProof/>
            <w:webHidden/>
          </w:rPr>
          <w:instrText xml:space="preserve"> PAGEREF _Toc300002207 \h </w:instrText>
        </w:r>
        <w:r>
          <w:rPr>
            <w:noProof/>
            <w:webHidden/>
          </w:rPr>
          <w:fldChar w:fldCharType="separate"/>
        </w:r>
        <w:r>
          <w:rPr>
            <w:noProof/>
            <w:webHidden/>
          </w:rPr>
          <w:t>2159</w:t>
        </w:r>
        <w:r>
          <w:rPr>
            <w:noProof/>
            <w:webHidden/>
          </w:rPr>
          <w:fldChar w:fldCharType="end"/>
        </w:r>
      </w:hyperlink>
    </w:p>
    <w:p>
      <w:pPr>
        <w:pStyle w:val="TOC2"/>
      </w:pPr>
      <w:hyperlink w:anchor="_Toc300002208" w:history="1">
        <w:r>
          <w:rPr>
            <w:noProof/>
          </w:rPr>
          <w:t xml:space="preserve">68.19. Stranding and Disentanglement Readiness.</w:t>
        </w:r>
        <w:r>
          <w:rPr>
            <w:noProof/>
            <w:webHidden/>
          </w:rPr>
          <w:tab/>
        </w:r>
        <w:r>
          <w:rPr>
            <w:noProof/>
            <w:webHidden/>
          </w:rPr>
          <w:fldChar w:fldCharType="begin"/>
        </w:r>
        <w:r>
          <w:rPr>
            <w:noProof/>
            <w:webHidden/>
          </w:rPr>
          <w:instrText xml:space="preserve"> PAGEREF _Toc300002208 \h </w:instrText>
        </w:r>
        <w:r>
          <w:rPr>
            <w:noProof/>
            <w:webHidden/>
          </w:rPr>
          <w:fldChar w:fldCharType="separate"/>
        </w:r>
        <w:r>
          <w:rPr>
            <w:noProof/>
            <w:webHidden/>
          </w:rPr>
          <w:t>2159</w:t>
        </w:r>
        <w:r>
          <w:rPr>
            <w:noProof/>
            <w:webHidden/>
          </w:rPr>
          <w:fldChar w:fldCharType="end"/>
        </w:r>
      </w:hyperlink>
    </w:p>
    <w:p>
      <w:pPr>
        <w:pStyle w:val="TOC2"/>
      </w:pPr>
      <w:hyperlink w:anchor="_Toc300002209" w:history="1">
        <w:r>
          <w:rPr>
            <w:noProof/>
          </w:rPr>
          <w:t xml:space="preserve">68.20. Veterinary and Mortality Investigation.</w:t>
        </w:r>
        <w:r>
          <w:rPr>
            <w:noProof/>
            <w:webHidden/>
          </w:rPr>
          <w:tab/>
        </w:r>
        <w:r>
          <w:rPr>
            <w:noProof/>
            <w:webHidden/>
          </w:rPr>
          <w:fldChar w:fldCharType="begin"/>
        </w:r>
        <w:r>
          <w:rPr>
            <w:noProof/>
            <w:webHidden/>
          </w:rPr>
          <w:instrText xml:space="preserve"> PAGEREF _Toc300002209 \h </w:instrText>
        </w:r>
        <w:r>
          <w:rPr>
            <w:noProof/>
            <w:webHidden/>
          </w:rPr>
          <w:fldChar w:fldCharType="separate"/>
        </w:r>
        <w:r>
          <w:rPr>
            <w:noProof/>
            <w:webHidden/>
          </w:rPr>
          <w:t>2159</w:t>
        </w:r>
        <w:r>
          <w:rPr>
            <w:noProof/>
            <w:webHidden/>
          </w:rPr>
          <w:fldChar w:fldCharType="end"/>
        </w:r>
      </w:hyperlink>
    </w:p>
    <w:p>
      <w:pPr>
        <w:pStyle w:val="TOC2"/>
      </w:pPr>
      <w:hyperlink w:anchor="_Toc300002210" w:history="1">
        <w:r>
          <w:rPr>
            <w:noProof/>
          </w:rPr>
          <w:t xml:space="preserve">68.21. Critical Habitat and Recovery Cooperation.</w:t>
        </w:r>
        <w:r>
          <w:rPr>
            <w:noProof/>
            <w:webHidden/>
          </w:rPr>
          <w:tab/>
        </w:r>
        <w:r>
          <w:rPr>
            <w:noProof/>
            <w:webHidden/>
          </w:rPr>
          <w:fldChar w:fldCharType="begin"/>
        </w:r>
        <w:r>
          <w:rPr>
            <w:noProof/>
            <w:webHidden/>
          </w:rPr>
          <w:instrText xml:space="preserve"> PAGEREF _Toc300002210 \h </w:instrText>
        </w:r>
        <w:r>
          <w:rPr>
            <w:noProof/>
            <w:webHidden/>
          </w:rPr>
          <w:fldChar w:fldCharType="separate"/>
        </w:r>
        <w:r>
          <w:rPr>
            <w:noProof/>
            <w:webHidden/>
          </w:rPr>
          <w:t>2159</w:t>
        </w:r>
        <w:r>
          <w:rPr>
            <w:noProof/>
            <w:webHidden/>
          </w:rPr>
          <w:fldChar w:fldCharType="end"/>
        </w:r>
      </w:hyperlink>
    </w:p>
    <w:p>
      <w:pPr>
        <w:pStyle w:val="TOC2"/>
      </w:pPr>
      <w:hyperlink w:anchor="_Toc300002211" w:history="1">
        <w:r>
          <w:rPr>
            <w:noProof/>
          </w:rPr>
          <w:t xml:space="preserve">68.22. Underwater Noise Risk Reduction.</w:t>
        </w:r>
        <w:r>
          <w:rPr>
            <w:noProof/>
            <w:webHidden/>
          </w:rPr>
          <w:tab/>
        </w:r>
        <w:r>
          <w:rPr>
            <w:noProof/>
            <w:webHidden/>
          </w:rPr>
          <w:fldChar w:fldCharType="begin"/>
        </w:r>
        <w:r>
          <w:rPr>
            <w:noProof/>
            <w:webHidden/>
          </w:rPr>
          <w:instrText xml:space="preserve"> PAGEREF _Toc300002211 \h </w:instrText>
        </w:r>
        <w:r>
          <w:rPr>
            <w:noProof/>
            <w:webHidden/>
          </w:rPr>
          <w:fldChar w:fldCharType="separate"/>
        </w:r>
        <w:r>
          <w:rPr>
            <w:noProof/>
            <w:webHidden/>
          </w:rPr>
          <w:t>2159</w:t>
        </w:r>
        <w:r>
          <w:rPr>
            <w:noProof/>
            <w:webHidden/>
          </w:rPr>
          <w:fldChar w:fldCharType="end"/>
        </w:r>
      </w:hyperlink>
    </w:p>
    <w:p>
      <w:pPr>
        <w:pStyle w:val="TOC2"/>
      </w:pPr>
      <w:hyperlink w:anchor="_Toc300002212" w:history="1">
        <w:r>
          <w:rPr>
            <w:noProof/>
          </w:rPr>
          <w:t xml:space="preserve">68.23. Government Fleet Leadership.</w:t>
        </w:r>
        <w:r>
          <w:rPr>
            <w:noProof/>
            <w:webHidden/>
          </w:rPr>
          <w:tab/>
        </w:r>
        <w:r>
          <w:rPr>
            <w:noProof/>
            <w:webHidden/>
          </w:rPr>
          <w:fldChar w:fldCharType="begin"/>
        </w:r>
        <w:r>
          <w:rPr>
            <w:noProof/>
            <w:webHidden/>
          </w:rPr>
          <w:instrText xml:space="preserve"> PAGEREF _Toc300002212 \h </w:instrText>
        </w:r>
        <w:r>
          <w:rPr>
            <w:noProof/>
            <w:webHidden/>
          </w:rPr>
          <w:fldChar w:fldCharType="separate"/>
        </w:r>
        <w:r>
          <w:rPr>
            <w:noProof/>
            <w:webHidden/>
          </w:rPr>
          <w:t>2159</w:t>
        </w:r>
        <w:r>
          <w:rPr>
            <w:noProof/>
            <w:webHidden/>
          </w:rPr>
          <w:fldChar w:fldCharType="end"/>
        </w:r>
      </w:hyperlink>
    </w:p>
    <w:p>
      <w:pPr>
        <w:pStyle w:val="TOC2"/>
      </w:pPr>
      <w:hyperlink w:anchor="_Toc300002213" w:history="1">
        <w:r>
          <w:rPr>
            <w:noProof/>
          </w:rPr>
          <w:t xml:space="preserve">68.24. Contaminant and Ecosystem Health Cooperation.</w:t>
        </w:r>
        <w:r>
          <w:rPr>
            <w:noProof/>
            <w:webHidden/>
          </w:rPr>
          <w:tab/>
        </w:r>
        <w:r>
          <w:rPr>
            <w:noProof/>
            <w:webHidden/>
          </w:rPr>
          <w:fldChar w:fldCharType="begin"/>
        </w:r>
        <w:r>
          <w:rPr>
            <w:noProof/>
            <w:webHidden/>
          </w:rPr>
          <w:instrText xml:space="preserve"> PAGEREF _Toc300002213 \h </w:instrText>
        </w:r>
        <w:r>
          <w:rPr>
            <w:noProof/>
            <w:webHidden/>
          </w:rPr>
          <w:fldChar w:fldCharType="separate"/>
        </w:r>
        <w:r>
          <w:rPr>
            <w:noProof/>
            <w:webHidden/>
          </w:rPr>
          <w:t>2160</w:t>
        </w:r>
        <w:r>
          <w:rPr>
            <w:noProof/>
            <w:webHidden/>
          </w:rPr>
          <w:fldChar w:fldCharType="end"/>
        </w:r>
      </w:hyperlink>
    </w:p>
    <w:p>
      <w:pPr>
        <w:pStyle w:val="TOC2"/>
      </w:pPr>
      <w:hyperlink w:anchor="_Toc300002214" w:history="1">
        <w:r>
          <w:rPr>
            <w:noProof/>
          </w:rPr>
          <w:t xml:space="preserve">68.25. Prey and Forage-Ecosystem Consideration.</w:t>
        </w:r>
        <w:r>
          <w:rPr>
            <w:noProof/>
            <w:webHidden/>
          </w:rPr>
          <w:tab/>
        </w:r>
        <w:r>
          <w:rPr>
            <w:noProof/>
            <w:webHidden/>
          </w:rPr>
          <w:fldChar w:fldCharType="begin"/>
        </w:r>
        <w:r>
          <w:rPr>
            <w:noProof/>
            <w:webHidden/>
          </w:rPr>
          <w:instrText xml:space="preserve"> PAGEREF _Toc300002214 \h </w:instrText>
        </w:r>
        <w:r>
          <w:rPr>
            <w:noProof/>
            <w:webHidden/>
          </w:rPr>
          <w:fldChar w:fldCharType="separate"/>
        </w:r>
        <w:r>
          <w:rPr>
            <w:noProof/>
            <w:webHidden/>
          </w:rPr>
          <w:t>2160</w:t>
        </w:r>
        <w:r>
          <w:rPr>
            <w:noProof/>
            <w:webHidden/>
          </w:rPr>
          <w:fldChar w:fldCharType="end"/>
        </w:r>
      </w:hyperlink>
    </w:p>
    <w:p>
      <w:pPr>
        <w:pStyle w:val="TOC2"/>
      </w:pPr>
      <w:hyperlink w:anchor="_Toc300002215" w:history="1">
        <w:r>
          <w:rPr>
            <w:noProof/>
          </w:rPr>
          <w:t xml:space="preserve">68.26. Climate-Responsive Management.</w:t>
        </w:r>
        <w:r>
          <w:rPr>
            <w:noProof/>
            <w:webHidden/>
          </w:rPr>
          <w:tab/>
        </w:r>
        <w:r>
          <w:rPr>
            <w:noProof/>
            <w:webHidden/>
          </w:rPr>
          <w:fldChar w:fldCharType="begin"/>
        </w:r>
        <w:r>
          <w:rPr>
            <w:noProof/>
            <w:webHidden/>
          </w:rPr>
          <w:instrText xml:space="preserve"> PAGEREF _Toc300002215 \h </w:instrText>
        </w:r>
        <w:r>
          <w:rPr>
            <w:noProof/>
            <w:webHidden/>
          </w:rPr>
          <w:fldChar w:fldCharType="separate"/>
        </w:r>
        <w:r>
          <w:rPr>
            <w:noProof/>
            <w:webHidden/>
          </w:rPr>
          <w:t>2160</w:t>
        </w:r>
        <w:r>
          <w:rPr>
            <w:noProof/>
            <w:webHidden/>
          </w:rPr>
          <w:fldChar w:fldCharType="end"/>
        </w:r>
      </w:hyperlink>
    </w:p>
    <w:p>
      <w:pPr>
        <w:pStyle w:val="TOC2"/>
      </w:pPr>
      <w:hyperlink w:anchor="_Toc300002216" w:history="1">
        <w:r>
          <w:rPr>
            <w:noProof/>
          </w:rPr>
          <w:t xml:space="preserve">68.27. Whale-Sensitive Ports and Coastal Development.</w:t>
        </w:r>
        <w:r>
          <w:rPr>
            <w:noProof/>
            <w:webHidden/>
          </w:rPr>
          <w:tab/>
        </w:r>
        <w:r>
          <w:rPr>
            <w:noProof/>
            <w:webHidden/>
          </w:rPr>
          <w:fldChar w:fldCharType="begin"/>
        </w:r>
        <w:r>
          <w:rPr>
            <w:noProof/>
            <w:webHidden/>
          </w:rPr>
          <w:instrText xml:space="preserve"> PAGEREF _Toc300002216 \h </w:instrText>
        </w:r>
        <w:r>
          <w:rPr>
            <w:noProof/>
            <w:webHidden/>
          </w:rPr>
          <w:fldChar w:fldCharType="separate"/>
        </w:r>
        <w:r>
          <w:rPr>
            <w:noProof/>
            <w:webHidden/>
          </w:rPr>
          <w:t>2160</w:t>
        </w:r>
        <w:r>
          <w:rPr>
            <w:noProof/>
            <w:webHidden/>
          </w:rPr>
          <w:fldChar w:fldCharType="end"/>
        </w:r>
      </w:hyperlink>
    </w:p>
    <w:p>
      <w:pPr>
        <w:pStyle w:val="TOC2"/>
      </w:pPr>
      <w:hyperlink w:anchor="_Toc300002217" w:history="1">
        <w:r>
          <w:rPr>
            <w:noProof/>
          </w:rPr>
          <w:t xml:space="preserve">68.28. Offshore Activity Assessment.</w:t>
        </w:r>
        <w:r>
          <w:rPr>
            <w:noProof/>
            <w:webHidden/>
          </w:rPr>
          <w:tab/>
        </w:r>
        <w:r>
          <w:rPr>
            <w:noProof/>
            <w:webHidden/>
          </w:rPr>
          <w:fldChar w:fldCharType="begin"/>
        </w:r>
        <w:r>
          <w:rPr>
            <w:noProof/>
            <w:webHidden/>
          </w:rPr>
          <w:instrText xml:space="preserve"> PAGEREF _Toc300002217 \h </w:instrText>
        </w:r>
        <w:r>
          <w:rPr>
            <w:noProof/>
            <w:webHidden/>
          </w:rPr>
          <w:fldChar w:fldCharType="separate"/>
        </w:r>
        <w:r>
          <w:rPr>
            <w:noProof/>
            <w:webHidden/>
          </w:rPr>
          <w:t>2160</w:t>
        </w:r>
        <w:r>
          <w:rPr>
            <w:noProof/>
            <w:webHidden/>
          </w:rPr>
          <w:fldChar w:fldCharType="end"/>
        </w:r>
      </w:hyperlink>
    </w:p>
    <w:p>
      <w:pPr>
        <w:pStyle w:val="TOC2"/>
      </w:pPr>
      <w:hyperlink w:anchor="_Toc300002218" w:history="1">
        <w:r>
          <w:rPr>
            <w:noProof/>
          </w:rPr>
          <w:t xml:space="preserve">68.29. Captive-Cetacean Minimum Welfare.</w:t>
        </w:r>
        <w:r>
          <w:rPr>
            <w:noProof/>
            <w:webHidden/>
          </w:rPr>
          <w:tab/>
        </w:r>
        <w:r>
          <w:rPr>
            <w:noProof/>
            <w:webHidden/>
          </w:rPr>
          <w:fldChar w:fldCharType="begin"/>
        </w:r>
        <w:r>
          <w:rPr>
            <w:noProof/>
            <w:webHidden/>
          </w:rPr>
          <w:instrText xml:space="preserve"> PAGEREF _Toc300002218 \h </w:instrText>
        </w:r>
        <w:r>
          <w:rPr>
            <w:noProof/>
            <w:webHidden/>
          </w:rPr>
          <w:fldChar w:fldCharType="separate"/>
        </w:r>
        <w:r>
          <w:rPr>
            <w:noProof/>
            <w:webHidden/>
          </w:rPr>
          <w:t>2160</w:t>
        </w:r>
        <w:r>
          <w:rPr>
            <w:noProof/>
            <w:webHidden/>
          </w:rPr>
          <w:fldChar w:fldCharType="end"/>
        </w:r>
      </w:hyperlink>
    </w:p>
    <w:p>
      <w:pPr>
        <w:pStyle w:val="TOC2"/>
      </w:pPr>
      <w:hyperlink w:anchor="_Toc300002219" w:history="1">
        <w:r>
          <w:rPr>
            <w:noProof/>
          </w:rPr>
          <w:t xml:space="preserve">68.30. No Avoidable Welfare Regression.</w:t>
        </w:r>
        <w:r>
          <w:rPr>
            <w:noProof/>
            <w:webHidden/>
          </w:rPr>
          <w:tab/>
        </w:r>
        <w:r>
          <w:rPr>
            <w:noProof/>
            <w:webHidden/>
          </w:rPr>
          <w:fldChar w:fldCharType="begin"/>
        </w:r>
        <w:r>
          <w:rPr>
            <w:noProof/>
            <w:webHidden/>
          </w:rPr>
          <w:instrText xml:space="preserve"> PAGEREF _Toc300002219 \h </w:instrText>
        </w:r>
        <w:r>
          <w:rPr>
            <w:noProof/>
            <w:webHidden/>
          </w:rPr>
          <w:fldChar w:fldCharType="separate"/>
        </w:r>
        <w:r>
          <w:rPr>
            <w:noProof/>
            <w:webHidden/>
          </w:rPr>
          <w:t>2160</w:t>
        </w:r>
        <w:r>
          <w:rPr>
            <w:noProof/>
            <w:webHidden/>
          </w:rPr>
          <w:fldChar w:fldCharType="end"/>
        </w:r>
      </w:hyperlink>
    </w:p>
    <w:p>
      <w:pPr>
        <w:pStyle w:val="TOC2"/>
      </w:pPr>
      <w:hyperlink w:anchor="_Toc300002220" w:history="1">
        <w:r>
          <w:rPr>
            <w:noProof/>
          </w:rPr>
          <w:t xml:space="preserve">68.31. Legacy Animal Individual Care.</w:t>
        </w:r>
        <w:r>
          <w:rPr>
            <w:noProof/>
            <w:webHidden/>
          </w:rPr>
          <w:tab/>
        </w:r>
        <w:r>
          <w:rPr>
            <w:noProof/>
            <w:webHidden/>
          </w:rPr>
          <w:fldChar w:fldCharType="begin"/>
        </w:r>
        <w:r>
          <w:rPr>
            <w:noProof/>
            <w:webHidden/>
          </w:rPr>
          <w:instrText xml:space="preserve"> PAGEREF _Toc300002220 \h </w:instrText>
        </w:r>
        <w:r>
          <w:rPr>
            <w:noProof/>
            <w:webHidden/>
          </w:rPr>
          <w:fldChar w:fldCharType="separate"/>
        </w:r>
        <w:r>
          <w:rPr>
            <w:noProof/>
            <w:webHidden/>
          </w:rPr>
          <w:t>2160</w:t>
        </w:r>
        <w:r>
          <w:rPr>
            <w:noProof/>
            <w:webHidden/>
          </w:rPr>
          <w:fldChar w:fldCharType="end"/>
        </w:r>
      </w:hyperlink>
    </w:p>
    <w:p>
      <w:pPr>
        <w:pStyle w:val="TOC2"/>
      </w:pPr>
      <w:hyperlink w:anchor="_Toc300002221" w:history="1">
        <w:r>
          <w:rPr>
            <w:noProof/>
          </w:rPr>
          <w:t xml:space="preserve">68.32. Qualified Sanctuary Pathway.</w:t>
        </w:r>
        <w:r>
          <w:rPr>
            <w:noProof/>
            <w:webHidden/>
          </w:rPr>
          <w:tab/>
        </w:r>
        <w:r>
          <w:rPr>
            <w:noProof/>
            <w:webHidden/>
          </w:rPr>
          <w:fldChar w:fldCharType="begin"/>
        </w:r>
        <w:r>
          <w:rPr>
            <w:noProof/>
            <w:webHidden/>
          </w:rPr>
          <w:instrText xml:space="preserve"> PAGEREF _Toc300002221 \h </w:instrText>
        </w:r>
        <w:r>
          <w:rPr>
            <w:noProof/>
            <w:webHidden/>
          </w:rPr>
          <w:fldChar w:fldCharType="separate"/>
        </w:r>
        <w:r>
          <w:rPr>
            <w:noProof/>
            <w:webHidden/>
          </w:rPr>
          <w:t>2160</w:t>
        </w:r>
        <w:r>
          <w:rPr>
            <w:noProof/>
            <w:webHidden/>
          </w:rPr>
          <w:fldChar w:fldCharType="end"/>
        </w:r>
      </w:hyperlink>
    </w:p>
    <w:p>
      <w:pPr>
        <w:pStyle w:val="TOC2"/>
      </w:pPr>
      <w:hyperlink w:anchor="_Toc300002222" w:history="1">
        <w:r>
          <w:rPr>
            <w:noProof/>
          </w:rPr>
          <w:t xml:space="preserve">68.33. Rescue-versus-Display Firewall.</w:t>
        </w:r>
        <w:r>
          <w:rPr>
            <w:noProof/>
            <w:webHidden/>
          </w:rPr>
          <w:tab/>
        </w:r>
        <w:r>
          <w:rPr>
            <w:noProof/>
            <w:webHidden/>
          </w:rPr>
          <w:fldChar w:fldCharType="begin"/>
        </w:r>
        <w:r>
          <w:rPr>
            <w:noProof/>
            <w:webHidden/>
          </w:rPr>
          <w:instrText xml:space="preserve"> PAGEREF _Toc300002222 \h </w:instrText>
        </w:r>
        <w:r>
          <w:rPr>
            <w:noProof/>
            <w:webHidden/>
          </w:rPr>
          <w:fldChar w:fldCharType="separate"/>
        </w:r>
        <w:r>
          <w:rPr>
            <w:noProof/>
            <w:webHidden/>
          </w:rPr>
          <w:t>2161</w:t>
        </w:r>
        <w:r>
          <w:rPr>
            <w:noProof/>
            <w:webHidden/>
          </w:rPr>
          <w:fldChar w:fldCharType="end"/>
        </w:r>
      </w:hyperlink>
    </w:p>
    <w:p>
      <w:pPr>
        <w:pStyle w:val="TOC2"/>
      </w:pPr>
      <w:hyperlink w:anchor="_Toc300002223" w:history="1">
        <w:r>
          <w:rPr>
            <w:noProof/>
          </w:rPr>
          <w:t xml:space="preserve">68.34. Research Ethics.</w:t>
        </w:r>
        <w:r>
          <w:rPr>
            <w:noProof/>
            <w:webHidden/>
          </w:rPr>
          <w:tab/>
        </w:r>
        <w:r>
          <w:rPr>
            <w:noProof/>
            <w:webHidden/>
          </w:rPr>
          <w:fldChar w:fldCharType="begin"/>
        </w:r>
        <w:r>
          <w:rPr>
            <w:noProof/>
            <w:webHidden/>
          </w:rPr>
          <w:instrText xml:space="preserve"> PAGEREF _Toc300002223 \h </w:instrText>
        </w:r>
        <w:r>
          <w:rPr>
            <w:noProof/>
            <w:webHidden/>
          </w:rPr>
          <w:fldChar w:fldCharType="separate"/>
        </w:r>
        <w:r>
          <w:rPr>
            <w:noProof/>
            <w:webHidden/>
          </w:rPr>
          <w:t>2161</w:t>
        </w:r>
        <w:r>
          <w:rPr>
            <w:noProof/>
            <w:webHidden/>
          </w:rPr>
          <w:fldChar w:fldCharType="end"/>
        </w:r>
      </w:hyperlink>
    </w:p>
    <w:p>
      <w:pPr>
        <w:pStyle w:val="TOC2"/>
      </w:pPr>
      <w:hyperlink w:anchor="_Toc300002224" w:history="1">
        <w:r>
          <w:rPr>
            <w:noProof/>
          </w:rPr>
          <w:t xml:space="preserve">68.35. Open Where Safe, Protected Where Necessary.</w:t>
        </w:r>
        <w:r>
          <w:rPr>
            <w:noProof/>
            <w:webHidden/>
          </w:rPr>
          <w:tab/>
        </w:r>
        <w:r>
          <w:rPr>
            <w:noProof/>
            <w:webHidden/>
          </w:rPr>
          <w:fldChar w:fldCharType="begin"/>
        </w:r>
        <w:r>
          <w:rPr>
            <w:noProof/>
            <w:webHidden/>
          </w:rPr>
          <w:instrText xml:space="preserve"> PAGEREF _Toc300002224 \h </w:instrText>
        </w:r>
        <w:r>
          <w:rPr>
            <w:noProof/>
            <w:webHidden/>
          </w:rPr>
          <w:fldChar w:fldCharType="separate"/>
        </w:r>
        <w:r>
          <w:rPr>
            <w:noProof/>
            <w:webHidden/>
          </w:rPr>
          <w:t>2161</w:t>
        </w:r>
        <w:r>
          <w:rPr>
            <w:noProof/>
            <w:webHidden/>
          </w:rPr>
          <w:fldChar w:fldCharType="end"/>
        </w:r>
      </w:hyperlink>
    </w:p>
    <w:p>
      <w:pPr>
        <w:pStyle w:val="TOC2"/>
      </w:pPr>
      <w:hyperlink w:anchor="_Toc300002225" w:history="1">
        <w:r>
          <w:rPr>
            <w:noProof/>
          </w:rPr>
          <w:t xml:space="preserve">68.36. Cross-Border Research Cooperation.</w:t>
        </w:r>
        <w:r>
          <w:rPr>
            <w:noProof/>
            <w:webHidden/>
          </w:rPr>
          <w:tab/>
        </w:r>
        <w:r>
          <w:rPr>
            <w:noProof/>
            <w:webHidden/>
          </w:rPr>
          <w:fldChar w:fldCharType="begin"/>
        </w:r>
        <w:r>
          <w:rPr>
            <w:noProof/>
            <w:webHidden/>
          </w:rPr>
          <w:instrText xml:space="preserve"> PAGEREF _Toc300002225 \h </w:instrText>
        </w:r>
        <w:r>
          <w:rPr>
            <w:noProof/>
            <w:webHidden/>
          </w:rPr>
          <w:fldChar w:fldCharType="separate"/>
        </w:r>
        <w:r>
          <w:rPr>
            <w:noProof/>
            <w:webHidden/>
          </w:rPr>
          <w:t>2161</w:t>
        </w:r>
        <w:r>
          <w:rPr>
            <w:noProof/>
            <w:webHidden/>
          </w:rPr>
          <w:fldChar w:fldCharType="end"/>
        </w:r>
      </w:hyperlink>
    </w:p>
    <w:p>
      <w:pPr>
        <w:pStyle w:val="TOC2"/>
      </w:pPr>
      <w:hyperlink w:anchor="_Toc300002226" w:history="1">
        <w:r>
          <w:rPr>
            <w:noProof/>
          </w:rPr>
          <w:t xml:space="preserve">68.37. Measurement Integrity.</w:t>
        </w:r>
        <w:r>
          <w:rPr>
            <w:noProof/>
            <w:webHidden/>
          </w:rPr>
          <w:tab/>
        </w:r>
        <w:r>
          <w:rPr>
            <w:noProof/>
            <w:webHidden/>
          </w:rPr>
          <w:fldChar w:fldCharType="begin"/>
        </w:r>
        <w:r>
          <w:rPr>
            <w:noProof/>
            <w:webHidden/>
          </w:rPr>
          <w:instrText xml:space="preserve"> PAGEREF _Toc300002226 \h </w:instrText>
        </w:r>
        <w:r>
          <w:rPr>
            <w:noProof/>
            <w:webHidden/>
          </w:rPr>
          <w:fldChar w:fldCharType="separate"/>
        </w:r>
        <w:r>
          <w:rPr>
            <w:noProof/>
            <w:webHidden/>
          </w:rPr>
          <w:t>2161</w:t>
        </w:r>
        <w:r>
          <w:rPr>
            <w:noProof/>
            <w:webHidden/>
          </w:rPr>
          <w:fldChar w:fldCharType="end"/>
        </w:r>
      </w:hyperlink>
    </w:p>
    <w:p>
      <w:pPr>
        <w:pStyle w:val="TOC2"/>
      </w:pPr>
      <w:hyperlink w:anchor="_Toc300002227" w:history="1">
        <w:r>
          <w:rPr>
            <w:noProof/>
          </w:rPr>
          <w:t xml:space="preserve">68.38. Recovery-Plan Implementation Review.</w:t>
        </w:r>
        <w:r>
          <w:rPr>
            <w:noProof/>
            <w:webHidden/>
          </w:rPr>
          <w:tab/>
        </w:r>
        <w:r>
          <w:rPr>
            <w:noProof/>
            <w:webHidden/>
          </w:rPr>
          <w:fldChar w:fldCharType="begin"/>
        </w:r>
        <w:r>
          <w:rPr>
            <w:noProof/>
            <w:webHidden/>
          </w:rPr>
          <w:instrText xml:space="preserve"> PAGEREF _Toc300002227 \h </w:instrText>
        </w:r>
        <w:r>
          <w:rPr>
            <w:noProof/>
            <w:webHidden/>
          </w:rPr>
          <w:fldChar w:fldCharType="separate"/>
        </w:r>
        <w:r>
          <w:rPr>
            <w:noProof/>
            <w:webHidden/>
          </w:rPr>
          <w:t>2161</w:t>
        </w:r>
        <w:r>
          <w:rPr>
            <w:noProof/>
            <w:webHidden/>
          </w:rPr>
          <w:fldChar w:fldCharType="end"/>
        </w:r>
      </w:hyperlink>
    </w:p>
    <w:p>
      <w:pPr>
        <w:pStyle w:val="TOC2"/>
      </w:pPr>
      <w:hyperlink w:anchor="_Toc300002228" w:history="1">
        <w:r>
          <w:rPr>
            <w:noProof/>
          </w:rPr>
          <w:t xml:space="preserve">68.39. Fisher and Coastal-Community Transition.</w:t>
        </w:r>
        <w:r>
          <w:rPr>
            <w:noProof/>
            <w:webHidden/>
          </w:rPr>
          <w:tab/>
        </w:r>
        <w:r>
          <w:rPr>
            <w:noProof/>
            <w:webHidden/>
          </w:rPr>
          <w:fldChar w:fldCharType="begin"/>
        </w:r>
        <w:r>
          <w:rPr>
            <w:noProof/>
            <w:webHidden/>
          </w:rPr>
          <w:instrText xml:space="preserve"> PAGEREF _Toc300002228 \h </w:instrText>
        </w:r>
        <w:r>
          <w:rPr>
            <w:noProof/>
            <w:webHidden/>
          </w:rPr>
          <w:fldChar w:fldCharType="separate"/>
        </w:r>
        <w:r>
          <w:rPr>
            <w:noProof/>
            <w:webHidden/>
          </w:rPr>
          <w:t>2161</w:t>
        </w:r>
        <w:r>
          <w:rPr>
            <w:noProof/>
            <w:webHidden/>
          </w:rPr>
          <w:fldChar w:fldCharType="end"/>
        </w:r>
      </w:hyperlink>
    </w:p>
    <w:p>
      <w:pPr>
        <w:pStyle w:val="TOC2"/>
      </w:pPr>
      <w:hyperlink w:anchor="_Toc300002229" w:history="1">
        <w:r>
          <w:rPr>
            <w:noProof/>
          </w:rPr>
          <w:t xml:space="preserve">68.40. No Compensation for Ordinary Compliance.</w:t>
        </w:r>
        <w:r>
          <w:rPr>
            <w:noProof/>
            <w:webHidden/>
          </w:rPr>
          <w:tab/>
        </w:r>
        <w:r>
          <w:rPr>
            <w:noProof/>
            <w:webHidden/>
          </w:rPr>
          <w:fldChar w:fldCharType="begin"/>
        </w:r>
        <w:r>
          <w:rPr>
            <w:noProof/>
            <w:webHidden/>
          </w:rPr>
          <w:instrText xml:space="preserve"> PAGEREF _Toc300002229 \h </w:instrText>
        </w:r>
        <w:r>
          <w:rPr>
            <w:noProof/>
            <w:webHidden/>
          </w:rPr>
          <w:fldChar w:fldCharType="separate"/>
        </w:r>
        <w:r>
          <w:rPr>
            <w:noProof/>
            <w:webHidden/>
          </w:rPr>
          <w:t>2161</w:t>
        </w:r>
        <w:r>
          <w:rPr>
            <w:noProof/>
            <w:webHidden/>
          </w:rPr>
          <w:fldChar w:fldCharType="end"/>
        </w:r>
      </w:hyperlink>
    </w:p>
    <w:p>
      <w:pPr>
        <w:pStyle w:val="TOC2"/>
      </w:pPr>
      <w:hyperlink w:anchor="_Toc300002230" w:history="1">
        <w:r>
          <w:rPr>
            <w:noProof/>
          </w:rPr>
          <w:t xml:space="preserve">68.41. Extraordinary Transition Assistance.</w:t>
        </w:r>
        <w:r>
          <w:rPr>
            <w:noProof/>
            <w:webHidden/>
          </w:rPr>
          <w:tab/>
        </w:r>
        <w:r>
          <w:rPr>
            <w:noProof/>
            <w:webHidden/>
          </w:rPr>
          <w:fldChar w:fldCharType="begin"/>
        </w:r>
        <w:r>
          <w:rPr>
            <w:noProof/>
            <w:webHidden/>
          </w:rPr>
          <w:instrText xml:space="preserve"> PAGEREF _Toc300002230 \h </w:instrText>
        </w:r>
        <w:r>
          <w:rPr>
            <w:noProof/>
            <w:webHidden/>
          </w:rPr>
          <w:fldChar w:fldCharType="separate"/>
        </w:r>
        <w:r>
          <w:rPr>
            <w:noProof/>
            <w:webHidden/>
          </w:rPr>
          <w:t>2162</w:t>
        </w:r>
        <w:r>
          <w:rPr>
            <w:noProof/>
            <w:webHidden/>
          </w:rPr>
          <w:fldChar w:fldCharType="end"/>
        </w:r>
      </w:hyperlink>
    </w:p>
    <w:p>
      <w:pPr>
        <w:pStyle w:val="TOC2"/>
      </w:pPr>
      <w:hyperlink w:anchor="_Toc300002231" w:history="1">
        <w:r>
          <w:rPr>
            <w:noProof/>
          </w:rPr>
          <w:t xml:space="preserve">68.42. Whale-Safe Procurement and Certification.</w:t>
        </w:r>
        <w:r>
          <w:rPr>
            <w:noProof/>
            <w:webHidden/>
          </w:rPr>
          <w:tab/>
        </w:r>
        <w:r>
          <w:rPr>
            <w:noProof/>
            <w:webHidden/>
          </w:rPr>
          <w:fldChar w:fldCharType="begin"/>
        </w:r>
        <w:r>
          <w:rPr>
            <w:noProof/>
            <w:webHidden/>
          </w:rPr>
          <w:instrText xml:space="preserve"> PAGEREF _Toc300002231 \h </w:instrText>
        </w:r>
        <w:r>
          <w:rPr>
            <w:noProof/>
            <w:webHidden/>
          </w:rPr>
          <w:fldChar w:fldCharType="separate"/>
        </w:r>
        <w:r>
          <w:rPr>
            <w:noProof/>
            <w:webHidden/>
          </w:rPr>
          <w:t>2162</w:t>
        </w:r>
        <w:r>
          <w:rPr>
            <w:noProof/>
            <w:webHidden/>
          </w:rPr>
          <w:fldChar w:fldCharType="end"/>
        </w:r>
      </w:hyperlink>
    </w:p>
    <w:p>
      <w:pPr>
        <w:pStyle w:val="TOC2"/>
      </w:pPr>
      <w:hyperlink w:anchor="_Toc300002232" w:history="1">
        <w:r>
          <w:rPr>
            <w:noProof/>
          </w:rPr>
          <w:t xml:space="preserve">68.43. No Arbitrary Whale-Based Trade Restriction.</w:t>
        </w:r>
        <w:r>
          <w:rPr>
            <w:noProof/>
            <w:webHidden/>
          </w:rPr>
          <w:tab/>
        </w:r>
        <w:r>
          <w:rPr>
            <w:noProof/>
            <w:webHidden/>
          </w:rPr>
          <w:fldChar w:fldCharType="begin"/>
        </w:r>
        <w:r>
          <w:rPr>
            <w:noProof/>
            <w:webHidden/>
          </w:rPr>
          <w:instrText xml:space="preserve"> PAGEREF _Toc300002232 \h </w:instrText>
        </w:r>
        <w:r>
          <w:rPr>
            <w:noProof/>
            <w:webHidden/>
          </w:rPr>
          <w:fldChar w:fldCharType="separate"/>
        </w:r>
        <w:r>
          <w:rPr>
            <w:noProof/>
            <w:webHidden/>
          </w:rPr>
          <w:t>2162</w:t>
        </w:r>
        <w:r>
          <w:rPr>
            <w:noProof/>
            <w:webHidden/>
          </w:rPr>
          <w:fldChar w:fldCharType="end"/>
        </w:r>
      </w:hyperlink>
    </w:p>
    <w:p>
      <w:pPr>
        <w:pStyle w:val="TOC2"/>
      </w:pPr>
      <w:hyperlink w:anchor="_Toc300002233" w:history="1">
        <w:r>
          <w:rPr>
            <w:noProof/>
          </w:rPr>
          <w:t xml:space="preserve">68.44. Domestic Enforcement and Due Process.</w:t>
        </w:r>
        <w:r>
          <w:rPr>
            <w:noProof/>
            <w:webHidden/>
          </w:rPr>
          <w:tab/>
        </w:r>
        <w:r>
          <w:rPr>
            <w:noProof/>
            <w:webHidden/>
          </w:rPr>
          <w:fldChar w:fldCharType="begin"/>
        </w:r>
        <w:r>
          <w:rPr>
            <w:noProof/>
            <w:webHidden/>
          </w:rPr>
          <w:instrText xml:space="preserve"> PAGEREF _Toc300002233 \h </w:instrText>
        </w:r>
        <w:r>
          <w:rPr>
            <w:noProof/>
            <w:webHidden/>
          </w:rPr>
          <w:fldChar w:fldCharType="separate"/>
        </w:r>
        <w:r>
          <w:rPr>
            <w:noProof/>
            <w:webHidden/>
          </w:rPr>
          <w:t>2162</w:t>
        </w:r>
        <w:r>
          <w:rPr>
            <w:noProof/>
            <w:webHidden/>
          </w:rPr>
          <w:fldChar w:fldCharType="end"/>
        </w:r>
      </w:hyperlink>
    </w:p>
    <w:p>
      <w:pPr>
        <w:pStyle w:val="TOC2"/>
      </w:pPr>
      <w:hyperlink w:anchor="_Toc300002234" w:history="1">
        <w:r>
          <w:rPr>
            <w:noProof/>
          </w:rPr>
          <w:t xml:space="preserve">68.45. Whale Disputes Stay in Whale Machinery.</w:t>
        </w:r>
        <w:r>
          <w:rPr>
            <w:noProof/>
            <w:webHidden/>
          </w:rPr>
          <w:tab/>
        </w:r>
        <w:r>
          <w:rPr>
            <w:noProof/>
            <w:webHidden/>
          </w:rPr>
          <w:fldChar w:fldCharType="begin"/>
        </w:r>
        <w:r>
          <w:rPr>
            <w:noProof/>
            <w:webHidden/>
          </w:rPr>
          <w:instrText xml:space="preserve"> PAGEREF _Toc300002234 \h </w:instrText>
        </w:r>
        <w:r>
          <w:rPr>
            <w:noProof/>
            <w:webHidden/>
          </w:rPr>
          <w:fldChar w:fldCharType="separate"/>
        </w:r>
        <w:r>
          <w:rPr>
            <w:noProof/>
            <w:webHidden/>
          </w:rPr>
          <w:t>2162</w:t>
        </w:r>
        <w:r>
          <w:rPr>
            <w:noProof/>
            <w:webHidden/>
          </w:rPr>
          <w:fldChar w:fldCharType="end"/>
        </w:r>
      </w:hyperlink>
    </w:p>
    <w:p>
      <w:pPr>
        <w:pStyle w:val="TOC2"/>
      </w:pPr>
      <w:hyperlink w:anchor="_Toc300002235" w:history="1">
        <w:r>
          <w:rPr>
            <w:noProof/>
          </w:rPr>
          <w:t xml:space="preserve">68.46. No Unrelated Tariff Retaliation.</w:t>
        </w:r>
        <w:r>
          <w:rPr>
            <w:noProof/>
            <w:webHidden/>
          </w:rPr>
          <w:tab/>
        </w:r>
        <w:r>
          <w:rPr>
            <w:noProof/>
            <w:webHidden/>
          </w:rPr>
          <w:fldChar w:fldCharType="begin"/>
        </w:r>
        <w:r>
          <w:rPr>
            <w:noProof/>
            <w:webHidden/>
          </w:rPr>
          <w:instrText xml:space="preserve"> PAGEREF _Toc300002235 \h </w:instrText>
        </w:r>
        <w:r>
          <w:rPr>
            <w:noProof/>
            <w:webHidden/>
          </w:rPr>
          <w:fldChar w:fldCharType="separate"/>
        </w:r>
        <w:r>
          <w:rPr>
            <w:noProof/>
            <w:webHidden/>
          </w:rPr>
          <w:t>2162</w:t>
        </w:r>
        <w:r>
          <w:rPr>
            <w:noProof/>
            <w:webHidden/>
          </w:rPr>
          <w:fldChar w:fldCharType="end"/>
        </w:r>
      </w:hyperlink>
    </w:p>
    <w:p>
      <w:pPr>
        <w:pStyle w:val="TOC2"/>
      </w:pPr>
      <w:hyperlink w:anchor="_Toc300002236" w:history="1">
        <w:r>
          <w:rPr>
            <w:noProof/>
          </w:rPr>
          <w:t xml:space="preserve">68.47. Verification, Consultation and Cure.</w:t>
        </w:r>
        <w:r>
          <w:rPr>
            <w:noProof/>
            <w:webHidden/>
          </w:rPr>
          <w:tab/>
        </w:r>
        <w:r>
          <w:rPr>
            <w:noProof/>
            <w:webHidden/>
          </w:rPr>
          <w:fldChar w:fldCharType="begin"/>
        </w:r>
        <w:r>
          <w:rPr>
            <w:noProof/>
            <w:webHidden/>
          </w:rPr>
          <w:instrText xml:space="preserve"> PAGEREF _Toc300002236 \h </w:instrText>
        </w:r>
        <w:r>
          <w:rPr>
            <w:noProof/>
            <w:webHidden/>
          </w:rPr>
          <w:fldChar w:fldCharType="separate"/>
        </w:r>
        <w:r>
          <w:rPr>
            <w:noProof/>
            <w:webHidden/>
          </w:rPr>
          <w:t>2162</w:t>
        </w:r>
        <w:r>
          <w:rPr>
            <w:noProof/>
            <w:webHidden/>
          </w:rPr>
          <w:fldChar w:fldCharType="end"/>
        </w:r>
      </w:hyperlink>
    </w:p>
    <w:p>
      <w:pPr>
        <w:pStyle w:val="TOC2"/>
      </w:pPr>
      <w:hyperlink w:anchor="_Toc300002237" w:history="1">
        <w:r>
          <w:rPr>
            <w:noProof/>
          </w:rPr>
          <w:t xml:space="preserve">68.48. Periodic Review and Adaptive Revision.</w:t>
        </w:r>
        <w:r>
          <w:rPr>
            <w:noProof/>
            <w:webHidden/>
          </w:rPr>
          <w:tab/>
        </w:r>
        <w:r>
          <w:rPr>
            <w:noProof/>
            <w:webHidden/>
          </w:rPr>
          <w:fldChar w:fldCharType="begin"/>
        </w:r>
        <w:r>
          <w:rPr>
            <w:noProof/>
            <w:webHidden/>
          </w:rPr>
          <w:instrText xml:space="preserve"> PAGEREF _Toc300002237 \h </w:instrText>
        </w:r>
        <w:r>
          <w:rPr>
            <w:noProof/>
            <w:webHidden/>
          </w:rPr>
          <w:fldChar w:fldCharType="separate"/>
        </w:r>
        <w:r>
          <w:rPr>
            <w:noProof/>
            <w:webHidden/>
          </w:rPr>
          <w:t>2162</w:t>
        </w:r>
        <w:r>
          <w:rPr>
            <w:noProof/>
            <w:webHidden/>
          </w:rPr>
          <w:fldChar w:fldCharType="end"/>
        </w:r>
      </w:hyperlink>
    </w:p>
    <w:p>
      <w:pPr>
        <w:pStyle w:val="TOC2"/>
      </w:pPr>
      <w:hyperlink w:anchor="_Toc300002238" w:history="1">
        <w:r>
          <w:rPr>
            <w:noProof/>
          </w:rPr>
          <w:t xml:space="preserve">68.49. Cetacean Emergency Recovery Escalation.</w:t>
        </w:r>
        <w:r>
          <w:rPr>
            <w:noProof/>
            <w:webHidden/>
          </w:rPr>
          <w:tab/>
        </w:r>
        <w:r>
          <w:rPr>
            <w:noProof/>
            <w:webHidden/>
          </w:rPr>
          <w:fldChar w:fldCharType="begin"/>
        </w:r>
        <w:r>
          <w:rPr>
            <w:noProof/>
            <w:webHidden/>
          </w:rPr>
          <w:instrText xml:space="preserve"> PAGEREF _Toc300002238 \h </w:instrText>
        </w:r>
        <w:r>
          <w:rPr>
            <w:noProof/>
            <w:webHidden/>
          </w:rPr>
          <w:fldChar w:fldCharType="separate"/>
        </w:r>
        <w:r>
          <w:rPr>
            <w:noProof/>
            <w:webHidden/>
          </w:rPr>
          <w:t>2163</w:t>
        </w:r>
        <w:r>
          <w:rPr>
            <w:noProof/>
            <w:webHidden/>
          </w:rPr>
          <w:fldChar w:fldCharType="end"/>
        </w:r>
      </w:hyperlink>
    </w:p>
    <w:p>
      <w:pPr>
        <w:pStyle w:val="TOC2"/>
      </w:pPr>
      <w:hyperlink w:anchor="_Toc300002239" w:history="1">
        <w:r>
          <w:rPr>
            <w:noProof/>
          </w:rPr>
          <w:t xml:space="preserve">ANNEX 68-A: OPERATIONAL CETACEAN PROTECTION REGISTER (139 MECHANISMS)</w:t>
        </w:r>
        <w:r>
          <w:rPr>
            <w:noProof/>
            <w:webHidden/>
          </w:rPr>
          <w:tab/>
        </w:r>
        <w:r>
          <w:rPr>
            <w:noProof/>
            <w:webHidden/>
          </w:rPr>
          <w:fldChar w:fldCharType="begin"/>
        </w:r>
        <w:r>
          <w:rPr>
            <w:noProof/>
            <w:webHidden/>
          </w:rPr>
          <w:instrText xml:space="preserve"> PAGEREF _Toc300002239 \h </w:instrText>
        </w:r>
        <w:r>
          <w:rPr>
            <w:noProof/>
            <w:webHidden/>
          </w:rPr>
          <w:fldChar w:fldCharType="separate"/>
        </w:r>
        <w:r>
          <w:rPr>
            <w:noProof/>
            <w:webHidden/>
          </w:rPr>
          <w:t>2163</w:t>
        </w:r>
        <w:r>
          <w:rPr>
            <w:noProof/>
            <w:webHidden/>
          </w:rPr>
          <w:fldChar w:fldCharType="end"/>
        </w:r>
      </w:hyperlink>
    </w:p>
    <w:p>
      <w:pPr>
        <w:pStyle w:val="TOC2"/>
      </w:pPr>
      <w:hyperlink w:anchor="_Toc300002240" w:history="1">
        <w:r>
          <w:rPr>
            <w:noProof/>
          </w:rPr>
          <w:t xml:space="preserve">ANNEX 68-B: INITIAL SPECIES, GEOGRAPHIC AND PROGRAM SCHEDULE (90 ACTIVE CANDIDATES)</w:t>
        </w:r>
        <w:r>
          <w:rPr>
            <w:noProof/>
            <w:webHidden/>
          </w:rPr>
          <w:tab/>
        </w:r>
        <w:r>
          <w:rPr>
            <w:noProof/>
            <w:webHidden/>
          </w:rPr>
          <w:fldChar w:fldCharType="begin"/>
        </w:r>
        <w:r>
          <w:rPr>
            <w:noProof/>
            <w:webHidden/>
          </w:rPr>
          <w:instrText xml:space="preserve"> PAGEREF _Toc300002240 \h </w:instrText>
        </w:r>
        <w:r>
          <w:rPr>
            <w:noProof/>
            <w:webHidden/>
          </w:rPr>
          <w:fldChar w:fldCharType="separate"/>
        </w:r>
        <w:r>
          <w:rPr>
            <w:noProof/>
            <w:webHidden/>
          </w:rPr>
          <w:t>2172</w:t>
        </w:r>
        <w:r>
          <w:rPr>
            <w:noProof/>
            <w:webHidden/>
          </w:rPr>
          <w:fldChar w:fldCharType="end"/>
        </w:r>
      </w:hyperlink>
    </w:p>
    <w:p>
      <w:pPr>
        <w:pStyle w:val="TOC2"/>
      </w:pPr>
      <w:hyperlink w:anchor="_Toc300002241" w:history="1">
        <w:r>
          <w:rPr>
            <w:noProof/>
          </w:rPr>
          <w:t xml:space="preserve">ANNEX 68-C: OPTIONAL DEVELOPMENT AND CONTROLLED-MECHANISM RESERVE (28 ITEMS)</w:t>
        </w:r>
        <w:r>
          <w:rPr>
            <w:noProof/>
            <w:webHidden/>
          </w:rPr>
          <w:tab/>
        </w:r>
        <w:r>
          <w:rPr>
            <w:noProof/>
            <w:webHidden/>
          </w:rPr>
          <w:fldChar w:fldCharType="begin"/>
        </w:r>
        <w:r>
          <w:rPr>
            <w:noProof/>
            <w:webHidden/>
          </w:rPr>
          <w:instrText xml:space="preserve"> PAGEREF _Toc300002241 \h </w:instrText>
        </w:r>
        <w:r>
          <w:rPr>
            <w:noProof/>
            <w:webHidden/>
          </w:rPr>
          <w:fldChar w:fldCharType="separate"/>
        </w:r>
        <w:r>
          <w:rPr>
            <w:noProof/>
            <w:webHidden/>
          </w:rPr>
          <w:t>2178</w:t>
        </w:r>
        <w:r>
          <w:rPr>
            <w:noProof/>
            <w:webHidden/>
          </w:rPr>
          <w:fldChar w:fldCharType="end"/>
        </w:r>
      </w:hyperlink>
    </w:p>
    <w:p>
      <w:pPr>
        <w:pStyle w:val="TOC2"/>
      </w:pPr>
      <w:hyperlink w:anchor="_Toc300002242" w:history="1">
        <w:r>
          <w:rPr>
            <w:noProof/>
          </w:rPr>
          <w:t xml:space="preserve">ANNEX 68-D: VISIBLE GREAT WHALE COMPACT WINS (32-ITEM OVERLAY)</w:t>
        </w:r>
        <w:r>
          <w:rPr>
            <w:noProof/>
            <w:webHidden/>
          </w:rPr>
          <w:tab/>
        </w:r>
        <w:r>
          <w:rPr>
            <w:noProof/>
            <w:webHidden/>
          </w:rPr>
          <w:fldChar w:fldCharType="begin"/>
        </w:r>
        <w:r>
          <w:rPr>
            <w:noProof/>
            <w:webHidden/>
          </w:rPr>
          <w:instrText xml:space="preserve"> PAGEREF _Toc300002242 \h </w:instrText>
        </w:r>
        <w:r>
          <w:rPr>
            <w:noProof/>
            <w:webHidden/>
          </w:rPr>
          <w:fldChar w:fldCharType="separate"/>
        </w:r>
        <w:r>
          <w:rPr>
            <w:noProof/>
            <w:webHidden/>
          </w:rPr>
          <w:t>2180</w:t>
        </w:r>
        <w:r>
          <w:rPr>
            <w:noProof/>
            <w:webHidden/>
          </w:rPr>
          <w:fldChar w:fldCharType="end"/>
        </w:r>
      </w:hyperlink>
    </w:p>
    <w:p>
      <w:pPr>
        <w:pStyle w:val="TOC2"/>
      </w:pPr>
      <w:hyperlink w:anchor="_Toc300002243" w:history="1">
        <w:r>
          <w:rPr>
            <w:noProof/>
          </w:rPr>
          <w:t xml:space="preserve">ANNEX 68-E: SCIENTIFIC, PROJECT, CLAIM AND RESEARCH VERIFICATION</w:t>
        </w:r>
        <w:r>
          <w:rPr>
            <w:noProof/>
            <w:webHidden/>
          </w:rPr>
          <w:tab/>
        </w:r>
        <w:r>
          <w:rPr>
            <w:noProof/>
            <w:webHidden/>
          </w:rPr>
          <w:fldChar w:fldCharType="begin"/>
        </w:r>
        <w:r>
          <w:rPr>
            <w:noProof/>
            <w:webHidden/>
          </w:rPr>
          <w:instrText xml:space="preserve"> PAGEREF _Toc300002243 \h </w:instrText>
        </w:r>
        <w:r>
          <w:rPr>
            <w:noProof/>
            <w:webHidden/>
          </w:rPr>
          <w:fldChar w:fldCharType="separate"/>
        </w:r>
        <w:r>
          <w:rPr>
            <w:noProof/>
            <w:webHidden/>
          </w:rPr>
          <w:t>2182</w:t>
        </w:r>
        <w:r>
          <w:rPr>
            <w:noProof/>
            <w:webHidden/>
          </w:rPr>
          <w:fldChar w:fldCharType="end"/>
        </w:r>
      </w:hyperlink>
    </w:p>
    <w:p>
      <w:pPr>
        <w:pStyle w:val="TOC1"/>
      </w:pPr>
      <w:hyperlink w:anchor="_Toc300002244" w:history="1">
        <w:r>
          <w:rPr>
            <w:noProof/>
          </w:rPr>
          <w:t xml:space="preserve">AMENDMENT LEDGER: NORTH AMERICAN ECONOMIC SECURITY AND TRADE MODERNIZATION AGREEMENT v8.9</w:t>
        </w:r>
        <w:r>
          <w:rPr>
            <w:noProof/>
            <w:webHidden/>
          </w:rPr>
          <w:tab/>
        </w:r>
        <w:r>
          <w:rPr>
            <w:noProof/>
            <w:webHidden/>
          </w:rPr>
          <w:fldChar w:fldCharType="begin"/>
        </w:r>
        <w:r>
          <w:rPr>
            <w:noProof/>
            <w:webHidden/>
          </w:rPr>
          <w:instrText xml:space="preserve"> PAGEREF _Toc300002244 \h </w:instrText>
        </w:r>
        <w:r>
          <w:rPr>
            <w:noProof/>
            <w:webHidden/>
          </w:rPr>
          <w:fldChar w:fldCharType="separate"/>
        </w:r>
        <w:r>
          <w:rPr>
            <w:noProof/>
            <w:webHidden/>
          </w:rPr>
          <w:t>2184</w:t>
        </w:r>
        <w:r>
          <w:rPr>
            <w:noProof/>
            <w:webHidden/>
          </w:rPr>
          <w:fldChar w:fldCharType="end"/>
        </w:r>
      </w:hyperlink>
    </w:p>
    <w:p>
      <w:pPr>
        <w:pStyle w:val="TOC2"/>
      </w:pPr>
      <w:hyperlink w:anchor="_Toc300002245" w:history="1">
        <w:r>
          <w:rPr>
            <w:noProof/>
          </w:rPr>
          <w:t xml:space="preserve">PACKAGE V: DURABILITY, PROCEDURAL EQUALITY, AND FRICTION REDUCTION (v4.2)</w:t>
        </w:r>
        <w:r>
          <w:rPr>
            <w:noProof/>
            <w:webHidden/>
          </w:rPr>
          <w:tab/>
        </w:r>
        <w:r>
          <w:rPr>
            <w:noProof/>
            <w:webHidden/>
          </w:rPr>
          <w:fldChar w:fldCharType="begin"/>
        </w:r>
        <w:r>
          <w:rPr>
            <w:noProof/>
            <w:webHidden/>
          </w:rPr>
          <w:instrText xml:space="preserve"> PAGEREF _Toc300002245 \h </w:instrText>
        </w:r>
        <w:r>
          <w:rPr>
            <w:noProof/>
            <w:webHidden/>
          </w:rPr>
          <w:fldChar w:fldCharType="separate"/>
        </w:r>
        <w:r>
          <w:rPr>
            <w:noProof/>
            <w:webHidden/>
          </w:rPr>
          <w:t>2184</w:t>
        </w:r>
        <w:r>
          <w:rPr>
            <w:noProof/>
            <w:webHidden/>
          </w:rPr>
          <w:fldChar w:fldCharType="end"/>
        </w:r>
      </w:hyperlink>
    </w:p>
    <w:p>
      <w:pPr>
        <w:pStyle w:val="TOC2"/>
      </w:pPr>
      <w:hyperlink w:anchor="_Toc300002246" w:history="1">
        <w:r>
          <w:rPr>
            <w:noProof/>
          </w:rPr>
          <w:t xml:space="preserve">PACKAGE A: TREATY INTEGRITY AND TARIFF ARCHITECTURE (Chapters 1, 2, 32, 34, 35)</w:t>
        </w:r>
        <w:r>
          <w:rPr>
            <w:noProof/>
            <w:webHidden/>
          </w:rPr>
          <w:tab/>
        </w:r>
        <w:r>
          <w:rPr>
            <w:noProof/>
            <w:webHidden/>
          </w:rPr>
          <w:fldChar w:fldCharType="begin"/>
        </w:r>
        <w:r>
          <w:rPr>
            <w:noProof/>
            <w:webHidden/>
          </w:rPr>
          <w:instrText xml:space="preserve"> PAGEREF _Toc300002246 \h </w:instrText>
        </w:r>
        <w:r>
          <w:rPr>
            <w:noProof/>
            <w:webHidden/>
          </w:rPr>
          <w:fldChar w:fldCharType="separate"/>
        </w:r>
        <w:r>
          <w:rPr>
            <w:noProof/>
            <w:webHidden/>
          </w:rPr>
          <w:t>2185</w:t>
        </w:r>
        <w:r>
          <w:rPr>
            <w:noProof/>
            <w:webHidden/>
          </w:rPr>
          <w:fldChar w:fldCharType="end"/>
        </w:r>
      </w:hyperlink>
    </w:p>
    <w:p>
      <w:pPr>
        <w:pStyle w:val="TOC2"/>
      </w:pPr>
      <w:hyperlink w:anchor="_Toc300002247" w:history="1">
        <w:r>
          <w:rPr>
            <w:noProof/>
          </w:rPr>
          <w:t xml:space="preserve">PACKAGE B: THE PROPORTIONAL TRADE ADJUSTMENT MECHANISM (Chapter 35)</w:t>
        </w:r>
        <w:r>
          <w:rPr>
            <w:noProof/>
            <w:webHidden/>
          </w:rPr>
          <w:tab/>
        </w:r>
        <w:r>
          <w:rPr>
            <w:noProof/>
            <w:webHidden/>
          </w:rPr>
          <w:fldChar w:fldCharType="begin"/>
        </w:r>
        <w:r>
          <w:rPr>
            <w:noProof/>
            <w:webHidden/>
          </w:rPr>
          <w:instrText xml:space="preserve"> PAGEREF _Toc300002247 \h </w:instrText>
        </w:r>
        <w:r>
          <w:rPr>
            <w:noProof/>
            <w:webHidden/>
          </w:rPr>
          <w:fldChar w:fldCharType="separate"/>
        </w:r>
        <w:r>
          <w:rPr>
            <w:noProof/>
            <w:webHidden/>
          </w:rPr>
          <w:t>2187</w:t>
        </w:r>
        <w:r>
          <w:rPr>
            <w:noProof/>
            <w:webHidden/>
          </w:rPr>
          <w:fldChar w:fldCharType="end"/>
        </w:r>
      </w:hyperlink>
    </w:p>
    <w:p>
      <w:pPr>
        <w:pStyle w:val="TOC2"/>
      </w:pPr>
      <w:hyperlink w:anchor="_Toc300002248" w:history="1">
        <w:r>
          <w:rPr>
            <w:noProof/>
          </w:rPr>
          <w:t xml:space="preserve">PACKAGE C: MODERNIZED DISPUTE SETTLEMENT (Chapter 31)</w:t>
        </w:r>
        <w:r>
          <w:rPr>
            <w:noProof/>
            <w:webHidden/>
          </w:rPr>
          <w:tab/>
        </w:r>
        <w:r>
          <w:rPr>
            <w:noProof/>
            <w:webHidden/>
          </w:rPr>
          <w:fldChar w:fldCharType="begin"/>
        </w:r>
        <w:r>
          <w:rPr>
            <w:noProof/>
            <w:webHidden/>
          </w:rPr>
          <w:instrText xml:space="preserve"> PAGEREF _Toc300002248 \h </w:instrText>
        </w:r>
        <w:r>
          <w:rPr>
            <w:noProof/>
            <w:webHidden/>
          </w:rPr>
          <w:fldChar w:fldCharType="separate"/>
        </w:r>
        <w:r>
          <w:rPr>
            <w:noProof/>
            <w:webHidden/>
          </w:rPr>
          <w:t>2189</w:t>
        </w:r>
        <w:r>
          <w:rPr>
            <w:noProof/>
            <w:webHidden/>
          </w:rPr>
          <w:fldChar w:fldCharType="end"/>
        </w:r>
      </w:hyperlink>
    </w:p>
    <w:p>
      <w:pPr>
        <w:pStyle w:val="TOC2"/>
      </w:pPr>
      <w:hyperlink w:anchor="_Toc300002249" w:history="1">
        <w:r>
          <w:rPr>
            <w:noProof/>
          </w:rPr>
          <w:t xml:space="preserve">PACKAGE D: RULES OF ORIGIN AND CUSTOMS MODERNIZATION (Chapters 4, 5, 7)</w:t>
        </w:r>
        <w:r>
          <w:rPr>
            <w:noProof/>
            <w:webHidden/>
          </w:rPr>
          <w:tab/>
        </w:r>
        <w:r>
          <w:rPr>
            <w:noProof/>
            <w:webHidden/>
          </w:rPr>
          <w:fldChar w:fldCharType="begin"/>
        </w:r>
        <w:r>
          <w:rPr>
            <w:noProof/>
            <w:webHidden/>
          </w:rPr>
          <w:instrText xml:space="preserve"> PAGEREF _Toc300002249 \h </w:instrText>
        </w:r>
        <w:r>
          <w:rPr>
            <w:noProof/>
            <w:webHidden/>
          </w:rPr>
          <w:fldChar w:fldCharType="separate"/>
        </w:r>
        <w:r>
          <w:rPr>
            <w:noProof/>
            <w:webHidden/>
          </w:rPr>
          <w:t>2189</w:t>
        </w:r>
        <w:r>
          <w:rPr>
            <w:noProof/>
            <w:webHidden/>
          </w:rPr>
          <w:fldChar w:fldCharType="end"/>
        </w:r>
      </w:hyperlink>
    </w:p>
    <w:p>
      <w:pPr>
        <w:pStyle w:val="TOC2"/>
      </w:pPr>
      <w:hyperlink w:anchor="_Toc300002250" w:history="1">
        <w:r>
          <w:rPr>
            <w:noProof/>
          </w:rPr>
          <w:t xml:space="preserve">PACKAGE E: ECONOMIC SECURITY, MINERALS, CONTINUITY, TECHNOLOGY, ENERGY (Chapters 36–40)</w:t>
        </w:r>
        <w:r>
          <w:rPr>
            <w:noProof/>
            <w:webHidden/>
          </w:rPr>
          <w:tab/>
        </w:r>
        <w:r>
          <w:rPr>
            <w:noProof/>
            <w:webHidden/>
          </w:rPr>
          <w:fldChar w:fldCharType="begin"/>
        </w:r>
        <w:r>
          <w:rPr>
            <w:noProof/>
            <w:webHidden/>
          </w:rPr>
          <w:instrText xml:space="preserve"> PAGEREF _Toc300002250 \h </w:instrText>
        </w:r>
        <w:r>
          <w:rPr>
            <w:noProof/>
            <w:webHidden/>
          </w:rPr>
          <w:fldChar w:fldCharType="separate"/>
        </w:r>
        <w:r>
          <w:rPr>
            <w:noProof/>
            <w:webHidden/>
          </w:rPr>
          <w:t>2190</w:t>
        </w:r>
        <w:r>
          <w:rPr>
            <w:noProof/>
            <w:webHidden/>
          </w:rPr>
          <w:fldChar w:fldCharType="end"/>
        </w:r>
      </w:hyperlink>
    </w:p>
    <w:p>
      <w:pPr>
        <w:pStyle w:val="TOC2"/>
      </w:pPr>
      <w:hyperlink w:anchor="_Toc300002251" w:history="1">
        <w:r>
          <w:rPr>
            <w:noProof/>
          </w:rPr>
          <w:t xml:space="preserve">PACKAGE AR: ENERGY SOVEREIGNTY, OPTIONALITY, AND INTEGRATED INFRASTRUCTURE SIMULATION (v6.4)</w:t>
        </w:r>
        <w:r>
          <w:rPr>
            <w:noProof/>
            <w:webHidden/>
          </w:rPr>
          <w:tab/>
        </w:r>
        <w:r>
          <w:rPr>
            <w:noProof/>
            <w:webHidden/>
          </w:rPr>
          <w:fldChar w:fldCharType="begin"/>
        </w:r>
        <w:r>
          <w:rPr>
            <w:noProof/>
            <w:webHidden/>
          </w:rPr>
          <w:instrText xml:space="preserve"> PAGEREF _Toc300002251 \h </w:instrText>
        </w:r>
        <w:r>
          <w:rPr>
            <w:noProof/>
            <w:webHidden/>
          </w:rPr>
          <w:fldChar w:fldCharType="separate"/>
        </w:r>
        <w:r>
          <w:rPr>
            <w:noProof/>
            <w:webHidden/>
          </w:rPr>
          <w:t>2191</w:t>
        </w:r>
        <w:r>
          <w:rPr>
            <w:noProof/>
            <w:webHidden/>
          </w:rPr>
          <w:fldChar w:fldCharType="end"/>
        </w:r>
      </w:hyperlink>
    </w:p>
    <w:p>
      <w:pPr>
        <w:pStyle w:val="TOC2"/>
      </w:pPr>
      <w:hyperlink w:anchor="_Toc300002252" w:history="1">
        <w:r>
          <w:rPr>
            <w:noProof/>
          </w:rPr>
          <w:t xml:space="preserve">PACKAGE F: TRADE REMEDIES, LABOUR, ENVIRONMENT, DIGITAL, INSTITUTIONS, FINAL PROVISIONS</w:t>
        </w:r>
        <w:r>
          <w:rPr>
            <w:noProof/>
            <w:webHidden/>
          </w:rPr>
          <w:tab/>
        </w:r>
        <w:r>
          <w:rPr>
            <w:noProof/>
            <w:webHidden/>
          </w:rPr>
          <w:fldChar w:fldCharType="begin"/>
        </w:r>
        <w:r>
          <w:rPr>
            <w:noProof/>
            <w:webHidden/>
          </w:rPr>
          <w:instrText xml:space="preserve"> PAGEREF _Toc300002252 \h </w:instrText>
        </w:r>
        <w:r>
          <w:rPr>
            <w:noProof/>
            <w:webHidden/>
          </w:rPr>
          <w:fldChar w:fldCharType="separate"/>
        </w:r>
        <w:r>
          <w:rPr>
            <w:noProof/>
            <w:webHidden/>
          </w:rPr>
          <w:t>2192</w:t>
        </w:r>
        <w:r>
          <w:rPr>
            <w:noProof/>
            <w:webHidden/>
          </w:rPr>
          <w:fldChar w:fldCharType="end"/>
        </w:r>
      </w:hyperlink>
    </w:p>
    <w:p>
      <w:pPr>
        <w:pStyle w:val="TOC2"/>
      </w:pPr>
      <w:hyperlink w:anchor="_Toc300002253" w:history="1">
        <w:r>
          <w:rPr>
            <w:noProof/>
          </w:rPr>
          <w:t xml:space="preserve">PACKAGE W-L: SOFTWOOD LUMBER, HOUSING SUPPLY, AND FORESTRY STABILITY (v4.2-L)</w:t>
        </w:r>
        <w:r>
          <w:rPr>
            <w:noProof/>
            <w:webHidden/>
          </w:rPr>
          <w:tab/>
        </w:r>
        <w:r>
          <w:rPr>
            <w:noProof/>
            <w:webHidden/>
          </w:rPr>
          <w:fldChar w:fldCharType="begin"/>
        </w:r>
        <w:r>
          <w:rPr>
            <w:noProof/>
            <w:webHidden/>
          </w:rPr>
          <w:instrText xml:space="preserve"> PAGEREF _Toc300002253 \h </w:instrText>
        </w:r>
        <w:r>
          <w:rPr>
            <w:noProof/>
            <w:webHidden/>
          </w:rPr>
          <w:fldChar w:fldCharType="separate"/>
        </w:r>
        <w:r>
          <w:rPr>
            <w:noProof/>
            <w:webHidden/>
          </w:rPr>
          <w:t>2193</w:t>
        </w:r>
        <w:r>
          <w:rPr>
            <w:noProof/>
            <w:webHidden/>
          </w:rPr>
          <w:fldChar w:fldCharType="end"/>
        </w:r>
      </w:hyperlink>
    </w:p>
    <w:p>
      <w:pPr>
        <w:pStyle w:val="TOC2"/>
      </w:pPr>
      <w:hyperlink w:anchor="_Toc300002254" w:history="1">
        <w:r>
          <w:rPr>
            <w:noProof/>
          </w:rPr>
          <w:t xml:space="preserve">PACKAGE W-M: PRELIMINARY STRATEGIC MINERALS, SEMICONDUCTOR, AND FORESTRY BARGAIN INTEGRATION (v4.9)</w:t>
        </w:r>
        <w:r>
          <w:rPr>
            <w:noProof/>
            <w:webHidden/>
          </w:rPr>
          <w:tab/>
        </w:r>
        <w:r>
          <w:rPr>
            <w:noProof/>
            <w:webHidden/>
          </w:rPr>
          <w:fldChar w:fldCharType="begin"/>
        </w:r>
        <w:r>
          <w:rPr>
            <w:noProof/>
            <w:webHidden/>
          </w:rPr>
          <w:instrText xml:space="preserve"> PAGEREF _Toc300002254 \h </w:instrText>
        </w:r>
        <w:r>
          <w:rPr>
            <w:noProof/>
            <w:webHidden/>
          </w:rPr>
          <w:fldChar w:fldCharType="separate"/>
        </w:r>
        <w:r>
          <w:rPr>
            <w:noProof/>
            <w:webHidden/>
          </w:rPr>
          <w:t>2193</w:t>
        </w:r>
        <w:r>
          <w:rPr>
            <w:noProof/>
            <w:webHidden/>
          </w:rPr>
          <w:fldChar w:fldCharType="end"/>
        </w:r>
      </w:hyperlink>
    </w:p>
    <w:p>
      <w:pPr>
        <w:pStyle w:val="TOC2"/>
      </w:pPr>
      <w:hyperlink w:anchor="_Toc300002255" w:history="1">
        <w:r>
          <w:rPr>
            <w:noProof/>
          </w:rPr>
          <w:t xml:space="preserve">PACKAGE AB: MEXICO PARITY, TRILATERAL PROCUREMENT, FORESTRY INTEGRATION, AND INDUSTRIAL RESILIENCE (v5.0)</w:t>
        </w:r>
        <w:r>
          <w:rPr>
            <w:noProof/>
            <w:webHidden/>
          </w:rPr>
          <w:tab/>
        </w:r>
        <w:r>
          <w:rPr>
            <w:noProof/>
            <w:webHidden/>
          </w:rPr>
          <w:fldChar w:fldCharType="begin"/>
        </w:r>
        <w:r>
          <w:rPr>
            <w:noProof/>
            <w:webHidden/>
          </w:rPr>
          <w:instrText xml:space="preserve"> PAGEREF _Toc300002255 \h </w:instrText>
        </w:r>
        <w:r>
          <w:rPr>
            <w:noProof/>
            <w:webHidden/>
          </w:rPr>
          <w:fldChar w:fldCharType="separate"/>
        </w:r>
        <w:r>
          <w:rPr>
            <w:noProof/>
            <w:webHidden/>
          </w:rPr>
          <w:t>2193</w:t>
        </w:r>
        <w:r>
          <w:rPr>
            <w:noProof/>
            <w:webHidden/>
          </w:rPr>
          <w:fldChar w:fldCharType="end"/>
        </w:r>
      </w:hyperlink>
    </w:p>
    <w:p>
      <w:pPr>
        <w:pStyle w:val="TOC2"/>
      </w:pPr>
      <w:hyperlink w:anchor="_Toc300002256" w:history="1">
        <w:r>
          <w:rPr>
            <w:noProof/>
          </w:rPr>
          <w:t xml:space="preserve">PACKAGE AE: SYNCHRONIZED EXCHANGE, STRATEGIC MATERIALS PREFERRED ACCESS, AND FORESTRY COMMENSURABILITY (v5.4)</w:t>
        </w:r>
        <w:r>
          <w:rPr>
            <w:noProof/>
            <w:webHidden/>
          </w:rPr>
          <w:tab/>
        </w:r>
        <w:r>
          <w:rPr>
            <w:noProof/>
            <w:webHidden/>
          </w:rPr>
          <w:fldChar w:fldCharType="begin"/>
        </w:r>
        <w:r>
          <w:rPr>
            <w:noProof/>
            <w:webHidden/>
          </w:rPr>
          <w:instrText xml:space="preserve"> PAGEREF _Toc300002256 \h </w:instrText>
        </w:r>
        <w:r>
          <w:rPr>
            <w:noProof/>
            <w:webHidden/>
          </w:rPr>
          <w:fldChar w:fldCharType="separate"/>
        </w:r>
        <w:r>
          <w:rPr>
            <w:noProof/>
            <w:webHidden/>
          </w:rPr>
          <w:t>2194</w:t>
        </w:r>
        <w:r>
          <w:rPr>
            <w:noProof/>
            <w:webHidden/>
          </w:rPr>
          <w:fldChar w:fldCharType="end"/>
        </w:r>
      </w:hyperlink>
    </w:p>
    <w:p>
      <w:pPr>
        <w:pStyle w:val="TOC2"/>
      </w:pPr>
      <w:hyperlink w:anchor="_Toc300002257" w:history="1">
        <w:r>
          <w:rPr>
            <w:noProof/>
          </w:rPr>
          <w:t xml:space="preserve">PACKAGE AI: ESSENTIAL-SECURITY ANTI-CIRCUMVENTION AND TRUSTED-SUPPLY FIREWALL (v5.8)</w:t>
        </w:r>
        <w:r>
          <w:rPr>
            <w:noProof/>
            <w:webHidden/>
          </w:rPr>
          <w:tab/>
        </w:r>
        <w:r>
          <w:rPr>
            <w:noProof/>
            <w:webHidden/>
          </w:rPr>
          <w:fldChar w:fldCharType="begin"/>
        </w:r>
        <w:r>
          <w:rPr>
            <w:noProof/>
            <w:webHidden/>
          </w:rPr>
          <w:instrText xml:space="preserve"> PAGEREF _Toc300002257 \h </w:instrText>
        </w:r>
        <w:r>
          <w:rPr>
            <w:noProof/>
            <w:webHidden/>
          </w:rPr>
          <w:fldChar w:fldCharType="separate"/>
        </w:r>
        <w:r>
          <w:rPr>
            <w:noProof/>
            <w:webHidden/>
          </w:rPr>
          <w:t>2194</w:t>
        </w:r>
        <w:r>
          <w:rPr>
            <w:noProof/>
            <w:webHidden/>
          </w:rPr>
          <w:fldChar w:fldCharType="end"/>
        </w:r>
      </w:hyperlink>
    </w:p>
    <w:p>
      <w:pPr>
        <w:pStyle w:val="TOC2"/>
      </w:pPr>
      <w:hyperlink w:anchor="_Toc300002258" w:history="1">
        <w:r>
          <w:rPr>
            <w:noProof/>
          </w:rPr>
          <w:t xml:space="preserve">PACKAGE AJ: CONTINUOUS TREATY, SOVEREIGN EXIT, AND ANTI-HOSTAGE WITHDRAWAL ARCHITECTURE (v5.8)</w:t>
        </w:r>
        <w:r>
          <w:rPr>
            <w:noProof/>
            <w:webHidden/>
          </w:rPr>
          <w:tab/>
        </w:r>
        <w:r>
          <w:rPr>
            <w:noProof/>
            <w:webHidden/>
          </w:rPr>
          <w:fldChar w:fldCharType="begin"/>
        </w:r>
        <w:r>
          <w:rPr>
            <w:noProof/>
            <w:webHidden/>
          </w:rPr>
          <w:instrText xml:space="preserve"> PAGEREF _Toc300002258 \h </w:instrText>
        </w:r>
        <w:r>
          <w:rPr>
            <w:noProof/>
            <w:webHidden/>
          </w:rPr>
          <w:fldChar w:fldCharType="separate"/>
        </w:r>
        <w:r>
          <w:rPr>
            <w:noProof/>
            <w:webHidden/>
          </w:rPr>
          <w:t>2194</w:t>
        </w:r>
        <w:r>
          <w:rPr>
            <w:noProof/>
            <w:webHidden/>
          </w:rPr>
          <w:fldChar w:fldCharType="end"/>
        </w:r>
      </w:hyperlink>
    </w:p>
    <w:p>
      <w:pPr>
        <w:pStyle w:val="TOC2"/>
      </w:pPr>
      <w:hyperlink w:anchor="_Toc300002259" w:history="1">
        <w:r>
          <w:rPr>
            <w:noProof/>
          </w:rPr>
          <w:t xml:space="preserve">PACKAGE AK: BUREAUCRATIC CONTINUITY, ADMINISTRATIVE FRICTION, AND INSTITUTIONAL SAFE-MODE HARDENING (v5.8)</w:t>
        </w:r>
        <w:r>
          <w:rPr>
            <w:noProof/>
            <w:webHidden/>
          </w:rPr>
          <w:tab/>
        </w:r>
        <w:r>
          <w:rPr>
            <w:noProof/>
            <w:webHidden/>
          </w:rPr>
          <w:fldChar w:fldCharType="begin"/>
        </w:r>
        <w:r>
          <w:rPr>
            <w:noProof/>
            <w:webHidden/>
          </w:rPr>
          <w:instrText xml:space="preserve"> PAGEREF _Toc300002259 \h </w:instrText>
        </w:r>
        <w:r>
          <w:rPr>
            <w:noProof/>
            <w:webHidden/>
          </w:rPr>
          <w:fldChar w:fldCharType="separate"/>
        </w:r>
        <w:r>
          <w:rPr>
            <w:noProof/>
            <w:webHidden/>
          </w:rPr>
          <w:t>2194</w:t>
        </w:r>
        <w:r>
          <w:rPr>
            <w:noProof/>
            <w:webHidden/>
          </w:rPr>
          <w:fldChar w:fldCharType="end"/>
        </w:r>
      </w:hyperlink>
    </w:p>
    <w:p>
      <w:pPr>
        <w:pStyle w:val="TOC2"/>
      </w:pPr>
      <w:hyperlink w:anchor="_Toc300002260" w:history="1">
        <w:r>
          <w:rPr>
            <w:noProof/>
          </w:rPr>
          <w:t xml:space="preserve">PACKAGE AL: EFFECTIVE PERFORMANCE AND ANTI-MALICIOUS-COMPLIANCE FIREWALL (v5.9)</w:t>
        </w:r>
        <w:r>
          <w:rPr>
            <w:noProof/>
            <w:webHidden/>
          </w:rPr>
          <w:tab/>
        </w:r>
        <w:r>
          <w:rPr>
            <w:noProof/>
            <w:webHidden/>
          </w:rPr>
          <w:fldChar w:fldCharType="begin"/>
        </w:r>
        <w:r>
          <w:rPr>
            <w:noProof/>
            <w:webHidden/>
          </w:rPr>
          <w:instrText xml:space="preserve"> PAGEREF _Toc300002260 \h </w:instrText>
        </w:r>
        <w:r>
          <w:rPr>
            <w:noProof/>
            <w:webHidden/>
          </w:rPr>
          <w:fldChar w:fldCharType="separate"/>
        </w:r>
        <w:r>
          <w:rPr>
            <w:noProof/>
            <w:webHidden/>
          </w:rPr>
          <w:t>2195</w:t>
        </w:r>
        <w:r>
          <w:rPr>
            <w:noProof/>
            <w:webHidden/>
          </w:rPr>
          <w:fldChar w:fldCharType="end"/>
        </w:r>
      </w:hyperlink>
    </w:p>
    <w:p>
      <w:pPr>
        <w:pStyle w:val="TOC2"/>
      </w:pPr>
      <w:hyperlink w:anchor="_Toc300002261" w:history="1">
        <w:r>
          <w:rPr>
            <w:noProof/>
          </w:rPr>
          <w:t xml:space="preserve">PACKAGE AM: FISCAL SOVEREIGNTY AND ANTI-COERCION FIREWALL (v5.9)</w:t>
        </w:r>
        <w:r>
          <w:rPr>
            <w:noProof/>
            <w:webHidden/>
          </w:rPr>
          <w:tab/>
        </w:r>
        <w:r>
          <w:rPr>
            <w:noProof/>
            <w:webHidden/>
          </w:rPr>
          <w:fldChar w:fldCharType="begin"/>
        </w:r>
        <w:r>
          <w:rPr>
            <w:noProof/>
            <w:webHidden/>
          </w:rPr>
          <w:instrText xml:space="preserve"> PAGEREF _Toc300002261 \h </w:instrText>
        </w:r>
        <w:r>
          <w:rPr>
            <w:noProof/>
            <w:webHidden/>
          </w:rPr>
          <w:fldChar w:fldCharType="separate"/>
        </w:r>
        <w:r>
          <w:rPr>
            <w:noProof/>
            <w:webHidden/>
          </w:rPr>
          <w:t>2195</w:t>
        </w:r>
        <w:r>
          <w:rPr>
            <w:noProof/>
            <w:webHidden/>
          </w:rPr>
          <w:fldChar w:fldCharType="end"/>
        </w:r>
      </w:hyperlink>
    </w:p>
    <w:p>
      <w:pPr>
        <w:pStyle w:val="TOC2"/>
      </w:pPr>
      <w:hyperlink w:anchor="_Toc300002262" w:history="1">
        <w:r>
          <w:rPr>
            <w:noProof/>
          </w:rPr>
          <w:t xml:space="preserve">PACKAGE AN: RECIPROCAL PROCUREMENT COMPACT AND VALUE-EQUIVALENCE INTEGRATION (v6.0)</w:t>
        </w:r>
        <w:r>
          <w:rPr>
            <w:noProof/>
            <w:webHidden/>
          </w:rPr>
          <w:tab/>
        </w:r>
        <w:r>
          <w:rPr>
            <w:noProof/>
            <w:webHidden/>
          </w:rPr>
          <w:fldChar w:fldCharType="begin"/>
        </w:r>
        <w:r>
          <w:rPr>
            <w:noProof/>
            <w:webHidden/>
          </w:rPr>
          <w:instrText xml:space="preserve"> PAGEREF _Toc300002262 \h </w:instrText>
        </w:r>
        <w:r>
          <w:rPr>
            <w:noProof/>
            <w:webHidden/>
          </w:rPr>
          <w:fldChar w:fldCharType="separate"/>
        </w:r>
        <w:r>
          <w:rPr>
            <w:noProof/>
            <w:webHidden/>
          </w:rPr>
          <w:t>2196</w:t>
        </w:r>
        <w:r>
          <w:rPr>
            <w:noProof/>
            <w:webHidden/>
          </w:rPr>
          <w:fldChar w:fldCharType="end"/>
        </w:r>
      </w:hyperlink>
    </w:p>
    <w:p>
      <w:pPr>
        <w:pStyle w:val="TOC2"/>
      </w:pPr>
      <w:hyperlink w:anchor="_Toc300002263" w:history="1">
        <w:r>
          <w:rPr>
            <w:noProof/>
          </w:rPr>
          <w:t xml:space="preserve">PACKAGE AH: ANTI-MANUFACTURED ESCALATION AND MARKET-INTEGRITY HARDENING (v5.7)</w:t>
        </w:r>
        <w:r>
          <w:rPr>
            <w:noProof/>
            <w:webHidden/>
          </w:rPr>
          <w:tab/>
        </w:r>
        <w:r>
          <w:rPr>
            <w:noProof/>
            <w:webHidden/>
          </w:rPr>
          <w:fldChar w:fldCharType="begin"/>
        </w:r>
        <w:r>
          <w:rPr>
            <w:noProof/>
            <w:webHidden/>
          </w:rPr>
          <w:instrText xml:space="preserve"> PAGEREF _Toc300002263 \h </w:instrText>
        </w:r>
        <w:r>
          <w:rPr>
            <w:noProof/>
            <w:webHidden/>
          </w:rPr>
          <w:fldChar w:fldCharType="separate"/>
        </w:r>
        <w:r>
          <w:rPr>
            <w:noProof/>
            <w:webHidden/>
          </w:rPr>
          <w:t>2197</w:t>
        </w:r>
        <w:r>
          <w:rPr>
            <w:noProof/>
            <w:webHidden/>
          </w:rPr>
          <w:fldChar w:fldCharType="end"/>
        </w:r>
      </w:hyperlink>
    </w:p>
    <w:p>
      <w:pPr>
        <w:pStyle w:val="TOC2"/>
      </w:pPr>
      <w:hyperlink w:anchor="_Toc300002264" w:history="1">
        <w:r>
          <w:rPr>
            <w:noProof/>
          </w:rPr>
          <w:t xml:space="preserve">PACKAGE AG: GUARANTOR INTEGRITY FIREWALL AND ANTI-CAPTURE HARDENING (v5.6)</w:t>
        </w:r>
        <w:r>
          <w:rPr>
            <w:noProof/>
            <w:webHidden/>
          </w:rPr>
          <w:tab/>
        </w:r>
        <w:r>
          <w:rPr>
            <w:noProof/>
            <w:webHidden/>
          </w:rPr>
          <w:fldChar w:fldCharType="begin"/>
        </w:r>
        <w:r>
          <w:rPr>
            <w:noProof/>
            <w:webHidden/>
          </w:rPr>
          <w:instrText xml:space="preserve"> PAGEREF _Toc300002264 \h </w:instrText>
        </w:r>
        <w:r>
          <w:rPr>
            <w:noProof/>
            <w:webHidden/>
          </w:rPr>
          <w:fldChar w:fldCharType="separate"/>
        </w:r>
        <w:r>
          <w:rPr>
            <w:noProof/>
            <w:webHidden/>
          </w:rPr>
          <w:t>2198</w:t>
        </w:r>
        <w:r>
          <w:rPr>
            <w:noProof/>
            <w:webHidden/>
          </w:rPr>
          <w:fldChar w:fldCharType="end"/>
        </w:r>
      </w:hyperlink>
    </w:p>
    <w:p>
      <w:pPr>
        <w:pStyle w:val="TOC2"/>
      </w:pPr>
      <w:hyperlink w:anchor="_Toc300002265" w:history="1">
        <w:r>
          <w:rPr>
            <w:noProof/>
          </w:rPr>
          <w:t xml:space="preserve">PACKAGE AF: DEMERIT ENFORCEMENT, ROTATING GUARANTOR TARIFF QUARANTINE, AND THREE-YEAR ABOLITION STUDY (v5.5)</w:t>
        </w:r>
        <w:r>
          <w:rPr>
            <w:noProof/>
            <w:webHidden/>
          </w:rPr>
          <w:tab/>
        </w:r>
        <w:r>
          <w:rPr>
            <w:noProof/>
            <w:webHidden/>
          </w:rPr>
          <w:fldChar w:fldCharType="begin"/>
        </w:r>
        <w:r>
          <w:rPr>
            <w:noProof/>
            <w:webHidden/>
          </w:rPr>
          <w:instrText xml:space="preserve"> PAGEREF _Toc300002265 \h </w:instrText>
        </w:r>
        <w:r>
          <w:rPr>
            <w:noProof/>
            <w:webHidden/>
          </w:rPr>
          <w:fldChar w:fldCharType="separate"/>
        </w:r>
        <w:r>
          <w:rPr>
            <w:noProof/>
            <w:webHidden/>
          </w:rPr>
          <w:t>2198</w:t>
        </w:r>
        <w:r>
          <w:rPr>
            <w:noProof/>
            <w:webHidden/>
          </w:rPr>
          <w:fldChar w:fldCharType="end"/>
        </w:r>
      </w:hyperlink>
    </w:p>
    <w:p>
      <w:pPr>
        <w:pStyle w:val="TOC2"/>
      </w:pPr>
      <w:hyperlink w:anchor="_Toc300002266" w:history="1">
        <w:r>
          <w:rPr>
            <w:noProof/>
          </w:rPr>
          <w:t xml:space="preserve">UNRESOLVED ITEMS AND DELIBERATE OMISSIONS</w:t>
        </w:r>
        <w:r>
          <w:rPr>
            <w:noProof/>
            <w:webHidden/>
          </w:rPr>
          <w:tab/>
        </w:r>
        <w:r>
          <w:rPr>
            <w:noProof/>
            <w:webHidden/>
          </w:rPr>
          <w:fldChar w:fldCharType="begin"/>
        </w:r>
        <w:r>
          <w:rPr>
            <w:noProof/>
            <w:webHidden/>
          </w:rPr>
          <w:instrText xml:space="preserve"> PAGEREF _Toc300002266 \h </w:instrText>
        </w:r>
        <w:r>
          <w:rPr>
            <w:noProof/>
            <w:webHidden/>
          </w:rPr>
          <w:fldChar w:fldCharType="separate"/>
        </w:r>
        <w:r>
          <w:rPr>
            <w:noProof/>
            <w:webHidden/>
          </w:rPr>
          <w:t>2200</w:t>
        </w:r>
        <w:r>
          <w:rPr>
            <w:noProof/>
            <w:webHidden/>
          </w:rPr>
          <w:fldChar w:fldCharType="end"/>
        </w:r>
      </w:hyperlink>
    </w:p>
    <w:p>
      <w:pPr>
        <w:pStyle w:val="TOC2"/>
      </w:pPr>
      <w:hyperlink w:anchor="_Toc300002267" w:history="1">
        <w:r>
          <w:rPr>
            <w:noProof/>
          </w:rPr>
          <w:t xml:space="preserve">PACKAGE Z: TARIFF FIREWALL, HUMANITARIAN PROTECTION, ENERGY OPTIONALITY, AND EXPERIMENTAL DEVELOPMENT (v4.5)</w:t>
        </w:r>
        <w:r>
          <w:rPr>
            <w:noProof/>
            <w:webHidden/>
          </w:rPr>
          <w:tab/>
        </w:r>
        <w:r>
          <w:rPr>
            <w:noProof/>
            <w:webHidden/>
          </w:rPr>
          <w:fldChar w:fldCharType="begin"/>
        </w:r>
        <w:r>
          <w:rPr>
            <w:noProof/>
            <w:webHidden/>
          </w:rPr>
          <w:instrText xml:space="preserve"> PAGEREF _Toc300002267 \h </w:instrText>
        </w:r>
        <w:r>
          <w:rPr>
            <w:noProof/>
            <w:webHidden/>
          </w:rPr>
          <w:fldChar w:fldCharType="separate"/>
        </w:r>
        <w:r>
          <w:rPr>
            <w:noProof/>
            <w:webHidden/>
          </w:rPr>
          <w:t>2200</w:t>
        </w:r>
        <w:r>
          <w:rPr>
            <w:noProof/>
            <w:webHidden/>
          </w:rPr>
          <w:fldChar w:fldCharType="end"/>
        </w:r>
      </w:hyperlink>
    </w:p>
    <w:p>
      <w:pPr>
        <w:pStyle w:val="TOC2"/>
      </w:pPr>
      <w:hyperlink w:anchor="_Toc300002268" w:history="1">
        <w:r>
          <w:rPr>
            <w:noProof/>
          </w:rPr>
          <w:t xml:space="preserve">PACKAGE Y: INTEGRATED OPERATIONAL HARDENING AND INTERIM TARIFF-DURABILITY AMENDMENTS (v4.4)</w:t>
        </w:r>
        <w:r>
          <w:rPr>
            <w:noProof/>
            <w:webHidden/>
          </w:rPr>
          <w:tab/>
        </w:r>
        <w:r>
          <w:rPr>
            <w:noProof/>
            <w:webHidden/>
          </w:rPr>
          <w:fldChar w:fldCharType="begin"/>
        </w:r>
        <w:r>
          <w:rPr>
            <w:noProof/>
            <w:webHidden/>
          </w:rPr>
          <w:instrText xml:space="preserve"> PAGEREF _Toc300002268 \h </w:instrText>
        </w:r>
        <w:r>
          <w:rPr>
            <w:noProof/>
            <w:webHidden/>
          </w:rPr>
          <w:fldChar w:fldCharType="separate"/>
        </w:r>
        <w:r>
          <w:rPr>
            <w:noProof/>
            <w:webHidden/>
          </w:rPr>
          <w:t>2200</w:t>
        </w:r>
        <w:r>
          <w:rPr>
            <w:noProof/>
            <w:webHidden/>
          </w:rPr>
          <w:fldChar w:fldCharType="end"/>
        </w:r>
      </w:hyperlink>
    </w:p>
    <w:p>
      <w:pPr>
        <w:pStyle w:val="TOC2"/>
      </w:pPr>
      <w:hyperlink w:anchor="_Toc300002269" w:history="1">
        <w:r>
          <w:rPr>
            <w:noProof/>
          </w:rPr>
          <w:t xml:space="preserve">PACKAGE Y-S: SOVEREIGNTY, AUTOMOTIVE SCOPE, CULTURE, AND STRATEGIC-RESOURCE HARDENING (v5.3)</w:t>
        </w:r>
        <w:r>
          <w:rPr>
            <w:noProof/>
            <w:webHidden/>
          </w:rPr>
          <w:tab/>
        </w:r>
        <w:r>
          <w:rPr>
            <w:noProof/>
            <w:webHidden/>
          </w:rPr>
          <w:fldChar w:fldCharType="begin"/>
        </w:r>
        <w:r>
          <w:rPr>
            <w:noProof/>
            <w:webHidden/>
          </w:rPr>
          <w:instrText xml:space="preserve"> PAGEREF _Toc300002269 \h </w:instrText>
        </w:r>
        <w:r>
          <w:rPr>
            <w:noProof/>
            <w:webHidden/>
          </w:rPr>
          <w:fldChar w:fldCharType="separate"/>
        </w:r>
        <w:r>
          <w:rPr>
            <w:noProof/>
            <w:webHidden/>
          </w:rPr>
          <w:t>2201</w:t>
        </w:r>
        <w:r>
          <w:rPr>
            <w:noProof/>
            <w:webHidden/>
          </w:rPr>
          <w:fldChar w:fldCharType="end"/>
        </w:r>
      </w:hyperlink>
    </w:p>
    <w:p>
      <w:pPr>
        <w:pStyle w:val="TOC2"/>
      </w:pPr>
      <w:hyperlink w:anchor="_Toc300002270" w:history="1">
        <w:r>
          <w:rPr>
            <w:noProof/>
          </w:rPr>
          <w:t xml:space="preserve">PACKAGE AO: PROVINCIAL DAIRY ACCESS, EFFECTIVE UTILIZATION, AND SUPPLY-MANAGEMENT STABILITY (v6.1).</w:t>
        </w:r>
        <w:r>
          <w:rPr>
            <w:noProof/>
            <w:webHidden/>
          </w:rPr>
          <w:tab/>
        </w:r>
        <w:r>
          <w:rPr>
            <w:noProof/>
            <w:webHidden/>
          </w:rPr>
          <w:fldChar w:fldCharType="begin"/>
        </w:r>
        <w:r>
          <w:rPr>
            <w:noProof/>
            <w:webHidden/>
          </w:rPr>
          <w:instrText xml:space="preserve"> PAGEREF _Toc300002270 \h </w:instrText>
        </w:r>
        <w:r>
          <w:rPr>
            <w:noProof/>
            <w:webHidden/>
          </w:rPr>
          <w:fldChar w:fldCharType="separate"/>
        </w:r>
        <w:r>
          <w:rPr>
            <w:noProof/>
            <w:webHidden/>
          </w:rPr>
          <w:t>2202</w:t>
        </w:r>
        <w:r>
          <w:rPr>
            <w:noProof/>
            <w:webHidden/>
          </w:rPr>
          <w:fldChar w:fldCharType="end"/>
        </w:r>
      </w:hyperlink>
    </w:p>
    <w:p>
      <w:pPr>
        <w:pStyle w:val="TOC2"/>
      </w:pPr>
      <w:hyperlink w:anchor="_Toc300002271" w:history="1">
        <w:r>
          <w:rPr>
            <w:noProof/>
          </w:rPr>
          <w:t xml:space="preserve">PACKAGE AP: DAIRY ACCESS REINFORCEMENT AND PRIORITY CHEESE SWEETENER (v6.2).</w:t>
        </w:r>
        <w:r>
          <w:rPr>
            <w:noProof/>
            <w:webHidden/>
          </w:rPr>
          <w:tab/>
        </w:r>
        <w:r>
          <w:rPr>
            <w:noProof/>
            <w:webHidden/>
          </w:rPr>
          <w:fldChar w:fldCharType="begin"/>
        </w:r>
        <w:r>
          <w:rPr>
            <w:noProof/>
            <w:webHidden/>
          </w:rPr>
          <w:instrText xml:space="preserve"> PAGEREF _Toc300002271 \h </w:instrText>
        </w:r>
        <w:r>
          <w:rPr>
            <w:noProof/>
            <w:webHidden/>
          </w:rPr>
          <w:fldChar w:fldCharType="separate"/>
        </w:r>
        <w:r>
          <w:rPr>
            <w:noProof/>
            <w:webHidden/>
          </w:rPr>
          <w:t>2202</w:t>
        </w:r>
        <w:r>
          <w:rPr>
            <w:noProof/>
            <w:webHidden/>
          </w:rPr>
          <w:fldChar w:fldCharType="end"/>
        </w:r>
      </w:hyperlink>
    </w:p>
    <w:p>
      <w:pPr>
        <w:pStyle w:val="TOC2"/>
      </w:pPr>
      <w:hyperlink w:anchor="_Toc300002272" w:history="1">
        <w:r>
          <w:rPr>
            <w:noProof/>
          </w:rPr>
          <w:t xml:space="preserve">PACKAGE AQ: OPTIONAL ENHANCED DAIRY ACCESS AND SOFTWOOD LUMBER NORMALIZATION EXCHANGE (v6.3).</w:t>
        </w:r>
        <w:r>
          <w:rPr>
            <w:noProof/>
            <w:webHidden/>
          </w:rPr>
          <w:tab/>
        </w:r>
        <w:r>
          <w:rPr>
            <w:noProof/>
            <w:webHidden/>
          </w:rPr>
          <w:fldChar w:fldCharType="begin"/>
        </w:r>
        <w:r>
          <w:rPr>
            <w:noProof/>
            <w:webHidden/>
          </w:rPr>
          <w:instrText xml:space="preserve"> PAGEREF _Toc300002272 \h </w:instrText>
        </w:r>
        <w:r>
          <w:rPr>
            <w:noProof/>
            <w:webHidden/>
          </w:rPr>
          <w:fldChar w:fldCharType="separate"/>
        </w:r>
        <w:r>
          <w:rPr>
            <w:noProof/>
            <w:webHidden/>
          </w:rPr>
          <w:t>2203</w:t>
        </w:r>
        <w:r>
          <w:rPr>
            <w:noProof/>
            <w:webHidden/>
          </w:rPr>
          <w:fldChar w:fldCharType="end"/>
        </w:r>
      </w:hyperlink>
    </w:p>
    <w:p>
      <w:pPr>
        <w:pStyle w:val="TOC2"/>
      </w:pPr>
      <w:hyperlink w:anchor="_Toc300002273" w:history="1">
        <w:r>
          <w:rPr>
            <w:noProof/>
          </w:rPr>
          <w:t xml:space="preserve">PACKAGE AS: AGRICULTURAL PRODUCTION SECURITY, PLANT BIOSECURITY, CROP-PROTECTION MODERNIZATION, AND NUTRIENT CIRCULARITY (v6.5).</w:t>
        </w:r>
        <w:r>
          <w:rPr>
            <w:noProof/>
            <w:webHidden/>
          </w:rPr>
          <w:tab/>
        </w:r>
        <w:r>
          <w:rPr>
            <w:noProof/>
            <w:webHidden/>
          </w:rPr>
          <w:fldChar w:fldCharType="begin"/>
        </w:r>
        <w:r>
          <w:rPr>
            <w:noProof/>
            <w:webHidden/>
          </w:rPr>
          <w:instrText xml:space="preserve"> PAGEREF _Toc300002273 \h </w:instrText>
        </w:r>
        <w:r>
          <w:rPr>
            <w:noProof/>
            <w:webHidden/>
          </w:rPr>
          <w:fldChar w:fldCharType="separate"/>
        </w:r>
        <w:r>
          <w:rPr>
            <w:noProof/>
            <w:webHidden/>
          </w:rPr>
          <w:t>2204</w:t>
        </w:r>
        <w:r>
          <w:rPr>
            <w:noProof/>
            <w:webHidden/>
          </w:rPr>
          <w:fldChar w:fldCharType="end"/>
        </w:r>
      </w:hyperlink>
    </w:p>
    <w:p>
      <w:pPr>
        <w:pStyle w:val="TOC2"/>
      </w:pPr>
      <w:hyperlink w:anchor="_Toc300002274" w:history="1">
        <w:r>
          <w:rPr>
            <w:noProof/>
          </w:rPr>
          <w:t xml:space="preserve">PACKAGE AT: VOLUNTARY GREEN CARROT, CLEAN-MOBILITY, CIRCULARITY, AND INDUSTRIAL TRANSITION FRAMEWORK (v6.6).</w:t>
        </w:r>
        <w:r>
          <w:rPr>
            <w:noProof/>
            <w:webHidden/>
          </w:rPr>
          <w:tab/>
        </w:r>
        <w:r>
          <w:rPr>
            <w:noProof/>
            <w:webHidden/>
          </w:rPr>
          <w:fldChar w:fldCharType="begin"/>
        </w:r>
        <w:r>
          <w:rPr>
            <w:noProof/>
            <w:webHidden/>
          </w:rPr>
          <w:instrText xml:space="preserve"> PAGEREF _Toc300002274 \h </w:instrText>
        </w:r>
        <w:r>
          <w:rPr>
            <w:noProof/>
            <w:webHidden/>
          </w:rPr>
          <w:fldChar w:fldCharType="separate"/>
        </w:r>
        <w:r>
          <w:rPr>
            <w:noProof/>
            <w:webHidden/>
          </w:rPr>
          <w:t>2205</w:t>
        </w:r>
        <w:r>
          <w:rPr>
            <w:noProof/>
            <w:webHidden/>
          </w:rPr>
          <w:fldChar w:fldCharType="end"/>
        </w:r>
      </w:hyperlink>
    </w:p>
    <w:p>
      <w:pPr>
        <w:pStyle w:val="TOC2"/>
      </w:pPr>
      <w:hyperlink w:anchor="_Toc300002275" w:history="1">
        <w:r>
          <w:rPr>
            <w:noProof/>
          </w:rPr>
          <w:t xml:space="preserve">PACKAGE AU: NORTH AMERICAN EDUCATION, SKILLS, RESEARCH, AND MOBILITY FRAMEWORK (v6.6).</w:t>
        </w:r>
        <w:r>
          <w:rPr>
            <w:noProof/>
            <w:webHidden/>
          </w:rPr>
          <w:tab/>
        </w:r>
        <w:r>
          <w:rPr>
            <w:noProof/>
            <w:webHidden/>
          </w:rPr>
          <w:fldChar w:fldCharType="begin"/>
        </w:r>
        <w:r>
          <w:rPr>
            <w:noProof/>
            <w:webHidden/>
          </w:rPr>
          <w:instrText xml:space="preserve"> PAGEREF _Toc300002275 \h </w:instrText>
        </w:r>
        <w:r>
          <w:rPr>
            <w:noProof/>
            <w:webHidden/>
          </w:rPr>
          <w:fldChar w:fldCharType="separate"/>
        </w:r>
        <w:r>
          <w:rPr>
            <w:noProof/>
            <w:webHidden/>
          </w:rPr>
          <w:t>2206</w:t>
        </w:r>
        <w:r>
          <w:rPr>
            <w:noProof/>
            <w:webHidden/>
          </w:rPr>
          <w:fldChar w:fldCharType="end"/>
        </w:r>
      </w:hyperlink>
    </w:p>
    <w:p>
      <w:pPr>
        <w:pStyle w:val="TOC2"/>
      </w:pPr>
      <w:hyperlink w:anchor="_Toc300002276" w:history="1">
        <w:r>
          <w:rPr>
            <w:noProof/>
          </w:rPr>
          <w:t xml:space="preserve">PACKAGE AV: FREEDOM OF CONSCIENCE, STATE NEUTRALITY, AND EQUAL CITIZENSHIP FRAMEWORK (v6.6).</w:t>
        </w:r>
        <w:r>
          <w:rPr>
            <w:noProof/>
            <w:webHidden/>
          </w:rPr>
          <w:tab/>
        </w:r>
        <w:r>
          <w:rPr>
            <w:noProof/>
            <w:webHidden/>
          </w:rPr>
          <w:fldChar w:fldCharType="begin"/>
        </w:r>
        <w:r>
          <w:rPr>
            <w:noProof/>
            <w:webHidden/>
          </w:rPr>
          <w:instrText xml:space="preserve"> PAGEREF _Toc300002276 \h </w:instrText>
        </w:r>
        <w:r>
          <w:rPr>
            <w:noProof/>
            <w:webHidden/>
          </w:rPr>
          <w:fldChar w:fldCharType="separate"/>
        </w:r>
        <w:r>
          <w:rPr>
            <w:noProof/>
            <w:webHidden/>
          </w:rPr>
          <w:t>2207</w:t>
        </w:r>
        <w:r>
          <w:rPr>
            <w:noProof/>
            <w:webHidden/>
          </w:rPr>
          <w:fldChar w:fldCharType="end"/>
        </w:r>
      </w:hyperlink>
    </w:p>
    <w:p>
      <w:pPr>
        <w:pStyle w:val="TOC2"/>
      </w:pPr>
      <w:hyperlink w:anchor="_Toc300002277" w:history="1">
        <w:r>
          <w:rPr>
            <w:noProof/>
          </w:rPr>
          <w:t xml:space="preserve">PACKAGE AW: COERCIVE IDENTITY-CHANGE PRACTICES PREVENTION AND FREEDOM-OF-BELIEF FIREWALL (v6.6).</w:t>
        </w:r>
        <w:r>
          <w:rPr>
            <w:noProof/>
            <w:webHidden/>
          </w:rPr>
          <w:tab/>
        </w:r>
        <w:r>
          <w:rPr>
            <w:noProof/>
            <w:webHidden/>
          </w:rPr>
          <w:fldChar w:fldCharType="begin"/>
        </w:r>
        <w:r>
          <w:rPr>
            <w:noProof/>
            <w:webHidden/>
          </w:rPr>
          <w:instrText xml:space="preserve"> PAGEREF _Toc300002277 \h </w:instrText>
        </w:r>
        <w:r>
          <w:rPr>
            <w:noProof/>
            <w:webHidden/>
          </w:rPr>
          <w:fldChar w:fldCharType="separate"/>
        </w:r>
        <w:r>
          <w:rPr>
            <w:noProof/>
            <w:webHidden/>
          </w:rPr>
          <w:t>2208</w:t>
        </w:r>
        <w:r>
          <w:rPr>
            <w:noProof/>
            <w:webHidden/>
          </w:rPr>
          <w:fldChar w:fldCharType="end"/>
        </w:r>
      </w:hyperlink>
    </w:p>
    <w:p>
      <w:pPr>
        <w:pStyle w:val="TOC2"/>
      </w:pPr>
      <w:hyperlink w:anchor="_Toc300002278" w:history="1">
        <w:r>
          <w:rPr>
            <w:noProof/>
          </w:rPr>
          <w:t xml:space="preserve">PACKAGE AX: CHILD SEXUAL ABUSE PREVENTION, SAFEGUARDING, AND CROSS-BORDER PROTECTION FRAMEWORK (v6.6).</w:t>
        </w:r>
        <w:r>
          <w:rPr>
            <w:noProof/>
            <w:webHidden/>
          </w:rPr>
          <w:tab/>
        </w:r>
        <w:r>
          <w:rPr>
            <w:noProof/>
            <w:webHidden/>
          </w:rPr>
          <w:fldChar w:fldCharType="begin"/>
        </w:r>
        <w:r>
          <w:rPr>
            <w:noProof/>
            <w:webHidden/>
          </w:rPr>
          <w:instrText xml:space="preserve"> PAGEREF _Toc300002278 \h </w:instrText>
        </w:r>
        <w:r>
          <w:rPr>
            <w:noProof/>
            <w:webHidden/>
          </w:rPr>
          <w:fldChar w:fldCharType="separate"/>
        </w:r>
        <w:r>
          <w:rPr>
            <w:noProof/>
            <w:webHidden/>
          </w:rPr>
          <w:t>2209</w:t>
        </w:r>
        <w:r>
          <w:rPr>
            <w:noProof/>
            <w:webHidden/>
          </w:rPr>
          <w:fldChar w:fldCharType="end"/>
        </w:r>
      </w:hyperlink>
    </w:p>
    <w:p>
      <w:pPr>
        <w:pStyle w:val="TOC2"/>
      </w:pPr>
      <w:hyperlink w:anchor="_Toc300002279" w:history="1">
        <w:r>
          <w:rPr>
            <w:noProof/>
          </w:rPr>
          <w:t xml:space="preserve">PACKAGE AY: LONG-TERM CARE, ELDER PROTECTION, DIGNITY, AND RESIDENT SAFETY FRAMEWORK (v6.6).</w:t>
        </w:r>
        <w:r>
          <w:rPr>
            <w:noProof/>
            <w:webHidden/>
          </w:rPr>
          <w:tab/>
        </w:r>
        <w:r>
          <w:rPr>
            <w:noProof/>
            <w:webHidden/>
          </w:rPr>
          <w:fldChar w:fldCharType="begin"/>
        </w:r>
        <w:r>
          <w:rPr>
            <w:noProof/>
            <w:webHidden/>
          </w:rPr>
          <w:instrText xml:space="preserve"> PAGEREF _Toc300002279 \h </w:instrText>
        </w:r>
        <w:r>
          <w:rPr>
            <w:noProof/>
            <w:webHidden/>
          </w:rPr>
          <w:fldChar w:fldCharType="separate"/>
        </w:r>
        <w:r>
          <w:rPr>
            <w:noProof/>
            <w:webHidden/>
          </w:rPr>
          <w:t>2211</w:t>
        </w:r>
        <w:r>
          <w:rPr>
            <w:noProof/>
            <w:webHidden/>
          </w:rPr>
          <w:fldChar w:fldCharType="end"/>
        </w:r>
      </w:hyperlink>
    </w:p>
    <w:p>
      <w:pPr>
        <w:pStyle w:val="TOC2"/>
      </w:pPr>
      <w:hyperlink w:anchor="_Toc300002280" w:history="1">
        <w:r>
          <w:rPr>
            <w:noProof/>
          </w:rPr>
          <w:t xml:space="preserve">PACKAGE AZ: CROSS-CUTTING HUMAN DIGNITY, VOLUNTARINESS, DUE PROCESS, AND IMPLEMENTATION FIREWALL (v6.6).</w:t>
        </w:r>
        <w:r>
          <w:rPr>
            <w:noProof/>
            <w:webHidden/>
          </w:rPr>
          <w:tab/>
        </w:r>
        <w:r>
          <w:rPr>
            <w:noProof/>
            <w:webHidden/>
          </w:rPr>
          <w:fldChar w:fldCharType="begin"/>
        </w:r>
        <w:r>
          <w:rPr>
            <w:noProof/>
            <w:webHidden/>
          </w:rPr>
          <w:instrText xml:space="preserve"> PAGEREF _Toc300002280 \h </w:instrText>
        </w:r>
        <w:r>
          <w:rPr>
            <w:noProof/>
            <w:webHidden/>
          </w:rPr>
          <w:fldChar w:fldCharType="separate"/>
        </w:r>
        <w:r>
          <w:rPr>
            <w:noProof/>
            <w:webHidden/>
          </w:rPr>
          <w:t>2216</w:t>
        </w:r>
        <w:r>
          <w:rPr>
            <w:noProof/>
            <w:webHidden/>
          </w:rPr>
          <w:fldChar w:fldCharType="end"/>
        </w:r>
      </w:hyperlink>
    </w:p>
    <w:p>
      <w:pPr>
        <w:pStyle w:val="TOC1"/>
      </w:pPr>
      <w:hyperlink w:anchor="_Toc300002281" w:history="1">
        <w:r>
          <w:rPr>
            <w:noProof/>
          </w:rPr>
          <w:t xml:space="preserve">PACKAGE BA: NORTH AMERICAN STRATEGIC MINERALS, PROCESSING, CIRCULARITY AND SUPPLY RESILIENCE FRAMEWORK</w:t>
        </w:r>
        <w:r>
          <w:rPr>
            <w:noProof/>
            <w:webHidden/>
          </w:rPr>
          <w:tab/>
        </w:r>
        <w:r>
          <w:rPr>
            <w:noProof/>
            <w:webHidden/>
          </w:rPr>
          <w:fldChar w:fldCharType="begin"/>
        </w:r>
        <w:r>
          <w:rPr>
            <w:noProof/>
            <w:webHidden/>
          </w:rPr>
          <w:instrText xml:space="preserve"> PAGEREF _Toc300002281 \h </w:instrText>
        </w:r>
        <w:r>
          <w:rPr>
            <w:noProof/>
            <w:webHidden/>
          </w:rPr>
          <w:fldChar w:fldCharType="separate"/>
        </w:r>
        <w:r>
          <w:rPr>
            <w:noProof/>
            <w:webHidden/>
          </w:rPr>
          <w:t>2218</w:t>
        </w:r>
        <w:r>
          <w:rPr>
            <w:noProof/>
            <w:webHidden/>
          </w:rPr>
          <w:fldChar w:fldCharType="end"/>
        </w:r>
      </w:hyperlink>
    </w:p>
    <w:p>
      <w:pPr>
        <w:pStyle w:val="TOC2"/>
      </w:pPr>
      <w:hyperlink w:anchor="_Toc300002282" w:history="1">
        <w:r>
          <w:rPr>
            <w:noProof/>
          </w:rPr>
          <w:t xml:space="preserve">BA-1 Resource Sovereignty and No Compulsory Extraction</w:t>
        </w:r>
        <w:r>
          <w:rPr>
            <w:noProof/>
            <w:webHidden/>
          </w:rPr>
          <w:tab/>
        </w:r>
        <w:r>
          <w:rPr>
            <w:noProof/>
            <w:webHidden/>
          </w:rPr>
          <w:fldChar w:fldCharType="begin"/>
        </w:r>
        <w:r>
          <w:rPr>
            <w:noProof/>
            <w:webHidden/>
          </w:rPr>
          <w:instrText xml:space="preserve"> PAGEREF _Toc300002282 \h </w:instrText>
        </w:r>
        <w:r>
          <w:rPr>
            <w:noProof/>
            <w:webHidden/>
          </w:rPr>
          <w:fldChar w:fldCharType="separate"/>
        </w:r>
        <w:r>
          <w:rPr>
            <w:noProof/>
            <w:webHidden/>
          </w:rPr>
          <w:t>2218</w:t>
        </w:r>
        <w:r>
          <w:rPr>
            <w:noProof/>
            <w:webHidden/>
          </w:rPr>
          <w:fldChar w:fldCharType="end"/>
        </w:r>
      </w:hyperlink>
    </w:p>
    <w:p>
      <w:pPr>
        <w:pStyle w:val="TOC2"/>
      </w:pPr>
      <w:hyperlink w:anchor="_Toc300002283" w:history="1">
        <w:r>
          <w:rPr>
            <w:noProof/>
          </w:rPr>
          <w:t xml:space="preserve">BA-2 Mine-to-Manufacture Value Capture</w:t>
        </w:r>
        <w:r>
          <w:rPr>
            <w:noProof/>
            <w:webHidden/>
          </w:rPr>
          <w:tab/>
        </w:r>
        <w:r>
          <w:rPr>
            <w:noProof/>
            <w:webHidden/>
          </w:rPr>
          <w:fldChar w:fldCharType="begin"/>
        </w:r>
        <w:r>
          <w:rPr>
            <w:noProof/>
            <w:webHidden/>
          </w:rPr>
          <w:instrText xml:space="preserve"> PAGEREF _Toc300002283 \h </w:instrText>
        </w:r>
        <w:r>
          <w:rPr>
            <w:noProof/>
            <w:webHidden/>
          </w:rPr>
          <w:fldChar w:fldCharType="separate"/>
        </w:r>
        <w:r>
          <w:rPr>
            <w:noProof/>
            <w:webHidden/>
          </w:rPr>
          <w:t>2218</w:t>
        </w:r>
        <w:r>
          <w:rPr>
            <w:noProof/>
            <w:webHidden/>
          </w:rPr>
          <w:fldChar w:fldCharType="end"/>
        </w:r>
      </w:hyperlink>
    </w:p>
    <w:p>
      <w:pPr>
        <w:pStyle w:val="TOC2"/>
      </w:pPr>
      <w:hyperlink w:anchor="_Toc300002284" w:history="1">
        <w:r>
          <w:rPr>
            <w:noProof/>
          </w:rPr>
          <w:t xml:space="preserve">BA-3 Distributed Redundancy</w:t>
        </w:r>
        <w:r>
          <w:rPr>
            <w:noProof/>
            <w:webHidden/>
          </w:rPr>
          <w:tab/>
        </w:r>
        <w:r>
          <w:rPr>
            <w:noProof/>
            <w:webHidden/>
          </w:rPr>
          <w:fldChar w:fldCharType="begin"/>
        </w:r>
        <w:r>
          <w:rPr>
            <w:noProof/>
            <w:webHidden/>
          </w:rPr>
          <w:instrText xml:space="preserve"> PAGEREF _Toc300002284 \h </w:instrText>
        </w:r>
        <w:r>
          <w:rPr>
            <w:noProof/>
            <w:webHidden/>
          </w:rPr>
          <w:fldChar w:fldCharType="separate"/>
        </w:r>
        <w:r>
          <w:rPr>
            <w:noProof/>
            <w:webHidden/>
          </w:rPr>
          <w:t>2218</w:t>
        </w:r>
        <w:r>
          <w:rPr>
            <w:noProof/>
            <w:webHidden/>
          </w:rPr>
          <w:fldChar w:fldCharType="end"/>
        </w:r>
      </w:hyperlink>
    </w:p>
    <w:p>
      <w:pPr>
        <w:pStyle w:val="TOC2"/>
      </w:pPr>
      <w:hyperlink w:anchor="_Toc300002285" w:history="1">
        <w:r>
          <w:rPr>
            <w:noProof/>
          </w:rPr>
          <w:t xml:space="preserve">BA-4 Trusted External Feedstock Safe Harbour</w:t>
        </w:r>
        <w:r>
          <w:rPr>
            <w:noProof/>
            <w:webHidden/>
          </w:rPr>
          <w:tab/>
        </w:r>
        <w:r>
          <w:rPr>
            <w:noProof/>
            <w:webHidden/>
          </w:rPr>
          <w:fldChar w:fldCharType="begin"/>
        </w:r>
        <w:r>
          <w:rPr>
            <w:noProof/>
            <w:webHidden/>
          </w:rPr>
          <w:instrText xml:space="preserve"> PAGEREF _Toc300002285 \h </w:instrText>
        </w:r>
        <w:r>
          <w:rPr>
            <w:noProof/>
            <w:webHidden/>
          </w:rPr>
          <w:fldChar w:fldCharType="separate"/>
        </w:r>
        <w:r>
          <w:rPr>
            <w:noProof/>
            <w:webHidden/>
          </w:rPr>
          <w:t>2218</w:t>
        </w:r>
        <w:r>
          <w:rPr>
            <w:noProof/>
            <w:webHidden/>
          </w:rPr>
          <w:fldChar w:fldCharType="end"/>
        </w:r>
      </w:hyperlink>
    </w:p>
    <w:p>
      <w:pPr>
        <w:pStyle w:val="TOC2"/>
      </w:pPr>
      <w:hyperlink w:anchor="_Toc300002286" w:history="1">
        <w:r>
          <w:rPr>
            <w:noProof/>
          </w:rPr>
          <w:t xml:space="preserve">BA-5 No Uncompensated Front-Loading</w:t>
        </w:r>
        <w:r>
          <w:rPr>
            <w:noProof/>
            <w:webHidden/>
          </w:rPr>
          <w:tab/>
        </w:r>
        <w:r>
          <w:rPr>
            <w:noProof/>
            <w:webHidden/>
          </w:rPr>
          <w:fldChar w:fldCharType="begin"/>
        </w:r>
        <w:r>
          <w:rPr>
            <w:noProof/>
            <w:webHidden/>
          </w:rPr>
          <w:instrText xml:space="preserve"> PAGEREF _Toc300002286 \h </w:instrText>
        </w:r>
        <w:r>
          <w:rPr>
            <w:noProof/>
            <w:webHidden/>
          </w:rPr>
          <w:fldChar w:fldCharType="separate"/>
        </w:r>
        <w:r>
          <w:rPr>
            <w:noProof/>
            <w:webHidden/>
          </w:rPr>
          <w:t>2218</w:t>
        </w:r>
        <w:r>
          <w:rPr>
            <w:noProof/>
            <w:webHidden/>
          </w:rPr>
          <w:fldChar w:fldCharType="end"/>
        </w:r>
      </w:hyperlink>
    </w:p>
    <w:p>
      <w:pPr>
        <w:pStyle w:val="TOC2"/>
      </w:pPr>
      <w:hyperlink w:anchor="_Toc300002287" w:history="1">
        <w:r>
          <w:rPr>
            <w:noProof/>
          </w:rPr>
          <w:t xml:space="preserve">BA-6 Market Integrity and Anti-Cartel Firewall</w:t>
        </w:r>
        <w:r>
          <w:rPr>
            <w:noProof/>
            <w:webHidden/>
          </w:rPr>
          <w:tab/>
        </w:r>
        <w:r>
          <w:rPr>
            <w:noProof/>
            <w:webHidden/>
          </w:rPr>
          <w:fldChar w:fldCharType="begin"/>
        </w:r>
        <w:r>
          <w:rPr>
            <w:noProof/>
            <w:webHidden/>
          </w:rPr>
          <w:instrText xml:space="preserve"> PAGEREF _Toc300002287 \h </w:instrText>
        </w:r>
        <w:r>
          <w:rPr>
            <w:noProof/>
            <w:webHidden/>
          </w:rPr>
          <w:fldChar w:fldCharType="separate"/>
        </w:r>
        <w:r>
          <w:rPr>
            <w:noProof/>
            <w:webHidden/>
          </w:rPr>
          <w:t>2218</w:t>
        </w:r>
        <w:r>
          <w:rPr>
            <w:noProof/>
            <w:webHidden/>
          </w:rPr>
          <w:fldChar w:fldCharType="end"/>
        </w:r>
      </w:hyperlink>
    </w:p>
    <w:p>
      <w:pPr>
        <w:pStyle w:val="TOC2"/>
      </w:pPr>
      <w:hyperlink w:anchor="_Toc300002288" w:history="1">
        <w:r>
          <w:rPr>
            <w:noProof/>
          </w:rPr>
          <w:t xml:space="preserve">BA-7 High-Standard Permitting and Indigenous/Community Participation</w:t>
        </w:r>
        <w:r>
          <w:rPr>
            <w:noProof/>
            <w:webHidden/>
          </w:rPr>
          <w:tab/>
        </w:r>
        <w:r>
          <w:rPr>
            <w:noProof/>
            <w:webHidden/>
          </w:rPr>
          <w:fldChar w:fldCharType="begin"/>
        </w:r>
        <w:r>
          <w:rPr>
            <w:noProof/>
            <w:webHidden/>
          </w:rPr>
          <w:instrText xml:space="preserve"> PAGEREF _Toc300002288 \h </w:instrText>
        </w:r>
        <w:r>
          <w:rPr>
            <w:noProof/>
            <w:webHidden/>
          </w:rPr>
          <w:fldChar w:fldCharType="separate"/>
        </w:r>
        <w:r>
          <w:rPr>
            <w:noProof/>
            <w:webHidden/>
          </w:rPr>
          <w:t>2219</w:t>
        </w:r>
        <w:r>
          <w:rPr>
            <w:noProof/>
            <w:webHidden/>
          </w:rPr>
          <w:fldChar w:fldCharType="end"/>
        </w:r>
      </w:hyperlink>
    </w:p>
    <w:p>
      <w:pPr>
        <w:pStyle w:val="TOC2"/>
      </w:pPr>
      <w:hyperlink w:anchor="_Toc300002289" w:history="1">
        <w:r>
          <w:rPr>
            <w:noProof/>
          </w:rPr>
          <w:t xml:space="preserve">BA-8 Technology and Intellectual Property</w:t>
        </w:r>
        <w:r>
          <w:rPr>
            <w:noProof/>
            <w:webHidden/>
          </w:rPr>
          <w:tab/>
        </w:r>
        <w:r>
          <w:rPr>
            <w:noProof/>
            <w:webHidden/>
          </w:rPr>
          <w:fldChar w:fldCharType="begin"/>
        </w:r>
        <w:r>
          <w:rPr>
            <w:noProof/>
            <w:webHidden/>
          </w:rPr>
          <w:instrText xml:space="preserve"> PAGEREF _Toc300002289 \h </w:instrText>
        </w:r>
        <w:r>
          <w:rPr>
            <w:noProof/>
            <w:webHidden/>
          </w:rPr>
          <w:fldChar w:fldCharType="separate"/>
        </w:r>
        <w:r>
          <w:rPr>
            <w:noProof/>
            <w:webHidden/>
          </w:rPr>
          <w:t>2219</w:t>
        </w:r>
        <w:r>
          <w:rPr>
            <w:noProof/>
            <w:webHidden/>
          </w:rPr>
          <w:fldChar w:fldCharType="end"/>
        </w:r>
      </w:hyperlink>
    </w:p>
    <w:p>
      <w:pPr>
        <w:pStyle w:val="TOC2"/>
      </w:pPr>
      <w:hyperlink w:anchor="_Toc300002290" w:history="1">
        <w:r>
          <w:rPr>
            <w:noProof/>
          </w:rPr>
          <w:t xml:space="preserve">BA-9 Provenance Transparency</w:t>
        </w:r>
        <w:r>
          <w:rPr>
            <w:noProof/>
            <w:webHidden/>
          </w:rPr>
          <w:tab/>
        </w:r>
        <w:r>
          <w:rPr>
            <w:noProof/>
            <w:webHidden/>
          </w:rPr>
          <w:fldChar w:fldCharType="begin"/>
        </w:r>
        <w:r>
          <w:rPr>
            <w:noProof/>
            <w:webHidden/>
          </w:rPr>
          <w:instrText xml:space="preserve"> PAGEREF _Toc300002290 \h </w:instrText>
        </w:r>
        <w:r>
          <w:rPr>
            <w:noProof/>
            <w:webHidden/>
          </w:rPr>
          <w:fldChar w:fldCharType="separate"/>
        </w:r>
        <w:r>
          <w:rPr>
            <w:noProof/>
            <w:webHidden/>
          </w:rPr>
          <w:t>2219</w:t>
        </w:r>
        <w:r>
          <w:rPr>
            <w:noProof/>
            <w:webHidden/>
          </w:rPr>
          <w:fldChar w:fldCharType="end"/>
        </w:r>
      </w:hyperlink>
    </w:p>
    <w:p>
      <w:pPr>
        <w:pStyle w:val="TOC2"/>
      </w:pPr>
      <w:hyperlink w:anchor="_Toc300002291" w:history="1">
        <w:r>
          <w:rPr>
            <w:noProof/>
          </w:rPr>
          <w:t xml:space="preserve">BA-10 Existing-Institution Implementation</w:t>
        </w:r>
        <w:r>
          <w:rPr>
            <w:noProof/>
            <w:webHidden/>
          </w:rPr>
          <w:tab/>
        </w:r>
        <w:r>
          <w:rPr>
            <w:noProof/>
            <w:webHidden/>
          </w:rPr>
          <w:fldChar w:fldCharType="begin"/>
        </w:r>
        <w:r>
          <w:rPr>
            <w:noProof/>
            <w:webHidden/>
          </w:rPr>
          <w:instrText xml:space="preserve"> PAGEREF _Toc300002291 \h </w:instrText>
        </w:r>
        <w:r>
          <w:rPr>
            <w:noProof/>
            <w:webHidden/>
          </w:rPr>
          <w:fldChar w:fldCharType="separate"/>
        </w:r>
        <w:r>
          <w:rPr>
            <w:noProof/>
            <w:webHidden/>
          </w:rPr>
          <w:t>2219</w:t>
        </w:r>
        <w:r>
          <w:rPr>
            <w:noProof/>
            <w:webHidden/>
          </w:rPr>
          <w:fldChar w:fldCharType="end"/>
        </w:r>
      </w:hyperlink>
    </w:p>
    <w:p>
      <w:pPr>
        <w:pStyle w:val="TOC2"/>
      </w:pPr>
      <w:hyperlink w:anchor="_Toc300002292" w:history="1">
        <w:r>
          <w:rPr>
            <w:noProof/>
          </w:rPr>
          <w:t xml:space="preserve">BA-11 Strategic Stockpiles and Surge Capacity</w:t>
        </w:r>
        <w:r>
          <w:rPr>
            <w:noProof/>
            <w:webHidden/>
          </w:rPr>
          <w:tab/>
        </w:r>
        <w:r>
          <w:rPr>
            <w:noProof/>
            <w:webHidden/>
          </w:rPr>
          <w:fldChar w:fldCharType="begin"/>
        </w:r>
        <w:r>
          <w:rPr>
            <w:noProof/>
            <w:webHidden/>
          </w:rPr>
          <w:instrText xml:space="preserve"> PAGEREF _Toc300002292 \h </w:instrText>
        </w:r>
        <w:r>
          <w:rPr>
            <w:noProof/>
            <w:webHidden/>
          </w:rPr>
          <w:fldChar w:fldCharType="separate"/>
        </w:r>
        <w:r>
          <w:rPr>
            <w:noProof/>
            <w:webHidden/>
          </w:rPr>
          <w:t>2219</w:t>
        </w:r>
        <w:r>
          <w:rPr>
            <w:noProof/>
            <w:webHidden/>
          </w:rPr>
          <w:fldChar w:fldCharType="end"/>
        </w:r>
      </w:hyperlink>
    </w:p>
    <w:p>
      <w:pPr>
        <w:pStyle w:val="TOC2"/>
      </w:pPr>
      <w:hyperlink w:anchor="_Toc300002293" w:history="1">
        <w:r>
          <w:rPr>
            <w:noProof/>
          </w:rPr>
          <w:t xml:space="preserve">BA-12 Cross-Sector Earned Benefits</w:t>
        </w:r>
        <w:r>
          <w:rPr>
            <w:noProof/>
            <w:webHidden/>
          </w:rPr>
          <w:tab/>
        </w:r>
        <w:r>
          <w:rPr>
            <w:noProof/>
            <w:webHidden/>
          </w:rPr>
          <w:fldChar w:fldCharType="begin"/>
        </w:r>
        <w:r>
          <w:rPr>
            <w:noProof/>
            <w:webHidden/>
          </w:rPr>
          <w:instrText xml:space="preserve"> PAGEREF _Toc300002293 \h </w:instrText>
        </w:r>
        <w:r>
          <w:rPr>
            <w:noProof/>
            <w:webHidden/>
          </w:rPr>
          <w:fldChar w:fldCharType="separate"/>
        </w:r>
        <w:r>
          <w:rPr>
            <w:noProof/>
            <w:webHidden/>
          </w:rPr>
          <w:t>2219</w:t>
        </w:r>
        <w:r>
          <w:rPr>
            <w:noProof/>
            <w:webHidden/>
          </w:rPr>
          <w:fldChar w:fldCharType="end"/>
        </w:r>
      </w:hyperlink>
    </w:p>
    <w:p>
      <w:pPr>
        <w:pStyle w:val="TOC2"/>
      </w:pPr>
      <w:hyperlink w:anchor="_Toc300002294" w:history="1">
        <w:r>
          <w:rPr>
            <w:noProof/>
          </w:rPr>
          <w:t xml:space="preserve">BA-13 Humanitarian and Sovereign Powers Firewall</w:t>
        </w:r>
        <w:r>
          <w:rPr>
            <w:noProof/>
            <w:webHidden/>
          </w:rPr>
          <w:tab/>
        </w:r>
        <w:r>
          <w:rPr>
            <w:noProof/>
            <w:webHidden/>
          </w:rPr>
          <w:fldChar w:fldCharType="begin"/>
        </w:r>
        <w:r>
          <w:rPr>
            <w:noProof/>
            <w:webHidden/>
          </w:rPr>
          <w:instrText xml:space="preserve"> PAGEREF _Toc300002294 \h </w:instrText>
        </w:r>
        <w:r>
          <w:rPr>
            <w:noProof/>
            <w:webHidden/>
          </w:rPr>
          <w:fldChar w:fldCharType="separate"/>
        </w:r>
        <w:r>
          <w:rPr>
            <w:noProof/>
            <w:webHidden/>
          </w:rPr>
          <w:t>2219</w:t>
        </w:r>
        <w:r>
          <w:rPr>
            <w:noProof/>
            <w:webHidden/>
          </w:rPr>
          <w:fldChar w:fldCharType="end"/>
        </w:r>
      </w:hyperlink>
    </w:p>
    <w:p>
      <w:pPr>
        <w:pStyle w:val="TOC2"/>
      </w:pPr>
      <w:hyperlink w:anchor="_Toc300002295" w:history="1">
        <w:r>
          <w:rPr>
            <w:noProof/>
          </w:rPr>
          <w:t xml:space="preserve">BA-14 Discoverability</w:t>
        </w:r>
        <w:r>
          <w:rPr>
            <w:noProof/>
            <w:webHidden/>
          </w:rPr>
          <w:tab/>
        </w:r>
        <w:r>
          <w:rPr>
            <w:noProof/>
            <w:webHidden/>
          </w:rPr>
          <w:fldChar w:fldCharType="begin"/>
        </w:r>
        <w:r>
          <w:rPr>
            <w:noProof/>
            <w:webHidden/>
          </w:rPr>
          <w:instrText xml:space="preserve"> PAGEREF _Toc300002295 \h </w:instrText>
        </w:r>
        <w:r>
          <w:rPr>
            <w:noProof/>
            <w:webHidden/>
          </w:rPr>
          <w:fldChar w:fldCharType="separate"/>
        </w:r>
        <w:r>
          <w:rPr>
            <w:noProof/>
            <w:webHidden/>
          </w:rPr>
          <w:t>2220</w:t>
        </w:r>
        <w:r>
          <w:rPr>
            <w:noProof/>
            <w:webHidden/>
          </w:rPr>
          <w:fldChar w:fldCharType="end"/>
        </w:r>
      </w:hyperlink>
    </w:p>
    <w:p>
      <w:pPr>
        <w:pStyle w:val="TOC1"/>
      </w:pPr>
      <w:hyperlink w:anchor="_Toc300002296" w:history="1">
        <w:r>
          <w:rPr>
            <w:noProof/>
          </w:rPr>
          <w:t xml:space="preserve">PACKAGE BB: STRATEGIC MINERALS DEAL CATALOGUE (120 MECHANISMS)</w:t>
        </w:r>
        <w:r>
          <w:rPr>
            <w:noProof/>
            <w:webHidden/>
          </w:rPr>
          <w:tab/>
        </w:r>
        <w:r>
          <w:rPr>
            <w:noProof/>
            <w:webHidden/>
          </w:rPr>
          <w:fldChar w:fldCharType="begin"/>
        </w:r>
        <w:r>
          <w:rPr>
            <w:noProof/>
            <w:webHidden/>
          </w:rPr>
          <w:instrText xml:space="preserve"> PAGEREF _Toc300002296 \h </w:instrText>
        </w:r>
        <w:r>
          <w:rPr>
            <w:noProof/>
            <w:webHidden/>
          </w:rPr>
          <w:fldChar w:fldCharType="separate"/>
        </w:r>
        <w:r>
          <w:rPr>
            <w:noProof/>
            <w:webHidden/>
          </w:rPr>
          <w:t>2221</w:t>
        </w:r>
        <w:r>
          <w:rPr>
            <w:noProof/>
            <w:webHidden/>
          </w:rPr>
          <w:fldChar w:fldCharType="end"/>
        </w:r>
      </w:hyperlink>
    </w:p>
    <w:p>
      <w:pPr>
        <w:pStyle w:val="TOC1"/>
      </w:pPr>
      <w:hyperlink w:anchor="_Toc300002297" w:history="1">
        <w:r>
          <w:rPr>
            <w:noProof/>
          </w:rPr>
          <w:t xml:space="preserve">PACKAGE BC: PROCESSING AND REFINING INDUSTRIALIZATION CATALOGUE (101 MECHANISMS)</w:t>
        </w:r>
        <w:r>
          <w:rPr>
            <w:noProof/>
            <w:webHidden/>
          </w:rPr>
          <w:tab/>
        </w:r>
        <w:r>
          <w:rPr>
            <w:noProof/>
            <w:webHidden/>
          </w:rPr>
          <w:fldChar w:fldCharType="begin"/>
        </w:r>
        <w:r>
          <w:rPr>
            <w:noProof/>
            <w:webHidden/>
          </w:rPr>
          <w:instrText xml:space="preserve"> PAGEREF _Toc300002297 \h </w:instrText>
        </w:r>
        <w:r>
          <w:rPr>
            <w:noProof/>
            <w:webHidden/>
          </w:rPr>
          <w:fldChar w:fldCharType="separate"/>
        </w:r>
        <w:r>
          <w:rPr>
            <w:noProof/>
            <w:webHidden/>
          </w:rPr>
          <w:t>2230</w:t>
        </w:r>
        <w:r>
          <w:rPr>
            <w:noProof/>
            <w:webHidden/>
          </w:rPr>
          <w:fldChar w:fldCharType="end"/>
        </w:r>
      </w:hyperlink>
    </w:p>
    <w:p>
      <w:pPr>
        <w:pStyle w:val="TOC1"/>
      </w:pPr>
      <w:hyperlink w:anchor="_Toc300002298" w:history="1">
        <w:r>
          <w:rPr>
            <w:noProof/>
          </w:rPr>
          <w:t xml:space="preserve">PACKAGE BD: TAILINGS, MINE-WASTE RECOVERY, REMEDIATION AND BENEFICIAL-USE CATALOGUE (120 MECHANISMS)</w:t>
        </w:r>
        <w:r>
          <w:rPr>
            <w:noProof/>
            <w:webHidden/>
          </w:rPr>
          <w:tab/>
        </w:r>
        <w:r>
          <w:rPr>
            <w:noProof/>
            <w:webHidden/>
          </w:rPr>
          <w:fldChar w:fldCharType="begin"/>
        </w:r>
        <w:r>
          <w:rPr>
            <w:noProof/>
            <w:webHidden/>
          </w:rPr>
          <w:instrText xml:space="preserve"> PAGEREF _Toc300002298 \h </w:instrText>
        </w:r>
        <w:r>
          <w:rPr>
            <w:noProof/>
            <w:webHidden/>
          </w:rPr>
          <w:fldChar w:fldCharType="separate"/>
        </w:r>
        <w:r>
          <w:rPr>
            <w:noProof/>
            <w:webHidden/>
          </w:rPr>
          <w:t>2238</w:t>
        </w:r>
        <w:r>
          <w:rPr>
            <w:noProof/>
            <w:webHidden/>
          </w:rPr>
          <w:fldChar w:fldCharType="end"/>
        </w:r>
      </w:hyperlink>
    </w:p>
    <w:p>
      <w:pPr>
        <w:pStyle w:val="TOC1"/>
      </w:pPr>
      <w:hyperlink w:anchor="_Toc300002299" w:history="1">
        <w:r>
          <w:rPr>
            <w:noProof/>
          </w:rPr>
          <w:t xml:space="preserve">PACKAGE BE: CROSS-SECTOR MINERAL EARNED-BENEFIT CATALOGUE (140 MECHANISMS)</w:t>
        </w:r>
        <w:r>
          <w:rPr>
            <w:noProof/>
            <w:webHidden/>
          </w:rPr>
          <w:tab/>
        </w:r>
        <w:r>
          <w:rPr>
            <w:noProof/>
            <w:webHidden/>
          </w:rPr>
          <w:fldChar w:fldCharType="begin"/>
        </w:r>
        <w:r>
          <w:rPr>
            <w:noProof/>
            <w:webHidden/>
          </w:rPr>
          <w:instrText xml:space="preserve"> PAGEREF _Toc300002299 \h </w:instrText>
        </w:r>
        <w:r>
          <w:rPr>
            <w:noProof/>
            <w:webHidden/>
          </w:rPr>
          <w:fldChar w:fldCharType="separate"/>
        </w:r>
        <w:r>
          <w:rPr>
            <w:noProof/>
            <w:webHidden/>
          </w:rPr>
          <w:t>2249</w:t>
        </w:r>
        <w:r>
          <w:rPr>
            <w:noProof/>
            <w:webHidden/>
          </w:rPr>
          <w:fldChar w:fldCharType="end"/>
        </w:r>
      </w:hyperlink>
    </w:p>
    <w:p>
      <w:pPr>
        <w:pStyle w:val="TOC1"/>
      </w:pPr>
      <w:hyperlink w:anchor="_Toc300002300" w:history="1">
        <w:r>
          <w:rPr>
            <w:noProof/>
          </w:rPr>
          <w:t xml:space="preserve">PACKAGE BF: MINERALS-FOR-FORESTRY NORMALIZATION TRACK</w:t>
        </w:r>
        <w:r>
          <w:rPr>
            <w:noProof/>
            <w:webHidden/>
          </w:rPr>
          <w:tab/>
        </w:r>
        <w:r>
          <w:rPr>
            <w:noProof/>
            <w:webHidden/>
          </w:rPr>
          <w:fldChar w:fldCharType="begin"/>
        </w:r>
        <w:r>
          <w:rPr>
            <w:noProof/>
            <w:webHidden/>
          </w:rPr>
          <w:instrText xml:space="preserve"> PAGEREF _Toc300002300 \h </w:instrText>
        </w:r>
        <w:r>
          <w:rPr>
            <w:noProof/>
            <w:webHidden/>
          </w:rPr>
          <w:fldChar w:fldCharType="separate"/>
        </w:r>
        <w:r>
          <w:rPr>
            <w:noProof/>
            <w:webHidden/>
          </w:rPr>
          <w:t>2263</w:t>
        </w:r>
        <w:r>
          <w:rPr>
            <w:noProof/>
            <w:webHidden/>
          </w:rPr>
          <w:fldChar w:fldCharType="end"/>
        </w:r>
      </w:hyperlink>
    </w:p>
    <w:p>
      <w:pPr>
        <w:pStyle w:val="TOC1"/>
      </w:pPr>
      <w:hyperlink w:anchor="_Toc300002301" w:history="1">
        <w:r>
          <w:rPr>
            <w:noProof/>
          </w:rPr>
          <w:t xml:space="preserve">PACKAGE BG: NORTH AMERICAN AUTOMOTIVE INTEGRATION AND STABILITY FRAMEWORK</w:t>
        </w:r>
        <w:r>
          <w:rPr>
            <w:noProof/>
            <w:webHidden/>
          </w:rPr>
          <w:tab/>
        </w:r>
        <w:r>
          <w:rPr>
            <w:noProof/>
            <w:webHidden/>
          </w:rPr>
          <w:fldChar w:fldCharType="begin"/>
        </w:r>
        <w:r>
          <w:rPr>
            <w:noProof/>
            <w:webHidden/>
          </w:rPr>
          <w:instrText xml:space="preserve"> PAGEREF _Toc300002301 \h </w:instrText>
        </w:r>
        <w:r>
          <w:rPr>
            <w:noProof/>
            <w:webHidden/>
          </w:rPr>
          <w:fldChar w:fldCharType="separate"/>
        </w:r>
        <w:r>
          <w:rPr>
            <w:noProof/>
            <w:webHidden/>
          </w:rPr>
          <w:t>2264</w:t>
        </w:r>
        <w:r>
          <w:rPr>
            <w:noProof/>
            <w:webHidden/>
          </w:rPr>
          <w:fldChar w:fldCharType="end"/>
        </w:r>
      </w:hyperlink>
    </w:p>
    <w:p>
      <w:pPr>
        <w:pStyle w:val="TOC2"/>
      </w:pPr>
      <w:hyperlink w:anchor="_Toc300002302" w:history="1">
        <w:r>
          <w:rPr>
            <w:noProof/>
          </w:rPr>
          <w:t xml:space="preserve">BG-1. Purpose and Coverage</w:t>
        </w:r>
        <w:r>
          <w:rPr>
            <w:noProof/>
            <w:webHidden/>
          </w:rPr>
          <w:tab/>
        </w:r>
        <w:r>
          <w:rPr>
            <w:noProof/>
            <w:webHidden/>
          </w:rPr>
          <w:fldChar w:fldCharType="begin"/>
        </w:r>
        <w:r>
          <w:rPr>
            <w:noProof/>
            <w:webHidden/>
          </w:rPr>
          <w:instrText xml:space="preserve"> PAGEREF _Toc300002302 \h </w:instrText>
        </w:r>
        <w:r>
          <w:rPr>
            <w:noProof/>
            <w:webHidden/>
          </w:rPr>
          <w:fldChar w:fldCharType="separate"/>
        </w:r>
        <w:r>
          <w:rPr>
            <w:noProof/>
            <w:webHidden/>
          </w:rPr>
          <w:t>2264</w:t>
        </w:r>
        <w:r>
          <w:rPr>
            <w:noProof/>
            <w:webHidden/>
          </w:rPr>
          <w:fldChar w:fldCharType="end"/>
        </w:r>
      </w:hyperlink>
    </w:p>
    <w:p>
      <w:pPr>
        <w:pStyle w:val="TOC2"/>
      </w:pPr>
      <w:hyperlink w:anchor="_Toc300002303" w:history="1">
        <w:r>
          <w:rPr>
            <w:noProof/>
          </w:rPr>
          <w:t xml:space="preserve">BG-2. Standard Origin Tier: 75% RVC</w:t>
        </w:r>
        <w:r>
          <w:rPr>
            <w:noProof/>
            <w:webHidden/>
          </w:rPr>
          <w:tab/>
        </w:r>
        <w:r>
          <w:rPr>
            <w:noProof/>
            <w:webHidden/>
          </w:rPr>
          <w:fldChar w:fldCharType="begin"/>
        </w:r>
        <w:r>
          <w:rPr>
            <w:noProof/>
            <w:webHidden/>
          </w:rPr>
          <w:instrText xml:space="preserve"> PAGEREF _Toc300002303 \h </w:instrText>
        </w:r>
        <w:r>
          <w:rPr>
            <w:noProof/>
            <w:webHidden/>
          </w:rPr>
          <w:fldChar w:fldCharType="separate"/>
        </w:r>
        <w:r>
          <w:rPr>
            <w:noProof/>
            <w:webHidden/>
          </w:rPr>
          <w:t>2264</w:t>
        </w:r>
        <w:r>
          <w:rPr>
            <w:noProof/>
            <w:webHidden/>
          </w:rPr>
          <w:fldChar w:fldCharType="end"/>
        </w:r>
      </w:hyperlink>
    </w:p>
    <w:p>
      <w:pPr>
        <w:pStyle w:val="TOC2"/>
      </w:pPr>
      <w:hyperlink w:anchor="_Toc300002304" w:history="1">
        <w:r>
          <w:rPr>
            <w:noProof/>
          </w:rPr>
          <w:t xml:space="preserve">BG-3. High Integration Tier: 80% RVC</w:t>
        </w:r>
        <w:r>
          <w:rPr>
            <w:noProof/>
            <w:webHidden/>
          </w:rPr>
          <w:tab/>
        </w:r>
        <w:r>
          <w:rPr>
            <w:noProof/>
            <w:webHidden/>
          </w:rPr>
          <w:fldChar w:fldCharType="begin"/>
        </w:r>
        <w:r>
          <w:rPr>
            <w:noProof/>
            <w:webHidden/>
          </w:rPr>
          <w:instrText xml:space="preserve"> PAGEREF _Toc300002304 \h </w:instrText>
        </w:r>
        <w:r>
          <w:rPr>
            <w:noProof/>
            <w:webHidden/>
          </w:rPr>
          <w:fldChar w:fldCharType="separate"/>
        </w:r>
        <w:r>
          <w:rPr>
            <w:noProof/>
            <w:webHidden/>
          </w:rPr>
          <w:t>2264</w:t>
        </w:r>
        <w:r>
          <w:rPr>
            <w:noProof/>
            <w:webHidden/>
          </w:rPr>
          <w:fldChar w:fldCharType="end"/>
        </w:r>
      </w:hyperlink>
    </w:p>
    <w:p>
      <w:pPr>
        <w:pStyle w:val="TOC2"/>
      </w:pPr>
      <w:hyperlink w:anchor="_Toc300002305" w:history="1">
        <w:r>
          <w:rPr>
            <w:noProof/>
          </w:rPr>
          <w:t xml:space="preserve">BG-4. Strategic Tier: 85% RVC</w:t>
        </w:r>
        <w:r>
          <w:rPr>
            <w:noProof/>
            <w:webHidden/>
          </w:rPr>
          <w:tab/>
        </w:r>
        <w:r>
          <w:rPr>
            <w:noProof/>
            <w:webHidden/>
          </w:rPr>
          <w:fldChar w:fldCharType="begin"/>
        </w:r>
        <w:r>
          <w:rPr>
            <w:noProof/>
            <w:webHidden/>
          </w:rPr>
          <w:instrText xml:space="preserve"> PAGEREF _Toc300002305 \h </w:instrText>
        </w:r>
        <w:r>
          <w:rPr>
            <w:noProof/>
            <w:webHidden/>
          </w:rPr>
          <w:fldChar w:fldCharType="separate"/>
        </w:r>
        <w:r>
          <w:rPr>
            <w:noProof/>
            <w:webHidden/>
          </w:rPr>
          <w:t>2264</w:t>
        </w:r>
        <w:r>
          <w:rPr>
            <w:noProof/>
            <w:webHidden/>
          </w:rPr>
          <w:fldChar w:fldCharType="end"/>
        </w:r>
      </w:hyperlink>
    </w:p>
    <w:p>
      <w:pPr>
        <w:pStyle w:val="TOC2"/>
      </w:pPr>
      <w:hyperlink w:anchor="_Toc300002306" w:history="1">
        <w:r>
          <w:rPr>
            <w:noProof/>
          </w:rPr>
          <w:t xml:space="preserve">BG-5. No Tariff on Originating Content</w:t>
        </w:r>
        <w:r>
          <w:rPr>
            <w:noProof/>
            <w:webHidden/>
          </w:rPr>
          <w:tab/>
        </w:r>
        <w:r>
          <w:rPr>
            <w:noProof/>
            <w:webHidden/>
          </w:rPr>
          <w:fldChar w:fldCharType="begin"/>
        </w:r>
        <w:r>
          <w:rPr>
            <w:noProof/>
            <w:webHidden/>
          </w:rPr>
          <w:instrText xml:space="preserve"> PAGEREF _Toc300002306 \h </w:instrText>
        </w:r>
        <w:r>
          <w:rPr>
            <w:noProof/>
            <w:webHidden/>
          </w:rPr>
          <w:fldChar w:fldCharType="separate"/>
        </w:r>
        <w:r>
          <w:rPr>
            <w:noProof/>
            <w:webHidden/>
          </w:rPr>
          <w:t>2264</w:t>
        </w:r>
        <w:r>
          <w:rPr>
            <w:noProof/>
            <w:webHidden/>
          </w:rPr>
          <w:fldChar w:fldCharType="end"/>
        </w:r>
      </w:hyperlink>
    </w:p>
    <w:p>
      <w:pPr>
        <w:pStyle w:val="TOC2"/>
      </w:pPr>
      <w:hyperlink w:anchor="_Toc300002307" w:history="1">
        <w:r>
          <w:rPr>
            <w:noProof/>
          </w:rPr>
          <w:t xml:space="preserve">BG-6. No Vehicle-Class Carve-Out</w:t>
        </w:r>
        <w:r>
          <w:rPr>
            <w:noProof/>
            <w:webHidden/>
          </w:rPr>
          <w:tab/>
        </w:r>
        <w:r>
          <w:rPr>
            <w:noProof/>
            <w:webHidden/>
          </w:rPr>
          <w:fldChar w:fldCharType="begin"/>
        </w:r>
        <w:r>
          <w:rPr>
            <w:noProof/>
            <w:webHidden/>
          </w:rPr>
          <w:instrText xml:space="preserve"> PAGEREF _Toc300002307 \h </w:instrText>
        </w:r>
        <w:r>
          <w:rPr>
            <w:noProof/>
            <w:webHidden/>
          </w:rPr>
          <w:fldChar w:fldCharType="separate"/>
        </w:r>
        <w:r>
          <w:rPr>
            <w:noProof/>
            <w:webHidden/>
          </w:rPr>
          <w:t>2265</w:t>
        </w:r>
        <w:r>
          <w:rPr>
            <w:noProof/>
            <w:webHidden/>
          </w:rPr>
          <w:fldChar w:fldCharType="end"/>
        </w:r>
      </w:hyperlink>
    </w:p>
    <w:p>
      <w:pPr>
        <w:pStyle w:val="TOC2"/>
      </w:pPr>
      <w:hyperlink w:anchor="_Toc300002308" w:history="1">
        <w:r>
          <w:rPr>
            <w:noProof/>
          </w:rPr>
          <w:t xml:space="preserve">BG-7. Anti-Reclassification Rule</w:t>
        </w:r>
        <w:r>
          <w:rPr>
            <w:noProof/>
            <w:webHidden/>
          </w:rPr>
          <w:tab/>
        </w:r>
        <w:r>
          <w:rPr>
            <w:noProof/>
            <w:webHidden/>
          </w:rPr>
          <w:fldChar w:fldCharType="begin"/>
        </w:r>
        <w:r>
          <w:rPr>
            <w:noProof/>
            <w:webHidden/>
          </w:rPr>
          <w:instrText xml:space="preserve"> PAGEREF _Toc300002308 \h </w:instrText>
        </w:r>
        <w:r>
          <w:rPr>
            <w:noProof/>
            <w:webHidden/>
          </w:rPr>
          <w:fldChar w:fldCharType="separate"/>
        </w:r>
        <w:r>
          <w:rPr>
            <w:noProof/>
            <w:webHidden/>
          </w:rPr>
          <w:t>2265</w:t>
        </w:r>
        <w:r>
          <w:rPr>
            <w:noProof/>
            <w:webHidden/>
          </w:rPr>
          <w:fldChar w:fldCharType="end"/>
        </w:r>
      </w:hyperlink>
    </w:p>
    <w:p>
      <w:pPr>
        <w:pStyle w:val="TOC2"/>
      </w:pPr>
      <w:hyperlink w:anchor="_Toc300002309" w:history="1">
        <w:r>
          <w:rPr>
            <w:noProof/>
          </w:rPr>
          <w:t xml:space="preserve">BG-8. No Uncompensated Front-Loading</w:t>
        </w:r>
        <w:r>
          <w:rPr>
            <w:noProof/>
            <w:webHidden/>
          </w:rPr>
          <w:tab/>
        </w:r>
        <w:r>
          <w:rPr>
            <w:noProof/>
            <w:webHidden/>
          </w:rPr>
          <w:fldChar w:fldCharType="begin"/>
        </w:r>
        <w:r>
          <w:rPr>
            <w:noProof/>
            <w:webHidden/>
          </w:rPr>
          <w:instrText xml:space="preserve"> PAGEREF _Toc300002309 \h </w:instrText>
        </w:r>
        <w:r>
          <w:rPr>
            <w:noProof/>
            <w:webHidden/>
          </w:rPr>
          <w:fldChar w:fldCharType="separate"/>
        </w:r>
        <w:r>
          <w:rPr>
            <w:noProof/>
            <w:webHidden/>
          </w:rPr>
          <w:t>2265</w:t>
        </w:r>
        <w:r>
          <w:rPr>
            <w:noProof/>
            <w:webHidden/>
          </w:rPr>
          <w:fldChar w:fldCharType="end"/>
        </w:r>
      </w:hyperlink>
    </w:p>
    <w:p>
      <w:pPr>
        <w:pStyle w:val="TOC2"/>
      </w:pPr>
      <w:hyperlink w:anchor="_Toc300002310" w:history="1">
        <w:r>
          <w:rPr>
            <w:noProof/>
          </w:rPr>
          <w:t xml:space="preserve">BG-9. Capacity-Gap Safe Harbour</w:t>
        </w:r>
        <w:r>
          <w:rPr>
            <w:noProof/>
            <w:webHidden/>
          </w:rPr>
          <w:tab/>
        </w:r>
        <w:r>
          <w:rPr>
            <w:noProof/>
            <w:webHidden/>
          </w:rPr>
          <w:fldChar w:fldCharType="begin"/>
        </w:r>
        <w:r>
          <w:rPr>
            <w:noProof/>
            <w:webHidden/>
          </w:rPr>
          <w:instrText xml:space="preserve"> PAGEREF _Toc300002310 \h </w:instrText>
        </w:r>
        <w:r>
          <w:rPr>
            <w:noProof/>
            <w:webHidden/>
          </w:rPr>
          <w:fldChar w:fldCharType="separate"/>
        </w:r>
        <w:r>
          <w:rPr>
            <w:noProof/>
            <w:webHidden/>
          </w:rPr>
          <w:t>2265</w:t>
        </w:r>
        <w:r>
          <w:rPr>
            <w:noProof/>
            <w:webHidden/>
          </w:rPr>
          <w:fldChar w:fldCharType="end"/>
        </w:r>
      </w:hyperlink>
    </w:p>
    <w:p>
      <w:pPr>
        <w:pStyle w:val="TOC2"/>
      </w:pPr>
      <w:hyperlink w:anchor="_Toc300002311" w:history="1">
        <w:r>
          <w:rPr>
            <w:noProof/>
          </w:rPr>
          <w:t xml:space="preserve">BG-10. Trusted External Input Safe Harbour</w:t>
        </w:r>
        <w:r>
          <w:rPr>
            <w:noProof/>
            <w:webHidden/>
          </w:rPr>
          <w:tab/>
        </w:r>
        <w:r>
          <w:rPr>
            <w:noProof/>
            <w:webHidden/>
          </w:rPr>
          <w:fldChar w:fldCharType="begin"/>
        </w:r>
        <w:r>
          <w:rPr>
            <w:noProof/>
            <w:webHidden/>
          </w:rPr>
          <w:instrText xml:space="preserve"> PAGEREF _Toc300002311 \h </w:instrText>
        </w:r>
        <w:r>
          <w:rPr>
            <w:noProof/>
            <w:webHidden/>
          </w:rPr>
          <w:fldChar w:fldCharType="separate"/>
        </w:r>
        <w:r>
          <w:rPr>
            <w:noProof/>
            <w:webHidden/>
          </w:rPr>
          <w:t>2265</w:t>
        </w:r>
        <w:r>
          <w:rPr>
            <w:noProof/>
            <w:webHidden/>
          </w:rPr>
          <w:fldChar w:fldCharType="end"/>
        </w:r>
      </w:hyperlink>
    </w:p>
    <w:p>
      <w:pPr>
        <w:pStyle w:val="TOC2"/>
      </w:pPr>
      <w:hyperlink w:anchor="_Toc300002312" w:history="1">
        <w:r>
          <w:rPr>
            <w:noProof/>
          </w:rPr>
          <w:t xml:space="preserve">BG-11. Digital Origin and Provenance</w:t>
        </w:r>
        <w:r>
          <w:rPr>
            <w:noProof/>
            <w:webHidden/>
          </w:rPr>
          <w:tab/>
        </w:r>
        <w:r>
          <w:rPr>
            <w:noProof/>
            <w:webHidden/>
          </w:rPr>
          <w:fldChar w:fldCharType="begin"/>
        </w:r>
        <w:r>
          <w:rPr>
            <w:noProof/>
            <w:webHidden/>
          </w:rPr>
          <w:instrText xml:space="preserve"> PAGEREF _Toc300002312 \h </w:instrText>
        </w:r>
        <w:r>
          <w:rPr>
            <w:noProof/>
            <w:webHidden/>
          </w:rPr>
          <w:fldChar w:fldCharType="separate"/>
        </w:r>
        <w:r>
          <w:rPr>
            <w:noProof/>
            <w:webHidden/>
          </w:rPr>
          <w:t>2265</w:t>
        </w:r>
        <w:r>
          <w:rPr>
            <w:noProof/>
            <w:webHidden/>
          </w:rPr>
          <w:fldChar w:fldCharType="end"/>
        </w:r>
      </w:hyperlink>
    </w:p>
    <w:p>
      <w:pPr>
        <w:pStyle w:val="TOC2"/>
      </w:pPr>
      <w:hyperlink w:anchor="_Toc300002313" w:history="1">
        <w:r>
          <w:rPr>
            <w:noProof/>
          </w:rPr>
          <w:t xml:space="preserve">BG-12. Transition and Cure Architecture</w:t>
        </w:r>
        <w:r>
          <w:rPr>
            <w:noProof/>
            <w:webHidden/>
          </w:rPr>
          <w:tab/>
        </w:r>
        <w:r>
          <w:rPr>
            <w:noProof/>
            <w:webHidden/>
          </w:rPr>
          <w:fldChar w:fldCharType="begin"/>
        </w:r>
        <w:r>
          <w:rPr>
            <w:noProof/>
            <w:webHidden/>
          </w:rPr>
          <w:instrText xml:space="preserve"> PAGEREF _Toc300002313 \h </w:instrText>
        </w:r>
        <w:r>
          <w:rPr>
            <w:noProof/>
            <w:webHidden/>
          </w:rPr>
          <w:fldChar w:fldCharType="separate"/>
        </w:r>
        <w:r>
          <w:rPr>
            <w:noProof/>
            <w:webHidden/>
          </w:rPr>
          <w:t>2266</w:t>
        </w:r>
        <w:r>
          <w:rPr>
            <w:noProof/>
            <w:webHidden/>
          </w:rPr>
          <w:fldChar w:fldCharType="end"/>
        </w:r>
      </w:hyperlink>
    </w:p>
    <w:p>
      <w:pPr>
        <w:pStyle w:val="TOC2"/>
      </w:pPr>
      <w:hyperlink w:anchor="_Toc300002314" w:history="1">
        <w:r>
          <w:rPr>
            <w:noProof/>
          </w:rPr>
          <w:t xml:space="preserve">BG-13. Automotive Stability Guarantee</w:t>
        </w:r>
        <w:r>
          <w:rPr>
            <w:noProof/>
            <w:webHidden/>
          </w:rPr>
          <w:tab/>
        </w:r>
        <w:r>
          <w:rPr>
            <w:noProof/>
            <w:webHidden/>
          </w:rPr>
          <w:fldChar w:fldCharType="begin"/>
        </w:r>
        <w:r>
          <w:rPr>
            <w:noProof/>
            <w:webHidden/>
          </w:rPr>
          <w:instrText xml:space="preserve"> PAGEREF _Toc300002314 \h </w:instrText>
        </w:r>
        <w:r>
          <w:rPr>
            <w:noProof/>
            <w:webHidden/>
          </w:rPr>
          <w:fldChar w:fldCharType="separate"/>
        </w:r>
        <w:r>
          <w:rPr>
            <w:noProof/>
            <w:webHidden/>
          </w:rPr>
          <w:t>2266</w:t>
        </w:r>
        <w:r>
          <w:rPr>
            <w:noProof/>
            <w:webHidden/>
          </w:rPr>
          <w:fldChar w:fldCharType="end"/>
        </w:r>
      </w:hyperlink>
    </w:p>
    <w:p>
      <w:pPr>
        <w:pStyle w:val="TOC2"/>
      </w:pPr>
      <w:hyperlink w:anchor="_Toc300002315" w:history="1">
        <w:r>
          <w:rPr>
            <w:noProof/>
          </w:rPr>
          <w:t xml:space="preserve">BG-14. Existing-Institution Implementation</w:t>
        </w:r>
        <w:r>
          <w:rPr>
            <w:noProof/>
            <w:webHidden/>
          </w:rPr>
          <w:tab/>
        </w:r>
        <w:r>
          <w:rPr>
            <w:noProof/>
            <w:webHidden/>
          </w:rPr>
          <w:fldChar w:fldCharType="begin"/>
        </w:r>
        <w:r>
          <w:rPr>
            <w:noProof/>
            <w:webHidden/>
          </w:rPr>
          <w:instrText xml:space="preserve"> PAGEREF _Toc300002315 \h </w:instrText>
        </w:r>
        <w:r>
          <w:rPr>
            <w:noProof/>
            <w:webHidden/>
          </w:rPr>
          <w:fldChar w:fldCharType="separate"/>
        </w:r>
        <w:r>
          <w:rPr>
            <w:noProof/>
            <w:webHidden/>
          </w:rPr>
          <w:t>2266</w:t>
        </w:r>
        <w:r>
          <w:rPr>
            <w:noProof/>
            <w:webHidden/>
          </w:rPr>
          <w:fldChar w:fldCharType="end"/>
        </w:r>
      </w:hyperlink>
    </w:p>
    <w:p>
      <w:pPr>
        <w:pStyle w:val="TOC1"/>
      </w:pPr>
      <w:hyperlink w:anchor="_Toc300002316" w:history="1">
        <w:r>
          <w:rPr>
            <w:noProof/>
          </w:rPr>
          <w:t xml:space="preserve">PACKAGE BH: AUTOMOTIVE NEGOTIATION AND IMPLEMENTATION CATALOGUE</w:t>
        </w:r>
        <w:r>
          <w:rPr>
            <w:noProof/>
            <w:webHidden/>
          </w:rPr>
          <w:tab/>
        </w:r>
        <w:r>
          <w:rPr>
            <w:noProof/>
            <w:webHidden/>
          </w:rPr>
          <w:fldChar w:fldCharType="begin"/>
        </w:r>
        <w:r>
          <w:rPr>
            <w:noProof/>
            <w:webHidden/>
          </w:rPr>
          <w:instrText xml:space="preserve"> PAGEREF _Toc300002316 \h </w:instrText>
        </w:r>
        <w:r>
          <w:rPr>
            <w:noProof/>
            <w:webHidden/>
          </w:rPr>
          <w:fldChar w:fldCharType="separate"/>
        </w:r>
        <w:r>
          <w:rPr>
            <w:noProof/>
            <w:webHidden/>
          </w:rPr>
          <w:t>2267</w:t>
        </w:r>
        <w:r>
          <w:rPr>
            <w:noProof/>
            <w:webHidden/>
          </w:rPr>
          <w:fldChar w:fldCharType="end"/>
        </w:r>
      </w:hyperlink>
    </w:p>
    <w:p>
      <w:pPr>
        <w:pStyle w:val="TOC1"/>
      </w:pPr>
      <w:hyperlink w:anchor="_Toc300002317" w:history="1">
        <w:r>
          <w:rPr>
            <w:noProof/>
          </w:rPr>
          <w:t xml:space="preserve">PACKAGE BI: MEDIUM- AND HEAVY-DUTY VEHICLE INTEGRATION TRACK</w:t>
        </w:r>
        <w:r>
          <w:rPr>
            <w:noProof/>
            <w:webHidden/>
          </w:rPr>
          <w:tab/>
        </w:r>
        <w:r>
          <w:rPr>
            <w:noProof/>
            <w:webHidden/>
          </w:rPr>
          <w:fldChar w:fldCharType="begin"/>
        </w:r>
        <w:r>
          <w:rPr>
            <w:noProof/>
            <w:webHidden/>
          </w:rPr>
          <w:instrText xml:space="preserve"> PAGEREF _Toc300002317 \h </w:instrText>
        </w:r>
        <w:r>
          <w:rPr>
            <w:noProof/>
            <w:webHidden/>
          </w:rPr>
          <w:fldChar w:fldCharType="separate"/>
        </w:r>
        <w:r>
          <w:rPr>
            <w:noProof/>
            <w:webHidden/>
          </w:rPr>
          <w:t>2277</w:t>
        </w:r>
        <w:r>
          <w:rPr>
            <w:noProof/>
            <w:webHidden/>
          </w:rPr>
          <w:fldChar w:fldCharType="end"/>
        </w:r>
      </w:hyperlink>
    </w:p>
    <w:p>
      <w:pPr>
        <w:pStyle w:val="TOC2"/>
      </w:pPr>
      <w:hyperlink w:anchor="_Toc300002318" w:history="1">
        <w:r>
          <w:rPr>
            <w:noProof/>
          </w:rPr>
          <w:t xml:space="preserve">BI-1. Express Heavy-Truck Coverage</w:t>
        </w:r>
        <w:r>
          <w:rPr>
            <w:noProof/>
            <w:webHidden/>
          </w:rPr>
          <w:tab/>
        </w:r>
        <w:r>
          <w:rPr>
            <w:noProof/>
            <w:webHidden/>
          </w:rPr>
          <w:fldChar w:fldCharType="begin"/>
        </w:r>
        <w:r>
          <w:rPr>
            <w:noProof/>
            <w:webHidden/>
          </w:rPr>
          <w:instrText xml:space="preserve"> PAGEREF _Toc300002318 \h </w:instrText>
        </w:r>
        <w:r>
          <w:rPr>
            <w:noProof/>
            <w:webHidden/>
          </w:rPr>
          <w:fldChar w:fldCharType="separate"/>
        </w:r>
        <w:r>
          <w:rPr>
            <w:noProof/>
            <w:webHidden/>
          </w:rPr>
          <w:t>2277</w:t>
        </w:r>
        <w:r>
          <w:rPr>
            <w:noProof/>
            <w:webHidden/>
          </w:rPr>
          <w:fldChar w:fldCharType="end"/>
        </w:r>
      </w:hyperlink>
    </w:p>
    <w:p>
      <w:pPr>
        <w:pStyle w:val="TOC2"/>
      </w:pPr>
      <w:hyperlink w:anchor="_Toc300002319" w:history="1">
        <w:r>
          <w:rPr>
            <w:noProof/>
          </w:rPr>
          <w:t xml:space="preserve">BI-2. Heavy-Truck Origin Application</w:t>
        </w:r>
        <w:r>
          <w:rPr>
            <w:noProof/>
            <w:webHidden/>
          </w:rPr>
          <w:tab/>
        </w:r>
        <w:r>
          <w:rPr>
            <w:noProof/>
            <w:webHidden/>
          </w:rPr>
          <w:fldChar w:fldCharType="begin"/>
        </w:r>
        <w:r>
          <w:rPr>
            <w:noProof/>
            <w:webHidden/>
          </w:rPr>
          <w:instrText xml:space="preserve"> PAGEREF _Toc300002319 \h </w:instrText>
        </w:r>
        <w:r>
          <w:rPr>
            <w:noProof/>
            <w:webHidden/>
          </w:rPr>
          <w:fldChar w:fldCharType="separate"/>
        </w:r>
        <w:r>
          <w:rPr>
            <w:noProof/>
            <w:webHidden/>
          </w:rPr>
          <w:t>2277</w:t>
        </w:r>
        <w:r>
          <w:rPr>
            <w:noProof/>
            <w:webHidden/>
          </w:rPr>
          <w:fldChar w:fldCharType="end"/>
        </w:r>
      </w:hyperlink>
    </w:p>
    <w:p>
      <w:pPr>
        <w:pStyle w:val="TOC2"/>
      </w:pPr>
      <w:hyperlink w:anchor="_Toc300002320" w:history="1">
        <w:r>
          <w:rPr>
            <w:noProof/>
          </w:rPr>
          <w:t xml:space="preserve">BI-3. Vocational Vehicle Recognition</w:t>
        </w:r>
        <w:r>
          <w:rPr>
            <w:noProof/>
            <w:webHidden/>
          </w:rPr>
          <w:tab/>
        </w:r>
        <w:r>
          <w:rPr>
            <w:noProof/>
            <w:webHidden/>
          </w:rPr>
          <w:fldChar w:fldCharType="begin"/>
        </w:r>
        <w:r>
          <w:rPr>
            <w:noProof/>
            <w:webHidden/>
          </w:rPr>
          <w:instrText xml:space="preserve"> PAGEREF _Toc300002320 \h </w:instrText>
        </w:r>
        <w:r>
          <w:rPr>
            <w:noProof/>
            <w:webHidden/>
          </w:rPr>
          <w:fldChar w:fldCharType="separate"/>
        </w:r>
        <w:r>
          <w:rPr>
            <w:noProof/>
            <w:webHidden/>
          </w:rPr>
          <w:t>2277</w:t>
        </w:r>
        <w:r>
          <w:rPr>
            <w:noProof/>
            <w:webHidden/>
          </w:rPr>
          <w:fldChar w:fldCharType="end"/>
        </w:r>
      </w:hyperlink>
    </w:p>
    <w:p>
      <w:pPr>
        <w:pStyle w:val="TOC2"/>
      </w:pPr>
      <w:hyperlink w:anchor="_Toc300002321" w:history="1">
        <w:r>
          <w:rPr>
            <w:noProof/>
          </w:rPr>
          <w:t xml:space="preserve">BI-4. Corridor Interoperability</w:t>
        </w:r>
        <w:r>
          <w:rPr>
            <w:noProof/>
            <w:webHidden/>
          </w:rPr>
          <w:tab/>
        </w:r>
        <w:r>
          <w:rPr>
            <w:noProof/>
            <w:webHidden/>
          </w:rPr>
          <w:fldChar w:fldCharType="begin"/>
        </w:r>
        <w:r>
          <w:rPr>
            <w:noProof/>
            <w:webHidden/>
          </w:rPr>
          <w:instrText xml:space="preserve"> PAGEREF _Toc300002321 \h </w:instrText>
        </w:r>
        <w:r>
          <w:rPr>
            <w:noProof/>
            <w:webHidden/>
          </w:rPr>
          <w:fldChar w:fldCharType="separate"/>
        </w:r>
        <w:r>
          <w:rPr>
            <w:noProof/>
            <w:webHidden/>
          </w:rPr>
          <w:t>2277</w:t>
        </w:r>
        <w:r>
          <w:rPr>
            <w:noProof/>
            <w:webHidden/>
          </w:rPr>
          <w:fldChar w:fldCharType="end"/>
        </w:r>
      </w:hyperlink>
    </w:p>
    <w:p>
      <w:pPr>
        <w:pStyle w:val="TOC2"/>
      </w:pPr>
      <w:hyperlink w:anchor="_Toc300002322" w:history="1">
        <w:r>
          <w:rPr>
            <w:noProof/>
          </w:rPr>
          <w:t xml:space="preserve">BI-5. Remanufacturing and Circularity</w:t>
        </w:r>
        <w:r>
          <w:rPr>
            <w:noProof/>
            <w:webHidden/>
          </w:rPr>
          <w:tab/>
        </w:r>
        <w:r>
          <w:rPr>
            <w:noProof/>
            <w:webHidden/>
          </w:rPr>
          <w:fldChar w:fldCharType="begin"/>
        </w:r>
        <w:r>
          <w:rPr>
            <w:noProof/>
            <w:webHidden/>
          </w:rPr>
          <w:instrText xml:space="preserve"> PAGEREF _Toc300002322 \h </w:instrText>
        </w:r>
        <w:r>
          <w:rPr>
            <w:noProof/>
            <w:webHidden/>
          </w:rPr>
          <w:fldChar w:fldCharType="separate"/>
        </w:r>
        <w:r>
          <w:rPr>
            <w:noProof/>
            <w:webHidden/>
          </w:rPr>
          <w:t>2277</w:t>
        </w:r>
        <w:r>
          <w:rPr>
            <w:noProof/>
            <w:webHidden/>
          </w:rPr>
          <w:fldChar w:fldCharType="end"/>
        </w:r>
      </w:hyperlink>
    </w:p>
    <w:p>
      <w:pPr>
        <w:pStyle w:val="TOC2"/>
      </w:pPr>
      <w:hyperlink w:anchor="_Toc300002323" w:history="1">
        <w:r>
          <w:rPr>
            <w:noProof/>
          </w:rPr>
          <w:t xml:space="preserve">BI-6. Connected-Truck Cybersecurity</w:t>
        </w:r>
        <w:r>
          <w:rPr>
            <w:noProof/>
            <w:webHidden/>
          </w:rPr>
          <w:tab/>
        </w:r>
        <w:r>
          <w:rPr>
            <w:noProof/>
            <w:webHidden/>
          </w:rPr>
          <w:fldChar w:fldCharType="begin"/>
        </w:r>
        <w:r>
          <w:rPr>
            <w:noProof/>
            <w:webHidden/>
          </w:rPr>
          <w:instrText xml:space="preserve"> PAGEREF _Toc300002323 \h </w:instrText>
        </w:r>
        <w:r>
          <w:rPr>
            <w:noProof/>
            <w:webHidden/>
          </w:rPr>
          <w:fldChar w:fldCharType="separate"/>
        </w:r>
        <w:r>
          <w:rPr>
            <w:noProof/>
            <w:webHidden/>
          </w:rPr>
          <w:t>2277</w:t>
        </w:r>
        <w:r>
          <w:rPr>
            <w:noProof/>
            <w:webHidden/>
          </w:rPr>
          <w:fldChar w:fldCharType="end"/>
        </w:r>
      </w:hyperlink>
    </w:p>
    <w:p>
      <w:pPr>
        <w:pStyle w:val="TOC2"/>
      </w:pPr>
      <w:hyperlink w:anchor="_Toc300002324" w:history="1">
        <w:r>
          <w:rPr>
            <w:noProof/>
          </w:rPr>
          <w:t xml:space="preserve">BI-7. Cold-Climate Validation</w:t>
        </w:r>
        <w:r>
          <w:rPr>
            <w:noProof/>
            <w:webHidden/>
          </w:rPr>
          <w:tab/>
        </w:r>
        <w:r>
          <w:rPr>
            <w:noProof/>
            <w:webHidden/>
          </w:rPr>
          <w:fldChar w:fldCharType="begin"/>
        </w:r>
        <w:r>
          <w:rPr>
            <w:noProof/>
            <w:webHidden/>
          </w:rPr>
          <w:instrText xml:space="preserve"> PAGEREF _Toc300002324 \h </w:instrText>
        </w:r>
        <w:r>
          <w:rPr>
            <w:noProof/>
            <w:webHidden/>
          </w:rPr>
          <w:fldChar w:fldCharType="separate"/>
        </w:r>
        <w:r>
          <w:rPr>
            <w:noProof/>
            <w:webHidden/>
          </w:rPr>
          <w:t>2278</w:t>
        </w:r>
        <w:r>
          <w:rPr>
            <w:noProof/>
            <w:webHidden/>
          </w:rPr>
          <w:fldChar w:fldCharType="end"/>
        </w:r>
      </w:hyperlink>
    </w:p>
    <w:p>
      <w:pPr>
        <w:pStyle w:val="TOC2"/>
      </w:pPr>
      <w:hyperlink w:anchor="_Toc300002325" w:history="1">
        <w:r>
          <w:rPr>
            <w:noProof/>
          </w:rPr>
          <w:t xml:space="preserve">BI-8. Emergency Freight Continuity</w:t>
        </w:r>
        <w:r>
          <w:rPr>
            <w:noProof/>
            <w:webHidden/>
          </w:rPr>
          <w:tab/>
        </w:r>
        <w:r>
          <w:rPr>
            <w:noProof/>
            <w:webHidden/>
          </w:rPr>
          <w:fldChar w:fldCharType="begin"/>
        </w:r>
        <w:r>
          <w:rPr>
            <w:noProof/>
            <w:webHidden/>
          </w:rPr>
          <w:instrText xml:space="preserve"> PAGEREF _Toc300002325 \h </w:instrText>
        </w:r>
        <w:r>
          <w:rPr>
            <w:noProof/>
            <w:webHidden/>
          </w:rPr>
          <w:fldChar w:fldCharType="separate"/>
        </w:r>
        <w:r>
          <w:rPr>
            <w:noProof/>
            <w:webHidden/>
          </w:rPr>
          <w:t>2278</w:t>
        </w:r>
        <w:r>
          <w:rPr>
            <w:noProof/>
            <w:webHidden/>
          </w:rPr>
          <w:fldChar w:fldCharType="end"/>
        </w:r>
      </w:hyperlink>
    </w:p>
    <w:p>
      <w:pPr>
        <w:pStyle w:val="TOC1"/>
      </w:pPr>
      <w:hyperlink w:anchor="_Toc300002326" w:history="1">
        <w:r>
          <w:rPr>
            <w:noProof/>
          </w:rPr>
          <w:t xml:space="preserve">PACKAGE BJ: HEAVY-TRUCK NEGOTIATION CATALOGUE</w:t>
        </w:r>
        <w:r>
          <w:rPr>
            <w:noProof/>
            <w:webHidden/>
          </w:rPr>
          <w:tab/>
        </w:r>
        <w:r>
          <w:rPr>
            <w:noProof/>
            <w:webHidden/>
          </w:rPr>
          <w:fldChar w:fldCharType="begin"/>
        </w:r>
        <w:r>
          <w:rPr>
            <w:noProof/>
            <w:webHidden/>
          </w:rPr>
          <w:instrText xml:space="preserve"> PAGEREF _Toc300002326 \h </w:instrText>
        </w:r>
        <w:r>
          <w:rPr>
            <w:noProof/>
            <w:webHidden/>
          </w:rPr>
          <w:fldChar w:fldCharType="separate"/>
        </w:r>
        <w:r>
          <w:rPr>
            <w:noProof/>
            <w:webHidden/>
          </w:rPr>
          <w:t>2279</w:t>
        </w:r>
        <w:r>
          <w:rPr>
            <w:noProof/>
            <w:webHidden/>
          </w:rPr>
          <w:fldChar w:fldCharType="end"/>
        </w:r>
      </w:hyperlink>
    </w:p>
    <w:p>
      <w:pPr>
        <w:pStyle w:val="TOC1"/>
      </w:pPr>
      <w:hyperlink w:anchor="_Toc300002327" w:history="1">
        <w:r>
          <w:rPr>
            <w:noProof/>
          </w:rPr>
          <w:t xml:space="preserve">PACKAGE BK: NORTH AMERICAN COMMERCIAL VEHICLE SAFETY EQUIVALENCE FRAMEWORK</w:t>
        </w:r>
        <w:r>
          <w:rPr>
            <w:noProof/>
            <w:webHidden/>
          </w:rPr>
          <w:tab/>
        </w:r>
        <w:r>
          <w:rPr>
            <w:noProof/>
            <w:webHidden/>
          </w:rPr>
          <w:fldChar w:fldCharType="begin"/>
        </w:r>
        <w:r>
          <w:rPr>
            <w:noProof/>
            <w:webHidden/>
          </w:rPr>
          <w:instrText xml:space="preserve"> PAGEREF _Toc300002327 \h </w:instrText>
        </w:r>
        <w:r>
          <w:rPr>
            <w:noProof/>
            <w:webHidden/>
          </w:rPr>
          <w:fldChar w:fldCharType="separate"/>
        </w:r>
        <w:r>
          <w:rPr>
            <w:noProof/>
            <w:webHidden/>
          </w:rPr>
          <w:t>2284</w:t>
        </w:r>
        <w:r>
          <w:rPr>
            <w:noProof/>
            <w:webHidden/>
          </w:rPr>
          <w:fldChar w:fldCharType="end"/>
        </w:r>
      </w:hyperlink>
    </w:p>
    <w:p>
      <w:pPr>
        <w:pStyle w:val="TOC2"/>
      </w:pPr>
      <w:hyperlink w:anchor="_Toc300002328" w:history="1">
        <w:r>
          <w:rPr>
            <w:noProof/>
          </w:rPr>
          <w:t xml:space="preserve">BK-1. Safety-Equivalent Market Access</w:t>
        </w:r>
        <w:r>
          <w:rPr>
            <w:noProof/>
            <w:webHidden/>
          </w:rPr>
          <w:tab/>
        </w:r>
        <w:r>
          <w:rPr>
            <w:noProof/>
            <w:webHidden/>
          </w:rPr>
          <w:fldChar w:fldCharType="begin"/>
        </w:r>
        <w:r>
          <w:rPr>
            <w:noProof/>
            <w:webHidden/>
          </w:rPr>
          <w:instrText xml:space="preserve"> PAGEREF _Toc300002328 \h </w:instrText>
        </w:r>
        <w:r>
          <w:rPr>
            <w:noProof/>
            <w:webHidden/>
          </w:rPr>
          <w:fldChar w:fldCharType="separate"/>
        </w:r>
        <w:r>
          <w:rPr>
            <w:noProof/>
            <w:webHidden/>
          </w:rPr>
          <w:t>2284</w:t>
        </w:r>
        <w:r>
          <w:rPr>
            <w:noProof/>
            <w:webHidden/>
          </w:rPr>
          <w:fldChar w:fldCharType="end"/>
        </w:r>
      </w:hyperlink>
    </w:p>
    <w:p>
      <w:pPr>
        <w:pStyle w:val="TOC2"/>
      </w:pPr>
      <w:hyperlink w:anchor="_Toc300002329" w:history="1">
        <w:r>
          <w:rPr>
            <w:noProof/>
          </w:rPr>
          <w:t xml:space="preserve">BK-2. Risk-Based Enforcement</w:t>
        </w:r>
        <w:r>
          <w:rPr>
            <w:noProof/>
            <w:webHidden/>
          </w:rPr>
          <w:tab/>
        </w:r>
        <w:r>
          <w:rPr>
            <w:noProof/>
            <w:webHidden/>
          </w:rPr>
          <w:fldChar w:fldCharType="begin"/>
        </w:r>
        <w:r>
          <w:rPr>
            <w:noProof/>
            <w:webHidden/>
          </w:rPr>
          <w:instrText xml:space="preserve"> PAGEREF _Toc300002329 \h </w:instrText>
        </w:r>
        <w:r>
          <w:rPr>
            <w:noProof/>
            <w:webHidden/>
          </w:rPr>
          <w:fldChar w:fldCharType="separate"/>
        </w:r>
        <w:r>
          <w:rPr>
            <w:noProof/>
            <w:webHidden/>
          </w:rPr>
          <w:t>2284</w:t>
        </w:r>
        <w:r>
          <w:rPr>
            <w:noProof/>
            <w:webHidden/>
          </w:rPr>
          <w:fldChar w:fldCharType="end"/>
        </w:r>
      </w:hyperlink>
    </w:p>
    <w:p>
      <w:pPr>
        <w:pStyle w:val="TOC2"/>
      </w:pPr>
      <w:hyperlink w:anchor="_Toc300002330" w:history="1">
        <w:r>
          <w:rPr>
            <w:noProof/>
          </w:rPr>
          <w:t xml:space="preserve">BK-3. Carrier Scheduling Responsibility</w:t>
        </w:r>
        <w:r>
          <w:rPr>
            <w:noProof/>
            <w:webHidden/>
          </w:rPr>
          <w:tab/>
        </w:r>
        <w:r>
          <w:rPr>
            <w:noProof/>
            <w:webHidden/>
          </w:rPr>
          <w:fldChar w:fldCharType="begin"/>
        </w:r>
        <w:r>
          <w:rPr>
            <w:noProof/>
            <w:webHidden/>
          </w:rPr>
          <w:instrText xml:space="preserve"> PAGEREF _Toc300002330 \h </w:instrText>
        </w:r>
        <w:r>
          <w:rPr>
            <w:noProof/>
            <w:webHidden/>
          </w:rPr>
          <w:fldChar w:fldCharType="separate"/>
        </w:r>
        <w:r>
          <w:rPr>
            <w:noProof/>
            <w:webHidden/>
          </w:rPr>
          <w:t>2284</w:t>
        </w:r>
        <w:r>
          <w:rPr>
            <w:noProof/>
            <w:webHidden/>
          </w:rPr>
          <w:fldChar w:fldCharType="end"/>
        </w:r>
      </w:hyperlink>
    </w:p>
    <w:p>
      <w:pPr>
        <w:pStyle w:val="TOC2"/>
      </w:pPr>
      <w:hyperlink w:anchor="_Toc300002331" w:history="1">
        <w:r>
          <w:rPr>
            <w:noProof/>
          </w:rPr>
          <w:t xml:space="preserve">BK-4. On-Duty Waiting Rule</w:t>
        </w:r>
        <w:r>
          <w:rPr>
            <w:noProof/>
            <w:webHidden/>
          </w:rPr>
          <w:tab/>
        </w:r>
        <w:r>
          <w:rPr>
            <w:noProof/>
            <w:webHidden/>
          </w:rPr>
          <w:fldChar w:fldCharType="begin"/>
        </w:r>
        <w:r>
          <w:rPr>
            <w:noProof/>
            <w:webHidden/>
          </w:rPr>
          <w:instrText xml:space="preserve"> PAGEREF _Toc300002331 \h </w:instrText>
        </w:r>
        <w:r>
          <w:rPr>
            <w:noProof/>
            <w:webHidden/>
          </w:rPr>
          <w:fldChar w:fldCharType="separate"/>
        </w:r>
        <w:r>
          <w:rPr>
            <w:noProof/>
            <w:webHidden/>
          </w:rPr>
          <w:t>2284</w:t>
        </w:r>
        <w:r>
          <w:rPr>
            <w:noProof/>
            <w:webHidden/>
          </w:rPr>
          <w:fldChar w:fldCharType="end"/>
        </w:r>
      </w:hyperlink>
    </w:p>
    <w:p>
      <w:pPr>
        <w:pStyle w:val="TOC2"/>
      </w:pPr>
      <w:hyperlink w:anchor="_Toc300002332" w:history="1">
        <w:r>
          <w:rPr>
            <w:noProof/>
          </w:rPr>
          <w:t xml:space="preserve">BK-5. Anti-Coercion Dispatch Rule</w:t>
        </w:r>
        <w:r>
          <w:rPr>
            <w:noProof/>
            <w:webHidden/>
          </w:rPr>
          <w:tab/>
        </w:r>
        <w:r>
          <w:rPr>
            <w:noProof/>
            <w:webHidden/>
          </w:rPr>
          <w:fldChar w:fldCharType="begin"/>
        </w:r>
        <w:r>
          <w:rPr>
            <w:noProof/>
            <w:webHidden/>
          </w:rPr>
          <w:instrText xml:space="preserve"> PAGEREF _Toc300002332 \h </w:instrText>
        </w:r>
        <w:r>
          <w:rPr>
            <w:noProof/>
            <w:webHidden/>
          </w:rPr>
          <w:fldChar w:fldCharType="separate"/>
        </w:r>
        <w:r>
          <w:rPr>
            <w:noProof/>
            <w:webHidden/>
          </w:rPr>
          <w:t>2284</w:t>
        </w:r>
        <w:r>
          <w:rPr>
            <w:noProof/>
            <w:webHidden/>
          </w:rPr>
          <w:fldChar w:fldCharType="end"/>
        </w:r>
      </w:hyperlink>
    </w:p>
    <w:p>
      <w:pPr>
        <w:pStyle w:val="TOC2"/>
      </w:pPr>
      <w:hyperlink w:anchor="_Toc300002333" w:history="1">
        <w:r>
          <w:rPr>
            <w:noProof/>
          </w:rPr>
          <w:t xml:space="preserve">BK-6. Safety Stop Right</w:t>
        </w:r>
        <w:r>
          <w:rPr>
            <w:noProof/>
            <w:webHidden/>
          </w:rPr>
          <w:tab/>
        </w:r>
        <w:r>
          <w:rPr>
            <w:noProof/>
            <w:webHidden/>
          </w:rPr>
          <w:fldChar w:fldCharType="begin"/>
        </w:r>
        <w:r>
          <w:rPr>
            <w:noProof/>
            <w:webHidden/>
          </w:rPr>
          <w:instrText xml:space="preserve"> PAGEREF _Toc300002333 \h </w:instrText>
        </w:r>
        <w:r>
          <w:rPr>
            <w:noProof/>
            <w:webHidden/>
          </w:rPr>
          <w:fldChar w:fldCharType="separate"/>
        </w:r>
        <w:r>
          <w:rPr>
            <w:noProof/>
            <w:webHidden/>
          </w:rPr>
          <w:t>2284</w:t>
        </w:r>
        <w:r>
          <w:rPr>
            <w:noProof/>
            <w:webHidden/>
          </w:rPr>
          <w:fldChar w:fldCharType="end"/>
        </w:r>
      </w:hyperlink>
    </w:p>
    <w:p>
      <w:pPr>
        <w:pStyle w:val="TOC2"/>
      </w:pPr>
      <w:hyperlink w:anchor="_Toc300002334" w:history="1">
        <w:r>
          <w:rPr>
            <w:noProof/>
          </w:rPr>
          <w:t xml:space="preserve">BK-7. Unsafe Incentive Prohibition</w:t>
        </w:r>
        <w:r>
          <w:rPr>
            <w:noProof/>
            <w:webHidden/>
          </w:rPr>
          <w:tab/>
        </w:r>
        <w:r>
          <w:rPr>
            <w:noProof/>
            <w:webHidden/>
          </w:rPr>
          <w:fldChar w:fldCharType="begin"/>
        </w:r>
        <w:r>
          <w:rPr>
            <w:noProof/>
            <w:webHidden/>
          </w:rPr>
          <w:instrText xml:space="preserve"> PAGEREF _Toc300002334 \h </w:instrText>
        </w:r>
        <w:r>
          <w:rPr>
            <w:noProof/>
            <w:webHidden/>
          </w:rPr>
          <w:fldChar w:fldCharType="separate"/>
        </w:r>
        <w:r>
          <w:rPr>
            <w:noProof/>
            <w:webHidden/>
          </w:rPr>
          <w:t>2285</w:t>
        </w:r>
        <w:r>
          <w:rPr>
            <w:noProof/>
            <w:webHidden/>
          </w:rPr>
          <w:fldChar w:fldCharType="end"/>
        </w:r>
      </w:hyperlink>
    </w:p>
    <w:p>
      <w:pPr>
        <w:pStyle w:val="TOC2"/>
      </w:pPr>
      <w:hyperlink w:anchor="_Toc300002335" w:history="1">
        <w:r>
          <w:rPr>
            <w:noProof/>
          </w:rPr>
          <w:t xml:space="preserve">BK-8. Critical Defect No-Dispatch Rule</w:t>
        </w:r>
        <w:r>
          <w:rPr>
            <w:noProof/>
            <w:webHidden/>
          </w:rPr>
          <w:tab/>
        </w:r>
        <w:r>
          <w:rPr>
            <w:noProof/>
            <w:webHidden/>
          </w:rPr>
          <w:fldChar w:fldCharType="begin"/>
        </w:r>
        <w:r>
          <w:rPr>
            <w:noProof/>
            <w:webHidden/>
          </w:rPr>
          <w:instrText xml:space="preserve"> PAGEREF _Toc300002335 \h </w:instrText>
        </w:r>
        <w:r>
          <w:rPr>
            <w:noProof/>
            <w:webHidden/>
          </w:rPr>
          <w:fldChar w:fldCharType="separate"/>
        </w:r>
        <w:r>
          <w:rPr>
            <w:noProof/>
            <w:webHidden/>
          </w:rPr>
          <w:t>2285</w:t>
        </w:r>
        <w:r>
          <w:rPr>
            <w:noProof/>
            <w:webHidden/>
          </w:rPr>
          <w:fldChar w:fldCharType="end"/>
        </w:r>
      </w:hyperlink>
    </w:p>
    <w:p>
      <w:pPr>
        <w:pStyle w:val="TOC2"/>
      </w:pPr>
      <w:hyperlink w:anchor="_Toc300002336" w:history="1">
        <w:r>
          <w:rPr>
            <w:noProof/>
          </w:rPr>
          <w:t xml:space="preserve">BK-9. Carrier Knowledge Liability</w:t>
        </w:r>
        <w:r>
          <w:rPr>
            <w:noProof/>
            <w:webHidden/>
          </w:rPr>
          <w:tab/>
        </w:r>
        <w:r>
          <w:rPr>
            <w:noProof/>
            <w:webHidden/>
          </w:rPr>
          <w:fldChar w:fldCharType="begin"/>
        </w:r>
        <w:r>
          <w:rPr>
            <w:noProof/>
            <w:webHidden/>
          </w:rPr>
          <w:instrText xml:space="preserve"> PAGEREF _Toc300002336 \h </w:instrText>
        </w:r>
        <w:r>
          <w:rPr>
            <w:noProof/>
            <w:webHidden/>
          </w:rPr>
          <w:fldChar w:fldCharType="separate"/>
        </w:r>
        <w:r>
          <w:rPr>
            <w:noProof/>
            <w:webHidden/>
          </w:rPr>
          <w:t>2285</w:t>
        </w:r>
        <w:r>
          <w:rPr>
            <w:noProof/>
            <w:webHidden/>
          </w:rPr>
          <w:fldChar w:fldCharType="end"/>
        </w:r>
      </w:hyperlink>
    </w:p>
    <w:p>
      <w:pPr>
        <w:pStyle w:val="TOC2"/>
      </w:pPr>
      <w:hyperlink w:anchor="_Toc300002337" w:history="1">
        <w:r>
          <w:rPr>
            <w:noProof/>
          </w:rPr>
          <w:t xml:space="preserve">BK-10. Privacy and Minimum-Data Firewall</w:t>
        </w:r>
        <w:r>
          <w:rPr>
            <w:noProof/>
            <w:webHidden/>
          </w:rPr>
          <w:tab/>
        </w:r>
        <w:r>
          <w:rPr>
            <w:noProof/>
            <w:webHidden/>
          </w:rPr>
          <w:fldChar w:fldCharType="begin"/>
        </w:r>
        <w:r>
          <w:rPr>
            <w:noProof/>
            <w:webHidden/>
          </w:rPr>
          <w:instrText xml:space="preserve"> PAGEREF _Toc300002337 \h </w:instrText>
        </w:r>
        <w:r>
          <w:rPr>
            <w:noProof/>
            <w:webHidden/>
          </w:rPr>
          <w:fldChar w:fldCharType="separate"/>
        </w:r>
        <w:r>
          <w:rPr>
            <w:noProof/>
            <w:webHidden/>
          </w:rPr>
          <w:t>2285</w:t>
        </w:r>
        <w:r>
          <w:rPr>
            <w:noProof/>
            <w:webHidden/>
          </w:rPr>
          <w:fldChar w:fldCharType="end"/>
        </w:r>
      </w:hyperlink>
    </w:p>
    <w:p>
      <w:pPr>
        <w:pStyle w:val="TOC2"/>
      </w:pPr>
      <w:hyperlink w:anchor="_Toc300002338" w:history="1">
        <w:r>
          <w:rPr>
            <w:noProof/>
          </w:rPr>
          <w:t xml:space="preserve">BK-11. Technical Update Method</w:t>
        </w:r>
        <w:r>
          <w:rPr>
            <w:noProof/>
            <w:webHidden/>
          </w:rPr>
          <w:tab/>
        </w:r>
        <w:r>
          <w:rPr>
            <w:noProof/>
            <w:webHidden/>
          </w:rPr>
          <w:fldChar w:fldCharType="begin"/>
        </w:r>
        <w:r>
          <w:rPr>
            <w:noProof/>
            <w:webHidden/>
          </w:rPr>
          <w:instrText xml:space="preserve"> PAGEREF _Toc300002338 \h </w:instrText>
        </w:r>
        <w:r>
          <w:rPr>
            <w:noProof/>
            <w:webHidden/>
          </w:rPr>
          <w:fldChar w:fldCharType="separate"/>
        </w:r>
        <w:r>
          <w:rPr>
            <w:noProof/>
            <w:webHidden/>
          </w:rPr>
          <w:t>2285</w:t>
        </w:r>
        <w:r>
          <w:rPr>
            <w:noProof/>
            <w:webHidden/>
          </w:rPr>
          <w:fldChar w:fldCharType="end"/>
        </w:r>
      </w:hyperlink>
    </w:p>
    <w:p>
      <w:pPr>
        <w:pStyle w:val="TOC2"/>
      </w:pPr>
      <w:hyperlink w:anchor="_Toc300002339" w:history="1">
        <w:r>
          <w:rPr>
            <w:noProof/>
          </w:rPr>
          <w:t xml:space="preserve">BK-12. Federalism and Competent Authorities</w:t>
        </w:r>
        <w:r>
          <w:rPr>
            <w:noProof/>
            <w:webHidden/>
          </w:rPr>
          <w:tab/>
        </w:r>
        <w:r>
          <w:rPr>
            <w:noProof/>
            <w:webHidden/>
          </w:rPr>
          <w:fldChar w:fldCharType="begin"/>
        </w:r>
        <w:r>
          <w:rPr>
            <w:noProof/>
            <w:webHidden/>
          </w:rPr>
          <w:instrText xml:space="preserve"> PAGEREF _Toc300002339 \h </w:instrText>
        </w:r>
        <w:r>
          <w:rPr>
            <w:noProof/>
            <w:webHidden/>
          </w:rPr>
          <w:fldChar w:fldCharType="separate"/>
        </w:r>
        <w:r>
          <w:rPr>
            <w:noProof/>
            <w:webHidden/>
          </w:rPr>
          <w:t>2285</w:t>
        </w:r>
        <w:r>
          <w:rPr>
            <w:noProof/>
            <w:webHidden/>
          </w:rPr>
          <w:fldChar w:fldCharType="end"/>
        </w:r>
      </w:hyperlink>
    </w:p>
    <w:p>
      <w:pPr>
        <w:pStyle w:val="TOC1"/>
      </w:pPr>
      <w:hyperlink w:anchor="_Toc300002340" w:history="1">
        <w:r>
          <w:rPr>
            <w:noProof/>
          </w:rPr>
          <w:t xml:space="preserve">PACKAGE BL: COMMERCIAL VEHICLE SAFETY IMPLEMENTATION CATALOGUE</w:t>
        </w:r>
        <w:r>
          <w:rPr>
            <w:noProof/>
            <w:webHidden/>
          </w:rPr>
          <w:tab/>
        </w:r>
        <w:r>
          <w:rPr>
            <w:noProof/>
            <w:webHidden/>
          </w:rPr>
          <w:fldChar w:fldCharType="begin"/>
        </w:r>
        <w:r>
          <w:rPr>
            <w:noProof/>
            <w:webHidden/>
          </w:rPr>
          <w:instrText xml:space="preserve"> PAGEREF _Toc300002340 \h </w:instrText>
        </w:r>
        <w:r>
          <w:rPr>
            <w:noProof/>
            <w:webHidden/>
          </w:rPr>
          <w:fldChar w:fldCharType="separate"/>
        </w:r>
        <w:r>
          <w:rPr>
            <w:noProof/>
            <w:webHidden/>
          </w:rPr>
          <w:t>2286</w:t>
        </w:r>
        <w:r>
          <w:rPr>
            <w:noProof/>
            <w:webHidden/>
          </w:rPr>
          <w:fldChar w:fldCharType="end"/>
        </w:r>
      </w:hyperlink>
    </w:p>
    <w:p>
      <w:pPr>
        <w:pStyle w:val="TOC1"/>
      </w:pPr>
      <w:hyperlink w:anchor="_Toc300002341" w:history="1">
        <w:r>
          <w:rPr>
            <w:noProof/>
          </w:rPr>
          <w:t xml:space="preserve">PACKAGE BM: TRUSTED CONTINENTAL FREIGHT SYSTEM AND SUPPLEMENTARY SAFETY MECHANISMS</w:t>
        </w:r>
        <w:r>
          <w:rPr>
            <w:noProof/>
            <w:webHidden/>
          </w:rPr>
          <w:tab/>
        </w:r>
        <w:r>
          <w:rPr>
            <w:noProof/>
            <w:webHidden/>
          </w:rPr>
          <w:fldChar w:fldCharType="begin"/>
        </w:r>
        <w:r>
          <w:rPr>
            <w:noProof/>
            <w:webHidden/>
          </w:rPr>
          <w:instrText xml:space="preserve"> PAGEREF _Toc300002341 \h </w:instrText>
        </w:r>
        <w:r>
          <w:rPr>
            <w:noProof/>
            <w:webHidden/>
          </w:rPr>
          <w:fldChar w:fldCharType="separate"/>
        </w:r>
        <w:r>
          <w:rPr>
            <w:noProof/>
            <w:webHidden/>
          </w:rPr>
          <w:t>2296</w:t>
        </w:r>
        <w:r>
          <w:rPr>
            <w:noProof/>
            <w:webHidden/>
          </w:rPr>
          <w:fldChar w:fldCharType="end"/>
        </w:r>
      </w:hyperlink>
    </w:p>
    <w:p>
      <w:pPr>
        <w:pStyle w:val="TOC2"/>
      </w:pPr>
      <w:hyperlink w:anchor="_Toc300002342" w:history="1">
        <w:r>
          <w:rPr>
            <w:noProof/>
          </w:rPr>
          <w:t xml:space="preserve">BM-1. Joint Border Inspection Facilities</w:t>
        </w:r>
        <w:r>
          <w:rPr>
            <w:noProof/>
            <w:webHidden/>
          </w:rPr>
          <w:tab/>
        </w:r>
        <w:r>
          <w:rPr>
            <w:noProof/>
            <w:webHidden/>
          </w:rPr>
          <w:fldChar w:fldCharType="begin"/>
        </w:r>
        <w:r>
          <w:rPr>
            <w:noProof/>
            <w:webHidden/>
          </w:rPr>
          <w:instrText xml:space="preserve"> PAGEREF _Toc300002342 \h </w:instrText>
        </w:r>
        <w:r>
          <w:rPr>
            <w:noProof/>
            <w:webHidden/>
          </w:rPr>
          <w:fldChar w:fldCharType="separate"/>
        </w:r>
        <w:r>
          <w:rPr>
            <w:noProof/>
            <w:webHidden/>
          </w:rPr>
          <w:t>2296</w:t>
        </w:r>
        <w:r>
          <w:rPr>
            <w:noProof/>
            <w:webHidden/>
          </w:rPr>
          <w:fldChar w:fldCharType="end"/>
        </w:r>
      </w:hyperlink>
    </w:p>
    <w:p>
      <w:pPr>
        <w:pStyle w:val="TOC2"/>
      </w:pPr>
      <w:hyperlink w:anchor="_Toc300002343" w:history="1">
        <w:r>
          <w:rPr>
            <w:noProof/>
          </w:rPr>
          <w:t xml:space="preserve">BM-2. Unified Out-of-Service Translation</w:t>
        </w:r>
        <w:r>
          <w:rPr>
            <w:noProof/>
            <w:webHidden/>
          </w:rPr>
          <w:tab/>
        </w:r>
        <w:r>
          <w:rPr>
            <w:noProof/>
            <w:webHidden/>
          </w:rPr>
          <w:fldChar w:fldCharType="begin"/>
        </w:r>
        <w:r>
          <w:rPr>
            <w:noProof/>
            <w:webHidden/>
          </w:rPr>
          <w:instrText xml:space="preserve"> PAGEREF _Toc300002343 \h </w:instrText>
        </w:r>
        <w:r>
          <w:rPr>
            <w:noProof/>
            <w:webHidden/>
          </w:rPr>
          <w:fldChar w:fldCharType="separate"/>
        </w:r>
        <w:r>
          <w:rPr>
            <w:noProof/>
            <w:webHidden/>
          </w:rPr>
          <w:t>2296</w:t>
        </w:r>
        <w:r>
          <w:rPr>
            <w:noProof/>
            <w:webHidden/>
          </w:rPr>
          <w:fldChar w:fldCharType="end"/>
        </w:r>
      </w:hyperlink>
    </w:p>
    <w:p>
      <w:pPr>
        <w:pStyle w:val="TOC2"/>
      </w:pPr>
      <w:hyperlink w:anchor="_Toc300002344" w:history="1">
        <w:r>
          <w:rPr>
            <w:noProof/>
          </w:rPr>
          <w:t xml:space="preserve">BM-3. Trusted-Carrier Preclearance</w:t>
        </w:r>
        <w:r>
          <w:rPr>
            <w:noProof/>
            <w:webHidden/>
          </w:rPr>
          <w:tab/>
        </w:r>
        <w:r>
          <w:rPr>
            <w:noProof/>
            <w:webHidden/>
          </w:rPr>
          <w:fldChar w:fldCharType="begin"/>
        </w:r>
        <w:r>
          <w:rPr>
            <w:noProof/>
            <w:webHidden/>
          </w:rPr>
          <w:instrText xml:space="preserve"> PAGEREF _Toc300002344 \h </w:instrText>
        </w:r>
        <w:r>
          <w:rPr>
            <w:noProof/>
            <w:webHidden/>
          </w:rPr>
          <w:fldChar w:fldCharType="separate"/>
        </w:r>
        <w:r>
          <w:rPr>
            <w:noProof/>
            <w:webHidden/>
          </w:rPr>
          <w:t>2296</w:t>
        </w:r>
        <w:r>
          <w:rPr>
            <w:noProof/>
            <w:webHidden/>
          </w:rPr>
          <w:fldChar w:fldCharType="end"/>
        </w:r>
      </w:hyperlink>
    </w:p>
    <w:p>
      <w:pPr>
        <w:pStyle w:val="TOC2"/>
      </w:pPr>
      <w:hyperlink w:anchor="_Toc300002345" w:history="1">
        <w:r>
          <w:rPr>
            <w:noProof/>
          </w:rPr>
          <w:t xml:space="preserve">BM-4. Weigh-in-Motion Expansion</w:t>
        </w:r>
        <w:r>
          <w:rPr>
            <w:noProof/>
            <w:webHidden/>
          </w:rPr>
          <w:tab/>
        </w:r>
        <w:r>
          <w:rPr>
            <w:noProof/>
            <w:webHidden/>
          </w:rPr>
          <w:fldChar w:fldCharType="begin"/>
        </w:r>
        <w:r>
          <w:rPr>
            <w:noProof/>
            <w:webHidden/>
          </w:rPr>
          <w:instrText xml:space="preserve"> PAGEREF _Toc300002345 \h </w:instrText>
        </w:r>
        <w:r>
          <w:rPr>
            <w:noProof/>
            <w:webHidden/>
          </w:rPr>
          <w:fldChar w:fldCharType="separate"/>
        </w:r>
        <w:r>
          <w:rPr>
            <w:noProof/>
            <w:webHidden/>
          </w:rPr>
          <w:t>2296</w:t>
        </w:r>
        <w:r>
          <w:rPr>
            <w:noProof/>
            <w:webHidden/>
          </w:rPr>
          <w:fldChar w:fldCharType="end"/>
        </w:r>
      </w:hyperlink>
    </w:p>
    <w:p>
      <w:pPr>
        <w:pStyle w:val="TOC2"/>
      </w:pPr>
      <w:hyperlink w:anchor="_Toc300002346" w:history="1">
        <w:r>
          <w:rPr>
            <w:noProof/>
          </w:rPr>
          <w:t xml:space="preserve">BM-5. Continental Truck Parking Information</w:t>
        </w:r>
        <w:r>
          <w:rPr>
            <w:noProof/>
            <w:webHidden/>
          </w:rPr>
          <w:tab/>
        </w:r>
        <w:r>
          <w:rPr>
            <w:noProof/>
            <w:webHidden/>
          </w:rPr>
          <w:fldChar w:fldCharType="begin"/>
        </w:r>
        <w:r>
          <w:rPr>
            <w:noProof/>
            <w:webHidden/>
          </w:rPr>
          <w:instrText xml:space="preserve"> PAGEREF _Toc300002346 \h </w:instrText>
        </w:r>
        <w:r>
          <w:rPr>
            <w:noProof/>
            <w:webHidden/>
          </w:rPr>
          <w:fldChar w:fldCharType="separate"/>
        </w:r>
        <w:r>
          <w:rPr>
            <w:noProof/>
            <w:webHidden/>
          </w:rPr>
          <w:t>2296</w:t>
        </w:r>
        <w:r>
          <w:rPr>
            <w:noProof/>
            <w:webHidden/>
          </w:rPr>
          <w:fldChar w:fldCharType="end"/>
        </w:r>
      </w:hyperlink>
    </w:p>
    <w:p>
      <w:pPr>
        <w:pStyle w:val="TOC2"/>
      </w:pPr>
      <w:hyperlink w:anchor="_Toc300002347" w:history="1">
        <w:r>
          <w:rPr>
            <w:noProof/>
          </w:rPr>
          <w:t xml:space="preserve">BM-6. Rest-Area Electrification</w:t>
        </w:r>
        <w:r>
          <w:rPr>
            <w:noProof/>
            <w:webHidden/>
          </w:rPr>
          <w:tab/>
        </w:r>
        <w:r>
          <w:rPr>
            <w:noProof/>
            <w:webHidden/>
          </w:rPr>
          <w:fldChar w:fldCharType="begin"/>
        </w:r>
        <w:r>
          <w:rPr>
            <w:noProof/>
            <w:webHidden/>
          </w:rPr>
          <w:instrText xml:space="preserve"> PAGEREF _Toc300002347 \h </w:instrText>
        </w:r>
        <w:r>
          <w:rPr>
            <w:noProof/>
            <w:webHidden/>
          </w:rPr>
          <w:fldChar w:fldCharType="separate"/>
        </w:r>
        <w:r>
          <w:rPr>
            <w:noProof/>
            <w:webHidden/>
          </w:rPr>
          <w:t>2296</w:t>
        </w:r>
        <w:r>
          <w:rPr>
            <w:noProof/>
            <w:webHidden/>
          </w:rPr>
          <w:fldChar w:fldCharType="end"/>
        </w:r>
      </w:hyperlink>
    </w:p>
    <w:p>
      <w:pPr>
        <w:pStyle w:val="TOC2"/>
      </w:pPr>
      <w:hyperlink w:anchor="_Toc300002348" w:history="1">
        <w:r>
          <w:rPr>
            <w:noProof/>
          </w:rPr>
          <w:t xml:space="preserve">BM-7. Smart Safety Corridors</w:t>
        </w:r>
        <w:r>
          <w:rPr>
            <w:noProof/>
            <w:webHidden/>
          </w:rPr>
          <w:tab/>
        </w:r>
        <w:r>
          <w:rPr>
            <w:noProof/>
            <w:webHidden/>
          </w:rPr>
          <w:fldChar w:fldCharType="begin"/>
        </w:r>
        <w:r>
          <w:rPr>
            <w:noProof/>
            <w:webHidden/>
          </w:rPr>
          <w:instrText xml:space="preserve"> PAGEREF _Toc300002348 \h </w:instrText>
        </w:r>
        <w:r>
          <w:rPr>
            <w:noProof/>
            <w:webHidden/>
          </w:rPr>
          <w:fldChar w:fldCharType="separate"/>
        </w:r>
        <w:r>
          <w:rPr>
            <w:noProof/>
            <w:webHidden/>
          </w:rPr>
          <w:t>2296</w:t>
        </w:r>
        <w:r>
          <w:rPr>
            <w:noProof/>
            <w:webHidden/>
          </w:rPr>
          <w:fldChar w:fldCharType="end"/>
        </w:r>
      </w:hyperlink>
    </w:p>
    <w:p>
      <w:pPr>
        <w:pStyle w:val="TOC2"/>
      </w:pPr>
      <w:hyperlink w:anchor="_Toc300002349" w:history="1">
        <w:r>
          <w:rPr>
            <w:noProof/>
          </w:rPr>
          <w:t xml:space="preserve">BM-8. Hazardous-Materials Response Interoperability</w:t>
        </w:r>
        <w:r>
          <w:rPr>
            <w:noProof/>
            <w:webHidden/>
          </w:rPr>
          <w:tab/>
        </w:r>
        <w:r>
          <w:rPr>
            <w:noProof/>
            <w:webHidden/>
          </w:rPr>
          <w:fldChar w:fldCharType="begin"/>
        </w:r>
        <w:r>
          <w:rPr>
            <w:noProof/>
            <w:webHidden/>
          </w:rPr>
          <w:instrText xml:space="preserve"> PAGEREF _Toc300002349 \h </w:instrText>
        </w:r>
        <w:r>
          <w:rPr>
            <w:noProof/>
            <w:webHidden/>
          </w:rPr>
          <w:fldChar w:fldCharType="separate"/>
        </w:r>
        <w:r>
          <w:rPr>
            <w:noProof/>
            <w:webHidden/>
          </w:rPr>
          <w:t>2297</w:t>
        </w:r>
        <w:r>
          <w:rPr>
            <w:noProof/>
            <w:webHidden/>
          </w:rPr>
          <w:fldChar w:fldCharType="end"/>
        </w:r>
      </w:hyperlink>
    </w:p>
    <w:p>
      <w:pPr>
        <w:pStyle w:val="TOC2"/>
      </w:pPr>
      <w:hyperlink w:anchor="_Toc300002350" w:history="1">
        <w:r>
          <w:rPr>
            <w:noProof/>
          </w:rPr>
          <w:t xml:space="preserve">BM-9. Cross-Border Recall Alerting</w:t>
        </w:r>
        <w:r>
          <w:rPr>
            <w:noProof/>
            <w:webHidden/>
          </w:rPr>
          <w:tab/>
        </w:r>
        <w:r>
          <w:rPr>
            <w:noProof/>
            <w:webHidden/>
          </w:rPr>
          <w:fldChar w:fldCharType="begin"/>
        </w:r>
        <w:r>
          <w:rPr>
            <w:noProof/>
            <w:webHidden/>
          </w:rPr>
          <w:instrText xml:space="preserve"> PAGEREF _Toc300002350 \h </w:instrText>
        </w:r>
        <w:r>
          <w:rPr>
            <w:noProof/>
            <w:webHidden/>
          </w:rPr>
          <w:fldChar w:fldCharType="separate"/>
        </w:r>
        <w:r>
          <w:rPr>
            <w:noProof/>
            <w:webHidden/>
          </w:rPr>
          <w:t>2297</w:t>
        </w:r>
        <w:r>
          <w:rPr>
            <w:noProof/>
            <w:webHidden/>
          </w:rPr>
          <w:fldChar w:fldCharType="end"/>
        </w:r>
      </w:hyperlink>
    </w:p>
    <w:p>
      <w:pPr>
        <w:pStyle w:val="TOC2"/>
      </w:pPr>
      <w:hyperlink w:anchor="_Toc300002351" w:history="1">
        <w:r>
          <w:rPr>
            <w:noProof/>
          </w:rPr>
          <w:t xml:space="preserve">BM-10. Emergency Towing and Clearance Planning</w:t>
        </w:r>
        <w:r>
          <w:rPr>
            <w:noProof/>
            <w:webHidden/>
          </w:rPr>
          <w:tab/>
        </w:r>
        <w:r>
          <w:rPr>
            <w:noProof/>
            <w:webHidden/>
          </w:rPr>
          <w:fldChar w:fldCharType="begin"/>
        </w:r>
        <w:r>
          <w:rPr>
            <w:noProof/>
            <w:webHidden/>
          </w:rPr>
          <w:instrText xml:space="preserve"> PAGEREF _Toc300002351 \h </w:instrText>
        </w:r>
        <w:r>
          <w:rPr>
            <w:noProof/>
            <w:webHidden/>
          </w:rPr>
          <w:fldChar w:fldCharType="separate"/>
        </w:r>
        <w:r>
          <w:rPr>
            <w:noProof/>
            <w:webHidden/>
          </w:rPr>
          <w:t>2297</w:t>
        </w:r>
        <w:r>
          <w:rPr>
            <w:noProof/>
            <w:webHidden/>
          </w:rPr>
          <w:fldChar w:fldCharType="end"/>
        </w:r>
      </w:hyperlink>
    </w:p>
    <w:p>
      <w:pPr>
        <w:pStyle w:val="TOC2"/>
      </w:pPr>
      <w:hyperlink w:anchor="_Toc300002352" w:history="1">
        <w:r>
          <w:rPr>
            <w:noProof/>
          </w:rPr>
          <w:t xml:space="preserve">BM-11. Crash Data Harmonization</w:t>
        </w:r>
        <w:r>
          <w:rPr>
            <w:noProof/>
            <w:webHidden/>
          </w:rPr>
          <w:tab/>
        </w:r>
        <w:r>
          <w:rPr>
            <w:noProof/>
            <w:webHidden/>
          </w:rPr>
          <w:fldChar w:fldCharType="begin"/>
        </w:r>
        <w:r>
          <w:rPr>
            <w:noProof/>
            <w:webHidden/>
          </w:rPr>
          <w:instrText xml:space="preserve"> PAGEREF _Toc300002352 \h </w:instrText>
        </w:r>
        <w:r>
          <w:rPr>
            <w:noProof/>
            <w:webHidden/>
          </w:rPr>
          <w:fldChar w:fldCharType="separate"/>
        </w:r>
        <w:r>
          <w:rPr>
            <w:noProof/>
            <w:webHidden/>
          </w:rPr>
          <w:t>2297</w:t>
        </w:r>
        <w:r>
          <w:rPr>
            <w:noProof/>
            <w:webHidden/>
          </w:rPr>
          <w:fldChar w:fldCharType="end"/>
        </w:r>
      </w:hyperlink>
    </w:p>
    <w:p>
      <w:pPr>
        <w:pStyle w:val="TOC2"/>
      </w:pPr>
      <w:hyperlink w:anchor="_Toc300002353" w:history="1">
        <w:r>
          <w:rPr>
            <w:noProof/>
          </w:rPr>
          <w:t xml:space="preserve">BM-12. Cross-Border Serious-Crash Notification</w:t>
        </w:r>
        <w:r>
          <w:rPr>
            <w:noProof/>
            <w:webHidden/>
          </w:rPr>
          <w:tab/>
        </w:r>
        <w:r>
          <w:rPr>
            <w:noProof/>
            <w:webHidden/>
          </w:rPr>
          <w:fldChar w:fldCharType="begin"/>
        </w:r>
        <w:r>
          <w:rPr>
            <w:noProof/>
            <w:webHidden/>
          </w:rPr>
          <w:instrText xml:space="preserve"> PAGEREF _Toc300002353 \h </w:instrText>
        </w:r>
        <w:r>
          <w:rPr>
            <w:noProof/>
            <w:webHidden/>
          </w:rPr>
          <w:fldChar w:fldCharType="separate"/>
        </w:r>
        <w:r>
          <w:rPr>
            <w:noProof/>
            <w:webHidden/>
          </w:rPr>
          <w:t>2297</w:t>
        </w:r>
        <w:r>
          <w:rPr>
            <w:noProof/>
            <w:webHidden/>
          </w:rPr>
          <w:fldChar w:fldCharType="end"/>
        </w:r>
      </w:hyperlink>
    </w:p>
    <w:p>
      <w:pPr>
        <w:pStyle w:val="TOC2"/>
      </w:pPr>
      <w:hyperlink w:anchor="_Toc300002354" w:history="1">
        <w:r>
          <w:rPr>
            <w:noProof/>
          </w:rPr>
          <w:t xml:space="preserve">BM-13. Carrier Safety Rating Interoperability</w:t>
        </w:r>
        <w:r>
          <w:rPr>
            <w:noProof/>
            <w:webHidden/>
          </w:rPr>
          <w:tab/>
        </w:r>
        <w:r>
          <w:rPr>
            <w:noProof/>
            <w:webHidden/>
          </w:rPr>
          <w:fldChar w:fldCharType="begin"/>
        </w:r>
        <w:r>
          <w:rPr>
            <w:noProof/>
            <w:webHidden/>
          </w:rPr>
          <w:instrText xml:space="preserve"> PAGEREF _Toc300002354 \h </w:instrText>
        </w:r>
        <w:r>
          <w:rPr>
            <w:noProof/>
            <w:webHidden/>
          </w:rPr>
          <w:fldChar w:fldCharType="separate"/>
        </w:r>
        <w:r>
          <w:rPr>
            <w:noProof/>
            <w:webHidden/>
          </w:rPr>
          <w:t>2297</w:t>
        </w:r>
        <w:r>
          <w:rPr>
            <w:noProof/>
            <w:webHidden/>
          </w:rPr>
          <w:fldChar w:fldCharType="end"/>
        </w:r>
      </w:hyperlink>
    </w:p>
    <w:p>
      <w:pPr>
        <w:pStyle w:val="TOC2"/>
      </w:pPr>
      <w:hyperlink w:anchor="_Toc300002355" w:history="1">
        <w:r>
          <w:rPr>
            <w:noProof/>
          </w:rPr>
          <w:t xml:space="preserve">BM-14. Digital Commercial Vehicle Credential</w:t>
        </w:r>
        <w:r>
          <w:rPr>
            <w:noProof/>
            <w:webHidden/>
          </w:rPr>
          <w:tab/>
        </w:r>
        <w:r>
          <w:rPr>
            <w:noProof/>
            <w:webHidden/>
          </w:rPr>
          <w:fldChar w:fldCharType="begin"/>
        </w:r>
        <w:r>
          <w:rPr>
            <w:noProof/>
            <w:webHidden/>
          </w:rPr>
          <w:instrText xml:space="preserve"> PAGEREF _Toc300002355 \h </w:instrText>
        </w:r>
        <w:r>
          <w:rPr>
            <w:noProof/>
            <w:webHidden/>
          </w:rPr>
          <w:fldChar w:fldCharType="separate"/>
        </w:r>
        <w:r>
          <w:rPr>
            <w:noProof/>
            <w:webHidden/>
          </w:rPr>
          <w:t>2297</w:t>
        </w:r>
        <w:r>
          <w:rPr>
            <w:noProof/>
            <w:webHidden/>
          </w:rPr>
          <w:fldChar w:fldCharType="end"/>
        </w:r>
      </w:hyperlink>
    </w:p>
    <w:p>
      <w:pPr>
        <w:pStyle w:val="TOC2"/>
      </w:pPr>
      <w:hyperlink w:anchor="_Toc300002356" w:history="1">
        <w:r>
          <w:rPr>
            <w:noProof/>
          </w:rPr>
          <w:t xml:space="preserve">BM-15. First-Responder Cargo Access</w:t>
        </w:r>
        <w:r>
          <w:rPr>
            <w:noProof/>
            <w:webHidden/>
          </w:rPr>
          <w:tab/>
        </w:r>
        <w:r>
          <w:rPr>
            <w:noProof/>
            <w:webHidden/>
          </w:rPr>
          <w:fldChar w:fldCharType="begin"/>
        </w:r>
        <w:r>
          <w:rPr>
            <w:noProof/>
            <w:webHidden/>
          </w:rPr>
          <w:instrText xml:space="preserve"> PAGEREF _Toc300002356 \h </w:instrText>
        </w:r>
        <w:r>
          <w:rPr>
            <w:noProof/>
            <w:webHidden/>
          </w:rPr>
          <w:fldChar w:fldCharType="separate"/>
        </w:r>
        <w:r>
          <w:rPr>
            <w:noProof/>
            <w:webHidden/>
          </w:rPr>
          <w:t>2297</w:t>
        </w:r>
        <w:r>
          <w:rPr>
            <w:noProof/>
            <w:webHidden/>
          </w:rPr>
          <w:fldChar w:fldCharType="end"/>
        </w:r>
      </w:hyperlink>
    </w:p>
    <w:p>
      <w:pPr>
        <w:pStyle w:val="TOC2"/>
      </w:pPr>
      <w:hyperlink w:anchor="_Toc300002357" w:history="1">
        <w:r>
          <w:rPr>
            <w:noProof/>
          </w:rPr>
          <w:t xml:space="preserve">BM-16. Truck Safety Research Data</w:t>
        </w:r>
        <w:r>
          <w:rPr>
            <w:noProof/>
            <w:webHidden/>
          </w:rPr>
          <w:tab/>
        </w:r>
        <w:r>
          <w:rPr>
            <w:noProof/>
            <w:webHidden/>
          </w:rPr>
          <w:fldChar w:fldCharType="begin"/>
        </w:r>
        <w:r>
          <w:rPr>
            <w:noProof/>
            <w:webHidden/>
          </w:rPr>
          <w:instrText xml:space="preserve"> PAGEREF _Toc300002357 \h </w:instrText>
        </w:r>
        <w:r>
          <w:rPr>
            <w:noProof/>
            <w:webHidden/>
          </w:rPr>
          <w:fldChar w:fldCharType="separate"/>
        </w:r>
        <w:r>
          <w:rPr>
            <w:noProof/>
            <w:webHidden/>
          </w:rPr>
          <w:t>2298</w:t>
        </w:r>
        <w:r>
          <w:rPr>
            <w:noProof/>
            <w:webHidden/>
          </w:rPr>
          <w:fldChar w:fldCharType="end"/>
        </w:r>
      </w:hyperlink>
    </w:p>
    <w:p>
      <w:pPr>
        <w:pStyle w:val="TOC2"/>
      </w:pPr>
      <w:hyperlink w:anchor="_Toc300002358" w:history="1">
        <w:r>
          <w:rPr>
            <w:noProof/>
          </w:rPr>
          <w:t xml:space="preserve">BM-17. Safety Outcome Reporting</w:t>
        </w:r>
        <w:r>
          <w:rPr>
            <w:noProof/>
            <w:webHidden/>
          </w:rPr>
          <w:tab/>
        </w:r>
        <w:r>
          <w:rPr>
            <w:noProof/>
            <w:webHidden/>
          </w:rPr>
          <w:fldChar w:fldCharType="begin"/>
        </w:r>
        <w:r>
          <w:rPr>
            <w:noProof/>
            <w:webHidden/>
          </w:rPr>
          <w:instrText xml:space="preserve"> PAGEREF _Toc300002358 \h </w:instrText>
        </w:r>
        <w:r>
          <w:rPr>
            <w:noProof/>
            <w:webHidden/>
          </w:rPr>
          <w:fldChar w:fldCharType="separate"/>
        </w:r>
        <w:r>
          <w:rPr>
            <w:noProof/>
            <w:webHidden/>
          </w:rPr>
          <w:t>2298</w:t>
        </w:r>
        <w:r>
          <w:rPr>
            <w:noProof/>
            <w:webHidden/>
          </w:rPr>
          <w:fldChar w:fldCharType="end"/>
        </w:r>
      </w:hyperlink>
    </w:p>
    <w:p>
      <w:pPr>
        <w:pStyle w:val="TOC2"/>
      </w:pPr>
      <w:hyperlink w:anchor="_Toc300002359" w:history="1">
        <w:r>
          <w:rPr>
            <w:noProof/>
          </w:rPr>
          <w:t xml:space="preserve">BM-18. Phase-In for Legacy Fleets</w:t>
        </w:r>
        <w:r>
          <w:rPr>
            <w:noProof/>
            <w:webHidden/>
          </w:rPr>
          <w:tab/>
        </w:r>
        <w:r>
          <w:rPr>
            <w:noProof/>
            <w:webHidden/>
          </w:rPr>
          <w:fldChar w:fldCharType="begin"/>
        </w:r>
        <w:r>
          <w:rPr>
            <w:noProof/>
            <w:webHidden/>
          </w:rPr>
          <w:instrText xml:space="preserve"> PAGEREF _Toc300002359 \h </w:instrText>
        </w:r>
        <w:r>
          <w:rPr>
            <w:noProof/>
            <w:webHidden/>
          </w:rPr>
          <w:fldChar w:fldCharType="separate"/>
        </w:r>
        <w:r>
          <w:rPr>
            <w:noProof/>
            <w:webHidden/>
          </w:rPr>
          <w:t>2298</w:t>
        </w:r>
        <w:r>
          <w:rPr>
            <w:noProof/>
            <w:webHidden/>
          </w:rPr>
          <w:fldChar w:fldCharType="end"/>
        </w:r>
      </w:hyperlink>
    </w:p>
    <w:p>
      <w:pPr>
        <w:pStyle w:val="TOC2"/>
      </w:pPr>
      <w:hyperlink w:anchor="_Toc300002360" w:history="1">
        <w:r>
          <w:rPr>
            <w:noProof/>
          </w:rPr>
          <w:t xml:space="preserve">BM-19. Human-Trafficking and Exploitation Awareness</w:t>
        </w:r>
        <w:r>
          <w:rPr>
            <w:noProof/>
            <w:webHidden/>
          </w:rPr>
          <w:tab/>
        </w:r>
        <w:r>
          <w:rPr>
            <w:noProof/>
            <w:webHidden/>
          </w:rPr>
          <w:fldChar w:fldCharType="begin"/>
        </w:r>
        <w:r>
          <w:rPr>
            <w:noProof/>
            <w:webHidden/>
          </w:rPr>
          <w:instrText xml:space="preserve"> PAGEREF _Toc300002360 \h </w:instrText>
        </w:r>
        <w:r>
          <w:rPr>
            <w:noProof/>
            <w:webHidden/>
          </w:rPr>
          <w:fldChar w:fldCharType="separate"/>
        </w:r>
        <w:r>
          <w:rPr>
            <w:noProof/>
            <w:webHidden/>
          </w:rPr>
          <w:t>2298</w:t>
        </w:r>
        <w:r>
          <w:rPr>
            <w:noProof/>
            <w:webHidden/>
          </w:rPr>
          <w:fldChar w:fldCharType="end"/>
        </w:r>
      </w:hyperlink>
    </w:p>
    <w:p>
      <w:pPr>
        <w:pStyle w:val="TOC2"/>
      </w:pPr>
      <w:hyperlink w:anchor="_Toc300002361" w:history="1">
        <w:r>
          <w:rPr>
            <w:noProof/>
          </w:rPr>
          <w:t xml:space="preserve">BM-20. No Committee Bloat</w:t>
        </w:r>
        <w:r>
          <w:rPr>
            <w:noProof/>
            <w:webHidden/>
          </w:rPr>
          <w:tab/>
        </w:r>
        <w:r>
          <w:rPr>
            <w:noProof/>
            <w:webHidden/>
          </w:rPr>
          <w:fldChar w:fldCharType="begin"/>
        </w:r>
        <w:r>
          <w:rPr>
            <w:noProof/>
            <w:webHidden/>
          </w:rPr>
          <w:instrText xml:space="preserve"> PAGEREF _Toc300002361 \h </w:instrText>
        </w:r>
        <w:r>
          <w:rPr>
            <w:noProof/>
            <w:webHidden/>
          </w:rPr>
          <w:fldChar w:fldCharType="separate"/>
        </w:r>
        <w:r>
          <w:rPr>
            <w:noProof/>
            <w:webHidden/>
          </w:rPr>
          <w:t>2298</w:t>
        </w:r>
        <w:r>
          <w:rPr>
            <w:noProof/>
            <w:webHidden/>
          </w:rPr>
          <w:fldChar w:fldCharType="end"/>
        </w:r>
      </w:hyperlink>
    </w:p>
    <w:p>
      <w:pPr>
        <w:pStyle w:val="TOC2"/>
      </w:pPr>
      <w:hyperlink w:anchor="_Toc300002362" w:history="1">
        <w:r>
          <w:rPr>
            <w:noProof/>
          </w:rPr>
          <w:t xml:space="preserve">BM-21. Trusted Freight Decision Logic</w:t>
        </w:r>
        <w:r>
          <w:rPr>
            <w:noProof/>
            <w:webHidden/>
          </w:rPr>
          <w:tab/>
        </w:r>
        <w:r>
          <w:rPr>
            <w:noProof/>
            <w:webHidden/>
          </w:rPr>
          <w:fldChar w:fldCharType="begin"/>
        </w:r>
        <w:r>
          <w:rPr>
            <w:noProof/>
            <w:webHidden/>
          </w:rPr>
          <w:instrText xml:space="preserve"> PAGEREF _Toc300002362 \h </w:instrText>
        </w:r>
        <w:r>
          <w:rPr>
            <w:noProof/>
            <w:webHidden/>
          </w:rPr>
          <w:fldChar w:fldCharType="separate"/>
        </w:r>
        <w:r>
          <w:rPr>
            <w:noProof/>
            <w:webHidden/>
          </w:rPr>
          <w:t>2298</w:t>
        </w:r>
        <w:r>
          <w:rPr>
            <w:noProof/>
            <w:webHidden/>
          </w:rPr>
          <w:fldChar w:fldCharType="end"/>
        </w:r>
      </w:hyperlink>
    </w:p>
    <w:p>
      <w:pPr>
        <w:pStyle w:val="TOC2"/>
      </w:pPr>
      <w:hyperlink w:anchor="_Toc300002363" w:history="1">
        <w:r>
          <w:rPr>
            <w:noProof/>
          </w:rPr>
          <w:t xml:space="preserve">BM-22. Safety as a Reciprocal Bargain</w:t>
        </w:r>
        <w:r>
          <w:rPr>
            <w:noProof/>
            <w:webHidden/>
          </w:rPr>
          <w:tab/>
        </w:r>
        <w:r>
          <w:rPr>
            <w:noProof/>
            <w:webHidden/>
          </w:rPr>
          <w:fldChar w:fldCharType="begin"/>
        </w:r>
        <w:r>
          <w:rPr>
            <w:noProof/>
            <w:webHidden/>
          </w:rPr>
          <w:instrText xml:space="preserve"> PAGEREF _Toc300002363 \h </w:instrText>
        </w:r>
        <w:r>
          <w:rPr>
            <w:noProof/>
            <w:webHidden/>
          </w:rPr>
          <w:fldChar w:fldCharType="separate"/>
        </w:r>
        <w:r>
          <w:rPr>
            <w:noProof/>
            <w:webHidden/>
          </w:rPr>
          <w:t>2298</w:t>
        </w:r>
        <w:r>
          <w:rPr>
            <w:noProof/>
            <w:webHidden/>
          </w:rPr>
          <w:fldChar w:fldCharType="end"/>
        </w:r>
      </w:hyperlink>
    </w:p>
    <w:p>
      <w:pPr>
        <w:pStyle w:val="TOC1"/>
      </w:pPr>
      <w:hyperlink w:anchor="_Toc300002364" w:history="1">
        <w:r>
          <w:rPr>
            <w:noProof/>
          </w:rPr>
          <w:t xml:space="preserve">PACKAGE BM-A: OPTIONAL U.S. SUV EXHAUST MANUFACTURING CARROT</w:t>
        </w:r>
        <w:r>
          <w:rPr>
            <w:noProof/>
            <w:webHidden/>
          </w:rPr>
          <w:tab/>
        </w:r>
        <w:r>
          <w:rPr>
            <w:noProof/>
            <w:webHidden/>
          </w:rPr>
          <w:fldChar w:fldCharType="begin"/>
        </w:r>
        <w:r>
          <w:rPr>
            <w:noProof/>
            <w:webHidden/>
          </w:rPr>
          <w:instrText xml:space="preserve"> PAGEREF _Toc300002364 \h </w:instrText>
        </w:r>
        <w:r>
          <w:rPr>
            <w:noProof/>
            <w:webHidden/>
          </w:rPr>
          <w:fldChar w:fldCharType="separate"/>
        </w:r>
        <w:r>
          <w:rPr>
            <w:noProof/>
            <w:webHidden/>
          </w:rPr>
          <w:t>2300</w:t>
        </w:r>
        <w:r>
          <w:rPr>
            <w:noProof/>
            <w:webHidden/>
          </w:rPr>
          <w:fldChar w:fldCharType="end"/>
        </w:r>
      </w:hyperlink>
    </w:p>
    <w:p>
      <w:pPr>
        <w:pStyle w:val="TOC2"/>
      </w:pPr>
      <w:hyperlink w:anchor="_Toc300002365" w:history="1">
        <w:r>
          <w:rPr>
            <w:noProof/>
          </w:rPr>
          <w:t xml:space="preserve">BM-A.1. Purpose</w:t>
        </w:r>
        <w:r>
          <w:rPr>
            <w:noProof/>
            <w:webHidden/>
          </w:rPr>
          <w:tab/>
        </w:r>
        <w:r>
          <w:rPr>
            <w:noProof/>
            <w:webHidden/>
          </w:rPr>
          <w:fldChar w:fldCharType="begin"/>
        </w:r>
        <w:r>
          <w:rPr>
            <w:noProof/>
            <w:webHidden/>
          </w:rPr>
          <w:instrText xml:space="preserve"> PAGEREF _Toc300002365 \h </w:instrText>
        </w:r>
        <w:r>
          <w:rPr>
            <w:noProof/>
            <w:webHidden/>
          </w:rPr>
          <w:fldChar w:fldCharType="separate"/>
        </w:r>
        <w:r>
          <w:rPr>
            <w:noProof/>
            <w:webHidden/>
          </w:rPr>
          <w:t>2300</w:t>
        </w:r>
        <w:r>
          <w:rPr>
            <w:noProof/>
            <w:webHidden/>
          </w:rPr>
          <w:fldChar w:fldCharType="end"/>
        </w:r>
      </w:hyperlink>
    </w:p>
    <w:p>
      <w:pPr>
        <w:pStyle w:val="TOC2"/>
      </w:pPr>
      <w:hyperlink w:anchor="_Toc300002366" w:history="1">
        <w:r>
          <w:rPr>
            <w:noProof/>
          </w:rPr>
          <w:t xml:space="preserve">BM-A.2. Covered Vehicle Class</w:t>
        </w:r>
        <w:r>
          <w:rPr>
            <w:noProof/>
            <w:webHidden/>
          </w:rPr>
          <w:tab/>
        </w:r>
        <w:r>
          <w:rPr>
            <w:noProof/>
            <w:webHidden/>
          </w:rPr>
          <w:fldChar w:fldCharType="begin"/>
        </w:r>
        <w:r>
          <w:rPr>
            <w:noProof/>
            <w:webHidden/>
          </w:rPr>
          <w:instrText xml:space="preserve"> PAGEREF _Toc300002366 \h </w:instrText>
        </w:r>
        <w:r>
          <w:rPr>
            <w:noProof/>
            <w:webHidden/>
          </w:rPr>
          <w:fldChar w:fldCharType="separate"/>
        </w:r>
        <w:r>
          <w:rPr>
            <w:noProof/>
            <w:webHidden/>
          </w:rPr>
          <w:t>2300</w:t>
        </w:r>
        <w:r>
          <w:rPr>
            <w:noProof/>
            <w:webHidden/>
          </w:rPr>
          <w:fldChar w:fldCharType="end"/>
        </w:r>
      </w:hyperlink>
    </w:p>
    <w:p>
      <w:pPr>
        <w:pStyle w:val="TOC2"/>
      </w:pPr>
      <w:hyperlink w:anchor="_Toc300002367" w:history="1">
        <w:r>
          <w:rPr>
            <w:noProof/>
          </w:rPr>
          <w:t xml:space="preserve">BM-A.3. Covered Component</w:t>
        </w:r>
        <w:r>
          <w:rPr>
            <w:noProof/>
            <w:webHidden/>
          </w:rPr>
          <w:tab/>
        </w:r>
        <w:r>
          <w:rPr>
            <w:noProof/>
            <w:webHidden/>
          </w:rPr>
          <w:fldChar w:fldCharType="begin"/>
        </w:r>
        <w:r>
          <w:rPr>
            <w:noProof/>
            <w:webHidden/>
          </w:rPr>
          <w:instrText xml:space="preserve"> PAGEREF _Toc300002367 \h </w:instrText>
        </w:r>
        <w:r>
          <w:rPr>
            <w:noProof/>
            <w:webHidden/>
          </w:rPr>
          <w:fldChar w:fldCharType="separate"/>
        </w:r>
        <w:r>
          <w:rPr>
            <w:noProof/>
            <w:webHidden/>
          </w:rPr>
          <w:t>2300</w:t>
        </w:r>
        <w:r>
          <w:rPr>
            <w:noProof/>
            <w:webHidden/>
          </w:rPr>
          <w:fldChar w:fldCharType="end"/>
        </w:r>
      </w:hyperlink>
    </w:p>
    <w:p>
      <w:pPr>
        <w:pStyle w:val="TOC2"/>
      </w:pPr>
      <w:hyperlink w:anchor="_Toc300002368" w:history="1">
        <w:r>
          <w:rPr>
            <w:noProof/>
          </w:rPr>
          <w:t xml:space="preserve">BM-A.4. Seventy-Percent U.S. Manufacturing Commitment</w:t>
        </w:r>
        <w:r>
          <w:rPr>
            <w:noProof/>
            <w:webHidden/>
          </w:rPr>
          <w:tab/>
        </w:r>
        <w:r>
          <w:rPr>
            <w:noProof/>
            <w:webHidden/>
          </w:rPr>
          <w:fldChar w:fldCharType="begin"/>
        </w:r>
        <w:r>
          <w:rPr>
            <w:noProof/>
            <w:webHidden/>
          </w:rPr>
          <w:instrText xml:space="preserve"> PAGEREF _Toc300002368 \h </w:instrText>
        </w:r>
        <w:r>
          <w:rPr>
            <w:noProof/>
            <w:webHidden/>
          </w:rPr>
          <w:fldChar w:fldCharType="separate"/>
        </w:r>
        <w:r>
          <w:rPr>
            <w:noProof/>
            <w:webHidden/>
          </w:rPr>
          <w:t>2300</w:t>
        </w:r>
        <w:r>
          <w:rPr>
            <w:noProof/>
            <w:webHidden/>
          </w:rPr>
          <w:fldChar w:fldCharType="end"/>
        </w:r>
      </w:hyperlink>
    </w:p>
    <w:p>
      <w:pPr>
        <w:pStyle w:val="TOC2"/>
      </w:pPr>
      <w:hyperlink w:anchor="_Toc300002369" w:history="1">
        <w:r>
          <w:rPr>
            <w:noProof/>
          </w:rPr>
          <w:t xml:space="preserve">BM-A.5. Meaning of U.S.-Manufactured</w:t>
        </w:r>
        <w:r>
          <w:rPr>
            <w:noProof/>
            <w:webHidden/>
          </w:rPr>
          <w:tab/>
        </w:r>
        <w:r>
          <w:rPr>
            <w:noProof/>
            <w:webHidden/>
          </w:rPr>
          <w:fldChar w:fldCharType="begin"/>
        </w:r>
        <w:r>
          <w:rPr>
            <w:noProof/>
            <w:webHidden/>
          </w:rPr>
          <w:instrText xml:space="preserve"> PAGEREF _Toc300002369 \h </w:instrText>
        </w:r>
        <w:r>
          <w:rPr>
            <w:noProof/>
            <w:webHidden/>
          </w:rPr>
          <w:fldChar w:fldCharType="separate"/>
        </w:r>
        <w:r>
          <w:rPr>
            <w:noProof/>
            <w:webHidden/>
          </w:rPr>
          <w:t>2301</w:t>
        </w:r>
        <w:r>
          <w:rPr>
            <w:noProof/>
            <w:webHidden/>
          </w:rPr>
          <w:fldChar w:fldCharType="end"/>
        </w:r>
      </w:hyperlink>
    </w:p>
    <w:p>
      <w:pPr>
        <w:pStyle w:val="TOC2"/>
      </w:pPr>
      <w:hyperlink w:anchor="_Toc300002370" w:history="1">
        <w:r>
          <w:rPr>
            <w:noProof/>
          </w:rPr>
          <w:t xml:space="preserve">BM-A.6. North American Origin Preserved</w:t>
        </w:r>
        <w:r>
          <w:rPr>
            <w:noProof/>
            <w:webHidden/>
          </w:rPr>
          <w:tab/>
        </w:r>
        <w:r>
          <w:rPr>
            <w:noProof/>
            <w:webHidden/>
          </w:rPr>
          <w:fldChar w:fldCharType="begin"/>
        </w:r>
        <w:r>
          <w:rPr>
            <w:noProof/>
            <w:webHidden/>
          </w:rPr>
          <w:instrText xml:space="preserve"> PAGEREF _Toc300002370 \h </w:instrText>
        </w:r>
        <w:r>
          <w:rPr>
            <w:noProof/>
            <w:webHidden/>
          </w:rPr>
          <w:fldChar w:fldCharType="separate"/>
        </w:r>
        <w:r>
          <w:rPr>
            <w:noProof/>
            <w:webHidden/>
          </w:rPr>
          <w:t>2301</w:t>
        </w:r>
        <w:r>
          <w:rPr>
            <w:noProof/>
            <w:webHidden/>
          </w:rPr>
          <w:fldChar w:fldCharType="end"/>
        </w:r>
      </w:hyperlink>
    </w:p>
    <w:p>
      <w:pPr>
        <w:pStyle w:val="TOC2"/>
      </w:pPr>
      <w:hyperlink w:anchor="_Toc300002371" w:history="1">
        <w:r>
          <w:rPr>
            <w:noProof/>
          </w:rPr>
          <w:t xml:space="preserve">BM-A.7. Paired United States Consideration</w:t>
        </w:r>
        <w:r>
          <w:rPr>
            <w:noProof/>
            <w:webHidden/>
          </w:rPr>
          <w:tab/>
        </w:r>
        <w:r>
          <w:rPr>
            <w:noProof/>
            <w:webHidden/>
          </w:rPr>
          <w:fldChar w:fldCharType="begin"/>
        </w:r>
        <w:r>
          <w:rPr>
            <w:noProof/>
            <w:webHidden/>
          </w:rPr>
          <w:instrText xml:space="preserve"> PAGEREF _Toc300002371 \h </w:instrText>
        </w:r>
        <w:r>
          <w:rPr>
            <w:noProof/>
            <w:webHidden/>
          </w:rPr>
          <w:fldChar w:fldCharType="separate"/>
        </w:r>
        <w:r>
          <w:rPr>
            <w:noProof/>
            <w:webHidden/>
          </w:rPr>
          <w:t>2301</w:t>
        </w:r>
        <w:r>
          <w:rPr>
            <w:noProof/>
            <w:webHidden/>
          </w:rPr>
          <w:fldChar w:fldCharType="end"/>
        </w:r>
      </w:hyperlink>
    </w:p>
    <w:p>
      <w:pPr>
        <w:pStyle w:val="TOC2"/>
      </w:pPr>
      <w:hyperlink w:anchor="_Toc300002372" w:history="1">
        <w:r>
          <w:rPr>
            <w:noProof/>
          </w:rPr>
          <w:t xml:space="preserve">BM-A.8. No Uncompensated Front-Loading and Automatic Step-Back</w:t>
        </w:r>
        <w:r>
          <w:rPr>
            <w:noProof/>
            <w:webHidden/>
          </w:rPr>
          <w:tab/>
        </w:r>
        <w:r>
          <w:rPr>
            <w:noProof/>
            <w:webHidden/>
          </w:rPr>
          <w:fldChar w:fldCharType="begin"/>
        </w:r>
        <w:r>
          <w:rPr>
            <w:noProof/>
            <w:webHidden/>
          </w:rPr>
          <w:instrText xml:space="preserve"> PAGEREF _Toc300002372 \h </w:instrText>
        </w:r>
        <w:r>
          <w:rPr>
            <w:noProof/>
            <w:webHidden/>
          </w:rPr>
          <w:fldChar w:fldCharType="separate"/>
        </w:r>
        <w:r>
          <w:rPr>
            <w:noProof/>
            <w:webHidden/>
          </w:rPr>
          <w:t>2301</w:t>
        </w:r>
        <w:r>
          <w:rPr>
            <w:noProof/>
            <w:webHidden/>
          </w:rPr>
          <w:fldChar w:fldCharType="end"/>
        </w:r>
      </w:hyperlink>
    </w:p>
    <w:p>
      <w:pPr>
        <w:pStyle w:val="TOC2"/>
      </w:pPr>
      <w:hyperlink w:anchor="_Toc300002373" w:history="1">
        <w:r>
          <w:rPr>
            <w:noProof/>
          </w:rPr>
          <w:t xml:space="preserve">BM-A.9. Transition and Existing Contracts</w:t>
        </w:r>
        <w:r>
          <w:rPr>
            <w:noProof/>
            <w:webHidden/>
          </w:rPr>
          <w:tab/>
        </w:r>
        <w:r>
          <w:rPr>
            <w:noProof/>
            <w:webHidden/>
          </w:rPr>
          <w:fldChar w:fldCharType="begin"/>
        </w:r>
        <w:r>
          <w:rPr>
            <w:noProof/>
            <w:webHidden/>
          </w:rPr>
          <w:instrText xml:space="preserve"> PAGEREF _Toc300002373 \h </w:instrText>
        </w:r>
        <w:r>
          <w:rPr>
            <w:noProof/>
            <w:webHidden/>
          </w:rPr>
          <w:fldChar w:fldCharType="separate"/>
        </w:r>
        <w:r>
          <w:rPr>
            <w:noProof/>
            <w:webHidden/>
          </w:rPr>
          <w:t>2301</w:t>
        </w:r>
        <w:r>
          <w:rPr>
            <w:noProof/>
            <w:webHidden/>
          </w:rPr>
          <w:fldChar w:fldCharType="end"/>
        </w:r>
      </w:hyperlink>
    </w:p>
    <w:p>
      <w:pPr>
        <w:pStyle w:val="TOC2"/>
      </w:pPr>
      <w:hyperlink w:anchor="_Toc300002374" w:history="1">
        <w:r>
          <w:rPr>
            <w:noProof/>
          </w:rPr>
          <w:t xml:space="preserve">BM-A.10. Capacity, Quality and Safety Exception</w:t>
        </w:r>
        <w:r>
          <w:rPr>
            <w:noProof/>
            <w:webHidden/>
          </w:rPr>
          <w:tab/>
        </w:r>
        <w:r>
          <w:rPr>
            <w:noProof/>
            <w:webHidden/>
          </w:rPr>
          <w:fldChar w:fldCharType="begin"/>
        </w:r>
        <w:r>
          <w:rPr>
            <w:noProof/>
            <w:webHidden/>
          </w:rPr>
          <w:instrText xml:space="preserve"> PAGEREF _Toc300002374 \h </w:instrText>
        </w:r>
        <w:r>
          <w:rPr>
            <w:noProof/>
            <w:webHidden/>
          </w:rPr>
          <w:fldChar w:fldCharType="separate"/>
        </w:r>
        <w:r>
          <w:rPr>
            <w:noProof/>
            <w:webHidden/>
          </w:rPr>
          <w:t>2302</w:t>
        </w:r>
        <w:r>
          <w:rPr>
            <w:noProof/>
            <w:webHidden/>
          </w:rPr>
          <w:fldChar w:fldCharType="end"/>
        </w:r>
      </w:hyperlink>
    </w:p>
    <w:p>
      <w:pPr>
        <w:pStyle w:val="TOC2"/>
      </w:pPr>
      <w:hyperlink w:anchor="_Toc300002375" w:history="1">
        <w:r>
          <w:rPr>
            <w:noProof/>
          </w:rPr>
          <w:t xml:space="preserve">BM-A.11. Three-Component Absolute Ceiling</w:t>
        </w:r>
        <w:r>
          <w:rPr>
            <w:noProof/>
            <w:webHidden/>
          </w:rPr>
          <w:tab/>
        </w:r>
        <w:r>
          <w:rPr>
            <w:noProof/>
            <w:webHidden/>
          </w:rPr>
          <w:fldChar w:fldCharType="begin"/>
        </w:r>
        <w:r>
          <w:rPr>
            <w:noProof/>
            <w:webHidden/>
          </w:rPr>
          <w:instrText xml:space="preserve"> PAGEREF _Toc300002375 \h </w:instrText>
        </w:r>
        <w:r>
          <w:rPr>
            <w:noProof/>
            <w:webHidden/>
          </w:rPr>
          <w:fldChar w:fldCharType="separate"/>
        </w:r>
        <w:r>
          <w:rPr>
            <w:noProof/>
            <w:webHidden/>
          </w:rPr>
          <w:t>2302</w:t>
        </w:r>
        <w:r>
          <w:rPr>
            <w:noProof/>
            <w:webHidden/>
          </w:rPr>
          <w:fldChar w:fldCharType="end"/>
        </w:r>
      </w:hyperlink>
    </w:p>
    <w:p>
      <w:pPr>
        <w:pStyle w:val="TOC2"/>
      </w:pPr>
      <w:hyperlink w:anchor="_Toc300002376" w:history="1">
        <w:r>
          <w:rPr>
            <w:noProof/>
          </w:rPr>
          <w:t xml:space="preserve">BM-A.12. Strategic-Component Firewall</w:t>
        </w:r>
        <w:r>
          <w:rPr>
            <w:noProof/>
            <w:webHidden/>
          </w:rPr>
          <w:tab/>
        </w:r>
        <w:r>
          <w:rPr>
            <w:noProof/>
            <w:webHidden/>
          </w:rPr>
          <w:fldChar w:fldCharType="begin"/>
        </w:r>
        <w:r>
          <w:rPr>
            <w:noProof/>
            <w:webHidden/>
          </w:rPr>
          <w:instrText xml:space="preserve"> PAGEREF _Toc300002376 \h </w:instrText>
        </w:r>
        <w:r>
          <w:rPr>
            <w:noProof/>
            <w:webHidden/>
          </w:rPr>
          <w:fldChar w:fldCharType="separate"/>
        </w:r>
        <w:r>
          <w:rPr>
            <w:noProof/>
            <w:webHidden/>
          </w:rPr>
          <w:t>2302</w:t>
        </w:r>
        <w:r>
          <w:rPr>
            <w:noProof/>
            <w:webHidden/>
          </w:rPr>
          <w:fldChar w:fldCharType="end"/>
        </w:r>
      </w:hyperlink>
    </w:p>
    <w:p>
      <w:pPr>
        <w:pStyle w:val="TOC2"/>
      </w:pPr>
      <w:hyperlink w:anchor="_Toc300002377" w:history="1">
        <w:r>
          <w:rPr>
            <w:noProof/>
          </w:rPr>
          <w:t xml:space="preserve">BM-A.13. No Precedent and Anti-Salami-Slicing Rule</w:t>
        </w:r>
        <w:r>
          <w:rPr>
            <w:noProof/>
            <w:webHidden/>
          </w:rPr>
          <w:tab/>
        </w:r>
        <w:r>
          <w:rPr>
            <w:noProof/>
            <w:webHidden/>
          </w:rPr>
          <w:fldChar w:fldCharType="begin"/>
        </w:r>
        <w:r>
          <w:rPr>
            <w:noProof/>
            <w:webHidden/>
          </w:rPr>
          <w:instrText xml:space="preserve"> PAGEREF _Toc300002377 \h </w:instrText>
        </w:r>
        <w:r>
          <w:rPr>
            <w:noProof/>
            <w:webHidden/>
          </w:rPr>
          <w:fldChar w:fldCharType="separate"/>
        </w:r>
        <w:r>
          <w:rPr>
            <w:noProof/>
            <w:webHidden/>
          </w:rPr>
          <w:t>2302</w:t>
        </w:r>
        <w:r>
          <w:rPr>
            <w:noProof/>
            <w:webHidden/>
          </w:rPr>
          <w:fldChar w:fldCharType="end"/>
        </w:r>
      </w:hyperlink>
    </w:p>
    <w:p>
      <w:pPr>
        <w:pStyle w:val="TOC2"/>
      </w:pPr>
      <w:hyperlink w:anchor="_Toc300002378" w:history="1">
        <w:r>
          <w:rPr>
            <w:noProof/>
          </w:rPr>
          <w:t xml:space="preserve">BM-A.14. Review and Technological Sunset</w:t>
        </w:r>
        <w:r>
          <w:rPr>
            <w:noProof/>
            <w:webHidden/>
          </w:rPr>
          <w:tab/>
        </w:r>
        <w:r>
          <w:rPr>
            <w:noProof/>
            <w:webHidden/>
          </w:rPr>
          <w:fldChar w:fldCharType="begin"/>
        </w:r>
        <w:r>
          <w:rPr>
            <w:noProof/>
            <w:webHidden/>
          </w:rPr>
          <w:instrText xml:space="preserve"> PAGEREF _Toc300002378 \h </w:instrText>
        </w:r>
        <w:r>
          <w:rPr>
            <w:noProof/>
            <w:webHidden/>
          </w:rPr>
          <w:fldChar w:fldCharType="separate"/>
        </w:r>
        <w:r>
          <w:rPr>
            <w:noProof/>
            <w:webHidden/>
          </w:rPr>
          <w:t>2302</w:t>
        </w:r>
        <w:r>
          <w:rPr>
            <w:noProof/>
            <w:webHidden/>
          </w:rPr>
          <w:fldChar w:fldCharType="end"/>
        </w:r>
      </w:hyperlink>
    </w:p>
    <w:p>
      <w:pPr>
        <w:pStyle w:val="TOC2"/>
      </w:pPr>
      <w:hyperlink w:anchor="_Toc300002379" w:history="1">
        <w:r>
          <w:rPr>
            <w:noProof/>
          </w:rPr>
          <w:t xml:space="preserve">BM-A.15. Consumer-Cost and Competition Safeguard</w:t>
        </w:r>
        <w:r>
          <w:rPr>
            <w:noProof/>
            <w:webHidden/>
          </w:rPr>
          <w:tab/>
        </w:r>
        <w:r>
          <w:rPr>
            <w:noProof/>
            <w:webHidden/>
          </w:rPr>
          <w:fldChar w:fldCharType="begin"/>
        </w:r>
        <w:r>
          <w:rPr>
            <w:noProof/>
            <w:webHidden/>
          </w:rPr>
          <w:instrText xml:space="preserve"> PAGEREF _Toc300002379 \h </w:instrText>
        </w:r>
        <w:r>
          <w:rPr>
            <w:noProof/>
            <w:webHidden/>
          </w:rPr>
          <w:fldChar w:fldCharType="separate"/>
        </w:r>
        <w:r>
          <w:rPr>
            <w:noProof/>
            <w:webHidden/>
          </w:rPr>
          <w:t>2303</w:t>
        </w:r>
        <w:r>
          <w:rPr>
            <w:noProof/>
            <w:webHidden/>
          </w:rPr>
          <w:fldChar w:fldCharType="end"/>
        </w:r>
      </w:hyperlink>
    </w:p>
    <w:p>
      <w:pPr>
        <w:pStyle w:val="TOC2"/>
      </w:pPr>
      <w:hyperlink w:anchor="_Toc300002380" w:history="1">
        <w:r>
          <w:rPr>
            <w:noProof/>
          </w:rPr>
          <w:t xml:space="preserve">BM-A.16. Governing Bargain</w:t>
        </w:r>
        <w:r>
          <w:rPr>
            <w:noProof/>
            <w:webHidden/>
          </w:rPr>
          <w:tab/>
        </w:r>
        <w:r>
          <w:rPr>
            <w:noProof/>
            <w:webHidden/>
          </w:rPr>
          <w:fldChar w:fldCharType="begin"/>
        </w:r>
        <w:r>
          <w:rPr>
            <w:noProof/>
            <w:webHidden/>
          </w:rPr>
          <w:instrText xml:space="preserve"> PAGEREF _Toc300002380 \h </w:instrText>
        </w:r>
        <w:r>
          <w:rPr>
            <w:noProof/>
            <w:webHidden/>
          </w:rPr>
          <w:fldChar w:fldCharType="separate"/>
        </w:r>
        <w:r>
          <w:rPr>
            <w:noProof/>
            <w:webHidden/>
          </w:rPr>
          <w:t>2303</w:t>
        </w:r>
        <w:r>
          <w:rPr>
            <w:noProof/>
            <w:webHidden/>
          </w:rPr>
          <w:fldChar w:fldCharType="end"/>
        </w:r>
      </w:hyperlink>
    </w:p>
    <w:p>
      <w:pPr>
        <w:pStyle w:val="TOC1"/>
      </w:pPr>
      <w:hyperlink w:anchor="_Toc300002381" w:history="1">
        <w:r>
          <w:rPr>
            <w:noProof/>
          </w:rPr>
          <w:t xml:space="preserve">PACKAGE BN: NORTH AMERICAN MOBILITY, MIGRATION, HUMAN DIGNITY AND LAWFUL ADMINISTRATION FRAMEWORK</w:t>
        </w:r>
        <w:r>
          <w:rPr>
            <w:noProof/>
            <w:webHidden/>
          </w:rPr>
          <w:tab/>
        </w:r>
        <w:r>
          <w:rPr>
            <w:noProof/>
            <w:webHidden/>
          </w:rPr>
          <w:fldChar w:fldCharType="begin"/>
        </w:r>
        <w:r>
          <w:rPr>
            <w:noProof/>
            <w:webHidden/>
          </w:rPr>
          <w:instrText xml:space="preserve"> PAGEREF _Toc300002381 \h </w:instrText>
        </w:r>
        <w:r>
          <w:rPr>
            <w:noProof/>
            <w:webHidden/>
          </w:rPr>
          <w:fldChar w:fldCharType="separate"/>
        </w:r>
        <w:r>
          <w:rPr>
            <w:noProof/>
            <w:webHidden/>
          </w:rPr>
          <w:t>2304</w:t>
        </w:r>
        <w:r>
          <w:rPr>
            <w:noProof/>
            <w:webHidden/>
          </w:rPr>
          <w:fldChar w:fldCharType="end"/>
        </w:r>
      </w:hyperlink>
    </w:p>
    <w:p>
      <w:pPr>
        <w:pStyle w:val="TOC1"/>
      </w:pPr>
      <w:hyperlink w:anchor="_Toc300002382" w:history="1">
        <w:r>
          <w:rPr>
            <w:noProof/>
          </w:rPr>
          <w:t xml:space="preserve">PACKAGE BO: LAWFUL LABOUR, PROFESSIONAL, STUDENT AND FAMILY MOBILITY</w:t>
        </w:r>
        <w:r>
          <w:rPr>
            <w:noProof/>
            <w:webHidden/>
          </w:rPr>
          <w:tab/>
        </w:r>
        <w:r>
          <w:rPr>
            <w:noProof/>
            <w:webHidden/>
          </w:rPr>
          <w:fldChar w:fldCharType="begin"/>
        </w:r>
        <w:r>
          <w:rPr>
            <w:noProof/>
            <w:webHidden/>
          </w:rPr>
          <w:instrText xml:space="preserve"> PAGEREF _Toc300002382 \h </w:instrText>
        </w:r>
        <w:r>
          <w:rPr>
            <w:noProof/>
            <w:webHidden/>
          </w:rPr>
          <w:fldChar w:fldCharType="separate"/>
        </w:r>
        <w:r>
          <w:rPr>
            <w:noProof/>
            <w:webHidden/>
          </w:rPr>
          <w:t>2306</w:t>
        </w:r>
        <w:r>
          <w:rPr>
            <w:noProof/>
            <w:webHidden/>
          </w:rPr>
          <w:fldChar w:fldCharType="end"/>
        </w:r>
      </w:hyperlink>
    </w:p>
    <w:p>
      <w:pPr>
        <w:pStyle w:val="TOC1"/>
      </w:pPr>
      <w:hyperlink w:anchor="_Toc300002383" w:history="1">
        <w:r>
          <w:rPr>
            <w:noProof/>
          </w:rPr>
          <w:t xml:space="preserve">PACKAGE BP: MIGRANT WORKER PROTECTION AND EMPLOYER ACCOUNTABILITY</w:t>
        </w:r>
        <w:r>
          <w:rPr>
            <w:noProof/>
            <w:webHidden/>
          </w:rPr>
          <w:tab/>
        </w:r>
        <w:r>
          <w:rPr>
            <w:noProof/>
            <w:webHidden/>
          </w:rPr>
          <w:fldChar w:fldCharType="begin"/>
        </w:r>
        <w:r>
          <w:rPr>
            <w:noProof/>
            <w:webHidden/>
          </w:rPr>
          <w:instrText xml:space="preserve"> PAGEREF _Toc300002383 \h </w:instrText>
        </w:r>
        <w:r>
          <w:rPr>
            <w:noProof/>
            <w:webHidden/>
          </w:rPr>
          <w:fldChar w:fldCharType="separate"/>
        </w:r>
        <w:r>
          <w:rPr>
            <w:noProof/>
            <w:webHidden/>
          </w:rPr>
          <w:t>2308</w:t>
        </w:r>
        <w:r>
          <w:rPr>
            <w:noProof/>
            <w:webHidden/>
          </w:rPr>
          <w:fldChar w:fldCharType="end"/>
        </w:r>
      </w:hyperlink>
    </w:p>
    <w:p>
      <w:pPr>
        <w:pStyle w:val="TOC1"/>
      </w:pPr>
      <w:hyperlink w:anchor="_Toc300002384" w:history="1">
        <w:r>
          <w:rPr>
            <w:noProof/>
          </w:rPr>
          <w:t xml:space="preserve">PACKAGE BQ: REFUGEE, ASYLUM, TRAFFICKING AND HUMANITARIAN PROTECTION</w:t>
        </w:r>
        <w:r>
          <w:rPr>
            <w:noProof/>
            <w:webHidden/>
          </w:rPr>
          <w:tab/>
        </w:r>
        <w:r>
          <w:rPr>
            <w:noProof/>
            <w:webHidden/>
          </w:rPr>
          <w:fldChar w:fldCharType="begin"/>
        </w:r>
        <w:r>
          <w:rPr>
            <w:noProof/>
            <w:webHidden/>
          </w:rPr>
          <w:instrText xml:space="preserve"> PAGEREF _Toc300002384 \h </w:instrText>
        </w:r>
        <w:r>
          <w:rPr>
            <w:noProof/>
            <w:webHidden/>
          </w:rPr>
          <w:fldChar w:fldCharType="separate"/>
        </w:r>
        <w:r>
          <w:rPr>
            <w:noProof/>
            <w:webHidden/>
          </w:rPr>
          <w:t>2309</w:t>
        </w:r>
        <w:r>
          <w:rPr>
            <w:noProof/>
            <w:webHidden/>
          </w:rPr>
          <w:fldChar w:fldCharType="end"/>
        </w:r>
      </w:hyperlink>
    </w:p>
    <w:p>
      <w:pPr>
        <w:pStyle w:val="TOC1"/>
      </w:pPr>
      <w:hyperlink w:anchor="_Toc300002385" w:history="1">
        <w:r>
          <w:rPr>
            <w:noProof/>
          </w:rPr>
          <w:t xml:space="preserve">PACKAGE BR: CIVIL IMMIGRATION ENFORCEMENT, DUE PROCESS AND POWER-SEPARATION SAFEGUARDS</w:t>
        </w:r>
        <w:r>
          <w:rPr>
            <w:noProof/>
            <w:webHidden/>
          </w:rPr>
          <w:tab/>
        </w:r>
        <w:r>
          <w:rPr>
            <w:noProof/>
            <w:webHidden/>
          </w:rPr>
          <w:fldChar w:fldCharType="begin"/>
        </w:r>
        <w:r>
          <w:rPr>
            <w:noProof/>
            <w:webHidden/>
          </w:rPr>
          <w:instrText xml:space="preserve"> PAGEREF _Toc300002385 \h </w:instrText>
        </w:r>
        <w:r>
          <w:rPr>
            <w:noProof/>
            <w:webHidden/>
          </w:rPr>
          <w:fldChar w:fldCharType="separate"/>
        </w:r>
        <w:r>
          <w:rPr>
            <w:noProof/>
            <w:webHidden/>
          </w:rPr>
          <w:t>2311</w:t>
        </w:r>
        <w:r>
          <w:rPr>
            <w:noProof/>
            <w:webHidden/>
          </w:rPr>
          <w:fldChar w:fldCharType="end"/>
        </w:r>
      </w:hyperlink>
    </w:p>
    <w:p>
      <w:pPr>
        <w:pStyle w:val="TOC1"/>
      </w:pPr>
      <w:hyperlink w:anchor="_Toc300002386" w:history="1">
        <w:r>
          <w:rPr>
            <w:noProof/>
          </w:rPr>
          <w:t xml:space="preserve">PACKAGE BS: HUMANE CUSTODY, DETENTION ALTERNATIVES AND SENSITIVE-LOCATION PROTECTION</w:t>
        </w:r>
        <w:r>
          <w:rPr>
            <w:noProof/>
            <w:webHidden/>
          </w:rPr>
          <w:tab/>
        </w:r>
        <w:r>
          <w:rPr>
            <w:noProof/>
            <w:webHidden/>
          </w:rPr>
          <w:fldChar w:fldCharType="begin"/>
        </w:r>
        <w:r>
          <w:rPr>
            <w:noProof/>
            <w:webHidden/>
          </w:rPr>
          <w:instrText xml:space="preserve"> PAGEREF _Toc300002386 \h </w:instrText>
        </w:r>
        <w:r>
          <w:rPr>
            <w:noProof/>
            <w:webHidden/>
          </w:rPr>
          <w:fldChar w:fldCharType="separate"/>
        </w:r>
        <w:r>
          <w:rPr>
            <w:noProof/>
            <w:webHidden/>
          </w:rPr>
          <w:t>2313</w:t>
        </w:r>
        <w:r>
          <w:rPr>
            <w:noProof/>
            <w:webHidden/>
          </w:rPr>
          <w:fldChar w:fldCharType="end"/>
        </w:r>
      </w:hyperlink>
    </w:p>
    <w:p>
      <w:pPr>
        <w:pStyle w:val="TOC1"/>
      </w:pPr>
      <w:hyperlink w:anchor="_Toc300002387" w:history="1">
        <w:r>
          <w:rPr>
            <w:noProof/>
          </w:rPr>
          <w:t xml:space="preserve">PACKAGE BT: MIGRATION DATA, PRIVACY, BIOMETRICS AND AUTOMATED-DECISION SAFEGUARDS</w:t>
        </w:r>
        <w:r>
          <w:rPr>
            <w:noProof/>
            <w:webHidden/>
          </w:rPr>
          <w:tab/>
        </w:r>
        <w:r>
          <w:rPr>
            <w:noProof/>
            <w:webHidden/>
          </w:rPr>
          <w:fldChar w:fldCharType="begin"/>
        </w:r>
        <w:r>
          <w:rPr>
            <w:noProof/>
            <w:webHidden/>
          </w:rPr>
          <w:instrText xml:space="preserve"> PAGEREF _Toc300002387 \h </w:instrText>
        </w:r>
        <w:r>
          <w:rPr>
            <w:noProof/>
            <w:webHidden/>
          </w:rPr>
          <w:fldChar w:fldCharType="separate"/>
        </w:r>
        <w:r>
          <w:rPr>
            <w:noProof/>
            <w:webHidden/>
          </w:rPr>
          <w:t>2315</w:t>
        </w:r>
        <w:r>
          <w:rPr>
            <w:noProof/>
            <w:webHidden/>
          </w:rPr>
          <w:fldChar w:fldCharType="end"/>
        </w:r>
      </w:hyperlink>
    </w:p>
    <w:p>
      <w:pPr>
        <w:pStyle w:val="TOC1"/>
      </w:pPr>
      <w:hyperlink w:anchor="_Toc300002388" w:history="1">
        <w:r>
          <w:rPr>
            <w:noProof/>
          </w:rPr>
          <w:t xml:space="preserve">PACKAGE BU: RETURN, REINTEGRATION, DISASTER MOBILITY AND REGIONAL DEVELOPMENT</w:t>
        </w:r>
        <w:r>
          <w:rPr>
            <w:noProof/>
            <w:webHidden/>
          </w:rPr>
          <w:tab/>
        </w:r>
        <w:r>
          <w:rPr>
            <w:noProof/>
            <w:webHidden/>
          </w:rPr>
          <w:fldChar w:fldCharType="begin"/>
        </w:r>
        <w:r>
          <w:rPr>
            <w:noProof/>
            <w:webHidden/>
          </w:rPr>
          <w:instrText xml:space="preserve"> PAGEREF _Toc300002388 \h </w:instrText>
        </w:r>
        <w:r>
          <w:rPr>
            <w:noProof/>
            <w:webHidden/>
          </w:rPr>
          <w:fldChar w:fldCharType="separate"/>
        </w:r>
        <w:r>
          <w:rPr>
            <w:noProof/>
            <w:webHidden/>
          </w:rPr>
          <w:t>2317</w:t>
        </w:r>
        <w:r>
          <w:rPr>
            <w:noProof/>
            <w:webHidden/>
          </w:rPr>
          <w:fldChar w:fldCharType="end"/>
        </w:r>
      </w:hyperlink>
    </w:p>
    <w:p>
      <w:pPr>
        <w:pStyle w:val="TOC1"/>
      </w:pPr>
      <w:hyperlink w:anchor="_Toc300002389" w:history="1">
        <w:r>
          <w:rPr>
            <w:noProof/>
          </w:rPr>
          <w:t xml:space="preserve">PACKAGE BV: TRUSTED NORTH AMERICAN MOBILITY AND ADMINISTRATIVE INTEROPERABILITY</w:t>
        </w:r>
        <w:r>
          <w:rPr>
            <w:noProof/>
            <w:webHidden/>
          </w:rPr>
          <w:tab/>
        </w:r>
        <w:r>
          <w:rPr>
            <w:noProof/>
            <w:webHidden/>
          </w:rPr>
          <w:fldChar w:fldCharType="begin"/>
        </w:r>
        <w:r>
          <w:rPr>
            <w:noProof/>
            <w:webHidden/>
          </w:rPr>
          <w:instrText xml:space="preserve"> PAGEREF _Toc300002389 \h </w:instrText>
        </w:r>
        <w:r>
          <w:rPr>
            <w:noProof/>
            <w:webHidden/>
          </w:rPr>
          <w:fldChar w:fldCharType="separate"/>
        </w:r>
        <w:r>
          <w:rPr>
            <w:noProof/>
            <w:webHidden/>
          </w:rPr>
          <w:t>2318</w:t>
        </w:r>
        <w:r>
          <w:rPr>
            <w:noProof/>
            <w:webHidden/>
          </w:rPr>
          <w:fldChar w:fldCharType="end"/>
        </w:r>
      </w:hyperlink>
    </w:p>
    <w:p>
      <w:pPr>
        <w:pStyle w:val="TOC1"/>
      </w:pPr>
      <w:hyperlink w:anchor="_Toc300002390" w:history="1">
        <w:r>
          <w:rPr>
            <w:noProof/>
          </w:rPr>
          <w:t xml:space="preserve">PACKAGE BW: NORTH AMERICAN HUMAN DIGNITY, RULE-OF-LAW AND EARNED COOPERATION FRAMEWORK</w:t>
        </w:r>
        <w:r>
          <w:rPr>
            <w:noProof/>
            <w:webHidden/>
          </w:rPr>
          <w:tab/>
        </w:r>
        <w:r>
          <w:rPr>
            <w:noProof/>
            <w:webHidden/>
          </w:rPr>
          <w:fldChar w:fldCharType="begin"/>
        </w:r>
        <w:r>
          <w:rPr>
            <w:noProof/>
            <w:webHidden/>
          </w:rPr>
          <w:instrText xml:space="preserve"> PAGEREF _Toc300002390 \h </w:instrText>
        </w:r>
        <w:r>
          <w:rPr>
            <w:noProof/>
            <w:webHidden/>
          </w:rPr>
          <w:fldChar w:fldCharType="separate"/>
        </w:r>
        <w:r>
          <w:rPr>
            <w:noProof/>
            <w:webHidden/>
          </w:rPr>
          <w:t>2319</w:t>
        </w:r>
        <w:r>
          <w:rPr>
            <w:noProof/>
            <w:webHidden/>
          </w:rPr>
          <w:fldChar w:fldCharType="end"/>
        </w:r>
      </w:hyperlink>
    </w:p>
    <w:p>
      <w:pPr>
        <w:pStyle w:val="TOC1"/>
      </w:pPr>
      <w:hyperlink w:anchor="_Toc300002391" w:history="1">
        <w:r>
          <w:rPr>
            <w:noProof/>
          </w:rPr>
          <w:t xml:space="preserve">PACKAGE BX: HUMAN-RIGHTS-CONDITIONED TRADE AND IMPLEMENTATION CATALOGUE</w:t>
        </w:r>
        <w:r>
          <w:rPr>
            <w:noProof/>
            <w:webHidden/>
          </w:rPr>
          <w:tab/>
        </w:r>
        <w:r>
          <w:rPr>
            <w:noProof/>
            <w:webHidden/>
          </w:rPr>
          <w:fldChar w:fldCharType="begin"/>
        </w:r>
        <w:r>
          <w:rPr>
            <w:noProof/>
            <w:webHidden/>
          </w:rPr>
          <w:instrText xml:space="preserve"> PAGEREF _Toc300002391 \h </w:instrText>
        </w:r>
        <w:r>
          <w:rPr>
            <w:noProof/>
            <w:webHidden/>
          </w:rPr>
          <w:fldChar w:fldCharType="separate"/>
        </w:r>
        <w:r>
          <w:rPr>
            <w:noProof/>
            <w:webHidden/>
          </w:rPr>
          <w:t>2321</w:t>
        </w:r>
        <w:r>
          <w:rPr>
            <w:noProof/>
            <w:webHidden/>
          </w:rPr>
          <w:fldChar w:fldCharType="end"/>
        </w:r>
      </w:hyperlink>
    </w:p>
    <w:p>
      <w:pPr>
        <w:pStyle w:val="TOC1"/>
      </w:pPr>
      <w:hyperlink w:anchor="_Toc300002392" w:history="1">
        <w:r>
          <w:rPr>
            <w:noProof/>
          </w:rPr>
          <w:t xml:space="preserve">PACKAGE BY: AUTOMOTIVE WORKFORCE ADVANCEMENT AND LVC MODERNIZATION</w:t>
        </w:r>
        <w:r>
          <w:rPr>
            <w:noProof/>
            <w:webHidden/>
          </w:rPr>
          <w:tab/>
        </w:r>
        <w:r>
          <w:rPr>
            <w:noProof/>
            <w:webHidden/>
          </w:rPr>
          <w:fldChar w:fldCharType="begin"/>
        </w:r>
        <w:r>
          <w:rPr>
            <w:noProof/>
            <w:webHidden/>
          </w:rPr>
          <w:instrText xml:space="preserve"> PAGEREF _Toc300002392 \h </w:instrText>
        </w:r>
        <w:r>
          <w:rPr>
            <w:noProof/>
            <w:webHidden/>
          </w:rPr>
          <w:fldChar w:fldCharType="separate"/>
        </w:r>
        <w:r>
          <w:rPr>
            <w:noProof/>
            <w:webHidden/>
          </w:rPr>
          <w:t>2325</w:t>
        </w:r>
        <w:r>
          <w:rPr>
            <w:noProof/>
            <w:webHidden/>
          </w:rPr>
          <w:fldChar w:fldCharType="end"/>
        </w:r>
      </w:hyperlink>
    </w:p>
    <w:p>
      <w:pPr>
        <w:pStyle w:val="TOC1"/>
      </w:pPr>
      <w:hyperlink w:anchor="_Toc300002393" w:history="1">
        <w:r>
          <w:rPr>
            <w:noProof/>
          </w:rPr>
          <w:t xml:space="preserve">PACKAGE BZ: TRILATERAL FACILITY-SPECIFIC LABOUR RECIPROCITY INTEGRATION</w:t>
        </w:r>
        <w:r>
          <w:rPr>
            <w:noProof/>
            <w:webHidden/>
          </w:rPr>
          <w:tab/>
        </w:r>
        <w:r>
          <w:rPr>
            <w:noProof/>
            <w:webHidden/>
          </w:rPr>
          <w:fldChar w:fldCharType="begin"/>
        </w:r>
        <w:r>
          <w:rPr>
            <w:noProof/>
            <w:webHidden/>
          </w:rPr>
          <w:instrText xml:space="preserve"> PAGEREF _Toc300002393 \h </w:instrText>
        </w:r>
        <w:r>
          <w:rPr>
            <w:noProof/>
            <w:webHidden/>
          </w:rPr>
          <w:fldChar w:fldCharType="separate"/>
        </w:r>
        <w:r>
          <w:rPr>
            <w:noProof/>
            <w:webHidden/>
          </w:rPr>
          <w:t>2327</w:t>
        </w:r>
        <w:r>
          <w:rPr>
            <w:noProof/>
            <w:webHidden/>
          </w:rPr>
          <w:fldChar w:fldCharType="end"/>
        </w:r>
      </w:hyperlink>
    </w:p>
    <w:p>
      <w:pPr>
        <w:pStyle w:val="TOC1"/>
      </w:pPr>
      <w:hyperlink w:anchor="_Toc300002394" w:history="1">
        <w:r>
          <w:rPr>
            <w:noProof/>
          </w:rPr>
          <w:t xml:space="preserve">PACKAGE CA: ANNEX 23-A LABOUR-REFORM DURABILITY INTEGRATION</w:t>
        </w:r>
        <w:r>
          <w:rPr>
            <w:noProof/>
            <w:webHidden/>
          </w:rPr>
          <w:tab/>
        </w:r>
        <w:r>
          <w:rPr>
            <w:noProof/>
            <w:webHidden/>
          </w:rPr>
          <w:fldChar w:fldCharType="begin"/>
        </w:r>
        <w:r>
          <w:rPr>
            <w:noProof/>
            <w:webHidden/>
          </w:rPr>
          <w:instrText xml:space="preserve"> PAGEREF _Toc300002394 \h </w:instrText>
        </w:r>
        <w:r>
          <w:rPr>
            <w:noProof/>
            <w:webHidden/>
          </w:rPr>
          <w:fldChar w:fldCharType="separate"/>
        </w:r>
        <w:r>
          <w:rPr>
            <w:noProof/>
            <w:webHidden/>
          </w:rPr>
          <w:t>2330</w:t>
        </w:r>
        <w:r>
          <w:rPr>
            <w:noProof/>
            <w:webHidden/>
          </w:rPr>
          <w:fldChar w:fldCharType="end"/>
        </w:r>
      </w:hyperlink>
    </w:p>
    <w:p>
      <w:pPr>
        <w:pStyle w:val="TOC2"/>
      </w:pPr>
      <w:hyperlink w:anchor="_Toc300002395" w:history="1">
        <w:r>
          <w:rPr>
            <w:noProof/>
          </w:rPr>
          <w:t xml:space="preserve">CA-1 Preserve Achievements, Delete the Time Capsule.</w:t>
        </w:r>
        <w:r>
          <w:rPr>
            <w:noProof/>
            <w:webHidden/>
          </w:rPr>
          <w:tab/>
        </w:r>
        <w:r>
          <w:rPr>
            <w:noProof/>
            <w:webHidden/>
          </w:rPr>
          <w:fldChar w:fldCharType="begin"/>
        </w:r>
        <w:r>
          <w:rPr>
            <w:noProof/>
            <w:webHidden/>
          </w:rPr>
          <w:instrText xml:space="preserve"> PAGEREF _Toc300002395 \h </w:instrText>
        </w:r>
        <w:r>
          <w:rPr>
            <w:noProof/>
            <w:webHidden/>
          </w:rPr>
          <w:fldChar w:fldCharType="separate"/>
        </w:r>
        <w:r>
          <w:rPr>
            <w:noProof/>
            <w:webHidden/>
          </w:rPr>
          <w:t>2330</w:t>
        </w:r>
        <w:r>
          <w:rPr>
            <w:noProof/>
            <w:webHidden/>
          </w:rPr>
          <w:fldChar w:fldCharType="end"/>
        </w:r>
      </w:hyperlink>
    </w:p>
    <w:p>
      <w:pPr>
        <w:pStyle w:val="TOC2"/>
      </w:pPr>
      <w:hyperlink w:anchor="_Toc300002396" w:history="1">
        <w:r>
          <w:rPr>
            <w:noProof/>
          </w:rPr>
          <w:t xml:space="preserve">CA-2 Durable Democratic Consent.</w:t>
        </w:r>
        <w:r>
          <w:rPr>
            <w:noProof/>
            <w:webHidden/>
          </w:rPr>
          <w:tab/>
        </w:r>
        <w:r>
          <w:rPr>
            <w:noProof/>
            <w:webHidden/>
          </w:rPr>
          <w:fldChar w:fldCharType="begin"/>
        </w:r>
        <w:r>
          <w:rPr>
            <w:noProof/>
            <w:webHidden/>
          </w:rPr>
          <w:instrText xml:space="preserve"> PAGEREF _Toc300002396 \h </w:instrText>
        </w:r>
        <w:r>
          <w:rPr>
            <w:noProof/>
            <w:webHidden/>
          </w:rPr>
          <w:fldChar w:fldCharType="separate"/>
        </w:r>
        <w:r>
          <w:rPr>
            <w:noProof/>
            <w:webHidden/>
          </w:rPr>
          <w:t>2330</w:t>
        </w:r>
        <w:r>
          <w:rPr>
            <w:noProof/>
            <w:webHidden/>
          </w:rPr>
          <w:fldChar w:fldCharType="end"/>
        </w:r>
      </w:hyperlink>
    </w:p>
    <w:p>
      <w:pPr>
        <w:pStyle w:val="TOC2"/>
      </w:pPr>
      <w:hyperlink w:anchor="_Toc300002397" w:history="1">
        <w:r>
          <w:rPr>
            <w:noProof/>
          </w:rPr>
          <w:t xml:space="preserve">CA-3 Independent Institutions, Flexible Machinery.</w:t>
        </w:r>
        <w:r>
          <w:rPr>
            <w:noProof/>
            <w:webHidden/>
          </w:rPr>
          <w:tab/>
        </w:r>
        <w:r>
          <w:rPr>
            <w:noProof/>
            <w:webHidden/>
          </w:rPr>
          <w:fldChar w:fldCharType="begin"/>
        </w:r>
        <w:r>
          <w:rPr>
            <w:noProof/>
            <w:webHidden/>
          </w:rPr>
          <w:instrText xml:space="preserve"> PAGEREF _Toc300002397 \h </w:instrText>
        </w:r>
        <w:r>
          <w:rPr>
            <w:noProof/>
            <w:webHidden/>
          </w:rPr>
          <w:fldChar w:fldCharType="separate"/>
        </w:r>
        <w:r>
          <w:rPr>
            <w:noProof/>
            <w:webHidden/>
          </w:rPr>
          <w:t>2330</w:t>
        </w:r>
        <w:r>
          <w:rPr>
            <w:noProof/>
            <w:webHidden/>
          </w:rPr>
          <w:fldChar w:fldCharType="end"/>
        </w:r>
      </w:hyperlink>
    </w:p>
    <w:p>
      <w:pPr>
        <w:pStyle w:val="TOC2"/>
      </w:pPr>
      <w:hyperlink w:anchor="_Toc300002398" w:history="1">
        <w:r>
          <w:rPr>
            <w:noProof/>
          </w:rPr>
          <w:t xml:space="preserve">CA-4 Protection-Contract Firewall.</w:t>
        </w:r>
        <w:r>
          <w:rPr>
            <w:noProof/>
            <w:webHidden/>
          </w:rPr>
          <w:tab/>
        </w:r>
        <w:r>
          <w:rPr>
            <w:noProof/>
            <w:webHidden/>
          </w:rPr>
          <w:fldChar w:fldCharType="begin"/>
        </w:r>
        <w:r>
          <w:rPr>
            <w:noProof/>
            <w:webHidden/>
          </w:rPr>
          <w:instrText xml:space="preserve"> PAGEREF _Toc300002398 \h </w:instrText>
        </w:r>
        <w:r>
          <w:rPr>
            <w:noProof/>
            <w:webHidden/>
          </w:rPr>
          <w:fldChar w:fldCharType="separate"/>
        </w:r>
        <w:r>
          <w:rPr>
            <w:noProof/>
            <w:webHidden/>
          </w:rPr>
          <w:t>2330</w:t>
        </w:r>
        <w:r>
          <w:rPr>
            <w:noProof/>
            <w:webHidden/>
          </w:rPr>
          <w:fldChar w:fldCharType="end"/>
        </w:r>
      </w:hyperlink>
    </w:p>
    <w:p>
      <w:pPr>
        <w:pStyle w:val="TOC2"/>
      </w:pPr>
      <w:hyperlink w:anchor="_Toc300002399" w:history="1">
        <w:r>
          <w:rPr>
            <w:noProof/>
          </w:rPr>
          <w:t xml:space="preserve">CA-5 Anti-Retaliation and Restoration.</w:t>
        </w:r>
        <w:r>
          <w:rPr>
            <w:noProof/>
            <w:webHidden/>
          </w:rPr>
          <w:tab/>
        </w:r>
        <w:r>
          <w:rPr>
            <w:noProof/>
            <w:webHidden/>
          </w:rPr>
          <w:fldChar w:fldCharType="begin"/>
        </w:r>
        <w:r>
          <w:rPr>
            <w:noProof/>
            <w:webHidden/>
          </w:rPr>
          <w:instrText xml:space="preserve"> PAGEREF _Toc300002399 \h </w:instrText>
        </w:r>
        <w:r>
          <w:rPr>
            <w:noProof/>
            <w:webHidden/>
          </w:rPr>
          <w:fldChar w:fldCharType="separate"/>
        </w:r>
        <w:r>
          <w:rPr>
            <w:noProof/>
            <w:webHidden/>
          </w:rPr>
          <w:t>2330</w:t>
        </w:r>
        <w:r>
          <w:rPr>
            <w:noProof/>
            <w:webHidden/>
          </w:rPr>
          <w:fldChar w:fldCharType="end"/>
        </w:r>
      </w:hyperlink>
    </w:p>
    <w:p>
      <w:pPr>
        <w:pStyle w:val="TOC2"/>
      </w:pPr>
      <w:hyperlink w:anchor="_Toc300002400" w:history="1">
        <w:r>
          <w:rPr>
            <w:noProof/>
          </w:rPr>
          <w:t xml:space="preserve">CA-6 Non-Regression with Modernization Freedom.</w:t>
        </w:r>
        <w:r>
          <w:rPr>
            <w:noProof/>
            <w:webHidden/>
          </w:rPr>
          <w:tab/>
        </w:r>
        <w:r>
          <w:rPr>
            <w:noProof/>
            <w:webHidden/>
          </w:rPr>
          <w:fldChar w:fldCharType="begin"/>
        </w:r>
        <w:r>
          <w:rPr>
            <w:noProof/>
            <w:webHidden/>
          </w:rPr>
          <w:instrText xml:space="preserve"> PAGEREF _Toc300002400 \h </w:instrText>
        </w:r>
        <w:r>
          <w:rPr>
            <w:noProof/>
            <w:webHidden/>
          </w:rPr>
          <w:fldChar w:fldCharType="separate"/>
        </w:r>
        <w:r>
          <w:rPr>
            <w:noProof/>
            <w:webHidden/>
          </w:rPr>
          <w:t>2330</w:t>
        </w:r>
        <w:r>
          <w:rPr>
            <w:noProof/>
            <w:webHidden/>
          </w:rPr>
          <w:fldChar w:fldCharType="end"/>
        </w:r>
      </w:hyperlink>
    </w:p>
    <w:p>
      <w:pPr>
        <w:pStyle w:val="TOC2"/>
      </w:pPr>
      <w:hyperlink w:anchor="_Toc300002401" w:history="1">
        <w:r>
          <w:rPr>
            <w:noProof/>
          </w:rPr>
          <w:t xml:space="preserve">CA-7 Equal-Party Safeguard.</w:t>
        </w:r>
        <w:r>
          <w:rPr>
            <w:noProof/>
            <w:webHidden/>
          </w:rPr>
          <w:tab/>
        </w:r>
        <w:r>
          <w:rPr>
            <w:noProof/>
            <w:webHidden/>
          </w:rPr>
          <w:fldChar w:fldCharType="begin"/>
        </w:r>
        <w:r>
          <w:rPr>
            <w:noProof/>
            <w:webHidden/>
          </w:rPr>
          <w:instrText xml:space="preserve"> PAGEREF _Toc300002401 \h </w:instrText>
        </w:r>
        <w:r>
          <w:rPr>
            <w:noProof/>
            <w:webHidden/>
          </w:rPr>
          <w:fldChar w:fldCharType="separate"/>
        </w:r>
        <w:r>
          <w:rPr>
            <w:noProof/>
            <w:webHidden/>
          </w:rPr>
          <w:t>2330</w:t>
        </w:r>
        <w:r>
          <w:rPr>
            <w:noProof/>
            <w:webHidden/>
          </w:rPr>
          <w:fldChar w:fldCharType="end"/>
        </w:r>
      </w:hyperlink>
    </w:p>
    <w:p>
      <w:pPr>
        <w:pStyle w:val="TOC2"/>
      </w:pPr>
      <w:hyperlink w:anchor="_Toc300002402" w:history="1">
        <w:r>
          <w:rPr>
            <w:noProof/>
          </w:rPr>
          <w:t xml:space="preserve">CA-8 Article 31.E Interface.</w:t>
        </w:r>
        <w:r>
          <w:rPr>
            <w:noProof/>
            <w:webHidden/>
          </w:rPr>
          <w:tab/>
        </w:r>
        <w:r>
          <w:rPr>
            <w:noProof/>
            <w:webHidden/>
          </w:rPr>
          <w:fldChar w:fldCharType="begin"/>
        </w:r>
        <w:r>
          <w:rPr>
            <w:noProof/>
            <w:webHidden/>
          </w:rPr>
          <w:instrText xml:space="preserve"> PAGEREF _Toc300002402 \h </w:instrText>
        </w:r>
        <w:r>
          <w:rPr>
            <w:noProof/>
            <w:webHidden/>
          </w:rPr>
          <w:fldChar w:fldCharType="separate"/>
        </w:r>
        <w:r>
          <w:rPr>
            <w:noProof/>
            <w:webHidden/>
          </w:rPr>
          <w:t>2330</w:t>
        </w:r>
        <w:r>
          <w:rPr>
            <w:noProof/>
            <w:webHidden/>
          </w:rPr>
          <w:fldChar w:fldCharType="end"/>
        </w:r>
      </w:hyperlink>
    </w:p>
    <w:p>
      <w:pPr>
        <w:pStyle w:val="TOC2"/>
      </w:pPr>
      <w:hyperlink w:anchor="_Toc300002403" w:history="1">
        <w:r>
          <w:rPr>
            <w:noProof/>
          </w:rPr>
          <w:t xml:space="preserve">CA-9 Worker-Rights Firewall.</w:t>
        </w:r>
        <w:r>
          <w:rPr>
            <w:noProof/>
            <w:webHidden/>
          </w:rPr>
          <w:tab/>
        </w:r>
        <w:r>
          <w:rPr>
            <w:noProof/>
            <w:webHidden/>
          </w:rPr>
          <w:fldChar w:fldCharType="begin"/>
        </w:r>
        <w:r>
          <w:rPr>
            <w:noProof/>
            <w:webHidden/>
          </w:rPr>
          <w:instrText xml:space="preserve"> PAGEREF _Toc300002403 \h </w:instrText>
        </w:r>
        <w:r>
          <w:rPr>
            <w:noProof/>
            <w:webHidden/>
          </w:rPr>
          <w:fldChar w:fldCharType="separate"/>
        </w:r>
        <w:r>
          <w:rPr>
            <w:noProof/>
            <w:webHidden/>
          </w:rPr>
          <w:t>2330</w:t>
        </w:r>
        <w:r>
          <w:rPr>
            <w:noProof/>
            <w:webHidden/>
          </w:rPr>
          <w:fldChar w:fldCharType="end"/>
        </w:r>
      </w:hyperlink>
    </w:p>
    <w:p>
      <w:pPr>
        <w:pStyle w:val="TOC2"/>
      </w:pPr>
      <w:hyperlink w:anchor="_Toc300002404" w:history="1">
        <w:r>
          <w:rPr>
            <w:noProof/>
          </w:rPr>
          <w:t xml:space="preserve">CA-10 Completed Transition Recognition.</w:t>
        </w:r>
        <w:r>
          <w:rPr>
            <w:noProof/>
            <w:webHidden/>
          </w:rPr>
          <w:tab/>
        </w:r>
        <w:r>
          <w:rPr>
            <w:noProof/>
            <w:webHidden/>
          </w:rPr>
          <w:fldChar w:fldCharType="begin"/>
        </w:r>
        <w:r>
          <w:rPr>
            <w:noProof/>
            <w:webHidden/>
          </w:rPr>
          <w:instrText xml:space="preserve"> PAGEREF _Toc300002404 \h </w:instrText>
        </w:r>
        <w:r>
          <w:rPr>
            <w:noProof/>
            <w:webHidden/>
          </w:rPr>
          <w:fldChar w:fldCharType="separate"/>
        </w:r>
        <w:r>
          <w:rPr>
            <w:noProof/>
            <w:webHidden/>
          </w:rPr>
          <w:t>2331</w:t>
        </w:r>
        <w:r>
          <w:rPr>
            <w:noProof/>
            <w:webHidden/>
          </w:rPr>
          <w:fldChar w:fldCharType="end"/>
        </w:r>
      </w:hyperlink>
    </w:p>
    <w:p>
      <w:pPr>
        <w:pStyle w:val="TOC1"/>
      </w:pPr>
      <w:hyperlink w:anchor="_Toc300002405" w:history="1">
        <w:r>
          <w:rPr>
            <w:noProof/>
          </w:rPr>
          <w:t xml:space="preserve">PACKAGE CB: LABOUR PARITY CONFORMING INTEGRATION</w:t>
        </w:r>
        <w:r>
          <w:rPr>
            <w:noProof/>
            <w:webHidden/>
          </w:rPr>
          <w:tab/>
        </w:r>
        <w:r>
          <w:rPr>
            <w:noProof/>
            <w:webHidden/>
          </w:rPr>
          <w:fldChar w:fldCharType="begin"/>
        </w:r>
        <w:r>
          <w:rPr>
            <w:noProof/>
            <w:webHidden/>
          </w:rPr>
          <w:instrText xml:space="preserve"> PAGEREF _Toc300002405 \h </w:instrText>
        </w:r>
        <w:r>
          <w:rPr>
            <w:noProof/>
            <w:webHidden/>
          </w:rPr>
          <w:fldChar w:fldCharType="separate"/>
        </w:r>
        <w:r>
          <w:rPr>
            <w:noProof/>
            <w:webHidden/>
          </w:rPr>
          <w:t>2332</w:t>
        </w:r>
        <w:r>
          <w:rPr>
            <w:noProof/>
            <w:webHidden/>
          </w:rPr>
          <w:fldChar w:fldCharType="end"/>
        </w:r>
      </w:hyperlink>
    </w:p>
    <w:p>
      <w:pPr>
        <w:pStyle w:val="TOC2"/>
      </w:pPr>
      <w:hyperlink w:anchor="_Toc300002406" w:history="1">
        <w:r>
          <w:rPr>
            <w:noProof/>
          </w:rPr>
          <w:t xml:space="preserve">CB-1 Article 31.E Immediate Supremacy.</w:t>
        </w:r>
        <w:r>
          <w:rPr>
            <w:noProof/>
            <w:webHidden/>
          </w:rPr>
          <w:tab/>
        </w:r>
        <w:r>
          <w:rPr>
            <w:noProof/>
            <w:webHidden/>
          </w:rPr>
          <w:fldChar w:fldCharType="begin"/>
        </w:r>
        <w:r>
          <w:rPr>
            <w:noProof/>
            <w:webHidden/>
          </w:rPr>
          <w:instrText xml:space="preserve"> PAGEREF _Toc300002406 \h </w:instrText>
        </w:r>
        <w:r>
          <w:rPr>
            <w:noProof/>
            <w:webHidden/>
          </w:rPr>
          <w:fldChar w:fldCharType="separate"/>
        </w:r>
        <w:r>
          <w:rPr>
            <w:noProof/>
            <w:webHidden/>
          </w:rPr>
          <w:t>2332</w:t>
        </w:r>
        <w:r>
          <w:rPr>
            <w:noProof/>
            <w:webHidden/>
          </w:rPr>
          <w:fldChar w:fldCharType="end"/>
        </w:r>
      </w:hyperlink>
    </w:p>
    <w:p>
      <w:pPr>
        <w:pStyle w:val="TOC2"/>
      </w:pPr>
      <w:hyperlink w:anchor="_Toc300002407" w:history="1">
        <w:r>
          <w:rPr>
            <w:noProof/>
          </w:rPr>
          <w:t xml:space="preserve">CB-2 Chapter 23 Cross-Reference Repair.</w:t>
        </w:r>
        <w:r>
          <w:rPr>
            <w:noProof/>
            <w:webHidden/>
          </w:rPr>
          <w:tab/>
        </w:r>
        <w:r>
          <w:rPr>
            <w:noProof/>
            <w:webHidden/>
          </w:rPr>
          <w:fldChar w:fldCharType="begin"/>
        </w:r>
        <w:r>
          <w:rPr>
            <w:noProof/>
            <w:webHidden/>
          </w:rPr>
          <w:instrText xml:space="preserve"> PAGEREF _Toc300002407 \h </w:instrText>
        </w:r>
        <w:r>
          <w:rPr>
            <w:noProof/>
            <w:webHidden/>
          </w:rPr>
          <w:fldChar w:fldCharType="separate"/>
        </w:r>
        <w:r>
          <w:rPr>
            <w:noProof/>
            <w:webHidden/>
          </w:rPr>
          <w:t>2332</w:t>
        </w:r>
        <w:r>
          <w:rPr>
            <w:noProof/>
            <w:webHidden/>
          </w:rPr>
          <w:fldChar w:fldCharType="end"/>
        </w:r>
      </w:hyperlink>
    </w:p>
    <w:p>
      <w:pPr>
        <w:pStyle w:val="TOC2"/>
      </w:pPr>
      <w:hyperlink w:anchor="_Toc300002408" w:history="1">
        <w:r>
          <w:rPr>
            <w:noProof/>
          </w:rPr>
          <w:t xml:space="preserve">CB-3 Equal Definitions and Intake.</w:t>
        </w:r>
        <w:r>
          <w:rPr>
            <w:noProof/>
            <w:webHidden/>
          </w:rPr>
          <w:tab/>
        </w:r>
        <w:r>
          <w:rPr>
            <w:noProof/>
            <w:webHidden/>
          </w:rPr>
          <w:fldChar w:fldCharType="begin"/>
        </w:r>
        <w:r>
          <w:rPr>
            <w:noProof/>
            <w:webHidden/>
          </w:rPr>
          <w:instrText xml:space="preserve"> PAGEREF _Toc300002408 \h </w:instrText>
        </w:r>
        <w:r>
          <w:rPr>
            <w:noProof/>
            <w:webHidden/>
          </w:rPr>
          <w:fldChar w:fldCharType="separate"/>
        </w:r>
        <w:r>
          <w:rPr>
            <w:noProof/>
            <w:webHidden/>
          </w:rPr>
          <w:t>2332</w:t>
        </w:r>
        <w:r>
          <w:rPr>
            <w:noProof/>
            <w:webHidden/>
          </w:rPr>
          <w:fldChar w:fldCharType="end"/>
        </w:r>
      </w:hyperlink>
    </w:p>
    <w:p>
      <w:pPr>
        <w:pStyle w:val="TOC2"/>
      </w:pPr>
      <w:hyperlink w:anchor="_Toc300002409" w:history="1">
        <w:r>
          <w:rPr>
            <w:noProof/>
          </w:rPr>
          <w:t xml:space="preserve">CB-4 Domestic-Order Gate Neutralization.</w:t>
        </w:r>
        <w:r>
          <w:rPr>
            <w:noProof/>
            <w:webHidden/>
          </w:rPr>
          <w:tab/>
        </w:r>
        <w:r>
          <w:rPr>
            <w:noProof/>
            <w:webHidden/>
          </w:rPr>
          <w:fldChar w:fldCharType="begin"/>
        </w:r>
        <w:r>
          <w:rPr>
            <w:noProof/>
            <w:webHidden/>
          </w:rPr>
          <w:instrText xml:space="preserve"> PAGEREF _Toc300002409 \h </w:instrText>
        </w:r>
        <w:r>
          <w:rPr>
            <w:noProof/>
            <w:webHidden/>
          </w:rPr>
          <w:fldChar w:fldCharType="separate"/>
        </w:r>
        <w:r>
          <w:rPr>
            <w:noProof/>
            <w:webHidden/>
          </w:rPr>
          <w:t>2332</w:t>
        </w:r>
        <w:r>
          <w:rPr>
            <w:noProof/>
            <w:webHidden/>
          </w:rPr>
          <w:fldChar w:fldCharType="end"/>
        </w:r>
      </w:hyperlink>
    </w:p>
    <w:p>
      <w:pPr>
        <w:pStyle w:val="TOC2"/>
      </w:pPr>
      <w:hyperlink w:anchor="_Toc300002410" w:history="1">
        <w:r>
          <w:rPr>
            <w:noProof/>
          </w:rPr>
          <w:t xml:space="preserve">CB-5 Priority-Sector Firewall.</w:t>
        </w:r>
        <w:r>
          <w:rPr>
            <w:noProof/>
            <w:webHidden/>
          </w:rPr>
          <w:tab/>
        </w:r>
        <w:r>
          <w:rPr>
            <w:noProof/>
            <w:webHidden/>
          </w:rPr>
          <w:fldChar w:fldCharType="begin"/>
        </w:r>
        <w:r>
          <w:rPr>
            <w:noProof/>
            <w:webHidden/>
          </w:rPr>
          <w:instrText xml:space="preserve"> PAGEREF _Toc300002410 \h </w:instrText>
        </w:r>
        <w:r>
          <w:rPr>
            <w:noProof/>
            <w:webHidden/>
          </w:rPr>
          <w:fldChar w:fldCharType="separate"/>
        </w:r>
        <w:r>
          <w:rPr>
            <w:noProof/>
            <w:webHidden/>
          </w:rPr>
          <w:t>2332</w:t>
        </w:r>
        <w:r>
          <w:rPr>
            <w:noProof/>
            <w:webHidden/>
          </w:rPr>
          <w:fldChar w:fldCharType="end"/>
        </w:r>
      </w:hyperlink>
    </w:p>
    <w:p>
      <w:pPr>
        <w:pStyle w:val="TOC2"/>
      </w:pPr>
      <w:hyperlink w:anchor="_Toc300002411" w:history="1">
        <w:r>
          <w:rPr>
            <w:noProof/>
          </w:rPr>
          <w:t xml:space="preserve">CB-6 Panel Neutrality.</w:t>
        </w:r>
        <w:r>
          <w:rPr>
            <w:noProof/>
            <w:webHidden/>
          </w:rPr>
          <w:tab/>
        </w:r>
        <w:r>
          <w:rPr>
            <w:noProof/>
            <w:webHidden/>
          </w:rPr>
          <w:fldChar w:fldCharType="begin"/>
        </w:r>
        <w:r>
          <w:rPr>
            <w:noProof/>
            <w:webHidden/>
          </w:rPr>
          <w:instrText xml:space="preserve"> PAGEREF _Toc300002411 \h </w:instrText>
        </w:r>
        <w:r>
          <w:rPr>
            <w:noProof/>
            <w:webHidden/>
          </w:rPr>
          <w:fldChar w:fldCharType="separate"/>
        </w:r>
        <w:r>
          <w:rPr>
            <w:noProof/>
            <w:webHidden/>
          </w:rPr>
          <w:t>2332</w:t>
        </w:r>
        <w:r>
          <w:rPr>
            <w:noProof/>
            <w:webHidden/>
          </w:rPr>
          <w:fldChar w:fldCharType="end"/>
        </w:r>
      </w:hyperlink>
    </w:p>
    <w:p>
      <w:pPr>
        <w:pStyle w:val="TOC2"/>
      </w:pPr>
      <w:hyperlink w:anchor="_Toc300002412" w:history="1">
        <w:r>
          <w:rPr>
            <w:noProof/>
          </w:rPr>
          <w:t xml:space="preserve">CB-7 Canada Definition Repair.</w:t>
        </w:r>
        <w:r>
          <w:rPr>
            <w:noProof/>
            <w:webHidden/>
          </w:rPr>
          <w:tab/>
        </w:r>
        <w:r>
          <w:rPr>
            <w:noProof/>
            <w:webHidden/>
          </w:rPr>
          <w:fldChar w:fldCharType="begin"/>
        </w:r>
        <w:r>
          <w:rPr>
            <w:noProof/>
            <w:webHidden/>
          </w:rPr>
          <w:instrText xml:space="preserve"> PAGEREF _Toc300002412 \h </w:instrText>
        </w:r>
        <w:r>
          <w:rPr>
            <w:noProof/>
            <w:webHidden/>
          </w:rPr>
          <w:fldChar w:fldCharType="separate"/>
        </w:r>
        <w:r>
          <w:rPr>
            <w:noProof/>
            <w:webHidden/>
          </w:rPr>
          <w:t>2332</w:t>
        </w:r>
        <w:r>
          <w:rPr>
            <w:noProof/>
            <w:webHidden/>
          </w:rPr>
          <w:fldChar w:fldCharType="end"/>
        </w:r>
      </w:hyperlink>
    </w:p>
    <w:p>
      <w:pPr>
        <w:pStyle w:val="TOC2"/>
      </w:pPr>
      <w:hyperlink w:anchor="_Toc300002413" w:history="1">
        <w:r>
          <w:rPr>
            <w:noProof/>
          </w:rPr>
          <w:t xml:space="preserve">CB-8 Annex 23-A Cross-Reference Repair.</w:t>
        </w:r>
        <w:r>
          <w:rPr>
            <w:noProof/>
            <w:webHidden/>
          </w:rPr>
          <w:tab/>
        </w:r>
        <w:r>
          <w:rPr>
            <w:noProof/>
            <w:webHidden/>
          </w:rPr>
          <w:fldChar w:fldCharType="begin"/>
        </w:r>
        <w:r>
          <w:rPr>
            <w:noProof/>
            <w:webHidden/>
          </w:rPr>
          <w:instrText xml:space="preserve"> PAGEREF _Toc300002413 \h </w:instrText>
        </w:r>
        <w:r>
          <w:rPr>
            <w:noProof/>
            <w:webHidden/>
          </w:rPr>
          <w:fldChar w:fldCharType="separate"/>
        </w:r>
        <w:r>
          <w:rPr>
            <w:noProof/>
            <w:webHidden/>
          </w:rPr>
          <w:t>2332</w:t>
        </w:r>
        <w:r>
          <w:rPr>
            <w:noProof/>
            <w:webHidden/>
          </w:rPr>
          <w:fldChar w:fldCharType="end"/>
        </w:r>
      </w:hyperlink>
    </w:p>
    <w:p>
      <w:pPr>
        <w:pStyle w:val="TOC2"/>
      </w:pPr>
      <w:hyperlink w:anchor="_Toc300002414" w:history="1">
        <w:r>
          <w:rPr>
            <w:noProof/>
          </w:rPr>
          <w:t xml:space="preserve">CB-9 Neutral Existing-Measures Safe Harbour.</w:t>
        </w:r>
        <w:r>
          <w:rPr>
            <w:noProof/>
            <w:webHidden/>
          </w:rPr>
          <w:tab/>
        </w:r>
        <w:r>
          <w:rPr>
            <w:noProof/>
            <w:webHidden/>
          </w:rPr>
          <w:fldChar w:fldCharType="begin"/>
        </w:r>
        <w:r>
          <w:rPr>
            <w:noProof/>
            <w:webHidden/>
          </w:rPr>
          <w:instrText xml:space="preserve"> PAGEREF _Toc300002414 \h </w:instrText>
        </w:r>
        <w:r>
          <w:rPr>
            <w:noProof/>
            <w:webHidden/>
          </w:rPr>
          <w:fldChar w:fldCharType="separate"/>
        </w:r>
        <w:r>
          <w:rPr>
            <w:noProof/>
            <w:webHidden/>
          </w:rPr>
          <w:t>2333</w:t>
        </w:r>
        <w:r>
          <w:rPr>
            <w:noProof/>
            <w:webHidden/>
          </w:rPr>
          <w:fldChar w:fldCharType="end"/>
        </w:r>
      </w:hyperlink>
    </w:p>
    <w:p>
      <w:pPr>
        <w:pStyle w:val="TOC2"/>
      </w:pPr>
      <w:hyperlink w:anchor="_Toc300002415" w:history="1">
        <w:r>
          <w:rPr>
            <w:noProof/>
          </w:rPr>
          <w:t xml:space="preserve">CB-10 Continental Worker-Rights Firewall.</w:t>
        </w:r>
        <w:r>
          <w:rPr>
            <w:noProof/>
            <w:webHidden/>
          </w:rPr>
          <w:tab/>
        </w:r>
        <w:r>
          <w:rPr>
            <w:noProof/>
            <w:webHidden/>
          </w:rPr>
          <w:fldChar w:fldCharType="begin"/>
        </w:r>
        <w:r>
          <w:rPr>
            <w:noProof/>
            <w:webHidden/>
          </w:rPr>
          <w:instrText xml:space="preserve"> PAGEREF _Toc300002415 \h </w:instrText>
        </w:r>
        <w:r>
          <w:rPr>
            <w:noProof/>
            <w:webHidden/>
          </w:rPr>
          <w:fldChar w:fldCharType="separate"/>
        </w:r>
        <w:r>
          <w:rPr>
            <w:noProof/>
            <w:webHidden/>
          </w:rPr>
          <w:t>2333</w:t>
        </w:r>
        <w:r>
          <w:rPr>
            <w:noProof/>
            <w:webHidden/>
          </w:rPr>
          <w:fldChar w:fldCharType="end"/>
        </w:r>
      </w:hyperlink>
    </w:p>
    <w:p>
      <w:pPr>
        <w:pStyle w:val="TOC2"/>
      </w:pPr>
      <w:hyperlink w:anchor="_Toc300002416" w:history="1">
        <w:r>
          <w:rPr>
            <w:noProof/>
          </w:rPr>
          <w:t xml:space="preserve">CB-11 Article 51 Interface.</w:t>
        </w:r>
        <w:r>
          <w:rPr>
            <w:noProof/>
            <w:webHidden/>
          </w:rPr>
          <w:tab/>
        </w:r>
        <w:r>
          <w:rPr>
            <w:noProof/>
            <w:webHidden/>
          </w:rPr>
          <w:fldChar w:fldCharType="begin"/>
        </w:r>
        <w:r>
          <w:rPr>
            <w:noProof/>
            <w:webHidden/>
          </w:rPr>
          <w:instrText xml:space="preserve"> PAGEREF _Toc300002416 \h </w:instrText>
        </w:r>
        <w:r>
          <w:rPr>
            <w:noProof/>
            <w:webHidden/>
          </w:rPr>
          <w:fldChar w:fldCharType="separate"/>
        </w:r>
        <w:r>
          <w:rPr>
            <w:noProof/>
            <w:webHidden/>
          </w:rPr>
          <w:t>2333</w:t>
        </w:r>
        <w:r>
          <w:rPr>
            <w:noProof/>
            <w:webHidden/>
          </w:rPr>
          <w:fldChar w:fldCharType="end"/>
        </w:r>
      </w:hyperlink>
    </w:p>
    <w:p>
      <w:pPr>
        <w:pStyle w:val="TOC2"/>
      </w:pPr>
      <w:hyperlink w:anchor="_Toc300002417" w:history="1">
        <w:r>
          <w:rPr>
            <w:noProof/>
          </w:rPr>
          <w:t xml:space="preserve">CB-12 Trade-Nexus Clarification.</w:t>
        </w:r>
        <w:r>
          <w:rPr>
            <w:noProof/>
            <w:webHidden/>
          </w:rPr>
          <w:tab/>
        </w:r>
        <w:r>
          <w:rPr>
            <w:noProof/>
            <w:webHidden/>
          </w:rPr>
          <w:fldChar w:fldCharType="begin"/>
        </w:r>
        <w:r>
          <w:rPr>
            <w:noProof/>
            <w:webHidden/>
          </w:rPr>
          <w:instrText xml:space="preserve"> PAGEREF _Toc300002417 \h </w:instrText>
        </w:r>
        <w:r>
          <w:rPr>
            <w:noProof/>
            <w:webHidden/>
          </w:rPr>
          <w:fldChar w:fldCharType="separate"/>
        </w:r>
        <w:r>
          <w:rPr>
            <w:noProof/>
            <w:webHidden/>
          </w:rPr>
          <w:t>2333</w:t>
        </w:r>
        <w:r>
          <w:rPr>
            <w:noProof/>
            <w:webHidden/>
          </w:rPr>
          <w:fldChar w:fldCharType="end"/>
        </w:r>
      </w:hyperlink>
    </w:p>
    <w:p>
      <w:pPr>
        <w:pStyle w:val="TOC2"/>
      </w:pPr>
      <w:hyperlink w:anchor="_Toc300002418" w:history="1">
        <w:r>
          <w:rPr>
            <w:noProof/>
          </w:rPr>
          <w:t xml:space="preserve">CB-13 Annex 23-A Converse Equality.</w:t>
        </w:r>
        <w:r>
          <w:rPr>
            <w:noProof/>
            <w:webHidden/>
          </w:rPr>
          <w:tab/>
        </w:r>
        <w:r>
          <w:rPr>
            <w:noProof/>
            <w:webHidden/>
          </w:rPr>
          <w:fldChar w:fldCharType="begin"/>
        </w:r>
        <w:r>
          <w:rPr>
            <w:noProof/>
            <w:webHidden/>
          </w:rPr>
          <w:instrText xml:space="preserve"> PAGEREF _Toc300002418 \h </w:instrText>
        </w:r>
        <w:r>
          <w:rPr>
            <w:noProof/>
            <w:webHidden/>
          </w:rPr>
          <w:fldChar w:fldCharType="separate"/>
        </w:r>
        <w:r>
          <w:rPr>
            <w:noProof/>
            <w:webHidden/>
          </w:rPr>
          <w:t>2333</w:t>
        </w:r>
        <w:r>
          <w:rPr>
            <w:noProof/>
            <w:webHidden/>
          </w:rPr>
          <w:fldChar w:fldCharType="end"/>
        </w:r>
      </w:hyperlink>
    </w:p>
    <w:p>
      <w:pPr>
        <w:pStyle w:val="TOC2"/>
      </w:pPr>
      <w:hyperlink w:anchor="_Toc300002419" w:history="1">
        <w:r>
          <w:rPr>
            <w:noProof/>
          </w:rPr>
          <w:t xml:space="preserve">CB-14 Predecessor Annex Status.</w:t>
        </w:r>
        <w:r>
          <w:rPr>
            <w:noProof/>
            <w:webHidden/>
          </w:rPr>
          <w:tab/>
        </w:r>
        <w:r>
          <w:rPr>
            <w:noProof/>
            <w:webHidden/>
          </w:rPr>
          <w:fldChar w:fldCharType="begin"/>
        </w:r>
        <w:r>
          <w:rPr>
            <w:noProof/>
            <w:webHidden/>
          </w:rPr>
          <w:instrText xml:space="preserve"> PAGEREF _Toc300002419 \h </w:instrText>
        </w:r>
        <w:r>
          <w:rPr>
            <w:noProof/>
            <w:webHidden/>
          </w:rPr>
          <w:fldChar w:fldCharType="separate"/>
        </w:r>
        <w:r>
          <w:rPr>
            <w:noProof/>
            <w:webHidden/>
          </w:rPr>
          <w:t>2333</w:t>
        </w:r>
        <w:r>
          <w:rPr>
            <w:noProof/>
            <w:webHidden/>
          </w:rPr>
          <w:fldChar w:fldCharType="end"/>
        </w:r>
      </w:hyperlink>
    </w:p>
    <w:p>
      <w:pPr>
        <w:pStyle w:val="TOC2"/>
      </w:pPr>
      <w:hyperlink w:anchor="_Toc300002420" w:history="1">
        <w:r>
          <w:rPr>
            <w:noProof/>
          </w:rPr>
          <w:t xml:space="preserve">CB-15 No New Labour Bureaucracy.</w:t>
        </w:r>
        <w:r>
          <w:rPr>
            <w:noProof/>
            <w:webHidden/>
          </w:rPr>
          <w:tab/>
        </w:r>
        <w:r>
          <w:rPr>
            <w:noProof/>
            <w:webHidden/>
          </w:rPr>
          <w:fldChar w:fldCharType="begin"/>
        </w:r>
        <w:r>
          <w:rPr>
            <w:noProof/>
            <w:webHidden/>
          </w:rPr>
          <w:instrText xml:space="preserve"> PAGEREF _Toc300002420 \h </w:instrText>
        </w:r>
        <w:r>
          <w:rPr>
            <w:noProof/>
            <w:webHidden/>
          </w:rPr>
          <w:fldChar w:fldCharType="separate"/>
        </w:r>
        <w:r>
          <w:rPr>
            <w:noProof/>
            <w:webHidden/>
          </w:rPr>
          <w:t>2333</w:t>
        </w:r>
        <w:r>
          <w:rPr>
            <w:noProof/>
            <w:webHidden/>
          </w:rPr>
          <w:fldChar w:fldCharType="end"/>
        </w:r>
      </w:hyperlink>
    </w:p>
    <w:p>
      <w:pPr>
        <w:pStyle w:val="TOC1"/>
      </w:pPr>
      <w:hyperlink w:anchor="_Toc300002421" w:history="1">
        <w:r>
          <w:rPr>
            <w:noProof/>
          </w:rPr>
          <w:t xml:space="preserve">PACKAGE CC: NORTH AMERICAN ANIMAL WELFARE, HUMANE AGRICULTURE, RESCUE, AND PRACTICAL TRANSITION INTEGRATION (v7.4)</w:t>
        </w:r>
        <w:r>
          <w:rPr>
            <w:noProof/>
            <w:webHidden/>
          </w:rPr>
          <w:tab/>
        </w:r>
        <w:r>
          <w:rPr>
            <w:noProof/>
            <w:webHidden/>
          </w:rPr>
          <w:fldChar w:fldCharType="begin"/>
        </w:r>
        <w:r>
          <w:rPr>
            <w:noProof/>
            <w:webHidden/>
          </w:rPr>
          <w:instrText xml:space="preserve"> PAGEREF _Toc300002421 \h </w:instrText>
        </w:r>
        <w:r>
          <w:rPr>
            <w:noProof/>
            <w:webHidden/>
          </w:rPr>
          <w:fldChar w:fldCharType="separate"/>
        </w:r>
        <w:r>
          <w:rPr>
            <w:noProof/>
            <w:webHidden/>
          </w:rPr>
          <w:t>2334</w:t>
        </w:r>
        <w:r>
          <w:rPr>
            <w:noProof/>
            <w:webHidden/>
          </w:rPr>
          <w:fldChar w:fldCharType="end"/>
        </w:r>
      </w:hyperlink>
    </w:p>
    <w:p>
      <w:pPr>
        <w:pStyle w:val="TOC2"/>
      </w:pPr>
      <w:hyperlink w:anchor="_Toc300002422" w:history="1">
        <w:r>
          <w:rPr>
            <w:noProof/>
          </w:rPr>
          <w:t xml:space="preserve">Article 43.W: Humane Agricultural Production and Handling Floor</w:t>
        </w:r>
        <w:r>
          <w:rPr>
            <w:noProof/>
            <w:webHidden/>
          </w:rPr>
          <w:tab/>
        </w:r>
        <w:r>
          <w:rPr>
            <w:noProof/>
            <w:webHidden/>
          </w:rPr>
          <w:fldChar w:fldCharType="begin"/>
        </w:r>
        <w:r>
          <w:rPr>
            <w:noProof/>
            <w:webHidden/>
          </w:rPr>
          <w:instrText xml:space="preserve"> PAGEREF _Toc300002422 \h </w:instrText>
        </w:r>
        <w:r>
          <w:rPr>
            <w:noProof/>
            <w:webHidden/>
          </w:rPr>
          <w:fldChar w:fldCharType="separate"/>
        </w:r>
        <w:r>
          <w:rPr>
            <w:noProof/>
            <w:webHidden/>
          </w:rPr>
          <w:t>2335</w:t>
        </w:r>
        <w:r>
          <w:rPr>
            <w:noProof/>
            <w:webHidden/>
          </w:rPr>
          <w:fldChar w:fldCharType="end"/>
        </w:r>
      </w:hyperlink>
    </w:p>
    <w:p>
      <w:pPr>
        <w:pStyle w:val="TOC2"/>
      </w:pPr>
      <w:hyperlink w:anchor="_Toc300002423" w:history="1">
        <w:r>
          <w:rPr>
            <w:noProof/>
          </w:rPr>
          <w:t xml:space="preserve">Article 62.A: Animal Rescue, Protective Continuity, and Government-Directed Destruction</w:t>
        </w:r>
        <w:r>
          <w:rPr>
            <w:noProof/>
            <w:webHidden/>
          </w:rPr>
          <w:tab/>
        </w:r>
        <w:r>
          <w:rPr>
            <w:noProof/>
            <w:webHidden/>
          </w:rPr>
          <w:fldChar w:fldCharType="begin"/>
        </w:r>
        <w:r>
          <w:rPr>
            <w:noProof/>
            <w:webHidden/>
          </w:rPr>
          <w:instrText xml:space="preserve"> PAGEREF _Toc300002423 \h </w:instrText>
        </w:r>
        <w:r>
          <w:rPr>
            <w:noProof/>
            <w:webHidden/>
          </w:rPr>
          <w:fldChar w:fldCharType="separate"/>
        </w:r>
        <w:r>
          <w:rPr>
            <w:noProof/>
            <w:webHidden/>
          </w:rPr>
          <w:t>2336</w:t>
        </w:r>
        <w:r>
          <w:rPr>
            <w:noProof/>
            <w:webHidden/>
          </w:rPr>
          <w:fldChar w:fldCharType="end"/>
        </w:r>
      </w:hyperlink>
    </w:p>
    <w:p>
      <w:pPr>
        <w:pStyle w:val="TOC2"/>
      </w:pPr>
      <w:hyperlink w:anchor="_Toc300002424" w:history="1">
        <w:r>
          <w:rPr>
            <w:noProof/>
          </w:rPr>
          <w:t xml:space="preserve">Article 24.X: Least-Harm Wildlife Intervention and Humane Cross-Border Management</w:t>
        </w:r>
        <w:r>
          <w:rPr>
            <w:noProof/>
            <w:webHidden/>
          </w:rPr>
          <w:tab/>
        </w:r>
        <w:r>
          <w:rPr>
            <w:noProof/>
            <w:webHidden/>
          </w:rPr>
          <w:fldChar w:fldCharType="begin"/>
        </w:r>
        <w:r>
          <w:rPr>
            <w:noProof/>
            <w:webHidden/>
          </w:rPr>
          <w:instrText xml:space="preserve"> PAGEREF _Toc300002424 \h </w:instrText>
        </w:r>
        <w:r>
          <w:rPr>
            <w:noProof/>
            <w:webHidden/>
          </w:rPr>
          <w:fldChar w:fldCharType="separate"/>
        </w:r>
        <w:r>
          <w:rPr>
            <w:noProof/>
            <w:webHidden/>
          </w:rPr>
          <w:t>2337</w:t>
        </w:r>
        <w:r>
          <w:rPr>
            <w:noProof/>
            <w:webHidden/>
          </w:rPr>
          <w:fldChar w:fldCharType="end"/>
        </w:r>
      </w:hyperlink>
    </w:p>
    <w:p>
      <w:pPr>
        <w:pStyle w:val="TOC2"/>
      </w:pPr>
      <w:hyperlink w:anchor="_Toc300002425" w:history="1">
        <w:r>
          <w:rPr>
            <w:noProof/>
          </w:rPr>
          <w:t xml:space="preserve">ANNEX 43-H: Practical Welfare Transition Classes</w:t>
        </w:r>
        <w:r>
          <w:rPr>
            <w:noProof/>
            <w:webHidden/>
          </w:rPr>
          <w:tab/>
        </w:r>
        <w:r>
          <w:rPr>
            <w:noProof/>
            <w:webHidden/>
          </w:rPr>
          <w:fldChar w:fldCharType="begin"/>
        </w:r>
        <w:r>
          <w:rPr>
            <w:noProof/>
            <w:webHidden/>
          </w:rPr>
          <w:instrText xml:space="preserve"> PAGEREF _Toc300002425 \h </w:instrText>
        </w:r>
        <w:r>
          <w:rPr>
            <w:noProof/>
            <w:webHidden/>
          </w:rPr>
          <w:fldChar w:fldCharType="separate"/>
        </w:r>
        <w:r>
          <w:rPr>
            <w:noProof/>
            <w:webHidden/>
          </w:rPr>
          <w:t>2338</w:t>
        </w:r>
        <w:r>
          <w:rPr>
            <w:noProof/>
            <w:webHidden/>
          </w:rPr>
          <w:fldChar w:fldCharType="end"/>
        </w:r>
      </w:hyperlink>
    </w:p>
    <w:p>
      <w:pPr>
        <w:pStyle w:val="TOC2"/>
      </w:pPr>
      <w:hyperlink w:anchor="_Toc300002426" w:history="1">
        <w:r>
          <w:rPr>
            <w:noProof/>
          </w:rPr>
          <w:t xml:space="preserve">PACKAGE CC-T: TRACEABILITY AND POLITICAL FIREWALL</w:t>
        </w:r>
        <w:r>
          <w:rPr>
            <w:noProof/>
            <w:webHidden/>
          </w:rPr>
          <w:tab/>
        </w:r>
        <w:r>
          <w:rPr>
            <w:noProof/>
            <w:webHidden/>
          </w:rPr>
          <w:fldChar w:fldCharType="begin"/>
        </w:r>
        <w:r>
          <w:rPr>
            <w:noProof/>
            <w:webHidden/>
          </w:rPr>
          <w:instrText xml:space="preserve"> PAGEREF _Toc300002426 \h </w:instrText>
        </w:r>
        <w:r>
          <w:rPr>
            <w:noProof/>
            <w:webHidden/>
          </w:rPr>
          <w:fldChar w:fldCharType="separate"/>
        </w:r>
        <w:r>
          <w:rPr>
            <w:noProof/>
            <w:webHidden/>
          </w:rPr>
          <w:t>2339</w:t>
        </w:r>
        <w:r>
          <w:rPr>
            <w:noProof/>
            <w:webHidden/>
          </w:rPr>
          <w:fldChar w:fldCharType="end"/>
        </w:r>
      </w:hyperlink>
    </w:p>
    <w:p>
      <w:pPr>
        <w:pStyle w:val="TOC1"/>
      </w:pPr>
      <w:hyperlink w:anchor="_Toc300002427" w:history="1">
        <w:r>
          <w:rPr>
            <w:noProof/>
          </w:rPr>
          <w:t xml:space="preserve">PACKAGE CD: OPTIONAL KEYSTONE NEXT NORTH AMERICAN ENERGY SECURITY MODULE</w:t>
        </w:r>
        <w:r>
          <w:rPr>
            <w:noProof/>
            <w:webHidden/>
          </w:rPr>
          <w:tab/>
        </w:r>
        <w:r>
          <w:rPr>
            <w:noProof/>
            <w:webHidden/>
          </w:rPr>
          <w:fldChar w:fldCharType="begin"/>
        </w:r>
        <w:r>
          <w:rPr>
            <w:noProof/>
            <w:webHidden/>
          </w:rPr>
          <w:instrText xml:space="preserve"> PAGEREF _Toc300002427 \h </w:instrText>
        </w:r>
        <w:r>
          <w:rPr>
            <w:noProof/>
            <w:webHidden/>
          </w:rPr>
          <w:fldChar w:fldCharType="separate"/>
        </w:r>
        <w:r>
          <w:rPr>
            <w:noProof/>
            <w:webHidden/>
          </w:rPr>
          <w:t>2341</w:t>
        </w:r>
        <w:r>
          <w:rPr>
            <w:noProof/>
            <w:webHidden/>
          </w:rPr>
          <w:fldChar w:fldCharType="end"/>
        </w:r>
      </w:hyperlink>
    </w:p>
    <w:p>
      <w:pPr>
        <w:pStyle w:val="TOC1"/>
      </w:pPr>
      <w:hyperlink w:anchor="_Toc300002428" w:history="1">
        <w:r>
          <w:rPr>
            <w:noProof/>
          </w:rPr>
          <w:t xml:space="preserve">PACKAGE CE: FENTANYL AND HIGH-RISK CONTRABAND INTERDICTION / TRUSTED FREIGHT GATEWAY</w:t>
        </w:r>
        <w:r>
          <w:rPr>
            <w:noProof/>
            <w:webHidden/>
          </w:rPr>
          <w:tab/>
        </w:r>
        <w:r>
          <w:rPr>
            <w:noProof/>
            <w:webHidden/>
          </w:rPr>
          <w:fldChar w:fldCharType="begin"/>
        </w:r>
        <w:r>
          <w:rPr>
            <w:noProof/>
            <w:webHidden/>
          </w:rPr>
          <w:instrText xml:space="preserve"> PAGEREF _Toc300002428 \h </w:instrText>
        </w:r>
        <w:r>
          <w:rPr>
            <w:noProof/>
            <w:webHidden/>
          </w:rPr>
          <w:fldChar w:fldCharType="separate"/>
        </w:r>
        <w:r>
          <w:rPr>
            <w:noProof/>
            <w:webHidden/>
          </w:rPr>
          <w:t>2346</w:t>
        </w:r>
        <w:r>
          <w:rPr>
            <w:noProof/>
            <w:webHidden/>
          </w:rPr>
          <w:fldChar w:fldCharType="end"/>
        </w:r>
      </w:hyperlink>
    </w:p>
    <w:p>
      <w:pPr>
        <w:pStyle w:val="TOC1"/>
      </w:pPr>
      <w:hyperlink w:anchor="_Toc300002429" w:history="1">
        <w:r>
          <w:rPr>
            <w:noProof/>
          </w:rPr>
          <w:t xml:space="preserve">PACKAGE CG: DETROIT–WINDSOR INTERNATIONAL CROSSING BENEFIT AND REINVESTMENT FRAMEWORK</w:t>
        </w:r>
        <w:r>
          <w:rPr>
            <w:noProof/>
            <w:webHidden/>
          </w:rPr>
          <w:tab/>
        </w:r>
        <w:r>
          <w:rPr>
            <w:noProof/>
            <w:webHidden/>
          </w:rPr>
          <w:fldChar w:fldCharType="begin"/>
        </w:r>
        <w:r>
          <w:rPr>
            <w:noProof/>
            <w:webHidden/>
          </w:rPr>
          <w:instrText xml:space="preserve"> PAGEREF _Toc300002429 \h </w:instrText>
        </w:r>
        <w:r>
          <w:rPr>
            <w:noProof/>
            <w:webHidden/>
          </w:rPr>
          <w:fldChar w:fldCharType="separate"/>
        </w:r>
        <w:r>
          <w:rPr>
            <w:noProof/>
            <w:webHidden/>
          </w:rPr>
          <w:t>2349</w:t>
        </w:r>
        <w:r>
          <w:rPr>
            <w:noProof/>
            <w:webHidden/>
          </w:rPr>
          <w:fldChar w:fldCharType="end"/>
        </w:r>
      </w:hyperlink>
    </w:p>
    <w:p>
      <w:pPr>
        <w:pStyle w:val="TOC1"/>
      </w:pPr>
      <w:hyperlink w:anchor="_Toc300002430" w:history="1">
        <w:r>
          <w:rPr>
            <w:noProof/>
          </w:rPr>
          <w:t xml:space="preserve">PACKAGE CH: NORTH AMERICAN CUSTODIAL DIGNITY AND SAFE CORRECTIONS FRAMEWORK</w:t>
        </w:r>
        <w:r>
          <w:rPr>
            <w:noProof/>
            <w:webHidden/>
          </w:rPr>
          <w:tab/>
        </w:r>
        <w:r>
          <w:rPr>
            <w:noProof/>
            <w:webHidden/>
          </w:rPr>
          <w:fldChar w:fldCharType="begin"/>
        </w:r>
        <w:r>
          <w:rPr>
            <w:noProof/>
            <w:webHidden/>
          </w:rPr>
          <w:instrText xml:space="preserve"> PAGEREF _Toc300002430 \h </w:instrText>
        </w:r>
        <w:r>
          <w:rPr>
            <w:noProof/>
            <w:webHidden/>
          </w:rPr>
          <w:fldChar w:fldCharType="separate"/>
        </w:r>
        <w:r>
          <w:rPr>
            <w:noProof/>
            <w:webHidden/>
          </w:rPr>
          <w:t>2355</w:t>
        </w:r>
        <w:r>
          <w:rPr>
            <w:noProof/>
            <w:webHidden/>
          </w:rPr>
          <w:fldChar w:fldCharType="end"/>
        </w:r>
      </w:hyperlink>
    </w:p>
    <w:p>
      <w:pPr>
        <w:pStyle w:val="TOC2"/>
      </w:pPr>
      <w:hyperlink w:anchor="_Toc300002431" w:history="1">
        <w:r>
          <w:rPr>
            <w:noProof/>
          </w:rPr>
          <w:t xml:space="preserve">CH-1. Purpose and Character</w:t>
        </w:r>
        <w:r>
          <w:rPr>
            <w:noProof/>
            <w:webHidden/>
          </w:rPr>
          <w:tab/>
        </w:r>
        <w:r>
          <w:rPr>
            <w:noProof/>
            <w:webHidden/>
          </w:rPr>
          <w:fldChar w:fldCharType="begin"/>
        </w:r>
        <w:r>
          <w:rPr>
            <w:noProof/>
            <w:webHidden/>
          </w:rPr>
          <w:instrText xml:space="preserve"> PAGEREF _Toc300002431 \h </w:instrText>
        </w:r>
        <w:r>
          <w:rPr>
            <w:noProof/>
            <w:webHidden/>
          </w:rPr>
          <w:fldChar w:fldCharType="separate"/>
        </w:r>
        <w:r>
          <w:rPr>
            <w:noProof/>
            <w:webHidden/>
          </w:rPr>
          <w:t>2355</w:t>
        </w:r>
        <w:r>
          <w:rPr>
            <w:noProof/>
            <w:webHidden/>
          </w:rPr>
          <w:fldChar w:fldCharType="end"/>
        </w:r>
      </w:hyperlink>
    </w:p>
    <w:p>
      <w:pPr>
        <w:pStyle w:val="TOC2"/>
      </w:pPr>
      <w:hyperlink w:anchor="_Toc300002432" w:history="1">
        <w:r>
          <w:rPr>
            <w:noProof/>
          </w:rPr>
          <w:t xml:space="preserve">CH-2. Scope</w:t>
        </w:r>
        <w:r>
          <w:rPr>
            <w:noProof/>
            <w:webHidden/>
          </w:rPr>
          <w:tab/>
        </w:r>
        <w:r>
          <w:rPr>
            <w:noProof/>
            <w:webHidden/>
          </w:rPr>
          <w:fldChar w:fldCharType="begin"/>
        </w:r>
        <w:r>
          <w:rPr>
            <w:noProof/>
            <w:webHidden/>
          </w:rPr>
          <w:instrText xml:space="preserve"> PAGEREF _Toc300002432 \h </w:instrText>
        </w:r>
        <w:r>
          <w:rPr>
            <w:noProof/>
            <w:webHidden/>
          </w:rPr>
          <w:fldChar w:fldCharType="separate"/>
        </w:r>
        <w:r>
          <w:rPr>
            <w:noProof/>
            <w:webHidden/>
          </w:rPr>
          <w:t>2355</w:t>
        </w:r>
        <w:r>
          <w:rPr>
            <w:noProof/>
            <w:webHidden/>
          </w:rPr>
          <w:fldChar w:fldCharType="end"/>
        </w:r>
      </w:hyperlink>
    </w:p>
    <w:p>
      <w:pPr>
        <w:pStyle w:val="TOC2"/>
      </w:pPr>
      <w:hyperlink w:anchor="_Toc300002433" w:history="1">
        <w:r>
          <w:rPr>
            <w:noProof/>
          </w:rPr>
          <w:t xml:space="preserve">CH-3. Inherent Human Dignity</w:t>
        </w:r>
        <w:r>
          <w:rPr>
            <w:noProof/>
            <w:webHidden/>
          </w:rPr>
          <w:tab/>
        </w:r>
        <w:r>
          <w:rPr>
            <w:noProof/>
            <w:webHidden/>
          </w:rPr>
          <w:fldChar w:fldCharType="begin"/>
        </w:r>
        <w:r>
          <w:rPr>
            <w:noProof/>
            <w:webHidden/>
          </w:rPr>
          <w:instrText xml:space="preserve"> PAGEREF _Toc300002433 \h </w:instrText>
        </w:r>
        <w:r>
          <w:rPr>
            <w:noProof/>
            <w:webHidden/>
          </w:rPr>
          <w:fldChar w:fldCharType="separate"/>
        </w:r>
        <w:r>
          <w:rPr>
            <w:noProof/>
            <w:webHidden/>
          </w:rPr>
          <w:t>2355</w:t>
        </w:r>
        <w:r>
          <w:rPr>
            <w:noProof/>
            <w:webHidden/>
          </w:rPr>
          <w:fldChar w:fldCharType="end"/>
        </w:r>
      </w:hyperlink>
    </w:p>
    <w:p>
      <w:pPr>
        <w:pStyle w:val="TOC2"/>
      </w:pPr>
      <w:hyperlink w:anchor="_Toc300002434" w:history="1">
        <w:r>
          <w:rPr>
            <w:noProof/>
          </w:rPr>
          <w:t xml:space="preserve">CH-4. Equal Application and Non-Discrimination</w:t>
        </w:r>
        <w:r>
          <w:rPr>
            <w:noProof/>
            <w:webHidden/>
          </w:rPr>
          <w:tab/>
        </w:r>
        <w:r>
          <w:rPr>
            <w:noProof/>
            <w:webHidden/>
          </w:rPr>
          <w:fldChar w:fldCharType="begin"/>
        </w:r>
        <w:r>
          <w:rPr>
            <w:noProof/>
            <w:webHidden/>
          </w:rPr>
          <w:instrText xml:space="preserve"> PAGEREF _Toc300002434 \h </w:instrText>
        </w:r>
        <w:r>
          <w:rPr>
            <w:noProof/>
            <w:webHidden/>
          </w:rPr>
          <w:fldChar w:fldCharType="separate"/>
        </w:r>
        <w:r>
          <w:rPr>
            <w:noProof/>
            <w:webHidden/>
          </w:rPr>
          <w:t>2356</w:t>
        </w:r>
        <w:r>
          <w:rPr>
            <w:noProof/>
            <w:webHidden/>
          </w:rPr>
          <w:fldChar w:fldCharType="end"/>
        </w:r>
      </w:hyperlink>
    </w:p>
    <w:p>
      <w:pPr>
        <w:pStyle w:val="TOC2"/>
      </w:pPr>
      <w:hyperlink w:anchor="_Toc300002435" w:history="1">
        <w:r>
          <w:rPr>
            <w:noProof/>
          </w:rPr>
          <w:t xml:space="preserve">CH-5. Food of Adequate Nutritional Value</w:t>
        </w:r>
        <w:r>
          <w:rPr>
            <w:noProof/>
            <w:webHidden/>
          </w:rPr>
          <w:tab/>
        </w:r>
        <w:r>
          <w:rPr>
            <w:noProof/>
            <w:webHidden/>
          </w:rPr>
          <w:fldChar w:fldCharType="begin"/>
        </w:r>
        <w:r>
          <w:rPr>
            <w:noProof/>
            <w:webHidden/>
          </w:rPr>
          <w:instrText xml:space="preserve"> PAGEREF _Toc300002435 \h </w:instrText>
        </w:r>
        <w:r>
          <w:rPr>
            <w:noProof/>
            <w:webHidden/>
          </w:rPr>
          <w:fldChar w:fldCharType="separate"/>
        </w:r>
        <w:r>
          <w:rPr>
            <w:noProof/>
            <w:webHidden/>
          </w:rPr>
          <w:t>2356</w:t>
        </w:r>
        <w:r>
          <w:rPr>
            <w:noProof/>
            <w:webHidden/>
          </w:rPr>
          <w:fldChar w:fldCharType="end"/>
        </w:r>
      </w:hyperlink>
    </w:p>
    <w:p>
      <w:pPr>
        <w:pStyle w:val="TOC2"/>
      </w:pPr>
      <w:hyperlink w:anchor="_Toc300002436" w:history="1">
        <w:r>
          <w:rPr>
            <w:noProof/>
          </w:rPr>
          <w:t xml:space="preserve">CH-6. Absolute Prohibition on Punitive Food and Water Deprivation</w:t>
        </w:r>
        <w:r>
          <w:rPr>
            <w:noProof/>
            <w:webHidden/>
          </w:rPr>
          <w:tab/>
        </w:r>
        <w:r>
          <w:rPr>
            <w:noProof/>
            <w:webHidden/>
          </w:rPr>
          <w:fldChar w:fldCharType="begin"/>
        </w:r>
        <w:r>
          <w:rPr>
            <w:noProof/>
            <w:webHidden/>
          </w:rPr>
          <w:instrText xml:space="preserve"> PAGEREF _Toc300002436 \h </w:instrText>
        </w:r>
        <w:r>
          <w:rPr>
            <w:noProof/>
            <w:webHidden/>
          </w:rPr>
          <w:fldChar w:fldCharType="separate"/>
        </w:r>
        <w:r>
          <w:rPr>
            <w:noProof/>
            <w:webHidden/>
          </w:rPr>
          <w:t>2356</w:t>
        </w:r>
        <w:r>
          <w:rPr>
            <w:noProof/>
            <w:webHidden/>
          </w:rPr>
          <w:fldChar w:fldCharType="end"/>
        </w:r>
      </w:hyperlink>
    </w:p>
    <w:p>
      <w:pPr>
        <w:pStyle w:val="TOC2"/>
      </w:pPr>
      <w:hyperlink w:anchor="_Toc300002437" w:history="1">
        <w:r>
          <w:rPr>
            <w:noProof/>
          </w:rPr>
          <w:t xml:space="preserve">CH-7. Potable Water</w:t>
        </w:r>
        <w:r>
          <w:rPr>
            <w:noProof/>
            <w:webHidden/>
          </w:rPr>
          <w:tab/>
        </w:r>
        <w:r>
          <w:rPr>
            <w:noProof/>
            <w:webHidden/>
          </w:rPr>
          <w:fldChar w:fldCharType="begin"/>
        </w:r>
        <w:r>
          <w:rPr>
            <w:noProof/>
            <w:webHidden/>
          </w:rPr>
          <w:instrText xml:space="preserve"> PAGEREF _Toc300002437 \h </w:instrText>
        </w:r>
        <w:r>
          <w:rPr>
            <w:noProof/>
            <w:webHidden/>
          </w:rPr>
          <w:fldChar w:fldCharType="separate"/>
        </w:r>
        <w:r>
          <w:rPr>
            <w:noProof/>
            <w:webHidden/>
          </w:rPr>
          <w:t>2356</w:t>
        </w:r>
        <w:r>
          <w:rPr>
            <w:noProof/>
            <w:webHidden/>
          </w:rPr>
          <w:fldChar w:fldCharType="end"/>
        </w:r>
      </w:hyperlink>
    </w:p>
    <w:p>
      <w:pPr>
        <w:pStyle w:val="TOC2"/>
      </w:pPr>
      <w:hyperlink w:anchor="_Toc300002438" w:history="1">
        <w:r>
          <w:rPr>
            <w:noProof/>
          </w:rPr>
          <w:t xml:space="preserve">CH-8. Therapeutic, Religious, and Conscience-Based Diets</w:t>
        </w:r>
        <w:r>
          <w:rPr>
            <w:noProof/>
            <w:webHidden/>
          </w:rPr>
          <w:tab/>
        </w:r>
        <w:r>
          <w:rPr>
            <w:noProof/>
            <w:webHidden/>
          </w:rPr>
          <w:fldChar w:fldCharType="begin"/>
        </w:r>
        <w:r>
          <w:rPr>
            <w:noProof/>
            <w:webHidden/>
          </w:rPr>
          <w:instrText xml:space="preserve"> PAGEREF _Toc300002438 \h </w:instrText>
        </w:r>
        <w:r>
          <w:rPr>
            <w:noProof/>
            <w:webHidden/>
          </w:rPr>
          <w:fldChar w:fldCharType="separate"/>
        </w:r>
        <w:r>
          <w:rPr>
            <w:noProof/>
            <w:webHidden/>
          </w:rPr>
          <w:t>2357</w:t>
        </w:r>
        <w:r>
          <w:rPr>
            <w:noProof/>
            <w:webHidden/>
          </w:rPr>
          <w:fldChar w:fldCharType="end"/>
        </w:r>
      </w:hyperlink>
    </w:p>
    <w:p>
      <w:pPr>
        <w:pStyle w:val="TOC2"/>
      </w:pPr>
      <w:hyperlink w:anchor="_Toc300002439" w:history="1">
        <w:r>
          <w:rPr>
            <w:noProof/>
          </w:rPr>
          <w:t xml:space="preserve">CH-9. Sanitation and Habitability</w:t>
        </w:r>
        <w:r>
          <w:rPr>
            <w:noProof/>
            <w:webHidden/>
          </w:rPr>
          <w:tab/>
        </w:r>
        <w:r>
          <w:rPr>
            <w:noProof/>
            <w:webHidden/>
          </w:rPr>
          <w:fldChar w:fldCharType="begin"/>
        </w:r>
        <w:r>
          <w:rPr>
            <w:noProof/>
            <w:webHidden/>
          </w:rPr>
          <w:instrText xml:space="preserve"> PAGEREF _Toc300002439 \h </w:instrText>
        </w:r>
        <w:r>
          <w:rPr>
            <w:noProof/>
            <w:webHidden/>
          </w:rPr>
          <w:fldChar w:fldCharType="separate"/>
        </w:r>
        <w:r>
          <w:rPr>
            <w:noProof/>
            <w:webHidden/>
          </w:rPr>
          <w:t>2357</w:t>
        </w:r>
        <w:r>
          <w:rPr>
            <w:noProof/>
            <w:webHidden/>
          </w:rPr>
          <w:fldChar w:fldCharType="end"/>
        </w:r>
      </w:hyperlink>
    </w:p>
    <w:p>
      <w:pPr>
        <w:pStyle w:val="TOC2"/>
      </w:pPr>
      <w:hyperlink w:anchor="_Toc300002440" w:history="1">
        <w:r>
          <w:rPr>
            <w:noProof/>
          </w:rPr>
          <w:t xml:space="preserve">CH-10. Sleeping Conditions, Bedding, and Clothing</w:t>
        </w:r>
        <w:r>
          <w:rPr>
            <w:noProof/>
            <w:webHidden/>
          </w:rPr>
          <w:tab/>
        </w:r>
        <w:r>
          <w:rPr>
            <w:noProof/>
            <w:webHidden/>
          </w:rPr>
          <w:fldChar w:fldCharType="begin"/>
        </w:r>
        <w:r>
          <w:rPr>
            <w:noProof/>
            <w:webHidden/>
          </w:rPr>
          <w:instrText xml:space="preserve"> PAGEREF _Toc300002440 \h </w:instrText>
        </w:r>
        <w:r>
          <w:rPr>
            <w:noProof/>
            <w:webHidden/>
          </w:rPr>
          <w:fldChar w:fldCharType="separate"/>
        </w:r>
        <w:r>
          <w:rPr>
            <w:noProof/>
            <w:webHidden/>
          </w:rPr>
          <w:t>2357</w:t>
        </w:r>
        <w:r>
          <w:rPr>
            <w:noProof/>
            <w:webHidden/>
          </w:rPr>
          <w:fldChar w:fldCharType="end"/>
        </w:r>
      </w:hyperlink>
    </w:p>
    <w:p>
      <w:pPr>
        <w:pStyle w:val="TOC2"/>
      </w:pPr>
      <w:hyperlink w:anchor="_Toc300002441" w:history="1">
        <w:r>
          <w:rPr>
            <w:noProof/>
          </w:rPr>
          <w:t xml:space="preserve">CH-11. Hygiene and Menstrual Health</w:t>
        </w:r>
        <w:r>
          <w:rPr>
            <w:noProof/>
            <w:webHidden/>
          </w:rPr>
          <w:tab/>
        </w:r>
        <w:r>
          <w:rPr>
            <w:noProof/>
            <w:webHidden/>
          </w:rPr>
          <w:fldChar w:fldCharType="begin"/>
        </w:r>
        <w:r>
          <w:rPr>
            <w:noProof/>
            <w:webHidden/>
          </w:rPr>
          <w:instrText xml:space="preserve"> PAGEREF _Toc300002441 \h </w:instrText>
        </w:r>
        <w:r>
          <w:rPr>
            <w:noProof/>
            <w:webHidden/>
          </w:rPr>
          <w:fldChar w:fldCharType="separate"/>
        </w:r>
        <w:r>
          <w:rPr>
            <w:noProof/>
            <w:webHidden/>
          </w:rPr>
          <w:t>2357</w:t>
        </w:r>
        <w:r>
          <w:rPr>
            <w:noProof/>
            <w:webHidden/>
          </w:rPr>
          <w:fldChar w:fldCharType="end"/>
        </w:r>
      </w:hyperlink>
    </w:p>
    <w:p>
      <w:pPr>
        <w:pStyle w:val="TOC2"/>
      </w:pPr>
      <w:hyperlink w:anchor="_Toc300002442" w:history="1">
        <w:r>
          <w:rPr>
            <w:noProof/>
          </w:rPr>
          <w:t xml:space="preserve">CH-12. Healthcare Equivalence Principle</w:t>
        </w:r>
        <w:r>
          <w:rPr>
            <w:noProof/>
            <w:webHidden/>
          </w:rPr>
          <w:tab/>
        </w:r>
        <w:r>
          <w:rPr>
            <w:noProof/>
            <w:webHidden/>
          </w:rPr>
          <w:fldChar w:fldCharType="begin"/>
        </w:r>
        <w:r>
          <w:rPr>
            <w:noProof/>
            <w:webHidden/>
          </w:rPr>
          <w:instrText xml:space="preserve"> PAGEREF _Toc300002442 \h </w:instrText>
        </w:r>
        <w:r>
          <w:rPr>
            <w:noProof/>
            <w:webHidden/>
          </w:rPr>
          <w:fldChar w:fldCharType="separate"/>
        </w:r>
        <w:r>
          <w:rPr>
            <w:noProof/>
            <w:webHidden/>
          </w:rPr>
          <w:t>2358</w:t>
        </w:r>
        <w:r>
          <w:rPr>
            <w:noProof/>
            <w:webHidden/>
          </w:rPr>
          <w:fldChar w:fldCharType="end"/>
        </w:r>
      </w:hyperlink>
    </w:p>
    <w:p>
      <w:pPr>
        <w:pStyle w:val="TOC2"/>
      </w:pPr>
      <w:hyperlink w:anchor="_Toc300002443" w:history="1">
        <w:r>
          <w:rPr>
            <w:noProof/>
          </w:rPr>
          <w:t xml:space="preserve">CH-13. Emergency Medical Response</w:t>
        </w:r>
        <w:r>
          <w:rPr>
            <w:noProof/>
            <w:webHidden/>
          </w:rPr>
          <w:tab/>
        </w:r>
        <w:r>
          <w:rPr>
            <w:noProof/>
            <w:webHidden/>
          </w:rPr>
          <w:fldChar w:fldCharType="begin"/>
        </w:r>
        <w:r>
          <w:rPr>
            <w:noProof/>
            <w:webHidden/>
          </w:rPr>
          <w:instrText xml:space="preserve"> PAGEREF _Toc300002443 \h </w:instrText>
        </w:r>
        <w:r>
          <w:rPr>
            <w:noProof/>
            <w:webHidden/>
          </w:rPr>
          <w:fldChar w:fldCharType="separate"/>
        </w:r>
        <w:r>
          <w:rPr>
            <w:noProof/>
            <w:webHidden/>
          </w:rPr>
          <w:t>2358</w:t>
        </w:r>
        <w:r>
          <w:rPr>
            <w:noProof/>
            <w:webHidden/>
          </w:rPr>
          <w:fldChar w:fldCharType="end"/>
        </w:r>
      </w:hyperlink>
    </w:p>
    <w:p>
      <w:pPr>
        <w:pStyle w:val="TOC2"/>
      </w:pPr>
      <w:hyperlink w:anchor="_Toc300002444" w:history="1">
        <w:r>
          <w:rPr>
            <w:noProof/>
          </w:rPr>
          <w:t xml:space="preserve">CH-14. Medication Continuity</w:t>
        </w:r>
        <w:r>
          <w:rPr>
            <w:noProof/>
            <w:webHidden/>
          </w:rPr>
          <w:tab/>
        </w:r>
        <w:r>
          <w:rPr>
            <w:noProof/>
            <w:webHidden/>
          </w:rPr>
          <w:fldChar w:fldCharType="begin"/>
        </w:r>
        <w:r>
          <w:rPr>
            <w:noProof/>
            <w:webHidden/>
          </w:rPr>
          <w:instrText xml:space="preserve"> PAGEREF _Toc300002444 \h </w:instrText>
        </w:r>
        <w:r>
          <w:rPr>
            <w:noProof/>
            <w:webHidden/>
          </w:rPr>
          <w:fldChar w:fldCharType="separate"/>
        </w:r>
        <w:r>
          <w:rPr>
            <w:noProof/>
            <w:webHidden/>
          </w:rPr>
          <w:t>2358</w:t>
        </w:r>
        <w:r>
          <w:rPr>
            <w:noProof/>
            <w:webHidden/>
          </w:rPr>
          <w:fldChar w:fldCharType="end"/>
        </w:r>
      </w:hyperlink>
    </w:p>
    <w:p>
      <w:pPr>
        <w:pStyle w:val="TOC2"/>
      </w:pPr>
      <w:hyperlink w:anchor="_Toc300002445" w:history="1">
        <w:r>
          <w:rPr>
            <w:noProof/>
          </w:rPr>
          <w:t xml:space="preserve">CH-15. Mental Health, Suicide Prevention, and Crisis Care</w:t>
        </w:r>
        <w:r>
          <w:rPr>
            <w:noProof/>
            <w:webHidden/>
          </w:rPr>
          <w:tab/>
        </w:r>
        <w:r>
          <w:rPr>
            <w:noProof/>
            <w:webHidden/>
          </w:rPr>
          <w:fldChar w:fldCharType="begin"/>
        </w:r>
        <w:r>
          <w:rPr>
            <w:noProof/>
            <w:webHidden/>
          </w:rPr>
          <w:instrText xml:space="preserve"> PAGEREF _Toc300002445 \h </w:instrText>
        </w:r>
        <w:r>
          <w:rPr>
            <w:noProof/>
            <w:webHidden/>
          </w:rPr>
          <w:fldChar w:fldCharType="separate"/>
        </w:r>
        <w:r>
          <w:rPr>
            <w:noProof/>
            <w:webHidden/>
          </w:rPr>
          <w:t>2358</w:t>
        </w:r>
        <w:r>
          <w:rPr>
            <w:noProof/>
            <w:webHidden/>
          </w:rPr>
          <w:fldChar w:fldCharType="end"/>
        </w:r>
      </w:hyperlink>
    </w:p>
    <w:p>
      <w:pPr>
        <w:pStyle w:val="TOC2"/>
      </w:pPr>
      <w:hyperlink w:anchor="_Toc300002446" w:history="1">
        <w:r>
          <w:rPr>
            <w:noProof/>
          </w:rPr>
          <w:t xml:space="preserve">CH-16. Disability Accommodation</w:t>
        </w:r>
        <w:r>
          <w:rPr>
            <w:noProof/>
            <w:webHidden/>
          </w:rPr>
          <w:tab/>
        </w:r>
        <w:r>
          <w:rPr>
            <w:noProof/>
            <w:webHidden/>
          </w:rPr>
          <w:fldChar w:fldCharType="begin"/>
        </w:r>
        <w:r>
          <w:rPr>
            <w:noProof/>
            <w:webHidden/>
          </w:rPr>
          <w:instrText xml:space="preserve"> PAGEREF _Toc300002446 \h </w:instrText>
        </w:r>
        <w:r>
          <w:rPr>
            <w:noProof/>
            <w:webHidden/>
          </w:rPr>
          <w:fldChar w:fldCharType="separate"/>
        </w:r>
        <w:r>
          <w:rPr>
            <w:noProof/>
            <w:webHidden/>
          </w:rPr>
          <w:t>2359</w:t>
        </w:r>
        <w:r>
          <w:rPr>
            <w:noProof/>
            <w:webHidden/>
          </w:rPr>
          <w:fldChar w:fldCharType="end"/>
        </w:r>
      </w:hyperlink>
    </w:p>
    <w:p>
      <w:pPr>
        <w:pStyle w:val="TOC2"/>
      </w:pPr>
      <w:hyperlink w:anchor="_Toc300002447" w:history="1">
        <w:r>
          <w:rPr>
            <w:noProof/>
          </w:rPr>
          <w:t xml:space="preserve">CH-17. Protection from Violence, Sexual Abuse, Trafficking, and Extortion</w:t>
        </w:r>
        <w:r>
          <w:rPr>
            <w:noProof/>
            <w:webHidden/>
          </w:rPr>
          <w:tab/>
        </w:r>
        <w:r>
          <w:rPr>
            <w:noProof/>
            <w:webHidden/>
          </w:rPr>
          <w:fldChar w:fldCharType="begin"/>
        </w:r>
        <w:r>
          <w:rPr>
            <w:noProof/>
            <w:webHidden/>
          </w:rPr>
          <w:instrText xml:space="preserve"> PAGEREF _Toc300002447 \h </w:instrText>
        </w:r>
        <w:r>
          <w:rPr>
            <w:noProof/>
            <w:webHidden/>
          </w:rPr>
          <w:fldChar w:fldCharType="separate"/>
        </w:r>
        <w:r>
          <w:rPr>
            <w:noProof/>
            <w:webHidden/>
          </w:rPr>
          <w:t>2359</w:t>
        </w:r>
        <w:r>
          <w:rPr>
            <w:noProof/>
            <w:webHidden/>
          </w:rPr>
          <w:fldChar w:fldCharType="end"/>
        </w:r>
      </w:hyperlink>
    </w:p>
    <w:p>
      <w:pPr>
        <w:pStyle w:val="TOC2"/>
      </w:pPr>
      <w:hyperlink w:anchor="_Toc300002448" w:history="1">
        <w:r>
          <w:rPr>
            <w:noProof/>
          </w:rPr>
          <w:t xml:space="preserve">CH-18. Use of Force</w:t>
        </w:r>
        <w:r>
          <w:rPr>
            <w:noProof/>
            <w:webHidden/>
          </w:rPr>
          <w:tab/>
        </w:r>
        <w:r>
          <w:rPr>
            <w:noProof/>
            <w:webHidden/>
          </w:rPr>
          <w:fldChar w:fldCharType="begin"/>
        </w:r>
        <w:r>
          <w:rPr>
            <w:noProof/>
            <w:webHidden/>
          </w:rPr>
          <w:instrText xml:space="preserve"> PAGEREF _Toc300002448 \h </w:instrText>
        </w:r>
        <w:r>
          <w:rPr>
            <w:noProof/>
            <w:webHidden/>
          </w:rPr>
          <w:fldChar w:fldCharType="separate"/>
        </w:r>
        <w:r>
          <w:rPr>
            <w:noProof/>
            <w:webHidden/>
          </w:rPr>
          <w:t>2359</w:t>
        </w:r>
        <w:r>
          <w:rPr>
            <w:noProof/>
            <w:webHidden/>
          </w:rPr>
          <w:fldChar w:fldCharType="end"/>
        </w:r>
      </w:hyperlink>
    </w:p>
    <w:p>
      <w:pPr>
        <w:pStyle w:val="TOC2"/>
      </w:pPr>
      <w:hyperlink w:anchor="_Toc300002449" w:history="1">
        <w:r>
          <w:rPr>
            <w:noProof/>
          </w:rPr>
          <w:t xml:space="preserve">CH-19. Restraints</w:t>
        </w:r>
        <w:r>
          <w:rPr>
            <w:noProof/>
            <w:webHidden/>
          </w:rPr>
          <w:tab/>
        </w:r>
        <w:r>
          <w:rPr>
            <w:noProof/>
            <w:webHidden/>
          </w:rPr>
          <w:fldChar w:fldCharType="begin"/>
        </w:r>
        <w:r>
          <w:rPr>
            <w:noProof/>
            <w:webHidden/>
          </w:rPr>
          <w:instrText xml:space="preserve"> PAGEREF _Toc300002449 \h </w:instrText>
        </w:r>
        <w:r>
          <w:rPr>
            <w:noProof/>
            <w:webHidden/>
          </w:rPr>
          <w:fldChar w:fldCharType="separate"/>
        </w:r>
        <w:r>
          <w:rPr>
            <w:noProof/>
            <w:webHidden/>
          </w:rPr>
          <w:t>2359</w:t>
        </w:r>
        <w:r>
          <w:rPr>
            <w:noProof/>
            <w:webHidden/>
          </w:rPr>
          <w:fldChar w:fldCharType="end"/>
        </w:r>
      </w:hyperlink>
    </w:p>
    <w:p>
      <w:pPr>
        <w:pStyle w:val="TOC2"/>
      </w:pPr>
      <w:hyperlink w:anchor="_Toc300002450" w:history="1">
        <w:r>
          <w:rPr>
            <w:noProof/>
          </w:rPr>
          <w:t xml:space="preserve">CH-20. Definition of Solitary Confinement</w:t>
        </w:r>
        <w:r>
          <w:rPr>
            <w:noProof/>
            <w:webHidden/>
          </w:rPr>
          <w:tab/>
        </w:r>
        <w:r>
          <w:rPr>
            <w:noProof/>
            <w:webHidden/>
          </w:rPr>
          <w:fldChar w:fldCharType="begin"/>
        </w:r>
        <w:r>
          <w:rPr>
            <w:noProof/>
            <w:webHidden/>
          </w:rPr>
          <w:instrText xml:space="preserve"> PAGEREF _Toc300002450 \h </w:instrText>
        </w:r>
        <w:r>
          <w:rPr>
            <w:noProof/>
            <w:webHidden/>
          </w:rPr>
          <w:fldChar w:fldCharType="separate"/>
        </w:r>
        <w:r>
          <w:rPr>
            <w:noProof/>
            <w:webHidden/>
          </w:rPr>
          <w:t>2360</w:t>
        </w:r>
        <w:r>
          <w:rPr>
            <w:noProof/>
            <w:webHidden/>
          </w:rPr>
          <w:fldChar w:fldCharType="end"/>
        </w:r>
      </w:hyperlink>
    </w:p>
    <w:p>
      <w:pPr>
        <w:pStyle w:val="TOC2"/>
      </w:pPr>
      <w:hyperlink w:anchor="_Toc300002451" w:history="1">
        <w:r>
          <w:rPr>
            <w:noProof/>
          </w:rPr>
          <w:t xml:space="preserve">CH-21. Restrictive Housing as Exceptional Measure</w:t>
        </w:r>
        <w:r>
          <w:rPr>
            <w:noProof/>
            <w:webHidden/>
          </w:rPr>
          <w:tab/>
        </w:r>
        <w:r>
          <w:rPr>
            <w:noProof/>
            <w:webHidden/>
          </w:rPr>
          <w:fldChar w:fldCharType="begin"/>
        </w:r>
        <w:r>
          <w:rPr>
            <w:noProof/>
            <w:webHidden/>
          </w:rPr>
          <w:instrText xml:space="preserve"> PAGEREF _Toc300002451 \h </w:instrText>
        </w:r>
        <w:r>
          <w:rPr>
            <w:noProof/>
            <w:webHidden/>
          </w:rPr>
          <w:fldChar w:fldCharType="separate"/>
        </w:r>
        <w:r>
          <w:rPr>
            <w:noProof/>
            <w:webHidden/>
          </w:rPr>
          <w:t>2360</w:t>
        </w:r>
        <w:r>
          <w:rPr>
            <w:noProof/>
            <w:webHidden/>
          </w:rPr>
          <w:fldChar w:fldCharType="end"/>
        </w:r>
      </w:hyperlink>
    </w:p>
    <w:p>
      <w:pPr>
        <w:pStyle w:val="TOC2"/>
      </w:pPr>
      <w:hyperlink w:anchor="_Toc300002452" w:history="1">
        <w:r>
          <w:rPr>
            <w:noProof/>
          </w:rPr>
          <w:t xml:space="preserve">CH-22. Prolonged and Indefinite Solitary Confinement</w:t>
        </w:r>
        <w:r>
          <w:rPr>
            <w:noProof/>
            <w:webHidden/>
          </w:rPr>
          <w:tab/>
        </w:r>
        <w:r>
          <w:rPr>
            <w:noProof/>
            <w:webHidden/>
          </w:rPr>
          <w:fldChar w:fldCharType="begin"/>
        </w:r>
        <w:r>
          <w:rPr>
            <w:noProof/>
            <w:webHidden/>
          </w:rPr>
          <w:instrText xml:space="preserve"> PAGEREF _Toc300002452 \h </w:instrText>
        </w:r>
        <w:r>
          <w:rPr>
            <w:noProof/>
            <w:webHidden/>
          </w:rPr>
          <w:fldChar w:fldCharType="separate"/>
        </w:r>
        <w:r>
          <w:rPr>
            <w:noProof/>
            <w:webHidden/>
          </w:rPr>
          <w:t>2360</w:t>
        </w:r>
        <w:r>
          <w:rPr>
            <w:noProof/>
            <w:webHidden/>
          </w:rPr>
          <w:fldChar w:fldCharType="end"/>
        </w:r>
      </w:hyperlink>
    </w:p>
    <w:p>
      <w:pPr>
        <w:pStyle w:val="TOC2"/>
      </w:pPr>
      <w:hyperlink w:anchor="_Toc300002453" w:history="1">
        <w:r>
          <w:rPr>
            <w:noProof/>
          </w:rPr>
          <w:t xml:space="preserve">CH-23. Restrictive-Housing Living Conditions</w:t>
        </w:r>
        <w:r>
          <w:rPr>
            <w:noProof/>
            <w:webHidden/>
          </w:rPr>
          <w:tab/>
        </w:r>
        <w:r>
          <w:rPr>
            <w:noProof/>
            <w:webHidden/>
          </w:rPr>
          <w:fldChar w:fldCharType="begin"/>
        </w:r>
        <w:r>
          <w:rPr>
            <w:noProof/>
            <w:webHidden/>
          </w:rPr>
          <w:instrText xml:space="preserve"> PAGEREF _Toc300002453 \h </w:instrText>
        </w:r>
        <w:r>
          <w:rPr>
            <w:noProof/>
            <w:webHidden/>
          </w:rPr>
          <w:fldChar w:fldCharType="separate"/>
        </w:r>
        <w:r>
          <w:rPr>
            <w:noProof/>
            <w:webHidden/>
          </w:rPr>
          <w:t>2360</w:t>
        </w:r>
        <w:r>
          <w:rPr>
            <w:noProof/>
            <w:webHidden/>
          </w:rPr>
          <w:fldChar w:fldCharType="end"/>
        </w:r>
      </w:hyperlink>
    </w:p>
    <w:p>
      <w:pPr>
        <w:pStyle w:val="TOC2"/>
      </w:pPr>
      <w:hyperlink w:anchor="_Toc300002454" w:history="1">
        <w:r>
          <w:rPr>
            <w:noProof/>
          </w:rPr>
          <w:t xml:space="preserve">CH-24. Family Contact</w:t>
        </w:r>
        <w:r>
          <w:rPr>
            <w:noProof/>
            <w:webHidden/>
          </w:rPr>
          <w:tab/>
        </w:r>
        <w:r>
          <w:rPr>
            <w:noProof/>
            <w:webHidden/>
          </w:rPr>
          <w:fldChar w:fldCharType="begin"/>
        </w:r>
        <w:r>
          <w:rPr>
            <w:noProof/>
            <w:webHidden/>
          </w:rPr>
          <w:instrText xml:space="preserve"> PAGEREF _Toc300002454 \h </w:instrText>
        </w:r>
        <w:r>
          <w:rPr>
            <w:noProof/>
            <w:webHidden/>
          </w:rPr>
          <w:fldChar w:fldCharType="separate"/>
        </w:r>
        <w:r>
          <w:rPr>
            <w:noProof/>
            <w:webHidden/>
          </w:rPr>
          <w:t>2361</w:t>
        </w:r>
        <w:r>
          <w:rPr>
            <w:noProof/>
            <w:webHidden/>
          </w:rPr>
          <w:fldChar w:fldCharType="end"/>
        </w:r>
      </w:hyperlink>
    </w:p>
    <w:p>
      <w:pPr>
        <w:pStyle w:val="TOC2"/>
      </w:pPr>
      <w:hyperlink w:anchor="_Toc300002455" w:history="1">
        <w:r>
          <w:rPr>
            <w:noProof/>
          </w:rPr>
          <w:t xml:space="preserve">CH-25. Children and Family Relationships</w:t>
        </w:r>
        <w:r>
          <w:rPr>
            <w:noProof/>
            <w:webHidden/>
          </w:rPr>
          <w:tab/>
        </w:r>
        <w:r>
          <w:rPr>
            <w:noProof/>
            <w:webHidden/>
          </w:rPr>
          <w:fldChar w:fldCharType="begin"/>
        </w:r>
        <w:r>
          <w:rPr>
            <w:noProof/>
            <w:webHidden/>
          </w:rPr>
          <w:instrText xml:space="preserve"> PAGEREF _Toc300002455 \h </w:instrText>
        </w:r>
        <w:r>
          <w:rPr>
            <w:noProof/>
            <w:webHidden/>
          </w:rPr>
          <w:fldChar w:fldCharType="separate"/>
        </w:r>
        <w:r>
          <w:rPr>
            <w:noProof/>
            <w:webHidden/>
          </w:rPr>
          <w:t>2361</w:t>
        </w:r>
        <w:r>
          <w:rPr>
            <w:noProof/>
            <w:webHidden/>
          </w:rPr>
          <w:fldChar w:fldCharType="end"/>
        </w:r>
      </w:hyperlink>
    </w:p>
    <w:p>
      <w:pPr>
        <w:pStyle w:val="TOC2"/>
      </w:pPr>
      <w:hyperlink w:anchor="_Toc300002456" w:history="1">
        <w:r>
          <w:rPr>
            <w:noProof/>
          </w:rPr>
          <w:t xml:space="preserve">CH-26. Legal Counsel and Privileged Communication</w:t>
        </w:r>
        <w:r>
          <w:rPr>
            <w:noProof/>
            <w:webHidden/>
          </w:rPr>
          <w:tab/>
        </w:r>
        <w:r>
          <w:rPr>
            <w:noProof/>
            <w:webHidden/>
          </w:rPr>
          <w:fldChar w:fldCharType="begin"/>
        </w:r>
        <w:r>
          <w:rPr>
            <w:noProof/>
            <w:webHidden/>
          </w:rPr>
          <w:instrText xml:space="preserve"> PAGEREF _Toc300002456 \h </w:instrText>
        </w:r>
        <w:r>
          <w:rPr>
            <w:noProof/>
            <w:webHidden/>
          </w:rPr>
          <w:fldChar w:fldCharType="separate"/>
        </w:r>
        <w:r>
          <w:rPr>
            <w:noProof/>
            <w:webHidden/>
          </w:rPr>
          <w:t>2361</w:t>
        </w:r>
        <w:r>
          <w:rPr>
            <w:noProof/>
            <w:webHidden/>
          </w:rPr>
          <w:fldChar w:fldCharType="end"/>
        </w:r>
      </w:hyperlink>
    </w:p>
    <w:p>
      <w:pPr>
        <w:pStyle w:val="TOC2"/>
      </w:pPr>
      <w:hyperlink w:anchor="_Toc300002457" w:history="1">
        <w:r>
          <w:rPr>
            <w:noProof/>
          </w:rPr>
          <w:t xml:space="preserve">CH-27. Legal Information</w:t>
        </w:r>
        <w:r>
          <w:rPr>
            <w:noProof/>
            <w:webHidden/>
          </w:rPr>
          <w:tab/>
        </w:r>
        <w:r>
          <w:rPr>
            <w:noProof/>
            <w:webHidden/>
          </w:rPr>
          <w:fldChar w:fldCharType="begin"/>
        </w:r>
        <w:r>
          <w:rPr>
            <w:noProof/>
            <w:webHidden/>
          </w:rPr>
          <w:instrText xml:space="preserve"> PAGEREF _Toc300002457 \h </w:instrText>
        </w:r>
        <w:r>
          <w:rPr>
            <w:noProof/>
            <w:webHidden/>
          </w:rPr>
          <w:fldChar w:fldCharType="separate"/>
        </w:r>
        <w:r>
          <w:rPr>
            <w:noProof/>
            <w:webHidden/>
          </w:rPr>
          <w:t>2361</w:t>
        </w:r>
        <w:r>
          <w:rPr>
            <w:noProof/>
            <w:webHidden/>
          </w:rPr>
          <w:fldChar w:fldCharType="end"/>
        </w:r>
      </w:hyperlink>
    </w:p>
    <w:p>
      <w:pPr>
        <w:pStyle w:val="TOC2"/>
      </w:pPr>
      <w:hyperlink w:anchor="_Toc300002458" w:history="1">
        <w:r>
          <w:rPr>
            <w:noProof/>
          </w:rPr>
          <w:t xml:space="preserve">CH-28. Disciplinary Fairness</w:t>
        </w:r>
        <w:r>
          <w:rPr>
            <w:noProof/>
            <w:webHidden/>
          </w:rPr>
          <w:tab/>
        </w:r>
        <w:r>
          <w:rPr>
            <w:noProof/>
            <w:webHidden/>
          </w:rPr>
          <w:fldChar w:fldCharType="begin"/>
        </w:r>
        <w:r>
          <w:rPr>
            <w:noProof/>
            <w:webHidden/>
          </w:rPr>
          <w:instrText xml:space="preserve"> PAGEREF _Toc300002458 \h </w:instrText>
        </w:r>
        <w:r>
          <w:rPr>
            <w:noProof/>
            <w:webHidden/>
          </w:rPr>
          <w:fldChar w:fldCharType="separate"/>
        </w:r>
        <w:r>
          <w:rPr>
            <w:noProof/>
            <w:webHidden/>
          </w:rPr>
          <w:t>2361</w:t>
        </w:r>
        <w:r>
          <w:rPr>
            <w:noProof/>
            <w:webHidden/>
          </w:rPr>
          <w:fldChar w:fldCharType="end"/>
        </w:r>
      </w:hyperlink>
    </w:p>
    <w:p>
      <w:pPr>
        <w:pStyle w:val="TOC2"/>
      </w:pPr>
      <w:hyperlink w:anchor="_Toc300002459" w:history="1">
        <w:r>
          <w:rPr>
            <w:noProof/>
          </w:rPr>
          <w:t xml:space="preserve">CH-29. Complaint, Whistleblower, and Anti-Retaliation Protection</w:t>
        </w:r>
        <w:r>
          <w:rPr>
            <w:noProof/>
            <w:webHidden/>
          </w:rPr>
          <w:tab/>
        </w:r>
        <w:r>
          <w:rPr>
            <w:noProof/>
            <w:webHidden/>
          </w:rPr>
          <w:fldChar w:fldCharType="begin"/>
        </w:r>
        <w:r>
          <w:rPr>
            <w:noProof/>
            <w:webHidden/>
          </w:rPr>
          <w:instrText xml:space="preserve"> PAGEREF _Toc300002459 \h </w:instrText>
        </w:r>
        <w:r>
          <w:rPr>
            <w:noProof/>
            <w:webHidden/>
          </w:rPr>
          <w:fldChar w:fldCharType="separate"/>
        </w:r>
        <w:r>
          <w:rPr>
            <w:noProof/>
            <w:webHidden/>
          </w:rPr>
          <w:t>2362</w:t>
        </w:r>
        <w:r>
          <w:rPr>
            <w:noProof/>
            <w:webHidden/>
          </w:rPr>
          <w:fldChar w:fldCharType="end"/>
        </w:r>
      </w:hyperlink>
    </w:p>
    <w:p>
      <w:pPr>
        <w:pStyle w:val="TOC2"/>
      </w:pPr>
      <w:hyperlink w:anchor="_Toc300002460" w:history="1">
        <w:r>
          <w:rPr>
            <w:noProof/>
          </w:rPr>
          <w:t xml:space="preserve">CH-30. Independent Inspection and Oversight</w:t>
        </w:r>
        <w:r>
          <w:rPr>
            <w:noProof/>
            <w:webHidden/>
          </w:rPr>
          <w:tab/>
        </w:r>
        <w:r>
          <w:rPr>
            <w:noProof/>
            <w:webHidden/>
          </w:rPr>
          <w:fldChar w:fldCharType="begin"/>
        </w:r>
        <w:r>
          <w:rPr>
            <w:noProof/>
            <w:webHidden/>
          </w:rPr>
          <w:instrText xml:space="preserve"> PAGEREF _Toc300002460 \h </w:instrText>
        </w:r>
        <w:r>
          <w:rPr>
            <w:noProof/>
            <w:webHidden/>
          </w:rPr>
          <w:fldChar w:fldCharType="separate"/>
        </w:r>
        <w:r>
          <w:rPr>
            <w:noProof/>
            <w:webHidden/>
          </w:rPr>
          <w:t>2362</w:t>
        </w:r>
        <w:r>
          <w:rPr>
            <w:noProof/>
            <w:webHidden/>
          </w:rPr>
          <w:fldChar w:fldCharType="end"/>
        </w:r>
      </w:hyperlink>
    </w:p>
    <w:p>
      <w:pPr>
        <w:pStyle w:val="TOC2"/>
      </w:pPr>
      <w:hyperlink w:anchor="_Toc300002461" w:history="1">
        <w:r>
          <w:rPr>
            <w:noProof/>
          </w:rPr>
          <w:t xml:space="preserve">CH-31. Deaths, Serious Injuries, and Grave Incidents</w:t>
        </w:r>
        <w:r>
          <w:rPr>
            <w:noProof/>
            <w:webHidden/>
          </w:rPr>
          <w:tab/>
        </w:r>
        <w:r>
          <w:rPr>
            <w:noProof/>
            <w:webHidden/>
          </w:rPr>
          <w:fldChar w:fldCharType="begin"/>
        </w:r>
        <w:r>
          <w:rPr>
            <w:noProof/>
            <w:webHidden/>
          </w:rPr>
          <w:instrText xml:space="preserve"> PAGEREF _Toc300002461 \h </w:instrText>
        </w:r>
        <w:r>
          <w:rPr>
            <w:noProof/>
            <w:webHidden/>
          </w:rPr>
          <w:fldChar w:fldCharType="separate"/>
        </w:r>
        <w:r>
          <w:rPr>
            <w:noProof/>
            <w:webHidden/>
          </w:rPr>
          <w:t>2362</w:t>
        </w:r>
        <w:r>
          <w:rPr>
            <w:noProof/>
            <w:webHidden/>
          </w:rPr>
          <w:fldChar w:fldCharType="end"/>
        </w:r>
      </w:hyperlink>
    </w:p>
    <w:p>
      <w:pPr>
        <w:pStyle w:val="TOC2"/>
      </w:pPr>
      <w:hyperlink w:anchor="_Toc300002462" w:history="1">
        <w:r>
          <w:rPr>
            <w:noProof/>
          </w:rPr>
          <w:t xml:space="preserve">CH-32. Fire, Disaster, and Emergency Preparedness</w:t>
        </w:r>
        <w:r>
          <w:rPr>
            <w:noProof/>
            <w:webHidden/>
          </w:rPr>
          <w:tab/>
        </w:r>
        <w:r>
          <w:rPr>
            <w:noProof/>
            <w:webHidden/>
          </w:rPr>
          <w:fldChar w:fldCharType="begin"/>
        </w:r>
        <w:r>
          <w:rPr>
            <w:noProof/>
            <w:webHidden/>
          </w:rPr>
          <w:instrText xml:space="preserve"> PAGEREF _Toc300002462 \h </w:instrText>
        </w:r>
        <w:r>
          <w:rPr>
            <w:noProof/>
            <w:webHidden/>
          </w:rPr>
          <w:fldChar w:fldCharType="separate"/>
        </w:r>
        <w:r>
          <w:rPr>
            <w:noProof/>
            <w:webHidden/>
          </w:rPr>
          <w:t>2362</w:t>
        </w:r>
        <w:r>
          <w:rPr>
            <w:noProof/>
            <w:webHidden/>
          </w:rPr>
          <w:fldChar w:fldCharType="end"/>
        </w:r>
      </w:hyperlink>
    </w:p>
    <w:p>
      <w:pPr>
        <w:pStyle w:val="TOC2"/>
      </w:pPr>
      <w:hyperlink w:anchor="_Toc300002463" w:history="1">
        <w:r>
          <w:rPr>
            <w:noProof/>
          </w:rPr>
          <w:t xml:space="preserve">CH-33. Religion, Culture, and Language</w:t>
        </w:r>
        <w:r>
          <w:rPr>
            <w:noProof/>
            <w:webHidden/>
          </w:rPr>
          <w:tab/>
        </w:r>
        <w:r>
          <w:rPr>
            <w:noProof/>
            <w:webHidden/>
          </w:rPr>
          <w:fldChar w:fldCharType="begin"/>
        </w:r>
        <w:r>
          <w:rPr>
            <w:noProof/>
            <w:webHidden/>
          </w:rPr>
          <w:instrText xml:space="preserve"> PAGEREF _Toc300002463 \h </w:instrText>
        </w:r>
        <w:r>
          <w:rPr>
            <w:noProof/>
            <w:webHidden/>
          </w:rPr>
          <w:fldChar w:fldCharType="separate"/>
        </w:r>
        <w:r>
          <w:rPr>
            <w:noProof/>
            <w:webHidden/>
          </w:rPr>
          <w:t>2363</w:t>
        </w:r>
        <w:r>
          <w:rPr>
            <w:noProof/>
            <w:webHidden/>
          </w:rPr>
          <w:fldChar w:fldCharType="end"/>
        </w:r>
      </w:hyperlink>
    </w:p>
    <w:p>
      <w:pPr>
        <w:pStyle w:val="TOC2"/>
      </w:pPr>
      <w:hyperlink w:anchor="_Toc300002464" w:history="1">
        <w:r>
          <w:rPr>
            <w:noProof/>
          </w:rPr>
          <w:t xml:space="preserve">CH-34. Private Contractors and Outsourced Custody</w:t>
        </w:r>
        <w:r>
          <w:rPr>
            <w:noProof/>
            <w:webHidden/>
          </w:rPr>
          <w:tab/>
        </w:r>
        <w:r>
          <w:rPr>
            <w:noProof/>
            <w:webHidden/>
          </w:rPr>
          <w:fldChar w:fldCharType="begin"/>
        </w:r>
        <w:r>
          <w:rPr>
            <w:noProof/>
            <w:webHidden/>
          </w:rPr>
          <w:instrText xml:space="preserve"> PAGEREF _Toc300002464 \h </w:instrText>
        </w:r>
        <w:r>
          <w:rPr>
            <w:noProof/>
            <w:webHidden/>
          </w:rPr>
          <w:fldChar w:fldCharType="separate"/>
        </w:r>
        <w:r>
          <w:rPr>
            <w:noProof/>
            <w:webHidden/>
          </w:rPr>
          <w:t>2363</w:t>
        </w:r>
        <w:r>
          <w:rPr>
            <w:noProof/>
            <w:webHidden/>
          </w:rPr>
          <w:fldChar w:fldCharType="end"/>
        </w:r>
      </w:hyperlink>
    </w:p>
    <w:p>
      <w:pPr>
        <w:pStyle w:val="TOC2"/>
      </w:pPr>
      <w:hyperlink w:anchor="_Toc300002465" w:history="1">
        <w:r>
          <w:rPr>
            <w:noProof/>
          </w:rPr>
          <w:t xml:space="preserve">CH-35. Transfer and Relabelling Firewall</w:t>
        </w:r>
        <w:r>
          <w:rPr>
            <w:noProof/>
            <w:webHidden/>
          </w:rPr>
          <w:tab/>
        </w:r>
        <w:r>
          <w:rPr>
            <w:noProof/>
            <w:webHidden/>
          </w:rPr>
          <w:fldChar w:fldCharType="begin"/>
        </w:r>
        <w:r>
          <w:rPr>
            <w:noProof/>
            <w:webHidden/>
          </w:rPr>
          <w:instrText xml:space="preserve"> PAGEREF _Toc300002465 \h </w:instrText>
        </w:r>
        <w:r>
          <w:rPr>
            <w:noProof/>
            <w:webHidden/>
          </w:rPr>
          <w:fldChar w:fldCharType="separate"/>
        </w:r>
        <w:r>
          <w:rPr>
            <w:noProof/>
            <w:webHidden/>
          </w:rPr>
          <w:t>2363</w:t>
        </w:r>
        <w:r>
          <w:rPr>
            <w:noProof/>
            <w:webHidden/>
          </w:rPr>
          <w:fldChar w:fldCharType="end"/>
        </w:r>
      </w:hyperlink>
    </w:p>
    <w:p>
      <w:pPr>
        <w:pStyle w:val="TOC2"/>
      </w:pPr>
      <w:hyperlink w:anchor="_Toc300002466" w:history="1">
        <w:r>
          <w:rPr>
            <w:noProof/>
          </w:rPr>
          <w:t xml:space="preserve">CH-36. Pretrial and Unconvicted Persons</w:t>
        </w:r>
        <w:r>
          <w:rPr>
            <w:noProof/>
            <w:webHidden/>
          </w:rPr>
          <w:tab/>
        </w:r>
        <w:r>
          <w:rPr>
            <w:noProof/>
            <w:webHidden/>
          </w:rPr>
          <w:fldChar w:fldCharType="begin"/>
        </w:r>
        <w:r>
          <w:rPr>
            <w:noProof/>
            <w:webHidden/>
          </w:rPr>
          <w:instrText xml:space="preserve"> PAGEREF _Toc300002466 \h </w:instrText>
        </w:r>
        <w:r>
          <w:rPr>
            <w:noProof/>
            <w:webHidden/>
          </w:rPr>
          <w:fldChar w:fldCharType="separate"/>
        </w:r>
        <w:r>
          <w:rPr>
            <w:noProof/>
            <w:webHidden/>
          </w:rPr>
          <w:t>2363</w:t>
        </w:r>
        <w:r>
          <w:rPr>
            <w:noProof/>
            <w:webHidden/>
          </w:rPr>
          <w:fldChar w:fldCharType="end"/>
        </w:r>
      </w:hyperlink>
    </w:p>
    <w:p>
      <w:pPr>
        <w:pStyle w:val="TOC2"/>
      </w:pPr>
      <w:hyperlink w:anchor="_Toc300002467" w:history="1">
        <w:r>
          <w:rPr>
            <w:noProof/>
          </w:rPr>
          <w:t xml:space="preserve">CH-37. Correctional Staff Safety and Dignity</w:t>
        </w:r>
        <w:r>
          <w:rPr>
            <w:noProof/>
            <w:webHidden/>
          </w:rPr>
          <w:tab/>
        </w:r>
        <w:r>
          <w:rPr>
            <w:noProof/>
            <w:webHidden/>
          </w:rPr>
          <w:fldChar w:fldCharType="begin"/>
        </w:r>
        <w:r>
          <w:rPr>
            <w:noProof/>
            <w:webHidden/>
          </w:rPr>
          <w:instrText xml:space="preserve"> PAGEREF _Toc300002467 \h </w:instrText>
        </w:r>
        <w:r>
          <w:rPr>
            <w:noProof/>
            <w:webHidden/>
          </w:rPr>
          <w:fldChar w:fldCharType="separate"/>
        </w:r>
        <w:r>
          <w:rPr>
            <w:noProof/>
            <w:webHidden/>
          </w:rPr>
          <w:t>2363</w:t>
        </w:r>
        <w:r>
          <w:rPr>
            <w:noProof/>
            <w:webHidden/>
          </w:rPr>
          <w:fldChar w:fldCharType="end"/>
        </w:r>
      </w:hyperlink>
    </w:p>
    <w:p>
      <w:pPr>
        <w:pStyle w:val="TOC2"/>
      </w:pPr>
      <w:hyperlink w:anchor="_Toc300002468" w:history="1">
        <w:r>
          <w:rPr>
            <w:noProof/>
          </w:rPr>
          <w:t xml:space="preserve">CH-38. Emergency Safety Authority</w:t>
        </w:r>
        <w:r>
          <w:rPr>
            <w:noProof/>
            <w:webHidden/>
          </w:rPr>
          <w:tab/>
        </w:r>
        <w:r>
          <w:rPr>
            <w:noProof/>
            <w:webHidden/>
          </w:rPr>
          <w:fldChar w:fldCharType="begin"/>
        </w:r>
        <w:r>
          <w:rPr>
            <w:noProof/>
            <w:webHidden/>
          </w:rPr>
          <w:instrText xml:space="preserve"> PAGEREF _Toc300002468 \h </w:instrText>
        </w:r>
        <w:r>
          <w:rPr>
            <w:noProof/>
            <w:webHidden/>
          </w:rPr>
          <w:fldChar w:fldCharType="separate"/>
        </w:r>
        <w:r>
          <w:rPr>
            <w:noProof/>
            <w:webHidden/>
          </w:rPr>
          <w:t>2364</w:t>
        </w:r>
        <w:r>
          <w:rPr>
            <w:noProof/>
            <w:webHidden/>
          </w:rPr>
          <w:fldChar w:fldCharType="end"/>
        </w:r>
      </w:hyperlink>
    </w:p>
    <w:p>
      <w:pPr>
        <w:pStyle w:val="TOC2"/>
      </w:pPr>
      <w:hyperlink w:anchor="_Toc300002469" w:history="1">
        <w:r>
          <w:rPr>
            <w:noProof/>
          </w:rPr>
          <w:t xml:space="preserve">CH-39. Emergency Sunset and Restoration</w:t>
        </w:r>
        <w:r>
          <w:rPr>
            <w:noProof/>
            <w:webHidden/>
          </w:rPr>
          <w:tab/>
        </w:r>
        <w:r>
          <w:rPr>
            <w:noProof/>
            <w:webHidden/>
          </w:rPr>
          <w:fldChar w:fldCharType="begin"/>
        </w:r>
        <w:r>
          <w:rPr>
            <w:noProof/>
            <w:webHidden/>
          </w:rPr>
          <w:instrText xml:space="preserve"> PAGEREF _Toc300002469 \h </w:instrText>
        </w:r>
        <w:r>
          <w:rPr>
            <w:noProof/>
            <w:webHidden/>
          </w:rPr>
          <w:fldChar w:fldCharType="separate"/>
        </w:r>
        <w:r>
          <w:rPr>
            <w:noProof/>
            <w:webHidden/>
          </w:rPr>
          <w:t>2364</w:t>
        </w:r>
        <w:r>
          <w:rPr>
            <w:noProof/>
            <w:webHidden/>
          </w:rPr>
          <w:fldChar w:fldCharType="end"/>
        </w:r>
      </w:hyperlink>
    </w:p>
    <w:p>
      <w:pPr>
        <w:pStyle w:val="TOC2"/>
      </w:pPr>
      <w:hyperlink w:anchor="_Toc300002470" w:history="1">
        <w:r>
          <w:rPr>
            <w:noProof/>
          </w:rPr>
          <w:t xml:space="preserve">CH-40. Federalism and Constitutional Implementation</w:t>
        </w:r>
        <w:r>
          <w:rPr>
            <w:noProof/>
            <w:webHidden/>
          </w:rPr>
          <w:tab/>
        </w:r>
        <w:r>
          <w:rPr>
            <w:noProof/>
            <w:webHidden/>
          </w:rPr>
          <w:fldChar w:fldCharType="begin"/>
        </w:r>
        <w:r>
          <w:rPr>
            <w:noProof/>
            <w:webHidden/>
          </w:rPr>
          <w:instrText xml:space="preserve"> PAGEREF _Toc300002470 \h </w:instrText>
        </w:r>
        <w:r>
          <w:rPr>
            <w:noProof/>
            <w:webHidden/>
          </w:rPr>
          <w:fldChar w:fldCharType="separate"/>
        </w:r>
        <w:r>
          <w:rPr>
            <w:noProof/>
            <w:webHidden/>
          </w:rPr>
          <w:t>2364</w:t>
        </w:r>
        <w:r>
          <w:rPr>
            <w:noProof/>
            <w:webHidden/>
          </w:rPr>
          <w:fldChar w:fldCharType="end"/>
        </w:r>
      </w:hyperlink>
    </w:p>
    <w:p>
      <w:pPr>
        <w:pStyle w:val="TOC2"/>
      </w:pPr>
      <w:hyperlink w:anchor="_Toc300002471" w:history="1">
        <w:r>
          <w:rPr>
            <w:noProof/>
          </w:rPr>
          <w:t xml:space="preserve">CH-41. Higher Domestic Protection Preserved</w:t>
        </w:r>
        <w:r>
          <w:rPr>
            <w:noProof/>
            <w:webHidden/>
          </w:rPr>
          <w:tab/>
        </w:r>
        <w:r>
          <w:rPr>
            <w:noProof/>
            <w:webHidden/>
          </w:rPr>
          <w:fldChar w:fldCharType="begin"/>
        </w:r>
        <w:r>
          <w:rPr>
            <w:noProof/>
            <w:webHidden/>
          </w:rPr>
          <w:instrText xml:space="preserve"> PAGEREF _Toc300002471 \h </w:instrText>
        </w:r>
        <w:r>
          <w:rPr>
            <w:noProof/>
            <w:webHidden/>
          </w:rPr>
          <w:fldChar w:fldCharType="separate"/>
        </w:r>
        <w:r>
          <w:rPr>
            <w:noProof/>
            <w:webHidden/>
          </w:rPr>
          <w:t>2364</w:t>
        </w:r>
        <w:r>
          <w:rPr>
            <w:noProof/>
            <w:webHidden/>
          </w:rPr>
          <w:fldChar w:fldCharType="end"/>
        </w:r>
      </w:hyperlink>
    </w:p>
    <w:p>
      <w:pPr>
        <w:pStyle w:val="TOC2"/>
      </w:pPr>
      <w:hyperlink w:anchor="_Toc300002472" w:history="1">
        <w:r>
          <w:rPr>
            <w:noProof/>
          </w:rPr>
          <w:t xml:space="preserve">CH-42. No Private Right Created Solely by NAESTMA</w:t>
        </w:r>
        <w:r>
          <w:rPr>
            <w:noProof/>
            <w:webHidden/>
          </w:rPr>
          <w:tab/>
        </w:r>
        <w:r>
          <w:rPr>
            <w:noProof/>
            <w:webHidden/>
          </w:rPr>
          <w:fldChar w:fldCharType="begin"/>
        </w:r>
        <w:r>
          <w:rPr>
            <w:noProof/>
            <w:webHidden/>
          </w:rPr>
          <w:instrText xml:space="preserve"> PAGEREF _Toc300002472 \h </w:instrText>
        </w:r>
        <w:r>
          <w:rPr>
            <w:noProof/>
            <w:webHidden/>
          </w:rPr>
          <w:fldChar w:fldCharType="separate"/>
        </w:r>
        <w:r>
          <w:rPr>
            <w:noProof/>
            <w:webHidden/>
          </w:rPr>
          <w:t>2365</w:t>
        </w:r>
        <w:r>
          <w:rPr>
            <w:noProof/>
            <w:webHidden/>
          </w:rPr>
          <w:fldChar w:fldCharType="end"/>
        </w:r>
      </w:hyperlink>
    </w:p>
    <w:p>
      <w:pPr>
        <w:pStyle w:val="TOC2"/>
      </w:pPr>
      <w:hyperlink w:anchor="_Toc300002473" w:history="1">
        <w:r>
          <w:rPr>
            <w:noProof/>
          </w:rPr>
          <w:t xml:space="preserve">CH-43. Human Rights Cannot Be Trade Collateral</w:t>
        </w:r>
        <w:r>
          <w:rPr>
            <w:noProof/>
            <w:webHidden/>
          </w:rPr>
          <w:tab/>
        </w:r>
        <w:r>
          <w:rPr>
            <w:noProof/>
            <w:webHidden/>
          </w:rPr>
          <w:fldChar w:fldCharType="begin"/>
        </w:r>
        <w:r>
          <w:rPr>
            <w:noProof/>
            <w:webHidden/>
          </w:rPr>
          <w:instrText xml:space="preserve"> PAGEREF _Toc300002473 \h </w:instrText>
        </w:r>
        <w:r>
          <w:rPr>
            <w:noProof/>
            <w:webHidden/>
          </w:rPr>
          <w:fldChar w:fldCharType="separate"/>
        </w:r>
        <w:r>
          <w:rPr>
            <w:noProof/>
            <w:webHidden/>
          </w:rPr>
          <w:t>2365</w:t>
        </w:r>
        <w:r>
          <w:rPr>
            <w:noProof/>
            <w:webHidden/>
          </w:rPr>
          <w:fldChar w:fldCharType="end"/>
        </w:r>
      </w:hyperlink>
    </w:p>
    <w:p>
      <w:pPr>
        <w:pStyle w:val="TOC2"/>
      </w:pPr>
      <w:hyperlink w:anchor="_Toc300002474" w:history="1">
        <w:r>
          <w:rPr>
            <w:noProof/>
          </w:rPr>
          <w:t xml:space="preserve">CH-44. Systemic-Failure Threshold for Intergovernmental Enforcement</w:t>
        </w:r>
        <w:r>
          <w:rPr>
            <w:noProof/>
            <w:webHidden/>
          </w:rPr>
          <w:tab/>
        </w:r>
        <w:r>
          <w:rPr>
            <w:noProof/>
            <w:webHidden/>
          </w:rPr>
          <w:fldChar w:fldCharType="begin"/>
        </w:r>
        <w:r>
          <w:rPr>
            <w:noProof/>
            <w:webHidden/>
          </w:rPr>
          <w:instrText xml:space="preserve"> PAGEREF _Toc300002474 \h </w:instrText>
        </w:r>
        <w:r>
          <w:rPr>
            <w:noProof/>
            <w:webHidden/>
          </w:rPr>
          <w:fldChar w:fldCharType="separate"/>
        </w:r>
        <w:r>
          <w:rPr>
            <w:noProof/>
            <w:webHidden/>
          </w:rPr>
          <w:t>2365</w:t>
        </w:r>
        <w:r>
          <w:rPr>
            <w:noProof/>
            <w:webHidden/>
          </w:rPr>
          <w:fldChar w:fldCharType="end"/>
        </w:r>
      </w:hyperlink>
    </w:p>
    <w:p>
      <w:pPr>
        <w:pStyle w:val="TOC2"/>
      </w:pPr>
      <w:hyperlink w:anchor="_Toc300002475" w:history="1">
        <w:r>
          <w:rPr>
            <w:noProof/>
          </w:rPr>
          <w:t xml:space="preserve">CH-45. Cure Before Economic Consequence</w:t>
        </w:r>
        <w:r>
          <w:rPr>
            <w:noProof/>
            <w:webHidden/>
          </w:rPr>
          <w:tab/>
        </w:r>
        <w:r>
          <w:rPr>
            <w:noProof/>
            <w:webHidden/>
          </w:rPr>
          <w:fldChar w:fldCharType="begin"/>
        </w:r>
        <w:r>
          <w:rPr>
            <w:noProof/>
            <w:webHidden/>
          </w:rPr>
          <w:instrText xml:space="preserve"> PAGEREF _Toc300002475 \h </w:instrText>
        </w:r>
        <w:r>
          <w:rPr>
            <w:noProof/>
            <w:webHidden/>
          </w:rPr>
          <w:fldChar w:fldCharType="separate"/>
        </w:r>
        <w:r>
          <w:rPr>
            <w:noProof/>
            <w:webHidden/>
          </w:rPr>
          <w:t>2365</w:t>
        </w:r>
        <w:r>
          <w:rPr>
            <w:noProof/>
            <w:webHidden/>
          </w:rPr>
          <w:fldChar w:fldCharType="end"/>
        </w:r>
      </w:hyperlink>
    </w:p>
    <w:p>
      <w:pPr>
        <w:pStyle w:val="TOC2"/>
      </w:pPr>
      <w:hyperlink w:anchor="_Toc300002476" w:history="1">
        <w:r>
          <w:rPr>
            <w:noProof/>
          </w:rPr>
          <w:t xml:space="preserve">CH-46. Grave-Abuse Accelerator</w:t>
        </w:r>
        <w:r>
          <w:rPr>
            <w:noProof/>
            <w:webHidden/>
          </w:rPr>
          <w:tab/>
        </w:r>
        <w:r>
          <w:rPr>
            <w:noProof/>
            <w:webHidden/>
          </w:rPr>
          <w:fldChar w:fldCharType="begin"/>
        </w:r>
        <w:r>
          <w:rPr>
            <w:noProof/>
            <w:webHidden/>
          </w:rPr>
          <w:instrText xml:space="preserve"> PAGEREF _Toc300002476 \h </w:instrText>
        </w:r>
        <w:r>
          <w:rPr>
            <w:noProof/>
            <w:webHidden/>
          </w:rPr>
          <w:fldChar w:fldCharType="separate"/>
        </w:r>
        <w:r>
          <w:rPr>
            <w:noProof/>
            <w:webHidden/>
          </w:rPr>
          <w:t>2366</w:t>
        </w:r>
        <w:r>
          <w:rPr>
            <w:noProof/>
            <w:webHidden/>
          </w:rPr>
          <w:fldChar w:fldCharType="end"/>
        </w:r>
      </w:hyperlink>
    </w:p>
    <w:p>
      <w:pPr>
        <w:pStyle w:val="TOC2"/>
      </w:pPr>
      <w:hyperlink w:anchor="_Toc300002477" w:history="1">
        <w:r>
          <w:rPr>
            <w:noProof/>
          </w:rPr>
          <w:t xml:space="preserve">CH-47. Data, Reporting, and Privacy</w:t>
        </w:r>
        <w:r>
          <w:rPr>
            <w:noProof/>
            <w:webHidden/>
          </w:rPr>
          <w:tab/>
        </w:r>
        <w:r>
          <w:rPr>
            <w:noProof/>
            <w:webHidden/>
          </w:rPr>
          <w:fldChar w:fldCharType="begin"/>
        </w:r>
        <w:r>
          <w:rPr>
            <w:noProof/>
            <w:webHidden/>
          </w:rPr>
          <w:instrText xml:space="preserve"> PAGEREF _Toc300002477 \h </w:instrText>
        </w:r>
        <w:r>
          <w:rPr>
            <w:noProof/>
            <w:webHidden/>
          </w:rPr>
          <w:fldChar w:fldCharType="separate"/>
        </w:r>
        <w:r>
          <w:rPr>
            <w:noProof/>
            <w:webHidden/>
          </w:rPr>
          <w:t>2366</w:t>
        </w:r>
        <w:r>
          <w:rPr>
            <w:noProof/>
            <w:webHidden/>
          </w:rPr>
          <w:fldChar w:fldCharType="end"/>
        </w:r>
      </w:hyperlink>
    </w:p>
    <w:p>
      <w:pPr>
        <w:pStyle w:val="TOC2"/>
      </w:pPr>
      <w:hyperlink w:anchor="_Toc300002478" w:history="1">
        <w:r>
          <w:rPr>
            <w:noProof/>
          </w:rPr>
          <w:t xml:space="preserve">CH-48. No New Supranational Prison Authority</w:t>
        </w:r>
        <w:r>
          <w:rPr>
            <w:noProof/>
            <w:webHidden/>
          </w:rPr>
          <w:tab/>
        </w:r>
        <w:r>
          <w:rPr>
            <w:noProof/>
            <w:webHidden/>
          </w:rPr>
          <w:fldChar w:fldCharType="begin"/>
        </w:r>
        <w:r>
          <w:rPr>
            <w:noProof/>
            <w:webHidden/>
          </w:rPr>
          <w:instrText xml:space="preserve"> PAGEREF _Toc300002478 \h </w:instrText>
        </w:r>
        <w:r>
          <w:rPr>
            <w:noProof/>
            <w:webHidden/>
          </w:rPr>
          <w:fldChar w:fldCharType="separate"/>
        </w:r>
        <w:r>
          <w:rPr>
            <w:noProof/>
            <w:webHidden/>
          </w:rPr>
          <w:t>2366</w:t>
        </w:r>
        <w:r>
          <w:rPr>
            <w:noProof/>
            <w:webHidden/>
          </w:rPr>
          <w:fldChar w:fldCharType="end"/>
        </w:r>
      </w:hyperlink>
    </w:p>
    <w:p>
      <w:pPr>
        <w:pStyle w:val="TOC1"/>
      </w:pPr>
      <w:hyperlink w:anchor="_Toc300002479" w:history="1">
        <w:r>
          <w:rPr>
            <w:noProof/>
          </w:rPr>
          <w:t xml:space="preserve">PACKAGE CI: FLEXIBLE SAFE-CORRECTIONS IMPLEMENTATION STANDARDS</w:t>
        </w:r>
        <w:r>
          <w:rPr>
            <w:noProof/>
            <w:webHidden/>
          </w:rPr>
          <w:tab/>
        </w:r>
        <w:r>
          <w:rPr>
            <w:noProof/>
            <w:webHidden/>
          </w:rPr>
          <w:fldChar w:fldCharType="begin"/>
        </w:r>
        <w:r>
          <w:rPr>
            <w:noProof/>
            <w:webHidden/>
          </w:rPr>
          <w:instrText xml:space="preserve"> PAGEREF _Toc300002479 \h </w:instrText>
        </w:r>
        <w:r>
          <w:rPr>
            <w:noProof/>
            <w:webHidden/>
          </w:rPr>
          <w:fldChar w:fldCharType="separate"/>
        </w:r>
        <w:r>
          <w:rPr>
            <w:noProof/>
            <w:webHidden/>
          </w:rPr>
          <w:t>2367</w:t>
        </w:r>
        <w:r>
          <w:rPr>
            <w:noProof/>
            <w:webHidden/>
          </w:rPr>
          <w:fldChar w:fldCharType="end"/>
        </w:r>
      </w:hyperlink>
    </w:p>
    <w:p>
      <w:pPr>
        <w:pStyle w:val="TOC2"/>
      </w:pPr>
      <w:hyperlink w:anchor="_Toc300002480" w:history="1">
        <w:r>
          <w:rPr>
            <w:noProof/>
          </w:rPr>
          <w:t xml:space="preserve">CI-1. Governing Principle</w:t>
        </w:r>
        <w:r>
          <w:rPr>
            <w:noProof/>
            <w:webHidden/>
          </w:rPr>
          <w:tab/>
        </w:r>
        <w:r>
          <w:rPr>
            <w:noProof/>
            <w:webHidden/>
          </w:rPr>
          <w:fldChar w:fldCharType="begin"/>
        </w:r>
        <w:r>
          <w:rPr>
            <w:noProof/>
            <w:webHidden/>
          </w:rPr>
          <w:instrText xml:space="preserve"> PAGEREF _Toc300002480 \h </w:instrText>
        </w:r>
        <w:r>
          <w:rPr>
            <w:noProof/>
            <w:webHidden/>
          </w:rPr>
          <w:fldChar w:fldCharType="separate"/>
        </w:r>
        <w:r>
          <w:rPr>
            <w:noProof/>
            <w:webHidden/>
          </w:rPr>
          <w:t>2367</w:t>
        </w:r>
        <w:r>
          <w:rPr>
            <w:noProof/>
            <w:webHidden/>
          </w:rPr>
          <w:fldChar w:fldCharType="end"/>
        </w:r>
      </w:hyperlink>
    </w:p>
    <w:p>
      <w:pPr>
        <w:pStyle w:val="TOC2"/>
      </w:pPr>
      <w:hyperlink w:anchor="_Toc300002481" w:history="1">
        <w:r>
          <w:rPr>
            <w:noProof/>
          </w:rPr>
          <w:t xml:space="preserve">CI-2. Nutritional Governance</w:t>
        </w:r>
        <w:r>
          <w:rPr>
            <w:noProof/>
            <w:webHidden/>
          </w:rPr>
          <w:tab/>
        </w:r>
        <w:r>
          <w:rPr>
            <w:noProof/>
            <w:webHidden/>
          </w:rPr>
          <w:fldChar w:fldCharType="begin"/>
        </w:r>
        <w:r>
          <w:rPr>
            <w:noProof/>
            <w:webHidden/>
          </w:rPr>
          <w:instrText xml:space="preserve"> PAGEREF _Toc300002481 \h </w:instrText>
        </w:r>
        <w:r>
          <w:rPr>
            <w:noProof/>
            <w:webHidden/>
          </w:rPr>
          <w:fldChar w:fldCharType="separate"/>
        </w:r>
        <w:r>
          <w:rPr>
            <w:noProof/>
            <w:webHidden/>
          </w:rPr>
          <w:t>2367</w:t>
        </w:r>
        <w:r>
          <w:rPr>
            <w:noProof/>
            <w:webHidden/>
          </w:rPr>
          <w:fldChar w:fldCharType="end"/>
        </w:r>
      </w:hyperlink>
    </w:p>
    <w:p>
      <w:pPr>
        <w:pStyle w:val="TOC2"/>
      </w:pPr>
      <w:hyperlink w:anchor="_Toc300002482" w:history="1">
        <w:r>
          <w:rPr>
            <w:noProof/>
          </w:rPr>
          <w:t xml:space="preserve">CI-3. Specialist Healthcare and Telemedicine</w:t>
        </w:r>
        <w:r>
          <w:rPr>
            <w:noProof/>
            <w:webHidden/>
          </w:rPr>
          <w:tab/>
        </w:r>
        <w:r>
          <w:rPr>
            <w:noProof/>
            <w:webHidden/>
          </w:rPr>
          <w:fldChar w:fldCharType="begin"/>
        </w:r>
        <w:r>
          <w:rPr>
            <w:noProof/>
            <w:webHidden/>
          </w:rPr>
          <w:instrText xml:space="preserve"> PAGEREF _Toc300002482 \h </w:instrText>
        </w:r>
        <w:r>
          <w:rPr>
            <w:noProof/>
            <w:webHidden/>
          </w:rPr>
          <w:fldChar w:fldCharType="separate"/>
        </w:r>
        <w:r>
          <w:rPr>
            <w:noProof/>
            <w:webHidden/>
          </w:rPr>
          <w:t>2367</w:t>
        </w:r>
        <w:r>
          <w:rPr>
            <w:noProof/>
            <w:webHidden/>
          </w:rPr>
          <w:fldChar w:fldCharType="end"/>
        </w:r>
      </w:hyperlink>
    </w:p>
    <w:p>
      <w:pPr>
        <w:pStyle w:val="TOC2"/>
      </w:pPr>
      <w:hyperlink w:anchor="_Toc300002483" w:history="1">
        <w:r>
          <w:rPr>
            <w:noProof/>
          </w:rPr>
          <w:t xml:space="preserve">CI-4. Addiction Treatment and Overdose Prevention</w:t>
        </w:r>
        <w:r>
          <w:rPr>
            <w:noProof/>
            <w:webHidden/>
          </w:rPr>
          <w:tab/>
        </w:r>
        <w:r>
          <w:rPr>
            <w:noProof/>
            <w:webHidden/>
          </w:rPr>
          <w:fldChar w:fldCharType="begin"/>
        </w:r>
        <w:r>
          <w:rPr>
            <w:noProof/>
            <w:webHidden/>
          </w:rPr>
          <w:instrText xml:space="preserve"> PAGEREF _Toc300002483 \h </w:instrText>
        </w:r>
        <w:r>
          <w:rPr>
            <w:noProof/>
            <w:webHidden/>
          </w:rPr>
          <w:fldChar w:fldCharType="separate"/>
        </w:r>
        <w:r>
          <w:rPr>
            <w:noProof/>
            <w:webHidden/>
          </w:rPr>
          <w:t>2367</w:t>
        </w:r>
        <w:r>
          <w:rPr>
            <w:noProof/>
            <w:webHidden/>
          </w:rPr>
          <w:fldChar w:fldCharType="end"/>
        </w:r>
      </w:hyperlink>
    </w:p>
    <w:p>
      <w:pPr>
        <w:pStyle w:val="TOC2"/>
      </w:pPr>
      <w:hyperlink w:anchor="_Toc300002484" w:history="1">
        <w:r>
          <w:rPr>
            <w:noProof/>
          </w:rPr>
          <w:t xml:space="preserve">CI-5. Hospice, Palliative, Geriatric, and Complex Care</w:t>
        </w:r>
        <w:r>
          <w:rPr>
            <w:noProof/>
            <w:webHidden/>
          </w:rPr>
          <w:tab/>
        </w:r>
        <w:r>
          <w:rPr>
            <w:noProof/>
            <w:webHidden/>
          </w:rPr>
          <w:fldChar w:fldCharType="begin"/>
        </w:r>
        <w:r>
          <w:rPr>
            <w:noProof/>
            <w:webHidden/>
          </w:rPr>
          <w:instrText xml:space="preserve"> PAGEREF _Toc300002484 \h </w:instrText>
        </w:r>
        <w:r>
          <w:rPr>
            <w:noProof/>
            <w:webHidden/>
          </w:rPr>
          <w:fldChar w:fldCharType="separate"/>
        </w:r>
        <w:r>
          <w:rPr>
            <w:noProof/>
            <w:webHidden/>
          </w:rPr>
          <w:t>2367</w:t>
        </w:r>
        <w:r>
          <w:rPr>
            <w:noProof/>
            <w:webHidden/>
          </w:rPr>
          <w:fldChar w:fldCharType="end"/>
        </w:r>
      </w:hyperlink>
    </w:p>
    <w:p>
      <w:pPr>
        <w:pStyle w:val="TOC2"/>
      </w:pPr>
      <w:hyperlink w:anchor="_Toc300002485" w:history="1">
        <w:r>
          <w:rPr>
            <w:noProof/>
          </w:rPr>
          <w:t xml:space="preserve">CI-6. Exercise and Outdoor Access</w:t>
        </w:r>
        <w:r>
          <w:rPr>
            <w:noProof/>
            <w:webHidden/>
          </w:rPr>
          <w:tab/>
        </w:r>
        <w:r>
          <w:rPr>
            <w:noProof/>
            <w:webHidden/>
          </w:rPr>
          <w:fldChar w:fldCharType="begin"/>
        </w:r>
        <w:r>
          <w:rPr>
            <w:noProof/>
            <w:webHidden/>
          </w:rPr>
          <w:instrText xml:space="preserve"> PAGEREF _Toc300002485 \h </w:instrText>
        </w:r>
        <w:r>
          <w:rPr>
            <w:noProof/>
            <w:webHidden/>
          </w:rPr>
          <w:fldChar w:fldCharType="separate"/>
        </w:r>
        <w:r>
          <w:rPr>
            <w:noProof/>
            <w:webHidden/>
          </w:rPr>
          <w:t>2367</w:t>
        </w:r>
        <w:r>
          <w:rPr>
            <w:noProof/>
            <w:webHidden/>
          </w:rPr>
          <w:fldChar w:fldCharType="end"/>
        </w:r>
      </w:hyperlink>
    </w:p>
    <w:p>
      <w:pPr>
        <w:pStyle w:val="TOC2"/>
      </w:pPr>
      <w:hyperlink w:anchor="_Toc300002486" w:history="1">
        <w:r>
          <w:rPr>
            <w:noProof/>
          </w:rPr>
          <w:t xml:space="preserve">CI-7. Foundational Education</w:t>
        </w:r>
        <w:r>
          <w:rPr>
            <w:noProof/>
            <w:webHidden/>
          </w:rPr>
          <w:tab/>
        </w:r>
        <w:r>
          <w:rPr>
            <w:noProof/>
            <w:webHidden/>
          </w:rPr>
          <w:fldChar w:fldCharType="begin"/>
        </w:r>
        <w:r>
          <w:rPr>
            <w:noProof/>
            <w:webHidden/>
          </w:rPr>
          <w:instrText xml:space="preserve"> PAGEREF _Toc300002486 \h </w:instrText>
        </w:r>
        <w:r>
          <w:rPr>
            <w:noProof/>
            <w:webHidden/>
          </w:rPr>
          <w:fldChar w:fldCharType="separate"/>
        </w:r>
        <w:r>
          <w:rPr>
            <w:noProof/>
            <w:webHidden/>
          </w:rPr>
          <w:t>2368</w:t>
        </w:r>
        <w:r>
          <w:rPr>
            <w:noProof/>
            <w:webHidden/>
          </w:rPr>
          <w:fldChar w:fldCharType="end"/>
        </w:r>
      </w:hyperlink>
    </w:p>
    <w:p>
      <w:pPr>
        <w:pStyle w:val="TOC2"/>
      </w:pPr>
      <w:hyperlink w:anchor="_Toc300002487" w:history="1">
        <w:r>
          <w:rPr>
            <w:noProof/>
          </w:rPr>
          <w:t xml:space="preserve">CI-8. Vocational and Employability Training</w:t>
        </w:r>
        <w:r>
          <w:rPr>
            <w:noProof/>
            <w:webHidden/>
          </w:rPr>
          <w:tab/>
        </w:r>
        <w:r>
          <w:rPr>
            <w:noProof/>
            <w:webHidden/>
          </w:rPr>
          <w:fldChar w:fldCharType="begin"/>
        </w:r>
        <w:r>
          <w:rPr>
            <w:noProof/>
            <w:webHidden/>
          </w:rPr>
          <w:instrText xml:space="preserve"> PAGEREF _Toc300002487 \h </w:instrText>
        </w:r>
        <w:r>
          <w:rPr>
            <w:noProof/>
            <w:webHidden/>
          </w:rPr>
          <w:fldChar w:fldCharType="separate"/>
        </w:r>
        <w:r>
          <w:rPr>
            <w:noProof/>
            <w:webHidden/>
          </w:rPr>
          <w:t>2368</w:t>
        </w:r>
        <w:r>
          <w:rPr>
            <w:noProof/>
            <w:webHidden/>
          </w:rPr>
          <w:fldChar w:fldCharType="end"/>
        </w:r>
      </w:hyperlink>
    </w:p>
    <w:p>
      <w:pPr>
        <w:pStyle w:val="TOC2"/>
      </w:pPr>
      <w:hyperlink w:anchor="_Toc300002488" w:history="1">
        <w:r>
          <w:rPr>
            <w:noProof/>
          </w:rPr>
          <w:t xml:space="preserve">CI-9. Libraries and Learning Materials</w:t>
        </w:r>
        <w:r>
          <w:rPr>
            <w:noProof/>
            <w:webHidden/>
          </w:rPr>
          <w:tab/>
        </w:r>
        <w:r>
          <w:rPr>
            <w:noProof/>
            <w:webHidden/>
          </w:rPr>
          <w:fldChar w:fldCharType="begin"/>
        </w:r>
        <w:r>
          <w:rPr>
            <w:noProof/>
            <w:webHidden/>
          </w:rPr>
          <w:instrText xml:space="preserve"> PAGEREF _Toc300002488 \h </w:instrText>
        </w:r>
        <w:r>
          <w:rPr>
            <w:noProof/>
            <w:webHidden/>
          </w:rPr>
          <w:fldChar w:fldCharType="separate"/>
        </w:r>
        <w:r>
          <w:rPr>
            <w:noProof/>
            <w:webHidden/>
          </w:rPr>
          <w:t>2368</w:t>
        </w:r>
        <w:r>
          <w:rPr>
            <w:noProof/>
            <w:webHidden/>
          </w:rPr>
          <w:fldChar w:fldCharType="end"/>
        </w:r>
      </w:hyperlink>
    </w:p>
    <w:p>
      <w:pPr>
        <w:pStyle w:val="TOC2"/>
      </w:pPr>
      <w:hyperlink w:anchor="_Toc300002489" w:history="1">
        <w:r>
          <w:rPr>
            <w:noProof/>
          </w:rPr>
          <w:t xml:space="preserve">CI-10. Secure Digital Access</w:t>
        </w:r>
        <w:r>
          <w:rPr>
            <w:noProof/>
            <w:webHidden/>
          </w:rPr>
          <w:tab/>
        </w:r>
        <w:r>
          <w:rPr>
            <w:noProof/>
            <w:webHidden/>
          </w:rPr>
          <w:fldChar w:fldCharType="begin"/>
        </w:r>
        <w:r>
          <w:rPr>
            <w:noProof/>
            <w:webHidden/>
          </w:rPr>
          <w:instrText xml:space="preserve"> PAGEREF _Toc300002489 \h </w:instrText>
        </w:r>
        <w:r>
          <w:rPr>
            <w:noProof/>
            <w:webHidden/>
          </w:rPr>
          <w:fldChar w:fldCharType="separate"/>
        </w:r>
        <w:r>
          <w:rPr>
            <w:noProof/>
            <w:webHidden/>
          </w:rPr>
          <w:t>2368</w:t>
        </w:r>
        <w:r>
          <w:rPr>
            <w:noProof/>
            <w:webHidden/>
          </w:rPr>
          <w:fldChar w:fldCharType="end"/>
        </w:r>
      </w:hyperlink>
    </w:p>
    <w:p>
      <w:pPr>
        <w:pStyle w:val="TOC2"/>
      </w:pPr>
      <w:hyperlink w:anchor="_Toc300002490" w:history="1">
        <w:r>
          <w:rPr>
            <w:noProof/>
          </w:rPr>
          <w:t xml:space="preserve">CI-11. Affordable Communication</w:t>
        </w:r>
        <w:r>
          <w:rPr>
            <w:noProof/>
            <w:webHidden/>
          </w:rPr>
          <w:tab/>
        </w:r>
        <w:r>
          <w:rPr>
            <w:noProof/>
            <w:webHidden/>
          </w:rPr>
          <w:fldChar w:fldCharType="begin"/>
        </w:r>
        <w:r>
          <w:rPr>
            <w:noProof/>
            <w:webHidden/>
          </w:rPr>
          <w:instrText xml:space="preserve"> PAGEREF _Toc300002490 \h </w:instrText>
        </w:r>
        <w:r>
          <w:rPr>
            <w:noProof/>
            <w:webHidden/>
          </w:rPr>
          <w:fldChar w:fldCharType="separate"/>
        </w:r>
        <w:r>
          <w:rPr>
            <w:noProof/>
            <w:webHidden/>
          </w:rPr>
          <w:t>2368</w:t>
        </w:r>
        <w:r>
          <w:rPr>
            <w:noProof/>
            <w:webHidden/>
          </w:rPr>
          <w:fldChar w:fldCharType="end"/>
        </w:r>
      </w:hyperlink>
    </w:p>
    <w:p>
      <w:pPr>
        <w:pStyle w:val="TOC2"/>
      </w:pPr>
      <w:hyperlink w:anchor="_Toc300002491" w:history="1">
        <w:r>
          <w:rPr>
            <w:noProof/>
          </w:rPr>
          <w:t xml:space="preserve">CI-12. Parenting and Family Reintegration</w:t>
        </w:r>
        <w:r>
          <w:rPr>
            <w:noProof/>
            <w:webHidden/>
          </w:rPr>
          <w:tab/>
        </w:r>
        <w:r>
          <w:rPr>
            <w:noProof/>
            <w:webHidden/>
          </w:rPr>
          <w:fldChar w:fldCharType="begin"/>
        </w:r>
        <w:r>
          <w:rPr>
            <w:noProof/>
            <w:webHidden/>
          </w:rPr>
          <w:instrText xml:space="preserve"> PAGEREF _Toc300002491 \h </w:instrText>
        </w:r>
        <w:r>
          <w:rPr>
            <w:noProof/>
            <w:webHidden/>
          </w:rPr>
          <w:fldChar w:fldCharType="separate"/>
        </w:r>
        <w:r>
          <w:rPr>
            <w:noProof/>
            <w:webHidden/>
          </w:rPr>
          <w:t>2368</w:t>
        </w:r>
        <w:r>
          <w:rPr>
            <w:noProof/>
            <w:webHidden/>
          </w:rPr>
          <w:fldChar w:fldCharType="end"/>
        </w:r>
      </w:hyperlink>
    </w:p>
    <w:p>
      <w:pPr>
        <w:pStyle w:val="TOC2"/>
      </w:pPr>
      <w:hyperlink w:anchor="_Toc300002492" w:history="1">
        <w:r>
          <w:rPr>
            <w:noProof/>
          </w:rPr>
          <w:t xml:space="preserve">CI-13. De-Escalation and Trauma-Informed Practice</w:t>
        </w:r>
        <w:r>
          <w:rPr>
            <w:noProof/>
            <w:webHidden/>
          </w:rPr>
          <w:tab/>
        </w:r>
        <w:r>
          <w:rPr>
            <w:noProof/>
            <w:webHidden/>
          </w:rPr>
          <w:fldChar w:fldCharType="begin"/>
        </w:r>
        <w:r>
          <w:rPr>
            <w:noProof/>
            <w:webHidden/>
          </w:rPr>
          <w:instrText xml:space="preserve"> PAGEREF _Toc300002492 \h </w:instrText>
        </w:r>
        <w:r>
          <w:rPr>
            <w:noProof/>
            <w:webHidden/>
          </w:rPr>
          <w:fldChar w:fldCharType="separate"/>
        </w:r>
        <w:r>
          <w:rPr>
            <w:noProof/>
            <w:webHidden/>
          </w:rPr>
          <w:t>2368</w:t>
        </w:r>
        <w:r>
          <w:rPr>
            <w:noProof/>
            <w:webHidden/>
          </w:rPr>
          <w:fldChar w:fldCharType="end"/>
        </w:r>
      </w:hyperlink>
    </w:p>
    <w:p>
      <w:pPr>
        <w:pStyle w:val="TOC2"/>
      </w:pPr>
      <w:hyperlink w:anchor="_Toc300002493" w:history="1">
        <w:r>
          <w:rPr>
            <w:noProof/>
          </w:rPr>
          <w:t xml:space="preserve">CI-14. Staff Professionalization</w:t>
        </w:r>
        <w:r>
          <w:rPr>
            <w:noProof/>
            <w:webHidden/>
          </w:rPr>
          <w:tab/>
        </w:r>
        <w:r>
          <w:rPr>
            <w:noProof/>
            <w:webHidden/>
          </w:rPr>
          <w:fldChar w:fldCharType="begin"/>
        </w:r>
        <w:r>
          <w:rPr>
            <w:noProof/>
            <w:webHidden/>
          </w:rPr>
          <w:instrText xml:space="preserve"> PAGEREF _Toc300002493 \h </w:instrText>
        </w:r>
        <w:r>
          <w:rPr>
            <w:noProof/>
            <w:webHidden/>
          </w:rPr>
          <w:fldChar w:fldCharType="separate"/>
        </w:r>
        <w:r>
          <w:rPr>
            <w:noProof/>
            <w:webHidden/>
          </w:rPr>
          <w:t>2369</w:t>
        </w:r>
        <w:r>
          <w:rPr>
            <w:noProof/>
            <w:webHidden/>
          </w:rPr>
          <w:fldChar w:fldCharType="end"/>
        </w:r>
      </w:hyperlink>
    </w:p>
    <w:p>
      <w:pPr>
        <w:pStyle w:val="TOC2"/>
      </w:pPr>
      <w:hyperlink w:anchor="_Toc300002494" w:history="1">
        <w:r>
          <w:rPr>
            <w:noProof/>
          </w:rPr>
          <w:t xml:space="preserve">CI-15. Violence and Organized-Crime Prevention</w:t>
        </w:r>
        <w:r>
          <w:rPr>
            <w:noProof/>
            <w:webHidden/>
          </w:rPr>
          <w:tab/>
        </w:r>
        <w:r>
          <w:rPr>
            <w:noProof/>
            <w:webHidden/>
          </w:rPr>
          <w:fldChar w:fldCharType="begin"/>
        </w:r>
        <w:r>
          <w:rPr>
            <w:noProof/>
            <w:webHidden/>
          </w:rPr>
          <w:instrText xml:space="preserve"> PAGEREF _Toc300002494 \h </w:instrText>
        </w:r>
        <w:r>
          <w:rPr>
            <w:noProof/>
            <w:webHidden/>
          </w:rPr>
          <w:fldChar w:fldCharType="separate"/>
        </w:r>
        <w:r>
          <w:rPr>
            <w:noProof/>
            <w:webHidden/>
          </w:rPr>
          <w:t>2369</w:t>
        </w:r>
        <w:r>
          <w:rPr>
            <w:noProof/>
            <w:webHidden/>
          </w:rPr>
          <w:fldChar w:fldCharType="end"/>
        </w:r>
      </w:hyperlink>
    </w:p>
    <w:p>
      <w:pPr>
        <w:pStyle w:val="TOC2"/>
      </w:pPr>
      <w:hyperlink w:anchor="_Toc300002495" w:history="1">
        <w:r>
          <w:rPr>
            <w:noProof/>
          </w:rPr>
          <w:t xml:space="preserve">CI-16. Accessible Programming</w:t>
        </w:r>
        <w:r>
          <w:rPr>
            <w:noProof/>
            <w:webHidden/>
          </w:rPr>
          <w:tab/>
        </w:r>
        <w:r>
          <w:rPr>
            <w:noProof/>
            <w:webHidden/>
          </w:rPr>
          <w:fldChar w:fldCharType="begin"/>
        </w:r>
        <w:r>
          <w:rPr>
            <w:noProof/>
            <w:webHidden/>
          </w:rPr>
          <w:instrText xml:space="preserve"> PAGEREF _Toc300002495 \h </w:instrText>
        </w:r>
        <w:r>
          <w:rPr>
            <w:noProof/>
            <w:webHidden/>
          </w:rPr>
          <w:fldChar w:fldCharType="separate"/>
        </w:r>
        <w:r>
          <w:rPr>
            <w:noProof/>
            <w:webHidden/>
          </w:rPr>
          <w:t>2369</w:t>
        </w:r>
        <w:r>
          <w:rPr>
            <w:noProof/>
            <w:webHidden/>
          </w:rPr>
          <w:fldChar w:fldCharType="end"/>
        </w:r>
      </w:hyperlink>
    </w:p>
    <w:p>
      <w:pPr>
        <w:pStyle w:val="TOC2"/>
      </w:pPr>
      <w:hyperlink w:anchor="_Toc300002496" w:history="1">
        <w:r>
          <w:rPr>
            <w:noProof/>
          </w:rPr>
          <w:t xml:space="preserve">CI-17. Reentry Continuity</w:t>
        </w:r>
        <w:r>
          <w:rPr>
            <w:noProof/>
            <w:webHidden/>
          </w:rPr>
          <w:tab/>
        </w:r>
        <w:r>
          <w:rPr>
            <w:noProof/>
            <w:webHidden/>
          </w:rPr>
          <w:fldChar w:fldCharType="begin"/>
        </w:r>
        <w:r>
          <w:rPr>
            <w:noProof/>
            <w:webHidden/>
          </w:rPr>
          <w:instrText xml:space="preserve"> PAGEREF _Toc300002496 \h </w:instrText>
        </w:r>
        <w:r>
          <w:rPr>
            <w:noProof/>
            <w:webHidden/>
          </w:rPr>
          <w:fldChar w:fldCharType="separate"/>
        </w:r>
        <w:r>
          <w:rPr>
            <w:noProof/>
            <w:webHidden/>
          </w:rPr>
          <w:t>2369</w:t>
        </w:r>
        <w:r>
          <w:rPr>
            <w:noProof/>
            <w:webHidden/>
          </w:rPr>
          <w:fldChar w:fldCharType="end"/>
        </w:r>
      </w:hyperlink>
    </w:p>
    <w:p>
      <w:pPr>
        <w:pStyle w:val="TOC2"/>
      </w:pPr>
      <w:hyperlink w:anchor="_Toc300002497" w:history="1">
        <w:r>
          <w:rPr>
            <w:noProof/>
          </w:rPr>
          <w:t xml:space="preserve">CI-18. Public Transparency</w:t>
        </w:r>
        <w:r>
          <w:rPr>
            <w:noProof/>
            <w:webHidden/>
          </w:rPr>
          <w:tab/>
        </w:r>
        <w:r>
          <w:rPr>
            <w:noProof/>
            <w:webHidden/>
          </w:rPr>
          <w:fldChar w:fldCharType="begin"/>
        </w:r>
        <w:r>
          <w:rPr>
            <w:noProof/>
            <w:webHidden/>
          </w:rPr>
          <w:instrText xml:space="preserve"> PAGEREF _Toc300002497 \h </w:instrText>
        </w:r>
        <w:r>
          <w:rPr>
            <w:noProof/>
            <w:webHidden/>
          </w:rPr>
          <w:fldChar w:fldCharType="separate"/>
        </w:r>
        <w:r>
          <w:rPr>
            <w:noProof/>
            <w:webHidden/>
          </w:rPr>
          <w:t>2369</w:t>
        </w:r>
        <w:r>
          <w:rPr>
            <w:noProof/>
            <w:webHidden/>
          </w:rPr>
          <w:fldChar w:fldCharType="end"/>
        </w:r>
      </w:hyperlink>
    </w:p>
    <w:p>
      <w:pPr>
        <w:pStyle w:val="TOC2"/>
      </w:pPr>
      <w:hyperlink w:anchor="_Toc300002498" w:history="1">
        <w:r>
          <w:rPr>
            <w:noProof/>
          </w:rPr>
          <w:t xml:space="preserve">CI-19. Prisoner Feedback Without Transfer of Command</w:t>
        </w:r>
        <w:r>
          <w:rPr>
            <w:noProof/>
            <w:webHidden/>
          </w:rPr>
          <w:tab/>
        </w:r>
        <w:r>
          <w:rPr>
            <w:noProof/>
            <w:webHidden/>
          </w:rPr>
          <w:fldChar w:fldCharType="begin"/>
        </w:r>
        <w:r>
          <w:rPr>
            <w:noProof/>
            <w:webHidden/>
          </w:rPr>
          <w:instrText xml:space="preserve"> PAGEREF _Toc300002498 \h </w:instrText>
        </w:r>
        <w:r>
          <w:rPr>
            <w:noProof/>
            <w:webHidden/>
          </w:rPr>
          <w:fldChar w:fldCharType="separate"/>
        </w:r>
        <w:r>
          <w:rPr>
            <w:noProof/>
            <w:webHidden/>
          </w:rPr>
          <w:t>2369</w:t>
        </w:r>
        <w:r>
          <w:rPr>
            <w:noProof/>
            <w:webHidden/>
          </w:rPr>
          <w:fldChar w:fldCharType="end"/>
        </w:r>
      </w:hyperlink>
    </w:p>
    <w:p>
      <w:pPr>
        <w:pStyle w:val="TOC1"/>
      </w:pPr>
      <w:hyperlink w:anchor="_Toc300002499" w:history="1">
        <w:r>
          <w:rPr>
            <w:noProof/>
          </w:rPr>
          <w:t xml:space="preserve">ANNEX CH-A: OPTIONAL ADVANCED CORRECTIONAL REFORM PROTOCOL</w:t>
        </w:r>
        <w:r>
          <w:rPr>
            <w:noProof/>
            <w:webHidden/>
          </w:rPr>
          <w:tab/>
        </w:r>
        <w:r>
          <w:rPr>
            <w:noProof/>
            <w:webHidden/>
          </w:rPr>
          <w:fldChar w:fldCharType="begin"/>
        </w:r>
        <w:r>
          <w:rPr>
            <w:noProof/>
            <w:webHidden/>
          </w:rPr>
          <w:instrText xml:space="preserve"> PAGEREF _Toc300002499 \h </w:instrText>
        </w:r>
        <w:r>
          <w:rPr>
            <w:noProof/>
            <w:webHidden/>
          </w:rPr>
          <w:fldChar w:fldCharType="separate"/>
        </w:r>
        <w:r>
          <w:rPr>
            <w:noProof/>
            <w:webHidden/>
          </w:rPr>
          <w:t>2370</w:t>
        </w:r>
        <w:r>
          <w:rPr>
            <w:noProof/>
            <w:webHidden/>
          </w:rPr>
          <w:fldChar w:fldCharType="end"/>
        </w:r>
      </w:hyperlink>
    </w:p>
    <w:p>
      <w:pPr>
        <w:pStyle w:val="TOC1"/>
      </w:pPr>
      <w:hyperlink w:anchor="_Toc300002500" w:history="1">
        <w:r>
          <w:rPr>
            <w:noProof/>
          </w:rPr>
          <w:t xml:space="preserve">ANNEX CH-B: NATIONAL IMPLEMENTATION AND EXPERIMENTATION SAFE HARBOR</w:t>
        </w:r>
        <w:r>
          <w:rPr>
            <w:noProof/>
            <w:webHidden/>
          </w:rPr>
          <w:tab/>
        </w:r>
        <w:r>
          <w:rPr>
            <w:noProof/>
            <w:webHidden/>
          </w:rPr>
          <w:fldChar w:fldCharType="begin"/>
        </w:r>
        <w:r>
          <w:rPr>
            <w:noProof/>
            <w:webHidden/>
          </w:rPr>
          <w:instrText xml:space="preserve"> PAGEREF _Toc300002500 \h </w:instrText>
        </w:r>
        <w:r>
          <w:rPr>
            <w:noProof/>
            <w:webHidden/>
          </w:rPr>
          <w:fldChar w:fldCharType="separate"/>
        </w:r>
        <w:r>
          <w:rPr>
            <w:noProof/>
            <w:webHidden/>
          </w:rPr>
          <w:t>2373</w:t>
        </w:r>
        <w:r>
          <w:rPr>
            <w:noProof/>
            <w:webHidden/>
          </w:rPr>
          <w:fldChar w:fldCharType="end"/>
        </w:r>
      </w:hyperlink>
    </w:p>
    <w:p>
      <w:pPr>
        <w:pStyle w:val="TOC1"/>
      </w:pPr>
      <w:hyperlink w:anchor="_Toc300002501" w:history="1">
        <w:r>
          <w:rPr>
            <w:noProof/>
          </w:rPr>
          <w:t xml:space="preserve">PACKAGE CJ: IMPLEMENTATION, REVIEW, AND CURE</w:t>
        </w:r>
        <w:r>
          <w:rPr>
            <w:noProof/>
            <w:webHidden/>
          </w:rPr>
          <w:tab/>
        </w:r>
        <w:r>
          <w:rPr>
            <w:noProof/>
            <w:webHidden/>
          </w:rPr>
          <w:fldChar w:fldCharType="begin"/>
        </w:r>
        <w:r>
          <w:rPr>
            <w:noProof/>
            <w:webHidden/>
          </w:rPr>
          <w:instrText xml:space="preserve"> PAGEREF _Toc300002501 \h </w:instrText>
        </w:r>
        <w:r>
          <w:rPr>
            <w:noProof/>
            <w:webHidden/>
          </w:rPr>
          <w:fldChar w:fldCharType="separate"/>
        </w:r>
        <w:r>
          <w:rPr>
            <w:noProof/>
            <w:webHidden/>
          </w:rPr>
          <w:t>2374</w:t>
        </w:r>
        <w:r>
          <w:rPr>
            <w:noProof/>
            <w:webHidden/>
          </w:rPr>
          <w:fldChar w:fldCharType="end"/>
        </w:r>
      </w:hyperlink>
    </w:p>
    <w:p>
      <w:pPr>
        <w:pStyle w:val="TOC2"/>
      </w:pPr>
      <w:hyperlink w:anchor="_Toc300002502" w:history="1">
        <w:r>
          <w:rPr>
            <w:noProof/>
          </w:rPr>
          <w:t xml:space="preserve">CJ-1. Initial Implementation Review</w:t>
        </w:r>
        <w:r>
          <w:rPr>
            <w:noProof/>
            <w:webHidden/>
          </w:rPr>
          <w:tab/>
        </w:r>
        <w:r>
          <w:rPr>
            <w:noProof/>
            <w:webHidden/>
          </w:rPr>
          <w:fldChar w:fldCharType="begin"/>
        </w:r>
        <w:r>
          <w:rPr>
            <w:noProof/>
            <w:webHidden/>
          </w:rPr>
          <w:instrText xml:space="preserve"> PAGEREF _Toc300002502 \h </w:instrText>
        </w:r>
        <w:r>
          <w:rPr>
            <w:noProof/>
            <w:webHidden/>
          </w:rPr>
          <w:fldChar w:fldCharType="separate"/>
        </w:r>
        <w:r>
          <w:rPr>
            <w:noProof/>
            <w:webHidden/>
          </w:rPr>
          <w:t>2374</w:t>
        </w:r>
        <w:r>
          <w:rPr>
            <w:noProof/>
            <w:webHidden/>
          </w:rPr>
          <w:fldChar w:fldCharType="end"/>
        </w:r>
      </w:hyperlink>
    </w:p>
    <w:p>
      <w:pPr>
        <w:pStyle w:val="TOC2"/>
      </w:pPr>
      <w:hyperlink w:anchor="_Toc300002503" w:history="1">
        <w:r>
          <w:rPr>
            <w:noProof/>
          </w:rPr>
          <w:t xml:space="preserve">CJ-2. Equivalence Rather Than Uniformity</w:t>
        </w:r>
        <w:r>
          <w:rPr>
            <w:noProof/>
            <w:webHidden/>
          </w:rPr>
          <w:tab/>
        </w:r>
        <w:r>
          <w:rPr>
            <w:noProof/>
            <w:webHidden/>
          </w:rPr>
          <w:fldChar w:fldCharType="begin"/>
        </w:r>
        <w:r>
          <w:rPr>
            <w:noProof/>
            <w:webHidden/>
          </w:rPr>
          <w:instrText xml:space="preserve"> PAGEREF _Toc300002503 \h </w:instrText>
        </w:r>
        <w:r>
          <w:rPr>
            <w:noProof/>
            <w:webHidden/>
          </w:rPr>
          <w:fldChar w:fldCharType="separate"/>
        </w:r>
        <w:r>
          <w:rPr>
            <w:noProof/>
            <w:webHidden/>
          </w:rPr>
          <w:t>2374</w:t>
        </w:r>
        <w:r>
          <w:rPr>
            <w:noProof/>
            <w:webHidden/>
          </w:rPr>
          <w:fldChar w:fldCharType="end"/>
        </w:r>
      </w:hyperlink>
    </w:p>
    <w:p>
      <w:pPr>
        <w:pStyle w:val="TOC2"/>
      </w:pPr>
      <w:hyperlink w:anchor="_Toc300002504" w:history="1">
        <w:r>
          <w:rPr>
            <w:noProof/>
          </w:rPr>
          <w:t xml:space="preserve">CJ-3. Priority-Cure Categories</w:t>
        </w:r>
        <w:r>
          <w:rPr>
            <w:noProof/>
            <w:webHidden/>
          </w:rPr>
          <w:tab/>
        </w:r>
        <w:r>
          <w:rPr>
            <w:noProof/>
            <w:webHidden/>
          </w:rPr>
          <w:fldChar w:fldCharType="begin"/>
        </w:r>
        <w:r>
          <w:rPr>
            <w:noProof/>
            <w:webHidden/>
          </w:rPr>
          <w:instrText xml:space="preserve"> PAGEREF _Toc300002504 \h </w:instrText>
        </w:r>
        <w:r>
          <w:rPr>
            <w:noProof/>
            <w:webHidden/>
          </w:rPr>
          <w:fldChar w:fldCharType="separate"/>
        </w:r>
        <w:r>
          <w:rPr>
            <w:noProof/>
            <w:webHidden/>
          </w:rPr>
          <w:t>2374</w:t>
        </w:r>
        <w:r>
          <w:rPr>
            <w:noProof/>
            <w:webHidden/>
          </w:rPr>
          <w:fldChar w:fldCharType="end"/>
        </w:r>
      </w:hyperlink>
    </w:p>
    <w:p>
      <w:pPr>
        <w:pStyle w:val="TOC2"/>
      </w:pPr>
      <w:hyperlink w:anchor="_Toc300002505" w:history="1">
        <w:r>
          <w:rPr>
            <w:noProof/>
          </w:rPr>
          <w:t xml:space="preserve">CJ-4. Cooperative Assistance</w:t>
        </w:r>
        <w:r>
          <w:rPr>
            <w:noProof/>
            <w:webHidden/>
          </w:rPr>
          <w:tab/>
        </w:r>
        <w:r>
          <w:rPr>
            <w:noProof/>
            <w:webHidden/>
          </w:rPr>
          <w:fldChar w:fldCharType="begin"/>
        </w:r>
        <w:r>
          <w:rPr>
            <w:noProof/>
            <w:webHidden/>
          </w:rPr>
          <w:instrText xml:space="preserve"> PAGEREF _Toc300002505 \h </w:instrText>
        </w:r>
        <w:r>
          <w:rPr>
            <w:noProof/>
            <w:webHidden/>
          </w:rPr>
          <w:fldChar w:fldCharType="separate"/>
        </w:r>
        <w:r>
          <w:rPr>
            <w:noProof/>
            <w:webHidden/>
          </w:rPr>
          <w:t>2374</w:t>
        </w:r>
        <w:r>
          <w:rPr>
            <w:noProof/>
            <w:webHidden/>
          </w:rPr>
          <w:fldChar w:fldCharType="end"/>
        </w:r>
      </w:hyperlink>
    </w:p>
    <w:p>
      <w:pPr>
        <w:pStyle w:val="TOC2"/>
      </w:pPr>
      <w:hyperlink w:anchor="_Toc300002506" w:history="1">
        <w:r>
          <w:rPr>
            <w:noProof/>
          </w:rPr>
          <w:t xml:space="preserve">CJ-5. No Prisoner-Based Retaliation</w:t>
        </w:r>
        <w:r>
          <w:rPr>
            <w:noProof/>
            <w:webHidden/>
          </w:rPr>
          <w:tab/>
        </w:r>
        <w:r>
          <w:rPr>
            <w:noProof/>
            <w:webHidden/>
          </w:rPr>
          <w:fldChar w:fldCharType="begin"/>
        </w:r>
        <w:r>
          <w:rPr>
            <w:noProof/>
            <w:webHidden/>
          </w:rPr>
          <w:instrText xml:space="preserve"> PAGEREF _Toc300002506 \h </w:instrText>
        </w:r>
        <w:r>
          <w:rPr>
            <w:noProof/>
            <w:webHidden/>
          </w:rPr>
          <w:fldChar w:fldCharType="separate"/>
        </w:r>
        <w:r>
          <w:rPr>
            <w:noProof/>
            <w:webHidden/>
          </w:rPr>
          <w:t>2374</w:t>
        </w:r>
        <w:r>
          <w:rPr>
            <w:noProof/>
            <w:webHidden/>
          </w:rPr>
          <w:fldChar w:fldCharType="end"/>
        </w:r>
      </w:hyperlink>
    </w:p>
    <w:p>
      <w:pPr>
        <w:pStyle w:val="TOC2"/>
      </w:pPr>
      <w:hyperlink w:anchor="_Toc300002507" w:history="1">
        <w:r>
          <w:rPr>
            <w:noProof/>
          </w:rPr>
          <w:t xml:space="preserve">CJ-6. Review of Optional Modules</w:t>
        </w:r>
        <w:r>
          <w:rPr>
            <w:noProof/>
            <w:webHidden/>
          </w:rPr>
          <w:tab/>
        </w:r>
        <w:r>
          <w:rPr>
            <w:noProof/>
            <w:webHidden/>
          </w:rPr>
          <w:fldChar w:fldCharType="begin"/>
        </w:r>
        <w:r>
          <w:rPr>
            <w:noProof/>
            <w:webHidden/>
          </w:rPr>
          <w:instrText xml:space="preserve"> PAGEREF _Toc300002507 \h </w:instrText>
        </w:r>
        <w:r>
          <w:rPr>
            <w:noProof/>
            <w:webHidden/>
          </w:rPr>
          <w:fldChar w:fldCharType="separate"/>
        </w:r>
        <w:r>
          <w:rPr>
            <w:noProof/>
            <w:webHidden/>
          </w:rPr>
          <w:t>2374</w:t>
        </w:r>
        <w:r>
          <w:rPr>
            <w:noProof/>
            <w:webHidden/>
          </w:rPr>
          <w:fldChar w:fldCharType="end"/>
        </w:r>
      </w:hyperlink>
    </w:p>
    <w:p>
      <w:pPr>
        <w:pStyle w:val="TOC2"/>
      </w:pPr>
      <w:hyperlink w:anchor="_Toc300002508" w:history="1">
        <w:r>
          <w:rPr>
            <w:noProof/>
          </w:rPr>
          <w:t xml:space="preserve">CJ-7. Relationship to Other Rights</w:t>
        </w:r>
        <w:r>
          <w:rPr>
            <w:noProof/>
            <w:webHidden/>
          </w:rPr>
          <w:tab/>
        </w:r>
        <w:r>
          <w:rPr>
            <w:noProof/>
            <w:webHidden/>
          </w:rPr>
          <w:fldChar w:fldCharType="begin"/>
        </w:r>
        <w:r>
          <w:rPr>
            <w:noProof/>
            <w:webHidden/>
          </w:rPr>
          <w:instrText xml:space="preserve"> PAGEREF _Toc300002508 \h </w:instrText>
        </w:r>
        <w:r>
          <w:rPr>
            <w:noProof/>
            <w:webHidden/>
          </w:rPr>
          <w:fldChar w:fldCharType="separate"/>
        </w:r>
        <w:r>
          <w:rPr>
            <w:noProof/>
            <w:webHidden/>
          </w:rPr>
          <w:t>2375</w:t>
        </w:r>
        <w:r>
          <w:rPr>
            <w:noProof/>
            <w:webHidden/>
          </w:rPr>
          <w:fldChar w:fldCharType="end"/>
        </w:r>
      </w:hyperlink>
    </w:p>
    <w:p>
      <w:pPr>
        <w:pStyle w:val="TOC1"/>
      </w:pPr>
      <w:hyperlink w:anchor="_Toc300002509" w:history="1">
        <w:r>
          <w:rPr>
            <w:noProof/>
          </w:rPr>
          <w:t xml:space="preserve">PACKAGE CK: CUSTODIAL RIGHTS ADVERSARIAL-REVIEW HARDENING AND CONFORMING PROVISIONS</w:t>
        </w:r>
        <w:r>
          <w:rPr>
            <w:noProof/>
            <w:webHidden/>
          </w:rPr>
          <w:tab/>
        </w:r>
        <w:r>
          <w:rPr>
            <w:noProof/>
            <w:webHidden/>
          </w:rPr>
          <w:fldChar w:fldCharType="begin"/>
        </w:r>
        <w:r>
          <w:rPr>
            <w:noProof/>
            <w:webHidden/>
          </w:rPr>
          <w:instrText xml:space="preserve"> PAGEREF _Toc300002509 \h </w:instrText>
        </w:r>
        <w:r>
          <w:rPr>
            <w:noProof/>
            <w:webHidden/>
          </w:rPr>
          <w:fldChar w:fldCharType="separate"/>
        </w:r>
        <w:r>
          <w:rPr>
            <w:noProof/>
            <w:webHidden/>
          </w:rPr>
          <w:t>2376</w:t>
        </w:r>
        <w:r>
          <w:rPr>
            <w:noProof/>
            <w:webHidden/>
          </w:rPr>
          <w:fldChar w:fldCharType="end"/>
        </w:r>
      </w:hyperlink>
    </w:p>
    <w:p>
      <w:pPr>
        <w:pStyle w:val="TOC2"/>
      </w:pPr>
      <w:hyperlink w:anchor="_Toc300002510" w:history="1">
        <w:r>
          <w:rPr>
            <w:noProof/>
          </w:rPr>
          <w:t xml:space="preserve">CK-2. JUVENILES</w:t>
        </w:r>
        <w:r>
          <w:rPr>
            <w:noProof/>
            <w:webHidden/>
          </w:rPr>
          <w:tab/>
        </w:r>
        <w:r>
          <w:rPr>
            <w:noProof/>
            <w:webHidden/>
          </w:rPr>
          <w:fldChar w:fldCharType="begin"/>
        </w:r>
        <w:r>
          <w:rPr>
            <w:noProof/>
            <w:webHidden/>
          </w:rPr>
          <w:instrText xml:space="preserve"> PAGEREF _Toc300002510 \h </w:instrText>
        </w:r>
        <w:r>
          <w:rPr>
            <w:noProof/>
            <w:webHidden/>
          </w:rPr>
          <w:fldChar w:fldCharType="separate"/>
        </w:r>
        <w:r>
          <w:rPr>
            <w:noProof/>
            <w:webHidden/>
          </w:rPr>
          <w:t>2376</w:t>
        </w:r>
        <w:r>
          <w:rPr>
            <w:noProof/>
            <w:webHidden/>
          </w:rPr>
          <w:fldChar w:fldCharType="end"/>
        </w:r>
      </w:hyperlink>
    </w:p>
    <w:p>
      <w:pPr>
        <w:pStyle w:val="TOC2"/>
      </w:pPr>
      <w:hyperlink w:anchor="_Toc300002511" w:history="1">
        <w:r>
          <w:rPr>
            <w:noProof/>
          </w:rPr>
          <w:t xml:space="preserve">CK-3. PRIVATE CONTRACTORS</w:t>
        </w:r>
        <w:r>
          <w:rPr>
            <w:noProof/>
            <w:webHidden/>
          </w:rPr>
          <w:tab/>
        </w:r>
        <w:r>
          <w:rPr>
            <w:noProof/>
            <w:webHidden/>
          </w:rPr>
          <w:fldChar w:fldCharType="begin"/>
        </w:r>
        <w:r>
          <w:rPr>
            <w:noProof/>
            <w:webHidden/>
          </w:rPr>
          <w:instrText xml:space="preserve"> PAGEREF _Toc300002511 \h </w:instrText>
        </w:r>
        <w:r>
          <w:rPr>
            <w:noProof/>
            <w:webHidden/>
          </w:rPr>
          <w:fldChar w:fldCharType="separate"/>
        </w:r>
        <w:r>
          <w:rPr>
            <w:noProof/>
            <w:webHidden/>
          </w:rPr>
          <w:t>2376</w:t>
        </w:r>
        <w:r>
          <w:rPr>
            <w:noProof/>
            <w:webHidden/>
          </w:rPr>
          <w:fldChar w:fldCharType="end"/>
        </w:r>
      </w:hyperlink>
    </w:p>
    <w:p>
      <w:pPr>
        <w:pStyle w:val="TOC2"/>
      </w:pPr>
      <w:hyperlink w:anchor="_Toc300002512" w:history="1">
        <w:r>
          <w:rPr>
            <w:noProof/>
          </w:rPr>
          <w:t xml:space="preserve">CK-4. SOLITARY / RESTRICTIVE HOUSING</w:t>
        </w:r>
        <w:r>
          <w:rPr>
            <w:noProof/>
            <w:webHidden/>
          </w:rPr>
          <w:tab/>
        </w:r>
        <w:r>
          <w:rPr>
            <w:noProof/>
            <w:webHidden/>
          </w:rPr>
          <w:fldChar w:fldCharType="begin"/>
        </w:r>
        <w:r>
          <w:rPr>
            <w:noProof/>
            <w:webHidden/>
          </w:rPr>
          <w:instrText xml:space="preserve"> PAGEREF _Toc300002512 \h </w:instrText>
        </w:r>
        <w:r>
          <w:rPr>
            <w:noProof/>
            <w:webHidden/>
          </w:rPr>
          <w:fldChar w:fldCharType="separate"/>
        </w:r>
        <w:r>
          <w:rPr>
            <w:noProof/>
            <w:webHidden/>
          </w:rPr>
          <w:t>2376</w:t>
        </w:r>
        <w:r>
          <w:rPr>
            <w:noProof/>
            <w:webHidden/>
          </w:rPr>
          <w:fldChar w:fldCharType="end"/>
        </w:r>
      </w:hyperlink>
    </w:p>
    <w:p>
      <w:pPr>
        <w:pStyle w:val="TOC2"/>
      </w:pPr>
      <w:hyperlink w:anchor="_Toc300002513" w:history="1">
        <w:r>
          <w:rPr>
            <w:noProof/>
          </w:rPr>
          <w:t xml:space="preserve">CK-5. EMERGENCY AUTHORITY</w:t>
        </w:r>
        <w:r>
          <w:rPr>
            <w:noProof/>
            <w:webHidden/>
          </w:rPr>
          <w:tab/>
        </w:r>
        <w:r>
          <w:rPr>
            <w:noProof/>
            <w:webHidden/>
          </w:rPr>
          <w:fldChar w:fldCharType="begin"/>
        </w:r>
        <w:r>
          <w:rPr>
            <w:noProof/>
            <w:webHidden/>
          </w:rPr>
          <w:instrText xml:space="preserve"> PAGEREF _Toc300002513 \h </w:instrText>
        </w:r>
        <w:r>
          <w:rPr>
            <w:noProof/>
            <w:webHidden/>
          </w:rPr>
          <w:fldChar w:fldCharType="separate"/>
        </w:r>
        <w:r>
          <w:rPr>
            <w:noProof/>
            <w:webHidden/>
          </w:rPr>
          <w:t>2377</w:t>
        </w:r>
        <w:r>
          <w:rPr>
            <w:noProof/>
            <w:webHidden/>
          </w:rPr>
          <w:fldChar w:fldCharType="end"/>
        </w:r>
      </w:hyperlink>
    </w:p>
    <w:p>
      <w:pPr>
        <w:pStyle w:val="TOC2"/>
      </w:pPr>
      <w:hyperlink w:anchor="_Toc300002514" w:history="1">
        <w:r>
          <w:rPr>
            <w:noProof/>
          </w:rPr>
          <w:t xml:space="preserve">CK-6. HEALTHCARE</w:t>
        </w:r>
        <w:r>
          <w:rPr>
            <w:noProof/>
            <w:webHidden/>
          </w:rPr>
          <w:tab/>
        </w:r>
        <w:r>
          <w:rPr>
            <w:noProof/>
            <w:webHidden/>
          </w:rPr>
          <w:fldChar w:fldCharType="begin"/>
        </w:r>
        <w:r>
          <w:rPr>
            <w:noProof/>
            <w:webHidden/>
          </w:rPr>
          <w:instrText xml:space="preserve"> PAGEREF _Toc300002514 \h </w:instrText>
        </w:r>
        <w:r>
          <w:rPr>
            <w:noProof/>
            <w:webHidden/>
          </w:rPr>
          <w:fldChar w:fldCharType="separate"/>
        </w:r>
        <w:r>
          <w:rPr>
            <w:noProof/>
            <w:webHidden/>
          </w:rPr>
          <w:t>2377</w:t>
        </w:r>
        <w:r>
          <w:rPr>
            <w:noProof/>
            <w:webHidden/>
          </w:rPr>
          <w:fldChar w:fldCharType="end"/>
        </w:r>
      </w:hyperlink>
    </w:p>
    <w:p>
      <w:pPr>
        <w:pStyle w:val="TOC2"/>
      </w:pPr>
      <w:hyperlink w:anchor="_Toc300002515" w:history="1">
        <w:r>
          <w:rPr>
            <w:noProof/>
          </w:rPr>
          <w:t xml:space="preserve">CK-7. FAMILY CONTACT</w:t>
        </w:r>
        <w:r>
          <w:rPr>
            <w:noProof/>
            <w:webHidden/>
          </w:rPr>
          <w:tab/>
        </w:r>
        <w:r>
          <w:rPr>
            <w:noProof/>
            <w:webHidden/>
          </w:rPr>
          <w:fldChar w:fldCharType="begin"/>
        </w:r>
        <w:r>
          <w:rPr>
            <w:noProof/>
            <w:webHidden/>
          </w:rPr>
          <w:instrText xml:space="preserve"> PAGEREF _Toc300002515 \h </w:instrText>
        </w:r>
        <w:r>
          <w:rPr>
            <w:noProof/>
            <w:webHidden/>
          </w:rPr>
          <w:fldChar w:fldCharType="separate"/>
        </w:r>
        <w:r>
          <w:rPr>
            <w:noProof/>
            <w:webHidden/>
          </w:rPr>
          <w:t>2377</w:t>
        </w:r>
        <w:r>
          <w:rPr>
            <w:noProof/>
            <w:webHidden/>
          </w:rPr>
          <w:fldChar w:fldCharType="end"/>
        </w:r>
      </w:hyperlink>
    </w:p>
    <w:p>
      <w:pPr>
        <w:pStyle w:val="TOC2"/>
      </w:pPr>
      <w:hyperlink w:anchor="_Toc300002516" w:history="1">
        <w:r>
          <w:rPr>
            <w:noProof/>
          </w:rPr>
          <w:t xml:space="preserve">CK-8. DATA AND TRANSPARENCY</w:t>
        </w:r>
        <w:r>
          <w:rPr>
            <w:noProof/>
            <w:webHidden/>
          </w:rPr>
          <w:tab/>
        </w:r>
        <w:r>
          <w:rPr>
            <w:noProof/>
            <w:webHidden/>
          </w:rPr>
          <w:fldChar w:fldCharType="begin"/>
        </w:r>
        <w:r>
          <w:rPr>
            <w:noProof/>
            <w:webHidden/>
          </w:rPr>
          <w:instrText xml:space="preserve"> PAGEREF _Toc300002516 \h </w:instrText>
        </w:r>
        <w:r>
          <w:rPr>
            <w:noProof/>
            <w:webHidden/>
          </w:rPr>
          <w:fldChar w:fldCharType="separate"/>
        </w:r>
        <w:r>
          <w:rPr>
            <w:noProof/>
            <w:webHidden/>
          </w:rPr>
          <w:t>2377</w:t>
        </w:r>
        <w:r>
          <w:rPr>
            <w:noProof/>
            <w:webHidden/>
          </w:rPr>
          <w:fldChar w:fldCharType="end"/>
        </w:r>
      </w:hyperlink>
    </w:p>
    <w:p>
      <w:pPr>
        <w:pStyle w:val="TOC2"/>
      </w:pPr>
      <w:hyperlink w:anchor="_Toc300002517" w:history="1">
        <w:r>
          <w:rPr>
            <w:noProof/>
          </w:rPr>
          <w:t xml:space="preserve">CK-9. FEDERALISM</w:t>
        </w:r>
        <w:r>
          <w:rPr>
            <w:noProof/>
            <w:webHidden/>
          </w:rPr>
          <w:tab/>
        </w:r>
        <w:r>
          <w:rPr>
            <w:noProof/>
            <w:webHidden/>
          </w:rPr>
          <w:fldChar w:fldCharType="begin"/>
        </w:r>
        <w:r>
          <w:rPr>
            <w:noProof/>
            <w:webHidden/>
          </w:rPr>
          <w:instrText xml:space="preserve"> PAGEREF _Toc300002517 \h </w:instrText>
        </w:r>
        <w:r>
          <w:rPr>
            <w:noProof/>
            <w:webHidden/>
          </w:rPr>
          <w:fldChar w:fldCharType="separate"/>
        </w:r>
        <w:r>
          <w:rPr>
            <w:noProof/>
            <w:webHidden/>
          </w:rPr>
          <w:t>2377</w:t>
        </w:r>
        <w:r>
          <w:rPr>
            <w:noProof/>
            <w:webHidden/>
          </w:rPr>
          <w:fldChar w:fldCharType="end"/>
        </w:r>
      </w:hyperlink>
    </w:p>
    <w:p>
      <w:pPr>
        <w:pStyle w:val="TOC2"/>
      </w:pPr>
      <w:hyperlink w:anchor="_Toc300002518" w:history="1">
        <w:r>
          <w:rPr>
            <w:noProof/>
          </w:rPr>
          <w:t xml:space="preserve">CK-10. ENFORCEMENT</w:t>
        </w:r>
        <w:r>
          <w:rPr>
            <w:noProof/>
            <w:webHidden/>
          </w:rPr>
          <w:tab/>
        </w:r>
        <w:r>
          <w:rPr>
            <w:noProof/>
            <w:webHidden/>
          </w:rPr>
          <w:fldChar w:fldCharType="begin"/>
        </w:r>
        <w:r>
          <w:rPr>
            <w:noProof/>
            <w:webHidden/>
          </w:rPr>
          <w:instrText xml:space="preserve"> PAGEREF _Toc300002518 \h </w:instrText>
        </w:r>
        <w:r>
          <w:rPr>
            <w:noProof/>
            <w:webHidden/>
          </w:rPr>
          <w:fldChar w:fldCharType="separate"/>
        </w:r>
        <w:r>
          <w:rPr>
            <w:noProof/>
            <w:webHidden/>
          </w:rPr>
          <w:t>2378</w:t>
        </w:r>
        <w:r>
          <w:rPr>
            <w:noProof/>
            <w:webHidden/>
          </w:rPr>
          <w:fldChar w:fldCharType="end"/>
        </w:r>
      </w:hyperlink>
    </w:p>
    <w:p>
      <w:pPr>
        <w:pStyle w:val="TOC2"/>
      </w:pPr>
      <w:hyperlink w:anchor="_Toc300002519" w:history="1">
        <w:r>
          <w:rPr>
            <w:noProof/>
          </w:rPr>
          <w:t xml:space="preserve">CK-11. REMEDIES</w:t>
        </w:r>
        <w:r>
          <w:rPr>
            <w:noProof/>
            <w:webHidden/>
          </w:rPr>
          <w:tab/>
        </w:r>
        <w:r>
          <w:rPr>
            <w:noProof/>
            <w:webHidden/>
          </w:rPr>
          <w:fldChar w:fldCharType="begin"/>
        </w:r>
        <w:r>
          <w:rPr>
            <w:noProof/>
            <w:webHidden/>
          </w:rPr>
          <w:instrText xml:space="preserve"> PAGEREF _Toc300002519 \h </w:instrText>
        </w:r>
        <w:r>
          <w:rPr>
            <w:noProof/>
            <w:webHidden/>
          </w:rPr>
          <w:fldChar w:fldCharType="separate"/>
        </w:r>
        <w:r>
          <w:rPr>
            <w:noProof/>
            <w:webHidden/>
          </w:rPr>
          <w:t>2378</w:t>
        </w:r>
        <w:r>
          <w:rPr>
            <w:noProof/>
            <w:webHidden/>
          </w:rPr>
          <w:fldChar w:fldCharType="end"/>
        </w:r>
      </w:hyperlink>
    </w:p>
    <w:p>
      <w:pPr>
        <w:pStyle w:val="TOC2"/>
      </w:pPr>
      <w:hyperlink w:anchor="_Toc300002520" w:history="1">
        <w:r>
          <w:rPr>
            <w:noProof/>
          </w:rPr>
          <w:t xml:space="preserve">CK-12. STAFF SAFETY</w:t>
        </w:r>
        <w:r>
          <w:rPr>
            <w:noProof/>
            <w:webHidden/>
          </w:rPr>
          <w:tab/>
        </w:r>
        <w:r>
          <w:rPr>
            <w:noProof/>
            <w:webHidden/>
          </w:rPr>
          <w:fldChar w:fldCharType="begin"/>
        </w:r>
        <w:r>
          <w:rPr>
            <w:noProof/>
            <w:webHidden/>
          </w:rPr>
          <w:instrText xml:space="preserve"> PAGEREF _Toc300002520 \h </w:instrText>
        </w:r>
        <w:r>
          <w:rPr>
            <w:noProof/>
            <w:webHidden/>
          </w:rPr>
          <w:fldChar w:fldCharType="separate"/>
        </w:r>
        <w:r>
          <w:rPr>
            <w:noProof/>
            <w:webHidden/>
          </w:rPr>
          <w:t>2379</w:t>
        </w:r>
        <w:r>
          <w:rPr>
            <w:noProof/>
            <w:webHidden/>
          </w:rPr>
          <w:fldChar w:fldCharType="end"/>
        </w:r>
      </w:hyperlink>
    </w:p>
    <w:p>
      <w:pPr>
        <w:pStyle w:val="TOC2"/>
      </w:pPr>
      <w:hyperlink w:anchor="_Toc300002521" w:history="1">
        <w:r>
          <w:rPr>
            <w:noProof/>
          </w:rPr>
          <w:t xml:space="preserve">CK-13. CROSS-BORDER TRANSFER: CONSENT / LAW REMAINS DOMESTIC</w:t>
        </w:r>
        <w:r>
          <w:rPr>
            <w:noProof/>
            <w:webHidden/>
          </w:rPr>
          <w:tab/>
        </w:r>
        <w:r>
          <w:rPr>
            <w:noProof/>
            <w:webHidden/>
          </w:rPr>
          <w:fldChar w:fldCharType="begin"/>
        </w:r>
        <w:r>
          <w:rPr>
            <w:noProof/>
            <w:webHidden/>
          </w:rPr>
          <w:instrText xml:space="preserve"> PAGEREF _Toc300002521 \h </w:instrText>
        </w:r>
        <w:r>
          <w:rPr>
            <w:noProof/>
            <w:webHidden/>
          </w:rPr>
          <w:fldChar w:fldCharType="separate"/>
        </w:r>
        <w:r>
          <w:rPr>
            <w:noProof/>
            <w:webHidden/>
          </w:rPr>
          <w:t>2379</w:t>
        </w:r>
        <w:r>
          <w:rPr>
            <w:noProof/>
            <w:webHidden/>
          </w:rPr>
          <w:fldChar w:fldCharType="end"/>
        </w:r>
      </w:hyperlink>
    </w:p>
    <w:p>
      <w:pPr>
        <w:pStyle w:val="TOC2"/>
      </w:pPr>
      <w:hyperlink w:anchor="_Toc300002522" w:history="1">
        <w:r>
          <w:rPr>
            <w:noProof/>
          </w:rPr>
          <w:t xml:space="preserve">CK-14. DEATHS IN CUSTODY: FAMILY NOTIFICATION</w:t>
        </w:r>
        <w:r>
          <w:rPr>
            <w:noProof/>
            <w:webHidden/>
          </w:rPr>
          <w:tab/>
        </w:r>
        <w:r>
          <w:rPr>
            <w:noProof/>
            <w:webHidden/>
          </w:rPr>
          <w:fldChar w:fldCharType="begin"/>
        </w:r>
        <w:r>
          <w:rPr>
            <w:noProof/>
            <w:webHidden/>
          </w:rPr>
          <w:instrText xml:space="preserve"> PAGEREF _Toc300002522 \h </w:instrText>
        </w:r>
        <w:r>
          <w:rPr>
            <w:noProof/>
            <w:webHidden/>
          </w:rPr>
          <w:fldChar w:fldCharType="separate"/>
        </w:r>
        <w:r>
          <w:rPr>
            <w:noProof/>
            <w:webHidden/>
          </w:rPr>
          <w:t>2379</w:t>
        </w:r>
        <w:r>
          <w:rPr>
            <w:noProof/>
            <w:webHidden/>
          </w:rPr>
          <w:fldChar w:fldCharType="end"/>
        </w:r>
      </w:hyperlink>
    </w:p>
    <w:p>
      <w:pPr>
        <w:pStyle w:val="TOC2"/>
      </w:pPr>
      <w:hyperlink w:anchor="_Toc300002523" w:history="1">
        <w:r>
          <w:rPr>
            <w:noProof/>
          </w:rPr>
          <w:t xml:space="preserve">CK-15. RELIGION</w:t>
        </w:r>
        <w:r>
          <w:rPr>
            <w:noProof/>
            <w:webHidden/>
          </w:rPr>
          <w:tab/>
        </w:r>
        <w:r>
          <w:rPr>
            <w:noProof/>
            <w:webHidden/>
          </w:rPr>
          <w:fldChar w:fldCharType="begin"/>
        </w:r>
        <w:r>
          <w:rPr>
            <w:noProof/>
            <w:webHidden/>
          </w:rPr>
          <w:instrText xml:space="preserve"> PAGEREF _Toc300002523 \h </w:instrText>
        </w:r>
        <w:r>
          <w:rPr>
            <w:noProof/>
            <w:webHidden/>
          </w:rPr>
          <w:fldChar w:fldCharType="separate"/>
        </w:r>
        <w:r>
          <w:rPr>
            <w:noProof/>
            <w:webHidden/>
          </w:rPr>
          <w:t>2379</w:t>
        </w:r>
        <w:r>
          <w:rPr>
            <w:noProof/>
            <w:webHidden/>
          </w:rPr>
          <w:fldChar w:fldCharType="end"/>
        </w:r>
      </w:hyperlink>
    </w:p>
    <w:p>
      <w:pPr>
        <w:pStyle w:val="TOC2"/>
      </w:pPr>
      <w:hyperlink w:anchor="_Toc300002524" w:history="1">
        <w:r>
          <w:rPr>
            <w:noProof/>
          </w:rPr>
          <w:t xml:space="preserve">CK-16. ACCESSIBILITY</w:t>
        </w:r>
        <w:r>
          <w:rPr>
            <w:noProof/>
            <w:webHidden/>
          </w:rPr>
          <w:tab/>
        </w:r>
        <w:r>
          <w:rPr>
            <w:noProof/>
            <w:webHidden/>
          </w:rPr>
          <w:fldChar w:fldCharType="begin"/>
        </w:r>
        <w:r>
          <w:rPr>
            <w:noProof/>
            <w:webHidden/>
          </w:rPr>
          <w:instrText xml:space="preserve"> PAGEREF _Toc300002524 \h </w:instrText>
        </w:r>
        <w:r>
          <w:rPr>
            <w:noProof/>
            <w:webHidden/>
          </w:rPr>
          <w:fldChar w:fldCharType="separate"/>
        </w:r>
        <w:r>
          <w:rPr>
            <w:noProof/>
            <w:webHidden/>
          </w:rPr>
          <w:t>2379</w:t>
        </w:r>
        <w:r>
          <w:rPr>
            <w:noProof/>
            <w:webHidden/>
          </w:rPr>
          <w:fldChar w:fldCharType="end"/>
        </w:r>
      </w:hyperlink>
    </w:p>
    <w:p>
      <w:pPr>
        <w:pStyle w:val="TOC2"/>
      </w:pPr>
      <w:hyperlink w:anchor="_Toc300002525" w:history="1">
        <w:r>
          <w:rPr>
            <w:noProof/>
          </w:rPr>
          <w:t xml:space="preserve">CK-17. SECURITY INTELLIGENCE</w:t>
        </w:r>
        <w:r>
          <w:rPr>
            <w:noProof/>
            <w:webHidden/>
          </w:rPr>
          <w:tab/>
        </w:r>
        <w:r>
          <w:rPr>
            <w:noProof/>
            <w:webHidden/>
          </w:rPr>
          <w:fldChar w:fldCharType="begin"/>
        </w:r>
        <w:r>
          <w:rPr>
            <w:noProof/>
            <w:webHidden/>
          </w:rPr>
          <w:instrText xml:space="preserve"> PAGEREF _Toc300002525 \h </w:instrText>
        </w:r>
        <w:r>
          <w:rPr>
            <w:noProof/>
            <w:webHidden/>
          </w:rPr>
          <w:fldChar w:fldCharType="separate"/>
        </w:r>
        <w:r>
          <w:rPr>
            <w:noProof/>
            <w:webHidden/>
          </w:rPr>
          <w:t>2379</w:t>
        </w:r>
        <w:r>
          <w:rPr>
            <w:noProof/>
            <w:webHidden/>
          </w:rPr>
          <w:fldChar w:fldCharType="end"/>
        </w:r>
      </w:hyperlink>
    </w:p>
    <w:p>
      <w:pPr>
        <w:pStyle w:val="TOC2"/>
      </w:pPr>
      <w:hyperlink w:anchor="_Toc300002526" w:history="1">
        <w:r>
          <w:rPr>
            <w:noProof/>
          </w:rPr>
          <w:t xml:space="preserve">CK-18. NO UNCOMPENSATED FRONT-LOADING: EXPLICIT EXCLUSION</w:t>
        </w:r>
        <w:r>
          <w:rPr>
            <w:noProof/>
            <w:webHidden/>
          </w:rPr>
          <w:tab/>
        </w:r>
        <w:r>
          <w:rPr>
            <w:noProof/>
            <w:webHidden/>
          </w:rPr>
          <w:fldChar w:fldCharType="begin"/>
        </w:r>
        <w:r>
          <w:rPr>
            <w:noProof/>
            <w:webHidden/>
          </w:rPr>
          <w:instrText xml:space="preserve"> PAGEREF _Toc300002526 \h </w:instrText>
        </w:r>
        <w:r>
          <w:rPr>
            <w:noProof/>
            <w:webHidden/>
          </w:rPr>
          <w:fldChar w:fldCharType="separate"/>
        </w:r>
        <w:r>
          <w:rPr>
            <w:noProof/>
            <w:webHidden/>
          </w:rPr>
          <w:t>2379</w:t>
        </w:r>
        <w:r>
          <w:rPr>
            <w:noProof/>
            <w:webHidden/>
          </w:rPr>
          <w:fldChar w:fldCharType="end"/>
        </w:r>
      </w:hyperlink>
    </w:p>
    <w:p>
      <w:pPr>
        <w:pStyle w:val="TOC2"/>
      </w:pPr>
      <w:hyperlink w:anchor="_Toc300002527" w:history="1">
        <w:r>
          <w:rPr>
            <w:noProof/>
          </w:rPr>
          <w:t xml:space="preserve">CK-19. Optional Annex Safeguards</w:t>
        </w:r>
        <w:r>
          <w:rPr>
            <w:noProof/>
            <w:webHidden/>
          </w:rPr>
          <w:tab/>
        </w:r>
        <w:r>
          <w:rPr>
            <w:noProof/>
            <w:webHidden/>
          </w:rPr>
          <w:fldChar w:fldCharType="begin"/>
        </w:r>
        <w:r>
          <w:rPr>
            <w:noProof/>
            <w:webHidden/>
          </w:rPr>
          <w:instrText xml:space="preserve"> PAGEREF _Toc300002527 \h </w:instrText>
        </w:r>
        <w:r>
          <w:rPr>
            <w:noProof/>
            <w:webHidden/>
          </w:rPr>
          <w:fldChar w:fldCharType="separate"/>
        </w:r>
        <w:r>
          <w:rPr>
            <w:noProof/>
            <w:webHidden/>
          </w:rPr>
          <w:t>2380</w:t>
        </w:r>
        <w:r>
          <w:rPr>
            <w:noProof/>
            <w:webHidden/>
          </w:rPr>
          <w:fldChar w:fldCharType="end"/>
        </w:r>
      </w:hyperlink>
    </w:p>
    <w:p>
      <w:pPr>
        <w:pStyle w:val="TOC2"/>
      </w:pPr>
      <w:hyperlink w:anchor="_Toc300002528" w:history="1">
        <w:r>
          <w:rPr>
            <w:noProof/>
          </w:rPr>
          <w:t xml:space="preserve">CK-20. Existing-Architecture Integration</w:t>
        </w:r>
        <w:r>
          <w:rPr>
            <w:noProof/>
            <w:webHidden/>
          </w:rPr>
          <w:tab/>
        </w:r>
        <w:r>
          <w:rPr>
            <w:noProof/>
            <w:webHidden/>
          </w:rPr>
          <w:fldChar w:fldCharType="begin"/>
        </w:r>
        <w:r>
          <w:rPr>
            <w:noProof/>
            <w:webHidden/>
          </w:rPr>
          <w:instrText xml:space="preserve"> PAGEREF _Toc300002528 \h </w:instrText>
        </w:r>
        <w:r>
          <w:rPr>
            <w:noProof/>
            <w:webHidden/>
          </w:rPr>
          <w:fldChar w:fldCharType="separate"/>
        </w:r>
        <w:r>
          <w:rPr>
            <w:noProof/>
            <w:webHidden/>
          </w:rPr>
          <w:t>2380</w:t>
        </w:r>
        <w:r>
          <w:rPr>
            <w:noProof/>
            <w:webHidden/>
          </w:rPr>
          <w:fldChar w:fldCharType="end"/>
        </w:r>
      </w:hyperlink>
    </w:p>
    <w:p>
      <w:pPr>
        <w:pStyle w:val="TOC2"/>
      </w:pPr>
      <w:hyperlink w:anchor="_Toc300002529" w:history="1">
        <w:r>
          <w:rPr>
            <w:noProof/>
          </w:rPr>
          <w:t xml:space="preserve">CK-21. Trilateral Parity and Non-Stigmatization</w:t>
        </w:r>
        <w:r>
          <w:rPr>
            <w:noProof/>
            <w:webHidden/>
          </w:rPr>
          <w:tab/>
        </w:r>
        <w:r>
          <w:rPr>
            <w:noProof/>
            <w:webHidden/>
          </w:rPr>
          <w:fldChar w:fldCharType="begin"/>
        </w:r>
        <w:r>
          <w:rPr>
            <w:noProof/>
            <w:webHidden/>
          </w:rPr>
          <w:instrText xml:space="preserve"> PAGEREF _Toc300002529 \h </w:instrText>
        </w:r>
        <w:r>
          <w:rPr>
            <w:noProof/>
            <w:webHidden/>
          </w:rPr>
          <w:fldChar w:fldCharType="separate"/>
        </w:r>
        <w:r>
          <w:rPr>
            <w:noProof/>
            <w:webHidden/>
          </w:rPr>
          <w:t>2380</w:t>
        </w:r>
        <w:r>
          <w:rPr>
            <w:noProof/>
            <w:webHidden/>
          </w:rPr>
          <w:fldChar w:fldCharType="end"/>
        </w:r>
      </w:hyperlink>
    </w:p>
    <w:p>
      <w:pPr>
        <w:pStyle w:val="TOC2"/>
      </w:pPr>
      <w:hyperlink w:anchor="_Toc300002530" w:history="1">
        <w:r>
          <w:rPr>
            <w:noProof/>
          </w:rPr>
          <w:t xml:space="preserve">CK-22. Integrated Governing Principle</w:t>
        </w:r>
        <w:r>
          <w:rPr>
            <w:noProof/>
            <w:webHidden/>
          </w:rPr>
          <w:tab/>
        </w:r>
        <w:r>
          <w:rPr>
            <w:noProof/>
            <w:webHidden/>
          </w:rPr>
          <w:fldChar w:fldCharType="begin"/>
        </w:r>
        <w:r>
          <w:rPr>
            <w:noProof/>
            <w:webHidden/>
          </w:rPr>
          <w:instrText xml:space="preserve"> PAGEREF _Toc300002530 \h </w:instrText>
        </w:r>
        <w:r>
          <w:rPr>
            <w:noProof/>
            <w:webHidden/>
          </w:rPr>
          <w:fldChar w:fldCharType="separate"/>
        </w:r>
        <w:r>
          <w:rPr>
            <w:noProof/>
            <w:webHidden/>
          </w:rPr>
          <w:t>2380</w:t>
        </w:r>
        <w:r>
          <w:rPr>
            <w:noProof/>
            <w:webHidden/>
          </w:rPr>
          <w:fldChar w:fldCharType="end"/>
        </w:r>
      </w:hyperlink>
    </w:p>
    <w:p>
      <w:pPr>
        <w:pStyle w:val="TOC1"/>
      </w:pPr>
      <w:hyperlink w:anchor="_Toc300002531" w:history="1">
        <w:r>
          <w:rPr>
            <w:noProof/>
          </w:rPr>
          <w:t xml:space="preserve">PACKAGE CL: NORTH AMERICAN HUMAN DIGNITY, EQUALITY AND RIGHTS FRAMEWORK</w:t>
        </w:r>
        <w:r>
          <w:rPr>
            <w:noProof/>
            <w:webHidden/>
          </w:rPr>
          <w:tab/>
        </w:r>
        <w:r>
          <w:rPr>
            <w:noProof/>
            <w:webHidden/>
          </w:rPr>
          <w:fldChar w:fldCharType="begin"/>
        </w:r>
        <w:r>
          <w:rPr>
            <w:noProof/>
            <w:webHidden/>
          </w:rPr>
          <w:instrText xml:space="preserve"> PAGEREF _Toc300002531 \h </w:instrText>
        </w:r>
        <w:r>
          <w:rPr>
            <w:noProof/>
            <w:webHidden/>
          </w:rPr>
          <w:fldChar w:fldCharType="separate"/>
        </w:r>
        <w:r>
          <w:rPr>
            <w:noProof/>
            <w:webHidden/>
          </w:rPr>
          <w:t>2381</w:t>
        </w:r>
        <w:r>
          <w:rPr>
            <w:noProof/>
            <w:webHidden/>
          </w:rPr>
          <w:fldChar w:fldCharType="end"/>
        </w:r>
      </w:hyperlink>
    </w:p>
    <w:p>
      <w:pPr>
        <w:pStyle w:val="TOC2"/>
      </w:pPr>
      <w:hyperlink w:anchor="_Toc300002532" w:history="1">
        <w:r>
          <w:rPr>
            <w:noProof/>
          </w:rPr>
          <w:t xml:space="preserve">PHASE-1 HUMAN-RIGHTS INTEGRATION: 384 HARDENED PROVISION SLOTS</w:t>
        </w:r>
        <w:r>
          <w:rPr>
            <w:noProof/>
            <w:webHidden/>
          </w:rPr>
          <w:tab/>
        </w:r>
        <w:r>
          <w:rPr>
            <w:noProof/>
            <w:webHidden/>
          </w:rPr>
          <w:fldChar w:fldCharType="begin"/>
        </w:r>
        <w:r>
          <w:rPr>
            <w:noProof/>
            <w:webHidden/>
          </w:rPr>
          <w:instrText xml:space="preserve"> PAGEREF _Toc300002532 \h </w:instrText>
        </w:r>
        <w:r>
          <w:rPr>
            <w:noProof/>
            <w:webHidden/>
          </w:rPr>
          <w:fldChar w:fldCharType="separate"/>
        </w:r>
        <w:r>
          <w:rPr>
            <w:noProof/>
            <w:webHidden/>
          </w:rPr>
          <w:t>2381</w:t>
        </w:r>
        <w:r>
          <w:rPr>
            <w:noProof/>
            <w:webHidden/>
          </w:rPr>
          <w:fldChar w:fldCharType="end"/>
        </w:r>
      </w:hyperlink>
    </w:p>
    <w:p>
      <w:pPr>
        <w:pStyle w:val="TOC2"/>
      </w:pPr>
      <w:hyperlink w:anchor="_Toc300002533" w:history="1">
        <w:r>
          <w:rPr>
            <w:noProof/>
          </w:rPr>
          <w:t xml:space="preserve">CL-1. Purpose, Character and Relationship to Existing Architecture</w:t>
        </w:r>
        <w:r>
          <w:rPr>
            <w:noProof/>
            <w:webHidden/>
          </w:rPr>
          <w:tab/>
        </w:r>
        <w:r>
          <w:rPr>
            <w:noProof/>
            <w:webHidden/>
          </w:rPr>
          <w:fldChar w:fldCharType="begin"/>
        </w:r>
        <w:r>
          <w:rPr>
            <w:noProof/>
            <w:webHidden/>
          </w:rPr>
          <w:instrText xml:space="preserve"> PAGEREF _Toc300002533 \h </w:instrText>
        </w:r>
        <w:r>
          <w:rPr>
            <w:noProof/>
            <w:webHidden/>
          </w:rPr>
          <w:fldChar w:fldCharType="separate"/>
        </w:r>
        <w:r>
          <w:rPr>
            <w:noProof/>
            <w:webHidden/>
          </w:rPr>
          <w:t>2381</w:t>
        </w:r>
        <w:r>
          <w:rPr>
            <w:noProof/>
            <w:webHidden/>
          </w:rPr>
          <w:fldChar w:fldCharType="end"/>
        </w:r>
      </w:hyperlink>
    </w:p>
    <w:p>
      <w:pPr>
        <w:pStyle w:val="TOC2"/>
      </w:pPr>
      <w:hyperlink w:anchor="_Toc300002534" w:history="1">
        <w:r>
          <w:rPr>
            <w:noProof/>
          </w:rPr>
          <w:t xml:space="preserve">CL-2. Stronger Rights, Federalism and No Implied Private Cause</w:t>
        </w:r>
        <w:r>
          <w:rPr>
            <w:noProof/>
            <w:webHidden/>
          </w:rPr>
          <w:tab/>
        </w:r>
        <w:r>
          <w:rPr>
            <w:noProof/>
            <w:webHidden/>
          </w:rPr>
          <w:fldChar w:fldCharType="begin"/>
        </w:r>
        <w:r>
          <w:rPr>
            <w:noProof/>
            <w:webHidden/>
          </w:rPr>
          <w:instrText xml:space="preserve"> PAGEREF _Toc300002534 \h </w:instrText>
        </w:r>
        <w:r>
          <w:rPr>
            <w:noProof/>
            <w:webHidden/>
          </w:rPr>
          <w:fldChar w:fldCharType="separate"/>
        </w:r>
        <w:r>
          <w:rPr>
            <w:noProof/>
            <w:webHidden/>
          </w:rPr>
          <w:t>2381</w:t>
        </w:r>
        <w:r>
          <w:rPr>
            <w:noProof/>
            <w:webHidden/>
          </w:rPr>
          <w:fldChar w:fldCharType="end"/>
        </w:r>
      </w:hyperlink>
    </w:p>
    <w:p>
      <w:pPr>
        <w:pStyle w:val="TOC2"/>
      </w:pPr>
      <w:hyperlink w:anchor="_Toc300002535" w:history="1">
        <w:r>
          <w:rPr>
            <w:noProof/>
          </w:rPr>
          <w:t xml:space="preserve">CL-3. Objective Exceptions, Evidence and Review</w:t>
        </w:r>
        <w:r>
          <w:rPr>
            <w:noProof/>
            <w:webHidden/>
          </w:rPr>
          <w:tab/>
        </w:r>
        <w:r>
          <w:rPr>
            <w:noProof/>
            <w:webHidden/>
          </w:rPr>
          <w:fldChar w:fldCharType="begin"/>
        </w:r>
        <w:r>
          <w:rPr>
            <w:noProof/>
            <w:webHidden/>
          </w:rPr>
          <w:instrText xml:space="preserve"> PAGEREF _Toc300002535 \h </w:instrText>
        </w:r>
        <w:r>
          <w:rPr>
            <w:noProof/>
            <w:webHidden/>
          </w:rPr>
          <w:fldChar w:fldCharType="separate"/>
        </w:r>
        <w:r>
          <w:rPr>
            <w:noProof/>
            <w:webHidden/>
          </w:rPr>
          <w:t>2382</w:t>
        </w:r>
        <w:r>
          <w:rPr>
            <w:noProof/>
            <w:webHidden/>
          </w:rPr>
          <w:fldChar w:fldCharType="end"/>
        </w:r>
      </w:hyperlink>
    </w:p>
    <w:p>
      <w:pPr>
        <w:pStyle w:val="TOC2"/>
      </w:pPr>
      <w:hyperlink w:anchor="_Toc300002536" w:history="1">
        <w:r>
          <w:rPr>
            <w:noProof/>
          </w:rPr>
          <w:t xml:space="preserve">CL-4. Remedy, Optionality, Data and Anti-Gaming</w:t>
        </w:r>
        <w:r>
          <w:rPr>
            <w:noProof/>
            <w:webHidden/>
          </w:rPr>
          <w:tab/>
        </w:r>
        <w:r>
          <w:rPr>
            <w:noProof/>
            <w:webHidden/>
          </w:rPr>
          <w:fldChar w:fldCharType="begin"/>
        </w:r>
        <w:r>
          <w:rPr>
            <w:noProof/>
            <w:webHidden/>
          </w:rPr>
          <w:instrText xml:space="preserve"> PAGEREF _Toc300002536 \h </w:instrText>
        </w:r>
        <w:r>
          <w:rPr>
            <w:noProof/>
            <w:webHidden/>
          </w:rPr>
          <w:fldChar w:fldCharType="separate"/>
        </w:r>
        <w:r>
          <w:rPr>
            <w:noProof/>
            <w:webHidden/>
          </w:rPr>
          <w:t>2382</w:t>
        </w:r>
        <w:r>
          <w:rPr>
            <w:noProof/>
            <w:webHidden/>
          </w:rPr>
          <w:fldChar w:fldCharType="end"/>
        </w:r>
      </w:hyperlink>
    </w:p>
    <w:p>
      <w:pPr>
        <w:pStyle w:val="TOC2"/>
      </w:pPr>
      <w:hyperlink w:anchor="_Toc300002537" w:history="1">
        <w:r>
          <w:rPr>
            <w:noProof/>
          </w:rPr>
          <w:t xml:space="preserve">CL-5. Accessibility, Participation, Continuity and Non-Exhaustion</w:t>
        </w:r>
        <w:r>
          <w:rPr>
            <w:noProof/>
            <w:webHidden/>
          </w:rPr>
          <w:tab/>
        </w:r>
        <w:r>
          <w:rPr>
            <w:noProof/>
            <w:webHidden/>
          </w:rPr>
          <w:fldChar w:fldCharType="begin"/>
        </w:r>
        <w:r>
          <w:rPr>
            <w:noProof/>
            <w:webHidden/>
          </w:rPr>
          <w:instrText xml:space="preserve"> PAGEREF _Toc300002537 \h </w:instrText>
        </w:r>
        <w:r>
          <w:rPr>
            <w:noProof/>
            <w:webHidden/>
          </w:rPr>
          <w:fldChar w:fldCharType="separate"/>
        </w:r>
        <w:r>
          <w:rPr>
            <w:noProof/>
            <w:webHidden/>
          </w:rPr>
          <w:t>2382</w:t>
        </w:r>
        <w:r>
          <w:rPr>
            <w:noProof/>
            <w:webHidden/>
          </w:rPr>
          <w:fldChar w:fldCharType="end"/>
        </w:r>
      </w:hyperlink>
    </w:p>
    <w:p>
      <w:pPr>
        <w:pStyle w:val="TOC2"/>
      </w:pPr>
      <w:hyperlink w:anchor="_Toc300002538" w:history="1">
        <w:r>
          <w:rPr>
            <w:noProof/>
          </w:rPr>
          <w:t xml:space="preserve">CL-6. UNIVERSAL HUMAN DIGNITY, EQUALITY, DUE PROCESS AND REMEDY</w:t>
        </w:r>
        <w:r>
          <w:rPr>
            <w:noProof/>
            <w:webHidden/>
          </w:rPr>
          <w:tab/>
        </w:r>
        <w:r>
          <w:rPr>
            <w:noProof/>
            <w:webHidden/>
          </w:rPr>
          <w:fldChar w:fldCharType="begin"/>
        </w:r>
        <w:r>
          <w:rPr>
            <w:noProof/>
            <w:webHidden/>
          </w:rPr>
          <w:instrText xml:space="preserve"> PAGEREF _Toc300002538 \h </w:instrText>
        </w:r>
        <w:r>
          <w:rPr>
            <w:noProof/>
            <w:webHidden/>
          </w:rPr>
          <w:fldChar w:fldCharType="separate"/>
        </w:r>
        <w:r>
          <w:rPr>
            <w:noProof/>
            <w:webHidden/>
          </w:rPr>
          <w:t>2383</w:t>
        </w:r>
        <w:r>
          <w:rPr>
            <w:noProof/>
            <w:webHidden/>
          </w:rPr>
          <w:fldChar w:fldCharType="end"/>
        </w:r>
      </w:hyperlink>
    </w:p>
    <w:p>
      <w:pPr>
        <w:pStyle w:val="TOC2"/>
      </w:pPr>
      <w:hyperlink w:anchor="_Toc300002539" w:history="1">
        <w:r>
          <w:rPr>
            <w:noProof/>
          </w:rPr>
          <w:t xml:space="preserve">CL-7. LABOUR AND WORKPLACE HUMAN RIGHTS</w:t>
        </w:r>
        <w:r>
          <w:rPr>
            <w:noProof/>
            <w:webHidden/>
          </w:rPr>
          <w:tab/>
        </w:r>
        <w:r>
          <w:rPr>
            <w:noProof/>
            <w:webHidden/>
          </w:rPr>
          <w:fldChar w:fldCharType="begin"/>
        </w:r>
        <w:r>
          <w:rPr>
            <w:noProof/>
            <w:webHidden/>
          </w:rPr>
          <w:instrText xml:space="preserve"> PAGEREF _Toc300002539 \h </w:instrText>
        </w:r>
        <w:r>
          <w:rPr>
            <w:noProof/>
            <w:webHidden/>
          </w:rPr>
          <w:fldChar w:fldCharType="separate"/>
        </w:r>
        <w:r>
          <w:rPr>
            <w:noProof/>
            <w:webHidden/>
          </w:rPr>
          <w:t>2387</w:t>
        </w:r>
        <w:r>
          <w:rPr>
            <w:noProof/>
            <w:webHidden/>
          </w:rPr>
          <w:fldChar w:fldCharType="end"/>
        </w:r>
      </w:hyperlink>
    </w:p>
    <w:p>
      <w:pPr>
        <w:pStyle w:val="TOC2"/>
      </w:pPr>
      <w:hyperlink w:anchor="_Toc300002540" w:history="1">
        <w:r>
          <w:rPr>
            <w:noProof/>
          </w:rPr>
          <w:t xml:space="preserve">CL-8. MIGRATION, ASYLUM AND BORDER-ADMINISTRATION RIGHTS</w:t>
        </w:r>
        <w:r>
          <w:rPr>
            <w:noProof/>
            <w:webHidden/>
          </w:rPr>
          <w:tab/>
        </w:r>
        <w:r>
          <w:rPr>
            <w:noProof/>
            <w:webHidden/>
          </w:rPr>
          <w:fldChar w:fldCharType="begin"/>
        </w:r>
        <w:r>
          <w:rPr>
            <w:noProof/>
            <w:webHidden/>
          </w:rPr>
          <w:instrText xml:space="preserve"> PAGEREF _Toc300002540 \h </w:instrText>
        </w:r>
        <w:r>
          <w:rPr>
            <w:noProof/>
            <w:webHidden/>
          </w:rPr>
          <w:fldChar w:fldCharType="separate"/>
        </w:r>
        <w:r>
          <w:rPr>
            <w:noProof/>
            <w:webHidden/>
          </w:rPr>
          <w:t>2394</w:t>
        </w:r>
        <w:r>
          <w:rPr>
            <w:noProof/>
            <w:webHidden/>
          </w:rPr>
          <w:fldChar w:fldCharType="end"/>
        </w:r>
      </w:hyperlink>
    </w:p>
    <w:p>
      <w:pPr>
        <w:pStyle w:val="TOC2"/>
      </w:pPr>
      <w:hyperlink w:anchor="_Toc300002541" w:history="1">
        <w:r>
          <w:rPr>
            <w:noProof/>
          </w:rPr>
          <w:t xml:space="preserve">CL-9. CUSTODY, DETENTION AND CORRECTIONS RIGHTS</w:t>
        </w:r>
        <w:r>
          <w:rPr>
            <w:noProof/>
            <w:webHidden/>
          </w:rPr>
          <w:tab/>
        </w:r>
        <w:r>
          <w:rPr>
            <w:noProof/>
            <w:webHidden/>
          </w:rPr>
          <w:fldChar w:fldCharType="begin"/>
        </w:r>
        <w:r>
          <w:rPr>
            <w:noProof/>
            <w:webHidden/>
          </w:rPr>
          <w:instrText xml:space="preserve"> PAGEREF _Toc300002541 \h </w:instrText>
        </w:r>
        <w:r>
          <w:rPr>
            <w:noProof/>
            <w:webHidden/>
          </w:rPr>
          <w:fldChar w:fldCharType="separate"/>
        </w:r>
        <w:r>
          <w:rPr>
            <w:noProof/>
            <w:webHidden/>
          </w:rPr>
          <w:t>2402</w:t>
        </w:r>
        <w:r>
          <w:rPr>
            <w:noProof/>
            <w:webHidden/>
          </w:rPr>
          <w:fldChar w:fldCharType="end"/>
        </w:r>
      </w:hyperlink>
    </w:p>
    <w:p>
      <w:pPr>
        <w:pStyle w:val="TOC2"/>
      </w:pPr>
      <w:hyperlink w:anchor="_Toc300002542" w:history="1">
        <w:r>
          <w:rPr>
            <w:noProof/>
          </w:rPr>
          <w:t xml:space="preserve">CL-10. INDIGENOUS RIGHTS AND ECONOMIC PARTICIPATION</w:t>
        </w:r>
        <w:r>
          <w:rPr>
            <w:noProof/>
            <w:webHidden/>
          </w:rPr>
          <w:tab/>
        </w:r>
        <w:r>
          <w:rPr>
            <w:noProof/>
            <w:webHidden/>
          </w:rPr>
          <w:fldChar w:fldCharType="begin"/>
        </w:r>
        <w:r>
          <w:rPr>
            <w:noProof/>
            <w:webHidden/>
          </w:rPr>
          <w:instrText xml:space="preserve"> PAGEREF _Toc300002542 \h </w:instrText>
        </w:r>
        <w:r>
          <w:rPr>
            <w:noProof/>
            <w:webHidden/>
          </w:rPr>
          <w:fldChar w:fldCharType="separate"/>
        </w:r>
        <w:r>
          <w:rPr>
            <w:noProof/>
            <w:webHidden/>
          </w:rPr>
          <w:t>2405</w:t>
        </w:r>
        <w:r>
          <w:rPr>
            <w:noProof/>
            <w:webHidden/>
          </w:rPr>
          <w:fldChar w:fldCharType="end"/>
        </w:r>
      </w:hyperlink>
    </w:p>
    <w:p>
      <w:pPr>
        <w:pStyle w:val="TOC2"/>
      </w:pPr>
      <w:hyperlink w:anchor="_Toc300002543" w:history="1">
        <w:r>
          <w:rPr>
            <w:noProof/>
          </w:rPr>
          <w:t xml:space="preserve">CL-11. DIGITAL, PRIVACY, DATA AND AUTOMATED-DECISION RIGHTS</w:t>
        </w:r>
        <w:r>
          <w:rPr>
            <w:noProof/>
            <w:webHidden/>
          </w:rPr>
          <w:tab/>
        </w:r>
        <w:r>
          <w:rPr>
            <w:noProof/>
            <w:webHidden/>
          </w:rPr>
          <w:fldChar w:fldCharType="begin"/>
        </w:r>
        <w:r>
          <w:rPr>
            <w:noProof/>
            <w:webHidden/>
          </w:rPr>
          <w:instrText xml:space="preserve"> PAGEREF _Toc300002543 \h </w:instrText>
        </w:r>
        <w:r>
          <w:rPr>
            <w:noProof/>
            <w:webHidden/>
          </w:rPr>
          <w:fldChar w:fldCharType="separate"/>
        </w:r>
        <w:r>
          <w:rPr>
            <w:noProof/>
            <w:webHidden/>
          </w:rPr>
          <w:t>2411</w:t>
        </w:r>
        <w:r>
          <w:rPr>
            <w:noProof/>
            <w:webHidden/>
          </w:rPr>
          <w:fldChar w:fldCharType="end"/>
        </w:r>
      </w:hyperlink>
    </w:p>
    <w:p>
      <w:pPr>
        <w:pStyle w:val="TOC2"/>
      </w:pPr>
      <w:hyperlink w:anchor="_Toc300002544" w:history="1">
        <w:r>
          <w:rPr>
            <w:noProof/>
          </w:rPr>
          <w:t xml:space="preserve">CL-12. BUSINESS, CORPORATE AND SUPPLY-CHAIN HUMAN RIGHTS</w:t>
        </w:r>
        <w:r>
          <w:rPr>
            <w:noProof/>
            <w:webHidden/>
          </w:rPr>
          <w:tab/>
        </w:r>
        <w:r>
          <w:rPr>
            <w:noProof/>
            <w:webHidden/>
          </w:rPr>
          <w:fldChar w:fldCharType="begin"/>
        </w:r>
        <w:r>
          <w:rPr>
            <w:noProof/>
            <w:webHidden/>
          </w:rPr>
          <w:instrText xml:space="preserve"> PAGEREF _Toc300002544 \h </w:instrText>
        </w:r>
        <w:r>
          <w:rPr>
            <w:noProof/>
            <w:webHidden/>
          </w:rPr>
          <w:fldChar w:fldCharType="separate"/>
        </w:r>
        <w:r>
          <w:rPr>
            <w:noProof/>
            <w:webHidden/>
          </w:rPr>
          <w:t>2415</w:t>
        </w:r>
        <w:r>
          <w:rPr>
            <w:noProof/>
            <w:webHidden/>
          </w:rPr>
          <w:fldChar w:fldCharType="end"/>
        </w:r>
      </w:hyperlink>
    </w:p>
    <w:p>
      <w:pPr>
        <w:pStyle w:val="TOC2"/>
      </w:pPr>
      <w:hyperlink w:anchor="_Toc300002545" w:history="1">
        <w:r>
          <w:rPr>
            <w:noProof/>
          </w:rPr>
          <w:t xml:space="preserve">CL-13. ENVIRONMENTAL AND COMMUNITY RIGHTS</w:t>
        </w:r>
        <w:r>
          <w:rPr>
            <w:noProof/>
            <w:webHidden/>
          </w:rPr>
          <w:tab/>
        </w:r>
        <w:r>
          <w:rPr>
            <w:noProof/>
            <w:webHidden/>
          </w:rPr>
          <w:fldChar w:fldCharType="begin"/>
        </w:r>
        <w:r>
          <w:rPr>
            <w:noProof/>
            <w:webHidden/>
          </w:rPr>
          <w:instrText xml:space="preserve"> PAGEREF _Toc300002545 \h </w:instrText>
        </w:r>
        <w:r>
          <w:rPr>
            <w:noProof/>
            <w:webHidden/>
          </w:rPr>
          <w:fldChar w:fldCharType="separate"/>
        </w:r>
        <w:r>
          <w:rPr>
            <w:noProof/>
            <w:webHidden/>
          </w:rPr>
          <w:t>2416</w:t>
        </w:r>
        <w:r>
          <w:rPr>
            <w:noProof/>
            <w:webHidden/>
          </w:rPr>
          <w:fldChar w:fldCharType="end"/>
        </w:r>
      </w:hyperlink>
    </w:p>
    <w:p>
      <w:pPr>
        <w:pStyle w:val="TOC2"/>
      </w:pPr>
      <w:hyperlink w:anchor="_Toc300002546" w:history="1">
        <w:r>
          <w:rPr>
            <w:noProof/>
          </w:rPr>
          <w:t xml:space="preserve">CL-14. PUBLIC HEALTH, MEDICINES AND SOCIAL RESILIENCE</w:t>
        </w:r>
        <w:r>
          <w:rPr>
            <w:noProof/>
            <w:webHidden/>
          </w:rPr>
          <w:tab/>
        </w:r>
        <w:r>
          <w:rPr>
            <w:noProof/>
            <w:webHidden/>
          </w:rPr>
          <w:fldChar w:fldCharType="begin"/>
        </w:r>
        <w:r>
          <w:rPr>
            <w:noProof/>
            <w:webHidden/>
          </w:rPr>
          <w:instrText xml:space="preserve"> PAGEREF _Toc300002546 \h </w:instrText>
        </w:r>
        <w:r>
          <w:rPr>
            <w:noProof/>
            <w:webHidden/>
          </w:rPr>
          <w:fldChar w:fldCharType="separate"/>
        </w:r>
        <w:r>
          <w:rPr>
            <w:noProof/>
            <w:webHidden/>
          </w:rPr>
          <w:t>2419</w:t>
        </w:r>
        <w:r>
          <w:rPr>
            <w:noProof/>
            <w:webHidden/>
          </w:rPr>
          <w:fldChar w:fldCharType="end"/>
        </w:r>
      </w:hyperlink>
    </w:p>
    <w:p>
      <w:pPr>
        <w:pStyle w:val="TOC2"/>
      </w:pPr>
      <w:hyperlink w:anchor="_Toc300002547" w:history="1">
        <w:r>
          <w:rPr>
            <w:noProof/>
          </w:rPr>
          <w:t xml:space="preserve">CL-15. DISABILITY RIGHTS AND ACCESSIBILITY</w:t>
        </w:r>
        <w:r>
          <w:rPr>
            <w:noProof/>
            <w:webHidden/>
          </w:rPr>
          <w:tab/>
        </w:r>
        <w:r>
          <w:rPr>
            <w:noProof/>
            <w:webHidden/>
          </w:rPr>
          <w:fldChar w:fldCharType="begin"/>
        </w:r>
        <w:r>
          <w:rPr>
            <w:noProof/>
            <w:webHidden/>
          </w:rPr>
          <w:instrText xml:space="preserve"> PAGEREF _Toc300002547 \h </w:instrText>
        </w:r>
        <w:r>
          <w:rPr>
            <w:noProof/>
            <w:webHidden/>
          </w:rPr>
          <w:fldChar w:fldCharType="separate"/>
        </w:r>
        <w:r>
          <w:rPr>
            <w:noProof/>
            <w:webHidden/>
          </w:rPr>
          <w:t>2422</w:t>
        </w:r>
        <w:r>
          <w:rPr>
            <w:noProof/>
            <w:webHidden/>
          </w:rPr>
          <w:fldChar w:fldCharType="end"/>
        </w:r>
      </w:hyperlink>
    </w:p>
    <w:p>
      <w:pPr>
        <w:pStyle w:val="TOC2"/>
      </w:pPr>
      <w:hyperlink w:anchor="_Toc300002548" w:history="1">
        <w:r>
          <w:rPr>
            <w:noProof/>
          </w:rPr>
          <w:t xml:space="preserve">CL-16. HOUSING-STATUS, POVERTY AND HOMELESSNESS SAFEGUARDS</w:t>
        </w:r>
        <w:r>
          <w:rPr>
            <w:noProof/>
            <w:webHidden/>
          </w:rPr>
          <w:tab/>
        </w:r>
        <w:r>
          <w:rPr>
            <w:noProof/>
            <w:webHidden/>
          </w:rPr>
          <w:fldChar w:fldCharType="begin"/>
        </w:r>
        <w:r>
          <w:rPr>
            <w:noProof/>
            <w:webHidden/>
          </w:rPr>
          <w:instrText xml:space="preserve"> PAGEREF _Toc300002548 \h </w:instrText>
        </w:r>
        <w:r>
          <w:rPr>
            <w:noProof/>
            <w:webHidden/>
          </w:rPr>
          <w:fldChar w:fldCharType="separate"/>
        </w:r>
        <w:r>
          <w:rPr>
            <w:noProof/>
            <w:webHidden/>
          </w:rPr>
          <w:t>2424</w:t>
        </w:r>
        <w:r>
          <w:rPr>
            <w:noProof/>
            <w:webHidden/>
          </w:rPr>
          <w:fldChar w:fldCharType="end"/>
        </w:r>
      </w:hyperlink>
    </w:p>
    <w:p>
      <w:pPr>
        <w:pStyle w:val="TOC2"/>
      </w:pPr>
      <w:hyperlink w:anchor="_Toc300002549" w:history="1">
        <w:r>
          <w:rPr>
            <w:noProof/>
          </w:rPr>
          <w:t xml:space="preserve">CL-17. HUMAN-RIGHTS GOVERNANCE, INTERPRETATION AND REVIEW</w:t>
        </w:r>
        <w:r>
          <w:rPr>
            <w:noProof/>
            <w:webHidden/>
          </w:rPr>
          <w:tab/>
        </w:r>
        <w:r>
          <w:rPr>
            <w:noProof/>
            <w:webHidden/>
          </w:rPr>
          <w:fldChar w:fldCharType="begin"/>
        </w:r>
        <w:r>
          <w:rPr>
            <w:noProof/>
            <w:webHidden/>
          </w:rPr>
          <w:instrText xml:space="preserve"> PAGEREF _Toc300002549 \h </w:instrText>
        </w:r>
        <w:r>
          <w:rPr>
            <w:noProof/>
            <w:webHidden/>
          </w:rPr>
          <w:fldChar w:fldCharType="separate"/>
        </w:r>
        <w:r>
          <w:rPr>
            <w:noProof/>
            <w:webHidden/>
          </w:rPr>
          <w:t>2426</w:t>
        </w:r>
        <w:r>
          <w:rPr>
            <w:noProof/>
            <w:webHidden/>
          </w:rPr>
          <w:fldChar w:fldCharType="end"/>
        </w:r>
      </w:hyperlink>
    </w:p>
    <w:p>
      <w:pPr>
        <w:pStyle w:val="TOC2"/>
      </w:pPr>
      <w:hyperlink w:anchor="_Toc300002550" w:history="1">
        <w:r>
          <w:rPr>
            <w:noProof/>
          </w:rPr>
          <w:t xml:space="preserve">CL-18. LABOUR AND WORKPLACE HUMAN RIGHTS</w:t>
        </w:r>
        <w:r>
          <w:rPr>
            <w:noProof/>
            <w:webHidden/>
          </w:rPr>
          <w:tab/>
        </w:r>
        <w:r>
          <w:rPr>
            <w:noProof/>
            <w:webHidden/>
          </w:rPr>
          <w:fldChar w:fldCharType="begin"/>
        </w:r>
        <w:r>
          <w:rPr>
            <w:noProof/>
            <w:webHidden/>
          </w:rPr>
          <w:instrText xml:space="preserve"> PAGEREF _Toc300002550 \h </w:instrText>
        </w:r>
        <w:r>
          <w:rPr>
            <w:noProof/>
            <w:webHidden/>
          </w:rPr>
          <w:fldChar w:fldCharType="separate"/>
        </w:r>
        <w:r>
          <w:rPr>
            <w:noProof/>
            <w:webHidden/>
          </w:rPr>
          <w:t>2428</w:t>
        </w:r>
        <w:r>
          <w:rPr>
            <w:noProof/>
            <w:webHidden/>
          </w:rPr>
          <w:fldChar w:fldCharType="end"/>
        </w:r>
      </w:hyperlink>
    </w:p>
    <w:p>
      <w:pPr>
        <w:pStyle w:val="TOC2"/>
      </w:pPr>
      <w:hyperlink w:anchor="_Toc300002551" w:history="1">
        <w:r>
          <w:rPr>
            <w:noProof/>
          </w:rPr>
          <w:t xml:space="preserve">CL-19. MIGRATION, ASYLUM AND BORDER-ADMINISTRATION RIGHTS</w:t>
        </w:r>
        <w:r>
          <w:rPr>
            <w:noProof/>
            <w:webHidden/>
          </w:rPr>
          <w:tab/>
        </w:r>
        <w:r>
          <w:rPr>
            <w:noProof/>
            <w:webHidden/>
          </w:rPr>
          <w:fldChar w:fldCharType="begin"/>
        </w:r>
        <w:r>
          <w:rPr>
            <w:noProof/>
            <w:webHidden/>
          </w:rPr>
          <w:instrText xml:space="preserve"> PAGEREF _Toc300002551 \h </w:instrText>
        </w:r>
        <w:r>
          <w:rPr>
            <w:noProof/>
            <w:webHidden/>
          </w:rPr>
          <w:fldChar w:fldCharType="separate"/>
        </w:r>
        <w:r>
          <w:rPr>
            <w:noProof/>
            <w:webHidden/>
          </w:rPr>
          <w:t>2431</w:t>
        </w:r>
        <w:r>
          <w:rPr>
            <w:noProof/>
            <w:webHidden/>
          </w:rPr>
          <w:fldChar w:fldCharType="end"/>
        </w:r>
      </w:hyperlink>
    </w:p>
    <w:p>
      <w:pPr>
        <w:pStyle w:val="TOC2"/>
      </w:pPr>
      <w:hyperlink w:anchor="_Toc300002552" w:history="1">
        <w:r>
          <w:rPr>
            <w:noProof/>
          </w:rPr>
          <w:t xml:space="preserve">CL-20. CUSTODY, DETENTION AND CORRECTIONS RIGHTS</w:t>
        </w:r>
        <w:r>
          <w:rPr>
            <w:noProof/>
            <w:webHidden/>
          </w:rPr>
          <w:tab/>
        </w:r>
        <w:r>
          <w:rPr>
            <w:noProof/>
            <w:webHidden/>
          </w:rPr>
          <w:fldChar w:fldCharType="begin"/>
        </w:r>
        <w:r>
          <w:rPr>
            <w:noProof/>
            <w:webHidden/>
          </w:rPr>
          <w:instrText xml:space="preserve"> PAGEREF _Toc300002552 \h </w:instrText>
        </w:r>
        <w:r>
          <w:rPr>
            <w:noProof/>
            <w:webHidden/>
          </w:rPr>
          <w:fldChar w:fldCharType="separate"/>
        </w:r>
        <w:r>
          <w:rPr>
            <w:noProof/>
            <w:webHidden/>
          </w:rPr>
          <w:t>2432</w:t>
        </w:r>
        <w:r>
          <w:rPr>
            <w:noProof/>
            <w:webHidden/>
          </w:rPr>
          <w:fldChar w:fldCharType="end"/>
        </w:r>
      </w:hyperlink>
    </w:p>
    <w:p>
      <w:pPr>
        <w:pStyle w:val="TOC2"/>
      </w:pPr>
      <w:hyperlink w:anchor="_Toc300002553" w:history="1">
        <w:r>
          <w:rPr>
            <w:noProof/>
          </w:rPr>
          <w:t xml:space="preserve">CL-21. INDIGENOUS RIGHTS AND ECONOMIC PARTICIPATION</w:t>
        </w:r>
        <w:r>
          <w:rPr>
            <w:noProof/>
            <w:webHidden/>
          </w:rPr>
          <w:tab/>
        </w:r>
        <w:r>
          <w:rPr>
            <w:noProof/>
            <w:webHidden/>
          </w:rPr>
          <w:fldChar w:fldCharType="begin"/>
        </w:r>
        <w:r>
          <w:rPr>
            <w:noProof/>
            <w:webHidden/>
          </w:rPr>
          <w:instrText xml:space="preserve"> PAGEREF _Toc300002553 \h </w:instrText>
        </w:r>
        <w:r>
          <w:rPr>
            <w:noProof/>
            <w:webHidden/>
          </w:rPr>
          <w:fldChar w:fldCharType="separate"/>
        </w:r>
        <w:r>
          <w:rPr>
            <w:noProof/>
            <w:webHidden/>
          </w:rPr>
          <w:t>2433</w:t>
        </w:r>
        <w:r>
          <w:rPr>
            <w:noProof/>
            <w:webHidden/>
          </w:rPr>
          <w:fldChar w:fldCharType="end"/>
        </w:r>
      </w:hyperlink>
    </w:p>
    <w:p>
      <w:pPr>
        <w:pStyle w:val="TOC2"/>
      </w:pPr>
      <w:hyperlink w:anchor="_Toc300002554" w:history="1">
        <w:r>
          <w:rPr>
            <w:noProof/>
          </w:rPr>
          <w:t xml:space="preserve">CL-22. DIGITAL, PRIVACY, DATA AND AUTOMATED-DECISION RIGHTS</w:t>
        </w:r>
        <w:r>
          <w:rPr>
            <w:noProof/>
            <w:webHidden/>
          </w:rPr>
          <w:tab/>
        </w:r>
        <w:r>
          <w:rPr>
            <w:noProof/>
            <w:webHidden/>
          </w:rPr>
          <w:fldChar w:fldCharType="begin"/>
        </w:r>
        <w:r>
          <w:rPr>
            <w:noProof/>
            <w:webHidden/>
          </w:rPr>
          <w:instrText xml:space="preserve"> PAGEREF _Toc300002554 \h </w:instrText>
        </w:r>
        <w:r>
          <w:rPr>
            <w:noProof/>
            <w:webHidden/>
          </w:rPr>
          <w:fldChar w:fldCharType="separate"/>
        </w:r>
        <w:r>
          <w:rPr>
            <w:noProof/>
            <w:webHidden/>
          </w:rPr>
          <w:t>2440</w:t>
        </w:r>
        <w:r>
          <w:rPr>
            <w:noProof/>
            <w:webHidden/>
          </w:rPr>
          <w:fldChar w:fldCharType="end"/>
        </w:r>
      </w:hyperlink>
    </w:p>
    <w:p>
      <w:pPr>
        <w:pStyle w:val="TOC2"/>
      </w:pPr>
      <w:hyperlink w:anchor="_Toc300002555" w:history="1">
        <w:r>
          <w:rPr>
            <w:noProof/>
          </w:rPr>
          <w:t xml:space="preserve">CL-23. BUSINESS, CORPORATE AND SUPPLY-CHAIN HUMAN RIGHTS</w:t>
        </w:r>
        <w:r>
          <w:rPr>
            <w:noProof/>
            <w:webHidden/>
          </w:rPr>
          <w:tab/>
        </w:r>
        <w:r>
          <w:rPr>
            <w:noProof/>
            <w:webHidden/>
          </w:rPr>
          <w:fldChar w:fldCharType="begin"/>
        </w:r>
        <w:r>
          <w:rPr>
            <w:noProof/>
            <w:webHidden/>
          </w:rPr>
          <w:instrText xml:space="preserve"> PAGEREF _Toc300002555 \h </w:instrText>
        </w:r>
        <w:r>
          <w:rPr>
            <w:noProof/>
            <w:webHidden/>
          </w:rPr>
          <w:fldChar w:fldCharType="separate"/>
        </w:r>
        <w:r>
          <w:rPr>
            <w:noProof/>
            <w:webHidden/>
          </w:rPr>
          <w:t>2441</w:t>
        </w:r>
        <w:r>
          <w:rPr>
            <w:noProof/>
            <w:webHidden/>
          </w:rPr>
          <w:fldChar w:fldCharType="end"/>
        </w:r>
      </w:hyperlink>
    </w:p>
    <w:p>
      <w:pPr>
        <w:pStyle w:val="TOC2"/>
      </w:pPr>
      <w:hyperlink w:anchor="_Toc300002556" w:history="1">
        <w:r>
          <w:rPr>
            <w:noProof/>
          </w:rPr>
          <w:t xml:space="preserve">CL-24. ENVIRONMENTAL AND COMMUNITY RIGHTS</w:t>
        </w:r>
        <w:r>
          <w:rPr>
            <w:noProof/>
            <w:webHidden/>
          </w:rPr>
          <w:tab/>
        </w:r>
        <w:r>
          <w:rPr>
            <w:noProof/>
            <w:webHidden/>
          </w:rPr>
          <w:fldChar w:fldCharType="begin"/>
        </w:r>
        <w:r>
          <w:rPr>
            <w:noProof/>
            <w:webHidden/>
          </w:rPr>
          <w:instrText xml:space="preserve"> PAGEREF _Toc300002556 \h </w:instrText>
        </w:r>
        <w:r>
          <w:rPr>
            <w:noProof/>
            <w:webHidden/>
          </w:rPr>
          <w:fldChar w:fldCharType="separate"/>
        </w:r>
        <w:r>
          <w:rPr>
            <w:noProof/>
            <w:webHidden/>
          </w:rPr>
          <w:t>2445</w:t>
        </w:r>
        <w:r>
          <w:rPr>
            <w:noProof/>
            <w:webHidden/>
          </w:rPr>
          <w:fldChar w:fldCharType="end"/>
        </w:r>
      </w:hyperlink>
    </w:p>
    <w:p>
      <w:pPr>
        <w:pStyle w:val="TOC2"/>
      </w:pPr>
      <w:hyperlink w:anchor="_Toc300002557" w:history="1">
        <w:r>
          <w:rPr>
            <w:noProof/>
          </w:rPr>
          <w:t xml:space="preserve">CL-25. PUBLIC HEALTH, MEDICINES AND SOCIAL RESILIENCE</w:t>
        </w:r>
        <w:r>
          <w:rPr>
            <w:noProof/>
            <w:webHidden/>
          </w:rPr>
          <w:tab/>
        </w:r>
        <w:r>
          <w:rPr>
            <w:noProof/>
            <w:webHidden/>
          </w:rPr>
          <w:fldChar w:fldCharType="begin"/>
        </w:r>
        <w:r>
          <w:rPr>
            <w:noProof/>
            <w:webHidden/>
          </w:rPr>
          <w:instrText xml:space="preserve"> PAGEREF _Toc300002557 \h </w:instrText>
        </w:r>
        <w:r>
          <w:rPr>
            <w:noProof/>
            <w:webHidden/>
          </w:rPr>
          <w:fldChar w:fldCharType="separate"/>
        </w:r>
        <w:r>
          <w:rPr>
            <w:noProof/>
            <w:webHidden/>
          </w:rPr>
          <w:t>2447</w:t>
        </w:r>
        <w:r>
          <w:rPr>
            <w:noProof/>
            <w:webHidden/>
          </w:rPr>
          <w:fldChar w:fldCharType="end"/>
        </w:r>
      </w:hyperlink>
    </w:p>
    <w:p>
      <w:pPr>
        <w:pStyle w:val="TOC2"/>
      </w:pPr>
      <w:hyperlink w:anchor="_Toc300002558" w:history="1">
        <w:r>
          <w:rPr>
            <w:noProof/>
          </w:rPr>
          <w:t xml:space="preserve">CL-26. GENDER EQUALITY AND INCLUSIVE TRADE</w:t>
        </w:r>
        <w:r>
          <w:rPr>
            <w:noProof/>
            <w:webHidden/>
          </w:rPr>
          <w:tab/>
        </w:r>
        <w:r>
          <w:rPr>
            <w:noProof/>
            <w:webHidden/>
          </w:rPr>
          <w:fldChar w:fldCharType="begin"/>
        </w:r>
        <w:r>
          <w:rPr>
            <w:noProof/>
            <w:webHidden/>
          </w:rPr>
          <w:instrText xml:space="preserve"> PAGEREF _Toc300002558 \h </w:instrText>
        </w:r>
        <w:r>
          <w:rPr>
            <w:noProof/>
            <w:webHidden/>
          </w:rPr>
          <w:fldChar w:fldCharType="separate"/>
        </w:r>
        <w:r>
          <w:rPr>
            <w:noProof/>
            <w:webHidden/>
          </w:rPr>
          <w:t>2449</w:t>
        </w:r>
        <w:r>
          <w:rPr>
            <w:noProof/>
            <w:webHidden/>
          </w:rPr>
          <w:fldChar w:fldCharType="end"/>
        </w:r>
      </w:hyperlink>
    </w:p>
    <w:p>
      <w:pPr>
        <w:pStyle w:val="TOC2"/>
      </w:pPr>
      <w:hyperlink w:anchor="_Toc300002559" w:history="1">
        <w:r>
          <w:rPr>
            <w:noProof/>
          </w:rPr>
          <w:t xml:space="preserve">CL-27. DISABILITY RIGHTS AND ACCESSIBILITY</w:t>
        </w:r>
        <w:r>
          <w:rPr>
            <w:noProof/>
            <w:webHidden/>
          </w:rPr>
          <w:tab/>
        </w:r>
        <w:r>
          <w:rPr>
            <w:noProof/>
            <w:webHidden/>
          </w:rPr>
          <w:fldChar w:fldCharType="begin"/>
        </w:r>
        <w:r>
          <w:rPr>
            <w:noProof/>
            <w:webHidden/>
          </w:rPr>
          <w:instrText xml:space="preserve"> PAGEREF _Toc300002559 \h </w:instrText>
        </w:r>
        <w:r>
          <w:rPr>
            <w:noProof/>
            <w:webHidden/>
          </w:rPr>
          <w:fldChar w:fldCharType="separate"/>
        </w:r>
        <w:r>
          <w:rPr>
            <w:noProof/>
            <w:webHidden/>
          </w:rPr>
          <w:t>2453</w:t>
        </w:r>
        <w:r>
          <w:rPr>
            <w:noProof/>
            <w:webHidden/>
          </w:rPr>
          <w:fldChar w:fldCharType="end"/>
        </w:r>
      </w:hyperlink>
    </w:p>
    <w:p>
      <w:pPr>
        <w:pStyle w:val="TOC2"/>
      </w:pPr>
      <w:hyperlink w:anchor="_Toc300002560" w:history="1">
        <w:r>
          <w:rPr>
            <w:noProof/>
          </w:rPr>
          <w:t xml:space="preserve">CL-28. HUMAN-RIGHTS GOVERNANCE, INTERPRETATION AND REVIEW</w:t>
        </w:r>
        <w:r>
          <w:rPr>
            <w:noProof/>
            <w:webHidden/>
          </w:rPr>
          <w:tab/>
        </w:r>
        <w:r>
          <w:rPr>
            <w:noProof/>
            <w:webHidden/>
          </w:rPr>
          <w:fldChar w:fldCharType="begin"/>
        </w:r>
        <w:r>
          <w:rPr>
            <w:noProof/>
            <w:webHidden/>
          </w:rPr>
          <w:instrText xml:space="preserve"> PAGEREF _Toc300002560 \h </w:instrText>
        </w:r>
        <w:r>
          <w:rPr>
            <w:noProof/>
            <w:webHidden/>
          </w:rPr>
          <w:fldChar w:fldCharType="separate"/>
        </w:r>
        <w:r>
          <w:rPr>
            <w:noProof/>
            <w:webHidden/>
          </w:rPr>
          <w:t>2454</w:t>
        </w:r>
        <w:r>
          <w:rPr>
            <w:noProof/>
            <w:webHidden/>
          </w:rPr>
          <w:fldChar w:fldCharType="end"/>
        </w:r>
      </w:hyperlink>
    </w:p>
    <w:p>
      <w:pPr>
        <w:pStyle w:val="TOC2"/>
      </w:pPr>
      <w:hyperlink w:anchor="_Toc300002561" w:history="1">
        <w:r>
          <w:rPr>
            <w:noProof/>
          </w:rPr>
          <w:t xml:space="preserve">CL-29. BUSINESS, CORPORATE AND SUPPLY-CHAIN HUMAN RIGHTS</w:t>
        </w:r>
        <w:r>
          <w:rPr>
            <w:noProof/>
            <w:webHidden/>
          </w:rPr>
          <w:tab/>
        </w:r>
        <w:r>
          <w:rPr>
            <w:noProof/>
            <w:webHidden/>
          </w:rPr>
          <w:fldChar w:fldCharType="begin"/>
        </w:r>
        <w:r>
          <w:rPr>
            <w:noProof/>
            <w:webHidden/>
          </w:rPr>
          <w:instrText xml:space="preserve"> PAGEREF _Toc300002561 \h </w:instrText>
        </w:r>
        <w:r>
          <w:rPr>
            <w:noProof/>
            <w:webHidden/>
          </w:rPr>
          <w:fldChar w:fldCharType="separate"/>
        </w:r>
        <w:r>
          <w:rPr>
            <w:noProof/>
            <w:webHidden/>
          </w:rPr>
          <w:t>2456</w:t>
        </w:r>
        <w:r>
          <w:rPr>
            <w:noProof/>
            <w:webHidden/>
          </w:rPr>
          <w:fldChar w:fldCharType="end"/>
        </w:r>
      </w:hyperlink>
    </w:p>
    <w:p>
      <w:pPr>
        <w:pStyle w:val="TOC2"/>
      </w:pPr>
      <w:hyperlink w:anchor="_Toc300002562" w:history="1">
        <w:r>
          <w:rPr>
            <w:noProof/>
          </w:rPr>
          <w:t xml:space="preserve">CL-30. OPTIONAL HIGH-SENSITIVITY HUMAN-RIGHTS MODULES</w:t>
        </w:r>
        <w:r>
          <w:rPr>
            <w:noProof/>
            <w:webHidden/>
          </w:rPr>
          <w:tab/>
        </w:r>
        <w:r>
          <w:rPr>
            <w:noProof/>
            <w:webHidden/>
          </w:rPr>
          <w:fldChar w:fldCharType="begin"/>
        </w:r>
        <w:r>
          <w:rPr>
            <w:noProof/>
            <w:webHidden/>
          </w:rPr>
          <w:instrText xml:space="preserve"> PAGEREF _Toc300002562 \h </w:instrText>
        </w:r>
        <w:r>
          <w:rPr>
            <w:noProof/>
            <w:webHidden/>
          </w:rPr>
          <w:fldChar w:fldCharType="separate"/>
        </w:r>
        <w:r>
          <w:rPr>
            <w:noProof/>
            <w:webHidden/>
          </w:rPr>
          <w:t>2457</w:t>
        </w:r>
        <w:r>
          <w:rPr>
            <w:noProof/>
            <w:webHidden/>
          </w:rPr>
          <w:fldChar w:fldCharType="end"/>
        </w:r>
      </w:hyperlink>
    </w:p>
    <w:p>
      <w:pPr>
        <w:pStyle w:val="TOC2"/>
      </w:pPr>
      <w:hyperlink w:anchor="_Toc300002563" w:history="1">
        <w:r>
          <w:rPr>
            <w:noProof/>
          </w:rPr>
          <w:t xml:space="preserve">CL-19A. PHASE-2 HUMAN-RIGHTS BACKBONE: 350 ADDITIONAL HARDENED PROVISIONS</w:t>
        </w:r>
        <w:r>
          <w:rPr>
            <w:noProof/>
            <w:webHidden/>
          </w:rPr>
          <w:tab/>
        </w:r>
        <w:r>
          <w:rPr>
            <w:noProof/>
            <w:webHidden/>
          </w:rPr>
          <w:fldChar w:fldCharType="begin"/>
        </w:r>
        <w:r>
          <w:rPr>
            <w:noProof/>
            <w:webHidden/>
          </w:rPr>
          <w:instrText xml:space="preserve"> PAGEREF _Toc300002563 \h </w:instrText>
        </w:r>
        <w:r>
          <w:rPr>
            <w:noProof/>
            <w:webHidden/>
          </w:rPr>
          <w:fldChar w:fldCharType="separate"/>
        </w:r>
        <w:r>
          <w:rPr>
            <w:noProof/>
            <w:webHidden/>
          </w:rPr>
          <w:t>2459</w:t>
        </w:r>
        <w:r>
          <w:rPr>
            <w:noProof/>
            <w:webHidden/>
          </w:rPr>
          <w:fldChar w:fldCharType="end"/>
        </w:r>
      </w:hyperlink>
    </w:p>
    <w:p>
      <w:pPr>
        <w:pStyle w:val="TOC2"/>
      </w:pPr>
      <w:hyperlink w:anchor="_Toc300002564" w:history="1">
        <w:r>
          <w:rPr>
            <w:noProof/>
          </w:rPr>
          <w:t xml:space="preserve">CL-31. Implementation Through Existing Institutions</w:t>
        </w:r>
        <w:r>
          <w:rPr>
            <w:noProof/>
            <w:webHidden/>
          </w:rPr>
          <w:tab/>
        </w:r>
        <w:r>
          <w:rPr>
            <w:noProof/>
            <w:webHidden/>
          </w:rPr>
          <w:fldChar w:fldCharType="begin"/>
        </w:r>
        <w:r>
          <w:rPr>
            <w:noProof/>
            <w:webHidden/>
          </w:rPr>
          <w:instrText xml:space="preserve"> PAGEREF _Toc300002564 \h </w:instrText>
        </w:r>
        <w:r>
          <w:rPr>
            <w:noProof/>
            <w:webHidden/>
          </w:rPr>
          <w:fldChar w:fldCharType="separate"/>
        </w:r>
        <w:r>
          <w:rPr>
            <w:noProof/>
            <w:webHidden/>
          </w:rPr>
          <w:t>2544</w:t>
        </w:r>
        <w:r>
          <w:rPr>
            <w:noProof/>
            <w:webHidden/>
          </w:rPr>
          <w:fldChar w:fldCharType="end"/>
        </w:r>
      </w:hyperlink>
    </w:p>
    <w:p>
      <w:pPr>
        <w:pStyle w:val="TOC2"/>
      </w:pPr>
      <w:hyperlink w:anchor="_Toc300002565" w:history="1">
        <w:r>
          <w:rPr>
            <w:noProof/>
          </w:rPr>
          <w:t xml:space="preserve">CL-32. Review and Future Human-Rights Integration</w:t>
        </w:r>
        <w:r>
          <w:rPr>
            <w:noProof/>
            <w:webHidden/>
          </w:rPr>
          <w:tab/>
        </w:r>
        <w:r>
          <w:rPr>
            <w:noProof/>
            <w:webHidden/>
          </w:rPr>
          <w:fldChar w:fldCharType="begin"/>
        </w:r>
        <w:r>
          <w:rPr>
            <w:noProof/>
            <w:webHidden/>
          </w:rPr>
          <w:instrText xml:space="preserve"> PAGEREF _Toc300002565 \h </w:instrText>
        </w:r>
        <w:r>
          <w:rPr>
            <w:noProof/>
            <w:webHidden/>
          </w:rPr>
          <w:fldChar w:fldCharType="separate"/>
        </w:r>
        <w:r>
          <w:rPr>
            <w:noProof/>
            <w:webHidden/>
          </w:rPr>
          <w:t>2545</w:t>
        </w:r>
        <w:r>
          <w:rPr>
            <w:noProof/>
            <w:webHidden/>
          </w:rPr>
          <w:fldChar w:fldCharType="end"/>
        </w:r>
      </w:hyperlink>
    </w:p>
    <w:p>
      <w:pPr>
        <w:pStyle w:val="TOC2"/>
      </w:pPr>
      <w:hyperlink w:anchor="_Toc300002566" w:history="1">
        <w:r>
          <w:rPr>
            <w:noProof/>
          </w:rPr>
          <w:t xml:space="preserve">CL-33. Governing Principle</w:t>
        </w:r>
        <w:r>
          <w:rPr>
            <w:noProof/>
            <w:webHidden/>
          </w:rPr>
          <w:tab/>
        </w:r>
        <w:r>
          <w:rPr>
            <w:noProof/>
            <w:webHidden/>
          </w:rPr>
          <w:fldChar w:fldCharType="begin"/>
        </w:r>
        <w:r>
          <w:rPr>
            <w:noProof/>
            <w:webHidden/>
          </w:rPr>
          <w:instrText xml:space="preserve"> PAGEREF _Toc300002566 \h </w:instrText>
        </w:r>
        <w:r>
          <w:rPr>
            <w:noProof/>
            <w:webHidden/>
          </w:rPr>
          <w:fldChar w:fldCharType="separate"/>
        </w:r>
        <w:r>
          <w:rPr>
            <w:noProof/>
            <w:webHidden/>
          </w:rPr>
          <w:t>2545</w:t>
        </w:r>
        <w:r>
          <w:rPr>
            <w:noProof/>
            <w:webHidden/>
          </w:rPr>
          <w:fldChar w:fldCharType="end"/>
        </w:r>
      </w:hyperlink>
    </w:p>
    <w:p>
      <w:pPr>
        <w:spacing w:after="0"/>
      </w:pPr>
      <w:r>
        <w:fldChar w:fldCharType="end"/>
      </w:r>
    </w:p>
    <w:p>
      <w:pPr>
        <w:pStyle w:val="Heading1"/>
      </w:pPr>
      <w:bookmarkStart w:id="900001" w:name="_Toc300000000"/>
      <w:r>
        <w:t>COUNTRY WINS AND NAVIGATION GUIDE</w:t>
      </w:r>
      <w:bookmarkEnd w:id="900001"/>
    </w:p>
    <w:p>
      <w:pPr>
        <w:pStyle w:val="Normal"/>
      </w:pPr>
      <w:r>
        <w:t>This guide surfaces existing negotiated benefits without creating or altering a concession. Use the exact Ctrl+F navigation phrase in the right column to reach the relevant treaty text; the live Table of Contents provides chapter-level navigation after fields are updated in Microsoft Word.</w:t>
      </w:r>
    </w:p>
    <w:p>
      <w:pPr>
        <w:pStyle w:val="Heading2"/>
      </w:pPr>
      <w:bookmarkStart w:id="900002" w:name="_Toc300000001"/>
      <w:r>
        <w:t>CANADA: NEGOTIATOR VISIBILITY INDEX</w:t>
      </w:r>
      <w:bookmarkEnd w:id="900002"/>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tblHeader w:val="true"/>
        </w:trPr>
        <w:tc>
          <w:tcPr>
            <w:tcW w:type="dxa" w:w="3528"/>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Visible national win</w:t>
            </w:r>
          </w:p>
        </w:tc>
        <w:tc>
          <w:tcPr>
            <w:tcW w:type="dxa" w:w="6120"/>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Ctrl+F navigation phrase</w:t>
            </w:r>
          </w:p>
        </w:tc>
      </w:tr>
      <w:tr>
        <w:tc>
          <w:tcPr>
            <w:tcW w:type="dxa" w:w="3528"/>
            <w:tcMar>
              <w:top w:w="70" w:type="dxa"/>
              <w:start w:w="110" w:type="dxa"/>
              <w:bottom w:w="70" w:type="dxa"/>
              <w:end w:w="110" w:type="dxa"/>
            </w:tcMar>
          </w:tcPr>
          <w:p>
            <w:pPr>
              <w:pStyle w:val="TableText"/>
            </w:pPr>
            <w:r>
              <w:rPr/>
              <w:t>Dairy and supply management</w:t>
            </w:r>
          </w:p>
        </w:tc>
        <w:tc>
          <w:tcPr>
            <w:tcW w:type="dxa" w:w="6120"/>
            <w:tcMar>
              <w:top w:w="70" w:type="dxa"/>
              <w:start w:w="110" w:type="dxa"/>
              <w:bottom w:w="70" w:type="dxa"/>
              <w:end w:w="110" w:type="dxa"/>
            </w:tcMar>
          </w:tcPr>
          <w:p>
            <w:pPr>
              <w:pStyle w:val="TableText"/>
            </w:pPr>
            <w:r>
              <w:rPr/>
              <w:t>North American Dairy Stability and Market Access Framework</w:t>
            </w:r>
          </w:p>
        </w:tc>
      </w:tr>
      <w:tr>
        <w:tc>
          <w:tcPr>
            <w:tcW w:type="dxa" w:w="3528"/>
            <w:shd w:fill="F5F7F8" w:val="clear" w:color="auto"/>
            <w:tcMar>
              <w:top w:w="70" w:type="dxa"/>
              <w:start w:w="110" w:type="dxa"/>
              <w:bottom w:w="70" w:type="dxa"/>
              <w:end w:w="110" w:type="dxa"/>
            </w:tcMar>
          </w:tcPr>
          <w:p>
            <w:pPr>
              <w:pStyle w:val="TableText"/>
            </w:pPr>
            <w:r>
              <w:rPr/>
              <w:t>Softwood lumber</w:t>
            </w:r>
          </w:p>
        </w:tc>
        <w:tc>
          <w:tcPr>
            <w:tcW w:type="dxa" w:w="6120"/>
            <w:shd w:fill="F5F7F8" w:val="clear" w:color="auto"/>
            <w:tcMar>
              <w:top w:w="70" w:type="dxa"/>
              <w:start w:w="110" w:type="dxa"/>
              <w:bottom w:w="70" w:type="dxa"/>
              <w:end w:w="110" w:type="dxa"/>
            </w:tcMar>
          </w:tcPr>
          <w:p>
            <w:pPr>
              <w:pStyle w:val="TableText"/>
            </w:pPr>
            <w:r>
              <w:rPr/>
              <w:t>softwood lumber</w:t>
            </w:r>
          </w:p>
        </w:tc>
      </w:tr>
      <w:tr>
        <w:tc>
          <w:tcPr>
            <w:tcW w:type="dxa" w:w="3528"/>
            <w:tcMar>
              <w:top w:w="70" w:type="dxa"/>
              <w:start w:w="110" w:type="dxa"/>
              <w:bottom w:w="70" w:type="dxa"/>
              <w:end w:w="110" w:type="dxa"/>
            </w:tcMar>
          </w:tcPr>
          <w:p>
            <w:pPr>
              <w:pStyle w:val="TableText"/>
            </w:pPr>
            <w:r>
              <w:rPr/>
              <w:t>Critical-minerals partnership</w:t>
            </w:r>
          </w:p>
        </w:tc>
        <w:tc>
          <w:tcPr>
            <w:tcW w:type="dxa" w:w="6120"/>
            <w:tcMar>
              <w:top w:w="70" w:type="dxa"/>
              <w:start w:w="110" w:type="dxa"/>
              <w:bottom w:w="70" w:type="dxa"/>
              <w:end w:w="110" w:type="dxa"/>
            </w:tcMar>
          </w:tcPr>
          <w:p>
            <w:pPr>
              <w:pStyle w:val="TableText"/>
            </w:pPr>
            <w:r>
              <w:rPr/>
              <w:t>Strategic Minerals Access Framework</w:t>
            </w:r>
          </w:p>
        </w:tc>
      </w:tr>
      <w:tr>
        <w:tc>
          <w:tcPr>
            <w:tcW w:type="dxa" w:w="3528"/>
            <w:shd w:fill="F5F7F8" w:val="clear" w:color="auto"/>
            <w:tcMar>
              <w:top w:w="70" w:type="dxa"/>
              <w:start w:w="110" w:type="dxa"/>
              <w:bottom w:w="70" w:type="dxa"/>
              <w:end w:w="110" w:type="dxa"/>
            </w:tcMar>
          </w:tcPr>
          <w:p>
            <w:pPr>
              <w:pStyle w:val="TableText"/>
            </w:pPr>
            <w:r>
              <w:rPr/>
              <w:t>Cultural-policy space</w:t>
            </w:r>
          </w:p>
        </w:tc>
        <w:tc>
          <w:tcPr>
            <w:tcW w:type="dxa" w:w="6120"/>
            <w:shd w:fill="F5F7F8" w:val="clear" w:color="auto"/>
            <w:tcMar>
              <w:top w:w="70" w:type="dxa"/>
              <w:start w:w="110" w:type="dxa"/>
              <w:bottom w:w="70" w:type="dxa"/>
              <w:end w:w="110" w:type="dxa"/>
            </w:tcMar>
          </w:tcPr>
          <w:p>
            <w:pPr>
              <w:pStyle w:val="TableText"/>
            </w:pPr>
            <w:r>
              <w:rPr/>
              <w:t>cultural industries</w:t>
            </w:r>
          </w:p>
        </w:tc>
      </w:tr>
      <w:tr>
        <w:tc>
          <w:tcPr>
            <w:tcW w:type="dxa" w:w="3528"/>
            <w:tcMar>
              <w:top w:w="70" w:type="dxa"/>
              <w:start w:w="110" w:type="dxa"/>
              <w:bottom w:w="70" w:type="dxa"/>
              <w:end w:w="110" w:type="dxa"/>
            </w:tcMar>
          </w:tcPr>
          <w:p>
            <w:pPr>
              <w:pStyle w:val="TableText"/>
            </w:pPr>
            <w:r>
              <w:rPr/>
              <w:t>Public health-policy space</w:t>
            </w:r>
          </w:p>
        </w:tc>
        <w:tc>
          <w:tcPr>
            <w:tcW w:type="dxa" w:w="6120"/>
            <w:tcMar>
              <w:top w:w="70" w:type="dxa"/>
              <w:start w:w="110" w:type="dxa"/>
              <w:bottom w:w="70" w:type="dxa"/>
              <w:end w:w="110" w:type="dxa"/>
            </w:tcMar>
          </w:tcPr>
          <w:p>
            <w:pPr>
              <w:pStyle w:val="TableText"/>
            </w:pPr>
            <w:r>
              <w:rPr/>
              <w:t>public health</w:t>
            </w:r>
          </w:p>
        </w:tc>
      </w:tr>
      <w:tr>
        <w:tc>
          <w:tcPr>
            <w:tcW w:type="dxa" w:w="3528"/>
            <w:shd w:fill="F5F7F8" w:val="clear" w:color="auto"/>
            <w:tcMar>
              <w:top w:w="70" w:type="dxa"/>
              <w:start w:w="110" w:type="dxa"/>
              <w:bottom w:w="70" w:type="dxa"/>
              <w:end w:w="110" w:type="dxa"/>
            </w:tcMar>
          </w:tcPr>
          <w:p>
            <w:pPr>
              <w:pStyle w:val="TableText"/>
            </w:pPr>
            <w:r>
              <w:rPr/>
              <w:t>Indigenous economic participation</w:t>
            </w:r>
          </w:p>
        </w:tc>
        <w:tc>
          <w:tcPr>
            <w:tcW w:type="dxa" w:w="6120"/>
            <w:shd w:fill="F5F7F8" w:val="clear" w:color="auto"/>
            <w:tcMar>
              <w:top w:w="70" w:type="dxa"/>
              <w:start w:w="110" w:type="dxa"/>
              <w:bottom w:w="70" w:type="dxa"/>
              <w:end w:w="110" w:type="dxa"/>
            </w:tcMar>
          </w:tcPr>
          <w:p>
            <w:pPr>
              <w:pStyle w:val="TableText"/>
            </w:pPr>
            <w:r>
              <w:rPr/>
              <w:t>Indigenous peoples</w:t>
            </w:r>
          </w:p>
        </w:tc>
      </w:tr>
      <w:tr>
        <w:tc>
          <w:tcPr>
            <w:tcW w:type="dxa" w:w="3528"/>
            <w:tcMar>
              <w:top w:w="70" w:type="dxa"/>
              <w:start w:w="110" w:type="dxa"/>
              <w:bottom w:w="70" w:type="dxa"/>
              <w:end w:w="110" w:type="dxa"/>
            </w:tcMar>
          </w:tcPr>
          <w:p>
            <w:pPr>
              <w:pStyle w:val="TableText"/>
            </w:pPr>
            <w:r>
              <w:rPr/>
              <w:t>Energy reliability</w:t>
            </w:r>
          </w:p>
        </w:tc>
        <w:tc>
          <w:tcPr>
            <w:tcW w:type="dxa" w:w="6120"/>
            <w:tcMar>
              <w:top w:w="70" w:type="dxa"/>
              <w:start w:w="110" w:type="dxa"/>
              <w:bottom w:w="70" w:type="dxa"/>
              <w:end w:w="110" w:type="dxa"/>
            </w:tcMar>
          </w:tcPr>
          <w:p>
            <w:pPr>
              <w:pStyle w:val="TableText"/>
            </w:pPr>
            <w:r>
              <w:rPr/>
              <w:t>energy security</w:t>
            </w:r>
          </w:p>
        </w:tc>
      </w:tr>
      <w:tr>
        <w:tc>
          <w:tcPr>
            <w:tcW w:type="dxa" w:w="3528"/>
            <w:shd w:fill="F5F7F8" w:val="clear" w:color="auto"/>
            <w:tcMar>
              <w:top w:w="70" w:type="dxa"/>
              <w:start w:w="110" w:type="dxa"/>
              <w:bottom w:w="70" w:type="dxa"/>
              <w:end w:w="110" w:type="dxa"/>
            </w:tcMar>
          </w:tcPr>
          <w:p>
            <w:pPr>
              <w:pStyle w:val="TableText"/>
            </w:pPr>
            <w:r>
              <w:rPr/>
              <w:t>Automotive production</w:t>
            </w:r>
          </w:p>
        </w:tc>
        <w:tc>
          <w:tcPr>
            <w:tcW w:type="dxa" w:w="6120"/>
            <w:shd w:fill="F5F7F8" w:val="clear" w:color="auto"/>
            <w:tcMar>
              <w:top w:w="70" w:type="dxa"/>
              <w:start w:w="110" w:type="dxa"/>
              <w:bottom w:w="70" w:type="dxa"/>
              <w:end w:w="110" w:type="dxa"/>
            </w:tcMar>
          </w:tcPr>
          <w:p>
            <w:pPr>
              <w:pStyle w:val="TableText"/>
            </w:pPr>
            <w:r>
              <w:rPr/>
              <w:t>Three-Tier RVC</w:t>
            </w:r>
          </w:p>
        </w:tc>
      </w:tr>
      <w:tr>
        <w:tc>
          <w:tcPr>
            <w:tcW w:type="dxa" w:w="3528"/>
            <w:tcMar>
              <w:top w:w="70" w:type="dxa"/>
              <w:start w:w="110" w:type="dxa"/>
              <w:bottom w:w="70" w:type="dxa"/>
              <w:end w:w="110" w:type="dxa"/>
            </w:tcMar>
          </w:tcPr>
          <w:p>
            <w:pPr>
              <w:pStyle w:val="TableText"/>
            </w:pPr>
            <w:r>
              <w:rPr/>
              <w:t>Forestry normalization</w:t>
            </w:r>
          </w:p>
        </w:tc>
        <w:tc>
          <w:tcPr>
            <w:tcW w:type="dxa" w:w="6120"/>
            <w:tcMar>
              <w:top w:w="70" w:type="dxa"/>
              <w:start w:w="110" w:type="dxa"/>
              <w:bottom w:w="70" w:type="dxa"/>
              <w:end w:w="110" w:type="dxa"/>
            </w:tcMar>
          </w:tcPr>
          <w:p>
            <w:pPr>
              <w:pStyle w:val="TableText"/>
            </w:pPr>
            <w:r>
              <w:rPr/>
              <w:t>forestry</w:t>
            </w:r>
          </w:p>
        </w:tc>
      </w:tr>
      <w:tr>
        <w:tc>
          <w:tcPr>
            <w:tcW w:type="dxa" w:w="3528"/>
            <w:shd w:fill="F5F7F8" w:val="clear" w:color="auto"/>
            <w:tcMar>
              <w:top w:w="70" w:type="dxa"/>
              <w:start w:w="110" w:type="dxa"/>
              <w:bottom w:w="70" w:type="dxa"/>
              <w:end w:w="110" w:type="dxa"/>
            </w:tcMar>
          </w:tcPr>
          <w:p>
            <w:pPr>
              <w:pStyle w:val="TableText"/>
            </w:pPr>
            <w:r>
              <w:rPr/>
              <w:t>Water sovereignty</w:t>
            </w:r>
          </w:p>
        </w:tc>
        <w:tc>
          <w:tcPr>
            <w:tcW w:type="dxa" w:w="6120"/>
            <w:shd w:fill="F5F7F8" w:val="clear" w:color="auto"/>
            <w:tcMar>
              <w:top w:w="70" w:type="dxa"/>
              <w:start w:w="110" w:type="dxa"/>
              <w:bottom w:w="70" w:type="dxa"/>
              <w:end w:w="110" w:type="dxa"/>
            </w:tcMar>
          </w:tcPr>
          <w:p>
            <w:pPr>
              <w:pStyle w:val="TableText"/>
            </w:pPr>
            <w:r>
              <w:rPr/>
              <w:t>water sovereignty</w:t>
            </w:r>
          </w:p>
        </w:tc>
      </w:tr>
      <w:tr>
        <w:tc>
          <w:tcPr>
            <w:tcW w:type="dxa" w:w="3528"/>
            <w:tcMar>
              <w:top w:w="70" w:type="dxa"/>
              <w:start w:w="110" w:type="dxa"/>
              <w:bottom w:w="70" w:type="dxa"/>
              <w:end w:w="110" w:type="dxa"/>
            </w:tcMar>
          </w:tcPr>
          <w:p>
            <w:pPr>
              <w:pStyle w:val="TableText"/>
            </w:pPr>
            <w:r>
              <w:rPr/>
              <w:t>French-language safeguards</w:t>
            </w:r>
          </w:p>
        </w:tc>
        <w:tc>
          <w:tcPr>
            <w:tcW w:type="dxa" w:w="6120"/>
            <w:tcMar>
              <w:top w:w="70" w:type="dxa"/>
              <w:start w:w="110" w:type="dxa"/>
              <w:bottom w:w="70" w:type="dxa"/>
              <w:end w:w="110" w:type="dxa"/>
            </w:tcMar>
          </w:tcPr>
          <w:p>
            <w:pPr>
              <w:pStyle w:val="TableText"/>
            </w:pPr>
            <w:r>
              <w:rPr/>
              <w:t>French language</w:t>
            </w:r>
          </w:p>
        </w:tc>
      </w:tr>
      <w:tr>
        <w:tc>
          <w:tcPr>
            <w:tcW w:type="dxa" w:w="3528"/>
            <w:shd w:fill="F5F7F8" w:val="clear" w:color="auto"/>
            <w:tcMar>
              <w:top w:w="70" w:type="dxa"/>
              <w:start w:w="110" w:type="dxa"/>
              <w:bottom w:w="70" w:type="dxa"/>
              <w:end w:w="110" w:type="dxa"/>
            </w:tcMar>
          </w:tcPr>
          <w:p>
            <w:pPr>
              <w:pStyle w:val="TableText"/>
            </w:pPr>
            <w:r>
              <w:rPr/>
              <w:t>Procurement access</w:t>
            </w:r>
          </w:p>
        </w:tc>
        <w:tc>
          <w:tcPr>
            <w:tcW w:type="dxa" w:w="6120"/>
            <w:shd w:fill="F5F7F8" w:val="clear" w:color="auto"/>
            <w:tcMar>
              <w:top w:w="70" w:type="dxa"/>
              <w:start w:w="110" w:type="dxa"/>
              <w:bottom w:w="70" w:type="dxa"/>
              <w:end w:w="110" w:type="dxa"/>
            </w:tcMar>
          </w:tcPr>
          <w:p>
            <w:pPr>
              <w:pStyle w:val="TableText"/>
            </w:pPr>
            <w:r>
              <w:rPr/>
              <w:t>procurement value equivalence</w:t>
            </w:r>
          </w:p>
        </w:tc>
      </w:tr>
      <w:tr>
        <w:tc>
          <w:tcPr>
            <w:tcW w:type="dxa" w:w="3528"/>
            <w:tcMar>
              <w:top w:w="70" w:type="dxa"/>
              <w:start w:w="110" w:type="dxa"/>
              <w:bottom w:w="70" w:type="dxa"/>
              <w:end w:w="110" w:type="dxa"/>
            </w:tcMar>
          </w:tcPr>
          <w:p>
            <w:pPr>
              <w:pStyle w:val="TableText"/>
            </w:pPr>
            <w:r>
              <w:rPr/>
              <w:t>Aerospace and advanced manufacturing</w:t>
            </w:r>
          </w:p>
        </w:tc>
        <w:tc>
          <w:tcPr>
            <w:tcW w:type="dxa" w:w="6120"/>
            <w:tcMar>
              <w:top w:w="70" w:type="dxa"/>
              <w:start w:w="110" w:type="dxa"/>
              <w:bottom w:w="70" w:type="dxa"/>
              <w:end w:w="110" w:type="dxa"/>
            </w:tcMar>
          </w:tcPr>
          <w:p>
            <w:pPr>
              <w:pStyle w:val="TableText"/>
            </w:pPr>
            <w:r>
              <w:rPr/>
              <w:t>aerospace</w:t>
            </w:r>
          </w:p>
        </w:tc>
      </w:tr>
      <w:tr>
        <w:tc>
          <w:tcPr>
            <w:tcW w:type="dxa" w:w="3528"/>
            <w:shd w:fill="F5F7F8" w:val="clear" w:color="auto"/>
            <w:tcMar>
              <w:top w:w="70" w:type="dxa"/>
              <w:start w:w="110" w:type="dxa"/>
              <w:bottom w:w="70" w:type="dxa"/>
              <w:end w:w="110" w:type="dxa"/>
            </w:tcMar>
          </w:tcPr>
          <w:p>
            <w:pPr>
              <w:pStyle w:val="TableText"/>
            </w:pPr>
            <w:r>
              <w:rPr/>
              <w:t>Fisheries and coastal communities</w:t>
            </w:r>
          </w:p>
        </w:tc>
        <w:tc>
          <w:tcPr>
            <w:tcW w:type="dxa" w:w="6120"/>
            <w:shd w:fill="F5F7F8" w:val="clear" w:color="auto"/>
            <w:tcMar>
              <w:top w:w="70" w:type="dxa"/>
              <w:start w:w="110" w:type="dxa"/>
              <w:bottom w:w="70" w:type="dxa"/>
              <w:end w:w="110" w:type="dxa"/>
            </w:tcMar>
          </w:tcPr>
          <w:p>
            <w:pPr>
              <w:pStyle w:val="TableText"/>
            </w:pPr>
            <w:r>
              <w:rPr/>
              <w:t>fisheries</w:t>
            </w:r>
          </w:p>
        </w:tc>
      </w:tr>
      <w:tr>
        <w:tc>
          <w:tcPr>
            <w:tcW w:type="dxa" w:w="3528"/>
            <w:tcMar>
              <w:top w:w="70" w:type="dxa"/>
              <w:start w:w="110" w:type="dxa"/>
              <w:bottom w:w="70" w:type="dxa"/>
              <w:end w:w="110" w:type="dxa"/>
            </w:tcMar>
          </w:tcPr>
          <w:p>
            <w:pPr>
              <w:pStyle w:val="TableText"/>
            </w:pPr>
            <w:r>
              <w:rPr/>
              <w:t>No uncompensated front-loading</w:t>
            </w:r>
          </w:p>
        </w:tc>
        <w:tc>
          <w:tcPr>
            <w:tcW w:type="dxa" w:w="6120"/>
            <w:tcMar>
              <w:top w:w="70" w:type="dxa"/>
              <w:start w:w="110" w:type="dxa"/>
              <w:bottom w:w="70" w:type="dxa"/>
              <w:end w:w="110" w:type="dxa"/>
            </w:tcMar>
          </w:tcPr>
          <w:p>
            <w:pPr>
              <w:pStyle w:val="TableText"/>
            </w:pPr>
            <w:r>
              <w:rPr/>
              <w:t>No Uncompensated Front-Loading</w:t>
            </w:r>
          </w:p>
        </w:tc>
      </w:tr>
    </w:tbl>
    <w:p>
      <w:pPr>
        <w:pStyle w:val="Heading2"/>
      </w:pPr>
      <w:bookmarkStart w:id="900003" w:name="_Toc300000002"/>
      <w:r>
        <w:t>UNITED STATES: NEGOTIATOR VISIBILITY INDEX</w:t>
      </w:r>
      <w:bookmarkEnd w:id="900003"/>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tblHeader w:val="true"/>
        </w:trPr>
        <w:tc>
          <w:tcPr>
            <w:tcW w:type="dxa" w:w="3528"/>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Visible national win</w:t>
            </w:r>
          </w:p>
        </w:tc>
        <w:tc>
          <w:tcPr>
            <w:tcW w:type="dxa" w:w="6120"/>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Ctrl+F navigation phrase</w:t>
            </w:r>
          </w:p>
        </w:tc>
      </w:tr>
      <w:tr>
        <w:tc>
          <w:tcPr>
            <w:tcW w:type="dxa" w:w="3528"/>
            <w:tcMar>
              <w:top w:w="70" w:type="dxa"/>
              <w:start w:w="110" w:type="dxa"/>
              <w:bottom w:w="70" w:type="dxa"/>
              <w:end w:w="110" w:type="dxa"/>
            </w:tcMar>
          </w:tcPr>
          <w:p>
            <w:pPr>
              <w:pStyle w:val="TableText"/>
            </w:pPr>
            <w:r>
              <w:rPr/>
              <w:t>Durable tariff preferences</w:t>
            </w:r>
          </w:p>
        </w:tc>
        <w:tc>
          <w:tcPr>
            <w:tcW w:type="dxa" w:w="6120"/>
            <w:tcMar>
              <w:top w:w="70" w:type="dxa"/>
              <w:start w:w="110" w:type="dxa"/>
              <w:bottom w:w="70" w:type="dxa"/>
              <w:end w:w="110" w:type="dxa"/>
            </w:tcMar>
          </w:tcPr>
          <w:p>
            <w:pPr>
              <w:pStyle w:val="TableText"/>
            </w:pPr>
            <w:r>
              <w:rPr/>
              <w:t>Tariff Finality</w:t>
            </w:r>
          </w:p>
        </w:tc>
      </w:tr>
      <w:tr>
        <w:tc>
          <w:tcPr>
            <w:tcW w:type="dxa" w:w="3528"/>
            <w:shd w:fill="F5F7F8" w:val="clear" w:color="auto"/>
            <w:tcMar>
              <w:top w:w="70" w:type="dxa"/>
              <w:start w:w="110" w:type="dxa"/>
              <w:bottom w:w="70" w:type="dxa"/>
              <w:end w:w="110" w:type="dxa"/>
            </w:tcMar>
          </w:tcPr>
          <w:p>
            <w:pPr>
              <w:pStyle w:val="TableText"/>
            </w:pPr>
            <w:r>
              <w:rPr/>
              <w:t>Automotive market access</w:t>
            </w:r>
          </w:p>
        </w:tc>
        <w:tc>
          <w:tcPr>
            <w:tcW w:type="dxa" w:w="6120"/>
            <w:shd w:fill="F5F7F8" w:val="clear" w:color="auto"/>
            <w:tcMar>
              <w:top w:w="70" w:type="dxa"/>
              <w:start w:w="110" w:type="dxa"/>
              <w:bottom w:w="70" w:type="dxa"/>
              <w:end w:w="110" w:type="dxa"/>
            </w:tcMar>
          </w:tcPr>
          <w:p>
            <w:pPr>
              <w:pStyle w:val="TableText"/>
            </w:pPr>
            <w:r>
              <w:rPr/>
              <w:t>13.8 percent</w:t>
            </w:r>
          </w:p>
        </w:tc>
      </w:tr>
      <w:tr>
        <w:tc>
          <w:tcPr>
            <w:tcW w:type="dxa" w:w="3528"/>
            <w:tcMar>
              <w:top w:w="70" w:type="dxa"/>
              <w:start w:w="110" w:type="dxa"/>
              <w:bottom w:w="70" w:type="dxa"/>
              <w:end w:w="110" w:type="dxa"/>
            </w:tcMar>
          </w:tcPr>
          <w:p>
            <w:pPr>
              <w:pStyle w:val="TableText"/>
            </w:pPr>
            <w:r>
              <w:rPr/>
              <w:t>Dairy market access</w:t>
            </w:r>
          </w:p>
        </w:tc>
        <w:tc>
          <w:tcPr>
            <w:tcW w:type="dxa" w:w="6120"/>
            <w:tcMar>
              <w:top w:w="70" w:type="dxa"/>
              <w:start w:w="110" w:type="dxa"/>
              <w:bottom w:w="70" w:type="dxa"/>
              <w:end w:w="110" w:type="dxa"/>
            </w:tcMar>
          </w:tcPr>
          <w:p>
            <w:pPr>
              <w:pStyle w:val="TableText"/>
            </w:pPr>
            <w:r>
              <w:rPr/>
              <w:t>Cheeses of All Types</w:t>
            </w:r>
          </w:p>
        </w:tc>
      </w:tr>
      <w:tr>
        <w:tc>
          <w:tcPr>
            <w:tcW w:type="dxa" w:w="3528"/>
            <w:shd w:fill="F5F7F8" w:val="clear" w:color="auto"/>
            <w:tcMar>
              <w:top w:w="70" w:type="dxa"/>
              <w:start w:w="110" w:type="dxa"/>
              <w:bottom w:w="70" w:type="dxa"/>
              <w:end w:w="110" w:type="dxa"/>
            </w:tcMar>
          </w:tcPr>
          <w:p>
            <w:pPr>
              <w:pStyle w:val="TableText"/>
            </w:pPr>
            <w:r>
              <w:rPr/>
              <w:t>Semiconductor resilience</w:t>
            </w:r>
          </w:p>
        </w:tc>
        <w:tc>
          <w:tcPr>
            <w:tcW w:type="dxa" w:w="6120"/>
            <w:shd w:fill="F5F7F8" w:val="clear" w:color="auto"/>
            <w:tcMar>
              <w:top w:w="70" w:type="dxa"/>
              <w:start w:w="110" w:type="dxa"/>
              <w:bottom w:w="70" w:type="dxa"/>
              <w:end w:w="110" w:type="dxa"/>
            </w:tcMar>
          </w:tcPr>
          <w:p>
            <w:pPr>
              <w:pStyle w:val="TableText"/>
            </w:pPr>
            <w:r>
              <w:rPr/>
              <w:t>semiconductors</w:t>
            </w:r>
          </w:p>
        </w:tc>
      </w:tr>
      <w:tr>
        <w:tc>
          <w:tcPr>
            <w:tcW w:type="dxa" w:w="3528"/>
            <w:tcMar>
              <w:top w:w="70" w:type="dxa"/>
              <w:start w:w="110" w:type="dxa"/>
              <w:bottom w:w="70" w:type="dxa"/>
              <w:end w:w="110" w:type="dxa"/>
            </w:tcMar>
          </w:tcPr>
          <w:p>
            <w:pPr>
              <w:pStyle w:val="TableText"/>
            </w:pPr>
            <w:r>
              <w:rPr/>
              <w:t>Medicines supply resilience</w:t>
            </w:r>
          </w:p>
        </w:tc>
        <w:tc>
          <w:tcPr>
            <w:tcW w:type="dxa" w:w="6120"/>
            <w:tcMar>
              <w:top w:w="70" w:type="dxa"/>
              <w:start w:w="110" w:type="dxa"/>
              <w:bottom w:w="70" w:type="dxa"/>
              <w:end w:w="110" w:type="dxa"/>
            </w:tcMar>
          </w:tcPr>
          <w:p>
            <w:pPr>
              <w:pStyle w:val="TableText"/>
            </w:pPr>
            <w:r>
              <w:rPr/>
              <w:t>medicines</w:t>
            </w:r>
          </w:p>
        </w:tc>
      </w:tr>
      <w:tr>
        <w:tc>
          <w:tcPr>
            <w:tcW w:type="dxa" w:w="3528"/>
            <w:shd w:fill="F5F7F8" w:val="clear" w:color="auto"/>
            <w:tcMar>
              <w:top w:w="70" w:type="dxa"/>
              <w:start w:w="110" w:type="dxa"/>
              <w:bottom w:w="70" w:type="dxa"/>
              <w:end w:w="110" w:type="dxa"/>
            </w:tcMar>
          </w:tcPr>
          <w:p>
            <w:pPr>
              <w:pStyle w:val="TableText"/>
            </w:pPr>
            <w:r>
              <w:rPr/>
              <w:t>Critical-minerals access</w:t>
            </w:r>
          </w:p>
        </w:tc>
        <w:tc>
          <w:tcPr>
            <w:tcW w:type="dxa" w:w="6120"/>
            <w:shd w:fill="F5F7F8" w:val="clear" w:color="auto"/>
            <w:tcMar>
              <w:top w:w="70" w:type="dxa"/>
              <w:start w:w="110" w:type="dxa"/>
              <w:bottom w:w="70" w:type="dxa"/>
              <w:end w:w="110" w:type="dxa"/>
            </w:tcMar>
          </w:tcPr>
          <w:p>
            <w:pPr>
              <w:pStyle w:val="TableText"/>
            </w:pPr>
            <w:r>
              <w:rPr/>
              <w:t>critical minerals</w:t>
            </w:r>
          </w:p>
        </w:tc>
      </w:tr>
      <w:tr>
        <w:tc>
          <w:tcPr>
            <w:tcW w:type="dxa" w:w="3528"/>
            <w:tcMar>
              <w:top w:w="70" w:type="dxa"/>
              <w:start w:w="110" w:type="dxa"/>
              <w:bottom w:w="70" w:type="dxa"/>
              <w:end w:w="110" w:type="dxa"/>
            </w:tcMar>
          </w:tcPr>
          <w:p>
            <w:pPr>
              <w:pStyle w:val="TableText"/>
            </w:pPr>
            <w:r>
              <w:rPr/>
              <w:t>Forced-labour enforcement</w:t>
            </w:r>
          </w:p>
        </w:tc>
        <w:tc>
          <w:tcPr>
            <w:tcW w:type="dxa" w:w="6120"/>
            <w:tcMar>
              <w:top w:w="70" w:type="dxa"/>
              <w:start w:w="110" w:type="dxa"/>
              <w:bottom w:w="70" w:type="dxa"/>
              <w:end w:w="110" w:type="dxa"/>
            </w:tcMar>
          </w:tcPr>
          <w:p>
            <w:pPr>
              <w:pStyle w:val="TableText"/>
            </w:pPr>
            <w:r>
              <w:rPr/>
              <w:t>forced or compulsory labour</w:t>
            </w:r>
          </w:p>
        </w:tc>
      </w:tr>
      <w:tr>
        <w:tc>
          <w:tcPr>
            <w:tcW w:type="dxa" w:w="3528"/>
            <w:shd w:fill="F5F7F8" w:val="clear" w:color="auto"/>
            <w:tcMar>
              <w:top w:w="70" w:type="dxa"/>
              <w:start w:w="110" w:type="dxa"/>
              <w:bottom w:w="70" w:type="dxa"/>
              <w:end w:w="110" w:type="dxa"/>
            </w:tcMar>
          </w:tcPr>
          <w:p>
            <w:pPr>
              <w:pStyle w:val="TableText"/>
            </w:pPr>
            <w:r>
              <w:rPr/>
              <w:t>Digital trade</w:t>
            </w:r>
          </w:p>
        </w:tc>
        <w:tc>
          <w:tcPr>
            <w:tcW w:type="dxa" w:w="6120"/>
            <w:shd w:fill="F5F7F8" w:val="clear" w:color="auto"/>
            <w:tcMar>
              <w:top w:w="70" w:type="dxa"/>
              <w:start w:w="110" w:type="dxa"/>
              <w:bottom w:w="70" w:type="dxa"/>
              <w:end w:w="110" w:type="dxa"/>
            </w:tcMar>
          </w:tcPr>
          <w:p>
            <w:pPr>
              <w:pStyle w:val="TableText"/>
            </w:pPr>
            <w:r>
              <w:rPr/>
              <w:t>digital trade</w:t>
            </w:r>
          </w:p>
        </w:tc>
      </w:tr>
      <w:tr>
        <w:tc>
          <w:tcPr>
            <w:tcW w:type="dxa" w:w="3528"/>
            <w:tcMar>
              <w:top w:w="70" w:type="dxa"/>
              <w:start w:w="110" w:type="dxa"/>
              <w:bottom w:w="70" w:type="dxa"/>
              <w:end w:w="110" w:type="dxa"/>
            </w:tcMar>
          </w:tcPr>
          <w:p>
            <w:pPr>
              <w:pStyle w:val="TableText"/>
            </w:pPr>
            <w:r>
              <w:rPr/>
              <w:t>Intellectual property</w:t>
            </w:r>
          </w:p>
        </w:tc>
        <w:tc>
          <w:tcPr>
            <w:tcW w:type="dxa" w:w="6120"/>
            <w:tcMar>
              <w:top w:w="70" w:type="dxa"/>
              <w:start w:w="110" w:type="dxa"/>
              <w:bottom w:w="70" w:type="dxa"/>
              <w:end w:w="110" w:type="dxa"/>
            </w:tcMar>
          </w:tcPr>
          <w:p>
            <w:pPr>
              <w:pStyle w:val="TableText"/>
            </w:pPr>
            <w:r>
              <w:rPr/>
              <w:t>intellectual property</w:t>
            </w:r>
          </w:p>
        </w:tc>
      </w:tr>
      <w:tr>
        <w:tc>
          <w:tcPr>
            <w:tcW w:type="dxa" w:w="3528"/>
            <w:shd w:fill="F5F7F8" w:val="clear" w:color="auto"/>
            <w:tcMar>
              <w:top w:w="70" w:type="dxa"/>
              <w:start w:w="110" w:type="dxa"/>
              <w:bottom w:w="70" w:type="dxa"/>
              <w:end w:w="110" w:type="dxa"/>
            </w:tcMar>
          </w:tcPr>
          <w:p>
            <w:pPr>
              <w:pStyle w:val="TableText"/>
            </w:pPr>
            <w:r>
              <w:rPr/>
              <w:t>Energy trade</w:t>
            </w:r>
          </w:p>
        </w:tc>
        <w:tc>
          <w:tcPr>
            <w:tcW w:type="dxa" w:w="6120"/>
            <w:shd w:fill="F5F7F8" w:val="clear" w:color="auto"/>
            <w:tcMar>
              <w:top w:w="70" w:type="dxa"/>
              <w:start w:w="110" w:type="dxa"/>
              <w:bottom w:w="70" w:type="dxa"/>
              <w:end w:w="110" w:type="dxa"/>
            </w:tcMar>
          </w:tcPr>
          <w:p>
            <w:pPr>
              <w:pStyle w:val="TableText"/>
            </w:pPr>
            <w:r>
              <w:rPr/>
              <w:t>energy security</w:t>
            </w:r>
          </w:p>
        </w:tc>
      </w:tr>
      <w:tr>
        <w:tc>
          <w:tcPr>
            <w:tcW w:type="dxa" w:w="3528"/>
            <w:tcMar>
              <w:top w:w="70" w:type="dxa"/>
              <w:start w:w="110" w:type="dxa"/>
              <w:bottom w:w="70" w:type="dxa"/>
              <w:end w:w="110" w:type="dxa"/>
            </w:tcMar>
          </w:tcPr>
          <w:p>
            <w:pPr>
              <w:pStyle w:val="TableText"/>
            </w:pPr>
            <w:r>
              <w:rPr/>
              <w:t>Agricultural access</w:t>
            </w:r>
          </w:p>
        </w:tc>
        <w:tc>
          <w:tcPr>
            <w:tcW w:type="dxa" w:w="6120"/>
            <w:tcMar>
              <w:top w:w="70" w:type="dxa"/>
              <w:start w:w="110" w:type="dxa"/>
              <w:bottom w:w="70" w:type="dxa"/>
              <w:end w:w="110" w:type="dxa"/>
            </w:tcMar>
          </w:tcPr>
          <w:p>
            <w:pPr>
              <w:pStyle w:val="TableText"/>
            </w:pPr>
            <w:r>
              <w:rPr/>
              <w:t>agricultural goods</w:t>
            </w:r>
          </w:p>
        </w:tc>
      </w:tr>
      <w:tr>
        <w:tc>
          <w:tcPr>
            <w:tcW w:type="dxa" w:w="3528"/>
            <w:shd w:fill="F5F7F8" w:val="clear" w:color="auto"/>
            <w:tcMar>
              <w:top w:w="70" w:type="dxa"/>
              <w:start w:w="110" w:type="dxa"/>
              <w:bottom w:w="70" w:type="dxa"/>
              <w:end w:w="110" w:type="dxa"/>
            </w:tcMar>
          </w:tcPr>
          <w:p>
            <w:pPr>
              <w:pStyle w:val="TableText"/>
            </w:pPr>
            <w:r>
              <w:rPr/>
              <w:t>Customs modernization</w:t>
            </w:r>
          </w:p>
        </w:tc>
        <w:tc>
          <w:tcPr>
            <w:tcW w:type="dxa" w:w="6120"/>
            <w:shd w:fill="F5F7F8" w:val="clear" w:color="auto"/>
            <w:tcMar>
              <w:top w:w="70" w:type="dxa"/>
              <w:start w:w="110" w:type="dxa"/>
              <w:bottom w:w="70" w:type="dxa"/>
              <w:end w:w="110" w:type="dxa"/>
            </w:tcMar>
          </w:tcPr>
          <w:p>
            <w:pPr>
              <w:pStyle w:val="TableText"/>
            </w:pPr>
            <w:r>
              <w:rPr/>
              <w:t>low-value shipment</w:t>
            </w:r>
          </w:p>
        </w:tc>
      </w:tr>
      <w:tr>
        <w:tc>
          <w:tcPr>
            <w:tcW w:type="dxa" w:w="3528"/>
            <w:tcMar>
              <w:top w:w="70" w:type="dxa"/>
              <w:start w:w="110" w:type="dxa"/>
              <w:bottom w:w="70" w:type="dxa"/>
              <w:end w:w="110" w:type="dxa"/>
            </w:tcMar>
          </w:tcPr>
          <w:p>
            <w:pPr>
              <w:pStyle w:val="TableText"/>
            </w:pPr>
            <w:r>
              <w:rPr/>
              <w:t>Regulatory cooperation</w:t>
            </w:r>
          </w:p>
        </w:tc>
        <w:tc>
          <w:tcPr>
            <w:tcW w:type="dxa" w:w="6120"/>
            <w:tcMar>
              <w:top w:w="70" w:type="dxa"/>
              <w:start w:w="110" w:type="dxa"/>
              <w:bottom w:w="70" w:type="dxa"/>
              <w:end w:w="110" w:type="dxa"/>
            </w:tcMar>
          </w:tcPr>
          <w:p>
            <w:pPr>
              <w:pStyle w:val="TableText"/>
            </w:pPr>
            <w:r>
              <w:rPr/>
              <w:t>Good Regulatory Practices</w:t>
            </w:r>
          </w:p>
        </w:tc>
      </w:tr>
      <w:tr>
        <w:tc>
          <w:tcPr>
            <w:tcW w:type="dxa" w:w="3528"/>
            <w:shd w:fill="F5F7F8" w:val="clear" w:color="auto"/>
            <w:tcMar>
              <w:top w:w="70" w:type="dxa"/>
              <w:start w:w="110" w:type="dxa"/>
              <w:bottom w:w="70" w:type="dxa"/>
              <w:end w:w="110" w:type="dxa"/>
            </w:tcMar>
          </w:tcPr>
          <w:p>
            <w:pPr>
              <w:pStyle w:val="TableText"/>
            </w:pPr>
            <w:r>
              <w:rPr/>
              <w:t>Rapid-response labour enforcement</w:t>
            </w:r>
          </w:p>
        </w:tc>
        <w:tc>
          <w:tcPr>
            <w:tcW w:type="dxa" w:w="6120"/>
            <w:shd w:fill="F5F7F8" w:val="clear" w:color="auto"/>
            <w:tcMar>
              <w:top w:w="70" w:type="dxa"/>
              <w:start w:w="110" w:type="dxa"/>
              <w:bottom w:w="70" w:type="dxa"/>
              <w:end w:w="110" w:type="dxa"/>
            </w:tcMar>
          </w:tcPr>
          <w:p>
            <w:pPr>
              <w:pStyle w:val="TableText"/>
            </w:pPr>
            <w:r>
              <w:rPr/>
              <w:t>Rapid Response Labor</w:t>
            </w:r>
          </w:p>
        </w:tc>
      </w:tr>
      <w:tr>
        <w:tc>
          <w:tcPr>
            <w:tcW w:type="dxa" w:w="3528"/>
            <w:tcMar>
              <w:top w:w="70" w:type="dxa"/>
              <w:start w:w="110" w:type="dxa"/>
              <w:bottom w:w="70" w:type="dxa"/>
              <w:end w:w="110" w:type="dxa"/>
            </w:tcMar>
          </w:tcPr>
          <w:p>
            <w:pPr>
              <w:pStyle w:val="TableText"/>
            </w:pPr>
            <w:r>
              <w:rPr/>
              <w:t>Proportional verification</w:t>
            </w:r>
          </w:p>
        </w:tc>
        <w:tc>
          <w:tcPr>
            <w:tcW w:type="dxa" w:w="6120"/>
            <w:tcMar>
              <w:top w:w="70" w:type="dxa"/>
              <w:start w:w="110" w:type="dxa"/>
              <w:bottom w:w="70" w:type="dxa"/>
              <w:end w:w="110" w:type="dxa"/>
            </w:tcMar>
          </w:tcPr>
          <w:p>
            <w:pPr>
              <w:pStyle w:val="TableText"/>
            </w:pPr>
            <w:r>
              <w:rPr/>
              <w:t>Cothrom</w:t>
            </w:r>
          </w:p>
        </w:tc>
      </w:tr>
    </w:tbl>
    <w:p>
      <w:pPr>
        <w:pStyle w:val="Heading2"/>
      </w:pPr>
      <w:bookmarkStart w:id="900004" w:name="_Toc300000003"/>
      <w:r>
        <w:t>MEXICO: NEGOTIATOR VISIBILITY INDEX</w:t>
      </w:r>
      <w:bookmarkEnd w:id="900004"/>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tblHeader w:val="true"/>
        </w:trPr>
        <w:tc>
          <w:tcPr>
            <w:tcW w:type="dxa" w:w="3528"/>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Visible national win</w:t>
            </w:r>
          </w:p>
        </w:tc>
        <w:tc>
          <w:tcPr>
            <w:tcW w:type="dxa" w:w="6120"/>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Ctrl+F navigation phrase</w:t>
            </w:r>
          </w:p>
        </w:tc>
      </w:tr>
      <w:tr>
        <w:tc>
          <w:tcPr>
            <w:tcW w:type="dxa" w:w="3528"/>
            <w:tcMar>
              <w:top w:w="70" w:type="dxa"/>
              <w:start w:w="110" w:type="dxa"/>
              <w:bottom w:w="70" w:type="dxa"/>
              <w:end w:w="110" w:type="dxa"/>
            </w:tcMar>
          </w:tcPr>
          <w:p>
            <w:pPr>
              <w:pStyle w:val="TableText"/>
            </w:pPr>
            <w:r>
              <w:rPr/>
              <w:t>Automotive manufacturing</w:t>
            </w:r>
          </w:p>
        </w:tc>
        <w:tc>
          <w:tcPr>
            <w:tcW w:type="dxa" w:w="6120"/>
            <w:tcMar>
              <w:top w:w="70" w:type="dxa"/>
              <w:start w:w="110" w:type="dxa"/>
              <w:bottom w:w="70" w:type="dxa"/>
              <w:end w:w="110" w:type="dxa"/>
            </w:tcMar>
          </w:tcPr>
          <w:p>
            <w:pPr>
              <w:pStyle w:val="TableText"/>
            </w:pPr>
            <w:r>
              <w:rPr/>
              <w:t>Mexico’s existing manufacturing capacity</w:t>
            </w:r>
          </w:p>
        </w:tc>
      </w:tr>
      <w:tr>
        <w:tc>
          <w:tcPr>
            <w:tcW w:type="dxa" w:w="3528"/>
            <w:shd w:fill="F5F7F8" w:val="clear" w:color="auto"/>
            <w:tcMar>
              <w:top w:w="70" w:type="dxa"/>
              <w:start w:w="110" w:type="dxa"/>
              <w:bottom w:w="70" w:type="dxa"/>
              <w:end w:w="110" w:type="dxa"/>
            </w:tcMar>
          </w:tcPr>
          <w:p>
            <w:pPr>
              <w:pStyle w:val="TableText"/>
            </w:pPr>
            <w:r>
              <w:rPr/>
              <w:t>Labour-rights enforcement</w:t>
            </w:r>
          </w:p>
        </w:tc>
        <w:tc>
          <w:tcPr>
            <w:tcW w:type="dxa" w:w="6120"/>
            <w:shd w:fill="F5F7F8" w:val="clear" w:color="auto"/>
            <w:tcMar>
              <w:top w:w="70" w:type="dxa"/>
              <w:start w:w="110" w:type="dxa"/>
              <w:bottom w:w="70" w:type="dxa"/>
              <w:end w:w="110" w:type="dxa"/>
            </w:tcMar>
          </w:tcPr>
          <w:p>
            <w:pPr>
              <w:pStyle w:val="TableText"/>
            </w:pPr>
            <w:r>
              <w:rPr/>
              <w:t>Rapid Response Labor</w:t>
            </w:r>
          </w:p>
        </w:tc>
      </w:tr>
      <w:tr>
        <w:tc>
          <w:tcPr>
            <w:tcW w:type="dxa" w:w="3528"/>
            <w:tcMar>
              <w:top w:w="70" w:type="dxa"/>
              <w:start w:w="110" w:type="dxa"/>
              <w:bottom w:w="70" w:type="dxa"/>
              <w:end w:w="110" w:type="dxa"/>
            </w:tcMar>
          </w:tcPr>
          <w:p>
            <w:pPr>
              <w:pStyle w:val="TableText"/>
            </w:pPr>
            <w:r>
              <w:rPr/>
              <w:t>Development-finance policy space</w:t>
            </w:r>
          </w:p>
        </w:tc>
        <w:tc>
          <w:tcPr>
            <w:tcW w:type="dxa" w:w="6120"/>
            <w:tcMar>
              <w:top w:w="70" w:type="dxa"/>
              <w:start w:w="110" w:type="dxa"/>
              <w:bottom w:w="70" w:type="dxa"/>
              <w:end w:w="110" w:type="dxa"/>
            </w:tcMar>
          </w:tcPr>
          <w:p>
            <w:pPr>
              <w:pStyle w:val="TableText"/>
            </w:pPr>
            <w:r>
              <w:rPr/>
              <w:t>development bank</w:t>
            </w:r>
          </w:p>
        </w:tc>
      </w:tr>
      <w:tr>
        <w:tc>
          <w:tcPr>
            <w:tcW w:type="dxa" w:w="3528"/>
            <w:shd w:fill="F5F7F8" w:val="clear" w:color="auto"/>
            <w:tcMar>
              <w:top w:w="70" w:type="dxa"/>
              <w:start w:w="110" w:type="dxa"/>
              <w:bottom w:w="70" w:type="dxa"/>
              <w:end w:w="110" w:type="dxa"/>
            </w:tcMar>
          </w:tcPr>
          <w:p>
            <w:pPr>
              <w:pStyle w:val="TableText"/>
            </w:pPr>
            <w:r>
              <w:rPr/>
              <w:t>Textile and apparel integration</w:t>
            </w:r>
          </w:p>
        </w:tc>
        <w:tc>
          <w:tcPr>
            <w:tcW w:type="dxa" w:w="6120"/>
            <w:shd w:fill="F5F7F8" w:val="clear" w:color="auto"/>
            <w:tcMar>
              <w:top w:w="70" w:type="dxa"/>
              <w:start w:w="110" w:type="dxa"/>
              <w:bottom w:w="70" w:type="dxa"/>
              <w:end w:w="110" w:type="dxa"/>
            </w:tcMar>
          </w:tcPr>
          <w:p>
            <w:pPr>
              <w:pStyle w:val="TableText"/>
            </w:pPr>
            <w:r>
              <w:rPr/>
              <w:t>textile and apparel</w:t>
            </w:r>
          </w:p>
        </w:tc>
      </w:tr>
      <w:tr>
        <w:tc>
          <w:tcPr>
            <w:tcW w:type="dxa" w:w="3528"/>
            <w:tcMar>
              <w:top w:w="70" w:type="dxa"/>
              <w:start w:w="110" w:type="dxa"/>
              <w:bottom w:w="70" w:type="dxa"/>
              <w:end w:w="110" w:type="dxa"/>
            </w:tcMar>
          </w:tcPr>
          <w:p>
            <w:pPr>
              <w:pStyle w:val="TableText"/>
            </w:pPr>
            <w:r>
              <w:rPr/>
              <w:t>Agricultural market access</w:t>
            </w:r>
          </w:p>
        </w:tc>
        <w:tc>
          <w:tcPr>
            <w:tcW w:type="dxa" w:w="6120"/>
            <w:tcMar>
              <w:top w:w="70" w:type="dxa"/>
              <w:start w:w="110" w:type="dxa"/>
              <w:bottom w:w="70" w:type="dxa"/>
              <w:end w:w="110" w:type="dxa"/>
            </w:tcMar>
          </w:tcPr>
          <w:p>
            <w:pPr>
              <w:pStyle w:val="TableText"/>
            </w:pPr>
            <w:r>
              <w:rPr/>
              <w:t>agricultural goods</w:t>
            </w:r>
          </w:p>
        </w:tc>
      </w:tr>
      <w:tr>
        <w:tc>
          <w:tcPr>
            <w:tcW w:type="dxa" w:w="3528"/>
            <w:shd w:fill="F5F7F8" w:val="clear" w:color="auto"/>
            <w:tcMar>
              <w:top w:w="70" w:type="dxa"/>
              <w:start w:w="110" w:type="dxa"/>
              <w:bottom w:w="70" w:type="dxa"/>
              <w:end w:w="110" w:type="dxa"/>
            </w:tcMar>
          </w:tcPr>
          <w:p>
            <w:pPr>
              <w:pStyle w:val="TableText"/>
            </w:pPr>
            <w:r>
              <w:rPr/>
              <w:t>Indigenous participation</w:t>
            </w:r>
          </w:p>
        </w:tc>
        <w:tc>
          <w:tcPr>
            <w:tcW w:type="dxa" w:w="6120"/>
            <w:shd w:fill="F5F7F8" w:val="clear" w:color="auto"/>
            <w:tcMar>
              <w:top w:w="70" w:type="dxa"/>
              <w:start w:w="110" w:type="dxa"/>
              <w:bottom w:w="70" w:type="dxa"/>
              <w:end w:w="110" w:type="dxa"/>
            </w:tcMar>
          </w:tcPr>
          <w:p>
            <w:pPr>
              <w:pStyle w:val="TableText"/>
            </w:pPr>
            <w:r>
              <w:rPr/>
              <w:t>Indigenous peoples</w:t>
            </w:r>
          </w:p>
        </w:tc>
      </w:tr>
      <w:tr>
        <w:tc>
          <w:tcPr>
            <w:tcW w:type="dxa" w:w="3528"/>
            <w:tcMar>
              <w:top w:w="70" w:type="dxa"/>
              <w:start w:w="110" w:type="dxa"/>
              <w:bottom w:w="70" w:type="dxa"/>
              <w:end w:w="110" w:type="dxa"/>
            </w:tcMar>
          </w:tcPr>
          <w:p>
            <w:pPr>
              <w:pStyle w:val="TableText"/>
            </w:pPr>
            <w:r>
              <w:rPr/>
              <w:t>SME participation</w:t>
            </w:r>
          </w:p>
        </w:tc>
        <w:tc>
          <w:tcPr>
            <w:tcW w:type="dxa" w:w="6120"/>
            <w:tcMar>
              <w:top w:w="70" w:type="dxa"/>
              <w:start w:w="110" w:type="dxa"/>
              <w:bottom w:w="70" w:type="dxa"/>
              <w:end w:w="110" w:type="dxa"/>
            </w:tcMar>
          </w:tcPr>
          <w:p>
            <w:pPr>
              <w:pStyle w:val="TableText"/>
            </w:pPr>
            <w:r>
              <w:rPr/>
              <w:t>small and medium-sized enterprises</w:t>
            </w:r>
          </w:p>
        </w:tc>
      </w:tr>
      <w:tr>
        <w:tc>
          <w:tcPr>
            <w:tcW w:type="dxa" w:w="3528"/>
            <w:shd w:fill="F5F7F8" w:val="clear" w:color="auto"/>
            <w:tcMar>
              <w:top w:w="70" w:type="dxa"/>
              <w:start w:w="110" w:type="dxa"/>
              <w:bottom w:w="70" w:type="dxa"/>
              <w:end w:w="110" w:type="dxa"/>
            </w:tcMar>
          </w:tcPr>
          <w:p>
            <w:pPr>
              <w:pStyle w:val="TableText"/>
            </w:pPr>
            <w:r>
              <w:rPr/>
              <w:t>Energy sovereignty</w:t>
            </w:r>
          </w:p>
        </w:tc>
        <w:tc>
          <w:tcPr>
            <w:tcW w:type="dxa" w:w="6120"/>
            <w:shd w:fill="F5F7F8" w:val="clear" w:color="auto"/>
            <w:tcMar>
              <w:top w:w="70" w:type="dxa"/>
              <w:start w:w="110" w:type="dxa"/>
              <w:bottom w:w="70" w:type="dxa"/>
              <w:end w:w="110" w:type="dxa"/>
            </w:tcMar>
          </w:tcPr>
          <w:p>
            <w:pPr>
              <w:pStyle w:val="TableText"/>
            </w:pPr>
            <w:r>
              <w:rPr/>
              <w:t>energy sovereignty</w:t>
            </w:r>
          </w:p>
        </w:tc>
      </w:tr>
      <w:tr>
        <w:tc>
          <w:tcPr>
            <w:tcW w:type="dxa" w:w="3528"/>
            <w:tcMar>
              <w:top w:w="70" w:type="dxa"/>
              <w:start w:w="110" w:type="dxa"/>
              <w:bottom w:w="70" w:type="dxa"/>
              <w:end w:w="110" w:type="dxa"/>
            </w:tcMar>
          </w:tcPr>
          <w:p>
            <w:pPr>
              <w:pStyle w:val="TableText"/>
            </w:pPr>
            <w:r>
              <w:rPr/>
              <w:t>Infrastructure investment</w:t>
            </w:r>
          </w:p>
        </w:tc>
        <w:tc>
          <w:tcPr>
            <w:tcW w:type="dxa" w:w="6120"/>
            <w:tcMar>
              <w:top w:w="70" w:type="dxa"/>
              <w:start w:w="110" w:type="dxa"/>
              <w:bottom w:w="70" w:type="dxa"/>
              <w:end w:w="110" w:type="dxa"/>
            </w:tcMar>
          </w:tcPr>
          <w:p>
            <w:pPr>
              <w:pStyle w:val="TableText"/>
            </w:pPr>
            <w:r>
              <w:rPr/>
              <w:t>infrastructure</w:t>
            </w:r>
          </w:p>
        </w:tc>
      </w:tr>
      <w:tr>
        <w:tc>
          <w:tcPr>
            <w:tcW w:type="dxa" w:w="3528"/>
            <w:shd w:fill="F5F7F8" w:val="clear" w:color="auto"/>
            <w:tcMar>
              <w:top w:w="70" w:type="dxa"/>
              <w:start w:w="110" w:type="dxa"/>
              <w:bottom w:w="70" w:type="dxa"/>
              <w:end w:w="110" w:type="dxa"/>
            </w:tcMar>
          </w:tcPr>
          <w:p>
            <w:pPr>
              <w:pStyle w:val="TableText"/>
            </w:pPr>
            <w:r>
              <w:rPr/>
              <w:t>Nearshoring and supply chains</w:t>
            </w:r>
          </w:p>
        </w:tc>
        <w:tc>
          <w:tcPr>
            <w:tcW w:type="dxa" w:w="6120"/>
            <w:shd w:fill="F5F7F8" w:val="clear" w:color="auto"/>
            <w:tcMar>
              <w:top w:w="70" w:type="dxa"/>
              <w:start w:w="110" w:type="dxa"/>
              <w:bottom w:w="70" w:type="dxa"/>
              <w:end w:w="110" w:type="dxa"/>
            </w:tcMar>
          </w:tcPr>
          <w:p>
            <w:pPr>
              <w:pStyle w:val="TableText"/>
            </w:pPr>
            <w:r>
              <w:rPr/>
              <w:t>nearshoring</w:t>
            </w:r>
          </w:p>
        </w:tc>
      </w:tr>
      <w:tr>
        <w:tc>
          <w:tcPr>
            <w:tcW w:type="dxa" w:w="3528"/>
            <w:tcMar>
              <w:top w:w="70" w:type="dxa"/>
              <w:start w:w="110" w:type="dxa"/>
              <w:bottom w:w="70" w:type="dxa"/>
              <w:end w:w="110" w:type="dxa"/>
            </w:tcMar>
          </w:tcPr>
          <w:p>
            <w:pPr>
              <w:pStyle w:val="TableText"/>
            </w:pPr>
            <w:r>
              <w:rPr/>
              <w:t>Capacity building</w:t>
            </w:r>
          </w:p>
        </w:tc>
        <w:tc>
          <w:tcPr>
            <w:tcW w:type="dxa" w:w="6120"/>
            <w:tcMar>
              <w:top w:w="70" w:type="dxa"/>
              <w:start w:w="110" w:type="dxa"/>
              <w:bottom w:w="70" w:type="dxa"/>
              <w:end w:w="110" w:type="dxa"/>
            </w:tcMar>
          </w:tcPr>
          <w:p>
            <w:pPr>
              <w:pStyle w:val="TableText"/>
            </w:pPr>
            <w:r>
              <w:rPr/>
              <w:t>capacity-building</w:t>
            </w:r>
          </w:p>
        </w:tc>
      </w:tr>
      <w:tr>
        <w:tc>
          <w:tcPr>
            <w:tcW w:type="dxa" w:w="3528"/>
            <w:shd w:fill="F5F7F8" w:val="clear" w:color="auto"/>
            <w:tcMar>
              <w:top w:w="70" w:type="dxa"/>
              <w:start w:w="110" w:type="dxa"/>
              <w:bottom w:w="70" w:type="dxa"/>
              <w:end w:w="110" w:type="dxa"/>
            </w:tcMar>
          </w:tcPr>
          <w:p>
            <w:pPr>
              <w:pStyle w:val="TableText"/>
            </w:pPr>
            <w:r>
              <w:rPr/>
              <w:t>Worker remediation</w:t>
            </w:r>
          </w:p>
        </w:tc>
        <w:tc>
          <w:tcPr>
            <w:tcW w:type="dxa" w:w="6120"/>
            <w:shd w:fill="F5F7F8" w:val="clear" w:color="auto"/>
            <w:tcMar>
              <w:top w:w="70" w:type="dxa"/>
              <w:start w:w="110" w:type="dxa"/>
              <w:bottom w:w="70" w:type="dxa"/>
              <w:end w:w="110" w:type="dxa"/>
            </w:tcMar>
          </w:tcPr>
          <w:p>
            <w:pPr>
              <w:pStyle w:val="TableText"/>
            </w:pPr>
            <w:r>
              <w:rPr/>
              <w:t>Affected Workers</w:t>
            </w:r>
          </w:p>
        </w:tc>
      </w:tr>
      <w:tr>
        <w:tc>
          <w:tcPr>
            <w:tcW w:type="dxa" w:w="3528"/>
            <w:tcMar>
              <w:top w:w="70" w:type="dxa"/>
              <w:start w:w="110" w:type="dxa"/>
              <w:bottom w:w="70" w:type="dxa"/>
              <w:end w:w="110" w:type="dxa"/>
            </w:tcMar>
          </w:tcPr>
          <w:p>
            <w:pPr>
              <w:pStyle w:val="TableText"/>
            </w:pPr>
            <w:r>
              <w:rPr/>
              <w:t>Electronic payments</w:t>
            </w:r>
          </w:p>
        </w:tc>
        <w:tc>
          <w:tcPr>
            <w:tcW w:type="dxa" w:w="6120"/>
            <w:tcMar>
              <w:top w:w="70" w:type="dxa"/>
              <w:start w:w="110" w:type="dxa"/>
              <w:bottom w:w="70" w:type="dxa"/>
              <w:end w:w="110" w:type="dxa"/>
            </w:tcMar>
          </w:tcPr>
          <w:p>
            <w:pPr>
              <w:pStyle w:val="TableText"/>
            </w:pPr>
            <w:r>
              <w:rPr/>
              <w:t>electronic payments</w:t>
            </w:r>
          </w:p>
        </w:tc>
      </w:tr>
      <w:tr>
        <w:tc>
          <w:tcPr>
            <w:tcW w:type="dxa" w:w="3528"/>
            <w:shd w:fill="F5F7F8" w:val="clear" w:color="auto"/>
            <w:tcMar>
              <w:top w:w="70" w:type="dxa"/>
              <w:start w:w="110" w:type="dxa"/>
              <w:bottom w:w="70" w:type="dxa"/>
              <w:end w:w="110" w:type="dxa"/>
            </w:tcMar>
          </w:tcPr>
          <w:p>
            <w:pPr>
              <w:pStyle w:val="TableText"/>
            </w:pPr>
            <w:r>
              <w:rPr/>
              <w:t>Regional-development safeguards</w:t>
            </w:r>
          </w:p>
        </w:tc>
        <w:tc>
          <w:tcPr>
            <w:tcW w:type="dxa" w:w="6120"/>
            <w:shd w:fill="F5F7F8" w:val="clear" w:color="auto"/>
            <w:tcMar>
              <w:top w:w="70" w:type="dxa"/>
              <w:start w:w="110" w:type="dxa"/>
              <w:bottom w:w="70" w:type="dxa"/>
              <w:end w:w="110" w:type="dxa"/>
            </w:tcMar>
          </w:tcPr>
          <w:p>
            <w:pPr>
              <w:pStyle w:val="TableText"/>
            </w:pPr>
            <w:r>
              <w:rPr/>
              <w:t>regional development</w:t>
            </w:r>
          </w:p>
        </w:tc>
      </w:tr>
      <w:tr>
        <w:tc>
          <w:tcPr>
            <w:tcW w:type="dxa" w:w="3528"/>
            <w:tcMar>
              <w:top w:w="70" w:type="dxa"/>
              <w:start w:w="110" w:type="dxa"/>
              <w:bottom w:w="70" w:type="dxa"/>
              <w:end w:w="110" w:type="dxa"/>
            </w:tcMar>
          </w:tcPr>
          <w:p>
            <w:pPr>
              <w:pStyle w:val="TableText"/>
            </w:pPr>
            <w:r>
              <w:rPr/>
              <w:t>Balanced country visibility</w:t>
            </w:r>
          </w:p>
        </w:tc>
        <w:tc>
          <w:tcPr>
            <w:tcW w:type="dxa" w:w="6120"/>
            <w:tcMar>
              <w:top w:w="70" w:type="dxa"/>
              <w:start w:w="110" w:type="dxa"/>
              <w:bottom w:w="70" w:type="dxa"/>
              <w:end w:w="110" w:type="dxa"/>
            </w:tcMar>
          </w:tcPr>
          <w:p>
            <w:pPr>
              <w:pStyle w:val="TableText"/>
            </w:pPr>
            <w:r>
              <w:rPr/>
              <w:t>Mexico-specific</w:t>
            </w:r>
          </w:p>
        </w:tc>
      </w:tr>
    </w:tbl>
    <w:p>
      <w:pPr>
        <w:pStyle w:val="Heading1"/>
      </w:pPr>
      <w:bookmarkStart w:id="900005" w:name="_Toc300000004"/>
      <w:r>
        <w:t>PROPOSED PROTOCOL OF MODERNIZATION TO THE AGREEMENT BETWEEN CANADA, THE UNITED STATES OF AMERICA, AND THE UNITED MEXICAN STATES</w:t>
      </w:r>
      <w:bookmarkEnd w:id="900005"/>
    </w:p>
    <w:p>
      <w:pPr>
        <w:pStyle w:val="Normal"/>
      </w:pPr>
      <w:r>
        <w:t>The Governments of Canada, the United States of America, and the United Mexican States (the “Parties”),</w:t>
      </w:r>
    </w:p>
    <w:p>
      <w:pPr>
        <w:pStyle w:val="Normal"/>
      </w:pPr>
      <w:r>
        <w:t>Having regard to the Agreement between Canada, the United States of America, and the United Mexican States, done at Buenos Aires on November 30, 2018, as amended by the Protocol of Amendment done at Mexico City on December 10, 2019 (the “Agreement” or “CUSMA”),</w:t>
      </w:r>
    </w:p>
    <w:p>
      <w:pPr>
        <w:pStyle w:val="Normal"/>
      </w:pPr>
      <w:r>
        <w:t>Contemplating the joint review under Article 34.7 of the Agreement and proposing to modernize, strengthen, and extend the Agreement as a single, trilateral, integrated framework for North American commerce,</w:t>
      </w:r>
    </w:p>
    <w:p>
      <w:pPr>
        <w:pStyle w:val="Normal"/>
      </w:pPr>
      <w:r>
        <w:t>Recalling their shared conviction that integrated North American production, energy, and supply chains constitute a strategic asset of all three Parties; that excessive concentration in any single supply source can create vulnerability; and that resilient North American capacity may be strengthened by diversified, reliable, and responsibly governed trade and technology relationships with non-Parties,</w:t>
      </w:r>
    </w:p>
    <w:p>
      <w:pPr>
        <w:pStyle w:val="Normal"/>
      </w:pPr>
      <w:r>
        <w:t>Intending that the tariff preferences and market access guarantees of the Agreement operate according to the substance and economic effect of governmental measures, and not be defeated by the domestic statutory label, form, or designation under which a measure is adopted or maintained,</w:t>
      </w:r>
    </w:p>
    <w:p>
      <w:pPr>
        <w:pStyle w:val="Normal"/>
      </w:pPr>
      <w:r>
        <w:t>Seeking to ensure that extraordinary and emergency trade measures between the Parties are targeted, quantified, time-limited, reversible, and automatically self-correcting upon verified compliance, and that broad punitive tariffs between the Parties constitute remedies of last resort,</w:t>
      </w:r>
    </w:p>
    <w:p>
      <w:pPr>
        <w:pStyle w:val="Normal"/>
      </w:pPr>
      <w:r>
        <w:t>Rejecting binary snapback mechanisms and affirming that enforcement of the Agreement shall proceed through verification, classification, proportional correction, remediation, and automatic restoration,</w:t>
      </w:r>
    </w:p>
    <w:p>
      <w:pPr>
        <w:pStyle w:val="Normal"/>
      </w:pPr>
      <w:r>
        <w:t>Affirming that the rights, preferences, guarantees, and protections established by this Agreement are durable and do not fade, lapse, or expire by the mere passage of time,</w:t>
      </w:r>
    </w:p>
    <w:p>
      <w:pPr>
        <w:pStyle w:val="Normal"/>
      </w:pPr>
      <w:r>
        <w:t>Affirming that each Party retains its essential security and genuine emergency authority, and that the exercise of that authority with respect to the trade of another Party is subject to the procedural disciplines of this Agreement,</w:t>
      </w:r>
    </w:p>
    <w:p>
      <w:pPr>
        <w:pStyle w:val="Normal"/>
      </w:pPr>
      <w:r>
        <w:t>Seeking fairness and balance among the Parties such that each Party secures meaningful benefits and accepts meaningful disciplines, and that no provision of this Agreement operates as a concealed unilateral concession,</w:t>
      </w:r>
    </w:p>
    <w:p>
      <w:pPr>
        <w:pStyle w:val="Normal"/>
      </w:pPr>
      <w:r>
        <w:t>THE FOLLOWING TEXT IS PROPOSED FOR AGREEMENT:</w:t>
      </w:r>
    </w:p>
    <w:p>
      <w:pPr>
        <w:pStyle w:val="Normal"/>
      </w:pPr>
      <w:r>
        <w:t>1. Upon adoption and entry into force of this Protocol, the Agreement shall be modernized as set out in the consolidated text attached to this Protocol, which incorporates: (a) the CUSMA 2.0 Modernization Provisions appended to Chapters 1, 2, 4, 5, 7, 10, 19, 23, 24, 26, 30, 31, 32, and 34; (b) Chapter 35 (Treaty Integrity and the Proportional Trade Adjustment Mechanism); (c) Chapter 36 (North American Economic Security and Supply Chain Resilience); (d) Chapter 37 (Critical Minerals and Strategic Materials); (e) Chapter 38 (Emergency Trade Continuity); (f) Chapter 39 (Advanced Technology and Artificial Intelligence); (g) Chapter 40 (Energy Security and Grid Resilience); and (h) Chapters 41 through 68 and their related annexes and implementation instruments, which establish regulatory autonomy, sectoral stability, trade facilitation, institutional diversity, balanced verification, treaty resilience, review stability, sectoral implementation safeguards, SME and supply-chain modernization, symmetrical labor and environmental cooperation, trilateral implementation integrity, adaptive implementation, private-sector continuity, strategic logistics, pharmaceutical resilience, commercial-wins measurement, reciprocal procurement, North American Shield border security, Northern Vigilance Arctic security, and the Great Whale Compact; in each case as integrated and hardened in this consolidated text.</w:t>
      </w:r>
    </w:p>
    <w:p>
      <w:pPr>
        <w:pStyle w:val="Normal"/>
      </w:pPr>
      <w:r>
        <w:t>2. Upon entry into force of this Protocol, the side letters between the Parties concerning Section 232 of the Trade Expansion Act of 1962 of the United States, and any equivalent bilateral understandings governing extraordinary tariff measures between the Parties, are superseded and terminated, and their subject matter is governed exclusively by Chapters 32 and 35 of the Agreement as modernized.</w:t>
      </w:r>
    </w:p>
    <w:p>
      <w:pPr>
        <w:pStyle w:val="Normal"/>
      </w:pPr>
      <w:r>
        <w:t>3. Each extraordinary tariff, surcharge, import fee, or equivalent border measure applied by a Party on the originating goods of another Party and in force on the date of signature of this Protocol shall terminate in accordance with the Legacy Measure Wind-Down Schedule set out in Annex 35-D, and no such measure shall be reimposed except in conformity with the Agreement as modernized.</w:t>
      </w:r>
    </w:p>
    <w:p>
      <w:pPr>
        <w:pStyle w:val="Normal"/>
      </w:pPr>
      <w:r>
        <w:t>4. Upon entry into force of this Protocol, all retaliatory or countermeasure tariffs applied between the Parties in connection with matters arising under the Agreement shall terminate, without prejudice to the rights of the Parties under the Agreement as modernized.</w:t>
      </w:r>
    </w:p>
    <w:p>
      <w:pPr>
        <w:pStyle w:val="Normal"/>
      </w:pPr>
      <w:r>
        <w:t>5. Upon adoption and entry into force of this Protocol, the Parties shall confirm that the Agreement continues in force for an indefinite duration in accordance with Article 34.7 (Indefinite Duration and Modernization Review) as replaced by this Protocol. Periodic reviews shall concern modernization and implementation and shall not constitute renewal events or conditions for continuation in force.</w:t>
      </w:r>
    </w:p>
    <w:p>
      <w:pPr>
        <w:pStyle w:val="Normal"/>
      </w:pPr>
      <w:r>
        <w:t>6. Each Party shall notify the other Parties, in writing, upon completion of its applicable internal procedures for the entry into force of this Protocol. This Protocol enters into force on the first day of the third month following the date of the last notification.</w:t>
      </w:r>
    </w:p>
    <w:p>
      <w:pPr>
        <w:pStyle w:val="Normal"/>
      </w:pPr>
      <w:r>
        <w:t>7. Upon signature and entry into force, the English, French, and Spanish texts of this Protocol shall be equally authentic.</w:t>
      </w:r>
    </w:p>
    <w:p>
      <w:pPr>
        <w:pStyle w:val="Normal"/>
      </w:pPr>
      <w:r>
        <w:t>EXECUTION TEXT: FOR SIGNATURE UPON ADOPTION</w:t>
      </w:r>
    </w:p>
    <w:p>
      <w:pPr>
        <w:pStyle w:val="Normal"/>
      </w:pPr>
      <w:r>
        <w:t>Upon adoption, the final Protocol may be executed in triplicate by duly authorized representatives of the Parties.</w:t>
      </w:r>
    </w:p>
    <w:p>
      <w:pPr>
        <w:pStyle w:val="Heading1"/>
      </w:pPr>
      <w:bookmarkStart w:id="900006" w:name="_Toc300000005"/>
      <w:r>
        <w:t>PREAMBLE TO THE AGREEMENT AS MODERNIZED</w:t>
      </w:r>
      <w:bookmarkEnd w:id="900006"/>
    </w:p>
    <w:p>
      <w:pPr>
        <w:pStyle w:val="Normal"/>
      </w:pPr>
      <w:r>
        <w:t>The Governments of Canada, the United States of America, and the United Mexican States, resolving to:</w:t>
      </w:r>
    </w:p>
    <w:p>
      <w:pPr>
        <w:pStyle w:val="Normal"/>
      </w:pPr>
      <w:r>
        <w:t>STRENGTHEN ANEW the special bonds of friendship and cooperation among their peoples and promote innovative, resilient, and inclusive economic growth across North America;</w:t>
      </w:r>
    </w:p>
    <w:p>
      <w:pPr>
        <w:pStyle w:val="Normal"/>
      </w:pPr>
      <w:r>
        <w:t>PRESERVE AND EXPAND their commitment to facilitate regional trade and investment, recognizing that an integrated continental market comprising more than 500 million persons is among the largest and most productive economic areas in the world;</w:t>
      </w:r>
    </w:p>
    <w:p>
      <w:pPr>
        <w:pStyle w:val="Normal"/>
      </w:pPr>
      <w:r>
        <w:t>ENSURE that preferential tariff treatment under this Agreement constitutes a durable legal guarantee, effective against extraordinary, emergency, security-designated, or otherwise exceptional border measures, however denominated under domestic law, except as expressly provided in this Agreement;</w:t>
      </w:r>
    </w:p>
    <w:p>
      <w:pPr>
        <w:pStyle w:val="Normal"/>
      </w:pPr>
      <w:r>
        <w:t>REPLACE punitive tariff diplomacy between the Parties with corrective trade engineering, so that trade remedies restore the conditions of fair competition rather than inflict economic injury unrelated to a verified distortion;</w:t>
      </w:r>
    </w:p>
    <w:p>
      <w:pPr>
        <w:pStyle w:val="Normal"/>
      </w:pPr>
      <w:r>
        <w:t>ESTABLISH verification as a reciprocal architecture in which all Parties comply, all Parties may challenge, all Parties may remediate, and all Parties recover;</w:t>
      </w:r>
    </w:p>
    <w:p>
      <w:pPr>
        <w:pStyle w:val="Normal"/>
      </w:pPr>
      <w:r>
        <w:t>MODERNIZE the Agreement for the economy of the twenty-first century, including digital trade, artificial intelligence, electronic payments, cybersecurity, critical minerals, semiconductors, electric vehicles and batteries, energy security, circular production, and resilient supply chains;</w:t>
      </w:r>
    </w:p>
    <w:p>
      <w:pPr>
        <w:pStyle w:val="Normal"/>
      </w:pPr>
      <w:r>
        <w:t>RECOGNIZE that trade between the Parties in critical minerals, energy, food, medicines, and strategic manufactured goods strengthens the economic and national security of each Party;</w:t>
      </w:r>
    </w:p>
    <w:p>
      <w:pPr>
        <w:pStyle w:val="Normal"/>
      </w:pPr>
      <w:r>
        <w:t>AFFIRMING that North American resilience is strengthened by openness to beneficial trade, scientific exchange, investment, ideas, and technologies from throughout the world, subject to proportionate safeguards addressing demonstrated risks and without presuming that foreign origin is itself a security or reliability defect;</w:t>
      </w:r>
    </w:p>
    <w:p>
      <w:pPr>
        <w:pStyle w:val="Normal"/>
      </w:pPr>
      <w:r>
        <w:t>PROTECT the rights of workers, enforce the prohibition of goods made with forced or compulsory labour, preserve high levels of environmental protection, and support the economic participation of small and medium-sized enterprises and Indigenous peoples;</w:t>
      </w:r>
    </w:p>
    <w:p>
      <w:pPr>
        <w:pStyle w:val="Normal"/>
      </w:pPr>
      <w:r>
        <w:t>PRESERVE each Party’s sovereign authority over its natural resources, national security review, investment screening, industrial policy, export controls, taxation, public health, environmental regulation, cultural policy, and domestic regulatory administration, except as expressly constrained by this Agreement;</w:t>
      </w:r>
    </w:p>
    <w:p>
      <w:pPr>
        <w:pStyle w:val="Normal"/>
      </w:pPr>
      <w:r>
        <w:t>HAVE AGREED as follows:</w:t>
      </w:r>
    </w:p>
    <w:p>
      <w:pPr>
        <w:pStyle w:val="Heading1"/>
      </w:pPr>
      <w:bookmarkStart w:id="900007" w:name="_Toc300000006"/>
      <w:r>
        <w:t>DRAFTING AND CONSOLIDATION CONVENTIONS APPLIED TO THIS TEXT</w:t>
      </w:r>
      <w:bookmarkEnd w:id="900007"/>
    </w:p>
    <w:p>
      <w:pPr>
        <w:pStyle w:val="Normal"/>
      </w:pPr>
      <w:r>
        <w:t>1. Textual continuity. Provisions of the 2018 Agreement, as amended by the 2019 Protocol of Amendment, that remain substantively unchanged are reproduced in this consolidated text with their established wording, defined terms, modal verbs, and cross-references preserved, in accordance with the CUSMA Treaty Precision Matrix. No authentic legacy CUSMA provision shall be rewritten solely to modernize style, increase sentence count, or conform to a drafting convention applicable to new or modernized text. Where a legacy provision is concise but legally precise, its brevity shall not by itself constitute a substantive-strength defect; any modernization shall occur only through an express amendment, replacement provision, or cross-reference adopted in accordance with this Agreement.</w:t>
      </w:r>
    </w:p>
    <w:p>
      <w:pPr>
        <w:pStyle w:val="Normal"/>
      </w:pPr>
      <w:r>
        <w:t>1A. Preservation of the 2019 Amending Protocol and integral instruments. The Protocol of Amendment done at Mexico City on December 10, 2019, and the original integral instruments preserved in Annex 34-G remain legally operative except to the extent this modernized Agreement expressly supersedes or replaces them. If any legacy provision reproduced in this consolidated draft reflects the pre-amendment 2018 wording rather than the 2019-amended wording, Annex 34-G, Part A controls and the pre-amendment wording has no operative effect. This rule includes deletions, renumbering instructions, footnote amendments, and Annexes 31-A and 31-B.</w:t>
      </w:r>
    </w:p>
    <w:p>
      <w:pPr>
        <w:pStyle w:val="Normal"/>
      </w:pPr>
      <w:r>
        <w:t xml:space="preserve">2. </w:t>
      </w:r>
      <w:r>
        <w:rPr>
          <w:b/>
        </w:rPr>
        <w:t>Identification of amendments.</w:t>
      </w:r>
      <w:r>
        <w:t xml:space="preserve"> Each amended Chapter concludes with a section entitled “CUSMA 2.0 Modernization Provisions” containing the new and replacement Articles for that Chapter. Each replacement Article expressly identifies the provision it replaces; each new Article is numbered within its Chapter’s sequence with the suffix “A”, “B”, and so on, pending final renumbering upon adoption. No substantive change is presented as a stylistic clarification. The CUSMA 2.1 Hardening Package is integrated directly into those provisions and is recorded in the Amendment Ledger.</w:t>
      </w:r>
    </w:p>
    <w:p>
      <w:pPr>
        <w:pStyle w:val="Normal"/>
      </w:pPr>
      <w:r>
        <w:t xml:space="preserve">3. </w:t>
      </w:r>
      <w:r>
        <w:rPr>
          <w:b/>
        </w:rPr>
        <w:t>New Chapters.</w:t>
      </w:r>
      <w:r>
        <w:t xml:space="preserve"> New Chapters 35 through 40 are consolidated in full after Chapter 34 and before the Annexes on non-conforming measures. Upon adoption, the Parties may repaginate the Agreement so that Chapter 34 (Final Provisions) appears last, without renumbering any Article.</w:t>
      </w:r>
    </w:p>
    <w:p>
      <w:pPr>
        <w:pStyle w:val="Normal"/>
      </w:pPr>
      <w:r>
        <w:t xml:space="preserve">4. </w:t>
      </w:r>
      <w:r>
        <w:rPr>
          <w:b/>
        </w:rPr>
        <w:t>Modal verb control.</w:t>
      </w:r>
      <w:r>
        <w:t xml:space="preserve"> In all new and amended text: “shall” denotes a binding obligation; “shall not” or “no Party shall” denotes a binding prohibition; “may” denotes a right, entitlement, discretion, or authorization; “shall endeavor” denotes an aspirational or cooperative commitment deliberately chosen; present-tense verbs denote legal status, definitions, or automatic operation; and “must” denotes an objective condition of qualification. Automatic consequences are drafted in deterministic present-tense language and are genuinely automatic.</w:t>
      </w:r>
    </w:p>
    <w:p>
      <w:pPr>
        <w:pStyle w:val="Normal"/>
      </w:pPr>
      <w:r>
        <w:t xml:space="preserve">5. </w:t>
      </w:r>
      <w:r>
        <w:rPr>
          <w:b/>
        </w:rPr>
        <w:t>Durability.</w:t>
      </w:r>
      <w:r>
        <w:t xml:space="preserve"> In accordance with the No-Fade Guarantee in Article 35.29, no right, preference, guarantee, or protection of this Agreement lapses by the passage of time. Time-limited operation attaches only to restrictive extraordinary measures, and to them only as an anti-weaponization discipline.</w:t>
      </w:r>
    </w:p>
    <w:p>
      <w:pPr>
        <w:pStyle w:val="Normal"/>
      </w:pPr>
      <w:r>
        <w:t xml:space="preserve">6. </w:t>
      </w:r>
      <w:r>
        <w:rPr>
          <w:b/>
        </w:rPr>
        <w:t>Neutrality and reciprocity.</w:t>
      </w:r>
      <w:r>
        <w:t xml:space="preserve"> This text treats Canada, the United States, and the United Mexican States as sovereign equals, uses no negotiating rhetoric in operative provisions, and frames genuinely reciprocal mechanisms as shared trilateral architecture.</w:t>
      </w:r>
    </w:p>
    <w:p>
      <w:pPr>
        <w:pStyle w:val="Normal"/>
      </w:pPr>
      <w:r>
        <w:t xml:space="preserve">7. </w:t>
      </w:r>
      <w:r>
        <w:rPr>
          <w:b/>
        </w:rPr>
        <w:t>Amendment Ledger.</w:t>
      </w:r>
      <w:r>
        <w:t xml:space="preserve"> Every substantive concession and structural change is recorded in the Amendment Ledger annexed to this consolidated draft, identifying the original rule, the revised rule, the legal-function classification, the negotiating objective, and the effect on each Party.</w:t>
      </w:r>
    </w:p>
    <w:p>
      <w:pPr>
        <w:pStyle w:val="Normal"/>
      </w:pPr>
      <w:r>
        <w:t>8. Substantive strength, legal temperature, and structural exceptions. New and modernized operative prose shall state the legal rule with sufficient specificity to identify, as applicable, the actor, trigger, required or prohibited conduct, scope, governing standard or identified mechanism, timing, legal effect, and route for cure, review, or restoration; sentence count alone does not establish substantive sufficiency. A four-sentence drafting floor is a normal drafting aid for new or modernized operative prose where it improves clarity, but it does not apply mechanically to authentic legacy CUSMA text, definitions, tariff lines, mathematical formulas, tables, schedules, product lists, citation-only entries, non-operative indexes, or other legal-data structures whose precision would be reduced by prose expansion. A provision that delegates future technical detail shall identify or cross-reference the competent authority, the minimum treaty-level rule, the adoption or update process, and the legal effect or fallback applicable if the delegated detail is not completed when required. Cooperative, pilot, or optional material shall be identified at the legal temperature actually intended and shall not acquire mandatory effect merely from placement in this consolidated text.</w:t>
      </w:r>
    </w:p>
    <w:p>
      <w:pPr>
        <w:pStyle w:val="TrumpVisibilityHeadline"/>
      </w:pPr>
      <w:r>
        <w:t>LEADER-LEVEL VISIBILITY SUMMARY: RAPID NEGOTIATING INDEX</w:t>
      </w:r>
    </w:p>
    <w:p>
      <w:pPr>
        <w:pStyle w:val="Normal"/>
      </w:pPr>
      <w:r>
        <w:t>This non-operative summary brings major, politically legible outcomes forward for rapid leader and negotiator review. It does not enlarge, modify, or independently activate any obligation. Operative rights, safeguards, conditions, reciprocal consideration, and implementation rules remain governed by the provisions identified below.</w:t>
      </w:r>
    </w:p>
    <w:p>
      <w:pPr>
        <w:pStyle w:val="TrumpVisibilityHeadline"/>
      </w:pPr>
      <w:r>
        <w:t>★ UNITED STATES: LEADER-LEVEL WIN SUMMARY</w:t>
      </w:r>
    </w:p>
    <w:p>
      <w:pPr>
        <w:pStyle w:val="ListBullet"/>
      </w:pPr>
      <w:r>
        <w:t>U.S. manufacturing: more vehicles, components, batteries, semiconductors, power electronics, advanced materials, and other strategic manufacturing built in the United States through the voluntary U.S. Manufacturing Accelerator, with reciprocal Canadian and Mexican tracks and no compulsory Party-specific origin mandate.</w:t>
      </w:r>
    </w:p>
    <w:p>
      <w:pPr>
        <w:pStyle w:val="ListBullet"/>
      </w:pPr>
      <w:r>
        <w:t>Automotive: 75% Standard, 80% High Integration, and 85% Strategic Integration architecture; stronger North American vehicle and component production; public investment/capacity reporting; and the optional 70% U.S.-manufactured SUV muffler commitment paired with a durable automotive tariff settlement.</w:t>
      </w:r>
    </w:p>
    <w:p>
      <w:pPr>
        <w:pStyle w:val="ListBullet"/>
      </w:pPr>
      <w:r>
        <w:t>Aircraft certification: North American Aviation Certification Fast Lane with concurrent FAA-TCCA-AFAC review where practicable, maximum lawful reliance on counterpart technical findings, published response clocks, no politically motivated certification delay, and an explicit firewall preserving each regulator's sovereign safety authority.</w:t>
      </w:r>
    </w:p>
    <w:p>
      <w:pPr>
        <w:pStyle w:val="ListBullet"/>
      </w:pPr>
      <w:r>
        <w:t>Dairy: Guaranteed New U.S. Dairy Access: measurable provincial access floors, utilization and reallocation disciplines, a 0.2% Priority Cheese Access Bonus, transparent TRQ administration, and an optional pathway up to 1.50% total scheduled provincial access in return for expressly paired concessions.</w:t>
      </w:r>
    </w:p>
    <w:p>
      <w:pPr>
        <w:pStyle w:val="ListBullet"/>
      </w:pPr>
      <w:r>
        <w:t>Alcohol: American products return with normalization: tariff-linked restoration of ordinary listing eligibility, inventory replenishment, distribution, and retail access for U.S. beer, wine, and spirits, while preserving legitimate provincial, territorial, state, and Mexican subnational regulation.</w:t>
      </w:r>
    </w:p>
    <w:p>
      <w:pPr>
        <w:pStyle w:val="ListBullet"/>
      </w:pPr>
      <w:r>
        <w:t>Steel and aluminum: North American Metals Investment Compact; anti-transshipment and provenance protection; strategic and defense-grade capacity; modernization and recycling; public investment/capacity reporting; and durable normalization of originating North American metals trade.</w:t>
      </w:r>
    </w:p>
    <w:p>
      <w:pPr>
        <w:pStyle w:val="ListBullet"/>
      </w:pPr>
      <w:r>
        <w:t>Critical minerals: Strategic Materials Compact, duty-free originating trade, offtake and long-term access, stockpile and surge cooperation, Midstream Gap Register, trusted external feedstock, by-product recovery, Canada/U.S./Mexico industrial tracks, and minerals-for-forestry bargaining that exchanges resource cooperation for processing, investment, procurement, resilience, and market-access value.</w:t>
      </w:r>
    </w:p>
    <w:p>
      <w:pPr>
        <w:pStyle w:val="ListBullet"/>
      </w:pPr>
      <w:r>
        <w:t>Forestry: minerals-for-forestry normalization pathways capable of supporting durable softwood-lumber settlement.</w:t>
      </w:r>
    </w:p>
    <w:p>
      <w:pPr>
        <w:pStyle w:val="ListBullet"/>
      </w:pPr>
      <w:r>
        <w:t>Wildfire: prevention, detection, fuel management, firefighting interoperability, technology, recovery, and transboundary smoke mitigation.</w:t>
      </w:r>
    </w:p>
    <w:p>
      <w:pPr>
        <w:pStyle w:val="ListBullet"/>
      </w:pPr>
      <w:r>
        <w:t>Procurement: reciprocal strategic-supplier access while preserving lawful domestic, SME, Indigenous, security, and resilience programs.</w:t>
      </w:r>
    </w:p>
    <w:p>
      <w:pPr>
        <w:pStyle w:val="ListBullet"/>
      </w:pPr>
      <w:r>
        <w:t>Trade rebalancing: verifiable opportunities for additional U.S. exports, investment, reshoring, joint ventures, procurement, agriculture, and productive capacity without compulsory purchase quotas.</w:t>
      </w:r>
    </w:p>
    <w:p>
      <w:pPr>
        <w:pStyle w:val="ListBullet"/>
      </w:pPr>
      <w:r>
        <w:t>Keystone Next: an optional tangible energy-security successor with an approximately 830,000-barrel-per-day planning objective where commercially supported, real infrastructure, workforce, technology, safety, and public launch.</w:t>
      </w:r>
    </w:p>
    <w:p>
      <w:pPr>
        <w:pStyle w:val="ListBullet"/>
      </w:pPr>
      <w:r>
        <w:t>Fentanyl and border security: fentanyl-priority interdiction, expanded canine teams, modern inspection technology, Gordie Howe flagship deployment, measurable performance, and a trusted-freight dividend.</w:t>
      </w:r>
    </w:p>
    <w:p>
      <w:pPr>
        <w:pStyle w:val="ListBullet"/>
      </w:pPr>
      <w:r>
        <w:t>Medicines and pharmaceutical manufacturing: stronger North American API, sterile-injectable, biologics, vaccine and essential-medicine manufacturing; resilient U.S. supply; emergency reserves; reduced strategic dependence on non-North-American suppliers; and protection against essential medicines becoming tariff hostages.</w:t>
      </w:r>
    </w:p>
    <w:p>
      <w:pPr>
        <w:pStyle w:val="ListBullet"/>
      </w:pPr>
      <w:r>
        <w:t>Gordie Howe / Detroit–Windsor: an optional corridor-reinvestment framework can direct mutually agreed revenues or equivalent appropriations to Michigan- and Ontario-side customs, trusted-freight, ITS, approach, logistics, community-mitigation and economic-development improvements without transferring Canadian toll ownership, bridge governance, or revenue entitlement.</w:t>
      </w:r>
    </w:p>
    <w:p>
      <w:pPr>
        <w:pStyle w:val="TrumpVisibilityHeadline"/>
      </w:pPr>
      <w:r>
        <w:t>★ CANADA: LEADER-LEVEL WIN SUMMARY</w:t>
      </w:r>
    </w:p>
    <w:p>
      <w:pPr>
        <w:pStyle w:val="ListBullet"/>
      </w:pPr>
      <w:r>
        <w:t>Tariff security: legacy extraordinary tariffs and retaliation wind down; future extraordinary measures face nexus, evidence, proportionality, review, anti-evasion and restoration disciplines rather than open-ended unilateral escalation.</w:t>
      </w:r>
    </w:p>
    <w:p>
      <w:pPr>
        <w:pStyle w:val="ListBullet"/>
      </w:pPr>
      <w:r>
        <w:t>Treaty durability: CUSMA/NAESTMA continues for indefinite duration under modernization review rather than recurring renewal cliffs, protecting investment reliance and reducing periodic existential uncertainty.</w:t>
      </w:r>
    </w:p>
    <w:p>
      <w:pPr>
        <w:pStyle w:val="ListBullet"/>
      </w:pPr>
      <w:r>
        <w:t>Dairy: Canadian supply management remains intact while negotiated U.S. access becomes more usable and transparent; incremental access is expressly paired with reciprocal Canadian value and protected against uncompensated front-loading.</w:t>
      </w:r>
    </w:p>
    <w:p>
      <w:pPr>
        <w:pStyle w:val="ListBullet"/>
      </w:pPr>
      <w:r>
        <w:t>Forestry: critical-mineral and strategic-material cooperation can earn staged, durable softwood-lumber normalization without compulsory extraction, below-market supply, or surrender of Canadian resource ownership.</w:t>
      </w:r>
    </w:p>
    <w:p>
      <w:pPr>
        <w:pStyle w:val="ListBullet"/>
      </w:pPr>
      <w:r>
        <w:t>Critical minerals and industrialization: Canada retains resource sovereignty and the ability to prioritize domestic value-added processing while gaining midstream investment, offtake, reserve eligibility, procurement and market-stability opportunities.</w:t>
      </w:r>
    </w:p>
    <w:p>
      <w:pPr>
        <w:pStyle w:val="ListBullet"/>
      </w:pPr>
      <w:r>
        <w:t>Arctic and NORAD: Northern Vigilance converts Canadian defence and northern investment into continental-security value while preserving Canadian sovereignty, jurisdiction, command, basing authority, infrastructure control and Northwest Passage legal positions.</w:t>
      </w:r>
    </w:p>
    <w:p>
      <w:pPr>
        <w:pStyle w:val="ListBullet"/>
      </w:pPr>
      <w:r>
        <w:t>Border reciprocity: Canada receives stronger cooperation against illegal firearms, illicit finance, stolen-vehicle exports and organized-crime flows while retaining exclusive national command, privacy protection and a firewall against fentanyl becoming an automatic tariff shortcut.</w:t>
      </w:r>
    </w:p>
    <w:p>
      <w:pPr>
        <w:pStyle w:val="ListBullet"/>
      </w:pPr>
      <w:r>
        <w:t>Procurement: Canadian suppliers receive project-specific reciprocal access across a protected 370-opportunity portfolio without Canada accepting an economy-wide surrender to Buy American preferences or guaranteed foreign awards.</w:t>
      </w:r>
    </w:p>
    <w:p>
      <w:pPr>
        <w:pStyle w:val="ListBullet"/>
      </w:pPr>
      <w:r>
        <w:t>Automotive: ordinary North American origin remains trilateral; U.S.-specific manufacturing incentives are bounded, reciprocal and optional, with the three-component ceiling and strategic-component firewall protecting the Canadian automotive industrial base.</w:t>
      </w:r>
    </w:p>
    <w:p>
      <w:pPr>
        <w:pStyle w:val="ListBullet"/>
      </w:pPr>
      <w:r>
        <w:t>Steel and aluminum: originating Canadian metals gain a durable-normalization pathway paired with anti-transshipment, traceability, new capacity, recycling and strategic-product investment rather than permanent extraordinary tariff treatment.</w:t>
      </w:r>
    </w:p>
    <w:p>
      <w:pPr>
        <w:pStyle w:val="ListBullet"/>
      </w:pPr>
      <w:r>
        <w:t>Medicines: the Canadian pharmaceutical track prioritizes medical isotopes, radiopharmaceuticals, biologics, vaccines, APIs, sterile capacity, clinical research and cold-chain resilience while essential medicines receive no-tariff-hostage protection.</w:t>
      </w:r>
    </w:p>
    <w:p>
      <w:pPr>
        <w:pStyle w:val="ListBullet"/>
      </w:pPr>
      <w:r>
        <w:t>Energy and infrastructure: Canadian reliability, affordability, resource policy, environmental law, Indigenous and treaty rights, electricity allocation and project-approval authority remain protected while cross-border energy and infrastructure opportunities expand.</w:t>
      </w:r>
    </w:p>
    <w:p>
      <w:pPr>
        <w:pStyle w:val="ListBullet"/>
      </w:pPr>
      <w:r>
        <w:t>Commercial wins: Canada may operate its own verified national commercial-wins presentation using the same Chapter 64 integrity rules, allowing Canadian exports, contracts, procurement awards, investment and regional gains to be foregrounded publicly.</w:t>
      </w:r>
    </w:p>
    <w:p>
      <w:pPr>
        <w:pStyle w:val="ListBullet"/>
      </w:pPr>
      <w:r>
        <w:t>Labour, environment and enforcement: systemic enforcement standards are symmetrical, allegations require evidence and cure, and unrelated sectors cannot ordinarily be punished for localized or good-faith implementation problems.</w:t>
      </w:r>
    </w:p>
    <w:p>
      <w:pPr>
        <w:pStyle w:val="ListBullet"/>
      </w:pPr>
      <w:r>
        <w:t>Gordie Howe / Detroit–Windsor: Canada preserves bridge and toll-revenue ownership and rejects retroactive U.S. financing claims while gaining a lawful mechanism to convert mutually agreed corridor funding into faster freight, better approaches, community mitigation and reciprocal infrastructure value.</w:t>
      </w:r>
    </w:p>
    <w:p>
      <w:pPr>
        <w:pStyle w:val="TrumpVisibilityHeadline"/>
      </w:pPr>
      <w:r>
        <w:t>★ MEXICO: LEADER-LEVEL WIN SUMMARY</w:t>
      </w:r>
    </w:p>
    <w:p>
      <w:pPr>
        <w:pStyle w:val="ListBullet"/>
      </w:pPr>
      <w:r>
        <w:t>Tariff normalization: qualifying Mexican originating autos, parts, steel, aluminum and designated industrial goods receive an expedited route back toward ordinary preferential treatment where verified origin and security facts support normalization.</w:t>
      </w:r>
    </w:p>
    <w:p>
      <w:pPr>
        <w:pStyle w:val="ListBullet"/>
      </w:pPr>
      <w:r>
        <w:t>Equal-party protection: Mexico receives the same Chapter 35 anti-evasion, evidence, proportionality, cure, restoration and no-uncompensated-front-loading protections as Canada and the United States, with no presumption that Mexican trade is the default enforcement target.</w:t>
      </w:r>
    </w:p>
    <w:p>
      <w:pPr>
        <w:pStyle w:val="ListBullet"/>
      </w:pPr>
      <w:r>
        <w:t>Automotive parity: Mexican originating value remains fully North American; the agreement resists Party-specific relocation mandates and protects the integrated Mexican automotive base from strategic-component salami slicing.</w:t>
      </w:r>
    </w:p>
    <w:p>
      <w:pPr>
        <w:pStyle w:val="ListBullet"/>
      </w:pPr>
      <w:r>
        <w:t>Agriculture: Mexico is expressly treated as a full producer, consumer, exporter, importer, research partner and manufacturing base, with Mexico-specific treatment for crops, irrigation, drought, machinery, labour-intensive production, logistics and value-added processing.</w:t>
      </w:r>
    </w:p>
    <w:p>
      <w:pPr>
        <w:pStyle w:val="ListBullet"/>
      </w:pPr>
      <w:r>
        <w:t>Dairy: Mexico receives full procedural equality in the Dairy Stability and Market Access Framework and a pathway for Mexico-specific access, development or reciprocal opportunities rather than being treated as a residual market.</w:t>
      </w:r>
    </w:p>
    <w:p>
      <w:pPr>
        <w:pStyle w:val="ListBullet"/>
      </w:pPr>
      <w:r>
        <w:t>Pharmaceutical upgrading: the Mexican track supports movement from finished-dose generics toward APIs/KSMs, sterile injectables, fill-finish, biologics, vaccines, advanced manufacturing, regulatory science and higher-value R&amp;D, with equal eligibility for resilience procurement.</w:t>
      </w:r>
    </w:p>
    <w:p>
      <w:pPr>
        <w:pStyle w:val="ListBullet"/>
      </w:pPr>
      <w:r>
        <w:t>Critical minerals and industrial inputs: Mexico is recognized as a full strategic supplier, processor, manufacturer, recycler and investment destination, with dedicated industrial-input and specialty-mineral pathways and value-added processing opportunities.</w:t>
      </w:r>
    </w:p>
    <w:p>
      <w:pPr>
        <w:pStyle w:val="ListBullet"/>
      </w:pPr>
      <w:r>
        <w:t>Digital manufacturing and SMEs: Mexico receives a dedicated electronics, semiconductor, software, customs-interoperability and SME export lane designed to raise value capture rather than confine Mexico to lower-value assembly.</w:t>
      </w:r>
    </w:p>
    <w:p>
      <w:pPr>
        <w:pStyle w:val="ListBullet"/>
      </w:pPr>
      <w:r>
        <w:t>Forestry: Mexico receives its own forestry and wood-products integration lane while being expressly firewalled from the historic Canada-United States softwood-lumber trade-remedy dispute unless Mexico separately agrees otherwise.</w:t>
      </w:r>
    </w:p>
    <w:p>
      <w:pPr>
        <w:pStyle w:val="ListBullet"/>
      </w:pPr>
      <w:r>
        <w:t>Procurement: Mexican suppliers participate across the reciprocal 370-opportunity portfolio, including border, rail, ports, grid, water, industrial, digital and strategic-infrastructure opportunities, without guaranteed awards or blanket domestic-preference surrender.</w:t>
      </w:r>
    </w:p>
    <w:p>
      <w:pPr>
        <w:pStyle w:val="ListBullet"/>
      </w:pPr>
      <w:r>
        <w:t>Border and security reciprocity: Mexico gains stronger continental action against illegal firearms, illicit finance, stolen vehicles, precursor networks and organized crime while retaining exclusive command and operational authority over Mexican officers and territory.</w:t>
      </w:r>
    </w:p>
    <w:p>
      <w:pPr>
        <w:pStyle w:val="ListBullet"/>
      </w:pPr>
      <w:r>
        <w:t>Labour symmetry and dignity: facility-specific and systemic labour enforcement is framed as genuinely trilateral; Mexico-specific reform history creates no presumption of Mexican wrongdoing or weaker obligations in Canada or the United States.</w:t>
      </w:r>
    </w:p>
    <w:p>
      <w:pPr>
        <w:pStyle w:val="ListBullet"/>
      </w:pPr>
      <w:r>
        <w:t>Defence-industrial participation: Mexico can participate through strategic materials, electronics, cold-weather equipment, pharmaceutical supply, logistics, manufacturing, research and resilience without being artificially inserted into Canadian-U.S. Arctic operational command.</w:t>
      </w:r>
    </w:p>
    <w:p>
      <w:pPr>
        <w:pStyle w:val="ListBullet"/>
      </w:pPr>
      <w:r>
        <w:t>Treaty continuity and external sovereignty: bilateral disputes cannot create de facto renewal uncertainty for unrelated Mexican trade, and Mexico retains sovereign authority over non-Party trade, investment and foreign-economic relationships without another Party holding a veto.</w:t>
      </w:r>
    </w:p>
    <w:p>
      <w:pPr>
        <w:pStyle w:val="ListBullet"/>
      </w:pPr>
      <w:r>
        <w:t>Commercial wins: Mexico may maintain its own Chapter 64 national presentation highlighting verified exports, contracts, procurement, industrial upgrading, SMEs, regional investment and supply-chain gains using the same evidentiary standards as the U.S. and Canadian ledgers.</w:t>
      </w:r>
    </w:p>
    <w:p>
      <w:pPr>
        <w:pStyle w:val="Normal"/>
      </w:pPr>
      <w:r>
        <w:t>Visibility principle. Detailed treaty engineering should remain underneath these headlines. The summary is intended to make the negotiated exchange legible in seconds without weakening the legal precision, safety authority, sovereignty protections, trilateral balance, or no-uncompensated-front-loading rules that govern performance.</w:t>
      </w:r>
    </w:p>
    <w:p>
      <w:pPr>
        <w:pStyle w:val="Normal"/>
      </w:pPr>
      <w:r>
        <w:t>Discoverability note. The agreement now includes a non-operative Subject-Matter Visibility and Search Index immediately before Chapter 1. It intentionally repeats common synonyms, alternate spellings, and distributed package names so major protections cannot disappear merely because a reader searches the wrong label.</w:t>
      </w:r>
    </w:p>
    <w:p>
      <w:pPr>
        <w:pStyle w:val="Normal"/>
      </w:pPr>
      <w:r>
        <w:t>★ Trilateral conservation win: Great Whale Compact, safer shipping, safer fisheries, stronger whale recovery, and serious lifelong care for captive cetaceans</w:t>
      </w:r>
    </w:p>
    <w:p>
      <w:pPr>
        <w:pStyle w:val="Normal"/>
      </w:pPr>
      <w:r>
        <w:t>Chapter 68 establishes a science-first North American cetacean framework built around adaptive vessel and fishery management, whale-safe gear transition, a continental detection network, rescue and veterinary capacity, species-specific recovery, Indigenous stewardship, captive-cetacean welfare, qualified sanctuary pathways, and transparent recovery measurement. Experimental or legally uncertain measures remain optional until validated and authorized.</w:t>
      </w:r>
    </w:p>
    <w:p>
      <w:pPr>
        <w:pStyle w:val="TrumpVisibilityHeadline"/>
      </w:pPr>
      <w:r>
        <w:t>Subject-Matter Visibility and Search Index: Non-Operative</w:t>
      </w:r>
    </w:p>
    <w:p>
      <w:pPr>
        <w:pStyle w:val="Normal"/>
      </w:pPr>
      <w:r>
        <w:t>Purpose. This index is a navigation and discoverability aid only. It does not amend, enlarge, narrow, activate, suspend, or independently enforce any treaty obligation. It deliberately repeats ordinary-language and alternate search terms so that human readers, document-search systems, and AI retrieval tools can locate distributed architecture.</w:t>
      </w:r>
    </w:p>
    <w:p>
      <w:pPr>
        <w:pStyle w:val="Heading2"/>
      </w:pPr>
      <w:bookmarkStart w:id="900008" w:name="_Toc300000007"/>
      <w:r>
        <w:t>Search aliases: high-value cross-cutting terms</w:t>
      </w:r>
      <w:bookmarkEnd w:id="900008"/>
    </w:p>
    <w:p>
      <w:pPr>
        <w:pStyle w:val="ListBullet"/>
        <w:numPr>
          <w:ilvl w:val="0"/>
          <w:numId w:val="1"/>
        </w:numPr>
      </w:pPr>
      <w:r>
        <w:t>Labor / Labour / Worker Rights / Workers' Rights / Collective Bargaining / Freedom Of Association / Forced Labor / Forced Labour / Child Labor / Child Labour / Wages / Hours / Occupational Safety / Migrant Workers. Primary location: Chapter 23 Labor, Annex 23-A, facility-specific labor enforcement, and later modernization and sectoral worker-rights provisions.</w:t>
      </w:r>
    </w:p>
    <w:p>
      <w:pPr>
        <w:pStyle w:val="ListBullet"/>
        <w:numPr>
          <w:ilvl w:val="0"/>
          <w:numId w:val="1"/>
        </w:numPr>
      </w:pPr>
      <w:r>
        <w:t>Immigration / Migration / Migrant / Asylum / Refugee / Non-refoulement / Deportation / Removal / Detention / Family Unity / Humanitarian Protection / Sensitive Locations / Civil Immigration Custody. Primary locations: Chapter 16 mobility plus Packages BN, BQ, BS, BW, and BX.</w:t>
      </w:r>
    </w:p>
    <w:p>
      <w:pPr>
        <w:pStyle w:val="ListBullet"/>
        <w:numPr>
          <w:ilvl w:val="0"/>
          <w:numId w:val="1"/>
        </w:numPr>
      </w:pPr>
      <w:r>
        <w:t>Human Rights / Human Dignity / Rule Of Law / Due Process / Legal Access / Detention / Custody / Torture / Medical Care / Non-discrimination / Family Unity. Primary locations: Packages BN through BX and the specialized custodial Packages CH through CK.</w:t>
      </w:r>
    </w:p>
    <w:p>
      <w:pPr>
        <w:pStyle w:val="ListBullet"/>
        <w:numPr>
          <w:ilvl w:val="0"/>
          <w:numId w:val="1"/>
        </w:numPr>
      </w:pPr>
      <w:r>
        <w:t>Prisoner / Prison / Incarceration / Correctional / Corrections / Jail / Pretrial Detention / Solitary Confinement / Restrictive Housing / Prison Labour / Prison Labor / Custodial Dignity. Primary locations: Packages CH, CI, CJ, CK and Annexes Ch-a and Ch-b; civil immigration detention remains principally in Package BS.</w:t>
      </w:r>
    </w:p>
    <w:p>
      <w:pPr>
        <w:pStyle w:val="ListBullet"/>
        <w:numPr>
          <w:ilvl w:val="0"/>
          <w:numId w:val="1"/>
        </w:numPr>
      </w:pPr>
      <w:r>
        <w:t>Indigenous / Indigenous Peoples / First Nations / Inuit / Métis / Tribal / Native / Treaty Rights / Consultation / Self-government. Search across the general exceptions and rights provisions, procurement and handicraft rules, resource and infrastructure chapters, and relevant optional justice/corrections modules.</w:t>
      </w:r>
    </w:p>
    <w:p>
      <w:pPr>
        <w:pStyle w:val="ListBullet"/>
        <w:numPr>
          <w:ilvl w:val="0"/>
          <w:numId w:val="1"/>
        </w:numPr>
      </w:pPr>
      <w:r>
        <w:t>Digital Trade / Data / Privacy / Cybersecurity / Source Code / Algorithm / Artificial Intelligence / AI / Automated Decision-making / Online Safety. Primary locations: Chapter 19 Digital Trade and its CUSMA 2.0 modernization provisions, with related sectoral and custodial automation rules.</w:t>
      </w:r>
    </w:p>
    <w:p>
      <w:pPr>
        <w:pStyle w:val="ListBullet"/>
        <w:numPr>
          <w:ilvl w:val="0"/>
          <w:numId w:val="1"/>
        </w:numPr>
      </w:pPr>
      <w:r>
        <w:t>Critical Minerals / Strategic Materials / Rare Earths / Graphite / Lithium / Nickel / Cobalt / Processing / Refining / Stockpile / Offtake / Recycling. Primary location: Chapter 37 and related strategic-supply and sectoral packages.</w:t>
      </w:r>
    </w:p>
    <w:p>
      <w:pPr>
        <w:pStyle w:val="ListBullet"/>
        <w:numPr>
          <w:ilvl w:val="0"/>
          <w:numId w:val="1"/>
        </w:numPr>
      </w:pPr>
      <w:r>
        <w:t>Energy / Energy Security / Electricity / Grid / Pipeline / Storage / Clean Power / Cybersecurity / Critical Infrastructure. Primary location: Chapter 40 and related strategic-infrastructure and emergency-continuity provisions.</w:t>
      </w:r>
    </w:p>
    <w:p>
      <w:pPr>
        <w:pStyle w:val="ListBullet"/>
        <w:numPr>
          <w:ilvl w:val="0"/>
          <w:numId w:val="1"/>
        </w:numPr>
      </w:pPr>
      <w:r>
        <w:t>Environment / Climate / Biodiversity / Wildfire / Forestry / Fisheries / Marine Mammals / Whales / Pollution / Conservation / Circular Production. Primary locations: Chapter 24 Environment, forestry and wildfire modernization provisions, and Chapter 68 Great Whale Compact.</w:t>
      </w:r>
    </w:p>
    <w:p>
      <w:pPr>
        <w:pStyle w:val="ListBullet"/>
        <w:numPr>
          <w:ilvl w:val="0"/>
          <w:numId w:val="1"/>
        </w:numPr>
      </w:pPr>
      <w:r>
        <w:t>Border Security / Fentanyl / Precursors / Scanners / Customs Targeting / North American Shield / Sensitive-location Protection. Search the customs and border chapters plus the later border-security packages.</w:t>
      </w:r>
    </w:p>
    <w:p>
      <w:pPr>
        <w:pStyle w:val="ListBullet"/>
        <w:numPr>
          <w:ilvl w:val="0"/>
          <w:numId w:val="1"/>
        </w:numPr>
      </w:pPr>
      <w:r>
        <w:t>Trade Remedies / Tariffs / Retaliation / Snapback / Step-back / Earn-back / Cothrom / No-fade / No Uncompensated Front-loading / Proportional Trade Adjustment. Primary locations: Chapters 10, 31, 35 and associated treaty-integrity architecture.</w:t>
      </w:r>
    </w:p>
    <w:p>
      <w:pPr>
        <w:pStyle w:val="Heading2"/>
      </w:pPr>
      <w:bookmarkStart w:id="900009" w:name="_Toc300000008"/>
      <w:r>
        <w:t>I. Foundational, Institutional, Transparency and Dispute Settlement</w:t>
      </w:r>
      <w:bookmarkEnd w:id="900009"/>
    </w:p>
    <w:p>
      <w:pPr>
        <w:pStyle w:val="Normal"/>
      </w:pPr>
      <w:r>
        <w:t>Search: Initial Provisions; General Definitions; Free Trade Commission; Secretariat; Publication; Transparency; Administrative Proceedings; General Exceptions; Essential Security; Indigenous Peoples; Final Provisions; Amendment; Withdrawal; Periodic Review; Consultations; Panel; Compliance; Suspension Of Benefits; Anti-deadlock.</w:t>
      </w:r>
    </w:p>
    <w:p>
      <w:pPr>
        <w:pStyle w:val="Heading2"/>
      </w:pPr>
      <w:bookmarkStart w:id="900010" w:name="_Toc300000009"/>
      <w:r>
        <w:t>II. Trade In Goods, Origin, Customs and Remedies</w:t>
      </w:r>
      <w:bookmarkEnd w:id="900010"/>
    </w:p>
    <w:p>
      <w:pPr>
        <w:pStyle w:val="Normal"/>
      </w:pPr>
      <w:r>
        <w:t>Search: National Treatment; Market Access; Customs Duties; Tariff-rate Quota; TRQ; Drawback; Temporary Admission; Import Restriction; Rules Of Origin; RVC; Automotive 75% 80% 85%; Melted And Poured; Smelted And Cast; De Minimis; Accumulation; Certification Of Origin; Verification; Advance Ruling; Single Window; AEO; Trusted Trader; Textiles; Tpl; Safeguard; Antidumping; Countervailing; Binational Panel; Duty Evasion.</w:t>
      </w:r>
    </w:p>
    <w:p>
      <w:pPr>
        <w:pStyle w:val="Heading2"/>
      </w:pPr>
      <w:bookmarkStart w:id="900011" w:name="_Toc300000010"/>
      <w:r>
        <w:t>III. Agriculture, Food and Sector-specific Goods</w:t>
      </w:r>
      <w:bookmarkEnd w:id="900011"/>
    </w:p>
    <w:p>
      <w:pPr>
        <w:pStyle w:val="Normal"/>
      </w:pPr>
      <w:r>
        <w:t>Search: Agriculture; Dairy; Milk Class; Supply Management; TRQ; Sugar; Poultry; Eggs; Biotechnology; SPS; Sanitary; Phytosanitary; TBT; Technical Barriers; Chemicals; Cosmetics; Medical Devices; Pharmaceuticals; Aviation Certification; Alcohol; Wine; Spirits; Beer.</w:t>
      </w:r>
    </w:p>
    <w:p>
      <w:pPr>
        <w:pStyle w:val="Heading2"/>
      </w:pPr>
      <w:bookmarkStart w:id="900012" w:name="_Toc300000011"/>
      <w:r>
        <w:t>IV. Services, Investment, Mobility, Finance, Digital and Telecom</w:t>
      </w:r>
      <w:bookmarkEnd w:id="900012"/>
    </w:p>
    <w:p>
      <w:pPr>
        <w:pStyle w:val="Normal"/>
      </w:pPr>
      <w:r>
        <w:t>Search: Cross-border Services; Professional Services; Temporary Entry; Business Visitor; Intra-company Transferee; Professional; Financial Services; Investment; Expropriation; Performance Requirements; Digital Trade; Data Flows; Data Localization; Source Code; AI; Cybersecurity; Telecommunications; Interconnection; Roaming.</w:t>
      </w:r>
    </w:p>
    <w:p>
      <w:pPr>
        <w:pStyle w:val="Heading2"/>
      </w:pPr>
      <w:bookmarkStart w:id="900013" w:name="_Toc300000012"/>
      <w:r>
        <w:t>V. Intellectual Property, State Enterprises, Competition and Procurement</w:t>
      </w:r>
      <w:bookmarkEnd w:id="900013"/>
    </w:p>
    <w:p>
      <w:pPr>
        <w:pStyle w:val="Normal"/>
      </w:pPr>
      <w:r>
        <w:t>Search: Trademark; Geographical Indication; Patent; Copyright; Biologics; Test Data; Trade Secret; ISP Safe Harbor; SOE; State-owned Enterprise; Monopoly; Competition; Consumer Protection; Government Procurement; Tender; Domestic Review.</w:t>
      </w:r>
    </w:p>
    <w:p>
      <w:pPr>
        <w:pStyle w:val="Heading2"/>
      </w:pPr>
      <w:bookmarkStart w:id="900014" w:name="_Toc300000013"/>
      <w:r>
        <w:t>VI. Labor / Labour and Worker Protection</w:t>
      </w:r>
      <w:bookmarkEnd w:id="900014"/>
    </w:p>
    <w:p>
      <w:pPr>
        <w:pStyle w:val="Normal"/>
      </w:pPr>
      <w:r>
        <w:t>Search: Chapter 23 Labor; Labour Rights; Freedom Of Association; Collective Bargaining; Forced Or Compulsory Labor; Child Labor; Discrimination; Minimum Wage; Hours Of Work; Occupational Safety And Health; Non-derogation; Violence Against Workers; Migrant Worker; Annex 23-A; Rapid Response Labor Mechanism; Public Submissions; Independent Factual Verification.</w:t>
      </w:r>
    </w:p>
    <w:p>
      <w:pPr>
        <w:pStyle w:val="Heading2"/>
      </w:pPr>
      <w:bookmarkStart w:id="900015" w:name="_Toc300000014"/>
      <w:r>
        <w:t>VII. Environment, Forestry, Wildfire and Conservation</w:t>
      </w:r>
      <w:bookmarkEnd w:id="900015"/>
    </w:p>
    <w:p>
      <w:pPr>
        <w:pStyle w:val="Normal"/>
      </w:pPr>
      <w:r>
        <w:t>Search: Chapter 24 Environment; Environmental Law; Ozone; Marine Pollution; Air Quality; Marine Litter; Biodiversity; Invasive Species; Fisheries; IUU Fishing; Sharks; Sea Turtles; Seabirds; Marine Mammals; Fisheries Subsidies; CITES; Forest Management; Environmental Goods; Wildfire; Smoke; Storm-damaged Forest Fuel; Traceability; Circular Production; Chapter 68 Great Whale Compact.</w:t>
      </w:r>
    </w:p>
    <w:p>
      <w:pPr>
        <w:pStyle w:val="Heading2"/>
      </w:pPr>
      <w:bookmarkStart w:id="900016" w:name="_Toc300000015"/>
      <w:r>
        <w:t>VIII. Strategic, Security, Minerals, Energy and Emergency Continuity</w:t>
      </w:r>
      <w:bookmarkEnd w:id="900016"/>
    </w:p>
    <w:p>
      <w:pPr>
        <w:pStyle w:val="Normal"/>
      </w:pPr>
      <w:r>
        <w:t>Search: Chapter 35 Treaty Integrity; Proportional Trade Adjustment; PTA; Verification Panel; Escrow; Step-back; Earn-back; No-fade; Chapter 36 Economic Security; TNAO; Forced-labor Perimeter; Steel; Aluminum; Semiconductors; Chapter 37 Critical Minerals; Stockpiles; Chapter 38 Emergency Trade Continuity; Health Security; Food Security; Cyber Incident; Chapter 40 Energy Security; Grid Resilience; Electricity; Storage; Critical Infrastructure Cybersecurity.</w:t>
      </w:r>
    </w:p>
    <w:p>
      <w:pPr>
        <w:pStyle w:val="Heading2"/>
      </w:pPr>
      <w:bookmarkStart w:id="900017" w:name="_Toc300000016"/>
      <w:r>
        <w:t>IX. Inclusive Trade, SMEs, Competitiveness, Anticorruption and Regulation</w:t>
      </w:r>
      <w:bookmarkEnd w:id="900017"/>
    </w:p>
    <w:p>
      <w:pPr>
        <w:pStyle w:val="Normal"/>
      </w:pPr>
      <w:r>
        <w:t>Search: SME; Small And Medium-sized Enterprise; Export Fast Lane; Compliance Gateway; Competitiveness; Supply Chain Resilience; Infrastructure; Anticorruption; Public Official; Good Regulatory Practice; Regulatory Impact Assessment; Macroeconomic Policy; Exchange Rate.</w:t>
      </w:r>
    </w:p>
    <w:p>
      <w:pPr>
        <w:pStyle w:val="Heading2"/>
      </w:pPr>
      <w:bookmarkStart w:id="900018" w:name="_Toc300000017"/>
      <w:r>
        <w:t>X. Mobility, Immigration, Asylum and Humanitarian Protection</w:t>
      </w:r>
      <w:bookmarkEnd w:id="900018"/>
    </w:p>
    <w:p>
      <w:pPr>
        <w:pStyle w:val="Normal"/>
      </w:pPr>
      <w:r>
        <w:t>Search: Chapter 16 Temporary Entry; Trusted North American Visitor; Package BN Mobility Migration Human Dignity; Human Being Not A Trade Concession; Package BQ Refugee Asylum Trafficking Humanitarian Protection; Non-refoulement; Package BS Humane Custody Detention Alternatives Sensitive-location Protection; Family Unity; Package BW Human Dignity Rule Of Law; Package BX Human-rights-conditioned Trade.</w:t>
      </w:r>
    </w:p>
    <w:p>
      <w:pPr>
        <w:pStyle w:val="Heading2"/>
      </w:pPr>
      <w:bookmarkStart w:id="900019" w:name="_Toc300000018"/>
      <w:r>
        <w:t>XI. Custodial, Prisoner and Correctional Rights</w:t>
      </w:r>
      <w:bookmarkEnd w:id="900019"/>
    </w:p>
    <w:p>
      <w:pPr>
        <w:pStyle w:val="Normal"/>
      </w:pPr>
      <w:r>
        <w:t>Search: Package CH Custodial Dignity Safe Corrections; Package CI Flexible Safe-corrections; Package CJ Implementation Review Cure; Package CK Red-team Hardening; Annex Ch-a Advanced Correctional Reform; Annex Ch-b Experimentation; Food; Water; Healthcare; Medication; Mental Health; Disability; Use Of Force; Restraints; Searches; Solitary Confinement; Restrictive Housing; Legal Access; Grievance; Inspection; Prison Labour; Prison Labor; Pregnancy; Consular Access; Contractors; Pretrial.</w:t>
      </w:r>
    </w:p>
    <w:p>
      <w:pPr>
        <w:pStyle w:val="Heading2"/>
      </w:pPr>
      <w:bookmarkStart w:id="900020" w:name="_Toc300000019"/>
      <w:r>
        <w:t>XII. Side Letters, Annexes and Non-conforming Measures</w:t>
      </w:r>
      <w:bookmarkEnd w:id="900020"/>
    </w:p>
    <w:p>
      <w:pPr>
        <w:pStyle w:val="Normal"/>
      </w:pPr>
      <w:r>
        <w:t>Search: Side Letter; Section 232; Auto Safety; Cheese; Distilled Spirits; Wine; Natural Water; Energy; Research And Development; Ramsar; Annex I; Annex II; Annex III; Annex IV; Non-conforming Measure; Services Reservation; Investment Reservation; Financial Services Reservation; SOE Reservation.</w:t>
      </w:r>
    </w:p>
    <w:p>
      <w:pPr>
        <w:pStyle w:val="Normal"/>
      </w:pPr>
      <w:r>
        <w:t>Visibility rule. When a major subject is governed by multiple Chapters, Packages, Annexes, or modernization provisions, an index or signpost may repeat the subject name and common synonyms without creating a new legal obligation. Searchability is an interpretive aid, not an independent source of rights or duties.</w:t>
      </w:r>
    </w:p>
    <w:p>
      <w:pPr>
        <w:pStyle w:val="Heading1"/>
      </w:pPr>
      <w:bookmarkStart w:id="900021" w:name="_Toc300000020"/>
      <w:r>
        <w:t>CHAPTER 1 INITIAL PROVISIONS AND GENERAL DEFINITIONS</w:t>
      </w:r>
      <w:r>
        <w:br/>
      </w:r>
      <w:r>
        <w:t>Section A: Initial Provisions</w:t>
      </w:r>
      <w:bookmarkEnd w:id="900021"/>
    </w:p>
    <w:p>
      <w:pPr>
        <w:pStyle w:val="Heading2"/>
      </w:pPr>
      <w:bookmarkStart w:id="900022" w:name="_Toc300000021"/>
      <w:r>
        <w:t xml:space="preserve">Article 1.1: Establishment of a Free Trade Area</w:t>
      </w:r>
      <w:bookmarkEnd w:id="900022"/>
    </w:p>
    <w:p>
      <w:pPr>
        <w:pStyle w:val="Normal"/>
      </w:pPr>
      <w:r>
        <w:t xml:space="preserve">The Parties, consistent with Article XXIV of the GATT 1994 and Article V of the GATS, hereby establish a free trade area.</w:t>
      </w:r>
    </w:p>
    <w:p>
      <w:pPr>
        <w:pStyle w:val="Heading2"/>
      </w:pPr>
      <w:bookmarkStart w:id="900023" w:name="_Toc300000022"/>
      <w:r>
        <w:t xml:space="preserve">Article 1.2: Relation to Other Agreements</w:t>
      </w:r>
      <w:bookmarkEnd w:id="900023"/>
    </w:p>
    <w:p>
      <w:pPr>
        <w:pStyle w:val="Normal"/>
      </w:pPr>
      <w:r>
        <w:t xml:space="preserve">Each Party affirms its existing rights and obligations with respect to each other under the WTO Agreement and other agreements to which it and another Party are party.</w:t>
      </w:r>
    </w:p>
    <w:p>
      <w:pPr>
        <w:pStyle w:val="Heading2"/>
      </w:pPr>
      <w:bookmarkStart w:id="900024" w:name="_Toc300000023"/>
      <w:r>
        <w:t xml:space="preserve">Article 1.3: Persons Exercising Delegated Governmental Authority</w:t>
      </w:r>
      <w:bookmarkEnd w:id="900024"/>
    </w:p>
    <w:p>
      <w:pPr>
        <w:pStyle w:val="Normal"/>
      </w:pPr>
      <w:r>
        <w:t xml:space="preserve">Each Party shall ensure that a person that has been delegated regulatory, administrative, or other governmental authority by a Party acts in accordance with the Party’s obligations as set out under this Agreement in the exercise of that authority. Section B: General Definitions</w:t>
      </w:r>
    </w:p>
    <w:p>
      <w:pPr>
        <w:pStyle w:val="Heading2"/>
      </w:pPr>
      <w:bookmarkStart w:id="900025" w:name="_Toc300000024"/>
      <w:r>
        <w:rPr>
          <w:b/>
        </w:rPr>
        <w:t>Article 1.4: General Definitions</w:t>
      </w:r>
      <w:bookmarkEnd w:id="900025"/>
    </w:p>
    <w:p>
      <w:pPr>
        <w:pStyle w:val="Normal"/>
      </w:pPr>
      <w:r>
        <w:rPr>
          <w:b w:val="0"/>
        </w:rPr>
        <w:t>For the purposes of this Agreement, unless otherwise provided:</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Term</w:t>
            </w:r>
          </w:p>
        </w:tc>
        <w:tc>
          <w:tcPr>
            <w:tcW w:type="dxa" w:w="4680"/>
            <w:tcBorders>
              <w:bottom w:val="single" w:sz="6" w:space="0" w:color="546E7A"/>
            </w:tcBorders>
            <w:shd w:fill="E4E9EC" w:val="clear" w:color="auto"/>
          </w:tcPr>
          <w:p>
            <w:pPr>
              <w:pStyle w:val="TableText"/>
            </w:pPr>
            <w:r>
              <w:rPr>
                <w:b/>
                <w:color w:val="37474F"/>
              </w:rPr>
              <w:t>Definition</w:t>
            </w:r>
          </w:p>
        </w:tc>
      </w:tr>
      <w:tr>
        <w:trPr>
          <w:cantSplit/>
        </w:trPr>
        <w:tc>
          <w:tcPr>
            <w:tcW w:type="dxa" w:w="4680"/>
            <w:tcMar>
              <w:top w:w="70" w:type="dxa"/>
              <w:start w:w="110" w:type="dxa"/>
              <w:bottom w:w="70" w:type="dxa"/>
              <w:end w:w="110" w:type="dxa"/>
            </w:tcMar>
          </w:tcPr>
          <w:p>
            <w:pPr>
              <w:pStyle w:val="TableText"/>
            </w:pPr>
            <w:r>
              <w:rPr/>
              <w:t>AD Agreement</w:t>
            </w:r>
          </w:p>
        </w:tc>
        <w:tc>
          <w:tcPr>
            <w:tcW w:type="dxa" w:w="4680"/>
            <w:tcMar>
              <w:top w:w="70" w:type="dxa"/>
              <w:start w:w="110" w:type="dxa"/>
              <w:bottom w:w="70" w:type="dxa"/>
              <w:end w:w="110" w:type="dxa"/>
            </w:tcMar>
          </w:tcPr>
          <w:p>
            <w:pPr>
              <w:pStyle w:val="TableText"/>
            </w:pPr>
            <w:r>
              <w:rPr/>
              <w:t>the Agreement on Implementation of Article VI of the General Agreement on Tariffs and Trade 1994,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central level of government</w:t>
            </w:r>
          </w:p>
        </w:tc>
        <w:tc>
          <w:tcPr>
            <w:tcW w:type="dxa" w:w="4680"/>
            <w:shd w:fill="F5F7F8" w:val="clear" w:color="auto"/>
            <w:tcMar>
              <w:top w:w="70" w:type="dxa"/>
              <w:start w:w="110" w:type="dxa"/>
              <w:bottom w:w="70" w:type="dxa"/>
              <w:end w:w="110" w:type="dxa"/>
            </w:tcMar>
          </w:tcPr>
          <w:p>
            <w:pPr>
              <w:pStyle w:val="TableText"/>
            </w:pPr>
            <w:r>
              <w:rPr/>
              <w:t>(a) for Canada, the Government of Canada; (b) for Mexico, the federal level of government; and (c) for the United States, the federal level of government</w:t>
            </w:r>
          </w:p>
        </w:tc>
      </w:tr>
      <w:tr>
        <w:trPr>
          <w:cantSplit/>
        </w:trPr>
        <w:tc>
          <w:tcPr>
            <w:tcW w:type="dxa" w:w="4680"/>
            <w:tcMar>
              <w:top w:w="70" w:type="dxa"/>
              <w:start w:w="110" w:type="dxa"/>
              <w:bottom w:w="70" w:type="dxa"/>
              <w:end w:w="110" w:type="dxa"/>
            </w:tcMar>
          </w:tcPr>
          <w:p>
            <w:pPr>
              <w:pStyle w:val="TableText"/>
            </w:pPr>
            <w:r>
              <w:rPr/>
              <w:t>Commission</w:t>
            </w:r>
          </w:p>
        </w:tc>
        <w:tc>
          <w:tcPr>
            <w:tcW w:type="dxa" w:w="4680"/>
            <w:tcMar>
              <w:top w:w="70" w:type="dxa"/>
              <w:start w:w="110" w:type="dxa"/>
              <w:bottom w:w="70" w:type="dxa"/>
              <w:end w:w="110" w:type="dxa"/>
            </w:tcMar>
          </w:tcPr>
          <w:p>
            <w:pPr>
              <w:pStyle w:val="TableText"/>
            </w:pPr>
            <w:r>
              <w:rPr/>
              <w:t>the Free Trade Commission established under Article 30.1 (Establishment of the Free Trade Commission)</w:t>
            </w:r>
          </w:p>
        </w:tc>
      </w:tr>
      <w:tr>
        <w:trPr>
          <w:cantSplit/>
        </w:trPr>
        <w:tc>
          <w:tcPr>
            <w:tcW w:type="dxa" w:w="4680"/>
            <w:shd w:fill="F5F7F8" w:val="clear" w:color="auto"/>
            <w:tcMar>
              <w:top w:w="70" w:type="dxa"/>
              <w:start w:w="110" w:type="dxa"/>
              <w:bottom w:w="70" w:type="dxa"/>
              <w:end w:w="110" w:type="dxa"/>
            </w:tcMar>
          </w:tcPr>
          <w:p>
            <w:pPr>
              <w:pStyle w:val="TableText"/>
            </w:pPr>
            <w:r>
              <w:rPr/>
              <w:t>covered investment</w:t>
            </w:r>
          </w:p>
        </w:tc>
        <w:tc>
          <w:tcPr>
            <w:tcW w:type="dxa" w:w="4680"/>
            <w:shd w:fill="F5F7F8" w:val="clear" w:color="auto"/>
            <w:tcMar>
              <w:top w:w="70" w:type="dxa"/>
              <w:start w:w="110" w:type="dxa"/>
              <w:bottom w:w="70" w:type="dxa"/>
              <w:end w:w="110" w:type="dxa"/>
            </w:tcMar>
          </w:tcPr>
          <w:p>
            <w:pPr>
              <w:pStyle w:val="TableText"/>
            </w:pPr>
            <w:r>
              <w:rPr/>
              <w:t>with respect to a Party, an investment in its territory of an investor of another Party in existence as of the date of entry into force of this Agreement or established, acquired, or expanded thereafter</w:t>
            </w:r>
          </w:p>
        </w:tc>
      </w:tr>
      <w:tr>
        <w:trPr>
          <w:cantSplit/>
        </w:trPr>
        <w:tc>
          <w:tcPr>
            <w:tcW w:type="dxa" w:w="4680"/>
            <w:tcMar>
              <w:top w:w="70" w:type="dxa"/>
              <w:start w:w="110" w:type="dxa"/>
              <w:bottom w:w="70" w:type="dxa"/>
              <w:end w:w="110" w:type="dxa"/>
            </w:tcMar>
          </w:tcPr>
          <w:p>
            <w:pPr>
              <w:pStyle w:val="TableText"/>
            </w:pPr>
            <w:r>
              <w:rPr/>
              <w:t>customs administration</w:t>
            </w:r>
          </w:p>
        </w:tc>
        <w:tc>
          <w:tcPr>
            <w:tcW w:type="dxa" w:w="4680"/>
            <w:tcMar>
              <w:top w:w="70" w:type="dxa"/>
              <w:start w:w="110" w:type="dxa"/>
              <w:bottom w:w="70" w:type="dxa"/>
              <w:end w:w="110" w:type="dxa"/>
            </w:tcMar>
          </w:tcPr>
          <w:p>
            <w:pPr>
              <w:pStyle w:val="TableText"/>
            </w:pPr>
            <w:r>
              <w:rPr/>
              <w:t>the competent authority that is responsible under the law of a Party for the administration of customs laws and regulations or any successor of such customs administration</w:t>
            </w:r>
          </w:p>
        </w:tc>
      </w:tr>
      <w:tr>
        <w:trPr>
          <w:cantSplit/>
        </w:trPr>
        <w:tc>
          <w:tcPr>
            <w:tcW w:type="dxa" w:w="4680"/>
            <w:shd w:fill="F5F7F8" w:val="clear" w:color="auto"/>
            <w:tcMar>
              <w:top w:w="70" w:type="dxa"/>
              <w:start w:w="110" w:type="dxa"/>
              <w:bottom w:w="70" w:type="dxa"/>
              <w:end w:w="110" w:type="dxa"/>
            </w:tcMar>
          </w:tcPr>
          <w:p>
            <w:pPr>
              <w:pStyle w:val="TableText"/>
            </w:pPr>
            <w:r>
              <w:rPr/>
              <w:t>customs duty</w:t>
            </w:r>
          </w:p>
        </w:tc>
        <w:tc>
          <w:tcPr>
            <w:tcW w:type="dxa" w:w="4680"/>
            <w:shd w:fill="F5F7F8" w:val="clear" w:color="auto"/>
            <w:tcMar>
              <w:top w:w="70" w:type="dxa"/>
              <w:start w:w="110" w:type="dxa"/>
              <w:bottom w:w="70" w:type="dxa"/>
              <w:end w:w="110" w:type="dxa"/>
            </w:tcMar>
          </w:tcPr>
          <w:p>
            <w:pPr>
              <w:pStyle w:val="TableText"/>
            </w:pPr>
            <w:r>
              <w:rPr/>
              <w:t>includes a duty or charge of any 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services rendered; (c) antidumping or countervailing duty; and (d) premium offered or collected on an imported good arising out of any tendering system in respect of the administration of quantitative import restrictions, tariff rate quotas, or tariff preference levels</w:t>
            </w:r>
          </w:p>
        </w:tc>
      </w:tr>
      <w:tr>
        <w:trPr>
          <w:cantSplit/>
        </w:trPr>
        <w:tc>
          <w:tcPr>
            <w:tcW w:type="dxa" w:w="4680"/>
            <w:tcMar>
              <w:top w:w="70" w:type="dxa"/>
              <w:start w:w="110" w:type="dxa"/>
              <w:bottom w:w="70" w:type="dxa"/>
              <w:end w:w="110" w:type="dxa"/>
            </w:tcMar>
          </w:tcPr>
          <w:p>
            <w:pPr>
              <w:pStyle w:val="TableText"/>
            </w:pPr>
            <w:r>
              <w:rPr/>
              <w:t>customs offense</w:t>
            </w:r>
          </w:p>
        </w:tc>
        <w:tc>
          <w:tcPr>
            <w:tcW w:type="dxa" w:w="4680"/>
            <w:tcMar>
              <w:top w:w="70" w:type="dxa"/>
              <w:start w:w="110" w:type="dxa"/>
              <w:bottom w:w="70" w:type="dxa"/>
              <w:end w:w="110" w:type="dxa"/>
            </w:tcMar>
          </w:tcPr>
          <w:p>
            <w:pPr>
              <w:pStyle w:val="TableText"/>
            </w:pPr>
            <w:r>
              <w:rPr/>
              <w:t>any act committed for the purpose of, or having the effect of, avoiding a Party’s laws or regulations pertaining to the provisions of this Agreement governing importations or exportations of goods between, or transit of goods through, the territories of the Parties, specifically those that violate a customs law or regulation for restrictions or prohibitions on imports or exports, duty evasion, transshipment, falsification of documents relating to the importation or exportation of goods, fraud, or smuggling of goods</w:t>
            </w:r>
          </w:p>
        </w:tc>
      </w:tr>
      <w:tr>
        <w:trPr>
          <w:cantSplit/>
        </w:trPr>
        <w:tc>
          <w:tcPr>
            <w:tcW w:type="dxa" w:w="4680"/>
            <w:shd w:fill="F5F7F8" w:val="clear" w:color="auto"/>
            <w:tcMar>
              <w:top w:w="70" w:type="dxa"/>
              <w:start w:w="110" w:type="dxa"/>
              <w:bottom w:w="70" w:type="dxa"/>
              <w:end w:w="110" w:type="dxa"/>
            </w:tcMar>
          </w:tcPr>
          <w:p>
            <w:pPr>
              <w:pStyle w:val="TableText"/>
            </w:pPr>
            <w:r>
              <w:rPr/>
              <w:t>Customs Valuation Agreement</w:t>
            </w:r>
          </w:p>
        </w:tc>
        <w:tc>
          <w:tcPr>
            <w:tcW w:type="dxa" w:w="4680"/>
            <w:shd w:fill="F5F7F8" w:val="clear" w:color="auto"/>
            <w:tcMar>
              <w:top w:w="70" w:type="dxa"/>
              <w:start w:w="110" w:type="dxa"/>
              <w:bottom w:w="70" w:type="dxa"/>
              <w:end w:w="110" w:type="dxa"/>
            </w:tcMar>
          </w:tcPr>
          <w:p>
            <w:pPr>
              <w:pStyle w:val="TableText"/>
            </w:pPr>
            <w:r>
              <w:rPr/>
              <w:t>the Agreement on Implementation of Article VII of the General Agreement on Tariffs and Trade, set out in Annex 1A to the WTO Agreement</w:t>
            </w:r>
          </w:p>
        </w:tc>
      </w:tr>
      <w:tr>
        <w:trPr>
          <w:cantSplit/>
        </w:trPr>
        <w:tc>
          <w:tcPr>
            <w:tcW w:type="dxa" w:w="4680"/>
            <w:tcMar>
              <w:top w:w="70" w:type="dxa"/>
              <w:start w:w="110" w:type="dxa"/>
              <w:bottom w:w="70" w:type="dxa"/>
              <w:end w:w="110" w:type="dxa"/>
            </w:tcMar>
          </w:tcPr>
          <w:p>
            <w:pPr>
              <w:pStyle w:val="TableText"/>
            </w:pPr>
            <w:r>
              <w:rPr/>
              <w:t>days</w:t>
            </w:r>
          </w:p>
        </w:tc>
        <w:tc>
          <w:tcPr>
            <w:tcW w:type="dxa" w:w="4680"/>
            <w:tcMar>
              <w:top w:w="70" w:type="dxa"/>
              <w:start w:w="110" w:type="dxa"/>
              <w:bottom w:w="70" w:type="dxa"/>
              <w:end w:w="110" w:type="dxa"/>
            </w:tcMar>
          </w:tcPr>
          <w:p>
            <w:pPr>
              <w:pStyle w:val="TableText"/>
            </w:pPr>
            <w:r>
              <w:rPr/>
              <w:t>calendar days, including weekends and holidays</w:t>
            </w:r>
          </w:p>
        </w:tc>
      </w:tr>
      <w:tr>
        <w:trPr>
          <w:cantSplit/>
        </w:trPr>
        <w:tc>
          <w:tcPr>
            <w:tcW w:type="dxa" w:w="4680"/>
            <w:shd w:fill="F5F7F8" w:val="clear" w:color="auto"/>
            <w:tcMar>
              <w:top w:w="70" w:type="dxa"/>
              <w:start w:w="110" w:type="dxa"/>
              <w:bottom w:w="70" w:type="dxa"/>
              <w:end w:w="110" w:type="dxa"/>
            </w:tcMar>
          </w:tcPr>
          <w:p>
            <w:pPr>
              <w:pStyle w:val="TableText"/>
            </w:pPr>
            <w:r>
              <w:rPr/>
              <w:t>Dispute Settlement Understanding (DSU)</w:t>
            </w:r>
          </w:p>
        </w:tc>
        <w:tc>
          <w:tcPr>
            <w:tcW w:type="dxa" w:w="4680"/>
            <w:shd w:fill="F5F7F8" w:val="clear" w:color="auto"/>
            <w:tcMar>
              <w:top w:w="70" w:type="dxa"/>
              <w:start w:w="110" w:type="dxa"/>
              <w:bottom w:w="70" w:type="dxa"/>
              <w:end w:w="110" w:type="dxa"/>
            </w:tcMar>
          </w:tcPr>
          <w:p>
            <w:pPr>
              <w:pStyle w:val="TableText"/>
            </w:pPr>
            <w:r>
              <w:rPr/>
              <w:t>the Understanding on Rules and Procedures Governing the Settlement of Disputes, set out in Annex 2 to the WTO Agreement</w:t>
            </w:r>
          </w:p>
        </w:tc>
      </w:tr>
      <w:tr>
        <w:trPr>
          <w:cantSplit/>
        </w:trPr>
        <w:tc>
          <w:tcPr>
            <w:tcW w:type="dxa" w:w="4680"/>
            <w:tcMar>
              <w:top w:w="70" w:type="dxa"/>
              <w:start w:w="110" w:type="dxa"/>
              <w:bottom w:w="70" w:type="dxa"/>
              <w:end w:w="110" w:type="dxa"/>
            </w:tcMar>
          </w:tcPr>
          <w:p>
            <w:pPr>
              <w:pStyle w:val="TableText"/>
            </w:pPr>
            <w:r>
              <w:rPr/>
              <w:t>duty deferral program</w:t>
            </w:r>
          </w:p>
        </w:tc>
        <w:tc>
          <w:tcPr>
            <w:tcW w:type="dxa" w:w="4680"/>
            <w:tcMar>
              <w:top w:w="70" w:type="dxa"/>
              <w:start w:w="110" w:type="dxa"/>
              <w:bottom w:w="70" w:type="dxa"/>
              <w:end w:w="110" w:type="dxa"/>
            </w:tcMar>
          </w:tcPr>
          <w:p>
            <w:pPr>
              <w:pStyle w:val="TableText"/>
            </w:pPr>
            <w:r>
              <w:rPr/>
              <w:t>includes measures such as those governing foreign trade zones, temporary importations under bond, bonded warehouses, “maquiladoras”, and inward processing programs</w:t>
            </w:r>
          </w:p>
        </w:tc>
      </w:tr>
      <w:tr>
        <w:trPr>
          <w:cantSplit/>
        </w:trPr>
        <w:tc>
          <w:tcPr>
            <w:tcW w:type="dxa" w:w="4680"/>
            <w:shd w:fill="F5F7F8" w:val="clear" w:color="auto"/>
            <w:tcMar>
              <w:top w:w="70" w:type="dxa"/>
              <w:start w:w="110" w:type="dxa"/>
              <w:bottom w:w="70" w:type="dxa"/>
              <w:end w:w="110" w:type="dxa"/>
            </w:tcMar>
          </w:tcPr>
          <w:p>
            <w:pPr>
              <w:pStyle w:val="TableText"/>
            </w:pPr>
            <w:r>
              <w:rPr/>
              <w:t>enterprise</w:t>
            </w:r>
          </w:p>
        </w:tc>
        <w:tc>
          <w:tcPr>
            <w:tcW w:type="dxa" w:w="4680"/>
            <w:shd w:fill="F5F7F8" w:val="clear" w:color="auto"/>
            <w:tcMar>
              <w:top w:w="70" w:type="dxa"/>
              <w:start w:w="110" w:type="dxa"/>
              <w:bottom w:w="70" w:type="dxa"/>
              <w:end w:w="110" w:type="dxa"/>
            </w:tcMar>
          </w:tcPr>
          <w:p>
            <w:pPr>
              <w:pStyle w:val="TableText"/>
            </w:pPr>
            <w:r>
              <w:rPr/>
              <w:t>an entity constituted or organized under applicable law, whether or not for profit, and whether privately-owned or governmentally-owned or controlled, including a corporation, trust, partnership, sole proprietorship, joint venture, association or similar organization</w:t>
            </w:r>
          </w:p>
        </w:tc>
      </w:tr>
      <w:tr>
        <w:trPr>
          <w:cantSplit/>
        </w:trPr>
        <w:tc>
          <w:tcPr>
            <w:tcW w:type="dxa" w:w="4680"/>
            <w:tcMar>
              <w:top w:w="70" w:type="dxa"/>
              <w:start w:w="110" w:type="dxa"/>
              <w:bottom w:w="70" w:type="dxa"/>
              <w:end w:w="110" w:type="dxa"/>
            </w:tcMar>
          </w:tcPr>
          <w:p>
            <w:pPr>
              <w:pStyle w:val="TableText"/>
            </w:pPr>
            <w:r>
              <w:rPr/>
              <w:t>enterprise of a Party</w:t>
            </w:r>
          </w:p>
        </w:tc>
        <w:tc>
          <w:tcPr>
            <w:tcW w:type="dxa" w:w="4680"/>
            <w:tcMar>
              <w:top w:w="70" w:type="dxa"/>
              <w:start w:w="110" w:type="dxa"/>
              <w:bottom w:w="70" w:type="dxa"/>
              <w:end w:w="110" w:type="dxa"/>
            </w:tcMar>
          </w:tcPr>
          <w:p>
            <w:pPr>
              <w:pStyle w:val="TableText"/>
            </w:pPr>
            <w:r>
              <w:rPr/>
              <w:t>an enterprise constituted or organized under the law of a Party</w:t>
            </w:r>
          </w:p>
        </w:tc>
      </w:tr>
      <w:tr>
        <w:trPr>
          <w:cantSplit/>
        </w:trPr>
        <w:tc>
          <w:tcPr>
            <w:tcW w:type="dxa" w:w="4680"/>
            <w:shd w:fill="F5F7F8" w:val="clear" w:color="auto"/>
            <w:tcMar>
              <w:top w:w="70" w:type="dxa"/>
              <w:start w:w="110" w:type="dxa"/>
              <w:bottom w:w="70" w:type="dxa"/>
              <w:end w:w="110" w:type="dxa"/>
            </w:tcMar>
          </w:tcPr>
          <w:p>
            <w:pPr>
              <w:pStyle w:val="TableText"/>
            </w:pPr>
            <w:r>
              <w:rPr/>
              <w:t>existing</w:t>
            </w:r>
          </w:p>
        </w:tc>
        <w:tc>
          <w:tcPr>
            <w:tcW w:type="dxa" w:w="4680"/>
            <w:shd w:fill="F5F7F8" w:val="clear" w:color="auto"/>
            <w:tcMar>
              <w:top w:w="70" w:type="dxa"/>
              <w:start w:w="110" w:type="dxa"/>
              <w:bottom w:w="70" w:type="dxa"/>
              <w:end w:w="110" w:type="dxa"/>
            </w:tcMar>
          </w:tcPr>
          <w:p>
            <w:pPr>
              <w:pStyle w:val="TableText"/>
            </w:pPr>
            <w:r>
              <w:rPr/>
              <w:t>in effect on the date of entry into force of this Agreement</w:t>
            </w:r>
          </w:p>
        </w:tc>
      </w:tr>
      <w:tr>
        <w:trPr>
          <w:cantSplit/>
        </w:trPr>
        <w:tc>
          <w:tcPr>
            <w:tcW w:type="dxa" w:w="4680"/>
            <w:tcMar>
              <w:top w:w="70" w:type="dxa"/>
              <w:start w:w="110" w:type="dxa"/>
              <w:bottom w:w="70" w:type="dxa"/>
              <w:end w:w="110" w:type="dxa"/>
            </w:tcMar>
          </w:tcPr>
          <w:p>
            <w:pPr>
              <w:pStyle w:val="TableText"/>
            </w:pPr>
            <w:r>
              <w:rPr/>
              <w:t>GATS</w:t>
            </w:r>
          </w:p>
        </w:tc>
        <w:tc>
          <w:tcPr>
            <w:tcW w:type="dxa" w:w="4680"/>
            <w:tcMar>
              <w:top w:w="70" w:type="dxa"/>
              <w:start w:w="110" w:type="dxa"/>
              <w:bottom w:w="70" w:type="dxa"/>
              <w:end w:w="110" w:type="dxa"/>
            </w:tcMar>
          </w:tcPr>
          <w:p>
            <w:pPr>
              <w:pStyle w:val="TableText"/>
            </w:pPr>
            <w:r>
              <w:rPr/>
              <w:t>the General Agreement on Trade in Services, set out in Annex 1B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GATT 1994</w:t>
            </w:r>
          </w:p>
        </w:tc>
        <w:tc>
          <w:tcPr>
            <w:tcW w:type="dxa" w:w="4680"/>
            <w:shd w:fill="F5F7F8" w:val="clear" w:color="auto"/>
            <w:tcMar>
              <w:top w:w="70" w:type="dxa"/>
              <w:start w:w="110" w:type="dxa"/>
              <w:bottom w:w="70" w:type="dxa"/>
              <w:end w:w="110" w:type="dxa"/>
            </w:tcMar>
          </w:tcPr>
          <w:p>
            <w:pPr>
              <w:pStyle w:val="TableText"/>
            </w:pPr>
            <w:r>
              <w:rPr/>
              <w:t>the General Agreement on Tariffs and Trade 1994, set out in Annex 1A to the WTO Agreement</w:t>
            </w:r>
          </w:p>
        </w:tc>
      </w:tr>
      <w:tr>
        <w:trPr>
          <w:cantSplit/>
        </w:trPr>
        <w:tc>
          <w:tcPr>
            <w:tcW w:type="dxa" w:w="4680"/>
            <w:tcMar>
              <w:top w:w="70" w:type="dxa"/>
              <w:start w:w="110" w:type="dxa"/>
              <w:bottom w:w="70" w:type="dxa"/>
              <w:end w:w="110" w:type="dxa"/>
            </w:tcMar>
          </w:tcPr>
          <w:p>
            <w:pPr>
              <w:pStyle w:val="TableText"/>
            </w:pPr>
            <w:r>
              <w:rPr/>
              <w:t>goods</w:t>
            </w:r>
          </w:p>
        </w:tc>
        <w:tc>
          <w:tcPr>
            <w:tcW w:type="dxa" w:w="4680"/>
            <w:tcMar>
              <w:top w:w="70" w:type="dxa"/>
              <w:start w:w="110" w:type="dxa"/>
              <w:bottom w:w="70" w:type="dxa"/>
              <w:end w:w="110" w:type="dxa"/>
            </w:tcMar>
          </w:tcPr>
          <w:p>
            <w:pPr>
              <w:pStyle w:val="TableText"/>
            </w:pPr>
            <w:r>
              <w:rPr/>
              <w:t>a merchandise, product, article, or material</w:t>
            </w:r>
          </w:p>
        </w:tc>
      </w:tr>
      <w:tr>
        <w:trPr>
          <w:cantSplit/>
        </w:trPr>
        <w:tc>
          <w:tcPr>
            <w:tcW w:type="dxa" w:w="4680"/>
            <w:shd w:fill="F5F7F8" w:val="clear" w:color="auto"/>
            <w:tcMar>
              <w:top w:w="70" w:type="dxa"/>
              <w:start w:w="110" w:type="dxa"/>
              <w:bottom w:w="70" w:type="dxa"/>
              <w:end w:w="110" w:type="dxa"/>
            </w:tcMar>
          </w:tcPr>
          <w:p>
            <w:pPr>
              <w:pStyle w:val="TableText"/>
            </w:pPr>
            <w:r>
              <w:rPr/>
              <w:t>goods of a Party</w:t>
            </w:r>
          </w:p>
        </w:tc>
        <w:tc>
          <w:tcPr>
            <w:tcW w:type="dxa" w:w="4680"/>
            <w:shd w:fill="F5F7F8" w:val="clear" w:color="auto"/>
            <w:tcMar>
              <w:top w:w="70" w:type="dxa"/>
              <w:start w:w="110" w:type="dxa"/>
              <w:bottom w:w="70" w:type="dxa"/>
              <w:end w:w="110" w:type="dxa"/>
            </w:tcMar>
          </w:tcPr>
          <w:p>
            <w:pPr>
              <w:pStyle w:val="TableText"/>
            </w:pPr>
            <w:r>
              <w:rPr/>
              <w:t>domestic products as these are understood in the GATT 1994 or such goods as the Parties may agree, and includes originating goods of a Party</w:t>
            </w:r>
          </w:p>
        </w:tc>
      </w:tr>
      <w:tr>
        <w:trPr>
          <w:cantSplit/>
        </w:trPr>
        <w:tc>
          <w:tcPr>
            <w:tcW w:type="dxa" w:w="4680"/>
            <w:tcMar>
              <w:top w:w="70" w:type="dxa"/>
              <w:start w:w="110" w:type="dxa"/>
              <w:bottom w:w="70" w:type="dxa"/>
              <w:end w:w="110" w:type="dxa"/>
            </w:tcMar>
          </w:tcPr>
          <w:p>
            <w:pPr>
              <w:pStyle w:val="TableText"/>
            </w:pPr>
            <w:r>
              <w:rPr/>
              <w:t>government procurement</w:t>
            </w:r>
          </w:p>
        </w:tc>
        <w:tc>
          <w:tcPr>
            <w:tcW w:type="dxa" w:w="4680"/>
            <w:tcMar>
              <w:top w:w="70" w:type="dxa"/>
              <w:start w:w="110" w:type="dxa"/>
              <w:bottom w:w="70" w:type="dxa"/>
              <w:end w:w="110" w:type="dxa"/>
            </w:tcMar>
          </w:tcPr>
          <w:p>
            <w:pPr>
              <w:pStyle w:val="TableText"/>
            </w:pPr>
            <w:r>
              <w:rPr/>
              <w:t>the process by which a government obtains the use of or acquires goods or services, or any combination thereof, for governmental purposes and not with a view to commercial sale or resale or use in the production or supply of goods or services for commercial sale or resale</w:t>
            </w:r>
          </w:p>
        </w:tc>
      </w:tr>
      <w:tr>
        <w:trPr>
          <w:cantSplit/>
        </w:trPr>
        <w:tc>
          <w:tcPr>
            <w:tcW w:type="dxa" w:w="4680"/>
            <w:shd w:fill="F5F7F8" w:val="clear" w:color="auto"/>
            <w:tcMar>
              <w:top w:w="70" w:type="dxa"/>
              <w:start w:w="110" w:type="dxa"/>
              <w:bottom w:w="70" w:type="dxa"/>
              <w:end w:w="110" w:type="dxa"/>
            </w:tcMar>
          </w:tcPr>
          <w:p>
            <w:pPr>
              <w:pStyle w:val="TableText"/>
            </w:pPr>
            <w:r>
              <w:rPr/>
              <w:t>Harmonized System (HS)</w:t>
            </w:r>
          </w:p>
        </w:tc>
        <w:tc>
          <w:tcPr>
            <w:tcW w:type="dxa" w:w="4680"/>
            <w:shd w:fill="F5F7F8" w:val="clear" w:color="auto"/>
            <w:tcMar>
              <w:top w:w="70" w:type="dxa"/>
              <w:start w:w="110" w:type="dxa"/>
              <w:bottom w:w="70" w:type="dxa"/>
              <w:end w:w="110" w:type="dxa"/>
            </w:tcMar>
          </w:tcPr>
          <w:p>
            <w:pPr>
              <w:pStyle w:val="TableText"/>
            </w:pPr>
            <w:r>
              <w:rPr/>
              <w:t>the Harmonized Commodity Description and Coding Systems, including its General Rules of Interpretation, Section Notes, Chapter Notes, and Subheading Notes as adopted and implemented by the Parties in their respective laws</w:t>
            </w:r>
          </w:p>
        </w:tc>
      </w:tr>
      <w:tr>
        <w:trPr>
          <w:cantSplit/>
        </w:trPr>
        <w:tc>
          <w:tcPr>
            <w:tcW w:type="dxa" w:w="4680"/>
            <w:tcMar>
              <w:top w:w="70" w:type="dxa"/>
              <w:start w:w="110" w:type="dxa"/>
              <w:bottom w:w="70" w:type="dxa"/>
              <w:end w:w="110" w:type="dxa"/>
            </w:tcMar>
          </w:tcPr>
          <w:p>
            <w:pPr>
              <w:pStyle w:val="TableText"/>
            </w:pPr>
            <w:r>
              <w:rPr/>
              <w:t>heading</w:t>
            </w:r>
          </w:p>
        </w:tc>
        <w:tc>
          <w:tcPr>
            <w:tcW w:type="dxa" w:w="4680"/>
            <w:tcMar>
              <w:top w:w="70" w:type="dxa"/>
              <w:start w:w="110" w:type="dxa"/>
              <w:bottom w:w="70" w:type="dxa"/>
              <w:end w:w="110" w:type="dxa"/>
            </w:tcMar>
          </w:tcPr>
          <w:p>
            <w:pPr>
              <w:pStyle w:val="TableText"/>
            </w:pPr>
            <w:r>
              <w:rPr/>
              <w:t>the first four digits in the tariff classification number under the Harmonized System</w:t>
            </w:r>
          </w:p>
        </w:tc>
      </w:tr>
      <w:tr>
        <w:trPr>
          <w:cantSplit/>
        </w:trPr>
        <w:tc>
          <w:tcPr>
            <w:tcW w:type="dxa" w:w="4680"/>
            <w:shd w:fill="F5F7F8" w:val="clear" w:color="auto"/>
            <w:tcMar>
              <w:top w:w="70" w:type="dxa"/>
              <w:start w:w="110" w:type="dxa"/>
              <w:bottom w:w="70" w:type="dxa"/>
              <w:end w:w="110" w:type="dxa"/>
            </w:tcMar>
          </w:tcPr>
          <w:p>
            <w:pPr>
              <w:pStyle w:val="TableText"/>
            </w:pPr>
            <w:r>
              <w:rPr/>
              <w:t>IMF Articles of Agreement</w:t>
            </w:r>
          </w:p>
        </w:tc>
        <w:tc>
          <w:tcPr>
            <w:tcW w:type="dxa" w:w="4680"/>
            <w:shd w:fill="F5F7F8" w:val="clear" w:color="auto"/>
            <w:tcMar>
              <w:top w:w="70" w:type="dxa"/>
              <w:start w:w="110" w:type="dxa"/>
              <w:bottom w:w="70" w:type="dxa"/>
              <w:end w:w="110" w:type="dxa"/>
            </w:tcMar>
          </w:tcPr>
          <w:p>
            <w:pPr>
              <w:pStyle w:val="TableText"/>
            </w:pPr>
            <w:r>
              <w:rPr/>
              <w:t>the Articles of Agreement of the International Monetary Fund, done at Bretton Woods, United States on July 22, 1944</w:t>
            </w:r>
          </w:p>
        </w:tc>
      </w:tr>
      <w:tr>
        <w:trPr>
          <w:cantSplit/>
        </w:trPr>
        <w:tc>
          <w:tcPr>
            <w:tcW w:type="dxa" w:w="4680"/>
            <w:tcMar>
              <w:top w:w="70" w:type="dxa"/>
              <w:start w:w="110" w:type="dxa"/>
              <w:bottom w:w="70" w:type="dxa"/>
              <w:end w:w="110" w:type="dxa"/>
            </w:tcMar>
          </w:tcPr>
          <w:p>
            <w:pPr>
              <w:pStyle w:val="TableText"/>
            </w:pPr>
            <w:r>
              <w:rPr/>
              <w:t>individual</w:t>
            </w:r>
          </w:p>
        </w:tc>
        <w:tc>
          <w:tcPr>
            <w:tcW w:type="dxa" w:w="4680"/>
            <w:tcMar>
              <w:top w:w="70" w:type="dxa"/>
              <w:start w:w="110" w:type="dxa"/>
              <w:bottom w:w="70" w:type="dxa"/>
              <w:end w:w="110" w:type="dxa"/>
            </w:tcMar>
          </w:tcPr>
          <w:p>
            <w:pPr>
              <w:pStyle w:val="TableText"/>
            </w:pPr>
            <w:r>
              <w:rPr/>
              <w:t>a natural person</w:t>
            </w:r>
          </w:p>
        </w:tc>
      </w:tr>
      <w:tr>
        <w:trPr>
          <w:cantSplit/>
        </w:trPr>
        <w:tc>
          <w:tcPr>
            <w:tcW w:type="dxa" w:w="4680"/>
            <w:shd w:fill="F5F7F8" w:val="clear" w:color="auto"/>
            <w:tcMar>
              <w:top w:w="70" w:type="dxa"/>
              <w:start w:w="110" w:type="dxa"/>
              <w:bottom w:w="70" w:type="dxa"/>
              <w:end w:w="110" w:type="dxa"/>
            </w:tcMar>
          </w:tcPr>
          <w:p>
            <w:pPr>
              <w:pStyle w:val="TableText"/>
            </w:pPr>
            <w:r>
              <w:rPr/>
              <w:t>measure</w:t>
            </w:r>
          </w:p>
        </w:tc>
        <w:tc>
          <w:tcPr>
            <w:tcW w:type="dxa" w:w="4680"/>
            <w:shd w:fill="F5F7F8" w:val="clear" w:color="auto"/>
            <w:tcMar>
              <w:top w:w="70" w:type="dxa"/>
              <w:start w:w="110" w:type="dxa"/>
              <w:bottom w:w="70" w:type="dxa"/>
              <w:end w:w="110" w:type="dxa"/>
            </w:tcMar>
          </w:tcPr>
          <w:p>
            <w:pPr>
              <w:pStyle w:val="TableText"/>
            </w:pPr>
            <w:r>
              <w:rPr/>
              <w:t>includes any law, regulation, procedure, requirement, or practice</w:t>
            </w:r>
          </w:p>
        </w:tc>
      </w:tr>
      <w:tr>
        <w:trPr>
          <w:cantSplit/>
        </w:trPr>
        <w:tc>
          <w:tcPr>
            <w:tcW w:type="dxa" w:w="4680"/>
            <w:tcMar>
              <w:top w:w="70" w:type="dxa"/>
              <w:start w:w="110" w:type="dxa"/>
              <w:bottom w:w="70" w:type="dxa"/>
              <w:end w:w="110" w:type="dxa"/>
            </w:tcMar>
          </w:tcPr>
          <w:p>
            <w:pPr>
              <w:pStyle w:val="TableText"/>
            </w:pPr>
            <w:r>
              <w:rPr/>
              <w:t>NAFTA 1994</w:t>
            </w:r>
          </w:p>
        </w:tc>
        <w:tc>
          <w:tcPr>
            <w:tcW w:type="dxa" w:w="4680"/>
            <w:tcMar>
              <w:top w:w="70" w:type="dxa"/>
              <w:start w:w="110" w:type="dxa"/>
              <w:bottom w:w="70" w:type="dxa"/>
              <w:end w:w="110" w:type="dxa"/>
            </w:tcMar>
          </w:tcPr>
          <w:p>
            <w:pPr>
              <w:pStyle w:val="TableText"/>
            </w:pPr>
            <w:r>
              <w:rPr/>
              <w:t>the North American Free Trade Agreement that entered into force on January 1, 1994</w:t>
            </w:r>
          </w:p>
        </w:tc>
      </w:tr>
      <w:tr>
        <w:trPr>
          <w:cantSplit/>
        </w:trPr>
        <w:tc>
          <w:tcPr>
            <w:tcW w:type="dxa" w:w="4680"/>
            <w:shd w:fill="F5F7F8" w:val="clear" w:color="auto"/>
            <w:tcMar>
              <w:top w:w="70" w:type="dxa"/>
              <w:start w:w="110" w:type="dxa"/>
              <w:bottom w:w="70" w:type="dxa"/>
              <w:end w:w="110" w:type="dxa"/>
            </w:tcMar>
          </w:tcPr>
          <w:p>
            <w:pPr>
              <w:pStyle w:val="TableText"/>
            </w:pPr>
            <w:r>
              <w:rPr/>
              <w:t>national</w:t>
            </w:r>
          </w:p>
        </w:tc>
        <w:tc>
          <w:tcPr>
            <w:tcW w:type="dxa" w:w="4680"/>
            <w:shd w:fill="F5F7F8" w:val="clear" w:color="auto"/>
            <w:tcMar>
              <w:top w:w="70" w:type="dxa"/>
              <w:start w:w="110" w:type="dxa"/>
              <w:bottom w:w="70" w:type="dxa"/>
              <w:end w:w="110" w:type="dxa"/>
            </w:tcMar>
          </w:tcPr>
          <w:p>
            <w:pPr>
              <w:pStyle w:val="TableText"/>
            </w:pPr>
            <w:r>
              <w:rPr/>
              <w:t>a “natural person who has the nationality of a Party” as set out below for each Party or a permanent resident of a Party: (a) for Canada, a citizen of Canada; (b) for Mexico, a person who has the nationality of Mexico in accordance with its applicable laws; and (c) for the United States, a “national of the United States” as defined in the Immigration and Nationality Act</w:t>
            </w:r>
          </w:p>
        </w:tc>
      </w:tr>
      <w:tr>
        <w:trPr>
          <w:cantSplit/>
        </w:trPr>
        <w:tc>
          <w:tcPr>
            <w:tcW w:type="dxa" w:w="4680"/>
            <w:tcMar>
              <w:top w:w="70" w:type="dxa"/>
              <w:start w:w="110" w:type="dxa"/>
              <w:bottom w:w="70" w:type="dxa"/>
              <w:end w:w="110" w:type="dxa"/>
            </w:tcMar>
          </w:tcPr>
          <w:p>
            <w:pPr>
              <w:pStyle w:val="TableText"/>
            </w:pPr>
            <w:r>
              <w:rPr/>
              <w:t>originating</w:t>
            </w:r>
          </w:p>
        </w:tc>
        <w:tc>
          <w:tcPr>
            <w:tcW w:type="dxa" w:w="4680"/>
            <w:tcMar>
              <w:top w:w="70" w:type="dxa"/>
              <w:start w:w="110" w:type="dxa"/>
              <w:bottom w:w="70" w:type="dxa"/>
              <w:end w:w="110" w:type="dxa"/>
            </w:tcMar>
          </w:tcPr>
          <w:p>
            <w:pPr>
              <w:pStyle w:val="TableText"/>
            </w:pPr>
            <w:r>
              <w:rPr/>
              <w:t>qualifying as originating under the rules of origin set out in Chapter 4 (Rules of Origin) or Chapter 6 (Textile and Apparel Goods)</w:t>
            </w:r>
          </w:p>
        </w:tc>
      </w:tr>
      <w:tr>
        <w:trPr>
          <w:cantSplit/>
        </w:trPr>
        <w:tc>
          <w:tcPr>
            <w:tcW w:type="dxa" w:w="4680"/>
            <w:shd w:fill="F5F7F8" w:val="clear" w:color="auto"/>
            <w:tcMar>
              <w:top w:w="70" w:type="dxa"/>
              <w:start w:w="110" w:type="dxa"/>
              <w:bottom w:w="70" w:type="dxa"/>
              <w:end w:w="110" w:type="dxa"/>
            </w:tcMar>
          </w:tcPr>
          <w:p>
            <w:pPr>
              <w:pStyle w:val="TableText"/>
            </w:pPr>
            <w:r>
              <w:rPr/>
              <w:t>person</w:t>
            </w:r>
          </w:p>
        </w:tc>
        <w:tc>
          <w:tcPr>
            <w:tcW w:type="dxa" w:w="4680"/>
            <w:shd w:fill="F5F7F8" w:val="clear" w:color="auto"/>
            <w:tcMar>
              <w:top w:w="70" w:type="dxa"/>
              <w:start w:w="110" w:type="dxa"/>
              <w:bottom w:w="70" w:type="dxa"/>
              <w:end w:w="110" w:type="dxa"/>
            </w:tcMar>
          </w:tcPr>
          <w:p>
            <w:pPr>
              <w:pStyle w:val="TableText"/>
            </w:pPr>
            <w:r>
              <w:rPr/>
              <w:t>a natural person or an enterprise</w:t>
            </w:r>
          </w:p>
        </w:tc>
      </w:tr>
      <w:tr>
        <w:trPr>
          <w:cantSplit/>
        </w:trPr>
        <w:tc>
          <w:tcPr>
            <w:tcW w:type="dxa" w:w="4680"/>
            <w:tcMar>
              <w:top w:w="70" w:type="dxa"/>
              <w:start w:w="110" w:type="dxa"/>
              <w:bottom w:w="70" w:type="dxa"/>
              <w:end w:w="110" w:type="dxa"/>
            </w:tcMar>
          </w:tcPr>
          <w:p>
            <w:pPr>
              <w:pStyle w:val="TableText"/>
            </w:pPr>
            <w:r>
              <w:rPr/>
              <w:t>person of a Party</w:t>
            </w:r>
          </w:p>
        </w:tc>
        <w:tc>
          <w:tcPr>
            <w:tcW w:type="dxa" w:w="4680"/>
            <w:tcMar>
              <w:top w:w="70" w:type="dxa"/>
              <w:start w:w="110" w:type="dxa"/>
              <w:bottom w:w="70" w:type="dxa"/>
              <w:end w:w="110" w:type="dxa"/>
            </w:tcMar>
          </w:tcPr>
          <w:p>
            <w:pPr>
              <w:pStyle w:val="TableText"/>
            </w:pPr>
            <w:r>
              <w:rPr/>
              <w:t>a national of a Party or an enterprise of a Party</w:t>
            </w:r>
          </w:p>
        </w:tc>
      </w:tr>
      <w:tr>
        <w:trPr>
          <w:cantSplit/>
        </w:trPr>
        <w:tc>
          <w:tcPr>
            <w:tcW w:type="dxa" w:w="4680"/>
            <w:shd w:fill="F5F7F8" w:val="clear" w:color="auto"/>
            <w:tcMar>
              <w:top w:w="70" w:type="dxa"/>
              <w:start w:w="110" w:type="dxa"/>
              <w:bottom w:w="70" w:type="dxa"/>
              <w:end w:w="110" w:type="dxa"/>
            </w:tcMar>
          </w:tcPr>
          <w:p>
            <w:pPr>
              <w:pStyle w:val="TableText"/>
            </w:pPr>
            <w:r>
              <w:rPr/>
              <w:t>preferential tariff treatment</w:t>
            </w:r>
          </w:p>
        </w:tc>
        <w:tc>
          <w:tcPr>
            <w:tcW w:type="dxa" w:w="4680"/>
            <w:shd w:fill="F5F7F8" w:val="clear" w:color="auto"/>
            <w:tcMar>
              <w:top w:w="70" w:type="dxa"/>
              <w:start w:w="110" w:type="dxa"/>
              <w:bottom w:w="70" w:type="dxa"/>
              <w:end w:w="110" w:type="dxa"/>
            </w:tcMar>
          </w:tcPr>
          <w:p>
            <w:pPr>
              <w:pStyle w:val="TableText"/>
            </w:pPr>
            <w:r>
              <w:rPr/>
              <w:t>the duty rate applicable to an originating good</w:t>
            </w:r>
          </w:p>
        </w:tc>
      </w:tr>
      <w:tr>
        <w:trPr>
          <w:cantSplit/>
        </w:trPr>
        <w:tc>
          <w:tcPr>
            <w:tcW w:type="dxa" w:w="4680"/>
            <w:tcMar>
              <w:top w:w="70" w:type="dxa"/>
              <w:start w:w="110" w:type="dxa"/>
              <w:bottom w:w="70" w:type="dxa"/>
              <w:end w:w="110" w:type="dxa"/>
            </w:tcMar>
          </w:tcPr>
          <w:p>
            <w:pPr>
              <w:pStyle w:val="TableText"/>
            </w:pPr>
            <w:r>
              <w:rPr/>
              <w:t>publish</w:t>
            </w:r>
          </w:p>
        </w:tc>
        <w:tc>
          <w:tcPr>
            <w:tcW w:type="dxa" w:w="4680"/>
            <w:tcMar>
              <w:top w:w="70" w:type="dxa"/>
              <w:start w:w="110" w:type="dxa"/>
              <w:bottom w:w="70" w:type="dxa"/>
              <w:end w:w="110" w:type="dxa"/>
            </w:tcMar>
          </w:tcPr>
          <w:p>
            <w:pPr>
              <w:pStyle w:val="TableText"/>
            </w:pPr>
            <w:r>
              <w:rPr/>
              <w:t>to disseminate information through paper or electronic means that is distributed widely and is readily accessible to the general public</w:t>
            </w:r>
          </w:p>
        </w:tc>
      </w:tr>
      <w:tr>
        <w:trPr>
          <w:cantSplit/>
        </w:trPr>
        <w:tc>
          <w:tcPr>
            <w:tcW w:type="dxa" w:w="4680"/>
            <w:shd w:fill="F5F7F8" w:val="clear" w:color="auto"/>
            <w:tcMar>
              <w:top w:w="70" w:type="dxa"/>
              <w:start w:w="110" w:type="dxa"/>
              <w:bottom w:w="70" w:type="dxa"/>
              <w:end w:w="110" w:type="dxa"/>
            </w:tcMar>
          </w:tcPr>
          <w:p>
            <w:pPr>
              <w:pStyle w:val="TableText"/>
            </w:pPr>
            <w:r>
              <w:rPr/>
              <w:t>recovered material</w:t>
            </w:r>
          </w:p>
        </w:tc>
        <w:tc>
          <w:tcPr>
            <w:tcW w:type="dxa" w:w="4680"/>
            <w:shd w:fill="F5F7F8" w:val="clear" w:color="auto"/>
            <w:tcMar>
              <w:top w:w="70" w:type="dxa"/>
              <w:start w:w="110" w:type="dxa"/>
              <w:bottom w:w="70" w:type="dxa"/>
              <w:end w:w="110" w:type="dxa"/>
            </w:tcMar>
          </w:tcPr>
          <w:p>
            <w:pPr>
              <w:pStyle w:val="TableText"/>
            </w:pPr>
            <w:r>
              <w:rPr/>
              <w:t>a material in the form of one or more individual parts that results from: (a) the disassembly of a used good into individual parts; and (b) the cleaning, inspecting, testing or other processing of those parts as necessary for improvement to sound working condition</w:t>
            </w:r>
          </w:p>
        </w:tc>
      </w:tr>
      <w:tr>
        <w:trPr>
          <w:cantSplit/>
        </w:trPr>
        <w:tc>
          <w:tcPr>
            <w:tcW w:type="dxa" w:w="4680"/>
            <w:tcMar>
              <w:top w:w="70" w:type="dxa"/>
              <w:start w:w="110" w:type="dxa"/>
              <w:bottom w:w="70" w:type="dxa"/>
              <w:end w:w="110" w:type="dxa"/>
            </w:tcMar>
          </w:tcPr>
          <w:p>
            <w:pPr>
              <w:pStyle w:val="TableText"/>
            </w:pPr>
            <w:r>
              <w:rPr/>
              <w:t>remanufactured good</w:t>
            </w:r>
          </w:p>
        </w:tc>
        <w:tc>
          <w:tcPr>
            <w:tcW w:type="dxa" w:w="4680"/>
            <w:tcMar>
              <w:top w:w="70" w:type="dxa"/>
              <w:start w:w="110" w:type="dxa"/>
              <w:bottom w:w="70" w:type="dxa"/>
              <w:end w:w="110" w:type="dxa"/>
            </w:tcMar>
          </w:tcPr>
          <w:p>
            <w:pPr>
              <w:pStyle w:val="TableText"/>
            </w:pPr>
            <w:r>
              <w:rPr/>
              <w:t>a good classified in HS Chapters 84 through 90 or under heading 94.02 except goods classified under HS headings 84.18, 85.09, 85.10, and 85.16, 87.03 or subheadings 8414.51, 8450.11, 8450.12, 8508.11, and 8517.11, that is entirely or partially composed of recovered materials and: (a) has a similar life expectancy and performs the same as or similar to such a good when new; and (b) has a factory warranty similar to that applicable to such a good when new</w:t>
            </w:r>
          </w:p>
        </w:tc>
      </w:tr>
      <w:tr>
        <w:trPr>
          <w:cantSplit/>
        </w:trPr>
        <w:tc>
          <w:tcPr>
            <w:tcW w:type="dxa" w:w="4680"/>
            <w:shd w:fill="F5F7F8" w:val="clear" w:color="auto"/>
            <w:tcMar>
              <w:top w:w="70" w:type="dxa"/>
              <w:start w:w="110" w:type="dxa"/>
              <w:bottom w:w="70" w:type="dxa"/>
              <w:end w:w="110" w:type="dxa"/>
            </w:tcMar>
          </w:tcPr>
          <w:p>
            <w:pPr>
              <w:pStyle w:val="TableText"/>
            </w:pPr>
            <w:r>
              <w:rPr/>
              <w:t>regional level of government</w:t>
            </w:r>
          </w:p>
        </w:tc>
        <w:tc>
          <w:tcPr>
            <w:tcW w:type="dxa" w:w="4680"/>
            <w:shd w:fill="F5F7F8" w:val="clear" w:color="auto"/>
            <w:tcMar>
              <w:top w:w="70" w:type="dxa"/>
              <w:start w:w="110" w:type="dxa"/>
              <w:bottom w:w="70" w:type="dxa"/>
              <w:end w:w="110" w:type="dxa"/>
            </w:tcMar>
          </w:tcPr>
          <w:p>
            <w:pPr>
              <w:pStyle w:val="TableText"/>
            </w:pPr>
            <w:r>
              <w:rPr/>
              <w:t>(a) for Canada, a province or territory of Canada; (b) for Mexico, a state of the United Mexican States; and (b) for the United States, a state of the United States, the District of Columbia, or Puerto Rico</w:t>
            </w:r>
          </w:p>
        </w:tc>
      </w:tr>
      <w:tr>
        <w:trPr>
          <w:cantSplit/>
        </w:trPr>
        <w:tc>
          <w:tcPr>
            <w:tcW w:type="dxa" w:w="4680"/>
            <w:tcMar>
              <w:top w:w="70" w:type="dxa"/>
              <w:start w:w="110" w:type="dxa"/>
              <w:bottom w:w="70" w:type="dxa"/>
              <w:end w:w="110" w:type="dxa"/>
            </w:tcMar>
          </w:tcPr>
          <w:p>
            <w:pPr>
              <w:pStyle w:val="TableText"/>
            </w:pPr>
            <w:r>
              <w:rPr/>
              <w:t>Safeguards Agreement</w:t>
            </w:r>
          </w:p>
        </w:tc>
        <w:tc>
          <w:tcPr>
            <w:tcW w:type="dxa" w:w="4680"/>
            <w:tcMar>
              <w:top w:w="70" w:type="dxa"/>
              <w:start w:w="110" w:type="dxa"/>
              <w:bottom w:w="70" w:type="dxa"/>
              <w:end w:w="110" w:type="dxa"/>
            </w:tcMar>
          </w:tcPr>
          <w:p>
            <w:pPr>
              <w:pStyle w:val="TableText"/>
            </w:pPr>
            <w:r>
              <w:rPr/>
              <w:t>the Agreement on Safeguards,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sanitary or phytosanitary measure</w:t>
            </w:r>
          </w:p>
        </w:tc>
        <w:tc>
          <w:tcPr>
            <w:tcW w:type="dxa" w:w="4680"/>
            <w:shd w:fill="F5F7F8" w:val="clear" w:color="auto"/>
            <w:tcMar>
              <w:top w:w="70" w:type="dxa"/>
              <w:start w:w="110" w:type="dxa"/>
              <w:bottom w:w="70" w:type="dxa"/>
              <w:end w:w="110" w:type="dxa"/>
            </w:tcMar>
          </w:tcPr>
          <w:p>
            <w:pPr>
              <w:pStyle w:val="TableText"/>
            </w:pPr>
            <w:r>
              <w:rPr/>
              <w:t>a measure referred to in paragraph 1 of Annex A to the SPS Agreement</w:t>
            </w:r>
          </w:p>
        </w:tc>
      </w:tr>
      <w:tr>
        <w:trPr>
          <w:cantSplit/>
        </w:trPr>
        <w:tc>
          <w:tcPr>
            <w:tcW w:type="dxa" w:w="4680"/>
            <w:tcMar>
              <w:top w:w="70" w:type="dxa"/>
              <w:start w:w="110" w:type="dxa"/>
              <w:bottom w:w="70" w:type="dxa"/>
              <w:end w:w="110" w:type="dxa"/>
            </w:tcMar>
          </w:tcPr>
          <w:p>
            <w:pPr>
              <w:pStyle w:val="TableText"/>
            </w:pPr>
            <w:r>
              <w:rPr/>
              <w:t>SCM Agreement</w:t>
            </w:r>
          </w:p>
        </w:tc>
        <w:tc>
          <w:tcPr>
            <w:tcW w:type="dxa" w:w="4680"/>
            <w:tcMar>
              <w:top w:w="70" w:type="dxa"/>
              <w:start w:w="110" w:type="dxa"/>
              <w:bottom w:w="70" w:type="dxa"/>
              <w:end w:w="110" w:type="dxa"/>
            </w:tcMar>
          </w:tcPr>
          <w:p>
            <w:pPr>
              <w:pStyle w:val="TableText"/>
            </w:pPr>
            <w:r>
              <w:rPr/>
              <w:t>the Agreement on Subsidies and Countervailing Measures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Secretariat</w:t>
            </w:r>
          </w:p>
        </w:tc>
        <w:tc>
          <w:tcPr>
            <w:tcW w:type="dxa" w:w="4680"/>
            <w:shd w:fill="F5F7F8" w:val="clear" w:color="auto"/>
            <w:tcMar>
              <w:top w:w="70" w:type="dxa"/>
              <w:start w:w="110" w:type="dxa"/>
              <w:bottom w:w="70" w:type="dxa"/>
              <w:end w:w="110" w:type="dxa"/>
            </w:tcMar>
          </w:tcPr>
          <w:p>
            <w:pPr>
              <w:pStyle w:val="TableText"/>
            </w:pPr>
            <w:r>
              <w:rPr/>
              <w:t>the Secretariat established under Article 30.6 (The Secretariat)</w:t>
            </w:r>
          </w:p>
        </w:tc>
      </w:tr>
      <w:tr>
        <w:trPr>
          <w:cantSplit/>
        </w:trPr>
        <w:tc>
          <w:tcPr>
            <w:tcW w:type="dxa" w:w="4680"/>
            <w:tcMar>
              <w:top w:w="70" w:type="dxa"/>
              <w:start w:w="110" w:type="dxa"/>
              <w:bottom w:w="70" w:type="dxa"/>
              <w:end w:w="110" w:type="dxa"/>
            </w:tcMar>
          </w:tcPr>
          <w:p>
            <w:pPr>
              <w:pStyle w:val="TableText"/>
            </w:pPr>
            <w:r>
              <w:rPr/>
              <w:t>SME</w:t>
            </w:r>
          </w:p>
        </w:tc>
        <w:tc>
          <w:tcPr>
            <w:tcW w:type="dxa" w:w="4680"/>
            <w:tcMar>
              <w:top w:w="70" w:type="dxa"/>
              <w:start w:w="110" w:type="dxa"/>
              <w:bottom w:w="70" w:type="dxa"/>
              <w:end w:w="110" w:type="dxa"/>
            </w:tcMar>
          </w:tcPr>
          <w:p>
            <w:pPr>
              <w:pStyle w:val="TableText"/>
            </w:pPr>
            <w:r>
              <w:rPr/>
              <w:t>a small and medium-sized enterprise, including a micro-sized enterprise</w:t>
            </w:r>
          </w:p>
        </w:tc>
      </w:tr>
      <w:tr>
        <w:trPr>
          <w:cantSplit/>
        </w:trPr>
        <w:tc>
          <w:tcPr>
            <w:tcW w:type="dxa" w:w="4680"/>
            <w:shd w:fill="F5F7F8" w:val="clear" w:color="auto"/>
            <w:tcMar>
              <w:top w:w="70" w:type="dxa"/>
              <w:start w:w="110" w:type="dxa"/>
              <w:bottom w:w="70" w:type="dxa"/>
              <w:end w:w="110" w:type="dxa"/>
            </w:tcMar>
          </w:tcPr>
          <w:p>
            <w:pPr>
              <w:pStyle w:val="TableText"/>
            </w:pPr>
            <w:r>
              <w:rPr/>
              <w:t>SPS Agreement</w:t>
            </w:r>
          </w:p>
        </w:tc>
        <w:tc>
          <w:tcPr>
            <w:tcW w:type="dxa" w:w="4680"/>
            <w:shd w:fill="F5F7F8" w:val="clear" w:color="auto"/>
            <w:tcMar>
              <w:top w:w="70" w:type="dxa"/>
              <w:start w:w="110" w:type="dxa"/>
              <w:bottom w:w="70" w:type="dxa"/>
              <w:end w:w="110" w:type="dxa"/>
            </w:tcMar>
          </w:tcPr>
          <w:p>
            <w:pPr>
              <w:pStyle w:val="TableText"/>
            </w:pPr>
            <w:r>
              <w:rPr/>
              <w:t>the Agreement on the Application of Sanitary and Phytosanitary Measures, set out in Annex 1A to the WTO Agreement</w:t>
            </w:r>
          </w:p>
        </w:tc>
      </w:tr>
      <w:tr>
        <w:trPr>
          <w:cantSplit/>
        </w:trPr>
        <w:tc>
          <w:tcPr>
            <w:tcW w:type="dxa" w:w="4680"/>
            <w:tcMar>
              <w:top w:w="70" w:type="dxa"/>
              <w:start w:w="110" w:type="dxa"/>
              <w:bottom w:w="70" w:type="dxa"/>
              <w:end w:w="110" w:type="dxa"/>
            </w:tcMar>
          </w:tcPr>
          <w:p>
            <w:pPr>
              <w:pStyle w:val="TableText"/>
            </w:pPr>
            <w:r>
              <w:rPr/>
              <w:t>state enterprise</w:t>
            </w:r>
          </w:p>
        </w:tc>
        <w:tc>
          <w:tcPr>
            <w:tcW w:type="dxa" w:w="4680"/>
            <w:tcMar>
              <w:top w:w="70" w:type="dxa"/>
              <w:start w:w="110" w:type="dxa"/>
              <w:bottom w:w="70" w:type="dxa"/>
              <w:end w:w="110" w:type="dxa"/>
            </w:tcMar>
          </w:tcPr>
          <w:p>
            <w:pPr>
              <w:pStyle w:val="TableText"/>
            </w:pPr>
            <w:r>
              <w:rPr/>
              <w:t>an enterprise that is owned, or controlled through ownership interests, by a Party</w:t>
            </w:r>
          </w:p>
        </w:tc>
      </w:tr>
      <w:tr>
        <w:trPr>
          <w:cantSplit/>
        </w:trPr>
        <w:tc>
          <w:tcPr>
            <w:tcW w:type="dxa" w:w="4680"/>
            <w:shd w:fill="F5F7F8" w:val="clear" w:color="auto"/>
            <w:tcMar>
              <w:top w:w="70" w:type="dxa"/>
              <w:start w:w="110" w:type="dxa"/>
              <w:bottom w:w="70" w:type="dxa"/>
              <w:end w:w="110" w:type="dxa"/>
            </w:tcMar>
          </w:tcPr>
          <w:p>
            <w:pPr>
              <w:pStyle w:val="TableText"/>
            </w:pPr>
            <w:r>
              <w:rPr/>
              <w:t>subheading</w:t>
            </w:r>
          </w:p>
        </w:tc>
        <w:tc>
          <w:tcPr>
            <w:tcW w:type="dxa" w:w="4680"/>
            <w:shd w:fill="F5F7F8" w:val="clear" w:color="auto"/>
            <w:tcMar>
              <w:top w:w="70" w:type="dxa"/>
              <w:start w:w="110" w:type="dxa"/>
              <w:bottom w:w="70" w:type="dxa"/>
              <w:end w:w="110" w:type="dxa"/>
            </w:tcMar>
          </w:tcPr>
          <w:p>
            <w:pPr>
              <w:pStyle w:val="TableText"/>
            </w:pPr>
            <w:r>
              <w:rPr/>
              <w:t>the first six digits in the tariff classification number under the Harmonized System; territory has for each Party the meaning set out in Section C (Country-Specific Definitions)</w:t>
            </w:r>
          </w:p>
        </w:tc>
      </w:tr>
      <w:tr>
        <w:trPr>
          <w:cantSplit/>
        </w:trPr>
        <w:tc>
          <w:tcPr>
            <w:tcW w:type="dxa" w:w="4680"/>
            <w:tcMar>
              <w:top w:w="70" w:type="dxa"/>
              <w:start w:w="110" w:type="dxa"/>
              <w:bottom w:w="70" w:type="dxa"/>
              <w:end w:w="110" w:type="dxa"/>
            </w:tcMar>
          </w:tcPr>
          <w:p>
            <w:pPr>
              <w:pStyle w:val="TableText"/>
            </w:pPr>
            <w:r>
              <w:rPr/>
              <w:t>textile or apparel good</w:t>
            </w:r>
          </w:p>
        </w:tc>
        <w:tc>
          <w:tcPr>
            <w:tcW w:type="dxa" w:w="4680"/>
            <w:tcMar>
              <w:top w:w="70" w:type="dxa"/>
              <w:start w:w="110" w:type="dxa"/>
              <w:bottom w:w="70" w:type="dxa"/>
              <w:end w:w="110" w:type="dxa"/>
            </w:tcMar>
          </w:tcPr>
          <w:p>
            <w:pPr>
              <w:pStyle w:val="TableText"/>
            </w:pPr>
            <w:r>
              <w:rPr/>
              <w:t>a textile or apparel good classified in HS subheading 4202.12, 4202.22, 4202.32, or 4202.92 (luggage, handbags and similar articles with an outer surface of textile materials), heading 50.04 through 50.07, 51.04 through 51.13, 52.04 through 52.12, 53.03 through 53.11, Chapter 54 through 63, heading 66.01 (umbrellas) or heading 70.19 (yarns and fabrics of glass fiber), subheading 9404.90 (articles of bedding and similar furnishing), or heading 96.19 (babies diapers and other sanitary textile articles)</w:t>
            </w:r>
          </w:p>
        </w:tc>
      </w:tr>
      <w:tr>
        <w:trPr>
          <w:cantSplit/>
        </w:trPr>
        <w:tc>
          <w:tcPr>
            <w:tcW w:type="dxa" w:w="4680"/>
            <w:shd w:fill="F5F7F8" w:val="clear" w:color="auto"/>
            <w:tcMar>
              <w:top w:w="70" w:type="dxa"/>
              <w:start w:w="110" w:type="dxa"/>
              <w:bottom w:w="70" w:type="dxa"/>
              <w:end w:w="110" w:type="dxa"/>
            </w:tcMar>
          </w:tcPr>
          <w:p>
            <w:pPr>
              <w:pStyle w:val="TableText"/>
            </w:pPr>
            <w:r>
              <w:rPr/>
              <w:t>TRIPS Agreement</w:t>
            </w:r>
          </w:p>
        </w:tc>
        <w:tc>
          <w:tcPr>
            <w:tcW w:type="dxa" w:w="4680"/>
            <w:shd w:fill="F5F7F8" w:val="clear" w:color="auto"/>
            <w:tcMar>
              <w:top w:w="70" w:type="dxa"/>
              <w:start w:w="110" w:type="dxa"/>
              <w:bottom w:w="70" w:type="dxa"/>
              <w:end w:w="110" w:type="dxa"/>
            </w:tcMar>
          </w:tcPr>
          <w:p>
            <w:pPr>
              <w:pStyle w:val="TableText"/>
            </w:pPr>
            <w:r>
              <w:rPr/>
              <w:t>the Agreement on Trade-Related Aspects of Intellectual Property Rights, set out in Annex 1C to the WTO Agreement;1 Uniform Regulations means the regulations described in Article 5.16 (Uniform Regulations)</w:t>
            </w:r>
          </w:p>
        </w:tc>
      </w:tr>
      <w:tr>
        <w:trPr>
          <w:cantSplit/>
        </w:trPr>
        <w:tc>
          <w:tcPr>
            <w:tcW w:type="dxa" w:w="4680"/>
            <w:tcMar>
              <w:top w:w="70" w:type="dxa"/>
              <w:start w:w="110" w:type="dxa"/>
              <w:bottom w:w="70" w:type="dxa"/>
              <w:end w:w="110" w:type="dxa"/>
            </w:tcMar>
          </w:tcPr>
          <w:p>
            <w:pPr>
              <w:pStyle w:val="TableText"/>
            </w:pPr>
            <w:r>
              <w:rPr/>
              <w:t>WTO</w:t>
            </w:r>
          </w:p>
        </w:tc>
        <w:tc>
          <w:tcPr>
            <w:tcW w:type="dxa" w:w="4680"/>
            <w:tcMar>
              <w:top w:w="70" w:type="dxa"/>
              <w:start w:w="110" w:type="dxa"/>
              <w:bottom w:w="70" w:type="dxa"/>
              <w:end w:w="110" w:type="dxa"/>
            </w:tcMar>
          </w:tcPr>
          <w:p>
            <w:pPr>
              <w:pStyle w:val="TableText"/>
            </w:pPr>
            <w:r>
              <w:rPr/>
              <w:t>the World Trade Organization</w:t>
            </w:r>
          </w:p>
        </w:tc>
      </w:tr>
      <w:tr>
        <w:trPr>
          <w:cantSplit/>
        </w:trPr>
        <w:tc>
          <w:tcPr>
            <w:tcW w:type="dxa" w:w="4680"/>
            <w:shd w:fill="F5F7F8" w:val="clear" w:color="auto"/>
            <w:tcMar>
              <w:top w:w="70" w:type="dxa"/>
              <w:start w:w="110" w:type="dxa"/>
              <w:bottom w:w="70" w:type="dxa"/>
              <w:end w:w="110" w:type="dxa"/>
            </w:tcMar>
          </w:tcPr>
          <w:p>
            <w:pPr>
              <w:pStyle w:val="TableText"/>
            </w:pPr>
            <w:r>
              <w:rPr/>
              <w:t>WTO Agreement</w:t>
            </w:r>
          </w:p>
        </w:tc>
        <w:tc>
          <w:tcPr>
            <w:tcW w:type="dxa" w:w="4680"/>
            <w:shd w:fill="F5F7F8" w:val="clear" w:color="auto"/>
            <w:tcMar>
              <w:top w:w="70" w:type="dxa"/>
              <w:start w:w="110" w:type="dxa"/>
              <w:bottom w:w="70" w:type="dxa"/>
              <w:end w:w="110" w:type="dxa"/>
            </w:tcMar>
          </w:tcPr>
          <w:p>
            <w:pPr>
              <w:pStyle w:val="TableText"/>
            </w:pPr>
            <w:r>
              <w:rPr/>
              <w:t>the Marrakesh Agreement Establishing the World Trade Organization, done at Marrakesh on April 15, 1994. 1 For greater certainty, TRIPS Agreement includes any waiver in force between the Parties of any provision of the TRIPS Agreement granted by WTO Members in accordance with the WTO Agreement.</w:t>
            </w:r>
          </w:p>
        </w:tc>
      </w:tr>
    </w:tbl>
    <w:p>
      <w:pPr>
        <w:pStyle w:val="Normal"/>
      </w:pPr>
      <w:r>
        <w:rPr>
          <w:b/>
        </w:rPr>
        <w:t>Section C: Country-Specific Definitions</w:t>
      </w:r>
    </w:p>
    <w:p>
      <w:pPr>
        <w:pStyle w:val="Normal"/>
      </w:pPr>
      <w:r>
        <w:rPr>
          <w:b w:val="0"/>
        </w:rPr>
        <w:t>For the purposes of this Agreement, unless otherwise provided, territory means: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Party</w:t>
            </w:r>
          </w:p>
        </w:tc>
        <w:tc>
          <w:tcPr>
            <w:tcW w:type="dxa" w:w="4680"/>
            <w:tcBorders>
              <w:bottom w:val="single" w:sz="6" w:space="0" w:color="546E7A"/>
            </w:tcBorders>
            <w:shd w:fill="E4E9EC" w:val="clear" w:color="auto"/>
          </w:tcPr>
          <w:p>
            <w:pPr>
              <w:pStyle w:val="TableText"/>
            </w:pPr>
            <w:r>
              <w:rPr>
                <w:b/>
                <w:color w:val="37474F"/>
              </w:rPr>
              <w:t>Territory</w:t>
            </w:r>
          </w:p>
        </w:tc>
      </w:tr>
      <w:tr>
        <w:trPr>
          <w:cantSplit/>
        </w:trPr>
        <w:tc>
          <w:tcPr>
            <w:tcW w:type="dxa" w:w="4680"/>
            <w:tcMar>
              <w:top w:w="70" w:type="dxa"/>
              <w:start w:w="110" w:type="dxa"/>
              <w:bottom w:w="70" w:type="dxa"/>
              <w:end w:w="110" w:type="dxa"/>
            </w:tcMar>
          </w:tcPr>
          <w:p>
            <w:pPr>
              <w:pStyle w:val="TableText"/>
            </w:pPr>
            <w:r>
              <w:rPr/>
              <w:t>Canada</w:t>
            </w:r>
          </w:p>
        </w:tc>
        <w:tc>
          <w:tcPr>
            <w:tcW w:type="dxa" w:w="4680"/>
            <w:tcMar>
              <w:top w:w="70" w:type="dxa"/>
              <w:start w:w="110" w:type="dxa"/>
              <w:bottom w:w="70" w:type="dxa"/>
              <w:end w:w="110" w:type="dxa"/>
            </w:tcMar>
          </w:tcPr>
          <w:p>
            <w:pPr>
              <w:pStyle w:val="TableText"/>
            </w:pPr>
            <w:r>
              <w:rPr/>
              <w:t>(i) the land territory, air space, internal waters, and territorial sea of Canada, (ii) the exclusive economic zone of Canada, and (iii) the continental shelf of Canada, as determined by its domestic law and consistent with international law.</w:t>
            </w:r>
          </w:p>
        </w:tc>
      </w:tr>
      <w:tr>
        <w:trPr>
          <w:cantSplit/>
        </w:trPr>
        <w:tc>
          <w:tcPr>
            <w:tcW w:type="dxa" w:w="4680"/>
            <w:shd w:fill="F5F7F8" w:val="clear" w:color="auto"/>
            <w:tcMar>
              <w:top w:w="70" w:type="dxa"/>
              <w:start w:w="110" w:type="dxa"/>
              <w:bottom w:w="70" w:type="dxa"/>
              <w:end w:w="110" w:type="dxa"/>
            </w:tcMar>
          </w:tcPr>
          <w:p>
            <w:pPr>
              <w:pStyle w:val="TableText"/>
            </w:pPr>
            <w:r>
              <w:rPr/>
              <w:t>Mexico</w:t>
            </w:r>
          </w:p>
        </w:tc>
        <w:tc>
          <w:tcPr>
            <w:tcW w:type="dxa" w:w="4680"/>
            <w:shd w:fill="F5F7F8" w:val="clear" w:color="auto"/>
            <w:tcMar>
              <w:top w:w="70" w:type="dxa"/>
              <w:start w:w="110" w:type="dxa"/>
              <w:bottom w:w="70" w:type="dxa"/>
              <w:end w:w="110" w:type="dxa"/>
            </w:tcMar>
          </w:tcPr>
          <w:p>
            <w:pPr>
              <w:pStyle w:val="TableText"/>
            </w:pPr>
            <w:r>
              <w:rPr/>
              <w:t>(i) the land territory, including the states of the Federation and Mexico City, (ii) the air space, and (iii) the internal waters, territorial sea, and any areas beyond the territorial seas of Mexico within which Mexico may exercise sovereign rights and jurisdiction, as determined by its domestic law, consistent with the United Nations Convention on the Law of the Sea, done at Montego Bay on December 10, 1982</w:t>
            </w:r>
          </w:p>
        </w:tc>
      </w:tr>
      <w:tr>
        <w:trPr>
          <w:cantSplit/>
        </w:trPr>
        <w:tc>
          <w:tcPr>
            <w:tcW w:type="dxa" w:w="4680"/>
            <w:tcMar>
              <w:top w:w="70" w:type="dxa"/>
              <w:start w:w="110" w:type="dxa"/>
              <w:bottom w:w="70" w:type="dxa"/>
              <w:end w:w="110" w:type="dxa"/>
            </w:tcMar>
          </w:tcPr>
          <w:p>
            <w:pPr>
              <w:pStyle w:val="TableText"/>
            </w:pPr>
            <w:r>
              <w:rPr/>
              <w:t>United States</w:t>
            </w:r>
          </w:p>
        </w:tc>
        <w:tc>
          <w:tcPr>
            <w:tcW w:type="dxa" w:w="4680"/>
            <w:tcMar>
              <w:top w:w="70" w:type="dxa"/>
              <w:start w:w="110" w:type="dxa"/>
              <w:bottom w:w="70" w:type="dxa"/>
              <w:end w:w="110" w:type="dxa"/>
            </w:tcMar>
          </w:tcPr>
          <w:p>
            <w:pPr>
              <w:pStyle w:val="TableText"/>
            </w:pPr>
            <w:r>
              <w:rPr/>
              <w:t>(i) the customs territory of the United States, which includes the 50 states, the District of Columbia, and Puerto Rico, (ii) the foreign trade zones located in the United States and Puerto Rico, and (iii) the territorial sea and air space of the United States and any area beyond the territorial sea within which, in accordance with customary international law as reflected in the United Nations Convention on the Law of the Sea, the United States may exercise sovereign rights or jurisdiction.</w:t>
            </w:r>
          </w:p>
        </w:tc>
      </w:tr>
    </w:tbl>
    <w:p>
      <w:pPr>
        <w:pStyle w:val="ModHeading"/>
      </w:pPr>
      <w:bookmarkStart w:id="900026" w:name="_Toc300000025"/>
      <w:r>
        <w:t>CHAPTER 1: CUSMA 2.0 MODERNIZATION PROVISIONS</w:t>
      </w:r>
      <w:bookmarkEnd w:id="900026"/>
    </w:p>
    <w:p>
      <w:pPr>
        <w:pStyle w:val="Normal"/>
      </w:pPr>
      <w:r>
        <w:rPr>
          <w:i/>
        </w:rPr>
        <w:t>The provisions of this Part amend Chapter 1 (Initial Provisions and General Definitions). Upon entry into force of the Protocol of Modernization, this Part is incorporated into Chapter 1 as set out below.</w:t>
      </w:r>
    </w:p>
    <w:p>
      <w:pPr>
        <w:pStyle w:val="Heading2"/>
      </w:pPr>
      <w:bookmarkStart w:id="900027" w:name="_Toc300000026"/>
      <w:r>
        <w:rPr>
          <w:b/>
        </w:rPr>
        <w:t>Article 1.A: Additional General Definitions</w:t>
      </w:r>
      <w:bookmarkEnd w:id="900027"/>
    </w:p>
    <w:p>
      <w:pPr>
        <w:pStyle w:val="Normal"/>
      </w:pPr>
      <w:r>
        <w:rPr>
          <w:b w:val="0"/>
        </w:rPr>
        <w:t>1. Article 1.5 (General Definitions) is amended by adding the following definitions in alphabetical order:</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Term</w:t>
            </w:r>
          </w:p>
        </w:tc>
        <w:tc>
          <w:tcPr>
            <w:tcW w:type="dxa" w:w="4680"/>
            <w:tcBorders>
              <w:bottom w:val="single" w:sz="6" w:space="0" w:color="546E7A"/>
            </w:tcBorders>
            <w:shd w:fill="E4E9EC" w:val="clear" w:color="auto"/>
          </w:tcPr>
          <w:p>
            <w:pPr>
              <w:pStyle w:val="TableText"/>
            </w:pPr>
            <w:r>
              <w:rPr>
                <w:b/>
                <w:color w:val="37474F"/>
              </w:rPr>
              <w:t>Definition</w:t>
            </w:r>
          </w:p>
        </w:tc>
      </w:tr>
      <w:tr>
        <w:trPr>
          <w:cantSplit/>
        </w:trPr>
        <w:tc>
          <w:tcPr>
            <w:tcW w:type="dxa" w:w="4680"/>
            <w:tcMar>
              <w:top w:w="70" w:type="dxa"/>
              <w:start w:w="110" w:type="dxa"/>
              <w:bottom w:w="70" w:type="dxa"/>
              <w:end w:w="110" w:type="dxa"/>
            </w:tcMar>
          </w:tcPr>
          <w:p>
            <w:pPr>
              <w:pStyle w:val="TableText"/>
            </w:pPr>
            <w:r>
              <w:rPr/>
              <w:t>covered border measure</w:t>
            </w:r>
          </w:p>
        </w:tc>
        <w:tc>
          <w:tcPr>
            <w:tcW w:type="dxa" w:w="4680"/>
            <w:tcMar>
              <w:top w:w="70" w:type="dxa"/>
              <w:start w:w="110" w:type="dxa"/>
              <w:bottom w:w="70" w:type="dxa"/>
              <w:end w:w="110" w:type="dxa"/>
            </w:tcMar>
          </w:tcPr>
          <w:p>
            <w:pPr>
              <w:pStyle w:val="TableText"/>
            </w:pPr>
            <w:r>
              <w:rPr/>
              <w:t>has the meaning assigned in Article 35.2 (Definitions);</w:t>
            </w:r>
          </w:p>
        </w:tc>
      </w:tr>
      <w:tr>
        <w:trPr>
          <w:cantSplit/>
        </w:trPr>
        <w:tc>
          <w:tcPr>
            <w:tcW w:type="dxa" w:w="4680"/>
            <w:shd w:fill="F5F7F8" w:val="clear" w:color="auto"/>
            <w:tcMar>
              <w:top w:w="70" w:type="dxa"/>
              <w:start w:w="110" w:type="dxa"/>
              <w:bottom w:w="70" w:type="dxa"/>
              <w:end w:w="110" w:type="dxa"/>
            </w:tcMar>
          </w:tcPr>
          <w:p>
            <w:pPr>
              <w:pStyle w:val="TableText"/>
            </w:pPr>
            <w:r>
              <w:rPr/>
              <w:t>low-value shipment</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market-access credit</w:t>
            </w:r>
          </w:p>
        </w:tc>
        <w:tc>
          <w:tcPr>
            <w:tcW w:type="dxa" w:w="4680"/>
            <w:tcMar>
              <w:top w:w="70" w:type="dxa"/>
              <w:start w:w="110" w:type="dxa"/>
              <w:bottom w:w="70" w:type="dxa"/>
              <w:end w:w="110" w:type="dxa"/>
            </w:tcMar>
          </w:tcPr>
          <w:p>
            <w:pPr>
              <w:pStyle w:val="TableText"/>
            </w:pPr>
            <w:r>
              <w:rPr/>
              <w:t>a credit that may be created under Article 35.20 and Annex 35-E;</w:t>
            </w:r>
          </w:p>
        </w:tc>
      </w:tr>
      <w:tr>
        <w:trPr>
          <w:cantSplit/>
        </w:trPr>
        <w:tc>
          <w:tcPr>
            <w:tcW w:type="dxa" w:w="4680"/>
            <w:shd w:fill="F5F7F8" w:val="clear" w:color="auto"/>
            <w:tcMar>
              <w:top w:w="70" w:type="dxa"/>
              <w:start w:w="110" w:type="dxa"/>
              <w:bottom w:w="70" w:type="dxa"/>
              <w:end w:w="110" w:type="dxa"/>
            </w:tcMar>
          </w:tcPr>
          <w:p>
            <w:pPr>
              <w:pStyle w:val="TableText"/>
            </w:pPr>
            <w:r>
              <w:rPr/>
              <w:t>module or trade module</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North American Trade Measures Registry or Registry</w:t>
            </w:r>
          </w:p>
        </w:tc>
        <w:tc>
          <w:tcPr>
            <w:tcW w:type="dxa" w:w="4680"/>
            <w:tcMar>
              <w:top w:w="70" w:type="dxa"/>
              <w:start w:w="110" w:type="dxa"/>
              <w:bottom w:w="70" w:type="dxa"/>
              <w:end w:w="110" w:type="dxa"/>
            </w:tcMar>
          </w:tcPr>
          <w:p>
            <w:pPr>
              <w:pStyle w:val="TableText"/>
            </w:pPr>
            <w:r>
              <w:rPr/>
              <w:t>the registry established under Article 35.24;</w:t>
            </w:r>
          </w:p>
        </w:tc>
      </w:tr>
      <w:tr>
        <w:trPr>
          <w:cantSplit/>
        </w:trPr>
        <w:tc>
          <w:tcPr>
            <w:tcW w:type="dxa" w:w="4680"/>
            <w:shd w:fill="F5F7F8" w:val="clear" w:color="auto"/>
            <w:tcMar>
              <w:top w:w="70" w:type="dxa"/>
              <w:start w:w="110" w:type="dxa"/>
              <w:bottom w:w="70" w:type="dxa"/>
              <w:end w:w="110" w:type="dxa"/>
            </w:tcMar>
          </w:tcPr>
          <w:p>
            <w:pPr>
              <w:pStyle w:val="TableText"/>
            </w:pPr>
            <w:r>
              <w:rPr/>
              <w:t>Proportional Trade Adjustment or PTA</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Protocol of Modernization</w:t>
            </w:r>
          </w:p>
        </w:tc>
        <w:tc>
          <w:tcPr>
            <w:tcW w:type="dxa" w:w="4680"/>
            <w:tcMar>
              <w:top w:w="70" w:type="dxa"/>
              <w:start w:w="110" w:type="dxa"/>
              <w:bottom w:w="70" w:type="dxa"/>
              <w:end w:w="110" w:type="dxa"/>
            </w:tcMar>
          </w:tcPr>
          <w:p>
            <w:pPr>
              <w:pStyle w:val="TableText"/>
            </w:pPr>
            <w:r>
              <w:rPr/>
              <w:t>the Protocol of Modernization to this Agreement, together with its attached consolidated modernization text;</w:t>
            </w:r>
          </w:p>
        </w:tc>
      </w:tr>
      <w:tr>
        <w:trPr>
          <w:cantSplit/>
        </w:trPr>
        <w:tc>
          <w:tcPr>
            <w:tcW w:type="dxa" w:w="4680"/>
            <w:shd w:fill="F5F7F8" w:val="clear" w:color="auto"/>
            <w:tcMar>
              <w:top w:w="70" w:type="dxa"/>
              <w:start w:w="110" w:type="dxa"/>
              <w:bottom w:w="70" w:type="dxa"/>
              <w:end w:w="110" w:type="dxa"/>
            </w:tcMar>
          </w:tcPr>
          <w:p>
            <w:pPr>
              <w:pStyle w:val="TableText"/>
            </w:pPr>
            <w:r>
              <w:rPr/>
              <w:t>Shared Trade Data Registry</w:t>
            </w:r>
          </w:p>
        </w:tc>
        <w:tc>
          <w:tcPr>
            <w:tcW w:type="dxa" w:w="4680"/>
            <w:shd w:fill="F5F7F8" w:val="clear" w:color="auto"/>
            <w:tcMar>
              <w:top w:w="70" w:type="dxa"/>
              <w:start w:w="110" w:type="dxa"/>
              <w:bottom w:w="70" w:type="dxa"/>
              <w:end w:w="110" w:type="dxa"/>
            </w:tcMar>
          </w:tcPr>
          <w:p>
            <w:pPr>
              <w:pStyle w:val="TableText"/>
            </w:pPr>
            <w:r>
              <w:rPr/>
              <w:t>the registry operated under Annex 35-C;</w:t>
            </w:r>
          </w:p>
        </w:tc>
      </w:tr>
      <w:tr>
        <w:trPr>
          <w:cantSplit/>
        </w:trPr>
        <w:tc>
          <w:tcPr>
            <w:tcW w:type="dxa" w:w="4680"/>
            <w:tcMar>
              <w:top w:w="70" w:type="dxa"/>
              <w:start w:w="110" w:type="dxa"/>
              <w:bottom w:w="70" w:type="dxa"/>
              <w:end w:w="110" w:type="dxa"/>
            </w:tcMar>
          </w:tcPr>
          <w:p>
            <w:pPr>
              <w:pStyle w:val="TableText"/>
            </w:pPr>
            <w:r>
              <w:rPr/>
              <w:t>Strategic Sector</w:t>
            </w:r>
          </w:p>
        </w:tc>
        <w:tc>
          <w:tcPr>
            <w:tcW w:type="dxa" w:w="4680"/>
            <w:tcMar>
              <w:top w:w="70" w:type="dxa"/>
              <w:start w:w="110" w:type="dxa"/>
              <w:bottom w:w="70" w:type="dxa"/>
              <w:end w:w="110" w:type="dxa"/>
            </w:tcMar>
          </w:tcPr>
          <w:p>
            <w:pPr>
              <w:pStyle w:val="TableText"/>
            </w:pPr>
            <w:r>
              <w:rPr/>
              <w:t>a sector designated under Article 35.23 and Annex 35-B, Part 2;</w:t>
            </w:r>
          </w:p>
        </w:tc>
      </w:tr>
      <w:tr>
        <w:trPr>
          <w:cantSplit/>
        </w:trPr>
        <w:tc>
          <w:tcPr>
            <w:tcW w:type="dxa" w:w="4680"/>
            <w:shd w:fill="F5F7F8" w:val="clear" w:color="auto"/>
            <w:tcMar>
              <w:top w:w="70" w:type="dxa"/>
              <w:start w:w="110" w:type="dxa"/>
              <w:bottom w:w="70" w:type="dxa"/>
              <w:end w:w="110" w:type="dxa"/>
            </w:tcMar>
          </w:tcPr>
          <w:p>
            <w:pPr>
              <w:pStyle w:val="TableText"/>
            </w:pPr>
            <w:r>
              <w:rPr/>
              <w:t>trade module</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Treaty Integrity Secretariat</w:t>
            </w:r>
          </w:p>
        </w:tc>
        <w:tc>
          <w:tcPr>
            <w:tcW w:type="dxa" w:w="4680"/>
            <w:tcMar>
              <w:top w:w="70" w:type="dxa"/>
              <w:start w:w="110" w:type="dxa"/>
              <w:bottom w:w="70" w:type="dxa"/>
              <w:end w:w="110" w:type="dxa"/>
            </w:tcMar>
          </w:tcPr>
          <w:p>
            <w:pPr>
              <w:pStyle w:val="TableText"/>
            </w:pPr>
            <w:r>
              <w:rPr/>
              <w:t>where that administrative label is used, the Treaty Integrity function performed within the Secretariat established by Article 30.6 and governed by Article 35.28; the term does not denote a separate legal person, separately staffed secretariat, or autonomous agency;</w:t>
            </w:r>
          </w:p>
        </w:tc>
      </w:tr>
      <w:tr>
        <w:trPr>
          <w:cantSplit/>
        </w:trPr>
        <w:tc>
          <w:tcPr>
            <w:tcW w:type="dxa" w:w="4680"/>
            <w:shd w:fill="F5F7F8" w:val="clear" w:color="auto"/>
            <w:tcMar>
              <w:top w:w="70" w:type="dxa"/>
              <w:start w:w="110" w:type="dxa"/>
              <w:bottom w:w="70" w:type="dxa"/>
              <w:end w:w="110" w:type="dxa"/>
            </w:tcMar>
          </w:tcPr>
          <w:p>
            <w:pPr>
              <w:pStyle w:val="TableText"/>
            </w:pPr>
            <w:r>
              <w:rPr/>
              <w:t>Trusted North American Origin or TNAO</w:t>
            </w:r>
          </w:p>
        </w:tc>
        <w:tc>
          <w:tcPr>
            <w:tcW w:type="dxa" w:w="4680"/>
            <w:shd w:fill="F5F7F8" w:val="clear" w:color="auto"/>
            <w:tcMar>
              <w:top w:w="70" w:type="dxa"/>
              <w:start w:w="110" w:type="dxa"/>
              <w:bottom w:w="70" w:type="dxa"/>
              <w:end w:w="110" w:type="dxa"/>
            </w:tcMar>
          </w:tcPr>
          <w:p>
            <w:pPr>
              <w:pStyle w:val="TableText"/>
            </w:pPr>
            <w:r>
              <w:rPr/>
              <w:t>the status conferred under Article 36.6;</w:t>
            </w:r>
          </w:p>
        </w:tc>
      </w:tr>
      <w:tr>
        <w:trPr>
          <w:cantSplit/>
        </w:trPr>
        <w:tc>
          <w:tcPr>
            <w:tcW w:type="dxa" w:w="4680"/>
            <w:tcMar>
              <w:top w:w="70" w:type="dxa"/>
              <w:start w:w="110" w:type="dxa"/>
              <w:bottom w:w="70" w:type="dxa"/>
              <w:end w:w="110" w:type="dxa"/>
            </w:tcMar>
          </w:tcPr>
          <w:p>
            <w:pPr>
              <w:pStyle w:val="TableText"/>
            </w:pPr>
            <w:r>
              <w:rPr/>
              <w:t>Verification Panel or Verification Team</w:t>
            </w:r>
          </w:p>
        </w:tc>
        <w:tc>
          <w:tcPr>
            <w:tcW w:type="dxa" w:w="4680"/>
            <w:tcMar>
              <w:top w:w="70" w:type="dxa"/>
              <w:start w:w="110" w:type="dxa"/>
              <w:bottom w:w="70" w:type="dxa"/>
              <w:end w:w="110" w:type="dxa"/>
            </w:tcMar>
          </w:tcPr>
          <w:p>
            <w:pPr>
              <w:pStyle w:val="TableText"/>
            </w:pPr>
            <w:r>
              <w:rPr/>
              <w:t>where either term is used in relation to Article 35.10, the ad hoc three-member Verification Team constituted for the particular matter under that Article; neither term denotes a separately staffed permanent panel;</w:t>
            </w:r>
          </w:p>
        </w:tc>
      </w:tr>
      <w:tr>
        <w:trPr>
          <w:cantSplit/>
        </w:trPr>
        <w:tc>
          <w:tcPr>
            <w:tcW w:type="dxa" w:w="4680"/>
            <w:shd w:fill="F5F7F8" w:val="clear" w:color="auto"/>
            <w:tcMar>
              <w:top w:w="70" w:type="dxa"/>
              <w:start w:w="110" w:type="dxa"/>
              <w:bottom w:w="70" w:type="dxa"/>
              <w:end w:w="110" w:type="dxa"/>
            </w:tcMar>
          </w:tcPr>
          <w:p>
            <w:pPr>
              <w:pStyle w:val="TableText"/>
            </w:pPr>
            <w:r>
              <w:rPr/>
              <w:t>verified economic distortion</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special or sectoral origin procedure</w:t>
            </w:r>
          </w:p>
        </w:tc>
        <w:tc>
          <w:tcPr>
            <w:tcW w:type="dxa" w:w="4680"/>
            <w:tcMar>
              <w:top w:w="70" w:type="dxa"/>
              <w:start w:w="110" w:type="dxa"/>
              <w:bottom w:w="70" w:type="dxa"/>
              <w:end w:w="110" w:type="dxa"/>
            </w:tcMar>
          </w:tcPr>
          <w:p>
            <w:pPr>
              <w:pStyle w:val="TableText"/>
            </w:pPr>
            <w:r>
              <w:rPr/>
              <w:t>an origin procedure expressly established by Chapter 4, Chapter 5, Annex 4-B, Annex 4-C, Annex 4-D, an automotive appendix or schedule incorporated into this Agreement, or another procedure expressly designated by the Commission by consensus in the Origin Procedures Schedule. No unilateral domestic procedure, administrative guidance, waiver, or preferential arrangement with a non-Party constitutes a special or sectoral origin procedure for Chapters 32 or 35 unless so designated.</w:t>
            </w:r>
          </w:p>
        </w:tc>
      </w:tr>
      <w:tr>
        <w:trPr>
          <w:cantSplit/>
        </w:trPr>
        <w:tc>
          <w:tcPr>
            <w:tcW w:type="dxa" w:w="4680"/>
            <w:shd w:fill="F5F7F8" w:val="clear" w:color="auto"/>
            <w:tcMar>
              <w:top w:w="70" w:type="dxa"/>
              <w:start w:w="110" w:type="dxa"/>
              <w:bottom w:w="70" w:type="dxa"/>
              <w:end w:w="110" w:type="dxa"/>
            </w:tcMar>
          </w:tcPr>
          <w:p>
            <w:pPr>
              <w:pStyle w:val="TableText"/>
            </w:pPr>
            <w:r>
              <w:rPr/>
              <w:t>originating good</w:t>
            </w:r>
          </w:p>
        </w:tc>
        <w:tc>
          <w:tcPr>
            <w:tcW w:type="dxa" w:w="4680"/>
            <w:shd w:fill="F5F7F8" w:val="clear" w:color="auto"/>
            <w:tcMar>
              <w:top w:w="70" w:type="dxa"/>
              <w:start w:w="110" w:type="dxa"/>
              <w:bottom w:w="70" w:type="dxa"/>
              <w:end w:w="110" w:type="dxa"/>
            </w:tcMar>
          </w:tcPr>
          <w:p>
            <w:pPr>
              <w:pStyle w:val="TableText"/>
            </w:pPr>
            <w:r>
              <w:rPr/>
              <w:t>for the purposes of Chapters 32 and 35, includes a good qualifying under any special or sectoral origin procedure of this Agreement</w:t>
            </w:r>
          </w:p>
        </w:tc>
      </w:tr>
    </w:tbl>
    <w:p>
      <w:pPr>
        <w:pStyle w:val="Normal"/>
      </w:pPr>
      <w:r>
        <w:rPr>
          <w:b w:val="0"/>
        </w:rPr>
        <w:t>2. A term defined in Chapter 35 has the same meaning throughout this Agreement unless a Chapter expressly provides otherwise.</w:t>
      </w:r>
    </w:p>
    <w:p>
      <w:pPr>
        <w:pStyle w:val="Heading2"/>
      </w:pPr>
      <w:bookmarkStart w:id="900028" w:name="_Toc300000027"/>
      <w:r>
        <w:t>Article 1.B: Relation of the Agreement to Extraordinary Domestic Measures</w:t>
      </w:r>
      <w:bookmarkEnd w:id="900028"/>
    </w:p>
    <w:p>
      <w:pPr>
        <w:pStyle w:val="Normal"/>
      </w:pPr>
      <w:r>
        <w:t>1. The following is inserted as a new provision of Chapter 1:</w:t>
      </w:r>
    </w:p>
    <w:p>
      <w:pPr>
        <w:pStyle w:val="Normal"/>
      </w:pPr>
      <w:r>
        <w:t>“</w:t>
      </w:r>
      <w:r>
        <w:t>1. The obligations of this Agreement apply according to the substance and economic effect of a measure, without regard to the domestic legal authority, designation, form, or terminology under which a Party adopts or maintains that measure. For greater certainty, this rule applies to tariffs, duties, surcharges, import and export fees and charges, tariff-rate quotas, quantitative restrictions, border adjustments, suspensions of preferential, simplified, or duty-free customs treatment, extraordinary import or export charges, discriminatory internal fiscal, regulatory, or administrative measures of equivalent effect, and substantially equivalent measures, however denominated under domestic law.</w:t>
        <w:br/>
        <w:t>2. A Party shall not avoid an obligation or prohibition of this Agreement by renaming, restructuring, routing through another domestic authority, combining with another measure, or otherwise altering the form of a measure where its operative conditions and material economic effect remain substantially equivalent to conduct governed by that obligation or prohibition.</w:t>
        <w:br/>
        <w:t>3. A determination of substantial equivalence under this Article shall be based on objective evidence concerning the measure’s design, operation, incidence, conditions of application, affected trade, and material commercial effect, and shall identify the specific obligation or prohibition of this Agreement alleged to be engaged. The Party maintaining the measure may rebut the allegation by demonstrating material functional differences relevant to that obligation or prohibition.</w:t>
        <w:br/>
        <w:t>4. This Article is a treaty-wide rule of interpretation and anti-circumvention. It does not independently prohibit a measure, authorize a remedy, or shift the substantive burden established by another Chapter; any finding of breach and any responsive measure must satisfy the applicable operative provision and the procedures governing verification, dispute settlement, cure, and remedy under this Agreement.”</w:t>
      </w:r>
    </w:p>
    <w:p>
      <w:pPr>
        <w:pStyle w:val="Heading2"/>
      </w:pPr>
      <w:bookmarkStart w:id="900029" w:name="_Toc300000028"/>
      <w:r>
        <w:t>Article 1.C: Distinction Between Political Commitments and Legal Obligations</w:t>
      </w:r>
      <w:bookmarkEnd w:id="900029"/>
    </w:p>
    <w:p>
      <w:pPr>
        <w:pStyle w:val="Normal"/>
      </w:pPr>
      <w:r>
        <w:t>1. Political declarations, joint statements, negotiating summaries, memoranda of understanding, letters of intent, and other instruments expressly identified as non-binding do not constitute obligations under this Agreement unless incorporated into binding legal text or a binding side instrument in accordance with the applicable constitutional and treaty procedures of each Party.</w:t>
      </w:r>
    </w:p>
    <w:p>
      <w:pPr>
        <w:pStyle w:val="Normal"/>
      </w:pPr>
      <w:r>
        <w:t>2. No Party may rely solely on an unincorporated political commitment as the legal basis for alleging breach of this Agreement or for imposing a covered border measure.</w:t>
      </w:r>
    </w:p>
    <w:p>
      <w:pPr>
        <w:pStyle w:val="Normal"/>
      </w:pPr>
      <w:r>
        <w:t>3. Failure to implement a non-binding political commitment does not constitute breach of this Agreement and is not independently subject to dispute settlement.</w:t>
      </w:r>
    </w:p>
    <w:p>
      <w:pPr>
        <w:pStyle w:val="Normal"/>
      </w:pPr>
      <w:r>
        <w:t>4. Nothing in this Article prevents the Parties from giving provisional or interim legal effect to specified commitments through a written instrument that expressly states its binding status, duration, scope, and termination procedure.</w:t>
      </w:r>
    </w:p>
    <w:p>
      <w:pPr>
        <w:pStyle w:val="Heading1"/>
      </w:pPr>
      <w:bookmarkStart w:id="900030" w:name="_Toc300000029"/>
      <w:r>
        <w:t>CHAPTER 2 NATIONAL TREATMENT AND MARKET ACCESS FOR GOODS</w:t>
      </w:r>
      <w:bookmarkEnd w:id="900030"/>
    </w:p>
    <w:p>
      <w:pPr>
        <w:pStyle w:val="Heading2"/>
      </w:pPr>
      <w:bookmarkStart w:id="900031" w:name="_Toc300000030"/>
      <w:r>
        <w:rPr>
          <w:b/>
        </w:rPr>
        <w:t>Article 2.1: Definitions</w:t>
      </w:r>
      <w:bookmarkEnd w:id="900031"/>
    </w:p>
    <w:p>
      <w:pPr>
        <w:pStyle w:val="Normal"/>
      </w:pPr>
      <w:r>
        <w:rPr>
          <w:b w:val="0"/>
        </w:rPr>
        <w:t>For the purposes of this Chapter:</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Term</w:t>
            </w:r>
          </w:p>
        </w:tc>
        <w:tc>
          <w:tcPr>
            <w:tcW w:type="dxa" w:w="4680"/>
            <w:tcBorders>
              <w:bottom w:val="single" w:sz="6" w:space="0" w:color="546E7A"/>
            </w:tcBorders>
            <w:shd w:fill="E4E9EC" w:val="clear" w:color="auto"/>
          </w:tcPr>
          <w:p>
            <w:pPr>
              <w:pStyle w:val="TableText"/>
            </w:pPr>
            <w:r>
              <w:rPr>
                <w:b/>
                <w:color w:val="37474F"/>
              </w:rPr>
              <w:t>Definition</w:t>
            </w:r>
          </w:p>
        </w:tc>
      </w:tr>
      <w:tr>
        <w:trPr>
          <w:cantSplit/>
        </w:trPr>
        <w:tc>
          <w:tcPr>
            <w:tcW w:type="dxa" w:w="4680"/>
            <w:tcMar>
              <w:top w:w="70" w:type="dxa"/>
              <w:start w:w="110" w:type="dxa"/>
              <w:bottom w:w="70" w:type="dxa"/>
              <w:end w:w="110" w:type="dxa"/>
            </w:tcMar>
          </w:tcPr>
          <w:p>
            <w:pPr>
              <w:pStyle w:val="TableText"/>
            </w:pPr>
            <w:r>
              <w:rPr/>
              <w:t>advertising films and recordings</w:t>
            </w:r>
          </w:p>
        </w:tc>
        <w:tc>
          <w:tcPr>
            <w:tcW w:type="dxa" w:w="4680"/>
            <w:tcMar>
              <w:top w:w="70" w:type="dxa"/>
              <w:start w:w="110" w:type="dxa"/>
              <w:bottom w:w="70" w:type="dxa"/>
              <w:end w:w="110" w:type="dxa"/>
            </w:tcMar>
          </w:tcPr>
          <w:p>
            <w:pPr>
              <w:pStyle w:val="TableText"/>
            </w:pPr>
            <w:r>
              <w:rPr/>
              <w:t>recorded visual media or audio materials that exhibit for prospective customers the nature or operation of goods or services offered for sale or lease by a person established or resident in the territory of a Party, provided that the films and recordings are not for broadcast to the general public</w:t>
            </w:r>
          </w:p>
        </w:tc>
      </w:tr>
      <w:tr>
        <w:trPr>
          <w:cantSplit/>
        </w:trPr>
        <w:tc>
          <w:tcPr>
            <w:tcW w:type="dxa" w:w="4680"/>
            <w:shd w:fill="F5F7F8" w:val="clear" w:color="auto"/>
            <w:tcMar>
              <w:top w:w="70" w:type="dxa"/>
              <w:start w:w="110" w:type="dxa"/>
              <w:bottom w:w="70" w:type="dxa"/>
              <w:end w:w="110" w:type="dxa"/>
            </w:tcMar>
          </w:tcPr>
          <w:p>
            <w:pPr>
              <w:pStyle w:val="TableText"/>
            </w:pPr>
            <w:r>
              <w:rPr/>
              <w:t>commercial samples of negligible value</w:t>
            </w:r>
          </w:p>
        </w:tc>
        <w:tc>
          <w:tcPr>
            <w:tcW w:type="dxa" w:w="4680"/>
            <w:shd w:fill="F5F7F8" w:val="clear" w:color="auto"/>
            <w:tcMar>
              <w:top w:w="70" w:type="dxa"/>
              <w:start w:w="110" w:type="dxa"/>
              <w:bottom w:w="70" w:type="dxa"/>
              <w:end w:w="110" w:type="dxa"/>
            </w:tcMar>
          </w:tcPr>
          <w:p>
            <w:pPr>
              <w:pStyle w:val="TableText"/>
            </w:pPr>
            <w:r>
              <w:rPr/>
              <w:t>commercial samples having a value, individually or in the aggregate as shipped, of not more than one U.S. dollar, or the equivalent amount in the currency of another Party, or so marked, torn, perforated, or otherwise treated that they are unsuitable for sale or use except as commercial samples</w:t>
            </w:r>
          </w:p>
        </w:tc>
      </w:tr>
      <w:tr>
        <w:trPr>
          <w:cantSplit/>
        </w:trPr>
        <w:tc>
          <w:tcPr>
            <w:tcW w:type="dxa" w:w="4680"/>
            <w:tcMar>
              <w:top w:w="70" w:type="dxa"/>
              <w:start w:w="110" w:type="dxa"/>
              <w:bottom w:w="70" w:type="dxa"/>
              <w:end w:w="110" w:type="dxa"/>
            </w:tcMar>
          </w:tcPr>
          <w:p>
            <w:pPr>
              <w:pStyle w:val="TableText"/>
            </w:pPr>
            <w:r>
              <w:rPr/>
              <w:t>consular transactions</w:t>
            </w:r>
          </w:p>
        </w:tc>
        <w:tc>
          <w:tcPr>
            <w:tcW w:type="dxa" w:w="4680"/>
            <w:tcMar>
              <w:top w:w="70" w:type="dxa"/>
              <w:start w:w="110" w:type="dxa"/>
              <w:bottom w:w="70" w:type="dxa"/>
              <w:end w:w="110" w:type="dxa"/>
            </w:tcMar>
          </w:tcPr>
          <w:p>
            <w:pPr>
              <w:pStyle w:val="TableText"/>
            </w:pPr>
            <w:r>
              <w:rPr/>
              <w:t>requirements that goods of a Party intended for export to the territory of another Party must first be submitted to the supervision of the consul of the importing Party in the territory of the exporting Party, or in the territory of a non-Party, for the purpose of obtaining a consular invoice or a consular visa for a commercial invoice, certificate of origin, manifest, shipper’s export declaration, or any other customs documentation in connection with the importation of the good</w:t>
            </w:r>
          </w:p>
        </w:tc>
      </w:tr>
      <w:tr>
        <w:trPr>
          <w:cantSplit/>
        </w:trPr>
        <w:tc>
          <w:tcPr>
            <w:tcW w:type="dxa" w:w="4680"/>
            <w:shd w:fill="F5F7F8" w:val="clear" w:color="auto"/>
            <w:tcMar>
              <w:top w:w="70" w:type="dxa"/>
              <w:start w:w="110" w:type="dxa"/>
              <w:bottom w:w="70" w:type="dxa"/>
              <w:end w:w="110" w:type="dxa"/>
            </w:tcMar>
          </w:tcPr>
          <w:p>
            <w:pPr>
              <w:pStyle w:val="TableText"/>
            </w:pPr>
            <w:r>
              <w:rPr/>
              <w:t>consumed</w:t>
            </w:r>
          </w:p>
        </w:tc>
        <w:tc>
          <w:tcPr>
            <w:tcW w:type="dxa" w:w="4680"/>
            <w:shd w:fill="F5F7F8" w:val="clear" w:color="auto"/>
            <w:tcMar>
              <w:top w:w="70" w:type="dxa"/>
              <w:start w:w="110" w:type="dxa"/>
              <w:bottom w:w="70" w:type="dxa"/>
              <w:end w:w="110" w:type="dxa"/>
            </w:tcMar>
          </w:tcPr>
          <w:p>
            <w:pPr>
              <w:pStyle w:val="TableText"/>
            </w:pPr>
            <w:r>
              <w:rPr/>
              <w:t>(a) actually consumed; or (b) further processed or manufactured so as to result in a substantial change in the value, form, or use of the good or in the production of another good</w:t>
            </w:r>
          </w:p>
        </w:tc>
      </w:tr>
      <w:tr>
        <w:trPr>
          <w:cantSplit/>
        </w:trPr>
        <w:tc>
          <w:tcPr>
            <w:tcW w:type="dxa" w:w="4680"/>
            <w:tcMar>
              <w:top w:w="70" w:type="dxa"/>
              <w:start w:w="110" w:type="dxa"/>
              <w:bottom w:w="70" w:type="dxa"/>
              <w:end w:w="110" w:type="dxa"/>
            </w:tcMar>
          </w:tcPr>
          <w:p>
            <w:pPr>
              <w:pStyle w:val="TableText"/>
            </w:pPr>
            <w:r>
              <w:rPr/>
              <w:t>customs duty</w:t>
            </w:r>
          </w:p>
        </w:tc>
        <w:tc>
          <w:tcPr>
            <w:tcW w:type="dxa" w:w="4680"/>
            <w:tcMar>
              <w:top w:w="70" w:type="dxa"/>
              <w:start w:w="110" w:type="dxa"/>
              <w:bottom w:w="70" w:type="dxa"/>
              <w:end w:w="110" w:type="dxa"/>
            </w:tcMar>
          </w:tcPr>
          <w:p>
            <w:pPr>
              <w:pStyle w:val="TableText"/>
            </w:pPr>
            <w:r>
              <w:rPr/>
              <w:t>includes a duty or charge of any 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the services rendered; (c) anti-dumping or countervailing duty; and (d) premium offered or collected on an imported good arising out of any tendering system in respect of the administration of quantitative import restrictions, tariff rate quotas, or tariff preference levels</w:t>
            </w:r>
          </w:p>
        </w:tc>
      </w:tr>
      <w:tr>
        <w:trPr>
          <w:cantSplit/>
        </w:trPr>
        <w:tc>
          <w:tcPr>
            <w:tcW w:type="dxa" w:w="4680"/>
            <w:shd w:fill="F5F7F8" w:val="clear" w:color="auto"/>
            <w:tcMar>
              <w:top w:w="70" w:type="dxa"/>
              <w:start w:w="110" w:type="dxa"/>
              <w:bottom w:w="70" w:type="dxa"/>
              <w:end w:w="110" w:type="dxa"/>
            </w:tcMar>
          </w:tcPr>
          <w:p>
            <w:pPr>
              <w:pStyle w:val="TableText"/>
            </w:pPr>
            <w:r>
              <w:rPr/>
              <w:t>distributor</w:t>
            </w:r>
          </w:p>
        </w:tc>
        <w:tc>
          <w:tcPr>
            <w:tcW w:type="dxa" w:w="4680"/>
            <w:shd w:fill="F5F7F8" w:val="clear" w:color="auto"/>
            <w:tcMar>
              <w:top w:w="70" w:type="dxa"/>
              <w:start w:w="110" w:type="dxa"/>
              <w:bottom w:w="70" w:type="dxa"/>
              <w:end w:w="110" w:type="dxa"/>
            </w:tcMar>
          </w:tcPr>
          <w:p>
            <w:pPr>
              <w:pStyle w:val="TableText"/>
            </w:pPr>
            <w:r>
              <w:rPr/>
              <w:t>a person of a Party who is responsible for the commercial distribution, agency, concession, or representation in the territory of the Party of goods of another Party</w:t>
            </w:r>
          </w:p>
        </w:tc>
      </w:tr>
      <w:tr>
        <w:trPr>
          <w:cantSplit/>
        </w:trPr>
        <w:tc>
          <w:tcPr>
            <w:tcW w:type="dxa" w:w="4680"/>
            <w:tcMar>
              <w:top w:w="70" w:type="dxa"/>
              <w:start w:w="110" w:type="dxa"/>
              <w:bottom w:w="70" w:type="dxa"/>
              <w:end w:w="110" w:type="dxa"/>
            </w:tcMar>
          </w:tcPr>
          <w:p>
            <w:pPr>
              <w:pStyle w:val="TableText"/>
            </w:pPr>
            <w:r>
              <w:rPr/>
              <w:t>duty deferral program</w:t>
            </w:r>
          </w:p>
        </w:tc>
        <w:tc>
          <w:tcPr>
            <w:tcW w:type="dxa" w:w="4680"/>
            <w:tcMar>
              <w:top w:w="70" w:type="dxa"/>
              <w:start w:w="110" w:type="dxa"/>
              <w:bottom w:w="70" w:type="dxa"/>
              <w:end w:w="110" w:type="dxa"/>
            </w:tcMar>
          </w:tcPr>
          <w:p>
            <w:pPr>
              <w:pStyle w:val="TableText"/>
            </w:pPr>
            <w:r>
              <w:rPr/>
              <w:t>includes measures such as those governing foreign trade zones, temporary importations under bond, bonded warehouses, “maquiladoras”, and inward processing programs</w:t>
            </w:r>
          </w:p>
        </w:tc>
      </w:tr>
      <w:tr>
        <w:trPr>
          <w:cantSplit/>
        </w:trPr>
        <w:tc>
          <w:tcPr>
            <w:tcW w:type="dxa" w:w="4680"/>
            <w:shd w:fill="F5F7F8" w:val="clear" w:color="auto"/>
            <w:tcMar>
              <w:top w:w="70" w:type="dxa"/>
              <w:start w:w="110" w:type="dxa"/>
              <w:bottom w:w="70" w:type="dxa"/>
              <w:end w:w="110" w:type="dxa"/>
            </w:tcMar>
          </w:tcPr>
          <w:p>
            <w:pPr>
              <w:pStyle w:val="TableText"/>
            </w:pPr>
            <w:r>
              <w:rPr/>
              <w:t>duty-free</w:t>
            </w:r>
          </w:p>
        </w:tc>
        <w:tc>
          <w:tcPr>
            <w:tcW w:type="dxa" w:w="4680"/>
            <w:shd w:fill="F5F7F8" w:val="clear" w:color="auto"/>
            <w:tcMar>
              <w:top w:w="70" w:type="dxa"/>
              <w:start w:w="110" w:type="dxa"/>
              <w:bottom w:w="70" w:type="dxa"/>
              <w:end w:w="110" w:type="dxa"/>
            </w:tcMar>
          </w:tcPr>
          <w:p>
            <w:pPr>
              <w:pStyle w:val="TableText"/>
            </w:pPr>
            <w:r>
              <w:rPr/>
              <w:t>free of customs duty</w:t>
            </w:r>
          </w:p>
        </w:tc>
      </w:tr>
      <w:tr>
        <w:trPr>
          <w:cantSplit/>
        </w:trPr>
        <w:tc>
          <w:tcPr>
            <w:tcW w:type="dxa" w:w="4680"/>
            <w:tcMar>
              <w:top w:w="70" w:type="dxa"/>
              <w:start w:w="110" w:type="dxa"/>
              <w:bottom w:w="70" w:type="dxa"/>
              <w:end w:w="110" w:type="dxa"/>
            </w:tcMar>
          </w:tcPr>
          <w:p>
            <w:pPr>
              <w:pStyle w:val="TableText"/>
            </w:pPr>
            <w:r>
              <w:rPr/>
              <w:t>goods admitted for sports purposes</w:t>
            </w:r>
          </w:p>
        </w:tc>
        <w:tc>
          <w:tcPr>
            <w:tcW w:type="dxa" w:w="4680"/>
            <w:tcMar>
              <w:top w:w="70" w:type="dxa"/>
              <w:start w:w="110" w:type="dxa"/>
              <w:bottom w:w="70" w:type="dxa"/>
              <w:end w:w="110" w:type="dxa"/>
            </w:tcMar>
          </w:tcPr>
          <w:p>
            <w:pPr>
              <w:pStyle w:val="TableText"/>
            </w:pPr>
            <w:r>
              <w:rPr/>
              <w:t>sports requisites admitted into the territory of the importing Party for use in sports contests, demonstrations, or training in the territory of the Party</w:t>
            </w:r>
          </w:p>
        </w:tc>
      </w:tr>
      <w:tr>
        <w:trPr>
          <w:cantSplit/>
        </w:trPr>
        <w:tc>
          <w:tcPr>
            <w:tcW w:type="dxa" w:w="4680"/>
            <w:shd w:fill="F5F7F8" w:val="clear" w:color="auto"/>
            <w:tcMar>
              <w:top w:w="70" w:type="dxa"/>
              <w:start w:w="110" w:type="dxa"/>
              <w:bottom w:w="70" w:type="dxa"/>
              <w:end w:w="110" w:type="dxa"/>
            </w:tcMar>
          </w:tcPr>
          <w:p>
            <w:pPr>
              <w:pStyle w:val="TableText"/>
            </w:pPr>
            <w:r>
              <w:rPr/>
              <w:t>import licensing</w:t>
            </w:r>
          </w:p>
        </w:tc>
        <w:tc>
          <w:tcPr>
            <w:tcW w:type="dxa" w:w="4680"/>
            <w:shd w:fill="F5F7F8" w:val="clear" w:color="auto"/>
            <w:tcMar>
              <w:top w:w="70" w:type="dxa"/>
              <w:start w:w="110" w:type="dxa"/>
              <w:bottom w:w="70" w:type="dxa"/>
              <w:end w:w="110" w:type="dxa"/>
            </w:tcMar>
          </w:tcPr>
          <w:p>
            <w:pPr>
              <w:pStyle w:val="TableText"/>
            </w:pPr>
            <w:r>
              <w:rPr/>
              <w:t>an administrative procedure requiring the submission of an application or other documentation (other than that generally required for customs clearance purposes) to the relevant administrative body as a prior condition for importation into the territory of the importing Party</w:t>
            </w:r>
          </w:p>
        </w:tc>
      </w:tr>
      <w:tr>
        <w:trPr>
          <w:cantSplit/>
        </w:trPr>
        <w:tc>
          <w:tcPr>
            <w:tcW w:type="dxa" w:w="4680"/>
            <w:tcMar>
              <w:top w:w="70" w:type="dxa"/>
              <w:start w:w="110" w:type="dxa"/>
              <w:bottom w:w="70" w:type="dxa"/>
              <w:end w:w="110" w:type="dxa"/>
            </w:tcMar>
          </w:tcPr>
          <w:p>
            <w:pPr>
              <w:pStyle w:val="TableText"/>
            </w:pPr>
            <w:r>
              <w:rPr/>
              <w:t>Import Licensing Agreement</w:t>
            </w:r>
          </w:p>
        </w:tc>
        <w:tc>
          <w:tcPr>
            <w:tcW w:type="dxa" w:w="4680"/>
            <w:tcMar>
              <w:top w:w="70" w:type="dxa"/>
              <w:start w:w="110" w:type="dxa"/>
              <w:bottom w:w="70" w:type="dxa"/>
              <w:end w:w="110" w:type="dxa"/>
            </w:tcMar>
          </w:tcPr>
          <w:p>
            <w:pPr>
              <w:pStyle w:val="TableText"/>
            </w:pPr>
            <w:r>
              <w:rPr/>
              <w:t>the Agreement on Import Licensing Procedures,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performance requirement</w:t>
            </w:r>
          </w:p>
        </w:tc>
        <w:tc>
          <w:tcPr>
            <w:tcW w:type="dxa" w:w="4680"/>
            <w:shd w:fill="F5F7F8" w:val="clear" w:color="auto"/>
            <w:tcMar>
              <w:top w:w="70" w:type="dxa"/>
              <w:start w:w="110" w:type="dxa"/>
              <w:bottom w:w="70" w:type="dxa"/>
              <w:end w:w="110" w:type="dxa"/>
            </w:tcMar>
          </w:tcPr>
          <w:p>
            <w:pPr>
              <w:pStyle w:val="TableText"/>
            </w:pPr>
            <w:r>
              <w:rPr/>
              <w:t>a requirement that: (a) a given level or percentage of goods or services be exported; (b) a domestic good or service of the Party granting a waiver of a custom duty or an import license be substituted for an imported good or service; (c) a person benefitting from a waiver of a custom duty or a grant of an import license, purchase a good or service in the territory of the Party granting the waiver or the import license or accord a preference to a domestically produced good or service; (d) a person benefitting from a waiver of a custom duty or a grant of an import license produce a good or provide a service, in the territory of the Party granting the waiver or import license, with a given level or percentage of domestic content; or (e) relates in any way the volume or value of imports to the volume or value of exports or to the amount of foreign exchange inflows; but does not include a requirement that an imported good be: (f) subsequently exported; (g) used as a material in the production of another good that is subsequently exported; (h) substituted by an identical or similar good used as a material in the production of another good that is subsequently exported; or (i) substituted by an identical or similar good that is subsequently exported</w:t>
            </w:r>
          </w:p>
        </w:tc>
      </w:tr>
      <w:tr>
        <w:trPr>
          <w:cantSplit/>
        </w:trPr>
        <w:tc>
          <w:tcPr>
            <w:tcW w:type="dxa" w:w="4680"/>
            <w:tcMar>
              <w:top w:w="70" w:type="dxa"/>
              <w:start w:w="110" w:type="dxa"/>
              <w:bottom w:w="70" w:type="dxa"/>
              <w:end w:w="110" w:type="dxa"/>
            </w:tcMar>
          </w:tcPr>
          <w:p>
            <w:pPr>
              <w:pStyle w:val="TableText"/>
            </w:pPr>
            <w:r>
              <w:rPr/>
              <w:t>printed advertising materials</w:t>
            </w:r>
          </w:p>
        </w:tc>
        <w:tc>
          <w:tcPr>
            <w:tcW w:type="dxa" w:w="4680"/>
            <w:tcMar>
              <w:top w:w="70" w:type="dxa"/>
              <w:start w:w="110" w:type="dxa"/>
              <w:bottom w:w="70" w:type="dxa"/>
              <w:end w:w="110" w:type="dxa"/>
            </w:tcMar>
          </w:tcPr>
          <w:p>
            <w:pPr>
              <w:pStyle w:val="TableText"/>
            </w:pPr>
            <w:r>
              <w:rPr/>
              <w:t>those goods classified in Chapter 49 of the Harmonized System, including brochures, pamphlets, leaflets, trade catalogues, yearbooks published by trade associations, tourist promotional materials, and posters, that are used to promote, publicize, or advertise a good or service, are essentially intended to advertise a good or service, and are supplied free of charge</w:t>
            </w:r>
          </w:p>
        </w:tc>
      </w:tr>
      <w:tr>
        <w:trPr>
          <w:cantSplit/>
        </w:trPr>
        <w:tc>
          <w:tcPr>
            <w:tcW w:type="dxa" w:w="4680"/>
            <w:shd w:fill="F5F7F8" w:val="clear" w:color="auto"/>
            <w:tcMar>
              <w:top w:w="70" w:type="dxa"/>
              <w:start w:w="110" w:type="dxa"/>
              <w:bottom w:w="70" w:type="dxa"/>
              <w:end w:w="110" w:type="dxa"/>
            </w:tcMar>
          </w:tcPr>
          <w:p>
            <w:pPr>
              <w:pStyle w:val="TableText"/>
            </w:pPr>
            <w:r>
              <w:rPr/>
              <w:t>satisfactory evidence</w:t>
            </w:r>
          </w:p>
        </w:tc>
        <w:tc>
          <w:tcPr>
            <w:tcW w:type="dxa" w:w="4680"/>
            <w:shd w:fill="F5F7F8" w:val="clear" w:color="auto"/>
            <w:tcMar>
              <w:top w:w="70" w:type="dxa"/>
              <w:start w:w="110" w:type="dxa"/>
              <w:bottom w:w="70" w:type="dxa"/>
              <w:end w:w="110" w:type="dxa"/>
            </w:tcMar>
          </w:tcPr>
          <w:p>
            <w:pPr>
              <w:pStyle w:val="TableText"/>
            </w:pPr>
            <w:r>
              <w:rPr/>
              <w:t>(a) a receipt, or a copy of a receipt, evidencing payment of a customs duty on a particular entry; (b) a copy of the entry document with evidence that it was received by a customs administration; (c) a copy of a final customs duty determination by a customs administration respecting the relevant entry; or (d) any other evidence of payment of a customs duty acceptable under the Uniform Regulations</w:t>
            </w:r>
          </w:p>
        </w:tc>
      </w:tr>
      <w:tr>
        <w:trPr>
          <w:cantSplit/>
        </w:trPr>
        <w:tc>
          <w:tcPr>
            <w:tcW w:type="dxa" w:w="4680"/>
            <w:tcMar>
              <w:top w:w="70" w:type="dxa"/>
              <w:start w:w="110" w:type="dxa"/>
              <w:bottom w:w="70" w:type="dxa"/>
              <w:end w:w="110" w:type="dxa"/>
            </w:tcMar>
          </w:tcPr>
          <w:p>
            <w:pPr>
              <w:pStyle w:val="TableText"/>
            </w:pPr>
            <w:r>
              <w:rPr/>
              <w:t>used vehicle</w:t>
            </w:r>
          </w:p>
        </w:tc>
        <w:tc>
          <w:tcPr>
            <w:tcW w:type="dxa" w:w="4680"/>
            <w:tcMar>
              <w:top w:w="70" w:type="dxa"/>
              <w:start w:w="110" w:type="dxa"/>
              <w:bottom w:w="70" w:type="dxa"/>
              <w:end w:w="110" w:type="dxa"/>
            </w:tcMar>
          </w:tcPr>
          <w:p>
            <w:pPr>
              <w:pStyle w:val="TableText"/>
            </w:pPr>
            <w:r>
              <w:rPr/>
              <w:t>an automobile, a truck, a bus, or a special purpose motor vehicle, not including a motorcycle, that: (a) has been sold, leased, or loaned; (b) has been driven for more than: (i) 1,000 kilometers if the vehicle has a gross weight of less than five metric tons, or (ii) 5,000 kilometers if the vehicle has a gross weight of five metric tons or more; or (c) was manufactured prior to the current year and at least 90 days have elapsed since the date of manufacture.</w:t>
            </w:r>
          </w:p>
        </w:tc>
      </w:tr>
    </w:tbl>
    <w:p>
      <w:pPr>
        <w:pStyle w:val="Heading2"/>
      </w:pPr>
      <w:bookmarkStart w:id="900032" w:name="_Toc300000031"/>
      <w:r>
        <w:t>Article 2.2: Scope</w:t>
      </w:r>
      <w:bookmarkEnd w:id="900032"/>
    </w:p>
    <w:p>
      <w:pPr>
        <w:pStyle w:val="Normal"/>
      </w:pPr>
      <w:r>
        <w:t>Except as otherwise provided in this Agreement, this Chapter applies to trade in goods of a Party.</w:t>
      </w:r>
    </w:p>
    <w:p>
      <w:pPr>
        <w:pStyle w:val="Heading2"/>
      </w:pPr>
      <w:bookmarkStart w:id="900033" w:name="_Toc300000032"/>
      <w:r>
        <w:t xml:space="preserve">Article 2.3: National Treatment</w:t>
      </w:r>
      <w:bookmarkEnd w:id="900033"/>
    </w:p>
    <w:p>
      <w:pPr>
        <w:pStyle w:val="Normal"/>
      </w:pPr>
      <w:r>
        <w:t xml:space="preserve">1. Each Party shall accord national treatment to the goods of another Party in accordance with Article III of the GATT 1994, including its interpretative notes, and to this end, Article III of the GATT 1994 and its interpretative notes are incorporated into and made part of this Agreement, mutatis mutandis. 2. The treatment to be accorded by a Party under paragraph 1 means, with respect to a regional level of government, treatment no less favorable than the most favorable treatment that regional level of government accords to any like, directly competitive, or substitutable goods, as the case may be, of the Party of which it forms a part. 3. Paragraphs 1 and 2 do not apply to the measures set out in Annex 2-A (Exceptions to Article 2.3 (National Treatment) and Article 2.11 (Import and Export Restrictions)).</w:t>
      </w:r>
    </w:p>
    <w:p>
      <w:pPr>
        <w:pStyle w:val="Heading2"/>
      </w:pPr>
      <w:bookmarkStart w:id="900034" w:name="_Toc300000033"/>
      <w:r>
        <w:t xml:space="preserve">Article 2.4: Treatment of Customs Duties</w:t>
      </w:r>
      <w:bookmarkEnd w:id="900034"/>
    </w:p>
    <w:p>
      <w:pPr>
        <w:pStyle w:val="Normal"/>
      </w:pPr>
      <w:r>
        <w:t xml:space="preserve">1. Unless otherwise provided in this Agreement, no Party shall increase any existing customs duty, or adopt any new customs duty, on an originating good. 2. Unless otherwise provided in this Agreement, each Party shall apply a customs duty on an originating good in accordance with its Schedule to Annex 2-B (Tariff Commitments). 3. On the request of a Party, the Parties shall consult to consider accelerating or broadening the scope of the elimination of customs duties set out in their Schedules to Annex 2-B (Tariff Commitments). An agreement between two or more Parties to accelerate or broaden the scope of the elimination of a customs duty on an originating good shall supersede any customs duty rate determined pursuant to those Parties’ Schedules to Annex 2-B (Tariff Commitments) for that good once approved by each Party in accordance with its applicable legal procedures. 4. A Party may at any time unilaterally accelerate the elimination of customs duties set out in its Schedule to Annex 2-B (Tariff Commitments) on originating goods. 5.</w:t>
      </w:r>
    </w:p>
    <w:p>
      <w:pPr>
        <w:pStyle w:val="Normal"/>
      </w:pPr>
      <w:r>
        <w:t>Annex 2-C (Provisions Between Mexico and the United States on Automotive Goods) contains additional provisions between Mexico and the United States relating to customs duties on automotive goods that are not originating under Chapter 4 (Rules of Origin).</w:t>
      </w:r>
    </w:p>
    <w:p>
      <w:pPr>
        <w:pStyle w:val="Heading2"/>
      </w:pPr>
      <w:bookmarkStart w:id="900035" w:name="_Toc300000034"/>
      <w:r>
        <w:t xml:space="preserve">Article 2.5: Drawback and Duty Deferral Programs</w:t>
      </w:r>
      <w:bookmarkEnd w:id="900035"/>
    </w:p>
    <w:p>
      <w:pPr>
        <w:pStyle w:val="Normal"/>
      </w:pPr>
      <w:r>
        <w:t xml:space="preserve">1. Except as otherwise provided in this Article, no Party shall refund the amount of customs duties paid, or waive or reduce the amount of customs duties owed, on a good imported into its territory, on condition that the good is: (a) subsequently exported to the territory of another Party; (b) used as a material in the production of another good that is subsequently exported to the territory of another Party; or (c) substituted by an identical or similar good used as a material in the production of another good that is subsequently exported to the territory of another Party, in an amount that exceeds the lesser of the total amount of customs duties paid or owed on the good on importation into its territory and the total amount of customs duties paid to another Party on the good that has been subsequently exported to the territory of that other Party. 2. No Party shall, on condition of export, refund, waive, or reduce: (a) an antidumping or countervailing duty;</w:t>
      </w:r>
    </w:p>
    <w:p>
      <w:pPr>
        <w:pStyle w:val="Normal"/>
      </w:pPr>
      <w:r>
        <w:t>(b) a premium offered or collected on an imported good arising out of any tendering system in respect of the administration of quantitative import restrictions, or tariff rate quotas or tariff preference levels; or (c) customs duties paid or owed on a good imported into its territory and substituted by an identical or similar good that is subsequently exported to the territory of another Party. 3.</w:t>
      </w:r>
    </w:p>
    <w:p>
      <w:pPr>
        <w:pStyle w:val="Normal"/>
      </w:pPr>
      <w:r>
        <w:t>If a good is imported into the territory of a Party pursuant to a duty deferral program and is subsequently exported to the territory of another Party, or is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the Party from whose territory the good is exported: (a) shall assess the customs duty as if the exported good had been withdrawn for domestic consumption; and (b) may waive or reduce such customs duty to the extent permitted under paragraph 1. 4. In determining the amount of a customs duty that may be refunded, waived, or reduced pursuant to paragraph 1 on a good imported into its territory, each Party shall require presentation of satisfactory evidence of the amount of customs duties paid to another Party on the good that has been subsequently exported to the territory of that other Party. 5.</w:t>
      </w:r>
    </w:p>
    <w:p>
      <w:pPr>
        <w:pStyle w:val="Normal"/>
      </w:pPr>
      <w:r>
        <w:t>If satisfactory evidence of the customs duty paid to the Party to which a good is subsequently exported under a duty deferral program described in paragraph 3 is not presented within 60 days after the date of exportation, the Party from whose territory the good was exported: (a) shall collect the customs duty as if the exported good had been withdrawn for domestic consumption; and (b) may refund such customs duty, to the extent permitted under paragraph 1, on the timely presentation of such evidence under its laws and regulations. 6. This Article does not apply to: (a) a good entered under bond for transportation and exportation to the territory of another Party; (b) a good exported to the territory of another Party in the same condition as when imported into the territory of the Party from which the good was exported.1 If that good has been commingled with fungible goods and exported in the same condition, its origin for purposes of this subparagraph may be determined on the basis of inventory management methods such as first-in, first-out or last-in, first- out.</w:t>
      </w:r>
    </w:p>
    <w:p>
      <w:pPr>
        <w:pStyle w:val="Normal"/>
      </w:pPr>
      <w:r>
        <w:t>For greater certainty, nothing in this subparagraph shall be construed to permit a Party to waive, refund, or reduce a customs duty contrary to paragraph 2(c); (c) a good imported into the territory of a Party that is deemed to be exported from its territory, is used as a material in the production of another good that is deemed to be exported to the territory of another Party, or is substituted by an identical or similar good used as a material in the production of another good that is deemed to be exported to the territory of another Party, by reason of: * 1 Processes such as testing, cleaning, repacking, inspecting, sorting, or marking a good, or preserving a good in its same condition, shall not be considered to change the good’s condition.</w:t>
      </w:r>
    </w:p>
    <w:p>
      <w:pPr>
        <w:pStyle w:val="Normal"/>
      </w:pPr>
      <w:r>
        <w:t>(i) delivery to a duty-free shop, (ii) delivery for ship’s stores or supplies for ships or aircraft, or (iii) delivery for use in joint undertakings of two or more of the Parties and that will subsequently become the property of the Party into whose territory the good was deemed to be exported; (d) a refund of customs duties by a Party on a particular good imported into its territory and subsequently exported to the territory of another Party, if that refund is granted by reason of the failure of that good to conform to sample or specification, or by reason of the shipment of that good without the consent of the consignee; (e) an originating good that is imported into the territory of a Party and is subsequently exported to the</w:t>
      </w:r>
    </w:p>
    <w:p>
      <w:pPr>
        <w:pStyle w:val="Normal"/>
      </w:pPr>
      <w:r>
        <w:t>territory of another Party, or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(f) for exports from the territory of the United States to the territory of Canada or Mexico, goods provided for in U.S. tariff items 1701.13.20 or 1701.14.20 that are imported into the territory of the United States under any re-export program or any like program and used as a material in the production of, or substituted by an identical or similar good used as a material in the production of: (i) a good provided for in Canadian tariff item 1701.99.00 or Mexican tariff items 1701.99.01, 1701.99.02, and 1701.99.99 (refined sugar), or (ii) sugar containing products that are prepared foodstuffs or beverages classified in headings 17.04 and 18.06 or in Chapters 19, 20, 21, or 22; or (g) for trade between Canada and the United States:</w:t>
      </w:r>
    </w:p>
    <w:p>
      <w:pPr>
        <w:pStyle w:val="Normal"/>
      </w:pPr>
      <w:r>
        <w:t>(i) imported citrus products, (ii) an imported good used as a material in the production of, or substituted by an identical or similar good used as a material in the production of, a good provided for in U.S.</w:t>
      </w:r>
    </w:p>
    <w:p>
      <w:pPr>
        <w:pStyle w:val="Normal"/>
      </w:pPr>
      <w:r>
        <w:t>tariff items 5811.00.20 (quilted cotton piece goods), 5811.00.30 (quilted man-made piece goods) or 6307.90.99 (furniture moving pads), or Canadian tariff items 5811.00.10 (quilted cotton piece goods), 5811.00.20 (quilted man-made piece goods) or 6307.90.30 (furniture moving pads), that are subject to the most-favored-nation rate of duty when exported to the territory of the other Party, and (iii) an imported good used as a material in the production of apparel that is subject to the most-favored-nation rate of duty when exported to the territory of the other Party. 7. For the purposes of this Article: identical or similar goods means “identical goods” and “similar goods,” respectively, as defined in the Customs Valuation Agreement, or as otherwise provided for under the law of the importing Party; material means “material” as defined in Article 4.1 (Definitions); used means “used” as defined in Article 4.1 (Definitions). 8. If a good referred to by a tariff item number in this Article is described in parentheses following the tariff item number, the description is provided for purposes of reference only.</w:t>
      </w:r>
    </w:p>
    <w:p>
      <w:pPr>
        <w:pStyle w:val="Heading2"/>
      </w:pPr>
      <w:bookmarkStart w:id="900036" w:name="_Toc300000035"/>
      <w:r>
        <w:t xml:space="preserve">Article 2.6: Waiver of Customs Duties</w:t>
      </w:r>
      <w:bookmarkEnd w:id="900036"/>
    </w:p>
    <w:p>
      <w:pPr>
        <w:pStyle w:val="Normal"/>
      </w:pPr>
      <w:r>
        <w:t xml:space="preserve">No Party shall adopt or maintain any waiver of a customs duty if the waiver is conditioned, explicitly or implicitly, on the fulfillment of a performance requirement.</w:t>
      </w:r>
    </w:p>
    <w:p>
      <w:pPr>
        <w:pStyle w:val="Heading2"/>
      </w:pPr>
      <w:bookmarkStart w:id="900037" w:name="_Toc300000036"/>
      <w:r>
        <w:t xml:space="preserve">Article 2.7: Temporary Admission of Goods</w:t>
      </w:r>
      <w:bookmarkEnd w:id="900037"/>
    </w:p>
    <w:p>
      <w:pPr>
        <w:pStyle w:val="Normal"/>
      </w:pPr>
      <w:r>
        <w:t xml:space="preserve">1. Each Party shall grant duty-free temporary admission for: (a) professional equipment, including equipment for the press or television, software, and broadcasting and cinematographic equipment, that is necessary for carrying out the business activity, trade, or profession of a person who qualifies for temporary entry in accordance with the law of the importing Party; (b) a good intended for display or demonstration, including its component parts, ancillary apparatus and accessories; (c) commercial samples and advertising films and recordings; and (d) a good admitted for sports purposes, admitted from the territory of another Party, regardless of their origin and regardless of whether like, directly competitive, or substitutable goods are available in the territory of the Party. 2.</w:t>
      </w:r>
    </w:p>
    <w:p>
      <w:pPr>
        <w:pStyle w:val="Normal"/>
      </w:pPr>
      <w:r>
        <w:t>No Party shall condition the duty-free temporary admission of a good referred to in paragraph 1, other than to require that the good: (a) be imported by a national of another Party who seeks temporary entry; (b) be used solely by or under the personal supervision of a national of another Party in the exercise of the business activity, trade, profession, or sport of that person; (c) not be sold, leased, or, for goods referred to in paragraph 1(c), not be put to any use other than exhibition or demonstration, while in its territory; (d) be accompanied by a security in an amount no greater than 110 percent of the charges that would otherwise be owed on entry or importation, and releasable on exportation of the good except that a bond for customs duties shall not be required for an originating good; (e) be capable of identification when exported;</w:t>
      </w:r>
    </w:p>
    <w:p>
      <w:pPr>
        <w:pStyle w:val="Normal"/>
      </w:pPr>
      <w:r>
        <w:t>(f) be exported on the departure of the person referenced in subparagraph (a), or within any other period reasonably related to the purpose of the temporary admission as the Party may establish, unless extended; (g) be admitted in no greater quantity than is reasonable for its intended use; and (h) be otherwise admissible into the Party’s territory under its law. 3. Subject to its law, each Party shall extend the time limit for temporary admission beyond the period initially fixed at the request of the person concerned. 4.</w:t>
      </w:r>
    </w:p>
    <w:p>
      <w:pPr>
        <w:pStyle w:val="Normal"/>
      </w:pPr>
      <w:r>
        <w:t>Each Party shall adopt or maintain procedures providing for the expeditious release of a good admitted under this Article. To the extent possible, those procedures must provide that when such a good accompanies a national of another Party who is seeking temporary entry, the good shall be released simultaneously with the entry of that national. 5. Each Party shall permit a good temporarily admitted under this Article to be exported through a customs port other than the port through which it was admitted. 6. Each Party shall provide, in accordance with its law, that the person responsible for a good admitted under this Article shall not be liable for failure to export the good upon presentation of proof satisfactory to the Party into whose territory the good was admitted that the good has been destroyed within the original time period fixed for temporary admission or any lawful extension. 7. If any condition that a Party imposes under paragraph 2 has not been fulfilled, the Party may apply the customs duty and any other charge that would normally be owed on entry or importation of the good in addition to any other charges or penalties provided for under its law. 8.</w:t>
      </w:r>
    </w:p>
    <w:p>
      <w:pPr>
        <w:pStyle w:val="Normal"/>
      </w:pPr>
      <w:r>
        <w:t>Subject to Chapters 14 (Investment) and Chapter 15 (Cross Border Trade in Services): (a) each Party shall allow a vehicle, or shipping container or other substantial holder, that enters its territory from the territory of another Party to exit its territory on any route that is reasonably related to the economic and prompt departure of that vehicle, or shipping container or other substantial holder; (b) no Party shall require any security or impose any penalty or charge solely by reason of any difference between the port of entry and the port of departure of a vehicle, or shipping container or other substantial holder;</w:t>
      </w:r>
    </w:p>
    <w:p>
      <w:pPr>
        <w:pStyle w:val="Normal"/>
      </w:pPr>
      <w:r>
        <w:t>(c) no Party shall condition the release of any obligation, including any security, that it imposes in respect of the entry of a vehicle, or shipping container or other substantial holder, into its territory on the exit of that vehicle, or shipping container or other substantial holder, through any particular port of departure; and (d) no Party shall require that the vehicle or carrier bringing a shipping container or other substantial holder from the territory of another Party into its territory be the same vehicle or carrier that takes that shipping container or other substantial holder to the territory of another Party. 9. For the purposes of paragraph 8, vehicle means a truck, a truck tractor, a tractor, a trailer unit or trailer, a locomotive, or a railway car or other railroad equipment, if used in international traffic. 10.</w:t>
      </w:r>
    </w:p>
    <w:p>
      <w:pPr>
        <w:pStyle w:val="Normal"/>
      </w:pPr>
      <w:r>
        <w:t>Each Party shall adopt or maintain procedures allowing for the arrival and release from customs custody, such as through a procedure that provides for temporary admission as set forth in this Article, of a shipping container or other substantial holder being used or to be used in the shipment of goods in international traffic, whether arriving full or empty and of any size, volume, or dimension, with relief from custom duties and allowing it to remain within its territory for at least 90 consecutive days. 11. Each Party shall, in accordance with its laws, regulations, and procedures, extend the timeframe for temporary admission of a shipping container or other substantial holder beyond the period initially fixed at the request of the person concerned. 12. A Party may require that a shipping container or other substantial holder be registered with the customs authority the first time it arrives in its territory, as a condition for the treatment described in paragraphs 10 and 11. 13.</w:t>
      </w:r>
    </w:p>
    <w:p>
      <w:pPr>
        <w:pStyle w:val="Normal"/>
      </w:pPr>
      <w:r>
        <w:t>Each Party shall include in the treatment of any shipping container or other substantial holder that has an internal volume of one cubic meter or more, the accessories or equipment accompanying it as defined by the importing Party. 14.</w:t>
      </w:r>
    </w:p>
    <w:p>
      <w:pPr>
        <w:pStyle w:val="Normal"/>
      </w:pPr>
      <w:r>
        <w:t>For the purposes of paragraph 8 and paragraphs 10 through 13, a “shipping container or other substantial holder” includes any container or holder, whether collapsible or not, that is constructed of a sturdy material capable of repeated use, and is used in the shipment of goods in international traffic.</w:t>
      </w:r>
    </w:p>
    <w:p>
      <w:pPr>
        <w:pStyle w:val="Heading2"/>
      </w:pPr>
      <w:bookmarkStart w:id="900038" w:name="_Toc300000037"/>
      <w:r>
        <w:t xml:space="preserve">Article 2.8: Goods Re-Entered after Repair or Alteration</w:t>
      </w:r>
      <w:bookmarkEnd w:id="900038"/>
    </w:p>
    <w:p>
      <w:pPr>
        <w:pStyle w:val="Normal"/>
      </w:pPr>
      <w:r>
        <w:t xml:space="preserve">1. No Party shall apply a customs duty to a good, regardless of its origin, that re-enters its territory after that good has been temporarily exported from its territory to the territory of another Party for repair or alteration, regardless of whether that repair or alteration could have been performed in the territory of the Party from which the good was exported for repair or alteration or has increased the value of the good. 2. Paragraph 1 does not apply to a good imported under a duty deferral program that is exported for repair or alteration and is not re-imported under a duty deferral program. 3. Notwithstanding Article 2.5 (Drawback and Duty Deferral Programs), no Party shall apply a customs duty to a good, regardless of its origin, admitted temporarily from the territory of another Party for repair or alteration. 4. For the purposes of this Article, repair or alteration does not include an operation or process that: (a) destroys a good’s essential characteristics or creates a new or commercially different good; or (b) transforms an unfinished good into a finished good.</w:t>
      </w:r>
    </w:p>
    <w:p>
      <w:pPr>
        <w:pStyle w:val="Heading2"/>
      </w:pPr>
      <w:bookmarkStart w:id="900039" w:name="_Toc300000038"/>
      <w:r>
        <w:t xml:space="preserve">Article 2.9: Duty-Free Entry of Commercial Samples of Negligible Value and Printed Advertising Materials</w:t>
      </w:r>
      <w:bookmarkEnd w:id="900039"/>
    </w:p>
    <w:p>
      <w:pPr>
        <w:pStyle w:val="Normal"/>
      </w:pPr>
      <w:r>
        <w:t xml:space="preserve">No Party shall apply a customs duty to commercial samples of negligible value or to printed advertising materials imported from the territory of another Party, regardless of their origin, but a Party may require that: (a) the samples be imported solely for the solicitation of orders for goods, or services provided from the territory, of another Party or a non-Party; or (b) the advertising materials be imported in packets that each contain no more than one copy of each such material and that neither the materials nor the packets form part of a larger consignment.</w:t>
      </w:r>
    </w:p>
    <w:p>
      <w:pPr>
        <w:pStyle w:val="Heading2"/>
      </w:pPr>
      <w:bookmarkStart w:id="900040" w:name="_Toc300000039"/>
      <w:r>
        <w:rPr>
          <w:b w:val="0"/>
        </w:rPr>
        <w:t xml:space="preserve">Article 2.10: Most-Favored-Nation Rates of Duty on Certain Goods</w:t>
        <w:br/>
        <w:br/>
      </w:r>
      <w:bookmarkEnd w:id="900040"/>
    </w:p>
    <w:p>
      <w:pPr>
        <w:pStyle w:val="Normal"/>
      </w:pPr>
      <w:r>
        <w:rPr>
          <w:b w:val="0"/>
        </w:rPr>
        <w:t xml:space="preserve">1. Each Party shall accord most-favored-nation duty-free treatment to a good provided for under the tariff provisions set out in Tables 2.10.1, 2.10.2, and 2.10.3.2. Notwithstanding Chapter 4 (Rules of Origin), each Party shall consider a good set out in Table 2.10.1, if imported into its territory from the territory of another Party, to be an originating good.</w:t>
        <w:br/>
        <w:br/>
      </w:r>
    </w:p>
    <w:p>
      <w:pPr>
        <w:pStyle w:val="Normal"/>
      </w:pPr>
      <w:r>
        <w:rPr>
          <w:b/>
        </w:rPr>
        <w:t>Table 2.10.1</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2340"/>
        <w:gridCol w:w="2340"/>
        <w:gridCol w:w="2340"/>
        <w:gridCol w:w="2340"/>
      </w:tblGrid>
      <w:tr>
        <w:trPr>
          <w:tblHeader w:val="true"/>
          <w:cantSplit/>
          <w:tblHeader w:val="true"/>
        </w:trPr>
        <w:tc>
          <w:tcPr>
            <w:tcW w:type="dxa" w:w="2340"/>
            <w:tcBorders>
              <w:bottom w:val="single" w:sz="6" w:space="0" w:color="546E7A"/>
            </w:tcBorders>
            <w:shd w:fill="E4E9EC" w:val="clear" w:color="auto"/>
          </w:tcPr>
          <w:p>
            <w:pPr>
              <w:pStyle w:val="TableText"/>
            </w:pPr>
            <w:r>
              <w:rPr>
                <w:b/>
                <w:color w:val="37474F"/>
              </w:rPr>
              <w:t>Category</w:t>
            </w:r>
          </w:p>
        </w:tc>
        <w:tc>
          <w:tcPr>
            <w:tcW w:type="dxa" w:w="2340"/>
            <w:tcBorders>
              <w:bottom w:val="single" w:sz="6" w:space="0" w:color="546E7A"/>
            </w:tcBorders>
            <w:shd w:fill="E4E9EC" w:val="clear" w:color="auto"/>
          </w:tcPr>
          <w:p>
            <w:pPr>
              <w:pStyle w:val="TableText"/>
            </w:pPr>
            <w:r>
              <w:rPr>
                <w:b/>
                <w:color w:val="37474F"/>
              </w:rPr>
              <w:t>Party</w:t>
            </w:r>
          </w:p>
        </w:tc>
        <w:tc>
          <w:tcPr>
            <w:tcW w:type="dxa" w:w="2340"/>
            <w:tcBorders>
              <w:bottom w:val="single" w:sz="6" w:space="0" w:color="546E7A"/>
            </w:tcBorders>
            <w:shd w:fill="E4E9EC" w:val="clear" w:color="auto"/>
          </w:tcPr>
          <w:p>
            <w:pPr>
              <w:pStyle w:val="TableText"/>
            </w:pPr>
            <w:r>
              <w:rPr>
                <w:b/>
                <w:color w:val="37474F"/>
              </w:rPr>
              <w:t>Tariff Provision(s)</w:t>
            </w:r>
          </w:p>
        </w:tc>
        <w:tc>
          <w:tcPr>
            <w:tcW w:type="dxa" w:w="2340"/>
            <w:tcBorders>
              <w:bottom w:val="single" w:sz="6" w:space="0" w:color="546E7A"/>
            </w:tcBorders>
            <w:shd w:fill="E4E9EC" w:val="clear" w:color="auto"/>
          </w:tcPr>
          <w:p>
            <w:pPr>
              <w:pStyle w:val="TableText"/>
            </w:pPr>
            <w:r>
              <w:rPr>
                <w:b/>
                <w:color w:val="37474F"/>
              </w:rPr>
              <w:t>Description / Limitation</w:t>
            </w:r>
          </w:p>
        </w:tc>
      </w:tr>
      <w:tr>
        <w:trPr>
          <w:cantSplit/>
        </w:trPr>
        <w:tc>
          <w:tcPr>
            <w:tcW w:type="dxa" w:w="2340"/>
            <w:tcMar>
              <w:top w:w="70" w:type="dxa"/>
              <w:start w:w="110" w:type="dxa"/>
              <w:bottom w:w="70" w:type="dxa"/>
              <w:end w:w="110" w:type="dxa"/>
            </w:tcMar>
          </w:tcPr>
          <w:p>
            <w:pPr>
              <w:pStyle w:val="TableText"/>
            </w:pPr>
            <w:r>
              <w:rPr/>
              <w:t>A. Automatic Data Processing Machines (ADP)</w:t>
            </w:r>
          </w:p>
        </w:tc>
        <w:tc>
          <w:tcPr>
            <w:tcW w:type="dxa" w:w="2340"/>
            <w:tcMar>
              <w:top w:w="70" w:type="dxa"/>
              <w:start w:w="110" w:type="dxa"/>
              <w:bottom w:w="70" w:type="dxa"/>
              <w:end w:w="110" w:type="dxa"/>
            </w:tcMar>
          </w:tcPr>
          <w:p>
            <w:pPr>
              <w:pStyle w:val="TableText"/>
            </w:pPr>
            <w:r>
              <w:rPr/>
              <w:t>All Parties</w:t>
            </w:r>
          </w:p>
        </w:tc>
        <w:tc>
          <w:tcPr>
            <w:tcW w:type="dxa" w:w="2340"/>
            <w:tcMar>
              <w:top w:w="70" w:type="dxa"/>
              <w:start w:w="110" w:type="dxa"/>
              <w:bottom w:w="70" w:type="dxa"/>
              <w:end w:w="110" w:type="dxa"/>
            </w:tcMar>
          </w:tcPr>
          <w:p>
            <w:pPr>
              <w:pStyle w:val="TableText"/>
            </w:pPr>
            <w:r>
              <w:rPr/>
              <w:t>8471.30; 8471.41; 8471.49</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B. Digital Processing Units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8471.50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Combined Input/Output Units</w:t>
            </w:r>
          </w:p>
        </w:tc>
        <w:tc>
          <w:tcPr>
            <w:tcW w:type="dxa" w:w="2340"/>
            <w:tcMar>
              <w:top w:w="70" w:type="dxa"/>
              <w:start w:w="110" w:type="dxa"/>
              <w:bottom w:w="70" w:type="dxa"/>
              <w:end w:w="110" w:type="dxa"/>
            </w:tcMar>
          </w:tcPr>
          <w:p>
            <w:pPr>
              <w:pStyle w:val="TableText"/>
            </w:pPr>
            <w:r>
              <w:rPr/>
              <w:t>Canada</w:t>
            </w:r>
          </w:p>
        </w:tc>
        <w:tc>
          <w:tcPr>
            <w:tcW w:type="dxa" w:w="2340"/>
            <w:tcMar>
              <w:top w:w="70" w:type="dxa"/>
              <w:start w:w="110" w:type="dxa"/>
              <w:bottom w:w="70" w:type="dxa"/>
              <w:end w:w="110" w:type="dxa"/>
            </w:tcMar>
          </w:tcPr>
          <w:p>
            <w:pPr>
              <w:pStyle w:val="TableText"/>
            </w:pPr>
            <w:r>
              <w:rPr/>
              <w:t>8471.60.00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Combined Input/Output Units</w:t>
            </w:r>
          </w:p>
        </w:tc>
        <w:tc>
          <w:tcPr>
            <w:tcW w:type="dxa" w:w="2340"/>
            <w:shd w:fill="F5F7F8" w:val="clear" w:color="auto"/>
            <w:tcMar>
              <w:top w:w="70" w:type="dxa"/>
              <w:start w:w="110" w:type="dxa"/>
              <w:bottom w:w="70" w:type="dxa"/>
              <w:end w:w="110" w:type="dxa"/>
            </w:tcMar>
          </w:tcPr>
          <w:p>
            <w:pPr>
              <w:pStyle w:val="TableText"/>
            </w:pPr>
            <w:r>
              <w:rPr/>
              <w:t>Mexico</w:t>
            </w:r>
          </w:p>
        </w:tc>
        <w:tc>
          <w:tcPr>
            <w:tcW w:type="dxa" w:w="2340"/>
            <w:shd w:fill="F5F7F8" w:val="clear" w:color="auto"/>
            <w:tcMar>
              <w:top w:w="70" w:type="dxa"/>
              <w:start w:w="110" w:type="dxa"/>
              <w:bottom w:w="70" w:type="dxa"/>
              <w:end w:w="110" w:type="dxa"/>
            </w:tcMar>
          </w:tcPr>
          <w:p>
            <w:pPr>
              <w:pStyle w:val="TableText"/>
            </w:pPr>
            <w:r>
              <w:rPr/>
              <w:t>8471.60.02</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Combined Input/Output Units</w:t>
            </w:r>
          </w:p>
        </w:tc>
        <w:tc>
          <w:tcPr>
            <w:tcW w:type="dxa" w:w="2340"/>
            <w:tcMar>
              <w:top w:w="70" w:type="dxa"/>
              <w:start w:w="110" w:type="dxa"/>
              <w:bottom w:w="70" w:type="dxa"/>
              <w:end w:w="110" w:type="dxa"/>
            </w:tcMar>
          </w:tcPr>
          <w:p>
            <w:pPr>
              <w:pStyle w:val="TableText"/>
            </w:pPr>
            <w:r>
              <w:rPr/>
              <w:t>United States</w:t>
            </w:r>
          </w:p>
        </w:tc>
        <w:tc>
          <w:tcPr>
            <w:tcW w:type="dxa" w:w="2340"/>
            <w:tcMar>
              <w:top w:w="70" w:type="dxa"/>
              <w:start w:w="110" w:type="dxa"/>
              <w:bottom w:w="70" w:type="dxa"/>
              <w:end w:w="110" w:type="dxa"/>
            </w:tcMar>
          </w:tcPr>
          <w:p>
            <w:pPr>
              <w:pStyle w:val="TableText"/>
            </w:pPr>
            <w:r>
              <w:rPr/>
              <w:t>8471.60.10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Display Units</w:t>
            </w:r>
          </w:p>
        </w:tc>
        <w:tc>
          <w:tcPr>
            <w:tcW w:type="dxa" w:w="2340"/>
            <w:shd w:fill="F5F7F8" w:val="clear" w:color="auto"/>
            <w:tcMar>
              <w:top w:w="70" w:type="dxa"/>
              <w:start w:w="110" w:type="dxa"/>
              <w:bottom w:w="70" w:type="dxa"/>
              <w:end w:w="110" w:type="dxa"/>
            </w:tcMar>
          </w:tcPr>
          <w:p>
            <w:pPr>
              <w:pStyle w:val="TableText"/>
            </w:pPr>
            <w:r>
              <w:rPr/>
              <w:t>Canada</w:t>
            </w:r>
          </w:p>
        </w:tc>
        <w:tc>
          <w:tcPr>
            <w:tcW w:type="dxa" w:w="2340"/>
            <w:shd w:fill="F5F7F8" w:val="clear" w:color="auto"/>
            <w:tcMar>
              <w:top w:w="70" w:type="dxa"/>
              <w:start w:w="110" w:type="dxa"/>
              <w:bottom w:w="70" w:type="dxa"/>
              <w:end w:w="110" w:type="dxa"/>
            </w:tcMar>
          </w:tcPr>
          <w:p>
            <w:pPr>
              <w:pStyle w:val="TableText"/>
            </w:pPr>
            <w:r>
              <w:rPr/>
              <w:t>8528.42.00; 8528.52.00; 8528.62.00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Display Units</w:t>
            </w:r>
          </w:p>
        </w:tc>
        <w:tc>
          <w:tcPr>
            <w:tcW w:type="dxa" w:w="2340"/>
            <w:tcMar>
              <w:top w:w="70" w:type="dxa"/>
              <w:start w:w="110" w:type="dxa"/>
              <w:bottom w:w="70" w:type="dxa"/>
              <w:end w:w="110" w:type="dxa"/>
            </w:tcMar>
          </w:tcPr>
          <w:p>
            <w:pPr>
              <w:pStyle w:val="TableText"/>
            </w:pPr>
            <w:r>
              <w:rPr/>
              <w:t>Mexico</w:t>
            </w:r>
          </w:p>
        </w:tc>
        <w:tc>
          <w:tcPr>
            <w:tcW w:type="dxa" w:w="2340"/>
            <w:tcMar>
              <w:top w:w="70" w:type="dxa"/>
              <w:start w:w="110" w:type="dxa"/>
              <w:bottom w:w="70" w:type="dxa"/>
              <w:end w:w="110" w:type="dxa"/>
            </w:tcMar>
          </w:tcPr>
          <w:p>
            <w:pPr>
              <w:pStyle w:val="TableText"/>
            </w:pPr>
            <w:r>
              <w:rPr/>
              <w:t>8528.41.99; 8528.51.01; 8528.51.99; 8528.61.01</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Display Units</w:t>
            </w:r>
          </w:p>
        </w:tc>
        <w:tc>
          <w:tcPr>
            <w:tcW w:type="dxa" w:w="2340"/>
            <w:shd w:fill="F5F7F8" w:val="clear" w:color="auto"/>
            <w:tcMar>
              <w:top w:w="70" w:type="dxa"/>
              <w:start w:w="110" w:type="dxa"/>
              <w:bottom w:w="70" w:type="dxa"/>
              <w:end w:w="110" w:type="dxa"/>
            </w:tcMar>
          </w:tcPr>
          <w:p>
            <w:pPr>
              <w:pStyle w:val="TableText"/>
            </w:pPr>
            <w:r>
              <w:rPr/>
              <w:t>United States</w:t>
            </w:r>
          </w:p>
        </w:tc>
        <w:tc>
          <w:tcPr>
            <w:tcW w:type="dxa" w:w="2340"/>
            <w:shd w:fill="F5F7F8" w:val="clear" w:color="auto"/>
            <w:tcMar>
              <w:top w:w="70" w:type="dxa"/>
              <w:start w:w="110" w:type="dxa"/>
              <w:bottom w:w="70" w:type="dxa"/>
              <w:end w:w="110" w:type="dxa"/>
            </w:tcMar>
          </w:tcPr>
          <w:p>
            <w:pPr>
              <w:pStyle w:val="TableText"/>
            </w:pPr>
            <w:r>
              <w:rPr/>
              <w:t>8528.42.00; 8528.52.00; 8528.62.00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Other Input or Output Units</w:t>
            </w:r>
          </w:p>
        </w:tc>
        <w:tc>
          <w:tcPr>
            <w:tcW w:type="dxa" w:w="2340"/>
            <w:tcMar>
              <w:top w:w="70" w:type="dxa"/>
              <w:start w:w="110" w:type="dxa"/>
              <w:bottom w:w="70" w:type="dxa"/>
              <w:end w:w="110" w:type="dxa"/>
            </w:tcMar>
          </w:tcPr>
          <w:p>
            <w:pPr>
              <w:pStyle w:val="TableText"/>
            </w:pPr>
            <w:r>
              <w:rPr/>
              <w:t>Canada</w:t>
            </w:r>
          </w:p>
        </w:tc>
        <w:tc>
          <w:tcPr>
            <w:tcW w:type="dxa" w:w="2340"/>
            <w:tcMar>
              <w:top w:w="70" w:type="dxa"/>
              <w:start w:w="110" w:type="dxa"/>
              <w:bottom w:w="70" w:type="dxa"/>
              <w:end w:w="110" w:type="dxa"/>
            </w:tcMar>
          </w:tcPr>
          <w:p>
            <w:pPr>
              <w:pStyle w:val="TableText"/>
            </w:pPr>
            <w:r>
              <w:rPr/>
              <w:t>8471.60.00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Other Input or Output Units</w:t>
            </w:r>
          </w:p>
        </w:tc>
        <w:tc>
          <w:tcPr>
            <w:tcW w:type="dxa" w:w="2340"/>
            <w:shd w:fill="F5F7F8" w:val="clear" w:color="auto"/>
            <w:tcMar>
              <w:top w:w="70" w:type="dxa"/>
              <w:start w:w="110" w:type="dxa"/>
              <w:bottom w:w="70" w:type="dxa"/>
              <w:end w:w="110" w:type="dxa"/>
            </w:tcMar>
          </w:tcPr>
          <w:p>
            <w:pPr>
              <w:pStyle w:val="TableText"/>
            </w:pPr>
            <w:r>
              <w:rPr/>
              <w:t>Mexico</w:t>
            </w:r>
          </w:p>
        </w:tc>
        <w:tc>
          <w:tcPr>
            <w:tcW w:type="dxa" w:w="2340"/>
            <w:shd w:fill="F5F7F8" w:val="clear" w:color="auto"/>
            <w:tcMar>
              <w:top w:w="70" w:type="dxa"/>
              <w:start w:w="110" w:type="dxa"/>
              <w:bottom w:w="70" w:type="dxa"/>
              <w:end w:w="110" w:type="dxa"/>
            </w:tcMar>
          </w:tcPr>
          <w:p>
            <w:pPr>
              <w:pStyle w:val="TableText"/>
            </w:pPr>
            <w:r>
              <w:rPr/>
              <w:t>8471.60.03; 8471.60.99</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Other Input or Output Units</w:t>
            </w:r>
          </w:p>
        </w:tc>
        <w:tc>
          <w:tcPr>
            <w:tcW w:type="dxa" w:w="2340"/>
            <w:tcMar>
              <w:top w:w="70" w:type="dxa"/>
              <w:start w:w="110" w:type="dxa"/>
              <w:bottom w:w="70" w:type="dxa"/>
              <w:end w:w="110" w:type="dxa"/>
            </w:tcMar>
          </w:tcPr>
          <w:p>
            <w:pPr>
              <w:pStyle w:val="TableText"/>
            </w:pPr>
            <w:r>
              <w:rPr/>
              <w:t>United States</w:t>
            </w:r>
          </w:p>
        </w:tc>
        <w:tc>
          <w:tcPr>
            <w:tcW w:type="dxa" w:w="2340"/>
            <w:tcMar>
              <w:top w:w="70" w:type="dxa"/>
              <w:start w:w="110" w:type="dxa"/>
              <w:bottom w:w="70" w:type="dxa"/>
              <w:end w:w="110" w:type="dxa"/>
            </w:tcMar>
          </w:tcPr>
          <w:p>
            <w:pPr>
              <w:pStyle w:val="TableText"/>
            </w:pPr>
            <w:r>
              <w:rPr/>
              <w:t>8471.60.20; 8471.60.70; 8471.60.80; 8471.60.90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D. Storage Units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8471.70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E. Other Units of Automatic Data Processing Machines</w:t>
            </w:r>
          </w:p>
        </w:tc>
        <w:tc>
          <w:tcPr>
            <w:tcW w:type="dxa" w:w="2340"/>
            <w:tcMar>
              <w:top w:w="70" w:type="dxa"/>
              <w:start w:w="110" w:type="dxa"/>
              <w:bottom w:w="70" w:type="dxa"/>
              <w:end w:w="110" w:type="dxa"/>
            </w:tcMar>
          </w:tcPr>
          <w:p>
            <w:pPr>
              <w:pStyle w:val="TableText"/>
            </w:pPr>
            <w:r>
              <w:rPr/>
              <w:t>All Parties</w:t>
            </w:r>
          </w:p>
        </w:tc>
        <w:tc>
          <w:tcPr>
            <w:tcW w:type="dxa" w:w="2340"/>
            <w:tcMar>
              <w:top w:w="70" w:type="dxa"/>
              <w:start w:w="110" w:type="dxa"/>
              <w:bottom w:w="70" w:type="dxa"/>
              <w:end w:w="110" w:type="dxa"/>
            </w:tcMar>
          </w:tcPr>
          <w:p>
            <w:pPr>
              <w:pStyle w:val="TableText"/>
            </w:pPr>
            <w:r>
              <w:rPr/>
              <w:t>8471.80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F. Parts of Computers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8443.99</w:t>
            </w:r>
          </w:p>
        </w:tc>
        <w:tc>
          <w:tcPr>
            <w:tcW w:type="dxa" w:w="2340"/>
            <w:shd w:fill="F5F7F8" w:val="clear" w:color="auto"/>
            <w:tcMar>
              <w:top w:w="70" w:type="dxa"/>
              <w:start w:w="110" w:type="dxa"/>
              <w:bottom w:w="70" w:type="dxa"/>
              <w:end w:w="110" w:type="dxa"/>
            </w:tcMar>
          </w:tcPr>
          <w:p>
            <w:pPr>
              <w:pStyle w:val="TableText"/>
            </w:pPr>
            <w:r>
              <w:rPr/>
              <w:t>parts of machines of subheading 8443.31 and 8443.32, excluding facsimile machines and teleprinters</w:t>
            </w:r>
          </w:p>
        </w:tc>
      </w:tr>
      <w:tr>
        <w:trPr>
          <w:cantSplit/>
        </w:trPr>
        <w:tc>
          <w:tcPr>
            <w:tcW w:type="dxa" w:w="2340"/>
            <w:tcMar>
              <w:top w:w="70" w:type="dxa"/>
              <w:start w:w="110" w:type="dxa"/>
              <w:bottom w:w="70" w:type="dxa"/>
              <w:end w:w="110" w:type="dxa"/>
            </w:tcMar>
          </w:tcPr>
          <w:p>
            <w:pPr>
              <w:pStyle w:val="TableText"/>
            </w:pPr>
            <w:r>
              <w:rPr/>
              <w:t>F. Parts of Computers</w:t>
            </w:r>
          </w:p>
        </w:tc>
        <w:tc>
          <w:tcPr>
            <w:tcW w:type="dxa" w:w="2340"/>
            <w:tcMar>
              <w:top w:w="70" w:type="dxa"/>
              <w:start w:w="110" w:type="dxa"/>
              <w:bottom w:w="70" w:type="dxa"/>
              <w:end w:w="110" w:type="dxa"/>
            </w:tcMar>
          </w:tcPr>
          <w:p>
            <w:pPr>
              <w:pStyle w:val="TableText"/>
            </w:pPr>
            <w:r>
              <w:rPr/>
              <w:t>All Parties</w:t>
            </w:r>
          </w:p>
        </w:tc>
        <w:tc>
          <w:tcPr>
            <w:tcW w:type="dxa" w:w="2340"/>
            <w:tcMar>
              <w:top w:w="70" w:type="dxa"/>
              <w:start w:w="110" w:type="dxa"/>
              <w:bottom w:w="70" w:type="dxa"/>
              <w:end w:w="110" w:type="dxa"/>
            </w:tcMar>
          </w:tcPr>
          <w:p>
            <w:pPr>
              <w:pStyle w:val="TableText"/>
            </w:pPr>
            <w:r>
              <w:rPr/>
              <w:t>8473.30</w:t>
            </w:r>
          </w:p>
        </w:tc>
        <w:tc>
          <w:tcPr>
            <w:tcW w:type="dxa" w:w="2340"/>
            <w:tcMar>
              <w:top w:w="70" w:type="dxa"/>
              <w:start w:w="110" w:type="dxa"/>
              <w:bottom w:w="70" w:type="dxa"/>
              <w:end w:w="110" w:type="dxa"/>
            </w:tcMar>
          </w:tcPr>
          <w:p>
            <w:pPr>
              <w:pStyle w:val="TableText"/>
            </w:pPr>
            <w:r>
              <w:rPr/>
              <w:t>parts of ADP machines and units thereof</w:t>
            </w:r>
          </w:p>
        </w:tc>
      </w:tr>
      <w:tr>
        <w:trPr>
          <w:cantSplit/>
        </w:trPr>
        <w:tc>
          <w:tcPr>
            <w:tcW w:type="dxa" w:w="2340"/>
            <w:shd w:fill="F5F7F8" w:val="clear" w:color="auto"/>
            <w:tcMar>
              <w:top w:w="70" w:type="dxa"/>
              <w:start w:w="110" w:type="dxa"/>
              <w:bottom w:w="70" w:type="dxa"/>
              <w:end w:w="110" w:type="dxa"/>
            </w:tcMar>
          </w:tcPr>
          <w:p>
            <w:pPr>
              <w:pStyle w:val="TableText"/>
            </w:pPr>
            <w:r>
              <w:rPr/>
              <w:t>F. Parts of Computers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8517.70</w:t>
            </w:r>
          </w:p>
        </w:tc>
        <w:tc>
          <w:tcPr>
            <w:tcW w:type="dxa" w:w="2340"/>
            <w:shd w:fill="F5F7F8" w:val="clear" w:color="auto"/>
            <w:tcMar>
              <w:top w:w="70" w:type="dxa"/>
              <w:start w:w="110" w:type="dxa"/>
              <w:bottom w:w="70" w:type="dxa"/>
              <w:end w:w="110" w:type="dxa"/>
            </w:tcMar>
          </w:tcPr>
          <w:p>
            <w:pPr>
              <w:pStyle w:val="TableText"/>
            </w:pPr>
            <w:r>
              <w:rPr/>
              <w:t>parts of LAN equipment of subheading 8517.62</w:t>
            </w:r>
          </w:p>
        </w:tc>
      </w:tr>
      <w:tr>
        <w:trPr>
          <w:cantSplit/>
        </w:trPr>
        <w:tc>
          <w:tcPr>
            <w:tcW w:type="dxa" w:w="2340"/>
            <w:tcMar>
              <w:top w:w="70" w:type="dxa"/>
              <w:start w:w="110" w:type="dxa"/>
              <w:bottom w:w="70" w:type="dxa"/>
              <w:end w:w="110" w:type="dxa"/>
            </w:tcMar>
          </w:tcPr>
          <w:p>
            <w:pPr>
              <w:pStyle w:val="TableText"/>
            </w:pPr>
            <w:r>
              <w:rPr/>
              <w:t>F. Parts of Computers</w:t>
            </w:r>
          </w:p>
        </w:tc>
        <w:tc>
          <w:tcPr>
            <w:tcW w:type="dxa" w:w="2340"/>
            <w:tcMar>
              <w:top w:w="70" w:type="dxa"/>
              <w:start w:w="110" w:type="dxa"/>
              <w:bottom w:w="70" w:type="dxa"/>
              <w:end w:w="110" w:type="dxa"/>
            </w:tcMar>
          </w:tcPr>
          <w:p>
            <w:pPr>
              <w:pStyle w:val="TableText"/>
            </w:pPr>
            <w:r>
              <w:rPr/>
              <w:t>Canada</w:t>
            </w:r>
          </w:p>
        </w:tc>
        <w:tc>
          <w:tcPr>
            <w:tcW w:type="dxa" w:w="2340"/>
            <w:tcMar>
              <w:top w:w="70" w:type="dxa"/>
              <w:start w:w="110" w:type="dxa"/>
              <w:bottom w:w="70" w:type="dxa"/>
              <w:end w:w="110" w:type="dxa"/>
            </w:tcMar>
          </w:tcPr>
          <w:p>
            <w:pPr>
              <w:pStyle w:val="TableText"/>
            </w:pPr>
            <w:r>
              <w:rPr/>
              <w:t>8529.90.19; 8529.90.50; 8529.90.90</w:t>
            </w:r>
          </w:p>
        </w:tc>
        <w:tc>
          <w:tcPr>
            <w:tcW w:type="dxa" w:w="2340"/>
            <w:tcMar>
              <w:top w:w="70" w:type="dxa"/>
              <w:start w:w="110" w:type="dxa"/>
              <w:bottom w:w="70" w:type="dxa"/>
              <w:end w:w="110" w:type="dxa"/>
            </w:tcMar>
          </w:tcPr>
          <w:p>
            <w:pPr>
              <w:pStyle w:val="TableText"/>
            </w:pPr>
            <w:r>
              <w:rPr/>
              <w:t>parts of monitors and projectors of subheading 8528.42, 8528.52, and 8528.62</w:t>
            </w:r>
          </w:p>
        </w:tc>
      </w:tr>
      <w:tr>
        <w:trPr>
          <w:cantSplit/>
        </w:trPr>
        <w:tc>
          <w:tcPr>
            <w:tcW w:type="dxa" w:w="2340"/>
            <w:shd w:fill="F5F7F8" w:val="clear" w:color="auto"/>
            <w:tcMar>
              <w:top w:w="70" w:type="dxa"/>
              <w:start w:w="110" w:type="dxa"/>
              <w:bottom w:w="70" w:type="dxa"/>
              <w:end w:w="110" w:type="dxa"/>
            </w:tcMar>
          </w:tcPr>
          <w:p>
            <w:pPr>
              <w:pStyle w:val="TableText"/>
            </w:pPr>
            <w:r>
              <w:rPr/>
              <w:t>F. Parts of Computers</w:t>
            </w:r>
          </w:p>
        </w:tc>
        <w:tc>
          <w:tcPr>
            <w:tcW w:type="dxa" w:w="2340"/>
            <w:shd w:fill="F5F7F8" w:val="clear" w:color="auto"/>
            <w:tcMar>
              <w:top w:w="70" w:type="dxa"/>
              <w:start w:w="110" w:type="dxa"/>
              <w:bottom w:w="70" w:type="dxa"/>
              <w:end w:w="110" w:type="dxa"/>
            </w:tcMar>
          </w:tcPr>
          <w:p>
            <w:pPr>
              <w:pStyle w:val="TableText"/>
            </w:pPr>
            <w:r>
              <w:rPr/>
              <w:t>Mexico</w:t>
            </w:r>
          </w:p>
        </w:tc>
        <w:tc>
          <w:tcPr>
            <w:tcW w:type="dxa" w:w="2340"/>
            <w:shd w:fill="F5F7F8" w:val="clear" w:color="auto"/>
            <w:tcMar>
              <w:top w:w="70" w:type="dxa"/>
              <w:start w:w="110" w:type="dxa"/>
              <w:bottom w:w="70" w:type="dxa"/>
              <w:end w:w="110" w:type="dxa"/>
            </w:tcMar>
          </w:tcPr>
          <w:p>
            <w:pPr>
              <w:pStyle w:val="TableText"/>
            </w:pPr>
            <w:r>
              <w:rPr/>
              <w:t>8529.90.01; 8529.90.06</w:t>
            </w:r>
          </w:p>
        </w:tc>
        <w:tc>
          <w:tcPr>
            <w:tcW w:type="dxa" w:w="2340"/>
            <w:shd w:fill="F5F7F8" w:val="clear" w:color="auto"/>
            <w:tcMar>
              <w:top w:w="70" w:type="dxa"/>
              <w:start w:w="110" w:type="dxa"/>
              <w:bottom w:w="70" w:type="dxa"/>
              <w:end w:w="110" w:type="dxa"/>
            </w:tcMar>
          </w:tcPr>
          <w:p>
            <w:pPr>
              <w:pStyle w:val="TableText"/>
            </w:pPr>
            <w:r>
              <w:rPr/>
              <w:t>parts of monitors or projectors of subheadings 8528.41, 8528.51, and 8528.61</w:t>
            </w:r>
          </w:p>
        </w:tc>
      </w:tr>
      <w:tr>
        <w:trPr>
          <w:cantSplit/>
        </w:trPr>
        <w:tc>
          <w:tcPr>
            <w:tcW w:type="dxa" w:w="2340"/>
            <w:tcMar>
              <w:top w:w="70" w:type="dxa"/>
              <w:start w:w="110" w:type="dxa"/>
              <w:bottom w:w="70" w:type="dxa"/>
              <w:end w:w="110" w:type="dxa"/>
            </w:tcMar>
          </w:tcPr>
          <w:p>
            <w:pPr>
              <w:pStyle w:val="TableText"/>
            </w:pPr>
            <w:r>
              <w:rPr/>
              <w:t>F. Parts of Computers</w:t>
            </w:r>
          </w:p>
        </w:tc>
        <w:tc>
          <w:tcPr>
            <w:tcW w:type="dxa" w:w="2340"/>
            <w:tcMar>
              <w:top w:w="70" w:type="dxa"/>
              <w:start w:w="110" w:type="dxa"/>
              <w:bottom w:w="70" w:type="dxa"/>
              <w:end w:w="110" w:type="dxa"/>
            </w:tcMar>
          </w:tcPr>
          <w:p>
            <w:pPr>
              <w:pStyle w:val="TableText"/>
            </w:pPr>
            <w:r>
              <w:rPr/>
              <w:t>United States</w:t>
            </w:r>
          </w:p>
        </w:tc>
        <w:tc>
          <w:tcPr>
            <w:tcW w:type="dxa" w:w="2340"/>
            <w:tcMar>
              <w:top w:w="70" w:type="dxa"/>
              <w:start w:w="110" w:type="dxa"/>
              <w:bottom w:w="70" w:type="dxa"/>
              <w:end w:w="110" w:type="dxa"/>
            </w:tcMar>
          </w:tcPr>
          <w:p>
            <w:pPr>
              <w:pStyle w:val="TableText"/>
            </w:pPr>
            <w:r>
              <w:rPr/>
              <w:t>8529.90.22; 8529.90.75; 8529.90.99</w:t>
            </w:r>
          </w:p>
        </w:tc>
        <w:tc>
          <w:tcPr>
            <w:tcW w:type="dxa" w:w="2340"/>
            <w:tcMar>
              <w:top w:w="70" w:type="dxa"/>
              <w:start w:w="110" w:type="dxa"/>
              <w:bottom w:w="70" w:type="dxa"/>
              <w:end w:w="110" w:type="dxa"/>
            </w:tcMar>
          </w:tcPr>
          <w:p>
            <w:pPr>
              <w:pStyle w:val="TableText"/>
            </w:pPr>
            <w:r>
              <w:rPr/>
              <w:t>parts of monitors and projectors of subheading 8528.42, 8528.52, and 8528.62</w:t>
            </w:r>
          </w:p>
        </w:tc>
      </w:tr>
      <w:tr>
        <w:trPr>
          <w:cantSplit/>
        </w:trPr>
        <w:tc>
          <w:tcPr>
            <w:tcW w:type="dxa" w:w="2340"/>
            <w:shd w:fill="F5F7F8" w:val="clear" w:color="auto"/>
            <w:tcMar>
              <w:top w:w="70" w:type="dxa"/>
              <w:start w:w="110" w:type="dxa"/>
              <w:bottom w:w="70" w:type="dxa"/>
              <w:end w:w="110" w:type="dxa"/>
            </w:tcMar>
          </w:tcPr>
          <w:p>
            <w:pPr>
              <w:pStyle w:val="TableText"/>
            </w:pPr>
            <w:r>
              <w:rPr/>
              <w:t>G. Computer Power Supplies</w:t>
            </w:r>
          </w:p>
        </w:tc>
        <w:tc>
          <w:tcPr>
            <w:tcW w:type="dxa" w:w="2340"/>
            <w:shd w:fill="F5F7F8" w:val="clear" w:color="auto"/>
            <w:tcMar>
              <w:top w:w="70" w:type="dxa"/>
              <w:start w:w="110" w:type="dxa"/>
              <w:bottom w:w="70" w:type="dxa"/>
              <w:end w:w="110" w:type="dxa"/>
            </w:tcMar>
          </w:tcPr>
          <w:p>
            <w:pPr>
              <w:pStyle w:val="TableText"/>
            </w:pPr>
            <w:r>
              <w:rPr/>
              <w:t>Canada</w:t>
            </w:r>
          </w:p>
        </w:tc>
        <w:tc>
          <w:tcPr>
            <w:tcW w:type="dxa" w:w="2340"/>
            <w:shd w:fill="F5F7F8" w:val="clear" w:color="auto"/>
            <w:tcMar>
              <w:top w:w="70" w:type="dxa"/>
              <w:start w:w="110" w:type="dxa"/>
              <w:bottom w:w="70" w:type="dxa"/>
              <w:end w:w="110" w:type="dxa"/>
            </w:tcMar>
          </w:tcPr>
          <w:p>
            <w:pPr>
              <w:pStyle w:val="TableText"/>
            </w:pPr>
            <w:r>
              <w:rPr/>
              <w:t>8504.40.30; 8504.40.90; 8504.90.10; 8504.90.20; 8504.90.90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G. Computer Power Supplies</w:t>
            </w:r>
          </w:p>
        </w:tc>
        <w:tc>
          <w:tcPr>
            <w:tcW w:type="dxa" w:w="2340"/>
            <w:tcMar>
              <w:top w:w="70" w:type="dxa"/>
              <w:start w:w="110" w:type="dxa"/>
              <w:bottom w:w="70" w:type="dxa"/>
              <w:end w:w="110" w:type="dxa"/>
            </w:tcMar>
          </w:tcPr>
          <w:p>
            <w:pPr>
              <w:pStyle w:val="TableText"/>
            </w:pPr>
            <w:r>
              <w:rPr/>
              <w:t>Mexico</w:t>
            </w:r>
          </w:p>
        </w:tc>
        <w:tc>
          <w:tcPr>
            <w:tcW w:type="dxa" w:w="2340"/>
            <w:tcMar>
              <w:top w:w="70" w:type="dxa"/>
              <w:start w:w="110" w:type="dxa"/>
              <w:bottom w:w="70" w:type="dxa"/>
              <w:end w:w="110" w:type="dxa"/>
            </w:tcMar>
          </w:tcPr>
          <w:p>
            <w:pPr>
              <w:pStyle w:val="TableText"/>
            </w:pPr>
            <w:r>
              <w:rPr/>
              <w:t>8504.40.12; 8504.40.14; 8504.90.02; 8504.90.07; 8504.90.08</w:t>
            </w:r>
          </w:p>
        </w:tc>
        <w:tc>
          <w:tcPr>
            <w:tcW w:type="dxa" w:w="2340"/>
            <w:tcMar>
              <w:top w:w="70" w:type="dxa"/>
              <w:start w:w="110" w:type="dxa"/>
              <w:bottom w:w="70" w:type="dxa"/>
              <w:end w:w="110" w:type="dxa"/>
            </w:tcMar>
          </w:tcPr>
          <w:p>
            <w:pPr>
              <w:pStyle w:val="TableText"/>
            </w:pPr>
            <w:r>
              <w:rPr/>
              <w:t>parts of goods classified in tariff item 8504.40.12</w:t>
            </w:r>
          </w:p>
        </w:tc>
      </w:tr>
      <w:tr>
        <w:trPr>
          <w:cantSplit/>
        </w:trPr>
        <w:tc>
          <w:tcPr>
            <w:tcW w:type="dxa" w:w="2340"/>
            <w:shd w:fill="F5F7F8" w:val="clear" w:color="auto"/>
            <w:tcMar>
              <w:top w:w="70" w:type="dxa"/>
              <w:start w:w="110" w:type="dxa"/>
              <w:bottom w:w="70" w:type="dxa"/>
              <w:end w:w="110" w:type="dxa"/>
            </w:tcMar>
          </w:tcPr>
          <w:p>
            <w:pPr>
              <w:pStyle w:val="TableText"/>
            </w:pPr>
            <w:r>
              <w:rPr/>
              <w:t>G. Computer Power Supplies</w:t>
            </w:r>
          </w:p>
        </w:tc>
        <w:tc>
          <w:tcPr>
            <w:tcW w:type="dxa" w:w="2340"/>
            <w:shd w:fill="F5F7F8" w:val="clear" w:color="auto"/>
            <w:tcMar>
              <w:top w:w="70" w:type="dxa"/>
              <w:start w:w="110" w:type="dxa"/>
              <w:bottom w:w="70" w:type="dxa"/>
              <w:end w:w="110" w:type="dxa"/>
            </w:tcMar>
          </w:tcPr>
          <w:p>
            <w:pPr>
              <w:pStyle w:val="TableText"/>
            </w:pPr>
            <w:r>
              <w:rPr/>
              <w:t>United States</w:t>
            </w:r>
          </w:p>
        </w:tc>
        <w:tc>
          <w:tcPr>
            <w:tcW w:type="dxa" w:w="2340"/>
            <w:shd w:fill="F5F7F8" w:val="clear" w:color="auto"/>
            <w:tcMar>
              <w:top w:w="70" w:type="dxa"/>
              <w:start w:w="110" w:type="dxa"/>
              <w:bottom w:w="70" w:type="dxa"/>
              <w:end w:w="110" w:type="dxa"/>
            </w:tcMar>
          </w:tcPr>
          <w:p>
            <w:pPr>
              <w:pStyle w:val="TableText"/>
            </w:pPr>
            <w:r>
              <w:rPr/>
              <w:t>8504.40.60; 8504.40.70; 8504.90.20; 8504.90.41</w:t>
            </w:r>
          </w:p>
        </w:tc>
        <w:tc>
          <w:tcPr>
            <w:tcW w:type="dxa" w:w="2340"/>
            <w:shd w:fill="F5F7F8" w:val="clear" w:color="auto"/>
            <w:tcMar>
              <w:top w:w="70" w:type="dxa"/>
              <w:start w:w="110" w:type="dxa"/>
              <w:bottom w:w="70" w:type="dxa"/>
              <w:end w:w="110" w:type="dxa"/>
            </w:tcMar>
          </w:tcPr>
          <w:p>
            <w:pPr>
              <w:pStyle w:val="TableText"/>
            </w:pPr>
            <w:r>
              <w:rPr/>
            </w:r>
          </w:p>
        </w:tc>
      </w:tr>
    </w:tbl>
    <w:p>
      <w:pPr>
        <w:pStyle w:val="Normal"/>
      </w:pPr>
      <w:r>
        <w:rPr>
          <w:b/>
        </w:rPr>
        <w:t>Table 2.10.2</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Category</w:t>
            </w:r>
          </w:p>
        </w:tc>
        <w:tc>
          <w:tcPr>
            <w:tcW w:type="dxa" w:w="3120"/>
            <w:tcBorders>
              <w:bottom w:val="single" w:sz="6" w:space="0" w:color="546E7A"/>
            </w:tcBorders>
            <w:shd w:fill="E4E9EC" w:val="clear" w:color="auto"/>
          </w:tcPr>
          <w:p>
            <w:pPr>
              <w:pStyle w:val="TableText"/>
            </w:pPr>
            <w:r>
              <w:rPr>
                <w:b/>
                <w:color w:val="37474F"/>
              </w:rPr>
              <w:t>Party</w:t>
            </w:r>
          </w:p>
        </w:tc>
        <w:tc>
          <w:tcPr>
            <w:tcW w:type="dxa" w:w="3120"/>
            <w:tcBorders>
              <w:bottom w:val="single" w:sz="6" w:space="0" w:color="546E7A"/>
            </w:tcBorders>
            <w:shd w:fill="E4E9EC" w:val="clear" w:color="auto"/>
          </w:tcPr>
          <w:p>
            <w:pPr>
              <w:pStyle w:val="TableText"/>
            </w:pPr>
            <w:r>
              <w:rPr>
                <w:b/>
                <w:color w:val="37474F"/>
              </w:rPr>
              <w:t>Tariff Provision(s)</w:t>
            </w:r>
          </w:p>
        </w:tc>
      </w:tr>
      <w:tr>
        <w:trPr>
          <w:cantSplit/>
        </w:trPr>
        <w:tc>
          <w:tcPr>
            <w:tcW w:type="dxa" w:w="3120"/>
            <w:tcMar>
              <w:top w:w="70" w:type="dxa"/>
              <w:start w:w="110" w:type="dxa"/>
              <w:bottom w:w="70" w:type="dxa"/>
              <w:end w:w="110" w:type="dxa"/>
            </w:tcMar>
          </w:tcPr>
          <w:p>
            <w:pPr>
              <w:pStyle w:val="TableText"/>
            </w:pPr>
            <w:r>
              <w:rPr/>
              <w:t>A. Metal Oxide Varistors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8533.40.00</w:t>
            </w:r>
          </w:p>
        </w:tc>
      </w:tr>
      <w:tr>
        <w:trPr>
          <w:cantSplit/>
        </w:trPr>
        <w:tc>
          <w:tcPr>
            <w:tcW w:type="dxa" w:w="3120"/>
            <w:shd w:fill="F5F7F8" w:val="clear" w:color="auto"/>
            <w:tcMar>
              <w:top w:w="70" w:type="dxa"/>
              <w:start w:w="110" w:type="dxa"/>
              <w:bottom w:w="70" w:type="dxa"/>
              <w:end w:w="110" w:type="dxa"/>
            </w:tcMar>
          </w:tcPr>
          <w:p>
            <w:pPr>
              <w:pStyle w:val="TableText"/>
            </w:pPr>
            <w:r>
              <w:rPr/>
              <w:t>A. Metal Oxide Varistors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8533.40.05</w:t>
            </w:r>
          </w:p>
        </w:tc>
      </w:tr>
      <w:tr>
        <w:trPr>
          <w:cantSplit/>
        </w:trPr>
        <w:tc>
          <w:tcPr>
            <w:tcW w:type="dxa" w:w="3120"/>
            <w:tcMar>
              <w:top w:w="70" w:type="dxa"/>
              <w:start w:w="110" w:type="dxa"/>
              <w:bottom w:w="70" w:type="dxa"/>
              <w:end w:w="110" w:type="dxa"/>
            </w:tcMar>
          </w:tcPr>
          <w:p>
            <w:pPr>
              <w:pStyle w:val="TableText"/>
            </w:pPr>
            <w:r>
              <w:rPr/>
              <w:t>A. Metal Oxide Varistors</w:t>
            </w:r>
          </w:p>
        </w:tc>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8533.40.40</w:t>
            </w:r>
          </w:p>
        </w:tc>
      </w:tr>
      <w:tr>
        <w:trPr>
          <w:cantSplit/>
        </w:trPr>
        <w:tc>
          <w:tcPr>
            <w:tcW w:type="dxa" w:w="3120"/>
            <w:shd w:fill="F5F7F8" w:val="clear" w:color="auto"/>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shd w:fill="F5F7F8" w:val="clear" w:color="auto"/>
            <w:tcMar>
              <w:top w:w="70" w:type="dxa"/>
              <w:start w:w="110" w:type="dxa"/>
              <w:bottom w:w="70" w:type="dxa"/>
              <w:end w:w="110" w:type="dxa"/>
            </w:tcMar>
          </w:tcPr>
          <w:p>
            <w:pPr>
              <w:pStyle w:val="TableText"/>
            </w:pPr>
            <w:r>
              <w:rPr/>
              <w:t>All Parties</w:t>
            </w:r>
          </w:p>
        </w:tc>
        <w:tc>
          <w:tcPr>
            <w:tcW w:type="dxa" w:w="3120"/>
            <w:shd w:fill="F5F7F8" w:val="clear" w:color="auto"/>
            <w:tcMar>
              <w:top w:w="70" w:type="dxa"/>
              <w:start w:w="110" w:type="dxa"/>
              <w:bottom w:w="70" w:type="dxa"/>
              <w:end w:w="110" w:type="dxa"/>
            </w:tcMar>
          </w:tcPr>
          <w:p>
            <w:pPr>
              <w:pStyle w:val="TableText"/>
            </w:pPr>
            <w:r>
              <w:rPr/>
              <w:t>8541.10; 8541.21; 8541.29; 8541.30; 8541.50; 8541.60; 8541.90</w:t>
            </w:r>
          </w:p>
        </w:tc>
      </w:tr>
      <w:tr>
        <w:trPr>
          <w:cantSplit/>
        </w:trPr>
        <w:tc>
          <w:tcPr>
            <w:tcW w:type="dxa" w:w="3120"/>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8541.40</w:t>
            </w:r>
          </w:p>
        </w:tc>
      </w:tr>
      <w:tr>
        <w:trPr>
          <w:cantSplit/>
        </w:trPr>
        <w:tc>
          <w:tcPr>
            <w:tcW w:type="dxa" w:w="3120"/>
            <w:shd w:fill="F5F7F8" w:val="clear" w:color="auto"/>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8541.40.01; 8541.40.02; 8541.40.03</w:t>
            </w:r>
          </w:p>
        </w:tc>
      </w:tr>
      <w:tr>
        <w:trPr>
          <w:cantSplit/>
        </w:trPr>
        <w:tc>
          <w:tcPr>
            <w:tcW w:type="dxa" w:w="3120"/>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8541.40.20; 8541.40.60; 8541.40.70; 8541.40.80; 8541.40.95</w:t>
            </w:r>
          </w:p>
        </w:tc>
      </w:tr>
      <w:tr>
        <w:trPr>
          <w:cantSplit/>
        </w:trPr>
        <w:tc>
          <w:tcPr>
            <w:tcW w:type="dxa" w:w="3120"/>
            <w:shd w:fill="F5F7F8" w:val="clear" w:color="auto"/>
            <w:tcMar>
              <w:top w:w="70" w:type="dxa"/>
              <w:start w:w="110" w:type="dxa"/>
              <w:bottom w:w="70" w:type="dxa"/>
              <w:end w:w="110" w:type="dxa"/>
            </w:tcMar>
          </w:tcPr>
          <w:p>
            <w:pPr>
              <w:pStyle w:val="TableText"/>
            </w:pPr>
            <w:r>
              <w:rPr/>
              <w:t>C. Electronic Integrated Circuits and Microassemblies</w:t>
            </w:r>
          </w:p>
        </w:tc>
        <w:tc>
          <w:tcPr>
            <w:tcW w:type="dxa" w:w="3120"/>
            <w:shd w:fill="F5F7F8" w:val="clear" w:color="auto"/>
            <w:tcMar>
              <w:top w:w="70" w:type="dxa"/>
              <w:start w:w="110" w:type="dxa"/>
              <w:bottom w:w="70" w:type="dxa"/>
              <w:end w:w="110" w:type="dxa"/>
            </w:tcMar>
          </w:tcPr>
          <w:p>
            <w:pPr>
              <w:pStyle w:val="TableText"/>
            </w:pPr>
            <w:r>
              <w:rPr/>
              <w:t>Canada</w:t>
            </w:r>
          </w:p>
        </w:tc>
        <w:tc>
          <w:tcPr>
            <w:tcW w:type="dxa" w:w="3120"/>
            <w:shd w:fill="F5F7F8" w:val="clear" w:color="auto"/>
            <w:tcMar>
              <w:top w:w="70" w:type="dxa"/>
              <w:start w:w="110" w:type="dxa"/>
              <w:bottom w:w="70" w:type="dxa"/>
              <w:end w:w="110" w:type="dxa"/>
            </w:tcMar>
          </w:tcPr>
          <w:p>
            <w:pPr>
              <w:pStyle w:val="TableText"/>
            </w:pPr>
            <w:r>
              <w:rPr/>
              <w:t>8548.90.00</w:t>
            </w:r>
          </w:p>
        </w:tc>
      </w:tr>
      <w:tr>
        <w:trPr>
          <w:cantSplit/>
        </w:trPr>
        <w:tc>
          <w:tcPr>
            <w:tcW w:type="dxa" w:w="3120"/>
            <w:tcMar>
              <w:top w:w="70" w:type="dxa"/>
              <w:start w:w="110" w:type="dxa"/>
              <w:bottom w:w="70" w:type="dxa"/>
              <w:end w:w="110" w:type="dxa"/>
            </w:tcMar>
          </w:tcPr>
          <w:p>
            <w:pPr>
              <w:pStyle w:val="TableText"/>
            </w:pPr>
            <w:r>
              <w:rPr/>
              <w:t>C. Electronic Integrated Circuits and Microassemblies</w:t>
            </w:r>
          </w:p>
        </w:tc>
        <w:tc>
          <w:tcPr>
            <w:tcW w:type="dxa" w:w="3120"/>
            <w:tcMar>
              <w:top w:w="70" w:type="dxa"/>
              <w:start w:w="110" w:type="dxa"/>
              <w:bottom w:w="70" w:type="dxa"/>
              <w:end w:w="110" w:type="dxa"/>
            </w:tcMar>
          </w:tcPr>
          <w:p>
            <w:pPr>
              <w:pStyle w:val="TableText"/>
            </w:pPr>
            <w:r>
              <w:rPr/>
              <w:t>Mexico</w:t>
            </w:r>
          </w:p>
        </w:tc>
        <w:tc>
          <w:tcPr>
            <w:tcW w:type="dxa" w:w="3120"/>
            <w:tcMar>
              <w:top w:w="70" w:type="dxa"/>
              <w:start w:w="110" w:type="dxa"/>
              <w:bottom w:w="70" w:type="dxa"/>
              <w:end w:w="110" w:type="dxa"/>
            </w:tcMar>
          </w:tcPr>
          <w:p>
            <w:pPr>
              <w:pStyle w:val="TableText"/>
            </w:pPr>
            <w:r>
              <w:rPr/>
              <w:t>8548.90.04</w:t>
            </w:r>
          </w:p>
        </w:tc>
      </w:tr>
      <w:tr>
        <w:trPr>
          <w:cantSplit/>
        </w:trPr>
        <w:tc>
          <w:tcPr>
            <w:tcW w:type="dxa" w:w="3120"/>
            <w:shd w:fill="F5F7F8" w:val="clear" w:color="auto"/>
            <w:tcMar>
              <w:top w:w="70" w:type="dxa"/>
              <w:start w:w="110" w:type="dxa"/>
              <w:bottom w:w="70" w:type="dxa"/>
              <w:end w:w="110" w:type="dxa"/>
            </w:tcMar>
          </w:tcPr>
          <w:p>
            <w:pPr>
              <w:pStyle w:val="TableText"/>
            </w:pPr>
            <w:r>
              <w:rPr/>
              <w:t>C. Electronic Integrated Circuits and Microassemblies</w:t>
            </w:r>
          </w:p>
        </w:tc>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8548.90.01</w:t>
            </w:r>
          </w:p>
        </w:tc>
      </w:tr>
    </w:tbl>
    <w:p>
      <w:pPr>
        <w:pStyle w:val="Normal"/>
      </w:pPr>
      <w:r>
        <w:rPr>
          <w:b/>
        </w:rPr>
        <w:t>Table 2.10.3</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Category</w:t>
            </w:r>
          </w:p>
        </w:tc>
        <w:tc>
          <w:tcPr>
            <w:tcW w:type="dxa" w:w="3120"/>
            <w:tcBorders>
              <w:bottom w:val="single" w:sz="6" w:space="0" w:color="546E7A"/>
            </w:tcBorders>
            <w:shd w:fill="E4E9EC" w:val="clear" w:color="auto"/>
          </w:tcPr>
          <w:p>
            <w:pPr>
              <w:pStyle w:val="TableText"/>
            </w:pPr>
            <w:r>
              <w:rPr>
                <w:b/>
                <w:color w:val="37474F"/>
              </w:rPr>
              <w:t>Party</w:t>
            </w:r>
          </w:p>
        </w:tc>
        <w:tc>
          <w:tcPr>
            <w:tcW w:type="dxa" w:w="3120"/>
            <w:tcBorders>
              <w:bottom w:val="single" w:sz="6" w:space="0" w:color="546E7A"/>
            </w:tcBorders>
            <w:shd w:fill="E4E9EC" w:val="clear" w:color="auto"/>
          </w:tcPr>
          <w:p>
            <w:pPr>
              <w:pStyle w:val="TableText"/>
            </w:pPr>
            <w:r>
              <w:rPr>
                <w:b/>
                <w:color w:val="37474F"/>
              </w:rPr>
              <w:t>Tariff Provision</w:t>
            </w:r>
          </w:p>
        </w:tc>
      </w:tr>
      <w:tr>
        <w:trPr>
          <w:cantSplit/>
        </w:trPr>
        <w:tc>
          <w:tcPr>
            <w:tcW w:type="dxa" w:w="3120"/>
            <w:tcMar>
              <w:top w:w="70" w:type="dxa"/>
              <w:start w:w="110" w:type="dxa"/>
              <w:bottom w:w="70" w:type="dxa"/>
              <w:end w:w="110" w:type="dxa"/>
            </w:tcMar>
          </w:tcPr>
          <w:p>
            <w:pPr>
              <w:pStyle w:val="TableText"/>
            </w:pPr>
            <w:r>
              <w:rPr/>
              <w:t>Local Area Network (LAN) Apparatus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8517.62.00</w:t>
            </w:r>
          </w:p>
        </w:tc>
      </w:tr>
      <w:tr>
        <w:trPr>
          <w:cantSplit/>
        </w:trPr>
        <w:tc>
          <w:tcPr>
            <w:tcW w:type="dxa" w:w="3120"/>
            <w:shd w:fill="F5F7F8" w:val="clear" w:color="auto"/>
            <w:tcMar>
              <w:top w:w="70" w:type="dxa"/>
              <w:start w:w="110" w:type="dxa"/>
              <w:bottom w:w="70" w:type="dxa"/>
              <w:end w:w="110" w:type="dxa"/>
            </w:tcMar>
          </w:tcPr>
          <w:p>
            <w:pPr>
              <w:pStyle w:val="TableText"/>
            </w:pPr>
            <w:r>
              <w:rPr/>
              <w:t>Local Area Network (LAN) Apparatus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8517.62.01</w:t>
            </w:r>
          </w:p>
        </w:tc>
      </w:tr>
      <w:tr>
        <w:trPr>
          <w:cantSplit/>
        </w:trPr>
        <w:tc>
          <w:tcPr>
            <w:tcW w:type="dxa" w:w="3120"/>
            <w:tcMar>
              <w:top w:w="70" w:type="dxa"/>
              <w:start w:w="110" w:type="dxa"/>
              <w:bottom w:w="70" w:type="dxa"/>
              <w:end w:w="110" w:type="dxa"/>
            </w:tcMar>
          </w:tcPr>
          <w:p>
            <w:pPr>
              <w:pStyle w:val="TableText"/>
            </w:pPr>
            <w:r>
              <w:rPr/>
              <w:t>Local Area Network (LAN) Apparatus</w:t>
            </w:r>
          </w:p>
        </w:tc>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8517.62.00</w:t>
            </w:r>
          </w:p>
        </w:tc>
      </w:tr>
    </w:tbl>
    <w:p>
      <w:pPr>
        <w:pStyle w:val="Heading2"/>
      </w:pPr>
      <w:bookmarkStart w:id="900041" w:name="_Toc300000040"/>
      <w:r>
        <w:t xml:space="preserve">Article 2.11: Import and Export Restrictions</w:t>
      </w:r>
      <w:bookmarkEnd w:id="900041"/>
    </w:p>
    <w:p>
      <w:pPr>
        <w:pStyle w:val="Normal"/>
      </w:pPr>
      <w:r>
        <w:t xml:space="preserve">1. Except as otherwise provided in this Agreement, no Party shall adopt or maintain any prohibition or restriction on the importation of any good of another Party or on the exportation or sale for export of any good destined for the territory of another Party, except in accordance with Article XI of the GATT 1994, including its interpretative notes, and to this end Article XI of the GATT 1994 and its interpretative notes are incorporated into and made a part of this Agreement, mutatis mutandis. 2. The Parties understand that GATT 1994 rights and obligations incorporated by paragraph 1 prohibit, in any circumstances in which any other form of restriction is prohibited, a Party from adopting or maintaining: (a) an export or import price requirement, except as permitted in enforcement of antidumping and countervailing duty orders or price undertakings; (b) import licensing conditioned on the fulfilment of a performance requirement; or (c) a voluntary export restraint inconsistent with Article VI of the GATT 1994, as implemented under Article 18 of the SCM Agreement and Article 8.1 of the AD Agreement. 3.</w:t>
      </w:r>
    </w:p>
    <w:p>
      <w:pPr>
        <w:pStyle w:val="Normal"/>
      </w:pPr>
      <w:r>
        <w:t>If a Party adopts or maintains a prohibition or restriction on the importation from or exportation to a non-Party of a good, nothing in this Agreement shall be construed to prevent that Party from: (a) limiting or prohibiting the importation of the good of that non-Party from the territory of another Party; or (b) requiring, as a condition for exporting the good of the Party to the territory of another Party, that the good not be re-exported to the non-Party, directly or indirectly, without being consumed in the territory of the other Party. 4. If a Party adopts or maintains a prohibition or restriction on the importation of a good from a non-Party, the Parties, on the request of a Party, shall consult with a view to avoiding undue interference with or distortion of pricing, marketing, or distribution arrangements in another Party. 5.</w:t>
      </w:r>
    </w:p>
    <w:p>
      <w:pPr>
        <w:pStyle w:val="Normal"/>
      </w:pPr>
      <w:r>
        <w:t>No Party shall as a condition for engaging in importation generally, or for the importation of a particular good, require a person of another Party to establish or maintain a contractual or other relationship with a distributor in its territory. 6. For greater certainty, paragraph 5 does not prevent a Party from requiring that a person referred to in that paragraph designate a point of contact for the purpose of facilitating communications between its regulatory authorities and that person. 7.</w:t>
      </w:r>
    </w:p>
    <w:p>
      <w:pPr>
        <w:pStyle w:val="Normal"/>
      </w:pPr>
      <w:r>
        <w:t>Paragraphs 1 through 6 do not apply to the measures set out in Annex 2-A (Exceptions to Article 2.3 (National Treatment) and Article 2.11 (Import and Export Restrictions)). 8. For greater certainty, paragraph 1 applies to the importation of any good implementing or incorporating cryptography, if the good is not designed or modified specifically for government use and is sold or otherwise made available to the public. 9. For greater certainty, no Party shall adopt or maintain a prohibition or restriction on the importation of originating used vehicles from the territory of another Party. This Article does not prevent a Party from applying motor vehicle safety or emissions measures, or vehicle registration requirements, of general application to originating used vehicles in a manner consistent with this Agreement.</w:t>
      </w:r>
    </w:p>
    <w:p>
      <w:pPr>
        <w:pStyle w:val="Heading2"/>
      </w:pPr>
      <w:bookmarkStart w:id="900042" w:name="_Toc300000041"/>
      <w:r>
        <w:t xml:space="preserve">Article 2.12: Remanufactured Goods</w:t>
      </w:r>
      <w:bookmarkEnd w:id="900042"/>
    </w:p>
    <w:p>
      <w:pPr>
        <w:pStyle w:val="Normal"/>
      </w:pPr>
      <w:r>
        <w:t xml:space="preserve">1. For greater certainty, Article 2.11.1 (Import and Export Restrictions) applies to prohibitions and restrictions on a remanufactured good. 2. Subject to its obligations under this Agreement and the WTO Agreement, a Party may require that a remanufactured good: (a) be identified as such, including through labelling, for distribution or sale in its territory, and (b) meet all applicable technical requirements that apply to an equivalent good in new condition. 3. If a Party adopts or maintains a prohibition or a restriction on a used good, it shall not apply the measure to a remanufactured good.</w:t>
      </w:r>
    </w:p>
    <w:p>
      <w:pPr>
        <w:pStyle w:val="Heading2"/>
      </w:pPr>
      <w:bookmarkStart w:id="900043" w:name="_Toc300000042"/>
      <w:r>
        <w:t xml:space="preserve">Article 2.13: Transparency in Import Licensing Procedures</w:t>
      </w:r>
      <w:bookmarkEnd w:id="900043"/>
    </w:p>
    <w:p>
      <w:pPr>
        <w:pStyle w:val="Normal"/>
      </w:pPr>
      <w:r>
        <w:t xml:space="preserve">1. Subject to paragraph 2, each Party shall notify the other Parties of its existing import licensing procedures, if any, as soon as practicable, after this Agreement enters into force. The notification shall: (a) include the information specified in Article 5.2 of the Import Licensing Agreement and in the annual questionnaire on import licensing procedures described in Article 7.3 of the Import Licensing Agreement; and (b) be without prejudice as to whether the import licensing procedures are consistent with this Agreement. 2. A Party shall be deemed to be in compliance with the obligations in paragraph 1 with respect to an import licensing procedure if:</w:t>
      </w:r>
    </w:p>
    <w:p>
      <w:pPr>
        <w:pStyle w:val="Normal"/>
      </w:pPr>
      <w:r>
        <w:t>(a) it has notified that procedure to the Committee on Import Licensing established under Article 4 of the Import Licensing Agreement together with the information specified in Article 5.2 of that agreement; and (b) it has provided the information requested in the questionnaire on import licensing procedures under Article 7.3 of the Import Licensing Agreement in its most recent submission to the Committee on Import Licensing before the entry into force of this Agreement. 3. A Party shall publish on an official government website any new or modified import licensing procedure, including any information that it is required to be published under Article 1.4(a) of the Import Licensing Agreement.</w:t>
      </w:r>
    </w:p>
    <w:p>
      <w:pPr>
        <w:pStyle w:val="Normal"/>
      </w:pPr>
      <w:r>
        <w:t>To the extent possible, the Party shall do so at least 20 days before the new procedure or modification takes effect. 4. Each Party shall respond within 60 days to a reasonable inquiry from another Party concerning its licensing rules and its procedures for the submission of an application for an import license, including the eligibility of persons, firms, and institutions to make an application, any administrative body to be approached, and the list of products subject to the licensing requirement. 5. If a Party denies an import license application with respect to a good of another Party, it shall, on request of the applicant and within a reasonable period after receiving the request, provide the applicant with a written explanation of the reason for the denial. 6. No Party shall apply an import licensing procedure to a good of another Party unless the Party has complied with the requirements of paragraphs 1 or 2, and 3, with respect to that procedure.</w:t>
      </w:r>
    </w:p>
    <w:p>
      <w:pPr>
        <w:pStyle w:val="Heading2"/>
      </w:pPr>
      <w:bookmarkStart w:id="900044" w:name="_Toc300000043"/>
      <w:r>
        <w:t xml:space="preserve">Article 2.14: Transparency in Export Licensing Procedures</w:t>
      </w:r>
      <w:bookmarkEnd w:id="900044"/>
    </w:p>
    <w:p>
      <w:pPr>
        <w:pStyle w:val="Normal"/>
      </w:pPr>
      <w:r>
        <w:t xml:space="preserve">1. Within 30 days after the date of entry into force of this Agreement, each Party shall notify the other Parties in writing of the publications in which its export licensing procedures, if any, are set out, including addresses of relevant government websites on which the procedures are published. Thereafter, each Party shall publish any new export licensing procedure, or any modification of an export licensing procedure, it adopts as soon as practicable but no later than 30 days after the new procedure or modification takes effect. 2. Each Party shall ensure that it includes in the publications it has notified under paragraph 1: (a) the texts of its export licensing procedures, including any modifications it makes to those procedures; (b) the goods subject to each licensing procedure; (c) for each licensing procedure, a description of:</w:t>
      </w:r>
    </w:p>
    <w:p>
      <w:pPr>
        <w:pStyle w:val="Normal"/>
      </w:pPr>
      <w:r>
        <w:t>(i) the process for applying for a license, and (ii) any criteria an applicant must meet to be eligible to apply for a license, such as possessing an activity license, establishing or maintaining an investment, or operating through a particular form of establishment in a Party’s territory; (d) a contact point from which interested persons can obtain further information on the conditions for obtaining an export license; (e) any administrative body to which an application or other relevant documentation is to be submitted; (f) a description of or a citation to a publication reproducing</w:t>
      </w:r>
    </w:p>
    <w:p>
      <w:pPr>
        <w:pStyle w:val="Normal"/>
      </w:pPr>
      <w:r>
        <w:t>in full any measure that the export licensing procedure implements; (g) the period during which each export licensing procedure will be in effect, unless the procedure will remain in effect until withdrawn or revised in a new publication; (h) if the Party intends to use a licensing procedure to administer an export quota, the overall quantity and, if practicable, the value of the quota, and the opening and closing dates of the quota; and (i) any exemptions from or exceptions to the requirement to obtain an export license that are available to the public, how to request or use these exemptions or exceptions, and the criteria for the exemptions or exceptions. 3. Each Party shall provide another Party, upon the other Party’s request and to the extent practicable, the following information regarding a particular export licensing procedure that it adopts or maintains, except when doing so would reveal business proprietary or other confidential information of a particular person:</w:t>
      </w:r>
    </w:p>
    <w:p>
      <w:pPr>
        <w:pStyle w:val="Normal"/>
      </w:pPr>
      <w:r>
        <w:t>(a) the aggregate number of licenses the Party has granted over a recent period specified in the other Party’s request; and (b) measures, if any, that the Party has adopted in conjunction with the licensing procedure to restrict domestic production or consumption or to stabilize production, supply, or prices for the relevant good. 4.</w:t>
      </w:r>
    </w:p>
    <w:p>
      <w:pPr>
        <w:pStyle w:val="Normal"/>
      </w:pPr>
      <w:r>
        <w:t>This Article does not require a Party to grant an export license, or prevent a Party from implementing its obligations or commitments under United Nations Security Council Resolutions, as well as multilateral non-proliferation regimes, including: the Wassenaar Arrangement on Export Controls for Conventional Arms and Dual-Use Goods and Technologies; Nuclear Suppliers Group; the Australia Group; Convention on the Prohibition of the Development, Production, Stockpiling and Use of Chemical Weapons and on Their Destruction, done at Geneva, September 3, 1992, and signed at Paris, January 13, 1993; Convention on the Prohibition of the Development, Production and Stockpiling of Bacteriological (Biological) and Toxin Weapons and on Their Destruction, done at Washington, London, and Moscow, April 10, 1972; Treaty on the Non-Proliferation of Nuclear Weapons done at Washington, London, and Moscow, July 1, 1968; and the Missile Technology Control Regime. 5.</w:t>
      </w:r>
    </w:p>
    <w:p>
      <w:pPr>
        <w:pStyle w:val="Normal"/>
      </w:pPr>
      <w:r>
        <w:t>For the purposes of this Article, export licensing procedure means a requirement that a Party adopts or maintains under which an exporter must, as a condition for exporting a good from the Party’s territory, submit an application or other documentation to an administrative body or bodies, but does not include customs documentation required in the normal course of trade or any requirement that must be fulfilled prior to introduction of the good into commerce within the Party’s territory.</w:t>
      </w:r>
    </w:p>
    <w:p>
      <w:pPr>
        <w:pStyle w:val="Heading2"/>
      </w:pPr>
      <w:bookmarkStart w:id="900045" w:name="_Toc300000044"/>
      <w:r>
        <w:t xml:space="preserve">Article 2.15: Export Duties, Taxes, or Other Charges</w:t>
      </w:r>
      <w:bookmarkEnd w:id="900045"/>
    </w:p>
    <w:p>
      <w:pPr>
        <w:pStyle w:val="Normal"/>
      </w:pPr>
      <w:r>
        <w:t xml:space="preserve">No Party shall adopt or maintain any duty, tax, or other charge on the export of any good to the territory of another Party, unless the duty, tax, or charge is also applied to the good if destined for domestic consumption.</w:t>
      </w:r>
    </w:p>
    <w:p>
      <w:pPr>
        <w:pStyle w:val="Heading2"/>
      </w:pPr>
      <w:bookmarkStart w:id="900046" w:name="_Toc300000045"/>
      <w:r>
        <w:t xml:space="preserve">Article 2.16: Administrative Fees and Formalities</w:t>
      </w:r>
      <w:bookmarkEnd w:id="900046"/>
    </w:p>
    <w:p>
      <w:pPr>
        <w:pStyle w:val="Normal"/>
      </w:pPr>
      <w:r>
        <w:t xml:space="preserve">1. Each Party shall ensure, in accordance with Article VIII:1 of the GATT 1994 and its interpretative notes, that all fees and charges of whatever character (other than customs duties, charges equivalent to an internal tax or other internal charges applied in a manner consistent with Article III:2 of the GATT 1994, and antidumping or countervailing duties) imposed on or in connection with importation or exportation are limited in amount to the approximate cost of services rendered and do not represent an indirect protection to a domestic good or a taxation of an import or export for fiscal purposes. 2. No Party shall require a consular transaction, including a related fee or charge, in connection with the importation of a good of another Party.2 3. No Party shall adopt or maintain a customs user fee on an originating good.3</w:t>
      </w:r>
    </w:p>
    <w:p>
      <w:pPr>
        <w:pStyle w:val="Heading2"/>
      </w:pPr>
      <w:bookmarkStart w:id="900047" w:name="_Toc300000046"/>
      <w:r>
        <w:t xml:space="preserve">Article 2.17: Committee on Trade in Goods</w:t>
      </w:r>
      <w:bookmarkEnd w:id="900047"/>
    </w:p>
    <w:p>
      <w:pPr>
        <w:pStyle w:val="Normal"/>
      </w:pPr>
      <w:r>
        <w:t xml:space="preserve">1. The Parties hereby establish a Committee on Trade in Goods (Goods Committee), comprising representatives of each Party. 2. The Goods Committee shall meet on the request of a Party or the Commission to consider any matter arising under this Chapter. 3. The Goods Committee shall meet at a venue and time as the Parties decide or by electronic means. In-person meetings will be held alternately in the territory of each Party. 4. The Goods Committee’s functions shall include: (a) monitoring the implementation and administration of this Chapter; (b) promoting trade in goods between the Parties; (c) providing a forum for the Parties to consult and endeavor to resolve issues relating to this Chapter, including, as appropriate, in coordination or jointly with * 2 For Mexico, this paragraph does not apply to the procedures for the duty-free entry of personal and household effects of natural persons relocating to Mexico. 3 The merchandise processing fee (MPF) is the only customs user fee of the United States to which this paragraph applies. The derecho de trámite aduanero is the only customs user fee of Mexico to which this paragraph applies.</w:t>
      </w:r>
    </w:p>
    <w:p>
      <w:pPr>
        <w:pStyle w:val="Normal"/>
      </w:pPr>
      <w:r>
        <w:t>other Committees, working groups, or other subsidiary bodies established under this Agreement; (d) promptly seeking to address tariff and non-tariff barriers to trade in goods between the Parties and, if appropriate, referring the matter to the Commission for its consideration; (e) coordinating the exchange of information on trade in goods between the Parties; (f) discussing and endeavoring to resolve any difference that may arise between the Parties on matters related to the Harmonized System, including ensuring that each Party’s obligations under this Agreement are not altered by its implementation of future amendments to the Harmonized System into its national nomenclature; (g) referring to another committee established under this Agreement those issues that may be relevant to that committee, as appropriate; and (h) undertaking additional work that the Commission may assign, or another committee may refer, to it.</w:t>
      </w:r>
    </w:p>
    <w:p>
      <w:pPr>
        <w:pStyle w:val="Heading2"/>
      </w:pPr>
      <w:bookmarkStart w:id="900048" w:name="_Toc300000047"/>
      <w:r>
        <w:t xml:space="preserve">ANNEX 2-A EXCEPTIONS TO ARTICLE 2.3 (NATIONAL TREATMENT) AND ARTICLE 2.11 (IMPORT AND EXPORT RESTRICTIONS)</w:t>
      </w:r>
      <w:bookmarkEnd w:id="900048"/>
    </w:p>
    <w:p>
      <w:pPr>
        <w:pStyle w:val="Heading2"/>
      </w:pPr>
      <w:bookmarkStart w:id="900049" w:name="_Toc300000048"/>
      <w:r>
        <w:t xml:space="preserve">Article 2.A.1: Application of Article 2.3 (National Treatment) and Article 2.11 (Import and Export Restrictions)</w:t>
      </w:r>
      <w:bookmarkEnd w:id="900049"/>
    </w:p>
    <w:p>
      <w:pPr>
        <w:pStyle w:val="Normal"/>
      </w:pPr>
      <w:r>
        <w:t xml:space="preserve">1. Article 2.3 (National Treatment) and Article 2.11 (Import and Export Restrictions) do not apply to the continuation, renewal, or amendment made to any law, statute, decree, or administrative regulation giving rise to a measure set out in the articles of this Annex to the extent that the continuation, renewal, or amendment does not decrease the conformity of the measure listed with Article 2.3 (National Treatment) and Article 2.11 (Import and Export Restrictions). 2. Article 2.3 (National Treatment) and Article 2.11 (Import and Export Restrictions) shall not apply to the import and export of rough diamonds (HS codes 7102.10, 7102.21, and 7102.31), pursuant to the Kimberley Process Certification Scheme and any subsequent amendments to that scheme.</w:t>
      </w:r>
    </w:p>
    <w:p>
      <w:pPr>
        <w:pStyle w:val="Heading2"/>
      </w:pPr>
      <w:bookmarkStart w:id="900050" w:name="_Toc300000049"/>
      <w:r>
        <w:t xml:space="preserve">Article 2.A.2: Measures of Canada</w:t>
      </w:r>
      <w:bookmarkEnd w:id="900050"/>
    </w:p>
    <w:p>
      <w:pPr>
        <w:pStyle w:val="Normal"/>
      </w:pPr>
      <w:r>
        <w:t xml:space="preserve">1.</w:t>
      </w:r>
    </w:p>
    <w:p>
      <w:pPr>
        <w:pStyle w:val="Normal"/>
      </w:pPr>
      <w:r>
        <w:t>Article 2.3 (National Treatment) and Article 2.11 (Import and Export Restrictions) do not apply to: (a) the export of logs of all species; (b) the export of unprocessed fish pursuant to the following provincial laws and their related regulations: (i) New Brunswick Seafood Processing Act, SNB 2006, c S-5.3, and Fisheries and Aquaculture Development Act, SNB 2009, c F-15.001; (ii) Newfoundland and Labrador Fish Inspection Act, RSNL 1990, c F-12; (iii) Nova Scotia Fisheries and Coastal Resources Act, Chapter 25 of the Acts of 1996; (iv) Prince Edward Island Fisheries Act, R.S.P.E.I. 1988, Cap. F-13.01, and Fish Inspection Act, R.S.P.E.I. 1988, Cap. F-1; and (v) Quebec Marine Products Processing Act, CQLR c T-11.01.</w:t>
      </w:r>
    </w:p>
    <w:p>
      <w:pPr>
        <w:pStyle w:val="Normal"/>
      </w:pPr>
      <w:r>
        <w:t>2-A-1 For greater certainty, notwithstanding Article 2.A.1:1 of this Annex, Article 2.3 (National Treatment) and 2.11 (Import and Export Restrictions) shall not apply to any requirements for the export of unprocessed fish authorized under the above laws and their related regulations that are not being applied upon the entry into force of this Agreement, or that are in force upon the entry into force of this Agreement but suspended after that date, and subsequently applied; (c) the importation of goods of the prohibited provisions of tariff items 9897.00.00, 9898.00.00, and 9899.00.00 referred to in the Schedule of the Customs Tariff, except as otherwise provided; (d) the use of ships in the coasting trade of Canada; and (e) Canadian excise duties on the absolute</w:t>
      </w:r>
    </w:p>
    <w:p>
      <w:pPr>
        <w:pStyle w:val="Normal"/>
      </w:pPr>
      <w:r>
        <w:t xml:space="preserve">volume of ethyl alcohol, as listed under tariff item 2207.10.90 in Canada’s Schedule of Concessions annexed to GATT 1994 (Schedule V), used in manufacturing under the provisions of the Excise Act, 2001, Statutes of Canada 2002, c. 22, as amended. 2. Article 2.3 (National Treatment) and Article 2.11 (Import and Export Restrictions) do not apply to quantitative import restrictions on originating goods from the United States classified in tariff headings 89.01, 89.04, and 89.05, and tariff items 8902.00.10 and 8903.99.90 (of an overall length exceeding 9.2 m only) for as long as the measures adopted under the Merchant Marine Act of 1920 and Passenger Vessel Services Act and 46 U.S.C. §§ 12102, 12113, and 12116, apply with quantitative effect to comparable originating goods from Canada sold or offered for sale into the U.S. market.</w:t>
      </w:r>
    </w:p>
    <w:p>
      <w:pPr>
        <w:pStyle w:val="Heading2"/>
      </w:pPr>
      <w:bookmarkStart w:id="900051" w:name="_Toc300000050"/>
      <w:r>
        <w:t xml:space="preserve">Article 2.A.3: Measures of Mexico</w:t>
      </w:r>
      <w:bookmarkEnd w:id="900051"/>
    </w:p>
    <w:p>
      <w:pPr>
        <w:pStyle w:val="Normal"/>
      </w:pPr>
      <w:r>
        <w:t xml:space="preserve">1.</w:t>
      </w:r>
    </w:p>
    <w:p>
      <w:pPr>
        <w:pStyle w:val="Normal"/>
      </w:pPr>
      <w:r>
        <w:t>Paragraphs 1 through 4 of Article 2.11 (Import and Export Restrictions) do not apply to:</w:t>
      </w:r>
    </w:p>
    <w:p>
      <w:pPr>
        <w:pStyle w:val="Normal"/>
      </w:pPr>
      <w:r>
        <w:t>(a) export measures pursuant to Article 48 of the Hydrocarbons Law (Ley de Hidrocarburos) published in Mexico’s Official Gazette (Diario Oficial de la Federación) on August 11, 2014, for the tariff items under the “Agreement that amends and establishes the classification and codification of Hydrocarbons and Petroleum Products subject to import and export permits by the Ministry of Energy” (Acuerdo que modifica al diverso por el que se establece la clasificación y codificación de Hidrocarburos y Petrólíferos cuya importación y exportación está sujeta a Permiso Previo por parte de la Secretaría de Energía) published in the Mexico’s Official Gazette (Diario Oficial de la Federación) on December 4, 2017, subject to Mexico’s rights and obligations under the WTO Agreement, including with regard to transparency and non-discriminatory treatment;</w:t>
      </w:r>
    </w:p>
    <w:p>
      <w:pPr>
        <w:pStyle w:val="Normal"/>
      </w:pPr>
      <w:r>
        <w:t>and 2-A-2 (b) prohibitions or restrictions on the importation into Mexico of used tyres, used apparel, non-originating used vehicles, and used chassis equipped with vehicle motors set forth in paragraphs 1(I) and 5 of Annex 2.2.1 of the Resolution through which the Ministry of the Economy establishes Rules and General Criteria on International Trade (Acuerdo por el que la Secretaría de Economía emite reglas y criterios de carácter general en materia de Comercio Exterior) published in Mexico’s Official Gazette (Diario Oficial de la Federación) on</w:t>
      </w:r>
    </w:p>
    <w:p>
      <w:pPr>
        <w:pStyle w:val="Normal"/>
      </w:pPr>
      <w:r>
        <w:t xml:space="preserve">December 31, 2012.</w:t>
      </w:r>
    </w:p>
    <w:p>
      <w:pPr>
        <w:pStyle w:val="Heading2"/>
      </w:pPr>
      <w:bookmarkStart w:id="900052" w:name="_Toc300000051"/>
      <w:r>
        <w:t xml:space="preserve">Article 2.A.4: Measures of the United States</w:t>
      </w:r>
      <w:bookmarkEnd w:id="900052"/>
    </w:p>
    <w:p>
      <w:pPr>
        <w:pStyle w:val="Normal"/>
      </w:pPr>
      <w:r>
        <w:t xml:space="preserve">Article 2.3 (National Treatment) and Article 2.11 (Import and Export Restrictions) do not apply to: (a) controls on the export of logs of all species; and (b) (i) measures under existing provisions of the Merchant Marine Act of 1920 and Passenger Vessel Services Act and 46 U.S.C. §§ 12102, 12113, and 12116, to the extent that such measures were mandatory legislation at the time of the accession of the United States to the General Agreement on Tariffs and Trade 1947 (GATT 1947) and have not been amended so as to decrease their conformity with Part II of the GATT 1947; (ii) the continuation or prompt renewal of a non-conforming provision of any statute referred to in clause (i); and (iii) the amendment to a non-conforming provision of any statute referred to in clause (i) to the extent that the amendment does not decrease the conformity of the provision with Articles 2.3 (National Treatment) and 2.11 (Import and Export Restrictions). 2-A-3</w:t>
      </w:r>
    </w:p>
    <w:p>
      <w:pPr>
        <w:pStyle w:val="Heading2"/>
      </w:pPr>
      <w:bookmarkStart w:id="900053" w:name="_Toc300000052"/>
      <w:r>
        <w:t xml:space="preserve">ANNEX 2-B TARIFF COMMITMENTS</w:t>
      </w:r>
      <w:bookmarkEnd w:id="900053"/>
    </w:p>
    <w:p>
      <w:pPr>
        <w:pStyle w:val="Normal"/>
      </w:pPr>
      <w:r>
        <w:t xml:space="preserve">1. The rate of customs duty for an originating good under this Agreement is indicated in each Party’s Schedule to this Annex. 2. Except as otherwise provided in a Party’s Schedule to this Annex, and in accordance with Article 2.4 (Treatment of Customs Duties), the rate of customs duty on originating goods is designated with “0,” and these goods shall be duty-free on the date of entry into force of this Agreement. 3. For originating goods provided for in the items marked with an asterisk (*) in a Party’s Schedule to this Annex, the tariff treatment set forth in Appendix 1 to that Party’s Schedule applies. 2-B-1</w:t>
      </w:r>
    </w:p>
    <w:p>
      <w:pPr>
        <w:pStyle w:val="Heading2"/>
      </w:pPr>
      <w:bookmarkStart w:id="900054" w:name="_Toc300000053"/>
      <w:r>
        <w:t xml:space="preserve">TARIFF SCHEDULE OF CANADA GENERAL NOTES</w:t>
      </w:r>
      <w:bookmarkEnd w:id="900054"/>
    </w:p>
    <w:p>
      <w:pPr>
        <w:pStyle w:val="Normal"/>
      </w:pPr>
      <w:r>
        <w:t xml:space="preserve">1. The provisions of this Schedule are generally expressed in terms of Canada’s Customs Tariff, and the interpretation of the provisions of this Schedule, including the product coverage of subheadings of this Schedule, shall be governed by the General Notes, Section Notes and Chapter Notes of Canada’s Customs Tariff.</w:t>
      </w:r>
    </w:p>
    <w:p>
      <w:pPr>
        <w:pStyle w:val="Normal"/>
      </w:pPr>
      <w:r>
        <w:t>To the extent that provisions of this Schedule are identical to the corresponding provisions of Canada’s Customs Tariff, the provisions of this Schedule shall have the same meaning as the corresponding provisions of Canada’s Customs Tariff. 2.</w:t>
      </w:r>
    </w:p>
    <w:p>
      <w:pPr>
        <w:pStyle w:val="Normal"/>
      </w:pPr>
      <w:r>
        <w:t>This Schedule reflects Canada’s applied tariff nomenclature as at July 1, 2017, which is implemented in accordance with the Harmonized System (2017 edition), and includes all tariff items of Chapter 1 through 97 of the HS that provide for a Most-Favoured-Nation (MFN) rate of customs duty. 3. For the purpose of this Agreement, Canada’s Schedule is authentic in the English and French languages. 4. The base rates of customs duty for determining the interim staged rate of customs duty for a tariff item shall be those set out in Appendix 1 to this Schedule, which reflect Canada’s MFN rates of duty in effect on July 1, 2017. 5. In Appendix 1 to this Schedule, the following staging categories apply to the elimination or reduction of customs duties by Canada pursuant to</w:t>
      </w:r>
    </w:p>
    <w:p>
      <w:pPr>
        <w:pStyle w:val="Normal"/>
      </w:pPr>
      <w:r>
        <w:t>Article 2.4: (a) customs duties on originating goods provided for in the items in staging category “0” shall be duty-free on the date of entry into force of this Agreement. For greater certainty, this rate of customs duty shall also apply to the within access quantity of any TRQ provided for these goods under Canada’s Schedule to the WTO; (b) customs duties on originating goods provided for in the items in staging category B6 shall be eliminated in six equal, annual stages, beginning on the date this Agreement enters into force, and these goods shall be duty-free effective January 1 of year six; (c) customs duties on originating goods provided for in the items in staging category B11 shall be eliminated in eleven equal, annual stages, beginning on the date this Agreement enters into force, and these goods shall be duty-free effective January 1 of year eleven;</w:t>
      </w:r>
    </w:p>
    <w:p>
      <w:pPr>
        <w:pStyle w:val="Normal"/>
      </w:pPr>
      <w:r>
        <w:t>2-B-2 (d) customs duties on originating goods provided for in the items in staging category X are exempt from tariff commitments under Article 2.4;4 and (e) customs duties on originating goods provided for in the items in a staging category denoted by “TRQ” shall be governed by the terms of the TRQ applicable to that tariff item, as outlined in Appendix 2 to this Schedule. 6.</w:t>
      </w:r>
    </w:p>
    <w:p>
      <w:pPr>
        <w:pStyle w:val="Normal"/>
      </w:pPr>
      <w:r>
        <w:t>For the purposes of Appendix 1 to this Schedule: (a) the tariff reduction for year one shall take effect on the date this Agreement enters into force as provided for in Article 34.5 (Final Provisions – Entry into Force), with each subsequent annual stage of tariff reduction taking effect on January 1 of each subsequent year; (b) year one means the period of time beginning on the date this Agreement enters into force as provided for in Article 34.5 (Final Provisions – Entry into Force), and ending on December 31 of the same calendar year as the date of entry into force; (c) year two means the 12-month period beginning on January 1 of the calendar year immediately following the calendar year of the date this Agreement enters into force as provided for in Article 34.5 (Final Provisions – Entry into Force); and (d) each subsequent year means each subsequent 12-month period beginning on January 1 of each subsequent calendar year. 7.</w:t>
      </w:r>
    </w:p>
    <w:p>
      <w:pPr>
        <w:pStyle w:val="Normal"/>
      </w:pPr>
      <w:r>
        <w:t>Interim staged rates for tariff items in Appendix 1 to this Schedule shall be rounded down at least to the nearest tenth of a percentage point or, if the rate of customs duty is expressed in monetary units, to the nearest tenth of one Canadian cent. 8.</w:t>
      </w:r>
    </w:p>
    <w:p>
      <w:pPr>
        <w:pStyle w:val="Normal"/>
      </w:pPr>
      <w:r>
        <w:t>If Canada applies different preferential tariff treatment to other Parties for the same originating good in accordance with Canada’s Schedule to this Annex at the time a claim for preferential tariff treatment is made, Canada shall apply the rate of customs duty for the originating good of the Party where the last production process, other than a minimal operation, occurred. 9. For the purposes of paragraph 9, a minimal operation is: * For greater certainty, Canada retains its rights and obligations under the WTO Agreement with respect to agricultural goods in staging category X. 2-B-3 (a) an operation to ensure the preservation of a good in good condition for the purposes of transport and storage; (b) packaging, re-packaging, breaking up of consignments or putting up a good for retail sale, including placing a good in bottles, cans, flasks, bags, cases or boxes; (c) mere dilution with water or another substance that does not materially alter the characteristics of the good; (d) collection of goods intended to form sets, assortments, kits or composite goods; and (e) any combination of operations referred to in subparagraphs (a) through (d). 10.</w:t>
      </w:r>
    </w:p>
    <w:p>
      <w:pPr>
        <w:pStyle w:val="Normal"/>
      </w:pPr>
      <w:r>
        <w:t xml:space="preserve">Notwithstanding paragraph 8, if the good is produced in the first Party from originating materials produced in the second Party, Canada shall apply the rate of customs duty for the good of the first Party, provided that the good satisfies the applicable changes in tariff classification requirement set out in Table B-1 in the territory of the first Party or in Canada. Table B-1: HS6 Change in Tariff Classification Requirement 1701.12 A change from any other chapter 1701.13 A change from any other chapter 1701.91 A change from any other chapter 1701.99 A change from any other chapter 1702.90 A change from any other chapter 1806.10 A change from any other heading excluding from heading 17.01 2106.90 A change from any other heading excluding from Chapter 17 2-B-4</w:t>
      </w:r>
    </w:p>
    <w:p>
      <w:pPr>
        <w:pStyle w:val="Heading2"/>
      </w:pPr>
      <w:bookmarkStart w:id="900055" w:name="_Toc300000054"/>
      <w:r>
        <w:t xml:space="preserve">TARIFF SCHEDULE OF MEXICO GENERAL NOTES</w:t>
      </w:r>
      <w:bookmarkEnd w:id="900055"/>
    </w:p>
    <w:p>
      <w:pPr>
        <w:pStyle w:val="Normal"/>
      </w:pPr>
      <w:r>
        <w:t xml:space="preserve">1.</w:t>
      </w:r>
    </w:p>
    <w:p>
      <w:pPr>
        <w:pStyle w:val="Normal"/>
      </w:pPr>
      <w:r>
        <w:t>The provisions of this Schedule are generally expressed in terms of Mexico’s Tariff Schedule of the General Import and Export Duties Law (Tarifa de la Ley de los Impuestos Generales de Importación y de Exportación (LIGIE)) and the interpretation of the provisions of this Schedule, including the product coverage of subheadings of this Schedule, shall be governed by the General Notes, Section Notes and Chapter Notes of the LIGIE. To the extent that provisions of this Schedule are identical to the corresponding provisions of the LIGIE, the provisions of this Schedule shall have the same meaning as the corresponding provisions of the LIGIE. 2.</w:t>
      </w:r>
    </w:p>
    <w:p>
      <w:pPr>
        <w:pStyle w:val="Normal"/>
      </w:pPr>
      <w:r>
        <w:t>This Schedule reflects Mexico’s applied tariff nomenclature as of September 1st, 2018, which is implemented in accordance with the Harmonized System (2012 edition), and includes all tariff items of Chapter 1 through 97 of the HS that provide for a Most-Favored-Nation (MFN) rate of customs duty. 3. In Appendix 1 to this Schedule, pursuant to Article 2.4, customs duties on originating goods provided for in the items denoted by “excluded” shall be subject to the applicable MFN tariff rates at the time of importation. 4. For an originating good provided for in a tariff item in Appendix 1 to this Schedule, Mexico shall apply a rate of customs duty no higher than zero, if: (a) the good is wholly obtained, either in the territory of the United States or in the territory of the United States and of Mexico;</w:t>
      </w:r>
    </w:p>
    <w:p>
      <w:pPr>
        <w:pStyle w:val="Normal"/>
      </w:pPr>
      <w:r>
        <w:t xml:space="preserve">(b) the good is produced entirely and exclusively from originating materials produced in the territory of the United States or in the territory of the United States and of Mexico; or (c) the good is produced entirely in the territory of the United States or of Mexico, provided that operations performed in, or materials obtained from the territory of Canada are considered as if they were performed in or obtained from a non-Party. 2-B-5</w:t>
      </w:r>
    </w:p>
    <w:p>
      <w:pPr>
        <w:pStyle w:val="Heading2"/>
      </w:pPr>
      <w:bookmarkStart w:id="900056" w:name="_Toc300000055"/>
      <w:r>
        <w:t xml:space="preserve">TARIFF SCHEDULE OF THE UNITED STATES GENERAL NOTES</w:t>
      </w:r>
      <w:bookmarkEnd w:id="900056"/>
    </w:p>
    <w:p>
      <w:pPr>
        <w:pStyle w:val="Normal"/>
      </w:pPr>
      <w:r>
        <w:t xml:space="preserve">1.</w:t>
      </w:r>
    </w:p>
    <w:p>
      <w:pPr>
        <w:pStyle w:val="Normal"/>
      </w:pPr>
      <w:r>
        <w:t>The provisions of this Schedule are generally expressed in terms of the Harmonized Tariff Schedule of the United States (HTSUS), and the interpretation of the provisions of this Schedule, including the product coverage of subheadings of this Schedule, shall be governed by the General Notes, Section Notes, and Chapter Notes of the HTSUS. To the extent that provisions of this Schedule are identical to the corresponding provisions of the HTSUS, the provisions of this Schedule shall have the same meaning as the corresponding provisions of the HTSUS. 2. The base rates of duty set out in Appendix 1 to this Schedule reflect the United States’ Most-Favored-Nation (MFN) rates of duty in effect on July 1, 2017. 3. In Appendix 1 to this Schedule, the following staging categories apply to the elimination or reduction of customs duties by the United States pursuant to</w:t>
      </w:r>
    </w:p>
    <w:p>
      <w:pPr>
        <w:pStyle w:val="Normal"/>
      </w:pPr>
      <w:r>
        <w:t>Article 2.4: (a) customs duties on originating goods provided for in the items in staging category B6 shall be eliminated in six annual stages, and such goods shall be duty-free effective January 1 of year six; (b) customs duties on originating goods provided for in the items in staging category B11 shall be eliminated in eleven annual stages, and such goods shall be duty-free effective January 1 of year eleven; and (c) customs duties on originating goods provided for in the items in staging category TRQ shall be governed by the terms of the TRQ for that specific tariff line, as outlined in Appendix 2 to this Schedule. 4. Interim staged rates for tariff items in Appendix 1 to this Schedule shall be rounded down to the nearest tenth of a percentage point or, if the rate of duty is expressed in monetary units, to the nearest tenth of one U.S. cent. 5.</w:t>
      </w:r>
    </w:p>
    <w:p>
      <w:pPr>
        <w:pStyle w:val="Normal"/>
      </w:pPr>
      <w:r>
        <w:t>For the purposes of Appendix 1 to this Schedule, year one means the year this Agreement enters into force as provided in Article 34.5 (Final Provisions – Entry into Force). 6. For the purposes of Appendix 1 to this Schedule, beginning in year two, each annual stage of tariff reduction shall take effect on January 1 of the relevant year. 7.</w:t>
      </w:r>
    </w:p>
    <w:p>
      <w:pPr>
        <w:pStyle w:val="Normal"/>
      </w:pPr>
      <w:r>
        <w:t xml:space="preserve">For an originating good provided for in a tariff item in Appendix 1 to this Schedule, if the United States applies different preferential treatment to one Party than to the other Party for that good: 2-B-6 (a) the United States shall apply a rate of customs duty no higher than the applicable rate under the staging category set forth for that tariff item in Appendix 1 to this Schedule if the good qualifies to be marked as a good of Canada pursuant to U.S. law, without regard to whether the good is marked;5 (b) the United States shall apply a rate of customs duty no higher than zero if the good qualifies to be marked as a good of Mexico pursuant to U.S. law, without regard to whether the good is marked. * 5 For the purposes of determining whether originating goods are eligible to enter duty-free as provided for in paragraph 15 of Section B of Appendix 2, paragraph 15(h) shall apply in lieu of this paragraph. 2-B-7</w:t>
      </w:r>
    </w:p>
    <w:p>
      <w:pPr>
        <w:pStyle w:val="Heading2"/>
      </w:pPr>
      <w:bookmarkStart w:id="900057" w:name="_Toc300000056"/>
      <w:r>
        <w:t xml:space="preserve">Appendix 2:</w:t>
      </w:r>
      <w:r>
        <w:t xml:space="preserve"> </w:t>
      </w:r>
      <w:r>
        <w:t xml:space="preserve">Tariff Schedule of Canada - (Tariff Rate Quotas)</w:t>
      </w:r>
      <w:bookmarkEnd w:id="900057"/>
    </w:p>
    <w:p>
      <w:pPr>
        <w:pStyle w:val="Normal"/>
      </w:pPr>
      <w:r>
        <w:t xml:space="preserve">Section A: General Provisions 1. Section B of this Appendix sets out the tariff rate quotas (TRQs) that Canada shall apply to certain originating goods of the United States under this Agreement. In particular, an originating good of the United States included under this Appendix shall be subject to the rates of duty set out in this Appendix instead of the rates of duty specified in Chapter 1 through Chapter 97 of the Schedule to Canada’s Customs Tariff.</w:t>
      </w:r>
    </w:p>
    <w:p>
      <w:pPr>
        <w:pStyle w:val="Normal"/>
      </w:pPr>
      <w:r>
        <w:t>Notwithstanding any other provision of Canada’s Customs Tariff, originating goods under this Agreement in the quantities described in Section B of this Appendix shall be permitted entry into the territory of Canada as provided in this Appendix. Furthermore, unless specified otherwise in this Schedule, any quantity of originating goods imported from a Party under a TRQ provided for in Section B of this Appendix shall not be counted towards, or reduce the in-quota quantity, of any TRQ provided for such goods under Canada’s WTO tariff schedule or any other trade agreement. 2. Each good or group of goods covered by each TRQ set out in Section B is informally identified in the title to the paragraph setting out the TRQ. These titles are included solely to assist readers in understanding this Appendix and shall not alter or supersede the coverage established through identification of covered codes of Canada’s Customs Tariff. 3. Canada shall administer all TRQs provided for in this Agreement and set out in Section B of this Appendix according to the following provisions:</w:t>
      </w:r>
    </w:p>
    <w:p>
      <w:pPr>
        <w:pStyle w:val="Normal"/>
      </w:pPr>
      <w:r>
        <w:t>(a) Canada shall administer its TRQs through an import licensing system. (b) For the purposes of this Appendix, quota year means the 12-month period over which a TRQ applies and is allocated. “Quota year 1” has the meaning assigned to “year 1” in paragraph 6 of the Tariff Schedule of Canada - General Notes. (c) Canada shall allocate its TRQs each quota year to eligible applicants.</w:t>
      </w:r>
    </w:p>
    <w:p>
      <w:pPr>
        <w:pStyle w:val="Normal"/>
      </w:pPr>
      <w:r>
        <w:t>An eligible applicant means an applicant active in the Canadian food or agriculture sector. In assessing eligibility, Canada shall not discriminate against applicants who have not previously imported the product subject to a TRQ. 4. For the purposes of this Appendix, the term “metric tons” shall be abbreviated as “MT”. Section B: TRQs 5. TRQ-CA1: Milk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8,333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16,667</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25,000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33,333</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41,667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50,000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50,500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51,005</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51,515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52,030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52,551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53,076</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53,607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54,143</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54,684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55,231</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55,783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56,341</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56,905</w:t>
            </w:r>
          </w:p>
        </w:tc>
      </w:tr>
    </w:tbl>
    <w:p>
      <w:pPr>
        <w:pStyle w:val="Normal"/>
      </w:pPr>
      <w:r>
        <w:t>Starting in quota year 19, the quantity shall remain at 56,905 MT per year. (b) Canada shall apply the following provisions in the administration of this TRQ: (i) Up to 85 percent of the TRQ quantities set out in subparagraph (a) shall be for the importation of milk in bulk (not for retail sale) to be processed into dairy products used as ingredients for further food processing (secondary manufacturing).</w:t>
      </w:r>
    </w:p>
    <w:p>
      <w:pPr>
        <w:pStyle w:val="Normal"/>
      </w:pPr>
      <w:r>
        <w:t>(ii) Any remainder of the TRQ quantities set out in subparagraph (a) shall be for the importation of any milk. (c) This paragraph applies to goods classified in the following tariff items: 0401.10.10 and 0401.20.10. (d) This TRQ shall be allocated on a dairy year basis, meaning from August 1 to July 31. 6.</w:t>
      </w:r>
    </w:p>
    <w:p>
      <w:pPr>
        <w:pStyle w:val="Normal"/>
      </w:pPr>
      <w:r>
        <w:t>TRQ-CA2: Cream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7,000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8,750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10,500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10,605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10,711</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10,818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10,926</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11,036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11,146</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11,257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11,370</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11,484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11,599</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11,715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11,832</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11,950</w:t>
            </w:r>
          </w:p>
        </w:tc>
      </w:tr>
    </w:tbl>
    <w:p>
      <w:pPr>
        <w:pStyle w:val="Normal"/>
      </w:pPr>
      <w:r>
        <w:t>Starting in quota year 19, the quantity shall remain at 11,950 MT per year. (b) Canada shall apply the following provisions in the administration of this TRQ: (i) Up to 85 percent of the TRQ quantities set out in subparagraph (a) shall be for the importation of cream in bulk (not for retail sale) to be processed into dairy products used as ingredients for further food processing (secondary manufacturing). (ii) Any remainder of the TRQ quantities set out in subparagraph (a) shall be for the importation of any cream. (c) This paragraph applies to goods classified in the following tariff items: 0401.40.10, and 0401.50.10. (d) This TRQ shall be allocated on a dairy year basis, meaning from August 1 to July 31. 7.</w:t>
      </w:r>
    </w:p>
    <w:p>
      <w:pPr>
        <w:pStyle w:val="Normal"/>
      </w:pPr>
      <w:r>
        <w:t>TRQ-CA3: Skim Milk Powder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5,000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6,250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7,500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7,575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7,651</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7,727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7,805</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7,883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7,961</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8,041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8,121</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8,203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8,285</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8,368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8,451</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8,536</w:t>
            </w:r>
          </w:p>
        </w:tc>
      </w:tr>
    </w:tbl>
    <w:p>
      <w:pPr>
        <w:pStyle w:val="Normal"/>
      </w:pPr>
      <w:r>
        <w:t>Starting in quota year 19, the quantity shall remain at 8,536 MT per year. (b) This paragraph applies to goods classified in the following tariff item: 0402.10.10. (c) This TRQ shall be allocated on a dairy year basis, meaning from August 1 to July 31. 8. TRQ-CA4: Butter and Cream Powder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2,250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3,750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4,545</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4,590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4,636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4,683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4,730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4,777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4,825</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4,873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4,922</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4,971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5,021</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5,071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5,121</w:t>
            </w:r>
          </w:p>
        </w:tc>
      </w:tr>
    </w:tbl>
    <w:p>
      <w:pPr>
        <w:pStyle w:val="Normal"/>
      </w:pPr>
      <w:r>
        <w:t>Starting in quota year 19, the quantity shall remain at 5,121 MT per year.</w:t>
      </w:r>
    </w:p>
    <w:p>
      <w:pPr>
        <w:pStyle w:val="Normal"/>
      </w:pPr>
      <w:r>
        <w:t>(b) Canada shall apply the following provision in the administration of this TRQ: (i) Up to 85 percent in year 1 of the TRQ quantities set out in subparagraph (a) shall be for the importation of goods in bulk (not for retail sale) used as ingredients for further food processing (secondary manufacturing), reducing to 50 percent of the TRQ quantities over five years.</w:t>
      </w:r>
    </w:p>
    <w:p>
      <w:pPr>
        <w:pStyle w:val="Normal"/>
      </w:pPr>
      <w:r>
        <w:t>(ii) Any remainder of the TRQ quantities set out in subparagraph (a) shall be for the importation of any butter or cream powder. (c) This paragraph applies to goods classified in the following tariff items: 0405.10.10, 0405.20.10, 0405.90.10, 0402.21.21, and 0402.29.21. (d) This TRQ shall be allocated on a dairy year basis, meaning from August 1 to July 31. 9. TRQ-CA5: Industrial Cheeses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1,042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2,083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3,125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4,167</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5,208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6,250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6,313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6,376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6,439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6,504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6,569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6,635</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6,701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6,768</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6,836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6,904</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6,973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7,043</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7,113</w:t>
            </w:r>
          </w:p>
        </w:tc>
      </w:tr>
    </w:tbl>
    <w:p>
      <w:pPr>
        <w:pStyle w:val="Normal"/>
      </w:pPr>
      <w:r>
        <w:t>Starting in quota year 19, the quantity shall remain at 7,113 MT per year. (b) Only goods in bulk (not for retail sale) used as ingredients for further food processing (secondary manufacturing) shall be imported under this TRQ. (c) This paragraph applies to goods classified in the following tariff items: 0406.10.10, 0406.20.11, 0406.20.91, 0406.30.10, 0406.40.10, 0406.90.11, 0406.90.21, 0406.90.31, 0406.90.41, 0406.90.51, 0406.90.61, 0406.90.71, 0406.90.81, 0406.90.91, 0406.90.93, 0406.90.95, and 0406.90.98. (d) This TRQ shall be allocated on a calendar year basis. 10.</w:t>
      </w:r>
    </w:p>
    <w:p>
      <w:pPr>
        <w:pStyle w:val="Normal"/>
      </w:pPr>
      <w:r>
        <w:t>TRQ-CA6: Cheeses of All Types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1,042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2,083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3,125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4,167</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5,208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6,250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6,313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6,376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6,439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6,504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6,569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6,635</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6,701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6,768</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6,836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6,904</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6,973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7,043</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7,113</w:t>
            </w:r>
          </w:p>
        </w:tc>
      </w:tr>
    </w:tbl>
    <w:p>
      <w:pPr>
        <w:pStyle w:val="Normal"/>
      </w:pPr>
      <w:r>
        <w:t>Starting in quota year 19, the quantity shall remain at 7,113 MT per year. (b) This paragraph applies to goods classified in the following tariff items: 0406.10.10, 0406.20.11, 0406.20.91, 0406.30.10, 0406.40.10, 0406.90.11, 0406.90.21, 0406.90.31, 0406.90.41, 0406.90.51, 0406.90.61, 0406.90.71, 0406.90.81, 0406.90.91, 0406.90.93, 0406.90.95, and 0406.90.98. (c) This TRQ shall be allocated on a calendar year basis. 11. TRQ-CA7: Milk Powders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697</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704</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711</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718</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725</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732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740</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747</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755</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762</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770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778</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785</w:t>
            </w:r>
          </w:p>
        </w:tc>
      </w:tr>
    </w:tbl>
    <w:p>
      <w:pPr>
        <w:pStyle w:val="Normal"/>
      </w:pPr>
      <w:r>
        <w:t>Starting in quota year 19, the quantity shall remain at 785 MT per year.</w:t>
      </w:r>
    </w:p>
    <w:p>
      <w:pPr>
        <w:pStyle w:val="Normal"/>
      </w:pPr>
      <w:r>
        <w:t>(b) This paragraph applies to goods classified in the following tariff items: 0402.21.11 and 0402.29.11. (c) This TRQ shall be allocated on a dairy year basis, meaning from August 1 to July 31. 12.</w:t>
      </w:r>
    </w:p>
    <w:p>
      <w:pPr>
        <w:pStyle w:val="Normal"/>
      </w:pPr>
      <w:r>
        <w:t>TRQ-CA8: Concentrated or condensed milk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1,150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1,380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1,394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1,408</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1,422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1,436</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1,450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1,465</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1,480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1,494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1,509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1,524</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1,540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1,555</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1,571</w:t>
            </w:r>
          </w:p>
        </w:tc>
      </w:tr>
    </w:tbl>
    <w:p>
      <w:pPr>
        <w:pStyle w:val="Normal"/>
      </w:pPr>
      <w:r>
        <w:t>Starting in quota year 19, the quantity shall remain at 1,571 MT per year. (b) This paragraph applies to goods classified in the following tariff items: 0402.91.10 and 0402.99.10. (c) This TRQ shall be allocated on a calendar year basis. 13. TRQ-CA9: Yogurt and Buttermilk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1,378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2,068</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2,757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3,446</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4,135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4,176</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4,218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4,260</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4,303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4,346</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4,389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4,433</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4,478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4,522</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4,568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4,613</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4,659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4,706</w:t>
            </w:r>
          </w:p>
        </w:tc>
      </w:tr>
    </w:tbl>
    <w:p>
      <w:pPr>
        <w:pStyle w:val="Normal"/>
      </w:pPr>
      <w:r>
        <w:t>Starting in quota year 19, the quantity shall remain at 4,706 MT per year. (b) This paragraph applies to goods classified in the following tariff items: 0403.10.10 and 0403.90.91 (c) This TRQ shall be allocated on a calendar year basis. 14.</w:t>
      </w:r>
    </w:p>
    <w:p>
      <w:pPr>
        <w:pStyle w:val="Normal"/>
      </w:pPr>
      <w:r>
        <w:t>TRQ-CA10: Powdered Buttermilk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87</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173</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260</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347</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433</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520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525</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530</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536</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541</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547</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552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558</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563</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569</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574</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580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586</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592</w:t>
            </w:r>
          </w:p>
        </w:tc>
      </w:tr>
    </w:tbl>
    <w:p>
      <w:pPr>
        <w:pStyle w:val="Normal"/>
      </w:pPr>
      <w:r>
        <w:t>Starting in quota year 19, the quantity shall remain at 592 MT per year. (b) This paragraph applies to goods classified in the following tariff items: 0403.90.11. (c) This TRQ shall be allocated on a calendar year basis. 15. TRQ-CA11: Whey Powder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1,378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2,068</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2,757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3,446</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4,135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4,176</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4,218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4,260</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4,303</w:t>
            </w:r>
          </w:p>
        </w:tc>
      </w:tr>
    </w:tbl>
    <w:p>
      <w:pPr>
        <w:pStyle w:val="Normal"/>
      </w:pPr>
      <w:r>
        <w:t>After quota year 10 this TRQ shall be eliminated. (b) This paragraph applies to goods classified in the following tariff items: 0404.10.21. (c) This TRQ shall be allocated on a dairy year basis, meaning from August 1 to July 31. 16. TRQ-CA12:</w:t>
      </w:r>
    </w:p>
    <w:p>
      <w:pPr>
        <w:pStyle w:val="Normal"/>
      </w:pPr>
      <w:r>
        <w:t>Products Consisting of Natural Milk Constituents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1,380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1,840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2,300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2,760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2,788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2,815</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2,844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2,872</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2,901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2,930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2,959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2,989</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3,019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3,049</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3,079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3,110</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3,141</w:t>
            </w:r>
          </w:p>
        </w:tc>
      </w:tr>
    </w:tbl>
    <w:p>
      <w:pPr>
        <w:pStyle w:val="Normal"/>
      </w:pPr>
      <w:r>
        <w:t>Starting in quota year 19, the quantity shall remain at 3,141 MT per year.</w:t>
      </w:r>
    </w:p>
    <w:p>
      <w:pPr>
        <w:pStyle w:val="Normal"/>
      </w:pPr>
      <w:r>
        <w:rPr>
          <w:b w:val="0"/>
        </w:rPr>
        <w:t>(b) This paragraph applies to goods classified in the following tariff items: 0404.90.10. (c) This TRQ shall be allocated on a calendar year basis. 17. TRQ-CA13: Ice Cream and Ice Cream Mixes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697</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704</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711</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718</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725</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732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740</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747</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755</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762</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770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778</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785</w:t>
            </w:r>
          </w:p>
        </w:tc>
      </w:tr>
    </w:tbl>
    <w:p>
      <w:pPr>
        <w:pStyle w:val="Normal"/>
      </w:pPr>
      <w:r>
        <w:rPr>
          <w:b w:val="0"/>
        </w:rPr>
        <w:t>Starting in quota year 19, the quantity shall remain at 785 MT per year. (b) This paragraph applies to goods classified in the following tariff items: 1806.20.21, 1806.90.11, 1901.90.31, 1901.90.51, 2105.00.91, and 2202.99.32. (c) This TRQ shall be allocated on a calendar year basis. 18. TRQ-CA14: Other Dairy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697</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704</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711</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718</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725</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732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740</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747</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755</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762</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770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778</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785</w:t>
            </w:r>
          </w:p>
        </w:tc>
      </w:tr>
    </w:tbl>
    <w:p>
      <w:pPr>
        <w:pStyle w:val="Normal"/>
      </w:pPr>
      <w:r>
        <w:rPr>
          <w:b w:val="0"/>
        </w:rPr>
        <w:t>Starting in quota year 19, the quantity shall remain at 785 MT per year. (b) This paragraph applies to goods classified in the following tariff items:</w:t>
      </w:r>
    </w:p>
    <w:p>
      <w:pPr>
        <w:pStyle w:val="Normal"/>
      </w:pPr>
      <w:r>
        <w:t>1517.90.21, 1901.20.11, 1901.20.21, 1901.90.33, 1901.90.53, 2106.90.31, 2106.90.33, 2106.90.93, and 2309.90.31. (c) This TRQ shall be allocated on a calendar year basis. 19.</w:t>
      </w:r>
    </w:p>
    <w:p>
      <w:pPr>
        <w:pStyle w:val="Normal"/>
      </w:pPr>
      <w:r>
        <w:t>TRQ-CA15: Chicken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 eviscerated product basis)</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47,000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49,000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51,000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53,000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55,000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57,000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57,570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58,146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58,727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59,314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59,908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60,507</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61,112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61,723</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62,340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62,963</w:t>
            </w:r>
          </w:p>
        </w:tc>
      </w:tr>
    </w:tbl>
    <w:p>
      <w:pPr>
        <w:pStyle w:val="Normal"/>
      </w:pPr>
      <w:r>
        <w:t>Starting in quota year 16, the quantity shall remain at 62,963 MT per year. (b) This paragraph applies to goods classified in the following tariff items: 0105.94.91, 0207.11.91, 0207.12.91, 0207.13.91, 0207.14.21, 0207.14.91, 0209.90.10, 0210.99.11, 1601.00.21, 1602.20.21, 1602.32.12, and 1602.32.93. (c) This TRQ shall be allocated on a calendar year basis. 20. TRQ-CA16: Eggs and Egg Products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(dozen eggs equivalent)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1,666,667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3,333,333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5,000,000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6,666,667</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8,333,333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10,000,000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10,100,000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10,201,000</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10,303,010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10,406,040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10,510,101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10,615,202</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10,721,354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10,828,567</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10,936,853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11,046,221</w:t>
            </w:r>
          </w:p>
        </w:tc>
      </w:tr>
    </w:tbl>
    <w:p>
      <w:pPr>
        <w:pStyle w:val="Normal"/>
      </w:pPr>
      <w:r>
        <w:t>Starting in quota year 16, the quantity shall remain at 11,046,221 dozen eggs equivalent per year.</w:t>
      </w:r>
    </w:p>
    <w:p>
      <w:pPr>
        <w:pStyle w:val="Normal"/>
      </w:pPr>
      <w:r>
        <w:t>(b) Canada shall apply the following provision in the administration of this TRQ: (i) The TRQ quantities set out in subparagraph (a) shall be used in priority for the importation of eggs for breaking purposes for further food processing (secondary manufacturing). (ii) Thirty percent of import licenses for shell egg imports will be made available to new importers. (c) This paragraph applies to goods classified in the following tariff items: 0407.11.91, 0407.21.10, 0407.90.11, 0408.11.10, 0408.19.10, 0408.91.10, 0408.99.10, 2106.90.51, 3502.11.10, and 3502.19.10. (d) This TRQ shall be allocated on a calendar year basis. Section C: Turkey, Turkey Products, Broiler Hatching Eggs, and Chicks 21. For the purposes of this Section: (a) turkey and turkey products means goods classified in the following tariff items: 0105.99.11, 0207.24.11, 0207.24.91, 0207.25.11, 0207.25.91, 0207.26.10, 0207.27.11, 0207.27.91, 0209.90.30, 0210.99.14, 1601.00.31, 1602.20.31, 1602.31.12, and 1602.31.93; and (b) broiler hatching eggs and chicks means goods classified in the following tariff items: 0105.11.21 and 0407.11.11. 22.</w:t>
      </w:r>
    </w:p>
    <w:p>
      <w:pPr>
        <w:pStyle w:val="Normal"/>
      </w:pPr>
      <w:r>
        <w:t>If Canada adopts or maintains TRQs under Canada’s WTO tariff schedule on any of the goods set out in Section C, Canada shall permit the importation of such goods as follows: (a) The level of global import quota on turkey and turkey products, as defined in Section C, for any given year shall be no less than 3.5 percent of the previous year’s domestic turkey production in Canada.</w:t>
      </w:r>
    </w:p>
    <w:p>
      <w:pPr>
        <w:pStyle w:val="Normal"/>
      </w:pPr>
      <w:r>
        <w:t>Except, for a period of 10 years after the entry into force of this Agreement, Canada shall calculate the difference, in any given year, between: (i) 3.5 percent of the previous year’s domestic turkey production in Canada, and (ii) 3.5 percent of that year’s Canadian domestic turkey production quota. If (i) exceeds (ii) by 1,000 metric tons or more, then Canada may restrict the level of global import quota on turkey and turkey products for that quota year to no more than 3.5 percent of that year’s Canadian domestic turkey production quota plus 1,000 metric tons. (b) The combined level of global import quotas on broiler hatching eggs and chick products, as defined in Section C, for any given year shall be no less than 21.1 percent of the estimated Canadian domestic production of broiler hatching eggs for that year. This estimate shall be adjusted and finalized on the first of August of each year.</w:t>
      </w:r>
    </w:p>
    <w:p>
      <w:pPr>
        <w:pStyle w:val="Normal"/>
      </w:pPr>
      <w:r>
        <w:t>This combined annual access level shall be subdivided into separate and distinct access levels for broiler hatching eggs and for chicks for broiler production such that the annual access level for broiler hatching eggs shall be equivalent to 17.4 percent of Canadian domestic broiler hatching egg production and the annual access level for egg-equivalent chicks shall be 3.7 percent of Canadian domestic broiler hatching egg production.</w:t>
      </w:r>
    </w:p>
    <w:p>
      <w:pPr>
        <w:pStyle w:val="Normal"/>
      </w:pPr>
      <w:r>
        <w:t xml:space="preserve">Canada shall permit any person who has received an allocation of annual access for broiler hatching eggs to convert any proportion of said allocation into an allocation for chick imports at a conversion rate such that 1.27 broiler hatching eggs are equal to 1 chick. Chick import allocations may not be converted into egg import allocations, unless agreed by both Parties in advance in writing.</w:t>
      </w:r>
    </w:p>
    <w:p>
      <w:pPr>
        <w:pStyle w:val="Heading2"/>
      </w:pPr>
      <w:bookmarkStart w:id="900058" w:name="_Toc300000057"/>
      <w:r>
        <w:t xml:space="preserve">Appendix 2: Tariff Schedule of the United States - (Tariff Rate Quotas)</w:t>
      </w:r>
      <w:bookmarkEnd w:id="900058"/>
    </w:p>
    <w:p>
      <w:pPr>
        <w:pStyle w:val="Normal"/>
      </w:pPr>
      <w:r>
        <w:t xml:space="preserve">Section A: General Provisions 1. This Appendix sets out modifications to the Harmonized Tariff Schedule of the United States (HTSUS) that reflect the tariff rate quotas (TRQs) that the United States shall apply to certain originating goods from Canada under this Agreement. In particular, originating goods of Canada included under this Appendix shall be subject to the rates of duty set out in this Appendix instead of the rates of duty specified in Chapter 1 through Chapter 97 of the HTSUS. Notwithstanding any other provision of the HTSUS, originating goods of Canada in the quantities described in this Appendix shall be permitted entry into the territory of the United States as provided in this Appendix.</w:t>
      </w:r>
    </w:p>
    <w:p>
      <w:pPr>
        <w:pStyle w:val="Normal"/>
      </w:pPr>
      <w:r>
        <w:t>Furthermore, except as provided below, any quantity of originating goods imported from Canada under a TRQ provided for in this Appendix shall not be counted toward the in-quota quantity of any TRQ provided for such goods under the United States’ WTO Tariff Schedule, the United States’ WTO Schedule of Concessions or any other trade agreement. 2. Except as provided below, the United States shall administer all TRQs provided for in this Agreement and set out in this Appendix on a first-come, first-served basis. 3. For the purposes of this Appendix, quota year means calendar year. 4. Each good or group of goods covered by each TRQ set out below is informally described in the title to the paragraph setting out the TRQ. These titles are included solely to assist readers in understanding this Appendix and shall not alter or supersede the coverage for each TRQ established by reference to the relevant Table 1 provisions. 5. For the purposes of this Appendix, the term “metric tons” shall be abbreviated as “MT”. Section B: Country-Specific TRQs 6. TRQ – US 1:</w:t>
      </w:r>
    </w:p>
    <w:p>
      <w:pPr>
        <w:pStyle w:val="Normal"/>
      </w:pPr>
      <w:r>
        <w:t>Fluid Cream, Sour Cream, Ice Cream, and Milk Beverages (a) This paragraph sets out a TRQ for the originating goods of Canada described in subparagraph (d). The TRQ set out in this paragraph is designated in Appendix 1 of the Schedule of the United States to Annex 2-B (Tariff Commitments) with the designation “US 1”.</w:t>
      </w:r>
    </w:p>
    <w:p>
      <w:pPr>
        <w:pStyle w:val="Normal"/>
      </w:pPr>
      <w:r>
        <w:t>(b)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(‘000 Liters)</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7,000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8,750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10,500</w:t>
            </w:r>
          </w:p>
        </w:tc>
      </w:tr>
    </w:tbl>
    <w:p>
      <w:pPr>
        <w:pStyle w:val="Normal"/>
      </w:pPr>
      <w:r>
        <w:t>Starting in quota year seven, the quantity shall increase at a compounded annual growth rate of one percent for the subsequent 13 years. (c) Goods entered in aggregate quantities in excess of the quantities listed in subparagraph (b) shall continue to receive most-favored-nation tariff treatment. (d) This paragraph applies to the following Table 1 provisions: AG04014025, AG04015025, AG04039016, AG 21050020, and AG22029928. 7. TRQ – US 2: Skim Milk Powder (a) This paragraph sets out a TRQ for the originating goods of Canada described in subparagraph (d). The TRQ set out in this paragraph is designated in Appendix 1 of the Schedule of the United States to Annex 2-B (Tariff Commitments) with the designation “US 2”.</w:t>
      </w:r>
    </w:p>
    <w:p>
      <w:pPr>
        <w:pStyle w:val="Normal"/>
      </w:pPr>
      <w:r>
        <w:t>(b)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5,000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6,250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7,500</w:t>
            </w:r>
          </w:p>
        </w:tc>
      </w:tr>
    </w:tbl>
    <w:p>
      <w:pPr>
        <w:pStyle w:val="Normal"/>
      </w:pPr>
      <w:r>
        <w:t>Starting in quota year seven, the quantity shall increase at a compounded annual growth rate of one percent for the subsequent 13 years.</w:t>
      </w:r>
    </w:p>
    <w:p>
      <w:pPr>
        <w:pStyle w:val="Normal"/>
      </w:pPr>
      <w:r>
        <w:t>(c) Goods entered in aggregate quantities in excess of the quantities listed in subparagraph (b) shall continue to receive most favored nation tariff treatment. (d) This paragraph applies to the following Table 1 provisions: AG04021050 and AG04022125. 8. TRQ – US 3: Butter, Cream, and Cream Powder (a) This paragraph sets out a TRQ for the originating goods of Canada described in subparagraph (d). The TRQ set out in this paragraph is designated in Appendix 1 of the Schedule of the United States to Annex 2-B (Tariff Commitments) with the designation “US 3”.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2,250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3,750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4,500</w:t>
            </w:r>
          </w:p>
        </w:tc>
      </w:tr>
    </w:tbl>
    <w:p>
      <w:pPr>
        <w:pStyle w:val="Normal"/>
      </w:pPr>
      <w:r>
        <w:t>Starting in quota year seven, the quantity shall increase at a compounded annual growth rate of one percent for the subsequent 13 years.</w:t>
      </w:r>
    </w:p>
    <w:p>
      <w:pPr>
        <w:pStyle w:val="Normal"/>
      </w:pPr>
      <w:r>
        <w:t>(c) Goods entered in aggregate quantities in excess of the quantities listed in subparagraph (b) shall continue to receive most favored nation tariff treatment. (d) This paragraph applies to the following Table 1 provisions: AG04015075, AG04022190, AG04039065, AG04039078, AG04051020, AG04052030, AG04052070, AG04059020, AG21069026, and AG21069036 9. TRQ – US 4: Cheese (a) This paragraph sets out a TRQ for the originating goods of Canada described in subparagraph (d).</w:t>
      </w:r>
    </w:p>
    <w:p>
      <w:pPr>
        <w:pStyle w:val="Normal"/>
      </w:pPr>
      <w:r>
        <w:t>The TRQ set out in this paragraph is designated in the Appendix 1 of the Schedule of the United States to Annex 2-B (Tariff Commitments) with the designation “US 4”.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2,083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4,167</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6,250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8,333</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10,416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12,500</w:t>
            </w:r>
          </w:p>
        </w:tc>
      </w:tr>
    </w:tbl>
    <w:p>
      <w:pPr>
        <w:pStyle w:val="Normal"/>
      </w:pPr>
      <w:r>
        <w:t>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AG04061008, AG04061018, AG04061028, AG04061038, AG04061048, AG04061058, AG04061068, AG04061078, AG04061088, AG04062028, AG04062033, AG04062039, AG04062048, AG04062053, AG04062063, AG04062067, AG04062071, AG04062075, AG04062079, AG04062083, AG04062087, AG04062091, AG04063018, AG04063028, AG04063038, AG04063048, AG04063053, AG04063063, AG04063067, AG04063071, AG04063075, AG04063079, AG04063083, AG04063087, AG04063091, AG04064070, AG04069012, AG04069018, AG04069032, AG04069037, AG04069042, AG04069048, AG04069054, AG04069068, AG04069074, AG04069078, AG04069084, AG04069088, AG04069092, AG04069094, AG04069097, and AG19019036. 10.</w:t>
      </w:r>
    </w:p>
    <w:p>
      <w:pPr>
        <w:pStyle w:val="Normal"/>
      </w:pPr>
      <w:r>
        <w:rPr>
          <w:b w:val="0"/>
        </w:rPr>
        <w:t>TRQ – US 5: Whole Milk Powder (a) This paragraph sets out a country-specific TRQ for the originating goods of Canada described in subparagraph (d). The TRQ set out in this paragraph is designated in Appendix 1 of the Schedule of the United States to Annex 2-B (Tariff Commitments) with the designation “US 5”.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bl>
    <w:p>
      <w:pPr>
        <w:pStyle w:val="Normal"/>
      </w:pPr>
      <w:r>
        <w:rPr>
          <w:b w:val="0"/>
        </w:rPr>
        <w:t>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AG04022150, AG04022950, AG23099028, and AG23099048. 11. TRQ – US 6:</w:t>
      </w:r>
    </w:p>
    <w:p>
      <w:pPr>
        <w:pStyle w:val="Normal"/>
      </w:pPr>
      <w:r>
        <w:t>Dried Yogurt, Sour Cream, Whey, and Products of Milk Constituents (a) This paragraph sets out a country-specific TRQ for the originating goods of Canada described in subparagraph (e). The TRQ set out in this paragraph is designated in Appendix 1 of the Schedule of the United States to Annex 2-B (Tariff Commitments) with the designation “US 6”.</w:t>
      </w:r>
    </w:p>
    <w:p>
      <w:pPr>
        <w:pStyle w:val="Normal"/>
      </w:pPr>
      <w:r>
        <w:t>(b) The aggregate quantity of originating goods of Canada described in subparagraph (e)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1,838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3,677</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5,515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7,353</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11,030</w:t>
            </w:r>
          </w:p>
        </w:tc>
      </w:tr>
    </w:tbl>
    <w:p>
      <w:pPr>
        <w:pStyle w:val="Normal"/>
      </w:pPr>
      <w:r>
        <w:t>Starting in quota year seven, the quantity shall increase at a compounded annual growth rate of one percent for the subsequent 13 years. (c) With respect to goods described in subparagraph (e) entered in quantities in excess of the quantities listed in subparagraph (b), for those goods provided for in: (i) Table 1 provisions AG04041015 and AG04041090, duties shall be removed in accordance with the provisions of staging category B11 in the General Notes to the Schedule of the United States to Annex 2-B (Tariff Commitments), and (ii) any other Table 1 provision described in subparagraph (e) shall continue to receive most favored nation tariff treatment. (d) Starting on January 1 of quota year 11, originating goods of Canada provided for in Table 1 provisions AG04041015 and AG04041090 shall not count towards the quantities specified in subparagraph (b).</w:t>
      </w:r>
    </w:p>
    <w:p>
      <w:pPr>
        <w:pStyle w:val="Normal"/>
      </w:pPr>
      <w:r>
        <w:t>(e) This paragraph applies to the following Table 1 provisions: AG04031050, AG04039045, AG04039055, AG04039095, AG04041015, AG04041090, and AG04049050. 12. TRQ – US 7: Concentrated Milk (a) This paragraph sets out a country-specific TRQ for the originating goods of Canada described in subparagraph (d).</w:t>
      </w:r>
    </w:p>
    <w:p>
      <w:pPr>
        <w:pStyle w:val="Normal"/>
      </w:pPr>
      <w:r>
        <w:t>The TRQ set out in this paragraph is designated in Appendix 1 of the Schedule of the United States to Annex 2-B (Tariff Commitments) with the designation “US 7”.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1,150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1,380</w:t>
            </w:r>
          </w:p>
        </w:tc>
      </w:tr>
    </w:tbl>
    <w:p>
      <w:pPr>
        <w:pStyle w:val="Normal"/>
      </w:pPr>
      <w:r>
        <w:t>Starting in quota year seven, the quantity shall increase at a compounded annual growth rate of one percent for the subsequent 13 years. (c) Goods entered in aggregate quantities in excess of the quantities listed in subparagraph (b) shall continue to receive MFN tariff treatment. (d) This paragraph applies to the following Table 1 provisions: AG04029170, AG04029190, AG04029945, AG04029955, and AG04029990. 13. TRQ – US 8: Other Dairy (a) This paragraph sets out a country-specific TRQ for the originating goods of Canada described in subparagraph (e).</w:t>
      </w:r>
    </w:p>
    <w:p>
      <w:pPr>
        <w:pStyle w:val="Normal"/>
      </w:pPr>
      <w:r>
        <w:t>The TRQ set out in this paragraph is designated in Appendix 1 of the Schedule of the United States to Annex 2-B (Tariff Commitments) with the designation “US 8”. (b) The aggregate quantity of originating goods of Canada described in subparagraph (e)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1,267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1,583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1,900</w:t>
            </w:r>
          </w:p>
        </w:tc>
      </w:tr>
    </w:tbl>
    <w:p>
      <w:pPr>
        <w:pStyle w:val="Normal"/>
      </w:pPr>
      <w:r>
        <w:t>Starting in quota year seven, the quantity shall increase at a compounded annual growth rate of one percent for the subsequent 13 years.</w:t>
      </w:r>
    </w:p>
    <w:p>
      <w:pPr>
        <w:pStyle w:val="Normal"/>
      </w:pPr>
      <w:r>
        <w:t>(c) With respect to goods described in subparagraph (e) entered in quantities in excess of the quantities listed in subparagraph (b), for those goods provided for in: (i) Table 1 provision AG15179060, duties shall be removed in accordance with the provisions of staging category B6 in the General Notes to the Schedule of the United States to Annex 2-B (Tariff Commitments), and (ii) any other Table 1 provision described in subparagraph (e) shall continue to receive most favored nation tariff treatment. (d) Starting on January 1 of quota year 6, originating goods of Canada provided for in Table 1 provision AG15179060 shall not count towards the quantities specified in subparagraph (b). (e) This paragraph applies to the following Table 1 provisions: AG15179060, AG17049058, AG18062026, AG18062028, AG18062036, AG18062038, AG18062082, AG18062083, AG18062087, AG18062089, AG18063206, AG18063208, AG18063216, AG18063218, AG18063270, AG18063280, AG18069008, AG18069010, AG18069018, AG18069020, AG18069028, AG18069030, AG19011016, AG19011026, AG19011036, AG19011044, AG19011056, AG19011066, AG19012015, AG19012050, AG19019062, AG19019065, AG21050040, AG21069009, AG21069066, and AG21069087. 14. TRQ – US 9: Sugar (a) This paragraph sets out a country-specific TRQ for the originating goods of Canada described in subparagraph (e).</w:t>
      </w:r>
    </w:p>
    <w:p>
      <w:pPr>
        <w:pStyle w:val="Normal"/>
      </w:pPr>
      <w:r>
        <w:t>The TRQ set out in this paragraph is designated in Appendix 1 of the Schedule of the United States to Annex 2-B (Tariff Commitments) with the designation “US 9”. (b) The aggregate quantity of originating goods of Canada described in subparagraph (e) that shall be permitted to enter free of duty in each quota year under this TRQ is 9,600 MT. However, no quantity shall be permitted to enter free of duty unless wholly obtained from sugar beets produced in Canada.</w:t>
      </w:r>
    </w:p>
    <w:p>
      <w:pPr>
        <w:pStyle w:val="Normal"/>
      </w:pPr>
      <w:r>
        <w:t>(c) In any year in which the United States Secretary of Agriculture (the Secretary) makes a determination to permit the importation into the United States at in-quota tariff rates of additional quantities of refined sugar, other than specialty sugar, above the quantities made available at those rates pursuant to its commitments under the WTO Agreement and other trade agreements, including this Agreement, that is to say, additional in-quota rate imports of refined sugar, the quantity set out for that year in subparagraph (b) shall increase by an amount equal to 20 percent of the quantity of additional in-quota rate imports of refined sugar that the Secretary determines to permit to enter into the United States in that year. Any increase pursuant to this subparagraph of a quantity set out in subparagraph (b) shall not take effect until the date on which the additional in-quota rate imports of refined sugar are permitted entry into the United States.</w:t>
      </w:r>
    </w:p>
    <w:p>
      <w:pPr>
        <w:pStyle w:val="Normal"/>
      </w:pPr>
      <w:r>
        <w:t>Refined sugar imported pursuant to this subparagraph may be made from non-originating raw sugar. Nothing in this paragraph shall alter Canada’s rights under the WTO Agreement with respect to any increase by the United States of the quantities of refined sugar permitted to be imported above the quantities made available at in-quota tariff rates pursuant to its commitments under the WTO Agreement and other trade agreements, including this Agreement. (d) Goods entered in quantities in excess of the quantities provided under subparagraph (b) and, goods not wholly obtained from sugar beets produced in Canada, shall continue to receive most favored nation tariff treatment. (e) This paragraph applies to the following Table 1 provisions: AG17011250, AG17011350, AG17011450, AG17019130, AG17019950, and AG17029020. 15. TRQ – US 10: Sugar Containing Products (a) This paragraph sets out a country-specific TRQ for the originating goods of Canada described in subparagraph (g). The TRQ set out in this paragraph is designated in Appendix 1 of the Schedule of the United States to Annex 2-B (Tariff Commitments) with the designation “US 7”.</w:t>
      </w:r>
    </w:p>
    <w:p>
      <w:pPr>
        <w:pStyle w:val="Normal"/>
      </w:pPr>
      <w:r>
        <w:t>(b) The aggregate quantity of originating goods of Canada described in subparagraph (g) that shall be permitted to enter free of duty in each quota year under this TRQ is 9,600 MT.</w:t>
      </w:r>
    </w:p>
    <w:p>
      <w:pPr>
        <w:pStyle w:val="Normal"/>
      </w:pPr>
      <w:r>
        <w:t>(c) In any year for which Canada has provided the United States with a written notification in accordance with the terms of subparagraph (d) of Canada’s intent to require export certificates for the exportation of goods for import under this TRQ, the above quantity shall only be eligible for duty-free treatment if the U.S. importer makes a declaration to U.S. Customs and Border Protection (Customs), in the form and manner determined by Customs, that a valid export certificate issued by the Government of Canada is in effect for the goods. (d) Canada shall provide the United States with the notification referred to in subparagraph (c) at least 150 days prior to the start of each year in which Canada requires an export certificate for the exportation of goods for import under this TRQ. Canada shall provide the notification in writing to the U.S. Contact Point designated pursuant to Article 30.5 (Agreement Coordinator and Contact Points).</w:t>
      </w:r>
    </w:p>
    <w:p>
      <w:pPr>
        <w:pStyle w:val="Normal"/>
      </w:pPr>
      <w:r>
        <w:t>(e) Goods entered within the quantity listed in subparagraph (b) that are provided for in Table 1 provisions AG17019148, AG17019158, AG17022028, AG17023028, AG17024028, AG17026028, AG17029058, AG17029068, AG18061015, AG18061028, and AG18061038 may be made from sugar refined in Canada. For the purposes of this subparagraph, refined means a change to a good of HS subheading 1701.91 or 1701.99 from any other subheading.</w:t>
      </w:r>
    </w:p>
    <w:p>
      <w:pPr>
        <w:pStyle w:val="Normal"/>
      </w:pPr>
      <w:r>
        <w:t>(f) Goods entered in quantities in excess of the quantity listed in subparagraph (b) shall continue to receive MFN tariff treatment. (g) This paragraph applies to the following Table 1 provisions: AG17019148, AG17019158, AG17022028, AG17023028, AG17024028, AG17026028, AG17029058, AG17029068, AG17049068, AG17049078, AG18061015, AG18061028, AG18061038, AG18061055, AG18061075, AG18062073, AG18062077, AG18062094, AG18062098, AG18069039, AG18069049, AG18069059, AG19011076, AG19012025, AG19012035, AG19012060, AG19012070, AG19019068, AG19019071, AG21011238, AG21011248, AG21011258, AG21012038, AG21012048, AG21012058, AG21039078, AG21069046, AG21069072, AG21069076, AG21069080, AG21069091, AG21069094, and AG21069097. (h) Originating goods which last underwent production in Canada shall be considered eligible for this TRQ regardless of whether they qualify to be marked as a good of Canada pursuant to U.S. law.</w:t>
      </w:r>
    </w:p>
    <w:p>
      <w:pPr>
        <w:pStyle w:val="Normal"/>
      </w:pPr>
      <w:r>
        <w:t>Table 1 Heading Article Description</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AG04014025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04014025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AG04015025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04015025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AG04015075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04015075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AG04021050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04021050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AG04022125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04022125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AG04022150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04022150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AG04022190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04022190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AG04022950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04022950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AG04029170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04029170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AG04029190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04029190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AG04029945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04029945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AG04029955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04029955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AG04029990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04029990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AG04031050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04031050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AG04039016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04039016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AG04039045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04039045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AG04039055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04039055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AG04039065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04039065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AG04039078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04039078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AG04039095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04039095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AG04041015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04041015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AG04041090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04041090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AG04049050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04049050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AG04051020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04051020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AG04052030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04052030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AG04052070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04052070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AG04059020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04059020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AG04061008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04061008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04061028</w:t>
            </w:r>
          </w:p>
        </w:tc>
      </w:tr>
    </w:tbl>
    <w:p>
      <w:pPr>
        <w:pStyle w:val="Normal"/>
      </w:pPr>
      <w:r>
        <w:t>Provided for in tariff item 04061038</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AG04061058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04061058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AG04061068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04061068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AG04061078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04061078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AG04061088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04061088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AG04062033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04062033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AG04062039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04062039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AG04062053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04062053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AG04062063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04062063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AG04062067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04062067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AG04062071</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04062071</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AG04062075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04062075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AG04062079</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04062079</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AG04062083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04062083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AG04062087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04062087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04062091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AG04063038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04063038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AG04063048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04063048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AG04063053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04063053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AG04063063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04063063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AG04063067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04063067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AG04063071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04063071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AG04063075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04063075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AG04063079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04063079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AG04063083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04063083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AG04063087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04063087</w:t>
            </w:r>
          </w:p>
        </w:tc>
      </w:tr>
    </w:tbl>
    <w:p>
      <w:pPr>
        <w:pStyle w:val="Normal"/>
      </w:pPr>
      <w:r>
        <w:t>Provided for in tariff item 04063091</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AG04064070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04064070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04069012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AG04069032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04069032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AG04069037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04069037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AG04069042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04069042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AG04069054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04069054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AG04069068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04069068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AG04069074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04069074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AG04069084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04069084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AG04069088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04069088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04069092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AG04069094</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04069094</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AG04069097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04069097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AG15179060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15179060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AG17011250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17011250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AG17011350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17011350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AG17011450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17011450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AG17019130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17019130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AG17019148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17019148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AG17019158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17019158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AG17019950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17019950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AG17022028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17022028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AG17023028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17023028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AG17024028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17024028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AG17026028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17026028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AG17029020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17029020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AG17029058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17029058</w:t>
            </w:r>
          </w:p>
        </w:tc>
      </w:tr>
    </w:tbl>
    <w:p>
      <w:pPr>
        <w:pStyle w:val="Normal"/>
      </w:pPr>
      <w:r>
        <w:t>Provided for in tariff item 17029068</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AG17049058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17049058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AG17049068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17049068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AG17049078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17049078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AG18061015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18061015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AG18061028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18061028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AG18061038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18061038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AG18061055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18061055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AG18061075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18061075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AG18062026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18062026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AG18062036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18062036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AG18062038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18062038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AG18062073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18062073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AG18062077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18062077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AG18062082</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18062082</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AG18062083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18062083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AG18062087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18062087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AG18062089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18062089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AG18062094</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18062094</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AG18062098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18062098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AG18063206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18063206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AG18063208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18063208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AG18063216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18063216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AG18063218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18063218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AG18063270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18063270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AG18063280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18063280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AG18069008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18069008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18069010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18069020</w:t>
            </w:r>
          </w:p>
        </w:tc>
      </w:tr>
    </w:tbl>
    <w:p>
      <w:pPr>
        <w:pStyle w:val="Normal"/>
      </w:pPr>
      <w:r>
        <w:t>Provided for in tariff item 18069028</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AG18069030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18069030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AG18069039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18069039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AG18069049</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18069049</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AG18069059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18069059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AG19011016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19011016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AG19011026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19011026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AG19011036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19011036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AG19011044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19011044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AG19011056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19011056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AG19011066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19011066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AG19011076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19011076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AG19012015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19012015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AG19012025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19012025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AG19012035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19012035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AG19012050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19012050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AG19012060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19012060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AG19012070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19012070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AG19019036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19019036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AG19019062</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19019062</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AG19019065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19019065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AG19019068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19019068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AG19019071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19019071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AG21011238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21011238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AG21011248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21011248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AG21011258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21011258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AG21012038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21012038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AG21012048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21012048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AG21012058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21012058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AG21039078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21039078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AG21050020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21050020</w:t>
            </w:r>
          </w:p>
        </w:tc>
      </w:tr>
    </w:tbl>
    <w:p>
      <w:pPr>
        <w:pStyle w:val="Normal"/>
      </w:pPr>
      <w:r>
        <w:t>Provided for in tariff item 21050040</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AG21069009</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21069009</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AG21069026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21069026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AG21069036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21069036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AG21069046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21069046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AG21069066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21069066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AG21069072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21069072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AG21069076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21069076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AG21069080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21069080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AG21069087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21069087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21069091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AG21069094</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21069094</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AG21069097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21069097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AG22029928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22029928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AG23099028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23099028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AG23099048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23099048</w:t>
            </w:r>
          </w:p>
        </w:tc>
      </w:tr>
    </w:tbl>
    <w:p>
      <w:pPr>
        <w:pStyle w:val="Heading2"/>
      </w:pPr>
      <w:bookmarkStart w:id="900059" w:name="_Toc300000058"/>
      <w:r>
        <w:t xml:space="preserve">ANNEX 2-C PROVISIONS BETWEEN MEXICO AND THE UNITED STATES ON AUTOMOTIVE GOODS</w:t>
      </w:r>
      <w:bookmarkEnd w:id="900059"/>
    </w:p>
    <w:p>
      <w:pPr>
        <w:pStyle w:val="Normal"/>
      </w:pPr>
      <w:r>
        <w:t xml:space="preserve">1. This Annex does not apply to originating goods that qualify for duty free preferential tariff treatment under Chapter 4 (Rules of Origin) that are imported to the United States from Mexico and are: (a) passenger vehicles classified in subheadings 8703.21 through 8703.90; (b) light trucks classified in subheading 8704.21 or 8704.31, or (c) auto parts listed in the Appendix to this Annex. 2. The customs duty applied by the United States on passenger vehicles imported from Mexico classified in subheadings 8703.21 through 8703.90 that do not qualify as originating under Chapter 4 (Rules of Origin), shall not exceed the lesser of 2.5 percent or the United States’ most-favored-nation (MFN) applied rate in effect at the time of the importation of the good. 3. The customs duty applied by the United States on light trucks imported from Mexico classified in subheadings 8704.21 or 8704.31 that do not qualify as originating under Chapter 4 (Rules of Origin), shall not exceed the lesser of 25 percent or the United States’ MFN applied rate in effect at the time of the importation of the good. 4.</w:t>
      </w:r>
    </w:p>
    <w:p>
      <w:pPr>
        <w:pStyle w:val="Normal"/>
      </w:pPr>
      <w:r>
        <w:t>The customs duty applied by the United States on auto parts imported from Mexico listed in the Appendix to this Annex that do not qualify as originating under Chapter 4 (Rules of Origin), shall not exceed the lesser of the United States’ MFN applied rate in effect on August 1, 2018 or the MFN applied rate in effect at the time of the importation of the good. 5. If the United States implements any measure that increases its MFN applied rate in effect on August 1, 2018 on passenger vehicles classified in subheadings 8703.21 through 8703.90, or on auto parts listed in the Appendix to this Annex, and in order to protect Mexico’s ability to export passenger vehicles and auto parts throughout the territories of the Parties at volumes that take into account Mexico’s existing manufacturing capacity, the following shall apply:</w:t>
      </w:r>
    </w:p>
    <w:p>
      <w:pPr>
        <w:pStyle w:val="Normal"/>
      </w:pPr>
      <w:r>
        <w:t>(a) The customs duty applied by the United States on a passenger vehicle classified in subheadings 8703.21 through 8703.90 imported from Mexico that does not qualify as originating under Chapter 4 (Rules of Origin) shall not exceed 2.5 percent, provided that the vehicle meets a regional value content requirement of at least 62.5 percent under the net cost method as set out under Article 4.5 (Regional Value Content).</w:t>
      </w:r>
    </w:p>
    <w:p>
      <w:pPr>
        <w:pStyle w:val="Normal"/>
      </w:pPr>
      <w:r>
        <w:t>In addition, averaging provisions under Article 10.4 of the Appendix to Annex 4-B (Regional Value Content for Other Vehicles) and other 2-C-1 provisions under Article 10.6 of the Appendix to Annex 4-B (Regional Value Content for Other Vehicles) apply. The United States may limit this treatment to 1,600,000 vehicles in any calendar year. (b) The customs duty applied by the United States on an auto part listed in the Appendix to this Annex imported from Mexico that do not qualify as originating under Chapter 4 (Rules of Origin) shall not exceed the United States’ MFN applied rate in effect on August 1, 2018, provided that the part meets a regional value content requirement of at least 50 percent under the net cost method, or 60 percent under the transaction value method, as set out under Article 4.5 (Regional Value Content) or any non-originating materials used in the production of the auto part are classified in a different heading than the auto part.</w:t>
      </w:r>
    </w:p>
    <w:p>
      <w:pPr>
        <w:pStyle w:val="Normal"/>
      </w:pPr>
      <w:r>
        <w:t>In addition, averaging provisions under Article 10.5 of the Appendix to Annex 4-B (Regional Value Content for Other Vehicles). The United States may limit this treatment to auto parts valued at 108 billion U.S. dollars in any calendar year. (c) Mexico shall monitor and allocate or otherwise administer quantities of passenger vehicles and auto parts eligible for this treatment under subparagraphs (a) and (b).</w:t>
      </w:r>
    </w:p>
    <w:p>
      <w:pPr>
        <w:pStyle w:val="Normal"/>
      </w:pPr>
      <w:r>
        <w:t xml:space="preserve">(d) The customs duty applied by the United States on passenger vehicles classified in subheadings 8703.21 through 8703.90 or auto parts listed in the Appendix to this Annex that do not qualify as originating under Chapter 4 (Rules of Origin) imported from Mexico in excess of the quantities set out in subparagraphs (a) and (b) shall be the United States’ MFN applied rate in effect at the time of importation of the good. (e) For greater certainty, goods described under subparagraphs (a) and (b) shall be subject to Chapter 5 (Origin Procedures). 2-C-2</w:t>
      </w:r>
    </w:p>
    <w:p>
      <w:pPr>
        <w:pStyle w:val="Heading2"/>
      </w:pPr>
      <w:bookmarkStart w:id="900060" w:name="_Toc300000059"/>
      <w:r>
        <w:t xml:space="preserve">APPENDIX AUTO PARTS</w:t>
      </w:r>
      <w:bookmarkEnd w:id="900060"/>
    </w:p>
    <w:p>
      <w:pPr>
        <w:pStyle w:val="Normal"/>
      </w:pPr>
      <w:r>
        <w:t xml:space="preserve">Note: For purposes of reference only, descriptions are provided next to the corresponding tariff provisions. Hydraulic Brake Fluid Anti-Freeze Stoppers, lids, caps and other closures Fittings for furniture, coachwork or the like General Use Plastic Articles Pipe, Not Reinforced/Comb. W/ Materials W/ Fittings Pipes, Vulc Rub, Reinforced/Combo With Metal,W/ Fitting Reinforced or otherwise combined only with textile materials: Without fittings Pipe of Vul Rub, Reinforced W/ Text Only Mat,W/Fittings Pipe, Reinforced/Comb W/Other Textile Mat,W/Fittings Endless Trans. Belts V-Belt/V-Ribbed/Circ 60-180Cm Endless Trans. Belts V-Belt, Circ 60-180Cm, Nesoi Endless Trans Belts V-Belt/V-Ribbed/Circ 180-240Cm Endless Trans.</w:t>
      </w:r>
    </w:p>
    <w:p>
      <w:pPr>
        <w:pStyle w:val="Normal"/>
      </w:pPr>
      <w:r>
        <w:t>Belts V-Belt, Circ 180-240Cm, Nesoi Transmission Belt/Belting, of Vulcanize Rub, Nesoi New Pneumatic Tires of Rubber, for Motor Cars New Pneumatic Tires of Rubber, for Buses or Trucks Retreaded Tires of Rubber, for Use on Motor Cars Retreaded Tires of Rubber, for Use on Trucks Retreaded Tires of Rubber, Nesoi Inner Tubes of Rubber for Mot Cars, Buses &amp; Trucks Articles Nesoi, Of Vulcanized Rubber Other Than Hard Rubber, Of Cell Rubber Gasket, Washers &amp; Other Seals, of Vulcanized Rub Articles of Soft Vulcanized Rubber Nesoi Other Containing asbestos Not containing asbestos: brake linings and pads Not containing asbestos: other Non-electrical articles of graphite or other carbon toughened Safety Glass of Size a Shape for Vehicles Etc Laminated Safety Glass for Vehicles, Aircraft Etc. Rear-View Mirrors for Vehicles Signalling glassware and optical elements of glass (other than those of heading 7015), not optically worked.</w:t>
      </w:r>
    </w:p>
    <w:p>
      <w:pPr>
        <w:pStyle w:val="Normal"/>
      </w:pPr>
      <w:r>
        <w:t>2-C-1-1 APPENDIX AUTO PARTS Continued Articulated link chain and parts thereof: roller chain Threaded articles: other screws and bolts, whether or not with their nuts or washers Lugnuts Leaf Springs and Leaves Therefor, of Iron or Steel Helical Springs of Iron or Steel Locks of a Kind Used On Motor Vehicles, Base Metal Hinges, and Parts Thereof, of Base Metal Other Base Metal Mountings, Fittings Etc for Motor Vehicles Automatic door closers Other Sign plates, name-plates, address-plates and similar plates, numbers, letters and other symbols, of base metal, excluding those of heading 9405.</w:t>
      </w:r>
    </w:p>
    <w:p>
      <w:pPr>
        <w:pStyle w:val="Normal"/>
      </w:pPr>
      <w:r>
        <w:t>Spark-Ignition Piston Engine for Vehicle Ex Railway Not Over 50 Cc Spark-Ignition Reciprocating Piston Engine Etc Nov 250Cc Spark-Ignition Reciprocating Piston Engine Etc &gt;250 Nov1000Cc Spark-Ignition Reciprocating Piston Engine Etc &gt; 1000 Cc Compression-Ignition Internal Combustion Piston Engine Etc Spark-Ignition Internal Combustion Piston Engine Parts Nesoi Spark-Ignition Reciprocating Internal Combustion Piston Engine Parts Fuel, Lub/Cooling Med Pumps for Internal Comb Piston Engine Hydraulic Fluid power Pumps Parts of hydraulic fluid power pumps Compressors Used In Refrigerating Equipment Fans, Nesoi (turbochargers and superchargers) Air/Gas Pumps, Compressors and Fans Etc, Nesoi Automotive Air Conditioners Parts, Nesoi, of Air Conditioning Machines Filtering or purifying machinery and apparatus for liquids: oil or petrol-filters for internal combustion engines Filtering or purifying</w:t>
      </w:r>
    </w:p>
    <w:p>
      <w:pPr>
        <w:pStyle w:val="Normal"/>
      </w:pPr>
      <w:r>
        <w:t>machinery and apparatus for gases: intake air filters for internal combustion engines Catalytic converters Parts: other Jacks; hoists of a kind used for raising vehicles: built-in jacking systems of a type used in garages 2-C-1-2 APPENDIX AUTO PARTS Continued Jacks; hoists of a kind used for raising vehicles: other jacks and hoists, hydraulic Jacks, Nesoi; Hoists for Raising Vehicles, Nesoi Lifting or Handling Machinery for Road Vehicles Parts for Pulley Tackle, Hoist Ex Skip, Winches, Etc Electronic brake systems incl. ABS and ESC systems Valves for Oleohydraulic or Pneumatic Transmissions Check Valves Taps Cocks Etc for Pipe Vat Inc Thermo Control Nesoi Ball Bearings Tapered Roll Bearings, Including Cone &amp; Roller Assemblies Spherical Roller Bearings Needle Roller Bearings Cylindrical Roller Bearing Nesoi Other Ball or Roll Bearings, Inc Comb Ball/Roll Bearings Balls, Needles and Rollers for Bearings Parts: other Transmission Shafts (Inc Cam-&amp; Crank-Shaft), Etc. Housed Bearings, Incorp Ball or Roller Bearings Bearing Housings; Plain Shaft Bearings Gears; Ball or Roller Screws; Gear Boxes, Etc Flywheels and Pulleys, Including Pulley Blocks Clutches and Shaft Couplings (Incl.</w:t>
      </w:r>
    </w:p>
    <w:p>
      <w:pPr>
        <w:pStyle w:val="Normal"/>
      </w:pPr>
      <w:r>
        <w:t>Universal Joints) Toothed Wheels, Chain Sprockets &amp; Other Trans Elem; Parts Gaskets and similar joints of metal sheeting combined with other material or of two or more layers of metal Mechanical seals Other Other Electric Motors of an Output Not Exceeding 37.5 W Universal Ac/Dc Motors of an Output &gt; 37.5 W Dc Motors &amp; Generators W Output N Over 750 W Dc Motors &amp; Generators W Output &gt; 750W; N Over 75 Kw Dc Motors &amp; Generators W Output &gt; 75Kw; N Over 375Kw Other AC motors, single-phase Other AC motors, multi-phase: of an output exceeding 750 W but not exceeding 75 kW Other AC motors, multi-phase: of an output exceeding 75 kW 2-C-1-3 APPENDIX AUTO PARTS Continued Parts suitable for use solely or principally with the machines of heading 8501 or 8502.</w:t>
      </w:r>
    </w:p>
    <w:p>
      <w:pPr>
        <w:pStyle w:val="Normal"/>
      </w:pPr>
      <w:r>
        <w:t>Electromagnetic couplings, clutches and brakes Other Electromagnets and permanent magnets, including parts Lead-Acid Batteries of a Kind Used for Stg Engines Lead-Acid Storage Batteries Nesoi Nickel-Cadmium Storage Batteries Nickel-Iron Storage Batteries Nickel-metal Hydride Batteries Lithium Ion Batteries Storage Batteries Nesoi Parts Elect Storage Batteries Including Separators Thereof Internal Combustion Engine Spark Plugs Internal Combustion Engine Magnetos, Magneto-Dynam Distributors; Ignition Coils Internal Combustion Engine Starter Motors Internal Combustion Engine Generators, Nesoi Elect Ignition/Start Equipment for Spark/Comp Engine; Generator Nesoi Parts Elect Ignition/Start Equip; Generators &amp; Cut-Outs Elect</w:t>
      </w:r>
    </w:p>
    <w:p>
      <w:pPr>
        <w:pStyle w:val="Normal"/>
      </w:pPr>
      <w:r>
        <w:t>Lighting/Visual Signaling Equipment Ex for Bicycles Electrical Sound Signaling Equipment for Motor Vehicles Windshield Wiper Defroster &amp; Demister for Cycle/Motor Vehicle Parts Elect Lighting/Signaling Equipment Windshield Wiper Defroster Etc Other electro-thermic appliances: other Telephone sets, including telephones for cellular networks or for other wireless networks: telephones for cellular networks or for other wireless networks Other apparatus for transmission or reception of voice, images or other data, including apparatus for communication in a wired or wireless network (such as a local or wide area network: base stations Other apparatus for transmission or reception of voice, images or other data, including apparatus for communication in a wired or wireless network (such as a local or wide area network: machines for the reception, conversion and transmission or regeneration of voice, images or other data, including switching and routing apparatus Audio-frequency electric amplifiers Sound Recording/Reproducing App Magnetic/Optical/Semiconductor Nesoi Other Transmission apparatus incorporating reception apparatus 2-C-1-4 APPENDIX AUTO PARTS Continued TV Cameras, Digital Cameras, Video Camera Recorders Radio navigational aid apparatus incl. GPS equip.</w:t>
      </w:r>
    </w:p>
    <w:p>
      <w:pPr>
        <w:pStyle w:val="Normal"/>
      </w:pPr>
      <w:r>
        <w:t>Radio remote control apparatus Radiobroadcast Receivers for Motor Vehicles W Rcos Radiobroadcast Receivers for Motor Vehicles Nesoi Monitors, Not Incorporating TV Reception Apparatus Antennas and Antenna Reflectors and Parts Thereof Parts for Radio Trans. Radar Radio Navigational Aid Electric Sound or Visual Signaling Apparatus Nesoi Fuses Relays for a Voltage Not Exceeding 60 V Elect Switches for Voltage Not Over 1000 V, Nesoi Elect Apparatus for Protect to Elect Circuit Nov 1000 V Nesoi Controls Etc W Elect Appr for Elect Cont Nov 1000 V Sealed Beam Electric Lamp Units Other electrical conductors, for a voltage not exceeding 1,000 V: other Tungsten Halogen Electric Filament Lamps Electrical Machines &amp; Apparatus Having Ind Functions Insulated Wiring Sets for Vehicles Ships Aircraft Other electric conductors:</w:t>
      </w:r>
    </w:p>
    <w:p>
      <w:pPr>
        <w:pStyle w:val="Normal"/>
      </w:pPr>
      <w:r>
        <w:t>Fitted with connectors Electrical Carbon or Graphite Brushes Chassis W Engine for Trac, Motor Vehicle for Pass/Good &amp; Special Purpose Bodies for Motor Cars/Vehicles for Transporting Persons Bodies for Road Tractors and Motor Vehicles (Pub Tran, Etc) Bumpers and Parts, for Motor Vehicles Safety Seat Belts for Motor Vehicles Parts &amp; Accessories of Bodies of Motor Vehicles, Nesoi Brakes and Servo-Breaks; Parts Thereof Gear Boxes for Motor Vehicles Drive Axles with Differential for Motor Vehicles Road Wheels &amp; Parts &amp; Accessories for Motor Vehicles Suspension Shock Absorbers for Motor Vehicles Radiators for Motor Vehicles Mufflers and Exhaust Pipes for Motor Vehicles</w:t>
      </w:r>
    </w:p>
    <w:p>
      <w:pPr>
        <w:pStyle w:val="Normal"/>
      </w:pPr>
      <w:r>
        <w:t>Clutches and Parts Thereof for Motor Vehicles Steering Wheels, Columns &amp; Boxes for Motor Vehicles Safety Airbags with Inflator System; Parts Thereof Parts and Accessories of Motor Vehicles, Nesoi 2-C-1-5 APPENDIX AUTO PARTS Continued Parts Trailers, Semi-Trailer &amp; Other Vehicle Not Mechanically Propelled Direction finding compasses Thermometers not combined with other instruments Instruments for Measuring Flow or Level of Liquids Instruments for Measuring Pressure of Liquids Gases Gas or smoke analysis apparatus: Electrical Microtomes; parts and accessories Revolution Counters, Production Counters, Etc Speedometers and Tachometers;</w:t>
      </w:r>
    </w:p>
    <w:p>
      <w:pPr>
        <w:pStyle w:val="Normal"/>
      </w:pPr>
      <w:r>
        <w:t xml:space="preserve">Stroboscopes Parts for Revolution Counters, Odometer, Etc Measuring or Checking Instruments Appliances Measuring &amp; Checking Instrument, Appliances &amp; Mach Nesoi Auto Regulating Ins &amp; Appr Ex Thermostat, Mnstat, Etc Parts &amp; Accessories of Automatic Regulating Instruments Other Instrument Panel Clocks &amp; Clock Similar, for Vehicle Seats of a Kind Used for Motor Vehicles Parts of Seats (Ex Medical, Barber, Dental Etc) Other lighters Parts 2-C-1-6</w:t>
      </w:r>
    </w:p>
    <w:p>
      <w:pPr>
        <w:pStyle w:val="Heading2"/>
      </w:pPr>
      <w:bookmarkStart w:id="900061" w:name="_Toc300000060"/>
      <w:r>
        <w:t xml:space="preserve">TARIFF SCHEDULE OF CANADA</w:t>
      </w:r>
      <w:bookmarkEnd w:id="900061"/>
    </w:p>
    <w:p>
      <w:pPr>
        <w:pStyle w:val="Normal"/>
      </w:pPr>
      <w:r>
        <w:t xml:space="preserve">Tariff Line Description Mexico Duty Rate United States Duty Rate 0101.21.00 Pure-bred breeding animals 0101.29.00 Other 0101.30.00 Asses 0101.90.00 Other 0102.21.00 Pure-bred breeding animals 0102.29.00 Other 0102.31.00 Pure-bred breeding animals 0102.39.00 Other 0102.90.00 Other 0103.10.00 Pure-bred breeding animals 0103.91.00 Weighing less than 50 kg 0103.92.00 Weighing 50 kg or</w:t>
      </w:r>
    </w:p>
    <w:p>
      <w:pPr>
        <w:pStyle w:val="Normal"/>
      </w:pPr>
      <w:r>
        <w:t>more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0104.10.00</w:t>
            </w:r>
          </w:p>
        </w:tc>
        <w:tc>
          <w:tcPr>
            <w:tcW w:w="4679" w:type="dxa"/>
            <w:tcMar>
              <w:top w:w="70" w:type="dxa"/>
              <w:start w:w="110" w:type="dxa"/>
              <w:bottom w:w="70" w:type="dxa"/>
              <w:end w:w="110" w:type="dxa"/>
            </w:tcMar>
            <w:vAlign w:val="center"/>
          </w:tcPr>
          <w:p>
            <w:pPr>
              <w:pStyle w:val="TableText"/>
              <w:jc w:val="left"/>
            </w:pPr>
            <w:r>
              <w:rPr>
                <w:lang w:val="en-US" w:eastAsia="en-US" w:bidi="ar-SA"/>
              </w:rPr>
              <w:t>Sheep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Goats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0105.11.10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Broilers for domestic production: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0105.11.22</w:t>
            </w:r>
          </w:p>
        </w:tc>
        <w:tc>
          <w:tcPr>
            <w:tcW w:w="4679" w:type="dxa"/>
            <w:tcMar>
              <w:top w:w="70" w:type="dxa"/>
              <w:start w:w="110" w:type="dxa"/>
              <w:bottom w:w="70" w:type="dxa"/>
              <w:end w:w="110" w:type="dxa"/>
            </w:tcMar>
            <w:vAlign w:val="center"/>
          </w:tcPr>
          <w:p>
            <w:pPr>
              <w:pStyle w:val="TableText"/>
              <w:jc w:val="left"/>
            </w:pPr>
            <w:r>
              <w:rPr>
                <w:lang w:val="en-US" w:eastAsia="en-US" w:bidi="ar-SA"/>
              </w:rPr>
              <w:t>Broilers for domestic production: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0105.12.10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0105.13.10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0105.14.10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0105.15.10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0105.15.90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0105.94.10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 Spent fowl; Started pullets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0105.94.91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0105.94.92</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0105.99.11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Turkeys: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0105.99.12</w:t>
            </w:r>
          </w:p>
        </w:tc>
        <w:tc>
          <w:tcPr>
            <w:tcW w:w="4679" w:type="dxa"/>
            <w:tcMar>
              <w:top w:w="70" w:type="dxa"/>
              <w:start w:w="110" w:type="dxa"/>
              <w:bottom w:w="70" w:type="dxa"/>
              <w:end w:w="110" w:type="dxa"/>
            </w:tcMar>
            <w:vAlign w:val="center"/>
          </w:tcPr>
          <w:p>
            <w:pPr>
              <w:pStyle w:val="TableText"/>
              <w:jc w:val="left"/>
            </w:pPr>
            <w:r>
              <w:rPr>
                <w:lang w:val="en-US" w:eastAsia="en-US" w:bidi="ar-SA"/>
              </w:rPr>
              <w:t>Turkeys: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0106.11.00</w:t>
            </w:r>
          </w:p>
        </w:tc>
        <w:tc>
          <w:tcPr>
            <w:tcW w:w="4679" w:type="dxa"/>
            <w:tcMar>
              <w:top w:w="70" w:type="dxa"/>
              <w:start w:w="110" w:type="dxa"/>
              <w:bottom w:w="70" w:type="dxa"/>
              <w:end w:w="110" w:type="dxa"/>
            </w:tcMar>
            <w:vAlign w:val="center"/>
          </w:tcPr>
          <w:p>
            <w:pPr>
              <w:pStyle w:val="TableText"/>
              <w:jc w:val="left"/>
            </w:pPr>
            <w:r>
              <w:rPr>
                <w:lang w:val="en-US" w:eastAsia="en-US" w:bidi="ar-SA"/>
              </w:rPr>
              <w:t>Primates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Whales, dolphins and porpoises (mammals of the order Cetecea); manatees and dugongs (mammals of the order Sirenia); seals, sea lions and walruses (mammals of the suborder Pinnipedia)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0106.13.00</w:t>
            </w:r>
          </w:p>
        </w:tc>
        <w:tc>
          <w:tcPr>
            <w:tcW w:w="4679" w:type="dxa"/>
            <w:tcMar>
              <w:top w:w="70" w:type="dxa"/>
              <w:start w:w="110" w:type="dxa"/>
              <w:bottom w:w="70" w:type="dxa"/>
              <w:end w:w="110" w:type="dxa"/>
            </w:tcMar>
            <w:vAlign w:val="center"/>
          </w:tcPr>
          <w:p>
            <w:pPr>
              <w:pStyle w:val="TableText"/>
              <w:jc w:val="left"/>
            </w:pPr>
            <w:r>
              <w:rPr>
                <w:lang w:val="en-US" w:eastAsia="en-US" w:bidi="ar-SA"/>
              </w:rPr>
              <w:t>Camels and other camelids (Camelidae)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Rabbits and hares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Reptiles (including snakes and turtles)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0106.31.00</w:t>
            </w:r>
          </w:p>
        </w:tc>
        <w:tc>
          <w:tcPr>
            <w:tcW w:w="4679" w:type="dxa"/>
            <w:tcMar>
              <w:top w:w="70" w:type="dxa"/>
              <w:start w:w="110" w:type="dxa"/>
              <w:bottom w:w="70" w:type="dxa"/>
              <w:end w:w="110" w:type="dxa"/>
            </w:tcMar>
            <w:vAlign w:val="center"/>
          </w:tcPr>
          <w:p>
            <w:pPr>
              <w:pStyle w:val="TableText"/>
              <w:jc w:val="left"/>
            </w:pPr>
            <w:r>
              <w:rPr>
                <w:lang w:val="en-US" w:eastAsia="en-US" w:bidi="ar-SA"/>
              </w:rPr>
              <w:t>Birds of prey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Psittaciformes (including parrots, parakeets, macaws and cockatoos)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0106.33.00</w:t>
            </w:r>
          </w:p>
        </w:tc>
        <w:tc>
          <w:tcPr>
            <w:tcW w:w="4679" w:type="dxa"/>
            <w:tcMar>
              <w:top w:w="70" w:type="dxa"/>
              <w:start w:w="110" w:type="dxa"/>
              <w:bottom w:w="70" w:type="dxa"/>
              <w:end w:w="110" w:type="dxa"/>
            </w:tcMar>
            <w:vAlign w:val="center"/>
          </w:tcPr>
          <w:p>
            <w:pPr>
              <w:pStyle w:val="TableText"/>
              <w:jc w:val="left"/>
            </w:pPr>
            <w:r>
              <w:rPr>
                <w:lang w:val="en-US" w:eastAsia="en-US" w:bidi="ar-SA"/>
              </w:rPr>
              <w:t>Ostriches; emus (Dromaius novaehollandiae)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0106.41.00</w:t>
            </w:r>
          </w:p>
        </w:tc>
        <w:tc>
          <w:tcPr>
            <w:tcW w:w="4679" w:type="dxa"/>
            <w:tcMar>
              <w:top w:w="70" w:type="dxa"/>
              <w:start w:w="110" w:type="dxa"/>
              <w:bottom w:w="70" w:type="dxa"/>
              <w:end w:w="110" w:type="dxa"/>
            </w:tcMar>
            <w:vAlign w:val="center"/>
          </w:tcPr>
          <w:p>
            <w:pPr>
              <w:pStyle w:val="TableText"/>
              <w:jc w:val="left"/>
            </w:pPr>
            <w:r>
              <w:rPr>
                <w:lang w:val="en-US" w:eastAsia="en-US" w:bidi="ar-SA"/>
              </w:rPr>
              <w:t>Bees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0201.10.10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0201.10.20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0201.20.10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0201.20.20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0201.30.10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0201.30.20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0202.10.10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0202.10.20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0202.20.10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0202.20.20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0202.30.10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0202.30.20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0203.11.00</w:t>
            </w:r>
          </w:p>
        </w:tc>
        <w:tc>
          <w:tcPr>
            <w:tcW w:w="4679" w:type="dxa"/>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0203.12.00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Hams, shoulders and cuts thereof, with bone in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0203.22.00</w:t>
            </w:r>
          </w:p>
        </w:tc>
        <w:tc>
          <w:tcPr>
            <w:tcW w:w="4679" w:type="dxa"/>
            <w:tcMar>
              <w:top w:w="70" w:type="dxa"/>
              <w:start w:w="110" w:type="dxa"/>
              <w:bottom w:w="70" w:type="dxa"/>
              <w:end w:w="110" w:type="dxa"/>
            </w:tcMar>
            <w:vAlign w:val="center"/>
          </w:tcPr>
          <w:p>
            <w:pPr>
              <w:pStyle w:val="TableText"/>
              <w:jc w:val="left"/>
            </w:pPr>
            <w:r>
              <w:rPr>
                <w:lang w:val="en-US" w:eastAsia="en-US" w:bidi="ar-SA"/>
              </w:rPr>
              <w:t>Hams, shoulders and cuts thereof, with bone 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0203.29.00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0204.10.00</w:t>
            </w:r>
          </w:p>
        </w:tc>
        <w:tc>
          <w:tcPr>
            <w:tcW w:w="4679" w:type="dxa"/>
            <w:tcMar>
              <w:top w:w="70" w:type="dxa"/>
              <w:start w:w="110" w:type="dxa"/>
              <w:bottom w:w="70" w:type="dxa"/>
              <w:end w:w="110" w:type="dxa"/>
            </w:tcMar>
            <w:vAlign w:val="center"/>
          </w:tcPr>
          <w:p>
            <w:pPr>
              <w:pStyle w:val="TableText"/>
              <w:jc w:val="left"/>
            </w:pPr>
            <w:r>
              <w:rPr>
                <w:lang w:val="en-US" w:eastAsia="en-US" w:bidi="ar-SA"/>
              </w:rPr>
              <w:t>Carcasses and half-carcasses of lamb,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0204.22.10</w:t>
            </w:r>
          </w:p>
        </w:tc>
        <w:tc>
          <w:tcPr>
            <w:tcW w:w="4679" w:type="dxa"/>
            <w:tcMar>
              <w:top w:w="70" w:type="dxa"/>
              <w:start w:w="110" w:type="dxa"/>
              <w:bottom w:w="70" w:type="dxa"/>
              <w:end w:w="110" w:type="dxa"/>
            </w:tcMar>
            <w:vAlign w:val="center"/>
          </w:tcPr>
          <w:p>
            <w:pPr>
              <w:pStyle w:val="TableText"/>
              <w:jc w:val="left"/>
            </w:pPr>
            <w:r>
              <w:rPr>
                <w:lang w:val="en-US" w:eastAsia="en-US" w:bidi="ar-SA"/>
              </w:rPr>
              <w:t>Of lamb</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0204.22.20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mutton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0204.23.00</w:t>
            </w:r>
          </w:p>
        </w:tc>
        <w:tc>
          <w:tcPr>
            <w:tcW w:w="4679" w:type="dxa"/>
            <w:tcMar>
              <w:top w:w="70" w:type="dxa"/>
              <w:start w:w="110" w:type="dxa"/>
              <w:bottom w:w="70" w:type="dxa"/>
              <w:end w:w="110" w:type="dxa"/>
            </w:tcMar>
            <w:vAlign w:val="center"/>
          </w:tcPr>
          <w:p>
            <w:pPr>
              <w:pStyle w:val="TableText"/>
              <w:jc w:val="left"/>
            </w:pPr>
            <w:r>
              <w:rPr>
                <w:lang w:val="en-US" w:eastAsia="en-US" w:bidi="ar-SA"/>
              </w:rPr>
              <w:t>Boneless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Carcasses and half-carcasses of lamb, 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0204.41.00</w:t>
            </w:r>
          </w:p>
        </w:tc>
        <w:tc>
          <w:tcPr>
            <w:tcW w:w="4679" w:type="dxa"/>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0204.42.10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lamb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0204.42.20</w:t>
            </w:r>
          </w:p>
        </w:tc>
        <w:tc>
          <w:tcPr>
            <w:tcW w:w="4679" w:type="dxa"/>
            <w:tcMar>
              <w:top w:w="70" w:type="dxa"/>
              <w:start w:w="110" w:type="dxa"/>
              <w:bottom w:w="70" w:type="dxa"/>
              <w:end w:w="110" w:type="dxa"/>
            </w:tcMar>
            <w:vAlign w:val="center"/>
          </w:tcPr>
          <w:p>
            <w:pPr>
              <w:pStyle w:val="TableText"/>
              <w:jc w:val="left"/>
            </w:pPr>
            <w:r>
              <w:rPr>
                <w:lang w:val="en-US" w:eastAsia="en-US" w:bidi="ar-SA"/>
              </w:rPr>
              <w:t>Of mutton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0204.43.10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lamb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0204.43.20</w:t>
            </w:r>
          </w:p>
        </w:tc>
        <w:tc>
          <w:tcPr>
            <w:tcW w:w="4679" w:type="dxa"/>
            <w:tcMar>
              <w:top w:w="70" w:type="dxa"/>
              <w:start w:w="110" w:type="dxa"/>
              <w:bottom w:w="70" w:type="dxa"/>
              <w:end w:w="110" w:type="dxa"/>
            </w:tcMar>
            <w:vAlign w:val="center"/>
          </w:tcPr>
          <w:p>
            <w:pPr>
              <w:pStyle w:val="TableText"/>
              <w:jc w:val="left"/>
            </w:pPr>
            <w:r>
              <w:rPr>
                <w:lang w:val="en-US" w:eastAsia="en-US" w:bidi="ar-SA"/>
              </w:rPr>
              <w:t>Of mutton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Meat of goats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0205.00.00</w:t>
            </w:r>
          </w:p>
        </w:tc>
        <w:tc>
          <w:tcPr>
            <w:tcW w:w="4679" w:type="dxa"/>
            <w:tcMar>
              <w:top w:w="70" w:type="dxa"/>
              <w:start w:w="110" w:type="dxa"/>
              <w:bottom w:w="70" w:type="dxa"/>
              <w:end w:w="110" w:type="dxa"/>
            </w:tcMar>
            <w:vAlign w:val="center"/>
          </w:tcPr>
          <w:p>
            <w:pPr>
              <w:pStyle w:val="TableText"/>
              <w:jc w:val="left"/>
            </w:pPr>
            <w:r>
              <w:rPr>
                <w:lang w:val="en-US" w:eastAsia="en-US" w:bidi="ar-SA"/>
              </w:rPr>
              <w:t>Meat of horses, asses, mules or hinnies, fresh, chilled or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0206.10.00</w:t>
            </w:r>
          </w:p>
        </w:tc>
        <w:tc>
          <w:tcPr>
            <w:tcW w:w="4679" w:type="dxa"/>
            <w:tcMar>
              <w:top w:w="70" w:type="dxa"/>
              <w:start w:w="110" w:type="dxa"/>
              <w:bottom w:w="70" w:type="dxa"/>
              <w:end w:w="110" w:type="dxa"/>
            </w:tcMar>
            <w:vAlign w:val="center"/>
          </w:tcPr>
          <w:p>
            <w:pPr>
              <w:pStyle w:val="TableText"/>
              <w:jc w:val="left"/>
            </w:pPr>
            <w:r>
              <w:rPr>
                <w:lang w:val="en-US" w:eastAsia="en-US" w:bidi="ar-SA"/>
              </w:rPr>
              <w:t>Of bovine animals,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Tongues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0206.22.00</w:t>
            </w:r>
          </w:p>
        </w:tc>
        <w:tc>
          <w:tcPr>
            <w:tcW w:w="4679" w:type="dxa"/>
            <w:tcMar>
              <w:top w:w="70" w:type="dxa"/>
              <w:start w:w="110" w:type="dxa"/>
              <w:bottom w:w="70" w:type="dxa"/>
              <w:end w:w="110" w:type="dxa"/>
            </w:tcMar>
            <w:vAlign w:val="center"/>
          </w:tcPr>
          <w:p>
            <w:pPr>
              <w:pStyle w:val="TableText"/>
              <w:jc w:val="left"/>
            </w:pPr>
            <w:r>
              <w:rPr>
                <w:lang w:val="en-US" w:eastAsia="en-US" w:bidi="ar-SA"/>
              </w:rPr>
              <w:t>Livers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0206.30.00</w:t>
            </w:r>
          </w:p>
        </w:tc>
        <w:tc>
          <w:tcPr>
            <w:tcW w:w="4679" w:type="dxa"/>
            <w:tcMar>
              <w:top w:w="70" w:type="dxa"/>
              <w:start w:w="110" w:type="dxa"/>
              <w:bottom w:w="70" w:type="dxa"/>
              <w:end w:w="110" w:type="dxa"/>
            </w:tcMar>
            <w:vAlign w:val="center"/>
          </w:tcPr>
          <w:p>
            <w:pPr>
              <w:pStyle w:val="TableText"/>
              <w:jc w:val="left"/>
            </w:pPr>
            <w:r>
              <w:rPr>
                <w:lang w:val="en-US" w:eastAsia="en-US" w:bidi="ar-SA"/>
              </w:rPr>
              <w:t>Of swine,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0206.90.00</w:t>
            </w:r>
          </w:p>
        </w:tc>
        <w:tc>
          <w:tcPr>
            <w:tcW w:w="4679" w:type="dxa"/>
            <w:tcMar>
              <w:top w:w="70" w:type="dxa"/>
              <w:start w:w="110" w:type="dxa"/>
              <w:bottom w:w="70" w:type="dxa"/>
              <w:end w:w="110" w:type="dxa"/>
            </w:tcMar>
            <w:vAlign w:val="center"/>
          </w:tcPr>
          <w:p>
            <w:pPr>
              <w:pStyle w:val="TableText"/>
              <w:jc w:val="left"/>
            </w:pPr>
            <w:r>
              <w:rPr>
                <w:lang w:val="en-US" w:eastAsia="en-US" w:bidi="ar-SA"/>
              </w:rPr>
              <w:t>Other,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0207.11.91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0207.11.92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0207.12.10</w:t>
            </w:r>
          </w:p>
        </w:tc>
        <w:tc>
          <w:tcPr>
            <w:tcW w:w="4679" w:type="dxa"/>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0207.12.91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0207.12.92</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0207.13.91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0207.13.92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0207.13.93</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0207.14.10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0207.14.21</w:t>
            </w:r>
          </w:p>
        </w:tc>
        <w:tc>
          <w:tcPr>
            <w:tcW w:w="4679" w:type="dxa"/>
            <w:tcMar>
              <w:top w:w="70" w:type="dxa"/>
              <w:start w:w="110" w:type="dxa"/>
              <w:bottom w:w="70" w:type="dxa"/>
              <w:end w:w="110" w:type="dxa"/>
            </w:tcMar>
            <w:vAlign w:val="center"/>
          </w:tcPr>
          <w:p>
            <w:pPr>
              <w:pStyle w:val="TableText"/>
              <w:jc w:val="left"/>
            </w:pPr>
            <w:r>
              <w:rPr>
                <w:lang w:val="en-US" w:eastAsia="en-US" w:bidi="ar-SA"/>
              </w:rPr>
              <w:t>Livers: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0207.14.22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0207.14.91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0207.14.92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0207.14.93</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0207.24.11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Canner pack: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0207.24.12</w:t>
            </w:r>
          </w:p>
        </w:tc>
        <w:tc>
          <w:tcPr>
            <w:tcW w:w="4679" w:type="dxa"/>
            <w:tcMar>
              <w:top w:w="70" w:type="dxa"/>
              <w:start w:w="110" w:type="dxa"/>
              <w:bottom w:w="70" w:type="dxa"/>
              <w:end w:w="110" w:type="dxa"/>
            </w:tcMar>
            <w:vAlign w:val="center"/>
          </w:tcPr>
          <w:p>
            <w:pPr>
              <w:pStyle w:val="TableText"/>
              <w:jc w:val="left"/>
            </w:pPr>
            <w:r>
              <w:rPr>
                <w:lang w:val="en-US" w:eastAsia="en-US" w:bidi="ar-SA"/>
              </w:rPr>
              <w:t>Canner pack: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0207.24.91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0207.24.92</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0207.25.11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Canner pack: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0207.25.12</w:t>
            </w:r>
          </w:p>
        </w:tc>
        <w:tc>
          <w:tcPr>
            <w:tcW w:w="4679" w:type="dxa"/>
            <w:tcMar>
              <w:top w:w="70" w:type="dxa"/>
              <w:start w:w="110" w:type="dxa"/>
              <w:bottom w:w="70" w:type="dxa"/>
              <w:end w:w="110" w:type="dxa"/>
            </w:tcMar>
            <w:vAlign w:val="center"/>
          </w:tcPr>
          <w:p>
            <w:pPr>
              <w:pStyle w:val="TableText"/>
              <w:jc w:val="left"/>
            </w:pPr>
            <w:r>
              <w:rPr>
                <w:lang w:val="en-US" w:eastAsia="en-US" w:bidi="ar-SA"/>
              </w:rPr>
              <w:t>Canner pack:</w:t>
            </w:r>
          </w:p>
        </w:tc>
      </w:tr>
    </w:tbl>
    <w:p>
      <w:pPr>
        <w:pStyle w:val="Normal"/>
      </w:pPr>
      <w:r>
        <w:t>Over access commitment *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0207.25.91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0207.25.92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0207.26.10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0207.26.20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0207.26.30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0207.27.11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0207.27.12</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Livers: Over access commitment *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0207.27.91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0207.27.92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0207.27.93</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cut in pieces, fresh or chilled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0207.42.00</w:t>
            </w:r>
          </w:p>
        </w:tc>
        <w:tc>
          <w:tcPr>
            <w:tcW w:w="4679" w:type="dxa"/>
            <w:tcMar>
              <w:top w:w="70" w:type="dxa"/>
              <w:start w:w="110" w:type="dxa"/>
              <w:bottom w:w="70" w:type="dxa"/>
              <w:end w:w="110" w:type="dxa"/>
            </w:tcMar>
            <w:vAlign w:val="center"/>
          </w:tcPr>
          <w:p>
            <w:pPr>
              <w:pStyle w:val="TableText"/>
              <w:jc w:val="left"/>
            </w:pPr>
            <w:r>
              <w:rPr>
                <w:lang w:val="en-US" w:eastAsia="en-US" w:bidi="ar-SA"/>
              </w:rPr>
              <w:t>Not cut in pieces,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Fatty livers,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0207.44.00</w:t>
            </w:r>
          </w:p>
        </w:tc>
        <w:tc>
          <w:tcPr>
            <w:tcW w:w="4679" w:type="dxa"/>
            <w:tcMar>
              <w:top w:w="70" w:type="dxa"/>
              <w:start w:w="110" w:type="dxa"/>
              <w:bottom w:w="70" w:type="dxa"/>
              <w:end w:w="110" w:type="dxa"/>
            </w:tcMar>
            <w:vAlign w:val="center"/>
          </w:tcPr>
          <w:p>
            <w:pPr>
              <w:pStyle w:val="TableText"/>
              <w:jc w:val="left"/>
            </w:pPr>
            <w:r>
              <w:rPr>
                <w:lang w:val="en-US" w:eastAsia="en-US" w:bidi="ar-SA"/>
              </w:rPr>
              <w:t>Other, fresh or chilled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0207.45.10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0207.45.90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cut in pieces, fresh or chilled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0207.52.00</w:t>
            </w:r>
          </w:p>
        </w:tc>
        <w:tc>
          <w:tcPr>
            <w:tcW w:w="4679" w:type="dxa"/>
            <w:tcMar>
              <w:top w:w="70" w:type="dxa"/>
              <w:start w:w="110" w:type="dxa"/>
              <w:bottom w:w="70" w:type="dxa"/>
              <w:end w:w="110" w:type="dxa"/>
            </w:tcMar>
            <w:vAlign w:val="center"/>
          </w:tcPr>
          <w:p>
            <w:pPr>
              <w:pStyle w:val="TableText"/>
              <w:jc w:val="left"/>
            </w:pPr>
            <w:r>
              <w:rPr>
                <w:lang w:val="en-US" w:eastAsia="en-US" w:bidi="ar-SA"/>
              </w:rPr>
              <w:t>Not cut in pieces,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0207.53.00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Fatty livers,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0207.54.00</w:t>
            </w:r>
          </w:p>
        </w:tc>
        <w:tc>
          <w:tcPr>
            <w:tcW w:w="4679" w:type="dxa"/>
            <w:tcMar>
              <w:top w:w="70" w:type="dxa"/>
              <w:start w:w="110" w:type="dxa"/>
              <w:bottom w:w="70" w:type="dxa"/>
              <w:end w:w="110" w:type="dxa"/>
            </w:tcMar>
            <w:vAlign w:val="center"/>
          </w:tcPr>
          <w:p>
            <w:pPr>
              <w:pStyle w:val="TableText"/>
              <w:jc w:val="left"/>
            </w:pPr>
            <w:r>
              <w:rPr>
                <w:lang w:val="en-US" w:eastAsia="en-US" w:bidi="ar-SA"/>
              </w:rPr>
              <w:t>Other, fresh or chilled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0207.55.10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0207.55.90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0207.60.11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Fresh or chilled: Not cut in pieces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0207.60.19</w:t>
            </w:r>
          </w:p>
        </w:tc>
        <w:tc>
          <w:tcPr>
            <w:tcW w:w="4679" w:type="dxa"/>
            <w:tcMar>
              <w:top w:w="70" w:type="dxa"/>
              <w:start w:w="110" w:type="dxa"/>
              <w:bottom w:w="70" w:type="dxa"/>
              <w:end w:w="110" w:type="dxa"/>
            </w:tcMar>
            <w:vAlign w:val="center"/>
          </w:tcPr>
          <w:p>
            <w:pPr>
              <w:pStyle w:val="TableText"/>
              <w:jc w:val="left"/>
            </w:pPr>
            <w:r>
              <w:rPr>
                <w:lang w:val="en-US" w:eastAsia="en-US" w:bidi="ar-SA"/>
              </w:rPr>
              <w:t>Fresh or chilled: 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0207.60.20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cut in pieces, 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0207.60.91</w:t>
            </w:r>
          </w:p>
        </w:tc>
        <w:tc>
          <w:tcPr>
            <w:tcW w:w="4679" w:type="dxa"/>
            <w:tcMar>
              <w:top w:w="70" w:type="dxa"/>
              <w:start w:w="110" w:type="dxa"/>
              <w:bottom w:w="70" w:type="dxa"/>
              <w:end w:w="110" w:type="dxa"/>
            </w:tcMar>
            <w:vAlign w:val="center"/>
          </w:tcPr>
          <w:p>
            <w:pPr>
              <w:pStyle w:val="TableText"/>
              <w:jc w:val="left"/>
            </w:pPr>
            <w:r>
              <w:rPr>
                <w:lang w:val="en-US" w:eastAsia="en-US" w:bidi="ar-SA"/>
              </w:rPr>
              <w:t>Other frozen: Livers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0207.60.99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frozen:</w:t>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0208.10.00</w:t>
            </w:r>
          </w:p>
        </w:tc>
        <w:tc>
          <w:tcPr>
            <w:tcW w:w="4679" w:type="dxa"/>
            <w:tcMar>
              <w:top w:w="70" w:type="dxa"/>
              <w:start w:w="110" w:type="dxa"/>
              <w:bottom w:w="70" w:type="dxa"/>
              <w:end w:w="110" w:type="dxa"/>
            </w:tcMar>
            <w:vAlign w:val="center"/>
          </w:tcPr>
          <w:p>
            <w:pPr>
              <w:pStyle w:val="TableText"/>
              <w:jc w:val="left"/>
            </w:pPr>
            <w:r>
              <w:rPr>
                <w:lang w:val="en-US" w:eastAsia="en-US" w:bidi="ar-SA"/>
              </w:rPr>
              <w:t>Of rabbits or hares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primates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0208.40.10</w:t>
            </w:r>
          </w:p>
        </w:tc>
        <w:tc>
          <w:tcPr>
            <w:tcW w:w="4679" w:type="dxa"/>
            <w:tcMar>
              <w:top w:w="70" w:type="dxa"/>
              <w:start w:w="110" w:type="dxa"/>
              <w:bottom w:w="70" w:type="dxa"/>
              <w:end w:w="110" w:type="dxa"/>
            </w:tcMar>
            <w:vAlign w:val="center"/>
          </w:tcPr>
          <w:p>
            <w:pPr>
              <w:pStyle w:val="TableText"/>
              <w:jc w:val="left"/>
            </w:pPr>
            <w:r>
              <w:rPr>
                <w:lang w:val="en-US" w:eastAsia="en-US" w:bidi="ar-SA"/>
              </w:rPr>
              <w:t>Of whales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0208.40.90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0208.50.00</w:t>
            </w:r>
          </w:p>
        </w:tc>
        <w:tc>
          <w:tcPr>
            <w:tcW w:w="4679" w:type="dxa"/>
            <w:tcMar>
              <w:top w:w="70" w:type="dxa"/>
              <w:start w:w="110" w:type="dxa"/>
              <w:bottom w:w="70" w:type="dxa"/>
              <w:end w:w="110" w:type="dxa"/>
            </w:tcMar>
            <w:vAlign w:val="center"/>
          </w:tcPr>
          <w:p>
            <w:pPr>
              <w:pStyle w:val="TableText"/>
              <w:jc w:val="left"/>
            </w:pPr>
            <w:r>
              <w:rPr>
                <w:lang w:val="en-US" w:eastAsia="en-US" w:bidi="ar-SA"/>
              </w:rPr>
              <w:t>Of reptiles (including snakes and turtles)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camels and other camelids (Camelidae)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pigs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0209.90.10</w:t>
            </w:r>
          </w:p>
        </w:tc>
        <w:tc>
          <w:tcPr>
            <w:tcW w:w="4679" w:type="dxa"/>
            <w:tcMar>
              <w:top w:w="70" w:type="dxa"/>
              <w:start w:w="110" w:type="dxa"/>
              <w:bottom w:w="70" w:type="dxa"/>
              <w:end w:w="110" w:type="dxa"/>
            </w:tcMar>
            <w:vAlign w:val="center"/>
          </w:tcPr>
          <w:p>
            <w:pPr>
              <w:pStyle w:val="TableText"/>
              <w:jc w:val="left"/>
            </w:pPr>
            <w:r>
              <w:rPr>
                <w:lang w:val="en-US" w:eastAsia="en-US" w:bidi="ar-SA"/>
              </w:rPr>
              <w:t>Fat of fowls of the species Gallus domesticus,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0209.90.20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 of fowls of the species Gallus domesticus,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0209.90.30</w:t>
            </w:r>
          </w:p>
        </w:tc>
        <w:tc>
          <w:tcPr>
            <w:tcW w:w="4679" w:type="dxa"/>
            <w:tcMar>
              <w:top w:w="70" w:type="dxa"/>
              <w:start w:w="110" w:type="dxa"/>
              <w:bottom w:w="70" w:type="dxa"/>
              <w:end w:w="110" w:type="dxa"/>
            </w:tcMar>
            <w:vAlign w:val="center"/>
          </w:tcPr>
          <w:p>
            <w:pPr>
              <w:pStyle w:val="TableText"/>
              <w:jc w:val="left"/>
            </w:pPr>
            <w:r>
              <w:rPr>
                <w:lang w:val="en-US" w:eastAsia="en-US" w:bidi="ar-SA"/>
              </w:rPr>
              <w:t>Fat of turkeys,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0209.90.40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 of turkeys,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0209.90.90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Hams, shoulders and cuts thereof, with bone in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0210.12.00</w:t>
            </w:r>
          </w:p>
        </w:tc>
        <w:tc>
          <w:tcPr>
            <w:tcW w:w="4679" w:type="dxa"/>
            <w:tcMar>
              <w:top w:w="70" w:type="dxa"/>
              <w:start w:w="110" w:type="dxa"/>
              <w:bottom w:w="70" w:type="dxa"/>
              <w:end w:w="110" w:type="dxa"/>
            </w:tcMar>
            <w:vAlign w:val="center"/>
          </w:tcPr>
          <w:p>
            <w:pPr>
              <w:pStyle w:val="TableText"/>
              <w:jc w:val="left"/>
            </w:pPr>
            <w:r>
              <w:rPr>
                <w:lang w:val="en-US" w:eastAsia="en-US" w:bidi="ar-SA"/>
              </w:rPr>
              <w:t>Bellies (streaky) and cuts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0210.19.00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0210.20.00</w:t>
            </w:r>
          </w:p>
        </w:tc>
        <w:tc>
          <w:tcPr>
            <w:tcW w:w="4679" w:type="dxa"/>
            <w:tcMar>
              <w:top w:w="70" w:type="dxa"/>
              <w:start w:w="110" w:type="dxa"/>
              <w:bottom w:w="70" w:type="dxa"/>
              <w:end w:w="110" w:type="dxa"/>
            </w:tcMar>
            <w:vAlign w:val="center"/>
          </w:tcPr>
          <w:p>
            <w:pPr>
              <w:pStyle w:val="TableText"/>
              <w:jc w:val="left"/>
            </w:pPr>
            <w:r>
              <w:rPr>
                <w:lang w:val="en-US" w:eastAsia="en-US" w:bidi="ar-SA"/>
              </w:rPr>
              <w:t>Meat of bovine animals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0210.91.00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primates</w:t>
            </w:r>
          </w:p>
        </w:tc>
      </w:tr>
    </w:tbl>
    <w:p>
      <w:pPr>
        <w:pStyle w:val="Normal"/>
      </w:pPr>
      <w:r>
        <w:t>0210.92.00 Of whales, dolphins and porpoises (mammals of the order Cetacea); of manatees and dugongs (mammals of the order Sirenia); of seals, sea lions and walruses (mammals of the suborder Pinnipedia) 0210.93.00 Of reptiles (including snakes and turtles) 0210.99.11 Meat of poultry: Of fowls of the species Gallus domesticus, within access commitment * * 0210.99.12 Meat of poultry: Of fowls of the species Gallus domesticus, over access commitment, bone in * * 0210.99.13 Meat of poultry: Of fowls of the species Gallus domesticus, over access commitment, boneless * * 0210.99.14 Meat of poultry: Of turkeys, within access commitment * 0210.99.15 Meat of poultry: Of turkeys, over access commitment, bone in * * 0210.99.16 Meat of poultry: Of turkeys, over access commitment, boneless * * 0210.99.19 Meat of poultry: Other * 0210.99.90 Other 0301.11.00 Freshwater 0301.19.00 Other 0301.91.00 Trout (Salmo trutta, Oncorhynchus mykiss, Oncorhynchus clarki, Oncorhynchus aguabonita, Oncorhynchus gilae, Oncorhynchus apache and Oncorhynchus chrysogaster) 0301.92.00 Eels (Anguilla spp.) 0301.93.00 Carp (Cyprinus spp., Carassius spp., Ctenopharyngodon idellus, Hypophthalmichthys spp., Cirrhinus spp., Mylopharyngodon piceus, Catla catla, Labeo spp., Osteochilus hasselti, Leptobarbus hoeveni, Megalobrama spp.)</w:t>
      </w:r>
    </w:p>
    <w:p>
      <w:pPr>
        <w:pStyle w:val="Normal"/>
      </w:pPr>
      <w:r>
        <w:t>0301.94.00 Atlantic and Pacific bluefin tunas (Thunnus thynnus, Thunnus orientalis) 0301.95.00 Southern bluefin tunas (Thunnus maccoyii) 0301.99.00 Other 0302.11.00 Trout (Salmo trutta, Oncorhynchus mykiss, Oncorhynchus clarki, Oncorhynchus aguabonita, Oncorhynchus gilae, Oncorhynchus apache and Oncorhynchus chrysogaster) 0302.13.00 Pacific salmon (Oncorhynchus nerka, Oncorhynchus gorbuscha, Oncorhynchus keta, Oncorhynchus tschawytscha, Oncorhynchus kisutch, Oncorhynchus masou and Oncorhynchus rhodurus) 0302.14.00 Atlantic salmon (Salmo salar) and Danube salmon (Hucho hucho) 0302.19.00 Other 0302.21.00 Halibut (Reinhardtius hippoglossoides, Hippoglossus hippoglossus, Hippoglossus stenolepis) 0302.22.00 Plaice (Pleuronectes platessa) 0302.23.00 Sole (Solea spp.) 0302.24.00 Turbots (Psetta maxima) 0302.29.00 Other 0302.31.00 Albacore or longfinned tunas (Thunnus alalunga) 0302.32.00 Yellowfin tunas (Thunnus albacares) 0302.33.00 Skipjack or stripe-bellied bonito 0302.34.00 Bigeye tunas (Thunnus obesus) 0302.35.00 Atlantic and Pacific bluefin tunas (Thunnus thynnus, Thunnus orientalis) 0302.36.00 Southern bluefin tunas (Thunnus maccoyii) 0302.39.00 Other 0302.41.00 Herrings (Clupea harengus, Clupea pallasii) 0302.42.00 Anchovies (Engraulis spp.) 0302.43.00 Sardines (Sardina pilchardus, Sardinops spp.), sardinella (Sardinella spp.),</w:t>
      </w:r>
    </w:p>
    <w:p>
      <w:pPr>
        <w:pStyle w:val="Normal"/>
      </w:pPr>
      <w:r>
        <w:t>brisling or sprats (Sprattus sprattus) 0302.44.00 Mackerel (Scomber scombrus, Scomber australasicus, Scomber japonicus) 0302.45.00 Jack and horse mackerel (Trachurus spp.) 0302.46.00 Cobia (Rachycentron canadum) 0302.47.00 Swordfish (Xiphias gladius) 0302.49.00 Other 0302.51.00 Cod (Gadus morhua, Gadus ogac, Gadus macrocephalus) 0302.52.00 Haddock (Melanogrammus aeglefinus) 0302.53.00 Coalfish (Pollachius virens) 0302.54.00 Hake (Merluccius spp., Urophycis spp.) 0302.55.00 Alaska Pollack (Theragra chalcogramma) 0302.56.00 Blue whitings (Micromesistius poutassou, Micromesistius australis) 0302.59.00 Other 0302.71.00 Tilapias (Oreochromis spp.) 0302.72.00 Catfish (Pangasius spp., Silurus spp., Clarias spp., Ictalurus spp.) 0302.73.00 Carp (Cyprinus spp., Carassius spp., Ctenopharyngodon idellus, Hypophthalmichthys spp., Cirrhinus spp., Mylopharyngodon piceus, Catla catla, Labeo spp., Osteochilus hasselti, Leptobarbus hoeveni, Megalobrama spp.) 0302.74.00 Eels (Anguilla spp.) 0302.79.00 Other 0302.81.00 Dogfish and other sharks 0302.82.00 Rays and skates (Rajidae) 0302.83.00 Toothfish (Dissostichus spp.) 0302.84.00 Seabass (Dicentrarchus spp.)</w:t>
      </w:r>
    </w:p>
    <w:p>
      <w:pPr>
        <w:pStyle w:val="Normal"/>
      </w:pPr>
      <w:r>
        <w:t>0302.85.00 Seabream (Sparidae) 0302.89.00 Other 0302.91.00 Livers, roes and milt 0302.92.00 Shark fins 0302.99.00 Other 0303.11.00 Sockeye salmon (red salmon) (Oncorhynchus nerka) 0303.12.00 Other Pacific salmon (Oncorhynchus gorbuscha, Oncorhynchus keta, Oncorhynchus tschawytscha, Oncorhynchus kisutch, Oncorhynchus masou and Oncorhynchus rhodurus) 0303.13.00 Atlantic salmon (Salmo salar) and Danube salmon (Hucho hucho) 0303.14.00 Trout (Salmo trutta, Oncorhynchus mykiss, Oncorhynchus clarki, Oncorhynchus aguabonita, Oncorhynchus gilae, Oncorhynchus apache and Oncorhynchus chrysogaster) 0303.19.00 Other 0303.23.00 Tilapias (Oreochromis spp.) 0303.24.00 Catfish (Pangasius spp., Silurus spp., Clarias spp., Ictalurus spp.) 0303.25.00 Carp (Cyprinus spp., Carassius spp., Ctenopharyngodon idellus, Hypophthalmichthys spp., Cirrhinus spp., Mylopharyngodon piceus, Catla catla, Labeo spp., Osteochilus hasselti, Leptobarbus hoeveni, Megalobrama spp.) 0303.26.00 Eels (Anguilla spp.) 0303.29.00 Other 0303.31.00 Halibut (Reinhardtius hippoglossoides, Hippoglossus hippoglossus, Hippoglossus stenolepis) 0303.32.00 Plaice (Pleuronectes platessa) 0303.33.00 Sole (Solea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0303.34.00</w:t>
            </w:r>
          </w:p>
        </w:tc>
        <w:tc>
          <w:tcPr>
            <w:tcW w:w="4679" w:type="dxa"/>
            <w:tcMar>
              <w:top w:w="70" w:type="dxa"/>
              <w:start w:w="110" w:type="dxa"/>
              <w:bottom w:w="70" w:type="dxa"/>
              <w:end w:w="110" w:type="dxa"/>
            </w:tcMar>
            <w:vAlign w:val="center"/>
          </w:tcPr>
          <w:p>
            <w:pPr>
              <w:pStyle w:val="TableText"/>
              <w:jc w:val="left"/>
            </w:pPr>
            <w:r>
              <w:rPr>
                <w:lang w:val="en-US" w:eastAsia="en-US" w:bidi="ar-SA"/>
              </w:rPr>
              <w:t>) Turbots (Psetta maxima)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0303.41.00</w:t>
            </w:r>
          </w:p>
        </w:tc>
        <w:tc>
          <w:tcPr>
            <w:tcW w:w="4679" w:type="dxa"/>
            <w:tcMar>
              <w:top w:w="70" w:type="dxa"/>
              <w:start w:w="110" w:type="dxa"/>
              <w:bottom w:w="70" w:type="dxa"/>
              <w:end w:w="110" w:type="dxa"/>
            </w:tcMar>
            <w:vAlign w:val="center"/>
          </w:tcPr>
          <w:p>
            <w:pPr>
              <w:pStyle w:val="TableText"/>
              <w:jc w:val="left"/>
            </w:pPr>
            <w:r>
              <w:rPr>
                <w:lang w:val="en-US" w:eastAsia="en-US" w:bidi="ar-SA"/>
              </w:rPr>
              <w:t>Albacore or longfinned tunas (Thunnus alalunga)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Yellowfin tunas (Thunnus albacares)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0303.43.00</w:t>
            </w:r>
          </w:p>
        </w:tc>
        <w:tc>
          <w:tcPr>
            <w:tcW w:w="4679" w:type="dxa"/>
            <w:tcMar>
              <w:top w:w="70" w:type="dxa"/>
              <w:start w:w="110" w:type="dxa"/>
              <w:bottom w:w="70" w:type="dxa"/>
              <w:end w:w="110" w:type="dxa"/>
            </w:tcMar>
            <w:vAlign w:val="center"/>
          </w:tcPr>
          <w:p>
            <w:pPr>
              <w:pStyle w:val="TableText"/>
              <w:jc w:val="left"/>
            </w:pPr>
            <w:r>
              <w:rPr>
                <w:lang w:val="en-US" w:eastAsia="en-US" w:bidi="ar-SA"/>
              </w:rPr>
              <w:t>Skipjack or stripe-bellied bonito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Bigeye tunas (Thunnus obesus)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0303.45.00</w:t>
            </w:r>
          </w:p>
        </w:tc>
        <w:tc>
          <w:tcPr>
            <w:tcW w:w="4679" w:type="dxa"/>
            <w:tcMar>
              <w:top w:w="70" w:type="dxa"/>
              <w:start w:w="110" w:type="dxa"/>
              <w:bottom w:w="70" w:type="dxa"/>
              <w:end w:w="110" w:type="dxa"/>
            </w:tcMar>
            <w:vAlign w:val="center"/>
          </w:tcPr>
          <w:p>
            <w:pPr>
              <w:pStyle w:val="TableText"/>
              <w:jc w:val="left"/>
            </w:pPr>
            <w:r>
              <w:rPr>
                <w:lang w:val="en-US" w:eastAsia="en-US" w:bidi="ar-SA"/>
              </w:rPr>
              <w:t>Atlantic and Pacific bluefin tunas (Thunnus thynnus, Thunnus orientalis)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0303.46.00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Southern bluefin tunas (Thunnus maccoyii)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Herrings (Clupea harengus, Clupea pallasii)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0303.53.00</w:t>
            </w:r>
          </w:p>
        </w:tc>
        <w:tc>
          <w:tcPr>
            <w:tcW w:w="4679" w:type="dxa"/>
            <w:tcMar>
              <w:top w:w="70" w:type="dxa"/>
              <w:start w:w="110" w:type="dxa"/>
              <w:bottom w:w="70" w:type="dxa"/>
              <w:end w:w="110" w:type="dxa"/>
            </w:tcMar>
            <w:vAlign w:val="center"/>
          </w:tcPr>
          <w:p>
            <w:pPr>
              <w:pStyle w:val="TableText"/>
              <w:jc w:val="left"/>
            </w:pPr>
            <w:r>
              <w:rPr>
                <w:lang w:val="en-US" w:eastAsia="en-US" w:bidi="ar-SA"/>
              </w:rPr>
              <w:t>Sardines (Sardina pilchardus, Sardinops spp.), sardinella (Sardinella spp.), brisling or sprats (Sprattus sprattus)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Mackerel (Scomber scombrus, Scomber australasicus, Scomber japonicus)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0303.55.00</w:t>
            </w:r>
          </w:p>
        </w:tc>
        <w:tc>
          <w:tcPr>
            <w:tcW w:w="4679" w:type="dxa"/>
            <w:tcMar>
              <w:top w:w="70" w:type="dxa"/>
              <w:start w:w="110" w:type="dxa"/>
              <w:bottom w:w="70" w:type="dxa"/>
              <w:end w:w="110" w:type="dxa"/>
            </w:tcMar>
            <w:vAlign w:val="center"/>
          </w:tcPr>
          <w:p>
            <w:pPr>
              <w:pStyle w:val="TableText"/>
              <w:jc w:val="left"/>
            </w:pPr>
            <w:r>
              <w:rPr>
                <w:lang w:val="en-US" w:eastAsia="en-US" w:bidi="ar-SA"/>
              </w:rPr>
              <w:t>Jack and horse mackerel (Trachurus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Cobia (Rachycentron canadum)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0303.57.00</w:t>
            </w:r>
          </w:p>
        </w:tc>
        <w:tc>
          <w:tcPr>
            <w:tcW w:w="4679" w:type="dxa"/>
            <w:tcMar>
              <w:top w:w="70" w:type="dxa"/>
              <w:start w:w="110" w:type="dxa"/>
              <w:bottom w:w="70" w:type="dxa"/>
              <w:end w:w="110" w:type="dxa"/>
            </w:tcMar>
            <w:vAlign w:val="center"/>
          </w:tcPr>
          <w:p>
            <w:pPr>
              <w:pStyle w:val="TableText"/>
              <w:jc w:val="left"/>
            </w:pPr>
            <w:r>
              <w:rPr>
                <w:lang w:val="en-US" w:eastAsia="en-US" w:bidi="ar-SA"/>
              </w:rPr>
              <w:t>Swordfish (Xiphias gladius)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0303.63.00</w:t>
            </w:r>
          </w:p>
        </w:tc>
        <w:tc>
          <w:tcPr>
            <w:tcW w:w="4679" w:type="dxa"/>
            <w:tcMar>
              <w:top w:w="70" w:type="dxa"/>
              <w:start w:w="110" w:type="dxa"/>
              <w:bottom w:w="70" w:type="dxa"/>
              <w:end w:w="110" w:type="dxa"/>
            </w:tcMar>
            <w:vAlign w:val="center"/>
          </w:tcPr>
          <w:p>
            <w:pPr>
              <w:pStyle w:val="TableText"/>
              <w:jc w:val="left"/>
            </w:pPr>
            <w:r>
              <w:rPr>
                <w:lang w:val="en-US" w:eastAsia="en-US" w:bidi="ar-SA"/>
              </w:rPr>
              <w:t>Cod (Gadus morhua, Gadus ogac, Gadus macrocephalus)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0303.64.00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Haddock (Melanogrammus aeglefinus)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0303.65.00</w:t>
            </w:r>
          </w:p>
        </w:tc>
        <w:tc>
          <w:tcPr>
            <w:tcW w:w="4679" w:type="dxa"/>
            <w:tcMar>
              <w:top w:w="70" w:type="dxa"/>
              <w:start w:w="110" w:type="dxa"/>
              <w:bottom w:w="70" w:type="dxa"/>
              <w:end w:w="110" w:type="dxa"/>
            </w:tcMar>
            <w:vAlign w:val="center"/>
          </w:tcPr>
          <w:p>
            <w:pPr>
              <w:pStyle w:val="TableText"/>
              <w:jc w:val="left"/>
            </w:pPr>
            <w:r>
              <w:rPr>
                <w:lang w:val="en-US" w:eastAsia="en-US" w:bidi="ar-SA"/>
              </w:rPr>
              <w:t>Coalfish (Pollachius virens)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0303.66.00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Hake (Merluccius spp., Urophycis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0303.67.00</w:t>
            </w:r>
          </w:p>
        </w:tc>
        <w:tc>
          <w:tcPr>
            <w:tcW w:w="4679" w:type="dxa"/>
            <w:tcMar>
              <w:top w:w="70" w:type="dxa"/>
              <w:start w:w="110" w:type="dxa"/>
              <w:bottom w:w="70" w:type="dxa"/>
              <w:end w:w="110" w:type="dxa"/>
            </w:tcMar>
            <w:vAlign w:val="center"/>
          </w:tcPr>
          <w:p>
            <w:pPr>
              <w:pStyle w:val="TableText"/>
              <w:jc w:val="left"/>
            </w:pPr>
            <w:r>
              <w:rPr>
                <w:lang w:val="en-US" w:eastAsia="en-US" w:bidi="ar-SA"/>
              </w:rPr>
              <w:t>Alaska Pollack (Theragra chalcogramma)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0303.68.00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Blue whitings (Micromesistius poutassou, Micromesistius australis)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0303.81.00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Dogfish and other sharks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0303.82.00</w:t>
            </w:r>
          </w:p>
        </w:tc>
        <w:tc>
          <w:tcPr>
            <w:tcW w:w="4679" w:type="dxa"/>
            <w:tcMar>
              <w:top w:w="70" w:type="dxa"/>
              <w:start w:w="110" w:type="dxa"/>
              <w:bottom w:w="70" w:type="dxa"/>
              <w:end w:w="110" w:type="dxa"/>
            </w:tcMar>
            <w:vAlign w:val="center"/>
          </w:tcPr>
          <w:p>
            <w:pPr>
              <w:pStyle w:val="TableText"/>
              <w:jc w:val="left"/>
            </w:pPr>
            <w:r>
              <w:rPr>
                <w:lang w:val="en-US" w:eastAsia="en-US" w:bidi="ar-SA"/>
              </w:rPr>
              <w:t>Rays and skates (Rajidae)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0303.83.00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Toothfish (Dissostichus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0303.84.00</w:t>
            </w:r>
          </w:p>
        </w:tc>
        <w:tc>
          <w:tcPr>
            <w:tcW w:w="4679" w:type="dxa"/>
            <w:tcMar>
              <w:top w:w="70" w:type="dxa"/>
              <w:start w:w="110" w:type="dxa"/>
              <w:bottom w:w="70" w:type="dxa"/>
              <w:end w:w="110" w:type="dxa"/>
            </w:tcMar>
            <w:vAlign w:val="center"/>
          </w:tcPr>
          <w:p>
            <w:pPr>
              <w:pStyle w:val="TableText"/>
              <w:jc w:val="left"/>
            </w:pPr>
            <w:r>
              <w:rPr>
                <w:lang w:val="en-US" w:eastAsia="en-US" w:bidi="ar-SA"/>
              </w:rPr>
              <w:t>Seabass (Dicentrarchus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0303.89.00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0303.91.00</w:t>
            </w:r>
          </w:p>
        </w:tc>
        <w:tc>
          <w:tcPr>
            <w:tcW w:w="4679" w:type="dxa"/>
            <w:tcMar>
              <w:top w:w="70" w:type="dxa"/>
              <w:start w:w="110" w:type="dxa"/>
              <w:bottom w:w="70" w:type="dxa"/>
              <w:end w:w="110" w:type="dxa"/>
            </w:tcMar>
            <w:vAlign w:val="center"/>
          </w:tcPr>
          <w:p>
            <w:pPr>
              <w:pStyle w:val="TableText"/>
              <w:jc w:val="left"/>
            </w:pPr>
            <w:r>
              <w:rPr>
                <w:lang w:val="en-US" w:eastAsia="en-US" w:bidi="ar-SA"/>
              </w:rPr>
              <w:t>Livers, roes and milt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Shark fins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0304.31.00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Tilapias (Oreochromis spp.</w:t>
            </w:r>
          </w:p>
        </w:tc>
      </w:tr>
    </w:tbl>
    <w:p>
      <w:pPr>
        <w:pStyle w:val="Normal"/>
      </w:pPr>
      <w:r>
        <w:t>0304.32.00 Catfish (Pangasius spp., Silurus spp., Clarias spp., Ictalurus spp.) 0304.33.00 Nile Perch (Lates niloticus) 0304.39.00 Other 0304.41.00 Pacific salmon (Oncorhynchus nerka, Oncorhynchus gorbuscha, Oncorhynchus keta, Oncorhynchus tschawytscha, Oncorhynchus kisutch, Oncorhynchus masou and Oncorhynchus rhodurus), Atlantic salmon (Salmo salar) and Danube salmon (Hucho hucho) 0304.42.00 Trout (Salmo trutta, Oncorhynchus mykiss, Oncorhynchus clarki, Oncorhynchus aguabonita, Oncorhynchus gilae, Oncorhynchus apache and Oncorhynchus chrysogaster) 0304.43.00 Flat fish (Pleuronectidae, Bothidae, Cynoglossidae, Soleidae, Scophthalmidae and Citharidae) 0304.44.00 Fish of the families Bregmacerotidae, Euclichthyidae, Gadidae, Macrouridae, Melanonidae, Merlucciidae, Moridae and Muraenolepididae 0304.45.00 Swordfish (Xiphias gladius) 0304.46.00 Toothfish (Dissostichus spp.) 0304.47.00 Dogfish and other sharks 0304.48.00 Rays and skates (Rajidae) 0304.49.00 Other 0304.51.00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w:t>
      </w:r>
    </w:p>
    <w:p>
      <w:pPr>
        <w:pStyle w:val="Normal"/>
      </w:pPr>
      <w:r>
        <w:t>0304.52.00 Salmonidae 0304.53.00 Fish of the families Bregmacerotidae, Euclichthyidae, Gadidae, Macrouridae, Melanonidae, Merlucciidae, Moridae and Muraenolepididae 0304.54.00 Swordfish (Xiphias gladius) 0304.55.00 Toothfish (Dissostichus spp.) 0304.56.00 Dogfish and other sharks 0304.57.00 Rays and skates (Rajidae) 0304.59.00 Other 0304.61.00 Tilapias (Oreochromis spp.) 0304.62.00 Catfish (Pangasius spp., Silurus spp., Clarias spp., Ictalurus spp.) 0304.63.00 Nile Perch (Lates niloticus) 0304.69.00 Other 0304.71.00 Cod (Gadus morhua, Gadus ogac, Gadus macrocephalus) 0304.72.00 Haddock (Melanogrammus aeglefinus) 0304.73.00 Coalfish (Pollachius virens) 0304.74.00 Hake (Merluccius spp., Urophycis spp.) 0304.75.00 Alaska Pollack (Theragra chalcogramma) 0304.79.00 Other 0304.81.00 Pacific salmon (Oncorhynchus nerka, Oncorhynchus gorbuscha, Oncorhynchus keta, Oncorhynchus tschawytscha, Oncorhynchus kisutch, Oncorhynchus masou and Oncorhynchus rhodurus), Atlantic salmon (Salmo salar) and Danube salmon (Hucho hucho) 0304.82.00 Trout (Salmo trutta, Oncorhynchus mykiss, Oncorhynchus clarki, Oncorhynchus aguabonita, Oncorhynchus gilae, Oncorhynchus apache and Oncorhynchus chrysogaster) 0304.83.00 Flat fish (Pleuronectidae, Bothidae, Cynoglossidae, Soleidae, Scophthalmidae and Citharidae) 0304.84.00 Swordfish (Xiphias gladius) 0304.85.00 Toothfish (Dissostichus spp.)</w:t>
      </w:r>
    </w:p>
    <w:p>
      <w:pPr>
        <w:pStyle w:val="Normal"/>
      </w:pPr>
      <w:r>
        <w:t>0304.86.00 Herrings (Clupea harengus, Clupea pallasii) 0304.87.00 Tunas (of the genus Thunnus), skipjack or stripe-bellied bonito (Euthynnus (Katsuwonus) pelamis) 0304.88.00 Dogfish, other sharks, rays and skates (Rajidae) 0304.89.00 Other 0304.91.00 Swordfish (Xiphias gladius) 0304.92.00 Toothfish (Dissostichus spp.) 0304.93.00 Tilapias (Oreochromis spp.), catfish (Pangasius spp., Silurus spp., Clarias spp., Ictalurus spp .), carp (Cyprinus spp., Carassius spp., Ctenopharyngodon idellus, Hypophthalmichthys spp., Cirrhinus spp., Mylopharyngodon piceus, Catla catla, Labeo spp., Osteochilus hasselti, Leptobarbus hoeveni, Megalobrama spp .), eels (Anguilla spp.), Nile perch (Lates niloticus) and snakeheads (Channa spp.) 0304.94.00 Alaska Pollack (Theragra chalcogramma) 0304.95.00 Fish of the families Bregmacerotidae, Euclichthyidae, Gadidae, Macrouridae, Melanonidae, Merlucciidae, Moridae and Muraenolepididae, other than Alaska Pollack (Theragra chalcogramma) 0304.96.00 Dogfish and other sharks 0304.97.00 Rays and skates (Rajidae) 0304.99.00 Other 0305.10.00 Flours, meals and pellets of fish, fit for human consumption 0305.20.00 Livers, roes and milt of fish, dried, smoked, salted or in brine 0305.31.00 Tilapias (Oreochromis spp.), catfish (Pangasius spp., Silurus spp., Clarias spp., Ictalurus spp.),</w:t>
      </w:r>
    </w:p>
    <w:p>
      <w:pPr>
        <w:pStyle w:val="Normal"/>
      </w:pPr>
      <w:r>
        <w:t>carp (Cyprinus spp., Carassius spp., Ctenopharyngodon idellus, Hypophthalmichthys spp., Cirrhinus spp., Mylopharyngodon piceus, Catla catla, Labeo spp., Osteochilus hasselti, Leptobarbus hoeveni, Megalobrama spp.), eels (Anguilla spp.), Nile perch (Lates niloticus) and snakeheads (Channa spp.) 0305.32.00 Fish of the families Bregmacerotidae, Euclichthyidae, Gadidae, Macrouridae, Melanonidae, Merlucciidae, Moridae and Muraenolepididae 0305.39.00 Other 0305.41.00 Pacific salmon (Oncorhynchus nerka, Oncorhynchus gorbuscha, Oncorhynchus keta, Oncorhynchus tschawytscha, Oncorhynchus kisutch, Oncorhynchus masou and Oncorhynchus rhodurus), Atlantic salmon (Salmo salar) and Danube salmon (Hucho hucho) 0305.42.00 Herrings (Clupea harengus, Clupea pallasii) 0305.43.00 Trout (Salmo trutta, Oncorhynchus mykiss, Oncorhynchus clarki, Oncorhynchus aguabonita, Oncorhynchus gilae, Oncorhynchus apache and Oncorhynchus chrysogaster) 0305.44.00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0305.49.00 Other 0305.51.00 Cod (Gadus morhua, Gadus ogac, Gadus macrocephalus) 0305.52.00 Tilapias (Oreochromis spp.),</w:t>
      </w:r>
    </w:p>
    <w:p>
      <w:pPr>
        <w:pStyle w:val="Normal"/>
      </w:pPr>
      <w:r>
        <w:t>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0305.53.00 Fish of the families Bregmacerotidae, Euclichthyidae, Gadidae, Macrouridae, Melanonidae, Merlucciidae, Moridae and Muraenolepididae, other than cod (Gadus morhua, Gadus ogac, Gadus macrocephalus) 0305.54.00 Herrings (Clupea harengus, Clupea pallasii), anchovies (Engraulis spp.), sardines (Sardina pilchardus, Sardinops spp.), sardinella (Sardinella spp.), brisling or sprats (Sprattus sprattus), mackerel (Scomber scombrus, Scomber australasicus, Scomber japonicus), Indian mackerels (Rastrelliger spp.), seerfishes (Scomberomorus spp.), jack and horse mackerel (Trachurus spp.), jacks, crevalles (Caranx spp.), cobia (Rachycentron canadum), silver pomfrets (Pampus spp.), Pacific saury (Cololabis saira), scads (Decapterus spp.), capelin (Mallotus villosus), swordfish (Xiphias gladius), Kawakawa (Euthynnus affinis), bonitos (Sarda spp.), marlins, sailfishes, spearfish (Istiophoridae) 0305.59.00 Other 0305.61.00 Herrings (Clupea harengus, Clupea pallasii) 0305.62.00 Cod (Gadus morhua, Gadus ogac, Gadus macrocephalus) 0305.63.00 Anchovies (Engraulis spp.)</w:t>
      </w:r>
    </w:p>
    <w:p>
      <w:pPr>
        <w:pStyle w:val="Normal"/>
      </w:pPr>
      <w:r>
        <w:t>0305.64.00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0305.69.00 Other 0305.71.00 Shark fins 0305.72.00 Fish heads, tails and maws 0305.79.00 Other 0306.11.00 Rock lobster and other sea crawfish (Palinurus spp., Panulirus spp., Jasus spp.) 0306.12.10 Smoked 0306.12.90 Other 0306.14.10 King or snow for processing 0306.14.90 Other 0306.15.00 Norway lobsters (Nephrops norvegicus) 0306.16.00 Cold-water shrimps and prawns (Pandalus spp., Crangon crangon) 0306.17.00 Other shrimps and prawns 0306.19.00 Other, including flours, meals and pellets of crustaceans, fit for human consumption 0306.31.00 Rock lobster and other sea crawfish (Palinurus spp., Panulirus spp., Jasus spp.) 0306.32.00 Lobsters (Homarus spp.) 0306.33.00 Crabs 0306.34.00 Norway lobsters (Nephrops norvegicus) 0306.35.00 Cold-water shrimps and prawns (Pandalus spp., Crangon crangon) 0306.36.00 Other shrimps and prawns 0306.39.00 Other, including flours, meals and pellets of crustaceans, fit for human consumption 0306.91.00 Rock lobster and other sea crawfish (Palinurus spp., Panulirus spp., Jasus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0306.92.10</w:t>
            </w:r>
          </w:p>
        </w:tc>
        <w:tc>
          <w:tcPr>
            <w:tcW w:w="4679" w:type="dxa"/>
            <w:tcMar>
              <w:top w:w="70" w:type="dxa"/>
              <w:start w:w="110" w:type="dxa"/>
              <w:bottom w:w="70" w:type="dxa"/>
              <w:end w:w="110" w:type="dxa"/>
            </w:tcMar>
            <w:vAlign w:val="center"/>
          </w:tcPr>
          <w:p>
            <w:pPr>
              <w:pStyle w:val="TableText"/>
              <w:jc w:val="left"/>
            </w:pPr>
            <w:r>
              <w:rPr>
                <w:lang w:val="en-US" w:eastAsia="en-US" w:bidi="ar-SA"/>
              </w:rPr>
              <w:t>) 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0306.92.90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0306.93.00</w:t>
            </w:r>
          </w:p>
        </w:tc>
        <w:tc>
          <w:tcPr>
            <w:tcW w:w="4679" w:type="dxa"/>
            <w:tcMar>
              <w:top w:w="70" w:type="dxa"/>
              <w:start w:w="110" w:type="dxa"/>
              <w:bottom w:w="70" w:type="dxa"/>
              <w:end w:w="110" w:type="dxa"/>
            </w:tcMar>
            <w:vAlign w:val="center"/>
          </w:tcPr>
          <w:p>
            <w:pPr>
              <w:pStyle w:val="TableText"/>
              <w:jc w:val="left"/>
            </w:pPr>
            <w:r>
              <w:rPr>
                <w:lang w:val="en-US" w:eastAsia="en-US" w:bidi="ar-SA"/>
              </w:rPr>
              <w:t>Crabs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0306.94.00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Norway lobsters (Nephrops norvegicus)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0306.95.00</w:t>
            </w:r>
          </w:p>
        </w:tc>
        <w:tc>
          <w:tcPr>
            <w:tcW w:w="4679" w:type="dxa"/>
            <w:tcMar>
              <w:top w:w="70" w:type="dxa"/>
              <w:start w:w="110" w:type="dxa"/>
              <w:bottom w:w="70" w:type="dxa"/>
              <w:end w:w="110" w:type="dxa"/>
            </w:tcMar>
            <w:vAlign w:val="center"/>
          </w:tcPr>
          <w:p>
            <w:pPr>
              <w:pStyle w:val="TableText"/>
              <w:jc w:val="left"/>
            </w:pPr>
            <w:r>
              <w:rPr>
                <w:lang w:val="en-US" w:eastAsia="en-US" w:bidi="ar-SA"/>
              </w:rPr>
              <w:t>Shrimps and prawns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including flours, meals and pellets of crustaceans, fit for human consumption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0307.11.10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0307.11.20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0307.12.10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0307.19.10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0307.21.00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0307.32.10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0307.39.10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0307.42.00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0307.52.00</w:t>
            </w:r>
          </w:p>
        </w:tc>
        <w:tc>
          <w:tcPr>
            <w:tcW w:w="4679" w:type="dxa"/>
            <w:tcMar>
              <w:top w:w="70" w:type="dxa"/>
              <w:start w:w="110" w:type="dxa"/>
              <w:bottom w:w="70" w:type="dxa"/>
              <w:end w:w="110" w:type="dxa"/>
            </w:tcMar>
            <w:vAlign w:val="center"/>
          </w:tcPr>
          <w:p>
            <w:pPr>
              <w:pStyle w:val="TableText"/>
              <w:jc w:val="left"/>
            </w:pPr>
            <w:r>
              <w:rPr>
                <w:lang w:val="en-US" w:eastAsia="en-US" w:bidi="ar-SA"/>
              </w:rPr>
              <w:t>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0307.60.10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0307.60.90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0307.71.00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0307.72.10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0307.72.90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0307.79.10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 abalone (Haliotis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0307.82.00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 stromboid conchs (Strombus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0307.83.10</w:t>
            </w:r>
          </w:p>
        </w:tc>
        <w:tc>
          <w:tcPr>
            <w:tcW w:w="4679" w:type="dxa"/>
            <w:tcMar>
              <w:top w:w="70" w:type="dxa"/>
              <w:start w:w="110" w:type="dxa"/>
              <w:bottom w:w="70" w:type="dxa"/>
              <w:end w:w="110" w:type="dxa"/>
            </w:tcMar>
            <w:vAlign w:val="center"/>
          </w:tcPr>
          <w:p>
            <w:pPr>
              <w:pStyle w:val="TableText"/>
              <w:jc w:val="left"/>
            </w:pPr>
            <w:r>
              <w:rPr>
                <w:lang w:val="en-US" w:eastAsia="en-US" w:bidi="ar-SA"/>
              </w:rPr>
              <w:t>) 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0307.84.10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0307.87.10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0307.87.90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0307.88.10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0307.88.90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0307.91.00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0307.92.10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0307.92.90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0308.12.10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0308.19.10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0308.21.00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0308.22.10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0308.22.90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0308.29.10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0308.29.90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0401.20.20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0401.40.10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0401.40.20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0401.50.10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0401.50.20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0402.21.11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Milk: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0402.21.12</w:t>
            </w:r>
          </w:p>
        </w:tc>
        <w:tc>
          <w:tcPr>
            <w:tcW w:w="4679" w:type="dxa"/>
            <w:tcMar>
              <w:top w:w="70" w:type="dxa"/>
              <w:start w:w="110" w:type="dxa"/>
              <w:bottom w:w="70" w:type="dxa"/>
              <w:end w:w="110" w:type="dxa"/>
            </w:tcMar>
            <w:vAlign w:val="center"/>
          </w:tcPr>
          <w:p>
            <w:pPr>
              <w:pStyle w:val="TableText"/>
              <w:jc w:val="left"/>
            </w:pPr>
            <w:r>
              <w:rPr>
                <w:lang w:val="en-US" w:eastAsia="en-US" w:bidi="ar-SA"/>
              </w:rPr>
              <w:t>Milk: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Cream: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0402.21.22</w:t>
            </w:r>
          </w:p>
        </w:tc>
        <w:tc>
          <w:tcPr>
            <w:tcW w:w="4679" w:type="dxa"/>
            <w:tcMar>
              <w:top w:w="70" w:type="dxa"/>
              <w:start w:w="110" w:type="dxa"/>
              <w:bottom w:w="70" w:type="dxa"/>
              <w:end w:w="110" w:type="dxa"/>
            </w:tcMar>
            <w:vAlign w:val="center"/>
          </w:tcPr>
          <w:p>
            <w:pPr>
              <w:pStyle w:val="TableText"/>
              <w:jc w:val="left"/>
            </w:pPr>
            <w:r>
              <w:rPr>
                <w:lang w:val="en-US" w:eastAsia="en-US" w:bidi="ar-SA"/>
              </w:rPr>
              <w:t>Cream: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Milk: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0402.29.12</w:t>
            </w:r>
          </w:p>
        </w:tc>
        <w:tc>
          <w:tcPr>
            <w:tcW w:w="4679" w:type="dxa"/>
            <w:tcMar>
              <w:top w:w="70" w:type="dxa"/>
              <w:start w:w="110" w:type="dxa"/>
              <w:bottom w:w="70" w:type="dxa"/>
              <w:end w:w="110" w:type="dxa"/>
            </w:tcMar>
            <w:vAlign w:val="center"/>
          </w:tcPr>
          <w:p>
            <w:pPr>
              <w:pStyle w:val="TableText"/>
              <w:jc w:val="left"/>
            </w:pPr>
            <w:r>
              <w:rPr>
                <w:lang w:val="en-US" w:eastAsia="en-US" w:bidi="ar-SA"/>
              </w:rPr>
              <w:t>Milk: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0402.29.21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Cream: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0402.29.22</w:t>
            </w:r>
          </w:p>
        </w:tc>
        <w:tc>
          <w:tcPr>
            <w:tcW w:w="4679" w:type="dxa"/>
            <w:tcMar>
              <w:top w:w="70" w:type="dxa"/>
              <w:start w:w="110" w:type="dxa"/>
              <w:bottom w:w="70" w:type="dxa"/>
              <w:end w:w="110" w:type="dxa"/>
            </w:tcMar>
            <w:vAlign w:val="center"/>
          </w:tcPr>
          <w:p>
            <w:pPr>
              <w:pStyle w:val="TableText"/>
              <w:jc w:val="left"/>
            </w:pPr>
            <w:r>
              <w:rPr>
                <w:lang w:val="en-US" w:eastAsia="en-US" w:bidi="ar-SA"/>
              </w:rPr>
              <w:t>Cream: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0402.91.20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0402.99.20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0403.10.20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w:t>
            </w:r>
          </w:p>
        </w:tc>
      </w:tr>
    </w:tbl>
    <w:p>
      <w:pPr>
        <w:pStyle w:val="Normal"/>
      </w:pPr>
      <w:r>
        <w:t>commitment *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0403.90.11</w:t>
            </w:r>
          </w:p>
        </w:tc>
        <w:tc>
          <w:tcPr>
            <w:tcW w:w="4679" w:type="dxa"/>
            <w:tcMar>
              <w:top w:w="70" w:type="dxa"/>
              <w:start w:w="110" w:type="dxa"/>
              <w:bottom w:w="70" w:type="dxa"/>
              <w:end w:w="110" w:type="dxa"/>
            </w:tcMar>
            <w:vAlign w:val="center"/>
          </w:tcPr>
          <w:p>
            <w:pPr>
              <w:pStyle w:val="TableText"/>
              <w:jc w:val="left"/>
            </w:pPr>
            <w:r>
              <w:rPr>
                <w:lang w:val="en-US" w:eastAsia="en-US" w:bidi="ar-SA"/>
              </w:rPr>
              <w:t>Powdered buttermilk: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0403.90.12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Powdered buttermilk: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0403.90.91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0403.90.92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0404.10.10</w:t>
            </w:r>
          </w:p>
        </w:tc>
        <w:tc>
          <w:tcPr>
            <w:tcW w:w="4679" w:type="dxa"/>
            <w:tcMar>
              <w:top w:w="70" w:type="dxa"/>
              <w:start w:w="110" w:type="dxa"/>
              <w:bottom w:w="70" w:type="dxa"/>
              <w:end w:w="110" w:type="dxa"/>
            </w:tcMar>
            <w:vAlign w:val="center"/>
          </w:tcPr>
          <w:p>
            <w:pPr>
              <w:pStyle w:val="TableText"/>
              <w:jc w:val="left"/>
            </w:pPr>
            <w:r>
              <w:rPr>
                <w:lang w:val="en-US" w:eastAsia="en-US" w:bidi="ar-SA"/>
              </w:rPr>
              <w:t>Whey protein concentrate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0404.10.21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Powdered whey: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0404.10.22</w:t>
            </w:r>
          </w:p>
        </w:tc>
        <w:tc>
          <w:tcPr>
            <w:tcW w:w="4679" w:type="dxa"/>
            <w:tcMar>
              <w:top w:w="70" w:type="dxa"/>
              <w:start w:w="110" w:type="dxa"/>
              <w:bottom w:w="70" w:type="dxa"/>
              <w:end w:w="110" w:type="dxa"/>
            </w:tcMar>
            <w:vAlign w:val="center"/>
          </w:tcPr>
          <w:p>
            <w:pPr>
              <w:pStyle w:val="TableText"/>
              <w:jc w:val="left"/>
            </w:pPr>
            <w:r>
              <w:rPr>
                <w:lang w:val="en-US" w:eastAsia="en-US" w:bidi="ar-SA"/>
              </w:rPr>
              <w:t>Powdered whey: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0404.10.90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0404.90.10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0404.90.20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0405.10.10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0405.10.20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0405.20.10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0405.20.20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0405.90.10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0405.90.20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0406.10.10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0406.20.11</w:t>
            </w:r>
          </w:p>
        </w:tc>
        <w:tc>
          <w:tcPr>
            <w:tcW w:w="4679" w:type="dxa"/>
            <w:tcMar>
              <w:top w:w="70" w:type="dxa"/>
              <w:start w:w="110" w:type="dxa"/>
              <w:bottom w:w="70" w:type="dxa"/>
              <w:end w:w="110" w:type="dxa"/>
            </w:tcMar>
            <w:vAlign w:val="center"/>
          </w:tcPr>
          <w:p>
            <w:pPr>
              <w:pStyle w:val="TableText"/>
              <w:jc w:val="left"/>
            </w:pPr>
            <w:r>
              <w:rPr>
                <w:lang w:val="en-US" w:eastAsia="en-US" w:bidi="ar-SA"/>
              </w:rPr>
              <w:t>Cheddar and Cheddar types: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0406.20.12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Cheddar and Cheddar types: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0406.20.91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0406.20.92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0406.30.10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0406.30.20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0406.40.10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0406.40.20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0406.90.11</w:t>
            </w:r>
          </w:p>
        </w:tc>
        <w:tc>
          <w:tcPr>
            <w:tcW w:w="4679" w:type="dxa"/>
            <w:tcMar>
              <w:top w:w="70" w:type="dxa"/>
              <w:start w:w="110" w:type="dxa"/>
              <w:bottom w:w="70" w:type="dxa"/>
              <w:end w:w="110" w:type="dxa"/>
            </w:tcMar>
            <w:vAlign w:val="center"/>
          </w:tcPr>
          <w:p>
            <w:pPr>
              <w:pStyle w:val="TableText"/>
              <w:jc w:val="left"/>
            </w:pPr>
            <w:r>
              <w:rPr>
                <w:lang w:val="en-US" w:eastAsia="en-US" w:bidi="ar-SA"/>
              </w:rPr>
              <w:t>Cheddar and Cheddar types:</w:t>
            </w:r>
          </w:p>
        </w:tc>
      </w:tr>
    </w:tbl>
    <w:p>
      <w:pPr>
        <w:pStyle w:val="Normal"/>
      </w:pPr>
      <w:r>
        <w:t>Within access commitment * * 0406.90.12 Cheddar and Cheddar types: Over access commitment * * 0406.90.21 Camembert and Camembert types: Within access commitment * * 0406.90.22 Camembert and Camembert types: Over access commitment * * 0406.90.31 Brie and Brie types: Within access commitment * *</w:t>
      </w:r>
    </w:p>
    <w:p>
      <w:pPr>
        <w:pStyle w:val="Normal"/>
      </w:pPr>
      <w:r>
        <w:t>0406.90.32 Brie and Brie types: Over access commitment * * 0406.90.41 Gouda and Gouda types: Within access commitment * * 0406.90.42 Gouda and Gouda types: Over access commitment * * 0406.90.51 Provolone and Provolone types: Within access commitment * * 0406.90.52 Provolone and Provolone types: Over access commitment * * 0406.90.61 Mozzarella and Mozzarella types: Within access commitment * * 0406.90.62 Mozzarella and Mozzarella types: Over access commitment * * 0406.90.71 Swiss/Emmental and Swiss/Emmental types: Within access commitment * * 0406.90.72 Swiss/Emmental and Swiss/Emmental types: Over access commitment * * 0406.90.81 Gruyère and Gruyère types: Within access commitment * * 0406.90.82 Gruyère and Gruyère types: Over access commitment * * 0406.90.91 Other: Havarti and Havarti types, within access commitment * * 0406.90.92 Other: Havarti and Havarti types, over access commitment * * 0406.90.93 Other: Parmesan and Parmesan types, within access commitment * * 0406.90.94 Other: Parmesan and Parmesan types, over access commitment * * 0406.90.95 Other: Romano and Romano types, within access commitment * * 0406.90.96 Other: Romano and Romano types, over access commitment * * 0406.90.98 Other:</w:t>
      </w:r>
    </w:p>
    <w:p>
      <w:pPr>
        <w:pStyle w:val="Normal"/>
      </w:pPr>
      <w:r>
        <w:t>Other, within access commitment * * 0406.90.99 Other: Other, over access commitment * * 0407.11.11 Hatching, for broilers: Within access commitment * 0407.11.12 Hatching, for broilers: Over access commitment * * 0407.11.91 Other: Within access commitment * * 0407.11.92 Other: Over</w:t>
      </w:r>
    </w:p>
    <w:p>
      <w:pPr>
        <w:pStyle w:val="Normal"/>
      </w:pPr>
      <w:r>
        <w:t>access commitment * * 0407.19.00 Other * 0407.21.10 Within access commitment * * 0407.21.20 Over access commitment * * 0407.29.00 Other * 0407.90.11 Of the fowls of the species Gallus domesticus: Within access commitment * * 0407.90.12 Of the fowls of the species Gallus domesticus: Over access commitment * * 0407.90.90 Other * 0408.11.10 Within access commitment * * 0408.11.20 Over access commitment * * 0408.19.10 Within access commitment * * 0408.19.20 Over access commitment * * 0408.91.10 Within access commitment * * 0408.91.20 Over access commitment * * 0408.99.10 Within access commitment * * 0408.99.20 Over access commitment * * 0409.00.00 Natural honey. 0410.00.00 Edible products of animal origin, not elsewhere specified or included. 0501.00.00 Human hair, unworked, whether or not washed or scoured; waste of human hair. 0502.10.00 Pigs’, hogs’ or boars’ bristles and hair and waste thereof 0502.90.00 Other 0504.00.00 Guts, bladders and stomachs of animals (other than fish), whole and pieces thereof, fresh, chilled, frozen, salted, in brine, dried or smoked.</w:t>
      </w:r>
    </w:p>
    <w:p>
      <w:pPr>
        <w:pStyle w:val="Normal"/>
      </w:pPr>
      <w:r>
        <w:t>0505.10.00 Feathers of a kind used for stuffing; down 0505.90.00 Other 0506.10.00 Ossein and bones treated with acid 0506.90.00 Other 0507.10.00 Ivory; ivory powder and waste 0507.90.00 Other 0508.00.00 Coral and similar materials, unworked or simply prepared but not otherwise worked; shells of molluscs, crustaceans or echinoderms and cuttle-bone, unworked or simply prepared but not cut to shape, powder and waste thereof. 0510.00.00 Ambergris, castoreum, civet and musk; cantharides; bile, whether or not dried; glands and other animal products used in the preparation of pharmaceutical products, fresh, chilled, frozen or otherwise provisionally preserved. 0511.10.00 Bovine semen 0511.91.00 Products of fish or crustaceans, molluscs or other aquatic invertebrates; dead animals of Chapter 3 0511.99.10 Horsehair and horsehair waste, whether or not put up as a layer with or without supporting material 0511.99.90 Other 0601.10.11 Bulbs: Of the genus narcissus, other than for use by florists or nurserymen for forcing purposes or for growing on prior to disposal 0601.10.19 Bulbs: Other 0601.10.21 Tubers, tuberous roots, corms, crowns and rhizomes: Crowns of rhubarb or asparagus; Tuberous roots of cannas, dahlias and paeonias;</w:t>
      </w:r>
    </w:p>
    <w:p>
      <w:pPr>
        <w:pStyle w:val="Normal"/>
      </w:pPr>
      <w:r>
        <w:t>Tubers, other tuberous roots, corms, other crowns and rhizomes, for use by florists or nurserymen for forcing purposes or for growing on prior to disposal 0601.10.29 Tubers, tuberous roots, corms, crowns and rhizomes: Other 0601.20.10 Chicory plants and roots;</w:t>
      </w:r>
    </w:p>
    <w:p>
      <w:pPr>
        <w:pStyle w:val="Normal"/>
      </w:pPr>
      <w:r>
        <w:t>For use by florists or nurserymen for forcing purposes or for growing on prior to disposal; Tuberous roots of cannas, dahlias and paeonias 0601.20.90 Other 0602.10.00 Unrooted cuttings and slips 0602.20.00 Trees, shrubs and bushes, grafted or not, of kinds which bear edible fruit or nuts 0602.30.00 Rhododendrons and azaleas, grafted or not 0602.40.10 Multiflora rosebushes 0602.40.90 Other 0602.90.10 Mushroom spawn; Palms, ferns (other than tuberous rooted ferns), rubber plants (ficus), lilacs, araucarias, laurels, cacti, trees, teasels, sweet potato plants, cabbage seedlings, cauliflower seedlings, onion seedlings and strawberry plants; For producing cuttings, buds, scions, seeds or similar goods or for having grafting, layering or other operations performed on them; For producing vegetables; For propagation purposes or for use by florists or nurserymen for forcing purposes or for growing on prior to disposal 0602.90.90 Other 0603.11.00 Roses 0603.12.00 Carnations 0603.13.10 Cymbidium 0603.13.90 Other 0603.14.00 Chrysanthemums 0603.15.00 Lilies (Lilium spp.)</w:t>
      </w:r>
    </w:p>
    <w:p>
      <w:pPr>
        <w:pStyle w:val="Normal"/>
      </w:pPr>
      <w:r>
        <w:t>0603.19.00 Other 0603.90.10 Gypsophila, dyed, bleached or impregnated 0603.90.20 Other gypsophila 0603.90.90 Other 0604.20.10 Christmas trees; Foliage of Asparagus setaceus; Grasses and palm leaves; Mosses and lichens 0604.20.90 Other 0604.90.10 Grasses and palm leaves; Mosses and lichens 0604.90.90 Other 0701.10.00 Seed 0701.90.00 Other 0702.00.10 For processing 0702.00.21 Other than for processing: Cherry tomatoes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0702.00.29 Other than for processing: Other cherry tomatoes 0702.00.91 Other: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0702.00.99 Other: Other 0703.10.10 Onion sets 0703.10.20 Onions, Spanish-type, for processing 0703.10.31 Onions or shallots, green:</w:t>
      </w:r>
    </w:p>
    <w:p>
      <w:pPr>
        <w:pStyle w:val="Normal"/>
      </w:pPr>
      <w:r>
        <w:t>Imported during such period, which may be divided into two separate periods, specified by order of the Minister of Public Safety and Emergency Preparedness or the President of the Canada Border Services Agency, not exceeding a total of 22 weeks in any 12 month period ending 31st March</w:t>
      </w:r>
    </w:p>
    <w:p>
      <w:pPr>
        <w:pStyle w:val="Normal"/>
      </w:pPr>
      <w:r>
        <w:t>0703.10.39 Onions or shallots, green: Other 0703.10.41 Dry shallots: Imported during such period, which may be divided into two separate periods, specified by order of the Minister of Public Safety and Emergency Preparedness or the President of the Canada Border Services Agency, not exceeding a total of 46 weeks in any 12 month period ending 31st March 0703.10.49 Dry shallots: Other 0703.10.91 Other: Imported during such period, which may be divided into two separate periods, specified by order of the Minister of Public Safety and Emergency Preparedness or the President of the Canada Border Services Agency, not exceeding a total of 46 weeks in any 12 month period ending 31st March 0703.10.99 Other: Other 0703.20.00 Garlic 0703.90.00 Leeks and other alliaceous vegetables 0704.10.11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w:t>
      </w:r>
    </w:p>
    <w:p>
      <w:pPr>
        <w:pStyle w:val="Normal"/>
      </w:pPr>
      <w:r>
        <w:t>In packages of a weight not exceeding 2.27 kg each 0704.10.12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 In bulk or in packages of a weight exceeding 2.27 kg each 0704.10.90</w:t>
      </w:r>
    </w:p>
    <w:p>
      <w:pPr>
        <w:pStyle w:val="Normal"/>
      </w:pPr>
      <w:r>
        <w:t>Other 0704.20.11 Imported during such period specified by order of the Minister of Public Safety and Emergency Preparedness or the President of the Canada Border Services Agency, not exceeding 20 weeks in any 12 month period ending 31st March: In packages of a weight not exceeding 2.27 kg each 0704.20.12 Imported during such period specified by order of the Minister of Public Safety and Emergency Preparedness or the President of the Canada Border Services Agency, not exceeding 20 weeks in any 12 month period ending 31st March: In bulk or in packages of a weight exceeding 2.27 kg each 0704.20.90 Other 0704.90.10 Broccoli for processing 0704.90.21 Other broccoli: Imported during such period specified by order of the Minister of Public Safety and Emergency Preparedness or the President of the Canada Border Services Agency, not exceeding 16 weeks in any 12 month period ending 31st March 0704.90.29 Other broccoli: Other 0704.90.31 Cabbage (Brassica oleracea, capitata):</w:t>
      </w:r>
    </w:p>
    <w:p>
      <w:pPr>
        <w:pStyle w:val="Normal"/>
      </w:pPr>
      <w:r>
        <w:t>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0704.90.39 Cabbage (Brassica oleracea, capitata): Other 0704.90.41 Cabbage, Chinese or Chinese lettuce (Brassica rapa, chenensis, and Brassica rapa, pekinensis): Imported during such period specified by order of the Minister of</w:t>
      </w:r>
    </w:p>
    <w:p>
      <w:pPr>
        <w:pStyle w:val="Normal"/>
      </w:pPr>
      <w:r>
        <w:t>Public Safety and Emergency Preparedness or the President of the Canada Border Services Agency, not exceeding 30 weeks in any 12 month period ending 31st March 0704.90.49 Cabbage, Chinese or Chinese lettuce (Brassica rapa, chenensis, and Brassica rapa, pekinensis): Other 0704.90.90 Other 0705.11.11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0705.11.12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w:t>
      </w:r>
    </w:p>
    <w:p>
      <w:pPr>
        <w:pStyle w:val="Normal"/>
      </w:pPr>
      <w:r>
        <w:t>In bulk or in packages of a weight exceeding 2.27 kg each 0705.11.90 Other 0705.19.11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0705.19.12 Imported during such period, which may be divided into two separate periods, specified by order of the Minister of Public</w:t>
      </w:r>
    </w:p>
    <w:p>
      <w:pPr>
        <w:pStyle w:val="Normal"/>
      </w:pPr>
      <w:r>
        <w:t>Safety and Emergency Preparedness or the President of the Canada Border Services Agency, not exceeding a total of 16 weeks in any 12 month period ending 31st March: In bulk or in packages of a weight exceeding 2.27 kg each 0705.19.90 Other 0705.21.00 Witloof chicory (Cichorium intybus var. foliosum) 0705.29.00 Other 0706.10.11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packages of a weight not exceeding 2.27 kg each 0706.10.12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w:t>
      </w:r>
    </w:p>
    <w:p>
      <w:pPr>
        <w:pStyle w:val="Normal"/>
      </w:pPr>
      <w:r>
        <w:t>In bulk or in packages of a weight exceeding 2.27 kg each 0706.10.20 Other baby carrots of a length not exceeding 11 cm 0706.10.31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w:t>
      </w:r>
    </w:p>
    <w:p>
      <w:pPr>
        <w:pStyle w:val="Normal"/>
      </w:pPr>
      <w:r>
        <w:t>weeks in any 12 month period ending 31st March: In packages of a weight not exceeding 2.27 kg each 0706.10.32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bulk or in packages of a weight exceeding 2.27 kg each 0706.10.40 Other carrots 0706.10.50 Turnips 0706.90.10 Beets, for processing 0706.90.21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w:t>
      </w:r>
    </w:p>
    <w:p>
      <w:pPr>
        <w:pStyle w:val="Normal"/>
      </w:pPr>
      <w:r>
        <w:t>In packages of a weight not exceeding 2.27 kg each 0706.90.22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In bulk or in packages of a weight exceeding 2.27 kg each 0706.90.30 Other beets 0706.90.40 Salsify and celeriac 0706.90.51 Radishes: Imported during such period specified by order of the Minister of Public Safety and Emergency</w:t>
      </w:r>
    </w:p>
    <w:p>
      <w:pPr>
        <w:pStyle w:val="Normal"/>
      </w:pPr>
      <w:r>
        <w:t>Preparedness or the President of the Canada Border Services Agency, not exceeding 26 weeks in any 12 month period ending 31st March 0706.90.59 Radishes: Other 0706.90.90 Other 0707.00.10 For processing 0707.00.91 Other: Imported during such period, which may be divided into two separate periods, specified by order of the Minister of Public Safety and Emergency Preparedness or the President of the Canada Border Services Agency, not exceeding a total of 30 weeks in any 12 month period ending 31st March 0707.00.99 Other: Other 0708.10.10 For processing 0708.10.91 Other: Imported during such period specified by order of the Minister of Public Safety and Emergency Preparedness or the President of the Canada Border Services Agency, not exceeding 12 weeks in any 12 month period ending 31st March 0708.10.99 Other:</w:t>
      </w:r>
    </w:p>
    <w:p>
      <w:pPr>
        <w:pStyle w:val="Normal"/>
      </w:pPr>
      <w:r>
        <w:t>Other 0708.20.10 Snap beans for processing 0708.20.21 Other snap beans, imported during such period, which may be divided into two separate periods, specified by order of the Minister of Public Safety and Emergency Preparedness or the President of the Canada Border Services Agency, not exceeding a total of 14 weeks in any 12 month period ending 31st March: In packages of a weight not exceeding 2.27 kg each 0708.20.22 Other snap beans, imported during such period, which may be divided into two separate periods, specified by order of the Minister of Public Safety and Emergency Preparedness or the President of the Canada Border Services Agency, not exceeding a total of 14</w:t>
      </w:r>
    </w:p>
    <w:p>
      <w:pPr>
        <w:pStyle w:val="Normal"/>
      </w:pPr>
      <w:r>
        <w:t>weeks in any 12 month period ending 31st March: In bulk or in packages of a weight exceeding 2.27 kg each 0708.20.30 Other snap beans 0708.20.90 Other 0708.90.00 Other leguminous vegetables 0709.20.10 For processing 0709.20.91 Other: Imported during such period specified by order of the Minister of Public Safety and Emergency Preparedness or the President of the Canada Border Services Agency, not exceeding 8 weeks in any 12 month period ending 31st March 0709.20.99 Other: Other 0709.30.00 Aubergines (egg-plants) 0709.40.11 Imported during such period specified by order of the Minister of Public Safety and Emergency Preparedness or the President of the Canada Border Services Agency, not exceeding 18 weeks in any 12 month period ending 31st March: In packages of a weight not exceeding 2.27 kg each 0709.40.12 Imported during such period specified by order of the Minister of Public Safety and Emergency Preparedness or the President of the Canada Border Services Agency, not exceeding 18 weeks in any 12 month period ending 31st March:</w:t>
      </w:r>
    </w:p>
    <w:p>
      <w:pPr>
        <w:pStyle w:val="Normal"/>
      </w:pPr>
      <w:r>
        <w:t>In bulk or in packages of a weight exceeding 2.27 kg each 0709.40.90 Other 0709.51.10 For processing 0709.51.90 Other 0709.59.10 Mushrooms, for processing 0709.59.20 Truffles 0709.59.90 Other 0709.60.10 Imported during such period specified by order of the Minister of Public Safety and Emergency Preparedness or the President of the Canada Border Services Agency, not exceeding 12 weeks in any 12 month period ending 31st March 0709.60.90 Other</w:t>
      </w:r>
    </w:p>
    <w:p>
      <w:pPr>
        <w:pStyle w:val="Normal"/>
      </w:pPr>
      <w:r>
        <w:t>0709.70.00 Spinach, New Zealand spinach and orache spinach (garden spinach) 0709.91.00 Globe artichokes 0709.92.00 Olives 0709.93.00 Pumpkins, squash and gourds (Cucurbita spp.) 0709.99.11 Parsley: Imported during such period specified by order of the Minister of Public Safety and Emergency Preparedness or the President of the Canada Border Services Agency, not exceeding 16 weeks in any 12 month period ending 31st March 0709.99.19 Parsley: Other 0709.99.21 Rhubarb: Imported during such period specified by order of the Minister of Public Safety and Emergency Preparedness or the President of the Canada Border Services Agency, not exceeding 12 weeks in any 12 month period ending 31st March 0709.99.29 Rhubarb: Other 0709.99.31 Sweet corn-on-the-cob, imported during such period specified by order of the Minister of Public Safety and Emergency Preparedness or the President of the Canada Border Services Agency, not exceeding 12 weeks in any 12 month period ending 31st March:</w:t>
      </w:r>
    </w:p>
    <w:p>
      <w:pPr>
        <w:pStyle w:val="Normal"/>
      </w:pPr>
      <w:r>
        <w:t>In packages of a weight not exceeding 2.27 kg each 0709.99.32 Sweet corn-on-the-cob, imported during such period specified by order of the Minister of Public Safety and Emergency Preparedness or the President of the Canada Border Services Agency, not exceeding 12 weeks in any 12 month period ending 31st March: In bulk or in packages of a weight exceeding 2.27 kg each 0709.99.40 Other sweet corn-on-the-cob 0709.99.90 Other 0710.10.00 Potatoes 0710.21.00 Peas (Pisum sativum) 0710.22.00 Beans (Vigna spp.,</w:t>
      </w:r>
    </w:p>
    <w:p>
      <w:pPr>
        <w:pStyle w:val="Normal"/>
      </w:pPr>
      <w:r>
        <w:t>Phaseolus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0710.29.00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Spinach, New Zealand spinach and orache spinach (garden spinach)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0710.40.00</w:t>
            </w:r>
          </w:p>
        </w:tc>
        <w:tc>
          <w:tcPr>
            <w:tcW w:w="4679" w:type="dxa"/>
            <w:tcMar>
              <w:top w:w="70" w:type="dxa"/>
              <w:start w:w="110" w:type="dxa"/>
              <w:bottom w:w="70" w:type="dxa"/>
              <w:end w:w="110" w:type="dxa"/>
            </w:tcMar>
            <w:vAlign w:val="center"/>
          </w:tcPr>
          <w:p>
            <w:pPr>
              <w:pStyle w:val="TableText"/>
              <w:jc w:val="left"/>
            </w:pPr>
            <w:r>
              <w:rPr>
                <w:lang w:val="en-US" w:eastAsia="en-US" w:bidi="ar-SA"/>
              </w:rPr>
              <w:t>Sweet corn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0710.80.00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vegetables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0710.90.00</w:t>
            </w:r>
          </w:p>
        </w:tc>
        <w:tc>
          <w:tcPr>
            <w:tcW w:w="4679" w:type="dxa"/>
            <w:tcMar>
              <w:top w:w="70" w:type="dxa"/>
              <w:start w:w="110" w:type="dxa"/>
              <w:bottom w:w="70" w:type="dxa"/>
              <w:end w:w="110" w:type="dxa"/>
            </w:tcMar>
            <w:vAlign w:val="center"/>
          </w:tcPr>
          <w:p>
            <w:pPr>
              <w:pStyle w:val="TableText"/>
              <w:jc w:val="left"/>
            </w:pPr>
            <w:r>
              <w:rPr>
                <w:lang w:val="en-US" w:eastAsia="en-US" w:bidi="ar-SA"/>
              </w:rPr>
              <w:t>Mixtures of vegetables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Olives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0711.40.10</w:t>
            </w:r>
          </w:p>
        </w:tc>
        <w:tc>
          <w:tcPr>
            <w:tcW w:w="4679" w:type="dxa"/>
            <w:tcMar>
              <w:top w:w="70" w:type="dxa"/>
              <w:start w:w="110" w:type="dxa"/>
              <w:bottom w:w="70" w:type="dxa"/>
              <w:end w:w="110" w:type="dxa"/>
            </w:tcMar>
            <w:vAlign w:val="center"/>
          </w:tcPr>
          <w:p>
            <w:pPr>
              <w:pStyle w:val="TableText"/>
              <w:jc w:val="left"/>
            </w:pPr>
            <w:r>
              <w:rPr>
                <w:lang w:val="en-US" w:eastAsia="en-US" w:bidi="ar-SA"/>
              </w:rPr>
              <w:t>Gherkins, of a maximum diameter of 19 mm, for use in the manufacture of finished gherkins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0711.40.90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0711.51.00</w:t>
            </w:r>
          </w:p>
        </w:tc>
        <w:tc>
          <w:tcPr>
            <w:tcW w:w="4679" w:type="dxa"/>
            <w:tcMar>
              <w:top w:w="70" w:type="dxa"/>
              <w:start w:w="110" w:type="dxa"/>
              <w:bottom w:w="70" w:type="dxa"/>
              <w:end w:w="110" w:type="dxa"/>
            </w:tcMar>
            <w:vAlign w:val="center"/>
          </w:tcPr>
          <w:p>
            <w:pPr>
              <w:pStyle w:val="TableText"/>
              <w:jc w:val="left"/>
            </w:pPr>
            <w:r>
              <w:rPr>
                <w:lang w:val="en-US" w:eastAsia="en-US" w:bidi="ar-SA"/>
              </w:rPr>
              <w:t>Mushrooms of the genus Agaricus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0711.59.00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0711.90.00</w:t>
            </w:r>
          </w:p>
        </w:tc>
        <w:tc>
          <w:tcPr>
            <w:tcW w:w="4679" w:type="dxa"/>
            <w:tcMar>
              <w:top w:w="70" w:type="dxa"/>
              <w:start w:w="110" w:type="dxa"/>
              <w:bottom w:w="70" w:type="dxa"/>
              <w:end w:w="110" w:type="dxa"/>
            </w:tcMar>
            <w:vAlign w:val="center"/>
          </w:tcPr>
          <w:p>
            <w:pPr>
              <w:pStyle w:val="TableText"/>
              <w:jc w:val="left"/>
            </w:pPr>
            <w:r>
              <w:rPr>
                <w:lang w:val="en-US" w:eastAsia="en-US" w:bidi="ar-SA"/>
              </w:rPr>
              <w:t>Other vegetables; mixtures of vegetables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Onions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0712.31.00</w:t>
            </w:r>
          </w:p>
        </w:tc>
        <w:tc>
          <w:tcPr>
            <w:tcW w:w="4679" w:type="dxa"/>
            <w:tcMar>
              <w:top w:w="70" w:type="dxa"/>
              <w:start w:w="110" w:type="dxa"/>
              <w:bottom w:w="70" w:type="dxa"/>
              <w:end w:w="110" w:type="dxa"/>
            </w:tcMar>
            <w:vAlign w:val="center"/>
          </w:tcPr>
          <w:p>
            <w:pPr>
              <w:pStyle w:val="TableText"/>
              <w:jc w:val="left"/>
            </w:pPr>
            <w:r>
              <w:rPr>
                <w:lang w:val="en-US" w:eastAsia="en-US" w:bidi="ar-SA"/>
              </w:rPr>
              <w:t>Mushrooms of the genus Agaricus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0712.32.10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food products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0712.32.90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Jelly fungi (Tremella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0712.39.11</w:t>
            </w:r>
          </w:p>
        </w:tc>
        <w:tc>
          <w:tcPr>
            <w:tcW w:w="4679" w:type="dxa"/>
            <w:tcMar>
              <w:top w:w="70" w:type="dxa"/>
              <w:start w:w="110" w:type="dxa"/>
              <w:bottom w:w="70" w:type="dxa"/>
              <w:end w:w="110" w:type="dxa"/>
            </w:tcMar>
            <w:vAlign w:val="center"/>
          </w:tcPr>
          <w:p>
            <w:pPr>
              <w:pStyle w:val="TableText"/>
              <w:jc w:val="left"/>
            </w:pPr>
            <w:r>
              <w:rPr>
                <w:lang w:val="en-US" w:eastAsia="en-US" w:bidi="ar-SA"/>
              </w:rPr>
              <w:t>Mushrooms: Porcini (Boletus Edulis) or Shiitake (Lentinus Edodes) for use in the manufacture of food products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0712.39.19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Mushrooms:</w:t>
            </w:r>
          </w:p>
        </w:tc>
      </w:tr>
    </w:tbl>
    <w:p>
      <w:pPr>
        <w:pStyle w:val="Normal"/>
      </w:pPr>
      <w:r>
        <w:t>Other 0712.39.20 Truffles 0712.90.00 Other vegetables; mixtures of vegetables 0713.10.10 Seed, in packages of a weight not exceeding 500 g each 0713.10.90 Other 0713.20.00 Chickpeas (garbanzos) 0713.31.10 Of the species Vigna radiata (L.) Wilczek, in bulk or in packages of a weight exceeding 500 g each 0713.31.90 Other 0713.32.00 Small red (Adzuki) beans (Phaseolus or Vigna angularis) 0713.33.00 Kidney beans, including white pea beans (Phaseolus vulgaris) 0713.34.00 Bambara beans (Vigna subterranea or Voandzeia subterranea) 0713.35.00 Cow peas (Vigna unguiculata) 0713.39.00 Other 0713.40.00 Lentils 0713.50.00 Broad beans (Vicia faba var. major) and horse beans (Vicia faba var. equina, Vicia faba var.</w:t>
      </w:r>
    </w:p>
    <w:p>
      <w:pPr>
        <w:pStyle w:val="Normal"/>
      </w:pPr>
      <w:r>
        <w:t>minor)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0713.60.00</w:t>
            </w:r>
          </w:p>
        </w:tc>
        <w:tc>
          <w:tcPr>
            <w:tcW w:w="4679" w:type="dxa"/>
            <w:tcMar>
              <w:top w:w="70" w:type="dxa"/>
              <w:start w:w="110" w:type="dxa"/>
              <w:bottom w:w="70" w:type="dxa"/>
              <w:end w:w="110" w:type="dxa"/>
            </w:tcMar>
            <w:vAlign w:val="center"/>
          </w:tcPr>
          <w:p>
            <w:pPr>
              <w:pStyle w:val="TableText"/>
              <w:jc w:val="left"/>
            </w:pPr>
            <w:r>
              <w:rPr>
                <w:lang w:val="en-US" w:eastAsia="en-US" w:bidi="ar-SA"/>
              </w:rPr>
              <w:t>Pigeon peas (Cajanus cajan)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Seed in bulk or in packages of a weight exceeding 500 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Manioc (cassava)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0714.20.00</w:t>
            </w:r>
          </w:p>
        </w:tc>
        <w:tc>
          <w:tcPr>
            <w:tcW w:w="4679" w:type="dxa"/>
            <w:tcMar>
              <w:top w:w="70" w:type="dxa"/>
              <w:start w:w="110" w:type="dxa"/>
              <w:bottom w:w="70" w:type="dxa"/>
              <w:end w:w="110" w:type="dxa"/>
            </w:tcMar>
            <w:vAlign w:val="center"/>
          </w:tcPr>
          <w:p>
            <w:pPr>
              <w:pStyle w:val="TableText"/>
              <w:jc w:val="left"/>
            </w:pPr>
            <w:r>
              <w:rPr>
                <w:lang w:val="en-US" w:eastAsia="en-US" w:bidi="ar-SA"/>
              </w:rPr>
              <w:t>Sweet potatoes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Yams (Dioscorea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0714.40.00</w:t>
            </w:r>
          </w:p>
        </w:tc>
        <w:tc>
          <w:tcPr>
            <w:tcW w:w="4679" w:type="dxa"/>
            <w:tcMar>
              <w:top w:w="70" w:type="dxa"/>
              <w:start w:w="110" w:type="dxa"/>
              <w:bottom w:w="70" w:type="dxa"/>
              <w:end w:w="110" w:type="dxa"/>
            </w:tcMar>
            <w:vAlign w:val="center"/>
          </w:tcPr>
          <w:p>
            <w:pPr>
              <w:pStyle w:val="TableText"/>
              <w:jc w:val="left"/>
            </w:pPr>
            <w:r>
              <w:rPr>
                <w:lang w:val="en-US" w:eastAsia="en-US" w:bidi="ar-SA"/>
              </w:rPr>
              <w:t>Taro (Colocasia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Yautia (Xanthosoma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Desiccated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0801.12.00</w:t>
            </w:r>
          </w:p>
        </w:tc>
        <w:tc>
          <w:tcPr>
            <w:tcW w:w="4679" w:type="dxa"/>
            <w:tcMar>
              <w:top w:w="70" w:type="dxa"/>
              <w:start w:w="110" w:type="dxa"/>
              <w:bottom w:w="70" w:type="dxa"/>
              <w:end w:w="110" w:type="dxa"/>
            </w:tcMar>
            <w:vAlign w:val="center"/>
          </w:tcPr>
          <w:p>
            <w:pPr>
              <w:pStyle w:val="TableText"/>
              <w:jc w:val="left"/>
            </w:pPr>
            <w:r>
              <w:rPr>
                <w:lang w:val="en-US" w:eastAsia="en-US" w:bidi="ar-SA"/>
              </w:rPr>
              <w:t>In the inner shell (endocarp)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0801.21.00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0801.31.00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0802.11.00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0802.21.00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0802.31.00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0802.41.00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0802.51.00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0802.61.00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0802.62.00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0802.70.00</w:t>
            </w:r>
          </w:p>
        </w:tc>
        <w:tc>
          <w:tcPr>
            <w:tcW w:w="4679" w:type="dxa"/>
            <w:tcMar>
              <w:top w:w="70" w:type="dxa"/>
              <w:start w:w="110" w:type="dxa"/>
              <w:bottom w:w="70" w:type="dxa"/>
              <w:end w:w="110" w:type="dxa"/>
            </w:tcMar>
            <w:vAlign w:val="center"/>
          </w:tcPr>
          <w:p>
            <w:pPr>
              <w:pStyle w:val="TableText"/>
              <w:jc w:val="left"/>
            </w:pPr>
            <w:r>
              <w:rPr>
                <w:lang w:val="en-US" w:eastAsia="en-US" w:bidi="ar-SA"/>
              </w:rPr>
              <w:t>Kola nuts (Cola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Areca nuts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Plantains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0804.20.00</w:t>
            </w:r>
          </w:p>
        </w:tc>
        <w:tc>
          <w:tcPr>
            <w:tcW w:w="4679" w:type="dxa"/>
            <w:tcMar>
              <w:top w:w="70" w:type="dxa"/>
              <w:start w:w="110" w:type="dxa"/>
              <w:bottom w:w="70" w:type="dxa"/>
              <w:end w:w="110" w:type="dxa"/>
            </w:tcMar>
            <w:vAlign w:val="center"/>
          </w:tcPr>
          <w:p>
            <w:pPr>
              <w:pStyle w:val="TableText"/>
              <w:jc w:val="left"/>
            </w:pPr>
            <w:r>
              <w:rPr>
                <w:lang w:val="en-US" w:eastAsia="en-US" w:bidi="ar-SA"/>
              </w:rPr>
              <w:t>Figs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Pineapples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0804.40.00</w:t>
            </w:r>
          </w:p>
        </w:tc>
        <w:tc>
          <w:tcPr>
            <w:tcW w:w="4679" w:type="dxa"/>
            <w:tcMar>
              <w:top w:w="70" w:type="dxa"/>
              <w:start w:w="110" w:type="dxa"/>
              <w:bottom w:w="70" w:type="dxa"/>
              <w:end w:w="110" w:type="dxa"/>
            </w:tcMar>
            <w:vAlign w:val="center"/>
          </w:tcPr>
          <w:p>
            <w:pPr>
              <w:pStyle w:val="TableText"/>
              <w:jc w:val="left"/>
            </w:pPr>
            <w:r>
              <w:rPr>
                <w:lang w:val="en-US" w:eastAsia="en-US" w:bidi="ar-SA"/>
              </w:rPr>
              <w:t>Avocados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Guavas, mangoes and mangosteens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0805.10.00</w:t>
            </w:r>
          </w:p>
        </w:tc>
        <w:tc>
          <w:tcPr>
            <w:tcW w:w="4679" w:type="dxa"/>
            <w:tcMar>
              <w:top w:w="70" w:type="dxa"/>
              <w:start w:w="110" w:type="dxa"/>
              <w:bottom w:w="70" w:type="dxa"/>
              <w:end w:w="110" w:type="dxa"/>
            </w:tcMar>
            <w:vAlign w:val="center"/>
          </w:tcPr>
          <w:p>
            <w:pPr>
              <w:pStyle w:val="TableText"/>
              <w:jc w:val="left"/>
            </w:pPr>
            <w:r>
              <w:rPr>
                <w:lang w:val="en-US" w:eastAsia="en-US" w:bidi="ar-SA"/>
              </w:rPr>
              <w:t>Oranges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Mandarins (including tangerines and satsumas)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0805.22.00</w:t>
            </w:r>
          </w:p>
        </w:tc>
        <w:tc>
          <w:tcPr>
            <w:tcW w:w="4679" w:type="dxa"/>
            <w:tcMar>
              <w:top w:w="70" w:type="dxa"/>
              <w:start w:w="110" w:type="dxa"/>
              <w:bottom w:w="70" w:type="dxa"/>
              <w:end w:w="110" w:type="dxa"/>
            </w:tcMar>
            <w:vAlign w:val="center"/>
          </w:tcPr>
          <w:p>
            <w:pPr>
              <w:pStyle w:val="TableText"/>
              <w:jc w:val="left"/>
            </w:pPr>
            <w:r>
              <w:rPr>
                <w:lang w:val="en-US" w:eastAsia="en-US" w:bidi="ar-SA"/>
              </w:rPr>
              <w:t>Clementines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0805.40.00</w:t>
            </w:r>
          </w:p>
        </w:tc>
        <w:tc>
          <w:tcPr>
            <w:tcW w:w="4679" w:type="dxa"/>
            <w:tcMar>
              <w:top w:w="70" w:type="dxa"/>
              <w:start w:w="110" w:type="dxa"/>
              <w:bottom w:w="70" w:type="dxa"/>
              <w:end w:w="110" w:type="dxa"/>
            </w:tcMar>
            <w:vAlign w:val="center"/>
          </w:tcPr>
          <w:p>
            <w:pPr>
              <w:pStyle w:val="TableText"/>
              <w:jc w:val="left"/>
            </w:pPr>
            <w:r>
              <w:rPr>
                <w:lang w:val="en-US" w:eastAsia="en-US" w:bidi="ar-SA"/>
              </w:rPr>
              <w:t>Grapefruit, including pomelos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Lemons (Citrus limon, Citrus limonum) and limes (Citrus aurantifolia, Citrus latifolia)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0806.10.11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Grapes of the species Vitis labrusca, in their natural state: Imported during such period specified by order of the Minister of Public Safety and Emergency Preparedness or the President of the Canada Border Services Agency, not exceeding 15 weeks in any 12 month period ending</w:t>
            </w:r>
          </w:p>
        </w:tc>
      </w:tr>
    </w:tbl>
    <w:p>
      <w:pPr>
        <w:pStyle w:val="Normal"/>
      </w:pPr>
      <w:r>
        <w:t>31st March 0806.10.19 Grapes of the species Vitis labrusca, in their natural state: Other 0806.10.91 Other: In their natural state 0806.10.99 Other: Other 0806.20.00 Dried 0807.11.00 Watermelons 0807.19.00 Other 0807.20.00 Papaws (papayas) 0808.10.10 In their natural state 0808.10.90 Other 0808.30.10 For processing 0808.30.91 Other: Imported during such period specified by order of the Minister of Public Safety and Emergency Preparedness or the President of the Canada Border Services Agency, not exceeding 24 weeks in any 12 month period ending 31st March 0808.30.99 Other: Other 0808.40.00 Quinces 0809.10.10 For processing 0809.10.91 Other: Imported during such period specified by order of the Minister of Public Safety and Emergency Preparedness or the President of the Canada Border Services Agency, not exceeding 10 weeks in any 12 month period ending 31st March 0809.10.99 Other: Other 0809.21.11 In their natural state: Imported during such period specified by order of the Minister of Public Safety and Emergency Preparedness or the President of the Canada Border Services Agency, not exceeding 10 weeks in any 12 month period ending 31st March 0809.21.19 In their natural state:</w:t>
      </w:r>
    </w:p>
    <w:p>
      <w:pPr>
        <w:pStyle w:val="Normal"/>
      </w:pPr>
      <w:r>
        <w:t>Other 0809.21.90 Other 0809.29.10 Sweet, for processing 0809.29.21 Other, in their natural state: Imported during such period specified by order of the Minister of Public Safety and Emergency Preparedness or the President of the Canada Border Services Agency, not exceeding 8 weeks in any 12 month period</w:t>
      </w:r>
    </w:p>
    <w:p>
      <w:pPr>
        <w:pStyle w:val="Normal"/>
      </w:pPr>
      <w:r>
        <w:t>ending 31st March 0809.29.29 Other, in their natural state: Other 0809.29.90 Other 0809.30.10 Peaches, not including nectarines, for processing 0809.30.21 Other peaches, in their natural state, not including nectarines: Imported during such period specified by order of the Minister of Public Safety and Emergency Preparedness or the President of the Canada Border Services Agency, not exceeding 14 weeks in any 12 month period ending 31st March 0809.30.29 Other peaches, in their natural state, not including nectarines: Other 0809.30.30 Nectarines, in their natural state 0809.30.90 Other 0809.40.10 Prune plums, for processing 0809.40.21 Other prune plums, in their natural state: Imported during such period specified by order of the Minister of Public Safety and Emergency Preparedness or the President of the Canada Border Services Agency, not exceeding 12 weeks in any 12 month period ending 31st March 0809.40.29 Other prune plums, in their natural state: Other 0809.40.31 Plums, other than prune plums, and sloes, in their natural state:</w:t>
      </w:r>
    </w:p>
    <w:p>
      <w:pPr>
        <w:pStyle w:val="Normal"/>
      </w:pPr>
      <w:r>
        <w:t>Imported during such period specified by order of the Minister of Public Safety and Emergency Preparedness or the President of the Canada Border Services Agency, not exceeding 12 weeks in any 12 month period ending 31st March 0809.40.39 Plums, other than prune plums, and sloes, in their natural state: Other 0809.40.90 Other 0810.10.10 For processing 0810.10.91 Other: Imported during such period specified by order of the Minister of Public Safety</w:t>
      </w:r>
    </w:p>
    <w:p>
      <w:pPr>
        <w:pStyle w:val="Normal"/>
      </w:pPr>
      <w:r>
        <w:t>and Emergency Preparedness or the President of the Canada Border Services Agency, not exceeding 8 weeks in any 12 month period ending 31st March 0810.10.99 Other: Other 0810.20.11 Raspberries and loganberries, in their natural state: Imported during such period specified by order of the Minister of Public Safety and Emergency Preparedness or the President of the Canada Border Services Agency, not exceeding 6 weeks in any 12 month period ending 31st March 0810.20.19 Raspberries and loganberries, in their natural state: Other 0810.20.90 Other 0810.30.00 Black, white or red currants and gooseberries 0810.40.10 In their natural state 0810.40.90 Other 0810.50.00 Kiwifruit 0810.60.00 Durians 0810.70.00 Persimmons 0810.90.00 Other 0811.10.10 For processing 0811.10.90 Other 0811.20.00 Raspberries, blackberries, mulberries, loganberries, black, white or red currants and gooseberries 0811.90.10 Cherries 0811.90.20 Peaches 0811.90.90 Other 0812.10.00 Cherries 0812.90.00 Other 0813.10.00 Apricots 0813.20.00 Prunes 0813.30.00 Apples 0813.40.00 Other fruit 0813.50.00 Mixtures of nuts or dried fruits of this Chapter 0814.00.00 Peel of citrus fruit or melons (including watermelons), fresh, frozen, dried or provisionally preserved in brine, in sulphur water or in other preservative solutions.</w:t>
      </w:r>
    </w:p>
    <w:p>
      <w:pPr>
        <w:pStyle w:val="Normal"/>
      </w:pPr>
      <w:r>
        <w:t>0901.11.00 Not decaffeinated 0901.12.00 Decaffeinated 0901.21.00 Not decaffeinated 0901.22.00 Decaffeinated 0901.90.00 Other 0902.10.10 In bags for individual servings 0902.10.90 Other 0902.20.00 Other green tea (not fermented) 0902.30.10 In bags for individual servings 0902.30.90 Other 0902.40.00 Other black tea (fermented) and other partly fermented tea 0903.00.00 Maté. 0904.11.00 Neither crushed nor ground 0904.12.10 For processing 0904.12.90 Other 0904.21.00 Dried, neither crushed nor ground 0904.22.00 Crushed or ground 0905.10.00 Neither crushed nor ground 0905.20.00 Crushed or ground 0906.11.00 Cinnamon (Cinnamomum zeylanicum Blume) 0906.19.00 Other 0906.20.00 Crushed or ground 0907.10.00 Neither crushed nor ground 0907.20.00 Crushed or ground 0908.11.00 Neither crushed nor ground 0908.12.00 Crushed or ground 0908.21.00 Neither crushed nor ground 0908.22.00 Crushed or ground 0908.31.00 Neither crushed nor ground 0908.32.00 Crushed or ground 0909.21.00 Neither crushed nor ground 0909.22.00 Crushed or ground 0909.31.00 Neither crushed nor ground 0909.32.00 Crushed or ground 0909.61.00 Neither crushed nor ground 0909.62.00 Crushed or ground 0910.11.00 Neither crushed nor ground 0910.12.00 Crushed or ground 0910.20.00 Saffron 0910.30.00 Turmeric (curcuma) 0910.91.00 Mixtures referred to in Note 1 (b) to this Chapter 0910.99.00 Other 1001.11.10 Within access commitment 1001.11.20 Over access commitment 1001.19.10 Within access commitment 1001.19.20 Over access commitment</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1001.91.10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1001.91.20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1001.99.10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1001.99.20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1002.10.00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1003.10.11</w:t>
            </w:r>
          </w:p>
        </w:tc>
        <w:tc>
          <w:tcPr>
            <w:tcW w:w="4679" w:type="dxa"/>
            <w:tcMar>
              <w:top w:w="70" w:type="dxa"/>
              <w:start w:w="110" w:type="dxa"/>
              <w:bottom w:w="70" w:type="dxa"/>
              <w:end w:w="110" w:type="dxa"/>
            </w:tcMar>
            <w:vAlign w:val="center"/>
          </w:tcPr>
          <w:p>
            <w:pPr>
              <w:pStyle w:val="TableText"/>
              <w:jc w:val="left"/>
            </w:pPr>
            <w:r>
              <w:rPr>
                <w:lang w:val="en-US" w:eastAsia="en-US" w:bidi="ar-SA"/>
              </w:rPr>
              <w:t>For malting purposes: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1003.10.12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malting purposes: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1003.10.91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1003.10.92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1003.90.11</w:t>
            </w:r>
          </w:p>
        </w:tc>
        <w:tc>
          <w:tcPr>
            <w:tcW w:w="4679" w:type="dxa"/>
            <w:tcMar>
              <w:top w:w="70" w:type="dxa"/>
              <w:start w:w="110" w:type="dxa"/>
              <w:bottom w:w="70" w:type="dxa"/>
              <w:end w:w="110" w:type="dxa"/>
            </w:tcMar>
            <w:vAlign w:val="center"/>
          </w:tcPr>
          <w:p>
            <w:pPr>
              <w:pStyle w:val="TableText"/>
              <w:jc w:val="left"/>
            </w:pPr>
            <w:r>
              <w:rPr>
                <w:lang w:val="en-US" w:eastAsia="en-US" w:bidi="ar-SA"/>
              </w:rPr>
              <w:t>For malting purposes: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malting purposes: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1003.90.91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1003.90.92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1004.10.00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1005.10.00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1006.10.00</w:t>
            </w:r>
          </w:p>
        </w:tc>
        <w:tc>
          <w:tcPr>
            <w:tcW w:w="4679" w:type="dxa"/>
            <w:tcMar>
              <w:top w:w="70" w:type="dxa"/>
              <w:start w:w="110" w:type="dxa"/>
              <w:bottom w:w="70" w:type="dxa"/>
              <w:end w:w="110" w:type="dxa"/>
            </w:tcMar>
            <w:vAlign w:val="center"/>
          </w:tcPr>
          <w:p>
            <w:pPr>
              <w:pStyle w:val="TableText"/>
              <w:jc w:val="left"/>
            </w:pPr>
            <w:r>
              <w:rPr>
                <w:lang w:val="en-US" w:eastAsia="en-US" w:bidi="ar-SA"/>
              </w:rPr>
              <w:t>Rice in the husk (paddy or rough)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Husked (brown) rice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1006.30.00</w:t>
            </w:r>
          </w:p>
        </w:tc>
        <w:tc>
          <w:tcPr>
            <w:tcW w:w="4679" w:type="dxa"/>
            <w:tcMar>
              <w:top w:w="70" w:type="dxa"/>
              <w:start w:w="110" w:type="dxa"/>
              <w:bottom w:w="70" w:type="dxa"/>
              <w:end w:w="110" w:type="dxa"/>
            </w:tcMar>
            <w:vAlign w:val="center"/>
          </w:tcPr>
          <w:p>
            <w:pPr>
              <w:pStyle w:val="TableText"/>
              <w:jc w:val="left"/>
            </w:pPr>
            <w:r>
              <w:rPr>
                <w:lang w:val="en-US" w:eastAsia="en-US" w:bidi="ar-SA"/>
              </w:rPr>
              <w:t>Semi-milled or wholly milled rice, whether or not polished or 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Broken rice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1007.10.00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1008.10.00</w:t>
            </w:r>
          </w:p>
        </w:tc>
        <w:tc>
          <w:tcPr>
            <w:tcW w:w="4679" w:type="dxa"/>
            <w:tcMar>
              <w:top w:w="70" w:type="dxa"/>
              <w:start w:w="110" w:type="dxa"/>
              <w:bottom w:w="70" w:type="dxa"/>
              <w:end w:w="110" w:type="dxa"/>
            </w:tcMar>
            <w:vAlign w:val="center"/>
          </w:tcPr>
          <w:p>
            <w:pPr>
              <w:pStyle w:val="TableText"/>
              <w:jc w:val="left"/>
            </w:pPr>
            <w:r>
              <w:rPr>
                <w:lang w:val="en-US" w:eastAsia="en-US" w:bidi="ar-SA"/>
              </w:rPr>
              <w:t>Buckwheat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1008.29.00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Canary seeds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1008.40.00</w:t>
            </w:r>
          </w:p>
        </w:tc>
        <w:tc>
          <w:tcPr>
            <w:tcW w:w="4679" w:type="dxa"/>
            <w:tcMar>
              <w:top w:w="70" w:type="dxa"/>
              <w:start w:w="110" w:type="dxa"/>
              <w:bottom w:w="70" w:type="dxa"/>
              <w:end w:w="110" w:type="dxa"/>
            </w:tcMar>
            <w:vAlign w:val="center"/>
          </w:tcPr>
          <w:p>
            <w:pPr>
              <w:pStyle w:val="TableText"/>
              <w:jc w:val="left"/>
            </w:pPr>
            <w:r>
              <w:rPr>
                <w:lang w:val="en-US" w:eastAsia="en-US" w:bidi="ar-SA"/>
              </w:rPr>
              <w:t>Fonio (Digitaria spp.</w:t>
            </w:r>
          </w:p>
        </w:tc>
      </w:tr>
    </w:tbl>
    <w:p>
      <w:pPr>
        <w:pStyle w:val="Normal"/>
      </w:pPr>
      <w:r>
        <w:t>1008.50.00 Quinoa (Chenopodium quinoa) 1008.60.00 Triticale 1008.90.00 Other cereals 1101.00.10 Within access commitment 1101.00.20 Over access commitment 1102.20.00 Maize (corn) flour 1102.90.11 Barley flour: Within access commitment 1102.90.12 Barley flour: Over access commitment 1102.90.20 Rice flour 1102.90.30 Rye flour 1102.90.90 Other 1103.11.10 Within access commitment 1103.11.20 Over access commitment 1103.13.00 Of maize (corn) 1103.19.11 Of barley: Within access commitment 1103.19.12 Of barley: Over access commitment 1103.19.90 Other 1103.20.11 Of wheat: Within access commitment 1103.20.12 Of wheat: Over access commitment 1103.20.21 Of barley: Within access commitment 1103.20.22 Of barley: Over access commitment 1103.20.90 Other 1104.12.00 Of oats 1104.19.11 Of wheat: Within access commitment 1104.19.12 Of wheat: Over access commitment 1104.19.21 Of barley: Within access commitment 1104.19.22 Of barley: Over access commitment 1104.19.90 Other 1104.22.00 Of oats 1104.23.00 Of maize (corn) 1104.29.11 Of wheat: Within access commitment 1104.29.12 Of wheat: Over access commitment 1104.29.21 Of barley: Within access commitment 1104.29.22 Of barley: Over access commitment 1104.29.90 Other 1104.30.11 Of wheat: Within access commitment 1104.30.12 Of wheat: Over access commitment 1104.30.90 Other 1105.10.00 Flour, meal and powder 1105.20.00 Flakes, granules and pellets 1106.10.10 Guar meal 1106.10.90 Other 1106.20.00 Of sago or of roots or tubers of heading 07.14</w:t>
      </w:r>
    </w:p>
    <w:p>
      <w:pPr>
        <w:pStyle w:val="Normal"/>
      </w:pPr>
      <w:r>
        <w:t>1106.30.00 Of the products of Chapter 8 1107.10.11 Whole: Within access commitment 1107.10.12 Whole: Over access commitment 1107.10.91 Other: Within access commitment 1107.10.92 Other: Over access commitment 1107.20.11 Whole: Within access commitment 1107.20.12 Whole: Over access commitment 1107.20.91 Other: Within access commitment 1107.20.92 Other: Over access commitment 1108.11.10 Within access commitment 1108.11.20 Over access commitment 1108.12.00 Maize (corn) starch 1108.13.00 Potato starch 1108.14.00 Manioc (cassava) starch 1108.19.11 Barley starch: Within access commitment 1108.19.12 Barley starch: Over access commitment 1108.19.90 Other 1108.20.00 Inulin 1109.00.10 Within access commitment 1109.00.20 Over access commitment 1201.10.00 Seed 1201.90.00 Other 1202.30.00 Seed 1202.41.00 In shell 1202.42.00 Shelled, whether or not broken 1203.00.00 Copra. 1204.00.00 Linseed, whether or not broken. 1205.10.00 Low erucic acid rape or colza seeds 1205.90.00 Other 1206.00.00 Sunflower seeds, whether or not broken. 1207.10.00 Palm nuts and kernels 1207.21.00 Seed 1207.29.00 Other 1207.30.00 Castor oil seeds 1207.40.00 Sesamum seeds 1207.50.00 Mustard seeds 1207.60.00 Safflower (Carthamus tinctorius) seeds 1207.70.00 Melon seeds 1207.91.00 Poppy seeds 1207.99.00 Other 1208.10.00 Of soya beans 1208.90.00 Other 1209.10.00 Sugar beet seeds 1209.21.00 Lucerne (alfalfa) seeds 1209.22.00 Clover (Trifolium spp.)</w:t>
      </w:r>
    </w:p>
    <w:p>
      <w:pPr>
        <w:pStyle w:val="Normal"/>
      </w:pPr>
      <w:r>
        <w:t>seeds 1209.23.00 Fescue seeds 1209.24.00 Kentucky blue grass (Poa pratensis L.) seeds 1209.25.00 Rye grass (Lolium multiflorum Lam., Lolium perenne L.) seeds 1209.29.00 Other 1209.30.10 In packages of a weight of less than 25 g each 1209.30.20 In bulk or in packages of a weight of 25 g each or more 1209.91.10 In bulk or in packages of a weight exceeding 500 g each; In packages of a weight of 25 g each or more but not exceeding 500 g each when valued at $5.50 or more per 500 g 1209.91.90 Other 1209.99.10 Tree seed, other than nut trees of Chapter 8; Seeds, in bulk or in packages of a weight exceeding 500 g each;</w:t>
      </w:r>
    </w:p>
    <w:p>
      <w:pPr>
        <w:pStyle w:val="Normal"/>
      </w:pPr>
      <w:r>
        <w:t>Fruit and spores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1209.99.20</w:t>
            </w:r>
          </w:p>
        </w:tc>
        <w:tc>
          <w:tcPr>
            <w:tcW w:w="4679" w:type="dxa"/>
            <w:tcMar>
              <w:top w:w="70" w:type="dxa"/>
              <w:start w:w="110" w:type="dxa"/>
              <w:bottom w:w="70" w:type="dxa"/>
              <w:end w:w="110" w:type="dxa"/>
            </w:tcMar>
            <w:vAlign w:val="center"/>
          </w:tcPr>
          <w:p>
            <w:pPr>
              <w:pStyle w:val="TableText"/>
              <w:jc w:val="left"/>
            </w:pPr>
            <w:r>
              <w:rPr>
                <w:lang w:val="en-US" w:eastAsia="en-US" w:bidi="ar-SA"/>
              </w:rPr>
              <w:t>Seeds, in packages of a weight not exceeding 500 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Hop cones, neither ground nor powdered nor in the form of pellets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1210.20.00</w:t>
            </w:r>
          </w:p>
        </w:tc>
        <w:tc>
          <w:tcPr>
            <w:tcW w:w="4679" w:type="dxa"/>
            <w:tcMar>
              <w:top w:w="70" w:type="dxa"/>
              <w:start w:w="110" w:type="dxa"/>
              <w:bottom w:w="70" w:type="dxa"/>
              <w:end w:w="110" w:type="dxa"/>
            </w:tcMar>
            <w:vAlign w:val="center"/>
          </w:tcPr>
          <w:p>
            <w:pPr>
              <w:pStyle w:val="TableText"/>
              <w:jc w:val="left"/>
            </w:pPr>
            <w:r>
              <w:rPr>
                <w:lang w:val="en-US" w:eastAsia="en-US" w:bidi="ar-SA"/>
              </w:rPr>
              <w:t>Hop cones, ground, powdered or in the form of pellets; lupulin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Herbal “tea” in bags for individual servings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1211.20.90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Coca leaf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1211.40.00</w:t>
            </w:r>
          </w:p>
        </w:tc>
        <w:tc>
          <w:tcPr>
            <w:tcW w:w="4679" w:type="dxa"/>
            <w:tcMar>
              <w:top w:w="70" w:type="dxa"/>
              <w:start w:w="110" w:type="dxa"/>
              <w:bottom w:w="70" w:type="dxa"/>
              <w:end w:w="110" w:type="dxa"/>
            </w:tcMar>
            <w:vAlign w:val="center"/>
          </w:tcPr>
          <w:p>
            <w:pPr>
              <w:pStyle w:val="TableText"/>
              <w:jc w:val="left"/>
            </w:pPr>
            <w:r>
              <w:rPr>
                <w:lang w:val="en-US" w:eastAsia="en-US" w:bidi="ar-SA"/>
              </w:rPr>
              <w:t>Poppy straw</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Ephedra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1211.90.10</w:t>
            </w:r>
          </w:p>
        </w:tc>
        <w:tc>
          <w:tcPr>
            <w:tcW w:w="4679" w:type="dxa"/>
            <w:tcMar>
              <w:top w:w="70" w:type="dxa"/>
              <w:start w:w="110" w:type="dxa"/>
              <w:bottom w:w="70" w:type="dxa"/>
              <w:end w:w="110" w:type="dxa"/>
            </w:tcMar>
            <w:vAlign w:val="center"/>
          </w:tcPr>
          <w:p>
            <w:pPr>
              <w:pStyle w:val="TableText"/>
              <w:jc w:val="left"/>
            </w:pPr>
            <w:r>
              <w:rPr>
                <w:lang w:val="en-US" w:eastAsia="en-US" w:bidi="ar-SA"/>
              </w:rPr>
              <w:t>Herbal “tea” in bags for individual servings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1212.21.00</w:t>
            </w:r>
          </w:p>
        </w:tc>
        <w:tc>
          <w:tcPr>
            <w:tcW w:w="4679" w:type="dxa"/>
            <w:tcMar>
              <w:top w:w="70" w:type="dxa"/>
              <w:start w:w="110" w:type="dxa"/>
              <w:bottom w:w="70" w:type="dxa"/>
              <w:end w:w="110" w:type="dxa"/>
            </w:tcMar>
            <w:vAlign w:val="center"/>
          </w:tcPr>
          <w:p>
            <w:pPr>
              <w:pStyle w:val="TableText"/>
              <w:jc w:val="left"/>
            </w:pPr>
            <w:r>
              <w:rPr>
                <w:lang w:val="en-US" w:eastAsia="en-US" w:bidi="ar-SA"/>
              </w:rPr>
              <w:t>Fit for human consumption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1212.29.00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1212.91.00</w:t>
            </w:r>
          </w:p>
        </w:tc>
        <w:tc>
          <w:tcPr>
            <w:tcW w:w="4679" w:type="dxa"/>
            <w:tcMar>
              <w:top w:w="70" w:type="dxa"/>
              <w:start w:w="110" w:type="dxa"/>
              <w:bottom w:w="70" w:type="dxa"/>
              <w:end w:w="110" w:type="dxa"/>
            </w:tcMar>
            <w:vAlign w:val="center"/>
          </w:tcPr>
          <w:p>
            <w:pPr>
              <w:pStyle w:val="TableText"/>
              <w:jc w:val="left"/>
            </w:pPr>
            <w:r>
              <w:rPr>
                <w:lang w:val="en-US" w:eastAsia="en-US" w:bidi="ar-SA"/>
              </w:rPr>
              <w:t>Sugar beet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Locust beans (carob)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1212.93.00</w:t>
            </w:r>
          </w:p>
        </w:tc>
        <w:tc>
          <w:tcPr>
            <w:tcW w:w="4679" w:type="dxa"/>
            <w:tcMar>
              <w:top w:w="70" w:type="dxa"/>
              <w:start w:w="110" w:type="dxa"/>
              <w:bottom w:w="70" w:type="dxa"/>
              <w:end w:w="110" w:type="dxa"/>
            </w:tcMar>
            <w:vAlign w:val="center"/>
          </w:tcPr>
          <w:p>
            <w:pPr>
              <w:pStyle w:val="TableText"/>
              <w:jc w:val="left"/>
            </w:pPr>
            <w:r>
              <w:rPr>
                <w:lang w:val="en-US" w:eastAsia="en-US" w:bidi="ar-SA"/>
              </w:rPr>
              <w:t>Sugar cane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1212.94.00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Chicory roots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Cereal straw and husks, unprepared, whether or not chopped, ground, pressed or in the form of pellets.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Lucerne (alfalfa) meal and pellets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Gum Arabic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1302.12.00</w:t>
            </w:r>
          </w:p>
        </w:tc>
        <w:tc>
          <w:tcPr>
            <w:tcW w:w="4679" w:type="dxa"/>
            <w:tcMar>
              <w:top w:w="70" w:type="dxa"/>
              <w:start w:w="110" w:type="dxa"/>
              <w:bottom w:w="70" w:type="dxa"/>
              <w:end w:w="110" w:type="dxa"/>
            </w:tcMar>
            <w:vAlign w:val="center"/>
          </w:tcPr>
          <w:p>
            <w:pPr>
              <w:pStyle w:val="TableText"/>
              <w:jc w:val="left"/>
            </w:pPr>
            <w:r>
              <w:rPr>
                <w:lang w:val="en-US" w:eastAsia="en-US" w:bidi="ar-SA"/>
              </w:rPr>
              <w:t>Of liquorice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hops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1302.14.00</w:t>
            </w:r>
          </w:p>
        </w:tc>
        <w:tc>
          <w:tcPr>
            <w:tcW w:w="4679" w:type="dxa"/>
            <w:tcMar>
              <w:top w:w="70" w:type="dxa"/>
              <w:start w:w="110" w:type="dxa"/>
              <w:bottom w:w="70" w:type="dxa"/>
              <w:end w:w="110" w:type="dxa"/>
            </w:tcMar>
            <w:vAlign w:val="center"/>
          </w:tcPr>
          <w:p>
            <w:pPr>
              <w:pStyle w:val="TableText"/>
              <w:jc w:val="left"/>
            </w:pPr>
            <w:r>
              <w:rPr>
                <w:lang w:val="en-US" w:eastAsia="en-US" w:bidi="ar-SA"/>
              </w:rPr>
              <w:t>Of ephedra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1302.20.00</w:t>
            </w:r>
          </w:p>
        </w:tc>
        <w:tc>
          <w:tcPr>
            <w:tcW w:w="4679" w:type="dxa"/>
            <w:tcMar>
              <w:top w:w="70" w:type="dxa"/>
              <w:start w:w="110" w:type="dxa"/>
              <w:bottom w:w="70" w:type="dxa"/>
              <w:end w:w="110" w:type="dxa"/>
            </w:tcMar>
            <w:vAlign w:val="center"/>
          </w:tcPr>
          <w:p>
            <w:pPr>
              <w:pStyle w:val="TableText"/>
              <w:jc w:val="left"/>
            </w:pPr>
            <w:r>
              <w:rPr>
                <w:lang w:val="en-US" w:eastAsia="en-US" w:bidi="ar-SA"/>
              </w:rPr>
              <w:t>Pectic substances, pectinates and pectates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Agar-agar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1302.32.00</w:t>
            </w:r>
          </w:p>
        </w:tc>
        <w:tc>
          <w:tcPr>
            <w:tcW w:w="4679" w:type="dxa"/>
            <w:tcMar>
              <w:top w:w="70" w:type="dxa"/>
              <w:start w:w="110" w:type="dxa"/>
              <w:bottom w:w="70" w:type="dxa"/>
              <w:end w:w="110" w:type="dxa"/>
            </w:tcMar>
            <w:vAlign w:val="center"/>
          </w:tcPr>
          <w:p>
            <w:pPr>
              <w:pStyle w:val="TableText"/>
              <w:jc w:val="left"/>
            </w:pPr>
            <w:r>
              <w:rPr>
                <w:lang w:val="en-US" w:eastAsia="en-US" w:bidi="ar-SA"/>
              </w:rPr>
              <w:t>Mucilages and thickeners, whether or not modified, derived from locust beans, locust bean seeds or guar seeds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1401.10.00</w:t>
            </w:r>
          </w:p>
        </w:tc>
        <w:tc>
          <w:tcPr>
            <w:tcW w:w="4679" w:type="dxa"/>
            <w:tcMar>
              <w:top w:w="70" w:type="dxa"/>
              <w:start w:w="110" w:type="dxa"/>
              <w:bottom w:w="70" w:type="dxa"/>
              <w:end w:w="110" w:type="dxa"/>
            </w:tcMar>
            <w:vAlign w:val="center"/>
          </w:tcPr>
          <w:p>
            <w:pPr>
              <w:pStyle w:val="TableText"/>
              <w:jc w:val="left"/>
            </w:pPr>
            <w:r>
              <w:rPr>
                <w:lang w:val="en-US" w:eastAsia="en-US" w:bidi="ar-SA"/>
              </w:rPr>
              <w:t>Bamboos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1401.20.00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Rattans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1401.90.00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1404.20.00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Cotton linters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1404.90.00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1501.20.00</w:t>
            </w:r>
          </w:p>
        </w:tc>
        <w:tc>
          <w:tcPr>
            <w:tcW w:w="4679" w:type="dxa"/>
            <w:tcMar>
              <w:top w:w="70" w:type="dxa"/>
              <w:start w:w="110" w:type="dxa"/>
              <w:bottom w:w="70" w:type="dxa"/>
              <w:end w:w="110" w:type="dxa"/>
            </w:tcMar>
            <w:vAlign w:val="center"/>
          </w:tcPr>
          <w:p>
            <w:pPr>
              <w:pStyle w:val="TableText"/>
              <w:jc w:val="left"/>
            </w:pPr>
            <w:r>
              <w:rPr>
                <w:lang w:val="en-US" w:eastAsia="en-US" w:bidi="ar-SA"/>
              </w:rPr>
              <w:t>Other pig fat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1502.10.00</w:t>
            </w:r>
          </w:p>
        </w:tc>
        <w:tc>
          <w:tcPr>
            <w:tcW w:w="4679" w:type="dxa"/>
            <w:tcMar>
              <w:top w:w="70" w:type="dxa"/>
              <w:start w:w="110" w:type="dxa"/>
              <w:bottom w:w="70" w:type="dxa"/>
              <w:end w:w="110" w:type="dxa"/>
            </w:tcMar>
            <w:vAlign w:val="center"/>
          </w:tcPr>
          <w:p>
            <w:pPr>
              <w:pStyle w:val="TableText"/>
              <w:jc w:val="left"/>
            </w:pPr>
            <w:r>
              <w:rPr>
                <w:lang w:val="en-US" w:eastAsia="en-US" w:bidi="ar-SA"/>
              </w:rPr>
              <w:t>Tallow</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1503.00.00</w:t>
            </w:r>
          </w:p>
        </w:tc>
        <w:tc>
          <w:tcPr>
            <w:tcW w:w="4679" w:type="dxa"/>
            <w:tcMar>
              <w:top w:w="70" w:type="dxa"/>
              <w:start w:w="110" w:type="dxa"/>
              <w:bottom w:w="70" w:type="dxa"/>
              <w:end w:w="110" w:type="dxa"/>
            </w:tcMar>
            <w:vAlign w:val="center"/>
          </w:tcPr>
          <w:p>
            <w:pPr>
              <w:pStyle w:val="TableText"/>
              <w:jc w:val="left"/>
            </w:pPr>
            <w:r>
              <w:rPr>
                <w:lang w:val="en-US" w:eastAsia="en-US" w:bidi="ar-SA"/>
              </w:rPr>
              <w:t>Lard stearin, lard oil, oleostearin, oleo-oil and tallow oil, not emulsified or mixed or otherwise prepared.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1504.10.10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medicaments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1504.10.91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Canadian manufactures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1504.10.99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1504.20.00</w:t>
            </w:r>
          </w:p>
        </w:tc>
        <w:tc>
          <w:tcPr>
            <w:tcW w:w="4679" w:type="dxa"/>
            <w:tcMar>
              <w:top w:w="70" w:type="dxa"/>
              <w:start w:w="110" w:type="dxa"/>
              <w:bottom w:w="70" w:type="dxa"/>
              <w:end w:w="110" w:type="dxa"/>
            </w:tcMar>
            <w:vAlign w:val="center"/>
          </w:tcPr>
          <w:p>
            <w:pPr>
              <w:pStyle w:val="TableText"/>
              <w:jc w:val="left"/>
            </w:pPr>
            <w:r>
              <w:rPr>
                <w:lang w:val="en-US" w:eastAsia="en-US" w:bidi="ar-SA"/>
              </w:rPr>
              <w:t>Fats and oils and their fractions, of fish, other than liver 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Fats and oils and their fractions, of marine mammals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1505.00.00</w:t>
            </w:r>
          </w:p>
        </w:tc>
        <w:tc>
          <w:tcPr>
            <w:tcW w:w="4679" w:type="dxa"/>
            <w:tcMar>
              <w:top w:w="70" w:type="dxa"/>
              <w:start w:w="110" w:type="dxa"/>
              <w:bottom w:w="70" w:type="dxa"/>
              <w:end w:w="110" w:type="dxa"/>
            </w:tcMar>
            <w:vAlign w:val="center"/>
          </w:tcPr>
          <w:p>
            <w:pPr>
              <w:pStyle w:val="TableText"/>
              <w:jc w:val="left"/>
            </w:pPr>
            <w:r>
              <w:rPr>
                <w:lang w:val="en-US" w:eastAsia="en-US" w:bidi="ar-SA"/>
              </w:rPr>
              <w:t>Wool grease and fatty substances derived therefrom (including lanolin).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1506.00.00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animal fats and oils and their fractions, whether or not refined, but not chemically modified.</w:t>
            </w:r>
          </w:p>
        </w:tc>
      </w:tr>
    </w:tbl>
    <w:p>
      <w:pPr>
        <w:pStyle w:val="Normal"/>
      </w:pPr>
      <w:r>
        <w:t>1507.10.00 Crude oil, whether or not degummed 1507.90.00 Other 1508.10.00 Crude oil 1508.90.00 Other 1509.10.00 Virgin 1509.90.00 Other 1510.00.00 Other oils and their fractions, obtained solely from olives, whether or not refined, but not chemically modified, including blends of these oils or fractions with oils or fractions of heading 15.09. 1511.10.00 Crude oil 1511.90.00 Other 1512.11.00 Crude oil 1512.19.11 Sunflower-seed oil and fractions thereof: For processing 1512.19.19 Sunflower-seed oil and fractions thereof: Other 1512.19.21 Safflower oil and fractions thereof: For processing 1512.19.29 Safflower oil and fractions thereof:</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1512.21.00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 whether or not gossypol has been removed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1512.29.00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1513.11.00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1513.19.10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processing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1513.19.90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1513.29.10</w:t>
            </w:r>
          </w:p>
        </w:tc>
        <w:tc>
          <w:tcPr>
            <w:tcW w:w="4679" w:type="dxa"/>
            <w:tcMar>
              <w:top w:w="70" w:type="dxa"/>
              <w:start w:w="110" w:type="dxa"/>
              <w:bottom w:w="70" w:type="dxa"/>
              <w:end w:w="110" w:type="dxa"/>
            </w:tcMar>
            <w:vAlign w:val="center"/>
          </w:tcPr>
          <w:p>
            <w:pPr>
              <w:pStyle w:val="TableText"/>
              <w:jc w:val="left"/>
            </w:pPr>
            <w:r>
              <w:rPr>
                <w:lang w:val="en-US" w:eastAsia="en-US" w:bidi="ar-SA"/>
              </w:rPr>
              <w:t>Palm kernel oil and its fractions for use in the manufacture of margarine and shortening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1513.29.90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1514.11.00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1514.91.00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1514.99.00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1515.11.00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processing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Castor oil and its fractions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1515.50.10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1515.50.90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Animal fats and oils and their fractions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1516.20.00</w:t>
            </w:r>
          </w:p>
        </w:tc>
        <w:tc>
          <w:tcPr>
            <w:tcW w:w="4679" w:type="dxa"/>
            <w:tcMar>
              <w:top w:w="70" w:type="dxa"/>
              <w:start w:w="110" w:type="dxa"/>
              <w:bottom w:w="70" w:type="dxa"/>
              <w:end w:w="110" w:type="dxa"/>
            </w:tcMar>
            <w:vAlign w:val="center"/>
          </w:tcPr>
          <w:p>
            <w:pPr>
              <w:pStyle w:val="TableText"/>
              <w:jc w:val="left"/>
            </w:pPr>
            <w:r>
              <w:rPr>
                <w:lang w:val="en-US" w:eastAsia="en-US" w:bidi="ar-SA"/>
              </w:rPr>
              <w:t>Vegetable fats and oils and their fractions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1517.10.10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1517.10.20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1517.90.10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Imitation lard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1517.90.21</w:t>
            </w:r>
          </w:p>
        </w:tc>
        <w:tc>
          <w:tcPr>
            <w:tcW w:w="4679" w:type="dxa"/>
            <w:tcMar>
              <w:top w:w="70" w:type="dxa"/>
              <w:start w:w="110" w:type="dxa"/>
              <w:bottom w:w="70" w:type="dxa"/>
              <w:end w:w="110" w:type="dxa"/>
            </w:tcMar>
            <w:vAlign w:val="center"/>
          </w:tcPr>
          <w:p>
            <w:pPr>
              <w:pStyle w:val="TableText"/>
              <w:jc w:val="left"/>
            </w:pPr>
            <w:r>
              <w:rPr>
                <w:lang w:val="en-US" w:eastAsia="en-US" w:bidi="ar-SA"/>
              </w:rPr>
              <w:t>Substitutes for butter: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1517.90.22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Substitutes for</w:t>
            </w:r>
          </w:p>
        </w:tc>
      </w:tr>
    </w:tbl>
    <w:p>
      <w:pPr>
        <w:pStyle w:val="Normal"/>
      </w:pPr>
      <w:r>
        <w:t>butter: Over access commitment * 1517.90.30 Palm oil and palm kernel oil, and their fractions, and blends thereof, for use in the manufacture of margarine and shortening 1517.90.91 Other: Shortening 1517.90.99 Other: Other 1518.00.00 Animal or vegetable fats and oils and their fractions, boiled, oxidized, dehydrated, sulphurized, blown, polymerized by heat in vacuum or in inert gas or otherwise chemically modified, excluding those of heading 15.16; inedible mixtures or preparations of animal or vegetable fats or oils or of fractions of different fats or oils of this Chapter, not elsewhere specified or included. 1520.00.00 Glycerol, crude; glycerol waters and glycerol lyes. 1521.10.00 Vegetable waxes 1521.90.00 Other 1522.00.00 Degras; residues resulting from the treatment of fatty substances or animal or vegetable waxes.</w:t>
      </w:r>
    </w:p>
    <w:p>
      <w:pPr>
        <w:pStyle w:val="Normal"/>
      </w:pPr>
      <w:r>
        <w:t>1601.00.11 In cans or glass jars: Of poultry of heading 01.05 * 1601.00.19 In cans or glass jars: Other 1601.00.21 Of fowls of the species Gallus domesticus, other than in cans or glass jars: Other than spent fowl, within access commitment * * 1601.00.22 Of fowls of the species Gallus domesticus, other than in cans or glass jars: Other than spent fowl, over access commitment * * 1601.00.23 Of fowls of the species Gallus domesticus, other than in cans or glass jars: Spent fowl 1601.00.31 Of turkeys, other than in cans or glass jars: Within access commitment * 1601.00.32 Of turkeys, other than in cans or glass jars: Over access commitment * * 1601.00.90 Other 1602.10.10 Of fowls of the species Gallus domesticus and turkeys, of heading 01.05 * 1602.10.90 Other 1602.20.10 Pâtés de foie with truffles 1602.20.21 Paste, of fowls of the species Gallus domesticus, not in cans or glass jars: Within access commitment * * 1602.20.22 Paste, of fowls of the species Gallus domesticus, not in cans or glass jars:</w:t>
      </w:r>
    </w:p>
    <w:p>
      <w:pPr>
        <w:pStyle w:val="Normal"/>
      </w:pPr>
      <w:r>
        <w:t>Over access commitment * * 1602.20.31 Paste, of turkeys, not in cans or glass jars: Within access commitment * 1602.20.32 Paste, of turkeys, not in cans or glass jars: Over access commitment * * 1602.20.90 Other 1602.31.11 Prepared meals: Specially defined mixtures * 1602.31.12 Prepared meals: Other, within access commitment * 1602.31.13 Prepared meals: Other, over access commitment, bone in * * 1602.31.14 Prepared meals: Other, over access commitment, boneless * * 1602.31.91</w:t>
      </w:r>
    </w:p>
    <w:p>
      <w:pPr>
        <w:pStyle w:val="Normal"/>
      </w:pPr>
      <w:r>
        <w:t>Other: In cans or glass jars * 1602.31.92 Other: Specially defined mixtures, other than in cans or glass jars * 1602.31.93 Other: Other, within access commitment * 1602.31.94 Other: Other, over access commitment, bone in * * 1602.31.95 Other: Other, over access commitment, boneless * * 1602.32.11 Prepared meals: Of spent fowl; Specially defined mixtures * 1602.32.12 Prepared meals: Other, within access commitment * * 1602.32.13 Prepared meals: Other, over access commitment, bone in * * 1602.32.14 Prepared meals: Other, over access commitment, boneless * * 1602.32.91 Other: In cans or glass jars * 1602.32.92 Other: Specially defined mixtures, other than in cans or glass jars; Spent fowl other than in cans or glass jars * 1602.32.93 Other: Other, within access commitment * * 1602.32.94 Other: Other, over access commitment, bone in * * 1602.32.95 Other: Other, over access commitment, boneless * * 1602.39.10 Prepared meals * 1602.39.91 Other: Of ducks, geese or guinea fowls, in cans or glass jars * 1602.39.99 Other:</w:t>
      </w:r>
    </w:p>
    <w:p>
      <w:pPr>
        <w:pStyle w:val="Normal"/>
      </w:pPr>
      <w:r>
        <w:t>Other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1602.41.10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1602.41.90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1602.42.10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1602.42.90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1602.49.10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 Prepared meals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1602.49.90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1602.50.10</w:t>
            </w:r>
          </w:p>
        </w:tc>
        <w:tc>
          <w:tcPr>
            <w:tcW w:w="4679" w:type="dxa"/>
            <w:tcMar>
              <w:top w:w="70" w:type="dxa"/>
              <w:start w:w="110" w:type="dxa"/>
              <w:bottom w:w="70" w:type="dxa"/>
              <w:end w:w="110" w:type="dxa"/>
            </w:tcMar>
            <w:vAlign w:val="center"/>
          </w:tcPr>
          <w:p>
            <w:pPr>
              <w:pStyle w:val="TableText"/>
              <w:jc w:val="left"/>
            </w:pPr>
            <w:r>
              <w:rPr>
                <w:lang w:val="en-US" w:eastAsia="en-US" w:bidi="ar-SA"/>
              </w:rPr>
              <w:t>Prepared meals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1602.50.91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1602.50.99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Prepared meals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1602.90.91</w:t>
            </w:r>
          </w:p>
        </w:tc>
        <w:tc>
          <w:tcPr>
            <w:tcW w:w="4679" w:type="dxa"/>
            <w:tcMar>
              <w:top w:w="70" w:type="dxa"/>
              <w:start w:w="110" w:type="dxa"/>
              <w:bottom w:w="70" w:type="dxa"/>
              <w:end w:w="110" w:type="dxa"/>
            </w:tcMar>
            <w:vAlign w:val="center"/>
          </w:tcPr>
          <w:p>
            <w:pPr>
              <w:pStyle w:val="TableText"/>
              <w:jc w:val="left"/>
            </w:pPr>
            <w:r>
              <w:rPr>
                <w:lang w:val="en-US" w:eastAsia="en-US" w:bidi="ar-SA"/>
              </w:rPr>
              <w:t>Other: 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1602.90.99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1603.00.10</w:t>
            </w:r>
          </w:p>
        </w:tc>
        <w:tc>
          <w:tcPr>
            <w:tcW w:w="4679" w:type="dxa"/>
            <w:tcMar>
              <w:top w:w="70" w:type="dxa"/>
              <w:start w:w="110" w:type="dxa"/>
              <w:bottom w:w="70" w:type="dxa"/>
              <w:end w:w="110" w:type="dxa"/>
            </w:tcMar>
            <w:vAlign w:val="center"/>
          </w:tcPr>
          <w:p>
            <w:pPr>
              <w:pStyle w:val="TableText"/>
              <w:jc w:val="left"/>
            </w:pPr>
            <w:r>
              <w:rPr>
                <w:lang w:val="en-US" w:eastAsia="en-US" w:bidi="ar-SA"/>
              </w:rPr>
              <w:t>Of meat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1603.00.20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fish or crustaceans, molluscs or other aquatic invertebrates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1604.11.00</w:t>
            </w:r>
          </w:p>
        </w:tc>
        <w:tc>
          <w:tcPr>
            <w:tcW w:w="4679" w:type="dxa"/>
            <w:tcMar>
              <w:top w:w="70" w:type="dxa"/>
              <w:start w:w="110" w:type="dxa"/>
              <w:bottom w:w="70" w:type="dxa"/>
              <w:end w:w="110" w:type="dxa"/>
            </w:tcMar>
            <w:vAlign w:val="center"/>
          </w:tcPr>
          <w:p>
            <w:pPr>
              <w:pStyle w:val="TableText"/>
              <w:jc w:val="left"/>
            </w:pPr>
            <w:r>
              <w:rPr>
                <w:lang w:val="en-US" w:eastAsia="en-US" w:bidi="ar-SA"/>
              </w:rPr>
              <w:t>Salmon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1604.12.10</w:t>
            </w:r>
          </w:p>
        </w:tc>
        <w:tc>
          <w:tcPr>
            <w:tcW w:w="4679" w:type="dxa"/>
            <w:tcMar>
              <w:top w:w="70" w:type="dxa"/>
              <w:start w:w="110" w:type="dxa"/>
              <w:bottom w:w="70" w:type="dxa"/>
              <w:end w:w="110" w:type="dxa"/>
            </w:tcMar>
            <w:vAlign w:val="center"/>
          </w:tcPr>
          <w:p>
            <w:pPr>
              <w:pStyle w:val="TableText"/>
              <w:jc w:val="left"/>
            </w:pPr>
            <w:r>
              <w:rPr>
                <w:lang w:val="en-US" w:eastAsia="en-US" w:bidi="ar-SA"/>
              </w:rPr>
              <w:t>Pickled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1604.13.10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1604.14.10</w:t>
            </w:r>
          </w:p>
        </w:tc>
        <w:tc>
          <w:tcPr>
            <w:tcW w:w="4679" w:type="dxa"/>
            <w:tcMar>
              <w:top w:w="70" w:type="dxa"/>
              <w:start w:w="110" w:type="dxa"/>
              <w:bottom w:w="70" w:type="dxa"/>
              <w:end w:w="110" w:type="dxa"/>
            </w:tcMar>
            <w:vAlign w:val="center"/>
          </w:tcPr>
          <w:p>
            <w:pPr>
              <w:pStyle w:val="TableText"/>
              <w:jc w:val="left"/>
            </w:pPr>
            <w:r>
              <w:rPr>
                <w:lang w:val="en-US" w:eastAsia="en-US" w:bidi="ar-SA"/>
              </w:rPr>
              <w:t>Atlantic bonito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1604.15.00</w:t>
            </w:r>
          </w:p>
        </w:tc>
        <w:tc>
          <w:tcPr>
            <w:tcW w:w="4679" w:type="dxa"/>
            <w:tcMar>
              <w:top w:w="70" w:type="dxa"/>
              <w:start w:w="110" w:type="dxa"/>
              <w:bottom w:w="70" w:type="dxa"/>
              <w:end w:w="110" w:type="dxa"/>
            </w:tcMar>
            <w:vAlign w:val="center"/>
          </w:tcPr>
          <w:p>
            <w:pPr>
              <w:pStyle w:val="TableText"/>
              <w:jc w:val="left"/>
            </w:pPr>
            <w:r>
              <w:rPr>
                <w:lang w:val="en-US" w:eastAsia="en-US" w:bidi="ar-SA"/>
              </w:rPr>
              <w:t>Mackerel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1604.16.10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1604.16.90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1604.18.00</w:t>
            </w:r>
          </w:p>
        </w:tc>
        <w:tc>
          <w:tcPr>
            <w:tcW w:w="4679" w:type="dxa"/>
            <w:tcMar>
              <w:top w:w="70" w:type="dxa"/>
              <w:start w:w="110" w:type="dxa"/>
              <w:bottom w:w="70" w:type="dxa"/>
              <w:end w:w="110" w:type="dxa"/>
            </w:tcMar>
            <w:vAlign w:val="center"/>
          </w:tcPr>
          <w:p>
            <w:pPr>
              <w:pStyle w:val="TableText"/>
              <w:jc w:val="left"/>
            </w:pPr>
            <w:r>
              <w:rPr>
                <w:lang w:val="en-US" w:eastAsia="en-US" w:bidi="ar-SA"/>
              </w:rPr>
              <w:t>Shark fins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Whitebait, 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Prepared meals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1604.20.20</w:t>
            </w:r>
          </w:p>
        </w:tc>
        <w:tc>
          <w:tcPr>
            <w:tcW w:w="4679" w:type="dxa"/>
            <w:tcMar>
              <w:top w:w="70" w:type="dxa"/>
              <w:start w:w="110" w:type="dxa"/>
              <w:bottom w:w="70" w:type="dxa"/>
              <w:end w:w="110" w:type="dxa"/>
            </w:tcMar>
            <w:vAlign w:val="center"/>
          </w:tcPr>
          <w:p>
            <w:pPr>
              <w:pStyle w:val="TableText"/>
              <w:jc w:val="left"/>
            </w:pPr>
            <w:r>
              <w:rPr>
                <w:lang w:val="en-US" w:eastAsia="en-US" w:bidi="ar-SA"/>
              </w:rPr>
              <w:t>Gefilte fish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1604.31.00</w:t>
            </w:r>
          </w:p>
        </w:tc>
        <w:tc>
          <w:tcPr>
            <w:tcW w:w="4679" w:type="dxa"/>
            <w:tcMar>
              <w:top w:w="70" w:type="dxa"/>
              <w:start w:w="110" w:type="dxa"/>
              <w:bottom w:w="70" w:type="dxa"/>
              <w:end w:w="110" w:type="dxa"/>
            </w:tcMar>
            <w:vAlign w:val="center"/>
          </w:tcPr>
          <w:p>
            <w:pPr>
              <w:pStyle w:val="TableText"/>
              <w:jc w:val="left"/>
            </w:pPr>
            <w:r>
              <w:rPr>
                <w:lang w:val="en-US" w:eastAsia="en-US" w:bidi="ar-SA"/>
              </w:rPr>
              <w:t>Caviar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Caviar substitutes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1605.10.00</w:t>
            </w:r>
          </w:p>
        </w:tc>
        <w:tc>
          <w:tcPr>
            <w:tcW w:w="4679" w:type="dxa"/>
            <w:tcMar>
              <w:top w:w="70" w:type="dxa"/>
              <w:start w:w="110" w:type="dxa"/>
              <w:bottom w:w="70" w:type="dxa"/>
              <w:end w:w="110" w:type="dxa"/>
            </w:tcMar>
            <w:vAlign w:val="center"/>
          </w:tcPr>
          <w:p>
            <w:pPr>
              <w:pStyle w:val="TableText"/>
              <w:jc w:val="left"/>
            </w:pPr>
            <w:r>
              <w:rPr>
                <w:lang w:val="en-US" w:eastAsia="en-US" w:bidi="ar-SA"/>
              </w:rPr>
              <w:t>Crab</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in airtight container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 cooked by steaming or boiling in water, whether or not frozen but not further prepared or preserved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1605.40.10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Crayfish, 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1605.40.90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Oysters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1605.52.00</w:t>
            </w:r>
          </w:p>
        </w:tc>
        <w:tc>
          <w:tcPr>
            <w:tcW w:w="4679" w:type="dxa"/>
            <w:tcMar>
              <w:top w:w="70" w:type="dxa"/>
              <w:start w:w="110" w:type="dxa"/>
              <w:bottom w:w="70" w:type="dxa"/>
              <w:end w:w="110" w:type="dxa"/>
            </w:tcMar>
            <w:vAlign w:val="center"/>
          </w:tcPr>
          <w:p>
            <w:pPr>
              <w:pStyle w:val="TableText"/>
              <w:jc w:val="left"/>
            </w:pPr>
            <w:r>
              <w:rPr>
                <w:lang w:val="en-US" w:eastAsia="en-US" w:bidi="ar-SA"/>
              </w:rPr>
              <w:t>Scallops, including queen scallops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Mussels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1605.54.00</w:t>
            </w:r>
          </w:p>
        </w:tc>
        <w:tc>
          <w:tcPr>
            <w:tcW w:w="4679" w:type="dxa"/>
            <w:tcMar>
              <w:top w:w="70" w:type="dxa"/>
              <w:start w:w="110" w:type="dxa"/>
              <w:bottom w:w="70" w:type="dxa"/>
              <w:end w:w="110" w:type="dxa"/>
            </w:tcMar>
            <w:vAlign w:val="center"/>
          </w:tcPr>
          <w:p>
            <w:pPr>
              <w:pStyle w:val="TableText"/>
              <w:jc w:val="left"/>
            </w:pPr>
            <w:r>
              <w:rPr>
                <w:lang w:val="en-US" w:eastAsia="en-US" w:bidi="ar-SA"/>
              </w:rPr>
              <w:t>Cuttle fish and squid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Octopus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1605.56.00</w:t>
            </w:r>
          </w:p>
        </w:tc>
        <w:tc>
          <w:tcPr>
            <w:tcW w:w="4679" w:type="dxa"/>
            <w:tcMar>
              <w:top w:w="70" w:type="dxa"/>
              <w:start w:w="110" w:type="dxa"/>
              <w:bottom w:w="70" w:type="dxa"/>
              <w:end w:w="110" w:type="dxa"/>
            </w:tcMar>
            <w:vAlign w:val="center"/>
          </w:tcPr>
          <w:p>
            <w:pPr>
              <w:pStyle w:val="TableText"/>
              <w:jc w:val="left"/>
            </w:pPr>
            <w:r>
              <w:rPr>
                <w:lang w:val="en-US" w:eastAsia="en-US" w:bidi="ar-SA"/>
              </w:rPr>
              <w:t>Clams, cockles and arkshells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Abalone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1605.58.00</w:t>
            </w:r>
          </w:p>
        </w:tc>
        <w:tc>
          <w:tcPr>
            <w:tcW w:w="4679" w:type="dxa"/>
            <w:tcMar>
              <w:top w:w="70" w:type="dxa"/>
              <w:start w:w="110" w:type="dxa"/>
              <w:bottom w:w="70" w:type="dxa"/>
              <w:end w:w="110" w:type="dxa"/>
            </w:tcMar>
            <w:vAlign w:val="center"/>
          </w:tcPr>
          <w:p>
            <w:pPr>
              <w:pStyle w:val="TableText"/>
              <w:jc w:val="left"/>
            </w:pPr>
            <w:r>
              <w:rPr>
                <w:lang w:val="en-US" w:eastAsia="en-US" w:bidi="ar-SA"/>
              </w:rPr>
              <w:t>Snails, other than sea snails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Toheroas, in can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Sea cucumbers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1605.62.00</w:t>
            </w:r>
          </w:p>
        </w:tc>
        <w:tc>
          <w:tcPr>
            <w:tcW w:w="4679" w:type="dxa"/>
            <w:tcMar>
              <w:top w:w="70" w:type="dxa"/>
              <w:start w:w="110" w:type="dxa"/>
              <w:bottom w:w="70" w:type="dxa"/>
              <w:end w:w="110" w:type="dxa"/>
            </w:tcMar>
            <w:vAlign w:val="center"/>
          </w:tcPr>
          <w:p>
            <w:pPr>
              <w:pStyle w:val="TableText"/>
              <w:jc w:val="left"/>
            </w:pPr>
            <w:r>
              <w:rPr>
                <w:lang w:val="en-US" w:eastAsia="en-US" w:bidi="ar-SA"/>
              </w:rPr>
              <w:t>Sea urchins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1605.63.00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Jellyfish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by sugar refineries in the production of refined sugar used in the manufacture of wine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1701.12.90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1701.13.10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by sugar refineries in the production of refined sugar used in the manufacture of wine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1701.13.90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cane sugar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1701.91.90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1702.11.00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by weight 99% or more lactose, expressed as anhydrous lactose, calculated on the dry matter</w:t>
            </w:r>
          </w:p>
        </w:tc>
      </w:tr>
    </w:tbl>
    <w:p>
      <w:pPr>
        <w:pStyle w:val="Normal"/>
      </w:pPr>
      <w:r>
        <w:t>1702.19.00 Other 1702.20.00 Maple sugar and maple syrup 1702.30.10 Crystalline dextrose, having a dextrose equivalent of 90% or more but not more than 10% by weight of moisture 1702.30.90 Other 1702.40.00 Glucose and glucose syrup, containing in the dry state at least 20% but less than 50% by weight of fructose, excluding invert sugar 1702.50.00 Chemically pure fructose 1702.60.00 Other fructose and fructose syrup, containing in the dry state more than 50% by weight of fructose, excluding invert sugar 1702.90.11 Invert sugar and other sugar syrups containing, after inversion, reducing sugars weighing 75% or more of the total solid weight and in receptacles where the gross weight exceeds 27 kg: Containing reducing sugars after inversion not exceeding 65% by weight of the total syrup * 1702.90.12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65% but not exceeding 70% by weight of the total syrup * 1702.90.13 Invert sugar and other sugar syrups containing, after inversion, reducing sugars weighing 75% or more of the total solid weight and in receptacles where the gross weight exceeds 27 kg: Containing reducing sugars after inversion exceeding 70% but not exceeding 71% by weight of the total syrup * 1702.90.14 Invert sugar and other sugar syrups containing, after inversion, reducing sugars</w:t>
      </w:r>
    </w:p>
    <w:p>
      <w:pPr>
        <w:pStyle w:val="Normal"/>
      </w:pPr>
      <w:r>
        <w:t>weighing 75% or more of the total solid weight and in receptacles where the gross weight exceeds 27 kg: Containing reducing sugars after inversion exceeding 71% but not exceeding 72% by weight of the total syrup *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 1702.90.16 Invert sugar and other sugar syrups containing, after inversion, reducing sugars weighing 75% or more of the total solid weight and in receptacles where the gross weight exceeds 27 kg: Containing reducing sugars after inversion exceeding 73% but not exceeding 74% by weight of the total syrup * 1702.90.17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74% but not exceeding 75% by weight of the total syrup * 1702.90.18 Invert sugar and other sugar syrups containing, after inversion, reducing sugars weighing 75% or more of the total solid weight and in receptacles where the gross weight exceeds 27 kg: Containing reducing sugars after inversion exceeding 75% by weight of the total syrup * 1702.90.29 Artificial honey, whether or not mixed with natural honey: 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1702.90.40</w:t>
            </w:r>
          </w:p>
        </w:tc>
        <w:tc>
          <w:tcPr>
            <w:tcW w:w="4679" w:type="dxa"/>
            <w:tcMar>
              <w:top w:w="70" w:type="dxa"/>
              <w:start w:w="110" w:type="dxa"/>
              <w:bottom w:w="70" w:type="dxa"/>
              <w:end w:w="110" w:type="dxa"/>
            </w:tcMar>
            <w:vAlign w:val="center"/>
          </w:tcPr>
          <w:p>
            <w:pPr>
              <w:pStyle w:val="TableText"/>
              <w:jc w:val="left"/>
            </w:pPr>
            <w:r>
              <w:rPr>
                <w:lang w:val="en-US" w:eastAsia="en-US" w:bidi="ar-SA"/>
              </w:rPr>
              <w:t>Chemically pure maltose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1702.90.50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Colouring caramels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1702.90.69</w:t>
            </w:r>
          </w:p>
        </w:tc>
        <w:tc>
          <w:tcPr>
            <w:tcW w:w="4679" w:type="dxa"/>
            <w:tcMar>
              <w:top w:w="70" w:type="dxa"/>
              <w:start w:w="110" w:type="dxa"/>
              <w:bottom w:w="70" w:type="dxa"/>
              <w:end w:w="110" w:type="dxa"/>
            </w:tcMar>
            <w:vAlign w:val="center"/>
          </w:tcPr>
          <w:p>
            <w:pPr>
              <w:pStyle w:val="TableText"/>
              <w:jc w:val="left"/>
            </w:pPr>
            <w:r>
              <w:rPr>
                <w:lang w:val="en-US" w:eastAsia="en-US" w:bidi="ar-SA"/>
              </w:rPr>
              <w:t>Other sucrose sugars: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1702.90.89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invert sugars and other sugar syrups: 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 with admixture other than colouring or anti-caking agents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1703.10.90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 with admixture other than colouring or anti-caking agents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Chewing gum, whether or not sugar-coated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1704.90.10</w:t>
            </w:r>
          </w:p>
        </w:tc>
        <w:tc>
          <w:tcPr>
            <w:tcW w:w="4679" w:type="dxa"/>
            <w:tcMar>
              <w:top w:w="70" w:type="dxa"/>
              <w:start w:w="110" w:type="dxa"/>
              <w:bottom w:w="70" w:type="dxa"/>
              <w:end w:w="110" w:type="dxa"/>
            </w:tcMar>
            <w:vAlign w:val="center"/>
          </w:tcPr>
          <w:p>
            <w:pPr>
              <w:pStyle w:val="TableText"/>
              <w:jc w:val="left"/>
            </w:pPr>
            <w:r>
              <w:rPr>
                <w:lang w:val="en-US" w:eastAsia="en-US" w:bidi="ar-SA"/>
              </w:rPr>
              <w:t>Chestnut cream or paste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1704.90.20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Liquorice candy; Toffee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1704.90.90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1801.00.00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Cocoa beans, whole or broken, raw or roasted.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1802.00.00</w:t>
            </w:r>
          </w:p>
        </w:tc>
        <w:tc>
          <w:tcPr>
            <w:tcW w:w="4679" w:type="dxa"/>
            <w:tcMar>
              <w:top w:w="70" w:type="dxa"/>
              <w:start w:w="110" w:type="dxa"/>
              <w:bottom w:w="70" w:type="dxa"/>
              <w:end w:w="110" w:type="dxa"/>
            </w:tcMar>
            <w:vAlign w:val="center"/>
          </w:tcPr>
          <w:p>
            <w:pPr>
              <w:pStyle w:val="TableText"/>
              <w:jc w:val="left"/>
            </w:pPr>
            <w:r>
              <w:rPr>
                <w:lang w:val="en-US" w:eastAsia="en-US" w:bidi="ar-SA"/>
              </w:rPr>
              <w:t>Cocoa shells, husks, skins and other cocoa waste.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1803.10.00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defatted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1803.20.00</w:t>
            </w:r>
          </w:p>
        </w:tc>
        <w:tc>
          <w:tcPr>
            <w:tcW w:w="4679" w:type="dxa"/>
            <w:tcMar>
              <w:top w:w="70" w:type="dxa"/>
              <w:start w:w="110" w:type="dxa"/>
              <w:bottom w:w="70" w:type="dxa"/>
              <w:end w:w="110" w:type="dxa"/>
            </w:tcMar>
            <w:vAlign w:val="center"/>
          </w:tcPr>
          <w:p>
            <w:pPr>
              <w:pStyle w:val="TableText"/>
              <w:jc w:val="left"/>
            </w:pPr>
            <w:r>
              <w:rPr>
                <w:lang w:val="en-US" w:eastAsia="en-US" w:bidi="ar-SA"/>
              </w:rPr>
              <w:t>Wholly or partly defatted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1804.00.00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Cocoa butter, fat and oil.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1805.00.00</w:t>
            </w:r>
          </w:p>
        </w:tc>
        <w:tc>
          <w:tcPr>
            <w:tcW w:w="4679" w:type="dxa"/>
            <w:tcMar>
              <w:top w:w="70" w:type="dxa"/>
              <w:start w:w="110" w:type="dxa"/>
              <w:bottom w:w="70" w:type="dxa"/>
              <w:end w:w="110" w:type="dxa"/>
            </w:tcMar>
            <w:vAlign w:val="center"/>
          </w:tcPr>
          <w:p>
            <w:pPr>
              <w:pStyle w:val="TableText"/>
              <w:jc w:val="left"/>
            </w:pPr>
            <w:r>
              <w:rPr>
                <w:lang w:val="en-US" w:eastAsia="en-US" w:bidi="ar-SA"/>
              </w:rPr>
              <w:t>Cocoa powder, not containing added sugar or other sweetening matter.</w:t>
            </w:r>
          </w:p>
        </w:tc>
      </w:tr>
    </w:tbl>
    <w:p>
      <w:pPr>
        <w:pStyle w:val="Normal"/>
      </w:pPr>
      <w:r>
        <w:t>1806.10.10 Containing 90% or more by weight of sugar * 1806.10.90 Other 1806.20.10 Cocoa paste containing added sugar or other sweetening matter, whether or not enriched with additional cocoa butter, but containing no other ingredients 1806.20.21 Chocolate ice cream mix or ice milk mix: Within access commitment * 1806.20.22 Chocolate ice cream mix or ice milk mix: Over access commitment * * 1806.20.90 Other 1806.31.00 Filled 1806.32.00 Not filled 1806.90.11 Chocolate ice cream mix or ice milk mix: Within access commitment * 1806.90.12 Chocolate ice cream mix or ice milk mix: Over access commitment * * 1806.90.90 Other 1901.10.10 Food preparations of flour, meal, starch or malt extract 1901.10.20 Food preparations of goods of headings 04.01 to 04.04 containing more than 10% on a dry weight basis of milk solids 1901.10.90 Other 1901.20.11 In packages of a weight not exceeding 11.34 kg each: Containing more than 25% by weight of butterfat, not put up for retail sale, within access commitment * 1901.20.12 In packages of a weight not exceeding 11.34 kg each:</w:t>
      </w:r>
    </w:p>
    <w:p>
      <w:pPr>
        <w:pStyle w:val="Normal"/>
      </w:pPr>
      <w:r>
        <w:t>Containing more than 25% by weight of butterfat, not put up for retail sale, over access commitment * * 1901.20.13 In packages of a weight not exceeding 11.34 kg each: Other, containing 25% or more by weight of wheat, within access commitment 1901.20.14 In packages of a weight not exceeding 11.34 kg each: Other, in packages of a weight not exceeding 454 g each, containing 25% or more by weight of wheat, over access</w:t>
      </w:r>
    </w:p>
    <w:p>
      <w:pPr>
        <w:pStyle w:val="Normal"/>
      </w:pPr>
      <w:r>
        <w:t>commitment; Frozen, for bread, buns, rolls and pizza crusts, in packages of a weight not exceeding 900 g each, containing 25% or more by weight of wheat, over access commitment 1901.20.15 In packages of a weight not exceeding 11.34 kg each: Other, containing 25% or more by weight of wheat, over access commitment 1901.20.19 In packages of a weight not exceeding 11.34 kg each: Other 1901.20.21 In bulk or in packages of a weight exceeding 11.34 kg each: Containing more than 25% by weight of butterfat, not put up for retail sale, within access commitment * 1901.20.22 In bulk or in packages of a weight exceeding 11.34 kg each: Containing more than 25% by weight of butterfat, not put up for retail sale, over access commitment * * 1901.20.23 In bulk or in packages of a weight exceeding 11.34 kg each: Other, containing 25% or more by weight of wheat, within access commitment 1901.20.24 In bulk or in packages of a weight exceeding 11.34 kg each:</w:t>
      </w:r>
    </w:p>
    <w:p>
      <w:pPr>
        <w:pStyle w:val="Normal"/>
      </w:pPr>
      <w:r>
        <w:t>Other, containing 25% or more by weight of wheat, over access commitment 1901.20.29 In bulk or in packages of a weight exceeding 11.34 kg each: Other 1901.90.11 Malt extract: Within access commitment 1901.90.12 Malt extract: Over access commitment 1901.90.20 Food preparations of flour, meal, starch or malt extract 1901.90.31 Food preparations of goods of headings 04.01 to 04.04, containing more than 10% but less than 50 % on a dry weight basis of milk solids: Ice cream mixes or ice milk mixes, within access commitment * * 1901.90.32 Food</w:t>
      </w:r>
    </w:p>
    <w:p>
      <w:pPr>
        <w:pStyle w:val="Normal"/>
      </w:pPr>
      <w:r>
        <w:t>preparations of goods of headings 04.01 to 04.04, containing more than 10% but less than 50 % on a dry weight basis of milk solids: Ice cream mixes or ice milk mixes, over access commitment * * 1901.90.33 Food preparations of goods of headings 04.01 to 04.04, containing more than 10% but less than 50 % on a dry weight basis of milk solids: Other, not put up for retail sale, within access commitment * * 1901.90.34 Food preparations of goods of headings 04.01 to 04.04, containing more than 10% but less than 50 % on a dry weight basis of milk solids: Other, not put up for retail sale, over access commitment * * 1901.90.39 Food preparations of goods of headings 04.01 to 04.04, containing more than 10% but less than 50 % on a dry weight basis of milk solids:</w:t>
      </w:r>
    </w:p>
    <w:p>
      <w:pPr>
        <w:pStyle w:val="Normal"/>
      </w:pPr>
      <w:r>
        <w:t>Other 1901.90.40 Food preparations of goods of headings 04.01 to 04.04, containing 10% or less on a dry weight basis of milk solids 1901.90.51 Food preparations of goods of headings 04.01 to 04.04, containing 50 % or more on a dry weight basis of milk solids: Ice cream mixes or ice milk mixes, within access commitment * * 1901.90.52 Food preparations of goods of headings 04.01 to 04.04, containing 50 % or more on a dry weight basis of milk solids: Ice cream mixes or ice milk mixes, over access commitment * * 1901.90.53 Food preparations of goods of headings 04.01 to 04.04, containing 50 % or more on a dry weight basis of milk solids: Other, not put up for retail sale, within access commitment * * 1901.90.54 Food preparations</w:t>
      </w:r>
    </w:p>
    <w:p>
      <w:pPr>
        <w:pStyle w:val="Normal"/>
      </w:pPr>
      <w:r>
        <w:t>of goods of headings 04.01 to 04.04, containing 50 % or more on a dry weight basis of milk solids: Other, not put up for retail sale, over access commitment * * 1901.90.59 Food preparations of goods of headings 04.01 to 04.04, containing 50 % or more on a dry weight basis of milk solids: Other 1902.11.10 Containing 25% or more by weight of wheat, within access commitment 1902.11.21 Containing 25% or more by weight of wheat, over access commitment: In packages of a weight not exceeding 2.3 kg each 1902.11.29 Containing 25% or more by weight of wheat, over access commitment: Other 1902.11.90 Other 1902.19.11 Low protein or protein-free pasta, certified by Health Canada as special low protein or protein-free dietary products: Containing 25% or more by weight of wheat, within access commitment 1902.19.12 Low protein or protein-free pasta, certified by Health Canada as special low protein or protein-free dietary products:</w:t>
      </w:r>
    </w:p>
    <w:p>
      <w:pPr>
        <w:pStyle w:val="Normal"/>
      </w:pPr>
      <w:r>
        <w:t>Containing 25% or more by weight of wheat, over access commitment 1902.19.19 Low protein or protein-free pasta, certified by Health Canada as special low protein or protein-free dietary products: Other 1902.19.21 Other, containing flour and water only: Containing 25% or more by weight of wheat, within access commitment 1902.19.22 Other, containing flour and water only: Containing 25% or more by weight of wheat, in packages of a weight not exceeding 2.3 kg each, over access commitment 1902.19.23 Other, containing flour and water only: Other, containing 25% or</w:t>
      </w:r>
    </w:p>
    <w:p>
      <w:pPr>
        <w:pStyle w:val="Normal"/>
      </w:pPr>
      <w:r>
        <w:t>more by weight of wheat, over access commitment 1902.19.29 Other, containing flour and water only: Other 1902.19.91 Other: Containing 25% or more by weight of wheat, within access commitment 1902.19.92 Other: Containing 25% or more by weight of wheat, in packages of a weight not exceeding 2.3 kg each, over access commitment 1902.19.93 Other: Other, containing 25% or more by weight of wheat, over access commitment 1902.19.99 Other: Other 1902.20.00 Stuffed pasta, whether or not cooked or otherwise prepared 1902.30.11 Low protein or protein-free pasta, without meat, certified by Health Canada as special low protein or protein-free dietary products: Containing 25% or more by weight of wheat, within access commitment 1902.30.12 Low protein or protein-free pasta, without meat, certified by Health Canada as special low protein or protein-free dietary products: Containing 25% or more by weight of wheat, over access commitment 1902.30.19 Low protein or protein-free pasta, without meat, certified by Health Canada as special low protein or protein-free dietary products:</w:t>
      </w:r>
    </w:p>
    <w:p>
      <w:pPr>
        <w:pStyle w:val="Normal"/>
      </w:pPr>
      <w:r>
        <w:t>Other 1902.30.20 Other, containing 25% or more by weight of wheat, without meat, within access commitment 1902.30.31 Other, containing 25% or more by weight of wheat, without meat, over access commitment: In packages of a weight not exceeding 2.3 kg each 1902.30.39 Other, containing 25% or more by weight of wheat, without meat, over access commitment: Other 1902.30.40 Other, without meat 1902.30.50 With meat 1902.40.10</w:t>
      </w:r>
    </w:p>
    <w:p>
      <w:pPr>
        <w:pStyle w:val="Normal"/>
      </w:pPr>
      <w:r>
        <w:t>In packages of a weight not exceeding 11.34 kg each 1902.40.20 In bulk or in packages of a weight exceeding 11.34 kg each 1903.00.00 Tapioca and substitutes therefor prepared from starch, in the form of flakes, grains, pearls, siftings or in similar forms. 1904.10.10 Containing 25% or more by weight of wheat, within access commitment 1904.10.21 Containing 25% or more by weight of wheat, over access commitment: In packages of a weight not exceeding 454 g each 1904.10.29 Containing 25% or more by weight of wheat, over access commitment: Other 1904.10.30 Of barley, within access commitment 1904.10.41 Of barley, over access commitment: Breakfast cereals, in packages of a weight not exceeding 454 g each 1904.10.49 Of barley, over access commitment: Other 1904.10.90 Other 1904.20.10 Containing 25% or more by weight of wheat, in packages of a weight not exceeding 11.34 kg each, within access commitment 1904.20.21 Containing 25% or more by weight of wheat, in packages of a weight not exceeding 11.34 kg each, over access commitment:</w:t>
      </w:r>
    </w:p>
    <w:p>
      <w:pPr>
        <w:pStyle w:val="Normal"/>
      </w:pPr>
      <w:r>
        <w:t>In packages of a weight not exceeding 454 g each 1904.20.29 Containing 25% or more by weight of wheat, in packages of a weight not exceeding 11.34 kg each, over access commitment: Other 1904.20.30 Of barley, in packages of a weight not exceeding 11.34 kg each, within access commitment 1904.20.41 Of barley, in packages of a weight not exceeding 11.34 kg each, over access commitment: Breakfast cereals, in packages of a weight not exceeding 454 g each</w:t>
      </w:r>
    </w:p>
    <w:p>
      <w:pPr>
        <w:pStyle w:val="Normal"/>
      </w:pPr>
      <w:r>
        <w:t>1904.20.49 Of barley, in packages of a weight not exceeding 11.34 kg each, over access commitment: Other 1904.20.50 Other, in packages of a weight not exceeding 11.34 kg each 1904.20.61 In bulk or in packages of a weight exceeding 11.34 kg each: Containing 25% or more by weight of wheat, within access commitment 1904.20.62 In bulk or in packages of a weight exceeding 11.34 kg each: Containing 25% or more by weight of wheat, over access commitment 1904.20.63 In bulk or in packages of a weight exceeding 11.34 kg each: Of barley, within access commitment 1904.20.64 In bulk or in packages of a weight exceeding 11.34 kg each: Of barley, over access commitment 1904.20.69 In bulk or in packages of a weight exceeding 11.34 kg each: Other 1904.30.10 Containing 25% or more by weight of wheat, in packages of a weight not exceeding 11.34 kg each, within access commitment 1904.30.21 Containing 25% or more by weight of wheat, in packages of a weight not exceeding 11.34 kg each, over access commitment:</w:t>
      </w:r>
    </w:p>
    <w:p>
      <w:pPr>
        <w:pStyle w:val="Normal"/>
      </w:pPr>
      <w:r>
        <w:t>In packages of a weight not exceeding 454 g each 1904.30.29 Containing 25% or more by weight of wheat, in packages of a weight not exceeding 11.34 kg each, over access commitment: Other 1904.30.50 Other, in packages of a weight not exceeding 11.34 kg each 1904.30.61 In bulk or in packages of a weight exceeding 11.34 kg each: Containing 25% or more by weight of wheat, within access commitment 1904.30.62 In bulk or in packages of a weight exceeding 11.34 kg each: Containing 25% or more by</w:t>
      </w:r>
    </w:p>
    <w:p>
      <w:pPr>
        <w:pStyle w:val="Normal"/>
      </w:pPr>
      <w:r>
        <w:t>weight of wheat, over access commitment 1904.30.69 In bulk or in packages of a weight exceeding 11.34 kg each: Other 1904.90.10 Containing 25% or more by weight of wheat, in packages of a weight not exceeding 11.34 kg each, within access commitment 1904.90.21 Containing 25% or more by weight of wheat, in packages of a weight not exceeding 11.34 kg each, over access commitment: In packages of a weight not exceeding 454 g each 1904.90.29 Containing 25% or more by weight of wheat, in packages of a weight not exceeding 11.34 kg each, over access commitment: Other 1904.90.30 Of barley, in packages of a weight not exceeding 11.34 kg each, within access commitment 1904.90.40 Of barley, in packages of a weight not exceeding 11.34 kg each, over access commitment 1904.90.50 Other, in packages of a weight not exceeding 11.34 kg each 1904.90.61 In bulk or in packages of a weight exceeding 11.34 kg each: Containing 25% or more by weight of wheat, within access commitment 1904.90.62 In bulk or in packages of a weight exceeding 11.34 kg each:</w:t>
      </w:r>
    </w:p>
    <w:p>
      <w:pPr>
        <w:pStyle w:val="Normal"/>
      </w:pPr>
      <w:r>
        <w:t>Containing 25% or more by weight of wheat, over access commitment 1904.90.63 In bulk or in packages of a weight exceeding 11.34 kg each: Of barley, within access commitment 1904.90.64 In bulk or in packages of a weight exceeding 11.34 kg each: Of barley, over access commitment 1904.90.69 In bulk or in packages of a weight exceeding 11.34 kg each: Other 1905.10.10 Leavened with yeast, containing 25% or more by weight of wheat, within access commitment</w:t>
      </w:r>
    </w:p>
    <w:p>
      <w:pPr>
        <w:pStyle w:val="Normal"/>
      </w:pPr>
      <w:r>
        <w:t>1905.10.21 Leavened with yeast, containing 25% or more by weight of wheat, over access commitment: In packages of a weight not exceeding 454 g each 1905.10.29 Leavened with yeast, containing 25% or more by weight of wheat, over access commitment: Other 1905.10.30 Other, leavened with yeast 1905.10.40 Not leavened with yeast, in packages of a weight not exceeding 11.34 kg each, containing 25% or more by weight of wheat, within access commitment 1905.10.51 Not leavened with yeast, in packages of a weight not exceeding 11.34 kg each, containing 25% or more by weight of wheat, over access commitment: In packages of a weight not exceeding 454 g each 1905.10.59 Not leavened with yeast, in packages of a weight not exceeding 11.34 kg each, containing 25% or more by weight of wheat, over access commitment: Other 1905.10.60 Other, not leavened with yeast, in packages of a weight not exceeding 11.34 kg each 1905.10.71 Other, not leavened with yeast, in bulk or in packages of a weight exceeding 11.34 kg each:</w:t>
      </w:r>
    </w:p>
    <w:p>
      <w:pPr>
        <w:pStyle w:val="Normal"/>
      </w:pPr>
      <w:r>
        <w:t>Containing 25% or more by weight of wheat, within access commitment 1905.10.72 Other, not leavened with yeast, in bulk or in packages of a weight exceeding 11.34 kg each: Containing 25% or more by weight of wheat, over access commitment 1905.10.79 Other, not leavened with yeast, in bulk or in packages of a weight exceeding 11.34 kg each: Other 1905.20.00 Gingerbread and the like 1905.31.10 Certified by Health Canada as special low protein or protein-free products 1905.31.21 Other</w:t>
      </w:r>
    </w:p>
    <w:p>
      <w:pPr>
        <w:pStyle w:val="Normal"/>
      </w:pPr>
      <w:r>
        <w:t>biscuits valued at 44¢/kg or more, said value to be based on the net weight and to include the value of the usual retail package: Containing 25% or more by weight of wheat, within access commitment 1905.31.22 Other biscuits valued at not less than 44¢/kg, said value to be based on the net weight and to include the value of the usual retail package: Containing 25% or more by weight of wheat, in packages of a weight not exceeding 1.36 kg each, over access commitment 1905.31.23 Other biscuits valued at not less than 44¢/kg, said value to be based on the net weight and to include the value of the usual retail package: Containing 25% or more by weight of wheat, over access commitment 1905.31.29 Other biscuits valued at not less than 44¢/kg, said value to be based on the net weight and to include the value of the usual retail package: Other 1905.31.91 Other: Containing 25% or more by weight of wheat, within access commitment 1905.31.92 Other:</w:t>
      </w:r>
    </w:p>
    <w:p>
      <w:pPr>
        <w:pStyle w:val="Normal"/>
      </w:pPr>
      <w:r>
        <w:t>Sweet biscuits containing 25% or more by weight of wheat, in packages of a weight not exceeding 1.36 kg each, over access commitment 1905.31.93 Other: Other, containing 25% or more by weight of wheat, over access commitment 1905.31.99 Other: Other 1905.32.10 Certified by Health Canada as special low protein or protein-free products 1905.32.91 Other: Containing 25% or more by weight of wheat, within access commitment 1905.32.92 Other: Wafers and frozen waffles containing 25% or more by weight of wheat, in packages of a weight not exceeding 454</w:t>
      </w:r>
    </w:p>
    <w:p>
      <w:pPr>
        <w:pStyle w:val="Normal"/>
      </w:pPr>
      <w:r>
        <w:t>g each, over access commitment 1905.32.93 Other: Other, containing 25% or more by weight of wheat, over access commitment 1905.32.99 Other: Other 1905.40.10 Special dietary, as defined under regulations of Health Canada 1905.40.20 Other, leavened with yeast, containing 25% or more by weight of wheat, within access commitment 1905.40.31 Other, leavened with yeast, containing 25% or more by weight of wheat, over access commitment: In packages of a weight not exceeding 454 g each 1905.40.39 Other, leavened with yeast, containing 25% or more by weight of wheat, over access commitment: Other 1905.40.40 Other, leavened with yeast 1905.40.50 Other, not leavened with yeast, containing 25% or more by weight of wheat, within access commitment 1905.40.61 Other, not leavened with yeast, containing 25% or more by weight of wheat, over access commitment: In packages of a weight not exceeding 454 g each 1905.40.69 Other, not leavened with yeast, containing 25% or more by weight of wheat, over access commitment: Other 1905.40.90 Other 1905.90.10 Special dietary biscuits as defined under regulations of Health Canada;</w:t>
      </w:r>
    </w:p>
    <w:p>
      <w:pPr>
        <w:pStyle w:val="Normal"/>
      </w:pPr>
      <w:r>
        <w:t>Low protein or protein-free biscuits certified by Health Canada as special low protein or protein-free products 1905.90.20 Bread, leavened with yeast; Unleavened bread for sacramental purposes and communion wafers 1905.90.31 Other bread: Containing 25% or more by weight of wheat, in packages of a weight not exceeding 11.34 kg each, within access commitment 1905.90.32 Other</w:t>
      </w:r>
    </w:p>
    <w:p>
      <w:pPr>
        <w:pStyle w:val="Normal"/>
      </w:pPr>
      <w:r>
        <w:t>bread: Fresh bread, buns and rolls, in packages of a weight not exceeding 1.36 kg each, or other bread in packages of a weight not exceeding 454 g each, containing 25% or more by weight of wheat, over access commitment 1905.90.33 Other bread: Other, containing 25% or more by weight of wheat, in packages of a weight not exceeding 11.34 kg each, over access commitment 1905.90.34 Other bread: Containing 25% or more by weight of wheat, in bulk or in packages of a weight exceeding 11.34 kg each, within access commitment 1905.90.35 Other bread: Containing 25% or more by weight of wheat, in bulk or in packages of a weight exceeding 11.34 kg each, over access commitment 1905.90.39 Other bread: Other 1905.90.41 Other biscuits: Containing 25% or more by weight of wheat, valued at 44¢/kg or more, said value to be based on the net weight and to include the value of the usual retail package, within access commitment 1905.90.42 Other biscuits: Other, containing 25% or more by weight of wheat, within access commitment 1905.90.43 Other biscuits:</w:t>
      </w:r>
    </w:p>
    <w:p>
      <w:pPr>
        <w:pStyle w:val="Normal"/>
      </w:pPr>
      <w:r>
        <w:t>Containing 25% or more by weight of wheat, in packages of a weight not exceeding 1.36 kg each, over access commitment 1905.90.44 Other biscuits: Other, containing 25% or more by weight of wheat, valued at 44¢/kg or more, said value to be based on the net weight and to include the value of the usual retail package, over access commitment 1905.90.45 Other biscuits: Other, containing 25% or more by weight of wheat, over access commitment 1905.90.49</w:t>
      </w:r>
    </w:p>
    <w:p>
      <w:pPr>
        <w:pStyle w:val="Normal"/>
      </w:pPr>
      <w:r>
        <w:t>Other biscuits Other 1905.90.51 Pizza and quiche; pastries, pies, puddings and cakes, including sweet products leavened with yeast; bakery products made without flour: Pizza and quiche 1905.90.59 Pizza and quiche; pastries, pies, puddings and cakes, including sweet products leavened with yeast; bakery products made without flour: Other 1905.90.61 Pretzels: Containing 25% or more by weight of wheat, within access commitment 1905.90.62 Pretzels: Containing 25% or more by weight of wheat, in packages of a weight not exceeding 1.36 kg each, over access commitment 1905.90.63 Pretzels: Containing 25% or more by weight of wheat, in packages of a weight exceeding 1.36 kg each, over access commitment 1905.90.69 Pretzels: Other 1905.90.71 Empty cachets of a kind suitable for pharmaceutical use, sealing wafers, rice paper and cheese sticks: In packages of a weight not exceeding 11.34 kg each 1905.90.72 Empty cachets of a kind suitable for pharmaceutical use, sealing wafers, rice paper and cheese sticks:</w:t>
      </w:r>
    </w:p>
    <w:p>
      <w:pPr>
        <w:pStyle w:val="Normal"/>
      </w:pPr>
      <w:r>
        <w:t>In bulk or in packages of a weight exceeding 11.34 kg each</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1905.90.90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Cucumbers and gherkins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2001.90.10</w:t>
            </w:r>
          </w:p>
        </w:tc>
        <w:tc>
          <w:tcPr>
            <w:tcW w:w="4679" w:type="dxa"/>
            <w:tcMar>
              <w:top w:w="70" w:type="dxa"/>
              <w:start w:w="110" w:type="dxa"/>
              <w:bottom w:w="70" w:type="dxa"/>
              <w:end w:w="110" w:type="dxa"/>
            </w:tcMar>
            <w:vAlign w:val="center"/>
          </w:tcPr>
          <w:p>
            <w:pPr>
              <w:pStyle w:val="TableText"/>
              <w:jc w:val="left"/>
            </w:pPr>
            <w:r>
              <w:rPr>
                <w:lang w:val="en-US" w:eastAsia="en-US" w:bidi="ar-SA"/>
              </w:rPr>
              <w:t>Onions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2002.10.00</w:t>
            </w:r>
          </w:p>
        </w:tc>
        <w:tc>
          <w:tcPr>
            <w:tcW w:w="4679" w:type="dxa"/>
            <w:tcMar>
              <w:top w:w="70" w:type="dxa"/>
              <w:start w:w="110" w:type="dxa"/>
              <w:bottom w:w="70" w:type="dxa"/>
              <w:end w:w="110" w:type="dxa"/>
            </w:tcMar>
            <w:vAlign w:val="center"/>
          </w:tcPr>
          <w:p>
            <w:pPr>
              <w:pStyle w:val="TableText"/>
              <w:jc w:val="left"/>
            </w:pPr>
            <w:r>
              <w:rPr>
                <w:lang w:val="en-US" w:eastAsia="en-US" w:bidi="ar-SA"/>
              </w:rPr>
              <w:t>Tomatoes, whole or in pieces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2003.10.00</w:t>
            </w:r>
          </w:p>
        </w:tc>
        <w:tc>
          <w:tcPr>
            <w:tcW w:w="4679" w:type="dxa"/>
            <w:tcMar>
              <w:top w:w="70" w:type="dxa"/>
              <w:start w:w="110" w:type="dxa"/>
              <w:bottom w:w="70" w:type="dxa"/>
              <w:end w:w="110" w:type="dxa"/>
            </w:tcMar>
            <w:vAlign w:val="center"/>
          </w:tcPr>
          <w:p>
            <w:pPr>
              <w:pStyle w:val="TableText"/>
              <w:jc w:val="left"/>
            </w:pPr>
            <w:r>
              <w:rPr>
                <w:lang w:val="en-US" w:eastAsia="en-US" w:bidi="ar-SA"/>
              </w:rPr>
              <w:t>Mushrooms of the genus Agaricus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Truffles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Potatoes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2004.90.11</w:t>
            </w:r>
          </w:p>
        </w:tc>
        <w:tc>
          <w:tcPr>
            <w:tcW w:w="4679" w:type="dxa"/>
            <w:tcMar>
              <w:top w:w="70" w:type="dxa"/>
              <w:start w:w="110" w:type="dxa"/>
              <w:bottom w:w="70" w:type="dxa"/>
              <w:end w:w="110" w:type="dxa"/>
            </w:tcMar>
            <w:vAlign w:val="center"/>
          </w:tcPr>
          <w:p>
            <w:pPr>
              <w:pStyle w:val="TableText"/>
              <w:jc w:val="left"/>
            </w:pPr>
            <w:r>
              <w:rPr>
                <w:lang w:val="en-US" w:eastAsia="en-US" w:bidi="ar-SA"/>
              </w:rPr>
              <w:t>Baby carrots (of a length not exceeding 11 cm) and Brussels sprouts: Baby carrots (of a length not exceeding 11 cm)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2004.90.12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Baby carrots (of a length not exceeding 11 cm) and</w:t>
            </w:r>
          </w:p>
        </w:tc>
      </w:tr>
    </w:tbl>
    <w:p>
      <w:pPr>
        <w:pStyle w:val="Normal"/>
      </w:pPr>
      <w:r>
        <w:t>Brussels sprouts: Brussels sprouts 2004.90.20 Asparagus 2004.90.30 Broccoli and cauliflowers 2004.90.91 Other: Artichokes (globe or Chinese), bamboo shoots, cactus leaves (nopales), cardoons, chickpeas (garbanzos), cilantro (Chinese or Mexican parsley or Yen Sai), jicama, leaf chervils, malanga, okra, peas (Angola, catjang, no-eye, pigeon), spinach, tamarillos (tree tomatoes), tarragons, tomatillos, topedos and verdolagas 2004.90.99 Other: Other 2005.10.00 Homogenized vegetables 2005.20.00 Potatoes 2005.40.00 Peas (Pisum sativum) 2005.51.10 Red bean paste for use in the manufacture of food products 2005.51.90 Other 2005.59.00 Other 2005.60.00 Asparagus 2005.70.10 Olives sulphured or in brine but not in glass jars; Ripe olives in brine 2005.70.90 Other 2005.80.00 Sweet corn (Zea mays var. saccharata) 2005.91.00 Bamboo shoots 2005.99.11 Carrots: Baby carrots (of a length not exceeding 11 cm), in cans or glass jars 2005.99.19 Carrots: Other 2005.99.20 Artichokes (globe or Chinese), cactus leaves (nopales), cardoons, chickpeas (garbanzos), cilantro (Chinese or Mexican parsley or Yen Sai), jicama, leaf chervils, malanga, okra, peas (Angola, catjang, no-eye, pigeon), spinach, tamarillos (tree tomatoes), tarragons, tomatillos, topedos, verdolagas and water chestnuts 2005.99.90 Other 2006.00.10 Fruit; Fruit-peel 2006.00.20 Nuts 2006.00.90 Other 2007.10.00 Homogenized preparations 2007.91.00 Citrus fruit 2007.99.10 Strawberry jam 2007.99.20 Banana purée 2007.99.90 Other 2008.11.10</w:t>
      </w:r>
    </w:p>
    <w:p>
      <w:pPr>
        <w:pStyle w:val="Normal"/>
      </w:pPr>
      <w:r>
        <w:t>Peanut butter 2008.11.20 Peanuts, blanched 2008.11.90 Other 2008.19.10 Almonds and pistachio nuts 2008.19.90 Other 2008.20.00 Pineapples 2008.30.00 Citrus fruit 2008.40.10 Pulp 2008.40.20 Chips 2008.40.90 Other 2008.50.10 Pulp 2008.50.90 Other 2008.60.10 Pulp 2008.60.90 Other 2008.70.10 Pulp 2008.70.90 Other 2008.80.00 Strawberries 2008.91.00 Palm hearts 2008.93.00 Cranberries (Vaccinium macrocarpon, Vaccinium oxycoccos, Vaccinium vitis-idaea) 2008.97.10 Consisting of two or more of akalas, akees, anchovy pears, apple- pears, avocados, bananas, bread fruit, carambolas, chayotes, cherimoyas (Jamaica apples), citrus fruit, dasheens (taros), dates, durians, feijoas, figs, fu quas (balsam pears), genipes, ginger, guavas, imbus, jujubes, kiwi fruit, lady apples, litchis (lychees), loquats, magueys, mammees (mammeas), mangoes, mangosteens, manioc (cassava or yucca root), papaws (papayas), passion fruit, pawpaws, persimmons, pineapples, plantains, plumcots, prickly pears, pomegranates, quinces, rangpurs, sapatas, star-apples, sweet potatoes, tamarinds, tangelos, uglifruit, watermelons or yams 2008.97.90 Other 2008.99.10 Apple chips 2008.99.20 Apples, other than pulp 2008.99.30 Akalas, akees, anchovy pears, apple-pears, avocados, bananas, banana chips (thin banana slices fried or otherwise prepared whether or not salted, sweetened or otherwise flavoured), bread fruit, carambolas, chayotes, cherimoyas (Jamaica apples), dasheens (taros), dates, durians, feijoas, figs, fu quas (balsam</w:t>
      </w:r>
    </w:p>
    <w:p>
      <w:pPr>
        <w:pStyle w:val="Normal"/>
      </w:pPr>
      <w:r>
        <w:t>pears), genipes, ginger, guavas, imbus, jujubes, kiwi fruit, lady apples, litchis (lychees), loquats, magueys, mammees (mammeas), mangoes, mangosteens, manioc (cassava or yucca root), papaws (papayas), passion fruit, pawpaws, persimmons, plantains, plumcots, prickly pears, pomegranates, quinces, raisins, rangpurs, sapatas, star-apples, sweet potatoes, tamarinds, tangelos, Thompson seedless grapes, uglifruit, watermelons and yams 2008.99.40 Melons of the genus cucumis melo, cubes, in syrup 2008.99.90 Other 2009.11.10 Unsweetened concentrate, of a Brix value not less than 58, for use in the manufacture of citrus fruit juices or beverages 2009.11.90 Other 2009.12.00 Not frozen, of a Brix value not exceeding 20 2009.19.10 Dehydrated;</w:t>
      </w:r>
    </w:p>
    <w:p>
      <w:pPr>
        <w:pStyle w:val="Normal"/>
      </w:pPr>
      <w:r>
        <w:t>Unsweetened concentrate, of a Brix value not less than 58, for use in the manufacture of citrus fruit juices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Brix value not exceeding 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Brix value not exceeding 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Brix value not exceeding 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Tomato juice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2009.61.10</w:t>
            </w:r>
          </w:p>
        </w:tc>
        <w:tc>
          <w:tcPr>
            <w:tcW w:w="4679" w:type="dxa"/>
            <w:tcMar>
              <w:top w:w="70" w:type="dxa"/>
              <w:start w:w="110" w:type="dxa"/>
              <w:bottom w:w="70" w:type="dxa"/>
              <w:end w:w="110" w:type="dxa"/>
            </w:tcMar>
            <w:vAlign w:val="center"/>
          </w:tcPr>
          <w:p>
            <w:pPr>
              <w:pStyle w:val="TableText"/>
              <w:jc w:val="left"/>
            </w:pPr>
            <w:r>
              <w:rPr>
                <w:lang w:val="en-US" w:eastAsia="en-US" w:bidi="ar-SA"/>
              </w:rPr>
              <w:t>Grape juice for wine-making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2009.61.90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2009.69.10</w:t>
            </w:r>
          </w:p>
        </w:tc>
        <w:tc>
          <w:tcPr>
            <w:tcW w:w="4679" w:type="dxa"/>
            <w:tcMar>
              <w:top w:w="70" w:type="dxa"/>
              <w:start w:w="110" w:type="dxa"/>
              <w:bottom w:w="70" w:type="dxa"/>
              <w:end w:w="110" w:type="dxa"/>
            </w:tcMar>
            <w:vAlign w:val="center"/>
          </w:tcPr>
          <w:p>
            <w:pPr>
              <w:pStyle w:val="TableText"/>
              <w:jc w:val="left"/>
            </w:pPr>
            <w:r>
              <w:rPr>
                <w:lang w:val="en-US" w:eastAsia="en-US" w:bidi="ar-SA"/>
              </w:rPr>
              <w:t>Grape concentrate, of a Brix value not less than 68, for use in the manufacture of fruit juices or beverages; Grape juice for wine-making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2009.69.90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2009.71.10</w:t>
            </w:r>
          </w:p>
        </w:tc>
        <w:tc>
          <w:tcPr>
            <w:tcW w:w="4679" w:type="dxa"/>
            <w:tcMar>
              <w:top w:w="70" w:type="dxa"/>
              <w:start w:w="110" w:type="dxa"/>
              <w:bottom w:w="70" w:type="dxa"/>
              <w:end w:w="110" w:type="dxa"/>
            </w:tcMar>
            <w:vAlign w:val="center"/>
          </w:tcPr>
          <w:p>
            <w:pPr>
              <w:pStyle w:val="TableText"/>
              <w:jc w:val="left"/>
            </w:pPr>
            <w:r>
              <w:rPr>
                <w:lang w:val="en-US" w:eastAsia="en-US" w:bidi="ar-SA"/>
              </w:rPr>
              <w:t>Reconstituted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2009.71.90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2009.79.11</w:t>
            </w:r>
          </w:p>
        </w:tc>
        <w:tc>
          <w:tcPr>
            <w:tcW w:w="4679" w:type="dxa"/>
            <w:tcMar>
              <w:top w:w="70" w:type="dxa"/>
              <w:start w:w="110" w:type="dxa"/>
              <w:bottom w:w="70" w:type="dxa"/>
              <w:end w:w="110" w:type="dxa"/>
            </w:tcMar>
            <w:vAlign w:val="center"/>
          </w:tcPr>
          <w:p>
            <w:pPr>
              <w:pStyle w:val="TableText"/>
              <w:jc w:val="left"/>
            </w:pPr>
            <w:r>
              <w:rPr>
                <w:lang w:val="en-US" w:eastAsia="en-US" w:bidi="ar-SA"/>
              </w:rPr>
              <w:t>Concentrated: For use in the manufacture of fruit juices, juice beverages or fruit snack products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2009.79.19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Concentrated: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2009.81.00</w:t>
            </w:r>
          </w:p>
        </w:tc>
        <w:tc>
          <w:tcPr>
            <w:tcW w:w="4679" w:type="dxa"/>
            <w:tcMar>
              <w:top w:w="70" w:type="dxa"/>
              <w:start w:w="110" w:type="dxa"/>
              <w:bottom w:w="70" w:type="dxa"/>
              <w:end w:w="110" w:type="dxa"/>
            </w:tcMar>
            <w:vAlign w:val="center"/>
          </w:tcPr>
          <w:p>
            <w:pPr>
              <w:pStyle w:val="TableText"/>
              <w:jc w:val="left"/>
            </w:pPr>
            <w:r>
              <w:rPr>
                <w:lang w:val="en-US" w:eastAsia="en-US" w:bidi="ar-SA"/>
              </w:rPr>
              <w:t>Cranberry (Vaccinium macrocarpon, Vaccinium oxycoccos, Vaccinium vitis-idaea) juice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2009.89.10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fruit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2009.89.20</w:t>
            </w:r>
          </w:p>
        </w:tc>
        <w:tc>
          <w:tcPr>
            <w:tcW w:w="4679" w:type="dxa"/>
            <w:tcMar>
              <w:top w:w="70" w:type="dxa"/>
              <w:start w:w="110" w:type="dxa"/>
              <w:bottom w:w="70" w:type="dxa"/>
              <w:end w:w="110" w:type="dxa"/>
            </w:tcMar>
            <w:vAlign w:val="center"/>
          </w:tcPr>
          <w:p>
            <w:pPr>
              <w:pStyle w:val="TableText"/>
              <w:jc w:val="left"/>
            </w:pPr>
            <w:r>
              <w:rPr>
                <w:lang w:val="en-US" w:eastAsia="en-US" w:bidi="ar-SA"/>
              </w:rPr>
              <w:t>Of a vegetable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citrus fruit juices, dehydrated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2009.90.20</w:t>
            </w:r>
          </w:p>
        </w:tc>
        <w:tc>
          <w:tcPr>
            <w:tcW w:w="4679" w:type="dxa"/>
            <w:tcMar>
              <w:top w:w="70" w:type="dxa"/>
              <w:start w:w="110" w:type="dxa"/>
              <w:bottom w:w="70" w:type="dxa"/>
              <w:end w:w="110" w:type="dxa"/>
            </w:tcMar>
            <w:vAlign w:val="center"/>
          </w:tcPr>
          <w:p>
            <w:pPr>
              <w:pStyle w:val="TableText"/>
              <w:jc w:val="left"/>
            </w:pPr>
            <w:r>
              <w:rPr>
                <w:lang w:val="en-US" w:eastAsia="en-US" w:bidi="ar-SA"/>
              </w:rPr>
              <w:t>Of orange and grapefruit juices, other than dehydrated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2009.90.30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fruit juices, whether or not dehydrated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2009.90.40</w:t>
            </w:r>
          </w:p>
        </w:tc>
        <w:tc>
          <w:tcPr>
            <w:tcW w:w="4679" w:type="dxa"/>
            <w:tcMar>
              <w:top w:w="70" w:type="dxa"/>
              <w:start w:w="110" w:type="dxa"/>
              <w:bottom w:w="70" w:type="dxa"/>
              <w:end w:w="110" w:type="dxa"/>
            </w:tcMar>
            <w:vAlign w:val="center"/>
          </w:tcPr>
          <w:p>
            <w:pPr>
              <w:pStyle w:val="TableText"/>
              <w:jc w:val="left"/>
            </w:pPr>
            <w:r>
              <w:rPr>
                <w:lang w:val="en-US" w:eastAsia="en-US" w:bidi="ar-SA"/>
              </w:rPr>
              <w:t>Of vegetable juices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2101.11.10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Instant coffee, not flavoured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2101.11.90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Preparations with a basis of extracts, essences or concentrates or with a basis of coffee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2101.20.00</w:t>
            </w:r>
          </w:p>
        </w:tc>
        <w:tc>
          <w:tcPr>
            <w:tcW w:w="4679" w:type="dxa"/>
            <w:tcMar>
              <w:top w:w="70" w:type="dxa"/>
              <w:start w:w="110" w:type="dxa"/>
              <w:bottom w:w="70" w:type="dxa"/>
              <w:end w:w="110" w:type="dxa"/>
            </w:tcMar>
            <w:vAlign w:val="center"/>
          </w:tcPr>
          <w:p>
            <w:pPr>
              <w:pStyle w:val="TableText"/>
              <w:jc w:val="left"/>
            </w:pPr>
            <w:r>
              <w:rPr>
                <w:lang w:val="en-US" w:eastAsia="en-US" w:bidi="ar-SA"/>
              </w:rPr>
              <w:t>Extracts, essences and concentrates, of tea or maté, and preparations with a basis of these extracts, essences or concentrates or with a basis of tea or maté</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Roasted chicory and other roasted coffee substitutes, and extracts, essences and concentrates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2102.10.00</w:t>
            </w:r>
          </w:p>
        </w:tc>
        <w:tc>
          <w:tcPr>
            <w:tcW w:w="4679" w:type="dxa"/>
            <w:tcMar>
              <w:top w:w="70" w:type="dxa"/>
              <w:start w:w="110" w:type="dxa"/>
              <w:bottom w:w="70" w:type="dxa"/>
              <w:end w:w="110" w:type="dxa"/>
            </w:tcMar>
            <w:vAlign w:val="center"/>
          </w:tcPr>
          <w:p>
            <w:pPr>
              <w:pStyle w:val="TableText"/>
              <w:jc w:val="left"/>
            </w:pPr>
            <w:r>
              <w:rPr>
                <w:lang w:val="en-US" w:eastAsia="en-US" w:bidi="ar-SA"/>
              </w:rPr>
              <w:t>Active yeasts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Inactive yeasts; other single-cell micro-organisms, dead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2102.30.00</w:t>
            </w:r>
          </w:p>
        </w:tc>
        <w:tc>
          <w:tcPr>
            <w:tcW w:w="4679" w:type="dxa"/>
            <w:tcMar>
              <w:top w:w="70" w:type="dxa"/>
              <w:start w:w="110" w:type="dxa"/>
              <w:bottom w:w="70" w:type="dxa"/>
              <w:end w:w="110" w:type="dxa"/>
            </w:tcMar>
            <w:vAlign w:val="center"/>
          </w:tcPr>
          <w:p>
            <w:pPr>
              <w:pStyle w:val="TableText"/>
              <w:jc w:val="left"/>
            </w:pPr>
            <w:r>
              <w:rPr>
                <w:lang w:val="en-US" w:eastAsia="en-US" w:bidi="ar-SA"/>
              </w:rPr>
              <w:t>Prepared baking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Soya sauce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2103.20.10</w:t>
            </w:r>
          </w:p>
        </w:tc>
        <w:tc>
          <w:tcPr>
            <w:tcW w:w="4679" w:type="dxa"/>
            <w:tcMar>
              <w:top w:w="70" w:type="dxa"/>
              <w:start w:w="110" w:type="dxa"/>
              <w:bottom w:w="70" w:type="dxa"/>
              <w:end w:w="110" w:type="dxa"/>
            </w:tcMar>
            <w:vAlign w:val="center"/>
          </w:tcPr>
          <w:p>
            <w:pPr>
              <w:pStyle w:val="TableText"/>
              <w:jc w:val="left"/>
            </w:pPr>
            <w:r>
              <w:rPr>
                <w:lang w:val="en-US" w:eastAsia="en-US" w:bidi="ar-SA"/>
              </w:rPr>
              <w:t>Tomato ketchup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2103.30.10</w:t>
            </w:r>
          </w:p>
        </w:tc>
        <w:tc>
          <w:tcPr>
            <w:tcW w:w="4679" w:type="dxa"/>
            <w:tcMar>
              <w:top w:w="70" w:type="dxa"/>
              <w:start w:w="110" w:type="dxa"/>
              <w:bottom w:w="70" w:type="dxa"/>
              <w:end w:w="110" w:type="dxa"/>
            </w:tcMar>
            <w:vAlign w:val="center"/>
          </w:tcPr>
          <w:p>
            <w:pPr>
              <w:pStyle w:val="TableText"/>
              <w:jc w:val="left"/>
            </w:pPr>
            <w:r>
              <w:rPr>
                <w:lang w:val="en-US" w:eastAsia="en-US" w:bidi="ar-SA"/>
              </w:rPr>
              <w:t>Mustard flour and meal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2103.30.20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Prepared mustard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2103.90.10</w:t>
            </w:r>
          </w:p>
        </w:tc>
        <w:tc>
          <w:tcPr>
            <w:tcW w:w="4679" w:type="dxa"/>
            <w:tcMar>
              <w:top w:w="70" w:type="dxa"/>
              <w:start w:w="110" w:type="dxa"/>
              <w:bottom w:w="70" w:type="dxa"/>
              <w:end w:w="110" w:type="dxa"/>
            </w:tcMar>
            <w:vAlign w:val="center"/>
          </w:tcPr>
          <w:p>
            <w:pPr>
              <w:pStyle w:val="TableText"/>
              <w:jc w:val="left"/>
            </w:pPr>
            <w:r>
              <w:rPr>
                <w:lang w:val="en-US" w:eastAsia="en-US" w:bidi="ar-SA"/>
              </w:rPr>
              <w:t>Mayonnaise and salad dressing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Mixed condiments and mixed seasonings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Soups and broths and preparations therefor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2104.20.00</w:t>
            </w:r>
          </w:p>
        </w:tc>
        <w:tc>
          <w:tcPr>
            <w:tcW w:w="4679" w:type="dxa"/>
            <w:tcMar>
              <w:top w:w="70" w:type="dxa"/>
              <w:start w:w="110" w:type="dxa"/>
              <w:bottom w:w="70" w:type="dxa"/>
              <w:end w:w="110" w:type="dxa"/>
            </w:tcMar>
            <w:vAlign w:val="center"/>
          </w:tcPr>
          <w:p>
            <w:pPr>
              <w:pStyle w:val="TableText"/>
              <w:jc w:val="left"/>
            </w:pPr>
            <w:r>
              <w:rPr>
                <w:lang w:val="en-US" w:eastAsia="en-US" w:bidi="ar-SA"/>
              </w:rPr>
              <w:t>Homogenized composite food preparations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2105.00.10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Flavoured ice and ice sherbets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2105.00.91</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bl>
    <w:p>
      <w:pPr>
        <w:pStyle w:val="Normal"/>
      </w:pPr>
      <w:r>
        <w:t>Within access commitment * * 2105.00.92 Other: Over access commitment * * 2106.10.00 Protein concentrates and textured protein substances 2106.90.10 Chewing gum, containing 2 mg or</w:t>
      </w:r>
    </w:p>
    <w:p>
      <w:pPr>
        <w:pStyle w:val="Normal"/>
      </w:pPr>
      <w:r>
        <w:t>more of nicotine; Cream of coconut syrup for use in the manufacture of beverages; Elderberry flower concentrate and Limeflower concentrate for use in the manufacture of beverages; Nutmeat substitutes; Sour dough flavouring ingredients; Tea substitutes; Vegetable preparations for use as flavouring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 2106.90.29 Syrups derived from cane or beet sugar, containing added colouring matter and food concentrates and fruit syrups for use in beverages or other preparations: Other 2106.90.31 Milk, cream or butter substitutes and preparations suitable for use as butter substitutes: Milk, cream or butter substitutes, containing 50% or more by weight of dairy content, within access commitment * * 2106.90.32 Milk, cream or butter substitutes and preparations suitable for use as butter substitutes:</w:t>
      </w:r>
    </w:p>
    <w:p>
      <w:pPr>
        <w:pStyle w:val="Normal"/>
      </w:pPr>
      <w:r>
        <w:t>Milk, cream or butter substitutes, containing 50% or more by weight of dairy content, over access commitment * * 2106.90.33 Milk, cream or butter substitutes and preparations suitable for use as butter substitutes: Preparations, containing more than 15% by weight of milk fat but less than 50% by weight of dairy content, suitable for use as butter substitutes, within access commitment * 2106.90.34</w:t>
      </w:r>
    </w:p>
    <w:p>
      <w:pPr>
        <w:pStyle w:val="Normal"/>
      </w:pPr>
      <w:r>
        <w:t>Milk, cream or butter substitutes and preparations suitable for use as butter substitutes: Preparations, containing more than 15% by weight of milk fat but less than 50% by weight of dairy content, suitable for use as butter substitutes, over access commitment * * 2106.90.35 Milk, cream or butter substitutes and preparations suitable for use as butter substitutes: Milk or cream substitutes, containing, in the dry state, over 10% by weight of milk solids but less than 50% by weight of dairy content, and butter substitutes, containing, in the dry state, over 10% by weight of milk solids but 15% or less by weight of milk fat 2106.90.39 Milk, cream or butter substitutes and preparations suitable for use as butter substitutes: Other 2106.90.41 Cheese fondue; Popping corn, prepared and packaged for use with microwave ovens; Protein hydrolysates: Cheese fondue; Popping corn, prepared and packaged for use with microwave ovens 2106.90.42 Cheese fondue; Popping corn, prepared and packaged for use with microwave ovens; Protein hydrolysates: Protein hydrolysates 2106.90.51 Egg preparations: Within access commitment * * 2106.90.52 Egg preparations:</w:t>
      </w:r>
    </w:p>
    <w:p>
      <w:pPr>
        <w:pStyle w:val="Normal"/>
      </w:pPr>
      <w:r>
        <w:t>Over access commitment * * 2106.90.91 Other: Concentrated juice of any single fruit or vegetable, fortified with vitamins or minerals 2106.90.92 Other: Concentrated mixtures of fruit or vegetable juices, fortified with vitamins or minerals 2106.90.93 Other: Containing 50% or more by weight of dairy content, within access commitment *</w:t>
      </w:r>
    </w:p>
    <w:p>
      <w:pPr>
        <w:pStyle w:val="Normal"/>
      </w:pPr>
      <w:r>
        <w:t>2106.90.94 Other: Containing 50% or more by weight of dairy content, over access commitment * * 2106.90.95 Other: Other preparations, containing, in the dry state, over 10% by weight of milk solids but less than 50% by weight of dairy content 2106.90.96 Other: Compound alcoholic preparations, not based on one or more odoriferous substances, with an alcoholic strength exceeding 0.5% by volume, for use in the manufacture of beverages 2106.90.97 Other: Fruit flavoured powders for use in the manufacture of pharmaceuticals, food products or beverages 2106.90.98 Other: Jelly powders, ice cream powders and powders for similar preparations 2106.90.99 Other: Other 2201.10.00 Mineral waters and aerated waters 2201.90.00 Other 2202.10.00 Waters, including mineral waters and aerated waters, containing added sugar or other sweetening matter or flavoured 2202.91.00 Non-alcoholic beer 2202.99.10 Non-alcoholic wine 2202.99.21 Juices, not concentrated, fortified with vitamins or minerals: Of any single fruit or vegetable 2202.99.22 Juices, not concentrated, fortified with vitamins or minerals: Of mixtures of fruits or vegetables 2202.99.31 Beverages containing milk: Chocolate milk 2202.99.32 Beverages containing milk:</w:t>
      </w:r>
    </w:p>
    <w:p>
      <w:pPr>
        <w:pStyle w:val="Normal"/>
      </w:pPr>
      <w:r>
        <w:t>Other, containing 50% or more by weight of dairy content, not put up for retail sale, within access commitment * 2202.99.33 Beverages containing milk: Other, containing 50% or more by weight of dairy content, not put up for retail sale, over access commitment * * 2202.99.39</w:t>
      </w:r>
    </w:p>
    <w:p>
      <w:pPr>
        <w:pStyle w:val="Normal"/>
      </w:pPr>
      <w:r>
        <w:t>Beverages containing milk: Other 2202.99.90 Other 2203.00.00 Beer made from malt. 2204.10.10 Of an alcoholic strength by volume not exceeding 22.9% vol 2204.10.90 Other 2204.21.10 Wine, of an alcoholic strength by volume not exceeding 13.7% vol 2204.21.21 Wine, of an alcoholic strength by volume exceeding 13.7% vol but not exceeding 21.9%: Of an alcoholic strength by volume not exceeding 14.9% vol 2204.21.22 Wine, of an alcoholic strength by volume exceeding 13.7% vol but not exceeding 21.9%: Of an alcoholic strength by volume exceeding 14.9% vol but not exceeding 15.9% vol 2204.21.23 Wine, of an alcoholic strength by volume exceeding 13.7% vol but not exceeding 21.9%: Of an alcoholic strength by volume exceeding 15.9% vol but not exceeding 16.9% vol 2204.21.24 Wine, of an alcoholic strength by volume exceeding 13.7% vol but not exceeding 21.9%: Of an alcoholic strength by volume exceeding 16.9% vol but not exceeding 17.9% vol 2204.21.25 Wine, of an alcoholic strength by volume exceeding 13.7% vol but not exceeding 21.9%:</w:t>
      </w:r>
    </w:p>
    <w:p>
      <w:pPr>
        <w:pStyle w:val="Normal"/>
      </w:pPr>
      <w:r>
        <w:t>Of an alcoholic strength by volume exceeding 17.9% vol but not exceeding 18.9% vol 2204.21.26 Wine, of an alcoholic strength by volume exceeding 13.7% vol but not exceeding 21.9%: Of an alcoholic strength by volume exceeding 18.9% vol but not exceeding 19.9% vol 2204.21.27 Wine, of an alcoholic strength by volume exceeding 13.7% vol but not exceeding 21.9%: Of an alcoholic strength by volume exceeding 19.9% vol but not exceeding 20.9% vol 2204.21.28 Wine,</w:t>
      </w:r>
    </w:p>
    <w:p>
      <w:pPr>
        <w:pStyle w:val="Normal"/>
      </w:pPr>
      <w:r>
        <w:t>of an alcoholic strength by volume exceeding 13.7% vol but not exceeding 21.9%: Of an alcoholic strength by volume exceeding 20.9% vol but not exceeding 21.9% vol 2204.21.31 Wine, of an alcoholic strength by volume exceeding 21.9% vol: Of an alcoholic strength by volume exceeding 21.9% vol but not exceeding 22.9% vol 2204.21.32 Wine, of an alcoholic strength by volume exceeding 21.9% vol: Of an alcoholic strength by volume exceeding 22.9% vol 2204.21.41 Grape must with fermentation prevented or arrested by the addition of alcohol: Of an alcoholic strength by volume not exceeding 22.9% vol 2204.21.49 Grape must with fermentation prevented or arrested by the addition of alcohol: Other 2204.22.10 Wine, of an alcoholic strength by volume not exceeding 13.7% vol 2204.22.21 Wine, of an alcoholic strength by volume exceeding 13.7% vol but not exceeding 21.9% vol: Of an alcoholic strength by volume not exceeding 14.9% vol 2204.22.22 Wine, of an alcoholic strength by volume exceeding 13.7% vol but not exceeding 21.9% vol:</w:t>
      </w:r>
    </w:p>
    <w:p>
      <w:pPr>
        <w:pStyle w:val="Normal"/>
      </w:pPr>
      <w:r>
        <w:t>Of an alcoholic strength by volume exceeding 14.9% vol but not exceeding 15.9% vol 2204.22.23 Wine, of an alcoholic strength by volume exceeding 13.7% vol but not exceeding 21.9% vol: Of an alcoholic strength by volume exceeding 15.9% vol but not exceeding 16.9% vol 2204.22.24 Wine, of an alcoholic strength by volume exceeding 13.7% vol but not exceeding 21.9% vol: Of an alcoholic strength by volume exceeding 16.9% vol but not exceeding 17.9% vol 2204.22.25 Wine, of</w:t>
      </w:r>
    </w:p>
    <w:p>
      <w:pPr>
        <w:pStyle w:val="Normal"/>
      </w:pPr>
      <w:r>
        <w:t>an alcoholic strength by volume exceeding 13.7% vol but not exceeding 21.9% vol: Of an alcoholic strength by volume exceeding 17.9% vol but not exceeding 18.9% vol 2204.22.26 Wine, of an alcoholic strength by volume exceeding 13.7% vol but not exceeding 21.9% vol: Of an alcoholic strength by volume exceeding 18.9% vol but not exceeding 19.9% vol 2204.22.27 Wine, of an alcoholic strength by volume exceeding 13.7% vol but not exceeding 21.9% vol: Of an alcoholic strength by volume exceeding 19.9% vol but not exceeding 20.9% vol 2204.22.28 Wine, of an alcoholic strength by volume exceeding 13.7% vol but not exceeding 21.9% vol: Of an alcoholic strength by volume exceeding 20.9% vol but not exceeding 21.9% vol 2204.22.31 Wine, of an alcoholic strength by volume exceeding 21.9% vol: Of an alcoholic strength by volume exceeding 21.9% vol but not exceeding 22.9% vol 2204.22.32 Wine, of an alcoholic strength by volume exceeding 21.9% vol: Of an alcoholic strength by volume exceeding 22.9% vol 2204.22.41 Grape must with fermentation prevented or arrested by the addition of alcohol:</w:t>
      </w:r>
    </w:p>
    <w:p>
      <w:pPr>
        <w:pStyle w:val="Normal"/>
      </w:pPr>
      <w:r>
        <w:t>Of an alcoholic strength by volume not exceeding 22.9% vol 2204.22.49 Grape must with fermentation prevented or arrested by the addition of alcohol: Other 2204.29.10 Wine, of an alcoholic strength by volume not exceeding 13.7% vol 2204.29.21 Wine, of an alcoholic strength by volume exceeding 13.7% vol but not exceeding 21.9% vol: Of an alcoholic strength by volume not exceeding 14.9% vol 2204.29.22 Wine,</w:t>
      </w:r>
    </w:p>
    <w:p>
      <w:pPr>
        <w:pStyle w:val="Normal"/>
      </w:pPr>
      <w:r>
        <w:t>of an alcoholic strength by volume exceeding 13.7% vol but not exceeding 21.9% vol: Of an alcoholic strength by volume exceeding 14.9% vol but not exceeding 15.9% vol 2204.29.23 Wine, of an alcoholic strength by volume exceeding 13.7% vol but not exceeding 21.9% vol: Of an alcoholic strength by volume exceeding 15.9% vol but not exceeding 16.9% vol 2204.29.24 Wine, of an alcoholic strength by volume exceeding 13.7% vol but not exceeding 21.9% vol: Of an alcoholic strength by volume exceeding 16.9% vol but not exceeding 17.9% vol 2204.29.25 Wine, of an alcoholic strength by volume exceeding 13.7% vol but not exceeding 21.9% vol: Of an alcoholic strength by volume exceeding 17.9% vol but not exceeding 18.9% vol 2204.29.26 Wine, of an alcoholic strength by volume exceeding 13.7% vol but not exceeding 21.9% vol: Of an alcoholic strength by volume exceeding 18.9% vol but not exceeding 19.9% vol 2204.29.27 Wine, of an alcoholic strength by volume exceeding 13.7% vol but not exceeding 21.9% vol:</w:t>
      </w:r>
    </w:p>
    <w:p>
      <w:pPr>
        <w:pStyle w:val="Normal"/>
      </w:pPr>
      <w:r>
        <w:t>Of an alcoholic strength by volume exceeding 19.9% vol but not exceeding 20.9% vol 2204.29.28 Wine, of an alcoholic strength by volume exceeding 13.7% vol but not exceeding 21.9% vol: Of an alcoholic strength by volume exceeding 20.9% vol but not exceeding 21.9% vol 2204.29.31 Wine, of an alcoholic strength by volume exceeding 21.9% vol: Of an alcoholic strength by volume exceeding 21.9% vol but not exceeding 22.9% vol 2204.29.32 Wine, of an alcoholic strength by volume exceeding 21.9% vol:</w:t>
      </w:r>
    </w:p>
    <w:p>
      <w:pPr>
        <w:pStyle w:val="Normal"/>
      </w:pPr>
      <w:r>
        <w:t>Of an alcoholic strength by volume exceeding 22.9% vol 2204.29.41 Grape must with fermentation prevented or arrested by the addition of alcohol: Of an alcoholic strength by volume not exceeding 22.9% vol 2204.29.49 Grape must with fermentation prevented or arrested by the addition of alcohol: Other 2204.30.10 Of an alcoholic strength by volume not exceeding 22.9% vol 2204.30.90 Other 2205.10.10 Of an alcoholic strength by volume not exceeding 18.3% vol 2205.10.20 Of an alcoholic strength by volume exceeding 18.3% vol but not exceeding 22.9% vol 2205.10.30 Of an alcoholic strength by volume exceeding 22.9% vol 2205.90.10 Of an alcoholic strength by volume not exceeding 18.3% vol 2205.90.20 Of an alcoholic strength by volume exceeding 18.3% vol but not exceeding 22.9% vol 2205.90.30 Of an alcoholic strength by volume exceeding 22.9% vol 2206.00.11 Cider: Sparkling, of an alcoholic strength by volume not exceeding 22.9% vol 2206.00.12 Cider: Other sparkling 2206.00.18 Cider: Other cider, of an alcoholic strength by volume not exceeding 22.9% vol 2206.00.19 Cider: Other 2206.00.21 Prune wine:</w:t>
      </w:r>
    </w:p>
    <w:p>
      <w:pPr>
        <w:pStyle w:val="Normal"/>
      </w:pPr>
      <w:r>
        <w:t>Of an alcoholic strength by volume not exceeding 22.9% vol 2206.00.22 Prune wine: Of an alcoholic strength by volume exceeding 22.9% vol 2206.00.31 Perry, sparkling: Of an alcoholic strength by volume not exceeding 22.9% vol 2206.00.39 Perry, sparkling: Other 2206.00.41 Other wine, sparkling: Of an alcoholic strength by volume not exceeding 22.9% vol 2206.00.49 Other wine, sparkling: Other</w:t>
      </w:r>
    </w:p>
    <w:p>
      <w:pPr>
        <w:pStyle w:val="Normal"/>
      </w:pPr>
      <w:r>
        <w:t>2206.00.50 Sake and other wine, not sparkling, of an alcoholic strength by volume not exceeding 13.7% vol 2206.00.61 Sake and other wine, not sparkling, of an alcoholic strength by volume exceeding 13.7% vol but not exceeding 21.9% vol: Of an alcoholic strength by volume not exceeding 14.9% vol 2206.00.62 Sake and other wine, not sparkling, of an alcoholic strength by volume exceeding 13.7% vol but not exceeding 21.9% vol: Of an alcoholic strength by volume exceeding 14.9% vol but not exceeding 15.9% vol 2206.00.63 Sake and other wine, not sparkling, of an alcoholic strength by volume exceeding 13.7% vol but not exceeding 21.9% vol: Of an alcoholic strength by volume exceeding 15.9% vol but not exceeding 16.9% vol 2206.00.64 Sake and other wine, not sparkling, of an alcoholic strength by volume exceeding 13.7% vol but not exceeding 21.9% vol: Of an alcoholic strength by volume exceeding 16.9% vol but not exceeding 17.9% vol 2206.00.65 Sake and other wine, not sparkling, of an alcoholic strength by volume exceeding 13.7% vol but not exceeding 21.9% vol:</w:t>
      </w:r>
    </w:p>
    <w:p>
      <w:pPr>
        <w:pStyle w:val="Normal"/>
      </w:pPr>
      <w:r>
        <w:t>Of an alcoholic strength by volume exceeding 17.9% vol but not exceeding 18.9% vol 2206.00.66 Sake and other wine, not sparkling, of an alcoholic strength by volume exceeding 13.7% vol but not exceeding 21.9% vol: Of an alcoholic strength by volume exceeding 18.9% vol but not exceeding 19.9% vol 2206.00.67 Sake and other wine, not sparkling, of an alcoholic strength by volume exceeding 13.7% vol but not exceeding 21.9% vol: Of</w:t>
      </w:r>
    </w:p>
    <w:p>
      <w:pPr>
        <w:pStyle w:val="Normal"/>
      </w:pPr>
      <w:r>
        <w:t>an alcoholic strength by volume exceeding 19.9% vol but not exceeding 20.9% vol 2206.00.68 Sake and other wine, not sparkling, of an alcoholic strength by volume exceeding 13.7% vol but not exceeding 21.9% vol: Of an alcoholic strength by volume exceeding 20.9% vol but not exceeding 21.9% vol 2206.00.71 Sake and other wine, not sparkling, of an alcoholic strength by volume exceeding 21.9% vol: Of an alcoholic strength by volume not exceeding 22.9% vol 2206.00.72 Sake and other wine, not sparkling, of an alcoholic strength by volume exceeding 21.9% vol: Of an alcoholic strength by volume exceeding 22.9% vol 2206.00.80 Ginger beer and herbal beer 2206.00.91 Other: Mead 2206.00.92 Other: Other, of an alcoholic strength by volume not exceeding 22.9% vol 2206.00.93 Other: Other, of an alcoholic strength by volume exceeding 22.9% vol 2207.10.10 For use as a spirituous or alcoholic beverage or for use in the manufacture of spirituous or alcoholic beverages 2207.10.90 Other 2207.20.11 Ethyl alcohol: Specially denatured alcohol, within the meaning of the Excise Act, 2001 2207.20.12 Ethyl alcohol:</w:t>
      </w:r>
    </w:p>
    <w:p>
      <w:pPr>
        <w:pStyle w:val="Normal"/>
      </w:pPr>
      <w:r>
        <w:t>Denatured alcohol, within the meaning of the Excise Act, 2001</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2207.20.19</w:t>
            </w:r>
          </w:p>
        </w:tc>
        <w:tc>
          <w:tcPr>
            <w:tcW w:w="4679" w:type="dxa"/>
            <w:tcMar>
              <w:top w:w="70" w:type="dxa"/>
              <w:start w:w="110" w:type="dxa"/>
              <w:bottom w:w="70" w:type="dxa"/>
              <w:end w:w="110" w:type="dxa"/>
            </w:tcMar>
            <w:vAlign w:val="center"/>
          </w:tcPr>
          <w:p>
            <w:pPr>
              <w:pStyle w:val="TableText"/>
              <w:jc w:val="left"/>
            </w:pPr>
            <w:r>
              <w:rPr>
                <w:lang w:val="en-US" w:eastAsia="en-US" w:bidi="ar-SA"/>
              </w:rPr>
              <w:t>Ethyl alcohol: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2207.20.90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2208.20.00</w:t>
            </w:r>
          </w:p>
        </w:tc>
        <w:tc>
          <w:tcPr>
            <w:tcW w:w="4679" w:type="dxa"/>
            <w:tcMar>
              <w:top w:w="70" w:type="dxa"/>
              <w:start w:w="110" w:type="dxa"/>
              <w:bottom w:w="70" w:type="dxa"/>
              <w:end w:w="110" w:type="dxa"/>
            </w:tcMar>
            <w:vAlign w:val="center"/>
          </w:tcPr>
          <w:p>
            <w:pPr>
              <w:pStyle w:val="TableText"/>
              <w:jc w:val="left"/>
            </w:pPr>
            <w:r>
              <w:rPr>
                <w:lang w:val="en-US" w:eastAsia="en-US" w:bidi="ar-SA"/>
              </w:rPr>
              <w:t>Spirits obtained by distilling grape wine or grape marc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Whiskies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2208.40.10</w:t>
            </w:r>
          </w:p>
        </w:tc>
        <w:tc>
          <w:tcPr>
            <w:tcW w:w="4679" w:type="dxa"/>
            <w:tcMar>
              <w:top w:w="70" w:type="dxa"/>
              <w:start w:w="110" w:type="dxa"/>
              <w:bottom w:w="70" w:type="dxa"/>
              <w:end w:w="110" w:type="dxa"/>
            </w:tcMar>
            <w:vAlign w:val="center"/>
          </w:tcPr>
          <w:p>
            <w:pPr>
              <w:pStyle w:val="TableText"/>
              <w:jc w:val="left"/>
            </w:pPr>
            <w:r>
              <w:rPr>
                <w:lang w:val="en-US" w:eastAsia="en-US" w:bidi="ar-SA"/>
              </w:rPr>
              <w:t>Rum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2208.50.00</w:t>
            </w:r>
          </w:p>
        </w:tc>
        <w:tc>
          <w:tcPr>
            <w:tcW w:w="4679" w:type="dxa"/>
            <w:tcMar>
              <w:top w:w="70" w:type="dxa"/>
              <w:start w:w="110" w:type="dxa"/>
              <w:bottom w:w="70" w:type="dxa"/>
              <w:end w:w="110" w:type="dxa"/>
            </w:tcMar>
            <w:vAlign w:val="center"/>
          </w:tcPr>
          <w:p>
            <w:pPr>
              <w:pStyle w:val="TableText"/>
              <w:jc w:val="left"/>
            </w:pPr>
            <w:r>
              <w:rPr>
                <w:lang w:val="en-US" w:eastAsia="en-US" w:bidi="ar-SA"/>
              </w:rPr>
              <w:t>Gin and Geneva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Vodka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2208.70.00</w:t>
            </w:r>
          </w:p>
        </w:tc>
        <w:tc>
          <w:tcPr>
            <w:tcW w:w="4679" w:type="dxa"/>
            <w:tcMar>
              <w:top w:w="70" w:type="dxa"/>
              <w:start w:w="110" w:type="dxa"/>
              <w:bottom w:w="70" w:type="dxa"/>
              <w:end w:w="110" w:type="dxa"/>
            </w:tcMar>
            <w:vAlign w:val="center"/>
          </w:tcPr>
          <w:p>
            <w:pPr>
              <w:pStyle w:val="TableText"/>
              <w:jc w:val="left"/>
            </w:pPr>
            <w:r>
              <w:rPr>
                <w:lang w:val="en-US" w:eastAsia="en-US" w:bidi="ar-SA"/>
              </w:rPr>
              <w:t>Liqueurs and cordials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Tequila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2208.90.21</w:t>
            </w:r>
          </w:p>
        </w:tc>
        <w:tc>
          <w:tcPr>
            <w:tcW w:w="4679" w:type="dxa"/>
            <w:tcMar>
              <w:top w:w="70" w:type="dxa"/>
              <w:start w:w="110" w:type="dxa"/>
              <w:bottom w:w="70" w:type="dxa"/>
              <w:end w:w="110" w:type="dxa"/>
            </w:tcMar>
            <w:vAlign w:val="center"/>
          </w:tcPr>
          <w:p>
            <w:pPr>
              <w:pStyle w:val="TableText"/>
              <w:jc w:val="left"/>
            </w:pPr>
            <w:r>
              <w:rPr>
                <w:lang w:val="en-US" w:eastAsia="en-US" w:bidi="ar-SA"/>
              </w:rPr>
              <w:t>Undenatured ethyl alcohol: For use as a spirituous or</w:t>
            </w:r>
          </w:p>
        </w:tc>
      </w:tr>
    </w:tbl>
    <w:p>
      <w:pPr>
        <w:pStyle w:val="Normal"/>
      </w:pPr>
      <w:r>
        <w:t>alcoholic beverage or for use in the manufacture of spirituous or alcoholic beverages 2208.90.29 Undenatured ethyl alcohol: Other 2208.90.30 Angostura bitters 2208.90.41 Spirituous fruit juices of an alcoholic strength by volume not exceeding 14.3% vol: Packaged, of an alcoholic strength by volume not exceeding 7% vol 2208.90.49 Spirituous fruit juices of an alcoholic strength by volume not exceeding 14.3% vol: Other 2208.90.92 Other: Fruit brandies 2208.90.98 Other: Other, packaged, of an alcoholic strength by volume not exceeding 7% 2208.90.99 Other: Other 2209.00.00 Vinegar and substitutes for vinegar obtained from acetic acid. 2301.10.10 Of whales 2301.10.90 Other 2301.20.11 Fish meal: For use in the manufacture of complete feeds for fish 2301.20.18 Fish meal: Other, not including herring meal or salmon meal, for use in the manufacture of animal feed 2301.20.19 Fish meal: Other 2301.20.90 Other 2302.10.00 Of maize (corn) 2302.30.10 Within access commitment 2302.30.20 Over access commitment 2302.40.11 Of barley: Within access commitment 2302.40.12 Of barley:</w:t>
      </w:r>
    </w:p>
    <w:p>
      <w:pPr>
        <w:pStyle w:val="Normal"/>
      </w:pPr>
      <w:r>
        <w:t>Over access commitment 2302.40.90 Other 2302.50.00 Of leguminous plants 2303.10.00 Residues of starch manufacture and similar residues 2303.20.10 Dried beet-pulp 2303.20.90 Other 2303.30.00 Brewing or distilling dregs and waste 2304.00.00 Oil-cake and other solid residues, whether or not ground or in the form of pellets, resulting from the extraction of soya-bean oil.</w:t>
      </w:r>
    </w:p>
    <w:p>
      <w:pPr>
        <w:pStyle w:val="Normal"/>
      </w:pPr>
      <w:r>
        <w:t>2305.00.00 Oil-cake and other solid residues, whether or not ground or in the form of pellets, resulting from the extraction of ground-nut oil. 2306.10.00 Of cotton seeds 2306.20.00 Of linseed 2306.30.00 Of sunflower seeds 2306.41.00 Of low erucic acid rape or colza seeds 2306.49.00 Other 2306.50.00 Of coconut or copra 2306.60.00 Of palm nuts or kernels 2306.90.00 Other 2307.00.00 Wine lees; argol. 2308.00.00 Vegetable materials and vegetable waste, vegetable residues and by-products, whether or not in the form of pellets, of a kind used in animal feeding, not elsewhere specified or included. 2309.10.00 Dog or cat food, put up for retail sale 2309.90.10 Feeds containing cereals, excluding baked biscuits, to be employed in feeding fur-bearing animals or in the manufacture of feeds for such animals; Granulated tylosin concentrate and hygromycin B concentrate for use in the manufacture of animal feed supplements; Preparations to be employed in feeding trout or salmon and cereal preparations to be employed in feeding fur-bearing animals 2309.90.20 Other preparations containing eggs 2309.90.31 Complete feeds and feed supplements, including concentrates:</w:t>
      </w:r>
    </w:p>
    <w:p>
      <w:pPr>
        <w:pStyle w:val="Normal"/>
      </w:pPr>
      <w:r>
        <w:t>Containing 50% or more by weight in the dry state of non-fat milk solids, within access commitment * * 2309.90.32 Complete feeds and feed supplements, including concentrates: Containing 50% or more by weight in the dry state of non-fat milk solids, over access commitment * * 2309.90.33 Complete feeds and feed supplements,</w:t>
      </w:r>
    </w:p>
    <w:p>
      <w:pPr>
        <w:pStyle w:val="Normal"/>
      </w:pPr>
      <w:r>
        <w:t>including concentrates: Containing more than 10% but less than 50% by weight in the dry state of non-fat milk solids 2309.90.34 Complete feeds and feed supplements, including concentrates: Containing 10% or less by weight in the dry state of non-fat milk solids 2309.90.35 Complete feeds and feed supplements, including concentrates: Containing 50% or more by weight in the dry state of milk solids containing butterfat * 2309.90.36 Complete feeds and feed supplements, including concentrates: Containing more than 10% but less than 50% by weight in the dry state of milk solids containing butterfat 2309.90.37 Complete feeds and feed supplements, including concentrates: Fish solubles 2309.90.39 Complete feeds and feed supplements, including concentrates: Other 2309.90.91 Other: Feed grade chlortetracycline, obtained by fermentation and the subsequent drying of the contents of the fermentation vessel, whether or not standardized by the addition of other substances, for use in the manufacture of premixes; Flavourings; Mineral blocks; Pellet binders; Preservatives; Single ingredient feeds; Yeast cultures 2309.90.99 Other: Other 2401.10.10 For use as wrappers in the manufacture of cigars 2401.10.91 Other: Turkish type 2401.10.99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2401.20.10</w:t>
            </w:r>
          </w:p>
        </w:tc>
        <w:tc>
          <w:tcPr>
            <w:tcW w:w="4679" w:type="dxa"/>
            <w:tcMar>
              <w:top w:w="70" w:type="dxa"/>
              <w:start w:w="110" w:type="dxa"/>
              <w:bottom w:w="70" w:type="dxa"/>
              <w:end w:w="110" w:type="dxa"/>
            </w:tcMar>
            <w:vAlign w:val="center"/>
          </w:tcPr>
          <w:p>
            <w:pPr>
              <w:pStyle w:val="TableText"/>
              <w:jc w:val="left"/>
            </w:pPr>
            <w:r>
              <w:rPr>
                <w:lang w:val="en-US" w:eastAsia="en-US" w:bidi="ar-SA"/>
              </w:rPr>
              <w:t>Wrapper tobacco for use in the manufacture of cigars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2401.20.90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2401.30.00</w:t>
            </w:r>
          </w:p>
        </w:tc>
        <w:tc>
          <w:tcPr>
            <w:tcW w:w="4679" w:type="dxa"/>
            <w:tcMar>
              <w:top w:w="70" w:type="dxa"/>
              <w:start w:w="110" w:type="dxa"/>
              <w:bottom w:w="70" w:type="dxa"/>
              <w:end w:w="110" w:type="dxa"/>
            </w:tcMar>
            <w:vAlign w:val="center"/>
          </w:tcPr>
          <w:p>
            <w:pPr>
              <w:pStyle w:val="TableText"/>
              <w:jc w:val="left"/>
            </w:pPr>
            <w:r>
              <w:rPr>
                <w:lang w:val="en-US" w:eastAsia="en-US" w:bidi="ar-SA"/>
              </w:rPr>
              <w:t>Tobacco refuse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2402.10.00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Cigars, cheroots and cigarillos, containing tobacco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2402.20.00</w:t>
            </w:r>
          </w:p>
        </w:tc>
        <w:tc>
          <w:tcPr>
            <w:tcW w:w="4679" w:type="dxa"/>
            <w:tcMar>
              <w:top w:w="70" w:type="dxa"/>
              <w:start w:w="110" w:type="dxa"/>
              <w:bottom w:w="70" w:type="dxa"/>
              <w:end w:w="110" w:type="dxa"/>
            </w:tcMar>
            <w:vAlign w:val="center"/>
          </w:tcPr>
          <w:p>
            <w:pPr>
              <w:pStyle w:val="TableText"/>
              <w:jc w:val="left"/>
            </w:pPr>
            <w:r>
              <w:rPr>
                <w:lang w:val="en-US" w:eastAsia="en-US" w:bidi="ar-SA"/>
              </w:rPr>
              <w:t>Cigarettes containing tobacco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2402.90.00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2403.11.00</w:t>
            </w:r>
          </w:p>
        </w:tc>
        <w:tc>
          <w:tcPr>
            <w:tcW w:w="4679" w:type="dxa"/>
            <w:tcMar>
              <w:top w:w="70" w:type="dxa"/>
              <w:start w:w="110" w:type="dxa"/>
              <w:bottom w:w="70" w:type="dxa"/>
              <w:end w:w="110" w:type="dxa"/>
            </w:tcMar>
            <w:vAlign w:val="center"/>
          </w:tcPr>
          <w:p>
            <w:pPr>
              <w:pStyle w:val="TableText"/>
              <w:jc w:val="left"/>
            </w:pPr>
            <w:r>
              <w:rPr>
                <w:lang w:val="en-US" w:eastAsia="en-US" w:bidi="ar-SA"/>
              </w:rPr>
              <w:t>Water</w:t>
            </w:r>
          </w:p>
        </w:tc>
      </w:tr>
    </w:tbl>
    <w:p>
      <w:pPr>
        <w:pStyle w:val="Normal"/>
      </w:pPr>
      <w:r>
        <w:t>pipe tobacco specified in Subheading Note 1 to this Chapter 2403.19.00 Other 2403.91.10 Suitable for use as wrapper tobacco 2403.91.20 Processed leaf tobacco suitable for use as cigar binders 2403.91.90 Other 2403.99.10 Snuff 2403.99.20 Manufactured tobacco substitutes not containing tobacco 2403.99.90 Other 2501.00.10 Table salt made by an admixture of other ingredients when containing 90% or more of pure sodium chloride 2501.00.90 Other 2502.00.00 Unroasted iron pyrites. 2503.00.00 Sulphur of all kinds, other than sublimed sulphur, precipitated sulphur and colloidal sulphur. 2504.10.00 In powder or in flakes 2504.90.00 Other 2505.10.00 Silica sand and quartz sands 2505.90.00 Other 2506.10.00 Quartz 2506.20.00 Quartzite 2507.00.00 Kaolin and other kaolinic clays, whether or not calcined. 2508.10.00 Bentonite 2508.30.00 Fire-clay 2508.40.00 Other clays 2508.50.00 Andalusite, kyanite and sillimanite 2508.60.00 Mullite 2508.70.00 Chamotte or dinas earths 2509.00.00 Chalk. 2510.10.00 Unground 2510.20.00 Ground 2511.10.00 Natural barium sulphate (barytes) 2511.20.00 Natural barium carbonate (witherite) 2512.00.00 Siliceous fossil meals (for example, kieselguhr, tripolite and diatomite) and similar siliceous earths, whether or not calcined, of an apparent specific gravity of 1 or less.</w:t>
      </w:r>
    </w:p>
    <w:p>
      <w:pPr>
        <w:pStyle w:val="Normal"/>
      </w:pPr>
      <w:r>
        <w:t>2513.10.00 Pumice stone 2513.20.00 Emery, natural corundum, natural garnet and other natural abrasives 2514.00.00 Slate, whether or not roughly trimmed or merely cut, by sawing or otherwise, into blocks or slabs of a rectangular (including square) shape.</w:t>
      </w:r>
    </w:p>
    <w:p>
      <w:pPr>
        <w:pStyle w:val="Normal"/>
      </w:pPr>
      <w:r>
        <w:t>2515.11.00 Crude or roughly trimmed 2515.12.00 Merely cut, by sawing or otherwise, into blocks or slabs of a rectangular (including square) shape 2515.20.00 Ecaussine and other calcareous monumental or building stone; alabaster 2516.11.00 Crude or roughly trimmed 2516.12.00 Merely cut, by sawing or otherwise, into blocks or slabs of a rectangular (including square) shape 2516.20.00 Sandstone 2516.90.00 Other monumental or building stone 2517.10.00 Pebbles, gravel, broken or crushed stone, of a kind commonly used for concrete aggregates, for road metalling or for railway or other ballast, shingle and flint, whether or not heat-treated 2517.20.00 Macadam of slag, dross or similar industrial waste, whether or not incorporating the materials cited in subheading 2517.10 2517.30.00 Tarred macadam 2517.41.00 Of marble 2517.49.00 Other 2518.10.00 Dolomite, not calcined or sintered 2518.20.00 Calcined or sintered dolomite 2518.30.00 Dolomite ramming mix 2519.10.00 Natural magnesium carbonate (magnesite) 2519.90.00 Other 2520.10.00 Gypsum; anhydrite 2520.20.00 Plasters 2521.00.00 Limestone flux; limestone and other calcareous stone, of a kind used for the manufacture of lime or cement.</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2522.10.00</w:t>
            </w:r>
          </w:p>
        </w:tc>
        <w:tc>
          <w:tcPr>
            <w:tcW w:w="4679" w:type="dxa"/>
            <w:tcMar>
              <w:top w:w="70" w:type="dxa"/>
              <w:start w:w="110" w:type="dxa"/>
              <w:bottom w:w="70" w:type="dxa"/>
              <w:end w:w="110" w:type="dxa"/>
            </w:tcMar>
            <w:vAlign w:val="center"/>
          </w:tcPr>
          <w:p>
            <w:pPr>
              <w:pStyle w:val="TableText"/>
              <w:jc w:val="left"/>
            </w:pPr>
            <w:r>
              <w:rPr>
                <w:lang w:val="en-US" w:eastAsia="en-US" w:bidi="ar-SA"/>
              </w:rPr>
              <w:t>Quicklime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Slaked lime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2522.30.00</w:t>
            </w:r>
          </w:p>
        </w:tc>
        <w:tc>
          <w:tcPr>
            <w:tcW w:w="4679" w:type="dxa"/>
            <w:tcMar>
              <w:top w:w="70" w:type="dxa"/>
              <w:start w:w="110" w:type="dxa"/>
              <w:bottom w:w="70" w:type="dxa"/>
              <w:end w:w="110" w:type="dxa"/>
            </w:tcMar>
            <w:vAlign w:val="center"/>
          </w:tcPr>
          <w:p>
            <w:pPr>
              <w:pStyle w:val="TableText"/>
              <w:jc w:val="left"/>
            </w:pPr>
            <w:r>
              <w:rPr>
                <w:lang w:val="en-US" w:eastAsia="en-US" w:bidi="ar-SA"/>
              </w:rPr>
              <w:t>Hydraulic lime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Cement clinkers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2523.21.00</w:t>
            </w:r>
          </w:p>
        </w:tc>
        <w:tc>
          <w:tcPr>
            <w:tcW w:w="4679" w:type="dxa"/>
            <w:tcMar>
              <w:top w:w="70" w:type="dxa"/>
              <w:start w:w="110" w:type="dxa"/>
              <w:bottom w:w="70" w:type="dxa"/>
              <w:end w:w="110" w:type="dxa"/>
            </w:tcMar>
            <w:vAlign w:val="center"/>
          </w:tcPr>
          <w:p>
            <w:pPr>
              <w:pStyle w:val="TableText"/>
              <w:jc w:val="left"/>
            </w:pPr>
            <w:r>
              <w:rPr>
                <w:lang w:val="en-US" w:eastAsia="en-US" w:bidi="ar-SA"/>
              </w:rPr>
              <w:t>White cement, whether or not artificially coloured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2523.29.00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2523.30.00</w:t>
            </w:r>
          </w:p>
        </w:tc>
        <w:tc>
          <w:tcPr>
            <w:tcW w:w="4679" w:type="dxa"/>
            <w:tcMar>
              <w:top w:w="70" w:type="dxa"/>
              <w:start w:w="110" w:type="dxa"/>
              <w:bottom w:w="70" w:type="dxa"/>
              <w:end w:w="110" w:type="dxa"/>
            </w:tcMar>
            <w:vAlign w:val="center"/>
          </w:tcPr>
          <w:p>
            <w:pPr>
              <w:pStyle w:val="TableText"/>
              <w:jc w:val="left"/>
            </w:pPr>
            <w:r>
              <w:rPr>
                <w:lang w:val="en-US" w:eastAsia="en-US" w:bidi="ar-SA"/>
              </w:rPr>
              <w:t>Aluminous cement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hydraulic cements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2524.10.00</w:t>
            </w:r>
          </w:p>
        </w:tc>
        <w:tc>
          <w:tcPr>
            <w:tcW w:w="4679" w:type="dxa"/>
            <w:tcMar>
              <w:top w:w="70" w:type="dxa"/>
              <w:start w:w="110" w:type="dxa"/>
              <w:bottom w:w="70" w:type="dxa"/>
              <w:end w:w="110" w:type="dxa"/>
            </w:tcMar>
            <w:vAlign w:val="center"/>
          </w:tcPr>
          <w:p>
            <w:pPr>
              <w:pStyle w:val="TableText"/>
              <w:jc w:val="left"/>
            </w:pPr>
            <w:r>
              <w:rPr>
                <w:lang w:val="en-US" w:eastAsia="en-US" w:bidi="ar-SA"/>
              </w:rPr>
              <w:t>Crocidolite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2525.10.00</w:t>
            </w:r>
          </w:p>
        </w:tc>
        <w:tc>
          <w:tcPr>
            <w:tcW w:w="4679" w:type="dxa"/>
            <w:tcMar>
              <w:top w:w="70" w:type="dxa"/>
              <w:start w:w="110" w:type="dxa"/>
              <w:bottom w:w="70" w:type="dxa"/>
              <w:end w:w="110" w:type="dxa"/>
            </w:tcMar>
            <w:vAlign w:val="center"/>
          </w:tcPr>
          <w:p>
            <w:pPr>
              <w:pStyle w:val="TableText"/>
              <w:jc w:val="left"/>
            </w:pPr>
            <w:r>
              <w:rPr>
                <w:lang w:val="en-US" w:eastAsia="en-US" w:bidi="ar-SA"/>
              </w:rPr>
              <w:t>Crude mica and mica rifted into sheets or splittings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Mica powder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2525.30.00</w:t>
            </w:r>
          </w:p>
        </w:tc>
        <w:tc>
          <w:tcPr>
            <w:tcW w:w="4679" w:type="dxa"/>
            <w:tcMar>
              <w:top w:w="70" w:type="dxa"/>
              <w:start w:w="110" w:type="dxa"/>
              <w:bottom w:w="70" w:type="dxa"/>
              <w:end w:w="110" w:type="dxa"/>
            </w:tcMar>
            <w:vAlign w:val="center"/>
          </w:tcPr>
          <w:p>
            <w:pPr>
              <w:pStyle w:val="TableText"/>
              <w:jc w:val="left"/>
            </w:pPr>
            <w:r>
              <w:rPr>
                <w:lang w:val="en-US" w:eastAsia="en-US" w:bidi="ar-SA"/>
              </w:rPr>
              <w:t>Mica waste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crushed, not powdered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2526.20.00</w:t>
            </w:r>
          </w:p>
        </w:tc>
        <w:tc>
          <w:tcPr>
            <w:tcW w:w="4679" w:type="dxa"/>
            <w:tcMar>
              <w:top w:w="70" w:type="dxa"/>
              <w:start w:w="110" w:type="dxa"/>
              <w:bottom w:w="70" w:type="dxa"/>
              <w:end w:w="110" w:type="dxa"/>
            </w:tcMar>
            <w:vAlign w:val="center"/>
          </w:tcPr>
          <w:p>
            <w:pPr>
              <w:pStyle w:val="TableText"/>
              <w:jc w:val="left"/>
            </w:pPr>
            <w:r>
              <w:rPr>
                <w:lang w:val="en-US" w:eastAsia="en-US" w:bidi="ar-SA"/>
              </w:rPr>
              <w:t>Crushed or powdered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2528.00.00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Natural borates and concentrates thereof (whether or not calcined), but not including borates separated from natural brine; natural boric acid containing not more than 85% of H3BO3 calculated on the dry weight.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2529.10.00</w:t>
            </w:r>
          </w:p>
        </w:tc>
        <w:tc>
          <w:tcPr>
            <w:tcW w:w="4679" w:type="dxa"/>
            <w:tcMar>
              <w:top w:w="70" w:type="dxa"/>
              <w:start w:w="110" w:type="dxa"/>
              <w:bottom w:w="70" w:type="dxa"/>
              <w:end w:w="110" w:type="dxa"/>
            </w:tcMar>
            <w:vAlign w:val="center"/>
          </w:tcPr>
          <w:p>
            <w:pPr>
              <w:pStyle w:val="TableText"/>
              <w:jc w:val="left"/>
            </w:pPr>
            <w:r>
              <w:rPr>
                <w:lang w:val="en-US" w:eastAsia="en-US" w:bidi="ar-SA"/>
              </w:rPr>
              <w:t>Feldspar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97% or less of calcium fluoride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2529.22.00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by weight more than 97% of calcium fluoride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2529.30.00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Leucite; nepheline and nepheline syenite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2530.10.00</w:t>
            </w:r>
          </w:p>
        </w:tc>
        <w:tc>
          <w:tcPr>
            <w:tcW w:w="4679" w:type="dxa"/>
            <w:tcMar>
              <w:top w:w="70" w:type="dxa"/>
              <w:start w:w="110" w:type="dxa"/>
              <w:bottom w:w="70" w:type="dxa"/>
              <w:end w:w="110" w:type="dxa"/>
            </w:tcMar>
            <w:vAlign w:val="center"/>
          </w:tcPr>
          <w:p>
            <w:pPr>
              <w:pStyle w:val="TableText"/>
              <w:jc w:val="left"/>
            </w:pPr>
            <w:r>
              <w:rPr>
                <w:lang w:val="en-US" w:eastAsia="en-US" w:bidi="ar-SA"/>
              </w:rPr>
              <w:t>Vermiculite, perlite and chlorites, unexpanded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2530.20.00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Kieserite, epsomite (natural magnesium sulphates)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2530.90.00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Non-agglomerated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2601.12.00</w:t>
            </w:r>
          </w:p>
        </w:tc>
        <w:tc>
          <w:tcPr>
            <w:tcW w:w="4679" w:type="dxa"/>
            <w:tcMar>
              <w:top w:w="70" w:type="dxa"/>
              <w:start w:w="110" w:type="dxa"/>
              <w:bottom w:w="70" w:type="dxa"/>
              <w:end w:w="110" w:type="dxa"/>
            </w:tcMar>
            <w:vAlign w:val="center"/>
          </w:tcPr>
          <w:p>
            <w:pPr>
              <w:pStyle w:val="TableText"/>
              <w:jc w:val="left"/>
            </w:pPr>
            <w:r>
              <w:rPr>
                <w:lang w:val="en-US" w:eastAsia="en-US" w:bidi="ar-SA"/>
              </w:rPr>
              <w:t>Agglomerated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Roasted iron pyrites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2602.00.00</w:t>
            </w:r>
          </w:p>
        </w:tc>
        <w:tc>
          <w:tcPr>
            <w:tcW w:w="4679" w:type="dxa"/>
            <w:tcMar>
              <w:top w:w="70" w:type="dxa"/>
              <w:start w:w="110" w:type="dxa"/>
              <w:bottom w:w="70" w:type="dxa"/>
              <w:end w:w="110" w:type="dxa"/>
            </w:tcMar>
            <w:vAlign w:val="center"/>
          </w:tcPr>
          <w:p>
            <w:pPr>
              <w:pStyle w:val="TableText"/>
              <w:jc w:val="left"/>
            </w:pPr>
            <w:r>
              <w:rPr>
                <w:lang w:val="en-US" w:eastAsia="en-US" w:bidi="ar-SA"/>
              </w:rPr>
              <w:t>Manganese ores and concentrates, including ferruginous manganese ores and concentrates with a manganese content of 20% or more, calculated on the dry weight.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Copper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2604.00.00</w:t>
            </w:r>
          </w:p>
        </w:tc>
        <w:tc>
          <w:tcPr>
            <w:tcW w:w="4679" w:type="dxa"/>
            <w:tcMar>
              <w:top w:w="70" w:type="dxa"/>
              <w:start w:w="110" w:type="dxa"/>
              <w:bottom w:w="70" w:type="dxa"/>
              <w:end w:w="110" w:type="dxa"/>
            </w:tcMar>
            <w:vAlign w:val="center"/>
          </w:tcPr>
          <w:p>
            <w:pPr>
              <w:pStyle w:val="TableText"/>
              <w:jc w:val="left"/>
            </w:pPr>
            <w:r>
              <w:rPr>
                <w:lang w:val="en-US" w:eastAsia="en-US" w:bidi="ar-SA"/>
              </w:rPr>
              <w:t>Nickel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2605.00.00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Cobalt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2606.00.00</w:t>
            </w:r>
          </w:p>
        </w:tc>
        <w:tc>
          <w:tcPr>
            <w:tcW w:w="4679" w:type="dxa"/>
            <w:tcMar>
              <w:top w:w="70" w:type="dxa"/>
              <w:start w:w="110" w:type="dxa"/>
              <w:bottom w:w="70" w:type="dxa"/>
              <w:end w:w="110" w:type="dxa"/>
            </w:tcMar>
            <w:vAlign w:val="center"/>
          </w:tcPr>
          <w:p>
            <w:pPr>
              <w:pStyle w:val="TableText"/>
              <w:jc w:val="left"/>
            </w:pPr>
            <w:r>
              <w:rPr>
                <w:lang w:val="en-US" w:eastAsia="en-US" w:bidi="ar-SA"/>
              </w:rPr>
              <w:t>Aluminum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2607.00.00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Lead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2608.00.00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Zinc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2609.00.00</w:t>
            </w:r>
          </w:p>
        </w:tc>
        <w:tc>
          <w:tcPr>
            <w:tcW w:w="4679" w:type="dxa"/>
            <w:tcMar>
              <w:top w:w="70" w:type="dxa"/>
              <w:start w:w="110" w:type="dxa"/>
              <w:bottom w:w="70" w:type="dxa"/>
              <w:end w:w="110" w:type="dxa"/>
            </w:tcMar>
            <w:vAlign w:val="center"/>
          </w:tcPr>
          <w:p>
            <w:pPr>
              <w:pStyle w:val="TableText"/>
              <w:jc w:val="left"/>
            </w:pPr>
            <w:r>
              <w:rPr>
                <w:lang w:val="en-US" w:eastAsia="en-US" w:bidi="ar-SA"/>
              </w:rPr>
              <w:t>Tin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2610.00.00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Chromium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2611.00.00</w:t>
            </w:r>
          </w:p>
        </w:tc>
        <w:tc>
          <w:tcPr>
            <w:tcW w:w="4679" w:type="dxa"/>
            <w:tcMar>
              <w:top w:w="70" w:type="dxa"/>
              <w:start w:w="110" w:type="dxa"/>
              <w:bottom w:w="70" w:type="dxa"/>
              <w:end w:w="110" w:type="dxa"/>
            </w:tcMar>
            <w:vAlign w:val="center"/>
          </w:tcPr>
          <w:p>
            <w:pPr>
              <w:pStyle w:val="TableText"/>
              <w:jc w:val="left"/>
            </w:pPr>
            <w:r>
              <w:rPr>
                <w:lang w:val="en-US" w:eastAsia="en-US" w:bidi="ar-SA"/>
              </w:rPr>
              <w:t>Tungsten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Uranium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2612.20.00</w:t>
            </w:r>
          </w:p>
        </w:tc>
        <w:tc>
          <w:tcPr>
            <w:tcW w:w="4679" w:type="dxa"/>
            <w:tcMar>
              <w:top w:w="70" w:type="dxa"/>
              <w:start w:w="110" w:type="dxa"/>
              <w:bottom w:w="70" w:type="dxa"/>
              <w:end w:w="110" w:type="dxa"/>
            </w:tcMar>
            <w:vAlign w:val="center"/>
          </w:tcPr>
          <w:p>
            <w:pPr>
              <w:pStyle w:val="TableText"/>
              <w:jc w:val="left"/>
            </w:pPr>
            <w:r>
              <w:rPr>
                <w:lang w:val="en-US" w:eastAsia="en-US" w:bidi="ar-SA"/>
              </w:rPr>
              <w:t>Thorium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Roasted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2614.00.00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Titanium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2615.10.00</w:t>
            </w:r>
          </w:p>
        </w:tc>
        <w:tc>
          <w:tcPr>
            <w:tcW w:w="4679" w:type="dxa"/>
            <w:tcMar>
              <w:top w:w="70" w:type="dxa"/>
              <w:start w:w="110" w:type="dxa"/>
              <w:bottom w:w="70" w:type="dxa"/>
              <w:end w:w="110" w:type="dxa"/>
            </w:tcMar>
            <w:vAlign w:val="center"/>
          </w:tcPr>
          <w:p>
            <w:pPr>
              <w:pStyle w:val="TableText"/>
              <w:jc w:val="left"/>
            </w:pPr>
            <w:r>
              <w:rPr>
                <w:lang w:val="en-US" w:eastAsia="en-US" w:bidi="ar-SA"/>
              </w:rPr>
              <w:t>Zirconium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2616.10.00</w:t>
            </w:r>
          </w:p>
        </w:tc>
        <w:tc>
          <w:tcPr>
            <w:tcW w:w="4679" w:type="dxa"/>
            <w:tcMar>
              <w:top w:w="70" w:type="dxa"/>
              <w:start w:w="110" w:type="dxa"/>
              <w:bottom w:w="70" w:type="dxa"/>
              <w:end w:w="110" w:type="dxa"/>
            </w:tcMar>
            <w:vAlign w:val="center"/>
          </w:tcPr>
          <w:p>
            <w:pPr>
              <w:pStyle w:val="TableText"/>
              <w:jc w:val="left"/>
            </w:pPr>
            <w:r>
              <w:rPr>
                <w:lang w:val="en-US" w:eastAsia="en-US" w:bidi="ar-SA"/>
              </w:rPr>
              <w:t>Silver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2617.10.00</w:t>
            </w:r>
          </w:p>
        </w:tc>
        <w:tc>
          <w:tcPr>
            <w:tcW w:w="4679" w:type="dxa"/>
            <w:tcMar>
              <w:top w:w="70" w:type="dxa"/>
              <w:start w:w="110" w:type="dxa"/>
              <w:bottom w:w="70" w:type="dxa"/>
              <w:end w:w="110" w:type="dxa"/>
            </w:tcMar>
            <w:vAlign w:val="center"/>
          </w:tcPr>
          <w:p>
            <w:pPr>
              <w:pStyle w:val="TableText"/>
              <w:jc w:val="left"/>
            </w:pPr>
            <w:r>
              <w:rPr>
                <w:lang w:val="en-US" w:eastAsia="en-US" w:bidi="ar-SA"/>
              </w:rPr>
              <w:t>Antimony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2618.00.00</w:t>
            </w:r>
          </w:p>
        </w:tc>
        <w:tc>
          <w:tcPr>
            <w:tcW w:w="4679" w:type="dxa"/>
            <w:tcMar>
              <w:top w:w="70" w:type="dxa"/>
              <w:start w:w="110" w:type="dxa"/>
              <w:bottom w:w="70" w:type="dxa"/>
              <w:end w:w="110" w:type="dxa"/>
            </w:tcMar>
            <w:vAlign w:val="center"/>
          </w:tcPr>
          <w:p>
            <w:pPr>
              <w:pStyle w:val="TableText"/>
              <w:jc w:val="left"/>
            </w:pPr>
            <w:r>
              <w:rPr>
                <w:lang w:val="en-US" w:eastAsia="en-US" w:bidi="ar-SA"/>
              </w:rPr>
              <w:t>Granulated slag (slag sand) from the manufacture of iron or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2619.00.00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Slag, dross (other than granulated slag), scalings and other waste from the manufacture of iron or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2620.11.00</w:t>
            </w:r>
          </w:p>
        </w:tc>
        <w:tc>
          <w:tcPr>
            <w:tcW w:w="4679" w:type="dxa"/>
            <w:tcMar>
              <w:top w:w="70" w:type="dxa"/>
              <w:start w:w="110" w:type="dxa"/>
              <w:bottom w:w="70" w:type="dxa"/>
              <w:end w:w="110" w:type="dxa"/>
            </w:tcMar>
            <w:vAlign w:val="center"/>
          </w:tcPr>
          <w:p>
            <w:pPr>
              <w:pStyle w:val="TableText"/>
              <w:jc w:val="left"/>
            </w:pPr>
            <w:r>
              <w:rPr>
                <w:lang w:val="en-US" w:eastAsia="en-US" w:bidi="ar-SA"/>
              </w:rPr>
              <w:t>Hard zinc spelter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2620.21.00</w:t>
            </w:r>
          </w:p>
        </w:tc>
        <w:tc>
          <w:tcPr>
            <w:tcW w:w="4679" w:type="dxa"/>
            <w:tcMar>
              <w:top w:w="70" w:type="dxa"/>
              <w:start w:w="110" w:type="dxa"/>
              <w:bottom w:w="70" w:type="dxa"/>
              <w:end w:w="110" w:type="dxa"/>
            </w:tcMar>
            <w:vAlign w:val="center"/>
          </w:tcPr>
          <w:p>
            <w:pPr>
              <w:pStyle w:val="TableText"/>
              <w:jc w:val="left"/>
            </w:pPr>
            <w:r>
              <w:rPr>
                <w:lang w:val="en-US" w:eastAsia="en-US" w:bidi="ar-SA"/>
              </w:rPr>
              <w:t>Leaded gasoline sludges and leaded anti-knock compound sludges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2620.30.00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mainly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mainly aluminum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2620.60.00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arsenic, mercury, thallium or their mixtures, of a kind used for the extraction of arsenic or those metals or for the manufacture of their chemical compounds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antimony, beryllium, cadmium, chromium or their mixtures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Ash and residues from the incineration of municipal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2701.11.00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Anthracite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2701.12.00</w:t>
            </w:r>
          </w:p>
        </w:tc>
        <w:tc>
          <w:tcPr>
            <w:tcW w:w="4679" w:type="dxa"/>
            <w:tcMar>
              <w:top w:w="70" w:type="dxa"/>
              <w:start w:w="110" w:type="dxa"/>
              <w:bottom w:w="70" w:type="dxa"/>
              <w:end w:w="110" w:type="dxa"/>
            </w:tcMar>
            <w:vAlign w:val="center"/>
          </w:tcPr>
          <w:p>
            <w:pPr>
              <w:pStyle w:val="TableText"/>
              <w:jc w:val="left"/>
            </w:pPr>
            <w:r>
              <w:rPr>
                <w:lang w:val="en-US" w:eastAsia="en-US" w:bidi="ar-SA"/>
              </w:rPr>
              <w:t>Bituminous coal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2701.19.00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coal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2701.20.00</w:t>
            </w:r>
          </w:p>
        </w:tc>
        <w:tc>
          <w:tcPr>
            <w:tcW w:w="4679" w:type="dxa"/>
            <w:tcMar>
              <w:top w:w="70" w:type="dxa"/>
              <w:start w:w="110" w:type="dxa"/>
              <w:bottom w:w="70" w:type="dxa"/>
              <w:end w:w="110" w:type="dxa"/>
            </w:tcMar>
            <w:vAlign w:val="center"/>
          </w:tcPr>
          <w:p>
            <w:pPr>
              <w:pStyle w:val="TableText"/>
              <w:jc w:val="left"/>
            </w:pPr>
            <w:r>
              <w:rPr>
                <w:lang w:val="en-US" w:eastAsia="en-US" w:bidi="ar-SA"/>
              </w:rPr>
              <w:t>Briquettes, ovoids and similar solid fuels manufactured from coal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2702.10.00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Lignite, whether or not pulverized, but not agglomerated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2702.20.00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Agglomerated lignite 2703.00.00 Peat (including peat litter), whether or not agglomerated. 2704.00.00 Coke and semi-coke of coal, of lignite or of peat, whether or not agglomerated; retort carbon. 2705.00.00 Coal gas, water gas, producer gas and similar gases, other than petroleum gases and other gaseous hydrocarbons. 2706.00.00 Tar distilled from coal, from lignite or from peat, and other mineral tars, whether or not dehydrated or partially distilled, including reconstituted tars. 2707.10.00 Benzol (benzene) 2707.20.00 Toluol (toluene) 2707.30.00 Xylol (xylenes) 2707.40.00 Naphthalene 2707.50.00 Other aromatic hydrocarbon mixtures of which 65% or more by volume (including losses) distils at 250°C by the ISO 3405 method (equivalent to the ASTM D 86 method) 2707.91.00 Creosote oils 2707.99.00 Other 2708.10.00 Pitch 2708.20.00 Pitch coke 2709.00.00 Petroleum oils and oils obtained from bituminous minerals, crude. 2710.12.10 Alkylenes, mixed, with a very low degree of polymerization 2710.12.20 Lubricating oils put up in packings for retail sale 2710.12.90 Other 2710.19.10 White mineral oil (USP, BP or NF grades); Naphthenic oils for use in the manufacture of printing ink; Oils for use in the manufacture of goods of heading 38.08 or of tariff item No.</w:t>
      </w:r>
    </w:p>
    <w:p>
      <w:pPr>
        <w:pStyle w:val="Normal"/>
      </w:pPr>
      <w:r>
        <w:t>9919.00.00 2710.19.20 Alkylenes, mixed, with a very low degree of polymerization; Lubricating oils or basestocks, containing by weight more than 50% of synthetic hydrocarbons; Other white oils; Petroleum greases and lubricating greases 2710.19.30 Hydrocracker bottoms for use in the manufacture of motor oils, transmission fluids or hydraulic fluids 2710.19.91 Other: Lubricating oils put up in packings for retail sale 2710.19.99 Other: Other 2710.20.10 Lubricating oils put up in packings for retail sale 2710.20.90 Other 2710.91.00 Containing polychlorinated biphenyls (PCBs), polychlorinated terphenyls (PCTs) or polybrominated biphenyls (PBBs) 2710.99.00 Other 2711.11.00 Natural gas 2711.12.10 In containers ready for use 2711.12.90 Other 2711.13.00 Butanes 2711.14.00 Ethylene, propylene, butylene and butadiene 2711.19.10 In containers ready for use 2711.19.90 Other 2711.21.00 Natural gas 2711.29.00 Other 2712.10.00 Petroleum jelly 2712.20.00 Paraffin wax containing by weight less than 0.75% of oil 2712.90.00 Other 2713.11.00 Not calcined 2713.12.00 Calcined 2713.20.00 Petroleum bitumen 2713.90.00 Other residues of petroleum oils or of oils obtained from bituminous minerals 2714.10.00 Bituminous or oil shale and tar sands 2714.90.00 Other 2715.00.00 Bituminous mixtures based on natural asphalt, on natural bitumen, on petroleum bitumen, on mineral tar or on mineral tar pitch (for example, bituminous mastics, cut-backs). 2716.00.00 Electrical energy.</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2801.10.00</w:t>
            </w:r>
          </w:p>
        </w:tc>
        <w:tc>
          <w:tcPr>
            <w:tcW w:w="4679" w:type="dxa"/>
            <w:tcMar>
              <w:top w:w="70" w:type="dxa"/>
              <w:start w:w="110" w:type="dxa"/>
              <w:bottom w:w="70" w:type="dxa"/>
              <w:end w:w="110" w:type="dxa"/>
            </w:tcMar>
            <w:vAlign w:val="center"/>
          </w:tcPr>
          <w:p>
            <w:pPr>
              <w:pStyle w:val="TableText"/>
              <w:jc w:val="left"/>
            </w:pPr>
            <w:r>
              <w:rPr>
                <w:lang w:val="en-US" w:eastAsia="en-US" w:bidi="ar-SA"/>
              </w:rPr>
              <w:t>Chlorine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Iodine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2801.30.00</w:t>
            </w:r>
          </w:p>
        </w:tc>
        <w:tc>
          <w:tcPr>
            <w:tcW w:w="4679" w:type="dxa"/>
            <w:tcMar>
              <w:top w:w="70" w:type="dxa"/>
              <w:start w:w="110" w:type="dxa"/>
              <w:bottom w:w="70" w:type="dxa"/>
              <w:end w:w="110" w:type="dxa"/>
            </w:tcMar>
            <w:vAlign w:val="center"/>
          </w:tcPr>
          <w:p>
            <w:pPr>
              <w:pStyle w:val="TableText"/>
              <w:jc w:val="left"/>
            </w:pPr>
            <w:r>
              <w:rPr>
                <w:lang w:val="en-US" w:eastAsia="en-US" w:bidi="ar-SA"/>
              </w:rPr>
              <w:t>Fluorine; bromine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2802.00.00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Sulphur, sublimed or precipitated; colloidal sulphur.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2803.00.00</w:t>
            </w:r>
          </w:p>
        </w:tc>
        <w:tc>
          <w:tcPr>
            <w:tcW w:w="4679" w:type="dxa"/>
            <w:tcMar>
              <w:top w:w="70" w:type="dxa"/>
              <w:start w:w="110" w:type="dxa"/>
              <w:bottom w:w="70" w:type="dxa"/>
              <w:end w:w="110" w:type="dxa"/>
            </w:tcMar>
            <w:vAlign w:val="center"/>
          </w:tcPr>
          <w:p>
            <w:pPr>
              <w:pStyle w:val="TableText"/>
              <w:jc w:val="left"/>
            </w:pPr>
            <w:r>
              <w:rPr>
                <w:lang w:val="en-US" w:eastAsia="en-US" w:bidi="ar-SA"/>
              </w:rPr>
              <w:t>Carbon (carbon blacks and other forms of carbon not elsewhere specified or included).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Hydrogen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2804.21.00</w:t>
            </w:r>
          </w:p>
        </w:tc>
        <w:tc>
          <w:tcPr>
            <w:tcW w:w="4679" w:type="dxa"/>
            <w:tcMar>
              <w:top w:w="70" w:type="dxa"/>
              <w:start w:w="110" w:type="dxa"/>
              <w:bottom w:w="70" w:type="dxa"/>
              <w:end w:w="110" w:type="dxa"/>
            </w:tcMar>
            <w:vAlign w:val="center"/>
          </w:tcPr>
          <w:p>
            <w:pPr>
              <w:pStyle w:val="TableText"/>
              <w:jc w:val="left"/>
            </w:pPr>
            <w:r>
              <w:rPr>
                <w:lang w:val="en-US" w:eastAsia="en-US" w:bidi="ar-SA"/>
              </w:rPr>
              <w:t>Argon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2804.30.00</w:t>
            </w:r>
          </w:p>
        </w:tc>
        <w:tc>
          <w:tcPr>
            <w:tcW w:w="4679" w:type="dxa"/>
            <w:tcMar>
              <w:top w:w="70" w:type="dxa"/>
              <w:start w:w="110" w:type="dxa"/>
              <w:bottom w:w="70" w:type="dxa"/>
              <w:end w:w="110" w:type="dxa"/>
            </w:tcMar>
            <w:vAlign w:val="center"/>
          </w:tcPr>
          <w:p>
            <w:pPr>
              <w:pStyle w:val="TableText"/>
              <w:jc w:val="left"/>
            </w:pPr>
            <w:r>
              <w:rPr>
                <w:lang w:val="en-US" w:eastAsia="en-US" w:bidi="ar-SA"/>
              </w:rPr>
              <w:t>Nitrogen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Oxygen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2804.50.00</w:t>
            </w:r>
          </w:p>
        </w:tc>
        <w:tc>
          <w:tcPr>
            <w:tcW w:w="4679" w:type="dxa"/>
            <w:tcMar>
              <w:top w:w="70" w:type="dxa"/>
              <w:start w:w="110" w:type="dxa"/>
              <w:bottom w:w="70" w:type="dxa"/>
              <w:end w:w="110" w:type="dxa"/>
            </w:tcMar>
            <w:vAlign w:val="center"/>
          </w:tcPr>
          <w:p>
            <w:pPr>
              <w:pStyle w:val="TableText"/>
              <w:jc w:val="left"/>
            </w:pPr>
            <w:r>
              <w:rPr>
                <w:lang w:val="en-US" w:eastAsia="en-US" w:bidi="ar-SA"/>
              </w:rPr>
              <w:t>Boron; tellurium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not less than 99.99% of silicon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Phosphorus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2804.80.00</w:t>
            </w:r>
          </w:p>
        </w:tc>
        <w:tc>
          <w:tcPr>
            <w:tcW w:w="4679" w:type="dxa"/>
            <w:tcMar>
              <w:top w:w="70" w:type="dxa"/>
              <w:start w:w="110" w:type="dxa"/>
              <w:bottom w:w="70" w:type="dxa"/>
              <w:end w:w="110" w:type="dxa"/>
            </w:tcMar>
            <w:vAlign w:val="center"/>
          </w:tcPr>
          <w:p>
            <w:pPr>
              <w:pStyle w:val="TableText"/>
              <w:jc w:val="left"/>
            </w:pPr>
            <w:r>
              <w:rPr>
                <w:lang w:val="en-US" w:eastAsia="en-US" w:bidi="ar-SA"/>
              </w:rPr>
              <w:t>Arsenic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Selenium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2805.11.00</w:t>
            </w:r>
          </w:p>
        </w:tc>
        <w:tc>
          <w:tcPr>
            <w:tcW w:w="4679" w:type="dxa"/>
            <w:tcMar>
              <w:top w:w="70" w:type="dxa"/>
              <w:start w:w="110" w:type="dxa"/>
              <w:bottom w:w="70" w:type="dxa"/>
              <w:end w:w="110" w:type="dxa"/>
            </w:tcMar>
            <w:vAlign w:val="center"/>
          </w:tcPr>
          <w:p>
            <w:pPr>
              <w:pStyle w:val="TableText"/>
              <w:jc w:val="left"/>
            </w:pPr>
            <w:r>
              <w:rPr>
                <w:lang w:val="en-US" w:eastAsia="en-US" w:bidi="ar-SA"/>
              </w:rPr>
              <w:t>Sodium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Calcium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Rare-earth metals, scandium and yttrium, whether or not intermixed or interalloyed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2805.40.00</w:t>
            </w:r>
          </w:p>
        </w:tc>
        <w:tc>
          <w:tcPr>
            <w:tcW w:w="4679" w:type="dxa"/>
            <w:tcMar>
              <w:top w:w="70" w:type="dxa"/>
              <w:start w:w="110" w:type="dxa"/>
              <w:bottom w:w="70" w:type="dxa"/>
              <w:end w:w="110" w:type="dxa"/>
            </w:tcMar>
            <w:vAlign w:val="center"/>
          </w:tcPr>
          <w:p>
            <w:pPr>
              <w:pStyle w:val="TableText"/>
              <w:jc w:val="left"/>
            </w:pPr>
            <w:r>
              <w:rPr>
                <w:lang w:val="en-US" w:eastAsia="en-US" w:bidi="ar-SA"/>
              </w:rPr>
              <w:t>Mercury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Hydrogen chloride (hydrochloric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2806.20.00</w:t>
            </w:r>
          </w:p>
        </w:tc>
        <w:tc>
          <w:tcPr>
            <w:tcW w:w="4679" w:type="dxa"/>
            <w:tcMar>
              <w:top w:w="70" w:type="dxa"/>
              <w:start w:w="110" w:type="dxa"/>
              <w:bottom w:w="70" w:type="dxa"/>
              <w:end w:w="110" w:type="dxa"/>
            </w:tcMar>
            <w:vAlign w:val="center"/>
          </w:tcPr>
          <w:p>
            <w:pPr>
              <w:pStyle w:val="TableText"/>
              <w:jc w:val="left"/>
            </w:pPr>
            <w:r>
              <w:rPr>
                <w:lang w:val="en-US" w:eastAsia="en-US" w:bidi="ar-SA"/>
              </w:rPr>
              <w:t>Chlorosulphuric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2807.00.00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Sulphuric acid; oleum.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2808.00.00</w:t>
            </w:r>
          </w:p>
        </w:tc>
        <w:tc>
          <w:tcPr>
            <w:tcW w:w="4679" w:type="dxa"/>
            <w:tcMar>
              <w:top w:w="70" w:type="dxa"/>
              <w:start w:w="110" w:type="dxa"/>
              <w:bottom w:w="70" w:type="dxa"/>
              <w:end w:w="110" w:type="dxa"/>
            </w:tcMar>
            <w:vAlign w:val="center"/>
          </w:tcPr>
          <w:p>
            <w:pPr>
              <w:pStyle w:val="TableText"/>
              <w:jc w:val="left"/>
            </w:pPr>
            <w:r>
              <w:rPr>
                <w:lang w:val="en-US" w:eastAsia="en-US" w:bidi="ar-SA"/>
              </w:rPr>
              <w:t>Nitric acid; sulphonitric acids.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Diphosphorus pentaoxide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2809.20.00</w:t>
            </w:r>
          </w:p>
        </w:tc>
        <w:tc>
          <w:tcPr>
            <w:tcW w:w="4679" w:type="dxa"/>
            <w:tcMar>
              <w:top w:w="70" w:type="dxa"/>
              <w:start w:w="110" w:type="dxa"/>
              <w:bottom w:w="70" w:type="dxa"/>
              <w:end w:w="110" w:type="dxa"/>
            </w:tcMar>
            <w:vAlign w:val="center"/>
          </w:tcPr>
          <w:p>
            <w:pPr>
              <w:pStyle w:val="TableText"/>
              <w:jc w:val="left"/>
            </w:pPr>
            <w:r>
              <w:rPr>
                <w:lang w:val="en-US" w:eastAsia="en-US" w:bidi="ar-SA"/>
              </w:rPr>
              <w:t>Phosphoric acid and polyphosphoric acids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2810.00.00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Oxides of boron; boric acids.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Hydrogen fluoride (hydrofluoric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2811.12.00</w:t>
            </w:r>
          </w:p>
        </w:tc>
        <w:tc>
          <w:tcPr>
            <w:tcW w:w="4679" w:type="dxa"/>
            <w:tcMar>
              <w:top w:w="70" w:type="dxa"/>
              <w:start w:w="110" w:type="dxa"/>
              <w:bottom w:w="70" w:type="dxa"/>
              <w:end w:w="110" w:type="dxa"/>
            </w:tcMar>
            <w:vAlign w:val="center"/>
          </w:tcPr>
          <w:p>
            <w:pPr>
              <w:pStyle w:val="TableText"/>
              <w:jc w:val="left"/>
            </w:pPr>
            <w:r>
              <w:rPr>
                <w:lang w:val="en-US" w:eastAsia="en-US" w:bidi="ar-SA"/>
              </w:rPr>
              <w:t>Hydrogen cyanide (hydrocyanic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2811.21.00</w:t>
            </w:r>
          </w:p>
        </w:tc>
        <w:tc>
          <w:tcPr>
            <w:tcW w:w="4679" w:type="dxa"/>
            <w:tcMar>
              <w:top w:w="70" w:type="dxa"/>
              <w:start w:w="110" w:type="dxa"/>
              <w:bottom w:w="70" w:type="dxa"/>
              <w:end w:w="110" w:type="dxa"/>
            </w:tcMar>
            <w:vAlign w:val="center"/>
          </w:tcPr>
          <w:p>
            <w:pPr>
              <w:pStyle w:val="TableText"/>
              <w:jc w:val="left"/>
            </w:pPr>
            <w:r>
              <w:rPr>
                <w:lang w:val="en-US" w:eastAsia="en-US" w:bidi="ar-SA"/>
              </w:rPr>
              <w:t>Carbon dioxide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Silicon dioxide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Carbonyl dichloride (phosgene)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2812.12.00</w:t>
            </w:r>
          </w:p>
        </w:tc>
        <w:tc>
          <w:tcPr>
            <w:tcW w:w="4679" w:type="dxa"/>
            <w:tcMar>
              <w:top w:w="70" w:type="dxa"/>
              <w:start w:w="110" w:type="dxa"/>
              <w:bottom w:w="70" w:type="dxa"/>
              <w:end w:w="110" w:type="dxa"/>
            </w:tcMar>
            <w:vAlign w:val="center"/>
          </w:tcPr>
          <w:p>
            <w:pPr>
              <w:pStyle w:val="TableText"/>
              <w:jc w:val="left"/>
            </w:pPr>
            <w:r>
              <w:rPr>
                <w:lang w:val="en-US" w:eastAsia="en-US" w:bidi="ar-SA"/>
              </w:rPr>
              <w:t>Phosphorus oxychloride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Phosphorus trichloride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2812.14.00</w:t>
            </w:r>
          </w:p>
        </w:tc>
        <w:tc>
          <w:tcPr>
            <w:tcW w:w="4679" w:type="dxa"/>
            <w:tcMar>
              <w:top w:w="70" w:type="dxa"/>
              <w:start w:w="110" w:type="dxa"/>
              <w:bottom w:w="70" w:type="dxa"/>
              <w:end w:w="110" w:type="dxa"/>
            </w:tcMar>
            <w:vAlign w:val="center"/>
          </w:tcPr>
          <w:p>
            <w:pPr>
              <w:pStyle w:val="TableText"/>
              <w:jc w:val="left"/>
            </w:pPr>
            <w:r>
              <w:rPr>
                <w:lang w:val="en-US" w:eastAsia="en-US" w:bidi="ar-SA"/>
              </w:rPr>
              <w:t>Phosphorus pentachloride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Sulphur monochloride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2812.16.00</w:t>
            </w:r>
          </w:p>
        </w:tc>
        <w:tc>
          <w:tcPr>
            <w:tcW w:w="4679" w:type="dxa"/>
            <w:tcMar>
              <w:top w:w="70" w:type="dxa"/>
              <w:start w:w="110" w:type="dxa"/>
              <w:bottom w:w="70" w:type="dxa"/>
              <w:end w:w="110" w:type="dxa"/>
            </w:tcMar>
            <w:vAlign w:val="center"/>
          </w:tcPr>
          <w:p>
            <w:pPr>
              <w:pStyle w:val="TableText"/>
              <w:jc w:val="left"/>
            </w:pPr>
            <w:r>
              <w:rPr>
                <w:lang w:val="en-US" w:eastAsia="en-US" w:bidi="ar-SA"/>
              </w:rPr>
              <w:t>Sulphur dichloride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Thionyl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2813.10.00</w:t>
            </w:r>
          </w:p>
        </w:tc>
        <w:tc>
          <w:tcPr>
            <w:tcW w:w="4679" w:type="dxa"/>
            <w:tcMar>
              <w:top w:w="70" w:type="dxa"/>
              <w:start w:w="110" w:type="dxa"/>
              <w:bottom w:w="70" w:type="dxa"/>
              <w:end w:w="110" w:type="dxa"/>
            </w:tcMar>
            <w:vAlign w:val="center"/>
          </w:tcPr>
          <w:p>
            <w:pPr>
              <w:pStyle w:val="TableText"/>
              <w:jc w:val="left"/>
            </w:pPr>
            <w:r>
              <w:rPr>
                <w:lang w:val="en-US" w:eastAsia="en-US" w:bidi="ar-SA"/>
              </w:rPr>
              <w:t>Carbon disulphide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2814.10.00</w:t>
            </w:r>
          </w:p>
        </w:tc>
        <w:tc>
          <w:tcPr>
            <w:tcW w:w="4679" w:type="dxa"/>
            <w:tcMar>
              <w:top w:w="70" w:type="dxa"/>
              <w:start w:w="110" w:type="dxa"/>
              <w:bottom w:w="70" w:type="dxa"/>
              <w:end w:w="110" w:type="dxa"/>
            </w:tcMar>
            <w:vAlign w:val="center"/>
          </w:tcPr>
          <w:p>
            <w:pPr>
              <w:pStyle w:val="TableText"/>
              <w:jc w:val="left"/>
            </w:pPr>
            <w:r>
              <w:rPr>
                <w:lang w:val="en-US" w:eastAsia="en-US" w:bidi="ar-SA"/>
              </w:rPr>
              <w:t>Anhydrous ammonia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Ammonia in aqueous solution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2815.11.00</w:t>
            </w:r>
          </w:p>
        </w:tc>
        <w:tc>
          <w:tcPr>
            <w:tcW w:w="4679" w:type="dxa"/>
            <w:tcMar>
              <w:top w:w="70" w:type="dxa"/>
              <w:start w:w="110" w:type="dxa"/>
              <w:bottom w:w="70" w:type="dxa"/>
              <w:end w:w="110" w:type="dxa"/>
            </w:tcMar>
            <w:vAlign w:val="center"/>
          </w:tcPr>
          <w:p>
            <w:pPr>
              <w:pStyle w:val="TableText"/>
              <w:jc w:val="left"/>
            </w:pPr>
            <w:r>
              <w:rPr>
                <w:lang w:val="en-US" w:eastAsia="en-US" w:bidi="ar-SA"/>
              </w:rPr>
              <w:t>Solid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aqueous solution (soda lye or liquid soda)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2815.20.00</w:t>
            </w:r>
          </w:p>
        </w:tc>
        <w:tc>
          <w:tcPr>
            <w:tcW w:w="4679" w:type="dxa"/>
            <w:tcMar>
              <w:top w:w="70" w:type="dxa"/>
              <w:start w:w="110" w:type="dxa"/>
              <w:bottom w:w="70" w:type="dxa"/>
              <w:end w:w="110" w:type="dxa"/>
            </w:tcMar>
            <w:vAlign w:val="center"/>
          </w:tcPr>
          <w:p>
            <w:pPr>
              <w:pStyle w:val="TableText"/>
              <w:jc w:val="left"/>
            </w:pPr>
            <w:r>
              <w:rPr>
                <w:lang w:val="en-US" w:eastAsia="en-US" w:bidi="ar-SA"/>
              </w:rPr>
              <w:t>Potassium hydroxide (caustic potash)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Peroxides of sodium or potassium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2816.10.00</w:t>
            </w:r>
          </w:p>
        </w:tc>
        <w:tc>
          <w:tcPr>
            <w:tcW w:w="4679" w:type="dxa"/>
            <w:tcMar>
              <w:top w:w="70" w:type="dxa"/>
              <w:start w:w="110" w:type="dxa"/>
              <w:bottom w:w="70" w:type="dxa"/>
              <w:end w:w="110" w:type="dxa"/>
            </w:tcMar>
            <w:vAlign w:val="center"/>
          </w:tcPr>
          <w:p>
            <w:pPr>
              <w:pStyle w:val="TableText"/>
              <w:jc w:val="left"/>
            </w:pPr>
            <w:r>
              <w:rPr>
                <w:lang w:val="en-US" w:eastAsia="en-US" w:bidi="ar-SA"/>
              </w:rPr>
              <w:t>Hydroxide and peroxide of magnesium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Oxides, hydroxides and peroxides, of strontium or barium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2817.00.00</w:t>
            </w:r>
          </w:p>
        </w:tc>
        <w:tc>
          <w:tcPr>
            <w:tcW w:w="4679" w:type="dxa"/>
            <w:tcMar>
              <w:top w:w="70" w:type="dxa"/>
              <w:start w:w="110" w:type="dxa"/>
              <w:bottom w:w="70" w:type="dxa"/>
              <w:end w:w="110" w:type="dxa"/>
            </w:tcMar>
            <w:vAlign w:val="center"/>
          </w:tcPr>
          <w:p>
            <w:pPr>
              <w:pStyle w:val="TableText"/>
              <w:jc w:val="left"/>
            </w:pPr>
            <w:r>
              <w:rPr>
                <w:lang w:val="en-US" w:eastAsia="en-US" w:bidi="ar-SA"/>
              </w:rPr>
              <w:t>Zinc oxide; zinc peroxide.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Artificial corundum, whether or not chemically defined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2818.20.00</w:t>
            </w:r>
          </w:p>
        </w:tc>
        <w:tc>
          <w:tcPr>
            <w:tcW w:w="4679" w:type="dxa"/>
            <w:tcMar>
              <w:top w:w="70" w:type="dxa"/>
              <w:start w:w="110" w:type="dxa"/>
              <w:bottom w:w="70" w:type="dxa"/>
              <w:end w:w="110" w:type="dxa"/>
            </w:tcMar>
            <w:vAlign w:val="center"/>
          </w:tcPr>
          <w:p>
            <w:pPr>
              <w:pStyle w:val="TableText"/>
              <w:jc w:val="left"/>
            </w:pPr>
            <w:r>
              <w:rPr>
                <w:lang w:val="en-US" w:eastAsia="en-US" w:bidi="ar-SA"/>
              </w:rPr>
              <w:t>Aluminum oxide, other than artificial corundum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Aluminum hydroxide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2819.10.00</w:t>
            </w:r>
          </w:p>
        </w:tc>
        <w:tc>
          <w:tcPr>
            <w:tcW w:w="4679" w:type="dxa"/>
            <w:tcMar>
              <w:top w:w="70" w:type="dxa"/>
              <w:start w:w="110" w:type="dxa"/>
              <w:bottom w:w="70" w:type="dxa"/>
              <w:end w:w="110" w:type="dxa"/>
            </w:tcMar>
            <w:vAlign w:val="center"/>
          </w:tcPr>
          <w:p>
            <w:pPr>
              <w:pStyle w:val="TableText"/>
              <w:jc w:val="left"/>
            </w:pPr>
            <w:r>
              <w:rPr>
                <w:lang w:val="en-US" w:eastAsia="en-US" w:bidi="ar-SA"/>
              </w:rPr>
              <w:t>Chromium trioxide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2820.10.00</w:t>
            </w:r>
          </w:p>
        </w:tc>
        <w:tc>
          <w:tcPr>
            <w:tcW w:w="4679" w:type="dxa"/>
            <w:tcMar>
              <w:top w:w="70" w:type="dxa"/>
              <w:start w:w="110" w:type="dxa"/>
              <w:bottom w:w="70" w:type="dxa"/>
              <w:end w:w="110" w:type="dxa"/>
            </w:tcMar>
            <w:vAlign w:val="center"/>
          </w:tcPr>
          <w:p>
            <w:pPr>
              <w:pStyle w:val="TableText"/>
              <w:jc w:val="left"/>
            </w:pPr>
            <w:r>
              <w:rPr>
                <w:lang w:val="en-US" w:eastAsia="en-US" w:bidi="ar-SA"/>
              </w:rPr>
              <w:t>Manganese dioxide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2821.10.00</w:t>
            </w:r>
          </w:p>
        </w:tc>
        <w:tc>
          <w:tcPr>
            <w:tcW w:w="4679" w:type="dxa"/>
            <w:tcMar>
              <w:top w:w="70" w:type="dxa"/>
              <w:start w:w="110" w:type="dxa"/>
              <w:bottom w:w="70" w:type="dxa"/>
              <w:end w:w="110" w:type="dxa"/>
            </w:tcMar>
            <w:vAlign w:val="center"/>
          </w:tcPr>
          <w:p>
            <w:pPr>
              <w:pStyle w:val="TableText"/>
              <w:jc w:val="left"/>
            </w:pPr>
            <w:r>
              <w:rPr>
                <w:lang w:val="en-US" w:eastAsia="en-US" w:bidi="ar-SA"/>
              </w:rPr>
              <w:t>Iron oxides and hydroxides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Earth colours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2822.00.00</w:t>
            </w:r>
          </w:p>
        </w:tc>
        <w:tc>
          <w:tcPr>
            <w:tcW w:w="4679" w:type="dxa"/>
            <w:tcMar>
              <w:top w:w="70" w:type="dxa"/>
              <w:start w:w="110" w:type="dxa"/>
              <w:bottom w:w="70" w:type="dxa"/>
              <w:end w:w="110" w:type="dxa"/>
            </w:tcMar>
            <w:vAlign w:val="center"/>
          </w:tcPr>
          <w:p>
            <w:pPr>
              <w:pStyle w:val="TableText"/>
              <w:jc w:val="left"/>
            </w:pPr>
            <w:r>
              <w:rPr>
                <w:lang w:val="en-US" w:eastAsia="en-US" w:bidi="ar-SA"/>
              </w:rPr>
              <w:t>Cobalt oxides and hydroxides; commercial cobalt 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Titanium oxides.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Lead monoxide (litharge, massicot)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Hydrazine and hydroxylamine and their inorganic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2825.20.00</w:t>
            </w:r>
          </w:p>
        </w:tc>
        <w:tc>
          <w:tcPr>
            <w:tcW w:w="4679" w:type="dxa"/>
            <w:tcMar>
              <w:top w:w="70" w:type="dxa"/>
              <w:start w:w="110" w:type="dxa"/>
              <w:bottom w:w="70" w:type="dxa"/>
              <w:end w:w="110" w:type="dxa"/>
            </w:tcMar>
            <w:vAlign w:val="center"/>
          </w:tcPr>
          <w:p>
            <w:pPr>
              <w:pStyle w:val="TableText"/>
              <w:jc w:val="left"/>
            </w:pPr>
            <w:r>
              <w:rPr>
                <w:lang w:val="en-US" w:eastAsia="en-US" w:bidi="ar-SA"/>
              </w:rPr>
              <w:t>Lithium oxide and hydroxide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Vanadium oxides and hydroxides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2825.40.00</w:t>
            </w:r>
          </w:p>
        </w:tc>
        <w:tc>
          <w:tcPr>
            <w:tcW w:w="4679" w:type="dxa"/>
            <w:tcMar>
              <w:top w:w="70" w:type="dxa"/>
              <w:start w:w="110" w:type="dxa"/>
              <w:bottom w:w="70" w:type="dxa"/>
              <w:end w:w="110" w:type="dxa"/>
            </w:tcMar>
            <w:vAlign w:val="center"/>
          </w:tcPr>
          <w:p>
            <w:pPr>
              <w:pStyle w:val="TableText"/>
              <w:jc w:val="left"/>
            </w:pPr>
            <w:r>
              <w:rPr>
                <w:lang w:val="en-US" w:eastAsia="en-US" w:bidi="ar-SA"/>
              </w:rPr>
              <w:t>Nickel oxides and hydroxides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Copper oxides and hydroxides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2825.60.00</w:t>
            </w:r>
          </w:p>
        </w:tc>
        <w:tc>
          <w:tcPr>
            <w:tcW w:w="4679" w:type="dxa"/>
            <w:tcMar>
              <w:top w:w="70" w:type="dxa"/>
              <w:start w:w="110" w:type="dxa"/>
              <w:bottom w:w="70" w:type="dxa"/>
              <w:end w:w="110" w:type="dxa"/>
            </w:tcMar>
            <w:vAlign w:val="center"/>
          </w:tcPr>
          <w:p>
            <w:pPr>
              <w:pStyle w:val="TableText"/>
              <w:jc w:val="left"/>
            </w:pPr>
            <w:r>
              <w:rPr>
                <w:lang w:val="en-US" w:eastAsia="en-US" w:bidi="ar-SA"/>
              </w:rPr>
              <w:t>Germanium oxides and zirconium dioxide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Molybdenum oxides and hydroxides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2825.80.00</w:t>
            </w:r>
          </w:p>
        </w:tc>
        <w:tc>
          <w:tcPr>
            <w:tcW w:w="4679" w:type="dxa"/>
            <w:tcMar>
              <w:top w:w="70" w:type="dxa"/>
              <w:start w:w="110" w:type="dxa"/>
              <w:bottom w:w="70" w:type="dxa"/>
              <w:end w:w="110" w:type="dxa"/>
            </w:tcMar>
            <w:vAlign w:val="center"/>
          </w:tcPr>
          <w:p>
            <w:pPr>
              <w:pStyle w:val="TableText"/>
              <w:jc w:val="left"/>
            </w:pPr>
            <w:r>
              <w:rPr>
                <w:lang w:val="en-US" w:eastAsia="en-US" w:bidi="ar-SA"/>
              </w:rPr>
              <w:t>Antimony 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2826.12.00</w:t>
            </w:r>
          </w:p>
        </w:tc>
        <w:tc>
          <w:tcPr>
            <w:tcW w:w="4679" w:type="dxa"/>
            <w:tcMar>
              <w:top w:w="70" w:type="dxa"/>
              <w:start w:w="110" w:type="dxa"/>
              <w:bottom w:w="70" w:type="dxa"/>
              <w:end w:w="110" w:type="dxa"/>
            </w:tcMar>
            <w:vAlign w:val="center"/>
          </w:tcPr>
          <w:p>
            <w:pPr>
              <w:pStyle w:val="TableText"/>
              <w:jc w:val="left"/>
            </w:pPr>
            <w:r>
              <w:rPr>
                <w:lang w:val="en-US" w:eastAsia="en-US" w:bidi="ar-SA"/>
              </w:rPr>
              <w:t>Of aluminum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2826.19.00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2826.30.00</w:t>
            </w:r>
          </w:p>
        </w:tc>
        <w:tc>
          <w:tcPr>
            <w:tcW w:w="4679" w:type="dxa"/>
            <w:tcMar>
              <w:top w:w="70" w:type="dxa"/>
              <w:start w:w="110" w:type="dxa"/>
              <w:bottom w:w="70" w:type="dxa"/>
              <w:end w:w="110" w:type="dxa"/>
            </w:tcMar>
            <w:vAlign w:val="center"/>
          </w:tcPr>
          <w:p>
            <w:pPr>
              <w:pStyle w:val="TableText"/>
              <w:jc w:val="left"/>
            </w:pPr>
            <w:r>
              <w:rPr>
                <w:lang w:val="en-US" w:eastAsia="en-US" w:bidi="ar-SA"/>
              </w:rPr>
              <w:t>Sodium hexafluoroaluminate (synthetic cryolite)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2827.10.00</w:t>
            </w:r>
          </w:p>
        </w:tc>
        <w:tc>
          <w:tcPr>
            <w:tcW w:w="4679" w:type="dxa"/>
            <w:tcMar>
              <w:top w:w="70" w:type="dxa"/>
              <w:start w:w="110" w:type="dxa"/>
              <w:bottom w:w="70" w:type="dxa"/>
              <w:end w:w="110" w:type="dxa"/>
            </w:tcMar>
            <w:vAlign w:val="center"/>
          </w:tcPr>
          <w:p>
            <w:pPr>
              <w:pStyle w:val="TableText"/>
              <w:jc w:val="left"/>
            </w:pPr>
            <w:r>
              <w:rPr>
                <w:lang w:val="en-US" w:eastAsia="en-US" w:bidi="ar-SA"/>
              </w:rPr>
              <w:t>Ammonium 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Calcium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2827.31.00</w:t>
            </w:r>
          </w:p>
        </w:tc>
        <w:tc>
          <w:tcPr>
            <w:tcW w:w="4679" w:type="dxa"/>
            <w:tcMar>
              <w:top w:w="70" w:type="dxa"/>
              <w:start w:w="110" w:type="dxa"/>
              <w:bottom w:w="70" w:type="dxa"/>
              <w:end w:w="110" w:type="dxa"/>
            </w:tcMar>
            <w:vAlign w:val="center"/>
          </w:tcPr>
          <w:p>
            <w:pPr>
              <w:pStyle w:val="TableText"/>
              <w:jc w:val="left"/>
            </w:pPr>
            <w:r>
              <w:rPr>
                <w:lang w:val="en-US" w:eastAsia="en-US" w:bidi="ar-SA"/>
              </w:rPr>
              <w:t>Of magnesium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aluminum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2827.35.00</w:t>
            </w:r>
          </w:p>
        </w:tc>
        <w:tc>
          <w:tcPr>
            <w:tcW w:w="4679" w:type="dxa"/>
            <w:tcMar>
              <w:top w:w="70" w:type="dxa"/>
              <w:start w:w="110" w:type="dxa"/>
              <w:bottom w:w="70" w:type="dxa"/>
              <w:end w:w="110" w:type="dxa"/>
            </w:tcMar>
            <w:vAlign w:val="center"/>
          </w:tcPr>
          <w:p>
            <w:pPr>
              <w:pStyle w:val="TableText"/>
              <w:jc w:val="left"/>
            </w:pPr>
            <w:r>
              <w:rPr>
                <w:lang w:val="en-US" w:eastAsia="en-US" w:bidi="ar-SA"/>
              </w:rPr>
              <w:t>Of nickel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2827.41.00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2827.51.00</w:t>
            </w:r>
          </w:p>
        </w:tc>
        <w:tc>
          <w:tcPr>
            <w:tcW w:w="4679" w:type="dxa"/>
            <w:tcMar>
              <w:top w:w="70" w:type="dxa"/>
              <w:start w:w="110" w:type="dxa"/>
              <w:bottom w:w="70" w:type="dxa"/>
              <w:end w:w="110" w:type="dxa"/>
            </w:tcMar>
            <w:vAlign w:val="center"/>
          </w:tcPr>
          <w:p>
            <w:pPr>
              <w:pStyle w:val="TableText"/>
              <w:jc w:val="left"/>
            </w:pPr>
            <w:r>
              <w:rPr>
                <w:lang w:val="en-US" w:eastAsia="en-US" w:bidi="ar-SA"/>
              </w:rPr>
              <w:t>Bromides of sodium or of potassium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2827.60.00</w:t>
            </w:r>
          </w:p>
        </w:tc>
        <w:tc>
          <w:tcPr>
            <w:tcW w:w="4679" w:type="dxa"/>
            <w:tcMar>
              <w:top w:w="70" w:type="dxa"/>
              <w:start w:w="110" w:type="dxa"/>
              <w:bottom w:w="70" w:type="dxa"/>
              <w:end w:w="110" w:type="dxa"/>
            </w:tcMar>
            <w:vAlign w:val="center"/>
          </w:tcPr>
          <w:p>
            <w:pPr>
              <w:pStyle w:val="TableText"/>
              <w:jc w:val="left"/>
            </w:pPr>
            <w:r>
              <w:rPr>
                <w:lang w:val="en-US" w:eastAsia="en-US" w:bidi="ar-SA"/>
              </w:rPr>
              <w:t>Iodides and iodide 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Commercial calcium hypochlorite and other calcium hypochlorites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sodium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2830.10.00</w:t>
            </w:r>
          </w:p>
        </w:tc>
        <w:tc>
          <w:tcPr>
            <w:tcW w:w="4679" w:type="dxa"/>
            <w:tcMar>
              <w:top w:w="70" w:type="dxa"/>
              <w:start w:w="110" w:type="dxa"/>
              <w:bottom w:w="70" w:type="dxa"/>
              <w:end w:w="110" w:type="dxa"/>
            </w:tcMar>
            <w:vAlign w:val="center"/>
          </w:tcPr>
          <w:p>
            <w:pPr>
              <w:pStyle w:val="TableText"/>
              <w:jc w:val="left"/>
            </w:pPr>
            <w:r>
              <w:rPr>
                <w:lang w:val="en-US" w:eastAsia="en-US" w:bidi="ar-SA"/>
              </w:rPr>
              <w:t>Sodium sulphides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2831.10.00</w:t>
            </w:r>
          </w:p>
        </w:tc>
        <w:tc>
          <w:tcPr>
            <w:tcW w:w="4679" w:type="dxa"/>
            <w:tcMar>
              <w:top w:w="70" w:type="dxa"/>
              <w:start w:w="110" w:type="dxa"/>
              <w:bottom w:w="70" w:type="dxa"/>
              <w:end w:w="110" w:type="dxa"/>
            </w:tcMar>
            <w:vAlign w:val="center"/>
          </w:tcPr>
          <w:p>
            <w:pPr>
              <w:pStyle w:val="TableText"/>
              <w:jc w:val="left"/>
            </w:pPr>
            <w:r>
              <w:rPr>
                <w:lang w:val="en-US" w:eastAsia="en-US" w:bidi="ar-SA"/>
              </w:rPr>
              <w:t>Of sodium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2832.10.00</w:t>
            </w:r>
          </w:p>
        </w:tc>
        <w:tc>
          <w:tcPr>
            <w:tcW w:w="4679" w:type="dxa"/>
            <w:tcMar>
              <w:top w:w="70" w:type="dxa"/>
              <w:start w:w="110" w:type="dxa"/>
              <w:bottom w:w="70" w:type="dxa"/>
              <w:end w:w="110" w:type="dxa"/>
            </w:tcMar>
            <w:vAlign w:val="center"/>
          </w:tcPr>
          <w:p>
            <w:pPr>
              <w:pStyle w:val="TableText"/>
              <w:jc w:val="left"/>
            </w:pPr>
            <w:r>
              <w:rPr>
                <w:lang w:val="en-US" w:eastAsia="en-US" w:bidi="ar-SA"/>
              </w:rPr>
              <w:t>Sodium sulphites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sulphites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2832.30.00</w:t>
            </w:r>
          </w:p>
        </w:tc>
        <w:tc>
          <w:tcPr>
            <w:tcW w:w="4679" w:type="dxa"/>
            <w:tcMar>
              <w:top w:w="70" w:type="dxa"/>
              <w:start w:w="110" w:type="dxa"/>
              <w:bottom w:w="70" w:type="dxa"/>
              <w:end w:w="110" w:type="dxa"/>
            </w:tcMar>
            <w:vAlign w:val="center"/>
          </w:tcPr>
          <w:p>
            <w:pPr>
              <w:pStyle w:val="TableText"/>
              <w:jc w:val="left"/>
            </w:pPr>
            <w:r>
              <w:rPr>
                <w:lang w:val="en-US" w:eastAsia="en-US" w:bidi="ar-SA"/>
              </w:rPr>
              <w:t>Thiosulphates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Disodium sulphate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magnesium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2833.22.00</w:t>
            </w:r>
          </w:p>
        </w:tc>
        <w:tc>
          <w:tcPr>
            <w:tcW w:w="4679" w:type="dxa"/>
            <w:tcMar>
              <w:top w:w="70" w:type="dxa"/>
              <w:start w:w="110" w:type="dxa"/>
              <w:bottom w:w="70" w:type="dxa"/>
              <w:end w:w="110" w:type="dxa"/>
            </w:tcMar>
            <w:vAlign w:val="center"/>
          </w:tcPr>
          <w:p>
            <w:pPr>
              <w:pStyle w:val="TableText"/>
              <w:jc w:val="left"/>
            </w:pPr>
            <w:r>
              <w:rPr>
                <w:lang w:val="en-US" w:eastAsia="en-US" w:bidi="ar-SA"/>
              </w:rPr>
              <w:t>Of aluminum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2833.25.00</w:t>
            </w:r>
          </w:p>
        </w:tc>
        <w:tc>
          <w:tcPr>
            <w:tcW w:w="4679" w:type="dxa"/>
            <w:tcMar>
              <w:top w:w="70" w:type="dxa"/>
              <w:start w:w="110" w:type="dxa"/>
              <w:bottom w:w="70" w:type="dxa"/>
              <w:end w:w="110" w:type="dxa"/>
            </w:tcMar>
            <w:vAlign w:val="center"/>
          </w:tcPr>
          <w:p>
            <w:pPr>
              <w:pStyle w:val="TableText"/>
              <w:jc w:val="left"/>
            </w:pPr>
            <w:r>
              <w:rPr>
                <w:lang w:val="en-US" w:eastAsia="en-US" w:bidi="ar-SA"/>
              </w:rPr>
              <w:t>Of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2833.27.00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barium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2833.40.00</w:t>
            </w:r>
          </w:p>
        </w:tc>
        <w:tc>
          <w:tcPr>
            <w:tcW w:w="4679" w:type="dxa"/>
            <w:tcMar>
              <w:top w:w="70" w:type="dxa"/>
              <w:start w:w="110" w:type="dxa"/>
              <w:bottom w:w="70" w:type="dxa"/>
              <w:end w:w="110" w:type="dxa"/>
            </w:tcMar>
            <w:vAlign w:val="center"/>
          </w:tcPr>
          <w:p>
            <w:pPr>
              <w:pStyle w:val="TableText"/>
              <w:jc w:val="left"/>
            </w:pPr>
            <w:r>
              <w:rPr>
                <w:lang w:val="en-US" w:eastAsia="en-US" w:bidi="ar-SA"/>
              </w:rPr>
              <w:t>Peroxosulphates (persulphates)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Nitrites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2834.21.00</w:t>
            </w:r>
          </w:p>
        </w:tc>
        <w:tc>
          <w:tcPr>
            <w:tcW w:w="4679" w:type="dxa"/>
            <w:tcMar>
              <w:top w:w="70" w:type="dxa"/>
              <w:start w:w="110" w:type="dxa"/>
              <w:bottom w:w="70" w:type="dxa"/>
              <w:end w:w="110" w:type="dxa"/>
            </w:tcMar>
            <w:vAlign w:val="center"/>
          </w:tcPr>
          <w:p>
            <w:pPr>
              <w:pStyle w:val="TableText"/>
              <w:jc w:val="left"/>
            </w:pPr>
            <w:r>
              <w:rPr>
                <w:lang w:val="en-US" w:eastAsia="en-US" w:bidi="ar-SA"/>
              </w:rPr>
              <w:t>Of potassium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2835.10.00</w:t>
            </w:r>
          </w:p>
        </w:tc>
        <w:tc>
          <w:tcPr>
            <w:tcW w:w="4679" w:type="dxa"/>
            <w:tcMar>
              <w:top w:w="70" w:type="dxa"/>
              <w:start w:w="110" w:type="dxa"/>
              <w:bottom w:w="70" w:type="dxa"/>
              <w:end w:w="110" w:type="dxa"/>
            </w:tcMar>
            <w:vAlign w:val="center"/>
          </w:tcPr>
          <w:p>
            <w:pPr>
              <w:pStyle w:val="TableText"/>
              <w:jc w:val="left"/>
            </w:pPr>
            <w:r>
              <w:rPr>
                <w:lang w:val="en-US" w:eastAsia="en-US" w:bidi="ar-SA"/>
              </w:rPr>
              <w:t>Phosphinates (hypophosphites) and phosphonates (phosphites)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2835.22.00</w:t>
            </w:r>
          </w:p>
        </w:tc>
        <w:tc>
          <w:tcPr>
            <w:tcW w:w="4679" w:type="dxa"/>
            <w:tcMar>
              <w:top w:w="70" w:type="dxa"/>
              <w:start w:w="110" w:type="dxa"/>
              <w:bottom w:w="70" w:type="dxa"/>
              <w:end w:w="110" w:type="dxa"/>
            </w:tcMar>
            <w:vAlign w:val="center"/>
          </w:tcPr>
          <w:p>
            <w:pPr>
              <w:pStyle w:val="TableText"/>
              <w:jc w:val="left"/>
            </w:pPr>
            <w:r>
              <w:rPr>
                <w:lang w:val="en-US" w:eastAsia="en-US" w:bidi="ar-SA"/>
              </w:rPr>
              <w:t>Of mono- or disodium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2835.24.00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potassium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2835.25.00</w:t>
            </w:r>
          </w:p>
        </w:tc>
        <w:tc>
          <w:tcPr>
            <w:tcW w:w="4679" w:type="dxa"/>
            <w:tcMar>
              <w:top w:w="70" w:type="dxa"/>
              <w:start w:w="110" w:type="dxa"/>
              <w:bottom w:w="70" w:type="dxa"/>
              <w:end w:w="110" w:type="dxa"/>
            </w:tcMar>
            <w:vAlign w:val="center"/>
          </w:tcPr>
          <w:p>
            <w:pPr>
              <w:pStyle w:val="TableText"/>
              <w:jc w:val="left"/>
            </w:pPr>
            <w:r>
              <w:rPr>
                <w:lang w:val="en-US" w:eastAsia="en-US" w:bidi="ar-SA"/>
              </w:rPr>
              <w:t>Calcium hydrogenorthophosphate (“dicalcium phosphate”)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2835.26.00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phosphates of calcium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2835.31.00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Sodium triphosphate (sodium tripolyphosphate)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Disodium carbonate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2836.30.00</w:t>
            </w:r>
          </w:p>
        </w:tc>
        <w:tc>
          <w:tcPr>
            <w:tcW w:w="4679" w:type="dxa"/>
            <w:tcMar>
              <w:top w:w="70" w:type="dxa"/>
              <w:start w:w="110" w:type="dxa"/>
              <w:bottom w:w="70" w:type="dxa"/>
              <w:end w:w="110" w:type="dxa"/>
            </w:tcMar>
            <w:vAlign w:val="center"/>
          </w:tcPr>
          <w:p>
            <w:pPr>
              <w:pStyle w:val="TableText"/>
              <w:jc w:val="left"/>
            </w:pPr>
            <w:r>
              <w:rPr>
                <w:lang w:val="en-US" w:eastAsia="en-US" w:bidi="ar-SA"/>
              </w:rPr>
              <w:t>Sodium hydrogencarbonate (sodium bicarbonate)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Potassium carbonates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2836.50.00</w:t>
            </w:r>
          </w:p>
        </w:tc>
        <w:tc>
          <w:tcPr>
            <w:tcW w:w="4679" w:type="dxa"/>
            <w:tcMar>
              <w:top w:w="70" w:type="dxa"/>
              <w:start w:w="110" w:type="dxa"/>
              <w:bottom w:w="70" w:type="dxa"/>
              <w:end w:w="110" w:type="dxa"/>
            </w:tcMar>
            <w:vAlign w:val="center"/>
          </w:tcPr>
          <w:p>
            <w:pPr>
              <w:pStyle w:val="TableText"/>
              <w:jc w:val="left"/>
            </w:pPr>
            <w:r>
              <w:rPr>
                <w:lang w:val="en-US" w:eastAsia="en-US" w:bidi="ar-SA"/>
              </w:rPr>
              <w:t>Calcium carbonate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Barium carbonate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2836.91.00</w:t>
            </w:r>
          </w:p>
        </w:tc>
        <w:tc>
          <w:tcPr>
            <w:tcW w:w="4679" w:type="dxa"/>
            <w:tcMar>
              <w:top w:w="70" w:type="dxa"/>
              <w:start w:w="110" w:type="dxa"/>
              <w:bottom w:w="70" w:type="dxa"/>
              <w:end w:w="110" w:type="dxa"/>
            </w:tcMar>
            <w:vAlign w:val="center"/>
          </w:tcPr>
          <w:p>
            <w:pPr>
              <w:pStyle w:val="TableText"/>
              <w:jc w:val="left"/>
            </w:pPr>
            <w:r>
              <w:rPr>
                <w:lang w:val="en-US" w:eastAsia="en-US" w:bidi="ar-SA"/>
              </w:rPr>
              <w:t>Lithium carbonates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Strontium carbonate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sodium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2837.19.00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Complex cyanides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2839.11.00</w:t>
            </w:r>
          </w:p>
        </w:tc>
        <w:tc>
          <w:tcPr>
            <w:tcW w:w="4679" w:type="dxa"/>
            <w:tcMar>
              <w:top w:w="70" w:type="dxa"/>
              <w:start w:w="110" w:type="dxa"/>
              <w:bottom w:w="70" w:type="dxa"/>
              <w:end w:w="110" w:type="dxa"/>
            </w:tcMar>
            <w:vAlign w:val="center"/>
          </w:tcPr>
          <w:p>
            <w:pPr>
              <w:pStyle w:val="TableText"/>
              <w:jc w:val="left"/>
            </w:pPr>
            <w:r>
              <w:rPr>
                <w:lang w:val="en-US" w:eastAsia="en-US" w:bidi="ar-SA"/>
              </w:rPr>
              <w:t>Sodium metasilicates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2839.19.00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2839.90.00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Anhydrous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borates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2840.30.00</w:t>
            </w:r>
          </w:p>
        </w:tc>
        <w:tc>
          <w:tcPr>
            <w:tcW w:w="4679" w:type="dxa"/>
            <w:tcMar>
              <w:top w:w="70" w:type="dxa"/>
              <w:start w:w="110" w:type="dxa"/>
              <w:bottom w:w="70" w:type="dxa"/>
              <w:end w:w="110" w:type="dxa"/>
            </w:tcMar>
            <w:vAlign w:val="center"/>
          </w:tcPr>
          <w:p>
            <w:pPr>
              <w:pStyle w:val="TableText"/>
              <w:jc w:val="left"/>
            </w:pPr>
            <w:r>
              <w:rPr>
                <w:lang w:val="en-US" w:eastAsia="en-US" w:bidi="ar-SA"/>
              </w:rPr>
              <w:t>Peroxoborates (perborates)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Sodium dichromate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2841.50.00</w:t>
            </w:r>
          </w:p>
        </w:tc>
        <w:tc>
          <w:tcPr>
            <w:tcW w:w="4679" w:type="dxa"/>
            <w:tcMar>
              <w:top w:w="70" w:type="dxa"/>
              <w:start w:w="110" w:type="dxa"/>
              <w:bottom w:w="70" w:type="dxa"/>
              <w:end w:w="110" w:type="dxa"/>
            </w:tcMar>
            <w:vAlign w:val="center"/>
          </w:tcPr>
          <w:p>
            <w:pPr>
              <w:pStyle w:val="TableText"/>
              <w:jc w:val="left"/>
            </w:pPr>
            <w:r>
              <w:rPr>
                <w:lang w:val="en-US" w:eastAsia="en-US" w:bidi="ar-SA"/>
              </w:rPr>
              <w:t>Other chromates and dichromates; peroxochromates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Potassium permanganate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2841.69.00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Molybdates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2841.80.00</w:t>
            </w:r>
          </w:p>
        </w:tc>
        <w:tc>
          <w:tcPr>
            <w:tcW w:w="4679" w:type="dxa"/>
            <w:tcMar>
              <w:top w:w="70" w:type="dxa"/>
              <w:start w:w="110" w:type="dxa"/>
              <w:bottom w:w="70" w:type="dxa"/>
              <w:end w:w="110" w:type="dxa"/>
            </w:tcMar>
            <w:vAlign w:val="center"/>
          </w:tcPr>
          <w:p>
            <w:pPr>
              <w:pStyle w:val="TableText"/>
              <w:jc w:val="left"/>
            </w:pPr>
            <w:r>
              <w:rPr>
                <w:lang w:val="en-US" w:eastAsia="en-US" w:bidi="ar-SA"/>
              </w:rPr>
              <w:t>Tungstates (wolframates)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2842.10.00</w:t>
            </w:r>
          </w:p>
        </w:tc>
        <w:tc>
          <w:tcPr>
            <w:tcW w:w="4679" w:type="dxa"/>
            <w:tcMar>
              <w:top w:w="70" w:type="dxa"/>
              <w:start w:w="110" w:type="dxa"/>
              <w:bottom w:w="70" w:type="dxa"/>
              <w:end w:w="110" w:type="dxa"/>
            </w:tcMar>
            <w:vAlign w:val="center"/>
          </w:tcPr>
          <w:p>
            <w:pPr>
              <w:pStyle w:val="TableText"/>
              <w:jc w:val="left"/>
            </w:pPr>
            <w:r>
              <w:rPr>
                <w:lang w:val="en-US" w:eastAsia="en-US" w:bidi="ar-SA"/>
              </w:rPr>
              <w:t>Double or complex silicates, including aluminosilicates whether or not chemically defined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2843.10.00</w:t>
            </w:r>
          </w:p>
        </w:tc>
        <w:tc>
          <w:tcPr>
            <w:tcW w:w="4679" w:type="dxa"/>
            <w:tcMar>
              <w:top w:w="70" w:type="dxa"/>
              <w:start w:w="110" w:type="dxa"/>
              <w:bottom w:w="70" w:type="dxa"/>
              <w:end w:w="110" w:type="dxa"/>
            </w:tcMar>
            <w:vAlign w:val="center"/>
          </w:tcPr>
          <w:p>
            <w:pPr>
              <w:pStyle w:val="TableText"/>
              <w:jc w:val="left"/>
            </w:pPr>
            <w:r>
              <w:rPr>
                <w:lang w:val="en-US" w:eastAsia="en-US" w:bidi="ar-SA"/>
              </w:rPr>
              <w:t>Colloidal precious metals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Silver nitrate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Gold compounds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2843.90.00</w:t>
            </w:r>
          </w:p>
        </w:tc>
        <w:tc>
          <w:tcPr>
            <w:tcW w:w="4679" w:type="dxa"/>
            <w:tcMar>
              <w:top w:w="70" w:type="dxa"/>
              <w:start w:w="110" w:type="dxa"/>
              <w:bottom w:w="70" w:type="dxa"/>
              <w:end w:w="110" w:type="dxa"/>
            </w:tcMar>
            <w:vAlign w:val="center"/>
          </w:tcPr>
          <w:p>
            <w:pPr>
              <w:pStyle w:val="TableText"/>
              <w:jc w:val="left"/>
            </w:pPr>
            <w:r>
              <w:rPr>
                <w:lang w:val="en-US" w:eastAsia="en-US" w:bidi="ar-SA"/>
              </w:rPr>
              <w:t>Other compounds; amalgams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Natural uranium and its compounds; alloys, dispersions (including cermets), ceramic products and mixtures containing natural uranium or natural uranium compounds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2844.20.00</w:t>
            </w:r>
          </w:p>
        </w:tc>
        <w:tc>
          <w:tcPr>
            <w:tcW w:w="4679" w:type="dxa"/>
            <w:tcMar>
              <w:top w:w="70" w:type="dxa"/>
              <w:start w:w="110" w:type="dxa"/>
              <w:bottom w:w="70" w:type="dxa"/>
              <w:end w:w="110" w:type="dxa"/>
            </w:tcMar>
            <w:vAlign w:val="center"/>
          </w:tcPr>
          <w:p>
            <w:pPr>
              <w:pStyle w:val="TableText"/>
              <w:jc w:val="left"/>
            </w:pPr>
            <w:r>
              <w:rPr>
                <w:lang w:val="en-US" w:eastAsia="en-US" w:bidi="ar-SA"/>
              </w:rPr>
              <w:t>Uranium enriched in U235 and its compounds; plutonium and its compounds; alloys, dispersions</w:t>
            </w:r>
          </w:p>
        </w:tc>
      </w:tr>
    </w:tbl>
    <w:p>
      <w:pPr>
        <w:pStyle w:val="Normal"/>
      </w:pPr>
      <w:r>
        <w:t>(including cermets), ceramic products and mixtures containing uranium enriched in U235, plutonium or compounds of these products 2844.30.00 Uranium depleted in U235 and its compounds; thorium and its compounds; alloys, dispersions (including cermets), ceramic products and mixtures containing uranium depleted in U235, thorium or compounds of these products 2844.40.00 Radioactive elements and isotopes and compounds other than those of subheading 2844.10, 2844.20 or 2844.30; alloys, dispersions (including cermets), ceramic products and mixtures containing these elements, isotopes or compounds; radioactive residues 2844.50.00 Spent (irradiated) fuel elements (cartridges) of nuclear reactors 2845.10.00 Heavy water (deuterium oxide) 2845.90.00 Other 2846.10.00 Cerium compounds 2846.90.00 Other 2847.00.00 Hydrogen peroxide, whether or not solidified with urea. 2849.10.00 Of calcium 2849.20.00 Of silicon 2849.90.00 Other 2850.00.00 Hydrides, nitrides, azides, silicides and borides, whether or not chemically defined, other than compounds which are also carbides of heading 28.49.</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2852.10.00</w:t>
            </w:r>
          </w:p>
        </w:tc>
        <w:tc>
          <w:tcPr>
            <w:tcW w:w="4679" w:type="dxa"/>
            <w:tcMar>
              <w:top w:w="70" w:type="dxa"/>
              <w:start w:w="110" w:type="dxa"/>
              <w:bottom w:w="70" w:type="dxa"/>
              <w:end w:w="110" w:type="dxa"/>
            </w:tcMar>
            <w:vAlign w:val="center"/>
          </w:tcPr>
          <w:p>
            <w:pPr>
              <w:pStyle w:val="TableText"/>
              <w:jc w:val="left"/>
            </w:pPr>
            <w:r>
              <w:rPr>
                <w:lang w:val="en-US" w:eastAsia="en-US" w:bidi="ar-SA"/>
              </w:rPr>
              <w:t>Chemically defined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2852.90.10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Mercury albuminate; Nucleoproteids of mercury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2852.90.90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2853.10.00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Cyanogen chloride (chlorcyan)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2853.90.00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Saturated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2901.21.00</w:t>
            </w:r>
          </w:p>
        </w:tc>
        <w:tc>
          <w:tcPr>
            <w:tcW w:w="4679" w:type="dxa"/>
            <w:tcMar>
              <w:top w:w="70" w:type="dxa"/>
              <w:start w:w="110" w:type="dxa"/>
              <w:bottom w:w="70" w:type="dxa"/>
              <w:end w:w="110" w:type="dxa"/>
            </w:tcMar>
            <w:vAlign w:val="center"/>
          </w:tcPr>
          <w:p>
            <w:pPr>
              <w:pStyle w:val="TableText"/>
              <w:jc w:val="left"/>
            </w:pPr>
            <w:r>
              <w:rPr>
                <w:lang w:val="en-US" w:eastAsia="en-US" w:bidi="ar-SA"/>
              </w:rPr>
              <w:t>Ethylene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Propene (propylene)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2901.23.00</w:t>
            </w:r>
          </w:p>
        </w:tc>
        <w:tc>
          <w:tcPr>
            <w:tcW w:w="4679" w:type="dxa"/>
            <w:tcMar>
              <w:top w:w="70" w:type="dxa"/>
              <w:start w:w="110" w:type="dxa"/>
              <w:bottom w:w="70" w:type="dxa"/>
              <w:end w:w="110" w:type="dxa"/>
            </w:tcMar>
            <w:vAlign w:val="center"/>
          </w:tcPr>
          <w:p>
            <w:pPr>
              <w:pStyle w:val="TableText"/>
              <w:jc w:val="left"/>
            </w:pPr>
            <w:r>
              <w:rPr>
                <w:lang w:val="en-US" w:eastAsia="en-US" w:bidi="ar-SA"/>
              </w:rPr>
              <w:t>Butene (butylene) and isomers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2901.24.00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Buta-1,3-diene and isoprene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Cyclohexane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Benzene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2902.30.00</w:t>
            </w:r>
          </w:p>
        </w:tc>
        <w:tc>
          <w:tcPr>
            <w:tcW w:w="4679" w:type="dxa"/>
            <w:tcMar>
              <w:top w:w="70" w:type="dxa"/>
              <w:start w:w="110" w:type="dxa"/>
              <w:bottom w:w="70" w:type="dxa"/>
              <w:end w:w="110" w:type="dxa"/>
            </w:tcMar>
            <w:vAlign w:val="center"/>
          </w:tcPr>
          <w:p>
            <w:pPr>
              <w:pStyle w:val="TableText"/>
              <w:jc w:val="left"/>
            </w:pPr>
            <w:r>
              <w:rPr>
                <w:lang w:val="en-US" w:eastAsia="en-US" w:bidi="ar-SA"/>
              </w:rPr>
              <w:t>Toluene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2902.42.00</w:t>
            </w:r>
          </w:p>
        </w:tc>
        <w:tc>
          <w:tcPr>
            <w:tcW w:w="4679" w:type="dxa"/>
            <w:tcMar>
              <w:top w:w="70" w:type="dxa"/>
              <w:start w:w="110" w:type="dxa"/>
              <w:bottom w:w="70" w:type="dxa"/>
              <w:end w:w="110" w:type="dxa"/>
            </w:tcMar>
            <w:vAlign w:val="center"/>
          </w:tcPr>
          <w:p>
            <w:pPr>
              <w:pStyle w:val="TableText"/>
              <w:jc w:val="left"/>
            </w:pPr>
            <w:r>
              <w:rPr>
                <w:lang w:val="en-US" w:eastAsia="en-US" w:bidi="ar-SA"/>
              </w:rPr>
              <w:t>m-Xylene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p-Xylene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2902.44.00</w:t>
            </w:r>
          </w:p>
        </w:tc>
        <w:tc>
          <w:tcPr>
            <w:tcW w:w="4679" w:type="dxa"/>
            <w:tcMar>
              <w:top w:w="70" w:type="dxa"/>
              <w:start w:w="110" w:type="dxa"/>
              <w:bottom w:w="70" w:type="dxa"/>
              <w:end w:w="110" w:type="dxa"/>
            </w:tcMar>
            <w:vAlign w:val="center"/>
          </w:tcPr>
          <w:p>
            <w:pPr>
              <w:pStyle w:val="TableText"/>
              <w:jc w:val="left"/>
            </w:pPr>
            <w:r>
              <w:rPr>
                <w:lang w:val="en-US" w:eastAsia="en-US" w:bidi="ar-SA"/>
              </w:rPr>
              <w:t>Mixed xylene isomers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Styrene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2902.60.00</w:t>
            </w:r>
          </w:p>
        </w:tc>
        <w:tc>
          <w:tcPr>
            <w:tcW w:w="4679" w:type="dxa"/>
            <w:tcMar>
              <w:top w:w="70" w:type="dxa"/>
              <w:start w:w="110" w:type="dxa"/>
              <w:bottom w:w="70" w:type="dxa"/>
              <w:end w:w="110" w:type="dxa"/>
            </w:tcMar>
            <w:vAlign w:val="center"/>
          </w:tcPr>
          <w:p>
            <w:pPr>
              <w:pStyle w:val="TableText"/>
              <w:jc w:val="left"/>
            </w:pPr>
            <w:r>
              <w:rPr>
                <w:lang w:val="en-US" w:eastAsia="en-US" w:bidi="ar-SA"/>
              </w:rPr>
              <w:t>Ethylbenzene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Cumene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Chloromethane (methyl chloride) and chloroethane (ethyl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2903.12.00</w:t>
            </w:r>
          </w:p>
        </w:tc>
        <w:tc>
          <w:tcPr>
            <w:tcW w:w="4679" w:type="dxa"/>
            <w:tcMar>
              <w:top w:w="70" w:type="dxa"/>
              <w:start w:w="110" w:type="dxa"/>
              <w:bottom w:w="70" w:type="dxa"/>
              <w:end w:w="110" w:type="dxa"/>
            </w:tcMar>
            <w:vAlign w:val="center"/>
          </w:tcPr>
          <w:p>
            <w:pPr>
              <w:pStyle w:val="TableText"/>
              <w:jc w:val="left"/>
            </w:pPr>
            <w:r>
              <w:rPr>
                <w:lang w:val="en-US" w:eastAsia="en-US" w:bidi="ar-SA"/>
              </w:rPr>
              <w:t>Dichloromethane (methylene 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Chloroform (trichloromethane)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2903.14.00</w:t>
            </w:r>
          </w:p>
        </w:tc>
        <w:tc>
          <w:tcPr>
            <w:tcW w:w="4679" w:type="dxa"/>
            <w:tcMar>
              <w:top w:w="70" w:type="dxa"/>
              <w:start w:w="110" w:type="dxa"/>
              <w:bottom w:w="70" w:type="dxa"/>
              <w:end w:w="110" w:type="dxa"/>
            </w:tcMar>
            <w:vAlign w:val="center"/>
          </w:tcPr>
          <w:p>
            <w:pPr>
              <w:pStyle w:val="TableText"/>
              <w:jc w:val="left"/>
            </w:pPr>
            <w:r>
              <w:rPr>
                <w:lang w:val="en-US" w:eastAsia="en-US" w:bidi="ar-SA"/>
              </w:rPr>
              <w:t>Carbon tetrachloride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 dichloride (ISO) (1,2-dichloroethane)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 chloride (chloroethylene)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2903.22.00</w:t>
            </w:r>
          </w:p>
        </w:tc>
        <w:tc>
          <w:tcPr>
            <w:tcW w:w="4679" w:type="dxa"/>
            <w:tcMar>
              <w:top w:w="70" w:type="dxa"/>
              <w:start w:w="110" w:type="dxa"/>
              <w:bottom w:w="70" w:type="dxa"/>
              <w:end w:w="110" w:type="dxa"/>
            </w:tcMar>
            <w:vAlign w:val="center"/>
          </w:tcPr>
          <w:p>
            <w:pPr>
              <w:pStyle w:val="TableText"/>
              <w:jc w:val="left"/>
            </w:pPr>
            <w:r>
              <w:rPr>
                <w:lang w:val="en-US" w:eastAsia="en-US" w:bidi="ar-SA"/>
              </w:rPr>
              <w:t>Trichloroethylene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Tetrachloroethylene (perchloroethylene)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 dibromide (ISO) (1,2-dibromoethane)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Chlorodifluoromethane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2903.72.00</w:t>
            </w:r>
          </w:p>
        </w:tc>
        <w:tc>
          <w:tcPr>
            <w:tcW w:w="4679" w:type="dxa"/>
            <w:tcMar>
              <w:top w:w="70" w:type="dxa"/>
              <w:start w:w="110" w:type="dxa"/>
              <w:bottom w:w="70" w:type="dxa"/>
              <w:end w:w="110" w:type="dxa"/>
            </w:tcMar>
            <w:vAlign w:val="center"/>
          </w:tcPr>
          <w:p>
            <w:pPr>
              <w:pStyle w:val="TableText"/>
              <w:jc w:val="left"/>
            </w:pPr>
            <w:r>
              <w:rPr>
                <w:lang w:val="en-US" w:eastAsia="en-US" w:bidi="ar-SA"/>
              </w:rPr>
              <w:t>Dichlorotrifluoroethanes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Dichlorofluoroethanes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2903.74.00</w:t>
            </w:r>
          </w:p>
        </w:tc>
        <w:tc>
          <w:tcPr>
            <w:tcW w:w="4679" w:type="dxa"/>
            <w:tcMar>
              <w:top w:w="70" w:type="dxa"/>
              <w:start w:w="110" w:type="dxa"/>
              <w:bottom w:w="70" w:type="dxa"/>
              <w:end w:w="110" w:type="dxa"/>
            </w:tcMar>
            <w:vAlign w:val="center"/>
          </w:tcPr>
          <w:p>
            <w:pPr>
              <w:pStyle w:val="TableText"/>
              <w:jc w:val="left"/>
            </w:pPr>
            <w:r>
              <w:rPr>
                <w:lang w:val="en-US" w:eastAsia="en-US" w:bidi="ar-SA"/>
              </w:rPr>
              <w:t>Chlorodifluoroethanes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Dichloropentafluoropropanes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2903.76.00</w:t>
            </w:r>
          </w:p>
        </w:tc>
        <w:tc>
          <w:tcPr>
            <w:tcW w:w="4679" w:type="dxa"/>
            <w:tcMar>
              <w:top w:w="70" w:type="dxa"/>
              <w:start w:w="110" w:type="dxa"/>
              <w:bottom w:w="70" w:type="dxa"/>
              <w:end w:w="110" w:type="dxa"/>
            </w:tcMar>
            <w:vAlign w:val="center"/>
          </w:tcPr>
          <w:p>
            <w:pPr>
              <w:pStyle w:val="TableText"/>
              <w:jc w:val="left"/>
            </w:pPr>
            <w:r>
              <w:rPr>
                <w:lang w:val="en-US" w:eastAsia="en-US" w:bidi="ar-SA"/>
              </w:rPr>
              <w:t>Bromochlorodifluoromethane, bromotrifluoromethane and dibromotetrafluoroethanes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perhalogenated only with fluorine and chlorine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2903.78.00</w:t>
            </w:r>
          </w:p>
        </w:tc>
        <w:tc>
          <w:tcPr>
            <w:tcW w:w="4679" w:type="dxa"/>
            <w:tcMar>
              <w:top w:w="70" w:type="dxa"/>
              <w:start w:w="110" w:type="dxa"/>
              <w:bottom w:w="70" w:type="dxa"/>
              <w:end w:w="110" w:type="dxa"/>
            </w:tcMar>
            <w:vAlign w:val="center"/>
          </w:tcPr>
          <w:p>
            <w:pPr>
              <w:pStyle w:val="TableText"/>
              <w:jc w:val="left"/>
            </w:pPr>
            <w:r>
              <w:rPr>
                <w:lang w:val="en-US" w:eastAsia="en-US" w:bidi="ar-SA"/>
              </w:rPr>
              <w:t>Other perhalogenated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2903.81.00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1,2,3,4,5,6-Hexachlorocyclohexane (HCH (ISO)), including lindane (ISO, INN)</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2903.82.00</w:t>
            </w:r>
          </w:p>
        </w:tc>
        <w:tc>
          <w:tcPr>
            <w:tcW w:w="4679" w:type="dxa"/>
            <w:tcMar>
              <w:top w:w="70" w:type="dxa"/>
              <w:start w:w="110" w:type="dxa"/>
              <w:bottom w:w="70" w:type="dxa"/>
              <w:end w:w="110" w:type="dxa"/>
            </w:tcMar>
            <w:vAlign w:val="center"/>
          </w:tcPr>
          <w:p>
            <w:pPr>
              <w:pStyle w:val="TableText"/>
              <w:jc w:val="left"/>
            </w:pPr>
            <w:r>
              <w:rPr>
                <w:lang w:val="en-US" w:eastAsia="en-US" w:bidi="ar-SA"/>
              </w:rPr>
              <w:t>Aldrin (ISO), chlordane (ISO) and heptachlor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2903.83.00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Mirex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2903.89.00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Chlorobenzene, o -dichlorobenzene and p -dichlorobenzene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2903.92.00</w:t>
            </w:r>
          </w:p>
        </w:tc>
        <w:tc>
          <w:tcPr>
            <w:tcW w:w="4679" w:type="dxa"/>
            <w:tcMar>
              <w:top w:w="70" w:type="dxa"/>
              <w:start w:w="110" w:type="dxa"/>
              <w:bottom w:w="70" w:type="dxa"/>
              <w:end w:w="110" w:type="dxa"/>
            </w:tcMar>
            <w:vAlign w:val="center"/>
          </w:tcPr>
          <w:p>
            <w:pPr>
              <w:pStyle w:val="TableText"/>
              <w:jc w:val="left"/>
            </w:pPr>
            <w:r>
              <w:rPr>
                <w:lang w:val="en-US" w:eastAsia="en-US" w:bidi="ar-SA"/>
              </w:rPr>
              <w:t>Hexachlorobenzene (ISO) and DDT (ISO) (clofenotane (INN), 1,1,1-trichloro-2,2-bis(p -chlorophenyl)ethane)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2903.93.00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Pentachlorobenzene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2903.94.00</w:t>
            </w:r>
          </w:p>
        </w:tc>
        <w:tc>
          <w:tcPr>
            <w:tcW w:w="4679" w:type="dxa"/>
            <w:tcMar>
              <w:top w:w="70" w:type="dxa"/>
              <w:start w:w="110" w:type="dxa"/>
              <w:bottom w:w="70" w:type="dxa"/>
              <w:end w:w="110" w:type="dxa"/>
            </w:tcMar>
            <w:vAlign w:val="center"/>
          </w:tcPr>
          <w:p>
            <w:pPr>
              <w:pStyle w:val="TableText"/>
              <w:jc w:val="left"/>
            </w:pPr>
            <w:r>
              <w:rPr>
                <w:lang w:val="en-US" w:eastAsia="en-US" w:bidi="ar-SA"/>
              </w:rPr>
              <w:t>Hexabromobiphenyls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2904.10.00</w:t>
            </w:r>
          </w:p>
        </w:tc>
        <w:tc>
          <w:tcPr>
            <w:tcW w:w="4679" w:type="dxa"/>
            <w:tcMar>
              <w:top w:w="70" w:type="dxa"/>
              <w:start w:w="110" w:type="dxa"/>
              <w:bottom w:w="70" w:type="dxa"/>
              <w:end w:w="110" w:type="dxa"/>
            </w:tcMar>
            <w:vAlign w:val="center"/>
          </w:tcPr>
          <w:p>
            <w:pPr>
              <w:pStyle w:val="TableText"/>
              <w:jc w:val="left"/>
            </w:pPr>
            <w:r>
              <w:rPr>
                <w:lang w:val="en-US" w:eastAsia="en-US" w:bidi="ar-SA"/>
              </w:rPr>
              <w:t>Derivatives containing only sulpho groups, their salts and ethyl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Derivatives containing only nitro or only nitroso groups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2904.31.00</w:t>
            </w:r>
          </w:p>
        </w:tc>
        <w:tc>
          <w:tcPr>
            <w:tcW w:w="4679" w:type="dxa"/>
            <w:tcMar>
              <w:top w:w="70" w:type="dxa"/>
              <w:start w:w="110" w:type="dxa"/>
              <w:bottom w:w="70" w:type="dxa"/>
              <w:end w:w="110" w:type="dxa"/>
            </w:tcMar>
            <w:vAlign w:val="center"/>
          </w:tcPr>
          <w:p>
            <w:pPr>
              <w:pStyle w:val="TableText"/>
              <w:jc w:val="left"/>
            </w:pPr>
            <w:r>
              <w:rPr>
                <w:lang w:val="en-US" w:eastAsia="en-US" w:bidi="ar-SA"/>
              </w:rPr>
              <w:t>Perfluorooctane sulphonic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Ammonium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2904.33.00</w:t>
            </w:r>
          </w:p>
        </w:tc>
        <w:tc>
          <w:tcPr>
            <w:tcW w:w="4679" w:type="dxa"/>
            <w:tcMar>
              <w:top w:w="70" w:type="dxa"/>
              <w:start w:w="110" w:type="dxa"/>
              <w:bottom w:w="70" w:type="dxa"/>
              <w:end w:w="110" w:type="dxa"/>
            </w:tcMar>
            <w:vAlign w:val="center"/>
          </w:tcPr>
          <w:p>
            <w:pPr>
              <w:pStyle w:val="TableText"/>
              <w:jc w:val="left"/>
            </w:pPr>
            <w:r>
              <w:rPr>
                <w:lang w:val="en-US" w:eastAsia="en-US" w:bidi="ar-SA"/>
              </w:rPr>
              <w:t>Lithium perfluorooctane sulphonate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2904.34.00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Potassium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2904.35.00</w:t>
            </w:r>
          </w:p>
        </w:tc>
        <w:tc>
          <w:tcPr>
            <w:tcW w:w="4679" w:type="dxa"/>
            <w:tcMar>
              <w:top w:w="70" w:type="dxa"/>
              <w:start w:w="110" w:type="dxa"/>
              <w:bottom w:w="70" w:type="dxa"/>
              <w:end w:w="110" w:type="dxa"/>
            </w:tcMar>
            <w:vAlign w:val="center"/>
          </w:tcPr>
          <w:p>
            <w:pPr>
              <w:pStyle w:val="TableText"/>
              <w:jc w:val="left"/>
            </w:pPr>
            <w:r>
              <w:rPr>
                <w:lang w:val="en-US" w:eastAsia="en-US" w:bidi="ar-SA"/>
              </w:rPr>
              <w:t>Other salts of perfluorooctane sulphonic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2904.36.00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Perfluorooctane sulphonyl fluoride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2904.91.00</w:t>
            </w:r>
          </w:p>
        </w:tc>
        <w:tc>
          <w:tcPr>
            <w:tcW w:w="4679" w:type="dxa"/>
            <w:tcMar>
              <w:top w:w="70" w:type="dxa"/>
              <w:start w:w="110" w:type="dxa"/>
              <w:bottom w:w="70" w:type="dxa"/>
              <w:end w:w="110" w:type="dxa"/>
            </w:tcMar>
            <w:vAlign w:val="center"/>
          </w:tcPr>
          <w:p>
            <w:pPr>
              <w:pStyle w:val="TableText"/>
              <w:jc w:val="left"/>
            </w:pPr>
            <w:r>
              <w:rPr>
                <w:lang w:val="en-US" w:eastAsia="en-US" w:bidi="ar-SA"/>
              </w:rPr>
              <w:t>Trichloronitromethane (chloropicrin)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2905.11.00</w:t>
            </w:r>
          </w:p>
        </w:tc>
        <w:tc>
          <w:tcPr>
            <w:tcW w:w="4679" w:type="dxa"/>
            <w:tcMar>
              <w:top w:w="70" w:type="dxa"/>
              <w:start w:w="110" w:type="dxa"/>
              <w:bottom w:w="70" w:type="dxa"/>
              <w:end w:w="110" w:type="dxa"/>
            </w:tcMar>
            <w:vAlign w:val="center"/>
          </w:tcPr>
          <w:p>
            <w:pPr>
              <w:pStyle w:val="TableText"/>
              <w:jc w:val="left"/>
            </w:pPr>
            <w:r>
              <w:rPr>
                <w:lang w:val="en-US" w:eastAsia="en-US" w:bidi="ar-SA"/>
              </w:rPr>
              <w:t>Methanol (methyl alcohol)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Propan-1-ol (propyl alcohol) and propan-2-ol (isopropyl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2905.13.00</w:t>
            </w:r>
          </w:p>
        </w:tc>
        <w:tc>
          <w:tcPr>
            <w:tcW w:w="4679" w:type="dxa"/>
            <w:tcMar>
              <w:top w:w="70" w:type="dxa"/>
              <w:start w:w="110" w:type="dxa"/>
              <w:bottom w:w="70" w:type="dxa"/>
              <w:end w:w="110" w:type="dxa"/>
            </w:tcMar>
            <w:vAlign w:val="center"/>
          </w:tcPr>
          <w:p>
            <w:pPr>
              <w:pStyle w:val="TableText"/>
              <w:jc w:val="left"/>
            </w:pPr>
            <w:r>
              <w:rPr>
                <w:lang w:val="en-US" w:eastAsia="en-US" w:bidi="ar-SA"/>
              </w:rPr>
              <w:t>Butan-1-ol (n -butyl alcohol)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butanols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2905.16.00</w:t>
            </w:r>
          </w:p>
        </w:tc>
        <w:tc>
          <w:tcPr>
            <w:tcW w:w="4679" w:type="dxa"/>
            <w:tcMar>
              <w:top w:w="70" w:type="dxa"/>
              <w:start w:w="110" w:type="dxa"/>
              <w:bottom w:w="70" w:type="dxa"/>
              <w:end w:w="110" w:type="dxa"/>
            </w:tcMar>
            <w:vAlign w:val="center"/>
          </w:tcPr>
          <w:p>
            <w:pPr>
              <w:pStyle w:val="TableText"/>
              <w:jc w:val="left"/>
            </w:pPr>
            <w:r>
              <w:rPr>
                <w:lang w:val="en-US" w:eastAsia="en-US" w:bidi="ar-SA"/>
              </w:rPr>
              <w:t>Octanol (octyl alcohol) and isomers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Dodecan-1-ol (lauryl alcohol), hexadecan-1-ol (cetyl alcohol) and octadecan-1-ol (stearyl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Acyclic terpene alcohols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 glycol (ethanediol)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2905.32.00</w:t>
            </w:r>
          </w:p>
        </w:tc>
        <w:tc>
          <w:tcPr>
            <w:tcW w:w="4679" w:type="dxa"/>
            <w:tcMar>
              <w:top w:w="70" w:type="dxa"/>
              <w:start w:w="110" w:type="dxa"/>
              <w:bottom w:w="70" w:type="dxa"/>
              <w:end w:w="110" w:type="dxa"/>
            </w:tcMar>
            <w:vAlign w:val="center"/>
          </w:tcPr>
          <w:p>
            <w:pPr>
              <w:pStyle w:val="TableText"/>
              <w:jc w:val="left"/>
            </w:pPr>
            <w:r>
              <w:rPr>
                <w:lang w:val="en-US" w:eastAsia="en-US" w:bidi="ar-SA"/>
              </w:rPr>
              <w:t>Propylene glycol (propane-1,2-diol)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2905.41.00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2-Ethyl-2-(hydroxymethyl) propane-1,3-diol (trimethylolpropane)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2905.42.00</w:t>
            </w:r>
          </w:p>
        </w:tc>
        <w:tc>
          <w:tcPr>
            <w:tcW w:w="4679" w:type="dxa"/>
            <w:tcMar>
              <w:top w:w="70" w:type="dxa"/>
              <w:start w:w="110" w:type="dxa"/>
              <w:bottom w:w="70" w:type="dxa"/>
              <w:end w:w="110" w:type="dxa"/>
            </w:tcMar>
            <w:vAlign w:val="center"/>
          </w:tcPr>
          <w:p>
            <w:pPr>
              <w:pStyle w:val="TableText"/>
              <w:jc w:val="left"/>
            </w:pPr>
            <w:r>
              <w:rPr>
                <w:lang w:val="en-US" w:eastAsia="en-US" w:bidi="ar-SA"/>
              </w:rPr>
              <w:t>Pentaerythritol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Mannitol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2905.44.00</w:t>
            </w:r>
          </w:p>
        </w:tc>
        <w:tc>
          <w:tcPr>
            <w:tcW w:w="4679" w:type="dxa"/>
            <w:tcMar>
              <w:top w:w="70" w:type="dxa"/>
              <w:start w:w="110" w:type="dxa"/>
              <w:bottom w:w="70" w:type="dxa"/>
              <w:end w:w="110" w:type="dxa"/>
            </w:tcMar>
            <w:vAlign w:val="center"/>
          </w:tcPr>
          <w:p>
            <w:pPr>
              <w:pStyle w:val="TableText"/>
              <w:jc w:val="left"/>
            </w:pPr>
            <w:r>
              <w:rPr>
                <w:lang w:val="en-US" w:eastAsia="en-US" w:bidi="ar-SA"/>
              </w:rPr>
              <w:t>D-glucitol (sorbitol)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2905.45.00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Glycerol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Ethchlorvynol (INN)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Menthol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2906.12.00</w:t>
            </w:r>
          </w:p>
        </w:tc>
        <w:tc>
          <w:tcPr>
            <w:tcW w:w="4679" w:type="dxa"/>
            <w:tcMar>
              <w:top w:w="70" w:type="dxa"/>
              <w:start w:w="110" w:type="dxa"/>
              <w:bottom w:w="70" w:type="dxa"/>
              <w:end w:w="110" w:type="dxa"/>
            </w:tcMar>
            <w:vAlign w:val="center"/>
          </w:tcPr>
          <w:p>
            <w:pPr>
              <w:pStyle w:val="TableText"/>
              <w:jc w:val="left"/>
            </w:pPr>
            <w:r>
              <w:rPr>
                <w:lang w:val="en-US" w:eastAsia="en-US" w:bidi="ar-SA"/>
              </w:rPr>
              <w:t>Cyclohexanol, methylcyclohexanols and dimethylcyclohexanols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2906.13.00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Sterols and inositols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Benzyl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Phenol (hydroxybenzene)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2907.12.00</w:t>
            </w:r>
          </w:p>
        </w:tc>
        <w:tc>
          <w:tcPr>
            <w:tcW w:w="4679" w:type="dxa"/>
            <w:tcMar>
              <w:top w:w="70" w:type="dxa"/>
              <w:start w:w="110" w:type="dxa"/>
              <w:bottom w:w="70" w:type="dxa"/>
              <w:end w:w="110" w:type="dxa"/>
            </w:tcMar>
            <w:vAlign w:val="center"/>
          </w:tcPr>
          <w:p>
            <w:pPr>
              <w:pStyle w:val="TableText"/>
              <w:jc w:val="left"/>
            </w:pPr>
            <w:r>
              <w:rPr>
                <w:lang w:val="en-US" w:eastAsia="en-US" w:bidi="ar-SA"/>
              </w:rPr>
              <w:t>Cresols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Octylphenol, nonylphenol and their isomers;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2907.15.00</w:t>
            </w:r>
          </w:p>
        </w:tc>
        <w:tc>
          <w:tcPr>
            <w:tcW w:w="4679" w:type="dxa"/>
            <w:tcMar>
              <w:top w:w="70" w:type="dxa"/>
              <w:start w:w="110" w:type="dxa"/>
              <w:bottom w:w="70" w:type="dxa"/>
              <w:end w:w="110" w:type="dxa"/>
            </w:tcMar>
            <w:vAlign w:val="center"/>
          </w:tcPr>
          <w:p>
            <w:pPr>
              <w:pStyle w:val="TableText"/>
              <w:jc w:val="left"/>
            </w:pPr>
            <w:r>
              <w:rPr>
                <w:lang w:val="en-US" w:eastAsia="en-US" w:bidi="ar-SA"/>
              </w:rPr>
              <w:t>Naphthols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2907.21.00</w:t>
            </w:r>
          </w:p>
        </w:tc>
        <w:tc>
          <w:tcPr>
            <w:tcW w:w="4679" w:type="dxa"/>
            <w:tcMar>
              <w:top w:w="70" w:type="dxa"/>
              <w:start w:w="110" w:type="dxa"/>
              <w:bottom w:w="70" w:type="dxa"/>
              <w:end w:w="110" w:type="dxa"/>
            </w:tcMar>
            <w:vAlign w:val="center"/>
          </w:tcPr>
          <w:p>
            <w:pPr>
              <w:pStyle w:val="TableText"/>
              <w:jc w:val="left"/>
            </w:pPr>
            <w:r>
              <w:rPr>
                <w:lang w:val="en-US" w:eastAsia="en-US" w:bidi="ar-SA"/>
              </w:rPr>
              <w:t>Resorcinol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Hydroquinone (quinol)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2907.23.00</w:t>
            </w:r>
          </w:p>
        </w:tc>
        <w:tc>
          <w:tcPr>
            <w:tcW w:w="4679" w:type="dxa"/>
            <w:tcMar>
              <w:top w:w="70" w:type="dxa"/>
              <w:start w:w="110" w:type="dxa"/>
              <w:bottom w:w="70" w:type="dxa"/>
              <w:end w:w="110" w:type="dxa"/>
            </w:tcMar>
            <w:vAlign w:val="center"/>
          </w:tcPr>
          <w:p>
            <w:pPr>
              <w:pStyle w:val="TableText"/>
              <w:jc w:val="left"/>
            </w:pPr>
            <w:r>
              <w:rPr>
                <w:lang w:val="en-US" w:eastAsia="en-US" w:bidi="ar-SA"/>
              </w:rPr>
              <w:t>4,4’-Isopropylidenediphenol (bisphenol A, diphenylolpropane)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2908.11.00</w:t>
            </w:r>
          </w:p>
        </w:tc>
        <w:tc>
          <w:tcPr>
            <w:tcW w:w="4679" w:type="dxa"/>
            <w:tcMar>
              <w:top w:w="70" w:type="dxa"/>
              <w:start w:w="110" w:type="dxa"/>
              <w:bottom w:w="70" w:type="dxa"/>
              <w:end w:w="110" w:type="dxa"/>
            </w:tcMar>
            <w:vAlign w:val="center"/>
          </w:tcPr>
          <w:p>
            <w:pPr>
              <w:pStyle w:val="TableText"/>
              <w:jc w:val="left"/>
            </w:pPr>
            <w:r>
              <w:rPr>
                <w:lang w:val="en-US" w:eastAsia="en-US" w:bidi="ar-SA"/>
              </w:rPr>
              <w:t>Pentachlorophenol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2908.91.00</w:t>
            </w:r>
          </w:p>
        </w:tc>
        <w:tc>
          <w:tcPr>
            <w:tcW w:w="4679" w:type="dxa"/>
            <w:tcMar>
              <w:top w:w="70" w:type="dxa"/>
              <w:start w:w="110" w:type="dxa"/>
              <w:bottom w:w="70" w:type="dxa"/>
              <w:end w:w="110" w:type="dxa"/>
            </w:tcMar>
            <w:vAlign w:val="center"/>
          </w:tcPr>
          <w:p>
            <w:pPr>
              <w:pStyle w:val="TableText"/>
              <w:jc w:val="left"/>
            </w:pPr>
            <w:r>
              <w:rPr>
                <w:lang w:val="en-US" w:eastAsia="en-US" w:bidi="ar-SA"/>
              </w:rPr>
              <w:t>Dinoseb (ISO)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2908.92.00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4,6-Dinitro-o-cresol (DNOC (ISO))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2908.99.00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Diethyl ether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Cyclanic, cyclenic or cycloterpenic ethers and their halogenated, sulphonated, nitrated or nitrosated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2909.30.00</w:t>
            </w:r>
          </w:p>
        </w:tc>
        <w:tc>
          <w:tcPr>
            <w:tcW w:w="4679" w:type="dxa"/>
            <w:tcMar>
              <w:top w:w="70" w:type="dxa"/>
              <w:start w:w="110" w:type="dxa"/>
              <w:bottom w:w="70" w:type="dxa"/>
              <w:end w:w="110" w:type="dxa"/>
            </w:tcMar>
            <w:vAlign w:val="center"/>
          </w:tcPr>
          <w:p>
            <w:pPr>
              <w:pStyle w:val="TableText"/>
              <w:jc w:val="left"/>
            </w:pPr>
            <w:r>
              <w:rPr>
                <w:lang w:val="en-US" w:eastAsia="en-US" w:bidi="ar-SA"/>
              </w:rPr>
              <w:t>Aromatic ethers and their halogenated, sulphonated, nitrated or nitrosated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2,2’-Oxydiethanol (diethylene glycol, digol)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2909.43.00</w:t>
            </w:r>
          </w:p>
        </w:tc>
        <w:tc>
          <w:tcPr>
            <w:tcW w:w="4679" w:type="dxa"/>
            <w:tcMar>
              <w:top w:w="70" w:type="dxa"/>
              <w:start w:w="110" w:type="dxa"/>
              <w:bottom w:w="70" w:type="dxa"/>
              <w:end w:w="110" w:type="dxa"/>
            </w:tcMar>
            <w:vAlign w:val="center"/>
          </w:tcPr>
          <w:p>
            <w:pPr>
              <w:pStyle w:val="TableText"/>
              <w:jc w:val="left"/>
            </w:pPr>
            <w:r>
              <w:rPr>
                <w:lang w:val="en-US" w:eastAsia="en-US" w:bidi="ar-SA"/>
              </w:rPr>
              <w:t>Monobutyl ethers of ethylene glycol or of diethylene glycol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monoalkylethers of ethylene glycol or of diethylene glycol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Ether-phenols,</w:t>
            </w:r>
          </w:p>
        </w:tc>
      </w:tr>
    </w:tbl>
    <w:p>
      <w:pPr>
        <w:pStyle w:val="Normal"/>
      </w:pPr>
      <w:r>
        <w:t>ether-alcohol-phenols and their halogenated, sulphonated, nitrated or nitrosated derivatives 2909.60.00 Alcohol peroxides, ether peroxides, ketone peroxides and their halogenated, sulphonated, nitrated or nitrosated derivatives 2910.10.00 Oxirane (ethylene oxide) 2910.20.00 Methyloxirane (propylene oxide) 2910.30.00 1-Chloro-2,3-epoxypropane (epichlorohydrin) 2910.40.00 Dieldrin (ISO, INN) 2910.50.00 Endrin (ISO) 2910.90.00 Other 2911.00.00 Acetals and hemiacetals, whether or not with other oxygen function, and their halogenated, sulphonated, nitrated or nitrosated derivatives. 2912.11.00 Methanal (formaldehyde) 2912.12.00 Ethanal (acetaldehyde) 2912.19.00 Other 2912.21.00 Benzaldehyde 2912.29.00 Other 2912.41.00 Vanillin (4-hydroxy-3-methoxybenzaldehyde) 2912.42.00 Ethylvanillin (3-ethoxy-4-hydroxybenzaldehyde) 2912.49.00 Other 2912.50.00 Cyclic polymers of aldehydes 2912.60.00 Paraformaldehyde 2913.00.00 Halogenated, sulphonated, nitrated or nitrosated derivatives of products of heading 29.12.</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2914.11.00</w:t>
            </w:r>
          </w:p>
        </w:tc>
        <w:tc>
          <w:tcPr>
            <w:tcW w:w="4679" w:type="dxa"/>
            <w:tcMar>
              <w:top w:w="70" w:type="dxa"/>
              <w:start w:w="110" w:type="dxa"/>
              <w:bottom w:w="70" w:type="dxa"/>
              <w:end w:w="110" w:type="dxa"/>
            </w:tcMar>
            <w:vAlign w:val="center"/>
          </w:tcPr>
          <w:p>
            <w:pPr>
              <w:pStyle w:val="TableText"/>
              <w:jc w:val="left"/>
            </w:pPr>
            <w:r>
              <w:rPr>
                <w:lang w:val="en-US" w:eastAsia="en-US" w:bidi="ar-SA"/>
              </w:rPr>
              <w:t>Acetone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Butanone (methyl ethyl ketone)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2914.13.00</w:t>
            </w:r>
          </w:p>
        </w:tc>
        <w:tc>
          <w:tcPr>
            <w:tcW w:w="4679" w:type="dxa"/>
            <w:tcMar>
              <w:top w:w="70" w:type="dxa"/>
              <w:start w:w="110" w:type="dxa"/>
              <w:bottom w:w="70" w:type="dxa"/>
              <w:end w:w="110" w:type="dxa"/>
            </w:tcMar>
            <w:vAlign w:val="center"/>
          </w:tcPr>
          <w:p>
            <w:pPr>
              <w:pStyle w:val="TableText"/>
              <w:jc w:val="left"/>
            </w:pPr>
            <w:r>
              <w:rPr>
                <w:lang w:val="en-US" w:eastAsia="en-US" w:bidi="ar-SA"/>
              </w:rPr>
              <w:t>4-Methylpentan-2-one (methyl isobutyl ketone)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2914.22.00</w:t>
            </w:r>
          </w:p>
        </w:tc>
        <w:tc>
          <w:tcPr>
            <w:tcW w:w="4679" w:type="dxa"/>
            <w:tcMar>
              <w:top w:w="70" w:type="dxa"/>
              <w:start w:w="110" w:type="dxa"/>
              <w:bottom w:w="70" w:type="dxa"/>
              <w:end w:w="110" w:type="dxa"/>
            </w:tcMar>
            <w:vAlign w:val="center"/>
          </w:tcPr>
          <w:p>
            <w:pPr>
              <w:pStyle w:val="TableText"/>
              <w:jc w:val="left"/>
            </w:pPr>
            <w:r>
              <w:rPr>
                <w:lang w:val="en-US" w:eastAsia="en-US" w:bidi="ar-SA"/>
              </w:rPr>
              <w:t>Cyclohexanone and methylcyclohexanones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Ionones and methylionones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Phenylacetone (phenylpropan-2-one)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Ketone-alcohols and ketone-aldehydes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2914.50.00</w:t>
            </w:r>
          </w:p>
        </w:tc>
        <w:tc>
          <w:tcPr>
            <w:tcW w:w="4679" w:type="dxa"/>
            <w:tcMar>
              <w:top w:w="70" w:type="dxa"/>
              <w:start w:w="110" w:type="dxa"/>
              <w:bottom w:w="70" w:type="dxa"/>
              <w:end w:w="110" w:type="dxa"/>
            </w:tcMar>
            <w:vAlign w:val="center"/>
          </w:tcPr>
          <w:p>
            <w:pPr>
              <w:pStyle w:val="TableText"/>
              <w:jc w:val="left"/>
            </w:pPr>
            <w:r>
              <w:rPr>
                <w:lang w:val="en-US" w:eastAsia="en-US" w:bidi="ar-SA"/>
              </w:rPr>
              <w:t>Ketone-phenols and ketones with other oxygen function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Anthraquinone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2914.62.00</w:t>
            </w:r>
          </w:p>
        </w:tc>
        <w:tc>
          <w:tcPr>
            <w:tcW w:w="4679" w:type="dxa"/>
            <w:tcMar>
              <w:top w:w="70" w:type="dxa"/>
              <w:start w:w="110" w:type="dxa"/>
              <w:bottom w:w="70" w:type="dxa"/>
              <w:end w:w="110" w:type="dxa"/>
            </w:tcMar>
            <w:vAlign w:val="center"/>
          </w:tcPr>
          <w:p>
            <w:pPr>
              <w:pStyle w:val="TableText"/>
              <w:jc w:val="left"/>
            </w:pPr>
            <w:r>
              <w:rPr>
                <w:lang w:val="en-US" w:eastAsia="en-US" w:bidi="ar-SA"/>
              </w:rPr>
              <w:t>Coenzyme Q10 (ubidecarenone (INN))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2914.71.00</w:t>
            </w:r>
          </w:p>
        </w:tc>
        <w:tc>
          <w:tcPr>
            <w:tcW w:w="4679" w:type="dxa"/>
            <w:tcMar>
              <w:top w:w="70" w:type="dxa"/>
              <w:start w:w="110" w:type="dxa"/>
              <w:bottom w:w="70" w:type="dxa"/>
              <w:end w:w="110" w:type="dxa"/>
            </w:tcMar>
            <w:vAlign w:val="center"/>
          </w:tcPr>
          <w:p>
            <w:pPr>
              <w:pStyle w:val="TableText"/>
              <w:jc w:val="left"/>
            </w:pPr>
            <w:r>
              <w:rPr>
                <w:lang w:val="en-US" w:eastAsia="en-US" w:bidi="ar-SA"/>
              </w:rPr>
              <w:t>Chlordecone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2914.79.00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2915.11.00</w:t>
            </w:r>
          </w:p>
        </w:tc>
        <w:tc>
          <w:tcPr>
            <w:tcW w:w="4679" w:type="dxa"/>
            <w:tcMar>
              <w:top w:w="70" w:type="dxa"/>
              <w:start w:w="110" w:type="dxa"/>
              <w:bottom w:w="70" w:type="dxa"/>
              <w:end w:w="110" w:type="dxa"/>
            </w:tcMar>
            <w:vAlign w:val="center"/>
          </w:tcPr>
          <w:p>
            <w:pPr>
              <w:pStyle w:val="TableText"/>
              <w:jc w:val="left"/>
            </w:pPr>
            <w:r>
              <w:rPr>
                <w:lang w:val="en-US" w:eastAsia="en-US" w:bidi="ar-SA"/>
              </w:rPr>
              <w:t>Formic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Salts of formic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2915.13.00</w:t>
            </w:r>
          </w:p>
        </w:tc>
        <w:tc>
          <w:tcPr>
            <w:tcW w:w="4679" w:type="dxa"/>
            <w:tcMar>
              <w:top w:w="70" w:type="dxa"/>
              <w:start w:w="110" w:type="dxa"/>
              <w:bottom w:w="70" w:type="dxa"/>
              <w:end w:w="110" w:type="dxa"/>
            </w:tcMar>
            <w:vAlign w:val="center"/>
          </w:tcPr>
          <w:p>
            <w:pPr>
              <w:pStyle w:val="TableText"/>
              <w:jc w:val="left"/>
            </w:pPr>
            <w:r>
              <w:rPr>
                <w:lang w:val="en-US" w:eastAsia="en-US" w:bidi="ar-SA"/>
              </w:rPr>
              <w:t>Esters of formic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Acetic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2915.24.00</w:t>
            </w:r>
          </w:p>
        </w:tc>
        <w:tc>
          <w:tcPr>
            <w:tcW w:w="4679" w:type="dxa"/>
            <w:tcMar>
              <w:top w:w="70" w:type="dxa"/>
              <w:start w:w="110" w:type="dxa"/>
              <w:bottom w:w="70" w:type="dxa"/>
              <w:end w:w="110" w:type="dxa"/>
            </w:tcMar>
            <w:vAlign w:val="center"/>
          </w:tcPr>
          <w:p>
            <w:pPr>
              <w:pStyle w:val="TableText"/>
              <w:jc w:val="left"/>
            </w:pPr>
            <w:r>
              <w:rPr>
                <w:lang w:val="en-US" w:eastAsia="en-US" w:bidi="ar-SA"/>
              </w:rPr>
              <w:t>Acetic anhydride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2915.31.00</w:t>
            </w:r>
          </w:p>
        </w:tc>
        <w:tc>
          <w:tcPr>
            <w:tcW w:w="4679" w:type="dxa"/>
            <w:tcMar>
              <w:top w:w="70" w:type="dxa"/>
              <w:start w:w="110" w:type="dxa"/>
              <w:bottom w:w="70" w:type="dxa"/>
              <w:end w:w="110" w:type="dxa"/>
            </w:tcMar>
            <w:vAlign w:val="center"/>
          </w:tcPr>
          <w:p>
            <w:pPr>
              <w:pStyle w:val="TableText"/>
              <w:jc w:val="left"/>
            </w:pPr>
            <w:r>
              <w:rPr>
                <w:lang w:val="en-US" w:eastAsia="en-US" w:bidi="ar-SA"/>
              </w:rPr>
              <w:t>Ethyl acetate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 acetate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2915.33.00</w:t>
            </w:r>
          </w:p>
        </w:tc>
        <w:tc>
          <w:tcPr>
            <w:tcW w:w="4679" w:type="dxa"/>
            <w:tcMar>
              <w:top w:w="70" w:type="dxa"/>
              <w:start w:w="110" w:type="dxa"/>
              <w:bottom w:w="70" w:type="dxa"/>
              <w:end w:w="110" w:type="dxa"/>
            </w:tcMar>
            <w:vAlign w:val="center"/>
          </w:tcPr>
          <w:p>
            <w:pPr>
              <w:pStyle w:val="TableText"/>
              <w:jc w:val="left"/>
            </w:pPr>
            <w:r>
              <w:rPr>
                <w:lang w:val="en-US" w:eastAsia="en-US" w:bidi="ar-SA"/>
              </w:rPr>
              <w:t>n -Butyl acetate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2915.36.00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Dinoseb (ISO) acetate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Mono-, di- or trichloroacetic acids, their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2915.50.00</w:t>
            </w:r>
          </w:p>
        </w:tc>
        <w:tc>
          <w:tcPr>
            <w:tcW w:w="4679" w:type="dxa"/>
            <w:tcMar>
              <w:top w:w="70" w:type="dxa"/>
              <w:start w:w="110" w:type="dxa"/>
              <w:bottom w:w="70" w:type="dxa"/>
              <w:end w:w="110" w:type="dxa"/>
            </w:tcMar>
            <w:vAlign w:val="center"/>
          </w:tcPr>
          <w:p>
            <w:pPr>
              <w:pStyle w:val="TableText"/>
              <w:jc w:val="left"/>
            </w:pPr>
            <w:r>
              <w:rPr>
                <w:lang w:val="en-US" w:eastAsia="en-US" w:bidi="ar-SA"/>
              </w:rPr>
              <w:t>Propionic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Butanoic acids, pentanoic acids, their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2915.70.00</w:t>
            </w:r>
          </w:p>
        </w:tc>
        <w:tc>
          <w:tcPr>
            <w:tcW w:w="4679" w:type="dxa"/>
            <w:tcMar>
              <w:top w:w="70" w:type="dxa"/>
              <w:start w:w="110" w:type="dxa"/>
              <w:bottom w:w="70" w:type="dxa"/>
              <w:end w:w="110" w:type="dxa"/>
            </w:tcMar>
            <w:vAlign w:val="center"/>
          </w:tcPr>
          <w:p>
            <w:pPr>
              <w:pStyle w:val="TableText"/>
              <w:jc w:val="left"/>
            </w:pPr>
            <w:r>
              <w:rPr>
                <w:lang w:val="en-US" w:eastAsia="en-US" w:bidi="ar-SA"/>
              </w:rPr>
              <w:t>Palmitic acid, stearic acid, their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2916.11.00</w:t>
            </w:r>
          </w:p>
        </w:tc>
        <w:tc>
          <w:tcPr>
            <w:tcW w:w="4679" w:type="dxa"/>
            <w:tcMar>
              <w:top w:w="70" w:type="dxa"/>
              <w:start w:w="110" w:type="dxa"/>
              <w:bottom w:w="70" w:type="dxa"/>
              <w:end w:w="110" w:type="dxa"/>
            </w:tcMar>
            <w:vAlign w:val="center"/>
          </w:tcPr>
          <w:p>
            <w:pPr>
              <w:pStyle w:val="TableText"/>
              <w:jc w:val="left"/>
            </w:pPr>
            <w:r>
              <w:rPr>
                <w:lang w:val="en-US" w:eastAsia="en-US" w:bidi="ar-SA"/>
              </w:rPr>
              <w:t>Acrylic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Esters of acrylic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2916.13.00</w:t>
            </w:r>
          </w:p>
        </w:tc>
        <w:tc>
          <w:tcPr>
            <w:tcW w:w="4679" w:type="dxa"/>
            <w:tcMar>
              <w:top w:w="70" w:type="dxa"/>
              <w:start w:w="110" w:type="dxa"/>
              <w:bottom w:w="70" w:type="dxa"/>
              <w:end w:w="110" w:type="dxa"/>
            </w:tcMar>
            <w:vAlign w:val="center"/>
          </w:tcPr>
          <w:p>
            <w:pPr>
              <w:pStyle w:val="TableText"/>
              <w:jc w:val="left"/>
            </w:pPr>
            <w:r>
              <w:rPr>
                <w:lang w:val="en-US" w:eastAsia="en-US" w:bidi="ar-SA"/>
              </w:rPr>
              <w:t>Methacrylic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Esters of methacrylic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2916.15.00</w:t>
            </w:r>
          </w:p>
        </w:tc>
        <w:tc>
          <w:tcPr>
            <w:tcW w:w="4679" w:type="dxa"/>
            <w:tcMar>
              <w:top w:w="70" w:type="dxa"/>
              <w:start w:w="110" w:type="dxa"/>
              <w:bottom w:w="70" w:type="dxa"/>
              <w:end w:w="110" w:type="dxa"/>
            </w:tcMar>
            <w:vAlign w:val="center"/>
          </w:tcPr>
          <w:p>
            <w:pPr>
              <w:pStyle w:val="TableText"/>
              <w:jc w:val="left"/>
            </w:pPr>
            <w:r>
              <w:rPr>
                <w:lang w:val="en-US" w:eastAsia="en-US" w:bidi="ar-SA"/>
              </w:rPr>
              <w:t>Oleic, linoleic or linolenic acids, their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2916.16.00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Binapacryl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Cyclanic, cyclenic or cycloterpenic monocarboxylic acids, their anhydrides, halides, peroxides, peroxyacids and their</w:t>
            </w:r>
          </w:p>
        </w:tc>
      </w:tr>
    </w:tbl>
    <w:p>
      <w:pPr>
        <w:pStyle w:val="Normal"/>
      </w:pPr>
      <w:r>
        <w:t>derivatives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2916.31.00</w:t>
            </w:r>
          </w:p>
        </w:tc>
        <w:tc>
          <w:tcPr>
            <w:tcW w:w="4679" w:type="dxa"/>
            <w:tcMar>
              <w:top w:w="70" w:type="dxa"/>
              <w:start w:w="110" w:type="dxa"/>
              <w:bottom w:w="70" w:type="dxa"/>
              <w:end w:w="110" w:type="dxa"/>
            </w:tcMar>
            <w:vAlign w:val="center"/>
          </w:tcPr>
          <w:p>
            <w:pPr>
              <w:pStyle w:val="TableText"/>
              <w:jc w:val="left"/>
            </w:pPr>
            <w:r>
              <w:rPr>
                <w:lang w:val="en-US" w:eastAsia="en-US" w:bidi="ar-SA"/>
              </w:rPr>
              <w:t>Benzoic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Benzoyl peroxide and benzoyl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2916.34.00</w:t>
            </w:r>
          </w:p>
        </w:tc>
        <w:tc>
          <w:tcPr>
            <w:tcW w:w="4679" w:type="dxa"/>
            <w:tcMar>
              <w:top w:w="70" w:type="dxa"/>
              <w:start w:w="110" w:type="dxa"/>
              <w:bottom w:w="70" w:type="dxa"/>
              <w:end w:w="110" w:type="dxa"/>
            </w:tcMar>
            <w:vAlign w:val="center"/>
          </w:tcPr>
          <w:p>
            <w:pPr>
              <w:pStyle w:val="TableText"/>
              <w:jc w:val="left"/>
            </w:pPr>
            <w:r>
              <w:rPr>
                <w:lang w:val="en-US" w:eastAsia="en-US" w:bidi="ar-SA"/>
              </w:rPr>
              <w:t>Phenylacetic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2917.11.00</w:t>
            </w:r>
          </w:p>
        </w:tc>
        <w:tc>
          <w:tcPr>
            <w:tcW w:w="4679" w:type="dxa"/>
            <w:tcMar>
              <w:top w:w="70" w:type="dxa"/>
              <w:start w:w="110" w:type="dxa"/>
              <w:bottom w:w="70" w:type="dxa"/>
              <w:end w:w="110" w:type="dxa"/>
            </w:tcMar>
            <w:vAlign w:val="center"/>
          </w:tcPr>
          <w:p>
            <w:pPr>
              <w:pStyle w:val="TableText"/>
              <w:jc w:val="left"/>
            </w:pPr>
            <w:r>
              <w:rPr>
                <w:lang w:val="en-US" w:eastAsia="en-US" w:bidi="ar-SA"/>
              </w:rPr>
              <w:t>Oxalic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Adipic acid, its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2917.13.00</w:t>
            </w:r>
          </w:p>
        </w:tc>
        <w:tc>
          <w:tcPr>
            <w:tcW w:w="4679" w:type="dxa"/>
            <w:tcMar>
              <w:top w:w="70" w:type="dxa"/>
              <w:start w:w="110" w:type="dxa"/>
              <w:bottom w:w="70" w:type="dxa"/>
              <w:end w:w="110" w:type="dxa"/>
            </w:tcMar>
            <w:vAlign w:val="center"/>
          </w:tcPr>
          <w:p>
            <w:pPr>
              <w:pStyle w:val="TableText"/>
              <w:jc w:val="left"/>
            </w:pPr>
            <w:r>
              <w:rPr>
                <w:lang w:val="en-US" w:eastAsia="en-US" w:bidi="ar-SA"/>
              </w:rPr>
              <w:t>Azelaic acid, sebacic acid, their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Maleic anhydride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2917.19.10</w:t>
            </w:r>
          </w:p>
        </w:tc>
        <w:tc>
          <w:tcPr>
            <w:tcW w:w="4679" w:type="dxa"/>
            <w:tcMar>
              <w:top w:w="70" w:type="dxa"/>
              <w:start w:w="110" w:type="dxa"/>
              <w:bottom w:w="70" w:type="dxa"/>
              <w:end w:w="110" w:type="dxa"/>
            </w:tcMar>
            <w:vAlign w:val="center"/>
          </w:tcPr>
          <w:p>
            <w:pPr>
              <w:pStyle w:val="TableText"/>
              <w:jc w:val="left"/>
            </w:pPr>
            <w:r>
              <w:rPr>
                <w:lang w:val="en-US" w:eastAsia="en-US" w:bidi="ar-SA"/>
              </w:rPr>
              <w:t>Dibutyl fumarate; Dibutyl maleate; Ferrous fumarate; Lead fumarate, tetrabasic; Maleic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2917.19.91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For use in the manufacture of glues or adhesives, optical fibres or optical fibre bundles or cables, typewriter or similar ribbons, polymers in primary forms or profile shapes or sheets of plastics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2917.19.99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Cyclanic, cyclenic or cycloterpenic polycarboxylic acids, their anhydrides, halides, peroxides, peroxyacids and their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2917.32.00</w:t>
            </w:r>
          </w:p>
        </w:tc>
        <w:tc>
          <w:tcPr>
            <w:tcW w:w="4679" w:type="dxa"/>
            <w:tcMar>
              <w:top w:w="70" w:type="dxa"/>
              <w:start w:w="110" w:type="dxa"/>
              <w:bottom w:w="70" w:type="dxa"/>
              <w:end w:w="110" w:type="dxa"/>
            </w:tcMar>
            <w:vAlign w:val="center"/>
          </w:tcPr>
          <w:p>
            <w:pPr>
              <w:pStyle w:val="TableText"/>
              <w:jc w:val="left"/>
            </w:pPr>
            <w:r>
              <w:rPr>
                <w:lang w:val="en-US" w:eastAsia="en-US" w:bidi="ar-SA"/>
              </w:rPr>
              <w:t>Dioctyl orthophthalates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Dinonyl or didecyl orthophthalates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2917.34.00</w:t>
            </w:r>
          </w:p>
        </w:tc>
        <w:tc>
          <w:tcPr>
            <w:tcW w:w="4679" w:type="dxa"/>
            <w:tcMar>
              <w:top w:w="70" w:type="dxa"/>
              <w:start w:w="110" w:type="dxa"/>
              <w:bottom w:w="70" w:type="dxa"/>
              <w:end w:w="110" w:type="dxa"/>
            </w:tcMar>
            <w:vAlign w:val="center"/>
          </w:tcPr>
          <w:p>
            <w:pPr>
              <w:pStyle w:val="TableText"/>
              <w:jc w:val="left"/>
            </w:pPr>
            <w:r>
              <w:rPr>
                <w:lang w:val="en-US" w:eastAsia="en-US" w:bidi="ar-SA"/>
              </w:rPr>
              <w:t>Other esters of orthophthalic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2917.35.00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Phthalic anhydride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2917.36.00</w:t>
            </w:r>
          </w:p>
        </w:tc>
        <w:tc>
          <w:tcPr>
            <w:tcW w:w="4679" w:type="dxa"/>
            <w:tcMar>
              <w:top w:w="70" w:type="dxa"/>
              <w:start w:w="110" w:type="dxa"/>
              <w:bottom w:w="70" w:type="dxa"/>
              <w:end w:w="110" w:type="dxa"/>
            </w:tcMar>
            <w:vAlign w:val="center"/>
          </w:tcPr>
          <w:p>
            <w:pPr>
              <w:pStyle w:val="TableText"/>
              <w:jc w:val="left"/>
            </w:pPr>
            <w:r>
              <w:rPr>
                <w:lang w:val="en-US" w:eastAsia="en-US" w:bidi="ar-SA"/>
              </w:rPr>
              <w:t>Terephthalic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2917.37.00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Dimethyl terephthalate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Lactic acid, its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2918.12.00</w:t>
            </w:r>
          </w:p>
        </w:tc>
        <w:tc>
          <w:tcPr>
            <w:tcW w:w="4679" w:type="dxa"/>
            <w:tcMar>
              <w:top w:w="70" w:type="dxa"/>
              <w:start w:w="110" w:type="dxa"/>
              <w:bottom w:w="70" w:type="dxa"/>
              <w:end w:w="110" w:type="dxa"/>
            </w:tcMar>
            <w:vAlign w:val="center"/>
          </w:tcPr>
          <w:p>
            <w:pPr>
              <w:pStyle w:val="TableText"/>
              <w:jc w:val="left"/>
            </w:pPr>
            <w:r>
              <w:rPr>
                <w:lang w:val="en-US" w:eastAsia="en-US" w:bidi="ar-SA"/>
              </w:rPr>
              <w:t>Tartaric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Salts and esters of tartaric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2918.14.00</w:t>
            </w:r>
          </w:p>
        </w:tc>
        <w:tc>
          <w:tcPr>
            <w:tcW w:w="4679" w:type="dxa"/>
            <w:tcMar>
              <w:top w:w="70" w:type="dxa"/>
              <w:start w:w="110" w:type="dxa"/>
              <w:bottom w:w="70" w:type="dxa"/>
              <w:end w:w="110" w:type="dxa"/>
            </w:tcMar>
            <w:vAlign w:val="center"/>
          </w:tcPr>
          <w:p>
            <w:pPr>
              <w:pStyle w:val="TableText"/>
              <w:jc w:val="left"/>
            </w:pPr>
            <w:r>
              <w:rPr>
                <w:lang w:val="en-US" w:eastAsia="en-US" w:bidi="ar-SA"/>
              </w:rPr>
              <w:t>Citric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Salts and esters of citric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2918.16.00</w:t>
            </w:r>
          </w:p>
        </w:tc>
        <w:tc>
          <w:tcPr>
            <w:tcW w:w="4679" w:type="dxa"/>
            <w:tcMar>
              <w:top w:w="70" w:type="dxa"/>
              <w:start w:w="110" w:type="dxa"/>
              <w:bottom w:w="70" w:type="dxa"/>
              <w:end w:w="110" w:type="dxa"/>
            </w:tcMar>
            <w:vAlign w:val="center"/>
          </w:tcPr>
          <w:p>
            <w:pPr>
              <w:pStyle w:val="TableText"/>
              <w:jc w:val="left"/>
            </w:pPr>
            <w:r>
              <w:rPr>
                <w:lang w:val="en-US" w:eastAsia="en-US" w:bidi="ar-SA"/>
              </w:rPr>
              <w:t>Gluconic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2,2-Diphenyl-2-hydroxyacetic acid (benzilic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2918.18.00</w:t>
            </w:r>
          </w:p>
        </w:tc>
        <w:tc>
          <w:tcPr>
            <w:tcW w:w="4679" w:type="dxa"/>
            <w:tcMar>
              <w:top w:w="70" w:type="dxa"/>
              <w:start w:w="110" w:type="dxa"/>
              <w:bottom w:w="70" w:type="dxa"/>
              <w:end w:w="110" w:type="dxa"/>
            </w:tcMar>
            <w:vAlign w:val="center"/>
          </w:tcPr>
          <w:p>
            <w:pPr>
              <w:pStyle w:val="TableText"/>
              <w:jc w:val="left"/>
            </w:pPr>
            <w:r>
              <w:rPr>
                <w:lang w:val="en-US" w:eastAsia="en-US" w:bidi="ar-SA"/>
              </w:rPr>
              <w:t>Chlorobenzilate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2918.21.00</w:t>
            </w:r>
          </w:p>
        </w:tc>
        <w:tc>
          <w:tcPr>
            <w:tcW w:w="4679" w:type="dxa"/>
            <w:tcMar>
              <w:top w:w="70" w:type="dxa"/>
              <w:start w:w="110" w:type="dxa"/>
              <w:bottom w:w="70" w:type="dxa"/>
              <w:end w:w="110" w:type="dxa"/>
            </w:tcMar>
            <w:vAlign w:val="center"/>
          </w:tcPr>
          <w:p>
            <w:pPr>
              <w:pStyle w:val="TableText"/>
              <w:jc w:val="left"/>
            </w:pPr>
            <w:r>
              <w:rPr>
                <w:lang w:val="en-US" w:eastAsia="en-US" w:bidi="ar-SA"/>
              </w:rPr>
              <w:t>Salicylic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 -Acetylsalicylic acid,</w:t>
            </w:r>
          </w:p>
        </w:tc>
      </w:tr>
    </w:tbl>
    <w:p>
      <w:pPr>
        <w:pStyle w:val="Normal"/>
      </w:pPr>
      <w:r>
        <w:t>its salts and esters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2918.23.00</w:t>
            </w:r>
          </w:p>
        </w:tc>
        <w:tc>
          <w:tcPr>
            <w:tcW w:w="4679" w:type="dxa"/>
            <w:tcMar>
              <w:top w:w="70" w:type="dxa"/>
              <w:start w:w="110" w:type="dxa"/>
              <w:bottom w:w="70" w:type="dxa"/>
              <w:end w:w="110" w:type="dxa"/>
            </w:tcMar>
            <w:vAlign w:val="center"/>
          </w:tcPr>
          <w:p>
            <w:pPr>
              <w:pStyle w:val="TableText"/>
              <w:jc w:val="left"/>
            </w:pPr>
            <w:r>
              <w:rPr>
                <w:lang w:val="en-US" w:eastAsia="en-US" w:bidi="ar-SA"/>
              </w:rPr>
              <w:t>Other esters of salicylic acid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2918.30.00</w:t>
            </w:r>
          </w:p>
        </w:tc>
        <w:tc>
          <w:tcPr>
            <w:tcW w:w="4679" w:type="dxa"/>
            <w:tcMar>
              <w:top w:w="70" w:type="dxa"/>
              <w:start w:w="110" w:type="dxa"/>
              <w:bottom w:w="70" w:type="dxa"/>
              <w:end w:w="110" w:type="dxa"/>
            </w:tcMar>
            <w:vAlign w:val="center"/>
          </w:tcPr>
          <w:p>
            <w:pPr>
              <w:pStyle w:val="TableText"/>
              <w:jc w:val="left"/>
            </w:pPr>
            <w:r>
              <w:rPr>
                <w:lang w:val="en-US" w:eastAsia="en-US" w:bidi="ar-SA"/>
              </w:rPr>
              <w:t>Carboxylic acids with aldehyde or ketone function but without other oxygen function, their anhydrides, halides, peroxides, peroxyacids and their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2,4,5-T (ISO) (2,4,5-trichlorophenoxyacetic acid), its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Tris(2,3-dibromopropyl) phosphate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2919.90.00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Parathion (ISO) and parathion-methyl (ISO) (methyl-parathion)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Dimethyl phosphite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2920.22.00</w:t>
            </w:r>
          </w:p>
        </w:tc>
        <w:tc>
          <w:tcPr>
            <w:tcW w:w="4679" w:type="dxa"/>
            <w:tcMar>
              <w:top w:w="70" w:type="dxa"/>
              <w:start w:w="110" w:type="dxa"/>
              <w:bottom w:w="70" w:type="dxa"/>
              <w:end w:w="110" w:type="dxa"/>
            </w:tcMar>
            <w:vAlign w:val="center"/>
          </w:tcPr>
          <w:p>
            <w:pPr>
              <w:pStyle w:val="TableText"/>
              <w:jc w:val="left"/>
            </w:pPr>
            <w:r>
              <w:rPr>
                <w:lang w:val="en-US" w:eastAsia="en-US" w:bidi="ar-SA"/>
              </w:rPr>
              <w:t>Diethyl phosphite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Trimethyl phosphite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2920.24.00</w:t>
            </w:r>
          </w:p>
        </w:tc>
        <w:tc>
          <w:tcPr>
            <w:tcW w:w="4679" w:type="dxa"/>
            <w:tcMar>
              <w:top w:w="70" w:type="dxa"/>
              <w:start w:w="110" w:type="dxa"/>
              <w:bottom w:w="70" w:type="dxa"/>
              <w:end w:w="110" w:type="dxa"/>
            </w:tcMar>
            <w:vAlign w:val="center"/>
          </w:tcPr>
          <w:p>
            <w:pPr>
              <w:pStyle w:val="TableText"/>
              <w:jc w:val="left"/>
            </w:pPr>
            <w:r>
              <w:rPr>
                <w:lang w:val="en-US" w:eastAsia="en-US" w:bidi="ar-SA"/>
              </w:rPr>
              <w:t>Triethyl phosphite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2920.30.00</w:t>
            </w:r>
          </w:p>
        </w:tc>
        <w:tc>
          <w:tcPr>
            <w:tcW w:w="4679" w:type="dxa"/>
            <w:tcMar>
              <w:top w:w="70" w:type="dxa"/>
              <w:start w:w="110" w:type="dxa"/>
              <w:bottom w:w="70" w:type="dxa"/>
              <w:end w:w="110" w:type="dxa"/>
            </w:tcMar>
            <w:vAlign w:val="center"/>
          </w:tcPr>
          <w:p>
            <w:pPr>
              <w:pStyle w:val="TableText"/>
              <w:jc w:val="left"/>
            </w:pPr>
            <w:r>
              <w:rPr>
                <w:lang w:val="en-US" w:eastAsia="en-US" w:bidi="ar-SA"/>
              </w:rPr>
              <w:t>Endosulfan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2921.11.00</w:t>
            </w:r>
          </w:p>
        </w:tc>
        <w:tc>
          <w:tcPr>
            <w:tcW w:w="4679" w:type="dxa"/>
            <w:tcMar>
              <w:top w:w="70" w:type="dxa"/>
              <w:start w:w="110" w:type="dxa"/>
              <w:bottom w:w="70" w:type="dxa"/>
              <w:end w:w="110" w:type="dxa"/>
            </w:tcMar>
            <w:vAlign w:val="center"/>
          </w:tcPr>
          <w:p>
            <w:pPr>
              <w:pStyle w:val="TableText"/>
              <w:jc w:val="left"/>
            </w:pPr>
            <w:r>
              <w:rPr>
                <w:lang w:val="en-US" w:eastAsia="en-US" w:bidi="ar-SA"/>
              </w:rPr>
              <w:t>Methylamine, di- or trimethylamine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2-(N,N-Dimethylamino)ethylchloride hydrochloride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2921.13.00</w:t>
            </w:r>
          </w:p>
        </w:tc>
        <w:tc>
          <w:tcPr>
            <w:tcW w:w="4679" w:type="dxa"/>
            <w:tcMar>
              <w:top w:w="70" w:type="dxa"/>
              <w:start w:w="110" w:type="dxa"/>
              <w:bottom w:w="70" w:type="dxa"/>
              <w:end w:w="110" w:type="dxa"/>
            </w:tcMar>
            <w:vAlign w:val="center"/>
          </w:tcPr>
          <w:p>
            <w:pPr>
              <w:pStyle w:val="TableText"/>
              <w:jc w:val="left"/>
            </w:pPr>
            <w:r>
              <w:rPr>
                <w:lang w:val="en-US" w:eastAsia="en-US" w:bidi="ar-SA"/>
              </w:rPr>
              <w:t>2-(N,N-Diethylamino)ethylchloride hydrochloride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2-(N,N-Diisopropylamino)ethylchloride hydrochloride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Ethylenediamine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2921.22.00</w:t>
            </w:r>
          </w:p>
        </w:tc>
        <w:tc>
          <w:tcPr>
            <w:tcW w:w="4679" w:type="dxa"/>
            <w:tcMar>
              <w:top w:w="70" w:type="dxa"/>
              <w:start w:w="110" w:type="dxa"/>
              <w:bottom w:w="70" w:type="dxa"/>
              <w:end w:w="110" w:type="dxa"/>
            </w:tcMar>
            <w:vAlign w:val="center"/>
          </w:tcPr>
          <w:p>
            <w:pPr>
              <w:pStyle w:val="TableText"/>
              <w:jc w:val="left"/>
            </w:pPr>
            <w:r>
              <w:rPr>
                <w:lang w:val="en-US" w:eastAsia="en-US" w:bidi="ar-SA"/>
              </w:rPr>
              <w:t>Hexamethylenediamine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2921.30.00</w:t>
            </w:r>
          </w:p>
        </w:tc>
        <w:tc>
          <w:tcPr>
            <w:tcW w:w="4679" w:type="dxa"/>
            <w:tcMar>
              <w:top w:w="70" w:type="dxa"/>
              <w:start w:w="110" w:type="dxa"/>
              <w:bottom w:w="70" w:type="dxa"/>
              <w:end w:w="110" w:type="dxa"/>
            </w:tcMar>
            <w:vAlign w:val="center"/>
          </w:tcPr>
          <w:p>
            <w:pPr>
              <w:pStyle w:val="TableText"/>
              <w:jc w:val="left"/>
            </w:pPr>
            <w:r>
              <w:rPr>
                <w:lang w:val="en-US" w:eastAsia="en-US" w:bidi="ar-SA"/>
              </w:rPr>
              <w:t>Cyclanic, cyclenic or cycloterpenic mono- or polyamines, and their derivatives; salts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Aniline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2921.42.00</w:t>
            </w:r>
          </w:p>
        </w:tc>
        <w:tc>
          <w:tcPr>
            <w:tcW w:w="4679" w:type="dxa"/>
            <w:tcMar>
              <w:top w:w="70" w:type="dxa"/>
              <w:start w:w="110" w:type="dxa"/>
              <w:bottom w:w="70" w:type="dxa"/>
              <w:end w:w="110" w:type="dxa"/>
            </w:tcMar>
            <w:vAlign w:val="center"/>
          </w:tcPr>
          <w:p>
            <w:pPr>
              <w:pStyle w:val="TableText"/>
              <w:jc w:val="left"/>
            </w:pPr>
            <w:r>
              <w:rPr>
                <w:lang w:val="en-US" w:eastAsia="en-US" w:bidi="ar-SA"/>
              </w:rPr>
              <w:t>Aniline derivatives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Toluidines and their derivatives;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2921.44.00</w:t>
            </w:r>
          </w:p>
        </w:tc>
        <w:tc>
          <w:tcPr>
            <w:tcW w:w="4679" w:type="dxa"/>
            <w:tcMar>
              <w:top w:w="70" w:type="dxa"/>
              <w:start w:w="110" w:type="dxa"/>
              <w:bottom w:w="70" w:type="dxa"/>
              <w:end w:w="110" w:type="dxa"/>
            </w:tcMar>
            <w:vAlign w:val="center"/>
          </w:tcPr>
          <w:p>
            <w:pPr>
              <w:pStyle w:val="TableText"/>
              <w:jc w:val="left"/>
            </w:pPr>
            <w:r>
              <w:rPr>
                <w:lang w:val="en-US" w:eastAsia="en-US" w:bidi="ar-SA"/>
              </w:rPr>
              <w:t>Diphenylamine and its derivatives; salts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1-Naphthylamine (alpha-naphthylamine), 2-naphthylamine (beta naphthylamine) and their derivatives; salts thereof</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Amfetamine (INN), benzfetamine (INN), dexamfetamine (INN), etilamfetamine (INN), fencamfamin (INN), lefetamine (INN), levamfetamine (INN), mefenorex (INN) and phentermine (INN);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 m-, p -Phenylenediamine, diaminotoluenes, and their derivatives;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Monoethanolamine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2922.12.00</w:t>
            </w:r>
          </w:p>
        </w:tc>
        <w:tc>
          <w:tcPr>
            <w:tcW w:w="4679" w:type="dxa"/>
            <w:tcMar>
              <w:top w:w="70" w:type="dxa"/>
              <w:start w:w="110" w:type="dxa"/>
              <w:bottom w:w="70" w:type="dxa"/>
              <w:end w:w="110" w:type="dxa"/>
            </w:tcMar>
            <w:vAlign w:val="center"/>
          </w:tcPr>
          <w:p>
            <w:pPr>
              <w:pStyle w:val="TableText"/>
              <w:jc w:val="left"/>
            </w:pPr>
            <w:r>
              <w:rPr>
                <w:lang w:val="en-US" w:eastAsia="en-US" w:bidi="ar-SA"/>
              </w:rPr>
              <w:t>Diethanolamine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Dextropropoxyphene (INN)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2922.15.00</w:t>
            </w:r>
          </w:p>
        </w:tc>
        <w:tc>
          <w:tcPr>
            <w:tcW w:w="4679" w:type="dxa"/>
            <w:tcMar>
              <w:top w:w="70" w:type="dxa"/>
              <w:start w:w="110" w:type="dxa"/>
              <w:bottom w:w="70" w:type="dxa"/>
              <w:end w:w="110" w:type="dxa"/>
            </w:tcMar>
            <w:vAlign w:val="center"/>
          </w:tcPr>
          <w:p>
            <w:pPr>
              <w:pStyle w:val="TableText"/>
              <w:jc w:val="left"/>
            </w:pPr>
            <w:r>
              <w:rPr>
                <w:lang w:val="en-US" w:eastAsia="en-US" w:bidi="ar-SA"/>
              </w:rPr>
              <w:t>Triethanolamine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Diethanolammonium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2922.17.00</w:t>
            </w:r>
          </w:p>
        </w:tc>
        <w:tc>
          <w:tcPr>
            <w:tcW w:w="4679" w:type="dxa"/>
            <w:tcMar>
              <w:top w:w="70" w:type="dxa"/>
              <w:start w:w="110" w:type="dxa"/>
              <w:bottom w:w="70" w:type="dxa"/>
              <w:end w:w="110" w:type="dxa"/>
            </w:tcMar>
            <w:vAlign w:val="center"/>
          </w:tcPr>
          <w:p>
            <w:pPr>
              <w:pStyle w:val="TableText"/>
              <w:jc w:val="left"/>
            </w:pPr>
            <w:r>
              <w:rPr>
                <w:lang w:val="en-US" w:eastAsia="en-US" w:bidi="ar-SA"/>
              </w:rPr>
              <w:t>Methyldiethanolamine and ethyldiethanolamine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2922.18.00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2-(N,N-Diisopropylamino)ethanol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Aminohydroxynaphthalenesulphonic acids and their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Amfepramone (INN), methadone (INN) and normethadone (INN);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Lysine and its esters;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2922.42.00</w:t>
            </w:r>
          </w:p>
        </w:tc>
        <w:tc>
          <w:tcPr>
            <w:tcW w:w="4679" w:type="dxa"/>
            <w:tcMar>
              <w:top w:w="70" w:type="dxa"/>
              <w:start w:w="110" w:type="dxa"/>
              <w:bottom w:w="70" w:type="dxa"/>
              <w:end w:w="110" w:type="dxa"/>
            </w:tcMar>
            <w:vAlign w:val="center"/>
          </w:tcPr>
          <w:p>
            <w:pPr>
              <w:pStyle w:val="TableText"/>
              <w:jc w:val="left"/>
            </w:pPr>
            <w:r>
              <w:rPr>
                <w:lang w:val="en-US" w:eastAsia="en-US" w:bidi="ar-SA"/>
              </w:rPr>
              <w:t>Glutamic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Anthranilic acid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2922.44.00</w:t>
            </w:r>
          </w:p>
        </w:tc>
        <w:tc>
          <w:tcPr>
            <w:tcW w:w="4679" w:type="dxa"/>
            <w:tcMar>
              <w:top w:w="70" w:type="dxa"/>
              <w:start w:w="110" w:type="dxa"/>
              <w:bottom w:w="70" w:type="dxa"/>
              <w:end w:w="110" w:type="dxa"/>
            </w:tcMar>
            <w:vAlign w:val="center"/>
          </w:tcPr>
          <w:p>
            <w:pPr>
              <w:pStyle w:val="TableText"/>
              <w:jc w:val="left"/>
            </w:pPr>
            <w:r>
              <w:rPr>
                <w:lang w:val="en-US" w:eastAsia="en-US" w:bidi="ar-SA"/>
              </w:rPr>
              <w:t>Tilidine (INN)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2922.50.00</w:t>
            </w:r>
          </w:p>
        </w:tc>
        <w:tc>
          <w:tcPr>
            <w:tcW w:w="4679" w:type="dxa"/>
            <w:tcMar>
              <w:top w:w="70" w:type="dxa"/>
              <w:start w:w="110" w:type="dxa"/>
              <w:bottom w:w="70" w:type="dxa"/>
              <w:end w:w="110" w:type="dxa"/>
            </w:tcMar>
            <w:vAlign w:val="center"/>
          </w:tcPr>
          <w:p>
            <w:pPr>
              <w:pStyle w:val="TableText"/>
              <w:jc w:val="left"/>
            </w:pPr>
            <w:r>
              <w:rPr>
                <w:lang w:val="en-US" w:eastAsia="en-US" w:bidi="ar-SA"/>
              </w:rPr>
              <w:t>Amino-alcohol-phenols, amino-acid-phenols and other amino- compounds with oxygen function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Choline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2923.20.00</w:t>
            </w:r>
          </w:p>
        </w:tc>
        <w:tc>
          <w:tcPr>
            <w:tcW w:w="4679" w:type="dxa"/>
            <w:tcMar>
              <w:top w:w="70" w:type="dxa"/>
              <w:start w:w="110" w:type="dxa"/>
              <w:bottom w:w="70" w:type="dxa"/>
              <w:end w:w="110" w:type="dxa"/>
            </w:tcMar>
            <w:vAlign w:val="center"/>
          </w:tcPr>
          <w:p>
            <w:pPr>
              <w:pStyle w:val="TableText"/>
              <w:jc w:val="left"/>
            </w:pPr>
            <w:r>
              <w:rPr>
                <w:lang w:val="en-US" w:eastAsia="en-US" w:bidi="ar-SA"/>
              </w:rPr>
              <w:t>Lecithins and other phosphoaminolipids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Tetraethylammonium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2923.40.00</w:t>
            </w:r>
          </w:p>
        </w:tc>
        <w:tc>
          <w:tcPr>
            <w:tcW w:w="4679" w:type="dxa"/>
            <w:tcMar>
              <w:top w:w="70" w:type="dxa"/>
              <w:start w:w="110" w:type="dxa"/>
              <w:bottom w:w="70" w:type="dxa"/>
              <w:end w:w="110" w:type="dxa"/>
            </w:tcMar>
            <w:vAlign w:val="center"/>
          </w:tcPr>
          <w:p>
            <w:pPr>
              <w:pStyle w:val="TableText"/>
              <w:jc w:val="left"/>
            </w:pPr>
            <w:r>
              <w:rPr>
                <w:lang w:val="en-US" w:eastAsia="en-US" w:bidi="ar-SA"/>
              </w:rPr>
              <w:t>Didecyldimethylammonium perfluorooctane sulphonate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2924.11.00</w:t>
            </w:r>
          </w:p>
        </w:tc>
        <w:tc>
          <w:tcPr>
            <w:tcW w:w="4679" w:type="dxa"/>
            <w:tcMar>
              <w:top w:w="70" w:type="dxa"/>
              <w:start w:w="110" w:type="dxa"/>
              <w:bottom w:w="70" w:type="dxa"/>
              <w:end w:w="110" w:type="dxa"/>
            </w:tcMar>
            <w:vAlign w:val="center"/>
          </w:tcPr>
          <w:p>
            <w:pPr>
              <w:pStyle w:val="TableText"/>
              <w:jc w:val="left"/>
            </w:pPr>
            <w:r>
              <w:rPr>
                <w:lang w:val="en-US" w:eastAsia="en-US" w:bidi="ar-SA"/>
              </w:rPr>
              <w:t>Meprobamate (INN)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Fluoroacetamide (ISO), monocrotophos (ISO) and phosphamidon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Ureines and</w:t>
            </w:r>
          </w:p>
        </w:tc>
      </w:tr>
    </w:tbl>
    <w:p>
      <w:pPr>
        <w:pStyle w:val="Normal"/>
      </w:pPr>
      <w:r>
        <w:t>their derivatives; salts thereof</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2924.23.00</w:t>
            </w:r>
          </w:p>
        </w:tc>
        <w:tc>
          <w:tcPr>
            <w:tcW w:w="4679" w:type="dxa"/>
            <w:tcMar>
              <w:top w:w="70" w:type="dxa"/>
              <w:start w:w="110" w:type="dxa"/>
              <w:bottom w:w="70" w:type="dxa"/>
              <w:end w:w="110" w:type="dxa"/>
            </w:tcMar>
            <w:vAlign w:val="center"/>
          </w:tcPr>
          <w:p>
            <w:pPr>
              <w:pStyle w:val="TableText"/>
              <w:jc w:val="left"/>
            </w:pPr>
            <w:r>
              <w:rPr>
                <w:lang w:val="en-US" w:eastAsia="en-US" w:bidi="ar-SA"/>
              </w:rPr>
              <w:t>2-Acetamidobenzoic acid (N-acetylanthranilic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Ethinamate (INN)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2924.25.00</w:t>
            </w:r>
          </w:p>
        </w:tc>
        <w:tc>
          <w:tcPr>
            <w:tcW w:w="4679" w:type="dxa"/>
            <w:tcMar>
              <w:top w:w="70" w:type="dxa"/>
              <w:start w:w="110" w:type="dxa"/>
              <w:bottom w:w="70" w:type="dxa"/>
              <w:end w:w="110" w:type="dxa"/>
            </w:tcMar>
            <w:vAlign w:val="center"/>
          </w:tcPr>
          <w:p>
            <w:pPr>
              <w:pStyle w:val="TableText"/>
              <w:jc w:val="left"/>
            </w:pPr>
            <w:r>
              <w:rPr>
                <w:lang w:val="en-US" w:eastAsia="en-US" w:bidi="ar-SA"/>
              </w:rPr>
              <w:t>Alachlor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2925.11.00</w:t>
            </w:r>
          </w:p>
        </w:tc>
        <w:tc>
          <w:tcPr>
            <w:tcW w:w="4679" w:type="dxa"/>
            <w:tcMar>
              <w:top w:w="70" w:type="dxa"/>
              <w:start w:w="110" w:type="dxa"/>
              <w:bottom w:w="70" w:type="dxa"/>
              <w:end w:w="110" w:type="dxa"/>
            </w:tcMar>
            <w:vAlign w:val="center"/>
          </w:tcPr>
          <w:p>
            <w:pPr>
              <w:pStyle w:val="TableText"/>
              <w:jc w:val="left"/>
            </w:pPr>
            <w:r>
              <w:rPr>
                <w:lang w:val="en-US" w:eastAsia="en-US" w:bidi="ar-SA"/>
              </w:rPr>
              <w:t>Saccharin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Glutethimide (INN)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Chlordimeform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Acrylonitrile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2926.20.00</w:t>
            </w:r>
          </w:p>
        </w:tc>
        <w:tc>
          <w:tcPr>
            <w:tcW w:w="4679" w:type="dxa"/>
            <w:tcMar>
              <w:top w:w="70" w:type="dxa"/>
              <w:start w:w="110" w:type="dxa"/>
              <w:bottom w:w="70" w:type="dxa"/>
              <w:end w:w="110" w:type="dxa"/>
            </w:tcMar>
            <w:vAlign w:val="center"/>
          </w:tcPr>
          <w:p>
            <w:pPr>
              <w:pStyle w:val="TableText"/>
              <w:jc w:val="left"/>
            </w:pPr>
            <w:r>
              <w:rPr>
                <w:lang w:val="en-US" w:eastAsia="en-US" w:bidi="ar-SA"/>
              </w:rPr>
              <w:t>1-Cyanoguanidine (dicyandiamide)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Fenproporex (INN) and its salts; methadone (INN) intermediate (4-cyano-2-dimethylamino-4,4-diphenylbutane)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2926.40.00</w:t>
            </w:r>
          </w:p>
        </w:tc>
        <w:tc>
          <w:tcPr>
            <w:tcW w:w="4679" w:type="dxa"/>
            <w:tcMar>
              <w:top w:w="70" w:type="dxa"/>
              <w:start w:w="110" w:type="dxa"/>
              <w:bottom w:w="70" w:type="dxa"/>
              <w:end w:w="110" w:type="dxa"/>
            </w:tcMar>
            <w:vAlign w:val="center"/>
          </w:tcPr>
          <w:p>
            <w:pPr>
              <w:pStyle w:val="TableText"/>
              <w:jc w:val="left"/>
            </w:pPr>
            <w:r>
              <w:rPr>
                <w:lang w:val="en-US" w:eastAsia="en-US" w:bidi="ar-SA"/>
              </w:rPr>
              <w:t>alpha-Phenylacetoacetonitrile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2927.00.00</w:t>
            </w:r>
          </w:p>
        </w:tc>
        <w:tc>
          <w:tcPr>
            <w:tcW w:w="4679" w:type="dxa"/>
            <w:tcMar>
              <w:top w:w="70" w:type="dxa"/>
              <w:start w:w="110" w:type="dxa"/>
              <w:bottom w:w="70" w:type="dxa"/>
              <w:end w:w="110" w:type="dxa"/>
            </w:tcMar>
            <w:vAlign w:val="center"/>
          </w:tcPr>
          <w:p>
            <w:pPr>
              <w:pStyle w:val="TableText"/>
              <w:jc w:val="left"/>
            </w:pPr>
            <w:r>
              <w:rPr>
                <w:lang w:val="en-US" w:eastAsia="en-US" w:bidi="ar-SA"/>
              </w:rPr>
              <w:t>Diazo-, azo- or azoxy-compounds.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2928.00.00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Organic derivatives of hydrazine or of hydroxylamine.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2929.10.00</w:t>
            </w:r>
          </w:p>
        </w:tc>
        <w:tc>
          <w:tcPr>
            <w:tcW w:w="4679" w:type="dxa"/>
            <w:tcMar>
              <w:top w:w="70" w:type="dxa"/>
              <w:start w:w="110" w:type="dxa"/>
              <w:bottom w:w="70" w:type="dxa"/>
              <w:end w:w="110" w:type="dxa"/>
            </w:tcMar>
            <w:vAlign w:val="center"/>
          </w:tcPr>
          <w:p>
            <w:pPr>
              <w:pStyle w:val="TableText"/>
              <w:jc w:val="left"/>
            </w:pPr>
            <w:r>
              <w:rPr>
                <w:lang w:val="en-US" w:eastAsia="en-US" w:bidi="ar-SA"/>
              </w:rPr>
              <w:t>Isocyanates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2930.20.00</w:t>
            </w:r>
          </w:p>
        </w:tc>
        <w:tc>
          <w:tcPr>
            <w:tcW w:w="4679" w:type="dxa"/>
            <w:tcMar>
              <w:top w:w="70" w:type="dxa"/>
              <w:start w:w="110" w:type="dxa"/>
              <w:bottom w:w="70" w:type="dxa"/>
              <w:end w:w="110" w:type="dxa"/>
            </w:tcMar>
            <w:vAlign w:val="center"/>
          </w:tcPr>
          <w:p>
            <w:pPr>
              <w:pStyle w:val="TableText"/>
              <w:jc w:val="left"/>
            </w:pPr>
            <w:r>
              <w:rPr>
                <w:lang w:val="en-US" w:eastAsia="en-US" w:bidi="ar-SA"/>
              </w:rPr>
              <w:t>Thiocarbamates and dithiocarbamates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Thiuram mono-, di- or tetrasulphides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2930.40.00</w:t>
            </w:r>
          </w:p>
        </w:tc>
        <w:tc>
          <w:tcPr>
            <w:tcW w:w="4679" w:type="dxa"/>
            <w:tcMar>
              <w:top w:w="70" w:type="dxa"/>
              <w:start w:w="110" w:type="dxa"/>
              <w:bottom w:w="70" w:type="dxa"/>
              <w:end w:w="110" w:type="dxa"/>
            </w:tcMar>
            <w:vAlign w:val="center"/>
          </w:tcPr>
          <w:p>
            <w:pPr>
              <w:pStyle w:val="TableText"/>
              <w:jc w:val="left"/>
            </w:pPr>
            <w:r>
              <w:rPr>
                <w:lang w:val="en-US" w:eastAsia="en-US" w:bidi="ar-SA"/>
              </w:rPr>
              <w:t>Methionine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2930.60.00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2-(N,N-Diethylamino)ethanethiol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2930.70.00</w:t>
            </w:r>
          </w:p>
        </w:tc>
        <w:tc>
          <w:tcPr>
            <w:tcW w:w="4679" w:type="dxa"/>
            <w:tcMar>
              <w:top w:w="70" w:type="dxa"/>
              <w:start w:w="110" w:type="dxa"/>
              <w:bottom w:w="70" w:type="dxa"/>
              <w:end w:w="110" w:type="dxa"/>
            </w:tcMar>
            <w:vAlign w:val="center"/>
          </w:tcPr>
          <w:p>
            <w:pPr>
              <w:pStyle w:val="TableText"/>
              <w:jc w:val="left"/>
            </w:pPr>
            <w:r>
              <w:rPr>
                <w:lang w:val="en-US" w:eastAsia="en-US" w:bidi="ar-SA"/>
              </w:rPr>
              <w:t>Bis(2-hydroxyethyl)sulfide (thiodiglycol (INN))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2930.80.00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Aldicarb (ISO), captafol (ISO) and methamidophos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Tetramethyl lead and tetraethyl lead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2931.20.00</w:t>
            </w:r>
          </w:p>
        </w:tc>
        <w:tc>
          <w:tcPr>
            <w:tcW w:w="4679" w:type="dxa"/>
            <w:tcMar>
              <w:top w:w="70" w:type="dxa"/>
              <w:start w:w="110" w:type="dxa"/>
              <w:bottom w:w="70" w:type="dxa"/>
              <w:end w:w="110" w:type="dxa"/>
            </w:tcMar>
            <w:vAlign w:val="center"/>
          </w:tcPr>
          <w:p>
            <w:pPr>
              <w:pStyle w:val="TableText"/>
              <w:jc w:val="left"/>
            </w:pPr>
            <w:r>
              <w:rPr>
                <w:lang w:val="en-US" w:eastAsia="en-US" w:bidi="ar-SA"/>
              </w:rPr>
              <w:t>Tibutyltin compounds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Dimethyl methylphosphonate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2931.32.00</w:t>
            </w:r>
          </w:p>
        </w:tc>
        <w:tc>
          <w:tcPr>
            <w:tcW w:w="4679" w:type="dxa"/>
            <w:tcMar>
              <w:top w:w="70" w:type="dxa"/>
              <w:start w:w="110" w:type="dxa"/>
              <w:bottom w:w="70" w:type="dxa"/>
              <w:end w:w="110" w:type="dxa"/>
            </w:tcMar>
            <w:vAlign w:val="center"/>
          </w:tcPr>
          <w:p>
            <w:pPr>
              <w:pStyle w:val="TableText"/>
              <w:jc w:val="left"/>
            </w:pPr>
            <w:r>
              <w:rPr>
                <w:lang w:val="en-US" w:eastAsia="en-US" w:bidi="ar-SA"/>
              </w:rPr>
              <w:t>Dimethyl propylphosphonate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Diethyl ethylphosphonate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2931.34.00</w:t>
            </w:r>
          </w:p>
        </w:tc>
        <w:tc>
          <w:tcPr>
            <w:tcW w:w="4679" w:type="dxa"/>
            <w:tcMar>
              <w:top w:w="70" w:type="dxa"/>
              <w:start w:w="110" w:type="dxa"/>
              <w:bottom w:w="70" w:type="dxa"/>
              <w:end w:w="110" w:type="dxa"/>
            </w:tcMar>
            <w:vAlign w:val="center"/>
          </w:tcPr>
          <w:p>
            <w:pPr>
              <w:pStyle w:val="TableText"/>
              <w:jc w:val="left"/>
            </w:pPr>
            <w:r>
              <w:rPr>
                <w:lang w:val="en-US" w:eastAsia="en-US" w:bidi="ar-SA"/>
              </w:rPr>
              <w:t>Sodium 3-(trihydroxysilyl)propyl methylphosphonate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2,4,6-Tripropyl-1,3,5,2,4,6-trioxatriphosphinane 2,4,6-trioxide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2931.36.00</w:t>
            </w:r>
          </w:p>
        </w:tc>
        <w:tc>
          <w:tcPr>
            <w:tcW w:w="4679" w:type="dxa"/>
            <w:tcMar>
              <w:top w:w="70" w:type="dxa"/>
              <w:start w:w="110" w:type="dxa"/>
              <w:bottom w:w="70" w:type="dxa"/>
              <w:end w:w="110" w:type="dxa"/>
            </w:tcMar>
            <w:vAlign w:val="center"/>
          </w:tcPr>
          <w:p>
            <w:pPr>
              <w:pStyle w:val="TableText"/>
              <w:jc w:val="left"/>
            </w:pPr>
            <w:r>
              <w:rPr>
                <w:lang w:val="en-US" w:eastAsia="en-US" w:bidi="ar-SA"/>
              </w:rPr>
              <w:t>(5-Ethyl-2-methyl-2-oxido-1,3,2-dioxaphosphinan-5-yl)methyl methyl methylphosphonate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Bis[(5-ethyl-2-methyl-2-oxido-1,3,2-dioxaphosphinan-5</w:t>
            </w:r>
          </w:p>
        </w:tc>
      </w:tr>
    </w:tbl>
    <w:p>
      <w:pPr>
        <w:pStyle w:val="Normal"/>
      </w:pPr>
      <w:r>
        <w:t>yl)methyl] methylphosphonate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2931.38.00</w:t>
            </w:r>
          </w:p>
        </w:tc>
        <w:tc>
          <w:tcPr>
            <w:tcW w:w="4679" w:type="dxa"/>
            <w:tcMar>
              <w:top w:w="70" w:type="dxa"/>
              <w:start w:w="110" w:type="dxa"/>
              <w:bottom w:w="70" w:type="dxa"/>
              <w:end w:w="110" w:type="dxa"/>
            </w:tcMar>
            <w:vAlign w:val="center"/>
          </w:tcPr>
          <w:p>
            <w:pPr>
              <w:pStyle w:val="TableText"/>
              <w:jc w:val="left"/>
            </w:pPr>
            <w:r>
              <w:rPr>
                <w:lang w:val="en-US" w:eastAsia="en-US" w:bidi="ar-SA"/>
              </w:rPr>
              <w:t>Salt of methylphosphonic acid and (aminoiminomethyl)urea (1:1)</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Tetrahydrofuran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2932.12.00</w:t>
            </w:r>
          </w:p>
        </w:tc>
        <w:tc>
          <w:tcPr>
            <w:tcW w:w="4679" w:type="dxa"/>
            <w:tcMar>
              <w:top w:w="70" w:type="dxa"/>
              <w:start w:w="110" w:type="dxa"/>
              <w:bottom w:w="70" w:type="dxa"/>
              <w:end w:w="110" w:type="dxa"/>
            </w:tcMar>
            <w:vAlign w:val="center"/>
          </w:tcPr>
          <w:p>
            <w:pPr>
              <w:pStyle w:val="TableText"/>
              <w:jc w:val="left"/>
            </w:pPr>
            <w:r>
              <w:rPr>
                <w:lang w:val="en-US" w:eastAsia="en-US" w:bidi="ar-SA"/>
              </w:rPr>
              <w:t>2-Furaldehyde (furfuraldehyde)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Furfuryl alcohol and tetrahydrofurfuryl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2932.14.00</w:t>
            </w:r>
          </w:p>
        </w:tc>
        <w:tc>
          <w:tcPr>
            <w:tcW w:w="4679" w:type="dxa"/>
            <w:tcMar>
              <w:top w:w="70" w:type="dxa"/>
              <w:start w:w="110" w:type="dxa"/>
              <w:bottom w:w="70" w:type="dxa"/>
              <w:end w:w="110" w:type="dxa"/>
            </w:tcMar>
            <w:vAlign w:val="center"/>
          </w:tcPr>
          <w:p>
            <w:pPr>
              <w:pStyle w:val="TableText"/>
              <w:jc w:val="left"/>
            </w:pPr>
            <w:r>
              <w:rPr>
                <w:lang w:val="en-US" w:eastAsia="en-US" w:bidi="ar-SA"/>
              </w:rPr>
              <w:t>Sucralose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2932.20.00</w:t>
            </w:r>
          </w:p>
        </w:tc>
        <w:tc>
          <w:tcPr>
            <w:tcW w:w="4679" w:type="dxa"/>
            <w:tcMar>
              <w:top w:w="70" w:type="dxa"/>
              <w:start w:w="110" w:type="dxa"/>
              <w:bottom w:w="70" w:type="dxa"/>
              <w:end w:w="110" w:type="dxa"/>
            </w:tcMar>
            <w:vAlign w:val="center"/>
          </w:tcPr>
          <w:p>
            <w:pPr>
              <w:pStyle w:val="TableText"/>
              <w:jc w:val="left"/>
            </w:pPr>
            <w:r>
              <w:rPr>
                <w:lang w:val="en-US" w:eastAsia="en-US" w:bidi="ar-SA"/>
              </w:rPr>
              <w:t>Lactones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Isosafrole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2932.92.00</w:t>
            </w:r>
          </w:p>
        </w:tc>
        <w:tc>
          <w:tcPr>
            <w:tcW w:w="4679" w:type="dxa"/>
            <w:tcMar>
              <w:top w:w="70" w:type="dxa"/>
              <w:start w:w="110" w:type="dxa"/>
              <w:bottom w:w="70" w:type="dxa"/>
              <w:end w:w="110" w:type="dxa"/>
            </w:tcMar>
            <w:vAlign w:val="center"/>
          </w:tcPr>
          <w:p>
            <w:pPr>
              <w:pStyle w:val="TableText"/>
              <w:jc w:val="left"/>
            </w:pPr>
            <w:r>
              <w:rPr>
                <w:lang w:val="en-US" w:eastAsia="en-US" w:bidi="ar-SA"/>
              </w:rPr>
              <w:t>1-(1,3-Benzodioxol-5-yl)propan-2-one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2932.93.00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Piperonal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2932.94.00</w:t>
            </w:r>
          </w:p>
        </w:tc>
        <w:tc>
          <w:tcPr>
            <w:tcW w:w="4679" w:type="dxa"/>
            <w:tcMar>
              <w:top w:w="70" w:type="dxa"/>
              <w:start w:w="110" w:type="dxa"/>
              <w:bottom w:w="70" w:type="dxa"/>
              <w:end w:w="110" w:type="dxa"/>
            </w:tcMar>
            <w:vAlign w:val="center"/>
          </w:tcPr>
          <w:p>
            <w:pPr>
              <w:pStyle w:val="TableText"/>
              <w:jc w:val="left"/>
            </w:pPr>
            <w:r>
              <w:rPr>
                <w:lang w:val="en-US" w:eastAsia="en-US" w:bidi="ar-SA"/>
              </w:rPr>
              <w:t>Safrole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2932.95.00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Tetrahydrocannabinols (all isomers)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Phenazone (antipyrin)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Hydantoin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Pyridine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2933.32.00</w:t>
            </w:r>
          </w:p>
        </w:tc>
        <w:tc>
          <w:tcPr>
            <w:tcW w:w="4679" w:type="dxa"/>
            <w:tcMar>
              <w:top w:w="70" w:type="dxa"/>
              <w:start w:w="110" w:type="dxa"/>
              <w:bottom w:w="70" w:type="dxa"/>
              <w:end w:w="110" w:type="dxa"/>
            </w:tcMar>
            <w:vAlign w:val="center"/>
          </w:tcPr>
          <w:p>
            <w:pPr>
              <w:pStyle w:val="TableText"/>
              <w:jc w:val="left"/>
            </w:pPr>
            <w:r>
              <w:rPr>
                <w:lang w:val="en-US" w:eastAsia="en-US" w:bidi="ar-SA"/>
              </w:rPr>
              <w:t>Piperidine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Alfentanil (INN), anileridine (INN), bezitramide (INN), bromazepam (INN), difenoxin (INN), diphenoxylate (INN), dipipanone (INN), fentanyl (INN), ketobemidone (INN), methylphenidate (INN), pentazocine (INN), pethidine (INN), pethidine (INN) intermediate A, phencyclidine (INN) (PCP), phenoperidine (INN), pipradrol (INN), piritramide (INN), propiram (INN) and trimeperidine (INN);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Levorphanol (INN)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Malonylurea (barbituric acid)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2933.53.00</w:t>
            </w:r>
          </w:p>
        </w:tc>
        <w:tc>
          <w:tcPr>
            <w:tcW w:w="4679" w:type="dxa"/>
            <w:tcMar>
              <w:top w:w="70" w:type="dxa"/>
              <w:start w:w="110" w:type="dxa"/>
              <w:bottom w:w="70" w:type="dxa"/>
              <w:end w:w="110" w:type="dxa"/>
            </w:tcMar>
            <w:vAlign w:val="center"/>
          </w:tcPr>
          <w:p>
            <w:pPr>
              <w:pStyle w:val="TableText"/>
              <w:jc w:val="left"/>
            </w:pPr>
            <w:r>
              <w:rPr>
                <w:lang w:val="en-US" w:eastAsia="en-US" w:bidi="ar-SA"/>
              </w:rPr>
              <w:t>Allobarbital (INN), amobarbital (INN), barbital (INN), butalbital (INN), butobarbital, cyclobarbital (INN), methylphenobarbital (INN), pentobarbital (INN), phenobarbital (INN), secbutabarbital (INN), secobarbital (INN) and vinylbital (INN); salts thereof</w:t>
            </w:r>
          </w:p>
        </w:tc>
      </w:tr>
    </w:tbl>
    <w:p>
      <w:pPr>
        <w:pStyle w:val="Normal"/>
      </w:pPr>
      <w:r>
        <w:t>2933.54.00 Other derivatives of malonylurea (barbituric acid); salts thereof 2933.55.00 Loprazolam (INN), mecloqualone (INN), methaqualone (INN) and zipeprol (INN); salts thereof 2933.59.00 Other 2933.61.00 Melamine 2933.69.00 Other 2933.71.00 6-Hexanelactam (epsilon-caprolactam) 2933.72.00 Clobazam (INN) and methyprylon (INN) 2933.79.00 Other lactams 2933.91.00 Alprazolam (INN), camazepam (INN), chlordiazepoxide (INN), clonazepam (INN), clorazepate, delorazepam (INN), diazepam (INN), estazolam (INN), ethyl loflazepate (INN), fludiazepam (INN), flunitrazepam (INN), flurazepam (INN), halazepam (INN), lorazepam (INN), lormetazepam (INN), mazindol (INN), medazepam (INN), midazolam (INN), nimetazepam (INN), nitrazepam (INN), nordazepam (INN), oxazepam (INN), pinazepam (INN), prazepam (INN), pyrovalerone (INN), temazepam (INN), tetrazepam (INN) and triazolam (INN); salts thereof 2933.92.00 Azinphos-methyl (ISO) 2933.99.00 Other 2934.10.00 Compounds containing an unfused thiazole ring (whether or not hydrogenated) in the structure 2934.20.00 Compounds containing in the structure a benzothiazole ring- system (whether or not hydrogenated), not further fused 2934.30.00 Compounds containing in the structure a phenothiazine ring- system (whether or not hydrogenated), not further fused 2934.91.00 Aminorex (INN), brotizolam (INN), clotiazepam (INN), cloxazolam (INN), dextromoramide (INN), haloxazolam (INN), ketazolam (INN), mesocarb (INN), oxazolam (INN), pemoline (INN), phendimetrazine</w:t>
      </w:r>
    </w:p>
    <w:p>
      <w:pPr>
        <w:pStyle w:val="Normal"/>
      </w:pPr>
      <w:r>
        <w:t>(INN), phenmetrazine (INN) and sufentanil (INN); salts thereof</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2934.99.00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N-Methylperfluorooctane sulphonamide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2935.20.00</w:t>
            </w:r>
          </w:p>
        </w:tc>
        <w:tc>
          <w:tcPr>
            <w:tcW w:w="4679" w:type="dxa"/>
            <w:tcMar>
              <w:top w:w="70" w:type="dxa"/>
              <w:start w:w="110" w:type="dxa"/>
              <w:bottom w:w="70" w:type="dxa"/>
              <w:end w:w="110" w:type="dxa"/>
            </w:tcMar>
            <w:vAlign w:val="center"/>
          </w:tcPr>
          <w:p>
            <w:pPr>
              <w:pStyle w:val="TableText"/>
              <w:jc w:val="left"/>
            </w:pPr>
            <w:r>
              <w:rPr>
                <w:lang w:val="en-US" w:eastAsia="en-US" w:bidi="ar-SA"/>
              </w:rPr>
              <w:t>N-Ethylperfluorooctane sulphonamide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N-Ethyl-N-(2-hydroxyethyl) perfluorooctane sulphonamide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2935.40.00</w:t>
            </w:r>
          </w:p>
        </w:tc>
        <w:tc>
          <w:tcPr>
            <w:tcW w:w="4679" w:type="dxa"/>
            <w:tcMar>
              <w:top w:w="70" w:type="dxa"/>
              <w:start w:w="110" w:type="dxa"/>
              <w:bottom w:w="70" w:type="dxa"/>
              <w:end w:w="110" w:type="dxa"/>
            </w:tcMar>
            <w:vAlign w:val="center"/>
          </w:tcPr>
          <w:p>
            <w:pPr>
              <w:pStyle w:val="TableText"/>
              <w:jc w:val="left"/>
            </w:pPr>
            <w:r>
              <w:rPr>
                <w:lang w:val="en-US" w:eastAsia="en-US" w:bidi="ar-SA"/>
              </w:rPr>
              <w:t>N-(2-Hydroxyethyl)-N-methylperfluorooctane sulphonamide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perfluorooctane sulphonamides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Vitamins A and their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2936.22.00</w:t>
            </w:r>
          </w:p>
        </w:tc>
        <w:tc>
          <w:tcPr>
            <w:tcW w:w="4679" w:type="dxa"/>
            <w:tcMar>
              <w:top w:w="70" w:type="dxa"/>
              <w:start w:w="110" w:type="dxa"/>
              <w:bottom w:w="70" w:type="dxa"/>
              <w:end w:w="110" w:type="dxa"/>
            </w:tcMar>
            <w:vAlign w:val="center"/>
          </w:tcPr>
          <w:p>
            <w:pPr>
              <w:pStyle w:val="TableText"/>
              <w:jc w:val="left"/>
            </w:pPr>
            <w:r>
              <w:rPr>
                <w:lang w:val="en-US" w:eastAsia="en-US" w:bidi="ar-SA"/>
              </w:rPr>
              <w:t>Vitamin B1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 B2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2936.24.00</w:t>
            </w:r>
          </w:p>
        </w:tc>
        <w:tc>
          <w:tcPr>
            <w:tcW w:w="4679" w:type="dxa"/>
            <w:tcMar>
              <w:top w:w="70" w:type="dxa"/>
              <w:start w:w="110" w:type="dxa"/>
              <w:bottom w:w="70" w:type="dxa"/>
              <w:end w:w="110" w:type="dxa"/>
            </w:tcMar>
            <w:vAlign w:val="center"/>
          </w:tcPr>
          <w:p>
            <w:pPr>
              <w:pStyle w:val="TableText"/>
              <w:jc w:val="left"/>
            </w:pPr>
            <w:r>
              <w:rPr>
                <w:lang w:val="en-US" w:eastAsia="en-US" w:bidi="ar-SA"/>
              </w:rPr>
              <w:t>D- or DL-Pantothenic acid (Vitamin B3 or Vitamin B5)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 B6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2936.26.00</w:t>
            </w:r>
          </w:p>
        </w:tc>
        <w:tc>
          <w:tcPr>
            <w:tcW w:w="4679" w:type="dxa"/>
            <w:tcMar>
              <w:top w:w="70" w:type="dxa"/>
              <w:start w:w="110" w:type="dxa"/>
              <w:bottom w:w="70" w:type="dxa"/>
              <w:end w:w="110" w:type="dxa"/>
            </w:tcMar>
            <w:vAlign w:val="center"/>
          </w:tcPr>
          <w:p>
            <w:pPr>
              <w:pStyle w:val="TableText"/>
              <w:jc w:val="left"/>
            </w:pPr>
            <w:r>
              <w:rPr>
                <w:lang w:val="en-US" w:eastAsia="en-US" w:bidi="ar-SA"/>
              </w:rPr>
              <w:t>Vitamin B12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 C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2936.28.00</w:t>
            </w:r>
          </w:p>
        </w:tc>
        <w:tc>
          <w:tcPr>
            <w:tcW w:w="4679" w:type="dxa"/>
            <w:tcMar>
              <w:top w:w="70" w:type="dxa"/>
              <w:start w:w="110" w:type="dxa"/>
              <w:bottom w:w="70" w:type="dxa"/>
              <w:end w:w="110" w:type="dxa"/>
            </w:tcMar>
            <w:vAlign w:val="center"/>
          </w:tcPr>
          <w:p>
            <w:pPr>
              <w:pStyle w:val="TableText"/>
              <w:jc w:val="left"/>
            </w:pPr>
            <w:r>
              <w:rPr>
                <w:lang w:val="en-US" w:eastAsia="en-US" w:bidi="ar-SA"/>
              </w:rPr>
              <w:t>Vitamin E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vitamins and their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2936.90.00</w:t>
            </w:r>
          </w:p>
        </w:tc>
        <w:tc>
          <w:tcPr>
            <w:tcW w:w="4679" w:type="dxa"/>
            <w:tcMar>
              <w:top w:w="70" w:type="dxa"/>
              <w:start w:w="110" w:type="dxa"/>
              <w:bottom w:w="70" w:type="dxa"/>
              <w:end w:w="110" w:type="dxa"/>
            </w:tcMar>
            <w:vAlign w:val="center"/>
          </w:tcPr>
          <w:p>
            <w:pPr>
              <w:pStyle w:val="TableText"/>
              <w:jc w:val="left"/>
            </w:pPr>
            <w:r>
              <w:rPr>
                <w:lang w:val="en-US" w:eastAsia="en-US" w:bidi="ar-SA"/>
              </w:rPr>
              <w:t>Other, including natural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Somatotropin, its derivatives and structural analogues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2937.12.00</w:t>
            </w:r>
          </w:p>
        </w:tc>
        <w:tc>
          <w:tcPr>
            <w:tcW w:w="4679" w:type="dxa"/>
            <w:tcMar>
              <w:top w:w="70" w:type="dxa"/>
              <w:start w:w="110" w:type="dxa"/>
              <w:bottom w:w="70" w:type="dxa"/>
              <w:end w:w="110" w:type="dxa"/>
            </w:tcMar>
            <w:vAlign w:val="center"/>
          </w:tcPr>
          <w:p>
            <w:pPr>
              <w:pStyle w:val="TableText"/>
              <w:jc w:val="left"/>
            </w:pPr>
            <w:r>
              <w:rPr>
                <w:lang w:val="en-US" w:eastAsia="en-US" w:bidi="ar-SA"/>
              </w:rPr>
              <w:t>Insulin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2937.21.00</w:t>
            </w:r>
          </w:p>
        </w:tc>
        <w:tc>
          <w:tcPr>
            <w:tcW w:w="4679" w:type="dxa"/>
            <w:tcMar>
              <w:top w:w="70" w:type="dxa"/>
              <w:start w:w="110" w:type="dxa"/>
              <w:bottom w:w="70" w:type="dxa"/>
              <w:end w:w="110" w:type="dxa"/>
            </w:tcMar>
            <w:vAlign w:val="center"/>
          </w:tcPr>
          <w:p>
            <w:pPr>
              <w:pStyle w:val="TableText"/>
              <w:jc w:val="left"/>
            </w:pPr>
            <w:r>
              <w:rPr>
                <w:lang w:val="en-US" w:eastAsia="en-US" w:bidi="ar-SA"/>
              </w:rPr>
              <w:t>Cortisone, hydrocortisone, prednisone (dehydrocortisone) and prednisolone (dehydrohydrocortisone)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Halogenated derivatives of corticosteroidal hormones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2937.23.00</w:t>
            </w:r>
          </w:p>
        </w:tc>
        <w:tc>
          <w:tcPr>
            <w:tcW w:w="4679" w:type="dxa"/>
            <w:tcMar>
              <w:top w:w="70" w:type="dxa"/>
              <w:start w:w="110" w:type="dxa"/>
              <w:bottom w:w="70" w:type="dxa"/>
              <w:end w:w="110" w:type="dxa"/>
            </w:tcMar>
            <w:vAlign w:val="center"/>
          </w:tcPr>
          <w:p>
            <w:pPr>
              <w:pStyle w:val="TableText"/>
              <w:jc w:val="left"/>
            </w:pPr>
            <w:r>
              <w:rPr>
                <w:lang w:val="en-US" w:eastAsia="en-US" w:bidi="ar-SA"/>
              </w:rPr>
              <w:t>Oestrogens and progestogens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2937.50.00</w:t>
            </w:r>
          </w:p>
        </w:tc>
        <w:tc>
          <w:tcPr>
            <w:tcW w:w="4679" w:type="dxa"/>
            <w:tcMar>
              <w:top w:w="70" w:type="dxa"/>
              <w:start w:w="110" w:type="dxa"/>
              <w:bottom w:w="70" w:type="dxa"/>
              <w:end w:w="110" w:type="dxa"/>
            </w:tcMar>
            <w:vAlign w:val="center"/>
          </w:tcPr>
          <w:p>
            <w:pPr>
              <w:pStyle w:val="TableText"/>
              <w:jc w:val="left"/>
            </w:pPr>
            <w:r>
              <w:rPr>
                <w:lang w:val="en-US" w:eastAsia="en-US" w:bidi="ar-SA"/>
              </w:rPr>
              <w:t>Prostaglandins, thromboxanes and leukotrienes, their derivatives and structural analogues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2938.10.00</w:t>
            </w:r>
          </w:p>
        </w:tc>
        <w:tc>
          <w:tcPr>
            <w:tcW w:w="4679" w:type="dxa"/>
            <w:tcMar>
              <w:top w:w="70" w:type="dxa"/>
              <w:start w:w="110" w:type="dxa"/>
              <w:bottom w:w="70" w:type="dxa"/>
              <w:end w:w="110" w:type="dxa"/>
            </w:tcMar>
            <w:vAlign w:val="center"/>
          </w:tcPr>
          <w:p>
            <w:pPr>
              <w:pStyle w:val="TableText"/>
              <w:jc w:val="left"/>
            </w:pPr>
            <w:r>
              <w:rPr>
                <w:lang w:val="en-US" w:eastAsia="en-US" w:bidi="ar-SA"/>
              </w:rPr>
              <w:t>Rutoside (rutin)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2938.90.00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2939.11.00</w:t>
            </w:r>
          </w:p>
        </w:tc>
        <w:tc>
          <w:tcPr>
            <w:tcW w:w="4679" w:type="dxa"/>
            <w:tcMar>
              <w:top w:w="70" w:type="dxa"/>
              <w:start w:w="110" w:type="dxa"/>
              <w:bottom w:w="70" w:type="dxa"/>
              <w:end w:w="110" w:type="dxa"/>
            </w:tcMar>
            <w:vAlign w:val="center"/>
          </w:tcPr>
          <w:p>
            <w:pPr>
              <w:pStyle w:val="TableText"/>
              <w:jc w:val="left"/>
            </w:pPr>
            <w:r>
              <w:rPr>
                <w:lang w:val="en-US" w:eastAsia="en-US" w:bidi="ar-SA"/>
              </w:rPr>
              <w:t>Concentrates of poppy straw; buprenorphine (INN), codeine, dihydrocodeine (INN), ethylmorphine, etorphine</w:t>
            </w:r>
          </w:p>
        </w:tc>
      </w:tr>
    </w:tbl>
    <w:p>
      <w:pPr>
        <w:pStyle w:val="Normal"/>
      </w:pPr>
      <w:r>
        <w:t>(INN), heroin, hydrocodone (INN), hydromorphone (INN), morphine, nicomorphine (INN), oxycodone (INN), oxymorphone (INN), pholcodine (INN), thebacon (INN) and thebaine; salts thereof 2939.19.00 Other 2939.20.00 Alkaloids of cinchona and their derivatives; salts thereof 2939.30.00 Caffeine and its salts 2939.41.00 Ephedrine and its salts 2939.42.00 Pseudoephedrine (INN) and its salts 2939.43.00 Cathine (INN) and its salts 2939.44.00 Norephendrine and its salts 2939.49.00 Other 2939.51.00 Fenetylline (INN) and its salts 2939.59.00 Other 2939.61.00 Ergometrine (INN) and its salts 2939.62.00 Ergotamine (INN) and its salts 2939.63.00 Lysergic acid and its salts 2939.69.00 Other 2939.71.00 Cocaine, ecgonine, levometamfetamine, metamfetamine (INN), metamfetamine racemate; salts, esters and other derivatives thereof 2939.79.00 Other 2939.80.00 Other 2940.00.00 Sugars, chemically pure, other than sucrose, lactose, maltose, glucose and fructose; sugar ethers, sugar acetals and sugar esters, and their salts, other than products of heading 29.37, 29.38 or 29.39. 2941.10.00 Penicillins and their derivatives with a penicillanic acid structure; salts thereof 2941.20.00 Streptomycins and their derivatives; salts thereof 2941.30.00 Tetracyclines and their derivatives; salts thereof 2941.40.00 Chloramphenicol and its derivatives; salts thereof 2941.50.00 Erythromycin and its derivatives; salts thereof 2941.90.00 Other 2942.00.00 Other organic compounds.</w:t>
      </w:r>
    </w:p>
    <w:p>
      <w:pPr>
        <w:pStyle w:val="Normal"/>
      </w:pPr>
      <w:r>
        <w:t>3001.20.00 Extracts of glands or other organs or of their secretions 3001.90.00 Other 3002.11.00 Malaria diagnostic test kits 3002.12.00 Antisera and other blood fractions 3002.13.00 Immunological products, unmixed, not put up in measured doses or in forms or packings for retail sale 3002.14.00 Immunological products, mixed, not put up in measured doses or in forms or packings for retail sale 3002.15.00 Immunological products, put up in measured doses or in forms or packings for retail sale 3002.19.00 Other 3002.20.00 Vaccines for human medicine 3002.30.00 Vaccines for veterinary medicine 3002.90.00 Other 3003.10.00 Containing penicillins or derivatives thereof, with a penicillanic acid structure, or streptomycins or their derivatives 3003.20.00 Other, containing antibiotics 3003.31.00 Containing insulin 3003.39.00 Other 3003.41.00 Containing ephedrine or its salts 3003.42.00 Containing pseudoephedrine (INN) or its salts 3003.43.00 Containing norephedrine or its salts 3003.49.00 Other 3003.60.00 Other, containing antimalarial active principles described in Subheading Note 2 to this Chapter 3003.90.00 Other 3004.10.00 Containing penicillins or derivatives thereof, with a penicillanic acid structure, or streptomycins or their derivatives 3004.20.00 Other, containing antibiotics 3004.31.00 Containing insulin 3004.32.00 Containing corticosteroid hormones, their derivatives or structural analogues 3004.39.00 Other 3004.41.00 Containing ephedrine or its salts 3004.42.00</w:t>
      </w:r>
    </w:p>
    <w:p>
      <w:pPr>
        <w:pStyle w:val="Normal"/>
      </w:pPr>
      <w:r>
        <w:t>Containing pseudoephedrine (INN) or its salts 3004.43.00 Containing norephedrine or its salts 3004.49.00 Other 3004.50.00 Other, containing vitamins or other products of heading 29.36 3004.60.00 Other, containing antimalarial active principles described in Subheading Note 2 to this Chapter 3004.90.00 Other 3005.10.00 Adhesive dressings and other articles having an adhesive layer 3005.90.00 Other 3006.10.00 Sterile surgical catgut, similar sterile suture materials (including sterile absorbable surgical or dental yarns) and sterile tissue adhesives for surgical wound closure; sterile laminaria and sterile laminaria tents; sterile absorbable surgical or dental haemostatics; sterile surgical or dental adhesion barriers, whether or not absorbable 3006.20.00 Blood-grouping reagents 3006.30.00 Opacifying preparations for X-ray examinations; diagnostic reagents designed to be administered to the patient 3006.40.00 Dental cements and other dental fillings; bone reconstruction cements 3006.50.00 First-aid boxes and kits 3006.60.00 Chemical contraceptive preparations based on hormones, on other products of heading 29.37 or on spermicides 3006.70.10 Chemical or biological preparations, including kits containing ancillary articles or materials, for medical diagnosis; To be employed in the insemination of animal semen 3006.70.90 Other 3006.91.00 Appliances identifiable for ostomy use 3006.92.00 Waste pharmaceuticals 3101.00.00 Animal or vegetable fertilizers, whether or not mixed together</w:t>
      </w:r>
    </w:p>
    <w:p>
      <w:pPr>
        <w:pStyle w:val="Normal"/>
      </w:pPr>
      <w:r>
        <w:t>or chemically treated; fertilizers produced by the mixing or chemical treatment of animal or vegetable products. 3102.10.00 Urea, whether or not in aqueous solution 3102.21.00 Ammonium sulphate 3102.29.00 Other 3102.30.00 Ammonium nitrate, whether or not in aqueous solution 3102.40.00 Mixtures of ammonium nitrate with calcium carbonate or other inorganic non-fertilizing substances 3102.50.00 Sodium nitrate 3102.60.00 Double salts and mixtures of calcium nitrate and ammonium nitrate 3102.80.00 Mixtures of urea and ammonium nitrate in aqueous or ammoniacal solution 3102.90.00 Other, including mixtures not specified in the foregoing subheadings 3103.11.00 Containing by weight 35% or more of diphosphorus pentaoxide (P2O5) 3103.19.00 Other 3103.90.00 Other 3104.20.00 Potassium chloride 3104.30.00 Potassium sulphate 3104.90.00 Other 3105.10.00 Goods of this Chapter in tablets or similar forms or in packages of a gross weight not exceeding 10 kg 3105.20.00 Mineral or chemical fertilizers containing the three fertilizing elements nitrogen, phosphorus and potassium 3105.30.00 Diammonium hydrogenorthophosphate (diammonium phosphate) 3105.40.00 Ammonium dihydrogenorthophosphate (monoammonium phosphate) and mixtures thereof with diammonium hydrogenorthophosphate (diammonium phosphate) 3105.51.00 Containing nitrates and phosphates 3105.59.00 Other 3105.60.00 Mineral or chemical fertilizers containing the two fertilizing elements phosphorus and potassium 3105.90.00 Other 3201.10.00</w:t>
      </w:r>
    </w:p>
    <w:p>
      <w:pPr>
        <w:pStyle w:val="Normal"/>
      </w:pPr>
      <w:r>
        <w:t>Quebracho extract 3201.20.00 Wattle extract 3201.90.00 Other 3202.10.00 Synthetic organic tanning substances 3202.90.00 Other 3203.00.00 Colouring matter of vegetable or animal origin (including dyeing extracts but excluding animal black), whether or not chemically defined; preparations as specified in Note 3 to this Chapter based on colouring matter of vegetable or animal origin. 3204.11.00 Disperse dyes and preparations based thereon 3204.12.00 Acid dyes, whether or not premetallized, and preparations based thereon; mordant dyes and preparations based thereon 3204.13.00 Basic dyes and preparations based thereon 3204.14.00 Direct dyes and preparations based thereon 3204.15.00 Vat dyes (including those usable in that state as pigments) and preparations based thereon 3204.16.00 Reactive dyes and preparations based thereon 3204.17.00 Pigments and preparations based thereon 3204.19.00 Other, including mixtures of colouring matter of two or more of the subheadings 3204.11 to 3204.19 3204.20.00 Synthetic organic products of a kind used as fluorescent brightening agents 3204.90.00 Other 3205.00.00 Colour lakes; preparations as specified in Note 3 to this Chapter based on colour lakes.</w:t>
      </w:r>
    </w:p>
    <w:p>
      <w:pPr>
        <w:pStyle w:val="Normal"/>
      </w:pPr>
      <w:r>
        <w:t>3206.11.10 For use in Canadian manufactures 3206.11.90 Other 3206.19.00 Other 3206.20.00 Pigments and preparations based on chromium compounds 3206.41.00 Ultramarine and preparations based thereon 3206.42.00 Lithopone and other pigments and preparations based on zinc sulphide 3206.49.00 Other 3206.50.00 Inorganic products of a kind used as luminophores 3207.10.00 Prepared pigments, prepared opacifiers, prepared colours and similar preparations 3207.20.00 Vitrifiable enamels and glazes, engobes (slips) and similar preparations 3207.30.00 Liquid lustres and similar preparations 3207.40.00 Glass frit and other glass, in the form of powder, granules or flakes 3208.10.00 Based on polyesters 3208.20.00 Based on acrylic or vinyl polymers 3208.90.10 Corrosion resistant coatings specifically formulated for use in the manufacture of mirrors; To be employed in the manufacture of semiconductor devices 3208.90.90 Other 3209.10.00 Based on acrylic or vinyl polymers 3209.90.00 Other 3210.00.00 Other paints and varnishes (including enamels, lacquers and distempers); prepared water pigments of a kind used for finishing leather. 3211.00.00 Prepared driers.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3212.10.00</w:t>
            </w:r>
          </w:p>
        </w:tc>
        <w:tc>
          <w:tcPr>
            <w:tcW w:w="4679" w:type="dxa"/>
            <w:tcMar>
              <w:top w:w="70" w:type="dxa"/>
              <w:start w:w="110" w:type="dxa"/>
              <w:bottom w:w="70" w:type="dxa"/>
              <w:end w:w="110" w:type="dxa"/>
            </w:tcMar>
            <w:vAlign w:val="center"/>
          </w:tcPr>
          <w:p>
            <w:pPr>
              <w:pStyle w:val="TableText"/>
              <w:jc w:val="left"/>
            </w:pPr>
            <w:r>
              <w:rPr>
                <w:lang w:val="en-US" w:eastAsia="en-US" w:bidi="ar-SA"/>
              </w:rPr>
              <w:t>Stamping foils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3213.10.00</w:t>
            </w:r>
          </w:p>
        </w:tc>
        <w:tc>
          <w:tcPr>
            <w:tcW w:w="4679" w:type="dxa"/>
            <w:tcMar>
              <w:top w:w="70" w:type="dxa"/>
              <w:start w:w="110" w:type="dxa"/>
              <w:bottom w:w="70" w:type="dxa"/>
              <w:end w:w="110" w:type="dxa"/>
            </w:tcMar>
            <w:vAlign w:val="center"/>
          </w:tcPr>
          <w:p>
            <w:pPr>
              <w:pStyle w:val="TableText"/>
              <w:jc w:val="left"/>
            </w:pPr>
            <w:r>
              <w:rPr>
                <w:lang w:val="en-US" w:eastAsia="en-US" w:bidi="ar-SA"/>
              </w:rPr>
              <w:t>Colours in sets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Water colours, in liquid or powder form, in jars, bottles or tins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3214.10.10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phenol-formaldehyde resin, for use in the manufacture of filament lamps; Polyester or epoxide-based mastic, electrically insulating or conductive, for use in the manufacture or refurbishing of electrical generators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3214.10.90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3215.11.00</w:t>
            </w:r>
          </w:p>
        </w:tc>
        <w:tc>
          <w:tcPr>
            <w:tcW w:w="4679" w:type="dxa"/>
            <w:tcMar>
              <w:top w:w="70" w:type="dxa"/>
              <w:start w:w="110" w:type="dxa"/>
              <w:bottom w:w="70" w:type="dxa"/>
              <w:end w:w="110" w:type="dxa"/>
            </w:tcMar>
            <w:vAlign w:val="center"/>
          </w:tcPr>
          <w:p>
            <w:pPr>
              <w:pStyle w:val="TableText"/>
              <w:jc w:val="left"/>
            </w:pPr>
            <w:r>
              <w:rPr>
                <w:lang w:val="en-US" w:eastAsia="en-US" w:bidi="ar-SA"/>
              </w:rPr>
              <w:t>Black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orange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3301.13.00</w:t>
            </w:r>
          </w:p>
        </w:tc>
        <w:tc>
          <w:tcPr>
            <w:tcW w:w="4679" w:type="dxa"/>
            <w:tcMar>
              <w:top w:w="70" w:type="dxa"/>
              <w:start w:w="110" w:type="dxa"/>
              <w:bottom w:w="70" w:type="dxa"/>
              <w:end w:w="110" w:type="dxa"/>
            </w:tcMar>
            <w:vAlign w:val="center"/>
          </w:tcPr>
          <w:p>
            <w:pPr>
              <w:pStyle w:val="TableText"/>
              <w:jc w:val="left"/>
            </w:pPr>
            <w:r>
              <w:rPr>
                <w:lang w:val="en-US" w:eastAsia="en-US" w:bidi="ar-SA"/>
              </w:rPr>
              <w:t>Of lemon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3301.24.00</w:t>
            </w:r>
          </w:p>
        </w:tc>
        <w:tc>
          <w:tcPr>
            <w:tcW w:w="4679" w:type="dxa"/>
            <w:tcMar>
              <w:top w:w="70" w:type="dxa"/>
              <w:start w:w="110" w:type="dxa"/>
              <w:bottom w:w="70" w:type="dxa"/>
              <w:end w:w="110" w:type="dxa"/>
            </w:tcMar>
            <w:vAlign w:val="center"/>
          </w:tcPr>
          <w:p>
            <w:pPr>
              <w:pStyle w:val="TableText"/>
              <w:jc w:val="left"/>
            </w:pPr>
            <w:r>
              <w:rPr>
                <w:lang w:val="en-US" w:eastAsia="en-US" w:bidi="ar-SA"/>
              </w:rPr>
              <w:t>Of peppermint (Mentha piperita)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3301.25.00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mints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Oleoresin paprika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3302.10.11</w:t>
            </w:r>
          </w:p>
        </w:tc>
        <w:tc>
          <w:tcPr>
            <w:tcW w:w="4679" w:type="dxa"/>
            <w:tcMar>
              <w:top w:w="70" w:type="dxa"/>
              <w:start w:w="110" w:type="dxa"/>
              <w:bottom w:w="70" w:type="dxa"/>
              <w:end w:w="110" w:type="dxa"/>
            </w:tcMar>
            <w:vAlign w:val="center"/>
          </w:tcPr>
          <w:p>
            <w:pPr>
              <w:pStyle w:val="TableText"/>
              <w:jc w:val="left"/>
            </w:pPr>
            <w:r>
              <w:rPr>
                <w:lang w:val="en-US" w:eastAsia="en-US" w:bidi="ar-SA"/>
              </w:rPr>
              <w:t>Compound alcoholic preparations of a kind used for the manufacture of beverages: With an alcoholic strength by volume exceeding 0.5% vol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3302.10.12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Compound alcoholic preparations of a kind used for the manufacture of beverages: With an alcoholic strength by volume not exceeding 0.5% vol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3302.10.90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3303.00.00</w:t>
            </w:r>
          </w:p>
        </w:tc>
        <w:tc>
          <w:tcPr>
            <w:tcW w:w="4679" w:type="dxa"/>
            <w:tcMar>
              <w:top w:w="70" w:type="dxa"/>
              <w:start w:w="110" w:type="dxa"/>
              <w:bottom w:w="70" w:type="dxa"/>
              <w:end w:w="110" w:type="dxa"/>
            </w:tcMar>
            <w:vAlign w:val="center"/>
          </w:tcPr>
          <w:p>
            <w:pPr>
              <w:pStyle w:val="TableText"/>
              <w:jc w:val="left"/>
            </w:pPr>
            <w:r>
              <w:rPr>
                <w:lang w:val="en-US" w:eastAsia="en-US" w:bidi="ar-SA"/>
              </w:rPr>
              <w:t>Perfumes and toilet waters.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3304.10.00</w:t>
            </w:r>
          </w:p>
        </w:tc>
        <w:tc>
          <w:tcPr>
            <w:tcW w:w="4679" w:type="dxa"/>
            <w:tcMar>
              <w:top w:w="70" w:type="dxa"/>
              <w:start w:w="110" w:type="dxa"/>
              <w:bottom w:w="70" w:type="dxa"/>
              <w:end w:w="110" w:type="dxa"/>
            </w:tcMar>
            <w:vAlign w:val="center"/>
          </w:tcPr>
          <w:p>
            <w:pPr>
              <w:pStyle w:val="TableText"/>
              <w:jc w:val="left"/>
            </w:pPr>
            <w:r>
              <w:rPr>
                <w:lang w:val="en-US" w:eastAsia="en-US" w:bidi="ar-SA"/>
              </w:rPr>
              <w:t>Lip make-up preparations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Eye make-up preparations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3304.30.00</w:t>
            </w:r>
          </w:p>
        </w:tc>
        <w:tc>
          <w:tcPr>
            <w:tcW w:w="4679" w:type="dxa"/>
            <w:tcMar>
              <w:top w:w="70" w:type="dxa"/>
              <w:start w:w="110" w:type="dxa"/>
              <w:bottom w:w="70" w:type="dxa"/>
              <w:end w:w="110" w:type="dxa"/>
            </w:tcMar>
            <w:vAlign w:val="center"/>
          </w:tcPr>
          <w:p>
            <w:pPr>
              <w:pStyle w:val="TableText"/>
              <w:jc w:val="left"/>
            </w:pPr>
            <w:r>
              <w:rPr>
                <w:lang w:val="en-US" w:eastAsia="en-US" w:bidi="ar-SA"/>
              </w:rPr>
              <w:t>Manicure or pedicure preparations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3304.91.00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Powders, whether or not compressed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3304.99.10</w:t>
            </w:r>
          </w:p>
        </w:tc>
        <w:tc>
          <w:tcPr>
            <w:tcW w:w="4679" w:type="dxa"/>
            <w:tcMar>
              <w:top w:w="70" w:type="dxa"/>
              <w:start w:w="110" w:type="dxa"/>
              <w:bottom w:w="70" w:type="dxa"/>
              <w:end w:w="110" w:type="dxa"/>
            </w:tcMar>
            <w:vAlign w:val="center"/>
          </w:tcPr>
          <w:p>
            <w:pPr>
              <w:pStyle w:val="TableText"/>
              <w:jc w:val="left"/>
            </w:pPr>
            <w:r>
              <w:rPr>
                <w:lang w:val="en-US" w:eastAsia="en-US" w:bidi="ar-SA"/>
              </w:rPr>
              <w:t>Preparations for the application and maintenance of ostomy appliances or of briefs, underpants, panties, napkins (diapers), napkin (diaper) liners and similar sanitary articles for incontinence, designed to be worn by persons, excluding those of a kind for babies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3304.99.90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3305.10.00</w:t>
            </w:r>
          </w:p>
        </w:tc>
        <w:tc>
          <w:tcPr>
            <w:tcW w:w="4679" w:type="dxa"/>
            <w:tcMar>
              <w:top w:w="70" w:type="dxa"/>
              <w:start w:w="110" w:type="dxa"/>
              <w:bottom w:w="70" w:type="dxa"/>
              <w:end w:w="110" w:type="dxa"/>
            </w:tcMar>
            <w:vAlign w:val="center"/>
          </w:tcPr>
          <w:p>
            <w:pPr>
              <w:pStyle w:val="TableText"/>
              <w:jc w:val="left"/>
            </w:pPr>
            <w:r>
              <w:rPr>
                <w:lang w:val="en-US" w:eastAsia="en-US" w:bidi="ar-SA"/>
              </w:rPr>
              <w:t>Shampoos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Preparations for permanent waving or straightening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3305.30.00</w:t>
            </w:r>
          </w:p>
        </w:tc>
        <w:tc>
          <w:tcPr>
            <w:tcW w:w="4679" w:type="dxa"/>
            <w:tcMar>
              <w:top w:w="70" w:type="dxa"/>
              <w:start w:w="110" w:type="dxa"/>
              <w:bottom w:w="70" w:type="dxa"/>
              <w:end w:w="110" w:type="dxa"/>
            </w:tcMar>
            <w:vAlign w:val="center"/>
          </w:tcPr>
          <w:p>
            <w:pPr>
              <w:pStyle w:val="TableText"/>
              <w:jc w:val="left"/>
            </w:pPr>
            <w:r>
              <w:rPr>
                <w:lang w:val="en-US" w:eastAsia="en-US" w:bidi="ar-SA"/>
              </w:rPr>
              <w:t>Hair lacquers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3306.10.00</w:t>
            </w:r>
          </w:p>
        </w:tc>
        <w:tc>
          <w:tcPr>
            <w:tcW w:w="4679" w:type="dxa"/>
            <w:tcMar>
              <w:top w:w="70" w:type="dxa"/>
              <w:start w:w="110" w:type="dxa"/>
              <w:bottom w:w="70" w:type="dxa"/>
              <w:end w:w="110" w:type="dxa"/>
            </w:tcMar>
            <w:vAlign w:val="center"/>
          </w:tcPr>
          <w:p>
            <w:pPr>
              <w:pStyle w:val="TableText"/>
              <w:jc w:val="left"/>
            </w:pPr>
            <w:r>
              <w:rPr>
                <w:lang w:val="en-US" w:eastAsia="en-US" w:bidi="ar-SA"/>
              </w:rPr>
              <w:t>Dentifrices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Yarn used to clean between the teeth (dental floss)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Pre-shave, shaving or after-shave preparations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3307.20.00</w:t>
            </w:r>
          </w:p>
        </w:tc>
        <w:tc>
          <w:tcPr>
            <w:tcW w:w="4679" w:type="dxa"/>
            <w:tcMar>
              <w:top w:w="70" w:type="dxa"/>
              <w:start w:w="110" w:type="dxa"/>
              <w:bottom w:w="70" w:type="dxa"/>
              <w:end w:w="110" w:type="dxa"/>
            </w:tcMar>
            <w:vAlign w:val="center"/>
          </w:tcPr>
          <w:p>
            <w:pPr>
              <w:pStyle w:val="TableText"/>
              <w:jc w:val="left"/>
            </w:pPr>
            <w:r>
              <w:rPr>
                <w:lang w:val="en-US" w:eastAsia="en-US" w:bidi="ar-SA"/>
              </w:rPr>
              <w:t>Personal deodorants and antiperspirants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Perfumed bath salts and other bath preparations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3307.41.00</w:t>
            </w:r>
          </w:p>
        </w:tc>
        <w:tc>
          <w:tcPr>
            <w:tcW w:w="4679" w:type="dxa"/>
            <w:tcMar>
              <w:top w:w="70" w:type="dxa"/>
              <w:start w:w="110" w:type="dxa"/>
              <w:bottom w:w="70" w:type="dxa"/>
              <w:end w:w="110" w:type="dxa"/>
            </w:tcMar>
            <w:vAlign w:val="center"/>
          </w:tcPr>
          <w:p>
            <w:pPr>
              <w:pStyle w:val="TableText"/>
              <w:jc w:val="left"/>
            </w:pPr>
            <w:r>
              <w:rPr>
                <w:lang w:val="en-US" w:eastAsia="en-US" w:bidi="ar-SA"/>
              </w:rPr>
              <w:t>“</w:t>
            </w:r>
            <w:r>
              <w:rPr>
                <w:lang w:val="en-US" w:eastAsia="en-US" w:bidi="ar-SA"/>
              </w:rPr>
              <w:t>Agarbatti” and other odoriferous preparations which operate by burning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3307.49.00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3307.90.00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Castile soap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3401.20.10</w:t>
            </w:r>
          </w:p>
        </w:tc>
        <w:tc>
          <w:tcPr>
            <w:tcW w:w="4679" w:type="dxa"/>
            <w:tcMar>
              <w:top w:w="70" w:type="dxa"/>
              <w:start w:w="110" w:type="dxa"/>
              <w:bottom w:w="70" w:type="dxa"/>
              <w:end w:w="110" w:type="dxa"/>
            </w:tcMar>
            <w:vAlign w:val="center"/>
          </w:tcPr>
          <w:p>
            <w:pPr>
              <w:pStyle w:val="TableText"/>
              <w:jc w:val="left"/>
            </w:pPr>
            <w:r>
              <w:rPr>
                <w:lang w:val="en-US" w:eastAsia="en-US" w:bidi="ar-SA"/>
              </w:rPr>
              <w:t>Laundry soap for washing clothes and other linens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3401.20.20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Soap pellets containing sodium soaps of fatty acids and glycerol, for use in the manufacture of bar soaps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3401.20.30</w:t>
            </w:r>
          </w:p>
        </w:tc>
        <w:tc>
          <w:tcPr>
            <w:tcW w:w="4679" w:type="dxa"/>
            <w:tcMar>
              <w:top w:w="70" w:type="dxa"/>
              <w:start w:w="110" w:type="dxa"/>
              <w:bottom w:w="70" w:type="dxa"/>
              <w:end w:w="110" w:type="dxa"/>
            </w:tcMar>
            <w:vAlign w:val="center"/>
          </w:tcPr>
          <w:p>
            <w:pPr>
              <w:pStyle w:val="TableText"/>
              <w:jc w:val="left"/>
            </w:pPr>
            <w:r>
              <w:rPr>
                <w:lang w:val="en-US" w:eastAsia="en-US" w:bidi="ar-SA"/>
              </w:rPr>
              <w:t>Dry soap for use as a lubricant in wire drawing in the manufacture of pneumatic tires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3401.30.00</w:t>
            </w:r>
          </w:p>
        </w:tc>
        <w:tc>
          <w:tcPr>
            <w:tcW w:w="4679" w:type="dxa"/>
            <w:tcMar>
              <w:top w:w="70" w:type="dxa"/>
              <w:start w:w="110" w:type="dxa"/>
              <w:bottom w:w="70" w:type="dxa"/>
              <w:end w:w="110" w:type="dxa"/>
            </w:tcMar>
            <w:vAlign w:val="center"/>
          </w:tcPr>
          <w:p>
            <w:pPr>
              <w:pStyle w:val="TableText"/>
              <w:jc w:val="left"/>
            </w:pPr>
            <w:r>
              <w:rPr>
                <w:lang w:val="en-US" w:eastAsia="en-US" w:bidi="ar-SA"/>
              </w:rPr>
              <w:t>Organic surface-active products and preparations for washing the skin, in the form of liquid or cream and put up for retail sale, whether or not containing soap</w:t>
            </w:r>
          </w:p>
        </w:tc>
      </w:tr>
    </w:tbl>
    <w:p>
      <w:pPr>
        <w:pStyle w:val="Normal"/>
      </w:pPr>
      <w:r>
        <w:t>3402.11.10 Sodium alkylbenzene sulphonates for use in the manufacture of slow dissolving inside toilet tank solids of heading 34.02 or 38.08 3402.11.90 Other 3402.12.00 Cationic 3402.13.10 Polyether polyols, with a hydroxyl number of 265 or more, for use in the manufacture of polyurethane moulding compositions 3402.13.90 Other 3402.19.00 Other 3402.20.10 Automatic dishwasher detergents 3402.20.90 Other 3402.90.10 Chemical antioxidants, hardeners, inhibitors, restrainers, sensitizers and stabilizers for use in the manufacture of photographic emulsions; To be employed in removing salts or water from crude petroleum oils; To be employed as drilling mud or additives therefor in drilling for minerals, natural gas, oil or water 3402.90.91 Other: For use in Canadian manufactures 3402.90.99 Other: Other 3403.11.10 Lubricating oil preparations based in part on petroleum 3403.11.90 Other 3403.19.11 Lubricating oil preparations based in part on petroleum: For use in Canadian manufactures; Other oil-based lubricating preparations for wet drawing of tire wire 3403.19.19 Lubricating oil preparations based in part on petroleum: Other 3403.19.91 Other: For use in Canadian manufactures 3403.19.99 Other:</w:t>
      </w:r>
    </w:p>
    <w:p>
      <w:pPr>
        <w:pStyle w:val="Normal"/>
      </w:pPr>
      <w:r>
        <w:t>Other 3403.91.10 For use in stuffing or dressing leather or furskins 3403.91.90 Other 3403.99.10 For use in Canadian manufactures 3403.99.90 Other 3404.20.10 Artificial waxes, for use in the manufacture of acrylonitrile butadiene-styrene (ABS) copolymers of subheading 3903.30 3404.20.90</w:t>
      </w:r>
    </w:p>
    <w:p>
      <w:pPr>
        <w:pStyle w:val="Normal"/>
      </w:pPr>
      <w:r>
        <w:t>Other 3404.90.10 Chemically modified polyethylene glycol wax for use in the manufacture of tackifier dispersions; Diamides, produced by the reaction of ethylenediamine with fatty acids of heading 38.23, for use in the manufacture of moulded articles of wood pulp composition; Of polyethylene having a number-average molecular weight not exceeding 4,000; Rheological additives composed of fatty esters and fatty amides, derived from hydrogenated castor oil;</w:t>
      </w:r>
    </w:p>
    <w:p>
      <w:pPr>
        <w:pStyle w:val="Normal"/>
      </w:pPr>
      <w:r>
        <w:t>Wax composed of fatty acid alkyl ketene dimer for use in the manufacture of sizing agents or sizing preparations 3404.90.20 Of chemically modified lignite 3404.90.90 Other 3405.10.10 Liquid shoe shine preparations for use in the manufacture of shoe care products 3405.10.90 Other 3405.20.00 Polishes, creams and similar preparations for the maintenance of wooden furniture, floors or other woodwork 3405.30.00 Polishes and similar preparations for coachwork, other than metal polishes 3405.40.00 Scouring pastes and powders and other scouring preparations 3405.90.00 Other 3406.00.10 For birthdays, Christmas and other festive occasions 3406.00.90 Other 3407.00.10 Modelling pastes 3407.00.20 Dental impression compounds excluding those based on silicone polymers 3407.00.90 Other 3501.10.00 Casein * 3501.90.00 Other * 3502.11.10 Within access commitment * * 3502.11.20 Over access commitment * * 3502.19.10 Within access commitment * * 3502.19.20 Over access commitment * * 3502.20.00 Milk albumin, including concentrates of two or more</w:t>
      </w:r>
    </w:p>
    <w:p>
      <w:pPr>
        <w:pStyle w:val="Normal"/>
      </w:pPr>
      <w:r>
        <w:t>whey proteins 3502.90.00 Other 3503.00.00 Gelatin (including gelatin in rectangular (including square) sheets, whether or not surface-worked or coloured) and gelatin derivatives; isinglass; other glues of animal origin, excluding casein glues of heading 35.01. 3504.00.11 Milk protein substances: Within access commitment 3504.00.12 Milk protein substances: Over access commitment 3504.00.90 Other 3505.10.11 Etherified or esterified starches: Cationic potato starch for use in the manufacture of paper or paperboard 3505.10.19 Etherified or esterified starches: Other 3505.10.20 Pregelatinized starch; Soluble starch (amylogen) 3505.10.90 Other 3505.20.10 Blend of potato starch and synthetic polymer for use in the manufacture of pre-pasted wallpaper 3505.20.90 Other 3506.10.00 Products suitable for use as glues or adhesives, put up for retail sale as glues or adhesives, not exceeding a net weight of 1 kg 3506.91.10 To be employed in the manufacture of semiconductor devices; Hot melt adhesives, based on polyamides, for use in the manufacture of interlinings or findings for clothing 3506.91.90 Other 3506.99.00 Other 3507.10.00 Rennet and concentrates thereof 3507.90.00 Other 3601.00.00 Propellent powders. 3602.00.00 Prepared explosives, other than propellent powders. 3603.00.00 Safety fuses; detonating fuses; percussion or detonating caps; igniters; electric detonators. 3604.10.00 Fireworks 3604.90.00 Other 3605.00.00 Matches, other than pyrotechnic articles of heading 36.04.</w:t>
      </w:r>
    </w:p>
    <w:p>
      <w:pPr>
        <w:pStyle w:val="Normal"/>
      </w:pPr>
      <w:r>
        <w:t>3606.10.00 Liquid or liquefied-gas fuels in containers of a kind used for filling or refilling cigarette or similar lighters and of a capacity not exceeding 300 cm³ 3606.90.00 Other 3701.10.00 For X-ray 3701.20.00 Instant print film 3701.30.10 Plates, with a resolution capability of not less than 500 line pairs per millimetre, for use in the manufacture of photomasks used in the production of integrated circuits 3701.30.20 Other plates 3701.30.31 Film: For use in the production of replications of exposed and developed cinematographic film 3701.30.39 Film: Other 3701.91.10 Plates 3701.91.20 Film 3701.99.10 Photopolymer resist film;</w:t>
      </w:r>
    </w:p>
    <w:p>
      <w:pPr>
        <w:pStyle w:val="Normal"/>
      </w:pPr>
      <w:r>
        <w:t>Plates, with a resolution capability of not less than 500 line pairs per millimetre, for use in the manufacture of photomasks used in the production of integrated circuits 3701.99.20 Other plates 3701.99.30 Other film 3702.10.00 For X-ray 3702.31.00 For colour photography (polychrome) 3702.32.00 Other, with silver halide emulsion 3702.39.00 Other 3702.41.00 Of a width exceeding 610 mm and of a length exceeding 200 m, for colour photography (polychrome) 3702.42.10 Duplicating, scanner or continuous tone graphic arts film, of a width of 762 mm or more, for use in the manufacture of photographic film 3702.42.90 Other 3702.43.20 Instant print film 3702.43.90 Other 3702.44.20 Instant print film 3702.44.90 Other 3702.52.00 Of a width not exceeding 16 mm 3702.53.00 Of a width exceeding 16 mm but not exceeding 35 mm and of a length not exceeding 30 m, for</w:t>
      </w:r>
    </w:p>
    <w:p>
      <w:pPr>
        <w:pStyle w:val="Normal"/>
      </w:pPr>
      <w:r>
        <w:t>slides 3702.54.10 For use in the production of replications of exposed and developed cinematographic film 3702.54.90 Other 3702.55.00 Of a width exceeding 16 mm but not exceeding 35 mm and of a length exceeding 30 m 3702.56.00 Of a width exceeding 35 mm 3702.96.00 Of a width not exceeding 35 mm and of a length not exceeding 30 m 3702.97.00 Of a width not exceeding 35 mm and of a length exceeding 30 m 3702.98.00 Of a width exceeding 35 mm 3703.10.00 In rolls of a width exceeding 610 mm 3703.20.00 Other, for colour photography (polychrome) 3703.90.10 Paper, in rolls, used with photographic transmission machines, to be employed in the production of newspapers, magazines or periodicals 3703.90.90 Other 3704.00.10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3704.00.90 Other 3705.00.11 For offset reproduction:</w:t>
      </w:r>
    </w:p>
    <w:p>
      <w:pPr>
        <w:pStyle w:val="Normal"/>
      </w:pPr>
      <w:r>
        <w:t>Film to be employed in the production of printing plates, rolls or cylinders for the reproduction of non- advertising material in newspapers, or for printing books or music, or for printing periodical publications entitled to second- class mailing privileges, the pages of which are regularly bound, wire-stitched or otherwise fastened together, excluding</w:t>
      </w:r>
    </w:p>
    <w:p>
      <w:pPr>
        <w:pStyle w:val="Normal"/>
      </w:pPr>
      <w:r>
        <w:t>catalogues 3705.00.19 For offset reproduction: Other 3705.00.91 Other: Contact halftone film screens for the production of printing plates;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Films for deposit as archives and not for exhibition for commercial purpose; News features and recordings of current events; Photomasks to be employed in the manufacture of semiconductor devices;</w:t>
      </w:r>
    </w:p>
    <w:p>
      <w:pPr>
        <w:pStyle w:val="Normal"/>
      </w:pPr>
      <w:r>
        <w:t>Slides and slide films when they (a) are of an educational, scientific or cultural character within the meaning of the Agreement for Facilitating the International Circulation of Visual and Auditory Materials of an Educational, Scientific and Cultural Character adopted at Beirut, Lebanon, in 1948, and (b) have been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3705.00.99 Other: Other 3706.10.10 Television commercials excluding those imported for reference purposes only 3706.10.90 Other 3706.90.10 Television commercials excluding those</w:t>
      </w:r>
    </w:p>
    <w:p>
      <w:pPr>
        <w:pStyle w:val="Normal"/>
      </w:pPr>
      <w:r>
        <w:t>imported for reference purposes only 3706.90.90 Other 3707.10.00 Sensitizing emulsions 3707.90.10 Chemical preparations to be employed in the manufacture of semiconductor devices; To be employed in the processing of X-ray film 3707.90.90 Other 3801.10.00 Artificial graphite 3801.20.00 Colloidal or semi-colloidal graphite 3801.30.00 Carbonaceous pastes for electrodes and similar pastes for furnace linings 3801.90.00 Other 3802.10.00 Activated carbon 3802.90.00 Other 3803.00.00 Tall oil, whether or not refined. 3804.00.00 Residual lyes from the manufacture of wood pulp, whether or not concentrated, desugared or chemically treated, including lignin sulphonates, but excluding tall oil of heading 38.03. 3805.10.00 Gum, wood or sulphate turpentine oils 3805.90.00 Other 3806.10.00 Rosin and resin acids 3806.20.00 Salts of rosin, of resin acids or of derivatives of rosin or resin acids, other than salts of rosin adducts 3806.30.00 Ester gums 3806.90.00 Other 3807.00.00 Wood tar; wood tar oils; wood creosote; wood naphtha; vegetable pitch; brewers’ pitch and similar preparations based on rosin, resin acids or on vegetable pitch.</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3808.52.00</w:t>
            </w:r>
          </w:p>
        </w:tc>
        <w:tc>
          <w:tcPr>
            <w:tcW w:w="4679" w:type="dxa"/>
            <w:tcMar>
              <w:top w:w="70" w:type="dxa"/>
              <w:start w:w="110" w:type="dxa"/>
              <w:bottom w:w="70" w:type="dxa"/>
              <w:end w:w="110" w:type="dxa"/>
            </w:tcMar>
            <w:vAlign w:val="center"/>
          </w:tcPr>
          <w:p>
            <w:pPr>
              <w:pStyle w:val="TableText"/>
              <w:jc w:val="left"/>
            </w:pPr>
            <w:r>
              <w:rPr>
                <w:lang w:val="en-US" w:eastAsia="en-US" w:bidi="ar-SA"/>
              </w:rPr>
              <w:t>DDT (ISO) (clofenotane (INN)), in packings of a net weight content not exceeding 300 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3808.59.20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packings of a net weight content not exceeding 300 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3808.62.10</w:t>
            </w:r>
          </w:p>
        </w:tc>
        <w:tc>
          <w:tcPr>
            <w:tcW w:w="4679" w:type="dxa"/>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3808.62.20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3808.91.20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3808.92.20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3808.93.20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3808.94.10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3808.94.20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3808.99.20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 a basis of amylaceous substances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3809.91.00</w:t>
            </w:r>
          </w:p>
        </w:tc>
        <w:tc>
          <w:tcPr>
            <w:tcW w:w="4679" w:type="dxa"/>
            <w:tcMar>
              <w:top w:w="70" w:type="dxa"/>
              <w:start w:w="110" w:type="dxa"/>
              <w:bottom w:w="70" w:type="dxa"/>
              <w:end w:w="110" w:type="dxa"/>
            </w:tcMar>
            <w:vAlign w:val="center"/>
          </w:tcPr>
          <w:p>
            <w:pPr>
              <w:pStyle w:val="TableText"/>
              <w:jc w:val="left"/>
            </w:pPr>
            <w:r>
              <w:rPr>
                <w:lang w:val="en-US" w:eastAsia="en-US" w:bidi="ar-SA"/>
              </w:rPr>
              <w:t>Of a kind used in the textile or like industries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3809.92.00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kind used in the paper or like industries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3809.93.00</w:t>
            </w:r>
          </w:p>
        </w:tc>
        <w:tc>
          <w:tcPr>
            <w:tcW w:w="4679" w:type="dxa"/>
            <w:tcMar>
              <w:top w:w="70" w:type="dxa"/>
              <w:start w:w="110" w:type="dxa"/>
              <w:bottom w:w="70" w:type="dxa"/>
              <w:end w:w="110" w:type="dxa"/>
            </w:tcMar>
            <w:vAlign w:val="center"/>
          </w:tcPr>
          <w:p>
            <w:pPr>
              <w:pStyle w:val="TableText"/>
              <w:jc w:val="left"/>
            </w:pPr>
            <w:r>
              <w:rPr>
                <w:lang w:val="en-US" w:eastAsia="en-US" w:bidi="ar-SA"/>
              </w:rPr>
              <w:t>Of a kind used in the leather or like industries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Pickling preparations for metal surfaces;</w:t>
            </w:r>
          </w:p>
        </w:tc>
      </w:tr>
    </w:tbl>
    <w:p>
      <w:pPr>
        <w:pStyle w:val="Normal"/>
      </w:pPr>
      <w:r>
        <w:t>soldering, brazing or welding</w:t>
      </w:r>
    </w:p>
    <w:p>
      <w:pPr>
        <w:pStyle w:val="Normal"/>
      </w:pPr>
      <w:r>
        <w:t>powders and pastes consisting of metal and other materials 3810.90.00 Other 3811.11.00 Based on lead compounds 3811.19.00 Other 3811.21.00 Containing petroleum oils or oils obtained from bituminous minerals 3811.29.00 Other 3811.90.00 Other 3812.10.00 Prepared rubber accelerators 3812.20.00 Compound plasticizers for rubber or plastics 3812.31.00 Mixtures of oligomers of 2,2,4-trimethyl-1,2-dihydroquinoline (TMQ) 3812.39.00 Other 3813.00.00 Preparations and charges for fire-extinguishers; charged fire- extinguishing grenades. 3814.00.00 Organic composite solvents and thinners, not elsewhere specified or included; prepared paint or varnish removers. 3815.11.00 With nickel or nickel compounds as the active substance 3815.12.00 With precious metal or precious metal compounds as the active substance 3815.19.00 Other 3815.90.00 Other 3816.00.00 Refractory cements, mortars, concretes and similar compositions, other than products of heading 38.01. 3817.00.00 Mixed alkylbenzenes and mixed alkylnaphthalenes, other than those of heading 27.07 or 29.02 3818.00.00 Chemical elements doped for use in electronics, in the form of discs, wafers or similar forms; chemical compounds doped for use in electronics. 3819.00.00 Hydraulic brake fluids and other prepared liquids for hydraulic transmission, not containing or containing less than 70% by weight of petroleum oils or oils obtained from bituminous minerals. 3820.00.00 Anti-freezing preparations and prepared de-icing fluids.</w:t>
      </w:r>
    </w:p>
    <w:p>
      <w:pPr>
        <w:pStyle w:val="Normal"/>
      </w:pPr>
      <w:r>
        <w:t>3821.00.00 Prepared culture media for the development or maintenance of micro-organisms (including viruses and the like) or of plant, human or animal cells. 3822.00.00 Diagnostic or laboratory reagents on a backing, prepared diagnostic or laboratory reagents whether or not on a backing, other than those of heading 30.02 or 30.06; certified reference materials. 3823.11.00 Stearic acid 3823.12.00 Oleic acid 3823.13.00 Tall oil fatty acids 3823.19.00 Other 3823.70.00 Industrial fatty alcohols 3824.10.00 Prepared binders for foundry moulds or cores 3824.30.00 Non-agglomerated metal carbides mixed together or with metallic binders 3824.40.00 Prepared additives for cements, mortars or concretes 3824.50.00 Non-refractory mortars and concretes 3824.60.00 Sorbitol other than that of subheading 2905.44 3824.71.00 Containing chlorofluorocarbons (CFCs), whether or not containing hydrochlorofluorocarbons (HCFCs), perfluorocarbons (PFCs) or hydrofluorocarbons (HFCs) 3824.72.00 Containing bromochlorodifluoromethane, bromotrifluoromethane or dibromotetrafluoroethanes 3824.73.00 Containing hydrobromofluorocarbons (HBFCs) 3824.74.00 Containing hydrochlorofluorocarbons (HCFCs), whether or not containing perfluorocarbons (PFCs) or hydrofluorocarbons (HFCs), but not containing chlorofluorocarbons (CFCs) 3824.75.00 Containing carbon tetrachloride 3824.76.00 Containing, 1,1,1-trichloroethane (methyl chloroform) 3824.77.00 Containing bromomethane (methyl bromide) or bromochloromethane 3824.78.00</w:t>
      </w:r>
    </w:p>
    <w:p>
      <w:pPr>
        <w:pStyle w:val="Normal"/>
      </w:pPr>
      <w:r>
        <w:t>Containing perfluorocarbons (PFCs) or hydrofluorocarbons (HFCs), but not containing chlorofluorocarbons (CFCs) or hydrochlorofluorocarbons (HCFCs) 3824.79.00 Other 3824.81.00 Containing oxirane (ethylene oxide) 3824.82.00 Containing polychlorinated biphenyls (PCBs), polychlorinated terphenyls (PCTs) or polybrominated biphenyls (PBBs) 3824.83.00 Containing tris(2,3-dibromopropyl) phosphate 3824.84.00 Containing aldrin (ISO), camphechlor (ISO) (toxaphene), chlordane (ISO), chlordecone (ISO), DDT (ISO) (clofenotane (INN), 1,1,1-trichloro-2,2-bis(p-chlorophenyl)ethane), dieldrin (ISO, INN), endosulfan (ISO), endrin (ISO), heptachlor (ISO) or mirex (ISO) 3824.85.00 Containing 1,2,3,4,5,6-hexachlorocyclohexane (HCH (ISO)), including lindane (ISO, INN) 3824.86.00 Containing pentachlorobenzene (ISO) or hexachlorobenzene (ISO) 3824.87.00 Containing perfluorooctane sulphonic acid, its salts, perfluorooctane sulphonamides, or perfluorooctane sulphonyl fluoride 3824.88.00 Containing tetra-, penta-, hexa-, hepta- or octabromodiphenyl ethers 3824.91.00 Mixtures and preparations consisting mainly of (5-ethyl-2-methyl 2-oxido-1,3,2-dioxaphosphinan-5-yl)methyl methyl methylphosphonate and bis[(5-ethyl-2-methyl-2-oxido-1,3,2 dioxaphosphinan-5-yl)methyl] methylphosphonate 3824.99.00 Other 3825.10.00 Municipal waste 3825.20.00 Sewage sludge 3825.30.10 Soiled dressings (wadding, gauze, bandages and similar articles) contaminated as a result of medical, surgical, dental or veterinary</w:t>
      </w:r>
    </w:p>
    <w:p>
      <w:pPr>
        <w:pStyle w:val="Normal"/>
      </w:pPr>
      <w:r>
        <w:t>procedures; Syringes, needles, catheters, cannulae and the like 3825.30.20 Surgical gloves of vulcanized rubber other than hard rubber 3825.30.90 Other 3825.41.00 Halogenated 3825.49.00 Other 3825.50.00 Wastes of metal pickling liquors, hydraulic fluids, brake fluids and anti-freeze fluids 3825.61.00 Mainly containing organic constituents 3825.69.00 Other 3825.90.00 Other 3826.00.00 Biodiesel and mixtures thereof, not containing or containing less than 70% by weight of petroleum oils or oils obtained from bituminous minerals. 3901.10.10 Having a molecular weight of 3 million or more but not exceeding 6 million, for use in the manufacture of rods, sticks or profile shapes of subheading 3916.10 or sheet of subheading 3920.10 3901.10.20 Having a molecular weight of more than 4 million, for use in the manufacture of medical orthopaedic implants or parts for snowmobiles, all terrain vehicles, industrial sweepers, agricultural equipment, railway rolling stock and equipment, water treatment equipment and conveyor systems 3901.10.90 Other 3901.20.10 Having a minimum intrinsic viscosity of 10, excluding compositions 3901.20.90 Other 3901.30.00 Ethylene-vinyl acetate copolymers 3901.40.00 Ethylene-alpha-olefin copolymers, having a specific gravity of less than 0.94 3901.90.00 Other 3902.10.00 Polypropylene 3902.20.00 Polyisobutylene 3902.30.00 Propylene copolymers 3902.90.10 Compositions 3902.90.90 Other 3903.11.00 Expansible 3903.19.00 Other 3903.20.00 Styrene-acrylonitrile (SAN)</w:t>
      </w:r>
    </w:p>
    <w:p>
      <w:pPr>
        <w:pStyle w:val="Normal"/>
      </w:pPr>
      <w:r>
        <w:t>copolymers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3903.30.00</w:t>
            </w:r>
          </w:p>
        </w:tc>
        <w:tc>
          <w:tcPr>
            <w:tcW w:w="4679" w:type="dxa"/>
            <w:tcMar>
              <w:top w:w="70" w:type="dxa"/>
              <w:start w:w="110" w:type="dxa"/>
              <w:bottom w:w="70" w:type="dxa"/>
              <w:end w:w="110" w:type="dxa"/>
            </w:tcMar>
            <w:vAlign w:val="center"/>
          </w:tcPr>
          <w:p>
            <w:pPr>
              <w:pStyle w:val="TableText"/>
              <w:jc w:val="left"/>
            </w:pPr>
            <w:r>
              <w:rPr>
                <w:lang w:val="en-US" w:eastAsia="en-US" w:bidi="ar-SA"/>
              </w:rPr>
              <w:t>Acrylonitrile-butadiene-styrene (ABS) copolymers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3904.10.00</w:t>
            </w:r>
          </w:p>
        </w:tc>
        <w:tc>
          <w:tcPr>
            <w:tcW w:w="4679" w:type="dxa"/>
            <w:tcMar>
              <w:top w:w="70" w:type="dxa"/>
              <w:start w:w="110" w:type="dxa"/>
              <w:bottom w:w="70" w:type="dxa"/>
              <w:end w:w="110" w:type="dxa"/>
            </w:tcMar>
            <w:vAlign w:val="center"/>
          </w:tcPr>
          <w:p>
            <w:pPr>
              <w:pStyle w:val="TableText"/>
              <w:jc w:val="left"/>
            </w:pPr>
            <w:r>
              <w:rPr>
                <w:lang w:val="en-US" w:eastAsia="en-US" w:bidi="ar-SA"/>
              </w:rPr>
              <w:t>Poly(vinyl chloride), not mixed with any other substances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Non-plasticized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3904.22.00</w:t>
            </w:r>
          </w:p>
        </w:tc>
        <w:tc>
          <w:tcPr>
            <w:tcW w:w="4679" w:type="dxa"/>
            <w:tcMar>
              <w:top w:w="70" w:type="dxa"/>
              <w:start w:w="110" w:type="dxa"/>
              <w:bottom w:w="70" w:type="dxa"/>
              <w:end w:w="110" w:type="dxa"/>
            </w:tcMar>
            <w:vAlign w:val="center"/>
          </w:tcPr>
          <w:p>
            <w:pPr>
              <w:pStyle w:val="TableText"/>
              <w:jc w:val="left"/>
            </w:pPr>
            <w:r>
              <w:rPr>
                <w:lang w:val="en-US" w:eastAsia="en-US" w:bidi="ar-SA"/>
              </w:rPr>
              <w:t>Plasticized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 chloride-vinyl acetate copolymers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3904.40.00</w:t>
            </w:r>
          </w:p>
        </w:tc>
        <w:tc>
          <w:tcPr>
            <w:tcW w:w="4679" w:type="dxa"/>
            <w:tcMar>
              <w:top w:w="70" w:type="dxa"/>
              <w:start w:w="110" w:type="dxa"/>
              <w:bottom w:w="70" w:type="dxa"/>
              <w:end w:w="110" w:type="dxa"/>
            </w:tcMar>
            <w:vAlign w:val="center"/>
          </w:tcPr>
          <w:p>
            <w:pPr>
              <w:pStyle w:val="TableText"/>
              <w:jc w:val="left"/>
            </w:pPr>
            <w:r>
              <w:rPr>
                <w:lang w:val="en-US" w:eastAsia="en-US" w:bidi="ar-SA"/>
              </w:rPr>
              <w:t>Other vinyl chloride copolymers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Vinylidene chloride polymers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3904.61.00</w:t>
            </w:r>
          </w:p>
        </w:tc>
        <w:tc>
          <w:tcPr>
            <w:tcW w:w="4679" w:type="dxa"/>
            <w:tcMar>
              <w:top w:w="70" w:type="dxa"/>
              <w:start w:w="110" w:type="dxa"/>
              <w:bottom w:w="70" w:type="dxa"/>
              <w:end w:w="110" w:type="dxa"/>
            </w:tcMar>
            <w:vAlign w:val="center"/>
          </w:tcPr>
          <w:p>
            <w:pPr>
              <w:pStyle w:val="TableText"/>
              <w:jc w:val="left"/>
            </w:pPr>
            <w:r>
              <w:rPr>
                <w:lang w:val="en-US" w:eastAsia="en-US" w:bidi="ar-SA"/>
              </w:rPr>
              <w:t>Polytetrafluoroethylene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aqueous dispersion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aqueous dispersion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Poly(vinyl alcohol), whether or not containing unhydrolysed acetate groups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3905.91.00</w:t>
            </w:r>
          </w:p>
        </w:tc>
        <w:tc>
          <w:tcPr>
            <w:tcW w:w="4679" w:type="dxa"/>
            <w:tcMar>
              <w:top w:w="70" w:type="dxa"/>
              <w:start w:w="110" w:type="dxa"/>
              <w:bottom w:w="70" w:type="dxa"/>
              <w:end w:w="110" w:type="dxa"/>
            </w:tcMar>
            <w:vAlign w:val="center"/>
          </w:tcPr>
          <w:p>
            <w:pPr>
              <w:pStyle w:val="TableText"/>
              <w:jc w:val="left"/>
            </w:pPr>
            <w:r>
              <w:rPr>
                <w:lang w:val="en-US" w:eastAsia="en-US" w:bidi="ar-SA"/>
              </w:rPr>
              <w:t>Copolymers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3906.10.00</w:t>
            </w:r>
          </w:p>
        </w:tc>
        <w:tc>
          <w:tcPr>
            <w:tcW w:w="4679" w:type="dxa"/>
            <w:tcMar>
              <w:top w:w="70" w:type="dxa"/>
              <w:start w:w="110" w:type="dxa"/>
              <w:bottom w:w="70" w:type="dxa"/>
              <w:end w:w="110" w:type="dxa"/>
            </w:tcMar>
            <w:vAlign w:val="center"/>
          </w:tcPr>
          <w:p>
            <w:pPr>
              <w:pStyle w:val="TableText"/>
              <w:jc w:val="left"/>
            </w:pPr>
            <w:r>
              <w:rPr>
                <w:lang w:val="en-US" w:eastAsia="en-US" w:bidi="ar-SA"/>
              </w:rPr>
              <w:t>Poly(methyl methacrylate)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3907.10.00</w:t>
            </w:r>
          </w:p>
        </w:tc>
        <w:tc>
          <w:tcPr>
            <w:tcW w:w="4679" w:type="dxa"/>
            <w:tcMar>
              <w:top w:w="70" w:type="dxa"/>
              <w:start w:w="110" w:type="dxa"/>
              <w:bottom w:w="70" w:type="dxa"/>
              <w:end w:w="110" w:type="dxa"/>
            </w:tcMar>
            <w:vAlign w:val="center"/>
          </w:tcPr>
          <w:p>
            <w:pPr>
              <w:pStyle w:val="TableText"/>
              <w:jc w:val="left"/>
            </w:pPr>
            <w:r>
              <w:rPr>
                <w:lang w:val="en-US" w:eastAsia="en-US" w:bidi="ar-SA"/>
              </w:rPr>
              <w:t>Polyacetals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polyethers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3907.30.00</w:t>
            </w:r>
          </w:p>
        </w:tc>
        <w:tc>
          <w:tcPr>
            <w:tcW w:w="4679" w:type="dxa"/>
            <w:tcMar>
              <w:top w:w="70" w:type="dxa"/>
              <w:start w:w="110" w:type="dxa"/>
              <w:bottom w:w="70" w:type="dxa"/>
              <w:end w:w="110" w:type="dxa"/>
            </w:tcMar>
            <w:vAlign w:val="center"/>
          </w:tcPr>
          <w:p>
            <w:pPr>
              <w:pStyle w:val="TableText"/>
              <w:jc w:val="left"/>
            </w:pPr>
            <w:r>
              <w:rPr>
                <w:lang w:val="en-US" w:eastAsia="en-US" w:bidi="ar-SA"/>
              </w:rPr>
              <w:t>Epoxide resins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Polycarbonates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3907.50.00</w:t>
            </w:r>
          </w:p>
        </w:tc>
        <w:tc>
          <w:tcPr>
            <w:tcW w:w="4679" w:type="dxa"/>
            <w:tcMar>
              <w:top w:w="70" w:type="dxa"/>
              <w:start w:w="110" w:type="dxa"/>
              <w:bottom w:w="70" w:type="dxa"/>
              <w:end w:w="110" w:type="dxa"/>
            </w:tcMar>
            <w:vAlign w:val="center"/>
          </w:tcPr>
          <w:p>
            <w:pPr>
              <w:pStyle w:val="TableText"/>
              <w:jc w:val="left"/>
            </w:pPr>
            <w:r>
              <w:rPr>
                <w:lang w:val="en-US" w:eastAsia="en-US" w:bidi="ar-SA"/>
              </w:rPr>
              <w:t>Alkyd resins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Having a viscosity number of 78 ml/g or higher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Poly(lactic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3907.91.00</w:t>
            </w:r>
          </w:p>
        </w:tc>
        <w:tc>
          <w:tcPr>
            <w:tcW w:w="4679" w:type="dxa"/>
            <w:tcMar>
              <w:top w:w="70" w:type="dxa"/>
              <w:start w:w="110" w:type="dxa"/>
              <w:bottom w:w="70" w:type="dxa"/>
              <w:end w:w="110" w:type="dxa"/>
            </w:tcMar>
            <w:vAlign w:val="center"/>
          </w:tcPr>
          <w:p>
            <w:pPr>
              <w:pStyle w:val="TableText"/>
              <w:jc w:val="left"/>
            </w:pPr>
            <w:r>
              <w:rPr>
                <w:lang w:val="en-US" w:eastAsia="en-US" w:bidi="ar-SA"/>
              </w:rPr>
              <w:t>Unsaturated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3908.10.00</w:t>
            </w:r>
          </w:p>
        </w:tc>
        <w:tc>
          <w:tcPr>
            <w:tcW w:w="4679" w:type="dxa"/>
            <w:tcMar>
              <w:top w:w="70" w:type="dxa"/>
              <w:start w:w="110" w:type="dxa"/>
              <w:bottom w:w="70" w:type="dxa"/>
              <w:end w:w="110" w:type="dxa"/>
            </w:tcMar>
            <w:vAlign w:val="center"/>
          </w:tcPr>
          <w:p>
            <w:pPr>
              <w:pStyle w:val="TableText"/>
              <w:jc w:val="left"/>
            </w:pPr>
            <w:r>
              <w:rPr>
                <w:lang w:val="en-US" w:eastAsia="en-US" w:bidi="ar-SA"/>
              </w:rPr>
              <w:t>Polyamide-6, -11, -12, -6,6, -6,9, -6,10 or -6,12</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3908.90.00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3909.10.00</w:t>
            </w:r>
          </w:p>
        </w:tc>
        <w:tc>
          <w:tcPr>
            <w:tcW w:w="4679" w:type="dxa"/>
            <w:tcMar>
              <w:top w:w="70" w:type="dxa"/>
              <w:start w:w="110" w:type="dxa"/>
              <w:bottom w:w="70" w:type="dxa"/>
              <w:end w:w="110" w:type="dxa"/>
            </w:tcMar>
            <w:vAlign w:val="center"/>
          </w:tcPr>
          <w:p>
            <w:pPr>
              <w:pStyle w:val="TableText"/>
              <w:jc w:val="left"/>
            </w:pPr>
            <w:r>
              <w:rPr>
                <w:lang w:val="en-US" w:eastAsia="en-US" w:bidi="ar-SA"/>
              </w:rPr>
              <w:t>Urea resins; thiourea resins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3909.20.10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Binders for pigments or inks, for use in the coating, colouring or printing of textiles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Poly(methylene phenyl isocyanate) (crude MDI, polymeric MDI)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3909.40.00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Phenolic resins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3909.50.00</w:t>
            </w:r>
          </w:p>
        </w:tc>
        <w:tc>
          <w:tcPr>
            <w:tcW w:w="4679" w:type="dxa"/>
            <w:tcMar>
              <w:top w:w="70" w:type="dxa"/>
              <w:start w:w="110" w:type="dxa"/>
              <w:bottom w:w="70" w:type="dxa"/>
              <w:end w:w="110" w:type="dxa"/>
            </w:tcMar>
            <w:vAlign w:val="center"/>
          </w:tcPr>
          <w:p>
            <w:pPr>
              <w:pStyle w:val="TableText"/>
              <w:jc w:val="left"/>
            </w:pPr>
            <w:r>
              <w:rPr>
                <w:lang w:val="en-US" w:eastAsia="en-US" w:bidi="ar-SA"/>
              </w:rPr>
              <w:t>Polyurethanes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3910.00.00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Silicones in primary forms.</w:t>
            </w:r>
          </w:p>
        </w:tc>
      </w:tr>
    </w:tbl>
    <w:p>
      <w:pPr>
        <w:pStyle w:val="Normal"/>
      </w:pPr>
      <w:r>
        <w:t>3911.10.00 Petroleum resins, coumarone, indene or coumarone-indene resins and polyterpenes 3911.90.00 Other 3912.11.00 Non-plasticized 3912.12.00 Plasticized 3912.20.00 Cellulose nitrates (including collodions) 3912.31.00 Carboxymethylcellulose and its salts 3912.39.00 Other 3912.90.00 Other 3913.10.00 Alginic acid, its salts and esters 3913.90.00 Other 3914.00.00 Ion-exchangers based on polymers of headings 39.01 to 39.13, in primary forms. 3915.10.00 Of polymers of ethylene 3915.20.00 Of polymers of styrene 3915.30.00 Of polymers of vinyl chloride 3915.90.00 Of other plastics 3916.10.00 Of polymers of ethylene 3916.20.00 Of polymers of vinyl chloride 3916.90.00 Of other plastics 3917.10.00 Artificial guts (sausage casings) of hardened protein or of cellulosic materials 3917.21.00 Of polymers of ethylene 3917.22.00 Of polymers of propylene 3917.23.00 Of polymers of vinyl chloride 3917.29.00 Of other plastics 3917.31.00 Flexible tubes, pipes and hoses, having a minimum burst pressure of 27.6 MPa 3917.32.10 Of polymers of heading 39.02, excluding of polymers of propylene or tubing of polymers of butylene; Of polymers of heading 39.04, excluding of polymers of vinyl chloride, of polymers of tetrafluoroethylene or of polyvinylidene chloride; Of polymers of heading 39.05;</w:t>
      </w:r>
    </w:p>
    <w:p>
      <w:pPr>
        <w:pStyle w:val="Normal"/>
      </w:pPr>
      <w:r>
        <w:t>Of polymers of heading 39.06, excluding of polymers of methyl methacrylate; Of polymers of heading 39.07; Of polymers of heading 39.09, excluding of polyurethanes; Of polymers of heading 39.11, 39.12 or 39.13;</w:t>
      </w:r>
    </w:p>
    <w:p>
      <w:pPr>
        <w:pStyle w:val="Normal"/>
      </w:pPr>
      <w:r>
        <w:t>Of polyvinylidene chloride to be employed in the packaging of goods for sale; 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To be employed in the processing, storing or insemination of animal semen 3917.32.90 Other 3917.33.00 Other, not reinforced or otherwise combined with other materials, with fittings 3917.39.10 Of polymers of heading 39.02, excluding of polymers of propylene or tubing of polymers of butylene; Of polymers of heading 39.04, excluding of polymers of vinyl chloride, of polymers of tetrafluoroethylene or of polyvinylidene chloride; Of polymers of heading 39.05; Of polymers of heading 39.06, excluding of polymers of methyl methacrylate; Of polymers of heading 39.07; Of polymers of heading 39.09, excluding of polyurethanes; Of polymers of heading 39.11, 39.12 or 39.13; Of polyvinylidene chloride to be employed in the packaging of goods for sale;</w:t>
      </w:r>
    </w:p>
    <w:p>
      <w:pPr>
        <w:pStyle w:val="Normal"/>
      </w:pPr>
      <w:r>
        <w:t>To be employed in the processing, storing or insemmination of animal semen 3917.39.90 Other 3917.40.00 Fittings 3918.10.10 Wall or ceiling coverings combined with knitted or woven fabrics, nonwovens or felt 3918.10.90 Other 3918.90.10 Wall or ceiling coverings combined with</w:t>
      </w:r>
    </w:p>
    <w:p>
      <w:pPr>
        <w:pStyle w:val="Normal"/>
      </w:pPr>
      <w:r>
        <w:t>knitted or woven fabrics, nonwovens or felt 3918.90.90 Other 3919.10.10 Combined with knitted or woven fabrics, nonwovens or felt, such combinations which can, without fracturing, be bent manually around a cylinder of a diameter of 7 mm, at a temperature between 15°C and 30°C 3919.10.20 Of polymers of methyl methacrylate; Poly(ethylene terephthalate) film of a width of less than 15 cm; Cellulose acetate and cellulose acetate butyrate sheets, film or strip, of a thickness exceeding 0.08 mm or of a width of less than 15 cm and a thickness not exceeding 0.08 mm 3919.10.91 Other: Of polymers of heading 39.02, excluding of polymers of propylene; Of polymers of heading 39.04, excluding of polymers of vinyl chloride, of polymers of tetrafluoroethylene or of polyvinylidene chloride; Of polymers of heading 39.05 or 39.06; Of polymers of heading 39.07, excluding of epoxide resins, of unsaturated polyesters, or polycarbonate plates, sheets, film or strip, of a thickness of 0.08 cm or more but not exceeding 1.3 cm;</w:t>
      </w:r>
    </w:p>
    <w:p>
      <w:pPr>
        <w:pStyle w:val="Normal"/>
      </w:pPr>
      <w:r>
        <w:t>Of polymers of heading 39.09, excluding of urea-formaldehyde resins, of melamine-formaldehyde resins, of phenol- formaldehyde resins or of polyurethanes; Of polymers of heading 39.11 or 39.13; Of polymers of heading 39.12, excluding of regenerated cellulose or of vulcanized fibre; Of polyvinylidene chloride to be employed in the packaging of goods for sale; Polyester or polystyrene film, of a thickness not exceeding 0.25 mm, for use in the manufacture of loud-speakers or</w:t>
      </w:r>
    </w:p>
    <w:p>
      <w:pPr>
        <w:pStyle w:val="Normal"/>
      </w:pPr>
      <w:r>
        <w:t>audio- frequency electric amplifiers, record-players or magnetic tape transcribing machines, magnetic tape sound recording apparatus, tape transport mechanisms, electrical equipment of heading 85.21, 85.25, 85.26, 85.27 or 85.28, and parts of the foregoing, including transformers and inductors; Strips of polyurethane for use in the manufacture of clothing 3919.10.99 Other: Other 3919.90.00 Other 3920.10.00 Of polymers of ethylene 3920.20.00 Of polymers of propylene 3920.30.00 Of polymers of styrene 3920.43.00 Containing by weight not less than 6% of plasticizers 3920.49.00 Other 3920.51.00 Of poly(methyl methacrylate) 3920.59.00 Other 3920.61.00 Of polycarbonates 3920.62.00 Of poly(ethylene terephthalate) 3920.63.00 Of unsaturated polyesters 3920.69.00 Of other polyesters 3920.71.00 Of regenerated cellulose 3920.73.00 Of cellulose acetate 3920.79.00 Of other cellulose derivatives 3920.91.00 Of poly(vinyl butyral) 3920.92.00 Of polyamides 3920.93.00 Of amino-resins 3920.94.00 Of phenolic resins 3920.99.00 Of other plastics 3921.11.00 Of polymers of styrene 3921.12.00 Of polymers of vinyl chloride 3921.13.00 Of polyurethanes 3921.14.00 Of regenerated cellulose 3921.19.00 Of other plastics 3921.90.00 Other 3922.10.00 Baths, shower-baths, sinks and wash-basins 3922.20.00 Lavatory seats and covers 3922.90.00 Other 3923.10.10 For vaccines, toxoids (anatoxins), bacterins, toxins, serums containing immune bodies including antitoxins, glandular extracts or antibiotics, to be employed</w:t>
      </w:r>
    </w:p>
    <w:p>
      <w:pPr>
        <w:pStyle w:val="Normal"/>
      </w:pPr>
      <w:r>
        <w:t>in the manufacture of such products; To be employed in the manufacture of goods of heading 38.08 or of goods of Chapter 28 or 29 in packages of a gross weight exceeding 1.36 kg each, for use as products having the same functions as the goods of heading 38.08 3923.10.90 Other 3923.21.10 For vaccines, toxoids (anatoxins), bacterins, toxins, serums containing immune bodies including antitoxins, glandular extracts or antibiotics, to be employed in the manufacture of such products 3923.21.90 Other 3923.29.10 For vaccines, toxoids (anatoxins), bacterins, toxins, serums containing immune bodies including antitoxins, glandular extracts or antibiotics, to be employed in the manufacture of such products; To be employed in the processing, storing or insemination of animal semen 3923.29.90 Other 3923.30.10 To be employed in the processing, storing or insemination of animal semen 3923.30.90 Other 3923.40.00 Spools, cops, bobbins and similar supports 3923.50.10 Caps to be employed by perfume manufacturers in the bottling of perfume; Flexible plastic spouts of a diameter of 57 mm for use in the manufacture of lids for gallon paint cans;</w:t>
      </w:r>
    </w:p>
    <w:p>
      <w:pPr>
        <w:pStyle w:val="Normal"/>
      </w:pPr>
      <w:r>
        <w:t>For vaccines, toxoids (anatoxins), bacterins, toxins, serums containing immune bodies including antitoxins, glandular extracts or antibiotics, to be employed in the manufacture of such products 3923.50.90 Other 3923.90.10 Containers, bearing the shapes and images of cartoon characters, to be employed in the production or distribution of shampoo, bubble bath</w:t>
      </w:r>
    </w:p>
    <w:p>
      <w:pPr>
        <w:pStyle w:val="Normal"/>
      </w:pPr>
      <w:r>
        <w:t>and other novelty cosmetic and bath products; For vaccines, toxoids (anatoxins), bacterins, toxins, serums containing immune bodies including antitoxins, glandular extracts or antibiotics, to be employed in the manufacture of such products; Holding trays of polymers of vinyl chloride for use as inserts in boxes to prevent peaches from touching each other; Vegetable-based capsules for use in Canadian manufactures 3923.90.90 Other 3924.10.00 Tableware and kitchenware 3924.90.00 Other 3925.10.00 Reservoirs, tanks, vats and similar containers, of a capacity exceeding 300 litres 3925.20.00 Doors, windows and their frames and thresholds for doors 3925.30.00 Shutters, blinds (including Venetian blinds) and similar articles and parts thereof 3925.90.00 Other 3926.10.00 Office or school supplies 3926.20.10 Disposable gloves to be employed in clean rooms allowing a maximum of 10 airborne particles measuring greater than 0.0005 mm per 28.317 dm³ of air, 30 airborne particles measuring greater than 0.0003 mm per 28.317 dm³ of air, 75 airborne particles measuring greater than 0.0002 mm per 28.317 dm³ of air or 350 airborne particles measuring greater than 0.0001 mm per 28.317 dm³ of air;</w:t>
      </w:r>
    </w:p>
    <w:p>
      <w:pPr>
        <w:pStyle w:val="Normal"/>
      </w:pPr>
      <w:r>
        <w:t>Protective suits and their accessories (including gloves), to be employed in a noxious atmosphere; To be employed in the processing, storing or insemination of animal semen 3926.20.91 Other: Disposable gloves 3926.20.92 Other: Mittens; Non-disposable gloves 3926.20.93 Other: Belts; Articles of apparel</w:t>
      </w:r>
    </w:p>
    <w:p>
      <w:pPr>
        <w:pStyle w:val="Normal"/>
      </w:pPr>
      <w:r>
        <w:t>and other clothing accessories, containing not more than 25% by weight of woven fabrics of man-made fibres, coated on both sides with polymers of vinyl chloride 3926.20.94 Other: Other articles of apparel and clothing accessories, of plastics combined with knitted or woven fabrics, bolducs, nonwovens or felt, containing woven fabrics of more than 50% by weight of silk 3926.20.95 Other: Other articles of apparel and clothing accessories, of plastics combined with knitted or woven fabrics, bolducs, nonwovens or felt 3926.20.99 Other: Other 3926.30.00 Fittings for furniture, coachwork or the like 3926.40.10 Statuettes 3926.40.90 Other ornamental articles 3926.90.10 Articles for climbing or mountaineering; Beak guards and blinders for pheasants; Cassette shells and parts thereof, excluding exterior jackets or sleeves, for use in the manufacture of video cassettes; Container cap covers or container toppers, bearing the shapes and images of cartoon characters, to be employed in the production or distribution of shampoo, bubble bath and other novelty cosmetic and bath products; Conveyor belting, in modular form, of a length not exceeding 5 m; Conveyor belts;</w:t>
      </w:r>
    </w:p>
    <w:p>
      <w:pPr>
        <w:pStyle w:val="Normal"/>
      </w:pPr>
      <w:r>
        <w:t>Corner protectors for use in the manufacture of portable musical instruments or microphone amplifiers, loudspeakers and sound mixers, other than those designed and marketed for home entertainment systems; Die models, to be employed as blueprint substitutes in the manufacture, assembly, erection, installation, operation or</w:t>
      </w:r>
    </w:p>
    <w:p>
      <w:pPr>
        <w:pStyle w:val="Normal"/>
      </w:pPr>
      <w:r>
        <w:t>maintenance of machines, test sets, engines, apparatus, appliances, plant equipment and parts thereof; Dunnage bags to be employed in securing items for transport; Fish egg incubators and parts thereof; For use in the manufacture of fire fighting vehicles; Housings, for use in the manufacture of television descramblers; Imitation gemstones or pearls for use in the manufacture of jewellery; Knobs, for use in the manufacture of gas barbecues or domestic 3926.90.20 Door mats 3926.90.30 Signs, letters and numerals 3926.90.50 Identification tags for animals 3926.90.91 Other: Belts and belting for machinery other than conveyor belts; Bolts, nuts, screws and washers; Gaskets 3926.90.92 Other: Parts for use in the manufacture of yachts, racing boats, canoes and other vessels for pleasure or sport 3926.90.93 Other: Trays designed to hold discs, for use in the manufacture of CD or DVD cases or boxed set collections 3926.90.99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4001.10.00</w:t>
            </w:r>
          </w:p>
        </w:tc>
        <w:tc>
          <w:tcPr>
            <w:tcW w:w="4679" w:type="dxa"/>
            <w:tcMar>
              <w:top w:w="70" w:type="dxa"/>
              <w:start w:w="110" w:type="dxa"/>
              <w:bottom w:w="70" w:type="dxa"/>
              <w:end w:w="110" w:type="dxa"/>
            </w:tcMar>
            <w:vAlign w:val="center"/>
          </w:tcPr>
          <w:p>
            <w:pPr>
              <w:pStyle w:val="TableText"/>
              <w:jc w:val="left"/>
            </w:pPr>
            <w:r>
              <w:rPr>
                <w:lang w:val="en-US" w:eastAsia="en-US" w:bidi="ar-SA"/>
              </w:rPr>
              <w:t>Natural rubber latex, whether or not pre-vulcanized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 sheets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4001.22.00</w:t>
            </w:r>
          </w:p>
        </w:tc>
        <w:tc>
          <w:tcPr>
            <w:tcW w:w="4679" w:type="dxa"/>
            <w:tcMar>
              <w:top w:w="70" w:type="dxa"/>
              <w:start w:w="110" w:type="dxa"/>
              <w:bottom w:w="70" w:type="dxa"/>
              <w:end w:w="110" w:type="dxa"/>
            </w:tcMar>
            <w:vAlign w:val="center"/>
          </w:tcPr>
          <w:p>
            <w:pPr>
              <w:pStyle w:val="TableText"/>
              <w:jc w:val="left"/>
            </w:pPr>
            <w:r>
              <w:rPr>
                <w:lang w:val="en-US" w:eastAsia="en-US" w:bidi="ar-SA"/>
              </w:rPr>
              <w:t>Technically specified natural rubber (TSNR)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4001.29.00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4001.30.00</w:t>
            </w:r>
          </w:p>
        </w:tc>
        <w:tc>
          <w:tcPr>
            <w:tcW w:w="4679" w:type="dxa"/>
            <w:tcMar>
              <w:top w:w="70" w:type="dxa"/>
              <w:start w:w="110" w:type="dxa"/>
              <w:bottom w:w="70" w:type="dxa"/>
              <w:end w:w="110" w:type="dxa"/>
            </w:tcMar>
            <w:vAlign w:val="center"/>
          </w:tcPr>
          <w:p>
            <w:pPr>
              <w:pStyle w:val="TableText"/>
              <w:jc w:val="left"/>
            </w:pPr>
            <w:r>
              <w:rPr>
                <w:lang w:val="en-US" w:eastAsia="en-US" w:bidi="ar-SA"/>
              </w:rPr>
              <w:t>Balata, gutta-percha, guayule, chicle and similar natural gums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Latex</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Butadiene rubber (BR)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4002.31.00</w:t>
            </w:r>
          </w:p>
        </w:tc>
        <w:tc>
          <w:tcPr>
            <w:tcW w:w="4679" w:type="dxa"/>
            <w:tcMar>
              <w:top w:w="70" w:type="dxa"/>
              <w:start w:w="110" w:type="dxa"/>
              <w:bottom w:w="70" w:type="dxa"/>
              <w:end w:w="110" w:type="dxa"/>
            </w:tcMar>
            <w:vAlign w:val="center"/>
          </w:tcPr>
          <w:p>
            <w:pPr>
              <w:pStyle w:val="TableText"/>
              <w:jc w:val="left"/>
            </w:pPr>
            <w:r>
              <w:rPr>
                <w:lang w:val="en-US" w:eastAsia="en-US" w:bidi="ar-SA"/>
              </w:rPr>
              <w:t>Isobutene-isoprene (butyl) rubber (IIR)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4002.41.00</w:t>
            </w:r>
          </w:p>
        </w:tc>
        <w:tc>
          <w:tcPr>
            <w:tcW w:w="4679" w:type="dxa"/>
            <w:tcMar>
              <w:top w:w="70" w:type="dxa"/>
              <w:start w:w="110" w:type="dxa"/>
              <w:bottom w:w="70" w:type="dxa"/>
              <w:end w:w="110" w:type="dxa"/>
            </w:tcMar>
            <w:vAlign w:val="center"/>
          </w:tcPr>
          <w:p>
            <w:pPr>
              <w:pStyle w:val="TableText"/>
              <w:jc w:val="left"/>
            </w:pPr>
            <w:r>
              <w:rPr>
                <w:lang w:val="en-US" w:eastAsia="en-US" w:bidi="ar-SA"/>
              </w:rPr>
              <w:t>Latex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4002.51.00</w:t>
            </w:r>
          </w:p>
        </w:tc>
        <w:tc>
          <w:tcPr>
            <w:tcW w:w="4679" w:type="dxa"/>
            <w:tcMar>
              <w:top w:w="70" w:type="dxa"/>
              <w:start w:w="110" w:type="dxa"/>
              <w:bottom w:w="70" w:type="dxa"/>
              <w:end w:w="110" w:type="dxa"/>
            </w:tcMar>
            <w:vAlign w:val="center"/>
          </w:tcPr>
          <w:p>
            <w:pPr>
              <w:pStyle w:val="TableText"/>
              <w:jc w:val="left"/>
            </w:pPr>
            <w:r>
              <w:rPr>
                <w:lang w:val="en-US" w:eastAsia="en-US" w:bidi="ar-SA"/>
              </w:rPr>
              <w:t>Latex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4002.60.00</w:t>
            </w:r>
          </w:p>
        </w:tc>
        <w:tc>
          <w:tcPr>
            <w:tcW w:w="4679" w:type="dxa"/>
            <w:tcMar>
              <w:top w:w="70" w:type="dxa"/>
              <w:start w:w="110" w:type="dxa"/>
              <w:bottom w:w="70" w:type="dxa"/>
              <w:end w:w="110" w:type="dxa"/>
            </w:tcMar>
            <w:vAlign w:val="center"/>
          </w:tcPr>
          <w:p>
            <w:pPr>
              <w:pStyle w:val="TableText"/>
              <w:jc w:val="left"/>
            </w:pPr>
            <w:r>
              <w:rPr>
                <w:lang w:val="en-US" w:eastAsia="en-US" w:bidi="ar-SA"/>
              </w:rPr>
              <w:t>Isoprene rubber (IR)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Ethylene-propylene-non-conjugated diene rubber (EPDM)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4002.80.00</w:t>
            </w:r>
          </w:p>
        </w:tc>
        <w:tc>
          <w:tcPr>
            <w:tcW w:w="4679" w:type="dxa"/>
            <w:tcMar>
              <w:top w:w="70" w:type="dxa"/>
              <w:start w:w="110" w:type="dxa"/>
              <w:bottom w:w="70" w:type="dxa"/>
              <w:end w:w="110" w:type="dxa"/>
            </w:tcMar>
            <w:vAlign w:val="center"/>
          </w:tcPr>
          <w:p>
            <w:pPr>
              <w:pStyle w:val="TableText"/>
              <w:jc w:val="left"/>
            </w:pPr>
            <w:r>
              <w:rPr>
                <w:lang w:val="en-US" w:eastAsia="en-US" w:bidi="ar-SA"/>
              </w:rPr>
              <w:t>Mixtures of</w:t>
            </w:r>
          </w:p>
        </w:tc>
      </w:tr>
    </w:tbl>
    <w:p>
      <w:pPr>
        <w:pStyle w:val="Normal"/>
      </w:pPr>
      <w:r>
        <w:t>any product of heading 40.01 with any product of this heading 4002.91.00 Latex 4002.99.00 Other 4003.00.00 Reclaimed rubber in primary forms or in plates, sheets or strip. 4004.00.00 Waste, parings and scrap of rubber (other than hard rubber) and powders and granules obtained therefrom. 4005.10.00 Compounded with carbon black or silica 4005.20.00 Solutions; dispersions other than those of subheading 4005.10 4005.91.00 Plates, sheets and strip 4005.99.00 Other 4006.10.00 “Camel-back” strips for retreading rubber tires 4006.90.00 Other 4007.00.10 Thread, not covered 4007.00.20 Cord, not covered 4007.00.90 Other 4008.11.00 Plates, sheets and strip 4008.19.00 Other 4008.21.00 Plates, sheets and strip 4008.29.00 Other 4009.11.00 Without fittings 4009.12.00 With fittings 4009.21.00 Without fittings 4009.22.00 With fittings 4009.31.00 Without fittings 4009.32.00 With fittings 4009.41.00 Without fittings 4009.42.00 With fittings 4010.11.00 Reinforced only with metal 4010.12.00 Reinforced only with textile materials 4010.19.00 Other 4010.31.00 Endless transmission belts of trapezoidal cross-section (V-belts), V-ribbed, of an outside circumference exceeding 60 cm but not exceeding 180 cm 4010.32.00 Endless transmission belts of trapezoidal cross-section (V-belts), other than V-ribbed, of an outside circumference exceeding 60 cm but not exceeding 180 cm 4010.33.00 Endless transmission belts of trapezoidal cross-section (V-belts), V-ribbed, of an outside circumference exceeding 180 cm</w:t>
      </w:r>
    </w:p>
    <w:p>
      <w:pPr>
        <w:pStyle w:val="Normal"/>
      </w:pPr>
      <w:r>
        <w:t>but not exceeding 240 cm 4010.34.00 Endless transmission belts of trapezoidal cross-section (V-belts), other than V-ribbed, of an outside circumference exceeding 180 cm but not exceeding 240 cm 4010.35.00 Endless synchronous belts, of an outside circumference exceeding 60 cm but not exceeding 150 cm 4010.36.00 Endless synchronous belts, of an outside circumference exceeding 150 cm but not exceeding 198 cm 4010.39.10 Endless transmission belts of trapezoidal cross-section (V-belts), whether or not V-ribbed, of an outside circumference exceeding 240 cm 4010.39.90 Other 4011.10.00 Of a kind used on motor cars (including station wagons and racing cars) 4011.20.00 Of a kind used on buses or lorries 4011.30.00 Of a kind used on aircraft 4011.40.00 Of a kind used on motorcycles 4011.50.00 Of a kind used on bicycles 4011.70.10 For use with appliances of subheading 8424.82, levellers of subheading 8429.20 used for farm purposes only, combination excavating and transporting scrapers of subheading 8429.30 or 8430.69, traction ditching machines of subheading 8429.59 or</w:t>
      </w:r>
    </w:p>
    <w:p>
      <w:pPr>
        <w:pStyle w:val="Normal"/>
      </w:pPr>
      <w:r>
        <w:t>8430.69 used for farm purposes only, agricultural machinery for soil preparation or cultivation of heading 84.32, harvesting or threshing machinery (including straw or fodder balers) and agricultural mowers of heading 84.33, tractors of heading 87.01 powered by internal combustion engines and used for farm purposes only, and spraying vehicles of subheading 8705.90 for agricultural use for spreading dry or liquid</w:t>
      </w:r>
    </w:p>
    <w:p>
      <w:pPr>
        <w:pStyle w:val="Normal"/>
      </w:pPr>
      <w:r>
        <w:t>fertilizer or sludge; Of a size of 3600 X 51 or 4000 X 57 4011.70.90 Other 4011.80.10 For use with combination excavating and transporting scrapers of subheading 8429.30 or 8430.69; Of a size of 3600 X 51 or 4000 X 57 4011.80.90 Other 4011.90.10 For use with appliances of subheading 8424.82, combination excavating and transporting scrapers of subheading 8429.30 or 8430.69, horticultural machinery for soil preparation and lawn or sports-ground rollers of heading 84.32, horticultural mowers (other than mowers for lawns, parks or sports-grounds) of heading 84.33;</w:t>
      </w:r>
    </w:p>
    <w:p>
      <w:pPr>
        <w:pStyle w:val="Normal"/>
      </w:pPr>
      <w:r>
        <w:t>Of a size of 3,600 X 51 or 4,000 X 57 4011.90.90 Other 4012.11.00 Of a kind used on motor cars (including station wagons and racing cars) 4012.12.00 Of a kind used on buses or lorries 4012.13.00 Of a kind used on aircraft 4012.19.00 Other 4012.20.10 Of a size of 3600 x 51 or 4000 x 57 4012.20.20 Of a kind used on vehicles, including tractors, for the on-highway transport of passengers or goods, or on vehicles of heading 87.05 4012.20.90 Other 4012.90.10 Rimtape (tire flaps) for use in the manufacture of bicycles or bicycle wheels 4012.90.90 Other 4013.10.00 Of a kind used on motor cars (including station wagons and racing cars), buses or lorries 4013.20.00 Of a kind used on bicycles 4013.90.10 Of a kind used on aircraft; For use with appliances of subheading 8424.82, levellers of subheading 8429.20 used for farm purposes only, combination excavating and transporting scrapers of subheading 8429.30 or 8430.69, traction</w:t>
      </w:r>
    </w:p>
    <w:p>
      <w:pPr>
        <w:pStyle w:val="Normal"/>
      </w:pPr>
      <w:r>
        <w:t>ditching machines of subheading 8429.59 or 8430.69 used for farm purposes only, agricultural or horticultural machinery for soil preparation or cultivation and lawn or sports- ground rollers of heading 84.32, harvesting or threshing machinery (including straw or fodder balers) and agricultural or horticultural mowers (other than mowers for lawns, parks or sports-grounds) of heading 84.33, tractors of heading 87.01 powered by internal combustion engines and used for farm purposes only, and spraying vehicles of subheading 8705.90 for agricultural use for spreading dry or liquid fertilizer or sludge 4013.90.90 Other 4014.10.00 Sheath contraceptives 4014.90.10 Containers and parts thereof, for vaccines, toxoids (anatoxins), bacterins, toxins, serums containing immune bodies including antitoxins, glandular extracts or antibiotics, to be employed in the manufacture of such products 4014.90.90 Other 4015.11.00 Surgical 4015.19.10 Protective gloves to be employed with protective suits in a noxious atmosphere 4015.19.90 Other 4015.90.10 Protective suits and parts thereof, to be employed in a noxious atmosphere 4015.90.20 Diving suits 4015.90.90 Other 4016.10.00 Of cellular rubber 4016.91.00 Floor coverings and mats 4016.92.00 Erasers 4016.93.11 Of a kind used in the automotive goods of Chapter 87:</w:t>
      </w:r>
    </w:p>
    <w:p>
      <w:pPr>
        <w:pStyle w:val="Normal"/>
      </w:pPr>
      <w:r>
        <w:t>For use in the manufacture of aftermarket gas tanks and radiators for motor vehicles 4016.93.19 Of a kind used in the automotive goods of Chapter 87: Other 4016.93.91 Other: For use in the</w:t>
      </w:r>
    </w:p>
    <w:p>
      <w:pPr>
        <w:pStyle w:val="Normal"/>
      </w:pPr>
      <w:r>
        <w:t>goods of heading 84.81 or hydraulic pump- motors of subheading 8413.60; For use in the manufacture or repair of engines or parts thereof for commercial fishing vessels; For use in the manufacture of goods of Section XVI, of Chapter 73 or 90, or of heading 87.05 (excluding the motor vehicle chassis portion and parts thereof), such goods being used in the recovery or production of crude oil from shales, oil-sands or tar- sands 4016.93.99 Other: Other 4016.94.00 Boat or dock fenders, whether or not inflatable 4016.95.10 Air mattresses 4016.95.90 Other 4016.99.10 Articles for use in the manufacture of microwave, passive infrared, or combination microwave and passive infrared relays; Backing pads for use with grinders; Bladders or sleeves, for use with tire or tube manufacturing machines; Boots and nipples, for use in the manufacture of ignition wiring sets; Containers and parts thereof (including expelling bulbs), for vaccines, toxoids (anatoxins), bacterins, toxins, serums containing immune bodies including antitoxins, glandular extracts or antibiotics, to be employed in the manufacture of such products;</w:t>
      </w:r>
    </w:p>
    <w:p>
      <w:pPr>
        <w:pStyle w:val="Normal"/>
      </w:pPr>
      <w:r>
        <w:t>Grommets, sleeves and protectors, for use in the manufacture of hose assemblies for brake or steering systems for motorcycles or all-terrain vehicles; Parts for use in the manufacture of aftermarket gas tanks and radiators for motor vehicles; Rail pads; To be employed in the manufacture of sera, antisera, toxoids, viruses, toxins or antitoxins, virus or bacterial vaccines,</w:t>
      </w:r>
    </w:p>
    <w:p>
      <w:pPr>
        <w:pStyle w:val="Normal"/>
      </w:pPr>
      <w:r>
        <w:t>bacteriophage or bacterial lysates, allergenics, liver extracts, pituitary extracts, epinephrine or its solutions, insulin (with or without zinc, globin or protamine) and blood plasma or serum of human origin, or fractions thereof, or extenders or substitutes therefor 4016.99.30 Vibration control articles of a kind used in the vehicles of headings 87.01 through 87.05 4016.99.90 Other 4017.00.10 Rods and tubes; Sheets and strip, of a thickness not exceeding 1.6 mm; Waste and scrap 4017.00.90 Other 4101.20.00 Whole hides and skins, unsplit, of a weight per skin not exceeding 8 kg when simply dried, 10 kg when dry-salted, or 16 kg when fresh, wet-salted or otherwise preserved 4101.50.00 Whole hides and skins, of a weight not exceeding 16 kg 4101.90.00 Other, including butts, bends and bellies 4102.10.00 With wool on 4102.21.00 Pickled 4102.29.00 Other 4103.20.00 Of reptiles 4103.30.00 Of swine 4103.90.00 Other 4104.11.00 Full grains, unsplit; grain splits 4104.19.00 Other 4104.41.00 Full grains, unsplit; grain splits 4104.49.00 Other 4105.10.11 Pre-tanned: For use as processing materials by tanners 4105.10.12 Pre-tanned:</w:t>
      </w:r>
    </w:p>
    <w:p>
      <w:pPr>
        <w:pStyle w:val="Normal"/>
      </w:pPr>
      <w:r>
        <w:t>Vegetable pre-tanned hair sheep skins, and otherwise pre-tanned skins, for use in the manufacture of clothing or gloves 4105.10.19 Pre-tanned: Other 4105.10.21 Wet blue leather: For use as processing materials by tanners 4105.10.29 Wet blue leather: Other 4105.10.91 Other: For use as linings in the manufacture of footwear; For use as processing materials by</w:t>
      </w:r>
    </w:p>
    <w:p>
      <w:pPr>
        <w:pStyle w:val="Normal"/>
      </w:pPr>
      <w:r>
        <w:t>tanners; Hair sheep skins, for use in the manufacture of footwear or ladies’ handbags 4105.10.99 Other: Other 4105.30.00 In the dry state (crust) 4106.21.10 Pre-tanned 4106.21.21 Wet blue leather: For use as processing materials by tanners 4106.21.29 Wet blue leather: Other 4106.21.91 Other: For use as processing materials by tanners; For use in the manufacture of belts, footwear or ladies’ handbags 4106.21.92 Other: For use in the manufacture of clothing or gloves 4106.21.99 Other: Other 4106.22.00 In the dry state (crust) 4106.31.10 Wet blue leather 4106.31.91 Other: For use as linings in the manufacture of footwear; For use in the manufacture of clothing; For use in the manufacture of uppers for footwear 4106.31.92 Other: For use in the manufacture of gloves 4106.31.99 Other: Other 4106.32.00 In the dry state (crust) 4106.40.00 Of reptiles 4106.91.00 In the wet state (including wet-blue) 4106.92.00 In the dry state (crust) 4107.11.00 Full grains, unsplit 4107.12.00 Grain splits 4107.19.00 Other 4107.91.00 Full grains, unsplit 4107.92.00 Grain splits 4107.99.00 Other 4112.00.00 Leather further prepared after tanning or crusting, including parchment-dressed leather, of sheep or lamb, without wool on, whether or not split, other than leather of heading 41.14.</w:t>
      </w:r>
    </w:p>
    <w:p>
      <w:pPr>
        <w:pStyle w:val="Normal"/>
      </w:pPr>
      <w:r>
        <w:t>4113.10.00 Of goats or kids 4113.20.00 Of swine 4113.30.00 Of reptiles 4113.90.00 Other 4114.10.00 Chamois (including combination chamois) leather 4114.20.00 Patent leather and patent laminated leather; metallized leather 4115.10.00 Composition leather with a basis of leather or leather fibre, in slabs, sheets or strip, whether or not in rolls 4115.20.00 Parings and other waste of leather or of composition leather, not suitable for the manufacture of leather articles; leather dust, powder and flour 4201.00.10 English type saddles 4201.00.90 Other 4202.11.00 With outer surface of leather or of composition leather 4202.12.10 With outer surface of textile materials, containing less than 85% by weight of silk or silk waste 4202.12.90 Other 4202.19.00 Other 4202.21.00 With outer surface of leather or of composition leather 4202.22.10 With outer surface of textile materials (other than of abaca), containing less than 85% by weight of silk or silk waste 4202.22.90 Other 4202.29.00 Other 4202.31.00 With outer surface of leather or of composition leather 4202.32.10 With outer surface of textile materials, containing less than 85% by weight of silk or silk waste 4202.32.90 Other 4202.39.00 Other 4202.91.10 Fitted cases for church bells;</w:t>
      </w:r>
    </w:p>
    <w:p>
      <w:pPr>
        <w:pStyle w:val="Normal"/>
      </w:pPr>
      <w:r>
        <w:t>Golfbags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4202.91.20</w:t>
            </w:r>
          </w:p>
        </w:tc>
        <w:tc>
          <w:tcPr>
            <w:tcW w:w="4679" w:type="dxa"/>
            <w:tcMar>
              <w:top w:w="70" w:type="dxa"/>
              <w:start w:w="110" w:type="dxa"/>
              <w:bottom w:w="70" w:type="dxa"/>
              <w:end w:w="110" w:type="dxa"/>
            </w:tcMar>
            <w:vAlign w:val="center"/>
          </w:tcPr>
          <w:p>
            <w:pPr>
              <w:pStyle w:val="TableText"/>
              <w:jc w:val="left"/>
            </w:pPr>
            <w:r>
              <w:rPr>
                <w:lang w:val="en-US" w:eastAsia="en-US" w:bidi="ar-SA"/>
              </w:rPr>
              <w:t>Tool bags, haversacks, knapsacks, packsacks and rucksacks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4202.91.90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4202.92.10</w:t>
            </w:r>
          </w:p>
        </w:tc>
        <w:tc>
          <w:tcPr>
            <w:tcW w:w="4679" w:type="dxa"/>
            <w:tcMar>
              <w:top w:w="70" w:type="dxa"/>
              <w:start w:w="110" w:type="dxa"/>
              <w:bottom w:w="70" w:type="dxa"/>
              <w:end w:w="110" w:type="dxa"/>
            </w:tcMar>
            <w:vAlign w:val="center"/>
          </w:tcPr>
          <w:p>
            <w:pPr>
              <w:pStyle w:val="TableText"/>
              <w:jc w:val="left"/>
            </w:pPr>
            <w:r>
              <w:rPr>
                <w:lang w:val="en-US" w:eastAsia="en-US" w:bidi="ar-SA"/>
              </w:rPr>
              <w:t>Fitted cases for church bells; Golf bags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4202.92.20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Tool bags, haversacks, knapsacks, packsacks and rucksacks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4202.99.10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Fitted</w:t>
            </w:r>
          </w:p>
        </w:tc>
      </w:tr>
    </w:tbl>
    <w:p>
      <w:pPr>
        <w:pStyle w:val="Normal"/>
      </w:pPr>
      <w:r>
        <w:t>cases for church bells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4203.21.10</w:t>
            </w:r>
          </w:p>
        </w:tc>
        <w:tc>
          <w:tcPr>
            <w:tcW w:w="4679" w:type="dxa"/>
            <w:tcMar>
              <w:top w:w="70" w:type="dxa"/>
              <w:start w:w="110" w:type="dxa"/>
              <w:bottom w:w="70" w:type="dxa"/>
              <w:end w:w="110" w:type="dxa"/>
            </w:tcMar>
            <w:vAlign w:val="center"/>
          </w:tcPr>
          <w:p>
            <w:pPr>
              <w:pStyle w:val="TableText"/>
              <w:jc w:val="left"/>
            </w:pPr>
            <w:r>
              <w:rPr>
                <w:lang w:val="en-US" w:eastAsia="en-US" w:bidi="ar-SA"/>
              </w:rPr>
              <w:t>Gloves for cricket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4203.21.90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4203.29.10</w:t>
            </w:r>
          </w:p>
        </w:tc>
        <w:tc>
          <w:tcPr>
            <w:tcW w:w="4679" w:type="dxa"/>
            <w:tcMar>
              <w:top w:w="70" w:type="dxa"/>
              <w:start w:w="110" w:type="dxa"/>
              <w:bottom w:w="70" w:type="dxa"/>
              <w:end w:w="110" w:type="dxa"/>
            </w:tcMar>
            <w:vAlign w:val="center"/>
          </w:tcPr>
          <w:p>
            <w:pPr>
              <w:pStyle w:val="TableText"/>
              <w:jc w:val="left"/>
            </w:pPr>
            <w:r>
              <w:rPr>
                <w:lang w:val="en-US" w:eastAsia="en-US" w:bidi="ar-SA"/>
              </w:rPr>
              <w:t>Gloves of kid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4203.30.00</w:t>
            </w:r>
          </w:p>
        </w:tc>
        <w:tc>
          <w:tcPr>
            <w:tcW w:w="4679" w:type="dxa"/>
            <w:tcMar>
              <w:top w:w="70" w:type="dxa"/>
              <w:start w:w="110" w:type="dxa"/>
              <w:bottom w:w="70" w:type="dxa"/>
              <w:end w:w="110" w:type="dxa"/>
            </w:tcMar>
            <w:vAlign w:val="center"/>
          </w:tcPr>
          <w:p>
            <w:pPr>
              <w:pStyle w:val="TableText"/>
              <w:jc w:val="left"/>
            </w:pPr>
            <w:r>
              <w:rPr>
                <w:lang w:val="en-US" w:eastAsia="en-US" w:bidi="ar-SA"/>
              </w:rPr>
              <w:t>Belts and bandoliers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clothing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4205.00.00</w:t>
            </w:r>
          </w:p>
        </w:tc>
        <w:tc>
          <w:tcPr>
            <w:tcW w:w="4679" w:type="dxa"/>
            <w:tcMar>
              <w:top w:w="70" w:type="dxa"/>
              <w:start w:w="110" w:type="dxa"/>
              <w:bottom w:w="70" w:type="dxa"/>
              <w:end w:w="110" w:type="dxa"/>
            </w:tcMar>
            <w:vAlign w:val="center"/>
          </w:tcPr>
          <w:p>
            <w:pPr>
              <w:pStyle w:val="TableText"/>
              <w:jc w:val="left"/>
            </w:pPr>
            <w:r>
              <w:rPr>
                <w:lang w:val="en-US" w:eastAsia="en-US" w:bidi="ar-SA"/>
              </w:rPr>
              <w:t>Other articles of leather or of composition leather.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4206.00.10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Catgut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4206.00.90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mink, whole, with or without head, tail or paws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4301.30.00</w:t>
            </w:r>
          </w:p>
        </w:tc>
        <w:tc>
          <w:tcPr>
            <w:tcW w:w="4679" w:type="dxa"/>
            <w:tcMar>
              <w:top w:w="70" w:type="dxa"/>
              <w:start w:w="110" w:type="dxa"/>
              <w:bottom w:w="70" w:type="dxa"/>
              <w:end w:w="110" w:type="dxa"/>
            </w:tcMar>
            <w:vAlign w:val="center"/>
          </w:tcPr>
          <w:p>
            <w:pPr>
              <w:pStyle w:val="TableText"/>
              <w:jc w:val="left"/>
            </w:pPr>
            <w:r>
              <w:rPr>
                <w:lang w:val="en-US" w:eastAsia="en-US" w:bidi="ar-SA"/>
              </w:rPr>
              <w:t>Of lamb, the following: Astrakhan, Broadtail, Caracul, Persian and similar lamb, Indian, Chinese, Mongolian or Tibetan lamb, whole, with or without head, tail or paws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4301.60.00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fox, whole, with or without head, tail or paws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4301.80.00</w:t>
            </w:r>
          </w:p>
        </w:tc>
        <w:tc>
          <w:tcPr>
            <w:tcW w:w="4679" w:type="dxa"/>
            <w:tcMar>
              <w:top w:w="70" w:type="dxa"/>
              <w:start w:w="110" w:type="dxa"/>
              <w:bottom w:w="70" w:type="dxa"/>
              <w:end w:w="110" w:type="dxa"/>
            </w:tcMar>
            <w:vAlign w:val="center"/>
          </w:tcPr>
          <w:p>
            <w:pPr>
              <w:pStyle w:val="TableText"/>
              <w:jc w:val="left"/>
            </w:pPr>
            <w:r>
              <w:rPr>
                <w:lang w:val="en-US" w:eastAsia="en-US" w:bidi="ar-SA"/>
              </w:rPr>
              <w:t>Other furskins, whole, with or without head, tail or paws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Heads, tails, paws and other pieces or cuttings, suitable for furriers’ use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4302.11.00</w:t>
            </w:r>
          </w:p>
        </w:tc>
        <w:tc>
          <w:tcPr>
            <w:tcW w:w="4679" w:type="dxa"/>
            <w:tcMar>
              <w:top w:w="70" w:type="dxa"/>
              <w:start w:w="110" w:type="dxa"/>
              <w:bottom w:w="70" w:type="dxa"/>
              <w:end w:w="110" w:type="dxa"/>
            </w:tcMar>
            <w:vAlign w:val="center"/>
          </w:tcPr>
          <w:p>
            <w:pPr>
              <w:pStyle w:val="TableText"/>
              <w:jc w:val="left"/>
            </w:pPr>
            <w:r>
              <w:rPr>
                <w:lang w:val="en-US" w:eastAsia="en-US" w:bidi="ar-SA"/>
              </w:rPr>
              <w:t>Of mink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4302.20.00</w:t>
            </w:r>
          </w:p>
        </w:tc>
        <w:tc>
          <w:tcPr>
            <w:tcW w:w="4679" w:type="dxa"/>
            <w:tcMar>
              <w:top w:w="70" w:type="dxa"/>
              <w:start w:w="110" w:type="dxa"/>
              <w:bottom w:w="70" w:type="dxa"/>
              <w:end w:w="110" w:type="dxa"/>
            </w:tcMar>
            <w:vAlign w:val="center"/>
          </w:tcPr>
          <w:p>
            <w:pPr>
              <w:pStyle w:val="TableText"/>
              <w:jc w:val="left"/>
            </w:pPr>
            <w:r>
              <w:rPr>
                <w:lang w:val="en-US" w:eastAsia="en-US" w:bidi="ar-SA"/>
              </w:rPr>
              <w:t>Heads, tails, paws and other pieces or cuttings, not assembled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4302.30.10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China goat mats or plates; Rabbit or hare fur plates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4302.30.90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Gloves, mittens and mitts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4303.10.20</w:t>
            </w:r>
          </w:p>
        </w:tc>
        <w:tc>
          <w:tcPr>
            <w:tcW w:w="4679" w:type="dxa"/>
            <w:tcMar>
              <w:top w:w="70" w:type="dxa"/>
              <w:start w:w="110" w:type="dxa"/>
              <w:bottom w:w="70" w:type="dxa"/>
              <w:end w:w="110" w:type="dxa"/>
            </w:tcMar>
            <w:vAlign w:val="center"/>
          </w:tcPr>
          <w:p>
            <w:pPr>
              <w:pStyle w:val="TableText"/>
              <w:jc w:val="left"/>
            </w:pPr>
            <w:r>
              <w:rPr>
                <w:lang w:val="en-US" w:eastAsia="en-US" w:bidi="ar-SA"/>
              </w:rPr>
              <w:t>Leather garments lined with furskin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4303.10.90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4304.00.00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Artificial fur and articles thereof.</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4401.12.00</w:t>
            </w:r>
          </w:p>
        </w:tc>
        <w:tc>
          <w:tcPr>
            <w:tcW w:w="4679" w:type="dxa"/>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4401.22.00</w:t>
            </w:r>
          </w:p>
        </w:tc>
        <w:tc>
          <w:tcPr>
            <w:tcW w:w="4679" w:type="dxa"/>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Wood pellets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4401.39.00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Sawdust and wood waste and scrap, not agglomerated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4402.10.10</w:t>
            </w:r>
          </w:p>
        </w:tc>
        <w:tc>
          <w:tcPr>
            <w:tcW w:w="4679" w:type="dxa"/>
            <w:tcMar>
              <w:top w:w="70" w:type="dxa"/>
              <w:start w:w="110" w:type="dxa"/>
              <w:bottom w:w="70" w:type="dxa"/>
              <w:end w:w="110" w:type="dxa"/>
            </w:tcMar>
            <w:vAlign w:val="center"/>
          </w:tcPr>
          <w:p>
            <w:pPr>
              <w:pStyle w:val="TableText"/>
              <w:jc w:val="left"/>
            </w:pPr>
            <w:r>
              <w:rPr>
                <w:lang w:val="en-US" w:eastAsia="en-US" w:bidi="ar-SA"/>
              </w:rPr>
              <w:t>Wood charcoal (not including shell or nut charcoal), containing 10% or less by weight of binder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4402.10.90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4402.90.10</w:t>
            </w:r>
          </w:p>
        </w:tc>
        <w:tc>
          <w:tcPr>
            <w:tcW w:w="4679" w:type="dxa"/>
            <w:tcMar>
              <w:top w:w="70" w:type="dxa"/>
              <w:start w:w="110" w:type="dxa"/>
              <w:bottom w:w="70" w:type="dxa"/>
              <w:end w:w="110" w:type="dxa"/>
            </w:tcMar>
            <w:vAlign w:val="center"/>
          </w:tcPr>
          <w:p>
            <w:pPr>
              <w:pStyle w:val="TableText"/>
              <w:jc w:val="left"/>
            </w:pPr>
            <w:r>
              <w:rPr>
                <w:lang w:val="en-US" w:eastAsia="en-US" w:bidi="ar-SA"/>
              </w:rPr>
              <w:t>Charcoal of coconut shell for use in the manufacture of activated carbon;</w:t>
            </w:r>
          </w:p>
        </w:tc>
      </w:tr>
    </w:tbl>
    <w:p>
      <w:pPr>
        <w:pStyle w:val="Normal"/>
      </w:pPr>
      <w:r>
        <w:t>Wood charcoal (not including shell or nut charcoal), containing 10% or less by weight of binder 4402.90.90 Other 4403.11.00 Coniferous 4403.12.00 Non-coniferous 4403.21.00 Of pine (Pinus spp.), of which any cross-sectional dimension is 15 cm or more 4403.22.00 Of pine (Pinus spp.), other 4403.23.00 Of fir (Abies spp.) and spruce (Picea spp.), of which any cross- sectional dimension is 15 cm or more 4403.24.00 Of fir (Abies spp.) and spruce (Picea spp.), other 4403.25.00 Other, of which any cross-sectional dimension is 15 cm or more 4403.26.00 Other 4403.41.00 Dark Red Meranti, Light Red Meranti and Meranti Bakau 4403.49.00 Other 4403.91.00 Of oak (Quercus spp.) 4403.93.00 Of beech (Fagus spp.), of which any cross-sectional dimension is 15 cm or more 4403.94.00 Of beech (Fagus spp.), other 4403.95.00 Of birch (Betula spp.), of which any cross-sectional dimension is 15 cm or more 4403.96.00 Of birch (Betula spp.), other 4403.97.00 Of poplar and aspen (Populus spp.) 4403.98.00 Of eucalyptus (Eucalyptus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4403.99.00</w:t>
            </w:r>
          </w:p>
        </w:tc>
        <w:tc>
          <w:tcPr>
            <w:tcW w:w="4679" w:type="dxa"/>
            <w:tcMar>
              <w:top w:w="70" w:type="dxa"/>
              <w:start w:w="110" w:type="dxa"/>
              <w:bottom w:w="70" w:type="dxa"/>
              <w:end w:w="110" w:type="dxa"/>
            </w:tcMar>
            <w:vAlign w:val="center"/>
          </w:tcPr>
          <w:p>
            <w:pPr>
              <w:pStyle w:val="TableText"/>
              <w:jc w:val="left"/>
            </w:pPr>
            <w:r>
              <w:rPr>
                <w:lang w:val="en-US" w:eastAsia="en-US" w:bidi="ar-SA"/>
              </w:rPr>
              <w:t>)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4404.20.00</w:t>
            </w:r>
          </w:p>
        </w:tc>
        <w:tc>
          <w:tcPr>
            <w:tcW w:w="4679" w:type="dxa"/>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4405.00.00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Wood wool; wood flour.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4406.11.00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4406.12.00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4406.91.00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4407.11.00</w:t>
            </w:r>
          </w:p>
        </w:tc>
        <w:tc>
          <w:tcPr>
            <w:tcW w:w="4679" w:type="dxa"/>
            <w:tcMar>
              <w:top w:w="70" w:type="dxa"/>
              <w:start w:w="110" w:type="dxa"/>
              <w:bottom w:w="70" w:type="dxa"/>
              <w:end w:w="110" w:type="dxa"/>
            </w:tcMar>
            <w:vAlign w:val="center"/>
          </w:tcPr>
          <w:p>
            <w:pPr>
              <w:pStyle w:val="TableText"/>
              <w:jc w:val="left"/>
            </w:pPr>
            <w:r>
              <w:rPr>
                <w:lang w:val="en-US" w:eastAsia="en-US" w:bidi="ar-SA"/>
              </w:rPr>
              <w:t>Of pine (Pinus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fir (Abies spp.) and spruce (Picea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Mahogany (Swietenia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4407.22.00</w:t>
            </w:r>
          </w:p>
        </w:tc>
        <w:tc>
          <w:tcPr>
            <w:tcW w:w="4679" w:type="dxa"/>
            <w:tcMar>
              <w:top w:w="70" w:type="dxa"/>
              <w:start w:w="110" w:type="dxa"/>
              <w:bottom w:w="70" w:type="dxa"/>
              <w:end w:w="110" w:type="dxa"/>
            </w:tcMar>
            <w:vAlign w:val="center"/>
          </w:tcPr>
          <w:p>
            <w:pPr>
              <w:pStyle w:val="TableText"/>
              <w:jc w:val="left"/>
            </w:pPr>
            <w:r>
              <w:rPr>
                <w:lang w:val="en-US" w:eastAsia="en-US" w:bidi="ar-SA"/>
              </w:rPr>
              <w:t>Virola, Imbuia and Balsa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Dark Red Meranti, Light Red Meranti and Meranti Bakau</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4407.26.00</w:t>
            </w:r>
          </w:p>
        </w:tc>
        <w:tc>
          <w:tcPr>
            <w:tcW w:w="4679" w:type="dxa"/>
            <w:tcMar>
              <w:top w:w="70" w:type="dxa"/>
              <w:start w:w="110" w:type="dxa"/>
              <w:bottom w:w="70" w:type="dxa"/>
              <w:end w:w="110" w:type="dxa"/>
            </w:tcMar>
            <w:vAlign w:val="center"/>
          </w:tcPr>
          <w:p>
            <w:pPr>
              <w:pStyle w:val="TableText"/>
              <w:jc w:val="left"/>
            </w:pPr>
            <w:r>
              <w:rPr>
                <w:lang w:val="en-US" w:eastAsia="en-US" w:bidi="ar-SA"/>
              </w:rPr>
              <w:t>White Lauan, White Meranti, White Seraya, Yellow Meranti and Alan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Sapelli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4407.28.00</w:t>
            </w:r>
          </w:p>
        </w:tc>
        <w:tc>
          <w:tcPr>
            <w:tcW w:w="4679" w:type="dxa"/>
            <w:tcMar>
              <w:top w:w="70" w:type="dxa"/>
              <w:start w:w="110" w:type="dxa"/>
              <w:bottom w:w="70" w:type="dxa"/>
              <w:end w:w="110" w:type="dxa"/>
            </w:tcMar>
            <w:vAlign w:val="center"/>
          </w:tcPr>
          <w:p>
            <w:pPr>
              <w:pStyle w:val="TableText"/>
              <w:jc w:val="left"/>
            </w:pPr>
            <w:r>
              <w:rPr>
                <w:lang w:val="en-US" w:eastAsia="en-US" w:bidi="ar-SA"/>
              </w:rPr>
              <w:t>Iroko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4407.91.00</w:t>
            </w:r>
          </w:p>
        </w:tc>
        <w:tc>
          <w:tcPr>
            <w:tcW w:w="4679" w:type="dxa"/>
            <w:tcMar>
              <w:top w:w="70" w:type="dxa"/>
              <w:start w:w="110" w:type="dxa"/>
              <w:bottom w:w="70" w:type="dxa"/>
              <w:end w:w="110" w:type="dxa"/>
            </w:tcMar>
            <w:vAlign w:val="center"/>
          </w:tcPr>
          <w:p>
            <w:pPr>
              <w:pStyle w:val="TableText"/>
              <w:jc w:val="left"/>
            </w:pPr>
            <w:r>
              <w:rPr>
                <w:lang w:val="en-US" w:eastAsia="en-US" w:bidi="ar-SA"/>
              </w:rPr>
              <w:t>Of oak (Quercus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beech (Fagus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4407.93.00</w:t>
            </w:r>
          </w:p>
        </w:tc>
        <w:tc>
          <w:tcPr>
            <w:tcW w:w="4679" w:type="dxa"/>
            <w:tcMar>
              <w:top w:w="70" w:type="dxa"/>
              <w:start w:w="110" w:type="dxa"/>
              <w:bottom w:w="70" w:type="dxa"/>
              <w:end w:w="110" w:type="dxa"/>
            </w:tcMar>
            <w:vAlign w:val="center"/>
          </w:tcPr>
          <w:p>
            <w:pPr>
              <w:pStyle w:val="TableText"/>
              <w:jc w:val="left"/>
            </w:pPr>
            <w:r>
              <w:rPr>
                <w:lang w:val="en-US" w:eastAsia="en-US" w:bidi="ar-SA"/>
              </w:rPr>
              <w:t>Of maple (Acer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cherry (Prunus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4407.95.00</w:t>
            </w:r>
          </w:p>
        </w:tc>
        <w:tc>
          <w:tcPr>
            <w:tcW w:w="4679" w:type="dxa"/>
            <w:tcMar>
              <w:top w:w="70" w:type="dxa"/>
              <w:start w:w="110" w:type="dxa"/>
              <w:bottom w:w="70" w:type="dxa"/>
              <w:end w:w="110" w:type="dxa"/>
            </w:tcMar>
            <w:vAlign w:val="center"/>
          </w:tcPr>
          <w:p>
            <w:pPr>
              <w:pStyle w:val="TableText"/>
              <w:jc w:val="left"/>
            </w:pPr>
            <w:r>
              <w:rPr>
                <w:lang w:val="en-US" w:eastAsia="en-US" w:bidi="ar-SA"/>
              </w:rPr>
              <w:t>Of ash (Fraxinus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birch (Betula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4407.97.00</w:t>
            </w:r>
          </w:p>
        </w:tc>
        <w:tc>
          <w:tcPr>
            <w:tcW w:w="4679" w:type="dxa"/>
            <w:tcMar>
              <w:top w:w="70" w:type="dxa"/>
              <w:start w:w="110" w:type="dxa"/>
              <w:bottom w:w="70" w:type="dxa"/>
              <w:end w:w="110" w:type="dxa"/>
            </w:tcMar>
            <w:vAlign w:val="center"/>
          </w:tcPr>
          <w:p>
            <w:pPr>
              <w:pStyle w:val="TableText"/>
              <w:jc w:val="left"/>
            </w:pPr>
            <w:r>
              <w:rPr>
                <w:lang w:val="en-US" w:eastAsia="en-US" w:bidi="ar-SA"/>
              </w:rPr>
              <w:t>Of poplar and aspen (Populus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4408.10.10</w:t>
            </w:r>
          </w:p>
        </w:tc>
        <w:tc>
          <w:tcPr>
            <w:tcW w:w="4679" w:type="dxa"/>
            <w:tcMar>
              <w:top w:w="70" w:type="dxa"/>
              <w:start w:w="110" w:type="dxa"/>
              <w:bottom w:w="70" w:type="dxa"/>
              <w:end w:w="110" w:type="dxa"/>
            </w:tcMar>
            <w:vAlign w:val="center"/>
          </w:tcPr>
          <w:p>
            <w:pPr>
              <w:pStyle w:val="TableText"/>
              <w:jc w:val="left"/>
            </w:pPr>
            <w:r>
              <w:rPr>
                <w:lang w:val="en-US" w:eastAsia="en-US" w:bidi="ar-SA"/>
              </w:rPr>
              <w:t>Sheets for veneering obtained by slicing laminated wood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4408.10.90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4408.31.00</w:t>
            </w:r>
          </w:p>
        </w:tc>
        <w:tc>
          <w:tcPr>
            <w:tcW w:w="4679" w:type="dxa"/>
            <w:tcMar>
              <w:top w:w="70" w:type="dxa"/>
              <w:start w:w="110" w:type="dxa"/>
              <w:bottom w:w="70" w:type="dxa"/>
              <w:end w:w="110" w:type="dxa"/>
            </w:tcMar>
            <w:vAlign w:val="center"/>
          </w:tcPr>
          <w:p>
            <w:pPr>
              <w:pStyle w:val="TableText"/>
              <w:jc w:val="left"/>
            </w:pPr>
            <w:r>
              <w:rPr>
                <w:lang w:val="en-US" w:eastAsia="en-US" w:bidi="ar-SA"/>
              </w:rPr>
              <w:t>Dark Red Meranti, Light Red Meranti and Meranti Bakau</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4408.39.00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4408.90.10</w:t>
            </w:r>
          </w:p>
        </w:tc>
        <w:tc>
          <w:tcPr>
            <w:tcW w:w="4679" w:type="dxa"/>
            <w:tcMar>
              <w:top w:w="70" w:type="dxa"/>
              <w:start w:w="110" w:type="dxa"/>
              <w:bottom w:w="70" w:type="dxa"/>
              <w:end w:w="110" w:type="dxa"/>
            </w:tcMar>
            <w:vAlign w:val="center"/>
          </w:tcPr>
          <w:p>
            <w:pPr>
              <w:pStyle w:val="TableText"/>
              <w:jc w:val="left"/>
            </w:pPr>
            <w:r>
              <w:rPr>
                <w:lang w:val="en-US" w:eastAsia="en-US" w:bidi="ar-SA"/>
              </w:rPr>
              <w:t>Sheets for veneering obtained by slicing laminated wood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4408.90.90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4409.10.00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bamboo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4409.22.00</w:t>
            </w:r>
          </w:p>
        </w:tc>
        <w:tc>
          <w:tcPr>
            <w:tcW w:w="4679" w:type="dxa"/>
            <w:tcMar>
              <w:top w:w="70" w:type="dxa"/>
              <w:start w:w="110" w:type="dxa"/>
              <w:bottom w:w="70" w:type="dxa"/>
              <w:end w:w="110" w:type="dxa"/>
            </w:tcMar>
            <w:vAlign w:val="center"/>
          </w:tcPr>
          <w:p>
            <w:pPr>
              <w:pStyle w:val="TableText"/>
              <w:jc w:val="left"/>
            </w:pPr>
            <w:r>
              <w:rPr>
                <w:lang w:val="en-US" w:eastAsia="en-US" w:bidi="ar-SA"/>
              </w:rPr>
              <w:t>Of tropical wood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4409.29.10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Flooring of oak (Quercus spp.</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4409.29.90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4410.11.00</w:t>
            </w:r>
          </w:p>
        </w:tc>
        <w:tc>
          <w:tcPr>
            <w:tcW w:w="4679" w:type="dxa"/>
            <w:tcMar>
              <w:top w:w="70" w:type="dxa"/>
              <w:start w:w="110" w:type="dxa"/>
              <w:bottom w:w="70" w:type="dxa"/>
              <w:end w:w="110" w:type="dxa"/>
            </w:tcMar>
            <w:vAlign w:val="center"/>
          </w:tcPr>
          <w:p>
            <w:pPr>
              <w:pStyle w:val="TableText"/>
              <w:jc w:val="left"/>
            </w:pPr>
            <w:r>
              <w:rPr>
                <w:lang w:val="en-US" w:eastAsia="en-US" w:bidi="ar-SA"/>
              </w:rPr>
              <w:t>Particle 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4410.12.00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Oriented strand board (OSB)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4411.12.00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not exceeding 5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4411.13.00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exceeding 5 mm but not exceeding 9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4411.14.00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exceeding 9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4411.92.10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mechanically worked or surface covered;</w:t>
            </w:r>
          </w:p>
        </w:tc>
      </w:tr>
    </w:tbl>
    <w:p>
      <w:pPr>
        <w:pStyle w:val="Normal"/>
      </w:pPr>
      <w:r>
        <w:t>Resin impregnated, containing 17% or more by weight of phenol- formaldehyde resin, for use in the manufacture of overlaid plywood or overlaid particle board 4411.92.90 Other 4411.93.00 Of a density exceeding 0.5 g/cm³ but not exceeding 0.8 g/cm³ 4411.94.00 Of a density not exceeding 0.5 g/cm³ 4412.10.10 With at least one outer ply of non-coniferous wood 4412.10.90 Other 4412.31.00 With at least one outer ply of tropical wood 4412.33.00 Other, with at least one outer ply of non-coniferous wood of the species alder (Alnus spp.), ash (Fraxinus spp.), beech (Fagus spp.), birch (Betula spp.), cherry (Prunus spp.), chestnut (Castanea spp.), elm (Ulmus spp.), eucalyptus (Eucalyptus spp.), hickory (Carya spp.), horse chestnut (Aesculus spp.), lime (Tilia spp.), maple (Acer spp.), oak (Quercus spp.), plane tree (Platanus spp.), poplar and aspen (Populus spp.), robinia (Robinia spp.), tulipwood (Liriodendron spp.) or walnut (Juglans spp.)</w:t>
      </w:r>
    </w:p>
    <w:p>
      <w:pPr>
        <w:pStyle w:val="Normal"/>
      </w:pPr>
      <w:r>
        <w:t>4412.34.00 Other, with at least one outer ply of non-coniferous wood not specified under subheading 4412.33 4412.39.00 Other, with both outer plies of coniferous wood 4412.94.10 With outer ply of coniferous wood, containing at least one layer of particle board; Plywood core boards or wood block core boards, mahogany- veneered, for use in the manufacture of door jambs 4412.94.90 Other 4412.99.10 Containing at least one layer of particle board; Plywood core boards or wood block core boards, mahogany- veneered, for use in the manufacture of door jambs 4412.99.90 Other 4413.00.00 Densified wood, in blocks, plates, strips or profile shapes. 4414.00.00 Wooden frames for paintings, photographs, mirrors or similar objects. 4415.10.10 Reusable containers, specially designed to be employed in the transportation of motor vehicle components which are free of customs duties, presented with the goods therein 4415.10.80 Other cases, boxes and crates 4415.10.90 Other 4415.20.00 Pallets, box pallets and other load boards; pallet collars 4416.00.00 Casks, barrels, vats, tubs and other coopers’ products and parts thereof, of wood, including staves.</w:t>
      </w:r>
    </w:p>
    <w:p>
      <w:pPr>
        <w:pStyle w:val="Normal"/>
      </w:pPr>
      <w:r>
        <w:t>4417.00.10 Handles for axes, spades, hand shovels, hand hoes, hand rakes and hand forks, not further manufactured than turned; Handles for brushes, brooms or mops; Handles for scythes (snaths) 4417.00.90 Other 4418.10.10 Window frames 4418.10.90 Other 4418.20.00 Doors and their frames and thresholds 4418.40.00 Shuttering for concrete constructional work 4418.50.00 Shingles and shakes 4418.60.00 Posts and beams 4418.73.00 Of bamboo or with at least the top layer (wear layer) of bamboo 4418.74.00 Other, for mosaic floors 4418.75.00 Other, multilayer 4418.79.00 Other 4418.91.00 Of bamboo 4418.99.00 Other 4419.11.00 Bread boards, chopping boards and similar boards 4419.12.00 Chopsticks 4419.19.00 Other 4419.90.00 Other 4420.10.00 Statuettes and other ornaments, of wood 4420.90.00 Other 4421.10.00 Clothes hangers 4421.91.10 Cross arms, drilled; Die models, to be employed as blueprint substitutes in the manufacture, assembly, erection, installation, operation or maintenance of machines, test sets, engines, apparatus, appliances, plant equipment and parts thereof; Hay stack forms; Mouldings (other than the goods of heading 44.09), continuously shaped, and not further processed than treated with fire retardant materials, fillers, sealers, waxes, oils, stains, varnishes, paints or enamels; Saddle trees;</w:t>
      </w:r>
    </w:p>
    <w:p>
      <w:pPr>
        <w:pStyle w:val="Normal"/>
      </w:pPr>
      <w:r>
        <w:t>Spokes and last blocks not further manufactured than turned; Trellises and fencing panels 4421.91.20 Blinds; Labels; Signs, letters and numerals; Window shade or blind rollers</w:t>
      </w:r>
    </w:p>
    <w:p>
      <w:pPr>
        <w:pStyle w:val="Normal"/>
      </w:pPr>
      <w:r>
        <w:t>4421.91.30 Coffins and caskets 4421.91.90 Other 4421.99.10 Cross arms, drilled; Die models, to be employed as blueprint substitutes in the manufacture, assembly, erection, installation, operation or maintenance of machines, test sets, engines, apparatus, appliances, plant equipment and parts thereof; Felloes of hickory or oak; Hay stack forms; Mouldings (other than the goods of heading 44.09), continuously shaped, and not further processed than treated with fire retardant materials, fillers, sealers, waxes, oils, stains, varnishes, paints or enamels; Saddle trees and stirrups; Spokes and last blocks not further manufactured than turned; Trellises and fencing panels 4421.99.20 Blinds; Labels; Signs, letters and numerals; Window shade or blind rollers 4421.99.30 Coffins and caskets; Joiners’ benches and trestles 4421.99.90 Other 4501.10.00 Natural cork, raw or simply prepared 4501.90.00 Other 4502.00.00 Natural cork, debacked or roughly squared, or in rectangular (including square) blocks, plates, sheets or strip, (including sharp- edged blanks for corks or stoppers).</w:t>
      </w:r>
    </w:p>
    <w:p>
      <w:pPr>
        <w:pStyle w:val="Normal"/>
      </w:pPr>
      <w:r>
        <w:t>4503.10.00 Corks and stoppers 4503.90.00 Other 4504.10.00 Blocks, plates, sheets and strip; tiles of any shape; solid cylinders, including discs 4504.90.00 Other 4601.21.00 Of bamboo 4601.22.00 Of rattan 4601.29.10 Mats and matting of sisal, palm or cane straw 4601.29.90 Other 4601.92.10 Plaits and similar products of plaiting materials, whether or not assembled into strips 4601.92.90 Other 4601.93.10 Plaits and similar products of plaiting materials, whether or not assembled into strips 4601.93.90 Other 4601.94.10 Plaits and similar products of plaiting materials, whether or not assembled into strips 4601.94.90 Other 4601.99.10 Plaits and similar products of plaiting materials, whether or not assembled into strips 4601.99.90 Other 4602.11.10 Handbags; Trunks, travelling-bags and cases, shopping-bags and hatboxes 4602.11.92 Other: Baskets 4602.11.93 Other: Panniers specially designed for transporting and releasing pigeons 4602.11.99 Other: Other 4602.12.10 Handbags other than of palm straw or cane straw; Trunks, travelling-bags and cases, shopping-bags and hatboxes 4602.12.91 Other: Handbags of palm straw 4602.12.92 Other: Baskets of interwoven vegetable fibres 4602.12.93 Other: Panniers specially designed for transporting and releasing pigeons 4602.12.99 Other:</w:t>
      </w:r>
    </w:p>
    <w:p>
      <w:pPr>
        <w:pStyle w:val="Normal"/>
      </w:pPr>
      <w:r>
        <w:t>Other 4602.19.10 Handbags other than of sisal, palm straw or cane straw; Trunks, travelling-bags and cases, shopping-bags and hatboxes 4602.19.91 Other: Handbags of sisal, palm straw or cane straw 4602.19.92 Other:</w:t>
      </w:r>
    </w:p>
    <w:p>
      <w:pPr>
        <w:pStyle w:val="Normal"/>
      </w:pPr>
      <w:r>
        <w:t>Baskets of interwoven vegetable fibres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4602.19.93</w:t>
            </w:r>
          </w:p>
        </w:tc>
        <w:tc>
          <w:tcPr>
            <w:tcW w:w="4679" w:type="dxa"/>
            <w:tcMar>
              <w:top w:w="70" w:type="dxa"/>
              <w:start w:w="110" w:type="dxa"/>
              <w:bottom w:w="70" w:type="dxa"/>
              <w:end w:w="110" w:type="dxa"/>
            </w:tcMar>
            <w:vAlign w:val="center"/>
          </w:tcPr>
          <w:p>
            <w:pPr>
              <w:pStyle w:val="TableText"/>
              <w:jc w:val="left"/>
            </w:pPr>
            <w:r>
              <w:rPr>
                <w:lang w:val="en-US" w:eastAsia="en-US" w:bidi="ar-SA"/>
              </w:rPr>
              <w:t>Other: Panniers specially designed for transporting and releasing pigeons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4602.19.99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4602.90.10</w:t>
            </w:r>
          </w:p>
        </w:tc>
        <w:tc>
          <w:tcPr>
            <w:tcW w:w="4679" w:type="dxa"/>
            <w:tcMar>
              <w:top w:w="70" w:type="dxa"/>
              <w:start w:w="110" w:type="dxa"/>
              <w:bottom w:w="70" w:type="dxa"/>
              <w:end w:w="110" w:type="dxa"/>
            </w:tcMar>
            <w:vAlign w:val="center"/>
          </w:tcPr>
          <w:p>
            <w:pPr>
              <w:pStyle w:val="TableText"/>
              <w:jc w:val="left"/>
            </w:pPr>
            <w:r>
              <w:rPr>
                <w:lang w:val="en-US" w:eastAsia="en-US" w:bidi="ar-SA"/>
              </w:rPr>
              <w:t>Baskets, trunks, travelling-bags and cases, shopping-bags, handbags and hatboxes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4602.90.90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4701.00.00</w:t>
            </w:r>
          </w:p>
        </w:tc>
        <w:tc>
          <w:tcPr>
            <w:tcW w:w="4679" w:type="dxa"/>
            <w:tcMar>
              <w:top w:w="70" w:type="dxa"/>
              <w:start w:w="110" w:type="dxa"/>
              <w:bottom w:w="70" w:type="dxa"/>
              <w:end w:w="110" w:type="dxa"/>
            </w:tcMar>
            <w:vAlign w:val="center"/>
          </w:tcPr>
          <w:p>
            <w:pPr>
              <w:pStyle w:val="TableText"/>
              <w:jc w:val="left"/>
            </w:pPr>
            <w:r>
              <w:rPr>
                <w:lang w:val="en-US" w:eastAsia="en-US" w:bidi="ar-SA"/>
              </w:rPr>
              <w:t>Mechanical wood pulp.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4702.00.00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Chemical wood pulp, dissolving grades.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4703.11.00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4703.19.00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4703.21.00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4703.29.00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4704.11.00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4704.21.00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4705.00.00</w:t>
            </w:r>
          </w:p>
        </w:tc>
        <w:tc>
          <w:tcPr>
            <w:tcW w:w="4679" w:type="dxa"/>
            <w:tcMar>
              <w:top w:w="70" w:type="dxa"/>
              <w:start w:w="110" w:type="dxa"/>
              <w:bottom w:w="70" w:type="dxa"/>
              <w:end w:w="110" w:type="dxa"/>
            </w:tcMar>
            <w:vAlign w:val="center"/>
          </w:tcPr>
          <w:p>
            <w:pPr>
              <w:pStyle w:val="TableText"/>
              <w:jc w:val="left"/>
            </w:pPr>
            <w:r>
              <w:rPr>
                <w:lang w:val="en-US" w:eastAsia="en-US" w:bidi="ar-SA"/>
              </w:rPr>
              <w:t>Wood pulp obtained by a combination of mechanical and chemical pulping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Cotton linters pulp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4706.20.00</w:t>
            </w:r>
          </w:p>
        </w:tc>
        <w:tc>
          <w:tcPr>
            <w:tcW w:w="4679" w:type="dxa"/>
            <w:tcMar>
              <w:top w:w="70" w:type="dxa"/>
              <w:start w:w="110" w:type="dxa"/>
              <w:bottom w:w="70" w:type="dxa"/>
              <w:end w:w="110" w:type="dxa"/>
            </w:tcMar>
            <w:vAlign w:val="center"/>
          </w:tcPr>
          <w:p>
            <w:pPr>
              <w:pStyle w:val="TableText"/>
              <w:jc w:val="left"/>
            </w:pPr>
            <w:r>
              <w:rPr>
                <w:lang w:val="en-US" w:eastAsia="en-US" w:bidi="ar-SA"/>
              </w:rPr>
              <w:t>Pulps of fibres derived from recovered (waste and scrap) paper or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of bamboo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4706.91.00</w:t>
            </w:r>
          </w:p>
        </w:tc>
        <w:tc>
          <w:tcPr>
            <w:tcW w:w="4679" w:type="dxa"/>
            <w:tcMar>
              <w:top w:w="70" w:type="dxa"/>
              <w:start w:w="110" w:type="dxa"/>
              <w:bottom w:w="70" w:type="dxa"/>
              <w:end w:w="110" w:type="dxa"/>
            </w:tcMar>
            <w:vAlign w:val="center"/>
          </w:tcPr>
          <w:p>
            <w:pPr>
              <w:pStyle w:val="TableText"/>
              <w:jc w:val="left"/>
            </w:pPr>
            <w:r>
              <w:rPr>
                <w:lang w:val="en-US" w:eastAsia="en-US" w:bidi="ar-SA"/>
              </w:rPr>
              <w:t>Mechanical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Chemical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4706.93.00</w:t>
            </w:r>
          </w:p>
        </w:tc>
        <w:tc>
          <w:tcPr>
            <w:tcW w:w="4679" w:type="dxa"/>
            <w:tcMar>
              <w:top w:w="70" w:type="dxa"/>
              <w:start w:w="110" w:type="dxa"/>
              <w:bottom w:w="70" w:type="dxa"/>
              <w:end w:w="110" w:type="dxa"/>
            </w:tcMar>
            <w:vAlign w:val="center"/>
          </w:tcPr>
          <w:p>
            <w:pPr>
              <w:pStyle w:val="TableText"/>
              <w:jc w:val="left"/>
            </w:pPr>
            <w:r>
              <w:rPr>
                <w:lang w:val="en-US" w:eastAsia="en-US" w:bidi="ar-SA"/>
              </w:rPr>
              <w:t>Obtained by a combination of mechanical and chemical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 kraft paper or paperboard or corrugated paper or paperboard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4707.20.00</w:t>
            </w:r>
          </w:p>
        </w:tc>
        <w:tc>
          <w:tcPr>
            <w:tcW w:w="4679" w:type="dxa"/>
            <w:tcMar>
              <w:top w:w="70" w:type="dxa"/>
              <w:start w:w="110" w:type="dxa"/>
              <w:bottom w:w="70" w:type="dxa"/>
              <w:end w:w="110" w:type="dxa"/>
            </w:tcMar>
            <w:vAlign w:val="center"/>
          </w:tcPr>
          <w:p>
            <w:pPr>
              <w:pStyle w:val="TableText"/>
              <w:jc w:val="left"/>
            </w:pPr>
            <w:r>
              <w:rPr>
                <w:lang w:val="en-US" w:eastAsia="en-US" w:bidi="ar-SA"/>
              </w:rPr>
              <w:t>Other paper or paperboard made mainly of bleached chemical pulp, not coloured in the mass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Paper or paperboard made mainly of mechanical pulp (for example, newspapers, journals and similar printed matter)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4707.90.00</w:t>
            </w:r>
          </w:p>
        </w:tc>
        <w:tc>
          <w:tcPr>
            <w:tcW w:w="4679" w:type="dxa"/>
            <w:tcMar>
              <w:top w:w="70" w:type="dxa"/>
              <w:start w:w="110" w:type="dxa"/>
              <w:bottom w:w="70" w:type="dxa"/>
              <w:end w:w="110" w:type="dxa"/>
            </w:tcMar>
            <w:vAlign w:val="center"/>
          </w:tcPr>
          <w:p>
            <w:pPr>
              <w:pStyle w:val="TableText"/>
              <w:jc w:val="left"/>
            </w:pPr>
            <w:r>
              <w:rPr>
                <w:lang w:val="en-US" w:eastAsia="en-US" w:bidi="ar-SA"/>
              </w:rPr>
              <w:t>Other, including unsorted 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Newsprint, in rolls or sheets.</w:t>
            </w:r>
          </w:p>
        </w:tc>
      </w:tr>
    </w:tbl>
    <w:p>
      <w:pPr>
        <w:pStyle w:val="Normal"/>
      </w:pPr>
      <w:r>
        <w:t>4802.10.00 Hand-made paper and paperboard 4802.20.00 Paper and paperboard of a kind used as a base for photo sensitive, heat-sensitive or electro-sensitive paper or paperboard 4802.40.00 Wallpaper base 4802.54.00 Weighing less than 40 g/m² 4802.55.00 Weighing 40 g/m² or more but not more than 150 g/m², in rolls 4802.56.00 Weighing 40 g/m² or more but not more than 150 g/m², in sheets with one side not exceeding 435 mm and the other side not exceeding 297 mm in the unfolded state 4802.57.00 Other, weighing 40 g/m² or more but not more than 150 g/m² 4802.58.00 Weighing more than 150 g/m² 4802.61.00 In rolls 4802.62.00 In sheets with one side not exceeding 435 mm and the other side not exceeding 297 mm in the unfolded state 4802.69.00 Other 4803.00.00 Toilet or facial tissue stock, towel or napkin stock and similar paper of a kind used for household or sanitary purposes, cellulose wadding and webs of cellulose fibres, whether or not creped, crinkled, embossed, perforated, surface-coloured, surface- decorated or printed, in rolls or sheets.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4804.11.00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4804.21.00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4804.31.00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4804.41.00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Bleached uniformly throughout the mass and of which more than 95% by weight of the total fibre content consists of wood fibres obtained by a chemical process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4804.52.00</w:t>
            </w:r>
          </w:p>
        </w:tc>
        <w:tc>
          <w:tcPr>
            <w:tcW w:w="4679" w:type="dxa"/>
            <w:tcMar>
              <w:top w:w="70" w:type="dxa"/>
              <w:start w:w="110" w:type="dxa"/>
              <w:bottom w:w="70" w:type="dxa"/>
              <w:end w:w="110" w:type="dxa"/>
            </w:tcMar>
            <w:vAlign w:val="center"/>
          </w:tcPr>
          <w:p>
            <w:pPr>
              <w:pStyle w:val="TableText"/>
              <w:jc w:val="left"/>
            </w:pPr>
            <w:r>
              <w:rPr>
                <w:lang w:val="en-US" w:eastAsia="en-US" w:bidi="ar-SA"/>
              </w:rPr>
              <w:t>Bleached uniformly throughout the mass and of which more than 95% by weight of the total fibre content consists of wood fibres obtained by a chemical process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4805.11.00</w:t>
            </w:r>
          </w:p>
        </w:tc>
        <w:tc>
          <w:tcPr>
            <w:tcW w:w="4679" w:type="dxa"/>
            <w:tcMar>
              <w:top w:w="70" w:type="dxa"/>
              <w:start w:w="110" w:type="dxa"/>
              <w:bottom w:w="70" w:type="dxa"/>
              <w:end w:w="110" w:type="dxa"/>
            </w:tcMar>
            <w:vAlign w:val="center"/>
          </w:tcPr>
          <w:p>
            <w:pPr>
              <w:pStyle w:val="TableText"/>
              <w:jc w:val="left"/>
            </w:pPr>
            <w:r>
              <w:rPr>
                <w:lang w:val="en-US" w:eastAsia="en-US" w:bidi="ar-SA"/>
              </w:rPr>
              <w:t>Semi-chemical fluting paper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Straw fluting paper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Weighing 150 g/m² or less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4805.25.00</w:t>
            </w:r>
          </w:p>
        </w:tc>
        <w:tc>
          <w:tcPr>
            <w:tcW w:w="4679" w:type="dxa"/>
            <w:tcMar>
              <w:top w:w="70" w:type="dxa"/>
              <w:start w:w="110" w:type="dxa"/>
              <w:bottom w:w="70" w:type="dxa"/>
              <w:end w:w="110" w:type="dxa"/>
            </w:tcMar>
            <w:vAlign w:val="center"/>
          </w:tcPr>
          <w:p>
            <w:pPr>
              <w:pStyle w:val="TableText"/>
              <w:jc w:val="left"/>
            </w:pPr>
            <w:r>
              <w:rPr>
                <w:lang w:val="en-US" w:eastAsia="en-US" w:bidi="ar-SA"/>
              </w:rPr>
              <w:t>Weighing more than 150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Sulphite wrapping paper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4805.40.00</w:t>
            </w:r>
          </w:p>
        </w:tc>
        <w:tc>
          <w:tcPr>
            <w:tcW w:w="4679" w:type="dxa"/>
            <w:tcMar>
              <w:top w:w="70" w:type="dxa"/>
              <w:start w:w="110" w:type="dxa"/>
              <w:bottom w:w="70" w:type="dxa"/>
              <w:end w:w="110" w:type="dxa"/>
            </w:tcMar>
            <w:vAlign w:val="center"/>
          </w:tcPr>
          <w:p>
            <w:pPr>
              <w:pStyle w:val="TableText"/>
              <w:jc w:val="left"/>
            </w:pPr>
            <w:r>
              <w:rPr>
                <w:lang w:val="en-US" w:eastAsia="en-US" w:bidi="ar-SA"/>
              </w:rPr>
              <w:t>Filter paper and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Felt paper and paperboard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4805.91.00</w:t>
            </w:r>
          </w:p>
        </w:tc>
        <w:tc>
          <w:tcPr>
            <w:tcW w:w="4679" w:type="dxa"/>
            <w:tcMar>
              <w:top w:w="70" w:type="dxa"/>
              <w:start w:w="110" w:type="dxa"/>
              <w:bottom w:w="70" w:type="dxa"/>
              <w:end w:w="110" w:type="dxa"/>
            </w:tcMar>
            <w:vAlign w:val="center"/>
          </w:tcPr>
          <w:p>
            <w:pPr>
              <w:pStyle w:val="TableText"/>
              <w:jc w:val="left"/>
            </w:pPr>
            <w:r>
              <w:rPr>
                <w:lang w:val="en-US" w:eastAsia="en-US" w:bidi="ar-SA"/>
              </w:rPr>
              <w:t>Weighing 150 g/m² or less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Weighing more than 150 g/m² but less than 225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4805.93.00</w:t>
            </w:r>
          </w:p>
        </w:tc>
        <w:tc>
          <w:tcPr>
            <w:tcW w:w="4679" w:type="dxa"/>
            <w:tcMar>
              <w:top w:w="70" w:type="dxa"/>
              <w:start w:w="110" w:type="dxa"/>
              <w:bottom w:w="70" w:type="dxa"/>
              <w:end w:w="110" w:type="dxa"/>
            </w:tcMar>
            <w:vAlign w:val="center"/>
          </w:tcPr>
          <w:p>
            <w:pPr>
              <w:pStyle w:val="TableText"/>
              <w:jc w:val="left"/>
            </w:pPr>
            <w:r>
              <w:rPr>
                <w:lang w:val="en-US" w:eastAsia="en-US" w:bidi="ar-SA"/>
              </w:rPr>
              <w:t>Weighing 225 g/m²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Vegetable parchment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4806.20.00</w:t>
            </w:r>
          </w:p>
        </w:tc>
        <w:tc>
          <w:tcPr>
            <w:tcW w:w="4679" w:type="dxa"/>
            <w:tcMar>
              <w:top w:w="70" w:type="dxa"/>
              <w:start w:w="110" w:type="dxa"/>
              <w:bottom w:w="70" w:type="dxa"/>
              <w:end w:w="110" w:type="dxa"/>
            </w:tcMar>
            <w:vAlign w:val="center"/>
          </w:tcPr>
          <w:p>
            <w:pPr>
              <w:pStyle w:val="TableText"/>
              <w:jc w:val="left"/>
            </w:pPr>
            <w:r>
              <w:rPr>
                <w:lang w:val="en-US" w:eastAsia="en-US" w:bidi="ar-SA"/>
              </w:rPr>
              <w:t>Greaseproof papers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Tracing papers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4806.40.00</w:t>
            </w:r>
          </w:p>
        </w:tc>
        <w:tc>
          <w:tcPr>
            <w:tcW w:w="4679" w:type="dxa"/>
            <w:tcMar>
              <w:top w:w="70" w:type="dxa"/>
              <w:start w:w="110" w:type="dxa"/>
              <w:bottom w:w="70" w:type="dxa"/>
              <w:end w:w="110" w:type="dxa"/>
            </w:tcMar>
            <w:vAlign w:val="center"/>
          </w:tcPr>
          <w:p>
            <w:pPr>
              <w:pStyle w:val="TableText"/>
              <w:jc w:val="left"/>
            </w:pPr>
            <w:r>
              <w:rPr>
                <w:lang w:val="en-US" w:eastAsia="en-US" w:bidi="ar-SA"/>
              </w:rPr>
              <w:t>Glassine and other glazed transparent or translucent papers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4807.00.00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Composite paper and paperboard (made by sticking flat layers of paper or paperboard together with an adhesive), not surface- coated or impregnated, whether or not internally reinforced, in rolls or sheets.</w:t>
            </w:r>
          </w:p>
        </w:tc>
      </w:tr>
    </w:tbl>
    <w:p>
      <w:pPr>
        <w:pStyle w:val="Normal"/>
      </w:pPr>
      <w:r>
        <w:t>4808.10.00 Corrugated paper and paperboard, whether or not perforated 4808.40.00 Kraft paper, creped or crinkled, whether or not embossed or perforated 4808.90.00 Other 4809.20.00 Self-copy paper 4809.90.00 Other 4810.13.00 In rolls 4810.14.00 In sheets with one side not exceeding 435 mm and the other side not exceeding 297 mm in the unfolded state 4810.19.00 Other 4810.22.00 Light-weight coated paper 4810.29.00 Other 4810.31.00 Bleached uniformly throughout the mass and of which more than 95% by weight of the total fibre content consists of wood fibres obtained by a chemical process, and weighing 150 g/m² or less 4810.32.00 Bleached uniformly throughout the mass and of which more than 95% by weight of the total fibre content consists of wood fibres obtained by a chemical process, and weighing more than 150 g/m² 4810.39.00 Other 4810.92.00 Multi-ply 4810.99.00 Other 4811.10.00 Tarred, bituminized or asphalted paper and paperboard 4811.41.00 Self-adhesive 4811.49.00 Other 4811.51.00 Bleached, weighing more than 150 g/m² 4811.59.00 Other 4811.60.00 Paper and paperboard, coated, impregnated or covered with wax, paraffin wax, stearin, oil or glycerol 4811.90.00 Other paper, paperboard, cellulose wadding and webs of cellulose fibres 4812.00.00 Filter blocks, slabs and plates, of paper pulp.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4813.10.00</w:t>
            </w:r>
          </w:p>
        </w:tc>
        <w:tc>
          <w:tcPr>
            <w:tcW w:w="4679" w:type="dxa"/>
            <w:tcMar>
              <w:top w:w="70" w:type="dxa"/>
              <w:start w:w="110" w:type="dxa"/>
              <w:bottom w:w="70" w:type="dxa"/>
              <w:end w:w="110" w:type="dxa"/>
            </w:tcMar>
            <w:vAlign w:val="center"/>
          </w:tcPr>
          <w:p>
            <w:pPr>
              <w:pStyle w:val="TableText"/>
              <w:jc w:val="left"/>
            </w:pPr>
            <w:r>
              <w:rPr>
                <w:lang w:val="en-US" w:eastAsia="en-US" w:bidi="ar-SA"/>
              </w:rPr>
              <w:t>In the form of booklets or tubes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rolls of a width not exceeding 5 cm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Wallpaper and similar wall coverings, consisting of paper coated or covered, on the face side, with a grained, embossed, coloured, design-printed or otherwise decorated layer of plastics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Self-copy paper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Envelopes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4817.20.00</w:t>
            </w:r>
          </w:p>
        </w:tc>
        <w:tc>
          <w:tcPr>
            <w:tcW w:w="4679" w:type="dxa"/>
            <w:tcMar>
              <w:top w:w="70" w:type="dxa"/>
              <w:start w:w="110" w:type="dxa"/>
              <w:bottom w:w="70" w:type="dxa"/>
              <w:end w:w="110" w:type="dxa"/>
            </w:tcMar>
            <w:vAlign w:val="center"/>
          </w:tcPr>
          <w:p>
            <w:pPr>
              <w:pStyle w:val="TableText"/>
              <w:jc w:val="left"/>
            </w:pPr>
            <w:r>
              <w:rPr>
                <w:lang w:val="en-US" w:eastAsia="en-US" w:bidi="ar-SA"/>
              </w:rPr>
              <w:t>Letter cards, plain postcards and correspondence cards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Boxes, pouches, wallets and writing compendiums, of paper or paperboard, containing an assortment of paper stationery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4818.10.00</w:t>
            </w:r>
          </w:p>
        </w:tc>
        <w:tc>
          <w:tcPr>
            <w:tcW w:w="4679" w:type="dxa"/>
            <w:tcMar>
              <w:top w:w="70" w:type="dxa"/>
              <w:start w:w="110" w:type="dxa"/>
              <w:bottom w:w="70" w:type="dxa"/>
              <w:end w:w="110" w:type="dxa"/>
            </w:tcMar>
            <w:vAlign w:val="center"/>
          </w:tcPr>
          <w:p>
            <w:pPr>
              <w:pStyle w:val="TableText"/>
              <w:jc w:val="left"/>
            </w:pPr>
            <w:r>
              <w:rPr>
                <w:lang w:val="en-US" w:eastAsia="en-US" w:bidi="ar-SA"/>
              </w:rPr>
              <w:t>Toilet paper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Handkerchiefs, cleansing or facial tissues and towels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4818.30.00</w:t>
            </w:r>
          </w:p>
        </w:tc>
        <w:tc>
          <w:tcPr>
            <w:tcW w:w="4679" w:type="dxa"/>
            <w:tcMar>
              <w:top w:w="70" w:type="dxa"/>
              <w:start w:w="110" w:type="dxa"/>
              <w:bottom w:w="70" w:type="dxa"/>
              <w:end w:w="110" w:type="dxa"/>
            </w:tcMar>
            <w:vAlign w:val="center"/>
          </w:tcPr>
          <w:p>
            <w:pPr>
              <w:pStyle w:val="TableText"/>
              <w:jc w:val="left"/>
            </w:pPr>
            <w:r>
              <w:rPr>
                <w:lang w:val="en-US" w:eastAsia="en-US" w:bidi="ar-SA"/>
              </w:rPr>
              <w:t>Tablecloths and serviettes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4818.50.00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apparel and clothing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Cartons, boxes and cases, of corrugated paper or paperboard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4819.20.00</w:t>
            </w:r>
          </w:p>
        </w:tc>
        <w:tc>
          <w:tcPr>
            <w:tcW w:w="4679" w:type="dxa"/>
            <w:tcMar>
              <w:top w:w="70" w:type="dxa"/>
              <w:start w:w="110" w:type="dxa"/>
              <w:bottom w:w="70" w:type="dxa"/>
              <w:end w:w="110" w:type="dxa"/>
            </w:tcMar>
            <w:vAlign w:val="center"/>
          </w:tcPr>
          <w:p>
            <w:pPr>
              <w:pStyle w:val="TableText"/>
              <w:jc w:val="left"/>
            </w:pPr>
            <w:r>
              <w:rPr>
                <w:lang w:val="en-US" w:eastAsia="en-US" w:bidi="ar-SA"/>
              </w:rPr>
              <w:t>Folding cartons, boxes and cases, of non-corrugated paper or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4819.30.00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Sacks and bags, having a base of a width of 40 cm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4819.40.00</w:t>
            </w:r>
          </w:p>
        </w:tc>
        <w:tc>
          <w:tcPr>
            <w:tcW w:w="4679" w:type="dxa"/>
            <w:tcMar>
              <w:top w:w="70" w:type="dxa"/>
              <w:start w:w="110" w:type="dxa"/>
              <w:bottom w:w="70" w:type="dxa"/>
              <w:end w:w="110" w:type="dxa"/>
            </w:tcMar>
            <w:vAlign w:val="center"/>
          </w:tcPr>
          <w:p>
            <w:pPr>
              <w:pStyle w:val="TableText"/>
              <w:jc w:val="left"/>
            </w:pPr>
            <w:r>
              <w:rPr>
                <w:lang w:val="en-US" w:eastAsia="en-US" w:bidi="ar-SA"/>
              </w:rPr>
              <w:t>Other sacks and bags, including cones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4819.50.00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packing containers, including record sleeves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4819.60.00</w:t>
            </w:r>
          </w:p>
        </w:tc>
        <w:tc>
          <w:tcPr>
            <w:tcW w:w="4679" w:type="dxa"/>
            <w:tcMar>
              <w:top w:w="70" w:type="dxa"/>
              <w:start w:w="110" w:type="dxa"/>
              <w:bottom w:w="70" w:type="dxa"/>
              <w:end w:w="110" w:type="dxa"/>
            </w:tcMar>
            <w:vAlign w:val="center"/>
          </w:tcPr>
          <w:p>
            <w:pPr>
              <w:pStyle w:val="TableText"/>
              <w:jc w:val="left"/>
            </w:pPr>
            <w:r>
              <w:rPr>
                <w:lang w:val="en-US" w:eastAsia="en-US" w:bidi="ar-SA"/>
              </w:rPr>
              <w:t>Box files, letter trays, storage boxes and similar articles, of a kind used in offices, shops or the like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4820.10.00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Registers, account books, note books, order books, receipt books, letter pads, memorandum pads, diaries and similar articles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4820.20.00</w:t>
            </w:r>
          </w:p>
        </w:tc>
        <w:tc>
          <w:tcPr>
            <w:tcW w:w="4679" w:type="dxa"/>
            <w:tcMar>
              <w:top w:w="70" w:type="dxa"/>
              <w:start w:w="110" w:type="dxa"/>
              <w:bottom w:w="70" w:type="dxa"/>
              <w:end w:w="110" w:type="dxa"/>
            </w:tcMar>
            <w:vAlign w:val="center"/>
          </w:tcPr>
          <w:p>
            <w:pPr>
              <w:pStyle w:val="TableText"/>
              <w:jc w:val="left"/>
            </w:pPr>
            <w:r>
              <w:rPr>
                <w:lang w:val="en-US" w:eastAsia="en-US" w:bidi="ar-SA"/>
              </w:rPr>
              <w:t>Exercise books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4820.30.00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Binders (other than book covers), folders and file covers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4820.40.00</w:t>
            </w:r>
          </w:p>
        </w:tc>
        <w:tc>
          <w:tcPr>
            <w:tcW w:w="4679" w:type="dxa"/>
            <w:tcMar>
              <w:top w:w="70" w:type="dxa"/>
              <w:start w:w="110" w:type="dxa"/>
              <w:bottom w:w="70" w:type="dxa"/>
              <w:end w:w="110" w:type="dxa"/>
            </w:tcMar>
            <w:vAlign w:val="center"/>
          </w:tcPr>
          <w:p>
            <w:pPr>
              <w:pStyle w:val="TableText"/>
              <w:jc w:val="left"/>
            </w:pPr>
            <w:r>
              <w:rPr>
                <w:lang w:val="en-US" w:eastAsia="en-US" w:bidi="ar-SA"/>
              </w:rPr>
              <w:t>Manifold business</w:t>
            </w:r>
          </w:p>
        </w:tc>
      </w:tr>
    </w:tbl>
    <w:p>
      <w:pPr>
        <w:pStyle w:val="Normal"/>
      </w:pPr>
      <w:r>
        <w:t>forms and interleaved carbon sets 4820.50.00 Albums for samples or for collections 4820.90.00 Other 4821.10.00 Printed 4821.90.00 Other 4822.10.00 Of a kind used for winding textile yarn 4822.90.00 Other 4823.20.00 Filter paper and paperboard 4823.40.00 Rolls, sheets and dials, printed for self-recording apparatus 4823.61.00 Of bamboo 4823.69.00 Other 4823.70.00 Moulded or pressed articles of paper pulp 4823.90.00 Other 4901.10.00 In single sheets, whether or not folded 4901.91.00 Dictionaries, encyclopaedias and serial instalments thereof 4901.99.00 Other 4902.10.00 Appearing at least four times a week 4902.90.00 Other 4903.00.00 Children’s picture, drawing or colouring books. 4904.00.00 Music, printed or in manuscript, whether or not bound or illustrated. 4905.10.00 Globes 4905.91.00 In book form 4905.99.00 Other 4906.00.00 Plans and drawings for architectural, engineering, industrial, commercial, topographical or similar purposes, being originals drawn by hand; hand-written texts; photographic reproductions on sensitized paper and carbon copies of the foregoing. 4907.00.00 Unused postage, revenue or similar stamps of current or new issue in the country in which they have, or will have, a recognized face value; stamp-impressed paper; banknotes; cheque forms; stock, share or bond certificates and similar documents of title.</w:t>
      </w:r>
    </w:p>
    <w:p>
      <w:pPr>
        <w:pStyle w:val="Normal"/>
      </w:pPr>
      <w:r>
        <w:t>4908.10.00 Transfers (decalcomanias), vitrifiable 4908.90.00 Other 4909.00.00 Printed or illustrated postcards; printed cards bearing personal greetings, messages or announcements, whether or not illustrated, with or without envelopes or trimmings. 4910.00.00 Calendars of any kind, printed, including calendar blocks. 4911.10.00 Trade advertising material, commercial catalogues and the like 4911.91.00 Pictures, designs and photographs 4911.99.00 Other 5001.00.00 Silk-worm cocoons suitable for reeling. 5002.00.00 Raw silk (not thrown). 5003.00.00 Silk waste (including cocoons unsuitable for reeling, yarn waste and garnetted stock). 5004.00.00 Silk yarn (other than yarn spun from silk waste), not put up for retail sale. 5005.00.00 Yarn spun from silk waste, not put up for retail sale. 5006.00.00 Silk yarn and yarn spun from silk waste, put up for retail sale; silk-worm gut.</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5007.10.00</w:t>
            </w:r>
          </w:p>
        </w:tc>
        <w:tc>
          <w:tcPr>
            <w:tcW w:w="4679" w:type="dxa"/>
            <w:tcMar>
              <w:top w:w="70" w:type="dxa"/>
              <w:start w:w="110" w:type="dxa"/>
              <w:bottom w:w="70" w:type="dxa"/>
              <w:end w:w="110" w:type="dxa"/>
            </w:tcMar>
            <w:vAlign w:val="center"/>
          </w:tcPr>
          <w:p>
            <w:pPr>
              <w:pStyle w:val="TableText"/>
              <w:jc w:val="left"/>
            </w:pPr>
            <w:r>
              <w:rPr>
                <w:lang w:val="en-US" w:eastAsia="en-US" w:bidi="ar-SA"/>
              </w:rPr>
              <w:t>Fabrics of noil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5007.20.00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 containing 85% or more by weight of silk or of silk waste other than noil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5007.90.00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Shorn wool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5101.19.00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Shorn wool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Carbonized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5102.11.00</w:t>
            </w:r>
          </w:p>
        </w:tc>
        <w:tc>
          <w:tcPr>
            <w:tcW w:w="4679" w:type="dxa"/>
            <w:tcMar>
              <w:top w:w="70" w:type="dxa"/>
              <w:start w:w="110" w:type="dxa"/>
              <w:bottom w:w="70" w:type="dxa"/>
              <w:end w:w="110" w:type="dxa"/>
            </w:tcMar>
            <w:vAlign w:val="center"/>
          </w:tcPr>
          <w:p>
            <w:pPr>
              <w:pStyle w:val="TableText"/>
              <w:jc w:val="left"/>
            </w:pPr>
            <w:r>
              <w:rPr>
                <w:lang w:val="en-US" w:eastAsia="en-US" w:bidi="ar-SA"/>
              </w:rPr>
              <w:t>Of Kashmir (cashmere) goats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5102.20.00</w:t>
            </w:r>
          </w:p>
        </w:tc>
        <w:tc>
          <w:tcPr>
            <w:tcW w:w="4679" w:type="dxa"/>
            <w:tcMar>
              <w:top w:w="70" w:type="dxa"/>
              <w:start w:w="110" w:type="dxa"/>
              <w:bottom w:w="70" w:type="dxa"/>
              <w:end w:w="110" w:type="dxa"/>
            </w:tcMar>
            <w:vAlign w:val="center"/>
          </w:tcPr>
          <w:p>
            <w:pPr>
              <w:pStyle w:val="TableText"/>
              <w:jc w:val="left"/>
            </w:pPr>
            <w:r>
              <w:rPr>
                <w:lang w:val="en-US" w:eastAsia="en-US" w:bidi="ar-SA"/>
              </w:rPr>
              <w:t>Coarse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Noils of wool or of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5103.20.00</w:t>
            </w:r>
          </w:p>
        </w:tc>
        <w:tc>
          <w:tcPr>
            <w:tcW w:w="4679" w:type="dxa"/>
            <w:tcMar>
              <w:top w:w="70" w:type="dxa"/>
              <w:start w:w="110" w:type="dxa"/>
              <w:bottom w:w="70" w:type="dxa"/>
              <w:end w:w="110" w:type="dxa"/>
            </w:tcMar>
            <w:vAlign w:val="center"/>
          </w:tcPr>
          <w:p>
            <w:pPr>
              <w:pStyle w:val="TableText"/>
              <w:jc w:val="left"/>
            </w:pPr>
            <w:r>
              <w:rPr>
                <w:lang w:val="en-US" w:eastAsia="en-US" w:bidi="ar-SA"/>
              </w:rPr>
              <w:t>Other waste of wool or of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of coarse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5104.00.00</w:t>
            </w:r>
          </w:p>
        </w:tc>
        <w:tc>
          <w:tcPr>
            <w:tcW w:w="4679" w:type="dxa"/>
            <w:tcMar>
              <w:top w:w="70" w:type="dxa"/>
              <w:start w:w="110" w:type="dxa"/>
              <w:bottom w:w="70" w:type="dxa"/>
              <w:end w:w="110" w:type="dxa"/>
            </w:tcMar>
            <w:vAlign w:val="center"/>
          </w:tcPr>
          <w:p>
            <w:pPr>
              <w:pStyle w:val="TableText"/>
              <w:jc w:val="left"/>
            </w:pPr>
            <w:r>
              <w:rPr>
                <w:lang w:val="en-US" w:eastAsia="en-US" w:bidi="ar-SA"/>
              </w:rPr>
              <w:t>Garnetted stock of wool or of fine or coarse animal hair.</w:t>
            </w:r>
          </w:p>
        </w:tc>
      </w:tr>
    </w:tbl>
    <w:p>
      <w:pPr>
        <w:pStyle w:val="Normal"/>
      </w:pPr>
      <w:r>
        <w:t>5105.10.00 Carded wool 5105.21.00 Combed wool in fragments 5105.29.00 Other 5105.31.00 Of Kashmir (cashmere) goats 5105.39.00 Other 5105.40.00 Coarse animal hair, carded or combed 5106.10.10 For use in the manufacture of berets and other soft felt headgear 5106.10.90 Other 5106.20.00 Containing less than 85% by weight of wool 5107.10.10 Unbleached or bleached, for use in the manufacture of woven fabrics 5107.10.90 Other 5107.20.10 Solely of combed wool and polyesters, not exceeding 65% by weight of wool, for use in the manufacture of woven fabrics; Unbleached or bleached, for use in the manufacture of woven fabrics 5107.20.90 Other 5108.10.00 Carded 5108.20.00 Combed 5109.10.00 Containing 85% or more by weight of wool or of fine animal hair 5109.90.00 Other 5110.00.00 Yarn of coarse animal hair or of horsehair (including gimped horsehair yarn), whether or not put up for retail sale.</w:t>
      </w:r>
    </w:p>
    <w:p>
      <w:pPr>
        <w:pStyle w:val="Normal"/>
      </w:pPr>
      <w:r>
        <w:t>5111.11.10 For use in the manufacture of headbands (hat sweats), linings (including tips and sides), peaks and stiffening bands, for hats or caps 5111.11.40 For use in the manufacture of apparel 5111.11.50 Other, in the grey or unfinished condition, of a weight not exceeding 135 g/m² 5111.11.90 Other 5111.19.00 Other 5111.20.00 Other, mixed mainly or solely with man-made filaments 5111.30.00 Other, mixed mainly or solely with man-made staple fibres 5111.90.00 Other 5112.11.00 Of a weight not exceeding 200 g/m² 5112.19.00 Other 5112.20.00 Other, mixed mainly or solely with man-made filaments 5112.30.00 Other, mixed mainly or solely with man-made staple fibres 5112.90.00 Other 5113.00.00 Woven fabrics of coarse animal hair or of horsehair. 5201.00.00 Cotton, not carded or combed. 5202.10.00 Yarn waste (including thread waste) 5202.91.00 Garnetted stock 5202.99.00 Other 5203.00.00 Cotton, carded or combed.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5204.11.10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cotton, for use in the manufacture of cotton sewing thread or Schiffli embroidery thread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5204.11.90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5204.19.00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5205.11.10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cotton sewing thread or Schiffli embroidery thread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5205.13.90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5205.14.10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5205.14.20</w:t>
            </w:r>
          </w:p>
        </w:tc>
        <w:tc>
          <w:tcPr>
            <w:tcW w:w="4679" w:type="dxa"/>
            <w:tcMar>
              <w:top w:w="70" w:type="dxa"/>
              <w:start w:w="110" w:type="dxa"/>
              <w:bottom w:w="70" w:type="dxa"/>
              <w:end w:w="110" w:type="dxa"/>
            </w:tcMar>
            <w:vAlign w:val="center"/>
          </w:tcPr>
          <w:p>
            <w:pPr>
              <w:pStyle w:val="TableText"/>
              <w:jc w:val="left"/>
            </w:pPr>
            <w:r>
              <w:rPr>
                <w:lang w:val="en-US" w:eastAsia="en-US" w:bidi="ar-SA"/>
              </w:rPr>
              <w:t>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5205.14.30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containing 12% or less but not less than 1% of dyed cotton fibres, ring-spun, measuring 190 decitex or less, for use in the manufacture of knitted apparel or knitted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Measuring less than 125 decitex (exceeding 80</w:t>
            </w:r>
          </w:p>
        </w:tc>
      </w:tr>
    </w:tbl>
    <w:p>
      <w:pPr>
        <w:pStyle w:val="Normal"/>
      </w:pPr>
      <w:r>
        <w:t>metric number) 5205.21.10 Solely of cotton, for use in the manufacture of crochet, knitting, darning or embroidery cottons to be put up for retail sale 5205.21.90 Other 5205.22.10 Solely of cotton, for use in the manufacture of crochet, knitting, darning or embroidery cottons to be put up for retail sale 5205.22.20 Solely of cotton, for use in the manufacture of cotton sewing thread or Schiffli embroidery thread;</w:t>
      </w:r>
    </w:p>
    <w:p>
      <w:pPr>
        <w:pStyle w:val="Normal"/>
      </w:pPr>
      <w:r>
        <w:t>Solely of cotton, having an average staple fibre length greater than 3 cm, for use in the manufacture of towels 5205.22.90 Other 5205.23.10 Solely of cotton, for use in the manufacture of crochet, knitting, darning or embroidery cottons to be put up for retail sale 5205.23.90 Other 5205.24.10 Solely of cotton, for use in the manufacture of crochet, knitting, darning or embroidery cottons to be put up for retail sale 5205.24.20 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 5205.24.30 Solely of cotton, not put up for retail sale, ring-spun, unbleached, measuring less than 166 decitex, for use in the manufacture of woven fabrics 5205.24.40 Solely of cotton, containing 12% or less but not less than 1% of dyed cotton fibres, ring-spun, measuring 190 decitex or less, for use in the manufacture of</w:t>
      </w:r>
    </w:p>
    <w:p>
      <w:pPr>
        <w:pStyle w:val="Normal"/>
      </w:pPr>
      <w:r>
        <w:t>knitted apparel or knitted fabrics 5205.24.90 Other 5205.26.00 Measuring less than 125 decitex but not less than 106.38 decitex (exceeding 80 metric number but not exceeding 94 metric number) 5205.27.00 Measuring less than 106.38 decitex but not less than 83.33 decitex (exceeding 94 metric number but not exceeding 120 metric number) 5205.28.00 Measuring less than 83.33 decitex (exceeding 120 metric number) 5205.31.10 Solely of cotton, for use in the manufacture of crochet, knitting, darning or embroidery cottons to be put up for retail sale, or for use in the manufacture of cotton sewing thread or Schiffli embroidery thread 5205.31.90 Other 5205.32.10 Solely of cotton, for use in the manufacture of crochet, knitting, darning or embroidery cottons to be put up for retail sale, or for use in the manufacture of cotton sewing thread or Schiffli embroidery thread 5205.32.90 Other 5205.33.00 Measuring per single yarn less than 232.56 decitex but not less than 192.31 decitex (exceeding 43 metric number but not exceeding 52 metric number per single yarn)</w:t>
      </w:r>
    </w:p>
    <w:p>
      <w:pPr>
        <w:pStyle w:val="Normal"/>
      </w:pPr>
      <w:r>
        <w:t>5205.34.00 Measuring per single yarn less than 192.31 decitex but not less than 125 decitex (exceeding 52 metric number but not exceeding 80 metric number per single yarn) 5205.35.00 Measuring per single yarn less than 125 decitex (exceeding 80 metric number per single yarn) 5205.41.10 Solely of cotton, for use in the manufacture of crochet, knitting, darning or embroidery cottons to be put up for retail sale, or for use in the</w:t>
      </w:r>
    </w:p>
    <w:p>
      <w:pPr>
        <w:pStyle w:val="Normal"/>
      </w:pPr>
      <w:r>
        <w:t>manufacture of cotton sewing thread or Schiffli embroidery thread 5205.41.90 Other 5205.42.10 Solely of cotton, for use in the manufacture of crochet, knitting, darning or embroidery cottons to be put up for retail sale, or for use in the manufacture of cotton sewing thread or Schiffli embroidery thread 5205.42.90 Other 5205.43.00 Measuring per single yarn less than 232.56 decitex but not less than 192.31 decitex (exceeding 43 metric number but not exceeding 52 metric number per single yarn) 5205.44.00 Measuring per single yarn less than 192.31 decitex but not less than 125 decitex (exceeding 52 metric number but not exceeding 80 metric number per single yarn) 5205.46.00 Measuring per single yarn less than 125 decitex but not less than 106.38 decitex (exceeding 80 metric number but not exceeding 94 metric number per single yarn) 5205.47.00 Measuring per single yarn less than 106.38 decitex but not less than 83.33 decitex (exceeding 94 metric number but not exceeding 120 metric number per single yarn) 5205.48.00 Measuring per single yarn less than 83.33 decitex (exceeding 120 metric number per single yarn)</w:t>
      </w:r>
    </w:p>
    <w:p>
      <w:pPr>
        <w:pStyle w:val="Normal"/>
      </w:pPr>
      <w:r>
        <w:t>5206.11.00 Measuring 714.29 decitex or more (not exceeding 14 metric number) 5206.12.00 Measuring less than 714.29 decitex but not less than 232.56 decitex (exceeding 14 metric number but not exceeding 43 metric number) 5206.13.00 Measuring less than 232.56 decitex but not less than 192.31 decitex (exceeding 43 metric number but not exceeding 52 metric number) 5206.14.00</w:t>
      </w:r>
    </w:p>
    <w:p>
      <w:pPr>
        <w:pStyle w:val="Normal"/>
      </w:pPr>
      <w:r>
        <w:t>Measuring less than 192.31 decitex but not less than 125 decitex (exceeding 52 metric number but not exceeding 80 metric number) 5206.15.00 Measuring less than 125 decitex (exceeding 80 metric number) 5206.21.00 Measuring 714.29 decitex or more (not exceeding 14 metric number) 5206.22.00 Measuring less than 714.29 decitex but not less than 232.56 decitex (exceeding 14 metric number but not exceeding 43 metric number) 5206.23.00 Measuring less than 232.56 decitex but not less than 192.31 decitex (exceeding 43 metric number but not exceeding 52 metric number) 5206.24.00 Measuring less than 192.31 decitex but not less than 125 decitex (exceeding 52 metric number but not exceeding 80 metric number) 5206.25.00 Measuring less than 125 decitex (exceeding 80 metric number) 5206.31.00 Measuring per single yarn 714.29 decitex or more (not exceeding 14 metric number per single yarn) 5206.32.00 Measuring per single yarn less than 714.29 decitex but not less than 232.56 decitex (exceeding 14 metric number but not exceeding 43 metric number per single yarn)</w:t>
      </w:r>
    </w:p>
    <w:p>
      <w:pPr>
        <w:pStyle w:val="Normal"/>
      </w:pPr>
      <w:r>
        <w:t>5206.33.00 Measuring per single yarn less than 232.56 decitex but not less than 192.31 decitex (exceeding 43 metric number but not exceeding 52 metric number per single yarn) 5206.34.00 Measuring per single yarn less than 192.31 decitex but not less than 125 decitex (exceeding 52 metric number but not exceeding 80 metric number per single yarn) 5206.35.00 Measuring per single yarn less than 125 decitex (exceeding 80 metric number per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5206.41.00</w:t>
            </w:r>
          </w:p>
        </w:tc>
        <w:tc>
          <w:tcPr>
            <w:tcW w:w="4679" w:type="dxa"/>
            <w:tcMar>
              <w:top w:w="70" w:type="dxa"/>
              <w:start w:w="110" w:type="dxa"/>
              <w:bottom w:w="70" w:type="dxa"/>
              <w:end w:w="110" w:type="dxa"/>
            </w:tcMar>
            <w:vAlign w:val="center"/>
          </w:tcPr>
          <w:p>
            <w:pPr>
              <w:pStyle w:val="TableText"/>
              <w:jc w:val="left"/>
            </w:pPr>
            <w:r>
              <w:rPr>
                <w:lang w:val="en-US" w:eastAsia="en-US" w:bidi="ar-SA"/>
              </w:rPr>
              <w:t>single yarn) Measuring per single yarn 714.29 decitex or more (not exceeding 14 metric number per single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5206.42.00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Measuring per single yarn less than 714.29 decitex but not less than 232.56 decitex (exceeding 14 metric number but not exceeding 43 metric number per 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5206.43.00</w:t>
            </w:r>
          </w:p>
        </w:tc>
        <w:tc>
          <w:tcPr>
            <w:tcW w:w="4679" w:type="dxa"/>
            <w:tcMar>
              <w:top w:w="70" w:type="dxa"/>
              <w:start w:w="110" w:type="dxa"/>
              <w:bottom w:w="70" w:type="dxa"/>
              <w:end w:w="110" w:type="dxa"/>
            </w:tcMar>
            <w:vAlign w:val="center"/>
          </w:tcPr>
          <w:p>
            <w:pPr>
              <w:pStyle w:val="TableText"/>
              <w:jc w:val="left"/>
            </w:pPr>
            <w:r>
              <w:rPr>
                <w:lang w:val="en-US" w:eastAsia="en-US" w:bidi="ar-SA"/>
              </w:rPr>
              <w:t>Measuring per single yarn less than 232.56 decitex but not less than 192.31 decitex (exceeding 43 metric number but not exceeding 52 metric number per single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5206.44.00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Measuring per single yarn less than 192.31 decitex but not less than 125 decitex (exceeding 52 metric number but not exceeding 80 metric number per 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5206.45.00</w:t>
            </w:r>
          </w:p>
        </w:tc>
        <w:tc>
          <w:tcPr>
            <w:tcW w:w="4679" w:type="dxa"/>
            <w:tcMar>
              <w:top w:w="70" w:type="dxa"/>
              <w:start w:w="110" w:type="dxa"/>
              <w:bottom w:w="70" w:type="dxa"/>
              <w:end w:w="110" w:type="dxa"/>
            </w:tcMar>
            <w:vAlign w:val="center"/>
          </w:tcPr>
          <w:p>
            <w:pPr>
              <w:pStyle w:val="TableText"/>
              <w:jc w:val="left"/>
            </w:pPr>
            <w:r>
              <w:rPr>
                <w:lang w:val="en-US" w:eastAsia="en-US" w:bidi="ar-SA"/>
              </w:rPr>
              <w:t>Measuring per single yarn less than 125 decitex (exceeding 80 metric number per single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85% or more by weight 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5207.90.00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5208.12.00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5208.19.00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5208.22.00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5208.29.00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5208.32.00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5208.39.00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5208.42.00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w:t>
            </w:r>
          </w:p>
        </w:tc>
      </w:tr>
    </w:tbl>
    <w:p>
      <w:pPr>
        <w:pStyle w:val="Normal"/>
      </w:pPr>
      <w:r>
        <w:t>100 g/m²</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5208.43.00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5208.51.00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5209.12.00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5209.21.00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5209.29.00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5209.32.00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5209.41.00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Denim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5209.43.00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 of 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5209.51.00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5210.19.00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5210.29.00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5210.32.00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5210.41.00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5210.49.11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 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5210.49.19</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5210.49.90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5211.12.10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5211.19.00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5211.20.11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 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5211.20.19</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3-thread or 4-thread twill, including cross twill:</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5211.32.10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5211.39.00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5211.41.10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5211.41.90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Denim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5211.43.10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5211.43.90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5211.49.00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5211.52.10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5211.52.90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5212.11.30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5212.12.20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5212.13.30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5212.13.40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5212.14.30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5212.14.40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5212.15.20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5212.15.30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5212.15.90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5212.21.20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5212.21.30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5212.22.30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5212.23.20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5212.23.30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5212.23.90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5212.24.20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5212.24.30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w:t>
            </w:r>
          </w:p>
        </w:tc>
      </w:tr>
    </w:tbl>
    <w:p>
      <w:pPr>
        <w:pStyle w:val="Normal"/>
      </w:pPr>
      <w:r>
        <w:t>solely with silk</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5212.25.20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5212.25.30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5212.25.90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5301.10.00</w:t>
            </w:r>
          </w:p>
        </w:tc>
        <w:tc>
          <w:tcPr>
            <w:tcW w:w="4679" w:type="dxa"/>
            <w:tcMar>
              <w:top w:w="70" w:type="dxa"/>
              <w:start w:w="110" w:type="dxa"/>
              <w:bottom w:w="70" w:type="dxa"/>
              <w:end w:w="110" w:type="dxa"/>
            </w:tcMar>
            <w:vAlign w:val="center"/>
          </w:tcPr>
          <w:p>
            <w:pPr>
              <w:pStyle w:val="TableText"/>
              <w:jc w:val="left"/>
            </w:pPr>
            <w:r>
              <w:rPr>
                <w:lang w:val="en-US" w:eastAsia="en-US" w:bidi="ar-SA"/>
              </w:rPr>
              <w:t>Flax, raw or retted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Broken or scutched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Flax tow and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5302.10.00</w:t>
            </w:r>
          </w:p>
        </w:tc>
        <w:tc>
          <w:tcPr>
            <w:tcW w:w="4679" w:type="dxa"/>
            <w:tcMar>
              <w:top w:w="70" w:type="dxa"/>
              <w:start w:w="110" w:type="dxa"/>
              <w:bottom w:w="70" w:type="dxa"/>
              <w:end w:w="110" w:type="dxa"/>
            </w:tcMar>
            <w:vAlign w:val="center"/>
          </w:tcPr>
          <w:p>
            <w:pPr>
              <w:pStyle w:val="TableText"/>
              <w:jc w:val="left"/>
            </w:pPr>
            <w:r>
              <w:rPr>
                <w:lang w:val="en-US" w:eastAsia="en-US" w:bidi="ar-SA"/>
              </w:rPr>
              <w:t>True hemp, raw or retted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5303.10.00</w:t>
            </w:r>
          </w:p>
        </w:tc>
        <w:tc>
          <w:tcPr>
            <w:tcW w:w="4679" w:type="dxa"/>
            <w:tcMar>
              <w:top w:w="70" w:type="dxa"/>
              <w:start w:w="110" w:type="dxa"/>
              <w:bottom w:w="70" w:type="dxa"/>
              <w:end w:w="110" w:type="dxa"/>
            </w:tcMar>
            <w:vAlign w:val="center"/>
          </w:tcPr>
          <w:p>
            <w:pPr>
              <w:pStyle w:val="TableText"/>
              <w:jc w:val="left"/>
            </w:pPr>
            <w:r>
              <w:rPr>
                <w:lang w:val="en-US" w:eastAsia="en-US" w:bidi="ar-SA"/>
              </w:rPr>
              <w:t>Jute and other textile bast fibres, raw or retted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5305.00.00</w:t>
            </w:r>
          </w:p>
        </w:tc>
        <w:tc>
          <w:tcPr>
            <w:tcW w:w="4679" w:type="dxa"/>
            <w:tcMar>
              <w:top w:w="70" w:type="dxa"/>
              <w:start w:w="110" w:type="dxa"/>
              <w:bottom w:w="70" w:type="dxa"/>
              <w:end w:w="110" w:type="dxa"/>
            </w:tcMar>
            <w:vAlign w:val="center"/>
          </w:tcPr>
          <w:p>
            <w:pPr>
              <w:pStyle w:val="TableText"/>
              <w:jc w:val="left"/>
            </w:pPr>
            <w:r>
              <w:rPr>
                <w:lang w:val="en-US" w:eastAsia="en-US" w:bidi="ar-SA"/>
              </w:rPr>
              <w:t>Coconut, abaca (Manila hemp or Musa textilis Nee), ramie and other vegetable textile fibres, not elsewhere specified or included, raw or processed but not spun; tow, noils and waste of these fibres (including yarn waste and garnetted stock).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5306.20.00</w:t>
            </w:r>
          </w:p>
        </w:tc>
        <w:tc>
          <w:tcPr>
            <w:tcW w:w="4679" w:type="dxa"/>
            <w:tcMar>
              <w:top w:w="70" w:type="dxa"/>
              <w:start w:w="110" w:type="dxa"/>
              <w:bottom w:w="70" w:type="dxa"/>
              <w:end w:w="110" w:type="dxa"/>
            </w:tcMar>
            <w:vAlign w:val="center"/>
          </w:tcPr>
          <w:p>
            <w:pPr>
              <w:pStyle w:val="TableText"/>
              <w:jc w:val="left"/>
            </w:pPr>
            <w:r>
              <w:rPr>
                <w:lang w:val="en-US" w:eastAsia="en-US" w:bidi="ar-SA"/>
              </w:rPr>
              <w:t>Multiple (folded) or cabled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5307.20.00</w:t>
            </w:r>
          </w:p>
        </w:tc>
        <w:tc>
          <w:tcPr>
            <w:tcW w:w="4679" w:type="dxa"/>
            <w:tcMar>
              <w:top w:w="70" w:type="dxa"/>
              <w:start w:w="110" w:type="dxa"/>
              <w:bottom w:w="70" w:type="dxa"/>
              <w:end w:w="110" w:type="dxa"/>
            </w:tcMar>
            <w:vAlign w:val="center"/>
          </w:tcPr>
          <w:p>
            <w:pPr>
              <w:pStyle w:val="TableText"/>
              <w:jc w:val="left"/>
            </w:pPr>
            <w:r>
              <w:rPr>
                <w:lang w:val="en-US" w:eastAsia="en-US" w:bidi="ar-SA"/>
              </w:rPr>
              <w:t>Multiple (folded) or cabled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Coir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5308.20.00</w:t>
            </w:r>
          </w:p>
        </w:tc>
        <w:tc>
          <w:tcPr>
            <w:tcW w:w="4679" w:type="dxa"/>
            <w:tcMar>
              <w:top w:w="70" w:type="dxa"/>
              <w:start w:w="110" w:type="dxa"/>
              <w:bottom w:w="70" w:type="dxa"/>
              <w:end w:w="110" w:type="dxa"/>
            </w:tcMar>
            <w:vAlign w:val="center"/>
          </w:tcPr>
          <w:p>
            <w:pPr>
              <w:pStyle w:val="TableText"/>
              <w:jc w:val="left"/>
            </w:pPr>
            <w:r>
              <w:rPr>
                <w:lang w:val="en-US" w:eastAsia="en-US" w:bidi="ar-SA"/>
              </w:rPr>
              <w:t>True hemp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Paper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 or 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 or 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5309.29.00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5310.90.00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5311.00.00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Woven fabrics of other vegetable textile fibres; woven fabrics of paper yarn.</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filaments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5401.20.00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filaments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poly (p-phenyleneterephthalamide), for use in the manufacture of armour or protective clothing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nylon, measuring 200 decitex or more but not exceeding 500 decitex, containing 34 or more filaments but not exceeding 68 filaments, with a twist not exceeding 50 turns per metre, for use in the manufacture of woven or knitted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polyesters, fully drawn, measuring not more than 180 decitex</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5402.20.20</w:t>
            </w:r>
          </w:p>
        </w:tc>
        <w:tc>
          <w:tcPr>
            <w:tcW w:w="4679" w:type="dxa"/>
            <w:tcMar>
              <w:top w:w="70" w:type="dxa"/>
              <w:start w:w="110" w:type="dxa"/>
              <w:bottom w:w="70" w:type="dxa"/>
              <w:end w:w="110" w:type="dxa"/>
            </w:tcMar>
            <w:vAlign w:val="center"/>
          </w:tcPr>
          <w:p>
            <w:pPr>
              <w:pStyle w:val="TableText"/>
              <w:jc w:val="left"/>
            </w:pPr>
            <w:r>
              <w:rPr>
                <w:lang w:val="en-US" w:eastAsia="en-US" w:bidi="ar-SA"/>
              </w:rPr>
              <w:t>Solely of polyester, singles, flat, fully drawn, measuring not more than 1700 decitex, with producer twist not exceeding 5 turns per metre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5402.31.10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nylon, measuring not more than 250 decitex per single yarn, for use in the manufacture of swimwear and other circular knitted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5402.31.20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nylon, measuring 50 decitex or more but not exceeding 250 decitex, containing 13 or more nylon filaments but not exceeding 68 nylon filaments and 1 spandex (elasthane) filament, for use in the manufacture of woven or knitted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5402.31.30</w:t>
            </w:r>
          </w:p>
        </w:tc>
        <w:tc>
          <w:tcPr>
            <w:tcW w:w="4679" w:type="dxa"/>
            <w:tcMar>
              <w:top w:w="70" w:type="dxa"/>
              <w:start w:w="110" w:type="dxa"/>
              <w:bottom w:w="70" w:type="dxa"/>
              <w:end w:w="110" w:type="dxa"/>
            </w:tcMar>
            <w:vAlign w:val="center"/>
          </w:tcPr>
          <w:p>
            <w:pPr>
              <w:pStyle w:val="TableText"/>
              <w:jc w:val="left"/>
            </w:pPr>
            <w:r>
              <w:rPr>
                <w:lang w:val="en-US" w:eastAsia="en-US" w:bidi="ar-SA"/>
              </w:rPr>
              <w:t>Solely of nylon, measuring 175 decitex or more but not exceeding 500 decitex, containing 68 or more filaments but not exceeding 234 filaments for use in the manufacture of woven or knitted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5402.31.90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5402.32.10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poly (p-phenyleneterephthalamide), for use in the manufacture of armour or protective clothing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5402.33.10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Containing 80% or more by weight of polyesters, of uneven thickness with slub, loops or similar irregularities, measuring 1,000 decitex or less, for use in the manufacture of curtains of a weight not exceeding 100 g/m²; Solely of polyesters, measuring 72 decitex or more but not exceeding 111 decitex, for use in the manufacture of woven labels; Solely of polyesters, measuring 111 decitex or more but not exceeding 222 decitex, bright finish, for use in the manufacture of woven labels;</w:t>
      </w:r>
    </w:p>
    <w:p>
      <w:pPr>
        <w:pStyle w:val="Normal"/>
      </w:pPr>
      <w:r>
        <w:t>Solely of polyester, measuring not more than 250 decitex per single yarn, for use in the manufacture of swimwear and other circular knitted fabrics 5402.33.20 Solely of bleached or unbleached polyester, measuring 70 decitex or more but not exceeding 570 decitex, containing 30 or more filaments but not exceeding 140 filaments, untwisted or with a twist not exceeding 5 turns per metre, for use in the manufacture of woven or knitted fabrics or sewing threads 5402.33.90 Other 5402.34.10 Multifilament single yarn, solely of polypropylene, textured, fully drawn, with an “S” twist exceeding 50 turns per metre, measuring 1,680 decitex or more but not exceeding 3,215 decitex, for use in the manufacture of area rugs 5402.34.20 Multifilament single yarn, solely of polypropylene, textured, measuring 715 decitex or more but not exceeding 2 290 decitex, for use in the manufacture of woven fabrics 5402.34.90 Other 5402.39.00 Other 5402.44.00 Elastomeric 5402.45.00 Other, of nylon or other polyamides 5402.46.00</w:t>
      </w:r>
    </w:p>
    <w:p>
      <w:pPr>
        <w:pStyle w:val="Normal"/>
      </w:pPr>
      <w:r>
        <w:t>Other, of polyesters, partially oriented 5402.47.00 Other, of polyesters 5402.48.00 Other, of polypropylene 5402.49.00 Other 5402.51.10 Measuring less than 195 decitex 5402.51.90 Other 5402.52.10 Solely of polyesters, measuring not less than 75 decitex but not more than 80 decitex and having 24 filaments per yarn 5402.52.91 Other: Solely of polyesters, fully drawn, measuring not more than 180 decitex; Solely of polyesters, measuring 72 decitex or more but not exceeding 111 decitex, for use in the manufacture of woven labels; Containing 80% or more by weight of polyesters, of uneven thickness with slubs, loops or similar irregularities, measuring 1,000 decitex or less, for use in the manufacture of curtains of a weight not exceeding 100 g/m² 5402.52.99 Other: Other 5402.53.00 Of polypropylene 5402.59.00 Other 5402.61.00 Of nylon or other polyamides 5402.62.10 Solely of polyesters, fully drawn, measuring not more than 180 decitex;</w:t>
      </w:r>
    </w:p>
    <w:p>
      <w:pPr>
        <w:pStyle w:val="Normal"/>
      </w:pPr>
      <w:r>
        <w:t>Containing 80% or more by weight of polyesters, of uneven thickness with slubs, loops or similar irregularities, measuring 1,000 decitex or less, for use in the manufacture of curtains of a weight not exceeding 100 g/m² 5402.62.90 Other 5402.63.00 Of polypropylene 5402.69.00 Other 5403.10.00 High tenacity yarn of viscose rayon 5403.31.00 Of viscose rayon, untwisted or with a twist not exceeding 120 turns per metre 5403.32.00 Of viscose rayon, with a twist exceeding 120 turns per metre 5403.33.00 Of cellulose acetate 5403.39.00 Other 5403.41.00 Of</w:t>
      </w:r>
    </w:p>
    <w:p>
      <w:pPr>
        <w:pStyle w:val="Normal"/>
      </w:pPr>
      <w:r>
        <w:t>viscose rayon 5403.42.00 Of cellulose acetate 5403.49.00 Other 5404.11.00 Elastomeric 5404.12.00 Other, of polypropylene 5404.19.00 Other 5404.90.00 Other 5405.00.00 Artificial monofilament of 67 decitex or more and of which no cross-sectional dimension exceeds 1 mm; strip and the like (for example, artificial straw) of artificial textile materials of an apparent width not exceeding 5 mm. 5406.00.10 Synthetic filament yarn 5406.00.90 Other 5407.10.10 Belting, of a thickness not exceeding 2.8 mm and a width exceeding 350 mm, of nylon, polyester or aramid, for use in the manufacture of conveyor belts; For use in the manufacture of goods of Section XVI, of Chapter 40, 73 or 90, or of heading 59.10 or 87.05 (excluding the motor vehicle chassis portion and parts thereof), such goods being used in the exploration, discovery, development or operation of potash or rock salt deposits; For use in the manufacture of insignia for sails for ships or boats; For use in the manufacture of sails for ships or boats;</w:t>
      </w:r>
    </w:p>
    <w:p>
      <w:pPr>
        <w:pStyle w:val="Normal"/>
      </w:pPr>
      <w:r>
        <w:t>Transmission belting, excluding belting of trapezoidal cross- section (V or multi V), whether or not embossed, for use in the manufacture of transmission belts 5407.10.20 Other, for use in the manufacture of conveyor or transmission belts or belting, containing rubber 5407.10.90 Other 5407.20.00 Woven fabrics obtained from strip or the like 5407.30.10 For use in the manufacture of apparel 5407.30.90 Other 5407.41.10 Solely of single non-textured nylon filament yarns measuring 78</w:t>
      </w:r>
    </w:p>
    <w:p>
      <w:pPr>
        <w:pStyle w:val="Normal"/>
      </w:pPr>
      <w:r>
        <w:t>decitex, to be coated on one side in Canada with non-cellular polyurethane, for use in the manufacture of family or recreational tents of a floor area of 3 m² or more but not exceeding 21 m², or tent flies 5407.41.90 Other 5407.42.10 Solely of single non-textured nylon filament yarns measuring 78 decitex, to be coated on one side in Canada with non-cellular polyurethane, for use in the manufacture of family or recreational tents of a floor area of 3 m² or more but not exceeding 21 m², or tent flies 5407.42.20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5407.42.90 Other 5407.43.00 Of yarns of different colours 5407.44.00 Printed 5407.51.00 Unbleached or bleached</w:t>
      </w:r>
    </w:p>
    <w:p>
      <w:pPr>
        <w:pStyle w:val="Normal"/>
      </w:pPr>
      <w:r>
        <w:t>5407.52.11 Containing less than 10% by weight of metallized yarns, less than 65% by weight of wool or less than 15% by weight of flax, for use in the manufacture of clerical or ecclesiastical garments or vestments and furnishing articles for decorating religious buildings:</w:t>
      </w:r>
    </w:p>
    <w:p>
      <w:pPr>
        <w:pStyle w:val="Normal"/>
      </w:pPr>
      <w:r>
        <w:t>For use in the manufacture of apparel 5407.52.19 Containing less than 10% by weight of metallized yarns, less than 65% by weight of wool or less than 15% by weight of flax, for use in the manufacture of clerical or ecclesiastical garments or vestments and furnishing articles for decorating religious</w:t>
      </w:r>
    </w:p>
    <w:p>
      <w:pPr>
        <w:pStyle w:val="Normal"/>
      </w:pPr>
      <w:r>
        <w:t>buildings: Other 5407.52.20 Satin weave fabrics, white or off-white, solely of textured polyester filament yarns, of a weight exceeding 170 g/m², for use in the manufacture of brides’ white or off-white wedding dresses 5407.52.30 With or without backing, solely of yarns of textured polyester filaments, of a weight not exceeding 225 g/m², for use as facing or braids in the manufacture of tuxedos 5407.52.90 Other 5407.53.00 Of yarns of different colours 5407.54.00 Printed 5407.61.11 Solely of polyester single yarns measuring not less than 75 decitex but not more than 80 decitex, having 24 filaments per yarn and a twist of 900 or more turns per metre: For use in the manufacture of conveyor or transmission belts or belting, containing rubber 5407.61.19 Solely of polyester single yarns measuring not less than 75 decitex but not more than 80 decitex, having 24 filaments per yarn and a twist of 900 or more turns per metre:</w:t>
      </w:r>
    </w:p>
    <w:p>
      <w:pPr>
        <w:pStyle w:val="Normal"/>
      </w:pPr>
      <w:r>
        <w:t>Other 5407.61.20 Solely of single non-textured polyester filaments, dyed, having a 3/2 right hand twill weave with a steep twill of approximately 63 degrees, with a twist exceeding 1,250 turns per metre in the warp and the weft, having “S” twist yarns in the warp and two “S” twist yarns followed by two “Z” twist yarns alternating in the weft, of a weight not exceeding 250 g/m², for use in the manufacture of apparel 5407.61.93 Other: For use in the manufacture of conveyor or transmission belts or belting, containing rubber 5407.61.94 Other: Woven fabrics, white</w:t>
      </w:r>
    </w:p>
    <w:p>
      <w:pPr>
        <w:pStyle w:val="Normal"/>
      </w:pPr>
      <w:r>
        <w:t>or off-white, solely of non-textured polyester monofilament yarns and non-textured polyester multifilament yarns, having two filaments per yarn, of a weight not exceeding 45 g/m², for use in the manufacture of brides’ white or off-white wedding dresses 5407.61.95 Other: Of faille, georgette or crêpe de Chine, solely of single, non- textured polyester yarns, with a twist exceeding 1,250 turns per metre in the warp or the weft, measuring 50 decitex or more but not exceeding 180 decitex, of a weight of 90 g/m² or more but not exceeding 120 g/m², for use in the manufacture of apparel 5407.61.96 Other: Solely of polyester filaments with a twist of 1,050 turns or more per metre in the warp or the weft, unbleached or bleached, of a weight not exceeding 300 g/m², to produce dyed fabrics for the manufacture of apparel 5407.61.97 Other:</w:t>
      </w:r>
    </w:p>
    <w:p>
      <w:pPr>
        <w:pStyle w:val="Normal"/>
      </w:pPr>
      <w:r>
        <w:t>Woven fabrics, plain weave, solely of non-textured polyester filaments mixed with elastomeric filaments, having the elastomeric yarn only in the weft, of a weight of less than 90 g/m², for use as lining in the manufacture of suits, vests (waistcoats), jackets (sportcoats and blazers) and trousers 5407.61.99 Other: Other 5407.69.10 Solely of polyester filaments with a twist of 1,050 turns or more per metre in the warp or the weft, unbleached or bleached, of a weight not exceeding 300 g/m², to produce dyed fabrics for the manufacture of apparel 5407.69.20 Woven fabrics, white or off-white, solely of non-textured polyester monofilament warp yarns and</w:t>
      </w:r>
    </w:p>
    <w:p>
      <w:pPr>
        <w:pStyle w:val="Normal"/>
      </w:pPr>
      <w:r>
        <w:t>alternating stripes in the weft of non-textured polyester multifilament yarns, having two filaments per yarn, and textured polyester multifilament yarns, of a weight not exceeding 62 g/m², for use in the manufacture of brides’ white or off-white wedding dresses 5407.69.30 Solely of polyesters or of polyesters mixed solely with polypropylene, for use as ticking in the manufacture of mattresses or mattress supports 5407.69.40 Woven fabric, plain, dyed, of untwisted textured polyester filament yarns in the weft and untwisted non-textured polyester filament yarns in the warp, of a weight not exceeding 55 g/m², for use as knee lining in the manufacture of trousers 5407.69.50 Woven fabric, satin weave, dyed, of yarns of non-textured polyester filaments in the warp and of textured polyester filaments and elastomeric yarn in the weft, of a weight not exceeding 132 g/m², for use in the manufacture of dresses, skirts, vests, blouses, tops and scarves 5407.69.90 Other 5407.71.00 Unbleached or bleached 5407.72.00 Dyed 5407.73.10 Of polyesters mixed solely with polypropylene, for use as ticking in the manufacture of mattresses or mattress supports 5407.73.90 Other 5407.74.00 Printed</w:t>
      </w:r>
    </w:p>
    <w:p>
      <w:pPr>
        <w:pStyle w:val="Normal"/>
      </w:pPr>
      <w:r>
        <w:t>5407.81.00 Unbleached or bleached 5407.82.10 For use in the manufacture of headbands (hat sweats), linings (including tips and sides), peaks and stiffening bands for hats or caps 5407.82.91 Other:</w:t>
      </w:r>
    </w:p>
    <w:p>
      <w:pPr>
        <w:pStyle w:val="Normal"/>
      </w:pPr>
      <w:r>
        <w:t>Fabrics (other than fabrics containing polyester or nylon filaments mixed mainly with cotton), for use in the</w:t>
      </w:r>
    </w:p>
    <w:p>
      <w:pPr>
        <w:pStyle w:val="Normal"/>
      </w:pPr>
      <w:r>
        <w:t>manufacture of apparel 5407.82.99 Other:</w:t>
      </w:r>
    </w:p>
    <w:p>
      <w:pPr>
        <w:pStyle w:val="Normal"/>
      </w:pPr>
      <w:r>
        <w:t>Other 5407.83.00 Of yarns of different colours 5407.84.00 Printed 5407.91.10 Containing 35% or more by weight of cellulose acetate or cellulose triacetate filaments mixed with polyester filaments or with viscose rayon filaments, containing not more than 5% by weight of any other fibre, with an average yarn twist of 500 or more turns per metre in the warp or the weft, of a weight of 100 g/m² or more but not exceeding 310 g/m², for use in the manufacture of apparel 5407.91.20 Plain woven fabrics, unbleached or bleached, containing 65% or more by weight of polyester fibres mixed solely with cotton, of a weight not exceeding 100 g/m² and a width of 183 cm or more, to be dyed or printed, for use in the manufacture of the following bedding products:</w:t>
      </w:r>
    </w:p>
    <w:p>
      <w:pPr>
        <w:pStyle w:val="Normal"/>
      </w:pPr>
      <w:r>
        <w:t>comforters, duvets, pillow shams and bed skirts 5407.91.90 Other 5407.92.00 Dyed 5407.93.00 Of yarns of different colours 5407.94.10 Of polyesters mixed solely with cotton, of a weight not exceeding 170 g/m², for use as ticking in the manufacture of mattresses or mattress supports 5407.94.90 Other 5408.10.00 Woven fabrics obtained from high tenacity yarn of viscose rayon 5408.21.00 Unbleached or bleached 5408.22.11 For use in the manufacture of headbands (hat sweats), linings (including tips and sides), peaks and stiffening bands for hats or caps:</w:t>
      </w:r>
    </w:p>
    <w:p>
      <w:pPr>
        <w:pStyle w:val="Normal"/>
      </w:pPr>
      <w:r>
        <w:t>Of cuprammonium rayon 5408.22.19 For use in the manufacture of headbands (hat sweats), linings (including tips and sides), peaks and stiffening bands</w:t>
      </w:r>
    </w:p>
    <w:p>
      <w:pPr>
        <w:pStyle w:val="Normal"/>
      </w:pPr>
      <w:r>
        <w:t>for hats or caps: 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5408.22.23</w:t>
            </w:r>
          </w:p>
        </w:tc>
        <w:tc>
          <w:tcPr>
            <w:tcW w:w="4679" w:type="dxa"/>
            <w:tcMar>
              <w:top w:w="70" w:type="dxa"/>
              <w:start w:w="110" w:type="dxa"/>
              <w:bottom w:w="70" w:type="dxa"/>
              <w:end w:w="110" w:type="dxa"/>
            </w:tcMar>
            <w:vAlign w:val="center"/>
          </w:tcPr>
          <w:p>
            <w:pPr>
              <w:pStyle w:val="TableText"/>
              <w:jc w:val="left"/>
            </w:pPr>
            <w:r>
              <w:rPr>
                <w:lang w:val="en-US" w:eastAsia="en-US" w:bidi="ar-SA"/>
              </w:rPr>
              <w:t>Of cuprammonium rayon: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5408.22.29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cuprammonium rayon: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5408.22.91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5408.22.99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5408.23.11</w:t>
            </w:r>
          </w:p>
        </w:tc>
        <w:tc>
          <w:tcPr>
            <w:tcW w:w="4679" w:type="dxa"/>
            <w:tcMar>
              <w:top w:w="70" w:type="dxa"/>
              <w:start w:w="110" w:type="dxa"/>
              <w:bottom w:w="70" w:type="dxa"/>
              <w:end w:w="110" w:type="dxa"/>
            </w:tcMar>
            <w:vAlign w:val="center"/>
          </w:tcPr>
          <w:p>
            <w:pPr>
              <w:pStyle w:val="TableText"/>
              <w:jc w:val="left"/>
            </w:pPr>
            <w:r>
              <w:rPr>
                <w:lang w:val="en-US" w:eastAsia="en-US" w:bidi="ar-SA"/>
              </w:rPr>
              <w:t>Of cuprammonium rayon: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5408.23.19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cuprammonium rayon: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5408.23.91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5408.23.99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5408.24.12</w:t>
            </w:r>
          </w:p>
        </w:tc>
        <w:tc>
          <w:tcPr>
            <w:tcW w:w="4679" w:type="dxa"/>
            <w:tcMar>
              <w:top w:w="70" w:type="dxa"/>
              <w:start w:w="110" w:type="dxa"/>
              <w:bottom w:w="70" w:type="dxa"/>
              <w:end w:w="110" w:type="dxa"/>
            </w:tcMar>
            <w:vAlign w:val="center"/>
          </w:tcPr>
          <w:p>
            <w:pPr>
              <w:pStyle w:val="TableText"/>
              <w:jc w:val="left"/>
            </w:pPr>
            <w:r>
              <w:rPr>
                <w:lang w:val="en-US" w:eastAsia="en-US" w:bidi="ar-SA"/>
              </w:rPr>
              <w:t>Of cuprammonium rayon: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5408.24.19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cuprammonium rayon: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5408.24.92</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5408.24.99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5408.31.00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 or 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5408.33.00</w:t>
            </w:r>
          </w:p>
        </w:tc>
        <w:tc>
          <w:tcPr>
            <w:tcW w:w="4679" w:type="dxa"/>
            <w:tcMar>
              <w:top w:w="70" w:type="dxa"/>
              <w:start w:w="110" w:type="dxa"/>
              <w:bottom w:w="70" w:type="dxa"/>
              <w:end w:w="110" w:type="dxa"/>
            </w:tcMar>
            <w:vAlign w:val="center"/>
          </w:tcPr>
          <w:p>
            <w:pPr>
              <w:pStyle w:val="TableText"/>
              <w:jc w:val="left"/>
            </w:pPr>
            <w:r>
              <w:rPr>
                <w:lang w:val="en-US" w:eastAsia="en-US" w:bidi="ar-SA"/>
              </w:rPr>
              <w:t>Of yarns of different colours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5408.34.00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Printed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5501.10.00</w:t>
            </w:r>
          </w:p>
        </w:tc>
        <w:tc>
          <w:tcPr>
            <w:tcW w:w="4679" w:type="dxa"/>
            <w:tcMar>
              <w:top w:w="70" w:type="dxa"/>
              <w:start w:w="110" w:type="dxa"/>
              <w:bottom w:w="70" w:type="dxa"/>
              <w:end w:w="110" w:type="dxa"/>
            </w:tcMar>
            <w:vAlign w:val="center"/>
          </w:tcPr>
          <w:p>
            <w:pPr>
              <w:pStyle w:val="TableText"/>
              <w:jc w:val="left"/>
            </w:pPr>
            <w:r>
              <w:rPr>
                <w:lang w:val="en-US" w:eastAsia="en-US" w:bidi="ar-SA"/>
              </w:rPr>
              <w:t>Of nylon or other polyamides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5501.30.00</w:t>
            </w:r>
          </w:p>
        </w:tc>
        <w:tc>
          <w:tcPr>
            <w:tcW w:w="4679" w:type="dxa"/>
            <w:tcMar>
              <w:top w:w="70" w:type="dxa"/>
              <w:start w:w="110" w:type="dxa"/>
              <w:bottom w:w="70" w:type="dxa"/>
              <w:end w:w="110" w:type="dxa"/>
            </w:tcMar>
            <w:vAlign w:val="center"/>
          </w:tcPr>
          <w:p>
            <w:pPr>
              <w:pStyle w:val="TableText"/>
              <w:jc w:val="left"/>
            </w:pPr>
            <w:r>
              <w:rPr>
                <w:lang w:val="en-US" w:eastAsia="en-US" w:bidi="ar-SA"/>
              </w:rPr>
              <w:t>Acrylic or modacrylic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5501.40.00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polypropylene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cellulose acetate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aramids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5503.30.00</w:t>
            </w:r>
          </w:p>
        </w:tc>
        <w:tc>
          <w:tcPr>
            <w:tcW w:w="4679" w:type="dxa"/>
            <w:tcMar>
              <w:top w:w="70" w:type="dxa"/>
              <w:start w:w="110" w:type="dxa"/>
              <w:bottom w:w="70" w:type="dxa"/>
              <w:end w:w="110" w:type="dxa"/>
            </w:tcMar>
            <w:vAlign w:val="center"/>
          </w:tcPr>
          <w:p>
            <w:pPr>
              <w:pStyle w:val="TableText"/>
              <w:jc w:val="left"/>
            </w:pPr>
            <w:r>
              <w:rPr>
                <w:lang w:val="en-US" w:eastAsia="en-US" w:bidi="ar-SA"/>
              </w:rPr>
              <w:t>Acrylic or modacrylic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5503.40.00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polypropylene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viscose rayon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5505.20.00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nylon or other polyamides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5506.20.00</w:t>
            </w:r>
          </w:p>
        </w:tc>
        <w:tc>
          <w:tcPr>
            <w:tcW w:w="4679" w:type="dxa"/>
            <w:tcMar>
              <w:top w:w="70" w:type="dxa"/>
              <w:start w:w="110" w:type="dxa"/>
              <w:bottom w:w="70" w:type="dxa"/>
              <w:end w:w="110" w:type="dxa"/>
            </w:tcMar>
            <w:vAlign w:val="center"/>
          </w:tcPr>
          <w:p>
            <w:pPr>
              <w:pStyle w:val="TableText"/>
              <w:jc w:val="left"/>
            </w:pPr>
            <w:r>
              <w:rPr>
                <w:lang w:val="en-US" w:eastAsia="en-US" w:bidi="ar-SA"/>
              </w:rPr>
              <w:t>Of polyesters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Acrylic or modacrylic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5506.40.00</w:t>
            </w:r>
          </w:p>
        </w:tc>
        <w:tc>
          <w:tcPr>
            <w:tcW w:w="4679" w:type="dxa"/>
            <w:tcMar>
              <w:top w:w="70" w:type="dxa"/>
              <w:start w:w="110" w:type="dxa"/>
              <w:bottom w:w="70" w:type="dxa"/>
              <w:end w:w="110" w:type="dxa"/>
            </w:tcMar>
            <w:vAlign w:val="center"/>
          </w:tcPr>
          <w:p>
            <w:pPr>
              <w:pStyle w:val="TableText"/>
              <w:jc w:val="left"/>
            </w:pPr>
            <w:r>
              <w:rPr>
                <w:lang w:val="en-US" w:eastAsia="en-US" w:bidi="ar-SA"/>
              </w:rPr>
              <w:t>Of polypropylene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5507.00.00</w:t>
            </w:r>
          </w:p>
        </w:tc>
        <w:tc>
          <w:tcPr>
            <w:tcW w:w="4679" w:type="dxa"/>
            <w:tcMar>
              <w:top w:w="70" w:type="dxa"/>
              <w:start w:w="110" w:type="dxa"/>
              <w:bottom w:w="70" w:type="dxa"/>
              <w:end w:w="110" w:type="dxa"/>
            </w:tcMar>
            <w:vAlign w:val="center"/>
          </w:tcPr>
          <w:p>
            <w:pPr>
              <w:pStyle w:val="TableText"/>
              <w:jc w:val="left"/>
            </w:pPr>
            <w:r>
              <w:rPr>
                <w:lang w:val="en-US" w:eastAsia="en-US" w:bidi="ar-SA"/>
              </w:rPr>
              <w:t>Artificial staple fibres, carded, combed or otherwise processed for spinning.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5508.10.10</w:t>
            </w:r>
          </w:p>
        </w:tc>
        <w:tc>
          <w:tcPr>
            <w:tcW w:w="4679" w:type="dxa"/>
            <w:tcMar>
              <w:top w:w="70" w:type="dxa"/>
              <w:start w:w="110" w:type="dxa"/>
              <w:bottom w:w="70" w:type="dxa"/>
              <w:end w:w="110" w:type="dxa"/>
            </w:tcMar>
            <w:vAlign w:val="center"/>
          </w:tcPr>
          <w:p>
            <w:pPr>
              <w:pStyle w:val="TableText"/>
              <w:jc w:val="left"/>
            </w:pPr>
            <w:r>
              <w:rPr>
                <w:lang w:val="en-US" w:eastAsia="en-US" w:bidi="ar-SA"/>
              </w:rPr>
              <w:t>Of polyester or aramid staple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5508.10.90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5508.20.00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staple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5509.12.10</w:t>
            </w:r>
          </w:p>
        </w:tc>
        <w:tc>
          <w:tcPr>
            <w:tcW w:w="4679" w:type="dxa"/>
            <w:tcMar>
              <w:top w:w="70" w:type="dxa"/>
              <w:start w:w="110" w:type="dxa"/>
              <w:bottom w:w="70" w:type="dxa"/>
              <w:end w:w="110" w:type="dxa"/>
            </w:tcMar>
            <w:vAlign w:val="center"/>
          </w:tcPr>
          <w:p>
            <w:pPr>
              <w:pStyle w:val="TableText"/>
              <w:jc w:val="left"/>
            </w:pPr>
            <w:r>
              <w:rPr>
                <w:lang w:val="en-US" w:eastAsia="en-US" w:bidi="ar-SA"/>
              </w:rPr>
              <w:t>Stretch-broken (tow-to-top) spun yarns of aramids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5509.21.10</w:t>
            </w:r>
          </w:p>
        </w:tc>
        <w:tc>
          <w:tcPr>
            <w:tcW w:w="4679" w:type="dxa"/>
            <w:tcMar>
              <w:top w:w="70" w:type="dxa"/>
              <w:start w:w="110" w:type="dxa"/>
              <w:bottom w:w="70" w:type="dxa"/>
              <w:end w:w="110" w:type="dxa"/>
            </w:tcMar>
            <w:vAlign w:val="center"/>
          </w:tcPr>
          <w:p>
            <w:pPr>
              <w:pStyle w:val="TableText"/>
              <w:jc w:val="left"/>
            </w:pPr>
            <w:r>
              <w:rPr>
                <w:lang w:val="en-US" w:eastAsia="en-US" w:bidi="ar-SA"/>
              </w:rPr>
              <w:t>Of uneven thickness with slubs, loops or similar irregularities, measuring 1,000 decitex or less (10 metric number or more), for use in the manufacture of curtains of a weight not exceeding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5509.21.90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5509.22.20</w:t>
            </w:r>
          </w:p>
        </w:tc>
        <w:tc>
          <w:tcPr>
            <w:tcW w:w="4679" w:type="dxa"/>
            <w:tcMar>
              <w:top w:w="70" w:type="dxa"/>
              <w:start w:w="110" w:type="dxa"/>
              <w:bottom w:w="70" w:type="dxa"/>
              <w:end w:w="110" w:type="dxa"/>
            </w:tcMar>
            <w:vAlign w:val="center"/>
          </w:tcPr>
          <w:p>
            <w:pPr>
              <w:pStyle w:val="TableText"/>
              <w:jc w:val="left"/>
            </w:pPr>
            <w:r>
              <w:rPr>
                <w:lang w:val="en-US" w:eastAsia="en-US" w:bidi="ar-SA"/>
              </w:rPr>
              <w:t>Stretch-broken (tow-to-top) spun yarns of polyester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5509.22.30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solely of polyesters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5509.22.90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5509.32.10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acrylic staple fibres, unbleached, in hanks, measuring 450 decitex or less per single yarn (22.2 metric number or more per single yarn), for use in the manufacture of bulk, dyed, acrylic yarns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5509.41.10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80% or more by weight of polyester staple fibres, of uneven thickness with slubs, loops or similar irregularities, measuring 1,000 decitex or less (10 metric number or more), for use in the manufacture of curtains of a weight not exceeding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5509.41.90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5509.42.00</w:t>
            </w:r>
          </w:p>
        </w:tc>
        <w:tc>
          <w:tcPr>
            <w:tcW w:w="4679" w:type="dxa"/>
            <w:tcMar>
              <w:top w:w="70" w:type="dxa"/>
              <w:start w:w="110" w:type="dxa"/>
              <w:bottom w:w="70" w:type="dxa"/>
              <w:end w:w="110" w:type="dxa"/>
            </w:tcMar>
            <w:vAlign w:val="center"/>
          </w:tcPr>
          <w:p>
            <w:pPr>
              <w:pStyle w:val="TableText"/>
              <w:jc w:val="left"/>
            </w:pPr>
            <w:r>
              <w:rPr>
                <w:lang w:val="en-US" w:eastAsia="en-US" w:bidi="ar-SA"/>
              </w:rPr>
              <w:t>Multiple (folded) or cabled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Mixed mainly or solely with artificial staple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5509.52.10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combed wool and polyester staple fibres, containing 40% or more by weight of wool, for use in the manufacture of woven combed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5509.52.90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5509.53.10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white or off-white cotton and white polyester staple fibres, containing not more than 80% by weight of</w:t>
            </w:r>
          </w:p>
        </w:tc>
      </w:tr>
    </w:tbl>
    <w:p>
      <w:pPr>
        <w:pStyle w:val="Normal"/>
      </w:pPr>
      <w:r>
        <w:t>white polyester staple fibres, single, ring-spun (but not including mock twist or heather yarns), unbleached or bleached, measuring 190 decitex or less (52.63 metric number or more), for use in the manufacture of knitted fabrics or knitted garments 5509.53.20 Solely of white or off-white cotton and white polyester staple fibres, containing 50% by weight of white polyester staple fibres, single, combed, ring-spun (but not including mock twist or heather yarns), unbleached or bleached, measuring 492 decitex (12s cotton count), 328 decitex (18s cotton count) or 246 decitex (24s cotton count), for use in the manufacture apparel 5509.53.30 Solely of white or off-white cotton and white polyester staple fibres, containing 52% by weight of white polyester staple fibres, single, combed, ring-spun (but not including mock twist or heather yarns), unbleached or bleached, measuring 492 decitex (12s cotton count), 328 decitex (18s cotton count) or 246 decitex (24s cotton count), for use in the manufacture of apparel</w:t>
      </w:r>
    </w:p>
    <w:p>
      <w:pPr>
        <w:pStyle w:val="Normal"/>
      </w:pPr>
      <w:r>
        <w:t>5509.53.40 Solely of white or off-white cotton and white polyester staple fibres, containing 55% by weight of white polyester staple fibres, single, combed, ring-spun (but not including mock twist or heather yarns), unbleached or bleached, measuring 492 decitex (12s cotton count), 328 decitex (18s cotton count) or 246 decitex (24s cotton count), for use in the manufacture of apparel 5509.53.90 Other 5509.59.00 Other 5509.61.00 Mixed mainly or solely with wool or fine animal</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5509.62.00</w:t>
            </w:r>
          </w:p>
        </w:tc>
        <w:tc>
          <w:tcPr>
            <w:tcW w:w="4679" w:type="dxa"/>
            <w:tcMar>
              <w:top w:w="70" w:type="dxa"/>
              <w:start w:w="110" w:type="dxa"/>
              <w:bottom w:w="70" w:type="dxa"/>
              <w:end w:w="110" w:type="dxa"/>
            </w:tcMar>
            <w:vAlign w:val="center"/>
          </w:tcPr>
          <w:p>
            <w:pPr>
              <w:pStyle w:val="TableText"/>
              <w:jc w:val="left"/>
            </w:pPr>
            <w:r>
              <w:rPr>
                <w:lang w:val="en-US" w:eastAsia="en-US" w:bidi="ar-SA"/>
              </w:rPr>
              <w:t>hair Mixed mainly or solely with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5509.91.00</w:t>
            </w:r>
          </w:p>
        </w:tc>
        <w:tc>
          <w:tcPr>
            <w:tcW w:w="4679" w:type="dxa"/>
            <w:tcMar>
              <w:top w:w="70" w:type="dxa"/>
              <w:start w:w="110" w:type="dxa"/>
              <w:bottom w:w="70" w:type="dxa"/>
              <w:end w:w="110" w:type="dxa"/>
            </w:tcMar>
            <w:vAlign w:val="center"/>
          </w:tcPr>
          <w:p>
            <w:pPr>
              <w:pStyle w:val="TableText"/>
              <w:jc w:val="left"/>
            </w:pPr>
            <w:r>
              <w:rPr>
                <w:lang w:val="en-US" w:eastAsia="en-US" w:bidi="ar-SA"/>
              </w:rPr>
              <w:t>Mixed mainly or solely with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Mixed mainly or solely with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artificial staple fibres other than acetate fibres, or mixed solely with 15% or less by weight of any natural fibre, measuring less than 210 decitex, for use in the manufacture of circular knitted apparel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viscose rayon, measuring per single yarn less than 175 decitex, for use in the manufacture of mattress ticking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5510.12.90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viscose rayon fibres and 25% or more by weight of goat hair, for use in the manufacture of interlining fabrics for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 yarn containing 50% or more by weight of artificial staple fibres other than acetate fibres, mixed solely with cotton fibres, measuring less than 210 decitex, for use in the manufacture of circular knitted apparel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5511.10.00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staple fibres, containing 85% or more by weight of such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staple fibres, containing less than 85% by weight of such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5511.30.00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staple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5512.11.10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polyester staple fibres, for use in the manufacture of family or recreational tents of a floor area of 3 m² or more but not exceeding 21 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5512.11.30</w:t>
            </w:r>
          </w:p>
        </w:tc>
        <w:tc>
          <w:tcPr>
            <w:tcW w:w="4679" w:type="dxa"/>
            <w:tcMar>
              <w:top w:w="70" w:type="dxa"/>
              <w:start w:w="110" w:type="dxa"/>
              <w:bottom w:w="70" w:type="dxa"/>
              <w:end w:w="110" w:type="dxa"/>
            </w:tcMar>
            <w:vAlign w:val="center"/>
          </w:tcPr>
          <w:p>
            <w:pPr>
              <w:pStyle w:val="TableText"/>
              <w:jc w:val="left"/>
            </w:pPr>
            <w:r>
              <w:rPr>
                <w:lang w:val="en-US" w:eastAsia="en-US" w:bidi="ar-SA"/>
              </w:rPr>
              <w:t>Woven fabrics of polyester staple fibres mixed solely with cotton, unbleached or</w:t>
            </w:r>
          </w:p>
        </w:tc>
      </w:tr>
    </w:tbl>
    <w:p>
      <w:pPr>
        <w:pStyle w:val="Normal"/>
      </w:pPr>
      <w:r>
        <w:t>bleached, ring-spun, having a metric twist factor ([turns per metre] x [square root of tex] x 0.01) of 45 or more in the warp or the weft, for use by textile converters only to produce dyed and finished fabrics for the apparel and footwear industries 5512.11.91 Other: For use in the manufacture of apparel 5512.11.99 Other: Other 5512.19.10 Solely of polyester staple fibres, for use in the manufacture of family or recreational tents of a floor area of 3 m² or more but not exceeding 21 m² 5512.19.91 Other: Fabrics (other than solely of polyester staple fibres), for use in the manufacture of apparel 5512.19.99 Other: Other 5512.21.10 For use in the manufacture of apparel 5512.21.90 Other 5512.29.10 Plain woven fabrics, solely of acrylic staple fibres made from 2 ply yarns, having a decitex per single yarn of 295 or more but not exceeding 315 decitex, of a weight of 280 g/m² or more but not exceeding 320 g/m², for use in the manufacture of retractable awnings or sun umbrellas 5512.29.91 Other:</w:t>
      </w:r>
    </w:p>
    <w:p>
      <w:pPr>
        <w:pStyle w:val="Normal"/>
      </w:pPr>
      <w:r>
        <w:t>For use in the manufacture of apparel 5512.29.99 Other: Other 5512.91.10 Fabrics (other than woven fabrics of aramid fibres), for use in the manufacture of apparel 5512.91.90 Other 5512.99.10 Containing 83% or more by weight of vinal staple fibres and 13% or more by weight of polynosic staple fibres, for use in the manufacture of protective outerwear worn in high temperature applications in aluminum plants 5512.99.91 Other: Fabrics (other than woven fabrics of aramid staple fibres), for</w:t>
      </w:r>
    </w:p>
    <w:p>
      <w:pPr>
        <w:pStyle w:val="Normal"/>
      </w:pPr>
      <w:r>
        <w:t>use in the manufacture of apparel 5512.99.99 Other: Other 5513.11.20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5513.11.30 Plain woven fabrics, unbleached or bleached, containing 65% or more by weight of polyester fibres mixed solely with cotton, of a weight not exceeding 100 g/m² and a width of 183 cm or more, to be dyed or printed, for use in the manufacture of the following bedding products: comforters, duvets, pillow shams and bed skirts 5513.11.91 Other: For use in the manufacture of apparel 5513.11.99 Other:</w:t>
      </w:r>
    </w:p>
    <w:p>
      <w:pPr>
        <w:pStyle w:val="Normal"/>
      </w:pPr>
      <w:r>
        <w:t>Other 5513.12.10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5513.12.91 Other: For use in the manufacture of apparel 5513.12.99 Other: Other 5513.13.10 Woven fabrics of polyester staple fibres mixed solely with cotton, unbleached or bleached, ring-spun, having a metric twist factor ([turns per metre] x [square root of tex] x 0.01) of 45 or more in the warp or the weft, for use by textile converters</w:t>
      </w:r>
    </w:p>
    <w:p>
      <w:pPr>
        <w:pStyle w:val="Normal"/>
      </w:pPr>
      <w:r>
        <w:t>only to produce dyed and finished fabrics for the apparel and footwear industries 5513.13.91 Other: For use in the manufacture of apparel 5513.13.99 Other: Other 5513.19.00 Other woven fabrics 5513.21.00 Of polyester staple fibres, plain weave 5513.23.11 3-thread or 4-thread twill, including cross twill, of polyester staple fibres:</w:t>
      </w:r>
    </w:p>
    <w:p>
      <w:pPr>
        <w:pStyle w:val="Normal"/>
      </w:pPr>
      <w:r>
        <w:t>Containing 60% or more by weight of polyester staple fibres, 30% or more by weight of cotton fibres and 5% or more by weight of elastomeric monofilaments, 4-thread twill, measuring 170 decitex or more but not exceeding 180 decitex in the warp, per single yarn, and measuring 315 decitex or more but not exceeding 333 decitex in the weft, per single yarn, having a yarn count in the warp of 423 or more but not exceeding 447 per 10 cm, and a yarn count in the weft of 246 or more but not exceeding 262 per 10 cm, of a weight not exceeding 170 g/m², with a value of $7.50 or more per square metre, for use in the manufacture of uniform or hiking pants and shorts or bicycle touring shorts 5513.23.19 3-thread or 4-thread twill, including cross twill, of polyester staple fibres: Other 5513.23.91 Other: For use in the manufacture of apparel 5513.23.99 Other:</w:t>
      </w:r>
    </w:p>
    <w:p>
      <w:pPr>
        <w:pStyle w:val="Normal"/>
      </w:pPr>
      <w:r>
        <w:t>Other 5513.29.00 Other woven fabrics 5513.31.20 For use in the manufacture of apparel 5513.31.90 Other 5513.39.11 3-thread or 4-thread twill, including cross twill, of polyester staple fibres; other woven fabrics of polyester staple fibres: For use in the manufacture of apparel 5513.39.19 3-thread or</w:t>
      </w:r>
    </w:p>
    <w:p>
      <w:pPr>
        <w:pStyle w:val="Normal"/>
      </w:pPr>
      <w:r>
        <w:t>4-thread twill, including cross twill, of polyester staple fibres; other woven fabrics of polyester staple fibres: Other 5513.39.91 Other: For use in the manufacture of apparel 5513.39.99 Other:</w:t>
      </w:r>
    </w:p>
    <w:p>
      <w:pPr>
        <w:pStyle w:val="Normal"/>
      </w:pPr>
      <w:r>
        <w:t>Other 5513.41.10 Of polyester staple fibres mixed solely with cotton, of a seersucker or similar crinkle stripe appearance, of a weight not exceeding 100 g/m², for use in the manufacture of apparel 5513.41.20 Of polyester staple fibres, mixed solely with cotton, of a weight not excceeding 100 g/m², for use in the manufacture of apparel 5513.41.30 Of polyester staple fibres, mixed solely with cotton, of a weight not exceeding 100g/m², for use in the manufacture of sleeping bags 5513.41.90 Other 5513.49.00 Other woven fabrics 5514.11.00 Of polyester staple fibres, plain weave 5514.12.00 3-thread or 4-thread twill, including cross twill, of polyester staple fibres 5514.19.00 Other woven fabrics 5514.21.00 Of polyester staple fibres, plain weave 5514.22.00 3-thread or 4-thread twill, including cross twill, of polyester staple fibres 5514.23.10 For use in the manufacture of apparel 5514.23.90 Other 5514.29.00 Other woven fabrics 5514.30.00 Of yarns of different colours 5514.41.00 Of polyester staple fibres, plain weave 5514.42.00 3-thread or 4-thread twill, including cross twill, of polyester staple fibres 5514.43.10 For use in the manufacture of apparel 5514.43.90 Other 5514.49.10 For use in the manufacture of apparel 5514.49.90 Other 5515.11.10 Solely of polyester fibres and viscose</w:t>
      </w:r>
    </w:p>
    <w:p>
      <w:pPr>
        <w:pStyle w:val="Normal"/>
      </w:pPr>
      <w:r>
        <w:t>rayon staple fibres, or solely of polyester fibres, viscose rayon fibres and flax, with a twist of 1,050 turns or more per metre in the warp or the weft, unbleached or bleached, of a weight not exceeding 300 g/m², to produced dyed fabrics for the manufacture of apparel 5515.11.20 Containing 60% or more by weight of polyester staple fibres, 30% or more by weight of rayon staple fibres, mixed with 10% or less by weight of elastomeric monofilament, constructed in both the warp and the weft of 2-ply yarns that are also plied with an elastomeric monofilament, with a twist of 450 turns or more per metre, of a weight of 200 g/m² or more, for use in the manufacture of apparel 5515.11.30 Of a weight exceeding 300 g/m² for use in the manufacture of apparel 5515.11.90 Other 5515.12.00 Mixed mainly or solely with man-made filaments 5515.13.00 Mixed mainly or solely with wool or fine animal hair 5515.19.10 For use in the manufacture of apparel 5515.19.90 Other</w:t>
      </w:r>
    </w:p>
    <w:p>
      <w:pPr>
        <w:pStyle w:val="Normal"/>
      </w:pPr>
      <w:r>
        <w:t>5515.21.10 Fabrics (other than fabrics containing polyester filaments, polyester staple fibres and acrylic staple fibres), for use in the manufacture of apparel 5515.21.90 Other 5515.22.00 Mixed mainly or solely with wool or fine animal hair 5515.29.10 For use in the manufacture of apparel 5515.29.90 Other 5515.91.10 For use in the manufacture of apparel 5515.91.90 Other 5515.99.11 Mixed mainly or solely with wool or fine animal hair:</w:t>
      </w:r>
    </w:p>
    <w:p>
      <w:pPr>
        <w:pStyle w:val="Normal"/>
      </w:pPr>
      <w:r>
        <w:t>For use in the manufacture of apparel 5515.99.19 Mixed mainly or solely with wool or fine animal</w:t>
      </w:r>
    </w:p>
    <w:p>
      <w:pPr>
        <w:pStyle w:val="Normal"/>
      </w:pPr>
      <w:r>
        <w:t>hair: Other 5515.99.91 Other: Fabrics (other than fabrics containing aramid staple fibres), for use in the manufacture of apparel 5515.99.99 Other: Other 5516.11.00 Unbleached or bleached 5516.12.10 Fabrics (other than fabrics solely of Lyocell staple fibres), for use in the manufacture of apparel 5516.12.91 Other: Solely of rayon, of a width exceeding 280 cm, having a sum of yarns per 10 cm in the warp and the weft of 1,085 or more, for use in the manufacture of bed linen, duvet covers, pillow shams, cushions and cushion covers 5516.12.99 Other: Other 5516.13.10 For use in the manufacture of apparel 5516.13.90 Other 5516.14.20 Fabrics (other than fabrics solely of Lyocell staple fibres), for use in the manufacture of apparel 5516.14.90 Other 5516.21.10 Solely of polyester fibres and viscose rayon staple fibres, or solely of polyester fibres, viscose rayon fibres and flax, with a twist or 1,050 turns or more per metre in the warp or the weft, of a weight not exceeding 300 g/m², to produce dyed fabrics for the manufacture of apparel 5516.21.91 Other:</w:t>
      </w:r>
    </w:p>
    <w:p>
      <w:pPr>
        <w:pStyle w:val="Normal"/>
      </w:pPr>
      <w:r>
        <w:t>Fabrics (other than fabrics containing polyester filaments, polyester staple fibres and rayon staple fibres), for use in the manufacture of apparel 5516.21.99 Other: Other 5516.22.00 Dyed 5516.23.10 Of rayon mixed solely with polypropylene, for use as ticking in the manufacture of mattresses or mattress supports 5516.23.91 Other: For use in the manufacture of apparel 5516.23.99 Other: Other 5516.24.10 Containing 85% or more of</w:t>
      </w:r>
    </w:p>
    <w:p>
      <w:pPr>
        <w:pStyle w:val="Normal"/>
      </w:pPr>
      <w:r>
        <w:t>viscose rayon or cuprammonium rayon, valued at $5.00/m² or more, for use in the manufacture of apparel 5516.24.90 Other 5516.31.00 Unbleached or bleached 5516.32.00 Dyed 5516.33.00 Of yarns of different colours 5516.34.00 Printed 5516.41.00 Unbleached or bleached 5516.42.00 Dyed 5516.43.00 Of yarns of different colours 5516.44.00 Printed 5516.91.10 Solely of polyester fibres and viscose rayon staple fibres, or solely of polyester fibres, viscose rayon fibres and flax, with a twist of 1,050 turns or more per metre in the warp or the weft, of a weight not exceeding 300 g/m², to produce dyed fabrics for the manufacture of apparel 5516.91.91 Other: Fabrics (other than fabrics containing Lyocell, viscose staple fibres or aramid fibres), for use in the manufacture of apparel 5516.91.92 Other: Plain weave fabric, of unbleached yarns, composed predominately of viscose rayon staple fibres, mixed mainly with horsehair, cotton and polyester staple fibres, of a weight not exceeding 225 g/m², for use in the manufacture of apparel 5516.91.99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5516.92.00</w:t>
            </w:r>
          </w:p>
        </w:tc>
        <w:tc>
          <w:tcPr>
            <w:tcW w:w="4679" w:type="dxa"/>
            <w:tcMar>
              <w:top w:w="70" w:type="dxa"/>
              <w:start w:w="110" w:type="dxa"/>
              <w:bottom w:w="70" w:type="dxa"/>
              <w:end w:w="110" w:type="dxa"/>
            </w:tcMar>
            <w:vAlign w:val="center"/>
          </w:tcPr>
          <w:p>
            <w:pPr>
              <w:pStyle w:val="TableText"/>
              <w:jc w:val="left"/>
            </w:pPr>
            <w:r>
              <w:rPr>
                <w:lang w:val="en-US" w:eastAsia="en-US" w:bidi="ar-SA"/>
              </w:rPr>
              <w:t>Dyed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5516.93.00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yarns of different colours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5516.94.10</w:t>
            </w:r>
          </w:p>
        </w:tc>
        <w:tc>
          <w:tcPr>
            <w:tcW w:w="4679" w:type="dxa"/>
            <w:tcMar>
              <w:top w:w="70" w:type="dxa"/>
              <w:start w:w="110" w:type="dxa"/>
              <w:bottom w:w="70" w:type="dxa"/>
              <w:end w:w="110" w:type="dxa"/>
            </w:tcMar>
            <w:vAlign w:val="center"/>
          </w:tcPr>
          <w:p>
            <w:pPr>
              <w:pStyle w:val="TableText"/>
              <w:jc w:val="left"/>
            </w:pPr>
            <w:r>
              <w:rPr>
                <w:lang w:val="en-US" w:eastAsia="en-US" w:bidi="ar-SA"/>
              </w:rPr>
              <w:t>Fabrics (other than fabrics containing Lyocell, viscose staple fibres or aramid fibres),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5516.94.90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5601.21.10</w:t>
            </w:r>
          </w:p>
        </w:tc>
        <w:tc>
          <w:tcPr>
            <w:tcW w:w="4679" w:type="dxa"/>
            <w:tcMar>
              <w:top w:w="70" w:type="dxa"/>
              <w:start w:w="110" w:type="dxa"/>
              <w:bottom w:w="70" w:type="dxa"/>
              <w:end w:w="110" w:type="dxa"/>
            </w:tcMar>
            <w:vAlign w:val="center"/>
          </w:tcPr>
          <w:p>
            <w:pPr>
              <w:pStyle w:val="TableText"/>
              <w:jc w:val="left"/>
            </w:pPr>
            <w:r>
              <w:rPr>
                <w:lang w:val="en-US" w:eastAsia="en-US" w:bidi="ar-SA"/>
              </w:rPr>
              <w:t>Strips of wadding, for use in the manufacture of tampons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5601.21.21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wadding: 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5601.21.29</w:t>
            </w:r>
          </w:p>
        </w:tc>
        <w:tc>
          <w:tcPr>
            <w:tcW w:w="4679" w:type="dxa"/>
            <w:tcMar>
              <w:top w:w="70" w:type="dxa"/>
              <w:start w:w="110" w:type="dxa"/>
              <w:bottom w:w="70" w:type="dxa"/>
              <w:end w:w="110" w:type="dxa"/>
            </w:tcMar>
            <w:vAlign w:val="center"/>
          </w:tcPr>
          <w:p>
            <w:pPr>
              <w:pStyle w:val="TableText"/>
              <w:jc w:val="left"/>
            </w:pPr>
            <w:r>
              <w:rPr>
                <w:lang w:val="en-US" w:eastAsia="en-US" w:bidi="ar-SA"/>
              </w:rPr>
              <w:t>Other wadding: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5601.21.30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wadding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5601.22.40</w:t>
            </w:r>
          </w:p>
        </w:tc>
        <w:tc>
          <w:tcPr>
            <w:tcW w:w="4679" w:type="dxa"/>
            <w:tcMar>
              <w:top w:w="70" w:type="dxa"/>
              <w:start w:w="110" w:type="dxa"/>
              <w:bottom w:w="70" w:type="dxa"/>
              <w:end w:w="110" w:type="dxa"/>
            </w:tcMar>
            <w:vAlign w:val="center"/>
          </w:tcPr>
          <w:p>
            <w:pPr>
              <w:pStyle w:val="TableText"/>
              <w:jc w:val="left"/>
            </w:pPr>
            <w:r>
              <w:rPr>
                <w:lang w:val="en-US" w:eastAsia="en-US" w:bidi="ar-SA"/>
              </w:rPr>
              <w:t>Wadding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5601.22.50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bl>
    <w:p>
      <w:pPr>
        <w:pStyle w:val="Normal"/>
      </w:pPr>
      <w:r>
        <w:t>Articles of wadding 5601.29.00 Other 5601.30.00 Textile flock and dust and mill neps 5602.10.10 Needleloom felt, certified by the exporter to be products that have been impregnated with polyurethane which has been coagulated, whether or not further coated or covered, for use in the manufacture of clothing accessories, parts of garments or trimmings for garments, including labels, badges and similar articles of a kind normally sewn to the outer part of wearing apparel 5602.10.20 Needleloom felt, not impregnated, coated, covered or laminated, containing 10% or more of wool or fine animal hair, for use in the manufacture of apparel 5602.10.90 Other 5602.21.10 Pressure pads for use in the manufacture of tape cassettes or tape cartridges 5602.21.91 Other: For use in the manufacture of apparel 5602.21.99 Other:</w:t>
      </w:r>
    </w:p>
    <w:p>
      <w:pPr>
        <w:pStyle w:val="Normal"/>
      </w:pPr>
      <w:r>
        <w:t>Other 5602.29.00 Of other textile materials 5602.90.10 For use in the manufacture of apparel 5602.90.90 Other 5603.11.00 Weighing not more than 25 g/m² 5603.12.00 Weighing more than 25 g/m² but not more than 70 g/m² 5603.13.00 Weighing more than 70 g/m² but not more than 150 g/m² 5603.14.00 Weighing more than 150 g/m² 5603.91.00 Weighing not more than 25 g/m² 5603.92.00 Weighing more than 25 g/m² but not more than 70 g/m² 5603.93.00 Weighing more than 70 g/m² but not more than 150 g/m² 5603.94.00 Weighing more than 150 g/m² 5604.10.00 Rubber thread and cord, textile covered 5604.90.10 High tenacity yarn of polyesters, of nylon or other polyamides or of viscose rayon,</w:t>
      </w:r>
    </w:p>
    <w:p>
      <w:pPr>
        <w:pStyle w:val="Normal"/>
      </w:pPr>
      <w:r>
        <w:t>impregnated or coated, excluding yarn solely of viscose, single, with a twist not exceeding 150 turns per metre 5604.90.20 Solely of viscose rayon, single, with a twist not exceeding 150 turns per metre 5604.90.90 Other 5605.00.00 Metallized yarn, whether or not gimped, being textile yarn, or strip or the like of heading 54.04 or 54.05, combined with metal in the form of thread, strip or powder or covered with metal. 5606.00.00 Gimped yarn, and strip and the like of heading 54.04 or 54.05, gimped (other than those of heading 56.05 and gimped horsehair yarn); chenille yarn (including flock chenille yarn); loop wale- yarn. 5607.21.00 Binder or baler twine 5607.29.10 Of a circumference not exceeding 38 mm, to be employed in commercial fishing or in the commercial harvesting of marine plants; Twine, to be employed in baling farm produce 5607.29.20 Other, of a circumference not exceeding 25.4 mm 5607.29.90 Other 5607.41.00 Binder or baler twine 5607.49.10 Rope, for climbing or mountaineering, manufactured to the standards of the Union Internationale des Associations d’Alpinisme;</w:t>
      </w:r>
    </w:p>
    <w:p>
      <w:pPr>
        <w:pStyle w:val="Normal"/>
      </w:pPr>
      <w:r>
        <w:t>Seine rope, of a circumference of 60 mm or more, consisting of multiple ropes of polypropylene and twisted steel wires surrounding a core of multiple ropes of polypropylene, to be employed in commercial fishing or in the commercial harvesting of marine plants; Of a circumference not exceeding 38 mm, to be employed in commercial fishing or in the commercial harvesting of marine plants; Twine, to be</w:t>
      </w:r>
    </w:p>
    <w:p>
      <w:pPr>
        <w:pStyle w:val="Normal"/>
      </w:pPr>
      <w:r>
        <w:t>employed in baling farm produce 5607.49.20 Other, of a circumference not exceeding 25.4 mm 5607.49.90 Other 5607.50.10 Braided cord, solely of polyester, electrically conductive, of a circumference exceeding 29 mm but not exceeding 40 mm, for use in the manufacture or refurbishing of electrical generators; Of a circumference not exceeding 38 mm, to be employed in commercial fishing or in the commercial harvesting of marine plants; Rope, for climbing or mountaineering, manufactured to the standards of the Union Internationale des Associations d’Alpinisme 5607.50.20 Other, of a circumference not exceeding 25.4 mm 5607.50.90 Other 5607.90.10 Jute twine for use in the manufacture of backing for area carpets; Of a circumference not exceeding 38 mm, to be employed in commercial fishing or in the commercial harvesting of marine plants; Rope, for climbing or mountaineering, manufactured to the standards of the Union Internationale des Associations d’Alpinisme 5607.90.20 Other, of a circumference not exceeding 25.4 mm;</w:t>
      </w:r>
    </w:p>
    <w:p>
      <w:pPr>
        <w:pStyle w:val="Normal"/>
      </w:pPr>
      <w:r>
        <w:t>Other, of jute or other textile bast fibres of heading 53.03 5607.90.90 Other 5608.11.10 To be employed in commercial fishing 5608.11.90 Other 5608.19.10 Netting, to be employed in commercial fishing or in the commercial harvesting of marine plants; Made up nets, solely of polyethylene monofilament, to be employed in the protection of fruit crops from birds 5608.19.20 Knotted netting, open square mesh, of tubular braided twine of polyethylene filaments, for use in the</w:t>
      </w:r>
    </w:p>
    <w:p>
      <w:pPr>
        <w:pStyle w:val="Normal"/>
      </w:pPr>
      <w:r>
        <w:t>manufacture of tennis nets 5608.19.90 Other 5608.90.10 Fishing nets and netting, to be employed in commercial fishing or in the commercial harvesting of marine plants 5608.90.90 Other 5609.00.00 Articles of yarn, strip or the like of heading 54.04 or 54.05, twine, cordage, rope or cables, not elsewhere specified or included.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5701.10.10</w:t>
            </w:r>
          </w:p>
        </w:tc>
        <w:tc>
          <w:tcPr>
            <w:tcW w:w="4679" w:type="dxa"/>
            <w:tcMar>
              <w:top w:w="70" w:type="dxa"/>
              <w:start w:w="110" w:type="dxa"/>
              <w:bottom w:w="70" w:type="dxa"/>
              <w:end w:w="110" w:type="dxa"/>
            </w:tcMar>
            <w:vAlign w:val="center"/>
          </w:tcPr>
          <w:p>
            <w:pPr>
              <w:pStyle w:val="TableText"/>
              <w:jc w:val="left"/>
            </w:pPr>
            <w:r>
              <w:rPr>
                <w:lang w:val="en-US" w:eastAsia="en-US" w:bidi="ar-SA"/>
              </w:rPr>
              <w:t>Machine knotted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5701.10.90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5701.90.10</w:t>
            </w:r>
          </w:p>
        </w:tc>
        <w:tc>
          <w:tcPr>
            <w:tcW w:w="4679" w:type="dxa"/>
            <w:tcMar>
              <w:top w:w="70" w:type="dxa"/>
              <w:start w:w="110" w:type="dxa"/>
              <w:bottom w:w="70" w:type="dxa"/>
              <w:end w:w="110" w:type="dxa"/>
            </w:tcMar>
            <w:vAlign w:val="center"/>
          </w:tcPr>
          <w:p>
            <w:pPr>
              <w:pStyle w:val="TableText"/>
              <w:jc w:val="left"/>
            </w:pPr>
            <w:r>
              <w:rPr>
                <w:lang w:val="en-US" w:eastAsia="en-US" w:bidi="ar-SA"/>
              </w:rPr>
              <w:t>Machine knotted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5702.10.00</w:t>
            </w:r>
          </w:p>
        </w:tc>
        <w:tc>
          <w:tcPr>
            <w:tcW w:w="4679" w:type="dxa"/>
            <w:tcMar>
              <w:top w:w="70" w:type="dxa"/>
              <w:start w:w="110" w:type="dxa"/>
              <w:bottom w:w="70" w:type="dxa"/>
              <w:end w:w="110" w:type="dxa"/>
            </w:tcMar>
            <w:vAlign w:val="center"/>
          </w:tcPr>
          <w:p>
            <w:pPr>
              <w:pStyle w:val="TableText"/>
              <w:jc w:val="left"/>
            </w:pPr>
            <w:r>
              <w:rPr>
                <w:lang w:val="en-US" w:eastAsia="en-US" w:bidi="ar-SA"/>
              </w:rPr>
              <w:t>“</w:t>
            </w:r>
            <w:r>
              <w:rPr>
                <w:lang w:val="en-US" w:eastAsia="en-US" w:bidi="ar-SA"/>
              </w:rPr>
              <w:t>Kelem”, “Schumacks”, “Karamanie” and similar hand-woven rugs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Floor coverings of coconut fibres (coir)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5702.31.00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5702.39.00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5702.42.00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5702.50.10</w:t>
            </w:r>
          </w:p>
        </w:tc>
        <w:tc>
          <w:tcPr>
            <w:tcW w:w="4679" w:type="dxa"/>
            <w:tcMar>
              <w:top w:w="70" w:type="dxa"/>
              <w:start w:w="110" w:type="dxa"/>
              <w:bottom w:w="70" w:type="dxa"/>
              <w:end w:w="110" w:type="dxa"/>
            </w:tcMar>
            <w:vAlign w:val="center"/>
          </w:tcPr>
          <w:p>
            <w:pPr>
              <w:pStyle w:val="TableText"/>
              <w:jc w:val="left"/>
            </w:pPr>
            <w:r>
              <w:rPr>
                <w:lang w:val="en-US" w:eastAsia="en-US" w:bidi="ar-SA"/>
              </w:rPr>
              <w:t>Of straw, hemp, flax tow or jute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5702.50.90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5702.91.00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5702.99.10</w:t>
            </w:r>
          </w:p>
        </w:tc>
        <w:tc>
          <w:tcPr>
            <w:tcW w:w="4679" w:type="dxa"/>
            <w:tcMar>
              <w:top w:w="70" w:type="dxa"/>
              <w:start w:w="110" w:type="dxa"/>
              <w:bottom w:w="70" w:type="dxa"/>
              <w:end w:w="110" w:type="dxa"/>
            </w:tcMar>
            <w:vAlign w:val="center"/>
          </w:tcPr>
          <w:p>
            <w:pPr>
              <w:pStyle w:val="TableText"/>
              <w:jc w:val="left"/>
            </w:pPr>
            <w:r>
              <w:rPr>
                <w:lang w:val="en-US" w:eastAsia="en-US" w:bidi="ar-SA"/>
              </w:rPr>
              <w:t>Of straw, hemp, flax tow or jute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5703.10.10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5703.20.10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5703.30.10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5703.30.90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5703.90.10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5704.10.00</w:t>
            </w:r>
          </w:p>
        </w:tc>
        <w:tc>
          <w:tcPr>
            <w:tcW w:w="4679" w:type="dxa"/>
            <w:tcMar>
              <w:top w:w="70" w:type="dxa"/>
              <w:start w:w="110" w:type="dxa"/>
              <w:bottom w:w="70" w:type="dxa"/>
              <w:end w:w="110" w:type="dxa"/>
            </w:tcMar>
            <w:vAlign w:val="center"/>
          </w:tcPr>
          <w:p>
            <w:pPr>
              <w:pStyle w:val="TableText"/>
              <w:jc w:val="left"/>
            </w:pPr>
            <w:r>
              <w:rPr>
                <w:lang w:val="en-US" w:eastAsia="en-US" w:bidi="ar-SA"/>
              </w:rPr>
              <w:t>Tiles, having a maximum surface area of 0.3 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Tiles, having a maximum surface area exceeding 0.3 m² but not exceeding 1 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5705.00.00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carpets and other textile floor coverings, whether or not made up.</w:t>
            </w:r>
          </w:p>
        </w:tc>
      </w:tr>
    </w:tbl>
    <w:p>
      <w:pPr>
        <w:pStyle w:val="Normal"/>
      </w:pPr>
      <w:r>
        <w:t>5801.10.00 Of wool or fine animal hair 5801.21.00 Uncut weft pile fabrics 5801.22.00 Cut corduroy 5801.23.00 Other weft pile fabrics 5801.26.00 Chenille fabrics 5801.27.00 Warp pile fabrics 5801.31.00 Uncut weft pile fabrics 5801.32.00 Cut corduroy 5801.33.00 Other weft pile fabrics 5801.36.00 Chenille fabrics 5801.37.00 Warp pile fabrics 5801.90.00 Of other textile materials 5802.11.00 Unbleached 5802.19.00 Other 5802.20.00 Terry towelling and similar woven terry fabrics, of other textile materials 5802.30.00 Tufted textile fabrics 5803.00.00 Gauze, other than narrow fabrics of heading 58.06.</w:t>
      </w:r>
    </w:p>
    <w:p>
      <w:pPr>
        <w:pStyle w:val="Normal"/>
      </w:pPr>
      <w:r>
        <w:t>5804.10.00 Tulles and other net fabrics 5804.21.00 Of man-made fibres 5804.29.00 Of other textile materials 5804.30.00 Hand-made lace 5805.00.10 Hand-woven tapestries 5805.00.90 Other 5806.10.00 Woven pile fabrics (including terry towelling and similar terry fabrics) and chenille fabrics 5806.20.00 Other woven fabrics, containing by weight 5% or more of elastomeric yarn or rubber thread 5806.31.00 Of cotton 5806.32.00 Of man-made fibres 5806.39.00 Of other textile materials 5806.40.00 Fabrics consisting of warp without weft assembled by means of an adhesive (bolducs) 5807.10.00 Woven 5807.90.00 Other 5808.10.00 Braids in the piece 5808.90.00 Other 5809.00.00 Woven fabrics of metal thread and woven fabrics of metallized yarn of heading 56.05, of a kind used in apparel, as furnishing fabrics or for similar purposes, not elsewhere specified or included.</w:t>
      </w:r>
    </w:p>
    <w:p>
      <w:pPr>
        <w:pStyle w:val="Normal"/>
      </w:pPr>
      <w:r>
        <w:t>5810.10.00 Embroidery without visible ground 5810.91.00 Of cotton 5810.92.00 Of man-made fibres 5810.99.00 Of other textile materials 5811.00.10 Cotton piece goods 5811.00.21 Man-made piece goods: Polypropylene fibres for use in the manufacture of sorbent material for containment or clean-up of liquid spills 5811.00.29 Man-made piece goods: Other 5811.00.90 Other 5901.10.10 Holland cloth, solely of cotton fibres 5901.10.90 Other 5901.90.10 Prepared painting canvas 5901.90.90 Other 5902.10.00 Of nylon or other polyamides 5902.20.00 Of polyesters 5902.90.00 Other 5903.10.11 Textile fabrics not containing man-made fibres: Of a length of 9 m or more, for use in the manufacture of umbrellas having a rib length not exceeding 69 cm; Woven fabrics of cotton, impregnated and coated, with the weight of the unimpregnated/uncoated fabrics not exceeding 120 g/m² and the total weight of the impregnated/coated fabrics exceeding 430 g/m² but not exceeding 470 g/m², for use in the manufacture of apparel 5903.10.19 Textile fabrics not containing man-made fibres: Other 5903.10.21 Textile fabrics containing man-made fibres:</w:t>
      </w:r>
    </w:p>
    <w:p>
      <w:pPr>
        <w:pStyle w:val="Normal"/>
      </w:pPr>
      <w:r>
        <w:t>For use in the manufacture of headbands (hat sweats), linings (including tips and sides), peaks and stiffening bands for hats or caps; Of a length of 9 m or more, for use in the manufacture of umbrellas having a rib length not exceeding 69 cm; Coated open weave fabrics, solely of yarns of polyesters, or open weave fabrics, solely of yarns of polyesters which have been</w:t>
      </w:r>
    </w:p>
    <w:p>
      <w:pPr>
        <w:pStyle w:val="Normal"/>
      </w:pPr>
      <w:r>
        <w:t>extrusion or dip coated, for use in the manufacture of garden furniture, umbrellas for garden furniture or cushions for garden furniture; Woven fabrics of cotton mixed solely with polyesters, or solely of polyester staple fibres or of polyester staple fibres mixed solely with cotton, for use in the manufacture of family or recreational tents of a floor area of 3 m² or more but not exceeding 21 m² 5903.10.29 Textile fabrics containing man-made fibres: Other 5903.20.11 Textile fabrics not containing man-made fibres: With a leather- like coating solely of polyurethane on one side, the weight of the coating being 20% or more of the total weight of the coated fabric, for use in the manufacture of footwear or handbags;</w:t>
      </w:r>
    </w:p>
    <w:p>
      <w:pPr>
        <w:pStyle w:val="Normal"/>
      </w:pPr>
      <w:r>
        <w:t>Woven fabrics, certified by the 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5903.20.19 Textile fabrics not containing man-made fibres: Other 5903.20.21 Textile fabrics containing man-made fibres: Heat seal tape; With a leather-like coating solely of polyurethane on one side, the weight of the coating being 20% or more of the total weight of the coated fabric, for use in the manufacture of footwear or handbags; Woven fabrics, certified by the</w:t>
      </w:r>
    </w:p>
    <w:p>
      <w:pPr>
        <w:pStyle w:val="Normal"/>
      </w:pPr>
      <w:r>
        <w:t>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Woven fabrics of cotton mixed solely with polyesters, or solely of polyester staple fibres or of polyester staple fibres mixed solely with cotton, for use in the manufacture of family or recreational tents of a floor area of 3 m² or more but not exceeding 21 m²; Woven tape, containing 50% by weight of cotton and 50% by weight of rayon fibres, coated with an adhesive, for use in the manufacture of footwear; Woven fabrics, solely of polyester filament yarns, the weight of the coated or covered fabric not exceeding 150 g/m², for use in the manufacture of aircraft 5903.20.22 Textile fabrics containing man-made fibres:</w:t>
      </w:r>
    </w:p>
    <w:p>
      <w:pPr>
        <w:pStyle w:val="Normal"/>
      </w:pPr>
      <w:r>
        <w:t>Woven fabrics,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5903.20.23 Textile fabrics containing man-made fibres: Imitation leather, containing 60% or more by weight of man-made fibres, valued at $13/m² or more; Poromeric materials, with a water vapour</w:t>
      </w:r>
    </w:p>
    <w:p>
      <w:pPr>
        <w:pStyle w:val="Normal"/>
      </w:pPr>
      <w:r>
        <w:t>permeability of 0.5 mg/cm²/hr or more but not exceeding 11 mg/cm²/hr, excluding materials with a backing composed solely of woven or knitted fabrics, for use in the manufacture of footwear 5903.20.24 Textile fabrics containing man-made fibres: Weft-knit fabric of polyester, nylon or poly(m-phenylene isophthalamide), coated on one side with a non-cellular polyurethane, certified by the exporter to have been transfer-coated, for use in the manufacture of apparel 5903.20.25 Textile fabrics containing man-made fibres: Four-layer fabric consisting of a first layer of woven polyester or nylon fabric with or without elastomeric yarns, a second layer of cellular polytetrafluoroethylene, a third layer of non-cellular polyurethane and a fourth layer of woven or knit fabric of polyester or nylon, for use in the manufacture of water-resistant or waterproof, breathable recreational outerwear, including alpine hiking and climbing, skiing or mountaineering apparel 5903.20.29 Textile fabrics containing man-made fibres: Other 5903.90.10 Textile fabrics not containing man-made fibres 5903.90.21 Textile fabrics containing man-made fibres: Heat seal tape;</w:t>
      </w:r>
    </w:p>
    <w:p>
      <w:pPr>
        <w:pStyle w:val="Normal"/>
      </w:pPr>
      <w:r>
        <w:t>Woven fabrics of cotton mixed solely with polyesters, or solely of polyester staple fibres, or of polyester staple fibres mixed solely with cotton, for use in the manufacture of family or recreational tents of a floor area of 3 m² or more but not exceeding 21 m² 5903.90.22 Textile fabrics containing man-made fibres: Warp knit fabrics, of</w:t>
      </w:r>
    </w:p>
    <w:p>
      <w:pPr>
        <w:pStyle w:val="Normal"/>
      </w:pPr>
      <w:r>
        <w:t>polyester filaments and polyester staple fibres, partially coated with hot-melt adhesive, of a weight not exceeding 55 g/m², for use in the manufacture of apparel 5903.90.23 Textile fabrics containing man-made fibres: Other, of textured polyester filament yarns, partially coated with hot-melt adhesive, with a 4% minimum stretch in the warp and a 12% minimum stretch in the weft as measured by specification ASTM D3107 75, of a weight not exceeding 95 g/m², for use in the manufacture of apparel 5903.90.24 Textile fabrics containing man-made fibres: Other, of textured and non-textured polyester filament yarns, partially coated with hot-melt adhesive, with a 4% minimum stretch in the warp and a 12% minimum stretch in the weft as measured by specification ASTM D3107-75, of a weight exceeding 70 g/m² but not exceeding 95 g/m², for use in the manufacture of apparel 5903.90.25 Textile fabrics containing man-made fibres: Stitch-bonded, warp knit fabrics, solely of polyesters, coated on one side with cellular acrylic polymer, for use as ticking in the manufacture of mattresses or mattress supports 5903.90.26 Textile fabrics containing man-made fibres:</w:t>
      </w:r>
    </w:p>
    <w:p>
      <w:pPr>
        <w:pStyle w:val="Normal"/>
      </w:pPr>
      <w:r>
        <w:t>Woven fabric of polyester filaments coated on one side with two layers of acrylic polymers and on the other side with a layer of polyvinyl acetate polymer, for use in the manufacture of internal roller shade systems 5903.90.27 Textile fabrics containing man-made fibres: The following for use in the manufacture of water-resistant or</w:t>
      </w:r>
    </w:p>
    <w:p>
      <w:pPr>
        <w:pStyle w:val="Normal"/>
      </w:pPr>
      <w:r>
        <w:t>waterproof, breathable recreational outerwear, including alpine hiking and climbing, skiing or mountaineering apparel: Three-layer fabric consisting of a middle layer of cellular polytetrafluoroethylene, having a woven polyester or nylon fabric with or without elastomeric yarns on one side and a woven or knit fabric of polyester or nylon on the other side; Four-layer fabric consisting of a first layer of woven polyester or nylon fabric with or without elastomeric yarns, a second layer of cellular polytetrafluoroethylene, a third layer of non-cellular polyurethane and a fourth layer of woven or knit fabric of polyester or nylon 5903.90.29 Textile fabrics containing man-made fibres: Other 5904.10.00 Linoleum 5904.90.10 Floor coverings, with a base consisting of needleloom felt or nonwovens 5904.90.90 Other 5905.00.10 Backed with wallpaper base (hanging stock), whether or not coated or pre-pasted; Of jute backed with paper 5905.00.90 Other 5906.10.10 For use in the manufacture of thermionic, cold cathode or photo- cathode valves and tubes 5906.10.90 Other 5906.91.10 Cellular chloroprene rubber sheets with a knitted nylon fabric laminated to one or both sides 5906.91.91 Other:</w:t>
      </w:r>
    </w:p>
    <w:p>
      <w:pPr>
        <w:pStyle w:val="Normal"/>
      </w:pPr>
      <w:r>
        <w:t>For use in the manufacture of apparel 5906.91.99 Other: Other 5906.99.11 Textile fabrics not containing man-made fibres: For use in the manufacture of apparel 5906.99.19 Textile fabrics not containing man-made fibres: Other 5906.99.21 Textile fabrics containing man-made fibres: Woven fabrics of yarns of</w:t>
      </w:r>
    </w:p>
    <w:p>
      <w:pPr>
        <w:pStyle w:val="Normal"/>
      </w:pPr>
      <w:r>
        <w:t>synthetic filaments coated with a mixture of styrene butadiene rubber and resorcinol-formaldehyde resin for use in the manufacture of conveyor belts or conveyor belting; Woven fabrics, solely of nylon or solely of polyester, coated or covered with rubber, for use in the manufacture of inflatable boats or inflatable life preservers 5906.99.22 Textile fabrics containing man-made fibres: Other, for use in the manufacture of conveyor or transmission belts or belting; Tire cord fabric for use in the manufacture of pneumatic tires 5906.99.23 Textile fabrics containing man-made fibres: Woven fabrics, coated or impregnated with styrene-butadiene rubber or butadiene rubber, of high tenacity yarns solely of nylon filaments or of high tenacity yarns of polyester filaments and nylon filaments, of a weight not exceeding 1,000 g/m², for use as a stabilizing/reinforcing fabric in the manufacture of unvulcanized, calendered rubber of a kind used in the manufacture of snowmobile track and industrial track 5906.99.24 Textile fabrics containing man-made fibres: Impregnated, coated, covered or laminated with rubber, other than neoprene rubber, for use in the manufacture of apparel 5906.99.29 Textile fabrics containing man-made fibres:</w:t>
      </w:r>
    </w:p>
    <w:p>
      <w:pPr>
        <w:pStyle w:val="Normal"/>
      </w:pPr>
      <w:r>
        <w:t>Other 5907.00.11 Textile fabrics otherwise impregnated, coated or covered: Holland cloth, solely of cotton fibres 5907.00.12 Textile fabrics otherwise impregnated, coated or covered: Woven fabrics, solely of non-melting, heat stabilized polyacrylonitrile fibres</w:t>
      </w:r>
    </w:p>
    <w:p>
      <w:pPr>
        <w:pStyle w:val="Normal"/>
      </w:pPr>
      <w:r>
        <w:t>produced by the oxidization of polyacrylonitrile 5907.00.13 Textile fabrics otherwise impregnated, coated or covered: Oilcloth 5907.00.16 Textile fabrics otherwise impregnated, coated or covered: Other, solely of cotton, containing 2 ply yarns, impregnated with materials that are predominantly not of plastic or rubber to achieve a hydrostatic pressure of more than 36 cm of water, based on ISO 811-1981 using a rate of increase of water pressure of 60 cm of water/min, and a spray rating of ISO 4 or higher, based on ISO 4920-1981, all values taken in a standard temperate atmosphere based on ISO 139-1973 using distilled or fully deionized water at 20 ± 2 °C, the impregnated fabric weighing 250 g/m² or more but not exceeding 400 g/m² and valued at $4.50/m² or more, for use in the manufacture of jackets, coats or hats 5907.00.17 Textile fabrics otherwise impregnated, coated or covered: Other, for use in the manufacture of apparel 5907.00.18 Textile fabrics otherwise impregnated, coated or covered: Other, not containing man-made fibres 5907.00.19 Textile fabrics otherwise impregnated, coated or covered:</w:t>
      </w:r>
    </w:p>
    <w:p>
      <w:pPr>
        <w:pStyle w:val="Normal"/>
      </w:pPr>
      <w:r>
        <w:t>Other, containing man-made fibres 5907.00.21 Painted canvas being theatrical scenery, studio back-cloths or the like: Of a kind used as photographic, cinematographic or television studio equipment 5907.00.29 Painted canvas being theatrical scenery, studio back-cloths or the like: Other 5908.00.10 Textile wicks, whether or not plaited, processed or with core, for use in the</w:t>
      </w:r>
    </w:p>
    <w:p>
      <w:pPr>
        <w:pStyle w:val="Normal"/>
      </w:pPr>
      <w:r>
        <w:t>manufacture of wax candles or tapers or to be employed in oil-burning sanctuary lamps 5908.00.90 Other 5909.00.10 Fire hose 5909.00.90 Other 5910.00.00 Transmission or conveyor belts or belting, of textile material, whether or not impregnated, coated, covered or laminated with plastics, or reinforced with metal or other material. 5911.10.10 Blankets, lapping or blanketing to be employed in offset printing machinery 5911.10.20 Belting, of a thickness not exceeding 2.8 mm and a width exceeding 350 mm, of nylon, polyester or aramid, for use in the manufacture of conveyor belts; Belts and developer sleeves for use in the manufacture of contact printers; Other blankets, lapping or blanketing; Transmission belting, excluding belting of trapezoidal cross- section (V or multi V), whether or not embossed, for use in the manufacture of transmission belts 5911.10.90 Other 5911.20.10 For sifting flour in flour mills;</w:t>
      </w:r>
    </w:p>
    <w:p>
      <w:pPr>
        <w:pStyle w:val="Normal"/>
      </w:pPr>
      <w:r>
        <w:t>For use in the manufacture of screens for printing 5911.20.90 Other 5911.31.00 Weighing less than 650 g/m² 5911.32.00 Weighing 650 g/m² or more 5911.40.10 Filtering fabric, solely of non-textured polyester filaments, with a loom width exceeding 3 metres, for use in the manufacture of cesium formate 5911.40.90 Other 5911.90.00 Other 6001.10.10 Weft pile fabrics, having a W-knit pile surface of nylon or polyester filaments, for use in the manufacture of apparel 6001.10.90 Other 6001.21.00 Of cotton 6001.22.00 Of man-made fibres 6001.29.10 For use in the manufacture of apparel</w:t>
      </w:r>
    </w:p>
    <w:p>
      <w:pPr>
        <w:pStyle w:val="Normal"/>
      </w:pPr>
      <w:r>
        <w:t>6001.29.90 Other 6001.91.00 Of cotton 6001.92.10 Weft pile fabrics, having a W-knit pile surface of nylon or polyester filaments, for use in the manufacture of apparel 6001.92.20 Three-layer fabric consisting of a middle layer of cellular polytetrafluoroethylene, having a woven nylon fabric with or without elastomeric yarns on one side and a knit pile fabric of polyester on the other side, for use in the manufacture of water- resistant or waterproof, breathable recreational outerwear, including alpine hiking and climbing, skiing or moutaineering apparel 6001.92.30 Four-layer fabric consisting of a first layer of woven nylon fabric with or without elastomeric yarns, a second layer of cellular polytetrafluoroethylene, a third layer of non-cellular polyurethane and a fourth layer of knit pile fabric of polyester, for use in the manufacture of water-resistant or waterproof, breathable recreational outerwear, including alpine hiking and climbing, skiing or moutaineering apparel 6001.92.40 Warp pile fabric, cut, solely of polyester, including the ground fabric, brushed, for use in the manufacture of coffin interiors 6001.92.90 Other 6001.99.10 For use in the manufacture of apparel 6001.99.90 Other</w:t>
      </w:r>
    </w:p>
    <w:p>
      <w:pPr>
        <w:pStyle w:val="Normal"/>
      </w:pPr>
      <w:r>
        <w:t>6002.40.30 For use in the manufacture of apparel 6002.40.40 Other, knitted netting or lace, of vegetable textile fibres, not containing any other textile fibres 6002.40.90 Other 6002.90.11 Knitted netting or lace, of vegetable textile fibres, not containing any other textile fibres:</w:t>
      </w:r>
    </w:p>
    <w:p>
      <w:pPr>
        <w:pStyle w:val="Normal"/>
      </w:pPr>
      <w:r>
        <w:t>For</w:t>
      </w:r>
    </w:p>
    <w:p>
      <w:pPr>
        <w:pStyle w:val="Normal"/>
      </w:pPr>
      <w:r>
        <w:t>use in the manufacture of apparel 6002.90.19 Knitted netting or lace, of vegetable textile fibres, not containing any other textile fibres: Other 6002.90.90 Other 6003.10.10 Knitted tubing, napped, of a width not exceeding 11 cm when laid flat and unstretched, for use in the manufacture of injection moulded boots 6003.10.91 Other: For use in the manufacture of apparel 6003.10.99 Other: Other 6003.20.20 Knitted tubing, napped, of a width not exceeding 11 cm when laid flat and unstretched, for use in the manufacture of injection moulded boots 6003.20.30 For use in the manufacture of apparel 6003.20.40 Other lace, solely of vegetable textile fibres 6003.20.90 Other 6003.30.10 Knitted tubing, napped, of a width not exceeding 11 cm when laid flat and unstretched, for use in the manufacture of injection moulded boots 6003.30.91 Other: For use in the manufacture of apparel 6003.30.99 Other: Other 6003.40.10 Knitted tubing, napped, of a width not exceeding 11 cm when laid flat and unstretched, for use in the manufacture of injection moulded boots 6003.40.91 Other: For use in the manufacture of apparel 6003.40.99 Other:</w:t>
      </w:r>
    </w:p>
    <w:p>
      <w:pPr>
        <w:pStyle w:val="Normal"/>
      </w:pPr>
      <w:r>
        <w:t>Other 6003.90.20 Knitted tubing, napped, of a width not exceeding 11 cm when laid flat and unstretched, for use in the manufacture of injection moulded boots 6003.90.30 For use in the manufacture of apparel 6003.90.40 Other lace, solely of vegetable textile fibres 6003.90.90 Other 6004.10.11 Lace of vegetable textile fibres, not containing any other textile</w:t>
      </w:r>
    </w:p>
    <w:p>
      <w:pPr>
        <w:pStyle w:val="Normal"/>
      </w:pPr>
      <w:r>
        <w:t>fibres: For use in the manufacture of apparel 6004.10.19 Lace of vegetable textile fibres, not containing any other textile fibres:</w:t>
      </w:r>
    </w:p>
    <w:p>
      <w:pPr>
        <w:pStyle w:val="Normal"/>
      </w:pPr>
      <w:r>
        <w:t>Other 6004.10.20 Warp knit fabrics, lace-like, consisting of nylon filament yarns or polyester filament yarns or mixtures thereof, with elastomeric yarns but not containing any other textile fibre, produced on a knitting machine using 9 bars or more, for use in the manufacture of brassieres, camisoles, teddies, chemises, bustiers and panties or briefs 6004.10.90 Other 6004.90.20 For use in the manufacture of apparel 6004.90.30 Other lace of vegetable textile fibres, not containing any other textile fibres 6004.90.90 Other 6005.21.20 For use in the manufacture of apparel 6005.21.30 Other lace, solely of cotton or solely of cotton and other vegetable textile fibres 6005.21.90 Other 6005.22.20 For use in the manufacture of apparel 6005.22.30 Other lace, solely of cotton or solely of cotton and other vegetable textile fibres 6005.22.90 Other 6005.23.20 For use in the manufacture of apparel 6005.23.30 Other lace, solely of cotton or solely of cotton and other vegetable textile fibres 6005.23.90 Other 6005.24.20 For use in the manufacture of apparel 6005.24.30 Other lace, solely of cotton or solely of cotton and other vegetable textile fibres 6005.24.90 Other</w:t>
      </w:r>
    </w:p>
    <w:p>
      <w:pPr>
        <w:pStyle w:val="Normal"/>
      </w:pPr>
      <w:r>
        <w:t>6005.35.00 Fabrics specified in Subheading Note 1 to this Chapter 6005.36.10 Containing 25% or more by weight of metallized yarn, for use in the manufacture of clerical or ecclesiastical garments</w:t>
      </w:r>
    </w:p>
    <w:p>
      <w:pPr>
        <w:pStyle w:val="Normal"/>
      </w:pPr>
      <w:r>
        <w:t>or vestments and furnishing articles for decorating religious buildings; Knitted netting, to be employed in commercial fishing or in the commercial harvesting of marine plants; To be employed in greenhouse shading systems 6005.36.20 Solely of polyester filaments and polyester monofilaments, open mesh, treated with fire retardant material, for use in the manufacture of mesh windows and ventilation for tents 6005.36.90 Other 6005.37.10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6005.37.20 Solely of polyester filaments and polyester monofilaments, open mesh, treated with fire retardant material, for use in the manufacture of mesh windows and ventilation for tents 6005.37.90 Other 6005.38.10 Containing 25% or more by weight of metallized yarn, for use in the manufacture of clerical or ecclesiastical garments or vestments and furnishing articles for decorating religious buildings;</w:t>
      </w:r>
    </w:p>
    <w:p>
      <w:pPr>
        <w:pStyle w:val="Normal"/>
      </w:pPr>
      <w:r>
        <w:t>Knitted netting, to be employed in commercial fishing or in the commercial harvesting of marine plants; To be employed in greenhouse shading systems 6005.38.20 Solely of polyester filaments and polyester monofilaments, open mesh, treated with fire retardant material, for use in the manufacture of mesh windows</w:t>
      </w:r>
    </w:p>
    <w:p>
      <w:pPr>
        <w:pStyle w:val="Normal"/>
      </w:pPr>
      <w:r>
        <w:t>and ventilation for tents 6005.38.90 Other 6005.39.10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6005.39.20 Solely of polyesters, printed, for use as ticking in the manufacture of mattresses or mattress supports;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6005.39.30 Solely of polyester filaments and polyester monofilaments, open mesh, treated with fire retardant material, for use in the manufacture of mesh windows and ventilation for tents 6005.39.90 Other 6005.41.10 Containing 25% or more by weight of metallized yarn, for use in the manufacture of clerical or ecclesiastical garments or vestments and furnishing articles for decorating religious buildings;</w:t>
      </w:r>
    </w:p>
    <w:p>
      <w:pPr>
        <w:pStyle w:val="Normal"/>
      </w:pPr>
      <w:r>
        <w:t>Knitted netting, to be employed in commercial fishing or in the commercial harvesting of marine plants; To be employed in greenhouse shading systems 6005.41.90 Other 6005.42.10 Containing 25% or more by weight of metallized yarn, for use in the manufacture of clerical or ecclesiastical</w:t>
      </w:r>
    </w:p>
    <w:p>
      <w:pPr>
        <w:pStyle w:val="Normal"/>
      </w:pPr>
      <w:r>
        <w:t>garments or vestments and furnishing articles for decorating religious buildings; Knitted netting, to be employed in commercial fishing or in the commercial harvesting of marine plants; To be employed in greenhouse shading systems 6005.42.90 Other 6005.43.10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6005.43.91 Other: For use in the manufacture of apparel 6005.43.99 Other: Other 6005.44.10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w:t>
      </w:r>
    </w:p>
    <w:p>
      <w:pPr>
        <w:pStyle w:val="Normal"/>
      </w:pPr>
      <w:r>
        <w:t>To be employed in greenhouse shading systems 6005.44.20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6005.44.90 Other 6005.90.21 Of wool or fine animal hair: For use in the manufacture of apparel 6005.90.29 Of wool or fine animal hair: Other 6005.90.91 Other: For use in</w:t>
      </w:r>
    </w:p>
    <w:p>
      <w:pPr>
        <w:pStyle w:val="Normal"/>
      </w:pPr>
      <w:r>
        <w:t>the manufacture of apparel 6005.90.92 Other: To be employed in greenhouse shading systems 6005.90.99 Other:</w:t>
      </w:r>
    </w:p>
    <w:p>
      <w:pPr>
        <w:pStyle w:val="Normal"/>
      </w:pPr>
      <w:r>
        <w:t>Other 6006.10.00 Of wool or fine animal hair 6006.21.10 Circular knit, solely of cotton yarns measuring less than 100 decitex per single yarn (100 metric number or more per single yarn) 6006.21.90 Other 6006.22.10 Circular knit, solely of cotton yarns measuring less than 100 decitex per single yarn (100 metric number or more per single yarn) 6006.22.20 Solely of 2-ply cotton yarns, measuring 180 decitex or more per single yarn but not exceeding 200 decitex, of a weight of 150 g/m² or more but not exceeding 200 g/m², certified by the exporter to have been double-mercerized (yarns that have been mercerized, knit into a fabric and subjected to a second mercerization process), for use in the manufacture of golf jerseys 6006.22.90 Other</w:t>
      </w:r>
    </w:p>
    <w:p>
      <w:pPr>
        <w:pStyle w:val="Normal"/>
      </w:pPr>
      <w:r>
        <w:t>6006.23.10 Solely of 2-ply cotton yarns of different colours, measuring per single yarn 180 decitex or less, of a weight of 100 g/m2 or more but not exceeding 200 g/m2, certified by the exporter to have been knit on a Jacquard circular weft-knitting machine and to have been double mercerized (yarns that have been mercerized, knit into a fabric and subjected to a second mercerization process), for use in the manufacture of golf jerseys 6006.23.21 Circular knit, solely of cotton yarns measuring less than 100 decitex per single yarn (100 metric number or more per single yarn):</w:t>
      </w:r>
    </w:p>
    <w:p>
      <w:pPr>
        <w:pStyle w:val="Normal"/>
      </w:pPr>
      <w:r>
        <w:t>For use in the manufacture of apparel 6006.23.29 Circular knit,</w:t>
      </w:r>
    </w:p>
    <w:p>
      <w:pPr>
        <w:pStyle w:val="Normal"/>
      </w:pPr>
      <w:r>
        <w:t>solely of cotton yarns measuring less than 100 decitex per single yarn (100 metric number or more per single yarn): Other 6006.23.90 Other 6006.24.10 Circular knit, solely of cotton yarns measuring less than 100 decitex per single yarn (100 metric number or more per single yarn) 6006.24.90 Other 6006.31.10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6006.31.90 Other 6006.32.10 For use in the manufacture of headbands (hat sweats), linings (including tips and sides), peaks and stiffening bands for hats or caps;</w:t>
      </w:r>
    </w:p>
    <w:p>
      <w:pPr>
        <w:pStyle w:val="Normal"/>
      </w:pPr>
      <w:r>
        <w:t>Napped and sheared, for use in the manufacture of coated or covered fabrics with a leather-like coating of polyurethane on one or both sides, the coating of which represents by weight 20% or more of the coated fabric 6006.32.90 Other 6006.33.10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6006.33.90 Other 6006.34.10 For use in the manufacture of headbands (hat</w:t>
      </w:r>
    </w:p>
    <w:p>
      <w:pPr>
        <w:pStyle w:val="Normal"/>
      </w:pPr>
      <w:r>
        <w:t>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6006.34.90 Other 6006.41.10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6006.41.90 Other 6006.42.10 For use in the manufacture of headbands (hat sweats), linings (including tips and sides), peaks and stiffening bands for hats or caps;</w:t>
      </w:r>
    </w:p>
    <w:p>
      <w:pPr>
        <w:pStyle w:val="Normal"/>
      </w:pPr>
      <w:r>
        <w:t>Napped and sheared, for use in the manufacture of coated or covered fabrics with a leather-like coating of polyurethane on one or both sides, the coating of which represents by weight 20% or more of the coated fabric 6006.42.90 Other 6006.43.10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6006.43.90 Other 6006.44.10 For use in the</w:t>
      </w:r>
    </w:p>
    <w:p>
      <w:pPr>
        <w:pStyle w:val="Normal"/>
      </w:pPr>
      <w:r>
        <w:t>manufacture of headbands (hat sweats), linings (including tips and sides), peaks and stiffening bands for hats or caps;</w:t>
      </w:r>
    </w:p>
    <w:p>
      <w:pPr>
        <w:pStyle w:val="Normal"/>
      </w:pPr>
      <w:r>
        <w:t>Napped and sheared, for use in the manufacture of coated or covered fabrics with a leather-like coating of polyurethane on one or both sides, the coating of which represents by weight 20% or more of the coated fabric</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6006.44.90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6006.90.10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6006.90.90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6101.30.00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6102.10.00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6102.30.00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6103.10.10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6103.22.00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6103.32.00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6103.39.10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6103.41.00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6103.43.00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6104.13.00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6104.22.00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6104.32.00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6104.39.10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6104.41.00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6104.43.00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6104.49.00</w:t>
            </w:r>
          </w:p>
        </w:tc>
        <w:tc>
          <w:tcPr>
            <w:tcW w:w="4679" w:type="dxa"/>
            <w:tcMar>
              <w:top w:w="70" w:type="dxa"/>
              <w:start w:w="110" w:type="dxa"/>
              <w:bottom w:w="70" w:type="dxa"/>
              <w:end w:w="110" w:type="dxa"/>
            </w:tcMar>
            <w:vAlign w:val="center"/>
          </w:tcPr>
          <w:p>
            <w:pPr>
              <w:pStyle w:val="TableText"/>
              <w:jc w:val="left"/>
            </w:pPr>
            <w:r>
              <w:rPr>
                <w:lang w:val="en-US" w:eastAsia="en-US" w:bidi="ar-SA"/>
              </w:rPr>
              <w:t>Of other</w:t>
            </w:r>
          </w:p>
        </w:tc>
      </w:tr>
    </w:tbl>
    <w:p>
      <w:pPr>
        <w:pStyle w:val="Normal"/>
      </w:pPr>
      <w:r>
        <w:t>textile materials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6104.51.00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6104.53.00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6104.62.00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6104.63.00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6104.69.00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6105.20.00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6106.10.00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6106.90.00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6107.12.00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6107.21.00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6107.99.00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6108.19.00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6108.22.00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6108.31.00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6108.39.00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6108.92.00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6109.10.00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6110.11.10</w:t>
            </w:r>
          </w:p>
        </w:tc>
        <w:tc>
          <w:tcPr>
            <w:tcW w:w="4679" w:type="dxa"/>
            <w:tcMar>
              <w:top w:w="70" w:type="dxa"/>
              <w:start w:w="110" w:type="dxa"/>
              <w:bottom w:w="70" w:type="dxa"/>
              <w:end w:w="110" w:type="dxa"/>
            </w:tcMar>
            <w:vAlign w:val="center"/>
          </w:tcPr>
          <w:p>
            <w:pPr>
              <w:pStyle w:val="TableText"/>
              <w:jc w:val="left"/>
            </w:pPr>
            <w:r>
              <w:rPr>
                <w:lang w:val="en-US" w:eastAsia="en-US" w:bidi="ar-SA"/>
              </w:rPr>
              <w:t>Women’s or girls’, valued at not less than $20/kg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6110.12.10</w:t>
            </w:r>
          </w:p>
        </w:tc>
        <w:tc>
          <w:tcPr>
            <w:tcW w:w="4679" w:type="dxa"/>
            <w:tcMar>
              <w:top w:w="70" w:type="dxa"/>
              <w:start w:w="110" w:type="dxa"/>
              <w:bottom w:w="70" w:type="dxa"/>
              <w:end w:w="110" w:type="dxa"/>
            </w:tcMar>
            <w:vAlign w:val="center"/>
          </w:tcPr>
          <w:p>
            <w:pPr>
              <w:pStyle w:val="TableText"/>
              <w:jc w:val="left"/>
            </w:pPr>
            <w:r>
              <w:rPr>
                <w:lang w:val="en-US" w:eastAsia="en-US" w:bidi="ar-SA"/>
              </w:rPr>
              <w:t>Women’s or girls’, valued at not less than $20/kg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6110.19.10</w:t>
            </w:r>
          </w:p>
        </w:tc>
        <w:tc>
          <w:tcPr>
            <w:tcW w:w="4679" w:type="dxa"/>
            <w:tcMar>
              <w:top w:w="70" w:type="dxa"/>
              <w:start w:w="110" w:type="dxa"/>
              <w:bottom w:w="70" w:type="dxa"/>
              <w:end w:w="110" w:type="dxa"/>
            </w:tcMar>
            <w:vAlign w:val="center"/>
          </w:tcPr>
          <w:p>
            <w:pPr>
              <w:pStyle w:val="TableText"/>
              <w:jc w:val="left"/>
            </w:pPr>
            <w:r>
              <w:rPr>
                <w:lang w:val="en-US" w:eastAsia="en-US" w:bidi="ar-SA"/>
              </w:rPr>
              <w:t>Women’s or girls’, valued at not less than $20/kg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6110.20.00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6111.30.00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w:t>
            </w:r>
          </w:p>
        </w:tc>
      </w:tr>
    </w:tbl>
    <w:p>
      <w:pPr>
        <w:pStyle w:val="Normal"/>
      </w:pPr>
      <w:r>
        <w:t>materials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6112.11.00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6112.19.00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Ski suits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6112.31.00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6112.41.00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6113.00.10</w:t>
            </w:r>
          </w:p>
        </w:tc>
        <w:tc>
          <w:tcPr>
            <w:tcW w:w="4679" w:type="dxa"/>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6113.00.20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Diving suits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6113.00.90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6114.30.00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6115.10.10</w:t>
            </w:r>
          </w:p>
        </w:tc>
        <w:tc>
          <w:tcPr>
            <w:tcW w:w="4679" w:type="dxa"/>
            <w:tcMar>
              <w:top w:w="70" w:type="dxa"/>
              <w:start w:w="110" w:type="dxa"/>
              <w:bottom w:w="70" w:type="dxa"/>
              <w:end w:w="110" w:type="dxa"/>
            </w:tcMar>
            <w:vAlign w:val="center"/>
          </w:tcPr>
          <w:p>
            <w:pPr>
              <w:pStyle w:val="TableText"/>
              <w:jc w:val="left"/>
            </w:pPr>
            <w:r>
              <w:rPr>
                <w:lang w:val="en-US" w:eastAsia="en-US" w:bidi="ar-SA"/>
              </w:rPr>
              <w:t>Panty hose and tights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6115.10.91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6115.10.99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 measuring per single yarn less than 67 decitex</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6115.22.00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 measuring per single yarn 67 decitex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6115.30.00</w:t>
            </w:r>
          </w:p>
        </w:tc>
        <w:tc>
          <w:tcPr>
            <w:tcW w:w="4679" w:type="dxa"/>
            <w:tcMar>
              <w:top w:w="70" w:type="dxa"/>
              <w:start w:w="110" w:type="dxa"/>
              <w:bottom w:w="70" w:type="dxa"/>
              <w:end w:w="110" w:type="dxa"/>
            </w:tcMar>
            <w:vAlign w:val="center"/>
          </w:tcPr>
          <w:p>
            <w:pPr>
              <w:pStyle w:val="TableText"/>
              <w:jc w:val="left"/>
            </w:pPr>
            <w:r>
              <w:rPr>
                <w:lang w:val="en-US" w:eastAsia="en-US" w:bidi="ar-SA"/>
              </w:rPr>
              <w:t>Other women’s full-length or knee-length hosiery, measuring per single yarn less than 67 decitex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6115.95.00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6115.96.00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6115.99.00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Impregnated, coated or covered with plastics or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6116.91.00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6116.93.00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6117.10.10</w:t>
            </w:r>
          </w:p>
        </w:tc>
        <w:tc>
          <w:tcPr>
            <w:tcW w:w="4679" w:type="dxa"/>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6117.10.90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6117.80.10</w:t>
            </w:r>
          </w:p>
        </w:tc>
        <w:tc>
          <w:tcPr>
            <w:tcW w:w="4679" w:type="dxa"/>
            <w:tcMar>
              <w:top w:w="70" w:type="dxa"/>
              <w:start w:w="110" w:type="dxa"/>
              <w:bottom w:w="70" w:type="dxa"/>
              <w:end w:w="110" w:type="dxa"/>
            </w:tcMar>
            <w:vAlign w:val="center"/>
          </w:tcPr>
          <w:p>
            <w:pPr>
              <w:pStyle w:val="TableText"/>
              <w:jc w:val="left"/>
            </w:pPr>
            <w:r>
              <w:rPr>
                <w:lang w:val="en-US" w:eastAsia="en-US" w:bidi="ar-SA"/>
              </w:rPr>
              <w:t>Badges and the like;</w:t>
            </w:r>
          </w:p>
        </w:tc>
      </w:tr>
    </w:tbl>
    <w:p>
      <w:pPr>
        <w:pStyle w:val="Normal"/>
      </w:pPr>
      <w:r>
        <w:t>Belts 6117.80.90 Other 6117.90.10 Inserts for use in the manufacture of cycling shorts; Of protective suits, to be employed in a noxious atmosphere; Of prayer shawls; Sleeve cuffs and collars, solely of fabric of tariff item No.</w:t>
      </w:r>
    </w:p>
    <w:p>
      <w:pPr>
        <w:pStyle w:val="Normal"/>
      </w:pPr>
      <w:r>
        <w:t>6006.23.10, for use in the manufacture of golf jerseys 6117.90.20 Of diving suits 6117.90.90 Other 6201.11.00 Of wool or fine animal hair 6201.12.00 Of cotton 6201.13.00 Of man-made fibres 6201.19.00 Of other textile materials 6201.91.00 Of wool or fine animal hair 6201.92.10 Men’s ski-jackets, solely of cotton 6201.92.90 Other 6201.93.00 Of man-made fibres 6201.99.00 Of other textile materials 6202.11.00 Of wool or fine animal hair 6202.12.00 Of cotton 6202.13.00 Of man-made fibres 6202.19.00 Of other textile materials 6202.91.00 Of wool or fine animal hair 6202.92.00 Of cotton 6202.93.00 Of man-made fibres 6202.99.00 Of other textile materials 6203.11.00 Of wool or fine animal hair 6203.12.00 Of synthetic fibres 6203.19.10 Of cotton or of artificial fibres 6203.19.90 Other 6203.22.00 Of cotton 6203.23.00 Of synthetic fibres 6203.29.10 Of wool or fine animal hair 6203.29.90 Other 6203.31.00 Of wool or fine animal hair 6203.32.00 Of cotton 6203.33.00 Of synthetic fibres 6203.39.10 Of artificial fibres 6203.39.90 Other 6203.41.00 Of wool or fine animal hair 6203.42.00 Of cotton 6203.43.00 Of synthetic fibres 6203.49.00 Of other textile materials 6204.11.00 Of wool or fine animal hair</w:t>
      </w:r>
    </w:p>
    <w:p>
      <w:pPr>
        <w:pStyle w:val="Normal"/>
      </w:pPr>
      <w:r>
        <w:t>6204.12.00 Of cotton 6204.13.00 Of synthetic fibres 6204.19.10 Of artificial fibres 6204.19.90 Other 6204.21.00 Of wool or fine animal hair 6204.22.00 Of cotton 6204.23.00 Of synthetic fibres 6204.29.00 Of other textile materials 6204.31.00 Of wool or fine animal hair 6204.32.00 Of cotton</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6204.33.00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6204.39.10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6204.39.90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6204.42.00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6204.44.00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6204.51.00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6204.53.00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6204.62.00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6204.63.00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6204.69.00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6205.30.00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6205.90.10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silk or silk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6206.20.00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6206.40.00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6207.11.00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6207.21.00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6207.99.10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6208.11.00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6208.21.00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6208.92.00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6209.20.00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6209.30.00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6209.90.10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6209.90.90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6210.10.10</w:t>
            </w:r>
          </w:p>
        </w:tc>
        <w:tc>
          <w:tcPr>
            <w:tcW w:w="4679" w:type="dxa"/>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6210.10.90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6210.20.00</w:t>
            </w:r>
          </w:p>
        </w:tc>
        <w:tc>
          <w:tcPr>
            <w:tcW w:w="4679" w:type="dxa"/>
            <w:tcMar>
              <w:top w:w="70" w:type="dxa"/>
              <w:start w:w="110" w:type="dxa"/>
              <w:bottom w:w="70" w:type="dxa"/>
              <w:end w:w="110" w:type="dxa"/>
            </w:tcMar>
            <w:vAlign w:val="center"/>
          </w:tcPr>
          <w:p>
            <w:pPr>
              <w:pStyle w:val="TableText"/>
              <w:jc w:val="left"/>
            </w:pPr>
            <w:r>
              <w:rPr>
                <w:lang w:val="en-US" w:eastAsia="en-US" w:bidi="ar-SA"/>
              </w:rPr>
              <w:t>Other garments, of the type described in subheadings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6201.11</w:t>
            </w:r>
          </w:p>
        </w:tc>
        <w:tc>
          <w:tcPr>
            <w:tcW w:w="4679" w:type="dxa"/>
            <w:tcMar>
              <w:top w:w="70" w:type="dxa"/>
              <w:start w:w="110" w:type="dxa"/>
              <w:bottom w:w="70" w:type="dxa"/>
              <w:end w:w="110" w:type="dxa"/>
            </w:tcMar>
            <w:vAlign w:val="center"/>
          </w:tcPr>
          <w:p>
            <w:pPr>
              <w:pStyle w:val="TableText"/>
              <w:jc w:val="left"/>
            </w:pPr>
            <w:r>
              <w:rPr>
                <w:lang w:val="en-US" w:eastAsia="en-US" w:bidi="ar-SA"/>
              </w:rPr>
              <w:t>to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6201.19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6210.30.00</w:t>
            </w:r>
          </w:p>
        </w:tc>
        <w:tc>
          <w:tcPr>
            <w:tcW w:w="4679" w:type="dxa"/>
            <w:tcMar>
              <w:top w:w="70" w:type="dxa"/>
              <w:start w:w="110" w:type="dxa"/>
              <w:bottom w:w="70" w:type="dxa"/>
              <w:end w:w="110" w:type="dxa"/>
            </w:tcMar>
            <w:vAlign w:val="center"/>
          </w:tcPr>
          <w:p>
            <w:pPr>
              <w:pStyle w:val="TableText"/>
              <w:jc w:val="left"/>
            </w:pPr>
            <w:r>
              <w:rPr>
                <w:lang w:val="en-US" w:eastAsia="en-US" w:bidi="ar-SA"/>
              </w:rPr>
              <w:t>Other garments, of the type described in subheadings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6202.11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6202.19</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6210.40.10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6210.40.90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6210.50.10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6210.50.90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Men’s or boys’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6211.12.10</w:t>
            </w:r>
          </w:p>
        </w:tc>
        <w:tc>
          <w:tcPr>
            <w:tcW w:w="4679" w:type="dxa"/>
            <w:tcMar>
              <w:top w:w="70" w:type="dxa"/>
              <w:start w:w="110" w:type="dxa"/>
              <w:bottom w:w="70" w:type="dxa"/>
              <w:end w:w="110" w:type="dxa"/>
            </w:tcMar>
            <w:vAlign w:val="center"/>
          </w:tcPr>
          <w:p>
            <w:pPr>
              <w:pStyle w:val="TableText"/>
              <w:jc w:val="left"/>
            </w:pPr>
            <w:r>
              <w:rPr>
                <w:lang w:val="en-US" w:eastAsia="en-US" w:bidi="ar-SA"/>
              </w:rPr>
              <w:t>Specially designed for incorporating breast prostheses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6211.20.00</w:t>
            </w:r>
          </w:p>
        </w:tc>
        <w:tc>
          <w:tcPr>
            <w:tcW w:w="4679" w:type="dxa"/>
            <w:tcMar>
              <w:top w:w="70" w:type="dxa"/>
              <w:start w:w="110" w:type="dxa"/>
              <w:bottom w:w="70" w:type="dxa"/>
              <w:end w:w="110" w:type="dxa"/>
            </w:tcMar>
            <w:vAlign w:val="center"/>
          </w:tcPr>
          <w:p>
            <w:pPr>
              <w:pStyle w:val="TableText"/>
              <w:jc w:val="left"/>
            </w:pPr>
            <w:r>
              <w:rPr>
                <w:lang w:val="en-US" w:eastAsia="en-US" w:bidi="ar-SA"/>
              </w:rPr>
              <w:t>Ski suits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6211.33.10</w:t>
            </w:r>
          </w:p>
        </w:tc>
        <w:tc>
          <w:tcPr>
            <w:tcW w:w="4679" w:type="dxa"/>
            <w:tcMar>
              <w:top w:w="70" w:type="dxa"/>
              <w:start w:w="110" w:type="dxa"/>
              <w:bottom w:w="70" w:type="dxa"/>
              <w:end w:w="110" w:type="dxa"/>
            </w:tcMar>
            <w:vAlign w:val="center"/>
          </w:tcPr>
          <w:p>
            <w:pPr>
              <w:pStyle w:val="TableText"/>
              <w:jc w:val="left"/>
            </w:pPr>
            <w:r>
              <w:rPr>
                <w:lang w:val="en-US" w:eastAsia="en-US" w:bidi="ar-SA"/>
              </w:rPr>
              <w:t>Clerical or ecclesiastical garments or vestments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6211.33.90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6211.39.10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Saris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6211.43.20</w:t>
            </w:r>
          </w:p>
        </w:tc>
        <w:tc>
          <w:tcPr>
            <w:tcW w:w="4679" w:type="dxa"/>
            <w:tcMar>
              <w:top w:w="70" w:type="dxa"/>
              <w:start w:w="110" w:type="dxa"/>
              <w:bottom w:w="70" w:type="dxa"/>
              <w:end w:w="110" w:type="dxa"/>
            </w:tcMar>
            <w:vAlign w:val="center"/>
          </w:tcPr>
          <w:p>
            <w:pPr>
              <w:pStyle w:val="TableText"/>
              <w:jc w:val="left"/>
            </w:pPr>
            <w:r>
              <w:rPr>
                <w:lang w:val="en-US" w:eastAsia="en-US" w:bidi="ar-SA"/>
              </w:rPr>
              <w:t>Clerical or ecclesiastical garments or vestments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6211.49.10</w:t>
            </w:r>
          </w:p>
        </w:tc>
        <w:tc>
          <w:tcPr>
            <w:tcW w:w="4679" w:type="dxa"/>
            <w:tcMar>
              <w:top w:w="70" w:type="dxa"/>
              <w:start w:w="110" w:type="dxa"/>
              <w:bottom w:w="70" w:type="dxa"/>
              <w:end w:w="110" w:type="dxa"/>
            </w:tcMar>
            <w:vAlign w:val="center"/>
          </w:tcPr>
          <w:p>
            <w:pPr>
              <w:pStyle w:val="TableText"/>
              <w:jc w:val="left"/>
            </w:pPr>
            <w:r>
              <w:rPr>
                <w:lang w:val="en-US" w:eastAsia="en-US" w:bidi="ar-SA"/>
              </w:rPr>
              <w:t>Saris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Clerical or ecclesiastical garments or vestments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6211.49.91</w:t>
            </w:r>
          </w:p>
        </w:tc>
        <w:tc>
          <w:tcPr>
            <w:tcW w:w="4679" w:type="dxa"/>
            <w:tcMar>
              <w:top w:w="70" w:type="dxa"/>
              <w:start w:w="110" w:type="dxa"/>
              <w:bottom w:w="70" w:type="dxa"/>
              <w:end w:w="110" w:type="dxa"/>
            </w:tcMar>
            <w:vAlign w:val="center"/>
          </w:tcPr>
          <w:p>
            <w:pPr>
              <w:pStyle w:val="TableText"/>
              <w:jc w:val="left"/>
            </w:pPr>
            <w:r>
              <w:rPr>
                <w:lang w:val="en-US" w:eastAsia="en-US" w:bidi="ar-SA"/>
              </w:rPr>
              <w:t>Other: 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6211.49.99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6212.10.00</w:t>
            </w:r>
          </w:p>
        </w:tc>
        <w:tc>
          <w:tcPr>
            <w:tcW w:w="4679" w:type="dxa"/>
            <w:tcMar>
              <w:top w:w="70" w:type="dxa"/>
              <w:start w:w="110" w:type="dxa"/>
              <w:bottom w:w="70" w:type="dxa"/>
              <w:end w:w="110" w:type="dxa"/>
            </w:tcMar>
            <w:vAlign w:val="center"/>
          </w:tcPr>
          <w:p>
            <w:pPr>
              <w:pStyle w:val="TableText"/>
              <w:jc w:val="left"/>
            </w:pPr>
            <w:r>
              <w:rPr>
                <w:lang w:val="en-US" w:eastAsia="en-US" w:bidi="ar-SA"/>
              </w:rPr>
              <w:t>Brassières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Girdles and panty-girdles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6212.30.00</w:t>
            </w:r>
          </w:p>
        </w:tc>
        <w:tc>
          <w:tcPr>
            <w:tcW w:w="4679" w:type="dxa"/>
            <w:tcMar>
              <w:top w:w="70" w:type="dxa"/>
              <w:start w:w="110" w:type="dxa"/>
              <w:bottom w:w="70" w:type="dxa"/>
              <w:end w:w="110" w:type="dxa"/>
            </w:tcMar>
            <w:vAlign w:val="center"/>
          </w:tcPr>
          <w:p>
            <w:pPr>
              <w:pStyle w:val="TableText"/>
              <w:jc w:val="left"/>
            </w:pPr>
            <w:r>
              <w:rPr>
                <w:lang w:val="en-US" w:eastAsia="en-US" w:bidi="ar-SA"/>
              </w:rPr>
              <w:t>Corselettes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6213.20.00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silk or silk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silk or silk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6215.20.00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6216.00.00</w:t>
            </w:r>
          </w:p>
        </w:tc>
        <w:tc>
          <w:tcPr>
            <w:tcW w:w="4679" w:type="dxa"/>
            <w:tcMar>
              <w:top w:w="70" w:type="dxa"/>
              <w:start w:w="110" w:type="dxa"/>
              <w:bottom w:w="70" w:type="dxa"/>
              <w:end w:w="110" w:type="dxa"/>
            </w:tcMar>
            <w:vAlign w:val="center"/>
          </w:tcPr>
          <w:p>
            <w:pPr>
              <w:pStyle w:val="TableText"/>
              <w:jc w:val="left"/>
            </w:pPr>
            <w:r>
              <w:rPr>
                <w:lang w:val="en-US" w:eastAsia="en-US" w:bidi="ar-SA"/>
              </w:rPr>
              <w:t>Gloves, mittens and mitts.</w:t>
            </w:r>
          </w:p>
        </w:tc>
      </w:tr>
    </w:tbl>
    <w:p>
      <w:pPr>
        <w:pStyle w:val="Normal"/>
      </w:pPr>
      <w:r>
        <w:t>6217.10.10 For clerical or ecclesiastical garments or vestments 6217.10.90 Other 6217.90.10 Of protective suits to be employed in a noxious atmosphere; Of prayer shawls 6217.90.90 Other 6301.10.00 Electric blankets 6301.20.00 Blankets (other than electric blankets) and travelling rugs, of wool or of fine animal hair 6301.30.00 Blankets (other than electric blankets) and travelling rugs, of cotton 6301.40.00 Blankets (other than electric blankets) and travelling rugs, of synthetic fibres 6301.90.00 Other blankets and travelling rugs 6302.10.00 Bed linen, knitted or crocheted 6302.21.00 Of cotton 6302.22.00 Of man-made fibres 6302.29.00 Of other textile materials 6302.31.00 Of cotton 6302.32.00 Of man-made fibres 6302.39.00 Of other textile materials 6302.40.00 Table linen, knitted or crocheted 6302.51.00 Of cotton 6302.53.10 For decorating religious buildings 6302.53.90 Other 6302.59.10 Of flax 6302.59.90 Other 6302.60.00 Toilet linen and kitchen linen, of terry towelling or similar terry fabrics, of cotton 6302.91.00 Of cotton 6302.93.00 Of man-made fibres 6302.99.10 Of flax 6302.99.90 Other 6303.12.00 Of synthetic fibres 6303.19.00 Of other textile materials 6303.91.00 Of cotton 6303.92.10 Made up from fabrics of tariff item No.</w:t>
      </w:r>
    </w:p>
    <w:p>
      <w:pPr>
        <w:pStyle w:val="Normal"/>
      </w:pPr>
      <w:r>
        <w:t>5407.61.19 6303.92.90 Other 6303.99.00 Of other textile materials 6304.11.00 Knitted or crocheted 6304.19.00 Other 6304.20.00 Bed nets specified in Subheading Note 1 to this Chapter 6304.91.10 Seat covers for motor vehicles 6304.91.90 Other 6304.92.10 Seat covers for motor vehicles 6304.92.90 Other 6304.93.10 Seat covers for motor vehicles 6304.93.90 Other 6304.99.10 Seat covers for motor vehicles 6304.99.90 Other 6305.10.00 Of jute or of other textile bast fibres of heading 53.03 6305.20.00 Of cotton 6305.32.00 Flexible intermediate bulk containers 6305.33.00 Other, of polyethylene or polypropylene strip or the like 6305.39.00 Other 6305.90.00 Of other textile materials 6306.12.00 Of synthetic fibres 6306.19.00 Of other textile materials 6306.22.00 Of synthetic fibres 6306.29.00 Of other textile materials 6306.30.00 Sails 6306.40.00 Pneumatic mattresses 6306.90.10 Of cotton 6306.90.90 Other</w:t>
      </w:r>
    </w:p>
    <w:p>
      <w:pPr>
        <w:pStyle w:val="Normal"/>
      </w:pPr>
      <w:r>
        <w:t>6307.10.10 Industrial shop towels, hemmed, of a width of 43 cm or more but not exceeding 56 cm and a length of 43 cm or more but not exceeding 61 cm, of unbleached woven fabrics solely of cotton or of cotton and man-made fibres, measuring per single yarn 420 decitex to 1,000 decitex and having not less than 78 yarns but not more than 133 yarns per 10 cm in the warp and not less than 78 yarns but not more than 137 yarns per 10 cm in the weft, of a weight of 135 g/m² or more but not exceeding 203 g/m² 6307.10.90 Other 6307.20.00 Life-jackets and life-belts 6307.90.10 Burial shrouds;</w:t>
      </w:r>
    </w:p>
    <w:p>
      <w:pPr>
        <w:pStyle w:val="Normal"/>
      </w:pPr>
      <w:r>
        <w:t>Climbing harnesses, for climbing or mountaineering, manufactured to the standards of the Union Internationale des Associations d’Alpinisme; Marine evacuation chutes, for use in the manufacture of marine evacuation systems; Respirators, NIOSH approved or equivalent, consisting of several layers of nonwovens of man-made fibres, whether or not treated with activated carbon, with or without an exhalation valve, to be employed in a noxious atmosphere; Sample books of textile wall coverings of subheading 5905.00; Tubular webbing, for climbing or mountaineering; Wire-edged ribbon for use in the manufacture of articles put up for retail sale as festive articles of heading 95.05 6307.90.20 Furnishing articles for decorating religious buildings 6307.90.30 Belts for occupational use 6307.90.40 Furniture moving pads 6307.90.50 Shells for use in the manufacture of articles of subheading 9404.90 6307.90.91 Other: Solely of jute 6307.90.92 Other: Of silk 6307.90.93 Of cotton or other vegetable textile fibres, except solely of jute 6307.90.99 Other: Of other textile materials 6308.00.00 Sets consisting of woven fabric and yarn, whether or not with accessories, for making up into rugs, tapestries, embroidered table cloths or serviettes, or similar textile articles, put up in packings for retail sale.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6309.00.10</w:t>
            </w:r>
          </w:p>
        </w:tc>
        <w:tc>
          <w:tcPr>
            <w:tcW w:w="4679" w:type="dxa"/>
            <w:tcMar>
              <w:top w:w="70" w:type="dxa"/>
              <w:start w:w="110" w:type="dxa"/>
              <w:bottom w:w="70" w:type="dxa"/>
              <w:end w:w="110" w:type="dxa"/>
            </w:tcMar>
            <w:vAlign w:val="center"/>
          </w:tcPr>
          <w:p>
            <w:pPr>
              <w:pStyle w:val="TableText"/>
              <w:jc w:val="left"/>
            </w:pPr>
            <w:r>
              <w:rPr>
                <w:lang w:val="en-US" w:eastAsia="en-US" w:bidi="ar-SA"/>
              </w:rPr>
              <w:t>Used textile articles for use in the manufacture of wiping rags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6309.00.90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6310.10.00</w:t>
            </w:r>
          </w:p>
        </w:tc>
        <w:tc>
          <w:tcPr>
            <w:tcW w:w="4679" w:type="dxa"/>
            <w:tcMar>
              <w:top w:w="70" w:type="dxa"/>
              <w:start w:w="110" w:type="dxa"/>
              <w:bottom w:w="70" w:type="dxa"/>
              <w:end w:w="110" w:type="dxa"/>
            </w:tcMar>
            <w:vAlign w:val="center"/>
          </w:tcPr>
          <w:p>
            <w:pPr>
              <w:pStyle w:val="TableText"/>
              <w:jc w:val="left"/>
            </w:pPr>
            <w:r>
              <w:rPr>
                <w:lang w:val="en-US" w:eastAsia="en-US" w:bidi="ar-SA"/>
              </w:rPr>
              <w:t>Sorted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6310.90.00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6401.10.11</w:t>
            </w:r>
          </w:p>
        </w:tc>
        <w:tc>
          <w:tcPr>
            <w:tcW w:w="4679" w:type="dxa"/>
            <w:tcMar>
              <w:top w:w="70" w:type="dxa"/>
              <w:start w:w="110" w:type="dxa"/>
              <w:bottom w:w="70" w:type="dxa"/>
              <w:end w:w="110" w:type="dxa"/>
            </w:tcMar>
            <w:vAlign w:val="center"/>
          </w:tcPr>
          <w:p>
            <w:pPr>
              <w:pStyle w:val="TableText"/>
              <w:jc w:val="left"/>
            </w:pPr>
            <w:r>
              <w:rPr>
                <w:lang w:val="en-US" w:eastAsia="en-US" w:bidi="ar-SA"/>
              </w:rPr>
              <w:t>Of rubber: Riding boots solely of rubber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6401.10.19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6401.10.20</w:t>
            </w:r>
          </w:p>
        </w:tc>
        <w:tc>
          <w:tcPr>
            <w:tcW w:w="4679" w:type="dxa"/>
            <w:tcMar>
              <w:top w:w="70" w:type="dxa"/>
              <w:start w:w="110" w:type="dxa"/>
              <w:bottom w:w="70" w:type="dxa"/>
              <w:end w:w="110" w:type="dxa"/>
            </w:tcMar>
            <w:vAlign w:val="center"/>
          </w:tcPr>
          <w:p>
            <w:pPr>
              <w:pStyle w:val="TableText"/>
              <w:jc w:val="left"/>
            </w:pPr>
            <w:r>
              <w:rPr>
                <w:lang w:val="en-US" w:eastAsia="en-US" w:bidi="ar-SA"/>
              </w:rPr>
              <w:t>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6401.92.11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Riding boots: Of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6401.92.12</w:t>
            </w:r>
          </w:p>
        </w:tc>
        <w:tc>
          <w:tcPr>
            <w:tcW w:w="4679" w:type="dxa"/>
            <w:tcMar>
              <w:top w:w="70" w:type="dxa"/>
              <w:start w:w="110" w:type="dxa"/>
              <w:bottom w:w="70" w:type="dxa"/>
              <w:end w:w="110" w:type="dxa"/>
            </w:tcMar>
            <w:vAlign w:val="center"/>
          </w:tcPr>
          <w:p>
            <w:pPr>
              <w:pStyle w:val="TableText"/>
              <w:jc w:val="left"/>
            </w:pPr>
            <w:r>
              <w:rPr>
                <w:lang w:val="en-US" w:eastAsia="en-US" w:bidi="ar-SA"/>
              </w:rPr>
              <w:t>Riding boots: 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Downhill ski-boots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6401.92.30</w:t>
            </w:r>
          </w:p>
        </w:tc>
        <w:tc>
          <w:tcPr>
            <w:tcW w:w="4679" w:type="dxa"/>
            <w:tcMar>
              <w:top w:w="70" w:type="dxa"/>
              <w:start w:w="110" w:type="dxa"/>
              <w:bottom w:w="70" w:type="dxa"/>
              <w:end w:w="110" w:type="dxa"/>
            </w:tcMar>
            <w:vAlign w:val="center"/>
          </w:tcPr>
          <w:p>
            <w:pPr>
              <w:pStyle w:val="TableText"/>
              <w:jc w:val="left"/>
            </w:pPr>
            <w:r>
              <w:rPr>
                <w:lang w:val="en-US" w:eastAsia="en-US" w:bidi="ar-SA"/>
              </w:rPr>
              <w:t>Sandals solely of rubber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6401.92.91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Of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6401.92.92</w:t>
            </w:r>
          </w:p>
        </w:tc>
        <w:tc>
          <w:tcPr>
            <w:tcW w:w="4679" w:type="dxa"/>
            <w:tcMar>
              <w:top w:w="70" w:type="dxa"/>
              <w:start w:w="110" w:type="dxa"/>
              <w:bottom w:w="70" w:type="dxa"/>
              <w:end w:w="110" w:type="dxa"/>
            </w:tcMar>
            <w:vAlign w:val="center"/>
          </w:tcPr>
          <w:p>
            <w:pPr>
              <w:pStyle w:val="TableText"/>
              <w:jc w:val="left"/>
            </w:pPr>
            <w:r>
              <w:rPr>
                <w:lang w:val="en-US" w:eastAsia="en-US" w:bidi="ar-SA"/>
              </w:rPr>
              <w:t>Other: 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 Riding boots solely of rubber; Sandals solely of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6401.99.12</w:t>
            </w:r>
          </w:p>
        </w:tc>
        <w:tc>
          <w:tcPr>
            <w:tcW w:w="4679" w:type="dxa"/>
            <w:tcMar>
              <w:top w:w="70" w:type="dxa"/>
              <w:start w:w="110" w:type="dxa"/>
              <w:bottom w:w="70" w:type="dxa"/>
              <w:end w:w="110" w:type="dxa"/>
            </w:tcMar>
            <w:vAlign w:val="center"/>
          </w:tcPr>
          <w:p>
            <w:pPr>
              <w:pStyle w:val="TableText"/>
              <w:jc w:val="left"/>
            </w:pPr>
            <w:r>
              <w:rPr>
                <w:lang w:val="en-US" w:eastAsia="en-US" w:bidi="ar-SA"/>
              </w:rPr>
              <w:t>Of rubber: Unfinished footwear consisting of an outer sole and an incomplete upper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6401.99.20</w:t>
            </w:r>
          </w:p>
        </w:tc>
        <w:tc>
          <w:tcPr>
            <w:tcW w:w="4679" w:type="dxa"/>
            <w:tcMar>
              <w:top w:w="70" w:type="dxa"/>
              <w:start w:w="110" w:type="dxa"/>
              <w:bottom w:w="70" w:type="dxa"/>
              <w:end w:w="110" w:type="dxa"/>
            </w:tcMar>
            <w:vAlign w:val="center"/>
          </w:tcPr>
          <w:p>
            <w:pPr>
              <w:pStyle w:val="TableText"/>
              <w:jc w:val="left"/>
            </w:pPr>
            <w:r>
              <w:rPr>
                <w:lang w:val="en-US" w:eastAsia="en-US" w:bidi="ar-SA"/>
              </w:rPr>
              <w:t>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Downhill ski-boots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6402.12.20</w:t>
            </w:r>
          </w:p>
        </w:tc>
        <w:tc>
          <w:tcPr>
            <w:tcW w:w="4679" w:type="dxa"/>
            <w:tcMar>
              <w:top w:w="70" w:type="dxa"/>
              <w:start w:w="110" w:type="dxa"/>
              <w:bottom w:w="70" w:type="dxa"/>
              <w:end w:w="110" w:type="dxa"/>
            </w:tcMar>
            <w:vAlign w:val="center"/>
          </w:tcPr>
          <w:p>
            <w:pPr>
              <w:pStyle w:val="TableText"/>
              <w:jc w:val="left"/>
            </w:pPr>
            <w:r>
              <w:rPr>
                <w:lang w:val="en-US" w:eastAsia="en-US" w:bidi="ar-SA"/>
              </w:rPr>
              <w:t>Cross-country ski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6402.12.30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Snowboard 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6402.19.10</w:t>
            </w:r>
          </w:p>
        </w:tc>
        <w:tc>
          <w:tcPr>
            <w:tcW w:w="4679" w:type="dxa"/>
            <w:tcMar>
              <w:top w:w="70" w:type="dxa"/>
              <w:start w:w="110" w:type="dxa"/>
              <w:bottom w:w="70" w:type="dxa"/>
              <w:end w:w="110" w:type="dxa"/>
            </w:tcMar>
            <w:vAlign w:val="center"/>
          </w:tcPr>
          <w:p>
            <w:pPr>
              <w:pStyle w:val="TableText"/>
              <w:jc w:val="left"/>
            </w:pPr>
            <w:r>
              <w:rPr>
                <w:lang w:val="en-US" w:eastAsia="en-US" w:bidi="ar-SA"/>
              </w:rPr>
              <w:t>Soccer, other football, baseball or bowling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6402.20.11</w:t>
            </w:r>
          </w:p>
        </w:tc>
        <w:tc>
          <w:tcPr>
            <w:tcW w:w="4679" w:type="dxa"/>
            <w:tcMar>
              <w:top w:w="70" w:type="dxa"/>
              <w:start w:w="110" w:type="dxa"/>
              <w:bottom w:w="70" w:type="dxa"/>
              <w:end w:w="110" w:type="dxa"/>
            </w:tcMar>
            <w:vAlign w:val="center"/>
          </w:tcPr>
          <w:p>
            <w:pPr>
              <w:pStyle w:val="TableText"/>
              <w:jc w:val="left"/>
            </w:pPr>
            <w:r>
              <w:rPr>
                <w:lang w:val="en-US" w:eastAsia="en-US" w:bidi="ar-SA"/>
              </w:rPr>
              <w:t>Of rubber: Sandals solely of rubber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6402.20.19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w:t>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6402.20.20</w:t>
            </w:r>
          </w:p>
        </w:tc>
        <w:tc>
          <w:tcPr>
            <w:tcW w:w="4679" w:type="dxa"/>
            <w:tcMar>
              <w:top w:w="70" w:type="dxa"/>
              <w:start w:w="110" w:type="dxa"/>
              <w:bottom w:w="70" w:type="dxa"/>
              <w:end w:w="110" w:type="dxa"/>
            </w:tcMar>
            <w:vAlign w:val="center"/>
          </w:tcPr>
          <w:p>
            <w:pPr>
              <w:pStyle w:val="TableText"/>
              <w:jc w:val="left"/>
            </w:pPr>
            <w:r>
              <w:rPr>
                <w:lang w:val="en-US" w:eastAsia="en-US" w:bidi="ar-SA"/>
              </w:rPr>
              <w:t>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Incorporating a protective metal toe-cap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6402.91.90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Incorporating a protective metal toe-cap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Downhill ski-boots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6403.12.20</w:t>
            </w:r>
          </w:p>
        </w:tc>
        <w:tc>
          <w:tcPr>
            <w:tcW w:w="4679" w:type="dxa"/>
            <w:tcMar>
              <w:top w:w="70" w:type="dxa"/>
              <w:start w:w="110" w:type="dxa"/>
              <w:bottom w:w="70" w:type="dxa"/>
              <w:end w:w="110" w:type="dxa"/>
            </w:tcMar>
            <w:vAlign w:val="center"/>
          </w:tcPr>
          <w:p>
            <w:pPr>
              <w:pStyle w:val="TableText"/>
              <w:jc w:val="left"/>
            </w:pPr>
            <w:r>
              <w:rPr>
                <w:lang w:val="en-US" w:eastAsia="en-US" w:bidi="ar-SA"/>
              </w:rPr>
              <w:t>Cross-country ski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6403.12.30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Snowboard 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6403.19.10</w:t>
            </w:r>
          </w:p>
        </w:tc>
        <w:tc>
          <w:tcPr>
            <w:tcW w:w="4679" w:type="dxa"/>
            <w:tcMar>
              <w:top w:w="70" w:type="dxa"/>
              <w:start w:w="110" w:type="dxa"/>
              <w:bottom w:w="70" w:type="dxa"/>
              <w:end w:w="110" w:type="dxa"/>
            </w:tcMar>
            <w:vAlign w:val="center"/>
          </w:tcPr>
          <w:p>
            <w:pPr>
              <w:pStyle w:val="TableText"/>
              <w:jc w:val="left"/>
            </w:pPr>
            <w:r>
              <w:rPr>
                <w:lang w:val="en-US" w:eastAsia="en-US" w:bidi="ar-SA"/>
              </w:rPr>
              <w:t>For an individual with a defective or abnormal foot or ankle, when purchased on the written order of a registered medical practitioner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6403.19.20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footwear for riding, golfing, hiking, climbing, curling, bowling, skating or training including track and running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6403.19.90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Footwear with outer soles of leather,</w:t>
            </w:r>
          </w:p>
        </w:tc>
      </w:tr>
    </w:tbl>
    <w:p>
      <w:pPr>
        <w:pStyle w:val="Normal"/>
      </w:pPr>
      <w:r>
        <w:t>and uppers which consist of leather straps across the instep and around the big toe 6403.40.00 Other footwear, incorporating a protective metal toe-cap 6403.51.00 Covering the ankle 6403.59.10 For an individual with a defective or abnormal foot or ankle, when purchased on the written order of a registered medical practitioner;</w:t>
      </w:r>
    </w:p>
    <w:p>
      <w:pPr>
        <w:pStyle w:val="Normal"/>
      </w:pPr>
      <w:r>
        <w:t>Pointe shoes or block toe shoes, for professional dancers employed by full-time dance companies which meet Canada Council standards of professionalism or for ballet students in full- time attendance at a ballet school which meets Canada Council curriculum standards 6403.59.20 Other women’s footwear, valued at $30 or more per pair 6403.59.90 Other 6403.91.00 Covering the ankle 6403.99.10 For an individual with a defective or abnormal foot or ankle, when purchased on the written order of a registered medical practitioner 6403.99.30 Other women’s footwear, valued at $30 or more per pair 6403.99.90 Other 6404.11.11 Footwear with outer soles solely of rubber and uppers of canvas, being a heavy, plain weave or basket weave fabric, tightly woven with a minimum per cent cover of 99%, solely of vegetable textile fibres, of a weight of 200 g/m² or more, excluding coatings or laminations:</w:t>
      </w:r>
    </w:p>
    <w:p>
      <w:pPr>
        <w:pStyle w:val="Normal"/>
      </w:pPr>
      <w:r>
        <w:t>Hiking footwear 6404.11.19 Footwear with outer soles solely of rubber and uppers of canvas, being a heavy, plain weave or basket weave fabric, tightly woven with a minimum per cent cover of 99%, solely of vegetable textile fibres, of a weight of 200 g/m² or more, excluding</w:t>
      </w:r>
    </w:p>
    <w:p>
      <w:pPr>
        <w:pStyle w:val="Normal"/>
      </w:pPr>
      <w:r>
        <w:t>coatings or laminations: Other 6404.11.91 Other: Hiking footwear 6404.11.99 Other:</w:t>
      </w:r>
    </w:p>
    <w:p>
      <w:pPr>
        <w:pStyle w:val="Normal"/>
      </w:pPr>
      <w:r>
        <w:t>Other 6404.19.10 For an individual with a defective or abnormal foot or ankle, when purchased on the written order of a registered medical practitioner 6404.19.20 For clerical or ecclesiastical use 6404.19.30 Other, with outer soles solely of rubber and uppers of canvas, being a heavy, plain weave or basket weave fabric, tightly woven with a minimum per cent cover of 99%, solely of vegetable textile fibres, of a weight of 200 g/m² or more, excluding coatings or laminations 6404.19.90 Other 6404.20.10 Pointe shoes or block toe shoes, for professional dancers employed by full-time dance companies which meet Canada Council standards of professionalism or for ballet students in full- time attendance at a ballet school which meets Canada Council curriculum standards 6404.20.90 Other 6405.10.10 Pointe shoes or block toe shoes, for professional dancers employed by full-time dance companies which meet Canada Council standards of professionalism or for ballet students in full- time attendance at a ballet school which meets Canada Council curriculum standards 6405.10.90 Other</w:t>
      </w:r>
    </w:p>
    <w:p>
      <w:pPr>
        <w:pStyle w:val="Normal"/>
      </w:pPr>
      <w:r>
        <w:t>6405.20.10 Pointe shoes or block toe shoes, for professional dancers employed by full-time dance companies which meet Canada Council standards of professionalism or for ballet students in full- time attendance at a ballet school which meets Canada Council curriculum standards 6405.20.20 Other footwear with outer soles and uppers of</w:t>
      </w:r>
    </w:p>
    <w:p>
      <w:pPr>
        <w:pStyle w:val="Normal"/>
      </w:pPr>
      <w:r>
        <w:t>wool felt 6405.20.90 Other 6405.90.00 Other 6406.10.11 Of textile materials: Uppers, the external surface of which is 50% or more of textile materials 6406.10.19 Of textile materials: Other 6406.10.91 Other: Of leather or imitation leather, or combinations thereof, unlined or lined with textile or other materials, for use in the manufacture of women’s cement lasted footwear 6406.10.99 Other: Other 6406.20.00 Outer soles and heels, of rubber or plastics 6406.90.10 Of wood 6406.90.20 Crampons for climbing or mountaineering; Steel toe-caps 6406.90.30 Gaiters or leggings of textile material 6406.90.90 Other 6501.00.00 Hat-forms, hat bodies and hoods of felt, neither blocked to shape nor with made brims; plateaux and manchons (including slit manchons), of felt. 6502.00.00 Hat-shapes, plaited or made by assembling strips of any material, neither blocked to shape, nor with made brims, nor lined, nor trimmed.</w:t>
      </w:r>
    </w:p>
    <w:p>
      <w:pPr>
        <w:pStyle w:val="Normal"/>
      </w:pPr>
      <w:r>
        <w:t>6504.00.10 Plaited, in a single piece, or of fur-felt or wool-felt, for use in the manufacture of hats 6504.00.90 Other 6505.00.10 Hair-nets 6505.00.20 Knitted, crocheted or woven, for use in the manufacture of hats 6505.00.31 Felt hats and other felt headgear, made from the hat bodies, hoods or plateaux of heading 65.01, whether or not lined or trimmed: Of fur-felt or wool-felt, for use in the manufacture of hats 6505.00.39 Felt hats and other felt headgear, made from the hat bodies, hoods or plateaux of heading 65.01: Other 6505.00.40 Other hats, hoods, caps, bonnets or berets 6505.00.90 Other 6506.10.10 Football helmets; For firemen; For mountaineering and climbing; Industrial safety helmets; Lead-impregnated or lead-lined, for X-ray operators; Other protective headgear, athletic 6506.10.90 Other 6506.91.00 Of rubber or of plastics 6506.99.10 Of paper, leather or feathers 6506.99.20 Of furskin 6506.99.90 Other 6507.00.00 Head-bands, linings, covers, hat foundations, hat frames, peaks and chinstraps, for headgear.</w:t>
      </w:r>
    </w:p>
    <w:p>
      <w:pPr>
        <w:pStyle w:val="Normal"/>
      </w:pPr>
      <w:r>
        <w:t>6601.10.00 Garden or similar umbrellas 6601.91.00 Having a telescopic shaft 6601.99.00 Other 6602.00.10 Canes for use of a public hospital 6602.00.90 Other 6603.20.00 Umbrella frames, including frames mounted on shafts (sticks) 6603.90.00 Other 6701.00.10 Articles of feathers or down 6701.00.90 Other 6702.10.00 Of plastics 6702.90.10 Parts, of polyester or silk yarns or fabrics, whether or not with wire stems, for use in the manufacture of artificial flowers, trees or other plants 6702.90.90 Other 6703.00.00 Human hair, dressed, thinned, bleached or otherwise worked; wool or other animal hair or other textile materials, prepared for use in making wigs or the like. 6704.11.00 Complete wigs 6704.19.00 Other 6704.20.00 Of human hair 6704.90.00 Of other materials 6801.00.00 Setts, curbstones and flagstones, of natural stone (except slate).</w:t>
      </w:r>
    </w:p>
    <w:p>
      <w:pPr>
        <w:pStyle w:val="Normal"/>
      </w:pPr>
      <w:r>
        <w:t>6802.10.10 Artificially coloured roofing granules 6802.10.90 Other 6802.21.00 Marble, travertine and alabaster 6802.23.00 Granite 6802.29.00 Other stone 6802.91.00 Marble, travertine and alabaster 6802.92.00 Other calcareous stone 6802.93.00 Granite 6802.99.00 Other stone 6803.00.10 Roofing slate; Slate for use in the manufacture of billiard tables 6803.00.90 Other 6804.10.00 Millstones and grindstones for milling, grinding or pulping 6804.21.00 Of agglomerated synthetic or natural diamond 6804.22.00 Of other agglomerated abrasives or of ceramics 6804.23.00 Of natural stone 6804.30.00 Hand sharpening or polishing stones 6805.10.00 On a base of woven textile fabric only 6805.20.00 On a base of paper or paperboard only 6805.30.00 On a base of other materials 6806.10.00 Slag wool, rock wool and similar mineral wools, (including intermixtures thereof), in bulk, sheets or rolls 6806.20.00 Exfoliated vermiculite, expanded clays, foamed slag and similar expanded mineral materials (including intermixtures thereof) 6806.90.00 Other 6807.10.00 In rolls 6807.90.00 Other 6808.00.00 Panels, boards, tiles, blocks and similar articles of vegetable fibre, of straw or of shavings, chips, particles, sawdust or other waste, of wood, agglomerated with cement, plaster or other mineral binders.</w:t>
      </w:r>
    </w:p>
    <w:p>
      <w:pPr>
        <w:pStyle w:val="Normal"/>
      </w:pPr>
      <w:r>
        <w:t>6809.11.00 Faced or reinforced with paper or paperboard only 6809.19.00 Other 6809.90.10 Models and casts, of a kind used in the manufacture of dental prostheses 6809.90.90 Other 6810.11.00 Building blocks and bricks 6810.19.00 Other 6810.91.00 Prefabricated structural components for building or civil engineering 6810.99.00 Other 6811.40.00 Containing asbestos 6811.81.00 Corrugated sheets 6811.82.00 Other sheets, panels, tiles and similar articles 6811.89.00 Other articles 6812.80.00 Of crocidolite 6812.91.00 Clothing, clothing accessories, footwear and headgear 6812.92.00 Paper, millboard and felt 6812.93.00 Compressed asbestos fibre jointing, in sheets or rolls 6812.99.00 Other 6813.20.11 Brake linings and pads: For motor vehicles of heading 87.02, 87.03, 87.04 or 87.05 6813.20.19 Brake linings and pads: Other 6813.20.90 Other 6813.81.10 For motor vehicles of heading 87.02, 87.03, 87.04 or 87.05 6813.81.90 Other 6813.89.00 Other 6814.10.00 Plates, sheets and strips of agglomerated or reconstituted mica, whether or not on a support 6814.90.00 Other 6815.10.00 Non-electrical articles of graphite or other carbon 6815.20.00 Articles of peat 6815.91.00 Containing magnesite, dolomite or chromite 6815.99.10 Foundry facings; Models and casts, of a kind used in the manufacture of dental prostheses;</w:t>
      </w:r>
    </w:p>
    <w:p>
      <w:pPr>
        <w:pStyle w:val="Normal"/>
      </w:pPr>
      <w:r>
        <w:t>Olivine panels for use in the manufacture of wood waste incinerators; Refractory bricks, blocks, tiles and similar refractory constructional products to be employed in the production of</w:t>
      </w:r>
    </w:p>
    <w:p>
      <w:pPr>
        <w:pStyle w:val="Normal"/>
      </w:pPr>
      <w:r>
        <w:t>metallurgical coke, iron and steel 6815.99.20 Signs 6815.99.90 Other 6901.00.00 Bricks, blocks, tiles and other ceramic goods of siliceous fossil meals (for example, kieselguhr, tripolite or diatomite) or of similar siliceous earths. 6902.10.00 Containing by weight, singly or together, more than 50% of the elements Mg, Ca or Cr, expressed as MgO, CaO or Cr2O3 6902.20.00 Containing by weight more than 50% of alumina (Al2O3), of silica (SiO2) or of a mixture or compound of these products 6902.90.00 Other 6903.10.00 Containing by weight more than 50% of graphite or other carbon or of a mixture of these products 6903.20.00 Containing by weight more than 50% of alumina (Al2O3) or of a mixture or compound of alumina and of silica (SiO2) 6903.90.00 Other 6904.10.00 Building bricks 6904.90.10 Flooring blocks 6904.90.20 Support or filler tiles and the like 6905.10.00 Roofing tiles 6905.90.00 Other 6906.00.00 Ceramic pipes, conduits, guttering and pipe fittings.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6907.21.10</w:t>
            </w:r>
          </w:p>
        </w:tc>
        <w:tc>
          <w:tcPr>
            <w:tcW w:w="4679" w:type="dxa"/>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6907.21.29</w:t>
            </w:r>
          </w:p>
        </w:tc>
        <w:tc>
          <w:tcPr>
            <w:tcW w:w="4679" w:type="dxa"/>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6907.22.21</w:t>
            </w:r>
          </w:p>
        </w:tc>
        <w:tc>
          <w:tcPr>
            <w:tcW w:w="4679" w:type="dxa"/>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6907.22.29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6907.23.10</w:t>
            </w:r>
          </w:p>
        </w:tc>
        <w:tc>
          <w:tcPr>
            <w:tcW w:w="4679" w:type="dxa"/>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6907.23.21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6907.23.29</w:t>
            </w:r>
          </w:p>
        </w:tc>
        <w:tc>
          <w:tcPr>
            <w:tcW w:w="4679" w:type="dxa"/>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6907.30.21</w:t>
            </w:r>
          </w:p>
        </w:tc>
        <w:tc>
          <w:tcPr>
            <w:tcW w:w="4679" w:type="dxa"/>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6907.30.29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6907.40.10</w:t>
            </w:r>
          </w:p>
        </w:tc>
        <w:tc>
          <w:tcPr>
            <w:tcW w:w="4679" w:type="dxa"/>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6907.40.21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6907.40.29</w:t>
            </w:r>
          </w:p>
        </w:tc>
        <w:tc>
          <w:tcPr>
            <w:tcW w:w="4679" w:type="dxa"/>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porcelain or china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6909.12.10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machinery for making pulp of fibrous cellulosic material or for making or finishing paper or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6909.12.90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6909.19.10</w:t>
            </w:r>
          </w:p>
        </w:tc>
        <w:tc>
          <w:tcPr>
            <w:tcW w:w="4679" w:type="dxa"/>
            <w:tcMar>
              <w:top w:w="70" w:type="dxa"/>
              <w:start w:w="110" w:type="dxa"/>
              <w:bottom w:w="70" w:type="dxa"/>
              <w:end w:w="110" w:type="dxa"/>
            </w:tcMar>
            <w:vAlign w:val="center"/>
          </w:tcPr>
          <w:p>
            <w:pPr>
              <w:pStyle w:val="TableText"/>
              <w:jc w:val="left"/>
            </w:pPr>
            <w:r>
              <w:rPr>
                <w:lang w:val="en-US" w:eastAsia="en-US" w:bidi="ar-SA"/>
              </w:rPr>
              <w:t>Ceramic rings for use in the manufacture of formaldehyde;</w:t>
            </w:r>
          </w:p>
        </w:tc>
      </w:tr>
    </w:tbl>
    <w:p>
      <w:pPr>
        <w:pStyle w:val="Normal"/>
      </w:pPr>
      <w:r>
        <w:t>For use in machinery for making pulp of fibrous cellulosic material or for making or finishing paper or paperboard 6909.19.90 Other 6909.90.00 Other 6910.10.10 Water closet pans (toilet bowls) and flushing cisterns (toilet tanks) or combinations thereof 6910.10.90 Other 6910.90.00 Other 6911.10.10 Undecorated tableware, of a thickness of 3 mm or more, for use in the manufacture of decorated heavy duty tableware for hotel, restaurant or institutional use 6911.10.20 Other undecorated tableware for use in the manufacture of decorated tableware by kiln-fired decoration 6911.10.90 Other 6911.90.00 Other 6912.00.10 Undecorated coffee mugs of earthenware or stoneware, for use in the manufacture of</w:t>
      </w:r>
    </w:p>
    <w:p>
      <w:pPr>
        <w:pStyle w:val="Normal"/>
      </w:pPr>
      <w:r>
        <w:t>decorated coffee mugs by kiln-fired decoration; Undecorated tableware of semi-porcelain or white granite, of a thickness of 3 mm or more, for use in the manufacture of decorated heavy duty tableware for hotel, restaurant or institutional use 6912.00.20 Other, undecorated tableware of semi-porcelain or white granite for use in the manufacture of decorated tableware by kiln-fired decoration 6912.00.90 Other 6913.10.00 Of porcelain or china 6913.90.10 Produced in Canada more than 25 years prior to the date of accounting 6913.90.90 Other 6914.10.10 Porcelain hand forms to be employed in the manufacture of rubber gloves 6914.10.90 Other 6914.90.00 Other 7001.00.00 Cullet and other waste and scrap of glass; glass in the mass.</w:t>
      </w:r>
    </w:p>
    <w:p>
      <w:pPr>
        <w:pStyle w:val="Normal"/>
      </w:pPr>
      <w:r>
        <w:t>7002.10.00 Balls 7002.20.00 Rods 7002.31.00 Of fused quartz or other fused silica 7002.32.00 Of other glass having a linear coefficient of expansion not exceeding 5x10 per Kelvin within a temperature range of 0°C to 300°C 7002.39.00 Other 7003.12.00 Coloured throughout the mass (body tinted), opacified, flashed or having an absorbent, reflecting or non-reflecting layer 7003.19.00 Other 7003.20.00 Wired sheets 7003.30.00 Profiles 7004.20.00 Glass, coloured throughout the mass (body tinted), opacified, flashed or having an absorbent, reflecting or non-reflecting layer 7004.90.00 Other glass 7005.10.00 Non-wired glass, having an absorbent, reflecting or non- reflecting layer 7005.21.00 Coloured throughout the mass (body tinted), opacified, flashed or merely</w:t>
      </w:r>
    </w:p>
    <w:p>
      <w:pPr>
        <w:pStyle w:val="Normal"/>
      </w:pPr>
      <w:r>
        <w:t>surface ground 7005.29.00 Other 7005.30.00 Wired glass 7006.00.00 Glass of heading 70.03, 70.04 or 70.05, bent, edge-worked, engraved, drilled, enamelled or otherwise worked, but not framed or fitted with other materials. 7007.11.00 Of size and shape suitable for incorporation in vehicles, aircraft, spacecraft or vessels 7007.19.00 Other 7007.21.00 Of size and shape suitable for incorporation in vehicles, aircraft, spacecraft or vessels 7007.29.00 Other 7008.00.00 Multiple-walled insulating units of glass. 7009.10.00 Rear-view mirrors for vehicles 7009.91.00 Unframed 7009.92.00 Framed 7010.10.00 Ampoules 7010.20.00 Stoppers, lids and other closures 7010.90.00 Other 7011.10.00 For electric lighting 7011.20.10 Cones (funnels) 7011.20.90 Other 7011.90.00 Other 7013.10.00 Of glass-ceramics 7013.22.00 Of lead crystal 7013.28.00 Other 7013.33.00 Of lead crystal 7013.37.00 Other 7013.41.00 Of lead crystal 7013.42.00 Of glass having a linear coefficient of expansion not exceeding 5x10 per Kelvin within a temperature range of 0°C to 300°C 7013.49.00 Other 7013.91.00 Of lead crystal 7013.99.00 Other 7014.00.00 Signalling glassware and optical elements of glass (other than those of heading 70.15), not optically worked.</w:t>
      </w:r>
    </w:p>
    <w:p>
      <w:pPr>
        <w:pStyle w:val="Normal"/>
      </w:pPr>
      <w:r>
        <w:t>7015.10.00 Glasses for corrective spectacles 7015.90.00 Other 7016.10.00 Glass cubes and other glass smallwares, whether or not on a backing, for mosaics or similar decorative purposes 7016.90.00 Other 7017.10.00 Of fused quartz or other fused silica 7017.20.00 Of other glass having a linear coefficient of expansion not exceeding 5x10 per Kelvin within a temperature range of 0°C to 300°C 7017.90.00 Other 7018.10.00 Glass beads, imitation pearls, imitation precious or semi-precious stones and similar glass smallwares 7018.20.00 Glass microspheres not exceeding 1 mm in diameter 7018.90.00 Other 7019.11.00 Chopped strands, of a length of not more than 50 mm 7019.12.00 Rovings 7019.19.00 Other 7019.31.00 Mats 7019.32.00 Thin sheets (voiles) 7019.39.00 Other 7019.40.10 Impregnated with a compounded and not completely cured epoxide resin, commonly known as “prepreg”, meeting the IPC 4101 specification, for use in the manufacture of printed circuit boards; Glass tape, woven, electrically conductive, for use in the manufacture or refurbishing of electrical generators; Solely of glass fibres or filaments, resin impregnated, in rolls, whether or not backed with paper separators, for use in the manufacture of grinding wheels;</w:t>
      </w:r>
    </w:p>
    <w:p>
      <w:pPr>
        <w:pStyle w:val="Normal"/>
      </w:pPr>
      <w:r>
        <w:t>Solely of high silica glass fibres, the fibres, exclusive of coating, containing 90% or more by weight of combined silicon, evaluated as silicon dioxide (SiO2) 7019.40.20 For use in the manufacture of tires 7019.40.91 Other: For use in the manufacture of apparel</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7019.40.99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7019.51.00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width not exceeding 30 cm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7019.52.00</w:t>
            </w:r>
          </w:p>
        </w:tc>
        <w:tc>
          <w:tcPr>
            <w:tcW w:w="4679" w:type="dxa"/>
            <w:tcMar>
              <w:top w:w="70" w:type="dxa"/>
              <w:start w:w="110" w:type="dxa"/>
              <w:bottom w:w="70" w:type="dxa"/>
              <w:end w:w="110" w:type="dxa"/>
            </w:tcMar>
            <w:vAlign w:val="center"/>
          </w:tcPr>
          <w:p>
            <w:pPr>
              <w:pStyle w:val="TableText"/>
              <w:jc w:val="left"/>
            </w:pPr>
            <w:r>
              <w:rPr>
                <w:lang w:val="en-US" w:eastAsia="en-US" w:bidi="ar-SA"/>
              </w:rPr>
              <w:t>Of a width exceeding 30 cm, plain weave, weighing less than 250 g/m², of filaments measuring per single yarn not more than 136 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7019.59.00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7019.90.00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7020.00.10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cut or decorated glassware; Glassware having a linear coefficient of expansion not exceeding 5x10 per Kelvin within a temperature range of 0°C to 300°C; Glass inners for vacuum flasks or for other vacuum vessels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7020.00.90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7101.10.10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Graded pearls temporarily strung for the convenience of transport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7101.10.90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7101.22.10</w:t>
            </w:r>
          </w:p>
        </w:tc>
        <w:tc>
          <w:tcPr>
            <w:tcW w:w="4679" w:type="dxa"/>
            <w:tcMar>
              <w:top w:w="70" w:type="dxa"/>
              <w:start w:w="110" w:type="dxa"/>
              <w:bottom w:w="70" w:type="dxa"/>
              <w:end w:w="110" w:type="dxa"/>
            </w:tcMar>
            <w:vAlign w:val="center"/>
          </w:tcPr>
          <w:p>
            <w:pPr>
              <w:pStyle w:val="TableText"/>
              <w:jc w:val="left"/>
            </w:pPr>
            <w:r>
              <w:rPr>
                <w:lang w:val="en-US" w:eastAsia="en-US" w:bidi="ar-SA"/>
              </w:rPr>
              <w:t>Graded pearls temporarily strung for the convenience of transport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7101.22.90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7102.10.00</w:t>
            </w:r>
          </w:p>
        </w:tc>
        <w:tc>
          <w:tcPr>
            <w:tcW w:w="4679" w:type="dxa"/>
            <w:tcMar>
              <w:top w:w="70" w:type="dxa"/>
              <w:start w:w="110" w:type="dxa"/>
              <w:bottom w:w="70" w:type="dxa"/>
              <w:end w:w="110" w:type="dxa"/>
            </w:tcMar>
            <w:vAlign w:val="center"/>
          </w:tcPr>
          <w:p>
            <w:pPr>
              <w:pStyle w:val="TableText"/>
              <w:jc w:val="left"/>
            </w:pPr>
            <w:r>
              <w:rPr>
                <w:lang w:val="en-US" w:eastAsia="en-US" w:bidi="ar-SA"/>
              </w:rPr>
              <w:t>Unsorted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 or simply sawn, cleaved or bruted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7102.29.00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7102.31.00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 or simply sawn, cleaved or bruted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7102.39.00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 or simply sawn or roughly shaped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7103.91.00</w:t>
            </w:r>
          </w:p>
        </w:tc>
        <w:tc>
          <w:tcPr>
            <w:tcW w:w="4679" w:type="dxa"/>
            <w:tcMar>
              <w:top w:w="70" w:type="dxa"/>
              <w:start w:w="110" w:type="dxa"/>
              <w:bottom w:w="70" w:type="dxa"/>
              <w:end w:w="110" w:type="dxa"/>
            </w:tcMar>
            <w:vAlign w:val="center"/>
          </w:tcPr>
          <w:p>
            <w:pPr>
              <w:pStyle w:val="TableText"/>
              <w:jc w:val="left"/>
            </w:pPr>
            <w:r>
              <w:rPr>
                <w:lang w:val="en-US" w:eastAsia="en-US" w:bidi="ar-SA"/>
              </w:rPr>
              <w:t>Rubies, sapphires and emeralds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7103.99.00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7104.10.00</w:t>
            </w:r>
          </w:p>
        </w:tc>
        <w:tc>
          <w:tcPr>
            <w:tcW w:w="4679" w:type="dxa"/>
            <w:tcMar>
              <w:top w:w="70" w:type="dxa"/>
              <w:start w:w="110" w:type="dxa"/>
              <w:bottom w:w="70" w:type="dxa"/>
              <w:end w:w="110" w:type="dxa"/>
            </w:tcMar>
            <w:vAlign w:val="center"/>
          </w:tcPr>
          <w:p>
            <w:pPr>
              <w:pStyle w:val="TableText"/>
              <w:jc w:val="left"/>
            </w:pPr>
            <w:r>
              <w:rPr>
                <w:lang w:val="en-US" w:eastAsia="en-US" w:bidi="ar-SA"/>
              </w:rPr>
              <w:t>Piezo-electric quartz</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unworked or simply sawn or roughly shaped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diamonds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7106.91.00</w:t>
            </w:r>
          </w:p>
        </w:tc>
        <w:tc>
          <w:tcPr>
            <w:tcW w:w="4679" w:type="dxa"/>
            <w:tcMar>
              <w:top w:w="70" w:type="dxa"/>
              <w:start w:w="110" w:type="dxa"/>
              <w:bottom w:w="70" w:type="dxa"/>
              <w:end w:w="110" w:type="dxa"/>
            </w:tcMar>
            <w:vAlign w:val="center"/>
          </w:tcPr>
          <w:p>
            <w:pPr>
              <w:pStyle w:val="TableText"/>
              <w:jc w:val="left"/>
            </w:pPr>
            <w:r>
              <w:rPr>
                <w:lang w:val="en-US" w:eastAsia="en-US" w:bidi="ar-SA"/>
              </w:rPr>
              <w:t>Unwrought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Semi-manufactured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7107.00.00</w:t>
            </w:r>
          </w:p>
        </w:tc>
        <w:tc>
          <w:tcPr>
            <w:tcW w:w="4679" w:type="dxa"/>
            <w:tcMar>
              <w:top w:w="70" w:type="dxa"/>
              <w:start w:w="110" w:type="dxa"/>
              <w:bottom w:w="70" w:type="dxa"/>
              <w:end w:w="110" w:type="dxa"/>
            </w:tcMar>
            <w:vAlign w:val="center"/>
          </w:tcPr>
          <w:p>
            <w:pPr>
              <w:pStyle w:val="TableText"/>
              <w:jc w:val="left"/>
            </w:pPr>
            <w:r>
              <w:rPr>
                <w:lang w:val="en-US" w:eastAsia="en-US" w:bidi="ar-SA"/>
              </w:rPr>
              <w:t>Base metals clad with silver, not further worked than semi- manufactured.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7108.11.00</w:t>
            </w:r>
          </w:p>
        </w:tc>
        <w:tc>
          <w:tcPr>
            <w:tcW w:w="4679" w:type="dxa"/>
            <w:tcMar>
              <w:top w:w="70" w:type="dxa"/>
              <w:start w:w="110" w:type="dxa"/>
              <w:bottom w:w="70" w:type="dxa"/>
              <w:end w:w="110" w:type="dxa"/>
            </w:tcMar>
            <w:vAlign w:val="center"/>
          </w:tcPr>
          <w:p>
            <w:pPr>
              <w:pStyle w:val="TableText"/>
              <w:jc w:val="left"/>
            </w:pPr>
            <w:r>
              <w:rPr>
                <w:lang w:val="en-US" w:eastAsia="en-US" w:bidi="ar-SA"/>
              </w:rPr>
              <w:t>Powder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7108.12.00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unwrought forms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7108.13.00</w:t>
            </w:r>
          </w:p>
        </w:tc>
        <w:tc>
          <w:tcPr>
            <w:tcW w:w="4679" w:type="dxa"/>
            <w:tcMar>
              <w:top w:w="70" w:type="dxa"/>
              <w:start w:w="110" w:type="dxa"/>
              <w:bottom w:w="70" w:type="dxa"/>
              <w:end w:w="110" w:type="dxa"/>
            </w:tcMar>
            <w:vAlign w:val="center"/>
          </w:tcPr>
          <w:p>
            <w:pPr>
              <w:pStyle w:val="TableText"/>
              <w:jc w:val="left"/>
            </w:pPr>
            <w:r>
              <w:rPr>
                <w:lang w:val="en-US" w:eastAsia="en-US" w:bidi="ar-SA"/>
              </w:rPr>
              <w:t>Other semi-manufactured forms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Monetary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7109.00.00</w:t>
            </w:r>
          </w:p>
        </w:tc>
        <w:tc>
          <w:tcPr>
            <w:tcW w:w="4679" w:type="dxa"/>
            <w:tcMar>
              <w:top w:w="70" w:type="dxa"/>
              <w:start w:w="110" w:type="dxa"/>
              <w:bottom w:w="70" w:type="dxa"/>
              <w:end w:w="110" w:type="dxa"/>
            </w:tcMar>
            <w:vAlign w:val="center"/>
          </w:tcPr>
          <w:p>
            <w:pPr>
              <w:pStyle w:val="TableText"/>
              <w:jc w:val="left"/>
            </w:pPr>
            <w:r>
              <w:rPr>
                <w:lang w:val="en-US" w:eastAsia="en-US" w:bidi="ar-SA"/>
              </w:rPr>
              <w:t>Base metals or silver, clad with gold, not further worked than semi-manufactured.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Base metals, silver or gold, clad with platinum, not further worked than semi-manufactured.</w:t>
            </w:r>
          </w:p>
        </w:tc>
      </w:tr>
    </w:tbl>
    <w:p>
      <w:pPr>
        <w:pStyle w:val="Normal"/>
      </w:pPr>
      <w:r>
        <w:t>7112.30.00 Ash containing precious metal or precious metal compounds 7112.91.00 Of gold, including metal clad with gold but excluding sweepings containing other precious metals 7112.92.00 Of platinum, including metal clad with platinum but excluding sweepings containing other precious metals 7112.99.00 Other 7113.11.10 Findings, not plated or clad 7113.11.90 Other 7113.19.10 Findings, not plated or clad 7113.19.90 Other 7113.20.10 Findings 7113.20.90 Other 7114.11.00 Of silver, whether or not plated or clad with other precious metal 7114.19.00 Of other precious metal, whether or not plated or clad with precious metal 7114.20.00 Of base metal clad with precious metal 7115.10.00 Catalysts in the form of wire cloth or grill, of platinum 7115.90.00 Other 7116.10.00 Of natural or cultured pearls 7116.20.10 Produced in Canada more than 25 years prior to the date of accounting 7116.20.90 Other 7117.11.00 Cuff-links and studs 7117.19.10 Brass chain, set with</w:t>
      </w:r>
    </w:p>
    <w:p>
      <w:pPr>
        <w:pStyle w:val="Normal"/>
      </w:pPr>
      <w:r>
        <w:t>rhinestones, for use in the manufacture of jewellery; Paua shells in metal settings; Ornaments for use in the manufacture of footwear or footwear fittings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7117.19.90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7118.10.00</w:t>
            </w:r>
          </w:p>
        </w:tc>
        <w:tc>
          <w:tcPr>
            <w:tcW w:w="4679" w:type="dxa"/>
            <w:tcMar>
              <w:top w:w="70" w:type="dxa"/>
              <w:start w:w="110" w:type="dxa"/>
              <w:bottom w:w="70" w:type="dxa"/>
              <w:end w:w="110" w:type="dxa"/>
            </w:tcMar>
            <w:vAlign w:val="center"/>
          </w:tcPr>
          <w:p>
            <w:pPr>
              <w:pStyle w:val="TableText"/>
              <w:jc w:val="left"/>
            </w:pPr>
            <w:r>
              <w:rPr>
                <w:lang w:val="en-US" w:eastAsia="en-US" w:bidi="ar-SA"/>
              </w:rPr>
              <w:t>Coin (other than gold coin), not being legal tender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7118.90.00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7201.10.00</w:t>
            </w:r>
          </w:p>
        </w:tc>
        <w:tc>
          <w:tcPr>
            <w:tcW w:w="4679" w:type="dxa"/>
            <w:tcMar>
              <w:top w:w="70" w:type="dxa"/>
              <w:start w:w="110" w:type="dxa"/>
              <w:bottom w:w="70" w:type="dxa"/>
              <w:end w:w="110" w:type="dxa"/>
            </w:tcMar>
            <w:vAlign w:val="center"/>
          </w:tcPr>
          <w:p>
            <w:pPr>
              <w:pStyle w:val="TableText"/>
              <w:jc w:val="left"/>
            </w:pPr>
            <w:r>
              <w:rPr>
                <w:lang w:val="en-US" w:eastAsia="en-US" w:bidi="ar-SA"/>
              </w:rPr>
              <w:t>Non-alloy pig iron containing by weight 0.5% or less of phosphorus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Non-alloy pig iron containing by weight more than 0.5% of phosphorus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7201.50.00</w:t>
            </w:r>
          </w:p>
        </w:tc>
        <w:tc>
          <w:tcPr>
            <w:tcW w:w="4679" w:type="dxa"/>
            <w:tcMar>
              <w:top w:w="70" w:type="dxa"/>
              <w:start w:w="110" w:type="dxa"/>
              <w:bottom w:w="70" w:type="dxa"/>
              <w:end w:w="110" w:type="dxa"/>
            </w:tcMar>
            <w:vAlign w:val="center"/>
          </w:tcPr>
          <w:p>
            <w:pPr>
              <w:pStyle w:val="TableText"/>
              <w:jc w:val="left"/>
            </w:pPr>
            <w:r>
              <w:rPr>
                <w:lang w:val="en-US" w:eastAsia="en-US" w:bidi="ar-SA"/>
              </w:rPr>
              <w:t>Alloy pig iron; spiegeleisen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more than 2% of carbon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more than 55% of silicon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Ferro-silico-manganese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7202.41.00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by weight more than 4% of carbon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7202.50.00</w:t>
            </w:r>
          </w:p>
        </w:tc>
        <w:tc>
          <w:tcPr>
            <w:tcW w:w="4679" w:type="dxa"/>
            <w:tcMar>
              <w:top w:w="70" w:type="dxa"/>
              <w:start w:w="110" w:type="dxa"/>
              <w:bottom w:w="70" w:type="dxa"/>
              <w:end w:w="110" w:type="dxa"/>
            </w:tcMar>
            <w:vAlign w:val="center"/>
          </w:tcPr>
          <w:p>
            <w:pPr>
              <w:pStyle w:val="TableText"/>
              <w:jc w:val="left"/>
            </w:pPr>
            <w:r>
              <w:rPr>
                <w:lang w:val="en-US" w:eastAsia="en-US" w:bidi="ar-SA"/>
              </w:rPr>
              <w:t>Ferro-silico-chromium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Ferro-nickel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7202.70.00</w:t>
            </w:r>
          </w:p>
        </w:tc>
        <w:tc>
          <w:tcPr>
            <w:tcW w:w="4679" w:type="dxa"/>
            <w:tcMar>
              <w:top w:w="70" w:type="dxa"/>
              <w:start w:w="110" w:type="dxa"/>
              <w:bottom w:w="70" w:type="dxa"/>
              <w:end w:w="110" w:type="dxa"/>
            </w:tcMar>
            <w:vAlign w:val="center"/>
          </w:tcPr>
          <w:p>
            <w:pPr>
              <w:pStyle w:val="TableText"/>
              <w:jc w:val="left"/>
            </w:pPr>
            <w:r>
              <w:rPr>
                <w:lang w:val="en-US" w:eastAsia="en-US" w:bidi="ar-SA"/>
              </w:rPr>
              <w:t>Ferro-molybdenum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Ferro-tungsten and ferro-silico-tungsten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7202.91.00</w:t>
            </w:r>
          </w:p>
        </w:tc>
        <w:tc>
          <w:tcPr>
            <w:tcW w:w="4679" w:type="dxa"/>
            <w:tcMar>
              <w:top w:w="70" w:type="dxa"/>
              <w:start w:w="110" w:type="dxa"/>
              <w:bottom w:w="70" w:type="dxa"/>
              <w:end w:w="110" w:type="dxa"/>
            </w:tcMar>
            <w:vAlign w:val="center"/>
          </w:tcPr>
          <w:p>
            <w:pPr>
              <w:pStyle w:val="TableText"/>
              <w:jc w:val="left"/>
            </w:pPr>
            <w:r>
              <w:rPr>
                <w:lang w:val="en-US" w:eastAsia="en-US" w:bidi="ar-SA"/>
              </w:rPr>
              <w:t>Ferro-titanium and ferro-silico-titanium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Ferro-vanadium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7202.93.00</w:t>
            </w:r>
          </w:p>
        </w:tc>
        <w:tc>
          <w:tcPr>
            <w:tcW w:w="4679" w:type="dxa"/>
            <w:tcMar>
              <w:top w:w="70" w:type="dxa"/>
              <w:start w:w="110" w:type="dxa"/>
              <w:bottom w:w="70" w:type="dxa"/>
              <w:end w:w="110" w:type="dxa"/>
            </w:tcMar>
            <w:vAlign w:val="center"/>
          </w:tcPr>
          <w:p>
            <w:pPr>
              <w:pStyle w:val="TableText"/>
              <w:jc w:val="left"/>
            </w:pPr>
            <w:r>
              <w:rPr>
                <w:lang w:val="en-US" w:eastAsia="en-US" w:bidi="ar-SA"/>
              </w:rPr>
              <w:t>Ferro-niobium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7203.10.00</w:t>
            </w:r>
          </w:p>
        </w:tc>
        <w:tc>
          <w:tcPr>
            <w:tcW w:w="4679" w:type="dxa"/>
            <w:tcMar>
              <w:top w:w="70" w:type="dxa"/>
              <w:start w:w="110" w:type="dxa"/>
              <w:bottom w:w="70" w:type="dxa"/>
              <w:end w:w="110" w:type="dxa"/>
            </w:tcMar>
            <w:vAlign w:val="center"/>
          </w:tcPr>
          <w:p>
            <w:pPr>
              <w:pStyle w:val="TableText"/>
              <w:jc w:val="left"/>
            </w:pPr>
            <w:r>
              <w:rPr>
                <w:lang w:val="en-US" w:eastAsia="en-US" w:bidi="ar-SA"/>
              </w:rPr>
              <w:t>Ferrous products obtained by direct reduction of iron 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7204.10.00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 of cast iron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stainless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 of tinned iron or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7204.41.00</w:t>
            </w:r>
          </w:p>
        </w:tc>
        <w:tc>
          <w:tcPr>
            <w:tcW w:w="4679" w:type="dxa"/>
            <w:tcMar>
              <w:top w:w="70" w:type="dxa"/>
              <w:start w:w="110" w:type="dxa"/>
              <w:bottom w:w="70" w:type="dxa"/>
              <w:end w:w="110" w:type="dxa"/>
            </w:tcMar>
            <w:vAlign w:val="center"/>
          </w:tcPr>
          <w:p>
            <w:pPr>
              <w:pStyle w:val="TableText"/>
              <w:jc w:val="left"/>
            </w:pPr>
            <w:r>
              <w:rPr>
                <w:lang w:val="en-US" w:eastAsia="en-US" w:bidi="ar-SA"/>
              </w:rPr>
              <w:t>Turnings, shavings, chips, milling waste, sawdust, filings, trimmings and stampings, whether or not in bundles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7204.49.00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7204.50.00</w:t>
            </w:r>
          </w:p>
        </w:tc>
        <w:tc>
          <w:tcPr>
            <w:tcW w:w="4679" w:type="dxa"/>
            <w:tcMar>
              <w:top w:w="70" w:type="dxa"/>
              <w:start w:w="110" w:type="dxa"/>
              <w:bottom w:w="70" w:type="dxa"/>
              <w:end w:w="110" w:type="dxa"/>
            </w:tcMar>
            <w:vAlign w:val="center"/>
          </w:tcPr>
          <w:p>
            <w:pPr>
              <w:pStyle w:val="TableText"/>
              <w:jc w:val="left"/>
            </w:pPr>
            <w:r>
              <w:rPr>
                <w:lang w:val="en-US" w:eastAsia="en-US" w:bidi="ar-SA"/>
              </w:rPr>
              <w:t>Remelting scrap ingots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Granules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7205.21.00</w:t>
            </w:r>
          </w:p>
        </w:tc>
        <w:tc>
          <w:tcPr>
            <w:tcW w:w="4679" w:type="dxa"/>
            <w:tcMar>
              <w:top w:w="70" w:type="dxa"/>
              <w:start w:w="110" w:type="dxa"/>
              <w:bottom w:w="70" w:type="dxa"/>
              <w:end w:w="110" w:type="dxa"/>
            </w:tcMar>
            <w:vAlign w:val="center"/>
          </w:tcPr>
          <w:p>
            <w:pPr>
              <w:pStyle w:val="TableText"/>
              <w:jc w:val="left"/>
            </w:pPr>
            <w:r>
              <w:rPr>
                <w:lang w:val="en-US" w:eastAsia="en-US" w:bidi="ar-SA"/>
              </w:rPr>
              <w:t>Of alloy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7206.10.00</w:t>
            </w:r>
          </w:p>
        </w:tc>
        <w:tc>
          <w:tcPr>
            <w:tcW w:w="4679" w:type="dxa"/>
            <w:tcMar>
              <w:top w:w="70" w:type="dxa"/>
              <w:start w:w="110" w:type="dxa"/>
              <w:bottom w:w="70" w:type="dxa"/>
              <w:end w:w="110" w:type="dxa"/>
            </w:tcMar>
            <w:vAlign w:val="center"/>
          </w:tcPr>
          <w:p>
            <w:pPr>
              <w:pStyle w:val="TableText"/>
              <w:jc w:val="left"/>
            </w:pPr>
            <w:r>
              <w:rPr>
                <w:lang w:val="en-US" w:eastAsia="en-US" w:bidi="ar-SA"/>
              </w:rPr>
              <w:t>Ingots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7207.11.00</w:t>
            </w:r>
          </w:p>
        </w:tc>
        <w:tc>
          <w:tcPr>
            <w:tcW w:w="4679" w:type="dxa"/>
            <w:tcMar>
              <w:top w:w="70" w:type="dxa"/>
              <w:start w:w="110" w:type="dxa"/>
              <w:bottom w:w="70" w:type="dxa"/>
              <w:end w:w="110" w:type="dxa"/>
            </w:tcMar>
            <w:vAlign w:val="center"/>
          </w:tcPr>
          <w:p>
            <w:pPr>
              <w:pStyle w:val="TableText"/>
              <w:jc w:val="left"/>
            </w:pPr>
            <w:r>
              <w:rPr>
                <w:lang w:val="en-US" w:eastAsia="en-US" w:bidi="ar-SA"/>
              </w:rPr>
              <w:t>Of rectangular</w:t>
            </w:r>
          </w:p>
        </w:tc>
      </w:tr>
    </w:tbl>
    <w:p>
      <w:pPr>
        <w:pStyle w:val="Normal"/>
      </w:pPr>
      <w:r>
        <w:t>(including square) cross-section, the width measuring less than twice the thickness 7207.12.00 Other, of rectangular (other than square) cross-section 7207.19.00 Other 7207.20.00 Containing by weight 0.25% or more of carbon 7208.10.00 In coils, not further worked than hot-rolled, with patterns in relief 7208.25.00 Of a thickness of 4.75 mm or more 7208.26.00 Of a thickness of 3 mm or more but less than 4.75 mm 7208.27.00 Of a thickness of less than 3 mm 7208.36.00 Of a thickness exceeding 10 mm 7208.37.00 Of a thickness of 4.75 mm or more but not exceeding 10 mm 7208.38.00 Of a thickness of 3 mm or more but less than 4.75 mm 7208.39.00 Of a thickness of less than 3 mm 7208.40.00 Not in coils, not further worked than hot-rolled, with patterns in relief 7208.51.00 Of a thickness exceeding 10 mm 7208.52.00 Of a thickness of 4.75 mm or more but not exceeding 10 mm 7208.53.00 Of a thickness of 3 mm or more but less than 4.75 mm 7208.54.00 Of a thickness of less than 3 mm 7208.90.00 Other</w:t>
      </w:r>
    </w:p>
    <w:p>
      <w:pPr>
        <w:pStyle w:val="Normal"/>
      </w:pPr>
      <w:r>
        <w:t>7209.15.00 Of a thickness of 3 mm or more 7209.16.00 Of a thickness exceeding 1 mm but less than 3 mm 7209.17.00 Of a thickness of 0.5 mm or more but not exceeding 1 mm 7209.18.00 Of a thickness of less than 0.5 mm 7209.25.00 Of a thickness of 3 mm or more 7209.26.00 Of a thickness exceeding 1 mm but less than 3 mm 7209.27.00 Of a thickness of 0.5 mm or more but not exceeding 1 mm 7209.28.00 Of a thickness of less than 0.5 mm 7209.90.00 Other 7210.11.00 Of a thickness of 0.5 mm or more 7210.12.00</w:t>
      </w:r>
    </w:p>
    <w:p>
      <w:pPr>
        <w:pStyle w:val="Normal"/>
      </w:pPr>
      <w:r>
        <w:t>Of a thickness of less than 0.5 mm 7210.20.00 Plated or coated with lead, including terne-plate 7210.30.00 Electrolytically plated or coated with zinc 7210.41.00 Corrugated 7210.49.00 Other 7210.50.00 Plated or coated with chromium oxides or with chromium and chromium oxides 7210.61.00 Plated or coated with aluminum-zinc alloys 7210.69.00 Other 7210.70.00 Painted, varnished or coated with plastics 7210.90.00 Other 7211.13.00 Rolled on four faces or in a closed box pass, of a width exceeding 150 mm and a thickness of not less than 4 mm, not in coils and without patterns in relief 7211.14.00 Other, of a thickness of 4.75 mm or more 7211.19.00 Other 7211.23.00 Containing by weight less than 0.25% of carbon 7211.29.00 Other 7211.90.00 Other 7212.10.00 Plated or coated with tin 7212.20.00 Electrolytically plated or coated with zinc 7212.30.00 Otherwise plated or coated with zinc 7212.40.00 Painted, varnished or coated with plastics 7212.50.00 Otherwise plated or coated 7212.60.00 Clad 7213.10.00 Containing indentations, ribs, grooves or other deformations produced during the rolling process 7213.20.00 Other, of free-cutting steel 7213.91.00 Of circular cross-section measuring less than 14 mm in diameter</w:t>
      </w:r>
    </w:p>
    <w:p>
      <w:pPr>
        <w:pStyle w:val="Normal"/>
      </w:pPr>
      <w:r>
        <w:t>7213.99.00 Other 7214.10.00 Forged 7214.20.00 Containing indentations, ribs, grooves or other deformations produced during the rolling process or twisted after rolling 7214.30.00 Other, of free-cutting steel 7214.91.00 Of rectangular (other than square) cross-section 7214.99.00</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7215.10.00</w:t>
            </w:r>
          </w:p>
        </w:tc>
        <w:tc>
          <w:tcPr>
            <w:tcW w:w="4679" w:type="dxa"/>
            <w:tcMar>
              <w:top w:w="70" w:type="dxa"/>
              <w:start w:w="110" w:type="dxa"/>
              <w:bottom w:w="70" w:type="dxa"/>
              <w:end w:w="110" w:type="dxa"/>
            </w:tcMar>
            <w:vAlign w:val="center"/>
          </w:tcPr>
          <w:p>
            <w:pPr>
              <w:pStyle w:val="TableText"/>
              <w:jc w:val="left"/>
            </w:pPr>
            <w:r>
              <w:rPr>
                <w:lang w:val="en-US" w:eastAsia="en-US" w:bidi="ar-SA"/>
              </w:rPr>
              <w:t>Other Of free-cutting steel, not further worked than cold-formed or cold- finished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not further worked than cold-formed or cold-finished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 I or H sections, not further worked than hot-rolled, hot-drawn or extruded, of a height of less than 80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7216.21.00</w:t>
            </w:r>
          </w:p>
        </w:tc>
        <w:tc>
          <w:tcPr>
            <w:tcW w:w="4679" w:type="dxa"/>
            <w:tcMar>
              <w:top w:w="70" w:type="dxa"/>
              <w:start w:w="110" w:type="dxa"/>
              <w:bottom w:w="70" w:type="dxa"/>
              <w:end w:w="110" w:type="dxa"/>
            </w:tcMar>
            <w:vAlign w:val="center"/>
          </w:tcPr>
          <w:p>
            <w:pPr>
              <w:pStyle w:val="TableText"/>
              <w:jc w:val="left"/>
            </w:pPr>
            <w:r>
              <w:rPr>
                <w:lang w:val="en-US" w:eastAsia="en-US" w:bidi="ar-SA"/>
              </w:rPr>
              <w:t>L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 sections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7216.31.00</w:t>
            </w:r>
          </w:p>
        </w:tc>
        <w:tc>
          <w:tcPr>
            <w:tcW w:w="4679" w:type="dxa"/>
            <w:tcMar>
              <w:top w:w="70" w:type="dxa"/>
              <w:start w:w="110" w:type="dxa"/>
              <w:bottom w:w="70" w:type="dxa"/>
              <w:end w:w="110" w:type="dxa"/>
            </w:tcMar>
            <w:vAlign w:val="center"/>
          </w:tcPr>
          <w:p>
            <w:pPr>
              <w:pStyle w:val="TableText"/>
              <w:jc w:val="left"/>
            </w:pPr>
            <w:r>
              <w:rPr>
                <w:lang w:val="en-US" w:eastAsia="en-US" w:bidi="ar-SA"/>
              </w:rPr>
              <w:t>U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 sections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7216.33.00</w:t>
            </w:r>
          </w:p>
        </w:tc>
        <w:tc>
          <w:tcPr>
            <w:tcW w:w="4679" w:type="dxa"/>
            <w:tcMar>
              <w:top w:w="70" w:type="dxa"/>
              <w:start w:w="110" w:type="dxa"/>
              <w:bottom w:w="70" w:type="dxa"/>
              <w:end w:w="110" w:type="dxa"/>
            </w:tcMar>
            <w:vAlign w:val="center"/>
          </w:tcPr>
          <w:p>
            <w:pPr>
              <w:pStyle w:val="TableText"/>
              <w:jc w:val="left"/>
            </w:pPr>
            <w:r>
              <w:rPr>
                <w:lang w:val="en-US" w:eastAsia="en-US" w:bidi="ar-SA"/>
              </w:rPr>
              <w:t>H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 or T sections, not further worked than hot-rolled, hot-drawn or extruded, of a height of 80 mm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7216.50.00</w:t>
            </w:r>
          </w:p>
        </w:tc>
        <w:tc>
          <w:tcPr>
            <w:tcW w:w="4679" w:type="dxa"/>
            <w:tcMar>
              <w:top w:w="70" w:type="dxa"/>
              <w:start w:w="110" w:type="dxa"/>
              <w:bottom w:w="70" w:type="dxa"/>
              <w:end w:w="110" w:type="dxa"/>
            </w:tcMar>
            <w:vAlign w:val="center"/>
          </w:tcPr>
          <w:p>
            <w:pPr>
              <w:pStyle w:val="TableText"/>
              <w:jc w:val="left"/>
            </w:pPr>
            <w:r>
              <w:rPr>
                <w:lang w:val="en-US" w:eastAsia="en-US" w:bidi="ar-SA"/>
              </w:rPr>
              <w:t>Other angles, shapes and sections, not further worked than hot- rolled, hot-drawn or extruded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Obtained from flat-rolled products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Cold-formed or cold-finished from flat-rolled products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plated or coated, whether or not polished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7217.20.00</w:t>
            </w:r>
          </w:p>
        </w:tc>
        <w:tc>
          <w:tcPr>
            <w:tcW w:w="4679" w:type="dxa"/>
            <w:tcMar>
              <w:top w:w="70" w:type="dxa"/>
              <w:start w:w="110" w:type="dxa"/>
              <w:bottom w:w="70" w:type="dxa"/>
              <w:end w:w="110" w:type="dxa"/>
            </w:tcMar>
            <w:vAlign w:val="center"/>
          </w:tcPr>
          <w:p>
            <w:pPr>
              <w:pStyle w:val="TableText"/>
              <w:jc w:val="left"/>
            </w:pPr>
            <w:r>
              <w:rPr>
                <w:lang w:val="en-US" w:eastAsia="en-US" w:bidi="ar-SA"/>
              </w:rPr>
              <w:t>Plated or coated with zinc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Plated or coated with other base metals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7217.90.00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Ingots and other primary forms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7218.91.00</w:t>
            </w:r>
          </w:p>
        </w:tc>
        <w:tc>
          <w:tcPr>
            <w:tcW w:w="4679" w:type="dxa"/>
            <w:tcMar>
              <w:top w:w="70" w:type="dxa"/>
              <w:start w:w="110" w:type="dxa"/>
              <w:bottom w:w="70" w:type="dxa"/>
              <w:end w:w="110" w:type="dxa"/>
            </w:tcMar>
            <w:vAlign w:val="center"/>
          </w:tcPr>
          <w:p>
            <w:pPr>
              <w:pStyle w:val="TableText"/>
              <w:jc w:val="left"/>
            </w:pPr>
            <w:r>
              <w:rPr>
                <w:lang w:val="en-US" w:eastAsia="en-US" w:bidi="ar-SA"/>
              </w:rPr>
              <w:t>Of rectangular (other than square) cross-section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7218.99.00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7219.11.00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exceeding 10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4.75 mm or more but not exceeding 10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7219.13.00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of 3 mm or more but less than 4.75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less than 3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7219.21.00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exceeding 10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4.75 mm or more but not exceeding 10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7219.23.00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of 3 mm or more but less than 4.75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less than 3 mm</w:t>
            </w:r>
          </w:p>
        </w:tc>
      </w:tr>
    </w:tbl>
    <w:p>
      <w:pPr>
        <w:pStyle w:val="Normal"/>
      </w:pPr>
      <w:r>
        <w:t>7219.31.00 Of a thickness of 4.75 mm or more 7219.32.00 Of a thickness of 3 mm or more but less than 4.75 mm 7219.33.00 Of a thickness exceeding 1 mm but less than 3 mm 7219.34.00 Of a thickness of 0.5 mm or more but not exceeding 1 mm 7219.35.00 Of a thickness of less than 0.5 mm 7219.90.00 Other 7220.11.00 Of a thickness of 4.75 mm or more 7220.12.00 Of a thickness of less than 4.75 mm 7220.20.00 Not further worked than cold-rolled (cold-reduced) 7220.90.00 Other 7221.00.00 Bars and rods, hot-rolled, in irregularly wound coils, of stainless steel. 7222.11.00 Of circular cross-section 7222.19.00 Other 7222.20.00 Bars and rods, not further worked than cold-formed or cold- finished 7222.30.00 Other bars and rods 7222.40.00 Angles, shapes and sections 7223.00.00 Wire of stainless steel.</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7224.10.00</w:t>
            </w:r>
          </w:p>
        </w:tc>
        <w:tc>
          <w:tcPr>
            <w:tcW w:w="4679" w:type="dxa"/>
            <w:tcMar>
              <w:top w:w="70" w:type="dxa"/>
              <w:start w:w="110" w:type="dxa"/>
              <w:bottom w:w="70" w:type="dxa"/>
              <w:end w:w="110" w:type="dxa"/>
            </w:tcMar>
            <w:vAlign w:val="center"/>
          </w:tcPr>
          <w:p>
            <w:pPr>
              <w:pStyle w:val="TableText"/>
              <w:jc w:val="left"/>
            </w:pPr>
            <w:r>
              <w:rPr>
                <w:lang w:val="en-US" w:eastAsia="en-US" w:bidi="ar-SA"/>
              </w:rPr>
              <w:t>Ingots and other primary forms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7225.11.00</w:t>
            </w:r>
          </w:p>
        </w:tc>
        <w:tc>
          <w:tcPr>
            <w:tcW w:w="4679" w:type="dxa"/>
            <w:tcMar>
              <w:top w:w="70" w:type="dxa"/>
              <w:start w:w="110" w:type="dxa"/>
              <w:bottom w:w="70" w:type="dxa"/>
              <w:end w:w="110" w:type="dxa"/>
            </w:tcMar>
            <w:vAlign w:val="center"/>
          </w:tcPr>
          <w:p>
            <w:pPr>
              <w:pStyle w:val="TableText"/>
              <w:jc w:val="left"/>
            </w:pPr>
            <w:r>
              <w:rPr>
                <w:lang w:val="en-US" w:eastAsia="en-US" w:bidi="ar-SA"/>
              </w:rPr>
              <w:t>Grain-oriented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7225.30.00</w:t>
            </w:r>
          </w:p>
        </w:tc>
        <w:tc>
          <w:tcPr>
            <w:tcW w:w="4679" w:type="dxa"/>
            <w:tcMar>
              <w:top w:w="70" w:type="dxa"/>
              <w:start w:w="110" w:type="dxa"/>
              <w:bottom w:w="70" w:type="dxa"/>
              <w:end w:w="110" w:type="dxa"/>
            </w:tcMar>
            <w:vAlign w:val="center"/>
          </w:tcPr>
          <w:p>
            <w:pPr>
              <w:pStyle w:val="TableText"/>
              <w:jc w:val="left"/>
            </w:pPr>
            <w:r>
              <w:rPr>
                <w:lang w:val="en-US" w:eastAsia="en-US" w:bidi="ar-SA"/>
              </w:rPr>
              <w:t>Other, not further worked than hot-rolled, in coils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not further worked than hot-rolled, not 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7225.50.00</w:t>
            </w:r>
          </w:p>
        </w:tc>
        <w:tc>
          <w:tcPr>
            <w:tcW w:w="4679" w:type="dxa"/>
            <w:tcMar>
              <w:top w:w="70" w:type="dxa"/>
              <w:start w:w="110" w:type="dxa"/>
              <w:bottom w:w="70" w:type="dxa"/>
              <w:end w:w="110" w:type="dxa"/>
            </w:tcMar>
            <w:vAlign w:val="center"/>
          </w:tcPr>
          <w:p>
            <w:pPr>
              <w:pStyle w:val="TableText"/>
              <w:jc w:val="left"/>
            </w:pPr>
            <w:r>
              <w:rPr>
                <w:lang w:val="en-US" w:eastAsia="en-US" w:bidi="ar-SA"/>
              </w:rPr>
              <w:t>Other, not further worked than cold-rolled (cold-reduced)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Electrolytically plated or coated with zinc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7225.92.00</w:t>
            </w:r>
          </w:p>
        </w:tc>
        <w:tc>
          <w:tcPr>
            <w:tcW w:w="4679" w:type="dxa"/>
            <w:tcMar>
              <w:top w:w="70" w:type="dxa"/>
              <w:start w:w="110" w:type="dxa"/>
              <w:bottom w:w="70" w:type="dxa"/>
              <w:end w:w="110" w:type="dxa"/>
            </w:tcMar>
            <w:vAlign w:val="center"/>
          </w:tcPr>
          <w:p>
            <w:pPr>
              <w:pStyle w:val="TableText"/>
              <w:jc w:val="left"/>
            </w:pPr>
            <w:r>
              <w:rPr>
                <w:lang w:val="en-US" w:eastAsia="en-US" w:bidi="ar-SA"/>
              </w:rPr>
              <w:t>Otherwise plated or coated with zinc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7226.11.00</w:t>
            </w:r>
          </w:p>
        </w:tc>
        <w:tc>
          <w:tcPr>
            <w:tcW w:w="4679" w:type="dxa"/>
            <w:tcMar>
              <w:top w:w="70" w:type="dxa"/>
              <w:start w:w="110" w:type="dxa"/>
              <w:bottom w:w="70" w:type="dxa"/>
              <w:end w:w="110" w:type="dxa"/>
            </w:tcMar>
            <w:vAlign w:val="center"/>
          </w:tcPr>
          <w:p>
            <w:pPr>
              <w:pStyle w:val="TableText"/>
              <w:jc w:val="left"/>
            </w:pPr>
            <w:r>
              <w:rPr>
                <w:lang w:val="en-US" w:eastAsia="en-US" w:bidi="ar-SA"/>
              </w:rPr>
              <w:t>Grain-oriented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7226.19.00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7226.20.00</w:t>
            </w:r>
          </w:p>
        </w:tc>
        <w:tc>
          <w:tcPr>
            <w:tcW w:w="4679" w:type="dxa"/>
            <w:tcMar>
              <w:top w:w="70" w:type="dxa"/>
              <w:start w:w="110" w:type="dxa"/>
              <w:bottom w:w="70" w:type="dxa"/>
              <w:end w:w="110" w:type="dxa"/>
            </w:tcMar>
            <w:vAlign w:val="center"/>
          </w:tcPr>
          <w:p>
            <w:pPr>
              <w:pStyle w:val="TableText"/>
              <w:jc w:val="left"/>
            </w:pPr>
            <w:r>
              <w:rPr>
                <w:lang w:val="en-US" w:eastAsia="en-US" w:bidi="ar-SA"/>
              </w:rPr>
              <w:t>Of high speed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7226.91.00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further worked than hot-rolled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7226.92.00</w:t>
            </w:r>
          </w:p>
        </w:tc>
        <w:tc>
          <w:tcPr>
            <w:tcW w:w="4679" w:type="dxa"/>
            <w:tcMar>
              <w:top w:w="70" w:type="dxa"/>
              <w:start w:w="110" w:type="dxa"/>
              <w:bottom w:w="70" w:type="dxa"/>
              <w:end w:w="110" w:type="dxa"/>
            </w:tcMar>
            <w:vAlign w:val="center"/>
          </w:tcPr>
          <w:p>
            <w:pPr>
              <w:pStyle w:val="TableText"/>
              <w:jc w:val="left"/>
            </w:pPr>
            <w:r>
              <w:rPr>
                <w:lang w:val="en-US" w:eastAsia="en-US" w:bidi="ar-SA"/>
              </w:rPr>
              <w:t>Not further worked than cold-rolled (cold-reduced)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7227.10.00</w:t>
            </w:r>
          </w:p>
        </w:tc>
        <w:tc>
          <w:tcPr>
            <w:tcW w:w="4679" w:type="dxa"/>
            <w:tcMar>
              <w:top w:w="70" w:type="dxa"/>
              <w:start w:w="110" w:type="dxa"/>
              <w:bottom w:w="70" w:type="dxa"/>
              <w:end w:w="110" w:type="dxa"/>
            </w:tcMar>
            <w:vAlign w:val="center"/>
          </w:tcPr>
          <w:p>
            <w:pPr>
              <w:pStyle w:val="TableText"/>
              <w:jc w:val="left"/>
            </w:pPr>
            <w:r>
              <w:rPr>
                <w:lang w:val="en-US" w:eastAsia="en-US" w:bidi="ar-SA"/>
              </w:rPr>
              <w:t>Of high speed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silico-manganese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7227.90.00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7228.10.00</w:t>
            </w:r>
          </w:p>
        </w:tc>
        <w:tc>
          <w:tcPr>
            <w:tcW w:w="4679" w:type="dxa"/>
            <w:tcMar>
              <w:top w:w="70" w:type="dxa"/>
              <w:start w:w="110" w:type="dxa"/>
              <w:bottom w:w="70" w:type="dxa"/>
              <w:end w:w="110" w:type="dxa"/>
            </w:tcMar>
            <w:vAlign w:val="center"/>
          </w:tcPr>
          <w:p>
            <w:pPr>
              <w:pStyle w:val="TableText"/>
              <w:jc w:val="left"/>
            </w:pPr>
            <w:r>
              <w:rPr>
                <w:lang w:val="en-US" w:eastAsia="en-US" w:bidi="ar-SA"/>
              </w:rPr>
              <w:t>Bars and rods, of high speed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Bars and rods, of silico-manganese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7228.30.00</w:t>
            </w:r>
          </w:p>
        </w:tc>
        <w:tc>
          <w:tcPr>
            <w:tcW w:w="4679" w:type="dxa"/>
            <w:tcMar>
              <w:top w:w="70" w:type="dxa"/>
              <w:start w:w="110" w:type="dxa"/>
              <w:bottom w:w="70" w:type="dxa"/>
              <w:end w:w="110" w:type="dxa"/>
            </w:tcMar>
            <w:vAlign w:val="center"/>
          </w:tcPr>
          <w:p>
            <w:pPr>
              <w:pStyle w:val="TableText"/>
              <w:jc w:val="left"/>
            </w:pPr>
            <w:r>
              <w:rPr>
                <w:lang w:val="en-US" w:eastAsia="en-US" w:bidi="ar-SA"/>
              </w:rPr>
              <w:t>Other bars and rods, not further worked than hot-rolled, hot- drawn or extruded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bars and rods, not further worked than forged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7228.50.00</w:t>
            </w:r>
          </w:p>
        </w:tc>
        <w:tc>
          <w:tcPr>
            <w:tcW w:w="4679" w:type="dxa"/>
            <w:tcMar>
              <w:top w:w="70" w:type="dxa"/>
              <w:start w:w="110" w:type="dxa"/>
              <w:bottom w:w="70" w:type="dxa"/>
              <w:end w:w="110" w:type="dxa"/>
            </w:tcMar>
            <w:vAlign w:val="center"/>
          </w:tcPr>
          <w:p>
            <w:pPr>
              <w:pStyle w:val="TableText"/>
              <w:jc w:val="left"/>
            </w:pPr>
            <w:r>
              <w:rPr>
                <w:lang w:val="en-US" w:eastAsia="en-US" w:bidi="ar-SA"/>
              </w:rPr>
              <w:t>Other bars and rods, not further worked than cold-formed or cold- finished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bars and rods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7228.70.00</w:t>
            </w:r>
          </w:p>
        </w:tc>
        <w:tc>
          <w:tcPr>
            <w:tcW w:w="4679" w:type="dxa"/>
            <w:tcMar>
              <w:top w:w="70" w:type="dxa"/>
              <w:start w:w="110" w:type="dxa"/>
              <w:bottom w:w="70" w:type="dxa"/>
              <w:end w:w="110" w:type="dxa"/>
            </w:tcMar>
            <w:vAlign w:val="center"/>
          </w:tcPr>
          <w:p>
            <w:pPr>
              <w:pStyle w:val="TableText"/>
              <w:jc w:val="left"/>
            </w:pPr>
            <w:r>
              <w:rPr>
                <w:lang w:val="en-US" w:eastAsia="en-US" w:bidi="ar-SA"/>
              </w:rPr>
              <w:t>Angles, shapes and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Hollow drill bars and rods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7229.20.00</w:t>
            </w:r>
          </w:p>
        </w:tc>
        <w:tc>
          <w:tcPr>
            <w:tcW w:w="4679" w:type="dxa"/>
            <w:tcMar>
              <w:top w:w="70" w:type="dxa"/>
              <w:start w:w="110" w:type="dxa"/>
              <w:bottom w:w="70" w:type="dxa"/>
              <w:end w:w="110" w:type="dxa"/>
            </w:tcMar>
            <w:vAlign w:val="center"/>
          </w:tcPr>
          <w:p>
            <w:pPr>
              <w:pStyle w:val="TableText"/>
              <w:jc w:val="left"/>
            </w:pPr>
            <w:r>
              <w:rPr>
                <w:lang w:val="en-US" w:eastAsia="en-US" w:bidi="ar-SA"/>
              </w:rPr>
              <w:t>Of silico-manganese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7301.10.00</w:t>
            </w:r>
          </w:p>
        </w:tc>
        <w:tc>
          <w:tcPr>
            <w:tcW w:w="4679" w:type="dxa"/>
            <w:tcMar>
              <w:top w:w="70" w:type="dxa"/>
              <w:start w:w="110" w:type="dxa"/>
              <w:bottom w:w="70" w:type="dxa"/>
              <w:end w:w="110" w:type="dxa"/>
            </w:tcMar>
            <w:vAlign w:val="center"/>
          </w:tcPr>
          <w:p>
            <w:pPr>
              <w:pStyle w:val="TableText"/>
              <w:jc w:val="left"/>
            </w:pPr>
            <w:r>
              <w:rPr>
                <w:lang w:val="en-US" w:eastAsia="en-US" w:bidi="ar-SA"/>
              </w:rPr>
              <w:t>Sheet piling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Angles, shapes and sections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7302.10.00</w:t>
            </w:r>
          </w:p>
        </w:tc>
        <w:tc>
          <w:tcPr>
            <w:tcW w:w="4679" w:type="dxa"/>
            <w:tcMar>
              <w:top w:w="70" w:type="dxa"/>
              <w:start w:w="110" w:type="dxa"/>
              <w:bottom w:w="70" w:type="dxa"/>
              <w:end w:w="110" w:type="dxa"/>
            </w:tcMar>
            <w:vAlign w:val="center"/>
          </w:tcPr>
          <w:p>
            <w:pPr>
              <w:pStyle w:val="TableText"/>
              <w:jc w:val="left"/>
            </w:pPr>
            <w:r>
              <w:rPr>
                <w:lang w:val="en-US" w:eastAsia="en-US" w:bidi="ar-SA"/>
              </w:rPr>
              <w:t>Rails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7302.30.10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with grooved or girder guard rail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7302.30.90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7302.40.00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Fish-plates and sole plates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Tubes, pipes and hollow profiles, of cast iron.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7304.11.00</w:t>
            </w:r>
          </w:p>
        </w:tc>
        <w:tc>
          <w:tcPr>
            <w:tcW w:w="4679" w:type="dxa"/>
            <w:tcMar>
              <w:top w:w="70" w:type="dxa"/>
              <w:start w:w="110" w:type="dxa"/>
              <w:bottom w:w="70" w:type="dxa"/>
              <w:end w:w="110" w:type="dxa"/>
            </w:tcMar>
            <w:vAlign w:val="center"/>
          </w:tcPr>
          <w:p>
            <w:pPr>
              <w:pStyle w:val="TableText"/>
              <w:jc w:val="left"/>
            </w:pPr>
            <w:r>
              <w:rPr>
                <w:lang w:val="en-US" w:eastAsia="en-US" w:bidi="ar-SA"/>
              </w:rPr>
              <w:t>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7304.22.00</w:t>
            </w:r>
          </w:p>
        </w:tc>
        <w:tc>
          <w:tcPr>
            <w:tcW w:w="4679" w:type="dxa"/>
            <w:tcMar>
              <w:top w:w="70" w:type="dxa"/>
              <w:start w:w="110" w:type="dxa"/>
              <w:bottom w:w="70" w:type="dxa"/>
              <w:end w:w="110" w:type="dxa"/>
            </w:tcMar>
            <w:vAlign w:val="center"/>
          </w:tcPr>
          <w:p>
            <w:pPr>
              <w:pStyle w:val="TableText"/>
              <w:jc w:val="left"/>
            </w:pPr>
            <w:r>
              <w:rPr>
                <w:lang w:val="en-US" w:eastAsia="en-US" w:bidi="ar-SA"/>
              </w:rPr>
              <w:t>Drill pipe 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drill pipe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7304.24.00</w:t>
            </w:r>
          </w:p>
        </w:tc>
        <w:tc>
          <w:tcPr>
            <w:tcW w:w="4679" w:type="dxa"/>
            <w:tcMar>
              <w:top w:w="70" w:type="dxa"/>
              <w:start w:w="110" w:type="dxa"/>
              <w:bottom w:w="70" w:type="dxa"/>
              <w:end w:w="110" w:type="dxa"/>
            </w:tcMar>
            <w:vAlign w:val="center"/>
          </w:tcPr>
          <w:p>
            <w:pPr>
              <w:pStyle w:val="TableText"/>
              <w:jc w:val="left"/>
            </w:pPr>
            <w:r>
              <w:rPr>
                <w:lang w:val="en-US" w:eastAsia="en-US" w:bidi="ar-SA"/>
              </w:rPr>
              <w:t>Other, 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7304.31.00</w:t>
            </w:r>
          </w:p>
        </w:tc>
        <w:tc>
          <w:tcPr>
            <w:tcW w:w="4679" w:type="dxa"/>
            <w:tcMar>
              <w:top w:w="70" w:type="dxa"/>
              <w:start w:w="110" w:type="dxa"/>
              <w:bottom w:w="70" w:type="dxa"/>
              <w:end w:w="110" w:type="dxa"/>
            </w:tcMar>
            <w:vAlign w:val="center"/>
          </w:tcPr>
          <w:p>
            <w:pPr>
              <w:pStyle w:val="TableText"/>
              <w:jc w:val="left"/>
            </w:pPr>
            <w:r>
              <w:rPr>
                <w:lang w:val="en-US" w:eastAsia="en-US" w:bidi="ar-SA"/>
              </w:rPr>
              <w:t>Cold-drawn or cold-rolled (cold-reduced)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7304.41.11</w:t>
            </w:r>
          </w:p>
        </w:tc>
        <w:tc>
          <w:tcPr>
            <w:tcW w:w="4679" w:type="dxa"/>
            <w:tcMar>
              <w:top w:w="70" w:type="dxa"/>
              <w:start w:w="110" w:type="dxa"/>
              <w:bottom w:w="70" w:type="dxa"/>
              <w:end w:w="110" w:type="dxa"/>
            </w:tcMar>
            <w:vAlign w:val="center"/>
          </w:tcPr>
          <w:p>
            <w:pPr>
              <w:pStyle w:val="TableText"/>
              <w:jc w:val="left"/>
            </w:pPr>
            <w:r>
              <w:rPr>
                <w:lang w:val="en-US" w:eastAsia="en-US" w:bidi="ar-SA"/>
              </w:rPr>
              <w:t>Of an external diameter of less than 19 mm:</w:t>
            </w:r>
          </w:p>
        </w:tc>
      </w:tr>
    </w:tbl>
    <w:p>
      <w:pPr>
        <w:pStyle w:val="Normal"/>
      </w:pPr>
      <w:r>
        <w:t>For use in the manufacture of goods of Section XVI or of Chapter 73, such goods being used in the distillation or recovery of products from natural gas 7304.41.19 Of an external diameter of less than 19 mm: Other 7304.41.91 Other: For use in the manufacture of goods of Section XVI or of Chapter 73, such goods being used in the distillation or recovery of products from natural gas 7304.41.99 Other: Other 7304.49.00 Other 7304.51.00</w:t>
      </w:r>
    </w:p>
    <w:p>
      <w:pPr>
        <w:pStyle w:val="Normal"/>
      </w:pPr>
      <w:r>
        <w:t>Cold-drawn or cold-rolled (cold-reduced)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7305.11.00</w:t>
            </w:r>
          </w:p>
        </w:tc>
        <w:tc>
          <w:tcPr>
            <w:tcW w:w="4679" w:type="dxa"/>
            <w:tcMar>
              <w:top w:w="70" w:type="dxa"/>
              <w:start w:w="110" w:type="dxa"/>
              <w:bottom w:w="70" w:type="dxa"/>
              <w:end w:w="110" w:type="dxa"/>
            </w:tcMar>
            <w:vAlign w:val="center"/>
          </w:tcPr>
          <w:p>
            <w:pPr>
              <w:pStyle w:val="TableText"/>
              <w:jc w:val="left"/>
            </w:pPr>
            <w:r>
              <w:rPr>
                <w:lang w:val="en-US" w:eastAsia="en-US" w:bidi="ar-SA"/>
              </w:rPr>
              <w:t>Longitudinally submerged arc welded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longitudinally welded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Casing of a kind used in drilling for oil or gas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7305.31.00</w:t>
            </w:r>
          </w:p>
        </w:tc>
        <w:tc>
          <w:tcPr>
            <w:tcW w:w="4679" w:type="dxa"/>
            <w:tcMar>
              <w:top w:w="70" w:type="dxa"/>
              <w:start w:w="110" w:type="dxa"/>
              <w:bottom w:w="70" w:type="dxa"/>
              <w:end w:w="110" w:type="dxa"/>
            </w:tcMar>
            <w:vAlign w:val="center"/>
          </w:tcPr>
          <w:p>
            <w:pPr>
              <w:pStyle w:val="TableText"/>
              <w:jc w:val="left"/>
            </w:pPr>
            <w:r>
              <w:rPr>
                <w:lang w:val="en-US" w:eastAsia="en-US" w:bidi="ar-SA"/>
              </w:rPr>
              <w:t>Longitudinally welded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Welded, of stainless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Welded, of stainless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welded, of circular cross-section, of iron or non-alloy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7306.40.00</w:t>
            </w:r>
          </w:p>
        </w:tc>
        <w:tc>
          <w:tcPr>
            <w:tcW w:w="4679" w:type="dxa"/>
            <w:tcMar>
              <w:top w:w="70" w:type="dxa"/>
              <w:start w:w="110" w:type="dxa"/>
              <w:bottom w:w="70" w:type="dxa"/>
              <w:end w:w="110" w:type="dxa"/>
            </w:tcMar>
            <w:vAlign w:val="center"/>
          </w:tcPr>
          <w:p>
            <w:pPr>
              <w:pStyle w:val="TableText"/>
              <w:jc w:val="left"/>
            </w:pPr>
            <w:r>
              <w:rPr>
                <w:lang w:val="en-US" w:eastAsia="en-US" w:bidi="ar-SA"/>
              </w:rPr>
              <w:t>Other, welded, of circular cross-section, 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welded, of circular cross-section, of other alloy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7306.61.00</w:t>
            </w:r>
          </w:p>
        </w:tc>
        <w:tc>
          <w:tcPr>
            <w:tcW w:w="4679" w:type="dxa"/>
            <w:tcMar>
              <w:top w:w="70" w:type="dxa"/>
              <w:start w:w="110" w:type="dxa"/>
              <w:bottom w:w="70" w:type="dxa"/>
              <w:end w:w="110" w:type="dxa"/>
            </w:tcMar>
            <w:vAlign w:val="center"/>
          </w:tcPr>
          <w:p>
            <w:pPr>
              <w:pStyle w:val="TableText"/>
              <w:jc w:val="left"/>
            </w:pPr>
            <w:r>
              <w:rPr>
                <w:lang w:val="en-US" w:eastAsia="en-US" w:bidi="ar-SA"/>
              </w:rPr>
              <w:t>Of square or rectangular cross-section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non-circular cross-section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non-malleable cast iron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Flanges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7307.22.00</w:t>
            </w:r>
          </w:p>
        </w:tc>
        <w:tc>
          <w:tcPr>
            <w:tcW w:w="4679" w:type="dxa"/>
            <w:tcMar>
              <w:top w:w="70" w:type="dxa"/>
              <w:start w:w="110" w:type="dxa"/>
              <w:bottom w:w="70" w:type="dxa"/>
              <w:end w:w="110" w:type="dxa"/>
            </w:tcMar>
            <w:vAlign w:val="center"/>
          </w:tcPr>
          <w:p>
            <w:pPr>
              <w:pStyle w:val="TableText"/>
              <w:jc w:val="left"/>
            </w:pPr>
            <w:r>
              <w:rPr>
                <w:lang w:val="en-US" w:eastAsia="en-US" w:bidi="ar-SA"/>
              </w:rPr>
              <w:t>Threaded elbows, bends and sleeves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Butt welding fittings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7307.29.10</w:t>
            </w:r>
          </w:p>
        </w:tc>
        <w:tc>
          <w:tcPr>
            <w:tcW w:w="4679" w:type="dxa"/>
            <w:tcMar>
              <w:top w:w="70" w:type="dxa"/>
              <w:start w:w="110" w:type="dxa"/>
              <w:bottom w:w="70" w:type="dxa"/>
              <w:end w:w="110" w:type="dxa"/>
            </w:tcMar>
            <w:vAlign w:val="center"/>
          </w:tcPr>
          <w:p>
            <w:pPr>
              <w:pStyle w:val="TableText"/>
              <w:jc w:val="left"/>
            </w:pPr>
            <w:r>
              <w:rPr>
                <w:lang w:val="en-US" w:eastAsia="en-US" w:bidi="ar-SA"/>
              </w:rPr>
              <w:t>To be employed in pneumatically breaking down the working face of a mine in mining, quarrying or developing mineral deposits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installation between the wellhead assembly or surface oil pumping unit and the field marketing valve at oil or natural gas wells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7307.29.91</w:t>
            </w:r>
          </w:p>
        </w:tc>
        <w:tc>
          <w:tcPr>
            <w:tcW w:w="4679" w:type="dxa"/>
            <w:tcMar>
              <w:top w:w="70" w:type="dxa"/>
              <w:start w:w="110" w:type="dxa"/>
              <w:bottom w:w="70" w:type="dxa"/>
              <w:end w:w="110" w:type="dxa"/>
            </w:tcMar>
            <w:vAlign w:val="center"/>
          </w:tcPr>
          <w:p>
            <w:pPr>
              <w:pStyle w:val="TableText"/>
              <w:jc w:val="left"/>
            </w:pPr>
            <w:r>
              <w:rPr>
                <w:lang w:val="en-US" w:eastAsia="en-US" w:bidi="ar-SA"/>
              </w:rPr>
              <w:t>Other: Not further worked than forged or bent to shape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7307.29.99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7307.91.00</w:t>
            </w:r>
          </w:p>
        </w:tc>
        <w:tc>
          <w:tcPr>
            <w:tcW w:w="4679" w:type="dxa"/>
            <w:tcMar>
              <w:top w:w="70" w:type="dxa"/>
              <w:start w:w="110" w:type="dxa"/>
              <w:bottom w:w="70" w:type="dxa"/>
              <w:end w:w="110" w:type="dxa"/>
            </w:tcMar>
            <w:vAlign w:val="center"/>
          </w:tcPr>
          <w:p>
            <w:pPr>
              <w:pStyle w:val="TableText"/>
              <w:jc w:val="left"/>
            </w:pPr>
            <w:r>
              <w:rPr>
                <w:lang w:val="en-US" w:eastAsia="en-US" w:bidi="ar-SA"/>
              </w:rPr>
              <w:t>Flanges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Threaded elbows, bends and sleeves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7307.93.00</w:t>
            </w:r>
          </w:p>
        </w:tc>
        <w:tc>
          <w:tcPr>
            <w:tcW w:w="4679" w:type="dxa"/>
            <w:tcMar>
              <w:top w:w="70" w:type="dxa"/>
              <w:start w:w="110" w:type="dxa"/>
              <w:bottom w:w="70" w:type="dxa"/>
              <w:end w:w="110" w:type="dxa"/>
            </w:tcMar>
            <w:vAlign w:val="center"/>
          </w:tcPr>
          <w:p>
            <w:pPr>
              <w:pStyle w:val="TableText"/>
              <w:jc w:val="left"/>
            </w:pPr>
            <w:r>
              <w:rPr>
                <w:lang w:val="en-US" w:eastAsia="en-US" w:bidi="ar-SA"/>
              </w:rPr>
              <w:t>Butt welding fittings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7308.10.00</w:t>
            </w:r>
          </w:p>
        </w:tc>
        <w:tc>
          <w:tcPr>
            <w:tcW w:w="4679" w:type="dxa"/>
            <w:tcMar>
              <w:top w:w="70" w:type="dxa"/>
              <w:start w:w="110" w:type="dxa"/>
              <w:bottom w:w="70" w:type="dxa"/>
              <w:end w:w="110" w:type="dxa"/>
            </w:tcMar>
            <w:vAlign w:val="center"/>
          </w:tcPr>
          <w:p>
            <w:pPr>
              <w:pStyle w:val="TableText"/>
              <w:jc w:val="left"/>
            </w:pPr>
            <w:r>
              <w:rPr>
                <w:lang w:val="en-US" w:eastAsia="en-US" w:bidi="ar-SA"/>
              </w:rPr>
              <w:t>Bridges and bridge-sections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Towers and lattice masts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7308.30.00</w:t>
            </w:r>
          </w:p>
        </w:tc>
        <w:tc>
          <w:tcPr>
            <w:tcW w:w="4679" w:type="dxa"/>
            <w:tcMar>
              <w:top w:w="70" w:type="dxa"/>
              <w:start w:w="110" w:type="dxa"/>
              <w:bottom w:w="70" w:type="dxa"/>
              <w:end w:w="110" w:type="dxa"/>
            </w:tcMar>
            <w:vAlign w:val="center"/>
          </w:tcPr>
          <w:p>
            <w:pPr>
              <w:pStyle w:val="TableText"/>
              <w:jc w:val="left"/>
            </w:pPr>
            <w:r>
              <w:rPr>
                <w:lang w:val="en-US" w:eastAsia="en-US" w:bidi="ar-SA"/>
              </w:rPr>
              <w:t>Doors, windows and</w:t>
            </w:r>
          </w:p>
        </w:tc>
      </w:tr>
    </w:tbl>
    <w:p>
      <w:pPr>
        <w:pStyle w:val="Normal"/>
      </w:pPr>
      <w:r>
        <w:t>their frames and thresholds for doors 7308.40.00 Equipment for scaffolding, shuttering, propping or pit-propping 7308.90.00 Other 7309.00.00 Reservoirs, tanks, vats and similar containers for any material (other than compressed or liquefied gas), of iron or steel, of a capacity exceeding 300 litres, whether or not lined or heat- insulated, but not fitted with mechanical or thermal equipment. 7310.10.00 Of a capacity of 50 litres or more 7310.21.00 Cans which are to be closed by soldering or crimping 7310.29.00 Other 7311.00.00 Containers for compressed or liquefied gas, of iron or steel. 7312.10.00 Stranded wire, ropes and cables 7312.90.00 Other 7313.00.00 Barbed wire of iron or steel; twisted hoop or single flat wire, barbed or not, and loosely twisted double wire, of a kind used for fencing, of iron or steel.</w:t>
      </w:r>
    </w:p>
    <w:p>
      <w:pPr>
        <w:pStyle w:val="Normal"/>
      </w:pPr>
      <w:r>
        <w:t>7314.12.00 Endless bands for machinery, of stainless steel 7314.14.00 Other woven cloth, of stainless steel 7314.19.00 Other 7314.20.00 Grill, netting and fencing, welded at the intersection, of wire with a maximum cross-sectional dimension of 3 mm or more and having a mesh size of 100 cm² or more 7314.31.00 Plated or coated with zinc 7314.39.00 Other 7314.41.00 Plated or coated with zinc 7314.42.00 Coated with plastics 7314.49.00 Other 7314.50.00 Expanded metal 7315.11.00 Roller chain 7315.12.00 Other chain 7315.19.00 Parts 7315.20.00 Skid chain 7315.81.00 Stud-link 7315.82.00 Other, welded link 7315.89.00 Other 7315.90.00 Other parts 7316.00.10 Of a weight of 18 kg or more 7316.00.20 Of a weight of less than 18 kg 7317.00.00 Nails, tacks, drawing pins, corrugated nails, staples (other than those of heading 83.05) and similar articles, of iron or steel, whether or not with heads of other material, but excluding such articles with heads of copper.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7318.11.00</w:t>
            </w:r>
          </w:p>
        </w:tc>
        <w:tc>
          <w:tcPr>
            <w:tcW w:w="4679" w:type="dxa"/>
            <w:tcMar>
              <w:top w:w="70" w:type="dxa"/>
              <w:start w:w="110" w:type="dxa"/>
              <w:bottom w:w="70" w:type="dxa"/>
              <w:end w:w="110" w:type="dxa"/>
            </w:tcMar>
            <w:vAlign w:val="center"/>
          </w:tcPr>
          <w:p>
            <w:pPr>
              <w:pStyle w:val="TableText"/>
              <w:jc w:val="left"/>
            </w:pPr>
            <w:r>
              <w:rPr>
                <w:lang w:val="en-US" w:eastAsia="en-US" w:bidi="ar-SA"/>
              </w:rPr>
              <w:t>Coach screws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wood screws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7318.13.00</w:t>
            </w:r>
          </w:p>
        </w:tc>
        <w:tc>
          <w:tcPr>
            <w:tcW w:w="4679" w:type="dxa"/>
            <w:tcMar>
              <w:top w:w="70" w:type="dxa"/>
              <w:start w:w="110" w:type="dxa"/>
              <w:bottom w:w="70" w:type="dxa"/>
              <w:end w:w="110" w:type="dxa"/>
            </w:tcMar>
            <w:vAlign w:val="center"/>
          </w:tcPr>
          <w:p>
            <w:pPr>
              <w:pStyle w:val="TableText"/>
              <w:jc w:val="left"/>
            </w:pPr>
            <w:r>
              <w:rPr>
                <w:lang w:val="en-US" w:eastAsia="en-US" w:bidi="ar-SA"/>
              </w:rPr>
              <w:t>Screw hooks and screw rings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Self-tapping screws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7318.15.00</w:t>
            </w:r>
          </w:p>
        </w:tc>
        <w:tc>
          <w:tcPr>
            <w:tcW w:w="4679" w:type="dxa"/>
            <w:tcMar>
              <w:top w:w="70" w:type="dxa"/>
              <w:start w:w="110" w:type="dxa"/>
              <w:bottom w:w="70" w:type="dxa"/>
              <w:end w:w="110" w:type="dxa"/>
            </w:tcMar>
            <w:vAlign w:val="center"/>
          </w:tcPr>
          <w:p>
            <w:pPr>
              <w:pStyle w:val="TableText"/>
              <w:jc w:val="left"/>
            </w:pPr>
            <w:r>
              <w:rPr>
                <w:lang w:val="en-US" w:eastAsia="en-US" w:bidi="ar-SA"/>
              </w:rPr>
              <w:t>Other screws and bolts, whether or not with their nuts or washers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7318.16.00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Nuts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Spring washers and other lock washers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7318.22.00</w:t>
            </w:r>
          </w:p>
        </w:tc>
        <w:tc>
          <w:tcPr>
            <w:tcW w:w="4679" w:type="dxa"/>
            <w:tcMar>
              <w:top w:w="70" w:type="dxa"/>
              <w:start w:w="110" w:type="dxa"/>
              <w:bottom w:w="70" w:type="dxa"/>
              <w:end w:w="110" w:type="dxa"/>
            </w:tcMar>
            <w:vAlign w:val="center"/>
          </w:tcPr>
          <w:p>
            <w:pPr>
              <w:pStyle w:val="TableText"/>
              <w:jc w:val="left"/>
            </w:pPr>
            <w:r>
              <w:rPr>
                <w:lang w:val="en-US" w:eastAsia="en-US" w:bidi="ar-SA"/>
              </w:rPr>
              <w:t>Other washers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Rivets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7318.24.00</w:t>
            </w:r>
          </w:p>
        </w:tc>
        <w:tc>
          <w:tcPr>
            <w:tcW w:w="4679" w:type="dxa"/>
            <w:tcMar>
              <w:top w:w="70" w:type="dxa"/>
              <w:start w:w="110" w:type="dxa"/>
              <w:bottom w:w="70" w:type="dxa"/>
              <w:end w:w="110" w:type="dxa"/>
            </w:tcMar>
            <w:vAlign w:val="center"/>
          </w:tcPr>
          <w:p>
            <w:pPr>
              <w:pStyle w:val="TableText"/>
              <w:jc w:val="left"/>
            </w:pPr>
            <w:r>
              <w:rPr>
                <w:lang w:val="en-US" w:eastAsia="en-US" w:bidi="ar-SA"/>
              </w:rPr>
              <w:t>Cotters and cotter-pins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7319.40.10</w:t>
            </w:r>
          </w:p>
        </w:tc>
        <w:tc>
          <w:tcPr>
            <w:tcW w:w="4679" w:type="dxa"/>
            <w:tcMar>
              <w:top w:w="70" w:type="dxa"/>
              <w:start w:w="110" w:type="dxa"/>
              <w:bottom w:w="70" w:type="dxa"/>
              <w:end w:w="110" w:type="dxa"/>
            </w:tcMar>
            <w:vAlign w:val="center"/>
          </w:tcPr>
          <w:p>
            <w:pPr>
              <w:pStyle w:val="TableText"/>
              <w:jc w:val="left"/>
            </w:pPr>
            <w:r>
              <w:rPr>
                <w:lang w:val="en-US" w:eastAsia="en-US" w:bidi="ar-SA"/>
              </w:rPr>
              <w:t>Specially designed for marking systems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7319.40.90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7319.90.10</w:t>
            </w:r>
          </w:p>
        </w:tc>
        <w:tc>
          <w:tcPr>
            <w:tcW w:w="4679" w:type="dxa"/>
            <w:tcMar>
              <w:top w:w="70" w:type="dxa"/>
              <w:start w:w="110" w:type="dxa"/>
              <w:bottom w:w="70" w:type="dxa"/>
              <w:end w:w="110" w:type="dxa"/>
            </w:tcMar>
            <w:vAlign w:val="center"/>
          </w:tcPr>
          <w:p>
            <w:pPr>
              <w:pStyle w:val="TableText"/>
              <w:jc w:val="left"/>
            </w:pPr>
            <w:r>
              <w:rPr>
                <w:lang w:val="en-US" w:eastAsia="en-US" w:bidi="ar-SA"/>
              </w:rPr>
              <w:t>Sewing, darning or embroidery needles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7319.90.90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7320.10.00</w:t>
            </w:r>
          </w:p>
        </w:tc>
        <w:tc>
          <w:tcPr>
            <w:tcW w:w="4679" w:type="dxa"/>
            <w:tcMar>
              <w:top w:w="70" w:type="dxa"/>
              <w:start w:w="110" w:type="dxa"/>
              <w:bottom w:w="70" w:type="dxa"/>
              <w:end w:w="110" w:type="dxa"/>
            </w:tcMar>
            <w:vAlign w:val="center"/>
          </w:tcPr>
          <w:p>
            <w:pPr>
              <w:pStyle w:val="TableText"/>
              <w:jc w:val="left"/>
            </w:pPr>
            <w:r>
              <w:rPr>
                <w:lang w:val="en-US" w:eastAsia="en-US" w:bidi="ar-SA"/>
              </w:rPr>
              <w:t>Leaf-springs and leaves therefor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Helical springs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Non-portable stoves or ranges (including those specially designed for use on boats)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liquid fuel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7321.19.10</w:t>
            </w:r>
          </w:p>
        </w:tc>
        <w:tc>
          <w:tcPr>
            <w:tcW w:w="4679" w:type="dxa"/>
            <w:tcMar>
              <w:top w:w="70" w:type="dxa"/>
              <w:start w:w="110" w:type="dxa"/>
              <w:bottom w:w="70" w:type="dxa"/>
              <w:end w:w="110" w:type="dxa"/>
            </w:tcMar>
            <w:vAlign w:val="center"/>
          </w:tcPr>
          <w:p>
            <w:pPr>
              <w:pStyle w:val="TableText"/>
              <w:jc w:val="left"/>
            </w:pPr>
            <w:r>
              <w:rPr>
                <w:lang w:val="en-US" w:eastAsia="en-US" w:bidi="ar-SA"/>
              </w:rPr>
              <w:t>Non-portable stoves or ranges (including those specially designed for use on boats)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7321.81.00</w:t>
            </w:r>
          </w:p>
        </w:tc>
        <w:tc>
          <w:tcPr>
            <w:tcW w:w="4679" w:type="dxa"/>
            <w:tcMar>
              <w:top w:w="70" w:type="dxa"/>
              <w:start w:w="110" w:type="dxa"/>
              <w:bottom w:w="70" w:type="dxa"/>
              <w:end w:w="110" w:type="dxa"/>
            </w:tcMar>
            <w:vAlign w:val="center"/>
          </w:tcPr>
          <w:p>
            <w:pPr>
              <w:pStyle w:val="TableText"/>
              <w:jc w:val="left"/>
            </w:pPr>
            <w:r>
              <w:rPr>
                <w:lang w:val="en-US" w:eastAsia="en-US" w:bidi="ar-SA"/>
              </w:rPr>
              <w:t>For gas fuel or for both gas and other fuels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liquid fuel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7321.89.00</w:t>
            </w:r>
          </w:p>
        </w:tc>
        <w:tc>
          <w:tcPr>
            <w:tcW w:w="4679" w:type="dxa"/>
            <w:tcMar>
              <w:top w:w="70" w:type="dxa"/>
              <w:start w:w="110" w:type="dxa"/>
              <w:bottom w:w="70" w:type="dxa"/>
              <w:end w:w="110" w:type="dxa"/>
            </w:tcMar>
            <w:vAlign w:val="center"/>
          </w:tcPr>
          <w:p>
            <w:pPr>
              <w:pStyle w:val="TableText"/>
              <w:jc w:val="left"/>
            </w:pPr>
            <w:r>
              <w:rPr>
                <w:lang w:val="en-US" w:eastAsia="en-US" w:bidi="ar-SA"/>
              </w:rPr>
              <w:t>Other, including appliances for solid fuel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 iron grilles, of a weight not exceeding 3 kg, not further worked than as cast, cut and ground, for use in the manufacture of finished grilles for non-industrial non-portable stoves or ranges, for gas fuel or for both gas or other fuels;</w:t>
            </w:r>
          </w:p>
        </w:tc>
      </w:tr>
    </w:tbl>
    <w:p>
      <w:pPr>
        <w:pStyle w:val="Normal"/>
      </w:pPr>
      <w:r>
        <w:t>For appliances, excluding cooking appliances and plate warmers; For cooking appliances and plate warmers for gas fuel or for both gas and other fuels, excluding non-portable stoves or ranges (including those specially designed for use on boats) 7321.90.21 For</w:t>
      </w:r>
    </w:p>
    <w:p>
      <w:pPr>
        <w:pStyle w:val="Normal"/>
      </w:pPr>
      <w:r>
        <w:t>non-portable stoves or ranges (including those specially designed for use on boats), for gas fuel or for both gas or other fuels: Cooking chambers 7321.90.22 For non-portable stoves or ranges (including those specially designed for use on boats), for gas fuel or for both gas or other fuels: Top surface panels 7321.90.23 For non-portable stoves or ranges (including those specially designed for use on boats), for gas fuel or for both gas or other fuels: Door assemblies, incorporating at least two of the following: inner panel, outer panel, window, insulation 7321.90.24 For non-portable stoves or ranges (including those specially designed for use on boats), for gas fuel or both gas or other fuels: Oven pilot burners, top burners of other than cast iron, oven burners and lighter cones, for use in the manufacture of ranges 7321.90.29 For non-portable stoves or ranges (including those specially designed for use on boats), for gas fuel or both gas or other fuels: Other 7321.90.90 Other 7322.11.00 Of cast iron 7322.19.00 Other 7322.90.10 For heating buildings 7322.90.20 Process air heaters;</w:t>
      </w:r>
    </w:p>
    <w:p>
      <w:pPr>
        <w:pStyle w:val="Normal"/>
      </w:pPr>
      <w:r>
        <w:t>Switch heaters and sensing heads (hot air and oil fired), horizontal air curtains, for railway tracks 7322.90.90 Other 7323.10.00 Iron or steel wool; pot scourers and scouring or polishing pads, gloves and the like 7323.91.00 Of cast iron, not enamelled 7323.92.00 Of cast iron, enamelled 7323.93.00 Of stainless steel 7323.94.00 Of iron (other than cast iron) or steel, enamelled 7323.99.00 Other</w:t>
      </w:r>
    </w:p>
    <w:p>
      <w:pPr>
        <w:pStyle w:val="Normal"/>
      </w:pPr>
      <w:r>
        <w:t>7324.10.00 Sinks and wash basins, of stainless steel 7324.21.00 Of cast iron, whether or not enamelled 7324.29.10 Stampings and assemblies thereof, for use in the manufacture of bath tubs 7324.29.90 Other 7324.90.00 Other, including parts 7325.10.00 Of non-malleable cast iron 7325.91.00 Grinding balls and similar articles for mills 7325.99.10 The following, to be employed in the exploration, discovery, development, maintenance, testing, depletion or production of oil or natural gas wells or potash or rock salt deposits: Flanged casing heads; Screwed casing heads for surface casings of an external diameter exceeding 273 mm, or rated for service in working pressures exceeding 14 MPa W.O.G. (water, oil, gas) 7325.99.91 Other: In the rough 7325.99.99 Other: Other 7326.11.00 Grinding balls and similar articles for mills 7326.19.10 Flanged wellhead tubing heads and flanged casing head spools, in the rough, for use in the manufacture of wellhead tubing heads or casing head spools, rated for service in working pressures exceeding 14 MPa W.O.G.</w:t>
      </w:r>
    </w:p>
    <w:p>
      <w:pPr>
        <w:pStyle w:val="Normal"/>
      </w:pPr>
      <w:r>
        <w:t>(water, oil, gas), to be employed in the exploration, discovery, development, maintenance, testing, depletion or production of oil or natural gas wells; Wick sustainers for use in the manufacture of candles 7326.19.90 Other 7326.20.00 Articles of iron or steel wire 7326.90.10 Couplings for sucker rods, pony rods or polished rods for oilfield related pumps; Fishing tools and parts thereof to be employed in the exploration, discovery, development, maintenance, testing, depletion or production of oil or natural gas wells or for drilling machinery employed in the exploration, discovery, development or operation of potash or rock salt deposits; For climbing or mountaineering; For keeping nets open and swivels, to be employed in commercial fishing or in the commercial harvesting of marine plants; For use in the manufacture of detectors for propane or other toxic fumes; For use in the manufacture of fire fighting vehicles; For use in the manufacture of goods of Section XVI or of Chapter 73, such goods being used in the recovery or production of crude oil from shales, oil-sands or tar-sands;</w:t>
      </w:r>
    </w:p>
    <w:p>
      <w:pPr>
        <w:pStyle w:val="Normal"/>
      </w:pPr>
      <w:r>
        <w:t>For use in the manufacture or repair of engines or parts thereof for commercial fishing vessels; Forged steel clevis hooks and eye hooks for use in the manufacture of debris chutes; Identification bands for migratory birds; Pitless well heads and parts thereof; Reusable containers, specially designed to be employed in the transportation of motor vehicle components which are free of customs</w:t>
      </w:r>
    </w:p>
    <w:p>
      <w:pPr>
        <w:pStyle w:val="Normal"/>
      </w:pPr>
      <w:r>
        <w:t>duties, presented with the goods therein; 7326.90.90 Other 7401.00.00 Copper mattes; cement copper (precipitated copper). 7402.00.00 Unrefined copper; copper anodes for electrolytic refining. 7403.11.00 Cathodes and sections of cathodes 7403.12.00 Wire-bars 7403.13.00 Billets 7403.19.00 Other 7403.21.00 Copper-zinc base alloys (brass) 7403.22.00 Copper-tin base alloys (bronze) 7403.29.00 Other copper alloys (other than master alloys of heading 74.05) 7404.00.10 Spent anodes, not alloyed; With a copper content of less than 94% by weight, not alloyed 7404.00.20 Copper-zinc base alloys (brass) with a copper content of less than 94% by weight 7404.00.91 Other: With a copper content of less than 94% by weight 7404.00.99 Other: Other 7405.00.00 Master alloys of copper. 7406.10.00 Powders of non-lamellar structure 7406.20.00 Powders of lamellar structure; flakes 7407.10.11 Hollow profiles: Unworked 7407.10.12 Hollow profiles: Worked 7407.10.21 Other: Bars and rods, of which the maximum cross-sectional dimension exceeds 12.7 mm; Solid profiles 7407.10.29 Other: Other 7407.21.10 Bars and rods, for use in the manufacture of welding electrodes, welding caps, electrode adaptors, electrode shanks, electrode holders, seam weld wheels or welding guns 7407.21.21 Hollow profiles: Unworked 7407.21.22 Hollow profiles:</w:t>
      </w:r>
    </w:p>
    <w:p>
      <w:pPr>
        <w:pStyle w:val="Normal"/>
      </w:pPr>
      <w:r>
        <w:t>Worked 7407.21.90 Other 7407.29.21 Of copper-nickel base alloys (cupro-nickel) or copper-nickel-zinc base alloys (nickel silver): Bars and rods, of copper-nickel base alloys</w:t>
      </w:r>
    </w:p>
    <w:p>
      <w:pPr>
        <w:pStyle w:val="Normal"/>
      </w:pPr>
      <w:r>
        <w:t>(cupro-nickel) of which the maximum cross-sectional dimension exceeds 12.7 mm; Solid profiles; Unworked hollow profiles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7407.29.29</w:t>
            </w:r>
          </w:p>
        </w:tc>
        <w:tc>
          <w:tcPr>
            <w:tcW w:w="4679" w:type="dxa"/>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7407.29.90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7408.11.11</w:t>
            </w:r>
          </w:p>
        </w:tc>
        <w:tc>
          <w:tcPr>
            <w:tcW w:w="4679" w:type="dxa"/>
            <w:tcMar>
              <w:top w:w="70" w:type="dxa"/>
              <w:start w:w="110" w:type="dxa"/>
              <w:bottom w:w="70" w:type="dxa"/>
              <w:end w:w="110" w:type="dxa"/>
            </w:tcMar>
            <w:vAlign w:val="center"/>
          </w:tcPr>
          <w:p>
            <w:pPr>
              <w:pStyle w:val="TableText"/>
              <w:jc w:val="left"/>
            </w:pPr>
            <w:r>
              <w:rPr>
                <w:lang w:val="en-US" w:eastAsia="en-US" w:bidi="ar-SA"/>
              </w:rPr>
              <w:t>Not exceeding 9.5 mm: Not coated or covered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7408.11.12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exceeding 9.5 mm: Coated or covered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7408.11.20</w:t>
            </w:r>
          </w:p>
        </w:tc>
        <w:tc>
          <w:tcPr>
            <w:tcW w:w="4679" w:type="dxa"/>
            <w:tcMar>
              <w:top w:w="70" w:type="dxa"/>
              <w:start w:w="110" w:type="dxa"/>
              <w:bottom w:w="70" w:type="dxa"/>
              <w:end w:w="110" w:type="dxa"/>
            </w:tcMar>
            <w:vAlign w:val="center"/>
          </w:tcPr>
          <w:p>
            <w:pPr>
              <w:pStyle w:val="TableText"/>
              <w:jc w:val="left"/>
            </w:pPr>
            <w:r>
              <w:rPr>
                <w:lang w:val="en-US" w:eastAsia="en-US" w:bidi="ar-SA"/>
              </w:rPr>
              <w:t>Exceeding 9.5 mm but not exceeding 12.7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7408.11.31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Exceeding 12.7 mm: Not coated or covered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7408.11.32</w:t>
            </w:r>
          </w:p>
        </w:tc>
        <w:tc>
          <w:tcPr>
            <w:tcW w:w="4679" w:type="dxa"/>
            <w:tcMar>
              <w:top w:w="70" w:type="dxa"/>
              <w:start w:w="110" w:type="dxa"/>
              <w:bottom w:w="70" w:type="dxa"/>
              <w:end w:w="110" w:type="dxa"/>
            </w:tcMar>
            <w:vAlign w:val="center"/>
          </w:tcPr>
          <w:p>
            <w:pPr>
              <w:pStyle w:val="TableText"/>
              <w:jc w:val="left"/>
            </w:pPr>
            <w:r>
              <w:rPr>
                <w:lang w:val="en-US" w:eastAsia="en-US" w:bidi="ar-SA"/>
              </w:rPr>
              <w:t>Exceeding 12.7 mm: Coated or covered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7408.21.00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copper-zinc base alloys (brass)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7410.12.00</w:t>
            </w:r>
          </w:p>
        </w:tc>
        <w:tc>
          <w:tcPr>
            <w:tcW w:w="4679" w:type="dxa"/>
            <w:tcMar>
              <w:top w:w="70" w:type="dxa"/>
              <w:start w:w="110" w:type="dxa"/>
              <w:bottom w:w="70" w:type="dxa"/>
              <w:end w:w="110" w:type="dxa"/>
            </w:tcMar>
            <w:vAlign w:val="center"/>
          </w:tcPr>
          <w:p>
            <w:pPr>
              <w:pStyle w:val="TableText"/>
              <w:jc w:val="left"/>
            </w:pPr>
            <w:r>
              <w:rPr>
                <w:lang w:val="en-US" w:eastAsia="en-US" w:bidi="ar-SA"/>
              </w:rPr>
              <w:t>Of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7410.22.00</w:t>
            </w:r>
          </w:p>
        </w:tc>
        <w:tc>
          <w:tcPr>
            <w:tcW w:w="4679" w:type="dxa"/>
            <w:tcMar>
              <w:top w:w="70" w:type="dxa"/>
              <w:start w:w="110" w:type="dxa"/>
              <w:bottom w:w="70" w:type="dxa"/>
              <w:end w:w="110" w:type="dxa"/>
            </w:tcMar>
            <w:vAlign w:val="center"/>
          </w:tcPr>
          <w:p>
            <w:pPr>
              <w:pStyle w:val="TableText"/>
              <w:jc w:val="left"/>
            </w:pPr>
            <w:r>
              <w:rPr>
                <w:lang w:val="en-US" w:eastAsia="en-US" w:bidi="ar-SA"/>
              </w:rPr>
              <w:t>Of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7411.21.00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copper-zinc base alloys (brass)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7412.20.00</w:t>
            </w:r>
          </w:p>
        </w:tc>
        <w:tc>
          <w:tcPr>
            <w:tcW w:w="4679" w:type="dxa"/>
            <w:tcMar>
              <w:top w:w="70" w:type="dxa"/>
              <w:start w:w="110" w:type="dxa"/>
              <w:bottom w:w="70" w:type="dxa"/>
              <w:end w:w="110" w:type="dxa"/>
            </w:tcMar>
            <w:vAlign w:val="center"/>
          </w:tcPr>
          <w:p>
            <w:pPr>
              <w:pStyle w:val="TableText"/>
              <w:jc w:val="left"/>
            </w:pPr>
            <w:r>
              <w:rPr>
                <w:lang w:val="en-US" w:eastAsia="en-US" w:bidi="ar-SA"/>
              </w:rPr>
              <w:t>Of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Stranded wire, cables, plaited bands and the like, of copper, not electrically insulated.</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Nails and tacks, drawing pins, staples and similar articles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7415.21.00</w:t>
            </w:r>
          </w:p>
        </w:tc>
        <w:tc>
          <w:tcPr>
            <w:tcW w:w="4679" w:type="dxa"/>
            <w:tcMar>
              <w:top w:w="70" w:type="dxa"/>
              <w:start w:w="110" w:type="dxa"/>
              <w:bottom w:w="70" w:type="dxa"/>
              <w:end w:w="110" w:type="dxa"/>
            </w:tcMar>
            <w:vAlign w:val="center"/>
          </w:tcPr>
          <w:p>
            <w:pPr>
              <w:pStyle w:val="TableText"/>
              <w:jc w:val="left"/>
            </w:pPr>
            <w:r>
              <w:rPr>
                <w:lang w:val="en-US" w:eastAsia="en-US" w:bidi="ar-SA"/>
              </w:rPr>
              <w:t>Washers (including spring washers)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7415.33.00</w:t>
            </w:r>
          </w:p>
        </w:tc>
        <w:tc>
          <w:tcPr>
            <w:tcW w:w="4679" w:type="dxa"/>
            <w:tcMar>
              <w:top w:w="70" w:type="dxa"/>
              <w:start w:w="110" w:type="dxa"/>
              <w:bottom w:w="70" w:type="dxa"/>
              <w:end w:w="110" w:type="dxa"/>
            </w:tcMar>
            <w:vAlign w:val="center"/>
          </w:tcPr>
          <w:p>
            <w:pPr>
              <w:pStyle w:val="TableText"/>
              <w:jc w:val="left"/>
            </w:pPr>
            <w:r>
              <w:rPr>
                <w:lang w:val="en-US" w:eastAsia="en-US" w:bidi="ar-SA"/>
              </w:rPr>
              <w:t>Screws; bolts and nuts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7418.10.00</w:t>
            </w:r>
          </w:p>
        </w:tc>
        <w:tc>
          <w:tcPr>
            <w:tcW w:w="4679" w:type="dxa"/>
            <w:tcMar>
              <w:top w:w="70" w:type="dxa"/>
              <w:start w:w="110" w:type="dxa"/>
              <w:bottom w:w="70" w:type="dxa"/>
              <w:end w:w="110" w:type="dxa"/>
            </w:tcMar>
            <w:vAlign w:val="center"/>
          </w:tcPr>
          <w:p>
            <w:pPr>
              <w:pStyle w:val="TableText"/>
              <w:jc w:val="left"/>
            </w:pPr>
            <w:r>
              <w:rPr>
                <w:lang w:val="en-US" w:eastAsia="en-US" w:bidi="ar-SA"/>
              </w:rPr>
              <w:t>Table, kitchen or other household articles and parts thereof; pot scourers and scouring or polishing pads, gloves and the like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Sanitary ware and parts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7419.10.00</w:t>
            </w:r>
          </w:p>
        </w:tc>
        <w:tc>
          <w:tcPr>
            <w:tcW w:w="4679" w:type="dxa"/>
            <w:tcMar>
              <w:top w:w="70" w:type="dxa"/>
              <w:start w:w="110" w:type="dxa"/>
              <w:bottom w:w="70" w:type="dxa"/>
              <w:end w:w="110" w:type="dxa"/>
            </w:tcMar>
            <w:vAlign w:val="center"/>
          </w:tcPr>
          <w:p>
            <w:pPr>
              <w:pStyle w:val="TableText"/>
              <w:jc w:val="left"/>
            </w:pPr>
            <w:r>
              <w:rPr>
                <w:lang w:val="en-US" w:eastAsia="en-US" w:bidi="ar-SA"/>
              </w:rPr>
              <w:t>Chain and parts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7419.91.10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Anodes for electroplating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7419.91.91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Canadian manufactures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7419.91.99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7419.99.10</w:t>
            </w:r>
          </w:p>
        </w:tc>
        <w:tc>
          <w:tcPr>
            <w:tcW w:w="4679" w:type="dxa"/>
            <w:tcMar>
              <w:top w:w="70" w:type="dxa"/>
              <w:start w:w="110" w:type="dxa"/>
              <w:bottom w:w="70" w:type="dxa"/>
              <w:end w:w="110" w:type="dxa"/>
            </w:tcMar>
            <w:vAlign w:val="center"/>
          </w:tcPr>
          <w:p>
            <w:pPr>
              <w:pStyle w:val="TableText"/>
              <w:jc w:val="left"/>
            </w:pPr>
            <w:r>
              <w:rPr>
                <w:lang w:val="en-US" w:eastAsia="en-US" w:bidi="ar-SA"/>
              </w:rPr>
              <w:t>Anodes for electroplating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7419.99.20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Caskets or coffins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Nickel mattes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7501.20.00</w:t>
            </w:r>
          </w:p>
        </w:tc>
        <w:tc>
          <w:tcPr>
            <w:tcW w:w="4679" w:type="dxa"/>
            <w:tcMar>
              <w:top w:w="70" w:type="dxa"/>
              <w:start w:w="110" w:type="dxa"/>
              <w:bottom w:w="70" w:type="dxa"/>
              <w:end w:w="110" w:type="dxa"/>
            </w:tcMar>
            <w:vAlign w:val="center"/>
          </w:tcPr>
          <w:p>
            <w:pPr>
              <w:pStyle w:val="TableText"/>
              <w:jc w:val="left"/>
            </w:pPr>
            <w:r>
              <w:rPr>
                <w:lang w:val="en-US" w:eastAsia="en-US" w:bidi="ar-SA"/>
              </w:rPr>
              <w:t>Nickel oxide sinters and other intermediate products of nickel metallurgy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7502.20.00</w:t>
            </w:r>
          </w:p>
        </w:tc>
        <w:tc>
          <w:tcPr>
            <w:tcW w:w="4679" w:type="dxa"/>
            <w:tcMar>
              <w:top w:w="70" w:type="dxa"/>
              <w:start w:w="110" w:type="dxa"/>
              <w:bottom w:w="70" w:type="dxa"/>
              <w:end w:w="110" w:type="dxa"/>
            </w:tcMar>
            <w:vAlign w:val="center"/>
          </w:tcPr>
          <w:p>
            <w:pPr>
              <w:pStyle w:val="TableText"/>
              <w:jc w:val="left"/>
            </w:pPr>
            <w:r>
              <w:rPr>
                <w:lang w:val="en-US" w:eastAsia="en-US" w:bidi="ar-SA"/>
              </w:rPr>
              <w:t>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Nickel 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7504.00.00</w:t>
            </w:r>
          </w:p>
        </w:tc>
        <w:tc>
          <w:tcPr>
            <w:tcW w:w="4679" w:type="dxa"/>
            <w:tcMar>
              <w:top w:w="70" w:type="dxa"/>
              <w:start w:w="110" w:type="dxa"/>
              <w:bottom w:w="70" w:type="dxa"/>
              <w:end w:w="110" w:type="dxa"/>
            </w:tcMar>
            <w:vAlign w:val="center"/>
          </w:tcPr>
          <w:p>
            <w:pPr>
              <w:pStyle w:val="TableText"/>
              <w:jc w:val="left"/>
            </w:pPr>
            <w:r>
              <w:rPr>
                <w:lang w:val="en-US" w:eastAsia="en-US" w:bidi="ar-SA"/>
              </w:rPr>
              <w:t>Nickel powders and flakes.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7505.11.00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7505.12.00</w:t>
            </w:r>
          </w:p>
        </w:tc>
        <w:tc>
          <w:tcPr>
            <w:tcW w:w="4679" w:type="dxa"/>
            <w:tcMar>
              <w:top w:w="70" w:type="dxa"/>
              <w:start w:w="110" w:type="dxa"/>
              <w:bottom w:w="70" w:type="dxa"/>
              <w:end w:w="110" w:type="dxa"/>
            </w:tcMar>
            <w:vAlign w:val="center"/>
          </w:tcPr>
          <w:p>
            <w:pPr>
              <w:pStyle w:val="TableText"/>
              <w:jc w:val="left"/>
            </w:pPr>
            <w:r>
              <w:rPr>
                <w:lang w:val="en-US" w:eastAsia="en-US" w:bidi="ar-SA"/>
              </w:rPr>
              <w:t>Of 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7505.22.00</w:t>
            </w:r>
          </w:p>
        </w:tc>
        <w:tc>
          <w:tcPr>
            <w:tcW w:w="4679" w:type="dxa"/>
            <w:tcMar>
              <w:top w:w="70" w:type="dxa"/>
              <w:start w:w="110" w:type="dxa"/>
              <w:bottom w:w="70" w:type="dxa"/>
              <w:end w:w="110" w:type="dxa"/>
            </w:tcMar>
            <w:vAlign w:val="center"/>
          </w:tcPr>
          <w:p>
            <w:pPr>
              <w:pStyle w:val="TableText"/>
              <w:jc w:val="left"/>
            </w:pPr>
            <w:r>
              <w:rPr>
                <w:lang w:val="en-US" w:eastAsia="en-US" w:bidi="ar-SA"/>
              </w:rPr>
              <w:t>Of 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7506.10.10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Worked foil of a thickness not exceeding 0.15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7506.10.90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7506.20.10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The following foil of a thickness not exceeding 0.15 mm: Unworked, containing by weight less than 60% of nickel;</w:t>
            </w:r>
          </w:p>
        </w:tc>
      </w:tr>
    </w:tbl>
    <w:p>
      <w:pPr>
        <w:pStyle w:val="Normal"/>
      </w:pPr>
      <w:r>
        <w:t>Worked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7506.20.90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7507.12.00</w:t>
            </w:r>
          </w:p>
        </w:tc>
        <w:tc>
          <w:tcPr>
            <w:tcW w:w="4679" w:type="dxa"/>
            <w:tcMar>
              <w:top w:w="70" w:type="dxa"/>
              <w:start w:w="110" w:type="dxa"/>
              <w:bottom w:w="70" w:type="dxa"/>
              <w:end w:w="110" w:type="dxa"/>
            </w:tcMar>
            <w:vAlign w:val="center"/>
          </w:tcPr>
          <w:p>
            <w:pPr>
              <w:pStyle w:val="TableText"/>
              <w:jc w:val="left"/>
            </w:pPr>
            <w:r>
              <w:rPr>
                <w:lang w:val="en-US" w:eastAsia="en-US" w:bidi="ar-SA"/>
              </w:rPr>
              <w:t>Of 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Tube or pipe fittings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7508.10.00</w:t>
            </w:r>
          </w:p>
        </w:tc>
        <w:tc>
          <w:tcPr>
            <w:tcW w:w="4679" w:type="dxa"/>
            <w:tcMar>
              <w:top w:w="70" w:type="dxa"/>
              <w:start w:w="110" w:type="dxa"/>
              <w:bottom w:w="70" w:type="dxa"/>
              <w:end w:w="110" w:type="dxa"/>
            </w:tcMar>
            <w:vAlign w:val="center"/>
          </w:tcPr>
          <w:p>
            <w:pPr>
              <w:pStyle w:val="TableText"/>
              <w:jc w:val="left"/>
            </w:pPr>
            <w:r>
              <w:rPr>
                <w:lang w:val="en-US" w:eastAsia="en-US" w:bidi="ar-SA"/>
              </w:rPr>
              <w:t>Cloth, grill and netting, of nickel wire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Anodes for electroplating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7601.10.00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Aluminum,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7601.20.00</w:t>
            </w:r>
          </w:p>
        </w:tc>
        <w:tc>
          <w:tcPr>
            <w:tcW w:w="4679" w:type="dxa"/>
            <w:tcMar>
              <w:top w:w="70" w:type="dxa"/>
              <w:start w:w="110" w:type="dxa"/>
              <w:bottom w:w="70" w:type="dxa"/>
              <w:end w:w="110" w:type="dxa"/>
            </w:tcMar>
            <w:vAlign w:val="center"/>
          </w:tcPr>
          <w:p>
            <w:pPr>
              <w:pStyle w:val="TableText"/>
              <w:jc w:val="left"/>
            </w:pPr>
            <w:r>
              <w:rPr>
                <w:lang w:val="en-US" w:eastAsia="en-US" w:bidi="ar-SA"/>
              </w:rPr>
              <w:t>Aluminum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7602.00.00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Aluminum waste and scrap.</w:t>
            </w:r>
          </w:p>
        </w:tc>
      </w:tr>
    </w:tbl>
    <w:p>
      <w:pPr>
        <w:pStyle w:val="Normal"/>
      </w:pPr>
      <w:r>
        <w:t>7603.10.00 Powders of non-lamellar structure 7603.20.00 Powders of lamellar structure; flakes 7604.10.00 Of aluminum, not alloyed 7604.21.00 Hollow profiles 7604.29.00 Other 7605.11.00 Of which the maximum cross-sectional dimension exceeds 7 mm 7605.19.00 Other 7605.21.00 Of which the maximum cross-sectional dimension exceeds 7 mm 7605.29.00 Other 7606.11.00 Of aluminum, not alloyed 7606.12.00 Of aluminum alloys 7606.91.00 Of aluminum, not alloyed 7606.92.00 Of aluminum alloys 7607.11.00 Rolled but not further worked 7607.19.00 Other 7607.20.10 For use in the manufacture of 960 ml beverage containers; Of a thickness of less than 0.127 mm, embossed, not printed 7607.20.90 Other 7608.10.00 Of aluminum, not alloyed 7608.20.00 Of aluminum alloys 7609.00.00 Aluminum tube or pipe fittings (for example, couplings, elbows, sleeves). 7610.10.00 Doors, windows and their frames and thresholds for doors 7610.90.10 For use in Canadian manufactures 7610.90.90 Other 7611.00.00 Aluminum reservoirs, tanks, vats and similar containers, for any material (other than compressed or liquefied gas), of a capacity exceeding 300 litres, whether or not lined or heat-insulated, but not fitted with mechanical or thermal equipment.</w:t>
      </w:r>
    </w:p>
    <w:p>
      <w:pPr>
        <w:pStyle w:val="Normal"/>
      </w:pPr>
      <w:r>
        <w:t>7612.10.00 Collapsible tubular containers 7612.90.10 Aerosol containers, excluding three-piece cans without inserts having a base diameter of 50 mm or more but not exceeding 80 mm 7612.90.91 Other: Embossed aluminum cans for use in the packaging of beverages 7612.90.99 Other: Other 7613.00.00 Aluminum containers for compressed or liquefied gas. 7614.10.00 With steel core 7614.90.00 Other 7615.10.00 Table, kitchen or other household articles and parts thereof; pot scourers and scouring or polishing pads, gloves and the like 7615.20.00 Sanitary ware and parts thereof 7616.10.00 Nails, tacks, staples (other than those of heading 83.05), screws, bolts, nuts, screw hooks, rivets, cotters, cotter-pins, washers and similar articles 7616.91.00 Cloth, grill, netting and fencing, of aluminum wire 7616.99.10 Cups for use in the manufacture of candles; Ferrules for use in the manufacture of pencils; Fish egg incubators and parts thereof; For climbing or mountaineering; Identification bands for migratory birds; Pigeon countermark leg bands;</w:t>
      </w:r>
    </w:p>
    <w:p>
      <w:pPr>
        <w:pStyle w:val="Normal"/>
      </w:pPr>
      <w:r>
        <w:t>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7616.99.90 Other 7801.10.00 Refined lead 7801.91.00 Containing</w:t>
      </w:r>
    </w:p>
    <w:p>
      <w:pPr>
        <w:pStyle w:val="Normal"/>
      </w:pPr>
      <w:r>
        <w:t>by weight antimony as the principal other element 7801.99.00 Other 7802.00.00 Lead waste and scrap. 7804.11.00 Sheets, strip and foil of a thickness (excluding any backing) not exceeding 0.2 mm 7804.19.00 Other 7804.20.00 Powders and flakes 7806.00.00 Other articles of lead. 7901.11.00 Containing by weight 99.99% or more of zinc 7901.12.00 Containing by weight less than 99.99% of zinc 7901.20.00 Zinc alloys 7902.00.00 Zinc waste and scrap. 7903.10.00 Zinc dust 7903.90.00 Other 7904.00.00 Zinc bars, rods, profiles and wire. 7905.00.00 Zinc plates, sheets, strip and foil. 7907.00.30 For use in Canadian manufactures 7907.00.91 Other: Anodes for electroplating 7907.00.92 Other: Discs or slugs, containing by weight 90% or more of zinc; Gutters, roof capping, skylight frames and other fabricated building components; Zinc tubes, pipes and tube or pipe fittings (for example couplings, elbows, sleeves) 7907.00.99 Other: Other 8001.10.00 Tin, not alloyed 8001.20.00 Tin alloys 8002.00.00 Tin waste and scrap. 8003.00.00 Tin bars, rods, profiles and wire.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8007.00.10</w:t>
            </w:r>
          </w:p>
        </w:tc>
        <w:tc>
          <w:tcPr>
            <w:tcW w:w="4679" w:type="dxa"/>
            <w:tcMar>
              <w:top w:w="70" w:type="dxa"/>
              <w:start w:w="110" w:type="dxa"/>
              <w:bottom w:w="70" w:type="dxa"/>
              <w:end w:w="110" w:type="dxa"/>
            </w:tcMar>
            <w:vAlign w:val="center"/>
          </w:tcPr>
          <w:p>
            <w:pPr>
              <w:pStyle w:val="TableText"/>
              <w:jc w:val="left"/>
            </w:pPr>
            <w:r>
              <w:rPr>
                <w:lang w:val="en-US" w:eastAsia="en-US" w:bidi="ar-SA"/>
              </w:rPr>
              <w:t>Foil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8007.00.20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Tin plates, sheets and strip, of a thickness exceeding 0.2 mm; Tin tubes, pipes and tube or pipe fittings (for example, couplings, elbows, sleeves)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8007.00.30</w:t>
            </w:r>
          </w:p>
        </w:tc>
        <w:tc>
          <w:tcPr>
            <w:tcW w:w="4679" w:type="dxa"/>
            <w:tcMar>
              <w:top w:w="70" w:type="dxa"/>
              <w:start w:w="110" w:type="dxa"/>
              <w:bottom w:w="70" w:type="dxa"/>
              <w:end w:w="110" w:type="dxa"/>
            </w:tcMar>
            <w:vAlign w:val="center"/>
          </w:tcPr>
          <w:p>
            <w:pPr>
              <w:pStyle w:val="TableText"/>
              <w:jc w:val="left"/>
            </w:pPr>
            <w:r>
              <w:rPr>
                <w:lang w:val="en-US" w:eastAsia="en-US" w:bidi="ar-SA"/>
              </w:rPr>
              <w:t>Powders and flakes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8007.00.90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8101.10.00</w:t>
            </w:r>
          </w:p>
        </w:tc>
        <w:tc>
          <w:tcPr>
            <w:tcW w:w="4679" w:type="dxa"/>
            <w:tcMar>
              <w:top w:w="70" w:type="dxa"/>
              <w:start w:w="110" w:type="dxa"/>
              <w:bottom w:w="70" w:type="dxa"/>
              <w:end w:w="110" w:type="dxa"/>
            </w:tcMar>
            <w:vAlign w:val="center"/>
          </w:tcPr>
          <w:p>
            <w:pPr>
              <w:pStyle w:val="TableText"/>
              <w:jc w:val="left"/>
            </w:pPr>
            <w:r>
              <w:rPr>
                <w:lang w:val="en-US" w:eastAsia="en-US" w:bidi="ar-SA"/>
              </w:rPr>
              <w:t>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8101.94.00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tungsten, including bars and rods obtained simply by sintering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8101.96.00</w:t>
            </w:r>
          </w:p>
        </w:tc>
        <w:tc>
          <w:tcPr>
            <w:tcW w:w="4679" w:type="dxa"/>
            <w:tcMar>
              <w:top w:w="70" w:type="dxa"/>
              <w:start w:w="110" w:type="dxa"/>
              <w:bottom w:w="70" w:type="dxa"/>
              <w:end w:w="110" w:type="dxa"/>
            </w:tcMar>
            <w:vAlign w:val="center"/>
          </w:tcPr>
          <w:p>
            <w:pPr>
              <w:pStyle w:val="TableText"/>
              <w:jc w:val="left"/>
            </w:pPr>
            <w:r>
              <w:rPr>
                <w:lang w:val="en-US" w:eastAsia="en-US" w:bidi="ar-SA"/>
              </w:rPr>
              <w:t>Wire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8101.97.00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8101.99.00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8102.94.00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molybdenum, including bars and rods obtained simply by sintering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8102.95.10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Bars and rods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8102.95.20</w:t>
            </w:r>
          </w:p>
        </w:tc>
        <w:tc>
          <w:tcPr>
            <w:tcW w:w="4679" w:type="dxa"/>
            <w:tcMar>
              <w:top w:w="70" w:type="dxa"/>
              <w:start w:w="110" w:type="dxa"/>
              <w:bottom w:w="70" w:type="dxa"/>
              <w:end w:w="110" w:type="dxa"/>
            </w:tcMar>
            <w:vAlign w:val="center"/>
          </w:tcPr>
          <w:p>
            <w:pPr>
              <w:pStyle w:val="TableText"/>
              <w:jc w:val="left"/>
            </w:pPr>
            <w:r>
              <w:rPr>
                <w:lang w:val="en-US" w:eastAsia="en-US" w:bidi="ar-SA"/>
              </w:rPr>
              <w:t>Profiles, plates, sheets, strip and foil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8102.96.00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8102.97.00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8103.20.00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tantalum, including bars and rods obtained simply by sintering;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8104.11.00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at least 99.8% by weight of magnesium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8104.19.00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8104.30.00</w:t>
            </w:r>
          </w:p>
        </w:tc>
        <w:tc>
          <w:tcPr>
            <w:tcW w:w="4679" w:type="dxa"/>
            <w:tcMar>
              <w:top w:w="70" w:type="dxa"/>
              <w:start w:w="110" w:type="dxa"/>
              <w:bottom w:w="70" w:type="dxa"/>
              <w:end w:w="110" w:type="dxa"/>
            </w:tcMar>
            <w:vAlign w:val="center"/>
          </w:tcPr>
          <w:p>
            <w:pPr>
              <w:pStyle w:val="TableText"/>
              <w:jc w:val="left"/>
            </w:pPr>
            <w:r>
              <w:rPr>
                <w:lang w:val="en-US" w:eastAsia="en-US" w:bidi="ar-SA"/>
              </w:rPr>
              <w:t>Raspings, turnings and granules, graded according to size;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8105.20.00</w:t>
            </w:r>
          </w:p>
        </w:tc>
        <w:tc>
          <w:tcPr>
            <w:tcW w:w="4679" w:type="dxa"/>
            <w:tcMar>
              <w:top w:w="70" w:type="dxa"/>
              <w:start w:w="110" w:type="dxa"/>
              <w:bottom w:w="70" w:type="dxa"/>
              <w:end w:w="110" w:type="dxa"/>
            </w:tcMar>
            <w:vAlign w:val="center"/>
          </w:tcPr>
          <w:p>
            <w:pPr>
              <w:pStyle w:val="TableText"/>
              <w:jc w:val="left"/>
            </w:pPr>
            <w:r>
              <w:rPr>
                <w:lang w:val="en-US" w:eastAsia="en-US" w:bidi="ar-SA"/>
              </w:rPr>
              <w:t>Cobalt mattes and other intermediate products of cobalt metallurgy; unwrought cobalt;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8106.00.00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Bismuth and articles thereof, including waste and scrap.</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cadmium;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8107.30.00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8108.20.00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titanium;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zirconium;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8109.30.00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8110.10.00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antimony;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8111.00.11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manganese; waste and scrap: Unwrought manganese,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8111.00.12</w:t>
            </w:r>
          </w:p>
        </w:tc>
        <w:tc>
          <w:tcPr>
            <w:tcW w:w="4679" w:type="dxa"/>
            <w:tcMar>
              <w:top w:w="70" w:type="dxa"/>
              <w:start w:w="110" w:type="dxa"/>
              <w:bottom w:w="70" w:type="dxa"/>
              <w:end w:w="110" w:type="dxa"/>
            </w:tcMar>
            <w:vAlign w:val="center"/>
          </w:tcPr>
          <w:p>
            <w:pPr>
              <w:pStyle w:val="TableText"/>
              <w:jc w:val="left"/>
            </w:pPr>
            <w:r>
              <w:rPr>
                <w:lang w:val="en-US" w:eastAsia="en-US" w:bidi="ar-SA"/>
              </w:rPr>
              <w:t>Unwrought manganese; waste and scrap: Unwrought manganese, alloyed; 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8111.00.21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Powders: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8111.00.22</w:t>
            </w:r>
          </w:p>
        </w:tc>
        <w:tc>
          <w:tcPr>
            <w:tcW w:w="4679" w:type="dxa"/>
            <w:tcMar>
              <w:top w:w="70" w:type="dxa"/>
              <w:start w:w="110" w:type="dxa"/>
              <w:bottom w:w="70" w:type="dxa"/>
              <w:end w:w="110" w:type="dxa"/>
            </w:tcMar>
            <w:vAlign w:val="center"/>
          </w:tcPr>
          <w:p>
            <w:pPr>
              <w:pStyle w:val="TableText"/>
              <w:jc w:val="left"/>
            </w:pPr>
            <w:r>
              <w:rPr>
                <w:lang w:val="en-US" w:eastAsia="en-US" w:bidi="ar-SA"/>
              </w:rPr>
              <w:t>Powders: Alloyed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8111.00.40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manganese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8112.12.00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8112.22.00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8112.51.00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waste and scrap;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Cermets and articles thereof, including waste and scrap.</w:t>
            </w:r>
          </w:p>
        </w:tc>
      </w:tr>
    </w:tbl>
    <w:p>
      <w:pPr>
        <w:pStyle w:val="Normal"/>
      </w:pPr>
      <w:r>
        <w:t>8201.10.10 Heads for use in the manufacture or production of spades and shovels 8201.10.90 Other 8201.30.10 Heads for use in the manufacture or production of mattocks, picks, hoes or rakes; Mattocks and picks for climbing or mountaineering 8201.30.90 Other 8201.40.10 For climbing or mountaineering; Heads for use in the manufacture or production of axes, bill hooks and similar hewing tools 8201.40.90 Other 8201.50.00 Secateurs and similar one-handed pruners and shears (including poultry shears) 8201.60.10 Pruning shears 8201.60.90 Other 8201.90.10 Post-hole diggers; Pruning hooks 8201.90.21 Forks: Forged, for use in the manufacture of pronged forks 8201.90.29 Forks: Other 8201.90.91 Other: Heads for use in the manufacture or production of other hand tools of a kind used in agriculture, horticulture or forestry 8201.90.99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8202.10.00</w:t>
            </w:r>
          </w:p>
        </w:tc>
        <w:tc>
          <w:tcPr>
            <w:tcW w:w="4679" w:type="dxa"/>
            <w:tcMar>
              <w:top w:w="70" w:type="dxa"/>
              <w:start w:w="110" w:type="dxa"/>
              <w:bottom w:w="70" w:type="dxa"/>
              <w:end w:w="110" w:type="dxa"/>
            </w:tcMar>
            <w:vAlign w:val="center"/>
          </w:tcPr>
          <w:p>
            <w:pPr>
              <w:pStyle w:val="TableText"/>
              <w:jc w:val="left"/>
            </w:pPr>
            <w:r>
              <w:rPr>
                <w:lang w:val="en-US" w:eastAsia="en-US" w:bidi="ar-SA"/>
              </w:rPr>
              <w:t>Hand saws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Band saw blades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8202.31.00</w:t>
            </w:r>
          </w:p>
        </w:tc>
        <w:tc>
          <w:tcPr>
            <w:tcW w:w="4679" w:type="dxa"/>
            <w:tcMar>
              <w:top w:w="70" w:type="dxa"/>
              <w:start w:w="110" w:type="dxa"/>
              <w:bottom w:w="70" w:type="dxa"/>
              <w:end w:w="110" w:type="dxa"/>
            </w:tcMar>
            <w:vAlign w:val="center"/>
          </w:tcPr>
          <w:p>
            <w:pPr>
              <w:pStyle w:val="TableText"/>
              <w:jc w:val="left"/>
            </w:pPr>
            <w:r>
              <w:rPr>
                <w:lang w:val="en-US" w:eastAsia="en-US" w:bidi="ar-SA"/>
              </w:rPr>
              <w:t>With working part of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including 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8202.40.00</w:t>
            </w:r>
          </w:p>
        </w:tc>
        <w:tc>
          <w:tcPr>
            <w:tcW w:w="4679" w:type="dxa"/>
            <w:tcMar>
              <w:top w:w="70" w:type="dxa"/>
              <w:start w:w="110" w:type="dxa"/>
              <w:bottom w:w="70" w:type="dxa"/>
              <w:end w:w="110" w:type="dxa"/>
            </w:tcMar>
            <w:vAlign w:val="center"/>
          </w:tcPr>
          <w:p>
            <w:pPr>
              <w:pStyle w:val="TableText"/>
              <w:jc w:val="left"/>
            </w:pPr>
            <w:r>
              <w:rPr>
                <w:lang w:val="en-US" w:eastAsia="en-US" w:bidi="ar-SA"/>
              </w:rPr>
              <w:t>Chain saw blades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8202.91.00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Straight saw blades, for working metal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Files, rasps and similar tools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8203.20.00</w:t>
            </w:r>
          </w:p>
        </w:tc>
        <w:tc>
          <w:tcPr>
            <w:tcW w:w="4679" w:type="dxa"/>
            <w:tcMar>
              <w:top w:w="70" w:type="dxa"/>
              <w:start w:w="110" w:type="dxa"/>
              <w:bottom w:w="70" w:type="dxa"/>
              <w:end w:w="110" w:type="dxa"/>
            </w:tcMar>
            <w:vAlign w:val="center"/>
          </w:tcPr>
          <w:p>
            <w:pPr>
              <w:pStyle w:val="TableText"/>
              <w:jc w:val="left"/>
            </w:pPr>
            <w:r>
              <w:rPr>
                <w:lang w:val="en-US" w:eastAsia="en-US" w:bidi="ar-SA"/>
              </w:rPr>
              <w:t>Pliers (including cutting pliers), pincers, tweezers and similar tools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8203.30.10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8203.30.90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8203.40.00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Pipe-cutters, bolt croppers, perforating punches and similar tools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8204.11.00</w:t>
            </w:r>
          </w:p>
        </w:tc>
        <w:tc>
          <w:tcPr>
            <w:tcW w:w="4679" w:type="dxa"/>
            <w:tcMar>
              <w:top w:w="70" w:type="dxa"/>
              <w:start w:w="110" w:type="dxa"/>
              <w:bottom w:w="70" w:type="dxa"/>
              <w:end w:w="110" w:type="dxa"/>
            </w:tcMar>
            <w:vAlign w:val="center"/>
          </w:tcPr>
          <w:p>
            <w:pPr>
              <w:pStyle w:val="TableText"/>
              <w:jc w:val="left"/>
            </w:pPr>
            <w:r>
              <w:rPr>
                <w:lang w:val="en-US" w:eastAsia="en-US" w:bidi="ar-SA"/>
              </w:rPr>
              <w:t>Non-adjustable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8204.12.00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Adjustable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8204.20.00</w:t>
            </w:r>
          </w:p>
        </w:tc>
        <w:tc>
          <w:tcPr>
            <w:tcW w:w="4679" w:type="dxa"/>
            <w:tcMar>
              <w:top w:w="70" w:type="dxa"/>
              <w:start w:w="110" w:type="dxa"/>
              <w:bottom w:w="70" w:type="dxa"/>
              <w:end w:w="110" w:type="dxa"/>
            </w:tcMar>
            <w:vAlign w:val="center"/>
          </w:tcPr>
          <w:p>
            <w:pPr>
              <w:pStyle w:val="TableText"/>
              <w:jc w:val="left"/>
            </w:pPr>
            <w:r>
              <w:rPr>
                <w:lang w:val="en-US" w:eastAsia="en-US" w:bidi="ar-SA"/>
              </w:rPr>
              <w:t>Interchangeable spanner sockets, with or without handles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8205.10.10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 stocks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8205.10.90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8205.20.10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climbing or mountaineering;</w:t>
            </w:r>
          </w:p>
        </w:tc>
      </w:tr>
    </w:tbl>
    <w:p>
      <w:pPr>
        <w:pStyle w:val="Normal"/>
      </w:pPr>
      <w:r>
        <w:t>Heads for use in the manufacture or production of hammers and sledge hammers 8205.20.90 Other 8205.30.00 Planes, chisels, gouges and similar cutting tools for working wood 8205.40.00 Screwdrivers 8205.51.10 Portable butane hair curlers 8205.51.90 Other 8205.59.10 For climbing or mountaineering; Heads for use in the manufacture or production of other hand tools; Livestock branding irons 8205.59.20 Stapling or tacking guns, and hammer tackers not operated by an independent hammer 8205.59.90 Other 8205.60.00 Blow lamps 8205.70.10 Clamps for use with the following surgical, dental, veterinary or diagnostic articles: Instruments; Sterilizers; Cobalt therapy units; Anaesthesia, surgical suction or oxygen administering apparatus 8205.70.20 Precision clamps and vices, for toolmakers, machinists or metal workers 8205.70.90 Other 8205.90.10 Anvils; portable forges; hand or pedal-operated grinding wheels with frameworks 8205.90.90 Other 8206.00.00 Tools of two or more of the headings 82.02 to 82.05, put up in sets for retail sale.</w:t>
      </w:r>
    </w:p>
    <w:p>
      <w:pPr>
        <w:pStyle w:val="Normal"/>
      </w:pPr>
      <w:r>
        <w:t>8207.13.00 With working part of cermets 8207.19.00 Other, including parts 8207.20.00 Dies for drawing or extruding metal 8207.30.00 Tools for pressing, stamping or punching 8207.40.00 Tools for tapping or threading 8207.50.00 Tools for drilling, other than for rock drilling 8207.60.00 Tools for boring or broaching 8207.70.00 Tools for milling 8207.80.00 Tools for turning 8207.90.10 Ball points, bushing bits, chisels, clay spades, front spades, drivers (for pipes, pins and spikes) and star drills, for portable power tools; Cutting tools, carbide tipped, for wood working; Nozzles for vacuum cleaners 8207.90.90 Other 8208.10.00 For metal working 8208.20.00 For wood working 8208.30.00 For kitchen appliances or for machines used by the food industry 8208.40.00 For agricultural, horticultural or forestry machines 8208.90.00 Other 8209.00.00 Plates, sticks, tips and the like for tools, unmounted, of cermets.</w:t>
      </w:r>
    </w:p>
    <w:p>
      <w:pPr>
        <w:pStyle w:val="Normal"/>
      </w:pPr>
      <w:r>
        <w:t>8210.00.10 Grape crushers for domestic purposes 8210.00.90 Other 8211.10.10 Table cutlery 8211.10.90 Other 8211.91.10 Carving knives 8211.91.90 Other 8211.92.00 Other knives having fixed blades 8211.93.00 Knives having other than fixed blades 8211.94.10 Blanks, of stainless steel, to specification AISI 430 or AISI 300 series, of a thickness of 1.78 mm or more, not further manufactured than stamped to shape, for use in the manufacture of flatware; Forged, including blanks of stainless steel, not further manufactured than wet ground, for use in the manufacture of table knives 8211.94.90 Other 8211.95.11 Of table knives having fixed blades: Of carving knives 8211.95.12 Of table knives having fixed blades: Hollow stainless steel handles, further manufactured than welded, of table knives other than carving knives 8211.95.13 Of table knives having fixed blades: Hollow stainless steel knife handles, not further manufactured than welded, for use in the manufacture of table knives 8211.95.19 Of table knives having fixed blades:</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8211.95.20</w:t>
            </w:r>
          </w:p>
        </w:tc>
        <w:tc>
          <w:tcPr>
            <w:tcW w:w="4679" w:type="dxa"/>
            <w:tcMar>
              <w:top w:w="70" w:type="dxa"/>
              <w:start w:w="110" w:type="dxa"/>
              <w:bottom w:w="70" w:type="dxa"/>
              <w:end w:w="110" w:type="dxa"/>
            </w:tcMar>
            <w:vAlign w:val="center"/>
          </w:tcPr>
          <w:p>
            <w:pPr>
              <w:pStyle w:val="TableText"/>
              <w:jc w:val="left"/>
            </w:pPr>
            <w:r>
              <w:rPr>
                <w:lang w:val="en-US" w:eastAsia="en-US" w:bidi="ar-SA"/>
              </w:rPr>
              <w:t>Of other knives having fixed blades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8211.95.30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knives having other than fixed blades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8212.10.00</w:t>
            </w:r>
          </w:p>
        </w:tc>
        <w:tc>
          <w:tcPr>
            <w:tcW w:w="4679" w:type="dxa"/>
            <w:tcMar>
              <w:top w:w="70" w:type="dxa"/>
              <w:start w:w="110" w:type="dxa"/>
              <w:bottom w:w="70" w:type="dxa"/>
              <w:end w:w="110" w:type="dxa"/>
            </w:tcMar>
            <w:vAlign w:val="center"/>
          </w:tcPr>
          <w:p>
            <w:pPr>
              <w:pStyle w:val="TableText"/>
              <w:jc w:val="left"/>
            </w:pPr>
            <w:r>
              <w:rPr>
                <w:lang w:val="en-US" w:eastAsia="en-US" w:bidi="ar-SA"/>
              </w:rPr>
              <w:t>Razors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Safety razor blades, including razor blade blanks in strips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8212.90.00</w:t>
            </w:r>
          </w:p>
        </w:tc>
        <w:tc>
          <w:tcPr>
            <w:tcW w:w="4679" w:type="dxa"/>
            <w:tcMar>
              <w:top w:w="70" w:type="dxa"/>
              <w:start w:w="110" w:type="dxa"/>
              <w:bottom w:w="70" w:type="dxa"/>
              <w:end w:w="110" w:type="dxa"/>
            </w:tcMar>
            <w:vAlign w:val="center"/>
          </w:tcPr>
          <w:p>
            <w:pPr>
              <w:pStyle w:val="TableText"/>
              <w:jc w:val="left"/>
            </w:pPr>
            <w:r>
              <w:rPr>
                <w:lang w:val="en-US" w:eastAsia="en-US" w:bidi="ar-SA"/>
              </w:rPr>
              <w:t>Other 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8213.00.10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Scissors and shears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8213.00.20</w:t>
            </w:r>
          </w:p>
        </w:tc>
        <w:tc>
          <w:tcPr>
            <w:tcW w:w="4679" w:type="dxa"/>
            <w:tcMar>
              <w:top w:w="70" w:type="dxa"/>
              <w:start w:w="110" w:type="dxa"/>
              <w:bottom w:w="70" w:type="dxa"/>
              <w:end w:w="110" w:type="dxa"/>
            </w:tcMar>
            <w:vAlign w:val="center"/>
          </w:tcPr>
          <w:p>
            <w:pPr>
              <w:pStyle w:val="TableText"/>
              <w:jc w:val="left"/>
            </w:pPr>
            <w:r>
              <w:rPr>
                <w:lang w:val="en-US" w:eastAsia="en-US" w:bidi="ar-SA"/>
              </w:rPr>
              <w:t>Blanks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8213.00.30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Blades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8214.10.00</w:t>
            </w:r>
          </w:p>
        </w:tc>
        <w:tc>
          <w:tcPr>
            <w:tcW w:w="4679" w:type="dxa"/>
            <w:tcMar>
              <w:top w:w="70" w:type="dxa"/>
              <w:start w:w="110" w:type="dxa"/>
              <w:bottom w:w="70" w:type="dxa"/>
              <w:end w:w="110" w:type="dxa"/>
            </w:tcMar>
            <w:vAlign w:val="center"/>
          </w:tcPr>
          <w:p>
            <w:pPr>
              <w:pStyle w:val="TableText"/>
              <w:jc w:val="left"/>
            </w:pPr>
            <w:r>
              <w:rPr>
                <w:lang w:val="en-US" w:eastAsia="en-US" w:bidi="ar-SA"/>
              </w:rPr>
              <w:t>Paper knives, letter openers, erasing knives, pencil sharpeners and blades therefor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Manicure or pedicure sets and instruments (including nail files)</w:t>
            </w:r>
          </w:p>
        </w:tc>
      </w:tr>
    </w:tbl>
    <w:p>
      <w:pPr>
        <w:pStyle w:val="Normal"/>
      </w:pPr>
      <w:r>
        <w:t>8214.90.10 Clippers for animals, for use on the farm 8214.90.90 Other 8215.10.10 Containing spoons, knives and forks, of a kind used at the table 8215.10.90 Other 8215.20.10 Containing spoons, knives and forks, of a kind used at the table 8215.20.90 Other 8215.91.10 Spoons or forks, of a kind used at the table 8215.91.90 Other 8215.99.10 Spoons or forks, of a kind used at the table 8215.99.20 Spoon blanks and table forks in the rough 8215.99.90 Other 8301.10.00 Padlocks 8301.20.00 Locks of a kind used for motor vehicles 8301.30.00 Locks of a kind used for furniture 8301.40.10 For use in the manufacture of portfolios, luggage or tackle boxes 8301.40.20 Key-operated security locks for use in the manufacture of casement or awning windows 8301.40.90 Other 8301.50.00 Clasps and frames with clasps, incorporating locks 8301.60.00 Parts 8301.70.10 To be employed as original equipment in the manufacture of passenger automobiles, trucks or buses 8301.70.90 Other 8302.10.00 Hinges 8302.20.00 Castors 8302.30.10 Brackets or clamps for use in the manufacture of aftermarket gas tanks and radiators for motor vehicles;</w:t>
      </w:r>
    </w:p>
    <w:p>
      <w:pPr>
        <w:pStyle w:val="Normal"/>
      </w:pPr>
      <w:r>
        <w:t>Brackets or clamps of steel for use in the manufacture of hose assemblies for brake and steering systems for motorcycles or all- terrain vehicles; For use in the manufacture of fire fighting vehicles 8302.30.90 Other 8302.41.10 Bar or rod type door exit devices, for commercial, institutional or industrial applications; For use in the manufacture or repair of rotary gear window</w:t>
      </w:r>
    </w:p>
    <w:p>
      <w:pPr>
        <w:pStyle w:val="Normal"/>
      </w:pPr>
      <w:r>
        <w:t>operators; Rotary gear window operators; Snub-guides, lever-lock operators, torsion bars and centre hooks for lever-lock or rotary gear window operators, sash locks (excluding peg locks) and keepers for key-operated security locks or sash locks (excluding peg-locks), for use in the manufacture of casement or awning windows 8302.41.90 Other 8302.42.00 Other, suitable for furniture 8302.49.00 Other 8302.50.00 Hat-racks, hat-pegs, brackets and similar fixtures 8302.60.10 Hydraulic; Other, for use in the manufacture of railway or tramway passenger coaches 8302.60.90 Other 8303.00.00 Armoured or reinforced safes, strong-boxes and doors and safe deposit lockers for strong-rooms, cash or deed boxes and the like, of base metal. 8304.00.00 Filing cabinets, card-index cabinets, paper trays, paper rests, pen trays, office-stamp stands and similar office or desk equipment, of base metal, other than office furniture of heading 94.03.</w:t>
      </w:r>
    </w:p>
    <w:p>
      <w:pPr>
        <w:pStyle w:val="Normal"/>
      </w:pPr>
      <w:r>
        <w:t>8305.10.10 For use in the manufacture of multiple ring binders 8305.10.90 Other 8305.20.00 Staples in strips 8305.90.00 Other, including parts 8306.10.10 Church bells 8306.10.90 Other 8306.21.00 Plated with precious metal 8306.29.00 Other 8306.30.00 Photograph, picture or similar frames; mirrors 8307.10.00 Of iron or steel 8307.90.00 Of other base metal 8308.10.00 Hooks, eyes and eyelets 8308.20.00 Tubular or bifurcated rivets 8308.90.00 Other, including parts 8309.10.00 Crown corks 8309.90.00 Other 8310.00.00 Sign-plates, name-plates, address-plates and similar plates, numbers, letters and other symbols, of base metal, excluding those of heading 94.05. 8311.10.00 Coated electrodes of base metal, for electric arc-welding 8311.20.00 Cored wire of base metal, for electric arc-welding 8311.30.00 Coated rods and cored wire, of base metal, for soldering, brazing or welding by flame 8311.90.00 Other 8401.10.00 Nuclear reactors 8401.20.00 Machinery and apparatus for isotopic separation, and parts thereof 8401.30.00 Fuel elements (cartridges), non-irradiated 8401.40.00 Parts of nuclear reactors 8402.11.00 Watertube boilers with a steam production exceeding 45 tonnes per hour 8402.12.00 Watertube boilers with a steam production not exceeding 45 tonnes per hour 8402.19.00 Other vapour generating boilers, including hybrid boilers 8402.20.00 Super-heated water boilers 8402.90.00 Parts 8403.10.00 Boilers 8403.90.00 Parts 8404.10.00 Auxiliary plant for use with boilers of heading 84.02</w:t>
      </w:r>
    </w:p>
    <w:p>
      <w:pPr>
        <w:pStyle w:val="Normal"/>
      </w:pPr>
      <w:r>
        <w:t>or 84.03 8404.20.00 Condensers for steam or other vapour power units 8404.90.00 Parts 8405.10.00 Producer gas or water gas generators, with or without their purifiers; acetylene gas generators and similar water process gas generators, with or without their purifiers 8405.90.00 Parts 8406.10.00 Turbines for marine propulsion 8406.81.00 Of an output exceeding 40 MW 8406.82.00 Of an output of not exceeding 40 MW 8406.90.10 Blade diaphragms, spindle discs and shafts, wholly or in chief part of metal, for the repair or remanufacture of steam turbines or parts thereof; Electro-mechanical speed regulators and parts thereof, for steam turbines 8406.90.21 Other parts of the goods of tariff item No. 8406.10.00: Rotors, not further advanced than cleaned or machined for removal of fins, gates, sprues or risers, or to permit location in finishing machinery 8406.90.22 Other parts of the goods of tariff item No. 8406.10.00: Rotors, finished for final assembly 8406.90.23 Other parts of the goods of tariff item No. 8406.10.00: Blades, rotating or stationary 8406.90.29 Other parts of the goods of tariff item No. 8406.10.00: Other 8406.90.31 Other parts of the goods of tariff item No.</w:t>
      </w:r>
    </w:p>
    <w:p>
      <w:pPr>
        <w:pStyle w:val="Normal"/>
      </w:pPr>
      <w:r>
        <w:t>8406.81.00 or 8406.82.00: Rotors, not further advanced than cleaned or machined for removal of fins, gates, sprues or risers, or to permit location in finishing machinery, wholly or in chief part of metal, for the repair or remanufacture of steam turbines or parts thereof 8406.90.32 Other parts of the goods of tariff item No. 8406.81.00 or 8406.82.00: Other rotors, not further advanced than cleaned or machined for removal of fins, gates, sprues or risers, or to permit location in finishing machinery 8406.90.33 Other parts of the goods of tariff item No. 8406.81.00 or 8406.82.00: Rotors, finished for final assembly, wholly or in chief part of metal, for the repair or remanufacture of steam turbines or parts thereof 8406.90.34 Other parts of the goods of tariff item No. 8406.81.00 or 8406.82.00: Other rotors, finished for final assembly 8406.90.35 Other parts of the goods of tariff item No. 8406.81.00 or 8406.82.00: Other rotors, wholly or in chief part of metal, for the repair or remanufacture of steam turbines or parts thereof 8406.90.36 Other parts of the goods of tariff item No.</w:t>
      </w:r>
    </w:p>
    <w:p>
      <w:pPr>
        <w:pStyle w:val="Normal"/>
      </w:pPr>
      <w:r>
        <w:t>8406.81.00 or 8406.82.00: Blades, rotating or stationary, wholly or chief part of metal, for the repair or remanufacture of steam turbines or parts thereof 8406.90.37 Other parts of the goods of tariff item No. 8406.81.00 or 8406.82.00: Other blades, rotating or stationary 8406.90.39 Other parts of the goods of tariff item No.</w:t>
      </w:r>
    </w:p>
    <w:p>
      <w:pPr>
        <w:pStyle w:val="Normal"/>
      </w:pPr>
      <w:r>
        <w:t>8406.81.00 or 8406.82.00: Other 8407.10.00 Aircraft engines 8407.21.00 Outboard motors 8407.29.10 Inboard-outboard engines 8407.29.20 Inboard engines 8407.31.00 Of a cylinder capacity not exceeding 50 cc 8407.32.00 Of a cylinder capacity exceeding 50 cc but not exceeding 250 cc 8407.33.00 Of a cylinder capacity exceeding 250 cc but not exceeding 1,000 cc 8407.34.10 Of a cylinder capacity not exceeding 2,000 cc 8407.34.21 Of a cylinder capacity exceeding 2,000 cc: For use in the repair of road tractors for semi-trailers, motor vehicles for the transport of ten or more persons (including the driver), ambulances, hearses, motor vehicles for the transport of goods, fire fighting vehicles, or chassis for the foregoing vehicles, or for use in the manufacture of repair parts therefor 8407.34.29 Of a cylinder capacity exceeding 2,000 cc:</w:t>
      </w:r>
    </w:p>
    <w:p>
      <w:pPr>
        <w:pStyle w:val="Normal"/>
      </w:pPr>
      <w:r>
        <w:t>Other 8407.90.00 Other engines 8408.10.00 Marine propulsion engines 8408.20.00 Engines of a kind used for the propulsion of vehicles of Chapter 8408.90.00 Other engines 8409.10.00 For aircraft engines 8409.91.00 Suitable for use solely or principally with spark-ignition internal combustion piston engines 8409.99.00 Other 8410.11.10 Hydraulic turbines 8410.11.20 Water wheels 8410.12.10 Hydraulic turbines 8410.12.20 Water wheels 8410.13.10 Hydraulic turbines 8410.13.20 Water wheels 8410.90.10 Electro-mechanical speed regulators, and parts thereof, for hydraulic turbines; Stay rings, turbine shafts, runner parts, bottom rings, wicket gates and head</w:t>
      </w:r>
    </w:p>
    <w:p>
      <w:pPr>
        <w:pStyle w:val="Normal"/>
      </w:pPr>
      <w:r>
        <w:t>covers, for use in the manufacture of hydraulic turbines of a power exceeding 100 MW 8410.90.20 Other parts of hydraulic turbines 8410.90.30 Parts of water wheels 8411.11.00 Of a thrust not exceeding 25 kN 8411.12.00 Of a thrust exceeding 25 kN 8411.21.00 Of a power not exceeding 1,100 kW 8411.22.00 Of a power exceeding 1,100 kW 8411.81.00 Of a power not exceeding 5,000 kW 8411.82.10 Of a power exceeding 44,742 kW, to be employed in the exploration, discovery, development, maintenance, testing, depletion or production of water, oil or natural gas wells, in mining or quarrying, or in the distillation or recovery of products from natural gas; Of a power of 12,682 kW or more but not exceeding 14,547 kW, for use in the manufacture of compressor sets 8411.82.20 For use in the manufacture of generator sets;</w:t>
      </w:r>
    </w:p>
    <w:p>
      <w:pPr>
        <w:pStyle w:val="Normal"/>
      </w:pPr>
      <w:r>
        <w:t>Of a power of less than 12,682 kW or exceeding 14,547 kW but not exceeding 20,000 kW, for use in the manufacture of compressor sets 8411.82.90 Other 8411.91.00 Of turbo-jets or turbo-propellers 8411.99.00 Other 8412.10.00 Reaction engines other than turbo-jets 8412.21.00 Linear acting (cylinders) 8412.29.00 Other 8412.31.00 Linear acting (cylinders) 8412.39.00 Other 8412.80.00 Other 8412.90.00 Parts 8413.11.10 For dispensing gasoline, diesel fuel, liquid natural gas or liquid propane 8413.11.90 Other 8413.19.10 For dispensing fuel oil; Skid-mounted pumps for dispensing fuel for helicopters 8413.19.90 Other 8413.20.00 Hand pumps, other than those of subheading 8413.11 or 8413.19</w:t>
      </w:r>
    </w:p>
    <w:p>
      <w:pPr>
        <w:pStyle w:val="Normal"/>
      </w:pPr>
      <w:r>
        <w:t>8413.30.00 Fuel, lubricating or cooling medium pumps for internal combustion piston engines 8413.40.00 Concrete pumps 8413.50.00 Other reciprocating positive displacement pumps 8413.60.00 Other rotary positive displacement pumps 8413.70.10 Battery operated, for recreational vehicles and boats; Canned rotor; De-foaming type; Drinking fountain; For food, pharmaceutical or similar applications; For swimming pools; Heat transfer, oil type; Magnetic drive chemical; Milk; Molten metal; Multi-stage single suction, with head over 5,516 kPa; Of a power not exceeding 250 kW, for pulp manufacturing; Portable, engine type, capable of producing a minimum pressure boost of 1,034 kPa, maintaining a flow rate exceeding 700 l/m at that pressure; Solar powered; Submersible slurry, agitator type; Transformer oil circulation pumps; Vertical slurry, of cantilever shaft design, having a pump discharge flange size of a diameter of 50.8 cm or more, for track- laying machines to be employed in mining, recovering and producing crude oil from shales, oil-sands or tar-sands; With speed variators, for the wine and juice making industries 8413.70.91 Other: Submersible pumps 8413.70.99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8413.81.00</w:t>
            </w:r>
          </w:p>
        </w:tc>
        <w:tc>
          <w:tcPr>
            <w:tcW w:w="4679" w:type="dxa"/>
            <w:tcMar>
              <w:top w:w="70" w:type="dxa"/>
              <w:start w:w="110" w:type="dxa"/>
              <w:bottom w:w="70" w:type="dxa"/>
              <w:end w:w="110" w:type="dxa"/>
            </w:tcMar>
            <w:vAlign w:val="center"/>
          </w:tcPr>
          <w:p>
            <w:pPr>
              <w:pStyle w:val="TableText"/>
              <w:jc w:val="left"/>
            </w:pPr>
            <w:r>
              <w:rPr>
                <w:lang w:val="en-US" w:eastAsia="en-US" w:bidi="ar-SA"/>
              </w:rPr>
              <w:t>Pumps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8413.82.00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Liquid elevators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8413.91.00</w:t>
            </w:r>
          </w:p>
        </w:tc>
        <w:tc>
          <w:tcPr>
            <w:tcW w:w="4679" w:type="dxa"/>
            <w:tcMar>
              <w:top w:w="70" w:type="dxa"/>
              <w:start w:w="110" w:type="dxa"/>
              <w:bottom w:w="70" w:type="dxa"/>
              <w:end w:w="110" w:type="dxa"/>
            </w:tcMar>
            <w:vAlign w:val="center"/>
          </w:tcPr>
          <w:p>
            <w:pPr>
              <w:pStyle w:val="TableText"/>
              <w:jc w:val="left"/>
            </w:pPr>
            <w:r>
              <w:rPr>
                <w:lang w:val="en-US" w:eastAsia="en-US" w:bidi="ar-SA"/>
              </w:rPr>
              <w:t>Of pumps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8413.92.00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liquid elevators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8414.10.00</w:t>
            </w:r>
          </w:p>
        </w:tc>
        <w:tc>
          <w:tcPr>
            <w:tcW w:w="4679" w:type="dxa"/>
            <w:tcMar>
              <w:top w:w="70" w:type="dxa"/>
              <w:start w:w="110" w:type="dxa"/>
              <w:bottom w:w="70" w:type="dxa"/>
              <w:end w:w="110" w:type="dxa"/>
            </w:tcMar>
            <w:vAlign w:val="center"/>
          </w:tcPr>
          <w:p>
            <w:pPr>
              <w:pStyle w:val="TableText"/>
              <w:jc w:val="left"/>
            </w:pPr>
            <w:r>
              <w:rPr>
                <w:lang w:val="en-US" w:eastAsia="en-US" w:bidi="ar-SA"/>
              </w:rPr>
              <w:t>Vacuum pumps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Hand- or foot-operated air pumps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8414.30.00</w:t>
            </w:r>
          </w:p>
        </w:tc>
        <w:tc>
          <w:tcPr>
            <w:tcW w:w="4679" w:type="dxa"/>
            <w:tcMar>
              <w:top w:w="70" w:type="dxa"/>
              <w:start w:w="110" w:type="dxa"/>
              <w:bottom w:w="70" w:type="dxa"/>
              <w:end w:w="110" w:type="dxa"/>
            </w:tcMar>
            <w:vAlign w:val="center"/>
          </w:tcPr>
          <w:p>
            <w:pPr>
              <w:pStyle w:val="TableText"/>
              <w:jc w:val="left"/>
            </w:pPr>
            <w:r>
              <w:rPr>
                <w:lang w:val="en-US" w:eastAsia="en-US" w:bidi="ar-SA"/>
              </w:rPr>
              <w:t>Compressors of a kind used in refrigerating equipment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Air compressors mounted on a wheeled chassis for towing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8414.51.10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Personal fans, mains powered; Table fans, single or variable speed, oscillating 8414.51.90 Other 8414.59.00 Other 8414.60.00 Hoods having a maximum horizontal side not exceeding 120 cm 8414.80.10 Turbochargers and superchargers for use in motor vehicles of Chapter 87 8414.80.90 Other 8414.90.10 Stators and rotors for compressors for use in refrigerating equipment 8414.90.90 Other 8415.10.00 Of a kind designed to be fixed to a window, wall, ceiling or floor, self-contained or “split-system” 8415.20.00 Of a kind used for persons, in motor vehicles 8415.81.10 The following, excluding mini-split heat pumps and air conditioner units: Single packaged or split-system, of a heat transfer capacity not exceeding 15.8 kW (53,900 BTU per hour); Water source, vertical, horizontal and console types, of a heat transfer capacity not exceeding 34.8 kW (118,700 BTU per hour) 8415.81.90 Other 8415.82.10 Domestic heat pumps and air conditioners, ductless split-systems; Portable type, of a weight not exceeding 25 kg and of a heat transfer capacity not exceeding 1.8 kW (6,000 BTU per hour); Truck heater/air conditioners 8415.82.91 Other: Central station air handlers;</w:t>
      </w:r>
    </w:p>
    <w:p>
      <w:pPr>
        <w:pStyle w:val="Normal"/>
      </w:pPr>
      <w:r>
        <w:t>Combination terminal units, water source or air to air, of a heat transfer capacity not exceeding 5.8 kW (19,800 BTU per hour); Fan coil units; For off-highway vehicles; For humidity and dust sensitive areas, of a heat transfer capacity not exceeding 71.1 kW (242,700 BTU per hour); Single packaged, combination, of a heat transfer</w:t>
      </w:r>
    </w:p>
    <w:p>
      <w:pPr>
        <w:pStyle w:val="Normal"/>
      </w:pPr>
      <w:r>
        <w:t>capacity not exceeding 15.8 kW (53,900 BTU per hour); Split-system, of a heat transfer capacity not exceeding 47.4 kW (161,800 per hour); Water source, of a heat transfer capacity not exceeding 34.8 kW (118,700 BTU per hour) 8415.82.99 Other: Other 8415.83.00 Not incorporating a refrigerating unit 8415.90.11 Of the goods of tariff item No. 8415.10.00, 8415.20.00, 8415.81.90, 8415.82.10, 8415.82.99 or 8415.83.00: Chassis, chassis bases or outer cabinets 8415.90.19 Of the goods of tariff item No. 8415.10.00, 8415.20.00, 8415.81.90, 8415.82.10, 8415.82.99 or 8415.83.00: Other 8415.90.21 Of the goods of tariff item No. 8415.20.00, 8415.81.10, 8415.82.91 or 8415.83.00: Chassis, chassis bases or outer cabinets for use in the manufacture of the goods of these tariff items 8415.90.22 Of the goods of tariff item No. 8415.20.00, 8415.81.10, 8415.82.91 or 8415.83.00: Other chassis, chassis bases or outer cabinets 8415.90.23 Of the goods of tariff item No. 8415.20.00, 8415.81.10, 8415.82.91 or 8415.83.00: Other parts for use in the manufacture of the goods of these tariff items 8415.90.29 Of the goods of tariff item No.</w:t>
      </w:r>
    </w:p>
    <w:p>
      <w:pPr>
        <w:pStyle w:val="Normal"/>
      </w:pPr>
      <w:r>
        <w:t>8415.20.00, 8415.81.10, 8415.82.91 or 8415.83.00: Other 8416.10.00 Furnace burners for liquid fuel 8416.20.00 Other furnace burners, including combination burners 8416.30.00 Mechanical stokers, including their mechanical grates, mechanical ash dischargers and similar appliances 8416.90.00 Parts 8417.10.00 Furnaces and ovens for the roasting, melting or other heat- treatment of ores, pyrites or of metals 8417.20.00 Bakery ovens, including biscuit ovens 8417.80.00 Other 8417.90.00 Parts 8418.10.10 Absorption-type, combination gas and electric powered, designed for permanent installation in recreational vehicles and for use in the manufacture of such vehicles 8418.10.90 Other 8418.21.00 Compression-type 8418.29.00 Other 8418.30.10 Household type 8418.30.90 Other 8418.40.10 Blood bank type; Household type; With minimum temperature capability to -85°C at 30°C ambient 8418.40.90 Other 8418.50.10 Refrigerating or refrigerating-freezing type 8418.50.21 Freezing type: Display counter; Ice merchandisers; Reach-in frozen food and ice cream merchandisers, sliding, swing glass or solid door, with capacities not exceeding 2.3 m³ 8418.50.29 Freezing type: Other 8418.61.00 Heat pumps other than air conditioning machines of heading 84.15 8418.69.20 Commercial refrigerating installations (store type) 8418.69.90 Other 8418.91.10 For use in the manufacture of the goods of this heading; For the goods of tariff item No.</w:t>
      </w:r>
    </w:p>
    <w:p>
      <w:pPr>
        <w:pStyle w:val="Normal"/>
      </w:pPr>
      <w:r>
        <w:t>8418.10.10, 8418.10.90, 8418.21.00, 8418.29.00, 8418.30.10, 8418.30.90, 8418.40.10, 8418.40.90, 8418.50.10, 8418.50.29, 8418.61.00, 8418.69.20 or 8418.69.90 8418.91.20 For the goods of tariff item No. 8418.50.21 8418.99.10 Door assemblies incorporating at least two of the following: inner panel, outer panel, insulation, hinges or handles 8418.99.90 Other 8419.11.00 Instantaneous gas water heaters 8419.19.00 Other 8419.20.00 Medical, surgical or laboratory sterilizers 8419.31.00 For agricultural products 8419.32.00 For wood, paper pulp, paper or paperboard 8419.39.00 Other 8419.40.00 Distilling or rectifying plant 8419.50.00 Heat exchange units 8419.60.00 Machinery for liquefying air or other gases 8419.81.00 For making hot drinks or for cooking or heating food 8419.89.00 Other 8419.90.00 Parts 8420.10.00 Calendering or other rolling machines 8420.91.00 Cylinders 8420.99.00 Other 8421.11.00 Cream separators 8421.12.00 Clothes-dryers 8421.19.00 Other 8421.21.00 For filtering or purifying water 8421.22.00 For filtering or purifying beverages other than water 8421.23.00 Oil or petrol-filters for internal combustion engines 8421.29.00 Other 8421.31.10 Air filters for use with the goods of tariff item No.</w:t>
      </w:r>
    </w:p>
    <w:p>
      <w:pPr>
        <w:pStyle w:val="Normal"/>
      </w:pPr>
      <w:r>
        <w:t>9908.00.00; Air cleaners for use in the manufacture of asphalt pavers 8421.31.90 Other 8421.39.10 Air filter masks; Air filter systems for breathing apparatus; Air separators to be employed in the processing, smelting or refining of minerals, ores or metals; Air strippers; Class smoke evacuation cart systems; Dry cleaning solvent vapour absorbers; Filter breather systems for hydraulic reservoirs; Filters for breathing apparatus; Filtration booths, pharmaceutical preparation type; High efficiency particulate (hepa) air filters of an efficiency exceeding 99.5% (0.3 micron particulate size); High pressure air filters for air compressors; Industrial refrigerant strainers; Laundry lint filters; Sterilization cartridges; Suction line filter driers; Ultraviolet airborne disinfection systems; Y-strainers, basket strainers, duplex strainers, and automatic (self cleaning) strainers, made from plastic or having a body manufactured by a metal casting process 8421.39.20 Catalytic converters for the motor vehicles of Chapter 87 8421.39.90 Other 8421.91.10 Drying chambers for clothes-dryers and other parts of clothes- dryers incorporating drying chambers 8421.91.20 Furniture designed to receive clothes-dryers 8421.91.90 Other 8421.99.00 Other 8422.11.10 Counter-top, electric; Portable, of a width not exceeding 46 cm 8422.11.90 Other 8422.19.00 Other 8422.20.00 Machinery for cleaning or drying bottles or other containers 8422.30.00 Machinery for filling, closing, sealing, or labelling</w:t>
      </w:r>
    </w:p>
    <w:p>
      <w:pPr>
        <w:pStyle w:val="Normal"/>
      </w:pPr>
      <w:r>
        <w:t>bottles, cans, boxes, bags or other containers; machinery for capsuling bottles, jars, tubes and similar containers; machinery for aerating beverages 8422.40.00 Other packing or wrapping machinery (including heat-shrink wrapping machinery) 8422.90.10 Water containment chambers and other parts incorporating water containment chambers, for dish washing machines of the household type 8422.90.20 Door assemblies for dish washing machines of the household type 8422.90.90 Other 8423.10.00 Personal weighing machines, including baby scales; household scales 8423.20.00 Scales for continuous weighing of goods on conveyors 8423.30.00 Constant weight scales and scales for discharging a predetermined weight of material into a bag or container, including hopper scales 8423.81.00 Having a maximum weighing capacity not exceeding 30 kg 8423.82.00 Having a maximum weighing capacity exceeding 30 kg but not exceeding 5,000 kg 8423.89.00 Other 8423.90.00 Weighing machine weights of all kinds;</w:t>
      </w:r>
    </w:p>
    <w:p>
      <w:pPr>
        <w:pStyle w:val="Normal"/>
      </w:pPr>
      <w:r>
        <w:t>parts of weighing machinery</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8424.10.00</w:t>
            </w:r>
          </w:p>
        </w:tc>
        <w:tc>
          <w:tcPr>
            <w:tcW w:w="4679" w:type="dxa"/>
            <w:tcMar>
              <w:top w:w="70" w:type="dxa"/>
              <w:start w:w="110" w:type="dxa"/>
              <w:bottom w:w="70" w:type="dxa"/>
              <w:end w:w="110" w:type="dxa"/>
            </w:tcMar>
            <w:vAlign w:val="center"/>
          </w:tcPr>
          <w:p>
            <w:pPr>
              <w:pStyle w:val="TableText"/>
              <w:jc w:val="left"/>
            </w:pPr>
            <w:r>
              <w:rPr>
                <w:lang w:val="en-US" w:eastAsia="en-US" w:bidi="ar-SA"/>
              </w:rPr>
              <w:t>Fire extinguishers, whether or not charged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Spray guns and similar appliances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8424.30.00</w:t>
            </w:r>
          </w:p>
        </w:tc>
        <w:tc>
          <w:tcPr>
            <w:tcW w:w="4679" w:type="dxa"/>
            <w:tcMar>
              <w:top w:w="70" w:type="dxa"/>
              <w:start w:w="110" w:type="dxa"/>
              <w:bottom w:w="70" w:type="dxa"/>
              <w:end w:w="110" w:type="dxa"/>
            </w:tcMar>
            <w:vAlign w:val="center"/>
          </w:tcPr>
          <w:p>
            <w:pPr>
              <w:pStyle w:val="TableText"/>
              <w:jc w:val="left"/>
            </w:pPr>
            <w:r>
              <w:rPr>
                <w:lang w:val="en-US" w:eastAsia="en-US" w:bidi="ar-SA"/>
              </w:rPr>
              <w:t>Steam or sand blasting machines and similar jet projecting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Portable sprayers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Agricultural or horticultural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8424.89.00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8425.11.00</w:t>
            </w:r>
          </w:p>
        </w:tc>
        <w:tc>
          <w:tcPr>
            <w:tcW w:w="4679" w:type="dxa"/>
            <w:tcMar>
              <w:top w:w="70" w:type="dxa"/>
              <w:start w:w="110" w:type="dxa"/>
              <w:bottom w:w="70" w:type="dxa"/>
              <w:end w:w="110" w:type="dxa"/>
            </w:tcMar>
            <w:vAlign w:val="center"/>
          </w:tcPr>
          <w:p>
            <w:pPr>
              <w:pStyle w:val="TableText"/>
              <w:jc w:val="left"/>
            </w:pPr>
            <w:r>
              <w:rPr>
                <w:lang w:val="en-US" w:eastAsia="en-US" w:bidi="ar-SA"/>
              </w:rPr>
              <w:t>Powered by electric motor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8425.31.00</w:t>
            </w:r>
          </w:p>
        </w:tc>
        <w:tc>
          <w:tcPr>
            <w:tcW w:w="4679" w:type="dxa"/>
            <w:tcMar>
              <w:top w:w="70" w:type="dxa"/>
              <w:start w:w="110" w:type="dxa"/>
              <w:bottom w:w="70" w:type="dxa"/>
              <w:end w:w="110" w:type="dxa"/>
            </w:tcMar>
            <w:vAlign w:val="center"/>
          </w:tcPr>
          <w:p>
            <w:pPr>
              <w:pStyle w:val="TableText"/>
              <w:jc w:val="left"/>
            </w:pPr>
            <w:r>
              <w:rPr>
                <w:lang w:val="en-US" w:eastAsia="en-US" w:bidi="ar-SA"/>
              </w:rPr>
              <w:t>Powered by electric motor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8425.41.00</w:t>
            </w:r>
          </w:p>
        </w:tc>
        <w:tc>
          <w:tcPr>
            <w:tcW w:w="4679" w:type="dxa"/>
            <w:tcMar>
              <w:top w:w="70" w:type="dxa"/>
              <w:start w:w="110" w:type="dxa"/>
              <w:bottom w:w="70" w:type="dxa"/>
              <w:end w:w="110" w:type="dxa"/>
            </w:tcMar>
            <w:vAlign w:val="center"/>
          </w:tcPr>
          <w:p>
            <w:pPr>
              <w:pStyle w:val="TableText"/>
              <w:jc w:val="left"/>
            </w:pPr>
            <w:r>
              <w:rPr>
                <w:lang w:val="en-US" w:eastAsia="en-US" w:bidi="ar-SA"/>
              </w:rPr>
              <w:t>Built-in jacking systems of a type used in garages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8425.42.00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bl>
    <w:p>
      <w:pPr>
        <w:pStyle w:val="Normal"/>
      </w:pPr>
      <w:r>
        <w:t>jacks and hoists, hydraulic</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Overhead travelling cranes on fixed support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8426.12.00</w:t>
            </w:r>
          </w:p>
        </w:tc>
        <w:tc>
          <w:tcPr>
            <w:tcW w:w="4679" w:type="dxa"/>
            <w:tcMar>
              <w:top w:w="70" w:type="dxa"/>
              <w:start w:w="110" w:type="dxa"/>
              <w:bottom w:w="70" w:type="dxa"/>
              <w:end w:w="110" w:type="dxa"/>
            </w:tcMar>
            <w:vAlign w:val="center"/>
          </w:tcPr>
          <w:p>
            <w:pPr>
              <w:pStyle w:val="TableText"/>
              <w:jc w:val="left"/>
            </w:pPr>
            <w:r>
              <w:rPr>
                <w:lang w:val="en-US" w:eastAsia="en-US" w:bidi="ar-SA"/>
              </w:rPr>
              <w:t>Mobile lifting frames on tires and straddle carriers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8426.20.00</w:t>
            </w:r>
          </w:p>
        </w:tc>
        <w:tc>
          <w:tcPr>
            <w:tcW w:w="4679" w:type="dxa"/>
            <w:tcMar>
              <w:top w:w="70" w:type="dxa"/>
              <w:start w:w="110" w:type="dxa"/>
              <w:bottom w:w="70" w:type="dxa"/>
              <w:end w:w="110" w:type="dxa"/>
            </w:tcMar>
            <w:vAlign w:val="center"/>
          </w:tcPr>
          <w:p>
            <w:pPr>
              <w:pStyle w:val="TableText"/>
              <w:jc w:val="left"/>
            </w:pPr>
            <w:r>
              <w:rPr>
                <w:lang w:val="en-US" w:eastAsia="en-US" w:bidi="ar-SA"/>
              </w:rPr>
              <w:t>Tower cranes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Portal or pedestal jib cranes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8426.41.00</w:t>
            </w:r>
          </w:p>
        </w:tc>
        <w:tc>
          <w:tcPr>
            <w:tcW w:w="4679" w:type="dxa"/>
            <w:tcMar>
              <w:top w:w="70" w:type="dxa"/>
              <w:start w:w="110" w:type="dxa"/>
              <w:bottom w:w="70" w:type="dxa"/>
              <w:end w:w="110" w:type="dxa"/>
            </w:tcMar>
            <w:vAlign w:val="center"/>
          </w:tcPr>
          <w:p>
            <w:pPr>
              <w:pStyle w:val="TableText"/>
              <w:jc w:val="left"/>
            </w:pPr>
            <w:r>
              <w:rPr>
                <w:lang w:val="en-US" w:eastAsia="en-US" w:bidi="ar-SA"/>
              </w:rPr>
              <w:t>On tires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8426.91.00</w:t>
            </w:r>
          </w:p>
        </w:tc>
        <w:tc>
          <w:tcPr>
            <w:tcW w:w="4679" w:type="dxa"/>
            <w:tcMar>
              <w:top w:w="70" w:type="dxa"/>
              <w:start w:w="110" w:type="dxa"/>
              <w:bottom w:w="70" w:type="dxa"/>
              <w:end w:w="110" w:type="dxa"/>
            </w:tcMar>
            <w:vAlign w:val="center"/>
          </w:tcPr>
          <w:p>
            <w:pPr>
              <w:pStyle w:val="TableText"/>
              <w:jc w:val="left"/>
            </w:pPr>
            <w:r>
              <w:rPr>
                <w:lang w:val="en-US" w:eastAsia="en-US" w:bidi="ar-SA"/>
              </w:rPr>
              <w:t>Designed for mounting on road vehicles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8427.10.10</w:t>
            </w:r>
          </w:p>
        </w:tc>
        <w:tc>
          <w:tcPr>
            <w:tcW w:w="4679" w:type="dxa"/>
            <w:tcMar>
              <w:top w:w="70" w:type="dxa"/>
              <w:start w:w="110" w:type="dxa"/>
              <w:bottom w:w="70" w:type="dxa"/>
              <w:end w:w="110" w:type="dxa"/>
            </w:tcMar>
            <w:vAlign w:val="center"/>
          </w:tcPr>
          <w:p>
            <w:pPr>
              <w:pStyle w:val="TableText"/>
              <w:jc w:val="left"/>
            </w:pPr>
            <w:r>
              <w:rPr>
                <w:lang w:val="en-US" w:eastAsia="en-US" w:bidi="ar-SA"/>
              </w:rPr>
              <w:t>Rider-type, counterbalanced fork-lift trucks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8427.10.90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8427.20.11</w:t>
            </w:r>
          </w:p>
        </w:tc>
        <w:tc>
          <w:tcPr>
            <w:tcW w:w="4679" w:type="dxa"/>
            <w:tcMar>
              <w:top w:w="70" w:type="dxa"/>
              <w:start w:w="110" w:type="dxa"/>
              <w:bottom w:w="70" w:type="dxa"/>
              <w:end w:w="110" w:type="dxa"/>
            </w:tcMar>
            <w:vAlign w:val="center"/>
          </w:tcPr>
          <w:p>
            <w:pPr>
              <w:pStyle w:val="TableText"/>
              <w:jc w:val="left"/>
            </w:pPr>
            <w:r>
              <w:rPr>
                <w:lang w:val="en-US" w:eastAsia="en-US" w:bidi="ar-SA"/>
              </w:rPr>
              <w:t>Rider-type, counterbalanced fork-lift trucks: Rough terrain type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8427.20.19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Rider-type, counterbalanced fork-lift trucks: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8427.20.90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trucks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8428.10.00</w:t>
            </w:r>
          </w:p>
        </w:tc>
        <w:tc>
          <w:tcPr>
            <w:tcW w:w="4679" w:type="dxa"/>
            <w:tcMar>
              <w:top w:w="70" w:type="dxa"/>
              <w:start w:w="110" w:type="dxa"/>
              <w:bottom w:w="70" w:type="dxa"/>
              <w:end w:w="110" w:type="dxa"/>
            </w:tcMar>
            <w:vAlign w:val="center"/>
          </w:tcPr>
          <w:p>
            <w:pPr>
              <w:pStyle w:val="TableText"/>
              <w:jc w:val="left"/>
            </w:pPr>
            <w:r>
              <w:rPr>
                <w:lang w:val="en-US" w:eastAsia="en-US" w:bidi="ar-SA"/>
              </w:rPr>
              <w:t>Lifts and skip hoists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Pneumatic elevators and conveyors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8428.31.00</w:t>
            </w:r>
          </w:p>
        </w:tc>
        <w:tc>
          <w:tcPr>
            <w:tcW w:w="4679" w:type="dxa"/>
            <w:tcMar>
              <w:top w:w="70" w:type="dxa"/>
              <w:start w:w="110" w:type="dxa"/>
              <w:bottom w:w="70" w:type="dxa"/>
              <w:end w:w="110" w:type="dxa"/>
            </w:tcMar>
            <w:vAlign w:val="center"/>
          </w:tcPr>
          <w:p>
            <w:pPr>
              <w:pStyle w:val="TableText"/>
              <w:jc w:val="left"/>
            </w:pPr>
            <w:r>
              <w:rPr>
                <w:lang w:val="en-US" w:eastAsia="en-US" w:bidi="ar-SA"/>
              </w:rPr>
              <w:t>Specially designed for underground use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bucket type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8428.33.00</w:t>
            </w:r>
          </w:p>
        </w:tc>
        <w:tc>
          <w:tcPr>
            <w:tcW w:w="4679" w:type="dxa"/>
            <w:tcMar>
              <w:top w:w="70" w:type="dxa"/>
              <w:start w:w="110" w:type="dxa"/>
              <w:bottom w:w="70" w:type="dxa"/>
              <w:end w:w="110" w:type="dxa"/>
            </w:tcMar>
            <w:vAlign w:val="center"/>
          </w:tcPr>
          <w:p>
            <w:pPr>
              <w:pStyle w:val="TableText"/>
              <w:jc w:val="left"/>
            </w:pPr>
            <w:r>
              <w:rPr>
                <w:lang w:val="en-US" w:eastAsia="en-US" w:bidi="ar-SA"/>
              </w:rPr>
              <w:t>Other, belt type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8428.40.00</w:t>
            </w:r>
          </w:p>
        </w:tc>
        <w:tc>
          <w:tcPr>
            <w:tcW w:w="4679" w:type="dxa"/>
            <w:tcMar>
              <w:top w:w="70" w:type="dxa"/>
              <w:start w:w="110" w:type="dxa"/>
              <w:bottom w:w="70" w:type="dxa"/>
              <w:end w:w="110" w:type="dxa"/>
            </w:tcMar>
            <w:vAlign w:val="center"/>
          </w:tcPr>
          <w:p>
            <w:pPr>
              <w:pStyle w:val="TableText"/>
              <w:jc w:val="left"/>
            </w:pPr>
            <w:r>
              <w:rPr>
                <w:lang w:val="en-US" w:eastAsia="en-US" w:bidi="ar-SA"/>
              </w:rPr>
              <w:t>Escalators and moving walkways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Teleferics, chair-lifts, ski-draglines; traction mechanisms for funiculars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8428.90.00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Track laying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Graders and levellers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8429.30.00</w:t>
            </w:r>
          </w:p>
        </w:tc>
        <w:tc>
          <w:tcPr>
            <w:tcW w:w="4679" w:type="dxa"/>
            <w:tcMar>
              <w:top w:w="70" w:type="dxa"/>
              <w:start w:w="110" w:type="dxa"/>
              <w:bottom w:w="70" w:type="dxa"/>
              <w:end w:w="110" w:type="dxa"/>
            </w:tcMar>
            <w:vAlign w:val="center"/>
          </w:tcPr>
          <w:p>
            <w:pPr>
              <w:pStyle w:val="TableText"/>
              <w:jc w:val="left"/>
            </w:pPr>
            <w:r>
              <w:rPr>
                <w:lang w:val="en-US" w:eastAsia="en-US" w:bidi="ar-SA"/>
              </w:rPr>
              <w:t>Scrapers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Tamping machines and road rollers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8429.51.00</w:t>
            </w:r>
          </w:p>
        </w:tc>
        <w:tc>
          <w:tcPr>
            <w:tcW w:w="4679" w:type="dxa"/>
            <w:tcMar>
              <w:top w:w="70" w:type="dxa"/>
              <w:start w:w="110" w:type="dxa"/>
              <w:bottom w:w="70" w:type="dxa"/>
              <w:end w:w="110" w:type="dxa"/>
            </w:tcMar>
            <w:vAlign w:val="center"/>
          </w:tcPr>
          <w:p>
            <w:pPr>
              <w:pStyle w:val="TableText"/>
              <w:jc w:val="left"/>
            </w:pPr>
            <w:r>
              <w:rPr>
                <w:lang w:val="en-US" w:eastAsia="en-US" w:bidi="ar-SA"/>
              </w:rPr>
              <w:t>Front-end shovel loaders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Machinery with a 360° revolving superstructure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Pile-drivers and pile-extractors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8430.20.00</w:t>
            </w:r>
          </w:p>
        </w:tc>
        <w:tc>
          <w:tcPr>
            <w:tcW w:w="4679" w:type="dxa"/>
            <w:tcMar>
              <w:top w:w="70" w:type="dxa"/>
              <w:start w:w="110" w:type="dxa"/>
              <w:bottom w:w="70" w:type="dxa"/>
              <w:end w:w="110" w:type="dxa"/>
            </w:tcMar>
            <w:vAlign w:val="center"/>
          </w:tcPr>
          <w:p>
            <w:pPr>
              <w:pStyle w:val="TableText"/>
              <w:jc w:val="left"/>
            </w:pPr>
            <w:r>
              <w:rPr>
                <w:lang w:val="en-US" w:eastAsia="en-US" w:bidi="ar-SA"/>
              </w:rPr>
              <w:t>Snow-ploughs and snow-blowers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Self-propelled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Self-propelled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machinery, self-propelled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8430.61.00</w:t>
            </w:r>
          </w:p>
        </w:tc>
        <w:tc>
          <w:tcPr>
            <w:tcW w:w="4679" w:type="dxa"/>
            <w:tcMar>
              <w:top w:w="70" w:type="dxa"/>
              <w:start w:w="110" w:type="dxa"/>
              <w:bottom w:w="70" w:type="dxa"/>
              <w:end w:w="110" w:type="dxa"/>
            </w:tcMar>
            <w:vAlign w:val="center"/>
          </w:tcPr>
          <w:p>
            <w:pPr>
              <w:pStyle w:val="TableText"/>
              <w:jc w:val="left"/>
            </w:pPr>
            <w:r>
              <w:rPr>
                <w:lang w:val="en-US" w:eastAsia="en-US" w:bidi="ar-SA"/>
              </w:rPr>
              <w:t>Tamping or compacting machinery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8431.10.00</w:t>
            </w:r>
          </w:p>
        </w:tc>
        <w:tc>
          <w:tcPr>
            <w:tcW w:w="4679" w:type="dxa"/>
            <w:tcMar>
              <w:top w:w="70" w:type="dxa"/>
              <w:start w:w="110" w:type="dxa"/>
              <w:bottom w:w="70" w:type="dxa"/>
              <w:end w:w="110" w:type="dxa"/>
            </w:tcMar>
            <w:vAlign w:val="center"/>
          </w:tcPr>
          <w:p>
            <w:pPr>
              <w:pStyle w:val="TableText"/>
              <w:jc w:val="left"/>
            </w:pPr>
            <w:r>
              <w:rPr>
                <w:lang w:val="en-US" w:eastAsia="en-US" w:bidi="ar-SA"/>
              </w:rPr>
              <w:t>Of</w:t>
            </w:r>
          </w:p>
        </w:tc>
      </w:tr>
    </w:tbl>
    <w:p>
      <w:pPr>
        <w:pStyle w:val="Normal"/>
      </w:pPr>
      <w:r>
        <w:t>machinery of heading 84.25 8431.20.00 Of machinery of heading 84.27 8431.31.00 Of lifts, skip hoists or escalators 8431.39.00 Other 8431.41.00 Buckets, shovels, grabs and grips 8431.42.00 Bulldozer or angledozer blades 8431.43.00 Parts of boring or sinking machinery of subheading 8430.41 or 8430.49 8431.49.00 Other 8432.10.00 Ploughs 8432.21.00 Disc harrows 8432.29.00 Other 8432.31.00 No-till direct seeders, planters and transplanters 8432.39.00 Other 8432.41.00 Manure spreaders 8432.42.00 Fertilizer distributors 8432.80.00 Other machinery 8432.90.00 Parts 8433.11.00 Powered, with the cutting device rotating in a horizontal plane 8433.19.00 Other 8433.20.00 Other mowers, including cutter bars for tractor mounting 8433.30.00 Other haymaking machinery 8433.40.00 Straw or fodder balers, including pick-up balers 8433.51.00 Combine harvester-threshers 8433.52.00 Other threshing machinery 8433.53.00 Root or tuber harvesting machines 8433.59.00 Other 8433.60.00 Machines for cleaning, sorting or grading eggs, fruit or other agricultural produce 8433.90.00 Parts 8434.10.00 Milking machines 8434.20.00 Dairy machinery 8434.90.00 Parts 8435.10.00 Machinery 8435.90.00 Parts 8436.10.00 Machinery for preparing animal feeding stuffs 8436.21.00 Poultry incubators and brooders 8436.29.00 Other 8436.80.00 Other machinery 8436.91.00 Of poultry-keeping machinery or poultry incubators and brooders 8436.99.00 Other 8437.10.00 Machines for cleaning, sorting or grading seed, grain or dried</w:t>
      </w:r>
    </w:p>
    <w:p>
      <w:pPr>
        <w:pStyle w:val="Normal"/>
      </w:pPr>
      <w:r>
        <w:t>leguminous vegetables 8437.80.00 Other machinery 8437.90.00 Parts 8438.10.00 Bakery machinery and machinery for the manufacture of macaroni, spaghetti or similar products 8438.20.00 Machinery for the manufacture of confectionery, cocoa or chocolate 8438.30.00 Machinery for sugar manufacture 8438.40.00 Brewery machinery 8438.50.00 Machinery for the preparation of meat or poultry 8438.60.00 Machinery for the preparation of fruits, nuts or vegetables 8438.80.00 Other machinery 8438.90.00 Parts 8439.10.00 Machinery for making pulp of fibrous cellulosic material 8439.20.00 Machinery for making paper or paperboard 8439.30.00 Machinery for finishing paper or paperboard 8439.91.00 Of machinery for making pulp of fibrous cellulosic material 8439.99.00 Other 8440.10.00 Machinery 8440.90.00 Parts 8441.10.00 Cutting machines 8441.20.00 Machines for making bags, sacks or envelopes 8441.30.00 Machines for making cartons, boxes, cases, tubes, drums or similar containers, other than by moulding 8441.40.00 Machines for moulding articles in paper pulp, paper or paperboard 8441.80.00 Other machinery 8441.90.00 Parts 8442.30.00 Machinery, apparatus and equipment 8442.40.00 Parts of the foregoing machinery, apparatus or equipment 8442.50.00 Plates, cylinders and other printing components; plates, cylinders and lithographic stones, prepared for printing purposes (for example, planed, grained or polished) 8443.11.00 Offset printing machinery, reel-fed 8443.12.00 Offset printing machinery,</w:t>
      </w:r>
    </w:p>
    <w:p>
      <w:pPr>
        <w:pStyle w:val="Normal"/>
      </w:pPr>
      <w:r>
        <w:t>sheet-fed, office type (using sheets with one side not exceeding 22 cm and the other side not exceeding 36 cm in the unfolded state) 8443.13.00 Other offset printing machinery 8443.14.00 Letterpress printing machinery, reel fed, excluding flexographic printing 8443.15.00 Letterpress printing machinery, other than reel fed, excluding flexographic printing 8443.16.00 Flexographic printing machinery 8443.17.00 Gravure printing machinery 8443.19.00 Other 8443.31.00 Machines which perform two or more of the functions of printing, copying or facsimile transmission, capable of connecting to an automatic data processing machine or to a network 8443.32.00 Other, capable of connecting to an automatic data processing machine or to a network 8443.39.00 Other 8443.91.00 Parts and accessories of printing machinery used for printing by means of plates, cylinders and other printing components of heading 84.42 8443.99.00 Other 8444.00.00 Machines for extruding, drawing, texturing or cutting man-made textile materials.</w:t>
      </w:r>
    </w:p>
    <w:p>
      <w:pPr>
        <w:pStyle w:val="Normal"/>
      </w:pPr>
      <w:r>
        <w:t>8445.11.00 Carding machines 8445.12.00 Combing machines 8445.13.00 Drawing or roving machines 8445.19.00 Other 8445.20.00 Textile spinning machines 8445.30.00 Textile doubling or twisting machines 8445.40.00 Textile winding (including weft-winding) or reeling machines 8445.90.00 Other 8446.10.00 For weaving fabrics of a width not exceeding 30 cm 8446.21.00 Power looms 8446.29.00 Other 8446.30.00 For weaving fabrics of a width exceeding 30 cm, shuttleless type 8447.11.00 With cylinder diameter not exceeding 165 mm 8447.12.00 With cylinder diameter exceeding 165 mm 8447.20.00 Flat knitting machines; stitch-bonding machines 8447.90.00 Other 8448.11.00 Dobbies and Jacquards; card reducing, copying, punching or assembling machines for use therewith 8448.19.00 Other 8448.20.00 Parts and accessories of machines of heading 84.44 or of their auxiliary machinery 8448.31.00 Card clothing 8448.32.00 Of machines for preparing textile fibres, other than card clothing 8448.33.00 Spindles, spindle flyers, spinning rings and ring travellers 8448.39.00 Other 8448.42.00 Reeds for looms, healds and heald-frames 8448.49.00 Other 8448.51.00 Sinker, needles and other articles used in forming stitches 8448.59.00 Other 8449.00.00 Machinery for the manufacture or finishing of felt or nonwovens in the piece or in shapes, including machinery for making felt hats; blocks for making hats.</w:t>
      </w:r>
    </w:p>
    <w:p>
      <w:pPr>
        <w:pStyle w:val="Normal"/>
      </w:pPr>
      <w:r>
        <w:t>8450.11.10 Household type, not including machines which both wash and dry 8450.11.90 Other 8450.12.00 Other machines, with built-in centrifugal dryer 8450.19.00 Other 8450.20.00 Machines, each of a dry linen capacity exceeding 10 kg 8450.90.10 Tubs or tub assemblies 8450.90.20 Furniture designed to receive household or laundry type washing machines, including machines which both wash and dry 8450.90.90 Other 8451.10.00 Dry-cleaning machines 8451.21.00 Each of a dry linen capacity not exceeding 10 kg 8451.29.00 Other 8451.30.10 Accessory steam irons for commercial laundries; Vacuum and heated pressing tables 8451.30.90 Other 8451.40.10 Carpet shampooers; Carpet, drapery and upholstery cleaning machines;</w:t>
      </w:r>
    </w:p>
    <w:p>
      <w:pPr>
        <w:pStyle w:val="Normal"/>
      </w:pPr>
      <w:r>
        <w:t>Fish net washing machines 8451.40.90 Other 8451.50.00 Machines for reeling, unreeling, folding, cutting or pinking textile fabrics 8451.80.00 Other machinery 8451.90.10 Drying chambers for the drying machines of subheading 8451.21 or 8451.29 and other parts of drying machines incorporating drying chambers 8451.90.20 Furniture designed to receive the drying machines of subheading 8451.21 or 8451.29 8451.90.90 Other 8452.10.00 Sewing machines of the household type 8452.21.00 Automatic units 8452.29.00 Other 8452.30.00 Sewing machine needles 8452.90.10 Furniture, bases and covers for sewing machines, and parts thereof, for domestic sewing machines 8452.90.20 Other parts of domestic sewing machines 8452.90.90 Other 8453.10.00 Machinery for preparing, tanning or working hides,</w:t>
      </w:r>
    </w:p>
    <w:p>
      <w:pPr>
        <w:pStyle w:val="Normal"/>
      </w:pPr>
      <w:r>
        <w:t>skins or leather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8453.20.00</w:t>
            </w:r>
          </w:p>
        </w:tc>
        <w:tc>
          <w:tcPr>
            <w:tcW w:w="4679" w:type="dxa"/>
            <w:tcMar>
              <w:top w:w="70" w:type="dxa"/>
              <w:start w:w="110" w:type="dxa"/>
              <w:bottom w:w="70" w:type="dxa"/>
              <w:end w:w="110" w:type="dxa"/>
            </w:tcMar>
            <w:vAlign w:val="center"/>
          </w:tcPr>
          <w:p>
            <w:pPr>
              <w:pStyle w:val="TableText"/>
              <w:jc w:val="left"/>
            </w:pPr>
            <w:r>
              <w:rPr>
                <w:lang w:val="en-US" w:eastAsia="en-US" w:bidi="ar-SA"/>
              </w:rPr>
              <w:t>Machinery for making or repairing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8453.80.00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machinery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8453.90.00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Converters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8454.20.00</w:t>
            </w:r>
          </w:p>
        </w:tc>
        <w:tc>
          <w:tcPr>
            <w:tcW w:w="4679" w:type="dxa"/>
            <w:tcMar>
              <w:top w:w="70" w:type="dxa"/>
              <w:start w:w="110" w:type="dxa"/>
              <w:bottom w:w="70" w:type="dxa"/>
              <w:end w:w="110" w:type="dxa"/>
            </w:tcMar>
            <w:vAlign w:val="center"/>
          </w:tcPr>
          <w:p>
            <w:pPr>
              <w:pStyle w:val="TableText"/>
              <w:jc w:val="left"/>
            </w:pPr>
            <w:r>
              <w:rPr>
                <w:lang w:val="en-US" w:eastAsia="en-US" w:bidi="ar-SA"/>
              </w:rPr>
              <w:t>Ingot moulds and ladles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Casting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8454.90.00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Tube mills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8455.21.00</w:t>
            </w:r>
          </w:p>
        </w:tc>
        <w:tc>
          <w:tcPr>
            <w:tcW w:w="4679" w:type="dxa"/>
            <w:tcMar>
              <w:top w:w="70" w:type="dxa"/>
              <w:start w:w="110" w:type="dxa"/>
              <w:bottom w:w="70" w:type="dxa"/>
              <w:end w:w="110" w:type="dxa"/>
            </w:tcMar>
            <w:vAlign w:val="center"/>
          </w:tcPr>
          <w:p>
            <w:pPr>
              <w:pStyle w:val="TableText"/>
              <w:jc w:val="left"/>
            </w:pPr>
            <w:r>
              <w:rPr>
                <w:lang w:val="en-US" w:eastAsia="en-US" w:bidi="ar-SA"/>
              </w:rPr>
              <w:t>Hot or combination hot and cold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8455.22.00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Cold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8455.30.00</w:t>
            </w:r>
          </w:p>
        </w:tc>
        <w:tc>
          <w:tcPr>
            <w:tcW w:w="4679" w:type="dxa"/>
            <w:tcMar>
              <w:top w:w="70" w:type="dxa"/>
              <w:start w:w="110" w:type="dxa"/>
              <w:bottom w:w="70" w:type="dxa"/>
              <w:end w:w="110" w:type="dxa"/>
            </w:tcMar>
            <w:vAlign w:val="center"/>
          </w:tcPr>
          <w:p>
            <w:pPr>
              <w:pStyle w:val="TableText"/>
              <w:jc w:val="left"/>
            </w:pPr>
            <w:r>
              <w:rPr>
                <w:lang w:val="en-US" w:eastAsia="en-US" w:bidi="ar-SA"/>
              </w:rPr>
              <w:t>Rolls for rolling mills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8455.90.10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Castings or weldments, individually weighing less than 90 tonnes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Operated by laser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8456.12.00</w:t>
            </w:r>
          </w:p>
        </w:tc>
        <w:tc>
          <w:tcPr>
            <w:tcW w:w="4679" w:type="dxa"/>
            <w:tcMar>
              <w:top w:w="70" w:type="dxa"/>
              <w:start w:w="110" w:type="dxa"/>
              <w:bottom w:w="70" w:type="dxa"/>
              <w:end w:w="110" w:type="dxa"/>
            </w:tcMar>
            <w:vAlign w:val="center"/>
          </w:tcPr>
          <w:p>
            <w:pPr>
              <w:pStyle w:val="TableText"/>
              <w:jc w:val="left"/>
            </w:pPr>
            <w:r>
              <w:rPr>
                <w:lang w:val="en-US" w:eastAsia="en-US" w:bidi="ar-SA"/>
              </w:rPr>
              <w:t>Operated by other light or photon beam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Operated by ultrasonic processes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8456.30.00</w:t>
            </w:r>
          </w:p>
        </w:tc>
        <w:tc>
          <w:tcPr>
            <w:tcW w:w="4679" w:type="dxa"/>
            <w:tcMar>
              <w:top w:w="70" w:type="dxa"/>
              <w:start w:w="110" w:type="dxa"/>
              <w:bottom w:w="70" w:type="dxa"/>
              <w:end w:w="110" w:type="dxa"/>
            </w:tcMar>
            <w:vAlign w:val="center"/>
          </w:tcPr>
          <w:p>
            <w:pPr>
              <w:pStyle w:val="TableText"/>
              <w:jc w:val="left"/>
            </w:pPr>
            <w:r>
              <w:rPr>
                <w:lang w:val="en-US" w:eastAsia="en-US" w:bidi="ar-SA"/>
              </w:rPr>
              <w:t>Operated by electro-discharge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Operated by plasma arc processes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8456.50.00</w:t>
            </w:r>
          </w:p>
        </w:tc>
        <w:tc>
          <w:tcPr>
            <w:tcW w:w="4679" w:type="dxa"/>
            <w:tcMar>
              <w:top w:w="70" w:type="dxa"/>
              <w:start w:w="110" w:type="dxa"/>
              <w:bottom w:w="70" w:type="dxa"/>
              <w:end w:w="110" w:type="dxa"/>
            </w:tcMar>
            <w:vAlign w:val="center"/>
          </w:tcPr>
          <w:p>
            <w:pPr>
              <w:pStyle w:val="TableText"/>
              <w:jc w:val="left"/>
            </w:pPr>
            <w:r>
              <w:rPr>
                <w:lang w:val="en-US" w:eastAsia="en-US" w:bidi="ar-SA"/>
              </w:rPr>
              <w:t>Water-jet cutting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8457.10.00</w:t>
            </w:r>
          </w:p>
        </w:tc>
        <w:tc>
          <w:tcPr>
            <w:tcW w:w="4679" w:type="dxa"/>
            <w:tcMar>
              <w:top w:w="70" w:type="dxa"/>
              <w:start w:w="110" w:type="dxa"/>
              <w:bottom w:w="70" w:type="dxa"/>
              <w:end w:w="110" w:type="dxa"/>
            </w:tcMar>
            <w:vAlign w:val="center"/>
          </w:tcPr>
          <w:p>
            <w:pPr>
              <w:pStyle w:val="TableText"/>
              <w:jc w:val="left"/>
            </w:pPr>
            <w:r>
              <w:rPr>
                <w:lang w:val="en-US" w:eastAsia="en-US" w:bidi="ar-SA"/>
              </w:rPr>
              <w:t>Machining centres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Unit construction machines (single station)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8457.30.00</w:t>
            </w:r>
          </w:p>
        </w:tc>
        <w:tc>
          <w:tcPr>
            <w:tcW w:w="4679" w:type="dxa"/>
            <w:tcMar>
              <w:top w:w="70" w:type="dxa"/>
              <w:start w:w="110" w:type="dxa"/>
              <w:bottom w:w="70" w:type="dxa"/>
              <w:end w:w="110" w:type="dxa"/>
            </w:tcMar>
            <w:vAlign w:val="center"/>
          </w:tcPr>
          <w:p>
            <w:pPr>
              <w:pStyle w:val="TableText"/>
              <w:jc w:val="left"/>
            </w:pPr>
            <w:r>
              <w:rPr>
                <w:lang w:val="en-US" w:eastAsia="en-US" w:bidi="ar-SA"/>
              </w:rPr>
              <w:t>Multi-station transfer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8458.19.00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8458.99.00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Way-type unit head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8459.21.00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8459.31.00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8459.41.00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8459.51.00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8459.61.00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8459.70.10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8459.70.90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8460.12.00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8460.19.00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8460.22.00</w:t>
            </w:r>
          </w:p>
        </w:tc>
        <w:tc>
          <w:tcPr>
            <w:tcW w:w="4679" w:type="dxa"/>
            <w:tcMar>
              <w:top w:w="70" w:type="dxa"/>
              <w:start w:w="110" w:type="dxa"/>
              <w:bottom w:w="70" w:type="dxa"/>
              <w:end w:w="110" w:type="dxa"/>
            </w:tcMar>
            <w:vAlign w:val="center"/>
          </w:tcPr>
          <w:p>
            <w:pPr>
              <w:pStyle w:val="TableText"/>
              <w:jc w:val="left"/>
            </w:pPr>
            <w:r>
              <w:rPr>
                <w:lang w:val="en-US" w:eastAsia="en-US" w:bidi="ar-SA"/>
              </w:rPr>
              <w:t>Centreless grinding machines, 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8460.23.00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cylindrical grinding machines, numerically controlled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8460.24.00</w:t>
            </w:r>
          </w:p>
        </w:tc>
        <w:tc>
          <w:tcPr>
            <w:tcW w:w="4679" w:type="dxa"/>
            <w:tcMar>
              <w:top w:w="70" w:type="dxa"/>
              <w:start w:w="110" w:type="dxa"/>
              <w:bottom w:w="70" w:type="dxa"/>
              <w:end w:w="110" w:type="dxa"/>
            </w:tcMar>
            <w:vAlign w:val="center"/>
          </w:tcPr>
          <w:p>
            <w:pPr>
              <w:pStyle w:val="TableText"/>
              <w:jc w:val="left"/>
            </w:pPr>
            <w:r>
              <w:rPr>
                <w:lang w:val="en-US" w:eastAsia="en-US" w:bidi="ar-SA"/>
              </w:rPr>
              <w:t>Other, numerically</w:t>
            </w:r>
          </w:p>
        </w:tc>
      </w:tr>
    </w:tbl>
    <w:p>
      <w:pPr>
        <w:pStyle w:val="Normal"/>
      </w:pPr>
      <w:r>
        <w:t>controlled 8460.29.00 Other 8460.31.00 Numerically controlled 8460.39.00 Other 8460.40.10 Numerically controlled 8460.40.90 Other 8460.90.00 Other 8461.20.10 Numerically controlled 8461.20.90 Other 8461.30.10 Numerically controlled 8461.30.90 Other 8461.40.00 Gear cutting, gear grinding or gear finishing machines 8461.50.11 Numerically controlled: Horizontal band sawing machines, of a round or square capacity not exceeding 101.6 cm, excluding block and plate band sawing machines and computer numerically controlled band sawing machines with programmable magazines 8461.50.19 Numerically controlled: Other 8461.50.91 Other: Horizontal band sawing machines, of a round or square capacity not exceeding 101.6 cm, excluding block and plate band sawing machines 8461.50.99 Other: Other 8461.90.10 Numerically controlled 8461.90.90 Other 8462.10.00 Forging or die-stamping machines (including presses) and hammers 8462.21.00 Numerically controlled 8462.29.00 Other 8462.31.00 Numerically controlled 8462.39.00 Other 8462.41.00 Numerically controlled 8462.49.00 Other 8462.91.10 Numerically controlled 8462.91.91 Other: Bulldozer presses; Extrusion presses; Fine blanking presses with mechanical ram drive; Horizontal high pressure extrusion presses; Metal stamping presses, with a capacity of 100 tonnes or more but not exceeding 2,500 tonnes and a width of 56 cm or more but not exceeding 620 cm; Trim presses 8462.91.99 Other: Other 8462.99.11 Numerically controlled: Bangle rounding and sizing</w:t>
      </w:r>
    </w:p>
    <w:p>
      <w:pPr>
        <w:pStyle w:val="Normal"/>
      </w:pPr>
      <w:r>
        <w:t>machines (jewellery industry); Can flatteners with magnetic separators; Combined stamping and bending machines for metal hose clamps; Dressing machines for facing diamond and carbide segments in stone cutting saws; Edgers and scale brakers; Fine blanking presses with mechanical ram drive; High speed production presses capable of operating at more than 600 strokes per minute; Horizontal Venetian blind manufacturing machinery; Horn presses; Multilayer vacuum press systems for printed circuit board production; Powder metal presses; Punch press and plastic cone tie maker systems; Terminal lead wire attaching, crimping or clinching presses or machines; Welding presses 8462.99.19 Numerically controlled: Other 8462.99.90 Other 8463.10.00 Draw-benches for bars, tubes, profiles, wire or the like 8463.20.00 Thread rolling machines 8463.30.00 Machines for working wire 8463.90.00 Other 8464.10.00 Sawing machines 8464.20.00 Grinding or polishing machines 8464.90.00 Other 8465.10.00 Machines which can carry out different types of machining operations without tool change between such operations 8465.20.00 Machining centres 8465.91.00 Sawing machines 8465.92.00 Planing, milling or moulding (by cutting) machines 8465.93.00 Grinding, sanding or polishing machines 8465.94.00 Bending or assembling machines 8465.95.00 Drilling or morticing machines 8465.96.00 Splitting, slicing or paring machines 8465.99.00 Other 8466.10.00 Tool holders and self-opening dieheads 8466.20.00 Work holders</w:t>
      </w:r>
    </w:p>
    <w:p>
      <w:pPr>
        <w:pStyle w:val="Normal"/>
      </w:pPr>
      <w:r>
        <w:t>8466.30.00 Dividing heads and other special attachments for machines 8466.91.00 For machines of heading 84.64 8466.92.00 For machines of heading 84.65 8466.93.10 Bed, base, table, head, tail, saddle, cradle, cross slide, column, arm, saw arm, wheelhead, tailstock, headstock, ram, frame, work arbour support, and C-frame castings, weldments or fabrications 8466.93.90 Other 8466.94.10 Bed, base, table, column, cradle, frame, bolster, crown, slide, rod, tailstock and headstock castings, weldments or fabrications 8466.94.90 Other 8467.11.00 Rotary type (including combined rotary percussion) 8467.19.00 Other 8467.21.00 Drills of all kinds 8467.22.00 Saws 8467.29.00 Other 8467.81.00 Chain saws 8467.89.00 Other 8467.91.00 Of chain saws 8467.92.00 Of pneumatic tools 8467.99.00 Other 8468.10.00 Hand-held blow pipes 8468.20.00 Other gas-operated machinery and apparatus 8468.80.00 Other machinery and apparatus 8468.90.00 Parts 8470.10.00 Electronic calculators capable of operation without an external source of electric power and pocket-size data recording, reproducing and displaying machines with calculating functions 8470.21.00 Incorporating a printing device 8470.29.00 Other 8470.30.00 Other calculating machines 8470.50.00 Cash registers 8470.90.00 Other 8471.30.00 Portable automatic data processing machines, weighing not more than 10 kg, consisting of at least a central processing unit, a keyboard and a display 8471.41.00 Comprising in the same housing at least a central processing</w:t>
      </w:r>
    </w:p>
    <w:p>
      <w:pPr>
        <w:pStyle w:val="Normal"/>
      </w:pPr>
      <w:r>
        <w:t>unit and an input and output unit, whether or not combined 8471.49.00 Other, presented in the form of systems 8471.50.00 Processing units, other than those of subheading 8471.41 or 8471.49, whether or not containing in the same housing one or two of the following types of unit: storage units, input units, output units 8471.60.00 Input or output units, whether or not containing storage units in the same housing 8471.70.00 Storage units 8471.80.10 Control or adapter units 8471.80.91 Other: Units suitable for physical incorporation into automatic data processing machines or units thereof 8471.80.99 Other:</w:t>
      </w:r>
    </w:p>
    <w:p>
      <w:pPr>
        <w:pStyle w:val="Normal"/>
      </w:pPr>
      <w:r>
        <w:t>Other 8471.90.00 Other 8472.10.00 Duplicating machines 8472.30.00 Machines for sorting or folding mail or for inserting mail in envelopes or bands, machines for opening, closing or sealing mail and machines for affixing or cancelling postage stamps 8472.90.00 Other 8473.21.00 Of the electronic calculating machines of subheading 8470.10, 8470.21 or 8470.29 8473.29.00 Other 8473.30.20 Printed circuit assemblies 8473.30.30 Parts and accessories of printed circuit assemblies, including face plates and lock latches 8473.30.90 Other 8473.40.00 Parts and accessories of the machines of heading 84.72 8473.50.10 Printed circuit assemblies 8473.50.20 Parts and accessories of printed circuit assemblies, including face plates and lock latches 8473.50.90 Other 8474.10.00 Sorting, screening, separating or washing machines 8474.20.00 Crushing or grinding machines 8474.31.00 Concrete or mortar</w:t>
      </w:r>
    </w:p>
    <w:p>
      <w:pPr>
        <w:pStyle w:val="Normal"/>
      </w:pPr>
      <w:r>
        <w:t>mixers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8474.32.00</w:t>
            </w:r>
          </w:p>
        </w:tc>
        <w:tc>
          <w:tcPr>
            <w:tcW w:w="4679" w:type="dxa"/>
            <w:tcMar>
              <w:top w:w="70" w:type="dxa"/>
              <w:start w:w="110" w:type="dxa"/>
              <w:bottom w:w="70" w:type="dxa"/>
              <w:end w:w="110" w:type="dxa"/>
            </w:tcMar>
            <w:vAlign w:val="center"/>
          </w:tcPr>
          <w:p>
            <w:pPr>
              <w:pStyle w:val="TableText"/>
              <w:jc w:val="left"/>
            </w:pPr>
            <w:r>
              <w:rPr>
                <w:lang w:val="en-US" w:eastAsia="en-US" w:bidi="ar-SA"/>
              </w:rPr>
              <w:t>Machines for mixing mineral substances with bitumen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8474.39.00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8474.80.00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8475.10.00</w:t>
            </w:r>
          </w:p>
        </w:tc>
        <w:tc>
          <w:tcPr>
            <w:tcW w:w="4679" w:type="dxa"/>
            <w:tcMar>
              <w:top w:w="70" w:type="dxa"/>
              <w:start w:w="110" w:type="dxa"/>
              <w:bottom w:w="70" w:type="dxa"/>
              <w:end w:w="110" w:type="dxa"/>
            </w:tcMar>
            <w:vAlign w:val="center"/>
          </w:tcPr>
          <w:p>
            <w:pPr>
              <w:pStyle w:val="TableText"/>
              <w:jc w:val="left"/>
            </w:pPr>
            <w:r>
              <w:rPr>
                <w:lang w:val="en-US" w:eastAsia="en-US" w:bidi="ar-SA"/>
              </w:rPr>
              <w:t>Machines for assembling electric or electronic lamps, tubes or valves or flash-bulbs, in glass envelopes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Machines for making optical fibres and preforms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8476.21.10</w:t>
            </w:r>
          </w:p>
        </w:tc>
        <w:tc>
          <w:tcPr>
            <w:tcW w:w="4679" w:type="dxa"/>
            <w:tcMar>
              <w:top w:w="70" w:type="dxa"/>
              <w:start w:w="110" w:type="dxa"/>
              <w:bottom w:w="70" w:type="dxa"/>
              <w:end w:w="110" w:type="dxa"/>
            </w:tcMar>
            <w:vAlign w:val="center"/>
          </w:tcPr>
          <w:p>
            <w:pPr>
              <w:pStyle w:val="TableText"/>
              <w:jc w:val="left"/>
            </w:pPr>
            <w:r>
              <w:rPr>
                <w:lang w:val="en-US" w:eastAsia="en-US" w:bidi="ar-SA"/>
              </w:rPr>
              <w:t>For vending in-cup hot beverages, with no more than three selections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8476.21.90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8476.81.10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vending French fried potatoes or chicken nuggets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8476.81.90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8476.89.10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dispensing tampons or sanitary napkins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8476.89.90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8477.10.00</w:t>
            </w:r>
          </w:p>
        </w:tc>
        <w:tc>
          <w:tcPr>
            <w:tcW w:w="4679" w:type="dxa"/>
            <w:tcMar>
              <w:top w:w="70" w:type="dxa"/>
              <w:start w:w="110" w:type="dxa"/>
              <w:bottom w:w="70" w:type="dxa"/>
              <w:end w:w="110" w:type="dxa"/>
            </w:tcMar>
            <w:vAlign w:val="center"/>
          </w:tcPr>
          <w:p>
            <w:pPr>
              <w:pStyle w:val="TableText"/>
              <w:jc w:val="left"/>
            </w:pPr>
            <w:r>
              <w:rPr>
                <w:lang w:val="en-US" w:eastAsia="en-US" w:bidi="ar-SA"/>
              </w:rPr>
              <w:t>Injection-moulding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Extruders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8477.30.00</w:t>
            </w:r>
          </w:p>
        </w:tc>
        <w:tc>
          <w:tcPr>
            <w:tcW w:w="4679" w:type="dxa"/>
            <w:tcMar>
              <w:top w:w="70" w:type="dxa"/>
              <w:start w:w="110" w:type="dxa"/>
              <w:bottom w:w="70" w:type="dxa"/>
              <w:end w:w="110" w:type="dxa"/>
            </w:tcMar>
            <w:vAlign w:val="center"/>
          </w:tcPr>
          <w:p>
            <w:pPr>
              <w:pStyle w:val="TableText"/>
              <w:jc w:val="left"/>
            </w:pPr>
            <w:r>
              <w:rPr>
                <w:lang w:val="en-US" w:eastAsia="en-US" w:bidi="ar-SA"/>
              </w:rPr>
              <w:t>Blow moulding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Vacuum moulding machines and other thermoforming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8477.51.00</w:t>
            </w:r>
          </w:p>
        </w:tc>
        <w:tc>
          <w:tcPr>
            <w:tcW w:w="4679" w:type="dxa"/>
            <w:tcMar>
              <w:top w:w="70" w:type="dxa"/>
              <w:start w:w="110" w:type="dxa"/>
              <w:bottom w:w="70" w:type="dxa"/>
              <w:end w:w="110" w:type="dxa"/>
            </w:tcMar>
            <w:vAlign w:val="center"/>
          </w:tcPr>
          <w:p>
            <w:pPr>
              <w:pStyle w:val="TableText"/>
              <w:jc w:val="left"/>
            </w:pPr>
            <w:r>
              <w:rPr>
                <w:lang w:val="en-US" w:eastAsia="en-US" w:bidi="ar-SA"/>
              </w:rPr>
              <w:t>For moulding or retreading pneumatic tires or for moulding or otherwise forming inner tubes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8477.80.10</w:t>
            </w:r>
          </w:p>
        </w:tc>
        <w:tc>
          <w:tcPr>
            <w:tcW w:w="4679" w:type="dxa"/>
            <w:tcMar>
              <w:top w:w="70" w:type="dxa"/>
              <w:start w:w="110" w:type="dxa"/>
              <w:bottom w:w="70" w:type="dxa"/>
              <w:end w:w="110" w:type="dxa"/>
            </w:tcMar>
            <w:vAlign w:val="center"/>
          </w:tcPr>
          <w:p>
            <w:pPr>
              <w:pStyle w:val="TableText"/>
              <w:jc w:val="left"/>
            </w:pPr>
            <w:r>
              <w:rPr>
                <w:lang w:val="en-US" w:eastAsia="en-US" w:bidi="ar-SA"/>
              </w:rPr>
              <w:t>For tire or tube manufacturing machines; Thermokinetic mixers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8477.80.91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For blending plastics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8477.80.99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Base, bed, platen, clamp cylinder, ram and injection castings, weldments and fabrications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8477.90.20</w:t>
            </w:r>
          </w:p>
        </w:tc>
        <w:tc>
          <w:tcPr>
            <w:tcW w:w="4679" w:type="dxa"/>
            <w:tcMar>
              <w:top w:w="70" w:type="dxa"/>
              <w:start w:w="110" w:type="dxa"/>
              <w:bottom w:w="70" w:type="dxa"/>
              <w:end w:w="110" w:type="dxa"/>
            </w:tcMar>
            <w:vAlign w:val="center"/>
          </w:tcPr>
          <w:p>
            <w:pPr>
              <w:pStyle w:val="TableText"/>
              <w:jc w:val="left"/>
            </w:pPr>
            <w:r>
              <w:rPr>
                <w:lang w:val="en-US" w:eastAsia="en-US" w:bidi="ar-SA"/>
              </w:rPr>
              <w:t>Barrel screws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8477.90.30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Hydraulic assemblies consisting of at least two of the following: manifold, valves, pump or oil cooler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8478.90.00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Machinery for public works, building or the like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8479.20.00</w:t>
            </w:r>
          </w:p>
        </w:tc>
        <w:tc>
          <w:tcPr>
            <w:tcW w:w="4679" w:type="dxa"/>
            <w:tcMar>
              <w:top w:w="70" w:type="dxa"/>
              <w:start w:w="110" w:type="dxa"/>
              <w:bottom w:w="70" w:type="dxa"/>
              <w:end w:w="110" w:type="dxa"/>
            </w:tcMar>
            <w:vAlign w:val="center"/>
          </w:tcPr>
          <w:p>
            <w:pPr>
              <w:pStyle w:val="TableText"/>
              <w:jc w:val="left"/>
            </w:pPr>
            <w:r>
              <w:rPr>
                <w:lang w:val="en-US" w:eastAsia="en-US" w:bidi="ar-SA"/>
              </w:rPr>
              <w:t>Machinery for the extraction or preparation of animal or fixed vegetable fats or</w:t>
            </w:r>
          </w:p>
        </w:tc>
      </w:tr>
    </w:tbl>
    <w:p>
      <w:pPr>
        <w:pStyle w:val="Normal"/>
      </w:pPr>
      <w:r>
        <w:t>oils 8479.30.00 Presses for the manufacture of particle board or fibre building board of wood or other ligneous materials and other machinery for treating wood or cork 8479.40.00 Rope or cable-making machines 8479.50.00 Industrial robots, not elsewhere specified or included 8479.60.00 Evaporative air coolers 8479.71.00 Of a kind used in airports 8479.79.00 Other 8479.81.00 For treating metal, including electric wire coil-winders 8479.82.00 Mixing, kneading, crushing, grinding, screening, sifting, homogenizing, emulsifying or stirring machines 8479.89.10 Aircraft ground use continuous flow jet engine start units; Artificial fog or smoke generators; Automatic loaders for small arms ammunition; Automotive relay assembly lines; Box dumpers for use with fresh fruit or fresh vegetables; Cathode assembly systems; Coating plant with thermal waste gas purification plant; Coin control devices, of iron or steel, for apparatus, other than telephones, which vends merchandise, services or tickets; Condenser tube cleaning systems; Double-sided printed circuit board coating systems; Dry solder mask processing lines for printed circuit board production;</w:t>
      </w:r>
    </w:p>
    <w:p>
      <w:pPr>
        <w:pStyle w:val="Normal"/>
      </w:pPr>
      <w:r>
        <w:t>Fishing tools or well fracturing machines and appliances to be employed in the exploration, discovery, development, maintenance, testing, depletion or production of oil or natural gas wells or for use in drilling machinery to be employed in the exploration, discovery, development or operation of potash or rock salt deposits; Horizontal solder</w:t>
      </w:r>
    </w:p>
    <w:p>
      <w:pPr>
        <w:pStyle w:val="Normal"/>
      </w:pPr>
      <w:r>
        <w:t>levelling systems for printed circuit board production; Initial fluid filling machines for automobiles; Laboratory jet dyeing machines; Liquid solder mask coater processing lines for printed circuit board production; Low volume needle or taper nozzle fluid dispensers; 8479.89.20 Carpet sweepers; Electric motor driven household air humidifiers or air dehumidifiers, excluding appliances of heading 84.15 or 84.24; Munition cartridge loaders, excluding shot shell cartridge loaders and automatic loaders for small arms ammunition 8479.89.30 Machinery to be employed in the manufacture of fertilizers from fish or fish waste; Mechanical devices for the control of the composition of sterilizing or cleaning solutions used in the food or beverage industries or in hospitals 8479.89.41 Trash compactors: Industrial solid waste compactors; Waste or refuse compactors, electrically powered, utilized on aircraft, trains, ships or buses, capable of crushing bottles and other in-transit waste 8479.89.49 Trash compactors: Other 8479.89.90 Other 8479.90.11 Of the goods of tariff item No. 8479.89.41 or 8479.89.49: Frame assemblies incorporating at least two of the following: baseplate, side frames, power screws or front plates 8479.90.12 Of the goods of tariff item No. 8479.89.41 or 8479.89.49: Ram assemblies incorporating a ram wrapper or ram cover 8479.90.13 Of the goods of tariff item No.</w:t>
      </w:r>
    </w:p>
    <w:p>
      <w:pPr>
        <w:pStyle w:val="Normal"/>
      </w:pPr>
      <w:r>
        <w:t>8479.89.41 or 8479.89.49: Container assemblies incorporating at least two of the following: container bottom, container wrapper, slide track or container front 8479.90.14 Of the goods of tariff item No. 8479.89.41 or 8479.89.49: Cabinets or cases 8479.90.19 Of the goods of tariff item No. 8479.89.41 or 8479.89.49: Other 8479.90.90 Other 8480.10.00 Moulding boxes for metal foundry 8480.20.00 Mould bases 8480.30.00 Moulding patterns 8480.41.00 Injection or compression types 8480.49.00 Other 8480.50.00 Moulds for glass 8480.60.00 Moulds for mineral materials 8480.71.00 Injection or compression types 8480.79.00 Other 8481.10.00 Pressure-reducing valves 8481.20.00 Valves for oleohydraulic or pneumatic transmissions 8481.30.00 Check (nonreturn) valves 8481.40.00 Safety or relief valves 8481.80.00 Other appliances 8481.90.00 Parts 8482.10.00 Ball bearings 8482.20.00 Tapered roller bearings, including cone and tapered roller assemblies 8482.30.00 Spherical roller bearings 8482.40.00 Needle roller bearings 8482.50.00 Other cylindrical roller bearings 8482.80.00 Other, including combined ball/roller bearings 8482.91.00 Balls, needles and rollers 8482.99.11 Inner or outer races or rings: For the goods of tariff item No.</w:t>
      </w:r>
    </w:p>
    <w:p>
      <w:pPr>
        <w:pStyle w:val="Normal"/>
      </w:pPr>
      <w:r>
        <w:t>8482.10.00 or 8482.20.00 8482.99.19 Inner or outer races or rings:</w:t>
      </w:r>
    </w:p>
    <w:p>
      <w:pPr>
        <w:pStyle w:val="Normal"/>
      </w:pPr>
      <w:r>
        <w:t>Other 8482.99.90 Other 8483.10.00 Transmission shafts (including cam shafts and crank shafts) and cranks 8483.20.00 Bearing housings, incorporating ball or roller bearings 8483.30.00 Bearing housings, not incorporating ball or roller bearings; plain shaft bearings 8483.40.00 Gears and gearing, other than toothed wheels, chain sprockets and other transmission elements presented separately; ball or roller screws; gear boxes and other speed changers, including torque converters 8483.50.00 Flywheels and pulleys, including pulley blocks 8483.60.00 Clutches and shaft couplings (including universal joints) 8483.90.00 Toothed wheels, chain sprockets and other transmission elements presented separately; parts 8484.10.00 Gaskets and similar joints of metal sheeting combined with other material or of two or more layers of metal 8484.20.00 Mechanical seals 8484.90.00 Other 8486.10.00 Machines and apparatus for the manufacture of boules or wafers 8486.20.00 Machines and apparatus for the manufacture of semiconductor devices or of electronic integrated circuits 8486.30.00 Machines and apparatus for the manufacture of flat panel displays 8486.40.00 Machines and apparatus specified in Note 9 (C) to this Chapter 8486.90.00 Parts and accessories 8487.10.00 Ships’ or boats’ propellers and blades therefor 8487.90.00 Other 8501.10.00 Motors of an output not exceeding 37.5 W 8501.20.00 Universal AC/DC motors of an output</w:t>
      </w:r>
    </w:p>
    <w:p>
      <w:pPr>
        <w:pStyle w:val="Normal"/>
      </w:pPr>
      <w:r>
        <w:t>exceeding 37.5 W 8501.31.00 Of an output not exceeding 750 W 8501.32.10 Actuators; Brushless geared shaft motors for use in electrical hand tools; Gear motors for use in the manufacture of machinery or equipment; Motors for use in the manufacture of lifts (elevators);</w:t>
      </w:r>
    </w:p>
    <w:p>
      <w:pPr>
        <w:pStyle w:val="Normal"/>
      </w:pPr>
      <w:r>
        <w:t>Motors of a voltage of 20 V or more but not exceeding 75 V, for use in the manufacture of fork-lift trucks 8501.32.20 Motors for use as the primary source of mechanical power for electric powered vehicles of subheading 8703.80 or 8703.90 8501.32.90 Other 8501.33.00 Of an output exceeding 75 kW but not exceeding 375 kW 8501.34.00 Of an output exceeding 375 kW 8501.40.00 Other AC motors, single-phase 8501.51.00 Of an output not exceeding 750 W 8501.52.00 Of an output exceeding 750 W but not exceeding 75 kW 8501.53.00 Of an output exceeding 75 kW 8501.61.00 Of an output not exceeding 75 kVA 8501.62.00 Of an output exceeding 75 kVA but not exceeding 375 kVA 8501.63.00 Of an output exceeding 375 kVA but not exceeding 750 kVA 8501.64.00 Of an output exceeding 750 kVA 8502.11.00 Of an output not exceeding 75 kVA 8502.12.00 Of an output exceeding 75 kVA but not exceeding 375 kVA 8502.13.00 Of an output exceeding 375 kVA 8502.20.00 Generating sets with spark-ignition internal combustion piston engines 8502.31.00 Wind-powered 8502.39.10 The following, excluding 400 Hz frequency changers:</w:t>
      </w:r>
    </w:p>
    <w:p>
      <w:pPr>
        <w:pStyle w:val="Normal"/>
      </w:pPr>
      <w:r>
        <w:t>Gas turbine-driven, excluding aero-derivative generator sets with a range of 40 to 50 MW; Hydraulic turbine-driven; Steam</w:t>
      </w:r>
    </w:p>
    <w:p>
      <w:pPr>
        <w:pStyle w:val="Normal"/>
      </w:pPr>
      <w:r>
        <w:t>turbine-driven, excluding generator sets of an output exceeding 60 MW;</w:t>
      </w:r>
    </w:p>
    <w:p>
      <w:pPr>
        <w:pStyle w:val="Normal"/>
      </w:pPr>
      <w:r>
        <w:t>Thermo-electric DC 8502.39.90 Other 8502.40.00 Electric rotary converters 8503.00.10 Stators and rotors of the machines of heading 85.01 8503.00.90 Other 8504.10.00 Ballasts for discharge lamps or tubes 8504.21.00 Having a power handling capacity not exceeding 650 kVA 8504.22.00 Having a power handling capacity exceeding 650 kVA but not exceeding 10,000 kVA 8504.23.00 Having a power handling capacity exceeding 10,000 kVA 8504.31.00 Having a power handling capacity not exceeding 1 kVA 8504.32.00 Having a power handling capacity exceeding 1 kVA but not exceeding 16 kVA 8504.33.00 Having a power handling capacity exceeding 16 kVA but not exceeding 500 kVA 8504.34.00 Having a power handling capacity exceeding 500 kVA 8504.40.10 Commercial battery chargers, excluding those for charging batteries used in miners’ safety lamps and those for use in the manufacture of railway or tramway passenger vehicles 8504.40.20 Power supplies for use with surgical, dental, veterinary or diagnostic instruments 8504.40.30 Power supplies for the automatic data processing machines of heading 84.71 8504.40.40 Speed drive controllers for electric motors 8504.40.90 Other 8504.50.00 Other inductors 8504.90.10 Printed circuit assemblies for the goods of subheadings</w:t>
      </w:r>
    </w:p>
    <w:p>
      <w:pPr>
        <w:pStyle w:val="Normal"/>
      </w:pPr>
      <w:r>
        <w:t>8504.40 and 8504.90 8504.90.20 Other parts of power supplies for automatic data processing machines of heading 84.71 8504.90.90 Other 8505.11.00 Of metal 8505.19.00 Other</w:t>
      </w:r>
    </w:p>
    <w:p>
      <w:pPr>
        <w:pStyle w:val="Normal"/>
      </w:pPr>
      <w:r>
        <w:t>8505.20.00 Electro-magnetic couplings, clutches and brakes 8505.90.00 Other, including parts 8506.10.10 Alkaline cells having welded connectors or designed to receive welded connectors, for use in electronic lock systems or in components thereof; Primary batteries, 9 V, for use in the manufacture of smoke detectors 8506.10.90 Other 8506.30.00 Mercuric oxide 8506.40.00 Silver oxide 8506.50.10 Cells having welded connectors or designed to receive welded connectors, for use in electronic lock systems or in components thereof 8506.50.90 Other 8506.60.00 Air-zinc 8506.80.10 For use in the manufacture of smoke detectors 8506.80.90 Other 8506.90.00 Parts 8507.10.00 Lead-acid, of a kind used for starting piston engines 8507.20.10 For use as the primary source of electrical power for electrically- powered vehicles of subheading 8703.80 or 8703.90; For use in the initial installation of smoke, fire or gas detection and alarm systems manufactured in Canada, including power supply panels and modules for those systems 8507.20.90 Other 8507.30.10 Cells having welded connectors or designed to receive welded connectors, for use in electronic lock systems or in components thereof;</w:t>
      </w:r>
    </w:p>
    <w:p>
      <w:pPr>
        <w:pStyle w:val="Normal"/>
      </w:pPr>
      <w:r>
        <w:t>For use in miners’ safety lamps 8507.30.20 For use as the primary source of electrical power for electrically- powered vehicles of subheading 8703.80 or 8703.90 8507.30.90 Other 8507.40.10 For use as the primary source of electrical power for electrically- powered vehicles of subheading 8703.80 or 8703.90</w:t>
      </w:r>
    </w:p>
    <w:p>
      <w:pPr>
        <w:pStyle w:val="Normal"/>
      </w:pPr>
      <w:r>
        <w:t>8507.40.90 Other 8507.50.10 For use as the primary source of electrical power for electrically- powered vehicles of subheading 8703.80 or 8703.90 8507.50.90 Other 8507.60.10 For use as the primary source of electrical power for electrically- powered vehicles of subheading 8703.80 or 8703.90 8507.60.20 For use as the primary source of electrical power for electrically- powered motorcycles of subheading 8711.60 or 8711.90 8507.60.90 Other 8507.80.10 Alkaline or lithium cells having welded connectors or designed to receive welded connectors, for use in electronic lock systems or in components thereof; Low discharge types, for use in the manufacture, maintenance or repair of buoys or beacons for the Government of Canada 8507.80.20 For use as the primary source of electrical power for electrically- powered vehicles of subheading 8703.80 or 8703.90 8507.80.90 Other 8507.90.00 Parts 8508.11.00 Of a power not exceeding 1,500 W and having a dust bag or other receptacle capacity not exceeding 20 litres 8508.19.00 Other 8508.60.00 Other vacuum cleaners 8508.70.10 Of vacuum cleaners of subheading 8508.19 8508.70.90 Other 8509.40.10 Grape crushers for domestic purposes 8509.40.90 Other 8509.80.10 Ultrasonic vaporizers 8509.80.90 Other 8509.90.20 For use in the manufacture of the goods of this heading; Of the goods of tariff item No.</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8509.40.90</w:t>
            </w:r>
          </w:p>
        </w:tc>
        <w:tc>
          <w:tcPr>
            <w:tcW w:w="4679" w:type="dxa"/>
            <w:tcMar>
              <w:top w:w="70" w:type="dxa"/>
              <w:start w:w="110" w:type="dxa"/>
              <w:bottom w:w="70" w:type="dxa"/>
              <w:end w:w="110" w:type="dxa"/>
            </w:tcMar>
            <w:vAlign w:val="center"/>
          </w:tcPr>
          <w:p>
            <w:pPr>
              <w:pStyle w:val="TableText"/>
              <w:jc w:val="left"/>
            </w:pPr>
            <w:r>
              <w:rPr>
                <w:lang w:val="en-US" w:eastAsia="en-US" w:bidi="ar-SA"/>
              </w:rPr>
              <w:t>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8509.80.90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8509.90.90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Shavers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8510.20.10</w:t>
            </w:r>
          </w:p>
        </w:tc>
        <w:tc>
          <w:tcPr>
            <w:tcW w:w="4679" w:type="dxa"/>
            <w:tcMar>
              <w:top w:w="70" w:type="dxa"/>
              <w:start w:w="110" w:type="dxa"/>
              <w:bottom w:w="70" w:type="dxa"/>
              <w:end w:w="110" w:type="dxa"/>
            </w:tcMar>
            <w:vAlign w:val="center"/>
          </w:tcPr>
          <w:p>
            <w:pPr>
              <w:pStyle w:val="TableText"/>
              <w:jc w:val="left"/>
            </w:pPr>
            <w:r>
              <w:rPr>
                <w:lang w:val="en-US" w:eastAsia="en-US" w:bidi="ar-SA"/>
              </w:rPr>
              <w:t>For cutting pet hair; Alternating current-powered, for cutting human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8510.20.90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8510.30.00</w:t>
            </w:r>
          </w:p>
        </w:tc>
        <w:tc>
          <w:tcPr>
            <w:tcW w:w="4679" w:type="dxa"/>
            <w:tcMar>
              <w:top w:w="70" w:type="dxa"/>
              <w:start w:w="110" w:type="dxa"/>
              <w:bottom w:w="70" w:type="dxa"/>
              <w:end w:w="110" w:type="dxa"/>
            </w:tcMar>
            <w:vAlign w:val="center"/>
          </w:tcPr>
          <w:p>
            <w:pPr>
              <w:pStyle w:val="TableText"/>
              <w:jc w:val="left"/>
            </w:pPr>
            <w:r>
              <w:rPr>
                <w:lang w:val="en-US" w:eastAsia="en-US" w:bidi="ar-SA"/>
              </w:rPr>
              <w:t>Hair-removing appliances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8511.10.00</w:t>
            </w:r>
          </w:p>
        </w:tc>
        <w:tc>
          <w:tcPr>
            <w:tcW w:w="4679" w:type="dxa"/>
            <w:tcMar>
              <w:top w:w="70" w:type="dxa"/>
              <w:start w:w="110" w:type="dxa"/>
              <w:bottom w:w="70" w:type="dxa"/>
              <w:end w:w="110" w:type="dxa"/>
            </w:tcMar>
            <w:vAlign w:val="center"/>
          </w:tcPr>
          <w:p>
            <w:pPr>
              <w:pStyle w:val="TableText"/>
              <w:jc w:val="left"/>
            </w:pPr>
            <w:r>
              <w:rPr>
                <w:lang w:val="en-US" w:eastAsia="en-US" w:bidi="ar-SA"/>
              </w:rPr>
              <w:t>Sparking plugs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Ignition magnetos; magneto-dynamos; magnetic flywheels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8511.30.00</w:t>
            </w:r>
          </w:p>
        </w:tc>
        <w:tc>
          <w:tcPr>
            <w:tcW w:w="4679" w:type="dxa"/>
            <w:tcMar>
              <w:top w:w="70" w:type="dxa"/>
              <w:start w:w="110" w:type="dxa"/>
              <w:bottom w:w="70" w:type="dxa"/>
              <w:end w:w="110" w:type="dxa"/>
            </w:tcMar>
            <w:vAlign w:val="center"/>
          </w:tcPr>
          <w:p>
            <w:pPr>
              <w:pStyle w:val="TableText"/>
              <w:jc w:val="left"/>
            </w:pPr>
            <w:r>
              <w:rPr>
                <w:lang w:val="en-US" w:eastAsia="en-US" w:bidi="ar-SA"/>
              </w:rPr>
              <w:t>Distributors; ignition coils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8511.40.00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Starter motors and dual purpose starter-generators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8511.50.00</w:t>
            </w:r>
          </w:p>
        </w:tc>
        <w:tc>
          <w:tcPr>
            <w:tcW w:w="4679" w:type="dxa"/>
            <w:tcMar>
              <w:top w:w="70" w:type="dxa"/>
              <w:start w:w="110" w:type="dxa"/>
              <w:bottom w:w="70" w:type="dxa"/>
              <w:end w:w="110" w:type="dxa"/>
            </w:tcMar>
            <w:vAlign w:val="center"/>
          </w:tcPr>
          <w:p>
            <w:pPr>
              <w:pStyle w:val="TableText"/>
              <w:jc w:val="left"/>
            </w:pPr>
            <w:r>
              <w:rPr>
                <w:lang w:val="en-US" w:eastAsia="en-US" w:bidi="ar-SA"/>
              </w:rPr>
              <w:t>Other generators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8511.80.00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equipment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Lighting or visual signalling equipment of a kind used on bicycles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8512.20.00</w:t>
            </w:r>
          </w:p>
        </w:tc>
        <w:tc>
          <w:tcPr>
            <w:tcW w:w="4679" w:type="dxa"/>
            <w:tcMar>
              <w:top w:w="70" w:type="dxa"/>
              <w:start w:w="110" w:type="dxa"/>
              <w:bottom w:w="70" w:type="dxa"/>
              <w:end w:w="110" w:type="dxa"/>
            </w:tcMar>
            <w:vAlign w:val="center"/>
          </w:tcPr>
          <w:p>
            <w:pPr>
              <w:pStyle w:val="TableText"/>
              <w:jc w:val="left"/>
            </w:pPr>
            <w:r>
              <w:rPr>
                <w:lang w:val="en-US" w:eastAsia="en-US" w:bidi="ar-SA"/>
              </w:rPr>
              <w:t>Other lighting or visual signalling equipment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8512.30.10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Bells or buzzers for use in the repair of logging trucks, or in the manufacture of such parts; For use in the manufacture of detectors for propane or other toxic fumes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8512.30.90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8512.40.00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Windscreen wipers, defrosters and demisters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8512.90.00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Flashlights; Miners’ safety lamps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8513.10.90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flashlights and miners’ safety lamps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Resistance heated furnaces and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8514.20.00</w:t>
            </w:r>
          </w:p>
        </w:tc>
        <w:tc>
          <w:tcPr>
            <w:tcW w:w="4679" w:type="dxa"/>
            <w:tcMar>
              <w:top w:w="70" w:type="dxa"/>
              <w:start w:w="110" w:type="dxa"/>
              <w:bottom w:w="70" w:type="dxa"/>
              <w:end w:w="110" w:type="dxa"/>
            </w:tcMar>
            <w:vAlign w:val="center"/>
          </w:tcPr>
          <w:p>
            <w:pPr>
              <w:pStyle w:val="TableText"/>
              <w:jc w:val="left"/>
            </w:pPr>
            <w:r>
              <w:rPr>
                <w:lang w:val="en-US" w:eastAsia="en-US" w:bidi="ar-SA"/>
              </w:rPr>
              <w:t>Furnaces and ovens functioning by induction or dielectric loss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furnaces and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8514.40.00</w:t>
            </w:r>
          </w:p>
        </w:tc>
        <w:tc>
          <w:tcPr>
            <w:tcW w:w="4679" w:type="dxa"/>
            <w:tcMar>
              <w:top w:w="70" w:type="dxa"/>
              <w:start w:w="110" w:type="dxa"/>
              <w:bottom w:w="70" w:type="dxa"/>
              <w:end w:w="110" w:type="dxa"/>
            </w:tcMar>
            <w:vAlign w:val="center"/>
          </w:tcPr>
          <w:p>
            <w:pPr>
              <w:pStyle w:val="TableText"/>
              <w:jc w:val="left"/>
            </w:pPr>
            <w:r>
              <w:rPr>
                <w:lang w:val="en-US" w:eastAsia="en-US" w:bidi="ar-SA"/>
              </w:rPr>
              <w:t>Other equipment for the heat treatment of materials by induction or dielectric loss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8515.11.00</w:t>
            </w:r>
          </w:p>
        </w:tc>
        <w:tc>
          <w:tcPr>
            <w:tcW w:w="4679" w:type="dxa"/>
            <w:tcMar>
              <w:top w:w="70" w:type="dxa"/>
              <w:start w:w="110" w:type="dxa"/>
              <w:bottom w:w="70" w:type="dxa"/>
              <w:end w:w="110" w:type="dxa"/>
            </w:tcMar>
            <w:vAlign w:val="center"/>
          </w:tcPr>
          <w:p>
            <w:pPr>
              <w:pStyle w:val="TableText"/>
              <w:jc w:val="left"/>
            </w:pPr>
            <w:r>
              <w:rPr>
                <w:lang w:val="en-US" w:eastAsia="en-US" w:bidi="ar-SA"/>
              </w:rPr>
              <w:t>Soldering irons and guns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8515.21.00</w:t>
            </w:r>
          </w:p>
        </w:tc>
        <w:tc>
          <w:tcPr>
            <w:tcW w:w="4679" w:type="dxa"/>
            <w:tcMar>
              <w:top w:w="70" w:type="dxa"/>
              <w:start w:w="110" w:type="dxa"/>
              <w:bottom w:w="70" w:type="dxa"/>
              <w:end w:w="110" w:type="dxa"/>
            </w:tcMar>
            <w:vAlign w:val="center"/>
          </w:tcPr>
          <w:p>
            <w:pPr>
              <w:pStyle w:val="TableText"/>
              <w:jc w:val="left"/>
            </w:pPr>
            <w:r>
              <w:rPr>
                <w:lang w:val="en-US" w:eastAsia="en-US" w:bidi="ar-SA"/>
              </w:rPr>
              <w:t>Fully or partly automatic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8515.31.00</w:t>
            </w:r>
          </w:p>
        </w:tc>
        <w:tc>
          <w:tcPr>
            <w:tcW w:w="4679" w:type="dxa"/>
            <w:tcMar>
              <w:top w:w="70" w:type="dxa"/>
              <w:start w:w="110" w:type="dxa"/>
              <w:bottom w:w="70" w:type="dxa"/>
              <w:end w:w="110" w:type="dxa"/>
            </w:tcMar>
            <w:vAlign w:val="center"/>
          </w:tcPr>
          <w:p>
            <w:pPr>
              <w:pStyle w:val="TableText"/>
              <w:jc w:val="left"/>
            </w:pPr>
            <w:r>
              <w:rPr>
                <w:lang w:val="en-US" w:eastAsia="en-US" w:bidi="ar-SA"/>
              </w:rPr>
              <w:t>Fully or partly automatic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8515.80.00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machines and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bl>
    <w:p>
      <w:pPr>
        <w:pStyle w:val="Normal"/>
      </w:pPr>
      <w:r>
        <w:t>Parts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8516.10.10</w:t>
            </w:r>
          </w:p>
        </w:tc>
        <w:tc>
          <w:tcPr>
            <w:tcW w:w="4679" w:type="dxa"/>
            <w:tcMar>
              <w:top w:w="70" w:type="dxa"/>
              <w:start w:w="110" w:type="dxa"/>
              <w:bottom w:w="70" w:type="dxa"/>
              <w:end w:w="110" w:type="dxa"/>
            </w:tcMar>
            <w:vAlign w:val="center"/>
          </w:tcPr>
          <w:p>
            <w:pPr>
              <w:pStyle w:val="TableText"/>
              <w:jc w:val="left"/>
            </w:pPr>
            <w:r>
              <w:rPr>
                <w:lang w:val="en-US" w:eastAsia="en-US" w:bidi="ar-SA"/>
              </w:rPr>
              <w:t>Immersion heaters for photographic solutions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Immersion heaters for use in motor vehicles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Storage heating radiators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Hair dryers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8516.32.10</w:t>
            </w:r>
          </w:p>
        </w:tc>
        <w:tc>
          <w:tcPr>
            <w:tcW w:w="4679" w:type="dxa"/>
            <w:tcMar>
              <w:top w:w="70" w:type="dxa"/>
              <w:start w:w="110" w:type="dxa"/>
              <w:bottom w:w="70" w:type="dxa"/>
              <w:end w:w="110" w:type="dxa"/>
            </w:tcMar>
            <w:vAlign w:val="center"/>
          </w:tcPr>
          <w:p>
            <w:pPr>
              <w:pStyle w:val="TableText"/>
              <w:jc w:val="left"/>
            </w:pPr>
            <w:r>
              <w:rPr>
                <w:lang w:val="en-US" w:eastAsia="en-US" w:bidi="ar-SA"/>
              </w:rPr>
              <w:t>Curling irons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8516.33.10</w:t>
            </w:r>
          </w:p>
        </w:tc>
        <w:tc>
          <w:tcPr>
            <w:tcW w:w="4679" w:type="dxa"/>
            <w:tcMar>
              <w:top w:w="70" w:type="dxa"/>
              <w:start w:w="110" w:type="dxa"/>
              <w:bottom w:w="70" w:type="dxa"/>
              <w:end w:w="110" w:type="dxa"/>
            </w:tcMar>
            <w:vAlign w:val="center"/>
          </w:tcPr>
          <w:p>
            <w:pPr>
              <w:pStyle w:val="TableText"/>
              <w:jc w:val="left"/>
            </w:pPr>
            <w:r>
              <w:rPr>
                <w:lang w:val="en-US" w:eastAsia="en-US" w:bidi="ar-SA"/>
              </w:rPr>
              <w:t>Wall mounted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8516.33.90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8516.40.00</w:t>
            </w:r>
          </w:p>
        </w:tc>
        <w:tc>
          <w:tcPr>
            <w:tcW w:w="4679" w:type="dxa"/>
            <w:tcMar>
              <w:top w:w="70" w:type="dxa"/>
              <w:start w:w="110" w:type="dxa"/>
              <w:bottom w:w="70" w:type="dxa"/>
              <w:end w:w="110" w:type="dxa"/>
            </w:tcMar>
            <w:vAlign w:val="center"/>
          </w:tcPr>
          <w:p>
            <w:pPr>
              <w:pStyle w:val="TableText"/>
              <w:jc w:val="left"/>
            </w:pPr>
            <w:r>
              <w:rPr>
                <w:lang w:val="en-US" w:eastAsia="en-US" w:bidi="ar-SA"/>
              </w:rPr>
              <w:t>Electric smoothing irons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Microwave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8516.60.10</w:t>
            </w:r>
          </w:p>
        </w:tc>
        <w:tc>
          <w:tcPr>
            <w:tcW w:w="4679" w:type="dxa"/>
            <w:tcMar>
              <w:top w:w="70" w:type="dxa"/>
              <w:start w:w="110" w:type="dxa"/>
              <w:bottom w:w="70" w:type="dxa"/>
              <w:end w:w="110" w:type="dxa"/>
            </w:tcMar>
            <w:vAlign w:val="center"/>
          </w:tcPr>
          <w:p>
            <w:pPr>
              <w:pStyle w:val="TableText"/>
              <w:jc w:val="left"/>
            </w:pPr>
            <w:r>
              <w:rPr>
                <w:lang w:val="en-US" w:eastAsia="en-US" w:bidi="ar-SA"/>
              </w:rPr>
              <w:t>Bread makers; Indoor smokeless barbecues; Rice cookers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8516.60.20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Ovens, cooking stoves and ranges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8516.60.90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8516.71.10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Coffee makers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8516.71.20</w:t>
            </w:r>
          </w:p>
        </w:tc>
        <w:tc>
          <w:tcPr>
            <w:tcW w:w="4679" w:type="dxa"/>
            <w:tcMar>
              <w:top w:w="70" w:type="dxa"/>
              <w:start w:w="110" w:type="dxa"/>
              <w:bottom w:w="70" w:type="dxa"/>
              <w:end w:w="110" w:type="dxa"/>
            </w:tcMar>
            <w:vAlign w:val="center"/>
          </w:tcPr>
          <w:p>
            <w:pPr>
              <w:pStyle w:val="TableText"/>
              <w:jc w:val="left"/>
            </w:pPr>
            <w:r>
              <w:rPr>
                <w:lang w:val="en-US" w:eastAsia="en-US" w:bidi="ar-SA"/>
              </w:rPr>
              <w:t>Tea makers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8516.72.10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Automatic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8516.72.90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8516.79.10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Fabric steamers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Electric heating resistors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8516.90.10</w:t>
            </w:r>
          </w:p>
        </w:tc>
        <w:tc>
          <w:tcPr>
            <w:tcW w:w="4679" w:type="dxa"/>
            <w:tcMar>
              <w:top w:w="70" w:type="dxa"/>
              <w:start w:w="110" w:type="dxa"/>
              <w:bottom w:w="70" w:type="dxa"/>
              <w:end w:w="110" w:type="dxa"/>
            </w:tcMar>
            <w:vAlign w:val="center"/>
          </w:tcPr>
          <w:p>
            <w:pPr>
              <w:pStyle w:val="TableText"/>
              <w:jc w:val="left"/>
            </w:pPr>
            <w:r>
              <w:rPr>
                <w:lang w:val="en-US" w:eastAsia="en-US" w:bidi="ar-SA"/>
              </w:rPr>
              <w:t>Housings for hand-drying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Housings and steel bases for electric smoothing irons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8516.90.30</w:t>
            </w:r>
          </w:p>
        </w:tc>
        <w:tc>
          <w:tcPr>
            <w:tcW w:w="4679" w:type="dxa"/>
            <w:tcMar>
              <w:top w:w="70" w:type="dxa"/>
              <w:start w:w="110" w:type="dxa"/>
              <w:bottom w:w="70" w:type="dxa"/>
              <w:end w:w="110" w:type="dxa"/>
            </w:tcMar>
            <w:vAlign w:val="center"/>
          </w:tcPr>
          <w:p>
            <w:pPr>
              <w:pStyle w:val="TableText"/>
              <w:jc w:val="left"/>
            </w:pPr>
            <w:r>
              <w:rPr>
                <w:lang w:val="en-US" w:eastAsia="en-US" w:bidi="ar-SA"/>
              </w:rPr>
              <w:t>Assemblies for microwave ovens, incorporating at least two of the following: cooking chamber, space structural supporting chassis, door or outer case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Printed circuit assemblies for microwave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8516.90.50</w:t>
            </w:r>
          </w:p>
        </w:tc>
        <w:tc>
          <w:tcPr>
            <w:tcW w:w="4679" w:type="dxa"/>
            <w:tcMar>
              <w:top w:w="70" w:type="dxa"/>
              <w:start w:w="110" w:type="dxa"/>
              <w:bottom w:w="70" w:type="dxa"/>
              <w:end w:w="110" w:type="dxa"/>
            </w:tcMar>
            <w:vAlign w:val="center"/>
          </w:tcPr>
          <w:p>
            <w:pPr>
              <w:pStyle w:val="TableText"/>
              <w:jc w:val="left"/>
            </w:pPr>
            <w:r>
              <w:rPr>
                <w:lang w:val="en-US" w:eastAsia="en-US" w:bidi="ar-SA"/>
              </w:rPr>
              <w:t>Cooking chambers, whether or not assembled, for ovens or cookers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8516.90.60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Top surface panels, whether or not with heating elements or controls, for ovens or cookers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8516.90.70</w:t>
            </w:r>
          </w:p>
        </w:tc>
        <w:tc>
          <w:tcPr>
            <w:tcW w:w="4679" w:type="dxa"/>
            <w:tcMar>
              <w:top w:w="70" w:type="dxa"/>
              <w:start w:w="110" w:type="dxa"/>
              <w:bottom w:w="70" w:type="dxa"/>
              <w:end w:w="110" w:type="dxa"/>
            </w:tcMar>
            <w:vAlign w:val="center"/>
          </w:tcPr>
          <w:p>
            <w:pPr>
              <w:pStyle w:val="TableText"/>
              <w:jc w:val="left"/>
            </w:pPr>
            <w:r>
              <w:rPr>
                <w:lang w:val="en-US" w:eastAsia="en-US" w:bidi="ar-SA"/>
              </w:rPr>
              <w:t>Door assemblies, for ovens or cookers, incorporating at least two of the following: inner panel, outer panel, window or insulation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8516.90.81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Housings for toasters: For automatic toasters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8516.90.82</w:t>
            </w:r>
          </w:p>
        </w:tc>
        <w:tc>
          <w:tcPr>
            <w:tcW w:w="4679" w:type="dxa"/>
            <w:tcMar>
              <w:top w:w="70" w:type="dxa"/>
              <w:start w:w="110" w:type="dxa"/>
              <w:bottom w:w="70" w:type="dxa"/>
              <w:end w:w="110" w:type="dxa"/>
            </w:tcMar>
            <w:vAlign w:val="center"/>
          </w:tcPr>
          <w:p>
            <w:pPr>
              <w:pStyle w:val="TableText"/>
              <w:jc w:val="left"/>
            </w:pPr>
            <w:r>
              <w:rPr>
                <w:lang w:val="en-US" w:eastAsia="en-US" w:bidi="ar-SA"/>
              </w:rPr>
              <w:t>Housings for toasters: For other toasters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8517.11.00</w:t>
            </w:r>
          </w:p>
        </w:tc>
        <w:tc>
          <w:tcPr>
            <w:tcW w:w="4679" w:type="dxa"/>
            <w:tcMar>
              <w:top w:w="70" w:type="dxa"/>
              <w:start w:w="110" w:type="dxa"/>
              <w:bottom w:w="70" w:type="dxa"/>
              <w:end w:w="110" w:type="dxa"/>
            </w:tcMar>
            <w:vAlign w:val="center"/>
          </w:tcPr>
          <w:p>
            <w:pPr>
              <w:pStyle w:val="TableText"/>
              <w:jc w:val="left"/>
            </w:pPr>
            <w:r>
              <w:rPr>
                <w:lang w:val="en-US" w:eastAsia="en-US" w:bidi="ar-SA"/>
              </w:rPr>
              <w:t>Line telephone sets with cordless handsets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8517.12.00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bl>
    <w:p>
      <w:pPr>
        <w:pStyle w:val="Normal"/>
      </w:pPr>
      <w:r>
        <w:t>Telephones for cellular networks or for other wireless networks 8517.18.00 Other 8517.61.00 Base stations 8517.62.00 Machines for the reception, conversion and transmission or regeneration of voice, images or other data, including switching and routing apparatus 8517.69.10 Facsimile apparatus; Other telephonic or telegraphic apparatus 8517.69.20 Receivers for calling, alerting or paging 8517.69.90 Other 8517.70.00 Parts 8518.10.00 Microphones and stands therefor 8518.21.00 Single loudspeakers, mounted in their enclosures 8518.22.00 Multiple loudspeakers, mounted in the same enclosure 8518.29.10 Compression horn drivers or compression horn tweeters for use in the manufacture of speaker systems 8518.29.20 Loudspeakers, without housings, having a frequency range of 300 Hz to 3.4 KHz and with a diameter not exceeding 50 mm, for telecommunications use 8518.29.90 Other 8518.30.10 Telephone handsets 8518.30.91 Other: Headphones, including earphones, and telephone headsets 8518.30.99 Other: Other 8518.40.10 For line telephony applications 8518.40.90 Other 8518.50.00 Electric sound amplifier sets 8518.90.10 Cone housings, field cases and pole pieces, for speakers with mounting dimensions exceeding 203 mm, cones and cone surrounds, dust covers and spiders, for use in the manufacture of loudspeakers;</w:t>
      </w:r>
    </w:p>
    <w:p>
      <w:pPr>
        <w:pStyle w:val="Normal"/>
      </w:pPr>
      <w:r>
        <w:t>Of compression horn drivers or compression horn tweeters for use in the manufacture of speaker systems; Of loudspeakers, without housings, having a frequency range of 300 Hz to 3.4 KHz and</w:t>
      </w:r>
    </w:p>
    <w:p>
      <w:pPr>
        <w:pStyle w:val="Normal"/>
      </w:pPr>
      <w:r>
        <w:t>with a diameter not exceeding 50 mm, for telecommunications use; Of microphones, stands therefor, and headphones (including earphones) 8518.90.20 Of audio-frequency electric amplifiers for line telephony applications 8518.90.30 Of other audio-frequency electric amplifiers; Of telephone handsets; Other, of loudspeakers 8518.90.90 Other 8519.20.10 Coin- or token-operated record-players 8519.20.90 Other 8519.30.10 With automatic record changing mechanism 8519.30.90 Other 8519.50.00 Telephone answering machines 8519.81.10 Magnetic tape recorders incorporating sound reproducing apparatus 8519.81.21 Other sound reproducing apparatus: Compact disc players; Pocket-size cassette-players; Other, cassette type 8519.81.29 Other sound reproducing apparatus: Other 8519.81.31 Dictating machines not capable of operating without an external source of power and transcribing machines: Using magnetic tape 8519.81.39 Dictating machines not capable of operating without an external source of power and transcribing machines: Other 8519.81.91 Other: For the commercial reproduction or duplication of audio cassette tapes; To be employed in the commercial production of video tape productions, cinematographic films (motion picture films), animated films or multi-image shows 8519.81.99 Other: Other 8519.89.10 Record players; To be employed in the commercial production of video tape productions, cinematographic films (motion picture films), animated films or multi-image shows; Transcribing machines</w:t>
      </w:r>
    </w:p>
    <w:p>
      <w:pPr>
        <w:pStyle w:val="Normal"/>
      </w:pPr>
      <w:r>
        <w:t>8519.89.90 Other 8521.10.00 Magnetic tape-type 8521.90.10 Laser video disc players 8521.90.90 Other 8522.10.00 Pick-up cartridges 8522.90.10 Printed circuit assemblies 8522.90.90 Other 8523.21.10 Cards incorporating an unrecorded magnetic stripe 8523.21.20 Cards incorporating a recorded magnetic stripe 8523.29.10 Unrecorded, of a width not exceeding 4 mm 8523.29.20 Of a musical nature, including recordings of operas, operettas, musical comedies and other recordings having a significant musical content; Recordings of music hall and cabaret numbers, whether musical or not, including monologues and soliloquies and other recordings of a similar entertainment character; Of an advertising character not including radio or television commercials imported for reference purposes only; Video recordings, not including news features or current events 8523.29.90 Other 8523.41.10 Prepared unrecorded media 8523.41.90 Other 8523.49.10 For reproducing phenomena other than sound or image;</w:t>
      </w:r>
    </w:p>
    <w:p>
      <w:pPr>
        <w:pStyle w:val="Normal"/>
      </w:pPr>
      <w: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w:t>
      </w:r>
    </w:p>
    <w:p>
      <w:pPr>
        <w:pStyle w:val="Normal"/>
      </w:pPr>
      <w:r>
        <w:t>international educational, scientific or cultural character; Other software 8523.49.90 Other 8523.51.10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Prepared unrecorded media; Other software 8523.51.90 Other 8523.52.00 “Smart cards” 8523.59.10 For reproducing phenomena other than sound or image;</w:t>
      </w:r>
    </w:p>
    <w:p>
      <w:pPr>
        <w:pStyle w:val="Normal"/>
      </w:pPr>
      <w: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prepared unrecorded media; Other sofware; Proximity cards and tags 8523.59.90 Other 8523.80.10 Gramophone</w:t>
      </w:r>
    </w:p>
    <w:p>
      <w:pPr>
        <w:pStyle w:val="Normal"/>
      </w:pPr>
      <w:r>
        <w:t>records; Prepared unrecorded media;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software 8523.80.90 Other 8525.50.00 Transmission apparatus 8525.60.00 Transmission apparatus incorporating reception apparatus 8525.80.00 Television cameras, digital cameras and video camera recorders 8526.10.00 Radar apparatus 8526.91.00 Radio navigational aid apparatus 8526.92.00 Radio remote control apparatus 8527.12.10 Domestic 8527.12.90 Other 8527.13.10 Domestic 8527.13.90 Other 8527.19.00 Other 8527.21.00 Combined with sound recording or reproducing apparatus 8527.29.00 Other 8527.91.10 Domestic 8527.91.90 Other 8527.92.10 Domestic 8527.92.90 Other 8527.99.10 Domestic radio receivers; Facsimile apparatus; Radios designed for use on the amateur bands of the radio frequency spectrum; Receivers for calling, alerting or paging 8527.99.90 Other 8528.42.00 Capable of directly connecting to and designed for use with an automatic data processing machine of heading 84.71</w:t>
      </w:r>
    </w:p>
    <w:p>
      <w:pPr>
        <w:pStyle w:val="Normal"/>
      </w:pPr>
      <w:r>
        <w:t>8528.49.11 For use in the manufacture of lightwave transmission systems: High definition 8528.49.19 For use in the manufacture of lightwave transmission systems: Other 8528.49.20 Black and white or other monochrome 8528.49.30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cathode-ray tube 8528.49.90 Other 8528.52.00 Capable of directly connecting to and designed for use with an automatic data processing machine of heading 84.71 8528.59.11 For use in the manufacture of lightwave transmission systems: High definition 8528.59.19 For use in the manufacture of lightwave transmission systems: Other 8528.59.20 Black and white or other monochrome 8528.59.30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flat panel screen or similar display;</w:t>
      </w:r>
    </w:p>
    <w:p>
      <w:pPr>
        <w:pStyle w:val="Normal"/>
      </w:pPr>
      <w:r>
        <w:t>Other, having a single picture tube intended for direct viewing (non-projection type); Other, with flat panel screen 8528.59.90 Other 8528.62.00 Capable of directly connecting to and designed for use with</w:t>
      </w:r>
    </w:p>
    <w:p>
      <w:pPr>
        <w:pStyle w:val="Normal"/>
      </w:pPr>
      <w:r>
        <w:t>an automatic data processing machine of heading 84.71 8528.69.11 Colour, with flat panel screen: Capable of being used with both automatic data processing machines of heading 84.71 and with apparatus which emits television signals 8528.69.19 Colour, with flat panel screen: Other 8528.69.20 Incomplete or unfinished colour projectors, including assemblies for projectors consisting of video intermediate (IF) amplifying and detecting systems, video processing and amplification systems, synchronizing and deflection circuitry and audio detection and amplification systems plus a power supply, but not incorporating a cathode-ray tube, flat panel screen or similar display; Colour, other 8528.69.30 Black and white or other monochrome 8528.71.10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8528.71.20 Set-top boxes which have a communication function: a microprocessor-based device incorporating a modem for gaining access to the Internet, and having a function of interactive information exchange 8528.71.40 For use in the manufacture of lightwave transmission systems 8528.71.90 Other 8528.72.10 Set-top boxes</w:t>
      </w:r>
    </w:p>
    <w:p>
      <w:pPr>
        <w:pStyle w:val="Normal"/>
      </w:pPr>
      <w:r>
        <w:t>which have a communication function: a microprocessor-based device incorporating a modem for gaining access to the Internet, and having a function of interactive information exchange 8528.72.20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8528.72.31 High definition: Projection type, with cathode-ray tube 8528.72.32 High definition: Non-projection type, with cathode-ray tube 8528.72.33 High definition: Other, with flat panel screen 8528.72.34 High definition: Other, for use in the manufacture of lightwave transmission systems 8528.72.39 High definition: Other 8528.72.91 Other: Having a single picture tube intended for direct viewing (non-projection type), with a video display diagonal not exceeding 35.56 cm 8528.72.92 Other: Combined in the same housing with video recording or reproducing apparatus (video cassette recorders/players), having a single picture tube intended for direct viewing (non-projection type), with a video display diagonal exceeding 35.56 cm 8528.72.93 Other: Other non-projection type having a single picture tube intended for direct viewing, with a video display diagonal exceeding</w:t>
      </w:r>
    </w:p>
    <w:p>
      <w:pPr>
        <w:pStyle w:val="Normal"/>
      </w:pPr>
      <w:r>
        <w:t>35.56 cm but less than 66.04 cm 8528.72.94 Other: Other non-projection type having a single picture tube intended for direct viewing, with a video display diagonal of 66.04 cm or more 8528.72.95 Other: Projection type, with cathode-ray tube 8528.72.96 Other: Other, with flat panel screen 8528.72.97 Other: Other, for use in the manufacture of lightwave transmission systems 8528.72.99 Other: Other 8528.73.10 Domestic television receivers 8528.73.90 Other 8529.10.00 Aerials and aerial reflectors of all kinds; parts suitable for use therewith 8529.90.11 Printed circuit assemblies: Of radio remote control apparatus for controlling domestic audio or video equipment or for use on amateur radio bands by hobbyists 8529.90.12 Printed circuit assemblies: Of transmission apparatus for radio- broadcasting or television, whether or not incorporating reception apparatus or sound recording or reproducing apparatus, of television cameras or of still image video cameras and other video camera recorders 8529.90.19 Printed circuit assemblies:</w:t>
      </w:r>
    </w:p>
    <w:p>
      <w:pPr>
        <w:pStyle w:val="Normal"/>
      </w:pPr>
      <w:r>
        <w:t>Other 8529.90.20 Transceiver assemblies for the goods of subheading 8526.10, not elsewhere specified or included 8529.90.31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Combinations of</w:t>
      </w:r>
    </w:p>
    <w:p>
      <w:pPr>
        <w:pStyle w:val="Normal"/>
      </w:pPr>
      <w:r>
        <w:t>parts 8529.90.39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Other 8529.90.40 Flat panel screen assemblies for the goods of tariff item No. 8528.59.30, 8528.69.11, 8528.69.19, 8528.72.33 or 8528.72.96 8529.90.50 Parts, including face plates and lock latches, for printed circuit assemblies 8529.90.61 Other parts of goods of heading 85.25 or 85.27, excluding parts of cellular telephones: Incorporating printed circuit assemblies of goods of subheading 8525.50 or 8525.60 8529.90.69 Other parts of goods of heading 85.25 or 85.27, excluding parts of cellular telephones: Other 8529.90.90 Other 8530.10.00 Equipment for railways or tramways 8530.80.10 For use in the manufacture, maintenance or repair of buoys for the Government of Canada 8530.80.90 Other 8530.90.00 Parts 8531.10.10 Smoke detectors 8531.10.90 Other 8531.20.00 Indicator panels incorporating liquid crystal devices (LCD) or light-emitting diodes (LED) 8531.80.00 Other apparatus 8531.90.10 Printed circuit assemblies 8531.90.90 Other 8532.10.00 Fixed capacitors designed for use in 50/60 Hz circuits and having a reactive power handling capacity of not less than 0.5 kvar (power capacitors) 8532.21.00 Tantalum 8532.22.00 Aluminum electrolytic 8532.23.00</w:t>
      </w:r>
    </w:p>
    <w:p>
      <w:pPr>
        <w:pStyle w:val="Normal"/>
      </w:pPr>
      <w:r>
        <w:t>Ceramic dielectric, single layer 8532.24.00 Ceramic dielectric, multilayer 8532.25.00 Dielectric of paper or plastics 8532.29.00 Other 8532.30.00 Variable or adjustable (pre-set) capacitors 8532.90.00 Parts 8533.10.00 Fixed carbon resistors, composition or film types 8533.21.00 For a power handling capacity not exceeding 20 W 8533.29.00 Other 8533.31.00 For a power handling capacity not exceeding 20 W 8533.39.00 Other 8533.40.00 Other variable resistors, including rheostats and potentiometers 8533.90.10 Of ceramic or metallic materials, electrically or mechanically reactive to changes in temperature, for the goods of tariff item No. 8533.40.00 8533.90.90 Other 8534.00.00 Printed circuits. 8535.10.00 Fuses 8535.21.00 For a voltage of less than 72.5 kV 8535.29.00 Other 8535.30.00 Isolating switches and make-and-break switches 8535.40.00 Lightning arresters, voltage limiters and surge suppressors 8535.90.10 Flameproof cable connecting devices and junction boxes to be employed in mines in which inflammable gases exist 8535.90.20 Industrial control-type switches; Other junction boxes or flameproof cable connecting devices; Receptacle boxes of metal 8535.90.30 Motor starters and motor overload protectors 8535.90.90 Other 8536.10.00 Fuses 8536.20.00 Automatic circuit breakers 8536.30.10 Overloads for use in the manufacture of air conditioning machines 8536.30.20 Overload motor protectors excluding those for use in the manufacture of air conditioning machines 8536.30.90 Other</w:t>
      </w:r>
    </w:p>
    <w:p>
      <w:pPr>
        <w:pStyle w:val="Normal"/>
      </w:pPr>
      <w:r>
        <w:t>8536.41.00 For a voltage not exceeding 60 V 8536.49.00 Other 8536.50.11 Motor starters: For use with machinery or equipment 8536.50.12 Motor starters: For automotive use 8536.50.19 Motor starters: Other 8536.50.20 Electro-mechanical snap-action switches for a current not exceeding 11 A; Electronic switches, including temperature-protected electronic switches, consisting of a transistor and a logic chip (chip-on-chip technology); Electronic AC switches consisting of optically-coupled input and output circuits (insulated thyristor AC switches) 8536.50.91 Other: The following, other than for use in the manufacture of dish washing machines or of detectors for propane or other toxic fumes: Contact mat switches for activating automatic door openers; High pressure switches; Cam-type rotary limit switches with multiple contacts; Float switches and similar types of switches activated by changes in liquid levels; Magnetic contactors; Push button switches 8536.50.92 Other: Other, for automotive use 8536.50.99 Other: Other 8536.61.00 Lamp-holders 8536.69.00 Other 8536.70.00 Connectors for optical fibres, optical fibre bundles or cables 8536.90.00 Other apparatus 8537.10.11 Numerical control panels with built-in automatic data processing machines: Assembled with outer housings or supports, for the goods of heading 84.21, 84.22, 84.28, 84.50 or 85.16 8537.10.19 Numerical control panels with built-in automatic data processing machines: Other 8537.10.21 Motor control centres: For automotive</w:t>
      </w:r>
    </w:p>
    <w:p>
      <w:pPr>
        <w:pStyle w:val="Normal"/>
      </w:pPr>
      <w:r>
        <w:t>use 8537.10.29 Motor control centres: Other 8537.10.31 Other, for use with machinery or equipment: Automated industrial control systems, excluding panels for anode formers 8537.10.39 Other, for use with machinery or equipment: Other 8537.10.91 Other: Assembled with outer housings or supports, for the goods of heading 84.21, 84.22, 84.50 or 85.16 8537.10.93 Other: Panel boards and distribution boards 8537.10.99 Other: Other 8537.20.00 For a voltage exceeding 1,000 V 8538.10.00 Boards, panels, consoles, desks, cabinets and other bases for the goods of heading 85.37, not equipped with their apparatus 8538.90.10 Of ceramic or metallic materials, electrically or mechanically reactive to changes in temperature, for motor starters and overload protectors 8538.90.20 Printed circuit assemblies 8538.90.31 Moulded parts: For use in the manufacture of relays, microwave, passive infrared, or combination microwave/passive infrared, for a voltage not exceeding 60 V 8538.90.39 Moulded parts: Other 8538.90.90 Other 8539.10.10 For use in motor vehicles of Chapter 87 8539.10.90 Other 8539.21.00 Tungsten halogen 8539.22.10 For use in the manufacture of Christmas lighting sets or patio lighting sets 8539.22.90 Other 8539.29.10 Xenon filament lamps 8539.29.91 Other:</w:t>
      </w:r>
    </w:p>
    <w:p>
      <w:pPr>
        <w:pStyle w:val="Normal"/>
      </w:pPr>
      <w:r>
        <w:t>For a voltage exceeding 31 V 8539.29.99 Other: Other 8539.31.00 Fluorescent, hot cathode 8539.32.10 For use in measuring, checking or testing instruments of Chapter 90, or for use in electrically operated apparatus for indicating</w:t>
      </w:r>
    </w:p>
    <w:p>
      <w:pPr>
        <w:pStyle w:val="Normal"/>
      </w:pPr>
      <w:r>
        <w:t>intervals of time; High pressure (190-200 atmospheres), 100W to 300W mercury discharge lamps with arc gaps from 1.0mm to 1.3mm, mounted within a parabolic or elliptical dichroic glass reflector, and with a luminious efficiency of 60 (+/- 5) lumens per watt, for use in Canadian manufactures 8539.32.90 Other 8539.39.10 For use in measuring, checking or testing instruments of Chapter 90, or for use in electrically operated apparatus for indicating intervals of time; Neon glow lamps, with an attached resistor, for use in the manufacture of indicator light assemblies; Photographic flash lamps; Xenon discharge lamps 8539.39.90 Other 8539.41.10 For use in measuring, checking or testing instruments of Chapter 90, or for use in electrically operated apparatus for indicating intervals of time; Hollow-cathode lamps, for use in instruments and apparatus for measuring or detecting noxious gases; Xenon arc-lamps 8539.41.90 Other 8539.49.10 For use in measuring, checking or testing instruments of Chapter 90, or for use in electrically operated apparatus for indicating intervals of time; Ultra violet hollow-cathode lamps, for use in instruments and apparatus for measuring or detecting noxious gases;</w:t>
      </w:r>
    </w:p>
    <w:p>
      <w:pPr>
        <w:pStyle w:val="Normal"/>
      </w:pPr>
      <w:r>
        <w:t>Ultra violet lamps designed for detecting scheelite ore 8539.49.90 Other 8539.50.00 Light-emitting diode (LED) lamps 8539.90.10 Filaments, cathodes or electrodes, for use in the manufacture of electric lamps; Of the goods of tariff item No.</w:t>
      </w:r>
    </w:p>
    <w:p>
      <w:pPr>
        <w:pStyle w:val="Normal"/>
      </w:pPr>
      <w:r>
        <w:t>8539.10.90, 8539.22.10, 8539.29.10, 8539.32.10, 8539.39.10, 8539.41.10 or 8539.49.10 8539.90.90 Other 8540.11.11 High definition: With a video display diagonal not exceeding 35.56 cm 8540.11.12 High definition: With a video display diagonal exceeding 35.56 cm 8540.11.21 Other, for non-projection television receivers: With a video display diagonal not exceeding 35.56 cm 8540.11.22 Other, for non-projection television receivers: With a video display diagonal exceeding 35.56 cm 8540.11.90 Other 8540.12.11 High definition: For use in the manufacture of video monitors; For use in the manufacture of high definition colour television receivers, projection type 8540.12.19 High definition: Other 8540.12.91 Other: For use in the manufacture of video monitors; For use in the manufacture of other colour television receivers, projection type 8540.12.99 Other: Other 8540.20.00 Television camera tubes; image converters and intensifiers; other photo-cathode tubes 8540.40.00 Data/graphic display tubes, monochrome; data/graphic display tubes, colour, with a phosphor dot screen pitch smaller than 0.4 mm 8540.60.00 Other cathode-ray tubes 8540.71.00 Magnetrons 8540.79.00 Other 8540.81.00 Receiver or amplifier valves and tubes 8540.89.00 Other 8540.91.10 Front panel assemblies as follows:</w:t>
      </w:r>
    </w:p>
    <w:p>
      <w:pPr>
        <w:pStyle w:val="Normal"/>
      </w:pPr>
      <w:r>
        <w:t>(a) with respect to colour cathode-ray television picture tube, an assembly that consists of a glass panel to which a shadow mask or aperture grill is attached for ultimate use, that is suitable for</w:t>
      </w:r>
    </w:p>
    <w:p>
      <w:pPr>
        <w:pStyle w:val="Normal"/>
      </w:pPr>
      <w:r>
        <w:t>incorporation into a colour cathode-ray television picture tube (including a video monitor or video projector cathode-ray tube) and that has undergone the necessary chemical and physical processes for imprinting phosphors on the glass panel with sufficient precision to render a video image when excited by a stream of electrons; or (b) with respect to a monochrome cathode-ray television picture tube, an assembly that consists of either a glass panel or a glass envelope, that is suitable for incorporation into a monochrome cathode-ray television picture tube (including a video monitor or video projector cathode-ray tube) and that has undergone the necessary chemical and physical processes for imprinting phosphors on the glass panel or glass envelope with sufficient precision to render a video image when excited by a stream of electrons 8540.91.90 Other 8540.99.10 Electron guns;</w:t>
      </w:r>
    </w:p>
    <w:p>
      <w:pPr>
        <w:pStyle w:val="Normal"/>
      </w:pPr>
      <w:r>
        <w:t>Radio frequency (RF) interaction structures for microwave tubes of subheading 8540.71, 8540.72 or 8540.79 8540.99.90 Other 8541.10.00 Diodes, other than photosensitive or light-emitting diodes (LED) 8541.21.00 With a dissipation rate of less than 1 W 8541.29.00 Other 8541.30.00 Thyristors, diacs and triacs, other than photosensitive devices 8541.40.00 Photosensitive semiconductor devices, including photovoltaic cells whether or not assembled in modules or made up into panels; light-emitting diodes (LED) 8541.50.00 Other semiconductor devices 8541.60.00 Mounted piezo-electric crystals 8541.90.00 Parts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8542.31.00</w:t>
            </w:r>
          </w:p>
        </w:tc>
        <w:tc>
          <w:tcPr>
            <w:tcW w:w="4679" w:type="dxa"/>
            <w:tcMar>
              <w:top w:w="70" w:type="dxa"/>
              <w:start w:w="110" w:type="dxa"/>
              <w:bottom w:w="70" w:type="dxa"/>
              <w:end w:w="110" w:type="dxa"/>
            </w:tcMar>
            <w:vAlign w:val="center"/>
          </w:tcPr>
          <w:p>
            <w:pPr>
              <w:pStyle w:val="TableText"/>
              <w:jc w:val="left"/>
            </w:pPr>
            <w:r>
              <w:rPr>
                <w:lang w:val="en-US" w:eastAsia="en-US" w:bidi="ar-SA"/>
              </w:rPr>
              <w:t>Processors and controllers, whether or not combined with memories, converters, logic circuits, amplifiers, clock and timing circuits, or other circuits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8542.32.00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Memories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8542.33.00</w:t>
            </w:r>
          </w:p>
        </w:tc>
        <w:tc>
          <w:tcPr>
            <w:tcW w:w="4679" w:type="dxa"/>
            <w:tcMar>
              <w:top w:w="70" w:type="dxa"/>
              <w:start w:w="110" w:type="dxa"/>
              <w:bottom w:w="70" w:type="dxa"/>
              <w:end w:w="110" w:type="dxa"/>
            </w:tcMar>
            <w:vAlign w:val="center"/>
          </w:tcPr>
          <w:p>
            <w:pPr>
              <w:pStyle w:val="TableText"/>
              <w:jc w:val="left"/>
            </w:pPr>
            <w:r>
              <w:rPr>
                <w:lang w:val="en-US" w:eastAsia="en-US" w:bidi="ar-SA"/>
              </w:rPr>
              <w:t>Amplifiers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8542.90.00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Particle accelerators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8543.20.00</w:t>
            </w:r>
          </w:p>
        </w:tc>
        <w:tc>
          <w:tcPr>
            <w:tcW w:w="4679" w:type="dxa"/>
            <w:tcMar>
              <w:top w:w="70" w:type="dxa"/>
              <w:start w:w="110" w:type="dxa"/>
              <w:bottom w:w="70" w:type="dxa"/>
              <w:end w:w="110" w:type="dxa"/>
            </w:tcMar>
            <w:vAlign w:val="center"/>
          </w:tcPr>
          <w:p>
            <w:pPr>
              <w:pStyle w:val="TableText"/>
              <w:jc w:val="left"/>
            </w:pPr>
            <w:r>
              <w:rPr>
                <w:lang w:val="en-US" w:eastAsia="en-US" w:bidi="ar-SA"/>
              </w:rPr>
              <w:t>Signal generators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Machines and apparatus for electroplating, electrolysis or electrophoresis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8543.70.00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machines and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8544.11.00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8544.20.00</w:t>
            </w:r>
          </w:p>
        </w:tc>
        <w:tc>
          <w:tcPr>
            <w:tcW w:w="4679" w:type="dxa"/>
            <w:tcMar>
              <w:top w:w="70" w:type="dxa"/>
              <w:start w:w="110" w:type="dxa"/>
              <w:bottom w:w="70" w:type="dxa"/>
              <w:end w:w="110" w:type="dxa"/>
            </w:tcMar>
            <w:vAlign w:val="center"/>
          </w:tcPr>
          <w:p>
            <w:pPr>
              <w:pStyle w:val="TableText"/>
              <w:jc w:val="left"/>
            </w:pPr>
            <w:r>
              <w:rPr>
                <w:lang w:val="en-US" w:eastAsia="en-US" w:bidi="ar-SA"/>
              </w:rPr>
              <w:t>Co-axial cable and other co-axial electric conductors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Ignition wiring sets and other wiring sets of a kind used in vehicles, aircraft or ships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8544.42.00</w:t>
            </w:r>
          </w:p>
        </w:tc>
        <w:tc>
          <w:tcPr>
            <w:tcW w:w="4679" w:type="dxa"/>
            <w:tcMar>
              <w:top w:w="70" w:type="dxa"/>
              <w:start w:w="110" w:type="dxa"/>
              <w:bottom w:w="70" w:type="dxa"/>
              <w:end w:w="110" w:type="dxa"/>
            </w:tcMar>
            <w:vAlign w:val="center"/>
          </w:tcPr>
          <w:p>
            <w:pPr>
              <w:pStyle w:val="TableText"/>
              <w:jc w:val="left"/>
            </w:pPr>
            <w:r>
              <w:rPr>
                <w:lang w:val="en-US" w:eastAsia="en-US" w:bidi="ar-SA"/>
              </w:rPr>
              <w:t>Fitted with connectors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8544.60.10</w:t>
            </w:r>
          </w:p>
        </w:tc>
        <w:tc>
          <w:tcPr>
            <w:tcW w:w="4679" w:type="dxa"/>
            <w:tcMar>
              <w:top w:w="70" w:type="dxa"/>
              <w:start w:w="110" w:type="dxa"/>
              <w:bottom w:w="70" w:type="dxa"/>
              <w:end w:w="110" w:type="dxa"/>
            </w:tcMar>
            <w:vAlign w:val="center"/>
          </w:tcPr>
          <w:p>
            <w:pPr>
              <w:pStyle w:val="TableText"/>
              <w:jc w:val="left"/>
            </w:pPr>
            <w:r>
              <w:rPr>
                <w:lang w:val="en-US" w:eastAsia="en-US" w:bidi="ar-SA"/>
              </w:rPr>
              <w:t>Flameproof, to be employed in mines; Submarine cables for a voltage exceeding 235 kV</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8544.60.91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To be employed in mining, recovering and producing crude oil from shales, oil-sands or tar-sands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8544.60.99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Optical fibre cables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8545.11.00</w:t>
            </w:r>
          </w:p>
        </w:tc>
        <w:tc>
          <w:tcPr>
            <w:tcW w:w="4679" w:type="dxa"/>
            <w:tcMar>
              <w:top w:w="70" w:type="dxa"/>
              <w:start w:w="110" w:type="dxa"/>
              <w:bottom w:w="70" w:type="dxa"/>
              <w:end w:w="110" w:type="dxa"/>
            </w:tcMar>
            <w:vAlign w:val="center"/>
          </w:tcPr>
          <w:p>
            <w:pPr>
              <w:pStyle w:val="TableText"/>
              <w:jc w:val="left"/>
            </w:pPr>
            <w:r>
              <w:rPr>
                <w:lang w:val="en-US" w:eastAsia="en-US" w:bidi="ar-SA"/>
              </w:rPr>
              <w:t>Of a kind used for furnaces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8545.20.00</w:t>
            </w:r>
          </w:p>
        </w:tc>
        <w:tc>
          <w:tcPr>
            <w:tcW w:w="4679" w:type="dxa"/>
            <w:tcMar>
              <w:top w:w="70" w:type="dxa"/>
              <w:start w:w="110" w:type="dxa"/>
              <w:bottom w:w="70" w:type="dxa"/>
              <w:end w:w="110" w:type="dxa"/>
            </w:tcMar>
            <w:vAlign w:val="center"/>
          </w:tcPr>
          <w:p>
            <w:pPr>
              <w:pStyle w:val="TableText"/>
              <w:jc w:val="left"/>
            </w:pPr>
            <w:r>
              <w:rPr>
                <w:lang w:val="en-US" w:eastAsia="en-US" w:bidi="ar-SA"/>
              </w:rPr>
              <w:t>Brushes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8546.10.00</w:t>
            </w:r>
          </w:p>
        </w:tc>
        <w:tc>
          <w:tcPr>
            <w:tcW w:w="4679" w:type="dxa"/>
            <w:tcMar>
              <w:top w:w="70" w:type="dxa"/>
              <w:start w:w="110" w:type="dxa"/>
              <w:bottom w:w="70" w:type="dxa"/>
              <w:end w:w="110" w:type="dxa"/>
            </w:tcMar>
            <w:vAlign w:val="center"/>
          </w:tcPr>
          <w:p>
            <w:pPr>
              <w:pStyle w:val="TableText"/>
              <w:jc w:val="left"/>
            </w:pPr>
            <w:r>
              <w:rPr>
                <w:lang w:val="en-US" w:eastAsia="en-US" w:bidi="ar-SA"/>
              </w:rPr>
              <w:t>Of glass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ceramics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Insulating fittings of ceramics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8547.20.00</w:t>
            </w:r>
          </w:p>
        </w:tc>
        <w:tc>
          <w:tcPr>
            <w:tcW w:w="4679" w:type="dxa"/>
            <w:tcMar>
              <w:top w:w="70" w:type="dxa"/>
              <w:start w:w="110" w:type="dxa"/>
              <w:bottom w:w="70" w:type="dxa"/>
              <w:end w:w="110" w:type="dxa"/>
            </w:tcMar>
            <w:vAlign w:val="center"/>
          </w:tcPr>
          <w:p>
            <w:pPr>
              <w:pStyle w:val="TableText"/>
              <w:jc w:val="left"/>
            </w:pPr>
            <w:r>
              <w:rPr>
                <w:lang w:val="en-US" w:eastAsia="en-US" w:bidi="ar-SA"/>
              </w:rPr>
              <w:t>Insulating fittings 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8548.10.10</w:t>
            </w:r>
          </w:p>
        </w:tc>
        <w:tc>
          <w:tcPr>
            <w:tcW w:w="4679" w:type="dxa"/>
            <w:tcMar>
              <w:top w:w="70" w:type="dxa"/>
              <w:start w:w="110" w:type="dxa"/>
              <w:bottom w:w="70" w:type="dxa"/>
              <w:end w:w="110" w:type="dxa"/>
            </w:tcMar>
            <w:vAlign w:val="center"/>
          </w:tcPr>
          <w:p>
            <w:pPr>
              <w:pStyle w:val="TableText"/>
              <w:jc w:val="left"/>
            </w:pPr>
            <w:r>
              <w:rPr>
                <w:lang w:val="en-US" w:eastAsia="en-US" w:bidi="ar-SA"/>
              </w:rPr>
              <w:t>Spent primary cells, spent primary batteries and spent electric accumulators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8548.10.90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8601.10.00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Powered from an external source of electricity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8601.20.00</w:t>
            </w:r>
          </w:p>
        </w:tc>
        <w:tc>
          <w:tcPr>
            <w:tcW w:w="4679" w:type="dxa"/>
            <w:tcMar>
              <w:top w:w="70" w:type="dxa"/>
              <w:start w:w="110" w:type="dxa"/>
              <w:bottom w:w="70" w:type="dxa"/>
              <w:end w:w="110" w:type="dxa"/>
            </w:tcMar>
            <w:vAlign w:val="center"/>
          </w:tcPr>
          <w:p>
            <w:pPr>
              <w:pStyle w:val="TableText"/>
              <w:jc w:val="left"/>
            </w:pPr>
            <w:r>
              <w:rPr>
                <w:lang w:val="en-US" w:eastAsia="en-US" w:bidi="ar-SA"/>
              </w:rPr>
              <w:t>Powered by electric accumulators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8602.10.00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Diesel-electric locomotives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8602.90.00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bl>
    <w:p>
      <w:pPr>
        <w:pStyle w:val="Normal"/>
      </w:pPr>
      <w:r>
        <w:t>8603.10.00 Powered from an external source of electricity 8603.90.00 Other 8604.00.10 Ballast spreaders; Buggies for transporting work crews and track material trailers, not exceeding 20 tonnes; Combination ballast broom and snow switch cleaners; Manual feed spike drivers for maintenance or production applications; On-track brush cutters; Rail tie spacing machines; Snow plows; Supply push carts; Tie cranes; Track carriage cranes 8604.00.90 Other 8605.00.00 Railway or tramway passenger coaches, not self-propelled; luggage vans (baggage cars), post office coaches and other special purpose railway or tramway coaches, not self-propelled (excluding those of heading 86.04). 8606.10.00 Tank wagons (tank cars) and the like 8606.30.00 Self-discharging vans and wagons (cars), other than those of subheading 8606.10 8606.91.00 Covered and closed 8606.92.00 Open, with non-removable sides of a height exceeding 60 cm 8606.99.00 Other 8607.11.00 Driving bogies and bissel-bogies (truck assemblies) 8607.12.00 Other bogies and bissel-bogies (truck assemblies) 8607.19.11 Axles: For self-propelled railway vehicles for the transport of passengers, baggage, mail or express traffic; In the rough, for use in the manufacture of axles for railway rolling-stock 8607.19.19 Axles:</w:t>
      </w:r>
    </w:p>
    <w:p>
      <w:pPr>
        <w:pStyle w:val="Normal"/>
      </w:pPr>
      <w:r>
        <w:t>Other 8607.19.21 Wheels, whether or not fitted with axles: Blanks for use in the manufacture of wheel and axle combinations for railway and tramway (including subway cars) passenger coaches; For self-propelled railway vehicles</w:t>
      </w:r>
    </w:p>
    <w:p>
      <w:pPr>
        <w:pStyle w:val="Normal"/>
      </w:pPr>
      <w:r>
        <w:t>for the transport of passengers, baggage, mail or express traffic; For use in the repair of tramway vehicles (excluding subway cars) with magnetic track brakes 8607.19.29 Wheels, whether or not fitted with axles: Other 8607.19.30 Parts of axles or wheels 8607.19.40 Tires of steel, in the rough, not machined or drilled 8607.19.50 Parts of bogies or bissel-bogies (truck assemblies) 8607.21.10 For self-propelled railway vehicles for the transport of passengers, baggage, mail or express traffic; Parts for use in the manufacture of brake systems for subway and rapid transit cars 8607.21.20 Brake beams for use in railway vehicles 8607.21.90 Other 8607.29.10 For self-propelled railway vehicles for the transport of passengers, baggage, mail or express traffic; For use in the repair of tramway vehicles (excluding subway cars) with magnetic track brakes; Parts for use in the manufacture of brake systems for subway and rapid transit cars 8607.29.90 Other 8607.30.10 For self-propelled railway vehicles for the transport of passengers, baggage, mail or express traffic; For use in the repair of tramway vehicles (excluding subway cars) with magnetic track brakes;</w:t>
      </w:r>
    </w:p>
    <w:p>
      <w:pPr>
        <w:pStyle w:val="Normal"/>
      </w:pPr>
      <w:r>
        <w:t>Parts for use in the manufacture of hydraulic cushioning devices (buffers) for railway rolling-stock 8607.30.90 Other 8607.91.00 Of locomotives 8607.99.11 Of self-propelled rolling-stock: For use in the repair of tramway vehicles (excluding subway cars) with magnetic track brakes; Of the vehicles of heading 86.04; Of railway</w:t>
      </w:r>
    </w:p>
    <w:p>
      <w:pPr>
        <w:pStyle w:val="Normal"/>
      </w:pPr>
      <w:r>
        <w:t>vehicles for the transport of passengers, baggage, mail or express traffic 8607.99.19 Of self-propelled rolling-stock: Other 8607.99.20 Of non self-propelled rolling-stock 8608.00.10 Fixed and sliding railway bumping posts and friction buffer stops;</w:t>
      </w:r>
    </w:p>
    <w:p>
      <w:pPr>
        <w:pStyle w:val="Normal"/>
      </w:pPr>
      <w:r>
        <w:t>Signalling equipment for railways and parts thereof 8608.00.90 Other 8609.00.10 Reusable, specially designed to be employed in the transportation of motor vehicle components which are free of customs duties, presented with the goods therein 8609.00.90 Other 8701.10.10 Powered by an internal combustion engine 8701.10.90 Other 8701.20.00 Road tractors for semi-trailers 8701.30.00 Track-laying tractors 8701.91.00 Not exceeding 18 kW 8701.92.00 Exceeding 18 kW but not exceeding 37 kW 8701.93.00 Exceeding 37 kW but not exceeding 75 kW 8701.94.00 Exceeding 75 kW but not exceeding 130 kW 8701.95.10 Yard shunting tractors 8701.95.90 Other 8702.10.10 For the transport of 16 or more persons, including the driver 8702.10.20 For the transport of ten to 15 persons, including the driver 8702.20.10 For the transport of 16 or more persons, including the driver 8702.20.20 For the transport of ten to 15 persons, including the driver 8702.30.10 For the transport of 16 or more persons, including the driver 8702.30.20 For the transport of ten to 15 persons, including the driver 8702.40.10 For the transport of 16 or more persons, including the driver 8702.40.20 For the transport of ten to 15 persons, including the driver 8702.90.10 For the transport</w:t>
      </w:r>
    </w:p>
    <w:p>
      <w:pPr>
        <w:pStyle w:val="Normal"/>
      </w:pPr>
      <w:r>
        <w:t>of 16 or more persons, including the driver 8702.90.20 For the transport of ten to 15 persons, including the driver 8703.10.10 Recreational or sporting vehicles specially designed for travelling on snow 8703.10.90 Other 8703.21.10 Non-amphibious all-terrain vehicles of a weight of less than 227.3 kg, having fewer than six wheels and designed to carry only one passenger 8703.21.90 Other 8703.22.00 Of a cylinder capacity exceeding 1,000 cc but not exceeding 1,500 cc 8703.23.00 Of a cylinder capacity exceeding 1,500 cc but not exceeding 3,000 cc 8703.24.00 Of a cylinder capacity exceeding 3,000 cc 8703.31.00 Of a cylinder capacity not exceeding 1,500 cc 8703.32.00 Of a cylinder capacity exceeding 1,500 cc but not exceeding 2,500 cc 8703.33.00 Of a cylinder capacity exceeding 2,500 cc 8703.40.10 Of a cylinder capacity not exceeding 1,000 cc 8703.40.90 Other 8703.50.00 Other vehicles, with both compression-ignition internal combustion piston engine (diesel or semi-diesel) and electric motor as motors for propulsion, other than those capable of being charged by plugging to external source of electric power 8703.60.10 Of a cylinder capacity not exceeding 1,000 cc 8703.60.90 Other</w:t>
      </w:r>
    </w:p>
    <w:p>
      <w:pPr>
        <w:pStyle w:val="Normal"/>
      </w:pPr>
      <w:r>
        <w:t>8703.70.00 Other vehicles, with both compression-ignition internal combustion piston engine (diesel or semi-diesel) and electric motor as motors for propulsion, capable of being charged by plugging to external source of electric power 8703.80.00 Other vehicles, with only electric motor for propulsion</w:t>
      </w:r>
    </w:p>
    <w:p>
      <w:pPr>
        <w:pStyle w:val="Normal"/>
      </w:pPr>
      <w:r>
        <w:t>8703.90.00 Other 8704.10.00 Dumpers designed for off-highway use 8704.21.10 For conversion to ambulances 8704.21.90 Other 8704.22.00 g.v.w. exceeding 5 tonnes but not exceeding 20 tonnes 8704.23.00 g.v.w. exceeding 20 tonnes 8704.31.00 g.v.w. not exceeding 5 tonnes 8704.32.00 g.v.w. exceeding 5 tonnes 8704.90.00 Other 8705.10.10 Railway maintenance cranes equipped to travel both by road and rail, with a lifting capacity exceeding 36.3 tonnes but not exceeding 68 tonnes 8705.10.90 Other 8705.20.00 Mobile drilling derricks 8705.30.00 Fire fighting vehicles 8705.40.10 Transit type, with delivery conveyors 8705.40.90 Other 8705.90.10 Automotive towing trucks for a basic wrecker rating not exceeding 67,000 kg; Cement trucks with mixing or pumping capabilities for the oil and gas industry, excluding concrete pumps with booms designed primarily for the construction industry;</w:t>
      </w:r>
    </w:p>
    <w:p>
      <w:pPr>
        <w:pStyle w:val="Normal"/>
      </w:pPr>
      <w:r>
        <w:t>Lorries equipped with: aggregate spreaders; carpet cleaning machinery; coiled tubing systems for servicing oil wells; combination vacuum and broom type sweepers; furnace and duct cleaning machinery; highway paint spraying machinery; manlift baskets with a working height not exceeding 26.5 m; oil or gas well logging units; recovery vacuum tanks; road surface patching machines; sand and salt spreaders; scissor lifts; sewer and catch basin cleaners; snow blowers; solid waste removal tanks, without compactors; street cleaning flushers; sweepers for airports; or vacuum type sweeper-leaf loaders 8705.90.90 Other</w:t>
      </w:r>
    </w:p>
    <w:p>
      <w:pPr>
        <w:pStyle w:val="Normal"/>
      </w:pPr>
      <w:r>
        <w:t>8706.00.10 For the tractors of tariff item No. 8701.10.10, 8701.30.00, 8701.91.00, 8701.92.00, 8701.93.00, 8701.94.00 or 8701.95.90 8706.00.20 For the vehicles of heading 87.03 or of subheading 8704.21 or 8704.31 8706.00.90 Other 8707.10.00 For the vehicles of heading 87.03 8707.90.10 Cabs for the tractors of tariff item No. 8701.10.10, 8701.30.00, 8701.91.00, 8701.92.00, 8701.93.00, 8701.94.00 or 8701.95.90 8707.90.90 Other 8708.10.10 Bumpers 8708.10.21 Parts: Face bars, of bare metal, not finished in any degree after final forming 8708.10.29 Parts: Other 8708.21.00 Safety seat belts 8708.29.11 Stampings: For the tractors of tariff item No. 8701.10.10, 8701.30.00, 8701.91.00, 8701.92.00, 8701.93.00, 8701.94.00 or 8701.95.90 8708.29.19 Stampings: Other 8708.29.20 Door assemblies 8708.29.60 Seat covers or floor mats of plastics 8708.29.91 Other: Veterinary units and parts and accessories thereof, designed for the transportation and storage of veterinary equipment and preparations, for installation on motor vehicles; Parts and accessories for use in the manufacture of fire fighting vehicles; Parts for the tractors of tariff item No. 8701.10.10, 8701.30.00, 8701.91.00, 8701.92.00, 8701.93.00, 8701.94.00 or 8701.95.90 8708.29.92 Other: Rear-trunk spoilers or wings of polyurethane, for use as aftermarket automotive accessories 8708.29.99 Other: Other 8708.30.11 Mounted brake linings: For the tractors of tariff item No.</w:t>
      </w:r>
    </w:p>
    <w:p>
      <w:pPr>
        <w:pStyle w:val="Normal"/>
      </w:pPr>
      <w:r>
        <w:t>8701.10.10, 8701.30.00, 8701.91.00, 8701.92.00, 8701.93.00, 8701.94.00 or 8701.95.90 8708.30.19 Mounted brake linings: Other 8708.30.91 Other: Parts, excluding slack adjusters, service chambers, double diaphragm spring brake actuators and oiled air connectors, for use in the manufacture of air or vacuum brake control systems; Parts for the tractors of tariff item No. 8701.10.10, 8701.30.00, 8701.91.00, 8701.92.00, 8701.93.00, 8701.94.00 or 8701.95.90 8708.30.99 Other: Other 8708.40.21 Gear boxes: For the tractors of tariff item No. 8701.10.10, 8701.30.00, 8701.91.00, 8701.92.00, 8701.93.00, 8701.94.00 or 8701.95.90; Transfer cases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8708.40.29 Gear boxes: Other 8708.40.91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8708.40.99 Other: Other 8708.50.31 Drive-axles with differential, whether or not provided with other transmission components: For the tractors of tariff item No.</w:t>
      </w:r>
    </w:p>
    <w:p>
      <w:pPr>
        <w:pStyle w:val="Normal"/>
      </w:pPr>
      <w:r>
        <w:t>8701.10.10, 8701.30.00, 8701.91.00, 8701.92.00, 8701.93.00, 8701.94.00 or 8701.95.90; For use in the manufacture of self-propelled road sweepers; Front steerable drive axles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Transaxle assemblies for use in the manufacture of off-highway utility vehicles of a weight not exceeding 680 kg 8708.50.39 Drive-axles with differential, whether or not provided with other transmission components: Other 8708.50.81 Parts of drive-axles with differential: For installation in motor vehicles designed for the transportation and storage of veterinary equipment and preparations; Half shafts for the tractors of tariff item No. 8701.10.10, 8701.30.00, 8701.91.00, 8701.92.00, 8701.93.00, 8701.94.00 or 8701.95.90; Parts and accessories for use in the manufacture of fire fighting vehicles 8708.50.89 Parts of drive-axles with differential: Other 8708.50.91 Other: For the tractors of tariff item No. 8701.10.10, 8701.30.00, 8701.91.00, 8701.92.00, 8701.93.00, 8701.94.00 or 8701.95.90 8708.50.99 Other: Other 8708.70.11 Road wheels: For the tractors of tariff item No.</w:t>
      </w:r>
    </w:p>
    <w:p>
      <w:pPr>
        <w:pStyle w:val="Normal"/>
      </w:pPr>
      <w:r>
        <w:t>8701.10.10, 8701.30.00, 8701.91.00, 8701.92.00, 8701.93.00, 8701.94.00 or 8701.95.90 8708.70.19 Road wheels: Other 8708.70.21 Parts and accessories: Locking ring and rim sections, of hot- rolled iron or steel, for use in the manufacture of wheel rim assemblies; For the tractors of tariff item No. 8701.10.10, 8701.30.00, 8701.91.00, 8701.92.00, 8701.93.00, 8701.94.00 or 8701.95.90 8708.70.29 Parts and accessories: Other 8708.80.11 McPherson struts: For use in the manufacture of off-highway utility vehicles of a weight not exceeding 680 kg 8708.80.19 McPherson struts: Other 8708.80.20 Spring shock assemblies for use in the manufacture of off- highway utility vehicles of a weight not exceeding 680 kg; Other, for the tractors of tariff item No. 8701.10.10, 8701.30.00, 8701.91.00, 8701.92.00, 8701.93.00, 8701.94.00 or 8701.95.90 8708.80.30 Other suspension shock absorbers 8708.80.91 Other: For the tractors of tariff item No. 8701.10.10, 8701.30.00, 8701.91.00, 8701.92.00, 8701.93.00, 8701.94.00 or 8701.95.90 8708.80.99 Other: Other 8708.91.21 Radiators: For the tractors of tariff item No. 8701.10.10, 8701.30.00, 8701.91.00, 8701.92.00, 8701.93.00, 8701.94.00 or 8701.95.90 8708.91.29 Radiators: Other 8708.91.91 Other: For the tractors of tariff item No.</w:t>
      </w:r>
    </w:p>
    <w:p>
      <w:pPr>
        <w:pStyle w:val="Normal"/>
      </w:pPr>
      <w:r>
        <w:t>8701.10.10, 8701.30.00, 8701.91.00, 8701.92.00, 8701.93.00, 8701.94.00 or 8701.95.90; For installation in motor vehicles designed for the transportation and storage of veterinary equipment and preparations; Parts and accessories for use in the manufacture of fire fighting vehicles; Parts for use in the manufacture of aftermarket radiators for motor vehicles 8708.91.99 Other: Other 8708.92.21 Silencers (mufflers) and exhaust pipes: For the tractors of tariff item No. 8701.10.10, 8701.30.00, 8701.91.00, 8701.92.00, 8701.93.00, 8701.94.00 or 8701.95.90 8708.92.29 Silencers (mufflers) and exhaust pipes: Other 8708.92.91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8708.92.99 Other: Other 8708.93.11 Clutches: For the tractors of tariff item No. 8701.10.10, 8701.30.00, 8701.91.00, 8701.92.00, 8701.93.00, 8701.94.00 or 8701.95.90 8708.93.19 Clutches: Other 8708.93.21 Parts of clutches: For the tractors of tariff item No. 8701.10.10, 8701.30.00, 8701.91.00, 8701.92.00, 8701.93.00, 8701.94.00 or 8701.95.90 8708.93.29 Parts of clutches: Other 8708.94.21 Steering wheels, steering columns and steering boxes: For the tractors of tariff item No.</w:t>
      </w:r>
    </w:p>
    <w:p>
      <w:pPr>
        <w:pStyle w:val="Normal"/>
      </w:pPr>
      <w:r>
        <w:t>8701.10.10, 8701.30.00, 8701.91.00, 8701.92.00, 8701.93.00, 8701.94.00 or 8701.95.90 8708.94.29 Steering wheels, steering columns and steering boxes: Other 8708.94.91 Other: For the tractors of tariff item No. 8701.10.10, 8701.30.00, 8701.91.00, 8701.92.00, 8701.93.00, 8701.94.00 or 8701.95.90; Rack and pinion steering assemblies for use in the manufacture of off-highway utility vehicles of a weight not exceeding 680 kg 8708.94.99 Other: Other 8708.95.10 For installation in motor vehicles designed for the transportation and storage of veterinary equipment and preparations; Parts and accessories for use in the manufacture of fire fighting vehicles 8708.95.90 Other 8708.99.14 Parts for power trains: For the tractors of tariff item No. 8701.10.10, 8701.30.00, 8701.91.00, 8701.92.00, 8701.93.00, 8701.94.00 or 8701.95.90 8708.99.15 Parts for power trains: For the vehicles of heading 87.03 8708.99.19 Parts for power trains: Other 8708.99.41 Vibration control units containing rubber: For the tractors of tariff item No. 8701.10.10, 8701.30.00, 8701.91.00, 8701.92.00, 8701.93.00, 8701.94.00 or 8701.95.90 8708.99.49 Vibration control units containing rubber: Other 8708.99.51 Double flanged wheel hub units incorporating ball bearings: For the tractors of tariff item No. 8701.10.10, 8701.30.00, 8701.91.00, 8701.92.00, 8701.93.00, 8701.94.00 or 8701.95.90 8708.99.59 Double flanged wheel hub units incorporating ball bearings: Other 8708.99.91 Other: For the tractors of tariff item No.</w:t>
      </w:r>
    </w:p>
    <w:p>
      <w:pPr>
        <w:pStyle w:val="Normal"/>
      </w:pPr>
      <w:r>
        <w:t>8701.10.10, 8701.30.00, 8701.91.00, 8701.92.00, 8701.93.00, 8701.94.00 or 8701.95.90; Veterinary units, and parts and accessories thereof, designed for the transportation and storage of veterinary equipment and preparations, for installation in motor vehicles; Parts and accessories for use in the manufacture of fire fighting vehicles; Parts for use in the manufacture of aftermarket gas tanks for motor vehicles 8708.99.99 Other: Other 8709.11.10 Industrial tow tractors with motors of an output not exceeding 3.5 kW 8709.11.90 Other 8709.19.10 Tractors 8709.19.90 Other 8709.90.00 Parts 8710.00.00 Tanks and other armoured fighting vehicles, motorized, whether or not fitted with weapons, and parts of such vehicles.</w:t>
      </w:r>
    </w:p>
    <w:p>
      <w:pPr>
        <w:pStyle w:val="Normal"/>
      </w:pPr>
      <w:r>
        <w:t>8711.10.00 With reciprocating internal combustion piston engine of a cylinder capacity not exceeding 50 cc 8711.20.00 With reciprocating internal combustion piston engine of a cylinder capacity exceeding 50 cc but not exceeding 250 cc 8711.30.00 With reciprocating internal combustion piston engine of a cylinder capacity exceeding 250 cc but not exceeding 500 cc 8711.40.00 With reciprocating internal combustion piston engine of a cylinder capacity exceeding 500 cc but not exceeding 800 cc 8711.50.00 With reciprocating internal combustion piston engine of a cylinder capacity exceeding 800 cc 8711.60.00 With electric motor for propulsion 8711.90.00 Other 8712.00.00 Bicycles and other cycles (including delivery tricycles), not motorized.</w:t>
      </w:r>
    </w:p>
    <w:p>
      <w:pPr>
        <w:pStyle w:val="Normal"/>
      </w:pPr>
      <w:r>
        <w:t>8713.10.00 Not mechanically propelled 8713.90.00 Other 8714.10.00 Of motorcycles (including mopeds) 8714.20.00 Of carriages for disabled persons 8714.91.10 Frame lugs, bottom bracket shells, forks, fork tubing sets, fork bearing assemblies, hydraulic shock absorbing cylinders, spring shock absorbers, rear pivots, cable stops, cable guides and back, chain and seat stays 8714.91.90 Other 8714.92.00 Wheel rims and spokes 8714.93.00 Hubs, other than coaster braking hubs and hub brakes, and free wheel sprocket-wheels 8714.94.00 Brakes, including coaster braking hubs, and hub brakes, and parts thereof 8714.95.00 Saddles 8714.96.00 Pedals and crank-gear, and parts thereof 8714.99.10 Bicycle wheels 8714.99.90 Other 8715.00.00 Baby carriages and parts thereof. 8716.10.00 Trailers and semi-trailers of the caravan type, for housing or camping 8716.20.10 Automatic bale stacking wagons, grain carts and silage wagons 8716.20.90 Other 8716.31.00 Tanker trailers and tanker semi-trailers 8716.39.10 Aluminum construction drop-centre livestock trailers having a g.v.w.</w:t>
      </w:r>
    </w:p>
    <w:p>
      <w:pPr>
        <w:pStyle w:val="Normal"/>
      </w:pPr>
      <w:r>
        <w:t>of 11.778 tonnes or more and a length exceeding 12 m 8716.39.20 Farm, logging or freight wagons; Trailers for self-propelled logging trucks of heading 87.04 8716.39.30 Trailers and semi-trailers for road tractors or for motor vehicles for the transport of goods (excluding non-commercial snowmobile, utility, boat or horse trailers and trailers for use as permanent mountings for machinery or equipment) 8716.39.90 Other 8716.40.00 Other trailers and semi-trailers 8716.80.10 For the transport of persons 8716.80.20 For the transport of goods 8716.90.30 For use in the manufacture of trailers and semi-trailers 8716.90.91 Other: Brake drums, hubs and rotors for use in the manufacture or repair of brakes and brake assemblies mounted on axles for semi-trailers; Double ball race turntables for use in the manufacture of self- steering axle assemblies for trailers; Forage boxes for self-loading or self-unloading trailers and semi trailers, for agricultural purposes; Gravity discharge boxes for farm wagons; Hitches and couplings, for use on the farm; Parts for automatic bale stacking wagons, grain carts, silage wagons, or the header or swather transporters of subheading 8716.39 8716.90.92 Other:</w:t>
      </w:r>
    </w:p>
    <w:p>
      <w:pPr>
        <w:pStyle w:val="Normal"/>
      </w:pPr>
      <w:r>
        <w:t>Other parts for farm, logging or freight wagons, for trailers for self-propelled logging trucks or for other vehicles for the transport of persons 8716.90.99 Other: Other 8801.00.10 Captive balloons 8801.00.90 Other 8802.11.00 Of an unladen weight not exceeding 2,000 kg 8802.12.00 Of an unladen</w:t>
      </w:r>
    </w:p>
    <w:p>
      <w:pPr>
        <w:pStyle w:val="Normal"/>
      </w:pPr>
      <w:r>
        <w:t>weight exceeding 2,000 kg 8802.20.00 Airplanes and other aircraft, of an unladen weight not exceeding 2,000 kg 8802.30.00 Airplanes and other aircraft, of an unladen weight exceeding 2,000 kg but not exceeding 15,000 kg 8802.40.00 Airplanes and other aircraft, of an unladen weight exceeding 15,000 kg 8802.60.10 Satellites 8802.60.90 Other 8803.10.00 Propellers and rotors and parts thereof 8803.20.00 Under-carriages and parts thereof 8803.30.00 Other parts of airplanes or helicopters 8803.90.00 Other 8804.00.10 Parachutes (including dirigible parachutes) and rotochutes 8804.00.20 Parts and accessories for parachutes (including dirigible parachutes) and rotochutes 8804.00.30 Paragliders; parts thereof and accessories thereto 8805.10.00 Aircraft launching gear and parts thereof; deck-arrestor or similar gear and parts thereof 8805.21.00 Air combat simulators and parts thereof 8805.29.00 Other 8901.10.10 Of dimensions exceeding a length of 294.13 m and a beam of 32.31 m 8901.10.90 Other 8901.20.10 Of dimensions exceeding a length of 294.13 m and a beam of 32.31 m 8901.20.90 Other 8901.30.00 Refrigerated vessels, other than those of subheading 8901.20 8901.90.10 Open vessels 8901.90.91 Other:</w:t>
      </w:r>
    </w:p>
    <w:p>
      <w:pPr>
        <w:pStyle w:val="Normal"/>
      </w:pPr>
      <w:r>
        <w:t>Of dimensions exceeding a length of 294.13 m and a beam of 32.31 m 8901.90.99 Other: Other 8902.00.10 Of a registered length not exceeding 30.5 m 8902.00.20 Of a registered length exceeding 30.5 m 8903.10.00 Inflatable 8903.91.00 Sailboats, with or without auxiliary motor 8903.92.00</w:t>
      </w:r>
    </w:p>
    <w:p>
      <w:pPr>
        <w:pStyle w:val="Normal"/>
      </w:pPr>
      <w:r>
        <w:t>Motorboats, other than outboard motorboats 8903.99.10 Racing shells 8903.99.90 Other 8904.00.00 Tugs and pusher craft. 8905.10.00 Dredgers 8905.20.11 Drilling platforms: Used in drilling activity for exploration, delineation or development of offshore projects 8905.20.19 Drilling platforms: Other 8905.20.20 Production platforms 8905.90.11 Drill-ships, drilling barges and floating drilling rigs: Drill-ships used in drilling activity for exploration, delineation or development of offshore projects 8905.90.19 Drill-ships, drilling barges and floating drilling rigs: Other 8905.90.20 Semi-submersible crane vessels, floating cranes, and other heavy lift crane vessels, with a minimum gross lift capacity of 1,200 tonnes 8905.90.90 Other 8906.10.00 Warships 8906.90.11 Open vessels: Lifeboats imported by societies dedicated to the saving of lives 8906.90.19 Open vessels: Other 8906.90.91 Other: Of dimensions exceeding a length of 294.13 m and a beam of 32.31 m 8906.90.99 Other: Other 8907.10.10 Imported by societies dedicated to the saving of lives 8907.10.90 Other 8907.90.10 Marker buoys, excluding wooden buoys, to be employed in commercial fishing or in the commercial harvesting of marine plants 8907.90.20 Other buoys and beacons 8907.90.90 Other 8908.00.10 Stripped of salvageable articles or equipment 8908.00.90 Other 9001.10.00 Optical fibres, optical fibre bundles and cables 9001.20.00 Sheets and plates of polarizing material 9001.30.00 Contact lenses 9001.40.10 Designed for use</w:t>
      </w:r>
    </w:p>
    <w:p>
      <w:pPr>
        <w:pStyle w:val="Normal"/>
      </w:pPr>
      <w:r>
        <w:t>by workers employed in hazardous work 9001.40.40 Other, unfinished 9001.40.90 Other 9001.50.10 Designed for use by workers employed in hazardous work; Unfinished, light polarizing, for use in the manufacture of spectacles 9001.50.40 Other, unfinished 9001.50.90 Other 9001.90.10 Diffusion discs, polarizing filters and colour filters, for cameras, and holders for use therewith; Diffraction gratings, proof planes and optical flats; Fresnel lenses or lenticular lenses for use in the manufacture of projection-type colour television receivers; Halftone or similar printing screens; Lenses or shields for use in the manufacture of ski goggles 9001.90.90 Other 9002.11.10 For colour television cameras or colour video cameras; For enlargers making negatives or positives of a width exceeding 10 cm and a length exceeding 12.5 cm; For photographic cameras; For use in the manufacture of projectors; To be employed in the commercial production of video tape productions, cinematographic films (motion picture films), animated films or multi-image shows 9002.11.90 Other 9002.19.10 For microscopes; For photogrammetric instruments; For rangefinders; For microfilm reader-printers;</w:t>
      </w:r>
    </w:p>
    <w:p>
      <w:pPr>
        <w:pStyle w:val="Normal"/>
      </w:pPr>
      <w:r>
        <w:t>Of a diameter of 6 cm or more but not exceeding 20.5 cm, for astronomical telescopes 9002.19.90 Other 9002.20.10 Diffusion discs, polarizing filters and colour filters, for cameras, and holders for use therewith; Filters for photogrammetric or stereoscopic instruments; Polarizing filters for microscopes 9002.20.90 Other</w:t>
      </w:r>
    </w:p>
    <w:p>
      <w:pPr>
        <w:pStyle w:val="Normal"/>
      </w:pPr>
      <w:r>
        <w:t>9002.90.10 Halftone or similar printing screens; Lenses, viewfinders and eyepieces, used with the equipment and apparatus specified in tariff item No. 9002.11.10 or 9002.19.10; Mirrors and prisms for astronomical telescopes 9002.90.90 Other 9003.11.10 For prismatic eyeglasses for reading; For safety goggles or safety spectacles designed for use by workers employed in hazardous work 9003.11.20 For other spectacles, goggles or the like 9003.19.00 Of other materials 9003.90.10 For use in the manufacture of ski goggles; Of other spectacles, goggles or the like, unfinished; Of prismatic eyeglasses for reading; Of safety goggles or safety spectacles designed for use by workers employed in hazardous work 9003.90.90 Other 9004.10.00 Sunglasses 9004.90.10 Prismatic eyeglasses for reading; Safety goggles and safety spectacles, designed for use by workers employed in hazardous work 9004.90.90 Other 9005.10.00 Binoculars 9005.80.10 Telescopes 9005.80.90 Other 9005.90.11 Of binoculars or telescopes of heading 90.05: Incorporating goods of heading 90.01 or 90.02 9005.90.19 Of binoculars or telescopes of heading 90.05: Other 9005.90.91 Other: Incorporating goods of heading 90.01 or 90.02 9005.90.99 Other: Other 9006.30.10 Comparison cameras for forensic or criminological purposes;</w:t>
      </w:r>
    </w:p>
    <w:p>
      <w:pPr>
        <w:pStyle w:val="Normal"/>
      </w:pPr>
      <w:r>
        <w:t>For making negatives or positives of a width exceeding 8 cm and of a length exceeding 10.5 cm; Specially designed for medical or surgical examination of internal organs 9006.30.90 Other 9006.40.00 Instant print</w:t>
      </w:r>
    </w:p>
    <w:p>
      <w:pPr>
        <w:pStyle w:val="Normal"/>
      </w:pPr>
      <w:r>
        <w:t>cameras 9006.51.00 With a through-the-lens viewfinder (single lens reflex (SLR)), for roll film of a width not exceeding 35 mm 9006.52.10 For making negatives or positives; Single-use cameras 9006.52.90 Other 9006.53.10 For making negatives or positives; Single-use cameras 9006.53.90 Other 9006.59.10 For making negatives or positives 9006.59.90 Other 9006.61.00 Discharge lamp (“electronic”) flashlight apparatus 9006.69.10 Flash guns 9006.69.20 Flashbulbs, flashcubes and the like 9006.69.90 Other 9006.91.10 Lantern slide attachments, lens hoods, stands and vignetters; Parts of the foregoing; Shutters and parts thereof, for use in the manufacture of cameras; Tripod tops and other parts of tripods; Unfinished parts for use in the manufacture of cameras; Other parts of the goods of tariff item No.</w:t>
      </w:r>
    </w:p>
    <w:p>
      <w:pPr>
        <w:pStyle w:val="Normal"/>
      </w:pPr>
      <w:r>
        <w:t>9006.30.10, 9006.40.00, 9006.51.00, 9006.52.90, 9006.53.90, 9006.59.10 or 9006.59.90 9006.91.90 Other 9006.99.10 Parts of discharge lamp (“electronic”) flashlight apparatus or flash guns 9006.99.90 Other 9007.10.10 For use with surgical, dental, veterinary or diagnostic instruments; To be employed in the commercial production of video tape productions, cinematographic films (motion picture films), animated films or multi-image shows 9007.10.90 Other 9007.20.10 To be employed in medical, surgical, dental or veterinary applications 9007.20.90 Other 9007.91.00 For cameras 9007.92.10 Parts for use in the manufacture of projectors 9007.92.90 Other 9008.50.10 Slide projectors 9008.50.21 Microfilm, microfiche or other microform readers, whether or not capable of producing copies: Microfilm or microfiche reader- printers 9008.50.29 Microfilm, microfiche or other microform readers, whether or not capable of producing copies: Other 9008.50.30 Other image projectors 9008.50.90 Other 9008.90.10 Parts 9008.90.20 Accessories 9010.10.00 Apparatus and equipment for automatically developing photographic (including cinematographic) film or paper in rolls or for automatically exposing developed film to rolls of photographic paper 9010.50.10 Ferro-type plates; Film or paper processors for photo-finishing; Film or print dryers; For X-ray film; Mounting presses; Negative or sheet-film hangers; Print straighteners; Print washers; Tanks and trays for negative and positive processing; To be</w:t>
      </w:r>
    </w:p>
    <w:p>
      <w:pPr>
        <w:pStyle w:val="Normal"/>
      </w:pPr>
      <w:r>
        <w:t>employed in the commercial production of video tape productions or cinematographic films (motion picture films), animated films or multi-image shows 9010.50.90 Other 9010.60.00 Projection screens 9010.90.00 Parts and accessories 9011.10.00 Stereoscopic microscopes 9011.20.00 Other microscopes, for photomicrography, cinephotomicrography or microprojection 9011.80.00 Other microscopes 9011.90.00 Parts and accessories 9012.10.00 Microscopes other than optical microscopes; diffraction apparatus 9012.90.00 Parts and accessories 9013.10.00 Telescopic sights for fitting to arms; periscopes; telescopes designed to form parts of machines, appliances, instruments or apparatus of this Chapter or Section XVI 9013.20.00 Lasers, other than laser diodes 9013.80.00 Other devices, appliances and instruments 9013.90.00 Parts and accessories 9014.10.10 For marine or aeronautical navigation; For use in the manufacture of geophysical instruments or appliances or for use in the manufacture of parts and accessories thereof, of heading 90.15 9014.10.90 Other 9014.20.00 Instruments and appliances for aeronautical or space navigation (other than compasses) 9014.80.10 Sextants 9014.80.90 Other 9014.90.00 Parts and accessories 9015.10.00 Rangefinders 9015.20.00 Theodolites and tachymeters (tacheometers) 9015.30.00 Levels 9015.40.00 Photogrammetrical surveying instruments and appliances 9015.80.10 Geophysical instruments, excluding magnetometers, gravimeters and geophone stringers; Oceanographic</w:t>
      </w:r>
    </w:p>
    <w:p>
      <w:pPr>
        <w:pStyle w:val="Normal"/>
      </w:pPr>
      <w:r>
        <w:t>instruments and appliances, to be employed in research 9015.80.20 Anemometers and other instruments for measuring wind direction; Ceilometers; Visibility meters, including transmissometers 9015.80.90 Other 9015.90.00 Parts and accessories 9016.00.00 Balances of a sensitivity of 5 cg or better, with or without weights. 9017.10.10 Drafting machines 9017.10.20 Drafting tables 9017.20.10 Drawing instruments 9017.20.90 Other 9017.30.00 Micrometers, callipers and gauges 9017.80.10 Measuring rules and tapes 9017.80.90 Other, including map measurers 9017.90.00 Parts and accessories 9018.11.10 Electro-cardiographs 9018.11.91 Parts and accessories: Printed circuit assemblies 9018.11.99 Parts and accessories: Other 9018.12.00 Ultrasonic scanning apparatus 9018.13.00 Magnetic resonance imaging apparatus 9018.14.00 Scintigraphic apparatus 9018.19.10 Patient monitoring systems 9018.19.20 Printed circuit assemblies for parameter acquisition modules 9018.19.90 Other 9018.20.00 Ultra-violet or infra-red ray apparatus 9018.31.00 Syringes, with or without needles 9018.32.00 Tubular metal needles and needles for sutures 9018.39.00 Other 9018.41.00 Dental drill engines, whether or not combined on a single base with other dental equipment 9018.49.00 Other 9018.50.00 Other ophthalmic instruments and appliances 9018.90.10 Defibrillators 9018.90.20 Printed circuit assemblies for the goods of tariff item No.</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9018.90.10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9018.90.90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9019.10.00</w:t>
            </w:r>
          </w:p>
        </w:tc>
        <w:tc>
          <w:tcPr>
            <w:tcW w:w="4679" w:type="dxa"/>
            <w:tcMar>
              <w:top w:w="70" w:type="dxa"/>
              <w:start w:w="110" w:type="dxa"/>
              <w:bottom w:w="70" w:type="dxa"/>
              <w:end w:w="110" w:type="dxa"/>
            </w:tcMar>
            <w:vAlign w:val="center"/>
          </w:tcPr>
          <w:p>
            <w:pPr>
              <w:pStyle w:val="TableText"/>
              <w:jc w:val="left"/>
            </w:pPr>
            <w:r>
              <w:rPr>
                <w:lang w:val="en-US" w:eastAsia="en-US" w:bidi="ar-SA"/>
              </w:rPr>
              <w:t>Mechano-therapy appliances; massage apparatus; psychological aptitude-testing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9019.20.00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Ozone therapy, oxygen therapy, aerosol therapy, artificial respiration or other therapeutic respiration apparatus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9020.00.00</w:t>
            </w:r>
          </w:p>
        </w:tc>
        <w:tc>
          <w:tcPr>
            <w:tcW w:w="4679" w:type="dxa"/>
            <w:tcMar>
              <w:top w:w="70" w:type="dxa"/>
              <w:start w:w="110" w:type="dxa"/>
              <w:bottom w:w="70" w:type="dxa"/>
              <w:end w:w="110" w:type="dxa"/>
            </w:tcMar>
            <w:vAlign w:val="center"/>
          </w:tcPr>
          <w:p>
            <w:pPr>
              <w:pStyle w:val="TableText"/>
              <w:jc w:val="left"/>
            </w:pPr>
            <w:r>
              <w:rPr>
                <w:lang w:val="en-US" w:eastAsia="en-US" w:bidi="ar-SA"/>
              </w:rPr>
              <w:t>Other breathing appliances and gas masks, excluding protective masks having neither mechanical parts nor replaceable filters.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Orthopaedic or fracture appliances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9021.21.00</w:t>
            </w:r>
          </w:p>
        </w:tc>
        <w:tc>
          <w:tcPr>
            <w:tcW w:w="4679" w:type="dxa"/>
            <w:tcMar>
              <w:top w:w="70" w:type="dxa"/>
              <w:start w:w="110" w:type="dxa"/>
              <w:bottom w:w="70" w:type="dxa"/>
              <w:end w:w="110" w:type="dxa"/>
            </w:tcMar>
            <w:vAlign w:val="center"/>
          </w:tcPr>
          <w:p>
            <w:pPr>
              <w:pStyle w:val="TableText"/>
              <w:jc w:val="left"/>
            </w:pPr>
            <w:r>
              <w:rPr>
                <w:lang w:val="en-US" w:eastAsia="en-US" w:bidi="ar-SA"/>
              </w:rPr>
              <w:t>Artificial teeth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9021.31.00</w:t>
            </w:r>
          </w:p>
        </w:tc>
        <w:tc>
          <w:tcPr>
            <w:tcW w:w="4679" w:type="dxa"/>
            <w:tcMar>
              <w:top w:w="70" w:type="dxa"/>
              <w:start w:w="110" w:type="dxa"/>
              <w:bottom w:w="70" w:type="dxa"/>
              <w:end w:w="110" w:type="dxa"/>
            </w:tcMar>
            <w:vAlign w:val="center"/>
          </w:tcPr>
          <w:p>
            <w:pPr>
              <w:pStyle w:val="TableText"/>
              <w:jc w:val="left"/>
            </w:pPr>
            <w:r>
              <w:rPr>
                <w:lang w:val="en-US" w:eastAsia="en-US" w:bidi="ar-SA"/>
              </w:rPr>
              <w:t>Artificial joints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9021.40.00</w:t>
            </w:r>
          </w:p>
        </w:tc>
        <w:tc>
          <w:tcPr>
            <w:tcW w:w="4679" w:type="dxa"/>
            <w:tcMar>
              <w:top w:w="70" w:type="dxa"/>
              <w:start w:w="110" w:type="dxa"/>
              <w:bottom w:w="70" w:type="dxa"/>
              <w:end w:w="110" w:type="dxa"/>
            </w:tcMar>
            <w:vAlign w:val="center"/>
          </w:tcPr>
          <w:p>
            <w:pPr>
              <w:pStyle w:val="TableText"/>
              <w:jc w:val="left"/>
            </w:pPr>
            <w:r>
              <w:rPr>
                <w:lang w:val="en-US" w:eastAsia="en-US" w:bidi="ar-SA"/>
              </w:rPr>
              <w:t>Hearing aids, excluding parts and accessories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Pacemakers for stimulating heart muscles, excluding parts and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Computed tomography apparatus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9022.13.00</w:t>
            </w:r>
          </w:p>
        </w:tc>
        <w:tc>
          <w:tcPr>
            <w:tcW w:w="4679" w:type="dxa"/>
            <w:tcMar>
              <w:top w:w="70" w:type="dxa"/>
              <w:start w:w="110" w:type="dxa"/>
              <w:bottom w:w="70" w:type="dxa"/>
              <w:end w:w="110" w:type="dxa"/>
            </w:tcMar>
            <w:vAlign w:val="center"/>
          </w:tcPr>
          <w:p>
            <w:pPr>
              <w:pStyle w:val="TableText"/>
              <w:jc w:val="left"/>
            </w:pPr>
            <w:r>
              <w:rPr>
                <w:lang w:val="en-US" w:eastAsia="en-US" w:bidi="ar-SA"/>
              </w:rPr>
              <w:t>Other, for dental uses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for medical, surgical or veterinary uses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9022.19.00</w:t>
            </w:r>
          </w:p>
        </w:tc>
        <w:tc>
          <w:tcPr>
            <w:tcW w:w="4679" w:type="dxa"/>
            <w:tcMar>
              <w:top w:w="70" w:type="dxa"/>
              <w:start w:w="110" w:type="dxa"/>
              <w:bottom w:w="70" w:type="dxa"/>
              <w:end w:w="110" w:type="dxa"/>
            </w:tcMar>
            <w:vAlign w:val="center"/>
          </w:tcPr>
          <w:p>
            <w:pPr>
              <w:pStyle w:val="TableText"/>
              <w:jc w:val="left"/>
            </w:pPr>
            <w:r>
              <w:rPr>
                <w:lang w:val="en-US" w:eastAsia="en-US" w:bidi="ar-SA"/>
              </w:rPr>
              <w:t>For other uses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medical, surgical, dental or veterinary uses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9022.29.00</w:t>
            </w:r>
          </w:p>
        </w:tc>
        <w:tc>
          <w:tcPr>
            <w:tcW w:w="4679" w:type="dxa"/>
            <w:tcMar>
              <w:top w:w="70" w:type="dxa"/>
              <w:start w:w="110" w:type="dxa"/>
              <w:bottom w:w="70" w:type="dxa"/>
              <w:end w:w="110" w:type="dxa"/>
            </w:tcMar>
            <w:vAlign w:val="center"/>
          </w:tcPr>
          <w:p>
            <w:pPr>
              <w:pStyle w:val="TableText"/>
              <w:jc w:val="left"/>
            </w:pPr>
            <w:r>
              <w:rPr>
                <w:lang w:val="en-US" w:eastAsia="en-US" w:bidi="ar-SA"/>
              </w:rPr>
              <w:t>For other uses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X-ray tubes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9022.90.10</w:t>
            </w:r>
          </w:p>
        </w:tc>
        <w:tc>
          <w:tcPr>
            <w:tcW w:w="4679" w:type="dxa"/>
            <w:tcMar>
              <w:top w:w="70" w:type="dxa"/>
              <w:start w:w="110" w:type="dxa"/>
              <w:bottom w:w="70" w:type="dxa"/>
              <w:end w:w="110" w:type="dxa"/>
            </w:tcMar>
            <w:vAlign w:val="center"/>
          </w:tcPr>
          <w:p>
            <w:pPr>
              <w:pStyle w:val="TableText"/>
              <w:jc w:val="left"/>
            </w:pPr>
            <w:r>
              <w:rPr>
                <w:lang w:val="en-US" w:eastAsia="en-US" w:bidi="ar-SA"/>
              </w:rPr>
              <w:t>Radiation generator units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Radiation beam delivery units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Instruments, apparatus and models, designed for demonstrational purposes (for example, in education or exhibitions), unsuitable for other uses.</w:t>
            </w:r>
          </w:p>
        </w:tc>
      </w:tr>
    </w:tbl>
    <w:p>
      <w:pPr>
        <w:pStyle w:val="Normal"/>
      </w:pPr>
      <w:r>
        <w:t>9024.10.00 Machines and appliances for testing metals 9024.80.00 Other machines and appliances 9024.90.00 Parts and accessories 9025.11.10 Clinical thermometers 9025.11.90 Other 9025.19.00 Other 9025.80.10 Barometers, not combined with other instruments 9025.80.90 Other 9025.90.00 Parts and accessories 9026.10.00 For measuring or checking the flow or level of liquids 9026.20.00 For measuring or checking pressure 9026.80.00 Other instruments or apparatus 9026.90.00 Parts and accessories 9027.10.00 Gas or smoke analysis apparatus 9027.20.00 Chromatographs and electrophoresis instruments 9027.30.00 Spectrometers, spectrophotometers and spectrographs using optical radiations (UV, visible, IR) 9027.50.00 Other instruments and apparatus using optical radiations (UV, visible, IR) 9027.80.11 Salinometers, titration instruments, rH and pH meters; Vibration, noise or spike energy measuring, analyzing or monitoring instruments: For physical or chemical analysis of drilling mud, acidizing fluids, fracturing fluids or well cement, excluding pH meters 9027.80.19 Salinometers, titration instruments, rH and pH meters; Vibration, noise or spike energy measuring, analyzing or monitoring instruments: Other 9027.80.20 Nuclear magnetic resonance instruments 9027.80.90 Other 9027.90.00 Microtomes; parts and accessories 9028.10.00 Gas meters 9028.20.00 Liquid meters 9028.30.00 Electricity meters 9028.90.10 Of gas meters; Of liquid meters, excluding those for fitting to fuel dispensing pumps, of</w:t>
      </w:r>
    </w:p>
    <w:p>
      <w:pPr>
        <w:pStyle w:val="Normal"/>
      </w:pPr>
      <w:r>
        <w:t>the kind used in filling stations or in garages; Transducers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Revolution counters, production counters, taximeters, mileometers, pedometers and the like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9029.20.00</w:t>
            </w:r>
          </w:p>
        </w:tc>
        <w:tc>
          <w:tcPr>
            <w:tcW w:w="4679" w:type="dxa"/>
            <w:tcMar>
              <w:top w:w="70" w:type="dxa"/>
              <w:start w:w="110" w:type="dxa"/>
              <w:bottom w:w="70" w:type="dxa"/>
              <w:end w:w="110" w:type="dxa"/>
            </w:tcMar>
            <w:vAlign w:val="center"/>
          </w:tcPr>
          <w:p>
            <w:pPr>
              <w:pStyle w:val="TableText"/>
              <w:jc w:val="left"/>
            </w:pPr>
            <w:r>
              <w:rPr>
                <w:lang w:val="en-US" w:eastAsia="en-US" w:bidi="ar-SA"/>
              </w:rPr>
              <w:t>Speed indicators and tachometers; stroboscopes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 and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9030.10.00</w:t>
            </w:r>
          </w:p>
        </w:tc>
        <w:tc>
          <w:tcPr>
            <w:tcW w:w="4679" w:type="dxa"/>
            <w:tcMar>
              <w:top w:w="70" w:type="dxa"/>
              <w:start w:w="110" w:type="dxa"/>
              <w:bottom w:w="70" w:type="dxa"/>
              <w:end w:w="110" w:type="dxa"/>
            </w:tcMar>
            <w:vAlign w:val="center"/>
          </w:tcPr>
          <w:p>
            <w:pPr>
              <w:pStyle w:val="TableText"/>
              <w:jc w:val="left"/>
            </w:pPr>
            <w:r>
              <w:rPr>
                <w:lang w:val="en-US" w:eastAsia="en-US" w:bidi="ar-SA"/>
              </w:rPr>
              <w:t>Instruments and apparatus for measuring or detecting ionizing radiations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Oscilloscopes and oscillographs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9030.31.00</w:t>
            </w:r>
          </w:p>
        </w:tc>
        <w:tc>
          <w:tcPr>
            <w:tcW w:w="4679" w:type="dxa"/>
            <w:tcMar>
              <w:top w:w="70" w:type="dxa"/>
              <w:start w:w="110" w:type="dxa"/>
              <w:bottom w:w="70" w:type="dxa"/>
              <w:end w:w="110" w:type="dxa"/>
            </w:tcMar>
            <w:vAlign w:val="center"/>
          </w:tcPr>
          <w:p>
            <w:pPr>
              <w:pStyle w:val="TableText"/>
              <w:jc w:val="left"/>
            </w:pPr>
            <w:r>
              <w:rPr>
                <w:lang w:val="en-US" w:eastAsia="en-US" w:bidi="ar-SA"/>
              </w:rPr>
              <w:t>Multimeters without a recording device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Multimeters with a recording device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9030.33.00</w:t>
            </w:r>
          </w:p>
        </w:tc>
        <w:tc>
          <w:tcPr>
            <w:tcW w:w="4679" w:type="dxa"/>
            <w:tcMar>
              <w:top w:w="70" w:type="dxa"/>
              <w:start w:w="110" w:type="dxa"/>
              <w:bottom w:w="70" w:type="dxa"/>
              <w:end w:w="110" w:type="dxa"/>
            </w:tcMar>
            <w:vAlign w:val="center"/>
          </w:tcPr>
          <w:p>
            <w:pPr>
              <w:pStyle w:val="TableText"/>
              <w:jc w:val="left"/>
            </w:pPr>
            <w:r>
              <w:rPr>
                <w:lang w:val="en-US" w:eastAsia="en-US" w:bidi="ar-SA"/>
              </w:rPr>
              <w:t>Other, without a recording device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 a recording device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9030.40.00</w:t>
            </w:r>
          </w:p>
        </w:tc>
        <w:tc>
          <w:tcPr>
            <w:tcW w:w="4679" w:type="dxa"/>
            <w:tcMar>
              <w:top w:w="70" w:type="dxa"/>
              <w:start w:w="110" w:type="dxa"/>
              <w:bottom w:w="70" w:type="dxa"/>
              <w:end w:w="110" w:type="dxa"/>
            </w:tcMar>
            <w:vAlign w:val="center"/>
          </w:tcPr>
          <w:p>
            <w:pPr>
              <w:pStyle w:val="TableText"/>
              <w:jc w:val="left"/>
            </w:pPr>
            <w:r>
              <w:rPr>
                <w:lang w:val="en-US" w:eastAsia="en-US" w:bidi="ar-SA"/>
              </w:rPr>
              <w:t>Other instruments and apparatus, specially designed for telecommunications (for example, cross-talk meters, gain measuring instruments, distortion factor meters, psophometers)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measuring or checking semiconductor wafers or devices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9030.84.00</w:t>
            </w:r>
          </w:p>
        </w:tc>
        <w:tc>
          <w:tcPr>
            <w:tcW w:w="4679" w:type="dxa"/>
            <w:tcMar>
              <w:top w:w="70" w:type="dxa"/>
              <w:start w:w="110" w:type="dxa"/>
              <w:bottom w:w="70" w:type="dxa"/>
              <w:end w:w="110" w:type="dxa"/>
            </w:tcMar>
            <w:vAlign w:val="center"/>
          </w:tcPr>
          <w:p>
            <w:pPr>
              <w:pStyle w:val="TableText"/>
              <w:jc w:val="left"/>
            </w:pPr>
            <w:r>
              <w:rPr>
                <w:lang w:val="en-US" w:eastAsia="en-US" w:bidi="ar-SA"/>
              </w:rPr>
              <w:t>Other, with a recording device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9030.89.00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9030.90.00</w:t>
            </w:r>
          </w:p>
        </w:tc>
        <w:tc>
          <w:tcPr>
            <w:tcW w:w="4679" w:type="dxa"/>
            <w:tcMar>
              <w:top w:w="70" w:type="dxa"/>
              <w:start w:w="110" w:type="dxa"/>
              <w:bottom w:w="70" w:type="dxa"/>
              <w:end w:w="110" w:type="dxa"/>
            </w:tcMar>
            <w:vAlign w:val="center"/>
          </w:tcPr>
          <w:p>
            <w:pPr>
              <w:pStyle w:val="TableText"/>
              <w:jc w:val="left"/>
            </w:pPr>
            <w:r>
              <w:rPr>
                <w:lang w:val="en-US" w:eastAsia="en-US" w:bidi="ar-SA"/>
              </w:rPr>
              <w:t>Parts and accessories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Machines for balancing mechanical 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9031.20.00</w:t>
            </w:r>
          </w:p>
        </w:tc>
        <w:tc>
          <w:tcPr>
            <w:tcW w:w="4679" w:type="dxa"/>
            <w:tcMar>
              <w:top w:w="70" w:type="dxa"/>
              <w:start w:w="110" w:type="dxa"/>
              <w:bottom w:w="70" w:type="dxa"/>
              <w:end w:w="110" w:type="dxa"/>
            </w:tcMar>
            <w:vAlign w:val="center"/>
          </w:tcPr>
          <w:p>
            <w:pPr>
              <w:pStyle w:val="TableText"/>
              <w:jc w:val="left"/>
            </w:pPr>
            <w:r>
              <w:rPr>
                <w:lang w:val="en-US" w:eastAsia="en-US" w:bidi="ar-SA"/>
              </w:rPr>
              <w:t>Test benches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inspecting semiconductor wafers or devices or for inspecting photomasks or reticles used in manufacturing semiconductor devices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9031.49.10</w:t>
            </w:r>
          </w:p>
        </w:tc>
        <w:tc>
          <w:tcPr>
            <w:tcW w:w="4679" w:type="dxa"/>
            <w:tcMar>
              <w:top w:w="70" w:type="dxa"/>
              <w:start w:w="110" w:type="dxa"/>
              <w:bottom w:w="70" w:type="dxa"/>
              <w:end w:w="110" w:type="dxa"/>
            </w:tcMar>
            <w:vAlign w:val="center"/>
          </w:tcPr>
          <w:p>
            <w:pPr>
              <w:pStyle w:val="TableText"/>
              <w:jc w:val="left"/>
            </w:pPr>
            <w:r>
              <w:rPr>
                <w:lang w:val="en-US" w:eastAsia="en-US" w:bidi="ar-SA"/>
              </w:rPr>
              <w:t>Co-ordinate measuring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9031.49.90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9031.80.00</w:t>
            </w:r>
          </w:p>
        </w:tc>
        <w:tc>
          <w:tcPr>
            <w:tcW w:w="4679" w:type="dxa"/>
            <w:tcMar>
              <w:top w:w="70" w:type="dxa"/>
              <w:start w:w="110" w:type="dxa"/>
              <w:bottom w:w="70" w:type="dxa"/>
              <w:end w:w="110" w:type="dxa"/>
            </w:tcMar>
            <w:vAlign w:val="center"/>
          </w:tcPr>
          <w:p>
            <w:pPr>
              <w:pStyle w:val="TableText"/>
              <w:jc w:val="left"/>
            </w:pPr>
            <w:r>
              <w:rPr>
                <w:lang w:val="en-US" w:eastAsia="en-US" w:bidi="ar-SA"/>
              </w:rPr>
              <w:t>Other instruments, appliances and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Bases and frames for co-ordinate measuring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9032.10.10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with machinery or equipment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9032.10.90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Manostats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9032.81.00</w:t>
            </w:r>
          </w:p>
        </w:tc>
        <w:tc>
          <w:tcPr>
            <w:tcW w:w="4679" w:type="dxa"/>
            <w:tcMar>
              <w:top w:w="70" w:type="dxa"/>
              <w:start w:w="110" w:type="dxa"/>
              <w:bottom w:w="70" w:type="dxa"/>
              <w:end w:w="110" w:type="dxa"/>
            </w:tcMar>
            <w:vAlign w:val="center"/>
          </w:tcPr>
          <w:p>
            <w:pPr>
              <w:pStyle w:val="TableText"/>
              <w:jc w:val="left"/>
            </w:pPr>
            <w:r>
              <w:rPr>
                <w:lang w:val="en-US" w:eastAsia="en-US" w:bidi="ar-SA"/>
              </w:rPr>
              <w:t>Hydraulic or pneumatic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9032.89.00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9032.90.00</w:t>
            </w:r>
          </w:p>
        </w:tc>
        <w:tc>
          <w:tcPr>
            <w:tcW w:w="4679" w:type="dxa"/>
            <w:tcMar>
              <w:top w:w="70" w:type="dxa"/>
              <w:start w:w="110" w:type="dxa"/>
              <w:bottom w:w="70" w:type="dxa"/>
              <w:end w:w="110" w:type="dxa"/>
            </w:tcMar>
            <w:vAlign w:val="center"/>
          </w:tcPr>
          <w:p>
            <w:pPr>
              <w:pStyle w:val="TableText"/>
              <w:jc w:val="left"/>
            </w:pPr>
            <w:r>
              <w:rPr>
                <w:lang w:val="en-US" w:eastAsia="en-US" w:bidi="ar-SA"/>
              </w:rPr>
              <w:t>Parts and</w:t>
            </w:r>
          </w:p>
        </w:tc>
      </w:tr>
    </w:tbl>
    <w:p>
      <w:pPr>
        <w:pStyle w:val="Normal"/>
      </w:pPr>
      <w:r>
        <w:t>accessories 9033.00.00 Parts and accessories (not specified or included elsewhere in this Chapter) for machines, appliances, instruments or apparatus of Chapter 90. 9101.11.00 With mechanical display only 9101.19.00 Other 9101.21.00 With automatic winding 9101.29.00 Other 9101.91.10 Stop-watches 9101.91.90 Other 9101.99.00 Other 9102.11.00 With mechanical display only 9102.12.00 With opto-electronic display only 9102.19.00 Other 9102.21.00 With automatic winding 9102.29.00 Other 9102.91.10 Stop-watches 9102.91.90 Other 9102.99.00 Other 9103.10.00 Electrically operated 9103.90.00 Other 9104.00.00 Instrument panel clocks and clocks of a similar type for vehicles, aircraft, spacecraft or vessels. 9105.11.00 Electrically operated 9105.19.00 Other 9105.21.10 Clock systems 9105.21.90 Other 9105.29.00 Other 9105.91.10 Clock systems 9105.91.20 Chronometers for aircraft or vessels 9105.91.90 Other 9105.99.10 Chronometers for aircraft or vessels 9105.99.90 Other 9106.10.00 Time-registers; time-recorders 9106.90.10 Parking meters 9106.90.90 Other 9107.00.10 Electro-mechanical irrigation controllers; Time switches for use in the manufacture of machinery or equipment 9107.00.90 Other 9108.11.00 With mechanical display only or with a device to which a mechanical display can be incorporated 9108.12.00 With opto-electronic display only 9108.19.00 Other 9108.20.00 With automatic winding 9108.90.00 Other 9109.10.00 Electrically operated 9109.90.00 Other 9110.11.00 Complete movements,</w:t>
      </w:r>
    </w:p>
    <w:p>
      <w:pPr>
        <w:pStyle w:val="Normal"/>
      </w:pPr>
      <w:r>
        <w:t>unassembled or partly assembled (movement sets)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9110.12.00</w:t>
            </w:r>
          </w:p>
        </w:tc>
        <w:tc>
          <w:tcPr>
            <w:tcW w:w="4679" w:type="dxa"/>
            <w:tcMar>
              <w:top w:w="70" w:type="dxa"/>
              <w:start w:w="110" w:type="dxa"/>
              <w:bottom w:w="70" w:type="dxa"/>
              <w:end w:w="110" w:type="dxa"/>
            </w:tcMar>
            <w:vAlign w:val="center"/>
          </w:tcPr>
          <w:p>
            <w:pPr>
              <w:pStyle w:val="TableText"/>
              <w:jc w:val="left"/>
            </w:pPr>
            <w:r>
              <w:rPr>
                <w:lang w:val="en-US" w:eastAsia="en-US" w:bidi="ar-SA"/>
              </w:rPr>
              <w:t>Incomplete movements, assembled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Rough movements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Cases of precious metal or of metal clad with precious metal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9111.20.00</w:t>
            </w:r>
          </w:p>
        </w:tc>
        <w:tc>
          <w:tcPr>
            <w:tcW w:w="4679" w:type="dxa"/>
            <w:tcMar>
              <w:top w:w="70" w:type="dxa"/>
              <w:start w:w="110" w:type="dxa"/>
              <w:bottom w:w="70" w:type="dxa"/>
              <w:end w:w="110" w:type="dxa"/>
            </w:tcMar>
            <w:vAlign w:val="center"/>
          </w:tcPr>
          <w:p>
            <w:pPr>
              <w:pStyle w:val="TableText"/>
              <w:jc w:val="left"/>
            </w:pPr>
            <w:r>
              <w:rPr>
                <w:lang w:val="en-US" w:eastAsia="en-US" w:bidi="ar-SA"/>
              </w:rPr>
              <w:t>Cases of base metal, whether or not gold- or silver-plated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9111.80.00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cases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9111.90.00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9112.90.00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watches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9113.10.90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9113.20.10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watches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9113.20.90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9114.10.00</w:t>
            </w:r>
          </w:p>
        </w:tc>
        <w:tc>
          <w:tcPr>
            <w:tcW w:w="4679" w:type="dxa"/>
            <w:tcMar>
              <w:top w:w="70" w:type="dxa"/>
              <w:start w:w="110" w:type="dxa"/>
              <w:bottom w:w="70" w:type="dxa"/>
              <w:end w:w="110" w:type="dxa"/>
            </w:tcMar>
            <w:vAlign w:val="center"/>
          </w:tcPr>
          <w:p>
            <w:pPr>
              <w:pStyle w:val="TableText"/>
              <w:jc w:val="left"/>
            </w:pPr>
            <w:r>
              <w:rPr>
                <w:lang w:val="en-US" w:eastAsia="en-US" w:bidi="ar-SA"/>
              </w:rPr>
              <w:t>Springs, including hair-springs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9114.40.00</w:t>
            </w:r>
          </w:p>
        </w:tc>
        <w:tc>
          <w:tcPr>
            <w:tcW w:w="4679" w:type="dxa"/>
            <w:tcMar>
              <w:top w:w="70" w:type="dxa"/>
              <w:start w:w="110" w:type="dxa"/>
              <w:bottom w:w="70" w:type="dxa"/>
              <w:end w:w="110" w:type="dxa"/>
            </w:tcMar>
            <w:vAlign w:val="center"/>
          </w:tcPr>
          <w:p>
            <w:pPr>
              <w:pStyle w:val="TableText"/>
              <w:jc w:val="left"/>
            </w:pPr>
            <w:r>
              <w:rPr>
                <w:lang w:val="en-US" w:eastAsia="en-US" w:bidi="ar-SA"/>
              </w:rPr>
              <w:t>Plates and bridges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9201.10.00</w:t>
            </w:r>
          </w:p>
        </w:tc>
        <w:tc>
          <w:tcPr>
            <w:tcW w:w="4679" w:type="dxa"/>
            <w:tcMar>
              <w:top w:w="70" w:type="dxa"/>
              <w:start w:w="110" w:type="dxa"/>
              <w:bottom w:w="70" w:type="dxa"/>
              <w:end w:w="110" w:type="dxa"/>
            </w:tcMar>
            <w:vAlign w:val="center"/>
          </w:tcPr>
          <w:p>
            <w:pPr>
              <w:pStyle w:val="TableText"/>
              <w:jc w:val="left"/>
            </w:pPr>
            <w:r>
              <w:rPr>
                <w:lang w:val="en-US" w:eastAsia="en-US" w:bidi="ar-SA"/>
              </w:rPr>
              <w:t>Upright pianos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Grand pianos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9201.90.10</w:t>
            </w:r>
          </w:p>
        </w:tc>
        <w:tc>
          <w:tcPr>
            <w:tcW w:w="4679" w:type="dxa"/>
            <w:tcMar>
              <w:top w:w="70" w:type="dxa"/>
              <w:start w:w="110" w:type="dxa"/>
              <w:bottom w:w="70" w:type="dxa"/>
              <w:end w:w="110" w:type="dxa"/>
            </w:tcMar>
            <w:vAlign w:val="center"/>
          </w:tcPr>
          <w:p>
            <w:pPr>
              <w:pStyle w:val="TableText"/>
              <w:jc w:val="left"/>
            </w:pPr>
            <w:r>
              <w:rPr>
                <w:lang w:val="en-US" w:eastAsia="en-US" w:bidi="ar-SA"/>
              </w:rPr>
              <w:t>Harpsichords and clavichords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9202.10.00</w:t>
            </w:r>
          </w:p>
        </w:tc>
        <w:tc>
          <w:tcPr>
            <w:tcW w:w="4679" w:type="dxa"/>
            <w:tcMar>
              <w:top w:w="70" w:type="dxa"/>
              <w:start w:w="110" w:type="dxa"/>
              <w:bottom w:w="70" w:type="dxa"/>
              <w:end w:w="110" w:type="dxa"/>
            </w:tcMar>
            <w:vAlign w:val="center"/>
          </w:tcPr>
          <w:p>
            <w:pPr>
              <w:pStyle w:val="TableText"/>
              <w:jc w:val="left"/>
            </w:pPr>
            <w:r>
              <w:rPr>
                <w:lang w:val="en-US" w:eastAsia="en-US" w:bidi="ar-SA"/>
              </w:rPr>
              <w:t>Played with a bow</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9202.90.10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Harps, including autoharps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Brass-wind instruments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9205.90.10</w:t>
            </w:r>
          </w:p>
        </w:tc>
        <w:tc>
          <w:tcPr>
            <w:tcW w:w="4679" w:type="dxa"/>
            <w:tcMar>
              <w:top w:w="70" w:type="dxa"/>
              <w:start w:w="110" w:type="dxa"/>
              <w:bottom w:w="70" w:type="dxa"/>
              <w:end w:w="110" w:type="dxa"/>
            </w:tcMar>
            <w:vAlign w:val="center"/>
          </w:tcPr>
          <w:p>
            <w:pPr>
              <w:pStyle w:val="TableText"/>
              <w:jc w:val="left"/>
            </w:pPr>
            <w:r>
              <w:rPr>
                <w:lang w:val="en-US" w:eastAsia="en-US" w:bidi="ar-SA"/>
              </w:rPr>
              <w:t>Accordions and similar instruments; Bassoons, clarinets, English horns, fifes, flutes, oboes, piccolos, practice chanters, recorders and saxophones; Keyboard pipe organs; Mouth organs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9205.90.20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Harmoniums and similar keyboard instruments with free metal reeds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9206.00.10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Carillons to be employed in churches; Drums and drum sets, cymbals, orchestral or concert chimes and bells, vibraharps or vibraphones, marimbas, xylophones and tuned handbells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9206.00.90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Keyboard instruments, other than accordions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9207.90.10</w:t>
            </w:r>
          </w:p>
        </w:tc>
        <w:tc>
          <w:tcPr>
            <w:tcW w:w="4679" w:type="dxa"/>
            <w:tcMar>
              <w:top w:w="70" w:type="dxa"/>
              <w:start w:w="110" w:type="dxa"/>
              <w:bottom w:w="70" w:type="dxa"/>
              <w:end w:w="110" w:type="dxa"/>
            </w:tcMar>
            <w:vAlign w:val="center"/>
          </w:tcPr>
          <w:p>
            <w:pPr>
              <w:pStyle w:val="TableText"/>
              <w:jc w:val="left"/>
            </w:pPr>
            <w:r>
              <w:rPr>
                <w:lang w:val="en-US" w:eastAsia="en-US" w:bidi="ar-SA"/>
              </w:rPr>
              <w:t>Accordions, orchestral or concert chimes and bells, vibraharps or vibraphones, marimbas and xylophones</w:t>
            </w:r>
          </w:p>
        </w:tc>
      </w:tr>
    </w:tbl>
    <w:p>
      <w:pPr>
        <w:pStyle w:val="Normal"/>
      </w:pPr>
      <w:r>
        <w:t>9207.90.90 Other 9208.10.00 Musical boxes 9208.90.00 Other 9209.30.10 For autoharps, clavichords, harpsichords, harps, viols, violas, violins and violoncellos; For use in the manufacture of guitars, banjos or mandolins 9209.30.90 Other 9209.91.10 Agraffes, bass damper parts, bridle leather and bridle straps, damper sockets, damper rods, uncovered hammer heads and hammer head moulding, key bottoms, piano or organ sharps, tuning pins, hitch pins, bridge pins, key pins, centre brass pins, brass flange plates, pressure bars, paper or felt punchings, rail hooks, spruce sounding boards, spoons, back check wires, bridle wires, damper wires, dowel wires, lifter wires, hammer wires and piano plates 9209.91.90 Other 9209.92.10 For harps and instruments played with a bow; For use in the manufacture of guitars, banjos or mandolins 9209.92.20 For other string instruments, except keyboard string instruments 9209.94.10 For use in the manufacture or repair of pianos or organs; Parts and accessories for use in the manufacture of guitars, banjos or mandolins, the sound of which is produced or must be amplified electrically;</w:t>
      </w:r>
    </w:p>
    <w:p>
      <w:pPr>
        <w:pStyle w:val="Normal"/>
      </w:pPr>
      <w:r>
        <w:t>Parts of carillons to be employed in churches 9209.94.90 Other 9209.99.10 For harpischords, clavichords, accordions and similar instruments, brass-wind instruments, bassoons, clarinets, English horns, fifes, flutes, oboes, piccolos, practice chanters, recorders, saxophones, drums and drum sets, cymbals, orchestral or concert chimes and bells, vibraharps or vibraphones,</w:t>
      </w:r>
    </w:p>
    <w:p>
      <w:pPr>
        <w:pStyle w:val="Normal"/>
      </w:pPr>
      <w:r>
        <w:t>marimbas, xylophones and tuned handbells, and carillons to be employed in churches; Parts and accessories for keyboard pipe organs, harmoniums and similar keyboard instruments with free metal reeds 9209.99.20 Mechanisms for musical boxes 9209.99.30 Metronomes, tuning forks and pitch pipes 9209.99.90 Other 9301.10.10 Guns 9301.10.90 Other 9301.20.00 Rocket launchers; flame-throwers; grenade launchers; torpedo tubes and similar projectors 9301.90.10 Guns 9301.90.90 Other 9302.00.00 Revolvers and pistols, other than those of heading 93.03 or 93.04. 9303.10.00 Muzzle-loading firearms 9303.20.10 Pump or slide-action shotguns 9303.20.90 Other 9303.30.10 Bolt-action or semi-automatic .22 calibre rimfire rifles, excluding target shooting rifles 9303.30.90 Other 9303.90.10 Apparatus for the destruction of predatory animals by the discharge of poisonous cartridges; Automatic explosive bird-scaring devices 9303.90.90 Other 9304.00.10 Guns and pistols, spring or gas 9304.00.90 Other 9305.10.00 Of revolvers or pistols 9305.20.10 Shotgun barrels 9305.20.20 Accessories for use in bolt-action or semi-automatic .22 calibre rimfire rifles, excluding accessories of target shooting rifles; Parts 9305.20.90 Other 9305.91.00 Of military weapons of heading 93.01 9305.99.10 Parts for apparatus for the destruction of predatory animals by the discharge of poisonous cartridges; Parts for automatic explosive bird-scaring devices 9305.99.90 Other 9306.21.00 Cartridges 9306.29.00 Other 9306.30.10</w:t>
      </w:r>
    </w:p>
    <w:p>
      <w:pPr>
        <w:pStyle w:val="Normal"/>
      </w:pPr>
      <w:r>
        <w:t>Poisonous cartridges for apparatus for the destruction of predatory animals; Starter cartridges and parts thereof, for diesel or semi-diesel engines; Twin-shot cartridges designed for bird-scaring devices 9306.30.90 Other 9306.90.10 Parts of bombs, grenades, torpedoes, mines, missiles and similar munitions of war 9306.90.90 Other 9307.00.00 Swords, cutlasses, bayonets, lances and similar arms and parts thereof and scabbards and sheaths therefor.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9401.10.00</w:t>
            </w:r>
          </w:p>
        </w:tc>
        <w:tc>
          <w:tcPr>
            <w:tcW w:w="4679" w:type="dxa"/>
            <w:tcMar>
              <w:top w:w="70" w:type="dxa"/>
              <w:start w:w="110" w:type="dxa"/>
              <w:bottom w:w="70" w:type="dxa"/>
              <w:end w:w="110" w:type="dxa"/>
            </w:tcMar>
            <w:vAlign w:val="center"/>
          </w:tcPr>
          <w:p>
            <w:pPr>
              <w:pStyle w:val="TableText"/>
              <w:jc w:val="left"/>
            </w:pPr>
            <w:r>
              <w:rPr>
                <w:lang w:val="en-US" w:eastAsia="en-US" w:bidi="ar-SA"/>
              </w:rPr>
              <w:t>Seats of a kind used for aircraft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Seats of a kind used for motor vehicles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9401.30.10</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9401.30.90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9401.40.00</w:t>
            </w:r>
          </w:p>
        </w:tc>
        <w:tc>
          <w:tcPr>
            <w:tcW w:w="4679" w:type="dxa"/>
            <w:tcMar>
              <w:top w:w="70" w:type="dxa"/>
              <w:start w:w="110" w:type="dxa"/>
              <w:bottom w:w="70" w:type="dxa"/>
              <w:end w:w="110" w:type="dxa"/>
            </w:tcMar>
            <w:vAlign w:val="center"/>
          </w:tcPr>
          <w:p>
            <w:pPr>
              <w:pStyle w:val="TableText"/>
              <w:jc w:val="left"/>
            </w:pPr>
            <w:r>
              <w:rPr>
                <w:lang w:val="en-US" w:eastAsia="en-US" w:bidi="ar-SA"/>
              </w:rPr>
              <w:t>Seats other than garden seats or camping equipment, convertible into beds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9401.52.10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Unfinished and unassembled, for use in the manufacture of furniture of bamboo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9401.52.90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9401.53.10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Unfinished and unassembled, for use in the manufacture of furniture of rattan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9401.53.90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Unfinished and unassembled, for use in the manufacture of furniture of bamboo or rattan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9401.61.10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9401.61.90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9401.69.10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9401.69.90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9401.71.10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9401.71.90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9401.79.10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9401.80.10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9401.80.90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9402.10.00</w:t>
            </w:r>
          </w:p>
        </w:tc>
        <w:tc>
          <w:tcPr>
            <w:tcW w:w="4679" w:type="dxa"/>
            <w:tcMar>
              <w:top w:w="70" w:type="dxa"/>
              <w:start w:w="110" w:type="dxa"/>
              <w:bottom w:w="70" w:type="dxa"/>
              <w:end w:w="110" w:type="dxa"/>
            </w:tcMar>
            <w:vAlign w:val="center"/>
          </w:tcPr>
          <w:p>
            <w:pPr>
              <w:pStyle w:val="TableText"/>
              <w:jc w:val="left"/>
            </w:pPr>
            <w:r>
              <w:rPr>
                <w:lang w:val="en-US" w:eastAsia="en-US" w:bidi="ar-SA"/>
              </w:rPr>
              <w:t>Dentists’, barbers’ or similar chairs and parts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9403.10.00</w:t>
            </w:r>
          </w:p>
        </w:tc>
        <w:tc>
          <w:tcPr>
            <w:tcW w:w="4679" w:type="dxa"/>
            <w:tcMar>
              <w:top w:w="70" w:type="dxa"/>
              <w:start w:w="110" w:type="dxa"/>
              <w:bottom w:w="70" w:type="dxa"/>
              <w:end w:w="110" w:type="dxa"/>
            </w:tcMar>
            <w:vAlign w:val="center"/>
          </w:tcPr>
          <w:p>
            <w:pPr>
              <w:pStyle w:val="TableText"/>
              <w:jc w:val="left"/>
            </w:pPr>
            <w:r>
              <w:rPr>
                <w:lang w:val="en-US" w:eastAsia="en-US" w:bidi="ar-SA"/>
              </w:rPr>
              <w:t>Metal furniture of a kind used in offices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metal furniture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9403.30.00</w:t>
            </w:r>
          </w:p>
        </w:tc>
        <w:tc>
          <w:tcPr>
            <w:tcW w:w="4679" w:type="dxa"/>
            <w:tcMar>
              <w:top w:w="70" w:type="dxa"/>
              <w:start w:w="110" w:type="dxa"/>
              <w:bottom w:w="70" w:type="dxa"/>
              <w:end w:w="110" w:type="dxa"/>
            </w:tcMar>
            <w:vAlign w:val="center"/>
          </w:tcPr>
          <w:p>
            <w:pPr>
              <w:pStyle w:val="TableText"/>
              <w:jc w:val="left"/>
            </w:pPr>
            <w:r>
              <w:rPr>
                <w:lang w:val="en-US" w:eastAsia="en-US" w:bidi="ar-SA"/>
              </w:rPr>
              <w:t>Wooden furniture of a kind used in offices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9403.40.00</w:t>
            </w:r>
          </w:p>
        </w:tc>
        <w:tc>
          <w:tcPr>
            <w:tcW w:w="4679" w:type="dxa"/>
            <w:tcMar>
              <w:top w:w="70" w:type="dxa"/>
              <w:start w:w="110" w:type="dxa"/>
              <w:bottom w:w="70" w:type="dxa"/>
              <w:end w:w="110" w:type="dxa"/>
            </w:tcMar>
            <w:vAlign w:val="center"/>
          </w:tcPr>
          <w:p>
            <w:pPr>
              <w:pStyle w:val="TableText"/>
              <w:jc w:val="left"/>
            </w:pPr>
            <w:r>
              <w:rPr>
                <w:lang w:val="en-US" w:eastAsia="en-US" w:bidi="ar-SA"/>
              </w:rPr>
              <w:t>Wooden furniture of a kind used in the kitchen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Wooden furniture of a kind used in the bedroom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9403.60.10</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9403.60.90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9403.70.10</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9403.70.90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9403.82.11</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 Unfinished and unassembled, for use in the manufacture of furniture of bamboo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9403.82.19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9403.83.11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 Unfinished and unassembled, for use in the manufacture of furniture of rattan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9403.83.19</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9403.89.11</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 Unfinished and unassembled, for use in the manufacture of furniture of bamboo or rattan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9404.10.00</w:t>
            </w:r>
          </w:p>
        </w:tc>
        <w:tc>
          <w:tcPr>
            <w:tcW w:w="4679" w:type="dxa"/>
            <w:tcMar>
              <w:top w:w="70" w:type="dxa"/>
              <w:start w:w="110" w:type="dxa"/>
              <w:bottom w:w="70" w:type="dxa"/>
              <w:end w:w="110" w:type="dxa"/>
            </w:tcMar>
            <w:vAlign w:val="center"/>
          </w:tcPr>
          <w:p>
            <w:pPr>
              <w:pStyle w:val="TableText"/>
              <w:jc w:val="left"/>
            </w:pPr>
            <w:r>
              <w:rPr>
                <w:lang w:val="en-US" w:eastAsia="en-US" w:bidi="ar-SA"/>
              </w:rPr>
              <w:t>Mattress supports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cellular rubber or plastics, whether or not covered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9404.29.00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Sleeping bags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9404.90.10</w:t>
            </w:r>
          </w:p>
        </w:tc>
        <w:tc>
          <w:tcPr>
            <w:tcW w:w="4679" w:type="dxa"/>
            <w:tcMar>
              <w:top w:w="70" w:type="dxa"/>
              <w:start w:w="110" w:type="dxa"/>
              <w:bottom w:w="70" w:type="dxa"/>
              <w:end w:w="110" w:type="dxa"/>
            </w:tcMar>
            <w:vAlign w:val="center"/>
          </w:tcPr>
          <w:p>
            <w:pPr>
              <w:pStyle w:val="TableText"/>
              <w:jc w:val="left"/>
            </w:pPr>
            <w:r>
              <w:rPr>
                <w:lang w:val="en-US" w:eastAsia="en-US" w:bidi="ar-SA"/>
              </w:rPr>
              <w:t>Pillows, cushions and similar furnishings, of cotton;</w:t>
            </w:r>
          </w:p>
        </w:tc>
      </w:tr>
    </w:tbl>
    <w:p>
      <w:pPr>
        <w:pStyle w:val="Normal"/>
      </w:pPr>
      <w:r>
        <w:t>Quilts, eiderdowns, comforters and similar articles of textile material containing less than 85% by weight of silk or silk waste 9404.90.90 Other 9405.10.00 Chandeliers and other electric ceiling or wall lighting fittings, excluding those of a kind used for lighting public open spaces or thoroughfares 9405.20.00 Electric table, desk, bedside or floor-standing lamps 9405.30.00 Lighting sets of a kind used for Christmas trees 9405.40.10 Xenon type 9405.40.20 Motion picture or theatrical spotlights 9405.40.90 Other 9405.50.10</w:t>
      </w:r>
    </w:p>
    <w:p>
      <w:pPr>
        <w:pStyle w:val="Normal"/>
      </w:pPr>
      <w:r>
        <w:t>Candlesticks and candelabras 9405.50.90 Other 9405.60.00 Illuminated signs, illuminated name-plates and the like 9405.91.00 Of glass 9405.92.00 Of plastics 9405.99.00 Other 9406.10.10 Silos for storing ensilage 9406.10.90 Other 9406.90.11 Silos for storing ensilage: Unassembled or incomplete, of glass fibre reinforced plastics, for use in the manufacture of silos 9406.90.19 Silos for storing ensilage: Other 9406.90.20 Air-supported buildings 9406.90.90 Other 9503.00.10 Wheeled toys designed to be ridden by children (for example, tricycles, scooters, pedal cars); dolls’ carriages 9503.00.90 Other 9504.20.00 Articles and accessories for billiards of all kinds 9504.30.00 Other games, operated by coins, banknotes, bank cards, tokens or by other means of payment, other than automatic bowling alley equipment 9504.40.00 Playing cards 9504.50.00 Video game consoles and machines, other than those of subheading 9504.30 9504.90.00 Other 9505.10.00 Articles for Christmas festivities 9505.90.00 Other 9506.11.10 Downhill 9506.11.90 Other 9506.12.00 Ski-fastenings (ski-bindings) 9506.19.00 Other 9506.21.00 Sailboards 9506.29.00 Other 9506.31.00 Clubs, complete 9506.32.10 Hollow, for practice 9506.32.90 Other 9506.39.10 Finished grips for use in the manufacture of golf clubs; Shafts of steel or graphite 9506.39.20 Heads of woods; Shafts of wood 9506.39.30 Forged heads of iron or steel, not ground, polished, plated or otherwise finished 9506.39.90 Other 9506.40.00 Articles and equipment for</w:t>
      </w:r>
    </w:p>
    <w:p>
      <w:pPr>
        <w:pStyle w:val="Normal"/>
      </w:pPr>
      <w:r>
        <w:t>table-tennis 9506.51.00 Lawn-tennis rackets, whether or not strung 9506.59.10 Squash, badminton or racketball rackets 9506.59.90 Other 9506.61.00 Lawn-tennis balls 9506.62.10 Designed for the training of children with intellectual disabilities, to be employed in any school, academy, college or seminary of learning, or by any association, society or institution that trains such children; For basketball, volleyball or soccer 9506.62.90 Other 9506.69.10 Cricket balls 9506.69.20 Balls for lawn or carpet bowling, croquet, squash or racketball 9506.69.90 Other 9506.70.11 Ice or roller skates attached to boots or other footwear: Ice skates 9506.70.12 Ice or roller skates attached to boots or other footwear: Roller skates 9506.70.20 Ice or roller skates not attached to boots or other footwear 9506.91.10 Exercise bicycles; Parts for use in the manufacture of physical exercise machines; Stair climbing machines 9506.91.90 Other 9506.99.10 Badminton birds (shuttle cocks); Baseball bats of aluminum; Face masks and shoulder pads for football; For climbing or mountaineering 9506.99.20 Clay pigeons for trapshooting; Curling stones; Hockey sticks 9506.99.31 Power-operated equipment for the development of athletic skills: Automated batting cages; Clay target thrower machines;</w:t>
      </w:r>
    </w:p>
    <w:p>
      <w:pPr>
        <w:pStyle w:val="Normal"/>
      </w:pPr>
      <w:r>
        <w:t>Throwing or pitching machines for baseballs or softballs 9506.99.39 Power-operated equipment for the development of athletic skills: Other 9506.99.40 Leg pads and bats for cricket 9506.99.50 Shin-guards and elbow or</w:t>
      </w:r>
    </w:p>
    <w:p>
      <w:pPr>
        <w:pStyle w:val="Normal"/>
      </w:pPr>
      <w:r>
        <w:t>shoulder pads excluding those for football; Waist, thigh and hip protective equipment 9506.99.90 Other 9507.10.10 Parts for use in the manufacture of fishing rods 9507.10.90 Other 9507.20.00 Fish-hooks, whether or not snelled 9507.30.00 Fishing reels 9507.90.10 Sportsmen’s fishing line, in retail packages 9507.90.91 Other: Fish landing net bags for use in the manufacture of fish landing nets; Lures, jiggers, artificial bait, line floats and fishing lines (including marlines) of a circumference not exceeding 38 mm, to be employed in commercial fishing; Split rings and swivels for use in the manufacture of fishing lures 9507.90.99 Other: Other 9508.10.00 Travelling circuses and travelling menageries 9508.90.00 Other 9601.10.00 Worked ivory and articles of ivory 9601.90.00 Other 9602.00.10 Artificial honeycombs; Gelatin capsules for pharmaceutical products; Worked amber for use in the manufacture of jewellery 9602.00.90 Other 9603.10.10 Brooms 9603.10.20 Brushes 9603.21.00 Tooth brushes, including dental-plate brushes 9603.29.00 Other 9603.30.10 Artists’ brushes 9603.30.90 Other 9603.40.10 Rollers of textile materials 9603.40.90 Other 9603.50.00 Other brushes constituting parts of machines, appliances or vehicles 9603.90.10 Brooms 9603.90.20 Hand-operated mechanical floor sweepers, not motorized 9603.90.30 Mops of textile materials 9603.90.90 Other 9604.00.00 Hand sieves and hand riddles. 9605.00.00 Travel sets for personal toilet, sewing or shoe or clothes cleaning.</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9606.10.00</w:t>
            </w:r>
          </w:p>
        </w:tc>
        <w:tc>
          <w:tcPr>
            <w:tcW w:w="4679" w:type="dxa"/>
            <w:tcMar>
              <w:top w:w="70" w:type="dxa"/>
              <w:start w:w="110" w:type="dxa"/>
              <w:bottom w:w="70" w:type="dxa"/>
              <w:end w:w="110" w:type="dxa"/>
            </w:tcMar>
            <w:vAlign w:val="center"/>
          </w:tcPr>
          <w:p>
            <w:pPr>
              <w:pStyle w:val="TableText"/>
              <w:jc w:val="left"/>
            </w:pPr>
            <w:r>
              <w:rPr>
                <w:lang w:val="en-US" w:eastAsia="en-US" w:bidi="ar-SA"/>
              </w:rPr>
              <w:t>Press-fasteners, snap-fasteners and press-studs and parts therefor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plastics, not covered with textile material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9606.22.00</w:t>
            </w:r>
          </w:p>
        </w:tc>
        <w:tc>
          <w:tcPr>
            <w:tcW w:w="4679" w:type="dxa"/>
            <w:tcMar>
              <w:top w:w="70" w:type="dxa"/>
              <w:start w:w="110" w:type="dxa"/>
              <w:bottom w:w="70" w:type="dxa"/>
              <w:end w:w="110" w:type="dxa"/>
            </w:tcMar>
            <w:vAlign w:val="center"/>
          </w:tcPr>
          <w:p>
            <w:pPr>
              <w:pStyle w:val="TableText"/>
              <w:jc w:val="left"/>
            </w:pPr>
            <w:r>
              <w:rPr>
                <w:lang w:val="en-US" w:eastAsia="en-US" w:bidi="ar-SA"/>
              </w:rPr>
              <w:t>Of base metal, not covered with textile material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9606.29.00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9606.30.00</w:t>
            </w:r>
          </w:p>
        </w:tc>
        <w:tc>
          <w:tcPr>
            <w:tcW w:w="4679" w:type="dxa"/>
            <w:tcMar>
              <w:top w:w="70" w:type="dxa"/>
              <w:start w:w="110" w:type="dxa"/>
              <w:bottom w:w="70" w:type="dxa"/>
              <w:end w:w="110" w:type="dxa"/>
            </w:tcMar>
            <w:vAlign w:val="center"/>
          </w:tcPr>
          <w:p>
            <w:pPr>
              <w:pStyle w:val="TableText"/>
              <w:jc w:val="left"/>
            </w:pPr>
            <w:r>
              <w:rPr>
                <w:lang w:val="en-US" w:eastAsia="en-US" w:bidi="ar-SA"/>
              </w:rPr>
              <w:t>Button moulds and other parts of buttons; button blanks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9607.11.10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Air-tight and watertight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9607.11.90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9607.20.10</w:t>
            </w:r>
          </w:p>
        </w:tc>
        <w:tc>
          <w:tcPr>
            <w:tcW w:w="4679" w:type="dxa"/>
            <w:tcMar>
              <w:top w:w="70" w:type="dxa"/>
              <w:start w:w="110" w:type="dxa"/>
              <w:bottom w:w="70" w:type="dxa"/>
              <w:end w:w="110" w:type="dxa"/>
            </w:tcMar>
            <w:vAlign w:val="center"/>
          </w:tcPr>
          <w:p>
            <w:pPr>
              <w:pStyle w:val="TableText"/>
              <w:jc w:val="left"/>
            </w:pPr>
            <w:r>
              <w:rPr>
                <w:lang w:val="en-US" w:eastAsia="en-US" w:bidi="ar-SA"/>
              </w:rPr>
              <w:t>Of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9607.20.90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9608.10.00</w:t>
            </w:r>
          </w:p>
        </w:tc>
        <w:tc>
          <w:tcPr>
            <w:tcW w:w="4679" w:type="dxa"/>
            <w:tcMar>
              <w:top w:w="70" w:type="dxa"/>
              <w:start w:w="110" w:type="dxa"/>
              <w:bottom w:w="70" w:type="dxa"/>
              <w:end w:w="110" w:type="dxa"/>
            </w:tcMar>
            <w:vAlign w:val="center"/>
          </w:tcPr>
          <w:p>
            <w:pPr>
              <w:pStyle w:val="TableText"/>
              <w:jc w:val="left"/>
            </w:pPr>
            <w:r>
              <w:rPr>
                <w:lang w:val="en-US" w:eastAsia="en-US" w:bidi="ar-SA"/>
              </w:rPr>
              <w:t>Ball point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Felt tipped and other porous-tipped pens and markers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9608.30.10</w:t>
            </w:r>
          </w:p>
        </w:tc>
        <w:tc>
          <w:tcPr>
            <w:tcW w:w="4679" w:type="dxa"/>
            <w:tcMar>
              <w:top w:w="70" w:type="dxa"/>
              <w:start w:w="110" w:type="dxa"/>
              <w:bottom w:w="70" w:type="dxa"/>
              <w:end w:w="110" w:type="dxa"/>
            </w:tcMar>
            <w:vAlign w:val="center"/>
          </w:tcPr>
          <w:p>
            <w:pPr>
              <w:pStyle w:val="TableText"/>
              <w:jc w:val="left"/>
            </w:pPr>
            <w:r>
              <w:rPr>
                <w:lang w:val="en-US" w:eastAsia="en-US" w:bidi="ar-SA"/>
              </w:rPr>
              <w:t>Indian ink drawing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9608.30.90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9608.40.00</w:t>
            </w:r>
          </w:p>
        </w:tc>
        <w:tc>
          <w:tcPr>
            <w:tcW w:w="4679" w:type="dxa"/>
            <w:tcMar>
              <w:top w:w="70" w:type="dxa"/>
              <w:start w:w="110" w:type="dxa"/>
              <w:bottom w:w="70" w:type="dxa"/>
              <w:end w:w="110" w:type="dxa"/>
            </w:tcMar>
            <w:vAlign w:val="center"/>
          </w:tcPr>
          <w:p>
            <w:pPr>
              <w:pStyle w:val="TableText"/>
              <w:jc w:val="left"/>
            </w:pPr>
            <w:r>
              <w:rPr>
                <w:lang w:val="en-US" w:eastAsia="en-US" w:bidi="ar-SA"/>
              </w:rPr>
              <w:t>Propelling or sliding pencils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Sets of articles from two or more of the foregoing subheadings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9608.60.10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ball point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9608.60.90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9608.91.10</w:t>
            </w:r>
          </w:p>
        </w:tc>
        <w:tc>
          <w:tcPr>
            <w:tcW w:w="4679" w:type="dxa"/>
            <w:tcMar>
              <w:top w:w="70" w:type="dxa"/>
              <w:start w:w="110" w:type="dxa"/>
              <w:bottom w:w="70" w:type="dxa"/>
              <w:end w:w="110" w:type="dxa"/>
            </w:tcMar>
            <w:vAlign w:val="center"/>
          </w:tcPr>
          <w:p>
            <w:pPr>
              <w:pStyle w:val="TableText"/>
              <w:jc w:val="left"/>
            </w:pPr>
            <w:r>
              <w:rPr>
                <w:lang w:val="en-US" w:eastAsia="en-US" w:bidi="ar-SA"/>
              </w:rPr>
              <w:t>Nibs of wool felt or plastics for use in the manufacture of porous tip pens or markers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9608.91.90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9608.99.10</w:t>
            </w:r>
          </w:p>
        </w:tc>
        <w:tc>
          <w:tcPr>
            <w:tcW w:w="4679" w:type="dxa"/>
            <w:tcMar>
              <w:top w:w="70" w:type="dxa"/>
              <w:start w:w="110" w:type="dxa"/>
              <w:bottom w:w="70" w:type="dxa"/>
              <w:end w:w="110" w:type="dxa"/>
            </w:tcMar>
            <w:vAlign w:val="center"/>
          </w:tcPr>
          <w:p>
            <w:pPr>
              <w:pStyle w:val="TableText"/>
              <w:jc w:val="left"/>
            </w:pPr>
            <w:r>
              <w:rPr>
                <w:lang w:val="en-US" w:eastAsia="en-US" w:bidi="ar-SA"/>
              </w:rPr>
              <w:t>Parts other than refills, for use in the manufacture of ball point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9609.10.00</w:t>
            </w:r>
          </w:p>
        </w:tc>
        <w:tc>
          <w:tcPr>
            <w:tcW w:w="4679" w:type="dxa"/>
            <w:tcMar>
              <w:top w:w="70" w:type="dxa"/>
              <w:start w:w="110" w:type="dxa"/>
              <w:bottom w:w="70" w:type="dxa"/>
              <w:end w:w="110" w:type="dxa"/>
            </w:tcMar>
            <w:vAlign w:val="center"/>
          </w:tcPr>
          <w:p>
            <w:pPr>
              <w:pStyle w:val="TableText"/>
              <w:jc w:val="left"/>
            </w:pPr>
            <w:r>
              <w:rPr>
                <w:lang w:val="en-US" w:eastAsia="en-US" w:bidi="ar-SA"/>
              </w:rPr>
              <w:t>Pencils and crayons, with leads encased in a rigid sheath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9609.20.10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pencils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9609.20.90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9610.00.00</w:t>
            </w:r>
          </w:p>
        </w:tc>
        <w:tc>
          <w:tcPr>
            <w:tcW w:w="4679" w:type="dxa"/>
            <w:tcMar>
              <w:top w:w="70" w:type="dxa"/>
              <w:start w:w="110" w:type="dxa"/>
              <w:bottom w:w="70" w:type="dxa"/>
              <w:end w:w="110" w:type="dxa"/>
            </w:tcMar>
            <w:vAlign w:val="center"/>
          </w:tcPr>
          <w:p>
            <w:pPr>
              <w:pStyle w:val="TableText"/>
              <w:jc w:val="left"/>
            </w:pPr>
            <w:r>
              <w:rPr>
                <w:lang w:val="en-US" w:eastAsia="en-US" w:bidi="ar-SA"/>
              </w:rPr>
              <w:t>Slates and boards, with writing or drawing surfaces, whether or not framed.</w:t>
            </w:r>
          </w:p>
        </w:tc>
      </w:tr>
    </w:tbl>
    <w:p>
      <w:pPr>
        <w:pStyle w:val="Normal"/>
      </w:pPr>
      <w:r>
        <w:t>9611.00.00 Date, sealing or numbering stamps, and the like (including devices for printing or embossing labels), designed for operating in the hand; hand-operated composing sticks, and hand printing sets incorporating such composing sticks.</w:t>
      </w:r>
    </w:p>
    <w:p>
      <w:pPr>
        <w:pStyle w:val="Normal"/>
      </w:pPr>
      <w:r>
        <w:t>9612.10.10 To be employed in machinery for packing fresh fruit or vegetables 9612.10.20 Other, woven, of man-made fibres, other than those of a width of 30 mm or less and permanently put up in cartridges 9612.10.30 Other, containing man-made fibres 9612.10.90 Other 9612.20.00 Ink-pads 9613.10.00 Pocket lighters, gas fuelled, non-refillable 9613.20.00 Pocket lighters, gas fuelled, refillable 9613.80.10 Table lighters 9613.80.90 Other 9613.90.00 Parts 9614.00.11 Pipes and pipe bowls: Meerschaum pipes, excluding those composed in part of briar wood; Roughly shaped blocks of wood or root, for pipes 9614.00.19 Pipes and pipe bowls: Other 9614.00.90 Other 9615.11.00 Of hard rubber or plastics 9615.19.00 Other 9615.90.00 Other 9616.10.00 Scent sprays and similar toilet sprays, and mounts and heads therefor 9616.20.00 Powder-puffs and pads for the application of cosmetics or toilet preparations 9617.00.00 Vacuum flasks and other vacuum vessels, complete with cases; parts thereof other than glass inners. 9618.00.00 Tailors’ dummies and other lay figures; automata and other animated displays used for shop window dressing.</w:t>
      </w:r>
    </w:p>
    <w:p>
      <w:pPr>
        <w:pStyle w:val="Normal"/>
      </w:pPr>
      <w:r>
        <w:t>9619.00.10 Incontinent briefs, underpants and panties, incontinent napkins (diapers), napkin (diaper) liners and similar sanitary articles for incontinence, designed to be worn by a person, excluding those of a kind for babies 9619.00.21 Napkins (diapers), napkin (diaper) liners and similar articles for babies: Of paper pulp, paper, cellulose wadding or webs of cellulose fibres 9619.00.22 Napkins (diapers), napkin (diaper) liners and similar articles for babies: Of textile wadding 9619.00.23 Napkins (diapers), napkin (diaper) liners and similar articles for babies: Knitted or crocheted 9619.00.24 Napkins (diapers), napkin (diaper) liners and similar articles for babies: Not knitted or crocheted, of cotton 9619.00.25 Napkins (diapers), napkin (diaper) liners and similar articles for babies: Not knitted or crocheted, of synthetic fibres 9619.00.29 Napkins (diapers), napkin (diaper) liners and similar articles for babies: Other 9619.00.91 Other: Of paper pulp, paper, cellulose wadding or webs of cellulose fibres 9619.00.92 Other: Of textile wadding 9619.00.99 Other: Other 9620.00.10 For binoculars or telescopes of heading 90.05; For cinematographic cameras; For goods of heading 84.71, 85.17 or 85.21; For surveying, hydrographic, oceanographic, hydrological, meteorological or geophysical instruments and appliances 9620.00.21 For photographic cameras: Tripods 9620.00.29 For photographic cameras: Other 9620.00.30 For monoculars; For other astronomical instruments 9620.00.40 For</w:t>
      </w:r>
    </w:p>
    <w:p>
      <w:pPr>
        <w:pStyle w:val="Normal"/>
      </w:pPr>
      <w:r>
        <w:t>other machines, appliances, instruments or apparatus of Chapter 90 9620.00.91 Other: Of graphite or other carbon 9620.00.92 Other: Of wood 9620.00.93 Other: Of aluminum 9620.00.99 Other: Other 9701.10.10 Originals by artists 9701.10.90 Other 9701.90.10 Original collages and similar decorative plaques by artists 9701.90.90 Other 9702.00.00 Original engravings, prints and lithographs. 9703.00.00 Original sculptures and statuary, in any material. 9704.00.00 Postage or revenue stamps, stamp-postmarks, first-day covers, postal stationery (stamped paper), and the like, used or unused, other than those of heading 49.07. 9705.00.00 Collections and collectors’ pieces of zoological, botanical, mineralogical, anatomical, historical, archaeological, palaeontological, ethnographic or numismatic interest. 9706.00.00 Antiques of an age exceeding one hundred years.</w:t>
      </w:r>
    </w:p>
    <w:p>
      <w:pPr>
        <w:pStyle w:val="Heading2"/>
      </w:pPr>
      <w:bookmarkStart w:id="900062" w:name="_Toc300000061"/>
      <w:r>
        <w:t xml:space="preserve">TARIFF SCHEDULE OF CANADA: APPENDIX 1</w:t>
      </w:r>
      <w:bookmarkEnd w:id="900062"/>
    </w:p>
    <w:p>
      <w:pPr>
        <w:pStyle w:val="Normal"/>
      </w:pPr>
      <w:r>
        <w:t xml:space="preserve">Tariff Line Description Base Rate for Mexico Staging Category for Mexico Base Rate for the United States Staging Category for the United States 0105.11.21 Broilers for domestic production: Within access commitment X 0.86¢ each 0105.11.22 Broilers for domestic production: Over access commitment X X 0105.94.10 For breeding purposes; Spent fowl; Started pullets X 2.82¢/kg 0105.94.91 Other: Within access commitment X 1.90¢/kg 0,TRQ-CA15 0105.94.92 Other: Over access commitment X X 0105.99.11 Turkeys: Within access commitment X 1.90¢/kg 0105.99.12 Turkeys: Over access commitment X X 0105.99.90 Other X 3% 0207.11.10 Spent fowl X 8% 0207.11.91 Other: Within access commitment X 5% but not less than 4.74¢/kg or more than 9.48¢/kg 0,TRQ-CA15 0207.11.92 Other: Over access commitment X X 0207.12.10 Spent fowl X 8% 0207.12.91 Other: Within access commitment X 5% but not less than 4.74¢/kg or more than 9.48¢/kg 0,TRQ-CA15 0207.12.92 Other: Over access commitment X X 0207.13.10 Spent fowl X 4% 0207.13.91 Other: Within access commitment X 5% but not less than 4.74¢/kg or more than 9.48¢/kg 0,TRQ-CA15 0207.13.92 Other:</w:t>
      </w:r>
    </w:p>
    <w:p>
      <w:pPr>
        <w:pStyle w:val="Normal"/>
      </w:pPr>
      <w:r>
        <w:t>Over access commitment, bone in X X 0207.13.93 Other: Over access commitment, boneless X X 0207.14.10 Spent fowl X 9% 0207.14.21 Livers: Within access commitment X Free 0,TRQ-CA15 0207.14.22 Livers: Over access commitment X X 0207.14.91 Other: Within access commitment X 5% but not less than 4.74¢/kg or more than 9.48¢/kg 0,TRQ-CA15</w:t>
      </w:r>
    </w:p>
    <w:p>
      <w:pPr>
        <w:pStyle w:val="Normal"/>
      </w:pPr>
      <w:r>
        <w:t>0207.14.92 Other: Over access commitment, bone in X X 0207.14.93 Other: Over access commitment, boneless X X 0207.24.11 Canner pack: Within access commitment X 5% but not less than 4.74¢/kg or more than 9.48¢/kg 0207.24.12 Canner pack: Over access commitment X X 0207.24.91 Other: Within access commitment X 5% but not less than 4.74¢/kg or more than 9.48¢/kg 0207.24.92 Other: Over access commitment X X 0207.25.11 Canner pack: Within access commitment X 5% but not less than 4.74¢/kg or more than 9.48¢/kg 0207.25.12 Canner pack: Over access commitment X X 0207.25.91 Other: Within access commitment X 5% but not less than 4.74¢/kg or more than 9.48¢/kg 0207.25.92 Other: Over access commitment X X 0207.26.10 Within access commitment X 5% but not less than 4.74¢/kg or more than 9.48¢/kg 0207.26.20 Over access commitment, bone in X X 0207.26.30 Over access commitment, boneless X X 0207.27.11 Livers: Within access commitment X Free 0207.27.12 Livers: Over access commitment X X 0207.27.91 Other: Within access commitment X 5% but not less than 4.74¢/kg or more than 9.48¢/kg 0207.27.92 Other:</w:t>
      </w:r>
    </w:p>
    <w:p>
      <w:pPr>
        <w:pStyle w:val="Normal"/>
      </w:pPr>
      <w:r>
        <w:t>Over access commitment, bone in X X 0207.27.93 Other: Over access commitment, boneless X X 0207.41.00 Not cut in pieces, fresh or chilled X 8% 0207.44.00 Other, fresh or chilled X 4% 0207.45.10 Livers X Free 0207.51.00 Not cut in pieces, fresh or chilled X 8% 0207.54.00 Other, fresh or chilled X 4% 0207.55.10 Livers X Free 0207.60.11 Fresh or chilled: Not cut in pieces X 8% 0207.60.19 Fresh or</w:t>
      </w:r>
    </w:p>
    <w:p>
      <w:pPr>
        <w:pStyle w:val="Normal"/>
      </w:pPr>
      <w:r>
        <w:t>chilled: Other X 4% 0207.60.91 Other frozen: Livers X Free 0209.90.10 Fat of fowls of the species Gallus domesticus, within access commitment X 5% but not less than 4.74¢/kg or more than 9.48¢/kg 0,TRQ-CA15 0209.90.20 Fat of fowls of the species Gallus domesticus, over access commitment X X 0209.90.30 Fat of turkeys, within access commitment X 5% but not less than 4.74¢/kg or more than 9.48¢/kg 0209.90.40 Fat of turkeys, over access commitment X X 0209.90.90 Other X 11% 0210.99.11 Meat of poultry: Of fowls of the species Gallus domesticus, within access commitment X 5% but not less than 4.74¢/kg or more than 9.48¢/kg 0,TRQ-CA15 0210.99.12 Meat of poultry: Of fowls of the species Gallus domesticus, over access commitment, bone in X X 0210.99.13 Meat of poultry: Of fowls of the species Gallus domesticus, over access commitment, boneless X X 0210.99.14 Meat of poultry: Of turkeys, within access commitment X 5% but not less than 4.74¢/kg or more than 9.48¢/kg 0210.99.15 Meat of poultry:</w:t>
      </w:r>
    </w:p>
    <w:p>
      <w:pPr>
        <w:pStyle w:val="Normal"/>
      </w:pPr>
      <w:r>
        <w:t>Of turkeys, over access commitment, bone in X X 0210.99.16 Meat of poultry: Of turkeys, over access commitment, boneless X X 0210.99.19 Meat of poultry: Other X 2.5% 0401.10.10 Within access commitment X 7.5% 0,TRQ-CA1 0401.10.20 Over access commitment X X 0401.20.10 Within access commitment X 7.5% 0,TRQ-CA1 0401.20.20 Over access commitment X X 0401.40.10 Within access commitment X 7.5% 0,TRQ-CA2 0401.40.20 Over access commitment X X 0401.50.10 Within access commitment X 7.5% 0,TRQ-CA2</w:t>
      </w:r>
    </w:p>
    <w:p>
      <w:pPr>
        <w:pStyle w:val="Normal"/>
      </w:pPr>
      <w:r>
        <w:t>0401.50.20 Over access commitment X X 0402.10.10 Within access commitment X 3.32¢/kg 0,TRQ-CA3 0402.10.20 Over access commitment X X 0402.21.11 Milk: Within access commitment X 3.32¢/kg 0,TRQ-CA7 0402.21.12 Milk: Over access commitment X X 0402.21.21 Cream: Within access commitment X 6.5% 0,TRQ-CA4 0402.21.22 Cream: Over access commitment X X 0402.29.11 Milk: Within access commitment X 3.32¢/kg 0,TRQ-CA7 0402.29.12 Milk: Over access commitment X X 0402.29.21 Cream: Within access commitment X 6.5% 0,TRQ-CA4 0402.29.22 Cream: Over access commitment X X 0402.91.10 Within access commitment X 2.84¢/kg 0,TRQ-CA8 0402.91.20 Over access commitment X X 0402.99.10 Within access commitment X 2.84¢/kg 0,TRQ-CA8 0402.99.20 Over access commitment X X 0403.10.10 Within access commitment X 6.5% 0,TRQ-CA9 0403.10.20 Over access commitment X X 0403.90.11 Powdered buttermilk: Within access commitment X 3.32¢/kg 0,TRQ-CA10 0403.90.12 Powdered buttermilk: Over access commitment X X 0403.90.91 Other: Within access commitment X 7.5% 0,TRQ-CA9 0403.90.92 Other: Over access commitment X X 0404.10.10 Whey protein concentrate X 4.94¢/kg 0404.10.21 Powdered whey: Within access commitment X 3.32¢/kg 0,TRQ-CA11 0404.10.22 Powdered whey:</w:t>
      </w:r>
    </w:p>
    <w:p>
      <w:pPr>
        <w:pStyle w:val="Normal"/>
      </w:pPr>
      <w:r>
        <w:t>Over access commitment X 208% but not less than $2.07/kg B11 0404.10.90 Other X 11% 0404.90.10 Within access commitment X 3% 0,TRQ-CA12 0404.90.20 Over access commitment X X 0405.10.10 Within access commitment X 11.38¢/kg 0,TRQ-CA4 0405.10.20 Over access commitment X X</w:t>
      </w:r>
    </w:p>
    <w:p>
      <w:pPr>
        <w:pStyle w:val="Normal"/>
      </w:pPr>
      <w:r>
        <w:t>0405.20.10 Within access commitment X 7% 0,TRQ-CA4 0405.20.20 Over access commitment X X 0405.90.10 Within access commitment X 7.5% 0,TRQ-CA4 0405.90.20 Over access commitment X X 0406.10.10 Within access commitment X 3.32¢/kg 0,TRQ-CA5; 0,TRQ-CA6 0406.10.20 Over access commitment X X 0406.20.11 Cheddar and Cheddar types: Within access commitment X 2.84¢/kg 0,TRQ-CA5; 0,TRQ-CA6 0406.20.12 Cheddar and Cheddar types: Over access commitment X X 0406.20.91 Other: Within access commitment X 3.32¢/kg 0,TRQ-CA5; 0,TRQ-CA6 0406.20.92 Other: Over access commitment X X 0406.30.10 Within access commitment X 3.32¢/kg 0,TRQ-CA5; 0,TRQ-CA6 0406.30.20 Over access commitment X X 0406.40.10 Within access commitment X 3.32¢/kg 0,TRQ-CA5; 0,TRQ-CA6 0406.40.20 Over access commitment X X 0406.90.11 Cheddar and Cheddar types: Within access commitment X 2.84¢/kg 0,TRQ-CA5; 0,TRQ-CA6 0406.90.12 Cheddar and Cheddar types: Over access commitment X X 0406.90.21 Camembert and Camembert types: Within access commitment X 3.32¢/kg 0,TRQ-CA5; 0,TRQ-CA6 0406.90.22 Camembert and Camembert types: Over access commitment X X 0406.90.31 Brie and Brie types: Within access commitment X 3.32¢/kg 0,TRQ-CA5; 0,TRQ-CA6 0406.90.32 Brie and Brie types: Over access commitment X X 0406.90.41 Gouda and Gouda types:</w:t>
      </w:r>
    </w:p>
    <w:p>
      <w:pPr>
        <w:pStyle w:val="Normal"/>
      </w:pPr>
      <w:r>
        <w:t>Within access commitment X 3.32¢/kg 0,TRQ-CA5; 0,TRQ-CA6 0406.90.42 Gouda and Gouda types: Over access commitment X X 0406.90.51 Provolone and Provolone types: Within access commitment X 3.32¢/kg 0,TRQ-CA5;</w:t>
      </w:r>
    </w:p>
    <w:p>
      <w:pPr>
        <w:pStyle w:val="Normal"/>
      </w:pPr>
      <w:r>
        <w:t>0,TRQ-CA6 0406.90.52 Provolone and Provolone types: Over access commitment X X 0406.90.61 Mozzarella and Mozzarella types: Within access commitment X 3.32¢/kg 0,TRQ-CA5; 0,TRQ-CA6 0406.90.62 Mozzarella and Mozzarella types: Over access commitment X X 0406.90.71 Swiss/Emmental and Swiss/Emmental types: Within access commitment X 3.32¢/kg 0,TRQ-CA5; 0,TRQ-CA6 0406.90.72 Swiss/Emmental and Swiss/Emmental types: Over access commitment X X 0406.90.81 Gruyère and Gruyère types: Within access commitment X 3.32¢/kg 0,TRQ-CA5; 0,TRQ-CA6 0406.90.82 Gruyère and Gruyère types: Over access commitment X X 0406.90.91 Other: Havarti and Havarti types, within access commitment X 3.32¢/kg 0,TRQ-CA5; 0,TRQ-CA6 0406.90.92 Other: Havarti and Havarti types, over access commitment X X 0406.90.93 Other: Parmesan and Parmesan types, within access commitment X 3.32¢/kg 0,TRQ-CA5; 0,TRQ-CA6 0406.90.94 Other: Parmesan and Parmesan types, over access commitment X X 0406.90.95 Other: Romano and Romano types, within access commitment X 3.32¢/kg 0,TRQ-CA5; 0,TRQ-CA6 0406.90.96 Other: Romano and Romano types, over access commitment X X 0406.90.98 Other: Other, within access commitment X 3.32¢/kg 0,TRQ-CA5; 0,TRQ-CA6 0406.90.99 Other: Other, over access commitment X X 0407.11.11 Hatching, for broilers: Within access commitment X 1.51¢/dozen 0407.11.12 Hatching, for broilers: Over access commitment X X 0407.11.91 Other: Within access commitment X 1.51¢/dozen 0,TRQ-CA16 0407.11.92 Other: Over access commitment</w:t>
      </w:r>
    </w:p>
    <w:p>
      <w:pPr>
        <w:pStyle w:val="Normal"/>
      </w:pPr>
      <w:r>
        <w:t>X X 0407.19.00 Other X Free 0407.21.10 Within access commitment X 1.51¢/dozen 0,TRQ-CA16 0407.21.20 Over access commitment X X 0407.29.00 Other X Free 0407.90.11 Of the fowls of the species Gallus domesticus: Within access commitment X 1.51¢/dozen 0,TRQ-CA16 0407.90.12 Of the fowls of the species Gallus domesticus: Over access commitment X X 0407.90.90 Other X Free 0408.11.10 Within access commitment X 8.5% 0,TRQ-CA16 0408.11.20 Over access commitment X X 0408.19.10 Within access commitment X 6.63¢/kg 0,TRQ-CA16 0408.19.20 Over access commitment X X 0408.91.10 Within access commitment X 8.5% 0,TRQ-CA16 0408.91.20 Over access commitment X X 0408.99.10 Within access commitment X 6.63¢/kg 0,TRQ-CA16 0408.99.20 Over access commitment X X 1517.10.20 Over access commitment 82.28¢/kg 82.28¢/kg B6 1517.90.21 Substitutes for butter: Within access commitment 7.5% 7.5% 0,TRQ-CA14 1517.90.22 Substitutes for butter: Over access commitment 218% but not less than $2.47/kg 218% but not less than $2.47/kg B6 1601.00.11 In cans or glass jars: Of poultry of heading 01.05 X 12.5% 1601.00.21 Of fowls of the species Gallus domesticus, other than in cans or glass jars:</w:t>
      </w:r>
    </w:p>
    <w:p>
      <w:pPr>
        <w:pStyle w:val="Normal"/>
      </w:pPr>
      <w:r>
        <w:t>Other than spent fowl, within access commitment X 0.95¢/kg 0,TRQ-CA15 1601.00.22 Of fowls of the species Gallus domesticus, other than in cans or glass jars: Other than spent fowl, over access commitment X X 1601.00.31 Of turkeys, other than in cans or glass jars: Within access commitment X 0.95¢/kg 1601.00.32 Of turkeys, other</w:t>
      </w:r>
    </w:p>
    <w:p>
      <w:pPr>
        <w:pStyle w:val="Normal"/>
      </w:pPr>
      <w:r>
        <w:t>than in cans or glass jars: Over access commitment X X 1602.10.10 Of fowls of the species Gallus domesticus and turkeys, of heading 01.05 X 12.5% 1602.20.21 Paste, of fowls of the species Gallus domesticus, not in cans or glass jars: Within access commitment X Free 0,TRQ-CA15 1602.20.22 Paste, of fowls of the species Gallus domesticus, not in cans or glass jars: Over access commitment X X 1602.20.31 Paste, of turkeys, not in cans or glass jars: Within access commitment X Free 1602.20.32 Paste, of turkeys, not in cans or glass jars: Over access commitment X X 1602.31.11 Prepared meals: Specially defined mixtures X 11% 1602.31.12 Prepared meals: Other, within access commitment X 7.5% 1602.31.13 Prepared meals: Other, over access commitment, bone in X X 1602.31.14 Prepared meals: Other, over access commitment, boneless X X 1602.31.91 Other: In cans or glass jars X 12.5% 1602.31.92 Other: Specially defined mixtures, other than in cans or glass jars X 2.5% 1602.31.93 Other: Other, within access commitment X 5% but not less than 4.74¢/kg or more than 9.48¢/kg 1602.31.94 Other:</w:t>
      </w:r>
    </w:p>
    <w:p>
      <w:pPr>
        <w:pStyle w:val="Normal"/>
      </w:pPr>
      <w:r>
        <w:t>Other, over access commitment, bone in X X 1602.31.95 Other: Other, over access commitment, boneless X X 1602.32.11 Prepared meals: Of spent fowl; Specially defined mixtures X 11% 1602.32.12 Prepared meals: Other, within access commitment X 7.5% 0,TRQ-CA15 1602.32.13 Prepared meals: Other, over access commitment, bone in X X 1602.32.14 Prepared meals: Other, over access commitment, boneless X X 1602.32.91</w:t>
      </w:r>
    </w:p>
    <w:p>
      <w:pPr>
        <w:pStyle w:val="Normal"/>
      </w:pPr>
      <w:r>
        <w:t>Other: In cans or glass jars X 9.5% 1602.32.92 Other: Specially defined mixtures, other than in cans or glass jars; Spent fowl other than in cans or glass jars X Free 1602.32.93 Other: Other, within access commitment X 5% but not less than 4.74¢/kg or more than 9.48¢/kg 0,TRQ-CA15 1602.32.94 Other: Other, over access commitment, bone in X X 1602.32.95 Other: Other, over access commitment, boneless X X 1602.39.10 Prepared meals X 11% 1602.39.91 Other: Of ducks, geese or guinea fowls, in cans or glass jars X 9.5% 1602.39.99 Other: Other X Free 1701.12.90 Other X $24.69/tonne 1701.13.90 Other X $22.05/tonne 1701.91.90 Other X $30.86/tonne 1701.99.90 Other X $30.86/tonne 1702.90.11 Invert sugar and other sugar syrups containing, after inversion, reducing sugars weighing 75% or more of the total solid weight and in receptacles where the gross weight exceeds 27 kg:</w:t>
      </w:r>
    </w:p>
    <w:p>
      <w:pPr>
        <w:pStyle w:val="Normal"/>
      </w:pPr>
      <w:r>
        <w:t>Containing reducing sugars after inversion not exceeding 65% by weight of the total syrup X $11.99/tonne 1702.90.12 Invert sugar and other sugar syrups containing, after inversion, reducing sugars weighing 75% or more of the total solid weight and in receptacles where the gross weight exceeds 27 kg: Containing reducing sugars after inversion exceeding 65% but not exceeding 70% by weight of the total syrup X $13.05/tonne 1702.90.13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70% but not exceeding 71% by weight of the total syrup X $13.26/tonne 1702.90.14 Invert sugar and other sugar syrups containing, after inversion, reducing sugars weighing 75% or more of the total solid weight and in receptacles where the gross weight exceeds 27 kg: Containing reducing sugars after inversion exceeding 71% but not exceeding 72% by weight of the total syrup X $13.47/tonne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X $13.69/tonne 1702.90.16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73% but not exceeding 74% by weight of the total syrup X $13.90/tonne 1702.90.17 Invert sugar and other sugar syrups containing, after inversion, reducing sugars weighing 75% or more of the total solid weight and in receptacles where the gross weight exceeds 27 kg: Containing reducing sugars after inversion exceeding 74% but not exceeding 75% by weight of the total syrup X $14.11/tonne 1702.90.18 Invert sugar and other sugar syrups containing, after inversion, reducing sugars weighing</w:t>
      </w:r>
    </w:p>
    <w:p>
      <w:pPr>
        <w:pStyle w:val="Normal"/>
      </w:pPr>
      <w:r>
        <w:t>75% or more of the total solid weight and in receptacles where the gross weight exceeds 27 kg: Containing reducing sugars after inversion exceeding 75% by weight of the total syrup X $15.17/tonne 1702.90.89 Other invert sugars and other sugar syrups: Other X $4.52/tonne 1806.10.10 Containing 90% or more by weight of sugar X 6% 1806.20.21 Chocolate ice cream mix or ice milk mix: Within access commitment 5% 5% 0,TRQ-CA13 1806.20.22 Chocolate ice cream mix or ice milk mix: Over access commitment X X 1806.90.11 Chocolate ice cream mix or ice milk mix: Within access commitment 5% 5% 0,TRQ-CA13 1806.90.12 Chocolate ice cream mix or ice milk mix: Over access commitment X X 1901.20.11 In packages of a weight not exceeding 11.34 kg each: Containing more than 25% by weight of butterfat, not put up for retail sale, within access commitment 4% 4% 0,TRQ-CA14 1901.20.12 In packages of a weight not exceeding 11.34 kg each:</w:t>
      </w:r>
    </w:p>
    <w:p>
      <w:pPr>
        <w:pStyle w:val="Normal"/>
      </w:pPr>
      <w:r>
        <w:t>Containing more than 25% by weight of butterfat, not put up for retail sale, over access commitment X X 1901.20.21 In bulk or in packages of a weight exceeding 11.34 kg each: Containing more than 25% by weight of butterfat, not put up for retail sale, within access commitment 3% 3% 0,TRQ-CA14 1901.20.22 In bulk or in packages of a weight exceeding 11.34 kg each: Containing more than 25% by weight of butterfat, not put up for retail sale, over access commitment X X 1901.90.31 Food preparations of goods of headings 04.01 to 04.04, containing more than 10% but less than 50</w:t>
      </w:r>
    </w:p>
    <w:p>
      <w:pPr>
        <w:pStyle w:val="Normal"/>
      </w:pPr>
      <w:r>
        <w:t>% on a dry weight basis of milk solids: Ice cream mixes or ice milk mixes, within access commitment X 6.5% 0,TRQ-CA13 1901.90.32 Food preparations of goods of headings 04.01 to 04.04, containing more than 10% but less than 50 % on a dry weight basis of milk solids: Ice cream mixes or ice milk mixes, over access commitment X X 1901.90.33 Food preparations of goods of headings 04.01 to 04.04, containing more than 10% but less than 50 % on a dry weight basis of milk solids: Other, not put up for retail sale, within access commitment X 6.5% 0,TRQ-CA14 1901.90.34 Food preparations of goods of headings 04.01 to 04.04, containing more than 10% but less than 50 % on a dry weight basis of milk solids: Other, not put up for retail sale, over access commitment X X 1901.90.51 Food preparations of goods of headings 04.01 to 04.04, containing 50 % or more on a dry weight basis of milk solids:</w:t>
      </w:r>
    </w:p>
    <w:p>
      <w:pPr>
        <w:pStyle w:val="Normal"/>
      </w:pPr>
      <w:r>
        <w:t>Ice cream mixes or ice milk mixes, within access commitment X 6.5% 0,TRQ-CA13 1901.90.52 Food preparations of goods of headings 04.01 to 04.04, containing 50 % or more on a dry weight basis of milk solids: Ice cream mixes or ice milk mixes, over access commitment X X 1901.90.53 Food preparations of goods of headings 04.01 to 04.04, containing 50 % or more on a dry weight basis of milk solids: Other, not put up for retail sale, within access commitment X 6.5% 0,TRQ-CA14 1901.90.54 Food preparations of goods of headings 04.01 to 04.04, containing 50 % or more on a dry weight basis of milk solids:</w:t>
      </w:r>
    </w:p>
    <w:p>
      <w:pPr>
        <w:pStyle w:val="Normal"/>
      </w:pPr>
      <w:r>
        <w:t>Other, not put up for retail sale, over access commitment X X 2105.00.10 Flavoured ice and ice sherbets X 9.5% 2105.00.91 Other: Within access commitment X 6.5% 0,TRQ-CA13 2105.00.92 Other: Over access commitment X X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X 6% 2106.90.31 Milk, cream or butter substitutes and preparations suitable for use as butter substitutes: Milk, cream or butter substitutes, containing 50% or more by weight of dairy content, within access commitment X 5% 0,TRQ-CA14 2106.90.32 Milk, cream or butter substitutes and preparations suitable for use as butter substitutes: Milk, cream or butter substitutes, containing 50% or more by weight of dairy content, over access commitment X X 2106.90.33 Milk, cream or butter substitutes and preparations suitable for use as butter substitutes:</w:t>
      </w:r>
    </w:p>
    <w:p>
      <w:pPr>
        <w:pStyle w:val="Normal"/>
      </w:pPr>
      <w:r>
        <w:t>Preparations, containing more than 15% by weight of milk fat but less than 50% by weight of dairy content, suitable for use as butter substitutes, within access commitment 5% 5% 0,TRQ-CA14 2106.90.34 Milk, cream or butter substitutes and preparations suitable for use as butter substitutes: Preparations, containing more than 15% by weight of milk fat but less than 50% by weight of dairy content, suitable for use as butter</w:t>
      </w:r>
    </w:p>
    <w:p>
      <w:pPr>
        <w:pStyle w:val="Normal"/>
      </w:pPr>
      <w:r>
        <w:t>substitutes, over access commitment X X 2106.90.51 Egg preparations: Within access commitment X 6.68¢/kg 0,TRQ-CA16 2106.90.52 Egg preparations: Over access commitment X X 2106.90.93 Other: Containing 50% or more by weight of dairy content, within access commitment 7% 7% 0,TRQ-CA14 2106.90.94 Other: Containing 50% or more by weight of dairy content, over access commitment X X 2202.99.32 Beverages containing milk: Other, containing 50% or more by weight of dairy content, not put up for retail sale, within access commitment 7.5% 7.5% 0,TRQ-CA13 2202.99.33 Beverages containing milk: Other, containing 50% or more by weight of dairy content, not put up for retail sale, over access commitment X X 2309.90.31 Complete feeds and feed supplements, including concentrates: Containing 50% or more by weight in the dry state of non-fat milk solids, within access commitment X 2% 0,TRQ-CA14 2309.90.32 Complete feeds and feed supplements, including concentrates: Containing 50% or more by weight in the dry state of non-fat milk solids, over access commitment X X 2309.90.35 Complete feeds and feed supplements, including concentrates:</w:t>
      </w:r>
    </w:p>
    <w:p>
      <w:pPr>
        <w:pStyle w:val="Normal"/>
      </w:pPr>
      <w:r>
        <w:t xml:space="preserve">Containing 50% or more by weight in the dry state of milk solids containing butterfat X 3% 3501.10.00 Casein X Free 3501.90.00 Other X Free 3502.11.10 Within access commitment X 8.5% 0,TRQ-CA16 3502.11.20 Over access commitment X X 3502.19.10 Within access commitment X 6.63¢/kg 0,TRQ-CA16 3502.19.20 Over access commitment X X</w:t>
      </w:r>
    </w:p>
    <w:p>
      <w:pPr>
        <w:pStyle w:val="Heading2"/>
      </w:pPr>
      <w:bookmarkStart w:id="900063" w:name="_Toc300000062"/>
      <w:r>
        <w:t xml:space="preserve">TARIFF SCHEDULE OF THE UNITED STATES</w:t>
      </w:r>
      <w:bookmarkEnd w:id="900063"/>
    </w:p>
    <w:p>
      <w:pPr>
        <w:pStyle w:val="Normal"/>
      </w:pPr>
      <w:r>
        <w:t>HTSUS 1 July 2017 Brief Description Canada Duty Rate Mexico Duty Rate Live purebred breeding horses Live horses other than purebred breeding horses Live asses Mules and hinnies imported for immediate slaughter Mules and hinnies not imported for immediate slaughter Live purebred breeding cattle Cows imported specially for dairy purposes Live cattle other than purebred or those imported for dairy purposes Live purebred breeding buffalo Live buffalo, other than purebred breeding animals Live bovine animals, other than cattle and buffalo Live purebred breeding swine Live swine, other than purebred breeding swine, weighing less than 50 kg each Live swine, other than purebred breeding swine, weighing 50 kg or more Live sheep Live goats Live chickens weighing not over 185 g each Live turkeys weighing not more than over 185 g each Live ducks, weighing not more than 185 g each Live geese, weighing not more than 185 g each Live guinea fowls, weighing not more than 185 g each Live Poultry;Chickens Live ducks, geese, turkeys and guineas, weighing over 185 g each Live primates Live whales, dolphins and porpoises;</w:t>
      </w:r>
    </w:p>
    <w:p>
      <w:pPr>
        <w:pStyle w:val="Normal"/>
      </w:pPr>
      <w:r>
        <w:t>manatees and dugongs, seals, sea lions, and walruses Live camels and other camelids (Camelidae) Live rabbits and hares Live foxes Live mammals, not elsewhere specified or included Live reptiles (including snakes and turtles) Live birds of prey Live psittaciforme birds (including parrots, parakeets, macaws and cockatoos) Ostriches; emus Live birds, other than poultry, birds of</w:t>
      </w:r>
    </w:p>
    <w:p>
      <w:pPr>
        <w:pStyle w:val="Normal"/>
      </w:pPr>
      <w:r>
        <w:t>prey or psittaciforme birds Bees Live insects other than bees Live animals other than mammals, reptiles, insects, and birds Bovine carcasses and halves, fresh or chld., descr. in gen. note 15 of the HTS Bovine carcasses and halves, fresh or chld., descr. in add. US note 3 to Ch. 2 Bovine carcasses and halves, fresh or chld., other than descr. in gen. note 15 or add. US note 3 to Ch. 2 High-qual. beef cuts w/bone in, processed, fresh or chld., descr in gen. note 15 of the HTS Bovine meat cuts (except high-qual. beef cuts), w/bone in, processed, fresh or chld., descr in gen. note 15 of the HTS Bovine meat cuts, w/bone in, not processed, fresh or chld., descr in gen. note 15 of the HTS High-qual. beef cuts, w/bone in, processed, fresh or chld., descr in add. US note 3 to Ch. 2 Bovine meat cuts (except high-qual. beef cuts), w/bone in, processed, fresh or chld., descr in add. US note 3 to Ch.</w:t>
      </w:r>
    </w:p>
    <w:p>
      <w:pPr>
        <w:pStyle w:val="Normal"/>
      </w:pPr>
      <w:r>
        <w:t>2 Bovine meat cuts, w/bone in, not processed, fresh or chld., descr in add. US note 3 to Ch. 2 Bovine meat cuts, w/bone in, fresh or chld., not descr in gen. note 15 or add. US note 3 to Ch. 2 High-qual. beef cuts, boneless, processed, fresh or chld., descr in gen. note 15 of the HTS Bovine meat cuts (except high-qual. beef cuts), boneless, processed, fresh or chld., descr in gen. note 15 of the HTS Bovine meat cuts, boneless, not processed, fresh or chld., descr in gen. note 15 of the HTS High-qual. beef cuts, boneless, processed, fresh or chld., descr in add. US note 3 to Ch.</w:t>
      </w:r>
    </w:p>
    <w:p>
      <w:pPr>
        <w:pStyle w:val="Normal"/>
      </w:pPr>
      <w:r>
        <w:t>Bovine meat cuts (except high-qual. beef cuts), boneless, processed, fresh or chld., descr in add. US note 3 to Ch. 2 Bovine meat cuts, boneless, not processed, fresh or chld., descr in add. US note 3 to Ch. 2 Bovine meat cuts, boneless, fresh or chld., not descr in gen. note 15 or add. US note 3 to Ch. 2 Bovine carcasses and halves, frozen, descr. in gen. note 15 of the HTS Bovine carcasses and halves, frozen, descr. in add. US note 3 to Ch. 2 Bovine carcasses and halves, frozen, other than descr. in gen. note 15 or add. US note 3 to Ch. 2 High-qual. beef cuts w/bone in, processed, frozen, descr in gen. note 15 of the HTS Bovine meat cuts (except high-qual. beef cuts), w/bone in, processed, frozen, descr in gen. note 15 of the HTS Bovine meat cuts, w/bone in, not processed, frozen, descr in gen. note 15 of the HTS High-qual. beef cuts, w/bone in, processed, frozen, descr in add. US note 3 to Ch.</w:t>
      </w:r>
    </w:p>
    <w:p>
      <w:pPr>
        <w:pStyle w:val="Normal"/>
      </w:pPr>
      <w:r>
        <w:t>2 Bovine meat cuts (except high-qual. beef cuts), w/bone in, processed, frozen, descr in add. US note 3 to Ch. 2 Bovine meat cuts, w/bone in, not processed, frozen, descr in add. US note 3 to Ch. 2 Bovine meat cuts, w/bone in, frozen, not descr in gen. note 15 or add. US note 3 to Ch. High-qual. beef cuts, boneless, processed, frozen, descr in gen. note 15 of the HTS Bovine meat cuts (except high-qual. beef cuts), boneless, processed, frozen, descr in gen. note 15 of the HTS Bovine meat cuts, boneless, not processed, frozen, descr in gen. note 15 of the HTS High-qual.</w:t>
      </w:r>
    </w:p>
    <w:p>
      <w:pPr>
        <w:pStyle w:val="Normal"/>
      </w:pPr>
      <w:r>
        <w:t>beef cuts, boneless, processed, frozen, descr in add. US note 3 to Ch. 2 Bovine meat cuts (except high-qual. beef cuts), boneless, processed, frozen, descr in add. US note 3 to Ch. 2 Bovine meat cuts, boneless, not processed, frozen, descr in add. US note 3 to Ch. 2 Bovine meat cuts, boneless, frozen, not descr in gen. note 15 or add. US note 3 to Ch.</w:t>
      </w:r>
    </w:p>
    <w:p>
      <w:pPr>
        <w:pStyle w:val="Normal"/>
      </w:pPr>
      <w:r>
        <w:t>Carcasses and half-carcasses of swine, fresh or chilled Fresh or chilled retail cuts of ham, shoulders and cuts thereof, with bone in Fresh or chilled hams, shoulders and cuts thereof, with bone in, other than processed Meat of swine nesi, retail cuts, fresh or chilled Meat of swine, nesi, non retail cuts, fresh or chilled Carcasses and half-carcasses of swine, frozen Frozen retail cuts of hams, shoulders and cuts thereof, with bone in Frozen hams, shoulders and cuts thereof, with bone in, other than retail cuts Frozen retail cuts of meat of swine, nesi Frozen meat of swine, other than retail cuts, nesi Carcasses and half-carcasses of lamb, fresh or chilled Carcasses and half-carcasses of sheep, other than lamb, fresh or chilled Cuts of lamb meat with bone in, fresh or chilled Cuts of sheep meat with bone in, nesi, fresh or chilled Boneless meat of lamb, fresh or chilled Boneless meat of sheep, nesi, fresh or chilled Carcasses and half-carcasses of lamb, frozen Carcasses and half-carcasses of sheep, other than lamb, frozen Cuts of lamb meat with bone in, frozen Cuts of sheep meat with bone in, nesi, frozen Boneless meat of</w:t>
      </w:r>
    </w:p>
    <w:p>
      <w:pPr>
        <w:pStyle w:val="Normal"/>
      </w:pPr>
      <w:r>
        <w:t>lamb, frozen Boneless meat of sheep, nesi, frozen Meat of goats, fresh, chilled or frozen Meat of horses, asses, mules or hinnies, fresh, chilled or frozen Edible offal of bovine animals, fresh or chilled Tongues of bovine animals, frozen Livers of bovine animals, frozen Edible offal of bovine animals, except tongues or livers, frozen Edible offal of swine, fresh or chilled Livers of swine, frozen Edible offal of swine, except liver, frozen Edible offal of sheep, goats, horses, asses, mules or hinnies, fresh or chilled Edible offal of sheep, goats, horses, asses, mules or hinnies, frozen Chickens, not cut in pieces, fresh or chilled Chickens, not cut in pieces, frozen Cuts and offal of chickens, fresh or chilled Cuts and offal of chickens, frozen Turkeys, not cut in pieces, fresh or chilled Turkeys, not cut in pieces, valued less than 88 cents/kg, frozen Turkeys, not cut in pieces, valued 88 cents or more per kg, frozen Cuts and offal of turkeys, fresh or chilled Cuts and offal of turkeys, frozen</w:t>
      </w:r>
    </w:p>
    <w:p>
      <w:pPr>
        <w:pStyle w:val="Normal"/>
      </w:pPr>
      <w:r>
        <w:t>Ducks, not cut in pieces, fresh or chilled Ducks, not cut in pieces, frozen Fatty livers of ducks, fresh or chilled Cuts and offal, other than fatty livers, of ducks, fresh or chilled Cuts and offal of ducks, frozen Geese, not cut in pieces, fresh or chilled Geese, not cut in pieces, frozen Fatty livers of geese, fresh or chilled Cuts and offal, other than fatty livers, of geese, fresh or chilled Cuts and offal of geese, frozen Guinea fowls, not cut in pieces, fresh or chilled</w:t>
      </w:r>
    </w:p>
    <w:p>
      <w:pPr>
        <w:pStyle w:val="Normal"/>
      </w:pPr>
      <w:r>
        <w:t>Guinea fowls, not cut in pieces, frozen Fatty livers of guinea fowls, fresh or chilled Cuts and offal, other than fatty livers, of guinea fowls, fresh or chilled Cuts and offal of guinea fowls, frozen Meat and edible meat offal of rabbits or hares, fresh, chilled or frozen Meat and edible meat offal of primates, fresh, chilled or frozen Meat and edible meat offal of whales, dolphins, porpoises, manatees, dugongs, seals, seal lions or walruses, fresh, chilled or frozen Meat and edible meat offal of reptiles, fresh, chilled or frozen Meat and edible meat offal of camels and other camelids, fresh, chilled or frozen Meat and edible offal of deer, fresh, chilled or frozen Frog legs, fresh, chilled or frozen Fresh, chilled or frozen quail, eviscerated, not in pieces Other meat and edible meat offal not elsewhere specified or included, fresh, chilled or frozen Pig fat, free of lean meat, fresh, chilled, frozen, salted, in brine, dried or smoked Poultry fat, not rendered or otherwise extracted, fresh, chilled, frozen, salted,</w:t>
      </w:r>
    </w:p>
    <w:p>
      <w:pPr>
        <w:pStyle w:val="Normal"/>
      </w:pPr>
      <w:r>
        <w:t>in brine, dried or smoked Hams, shoulders and cuts thereof with bone in, salted, in brine, dried or smoked Bellies (streaky) and cuts thereof of swine, salted, in brine, dried or smoked Meat of swine other than hams, shoulders, bellies (streaky) and cuts thereof, salted, in brine, dried or smoked Meat of bovine animals, salted, in brine, dried or smoked Meat and edible offal of primates, salted, in brine, dried or smoked;</w:t>
      </w:r>
    </w:p>
    <w:p>
      <w:pPr>
        <w:pStyle w:val="Normal"/>
      </w:pPr>
      <w:r>
        <w:t>edible flours and meals thereof Meat,</w:t>
      </w:r>
    </w:p>
    <w:p>
      <w:pPr>
        <w:pStyle w:val="Normal"/>
      </w:pPr>
      <w:r>
        <w:t>edible offal, &amp; meals of whales,dolphins,porpoises,manatees,dugongs,seals, sea lions, walruses,salted,in brine,dried or smoked Meat and edible offal of reptiles, salted, in brine, dried or smoked; edible flours and meals thereof Meat and edible offal of poultry of heading 0105, in brine, dried or smoked; edible flours and meals thereof Meat and edible offal not elsewhere specified or included, salted, in brine, dried or smoked;</w:t>
      </w:r>
    </w:p>
    <w:p>
      <w:pPr>
        <w:pStyle w:val="Normal"/>
      </w:pPr>
      <w:r>
        <w:t>edible flours and meals thereof Live ornamental freshwater fish Live ornamental fish, other than freshwater Live trout Live eels Live carp Other live Fish, Atlantic &amp; Pacific Bluefin Tunas Other live Fish, Southern Bluefin Tunas Live Tench (Tinca Tinca), sheatfish (Silurus Glanis), bighead carp (Aristichthys Nobilis) and other fish, nesoi Trout, fresh or chilled, excluding fillets, other meat portions, livers and roes Pacific salmon, fresh or chilled, excluding fillets, other meat portions, livers and roes Atlantic and Danube salmon, fresh or chilled, excluding fillets, other meat portions, livers and roes Salmonidae other than trout or Pacific, Atlantic &amp; Danube salmon, fresh or chilled, excluding fillets, other meat portions, livers &amp; roes Halibut and Greenland turbot, fresh or chilled, excluding fillets, other meat portions, livers and roes Plaice, fresh or chilled, excluding fillets, other meat portions, livers and roes Sole, fresh or chilled, excluding fillets, other meat portions, livers and roes Turbots Flat fish, nesi, fresh or chilled,</w:t>
      </w:r>
    </w:p>
    <w:p>
      <w:pPr>
        <w:pStyle w:val="Normal"/>
      </w:pPr>
      <w:r>
        <w:t>excluding fillets, other meat portions, livers and roes Albacore or longfinned tunas, fresh or chilled, excluding fillets, other meat portions, livers and roes Yellowfin tunas, fresh or chilled, excluding fillets, other meat portions, livers and roes Skipjack or stripe-bellied bonito, fresh or chilled, excluding fillets, other meat portions, livers and roes Bigeye tunas (Thunnas obesus), fresh or chilled, excluding fillets, other meat portions, livers and roes Atlantic &amp; Pacific bluefin tunas, fresh or chilled, excluding fillets, other meat portions, livers and roes Southern bluefin tunas (Thunnas maccoyii), fresh or chilled, excluding fillets, other meat portions, livers and roes Tunas not elsewhere specified or included, fresh or chilled, excluding fillets, other meat portions, livers and roes Herrings, fresh or chilled, excluding fillets, other meat portions, livers and roes Anchovies, excl. fillets, livers &amp; roes, fresh or chilled, scaled, in immediate containers weighing with their contents &lt;6.8 kg Sardines, sardinella, brisling or sprats, fresh or chilled, excluding fillets, other meat portions, livers and roes Mackerel, excl. fillets, livers &amp; roes, fresh or chilled Jack &amp; horse mackerel, excl.</w:t>
      </w:r>
    </w:p>
    <w:p>
      <w:pPr>
        <w:pStyle w:val="Normal"/>
      </w:pPr>
      <w:r>
        <w:t>fillets, livers &amp; roes, fresh or chilled, scaled, in immediate containers weighing with their contents &lt;6.8 kg Jack &amp; horse mackerel excl. fillets, livers &amp; roes, fresh or chilled, not scaled, or scaled in immediate containers &gt; 6.8 kg Cobia, excl.</w:t>
      </w:r>
    </w:p>
    <w:p>
      <w:pPr>
        <w:pStyle w:val="Normal"/>
      </w:pPr>
      <w:r>
        <w:t>fillets, livers and roes, fresh or chilled, scaled, in immediate containers weighing with their contents 6.8 kg or less Cobia, excl. fillets, livers &amp; roes, fresh or chilled, not scaled, or scaled in immediate containers over 6.8 kg Swordfish, fresh or chilled, excluding livers and roes Herrings, anchovies, sardines, nesoi Cod, fresh or chilled, excluding fillets, other meat portions, livers and roes Haddock, fresh or chilled, excluding fillets, other meat portions, livers and roes Coalfish, fresh or chilled, excluding fillets, other meat portions, livers and roes Hake, excl. fillets, livers and roes, fresh or chilled, scaled, in immediate containers weighing with their contents 6.8 kg or less Hake,excl. fillets, livers &amp; roes, fresh or chilled, not scaled, or scaled in immediate containers over 6.8 kg Alaska pollack, excl. fillets, livers,roes, fresh or chilled, scaled, in immediate containers weighing with their contents&lt; 6.8 kg Alaska pollack excl. fillets, livers &amp; roes, fresh or chilled, not scaled, or scaled in immediate containers over 6.8 kg Blue whitings, excl.</w:t>
      </w:r>
    </w:p>
    <w:p>
      <w:pPr>
        <w:pStyle w:val="Normal"/>
      </w:pPr>
      <w:r>
        <w:t>fillets, livers &amp; roes, fresh or chilled, scaled, in immediate containers weighing with their contents &lt;6.8 kg Blue whitings, excl. fillets, livers &amp; roes, fresh or chilled, not scaled, or scaled in immediate containers over 6.8 kg Bregmacerotidae et al fish, nesi, excl. fillets, livers and roes, fresh or chilled, scaled, in immediate containers weighing &lt; 6.8 kg Bregmacerotidae fish, etc. excl.</w:t>
      </w:r>
    </w:p>
    <w:p>
      <w:pPr>
        <w:pStyle w:val="Normal"/>
      </w:pPr>
      <w:r>
        <w:t>fillets, livers &amp; roes, fresh or chilled, not scaled, or scaled in immediate containers &gt; 6.8 kg Tilapias, excl. fillets, livers and roes, fresh or chilled, scaled, in immediate containers weighing with their contents &lt;6.8 kg Tilapias, excl. fillets, livers &amp; roes, fresh or chilled, not scaled, or scaled in immediate containers over 6.8 kg Catfish, excl. fillets, livers and roes, fresh or chilled, scaled, in immediate containers weighing with their contents 6.8 kg or less Catfish excl. fillets, livers &amp; roes, fresh or chilled, not scaled, or scaled in immediate containers over 6.8 kg Carp, excl. fillets, livers and roes, fresh or chilled, scaled, in immediate containers weighing with their contents 6.8 kg or less Carp excl. fillets, livers &amp; roes, fresh or chilled, not scaled, or scaled in immediate containers over 6.8 kg Eels, fresh or chilled, excluding fillets, other meat portions, livers and roes Fish beginning 0302.7, nesi, excl. fillets, livers and roes, fresh or chilled, scaled, in immediate containers &lt; 6.8 kg Fish beginning 0302.7, nesi, excl.</w:t>
      </w:r>
    </w:p>
    <w:p>
      <w:pPr>
        <w:pStyle w:val="Normal"/>
      </w:pPr>
      <w:r>
        <w:t>fillets, livers &amp; roes, fresh or chilled,not scaled,or scaled in containers&gt;6.8 kg Dogfish and other sharks, fresh or chilled, excluding fillets, livers, roes and fish meat of 0304 Rays &amp; skates, excl. fillets, livers &amp; roes, fresh or chilled, not scaled, or scaled in immediate containers over 6.8 kg Toothfish excl.</w:t>
      </w:r>
    </w:p>
    <w:p>
      <w:pPr>
        <w:pStyle w:val="Normal"/>
      </w:pPr>
      <w:r>
        <w:t>fillets, livers &amp; roes, fresh or chilled, not scaled, or scaled in immediate containers over 6.8 kg Seabass, excl. fillets, livers and roes, fresh or chilled, scaled, in immediate containers weighing with their contents 6.8 kg or less Seabass, excl. fillets, livers &amp; roes, fresh or chilled, not scaled, or scaled in immediate containers over 6.8 kg Seabream, excl. fillets, livers and roes, fresh or chilled, scaled, in immediate containers weighing with their contents 6.8 kg or less Seabream, excl. fillets, livers &amp; roes, fresh or chilled, not scaled, or scaled in immediate containers over 6.8 kg Fish, nesi, excl. fillets, livers and roes, fresh or chilled, scaled, in immediate containers weighing with their contents 6.8 kg or less Fish, nesi, excl.</w:t>
      </w:r>
    </w:p>
    <w:p>
      <w:pPr>
        <w:pStyle w:val="Normal"/>
      </w:pPr>
      <w:r>
        <w:t>fillets, livers &amp; roes, fresh or chilled, not scaled, or scaled in immediate containers over 6.8 kg Sturgeon Roe, fresh or chilled Mullet and other fish liver and roes, fresh or chilled Shark fins, fresh or chilled, excluding fillet Other fish, fresh or chilled, nesoi Sockeye salmon (red salmon) (Orncorhynchus nerka), frozen, excluding fillets, other meat portions, livers and roes Pacific salmon, other than sockeye, frozen, excluding fillets, other meat portions, livers and roes Atlantic salmon and Danube salmon, frozen, excluding livers and roes Trout, frozen, excluding fillets, other meat portions, livers and roes Salmonidae, other than trout or Atlantic and Danube salmon, nesi, frozen, excluding fillets, other meat portions,</w:t>
      </w:r>
    </w:p>
    <w:p>
      <w:pPr>
        <w:pStyle w:val="Normal"/>
      </w:pPr>
      <w:r>
        <w:t>livers and roes Tilapias, frozen, excluding fillets, other meat portions, livers and roes Catfish, frozen, excluding fillets, other meat portions, livers and roes Carp, frozen excluding fillets, livers and roes Eels, frozen, excluding fillets, other meat portions, livers and roes Other fish in 0303.2 grouping nesi, frozen, excluding fillets, other meat portions, livers and roes Halibut and Greenland turbot, frozen, excluding fillets, other meat portions &amp; livers and roes Plaice, frozen, excluding fillets, other meat portions, livers and roes Sole, frozen, excluding fillets, other meat portions, livers and roes Turbots, frozen, excluding fillets, other meat portions, livers and roes Flat fish, other than halibut, Greenland turbot, plaice and sole, frozen, excluding fillets, other meat portions, livers and roes Albacore or longfinned tunas, frozen, excluding fillets, other meat portions, livers and roes Yellowfin tunas, frozen, excluding fillets, other meat portions, livers and roes Skipjack or stripe-bellied bonito, frozen, excluding fillets, other meat portions, livers and roes Bigeye tunas (Thunnas obesus), frozen, excluding fillets, other meat portions, livers and roes Atlantic and</w:t>
      </w:r>
    </w:p>
    <w:p>
      <w:pPr>
        <w:pStyle w:val="Normal"/>
      </w:pPr>
      <w:r>
        <w:t>Pacific bluefin tunas, frozen, excluding fillets, other meat portions, livers and roes Southern bluefin tunas (Thunnas maccoyii), frozen, excluding fillets, other meat portions, livers and roes Tunas, not elsewhere specified or included, frozen, excluding fillets, other meat portions, livers and</w:t>
      </w:r>
    </w:p>
    <w:p>
      <w:pPr>
        <w:pStyle w:val="Normal"/>
      </w:pPr>
      <w:r>
        <w:t>roes Herrings, frozen, excluding fillets, other meat portions, livers and roes Sardines, sardinella, brisling or sprats, frozen, excluding fillets, other meat portions, livers and roes Mackerel, frozen, excluding fillets, livers and roes Jack &amp; horse mackerel, frozen, excluding fillets, other meat portions, livers and roes Cobia, frozen, excluding fillets, other meat portions, livers and roes Swordfish steaks,other swordfish, excluding fillets, other meat portions, livers and roes Other fish, frozen, excluding fillets, livers, roes and herrings Cod, frozen, excluding fillets, other meat portions, livers and roes Haddock, frozen, excluding fillets, other meat portions, livers and roes Coalfish, frozen, excluding fillets, other meat portions, livers and roes Hake, frozen, excluding fillets, other meat portions, livers and roes Alaska pollack, frozen, excluding fillets, other meat portions, livers and roes Blue whitings, frozen, excluding fillets, other meat portions, livers and roes Other fish in Bregmacerotidae et al,etc.</w:t>
      </w:r>
    </w:p>
    <w:p>
      <w:pPr>
        <w:pStyle w:val="Normal"/>
      </w:pPr>
      <w:r>
        <w:t>frozen, excluding fillets, other meat portions, livers and roes Dogfish and other sharks, frozen, excluding fillets, livers, roes and fish meat of 0304 Rays &amp; skates, frozen, excluding fillets, other meat portions, livers and roes Toothfish excluding fillets, other meat portions, livers and roes Sea bass, frozen, excluding fillets, other meat portions, livers and roes Smelts, cusk, pollock, shad, sturgeon, atkafish, fresh-water fish,etc.</w:t>
      </w:r>
    </w:p>
    <w:p>
      <w:pPr>
        <w:pStyle w:val="Normal"/>
      </w:pPr>
      <w:r>
        <w:t>frozen, excluding fillets, other meat portions, livers and roes Sturgeon roe, frozen Herring, salmon, alaskan pollock, mullet, other fist liver and roes, frozen Shark fins excluding fillets, frozen Other fish, frozen, nesoi Tilapias, fillets, fresh or chilled Catfish, fillets, fresh or chilled Nile perch, fillets, fresh or chilled Eels or snakeheads, fillets, fresh or chilled Salmon fillets, fresh or chilled Trout, fillets, fresh or chilled “Flat fish”, sole, plaice, etc.</w:t>
      </w:r>
    </w:p>
    <w:p>
      <w:pPr>
        <w:pStyle w:val="Normal"/>
      </w:pPr>
      <w:r>
        <w:t>fillets, fresh or chilled Bregamacerotidae &amp; like fish, fillets, fresh or chilled Fresh or chilled swordfish fillets Fresh or chilled toothfish fillets Dogfish and other shark fillets, frozen or chilled Ray and skate fillets, fresh or chilled Pike, pickerel, whitefish, tilapia, perch, cusk, other fish fillets, fresh or chilled Tilapias, catfish, carp, eels, nile perch, snakeheads, other than fillets, fresh or chilled Salmonidae, other than fillets, fresh or chilled Bregmacerotidae and other fish, nesi, other than fillets, fresh or chilled Fresh or chilled swordfish other than fillets Fresh or chilled toothfish other than fillets Dogfish and other sharks, fresh or chilled Rays and skates, fresh or chilled Other fish, nesi, other than fillets, fresh or chilled Frozen tilapia fillets Frozen catfish fillets Frozen Nile perch fillets Frozen eel &amp; snakehead fillets Frozen cod fillets, skinned, in blocks weighing over 4.5 kg, to be minced, ground or cut into pieces of uniform weight and dimension Fillets,</w:t>
      </w:r>
    </w:p>
    <w:p>
      <w:pPr>
        <w:pStyle w:val="Normal"/>
      </w:pPr>
      <w:r>
        <w:t>frozen, of cod, other than above Frozen haddock fillets, skinned, in blocks weighing over 4.5 kg, to be minced, ground or cut into pieces of uniform weight and dimension Fillets, frozen, of haddock, other than above Frozen coalfish fillets, skinned, in blocks weighing over 4.5 kg, to be minced, ground or cut into pieces of uniform weight and dimension Other coalfish fillets Frozen hake fillets, skinned, in blocks weighing over 4.5 kg, to be minced, ground or cut into pieces of uniform weight and dimension Fillets, frozen, of hake Frozen Alaska pollack fillets, skinned, in blocks weighing over 4.5 kg, to be minced, ground or cut Fillets, frozen, of Alaska pollock, other than above Frozen Bregmacerotidae et al fish fillets,nesi, skinned, in blocks weighing over 4.5 kg, to be minced, ground or cut into pieces Frozen fillets of other fresh-water fish, flat fish, etc., nesi, other than above Frozen salmon fillets, skinned, in blocks weighing over 4.5 kg, to be minced, ground or cut into pieces of uniform weight Other</w:t>
      </w:r>
    </w:p>
    <w:p>
      <w:pPr>
        <w:pStyle w:val="Normal"/>
      </w:pPr>
      <w:r>
        <w:t>frozen salmon fillets Frozen trout fillets, skinned, in blocks weighing over 4.5 kg, to be minced, ground or cut into pieces of uniform weight and dimension Frozen trout fillets, other than above Frozen “flat fish” fillets, skinned, in blocks weighing over 4.5 kg, to be minced, ground or cut into pieces of uniform weight and dimension Frozen “other flat fish” fillets, other than above Frozen swordfish fillets Frozen toothfish fillets Frozen herring fillets Frozen</w:t>
      </w:r>
    </w:p>
    <w:p>
      <w:pPr>
        <w:pStyle w:val="Normal"/>
      </w:pPr>
      <w:r>
        <w:t>tuna fillets Dogfish, other shark, ray and skate fillets, frozen Other frozen fish fillets, skinned, in blocks weighing over 4.5 kg, to be minced, ground or cut into pieces of uniform weight and dimension Other frozen fish fillets, other than above Chilled or Frozen Swordfish fillets, in bulk or in immediate containers weighing with their contents over 6.8 kg each Chilled or Frozen Swordfish Fillets,nesi Chilled or Frozen Toothfish fillets, in bulk or in immediate containers weighing with their contents over 6.8 kg each Chilled or Frozen Toothfish Fillets,nesi Chilled or Frozen tilapia &amp; like fillets,nesi, in bulk or in immediate containers weighing &gt; 6.8 kg each Tilapias, catfish, carp, eels, nile perch &amp; snakehead chilled or frozen fillets,nesi Alaska pollack chilled or frozen fillets,in bulk or in immediate containers weighing with their contents over 6.8 kg each Alaska pollack, chilled or frozen fillets,nesi Chilled or Frozen fillets,Bregmacerotidae &amp; like, nesi, in bulk or in immediate containers &gt; 6.8 kg each Bregamacerotidae other fish, other than Alaska pollack, nesi,</w:t>
      </w:r>
    </w:p>
    <w:p>
      <w:pPr>
        <w:pStyle w:val="Normal"/>
      </w:pPr>
      <w:r>
        <w:t>chilled or frozen fillets,nesi Dogfish and other sharks, frozen, nesoi Ray and skates, frozen, nesoi Chilled or Frozen fillets,nesi, in bulk or in immediate containers weighing with their contents over 6.8 kg each Chilled or Frozen fillets,nesi Flours, meals and pellets of fish, fit for human consumption, in bulk or in immediate containers weighing with contents over 6.8 kg each Flours, meals and</w:t>
      </w:r>
    </w:p>
    <w:p>
      <w:pPr>
        <w:pStyle w:val="Normal"/>
      </w:pPr>
      <w:r>
        <w:t>pellets of fish, fit for human consumption, other than in bulk or immediate containers weighing contents over 6.8 kg each Sturgeon roe, dried, smoked, salted or in brine Fish livers and roes, other than sturgeon roe, dried, smoked, salted or in brine Tilapia, catfish, carp, eel, nile perch, snakehead fillets, dried or salted in brine, but not smoked “Flat fish” fillets, nesi, dried, salted or in brine, but not smoked Fillets of herrings, dried, salted or in brine, but not smoked, in immediate containers weighing with their contents 6.8 kg or less each Fillets of mackerel, dried, salted or in brine, but not smoked, in immediate containers weighing with their contents 6.8 kg or less each Herring and other fist fillets, dried, salted or in brine, but not smoked Smoked Pacific, Atlantic and Danube salmon, including fillets Smoked herrings, including fillets Smoked trout, including fillets Tilapia, catfish, carp, eel, nile perch, snakehead including fillets, smoked Smoked mackerel, including fillets Smoked fish, including fillets, nesoi Dried cod, whether or not salted</w:t>
      </w:r>
    </w:p>
    <w:p>
      <w:pPr>
        <w:pStyle w:val="Normal"/>
      </w:pPr>
      <w:r>
        <w:t>but not smoked Tilapia, catfish, carp, eel, nile perch, snakehead, not smoked, dried, whether or not salted Fish of families Bregmacerotidae, Euclichthyidae, Gadidae, Macrouridae,Melanonidae, Merlucciidae, Moridae and Muraenolepididae, dried but not smoked Herrings, anchovies, sardines, sardinella, brisling or sprat, mackerel, Indian mackeral, seerfish, dried, whether or not salted, but not smoked Dried fish, other</w:t>
      </w:r>
    </w:p>
    <w:p>
      <w:pPr>
        <w:pStyle w:val="Normal"/>
      </w:pPr>
      <w:r>
        <w:t>than cod or shark fins, whether or not salted but not smoked Herrings, in brine or salted but not dried or smoked, in immediate containers weighing with their contents 6.8 kg or less each Herrings, in brine or salted but not dried or smoked, other than in immediate containers weighing with their contents 6.8 kg or less each Cod, in brine or salted but not dried or smoked Anchovies, in brine or salted but not dried or smoked, in immediate airtight containers weighing with their contents 6.8 kg or less each Anchovies, in brine or salted but not dried or smoked, in immediate containers, nesi, weighing with their contents 6.8 kg or less each Anchovies, in brine or salted but not dried or smoked, other than in immediate containers weighing with their contents 6.8 kg or less each Tilapias, catfish, carp, eel, Nile perch, or snakehead, in brine or salted but not dried or smoked, in immediate containers &lt;6.8 kg Tilapias, catfish, carp, eel, Nile perch, or snakehead, in brine</w:t>
      </w:r>
    </w:p>
    <w:p>
      <w:pPr>
        <w:pStyle w:val="Normal"/>
      </w:pPr>
      <w:r>
        <w:t>or salted but not dried or smoked, other than in containers &lt;6.8 kg Cusk, haddock, hake, and pollock, in brine or salted but not dried or smoked Mackerel, in brine or salted but not dried or smoked, in immediate containers weighing with their contents 6.8 kg or less each Mackerel, in brine or salted but not dried or smoked, other than in immediate containers weighing with their contents 6.8 kg or less each Salmon, in brine or salted but not dried or smoked Fish, nesi, in brine or salted but not dried or smoked,</w:t>
      </w:r>
    </w:p>
    <w:p>
      <w:pPr>
        <w:pStyle w:val="Normal"/>
      </w:pPr>
      <w:r>
        <w:t>in immediate containers weighing with their contents 6.8 kg or less each Fish, nesi, in brine or salted but not dried or smoked, other than in immediate containers weighing with their contents 6.8 kg or less each Dried shark fins, whether or not salted but not smoked Fish heads, tails, and maws, whether or not salted but not smoked Edible fish offal, other fish heads tails and maws or shark fins, whether or not salted but not smoked Rock lobster and other sea crawfish, cooked in shell or uncooked, dried, salted or in brine, frozen Lobsters excluding rock lobster, cooked in shell or uncooked, dried, salted or in brine, frozen Crabmeat, frozen Crabs, cooked in shell or uncooked (whether in shell or not), dried, salted or in brine, frozen Norway lobsters, cooked in shell or uncooked, dried, salted or in brine, frozen Cold-water shrimps and prawns, cooked in shell or uncooked, dried, salted or in brine, frozen Other shrimps and prawns, cooked in shell or uncooked, dried, salted or in</w:t>
      </w:r>
    </w:p>
    <w:p>
      <w:pPr>
        <w:pStyle w:val="Normal"/>
      </w:pPr>
      <w:r>
        <w:t>brine, frozen Crustateans, nesi (including flours, meals and pellets of crustaceans fit for human consumption), cooked in shell or uncooked, etc., frozen Live rock lobster and other sea crawfish, frozen or chilled Live lobsters (Homarus spp.), frozen or chilled, except rock lobster Crabmeat, fresh or chilled Live crabs, fresh or chilled, other than crabmeat Live Norway lobsters, frozen or chilled Cold water shrimps and prawns, shell-on or peeled, live, frozen, or chilled Shrimps and prawns, other</w:t>
      </w:r>
    </w:p>
    <w:p>
      <w:pPr>
        <w:pStyle w:val="Normal"/>
      </w:pPr>
      <w:r>
        <w:t>than cold water shrimp, shell-on or peeled, live, frozen or chilled Flours, meals and pellets of crustaceans, fress or chilled, fit for human consumption, or other crustaceans, live, fresh or chilled Rock lobster and other sea crawfish nesoi Lobsters (Homarus SPP.), except rock lobster nesoi Crabmeat, nesoi Crabs, other than crabmeat, nesoi Norway lobsters (Nephrops Norvegicus), nesoi Other shrimps and prawns, shell-on or peeled Flours, meals and pellets of crustaceans, fit for human consumption or crustraceans nesoi Oysters, whether in shell or not, live, fresh, or chilled Oysters, frozen Oysters, fresh or chilled Scallops, including queen scallops, whether in shell or not, live, fresh or chilled Scallops, including queen scallops, of the genera Pecten, Chlamys or Placopecten, frozen Scallops, including queen scallops, of the genera Pecten, Chlamys or Placopecten, dried, salted or in brine Mussels, whether in shell or not, live, fresh or chilled Mussels (Mytilus Spp., Perna Spp.), frozen Mussels (Mytilus Spp., Perna Spp.), dried, salted or in brine Squid or cuttle fish, live, fresh or chilled Squid or</w:t>
      </w:r>
    </w:p>
    <w:p>
      <w:pPr>
        <w:pStyle w:val="Normal"/>
      </w:pPr>
      <w:r>
        <w:t>cuttle fish, frozen Squid or cuttle fish, dried, salted or in brine Octopus, live, fresh or chilled Octopus, frozen Octopus, dried, salted or in brine Snails, other than sea snails, whether in shell or not, live, fresh, chilled, frozen, dried, salted or in brine Clams, cockles and ark shells, whether in shell or not, live, fresh or chilled Clams, cockles and ark shells, frozen</w:t>
      </w:r>
    </w:p>
    <w:p>
      <w:pPr>
        <w:pStyle w:val="Normal"/>
      </w:pPr>
      <w:r>
        <w:t>Clams, cockles and ark shells, dried salted or in brine Abalone, whether in shell or not, live, fresh or chilled Live stromboid conch, fresh or chilled Abalone, including flours, meals and pellets fit for human consumption, frozen Stromboid conchs (Strombus Spp.), frozen Abalone, including edible flours, meals and pellets, nesoi Stromboid conchs, nesoi Conch and other molluscs nesoi, including flours, meals and pellets, fit for human consumption, live, fresh o chilled Conch and other molluscs nesoi, including flours, meals and pellets, fit for human consumption, frozen Molluscs, including flours, meals and pellets fit for human consumption, nesoi Sea cucumbers, live, fresh or chilled Frozen sea cucumbers Sea cucumbers, not frozen Sea urchins, live, fresh or chilled Frozen sea urchins Sea urchins, not frozen Jellly fish, live, fresh, chilled, frozen, dried, salted smoked, or in brine Other aquatic invertebrates, oth than molluscs &amp; crustaceans, nesi, live, fresh or chilled, dried, salted, smoked or in brine Milk and cream, unconcentrated, with no added sweeteners, fat content, by weight, not more than 1</w:t>
      </w:r>
    </w:p>
    <w:p>
      <w:pPr>
        <w:pStyle w:val="Normal"/>
      </w:pPr>
      <w:r>
        <w:t>percent Milk and cream, unconcentrated, unsweetened, fat content over 1% but n/o 6%, for not over 11,356,236 liters entered in any calendar year Milk and cream, unconcentrated, unsweetened, fat content over 1% but not over 6%, for over 11,356,236 liters entered in any calendar year Milk and cream, not concentrated, not sweetened, fat content o/6% but not o/10%, subject to gen.</w:t>
      </w:r>
    </w:p>
    <w:p>
      <w:pPr>
        <w:pStyle w:val="Normal"/>
      </w:pPr>
      <w:r>
        <w:t>note 15 of the HTS Milk and cream, not concentrated, not sweetened, fat content o/6% but not o/10%, subject to add. US note 5 to Ch. 4 Milk and cream, not concentrated, not sweetened, fat content o/6% but not o/10%, not subject to gen. nte 15 or add. nte 5 to Ch. 4 * Milk and cream, not concentrated, not sweetened, fat content o/10% but not o/45%, subject to gen. note 15 of the HTS Milk and cream, not concentrated, not sweetened, fat content o/10% but not o/45%, subject to add. US note 5 to Ch. 4 Milk and cream, not concentrated, not sweetened, fat content o/10% but not o/45%, not subject to gen. nte 15 or add. nte 5 to Ch. 4 * Milk and cream, not concentrated, not sweetened, fat content o/45%, subject to gen. note 15 of the HTS Milk and cream, not concentrated, not sweetened, fat content o/45%, subject to add. US note 6 to Ch. 4 Milk and cream, not concentrated, not sweetened, fat content o/45%, not subject to gen. nte 15 or add. nte 6 to Ch.</w:t>
      </w:r>
    </w:p>
    <w:p>
      <w:pPr>
        <w:pStyle w:val="Normal"/>
      </w:pPr>
      <w:r>
        <w:t>4 * Milk &amp; cream, concen or sweetened, in powder, granules or other solid forms, w/fat content by weight not o/1.5%, subj to GN15 Milk &amp; cream in powder granules/other solid forms fat content by weight not exceeding 1.5% whether/not sweetened, described in addl note 7 Milk &amp; cream in powder granules/other solid forms fat content by weight not exceeding 1.5% whether/not sweetened, nesi * Milk &amp; cream, concen, not sweetened, in powder, granules or other solid forms, w/fat content o/1.5% but not o/3%, subj to GN15 Milk &amp; cream, concen, not sweetened, in powder, granules or other solid forms, w/fat content o/1.5% but not o/3%, subj Ch4 US note 7 Milk &amp; cream, concen, not sweetened, in powder, granules or other solid forms, w/fat content o/1.5% but not o/3%, not subj GN15/Ch4 US note7 * Milk &amp; cream, concen, not sweetened, in powder, granules or other solid forms, w/fat content o/3% but not o/35%, subject to gen.</w:t>
      </w:r>
    </w:p>
    <w:p>
      <w:pPr>
        <w:pStyle w:val="Normal"/>
      </w:pPr>
      <w:r>
        <w:t>note 15 Milk &amp; cream, concen, not sweetened, in powder/granules/oth solid forms, fat cont o/3% but not o/35%, subj to Ch 4 US note 7 Milk &amp; cream, concen, not sweetened, in powder/granules/oth solid forms, fat cont o/3% but not o/35%, not subj to GN15 or Ch 4 US.S. note 7 * Milk &amp; cream, concen, not sweetened, in powder, granules or other solid forms, w/fat content o/35%, subject to gen. note 15 Milk &amp; cream, concen, not sweetened, in powder, granules or other solid forms, w/fat content o/35%, subject to add.</w:t>
      </w:r>
    </w:p>
    <w:p>
      <w:pPr>
        <w:pStyle w:val="Normal"/>
      </w:pPr>
      <w:r>
        <w:t>US note 9 to Ch.4 Milk &amp; cream, concen, not sweetened, in powder, granules or other solid forms, w/fat content o/35%, not subj to GN15 or Ch4 US note 9 * Milk &amp; cream, concen, sweetened, in powder, granules or other solid forms, w/fat content o/1.5%, subject to gen. note 15 Milk &amp; cream, concen, sweetened, in powder, granules or other solid forms, w/fat content o/1.5%, subject to add. US note 10 to Ch.4 Milk &amp; cream, concen, sweetened, in powder, granules or other solid forms, w/fat content o/1.5%, not subj to GN15 or Ch4 US note 10 * Milk &amp; cream, concen, in non-solid forms, not sweetened, in airtight containers, subject to gen. note 15 of the HTS Milk &amp; cream, concen in non-solid forms, not sweetened, not in airtight containers, subject to gen. note 15 of the HTS Milk &amp; cream, concen in non-solid forms, not sweetened, in airtight containers, subject to add. US note 11 to Ch.4 Milk &amp; cream, concen in non-solid forms, not sweetened, not in airtight containers, subject to add.</w:t>
      </w:r>
    </w:p>
    <w:p>
      <w:pPr>
        <w:pStyle w:val="Normal"/>
      </w:pPr>
      <w:r>
        <w:t>US note 11 to Ch. 4 Milk &amp; cream, concen in non-solid forms, not sweetened, in airtight containers, not subject to gen. note 15 or add. US note 11 to Ch.4 * Milk and cream, concentrated, in other than powder, granules or other solid forms, unsweetened, other than in airtight containers * Condensed milk, sweetened, in airtight containers, subject to gen. note 15 of the HTS Condensed milk, sweetened, not in airtight containers, subject to gen.</w:t>
      </w:r>
    </w:p>
    <w:p>
      <w:pPr>
        <w:pStyle w:val="Normal"/>
      </w:pPr>
      <w:r>
        <w:t>note 15 of the HTS Condensed milk, sweetened, in airtight containers, subject to add. US note 11 to Ch.4 Condensed milk, sweetened, not in airtight containers, subject to add. US note 11 to Ch. 4 Condensed milk, sweetened, in airtight containers, not subject to gen. note 15 or add. US note 11 to Ch.4 * Condensed milk, sweetened, not in airtight containers, not subject to gen. note 15 or add. US note 11 to Ch.4 * Milk &amp; cream (except condensed milk), concentrated in non-solid forms, sweetened, subject to gen. note 15 of the HTS Milk &amp; cream (except condensed milk), concentrated in non-solid forms, sweetened, subject to add. US note 10 to Ch. 4 Milk &amp; cream (except condensed milk), concentrated in non-solid forms, sweetened, not desc. gen. note 15 or add. US note 10 to Ch. 4 * Yogurt, in dry form, whether or not flavored or containing add fruit or cocoa, subject to gen. note 15 of the HTS Yogurt, in dry form, whether or not flavored or containing add fruit or cocoa, subject to add.</w:t>
      </w:r>
    </w:p>
    <w:p>
      <w:pPr>
        <w:pStyle w:val="Normal"/>
      </w:pPr>
      <w:r>
        <w:t>US note 10 to Ch. 4 Yogurt, in dry form, whether or not flavored or containing add fruit or cocoa, not subject to gen nte 15 or add. US nte 10 to Ch.4 * Yogurt, not in dry form, whether or not flavored or containing add fruit or cocoa Sour cream, fluid, n/o 45% by wt. butterfat, subject to gen. note 15 of the HTS Sour cream, fluid, n/o 45% by wt. butterfat, subject to add. US note 5 to Ch.4 Sour cream, fluid, n/o 45% by wt.</w:t>
      </w:r>
    </w:p>
    <w:p>
      <w:pPr>
        <w:pStyle w:val="Normal"/>
      </w:pPr>
      <w:r>
        <w:t>butterfat, not subject to gen nte 15 or add US note 5 to Ch.4 * Fluid buttermilk Sour cream, dried, n/o 6% by wt. butterfat, subject to gen. note 15 of the HTS Sour cream, dried, n/o 6% by wt. butterfat, subject to add. US note 12 to Ch. 4 Sour cream, dried, n/o 6% by wt. butterfat, not subject to gen nte 15 or add. US note 12 to Ch. 4 * Sour cream, dried, o/6% but n/o 35% by wt. butterfat, subject to gen. note 15 of the HTS Sour cream, dried, o/6% but n/o 35% by wt. butterfat, subject to add. US note 8 to Ch. Sour cream, dried, o/6% but n/o 35% by wt. butterfat, not subject to gen nte 15 or add. US note 8 to Ch. 4 * Sour cream, dried, o/35% but n/o 45% by wt. butterfat, subject to gen. note 15 of the HTS Sour cream, dried, o/35% but n/o 45% by wt. butterfat, subject to add. US note 9 to Ch.</w:t>
      </w:r>
    </w:p>
    <w:p>
      <w:pPr>
        <w:pStyle w:val="Normal"/>
      </w:pPr>
      <w:r>
        <w:t>4 Sour cream, dried, o/35% but n/o 45% by wt. butterfat, not subject to gen nte 15 or add. US note 9 to Ch. 4 * Sour cream, o/45% by wt. butterfat, subject to gen. note 15 of the HTS Sour cream, o/45% by wt. butterfat, subject to add. US note 6 to Ch. 4 Sour cream, o/45% by wt. butterfat, not subject to gen nte 15 or add. US note 6 to Ch. * Fermented milk o/than dried fermented milk or o/than dried milk with added lactic ferments Curdled milk/cream/kephir &amp; other fermentd or acid. milk/cream descr.in gen. note 15 Curdled milk/cream/kephir &amp; other fermentd or acid. milk/cream subject to add US note 10 to Ch.4 Curdled milk/cream/kephir &amp; other fermentd or acid.</w:t>
      </w:r>
    </w:p>
    <w:p>
      <w:pPr>
        <w:pStyle w:val="Normal"/>
      </w:pPr>
      <w:r>
        <w:t>milk/cream subj to GN 15 or Ch4 US note 10 * Whey protein concentrates Modified whey (except protein conc.), subject to gen. note 15 of the HTS Modified whey (except protein conc.), wheth/not conc. or sweetened, subject to add US note 10 to Ch.4 Modified whey (except protein conc.), wheth/not conc. or sweetened, not subject to gen. note 15 or * Fluid whey, whether or not concentrated or containing added sweeteners Whey (except modified whey), dried, whether or not conc. or sweetened, subject to gen. note 15 of the HTS Whey (except modified whey), dried, whether or not conc. or sweetened, subject to add. US note 12 to Ch. 4 Whey (except modified whey), dried, whether or not conc. or sweetened, not subject to gen. note 15 or add US nte 12 to Ch.4 * Milk protein concentrates Dairy products of nat. milk constituents (except protein conc.), descr. in add. US nte 1 to Ch. 4 and subj to GN 15 Dairy products of nat. milk constituents (except protein conc.), descr. in add. US nte 1 to Ch.</w:t>
      </w:r>
    </w:p>
    <w:p>
      <w:pPr>
        <w:pStyle w:val="Normal"/>
      </w:pPr>
      <w:r>
        <w:t>4 and sub to Ch4 US note 10 Dairy products of nat. milk constituents (except protein conc.), descr. in add. US nte 1 to Ch. 4 &amp; not subj to GN15 or Ch4 US note 10 * Products consisting of natural milk constituents (except protein conc.), whether or not sweetened, not descr. in add US note 1 to Ch.</w:t>
      </w:r>
    </w:p>
    <w:p>
      <w:pPr>
        <w:pStyle w:val="Normal"/>
      </w:pPr>
      <w:r>
        <w:t>4 Butter subject to general note 15 (outside quota) Butter subject to quota pursuant to chapter 4 additional US note 6 Butter not subject to general note 15 and in excess of quota in chapter 4 additional U.S. note 6 * Butter substitute dairy spreads, over 45% butterfat weight, subject to general note 15 (outside quota) Butter substitute dairy spreads, over 45% butterfat weight, subject to quota pursuant to chapter 4 additional US note 14 Butter substitute dairy spreads, over 45% butterfat weight, not subj to gen note 15 and in excess of quota in ch. 4 additional US note 14 * Butter substitute dairy spreads, containing 45% or less butterfat by weight Other dairy spreads of a type provided in chapter 4 additional US note 1, subject to general note 15 (outside quota) Other dairy spreads of a type provided in ch. 4 add. US note 1, subject to quota pursuant to chapter 4 additional US note 10 Other dairy spreads of a type provided in ch. 4 add. US note 1, not subject to gen note 15 and in excess of quota in ch. 4 add.</w:t>
      </w:r>
    </w:p>
    <w:p>
      <w:pPr>
        <w:pStyle w:val="Normal"/>
      </w:pPr>
      <w:r>
        <w:t>US note 10 * Other dairy spreads, not butter substitutes or of a type provided for in chapter 4 additional US note 1 Fats and oils derived from milk, other than butter or dairy spreads, subject to general note 15 (outside quota) Fats and oils derived from milk, other than butter or dairy spreads, subject to quota pursuant to chapter 4 additional US note 14 Fats and oils derived from milk, other than butter or dairy spreads, not subject to gen note 15 and excess of quota in ch 4 add US note 14 * Chongos, unripened or uncured cheese, including whey cheese and curd, subject to gen. note 15 of the HTS Chongos, unripened or uncured cheese, including whey cheese and curd, subject to add. US note 16 to Ch. 4 Chongos, unripened or uncured cheese, including whey cheese and curd, not subject to gen note 15 or add. US note 16 to Ch. 4 * Fresh (unripened/uncured) cheese (ex chongos), incl whey cheese and curd, subj to gen.</w:t>
      </w:r>
    </w:p>
    <w:p>
      <w:pPr>
        <w:pStyle w:val="Normal"/>
      </w:pPr>
      <w:r>
        <w:t>note 15 of the HTS, not GN15 Fresh (unripened/uncured) blue-mold cheese, cheese/subs for cheese cont or procd fr blue-mold cheese, subj to Ch4 US note 17, not GN15 Fresh (unripened/uncured) blue-mold cheese, cheese/subs for cheese cont or proc fr blue-mold cheese, not subj to Ch4 US note 17 or GN15 * Fresh (unripened/uncured) cheddar cheese, cheese/subs for cheese cont or proc from cheddar cheese, subj to Ch 4 US note 18, not GN15 Fresh (unripened/uncured) cheddar cheese, cheese/subs for cheese cont or proc from cheddar cheese, not subj to Ch4 US note 18, not GN15 * Fresh (unripened/uncured) american-type cheese, cheese cont or proc. fr american type, subj to add. US note 19 to Ch.4, not GN15 Fresh (unripened/uncured) american-type cheese, cheese cont or proc. fr american type, not subj to add.</w:t>
      </w:r>
    </w:p>
    <w:p>
      <w:pPr>
        <w:pStyle w:val="Normal"/>
      </w:pPr>
      <w:r>
        <w:t>US note 19 to Ch.4, not GN15 * Fresh (unripened/uncured) edam and gouda cheeses, cheese/subs for cheese cont or processed therefrom, subj to Ch4 US note 20, not GN15 Fresh (unripened/uncured) edam and gouda cheeses, cheese/subs for cheese cont or processed therefrom, not sub to Ch4 US note 20, not GN15 * Fresh (unripened/uncured) Italian-type cheeses from cow milk, cheese/substitutes cont or proc therefrom, subj to Ch4 US nte 21, not GN15 Fresh (unrip./uncured) Italian-type cheeses from cow milk, cheese/substitutes cont or proc therefrom, not subj to Ch4 US note 21 or GN15 * Fresh (unrip./uncured) Swiss/emmentaler cheeses w/o eyes, gruyere-process and cheese cont/proc.</w:t>
      </w:r>
    </w:p>
    <w:p>
      <w:pPr>
        <w:pStyle w:val="Normal"/>
      </w:pPr>
      <w:r>
        <w:t>from, subj to Ch4 US note 22, not GN15 Fresh (unripened/uncured) Swiss/emmentaler cheeses exc eye formation, gruyere process cheese and cheese cont or proc. from such, not subj . * Fresh cheese, and substitutes for cheese,neosi, w/0.5% or less by wt. of butterfat, descr in add US note 23 to Ch 4, not GN15 Fresh cheese, and substitutes for cheese,neosi, w/0.5% or less by wt. of butterfat, not descr in add US note 23 to Ch 4, not GN15 * Fresh cheese, and substitutes for cheese, cont. cows milk, neosi, o/0.5% by wt. of butterfat, descr in add US note 16 to Ch 4, not GN15 Fresh cheese, and substitutes for cheese, cont. cows milk, neosi, o/0.5% by wt. of butterfat, not descr in add US note 16 to Ch 4, not GN 15 * Fresh cheese, and substitutes for cheese, not cont. cows milk, neosi, o/0.5% by wt. of butterfat Roquefort cheese, grated or powdered Stilton cheese, grated or powdered, subject to add. US note 24 to Ch.</w:t>
      </w:r>
    </w:p>
    <w:p>
      <w:pPr>
        <w:pStyle w:val="Normal"/>
      </w:pPr>
      <w:r>
        <w:t>4 Blue-veined cheese (except Roquefort or Stilton), grated or powdered, subject to gen. note 15 of the HTS Blue-veined cheese (except Roquefort or Stilton), grated or powdered, subject to add. US note 17 to Ch.4 Blue-veined cheese (except Roquefort or Stilton), grated or powdered, not subject to gen nte 15 or add. US note 17 to Ch.4 * Cheddar cheese, grated or powdered, subject to gen. note 15 of the HTS Cheddar cheese, grated or powdered, subject to add. US note 18 to Ch. 4 Cheddar cheese, grated or powdered, not subject to gen. note 15 or add. US note 18 to Ch.</w:t>
      </w:r>
    </w:p>
    <w:p>
      <w:pPr>
        <w:pStyle w:val="Normal"/>
      </w:pPr>
      <w:r>
        <w:t>4 * Colby cheese, grated or powdered, subject to gen. note 15 of the HTS Colby cheese, grated or powdered, subject to add. US note 19 to Ch. 4 Colby cheese, grated or powdered, not describ. in gen. note 15 or add. US note 19 to Ch. 4 * Edam and gouda cheese, grated or powdered, subject to gen. note 15 of the HTS Edam and gouda cheese, grated or powdered, subject to add. US note 20 to Ch. 4 Edam and gouda cheese, grated or powdered, not subject to gen note 15 or add. US nte 20 to Ch.</w:t>
      </w:r>
    </w:p>
    <w:p>
      <w:pPr>
        <w:pStyle w:val="Normal"/>
      </w:pPr>
      <w:r>
        <w:t>4 * Romano (cows milk), reggiano, provolone, provoletti, sbrinz and goya, grated or powdered, subject to gen. note 15 to HTS Romano, reggiano, provolone, provoletti, sbrinz and goya, made from cow’s milk, grated or powdered, subject to add US note 21 to Ch.4 Romano, reggiano, provolone, provoletti, sbrinz and goya, made from cow’s milk, grated or powdered, not subj to Ch4 US nte 21 or GN15 * Reggiano, provolone, provoletti, sbrinz and goya cheeses, not made from cow’s milk, grated or powdered Cheeses made from sheep’s milk, including mixtures of such cheeses, grated or powdered Cheese (including mixtures) nesoi, grated or powdered, subject to gen.</w:t>
      </w:r>
    </w:p>
    <w:p>
      <w:pPr>
        <w:pStyle w:val="Normal"/>
      </w:pPr>
      <w:r>
        <w:t>note 15 of the HTS Cheese containing or processed from bryndza, gjetost, gammelost, nokkelost or roquefort cheeses, grated or powdered Cheese containing or processed from blue-veined cheese (except roquefort), grated/powdered, subject to add US note 17 to Ch.4 Cheese containing or processed from blue-veined cheese (except roquefort), grated/powdered, not subject to add US note 17 to Ch.4 * Cheese containing or processed from cheddar cheese, grated or powdered, subject to add US note 18 to Ch. 4 Cheese containing or processed from cheddar cheese, grated or powdered, not subject to add US note 18 to Ch. 4 * Cheese containing or processed from american-type cheese (except cheddar), grated or powdered, subject to add US note 19 to Ch. 4 Cheese containing or processed from american-type cheese (except cheddar), grated or powdered, not subject to add US note 19 to Ch.</w:t>
      </w:r>
    </w:p>
    <w:p>
      <w:pPr>
        <w:pStyle w:val="Normal"/>
      </w:pPr>
      <w:r>
        <w:t>4 * Cheese containing or processed from edam or gouda cheeses, grated or powdered, subject to add US note 20 to Ch.4 Cheese containing or processed from edam or gouda cheeses, grated or powdered, not subject to add US note 20 to Ch. 4 * Cheese containing or processed from italian-type cheeses made from cow’s milk, grated or powdered, subject to add US note 21 to Ch. 4 Cheese containing or processed from italian-type cheeses made from cow’s milk, grated or powdered, not subject to add US note 21 to Ch.</w:t>
      </w:r>
    </w:p>
    <w:p>
      <w:pPr>
        <w:pStyle w:val="Normal"/>
      </w:pPr>
      <w:r>
        <w:t>4 * Cheese containing or processed from swiss, emmentaler or gruyere-process cheeses, grated or powdered, subject to add US nte 22 to Ch.4 Cheese containing or processed from swiss, emmentaler or gruyere-process cheeses, grated or powdered, not subject to add US nte 22 to Ch. 4 * Cheese (including mixtures), nesoi, n/o 0.5% by wt. of butterfat, grated or powdered, subject to add US note 23 to Ch. 4 Cheese (including mixtures), nesoi, n/o 0.5% by wt. of butterfat, grated or powdered, not subject to add US note 23 to Ch. 4 * Cheese (including mixtures), nesoi, o/0.5% by wt of butterfat, w/cow’s milk, grated or powdered, subject to add US note 16 to Ch. 4 Cheese (including mixtures), nesoi, o/0.5% by wt of butterfat, w/cow’s milk, grated or powdered, not subject to add US note 16 to Ch. 4 * Cheese (including mixtures), nesoi, o/0.5% by wt of butterfat, not containing cow’s milk, grated or powdered Stilton cheese, processed, not grated or powdered, subject to add US note 24 to Ch.</w:t>
      </w:r>
    </w:p>
    <w:p>
      <w:pPr>
        <w:pStyle w:val="Normal"/>
      </w:pPr>
      <w:r>
        <w:t>4 Blue-veined cheese (except roquefort), processed, not grated or powdered, subject to gen. note 15 of the HTS Blue-veined cheese (except roquefort), processed, not grated or powdered, subject to add. US note 17 to Ch. 4 Blue-veined cheese (except roquefort), processed, not grated or powdered, not subject to gen. note 15 or add. US note 17 to Ch. 4 * Cheddar cheese, processed, not grated or powdered, subject to gen.</w:t>
      </w:r>
    </w:p>
    <w:p>
      <w:pPr>
        <w:pStyle w:val="Normal"/>
      </w:pPr>
      <w:r>
        <w:t>note 15 of the HTS Cheddar cheese, processed, not grated or powdered, subject to add US note 18 to Ch. 4 Cheddar cheese, processed, not grated or powdered, not subject to gen note 15 or in add US note 18 to Ch. 4 * Colby cheese, processed, not grated or powdered, subject to gen. note 15 of the HTS Colby cheese, processed, not grated or powdered, subject to add US note 19 to Ch. 4 Colby cheese, processed, not grated or powdered, not subject to gen note 15 or add US note 19 to Ch. 4 * Edam and gouda cheese, processed, not grated or powdered, subject to gen. note 15 of the HTS Edam and gouda cheese, processed, not grated or powdered, subject to add. US note 20 to Ch. 4 Edam and gouda cheese, processed, not grated or powdered, not subject to gen note 15 or add. US note 20 to Ch.</w:t>
      </w:r>
    </w:p>
    <w:p>
      <w:pPr>
        <w:pStyle w:val="Normal"/>
      </w:pPr>
      <w:r>
        <w:t>4 * Gruyere-process cheese, processed, not grated or powdered, subject to gen. note 15 of the HTS Gruyere-process cheese, processed, not grated or powdered, subject to add. US note 22 to Ch. 4 Gruyere-process cheese, processed, not grated or powdered, not subject to gen note 15 or add. US note 22 to Ch. 4 * Processed cheeses made from sheep’s milk, including mixtures of such cheeses, not grated or powdered Cheese (including mixtures) nesoi, processed, not grated or powdered, subject to gen.</w:t>
      </w:r>
    </w:p>
    <w:p>
      <w:pPr>
        <w:pStyle w:val="Normal"/>
      </w:pPr>
      <w:r>
        <w:t>note 15 of the HTS Processed cheese containing or processed from bryndza, gjetost, gammelost, nokkelost or roquefort, not grated or powdered, not GN15 Processed cheese cont/procd fr blue-veined cheese (ex roquefort), not grated/powdered, subject to add US note 17 to Ch. 4, not GN15 Processed cheese cont/procd fr blue-veined cheese (ex roquefort), not grated/powdered, not subject to add US note 17 to Ch. 4, not GN15 * Processed cheese cont/procd fr cheddar cheese, not grated/powdered, subject to add US note 18, not GN15 Processed cheese cont/procd fr cheddar cheese, not grated/powdered, not subject to add US note 18, not GN15 * Processed cheese cont/procd fr american-type cheese (ex cheddar), not grated/powdered, subject to add US note 19 to Ch. 4, not GN15 Processed cheese cont/procd fr american-type cheese (ex cheddar), not grated/powdered, not subject to add US note 19 to Ch. 4, not GN15 * Processed cheese cont/procd fr edam or gouda, not grated/powdered, subject to add US note 20 to Ch.</w:t>
      </w:r>
    </w:p>
    <w:p>
      <w:pPr>
        <w:pStyle w:val="Normal"/>
      </w:pPr>
      <w:r>
        <w:t>4, not GN15 Processed cheese cont/procd from edam or gouda, not grated/powdered, not subject to add US note 20 to Ch. 4, not GN15 * Processed cheese cont/procd from italian-type, not grated/powdered, subject to add US note 21 to Ch. 4, not GN15 Processed cheese cont/procd from italian-type, not grated/powdered, not subject to add US note 21 to Ch. 4, not GN15 * Processed cheese cont/procd from swiss, emmentaler or gruyere-process, n/grated/powdered, subject to add US note 22 to Ch.</w:t>
      </w:r>
    </w:p>
    <w:p>
      <w:pPr>
        <w:pStyle w:val="Normal"/>
      </w:pPr>
      <w:r>
        <w:t>4, not GN15 Processed cheese cont/procd from swiss/emmentaler/gruyere-process, n/grated/powdered, not subject to add US note 22 to Ch. 4, not GN15 * Processed cheese (incl. mixtures), nesoi, n/o 0.5% by wt. butterfat, not grated or powdered, subject to Ch4 US note 23, not GN15 Processed cheese (incl. mixtures), nesoi, n/o 0.5% by wt. butterfat, not grated or powdered, not subj to Ch 4 US note 23 or not GN15 * Processed cheese (incl. mixtures), nesoi, w/cow’s milk, not grated or powdered, subject to add US note 16 to Ch. 4, not GN15 Processed cheese (incl. mixtures), nesoi, w/cow’s milk, not grated or powdered, not subject to add US note 16 to Ch. 4, not GN15 * Processed cheese (incl. mixtures), nesoi, w/o cows milk, not grated or powdered, not GN15 Roquefort cheese in original loaves, not grated or powdered, not processed Roquefort cheese, other than in original loaves, not grated or powdered, not processed Stilton cheese, nesoi, in original loaves, subject to add. US note 24 to Ch. 4 Stilton cheese, nesoi, not in original loaves, subject to add.</w:t>
      </w:r>
    </w:p>
    <w:p>
      <w:pPr>
        <w:pStyle w:val="Normal"/>
      </w:pPr>
      <w:r>
        <w:t>US note 24 to Ch. 4 Blue-veined cheese, nesoi, in original loaves, subject to gen. note 15 of the HTS Blue-veined cheese, nesoi, not in original loaves, subject to gen. note 15 of the HTS Blue-veined cheese, nesoi, in original loaves, subject to add. US note 17 to Ch. 4 Blue-veined cheese, nesoi, not in original loaves, subject to add. US note 17 to Ch. 4 Blue-veined cheese, nesoi, not subject to gen. note 15 of the HTS or to add.</w:t>
      </w:r>
    </w:p>
    <w:p>
      <w:pPr>
        <w:pStyle w:val="Normal"/>
      </w:pPr>
      <w:r>
        <w:t>US note 17 to Ch. 4 * Bryndza cheese, not grated or powdered, not processed Cheddar cheese, neosi, subject to gen. note 15 of the &amp; entered pursuant to its provisions Cheddar cheese, neosi, subject to add. US note 18 to Ch. 4 Cheddar cheese, nesoi, not subject to gen. note 15 of the HTS or to add. US note 18 to Ch. 4 * Edam and gouda cheese, nesoi, subject to gen. note 15 of the HTS Edam and gouda cheese, nesoi, subject to add. US note 20 to Ch. 4 Edam and gouda cheese, nesoi, not subject to gen. note 15 of the HTS or to add. US note 20 to Ch.</w:t>
      </w:r>
    </w:p>
    <w:p>
      <w:pPr>
        <w:pStyle w:val="Normal"/>
      </w:pPr>
      <w:r>
        <w:t>4 * Gjetost cheese from goat’s milk, whey or whey obtained from a mixture of goat’s &amp; n/o 20% cow’s milk, not grated, powdered or processed Gjetost cheese, made from goats’ milk, whey or whey obtained from a mixture of goats’ &amp; n/o 20% cows milk, not grated, powdered or processed Goya cheese, nesoi, subject to gen. note 15 of the HTS Goya cheese from cow’s milk, not in original loaves, nesoi,subject to add. US note 21 to Ch. 4 Goya cheese from cow’s milk, not in original loaves, nesoi, not subject to gen. note 15 or to add. US note 21 to Ch. 4 * Goya cheese not from cow’s milk, nesoi, not subject to gen. note 15 or to add. US note 21 to Ch. 4 Sbrinz cheese, nesoi, subject to gen. note 15 of the HTS Sbrinz cheese from cow’s milk, nesoi, subject to add. US note 21 to Ch. 4 Sbrinz cheese from cow’s milk, nesoi, not subject to gen. note 15 or to add. US note 21 to Ch.</w:t>
      </w:r>
    </w:p>
    <w:p>
      <w:pPr>
        <w:pStyle w:val="Normal"/>
      </w:pPr>
      <w:r>
        <w:t>4 * Sbrinz cheese not from cow’s milk, nesoi, not subject to gen.</w:t>
      </w:r>
    </w:p>
    <w:p>
      <w:pPr>
        <w:pStyle w:val="Normal"/>
      </w:pPr>
      <w:r>
        <w:t>note 15 or to add. US note 21 to Ch. 4 Romano from cows milk, Reggiano, Parmesan, Provolone, and Provoletti cheese, nesoi, subject to gen. note 15 of the HTS Romano, Reggiano, Parmesan, Provolone, and Provoletti cheese, nesoi, from cow’s milk, subject to add. US note 21 to Ch. 4 Romano, Reggiano, Parmesan, Provolone, and Provoletti cheese, nesoi, from cow’s milk, not subj to to GN 15 or Ch4 US note 21 * Reggiano, Parmesan, Provolone, and Provoletti cheese, nesoi, not from cow’s milk, not subject to gen. note 15 Swiss or Emmentaler cheese with eye formation, nesoi, subject to gen. note 15 of the HTS Swiss or Emmentaler cheese with eye formation, nesoi, subject to add. US note 25 to Ch. 4 Swiss or Emmentaler cheese with eye formation, nesoi, not subject to gen. note 15 or to add. US note 25 to Ch. 4 * Gammelost and nokkelost cheese, nesoi Colby cheese, nesoi, subject to gen. note 15 of the HTS and entered pursuant to its provisions Colby cheese, nesoi, subject to add. US note 19 to Ch.</w:t>
      </w:r>
    </w:p>
    <w:p>
      <w:pPr>
        <w:pStyle w:val="Normal"/>
      </w:pPr>
      <w:r>
        <w:t>4 and entered pursuant to its provisions Colby cheese, nesoi, not subject to gen. note 15 or to add. US note 19 to Ch. 4 * Cheeses, nesoi, from sheep’s milk in original loaves and suitable for grating Pecorino cheese, from sheep’s milk, in original loaves, not suitable for grating Cheeses, substitute for cheese (including mixtures of cheeses), nesoi, made from sheep’s milk Cheeses &amp; substitutes for cheese (incl.mixtures) w/romano/reggiano/parmesan/provolone/etc from cows milk, subj. to gen.</w:t>
      </w:r>
    </w:p>
    <w:p>
      <w:pPr>
        <w:pStyle w:val="Normal"/>
      </w:pPr>
      <w:r>
        <w:t>note 15 Cheeses &amp; substitutes for cheese (incl.mixtures) not cont.romano/reggiano/parmesan/provolone/etc from cows milk, subj. to gen. note 15 Cheeses &amp; subst. for cheese(incl. mixt.), nesoi, w/romano/reggiano/parmesan/provolone/etc, f/cow milk, subj. Ch4 US note 21, not GN15 Cheeses &amp; subst. for cheese(incl. mixt.), nesoi, w/romano/reggiano/parmesan/provolone/etc, f/cow milk, not subj. Ch4 US note 21, not GN15 * Cheeses &amp; subst. for cheese (incl. mixt.), nesoi, w/ or from blue-veined cheese, subj. to add. US note 17 to Ch.4, not GN15 Cheeses &amp; subst. for cheese (incl. mixt.), nesoi, w/ or from blue-veined cheese, not subj. to add. US note 17 to Ch.4, not GN15 * Cheeses &amp; subst. for cheese (incl. mixt.), nesoi, w/ or from cheddar cheese, subj. to add. US note 18 to Ch.4, not GN15 Cheeses &amp; subst. for cheese (incl. mixt.), nesoi, w/ or from cheddar cheese, not subj. to add. US note 18 to Ch.4, not GN15 * Cheeses &amp; subst. for cheese (incl. mixt.), nesoi, w/ or from Am. cheese except cheddar, subj. to add.</w:t>
      </w:r>
    </w:p>
    <w:p>
      <w:pPr>
        <w:pStyle w:val="Normal"/>
      </w:pPr>
      <w:r>
        <w:t>US note 19 to Ch.4, not GN15 Cheeses &amp; subst. for cheese (incl. mixt.), nesoi, w/ or from Am. cheese except cheddar, not subj. to add. US note 19 to Ch.4, not GN15 * Cheeses &amp; subst. for cheese (incl. mixt.), nesoi, w/ or from edam or gouda cheese, subj. to add. US note 20 to Ch.4, not GN15 Cheeses &amp; subst. for cheese (incl. mixt.), nesoi, w/ or from edam or gouda cheese, not subj. to add. US note 20 to Ch.4, not GN15 * Cheeses &amp; subst. for cheese (incl.</w:t>
      </w:r>
    </w:p>
    <w:p>
      <w:pPr>
        <w:pStyle w:val="Normal"/>
      </w:pPr>
      <w:r>
        <w:t>mixt.), nesoi, w/ or from swiss, emmentaler or gruyere, subj. to add. US note 22 to Ch.4, not GN15 Cheeses &amp; subst. for cheese (incl. mixt.), nesoi, w/ or from swiss, emmentaler or gruyere, not subj. Ch4 US note 22, not GN15 * Cheeses &amp; subst. for cheese (incl. mixt.), nesoi, w/butterfat n/o 0.5% by wt, subject to add. US note 23 to Ch. 4, not GN15 Cheeses &amp; subst. for cheese (incl. mixt.), nesoi, w/butterfat n/o 0.5% by wt, not subject to add. US note 23 to Ch.</w:t>
      </w:r>
    </w:p>
    <w:p>
      <w:pPr>
        <w:pStyle w:val="Normal"/>
      </w:pPr>
      <w:r>
        <w:t>4, not GN15 * Cheeses &amp; subst. for cheese (incl. mixt.), nesoi, w/cows milk, w/butterfat o/0.5% by wt, subject to Ch 4 US note 16 (quota) Cheeses &amp; subst. for cheese (incl. mixt.), nesoi, w/cows milk, w/butterfat o/0.5% by wt, not subject to Ch4 US note 16, not GN15 * Cheeses &amp; subst. for cheese (incl. mixt.), nesoi, w/o cows milk, w/butterfat o/0.5% by wt, not GN15 Birds’ eggs, in shell, fertilized eggs for incubation, Gallus domesticus Birds’ eggs, in shell, fertilized eggs for incubation, other than Gallus domesticus Birds’ eggs, in shell, other fresh, not fertilized eggs for incubation, of species Gallus domesticus Birds’ eggs, in shell, other fresh, not fertilized eggs for incubation, other than species Gallus domesticus Birds’ eggs, in shell, fresh, preserved or cooked Egg yolks, dried, whether or not containing added sweeteners Egg yolks, other than dried, whether or not containing added sweeteners Birds’ eggs, not in shell, dried, whether or not containing added sweeteners Birds’ eggs, not in shell, other</w:t>
      </w:r>
    </w:p>
    <w:p>
      <w:pPr>
        <w:pStyle w:val="Normal"/>
      </w:pPr>
      <w:r>
        <w:t>than dried, whether or not containing added sweeteners Natural honey Edible products of animal origin, nesi Human hair, unworked, whether or not washed and scoured; waste of human hair Pigs’, hogs’ or boars’ bristles and hair and waste thereof Badger hair and other brushmaking hair, nesi, and waste thereof Guts, bladders and stomachs of animals (other than fish), whole and pieces thereof Feathers of a kind used for stuffing, and down Feather meal and waste Skins and parts of birds with their feathers or down (except meal and waste) nesoi Ossein and bones treated with acid Bones &amp; horn-cores, unworked, defatted, simply prepared (but not cut to shape) or degelatinized; powder &amp; waste of these products Ivory, ivory powder and waste Tortoise shell, whalebone and whalebone hair, horns, antlers, hooves, nails, claws and beaks, unworked or simply prepared; waste and powder Coral, shells, cuttlebone and similar materials, unworked or simply prepared, but not cut to shape; powder and waste thereof Ambergris, castoreum, civet, and musk used in the preparation of pharmaceutical products Cantharides; bile;</w:t>
      </w:r>
    </w:p>
    <w:p>
      <w:pPr>
        <w:pStyle w:val="Normal"/>
      </w:pPr>
      <w:r>
        <w:t>glands and other animal products nesi, used in pharmaceutical products Bovine semen Products of fish, crustaceans, molluscs or other aquatic invertebrates nesi; dead animals of chapter 3, unfit for human consumption Parings and similar waste of raw hides or skins; glue stock nesi Animal products chiefly used as food for animals or as ingredients in such food, nesi Horsehair and</w:t>
      </w:r>
    </w:p>
    <w:p>
      <w:pPr>
        <w:pStyle w:val="Normal"/>
      </w:pPr>
      <w:r>
        <w:t>horsehair waste, whether or not put up as a layer with or without supporting material Natural sponges of animal origin Animal products nesi; dead animals of chapter 1, unfit for human consumption Tulip bulbs, dormant Hyacinth bulbs, dormant Lily bulbs, dormant Narcissus bulbs, dormant Crocus corms, dormant Lily of the valley pips, dormant Bulbs, tubers, tuberous roots, corms, crowns and rhizomes, nesi, dormant Hyacinth bulbs, without soil attached, in growth or in flower Bulbs nesi, tubers, tuberous roots, corms, crowns and rhizomes, in growth or in flower;</w:t>
      </w:r>
    </w:p>
    <w:p>
      <w:pPr>
        <w:pStyle w:val="Normal"/>
      </w:pPr>
      <w:r>
        <w:t>chicory plants and roots Unrooted cuttings and slips of live plants Trees, shrubs, and bushes, grafted or not of kinds which bear edible fruits or nuts Rhododendron and azalea plants, grafted or not Rose plants, grafted or not Live orchid plants Live herbaceous perennials, other than orchid plants, with soil attached to roots Live herbaceous perennials, other than orchid plants, without soil attached to roots Live mushroom spawn Other live plants nesoi, with soil attached to roots Other live plants nesoi, other than those with soil attached to roots Sweetheart, Spray and other Roses, fresh cut Miniature (spray) carnations, fresh cut Other Carnations, fresh cut Orchids, fresh cut Chrysanthemums, fresh cut Fresh cut Lilies (Lillium spp.) Fresh cut, Anthuriums,Alstroemeria,Gypsophilia,Lilies, Snapdragons and flowers, nesoi Cut flowers and flower buds, suitable for bouquets or ornamental purposes, dried, dyed, bleached,</w:t>
      </w:r>
    </w:p>
    <w:p>
      <w:pPr>
        <w:pStyle w:val="Normal"/>
      </w:pPr>
      <w:r>
        <w:t>impregnated or otherwise prepared Fresh foliage, branches, and other parts of plants for ornamental purposes Mosses and lichens Dried or bleached foliage, branches, and other parts of plants for ornamental purposes, except mosses and lichens Other than fresh, bleached or dried: Foliage, branches, parts of plants and grasses, suitable for ornamental purposes,except mosses &amp; lichen Seed potatoes, fresh or chilled Yellow (Solano) potatoes, excluding seed Fresh potatoes, other than yellow (Solano) potatoes or seed potatoes Tomatoes, fresh or chilled, entered during Mar.1 to July 14, or the period Sept.1 to Nov.14 in any year Tomatoes, fresh or chilled, entered during July 15 to Aug.31 in any year Tomatoes, fresh or chilled, entered from Nov.</w:t>
      </w:r>
    </w:p>
    <w:p>
      <w:pPr>
        <w:pStyle w:val="Normal"/>
      </w:pPr>
      <w:r>
        <w:t>15 thru the last day of Feb. of the following year Onion sets, fresh or chilled Pearl onions not over 16 mm in diameter, fresh or chilled Onions, other than onion sets or pearl onions not over 16 mm in diameter, and shallots, fresh or chilled Garlic, fresh or chilled Leeks and other alliaceous vegetables nesi, fresh or chilled Cauliflower and headed broccoli, fresh or chilled, if entered June 5 to October 15, inclusive, in any year Cauliflower and headed broccoli, fresh or chilled, not reduced in size, if entered Oct. 16 through June 4, inclusive Cauliflower and headed broccoli, fresh or chilled, reduced in size, if entered Oct.</w:t>
      </w:r>
    </w:p>
    <w:p>
      <w:pPr>
        <w:pStyle w:val="Normal"/>
      </w:pPr>
      <w:r>
        <w:t>16 through June 4, inclusive Brussels sprouts, fresh or chilled Cabbage, fresh or chilled Kohlrabi, kale and similar edible brassicas nesi, including sprouting broccoli, fresh or chilled Head lettuce (cabbage lettuce), fresh or chilled, if entered June 1 to October 31, inclusive, in any year Head lettuce (cabbage lettuce), fresh or chilled, if entered Nov. 1 through May 30, inclusive, in any year Lettuce, other than head lettuce, fresh or chilled, if entered June 1 to October 31, inclusive, in any year Lettuce, other than head lettuce, fresh or chilled, if entered Nov.</w:t>
      </w:r>
    </w:p>
    <w:p>
      <w:pPr>
        <w:pStyle w:val="Normal"/>
      </w:pPr>
      <w:r>
        <w:t>1 through May 30, inclusive, in any year Witloof chicory, fresh or chilled Chicory, other than witloof chicory, fresh or chilled Carrots, fresh or chilled, reduced in size Carrots, fresh or chilled, not reduced in size, under 10 cm in length Carrots, fresh or chilled, not reduced in size, 10 cm or over in length Turnips, fresh or chilled Radishes, fresh or chilled Beets and horseradish, fresh or chilled Salsify, celeriac, radishes and similar edible roots nesi, fresh or chilled Cucumbers, including gherkins, fresh or chilled, if entered December 1 in any year to the last day of the following February, inclusive Cucumbers, including gherkins, fresh or chilled, if entered March 1 to April 30, inclusive, in any year Cucumbers, including gherkins, fresh or chilled, if entered May 1 to June 30, inclusive, or Sept. 1 to Nov.</w:t>
      </w:r>
    </w:p>
    <w:p>
      <w:pPr>
        <w:pStyle w:val="Normal"/>
      </w:pPr>
      <w:r>
        <w:t>30, inclusive, in any year Cucumbers, including gherkins, fresh or chilled, if entered July 1 to August 31, inclusive, in any year Peas, fresh or chilled, shelled or unshelled, if entered July 1 to Sept. 30, inclusive, in any year Peas, fresh or chilled, shelled or unshelled, if entered Nov. 1 through the following June 30, inclusive Lima beans, fresh or chilled, shelled or unshelled, if entered November 1 through the following May 31, inclusive Cowpeas (other than black-eye peas), fresh or chilled, shelled or unshelled Beans nesi, fresh or chilled, shelled or unshelled Chickpeas (garbanzos), fresh or chilled, shelled or unshelled Lentils, fresh or chilled, shelled or unshelled Pigeon peas, fresh or chilled, shelled or unshelled, if entered from July 1 to September 30, inclusive, in any year Pigeon peas, fresh or chilled, shelled or unshelled, if entered Oct. 1 through the following June 30, inclusive Leguminous vegetables nesi, fresh or chilled, shelled or unshelled Asparagus, fresh or chilled, not reduced in size, if entered September 15 to November 15, inclusive, and transported to the U.S.</w:t>
      </w:r>
    </w:p>
    <w:p>
      <w:pPr>
        <w:pStyle w:val="Normal"/>
      </w:pPr>
      <w:r>
        <w:t>by air Asparagus, nesi, fresh or chilled Eggplants (aubergines), fresh or chilled, if entered April 1 to November 30, inclusive, in any year Eggplants (aubergines), fresh or chilled, if entered December 1 through the following March 31, inclusive Celery, other than celeriac, fresh or chilled, reduced in size Celery, other than celeriac, fresh or chilled, not reduced in size, if entered April 15 to July 31, inclusive, in any year Celery, other than celeriac, fresh or chilled, not reduced in size, if entered August 1 through the following April 14, inclusive Mushrooms of the genus Agaricus, fresh or chilled Truffles, fresh or chilled Mushrooms, other than of the genus Agaricus, fresh or chilled Chili peppers, fresh or chilled Fruits of the genus capsicum (peppers) (ex.</w:t>
      </w:r>
    </w:p>
    <w:p>
      <w:pPr>
        <w:pStyle w:val="Normal"/>
      </w:pPr>
      <w:r>
        <w:t>chili peppers) or of the genus pimenta (e.g., Allspice), fresh or chilled Spinach, New Zealand spinach and orache spinach (garden spinach), fresh or chilled Globe artichokes, fresh or chilled Olives, fresh or chilled Pumpkins, fresh or chilled Squash, fresh or chilled Gourds (Cucurbita spp.), fresh or chilled Jicamas and breadfruit, fresh or chilled Chayote (Sechium edule), fresh or chilled Okra, fresh or chilled Fiddlehead greens, fresh or chilled Sweet corn, fresh or chilled Vegetables, not elsewhere specified or included, fresh or chilled Potatoes, uncooked or cooked by steaming or boiling in water, frozen Peas, uncooked or cooked by steaming or boiling in water, frozen, if entered July 1 through September</w:t>
      </w:r>
    </w:p>
    <w:p>
      <w:pPr>
        <w:pStyle w:val="Normal"/>
      </w:pPr>
      <w:r>
        <w:t>30, inclusive, in any year Peas, uncooked or cooked by steaming or boiling in water, frozen, if entered Jan. 1 through June 30, or Oct. 1 through Dec. 31, inclusive Lima beans, uncooked or cooked by steaming or boiling in water, frozen, not reduced in size, entered Nov. 1 through the following May 31 Lima beans, frozen, entered June 1 - October 31 Cowpeas (other than black-eye peas), uncooked or cooked by steaming or boiling in water, frozen, not reduced in size Frozen string beans (snap beans), not reduced in size Frozen beans nesi, not reduced in size Beans nesi, uncooked or cooked by steaming or boiling in water, frozen, reduced in size Chickpeas (garbanzos), uncooked or cooked by steaming or boiling in water, frozen Lentils, uncooked or cooked by steaming or boiling in water, frozen Pigeon peas, uncooked or cooked by steaming or boiling in water, frozen, if entered July 1 through September 30, inclusive, in any year Pigeon peas, uncooked or cooked by steaming or boiling in water, frozen, if entered Oct.</w:t>
      </w:r>
    </w:p>
    <w:p>
      <w:pPr>
        <w:pStyle w:val="Normal"/>
      </w:pPr>
      <w:r>
        <w:t>1 through the following June 30, inclusive Leguminous vegetables nesi, uncooked or cooked by steaming or boiling in water, frozen Spinach, New Zealand spinach and orache spinach (garden spinach), uncooked or cooked by steaming or boiling in water, frozen Sweet corn, uncooked or cooked by steaming or boiling in water, frozen Bamboo shoots and water chestnuts (other than Chinese water chestnuts), uncooked or cooked by steaming or boiling in water, frozen Mushrooms, uncooked or cooked by steaming or boiling in water, frozen Tomatoes, uncooked or cooked by steaming or boiling in water, frozen, if entered Mar. 1 thru July 14, incl. or Sept. 1 thru Nov. 14, incl. Tomatoes, uncooked or cooked by steaming or boiling in water, frozen, if entered July 15 through August 31, inclusive, in any year Tomatoes, uncooked or cooked by steaming or boiling in water, frozen, if entered Nov. 15 through the following February, incl.</w:t>
      </w:r>
    </w:p>
    <w:p>
      <w:pPr>
        <w:pStyle w:val="Normal"/>
      </w:pPr>
      <w:r>
        <w:t>Fiddlehead greens, uncooked or cooked by steaming or boiling in water, frozen, not reduced in size Brussels sprouts, uncooked or cooked by steaming or boiling in water, frozen, not reduced in size Vegetables nesi, uncooked or cooked by steaming or boiling in water, frozen, not reduced in size Brussels sprouts, uncooked or cooked by steaming or boiling in water, frozen, reduced in size Okra, reduced in size, frozen Vegetables nesi, uncooked or cooked by steaming or boiling in water, frozen, reduced in size Mixtures of pea pods and water chestnuts (other than Chinese water chestnuts), uncooked or cooked by steaming or boiling in water, frozen Mixtures of vegetables not elsewhere specified or included, uncooked or cooked by steaming or boiling in water, frozen Olives, n/pitted, green, in saline sol., in contain. &gt; 8 kg, drained wt, for repacking or sale, subject to add. US note 5 to Ch. 7 Olives, n/pitted, green, in saline sol., in contain. &gt; 8 kg, drained wt, for repacking or sale, not subject to add. US note 5 to Ch.</w:t>
      </w:r>
    </w:p>
    <w:p>
      <w:pPr>
        <w:pStyle w:val="Normal"/>
      </w:pPr>
      <w:r>
        <w:t>7 Olives, n/pitted, nesoi Olives, pitted or stuffed, provisionally preserved but unsuitable in that state for immediate consumption Cucumbers including gherkins, provisionally preserved but unsuitable in that state for immediate consumption Mushrooms of the genus Agaricus, provisionally preserved but unsuitable in that state for immediate consumption Mushrooms, other than of the genus Agaricus, provisionally preserved but unsuitable in that state for immediate consumption Truffles, provisionally preserved but unsuitable in that state for immediate consumption Leguminous vegetables, provisionally preserved but unsuitable in that state for immediate consumption Capers, provisionally preserved but unsuitable in that state for immediate consumption Onions, provisionally preserved but unsuitable in that state for immediate consumption Vegetables nesoi, and mixtures of vegetables, provisionally preserved but unsuitable in that state for immediate consumption Dried onion powder or flour Dried onions whole, cut, sliced or broken, but not further prepared Air dried or sun dried mushrooms of the genus Agaricus, whole, cut, sliced, broken or in powder, but not further prepared Dried (not air or sun dried) mushrooms of the</w:t>
      </w:r>
    </w:p>
    <w:p>
      <w:pPr>
        <w:pStyle w:val="Normal"/>
      </w:pPr>
      <w:r>
        <w:t>genus Agaricus, whole, cut, sliced, broken or in powder, but not further prepared Dried wood ears (Auricularia spp.), whole, cut, sliced, broken or in powder, but not further prepared Dried jelly fungi (Tremella spp), whole, cut, sliced, broken or in powder, but not</w:t>
      </w:r>
    </w:p>
    <w:p>
      <w:pPr>
        <w:pStyle w:val="Normal"/>
      </w:pPr>
      <w:r>
        <w:t>further prepared Air dried or sun dried mushrooms (other than of the genus Agaricus), whole, cut, sliced, broken or in powder, but not further prepared Dried (not air or sun dried) mushrooms (other than of the genus Agaricus), whole, cut, sliced, broken or in powder, but not further prepared Dried truffles, whole, cut, sliced, broken or in powder, but not further prepared Dried carrots, whole, cut, sliced, broken or in powder, but not further prepared Dried olives, not ripe Dried olives, ripe Dried potatoes, whether or not cut or sliced but not further prepared Dried garlic, whole, cut, sliced, broken or in powder, but not further prepared Dried fennel, marjoram, parsley, savory and tarragon, crude or not manufactured Dried parsley nesi, whole, cut, sliced, broken or in powder, but not further prepared Dried fennel, marjoram, savory and tarragon nesi, whole, cut, sliced, broken or in powder, but not further prepared Tomatoes, dried in powder Tomatoes, dried, whole, other Dried vegetables nesoi, and mixtures of dried vegetables, whole, cut, sliced, broken</w:t>
      </w:r>
    </w:p>
    <w:p>
      <w:pPr>
        <w:pStyle w:val="Normal"/>
      </w:pPr>
      <w:r>
        <w:t>or in powder, but not further prepared Seeds of peas of a kind used for sowing Dried split peas, shelled Dried peas, nesi, shelled Seeds of chickpeas (garbanzos) of a kind used for sowing Dried chickpeas (garbanzos), shelled Seeds of beans of a kind used for sowing Dried beans, shelled, if entered May 1 through August 31, inclusive, in any year Dried beans, shelled, if entered September 1 through the following April 30, or</w:t>
      </w:r>
    </w:p>
    <w:p>
      <w:pPr>
        <w:pStyle w:val="Normal"/>
      </w:pPr>
      <w:r>
        <w:t>withdrawn for consumption at any time Seeds of small red (adzuki) beans of a kind used for sowing Dried small red (adzuki) beans, shelled Seeds of kidney beans, including white pea beans of a kind used for sowing Dried kidney beans, including white pea beans, shelled, if entered May 1 through August 31, inclusive, in any year Dried kidney beans, including white pea beans, shelled, if entered Sept.</w:t>
      </w:r>
    </w:p>
    <w:p>
      <w:pPr>
        <w:pStyle w:val="Normal"/>
      </w:pPr>
      <w:r>
        <w:t>1 through April 30, or withdrawn for consumption at any time Dried seeds of Bambara beans, of a kind used for sowing Dried Bambara beans, shelled, if entered for consumption from May 1 through August 31, inclusive, in any year Dried Bambara beans, shelled, if entered for consumption other than above period, or withdrawn for consumption Dried cowpeas, shelled Seeds of beans nesi, of a kind used for sowing Dried beans nesi, shelled, if entered for consumption from May 1 through August 31, inclusive, in any year Dried beans nesi, shelled, if entered for consumption September 1 through April 30, or withdrawn for consumption at any time Lentil seeds of a kind used for sowing Dried lentils, shelled Seeds of broad beans and horse beans of a kind used for sowing Dried broad beans and horse beans, shelled Dried pigeon pea seeds, of a kind used for sowing Dried pigeon pea seeds, shelled, if entered for consumption during the period from May 1 through August 31, inclusive, in any year Dried pigeon pea seeds, shelled, if entered Sept.</w:t>
      </w:r>
    </w:p>
    <w:p>
      <w:pPr>
        <w:pStyle w:val="Normal"/>
      </w:pPr>
      <w:r>
        <w:t>1 through the following April 30, or withdrawn for consumption at any time Seeds of leguminous vegetables nesi, of a kind used for sowing Dried guar seeds, shelled Dried leguminous vegetables nesi, shelled, if entered for consumption during the period from May 1 through August 31, inclusive, in any year Dried leguminous vegetales, nesi, shelled, if entered Sept.</w:t>
      </w:r>
    </w:p>
    <w:p>
      <w:pPr>
        <w:pStyle w:val="Normal"/>
      </w:pPr>
      <w:r>
        <w:t>1 through the following April 30, or withdrawn for consumption at any time Cassava (manioc), frozen, whether or not sliced or in the form of pellets Cassava (manioc), fresh, chilled or dried, whether or not sliced or in the form of pellets Sweet potatoes, frozen, whether or not sliced or in the form of pellets Sweet potatoes, fresh, chilled or dried, whether or not sliced or in the form of pellets Fresh or chilled yams (Dioscorea spp.), whether or not sliced or in the form of pellets Frozen yams (Dioscorea spp.) Dried yams (Dioscorea spp.), in the form of pellets Dried yams (Dioscorea spp.), whether or not sliced but not in pellets Fresh or chilled taro (Colocasia spp.), whether or not sliced or in the form of pellets Frozen taro (Colocasia spp.) Dried taro (Colocasia spp.), in the form of pellets Dried taro (Colocasia spp.), whether or not sliced but not in pellets Fresh or chilled yautia (Xanthosoma spp.), whether or not sliced or in the form of pellets Frozen yautia (Xanthosoma spp.) Dried yautia (Xanthosoma spp.), in the form of pellets Dried yautia (Xanthosoma spp.), whether or not sliced but not in pellets</w:t>
      </w:r>
    </w:p>
    <w:p>
      <w:pPr>
        <w:pStyle w:val="Normal"/>
      </w:pPr>
      <w:r>
        <w:t>Chinese water chestnuts, fresh or chilled Fresh or chilled arrowroot/salep/Jerusalem artichokes/similar roots &amp; tubers, nesi Mixtures of pea pods and Chineses water chestnuts, frozen Other mixtures of Chinese water chestnuts, frozen Chinese water chestnuts, not mixed, frozen Frozen dasheens/arrowroot/salep/Jerusalem artichokes/similar roots &amp; tubers, nesi Chinese water chestnuts, dried Dried dasheens, arrowroot, salep, Jerusalem artichokes and similar roots and tubers nesoi, in the form of pellets Dried dasheens, arrowroot, salep, Jerusalem artichokes, and similar roots and tubers nesoi, whether or not sliced but not in pellets Coconuts, desiccated Coconuts, fresh, in the inner shell (endocarp) Coconuts, fresh, not in the inner shell (endocarp) Brazil nuts, fresh or dried, in shell Brazil nuts, fresh or dried, shelled Cashew nuts, fresh or dried, in shell Cashew nuts, fresh or dried, shelled Almonds, fresh or dried, in shell Almonds, fresh or dried, shelled Hazelnuts or filberts, fresh or dried, in shell Hazelnuts or filberts, fresh or dried, shelled Walnuts, fresh or dried, in shell Walnuts, fresh or dried, shelled Chestnuts, fresh or dried, in</w:t>
      </w:r>
    </w:p>
    <w:p>
      <w:pPr>
        <w:pStyle w:val="Normal"/>
      </w:pPr>
      <w:r>
        <w:t>shell Chestnuts, fresh or dried, shelled Pistachios, fresh or dried, in shell Pistachios, fresh or dried, shelled Macadamia nuts, in shell Macadamia nuts, shelled Kola nuts (Cola spp.), fresh or dried, in shell Kola nuts (Cola spp.), fresh or dried, shelled Areca nuts, fresh or dried, in shell Areca nuts, fresh or dried, shelled</w:t>
      </w:r>
    </w:p>
    <w:p>
      <w:pPr>
        <w:pStyle w:val="Normal"/>
      </w:pPr>
      <w:r>
        <w:t>Pecans, fresh or dried, in shell Pecans, fresh or dried, shelled Pignolias, fresh or dried, in shell Pignolias, fresh or dried, shelled Nuts,nesi, fresh or dried, in shell Nuts nesi, fresh or dried, shelled Plantains, fresh Plantains, dried Bananas, fresh or dried Dates, fresh or dried, whole, with or without pits, packed in units weighing (with immediate container, if any) not over 4.6 kg Dates, fresh or dried, whole, with pits, packed in units weighing over 4.6 kg Dates, fresh or dried, whole, without pits, packed in units weighing over 4.6 kg Dates, fresh or dried, other than whole Figs, fresh or dried, whole, in units weighing more than 0.5 kg each Figs, fresh or dried, whole, in immediate containers weighing with their contents 0.5 kg or less Figs, fresh or dried, other than whole (including fig paste) Pineapples, fresh or dried, not reduced in size, in bulk Pineapples, fresh or dried, not reduced in size, in crates or other packages Pineapples, fresh or dried, reduced in size Avocados, fresh</w:t>
      </w:r>
    </w:p>
    <w:p>
      <w:pPr>
        <w:pStyle w:val="Normal"/>
      </w:pPr>
      <w:r>
        <w:t>or dried Guavas, mangoes, and mangosteens, fresh, if entered during the period September 1 through May 31, inclusive Guavas, mangoes, and mangosteens, fresh, if entered during the period June 1 through August 31, inclusive Guavas, mangoes, and mangosteens, dried Oranges, fresh or dried Mandarins and other similar citrus hybrids including tangerines, satsumas, clementines, wilkings, fresh or dried Clementines, fresh or dried, other Wilkings and similar citrus hybrids, fresh or</w:t>
      </w:r>
    </w:p>
    <w:p>
      <w:pPr>
        <w:pStyle w:val="Normal"/>
      </w:pPr>
      <w:r>
        <w:t>dried, other Grapefruit, fresh or dried, entered during the period August 1 through September 30, inclusive Grapefruit, fresh or dried, if entered during the month of October Grapefruit, fresh or dried, if entered during the period November 1 through the following July 31, inclusive Lemons, fresh or dried Tahitian lines, Persian limes and other limes of the Citrus latifolia variety, fresh or dried Limes of the Citrus aurantifolia variety, fresh or dried Citrus fruit, not elsewhere specified or included, fresh or dried, including kumquats, citrons and bergamots Grapes, fresh, if entered during the period February 15 through March 31, inclusive Grapes, fresh, if entered during the period April 1 through June 30, inclusive Grapes, fresh, if entered during the period July 1 through the following February 14, inclusive Raisins, made from dried seedless grapes Raisins, made from other than seedless grapes Grapes, dried, other than raisins Watermelons, fresh, if entered during the period from December 1, in any year, to the following March 31, inclusive Watermelons, fresh, if entered during</w:t>
      </w:r>
    </w:p>
    <w:p>
      <w:pPr>
        <w:pStyle w:val="Normal"/>
      </w:pPr>
      <w:r>
        <w:t>the period April 1 through November 30, inclusive Cantaloupes, fresh, if entered during the period from August 1 through September 15, inclusive Cantaloupes, fresh, if entered during the periods from January 1 through July 31 or September 16 to December 31, inclusive Ogen and Galia melons, fresh, if entered during the period from December 1, in any year, to the following May 31, inclusive Ogen</w:t>
      </w:r>
    </w:p>
    <w:p>
      <w:pPr>
        <w:pStyle w:val="Normal"/>
      </w:pPr>
      <w:r>
        <w:t>and Galia melons, fresh, if entered during the period from June 1 through November 30, inclusive Other melons nesoi, fresh, if entered during the period from December 1, in any year, to the following May 31, inclusive Other melons nesoi, fresh, if entered during the period from June 1 through November 30, inclusive Papayas (papaws), fresh Apples, fresh Pears, fresh, if entered during the period from April 1 through June 30, inclusive Pears, fresh, if entered during the period from July 1 through the following March 31, inclusive Quinces, fresh, if entered during the period from April 1 through June 30, inclusive Quinces, fresh, if entered during the period from July 1 through the following March 31, inclusive Apricots, fresh Sour cherries (Prunus cerasus), fresh Other cherries, fresh Peaches, including nectarines, fresh, if entered during the period from June 1 through November 30, inclusive Peaches, including nectarines, fresh, if entered during the period from December 1 through the following May 31, inclusive Plums, prunes and sloes, fresh, if entered during</w:t>
      </w:r>
    </w:p>
    <w:p>
      <w:pPr>
        <w:pStyle w:val="Normal"/>
      </w:pPr>
      <w:r>
        <w:t>the period from January 1 through May 31, inclusive Plums, prunes and sloes, fresh, if entered during the period from June 1 through December 31, inclusive Strawberries, fresh, if entered during the period from June 15 through September 15, inclusive Strawberries, fresh, if entered during the period from September 16 through the following June 14, inclusive Raspberries and loganberries, fresh, if entered during the</w:t>
      </w:r>
    </w:p>
    <w:p>
      <w:pPr>
        <w:pStyle w:val="Normal"/>
      </w:pPr>
      <w:r>
        <w:t>period from September 1 through the following June 30, inclusive Raspberries and loganberries, fresh, if entered July 1 - August 31, inclusive;</w:t>
      </w:r>
    </w:p>
    <w:p>
      <w:pPr>
        <w:pStyle w:val="Normal"/>
      </w:pPr>
      <w:r>
        <w:t>blackberries &amp; mulberries, fresh, entered any time Black, white or red currants and gooseberries (other than kiwifruit), fresh Cranberries, blueberries and other fruits of the genus Vaccinium, fresh Kiwi fruit, fresh Durians, fresh Persimmons, fresh Other berries and tamarinds, fresh Fruit, not elsewhere specified or included, fresh Strawberries, frozen, in water or containing added sweetening Raspberries, loganberries, black currants and gooseberries, frozen, in water or containing added sweetening Blackberries, mulberries and white or red currants, frozen, in water or containing added sweetening Bananas and plantains, frozen, in water or containing added sweetening Blueberries, frozen, in water or containing added sweetening Boysenberries, frozen, in water or containing added sweetening Cashew apples, mameyes colorados, sapodillas, soursops and sweetsops, frozen, in water or containing added sweetening Coconut meat, frozen, in water or containing added sweetening Cranberries, frozen, in water or containing added sweetening Papayas, frozen, in water or containing added sweetening Pineapples, frozen, in water or containing added sweetening Mangoes, frozen, whether or not previously steamed or boiled Melons, frozen, in water or containing added sweetening Fruit, nesi, frozen, whether or not previously steamed or boiled Cherries,</w:t>
      </w:r>
    </w:p>
    <w:p>
      <w:pPr>
        <w:pStyle w:val="Normal"/>
      </w:pPr>
      <w:r>
        <w:t>provisionally preserved, but unsuitable in that state for immediate consumption Mixtures of two or more fruits, provisionally preserved, but unsuitable in that state for consumption Citrus fruit, provisionally preserved, but unsuitable in that state for immediate consumption Figs, provisionally preserved, but unsuitable in that state for immediate consumption Pineapples, provisionally preserved, but unsuitable in that state for immediate consumption Strawberries, provisionally preserved, but unsuitable in that state for immediate consumption Fruit and nuts nesi, including mixtures containing nuts, provisionally preserved, but not for immediate consumption Apricots, dried Prunes and plums, soaked in brine and dried Prunes and plums, dried, (except if presoaked in brine) Apples, dried Papayas, dried Barberries, dried Berries except barberries, dried Cherries, dried Peaches, dried Tamarinds, dried Fruit nesi, dried, other than that of headings 0801 to 0806, and excluding mixtures Mixtures of nuts or dried fruits of Chapter 8 Peel of orange or citron, fresh, frozen, dried or provisionally preserved in brine, in sulfur water or other preservative solutions Lime peel, fresh, frozen or in brine Peel of citrus fruit, excl.</w:t>
      </w:r>
    </w:p>
    <w:p>
      <w:pPr>
        <w:pStyle w:val="Normal"/>
      </w:pPr>
      <w:r>
        <w:t>orange or citron and peel, nesi, of melon, fresh, frozen, dried or provisionally preserved Coffee, not roasted, not decaffeinated Coffee, not roasted, decaffeinated Coffee, roasted, not decaffeinated Coffee, roasted, decaffeinated Coffee husks and skins Coffee substitutes containing coffee Green tea in packages not over 3 kg, flavored Green tea in packages not over 3 kg, not flavored Green tea in packages over 3 kg, flavored Green tea in packages over 3 kg, not flavored Black tea (fermented) and partly fermented tea, in immediate packings of a content not exceeding 3 kg Black tea (fermented) and partly fermented tea, other than in immediate packings of a content not exceeding 3 kg Mate Pepper of the genus Piper, neither crushed nor ground Pepper of the genus Piper, crushed or ground Paprika, dried neither crushed nor ground Anaheim and ancho pepper, dried, neither crushed nor ground Fruits of the genus Capsicum, other than paprika or anaheim and ancho pepper, dried, not crushed or ground Fruits of the genus Pimenta (including allspice), dried Paprika,</w:t>
      </w:r>
    </w:p>
    <w:p>
      <w:pPr>
        <w:pStyle w:val="Normal"/>
      </w:pPr>
      <w:r>
        <w:t>crushed or ground Anaheim and ancho pepper, crushed or ground Mixtures of mashed or macerated hot red peppers and salt, nesoi Fruits of the genus capsicum, crushed or ground, nesoi Fruits of the genus Pimenta (including allspice), crushed or ground Vanilla beans, neither crushed nor ground Vanilla beans, crushed or ground Cinnamon (Cinnamomum zeylanicum Blume) neither crushed nor ground Cinnamon and cinnamon-tree flowers,nesi,</w:t>
      </w:r>
    </w:p>
    <w:p>
      <w:pPr>
        <w:pStyle w:val="Normal"/>
      </w:pPr>
      <w:r>
        <w:t>neither crushed nor ground Cinnamon and cinnamon-tree flowers, crushed or ground Cloves (whole fruit, cloves and stems), neither crushed nor ground Cloves (whole fruit, cloves and stems), crushed or ground Nutmeg, neither crushed nor ground Nutmeg, crushed or ground Mace, neither crushed nor ground Mace, crushed or ground, Bombay or wild Mace, crushed or ground, other than Bombay or wild mace Cardamoms, neither crushed nor ground Cardamoms, crushed or ground Seeds of coriander, neither crushed nor ground Seeds of coriander, crushed or ground Seeds of cumin, neither crushed nor ground Seeds of cumin, crushed or ground Seeds of anise,badian, caraway or fennel; juniper berries; neither crushed nor ground Seeds of anise,badian, caraway or fennel; juniper berries; crushed or ground Ginger, neither crushed nor ground Ginger, crushed or ground Saffron Turmeric (curcuma) Mixtures of spices Thyme;</w:t>
      </w:r>
    </w:p>
    <w:p>
      <w:pPr>
        <w:pStyle w:val="Normal"/>
      </w:pPr>
      <w:r>
        <w:t>bay leaves, crude or not manufactured Thyme, other than crude or not manufactured Bay leaves, other than crude or not manufactured Curry Origanum, crude or not manufactured Origanum, other than crude or not manufactured Dill Spices, nesi Durum wheat, seed Durum wheat, other than seed Seed of wheat and meslin, other than durum wheat Wheat &amp; meslin other than durum or seed wheat Rye, seed Rye, other than seed Barley, seed Barley, other than seed, for malting purposes Barley, not seed, other than for malting purposes Oats, seed Oats, other than seed Seed corn (maize) Yellow dent corn Corn</w:t>
      </w:r>
    </w:p>
    <w:p>
      <w:pPr>
        <w:pStyle w:val="Normal"/>
      </w:pPr>
      <w:r>
        <w:t>(maize), other than seed and yellow dent corn Rice in the husk (paddy or rough) Basmati rice, husked Husked (brown) rice, other than Basmati Rice semi-milled or wholly milled, whether or not polished or glazed, parboiled Rice semi-milled or wholly milled, whether or not polished or glazed, other than parboiled Broken rice Grain sorghum, seed Grain sorghum, other than seed Buckwheat Millet, seed Millet, other than seed Canary seed Fonio (Digitaria spp.) Quinoa (Chenopodium quinoa) Triticale Cereals nesi (including wild rice) Wheat or meslin flour Corn (maize) flour Buckwheat flour Rice flour Rye flour Cereal flours nesi, mixed together Cereal flours, other than of wheat or meslin, rye, corn, rice or buckwheat Groats and meal of wheat Groats and meal of corn (maize) Groats and meal of oats Groats and meal of rice Groats and meal of cereals other than wheat, oats, corn (maize) or rice Pellets of cereals Rolled or flaked grains of oats Rolled or flaked grains of barley Rolled or flaked grains of cereals, other than of</w:t>
      </w:r>
    </w:p>
    <w:p>
      <w:pPr>
        <w:pStyle w:val="Normal"/>
      </w:pPr>
      <w:r>
        <w:t>barley or oats Grains of oats, hulled, pearled, clipped, sliced, kibbled or otherwise worked, but not rolled or flaked Grains of corn (maize), hulled, pearled, clipped, sliced, kibbled or otherwise worked, but not rolled or flaked Grains of barley, hulled, pearled, clipped, sliced, kibbled or otherwise worked, but not rolled or flaked Grains of cereals other than barley, oats or corn, hulled, pearled, clipped, sliced, kibbled or otherwise worked, but not rolled or</w:t>
      </w:r>
    </w:p>
    <w:p>
      <w:pPr>
        <w:pStyle w:val="Normal"/>
      </w:pPr>
      <w:r>
        <w:t>flaked Germ of cereals, whole, rolled, flaked or ground Flour, meal and powder of potatoes Flakes, granules and pellets, of potatoes Flour, meal and powder of the dried leguminous vegetables of heading 0713 Flour, meal and powder of Chinese water chestnuts Flour, meal and powder of sago, or of roots or tubers of heading 0714 (excluding Chinese water chestnuts) Flour, meal and powder of banana and plantain Fruit and nut flour, meal and powder of the products of chapter 8, other than of banana and plantain Malt, not roasted Malt, roasted Wheat starch Corn (maize) starch Potato starch Cassava (manioc) starch Starches other than wheat, corn (maize), potato or cassava (manioc) starches Inulin Wheat gluten, whether or not dried, to be used as animal feed Wheat gluten, whether or not dried, to be used for other than animal feed Soybeans, whether or not broken, seed Soybeans, whether or not broken, other than seed Peanuts (ground-nuts), seed, not roasted or cooked, shelled, subject to gen note 15 of the HTS Peanuts (ground-nuts), seed, not roasted or cooked, shelled, subject to add.</w:t>
      </w:r>
    </w:p>
    <w:p>
      <w:pPr>
        <w:pStyle w:val="Normal"/>
      </w:pPr>
      <w:r>
        <w:t>US note 2 to Ch.12 Peanuts (ground-nuts), seed, not roasted or cooked, shelled, not subject to gen note 15 or add. US note 2 to Ch.12 * Peanuts (ground-nuts), not seed, not roasted or cooked, in shell, subject to gen note 15 of the HTS Peanuts (ground-nuts), not seed, not roasted or cooked, in shell, subject to add.</w:t>
      </w:r>
    </w:p>
    <w:p>
      <w:pPr>
        <w:pStyle w:val="Normal"/>
      </w:pPr>
      <w:r>
        <w:t>US note 2 to Ch.12 Peanuts (ground-nuts), not seed, not roasted or cooked, in shell, not subject to gen note 15 or add. US note 2 to Ch.12 * Peanuts (ground-nuts), not seed, not roasted or cooked, shelled, subject to gen note 15 of the HTS Peanuts (ground-nuts), not seed, not roasted or cooked, shelled, subject to add. US note 2 to Ch.12 Peanuts (ground-nuts), not seed, not roasted or cooked, shelled, not subject to gen note 15 or add.</w:t>
      </w:r>
    </w:p>
    <w:p>
      <w:pPr>
        <w:pStyle w:val="Normal"/>
      </w:pPr>
      <w:r>
        <w:t>US note 2 to Ch.12 * Copra Flaxseed (linseed), whether or not broken Low erucic acid rape or colza seeds, whether or not broken Rape or colza seeds (other than of low erucic acid), whether or not broken Sunflower seeds, whether or not broken Palm nuts and kernels Cotton seeds, whether or not broken, seed for sowing Cotton seeds, whether or not broken, other than seed for sowing Castor oil seeds Sesame seeds, whether or not broken Mustard seeds, whether or not broken Safflower (Carthamus tintorius) seeds Melon seeds Poppy seeds, whether or not broken Other oil seeds and oleaginous fruits whether or not broken, incl niger seeds, hemp seeds and seeds nesoi Flours and meals of soybeans Flours and meals of oil seeds or oleaginous fruits other than those of mustard or soybeans Sugar beet seeds of a kind used for sowing Alfalfa (lucerne) seed of a kind used for sowing White and ladino clover seeds of a kind used for sowing Clover seeds, other than white and ladino, of a kind used for sowing Fescue seeds of a kind used for sowing Kentucky blue grass</w:t>
      </w:r>
    </w:p>
    <w:p>
      <w:pPr>
        <w:pStyle w:val="Normal"/>
      </w:pPr>
      <w:r>
        <w:t>seeds of a kind used for sowing Rye grass seeds of a kind used for sowing Beet seed, other than sugar beet seed, of a kind used for sowing Seeds of forage plants of a kind used for sowing, not elsewhere specified or included Seeds of herbaceous plants cultivated principally for their flowers Cauliflower seeds of a kind used for sowing Celery seeds of a kind used for sowing Onion seeds of a kind used for sowing Parsley seeds of a kind used for sowing Pepper seeds of a kind used for sowing Vegetable seeds, nesi, of a kind used for sowing Tree and shrub seeds of a kind used for sowing Seeds, fruits and spores, of a kind used for sowing, nesi Hop cones, fresh or dried, neither ground, powdered nor in the form of pellets Hop cones, fresh or dried, ground, powdered or in the form of pellets;</w:t>
      </w:r>
    </w:p>
    <w:p>
      <w:pPr>
        <w:pStyle w:val="Normal"/>
      </w:pPr>
      <w:r>
        <w:t>lupulin Ginseng roots, fresh or dried, whether or not cut, crushed or powdered Ginseng roots, frozen or chilled Coca leaf, of a kind used in perfumery, in pharmacy or for insecticidal, fungicidal or similar purposes Poppy straw, of a kind used in perfumery, in pharmacy or for insecticidal, fungicidal or similar purposes Ephedra Mint leaves, crude or not manufactured, of a kind used in perfumery, in pharmacy or for insecticidal, fungicidal or similar purposes Mint leaves nesi, of a kind used in perfumery, in pharmacy or for insecticidal, fungicidal or similar purposes Tonka beans, of a kind used in perfumery, in pharmacy or for insecticidal, fungicidal or similar purposes Plants, parts of</w:t>
      </w:r>
    </w:p>
    <w:p>
      <w:pPr>
        <w:pStyle w:val="Normal"/>
      </w:pPr>
      <w:r>
        <w:t>plants (including seeds and fruits), used in perfumery, pharmacy, insecticidal, fungicidal or similar puproses, other, fresh or dried Plants, parts of plants (including seeds and fruits), used in perfumery, pharmacy, insecticidal, fungicidal or similar purposes, chilled or frozen Seaweeds and other algae, fresh, chilled, frozen or dried, whether or not ground, fit for human consumption Seaweeds and other algae, fresh, chilled, frozen or dried, whether or not ground, other than for human consumption Sugar beet, fresh, chilled, frozen or dried, whether or not ground Locust beans (carob) Sugar cane, fresh, chilled, frozen or dried, whether or not ground Chicory roots Nectarine stones and kernels of a kind used primarily for human consumption, not elsewhere specified or included Apricot, peach (other than nectarine) or plum stones and kernels used primarily for human consumption, not elsewhere specified or included Fruit stone &amp; kernel (not apricot/peach/plum) &amp; other vegetable products used primary human consumption, nesoi Cereal straw and husks, unprepared, whether or not chopped, ground, pressed or in the form of pellets Alfalfa</w:t>
      </w:r>
    </w:p>
    <w:p>
      <w:pPr>
        <w:pStyle w:val="Normal"/>
      </w:pPr>
      <w:r>
        <w:t>(lucerne) meal and pellets Rutabagas, mangolds, fodder roots, hay, clover, sainfoin, kale, lupines, vetches &amp; forage products nesi Gum Arabic Turpentine gum (oleoresinous exudate from living trees) Lac,natural gums, resins, gum-resins and oleoresins (e.g., balsams), nesoi Saps and extracts of opium Saps and extracts of licorice Saps and extracts of</w:t>
      </w:r>
    </w:p>
    <w:p>
      <w:pPr>
        <w:pStyle w:val="Normal"/>
      </w:pPr>
      <w:r>
        <w:t>hops Vegetable saps and extracts of ephedra Poppy straw extract Ginseng and other substances having prophylatic or therapeutic properties Vegetable saps and extracts nesoi Pectic substances, pectinates and pectates Agar-agar Mucilages and thickeners, whether or not modified, derived from locust beans, locust bean seeds or guar seeds Mucilages and thickeners derived from vegetable products other than locust beans, locust bean seeds or guar seeds, and excluding agar-agar Bamboos, of a kind used primarily for plaiting Rattans, in the rough or cut transversely into sections, of a kind used primarily for plaiting Rattans, other than those in the rough or cut transversely into sections, of a kind used primarily for plaiting Willow (osier), of a kind used primarily for plaiting Lime bark, raffia, reeds, rushes, cleaned, bleached or dyed cereal straw, other vegetable materials nesi, used primarily for plaiting Cotton linters Vegetable hair not elsewere specified or included Broomcorn (Sorghum vulgare var.</w:t>
      </w:r>
    </w:p>
    <w:p>
      <w:pPr>
        <w:pStyle w:val="Normal"/>
      </w:pPr>
      <w:r>
        <w:t>technicum) of a kind used primarily in brooms or brushes Istle of a kind used primarily in brooms or brushes Piassava, couch-grass and other vegetable materials nesoi, of a kind used primarily in brooms or brushes Other vegetable materials nesoi Lard, other than heading 0209 or 1503 Other pig fat other than heading 0209 or 1503 Poultry fat, other than that of head 0209 or 1503 Fats of bovine animals, sheep or goats, other than those of heading 1503:</w:t>
      </w:r>
    </w:p>
    <w:p>
      <w:pPr>
        <w:pStyle w:val="Normal"/>
      </w:pPr>
      <w:r>
        <w:t>tallow Fats of bovine animals, sheep or goats, other than those of heading 1503, other than tallow Lard stearin, lard oil, oleostearin, oleo-oil, and tallow oil, not emulsified or mixed or otherwise prepared Cod-liver oil and its fractions Fish-liver oils and their fractions, other than cod-liver oil and its fractions Cod oil and its fractions, other than liver oil Herring oil and its fractions, other than liver oil Fats and oils and their fractions, of fish other than cod and herring, excluding liver oil Fats and oils and their fractions, of marine mammals Wool grease, crude Fatty substances derived from wool grease (including lanolin) Animal fats and oils and their fractions nesi, whether or not refined, but not chemically modified Crude soybean oil, whether or not degummed Pharmaceutical grade soybean oil meeting FDA requirements for use in intravenous fat emulsions, valued over $5 per kg Soybean oil, other than crude, and its fractions, whether or not refined, but not chemically modified, nesi Crude peanut (ground-nut) oil</w:t>
      </w:r>
    </w:p>
    <w:p>
      <w:pPr>
        <w:pStyle w:val="Normal"/>
      </w:pPr>
      <w:r>
        <w:t>Peanut (ground-nut) oil, other than crude, and its fractions, whether or not refined, but not chemically modified Virgin olive oil and its fractions, whether or not refined, not chemically modified, weighing with the immediate container under 18 kg Virgin olive oil and its fractions, whether or not refined, not chemically modified, weighing with the immediate container 18 kg or over Olive oil, other than virgin olive oil, and its fractions, not chemically modified, weighing with the immediate container under 18 kg Olive oil, other than virgin olive oil, and its fractions, not chemically modified, weighing with the immediate container 18 kg or over Olive oil, including blends, and their fractions, not chemically modified, rendered unfit for use as food Edible oil including blends, and their fractions, nesi, not chemically modified, weighing under 18 kg Edible oil including blends, and their fractions, nesi, not chemically modified, weighing 18 kg or over Palm oil, crude, and its fractions, whether or not refined, not chemically modified Palm oil, other than crude, and its</w:t>
      </w:r>
    </w:p>
    <w:p>
      <w:pPr>
        <w:pStyle w:val="Normal"/>
      </w:pPr>
      <w:r>
        <w:t>fractions, whether or not refined, but not chemically modified Sunflower-seed or safflower oil, crude, and their fractions, whether or not refined, not chemically modified Sunflower seed or safflower oil, other than crude, and their fractions, whether or not refined, but not chemically modified Cottonseed oil, crude, and its fractions, whether or not gossypol has been removed Cottonseed oil, other than</w:t>
      </w:r>
    </w:p>
    <w:p>
      <w:pPr>
        <w:pStyle w:val="Normal"/>
      </w:pPr>
      <w:r>
        <w:t>crude, and its fractions, whether or not refined, but not chemically modified Coconut (copra) oil, crude, and its fractions, not chemically modified Coconut (copra) oil, other than crude, and its fractions, whether or not refined, but not chemically modified Palm kernel or babassu oil, crude, and their fractions, not chemically modified Palm kernel oil or babassu oil, other than crude, and their fractions, whether or not refined, but not chemically modified Low erucic acid rapeseed or colza oil, crude, but not chemically modified Low erucic acid rapeseed or colza oil, other than crude, and their fractions, whether or not refined, but not chemically modified Rapeseed/colza (not low erucic) or mustard oil, for use in manufacture of rubber substitutes or lubricating oil, crude, not chem modified Rapeseed or colza (not low erucic acid) or mustard oil, crude, not chemically modified, nesoi Rapeseed/colza(not low erucic) or mustard oil, for use manufacture rubber substitute or lube oil,not crude,&amp; its fractions,not chem modified Denatured rapeseed or colza (not low erucic acid) or mustard oil,</w:t>
      </w:r>
    </w:p>
    <w:p>
      <w:pPr>
        <w:pStyle w:val="Normal"/>
      </w:pPr>
      <w:r>
        <w:t>other than crude, and their fractions, whether or not refined, nesoi Rapeseed/colza (not low erucic) or mustard oil, other than crude, &amp; their fractions, whether or not refined, not chemically modified, nesoi Linseed oil, crude, and its fractions, not chemically modified Linseed oil, other than crude, and its fractions, whether or not refined, not chemically modified Corn (maize) oil, crude,</w:t>
      </w:r>
    </w:p>
    <w:p>
      <w:pPr>
        <w:pStyle w:val="Normal"/>
      </w:pPr>
      <w:r>
        <w:t>and its fractions, not chemically modified Corn (maize) oil, other than crude, and its fractions, whether or not refined, not chemically modified Castor oil and its fractions, whether or not refined, but not chemically modified Sesame oil and its fractions, whether or not refined, not chemically modified Nut oils, whether or not refined, not chemically modified Jojoba oil and its fractions, whether or not refined, not chemically modified Fixed vegetable fats and oils and their fractions nesoi, whether or not refined, not chemically modified Animal fats and oils, partly or wholly hydrogenated, interesterified, reesterified or elaidinized, not further prepared Rapeseed oil, hydrogenated or hardened Vegetable fats and oils nesi, partly or wholly hydrogenated, interesterified, reesterified or elaidinized, not further prepared Margarine, excluding liquid margarine Edible artificial mixtures of products provided for in headings 1501 to 1515, cont. 5% or more by weight of soybean oil or fraction thereof Edible artificial mixtures of products provided for in headings 1501 to 1515, nesi Edible mixt. &amp; preps, dairy products described in add.</w:t>
      </w:r>
    </w:p>
    <w:p>
      <w:pPr>
        <w:pStyle w:val="Normal"/>
      </w:pPr>
      <w:r>
        <w:t>US note 1 to Ch 4: subject to gen. note 15 of the HTS Edible mixt. &amp; preps, dairy products described in add. US note 1 to Ch 4: subject to add. US note 10 to Ch. 4 Edible mixt. &amp; preps, dairy products described in add. US note 1 to Ch 4: not subj. to gen. note 15 or add. US note 10 to Ch. 4 * Edible mixt. &amp; preps (ex. dairy products descr. in add.</w:t>
      </w:r>
    </w:p>
    <w:p>
      <w:pPr>
        <w:pStyle w:val="Normal"/>
      </w:pPr>
      <w:r>
        <w:t>US note 1 to Ch.</w:t>
      </w:r>
    </w:p>
    <w:p>
      <w:pPr>
        <w:pStyle w:val="Normal"/>
      </w:pPr>
      <w:r>
        <w:t>4), nesoi Linseed or flaxseed oil, and their fractions, boiled, oxidized, dehydrated, sulfurized, blown or otherwise chemically modified Animal or vegetable fats and oils, nesi, oxidized, dehydrated or otherwise chemically modified; inedible mixtures of fats and oils nesi Glycerol, crude; glycerol waters and glycerol lyes Vegetable waxes (other than triglycerides), whether or not refined or colored Bleached beeswax Insect waxes, other than bleached beeswax, and spermaceti, whether or not refined or colored Degras; residues resulting from the treatment of fatty substances or animal or vegetable waxes Pork sausages and similar products of pork, pork offal or blood; food preparations based on these products Sausages and similar products of beef, beef offal or blood; food preparations based on these products, in airtight containers Sausage and similar products of meats, meat offal or blood nesi;</w:t>
      </w:r>
    </w:p>
    <w:p>
      <w:pPr>
        <w:pStyle w:val="Normal"/>
      </w:pPr>
      <w:r>
        <w:t>food preparations based on these products Homogenized preparations of prepared or preserved meat, meat offal or blood, put up for retail sale as food for infants or for dietetic purposes Homogenized preparations of prepared or preserved meat, meat offal or blood, put up for retail sale as food for children Prepared or preserved liver of goose Prepared or preserved liver of any animal other than of goose Prepared or preserved meat or meat offal of turkeys, nesi Prepared or preserved meat or meat offal of chickens, nesoi Prepared or preserved meat or meat offal of ducks,</w:t>
      </w:r>
    </w:p>
    <w:p>
      <w:pPr>
        <w:pStyle w:val="Normal"/>
      </w:pPr>
      <w:r>
        <w:t>geese or guineas, nesoi Prepared or preserved pork ham and cuts thereof, containing cereals or vegetables Pork hams and cuts thereof, not containing cereals or vegetables, boned and cooked and packed in airtight containers Prepared or preserved pork hams and cuts thereof, not containing cereals or vegetables, nesi Pork shoulders and cuts thereof, boned and cooked and packed in airtight containers Prepared or preserved pork shoulders and cuts thereof, other than boned and cooked and packed in airtight containers Prepared or preserved pork offal, including mixtures Pork other than ham and shoulder and cuts thereof, not containing cereals or vegetables, boned and cooked and packed in airtight containers Prepared or preserved pork, not containing cereals or vegetables, nesi Prepared or preserved pork mixed with beef Prepared or preserved pork, nesi Prepared or preserved offal of bovine animals Corned beed in airtight containers Of bovine animals, cured or pickled, not corned beef, not in airtight containers Of bovine animals, other, in airtight containers Prepared or preserved meat of bovine animals, not</w:t>
      </w:r>
    </w:p>
    <w:p>
      <w:pPr>
        <w:pStyle w:val="Normal"/>
      </w:pPr>
      <w:r>
        <w:t>containing cereals or vegetables, nesi Prepared or preserved meat of bovine animals, containing cereals or vegetables Prepared or preserved frog meat Prepared or preserved meat, meat offal or blood, whether or not canned, nesoi Clam juice Extracts and juices of meat, fish, crustaceans, molluscs or other aquatic invertebrates, other than clam juice Prepared or preserved salmon,</w:t>
      </w:r>
    </w:p>
    <w:p>
      <w:pPr>
        <w:pStyle w:val="Normal"/>
      </w:pPr>
      <w:r>
        <w:t>whole or in pieces, but not minced, in oil, in airtight containers Prepared or preserved salmon, whole or in pieces, but not minced, other than in oil and in airtight containers Prepared or preserved herrings, whole or in pieces, but not minced, in oil, in airtight containers Herrings, whole or in pieces, but not minced, in tomato sauce, smoked or kippered, in immediate containers over 0.45 kg each Herrings prepared or preserved, whole or in pieces, but not minced, nesi Smoked sardines, in oil, not skinned nor boned, $1/kg or more in tin-plate containers, or $1.10/kg or more in other airtight containers Sardines, not smoked, sardinella, brisling or sprats, neither skinned nor boned, in oil, in airtight containers Sardines, sardinella, brisling or sprats, skinned or boned, in oil, in airtight containers Sardines, sardinella, brisling, sprats in containers with their contents under 225 g each, except those in oil and in airtight containers Sardines, sardinella and brisling or sprats (not in oil and airtight cont.), prepared or preserved, not minced, cont.</w:t>
      </w:r>
    </w:p>
    <w:p>
      <w:pPr>
        <w:pStyle w:val="Normal"/>
      </w:pPr>
      <w:r>
        <w:t>225 g or more Tunas and skipjack, whole or in pieces, but not minced, in oil, in airtight containers Tunas and skipjack, not in oil, in airtight cont., n/o 7 kg, not of U.S. possessions, product within quota Tunas and skipjack, not in oil, in airtight containers, n/o 7 kg, not of U.S.</w:t>
      </w:r>
    </w:p>
    <w:p>
      <w:pPr>
        <w:pStyle w:val="Normal"/>
      </w:pPr>
      <w:r>
        <w:t>possessions, over quota Tunas and skipjack, not in airtight containers, not in oil, in bulk or in immediate containers weighing with contents over 6.8 kg each Tunas and skipjack, not in airtight containers, not in bulk or in immediate containers weighing with contents over 6.8 kg each Bonito (Sarda spp.), in oil Bonito (Sarda spp.), not in oil Prepared or preserved mackerel, whole or in pieces, but not minced Anchovies, whole or in pieces but not minced, in oil, in airtight containers Prepared or preserved anchovies, whole or in pieces, not minced, not in oil, in immediate containers with their contents 6.8 kg or less ea.</w:t>
      </w:r>
    </w:p>
    <w:p>
      <w:pPr>
        <w:pStyle w:val="Normal"/>
      </w:pPr>
      <w:r>
        <w:t>Prepared or preserved anchovies, whole or in pieces, but not minced, not in oil, nesi Prepared or preserved eels, whole or in pieces, but not minced, in airtight containers, not in oil Eel portions similar to fish sticks and like products of any size or shape, breaded, coated with batter, not cooked nor in oil Eel similar to fish sticks and like products of any size or shape, if breaded, coated with batter, cooked or in oil Prepared or preserved eel, in oil and in bulk or in immediate containers weighing over 7 kg each Prepared or preserved eel, whole or in pieces, but not minced, nesi Shark fins, not in oil, in airtight containters Shark fins, not in airtight containers Bonito, yellowtail and pollock, whole or in pieces, but not minced, in airtight containers, not in oil Other fish, excluding bonito, yellowtail and pollock, in airtight containers, not in</w:t>
      </w:r>
    </w:p>
    <w:p>
      <w:pPr>
        <w:pStyle w:val="Normal"/>
      </w:pPr>
      <w:r>
        <w:t>oil Bonito, yellowtail and pollock, whole or in pieces, but not minced, in airtight containers, in oil Other fish, excluding bonito, yellowtail and pollock, in airtight containers, in oil Fish sticks and like products of any size or shape, fillets or other portions of fish, breaded, coated with batter, not cooked nor in oil Fish sticks and like products of any size or shape, fillets or other portions of fish, if breaded, coated with batter, cooked or in oil Prepared or preserved fish nesi, in oil and in bulk or in immediate containers weighing over 7 kg each Fish, whole or in pieces, but not minced, prepared or preserved, nesoi Products containing meat of crustaceans, molluscs or other aquatic invertebrates, prepared meals Fish pastes Fish balls, cakes and puddings, in oil Fish balls, cakes and puddings, not in oil, in immediate airtight containers, weighing with their contents not over 6.8 kg each Fish balls, cakes and puddings, not in oil, and in immediate nonairtight containers weighing with their contents not</w:t>
      </w:r>
    </w:p>
    <w:p>
      <w:pPr>
        <w:pStyle w:val="Normal"/>
      </w:pPr>
      <w:r>
        <w:t>over 6.8 kg each Fish balls, cakes and puddings, not in oil, not in immediate containers, weighing with their contents not over 6.8 kg each Fish sticks and similar products of any size or shape, if breaded, coated with batter or similarly prepared, not cooked nor in oil Fish sticks and similar products of any size or shape, if breaded, coated with batter or similarly prepared, cooked or in oil Prepared or preserved fish, other than whole or in pieces, nesi Caviar</w:t>
      </w:r>
    </w:p>
    <w:p>
      <w:pPr>
        <w:pStyle w:val="Normal"/>
      </w:pPr>
      <w:r>
        <w:t>Caviar substitutes prepared from fish eggs, boiled and in airtight containers Caviar substitutes prepared from fish eggs, nesi Crab products containing fish meat; prepared meals of crab Crabmeat, prepared or preserved, in airtight containers Crabmeat, prepared or preserved, other than in airtight containers Crabs, other than crabmeat, prepared or preserved Shrimp &amp; prawns not in airtight containers: fish meat and prepared meals Shrimp &amp; prawns not in airtight containers: other than fish meat and prepared meals Shrimp &amp; prawns in airtight containers: fish meat and prepared meals Shrimp &amp; prawns in airtight containers: other than fish meat and prepared meals Lobster products containing fish meat; prepared meals of lobster Lobster, prepared or preserved, not containing fish meat, nesi Crustacean products nesi, containing fish meat; prepared meals of crustaceans, nesi Crustaceans nesi, prepared or preserved, not containing fish meat, nesi Oysters, fish meat or prepared meals Smoked oysters Oysters, prepared or preserved, but not smoked Scallops, including queen scallops as containing fish meat;</w:t>
      </w:r>
    </w:p>
    <w:p>
      <w:pPr>
        <w:pStyle w:val="Normal"/>
      </w:pPr>
      <w:r>
        <w:t>prepared meals Scallops, including queen scallops, prepared or preserved Mussels, containing fish meats or in prepared meals Mussels, prepared or preserved Cuttle fish and squid, as containing fish meat; prepared meals Cuttle fish and squid, prepared or preserved Octopus, as containing fish meat or prepared meals Octopus, prepared or preserved Products of clams, cockles, and arkshells</w:t>
      </w:r>
    </w:p>
    <w:p>
      <w:pPr>
        <w:pStyle w:val="Normal"/>
      </w:pPr>
      <w:r>
        <w:t>containing fish meat; prepared meals Razor clams, in airtight containers, prepared or preserved, nesi Boiled clams in immediate airtight containers, the contents of which do not exceed 680 g gross weight Clams, prepared or preserved, excluding boiled clams, in immediate airtight containers, nesi Clams, prepared or preserved, other than in airtight containers Cockles and arkshells, prepared or preserved Products of abalone containing fish meat; prepared meals of abalone Abalone, prepared or preserved Products of snails, other than sea snails, containing fish meat; prepared meals of snails other than sea snails Prepared or preserved snails, other than sea snails Products of molluscs nesi containing fish meat; prepared meals of molluscs nesi Molluscs nesi, prepared or preserved Sea cucumbers, prepared or preserved Sea urchins, prepared or preserved Jelly fish, prepared or preserved Other aquatic invertebrates, nesi, prepared or preserved Beet sugar, raw, in solid form, w/o added flavoring or coloring, subject to gen. note 15 of the HTS Beet sugar, raw, in solid form, w/o added flavoring or coloring, subject to add.</w:t>
      </w:r>
    </w:p>
    <w:p>
      <w:pPr>
        <w:pStyle w:val="Normal"/>
      </w:pPr>
      <w:r>
        <w:t>US 5 to Ch.17 Beet sugar, raw, in solid form, w/o added flavoring or coloring, nesoi, not subject to gen. note 15 or add. US 5 to Ch.17 * Cane sugar, raw, specified in subheading 2 to chapter 17, in solid form, w/o added flavoring or coloring, subject to gen.</w:t>
      </w:r>
    </w:p>
    <w:p>
      <w:pPr>
        <w:pStyle w:val="Normal"/>
      </w:pPr>
      <w:r>
        <w:t>note 15 of the HTS Cane sugar, raw, specified in subheading 2 and subject to add’l note 5 to this chapter, in solid form, w/o added flavoring or coloring Cane sugar, raw, specified in subheading 2 to chapter 17, to be used for certain polyhydric alcohols Cane sugar, raw, specif in subhead 2 to chapt 17,solid, w/o added flavor or color, not subject gen. note 15 of the HTS or chapter note 5 * Other cane sugar, raw, in solid form, w/o added flavoring or coloring, subject to gen. note 15 of the HTS Other cane sugar, raw, in solid form, w/o added flavoring or coloring, subject to add. US 5 to Ch.17 Other cane sugar, raw, in solid form, to be used for certain polyhydric alcohols Other cane sugar, raw solid form, w/o flavoring or coloring, nesoi, not subject to gen. note 15 or add.</w:t>
      </w:r>
    </w:p>
    <w:p>
      <w:pPr>
        <w:pStyle w:val="Normal"/>
      </w:pPr>
      <w:r>
        <w:t>US 5 to Ch.17 * Cane/beet sugar &amp; pure sucrose, refined, solid, w/added coloring but not flav., subject to gen. note 15 of the HTS Cane/beet sugar &amp; pure sucrose, refined, solid, w/added coloring but not flav., subject to add. US 5 to Ch.17 Cane/beet sugar &amp; pure sucrose, refined, solid, w/added coloring but not flav., not subject to gen. note 15 or add. US 5 to Ch.17 * Cane/beet sugar &amp; pure sucrose, refined, solid, w/added flavoring, o/65% by wt. sugar, descr. in Ch17 US note 2, subj. to gen nte 15 Cane/beet sugar &amp; pure sucrose, refined, solid, w/added flavoring, o/65% by wt. sugar, descr. in Ch17 US note 2, subj.</w:t>
      </w:r>
    </w:p>
    <w:p>
      <w:pPr>
        <w:pStyle w:val="Normal"/>
      </w:pPr>
      <w:r>
        <w:t>to Ch17 US nte 7 Cane/beet sugar &amp; pure sucrose, refined, solid, w/added flavoring, o/65% by wt. sugar, descr. in Ch17 US note 2, not GN 15/Ch 17 US nte 7 * Cane/beet sugar &amp; pure sucrose, refined, solid, w/added flavoring, o/10% by wt. sugar, descr. in Ch17 US note 3, subj. to gen nte 15 Cane/beet sugar &amp; pure sucrose, refined, solid, w/added flavoring, o/10% by wt. sugar, descr. in Ch17 US note 3, subj. to Ch17 US nte 8 Cane/beet sugar &amp; pure sucrose, refined, solid, w/added flavoring, o/10% by wt. sugar, descr. in Ch17 US note 3, not GN15/Ch.17 US nte 8 * Cane/beet sugar &amp; pure sucrose, refined, solid, w/added flavoring, nesoi Cane/beet sugar &amp; pure sucrose, refined, solid, w/o added coloring or flavoring, subject to gen. note 15 of the HTS Cane/beet sugar &amp; pure sucrose, refined, solid, w/o added coloring or flavoring, subject to add. US 5 to Ch.17 Cane/beet sugar &amp; pure sucrose, refined, solid, w/o added coloring or flavoring, not subject to gen. note 15 or add.</w:t>
      </w:r>
    </w:p>
    <w:p>
      <w:pPr>
        <w:pStyle w:val="Normal"/>
      </w:pPr>
      <w:r>
        <w:t>US 5 to Ch.17 * Lactose and lactose syrup containing by weight 99% or more lactose, calculated on the dry matter Lactose and lactose syrup containing by weight less than 99% lactose, calculated on the dry matter Maple syrup, blended, described in add. US note 4 to Ch.17: subject to gen. note 15 of the HTS Maple syrup, blended, described in add. US note 4 to Ch.17: subject to add. US note 9 to Ch.17 Maple syrup, blended, described in add. US note 4 to Ch.17: not subject to gen note 15 or add.</w:t>
      </w:r>
    </w:p>
    <w:p>
      <w:pPr>
        <w:pStyle w:val="Normal"/>
      </w:pPr>
      <w:r>
        <w:t>US note 9 to Ch.17 * Maple sugar and maple syrup, nesi Glucose &amp; glucose syrup nt containing or containing in dry state less than 20% fructose; blended, see gen. note 15 of the schedule &amp; prov. Glucose &amp; glucose syrup nt containing or containing in dry state less than 20% fructose; blended, see add’l U.S. note 9 (chap. 17) &amp; Prov. Glucose &amp; glucose syrup not containing or containing in dry state less than 20% fructose; blended syrups (chap 17-note 4), nesoi * Glucose and glucose syrup, not containing fructose or in the dry state less than 20 percent by weight of fructose, nesi Blended syrup desc. in add’l U.S. note 4(chap.17) Contng in dry state 20%-50% by weight of fructose, see gen. note 15 of the HTS &amp; prov. Blended syrup desc. in add’l U.S. note 4(chap.17) Contng in dry state 20%-50% by weight of fructose, see add’l U.S. note 9 (chap.17) &amp; Prov.</w:t>
      </w:r>
    </w:p>
    <w:p>
      <w:pPr>
        <w:pStyle w:val="Normal"/>
      </w:pPr>
      <w:r>
        <w:t>Blended syrup desc. in add’l U.S. note 4(chap.17) Contng in dry state 20%-50% by weight of fructose, nesoi * Glucose in solid form &amp; glucose syrup, containing in dry state at least 20% but less than 50% by weight of fructose, nesoi Chemically pure fructose Oth fructose &amp; fruc. syrup contng in dry state &gt;50% by wt. of fructose, blended syrup(see add’l U.S. note 4-chap 17) &amp; see gen. note 15 Oth fructose &amp; fruc. syrup contng in dry state &gt;50% by wt. of fructose, blended syrup(see add’l U.S. note 4-chap 17) &amp; see add’l U.S. note 9 Oth fructose &amp; fruc. syrup contng in dry state &gt;50% by wt. of fructose, blended syrup(see add’l U.S.</w:t>
      </w:r>
    </w:p>
    <w:p>
      <w:pPr>
        <w:pStyle w:val="Normal"/>
      </w:pPr>
      <w:r>
        <w:t>note 4-chap 17), nesoi * Glucose and glucose syrup, w/50% or more fructose, other than blended syrups described in add. US note 4 to Ch.17 Cane/beet sugars &amp; syrups (incl. invert sugar); nesoi, w/soluble non-sugar solids 6% or less soluble solids, subj to GN 15 Cane/beet sugars &amp; syrups (incl. invert sugar); nesoi, w/soluble non-sugar solids 6% or less soluble solids, subj Ch17 US note 5 Cane/beet sugars &amp; syrups (incl. invert sugar); nesoi, w/soluble non-sugar solids 6% or less soluble solids, not subj to GN15/Ch17 US nte 5 * Invert molasses Other cane/beet syrups nesi Sugar syrups, artificial honey, caramel, nesoi, subject to gen. note 15 of the HTS Blended syrups described in add. US note 4 to chap. 17, nesoi, subject to add. US note 9 to Ch. 17 Blended syrups described in add. US note 4 to chap. 17, nesoi, not subject to add. US note 9 to Ch. 17 * Sugars nesoi w/o 65% by dry wt. sugar, described in add. U.S note 2 to Ch.17: and subj. to add. US note 7 to Ch.17 Sugars nesoi w/o 65% by dry wt. sugar, described in add. U.S note 2 to Ch.17: and not subj. to add.</w:t>
      </w:r>
    </w:p>
    <w:p>
      <w:pPr>
        <w:pStyle w:val="Normal"/>
      </w:pPr>
      <w:r>
        <w:t>US note 7 to Ch.17 * Sugars and sugar syrups, and articles containing sugar, neosi Cane molasses imported for (a) the commercial extraction of sugar or (b) human consumption Cane molasses nesi Molasses, other than cane, imported for (a) the commercial extraction of sugar or (b) human consumption Molasses nesi Chewing gum, not containing cocoa, whether or not sugar-coated Candied nuts, not containing cocoa Sugar confectionary cough drops, not containing cocoa Sugar confections or sweetmeats ready for consumption, not containing cocoa, other than candied nuts or cough drops Sugar confectionery nesoi, not containing cocoa, subject to gen. note 15 of the HTS Sugar confectionery nesoi, w/o cocoa, dairy products subject to add. US note 1 to chap. 4: subject to add US note 10 to chapter 4 Sugar confectionery nesoi, w/o cocoa, dairy products subject to add. US note 1 to chap. 4: not subject to add US note 10 to chapter 4 * Sugar confectionery nesoi o/65% by dry wt. of sugar described in add. US note 2 to Ch. 17, w/o cocoa, subj. to add.</w:t>
      </w:r>
    </w:p>
    <w:p>
      <w:pPr>
        <w:pStyle w:val="Normal"/>
      </w:pPr>
      <w:r>
        <w:t>US note 7 to Ch.17 Sugar confectionery nesoi o/65% by dry wt. of sugar described in add. US note 2 to Ch. 17, w/o cocoa, not subj. to Ch17 US note 7 * Sugar confectionery nesoi o/10% by dry wt. of sugar described in add. US note 3 to Ch. 17, w/o cocoa, subj. to add. US note 8 to Ch.17 Sugar confectionery nesoi o/10% by dry wt. of sugar described in add. US note 3 to Ch. 17, w/o cocoa, not subj.</w:t>
      </w:r>
    </w:p>
    <w:p>
      <w:pPr>
        <w:pStyle w:val="Normal"/>
      </w:pPr>
      <w:r>
        <w:t>to Ch17 US note 8 * Sugar confectionery, w/o cocoa, nesoi Cocoa beans, whole or broken, raw or roasted Cocoa shells, husks, skins and other cocoa waste Cocoa paste, not defatted Cocoa paste, wholly or partly defatted Cocoa butter, fat and oil Cocoa powder, not containing added sugar or other sweetening matter Cocoa powder, sweetened, w/less than 65% by dry wt. sugar, subject to gen. note 15 of the HTS Cocoa powder, sweetened, w/less than 65% by dry wt. sugar, subject to add US note 1 to Ch. 18 Cocoa powder, sweetened, w/less than 65% by dry wt. sugar, not subject to gen note 15 or add US note 1 to Ch. 18 * Cocoa powder, o/65% but less than 90% by dry wt of sugar, subject to gen. note 15 of the HTS Cocoa powder, o/65% but less than 90% by dry wt of sugar, described in add US note 2 to Ch.17: subj. to add US note 7 to Ch.</w:t>
      </w:r>
    </w:p>
    <w:p>
      <w:pPr>
        <w:pStyle w:val="Normal"/>
      </w:pPr>
      <w:r>
        <w:t>17 Cocoa powder, o/65% but less than 90% by dry wt of sugar, described in add US note 2 to Ch.17: not subj. to add US note 7 to Ch. 17 * Cocoa powder, sweetened, neosi, subject to add US note 1 to Ch. 18 Cocoa powder, sweetened, neosi, not subject to add US note 1 to Ch. 18 * Cocoa powder, o/90% by dry wt of sugar, subject to gen. note 15 of the HTS Cocoa powder, o/90% by dry wt of sugar, described in add US note 2 to Ch. 17: subject to add US note 7 to Ch. 17 Cocoa powder, o/90% by dry wt of sugar, described in add US note 2 to Ch. 17: not subject to add US note 7 to Ch. 17 * Cocoa powder, o/90% by dry wt of sugar, neosi, subject to add. US note 1 to Ch.</w:t>
      </w:r>
    </w:p>
    <w:p>
      <w:pPr>
        <w:pStyle w:val="Normal"/>
      </w:pPr>
      <w:r>
        <w:t>18 Cocoa powder, o/90% by dry wt of sugar, neosi * Preparation consist wholly of ground cocoa beans, cont. n/o 32% butterfat and 60% sugar, in blocks or slabs 4.5 kg or more each Chocolate, ov 2kg, cont. milk solids, not in blocks 4.5 kg or more, subj. to gen. note 15 of the HTS Chocolate, ov 2kg, cont. milk solids, not in blocks 4.5 kg or more, subj. to add US note 2 to Ch. 18, not GN15, ov 5.5 pc bf Chocolate, ov 2kg, cont. milk solids, not in blocks 4.5 kg or more, not subj. Ch18 US note 2/GN15, ov 5.5 pc bf, less th 21% milk solids * Chocolate, ov 2kg, cont. milk solids, not in blocks 4.5 kg or more, not GN15, ov 5.5 pc bf ov 21% milk solids * Chocolate, ov 2kg, cont. milk solids, not in blocks 4.5 kg or more, not ov 5.5 pc bf, subj. to add US note 3 to Ch.</w:t>
      </w:r>
    </w:p>
    <w:p>
      <w:pPr>
        <w:pStyle w:val="Normal"/>
      </w:pPr>
      <w:r>
        <w:t>18, not GN15 Chocolate, ov 2kg, cont. milk solids, not in blocks 4.5 kg or more, less than 21% milk solids, not subj. to Ch18 US note 3/GN15 * Chocolate, ov 2kg, cont. milk solids, not in blocks 4.5 kg or more, 21% or more milk solids, not GN15 * Chocolate, ov 2kg, cont. milk solids, not in blocks 4.5 kg or more, no milk solids, not GN15 Confectioners’ coatings &amp; other products, not less than 6.8% non-fat solids of the cocoa bean nib and not less than 15% vegetable fats Chocolate/oth preps with cocoa, ov 2kg but n/o 4.5 kg, o/65% by wt of sugar, subject to gen. note 15 of the HTS Chocolate/oth preps with cocoa, ov 2kg but n/o 4.5 kg, o/65% by wt of sugar, desc in add US nte 2 to Ch. 17: subj. to add note 7 to Ch.</w:t>
      </w:r>
    </w:p>
    <w:p>
      <w:pPr>
        <w:pStyle w:val="Normal"/>
      </w:pPr>
      <w:r>
        <w:t>17 Chocolate/oth preps with cocoa, ov 2kg but n/o 4.5 kg, o/65% by wt of sugar, desc in Ch17 US nte 2, not subj. to Ch17 US note 7 * Chocolate/oth preps with cocoa, ov 2kg but n/o 4.5 kg, o/65% by wt of sugar, desc in add US nte 3 to Ch. 17: subj. to Ch17 US note 8 Chocolate/oth preps with cocoa, ov 2kg but n/o 4.5 kg, o/65% by wt of sugar, desc in add US nte 3 to Ch.</w:t>
      </w:r>
    </w:p>
    <w:p>
      <w:pPr>
        <w:pStyle w:val="Normal"/>
      </w:pPr>
      <w:r>
        <w:t>17: not subj. to Ch17 US note 8 * Chocolate/oth preps with cocoa, ov 2kg but n/o 4.5 kg, o/65% by wt of sugar, neosi Chocolate/oth preps with cocoa, ov 2kg but n/o 4.5 kg, n/o 65% by wt of sugar, not in blocks 4.5 kg or more, subj to GN 15 Chocolate/oth preps with cocoa, ov 2kg but n/o 4.5 kg, (dairy prod. descr. in Ch.4 US note 1), n/o 65% sugar, subj to Ch.4 nte 10, not GN15 Chocolate/oth preps w/cocoa, o/2kg but n/o4.5 kg (dairy prod. of Ch4 US note 1), n/o 65% sugar, less th 21% milk solid, not GN15 * Chocolate/oth preps w/cocoa, o/2kg but n/o4.5 kg (dairy prod. of Ch4 US note 10), n/o 65% sugar, 21% or more milk solids, not GN15 * Low-fat chocoate crumb, n/o 65% by wt of sugar, ov 2kg but n/o 4.5 kg, subject to add US note 3 to Ch.</w:t>
      </w:r>
    </w:p>
    <w:p>
      <w:pPr>
        <w:pStyle w:val="Normal"/>
      </w:pPr>
      <w:r>
        <w:t>18, not GN15 Low-fat chocolate crumb, n/o 65% by wt of sugar, ov 2kg but n/o 4.5 kg, less than 21% milk solids, not GN15, not subj to ch 18 US note 3 * Low-fat chocolate crumb, n/o 65% by wt of sugar, 21% or more milk solids, not ov 2kg, not GN15, not subj to ch 18 US note 3 * Blended syrups w/chocolate or cocoa, o/2kg but n/o 4.5 kg, n/o 65% sugar, descr in Ch17 US note 4, subj. to Ch17 US note 9, not GN15 Blended syrups w/chocolate or cocoa, o/2kg but n/o 4.5 kg, n/o 65% sugar, descr in Ch 17 US note 4, not subj. to Cha7 US note 9, not GN15 * Chocolate and preps w/cocoa, nesoi, o/2kg but n/o 4.5 kg, n/o 65% sugar, desc in Ch17 US note 3, subj.</w:t>
      </w:r>
    </w:p>
    <w:p>
      <w:pPr>
        <w:pStyle w:val="Normal"/>
      </w:pPr>
      <w:r>
        <w:t>to Ch17 US note 8, not GN15 Chocolate and preps w/cocoa, neosi, o/2kg but n/o 4.5 kg, n/o 65% sugar, desc in Ch17 US note 3, not subj to Ch.17 US note 8, not GN15 * Chocolate and preps with cocoa, nesoi, ov 2kg but n/o 4.5 kg, n/o 65% sugar, nesoi Chocolate and other cocoa preparations, in blocks, slabs or bars, filled, not in bulk Chocolate, nt filled, in blocks/slabs/bars 2kg or less, subj. to GN15 Chocolate, nt filled, in blocks/slabs/bars 2kg or less, subj. to add US note 2 to Ch.</w:t>
      </w:r>
    </w:p>
    <w:p>
      <w:pPr>
        <w:pStyle w:val="Normal"/>
      </w:pPr>
      <w:r>
        <w:t>18 Chocolate, not filled, less than 21% milk solids, &gt;5.5% butterfat, in blocks/slabs/bars 2kg or less * Chocolate, not filled, 21% or more milk solids, &gt;5.5% butterfat, in blocks/slabs/bars 2kg or less * Chocolate, not filled, in blocks/slabs/bars 2kg or less, subj. to add US note 3 to Ch.</w:t>
      </w:r>
    </w:p>
    <w:p>
      <w:pPr>
        <w:pStyle w:val="Normal"/>
      </w:pPr>
      <w:r>
        <w:t>18 Chocolate, not filled, less than 21% milk solids, &lt;= 5.5% butterfat, in blocks/slabs/bars 2kg or less * Chocolate, not filled, 21% or more milk solids, &lt;=5.5% butterfat, in blocks/slabs/bars 2kg or less * Chocolate, not filled, w/o butterfat/milk solids, in blocks/slabs/bars 2kg or less Cocoa preps, not filled, in blocks, slabs or bars weighing 2 kg or less, subject to gen. note 15 of the HTS Cocoa preps, (dairy prod. of Ch4 US note 1), not filled, in blocks, slabs or bars, w/wt 2 kg or less, subj. to add.</w:t>
      </w:r>
    </w:p>
    <w:p>
      <w:pPr>
        <w:pStyle w:val="Normal"/>
      </w:pPr>
      <w:r>
        <w:t>US note 10 to Ch 4 Cocoa preps, (dairy prod. of Ch4 US note 1), less than 21% milk solids, not filled, in blocks/slabs/bars, 2 kg or less, not Ch.4 US nte 10 * Cocoa preps, (dairy prod. of Ch4 US note 1), 21% or more milk solids, not filled, in blocks/slabs/bars, 2 kg or less, not Ch.4 US nte 10 * Cocoa preps, not filled, in blocks, slabs or bars weighing 2kg or less, Cocoa preps, not in blocks/slabs/bars, subj. to gen. note 15 of the HTS Cocoa preps, (dairy prod. descr. in add US note 1 to Ch.4), not in blocks, slabs or bars, subj. to add.</w:t>
      </w:r>
    </w:p>
    <w:p>
      <w:pPr>
        <w:pStyle w:val="Normal"/>
      </w:pPr>
      <w:r>
        <w:t>US note 10 to Ch 4, not GN15 Cocoa preps, (dairy prod. descr. in add US note 1 to Ch.4), less than 21% milk solids, not in blocks, slabs or bars, not GN15 * Cocoa preps, (dairy prod. descr. in Ch4 US note 1), 21% or more milk solids, not in blocks, slabs or bars, not Ch4 USNote 10, not GN15 * Cocoa preps, o/5.5% butterfat by wt, not in blocks/slabs/bars, subj. to add US note 2 to Ch.</w:t>
      </w:r>
    </w:p>
    <w:p>
      <w:pPr>
        <w:pStyle w:val="Normal"/>
      </w:pPr>
      <w:r>
        <w:t>18, not GN15 Cocoa preps, o/5.5% butterfat by wt, w/less than 21% milk solids, not in blocks/slabs/bars, not GN15 * Cocoa preps, o/5.5% butterfat by wt, 21% or more milk solids, not in blocks/slabs/bars, not GN15 * Cocoa preps, cont. milk solids, n/o 5.5% butterfat by wt, not in blocks/slabs/bars, subj. to add US note 3 to Ch. 18, not GN15 Cocoa preps, cont. milk solids, n/o 5.5% butterfat by wt, w/less than 21% milk solids, not blocks/slabs/bars, not Ch18 US note 3, not GN15 * Cocoa preps, cont. milk solids, n/o 5.5% butterfat by wt, 21% or more milk solids, not in blocks/slabs/bars, not Ch18 US note 3, not GN15 * Blended syrups w/chocolate or cocoa, nesoi, described in add US note 4 to Ch.17: subj. to add US note 9 to Ch. 17, not GN15 Blended syrups w/chocolate or cocoa, nesoi, described in add US note 4 to Ch.17: not subj. to add US note 9 to Ch. 17, not GN15 * Chocolate and preps w/cocoa, nesoi, o/65% by dry wt of sugar, described in add US note 2 to Ch.17: subj.</w:t>
      </w:r>
    </w:p>
    <w:p>
      <w:pPr>
        <w:pStyle w:val="Normal"/>
      </w:pPr>
      <w:r>
        <w:t>to Ch17 US note 7, not GN15 Chocolate and preps w/cocoa, nesoi, o/65% by dry wt of sugar, described in add US note 2 to Ch.17: not subj to Ch17 US note 7, not GN15 * Chocolate and preps w/cocoa, nesoi, o/10% by dry wt of sugar, described in add US note 3 to Ch.17: subj to Ch17 US note 8, not GN15 Chocolate and preps w/cocoa, nesoi, o/10% by dry wt of sugar, described in add US note 3 to Ch.17: not subj to Ch17 US note 8, not GN15 * Chocolate and preps w/cocoa, nesoi, not put up for retail sale Preps for infant use, for retail sale, o/10% milk solids, subject to gen. note 15 Preps for infant use, infant formula containing Oligossaccharides and &gt;10% milk solid by weight, described in US note 2 Preps for infant use, infant formula containing Oligossaccharides and &gt; 10% milk solid by weight, nesoi * Pre[s for infant use containing &gt;10% milk solids, dairy products described in additional note 10 to chap:</w:t>
      </w:r>
    </w:p>
    <w:p>
      <w:pPr>
        <w:pStyle w:val="Normal"/>
      </w:pPr>
      <w:r>
        <w:t>provisional Preps for infant use, containing &gt;10% weight of milk solids, dairy products described in additional note 1 to chapter 4, nesoi * Preps for infant use, containing &gt;10% by weight of milk solids, nesoi Preps for infant use, nesoi, described in general note 15 of USHTS and entered pursuant to its provisions Preps for infant use, nesoi, containing Oligosaccharides described in additional US note 2: provisional Preps for infant use, nesoi, formula containing Oligosaccharides, nesoi * Preps for infant use, nesoi, dairy products described in additional US note 10 to chatper</w:t>
      </w:r>
    </w:p>
    <w:p>
      <w:pPr>
        <w:pStyle w:val="Normal"/>
      </w:pPr>
      <w:r>
        <w:t>4: provisional Preps for infant use, dairy products described in additional US note 1 to chapter 4 * Preps for infant use, nesoi Preps for young children, containing &gt;10% milk solids by weight, described in general note 15 of USHTS: provisional Preps suitable for young children, containing &gt;10% milk solids by weight, described in additional US note 10 to chapter 4 Preps for young children, dairy preps containing &gt; 10% by weight of milk solids, nesoi * Preps for young children, nesoi, described in general note 15: provisional Preps for young children, nesoi, described in additional US note 10 to chapter 4 Preps for young children, nesoi * Preps for young children, other excl dairy, described in general note 15 of USHTS and entered pursuant to its provisions Preps for young children, nesoi, described in additional US note 8 to chapter 17 and entered pursuant to its provisions Preps for young children, nesoi, containing &gt;10% by dry weight of sugar described in additional US note 3 to Chapter 17:</w:t>
      </w:r>
    </w:p>
    <w:p>
      <w:pPr>
        <w:pStyle w:val="Normal"/>
      </w:pPr>
      <w:r>
        <w:t>provisional * Preps for young children, nesoi Mixes for bakers wares, o/25% butterfat, not retail, subject to gen. note 15 of the HTS Mixes for bakers wares (dairy prod. of Ch4 US note 1), o/25% by wt butterfat, not retail, subj. to add.</w:t>
      </w:r>
    </w:p>
    <w:p>
      <w:pPr>
        <w:pStyle w:val="Normal"/>
      </w:pPr>
      <w:r>
        <w:t>US nte 10 to Ch.4, not GN15 Mixes for bakers wares (dairy prod. of Ch4 US note 1), o/25% by wt butterfat, not retail, not subj. to add.</w:t>
      </w:r>
    </w:p>
    <w:p>
      <w:pPr>
        <w:pStyle w:val="Normal"/>
      </w:pPr>
      <w:r>
        <w:t>US nte 10 to Ch.4, not GN15 * Mixes for bakers wares, o/65% sugar, o/25% bf, not retail, descr in add US note 2 to Ch. 17: subj. to add. US nte 7 to Ch.17, not GN15 Mixes and doughs for the prep of bakers wares of heading 1905, containing over 25% by weight of butterfat, not put up for retail sale, nesoi * Mixes for bakers wares, o/25% bf, not retail, descr in add US note 1 to Ch. 19: subj. to add. US nte 3 to Ch.19, not GN15 Mixes for bakers wares, o/25% bf, not retail, descr in add US note 1 to Ch. 19: not subj. to add. US nte 3 to Ch.19, not GN15 * Mixes for bakers wares, o/25% bf, not retail, nesoi Mixes for bakers wares, n/o 25% bf, not retail, subject to gen. note 15 of the HTS Mixes for bakers wares (dairy prod. of Ch4 US note 1), n/o 25% bf, not retail, subj. to add.</w:t>
      </w:r>
    </w:p>
    <w:p>
      <w:pPr>
        <w:pStyle w:val="Normal"/>
      </w:pPr>
      <w:r>
        <w:t>US nte 10 to Ch.4, not GN15 Mixes for bakers wares (dairy prod. of Ch4 US note 1), n/o 25% bf, not retail, not subj. to add. US nte 10 to Ch.4, not GN15 * Mixes for bakers wares, o/65% sugar, n/o 25% bf, not retail, descr in add US note 2 to Ch. 17: subj. to Ch17 US nte 7, not GN15 Mixes for bakers wares, o/65% sugar, n/o 25% bf, not retail, descr in add US note 2 to Ch. 17: not subj. to Ch17 US nte 7, not GN15 * Mixes for bakers wares, n/o 25% bf, not retail, descr in add US note 1 to Ch. 19: subj. to add. US nte 3 to Ch.19, not GN15 Mixes for bakers wares, n/o 25% bf, not retail, descr in add US note 1 to Ch. 19: not subj. to add.</w:t>
      </w:r>
    </w:p>
    <w:p>
      <w:pPr>
        <w:pStyle w:val="Normal"/>
      </w:pPr>
      <w:r>
        <w:t>US nte 3 to Ch.19, not GN15 * Mixes for bakers wares, n/o 25% bf, not retail, nesoi Malt extract, fluid Malt extract, solid or condensed Puddings, ready for immediate consumption without further preparation Dry mix. w/less than 31% bf &amp; 17.5% or more sodium caseinate, bf, whey solids o/5.5% b’fat &amp; dry whole milk, n/cntng dry milk/whey/b’fat Cajeta not made from cow’s milk Margarine cheese subject to gen. note 15 of the HTS and entered pursuant to its provisions Margarine cheese subject to add. US note 23 to Ch. 4 and entered pursuant to its provisions Margarine cheese not subject to gen. note 15 or add US note 23 to Ch.</w:t>
      </w:r>
    </w:p>
    <w:p>
      <w:pPr>
        <w:pStyle w:val="Normal"/>
      </w:pPr>
      <w:r>
        <w:t>4 * Malted milk described in general note 15 of USHTS and entered pursuant to its provisions Malted milk described in additional US note 10 to chapter 4: provisional Malted milk containing &gt;10% by weight of milk solids, nesoi * Articles of milk or cream, nesoi, preps containing &gt;10% by weight of milk solids, described in general note 15: provisional Articles of milk or cream, nesoi, preps containing &gt;10% by weight of milk solids, described in additional US note 10 to chapter 4 Articles of milk or cream, nesoi, preps containing &gt;10% by weight of milk solids, nesoi * Malted milk, nesoi, described in general note 15 of USHTS and entered pursuant to its provisions Articles of milk or cream, nesoi, containing &gt;65% by dry weight of sugar described in additional US note 7 to Chapter 17: provisional Articles of milk or cream, nesoi, containing &gt;65% by dry weight of</w:t>
      </w:r>
    </w:p>
    <w:p>
      <w:pPr>
        <w:pStyle w:val="Normal"/>
      </w:pPr>
      <w:r>
        <w:t>sugar described in additional US note 2 to Chapter 17: provisional * Articles of milk or cream, nesoi, described I n additional US note 8 to chapter 17 and entered pursuant to its provisions Articles of milk or cream, nesoi, containing &gt;10% by dry weight of sugar described in additional US note 3 to chapter 17:</w:t>
      </w:r>
    </w:p>
    <w:p>
      <w:pPr>
        <w:pStyle w:val="Normal"/>
      </w:pPr>
      <w:r>
        <w:t>provisional * Food preps, nesoi, containing &gt;5.5% by weight of butterfat and not packaged for retail sale, nesoi Flour-, meal-, starch-, malt extract- or dairy-based food preps not containing cocoa and not containing specific amounts of dairy, nesoi Uncooked pasta, not stuffed or otherwise prepared, containing eggs, exclusively pasta Uncooked pasta, not stuffed or otherwise prepared, containing eggs, nesi, including pasta packaged with sauce preparations Uncooked pasta, not stuffed or otherwise prepared, not containing eggs, exclusively pasta Uncooked pasta, not stuffed or otherwise prepared, not containing eggs, nesi, including pasta packaged with sauce preparations Stuffed pasta, whether or not cooked or otherwise prepared Pasta nesi Couscous, whether or not prepared Tapioca and substitutes prepared from arrowroot, cassava or sago, in the form of flakes, grains, pearls, siftings or in similar forms Tapioca and substitutes, prepared from starch nesi, in the form of flakes, grains, pearls, siftings or in similar forms Prepared foods obtained by the swelling or roasting of cereals or cereal products Prep food in airtght cont.,of unroast cereal flake/mixture of</w:t>
      </w:r>
    </w:p>
    <w:p>
      <w:pPr>
        <w:pStyle w:val="Normal"/>
      </w:pPr>
      <w:r>
        <w:t>unroasted/roasted cereal flake/swelled cereal,no apricot/citrus/peach/pear Prepared foods obtained from unroasted cereal flakes or from mixtures of unroasted and roasted cereal flakes or swelled cereals, nesoi Bulgur wheat, in grain form or in form of flakes or other worked grain (except flour,groats &amp; meal), pre-cooked or otherwise prepared, nesoi Cereals,other than corn,in grain form or form flakes or other worked grain (not flour,groat &amp; meal), pre-cooked or otherwise prepared, nesoi Crispbread Gingerbread and the like Sweet biscuits Waffles and wafers Rusks, toasted bread and similar toasted products Bread, pastry, cake, biscuit and similar baked products nesi, and puddings whether or not containing chocolate, fruit, nuts or confectionery Bakers’ wares communion wafers, empty capsules suitable for pharmaceutical use, sealing wafers, rice paper and similar products, nesi Cucumbers including gherkins, prepared or preserved by vinegar or acetic acid Capers, prepared or preserved by vinegar or acetic acid, in immediate containers holding more than 3.4 kg Capers, prepared or preserved by vinegar or acetic acid, nesi Artichokes, prepared or preserved by vinegar or acetic</w:t>
      </w:r>
    </w:p>
    <w:p>
      <w:pPr>
        <w:pStyle w:val="Normal"/>
      </w:pPr>
      <w:r>
        <w:t>acid Beans, prepared or preserved by vinegar or acetic acid Nopalitos, preserved by vinegar Onions, prepared or preserved by vinegar or acetic acid Pimientos, prepared or preserved by vinegar or acetic acid Vegetables (including olives) nesoi, prepared or preserved by vinegar or acetic acid Chestnuts, prepared</w:t>
      </w:r>
    </w:p>
    <w:p>
      <w:pPr>
        <w:pStyle w:val="Normal"/>
      </w:pPr>
      <w:r>
        <w:t>or preserved by vinegar or acetic acid Mangoes, prepared or preserved by vinegar or acetic acid Chinese water chestnuts, prepared or preserved by vinegar or acetic acid Walnuts, prepared or preserved by vinegar or acetic acid Fruits, nuts, and other edible parts of plants, nesi, prepared or preserved by vinegar or acetic acid Tomatoes, whole or in pieces, prepared or preserved otherwise than by vinegar or acetic acid Tomato prep/pres ex by vinegar/acetic acid, powder Tomatoes prepared or preserved otherwise than by vinegar or acetic acid, nesoi Mushrooms of the genus Agaricus, prepared or preserved otherwise than by vinegar or acetic acid Truffles Mushrooms other than of the genus Agaricus or truffles, prepared or preserved otherwise than by vinegar or acetic acid Yellow (Solano) potatoes, prepared or preserved otherwise than by vinegar or acetic acid, frozen Potatoes (not Solano), prepared or preserved otherwise than by vinegar or acetic acid, frozen Antipasto, prepared or preserved otherwise than by vinegar or acetic acid, frozen Beans, prepared or preserved otherwise than by vinegar</w:t>
      </w:r>
    </w:p>
    <w:p>
      <w:pPr>
        <w:pStyle w:val="Normal"/>
      </w:pPr>
      <w:r>
        <w:t>or acetic acid, frozen Vegetables and mixtures of vegetables, nesoi, prepared or preserved other than by vinegar or acetic acid, frozen, not preserved by sugar Homogenized vegetables, prepared or preserved otherwise than by vinegar or acetic acid, not frozen Potato preparations, prepared or preserved otherwise than by vinegar or acetic acid, not frozen Peas, prepared or preserved otherwise</w:t>
      </w:r>
    </w:p>
    <w:p>
      <w:pPr>
        <w:pStyle w:val="Normal"/>
      </w:pPr>
      <w:r>
        <w:t>than by vinegar or acetic acid, not frozen Black-eye cowpeas, shelled, prepared or preserved otherwise than by vinegar or acetic acid, not frozen Beans other than black-eye cowpeas, shelled, prepared or preserved otherwise than by vinegar or acetic acid, not frozen Beans, not shelled, prepared or preserved otherwise than by vinegar or acetic acid, not frozen Asparagus, prepared or preserved otherwise than by vinegar or acetic acid, not frozen Olives, green, not pitted, in saline, ripe, in containers holding 13 kg or less, aggregate quantity not to exceed 730 m ton/yr Olives, green, not pitted, in saline, ripe, in containers holding 13 kg or less, aggregate quantity exceeding 730 m ton/yr Olives, green, not pitted, in saline, not ripe, in containers holding o/8 kg for repkg, subject to add. US note 4 to Ch. 20 Olives, green, not pitted, in saline, not ripe, in containers holding o/8 kg for repkg, not subject to add. US note 4 to Ch.</w:t>
      </w:r>
    </w:p>
    <w:p>
      <w:pPr>
        <w:pStyle w:val="Normal"/>
      </w:pPr>
      <w:r>
        <w:t>20 Olives, green, not pitted, in saline, not ripe Olives, green, in saline, place packed, stuffed, in containers holding n/o 1 kg, aggregate quantity n/o 2700 m ton/yr Olives, green, in saline, place packed, stuffed, in containers holding n/o 1 kg, aggregate quantity o/2700 m ton/yr Olives, green, in saline, place packed, stuffed, not in containers holding 1 kg or less Olives, green, in a saline solution, pitted or stuffed, not place packed Olives (not green), in a saline solution, canned, not pitted Olives (not green), in a saline solution, canned, pitted Olives (not green), in a saline solution, in airtight containers of glass or metal but not canned Olives (not green), in a saline solution, not canned, nesi Olives, green, container less 13 kg, quota of 550 m tons/year, prepared or preserved otherwise than by vinegar/acetic acid, not in saline Olives, green, container less than 13 kg, exceed 550 m tons/year, prepared or preserved otherwise than by vinegar/acetic acid, not in saline Olives, prepared or preserved otherwise than by</w:t>
      </w:r>
    </w:p>
    <w:p>
      <w:pPr>
        <w:pStyle w:val="Normal"/>
      </w:pPr>
      <w:r>
        <w:t>vinegar, acetic acid or saline soln, not frozen, nesoi Sweet corn, prepared or preserved otherwise than by vinegar, acetic acid or sugar, not frozen Bamboo shoots in airtight containers, prepared or preserved otherwise than by vinegar or acetic acid, not frozen, not preserved by sugar Bamboo shoots, not in airtight containers, prepared or preserved otherwise than by vinegar or acetic acid, not frozen, not preserved by sugar Carrots in airtight</w:t>
      </w:r>
    </w:p>
    <w:p>
      <w:pPr>
        <w:pStyle w:val="Normal"/>
      </w:pPr>
      <w:r>
        <w:t>containers, prepared or preserved otherwise than by vinegar, acetic acid or sugar, not frozen Onions, prepared or preserved otherwise than by vinegar or acetic acid, not frozen Sauerkraut, prepared or preserved otherwise than by vinegar or acetic acid, not frozen Whole or Sliced water chestnuts, other than Chinese water chestnuts, prepared or preserved otherwise than by vinegar or acetic acid or sugar Pimientos, prepared or preserved otherwise than by vinegar or acetic acid, not frozen Fruits of the genus Capsicum or Pimenta, not pimientos, prepared or preserved otherwise than by vinegar or acetic acid, not frozen Artichokes, prepared or preserved otherwise than by vinegar or acetic acid, not frozen Chickpeas (garbanzos), prepared or preserved otherwise than by vinegar or acetic acid, not frozen Vegetables nesoi,&amp; mixtures of vegetables,prepared or preserved otherwise than by vinegar or acetic acid, not frozen, not preserved by sugar Cherries, preserved by sugar (drained, glace or crystallized) Ginger root, preserved by sugar (drained, glace or crystallized) Pineapples, preserved by sugar (drained, glace or crystallized) Mixtures of</w:t>
      </w:r>
    </w:p>
    <w:p>
      <w:pPr>
        <w:pStyle w:val="Normal"/>
      </w:pPr>
      <w:r>
        <w:t>vegetables, fruit, nuts, fruit-peel or other parts of plants, preserved by sugar (drained, glace or crystallized) Citrus fruit or peel of citrus or other fruit, except mixtures, preserved by sugar (drained, glace or crystallized) Fruit nesi, and nuts, except mixtures, preserved by sugar (drained, glace or crystallized) Vegetables and parts of</w:t>
      </w:r>
    </w:p>
    <w:p>
      <w:pPr>
        <w:pStyle w:val="Normal"/>
      </w:pPr>
      <w:r>
        <w:t>plants, nesoi, preserved by sugar (drained, glace or crystallized), except mixtures, Homogenized cooked preparations of fruit put up for retail sale as infant food or for dietetic purposes, in cont. not over 250 grams, net Citrus fruit pastes and purees, being cooked preparations Orange marmalade Citrus jams, fruit jellies, and marmalades (other than orange) Lingonberry and raspberry jams Strawberry jam Currant and other berry jams, nesi Apricot jam Cherry jam Guava jam Peach jam Pineapple jam Jams, nesi Apple, quince and pear pastes and purees, being cooked preparations Guava and mango pastes and purees, being cooked preparations Papaya pastes and purees, being cooked preparations Strawberry pastes and purees, being cooked preparations Fruit pastes and purees, nesi, and nut pastes and purees, being cooked preparations Currant and berry fruit jellies Fruit jellies, other than currant and berry Peanut butter and paste, subject to gen. note 15 of the HTS Peanut butter and paste, subject to add. US note 5 to Ch.</w:t>
      </w:r>
    </w:p>
    <w:p>
      <w:pPr>
        <w:pStyle w:val="Normal"/>
      </w:pPr>
      <w:r>
        <w:t>20, not GN15 Peanut butter and paste, nesoi, not subject to gen note 15 or add US note 5 to Ch. 20 * Blanched peanuts, subject to gen. note 15 of the HTS Blanched peanuts, subject to add. US note 2 to Ch. 12, not GN15 Blanched peanuts, nesoi, not subject to gen note 15 or add US note 2 to Ch. 12 * Peanuts, otherwise prepared or preserved, nesoi, subject to gen. note 15 of the HTS Peanuts, otherwise prepared or preserved, nesoi, subject to add. US note 2 to chap.</w:t>
      </w:r>
    </w:p>
    <w:p>
      <w:pPr>
        <w:pStyle w:val="Normal"/>
      </w:pPr>
      <w:r>
        <w:t>12, not GN15 Peanuts, otherwise prepared or preserved, nesoi, not subject to gen note 15 or add US note 2 to Ch.</w:t>
      </w:r>
    </w:p>
    <w:p>
      <w:pPr>
        <w:pStyle w:val="Normal"/>
      </w:pPr>
      <w:r>
        <w:t>12 * Brazil nuts and cashew nuts, otherwise prepared or preserved, nesi Coconuts, otherwise prepared or preserved, nesi Filberts, otherwise prepared or preserved, nesi Pecans, otherwise prepared or preserved, nesi Pignolia and pistachio nuts, otherwise prepared or preserved, nesi Almonds, otherwise prepared or preserved, nesi Watermelon seeds, otherwise prepared or preserved, nesi Mixtures of nuts or other seeds otherwise prepared or preserved, nesi Other nuts and seeds nesi, excluding mixtures, otherwise prepared or preserved, nesi Pineapples, otherwise prepared or preserved, nesi Peel of oranges, mandarins, clementines, wilkings and similar citrus hybrids, otherwise prepared or preserved, nesi Peel of lemons, otherwise prepared or preserved, nesi Peel of citrus fruit, nesi, otherwise prepared or preserved, nesi Orange pulp, otherwise prepared or preserved, nesi Citrus fruit pulp other than orange, otherwise prepared or preserved, nesi Oranges (other than peel or pulp), otherwise prepared or preserved, nesi Satsumas, prepared or preserved, in airtight containers, aggregate quantity n/o 40,000 metric tons/calandar yr Satsumas, prepared or preserved, in airtight containers, aggregate quantity o/40,000 metric tons/calandar yr Mandarins (other than satsuma), prepared or preserved, nesoi Clementines, wilkings and similar citrus hybrids (other than peel or pulp),</w:t>
      </w:r>
    </w:p>
    <w:p>
      <w:pPr>
        <w:pStyle w:val="Normal"/>
      </w:pPr>
      <w:r>
        <w:t>otherwise prepared or preserved, nesi Lemons (other than peel or pulp), otherwise prepared or preserved, nesi Limes (other than peel or pulp), otherwise prepared or preserved, not elsewhere specified or included Grapefruit (other than peel or pulp), otherwise prepared or preserved, nesi Kumquats (other than peel or pulp), otherwise prepared or preserved, nesi Citron (other than peel or pulp), otherwise prepared or preserved, nesi Citrus fruit nesoi (including bergamots), other than peel or pulp, otherwise prepared or preserved, nesoi Pears, otherwise prepared or preserved, nesi Apricot pulp, otherwise prepared or preserved, nesi Apricots, other than pulp, otherwise prepared or preserved, nesi Cherries, otherwise prepared or preserved, nesi Nectarines, otherwise prepared or preserved, not elsewhere specified or included Peaches (excluding nectarines), otherwise prepared or preserved, not elsewhere specified or included Strawberries, otherwise prepared or preserved, nesi Palm hearts, otherwise prepared or preserved, nesi Cranberries Mixtures of fruit or edible parts of plants, in airtight cont. excl. apricots, citrus, peaches or pears (incl.</w:t>
      </w:r>
    </w:p>
    <w:p>
      <w:pPr>
        <w:pStyle w:val="Normal"/>
      </w:pPr>
      <w:r>
        <w:t>canned tropical fruit salad) Mixtures of fruit or other edible parts of plants, otherwise prepared or preserved, nesi (excluding tropical fruit salad) Apples, otherwise prepared or preserved, nesi Avocados, otherwise prepared or preserved, nesi Banana pulp, otherwise prepared or preserved, nesi Bananas, other than pulp, otherwise prepared or preserved, nesi Blueberries, otherwise prepared or preserved, nesi. Berries, other than cranberries, blueberries and strawberries, otherwise prepared or preserved, nesi Cashew apples, mameyes colorados, sapodillas, soursops and sweetsops, otherwise prepared or preserved, nesi Dates, otherwise prepared or preserved, nesi Figs, otherwise prepared or preserved, nesi Grapes, otherwise prepared or preserved, nesi Guavas, otherwise prepared or preserved, nesi Lychees and longans, otherwise prepared or preserved, nesi Mangoes, otherwise prepared or preserved, nesi Papaya pulp, otherwise prepared or preserved, nesi Papayas, other than pulp, otherwise prepared or preserved, nesi Plums (including prune plums and sloes), otherwise prepared or preserved, nesi Soybeans, otherwise prepared or preserved, nesi Sweet ginger, otherwise prepared or preserved, nesi Yucca, otherwise prepared or preserved, nesi Chinese water chestnuts, otherwise prepared or preserved, frozen, not elsewhere specified or included Chinese water chestnuts, otherwise prepared or preserved, not frozen, not elsewhere specified or included Pulp of fruit nesi, and other edible parts</w:t>
      </w:r>
    </w:p>
    <w:p>
      <w:pPr>
        <w:pStyle w:val="Normal"/>
      </w:pPr>
      <w:r>
        <w:t>of plants nesi, excluding mixtures, otherwise prepared or preserved, nesi Bean cake, bean stick, miso, other fruit, nuts and other edible parts of plans, prepared or preserved Orange juice, frozen, unfermented and not containing added spirit Orange juice, not frozen, Brix value not exceed 20, not concentrate &amp; not made from juice degree concentration of 1.5 or &gt;, unfermented Orange juice, not frozen, of a Brix value not exceeding 20, concentrated, unfermented Orange juice, not frozen, of a Brix value exceeding 20, unfermented Grapefruit juice, Brix value not exceeding 20, not concentrated and not made from a juice degree of concentration of 1.5 or &gt;, unfermented Grapefruit juice, of a Brix value not exceeding 20, concentrated, unfermented Grapefruit juice, of a Brix value exceeding 20, unfermented Lime juice, of a Brix value not exceeding 20, unfit for beverage purposes, unfermented Lime juice, of a Brix value not exceeding 20, fit for beverage purposes, unfermented Citrus juice of any single citrus fruit (other than orange, grapefruit or lime), Brix value not</w:t>
      </w:r>
    </w:p>
    <w:p>
      <w:pPr>
        <w:pStyle w:val="Normal"/>
      </w:pPr>
      <w:r>
        <w:t>exceeding 20, not concentrated, unfermented Citrus juice of any single citrus fruit (other than orange, grapefruit or lime), of a Brix value not exceeding 20, concentrated, unfermented Lime juice, of a Brix value exceeding 20, unfit for beverage purposes, unfermented Lime juice, of a Brix value exceeding 20, fit for beverage purposes, unfermented Citrus juice of any single citrus fruit (other than orange, grapefruit or</w:t>
      </w:r>
    </w:p>
    <w:p>
      <w:pPr>
        <w:pStyle w:val="Normal"/>
      </w:pPr>
      <w:r>
        <w:t>lime), of a Brix value exceeding 20, unfermented Pineapple juice, of a Brix value not exceeding 20, not concentrated, or not having a degree of concentration of &gt; 3.5, unfermented Pineapple juice, of a Brix value not exceeding 20, concentrated (in degree of concentration greater than 3.5), unfermented Pineapple juice, of a Brix value exceeding 20, not concentrated, or not having a degree of concentration of &gt; 3.5, unfermented Pineapple juice, of a Brix value exceeding 20, concentrated (in degree of concentration greater than 3.5) Tomato juice, concentrated or not concentrated Grape juice (including grape must), of a Brix value not exceeding 30, unfermented Grape juice (including grape must), of a Brix value exceeding 30, unfermented Apple juice, of a Brix value not exceeding 20, unfermented Apple juice, of a Brix value exceeding 20, unfermented Cranberry juice, concentrated or not concentrated Pear juice, concentrated or not concentrated Prune juice, concentrated or not concentrated Juice of any other single fruit, nesi, (including cherries and berries), concentrated or not concentrated Juice of</w:t>
      </w:r>
    </w:p>
    <w:p>
      <w:pPr>
        <w:pStyle w:val="Normal"/>
      </w:pPr>
      <w:r>
        <w:t>any single vegetable, other than tomato, concentrated or not concentrated Mixtures of vegetable juices, concentrated or not concentrated Mixtures of fruit juices, or mixtures of vegetable and fruit juices, concentrated or not concentrated Instant coffee, not flavored Extracts, essences and concentrates of coffee other than unflavored instant coffee Preparations with a basis of</w:t>
      </w:r>
    </w:p>
    <w:p>
      <w:pPr>
        <w:pStyle w:val="Normal"/>
      </w:pPr>
      <w:r>
        <w:t>extracts, essences or concentrates or with a basis of coffee, subject to general note 15 (outside quota) Blend syrup (Ch17 add US note 4) preparation w/basis of extract,essence or concentrate or w/basis of coffee,subj. quota of Ch17 add US nte 9 Blend syrup (Ch17 add US note 4) preparation w/basis of extract, essence or concentrate or w/ basis of coffee, over Ch17 add US note 9 quota * Preparation ov 65% sugar (Ch17 add US nte 2) w/basis of extract,essence or concentrate or w/basis of coffee,subj. quota of Ch17 add US nte 7 Preparation ov 65% sugar (Ch17 add US note 2) w/ basis of extract, essence or concentrate or w/ basis of coffee, ov Ch17 add US note 9 quota * Preparation ov 10% sugar (Ch17 add US nte 3) w/basis of extract,essence or concentrate or w/basis of coffee,subj.</w:t>
      </w:r>
    </w:p>
    <w:p>
      <w:pPr>
        <w:pStyle w:val="Normal"/>
      </w:pPr>
      <w:r>
        <w:t>quota of Ch17 add US nte 8 Preparation ov 10% sugar (Ch17 add US note 3) w/ basis of extract, essence or concentrate or w/ basis of coffee, ov Ch17 add US note 8 quota * Preparations nesoi, with a basis of extracts, essences or concentrates or with a basis of coffee Extracts, essences or concentrates of tea or mate Preparations with a basis of extracts, essences or concentrates or with a basis of tea or mate, subject to general note 15 (outside quota) Blend syrup (Ch17 add US nte 4) preparation w/basis extract/essence/concentrate or w/basis of tea or mate,subj.</w:t>
      </w:r>
    </w:p>
    <w:p>
      <w:pPr>
        <w:pStyle w:val="Normal"/>
      </w:pPr>
      <w:r>
        <w:t>quota of Ch17 add US nte 9 Blend syrup (Ch17 add US note 4) preparation w/basis of extract/essence/concentrate or w/basis of tea or mate, over Ch17 add US note 9 quota * Preparation ov 65% sugar (Ch17 add US nte 2) w/basis extract/essence/concentrate or w/basis of tea or mate,subj. quota of Ch17 add US note 7 Preparation ov 65% sugar (Ch17 add US note 2) w/basis of extract/essence/concentrate or w/basis of tea or mate, ov Ch17 add US note 9 quota * Preparation ov 10% sugar (Ch17 add US nte 3) w/basis extract/essence/concentrate or w/basis of tea or mate,subj.</w:t>
      </w:r>
    </w:p>
    <w:p>
      <w:pPr>
        <w:pStyle w:val="Normal"/>
      </w:pPr>
      <w:r>
        <w:t>quota of Ch17 add US note 8 Preparation ov 10% sugar (Ch17 add US note 3) w/basis of extract/essence/concentrate or w/basis of tea or mate, ov Ch17 add US note 8 quota * Preparations nesoi, with a basis of extracts, essences or concentrates or with a basis of tea or mate Roasted chicory and other roasted coffee substitutes and extracts, essences and concentrates thereof Active yeasts Inactive yeasts (except dried brewers’ yeast) Dried brewers’ yeast, crude Single-cell micro-organisms, dead, excluding yeasts, (but not including vaccines of heading 3002) Prepared baking powders Soy sauce Tomato ketchup Tomato sauces, nesi Mustard flour and meal Prepared mustard Sauces derived or prepared from fish Nonalcoholic preparations of yeast extract (other than sauces) Mixed condiments and mixed seasonings (described in add US note 3 to Ch.</w:t>
      </w:r>
    </w:p>
    <w:p>
      <w:pPr>
        <w:pStyle w:val="Normal"/>
      </w:pPr>
      <w:r>
        <w:t>21), subject to gen.</w:t>
      </w:r>
    </w:p>
    <w:p>
      <w:pPr>
        <w:pStyle w:val="Normal"/>
      </w:pPr>
      <w:r>
        <w:t>note 15 of the HTS Mixed condiments and mixed seasonings (described in add US note 3 to Ch. 21), subject to add. US note 8(a) to Ch.17, not GN15 Mixed condiments and mixed seasonings (described in add US note 3 to Ch. 21), not subject to gen note 15 or add. US note 8(a) to Ch.17 * Mixed condiments and mixed seasonings, not described in add US note 3 to Ch. 21 Sauces and preparations therefor, neosi Soups and broths and preparations therefor Homogenized composite food preps put up for retail sale for infants or for dietectic purposes Homogenized composite food preps put up for retail sale for young children Ice cream, whether or not w/cocoa, subject to gen. note 15 of the HTS Ice cream, whether or not w/cocoa, subject to add. US note 5 to Ch. 21, not GN15 Ice cream, whether or not containing cocoa, not subject to gen note 15 or add. US note 5 to Ch.21 * Edible ice (dairy prod. described in add US note 1 to Ch.</w:t>
      </w:r>
    </w:p>
    <w:p>
      <w:pPr>
        <w:pStyle w:val="Normal"/>
      </w:pPr>
      <w:r>
        <w:t>4), subject to gen note 15 of the HTS Edible ice (dairy prod. described in add US note 1 to Ch. 4), subject to add US note 10 to Ch. 4, not GN15 Edible ice except ice cream, dairy products described in add’l U.S. note 1 to chap. 4, nesoi * Edible ice, except ice cream, not described in add US note 1 to Ch. 4, nesoi Protein concentrates and textured protein substances Food preps, nesoi, n/o 5.5% bf, mixed w/other ingred. if o/16% milk solids capable of being further proc., subj. to GN15 Food preps, nesoi, n/o 5.5% bf, mixed w/other ingred.</w:t>
      </w:r>
    </w:p>
    <w:p>
      <w:pPr>
        <w:pStyle w:val="Normal"/>
      </w:pPr>
      <w:r>
        <w:t>if o/16% milk solids capable of being further proc., subj. to Ch4 US nte 10, not GN15 Food preps, nesoi, n/o 5.5% b’fat, mixed w/other ingredi., if o/16% milk solids by wt, capable of being further proc, bulk, nesoi, not GN15 * Compound alcoholic preparations of a kind used for the manufacture of beverages, over 20% weight alcohol but not over 0.5% vol alcohol Compound alcoholic preparations used in the manufacture of beverages, cont. over 20% not over 50% of alcohol by weight Compound alcoholic preparations of a kind used for the manufacture of beverages, containing over 50% of alcohol by weight Butter substitutes o/10% by wt of milk solids, o/45% butterfat, subject to gen. note 15 to the HTS Butter substitutes o/10% by wt of milk solids, o/45% butterfat, subject to add US note 14 to Ch.4, not GN15 Butter substitutes o/10% by wt of milk solids, o/45% butterfat, not subject to gen note 15 or add US note 14 to Ch.4 * Butter substitutes o/10% by wt of milk solids, n/o 45% butterfat, neosi Butter substitutes n/o 10% by wt of milk solids, o/45% butterfat, subject to gen.</w:t>
      </w:r>
    </w:p>
    <w:p>
      <w:pPr>
        <w:pStyle w:val="Normal"/>
      </w:pPr>
      <w:r>
        <w:t>note 15 to the HTS Butter substitutes n/o 10% by wt of milk solids, o/45% butterfat, subject to add US note 14 to Ch.4, not GN15 Butter substitutes n/o 10% by wt of milk solids, o/45% butterfat, not subject to gen note 15 or add US note 14 to Ch.4 * Butter substitutes n/o 10% by wt of milk solids, n/o 45% butterfat, neosi Artificially sweetened cough drops Syrups from cane/beet sugar, neosi, w/added coloring but not added flavoring, subject to gen. note 15 of the HTS Syrups from cane/beet sugar, neosi, w/added coloring but not added flavoring, subject to add US note 5 to Ch. 17, not GN15 Syrups from cane/beet sugar, neosi, w/added coloring but not added flavoring, not subject to gen note 15 or add US note 5 to Ch.</w:t>
      </w:r>
    </w:p>
    <w:p>
      <w:pPr>
        <w:pStyle w:val="Normal"/>
      </w:pPr>
      <w:r>
        <w:t>17 * Orange juice, fortified with vitamins or minerals Juice of any single fruit or vegetables juices (o/t orange), concentrated, fortified with vitamins or minerals Mixtures of fruit or vegetable juices, fortified with vitamins or minerals, nesoi, mixtures of juices in concentrated form Food preparations of gelatin, neosi Food preps, nesoi, o/10% by wt of milk solids, subject to gen. note 15 of the HTS Food preps, nesoi, o/10% by wt of milk solids, dairy prods, descr. in add US note 1 to Ch.4: subject to add US note 10 to Ch.4, not GN15 Food preps, nesoi, o/10% by wt of milk solids, dairy prods, descr. in add US note 1 to Ch.4: not subject to Ch4 US note 10, not GN15 * Blended syrups, neosi, o/10% milk solids, descr.</w:t>
      </w:r>
    </w:p>
    <w:p>
      <w:pPr>
        <w:pStyle w:val="Normal"/>
      </w:pPr>
      <w:r>
        <w:t>in add US note 4 to Ch 17: subject to add US note 9 to Ch. 17, not GN15 Blended syrups, neosi, o/10% milk solids, descr. in add US note 4 to Ch 17: not subject to add US note 9 to Ch. 17, not GN15 * Food preps, nesoi, o/10% milk solids, o/65% sugar, descr. in add US note 2 to Ch.17, subject to add US note 7 to Ch. 17, not GN15 Food preps, nesoi, o/10% milk solids, o/65% sugar, descr. in add US note 2 to Ch.17, not subject to add US note 7 to Ch. 17, not GN15 * Food preps, nesoi, o/10% milk solids, o/10% sugar, descr. in add US note 3 to Ch.17, subject to add US note 8 to Ch. 17, not GN15 Food preps, nesoi, o/10% milk solids, o/10% sugar, descr. in add US note 3 to Ch.17, not subject to add US note 8 to Ch.</w:t>
      </w:r>
    </w:p>
    <w:p>
      <w:pPr>
        <w:pStyle w:val="Normal"/>
      </w:pPr>
      <w:r>
        <w:t>17, not GN15 * Food preps, nesoi, o/10% milk solids, neosi Food preps, nesoi, n/o 10% by wt of milk solids, subject to gen. note 15 of the HTS Food preps, nesoi, n/o 10% by wt of milk solids, dairy prods, descr. in add US note 1 to Ch.4: subject to add US note 10 to Ch.4, not GN15 Food preps, nesoi, n/o 10% by wt of milk solids, dairy prods, descr. in add US note 1 to Ch.4: n/subject to add US note 10 to Ch. 4, n/GN15 * Blended syrups, neosi, n/o 10% milk solids, descr. in add US note 4 to Ch 17: subject to add US note 9 to Ch. 17, not GN15 Blended syrups, neosi, n/o/10% milk solids, descr. in add US note 4 to Ch 17: not subject to add US note 9 to Ch. 17, not GN15 * Food preps, nesoi, n/o 10% milk solids, o/65% sugar, descr.</w:t>
      </w:r>
    </w:p>
    <w:p>
      <w:pPr>
        <w:pStyle w:val="Normal"/>
      </w:pPr>
      <w:r>
        <w:t>in add US note 2 to Ch.17, subject to add US note 7 to Ch. 17, not GN15 Food preps, nesoi, n/o 10% milk solids, o/65% sugar, descr. in add US note 2 to Ch.17, not subject to add US note 7 to Ch. 17, not GN15 * Food preps, nesoi, n/o 10% milk solids, o/10% sugar, descr. in add US note 3 to Ch.17, subject to add US note 8 to Ch. 17, not GN15 Food preps, nesoi, n/o 10% milk solids, o/10% sugar, descr. in add US note 3 to Ch.17, not subject to add US note 8 to Ch.</w:t>
      </w:r>
    </w:p>
    <w:p>
      <w:pPr>
        <w:pStyle w:val="Normal"/>
      </w:pPr>
      <w:r>
        <w:t>17, not GN15 * Other food preps nesoi, incl preps for the manufacture of beverages, non-dairy coffee whiteners, herbal teas and flavored honey Mineral waters and aerated waters, not containing added sugar or other sweetening matter nor flavored Waters (incl. ice, snow and steam), ot/than mineral waters or aerated waters, not cont. added sugar or other sweetening matter nor flavored Waters, including mineral waters and aerated waters, containing added sugar or other sweetening matter or flavored Nonalcoholic beer Chocolate milk drink Milk-based drinks described in general note 15 of USHTS and entered pursuant to its provisions, nonalcoholic, nesoi Milk-based drinks described in additional US note 10 to chapter 4 and entered pursuant to its provisions, nonalcoholic, nesoi Milk-based drinks, nonalcoholic, nesoi * Orange juice, fortified with vitamins or minerals not made from a juice having a degree of concentration of &gt;=1.5 Orange juice fortified with vitamins or minerals, nesoi Juice of any single fruit or vegetable</w:t>
      </w:r>
    </w:p>
    <w:p>
      <w:pPr>
        <w:pStyle w:val="Normal"/>
      </w:pPr>
      <w:r>
        <w:t>(except orange juice) fortified with vitamins or minerals, in nonconcentrated form Fruit or vegetable juices, fortified with vitamins or minerals, mixtures of juices in non- concentrated form Nonalcoholic beverages, nesoi, excluding fruit or vegetable juices of heading 2009 Beer made from malt Sparkling wine, made from grapes Effervescent grape wine, in containers holding 2 liters or less Tokay wine (not carbonated) not over 14% alcohol, in containers not over 2 liters Wine other than Tokay (not carbonated), not over 14% alcohol, in containers not over 2 liters “Marsala” wine, over 14% vol. alcohol, in containers holding 2 liters or less Grape wine, other than “Marsala”, not sparkling or effervescent, over 14% vol.</w:t>
      </w:r>
    </w:p>
    <w:p>
      <w:pPr>
        <w:pStyle w:val="Normal"/>
      </w:pPr>
      <w:r>
        <w:t>alcohol, in containers holding 2 liters or less Wine of fresh grapes of an alcoholic strength by volume &lt;=14% in containers holding &lt;2 liters but not &gt;10 liters Wine of fresh grapes of an alcoholic strength by volume &gt;14%, in containers holding &lt;2 liters but not &gt;10 liters Wine of fresh grapes of an alcoholic strength by volume &lt;=14% in containers holding &gt;10 liters Wine of fresh grapes of an alcoholic strength by volume &gt;14% I n containers holding &gt;10 liters Wine of fresh grapes of an alcoholic strength by volume &lt;=14% in containers holding &gt;10 liters Wine of fresh grapes of an alcoholic strength by volume &gt;14% in containers holding &gt;10 liters Grape must, nesi, in fermentation or with fermentation arrested otherwise than by addition of alcohol Vermouth in</w:t>
      </w:r>
    </w:p>
    <w:p>
      <w:pPr>
        <w:pStyle w:val="Normal"/>
      </w:pPr>
      <w:r>
        <w:t>containers holding 2 liters or less Wine of fresh grapes flavored with plants or aromatic substances, other than vermouth, in containers holding 2 liters or less Vermouth in containers each holding over 2 liters but not over 4 liters Vermouth in containers each holding over 4 liters Wine of fresh grapes flavored with plants or aromatic substances, other than vermouth, in containers holding over 2 liters Cider, fermented, whether still or sparkling Prune wine Rice wine or sake Effervescent wine, nesi Fermented beverages (other than grape wine, beer, cider, prune wine, sake, vermouth, or other effervescent wines) Undenatured ethyl alcohol of 80 percent vol. alcohol or higher, for beverage purposes Undenatured ethyl alcohol of 80 percent vol.</w:t>
      </w:r>
    </w:p>
    <w:p>
      <w:pPr>
        <w:pStyle w:val="Normal"/>
      </w:pPr>
      <w:r>
        <w:t>alcohol or higher, for nonbeverage purposes Ethyl alcohol and other spirits, denatured, of any strength Pisco and singani Grape brandy, excluding pisco and singani, in containers not over 4 liters, not over $2.38/liter Grape brandy, excluding pisco and singani, in containers not over 4 liters, valued over $2.38 to $3.43/liter Grape brandy, excluding pisco and singani, in containers not over 4 liters, valued over $3.43/liter Grape brandy, excluding pisco and singani, in containers over 4 liters, not over $2.38/liter Grape brandy, excluding pisco and singani, in containers over 4 liters, over $2.38/liter Irish and Scotch whiskies Whiskies, other than Irish and Scotch whiskies Rum and tafia, in containers each holding not over 4 liters,</w:t>
      </w:r>
    </w:p>
    <w:p>
      <w:pPr>
        <w:pStyle w:val="Normal"/>
      </w:pPr>
      <w:r>
        <w:t>valued not over $3/proof liter Rum and tafia, in containers each holding not over 4 liters, valued over $3/proof liter Rum and tafia, in containers each holding over 4 liters, valued not over $0.69/proof liter Rum and tafia, in containers each holding over 4 liters, valued over $0.69/proof liter Gin and Geneve Vodka, in containers each holding not over 4 liters, valued not over $2.05/liter Vodka, in containers each holding not over 4 liters, valued over $2.05/liter Vodka, in containers each holding over 4 liters Liqueurs and cordials Aquavit Bitters, not fit for use as beverages Bitters, fit for use as beverages Slivovitz brandy, valued not over $3.43/liter, in containers each holding not over 4 liters Slivovitz brandy, valued not over $3.43/liter, in containers each holding over 4 liters Slivovitz brandy, valued over $3.43/liter Brandy, except slivovitz, in containers each holding not over 4 liters, valued not over $2.38/liter Brandy, except grape brandy and slivovitz, in containers each holding not over 4 liters, valued over $2.38 but not over $3.43/liter</w:t>
      </w:r>
    </w:p>
    <w:p>
      <w:pPr>
        <w:pStyle w:val="Normal"/>
      </w:pPr>
      <w:r>
        <w:t>Brandy, except grape brandy and slivovitz, in containers each holding not over 4 liters, valued over $3.43/liter Brandy, except grape brandy and slivovitz, in containers each holding over 4 liters, valued not over $2.38/liter Brandy, except grape brandy and slivovitz, in containers each holding over 4 liters, valued over $2.38/liter Kirschwasser and ratafia Tequila, in containers each holding not over 4 liters Tequila, in</w:t>
      </w:r>
    </w:p>
    <w:p>
      <w:pPr>
        <w:pStyle w:val="Normal"/>
      </w:pPr>
      <w:r>
        <w:t>containers each holding over 4 liters Imitations of brandy and other spirituous beverages containing alcohol Mescal in containers each holding not over 4 liters Spirits nesi, fit for use as beverages or for beverage purposes Undenatured ethyl alcohol of an alcoholic strength by volume of less than 80 percent vol., nesi Vinegar and substitutes for vinegar obtained from acetic acid Flours, meals, and pellets, of meat or meat offal unfit for human consumption;</w:t>
      </w:r>
    </w:p>
    <w:p>
      <w:pPr>
        <w:pStyle w:val="Normal"/>
      </w:pPr>
      <w:r>
        <w:t>greaves (cracklings) Flours, meals, and pellets, of fish or of crustaceans, molluscs or other aquatic invertebrates, unfit for human consumption Bran, sharps (middlings) and other residues, derived from the sifting, milling or other working of corn (maize) Bran, sharps (middlings) and other residues, derived from the sifting, milling or other working of wheat Bran, sharps (middlings) and other residues, derived from the sifting, milling or other working of cereals, excluding corn, rice and wheat Bran, sharps (middlings) and other residues, derived from the sifting, milling or other working of leguminous plants Residues of starch manufacture and similar residues Beet-pulp, bagasse and other waste of sugar manufacture Brewing or distilling dregs and waste Oilcake and other solid residues, resulting from the extraction of soybean oil Oilcake and other solid residues, resulting from the extraction of peanut (ground-nut) oil Oilcake and other solid residues, resulting from the extraction of vegetable fats or oils, of cotton</w:t>
      </w:r>
    </w:p>
    <w:p>
      <w:pPr>
        <w:pStyle w:val="Normal"/>
      </w:pPr>
      <w:r>
        <w:t>seeds Oilcake and other solid residues, resulting from the extraction of vegetable fats or oils, of linseed Oilcake and other solid residues, resulting from the extraction of vegetable fats or oils, of sunflower seeds Oilcake and other solid residues, resulting from the extraction of vegetable fats or oils, of low erucic acid rape or colza seeds Oilcake and other solid residues, resulting from the extraction of vegetable fats/oils, of rape or colza seeds (other than low erucic acid) Oilcake and other solid residues, resulting from the extraction of vegetable fats or oils, of coconut or copra Oilcake and other solid residues, resulting from the extraction of vegetable fats or oils, of palm nuts or kernels Oilcake and other solid residues, resulting from the extraction of vegetable fats or oils, nesi Wine lees;</w:t>
      </w:r>
    </w:p>
    <w:p>
      <w:pPr>
        <w:pStyle w:val="Normal"/>
      </w:pPr>
      <w:r>
        <w:t>argol Acorns and horse-chestnuts, of a kind used in animal feeding, not elsewhere specified or included Screenings, scalpings, chaff or scourings, ground or not ground of flaxseed (linseed), of a kind used in animal feeding, nesoi Dehydrated marigolds, of a kind used in animal feeding, not elsewhere specified or included Vegetable materials and vegetable waste, vegetable residues and byproducts, of a kind used in animal feeding, nesoi Dog or cat food, put up for retail sale Mixed feed or mixed feed ingredients used in animal feeding Animal feeds w/milk or milk derivatives, o/10% by wt of milk solids, subject to gen.</w:t>
      </w:r>
    </w:p>
    <w:p>
      <w:pPr>
        <w:pStyle w:val="Normal"/>
      </w:pPr>
      <w:r>
        <w:t>note 15 of the HTS Animal feeds w/milk or milk derivatives, o/10% by wt of milk solids, subject to add note 2 to Ch. 23, not GN15 Animal feeds w/milk or milk derivatives, o/10% by wt of milk solids, not subject to gen note 15 or add note 2 to Ch. 23 * Animal feeds w/milk or milk derivatives, n/o 10% by wt of milk solids, subject to gen. note 15 of the HTS Animal feeds w/milk or milk derivatives, n/o 10% by wt of milk solids, subject to add note 2 to Ch. 23, not GN15 Animal feeds w/milk or milk derivatives, n/o 10% by wt of milk solids, not subject to gen note 15 or add note 2 to Ch.</w:t>
      </w:r>
    </w:p>
    <w:p>
      <w:pPr>
        <w:pStyle w:val="Normal"/>
      </w:pPr>
      <w:r>
        <w:t>23 * Animal feeds containing egg, other than mixed feeds or mixed feed ingredients, not containing milk or milk derivatives Other preps nes with a basis of vitamin B12, for supplementing animal in animal feeding, not cont milk or egg prods Other preps nes of a kind used in animal feeding, not cont milk or egg prods Wrapper tobacco, not stemmed/stripped Tobacco (o/t wrapper tobacco), cont ov 35% wrapper tobacco, not stemmed/stripped Tobacco, not stemmed or stripped, not or not over 35% wrapper tobacco, oriental or turkish type, cigarette leaf Tobacco, not stemmed or stripped, not or not over 35% wrapper tobacco, oriental or turkish type, other than cigarette leaf Tobacco, not stemmed or stripped, not or not over 35% wrapper tobacco, cigar binder and filler Tobacco, not stemmed or stripped, not or not over 35% wrapper tobacco, flue-cured burley etc, not for cigarettes Tobacco, not stemmed or</w:t>
      </w:r>
    </w:p>
    <w:p>
      <w:pPr>
        <w:pStyle w:val="Normal"/>
      </w:pPr>
      <w:r>
        <w:t>stripped, not or not over 35% wrapper tobacco, flue-cured burley, etc., described in addl US note 5 to chap 24 Tobacco, not stemmed or stripped, not or not over 35% wrapper tobacco, flue-cured burley, etc., other nesi Tobacco, not stemmed or stripped, not or not over 35% wrapper tobacco, not flue- cured burley, etc., other nesi Leaf tobacco, the product of two or more countries or dependencies, when mixed or packed together, partly or wholly stemmed, not threshed Wrapper tobacco, partly or wholly stemmed (stripped), not threshed or similarly processed Tobacco containing over 35% wrapper tobacco, partly or wholly stemmed (stripped), not threshed or similarly processed Tobacco, partly or wholly stemmed/stripped, n/threshed or similarly processed, not or n/over 35% wrapper, oriental or turkish, cigarette lea Tobacco, partly or wholly stemmed/stripped, n/threshed or similarly processed, not or n/over 35% wrapper, not cigarette leaf Tobacco, partly or wholly stemmed/stripped, n/threshed or similarly processed, not or n/over 35% wrapper, cigar binder and filler Tobacco, partly or wholly stemmed/stripped, n/threshed or similarly proc., not or n/over 35% wrapper, flue-cured burley etc, not for cigaret Tobacco, partly or wholly stemmed/stripped, n/threshed or similarly proc., not or n/over 35% wrapper, des.</w:t>
      </w:r>
    </w:p>
    <w:p>
      <w:pPr>
        <w:pStyle w:val="Normal"/>
      </w:pPr>
      <w:r>
        <w:t>in addl US note 5 to ch.</w:t>
      </w:r>
    </w:p>
    <w:p>
      <w:pPr>
        <w:pStyle w:val="Normal"/>
      </w:pPr>
      <w:r>
        <w:t>24 Tobacco, partly or wholly stemmed/stripped, n/threshed or similarly proc., not or n/over 35% wrapper, flue-cured burley etc, other nesi Tobacco, partly or wholly stemmed/stripped, n/threshed or similarly proc., not or n/over 35% wrapper, not flue-cured burley etc., other nesi Tobacco, partly or wholly stemmed (stripped), threshed or similarly processed, from cigar leaf Tobacco, partly or wholly stemmed/stripped, threshed or similarly processed, not from cigar leaf, oriental or turkish Tobacco, partly or wholly stemmed/stripped, threshed or similarly processed, not from cigar leaf, not oriental or turkish, not for cigarett Tobacco, partly or wholly stemmed/stripped, threshed or similarly processed, not from cigar leaf, described in addl US note 5 to chap 24 Tobacco, partly or wholly stemmed/stripped, threshed or similarly processed, not from cigar leaf, not oriental or turkish, other nesi Tobacco refuse, tobacco stems, not cut, ground or pulverized Tobacco refuse, from cigar leaf, tobacco stems, cut, ground or pulverized Tobacco refuse, from cigar leaf, other than tobacco stems Tobacco refuse, from oriental or turkish type,</w:t>
      </w:r>
    </w:p>
    <w:p>
      <w:pPr>
        <w:pStyle w:val="Normal"/>
      </w:pPr>
      <w:r>
        <w:t>tobacco stems, not cut, ground or pulverized Tobacco refuse, from oriental or turkish type, tobacco stems, cut, ground or pulverized Tobacco refuse, from oriental or turkish type, other than tobacco stems Tobacco refuse, from other tobacco, other than for cigarettes, tobacco stems, not cut, ground or pulverized Tobacco refuse, from other tobacco,</w:t>
      </w:r>
    </w:p>
    <w:p>
      <w:pPr>
        <w:pStyle w:val="Normal"/>
      </w:pPr>
      <w:r>
        <w:t>other than for cigarettes, tobacco stems, cut, ground or pulverized Tobacco refuse, from other tobacco, other than for cigarettes,tother than tobacco stems Tobacco refuse, from other tobacco, for cigarettes, described in addl US note 5 to chap 24, tobacco stems, not cut, ground or pulverized Tobacco refuse, from other tobacco, for cigarettes, described in addl US note 5 to chap 24, tobacco stems, cut, ground or pulverized Tobacco refuse, from other tobacco, for cigarettes, described in addl US note 5 to chap 24, not tobacco stems Tobacco refuse, from other tobacco, for cigarettes, other nesi Cigars, cheroots and cigarillos containing tobacco, each valued less than 15 cents Cigars, cheroots and cigarillos containing tobacco, each valued 15 cents or over but less than 23 cents Cigars, cheroots and cigarillos containing tobacco, each valued 23 cents or over Cigarettes containing tobacco and clove Cigarettes containing tobacco but not containing clove, paper-wrapped Cigarettes containing tobacco, nesi Cigars, cheroots and cigarillos and cigarettes of tobacco substitutes Water pipe tobacco, whether or not containing tobacco</w:t>
      </w:r>
    </w:p>
    <w:p>
      <w:pPr>
        <w:pStyle w:val="Normal"/>
      </w:pPr>
      <w:r>
        <w:t>substitutes Smoking tobacco, whether or not containing tobacco substitutes, prepared for marketing directly to consumer as packaged Smoking tobacco, other than for water pipes, whether or not containing tobacco subst, other, to be used in products other than cigarettes Smoking tobacco, not water pipe, whether or not containing substitutes, other, to be used in</w:t>
      </w:r>
    </w:p>
    <w:p>
      <w:pPr>
        <w:pStyle w:val="Normal"/>
      </w:pPr>
      <w:r>
        <w:t>cigarettes, in addl US note 5 to chapter Smoking tobacco, not water pipe, whether or not containing substitutes, other, to be used in cigarettes, other nesi “Homogenized” or “reconstituted” tobacco suitable for use as wrapper tobacco “Homogenized” or “reconstituted” tobacco, not suitable for use as wrapper tobacco, to be used in products other than cigarettes “Homogenized” or “reconstituted” tobacco, not suitable for use as wrapper tobacco, to be used in cigarettes, des. in addl US note 5 to chap “Homogenized” or “reconstituted” tobacco, not suitable for use as wrapper tobacco, to be used in cigarettes, other nesi Other manufactured tobacco, tobacco substitutes, tobacco extracts or essences, prepared for marketing directly to consumer as packaged Other manufactured tobacco, tobacco substitutes, tobacco extracts or essences, other, to be used in products other than cigarettes Other manufactured tobacco, tobacco substitutes, tobacco extracts or essences, to be used in cigarettes, described in addl US note 5 to chap Other manufactured tobacco, tobacco substitutes, tobacco extracts or essences, other, to be used in cigarettes, other nesi Salt &amp; pure sodium chloride, whether or not in aqueous solution or cont.</w:t>
      </w:r>
    </w:p>
    <w:p>
      <w:pPr>
        <w:pStyle w:val="Normal"/>
      </w:pPr>
      <w:r>
        <w:t>added anticaking or free-flowing agents;</w:t>
      </w:r>
    </w:p>
    <w:p>
      <w:pPr>
        <w:pStyle w:val="Normal"/>
      </w:pPr>
      <w:r>
        <w:t>sea water Iron pyrites, unroasted Sulfur of all kinds, other than sublimed, precipitated and colloidal sulfur Natural graphite, crystalline flake (not including flake dust) Natural graphite in powder or flakes (other than crystalline flake) Natural graphite, other than in powder or in flakes Natural silica and quartz sands, containing by weight 95% or more of silica and not more than 0.6% of oxide of iron Natural silica and quartz sands, nesoi Natural sands, other than silica or quartz sands and other than metal-bearing sands of chapter 26 Quartz (other than natural sands) Quartzite Kaolin and other kaolinic clays, whether or not calcined Bentonite clay, whether or not calcined Fire-clay, whether or not calcined Clays, (not including expanded clays of heading 6806), nesoi, whether or not calcined Andalusite, kyanite and sillimanite, whether or not calcined Mullite Chamotte or dinas earths Chalk, crude Chalk, other than crude Natural calcium phosphates, natural aluminum calcium phosphates and phosphatic chalk, unground Natural calcium phosphates, natural aluminum calcium phosphates and phosphatic chalk, ground Natural barium sulfate</w:t>
      </w:r>
    </w:p>
    <w:p>
      <w:pPr>
        <w:pStyle w:val="Normal"/>
      </w:pPr>
      <w:r>
        <w:t>(barytes), ground Natural barium sulfate (barytes), not ground Natural barium carbonate (witherite), whether or not calcined Siliceous fossil meals and similar siliceous earths, whether or not calcined, of an apparent specific gravity of 1 or less Pumice Emery;</w:t>
      </w:r>
    </w:p>
    <w:p>
      <w:pPr>
        <w:pStyle w:val="Normal"/>
      </w:pPr>
      <w:r>
        <w:t>natural corundum, nat. garnet and other nat.</w:t>
      </w:r>
    </w:p>
    <w:p>
      <w:pPr>
        <w:pStyle w:val="Normal"/>
      </w:pPr>
      <w:r>
        <w:t>abrasives, whether or not heat- treated, all the foregoing crude or in irregular pieces Emery; natural corundum, nat. garnet and other nat. abrasives, whether or not heat- treated, all the foregoin not crude or irregular pieces Slate, whether or not roughly trimmed or merely cut into blocks or slabs of a rectangular (including square) shape Marble and travertine, crude or roughly trimmed Marble, merely cut into blocks or slabs of a rectangular (including square) shape Travertine, merely cut into blocks or slabs of a rectangular (including square) shape Calcareous monument.or build.stone (o/than marble/traver.) of spec. gravity &gt;=2.5 &amp; alabaster, crude, rough, trimmed or cut blocks or slabs Granite, crude or roughly trimmed Granite, merely cut into blocks or slabs of a rectangular (including square) shape Sandstone, crude or roughly trimmed Sandstone, merely cut into blocks or slabs of a rectangular (including square) shape Porphyry, basalt and other monument. or build. stone (except granite/sandstone), crude or roughly trimmed or cut into rect. blocks/slabs Pebbles, gravel, broken or crushed stones, for concrete aggregates, road metalling, ballast, shingle or flint, whether o/not heat-treated Macadam of slag, dross or similar industrial waste, whether or not incorporating pebbles, gravel, etc.</w:t>
      </w:r>
    </w:p>
    <w:p>
      <w:pPr>
        <w:pStyle w:val="Normal"/>
      </w:pPr>
      <w:r>
        <w:t>Tarred macadam Granules, chippings and powder of marble, whether or not heat-treated Granules, chippings and powder, of travertine/calcareous monument.</w:t>
      </w:r>
    </w:p>
    <w:p>
      <w:pPr>
        <w:pStyle w:val="Normal"/>
      </w:pPr>
      <w:r>
        <w:t>or build.stone (except marble)/granite/porphyry/basalt/sandstone etc.</w:t>
      </w:r>
    </w:p>
    <w:p>
      <w:pPr>
        <w:pStyle w:val="Normal"/>
      </w:pPr>
      <w:r>
        <w:t>Dolomite, not calcined, whether or not or roughly trimmed or merely cut into blocks or slabs of a rectangular (including square) shape Dolomite, calcined, whether or not roughly trimmed or merely cut into blocks or slabs of a rectangular (including square) shape Agglomerated dolomite (including tarred dolomite) Natural magnesium carbonate (magnesite) Fused magnesia; dead-burned (sintered) magnesia, whether or not cont. small quant. of other oxides added before sintering Caustic calcined magnesite Magnesium oxide, nesi, whether or not pure Gypsum; anhydrite Plasters (of calcined gypsum or calcium sulfate), whether or not colored, with or without small quantities of accelerators or retarders Limestone flux;</w:t>
      </w:r>
    </w:p>
    <w:p>
      <w:pPr>
        <w:pStyle w:val="Normal"/>
      </w:pPr>
      <w:r>
        <w:t>limestone and other calcareous stone, of a kind used for the manufacture of lime or cement Quicklime (other than calcium oxide and hydroxide of heading 2825) Slaked lime (other than calcium oxide and hydroxide of heading 2825) Hydraulic lime (other than calcium oxide and hydroxide of heading 2825) Clinkers of portland, aluminous, slag, supersulfate and similar hydraulic cements Portland cement (white cement), whether or not artificially colored Portland cement (other than white cement), whether or not colored Aluminous cement, whether or not colored Slag cement, supersulfate cement and other hydraulic cements, nesoi, whether or not colored Crocidolite Asbestos other than crocidolite Mica, crude or rifted</w:t>
      </w:r>
    </w:p>
    <w:p>
      <w:pPr>
        <w:pStyle w:val="Normal"/>
      </w:pPr>
      <w:r>
        <w:t>into sheets or splittings Mica, powder Mica, waste Steatite, natural n/crushed or powdered, whether or not roughly trimmed or cut into rect. blocks or slabs; talc n/crushed or powdered Steatite, natural; talc; the foregoing crushed or powdered Borates, natural and conc., but n/incl. borates from nat. brine; nat. boric acid w/not over 85% H3B03 by dry weight Feldspar Fluorspar, containing by weight 97 percent or less of calcium fluoride Fluorspar, containing by weight more than 97 percent of calcium fluoride Leucite; nepheline and nepheline syenite Vermiculite, perlite and chlorites, unexpanded Kieserite Epsom salts (natural magnesium sulfates) Natural cryolite;</w:t>
      </w:r>
    </w:p>
    <w:p>
      <w:pPr>
        <w:pStyle w:val="Normal"/>
      </w:pPr>
      <w:r>
        <w:t>natural chiolite Natural micaceous iron oxides Other mineral substances, not elsewhere specified or included Iron ores and concentrates (other than roasted iron pyrites), not agglomerated Iron ores and concentrates (other than roasted iron pyrites), agglomerated Roasted iron pyrites Manganese ores and concentrates including ferruginous manganese ores &amp; concentrates with manganese content over 20% calculated on dry weight Copper ores and concentrates Nickel ores and concentrates Cobalt ores and concentrates Aluminum ores and concentrates Lead ores and concentrates Zinc ores and concentrates Tin ores and concentrates Chromium ores and concentrates Tungsten ores Tungsten concentrates Uranium ores and concentrates Thorium ores and concentrates Molybdenum ores and concentrates, roasted Molybdenum ores and concentrates, not</w:t>
      </w:r>
    </w:p>
    <w:p>
      <w:pPr>
        <w:pStyle w:val="Normal"/>
      </w:pPr>
      <w:r>
        <w:t>roasted Synthetic rutile Titanium ores and concentrates, other than synthetic rutile Zirconium ores and concentrates Synthetic tantalum-niobium concentrates Niobium, tantalum or vanadium ores and concentrates, nesoi Silver ores and concentrates Precious metal (other than silver) ores and concentrates Antimony ores and concentrates Metal ores and concentrates, nesoi Granulated slag (slag sand) from the manufacture of iron or steel Ferrous scale Slag, dross and other waste (except ferrous scale) from the manufacture of iron or steel Hard zinc spelter Zinc dross and skimmings (not from from the mfr. of iron or steel) Ash and residues (not from the mfr. of iron or steel), containing mainly zinc, other than hard zinc spelter/zinc dross &amp; skimmings Leaded gasoline sludges and leaded anti-knock compound sludges, containing mainly lead Ash and residues (other than from the manufacture of iron or steel), containing mainly lead, nesoi Ash and residues (not from the mfr. of iron or steel), containing mainly copper Ash and residues (not from the mfr.</w:t>
      </w:r>
    </w:p>
    <w:p>
      <w:pPr>
        <w:pStyle w:val="Normal"/>
      </w:pPr>
      <w:r>
        <w:t>of iron or steel), containing mainly aluminum Ash/residues contain arsenic, mercury, thallium or their mixtures, kind used only for extraction of arsenic or manufacture of its compounds Ash/residue contain arsenic,mercury,thallium/their mixtures,kind used only for extraction of those metals or manufacture of their compounds Ash and residues (other than from the manufacture of iron or steel), containing antimony, beryllium, cadmium, chromium or their mixtures Ash and residues (other than from the manufacture of iron or steel), containing mainly vanadium Ash and residues (other than from the manufacture of iron or steel), containing mainly tungsten Materials (ash and residues) not provided for elsewhere in heading 2620 containing by weight over 10 percent nickel Slag (other than from the manufacture of iron or steel) contains over 40% titanium &amp; if has over 2% Cu/Pb/Zn is not for recovery thereof Residues (not from mfr. of iron or steel) cont. metals/metal compounds nesoi, and n/adv. in value or cond.</w:t>
      </w:r>
    </w:p>
    <w:p>
      <w:pPr>
        <w:pStyle w:val="Normal"/>
      </w:pPr>
      <w:r>
        <w:t>&amp; if &gt; 2% Cu/Pb/Zn n/for recovery Other ash and residues (other than from the manufacture of iron or steel), containing metals or metal compounds, nesoi Ash and residues from the incineraction of municipal waste Other slag and ash, including seaweed ash (kelp), not elsewhere specified or included Coal, anthracite, whether or not pulverized, but not agglomerated Coal, bituminous, whether or not pulverized, but not agglomerated Coal, other than anthracite or bituminous, whether or not pulverized, but not agglomerated Coal, briquettes, ovoids and similar solid fuels manufactured from coal Lignite (excluding jet), whether or not pulverized, but not agglomerated Lignite (excluding jet), agglomerated Peat (including peat litter), whether or not agglomerated Coke and semicoke of coal, lignite or peat, whether or not agglomerated; retort carbon Coal gas, water gas, producer gas and similar gases, other than petroleum gases or other gaseous hydrocarbons Tars (including reconstituted tars), distill. from coal, lignite or peat, and other mineral tars, whether dehydrated or partially distilled Benzene, from distillation of hi-temp coal tar or in which wt. of aromatic components o/wt.</w:t>
      </w:r>
    </w:p>
    <w:p>
      <w:pPr>
        <w:pStyle w:val="Normal"/>
      </w:pPr>
      <w:r>
        <w:t>of nonaromatic components Toluene, from distillation of hi-temp coal tar or in which wt. of aromatic components o/wt. of nonaromatic components Xylenes, from distillation of hi-temp coal tar or in which wt. of aromatic components o/wt.</w:t>
      </w:r>
    </w:p>
    <w:p>
      <w:pPr>
        <w:pStyle w:val="Normal"/>
      </w:pPr>
      <w:r>
        <w:t>of nonaromatic components Naphthalene, from distillation of hi-temp coal tar or in which wt. of aromatic components o/wt. of nonaromatic components Aromatichydrocarbon mix.(from dist.ofhi-temp coaltar or wt.of aromatic &gt; nonaromatic),65%+ by vol.(incl.losses) dist. at 250 C/ASTM D 86 Creosote oils, from dist.of hi-temp coal tar or wt. of aromatic exceeds nonaromatic Light oil, from dist.of hi-temp coal tar or wt. of aromatic exceeds nonaromatic Picolines, from dist.of hi-temp coal tar or wt. of aromatic exceeds nonaromatic Carbazole, from dist.of hi-temp coal tar or wt. of aromatic exceeds nonaromatic, w/purity of 65% or more by wt. Phenols &gt; 50% by wt hydroxybenzene Metacresol/orthocresol/paracresol/metaparacresol (from dist.of hi-temp coal tar or wt. of aromatic &gt; nonaromatic), w/purity of 75%+ by wt. Phenols, nesoi Other products of hi-temp coal tar distillation and like products in which aromatic constituents exceed nonaromatic constituents, nesi Pitch, obtained from coal tar or other mineral tars Pitch coke, obtained from coal tar or other mineral tars Petroleum oils and oils from bituminous minerals, crude, testing under 25 degrees A.P.I.</w:t>
      </w:r>
    </w:p>
    <w:p>
      <w:pPr>
        <w:pStyle w:val="Normal"/>
      </w:pPr>
      <w:r>
        <w:t>Petroleum oils and oils from bituminous minerals, crude, testing 25 degrees A.P.I. or more Light oil motor fuel from petroleum oils and bituminous minerals (o/than crude) or preps. 70%+ by wt. from petroleum oils Light oil motor fuel blending stock from petroleum oils &amp; bituminous minerals (o/than crude) or prep 70%+ by wt.</w:t>
      </w:r>
    </w:p>
    <w:p>
      <w:pPr>
        <w:pStyle w:val="Normal"/>
      </w:pPr>
      <w:r>
        <w:t>from petroleum oils Naphthas (exc. motor fuel/mtr fuel blend. stock) fr petroleum oils &amp; bitumin minerals (o/than crude) or preps 70%+ by wt. fr petroleum oils Light oil mixt. of hydrocarbons fr petro oils &amp; bitum min(o/than crude) or prep 70%+ wt. fr petro oils, nesoi,n/o 50% any single hydrocarbon Light oils and preparations from petroleum oils &amp; oils from bituminous min. or preps 70%+ by wt. from petro. oils or bitum. min., nesoi Distillate and residual fuel oil (including blends) derived from petroleum or oils from bituminous minerals, testing &lt; 25 degrees A.P.I. Distillate and residual fuel oil (including blends) derived from petroleum oils or oil of bituminous minerals, testing 25 degree A.P.I. or &gt; Kerosene-type jet fuel from petroleum oils and oils of bitumin minerals (o/than crude) or preps. 70%+ by wt. from petroleum oils Kerosene motor fuel (not jet) from petro oils and bitumin minerals (o/than crude) or preps. 70%+ by wt. from petroleum oils Kerosene motor fuel blending stock (not jet), from petro oils and bitumin. minerals (o/than crude) or preps.</w:t>
      </w:r>
    </w:p>
    <w:p>
      <w:pPr>
        <w:pStyle w:val="Normal"/>
      </w:pPr>
      <w:r>
        <w:t>70%+ by wt. from petro oils Kerosene (ex. motor fuel/mtr fuel blend stock/xc jet), fr petro oils and bitumin minerals (o/than crude) or preps 70%+ by wt fr petro oils Lubricating oils, w/or w/o additives, fr. petro oils and bitumin minerals (o/than crude) or preps. 70%+ by wt. fr. petro oils Lubricating greases from petro oil/bitum min/70%+ by wt. fr. petro. oils but n/o 10% by wt.</w:t>
      </w:r>
    </w:p>
    <w:p>
      <w:pPr>
        <w:pStyle w:val="Normal"/>
      </w:pPr>
      <w:r>
        <w:t>of fatty acid salts animal/vegetable origin Lubricating greases from petro oil/bitum min/70%+ by wt. fr. petro. oils &gt; 10% by wt. of fatty acid salts animal/vegetable origin Mixture of hydrocarbons from petro oils &amp; bitum. min. or preps.70%+ by wt. fr. petro. oils, nesoi, n/o 50% any single hydrocarbon Petroleum oils &amp; oils from bituminous minerals or preps nesoi 70%+ by wt. from petroleum oils or bitum. min., not waste, nesoi Dist and resid fuel oil (including blends) derived from petro or oils fr bitum min, testing under 25 degrees A.P.I., contng biodiesel Dist and resid fuel oil (including blends) derived from petro or oils fr bitum min testing 25 degree A.P.I. or &gt;, contng biodiesel Kerosene-type jet fuel/mtr ful/mtr ful blend stck fr pet oils &amp; bitumin min (o/th crude), or preps.</w:t>
      </w:r>
    </w:p>
    <w:p>
      <w:pPr>
        <w:pStyle w:val="Normal"/>
      </w:pPr>
      <w:r>
        <w:t>70%+ by w fr pet oils, ctg biodiesel Kerosene (ex jet fuel,mtr ful/mtr ful blend stck/jet), fr pet oils and bitumin. min (o/th crude) or preps 70%+ by wt fr pet oils, ctg biodie Waste oils from petro oils/bitum minerals/preps 70%+ by wt. fr. petro oils/bitum minerals containing PCBs, PCTs or PBBs Wastes of distillate and residual fuel oil (including blends) derived from petroleum oil/bituminous minerals, testing under 25 degree A.P.I. Wastes of distillate and residual fuel oil (including blends) derived from petroleum oil/bituminous minerals, testing 25 degrees A.P.I. or &gt; Waste motor fuel or motor fuel blending stock from petro oils and bitumin. minerals (o/than crude) or preps. 70%+ by wt.</w:t>
      </w:r>
    </w:p>
    <w:p>
      <w:pPr>
        <w:pStyle w:val="Normal"/>
      </w:pPr>
      <w:r>
        <w:t>from petro oils Waste kerosene or naphthas from petro oils and bitumin minerals (o/than crude) or preps. 70%+ by wt. From petro oils/bitumin minerals Waste lubricating oils, w/or w/o additives, from petro oils and bitumin minerals (o/than crude) or preps.</w:t>
      </w:r>
    </w:p>
    <w:p>
      <w:pPr>
        <w:pStyle w:val="Normal"/>
      </w:pPr>
      <w:r>
        <w:t>70%+ by wt. from petro oils Waste lubricating greases from petro oil/bitum min/70%+ by wt. fr petro oils but n/o 10% by wt. of fatty acid salts animal/vegetable origin Waste lubricating greases from petro oil/bitum min/70%+ by wt. fr petro oils but over 10% by wt. of fatty acid salts animal/vegetable origin Waste mixtures of hydrocarbons from petro oils &amp; bitum. min. or preps.70%+ by wt. fr. petro oils, nesoi, n/o 50% any single hydrocarbon Waste petroleum oils &amp; oils from bitum. min. or preps nesoi 70%+ by wt. from petro. oils or bitum. min., nesoi Natural gas, liquefied Propane, liquefied Butanes, liquefied Ethylene, propylene, butylene and butadiene, liquefied Liquefied petroleum gases and other gaseous hydrocarbons, nesoi Natural gas, in gaseous state Petroleum gases and other gaseous hydrocarbons, except natural gas Petroleum jelly Paraffin wax (whether or not colored), obtained by synthesis or other process and less than 0.75% oil by wt. Montan wax (whether or not colored), obtained by synthesis or other process Mineral waxes (i.e.,paraffin w/0.75%+ oil, microcrystall.</w:t>
      </w:r>
    </w:p>
    <w:p>
      <w:pPr>
        <w:pStyle w:val="Normal"/>
      </w:pPr>
      <w:r>
        <w:t>wax, slack lignite &amp; peat waxes, ozokerite), obtained by synthesis Coke, petroleum, not calcined Coke, petroleum coke, calcined Petroleum bitumen Residues (except petroleum coke or petroleum bitumen) of petroleum oils or of oils obtained from bituminous materials Bituminous or oil shale and tar sands Bitumen and asphalt, natural; asphaltites and asphaltic rocks Bituminous mixtures based on natural asphalt, natural bitumen, petroleum bitumen, mineral tar or mineral tar pitch Electrical energy Chlorine Iodine Fluorine Bromine Sulfur, sublimed or precipitated; colloidal sulfur Carbon (carbon blacks and other forms of carbon not elsewhere specified or included) Hydrogen Argon Rare gases, other than argon Nitrogen Oxygen Boron; tellurium Silicon containing by weight not less than 99.99 percent of silicon Silicon, containing by weight less than 99.99 percent but not less than 99 percent of silicon Silicon, containing by weight less than 99 percent of silicon Phosphorus Arsenic Selenium Sodium Calcium Strontium Barium Alkali metals, other than sodium Rare-earth metals, scandium and yttrium, whether or not intermixed or interalloyed Mercury Hydrogen chloride (Hydrochloric acid) Chlorosulfuric acid Sulfuric acid; oleum Nitric acid;</w:t>
      </w:r>
    </w:p>
    <w:p>
      <w:pPr>
        <w:pStyle w:val="Normal"/>
      </w:pPr>
      <w:r>
        <w:t>sulfonitric acids Diphosphorus pentoxide Phosphoric acid and polyphosphoric acids Oxides of boron; boric acids Hydrogen fluoride (Hydrofluoric acid) Hydrogen cyanide Arsenic acid Hydrobromic acid Sulfamic acid and other inorganic acids nesoi Carbon</w:t>
      </w:r>
    </w:p>
    <w:p>
      <w:pPr>
        <w:pStyle w:val="Normal"/>
      </w:pPr>
      <w:r>
        <w:t>dioxide Synthetic silica gel Silicon dioxide, other than synthetic silica gel Arsenic trioxide Selenium dioxide Sulfur dioxide Other inorganic oxygen compounds of nonmetals, nesoi Carbonyl dichloride (Phosgene) Phosphorus oxychloride Phosphorus trichloride Phosphorus pentachloride Sulfur monochloride Sulfur dichloride Thionyl chloride Other chlorides and chloride oxides Halides and halide oxides of nonmetals, excluding chlorides and chloride oxides Carbon disulfide Arsenic sulfides Phosphorus sulfides Sulfides of nonmetals, excluding carbon disulfide and sulfides of arsenic or phosphorus Anhydrous ammonia Ammonia in aqueous solution Sodium hydroxide (Caustic soda), solid Sodium hydroxide (Caustic soda), in aqueous solution (Soda lye or liquid soda) Potassium hydroxide (Caustic potash) Peroxides of sodium or potassium Hydroxide and peroxide of magnesium Oxides, hydroxides and peroxides of strontium Oxides, hydroxides and peroxides of barium Zinc oxide; zinc peroxide Artificial corundum, crude Artificial corundum, in grains, or ground, pulverized or refined Aluminum oxide, other than artificial corundum Aluminum hydroxide Chromium trioxide Chromium oxides and hydroxides, other than chromium trioxide Manganese dioxide Manganese oxides, other than manganese dioxide Iron oxides and hydroxides Earth colors containing 70 percent or more by weight of combined iron evaluated as Fe2O3 Cobalt oxides and hydroxides; commercial cobalt oxides Titanium oxides Lead monoxide (Litharge,</w:t>
      </w:r>
    </w:p>
    <w:p>
      <w:pPr>
        <w:pStyle w:val="Normal"/>
      </w:pPr>
      <w:r>
        <w:t>massicot) Lead suboxide (Leady litharge) Red lead and orange lead Lead oxides, nesoi Hydrazine and hydroxylamine and their inorganic salts Lithium oxide and hydroxide Vanadium oxides and hydroxides Nickel oxides and hydroxides Cupric oxide Cuprous oxide Copper hydroxides Germanium oxides and zirconium dioxide Molybdenum oxides and hydroxides Antimony oxides Beryllium oxide and hydroxide Niobium oxide Tin oxides Tungsten oxides Cadmium oxide Other inorganic bases;</w:t>
      </w:r>
    </w:p>
    <w:p>
      <w:pPr>
        <w:pStyle w:val="Normal"/>
      </w:pPr>
      <w:r>
        <w:t>other metal oxides, hydroxides and peroxides, nesoi Fluorides of aluminum Ammonium fluoride Sodium fluoride Fluorides, other than of ammonium, sodium or aluminum Sodium hexafluoroaluminate (Synthetic cryolite) Fluorosilicates of sodium or of potassium Other complex fluorine salts, nesoi Ammonium chloride Calcium chloride Magnesium chloride Aluminum chloride Nickel chloride Vanadium chlorides Tin chlorides Titanium chlorides Tungsten hexachloride Barium chloride Iron chlorides Cobalt chlorides Zinc chloride Chlorides, nesoi Chloride oxides and chloride hydroxides of copper Chloride oxides and chloride hydroxides of vanadium Chloride oxides and chloride hydroxides other than of copper or of vanadium Bromides of sodium or potassium Bromides or bromide oxides of ammonium, calcium, or zinc Other bromides and bromide oxides, other than ammonium, calcium or zinc Iodide and iodide oxide of calcium or copper Iodide and iodide oxide of potassium Iodides and iodide oxides, other than of calcium, copper or potassium Commercial</w:t>
      </w:r>
    </w:p>
    <w:p>
      <w:pPr>
        <w:pStyle w:val="Normal"/>
      </w:pPr>
      <w:r>
        <w:t>calcium hypochlorite and other calcium hypochlorites Hypochlorites, except of calcium; hypobromites; chlorites Sodium chlorate Other chlorates and perchlorates, other than sodium Potassium bromate Sodium bromate Perchlorates, perbromates, iodates, periodates; of potassium Other perbromates, iodates and periodates other than potassium Sodium sulfides Zinc sulfide, luminescent grade, purity&gt;= 99.99 % By wt. Zinc sulfide excluding luminescent grade Cadmium sulfide Polysulfides; sulfides, other than those of zinc and cadmium Sodium formaldehyde sulfoxylate Dithionites and sulfoxylates of sodium Dithionites and sulfoxylates, other than those of sodium Sodium sulfites Sulfites, except sodium sulfites Sodium thiosulfate Thiosulfates, except sodium thiosulfate Disodium sulfate, crude (Salt cake) Disodium sulfate, other than crude Sodium sulfates, other than disodium sulfate Magnesium sulfate Aluminum sulfate Nickel sulfate Copper sulfate Barium sulfate Cobalt sulfate Iron sulfate Vanadium sulfate Chromium sulfate Zinc sulfate Other sulfates nesoi Alums Sodium peroxosulfates (sodium persulfates) Peroxosulfates (persulfates), nesoi Sodium nitrite Nitrites, other than of sodium Potassium nitrate Bismuth nitrate Calcium nitrate Strontium nitrate Nitrates, nesoi Phosphinates (hypophosphites) and phosphonates (phosphites) Mono- or disodium phosphates Potassium phosphate Calcium hydrogenorthophosphate (“Dicalcium phosphate”) Other phosphates of calcium, nesoi Aluminum phosphate Triammonium</w:t>
      </w:r>
    </w:p>
    <w:p>
      <w:pPr>
        <w:pStyle w:val="Normal"/>
      </w:pPr>
      <w:r>
        <w:t>phosphate Trisodium phosphate Other phosphates nesoi Sodium triphosphate (Sodium tripolyphosphate) Potassium polyphosphate Polyphosphates, other than sodium triphosphate and potassium polyphosphate Disodium carbonate Sodium hydrogencarbonate (Sodium bicarbonate) Dipotassium carbonate Potassium hydrogencarbonate (Potassium bicarbonate) Calcium carbonate Barium carbonate Lithium carbonates Strontium carbonate Cobalt carbonates Bismuth carbonate Commercial ammonium carbonate, containing ammonium carbamate, and other ammonium carbonates Lead carbonate Carbonates nesoi, and peroxocarbonates (percarbonates) Sodium cyanide Cyanides and cyanide oxides, except those of sodium Potassium ferricyanide Complex cyanides, excluding potassium ferricyanide Sodium metasilicates Sodium silicates except sodium metasilicates Potassium silicate Other alkali metal silicates nesoi Anhydrous disodium tetraborate (refined borax) Disodium tetraborate (refined borax) except anhydrous Borates, other than disodium tetraborate (refined borax) Peroxoborates (perborates) Sodium dichromate Potassium dichromate Chromates except of zinc or lead and dichromates except of sodium or potassium; peroxochromates Potassium permanganate Manganites, manganates and permanganates (except potassium permanganate) Ammonium molybdate Molybdates, other than of ammonium Tungstates (wolframates) Vanadates Ammonium perrhenate Potassium stannate Aluminates Chromates of zinc or of lead Salts of oxometallic or peroxometallic acids</w:t>
      </w:r>
    </w:p>
    <w:p>
      <w:pPr>
        <w:pStyle w:val="Normal"/>
      </w:pPr>
      <w:r>
        <w:t>nesoi Double or complex silicates Fulminates, cyanates and thiocyanates Salts of inorganic acids or peroxoacids nesoi, excluding azides Colloidal precious metals Silver nitrate Silver compounds, other than silver nitrate Gold compounds Inorganic or organic compounds of precious metals, excluding those of silver and gold; amalgams of precious metals Natural uranium metal Natural uranium compounds Alloys, dispersions (including cermets), ceramic products and mixtures containing natural uranium or natural uranium compounds Uranium enriched in U235 and plutonium and their compounds; alloys, dispersions, ceramic products and mixtures containing these products Thorium compounds Compounds of uranium depleted in U235 Uranium depleted in U235, thorium; alloys, dispersions, ceramic products and mixtures of these products and their compounds Radioactive elements, isotopes, compounds nesoi; alloys, dispersions, ceramic products and mixtures of these products; radioactive residues Spent (irradiated) fuel elements (cartridges) of nuclear reactors Heavy water (Deuterium oxide) Isotopes not in heading 2844 and their compounds other than heavy water Cerium compounds Mixtures of rare-earth oxides or of rare-earth chlorides Yttrium materials and compounds containing by wt.</w:t>
      </w:r>
    </w:p>
    <w:p>
      <w:pPr>
        <w:pStyle w:val="Normal"/>
      </w:pPr>
      <w:r>
        <w:t>&gt;19% But &lt; 85% yttrium oxide equivalent Compounds, inorganic or organic, of rare-earth metals, of yttrium or of scandium, or of mixtures of these metals, nesoi Hydrogen peroxide, whether or not solidified with urea Calcium carbide Silicon carbide, crude Silicon carbide, in grains, or ground, pulverized or refined Boron carbide Chromium carbide Tungsten carbide Carbides, nesoi Hydride, nitride, azide, silicide and boride of calcium Hydride, nitride, azide, silicide and boride of titanium Hydride, nitride, azide, silicide and boride of tungsten Hydride, nitride, azide, silicide and boride of vanadium Hydrides, nitrides, azides, silicides and borides other than of calcium, titanium, tungsten or vanadium Mercuric oxide, mercuric cyanide, mercuric oxycyanide and mercuric potassium cyanide Other chemically defined compounds of mercury excluding amalgams Albuminates, tannates, and phosphides of mercury Inorganic or organic compounds of mercury, not chemically defined, not albuminates, tannates, or phosphides, excluding amalgams Cyanogen chloride (Chlorocyan) Phosphor copper containing more than 15% by weight of phosphorus, excluding ferrosphosphorus Phosphides, whether or not chemically defined, excluding ferrophosphorus, of other metals or of nonmetals Other phosphides, excl ferrophosphorous, nesoi Ethane and butane n-Pentane and isopentane Saturated acyclic hydrocarbon (not ethane,butane,n-pentane or isopentane),derived in whole or part from petroleum,shale oil or natural gas</w:t>
      </w:r>
    </w:p>
    <w:p>
      <w:pPr>
        <w:pStyle w:val="Normal"/>
      </w:pPr>
      <w:r>
        <w:t>Saturated acyclic hydrocarbon (not ethane,butane,n-pentane or isopentane),not derived in whole or part petroleum,shale oil or natural gas Ethylene Propene (Propylene) Butene (Butylene) and isomers thereof Buta-l,3-diene Isoprene, having a purity of 95 percent or more by weight Isoprene less than 95 percent pure Unsaturated acyclic hydrocarbons, nesoi, derived in whole or in part from petroleum, shale oil or natural gas Unsaturated acyclic hydrocarbons, nesoi, not derived in whole or in part from petroleum, shale oil or natural gas Cyclohexane Cyclanic hydrocarbons (except cyclohexane), cyclenic hydrocarbons and cycloterpenes Benzene Toluene o-Xylene m-Xylene p-Xylene Mixed xylene isomers Styrene Ethylbenzene Cumene Pseudocumene Acenaphthene, chrysene, cymene, dimethylnaphthalenes, fluoranthene, fluorene, indene, mesitylene, and other specified cyclic hydrocarbons Alkylbenzenes and polyalkylbenzenes Anthracene and 1,4-di-(2-methylstyryl)benzene Biphenyl (diphenyl), in flakes Cyclic hydrocarbons, nesoi Chloromethane (Methyl chloride) &amp; chloroethane (Ethyl chloride) Dichloromethane (Methylene chloride) Chloroform (Trichloromethane) Carbon tetrachloride 1,2-Dichloroethane (Ethylene dichloride) 1,2-Dichloropropane (Propylene dichloride) and dichlorobutanes Hexachloroethane and tetrachloroethane sec-Butyl chloride Saturated chlorinated derivatives of acyclic hydrocarbons, nesoi Vinyl chloride (Chloroethylene) Trichloroethylene Tetrachloroethylene (Perchloroethylene) Unsaturated</w:t>
      </w:r>
    </w:p>
    <w:p>
      <w:pPr>
        <w:pStyle w:val="Normal"/>
      </w:pPr>
      <w:r>
        <w:t>chlorinated derivatives of acyclic hydrocarbons, nesoi Ethylene dibromide Acetylene tetrabromide; alkyl bromides; methylene dibromide; and vinyl bromide Fluorinated, brominated or iodinated derivatives of acyclic hydrocarbons, nesoi Chlorodifluoromethane Dichlorotrifluoroethanes Dichlorofluoroethanes Chlorodifluoroethanes Dichloropentafluoropropanes Bromochlorodifluoromethane, bromotrifluoromethane and dibromotetrafluoroethanes Other acyclic hydrocarbon derivatives,perhalogenated only with flourine and chlorine Other perhalogenated acyclic hydrocarbon derivatives, nesoi Bromochloromethane Other halogenated derivatives of acyclic hydrocarbons containing two or more different halogens, nesoi 1,2,3,4,5,6-Hexachlorocyclohexane (HCH (ISO)), including Lindane(ISO, INN) Aldrin (ISO), chlordane (ISO) and heptachlor (ISO) Halogenated derivatives of cyclanic cyclenic or cycloterpenic hydrocarbons: Mirex (ISO) Dibromoethyldibromocyclohexane Halogenated pesticides derived in whole or in part from benzene or other aromatic hydrocarbon, nesoi Halogenated products derived in whole or in part from benzene or other aromatic hydrocarbon, described in additional U.S. note 3 to sec.</w:t>
      </w:r>
    </w:p>
    <w:p>
      <w:pPr>
        <w:pStyle w:val="Normal"/>
      </w:pPr>
      <w:r>
        <w:t>VI Halogenated derivatives derived in whole or in part from benzene or other aromatic hydrocarbon, nesoi Chlorinated, but not otherwise halogenated derivatives of cyclanic, cyclenic or cycloterpenic hydrocarbons 1,3,5,7,9,11-Hexabromocyclododecane Tetrabromocyclooctane Other halogenated derivatives of cyclanic etc hydrocarbons not deriv from benzene or other aromatic hydrocarbons Chlorobenzene o-Dichlorobenzene p-Dichlorobenzene Hexachlorobenzene (ISO) and DDT (clofenatone (INN), (1,1,1-Trichloro-2,2-bis(p chlorophenyl)ethane)) Halogenated derivatives of aromatic hydrocarbons, pentachlorobenzene Halogenated derivatives of aromatic hydrocarbons, hexabromobiphenyls 3-Bromo-alpha,alpha,alpha-trifluorotoluene; and other specified halogenated derivatives of aromatic hydrocarbons p-Chlorobenzotrifluoride; and 3,4-Dichlorobenzotrifluoride m-Dichlorobenzene; 1,1-dichloro-2,2-bis(p-ethylphenyl)ethane; and trichlorobenzenes Triphenylmethyl chloride Benzyl chloride (alpha-Chlorotoluene); benzotrichloride (alpha,alpha,alpha trichlorotoluene) Pentabromoethylbenzene Tribromocumene Pesticides derived from halogenated derivatives of aromatic hydrocarbons Other halogenated derivatives of aromatic hydrocarbons, nesoi 2-Anthracenesulfonic acid Benzenesulfonyl chloride m-Benzenedisulfonic acid, sodium salt; 1,5-naphthalenedisulfonic acid; and p toluenesulfonyl chloride Mixtures of 1,3,6-naphthalenetrisulfonic acid and 1,3,7-naphthalenetrisulfonic acid Aromatic derivatives of hydrocarbons</w:t>
      </w:r>
    </w:p>
    <w:p>
      <w:pPr>
        <w:pStyle w:val="Normal"/>
      </w:pPr>
      <w:r>
        <w:t>containing only sulfo groups, their salts and ethyl esters, described in add. U.S. note 3 to sec. VI Aromatic derivatives of hydrocarbons containing only sulfo groups, their salts and ethyl esters, nesoi Nonaromatic derivatives of hydrocarbons containing only sulfo groups, their salts and ethyl esters, nesoi p-Nitrotoluene p-Nitro-o-xylene Trinitrotoluene 5-tert-Butyl-2,4,6-trinitro-m-xylene (Musk xylol) and other artificial musks Nitrated benzene, nitrated toluene (except p-nitrotoluene) or nitrated naphthalene Aromatic derivatives of hydrocarbons containing only nitro or only nitroso groups, described in additional U.S. note 3 to section VI Aromatic derivatives of hydrocarbons containing only nitro or only nitroso groups, nesoi Nonaromatic derivatives of hydrocarbons containing only nitro or only nitroso groups, nesoi Perfluorooctane sulfonic acid Ammonium perfluorooctane sulfonate Lithium perfluorooctane sulfonate Potassium perfluorooctane sulfonate Other salts of perfluorooctane sulfonic acid Perfluorooctane sulfonyl fluoride Trichloronitromethane (chloropicrin) Monochloromononitrobenzenes; o-nitrochlorobenzene; p-nitrochlorobenzene Monochloromononitrobenzenes nesoi 4-Chloro-3-nitro-a,a,a-trifluorotoluene; 2-Chloro-5-nitro-a,a,a-trifluorotoluene; and 4 Chloro-3,5-dinitro-a,a,a-trifluorotoluene Nitrotoluenesulfonic acids 1-Bromo-2-nitrobenzene; 1,2-Dichloro-4-nitrobenzene and o-Fluoronitrobenzene 4,4’-Dinitrostilbene-2,2’-disulfonic acid Sulfonated, nitrated or</w:t>
      </w:r>
    </w:p>
    <w:p>
      <w:pPr>
        <w:pStyle w:val="Normal"/>
      </w:pPr>
      <w:r>
        <w:t>nitrosated derivatives of aromatic products described in additional US note 3 to section 6 Other sulfonated, nitrated or nitrosated derivatives of aromatic hydrocarbons excluding aromatic products described in add US note 3 to section 6 Nonaromatic sulfonated, nitrated or nitrosated derivatives of hydrocarbons, nesoi Methanol (Methyl alcohol) imported only for use in producing synthetic natural gas (SNG) or for direct use as a fuel Methanol (Methyl alcohol), other than imported only for use in producing synthetic natural gas (SNG) or for direct use as fuel Propan-1-ol (Propyl alcohol) and Propan-2-ol (isopropyl alcohol) Butan-1-ol (n-Butyl alcohol) tert-Butyl alcohol, having a purity of less than 99 percent by weight Butanols other than butan-1-ol and tert-butyl alcohol having a purity of less than 99 percent by weight Octanol (Octyl acohol) and isomers thereof Dodecan-1-ol (Lauryl alcohol); hexadecan-1-ol (Cetyl alcohol); octadecan-1-ol (Stearyl alcohol) Pentanol (Amyl alcohol) and isomers thereof Saturated monohydric alcohols, nesoi Geraniol Isophytol Acyclic terpene alcohols, other than geraniol and isophytol Allyl alcohol Unsaturated monohydric alcohols, other than allyl alcohol or acyclic terpene alcohols Ethylene glycol (Ethanediol) Propylene glycol (Propane-1,2-diol) Butylene glycol Neopentyl glycol Hexylene glycol Dihydric alcohols (diols), nesoi 2-Ethyl-2-(hydroxymethyl)propane-1,3-diol (Trimethylolpropane) Pentaerythritol Mannitol D-glucitol (Sorbitol) Glycerol</w:t>
      </w:r>
    </w:p>
    <w:p>
      <w:pPr>
        <w:pStyle w:val="Normal"/>
      </w:pPr>
      <w:r>
        <w:t>Triols and tetrols Esters of glycerol formed with the acids of heading 2904 Xylitol Polyhydric alcohols derived from sugars, nesoi Polyhydric alcohols, nesoi Ethchlorvynol (INN) Halogenated, sulfonated, nitrated or nitrosated derivatives of monohydric alcohols Dibromoneopentylglycol Halogenated, sulfonated, nitrated or nitrosated derivatives of acyclic alcohols, nesoi Menthol Cyclohexanol, methylcyclohexanols and dimethylcyclohexanols Inositols Sterols 4,4’-Isopropylidenedicyclohexanol;and mixt. w/not less 90% stereoisomers of 2 isopropyl-5-methylcyclohexanol but n/o 30% any 1 stereoisomer Terpineols Other cyclanic, cyclenic or cycloterpenic alcohols and their halogenated, sulfonated, nitrated or nitrosated derivatives Benzyl alcohol Phenethyl alcohol Odoriferous or flavoring compounds of aromatic alcohols and their halogenated, sulfonated, nitrated or nitrosated derivatives, nesoi 1,1-Bis(4-chlorophenyl)-2,2,2-trichloroethanol (Dicofol); and p-nitrobenzyl alcohol Other aromatic alcohols and their halogenated, sulfonated, nitrated or nitrosated derivatives Phenol (Hydroxybenzene) and its salts Cresols and their salts Octylphenol, nonylphenol and their isomers; salts thereof alpha-Naphthol 2-Naphthol Naphthols and their salts, other than alpha-Naphthol and 2-Naphthol Alkylcresols Alkylphenols Thymol 2-t-Butyl ethyl phenol; and 6-t-butyl-2,4-xylenol and ylenols and their salts Other monophenols Resorcinol and its salts Hydroquinone (Quinol) and its salts, photographic grade</w:t>
      </w:r>
    </w:p>
    <w:p>
      <w:pPr>
        <w:pStyle w:val="Normal"/>
      </w:pPr>
      <w:r>
        <w:t>Hydroquinone (Quinol) and its salts, other than photographic grade 4,4’-Isopropylidenediphenol (Bisphenol A, Diphenylolpropane) and its salts Phenol-alcohols Pyrogallic acid 4,4’-Biphenol tert-Butylhydroquinone Other polyphenols, nesoi Pentachlorophenol (ISO) 2,2-Bis(4-hydroxyphenyl)-1,1,1,3,3,3-hexafluoropropane 6-Chloro-m-cresol [OH=1]; m-chlorophenol; and chlorothymol 3-Hydroxy-alpha,alpha,alpha-trifluorotoluene Pentachlorophenol and its salts; and 2,4,5-trichlorophenol and its salts Tetrabromobisphenol A Derivatives of phenols or phenol-alcohols containing only halogen substituents and their salts described in add. U.S. note 3 to sec. VI Other halogenated, sulfonated, nitrated or nitrosated derivatives of phenol or phenol- alcohols Dinoseb (ISO) and its salts 4,6-Dinitro-o-cresol (DNOC (ISO)) and its salts Specified derivatives of phenols or phenol-alcohols containing only sulfo groups, their salts and esters 4-Hydroxy-1-naphthalenesulfonic acid 1,8-Dihydroxynaphthalene-3,6-disulfonic acid and its sodium salt Derivatives nesoi,of phenols or phenol-alcohols cont. only sulfo groups, their salts and esters, described in add. U.S.</w:t>
      </w:r>
    </w:p>
    <w:p>
      <w:pPr>
        <w:pStyle w:val="Normal"/>
      </w:pPr>
      <w:r>
        <w:t>note 3 to section VI Derivatives of phenol or phenol-alcohols containing only sulfo groups, their salts and esters, nesoi p-Nitrophenol Nitrophenols, except p-nitrophenol Dinitro-o-cresols (other than 4,6-dinitro-o-cresol) and 4-nitro-m-cresol Dinitrobutylphenol and its salts Halogenated, sulfonated, nitrated or nitrosated derivatives of phenols or phenol- alcohols described in additional U.S. note 3 to section VI Halogenated, sulfonated, nitrated or nitrosated derivatives of phenols or phenol- alcohols, nesoi Diethyl ether Methyl tertiay-butyl ether. (MTBE) Ethers of acyc monohydric alcohols &amp; deriv, nesoi Triethylene glycol dichloride Ethers of polyhydric alcohols and their halogenated, sulfonated, nitrated or nitrosated derivatives, nesoi Cyclanic, cyclenic or cycloterpenic ethers and their halogenated, sulfonated, nitrated or nitrosated derivatives 5-Chloro-2-nitroanisole; 6-chloro-3-nitro-p-dimethoxybenzene; and dimethyl diphenyl ether Decabromodiphenyl oxide; and octabromodiphenyl oxide Bis-(tribromophenoxy)ethane; pentabromodiphenyl oxide; and tetradecabromodiphenoxy benzene 6-tert-Butyl-3-methyl-2,4-dinitroanisole (Musk ambrette) and other artificial musks Odoriferous or flavoring compounds of aromatic ethers and their halogenated, sulfonated, nitrated or nitrosated derivatives, nesoi Pesticides, of aromatic ethers and their halogenated, sulfonated, nitrated or nitrosated derivatives Aromatic ethers and their halogenated, sulfonated, nitrated or nitrosated</w:t>
      </w:r>
    </w:p>
    <w:p>
      <w:pPr>
        <w:pStyle w:val="Normal"/>
      </w:pPr>
      <w:r>
        <w:t>derivatives, nesoi, described in add. U.S. note 3 to section VI Other aromatic ethers and their halogenated, sulfonated, nitrated, or nitrosated derivatives, nesoi 2,2’-Oxydiethanol (Diethylene glycol, Digol) Monobutyl ethers of ethylene glycol or of diethylene glycol Monoalkyl ethers of ethylene glycol or of diethylene glycol Guaifenesin Other aromatic ether-alcohols, their halogenated, sulfonated, nitrated or nitrosated derivatives described in add. US note 3 to section VI Aromatic ether-alcohols and their halogenated, sulfonated, nitrated or nitrosated derivatives, nesoi Nonaromatic glycerol ethers Di-pentaerythritol having a purity of 94% or more by weight Other non-aromatic ether-alcohols and their halogenated, sulfonated, nitrated or nitrosated derivatives 4-Ethylguaiacol Guaiacol and its derivatives Odoriferous or flavoring compounds of ether-phenols, ether-alcohol-phenols &amp; their halogenated, sulfonated, nitrated, nitrosated derivatives Ether-phenols, ether-alcohol-phenols &amp; their halogenated, sulfonated, nitrated, nitrosated derivatives nesoi, in add. U.S. note 3 to sec. VI Ether-phenols, ether-alcohol-phenols and their halogenated, sulfonated, nitrated or nitrosated derivatives, nesoi Aromatic alcohol, ether and ketone peroxides and their halogenated, sulfonated, nitrated, nitrosated derivatives, in add. US note 3 sec.</w:t>
      </w:r>
    </w:p>
    <w:p>
      <w:pPr>
        <w:pStyle w:val="Normal"/>
      </w:pPr>
      <w:r>
        <w:t>VI Aromatic alcohol peroxides, ether peroxides, ketone peroxides and their halogenated, sulfonated, nitrated or nitrosated derivatives, nesoi Nonaromatic alcohol, ether and ketone peroxides and their halogenated, sulfonated, nitrated or nitrosated derivatives Oxirane (Ethylene oxide) Methyloxirane (Propylene oxide) 1-Chloro-2,3-epoxypropane (Epichlorohydrin) Dieldrin Endrin Butylene oxide Aromatic epoxides, epoxyalcohols, epoxyphenols and epoxyethers, with a three- membered ring, and their derivatives, nesoi Other nonaromatic epoxides, epoxyalcohols and epoxyethers, with a three-membered ring and their halogenated, sulfonated, nitrated or nitrosated deriv 1,1-Bis-(1-methylethoxy)cyclohexane Acetals and hemiacetals, whether or not with other oxygen function, and their halogenated, sulfonated, nitrated or nitrosated derivatives Methanal (Formaldehyde) Ethanal (Acetaldehyde) Citral Odoriferous or flavoring compounds of acyclic aldehydes without other oxygen function, nesoi Butanal (Butyraldehyde, normal isomer) Glyoxal Isobutanal Acyclic aldehydes without other oxygen function, nesoi Benzaldehyde Phenylacetaldehyde 3,4-Dimethylbenzaldehyde; paraldehyde, USP grade; and p-tolualdehyde Other cyclic aldehydes without other oxygen function Vanillin (4-Hydroxy-3-methoxybenzaldehyde) Ethylvanillin (3-Ethoxy-4-hydroxy-benzaldehyde) p-Anisaldehyde P-Hydroxybenzaldehyde Other aromatic aldehyde-alcohols, aldehyde-ethers, aldehyde-phenols and aldehydes with other oxygen function</w:t>
      </w:r>
    </w:p>
    <w:p>
      <w:pPr>
        <w:pStyle w:val="Normal"/>
      </w:pPr>
      <w:r>
        <w:t>Hydroxycitronellal Nonaromatic aldehyde-alcohols, other than hydroxycitronellal Nonaromatic aldehyde-ethers, aldehyde-phenols and aldehydes with other oxygen function, nesoi Metaldehyde from cyclic polymers of aldehydes Cyclic polymers of aldehydes, other than Metaldehyde. Paraformaldehyde 4-Fluoro-3-phenoxybenzaldehyde Aromatic halogenated, sulfonated, nitrated or nitrosated derivatives of product of heading 2912 Nonaromatic halogenated, sulfonated, nitrated or nitrosated derivatives of products of heading 2912 Acetone, derived in whole or in part from cumene Acetone, not derived in whole or in part from cumene Butanone (Methyl ethyl ketone) 4-Methylpentan-2-one (Methyl isobutyl ketone) Acyclic ketones without other oxygen function, nesoi Cyclohexanone Methylcyclohexanone Ionones and methylionones Isophorone Natural camphor Synthetic camphor Cyclanic, cyclenic or cycloterpenic ketones without other oxygen function, nesoi Phenylacetone (Phenylpropan-2-one) 7-Acetyl-1,1,3,4,4,6-hexamethyltetrahydronaphthalene; 1-(2-Naphthalenyl)ethanone; and 6-Acetyl-1,1,2,3,3,5-hexamethylindan Aromatic ketones without other oxygen function, nesoi 4-Hydroxy-4-methylpentan-2-one (Diacetone alcohol) 1,2,3-Indantrione monohydrate (Ninhydrin) Aromatic ketone-alcohols and ketone-aldehydes, nesoi 1,3-Dihydroxyacetone Nonaromatic ketone-alcohols and ketone-aldehydes, nesoi 5-Benzoyl-4-hydroxy-2-methoxy-benzenesulfonic acid Aromatic ketone-phenols and ketones with other oxygen function Nonaromatic</w:t>
      </w:r>
    </w:p>
    <w:p>
      <w:pPr>
        <w:pStyle w:val="Normal"/>
      </w:pPr>
      <w:r>
        <w:t>ketone-phenols and ketones with other oxygen function Anthraquinone Coenzyme Q10 (ubidecarenone (INN) Photographic chemicals of quinones Quinone drugs 1,4-Dihydroxyanthraquinone; and 2-ethylanthraquinone Quinones, nesoi Halogenated, sulfonated, nitrated or nitrosated derivatives: chlordecone (ISO) 2,3-dichloro-1,4-naphthoquinone and other artificial musks Anthraquinone disulfonic acid, sodium salt; and 4-(3,4-Dichlorophenyl)-1-tetralone Other halogenated, sulfonated, nitrated, etc derivatives of aromatic ketones and quinones whether or not with other oxygen function 1-Chloro-5-hexanone Other halogenated, sulfonated, nitrated or nitrosated derivatives of nonaromatic ketones and quinones whether or not with other ogygen function Formic acid Salts of formic acid Aromatic esters of formic acid Nonaromatic esters of formic acid Acetic acid Acetic anhydride Cupric acetate monohydrate Sodium acetate Cobalt acetates Other salts of acetic acid Ethyl acetate Vinyl acetate n-Butyl acetate Dinoseb (ISO) acetate Benzyl acetate Odoriferous or flavoring compounds of aromatic esters of acetic acid, other than benzyl acetate Aromatic esters of acetic acid described in additional U.S.</w:t>
      </w:r>
    </w:p>
    <w:p>
      <w:pPr>
        <w:pStyle w:val="Normal"/>
      </w:pPr>
      <w:r>
        <w:t>note 3 to section VI Aromatic esters of acetic acid, nesoi Linalyl acetate Odoriferous or flavoring compounds of nonaromatic esters of acetic acid, nesoi Acetates of polyhydric alcohols or of polyhydric alcohol ethers Bis(bromoacetoxy)butene Isobutyl acetate 2-Ethoxyethyl acetate (Ethylene glycol, monoethyl ether acetate) Other non-aromatic esters of acetic acid Chloroacetic acids Aromatic salts and esters of chlorocetic acids, described in additional U.S.</w:t>
      </w:r>
    </w:p>
    <w:p>
      <w:pPr>
        <w:pStyle w:val="Normal"/>
      </w:pPr>
      <w:r>
        <w:t>note 3 to section VI Aromatic salts and esters of chlorocetic acids, nesoi Nonaromatic salts and esters of chlorocetic acids, nesoi Propionic acid Aromatic salts and esters of propionic acid Nonaromatic salts and esters of propionic acid Aromatic salts and esters of butyric acids and valeric acids Butyric acids, valeric acids, their nonaromatic salts and esters Palmitic acid, stearic acid, their salts and esters Fatty acids of animal or vegetable origin, nesoi Valproic acid Saturated acyclic monocarboxylic acids, nesoi Aromatic anhydrides, halides, peroxides and peroxyacids, of saturated acyclic monocarboxylic acids, and their derivatives, nesoi Nonaromatic anhydrides, halides, peroxides and peroxyacids, of saturated acyclic monocarboxylic acids, and their derivatives, nesoi Acrylic acid and its salts Aromatic esters of acrylic acid Nonaromatic esters of acrylic acid Methacrylic acid and its salts Dicyclopentenyloxyethyl methacrylate Other esters of methacrylic acid Oleic, linoleic or linolenic acids Salts and esters of</w:t>
      </w:r>
    </w:p>
    <w:p>
      <w:pPr>
        <w:pStyle w:val="Normal"/>
      </w:pPr>
      <w:r>
        <w:t>oleic, linoleic or linolenic acids Binapacryl (ISO) Potassium sorbate Sorbic acid Unsaturated acyclic monocarboxylic acids, nesoi Unsaturated acyclic monocarboxylic acid anhydrides, halides, peroxides, peroxyacids and their derivatives, nesoi Tefluthrin Cyclanic, cyclenic or cycloterpenic monocarboxylic acids, their anhydrides, halides, peroxides, peroxyacids and their derivatives Benzoic acid and its salts Odoriferous or flavoring compounds of benzoic acid esters Benzoic acid esters, except odoriferous or flavoring compounds, described in additional U.S. note 3 to section VI Benzoic acid esters, nesoi Benzoyl peroxide Benzoyl chloride Phenylacetic acid (alpha-Toluic acid) Odoriferous or flavoring compounds of phenylacetic acid and its salts Phenylacetic acid salts, nesoi, described in additional US note 3 to section VI Phenylacetic acid salts, nesoi Benzoic anhydride; tert-butyl peroxybenzoate; p-nitrobenzoyl chloride; 2-nitro-m toluic acid; and 3-nitro-o-toluic acid Specified derivatives of benzoic and toluic acids Cinnamic acid 4-Chloro-3-nitrobenzoic acid 4-Chloro-3,5-dinitrobenzoic acid and its esters Ibuprofen 4-Chlorobenzoic acid 2,2-Dichlorophenylacetic acid ethyl ester and m-toluic acid Odoriferous or flavoring compounds of aromatic monocarboxylic acids, their anhydrides, halides, peroxides, peroxyacids and derivatives Aromatic monocarboxylic acids, their anhydrides, halides, peroxides, peroxyacids and derivatives described in add’l US note 3 to section VI</w:t>
      </w:r>
    </w:p>
    <w:p>
      <w:pPr>
        <w:pStyle w:val="Normal"/>
      </w:pPr>
      <w:r>
        <w:t>Phenylacetic acid esters, nesoi Other aromatic monocarboxylic acids, their anhydrides, halides, peroxides, peroxyacids and their derivatives Oxalic acid, its salts and esters Adipic acid Plasticizers of adipic acid salts and esters Adipic acid salts and esters, nesoi Azelaic acid, sebacic acid, their salts and esters Maleic anhydride derived in whole or in part from benzene or other aromatic hydrocarbons Maleic anhydride, except derived in whole or in part from benzene or other aromatic hydrocarbons Ferrous fumarate Fumaric acid, derived in whole or in part from aromatic hydrocarbons Fumaric acid except derived in whole or in part from aromatic hydrocarbons Specified acyclic polycarboxylic acids and their derivatives, described in additional U.S. note 3 to section VI Maleic acid Succinic acid, glutaric acid, and their derivatives, and derivatives of adipic, fumeric and maleic acids, nesoi Ethylene brassylate Malonic acid Acyclic polycarboxylic acids, derived from aromatic hydrocarbons, and their derivatives, nesoi Acyclic polycarboxylic acids and derivative (excluding plasticizers) Cyclanic, cyclenic or cycloterpenic polycarboxylic acids, their anhydrides, halides, peroxides, peroxyacids and their derivatives Dioctyl orthophthalates Dinonyl or didecyl orthophthalates Esters of orthophthalic acid, nesoi Phthalic anhydride Terephthalic acid and its salts Dimethyl terephthalate 1,2,4-Benzenetricarboxylic acid,1,2-dianhydride(trimellitic anhydride);naphthalic anhydride;phthalic</w:t>
      </w:r>
    </w:p>
    <w:p>
      <w:pPr>
        <w:pStyle w:val="Normal"/>
      </w:pPr>
      <w:r>
        <w:t>acid;&amp; 4-sulfo-1,8-naphthalic anhydride Naphthalic anhydride 4,4’-(Hexafluoroisopropyl-indene)bis(phthalic anhydride) Isophthalic acid Tetrabromophthalic anhydride Plasticizers of aromatic polycarboxylic acids, their anhydrides, halides, peroxides, peroxyacids and their derivatives Aromatic polycarboxylic acids, their anhydrides, halides, peroxides, peroxyacids and their derivatives nesoi, in add. U.S. note 3 to sec. VI Other aromatic polycarboxylic acids and their derivatives (excluding those described in additional US note 3 to section VI Lactic acid Salts and esters of lactic acid Tartaric acid Potassium antimony tartrate (Tartar emetic) Potassium bitartrate (Cream of tartar) Potassium sodium tartrate (Rochelle salts) Salts and esters of tartaric acid, nesoi Citric acid Sodium citrate Salts and esters of citric acid, except sodium citrate Gluconic acid Salts and esters of gluconic acid 2,2-Diphenyl-2-hydroxyacetic acid (benzilic acid) Chlorobenzilate (ISO) Benzilic acid, methyl ester Phenylglycolic acid (Mandelic acid) Phenylglycolic (Mandelic) acid salts and esters Aromatic carboxylic acids with alcohol function, w/o other oxygen functions, and their derivatives, described in add. U.S. note 3 to sec.</w:t>
      </w:r>
    </w:p>
    <w:p>
      <w:pPr>
        <w:pStyle w:val="Normal"/>
      </w:pPr>
      <w:r>
        <w:t>VI Aromatic carboxylic acids with alcohol function, without other oxygen functions, and their derivatives, nesoi Malic acid Nonaromatic carboxylic acids with alcohol function, without other oxygen function, and their derivatives, nesoi Salicylic acid and its salts, suitable for medicinal use Salicylic acid and its salts, not suitable for medicinal use O-Acetylsalicylic acid (Aspirin) Salts and esters Of O-acetylsalicylic acid Salol (Phenyl salicylate) suitable for medicinal use Odoriferous or flavoring compounds of other esters of salicyclic acid and their salts, nesoi Esters of salicylic acid and their salts, described in additional U.S. note 3 to section VI Esters of salicylic acid and their salts, nesoi 2,3-Cresotic acid; m-hydroxybenzoic acid;2-hydroxybenzoic acid, calcium salt; and other specified carboxylic acids w/phenol function 1,6-hexanediol-bis(3,5-dibutyl-4-hydroxyphenyl)propionate m-Hydroxybenzoic acid Gentisic acid; and hydroxycinnamic acid and its salts p-Hydroxybenzoic acid 3-Hydroxy-2-naphthoic acid Gallic acid 4,4-Bis(4-hydroxyphenyl)-pentanoic acid; and 3,5,6-triclorosalicylic acid Carboxylic acids with phenol function but w/o other oxygen function, described in add’l. U.S. note 3 to section VI Other carboxylic acids w/phenol function but w/o other oxygen function &amp; their derivatives (excluding goods of add.</w:t>
      </w:r>
    </w:p>
    <w:p>
      <w:pPr>
        <w:pStyle w:val="Normal"/>
      </w:pPr>
      <w:r>
        <w:t>US note 3 to section VI) 1-Formylphenylacetic acid, methyl ester 2-Chloro-4,5-difluoro-beta-oxobenzenepropanoic acid, ethyl ester; and ethyl 2-keto-4 phenylbutanoate Aromatic carboxylic acids w/aldehyde or ketone function but w/o other oxygen function &amp; their deriv desc. in add US note 3 to sec VI, nesoi Aromatic carboxylic acids with aldehyde or ketone function, but without other oxygen function, and derivatives, nesoi Dimethyl acetyl succinate; oxalacetic acid diethyl ester sodium salt; 4,4,4-trifluoro-3 oxobutanoic acid, both ethyl &amp; methyl ester versions Non-aromatic carboxylic acids w/aldehyde or ketone function but w/o other oxygen func. their anhydrides, halides, peroxides, etc derivatives 2, 4, 5-T (ISO) (2, 4, 5-trichlorophenoxyacetic acid), its salts and esters p-Anisic acid; clofibrate and 3-phenoxybenzoic acid 1-Hydroxy-6-octadecyloxy-2-naphthalenccarboxylic acid; and 1-hydroxy-6-docosyloxy 2-naphthalene carboxylic acid 2-(4-Chloro-2-methyl-phenoxy)propionic acid and its salts 4-(4-Chloro-2-methyl-phenoxy)butyric acid; p-chlorophenoxyacetic acid; and 2-(2,4 dichlorophenoxy)propionic acid Aromatic pesticides, derived from carboxylic acids with additional oxygen function, and their derivatives, nesoi Aromatic drugs derived from carboxylic acids with additional oxygen function, and their derivatives, nesoi Odoriferous or flavoring compounds of carboxylic acids with additional oxygen function, and their derivatives, nesoi Aromatic carboxylic acids with add’l</w:t>
      </w:r>
    </w:p>
    <w:p>
      <w:pPr>
        <w:pStyle w:val="Normal"/>
      </w:pPr>
      <w:r>
        <w:t>oxygen function and their anhydrides, halide, etc deriv described in add US note 3 to sect VI, nesoi Other aromatic carboxylic acids with add’l oxygen function and their anhydrides, halide, etc deriv (exclud goods in add US note 3 to sec VI) Nonaromatic carboxylic acids with additional oxygen function, and their derivatives, nesoi Tris (2,3-dibromopropyl phosphate) Triphenyl phosphate plasticizers Other aromatic plasticizers Aromatic phosphoric esters and their salts, including lactophosphates, and their derivatives, not used as plasticizers Nonaromatic phosphoric esters and their salts, including lactophosphates, and their derivatives Parathion (ISO) and parathion-methyl (ISO) (methyl-parathion) O,O-Dimethyl-O-(4-nitro-m-tolyl)-phosphorothioate (Fenitrothion) Other aromatic thiophosphoric esters (phosphorothioates) and their salts; their halogenated, sulfonated, nitrated or nitrosated derivatives Nonaromatic phosphorothioates, their salts and halogenated, sulfonated, nitrated or nitrosated derivatives, nesoi Dimethyl phosphite Diethyl phosphite Trimethyl phosphite Triethyl phosphite Other phosphite esters and their salts; their haolgenated, sulfonated, nitrated or nitrosated derivatives Endosulfan (ISO) Aromatic pesticides of esters of other inorganic acids (excluding hydrogen halides), their salts and their derivatives Aromatic esters of other inorganic acids (excluding hydrogen halides) their salts and their derivatives, nesoi Nonaromatic esters of inorganic acids of</w:t>
      </w:r>
    </w:p>
    <w:p>
      <w:pPr>
        <w:pStyle w:val="Normal"/>
      </w:pPr>
      <w:r>
        <w:t>nonmetals and their salts and derivatives, excluding esters of hydrogen halides, nesoi Methylamine, di- or trimethylamine, and their salts 2-(N,N-Dimethylamino)ethyl chloride hydrochloride 2-(N,N-Diethylamino)ethyl chloride hydrochloride 2-(N,N,-Diisopropylamino)ethyl chloride hydrochloride Mono- and triethylamines; mono-, di-, and tri(propyl- and butyl-) monoamines; salts of any of the foregoing 3-Amino-3-methyl-1-butyne; (Dimethylamino)isopropyl chloride hydrochloride N,N-Dialkyl (methyl, ethyl, N-Propyl or Isopropyl)-2-Chloroethylamines and their protonated salts; Acylcic monoamines and their derivatives, nesoi Ethylenediamine and its salts Hexamethylenediamine adipate (Nylon salt) Hexamethylenediamine and its salts (except Nylon salt), derived in whole or in part from adipic acid Hexamethylenediamine and its salts (except Nylon salt), not derived in whole or in part from adipic acid Acyclic polyamines, their derivatives and salts, other than ethylenediamine or hexamethylenediamine and their salts 1,3-Bis(aminoethyl)cyclohexane Cyclanic, cyclenic, cycloterpenic mono- or polyamines, derivatives and salts, from any aromatic compound desc in add US note 3, sec.</w:t>
      </w:r>
    </w:p>
    <w:p>
      <w:pPr>
        <w:pStyle w:val="Normal"/>
      </w:pPr>
      <w:r>
        <w:t>VI Cyclanic, cyclenic, cycloterpenic mono- or polyamines and their derivative, deriv from any aromatic cmpd (excl goods in add US note 3 sec VI Cyclanic, cyclenic or cycloterpenic mono- or polyamines, and their derivatives and salts, from any nonaromatic compounds Aniline Aniline salts N,N-Dimethylaniline N-Ethylaniline and N,N-diethylaniline 2,4,5-Trichloroaniline o-Aminobenzenesulfonic acid; 6-chlorometanilic acid; 2-chloro-5-nitroaniline; 4 chloro-3-nitroaniline; dichloroanilines; and other specified Metanilic acid Sulfanilic acid 3,4-Dichloroaniline m-Chloroaniline;2-chloro-4-nitroaniline;2,5-dicholoraniline-4-sulfonic acid &amp; its monosodium salt; &amp; other specified aniline derivatives Fast color bases of aniline derivatives and their salts Aniline derivatives and their salts of products in additional U.S.</w:t>
      </w:r>
    </w:p>
    <w:p>
      <w:pPr>
        <w:pStyle w:val="Normal"/>
      </w:pPr>
      <w:r>
        <w:t>note 3 to section VI Other aniline derivatives and their salts 3-Chloro-o-toluidine; and 6-chloro-o-toluidine 4-Chloro-o-toluidine hydrochloride; 5-chloro-o-o-toluidine; 6-chloro-2-toluidine sulfonic acid; 4-chloro-a,a,a-trifluoro-o-toluidine;&amp; other alpha,alpha,alpha-Trifluoro-2,6-dinitro-N,N-dipropyl-p-toluidine (Trifluralin) alpha,alpha,alpha-Trifluoro-o-toluidine; alpha,alpha,alpha-trifluoro-6-chloro-m toluidine N-Ethyl-N-(2-methyl-2-propenyl)-2,6-dinitro-4-(trifluoromethyl)benzenamine 2-Amino-5-chloro-4-ethyl-benzenesulfonic acid; 2-amino-5-chloro-p-toluenesulfonic acid; p-nitro-o-toluidine; and 3-(trifluoromethyl)aniline Toluidines and their derivatives; salts thereof; described in additional U.S. note 3 to section VI Other toluidines and their derivatives; and salts thereof, nesoi 4,4’-Bis(alpha,alpha-dimethlbenzyl)diphenylamine; and N-nitrosodiphenylamine Nitrosodiphenylamine Diphenylamine and its derivatives (except nitrodiphenylamine); salts thereof, described in additional U.S. note 3 to section VI Diphenylamine and its derivatives; salts thereof; excluding goods in additional U.S.</w:t>
      </w:r>
    </w:p>
    <w:p>
      <w:pPr>
        <w:pStyle w:val="Normal"/>
      </w:pPr>
      <w:r>
        <w:t>note 3 to section VI 7-Amino-1,3-naphthalenedisulfonic acid, specified naphthalenesulfonic acids and their salts; N-phenyl-2-napthylamine Specified aromatic monoamines and their derivatives; salts thereof Mixture of 5- &amp; 8-amino-2-naphthalenesulfonic acid;2-naphthalamine-o-sulfonic acid;&amp; o-naphthionic acid (1-amino-2-naphthalenesulfonic acid) Aromatic monoamines and their derivatives and salts described in additional US note 3 to section VI, nesoi Aromatic monoamines and their derivatives and salts thereof nesoi Amfetamine (INN), benzfetamine (INN), dexamfetamine (INN), etilamfetamine (INN), and other specified INNs; salts thereof 4-Amino-2-stilbenesulfonic acid and its salts, p-ethylaniline; 2,4,6-trimethylaniline (Mesidine); and specified xylidines m-Nitro-p-toluidine Fast color bases of aromatic monamines and their derivatives Aromatic monoamine antidepressants, tranquilizers and other psychotherapeutic agents, nesoi Aromatic monoamine drugs, nesoi Aromatic monoamines and their derivatives nesoi; salts thereof, described in additional U.S.</w:t>
      </w:r>
    </w:p>
    <w:p>
      <w:pPr>
        <w:pStyle w:val="Normal"/>
      </w:pPr>
      <w:r>
        <w:t>note 3 to section VI Aromatic monoamines and their derivatives and salts thereof, nesoi 4-Amino-2-(N,N-diethylamino)toluene hydrochloride; m- and o-phenylenediamine; toluene-2,4- and -2,5-diamine; and toluene-2,5-diamine sulfate Photographic chemicals of o-, m-, p-phenylenediamine, diaminotoluenes, and their derivatives, and salts thereof o-, m-, p-Phenylenediamine, diaminotoluenes, and their derivatives, and salts thereof, described in additional U.S. note 3 to section VI o-, m-, p-Phenylenediamine, and diaminotoluenes and their derivatives, and salts thereof, nesoi 1,8-diaminonaphthalene (1,8-naphthalenediamino) 5-Amino-2-(p-aminoanilino)benzenesulfonic acid; 4,4-diamino-3-biphenylsulfonic acid; 3,3-dimethylbenzidine (o-tolidine); &amp; other specified 4,4’-Benzidine-2,2’-disulfonic acid;1,4-diaminobenzene-2-sulfonic acid;4,4’ methylenebis-(2,6-diethylaniline);m-xylenediamine; and 1 other 4,4’-Diamino-2,2’-stilbenedisulfonic acid 4,4’-Methylenedianiline Aromatic polyamines and their derivatives and salts thereof, described in additional U.S.</w:t>
      </w:r>
    </w:p>
    <w:p>
      <w:pPr>
        <w:pStyle w:val="Normal"/>
      </w:pPr>
      <w:r>
        <w:t>note 3 to section VI Aromatic polyamines and their derivatives; salts thereof nesoi Monoethanolamine and its salts Diethanolamine and its salts Dextropropoxyphene (INN) and its salts Triethanolamine Diethylammonium perfluorooctane sulfonate Methyldiethanolamine and ethyldiethanolamine 2-(N,N-Diisopropylamino)ethanol Aromatic amino-alcohols drugs, their ethers and esters, other than those containing &gt; one kind of oxygen function; salts thereof; nesoi 4,4’-Bis(dimethylamino)benzhydrol (Michler’s hydrol) and other specified aromatic amino-alcohols, their ethers and esters; salts thereof N1-(2-Hydroxyethyl-2-nitro-1,4-phenylendiamine; N1,N4,N4-tris(2-hydroxyethyl)-2 nitro-1,4-phenylenediamine; and other specified chemicals Aromatic amino-alcohols, their ethers and esters, other than those containing more than one oxy func described in add. US note 3 to sect VI Other aromatic amino-alcohols, their ethers &amp; esters, other than those contain more than one oxy func (exc goods of add.</w:t>
      </w:r>
    </w:p>
    <w:p>
      <w:pPr>
        <w:pStyle w:val="Normal"/>
      </w:pPr>
      <w:r>
        <w:t>US note 3 sect VI) Salts of triethanolamine Amino-alcohols, other than those containing more than one kind of oxygen function, their ethers and esters and salts thereof, nesoi 1-Amino-8-hydroxy-3,6-naphthalenedisulfonic acid; and other specified aminohydroxynaphthalenesulfonic acids and their salts 1-Amino-8-hydroxy-4,6-naphthalenedisulfonic acid, monosodium salts Aminohydroxynaphthalene sulfonic acids and their salts of products described in additional US note 3 to section VI Aminohydroxynaphthalene sulfonic acids and their salts, nesoi o-Anisidine; p-anisidine; and p-phenetidine m-Nitro-p-anisidine and m-nitro-o-anisidine as fast color bases m-Nitro-p-anisidine and m-nitro-o-anisidine, nesoi 2-Amino-6-chloro-4-nitrophenol and other specified amino-naphthols and amino- phenols, their ethers and esters; salts thereof o-Aminophenol; and 2,2-bis-[4-(4-aminophenoxy)phenyl]propane m-Diethylaminophenol; m-dimethylaminophenol; 3-ethylamino-p-cresol; and 5 methoxy-m-phenylenediamine 4-Chloro-2,5-dimethoxyaniline; and 2,4-dimethoxyaniline Amino-naphthols and other amino-phenols and their derivatives used as fast color bases Drugs of amino-naphthols and -phenols, their ethers and esters, except those cont. more than one oxygen function; salts thereof, nesoi Photographic chemicals of amino-naphthols and -phenols, their ethers/esters, except those cont.</w:t>
      </w:r>
    </w:p>
    <w:p>
      <w:pPr>
        <w:pStyle w:val="Normal"/>
      </w:pPr>
      <w:r>
        <w:t>more than one oxygen function; salts, nesoi Amino-naphthols and other amino-phenols and their derivatives of products described in add’l U.S. note 3 to section VI Amino-naphthols and other amino-phenols; their ethers, esters &amp; salts (not containing more than one oxygen function) thereof nesoi Amfepramone (INN), methadone (INN) and normethadone (INN); salts thereof 1-Amino-2,4-dibromoanthraquinone; and 2-Amino-5-chlorobenzophenone 2’-Aminoacetophenone &amp; other specified aromatic amino-aldehydes, -ketones and  quinones, other than those with more than one oxygen function 2-Aminoanthraquinone 1-Aminoanthraquinone Aromatic amino-aldehydes, -ketones and -quinones, other than those with more than one oxygen function; salts; desc in add US note 3 sec VI Aromatic amino-aldehydes, -ketones and -quinones, other than those with more than one oxygen function; salts thereof; nesoi Nonaromatic amino-aldehydes, -ketones and -quinones, other than those with more than one kind of oxygen function, salts thereof; nesoi Lysine and its esters and salts thereof Monosodium glutamate Glutamic acid and its salts, other than monosodium glutamate Anthranilic acid and its salts, described in additional US note 3 to section VI Anthranilic acid and its salts, nesoi Tildine (INN) and its salts (R)-alpha-Aminobenzeneacetic acid;</w:t>
      </w:r>
    </w:p>
    <w:p>
      <w:pPr>
        <w:pStyle w:val="Normal"/>
      </w:pPr>
      <w:r>
        <w:t>and 2-amino-3-chlorobenzoic acid, methyl ester m-Aminobenzoic acid, technical; and other specified aromatic amino-acids and their esters, except those with more than one oxygen</w:t>
      </w:r>
    </w:p>
    <w:p>
      <w:pPr>
        <w:pStyle w:val="Normal"/>
      </w:pPr>
      <w:r>
        <w:t>function Aromatic amino-acids drugs and their esters, not containing more than one kind of oxygen function, nesoi Aromatic amino-acids and their esters, excl. those with more than one oxygen function; salts; described in add. U.S. note 3 to sect VI Aromatic amino-acids and their esters, not contng more than 1 kind of oxygen function (excluding goods in add U.S. note 3 to sec VI), nesoi Glycine (aminoacetic acid) Nonaromatic amino-acids, other than those containing more than one kind of oxygen function, other than glycine 3-Aminocrotonic acid, methyl ester; and (R)-alpha-amino-1,4-cyclohexadiene-1-acetic acid Non-aromatic esters of amino-acids, other than those containing more than one kind of oxygen function; salts thereof 3,4-Diaminophenetole dihydrogen sulfate; 2-nitro-5-[(2,3-dihydroxy)propoxy]-N methylaniline; and other specified aromatic chemicals Specified aromatic amino-alcohol-phenols, amino-acid-phenols and other amino- compounds with oxygen function Salts of d(underscored)-(-)-p-Hydroxyphenylglycine Isoetharine hydrochloride and other specified aromatic drugs of amino-compounds with oxygen function Other aromatic cardiovascular drugs of amino-compounds with oxygen function Aromatic dermatological agents and local anesthetics of amino-compounds with oxygen function Aromatic guaiacol derivatives of amino-compounds with oxygen function Aromatic drugs of amino-compounds with oxygen function, nesoi Aromatic amino-alcohol-phenols, amino-acid-phenols and other</w:t>
      </w:r>
    </w:p>
    <w:p>
      <w:pPr>
        <w:pStyle w:val="Normal"/>
      </w:pPr>
      <w:r>
        <w:t>amino-compounds with oxygen function described in add. US note 3 to section VI Aromatic amino-alcohol-phenols, amino-acid-phenols and other amino-compounds with oxygen function, nesoi Nonaromatic amino-alcohol-phenols, amino-acid-phenols and other amino-compounds with oxygen function Choline and its salts Purified egg phospholipids, pharmaceutical grade meeting requirements of the U.S. FDA for use in intravenous fat emulsion Lecithins and other phosphoaminolipids, nesoi Tetraethylammonium perfluorooctane sulfonate Didecylmethylammonium perfluorooctane sulfonate Quaternary ammonium salts and hydroxides, whether or not chemically defined, nesoi Meprobamate (INN) Fluoroacetamide (ISO), monocrotophos (ISO) and phosphamidon (ISO) Acyclic amides (including acyclic carbamates) Acyclic amide derivatives; salts thereof; nesoi 3-(p-Chlorophenyl)-1,1-dimethylurea (Monuron) 1,1-Diethyl-3-(alpha,alpha,alpah-trifluoro-m-tolyl)urea (Fluometuron) 1-(2-Methylcyclohexyl)-3-phenylurea Aromatic ureines and their derivatives pesticides, nesoi sym-Diethyldiphenylurea Aromatic ureines and their derivatives; salts thereof; described in additional U.S. note 3 to section VI Aromatic ureines and their derivatives; salts thereof, nesoi Nonaromatic ureines and their derivatives; and salts thereof 2-Acetamidobenzoic acid 2-Acetamidobenzoic acid salts described in additional U.S.</w:t>
      </w:r>
    </w:p>
    <w:p>
      <w:pPr>
        <w:pStyle w:val="Normal"/>
      </w:pPr>
      <w:r>
        <w:t>note 3 to section VI 2-Acetamidobenzoic acid salts, nesoi Ethinamate (INN) Alachlor (ISO) p-Acetanisidide; p-acetoacetatoluidide; 4’-amino-N-methylacetanilide; 2,5 dimethoxyacetanilide; and N-(7-hydroxy-1-naphthyl)acetamide 3,5-Dinitro-o-toluamide Biligrafin acid; 3,5-diacetamido-2,4,6-triiodobenzoic acid; and metrizoic acid Acetanilide; N-acetylsulfanilyl chloride; aspartame; and 2-methoxy-5-acetamino-N,N bis(2-acetoxyethyl)aniline 2-Acetamido-3-chloroanthraquinone; o-acetoacetaidide; o-acetoacetotoluidide; 2,4 acetoacetoxylidide; and 1-amino-5-benzamidoanthraquinone 4-Aminoacetanilide; 2-2-oxamidobis[ethyl-3-(3,5-di-tert-butyl-4 hydroxyphenyl)propionate]; and other specified cyclic amide chemicals 3-Aminomethoxybenzanilide N-[[(4-Chlorophenyl)amino]carbonyl]difluorobenzamide; and 3,5-dichloro-N-(1,1 dimethyl-2-propynyl)benzamide (pronamide) 4-Acetamido-2-aminophenol; p-acetaminobenzaldehyde; acetoacetbenzylamide; p acetoacetophenetidide; N-acetyl-2,6-xylidine; &amp; other specified 3-Hydroxy-2-naphthanilide; 3-hydroxy-2-naphtho-o-toluidide; 3-hydroxy-2-naphtho-o anisidine; 3-hydroxy-2-naphtho-o-phenetidide; &amp; other Naphthol AS and derivatives, nesoi 3-Ethoxycarbonylaminophenyl-N-phenylcarbamate (desmedipham); and Isopropyl-N (3-chlorophenyl)carbamate (CIPC) Other cyclic amides used as pesticides Aromatic cyclic amides for use as fast color bases Diethylaminoacetoxylidide (Lidocaine) Other aromatic cyclic amides and derivatives for use as drugs</w:t>
      </w:r>
    </w:p>
    <w:p>
      <w:pPr>
        <w:pStyle w:val="Normal"/>
      </w:pPr>
      <w:r>
        <w:t>5-Bromoacetyl-2-salicylamide Aromatic cyclic amides and their derivatives of products described in additional U.S. note 3 to section VI, nesoi Aromatic cyclic amides (incl cyclic carbamates) and their derivatives and salts thereof, nesoi 2,2-Dimethylcyclopropylcarboxamide Other nonaromatic cyclic amides and their derivatives; salts thereof; nesoi Saccharin and its salts Glutethimide (INN) Ethylenebistetrabromophthalimide Bis(o-tolyl)carbodiimide; and 2,2,6,6-tetraisopropyldiphenylcarbodiimide Other aromatic imides and their derivatives; salts thereof; nesoi N-Chlorosuccinimide; and N,N-ethylenebis(5,6-dibromo-2,3 norbornanedicarbooximide Other non-aromatic imides and their derivatives Chlordimeform (ISO) N’-(4-Chloro-o-tolyl)-N,N-dimethylformamidine; bunamidine hydrochloride; and pentamidine N,N’-diphenylguanidine; 3-dimethylaminomethyleneiminophenol hydrochloride; 1,3-di o-tolyguandidine; and one other specified chemical Aromatic drugs of imines and their derivatives, nesoi Aromatic imines and their derivatives; salts thereof (excluding drugs); nesoi Tetramethylguanidine Non-aromatic imines and their derivatives; salts thereof Acrylonitrile 1-Cyanoguanidine (Dicyandiamide) Fenproporex (INN) and its salts 4-Cyano-2-dimethylamino-4,4-diphenylbutane alpha-Phenylacetoacetonitrile 2-Cyano-4-nitroaniline 2-Amino-4-chlorobenzonitrile (5-chloro-2-cyanoaniline); 2-amino-5 chlorobenzonitrile; 4-amino-2-chlorobenzonitrile; and others specified Benzonitrile 2,6-Diclorobenzonitrile</w:t>
      </w:r>
    </w:p>
    <w:p>
      <w:pPr>
        <w:pStyle w:val="Normal"/>
      </w:pPr>
      <w:r>
        <w:t>Other dichlorobenzonitriles p-Chlorobenzonitrile and verapamil hydrochloride Specifically named derivative of dimethylcyclopropanecarboxylic acid o-Chlorobenzonitrile N,N-Bis(2-cyanoethyl)aniline; and 2,6-diflourobenzonitrile Aromatic fungicides of nitrile-function compounds 3,5-Dibromo-4-hydroxybenzonitrile (Bromoxynil) Aromatic herbicides of nitrile-function compounds, nesoi Other aromatic nitrile-function pesticides Aromatic nitrile-function compounds, nesoi, described in additional U.S. note 3 to section VI Aromatic nitrile-function compounds other than those products in additional U.S. note 3 to section VI, nesoi Nonaromatic nitrile-function compounds, nesoi 4-Aminoazobenzenedisulfonic acid, monosodium salt p-Aminoazobenzenedisulfonic acid; and diazoaminobenzene (1,3-diphenyltriazine) 1,1’-Azobisformamide 1-Naphthalenesulfonic acid, 6-diazo-5,6-dihydro-5-oxo, ester with phenyl compound; and three other specified chemicals Diazo-, azo- or azoxy-compounds used as photographic chemicals Fast color bases and fast color salts, of diazo-, azo- or azoxy-compounds Diazo-, azo- or azoxy-compounds, nesoi, described in additional U.S.</w:t>
      </w:r>
    </w:p>
    <w:p>
      <w:pPr>
        <w:pStyle w:val="Normal"/>
      </w:pPr>
      <w:r>
        <w:t>note 3 to section VI Other diazo-, azo- or azoxy-compounds, nesoi Methyl ethyl ketoxime Phenylhydrazine Aromatic organic derivatives of hydrazine or of hydroxylamine Nonaromatic drugs of organic derivatives of hydrazine or of hydroxylamine, other than Methyl ethyl ketoxime Nonaromatic organic derivatives of hydrazine or of hydroxylamine, nesoi Toluenediisocyanates (unmixed) Mixtures of 2,4- and 2,6-toluenediisocyanates Bitolylene diisocyanate (TODI); o-Isocyanic acid, o-tolyl ester; and Xylene diisocyanate N-Butylisocyanate; cyclohexyl isocyanate; 1-isocyanato-3-(trifluoromethyl)benzene; 1,5-naphthalene diisocyanate; and octadecyl isocyanate 3,4-Dichlorophenylisocyanate 1,6-Hexamethylene diisocyanate Isocyanates of products described in additioonal U.S. note 3 to sect VI Other isocyanates, nesoi 2,2-Bis(4-cyanatophenyl)-1,1,1,3,3,3,-hexafluoropropane; 2,2-bis(4 cyanatophenyl)propane; 1,1-ethylidenebis(phenyl-4-cyanate); and 2 others Other aromatic compounds with other nitrogen function of products described in additional U.S.</w:t>
      </w:r>
    </w:p>
    <w:p>
      <w:pPr>
        <w:pStyle w:val="Normal"/>
      </w:pPr>
      <w:r>
        <w:t>note 3 to section VI Aromatic compounds with other nitrogen function, nesoi Nonaromatic compounds with other nitrogen functions, except isocyanates Aromatic pesticides of thiocarbamates and dithiocarbamates Aromatic compounds of thiocarbamates and dithiocarbamates, excluding pesticides S-(2,3,3-trichloroallyl)diisopropylthiocarbamate Other non-aromatic thiocarbamates and dithiocarbamates Tetramethylthiuram monosulfide Thiuram mono-, di- or tetrasulfides, other than tetramethylthiuram monosulfide Methionine 2-(N,N-Diethylamino)ethanethiol Bis(2-hydroxyethyl)sulfide (thiodiglycol (INN)) Aldicarb (ISO), captafol (ISO) and methamidophos (ISO) Aromatic pesticides of organo-sulfur compounds, nesoi N-Cyclohexylthiophthalimide 3-(4-Aminobenzamido)phenyl-beta-hydroxyethylsulfone; 2-[(4 aminophenyl)sulfonyl]ethanol, hydrogen sulfate ester; diphenylthiourea; &amp; others Other aromatic organo-sulfur compounds (excluding pesticides) Thiocyanates, thiurams and isothiocyanates O,O-Dimethyl-S-methylcarbamoylmethyl phosphorodithioate; and malathion Other non-aromatic organo-sulfur compounds used as pesticides dl(underscored)-Hydroxy analog of dl(underscored)-methionine Nonaromatic organo-sulfur acids, nesoi Dibutylthiourea Other non-aromatic organo-sulfur compounds Tetramethyl lead &amp; tetraethyl lead Tributyltin compounds Dimethyl methylphosphonate Dimethyl propylphosphonate Diethyl ethylphosphonate Sodium 3-(trihydroxysilyl)propyl methylphosphonate</w:t>
      </w:r>
    </w:p>
    <w:p>
      <w:pPr>
        <w:pStyle w:val="Normal"/>
      </w:pPr>
      <w:r>
        <w:t>2,4,6-Tripropyl-1,3,5,2,4,6-trioxatriphosphinane-2,4,6-trioxide (5-Ethyl-2-methyl-2-oxido-1,3,2-dioxaphosphinan-5-yl)methyl methylphosphonate Bis[(5-ethyl-2-methyl-2-oxido-1,3,2-dioxaphosphinan-5-yl)methyl] methylphosphonate Salt of methylphosphonic acid and (aminoiminiomethyl)urea (1:1) Other organo-phosphorous derivatives, nesoi Diphenyldichlorosilane; and phenyltrichlorosilane 4,4’-Diphenyl-bis-phosphonous acid, di(2’,2“,4’,4”-di-tert-butyl)phenyl ester Sodium tetraphenylboron Drugs of aromatic organo-inorganic (except organo-sulfur) compounds Pesticides of aromatic organo-inorganic (except organo-sulfur) compounds Aromatic organo-inorganic compounds, nesoi, described in additional U.S. note 3 to section VI Other aromatic organo-inorganic compounds (excluding products described in additional U.S. note 3 to section VI) N,N’-Bis(trimethylsilyl)urea;2-Phosphonobutane-1,2,4-tricarboxylic acid and its salts; and one other specified chemical Other non-aromatic organo-inorganic compounds Tetrahydrofuran 2-Furaldehyde (Furfuraldehyde) Furfuryl alcohol and tetrahydrofurfuryl alcohol Sucralose Aromatic heterocyclic compounds with oxygen hetero-atom(s) only, containing an unfused furan ring, nesoi Nonaromatic compounds containing an unfused furan ring (whether or not hydrogenated) in the ring Coumarin, methylcoumarins and ethylcoumarins Aromatic pesticides of lactones Aromatic drugs of lactones 4-Hydroxycoumarin Aromatic lactones, nesoi, described in additional U.S.</w:t>
      </w:r>
    </w:p>
    <w:p>
      <w:pPr>
        <w:pStyle w:val="Normal"/>
      </w:pPr>
      <w:r>
        <w:t>note 3 to section VI Aromatic lactones, nesoi Nonaromatic lactones Isosafrole 1-(1,3-Benzodioxol-5-yl)propan-2-one Piperonal (heliotropin) Safrole Tetrahydrocannabinols (all isomers) 2,2-Dimethyl-1,3-benzodioxol-4-yl methylcarbamate (Bendiocarb) 2-Ethoxy-2,3-dihydro-3,3-dimethyl-5-benzofuranylmethanesulfonate Aromatic pesticides of heterocyclic compounds with oxygen hetero-atom(s) only, nesoi Benzofuran (Coumarone); and Dibenzofuran (Diphenylene oxide) 2-Hydroxy-3-dibenzofurancarboxylic acid Benzointetrahydropyranyl ester; and Xanthen-9-one Bis-O-[(4-methylphenyl)methylene]-D-glucitol (Dimethylbenzylidene sorbitol); and Rhodamine 2C base Aromatic heterocyclic compounds with oxygen hetero-atom(s) only described in additional U.S. note 3 to section VI, nesoi Aromatic heterocyclic compounds with oxygen hetero-atom(s) only, nesoi Nonaromatic heterocyclic compounds with oxygen hetero-atom(s) only, nesoi Phenazone (Antipyrine) and its derivatives Aminoethylphenylpyrazole (phenylmethylaminopyrazole); 3-methyl-1-(p-tolyl)-2 pyrazolin-5-one (p-tolylmethylpyrazolone) 3-(5-Amino-3-methyl-1H-pyrazol-1-yl)benzenesulfonic acid; amino-J-pyrazolone; and another 12 specified chemicals 1,2-Dimethyl-3,5-diphenyl-1H-pyrazolium methyl sulfate (difenzoquat methyl sulfate) 2-Chloro-5-sulfophenylmethylpyrazolone; phenylcarbethyoxypyrazolone; and 3 other specified chemicals Aromatic or modified aromatic pesticides containing an unfused pyrazole ring (whether or not hydrogenated) in the structure</w:t>
      </w:r>
    </w:p>
    <w:p>
      <w:pPr>
        <w:pStyle w:val="Normal"/>
      </w:pPr>
      <w:r>
        <w:t>Aromatic or modified aromatic photographic chemicals containing an unfused pyrazole ring (whether or n/hydrogenated) in the structure, nesoi Aromatic or modified aromatic drugs of heterocyclic compounds with nitrogen hetero- atom(s) only containing an unfused pyrazole ring Aromatic or mod. aromatic compound desc in add US note 3 to section VI contain an unfused pyrazole ring (w/wo hydrogenated) in the structure Aromatic or modified aromatic compounds (excluding products in add US note 3 to sec VI) containing an unfused pyrazole ring in the structure Nonaromatic drugs of heterocyclic compounds with nitrogen hetero-atom(s) only containing an unfused pyrazole ring 3-Methyl-5-pyrazolone Other compound (excluding aromatic, modified aromatic &amp; drugs) containing unfused pyrazole ring (whether or n/hydrogenated) in the structure Hydantoin and its derivatives 1-[1-((4-Chloro-2-(trifluoromethyl)phenyl)imino)-2-propoxyethyl]-1H-imidazole (triflumizole); and ethylene thiourea 2-Phenylimidazole Aromatic or modified aromatic drugs of heterocyclic compounds with nitrogen hetero- atom(s) only cont. an unfused imidazole ring Aromatic or mod.</w:t>
      </w:r>
    </w:p>
    <w:p>
      <w:pPr>
        <w:pStyle w:val="Normal"/>
      </w:pPr>
      <w:r>
        <w:t>aromatic goods in add US note 3 to sect VI containing an unfused imidazole ring (whether or n/hydrogenated) in structure Aromatic or mod aromatic goods contng unfused imidazole ring (whether or n/hydrogenated) in the structure (exc prod in add US note 3 sec VI) Nonaromatic drugs of heterocyclic compounds with nitrogen hetero-atom(s) only, containing an unfused imidazole ring, nesoi Imidazole Other compounds (excluding drugs, aromatic and modified aromatic compounds) containing an unfused imidazole ring (whether or n/hydrogenated) Pyridine and its salts Piperidine Piperidine salts Alfentanil (INN), anileridine (INN), bezitramide (INN), bromazepam (INN), difenoxin (INN), and other specified INNs; salts thereof 1-(3-Sulfapropyl)pryidinium hydroxide; N,N-bis(2,2,6,6-tetramethyl-4-piperidinyl)-1,6 hexanediamine; and 5 other specified chemicals Collidines, lutidines and picolines Quinuclidin-3-ol p-Chloro-2-benzylpyridine &amp; other specified heterocyclic compounds, w nitrogen hetero-atom(s) only cont.</w:t>
      </w:r>
    </w:p>
    <w:p>
      <w:pPr>
        <w:pStyle w:val="Normal"/>
      </w:pPr>
      <w:r>
        <w:t>an unfused pyridine ring Fungicides of heterocyclic compounds with nitrogen hetero-atom(s) only, containing an unfused pyridine ring o-Paraquat dichloride Herbicides nesoi, of heterocyclic compounds with nitrogen hetero-atom(s) only, containing an unfused pyridine ring Pesticides nesoi, of heterocyclic compounds with nitrogen hetero-atom(s) only, containing an unfused pyridine ring Psychotherapeutic agents of heterocyclic compounds with nitrogen hetero-atom(s) only, containing an unfused pyridine ring, nesoi Drugs containing an unfused pyridine ring (whether or not hydrogenated) in the structure, nesoi Heterocyclic compounds with nitrogen hetero-atom(s) only containing an unfused pyridine ring, described in add. US note 3 to sec. VI Heterocyclic compounds with nitrogen hetero-atom(s) only containing an unfused pyridine ring, nesoi Levorphenol (INN) and its salts 4,7-Dichloroquinoline Ethoxyquin (1,2-Dihydro-6-ethoxy-2,2,4-trimethylquinoline) 8-Methylquinoline and Isoquinoline Ethyl ethyl-6,7,8-trifluoro-1,4-dihydro-4-oxo-3-quinoline carboxylate 5-Chloro-7-iodo-8-quinolinol (Iodochlorhydroxyquin); Decoquinate; Diiodohydroxyquin; and Oxyquinoline sulfate Drugs containing a quinoline or isoquinoline ring-system (whether or not hydrogenated) not further fused, nesoi Pesticides of heterocyclic compounds with nitrogen hetero-atom(s) only, cont. a quinoline or isoquinoline ring-system, not further fused Products described in add.</w:t>
      </w:r>
    </w:p>
    <w:p>
      <w:pPr>
        <w:pStyle w:val="Normal"/>
      </w:pPr>
      <w:r>
        <w:t>US note 3 to sec VI containing quinoline or isoquinoline ring-system (whether or n/hydrogenated), n/further fused Heterocyclic compounds with nitrogen hetero-atom(s) only, containing a quinoline ring-system, not further fused, nesoi Malonylurea (barbituric acid) Salts of barbituric acid Allobarbital (INN), amobarbital (INN), barbital (INN), butalbital (INN), butobarbital, and other specified INNs; salts thereof Other derivatives of malonylurea (barbituric acid); salts thereof Loprazolam (INN), mecloqualone (INN), methaqualone (INN) and zipeprol (INN); salts thereof Aromatic or modified aromatic herbicides of heterocyclic compounds with nitrogen hetero-atom(s) only, cont. a pyrimidine or piperazine ring Aromatic or mod. aromatic pesticides nesoi, of heterocyclic compounds with nitrogen hetero-atom(s) only cont. pyrimidine or piperazine ring Nonaromatic pesticides of heterocyclic compounds with nitrogen hetero-atom(s) only, cont. pyrimidine or piperazine ring, nesoi Antihistamines, including those principally used as antinauseants Nicarbazin and trimethoprim Anti-infective agents nesoi, of heterocyclic compounds with nitrogen hetero-atom(s) only, cont. pyrimidine, piperazine ring Psychotherapeutic agents of heterocyclic compounds with nitrogen hetero-atom(s) only, cont.</w:t>
      </w:r>
    </w:p>
    <w:p>
      <w:pPr>
        <w:pStyle w:val="Normal"/>
      </w:pPr>
      <w:r>
        <w:t>pyrimidine or piperazine ring, nesoi Other aromatic or modified aromatic drugs containing a pyrimidine ring (whether or not hydrogenated) or piperazine ring in the structure Nonaromatic drugs of heterocyclic compounds nesoi, with nitrogen hetero-atom(s) only, cont. a pyrimidine or piperazine ring Aromatic heterocyclic compounds nesoi, with nitrogen hetero-atom(s) only, cont. pyrimidine or piperazine ring, in add. U.S. note 3, sec. VI Aromatic or modified aromatic heterocyclic compounds nesoi, with nitrogen hetero- atom(s) only, cont. pyrimidine or piperazine ring 2-Amino-4-chloro-6-methoxypyrimidine; 2-amino-4,6-dimethoxypyrimidine; and 6 methyluracil Other (excluding aromatic or mod aromatic) compds containing pyrimidine ring (whether or n/hydrogenated) or piperazine ring in the structure Melamine 2,4-Diamino-6-phenyl-1,3,5-triazine Hexamethylenetetramine Other compounds containing an unfused triazine ring (whether or not hydrogenated) in the structure 6-Hexanelactam (epsilon-Caprolactam) Clobazam (INN) and methyprylon (INN) 2,4-Dihydro-3,6-diphenylpyrrolo-(3,4-C)pyrrole-1,4-dione Aromatic or modified aromatic lactams with nitrogen hetero-atoms only described in additional U.S.</w:t>
      </w:r>
    </w:p>
    <w:p>
      <w:pPr>
        <w:pStyle w:val="Normal"/>
      </w:pPr>
      <w:r>
        <w:t>note 3 to section VI Aromatic or modified aromatic lactams, nesoi N-Methyl-2-pyrrolidone; and 2-pyrrolidone N-Vinyl-2-pyrrolidone, monomer 12-Aminododecanoic acid lactam Aromatic or modified aromatic lactams with nitrogen hetero-atoms only, nesoi Alprazolam (INN), camazepam (INN), chlordiazepoxide (INN), clonazepam (INN), clorazepate, and other specified INNs; salts thereof Azinphos-methyl Butyl (R)-2-[4-(5-triflouromethyl-2-pyridinyloxy)phenoxy]propanoate 2-[4-[(6-Chloro-2-quinoxalinyl)oxy]phenoxy]propionic acid, ethyl ester; and 1 other specified aromatic chemical Acridine and indole alpha-Butyl-alpha-(4-chlorophenyl)-1H-1,2,4-triazole-1-propanenitrile (Mycolbutanil); and one other specified aromatic chemical Acetoacetyl-5-aminobenzimidazolone; 1,3,3-Trimethyl-2-methyleneindoline; and two other specified aromatic chemicals Carbazole 6-Bromo-5-methyl-1H-imidazo-(4,5-b)pyridine; 2-sec-butyl-4-tert-butyl-6 (benzotriazol-2-yl)phenol; 2-methylindoline; and other specific 5-Amino-4-chloro-alpha-phenyl-3-pyridazinone o-Diquat dibromide (1,1-Ethylene-2,2-dipyridylium dibromide) Aromatic or modified aromatic insecticides with nitrogen hetero-atom(s) only, nesoi Other heterocyclic aromatic or modified aromatic pesticides with nitrogen hetero- atom(s) only, nesoi Aromatic or modified aromatic photographic chemicals with nitrogen hetero-atom(s) only Aromatic or modified aromatic antihistamines of heterocyclic compounds with nitrogen hetero-atom(s) only Acriflavin; Acriflavin</w:t>
      </w:r>
    </w:p>
    <w:p>
      <w:pPr>
        <w:pStyle w:val="Normal"/>
      </w:pPr>
      <w:r>
        <w:t>hydrochloride; Carbadox; Pyrazinamide Aromatic or modified aromatic anti-infective agents of heterocyclic compounds with nitrogen hetero-atom(s) only, nesoi Hydralazine hydrochloride Aromatic or modified aromatic cardiovascular drugs of heterocyclic compounds with nitrogen hetero-atom(s) only, nesoi Aromatic or modified aromatic analgesics and certain like affecting chemicals, of heterocyclic compounds with nitrogen hetero-atom(s) only Droperidol; and Imipramine hydrochloride Aromatic/modified aromatic psychotherapeutic agents, affecting the CNS, of heterocyclic compounds with nitrogen hetero-atom(s) only, nesoi Aromatic or modified aromatic anticonvulsants, hypnotics and sedatives, of heterocyclic compounds with nitrogen hetero-atom(s) only, nesoi Aromatic or modified aromatic drugs affecting the central nervous system, of heterocyclic compounds with nitrogen atom(s) only, nesoi Aromatic or modified aromatic drugs of heterocyclic compounds with nitrogen hetero- atom(s) only, nesoi Aromatic or modified aromatic compounds with nitrogen hetero-atom(s) only described in additional U.S. note 3 to section VI Aromatic or mod. aromatic compounds with nitrogen hetero-atom(s) only other than products described in add. U.S.</w:t>
      </w:r>
    </w:p>
    <w:p>
      <w:pPr>
        <w:pStyle w:val="Normal"/>
      </w:pPr>
      <w:r>
        <w:t>note 3 to section VI, nesoi 3-Amino-1,2,4-triazole Hexamethyleneimine Nonaromatic drugs of heterocyclic compounds with nitrogen hetero-atom(s) only, nesoi Nonaromatic heterocyclic compounds with nitrogen hetero-atom(s) only, nesoi Aromatic or modified aromatic heterocyclic compounds cont. an unfused thiazole ring, described in add. U.S. note 3 to section VI Aromatic or modified aromatic heterocyclic compounds, nesoi, containing an unfused thiazole ring 4,5-Dichloro-2-n-octyl-4-isothiazolin-3-one; thiothiamine hydrochloride; and 4 other specified chemicals Other compounds (excluding aromatic or modified aromatic) containing an unfused thiazole ring (whether or not hydrogenated) in the structure N-tert-Butyl-2-benzothiazolesulfenamide 2,2’-Dithiobisbenzothiazole 2-Mercaptobenzothiazole; and N-(Oxydiethylene)benzothiazole-2-sulfenamide 2-Mercaptobenzothiazole, sodium salt (2-Benzothiazolethiol, sodium salt) 2-Amino-5,6-dichlorobenzothiazole; 2-amino-6-nitrobenzothiazole; and 2 other specified chemicals 2-Amino-6-methoxybenzothiazole and other specified heterocyclic compounds, cont. a benzothiazole ring-system, not further fused Pesticides containing a benzothiazole ring-system, not further fused Heterocyclic compounds containing a benzothiazole ring-system, not further fused, described in add. U.S.</w:t>
      </w:r>
    </w:p>
    <w:p>
      <w:pPr>
        <w:pStyle w:val="Normal"/>
      </w:pPr>
      <w:r>
        <w:t>note 3 to section VI Other compounds containing a benzothiazole ring system (whether or not hydrogenated), not further fused 2-(Trifluoromethyl)phenothiazine Ethyl (1H-phenothiazin-2,4,1)carbamate Antidepressants, tranquilizers and other pschotherapeutic agents containing a phenothiazine ring-system, not further fused Other drugs containing a phenothiazine ring system (whether or not hydrogenated), not further fused, nesoi Products described in add. US note 3 to section VI containing a phenothiazine ring system (whether or not hydrogenated), not further fused Heterocyclic compounds containing a phenothiazine ring-system (whether or not hydrogenated), not further fused, nesoi Aminorex (INN), brotizolam (INN), clotiazepam (INN), cloxazolam (INN), dextromoramide (INN), and other specified INNs; salts thereof Mycophenolate mofetil 2-Acetylbenzo(b)thiophene; and 2 other specified aromatic or modified aromatic compounds 5-Amino-3-phenyl-1,2,4-thiadiazole(3-Phenyl-5-amino-1,2,4-thiadiazole); and 3 other specified aromatic/mod.</w:t>
      </w:r>
    </w:p>
    <w:p>
      <w:pPr>
        <w:pStyle w:val="Normal"/>
      </w:pPr>
      <w:r>
        <w:t>aromatic heterocyclic compounds 7-Nitronaphth[1,2]oxadiazole-5-sulfonic acid and its salts Ethyl 2-[4-[(6-chloro-2-benzoxazoyl)oxy]phenoxy]propanoate (Fenoxaprop- ethyl) 2,5-Diphenyloxazole 1,2-Benzisothiazolin-3-one 2-tert-Butyl-4-(2,4-dichloro-5-isopropoxyphenyl)-delta(squared)-1,3,4-oxadiazolin-5 one; Bentazon; Phosalone Aromatic or modified aromatic fungicides of other heterocyclic compounds, nesoi Aromatic or modified aromatic herbicides of other heterocyclic compounds, nesoi Aromatic or modified aromatic insecticides of other heterocyclic compounds, nesoi Aromatic or modified aromatic pesticides nesoi, of other heterocyclic compounds, nesoi Aromatic or modified aromatic photographic chemicals of other heterocyclic compounds, nesoi Aromatic or modified aromatic drugs of other heterocyclic compounds, nesoi Aromatic or modified aromatic other heterocyclic compounds described in additional U.S.</w:t>
      </w:r>
    </w:p>
    <w:p>
      <w:pPr>
        <w:pStyle w:val="Normal"/>
      </w:pPr>
      <w:r>
        <w:t>note 3 to section VI Aromatic or modified aromatic other heterocyclic compounds, nesoi Nonaromatic drugs of other heterocyclic compounds, nesoi Morpholinethyl chloride hydrochloride; 2-methyl-2,5-dioxo-1-oxa-2-phospholan; and 1 other specified nonaromatic chemical Nonaromatic other heterocyclic compounds, nesoi N-Methyl perfluorooctane sulfonamide N-Ethyl perfluorooctane sulfonamide N-Ethyl -N-(2-hydroxyethyl)perfluorooctane sulfonamide N-(2-hydroxyethyl)-N-methyl perfluorooctane sulfonamide Other perfluorooctane sulfonamides 4-Amino-6-chloro-m-benzenedisulfonamide and Methyl-4 aminobenzenesulfonylcarbamate (Asulam) 2-Amino-N-Ethylbenzenesulfonanilide etc (5-[2-Chloro-4-(Trifluoromeythyl)phenoxy]-N-(Methylsulfonyl)-2 Nitrobenzamide)(fomesafen); etc ortho-Toluenesulfonamide Sulfonamides used as fast color bases and fast color salts Acetylsulfaguanidine Sulfamethazine Acetylsulfisoxazole; Sulfacetamide, sodium; and Sulfamethazine, sodium Sulfathiazole and Sulfathiazole, sodium Salicylazosulfapyridine (Sulfasalazine); Sulfadiazine; Sulfaguanidine; Sulfamerizine; and Sulfapyridine Other sulfonamides used as anti-infective agents Other sulfonamide drugs (excluding anti-infective agents) Other sulfonamides (excluding drugs, etc) of products descibed in US note 3 to section Other sulfonamides, excluding drugs, excluding products described in US note 4 to section 6 Vitamins A and their derivatives, unmixed, natural or synthesized Vitamin B1 (Thiamine) and its derivatives,</w:t>
      </w:r>
    </w:p>
    <w:p>
      <w:pPr>
        <w:pStyle w:val="Normal"/>
      </w:pPr>
      <w:r>
        <w:t>unmixed, natural or synthesized Vitamin B2 (Riboflavin) and its derivatives, unmixed, natural or synthesized Vitamin B3 or B5 (d- or dl-Pantothenic acid) and its derivatives, unmixed, natural or synthesized Vitamin B6 (Pyridoxine and related compounds with Vitamin B6 activity) and its derivatives, unmixed, natural or synthesized Vitamin B12 (Cyanocobalamin and related compounds with Vitamin B12 activity) and its derivatives, unmixed, natural or synthesized Vitamin C (Ascorbic acid) and its derivatives, unmixed, natural or synthesized Vitamin E (Tocopherols and related compounds with Vitamin E activity) and its derivatives, unmixed, natural or synthesized Folic acid and its derivatives, unmixed Niacin an niacinamide Aromatic or modified aromatic vitamins and their derivatives, nesoi Other vitamins and their derivatives, nesoi Vitamins or provitamins (including natural concentrates) and intermixtures of the foregoing, whether or not in any solvent Somatotropin, its derivatives and structural analogues Insulin and its salts Polypeptide hormones, protein hormones and glycoprotein hormones, their derivatives and structural analogues, nesoi Cortisone, hydrocortisone, prednisone (Dehydrocortisone) and prednisolone (Dehydrohydrocortisone) Halogenated derivatives of corticosteroidal hormones Estrogens and progestins obtained directly or indirectly from animal or vegetable materials Estradiol benzoate; and Estradiol cyclopentylpropionate (estradiol cypionate) Other estrogens and</w:t>
      </w:r>
    </w:p>
    <w:p>
      <w:pPr>
        <w:pStyle w:val="Normal"/>
      </w:pPr>
      <w:r>
        <w:t>progestins not derived from animal or vegetable materials, nesoi Desonide; and Nandrolone phenpropionate Steroidal hormones, their derivatives and structural analogues, nesoi Prostaglandins, thromboxanes and leukotrienes, their derivatives and structural analogues Epinephrine Epinephrine hydrochloride Catecholamine hormones, their derivatives and structural analogues, nesoi l-Thyroxine(Levothyroxine), sodium Amino-acid derivatives of hormones and their derivatives, nesoi Other hormones,their derivatives and structural analogues,other steroid derivatives and structural analogue used primarily as hormones,nesoi Rutoside (Rutin) and its derivatives Glycosides, natural or synthesized, and their salts, ethers, esters, and other derivatives other than rutoside and its derivatives Concentrates of poppy straw; buprenorphine (INN), codeine, dihydrocodeine (INN), ethylmorphine, and other specified INNs; salts thereof Papaverine and its salts Synthetic alkaloids of opium and their derivatives; salts thereof; nesoi Nonsynthetic alkaloids of opium and their derivatives; salts thereof; nesoi Alkaloids of cinchona, and their derivatives; salts thereof, other than quinine and its salts Caffeine and its salts Ephedrine and its salts Pseudoephedrine and its salts Cathine (INN) and its salts Norephedrine &amp; its salts Ephedrines and their salts, other than ephedrine, cathine, norephedrine, pseudoephedrine and their salts Fenetylline (INN) its salts Theophylline aminophylline</w:t>
      </w:r>
    </w:p>
    <w:p>
      <w:pPr>
        <w:pStyle w:val="Normal"/>
      </w:pPr>
      <w:r>
        <w:t>(Theophylline-ethylenediamine) and their derivatives; salts thereof; nesoi Ergometrine and its salts Ergotamine and its salts Lysergic acid and its salts Alkaloids of rye ergot and their derivatives, nesoi; salts thereof Cocaine, ecgonine, levometamfetamine, metamfetamine (INN), metamfetamine racemate;salts, esters and other derivatives thereof Vegetable alkaloids, natural or reproduced by synthesis, their salts and other derivatives, nesoi Other alkaloids, natural or reproduced by synthesis and their salts, ethers, esters &amp; other derivatives, nesoi D-Arabinose Other sugars, nesoi excluding d-arabinose Ampicillin and its salts Penicillin G salts Carfecillin, sodium; cloxacillin, sodium; dicloxacillin, sodium; flucloxacillin (Floxacillin); and oxacillin, sodium Penicillins and their derivatives nesoi, with a penicillanic acid structure; salts thereof Dihydrostreptomycins and its derivatives; salts thereof Streptomycins and their derivatives; salts thereof, nesoi Tetracyclines and their derivatives; salts thereof Chloramphenicol and their derivatives; salts thereof Erythromycin and their derivatives; salts thereof Natural antibiotics, nesoi Antibiotics, nesoi, aromatic or modified aromatic, other than natural Antibiotics nesoi, other than aromatic or modified aromatic antibiotics [2,2’-Thiobis(4-(1,1,3,3-tetramethyl-n-butyl)phenolato)(2,1)]-O,O’,S-s(1-butanamine), nickel II Aromatic or modified aromatic drugs of other organic compounds, nesoi Aromatic or modified aromatic</w:t>
      </w:r>
    </w:p>
    <w:p>
      <w:pPr>
        <w:pStyle w:val="Normal"/>
      </w:pPr>
      <w:r>
        <w:t>organic compounds, nesoi, described in additional U.S. note 3 to section VI Other aromatic or modified aromatic organic compounds (excluding products described in additional U.S. note 3 to section VI) Nonaromatic organic compounds, nesoi Extracts of glands or other organs or of their secretions for organotherapeutic uses Glands and other organs for organotherapeutic uses, dried, whether or not powdered Malaria diagnostic test kits Antisera and other blood fractions including human blood and fetal bovine serum Immunological products, unmixed, not put up in measured doses or in forms or packings for retail sale Immunological products, mixed, not put up in measured doses or in forms or packings for retail sale Immunological products, put up in measured doses or in forms or packings for retail sale Blood fractions, nesoi Vaccines for human medicine Vaccines for veterinary medicine Ferments, excluding yeasts Human blood; animal blood prepared for therapeutic, prophylactic, diagnostic uses; toxins, cultures of micro-organisms nesoi &amp; like products Medicaments, cont.</w:t>
      </w:r>
    </w:p>
    <w:p>
      <w:pPr>
        <w:pStyle w:val="Normal"/>
      </w:pPr>
      <w:r>
        <w:t>penicillins or streptomycins, not dosage form and not packed for retail Medicaments containing antibiotics, nesoi, not dosage form and not packaged for retail Medicaments containing insulin, not dosage form and not packed for retail Medicaments containing artificial mixtures of natural hormones, but not antibiotics, not dosage form and not packed for retail Medicaments containing products of heading 2937, nesoi, but not antibiotics, not dosage form and not packed for retail Medicaments containing ephedrine or its salts, not dosage form and not packed for retail Medicaments containing pseudoephedrine (INN) or its salts, not dosage form and not packed for retail Medicaments containing norephedrine or its salts, not dosage form and not packed for retail Other medicaments containing alkaloids or derivatives thereof, nesoi, not dosage form and not packed for retail Other medicaments containing antimalarial active principles described in subheading note 2 to this chapter, not dosage form and not packed for retail Other medicaments excl goods of heading 3002, 3005, 3006 consist of two or more consituents mixed together, not dosage form and not packed for retail Medicaments containing penicillin G salts, in dosage form and packed for retail Medicaments cont.</w:t>
      </w:r>
    </w:p>
    <w:p>
      <w:pPr>
        <w:pStyle w:val="Normal"/>
      </w:pPr>
      <w:r>
        <w:t>penicillins or streptomycins, nesoi, in dosage form or packed for retail Medicaments containing antibiotics, nesoi, in dosage form or packed for retail Medicaments containing insulin, in dosage form or packed for retail Medicaments, containing adrenal cortical hormones, in dosage form or packed for retail Medicaments, containing products of heading 2937 nesoi, in dosage form or packed for retail Medicaments containing ephedrine or its salts, in dosage form and packed for retail Medicaments containing pseudoephedrine (INN) or its salts, in dosage form and packed for retail Medicaments containing norephedrine or its salts, in dosage form and packed for retail Other medicaments containing alkaloids or derivatives thereof, nesoi, in dosage form and packed for retail Medicaments containing vitamin B2 synthesized from aromatic or mod. aromatic compounds, in dosage form or packed for retail Medicaments containing vitamim B12 synthesized from aromatic or mod. aromatic compounds, in dosage form or packed for retail Medicaments containing vitamin E synthesized from aromatic or mod. aromatic compounds, in dosage form or packed for retail Medicaments containing vitamins nesoi, synthesized from aromatic or mod.</w:t>
      </w:r>
    </w:p>
    <w:p>
      <w:pPr>
        <w:pStyle w:val="Normal"/>
      </w:pPr>
      <w:r>
        <w:t>aromatic compounds, in dosage form or packed for retail Medicaments containing vitamins or other products of heading 2936, nesoi, in dosage form or packed for retail Other medicaments containing antimalarial active principles described in subheading note 2 to this chapter, in dosage form and packed for retail Medicaments containing antigens or hyaluronic acid or its sodium salt, nesoi, in dosage form or packed for retail Medicaments nesoi, in dosage form and packed for retail Adhesive dressings and other articles having an adhesive layer, coated or impregnated with pharmaceutical substances, packed for retail Adhesive dressings and other articles having an adhesive layer, packed for retail for medical, surgical, dental, veterinary purposes Wadding, gauze, bandages, &amp; similar articles, not having an adhesive layer, coated, impregnated with pharmaceutical substances, for retail Wadding, gauze, bandages, and similar articles, not having an adhesive layer, packed for retail for medical, surgical, like purposes Sterile surgical catgut, suture materials, tissue adhesives for wound closure, laminaria, laminaria tents, and absorbable hemostatics Blood-grouping reagents Opacifying preparation for X-ray examination; diagnostic reagent designed to be administered to the patient; all cont.</w:t>
      </w:r>
    </w:p>
    <w:p>
      <w:pPr>
        <w:pStyle w:val="Normal"/>
      </w:pPr>
      <w:r>
        <w:t>antigens or antisera Opacifying preparations for X-ray examinations; diagnostic reagents designed to be administered to the patient, nesoi Dental cements and other dental fillings; bone reconstruction cements First-aid boxes and kits Chemical contraceptive preparations based on hormones or spermicides Gel preparation use human/veterinary medicine lubricant in surgical operation, physical exam or coupling agent tween body &amp; med instrument Applicances identifiable for ostomy use Waste pharmaceuticals Animal or vegetable fertilizers;</w:t>
      </w:r>
    </w:p>
    <w:p>
      <w:pPr>
        <w:pStyle w:val="Normal"/>
      </w:pPr>
      <w:r>
        <w:t>fertilizers produced by the mixing or chemical treatment of animal or vegetable products Urea, whether or not in aqueous solution Ammonium sulfate Double salts and mixtures of ammonium sulfate and ammonium nitrate Ammonium nitrate, whether or not in aqueous solution Mixtures of ammonium nitrate with calcium carbonate or other inorganic nonfertilizing substances Sodium nitrate Double salts and mixtures of calcium nitrate and ammonium nitrate Mixtures of urea and ammonium nitrate in aqueous or ammoniacal solution Mineral or chemical fertilizers, nitrogenous, nesoi, including mixtures not specified elsewhere in heading 3102 Superphosphates containing by weight 35% or more of diphosphorous pentaoxide (P2O5) Superphosphates nesoi Mineral or chemical fertilizers, phosphatic Potassium chloride Potassium sulfate Mineral or chemical fertilizers, potassic, nesoi Fertilizers of chapter 31 in tablets or similar forms or in packages of a gross weight not</w:t>
      </w:r>
    </w:p>
    <w:p>
      <w:pPr>
        <w:pStyle w:val="Normal"/>
      </w:pPr>
      <w:r>
        <w:t>exceeding 10 kg Mineral or chemical fertilizers nesoi, containing the three fertilizing elements nitrogen, phosphorus and potassium Diammonium hydrogenorthophosphate (Diammonium phosphate) Ammonium dihydrogenorthophosphate (Monoammonium phosphate), mixtures thereof with diammonium hydrogenorthophosphate (Diammonium phosphate) Mineral or chemical fertilizers nesoi, containing nitrates and phosphates Mineral or chemical fertilizers nesoi, containing the two fertilizing elements nitrogen and phosphorus Mineral or chemical fertilizers nesoi, containing the two fertilizing elements phosphorous and potassium Mineral or chemical fertilizers cont. two or three of the fertilizing elements nitrogen, phosphorus and potassium fertilizers, nesoi Quebracho tanning extract Wattle tanning extract Tannic acid, containing by weight 50 percent or more of tannic acid Tanning extracts of canaigre,chestnut curupay,divi divi,eucalyptus,gambier,hemlock,larch,mangrove,myrobalan,oak,sumac,tara,urunday,v alonia Tanning extracts of vegetable origin nesoi; tannins and their salts, ethers, esters and other derivatives Aromatic or modified aromatic synthetic organic tanning substances Synthetic organic tanning substances, nonaromatic Tanning substances, tanning preparations and enzymatic preparations for pre-tanning consisting wholly of inorganic substances Tanning substances, tanning preparations and enzymatic preparations for pre-tanning, nesoi Coloring matter of annato, archil, cochineal, cudbear,</w:t>
      </w:r>
    </w:p>
    <w:p>
      <w:pPr>
        <w:pStyle w:val="Normal"/>
      </w:pPr>
      <w:r>
        <w:t>litmus and marigold meal Mixtures of 3,4-dihydroxyphenyl-2,4,6,-trihydroxypphenylmethanone and 2-(2,4 dihydroxyphenyl)-3,5,7-trihydroxy-4H-1-benzopyran-4-one Coloring matter of vegetable or animal origin, nesoi Disperse blue 19 and other specified dispersed dyes and preparations based thereon Disperse blue 30 and preparations based thereon N-[2-[2,6-Dicyano-4-methylphenylazo]-5-(diethylamino)phenyl]methanesulfonamide; and 1 other specified disperse dye Disperse dyes described in add’l U.S. note 3 to section VI Disperse dyes and preparations based thereon, nesoi Acid black 210 powder and presscake Acid violet 19 Acid dyes, whether or not premetallized, and preparations based thereon, acid black 31, and other specified acid or mordant dyes Acid black 61 and other specified acid and mordant dyes and preparations based thereon Mordant black 75, blue 1, brown 79, red 81, 84 and preparations based thereon Acid dyes, whether or not premetallized, and preparations based thereon, described in add’l U.S.</w:t>
      </w:r>
    </w:p>
    <w:p>
      <w:pPr>
        <w:pStyle w:val="Normal"/>
      </w:pPr>
      <w:r>
        <w:t>note 3 to section VI Synthetic acid and mordant dyes and preparations based thereon, nesoi Basic black 7 and other specified basic dyes and preparations based thereon Basic orange 22, basic red 13 dyes, and preparations based thereon Basic blue 3; basic red 14; and basic yellow 1, 11, 13; and preparations based thereon 3,7-Bis(dimethylamino)phenazathionium chloride (methylene blue); and basic blue Basic dyes and preparations based thereon, described in add’l U.S note 3 to section VIvi Basic dyes and preparations based thereon, nesoi Direct black 62 and other specified basic dyes and preparations based thereon Direct black 51 and other specified basic dyes and preparations based thereon Direct blue 86; direct red 83; direct yellow 28 dyes; and preparations based thereon Direct dyes nesoi, and preparations based thereon, described in additional U.S. note 3 to section VI Direct dyes and preparations based thereon, nesoi Vat blue 1 (synthetic indigo) dye, “Colour Index No.</w:t>
      </w:r>
    </w:p>
    <w:p>
      <w:pPr>
        <w:pStyle w:val="Normal"/>
      </w:pPr>
      <w:r>
        <w:t>73000” and preparations based thereon Vat brown 3; vat orange 2, 7; and vat violet 9, 13 dyes and preparations based thereon Vat red 1 Solubilized vat blue 5 and specified solubilized vat dyes and preparations based thereon Solubilized vat orange 3, vat blue 2, vat red 44; and vat yellow 4, 20 and preparations based thereon Vat dyes (incl. those usable as pigments) and preparations based thereon, described in add. U.S. note 3 to sec.</w:t>
      </w:r>
    </w:p>
    <w:p>
      <w:pPr>
        <w:pStyle w:val="Normal"/>
      </w:pPr>
      <w:r>
        <w:t>VI Vat dyes (including those usable in that state as pigments) and preparations based thereon, nesoi Reactive black 1; blue 1, 2, 4; orange 1; red 1, 2, 3, 5, 6; and yellow 1; and preparations based thereon Specified reactive dye mixtures and preparations based thereon Reactive dyes and preparations based thereon nesoi, described in additional U.S. note 3 to section VI Synthetic reactive dyes and preparations based thereon, nesoi Pigments and preparations based thereon, pigment black 1, and other specified pigments, nesoi Pigment red 178; pigment yellow 101, 138 Copper phthalocyanine ([Phthalocyanato(2-)]copper) not ready for use as a pigment Pigments and preparations based thereon, isoindoline red pigment; pigment red 242, 245; pigment yellow 155, 183, nesoi Pigments and preparations based thereon, products described in add’l U.S. note 3 to section VI, nesoi Other pigments and preparations based thereon, nesoi Solvent yellow 43, 44, 85, 172 Solvent black 2 and other specified solvent dyes and preparations based thereon Solvent dyes and preparations based thereon, products described in add’l U.S. note 3 to section VI Solvent dyes and preparations based thereon nesoi Sulfur black, “Colour Index Nos.</w:t>
      </w:r>
    </w:p>
    <w:p>
      <w:pPr>
        <w:pStyle w:val="Normal"/>
      </w:pPr>
      <w:r>
        <w:t>53185, 53190 and 53195” and preparations based thereon Beta-carotene and other carotenoid coloring matter Synthetic organic coloring matter and preparations based thereon, nesoi, described in additional U.S.</w:t>
      </w:r>
    </w:p>
    <w:p>
      <w:pPr>
        <w:pStyle w:val="Normal"/>
      </w:pPr>
      <w:r>
        <w:t>note 3 to section VI Synthetic organic coloring matter and preparations based thereon nesoi, including mixtures of items from subheading 320411 to 320419 Fluorescent brightening agent 32 Benzoxazol Synthetic organic products of a kind used as fluorescent brightening agents, nesoi Synthetic organic coloring matter or preparations based thereon, nesoi; synthetic organic products used as luminophores Carmine food coloring solutions, cont cochineal carmine lake and paprika oleoresins, not including any synthetic organic coloring matter Carmine color lakes and preparations as specified in note 3 to this chapter, nesoi Color lakes and preparations based thereon, described in additional U.S.</w:t>
      </w:r>
    </w:p>
    <w:p>
      <w:pPr>
        <w:pStyle w:val="Normal"/>
      </w:pPr>
      <w:r>
        <w:t>note 3 to section VI Color lakes and preparations based thereon, nesoi Pigments &amp; preparations based on titanium dioxide containing 80 percent or more by weight off titanium dioxide calculated on the dry weight Pigments and preparations based on titanium dioxide, nesoi Pigments and preparations based on chromium compounds Ultramarine and preparations based thereon Lithopone and other pigments and preparations based on zinc sulfide Concentrated dispersions of pigments in plastics materials Coloring preparations based on iron oxides, as specified in note 3 to this chapter 32 Coloring preparations based on zinc oxides, as specified in note 3 to this chapter 32 Coloring preparations based on carbon black, as specified in note 3 to this chapter 32 Pigments and preparations based on</w:t>
      </w:r>
    </w:p>
    <w:p>
      <w:pPr>
        <w:pStyle w:val="Normal"/>
      </w:pPr>
      <w:r>
        <w:t>hexacyanoferrates (ferrocyanides and ferricyanides) Coloring matter and preparations, nesoi, as specified in note 3 to this chapter 32 Inorganic products of a kind used as luminophores Prepared pigments, opacifiers, colors, and similar preparations, of a kind used in the ceramic, enamelling or glass industry Vitrifiable enamels and glazes, engobes (slips), and similar preparations, of a kind used in the ceramic, enamelling or glass industry Liquid lustres and similar preparations, of a kind used in the ceramic, enamelling or glass industry Glass frit and other glass, ground or pulverized Glass frit and other glass, in the form of granules or flakes Paints and varnishes (including enamels and lacquers) based on polyesters in a nonaqueous medium Paints and varnishes (including enamels and lacquers) based on acrylic or vinyl polymers in a nonaqueous medium Paints and varnishes based on synthetic polymers or chemically modified natural polymers nesoi, in a nonaqueous medium Paints and varnishes (including enamels and lacquers) based on acrylic or vinyl polymers in an aqueous medium Paints and varnishes based on synthetic polymers or chemically modified natural polymers nesoi, in an aqueous medium Other paints and varnishes (including enamels, lacquers and distempers) nesoi;</w:t>
      </w:r>
    </w:p>
    <w:p>
      <w:pPr>
        <w:pStyle w:val="Normal"/>
      </w:pPr>
      <w:r>
        <w:t>prepared water pigments of a kind used for finishing leather Prepared driers for paints and varnishes Stamping foils Pigments dispersed in nonaqueous media, in liquid or paste form, used in making paints;</w:t>
      </w:r>
    </w:p>
    <w:p>
      <w:pPr>
        <w:pStyle w:val="Normal"/>
      </w:pPr>
      <w:r>
        <w:t>dyes &amp; coloring matter packaged for retail sale Artists’, students’ or signboard painters’ colors, in tablets, tubes, jars, bottles, pans or in similar packings, in sets Artists’, students’ or signboard painters’ colors, in tablets, tubes, jars, bottles, pans or in similar packings, not in sets Glaziers’ putty, grafting putty, resin cements, caulking compounds and other mastics;</w:t>
      </w:r>
    </w:p>
    <w:p>
      <w:pPr>
        <w:pStyle w:val="Normal"/>
      </w:pPr>
      <w:r>
        <w:t>painters’ fillings Nonrefractory surfacing preparations for facades, indoor walls, floors, ceilings or the like, based on rubber Nonrefractory surfacing preparations for facades, indoor walls, floors, ceilings or the like, not based on rubber Printing ink, black, solid, in engineered shapes for apparatus in 8443.31,32,39 Printing ink, black, solid, other Printing ink, black, not solid, other Printing ink, not black, solid, in engineered shapes for apparatus in 8443.31,32,39 Printing ink, not black, solid, other Printing ink, not black, not solid Drawing ink Inks, other than printing or drawing inks Essential oils of orange Essential oils of lemon Essential oils of grapefruit Essential oils of citrus fruit, other, nesoi Essential oils of peppermint (Mentha piperita) Essential oils of mints, other than peppermint Essential oils of eucalyptus Essential oils of orris Essential oils other than those of citrus fruit, other, nesoi Resinoids Extracted oleoresins consisting essentially of nonvolatile components of the natural raw plant Concentrates of essential oils; terpenic by-product of the deterpenation</w:t>
      </w:r>
    </w:p>
    <w:p>
      <w:pPr>
        <w:pStyle w:val="Normal"/>
      </w:pPr>
      <w:r>
        <w:t>of essential oils;</w:t>
      </w:r>
    </w:p>
    <w:p>
      <w:pPr>
        <w:pStyle w:val="Normal"/>
      </w:pPr>
      <w:r>
        <w:t>aqueous distillates&amp; solutions of essential oils Mixtures of odoriferous substances, mixtures with a basis of these substances, used in the food or drink industries, not containing alcohol Mixtures of or with a basis of odoriferous substances, used in the food or drink industries, not over 20 percent alcohol by weight Mixtures of/with basis of odoriferous substances,with 20% to 50% alcohol by weight, needs only addn of ethyl alcohol or water to be beverage Mixtures of/with basis of odoriferous substances,over 50% of alcohol by weight, requiring only addn of ethyl alcohol or water to be beverage Mixtures of or with a basis of odoriferous substances, used in the food or drink industries, over 20 percent of alcohol by weight, nesoi Mixtures of or with a basis of odoriferous substances, used in other than the food or drink industries, zero to 10% alcohol by weight Mixtures of or with a basis of odoriferous substances, used in other than the food or drink industries, over 10 percent alcohol by weight Floral or flower</w:t>
      </w:r>
    </w:p>
    <w:p>
      <w:pPr>
        <w:pStyle w:val="Normal"/>
      </w:pPr>
      <w:r>
        <w:t>waters, not containing alcohol Perfumes and toilet waters, other than floral or flower waters, not containing alcohol Perfumes and toilet waters, containing alcohol Lip make-up preparations Eye make-up preparations Manicure or pedicure preparations Beauty or make-up powders, whether or not compressed Petroleum jelly put up for retail sale Beauty or make-up preparations &amp; preparations for the care of the skin, excl.</w:t>
      </w:r>
    </w:p>
    <w:p>
      <w:pPr>
        <w:pStyle w:val="Normal"/>
      </w:pPr>
      <w:r>
        <w:t>medicaments but incl.</w:t>
      </w:r>
    </w:p>
    <w:p>
      <w:pPr>
        <w:pStyle w:val="Normal"/>
      </w:pPr>
      <w:r>
        <w:t>sunscreen or sun tan preparations, nesoi Shampoos Preparations for permanent waving or straightening the hair Hair lacquers Preparations for use on the hair, nesoi Dentifrices Yarn used to clean between the teeth (dental floss) Preparations for oral or dental hygiene, including denture fixative pastes and powders, excluding dentifrices Pre-shave, shaving or after-shave preparations, not containing alcohol Pre-shave, shaving or after-shave preparations, containing alcohol Personal deodorants and antiperspirants Bath salts, whether or not perfumed Bath preparations, other than bath salts “Agarbatti” and other odoriferous preparations which operate by burning, to perfume or deodorize rooms or used during religious rites Preparations for perfuming or deodorizing rooms, including odoriferous preparations used during religious rites, nesoi Depilatories and other perfumery, cosmetic or toilet preparations.</w:t>
      </w:r>
    </w:p>
    <w:p>
      <w:pPr>
        <w:pStyle w:val="Normal"/>
      </w:pPr>
      <w:r>
        <w:t>nesoi Castile soap in the form of bars, cakes or molded pieces or shapes Soap, nesoi; organic surface-active products used as soap, in bars, cakes, pieces, soap- impregnated paper, wadding, felt, for toilet use Soap; organic surface-active products used as soap, in bars, cakes, pieces;</w:t>
      </w:r>
    </w:p>
    <w:p>
      <w:pPr>
        <w:pStyle w:val="Normal"/>
      </w:pPr>
      <w:r>
        <w:t>soap- impregnated paper, wadding, felt, not for toilet use Soap, not in the form of bars, cakes, molded pieces or shapes Organic surface-active products for wash skin, in liquid or cream, contain any aromatic/mod aromatic surface-active agent, put up for retail Organic surface-active products and preparations for washing the skin, in liquid or cream form, put up for retail sale, nesoi Linear alkylbenzene sulfonates Anionic, aromatic or modified aromatic organic surface-active agents, whether or not put up for retail sale, nesoi Nonaromatic anionic organic surface-active agents (other than soap) Aromatic or modified aromatic cationic organic surface-active agents (other than soap) Nonaromatic cationic organic surface-active agents (other than soap) Aromatic or modified aromatic nonionic organic surface-active agents (other than soap) Nonaromatic nonionic organic surface-active agents (other than soap) of fatty substances of animal or vegetable origin Nonaromatic nonionic organic surface-active agents (other than soap), other than of fatty substances of animal or vegetable origin Aromatic or modified aromatic organic surface-active agents (other than soap) other than anionic, cationic or</w:t>
      </w:r>
    </w:p>
    <w:p>
      <w:pPr>
        <w:pStyle w:val="Normal"/>
      </w:pPr>
      <w:r>
        <w:t>nonionic Nonaromatic organic surface-active agents (other than soap) nesoi Surface-active/washing/cleaning preparations containing any aromatic or mod aromatic surface-active agent, put up for retail, not head 3401 Surface-active, washing, and cleaning preparations nesoi, put up for retail sale, not of heading 3401 Synthetic detergents put up for retail sale Surface-active, washing, and cleaning preparations cont. any aromatic or modified aromatic surface-active agent, put up for retail sale Surface-active, washing, and cleaning preparations nesoi, put up for retail sale Preparations for the treatment of textile materials, containing 50 but not over 70 percent or more by weight of petroleum oils Preparations for the treatment of textile materials, containing less than 50 percent by weight of petroleum oils Preparations for the treatment of leather, furskins, other materials nesoi, containing less than 70% petroleum or bituminous mineral oils Lubricating preparations containing 50% but less than 70% by weight of petroleum oils or of oils obtained from bituminous minerals Lubricating preparations containing less than 50% by weight of petroleum oils or of oils from bituminous minerals Preparations for the treatment of textile materials, nesoi Preparations nesoi, for the treatment of leather, furskins or other materials nesoi Lubricating preparations (incl.</w:t>
      </w:r>
    </w:p>
    <w:p>
      <w:pPr>
        <w:pStyle w:val="Normal"/>
      </w:pPr>
      <w:r>
        <w:t>lubricant-based preparations), nesoi Artificial waxes and prepared waxes of polyethylene glycol Artificial waxes and prepared waxes containing bleached beeswax Artificial waxes and prepared waxes Polishes, creams and similar preparations for footwear or leather Polishes, creams and similar preparations for the maintenance of wooden furniture, floors or other woodwork Polishes and similar preparations for coachwork, other than metal polishes Scouring pastes and powders and other scouring preparations Polishes, creams and similar preparations for glass or metal Candles, tapers and the like Modeling pastes, including those put up for children’s amusement Modeling pastes, nesoi Casein, milk protein concentrate Casein, other than milk protein concentrate Casein glues Caseinates and other casein derivatives, nesoi Egg albumin, dried Egg albumin, other than dried Milk albumin, including concentrates of two or more whey proteins Albumins, albuminates and other albumin derivatives, nesoi Fish glue Inedible gelatin and animal glue valued under 88 cents per kg Inedible gelatin and animal glue valued 88 cents or more per kg Gelatin sheets and derivatives, nesoi; isinglass; other glues of animal origin, nesoi Protein isolates Peptones and their derivatives;</w:t>
      </w:r>
    </w:p>
    <w:p>
      <w:pPr>
        <w:pStyle w:val="Normal"/>
      </w:pPr>
      <w:r>
        <w:t>protein substances and their derivatives, nesoi; hide powder Dextrins and other modified starches Glues based on starches or on dextrins or other modified starches Animal glue, including casein glue but not including fish glue, not</w:t>
      </w:r>
    </w:p>
    <w:p>
      <w:pPr>
        <w:pStyle w:val="Normal"/>
      </w:pPr>
      <w:r>
        <w:t>exceeding a net weight of 1 kg, put up for retail sale Products suitable for use as glues or adhesives, nesoi, not exceeding 1 kg, put up for retail sale Adhesive preparations based on rubber or plastics (including artificial resins), optically clear, for flat panel &amp; touchscreen displays Other adhesive preparations based on rubber or plastics (including artificial resins) Prepared glues and other prepared adhesives, excluding adhesives based on rubber or plastics, nesoi Rennet and concentrates thereof Penicillin G amidase Enzymes and prepared enzymes, nesoi Propellant powders Prepared explosives, other than propellant powders Safety fuses or detonating fuses Percussion caps Detonating caps, igniters or electric detonators Display or special fireworks (Class 1.3G) Fireworks, nesoi Signaling flares, rain rockets, fog signals and other pyrotechnic articles, excluding fireworks Matches, other than pyrotechnic articles of heading 3604 Liquid or liquefied-gas fuels in containers used for filling cigarette or similar lighters of a capacity not exceeding 300 cubic cm Ferrocerium and other pyrophoric alloys in all forms Metaldehyde Articles of combustible materials as specified in note 2 of chap.</w:t>
      </w:r>
    </w:p>
    <w:p>
      <w:pPr>
        <w:pStyle w:val="Normal"/>
      </w:pPr>
      <w:r>
        <w:t>36, nesoi Photographic plates and film in the flat, sensitized, unexposed, of any material other than paper, paperboard or textiles, for X-ray use Instant print film in the flat, sensitized, unexposed, whether or not in packs Photographic plates and film nesoi, with any side 255 mm, in the flat, sensitized, unexposed, not of paper, paperboard, or textiles Photographic plates, film, for color photography, nesoi, in the flat, sensitized, unexposed, not of paper, paperboard, textiles Photographic dry plates, nesoi, sensitized, unexposed, of any material other than paper, paperboard or textiles Photographic plates and film, nesoi, in the flat, sensitized, unexposed, of any material other than paper, paperboard or textiles Photographic film in rolls, sensitized, unexposed, for X-ray use;</w:t>
      </w:r>
    </w:p>
    <w:p>
      <w:pPr>
        <w:pStyle w:val="Normal"/>
      </w:pPr>
      <w:r>
        <w:t>of any material other than paper, paperboard or textiles Film in rolls, for color photography, without sprocket holes, of a width not exceeding 105 mm, sensitized, unexposed Film in rolls, with silver halide emulsion, without sprocket holes, of a width not exceeding 105 mm, sensitized, unexposed Film in rolls without sprocket holes, width not exceeding 105 mm, other than color photography or silver halide emulsion film Film in rolls, without sprocket holes, of a width exceeding 610 mm and of a length exceeding 200 m, for color photography Film in rolls, without sprocket holes, of a width exceeding 610 mm and of a length exceeding 200 m, other than for color photography Film in rolls, without</w:t>
      </w:r>
    </w:p>
    <w:p>
      <w:pPr>
        <w:pStyle w:val="Normal"/>
      </w:pPr>
      <w:r>
        <w:t>sprocket holes, of a width exceeding 610 mm and of a length not exceeding 200 m Film in rolls, without sprocket holes, of a width exceeding 105 mm but not exceeding 610 mm Film for color photography, in rolls, of a width not exceeding 16 mm Film for color photography, in rolls, exceeding 16 but not 35 mm in width and of a length not exceeding 30 m, for slides Film for color photography, in rolls, exceeding 16 but not 35 mm in width, of a length not exceeding 30 m, other than for slides Film for color photography, in rolls, exceeding 16 but not 35 mm in width and of a length exceeding 30 m Film for color photography, in rolls, of a width exceeding 35 mm Photographic film nesoi, in rolls, of a width not exceeding 35 mm and of a length not exceeding 30 m Photographic film nesoi, in rolls, of a width not exceeding 35 mm and of a length exceeding 30 m Photographic film nesoi,</w:t>
      </w:r>
    </w:p>
    <w:p>
      <w:pPr>
        <w:pStyle w:val="Normal"/>
      </w:pPr>
      <w:r>
        <w:t>in rolls, of a width exceeding 35 mm Silver halide photographic papers, sensitized, unexposed, in rolls of a width exceeding 610 mm Photographic paper (other than silver halide), paperboard and textiles, sensitized, unexposed, in rolls of a width exceeding 610 mm Silver halide papers, other than in rolls of a width exceeding 610 mm, for color photography, sensitized, unexposed Photographic paper (not silver halide), paperbd &amp; textiles for color photos, other than in rolls of a width &gt; 610 mm, sensitized, unexposed Silver halide photographic papers, sensitized, unexposed, not for color photography, other than</w:t>
      </w:r>
    </w:p>
    <w:p>
      <w:pPr>
        <w:pStyle w:val="Normal"/>
      </w:pPr>
      <w:r>
        <w:t>in rolls of a width exceeding 610 mm Photographic paper (not silver halide), paperbd, tex., not for color photo, other than in rolls of a width &gt; 610 mm, sensitized, unexposed Photographic plates, film, paper, paperboard and textiles, exposed but not developed Photographic plates and film, exposed and developed, other than cinematographic film Sound recordings on motion-picture film of a width of 35 mm or more, suitable for use with motion-picture exhibits Motion-picture film of a width of 35 mm or more, exposed and developed, whether or not incorporating sound track, nesoi Motion-picture film, exposed and developed, less than 35 mm wide Sensitizing emulsions, for photographic uses, nesoi Acid violet 19 for photographic uses Chemical preparations for photographic uses, nesoi Unmixed products for photographic uses, put up in measured portions or put up for retail sale in a form ready for use Artificial graphite plates, rods, powder and other forms, for manufacture into brushes for electric generators, motors or appliances Artificial graphite, nesoi Colloidal or semi-colloidal graphite Carbonaceous pastes for</w:t>
      </w:r>
    </w:p>
    <w:p>
      <w:pPr>
        <w:pStyle w:val="Normal"/>
      </w:pPr>
      <w:r>
        <w:t>electrodes and similar pastes for furnace linings Preparations based on graphite or other carbon in the form of pastes, blocks, plates or other semimanufactures, nesoi Activated carbon Bone black Activated clays and activated earths Activated natural mineral products, nesoi;</w:t>
      </w:r>
    </w:p>
    <w:p>
      <w:pPr>
        <w:pStyle w:val="Normal"/>
      </w:pPr>
      <w:r>
        <w:t>animal black, including spent animal black Tall oil, whether or not refined Lignin sulfonic acid</w:t>
      </w:r>
    </w:p>
    <w:p>
      <w:pPr>
        <w:pStyle w:val="Normal"/>
      </w:pPr>
      <w:r>
        <w:t>and its salts Residual lyes from the manufacture of wood pulp, nesoi, excluding tall oil Gum, wood or sulfate turpentine oils Pine oil containing alpha-terpineol as the main constituent Terpenic oils, nesoi, produced by treatment of coniferous woods; crude dipentene; sulfite turpentine and other crude para-cymene Rosin and resin acids Salts of rosin or of resin acids Ester gums Resin acids, derivatives of resin acids and rosin, rosin spirit and rosin oils, run gums, nesoi Wood tar and its oils; wood creosote; wood naphtha; vegetable pitch;</w:t>
      </w:r>
    </w:p>
    <w:p>
      <w:pPr>
        <w:pStyle w:val="Normal"/>
      </w:pPr>
      <w:r>
        <w:t>preparations based on rosin, resin acids or vegetable pitch DDT (ISO) (clofenatone (INN)), in packings of a net weight content not exceeding 300 g Pesticides containing any aromatic or modified aromatic specified in note 1 to chapter Disinfectants specified in note 1 to chapter 38 Pesticides, nesoi specified in note 1 to chapter 38 Pesticides containing any aromatic or modified aromatic, not exceeding 300g, specified in note 2 to chapter 38 Pesticides, nesoi, not exceeding 300g, specified in note 2 to chapter 38 Pesticides containing any aromatic or modified aromatic, &gt;300g but &lt;7.5kg, specified in note 2 to chapter 38 Pesticides, nesoi, &gt;300g but &lt;7.5kg, specified in note 2 to chapter 38 Pesticides containing any aromatic or modified aromatic, &gt;7.5kg, specified in note 2 to chapter 38 Pesticides, nesoi, &gt;7.5kg, specified in note 2 to chapter 38 Fly ribbons (ribbon fly catchers), put up in packings for retail sale Mixtures of</w:t>
      </w:r>
    </w:p>
    <w:p>
      <w:pPr>
        <w:pStyle w:val="Normal"/>
      </w:pPr>
      <w:r>
        <w:t>N-[[(chlorophenyl)amino]carbonyl]-2,6-difluorobenzamide and inert substances Insecticides containing any aromatic or modified aromatic insecticide, nesoi Insecticides, nesoi, containing an inorganic substance, put up for retail sale Insecticides, nesoi, for retail sale or as preparations or articles Mixtures of dinocap and application adjuvants Fungicides containing any aromatic or modified aromatic fungicide, nesoi Maneb; zinab; mancozeb; and metiram Fungicides containing any fungicide which is a thioamide, thiocarbamate, dithio carbamate, thiuram or isothiocyanate, nesoi Fungicides, nesoi, containing an inorganic substance, put up for retail sale Fungicides nesoi, put up in forms or packing for retail sale or as preparations or articles Herbicides, antisprouting products and plant-growth regulators, aromatic or modified aromatic, for retail sale Herbicides containing any aromatic or modified aromatic herbicide, antisprouting agent or plant-growth regulator, nesoi Herbicides, antisprouting products and plant-growth regulators, nesoi, containing an inorganic substance, for retail sale Herbicides, antisprouting products and plant-growth regulators nesoi, put up for retail sale Disinfectants, containing any aromatic or modified aromatic disinfectant Disinfectants not subject to subheading note 1 of chapter 38, nesoi Mixtures of 1,1-bis(4-chlorophenyl)-2,2,2-trichloroethanol (Dicofol) and application adjuvants Rodenticides containing any aromatic or modified aromatic pesticide,</w:t>
      </w:r>
    </w:p>
    <w:p>
      <w:pPr>
        <w:pStyle w:val="Normal"/>
      </w:pPr>
      <w:r>
        <w:t>nesoi Formulated biocides based on 2-methyl-4-isothiazolin-3-one, or 2-n-octyl-4 isothiazolin-3-one, or on certain other chemicals; metaldehyde Rodenticides containing an inorganic substance Rodenticides, nesoi Finishing agents, dye carriers and like products, nesoi, with a basis of amylaceous substances Finishing agents, dye carriers and like products, nesoi, used in the textile or like industries Finishing agents, dye carriers and other preparations used in paper or like industries, 5% or more by wt. aromatic (mod.) substance(s) Finishing agents, dye carriers and other preparations used in paper or like industries, &lt; 5% by weight of aromatic (mod.) substance(s) Finishing agents, dye carriers and other preparations used in leather and like industries, &gt; 5% by weight aromatic (mod.) substance(s) Finishing agents, dye carriers and other preparations used in leather and like industries, &lt; 5% by weight aromatic (mod.) substance(s) Pickling preparations for metal surfaces;</w:t>
      </w:r>
    </w:p>
    <w:p>
      <w:pPr>
        <w:pStyle w:val="Normal"/>
      </w:pPr>
      <w:r>
        <w:t>soldering, brazing or welding powders and pastes consisting of metal and other materials Preparations used for soldering or cores or coatings for welding electrodes or rods, 5% or more by weight aromatic (or mod.) substance(s) Preparations used for soldering or as cores or coatings for welding electrodes or rods, consisting wholly of inorganic substances Preparations used for soldering or as cores or coatings for welding electrodes or rods, nesoi Antiknock preparations based on tetraethyl lead or on a mixture</w:t>
      </w:r>
    </w:p>
    <w:p>
      <w:pPr>
        <w:pStyle w:val="Normal"/>
      </w:pPr>
      <w:r>
        <w:t>of tetraethyl lead and tetramethyl lead Antiknock preparations based on lead compounds, nesoi Antiknock preparations based on other than lead compounds Additives for lubricating oils containing petroleum oils or oils obtained from bituminous minerals Additives for lubricating oils, nesoi Prepared additives for mineral oils (incl. gasoline) or other liquids used for the same purposes as mineral oils, nesoi Prepared rubber accelerators containing any aromatic or modified aromatic rubber accelerator nesoi Prepared rubber accelerators not containing any aromatic or modified aromatic rubber accelerator nesoi Compound plasticizers for rubber or plastics containing any aromatic or modified aromatic plasticizer nesoi Compound plasticizers for rubber or plastics not containing any aromatic or modified aromatic plasticizer nesoi Mixtures of oligomers of 2,2,4-trimethyl-1,2-dihydroquinoline (TMQ) Mixtures of N,N’-diaryl-p-phenylenediamines Master batches of poly[nitrilomethanetetraartlnitr Compound plasticizers for rubber/plastics cont any aromatic or modified aromatic antioxidant or other stabilizer, nesoi Bis(1,2,2,6,6-pentamethyl-4-piperidinyl) sebacate Antioxiding prep &amp; oth compound stabilizers for rubber or plastics, nesoi Preparations and charges for fire extinguishers; charged fire-extinguishing grenades; consisting wholly of inorganic substances Preparations and charges for fire extinguishers; charged fire-extinguishing grenades; nesoi Organic composite solvents and thinners</w:t>
      </w:r>
    </w:p>
    <w:p>
      <w:pPr>
        <w:pStyle w:val="Normal"/>
      </w:pPr>
      <w:r>
        <w:t>containing 5 to 25 percent, by weight of one or more aromatic substances Organic composite solvents and thinners containing more than 25 percent by weight of one or more aromatic substances Organic composite solvents and thinners, nesoi; prepared paint or varnish removers;</w:t>
      </w:r>
    </w:p>
    <w:p>
      <w:pPr>
        <w:pStyle w:val="Normal"/>
      </w:pPr>
      <w:r>
        <w:t>nesoi Supported catalysts with nickel or nickel compounds as the active substance Supported catalysts with precious metal or precious metal compounds as the active substance Supported catalysts other than with nickel or precious metal or their compounds as the active substance Reaction initiators, reaction accelerators and catalytic preparations, nesoi, consisting wholly of bismuth, of tungsten or of vanadium Reaction initiators, reaction accelerators and catalytic preparations, nesoi, consisting wholly of mercury or of molybdenum Reaction initiators, reaction accelerators and catalytic preparations, nesoi, consisting wholly of inorganic substances nesoi Reaction initiators, reaction accelerators and catalytic preparations, nesoi Refractory cements, mortars, concretes and similar compositions, other than products of heading 3801 Mixed linear alkylbenzenes, other than those of heading 2707 or 2902 Mixed alkylbenzenes, other than linear or those of heading 2707 or 2902 Mixed alkylnaphthalenes, other than those of heading 2707 or 2902 Chemical elements doped for use in electronics, in the form of discs, wafers etc., chemical compounds doped for electronic use Hydraulic brake fluids and transmission fluids</w:t>
      </w:r>
    </w:p>
    <w:p>
      <w:pPr>
        <w:pStyle w:val="Normal"/>
      </w:pPr>
      <w:r>
        <w:t>cont.</w:t>
      </w:r>
    </w:p>
    <w:p>
      <w:pPr>
        <w:pStyle w:val="Normal"/>
      </w:pPr>
      <w:r>
        <w:t>less than 70% by weight of petroleum oils, or bituminous mineral oils Antifreezing preparations and prepared de-icing fluids Prepared culture media for development of microorganisms Composite diagnostic or laboratory reagents, other than those of heading 3002 or 3006, containing antigens or antisera Composite diagnostic or laboratory reagents, nesoi Certified reference materials as defined in note 2 to chapter 38 Stearic acid Oleic acid Tall oil fatty acids Industrial monocarboxylic fatty acids or acid oils from refining derived from coconut, palm-kernel, or palm oil Industrial monocarboxylic fatty acids or acid oils from refining, nesoi Oleyl alcohol derived from fatty substances of animal or vegetable origin Industrial fatty alcohols, other than oleyl, derived from fatty substances of animal or vegetable origin Industrial fatty alcohols other than derived from fatty substances of animal or vegetable origin Prepared binders for foundry molds or cores Nonagglomerated metal carbides mixed together or with metallic binders Prepared additives for cements, mortars or concretes containing 5% or more by weight of aromatic or modified aromatic substances Prepared additives for cements, mortars or concretes consisting wholly of inorganic substances Prepared additives for cements, mortars or concretes, nesoi Non-refractory mortars and concretes Sorbitol other than that of subheading</w:t>
      </w:r>
    </w:p>
    <w:p>
      <w:pPr>
        <w:pStyle w:val="Normal"/>
      </w:pPr>
      <w:r>
        <w:t>2905.44 Mixtures containing chlorofluorocarbons Containing bromochlorodiflourormethane,</w:t>
      </w:r>
    </w:p>
    <w:p>
      <w:pPr>
        <w:pStyle w:val="Normal"/>
      </w:pPr>
      <w:r>
        <w:t>bromotrifluoromethane or dibromotetrafluroroethane Mixtures containing hydrobromofluorocarbons Mixtures containing hydrochlorofluorocarbons Mixtures of halogenated hydrocarbons containing carbon tetrachloride Containing 1,1,1,-trichloroethane Containing bromomethane or bomochloromethane Containing PFCs or HFCs but not CFCs or HCFCs Mixtures containing halogenated derivatives of methane, ethane, or propane, nesoi, chlorinated but not otherwise halogenated Mixtures containing halogenated derivatives of methane, ethane, or propane, nesoi, other than chlorinated but not halogenated Chemical mixtures containing oxirane (ethylene oxide) Containing PCBs, PCTs or PBBs: mixtures of halogenated hydrocarbons, chlorinated but not otherwise halogenated, nesoi Containing PCBs, PCTs or PBBs: mixtures of halogenated hydrocarbons other than chlorinated only, nesoi Containing tris (2,3-dibromopropyl phosphate) Other mixtures cont aldrin, camphechlor(toxaphene), chlordane, chlordecone, DDT(clofenatone), 1,1,1-TRICHLORO-2,2-BIS(P-CHLOROPHENYL)ETHANE), ETC. Mixtures containing 1,2,3,4,5,6-hexachlorocyclohexane (HCH (ISO)), including lindane (ISO,INN) Mixtures containing pentachlorobenzene (ISO) or hexachlorobenzene (ISO) Mixtures containing perfluorooctane sulfonic acid, its salts, perfluorooctane sulfonamides, or perfluorooctane sulfonyl fluoride Mixtures containing tetra-, penta-, hexa-, hepta-, or octabromodiphenyl ethers Mixtures consisting mainly of methylphosphonate etc.</w:t>
      </w:r>
    </w:p>
    <w:p>
      <w:pPr>
        <w:pStyle w:val="Normal"/>
      </w:pPr>
      <w:r>
        <w:t>Cultured crystals, weighing not less than 2.5g each, in the form of ingots Cultured crystals, weighing not less than 2.5g each except in the form of ingots Mixtures consisting wholly of substances found naturally in coal tar, whether obtained from coal tar or other source Mixtures of triphenyl sulfonium chloride, diphenyl (4-phenylthio)phenyl sulfonium chloride &amp; (thiodi-4,1- phenylene)bis(diphenyl sulfonium) dichloride Benzene,2,4-Diisocyanate-1,3,5-tris-(1-methylethyl) Mixtures containing 5% or more by weight of one or more aromatic or modified aromatic substance, nesoi Mixtures of bismuth Mixtures of hydrosulfite compounds, of sulfoxylate compounds, or of both Mixtures of mercury Mixtures of molybdenum Mixtures of tungsten Mixture of vanadium Mixtures of two or more inorganic compounds, nesoi Mixtures of fatty substances of animal or vegetable origin and mixtures thereof Mixtures that are in whole or in part of hydrocarbons derived in whole or in part from petroleum, shale oil or natural gas Mixtures chlorinated but not otherwise halogenated Mixtures of halogenated hydrocarbons, nesoi Mixtures of dibromoneopentyl gylcol;polydibromophenylene oxide;tetrabromobisphenol-A-carbonate oligomers;electroplating chemical and electroless Mixtures of naphthenic acids, their water-insoluble salts and their esthers Chemical products and preparations and residual products of the chemical or allied industries, nesoi Municipal waste Sewage sludge Clinical waste Halogenated waste organic</w:t>
      </w:r>
    </w:p>
    <w:p>
      <w:pPr>
        <w:pStyle w:val="Normal"/>
      </w:pPr>
      <w:r>
        <w:t>solvents Waste organic solvents, other than halogenated Wastes of metal-pickling liquors, hydraulic fluids, brake fluids and anti-freeze fluids Other wastes from the chemical or allied industries mainly containing organic constituents Other wastes from the chemical or allied industries, other than those mainly containing organic constituents Residual products of the chemical or allied industries, nesoi; other wastes, nesoi, specified in note 6 to chapter 38 Biodiesel not containing petroleum or bituminous oil Biodiesel containing &lt;70% petroleum or bituminous oil Polyethylene having a specific gravity of less than 0.94 and having a relative viscosity of 1.44 or more, in primary forms Polyethylene having a specific gravity of less than 0.94, in primary forms, nesoi Polyethylene having a specific gravity of 0.94 or more and having a relative viscosity of 1.44 or more, in primary forms Polyethylene having a specific gravity of 0.94 or more, in primary forms, nesoi Ethylene copolymer:</w:t>
      </w:r>
    </w:p>
    <w:p>
      <w:pPr>
        <w:pStyle w:val="Normal"/>
      </w:pPr>
      <w:r>
        <w:t>Vinyl acetate-vinyl chloride-ethylene terpoly w/ &lt; 50% deriv of vinyl acetate, exc polymer aromatic/mod arom monomers Ethylene-vinyl acetate copolymers, nesoi Ethylene-alpha-olefin copolymers, having a specific gravity of less than 0.94 Polymers of ethylene, nesoi, in primary forms, elastomeric Ethylene copolymers, in primary forms, other than elastomeric Polymers of ethylene, nesoi, in primary forms, other than elastomeric Polypropylene, in primary forms Polyisobutylene, elastomeric, in primary</w:t>
      </w:r>
    </w:p>
    <w:p>
      <w:pPr>
        <w:pStyle w:val="Normal"/>
      </w:pPr>
      <w:r>
        <w:t>forms Polyisobutylene, other than elastomeric, in primary forms Propylene copolymers, in primary forms Polymers of propylene or of other olefins, nesoi, in primary forms Polystyrene, expandable, in primary forms Polystyrene, other than expandable, in primary forms Styrene-acrylonitrile (SAN) copolymers, in primary forms Acrylonitrile-butadiene-styrene (ABS) copolymers, in primary forms Methyl methacrylate-butadiene-styrene (MBS) copolymers, in primary forms Polymers of styrene, nesoi, in primary forms Polyvinyl chloride, not mixed with any other substances, in primary forms Polyvinyl chloride, mixed with other substances, nonplasticized, in primary forms Polyvinyl chloride, mixed with other substances, plasticized, in primary forms Vinyl chloride copolymer: Vinyl acetate-vinyl chloride-ethylene terpoly w/&lt; 50% deriv vinyl acetate, exc polymer aromatic/mod arom monomers Vinyl chloride-vinyl acetate copolymers, nesoi Vinyl chloride copolymers nesoi, in primary forms Vinylidene chloride polymers, in primary forms Polytetrafluoroethylene (PTFE), in primary forms Fluoropolymers, elastomeric, other than polytetrafluoroethylene, in primary forms Fluoropolymers, other than elastomeric and other than polytetrafluoroethylene, in primary forms Polymers of vinyl chloride or of other halogenated olefins, nesoi, in primary forms, elastomeric, in primary forms Polymers of vinyl chloride or of other halogenated olefins, nesoi, in primary forms, other than elastomeric, in primary forms</w:t>
      </w:r>
    </w:p>
    <w:p>
      <w:pPr>
        <w:pStyle w:val="Normal"/>
      </w:pPr>
      <w:r>
        <w:t>Polyvinyl acetate, in aqueous dispersion Polyvinyl acetate, other than in aqueous dispersion, in primary forms Vinyl acetate copolymers, in aqueous dispersion Vinyl acetate copolymers, other than in aqueous dispersion, in primary forms Polyvinyl alcohols, whether or not containing unhydrolyzed acetate groups, in primary forms Copolymers of vinyl esters or other vinyls, in primary forms, containing by weight 50% or more of derivatives of vinyl acetate Copolymers of vinyl esters or other vinyls, in primary forms, nesoi Polyvinyl carbazole (including adjuvants) Polymers of vinyl esters or other vinyl polymers, in primary forms, nesoi Polymethyl methacrylate, in primary forms Acrylic polymers (except PMMA) in primary forms, elastomeric Acrylic plastics polymers (except PMMA), in primary forms, nonelastomeric Acrylic polymers (except plastics or elastomers), in primary forms, nesoi Polyacetals in primary forms Polyethers, other than polyacetals, in primary forms Epoxide resins in primary forms Polycarbonates in primary forms Alkyd resins in primary forms Having a viscosity number of 78 ml/g or higher Polyethylene terephthalate, nesoi Poly(lactic acid) Unsaturated allyl resins, uncompounded Unsaturated allyl resins,</w:t>
      </w:r>
    </w:p>
    <w:p>
      <w:pPr>
        <w:pStyle w:val="Normal"/>
      </w:pPr>
      <w:r>
        <w:t>nesoi Unsaturated polyesters, other than allyl resins in primary forms Thermoplastic liquid crystal aromatic polyester copolymers Other polyesters nesoi, saturated, in primary forms Polyamide-6, -11, -12, -6,6, -6,9, -6,10 or -6,12 in primary form</w:t>
      </w:r>
    </w:p>
    <w:p>
      <w:pPr>
        <w:pStyle w:val="Normal"/>
      </w:pPr>
      <w:r>
        <w:t>Bis(4-amino-3-methylcyclohexyl)methaneisophthalic acid-laurolactam copolymer Other polyamides in primary forms Urea resins; thiourea resins Melamine resins Poly(methylene phenyl isocyanate) (crude MDI, polymeric MDI) Amino-resins, nesoi Phenolic resins Polyurethanes, elastomeric, in primary forms Polyurethanes: cements, in primary forms Polyurethanes, other than elastomeric or cements, in primary forms Silicones in primary forms Petroleum resins, coumarone, indene, or coumarone-indene resins and polyterpenes, in primary forms Elastomeric polysulfides, polysulfones and other products specified in note 3 to chapter 39, nesoi, in primary forms Specified carbodiimide or homopolymer with polyethylene thermoplastic goods Thermoplastic polysulfides, polysulfones &amp; oth products spec in note 3, chapt 39, cont aromatic monomer units or derived therefrom Benzenamine; and hydrocarbon novolac cyanate ester Thermosetting polysulfides, polysulfones &amp; oth products spec in note 3, chapt 39, cont aromatic monomer units or derived therefrom Chlorinated synthetic rubber Polysulfides, polysulfones &amp; other products specified in note 3 to chapter 39, nesoi Cellulose acetates, nesoi, in primary forms, nonplasticized Cellulose acetates, nesoi, in primary forms, plasticized Cellulose nitrates (including collodions), in primary forms Carboxymethylcellulose and its salts Cellulose ethers, other than carboxymethylcellulose and its salts, in primary forms Cellulose and its chemical derivatives nesoi, in</w:t>
      </w:r>
    </w:p>
    <w:p>
      <w:pPr>
        <w:pStyle w:val="Normal"/>
      </w:pPr>
      <w:r>
        <w:t>primary forms Alginic acid, and its salts and esters, in primary forms Chemical derivatives of natural rubber, nesoi, in primary forms Polysaccharides and their derivatives, nesoi, in primary forms Natural polymers and modified natural polymers, nesoi, in primary forms Cross-linked polyvinylbenzyltrimethylammonium chloride (Cholestyramine resin USP) Ion-exchangers based on polymers of headings 3901 to 3913, in primary forms, nesoi Waste, parings and scraps, of polymers of ethylene Waste, parings and scrap, of polymers of styrene Waste, parings and scrap, of polymers of vinyl chloride Waste, parings and scrap, of plastics, nesoi Monofilament with cross-section dimension over 1 mm, rods, sticks, profile shapes, at most surface-worked, of polymers of ethylene Monofilament with cross-section dimension over 1 mm, rods, sticks, profile shapes, at most surface-worked, of polymers of vinyl chloride Monofilament with cross-section dimension over 1 mm, rods, sticks, profile shapes, at most surface-worked, of acrylic polymers Monofilament racket strings of plastics of which any cross-sectional dimension exceeds 1 mm Monafilament nesoi, of plastics, excluding ethylene, vinyl chloride and acrylic polymers Rods, sticks</w:t>
      </w:r>
    </w:p>
    <w:p>
      <w:pPr>
        <w:pStyle w:val="Normal"/>
      </w:pPr>
      <w:r>
        <w:t>and profile shapes, at most surface-worked, of plastics, nesoi Artificial guts (sausage casings) of cellulosic plastics materials Artificial guts (sausage casings) of collagen Artificial guts (sausage casings) of hardened protein, nesoi Tubes, pipes and hoses, rigid, of</w:t>
      </w:r>
    </w:p>
    <w:p>
      <w:pPr>
        <w:pStyle w:val="Normal"/>
      </w:pPr>
      <w:r>
        <w:t>polymers of ethylene Tubes, pipes and hoses, rigid, of polymers of propylene Tubes, pipes and hoses, rigid, of polymers of vinyl chloride Tubes, pipes and hoses, rigid, of other plastics nesoi Flexible plastic tubes, pipes and hoses, having a minimum burst pressure of 27.6 MPa Tubes, pipes and hoses, of plastics, other than rigid, not reinforced or otherwise combined with other materials, without fittings Flexible plastic tubes, pipes and hoses, nesoi, with fittings, not reinforced or otherwise combined with other materials Flexible plastic tubes, pipes and hoses, nesoi Fittings of plastics, for plastic tubes, pipes and hoses, nesoi Vinyl tile floor coverings Vinyl flooring, excluding vinyl tile Wall or ceiling coverings, with a backing of manmade fibers, greater than 70% by weight of PVC Wall or ceiling coverings, with a backing of manmade fibers, less than or equal to 70% by weight of PVC Wall or ceiling coverings of polymers of vinyl chloride with a backing of textile fibers other than of manmade fibers Wall or ceiling coverings of polymers</w:t>
      </w:r>
    </w:p>
    <w:p>
      <w:pPr>
        <w:pStyle w:val="Normal"/>
      </w:pPr>
      <w:r>
        <w:t>of vinyl chloride, without a backing of textile fibers Floor coverings of plastics, other than of polymers of vinyl chloride, nesoi Wall or ceiling coverings, with a backing of manmade fibers, of plastics other than polymers of vinyl chloride Wall or ceiling coverings of plastics other than of polymers of vinyl chloride with a backing of textile fibers other than of manmade fiber Wall or ceiling coverings of plastics other than vinyl</w:t>
      </w:r>
    </w:p>
    <w:p>
      <w:pPr>
        <w:pStyle w:val="Normal"/>
      </w:pPr>
      <w:r>
        <w:t>chloride, without a backing of textile fibers Self-adhesive plates, sheets, other flat shapes, of plastics, in rolls n/o 20 cm wide, light- reflecting surface produced by glass grains Self-adhesive plates, sheets, other flat shapes, of plastics, in rolls n/o 20 cm wide, not having a light-reflecting glass grain surface Self-adhesive plates, sheets, other flat shapes, of plastics, light-reflecting surface produced by glass grains, nesoi Self-adhesive plates, sheets, other flat shapes, of plastics, not having a light-reflecting surface produced by glass grains, nesoi Nonadhesive plates, sheets, film, foil and strip, noncellular, not reinforced or combined with other materials, of polymers of ethylene Nonadhesive plates, sheets, film, foil and strip, noncellular, not reinforced or combined with other materials, of polymers of propylene Nonadhesive plates, sheets, film, foil and strip, noncellular, not reinforced or combined with other materials, of polymers of styrene Nonadhesive plates/sheets/film/foil/strip made imitation of patent leather, of vinyl chloride polymers, not less 6% plasticizers Nonadhesive plate/sheet/film/foil/strip, noncellular, not comb w/other materials, of vinyl chloride polymers, not less 6% plasticizer, nesoi</w:t>
      </w:r>
    </w:p>
    <w:p>
      <w:pPr>
        <w:pStyle w:val="Normal"/>
      </w:pPr>
      <w:r>
        <w:t>Nonadhesive plates, sheets, film, foil, strip, noncellular, not combined w/other materials, of polymers of vinyl chloride, &lt; 6% plasticizers Nonadhesive plates, sheets, film, foil and strip, noncellular, not combined with other materials, of</w:t>
      </w:r>
    </w:p>
    <w:p>
      <w:pPr>
        <w:pStyle w:val="Normal"/>
      </w:pPr>
      <w:r>
        <w:t>polymethyl methacrylate, flexible Nonadhesive plates, sheets, film, foil and strip, noncellular, not combined with other materials, of polymethyl methacrylate, not flexible Nonadhesive plates, sheets, film, foil and strip, noncellular, not combined with other materials, of acrylic polymers, flexible, nesoi Transparent sheeting containing 30% or more by weight of lead Plates, sheets, film, etc, noncellular, not reinforced, laminated, combined, of other acrylic polymers, nesoi Nonadhesive plates, sheets, film, foil and strip, noncellular, not combined with other materials, of polycarbonates Nonadhesive plates, sheets, film, foil and strip, noncellular, not combined with other materials, of polyethylene terephthalate Nonadhesive plates, sheets, film, foil and strip, noncellular, not combined with other materials, of unsaturated polyesters, flexible Nonadhesive plates, sheets, film, foil and strip, noncellular, not combined with other materials, of unsaturated polyesters, not flexible Nonadhesive plates, sheets, film, foil and strip, noncellular, not combined with other materials, of polyesters, nesoi Nonadhesive plates, sheets, film, foil and strip, noncellular, not combined with other materials, of regenerated cellulose Nonadhesive plates, sheets, film, foil and strip, noncellular, not combined with other materials, of cellulose acetate Nonadhesive plates, sheets, film, foil and strip, noncellular, not combined with other materials, of vulcanized fiber Nonadhesive films,</w:t>
      </w:r>
    </w:p>
    <w:p>
      <w:pPr>
        <w:pStyle w:val="Normal"/>
      </w:pPr>
      <w:r>
        <w:t>strips, sheets, noncellular, not combined with other materials, of other cellulose derivatives nesoi, n/o 0.076 mm thick Nonadhesive plates, sheets, film, foil and strip, noncellular, not combined with other materials, of cellulose derivatives, nesoi Nonadhesive plates, sheets, film, foil and strip, noncellular, not combined with other materials, of polyvinyl butyral Nonadhesive plates, sheets, film, foil and strip, noncellular, not combined with other materials, of polyamides Nonadhesive plates, sheets, film, foil and strip, noncellular, not combined with other materials, of amino-resins Nonadhesive plates, sheets, film, foil and strip, noncellular, not combined with other materials, of phenolic resins Nonadhesive film, noncellular, not combined with other materials, of plastics nesoi, flexible, over 0.152mm thick, not in rolls Nonadhesive film, strips and sheets, noncellular, not combined with other materials, of plastics nesoi, flexible Nonadhesive plates, sheets, film, foil and strip, noncellular, not combined with other materials, of plastics, nesoi Nonadhesive plates, sheets, film, foil and strip, cellular, of polymers of styrene Nonadhesive plates, sheets, film, foil, strip, cellular, of polymers of vinyl chloride, with</w:t>
      </w:r>
    </w:p>
    <w:p>
      <w:pPr>
        <w:pStyle w:val="Normal"/>
      </w:pPr>
      <w:r>
        <w:t>man-made textile fibers, over 70% plastics Nonadhesive plates, sheets, film, foil, strip, cellular, of polymers of vinyl chloride, with man-made textile fibers, n/o 70% plastics Nonadhesive plates, sheets, film, foil and strip, cellular, of polymers of</w:t>
      </w:r>
    </w:p>
    <w:p>
      <w:pPr>
        <w:pStyle w:val="Normal"/>
      </w:pPr>
      <w:r>
        <w:t>vinyl chloride, combined with textile materials, nesoi Nonadhesive plates, sheets, film, foil and strip, cellular, of polymers of vinyl chloride, not combined with textile materials Nonadhesive plates, sheets, film, foil and strip, cellular, of polyurethanes, with man- made textile fibers, over 70% plastics Nonadhesive plates, sheets, film, foil and strip, cellular, of polyurethanes, with man- made textile fibers, not over 70 percent plastics Nonadhesive plates, sheets, film, foil and strip, cellular, of polyurethanes, combined with textile materials nesoi Nonadhesive plates, sheets, film, foil and strip, cellular,of polyurethanes, not combined with textile materials, nesoi Nonadhesive plates, sheets, film, foil and strip, cellular, of regenerated cellulose Nonadhesive plates, sheets, film, foil and strip, cellular, of plastics nesoi Nonadhesive plates, sheets, film, foil, strip, of noncellular plastics combined with man- made fibers, n/o 1.492 kg/sq m, over 70% plastics Nonadhesive plates, sheets, film, foil, strip, of noncellular plastics combined with man- made fibers, n/o 1.492 kg/sq m, n/o 70% plastics Nonadhesive plates, sheets, film, foil and strip, of noncellular plastics combined with textile</w:t>
      </w:r>
    </w:p>
    <w:p>
      <w:pPr>
        <w:pStyle w:val="Normal"/>
      </w:pPr>
      <w:r>
        <w:t>materials, nesoi, not over 1.492 kg/sq m Nonadhesive plates, sheets, film, foil and strip, of noncellular plastics combined with cotton, over 1.492 kg/sq m Nonadhesive plates, sheets, film, foil and strip, of noncellular plastics combined with man-made fibers, over 1.492 kg/sq</w:t>
      </w:r>
    </w:p>
    <w:p>
      <w:pPr>
        <w:pStyle w:val="Normal"/>
      </w:pPr>
      <w:r>
        <w:t>m Nonadhesive plates, sheets, film, foil and strip, of noncellular plastics combined with textile materials, nesoi, over 1.492 kg/sq m Nonadhesive plates, sheets, film, foil and strip, flexible, nesoi, of noncellular plastics Nonadhesive plates, sheets, film, foil and strip, nonflexible, nesoi, of noncellular plastics Baths, shower baths and washbasins, of plastics Lavatory seats and covers, of plastics Bidets, lavatory pans, flushing cisterns and similar sanitary ware nesoi, of plastics Boxes and similar articles for the conveyance or packing of semiconductor wafers, masks or reticules of subheadings 3923.10 or</w:t>
      </w:r>
    </w:p>
    <w:p>
      <w:pPr>
        <w:pStyle w:val="Normal"/>
      </w:pPr>
      <w:r>
        <w:t>8485.90 Other boxes, cases, crates and similar articles for the conveyance or packing of goods, of plastics Sacks and bags (including cones) for the conveyance or packing of goods, of polymers of ethylene Sacks and bags (including cones) for the conveyance or packing of goods, of plastics other than polymers of ethylene Carboys, bottles, flasks and similar articles for the conveyance or packing of goods, of plastics Spools, cops, bobbins and similar supports, of plastics Stoppers, lids, caps and other closures, of plastics Articles nesoi, for the conveyance or packing of goods, of plastics Salt, pepper, mustard and ketchup dispensers and similar dispensers, of plastics Plates, cups, saucers, soup bowls, cereal bowls, sugar bowls, creamers, gravy boats, serving dishes and platters, of plastics Trays, of plastics Tableware and kitchenware articles, nesoi, of plastics</w:t>
      </w:r>
    </w:p>
    <w:p>
      <w:pPr>
        <w:pStyle w:val="Normal"/>
      </w:pPr>
      <w:r>
        <w:t>Nursing nipples and finger cots Curtains and drapes, incl.</w:t>
      </w:r>
    </w:p>
    <w:p>
      <w:pPr>
        <w:pStyle w:val="Normal"/>
      </w:pPr>
      <w:r>
        <w:t>panels and valances, napkins, table covers, mats, scarves, runners, doilies, and like furnishings, of plastics Picture frames of plastics Household articles and toilet articles, nesoi, of plastics Reservoirs, tanks, vats and similar containers, of a capacity exceeding 300 liters, of plastics Doors, windows, and their frames and thresholds for doors, of plastics Blinds (including venetian blinds), of plastics Shutters and similar articles and parts thereof, nesoi, of plastics Builders’ ware of plastics, nesoi Office or school supplies, of plastics Gloves, seamless, of plastics Baseball and softball gloves and mitts, of plastics Gloves specially designed for use in sports, nesoi, of plastics Gloves, nesoi, of plastics Plastic rainwear, incl jackets, coats, ponchos, parkas &amp; slickers, w/ outer shell PVC and w/wo attached hoods, val not over $10 per unit Articles of apparel &amp; clothing accessories, of plastic, nesoi Handles and knobs for furniture, coachwork or the like, of plastics Fittings for furniture, coachwork or the like, other than handles and knobs, of plastics Statuettes and other ornamental articles, of plastics Buckets</w:t>
      </w:r>
    </w:p>
    <w:p>
      <w:pPr>
        <w:pStyle w:val="Normal"/>
      </w:pPr>
      <w:r>
        <w:t>and pails, of plastics, nesoi Pacifiers Specified sanitary, invalid and nursing products, and fittings therefor, of plastics Handles and knobs, not used as fittings for furniture, coachwork or the like, of plastics Parts for yachts or pleasure boats of heading 8903 and watercraft not used with</w:t>
      </w:r>
    </w:p>
    <w:p>
      <w:pPr>
        <w:pStyle w:val="Normal"/>
      </w:pPr>
      <w:r>
        <w:t>motors or sails, of plastics Handbags made of beads, bugles and spangles, of plastics Beads, bugles and spangles, not strung or set; articles thereof, nesoi, of plastics Imitation gemstones, of plastics Gaskets, washers and other seals, of plastics Photo albums Frames or mounts for photographic slides, of plastics V-belts of plastics, containing textile fibers Belting and belts (except V-belts) for machinery, of plastics, containing predominately vegetable fibers Belting and belts (except V-belts) for machinery, of plastics, containing predominately man-made fibers Belting and belts (except V-belts) for machinery, of plastics, containing textile fibers nesoi Belting and belts (except V-belts) for machinery, of plastics, not containing textile fibers Clothespins, spring type, of plastics Clothespins, other than spring type, of plastics Pneumatic mattresses and other inflatable articles, nesoi, of plastics Waterbed mattresses and liners and parts of the foregoing, of plastics Empty cartridges and cassettes for typewriter and machine ribbons, of plastics Fasteners, in clips suitable for use in a mechanical attaching device, of plastics Flexible document binders with tabs, rolled or flat, of plastics Cards, not punched, suit.</w:t>
      </w:r>
    </w:p>
    <w:p>
      <w:pPr>
        <w:pStyle w:val="Normal"/>
      </w:pPr>
      <w:r>
        <w:t>for jacquard cards; jacquard cards &amp; jacquard heads for power-driven weaving mach, etc;&amp; trans sheet plast 30%lead Casing for bicycle derailleur cable;and casing for cable or inner wire for caliper and cantilever bake,whether or not cut length;</w:t>
      </w:r>
    </w:p>
    <w:p>
      <w:pPr>
        <w:pStyle w:val="Normal"/>
      </w:pPr>
      <w:r>
        <w:t>of plastic Other articles of plastic, nesoi Natural rubber latex, whether or not prevulcanized Natural rubber smoked sheets Technically specified natural rubber (TSNR), in primary forms Natural rubber in primary forms other than latex, smoked sheets or technically specified natural rubber (TSNR) Balata, gutta-percha, guayule, chicle and similar natural rubber gums, in primary forms Styrene-butadiene rubber (SBR) or carboxylated styrene-butadiene rubber (XSBR), latex, in primary forms or in plates, sheets or strip Styrene-butadiene rubber (SBR), carboxylated styrene-butadiene rubber (XSBR), except latex, in primary forms or in plates, sheets or strip Butadiene rubber (BR), in primary forms or in plates, sheets or strip Isobutene-isoprene (butyl) rubber (IIR), in primary forms or in plates, sheets or strip Halo-isobutene-isoprene rubber (CIIR or BIIR), in primary forms or in plates, sheets or strip Chloroprene (chlorobutadiene) rubber (CR), latex, in primary forms or in plates, sheets or strip Chloroprene (chlorobutadiene) rubber (CR), other than latex, in primary forms or in plates, sheets or strip Acrylonitrile-butadiene rubber (NBR), latex, in primary forms or in plates, sheets or strip Acrylonitrile-butadiene rubber (NBR), other</w:t>
      </w:r>
    </w:p>
    <w:p>
      <w:pPr>
        <w:pStyle w:val="Normal"/>
      </w:pPr>
      <w:r>
        <w:t>than latex, in primary forms or in plates, sheets or strip Isoprene rubber (IR), in primary forms or in plates, sheets or strip Ethylene-propylene-nonconjugated diene rubber (EPDM), in primary forms or in plates, sheets or strip Mixtures of natural rubber gums with synthetic rubber, in primary forms or in plates, sheets or strip Synthetic rubber and factice derived from oils, in latex form, in primary forms or in plates, sheets or strip, nesoi Synthetic rubber and factice derived from oils, in primary forms or in plates, sheets or strip, nesoi Reclaimed rubber in primary forms or in plates, sheets or strip Waste, parings and scrap of rubber (other than hard rubber) and powders and granules obtained therefrom Rubber, unvulcanized, compounded with carbon black or silica, in primary forms or in plates, sheets or strip Solutions and dispersions of rubber, unvulcanized, compounded with other than carbon black or silica Compounded rubber, unvulcanized, in plates, sheets and strip Compounded rubber, unvulcanized, in primary forms, nesoi “Camel-back” strips of unvulcanized rubber, for retreading</w:t>
      </w:r>
    </w:p>
    <w:p>
      <w:pPr>
        <w:pStyle w:val="Normal"/>
      </w:pPr>
      <w:r>
        <w:t>rubber tires Rods, tubes, profile shapes, discs, rings, and similar articles, of natural, unvulcanized rubber Rods, tubes, profile shapes, discs, rings, and similar articles, of synthetic unvulcanized rubber Vulcanized rubber thread and cord Plates, sheets and strip of vulcanized natural cellular rubber, other than hard rubber Plates, sheets and strip of vulcanized synthetic cellular rubber,</w:t>
      </w:r>
    </w:p>
    <w:p>
      <w:pPr>
        <w:pStyle w:val="Normal"/>
      </w:pPr>
      <w:r>
        <w:t>other than hard rubber Rods and profile shapes of vulcanized natural cellular rubber, other than hard rubber Vulcanized natural cellular rubber, other than hard rubber, other than rods and profile shapes,nesi Rods and profile shapes of vulcanized, synthetic cellular rubber, other than hard rubber Vulcanized, synthetic cellular rubber, other than hard rubber, other than rods and profile shapes Plates, sheets and strip of vulcanized, noncellular rubber, other than hard rubber Rods and profile shapes of vulcanized, noncellular rubber, other than hard rubber Vulcanized, noncellular rubber, other than hard rubber, other than rods and profile shapes, nesoi Tubes, pipes and hoses of vulcanized rubber other than hard rubber, not reinforced or combined w/other materials, without fittings Tubes, pipes and hoses of vulcanized rubber other than hard rubber, not reinforced or combined w/other materials, with fittings Tubes, pipes and hoses of vulcanized rubber other than hard rubber, reinforced or combined only with metal, without fittings Tubes, pipes and hoses of vulcanized rubber other than hard rubber, reinforced or combined only with metal,</w:t>
      </w:r>
    </w:p>
    <w:p>
      <w:pPr>
        <w:pStyle w:val="Normal"/>
      </w:pPr>
      <w:r>
        <w:t>with fittings Tubes, pipes and hoses of vulcanized rubber other than hard rubber, reinforced or combined only with textile materials, without fittings Tubes, pipes and hoses of vulcanized rubber other than hard rubber, reinforced or combined only with textile materials, with fittings Tubes, pipes and hoses of vulcanized rubber other than hard</w:t>
      </w:r>
    </w:p>
    <w:p>
      <w:pPr>
        <w:pStyle w:val="Normal"/>
      </w:pPr>
      <w:r>
        <w:t>rubber, reinforced or combined with other materials nesoi, without fittings Tubes, pipes and hoses of vulcanized rubber other than hard rubber, reinforced or combined with other materials nesoi, with fittings Conveyor belts or belting of vulcanized rubber reinforced only with metal Conveyor belts or belting of vulcanized rubber reinforced only with textile materials, in which vegetable fibers predominate ov other fibers Conveyor belts/belting of vulcanized rubber reinforced w/textile material, mostly man- made fiber, width exceeds 20 cm Conveyor belts/belting of vulcanized rubber reinforced only w/textile material, mostly man-made fiber, width not over 20 cm Conveyor belts or belting of vulcanized rubber reinforced only with textile materials, nesoi Conveyor belts or belting of vulcanized rubber, nesoi, combined with textile materials in which vegetable fibers predominate ov other fibers Conveyor belts/belting of vulcanized rubber, nesoi, combined w/textile components in which man-made fibers predominate, width exceed 20 cm Conveyor belts/belting of vulcanized rubber, nesoi, combined w/textile components in which man-made fibers predominate, width under 20 cm Conveyor belts/belting of vulcanized rubber, nesoi, combined</w:t>
      </w:r>
    </w:p>
    <w:p>
      <w:pPr>
        <w:pStyle w:val="Normal"/>
      </w:pPr>
      <w:r>
        <w:t>with textile materials nesoi Conveyor belts/belting of vulcanized rubber, nesoi Transmission V-belts of vulcanized rubber, V-ribbed, circumference exceed 60 cm but not exceed 180 cm, combined with textile materials Transmission V-belt of vulcanized rubber,</w:t>
      </w:r>
    </w:p>
    <w:p>
      <w:pPr>
        <w:pStyle w:val="Normal"/>
      </w:pPr>
      <w:r>
        <w:t>V-ribbed, circumference exceed 60 cm but not exceed 180 cm, other than combined w/textile material Transmission V-belts of vulcanized rubber, not V-ribbed, circumference exceed 60 cm but not exceed 180 cm, combined with textile materials Transmission V-belt of vulcanized rubber, not V-ribbed, circumference exceed 60 cm not exceed 180 cm, other than combined w/textile material Transmission V-belts of vulcanized rubber, V-ribbed, circumference exceed 180 cm but not exceed 240 cm, combined with textile materials Transmission V-belt of vulcanized rubber, V-ribbed, circumference exceed 180 cm not exceed 240 cm, other than combined w/textile material Transmission V-belts of vulcanized rubber, not V-ribbed, circumference exceed 180 cm but not exceed 240 cm, combined with textile materials Transmission V-belt of vulcanized rubber, not V-ribbed, circumference exceed 180 cm not exceed 240 cm,other than combined w/textile material Endless synchronous transmission belt of vulcan. rubber, circum. 60-150 cm, combined w/textile mat. w/vegetable fiber more than other fibers Endless synchronous transmission belt of vulcan. rubber, circum. 60-150 cm, combine w/textile mat.;manmade fiber predominant; width ov 20 cm Endless synchronous transmission belt of vulcan. rubber, circum. 60-150 cm, combine w/text.</w:t>
      </w:r>
    </w:p>
    <w:p>
      <w:pPr>
        <w:pStyle w:val="Normal"/>
      </w:pPr>
      <w:r>
        <w:t>mat.;manmade fiber predominant; width n/o 20 cm Endless synchronous transmission belt of vulcanized rubber, circumference 60 to 150 cm, combined with textile materials nesoi Endless synchronous transmission belt of vulcanized rubber, circumference 60 to 150 cm, other than combined with textile materials Endless synchronous transmission belt of vulcan. rubber, circum. 150-198 cm, combined w/textile with vegetable fiber predom over other fiber Endless synchronous transmission belt of vulcan. rubber, circum. 150-198cm, combined w/manmade fiber exceeding other fibers, width ov 20 cm Endless synchronous transmission belt of vulcan. rubber, circum. 150-198cm, combined w/manmade fiber exceeding other fiber, width n/o 20 cm Endless synchronous transmission belts of vulcanized rubber, circumference 150 to 198 cm, combined with textile materials nesoi Endless synchronous transmission belts of vulcanized rubber, circumference 150 to 198 cm, other than combined with textile materials Transmission V-belts and V-belting of vulcanized rubber, nesoi, combined with textile materials Transmission V-belts and V-belting of vulcanized rubber, nesoi, other than combined with textile materials Transmission belts or belting of vulcanized rubber, nesoi, combined with textile materials in which vegetable fiber predominate other fibers Transmission belts or belting of vulcanized rubber, nesoi, combined w.</w:t>
      </w:r>
    </w:p>
    <w:p>
      <w:pPr>
        <w:pStyle w:val="Normal"/>
      </w:pPr>
      <w:r>
        <w:t>textile materials with man-made fibers predominant, width over 20 cm Transmission belts or belting of vulcanized rubber, nesoi, combined w.</w:t>
      </w:r>
    </w:p>
    <w:p>
      <w:pPr>
        <w:pStyle w:val="Normal"/>
      </w:pPr>
      <w:r>
        <w:t>textile materials with man-made fibers predominant, width n/o 20 cm Transmission belts or belting of vulcanized rubber, nesoi, combined with textile materials nesoi Transmission belts or belting of vulcanized rubber, nesoi, other than combined with textile materials New pneumatic radial tires, of rubber, of a kind used on motor cars (including station wagons and racing cars) New pneumatic tires excluding radials, of rubber, of a kind used on motor cars (including station wagons and racing cars) New pneumatic radial tires, of rubber, of a kind used on buses or trucks New pneumatic tires excluding radials, of rubber, of a kind used on buses or trucks New pneumatic tires, of rubber, of a kind used on aircraft New pneumatic tires, of rubber, of a kind used on motorcycles New pneumatic tires, of rubber, of a kind used on bicycles New pneumatic tires of a kind used on agricultural or forestry vehicles and machines New pneumatic tires of a kind used on construction, mining or industrial handling vehicles and machines having a</w:t>
      </w:r>
    </w:p>
    <w:p>
      <w:pPr>
        <w:pStyle w:val="Normal"/>
      </w:pPr>
      <w:r>
        <w:t>herring-bone or similar tread New pneumatic tires of a kind used on construction, mining or industrial handling vehicles and machines having a radial tread New pneumatic tires of a kind used on construction, mining or industrial handling vehicles and machines, other New pneumatic tires, of a kind nesoi, have a</w:t>
      </w:r>
    </w:p>
    <w:p>
      <w:pPr>
        <w:pStyle w:val="Normal"/>
      </w:pPr>
      <w:r>
        <w:t>herring-bone or similar tread New pneumatic tires, of a kind nesoi, have a radial tread New pneumatic tires, nesoi Retreaded radial pnuematic tires, of rubber, of a kind used on motor cars (including station wagons and racing cars) Retreaded pnuematic tires (nonradials), of rubber, of a kind used on motor cars (including station wagons and racing cars) Retreaded pnuematic radial tires, of rubber, of a kind used on buses or trucks Retreaded pnuematic tires (nonradials), of rubber, of a kind used on buses or trucks Retreaded pneumatic tires, of rubber, of a kind used on aircraft Retreaded pneumatic tires, of rubber, designed for certain agricultural or horticultural machinery Retreaded pnuematic radial tires, of rubber, not elsewhere specified or included Retreaded pnuematic tires (nonradials), of rubber, not elsewhere specified or included Used pneumatic tires of rubber, for aircraft Used pneumatic tires of rubber, designed for certain agricultural or horticultural machinery,for on-highway trasnport of passengers or goods Used pneumatic tires of rubber, designed for certain agricultural or horticultural machinery, nesoi Used pneumatic</w:t>
      </w:r>
    </w:p>
    <w:p>
      <w:pPr>
        <w:pStyle w:val="Normal"/>
      </w:pPr>
      <w:r>
        <w:t>tires, of rubber, for vehicles for on-highway transport of passengers or goods nesoi, or vehicles of heading 8705 Used pneumatic tires, of rubber for machinery, nesoi Solid or cushion tires of rubber Bicycle rim strips of natural rubber Interchangeable tire treads and tire flaps, of natural rubber, nesoi Bicycle rim strips of rubber other than</w:t>
      </w:r>
    </w:p>
    <w:p>
      <w:pPr>
        <w:pStyle w:val="Normal"/>
      </w:pPr>
      <w:r>
        <w:t>of natural rubber Interchangeable tire treads and tire flaps, of rubber other than natural rubber, except bicycle rim strips, nesoi Inner tubes of rubber, of a kind used on motor cars (including station wagons and racing cars), buses or trucks Inner tubes of rubber, of a kind used on bicycles Inner tubes of rubber designed for tires used on certain agricultural or horticultural machinery Inner tubes of rubber for vehicles nesoi Sheath contraceptives of vulcanized rubber Nursing nipples of vulcanized rubber Hygienic or pharmaceutical articles nesoi, of vulcanized rubber other than hard rubber, with or without fittings of hard rubber Surgical gloves of vulcanized rubber other than hard rubber Medical gloves of vulcanized rubber other than hard rubber Seamless gloves of vulcanized rubber other than hard rubber, other than surgical or medical gloves Nonseamless gloves of vulcanized rubber other than hard rubber, other than surgical or medical gloves Articles of apparel and clothing accessories, excluding gloves, of vulcanized rubber other than hard rubber Articles of vulcanized cellular rubber other than</w:t>
      </w:r>
    </w:p>
    <w:p>
      <w:pPr>
        <w:pStyle w:val="Normal"/>
      </w:pPr>
      <w:r>
        <w:t>hard rubber Floor covering and mats, of noncellular vulcanized rubber other than hard rubber Erasers, of noncellular vulcanized rubber other than hard rubber Gaskets, washers and other seals, of noncellular vulcanized rubber other than hard rubber, for use in automotive goods in C87 Gaskets, washers and other seals, of noncellular vulcanized rubber other than hard rubber, not</w:t>
      </w:r>
    </w:p>
    <w:p>
      <w:pPr>
        <w:pStyle w:val="Normal"/>
      </w:pPr>
      <w:r>
        <w:t>for use in automotive goods in C87 Boat or dock fenders, whether or not inflatable, of noncellular vulcanized rubber other than hard rubber Inflatable articles nesoi, of noncellular vulcanized rubber other than hard rubber Containers of noncellular vulcanized rubber, other than hard rubber, of a kind for packing, transport or marketing of merchandise Household articles nesoi, of noncellular vulcanized rubber other than hard rubber Handles and knobs, of noncellular vulcanized rubber other than hard rubber Caps, lids, seals, stoppers and other closures, of noncellular vulcanized rubber other than hard rubber Toys for pets made of noncellular vulcanized rubber other than hard rubber Articles made of noncellular vulcanized natural rubber, used as vibration control goods in vehicles of 8701 through 8705 Articles made of noncellular vulcanized natural rubber, not used as vibration control goods in vehicles of 8701 through 8705 nesoi Articles nesoi, of noncellular vulcanized synthetic rubber other than hard rubber, used as vibration control goods in veh 8701/8705 Articles of noncellular vulcanized synthetic rubber other than hard rubber Hard rubber (for example, ebonite) in all forms, including waste and scrap;</w:t>
      </w:r>
    </w:p>
    <w:p>
      <w:pPr>
        <w:pStyle w:val="Normal"/>
      </w:pPr>
      <w:r>
        <w:t>articles of hard rubber Whole raw hide/skin of bovine/equines (n/o 8 kg when dried, 10 kg when dry salted or 16 kg when fresh/otherwise preserved), not pretanned Whole bovine hides/skin upper/lining (n/o 8 kg when dried, 10 kg when dry salted or 16 kg when fresh/otherwise</w:t>
      </w:r>
    </w:p>
    <w:p>
      <w:pPr>
        <w:pStyle w:val="Normal"/>
      </w:pPr>
      <w:r>
        <w:t>preserved), n/o 2.6 m2, nesoi Whole bovine hides/skin nesoi (n/o 8 kg when dried, 10 kg when dry salted or 16 kg when fresh/otherwise preserved), n/o 2.6 m2, nesoi Whole raw buffalo hides/skins (n/o 8 kg when dried, 10 kg when dry salted or 16 kg when fresh/otherwise preserved), over 2.6 m2, nesoi Whole bovine hides/skins (not buffalo) (n/o 8 kg dried, 10 kg dry salted or 16 kg fresh/otherwise preserved), ov 2.6 m2, vegetable pretanned Whole bovine hide/skin (not buffalo) (n/o 8 kg dried, 10 kg dry salted or 16 kg fresh/otherwise preserved), ov 2.6 m2, not vegetable pretann Whole equine hides and skins (n/o 8 kg when dried, 10 kg when dry salted or 16 kg when fresh/otherwise preserved), other than not pretanned Whole raw hides and skins of bovine or equine animals, of a weight exceeding 16 kg, not pretanned Whole raw bovine hides and skins upper/lining, of a weight over 16 kg, unit surface area n/o 2.6 m2, pretanned but not further prepared Whole raw bovine</w:t>
      </w:r>
    </w:p>
    <w:p>
      <w:pPr>
        <w:pStyle w:val="Normal"/>
      </w:pPr>
      <w:r>
        <w:t>hides and skins, of a weight over 16 kg, unit surface area n/o 2.6 sq m, pretanned but not further prepared Whole raw buffalo hidess and skins, of a weight over 16 kg, surface area over 2.6 sq m, pretanned but not further prepared, Whole raw bovine hides and skins (not buffalo), weight over 16 kg, surface area over 2.6 m2, vegetable pretanned but not further prepared Whole raw bovine hides/skins (not buffalo), weight over 16 kg, surface area over 2.6 m2, pretanned (not vegetable) but not further prepared Whole raw equine</w:t>
      </w:r>
    </w:p>
    <w:p>
      <w:pPr>
        <w:pStyle w:val="Normal"/>
      </w:pPr>
      <w:r>
        <w:t>hides and skins, of a weight exceeding 16 kg, pretanned but not further prepared Raw hides and skins (other than whole) of bovine or equine animals, not pretanned Raw buffalo hides and skins (other than whole), pretanned but not further prepared Raw bovine hides and skins (other than whole), vegetable pretanned but not further prepared Raw bovine hides and skins (other than whole), pretanned (other than vegetable pretanned) but not further prepared Raw equine hides and skins (other than whole), pretanned but further prepared Raw skins of sheep or lambs (not excluded by note 1(c) to chapter 41), with wool on, not pretanned Raw skins of sheep or lamb (not excluded by note 1(c) to chapter 41), with wool on, vegetable pretanned but not further prepared Raw skins of sheep or lamb (not excluded by note 1(c) to chapter 41), with wool on, pretanned other than vegetable but not further prepared Raw skins of sheep or lambs, without wool on, pickled, other than those excluded by note 1(c) to chapter</w:t>
      </w:r>
    </w:p>
    <w:p>
      <w:pPr>
        <w:pStyle w:val="Normal"/>
      </w:pPr>
      <w:r>
        <w:t>41 Raw skins of sheep or lamb (not excluded by note 1(c) to chapter 41), without wool on, not pretanned Raw sheep or lamb skins (not excluded by note 1(c) to chapter 41), without wool on, vegetable pretanned but not further prepared Raw sheep or lamb skins (not excluded by note 1(c) to chapter 41), without wool on, pretanned other than vegetable but not further prepared Raw hides and skins of reptiles, not pretanned Raw hides and skins of reptiles, vegetable pretanned but not further</w:t>
      </w:r>
    </w:p>
    <w:p>
      <w:pPr>
        <w:pStyle w:val="Normal"/>
      </w:pPr>
      <w:r>
        <w:t>prepared Raw hides and skins of reptiles, pretanned other than vegetable pretanned but not further prepared Raw hides and skins of swine, not pretanned Raw hides and skins of swine, pretanned but not further prepared Raw hides and skins of deer, goats, kids and animals nesoi (other than those excluded by note 1(b) or 1(c) to chapter 41), not pretanned Raw hides and skins of goats or kids (not excluded by note 1(c) to chapter 41), vegetable pretanned but not further prepared Raw hides and skins of goat or kid (not excluded by note 1(c) to chapter 41), pretanned (other than vegetable) but not prepared Raw hides and skins of animals nesoi (other than those excluded by note 1(b) or 1(c) to chapter 41), pretanned but not further prepared Tanned whole bovine skin and hide upper/lining leather, w/o hair on, unit surface area n/o 2.6 sq m, in the wet state Tanned whole bovine skin and hide leather (not upper/lining), w/o hair on, unit surface area n/o 2.6 sq m,</w:t>
      </w:r>
    </w:p>
    <w:p>
      <w:pPr>
        <w:pStyle w:val="Normal"/>
      </w:pPr>
      <w:r>
        <w:t>in the wet state Full grain unsplit or grain split buffalo hide or skin, w/o hair on, tanned but not further prepared, surface ov 2.6 m2, in the wet state Full grain unsplit/grain split bovine nesoi and equine upper &amp; sole hides/skins, w/o hair, tanned but not further prepared, in the wet state Full grain unsplit/grain split bovine (except buffalo) nesoi and equine hides/skins, w/o hair, tanned not further prepared, in the wet state Whole bovine skin upper or lining leather, w/o hair on, unit surface n/o 2.6 sq m, tanned but</w:t>
      </w:r>
    </w:p>
    <w:p>
      <w:pPr>
        <w:pStyle w:val="Normal"/>
      </w:pPr>
      <w:r>
        <w:t>not further prepared, in the wet state Whole bovine skin leather (not upper or lining), w/o hair on, surface n/o 2.6 sq m, tanned but not further prepared, in the wet state Buffalo hides and skins nesoi, w/o hair on, unit surface area ov 2.6 m2, tanned but not further prepared, in the wet state Upper and sole bovine (except buffalo) and equine hides and skins, nesoi, w/o hair, tanned but not further prepared, in the wet state Bovine (except buffalo) and equine hides and skins (not upper/sole) nesoi, w/o hair, tanned but not further prepared, in the wet state Crust whole bovine hide and skin upper or lining leather, w/o hair on, unit surface n/o 2.6 sq m, tanned but not further prepared Crust whole bovine hide and skin leather (not upper or lining), w/o hair on, surface n/o 2.6 sq m, tanned but not further prepared Crust full grain unsplit or grain split buffalo hides and skins, surface area over 2.6 m2, without hair on, tanned but not further prepared Crust full grain unsplit/grain split bovine (ex.</w:t>
      </w:r>
    </w:p>
    <w:p>
      <w:pPr>
        <w:pStyle w:val="Normal"/>
      </w:pPr>
      <w:r>
        <w:t>buffalo) nesoi/equine hides/skins upper/sole leather, w/o hair, tanned not further prepared Crust full grain unsplit/grain split bovine (except buffalo) nesoi and equine hides and skins, nesoi, w/o hair, tanned not further prepared Crust whole bovine hide and skin upper or lining leather, w/o hair on, unit surface n/o 2.6 sq m, tanned but not further prepared, nesoi Crust whole bovine hide and skin (not upper or lining leather), w/o hair on, surface n/o 2.6 sq m, tanned but not further prepared, nesoi Crust buffalo hides and skins nesoi, without hair on, surface area over 2.6 m2, tanned but not further prepared Crust upper and sole equine and bovine (except buffalo) nesoi hides and skins, nesoi, w/o hair, tanned but not further prepared Crust bovine (except buffalo) nesoi and equine hides and skins, nesoi, w/o hair, tanned but not further prepared Sheep or lamb skins, without wool on, tanned but not further prepared, wet blue Sheep or lamb skins, without wool on, tanned but not further prepared, in the wet state</w:t>
      </w:r>
    </w:p>
    <w:p>
      <w:pPr>
        <w:pStyle w:val="Normal"/>
      </w:pPr>
      <w:r>
        <w:t>other than wet blue Sheep or lamb skins, without wool on, tanned but not further prepared, in the dry state (crust) Hides and skins of goats or kids, without hair on, tanned but not further prepared, wet blue Hides and skins of goats or kids, without hair on, tanned but not further prepared, in the wet state other than wet blue Hides and skins of goats or kids, without hair on, tanned but not further prepared, in the dry state (crust) Hides and skins of swine,</w:t>
      </w:r>
    </w:p>
    <w:p>
      <w:pPr>
        <w:pStyle w:val="Normal"/>
      </w:pPr>
      <w:r>
        <w:t>without hair on, tanned but not further prepared, wet blue Hides and skins of swine, without hair on, tanned but not further prepared, in the wet state other than wet blue Hides and skins of swine, without hair on, tanned but not further prepared, in the dry state (crust) Tanned or cust hides and skins of reptiles, whether or not split, but not further prepared Hides and skins of animals nesoi, without hair on, tanned but not further prepared, in the wet state (including wet-blue) Hides and skins of animals nesoi, without hair on, tanned but not further prepared, in the dry state (crust) Full grain unsplit whole bovine upper or lining leather, w/o hair on, surface n/o 2.6 m2, prepared after tanning or crusting, not head 4114 Full grain unsplit whole bovine leather (not upper/lining), w/o hair on, not fancy, n/o 2.6 m2,prepared after tanning or crust,not head 4114 Full grain unsplit whole bovine leather (not upper/lining), w/o hair on, fancy, n/o 2.6 m2, prepared after tanning or crusting,not</w:t>
      </w:r>
    </w:p>
    <w:p>
      <w:pPr>
        <w:pStyle w:val="Normal"/>
      </w:pPr>
      <w:r>
        <w:t>head 4114 Full grain unsplit whole buffalo leather, without hair on, surface over 2.6 sq m, prepared after tanning or crusting, not heading 4114 Full grain unsplit upholstery leather of bovines (not buffalo) nesoi and equines, w/o hair on, prepared after tanning or crusting, not 4114 Full grain unsplit upper &amp; sole leather of bovines (not buffalo) nesoi or equine, w/o hair on, prepared after tanning or crusting, not 4114 Full grain unsplit whole bovine (not buffalo) nesoi and equine</w:t>
      </w:r>
    </w:p>
    <w:p>
      <w:pPr>
        <w:pStyle w:val="Normal"/>
      </w:pPr>
      <w:r>
        <w:t>leather nesoi, w/o hair, prepared after tanning/crusting, not fancy, not 4114 Full grain unsplit whole bovine (not buffalo) nesoi and equine leather nesoi, w/o hair, prepared after tanning or crusting, fancy, not 4114 Grain split whole bovine skin upper or lining leather, w/o hair on, unit surface n/o 2.6 sq m, prepared after tanning or crusting, not 4114 Grain split whole bovine skin leather (not upper or lining), w/o hair, not fancy, n/o 2.6 sq m, prepared after tanning or crusting, not 4114 Grain split whole bovine skin leather (not upper or lining), w/o hair on, fancy, n/o 2.6 sq m, prepared after tanning or crusting, not 4114 Grain split whole buffalo leather, without hair on, unit surface area over 2.6 sq m, prepared after tanning or crusting, not of heading 4114 Grain split whole upholstery leather of bovines (not buffalo) nesoi and equines, w/o hair on, prepared after tanning or crusting, not 4114 Grain split whole upper &amp; sole leather of bovines (not buffalo) nesoi or equines, w/o hair</w:t>
      </w:r>
    </w:p>
    <w:p>
      <w:pPr>
        <w:pStyle w:val="Normal"/>
      </w:pPr>
      <w:r>
        <w:t>on, prepared after tanning or crusting, not 4114 Grain split whole bovine (not buffalo) nesoi and equine nesoi leathers, w/o hair on, prepared after tanning or crusting, not fancy, not 4114 Grain split whole bovine (not buffalo) nesoi and equine nesoi leathers, without hair on, prepared after tanning or crusting, fancy, not 4114 Whole bovine skin upper or lining leather nesoi, w/o hair on, unit surface n/o 2.6 m2, prepared after tanning or crusting, not of head 4114 Whole bovine skin</w:t>
      </w:r>
    </w:p>
    <w:p>
      <w:pPr>
        <w:pStyle w:val="Normal"/>
      </w:pPr>
      <w:r>
        <w:t>leather (not upper or lining) nesoi, w/o hair on, not fancy, n/or 2.6 sq m, prepared after tanning or crusting, not 4114 Whole bovine skin leather (not upper or lining) nesoi, w/o hair on, fancy, surface n/o 2.6 m2, prepared after tanning or crusting, not 4114 Whole buffalo skin leather (not full grain unsplits/grain splits), w/o hair on, over 2.6 sq m, prepared after tanning or crusting, not 4114 Whole upholstery leather of bovines (not buffalo) nesoi and equines nesoi, without hair on, prepared after tanning or crusting, not 4114 Whole upper &amp; sole leather of bovines (not buffalo) nesoi or equines nesoi, without hair on, prepared after tanning or crusting, not 4114 Whole bovine (not buffalo) and equine leather, nesoi, without hair on, not fancy, prepared after tanning or crusting, not of heading 4114 Whole bovine (not buffalo) and equine leather, nesoi, without hair on, fancy, prepared after tanning or crusting, not of heading 4114 Full grain unsplit buffalo leather (not whole), w/o hair on, prepared after tanning or</w:t>
      </w:r>
    </w:p>
    <w:p>
      <w:pPr>
        <w:pStyle w:val="Normal"/>
      </w:pPr>
      <w:r>
        <w:t>crusting (including parchment-dressed), not head 4114 Full grain unsplit upholstery leather of bovines (not buffalo) &amp; equines, not whole, w/o hair, prepared after tanning or crusting, not 4114 Full grain unsplit upper &amp; sole leather of bovines (not buffalo) or equines, not whole, w/o hair, prep.</w:t>
      </w:r>
    </w:p>
    <w:p>
      <w:pPr>
        <w:pStyle w:val="Normal"/>
      </w:pPr>
      <w:r>
        <w:t>after tanning or crusting, not 4114 Full grain unsplit bovine (not buffalo) &amp; equine leather, not whole, w/o hair on, nesoi, not fancy, prep.</w:t>
      </w:r>
    </w:p>
    <w:p>
      <w:pPr>
        <w:pStyle w:val="Normal"/>
      </w:pPr>
      <w:r>
        <w:t>after tanning/crusting, not 4114 Full grain unsplit bovine (not buffalo) &amp; equine leather, not whole, w/o hair on, nesoi, fancy, prepared after tanning or crusting, not 4114 Grain splits buffalo leather (not whole), without hair on, prepared after tanning or crusting, other than of heading 4114 Grain splits upholstery leather of bovines (not buffalo) and equines, not whole, w/o hair on, prepared after tanning or crusting, not 4114 Grain splits upper &amp; sole leather of bovines (not buffalo) or equines, not whole, w/o hair on, prepared after tanning or crusting, not 4114 Grain splits bovine (not buffalo) and equine leather, not whole, w/o hair on, nesoi, not fancy, prepared after tanning or crusting, not 4114 Grain splits bovine (not buffalo) and equine leather, not whole, without hair on, nesoi, fancy, prepared after tanning or crusting, not 4114 Buffalo leather other than full grains unsplit &amp; grain splits, not whole, w/o hair on, prepared after tanning or crusting, not heading 4114 Upholstery leather of bovines (not buffalo) or equines, not whole,</w:t>
      </w:r>
    </w:p>
    <w:p>
      <w:pPr>
        <w:pStyle w:val="Normal"/>
      </w:pPr>
      <w:r>
        <w:t>nesoi, without hair on, prepared after tanning or crusting, not 4114 Upper &amp; sole leather of bovines (not buffalo) or equines, not whole, nesoi, w/o hair on, prepare after tanning or crusting, not 4114 Bovine (not buffalo) and equine leather, not whole, nesoi, without hair on, not fancy, prepared after tanning or crusting, not heading 4114 Bovine (not buffalo) and equine leather, not whole, nesoi, without hair on, fancy, prepared</w:t>
      </w:r>
    </w:p>
    <w:p>
      <w:pPr>
        <w:pStyle w:val="Normal"/>
      </w:pPr>
      <w:r>
        <w:t>after tanning or crusting, not of heading 4114 Sheep or lamb skin leather, without wool on, not fancy, prepared after tanning or crusting, other than of heading 4114 Sheep or lamb skin leather, without wool on, fancy, further prepared after tanning or crusting, other than of heading 4114 Goat or kidskin leather, without hair on, not fancy, further prepared after tanning or crusting, other than of heading 4114 Goat or kidskin leather, without hair on, fancy, further prepared after tanning or crusting, other than of heading 4114 Leather of swine, without hair on, further prepared after tanning or crusting, other than leather of heading 4114 Reptile leather, not fancy, further prepared after tanning or crusting, other than leather of heading 4114 Reptile leather, fancy, further prepared after tanning or crusting, other than leather of heading 4114 Leather of animals nesoi, without hair on, not fancy, further prepared after tanning or crusting, other than leather of heading 4114 Leather of animals nesoi, without hair on, fancy, further prepared after tanning or</w:t>
      </w:r>
    </w:p>
    <w:p>
      <w:pPr>
        <w:pStyle w:val="Normal"/>
      </w:pPr>
      <w:r>
        <w:t>crusting, other than leather of heading 4114 Chamois (including combination chamois) leather Patent leather Patent laminated leather or metallized leather, of calf or kip Patent laminated leather or metallized leather, other than calf or kip Composition leather with a basis of leather or leather fiber, in slabs, sheets or strip, whether or not in rolls Parings &amp; other waste of leather or composition leather, not suitable</w:t>
      </w:r>
    </w:p>
    <w:p>
      <w:pPr>
        <w:pStyle w:val="Normal"/>
      </w:pPr>
      <w:r>
        <w:t>for the manufacture of leather articles; leather dust, powder &amp; flour Dog leashes, collars, muzzles, harnesses and similar dog equipment, of any material Saddlery and harnesses for animals nesi, (incl. traces, leads, knee pads, muzzles, saddle cloths and bags and the like), of any material Trunks, suitcases, vanity &amp; all other cases, occupational luggage &amp; like containers, surface of leather, composition or patent leather Trunks, suitcases, vanity and attache cases and similar containers, with outer surface of plastics Occupational luggage and similar containers, with outer surface of plastics Trunks, suitcases, vanity &amp; attache cases, occupational luggage &amp; like containers, surfaces of cotton, not of pile or tufted construction Trunks, suitcases, vanity &amp; attache cases, occupational luggage &amp; like containers, w outer surface of veg. fibers, excl.</w:t>
      </w:r>
    </w:p>
    <w:p>
      <w:pPr>
        <w:pStyle w:val="Normal"/>
      </w:pPr>
      <w:r>
        <w:t>cotton Trunks, suitcases, vanity &amp; attache cases, occupational luggage and similar containers, with outer surface of MMF materials Trunks, suitcases, vanity &amp; attache cases, occupational luggage and similar containers, with outer surface of textile materials nesi Trunks, suitcases, vanity cases, attache cases, occupational luggage &amp; like containers surface of vulcanized fiber or paperboard nesi Handbags, with or without shoulder strap or without handle, with outer surface of reptile leather Handbags, with or without shoulder strap or without handle, with outer surface of leather, composition or patent leather, nesi, n/o $20 ea.</w:t>
      </w:r>
    </w:p>
    <w:p>
      <w:pPr>
        <w:pStyle w:val="Normal"/>
      </w:pPr>
      <w:r>
        <w:t>Handbags, with or without shoulder strap or without handle, with outer surface of leather, composition or patent leather, nesi, over $20 ea.</w:t>
      </w:r>
    </w:p>
    <w:p>
      <w:pPr>
        <w:pStyle w:val="Normal"/>
      </w:pPr>
      <w:r>
        <w:t>Handbags, with or without shoulder straps or without handle, with outer surface of sheeting of plastics Handbags with or without shoulder strap or without handle, with outer surface of textile materials, wholly or in part of braid, of abaca Handbags with or without shoulder strap or without handle, with outer surface of textile materials, wholly or in part of braid, nesi Handbags with or without shoulder strap or without handle, with outer surface of cotton, not of pile or tufted construction or braid Handbags with or w/o shoulder strap or w/o handle, outer surface of veg. fibers, exc. cotton, not of pile or tufted construction or braid Handbags with or w/o shoulder strap or w/o handle, with outer surface containing 85% or more of silk, not braided Handbags with or without shoulder strap or without handle, with outer surface of MMF materials Handbags with or without shoulder strap or without handle, with outer surface of textile materials nesi Handbags w. or w/o shld. strap or w/o handle of mat.</w:t>
      </w:r>
    </w:p>
    <w:p>
      <w:pPr>
        <w:pStyle w:val="Normal"/>
      </w:pPr>
      <w:r>
        <w:t>(o/t leather, shtng. of plas., tex. mat., vul. fib. or paperbd.), paper cov., of plas. Handbags w. or w/o shld. strap or w/o handle of mat. (o/t leather, shtng. of plas., tex. mat., vul. fib. or paperbd.), paper cov., of wood Handbags w. or w/o shld. strap or w/o handle of mat. (o/t leather, shtng. of plas., tex. mat., vul. fib.</w:t>
      </w:r>
    </w:p>
    <w:p>
      <w:pPr>
        <w:pStyle w:val="Normal"/>
      </w:pPr>
      <w:r>
        <w:t>or paperbd.), pap.cov.,of mat.</w:t>
      </w:r>
    </w:p>
    <w:p>
      <w:pPr>
        <w:pStyle w:val="Normal"/>
      </w:pPr>
      <w:r>
        <w:t>nesi Handbags with or without shoulder straps or without handle, with outer surface of vulcanized fiber or of paperboard, not covered with paper Articles of a kind normally carried in the pocket or handbag, with outer surface of reptile leather Articles of a kind normally carried in the pocket or handbag, with outer surface of leather, composition or patent leather, nesi Articles of a kind normally carried in the pocket or handbag, with outer surface of reinforced or laminated plastics Articles of a kind normally carried in the pocket or handbag, with outer surface of plastic sheeting, nesi Articles of a kind normally carried in the pocket or handbag, with outer surface of cotton, not of pile or tufted construction Articles of a kind normally carried in the pocket or handbag,with outer surface of vegetable fibers,not of pile or tufted construction, nesi Articles of a kind normally carried in the pocket or handbag, with outer surface 85% or more silk or silk waste Articles of a kind normally carried in</w:t>
      </w:r>
    </w:p>
    <w:p>
      <w:pPr>
        <w:pStyle w:val="Normal"/>
      </w:pPr>
      <w:r>
        <w:t>the pocket or handbag, with outer surface of cotton Articles of a kind normally carried in the pocket or handbag, with outer surface of MMF Articles of a kind normally carried in the pocket or handbag, with outer surface of other textile materials Articles of kind usually carried in pocket or handbag (o/t leather, shtng.</w:t>
      </w:r>
    </w:p>
    <w:p>
      <w:pPr>
        <w:pStyle w:val="Normal"/>
      </w:pPr>
      <w:r>
        <w:t>of plas., tex. mat., vul. fib. or paperbd.), pap. cov., of plas.</w:t>
      </w:r>
    </w:p>
    <w:p>
      <w:pPr>
        <w:pStyle w:val="Normal"/>
      </w:pPr>
      <w:r>
        <w:t>Articles of kind usually carried in pocket or handbag (o/t leather, shtng. of plas., tex. mat., vul. fib. or paperbd.), pap. cov., of wood Articles of kind usu. carried in pocket or handbag (o/t lea., shtng. of plas., tex. mat., vul. fib. or paperbd.), pap. cov., of mat. nesi Articles of a kind normally carried in the pocket or handbag, with outer surface of vulcanized fiber or of paperboard Golf bags, with outer surface of leather or composition leather Cases, bags and containers nesi, other than golf bags, with outer surface of leather, of composition leather Insulated beverage bag w/outer surface textiles, interior only flexible plastic container storing/dispensing beverage thru flexible tubing Insulated food or beverage bags with outer surface of textile materials, nesoi Insulated food or beverage bags with outer surface of sheeting of plastic Travel, sports and similar bags with outer surface of cotton, not of pile or tufted construction Travel, sports and similar bags with outer surface of vegetable fibers, excl.</w:t>
      </w:r>
    </w:p>
    <w:p>
      <w:pPr>
        <w:pStyle w:val="Normal"/>
      </w:pPr>
      <w:r>
        <w:t>cotton, not of pile construction Travel, sports and similar bags with outer surface of MMF textile materials Travel, sports and similar bags with outer surface of textile materials of paper yarn, silk or cotton Travel, sports and similar bags with outer surface of textile materials other than MMF, paper yarn, silk, cotton Travel, sports and similar bags with outer surface of plastic sheeting Musical instrument cases, with outer surface of plastic sheeting or of textile materials Bags, cases and similar containers, nesi, with outer surface of cotton Bags, cases and similar containers with outer surface of textile materials, of MMF except jewelry boxes Bags, cases and similar containers with outer surface of textile materials, not of MMF Cases for CDs, CD players, cassettes, or cassette players Bags, cases &amp; similar containers with outer surface of sheeting of plastic materials,not containers for CDs or cassettes, or CD or cassette players Cases, bags and sim. containers, nesi, of mat. (o/t leather, shtng. of plas., tex. mat., vul. fib., or paperbd.), pap. cov., of plastic Cases &amp; sim. cont., nesi, of mat.</w:t>
      </w:r>
    </w:p>
    <w:p>
      <w:pPr>
        <w:pStyle w:val="Normal"/>
      </w:pPr>
      <w:r>
        <w:t>(o/t lea., shtng. of plas., tex. mat., vul. fib. or paperbd.), pap. cov., of wood, not lined with tex.fab. Cases, bags &amp; sim. cont., nesi, of mat. (o/t lea., plas. shtng., tex. mat., vul. fib. or paperbd.), pap. cov., of wood, lined with tex. fab. Cases, bags &amp; sim. cont., nesi, of mat. (o/t lea., plas. shtng., tex. mat., vul. fib. or paperbd.), pap.</w:t>
      </w:r>
    </w:p>
    <w:p>
      <w:pPr>
        <w:pStyle w:val="Normal"/>
      </w:pPr>
      <w:r>
        <w:t>cov., except of wood or plastic Cases, bags and similar containers, nesi, with outer surface of vulcanized fiber or of paperboard Articles of apparel, of reptile leather Articles of apparel, of leather or of composition leather, nesi Batting gloves, of leather or of composition leather Baseball and softball gloves and mitts, excluding batting gloves, of leather or of composition leather Cross-country ski gloves, mittens and mitts, of leather or of composition leather Ski or snowmobile gloves, mittens and mitts, nesi, of leather or of composition leather Ice hockey gloves, of leather or of composition leather Gloves, mittens and mitts specially designed for use in sports, nesi, of leather or of composition leather Gloves, wholly of horsehide or cowhide leather not specially designed for use in sports, with fourchettes or sidewalls Gloves, wholly of horsehide or cowhide (except calfskin) leather, not specially designed for use in sports, nesi Gloves not wholly of horsehide or cowhide leather not specially designed for use in sports, with fourchettes or sidewalls Gloves not wholly of</w:t>
      </w:r>
    </w:p>
    <w:p>
      <w:pPr>
        <w:pStyle w:val="Normal"/>
      </w:pPr>
      <w:r>
        <w:t>horsehide or cowhide leather not specially designed for use in sports, nesi Gloves, mittens and mitts of leather or composition leather, nesi, not seamed Men’s gloves, mittens and mitts of leather or composition leather, nesi, seamed Gloves, mittens and mitts of leather or composition leather, nesi, not lined, for persons other than men Gloves, mittens and mitts of leather or composition leather,</w:t>
      </w:r>
    </w:p>
    <w:p>
      <w:pPr>
        <w:pStyle w:val="Normal"/>
      </w:pPr>
      <w:r>
        <w:t>nesi, lined, for persons other than men Belts and bandoliers with or without buckles, of leather or of composition leather Clothing accessories nesi, of reptile leather Clothing accessories of leather or of composition leather, nesi Belting leather cut or wholly or partly manufactured into forms or shapes suit.</w:t>
      </w:r>
    </w:p>
    <w:p>
      <w:pPr>
        <w:pStyle w:val="Normal"/>
      </w:pPr>
      <w:r>
        <w:t>for conversion into belting for machinery or appliances Articles of leather or composition leather used in machinery or mechanical appliances or for other technical uses, except belting leathers Shoelaces of leather or of composition leather Straps and strops of leather or of composition leather Articles of reptile leather, nesi Articles of leather or of composition leather, nesi, excluding reptile leather Articles of catgut if imported for use in the manufacture of sterile surgical sutures Articles of catgut, nesoi Articles of gut (other than silkworm gut or catgut), of goldbeater’s skin, of bladders or of tendons Raw furskins of mink, whole, with or without head, tail or paws Raw lamb furskins of Astrakhan, Broadtail, Caracul, Persian, Indian, Chinese, Mongolian, Tibetan, whole Raw furskins of silver, black or platinum fox (including mutations of these), whole, with or without head, tail or paws Raw furskins of fox, other than of silver, black or platinum fox, whole, with or without head, tail or paws Other furskins, whole, with or without head, tail, or paws Heads, tails, paws and other pieces or cuttings of raw furskins, suitable for furriers’ use Tanned or</w:t>
      </w:r>
    </w:p>
    <w:p>
      <w:pPr>
        <w:pStyle w:val="Normal"/>
      </w:pPr>
      <w:r>
        <w:t>dressed whole furskins of mink, with or without head, tail or paws, not assembled Tanned/dressed whole skins of Astrakhan, Broadtail, Caracul, Persian, Indian, Mongolian, Chinese &amp; Tibetan lamb, not assembled Tanned or dressed whole furskins of silver, black or platinum fox (including mutations), with or without head, tail or paws, not assembled Tanned or dressed whole furskins of beaver, chinchilla, ermine, lynx, raccoon, sable, other specified animals, not dyed, not assembled Tanned or dressed whole furskins of beaver, chinchilla, ermine, lynx, raccoon, sable, wolf, other specified animals, dyed, not assembled Tanned or dressed whole furskins of rabbit or hare, with or without head, tail or paws, not assembled Tanned or dressed whole furskins, nesi, with or without head, tail or paws, not assembled, not dyed Tanned or dressed whole furskins, nesi, with or without head, tail or paws, not assembled, dyed Heads, tails, paws, other pieces or cuttings of dressed or tanned furskins, of beaver, ermine, wolf, other specified animals, nt assembled Heads, tails, paws and other pieces or cuttings</w:t>
      </w:r>
    </w:p>
    <w:p>
      <w:pPr>
        <w:pStyle w:val="Normal"/>
      </w:pPr>
      <w:r>
        <w:t>of dressed or tanned furskins, nesi, not assembled, not dyed Heads, tails, paws and other pieces or cuttings of dressed or tanned furskins, nesi, not assembled, dyed Whole furskins and pieces or cuttings thereof, tanned and dressed, assembled Articles of apparel and clothing accessories, of furskins Articles of furskin, nesi Artificial fur and articles thereof Fuel wood, in logs, in billets,</w:t>
      </w:r>
    </w:p>
    <w:p>
      <w:pPr>
        <w:pStyle w:val="Normal"/>
      </w:pPr>
      <w:r>
        <w:t>in twigs, in faggots or similar forms Coniferous wood in chips or particles Nonconiferous wood in chips or particles Sawdust and wood waste and scrap, pellets Artificial fire logs, composed of wax and sawdust, with or without added materials Sawdust and wood waste and scrap, excluding pellets or artificial logs, nesi Wood charcoal (including shell or nut charcoal), whether or not agglomerated, of bamboo Wood charcoal (including shell or nut charcoal), whether or not agglomerated, other than of bamboo Wood in the rough whether or not stripped of bark or sapwood, or roughly squared, treated with paint, stain, creosote or other preservatives Coniferous wood in the rough, whether or not stripped of bark or sapwood or roughly squared, not treated with preservatives Wood in the rough/roughly squared,of Dark Red Meranti,Light Red Meranti and Meranti Bakau,not treated with paint/stain/cresote/other preserv Wood in the rough/roughly squared, of other tropical wood, not treated with paint/stain/creosote/other preserv Oak wood in the rough, whether or not stripped of bark or sapwood, or roughly squared, not</w:t>
      </w:r>
    </w:p>
    <w:p>
      <w:pPr>
        <w:pStyle w:val="Normal"/>
      </w:pPr>
      <w:r>
        <w:t>treated with preservatives Beech wood in the rough, not treated with preservatives Wood in the rough, nesi Coniferous wood, roughly shaped into poles, pickets, stakes, sticks and other forms, to be finished into specific articles or products Nonconiferous wood, roughly shaped into poles, pickets, stakes, sticks and other forms, to be finished into specific articles or products Wood</w:t>
      </w:r>
    </w:p>
    <w:p>
      <w:pPr>
        <w:pStyle w:val="Normal"/>
      </w:pPr>
      <w:r>
        <w:t>wool (excelsior);</w:t>
      </w:r>
    </w:p>
    <w:p>
      <w:pPr>
        <w:pStyle w:val="Normal"/>
      </w:pPr>
      <w:r>
        <w:t>wood flour Railway or tramway sleepers (cross-ties) of wood, not impregnated Railway or tramway sleepers (cross-ties) of wood, impregnated Coniferous wood sawn or chipped lengthwise, sliced or peeled, of a thickness exceeding 6 mm Dark Red Meranti, Light Red Meranti and other specified tropical woods, sawn or chipped lengthwise, sliced or peeled, over 6 mm thick Okoume, Obeche, Sapelli and other specified tropical woods, sawn or chipped lengthwise, sliced or peeled, over 6 mm thick Dark Red Meranti, Light Red Meranti and Meranti Bakau wood sawn or chipped lengthwise, sliced or peeled, over 6 mm thick White Lauan, White Meranti, White Seraya, Yellow Meranta and Alan wood sawn or chipped lengthwise, sliced or peeled, over 6 mm thick Sapelli wood sawn or chipped lengthwise, sliced or peeled, over 6 mm thick Iroko wood sawn or chipped lengthwise, sliced or peeled, over 6 mm thick Tropical wood specified in chapter 44 subheading note 1, nesoi, sawn or chipped lengthwise, sliced or peeled, over 6 mm thick Oak wood, sawn or chipped</w:t>
      </w:r>
    </w:p>
    <w:p>
      <w:pPr>
        <w:pStyle w:val="Normal"/>
      </w:pPr>
      <w:r>
        <w:t>lengthwise, sliced or peeled, over 6 mm thick Beech wood, sawn or chipped lengthwise, sliced or peeled, over 6 mm thick Maple wood sawn or chipped lengthwise, sliced or peeled, over 6 mm thick Cherry wood sawn or chipped lengthwise, sliced or peeled, over 6 mm thick Ash wood sawn or chipped lengthwise, sliced or peeled, over 6 mm thick Nonconiferous woods, nesi, sawn or chipped lengthwise, sliced or peeled, over 6 mm thick Coniferous</w:t>
      </w:r>
    </w:p>
    <w:p>
      <w:pPr>
        <w:pStyle w:val="Normal"/>
      </w:pPr>
      <w:r>
        <w:t>veneer sheets and sheets for plywood &amp; coniferous wood sawn/sliced/peeled not over 6 mm thick Dark Red Meranti, Light Red Meranti and Meranti Bakau veneer sheets and sheets for plywood and other wood sawn/sliced/peeled, n/o 6 mm thick Other tropical wood veneer sheets and sheets for plywood, and wood sawn/sliced/peeled n/o 6 mm thick Nontropical nonconiferous veneer sheets and sheets for plywood and other wood sawn/sliced/peeled, not over 6 mm thick Coniferous wood continuously shaped along any of its ends, whether or not also continuously shaped along any its edges or faces Coniferous wood siding continuously shaped along any of its edges or faces but not on its ends Coniferous wood flooring continuously shaped along any of its edges or faces but not on its ends Standard wood moldings of pine (Pinus spp.) continuously shaped along any of its edges or faces but not on its ends Standard coniferous wood moldings, other than of pine, continuously shaped along any of its edges or faces but not on its ends Coniferous</w:t>
      </w:r>
    </w:p>
    <w:p>
      <w:pPr>
        <w:pStyle w:val="Normal"/>
      </w:pPr>
      <w:r>
        <w:t>wood moldings, other than standard type, continuously shaped along any of its edges or faces but not on its ends Coniferous wood dowel rods, plain, continuously shaped along any of its edges or faces but not on its ends Coniferous wood dowel rod, sanded/grooved/otherwise advanced in condition, continuously shaped along any of edges or faces but not its ends Coniferous wood, other than siding, flooring, moldings or dowel rod, continuously shaped along any of its edges</w:t>
      </w:r>
    </w:p>
    <w:p>
      <w:pPr>
        <w:pStyle w:val="Normal"/>
      </w:pPr>
      <w:r>
        <w:t>or faces but not on its ends Nonconiferous wood (bamboo) continuously shaped along any of its ends, wether or not also continuously shaped along any its edges or faces Bamboo, other than continuously shaped along any of its ends Nonconiferous tropical wood continuously shaped along any ends, whether or not also continuously shaped along any edges or faces Nonconiferous tropical wood siding, whether or not continuously shaped along its edges or faces but not its ends Nonconiferous tropical wood flooring, whether or not continuously shaped along its edges or faces but not its ends Nonconiferous tropical wood standard moldings, whether or not continuously shaped along its edges or faces but not its ends Other nonconiferous tropical wood moldings, whether or not continuously shaped along its edges or faces but not its ends Plain nonconiferous tropical wood dowel rods, whether or not continuously shaped along its edges or faces but not its ends Nonconif. tropical wood dowel rods, sanded/grooved/otherwise advanced in condition, whether or not continuous.</w:t>
      </w:r>
    </w:p>
    <w:p>
      <w:pPr>
        <w:pStyle w:val="Normal"/>
      </w:pPr>
      <w:r>
        <w:t>along edges or faces but not ends Other nonconiferous tropical wood, whether or not continuously shaped along its edges or faces but not its ends Other nonconiferous wood, continuously shaped along any ends, whether or not also continuously shaped along any edges or faces Other nonconiferous wood siding, whether or not continuously shaped along its edges or faces but not its ends Other nonconiferous wood flooring, whether or not continuously shaped along its edges or faces but not its ends Other nonconiferous standard wood moldings, whether or not continuously shaped along its edges or faces but not its ends Other nonconiferous wood moldings, whether or not continuously shaped along its edges or faces but not its ends Plain other nonconif. wood dowel rods, whether or not continuously shaped along edges or faces but not ends Other nonconif.</w:t>
      </w:r>
    </w:p>
    <w:p>
      <w:pPr>
        <w:pStyle w:val="Normal"/>
      </w:pPr>
      <w:r>
        <w:t>wood dowel rods, sanded/grooved/otherwise advanced in condition, whether or not continuously shaped along edges or faces but not ends Other nonconiferous wood, whether or not continuously shaped along its edges or faces but not its ends Waferboard, including oriented strand board, of wood Oriented strand board and waferboard, of wood, unworked or not further worked than sanded Particle board and similar board of wood, other than waferboard Particle board and similar board of ligneous materials other than wood MDF, &lt;= 5mm thick, not mechanically worked or surface covered MDF, &lt;= 5mm thick, for construction, laminated MDF, &lt;= 5mm thick, for construction, not laminated, nesoi Fiberboard of a density over 0.5 g/cm3 but not over 0.8 g/cm3, not mechanically worked surface covered (Except for oil treatment) MDF, &lt;= 5mm thick, not for construction, nesoi MDF, &gt;5mm but &lt;= 9 mm thick, not mechanically worked or surface covered MDF, &gt;5mm but &lt;= 9 mm thick, for construction, laminated MDF, &gt;5mm but &lt;= 9 mm thick, for construction, not laminated,</w:t>
      </w:r>
    </w:p>
    <w:p>
      <w:pPr>
        <w:pStyle w:val="Normal"/>
      </w:pPr>
      <w:r>
        <w:t>nesoi Fiberboard of a density over 0.5 g/cm3 but not over 0.8 g/cm3, not mechanically worked surface covered(except for oil treatment) MDF, &gt;5mm but &lt;= 9 mm thick, not for construction, nesoi Fiberboard of a thickness exceeding 9 mm, not mechanically worked or surface covered Fiberboard of a thickness exceeding 9 mm, edgeworked continuously, laminated, for construction uses Fiberboard of a thickness exceeding 9 mm, tongued, grooved or</w:t>
      </w:r>
    </w:p>
    <w:p>
      <w:pPr>
        <w:pStyle w:val="Normal"/>
      </w:pPr>
      <w:r>
        <w:t>rabbetted continuously, for construction uses, nesoi Fiberboard of a thickness exceeding 9 mm, not mechanically worked surface covered (except for oil treatment) Fiberboard nesoi,of a thickness exceeding 9 mm Fiberboard of a density exceeding 0.8 g/cm3, not mechanically worked or surface covered Fiberboard, of a density exceeding 0.8 g/cm3, mechanically worked, not surface covered (except for oil treatment) Fiberboard, of a density exceeding 0.8 g/cm3, mechanically edged-worked, for construction uses Fiberboard nesoi, density exceeding 0.8 g/cm3 Fiberboard, not MDF, of a density &gt;0.5 but &lt;=0.8 g/cm3, not mechanically worked or surface covered Fiberboard, not MDF, of a density &gt;0.5 but &lt;=0.8 g/cm3, edgeworked continuously, laminated, for construction uses Fiberboard, not MDF, of a density &gt;0.5 but &lt;=0.8 g/cm3, tongued, grooved or rabbetted continuously, for construction, nesoi Fiberboard of a density over 0.5 g/cm3 but not over 0.8 g/cm3, not mechanically worked surface covered (Except for oil) Fiberboard, not MDF, of a density &gt;0.5 but &lt;=0.8 g/cm3, nesoi Fiberboard of a density exceeding 0.35 g/cm3 but not exceeding 0.5 g/cm3, not</w:t>
      </w:r>
    </w:p>
    <w:p>
      <w:pPr>
        <w:pStyle w:val="Normal"/>
      </w:pPr>
      <w:r>
        <w:t>mechanically worked or surface covered Plywood, veneered panels and similar laminated wood, of bamboo Veneered panels and similar laminated wood, of bamboo, other than plywood Plywood sheets n/o 6mm thick, tropical wood outer ply, birch face ply, not surface covered beyond clear/transparent Plywood sheets n/o 6mm thick, tropical wood outer ply,</w:t>
      </w:r>
    </w:p>
    <w:p>
      <w:pPr>
        <w:pStyle w:val="Normal"/>
      </w:pPr>
      <w:r>
        <w:t>Spanish cedar or walnut face ply, not surface covered beyond clear/transparent Plywood sheets n/o 6mm thick, with specified tropical wood outer ply, with face ply nesoi, not surface covered beyond clear/transparent Plywood sheets n/o 6mm thick, tropical wood nesoi at least one outer ply, with face ply nesoi, not surface covered beyond clear/transparent Plywood sheets n/o 6mm thick, with certain specified tropical wood outer ply, surface covered beyond clear or transparent Plywood sheets n/o 6mm thick, tropical wood nesoi at least one outer ply, surface covered beyond clear or transparent Plywood sheets n/o 6mm thick, outer ply of nonconiferous wood, birch face ply, not surface covered beyond clear/transparent Plywood sheets n/o 6mm thick, outer ply nonconiferous wood, face ply Spanish ceder or walnut, not surface covered beyond clear/transparent Plywood sheets n/o 6mm thick, outerply of nonconiferous wood nesoi, face ply nesoi, not surface covered beyond clear/transparent Plywood sheets n/o 6mm thick, outerply of nonconiferous wood nesoi, face ply nesoi, surface covered beyond clear/transparent Plywood of wood sheets, n/o 6 mm</w:t>
      </w:r>
    </w:p>
    <w:p>
      <w:pPr>
        <w:pStyle w:val="Normal"/>
      </w:pPr>
      <w:r>
        <w:t>thick each, with outer plies of coniferous wood, face ply of Parana pine, not or clear surface covered Plywood of wood sheets, n/o 6 mm thick each, with outer plies of coniferous wood, European red pine face ply, not or clear surface covered Plywood of wood sheets, n/o 6 mm thick each, with outer plies of coniferous wood, with face ply nesoi, not or</w:t>
      </w:r>
    </w:p>
    <w:p>
      <w:pPr>
        <w:pStyle w:val="Normal"/>
      </w:pPr>
      <w:r>
        <w:t>clear surface covered Plywood of wood sheets, n/o 6 mm thick each, with outer plies of coniferous wood, nesoi, surface covered, nesoi Plywood nesoi, at least one nonconiferous outer ply, not surface-covered beyond clear/transparent, face ply of birch Blockboard etc.: plywood nesoi, at least one nonconifer outer ply, not surface-covered beyond clear/transparent, not w/face ply of birch Blockboard etc: plywood nesoi, at least one nonconiferous outer ply, surface covered other than clear or transparent Blockboard etc: veneered panels and similar laminated wood w/ at least one nonconiferous outer ply, nesoi Blockboard etc: plywood nesoi,other outer plies,not surf.-cov. Beyond clear/transp., face ply Parana pine Blockboard etc: plywood nesoi, other outer plies,not surf.-cov.</w:t>
      </w:r>
    </w:p>
    <w:p>
      <w:pPr>
        <w:pStyle w:val="Normal"/>
      </w:pPr>
      <w:r>
        <w:t>Beyond clear/transp.,face ply Europe red pine Blockboard etc: plywood nesoi,other outer plies,not surface-covered beyond clear/transparent, face ply nesoi Blockboard etc: plywood nesoi, other outer plies, surface covered other than clear or transparent Blockboard etc: veneered panels and similar laminated wood nesoi, other outer plies Plywood nesoi,veneered panel &amp; similar laminated wood w/nonconiferous outer ply, at least one layer of particle board Not blockboard: plywood at least 1 outer ply of nonconif wood, nesi, with a face ply of birch, not surface covered or clear/transparent Not blockboard: plywood nesoi, at least 1 nonconiferous outer ply, not surface-covered beyond clear/transparent, not w/face ply</w:t>
      </w:r>
    </w:p>
    <w:p>
      <w:pPr>
        <w:pStyle w:val="Normal"/>
      </w:pPr>
      <w:r>
        <w:t>of birch Not blockboard: plywood nesoi, at least 1 nonconiferous outer ply, surface covered other than clear or transparent Not blockboard: veneered panels and similar laminated wood w/ at least 1 nonconiferous outer ply, nesoi Not blockboard: plywood/veneered panel/sim. Laminated wood nesoi, at least 1 nonconiferous outer ply,at least 1 layer of particle board Not blockboard:plywood nesoi,at least 1 nonconiferous outer ply, no particle board,not surf.-cov. Beyond clear/transp., face ply Parana pine Not blockboard: plywood nesoi, at least 1 non conif outer ply,no particle board,not surf.-cov.</w:t>
      </w:r>
    </w:p>
    <w:p>
      <w:pPr>
        <w:pStyle w:val="Normal"/>
      </w:pPr>
      <w:r>
        <w:t>Beyond clear/transp.,face ply Europe red pine Not blockboard:plywood nesoi, at least 1 non conif outer ply, no particle board,not surface-covered beyond clear/transparent, face ply nesoi Not blockboard: plywood, veneer panels and similar laminated wood, at least 1 nonconiferous outer ply, nesoi Not blockboard: veneered panels and similar laminated wood, nesoi, at least 1 nonconiferous outer ply, no particle board, nesoi Densified wood, in blocks, plates, strips or profile shapes Wooden frames for paintings, photographs, mirrors or similar objects Packing boxes and cases of wood with solid sides, lids and bottoms Wooden containers designed for use in the harvesting of fruits and vegetables Wood cases, boxes, crates, drums and similar packings nesi; cable-drums of wood Wooden pallets, box-pallets and other load boards designed for use in the harvesting of fruits and vegetables Wooden</w:t>
      </w:r>
    </w:p>
    <w:p>
      <w:pPr>
        <w:pStyle w:val="Normal"/>
      </w:pPr>
      <w:r>
        <w:t>pallets, box-pallets and other load boards, other than designed for use in the harvesting of fruits and vegetables Wooden casks, barrels and hogsheads Wooden staves and hoops; tight barrelheads of softwood Wooden vats, tubs and other coopers’ products and parts thereof Wooden broom and mop handles, 1.9 cm or more in diameter and 97 cm or more in length Wooden paint brush and paint roller handles Wooden brush backs Wooden tools, tool bodies, tool handles, broom or brush bodies and handles nesi;</w:t>
      </w:r>
    </w:p>
    <w:p>
      <w:pPr>
        <w:pStyle w:val="Normal"/>
      </w:pPr>
      <w:r>
        <w:t>wooden boot or shoe lasts and trees Wooden windows, French-windows and their frames French doors of wood Doors of wood, other than French doors Wooden formwork (shuttering) for concrete constructional work Wooden shingles and shakes Builders’ joinery and carpentry of wood, Posts and Beams Assembled flooring panels of bamboo, for mosaic floors, solid Assembled flooring panels of bamboo, for mosaic floors other than solid, having a face ply more than 6mm in thickness Assembled flooring panels of bamboo, for mosaic floors other than solid, having a face ply less than or equal to 6 mm in thickness Assembled flooring panels of bamboo, other than for mosaic, multilayer, having a face ply more than 6mm in thickness Assembled flooring panels of bamboo, other than mosaic, multilayer, having a face ply &lt;=equal to 6mm in thickness, of unidirectional bamboo Assembled flooring panels of bamboo, other than for mosaic, multilayer, having a face ply &lt;= 6mm in thickness, not of unidirectional bamboo</w:t>
      </w:r>
    </w:p>
    <w:p>
      <w:pPr>
        <w:pStyle w:val="Normal"/>
      </w:pPr>
      <w:r>
        <w:t>Assembled flooring panels of bamboo, other than for mosaic or multilayer, nesoi Assembled wood flooring panels, other than of bamboo, for mosaic floors, solid Assembled wood flooring panels, other than of bamboo, for mosaic floors other than solid, having a face ply more than 6 mm in thickness Assembled wood flooring panels, other than of bamboo, for mosaic floors other than solid, having a face ply less than or equal to 6 mm in thickness Assembled wood flooring panels, other than of bamboo, other than for mosaic, multilayer, having a face ply more than 6 mm in thickness Assembled wood flooring panels, other than of bamboo, other than for mosaic, multilayer, having a face ply less than or equal to 6 mm in thickness Assembled wood flooring panels, other than of bamboo, other than for mosaic or multilayer Builders’ joinery and carpentry of wood, of bamboo, drilled or notched lumber studs Builders’ joinery and carpentry of wood, of bamboo, other than drilled or notched lumber studs Builders’ joinery and carpentry</w:t>
      </w:r>
    </w:p>
    <w:p>
      <w:pPr>
        <w:pStyle w:val="Normal"/>
      </w:pPr>
      <w:r>
        <w:t>of wood, of wood other than of bamboo, drilled or notched lumber studs Builders’ joinery and carpentry of wood, of wood other than of bamboo, other than drilled or notched lumber studs Bread boards, chopping boards and similar boards of bamboo Chopsticks of bamboo Forks and spoons of bamboo Tableware and kitchenware of bamboo, other than bread boards, chopping boards and similar boards, chopsticks, forks, spoons Forks and spoons of wood, other than of bamboo Tableware</w:t>
      </w:r>
    </w:p>
    <w:p>
      <w:pPr>
        <w:pStyle w:val="Normal"/>
      </w:pPr>
      <w:r>
        <w:t>and kitchenware of wood other than of bamboo, other than bread boards, chopping boards and similar boards, chopsticks, forks, spoons Wooden statuettes and other wood ornaments Wooden cigar and cigarette boxes Wooden jewelry boxes, silverware chests, microscope, tool or utensil cases, similar boxes, cases and chests, not lined with textile fabrics Wooden jewelry boxes, silverware chests, microscope, tool or utensil cases, similar boxes, cases and chests, lined with textile fabrics Wood marquetry and inlaid wood; wooden articles of furniture, nesi Wooden clothes hangers Plain wood dowel pins of bamboo Wood dowel pins of bamboo, sanded, grooved or otherwise advanced in condition Blinds, shutters, screens and shades of bamboo, with wooden frames having fixed louver boards or slats in the center Blinds, shutters, screens and shades of bamboo, with wooden frames w/o fixed louver boards or slats in the center Toothpicks of bamboo Skewers, candy sticks, ice cream sticks, tongue depressors, drink mixers and similar wares, other than toothpicks, of bamboo Pickets, palings, posts and rails of bamboo, sawn;</w:t>
      </w:r>
    </w:p>
    <w:p>
      <w:pPr>
        <w:pStyle w:val="Normal"/>
      </w:pPr>
      <w:r>
        <w:t>assembled fence sections of bamboo Spring-type clothespins of bamboo Clothespins other than spring-type, of bamboo Canoe paddles of bamboo Theatrical, ballet and operatic scenery and properties, including sets, of bamboo Edge-glued lumber of bamboo Other articles, nesoi, of bamboo, incl pencil slats, burial caskets, gates for confining children or pets Plain coniferous wood dowel</w:t>
      </w:r>
    </w:p>
    <w:p>
      <w:pPr>
        <w:pStyle w:val="Normal"/>
      </w:pPr>
      <w:r>
        <w:t>pins Plain wood dowel pins, other than of coniferous wood or of bamboo Wood dowel pins of wood other than of bamboo, the foregoing sanded, grooved or otherwise advanced in condition Blinds, shutters, screens and shades of wood other than bamboo, with wooden frames having fixed louver boards or slats in the center Blinds, shutters, screens and shades of wood other than bamboo, with wooden frames w/o fixed louver boards or slats in the center Toothpicks of wood other than of bamboo Skewers, candy sticks, ice cream sticks, tongue depressors, drink mixers and similar wares, other than toothpicks, of wood other than bamboo Pickets, palings, posts and rails, sawn, of wood other than of bamboo;</w:t>
      </w:r>
    </w:p>
    <w:p>
      <w:pPr>
        <w:pStyle w:val="Normal"/>
      </w:pPr>
      <w:r>
        <w:t>assembled fence sections of wood other than of bamboo Spring-type clothespins of wood other than of bamboo Clothespins other than spring-type, of wood other than of bamboo Canoe paddles of wood other than of bamboo Theatrical, ballet and operatic scenery and properties, including sets, of wood other than of bamboo Edge-glued lumber of wood other than of bamboo Other articles, nesoi, of wood other than of bamboo, incl pencil slats, burial caskets, gates for confining children or pets, Natural cork, raw or simply prepared Waste cork Crushed, granulated or ground cork Natural cork, debacked or roughly squared or in rectangular blocks, plates, sheets or strip (incl.</w:t>
      </w:r>
    </w:p>
    <w:p>
      <w:pPr>
        <w:pStyle w:val="Normal"/>
      </w:pPr>
      <w:r>
        <w:t>sharp-edged blanks for corks or stoppers) Corks and stoppers of natural cork, tapered and of a thickness (or length) greater than the maximum diameter, n/o 19 mm maximum diameter Corks and stoppers wholly of natural cork,tapered &amp; of a thickness (or length) greater than the maximum diam.,over 19 mm maximum diam.</w:t>
      </w:r>
    </w:p>
    <w:p>
      <w:pPr>
        <w:pStyle w:val="Normal"/>
      </w:pPr>
      <w:r>
        <w:t>Corks and stoppers of natural cork, tapered &amp; of a thickness (or length) greater than the maximum diam.,over 19 mm maximum diam., nesi Corks and stoppers of natural cork, of a thickness (or length) not greater than the maximum diameter Disks, wafers and washers of natural cork Natural cork wallcoverings, backed with paper or otherwise reinforced Articles of natural cork, other than corks and stoppers Vulcanized sheets and slabs wholly of agglomerated ground or pulverized cork and rubber Insulation of compressed agglomerated cork, coated or not coated Floor coverings of agglomerated cork Agglomerated cork wallcoverings, backed with paper or otherwise reinforced Agglomerated cork stoppers, not tapered, wholly of cork, of a thickness (or length) greater than the maximum diameter Corks, stoppers, disks, wafers and washers of agglomerated cork, nesi Blocks, plates, sheets and strip; tiles of any shape; solid cylinder; all the foregoing of cork; all the foregoing, nesi Agglomerated cork and articles of cork, nesoi Woven or partly assembled materials of bamboo, for mats, matting and screens Bamboo floor coverings Mats, matting and screens of bamboo, nesoi Woven or partly</w:t>
      </w:r>
    </w:p>
    <w:p>
      <w:pPr>
        <w:pStyle w:val="Normal"/>
      </w:pPr>
      <w:r>
        <w:t>assembled materials of rattan for mats, matting and screens Rattan floor coverings Mats, matting and screens of rattan, nesoi Woven or partly assembled materials of willow for mats, matting and screens Woven or partly assembled vegetable materials other than bamboo, rattan or willow, for mats, matting and screens Willow floor coverings Mats, matting and screens of willow, nesoi Plaits of bamboo and similar products of such plaiting materials, whether or not assembled into strips Products of bamboo other than plaits and similar products such as plaiting materials. Rattan webbing for mats, matting and screens Plaits of rattan and similar products of such plaiting materials, whether or not assembled into strips Products of rattan other than plaits and similar products such as plaiting materials.</w:t>
      </w:r>
    </w:p>
    <w:p>
      <w:pPr>
        <w:pStyle w:val="Normal"/>
      </w:pPr>
      <w:r>
        <w:t>Plaits of vegetable materials and similar products of such plaiting materials, whether or not assembled into strips Products nesoi, of plaiting materials, bound together in parallel strands or woven, in sheet form, of willow or wood Products nesoi, of plaiting vegetable materials nesoi, bound together in parallel strands or woven, in sheet form Plaits and similar products of plaiting materials (not vegetable), whether or not assembled into strips Products nesoi of plaiting materials (not vegetable), bound together in parallel strands or woven, in sheet form, nesoi Fishing baskets or creels made from bamboo Baskets and bags of bamboo wickerwork Baskets and bags of bamboo other than wickerwork Luggage, handbags and flat goods, whether or not lined, of bamboo Articles of wickerwork, neosi, of bamboo Basketwork and other articles, neosi, of one or more of bamboo Fishing baskets or creels made from rattan Baskets and bags of rattan wickerwork Baskets and bags of rattan other than wickerwork Articles of a kind normally carried in the pocket or in the handbag, of</w:t>
      </w:r>
    </w:p>
    <w:p>
      <w:pPr>
        <w:pStyle w:val="Normal"/>
      </w:pPr>
      <w:r>
        <w:t>rattan Luggage, handbags and flat goods, whether or not lined, of rattan,nesoi Articles of wickerwork, neosi, of rattan Basketwork and other articles, neosi, of rattan Fishing baskets or creels made from vegetable materials Baskets and bags, nesi, whether or not lined, of willow Baskets and bags of palm leaf wickerwork Baskets and bags of palm leaf other than wickerwork Baskets and bags of vegetable material wickerwork,</w:t>
      </w:r>
    </w:p>
    <w:p>
      <w:pPr>
        <w:pStyle w:val="Normal"/>
      </w:pPr>
      <w:r>
        <w:t>neosi Baskets and bags of vegetable material, neosi Luggage, handbags and flat goods, whether or not lined, of willow Articles of a kind normally carried in the pocket or in the handbag,of palm leaf Luggage, handbags and flat goods, whether or not lined, of palm leaf, nesoi Luggage, handbags and flat goods, whether or not lined, made from plaiting materials nesoi Articles of wickerwork, neosi, of willow or wood Basketwork and other articles, neosi, of willow or wood Articles of wickerwork, neosi, of vegetable materials, nesoi Basketwork and other articles, neosi, of vegetables materials, nesoi Basketwork, wickerwork and other articles made directly from plaiting materials or from articles of heading 4601, nesi;</w:t>
      </w:r>
    </w:p>
    <w:p>
      <w:pPr>
        <w:pStyle w:val="Normal"/>
      </w:pPr>
      <w:r>
        <w:t>loofah articles Mechanical woodpulp Chemical woodpulp, dissolving grades Chemical woodpulp, soda or sulfate, other than dissolving grades, of unbleached coniferous wood Chemical woodpulp, soda or sulfate, other than dissolving grades, of unbleached nonconiferous wood Chemical woodpulp, soda or sulfate, other than dissolving grades, of semibleached or bleached coniferous wood Chemical woodpulp, soda or sulfate, other than dissolving grades, of semibleached or bleached nonconiferous wood Chemical woodpulp, sulfite, other than dissolving grades, of unbleached coniferous wood Chemical woodpulp, sulfite, other than dissolving grades, of unbleached nonconiferous wood Chemical woodpulp, sulfite, other than dissolving grades, of semibleached or bleached coniferous wood</w:t>
      </w:r>
    </w:p>
    <w:p>
      <w:pPr>
        <w:pStyle w:val="Normal"/>
      </w:pPr>
      <w:r>
        <w:t>Chemical woodpulp, sulfite, other than dissolving grades, of semibleached or bleached nonconiferous wood Semichemical woodpulp Cotton linters pulp Pulps of fibers derived from recovered (waste and scrap) paper or paperboard Pulps of fibrous cellulosic material, of bamboo Pulps of fibrous cellulosic material, other than cotton linters pulp, mechanical Pulps of fibrous cellulosic material, other than cotton linters pulp, chemical Pulps of fibrous cellulosic material, other than cotton linters pulp, semichemical Waste and scrap of unbleached kraft paper or paperboard or of corrugated paper or paperboard Waste and scrap of other paper or paperboard, made mainly of bleached chemical pulp, not colored in the mass Waste and scrap of paper or paperboard made mainly of mechanical pulp (for example, newspapers, journals, and similar printed matter) Waste and scrap of paper or paperboard nesi, including unsorted waste and scrap Newsprint, in rolls or sheets Handmade paper and paperboard Paper &amp; paperboard use for photo-sensitive/heat-sensitive/electro-sensitive paper/paperboard, in strip/rolls ov 15 cm wide or certain sheets Uncoated basic paper for photo-sensitive/heat-sensitve/eletro-sensitive paper/paperboard to be</w:t>
      </w:r>
    </w:p>
    <w:p>
      <w:pPr>
        <w:pStyle w:val="Normal"/>
      </w:pPr>
      <w:r>
        <w:t>sensitized for photography, roll/sheets nesoi Uncoated paper and paperboard of a kind used for photo-sensitive/heat-sensitve/eletro sensitive paper/paperboard, in rolls or sheets nesoi Wallpaper base (hanging paper), in rolls or sheets Writing paper, weigh &lt; 40 g/m2,</w:t>
      </w:r>
    </w:p>
    <w:p>
      <w:pPr>
        <w:pStyle w:val="Normal"/>
      </w:pPr>
      <w:r>
        <w:t>cont.</w:t>
      </w:r>
    </w:p>
    <w:p>
      <w:pPr>
        <w:pStyle w:val="Normal"/>
      </w:pPr>
      <w:r>
        <w:t>n/o 10% total fiber content by a mechanical/chemi- process, in strip/roll ov 15 cm wide/certain sheets India &amp; bible paper, weigh &lt; 40 g/m2, n/o 10% total fiber content by a mechanical/chemi- process, in strip/roll ov 15 cm wide/certain sheets Carbonizing base paper weighing n/ov 15 g/m2, in strip/roll over 15 cm wide or rectangular sheets w/side ov 36 cm and other ov 15 cm unfold Other basic paper to be sensitized use in photography, wt &lt; 40g/m2, n/o 10% total fiber by mechanical/chem- process, in rolls/sheets nesoi Carbonizing base paper of a kind used for writing, printing or other graphic purposes, in rolls or sheets nesoi Writing/cover paper, wt 40 g/m2-150 g/m2, n/o 10% total fiber by mechanical/chemi process, in rolls exceeding 15 cm in width Drawing paper, wt 40 g/m2 -150 g/m2, n/o 10% total fiber content by mechanical/chemi- process, in rolls exceeding 15 cm in width India/bible paper, wt 40 g/m2-150 g/m2, n/o 10% total fiber content by mechanical/chemi- process, in rolls exceeding 15 cm in width</w:t>
      </w:r>
    </w:p>
    <w:p>
      <w:pPr>
        <w:pStyle w:val="Normal"/>
      </w:pPr>
      <w:r>
        <w:t>Paper &amp; paperboard, nesoi, 40 g/m2-150 g/m2, n/o 10% total fiber by mechanical/chemi- process, in rolls exceeding 15 cm in width Other basic paper be sensitized for use photography, 40g/m2-150g/m2, n/o 10% total fiber by mechanical/chemi- process, rolls n/o 15 cm wide Other paper/paperboard for writing/printing/other graphic purpose,40g/m2 150g/m2,n/o 10% fiber mechanical/chemi- process,roll n/o 15 cm wide Writing &amp; cover paper, wt 40 g/m2-150 g/m2, n/o 10% by</w:t>
      </w:r>
    </w:p>
    <w:p>
      <w:pPr>
        <w:pStyle w:val="Normal"/>
      </w:pPr>
      <w:r>
        <w:t>weight total fiber content by mechanical/chemi- process, in certain size sheets Drawing paper, wt 40 g/m2-150 g/m2, contain n/o 10% weight total fiber content obtained by mechanical/chemi- process, in certain size sheets India &amp; bible paper, wt 40 g/m2-150 g/m2, n/o 10% by wt. total fiber content obtained by mechanical/chemi- process, in certain size sheets Paper &amp; paperboard nesoi, 40 g/m2-150 g/m2, n/o 10% by wt. total fiber content obtained by mechanical/chemi- process, in certain size sheets Other basic paper be sensitized use in photography, wt. 40g/m2-150g/m2, n/o 10% total fiber by mechanical/chemi- process, other sized sheets Paper/paperboard for writing/printing/other graphic purpose,wt 40g/m2-150g/m2, n/o 10% fiber by mechanical/chemi- process,other sized sheets Writing/cover paper, wt 40 g/m2-150 g/m2, cont. n/o 10% by weight total fiber content obtained by mechanical/chemi- process, in sheets nesoi Drawing paper, wt 40 g/m2 to 150 g/m2, cont. n/o 10% by weight total fiber content obtained by mechanical/chemi- process, in sheets nesoi India &amp; bible paper, wt 40 g/m2 to 150 g/m2, cont. n/o 10% by wt. total fiber content obtained by mechanical/chemi- process, in sheets nesoi Paper &amp; paperboard nesoi, 40 g/m2-150 g/m2, cont. n/o 10% by wt.</w:t>
      </w:r>
    </w:p>
    <w:p>
      <w:pPr>
        <w:pStyle w:val="Normal"/>
      </w:pPr>
      <w:r>
        <w:t>total fiber content obtained by mechanical/chemi- process, in sheets nesoi Writing/cover paper, &gt;150 g/m2, n/o 10% by wt total fiber content by mechanical process/chemi-, in strip/roll ov 15 cm wide or certain sheet Paper &amp; paperboard nesoi, &gt;150 g/m2, n/o 10% total fiber content by mechanical/chemi- process, in strip/roll ov 15 cm wide or certain sheets Basic paper be sensitized for photography, wt &gt;150 g/m2, n/o 10% total fiber content by mechanical process/chemi-, in rolls/sheets nesoi Paper/paperboard for writing/printing/other graphic purpose,&gt;150 g/m2, n/o 10% fiber content by mechanical process/chemi-,rolls/sheets nesoi Writing &amp; cover paper, over 10% by wt total fiber content consists of fiber obtained by mechanical/chemi- process, in rolls over 15 cm wide Drawing paper, over 10% by weight total fiber content consists of fiber obtained by mechanical/chemi- process, in rolls over 15 cm wide Paper and paperboard for graphic purpose nesoi, ov 10% total fiber content obtained by mechanical/chemi- process, in rolls over 15 cm wide Basic paper to be sensitized for photography, ov 10% total fiber content</w:t>
      </w:r>
    </w:p>
    <w:p>
      <w:pPr>
        <w:pStyle w:val="Normal"/>
      </w:pPr>
      <w:r>
        <w:t>obtained by mechanical/chemi- process, in rolls n/o 15 cm wide Paper/paperboard for writing/printing/other graphic purposes nesoi, ov 10% total fiber by mechanical/chemi- process, in rolls n/o 15 cm wide Writing &amp; cover paper, over 10% by wt total fiber content consists of fiber obtained by mechanical/chemi- process, in certain size sheets Drawing paper, which ov 10% by</w:t>
      </w:r>
    </w:p>
    <w:p>
      <w:pPr>
        <w:pStyle w:val="Normal"/>
      </w:pPr>
      <w:r>
        <w:t>weight total fiber content consists of fiber obtained by mechanical/chemi- process, in certain size sheets Paper and paperboard for graphic purposes nesoi, ov 10% by wt total fiber obtained by mechanical/chemi- process, in certain size sheets Basic paper to be sensitized for use in photography, ov 10% by wt total fiber obtained by mechanical/chemi- process, other sized sheets Paper/paperboard for graphic purposes nesoi, ov 10% by wt total fiber obtained by mechanical/chemi- process, other sized sheets Writing &amp; cover paper, of which over 10% by weight total fiber content consists of fiber obtained by mechanical process, sheets nesoi Drawing paper, of which over 10% by weight total fiber content consists of fiber obtained by mechanical process, in sheets nesoi Paper and paperboard for graphic purposes nesoi, ov 10% by wt total fiber obtained by mechanical/chemi- process, in sheets nesoi Cellulose wadding in rolls over 36 cm wide or sheets with at least one side over 36 cm Toilet, facial tissue, towel or napkin stock and paper for household/sanitary purposes, in</w:t>
      </w:r>
    </w:p>
    <w:p>
      <w:pPr>
        <w:pStyle w:val="Normal"/>
      </w:pPr>
      <w:r>
        <w:t>rolls or sheets of specific measure Uncoated, unbleached kraftliner, in rolls or sheets Uncoated kraftliner, other than unbleached, in rolls or sheets Uncoated, unbleached sack kraft paper, in rolls or sheets Uncoated sack kraft paper, other than unbleached, in rolls or sheets Uncoated, unbleached kraft condenser paper, in rolls or sheets, weighing more than 15 g/m 2 but not over 30 g/m 2 Uncoated, unbleached kraft</w:t>
      </w:r>
    </w:p>
    <w:p>
      <w:pPr>
        <w:pStyle w:val="Normal"/>
      </w:pPr>
      <w:r>
        <w:t>condenser paper, in rolls or sheets, weighing less than 15 g/m 2 or more than 30 g/m 2 to 150 g/m 2 Uncoated, unbleached kraft wrapping paper in rolls or sheets, weighing 150 g/m2 or less Uncoated, unbleached kraft paper nesi, in rolls or sheets, weighing 150 g/m2 or less Uncoated kraft condenser paper, other than unbleached, in rolls or sheets, weighing 150 g/m2 or less Uncoated kraft wrapping paper, other than unbleached, in rolls or sheets, weighing 150 g/m2 or less Uncoated kraft paper and paperboard, other than unbleached, in rolls or sheets, weighing 150 g/m2 or less, nesi Uncoated, unbleached kraft wrapping paper in rolls or sheets, weighing more than 150 but less than 225 g/m2 Uncoated, unbleached kraft paper and paperboard, nesi, in rolls or sheets, weighing more than 150 but less than 225 g/m2 Uncoated, bleached kraft paper and paperboard,over 150 but n/o 225 g/m2,over 95% content of wood fibers by chemical process,rolls or sheets Uncoated kraft paper and paperboard, nesi, in rolls or sheets, weighing</w:t>
      </w:r>
    </w:p>
    <w:p>
      <w:pPr>
        <w:pStyle w:val="Normal"/>
      </w:pPr>
      <w:r>
        <w:t>more than 150 but less than 225 g/m2, nesi Uncoated, unbleached kraft paper and paperboard, in rolls or sheets, weighing 225 g/m2 or more Uncoated, bleached kraft paper &amp; paperboard, over 225 g/m2, over 95% content of wood fibers obtained by chemical process, rolls or sheets Uncoated kraft paper and paperboard in rolls or sheets, weighing 225 g/m2 or more, nesi Uncoated semichemical fluting paper, in rolls or sheets, not further worked than as specified in note 3 to</w:t>
      </w:r>
    </w:p>
    <w:p>
      <w:pPr>
        <w:pStyle w:val="Normal"/>
      </w:pPr>
      <w:r>
        <w:t>chapter 48 Uncoated straw fluting paper, weighing 150 g/m2 or less, in rolls or sheets, not further worked than as specified in note 3 to chapter 48 Uncoated straw fluting pape, weighing over 150 g/m2, in rolls or sheets, not further worked than as specified in note 3 to chapter 48 Uncoated fluting paper nesoi, weighing 150 g/m2 or less, in rolls or sheets, not further worked than as specified in note 3 to chapter 48 Uncoated fluting paper nesoi, weighing over 150 g/m2, in rolls or sheets, not further worked than as specified in note 3 to chapter 48 Uncoated testliner (recycled liner board), weighing n/o 15 g/m2, in rolls or sheets, not further worked than in note 3 to chapter 48 Uncoated testliner, weighing over 15 g/m2 but not over 30 g/m2, in rolls or sheets, not further worked than in note 3 to chapter 48 Uncoated testliner, weighing over 30 g/m2 but not over 150 g/m2, in rolls or sheets, not further worked than in note 3</w:t>
      </w:r>
    </w:p>
    <w:p>
      <w:pPr>
        <w:pStyle w:val="Normal"/>
      </w:pPr>
      <w:r>
        <w:t>to chapter 48 Uncoated testliner, weighing more than 150 g/m2, in rolls or sheets, not further worked than as specified in note 3 to chapter 48 Uncoated sulfite wrapping paper in rolls or sheets Uncoated filter paper and paperboard in rolls or sheets Uncoated felt paper and paperboard in rolls or sheets Uncoated multi-ply paper &amp; paperboard, bibulous &amp; wrapping paper, weigh 150 g/m2 or less, in rolls/sheets, not further worked than in note 3 Uncoated condenser paper, weighing 150 g/m2 or less, in rolls or sheets, not further worked than as specified in</w:t>
      </w:r>
    </w:p>
    <w:p>
      <w:pPr>
        <w:pStyle w:val="Normal"/>
      </w:pPr>
      <w:r>
        <w:t>note 3 to chapter 48 Uncoated paper and paperboard nesoi, weighing not over 15 g/m2, in rolls or sheets, not further worked than as in note 3 to chapter 48 Uncoated paper and paperboard nesoi, weigh over 15 g/m2 but n/o 30 g/m2, in rolls or sheets, not further worked than in note 3 to chapter 48 Uncoated paper and paperboard nesoi, weigh ov 30 g/m2 but n/o 150 g/m2, in rolls or sheets, not further worked than in note 3 to chapter 48 Uncoated pressboard, weighing more than 150 g/m2 but less than 225 g/m2, in rolls or sheets, not further worked than in note 3 to chapter 48 Uncoated paper &amp; paperboard nesoi, weighing &gt; 150 g/m2 but &lt; 225 g/m2, in rolls or sheets, not further worked than in note 3 to chapter 48 Uncoated pressboard weighing 225 g/m2 or more, in rolls or sheets, not further worked than as specified in note 3 to chapter 48 Uncoated paper and paperboard nesoi, weighing 225 g/m2 or more,</w:t>
      </w:r>
    </w:p>
    <w:p>
      <w:pPr>
        <w:pStyle w:val="Normal"/>
      </w:pPr>
      <w:r>
        <w:t>in rolls or sheets, not further worked than as in note 3 to chapter 48 Vegetable parchment in rolls or sheets Greaseproof papers in rolls or sheets Tracing papers in rolls or sheets Glassine and other glazed transparent or translucent papers, in rolls or sheets Composite paper and paperboard, laminated internally with bitumen, tar or asphalt, not surface-coated or impregnated, in rolls or sheets Composite straw paper and paperboard, not surface-coated or impregnated, in rolls or sheets Composite cloth-lined or reinforced paper, not surface-coated or impregnated, in rolls or sheets</w:t>
      </w:r>
    </w:p>
    <w:p>
      <w:pPr>
        <w:pStyle w:val="Normal"/>
      </w:pPr>
      <w:r>
        <w:t>Composite paper and paperboard nesoi, not surface-coated or impregnated, in rolls or sheets Corrugated paper and paperboard, whether or not perforated, in rolls or sheets Kraft paper, creped or crinkled, whether or not embossed or perforated Paper and paperboard, creped or crinkled, in rolls or sheets, nesi Paper and paperboard, embossed, in rolls or sheets, nesi Paper and paperboard, in rolls or sheets, nesi Self-copy writing paper in rolls over 36 cm wide or rectangular sheets over 36 cm on side(s) Self-copy paper in rolls over 36 cm wide or rectangular sheets over 36 cm on side(s), other than writing paper Stereotype-matrix board and mat in rolls over 36 cm wide or in rectangular sheets over 36 cm on side(s) Simplex decalcomania paper in rolls over 36 cm wide or in rectangular sheets over 36 cm on side(s) Duplex decalcomania paper in rolls over 36 cm wide or in rectangular sheets over 36 cm on side(s) Carbon paper, self-copy paper and other copying or transfer paper, Impregnated, coated or both,</w:t>
      </w:r>
    </w:p>
    <w:p>
      <w:pPr>
        <w:pStyle w:val="Normal"/>
      </w:pPr>
      <w:r>
        <w:t>but otherwise not treated Copying or transfer papers, nesi, in rolls over 36 cm wide or rectangular sheets over 36 cm on side(s) Basic paper be sensitized for photography, coated w/inorganic, n/o 150 g/m2, n/o 10% fiber by mechanical/chemi- process, rolls ov 15 cm wide India or bible paper, coated w/inorganic, n/o 150 g/m2, n/o 10% fiber content obtained by a mechanical/chemi- process, rolls ov 15 cm wide Paper/paperboard for graphic use nesoi, coated w/inorganic, n/o 150g/m2, n/o</w:t>
      </w:r>
    </w:p>
    <w:p>
      <w:pPr>
        <w:pStyle w:val="Normal"/>
      </w:pPr>
      <w:r>
        <w:t>10% fiber by mechanical/chemi- process, rolls ov 15 cm wide Paper and paperboard for graphic use, coated w/inorganic, ov 150g/m2, n/o 10% fiber by mechanical/chemi- process, in rolls over 15 cm wide Printed/embossed/perforated paper &amp; paperboard graphic use, coated w/inorganic, n/o 10% fiber by mech/chemi- process, rolls n/o 15 cm wide Basic paper be sensitized for photography, coated w/kaolin/inorganic, n/o 10% fiber by mechanical/chemi- process, rolls n/o 15 cm wide Paper &amp; paperboard for graphic purposes nesoi, coated w/kaolin/inorganic, n/o 10% fiber by mechanical/chemi- process, rolls n/o 15 cm wide Basic paper be sensitized for photography, coated w/inorganic, n/o 150g/m2, n/o 10% fiber by mechanical/chemi- process, certain size sheets India or bible paper, coated w/inorganic, n/o 150 g/m2, of n/o 10% fiber content obtained by mechanical/chemi- process, certain size sheets Paper and paperboard for graphic use nesoi, coated w/inorganic, n/o 150g/m2, n/o 10% fiber by mechanical/chemi- process, certain size sheets Paper and paperboard for graphic use, coated w/inorganic, ov 150g/m2, n/o 10% fiber obtained mechanical/chemi- process, certain size sheets Printed/embossed/perforated</w:t>
      </w:r>
    </w:p>
    <w:p>
      <w:pPr>
        <w:pStyle w:val="Normal"/>
      </w:pPr>
      <w:r>
        <w:t>paper &amp; paperboard, coated w/inorganic, n/o 10% fiber obtained mechanical/chemi- process, other sized sheets Basic paper be sensitized use in photography, coated w/inorganic, n/o 10% fiber obtained mechanical/chemi- process, other sized sheets Paper &amp; paperboard for graphic purposes nesoi, coated</w:t>
      </w:r>
    </w:p>
    <w:p>
      <w:pPr>
        <w:pStyle w:val="Normal"/>
      </w:pPr>
      <w:r>
        <w:t>w/inorganic, n/o 10% fiber obtained mechanical/chemi- process, other sized sheets Basic paper be sensitized use in photography, coated w/inorganic, n/o 150g/m2, n/o 10% fiber by mechanical/chemi- process, sheets nesoi India or bible paper, coated w/inorganic, n/o 150 g/m2, of n/o 10% fiber content obtained by a mechanical/chemi- process, sheets nesoi Paper &amp; paperboard for graphic use nesoi, coated w/inorganic, n/o 150g/m2, n/o 10% fiber obtained by mechanical/chemi- process, sheets nesoi Paper and paperboard for graphic use, coated w/inorganic, ov 150g/m2, n/o 10% fiber obtained by a mechanical/chemi- process, sheets nesoi Light-weight coated paper for graphic use, &gt; 10% fiber content obtained by mechanical/chemi- process, strip/roll ov 15 cm wide/sized sheets Light-wt coated printed/embossed/perforated paper/paperboard for graphic, &gt; 10% fiber obtained mechanical/chemi- process, roll/sheet nesoi Light-weight coated basic paper be sensitized use in photography, &gt; 10% fiber obtained mechanical/chemi- process, rolls/sheets nesoi Light-wt coated paper &amp; paperboard used for graphic purposes, &gt; 10% fiber obtained by a mechanical/chemi- process, roll/sheet nesoi Paper/paperboard for graphic, coated w/inorganic, &gt; 10% fiber obtained by</w:t>
      </w:r>
    </w:p>
    <w:p>
      <w:pPr>
        <w:pStyle w:val="Normal"/>
      </w:pPr>
      <w:r>
        <w:t>mechanical/chemi- process, strip/roll ov 15 cm wide &amp; sized sheets Printed/embossed/perforated paper/paperboard for graphic, coated w/inorganic, &gt; 10% fiber by mechanical/chemi- process, rolls/sheets nesoi Basic paper to be sensitized for use in</w:t>
      </w:r>
    </w:p>
    <w:p>
      <w:pPr>
        <w:pStyle w:val="Normal"/>
      </w:pPr>
      <w:r>
        <w:t>photography, coated w/inorganic, &gt; 10% fiber by mechanical/chemi- process, rolls/sheets nesoi Paper/paperboard used for graphic purposes, coated w/inorganic, &gt; 10% fiber by mechanical/chemi- process, rolls/sheets nesoi Nongraphic bleached coated kraft paper/paperboard, &gt;95% wood fiber by chemical process, 150g/m2 or &lt;, strip/roll ov 15 cm wide/certain sheet Bleached coated kraft paper cards, not punched, for punchcard machine, &gt;95% wood fiber by chemical process, 150g/m2 or &lt;, rolls/sheets nesoi Nongraphic bleached coated kraft paper/paperboard nesoi, of &gt; 95% wood fiber by chemical process, 150 g/m2 or less, in rolls or sheets nesoi Nongraphic bleached coated kraft paper/paperboard, &gt; 95% wood fiber by chemical process, &gt;150g/m2, strip/roll ov 15 cm wide/certain sheets Bleached coated kraft paper card, not punched, for punchcard machine, &gt;95% wood fiber by chemical process, &gt; 150g/m2, in strips/sheets nesoi Nongraphic bleached coated kraft paper/paperboard nesoi, of &gt; 95% wood fiber obtained chemical process, &gt; 150 g/m2, in rolls or sheets nesoi Nongraphic nonbleach uniformly kraft paper/paperboard,coated w/inorganic,wheth impreg but not treated,strip/roll ov 15cm wide/certain sheet Nongraphic nonbleached uniformly kraft paper and paperboard nesoi, coated w/kaolin/inorganic substances, strip/roll ov 15 cm/certain sheets Nonbleached uniformly kraft paper cards, not punched, for punchcard machines, coated w/inorganic substances, strips/sheets nesoi Nongraphic nonbleached</w:t>
      </w:r>
    </w:p>
    <w:p>
      <w:pPr>
        <w:pStyle w:val="Normal"/>
      </w:pPr>
      <w:r>
        <w:t>uniformly kraft paper or paperboard nesoi, coated with kaolin or other inorganic substances, in rolls or sheets nesoi Multi-ply paper &amp; paperboard nesoi, coat w/kaolin/other inorganic substances, wt &gt; 150g/m2, strips/rolls ov 15 cm wide or certain sheets Multi-ply paper/paperboard nesoi, coat w/kaolin/other inorganic substances, wt 150g/m2 or less, strips/rolls ov 15 cm wide or certain sheets Mult-ply paper/paperboard cards, not punched, for punchcard machines, coated w/kaolin/other inorganic substances, in strips/sheets nesoi Multi-ply paper or paperboard nesoi, coated with kaolin or other inorganic substances, in rolls n/o 15 cm wide and rectangular sheets nesoi Paper &amp; paperboard nesoi, coated with kaolin or other inorganic substances, in strips/rolls ov 15 cm wide or certain size rectangular sheets Paper &amp; paperboard cards nesoi, not punched, for punchcard machines, coated w/kaolin/inorganic substances, in strips or sheets nesoi Paper and paperboard nesoi, coated with kaolin or other inorganic substances, in rolls n/o 15 cm wide and rectangular sheets nesoi Tarred, bituminized or asphalted paper &amp; paperboard, in strip/roll ov 15cm wide or rectangular sheet</w:t>
      </w:r>
    </w:p>
    <w:p>
      <w:pPr>
        <w:pStyle w:val="Normal"/>
      </w:pPr>
      <w:r>
        <w:t>w/side ov 36cm &amp; other ov 15cm unfolded Tarred, bituminized or asphalted paper and paperboard, in strips or rolls not over 15 cm wide or in rectangular sheets nesoi Self-adhesive paper &amp; paperboard, in strips/rolls ov 15cm wide or rectangular sheets w/1 side ov 36cm &amp; other side ov 15cm in unfolded Self-adhesive paper</w:t>
      </w:r>
    </w:p>
    <w:p>
      <w:pPr>
        <w:pStyle w:val="Normal"/>
      </w:pPr>
      <w:r>
        <w:t>and paperboard, in strips or rolls not over 15 cm wide Self-adhesive paper and paperboard, in rectangular sheets nesoi Gummed or adhesive paper and paperboard (other than self-adhesive), in strips or rolls over 15 cm wide or certain sized rectangular sheets Gummed or adhesive paper and paperboard (other than self-adhesive), in strips or rolls not over 15 cm wide Gummed or adhesive paper and paperboard (other than self-adhesive), in rectangular sheets nesoi Bleached paper and paperboard, coated/impregnated/covered w/plastics, wt &gt;150g/m2, 0.3mm or more thick, in certain size strips/rolls/sheets Bleached paper and paperboard, coated/impregnated/covered w/plastics, wt &gt; 150 g/m2, &lt; 0.3 mm thick, in certain size strips/rolls/sheets Bleached paper and paperboard, coated/impregnated/covered w/plastics, wt &gt; 150 g/m2, in rolls n/o 15 cm wide or rectangular sheets nesoi Bleached nesoi/nonbleached printing paper, coated, impregnated or covered with plastics, in strips/rolls ov 15cm wide or certain size sheets Bleached nesoi/nonbleached paper and paperboard nesoi, coated/impregnated/covered with plastics, in certain size strip/rolls/sheets Bleached nesoi/nonbleached paper &amp; paperboard, coated/impregnated/covered with plastics, in rolls n/o 15 cm wide or rectangular sheets nesoi Paper and paperboard, coated/impregnated/covered with wax/paraffin/stearin/oil/glycerol, in strips/rolls ov 15cm wide or certain size sheets Paper and paperboard, coated/impregnated/covered with</w:t>
      </w:r>
    </w:p>
    <w:p>
      <w:pPr>
        <w:pStyle w:val="Normal"/>
      </w:pPr>
      <w:r>
        <w:t>wax/paraffin/stearin/oil/glycerol, in rolls n/o 15cm wide or rectangular sheets nesoi Handmade paper of cellulose fibers, in strip or roll ov 15 cm wide or rectangular sheets w/1 side ov 36 cm and other ov 15 cm in unfolded Paper/paperboard/cell wadding/webs of cell fibers, all/partly covered w/flock/gelatin/metal/metal solutions, in certain strip/rolls/sheets Paper, paperboard, cellulose wadding and webs of cellulose fibers, impregnated with latex, in certain size strips/rolls/sheets Paper, paperboard, cellulose wadding and webs of cellulose fibers, nesoi, weighing not over 15 g/m2, in certain size strips, rolls or sheets Paper, paperboard, cellulose wadding and web of cellulose fibers, nesoi, wt ov 15g/m2 n/o 30g/m2, in certain size strips, rolls or sheets Paper, paperboard, cellulose wadding and webs of cellulose fibers, nesoi, weighing over 30 g/m2, in certain size strips, rolls or sheets Paper, paperboard, cellulose wadding and webs of cellulose fibers, nesoi, in rolls n/o 15 cm wide or rectangular sheets nesoi Filter blocks, slabs and plates of paper pulp Cigarette paper in the form of booklets or tubes Cigarette paper</w:t>
      </w:r>
    </w:p>
    <w:p>
      <w:pPr>
        <w:pStyle w:val="Normal"/>
      </w:pPr>
      <w:r>
        <w:t>in rolls of a width not exceeding 5 cm Cigarette paper, whether or not cut to size, nesi Wallpaper and similar wallcoverings of paper, coated or covered on the face side with a layer of plastics Other wallpaper and similar wallcoverings, nesoi;</w:t>
      </w:r>
    </w:p>
    <w:p>
      <w:pPr>
        <w:pStyle w:val="Normal"/>
      </w:pPr>
      <w:r>
        <w:t>window transparencies of paper, nesoi Self-copy paper, nesi Carbon or similar copying papers, nesoi Envelopes</w:t>
      </w:r>
    </w:p>
    <w:p>
      <w:pPr>
        <w:pStyle w:val="Normal"/>
      </w:pPr>
      <w:r>
        <w:t>of paper or paperboard Sheets of writing paper with border gummed or perforated, prepared for use as combination sheets and envelopes Other letter cards, plain postcards and correspondence cards, nesi Boxes, pouches, wallets and writing compendiums, of paper or paperboard, containing an assortment of paper stationery Toilet paper Handkerchiefs, cleansing or facial tissues and towels of paper pulp, paper, cellulose wadding or webs of cellulose fiber Tablecloths and table napkins of paper pulp, paper, cellulose wadding or webs of cellulose fiber Articles of apparel and clothing accessories of paper pulp, paper, cellulose wadding or webs of cellulose fibers Bedsheets and similar household, sanitary or hospital articles of paper, cellulose wadding or webs of cellulose fibers, nesi Cartons, boxes and cases of corrugated paper or paperboard Folding cartons, boxes and cases of noncorrugated paper or paperboard Sacks and bags, having a base of a width of 40 cm or more, of paper, paperboard, cellulose wadding or webs of cellulose fibers Sacks and bags, nesi, including cones, of paper, paperboard, cellulose wadding</w:t>
      </w:r>
    </w:p>
    <w:p>
      <w:pPr>
        <w:pStyle w:val="Normal"/>
      </w:pPr>
      <w:r>
        <w:t>or webs of cellulose fibers Sanitary food and beverage containers of paper, paperboard, cellulose wadding or webs of cellulose fibers, nesi Record sleeves of paper, paperboard, cellulose wadding or webs of cellulose fibers Packing containers, nesi, of paper, paperboard, cellulose wadding or webs of cellulose fibers Box files, letter trays, storage &amp; like articles, used in</w:t>
      </w:r>
    </w:p>
    <w:p>
      <w:pPr>
        <w:pStyle w:val="Normal"/>
      </w:pPr>
      <w:r>
        <w:t>offices &amp; shops, of paper,paperboard,cellulose wadding/webs of cellulose fibers Diaries, notebooks and address books, bound;</w:t>
      </w:r>
    </w:p>
    <w:p>
      <w:pPr>
        <w:pStyle w:val="Normal"/>
      </w:pPr>
      <w:r>
        <w:t>letter and memorandum pads and similar articles, of paper or paperboard Registers, account, order and receipt books, and similar articles, of paper or paperboard, nesi Exercise books of paper or paperboard Binders (other than book covers), folders and file covers of paper or paperboard Manifold business forms and interleaved carbon sets of paper or paperboard Albums for samples or for collections, of paper or paperboard Blotting pads and other articles of stationery nesi, and book covers, of paper or paperboard Paper and paperboard labels, printed in whole or part by a lithographic process Paper and paperboard labels, printed by other than a lithographic process Pressure-sensitive paper and paperboard labels, not printed Paper and paperboard labels, not printed, nesi Bobbins, spools, cops and similar supports of paper pulp, paper or paperboard of a kind used for winding textile yarn Bobbins, spools, cops and similar supports of paper pulp, paper or paperboard, nesi Paint filters and strainers of paper or paperboard Filter paper and paperboard, nesi Rolls, sheets and dials of paper or paperboard printed for self-recording apparatus Trays, dishes, plates, cups and the like, of paper or paperboard:</w:t>
      </w:r>
    </w:p>
    <w:p>
      <w:pPr>
        <w:pStyle w:val="Normal"/>
      </w:pPr>
      <w:r>
        <w:t>of bamboo Trays, dishes, plates, cups and the like, of paper or paperboard Molded or pressed articles of paper pulp Articles of paper pulp, nesi Articles of</w:t>
      </w:r>
    </w:p>
    <w:p>
      <w:pPr>
        <w:pStyle w:val="Normal"/>
      </w:pPr>
      <w:r>
        <w:t>papier-mache, nesi Cards of paper or paperboard, nesoi, not punched, for punchcard machines, whether or not in strips Frames or mounts for photographic slides of paper or paperboard Hand fans of paper or paperboard Gaskets, washers and other seals of coated paper or paperboard Coated paper or paperboard, nesoi Articles of cellulose wadding, nesi Gaskets, washers and other seals of paper, paperboard and webs of cellulose fibers, nesi Articles of paper pulp, paper, paperboard, cellulose wadding or webs of cellulose fibers, nesoi Printed books, brochures, leaflets and similar printed matter in single sheets, whether or not folded Printed dictionaries and encyclopedias and serial installments thereof Printed books, brochures, leaflets and similar printed matter, other than in single sheets Newspapers, journals and periodicals, appearing at least four times a week Newspaper supplements printed by a gravure process Newspaper, journals and periodicals, except those appearing at least four times a week Children’s picture, drawing or coloring books Music, printed or in manuscript, whether or not bound or illustrated Globes, printed Maps and</w:t>
      </w:r>
    </w:p>
    <w:p>
      <w:pPr>
        <w:pStyle w:val="Normal"/>
      </w:pPr>
      <w:r>
        <w:t>hydrographic or similar charts of all kinds, including atlases and topographical plans, printed in book form Maps and hydrographic or similar charts of all kinds, including atlases, wall maps and topographical plans, printed, in other than book form Hand-drawn original plans and drawings;</w:t>
      </w:r>
    </w:p>
    <w:p>
      <w:pPr>
        <w:pStyle w:val="Normal"/>
      </w:pPr>
      <w:r>
        <w:t>hand-written texts; photo reproductions on sensitized paper</w:t>
      </w:r>
    </w:p>
    <w:p>
      <w:pPr>
        <w:pStyle w:val="Normal"/>
      </w:pPr>
      <w:r>
        <w:t>and carbon copies of the foregoing Unused stamps of current or new issue in country to which destined; stamp-impressed paper; check forms;</w:t>
      </w:r>
    </w:p>
    <w:p>
      <w:pPr>
        <w:pStyle w:val="Normal"/>
      </w:pPr>
      <w:r>
        <w:t>documents of title, etc Transfers (decalcomanias), vitrifiable Transfers (decalcomanias), not vitrifiable Postcards, printed or illustrated Printed cards (except postcards) bearing personal greetings, messages or announcements, with or without envelopes or trimmings Calendars printed on paper or paperboard in whole or in part by a lithographic process, not over 0.51 mm in thickness Calendars printed on paper or paperboard in whole or in part by a lithographic process, over 0.51 mm in thickness Printed calendars, including calendar blocks, printed on paper or paperboard by other than a lithographic process Printed trade advertising material, commercial catalogs and the like Pictures, designs and photographs, printed over 20 years at time of importation Pictures, designs and photographs printed not over 20 years at time of importation, used in production of articles of heading 4901 Lithographs on paper or paperboard, not over 0.51 mm in thickness, printed not over 20 years at time of importation Lithographs on paper or paperboard, over 0.51 mm in thickness, printed not over 20 years at time of importation Pictures,</w:t>
      </w:r>
    </w:p>
    <w:p>
      <w:pPr>
        <w:pStyle w:val="Normal"/>
      </w:pPr>
      <w:r>
        <w:t>designs and photographs, excluding lithographs on paper or paperboard, printed not over 20 years at time of importation Printed international customs forms (carnets), and parts thereof, in English or French, (whether or not in</w:t>
      </w:r>
    </w:p>
    <w:p>
      <w:pPr>
        <w:pStyle w:val="Normal"/>
      </w:pPr>
      <w:r>
        <w:t>additional languages) Printed matter, nesi, printed on paper in whole or in part by a lithographic process Printed matter, nesi Silkworm cocoons suitable for reeling Raw silk (not thrown) Silk waste (including cocoons unsuitable for reeling, yarn waste and garnetted stock) not carded or combed Silk waste (including cocoons unsuitable for reeling, yarn waste and garnetted stock) carded or combed Silk yarns (other than yarn spun from silk waste) not put up for retail sale Yarn spun from silk waste, not put up for retail sale Spun yarn, containing 85% or more by weight of silk, put up for retail sale;</w:t>
      </w:r>
    </w:p>
    <w:p>
      <w:pPr>
        <w:pStyle w:val="Normal"/>
      </w:pPr>
      <w:r>
        <w:t>silkworm gut Spun silk yarn, containing less than 85% by weight of silk, put up for retail sale Woven fabrics of noil silk, containing 85 percent or more by weight of silk or silk waste Woven fabrics of noil silk, containing less than 85 percent by weight of silk or silk waste Woven fabrics containing 85 percent or more by weight of silk or of silk waste, other than noil silk Woven silk fabrics, containing 85 percent or more by weight of silk or silk waste, nesoi Other silk woven fabrics, containing less than 85 percent by weight of silk or silk waste, nesoi Unimproved wool and other wool not finer than 46s, greasy, shorn, not carded or combed, for special uses Unimproved wool and other wool not finer than 40s, greasy, shorn, not carded or combed, not for special uses Wool, excluding unimproved, finer than 40s but not 44s, greasy, shorn, not carded or combed, not for special uses</w:t>
      </w:r>
    </w:p>
    <w:p>
      <w:pPr>
        <w:pStyle w:val="Normal"/>
      </w:pPr>
      <w:r>
        <w:t>Wool, excluding unimproved, finer than 44s but not 46s, greasy, shorn, not carded or combed, not for special uses Wool, excluding unimproved, finer than 46s, greasy, shorn, not carded or combed Unimproved wool and other wool not finer than 46s, greasy, not shorn, not carded or combed, for special uses Unimproved wool and other wool not finer than 40s, greasy, not shorn, not carded or combed, not for special uses Wool, excl. unimproved, finer than 40s, but not 44s, greasy, not shorn, not carded or combed, not for special uses Wool, excluding unimproved, finer than 44s but not 46s, greasy, not shorn, not carded or combed, not for special uses Wool, excluding unimproved, finer than 46s, greasy, incl. fleece-washed, not shorn, not carded or combed Unimproved wool and other wool not finer than 46s, degreased, not further processed, shorn, not carded or combed, for special uses Unimproved wool and other wool not finer than 40s, degreased, not further processed, shorn, not carded or combed, not for special uses Wool, excl.</w:t>
      </w:r>
    </w:p>
    <w:p>
      <w:pPr>
        <w:pStyle w:val="Normal"/>
      </w:pPr>
      <w:r>
        <w:t>unimproved, finer than 40s but not 44s, degreased, not further processed, shorn, not carded or combed, not for special uses Wool, excl. unimproved, finer than 44s but not 46s, degreased, not further processed, shorn, not carded or combed, not for special uses Wool, excl.</w:t>
      </w:r>
    </w:p>
    <w:p>
      <w:pPr>
        <w:pStyle w:val="Normal"/>
      </w:pPr>
      <w:r>
        <w:t>unimproved, finer than 46s, degreased, not further processed, shorn, not carded or combed, not for special uses Unimproved wool and other wool, not finer than 46s, degreased, shorn, not carbonized, not carded or combed Unimproved wool and other wool, finer than 46s, degreased, shorn, not carbonized, not carded or combed Unimproved wool and other wool not finer than 46s, degreased, not further processed, not shorn, not carded or combed, for special uses Unimproved wool and other wool not finer than 40s, degreased, not further processed, not shorn, not carded or combed, not for special uses Wool, excl. unimproved, finer than 40s but not 44s, degreased, not further processed, not shorn, not carded or combed, not for special uses Wool, excl. unimproved, finer than 44s but not 46s, degreased, not further processed, not shorn, not carded or combed, not for special uses Wool, excl.</w:t>
      </w:r>
    </w:p>
    <w:p>
      <w:pPr>
        <w:pStyle w:val="Normal"/>
      </w:pPr>
      <w:r>
        <w:t>unimproved, finer than 46s, degreased, not further processed, not shorn, not carded or combed, not for special uses Unimproved wool and other wool, not finer than 46s, not shorn, not carbonized, degreased and further processed, not carded or combed Wool, finer than 46s, not carded or combed, not carbonized, not shorn, degreased and processed to remove grease Unimproved wool and other wool, not finer than 40s, carbonized, not further processed, not carded or combed Wool, excluding unimproved, finer than 40s but not finer than 44s, carbonized, not further processed, not carded or combed Wool, excluding unimproved, finer than 44s but not finer than 46s, carbonized, not further processed, not carded or combed Wool, excluding unimproved, finer than 46s, carbonized, not further processed, not carded or combed Unimproved wool and other wool, not finer than 46s, carbonized and further processed, not carded or combed Unimproved wool and other wool, finer than 46s, carbonized and further processed, not carded or combed Fine hair of Kashmir (cashmere) goats, not processed in any manner</w:t>
      </w:r>
    </w:p>
    <w:p>
      <w:pPr>
        <w:pStyle w:val="Normal"/>
      </w:pPr>
      <w:r>
        <w:t>beyond the degreased or carbonized condition, not carded or combed Fine hair of Kashmir (cashmere) goats, processed beyond the degreased or carbonized condition, not carded or combed Fine hair of the camel, not processed in any manner beyond the degreased or carbonized condition, not carded or combed Fine animal hair (other than Kashmir or camel), not processed beyond the degreased or carbonized</w:t>
      </w:r>
    </w:p>
    <w:p>
      <w:pPr>
        <w:pStyle w:val="Normal"/>
      </w:pPr>
      <w:r>
        <w:t>condition, not carded or combed Fur, prepared for hatters’ use, not carded or combed Fine animal hair (other than Kashmir), processed beyond the degreased or carbonized condition, not carded or combed Coarse animal hair, not carded or combed Noils of wool or of fine animal hair Waste, other than noils, of wool or of fine animal hair, including yarn waste but excluding garnetted stock Waste of coarse animal hair, including yarn waste but excluding garnetted stock Garnetted stock of wool or of fine or coarse animal hair Carded wool Combed wool in fragments Wool tops and other combed wool, except in fragments Fine hair of Kashmir (cashmere) goats, carded or combed Fine animal hair (other than Kashmir), carded or combed Coarse animal hair, carded or combed Yarn of carded wool, containing 85 percent or more by weight of wool, not put up for retail sale Yarn of carded wool, containing less than 85 percent by weight of wool, not put up for retail sale Yarn of combed wool, containing 85%</w:t>
      </w:r>
    </w:p>
    <w:p>
      <w:pPr>
        <w:pStyle w:val="Normal"/>
      </w:pPr>
      <w:r>
        <w:t>or more by weight of wool, not put up for retail sale, of wool fiber avg diameter 18.5 micron or &lt; Yarn of combed wool, containing 85% or more by weight of wool, not put up for retail sale, nesoi Yarn of combed wool, containing less than 85 percent by weight of wool, not put up retail sale, of wool fiber avg diameter 18.5 micron or &lt; Yarn of combed wool, containing less than 85 percent by weight of wool, not put up retail sale, nesoi Yarn of Angora rabbit hair, carded, not put up for retail sale</w:t>
      </w:r>
    </w:p>
    <w:p>
      <w:pPr>
        <w:pStyle w:val="Normal"/>
      </w:pPr>
      <w:r>
        <w:t>Yarn of mohair, carded, not put up for retail sale Yarn of fine animal hair other than Angora rabbit hair or mohair, carded, not put up for retail sale Yarn of Angora rabbit hair, combed, not put up for retail sale Yarn of mohair, combed, not put up for retail sale Yarn of fine animal hair other than Angora rabbit hair or mohair, combed, not put up for retail sale Yarn of wool, containing 85 percent or more by weight of wool, colored, cut into uniform lengths of not over 8 cm, put up for retail sale Yarn of Angora rabbit hair, containing 85 percent or more by weight of the Angora hair, put up for retail sale Yarn of wool nesoi, or fine animal hair nesoi, over 85% or &gt; of that wool/hair, for retail sale, of wool fiber avg diamter 18.5 micron or &lt; Yarn of wool nesoi, or fine animal hair nesoi, over 85% or &gt; of that wool/hair, put up for retail sale, nesoi Yarn of</w:t>
      </w:r>
    </w:p>
    <w:p>
      <w:pPr>
        <w:pStyle w:val="Normal"/>
      </w:pPr>
      <w:r>
        <w:t>wool, colored, and cut into uniform lengths of not over 8 cm, containing less than 85% by weight of wool, put up for retail sale Yarn of Angora rabbit hair containing less than 85 percent by weight of the Angora hair, put up for retail sale Yarn of wool nesoi, or fine animal hair nesoi, &lt; 85% of that wool/hair, for retail sale, of wool fiber avg diameter 18.5 micron or &lt; Yarn of wool nesoi, or fine animal hair nesoi, &lt; 85% of that wool/hair, put up for retail sale, nesoi Yarn of coarse animal hair or horsehair (including gimped horsehair yarn) whether or not put up for retail sale Tapestry and upholstery fabrics of</w:t>
      </w:r>
    </w:p>
    <w:p>
      <w:pPr>
        <w:pStyle w:val="Normal"/>
      </w:pPr>
      <w:r>
        <w:t>carded wool/fine animal hair, over 85% wool or hair, weighing not over 140 g/m2 Hand-woven fabrics of carded wool/fine animal hair, 85% or more wool or hair, loom width less than 76 cm, weight not over 300 g/m2 Woven fabrics, 85% or more by weight of carded wool/fine animal hair, weight not over 300 g/m2, nesoi Tapestry and upholstery fabrics, woven, 85% or more by weight of carded wool/fine animal hair, weight over 300 g/m2 Hand-woven fabrics, with 85 percent or more by weight of carded wool/fine animal hair, loom width of less than 76 cm, weight ov 300 g/m2 Woven fabrics, with 85 percent or more by weight of carded wool/fine animal hair nesoi, weight over 300 g/m2 Tapestry &amp; upholstery fabrics of carded wool/fine animal hair, mixed mainly or solely with man-made filaments, weight exceeding 300 g/m2 Tapestry &amp; upholstery fabrics of carded wool/fine animal hair, mixed mainly or solely with man-made filaments, weight not over 140 g/m2 Woven fabrics of carded wool/fine animal hair, mixed mainly or</w:t>
      </w:r>
    </w:p>
    <w:p>
      <w:pPr>
        <w:pStyle w:val="Normal"/>
      </w:pPr>
      <w:r>
        <w:t>solely with man-made filaments, nesoi Tapestry &amp; upholstery fabrics of carded wool/fine animal hair, mixed mainly/solely with man-made staple fibers, weight exceeding 300 g/m2 Tapestry &amp; upholstery fabrics of carded wool/fine animal hair, mixed mainly/solely with man-made staple fibers, weight not over 140 g/m2 Woven fabrics of carded wool/fine animal hair, mixed mainly or solely with man-made staple fibers, nesoi Woven fabrics of carded wool/fine animal hair, containing 30 percent</w:t>
      </w:r>
    </w:p>
    <w:p>
      <w:pPr>
        <w:pStyle w:val="Normal"/>
      </w:pPr>
      <w:r>
        <w:t>or more by weight of silk or silk waste, valued over $33/kg Tapestry and upholstery fabrics of carded wool/fine animal hair, weight over 300 g/m2, containing less than 85% wool or hair, nesoi Tapestry and upholstery fabrics of carded wool/fine animal hair, weight not over 140 g/m2, containing less than 85% wool or hair, nesoi Woven fabrics of carded wool/fine animal hair, containing less than 85% wool or hair, nesoi Tapestry and upholstery fabrics of combed wool/fine animal hair, containing 85% or more wool or hair, weight not over 140 g/m2 Woven fabrics of combed wool/fine animal hair, over 85% wool or hair, weight not over 200 g/m2, avg wool fiber diameter 18.5 micron or &lt; Woven fabrics of combed wool/fine animal hair, over 85% wool or hair, weight not over 200 g/m2, nesoi Tapestry and upholstery fabrics of combed wool/fine animal hair, over 85% wool or hair, weight over 300 g/m2 Woven fabrics of combed wool/fine animal hair, over 85% wool or fine animal hair, ov 200 g/m2, avg</w:t>
      </w:r>
    </w:p>
    <w:p>
      <w:pPr>
        <w:pStyle w:val="Normal"/>
      </w:pPr>
      <w:r>
        <w:t>wool fiber diameter 18.5 micron or &lt; Woven fabrics of combed wool/fine animal hair, over 85% wool or fine animal hair, weight over 200 g/m2, nesoi Tapestry and upholstery fabrics of combed wool/fine animal hair, mixed mainly/solely with man-made filaments, weight over 300 g/m2 Tapestry and upholstery fabrics of combed wool/fine animal hair, mixed mainly/solely with man-made filaments, weight not over 140 g/m2 Woven fabrics of combed wool/fine animal hair, mixed mainly or solely with man- made</w:t>
      </w:r>
    </w:p>
    <w:p>
      <w:pPr>
        <w:pStyle w:val="Normal"/>
      </w:pPr>
      <w:r>
        <w:t>filaments, nesoi Tapestry and upholstery fabrics of combed wool/fine animal hair, mixed mainly/solely with man-made staple fibers, weight over 300 g/m2 Tapestry &amp; upholstery fabrics of combed wool/fine animal hair, mixed mainly/solely with man-made staple fibers, weight not over 140 g/m2 Woven fabrics of combed wool/fine animal hair, mixed mainly or solely with man- made staple fibers, nesoi Woven fabrics of combed wool/fine animal hair, nesoi, containing 30 percent or more by weight of silk or silk waste, valued over $33/kg Woven tapestry/upholstery fabrics of combed wool/fine animal hair, con. by wt. under 85% wool/hair &amp; under 30% silk, over 300 g/m2, nesoi Woven tapestry/upholstery fabrics of combed wool/fine animal hair, con. by wt.</w:t>
      </w:r>
    </w:p>
    <w:p>
      <w:pPr>
        <w:pStyle w:val="Normal"/>
      </w:pPr>
      <w:r>
        <w:t>under 85% wool/hair &amp; under 30% silk, n/o 140 g/m2, nesoi Woven fabrics of combed wool or combed fine animal hair, nesoi Woven fabrics of coarse animal hair or of horsehair Cotton, not carded or combed, having a staple length under 19.05 mm (3/4 inch), harsh or rough Cotton, n/carded or combed, having a staple length &lt; 28.575 mm (1-1/8 inches), n/harsh or rough, described in gen. note 15 Cotton, n/carded or combed, having a staple length &lt; 28.575 mm (1-1/8 inches), n/harsh or rough, quota described in ch 52 add’l US note 5 Cotton, not carded or combed, having a staple length under 28.575 mm (1-1/8 inches), n/harsh or rough, nesoi * Cotton, not carded or combed, staple length of 28.575 mm or more but under 34.925 mm, described in gen.</w:t>
      </w:r>
    </w:p>
    <w:p>
      <w:pPr>
        <w:pStyle w:val="Normal"/>
      </w:pPr>
      <w:r>
        <w:t>note 15 Cotton,n/carded or combed,harsh or rough,staple length 29.36875 mm or more but n/o 34.925 mm,white in color,quota descrd ch 52 add US note 6 Cotton, not carded or combed, harsh or rough, staple length of 29.36875 mm or more but under 34.925 mm &amp; white in color, nesoi * Cotton, not carded or combed, staple length of 28.575 mm or more but under 34.925 mm, other, quota described in chapter 52 add’l US note 7 Cotton, not carded or combed, staple length of 28.575 mm or more but under 34.925 mm, nesoi * Cotton, not carded or combed, having a staple length of 34.925 mm or more, described in the gen.</w:t>
      </w:r>
    </w:p>
    <w:p>
      <w:pPr>
        <w:pStyle w:val="Normal"/>
      </w:pPr>
      <w:r>
        <w:t>note 15 Cotton, not carded or combed, having a staple length of 34.925 mm or more, quota described in chapter 52 add’l US note 8 Cotton, not carded or combed, having a staple length of 34.925 mm or more, nesoi * Cotton yarn waste (including thread waste) Cotton garnetted stock Cotton card strips made from cotton waste having staple length under 30.1625 mm &amp; lap, sliver &amp; roving waste described in gen. nte 15 Cotton card strips made from cotton waste w/staple length under 30.1625 mm &amp; lap, sliver &amp; roving waste, quota dscrbd in ch 52 add US note 9 Cotton card strips made from cotton waste having staple length under 30.1625 mm &amp; lap, sliver &amp; roving waste, nesoi * Cotton waste, other than yarn waste and garnetted stock, nesoi Cotton fibers, carded or combed, of cotton fiber processed but not spun, described in gen.</w:t>
      </w:r>
    </w:p>
    <w:p>
      <w:pPr>
        <w:pStyle w:val="Normal"/>
      </w:pPr>
      <w:r>
        <w:t>note 15 Cotton fibers, carded or combed, of cotton fiber processed but not spun, quota described in chapter 52 add’l US note 10 Cotton fibers, carded or combed, of cotton fiber processed, but not spun, nesoi * Cotton carded or combed, excluding fibers of cotton processed but not spun Cotton sewing thread, containing 85 percent or more by weight of cotton, not put up for retail sale Cotton sewing thread, containing less than 85 percent by weight of cotton, not put up for retail sale Cotton sewing thread, put up for retail sale Single cotton yarn, 85% or more cotton by weight, of uncombed fibers, not over 14 nm, unbleached, not mercerized, not put up for retail sale Single cotton yarn, 85% or more cotton by weight, of uncombed fibers, n/o 14 nm, bleached or mercerized Single cotton yarn, 85% or more cotton, of uncombed fibers, over 14 but n/o 43 nm, unbleached, not mercerized, not put up for retail sale Single cotton yarn, 85% or more cotton by weight,</w:t>
      </w:r>
    </w:p>
    <w:p>
      <w:pPr>
        <w:pStyle w:val="Normal"/>
      </w:pPr>
      <w:r>
        <w:t>of uncombed fibers, over 14 nm but n/o 43 nm, bleached or mercerized Single cotton yarn, 85% or more cotton, of uncombed fibers, over 43 but n/o 52 nm, unbleached, not mercerized, not put up for retail sale Single cotton yarn, 85% or more cotton, of uncombed fibers, over 43 nm but n/o 52 mm, bleached or mercerized Single cotton yarn, 85% or more cotton, of uncombed fibers, over 52 but n/o 80 nm, unbleached, not mercerized, not put up for retail sale Single cotton yarn, 85% or more cotton by weight, of uncombed fibers, over 52</w:t>
      </w:r>
    </w:p>
    <w:p>
      <w:pPr>
        <w:pStyle w:val="Normal"/>
      </w:pPr>
      <w:r>
        <w:t>but n/o 80 nm, bleached or mercerized Single cotton yarn, 85% or more cotton, of uncombed fibers, over 80 nm, unbleached, not mercerized, not put up for retail sale Single cotton yarn, 85% or more cotton, of uncombed fibers, over 80 nm, bleached or mercerized, not put up for retail sale, nesoi Single cotton yarn, 85% or more cotton by weight, of combed fibers, not over 14 nm, not put up for retail sale Single cotton yarn, 85% or more cotton by weight, of combed fibers, over 14 but n/o 43 nm, not put up for retail sale Single cotton yarn, 85% or more cotton by weight, of combed fibers, over 43 but n/o 52 nm, not put up for retail sale Single cotton yarn, 85% or more cotton by weight, of combed fibers, over 52 but n/o 80 nm, not put up for retail sale Single cotton yarn,85% or &gt; cotton by wt, of combed fiber, meas.&lt;125 but not&lt;106.38 decitex, &gt;80nm but not &gt;94nm, not put up for retail</w:t>
      </w:r>
    </w:p>
    <w:p>
      <w:pPr>
        <w:pStyle w:val="Normal"/>
      </w:pPr>
      <w:r>
        <w:t>sale Single cotton yarn,85% or &gt; cotton by wt,of combed fiber,meas.&lt;106.38 but not&lt;83.33 decitex, &gt;94nm but not &gt;120nm,not put up for retail sale Single cotton yarn, 85% or &gt; cotton by wt, of combed fibers, meas.&lt;83.33 decitex, &gt;120 nm, not put up for retail sale Multiple or cabled cotton yarn, 85% or more cotton by weight, of uncombed fibers, n/o 14 nm per single yarn, not put up for retail sale Multiple or cabled cotton yarn, 85% or more cotton by weight, of uncombed fibers, yarn over 14 but n/o 43 nm, not put up for retail sale Multiple or cabled cotton yarn, 85% or more cotton by weight, of</w:t>
      </w:r>
    </w:p>
    <w:p>
      <w:pPr>
        <w:pStyle w:val="Normal"/>
      </w:pPr>
      <w:r>
        <w:t>uncombed fibers, yarn over 43 but n/o 52 nm, not put up for retail sale Multiple or cabled cotton yarn, 85% or more cotton by weight, of uncombed fibers, yarn over 52 but n/o 80 nm, not put up for retail sale Multiple or cabled cotton yarn, 85% or more cotton by weight, of uncombed fibers, over 80 nm per single yarn, not put up for retail sale Multiple or cabled cotton yarn, 85% or more cotton by weight, of combed fibers, not over 14 nm per single yarn, not put up for retail sale Multiple or cabled cotton yarn, 85% or more cotton by weight, of combed fibers, yarn over 14 but n/o 43 nm, not put up for retail sale Multiple or cabled cotton yarn, 85% or more cotton by weight, of combed fibers, yarn over 43 but n/o 52 nm, not put up for retail sale Multiple or cabled cotton yarn, 85% or more cotton by weight, of combed fibers, yarn over 52 but n/o 80 nm,</w:t>
      </w:r>
    </w:p>
    <w:p>
      <w:pPr>
        <w:pStyle w:val="Normal"/>
      </w:pPr>
      <w:r>
        <w:t>not put up for retail sale Multiple or cabled cotton yarn, 85% or &gt; cotton by wt, of combed fibers, &gt;80nm but not &gt;94nm/single yarn, not put up for retail sale Multiple or cabled cotton yarn, 85% or &gt; cotton by wt, of combed fibers, &gt;94nm but not &gt;120nm/single yarn, not put up for retail sale Multiple or cabled cotton yarn, 85% or &gt; cotton by wt, of combed fibers, &gt;120nm per single yarn, not put up for retail sale Single cotton yarn, less than 85 percent cotton by weight, of uncombed fibers, not over 14 nm, not put up for retail sale Single cotton yarn, less than 85 percent cotton by weight, of uncombed fibers, over 14 but n/o</w:t>
      </w:r>
    </w:p>
    <w:p>
      <w:pPr>
        <w:pStyle w:val="Normal"/>
      </w:pPr>
      <w:r>
        <w:t>43 nm, not put up for retail sale Single cotton yarn, less than 85 percent cotton by weight, of uncombed fibers, over 43 but n/o 52 nm, not put up for retail sale Single cotton yarn, less than 85 percent cotton by weight, of uncombed fibers, over 52 but n/o 80 nm, not put up for retail sale Single cotton yarn, less than 85 percent cotton by weight, of uncombed fibers, over 80 nm, not put up for retail sale Single cotton yarn, less than 85 percent cotton by weight, of combed fibers, not over 14 nm, not put up for retail sale Single cotton yarn, less than 85 percent cotton by weight, of combed fibers, over 14 but n/o 43 nm, not put up for retail sale Single cotton yarn, less than 85 percent cotton by weight, of combed fibers, over 43 but n/o 52 nm, not put up for retail sale Single cotton yarn, less than 85 percent cotton by weight, of combed fibers, over 52 but n/o</w:t>
      </w:r>
    </w:p>
    <w:p>
      <w:pPr>
        <w:pStyle w:val="Normal"/>
      </w:pPr>
      <w:r>
        <w:t>80 nm, not put up for retail sale Single cotton yarn, less than 85 percent cotton by weight, of combed fibers, over 80 nm, not put up for retail sale Multiple or cabled cotton yarn, &lt; 85% cotton by weight, of uncombed fibers, not over 14 nm per single yarn, not put up for retail sale Multiple or cabled cotton yarn, &lt; 85% cotton by weight, of uncombed fibers, over 14 but n/o 43 nm/single yarn, not put up for retail sale Multiple or cabled cotton yarn, &lt; 85% cotton by weight, of uncombed fibers, over 43 but n/o 52 nm/single yarn, not put up for retail sale Multiple or cabled cotton yarn, &lt; 85% cotton by weight, of</w:t>
      </w:r>
    </w:p>
    <w:p>
      <w:pPr>
        <w:pStyle w:val="Normal"/>
      </w:pPr>
      <w:r>
        <w:t>uncombed fibers, over 52 but n/o 80 nm/single yarn, not put up for retail sale Multiple or cabled cotton yarn, &lt; 85% cotton by weight, of uncombed fibers, over 80 nm per single yarn, not put up for retail sale Multiple or cabled cotton yarn, &lt; 85% cotton by weight, of combed fibers, n/o 14 nm per single yarn, not put up for retail sale Multiple or cabled cotton yarn, &lt; 85% cotton by weight, of combed fibers, over 14 but n/o 43 nm per single yarn, not put up for retail sale Multiple or cabled cotton yarn, &lt; 85% cotton by weight, of combed fibers, over 43 but n/o 52 nm per single yarn, not put up for retail sale Multiple or cabled cotton yarn, &lt; 85% cotton by weight, of combed fibers, over 52 but n/o 80 nm per single yarn, not put up for retail sale Multiple or cabled cotton yarn, &lt; 85% cotton by weight, of combed fibers, over 80 nm per single yarn, not put</w:t>
      </w:r>
    </w:p>
    <w:p>
      <w:pPr>
        <w:pStyle w:val="Normal"/>
      </w:pPr>
      <w:r>
        <w:t>up for retail sale Cotton yarn, other than sewing thread, containing 85 percent or more cotton by weight, put up for retail sale Cotton yarn, other than sewing thread, containing less than 85 percent cotton by weight, put up for retail sale Woven cotton fabric, 85% or more cotton by weight, plain weave, weight not over 100 g/m2, unbleached, of number 42 or lower Woven cotton fabric, 85% or more cotton by weight, plain weave, weight not over 100 g/m2, unbleached, of numbers 43-68 Woven cotton fabric, 85% or more cotton by weight, plain weave, wt n/o 100 g/m2, unbleached, of number 69 or over, for typewriter ribbon Woven</w:t>
      </w:r>
    </w:p>
    <w:p>
      <w:pPr>
        <w:pStyle w:val="Normal"/>
      </w:pPr>
      <w:r>
        <w:t>cotton fabric, 85% or more cotton by weight, plain weave, weight not over 100 g/m2, unbleached, of number 69 or over, nesoi Woven cotton fabric, 85% or more cotton by weight, plain weave, weight over 100 but n/o 200 g/m2, unbleached, of numbers 42 or lower Woven cotton fabric, 85% or more cotton by weight, plain weave, weight over 100 but n/o 200 g/m2, unbleached, of numbers 43-68 Woven cotton fabric, 85% or more cotton by weight, plain weave, weight over 100 but n/o 200 g/m2, unbleached, of number 69 or over Unbleached 3- or 4-thread twill fabrics of cotton, incl.</w:t>
      </w:r>
    </w:p>
    <w:p>
      <w:pPr>
        <w:pStyle w:val="Normal"/>
      </w:pPr>
      <w:r>
        <w:t>cross twill, containing 85% or more of cotton by weight, weighing not over 200 g/m2 Unbleached satin or twill weave fabrics of cotton, containing 85% or more cotton by weight, weighing not more than 200 g/m2, nesoi Unbleached woven fabrics of cotton, nesoi, 85% or more of cotton by weight, weighing not more than 200 g/m2, of number 42 or lower Unbleached woven fabrics of cotton, nesoi, 85% or more of cotton by weight, weighing not more than 200 g/m2, of numbers 43-68 Unbleached woven fabrics of cotton, nesoi, 85% or more of cotton by weight, weighing not more than 200 g/m2, of number 69 or higher Woven cotton fabric, 85 percent or more cotton by weight, plain weave, not over 100 g/m2, bleached, of number 42 or lower Woven cotton fabric, 85% or more cotton by weight, plain weave, not over 100 g/m2, bleached, of numbers 43-68 Woven cotton fabric, 85% or more cotton by weight, plain weave, not over 100 g/m2,</w:t>
      </w:r>
    </w:p>
    <w:p>
      <w:pPr>
        <w:pStyle w:val="Normal"/>
      </w:pPr>
      <w:r>
        <w:t>bleached, of number 69 or higher Woven cotton fabric, 85% or more cotton by weight, plain weave, over 100 but n/o 200 g/m2, bleached, of number 42 or lower Woven cotton fabric, 85% or more cotton by weight, plain weave, over 100 but n/o 200 g/m2, bleached, of numbers 43-68 Woven cotton fabric, 85% or more cotton by weight, plain weave, over 100 but n/o 200 g/m2, bleached, of number 69 or higher Woven cotton fabric, &gt;= 85% by wt. cotton, &lt;= 200 g/m2, bleached, exc.</w:t>
      </w:r>
    </w:p>
    <w:p>
      <w:pPr>
        <w:pStyle w:val="Normal"/>
      </w:pPr>
      <w:r>
        <w:t>plain weave, 3- or 4-thread twill Bleached satin or twill weave fabrics, containing 85% or more cotton by weight, weighing not more than 200 g/m2, nesoi Bleached woven fabrics of cotton, nesoi, 85% or more cotton by weight, weighing not more than 200 g/m2, of number 42 or lower Bleached woven fabrics of cotton, nesoi, containing 85% or more cotton by weight, weighing not more than 200 g/m2, of numbers 43-68 Bleached woven fabrics of cotton, nesoi, containing 85% or more cotton by weight, weighing not more than 200 g/m2, of number 69 or higher Dyed plain weave certified hand-loomed fabrics of cotton, containing 85% or more cotton by weight, weighing not more than 100 g/m2 Dyed plain weave fabrics of cotton, containing 85% or more cotton by weight, weighing not more than 100 g/m2, of number 42 or lower, nesoi Dyed plain weave fabrics of cotton, containing 85% or more cotton by weight, weighing not more than 100 g/m2, of numbers 43-68, nesoi Dyed plain weave fabrics of cotton, containing 85% or more cotton by weight,</w:t>
      </w:r>
    </w:p>
    <w:p>
      <w:pPr>
        <w:pStyle w:val="Normal"/>
      </w:pPr>
      <w:r>
        <w:t>weighing not more than 100 g/m2, of number 69 or higher, nesoi Dyed plain weave certified hand-loomed fabrics of cotton, cont.</w:t>
      </w:r>
    </w:p>
    <w:p>
      <w:pPr>
        <w:pStyle w:val="Normal"/>
      </w:pPr>
      <w:r>
        <w:t>85% or more cotton by weight, weighing over 100 g/m2 but not over 200 g/m2 Dyed plain weave fabrics of cotton, nesoi, 85% or more cotton by weight, over 100 g/m2 but not more than 200 g/m2, of number 42 or lower Dyed plain weave fabrics of cotton, nesoi, 85% or more cotton by weight, over 100 g/m2 but not more than 200 g/m2, of numbers 43-68 Dyed plain weave fabrics of cotton, nesoi, 85% or more cotton by weight, over 100 g/m2 but not more than 200 g/m2, of number 69 or higher Dyed 3- or 4-thread twill fabrics of cotton, including cross twill, 85% or more cotton by weight, weighing not more than 200 g/m2 Dyed satin or twill weave fabrics of cotton, containing 85% or more cotton by weight, weighing not more than 200 g/m2, nesoi Dyed woven fabrics of cotton, nesoi, containing 85% or more cotton by weight, weighing not more than 200 g/m2, of number 42 or lower Dyed woven fabrics of cotton, nesoi, containing</w:t>
      </w:r>
    </w:p>
    <w:p>
      <w:pPr>
        <w:pStyle w:val="Normal"/>
      </w:pPr>
      <w:r>
        <w:t>85% or more cotton by weight, weighing not more than 200 g/m2, of numbers 43-68 Dyed woven fabrics of cotton, nesoi, containing 85% or more cotton by weight, weighing not more than 200 g/m2, of number 69 or higher Plain weave certified hand-loomed fabrics of cotton, 85% or more cotton by weight, weighing not over 100 g/m2, of yarns of different colors Plain weave fabrics of cotton, 85% or more cotton by weight, weighing not over 100 g/m2, number 42</w:t>
      </w:r>
    </w:p>
    <w:p>
      <w:pPr>
        <w:pStyle w:val="Normal"/>
      </w:pPr>
      <w:r>
        <w:t>or lower, of yarns of different colors Plain weave fabrics of cotton, 85% or more cotton by weight, weighing not over 100 g/m2, of numbers 43-68, of yarns of different colors Plain weave fabrics of cotton, 85% or more cotton by weight, weighing not over 100 g/m2, of number 69 or higher, of yarn of different colors Plain weave certified hand-loomed fabrics of cotton, 85% or more cotton by weight, over 100 but n/o 200 g/m2, of yarns of different colors Plain weave fabrics of cotton, 85% or more cotton by weight, over 100 but n/o 200 g/m2, of numbers 42 or lower, of yarns of different colors Plain weave fabrics of cotton, 85% or more cotton by weight, over 100 but n/o 200 g/m2, of numbers 43-68, of yarns of different colors Plain weave fabrics of cotton, 85% or more cotton by weight, over 100 but n/o 200 g/m2, number 69 or higher, of yarns of different colors 3- or 4-thread twill fabrics of cotton, including cross twill, 85% or more cotton by weight, not over 200 g/m2, of yarns of different colors Satin or twill weave fabrics of cotton, cont.</w:t>
      </w:r>
    </w:p>
    <w:p>
      <w:pPr>
        <w:pStyle w:val="Normal"/>
      </w:pPr>
      <w:r>
        <w:t>85% or more cotton by weight, weighing not over 200 g/m2, of yarns of different colors, nesoi Woven fabrics of cotton, nesoi, 85% or more cotton by weight, wt not more than 200 g/m2, of number 42 or lower, of yarns of different colors Woven fabrics of cotton, nesoi, 85% or more cotton by weight, wt not over 200 g/m2, of numbers 43-68, of yarns of different colors Woven fabrics of cotton, nesoi, 85% or more cotton by weight, wt not over 200 g/m2, of number 69 or higher, of yarns of different colors Printed certified hand-loomed plain weave fabrics of cotton, 85% or more cotton by weight, weighing not over 100 g/m2 Printed plain weave fabrics of cotton, containg 85% or more cotton by weight, weighing not over 100 g/m2, of number 42 or lower Printed plain weave fabrics of cotton, containing 85% or more cotton by weight, weighing not over 100 g/m2, of numbers 43-68 Printed plain weave fabrics of cotton, containg 85% or more cotton by weight,</w:t>
      </w:r>
    </w:p>
    <w:p>
      <w:pPr>
        <w:pStyle w:val="Normal"/>
      </w:pPr>
      <w:r>
        <w:t>weighing not over 100 g/m2, of number 69 or higher Printed certified hand-loomed plain weave fabrics of cotton, 85% or more cotton by weight, wt more than 100 g/m2 but not more than 200 g/m2 Printed plain weave fabrics of cotton, 85% or more cotton by weight, weighing over 100g/m2 but not more than 200 g/m2, of number 42 or lower Printed plain weave fabrics of cotton, 85% or more cotton by weight, weighing over 100 g/m2 but not more than 200 g/m2, of numbers 43-68 Printed plain weave fabrics of cotton, 85% or more cotton by weight, weighing</w:t>
      </w:r>
    </w:p>
    <w:p>
      <w:pPr>
        <w:pStyle w:val="Normal"/>
      </w:pPr>
      <w:r>
        <w:t>over 100g/m2 but not more than 200g/m2, of number 69 or higher Printed 3- or 4-thread twill fabrics of cotton, including cross twill, 85% or more cotton by weight, weighing not more than 200 g/m2 Printed satin or twill weave fabrics of cotton, containing 85% or more cotton by weight, weighing not more than 200 g/m2, nesoi Printed woven fabrics of cotton, nesoi, containing 85% or more cotton by weight, weighing not more than 200 g/m2, of number 42 or lower Printed woven fabrics of cotton, nesoi, containing 85% or more cotton by weight, weighing not more than 200 g/m2, of numbers 43-68 Printed woven fabrics of cotton, nesoi, containing 85% or more cotton by weight, weighing not more than 200 g/m2, of number 69 or higher Unbleached plain weave fabrics of cotton, 85 percent or more cotton by weight, weight more than 200 g/m2 Unbleached 3- or 4-thread twill fabrics of cotton, including cross twill, 85 percent or more cotton by weight, weighing more than 200 g/m2 Unbleached woven</w:t>
      </w:r>
    </w:p>
    <w:p>
      <w:pPr>
        <w:pStyle w:val="Normal"/>
      </w:pPr>
      <w:r>
        <w:t>fabrics of cotton, nesoi, containing 85% or more cotton by weight, weighing more than 200g/m2 Bleached plain weave fabrics of cotton, 85% or more cotton by weight, weighing more than 200 g/m2 Bleached 3- or 4-thread twill fabrics of cotton, including cross twill, 85 percent or more cotton by weight, weighing more than 200 g/m2 Bleached woven fabrics of cotton, nesoi, containing 85% or more cotton by weight, weighing more than 200g/m2 Dyed, plain weave certified hand-loomed fabrics of cotton, containing</w:t>
      </w:r>
    </w:p>
    <w:p>
      <w:pPr>
        <w:pStyle w:val="Normal"/>
      </w:pPr>
      <w:r>
        <w:t>85% or more cotton by weight, weighing more than 200 g/m2 Dyed, plain weave fabrics of cotton, containing 85% or more cotton by weight, weighing more than 200 g/m2, nesoi Dyed 3- or 4-thread twill fabrics of cotton, including cross twill, containing 85% or more cotton by weight, weighing more than 200 g/m2 Dyed woven fabrics of cotton, nesoi, containing 85% or more cotton by weight, weighing more than 200 g/m2 Plain weave certified hand-loomed fabrics of cotton, cont. 85% or more cotton by weight,weighing over 200 g/m2, of yarns of different colors Plain weave fabrics of cotton, nesoi, containing 85% or more cotton by weight, weighing more than 200 g/m2, of yarns of different colors Denim containing 85% or more cotton by weight, weighing more than 200 g/m2, of yarns of different colors 3- or 4-thread twill fabrics of cotton,incl.</w:t>
      </w:r>
    </w:p>
    <w:p>
      <w:pPr>
        <w:pStyle w:val="Normal"/>
      </w:pPr>
      <w:r>
        <w:t>cross twill, nesoi, 85% or more cotton by wt, weighing ov 200g/m2, of yarns of different colors Woven fabrics of cotton, nesoi, containing 85% or more cotton by weight, weighing more than 200 g/m2, of yarns of different colors Printed plain weave certified hand-loomed fabrics of cotton, containing 85% or more cotton by weight, weighing more than 200 g/m2 Printed plain weave fabrics of cotton, nesoi, containing 85% or more cotton by weight, weighing more than 200 g/m2 Printed 3- or 4-thread twill fabrics of cotton, including cross twill, containing 85% or more cotton by weight, weighing more than 200 g/m2 Printed woven fabrics of cotton, nesoi, containing 85% or more cotton by weight, weighing more than 200 g/m2 Unbleached plain weave fabrics of cotton, &lt; 85% cotton, mixed mainly/solely with man-made fibers, wt &lt; 200 g/m2, of number 42 or lower Unbleached plain weave fabrics of cotton, &lt; 85% cotton, mixed mainly/solely with man-made fibers, wt &lt; 200 g/m2, of numbers 43-68 Unbleached plain weave fabrics of cotton, &lt; 85% cotton, mixed mainly/solely with man-made fibers, wt &lt; 200 g/m2, of number 69 or higher Unbleached 3- or 4-thread twill fabrics of cotton, incl.</w:t>
      </w:r>
    </w:p>
    <w:p>
      <w:pPr>
        <w:pStyle w:val="Normal"/>
      </w:pPr>
      <w:r>
        <w:t>cross twill, &lt; 85% cotton by wt, mixed mainly/solely with mm fibers, n/o 200 g/m2 Unbleached satin or twill weave fabrics of cotton, &lt; 85% cotton by wt, mixed mainly/solely with man-made fibers, not more than 200 g/m2 Unbleached woven fabrics of cotton, nesoi, &lt; 85% cotton by wt, mixed mainly/solely with man-made fibers, n/o 200 g/m2, of number 42 or lower Unbleached woven fabrics of cotton, nesoi, &lt; 85% cotton by wt, mixed mainly/solely with man-made fibers, n/o 200 g/m2, of numbers 43-68 Unbleached woven fabrics of cotton, nesoi, &lt; 85% cotton by wt, mixed mainly/solely w/man-made fibers, n/o 200 g/m2, of number 69 or higher Bleached plain weave fabrics of cotton, &lt; 85% cotton by wt, mixed mainly/solely with man-made fibers, n/o 200 g/m2, of number 42 or lower Bleached plain weave fabrics of cotton, &lt; 85% cotton by wt, mixed mainly/solely with man-made fibers, not over 200 g/m2, of numbers 43-68 Bleached plain weave fabrics of cotton, &lt; 85% cotton by wt, mixed mainly/solely with man-made fibers, n/o 200 g/m2, of number 69 or higher Bleached 3- or 4-thread twill fabrics of cotton, incl.</w:t>
      </w:r>
    </w:p>
    <w:p>
      <w:pPr>
        <w:pStyle w:val="Normal"/>
      </w:pPr>
      <w:r>
        <w:t>cross twill, &lt; 85% cotton by wt, mixed mainly/solely w/man-made fibers, n/o 200 g/m2 Bleached satin or twill weave fabrics of cotton, &lt; 85% cotton by weight, mixed mainly/solely with man-made fibers, not more than 200 g/m2 Bleached woven fabrics of cotton, nesoi, &lt; 85% cotton by weight, mixed mainly/solely w/man-made fibers, n/o 200 g/m2, of number 42 or lower Bleached woven fabrics of cotton, nesoi, &lt; 85% cotton by weight, mixed mainly/solely with man-made fibers, n/o 200 g/m2, of numbers 43-68 Bleached woven fabrics of cotton, nesoi, &lt; 85% cotton by wt, mixed mainly/solely with man-made fibers, n/o 200 g/m2, of number 69 or higher Dyed plain weave fabrics of cotton, &lt; 85% cotton by wt, mixed mainly/solely with man- made fibers, not over 200 g/m2, of number 42 or lower Dyed plain weave fabrics of cotton, &lt; 85% cotton by wt, mixed mainly/solely with man- made fibers, not over 200 g/m2, of numbers 43-68 Dyed plain weave cotton fabrics, &lt; 85% cotton by wt, mixed mainly/solely with man- made fibers, not over 200 g/m2, of number 69 or higher Dyed 3 or 4-thread twill fabrics of cotton, incl.</w:t>
      </w:r>
    </w:p>
    <w:p>
      <w:pPr>
        <w:pStyle w:val="Normal"/>
      </w:pPr>
      <w:r>
        <w:t>cross twill, &lt; 85% cotton by wt, mixed mainly/solely with man-made fibers, wt n/o 200 g/m2 Dyed satin or twill weave fabrics of cotton, &lt; 85% cotton by wt, mixed mainly/solely with man-made fibers, weighing not more than 200 g/m2 Dyed woven fabrics of cotton, nesoi, &lt; 85% cotton by weight, mixed mainly/solely w/man-made fibers, not over 200 g/m2, of number 42 or lower Dyed woven fabrics of cotton, nesoi, &lt; 85% cotton by weight, mixed mainly/solely w/man-made fibers, not over 200 g/m2, of numbers 43-68 Dyed woven fabrics of cotton, nesoi, &lt; 85% cotton by wt, mixed mainly/solely w/man made fibers, not over 200 g/m2, of number 69 or higher Plain weave cotton fabrics, &lt; 85% cotton by wt, mixed mainly/solely w/mm fibers, n/o 200 g/m2, of number 42 or lower, of yarn of diff colors Plain weave cotton fabrics, &lt; 85% cotton by wt, mixed mainly/solely w/mm fibers, n/o 200 g/m2, of numbers 43-68, of yarn of different colors Plain weave cotton fabrics, &lt; 85% cotton by wt, mixed mainly/solely w/mm fibers, n/o 200 g/m2, number 69 or higher, of yarn of diff colors 3- or 4-thread twill fabrics of cotton,incl.</w:t>
      </w:r>
    </w:p>
    <w:p>
      <w:pPr>
        <w:pStyle w:val="Normal"/>
      </w:pPr>
      <w:r>
        <w:t>cross twill,&lt; 85% cotton by wt,mixed mainly/solely w/mm fibers,n/o 200 g/m2,of yarn diff colors Satin or twill weave fabrics of cotton,&lt; 85% cotton by wt,mixed mainly/solely w/mm fibers, wt n/o 200g/m2, of yarn of different colors,nesoi Woven fabrics of cotton,nesoi,&lt; 85% cotton by wt,mixed mainly/solely w/mm fibers, n/o 200g/m2, of number 42 or lower, of yarn of diff colors Woven fabrics of cotton,nesoi,&lt; 85% cotton by wt,mixed mainly/solely w/man-made fibers, n/o 200 g/m2, numbers 43-68, of yarn of diff colors Woven fabrics of cotton, nesoi, &lt; 85% cotton by wt, mixed mainly with m-m fibers, n/o 200 g/m2, number 69 or higher, of yarn of diff colors Printed plain weave cotton fabrics, &lt; 85% cotton by wt, mixed mainly/solely with man- made fibers, n/o 200 g/m2, of number 42 or lower Printed plain weave cotton fabrics, &lt; 85% cotton by wt, mixed mainly/solely with man- made fibers, n/o 200 g/m2, of numbers 43-68 Printed plain weave cotton fabrics, &lt; 85% cotton by weight, mixed mainly/solely with man-made fibers, n/o 200 g/m2, of number 69 or higher Printed 3- or 4-thread twill fabrics of cotton, incl.</w:t>
      </w:r>
    </w:p>
    <w:p>
      <w:pPr>
        <w:pStyle w:val="Normal"/>
      </w:pPr>
      <w:r>
        <w:t>cross twill, &lt; 85% cotton by wt, mixed mainly/solely w/man-made fibers, n/o 200 g/m2 Printed satin or twill weave cotton fabrics, nesoi, &lt; 85% cotton by wt, mixed mainly/solely with man-made fibers, weighing n/o 200 g/m2 Printed woven fabrics of cotton, nesoi, &lt; 85% cotton by wt, mixed mainly/solely with man-made fibers, wt n/o 200g/m2, of number 42 or lower Printed woven fabrics of cotton, nesoi, &lt; 85% cotton by wt, mixed mainly/solely with man-made fibers, weighing n/o 200g/m2, of numbers 43-68 Printed woven fabrics of cotton, nesoi, &lt; 85% cotton by wt, mixed mainly/solely w/man-made fibers, weighing n/o 200g/m2, number 69 or higher Unbleached plain weave fabrics of cotton, &lt; 85% cotton by wt, mixed mainly/solely with man-made fibers, over 200 g/m2 Unbleached 3- or 4-thread twill fabrics of cotton, incl. cross twill, &lt; 85% cotton by wt, mixed mainly/solely w/man-made fiber, ov 200 g/m2 Unbleached woven fabrics of cotton, nesoi, containing &lt; 85% cotton by weight, mixed mainly/solely with man-made fibers, more than 200 g/m2 Bleached plain weave fabrics of cotton, &lt; 85% cotton by weight, mixed mainly/solely with man-made fibers, over 200 g/m2 Bleached 3- or 4-thread twill fabrics of cotton, incl.</w:t>
      </w:r>
    </w:p>
    <w:p>
      <w:pPr>
        <w:pStyle w:val="Normal"/>
      </w:pPr>
      <w:r>
        <w:t>cross twill, &lt; 85% cotton by wt, mixed mainly/solely w/man-made fibers, over 200 g/m2 Bleached woven fabrics of cotton, nesoi, containing &lt; 85% cotton by weight, mixed mainly/solely with man-made fibers, more than 200g/m2 Dyed plain weave fabrics of cotton, containing &lt; 85% cotton by weight, mixed mainly/solely with man-made fibers, more than 200 g/m2 Dyed 3- or 4-thread twill fabrics of cotton, incl.</w:t>
      </w:r>
    </w:p>
    <w:p>
      <w:pPr>
        <w:pStyle w:val="Normal"/>
      </w:pPr>
      <w:r>
        <w:t>cross twill, &lt; 85% cotton by wt, mixed mainly/solely w/man-made fibers, more than 200g/m2 Dyed woven fabrics of cotton, nesoi, &lt; 85% cotton by weight, mixed mainly/solely with man-made fibers, weighing more than 200g/m2 Plain weave fabrics of cotton, &lt; 85% cotton by weight, mixed mainly/solely with man- made fibers, over 200g/m2, of yarns of different colors Denim containing &lt; 85% cotton by wt, mixed mainly/solely w/man-made fibers, weighing &gt; 200 g/m2, of yarns of different colors 3-or 4-thread twill fab of cotton,incl cross twill,nesoi,&lt; 85% cotton wt,mixed mainly/solely w/mm fibers,ov 200 g/m2, of yarn of diff colors Woven fabrics of cotton, nesoi, &lt; 85% cotton by weight, mixed mainly/solely w/manmade fibers, over 200g/m2, of yarns of different colors Printed plain weave fabrics of cotton, &lt; 85% cotton by wt, mixed mainly/solely with man-made fibers, weighing more than 200g/m2 Printed 3- or 4-thread twill fabrics of cotton, incl cross twill, &lt; 85% cotton by wt, mixed mainly/solely with man-made fibers, over 200g/m2 Printed woven fabrics of cotton, nesoi, &lt; 85% cotton by</w:t>
      </w:r>
    </w:p>
    <w:p>
      <w:pPr>
        <w:pStyle w:val="Normal"/>
      </w:pPr>
      <w:r>
        <w:t>weight, mixed mainly/solely with man-made fibers, weighing more than 200g/m2 Other woven fabrics of cotton, containing 36% or more by weight of wool or fine hair, weighing not more than 200 g/m2, unbleached Other woven fabrics of cotton, nesoi, weighing not more than 200 g/m2, unbleached Other woven fabrics of cotton, containing 36% or more by weight of wool or fine hair, weighing not more than 200 g/m2, bleached Other woven fabrics of cotton, nesoi, weighing not more than 200 g/m2, bleached Other woven fabrics of cotton, containing 36% or more by weight of wool or fine hair, weighing not more than 200 g/m2, dyed Other woven fabrics of cotton, nesoi, weighing not more than 200 g/m2, dyed Other woven fabrics of cotton, containing 36% or more of wool or fine hair, weighing not more than 200 g/m2, of yarns of different colors Other woven fabrics of cotton, nesoi, weighing not more than 200 g/m2, of yarns of different colors Other woven fabrics of cotton, containing 36% or more by</w:t>
      </w:r>
    </w:p>
    <w:p>
      <w:pPr>
        <w:pStyle w:val="Normal"/>
      </w:pPr>
      <w:r>
        <w:t>weight of wool or fine hair, weighing not more than 200 g/m2, printed Other woven fabrics of cotton, nesoi, weighing not more than 200 g/m2, printed Other woven fabrics of cotton, containing 36% or more by weight of wool or fine hair, weighing more than 200 g/m2, unbleached Other woven fabrics of cotton, nesoi, weighing more than 200 g/m2, unbleached Other woven fabrics of cotton, containing 36% or more by weight of wool or fine hair, weighing more than 200 g/m2, bleached Other woven fabrics of cotton,</w:t>
      </w:r>
    </w:p>
    <w:p>
      <w:pPr>
        <w:pStyle w:val="Normal"/>
      </w:pPr>
      <w:r>
        <w:t>nesoi, weighing more than 200 g/m2, bleached Other woven fabrics of cotton, containing 36% or more by weight of wool or fine hair, weighing more than 200 g/m2, dyed Other woven fabrics of cotton, nesoi, weighing more than 200 g/m2, dyed Other woven fabrics of cotton,containing 36% or more by weight of wool or fine hair,weighing more than 200 g/m2,of yarns of different colors Other woven fabrics of cotton, nesoi, weighing more than 200 g/m2, of yarns of different colors Other woven fabrics of cotton, containing 36% or more by weight of wool or fine hair, weighing more than 200 g/m2, printed Other woven fabrics of cotton, nesoi, weighing more than 200 g/m2, printed Flax, raw or retted Flax, broken or scutched Flax, hackled or otherwise processed, except broken or scutched but not spun Flax tow and waste (including yarn waste and garnetted stock) True hemp, raw or retted True hemp, processed but not spun;</w:t>
      </w:r>
    </w:p>
    <w:p>
      <w:pPr>
        <w:pStyle w:val="Normal"/>
      </w:pPr>
      <w:r>
        <w:t>tow and waste of true hemp (including yarn waste and garnetted stock) Jute and other textile bast fibers (excluding flax, true hemp and ramie), raw or retted Jute and other textile bast fibers (excluding flax, true hemp and ramie), processed but not spun; tow and waste of these fibers Coconut, abaca, ramie, other veg. fibers, nesoi, raw or processed, not spun; tow noils and their wastes (incl.</w:t>
      </w:r>
    </w:p>
    <w:p>
      <w:pPr>
        <w:pStyle w:val="Normal"/>
      </w:pPr>
      <w:r>
        <w:t>yarn waste and garnetted stoc Flax yarn, single Flax yarn, multiple (folded) or cabled Yarn of jute or other textile bast fibers (excluding flax, true hemp, and ramie), single Yarn of jute or other textile bast fibers (excluding flax, true hemp, and ramie), multiple (folded) or cabled Coir yarn True hemp yarn Paper yarn Yarn of other vegetable textile fibers, nesoi Woven fabrics of flax, containing 85 percent or more by weight of flax, unbleached or bleached Woven fabrics of flax, containing 85 percent or more by weight of flax, other than unbleached or bleached Woven fabrics of flax, containing less than 85% by weight of flax, containing over 17% of wool or fine animal hair, unbleached or bleached Woven fabrics of flax, &lt; 85% by wt of flax, unbleached or bleached, containing &lt; 17% by wt of wool and containing cotton and manmade fibers Woven fabrics of flax, containing less than 85 percent by weight of flax, unbleached or bleached, nesoi Woven fabrics of flax, containing &lt; 85% by</w:t>
      </w:r>
    </w:p>
    <w:p>
      <w:pPr>
        <w:pStyle w:val="Normal"/>
      </w:pPr>
      <w:r>
        <w:t>wt of flax, contain over 17% by wt of wool or fine animal hair, other than unbleached or bleached Woven fabrics of flax, less than 85% by wt of flax, containing less than 17% by wt of wool and containing cotton and manmade fibers, nesoi Woven fabrics of flax, containing less than 85 percent by weight of flax, other than unbleached or bleached, nesoi Unbleached woven fabrics of jute or of other textile bast fibers of heading 5303 Woven fabrics of jute or of other textile bast fibers of heading 5303,</w:t>
      </w:r>
    </w:p>
    <w:p>
      <w:pPr>
        <w:pStyle w:val="Normal"/>
      </w:pPr>
      <w:r>
        <w:t>other than unbleached Woven fabrics of other vegetable textile fibers, containing more than 17% by weight of wool or fine animal hair Woven fabrics of other vegetable textile fibers, containing cotton and manmade fibers, nesoi Woven fabrics of other vegetable textile fibers, nesoi Woven fabrics of paper yarn Sewing thread of synthetic filaments, whether or not put up for retail sale Sewing thread of artificial filaments, whether or not put up for retail sale Single high tenacity yarn of aramids, not put up for retail sale Multiple (folded) or cabled high tenacity yarn (except sewing thread) of aramids, not put up for retail sale Single high tenacity yarn of nylon or polyamides (except aramids), not put up for retail sale Multiple (folded) or cabled high tenacity yarn (except sewing thread) of nylon or other polyamides (except aramids), not put up for retail s Single high tenacity yarn of polyesters, not put up for retail sale Multiple (folded) or cabled high tenacity yarn (except sewing thread) of polyesters, not put up</w:t>
      </w:r>
    </w:p>
    <w:p>
      <w:pPr>
        <w:pStyle w:val="Normal"/>
      </w:pPr>
      <w:r>
        <w:t>for retail sale Single textured yarn, of nylon or other polyamides, measuring not more than 500 decitex, not put up for retail sale Multiple or cabled textured yarn (except sewing thread), of polyamides, single yarn not more than 500 decitex, not put up for retail sale Single textured yarn, of nylon or other polyamides, measuring more than 500 decitex, not put up for retail sale Multiple or cabled textured yarn (except sewing thread), of polyamides, single</w:t>
      </w:r>
    </w:p>
    <w:p>
      <w:pPr>
        <w:pStyle w:val="Normal"/>
      </w:pPr>
      <w:r>
        <w:t>yarn more than 500 decitex, not put up for retail sale Single textured yarn of polyesters, not put up for retail sale Multiple or cabled textured yarn (except sewing thread), of polyesters, not put up for retail sale Single textured polypropylene yarn, not put up for retail sale Multiple or cabled textured polypropylene yarn (except sewing thread), not put up for retail sale Single textured yarn, nesoi, not put up for retail sale Multiple or cabled textured yarn (except sewing thread), nesoi, not put up for retail sale Single elastomeric yarns, monofil, untwisted or with a twist not exceeding 50 turns per meter, not for retail sale Synth filament yarn, for doll wigs, of colored multifil, untwisted/with twist &lt; 5 turns/meter, of nylon or other polyamide, not retail sale Syn filament yarn (not for doll wigs), of colored multifil, untwisted/with twist &lt; 5 turns/meter, of nylon or o/polyamides, not retail sale Non-textured yarn of polyesters, partially oriented, single, untwisted or with a twist not exceeding 50 turns/m, not put up</w:t>
      </w:r>
    </w:p>
    <w:p>
      <w:pPr>
        <w:pStyle w:val="Normal"/>
      </w:pPr>
      <w:r>
        <w:t>for retail sale Single yarn, twist of 0-50 turns/m, wholly polyester, 75-80 decitex, 24 filaments, nesoi, not put up for retail sale Single yarn, twist of 0-50 turns/m, other than wholly of polyester, nesoi, not put up for retail sale Non-textured polypropylene yarns, monofil, untwisted or with a twist not exceeding 50 turns per meter, not for retail sale Colored multifilament yarn to be used to make wigs for dolls, of modacrylic, untwisted or</w:t>
      </w:r>
    </w:p>
    <w:p>
      <w:pPr>
        <w:pStyle w:val="Normal"/>
      </w:pPr>
      <w:r>
        <w:t>twisted, &lt; 5 turns per meter, not for retail sale Other yarns, monofil; multifil, untwisted or twisted &gt; or = to 5, not exceeding 50 turns per meter of other synthetic, not for retail sale Nylon or other polyamide yarns, single, with a twist exceeding 50 turns/m, not put up for retail sale Single yarn, twist exceeding 50 turns/m, wholly polyester, 75-80 decitex, 24 filaments, nesoi, not put up for retail sale Single yarn, twist exceeding 50 turns/m, other than wholly of polyester, nesoi, not put up for retail sale Synthetic filament yarn of polypropylene: single other twisted yarns exc nylon/polyester, &gt;50 turns/M, not put up for retail sale Synthetic filament yarn nesoi:</w:t>
      </w:r>
    </w:p>
    <w:p>
      <w:pPr>
        <w:pStyle w:val="Normal"/>
      </w:pPr>
      <w:r>
        <w:t>single other twisted yarns exc nylon/polyester, &gt;50 turns/M, not put up for retail sale Nylon or other polyamide yarn, multiple (folded) or cabled, (except sewing thread), not put up for retail sale Polyester yarn, multiple (folded) or cabled, (except sewing thread), not put up for retail sale Synthetic filament yarn exc sewing thread of polypropylene, not for retail sale inc monofilament &lt;67 decitex:other yarn multiple (folded) or cabled Synthetic filament yarn exc sewing thread nesoi, not for retail sale inc monofilament &lt;67 decitex:other yarn multiple (folded) or cabled Single high tenacity yarn of viscose rayon, not put up for retail sale Multiple (folded) or cabled high tenacity yarn of viscose rayon (except sewing thread), not put up for retail sale Single yarn of viscose rayon (not high ten.</w:t>
      </w:r>
    </w:p>
    <w:p>
      <w:pPr>
        <w:pStyle w:val="Normal"/>
      </w:pPr>
      <w:r>
        <w:t>or sewing thread), untwisted or with a twist not over 120 turns/m, not put up for retail sale Single yarn of viscose rayon (not high ten. or sewing thread), with twist exceeding 120 turns/m, not put up for retail sale Single yarn of cellulose acetate (not high ten. or sewing thread), not put up for retail sale Single textured artificial filament yarn (other than sewing thread), not put up for retail sale Artificial filament yarn nesoi, single, not put up for retail sale Viscose rayon yarn (except sewing thread), multiple (folded) or cabled, not put up for retail sale Yarn of cellulose acetate (except sewing thread) multiple (folded) or cabled, not put up for retail sale Multiple (folded) or cabled textured artificial filament yarn (other than sewing thread), not put up for retail sale Multiple (folded) or cabled non-textured artificial filament yarn (other than sewing thread), not put up for retail sale Synthetic monofilament (exc.</w:t>
      </w:r>
    </w:p>
    <w:p>
      <w:pPr>
        <w:pStyle w:val="Normal"/>
      </w:pPr>
      <w:r>
        <w:t>polypropylene), elastomeric, of 67 decitex or more and with no cross-sectional dimension &gt; 1 mm, nesoi Polypropylene monofilament of 67 decitex or more (not racket strings), and with no cross-sectional dim. &gt; 1 mm, not over 254 mm in length Polypropylene monofilament of 67 decitex or more (not racket strings), and with no cross-sectional dim. &gt; 1 mm, over 254 mm in length Racket strings of synthetic monofilament of 67 decitex or more and of which no cross- sectional dimension exceeds 1 mm Synthetic monofilament (exc.</w:t>
      </w:r>
    </w:p>
    <w:p>
      <w:pPr>
        <w:pStyle w:val="Normal"/>
      </w:pPr>
      <w:r>
        <w:t>polypropylene), of 67 decitex or more and with no cross- sectional dimension &gt; 1 mm, nesoi Strip and the like of synthetic textile materials of an apparent width not exceeding 5 mm Artificial monofilament of 67 decitex or more and of which no cross-sectional dimension exceeds 1 mm Strip and the like of artificial textile materials of an apparent width not exceeding 5 mm Synthetic filament yarn (except sewing thread), put up for retail sale Artificial filament yarn (except sewing thread), put up for retail sale Woven fabrics obtained from high tenacity yarn of nylon or other polyamides or of polyesters Woven fabrics obtained from strip or the like of synthetic textile materials Woven fabrics specified in note 9 to section XI, of synthetic filament yarn, over 60 percent by weight of plastics Woven fabrics specified in note 9 to section XI, of synthetic filament yarn, nesoi Woven fabrics, containing 85 percent or more by weight of filaments of nylon or other polyamides, unbleached or bleached Woven fabrics, containing 85 percent or more by weight of filaments of nylon or other polyamides, dyed Woven fabrics, over 85% by wt fil.</w:t>
      </w:r>
    </w:p>
    <w:p>
      <w:pPr>
        <w:pStyle w:val="Normal"/>
      </w:pPr>
      <w:r>
        <w:t>of nylon/other polyamides, of diff colored yarns, thread count over 69-142/cm warp, over 31-71/cm filling Woven fabrics, containing 85 percent or more by weight of filaments of nylon or other polyamides, of yarns of different colors, nesoi Woven fabrics, containing 85 percent or more by weight of filaments of nylon or other polyamides, printed Woven fabrics, containing 85 percent or more by weight of textured polyester filaments, unbleached or bleached Woven fabrics, over 85 percent textured polyester filaments, dyed, less than 77 cm in width, thread count 69-142/cm warp, 31-71/cm filling Woven fabrics, over 85 percent textured polyester filaments, dyed, nesoi Woven fabrics, over 85% textured polyester filaments, of different colored yarns, thread count 69-142/cm warp and 31-71/cm filling Woven fabrics, containing 85 percent or more by weight of textured polyester filaments, of yarns of different colors, nesoi Woven fabrics, containing 85 percent or more by weight of textured polyester filaments, printed Woven fab, dyed, 100% polyester, &lt;77cm wide, &gt;69-142 warp &gt;31-71 filling, of non tex singles yarn, 75-80dtx, 24 fil/yn, twist 900+ turns/m Woven fab,dyed,85%+ non-tex poly.</w:t>
      </w:r>
    </w:p>
    <w:p>
      <w:pPr>
        <w:pStyle w:val="Normal"/>
      </w:pPr>
      <w:r>
        <w:t>fil., &lt;77cm wide, &gt;69-142 warp &gt;31-71 filling (not 100%poly. sin.yarn, 75-80dtx, 24 fil/yn &amp; 900+ turns/m) Woven fab,yn diff colors,&lt;77cm wide, &gt;69-142 warp, &gt;31-71 filling, 100% poly.non tex sin.</w:t>
      </w:r>
    </w:p>
    <w:p>
      <w:pPr>
        <w:pStyle w:val="Normal"/>
      </w:pPr>
      <w:r>
        <w:t>yarn of 75-80 dtx., 24 fil/yn &amp; twist 900+ turns/m Woven fab,85%+ non-tex poly,yn diff colors,&lt;77cm wide,&gt;69-142 warp,&gt;31-71 filling (not 100%poly sin yarn, 75-80dtx,24 fil/yn &amp; 900+ turns/m) Woven fab, 85%+ non-tex poly fil, wholly of polyester, of single yarns 75-80 decitex, 24 fil/yarn &amp; a twist of 900 or more turns/m Woven fab, of 85%+ non-text. polyester filaments, nesoi (not wholly polyester single yarns, 75-80 dtx, 24 fil/yarn &amp; twist 900+ turns/m) Woven fab, containing 85%+ by wt of polyester filaments nesoi, unbleached or bleached Woven fab, containing 85%+ by wt of polyester filaments nesoi, dyed Woven fab, cont. 85%+ by wt polyester filaments nesoi, thread count &gt;69-142/cm in warp &amp; &gt;31-71/cm filling, of yarns of diff. colors Woven fab, containing 85%+ by wt polyester filaments nesoi, of yarns of different colors, nesoi Woven fab, containing 85%+ by wt polyester filaments nesoi, printed Woven fabrics, containing 85 percent or more by weight of synthetic filaments, unbleached or bleached Woven fabrics, containing 85 percent or more by weight of synthetic filaments, dyed Woven fabrics, cont. 85% or more syn.</w:t>
      </w:r>
    </w:p>
    <w:p>
      <w:pPr>
        <w:pStyle w:val="Normal"/>
      </w:pPr>
      <w:r>
        <w:t>filaments by weight, thread count &gt;69-142/cm warp and &gt;31-71/cm filling, of different colored yarns Woven fabrics, containing 85% or more by weight of synthetic filaments, of yarns of different colors, nesoi Woven fabrics, containing 85 percent or more by weight of synthetic filaments, printed Woven fabrics, containing less than 85% by weight of synthetic filaments, mixed mainly or solely with cotton, unbleached or bleached Woven fabrics, containing less than 85 percent by weight of synthetic filaments, mixed mainly or solely with cotton, dyed Woven fabrics, less than 85 percent by weight of synthetic filaments, mixed mainly or solely with cotton, of yarns of different colors Woven fabrics, containing less than 85 percent by weight of synthetic filaments, mixed mainly or solely with cotton, printed Woven fabrics of synthetic filament yarn nesoi, containing 36 percent or more by weight of wool or fine animal hair, unbleached or bleached Woven fabrics of synthetic filament yarn nesoi, mixed mainly or solely with wool or fine animal hair, unbleached or bleached, nesoi Woven fabrics</w:t>
      </w:r>
    </w:p>
    <w:p>
      <w:pPr>
        <w:pStyle w:val="Normal"/>
      </w:pPr>
      <w:r>
        <w:t>of synthetic filament yarn nesoi, unbleached or bleached, nesoi Woven fabrics of synthetic filament yarn nesoi, containing 36 percent or more by weight of wool or fine animal hair, dyed Woven fabrics of synthetic filament yarn nesoi, mixed mainly or solely with wool or fine animal hair, cont.</w:t>
      </w:r>
    </w:p>
    <w:p>
      <w:pPr>
        <w:pStyle w:val="Normal"/>
      </w:pPr>
      <w:r>
        <w:t>&lt;36% wool/fine animal hair, dyed Woven fabrics of synthetic filament yarn nesoi, dyed, nesoi Woven fabrics of synthetic filament yarn nesoi, containing 36% or more by weight of wool or fine animal hair, of yarns of different colors Woven fabrics of synthetic filament yarn nesoi, mixed mainly or solely with wool or fine animal hair, of yarns of different colors, nesoi Woven fabrics, cont.</w:t>
      </w:r>
    </w:p>
    <w:p>
      <w:pPr>
        <w:pStyle w:val="Normal"/>
      </w:pPr>
      <w:r>
        <w:t>85% or more of man-made filaments, thread count &gt;69-142/cm warp and &gt;31-71/cm filling, of different colored yarns Woven fabrics of synthetic filament yarn nesoi, of yarns of different colors, nesoi Woven fabrics of synthetic filament yarn nesoi, containing 36 percent or more by weight of wool or fine animal hair, printed Woven fabrics of synthetic filament yarn nesoi, mixed mainly/solely with wool/fine animal hair, contain &lt; 36% wool/fine animal hair, printed Woven fabrics of synthetic filament yarn nesoi, printed, nesoi Woven fabrics obtained from high tenacity yarn, of viscose rayon Woven fabrics, containing 85 percent or more by weight of artificial filament or strip or the like, unbleached or bleached Woven fabric, 85%+ artificial filament or strip or the like, dyed, of cuprammonium rayon Woven fabric, 85%+ artificial filament or strip or the like, dyed, not of cuprammonium rayon, nesoi Woven fabric, 85%+ artificial filament/strip, of yarns of different colors,&gt; 69-142 warp &amp; &gt; 31-71 filling yarns, of cupra/rayon, nesoi Woven fabric, 85%+ artificial filament/strip, of yarns of different</w:t>
      </w:r>
    </w:p>
    <w:p>
      <w:pPr>
        <w:pStyle w:val="Normal"/>
      </w:pPr>
      <w:r>
        <w:t>colors,&gt; 69-142 warp &amp; &gt; 31-71 filling yarns, not of cupra/rayon, nesoi Woven fabric, 85%+ artificial filament/strip, of yarns of different colors, not 69-142 warp &amp; 31-71 filling yarns, of cupra/rayon, nesoi Woven fabric, 85%+ artificial filament/strip, of yarns of different colors, not 69-142 warp &amp; 31-71 filling yarns, not of cupra/rayon, nesoi Woven fabric, 85%+ artificial filament/strip, printed, of cuprammonium rayon, nesoi Woven fabric, 85%+ artificial filament/strip, printed, not of cuprammonium rayon, nesoi Woven fabrics of artificial filament yarn nesoi, containing 36 percent or more by wt of wool or fine animal hair, unbleached or bleached Woven fabrics of artificial filament yarn nesoi, mixed mainly or solely with wool or fine animal hair, unbleached or bleached, nesoi Woven fabrics of artificial filament yarn nesoi, unbleached or bleached, nesoi Woven fabrics of artificial filament yarn nesoi, containing 36 percent or more by wt of wool or fine animal hair, dyed Woven fabrics of artificial filament yarn nesoi, mixed mainly or solely with wool or fine animal hair, dyed, nesoi Woven</w:t>
      </w:r>
    </w:p>
    <w:p>
      <w:pPr>
        <w:pStyle w:val="Normal"/>
      </w:pPr>
      <w:r>
        <w:t>fabrics of artificial filament yarn nesoi, dyed, 30 percent or more by wt of silk or silk waste, valued over $33/kg Woven fabrics of artificial filament yarn nesoi, dyed, nesoi Woven fabrics of artificial filament yarn nesoi, containing 36% or more by wt of wool or fine animal hair, of yarns of different colors Woven fabrics of artificial filament yarn nesoi, mixed mainly or solely</w:t>
      </w:r>
    </w:p>
    <w:p>
      <w:pPr>
        <w:pStyle w:val="Normal"/>
      </w:pPr>
      <w:r>
        <w:t>with wool or fine animal hair, of yarns of different colors, nesoi Woven fabrics cont.</w:t>
      </w:r>
    </w:p>
    <w:p>
      <w:pPr>
        <w:pStyle w:val="Normal"/>
      </w:pPr>
      <w:r>
        <w:t>85% or more mm filaments nesoi, thread count &gt; 69-142/cm warp and &gt; 31-71/cm filling, of different colored yarns Woven fabrics of artificial filament yarn nesoi, of yarns of different colors, 30 percent or more of silk or silk waste, valued over $33/kg Woven fabrics of artificial filament yarn nesoi, of yarns of different colors, nesoi Woven fabrics of artificial filament yarn nesoi, containing 36 percent or more by weight of wool or fine animal hair, printed Woven fabrics of artificial filament yarn nesoi, mixed mainly or solely with wool or fine animal hair, printed, nesoi Woven fabrics of artificial filament yarn nesoi, printed, 30 percent or more by weight of silk or silk waste, valued over $33/kg Woven fabrics of artificial filament yarn nesoi, printed, nesoi Synthetic filament tow of nylon or other polyamides Synthetic filament tow of polyesters Synthetic filament tow of acrylic or modacrylic Synthetic filament tow, of polypropylene Synthetic filament tow, nesoi Artificial filament tow of cellulose acetate Artificial filament tow other than of cellulose acetate</w:t>
      </w:r>
    </w:p>
    <w:p>
      <w:pPr>
        <w:pStyle w:val="Normal"/>
      </w:pPr>
      <w:r>
        <w:t>Synthetic staple fibers, n/carded, combed or otherwise processed for spinning, of aramids Synthetic staple fibers, n/carded, combed or otherwise processed for spinning, of nylon/other polyamides (except aramids), cont 10% or more Synthetic staple fibers, n/carded, combed or otherwise processed for spinning, of nylon or other</w:t>
      </w:r>
    </w:p>
    <w:p>
      <w:pPr>
        <w:pStyle w:val="Normal"/>
      </w:pPr>
      <w:r>
        <w:t>polyamides (except aramids), nesoi Synthetic staple fibers, not carded, combed or otherwise processed for spinning, of polyesters Synthetic (acrylic or modacrylic) staple fibers, not carded, combed or otherwise processed for spinning Synthetic staple fibers, not carded, combed or otherwise processed for spinning, of polypropylene Synthetic staple fibers, not carded, combed or otherwise processed for spinning, of vinyon Synthetic staple fibers, not carded, combed or otherwise processed for spinning, nesoi Artificial staple fibers, not carded, combed or otherwise processed for spinning, of viscose rayon Artificial staple fibers, not carded, combed or otherwise processed for spinning, other than of viscose rayon Waste (including noils, yarn waste and garnetted stock) of synthetic fibers Waste (including noils, yarn waste and garnetted stock) of artificial fibers Synthetic staple fibers, carded, combed or otherwise processed for spinning, of nylon or other polyamides Synthetic staple fibers, carded, combed or otherwise processed for spinning, of polyesters Synthetic (acrylic or modacrylic) staple fibers, carded, combed or otherwise processed for spinning Synthetic staple fibers of polypropylene, carded, combed or otherwise</w:t>
      </w:r>
    </w:p>
    <w:p>
      <w:pPr>
        <w:pStyle w:val="Normal"/>
      </w:pPr>
      <w:r>
        <w:t>processed for spinning Other Synthetic staple fibers nesoi, carded, combed or otherwise processed for spinning Artificial staple fibers, carded, combed or otherwise processed for spinning Sewing thread of synthetic staple fibers, whether or not put up for</w:t>
      </w:r>
    </w:p>
    <w:p>
      <w:pPr>
        <w:pStyle w:val="Normal"/>
      </w:pPr>
      <w:r>
        <w:t>retail sale Sewing thread of artificial staple fibers, whether or not put up for retail sale Yarn (other than sewing thread) containing 85% or more by weight of nylon/polyamide staple fibers, singles, not put up for retail sale Yarn (other than sewing thread) cont. 85% or more by weight of nylon/polyamide staple fibers, multiple or cabled, not put up for retail sale Yarn (other than sewing thread) containing 85% or more by weight of polyester staple fibers, singles, not put up for retail sale Yarn (other than sewing thread) cont. 85% or more by weight of polyester staple fibers, multiple or cabled, not put up for retail sale Yarn (not sewing thread) cont. 85% or more by weight of acrylic or modacrylic staple fibers, singles, not put up for retail sale Yarn (not sewing thread) cont. 85% or more by wt. of acrylic or modacrylic staple fibers,multiple or cabled,not put up for retail sale Yarn (other than sewing thread) containing 85% or more by weight of synthetic staple fibers nesoi, singles, not put up for retail sale Yarn (other than sewing thread) cont.</w:t>
      </w:r>
    </w:p>
    <w:p>
      <w:pPr>
        <w:pStyle w:val="Normal"/>
      </w:pPr>
      <w:r>
        <w:t>85% or more by weight of synthetic staple fibers nesoi, multiple or cabled, not put up for retail sale Yarn (not sewing thread) of polyester staple fibers mixed mainly/solely with artificial staple fibers, single, not put up for retail sale Yarn (not sewing thread) of polyester staple fibers mixed mainly/solely with artificial staple fibers, multiple, not put up for retail sale Yarn (other than sewing thread) of polyester staple fibers mixed mainly/solely with wool or fine animal hair, not put up for retail sale Yarn (other than sewing thread) of polyester staple fibers mixed mainly or solely with cotton, not put up for retail sale Yarn (other than sewing thread) of polyester staple fibers nesoi, not put up for retail sale Yarn (other than sewing thread) of acrylic or modacrylic staple fibers mixed with wool or fine animal hair, not put up for retail sale Yarn (other than sewing thread) of acrylic or modacrylic staple fibers mixed mainly or solely with cotton, not put up for retail sale Yarn (not</w:t>
      </w:r>
    </w:p>
    <w:p>
      <w:pPr>
        <w:pStyle w:val="Normal"/>
      </w:pPr>
      <w:r>
        <w:t>sew thread) of acrylic/modacrylic staple fibers mixed mainly/solely w/artificial staple fibers, singles, not for retail sale Yarn (not sewing thread) of acrylic/modacrylic staple fiber mixed mainly/solely w/artificial staple fiber,multiple or cabled,not retail sale Yarn (other than sewing thread) of acrylic or modacrylic staple fibers nesoi, not put up for retail sale Yarn (other than sewing thread) of synthetic staple fibers mixed mainly or solely with wool or fine animal hair,</w:t>
      </w:r>
    </w:p>
    <w:p>
      <w:pPr>
        <w:pStyle w:val="Normal"/>
      </w:pPr>
      <w:r>
        <w:t>not put up for retail sale Yarn (other than sewing thread) of synthetic staple fibers mixed mainly or solely with cotton, not put up for retail sale Yarn (not sewing thread) of synthetic staple fibers nesoi, mixed mainly/solely w/artificial staple fibers, singles, not for retail sale Yarn (not sewing thread) of synthetic staple fibers nesoi, mixed mainly/solely w/artificial staple fibers, multiple, not for retail sale Yarn (other than sewing thread) of synthetic staple fibers nesoi, not put up for retail sale Yarn (other than sewing thread) containing 85% or more by weight of artificial staple fibers, singles, not put up for retail sale Yarn (other than sewing thread) cont.</w:t>
      </w:r>
    </w:p>
    <w:p>
      <w:pPr>
        <w:pStyle w:val="Normal"/>
      </w:pPr>
      <w:r>
        <w:t>85% or more by weight of artificial staple fibers, multiple or cabled, not put up for retail sale Yarn (other than sewing thread) of artificial staple fibers mixed mainly or solely with wool or fine animal hair, not put up for retail sale Yarn (other than sewing thread) of artificial staple fibers mixed mainly or solely with cotton, not put up for retail sale Yarn (other than sewing thread) of artificial staple fibers mixed mainly/solely with synthetic staple fibers, singles, not for retail sale Yarn (other than sewing thread) of artificial staple fibers mixed mainly/solely with synthetic staple fibers, multiple, not for retail sale Yarn (other than sewing thread) of artificial staple fibers nesoi, not put up for retail sale Yarn (other than sewing thread) of synthetic staple fibers, containing 85% or</w:t>
      </w:r>
    </w:p>
    <w:p>
      <w:pPr>
        <w:pStyle w:val="Normal"/>
      </w:pPr>
      <w:r>
        <w:t>more by weight of such fibers, put up for retail sale Yarn (other than sewing thread) of synthetic staple fibers, containing less than 85% by weight of such fibers, put up for retail sale Yarn (other than sewing thread) of artificial staple fibers, put up for retail sale Woven fabrics containing 85% or more by weight of polyester staple fibers, unbleached or bleached Woven fabrics containing 85% or more by weight of polyester staple fibers, other than unbleached or bleached Woven fabrics containing 85% or more by weight of acrylic or modacrylic staple fibers, unbleached or bleached Woven fabrics containing 85% or more by weight of acrylic or modacrylic staple fibers, other than unbleached or bleached Woven fabrics, containing 85% or more by weight of synthetic fibers nesoi, unbleached or bleached Woven fabrics, containing 85% or more by weight of synthetic fibers nesoi, other than unbleached or bleached Woven fabric of poly staple fiber,&lt; 85% wt poly staple fibers,mixed mainly/solely w/cotton,wt n/o 170 g/m2,plain weave,unbleached/bleached Woven 3-or 4-thread twill fabric</w:t>
      </w:r>
    </w:p>
    <w:p>
      <w:pPr>
        <w:pStyle w:val="Normal"/>
      </w:pPr>
      <w:r>
        <w:t>of poly staple fib,&lt; 85% poly staple fiber,mixed mainly/solely w/cotton,wt n/o 170 g/m2,unbleached/bleached Woven fabrics of polyester staple fibers,&lt; 85% polyester staple fibers, mixed mainly/solely w/cotton,n/o 170 g/m2,unbleached/bleached, nesoi Woven fabrics of synthetic staple fibers nesoi, &lt; 85% by weight of such fibers, mixed with cotton, n/o 170g/m2, unbleached or bleached Woven fabrics of polyester</w:t>
      </w:r>
    </w:p>
    <w:p>
      <w:pPr>
        <w:pStyle w:val="Normal"/>
      </w:pPr>
      <w:r>
        <w:t>staple fibers, &lt; 85% polyester staple fibers, mixed mainly/solely w/cotton, not over 170 g/m2, plain weave, dyed Woven fabrics of polyester staple fibers, &lt; 85% by wt polyester staple fibers, mixed mainly/solely w/cotton, not over 170 g/m2, dyed, nesoi Woven fabrics of synthetic staple fibers nesoi, &lt; 85% by wt of such fibers, mixed mainly/solely w/cotton, weighing n/o 170g/m2, dyed, nesoi Woven fabrics of poly staple fib,&lt; 85% polyester staple fibers,mixed mainly/solely w/cotton,n/o 170 g/m2,plain weave,of yarns of dif. colors Woven fabrics of synthetic staple fibers nesoi,&lt; 85% by wt of such fibers, mixed mainly/solely w/cotton, n/o 170g/m2, of dif.</w:t>
      </w:r>
    </w:p>
    <w:p>
      <w:pPr>
        <w:pStyle w:val="Normal"/>
      </w:pPr>
      <w:r>
        <w:t>colored yarns Printed plain weave fabrics of poly staple fib,&lt; 85% by weight polyester staple fibers, mixed mainly/solely with cotton, n/o 170g/m2 Printed 3-or 4-thread twill fabric of poly staple fib,incl cross twill,&lt; 85% wt poly staple fibers,mixed mainly/solely w/cotton,n/o 170g/m2 Printed woven fabrics of polyester staple fibers, &lt; 85% by wt polyester staple fibers, mixed mainly/solely with cotton, weighing n/o 170g/m2 Printed woven fabrics of synthetic staple fibers nesoi, &lt; 85% by weight of such fibers, mixed mainly or solely with cotton, n/o 170g/m2 Plain weave fabrics of poly staple fiber,&lt; 85% wt polyester staple fibers, mixed mainly/solely w/cotton, wt ov 170 g/m2, unbleached/bleached Wov 3-or 4-thread twill fabric of poly staple fib,&lt; 85% polyester staple fiber,mixed mainly/solely w/cotton,ov 170</w:t>
      </w:r>
    </w:p>
    <w:p>
      <w:pPr>
        <w:pStyle w:val="Normal"/>
      </w:pPr>
      <w:r>
        <w:t>g/m2,unbleached/bleached Woven fabric of polyester staple fiber, &lt; 85% wt polyester, mixed mainly/solely w/cotton, over 170 g/m2, unbleached/bleached Unbleached or bleached woven fabric of synthetic staple fibers nesoi, &lt; 85% by wt of such fibers, mixed mainly/solely w/cotton, over 170g/m2 Plain weave fabrics of polyester staple fiber, &lt; 85% by wt polyester staple fibers, mixed mainly/solely with cotton, over 170 g/m2, dyed Wov 3-or 4-thread twill fabric of poly staple fib,incl cross twill,&lt; 85% poly staple fibers,mixed mainly/solely w/cotton,ov 170 g/m2, dyed Woven fabrics of polyester staple fib, &lt; 85% by wt polyester staple fibers, mixed mainly/solely w/cotton, over 170 g/m2, dyed, nesoi Dyed woven fabrics of synthetic staple fibers nesoi, &lt; 85% by weight of such fibers, mixed mainly or solely with cotton, over 170g/m2 Plain weave fabrics of poly staple fiber, &lt; 85% polyester staple fibers, mixed mainly/solely with cotton,ov 170 g/m2,of yarns of dif. colors Woven 3-or 4-thread twill fabric of poly staple fib,&lt; 85% poly staple fibers,mixed mainly/solely w/cotton,ov 170 g/m2,of yarn of dif.</w:t>
      </w:r>
    </w:p>
    <w:p>
      <w:pPr>
        <w:pStyle w:val="Normal"/>
      </w:pPr>
      <w:r>
        <w:t>colors Woven fabrics of poly staple fiber,&lt; 85% polyester staple fibers,mixed mainly/solely w/cotton,ov 170 g/m2,of yarns of different colors,nesoi Woven fabrics of synthetic staple fibers nesoi, &lt; 85% by wt of such fibers, mixed mainly/solely w/cotton, ov 170g/m2, of dif.</w:t>
      </w:r>
    </w:p>
    <w:p>
      <w:pPr>
        <w:pStyle w:val="Normal"/>
      </w:pPr>
      <w:r>
        <w:t>colored yarns Printed plain weave fabrics of polyester staple fiber, &lt; 85% by wt polyester staple fibers, mixed mainly or solely with cotton, over 170g/m2 Printed 3-or 4-thread twill fab of poly staple fib,incl cross twill,&lt; 85% by wt poly staple fibers, mixed mainly/solely w/cotton,ov 170g/m Printed woven fabrics of polyester staple fiber, &lt; 85% by wt polyester staple fibers, mixed mainly/solely with cotton, over 170g/m2, nesoi Printed woven fabrics of synthetic staple fibers nesoi, &lt; 85% by weight of such fibers, mixed mainly or solely with cotton, over 170g/m2 Woven fabrics of polyester staple fibers, mixed mainly or solely with viscose rayon staple fibers, nesoi Woven fabrics of polyester staple fibers, mixed mainly or solely with man-made filaments, nesoi Woven fabrics of polyester staple fibers, containing 36 percent or more by weight of wool or fine animal hair, nesoi Woven fabrics of polyester staple fibers, mixed mainly or solely with wool or fine animal hair, nesoi Woven fabrics of polyester staple fibers, nesoi Woven fabrics of acrylic or modacrylic</w:t>
      </w:r>
    </w:p>
    <w:p>
      <w:pPr>
        <w:pStyle w:val="Normal"/>
      </w:pPr>
      <w:r>
        <w:t>staple fibers, mixed mainly or solely with man- made filaments, nesoi Woven fabrics of acrylic or modacrylic staple fibers, containing 36% or more by weight of wool or fine animal hair, nesoi Woven fabrics of acrylic or modacrylic staple fibers, mixed mainly or solely with wool or fine animal hair, nesoi Woven fabrics of acrylic or modacrylic staple fibers, nesoi Woven fabrics of synthetic staple fibers (not</w:t>
      </w:r>
    </w:p>
    <w:p>
      <w:pPr>
        <w:pStyle w:val="Normal"/>
      </w:pPr>
      <w:r>
        <w:t>polyester/acrylic or modacrylic staple fiber) mixed mainly/solely w/man-made filaments, nesoi Woven fabrics of synthetic staple fibers (not polyester/acrylic or modacrylic staple fiber) contain 36% or more wool/fine animal hair, nesoi Woven fabrics of synthetic staple fibers (not polyester/acrylic/modacrylic staple fiber) mixed mainly/solely w/wool/fine animal hair,nesoi Woven fabrics of synthetic staple fibers (not of polyester, acrylic or modacrylic staple fibers), nesoi Woven fabrics of artificial staple fibers, containing 85% or more by weight of such fibers, unbleached or bleached Woven fabrics of artificial staple fibers, containing 85% or more by weight of such fibers, dyed Woven fabrics of artificial staple fibers, containing 85% or more by weight of such fibers, of yarns of different colors Woven fabrics of artificial staple fibers, containing 85% or more by weight of such fibers, printed Woven fabrics of artificial staple fibers, &lt; 85% by weight of such fibers, mixed mainly/solely with man-made filaments, unbleached/bleached Woven fabrics of artificial staple fibers, &lt; 85% by weight of such fibers, mixed mainly/solely with man-made filaments, dyed Woven fabrics</w:t>
      </w:r>
    </w:p>
    <w:p>
      <w:pPr>
        <w:pStyle w:val="Normal"/>
      </w:pPr>
      <w:r>
        <w:t>of artificial staple fibers, &lt; 85% by wt of such fibers, mixed mainly/solely w/man-made filaments, of different colored yarns Woven fabrics of artificial staple fibers, &lt; 85% by weight of such fibers, mixed mainly or solely with man-made filaments, printed Woven fabrics of artificial staple fibers, &lt; 85% of</w:t>
      </w:r>
    </w:p>
    <w:p>
      <w:pPr>
        <w:pStyle w:val="Normal"/>
      </w:pPr>
      <w:r>
        <w:t>such fibers, containing 36% or more of wool or fine animal hair,unbleached or bleached Woven fabrics of artificial staple fibers, &lt; 85% of such fibers, mixed mainly/solely w/wool or fine animal hair, unbleached/bleached, nesoi Woven fabrics of artificial staple fibers, &lt; 85% of such fibers, containing 36% or more of wool or fine animal hair, dyed Woven fabrics of artificial staple fibers, &lt; 85% by weight of such fibers, mixed mainly/solely with wool or fine animal hair, dyed, nesoi Woven fabrics of artificial staple fibers, &lt; 85% such fibers, containing 36% or more of wool or fine animal hair, of different colored yarns Woven fabrics of artificial staple fibers, &lt; 85% of such fiber, mixed mainly/solely w/wool or fine animal hair, of dif.</w:t>
      </w:r>
    </w:p>
    <w:p>
      <w:pPr>
        <w:pStyle w:val="Normal"/>
      </w:pPr>
      <w:r>
        <w:t>colored yarns, nesoi Woven fabrics of artificial staple fibers, &lt; 85% of such fibers, containing 36% or more of wool or fine animal hair, printed Woven fabrics of artificial staple fibers, &lt; 85% of such fibers, mixed mainly or solely with wool or fine animal hair, printed, nesoi Woven fabrics of artificial staple fibers, &lt; 85% by weight of such fibers, mixed mainly or solely with cotton, unbleached or bleached Woven fabrics of artificial staple fibers, less than 85% by weight of such fibers, mixed mainly or solely with cotton, dyed Woven fabrics of artificial staple fibers, &lt; 85% by wt.</w:t>
      </w:r>
    </w:p>
    <w:p>
      <w:pPr>
        <w:pStyle w:val="Normal"/>
      </w:pPr>
      <w:r>
        <w:t>of such fibers, mixed mainly or solely with cotton, of yarns of different colors Woven fabrics of artificial staple fibers, less than 85% by weight of such fibers, mixed mainly or solely with cotton, printed Woven fabrics of artificial staple fibers nesoi, unbleached or bleached, nesoi Woven fabrics of artificial staple fibers nesoi, dyed, nesoi Woven fabrics of artificial staple fibers nesoi, of yarns of different colors, nesoi Woven fabrics of artificial staple fibers nesoi, printed, nesoi Wadding of cotton and other articles of cotton wadding nesoi Wadding of man-made fibers and other articles of such wadding nesoi Wadding of textile materials (excluding cotton and man-made fibers) and articles thereof, nesoi Textile flock, not exceeding 5 mm in length, and textile dust and mill neps Laminated fabrics of needleloom felt or stitch-bonded fiber fabrics Needleloom felt and stitch-bonded fabrics, whether or not impregnated, coated or covered, nesoi Felt, excluding needleloom felt and stitch-bonded fiber fabrics, not impregnated, coated, covered or laminated, of wool or fine animal hair Felt, excluding needleloom</w:t>
      </w:r>
    </w:p>
    <w:p>
      <w:pPr>
        <w:pStyle w:val="Normal"/>
      </w:pPr>
      <w:r>
        <w:t>felt and stitch-bonded fiber fabrics, not impregnated, coated, covered or laminated, of textile materials nesoi Laminated fabrics of felt, nesoi Felt, impregnated, coated or covered, of man-made fibers, nesoi Felt, impregnated, coated or covered, nesoi Nonwovens, of man-made filaments, weighing not &gt;25 g/square m, whether or not impregnated, coated, covered or</w:t>
      </w:r>
    </w:p>
    <w:p>
      <w:pPr>
        <w:pStyle w:val="Normal"/>
      </w:pPr>
      <w:r>
        <w:t>laminated Nonwovens, of man-made filaments, weighing &gt;25 but not &gt;70 g/square m, whether or not impregnated, coated, covered or laminated Nonwovens, of man-made filaments, weighing &gt;70 but not &gt;150 g/square m, whether or not impregnated, coated, covered or laminated Laminated nonwoven fabs, of man-made filaments, weighing &gt;150 g/square m Nonwovens (except laminated), of man-made filaments, weighing &gt;150 g/square m, whether or not impregnated, coated, or covered Nonwovens (not of man-made filaments), weighing not &gt;25 g/square m, whether or not impregnated, coated, covered or laminated Nonwovens (not of man-made filaments), weighing &gt;25 but not &gt;70 g/square m, whether or not impregnated, coated, covered or laminated Nonwovens (not of man-made filaments), weighing &gt;70 but not &gt;150 g/square m, whether or not impregnated, coated, covered or laminated Nonwoven floor covering underlays (not of man-made filaments), weighing &gt;150 g/square m, whether or not impreg, coated, cov or laminated Laminated nonwovens nesoi (not of man-made filaments), weighing &gt;150 g/square m Nonwovens nesoi (not of man-made filaments), weighing &gt;150 g/square m, whether or not impregnated, coated,</w:t>
      </w:r>
    </w:p>
    <w:p>
      <w:pPr>
        <w:pStyle w:val="Normal"/>
      </w:pPr>
      <w:r>
        <w:t>covered but not laminated Rubber thread and cord, textile covered High tenacity yarn of polyesters, of nylon or other polyamides or of viscose rayon, impregnated or coated Textile yarn and strip and the like of heading 5404 or 5405, impregnated, coated, covered or sheathed with rubber or plastics, nesoi Metal coated</w:t>
      </w:r>
    </w:p>
    <w:p>
      <w:pPr>
        <w:pStyle w:val="Normal"/>
      </w:pPr>
      <w:r>
        <w:t>or metal laminated man-made monofilament or strip or the like, ungimped &amp; untwisted or w/twist of less than 5 turns per meter Metalized textile yarn nesoi, of man-made monofilament or strip or the like, other than ungimped or w/twist of &lt; 5 turns per meter Gimped yarn, and strip and the like of man-made monofilament; chenille yarn;</w:t>
      </w:r>
    </w:p>
    <w:p>
      <w:pPr>
        <w:pStyle w:val="Normal"/>
      </w:pPr>
      <w:r>
        <w:t>loop wale-yarn Binder or baler twine, of sisal or other textile fibers of genus Agave Twine (except binder or baler twine), cordage, rope and cables of sisal or other textile fibers of genus Agave Binder or baler twine of wide nonfibrillated strip, of polyethylene or polypropylene Binder or baler twine, of polyethylene or polypropylene, nesoi Twine (other than binder or baler twine), cordage, rope and cables of wide nonfibrillated strip, of polyethylene or polypropylene Twine (ex binder/baler twine), cordage, rope and cables, of polyethylene or polypropylene, not braided or plaited, less than 4.8 mm in diam Twine (except binder or baler twine), cordage, rope and cables, of polyethylene or polypropylene, not braided or plaited, nesoi Twine (except binder or baler twine), cordage, rope and cables, of polyethylene or polypropylene, nesoi 3- or 4-ply multicolor twine of synthetic fibers nesoi at least 10% cotton, having “S” twist, &lt; 3.5 mm diameter, not braided or plaited Twine nesoi, cordage, rope and cables of synthetic fibers, other than of polyethylene or polypropylene, not braided or plaited Twine, cordage, rope and cables of synthetic fibers,</w:t>
      </w:r>
    </w:p>
    <w:p>
      <w:pPr>
        <w:pStyle w:val="Normal"/>
      </w:pPr>
      <w:r>
        <w:t>other than of polyethylene or polypropylene, nesoi Twine, cordage, rope and cables, of coir Twine, cordage, rope and cables, of jute or other textile bast fibers (excluding flax, true hemp and ramie) Twine, cordage, rope and cables of abaca or other hard (leaf) fibers, of stranded construction measuring 1.88 cm or over in diameter Twine, cordage, rope &amp; cables of abaca or other hard (leaf) fibers, other than stranded construction or stranded n/o 1.88 cm in diameter Twine, cordage, rope and cables, of materials nesoi Made-up fishing nets, of man-made textile materials Fish netting (other than made-up fishing nets) of man-made textile materials Knotted netting of twine, cordage or rope (excluding fish netting or made-up fishing nets) of man-made textile materials Fish netting and fishing nets, of textile materials other than man-made materials Hammocks, of cotton Netting or nets, of cotton, other than hammocks or netting or nets for fishing Knotted netting of twine, cordage or rope or other made-up nets (not fish netting and nets) of textile materials (not</w:t>
      </w:r>
    </w:p>
    <w:p>
      <w:pPr>
        <w:pStyle w:val="Normal"/>
      </w:pPr>
      <w:r>
        <w:t>cotton/manmade mat.) Articles of yarn, strip, twine, cordage, rope or cables nesoi, of cotton Articles of yarn, strip, twine, cordage, rope or cables nesoi, of vegetable fibers except cotton Articles of yarn, strip, twine, cordage, rope or cables nesoi, of man-made fibers Articles of yarn, strip or the like of man-made monofilaments, twine, cordage, rope or cables, nesoi Carpet &amp; other textile floor</w:t>
      </w:r>
    </w:p>
    <w:p>
      <w:pPr>
        <w:pStyle w:val="Normal"/>
      </w:pPr>
      <w:r>
        <w:t>covering,hand-knotted/hand-inserted,w/ov 50% wt pile of fine animal hair,foregoing cert. hand-loomed &amp; folklore Carpets &amp; other textile floor coverings, hand-knotted or hand-inserted, w/ov 50% by weight of the pile of fine animal hair, nesoi Carpets and other textile floor coverings, of wool or fine animal hair, hand-hooked (tufts were inserted and knotted by hand or hand tool) Carpets and other textile floor coverings, of wool or fine animal hair, not hand-hooked, not hand knotted during weaving Carpet and oth textile floor covering, knotted,of text.</w:t>
      </w:r>
    </w:p>
    <w:p>
      <w:pPr>
        <w:pStyle w:val="Normal"/>
      </w:pPr>
      <w:r>
        <w:t>materials (not wool/hair) nesoi, pile inserted &amp; knotted during weaving or knitting Carpet &amp; oth textile floor covering, knotted, of text materials (not wool/hair) nesoi,not w/pile inserted &amp; knotted during weaving/knitting Certified hand-loomed and folklore products being “Kelem”, “Schumacks”, “Karamanie” and similar hand-woven rugs “Kelem”, “Schumacks”, “Karamanie” and similar hand-woven rugs, other than certified hand-loomed and folklore products Floor coverings of coconut fibers (coir), woven, not tufted or flocked, with pile Floor coverings of coconut fibers (coir), woven, not tufted or flocked, other than with pile Wilton, velvet and like floor coverings of pile construction, woven, not tufted or flocked, not made up, of wool or fine animal hair Carpets and other textile floor coverings of pile construction, woven, not tufted or flocked, not made up, of wool/fine animal hair, nesoi Wilton, velvet and like floor coverings</w:t>
      </w:r>
    </w:p>
    <w:p>
      <w:pPr>
        <w:pStyle w:val="Normal"/>
      </w:pPr>
      <w:r>
        <w:t>of pile construction, woven, not tufted or flocked, not made up, of man-made textile materials Carpets &amp; other textile floor coverings of pile construction, woven,not tufted or flocked, not made up, of man-made textile materials, nesoi Carpets and other textile floor coverings of pile construction, woven, not tufted or flocked, not made up, of jute Carpets and other textile floor coverings of pile construction, woven, not tufted or flocked, not made up, of other textile materials nesoi Wilton, velvet and like floor coverings of pile construction, woven, not tufted or flocked, made up, of wool or fine animal hair Carpets and other textile floor coverings of pile construction, woven, not tufted or flocked, made up, of wool or fine animal hair, nesoi Wilton, velvet and like floor coverings of pile construction, woven, not tufted or flocked, made up, of man-made textile materials Carpets and other textile floor coverings, of pile construction, woven, not tufted or flocked, made up, of man-made textile materials, nesoi Carpets not other textile floor coverings of</w:t>
      </w:r>
    </w:p>
    <w:p>
      <w:pPr>
        <w:pStyle w:val="Normal"/>
      </w:pPr>
      <w:r>
        <w:t>pile construction, woven, not tufted or flocked, made up, of cotton Carpets and other textile floor coverings of pile construction, woven, not tufted or flocked, made up, of jute Carpets &amp; other textile floor coverings of pile construction, woven, not tufted or flocked, made up, of other textile materials nesoi Carpets &amp; other textile floor coverings, not of pile construction, woven but not on a power-driven loom,not</w:t>
      </w:r>
    </w:p>
    <w:p>
      <w:pPr>
        <w:pStyle w:val="Normal"/>
      </w:pPr>
      <w:r>
        <w:t>made up,of wool/fine animal hair Carpets &amp; other textile floor coverings, not of pile construction, woven, not made up, of wool or fine animal hair, nesoi Carpets &amp; other textile floor coverings, not of pile construction, woven, not made up, of man-made textile materials Carpets &amp; other textile floor coverings, not of pile construction, woven, not made up, of cotton Carpets &amp; other textile floor coverings, not of pile construction, woven, not made up, of other textile materials nesoi Certified hand-loomed &amp; folklore floor covering, woven not on power-driven loom,not of pile construction,made up,of wool or fine animal hair Floor coverings,not of pile construction,woven not on power-driven loom, made up, of wool or fine animal hair,nesi Carpets &amp; other textile floor coverings, not of pile construction, woven nesoi, made up, of wool or fine animal hair, nesoi Hand-loomed carpet &amp; other textile floor coverings, not of pile construction, woven, made up, of man-made textile materials,nesi Carpet &amp; other textile floor coverings, not of pile construction, woven, made up, of man-made</w:t>
      </w:r>
    </w:p>
    <w:p>
      <w:pPr>
        <w:pStyle w:val="Normal"/>
      </w:pPr>
      <w:r>
        <w:t>textile materials,nesi Hand-loomed carpets and other textile floor coverings, not of pile construction, woven, made up, of cotton Carpets and other textile floor coverings, not of pile construction, woven, made up, of cotton, nesoi Carpets &amp; other textile floor coverings, not of pile construction, woven, made up, of other textile materials nesoi Hand-hooked carpets and other textile floor coverings,</w:t>
      </w:r>
    </w:p>
    <w:p>
      <w:pPr>
        <w:pStyle w:val="Normal"/>
      </w:pPr>
      <w:r>
        <w:t>tufted, whether or not made up, of wool or fine animal hair Carpets and other textile floor coverings, tufted, whether or not made up, of wool or fine animal hair, nesoi Carpets and other textile floor coverings, tufted, whether or not made up, of nylon or other polyamides, hand-hooked Carpets and other textile floor coverings, tufted, whether or not made up, of nylon or other polyamides, nesoi Hand-hookded carpets &amp; other textile floor coverings, tufted, whether or not made up, of man-made materials (not nylon/other polyamides) Carpets &amp; other textile floor coverings, tufted, whether or not made up, of man-made textile materials (not nylon/other polyamides), nesoi Carpets and other textile floor coverings, tufted, whether or not made up, of other textile materials nesoi Carpet tiles of felt, not tufted or flocked, whether or not made up, having a maximum surface area of 0.3 m2 Carpet tiles of felt, not tufted or flocked, whether or not made up, having a maximum surface area exceeding 0.3m2 but not exceeding 1m2 Carpets and</w:t>
      </w:r>
    </w:p>
    <w:p>
      <w:pPr>
        <w:pStyle w:val="Normal"/>
      </w:pPr>
      <w:r>
        <w:t>other textile floor coverings of felt, not tufted or flocked, whether or not made up, other surface area Carpets and other textile floor coverings, whether or not made up, of coir, nesoi Carpets and other textile floor coverings, whether or not made up, nesoi Woven pile fabrics and chenille fabrics, other than fabrics of heading 5802 or 5806, of wool or fine animal hair Uncut weft pile fabrics of cotton, other than fabrics of heading 5802 or 5806 Cut</w:t>
      </w:r>
    </w:p>
    <w:p>
      <w:pPr>
        <w:pStyle w:val="Normal"/>
      </w:pPr>
      <w:r>
        <w:t>corduroy woven pile fabrics of cotton, greater than 7.5 wales per cm, other than fabrics of heading 5802 or 5806 Cut corduroy woven pile fabrics of cotton, less than 7.5 wales per cm, other than fabrics of heading 5802 or 5806 Weft pile fabrics, cut, of cotton, other than fabrics of heading 5802 or 5806, nesoi Chenille fabrics of cotton, other than fabrics of heading 5802 or 5806 Warp pile fabrics, epingle (uncut), of cotton, other than fabrics of heading 5802 or Warp pile fabrics, cut, of cotton, other than fabrics of heading 5802 or 5806 Uncut weft pile fabrics of man-made fibers, other than fabrics of heading 5802 or 5806 Cut corduroy of man-made fibers, other than fabrics of heading 5802 or 5806 Weft pile fabrics of man-made fibers, cut, other than fabrics of heading 5802 or 5806, nesoi Chenille fabrics of man-made fibers, other than fabrics of heading 5802 or 5806 Warp pile fabrics, epingle (uncut), of man-made fibers, other than fabrics of heading 5802 or 5806 Warp</w:t>
      </w:r>
    </w:p>
    <w:p>
      <w:pPr>
        <w:pStyle w:val="Normal"/>
      </w:pPr>
      <w:r>
        <w:t>pile fabrics, cut, of man-made fibers, other than fabrics of heading 5802 or 5806 Woven pile fabrics and chenille fabrics of vegetable fibers except cotton, other than fabrics of heading 5802 or 5806 Woven pile fabrics and chenille fabrics of textile materials nesoi, other than fabrics of heading 5802 or 5806 Terry toweling and similar woven terry fabrics (other than narrow fabrics of heading 5806) of cotton, unbleached Terry toweling and similar woven terry fabrics (other than narrow fabrics of heading</w:t>
      </w:r>
    </w:p>
    <w:p>
      <w:pPr>
        <w:pStyle w:val="Normal"/>
      </w:pPr>
      <w:r>
        <w:t>5806) of cotton, other than unbleached Terry toweling and similar woven terry fabrics (other than narrow fabrics of heading 5806) of textile materials other than cotton Tufted textile fabrics, other than products of heading 5703 Gauze (other than narrow fabrics of heading 5806) of cotton Gauze (other than narrow fabrics of heading 5806) tapestry and upholstery fabrics, of wool or fine animal hair, weighing not over 140 g/m2 Gauze (not narrow fabrics of heading 5806), except tapestry and upholstery fabrics, of wool or fine animal hair, weighing n/o 140 g/m2 Gauze (other than narrow fabrics of heading 5806) of vegetable fibers except cotton Gauze (other than narrow fabrics of heading 5806) of man-made fibers Gauze (other than narrow fabrics of heading 5806) of other textile materials nesoi Tulles and other net fabrics (not including woven, knitted or crocheted fabrics) of cotton or man-made fibers Tulles and other net fabrics (not including woven, knitted or crocheted fabrics) of textile fibers except cotton or man-made Mechanically made lace, in the piece, in</w:t>
      </w:r>
    </w:p>
    <w:p>
      <w:pPr>
        <w:pStyle w:val="Normal"/>
      </w:pPr>
      <w:r>
        <w:t>strips or in motifs (not fabric of heading 6002), of man-made fibers Mechanically made lace, in the piece, in strips or in motifs (not fabric of heading 6002), of cotton Mechanically made lace, in the piece, in strips or in motifs (not fabric of heading 6002), of textile materials (not cotton or mm fibers) Hand-made lace, in the piece, in strips or in motifs (other than fabrics of heading 6002) Hand-woven tapestries of</w:t>
      </w:r>
    </w:p>
    <w:p>
      <w:pPr>
        <w:pStyle w:val="Normal"/>
      </w:pPr>
      <w:r>
        <w:t>the type Gobelins, Flanders, Aubusson, Beauvais and the like, used only as wall hangings, valued over $215/m2 Certified hand-loomed and folklore hand-woven tapestries nesoi and needle-worked tapestries, of wool or fine animal hair Hand-woven tapestries nesoi and needle-worked tapestries, of wool or fine animal hair Hand-woven tapestries nesoi and needle-worked tapestries, of cotton Hand-woven tapestries nesoi and needle-worked tapestries, other than of cotton, wool or fine animal hair Narrow woven pile fabrics (including terry toweling and the like) and chenille fabrics (other than goods of heading 5807) of cotton Narrow woven pile fastener fabric tapes (other than goods of heading 5807) of man- made fibers Narrow woven pile fabrics, incl terry toweling/chenille fabric (excl fastener fabric tape)) (other than goods of heading 5807) of m-m fibers Narrow woven pile fabrics (including terry toweling/the like) &amp; chenille fabrics, except of cotton or of m-m fibers (not goods of head 5807) Narrow woven fabrics (not goods of heading 5807), not pile, containing by weight 5 percent or more of elastomeric yarn or</w:t>
      </w:r>
    </w:p>
    <w:p>
      <w:pPr>
        <w:pStyle w:val="Normal"/>
      </w:pPr>
      <w:r>
        <w:t>rubber thread Narrow woven fabrics (other than goods of heading 5807), not pile, not cont by wt 5% or more of elastomeric yarn or rubber, of cotton, nesoi Woven ribbons of man-made fibers, not pile, not cont by wt 5% or more of elastomeric yarn or rubber Narrow woven fabrics (other than ribbons), not pile, of man-made fibers, not cont by wt 5% or more of elastomeric yarn or</w:t>
      </w:r>
    </w:p>
    <w:p>
      <w:pPr>
        <w:pStyle w:val="Normal"/>
      </w:pPr>
      <w:r>
        <w:t>rubber Narrow woven fabrics (not goods of heading 5807), not pile, of wool/fine animal hair, not cont by wt 5% or more elastomeric yarn or rubber Narrow woven fabric (not good of heading 5807), not pile, of vegetable fibers except cotton, not cont by wt 5% or more elastomer yarn/rubber Narrow woven fabrics (not goods of heading 5807), not pile, of textile materials nesoi, not cont by wt 5% or more elastomeric yarn or rubber Narrow fabrics consisting of warp without weft assembled by means of an adhesive (bolducs) Labels, in the piece, in strips or cut to shape or size, woven, not embroidered, of cotton or man-made fibers Labels, in the piece, in strips or cut to shape or size, woven, not embroidered, of textile materials other than cotton or man-made fibers Woven badges and similar articles of textile materials (except labels), in the piece, in strips or cut to shape or size, not embroidered Labels, in the piece, in strips or cut to shape or size, nonwoven, not</w:t>
      </w:r>
    </w:p>
    <w:p>
      <w:pPr>
        <w:pStyle w:val="Normal"/>
      </w:pPr>
      <w:r>
        <w:t>embroidered, of cotton or man-made fibers Labels, in the piece, in strips or cut to shape or size, nonwoven, not embroidered, of textile materials other than cotton or man-made fiber Badges &amp; similar articles (except labels) of textile materials, not woven, not embroidered, in the piece, in strips or cut to shape or size Braids, in the piece, of abaca or ramie, suitable for making or ornamenting headwear Braids in the piece, suitable for making or ornamenting headwear, of cotton or man- made fibers Braids in the</w:t>
      </w:r>
    </w:p>
    <w:p>
      <w:pPr>
        <w:pStyle w:val="Normal"/>
      </w:pPr>
      <w:r>
        <w:t>piece, suitable for making or ornamenting headwear, of textile materials other than cotton or man-made fibers Braids in the piece, not suitable for making or ornamenting headwear, of cotton or man- made fibers Braids in the piece, not suitable for making or ornamenting headwear, of textile materials other than cotton or man-made fibers Ornamental trimmings in the piece, without embroidery, other than knitted or crocheted;</w:t>
      </w:r>
    </w:p>
    <w:p>
      <w:pPr>
        <w:pStyle w:val="Normal"/>
      </w:pPr>
      <w:r>
        <w:t>tassels, pompons and similar articles Woven fabrics of metal thread &amp; woven fabrics of metallized yarn of heading 5605, used in apparel, as furnishing fabrics or the like, nesoi Embroidery in the piece, in strips or in motifs, without visible ground Embroidery of cotton, in the piece, in strips or in motifs, other than without visible ground Badges, emblems, and motifs of man-made fibers, embroidered, in the piece or in strips, other than without visible ground Embroidery in the piece or in strips (excluding badges, emblems and motifs), of man- made fibers, other than without visible ground Embroidery in the piece, in strips or in motifs, of wool or fine animal hair, other than without visible ground Embroidery in piece/strips/motifs,of textile material except cotton, man-made fiber, wool or fine animal hair, other than w/o visible ground Quilted textile products in the piece (excluding embroidery), of one or more layers assembled with padding, of wool or fine animal hair Quilted textile products in the piece (excluding embroidery), of one or more layers</w:t>
      </w:r>
    </w:p>
    <w:p>
      <w:pPr>
        <w:pStyle w:val="Normal"/>
      </w:pPr>
      <w:r>
        <w:t>assembled with padding, of cotton Quilted textile products in the piece (excluding embroidery), of one or more layers assembled with padding, of man-made fibers Quilted textile products in the piece (excluding embroidery), of one or more layers assembled with padding, of textile materials nesoi Textile fabrics coated with gum or amylaceous substances, of a kind used for outer covers of books or the like, of man-made fibers Textile fabrics coated with gum or amylaceous substances, of a kind used for outer covers of books or the like, other than man-made fibers Tracing cloth, prepared painting canvas, buckram and similar stiffened textile fabrics used in hat foundations, of man-made fibers Tracing cloth, prepared painting canvas, buckram and similar stiffened textile fabrics used in hat foundations, except of man-made fibers Tire cord fabric of high tenacity yarn of nylon or other polyamides Tire cord fabric of high tenacity yarn of polyesters Tire cord fabric of high tenacity yarns of viscose rayon Textile fabrics of cotton, impregnated, coated, covered or laminated with polyvinyl</w:t>
      </w:r>
    </w:p>
    <w:p>
      <w:pPr>
        <w:pStyle w:val="Normal"/>
      </w:pPr>
      <w:r>
        <w:t>chloride Textile fabric spec in note 9 to sect XI, of man-made fibers, impreg, coated, covered or laminated w/polyvinyl chloride, over 60% plastics Textile fabrics spec in note 9 to section XI, of man-made fibers, impregnated, coated, covered or laminated with polyvinyl chloride, nesoi Textile fabrics nesoi,of man-made fibers,impregnated, coated, covered or laminated with polyvinyl chloride, over</w:t>
      </w:r>
    </w:p>
    <w:p>
      <w:pPr>
        <w:pStyle w:val="Normal"/>
      </w:pPr>
      <w:r>
        <w:t>70% wt. rubber or plastics Textile fabrics nesoi,of man-made fibers,impregnated,coated,covered or laminated with polyvinyl chloride, n/o 70% by wt.</w:t>
      </w:r>
    </w:p>
    <w:p>
      <w:pPr>
        <w:pStyle w:val="Normal"/>
      </w:pPr>
      <w:r>
        <w:t>rubber or plastics Textile fabrics nesoi, impregnated, coated, covered or laminated with polyvinyl chloride, other than those of heading 5902 Textile fabrics of cotton, impregnated, coated, covered or laminated with polyurethane Textile fabrics spec in note 9 to section XI, of man-made fibers, impreg, coated, covered or laminated with polyurethane, over 60% plastics Textile fabrics specified in note 9 to section XI, of man-made fibers, impregnated, coated, covered or laminated with polyurethane, nesoi Textile fabrics of man-made fibers, impregnated, coated, covered or laminated with polyurethane, over 70% weight rubber or plastics Textile fabrics of man-made fibers, impregnated, coated, covered or laminated with polyurethane, n/o 70% by weight rubber or plastics Textile fabrics nesoi, impregnated, coated, covered or laminated with polyurethane Textile fabrics of cotton, impregnated, coated, covered or laminated with plastics nesoi, other than those of heading 5902 Textile fabrics spec in note 9 to section XI, of man-made fibers, impreg, coated, covered or laminated w/plastics, nesoi, over 60% plastics Textile fabrics specified in note 9 to section XI, of man-made fabrics, impregnated, coated, covered or laminated with plastics, nesoi Textile fabrics of man-made fibers, impregnated, coated, covered or laminated with plastics,</w:t>
      </w:r>
    </w:p>
    <w:p>
      <w:pPr>
        <w:pStyle w:val="Normal"/>
      </w:pPr>
      <w:r>
        <w:t>nesoi, over 70% weight rubber or plastics Textile fabrics of man-made fibers, impregnated, coated, covered or laminated with plastics, nesoi, n/o 70% by weight rubber or plastics Textile fabrics nesoi, impreg, coated, covered or laminated w/plastics other than vinyl chloride or polyurethane, other than those head 5902 Linoleum, whether or not cut to shape Floor coverings consisting of a coating or covering applied on a textile backing, with a base consisting of needleloom felt or nonwovens Floor coverings consisting of a coating or covering applied on textile backing, with textile base other than of needleloom felt or nonwovens Textile wall coverings backed with permanently affixed paper Textile wall coverings, nesoi Rubberized textile fabric adhesive tape of a width not exceeding 20 cm (other than fabric of heading 5902) Rubberized textile fabrics of cotton, knitted or crocheted (other than fabric of heading Rubberized textile fabrics (other than of heading 5902) nesoi, knitted or crocheted, of man-made fibers, ov 70% by wt of rubber or plastics Rubberized textile fabrics (other than of</w:t>
      </w:r>
    </w:p>
    <w:p>
      <w:pPr>
        <w:pStyle w:val="Normal"/>
      </w:pPr>
      <w:r>
        <w:t>head 5902), nesoi, knitted or crocheted, of man-made fibers, n/o 70% by wt of rubber or plastics Rubberized textile fabrics (other than of heading 5902) nesoi, knitted or crocheted, other than of cotton or man-made fibers Rubberized textile fabrics not knitted or crocheted, of cotton, other than fabrics of heading 5902 Rubberized textile fabrics (other than of head 5902), nesoi, not knitted</w:t>
      </w:r>
    </w:p>
    <w:p>
      <w:pPr>
        <w:pStyle w:val="Normal"/>
      </w:pPr>
      <w:r>
        <w:t>or crocheted, of man-made fibers, ov 70% by wt of rubber/plastics Rubberized textile fabrics (other than of head 5902), nesoi, not knitted or crocheted, of man-made fibers, n/o 70% by wt of rubber/plastics Rubberized textile fabrics, not knitted or crocheted, other than those of heading 5902, nesoi Laminated fabrics specified in note 9 to sect. XI of HTS, of m-m fiber, for theatrical, ballet, &amp; operatic scenery &amp; properties, incl sets Laminated fabrics spec in note 9 to sect XI of HTS, of m-m fiber, other than theatrical, ballet, &amp; operatic scenery &amp; properties, incl sets Lam fabs specified in nte 9 to sect. XI of HTS, of tx mats except m-m fiber, for theatrical, ballet, &amp; opera scenery &amp; properties, incl sets Lam fabs specified in nte 9 to sect.</w:t>
      </w:r>
    </w:p>
    <w:p>
      <w:pPr>
        <w:pStyle w:val="Normal"/>
      </w:pPr>
      <w:r>
        <w:t>XI of HTS, of tx mats except m-m fiber, other than theatrical, ballet, &amp; oper scenery &amp; prop, incl sets Other fabric, impregnated, coated or covered, and painted canvas being theatrical scenery, back-cloths or the like, of man-made fibers Other fabric, impregnated, coated or covered, &amp; painted canvas being theatrical scenery, back-cloths or the like, other than man-made fibers Textile wicks, woven, plaited or knitted, for lamps, stoves, candles and the like; gas mantles and tubular knitted gas mantle fabric Textile hosepiping and similar textile tubing of vegetable fibers, with or without lining, armor or accessories of other materials Textile hosepiping and similar textile tubing nesoi, with or without lining, armor or accessories</w:t>
      </w:r>
    </w:p>
    <w:p>
      <w:pPr>
        <w:pStyle w:val="Normal"/>
      </w:pPr>
      <w:r>
        <w:t>of other materials Transmission or conveyor belts or belting of man-made fibers Transmission or conveyor belts or belting of textile materials, other than man-made fibers Printers’ rubberized blankets of textile fabrics Textile fabrics, felt and felt-lined woven fabrics, combined with layer(s) of rubber, leather or other material, for technical uses, nesoi Bolting cloth fabrics principally used for stenciling purposes in screen-process printing, whether or not made up Bolting cloth nesoi, of silk, whether or not made up Bolting cloth, whether or not made up, nesoi Textile fabrics and felts, endless or fitted with linking devices, used for papermaking or similar machines, weighing less than 650 g/m2 Textile fabrics and felts, endless or fitted with linking devices, used for papermaking or similar machines, weighing 650 g/m2 or more Straining cloth of a kind used in oil presses or the like, of textile material or of human hair Textile products and articles, of a kind used in machinery or plants for technical uses, specified in note 7 to chapter 59, nesoi Knitted</w:t>
      </w:r>
    </w:p>
    <w:p>
      <w:pPr>
        <w:pStyle w:val="Normal"/>
      </w:pPr>
      <w:r>
        <w:t>or crocheted “long pile” fabrics of man-made fibers Knitted or crocheted “long pile” fabrics, other than of man-made fibers Knitted or crocheted looped pile fabrics of cotton Knitted or crocheted looped pile fabrics of man-made fibers Knitted or crocheted looped pile fabrics of textile materials, other than of cotton or man-made fibers Knitted or crocheted pile fabrics (other than “long pile” or looped pile) of cotton</w:t>
      </w:r>
    </w:p>
    <w:p>
      <w:pPr>
        <w:pStyle w:val="Normal"/>
      </w:pPr>
      <w:r>
        <w:t>Knitted or crocheted pile fabrics (other than “long pile” or looped pile) of man-made fibers Knitted or crocheted pile fabrics (except long or looped pile), of tex mats other than cotton or mmf, containing 85% or more by wt of silk Knitted or crocheted pile fabrics (except long or looped pile), of tex mats other than cotton or mmf, cont less than 85% by wt of silk, Knitted or crocheted fabrics nesoi, width not exceeding 30 cm, containing 5% or more elastomeric yarn but no rubber thread, of cotton Knitted or crocheted fabrics nesoi, width n/o 30 cm, containing 5% or more elastomeric yarn but no rubber thread, other than of cotton Knitted or crocheted fabrics nesoi, width not exceeding 30 cm, containing 5% or more elastomeric yarn or rubber thread nesoi, of cotton Knitted or crocheted fabrics nesoi, width n/o 30 cm, containing 5% or more elastomeric yarn or rubber thread nesoi, other than of cotton Warp knit open-worked fabrics of wool or fine animal hair, width not exceeding</w:t>
      </w:r>
    </w:p>
    <w:p>
      <w:pPr>
        <w:pStyle w:val="Normal"/>
      </w:pPr>
      <w:r>
        <w:t>30 cm, other than those of heading 6001 or 6002 Knitted or crocheted fabrics of wool or fine animal hair nesoi, width not exceeding 30 cm, other than those of heading 6001 or 6002 Warp knit open-worked fabrics of cotton, width not exceeding 30 cm, other than those of heading 6001 or 6002 Knitted or crocheted fabrics of cotton (other than warp knit open-worked), width not exceed 30 cm, other than those of heading 6001 or 6002 Warp knit open-worked fabrics of synthetic fibers, width not exceeding 30 cm,</w:t>
      </w:r>
    </w:p>
    <w:p>
      <w:pPr>
        <w:pStyle w:val="Normal"/>
      </w:pPr>
      <w:r>
        <w:t>other than those of heading 6001 or 6002 Knitted or crocheted fabrics of synthetic fibers nesoi, width not over 30 cm, other than those of heading 6001 or 6002 Warp knit open-worked fabrics of artificial fibers, width not exceeding 30 cm, other than those of heading 6001 or 6002 Knitted or crocheted fabrics of artifical fibers nesoi, width not over 30 cm, other than those of heading 6001 or 6002 Warp knit open-worked fabrics nesoi, width not exceeding 30 cm, other than those of heading 6001 or 6002 Knitted or crocheted fabrics nesoi, width not exceeding 30 cm, other than those of heading 6001 or 6002 Knitted or crocheted fabrics, width exceeding 30 cm, containing 5% or more of elastomeric yarn but no rubber thread, not of heading 6001 Knitted or crocheted fabrics, width exceeding 30 cm, containing 5% or more of elastomeric yarn and rubber thread, other than of heading 6001 Knitted or crocheted fabrics, width exceeding 30 cm, containing 5% or more of rubber thread, other than those</w:t>
      </w:r>
    </w:p>
    <w:p>
      <w:pPr>
        <w:pStyle w:val="Normal"/>
      </w:pPr>
      <w:r>
        <w:t>of heading 6001 Unbleached or bleached warp knit fabrics (including those made on galloon knitting machines) of cotton, other than of headings 6001 to 6004 Dyed warp knit fabrics (including those made on galloon knitting machines) of cotton, other than those of headings 6001 to 6004 Warp knit fabrics of yarns of different colors (including made on galloon knitting machines) of cotton, other than headings 6001 to 6004 Printed warp knit fabrics (including those made on galloon knitting machines) of</w:t>
      </w:r>
    </w:p>
    <w:p>
      <w:pPr>
        <w:pStyle w:val="Normal"/>
      </w:pPr>
      <w:r>
        <w:t>cotton, other than those of headings 6001 to 6004 Wrap knit fabrics of synthetic fibers,specified in subheading note 1 to this chapter excluding headings 6001 to 6004 Other wrap knit fabrics of synthetic fibers, bleached or unbleached, but not dyed and not specified in subheading note 1 to this chapter Other wrap knit fabrics of synthetic fibers, dyed, not specified in subheading note 1 to this chapter Other wrap knit fabrics of synthetic fibers, of yarns of different colors, not specified in subheading note 1 to this chapter Other wrap knit fabrics of synthetic fibers, printed, not specified in subheading note 1 to this chapter Unbleached or bleached warp knit fabrics (including made on galloon knitting machines) of artificial fiber, other than headings 6001 to 6004 Dyed warp knit fabrics (including those made on galloon knitting machines) of artificial fibers, other than those of headings 6001 to 6004 Warp knit fabrics of yarn of different color (including made on galloon knitting machine) of artificial fiber, other than headings 6001-6004 Printed</w:t>
      </w:r>
    </w:p>
    <w:p>
      <w:pPr>
        <w:pStyle w:val="Normal"/>
      </w:pPr>
      <w:r>
        <w:t>warp knit fabrics (including those made on galloon knitting machine) of artificial fibers, other than those of headings 6001 to 6004 Warp knit fabrics (including those made on galloon knitting machines) of wool or fine animal hair, other than those of headings 6001 to 6004 Warp knit fabric (including made on galloon knit machine), not of wool/fine animal hair, cotton or manmade fiber, not of headings 6001-6004 Knitted or</w:t>
      </w:r>
    </w:p>
    <w:p>
      <w:pPr>
        <w:pStyle w:val="Normal"/>
      </w:pPr>
      <w:r>
        <w:t>crocheted fabrics of wool or fine animal hair, nesoi Unbleached or bleached circular knit fabric, wholly of cotton yarns over 100 metric number per single yarn, nesoi Unbleached or bleached knitted or crocheted fabrics of cotton, nesoi Dyed circular knit fabric, wholly of cotton yarns over 100 metric number per single yarn, nesoi Dyed knitted or crocheted fabrics of cotton, nesoi Circular knit fabric, of yarns of different colors, wholly of cotton yarns over 100 metric number per single yarn, nesoi Knitted or crocheted fabrics of cotton, of yarns of different colors, nesoi Printed circular knit fabric, wholly of cotton yarns over 100 metric number per single yarn, nesoi Printed knitted or crocheted fabrics of cotton, nesoi Unbleached or bleached knitted or crocheted fabrics of synthetic fibers, nesoi Dyed knitted or crocheted fabrics of synthetic fibers, nesoi Knitted or crocheted fabrics of synthetic fibers, of yarns of different colors, nesoi Printed knitted or crocheted fabrics of synthetic fibers, nesoi Unbleached or bleached knitted or crocheted fabrics of artificial fibers, nesoi</w:t>
      </w:r>
    </w:p>
    <w:p>
      <w:pPr>
        <w:pStyle w:val="Normal"/>
      </w:pPr>
      <w:r>
        <w:t>Dyed knitted or crocheted fabrics of artificial fibers, nesoi Knitted or crocheted fabrics of artificial fibers, of yarns of different colors, nesoi Printed knitted or crocheted fabrics of artificial fibers, nesoi Other knitted or crocheted fabrics nesoi, containing 85 percent or more by weight of silk or silk waste Other knitted or crocheted fabrics nesoi, other than of wool, cotton or</w:t>
      </w:r>
    </w:p>
    <w:p>
      <w:pPr>
        <w:pStyle w:val="Normal"/>
      </w:pPr>
      <w:r>
        <w:t>manmade fibers &amp; containing &lt; 85% by wt of silk/silk waste Men’s or boys’ overcoats, carcoats, capes, cloaks, anoraks, windbreakers and similar articles, knitted or crocheted, of cotton Men’s or boys’ overcoats, carcoats, capes and like articles knitted or crocheted, of man- made fibers, 25% or more by weight of leather Men’s or boy’s overcoat,etc.,knitted or crocheted, of manmade fibers, containing 23% or more wool or fine animal hair, nesoi Men’s or boy’s overcoats, carcoats, capes, cloaks, windbreakers and similar articles, knitted or crocheted, of man-made fibers, nesoi Men’s or boys’ overcoats, carcoats, capes, cloaks, windbreakers and similar articles, knitted or crocheted, of wool or fine animal hair Men’s or boys’ overcoats, carcoats, etc., of tex mats (other than wool, cotton or mmf), cont 70% or more wt of silk, knitted or crocheted Men’s or boys’ overcoats, carcoats, etc., of tex mats (other than wool, cotton or mmf), cont less than 70% wt silk, knitted or crocheted Women’s or girls’ overcoats, carcoats, capes, windbreakers and similar articles, knitted or crocheted,</w:t>
      </w:r>
    </w:p>
    <w:p>
      <w:pPr>
        <w:pStyle w:val="Normal"/>
      </w:pPr>
      <w:r>
        <w:t>of wool or fine animal hair Women’s or girls’ overcoats, carcoats, capes, cloaks, anoraks, windbreakers and similar articles, knitted or crocheted, of cotton Women’s or girls’ overcoats, carcoats, etc., knitted or crocheted, of manmade fibers, cont.</w:t>
      </w:r>
    </w:p>
    <w:p>
      <w:pPr>
        <w:pStyle w:val="Normal"/>
      </w:pPr>
      <w:r>
        <w:t>25% or more by weight of leather Women’s or girls’ overcoats, carcoats, etc., knitted or crocheted, of manmade fibers, containing 23% or more of wool or fine animal hair Women’s or girls’ overcoats, carcoats, capes, windbreakers and similar articles, knitted or crocheted, of manmade fibers, nesoi Women’s or girls’ overcoats, carcoats, etc., of tex mats (other than wool, cotton or mmf), cont 70% or more wt of silk, knitted or crochet Women’s or girls’ overcoats, carcoats, etc., of tex mats (other than wool, cotton or mmf), cont less than 70% wt of silk, knitted/crocheted Men’s or boys’ suits, knitted or crocheted, of wool or fine animal hair Men’s or boys’ suits, knitted or crocheted, of synthetic fibers, containing 23 percent or more of wool or fine animal hair Men’s or boys’ suits, knitted or crocheted, of synthetic fibers, nesoi Men’s or boys’ suits, knitted or crocheted, of artificial fibers, containing 23 percent or more of wool or fine animal hair Men’s or boys’ suits, knitted or crocheted, of artificial fibers,</w:t>
      </w:r>
    </w:p>
    <w:p>
      <w:pPr>
        <w:pStyle w:val="Normal"/>
      </w:pPr>
      <w:r>
        <w:t>nesoi Men’s or boys’ suits, knitted or crocheted, of cotton Men’s or boys’ suits, of tex mats(ex wool, cotton or mmf), containing 70% or more by weight of silk or silk waste, knitted or crocheted Men’s or boys’ suits, of tex mats (ex wool, cotton or mmf), containing under 70% by weight of silk or silk waste, knitted or crocheted Men’s or boys’ ensembles, knitted or crocheted, of cotton Men’s or boys’ ensembles, knitted or crocheted, of synthetic fibers Men’s or</w:t>
      </w:r>
    </w:p>
    <w:p>
      <w:pPr>
        <w:pStyle w:val="Normal"/>
      </w:pPr>
      <w:r>
        <w:t>boys’ ensembles, knitted or crocheted, of wool or fine animal hair Men’s or boys’ ensembles, knitted or crocheted, of artificial fibers Men’s or boys’ ensembles, knitted or crocheted, of textile materials nesoi Men’s or boys’ suit-type jackets and blazers, knitted or crocheted, of wool or fine animal hair Men’s or boys’ suit-type jackets and blazers, knitted or crocheted, of cotton Men’s or boys’ suit-type jackets and blazers, knitted or crocheted, of synthetic fibers, containing 23% or more of wool or fine animal hair Men’s or boys’ suit-type jackets and blazers, knitted or crocheted, of synthetic fibers, nesoi Men’s or boys’ suit-type jackets and blazers, knitted or crocheted, of artificial fibers Men’s or boys’ suit-type jackets and blazers, of textile mats, (except wool, cotton, or mmf), cont 70% or more by wt of silk, knitted/croc Men’s or boys’ suit-type jackets and blazers, of textile mats, (except wool, cotton, or mmf), cont less than 70% by wt of silk, knitted/croc Men’s or boys’ trousers, breeches and shorts, knitted or crocheted, of wool</w:t>
      </w:r>
    </w:p>
    <w:p>
      <w:pPr>
        <w:pStyle w:val="Normal"/>
      </w:pPr>
      <w:r>
        <w:t>or fine animal hair Men’s or boys’ bib and brace overalls, knitted or crocheted, of wool or fine animal hair Men’s or boys’ trousers, breeches and shorts, knitted or crocheted, of cotton Men’s or boys’ bib and brace overalls, knitted or crocheted, of cotton Men’s or boys’ trousers, breeches and shorts, knitted or crocheted, of syn.</w:t>
      </w:r>
    </w:p>
    <w:p>
      <w:pPr>
        <w:pStyle w:val="Normal"/>
      </w:pPr>
      <w:r>
        <w:t>fibers, cont.</w:t>
      </w:r>
    </w:p>
    <w:p>
      <w:pPr>
        <w:pStyle w:val="Normal"/>
      </w:pPr>
      <w:r>
        <w:t>23 percent or more of wool or fine animal hair Men’s or boys’ trousers, breeches and shorts, knitted or crocheted, of synthetic fibers, nesoi Men’s and boys’ bib and brace overalls of synthetic fibers, knitted or crocheted Men’s or boys’ trousers, breeches and shorts, knitted or crocheted, of artificial fibers Men’s or boys’ bib and brace overalls, knitted or crocheted, of artificial fibers Men’s or boys’ trousers, bib and brace overalls, breeches and shorts, of tex mat (except wool, cot or mmf), con 70% or more wt of silk, k/c Men’s or boys’ trousers, bib and brace overalls, breeches and shorts, of tex mat (except wool, cot or mmf), con under 70% by wt of silk, k/c Women’s or girls’ suits, knitted or crocheted, of synthetic fibers, containing 23 percent or more of wool or fine animal hair Women’s or girls’ suits, knitted or crocheted, of synthetic fibers, nesoi Women’s or girls’ suits, knitted or crocheted, of artificial fibers, containing 23 percent or more of wool or fine animal hair</w:t>
      </w:r>
    </w:p>
    <w:p>
      <w:pPr>
        <w:pStyle w:val="Normal"/>
      </w:pPr>
      <w:r>
        <w:t>Women’s or girls’ suits, knitted or crocheted, of artificial fibers, nesoi Women’s or girls’ suits, of tex mats (ex wool, cotton or mmf), containing 70% or more by weight of silk or silk waste, knitted or crocheted Women’s or girls’ suits, knitted or crocheted, of wool or fine animal hair Women’s or girls’ suits, knitted or crocheted, of cotton Women’s or girls’ suits, of tex mats (ex wool, cotton or mmf), containing under 70% by weight of silk or silk waste, knitted or crocheted Women’s or</w:t>
      </w:r>
    </w:p>
    <w:p>
      <w:pPr>
        <w:pStyle w:val="Normal"/>
      </w:pPr>
      <w:r>
        <w:t>girls’ ensembles, knitted or crocheted, of cotton Women’s or girls’ ensembles, knitted or crocheted, of synthetic fibers Women’s or girls’ ensembles, knitted or crocheted, of wool or fine animal hair Women’s or girls’ ensembles, knitted or crocheted, of artificial fibers Women’s or girls’ ensembles, knitted or crocheted, of textile materials nesoi Women’s or girls’ suit-type jackets and blazers, knitted or crocheted, of wool or fine animal hair Women’s or girls’ suit-type jackets and blazers, knitted or crocheted, of cotton Women’s or girls’ suit-type jackets &amp; blazers, knit or crocheted, of synthetic fibers, cont.</w:t>
      </w:r>
    </w:p>
    <w:p>
      <w:pPr>
        <w:pStyle w:val="Normal"/>
      </w:pPr>
      <w:r>
        <w:t>23% or more of wool or fine animal hair Women’s or girls’ suit-type jackets and blazers, knitted or crocheted, of synthetic fibers, nesoi Women’s or girls’ suit-type jackets, knitted or crocheted, of artificial fibers Women’s or girls’ suit-type jackets, knitted or crocheted, of textile materials nesoi Women’s or girls’ dresses, knitted or crocheted, of wool or fine animal hair Women’s or girls’ dresses, knitted or crocheted, of cotton Women’s or girls’ dresses, knitted or crocheted, of synthetic fibers, containing 23 percent or more of wool or fine animal hair Women’s or girls’ dresses, knitted or crocheted, of synthetic fibers, nesoi Women’s or girls’ dresses, knitted or crocheted, of artificial fibers, containing 23 percent or more of wool or fine animal hair Women’s or girls’ dresses, knitted or crocheted, of artificial fibers, nesoi Women’s or girls’ dresses,</w:t>
      </w:r>
    </w:p>
    <w:p>
      <w:pPr>
        <w:pStyle w:val="Normal"/>
      </w:pPr>
      <w:r>
        <w:t>of textile mats (ex wool, cotton or mmf), containing 70% or more by weight of silk or silk waste, knitted or croc Women’s or girls’ dresses, of textile mats (ex wool, cotton or mmf), containing under 70% by weight of silk or silk waste, knitted or croc Women’s or girls’ skirts and divided skirts, knitted or crocheted, of wool or fine animal hair Women’s or girls’ skirts and divided skirts, knitted or crocheted, of cotton Women’s or girls’ skirts &amp; divided skirts, knitted or crocheted, of synthetic fibers, cont.</w:t>
      </w:r>
    </w:p>
    <w:p>
      <w:pPr>
        <w:pStyle w:val="Normal"/>
      </w:pPr>
      <w:r>
        <w:t>23% or more of wool or fine animal hair Women’s or girls’ skirts and divided skirts, knitted or crocheted, of synthetic fibers, nesoi Women’s or girls’ skirts and divided skirts, knitted or crocheted, of artificial fibers Women’s or girls’ skirts &amp; divided skirts, of textile mats (ex wool, cotton or mmf), containing 70% or more by wt of silk, knitted or croc Women’s or girls’ skirts and divided skirts, of textile mats (ex wool, cotton or mmf), containing under 70% by wt of silk, knitted or croc Women’s or girls’ trousers, bib and brace overalls, breeches and shorts, knitted or crocheted, of wool or fine animal hair Women’s or girls’ bib and brace overalls, knitted or crocheted, of cotton Women’s or girls’ trousers, breeches and shorts, knitted or crocheted, of cotton Women’s or girls’ bib and brace overalls, knitted or crocheted, of synthetic fibers Women’s or girls’ trousers, etc., knitted or crocheted, of synthetic fibers, containing 23 percent or more of wool or</w:t>
      </w:r>
    </w:p>
    <w:p>
      <w:pPr>
        <w:pStyle w:val="Normal"/>
      </w:pPr>
      <w:r>
        <w:t>fine animal hair Women’s or girls’ trousers, breeches and shorts, knitted or crocheted, of synthetic fibers, nesoi Women’s or girls’ bib and brace overalls, knitted or crocheted, of artificial fibers Women’s or girls’ trousers, breeches and shorts, knitted or crocheted, of artificial fibers Women’s or girls’ trousers, bib &amp; brace overalls, breeches &amp; shorts, of tex mats (ex wool, cotton or mmf), cont 70% or more wt of silk, k/c Women’s or girls’ trousers, bib &amp; brace overalls, breeches &amp; shorts, of tex mats (ex wool, cotton or mmf), cont under 70% by wt of silk, k/c Men’s or boys’ shirts, knitted or crocheted, of cotton Men’s or boys’ shirts, knitted or crocheted, of manmade fibers, containing 23 percent or more of wool or fine animal hair Men’s or boys’ shirts, knitted or crocheted, of manmade fibers, nesoi Men’s or boys’ shirts, knitted or crocheted, of wool or fine animal hair Men’s or boys’ shirts, of textile materials (ex wool, cotton or mmf), containing 70% or more by weight of</w:t>
      </w:r>
    </w:p>
    <w:p>
      <w:pPr>
        <w:pStyle w:val="Normal"/>
      </w:pPr>
      <w:r>
        <w:t>silk or silk waste, knitted/croch Men’s or boys’ shirts, of textile materials (ex wool, cotton or mmf), containing under 70% by weight of silk or silk waste, knitted/crochete Women’s or girls’ blouses and shirts, knitted or crocheted, of cotton Women’s or girls’ blouses and shirts, knitted or crocheted, of manmade fibers, containing 23 percent or more of wool or fine animal hair Women’s or girls’ blouses and shirts, knitted or crocheted, of man-made fibers, nesoi Women’s or girls’ blouses and</w:t>
      </w:r>
    </w:p>
    <w:p>
      <w:pPr>
        <w:pStyle w:val="Normal"/>
      </w:pPr>
      <w:r>
        <w:t>shirts, knitted or crocheted, of wool or fine animal hair Women’s or girls’ blouses and shirts, of textile materials (ex wool, cotton or mmf), containing 70% or more weight of silk, knitted or croc Women’s or girls’ blouses and shirts, of textile materials (ex wool, cotton or mmf), containing under 70% by weight of silk, knitted or croc Women’s or girls’ blouses and shirts, knitted or crocheted, of textile materials nesoi Men’s or boys’ underpants and briefs, knitted or crocheted, of cotton Men’s or boys’ underpants and briefs, knitted or crocheted, of man-made fibers Men’s or boys’ underpants &amp; briefs, of textile materials (ex cotton or mmf), containing 70% or more by weight of silk or silk waste, k/croc Men’s or boys’ underpants and briefs, of textile materials (except cotton or mmf), containing under 70% by weight of silk, knitted or croc Men’s or boys’ nightshirts and pajamas, knitted or crocheted, of cotton Men’s or boys’ nightshirts and pajamas, knitted or crocheted, of man-made fibers Men’s or boys’ nightshirts and</w:t>
      </w:r>
    </w:p>
    <w:p>
      <w:pPr>
        <w:pStyle w:val="Normal"/>
      </w:pPr>
      <w:r>
        <w:t>pajamas, knitted or crocheted, of wool or fine animal hair Men’s or boys’ nightshirts and pajamas, of textile materials (ex cotton, mmf or wool), containing 70% or more by wt of silk, knitted or croc Men’s or boys’ nightshirts and pajamas, of textile materials (ex cotton, mmf or wool), containing under 70% by wt of silk, knitted or croc Men’s or boys’ bathrobes, dressing gowns and similar articles, knitted or crocheted, of cotton Men’s or boys’ bathrobes,</w:t>
      </w:r>
    </w:p>
    <w:p>
      <w:pPr>
        <w:pStyle w:val="Normal"/>
      </w:pPr>
      <w:r>
        <w:t>dressing gowns and similar articles, knitted or crocheted, of man-made fibers Men’s or boys’ bathrobes, dressing gowns and similar articles, knitted or crocheted, of wool or fine animal hair Men’s or boys’ bathrobes, dressing gowns, &amp; similar articles, of textile materials (except wool), containing 70% or more by wt of silk, k/c Men’s or boys’ bathrobes, dressing gowns, and similar articles, of textile materials (except wool), containing under 70% by wt of silk, k/c Women’s or girls’ slips and petticoats, knitted or crocheted, of man-made fibers Women’s or girls’ slips and petticoats, of textile materials (except mmf), containing 70% or more by weight of silk, knitted or crocheted Women’s or girls’ slips and petticoats, of textile materials (except mmf), containing under 70% by weight of silk, knitted or crocheted Women’s or girls’ briefs and panties, knitted or crocheted, of cotton Women’s or girls’ disposable briefs and panties designed for one-time use, of man- made fibers, knitted or crocheted Women’s or girls’ briefs and panties (other than disposable), of man-made fibers,</w:t>
      </w:r>
    </w:p>
    <w:p>
      <w:pPr>
        <w:pStyle w:val="Normal"/>
      </w:pPr>
      <w:r>
        <w:t>knitted or crocheted Women’s or girls’ briefs and panties (other than disposable), of text materials (other than cotton or mmf) cont 70% or more wt of silk, k/c Women’s or girls’ briefs and panties (other than disposable), of text mats (other than cotton or mmf) cont under 70% by wt of silk, k/c Women’s or girls’ nightdresses and pajamas, knitted or crocheted, of cotton Women’s or girls’ nightdresses</w:t>
      </w:r>
    </w:p>
    <w:p>
      <w:pPr>
        <w:pStyle w:val="Normal"/>
      </w:pPr>
      <w:r>
        <w:t>and pajamas, knitted or crocheted, of man-made fibers Women’s or girls’ nightdresses and pajamas, knitted or crocheted, of wool or fine animal hair Women’s or girls’ nightdresses &amp; pajamas, con. 70% or more by wt of silk or silk waste, knitted or crocheted Women’s or girls’ nightdresses &amp; pajamas, of textiles (except of cotton/mmf/wool), con. under 70% by wt of silk, knitted or crocheted Women’s or girls’ negligees, bathrobes, dressing gowns and similar articles, knitted or crocheted, of cotton Women’s or girls’ negligees, bathrobes, dressing gowns and similar articles, knitted or crocheted, of man-made fibers Women’s or girls’ negligees, bathrobes, dressing gowns and similar articles, knitted or crocheted, of wool or fine animal hair Women’s or girls’ bathrobes, negligees, &amp; sim. articles, con. 70% or more by wt of silk or silk waste, knitted or crocheted Women’s or girls’ bathrobes, negligees, &amp; sim.</w:t>
      </w:r>
    </w:p>
    <w:p>
      <w:pPr>
        <w:pStyle w:val="Normal"/>
      </w:pPr>
      <w:r>
        <w:t>articles, of textiles (except of cotton/mmf/wool), con under 70% by wt of silk, k/c T-shirts, singlets, tank tops and similar garments, knitted or crocheted, of cotton T-shirts, singlets, tank tops and similar garments, knitted or crocheted, of man-made fibers T-shirts and similar garments, knitted or crocheted, of wool, with long sleeves T-shirts, singlets tanktops &amp; sim garments, of text mat (except cotton, mmf or long sleeve wool garments), cont 70% or more wt of silk, k/c T-shirts, singlets tanktops and sim garments, of text mat (except cotton, mmf or long sleeve wool garments), cont under 70% wt of silk, k/c Sweaters, pullovers, sweatshirts, waistcoats (vests) and similar articles, knitted or crocheted, of wool Sweaters, pullovers, sweatshirts, waistcoats (vests) and similar articles, knitted or crocheted, of Kashmir goats, wholly of cashmere Sweaters, pullovers, sweatshirts, waistcoats (vests) and similar articles, knitted or crocheted, of Kashmir goats, not wholly of cashmere Sweaters, pullovers, sweatshirts, waistcoats (vests) and similar articles, knitted or crocheted, of fine animal hair Sweaters, pullovers and similar articles, knitted or</w:t>
      </w:r>
    </w:p>
    <w:p>
      <w:pPr>
        <w:pStyle w:val="Normal"/>
      </w:pPr>
      <w:r>
        <w:t>crocheted, of cotton, containing 36 percent or more of flax fibers Sweaters, pullovers and similar articles, knitted or crocheted, of cotton, nesoi Sweaters, pullovers, sweatshirts and similar articles, knitted or crocheted, of man-made fibers, cont.</w:t>
      </w:r>
    </w:p>
    <w:p>
      <w:pPr>
        <w:pStyle w:val="Normal"/>
      </w:pPr>
      <w:r>
        <w:t>25% or more by weight of leather Sweaters, etc., knitted or crocheted, of manmade fibers, containing 23% or more of wool or fine animal hair Sweaters, pullovers &amp; similar articles, knitted or crocheted, of manmade fibers, containing 30 percent or more of silk or silk waste Sweaters, pullovers and similar articles, knitted or crocheted, of manmade fibers, nesoi Sweaters, pullovers, sweatshirts, vests and similar articles, of text mat (except wool, cotton or mmf), cont 70% or more by wt of silk, k/c Sweaters, pullovers, sweatshirts, vests and sim articles, of text mat (except wool, cotton or mmf), containing under 70% by wt of silk, k/c Babies’ blouses and shirts, except those imported as parts of sets, knitted or crocheted, of cotton Babies’ T-shirts, singlets and similar garments, except those imported as parts of sets, of cotton Babies’ sweaters, pullovers, sweatshirts and similar articles, except those imported as parts of sets, knitted or crocheted, of cotton Babies’ dresses, knitted or crocheted, of cotton Babies’ trousers, breeches and shorts, except those imported</w:t>
      </w:r>
    </w:p>
    <w:p>
      <w:pPr>
        <w:pStyle w:val="Normal"/>
      </w:pPr>
      <w:r>
        <w:t>as parts of sets, knitted or crocheted, of cotton Babies’ garments and clothing accessories, knitted or crocheted, of cotton, nesoi Babies’ trousers, breeches and shorts, except those imported as parts of sets, knitted or crocheted, of synthetic fibers Babies’ blouses and shirts, except those imported as parts of sets, knitted or crocheted, of synthetic fibers Babies’ T-shirts, singlets and similar garments,</w:t>
      </w:r>
    </w:p>
    <w:p>
      <w:pPr>
        <w:pStyle w:val="Normal"/>
      </w:pPr>
      <w:r>
        <w:t>except those imported as parts of sets, knitted or crocheted, of synthetic fibers Babies’ sweaters, pullovers and similar articles, except those imported as parts of sets, knitted or crocheted, of synthetic fibers Babies’ garments and clothing accessories, knitted or crocheted, of synthetic fibers, nesoi Babies’ garments and clothing accessories, knitted or crocheted, of wool or fine animal hair Babies’ trousers, breeches and shorts, except those imported as parts of sets, knitted or crocheted, of artificial fibers Babies’ blouses and shirts, except those imported as parts of sets, knitted or crocheted, of artificial fibers Babies’ T-shirts, singlets and similar garments, except those imported as parts of sets, knitted or crocheted, of artificial fibers Babies’ sweaters, sweatshirts, and similar articles, except those imported as parts of sets, knitted or crocheted, of artificial fibers Babies’ garments and clothing accessories, knitted or crocheted, of artificial fibers, nesoi Babies garments and clothing accessories, of textile materials (except wool, cotton or mmf), containing 70% or more by weight of silk, k/c Babies garments and clothing accessories,</w:t>
      </w:r>
    </w:p>
    <w:p>
      <w:pPr>
        <w:pStyle w:val="Normal"/>
      </w:pPr>
      <w:r>
        <w:t>of textile materials (except wool, cotton or mmf), containing under 70% by weight of silk, k/c Track suits, knitted or crocheted, of cotton Track suits, knitted or crocheted, of synthetic fibers Track suits, knitted or crocheted, of artificial fibers Track suits, of textile materials (except cotton or mmf), containing 70%</w:t>
      </w:r>
    </w:p>
    <w:p>
      <w:pPr>
        <w:pStyle w:val="Normal"/>
      </w:pPr>
      <w:r>
        <w:t>or more by weight of silk or silk waste, knitted or crocheted Track suits, of textile materials (except cotton or mmf), containing less than 70% by weight of silk or silk waste, knitted or crocheted Ski-suits, knitted or crocheted, of man-made fibers Ski-suits, knitted or crocheted, of textile materials other than man-made fibers Men’s or boys’ swimwear, knitted or crocheted, of synthetic fibers Men’s or boys’ swimwear, knitted or crocheted, of textile materials other than synthetic fibers Women’s or girls’ knitted or crocheted swimwear of synthetic fibers Women’s or girls’ swimwear, knitted or crocheted, of textile materials other than synthetic fibers Garments nesoi, made up of k/c fabrics of 5903, 5906 or 5907, w an outer surf impreg, coated, cov, or lam w rub/p mat which obscures the fab Garments nesoi, made up of k/c fabrics of 5903, 5906 or 5907, not impreg, coated, covered, or laminated w rubber or plastics materials Garments nesoi, knitted or crocheted, of cotton Tops, knitted or crocheted, of man-made fibers Bodysuits and bodyshirts, knitted</w:t>
      </w:r>
    </w:p>
    <w:p>
      <w:pPr>
        <w:pStyle w:val="Normal"/>
      </w:pPr>
      <w:r>
        <w:t>or crocheted, of man-made fibers Garments nesoi, knitted or crocheted, of man-made fibers Garments nesoi, knitted or crocheted, of wool or fine animal hair Other garments nesoi, of textile materials (except wool, cotton or mmf), contain 70% or more by weight of silk or silk waste, knitted/croch Other garment, nesoi, of textile materials (except wool, cotton or mmf), containing under 70% by wt of silk or silk waste,</w:t>
      </w:r>
    </w:p>
    <w:p>
      <w:pPr>
        <w:pStyle w:val="Normal"/>
      </w:pPr>
      <w:r>
        <w:t>knitted/crocheted Surgical panty hose and surgical stockings with graduated compression for orthopedic treatment Graduated compression panty hose and tights (not for orthopedic treatment), of synthetic fibers Graduated compression panty hose and tights (not for orthopedic treatment), of textile materials except synthetic fibers Graduated compression hosiery (except pantyhose and tights) (not for orthopedic treatment), of cotton Graduated compression hosiery (except pantyhose and tights) (not for orthopedic treatment), of synthetic fibers Graduated compression hosiery (except pantyhose and tights) (not for orthopedic treatment), of artificial fibers Graduated compression hosiery (except pantyhose and tights) (not for orthopedic treatment), nesoi Panty hose and tights (not graduated compression), knitted or crocheted, of synthetic fibers, measuring per single yarn less than 67 decitex Panty hose and tights (not graduated compression), knitted or crocheted, of synthetic fibers, measuring per single yarn 67 decitex or more Panty hose (not graduated compressoin) and tights, containing 70% or more by weight of silk or silk waste, knitted or crocheted Panty hose (not surgical) and tights, of textile materials nesoi, knitted or</w:t>
      </w:r>
    </w:p>
    <w:p>
      <w:pPr>
        <w:pStyle w:val="Normal"/>
      </w:pPr>
      <w:r>
        <w:t>crocheted Women’s full-length or knee-length hosiery, measuring per single yarn less than 67 decitex containing 70% or more by wt of silk, knit/croc Women’s full-length or knee-length hosiery, measuring per single yarn less than 67 decitex containing under</w:t>
      </w:r>
    </w:p>
    <w:p>
      <w:pPr>
        <w:pStyle w:val="Normal"/>
      </w:pPr>
      <w:r>
        <w:t>70% by wt of silk, knitted/croc Hosiery nesoi, knitted or crocheted, of wool or fine animal hair Stockings, socks, etc.</w:t>
      </w:r>
    </w:p>
    <w:p>
      <w:pPr>
        <w:pStyle w:val="Normal"/>
      </w:pPr>
      <w:r>
        <w:t>(not surgical), knitted or crocheted, of cotton, containing lace or net Stockings, socks, etc. nesoi (not surgical and not containing lace or net), knitted or crocheted, of cotton Stockings, socks, etc. nesoi, knitted or crocheted, of synthetic fibers, containing lace or net Stockings, socks, etc. nesoi, knitted or crocheted, of synthetic fibers (not containing lace or net) Hosiery nesoi, of artificial fibers, containing lace or net Hosiery nesoi, knitted or crocheted, of artificial fibers, other than those containing lace or net Stockings and other hosiery, including footwear without applied soles, of textile materials(except mmf), cont 70% or more by wt of silk, k/c Stockings and other hosiery, including footwear without applied soles, of textile materials(except mmf), cont under 70% by wt of silk, knitt Ice hockey and field hockey gloves, knitted or crocheted, impregnated, coated or covered with plastics or rubber Other gloves, mittens and mitts, the foregoing specially designed for sports use, incl. ski and snowmobile gloves, mittens and mitts Gloves, mittens &amp; mitts, w/o four., k/c, coated w. plastics/rubber nesoi, cut &amp; sewn, of veg. fibers, cont.</w:t>
      </w:r>
    </w:p>
    <w:p>
      <w:pPr>
        <w:pStyle w:val="Normal"/>
      </w:pPr>
      <w:r>
        <w:t>&gt; 50% by wt. of plastics/rubber Gloves, mittens &amp; mitts, w/o four., k/c, coated w. plastics/rubber, nesoi, cut &amp; sewn, of veg. fibers, cont.</w:t>
      </w:r>
    </w:p>
    <w:p>
      <w:pPr>
        <w:pStyle w:val="Normal"/>
      </w:pPr>
      <w:r>
        <w:t>50 % or less wt. of plas./rub.</w:t>
      </w:r>
    </w:p>
    <w:p>
      <w:pPr>
        <w:pStyle w:val="Normal"/>
      </w:pPr>
      <w:r>
        <w:t>Gloves, mittens &amp; mitts(excl sports), impreg etc, cut &amp; sewn from pre-exist non-veg fib impreg fab, w/o fourch, con ov 50% wt plast/rub k/c Gloves, mittens &amp; mitts(excl sports), impreg etc, cut &amp; sewn from pre-exist non-veg fib impreg fab, w/o fourch, con &lt; 50% wt pla/rub k/c Gloves, mittens &amp; mitts(excl ports), impreg etc, not cut &amp; sewn from pre-existing fabric, w/o fourch, con 50% or more wt of tex fibers, k/c Gloves, mittens &amp; mitts(excl sports), impreg etc, not cut &amp; sewn from pre-existing fabric, w/o fourch, cont &lt; 50% by wt of text fib, k/c Gloves, mittens &amp; mitts(excl sports), impreg etc, not cut &amp; sewn from pre-existing fabric, with fourch, con 50% or more wt of text fib, k/c Gloves, mittens &amp; mitts(excl sports), impreg etc, not cut &amp; sewn from pre-existing fab, w fourch, cont &lt; 50% by wt of textile fiber, k/c Gloves, mittens and mitts, knitted or crocheted, of wool or fine animal hair Ice hockey and field hockey gloves, knitted or crocheted,</w:t>
      </w:r>
    </w:p>
    <w:p>
      <w:pPr>
        <w:pStyle w:val="Normal"/>
      </w:pPr>
      <w:r>
        <w:t>of cotton, not impregnated, coated or covered with plastics or rubber Gloves, etc., specially designed for sports, including ski and snowmobile gloves, mittens and mitts, knitted or crocheted, of cotton Gloves, mittens &amp; mitts, (excl.</w:t>
      </w:r>
    </w:p>
    <w:p>
      <w:pPr>
        <w:pStyle w:val="Normal"/>
      </w:pPr>
      <w:r>
        <w:t>ski or snowmobile), knitted or crocheted, of cotton, made from a pre-existing machine knit fabric, w/o four.</w:t>
      </w:r>
    </w:p>
    <w:p>
      <w:pPr>
        <w:pStyle w:val="Normal"/>
      </w:pPr>
      <w:r>
        <w:t>Gloves, mittens &amp; mitts (excl. ski or snowmobile), k/c, of cotton, from a pre-existing machine knit fabric, with fourchettes Gloves, mittens &amp; mitts, (excl.</w:t>
      </w:r>
    </w:p>
    <w:p>
      <w:pPr>
        <w:pStyle w:val="Normal"/>
      </w:pPr>
      <w:r>
        <w:t>ski or snowmobile), k/c, of cotton, not made from a pre existing machine knit fabric, w/o fourchettes Gloves, mittens &amp; mitts, of cotton, k/c, not impreg. etc. with plas./rub., not from pre ex. mach. knit fabric, not for sports, with four. Ice hockey and field hockey gloves, knitted or crocehted, of synthetic fibers, not impregnated, coated or covered with plastics or rubber Gloves, mittens &amp; mitts, for sports use, (incl. ski and snowmobile gloves, etc.), of synthetic fibers Gloves, mittens &amp; mitts (excl. those designed for sports etc.), k/c, of synthetic fiber, cont. 23% or more wt. of wool etc., w/o four. Gloves, mittens &amp; mitts (excl. those designed for sports etc.), k/c, of synthetic fibers, cont. 23% or more wt. of wool etc., with four.</w:t>
      </w:r>
    </w:p>
    <w:p>
      <w:pPr>
        <w:pStyle w:val="Normal"/>
      </w:pPr>
      <w:r>
        <w:t>Gloves, mittens &amp; mitts (excl. those designed for sports etc.), k/c, of synthetic fibers, under 23% by wt. of wool etc., w/o fourchettes Gloves, mittens &amp; mitts (excl. those designed for sports etc.), k/c, of synthetic fibers, under 23% by wt. of wool etc., with fourchettes Ice hockey and field hockey gloves, knitted or crocheted, of artificial fibers, not impregnated, coated or covered with plastics or rubber Gloves, mittens &amp; mitts specially designed for sports, including ski and snowmobile gloves, mittens and mitts, of artificial fibers Gloves, mittens &amp; mitts (excl. those designed for sports etc.), knitted/crocheted, of artificial fibers, without fourchettes Gloves, mittens &amp; mitts (excl.</w:t>
      </w:r>
    </w:p>
    <w:p>
      <w:pPr>
        <w:pStyle w:val="Normal"/>
      </w:pPr>
      <w:r>
        <w:t>those designed for sports etc.), knitted or crocheted, of artificial fibers, with fourchettes Gloves, mittens and mitts, of textile materials(except wool, cotton or mmf), containing 70% or more by wt of silk or silk waste, knit/croc Gloves, mittens and mitts, of textile materials(except wool, cotton or mmf), containing under 70% by weight of silk or silk waste, knit/croc Shawls, scarves, mufflers, mantillas, veils and the like, knitted or crocheted, of wool or fine animal hair Shawls, scarves, mufflers, mantillas, veils and the like, knitted or crocheted, of man- made fibers Shawls, scarves, etc., knitted or crocheted, containing 70% or more by weight of silk or silk waste Shawls, scarves, mufflers, mantillas, veils and the like, nesoi Ties, bow ties and cravats, containing 70% or more by weight of silk or silk waste, knitted or crocheted Made up clothing accessories(excl shawls, scarves, mufflers, mantillas, veils and the like;</w:t>
      </w:r>
    </w:p>
    <w:p>
      <w:pPr>
        <w:pStyle w:val="Normal"/>
      </w:pPr>
      <w:r>
        <w:t>ties and cravat), containing &gt;= 70% wt of silk, Headbands, ponytail holders &amp; similar articles, of textile materials other than containing 70% or more by weight of silk, knitted/crocheted Ties, bow ties and cravats, containing under 70% by weight of silk or silk waste, knitted or crocheted Made up clothing accessories (excl shawl, scarve, and like, tie, cravat, headband, ponytail holder and like), cont &lt; 70% wt of silk, k/c Parts of garments or of clothing accessories, containing 70% or more by weight of silk or silk waste, knitted or crocheted</w:t>
      </w:r>
    </w:p>
    <w:p>
      <w:pPr>
        <w:pStyle w:val="Normal"/>
      </w:pPr>
      <w:r>
        <w:t>Parts of garments or of clothing accessories, containing under 70% by weight of silk or silk waste, knitted or crocheted Men’s or boys’ overcoats, carcoats, capes, cloaks and similar coats of wool or fine animal hair, not knitted or crocheted Men’s or boys’ overcoats, carcoats, capes, &amp; similar coats of cotton, not knit or crocheted, containing 15% or more by wt of down, etc Men’s or boys’ overcoats, carcoats, capes, &amp; similar coats of cotton, not knit or crocheted, not containing 15% or more by wt of down, etc Men’s or boys’ overcoats, carcoats, capes, &amp; like coats of man-made fibers, not knit or crocheted, cont. 15% or more by wt of down, etc Men’s or boys’ overcoats, carcoats, capes, &amp; like coats of manmade fibers, not knit or crocheted, cont.</w:t>
      </w:r>
    </w:p>
    <w:p>
      <w:pPr>
        <w:pStyle w:val="Normal"/>
      </w:pPr>
      <w:r>
        <w:t>36 percent or more of wool, nesoi Men’s or boys’ overcoats, carcoats, capes, cloaks and similar coats, not knitted or crocheted, of manmade fibers, nesoi Men’s or boys’ overcoats, carcoats, capes, cloaks, &amp; sim coats, of tex mats(except wool, cotton or mmf), cont &gt; or = 70% by wt silk, not k/c Men’s or boys’ overcoats, carcoats, capes, cloaks, &amp; sim coats, of tex mats(except wool, cotton or mmf), cont under 70% by wt silk, not k/c Rec. perf.</w:t>
      </w:r>
    </w:p>
    <w:p>
      <w:pPr>
        <w:pStyle w:val="Normal"/>
      </w:pPr>
      <w:r>
        <w:t>outwear, men’s/boys’ padded, sleevels jackets, not knit/crochet, of wool or fine animal Rec perf outwear, men’s or boys’ anoraks, windbreakers and similar articles nesoi, not knitted or crocheted, of wool or fine animal hair Men’s or boys’ padded, sleeveless jackets, not knitted or crocheted, of wool or fine animal hair, o/than rec. perf outwear Men’s or boys’ anoraks, windbreakers and similar articles nesoi, not knitted or crocheted, of wool or fine animal hair, o/than rec perf outwear Rec perf outwear, men’s/boys’ anoraks, windbreakers &amp; similar articles, not knit/crocheted, of cotton, containing 15% or more by weight of down, etc Rec perf outwear, men’s or boys’ anoraks, windbreakers and similar articles, nesoi, not knitted or crocheted, of cotton, water resistant Rec perf outwear, men’s/boys’ anoraks, windbreakers &amp; similar articles nesoi, not knit/crochet, of cotton, not cont.</w:t>
      </w:r>
    </w:p>
    <w:p>
      <w:pPr>
        <w:pStyle w:val="Normal"/>
      </w:pPr>
      <w:r>
        <w:t>15% or more by wt of down, etc Men’s/boys’ anoraks, windbreakers &amp; sim articles, not knit/crochet, cotton, containing 15% or more by weight down, etc, o/than rec perf outwear Men’s or boys’ anoraks, windbreakers and similar articles, nesoi, not knitted or crocheted, of cotton, water resistant, o/than rec perf outwear Men’s or boys’ anoraks, windbreakers &amp; sim articles nesoi, not knit/crochet, cotton, not cont. 15% or more by wt of down, etc, o/than rec perf outwear Rec perf outwear, men’s/boys’ anoraks, windbreakers &amp; similar articles, not knit/crochet, of man-made fibers, cont.</w:t>
      </w:r>
    </w:p>
    <w:p>
      <w:pPr>
        <w:pStyle w:val="Normal"/>
      </w:pPr>
      <w:r>
        <w:t>15% or more by wt of down, etc Rec perf outwear, men’s/boys’ padded, sleeveless jackets, not knit/ crochet, man-made fibers, not containing 15% or more by weight of down, etc Rec perf outwear, men’s/boys’ anoraks, etc, nesoi, not knit/crochet, of manmade fibers, containing 36 percent or more of wool or fine animal hair Rec perf outwear, men’s/boys’ anoraks, windbreakers and similar articles, not knitted or crocheted, of manmade fibers, nesoi, water resistant Rec perf outwear, men’s/boys’ anoraks, windbreakers and similar articles, not knitted or crocheted, of manmade fibers, nesoi Men’s/boys’ anoraks, windbreakers &amp; similar articles, not knit/crochet, man-made fibers, cont.</w:t>
      </w:r>
    </w:p>
    <w:p>
      <w:pPr>
        <w:pStyle w:val="Normal"/>
      </w:pPr>
      <w:r>
        <w:t>15% or more by wt of down, etc, o/than rec perf outwear Men’s/boys’ padded, sleeveless jackets, not knit/crochet, man-made fibers, not containing 15% or more by wt of down, etc, o/than rec perf outwear Men’s/boys’ anoraks, etc, nesoi, not knit/crochet, manmade fibers, containing 36 percent or more of wool or fine animal hair, o/than rec perf outwear Men’s or boys’ anoraks, windbreakers &amp; similar articles, not knitted or crocheted, of manmade fibers, nesoi, water resistant, o/than rec perf outwear Men’s or boys’ anoraks, windbreakers and similar articles, not knitted or crocheted, of manmade fibers, nesoi, o/than rec perf outwear Rec perf outwear, men’s/boys’ anoraks, wind-breakers &amp; sim articles, not k/c, of tex mats (except wool, cotton or mmf), cont 70% or more by wt silk Rec perf outwear, men’s/boys’</w:t>
      </w:r>
    </w:p>
    <w:p>
      <w:pPr>
        <w:pStyle w:val="Normal"/>
      </w:pPr>
      <w:r>
        <w:t>anoraks, wind-breakers &amp; sim articles, not k/c, text mats (not wool, cotton or mmf), cont under 70% by wt of silk Men’s/boys’ anoraks, wind-breakers &amp; sim articles, not k/c, tex mats (not wool, cotton or mmf), cont 70% or more by wt silk, o/than rec perf outwear men’s/boys’ anoraks, wind-breakers &amp; similar articles, not k/c, of text mats(except wool, cotton or mmf), cont under 70% by wt of silk, Women’s or girls’ overcoats, carcoats, capes, cloaks and similar coats, not knitted or crocheted, of wool or fine animal hair Women’s or girls’ overcoats, carcoats, etc, not knitted or crocheted, of cotton, containing 15% or more by weight of down, etc Women’s or girls’ overcoats, carcoats, etc, not knitted or crocheted, of cotton, not containing 15% or more by weight of down, etc Women’s or girls’ overcoats, carcoats, etc, not knitted or crocheted, of man-made fibers, containing 15% or more by weight of down, etc Women’s or girls’ overcoats, carcoats, etc, not knitted or crocheted, of m-m fibers, cont.</w:t>
      </w:r>
    </w:p>
    <w:p>
      <w:pPr>
        <w:pStyle w:val="Normal"/>
      </w:pPr>
      <w:r>
        <w:t>36% or more of wool or fine animal hair, nesoi Women’s or girls’ overcoats, carcoats, capes, cloaks and similar articles, not knitted or crocheted, of man-made fibers, nesoi Women’s or girls’ overcoats, carcoats, capes, cloaks &amp; sim coats, of tex mats(except wool, cotton or mmf), con 70% or more wt silk, not k/c Women’s or girls’ overcoats, carcoats, capes, cloaks &amp; sim coats, of tex mats(except wool, cotton or mmf), con under 70% wt silk, not k/c Rec perf outwear, women’s or girls’ padded, sleeveless jackets, not knitted or crocheted, of wool or fine animal hair Rec perf outwear, women’s or girls’ anoraks, windbreakers and similar articles nesoi, not knitted or crocheted, of wool or fine animal hair Women’s or girls’ padded, sleeveless jackets, not knitted or crocheted, of wool or fine animal hair, o/than rec perf outwear Women’s or girls’ anoraks, windbreakers and similar articles nesoi, not knitted or crocheted, of wool or fine animal hair, o/than rec pert outwear Rec perf outwear, women’s/girls’ anoraks, windbreakers 7 similar articles, not knitt/crochet, cotton, cont.</w:t>
      </w:r>
    </w:p>
    <w:p>
      <w:pPr>
        <w:pStyle w:val="Normal"/>
      </w:pPr>
      <w:r>
        <w:t>15% or more by weight of down Rec perf outwear, women’s/girls’ anoraks, windbreakers and similar articles, not knitted or crocheted, of cotton, nesoi, water resistant Rec perf outwear, women’s/girls’ anoraks, windbreakers &amp; similar articles, nt knit/crochet, of cotton, nt cont. 15% or more by wt of down, etc Women’s/girls’ anoraks, windbreakers &amp; similar articles, not knit/crochet, cotton, cont.</w:t>
      </w:r>
    </w:p>
    <w:p>
      <w:pPr>
        <w:pStyle w:val="Normal"/>
      </w:pPr>
      <w:r>
        <w:t>15% or more by weight of down, o/than rec perf outwear Women’s or girls’ anoraks, windbreakers and similar articles, not knitted or crocheted, of cotton, nesoi, water resistant, o/than rec perf outwear Women’s/girls’ anoraks, windbreakers &amp; similar articles, nt knit/crochet, cotton, nt cont. 15% or more by wt of down, etc, o/than rec perf outwear Women’s or girls’ anoraks, windbreakers &amp; like articles, not knitted or crocheted, of man-made fibers, cont. 15% or more by wt of down, etc Rec perf outwear, women’s/girls’ padded, sleeveless jackets, not knit/crochet, man- made fibers, not cont. 15% or more by weight of down, etc Rec perf outwear, women’s/girls’ anoraks, windbreakers, etc, nt knit/crochet, manmade fibers, cont. 36% or more of wool or fine animal hair, nesoi Rec perf outwear, women’s/girls’ anoraks, windbreakers &amp; similar articles, not knit/crochet, manmade fibers, nesoi, water resistant Rec perf outwear, women’s/girls’ anoraks, windbreakers &amp; similar articles, not knitted or crocheted, of man-made fibers, nesoi Women’s/girls’ anoraks, windbreakers &amp; like articles, not knit/crochet, man-made fibers, cont.</w:t>
      </w:r>
    </w:p>
    <w:p>
      <w:pPr>
        <w:pStyle w:val="Normal"/>
      </w:pPr>
      <w:r>
        <w:t>15% or more by wt of down, etc, o/than rec perf outwear Women’s/girls’ padded, sleeveless jackets, not knit/crochet, man-made fibers, not cont. 15% or more by wt of down, etc, o/than rec perf outwear Women’s/girls’ anoraks, windbreakers, etc, nt knit/crochet, mm fibers, cont.</w:t>
      </w:r>
    </w:p>
    <w:p>
      <w:pPr>
        <w:pStyle w:val="Normal"/>
      </w:pPr>
      <w:r>
        <w:t>36% or more wool or fine animal hair, nesoi, o/than rec perf outwear Women’s/girls’ anoraks, windbreakers &amp; similar articles, not knit/crochet, of manmade fibers, nesoi, water resistant, o/than rec perf outwer Women’s or girls’ anoraks, windbreakers and similar articles, not knitted or crocheted, of man-made fibers, nesoi, o/than rec perf outwear Rec perf outwear, women’s/girls’ anoraks, wind-breakers &amp; similar articles,not k/c, tex mats (not wool, cotton or mmf), cont 70% or more by wt silk Rec perf outwear, women’s/girls’ anoraks, wind-breakers &amp; similar articles, not k/c, tex mats (not wool, cotton or mmf), cont &lt; 70% by wt of silk Women’s/girls’ anoraks, wind-breakers, etc, not k/c, tex mats (not wool, cotton or mmf), cont 70% or more by wt silk, o/than rec perf outwear Women’s/girls’ anoraks, wind-breakers &amp; similar articles, not k/c, of tex mats (not wool, cotton or mmf), cont &lt; 70% by wt of silk, Men’s/boys’ suits of wool, not knitted or crocheted, 30% or more of silk or silk waste, of wool yarn w/avg fiber diameter 18.5</w:t>
      </w:r>
    </w:p>
    <w:p>
      <w:pPr>
        <w:pStyle w:val="Normal"/>
      </w:pPr>
      <w:r>
        <w:t>micron or &lt; Men’s or boys’ suits of wool or fine animal hair, not knitted or crocheted, containing 30 percent or more of silk or silk waste, nesoi Men’s or boys’ suits of wool, not knitted or crocheted, nesoi, of wool yarn with average fiber diameter of 18.5 micron or less Men’s or boys’ suits of wool or fine animal hair, not knitted or crocheted, nesoi Men’s or boys’ suits, of synthetic fibers, not knitted or crocheted, containing 36 percent or more</w:t>
      </w:r>
    </w:p>
    <w:p>
      <w:pPr>
        <w:pStyle w:val="Normal"/>
      </w:pPr>
      <w:r>
        <w:t>by weight of wool or fine animal hair Men’s or boys’ suits, of synthetic fibers, under 36% by weight of wool, not knitted or crocheted Men’s or boys’ suits, not knitted or crocheted, of cotton Men’s or boys’ suits, of artificial fibers, not knitted or crocheted, containing 36 percent or more of wool or fine animal hair Men’s or boys’ suits, of artificial fibers, nesoi, not knitted or crocheted Men’s or boys’ suits, of textile mats(except wool, cotton or mmf), containing 70% or more by weight of silk or silk waste, not knit or croch Men’s or boys’ suits, of textile mats(except wool, cotton or mmf), containing under 70% by weight of silk or silk waste, not knit or croch Men’s or boys’ judo, karate and other oriental martial arts uniforms, not knitted or crocheted, of cotton Men’s or boys’ ensembles, not knitted or crocheted, of cotton, other than judo, karate and other oriental martial arts uniforms Men’s or boys’ ensembles, not knitted or crocheted, of synthetic fibers Men’s or</w:t>
      </w:r>
    </w:p>
    <w:p>
      <w:pPr>
        <w:pStyle w:val="Normal"/>
      </w:pPr>
      <w:r>
        <w:t>boys’ ensembles, not knitted or crocheted, of worsted wool fabric with wool yarn having average fiber diameter of 18.5 micron or &lt; Men’s or boys’ ensembles, not knitted or crocheted, of wool or fine animal hair Men’s or boys’ ensembles, not knitted or crocheted, of artificial fibers Men’s or boys’ ensembles, not knitted or crocheted, of textile materials nesoi Men’s or boys’ suit-type jackets and blazers, of worsted wool fabric of wool yarn fiber avg diameter 18.5 micron or &lt;, not knitt/crocheted Men’s</w:t>
      </w:r>
    </w:p>
    <w:p>
      <w:pPr>
        <w:pStyle w:val="Normal"/>
      </w:pPr>
      <w:r>
        <w:t>or boys’ suit-type jackets and blazers, of wool or fine animal hair, not knitted or crocheted Men’s or boys’ suit-type jackets and blazers, not knitted or crocheted, of cotton, containing 36 percent or more of flax fibers Men’s or boys’ suit-type jackets and blazers, not knitted or crocheted, of cotton, under 36% by weight of flax Men’s or boys’ suit-type jackets and blazers, not knitted or crocheted, of synthetic fibers, cont.</w:t>
      </w:r>
    </w:p>
    <w:p>
      <w:pPr>
        <w:pStyle w:val="Normal"/>
      </w:pPr>
      <w:r>
        <w:t>36% or more of wool or fine animal hair Men’s or boys’ suit-type jackets and blazers, not knitted or crocheted, of synthetic fibers, under 36% by weight of wool Men’s or boys’ suit-type jackets and blazers, of artificial fibers, containing 36% or more by weight of wool or fine animal hair, not k/c Men’s or boys’ suit-type jackets and blazers, not knitted or crocheted, of artificial fibers, under 36% by weight of wool Men’s or boys’ suit-type jackets and blazers, of textile materials(except wool, cotton or mmf), cont 70% or more by weight of silk, not k/c Men’s or boys’ suit-type jackets and blazers, of text materials(except wool, cotton or mmf), containing under 70% by weight of silk, not k/c Rec perf outwear, men’s/boys’ trousers &amp; breeches, wool or fine an.</w:t>
      </w:r>
    </w:p>
    <w:p>
      <w:pPr>
        <w:pStyle w:val="Normal"/>
      </w:pPr>
      <w:r>
        <w:t>hair, cont elastomeric fib, water resist, w/o belt loops, weighing &gt;9 kg/doz Rec perf outwear, men’s/boys’ trousers and breeches, other than of HTS 6203.41.05, of wool yarn having average fiber diameter of 18.5 micron or less Rec perf outwear, men’s/boys’ trousers and breeches, other than of HTS 6203.41.05, nesoi Rec perf outwear, men’s/boys’ bib and brace overalls, not knitted or crocheted, of wool or fine animal hair Men’s/boys’ trousers &amp; breeches, wool or fine an. hair, cont elastomeric fib, water resist, w/o belt loops, wt &gt;9 kg/doz, o/than rec perf outwear Men’s/boys’ trousers and breeches, o/ than of HTS 6203.41.05, wool yarn w/ average fiber diam of 18.5 micron or less, o/than rec perf outwear Men’s or boys’ trousers and breeches, other than of HTSA 6203.41.05, nesoi, o/than rec perf outwear Men’s or boys’ bib and brace overalls, not knitted or crocheted, of wool or fine animal hair, o/than rec perf outwear Rec perf outwear, men’s/boys’ trousers, overalls &amp; shorts, not knit/crochet, of cotton, cont.</w:t>
      </w:r>
    </w:p>
    <w:p>
      <w:pPr>
        <w:pStyle w:val="Normal"/>
      </w:pPr>
      <w:r>
        <w:t>10 to 15% or more by weight of down Rec perf outwear, men’s/boys’ bib and brace overalls, not knitted or crocheted, of cotton, not containing 10 to 15% or more by weight of down, etc Rec perf outwear, men’s/boys’ trousers &amp; shorts, not bibs, not knit/crochet, cotton, not containing 15% or more by weight of down, etc Men’s or boys’ trousers, overalls &amp; shorts, not knitted or crocheted, of cotton, cont. 10 to 15% or more by weight of down.</w:t>
      </w:r>
    </w:p>
    <w:p>
      <w:pPr>
        <w:pStyle w:val="Normal"/>
      </w:pPr>
      <w:r>
        <w:t>o/than rec perf outwear Men’s/boys’ bib &amp; brace overalls, not knit/crochet, cotton, not containing 10 to 15% or more by weight of down, etc, o/than rec perf outwear Men’s/boys’ trousers &amp;shorts, not bibs, not knit/crochet, cotton, not containing 15% or more by weight of down, etc, o/than rec perf outwear Rec perf outwear, men’s/boys’ trousers, bib &amp; brace overalls, breeches &amp; shorts, not knit/crochet, syn. fibers, cont. 15% or more of down, etc Rec perf outwear, men’s/boys’ bib and brace overalls, not knitted or crocheted, of synthetic fibers, water resistant, not down Rec perf outwear, men’s/boys’ bib and brace overalls, not knitted or crocheted, of synthetic fibers, not down, not water resistant Rec perf outwear, men’s /boys’ trousers, etc, not knit/crochet, of synthetic fibers, containing 36 percent or more of wool or fine animal hair Rec perf outwear, men’s/boys’ trousers and breeches, not knitted or crocheted, of synthetic fibers, nesoi, water resistant Rec perf outwear, men’s/boys’ trousers, breeches &amp; shorts, not k/c, synth fibers, cont under 15% wt down etc, cont under 36% wt wool, n/water resist, Men’s /boys’ trousers, bib &amp; brace overalls, breeches &amp; shorts, not knit/crochet, syn. fibers, cont.</w:t>
      </w:r>
    </w:p>
    <w:p>
      <w:pPr>
        <w:pStyle w:val="Normal"/>
      </w:pPr>
      <w:r>
        <w:t>15% or more down, etc, o/than rec perf outwear Men’s or boys’ bib and brace overalls, not knitted or crocheted, of synthetic fibers, water resistant, not down, o/than rec perf outwear Men’s or boys’ bib and brace overalls, not knitted or crocheted, of synthetic fibers, not down, not water resistant, o/than rec perf outwear Men’s or boys’ trousers, breeches and shorts, not knitted or crocheted, of synthetic fibers, certified hand-loomed and folklore products Men’s/boys’ trousers, etc, not knit/crochet, synthetic fibers, containing 36 percent or more of wool or fine animal hair, o/than rec perf outwear Men’s or boys’ trousers and breeches, not knitted or crocheted, of synthetic fibers, nesoi, water resistant, o/than rec perf outwear Men’s/boys’ trousers, breeches, shorts, not k/c, synth fibers, con under 15% wt down etc, cont und 36% wt wool, n/water resist, not rec perf outwear Rec perf outwear, men’s/boys’ bib and brace overalls, not knitted or crocheted, of artificial fibers Rec perf outwear, men’s/boys’ trousers, breeches and shorts, not knitted or crocheted, of artificial fibers,</w:t>
      </w:r>
    </w:p>
    <w:p>
      <w:pPr>
        <w:pStyle w:val="Normal"/>
      </w:pPr>
      <w:r>
        <w:t>nesoi Rec perf outwear, men’s/boys’ trousers, bib &amp; brace overalls, breeches &amp; shorts, not k/c, tex mats (not wool, cotton, mmf), cont &gt; or = 70% wt silk Rec perf outwear, men’s/boys’ trousers, bib/brace overalls, breeches &amp; shorts, not k/c, tex mats (not wool, cotton, mmf), con &lt; 70% by wt silk, Men’s or boys’ bib and brace overalls, not knitted or crocheted, of artificial fibers, o/than rec</w:t>
      </w:r>
    </w:p>
    <w:p>
      <w:pPr>
        <w:pStyle w:val="Normal"/>
      </w:pPr>
      <w:r>
        <w:t>perf outwear Men’s or boys’ trousers, breeches and shorts, not knitted or crocheted, of artificial fibers, certified hand-loomed and folklore products Men’s or boys’ trousers, breeches and shorts, not knitted or crocheted, of artificial fibers, nesoi, o/than rec perf outwear Men’s/boys’ trousers, bib/brace overalls, breeches &amp; shorts, not k/c, tex mats (not wool, cotton, mmf), cont &gt; or = 70% wt silk, not rec P outwear Men’s/boys’ trousers, bib/brace overalls, breeches &amp; shorts, not k/c, tex mats (not wool, cotton, mmf), con &lt; 70% by wt silk, o/than rec perf outwear Women’s or girls’ suits, not knitted or crocheted, of wool or fine animal hair Women’s or girls’ suits, not knitted or crocheted, of cotton Women’s or girls’ suits, not knitted or crocheted, of synthetic fibers, containing 36 percent or more of wool or fine animal hair Women’s or girls’ suits, not knitted or crocheted, of synthetic fibers, nesoi Women’s or girls’ suits, not knitted or crocheted, of artificial fibers, containing 36 percent or more of wool or fine</w:t>
      </w:r>
    </w:p>
    <w:p>
      <w:pPr>
        <w:pStyle w:val="Normal"/>
      </w:pPr>
      <w:r>
        <w:t>animal hair Women’s or girls’ suits, not knitted or crocheted, of artificial fibers, nesoi Women’s or girls’ suits, of textile materials(except wool,cotton or mmf), containing 70% or more by weight of silk or silk waste, not k/c Women’s or girls’ suits, of textile material(except wool,cotton or mmf), containing under 70% by weight of silk or silk waste, not knit/croc Women’s or girls’ ensembles, not knitted or crocheted, of wool or fine animal hair</w:t>
      </w:r>
    </w:p>
    <w:p>
      <w:pPr>
        <w:pStyle w:val="Normal"/>
      </w:pPr>
      <w:r>
        <w:t>Women’s or girls’ judo, karate and other oriental martial arts uniforms, not knitted or crocheted, of cotton Women’s or girls’ ensembles, not knitted or crocheted, of cotton, other than judo, karate and other oriental martial arts uniforms Women’s or girls’ ensembles, not knitted or crocheted, of synthetic fibers Women’s or girls’ ensembles, not knitted or crocheted, of artificial fibers Women’s or girls’ ensembles, not knitted or crocheted, of textile materials nesoi Women’s or girls’ suit-type jackets &amp; blazers, of wool or fine animal hair, not knitted or crocheted, cont. 30% or more of silk/silk waste Women’s or girls’ suit-type jackets and blazers, of wool or fine animal hair, not knitted or crocheted, under 30% by weight of silk Women’s or girls’ suit-type jackets and blazers, of cotton, not knitted or crocheted, containing 36 percent or more of flax fibers Women’s or girls’ suit-type jackets and blazers, of cotton, not knitted or crocheted, under 36% flax Women’s or girls’ suit-type jackets and blazers, not knitted or crocheted, of synthetic fibers, cont.</w:t>
      </w:r>
    </w:p>
    <w:p>
      <w:pPr>
        <w:pStyle w:val="Normal"/>
      </w:pPr>
      <w:r>
        <w:t>30% or more of silk/silk waste Women’s or girls’ suit-type jackets and blazers, not knitted or crocheted, of synthetic fibers, containing 36 percent or more of flax fibers Women’s or girls’ suit-type jackets &amp; blazers, not knitted or crocheted, of synthetic fibers, cont.</w:t>
      </w:r>
    </w:p>
    <w:p>
      <w:pPr>
        <w:pStyle w:val="Normal"/>
      </w:pPr>
      <w:r>
        <w:t>36% or more of wool or fine animal hair Women’s or girls’ suit-type jackets and blazers, not knitted or crocheted, of synthetic fibers, nesoi Women’s or girls’ suit-type jackets &amp; blazers, not knitted or crocheted, of artificial fibers, cont. 36% or more of wool or fine animal hair Women’s or girls’ suit-type jackets and blazers, not knitted or crocheted, of artificial fibers, under 36% by weight of wool Women’s or girls’ suit-type jackets and blazers, not knitted/crocheted, of textile materials nesoi, cont.</w:t>
      </w:r>
    </w:p>
    <w:p>
      <w:pPr>
        <w:pStyle w:val="Normal"/>
      </w:pPr>
      <w:r>
        <w:t>70% + of silk or silk waste Women’s or girls’ suit-type jackets and blazers, not knitted or crocheted, of textile materials nesoi Women’s or girls’ dresses, not knitted or crocheted, of wool or fine animal hair, containing 30 percent of silk or silk waste Women’s or girls’ dresses, not knitted or crocheted, of wool or fine animal hair, under 30% by weight of silk Women’s or girls’ dresses, not knitted or crocheted, of cotton, certified hand-loomed and folklore products Women’s or girls’ dresses, not knitted or crocheted, of cotton, containing 36 percent or more of flax fibers, other than certified Women’s or girls’ dresses, not knitted or crocheted, of cotton, nesoi Women’s or girls’ dresses, not knitted or crocheted, of synthetic fibers, certified hand- loomed and folklore products Women’s or girls’ dresses, not knit or crocheted, of synthetic fibers, containing 30% or more of silk or silk waste, other than certified Women’s or girls’ dresses, of synthetic fibers, not</w:t>
      </w:r>
    </w:p>
    <w:p>
      <w:pPr>
        <w:pStyle w:val="Normal"/>
      </w:pPr>
      <w:r>
        <w:t>knitted or crocheted, containing 36 percent or more of wool or fine animal hair, nesoi Women’s or girls’ dresses, not knitted or crocheted, of synthetic fibers, nesoi Women’s or girls’ dresses, not knitted or crocheted, of artificial fibers, nesoi, certified hand-loomed and folklore products Women’s or girls’ dresses, not knitted or crocheted, of artificial fibers, containing 36 percent or more of wool or fine animal hair Women’s or girls’ dresses, not knitted or crocheted, of artificial fibers, nesoi Women’s or girls’ dresses, not knitted or crocheted, containing 70% or more by weight of silk or silk waste Women’s or girls’ dresses, not knitted or crocheted, of textile materials nesoi Women’s or girls’ skirts and divided skirts, not knitted or crocheted, of wool or fine animal hair Women’s or girls’ skirts and divided skirts, not knitted or crocheted, of cotton, certified hand-loomed and folklore products Women’s or girls’ skirts and divided skirts, not knitted or crocheted, of cotton, nesoi Women’s or girls’ skirts and divided skirts, not knitted or crocheted, of synthetic fibers, certified hand-loomed and folklore products Women’s or girls’ skirts &amp; divided skirts, nt knit or crocheted, of synthetic fibers, cont.</w:t>
      </w:r>
    </w:p>
    <w:p>
      <w:pPr>
        <w:pStyle w:val="Normal"/>
      </w:pPr>
      <w:r>
        <w:t>36% or more of wool or fine animal hair, nesoi Women’s or girls’ skirts and divided skirts, not knitted or crocheted, of synthetic fibers, nesoi Women’s or girls’ skirts and divided skirts, not knitted or crocheted, of artificial fibers, certified hand-loomed and folklore products Women’s or girls’ skirts &amp; divided skirts, nt knit or crocheted, of artificial fibers, cont.</w:t>
      </w:r>
    </w:p>
    <w:p>
      <w:pPr>
        <w:pStyle w:val="Normal"/>
      </w:pPr>
      <w:r>
        <w:t>36% or more of wool or fine animal hair, nesoi Women’s or girls’ skirts and divided skirts, not knitted or crocheted, of artificial fibers, nesoi Women’s or girls’ skirts and divided skirts, not knitted or crocheted, of textile materials nesoi Rec perf outwear, women’s/girls’ trousers &amp; breeches,not k/c, wool or f.a.h., cont elastomeric fib, water resist, w/o belt loops, wt &gt; 6 kg/doz, Rec perf outwear, women’s/girls’ trousers &amp; breeches, not k/c, wool, w/o elastomeric fib, not water resist, w belt loops, weighing under 6 kg/doz, Women’s or girls’ trousers &amp; breeches, not k/c, wool or f.a.h., cont elastomeric fib, water resist, w/o belt loops, wt &gt; 6 kg/doz, not rec perf outwr Women’s or girls’ trousers &amp; breeches, not k/c, wool, w/o elastomeric fib, not water resist, w/belt loops, wt under 6 kg/doz, o/than rec perf outwear Rec perf outwear, women’s/girls’ trousers, bib/brace overalls, breeches &amp; shorts, not knit/crochet, cotton, cont.</w:t>
      </w:r>
    </w:p>
    <w:p>
      <w:pPr>
        <w:pStyle w:val="Normal"/>
      </w:pPr>
      <w:r>
        <w:t>15% or more by wt of down, etc Rec perf outwear, women’s/girls’ bib and brace overalls, not knitted or crocheted, of cotton, not containing 15% or more by weight of down, etc Rec perf outwear, women’s or girls’ trousers, breeches and shorts, not knitted or crocheted, of cotton, nesoi Women’s/girls’ trousers, bib/brace overalls, breeches &amp; shorts, not knit/ crochet, cotton, cont. 15% or more by wt down, etc, o/than rec perf outwear Women’s/girls’ bib/brace overalls, not knit/crochet, cotton, not containing 15% or more by weight of down, etc. o/than rec perf outwear Women’s or girls’ trousers, breeches and shorts, not knitted or crocheted, of cotton, nesoi, certified hand-loomed and folklore products Women’s or girls’ trousers, breeches and shorts, not knitted or crocheted, of cotton, nesoi, o/than rec perf outwear Rec perf outwear, women’s/girls’ trousers, bib/brace overalls, breeches &amp; shorts, not knit/crochet, syn. fibers, cont. 15% or more down, etc. Rec perf outwear, women’s/girls’ bib/brace overalls, not knit/crochet, syn. fibers, water resistant, not cont.</w:t>
      </w:r>
    </w:p>
    <w:p>
      <w:pPr>
        <w:pStyle w:val="Normal"/>
      </w:pPr>
      <w:r>
        <w:t>15% or more by wt. of down, etc Rec perf outwear, women’s/girls’ bib/ brace overalls of synthetic fibers, not knit/crochet, not cont. 15% or more by wt of down, etc, nesoi Rec perf outwear, women’s/girls’ trousers, breeches &amp; shorts, not knit/ crochet, syn. fibers, cont.</w:t>
      </w:r>
    </w:p>
    <w:p>
      <w:pPr>
        <w:pStyle w:val="Normal"/>
      </w:pPr>
      <w:r>
        <w:t>36% or more of wool or fine animal hair, nesoi Rec perf outwear, women’s/girls’ trousers, breeches and shorts, not knitted or crocheted, of synthetic fibers, nesoi, water resistant Rec perf outwear, women’s or girls’ trousers, breeches and shorts, not knitted or crocheted, of synthetic fibers, nesoi Women’s/girls’ trousers, bib/brace overalls, breeches &amp; shorts, not knit/crochet, syn. fibers, cont. 15% or more down, etc., o/than rec perf outwear Women’s/girls’ bib/brace overalls, not knit/crochet, syn. fibers, water resistant, not cont. 15% or more by wt. of down, etc, o/than rec perf outwear Women’s/girls’ bib &amp; brace overalls of synthetic fibers, not knit/crochet, not cont. 15% or more by wt of down, etc, nesoi, o/than rec perf outwear Women’s or girls’ trousers, breeches &amp; shorts, not knit or crocheted, of synthetic fibers, nesoi, certified hand-loomed &amp; folklore products Women’s/girls’ trousers, breeches &amp; shorts, not knit/crochet, syn. fibers, cont.</w:t>
      </w:r>
    </w:p>
    <w:p>
      <w:pPr>
        <w:pStyle w:val="Normal"/>
      </w:pPr>
      <w:r>
        <w:t>36% or more wool or fine animal hair, nesoi, o/than rec perf outwear Women’s or girls’ trousers, breeches and shorts, not knitted or crocheted, of synthetic fibers, nesoi, water resistant, o/than rec perf outwear Women’s or girls’ trousers, breeches and shorts, not knitted or crocheted, of synthetic fibers, nesoi, o/than rec perf outwear Rec perf outwear, women’s or girls’ bib and brace overalls, not knitted or crocheted, of artificial fibers Rec perf outwear, women’s/girls’ trousers, breeches &amp; shorts, not knit/crochet, artificial fibers, cont.</w:t>
      </w:r>
    </w:p>
    <w:p>
      <w:pPr>
        <w:pStyle w:val="Normal"/>
      </w:pPr>
      <w:r>
        <w:t>36% or more of wool or fine animal hair Rec perf outwear, women’s/girls’ trousers, breeches and shorts, not knitted or crocheted, of artificial fibers, nesoi Rec perf outwear, women’s/girls’ trousers, bib/brace overalls, breeches &amp; shorts, not k/c, silk or silk waste, cont &gt; or = 70% wt silk or silk waste, Rec perf outwear, women’s/girls’ trousers, bib/brace overalls, breeches &amp; shorts, not k/c, silk or silk waste, cont under 70% by wt silk/silk waste, Rec perf outwear, women’s or girls’ trousers, bib and brace overalls, breeches and shorts, not knitted or crocheted, of textile materials nesoi Women’s or girls’ bib and brace overalls, not knitted or crocheted, of artificial fibers, o/than rec perf outwear Women’s/girls’ trousers, breeches &amp; shorts, not knit/crochet, artificial fibers, cont.</w:t>
      </w:r>
    </w:p>
    <w:p>
      <w:pPr>
        <w:pStyle w:val="Normal"/>
      </w:pPr>
      <w:r>
        <w:t>36% or more wool or fine animal hair, o/than rec perf outwear Women’s or girls’ trousers, breeches and shorts, not knitted or crocheted, of artificial fibers, nesoi, o/than rec perf outwear Women’s/girls’ trousers, bib/brace overalls, breeches &amp; shorts, not k/c, silk or silk waste, cont &gt; or = 70% wt silk,silk waste, not rec perf outwear Women’s/girls’ trousers, bib/brace overalls, breeches &amp; shorts,not k/c, silk or silk waste, cont under 70% by wt silk/silk waste, not rec perf outwr Women’s/girls’ trousers, bib/brace overalls, breeches &amp; shorts, not knit/crochet, textile materials nesoi, o/than red perf outwear Men’s or boys’ shirts, not knitted or crocheted, of cotton, certified hand-loomed and folklore products Men’s or boys’ shirts, not knitted or crocheted, of cotton, nesoi Men’s or boys’ shirts, not knitted or crocheted, of manmade fibers, certified hand- loomed and folklore products Men’s or boys’ shirts, not knitted or crocheted, of manmade fibers, containing 36 percent or more of wool or fine animal hair, nesoi Men’s or boys’ shirts, not knitted or crocheted, of</w:t>
      </w:r>
    </w:p>
    <w:p>
      <w:pPr>
        <w:pStyle w:val="Normal"/>
      </w:pPr>
      <w:r>
        <w:t>manmade fibers, nesoi Men’s or boys’ shirts, not knitted or crocheted, of wool or fine animal hair, certified hand-loomed and folklore products Men’s or boys’ shirts, not knitted or crocheted, of wool or fine animal hair, nesoi Men’s or boys’ shirts, of silk or silk waste, containing 70% or more by wt of silk or silk waste, not knitted or crocheted Men’s or boys’ shirts, of silk or silk waste, containing</w:t>
      </w:r>
    </w:p>
    <w:p>
      <w:pPr>
        <w:pStyle w:val="Normal"/>
      </w:pPr>
      <w:r>
        <w:t>under 70% by wt of silk or silk waste, not knitted or crocheted Men’s or boys’ shirts, not knitted or crocheted, of textile materials, nesoi Women’s or girls’ blouses, shirts and shirt-blouses, not knitted or crocheted, of silk or silk waste Women’s or girls’ blouses and shirts, not knitted or crocheted, of wool or fine animal hair, certified hand-loomed and folklore products Women’s or girls’ blouses &amp; shirts, not knitted or crocheted, of wool or fine animal hair, containing 30% or more of silk/silk waste, nesoi Women’s or girls’ blouses and shirts, not knitted or crocheted, of wool or fine animal hair, nesoi Women’s or girls’ blouses and shirts, not knitted or crocheted, of cotton, certified hand- loomed and folklore products Women’s or girls’ blouses and shirts, not knitted or crocheted, of cotton, containing 36 percent or more of flax fibers, nesoi Women’s or girls’ blouses and shirts, not knitted or crocheted, of cotton, nesoi Women’s or girls’ blouses and shirts, not knitted or crocheted, of manmade fibers, certified hand-loomed</w:t>
      </w:r>
    </w:p>
    <w:p>
      <w:pPr>
        <w:pStyle w:val="Normal"/>
      </w:pPr>
      <w:r>
        <w:t>and folklore products Women’s or girls’ blouses and shirts, not knitted or crocheted, of manmade fibers, containing 30 percent or more of silk/silk waste, nesoi Women’s or girls’ blouses, shirts and shirt-blouses, not knitted or crocheted, of manmade fibers, containing 36% or more of wool, nesoi Women’s or girls’ blouses and shirts, not knitted or crocheted, of manmade fibers, nesoi Women’s or girls’ blouses, shirts and shirt-blouses, not</w:t>
      </w:r>
    </w:p>
    <w:p>
      <w:pPr>
        <w:pStyle w:val="Normal"/>
      </w:pPr>
      <w:r>
        <w:t>knitted or crocheted, of textile materials nesoi Men’s or boys’ underpants and briefs, not knitted or crocheted, of cotton Men’s or boys’ underpants and briefs, of textile mats(except cotton), cont 70% or more wt of silk or silk waste, not knitted/crocheted Men’s or boys’ underpants and briefs, of textile mats(except cotton), cont under 70% by wt of silk or silk waste, not knitted/crocheted Men’s or boys’ nightshirts and pajamas, not knitted or crocheted, of cotton Men’s or boys’ nightshirts and pajamas, not knitted or crocheted, of man-made fibers Men’s or boys’ nightshirts and pajamas, of textile materials(except cotton or mmf), cont 70% or more by wt of silk or silk waste, not k/c Men’s or boys’ nightshirts and pajamas, of textile materials(except cotton or mmf), cont under 70% by weight of silk or silk waste, not k/c Men’s or boys’ bathrobes, dressing gowns and similar articles, not knitted or crocheted, of cotton Men’s or boys’ singlets and other undershirts, not knitted or crocheted, of cotton Men’s or boys’ bathrobes, dressing</w:t>
      </w:r>
    </w:p>
    <w:p>
      <w:pPr>
        <w:pStyle w:val="Normal"/>
      </w:pPr>
      <w:r>
        <w:t>gowns and similar articles, not knitted or crocheted, of wool or fine animal hair Men’s or boys’ singlets and other undershirts, not knitted or crocheted, of wool or fine animal hair Men’s or boys’ undershirts, bathrobes, &amp; sim art, cont 70% or more by wt of silk or silk waste, not knitted or crocheted Men’s or boys’ bathrobes, dressing gowns and similar articles, not knitted or crocheted, of man-made fibers Men’s or boys’ singlets and other</w:t>
      </w:r>
    </w:p>
    <w:p>
      <w:pPr>
        <w:pStyle w:val="Normal"/>
      </w:pPr>
      <w:r>
        <w:t>undershirts, not knitted or crocheted, of man-made fibers, nesoi Men’s or boys’ undershirts, bathrobes, &amp; sim art, of text mats (except of cotton, mmf, wool, silk), not knitted or crocheted Women’s or girls’ slips and petticoats, not knitted or crocheted, of man-made fibers Women’s or girls’ slips and petticoats, not knitted or crocheted, of cotton Women’s or girls’ slips and petticoats, of textile materials (except mmf or cotton), cont 70% or more by wt of silk or silk waste, not k/c Women’s or girls’ slips and petticoats, of textile materials (except mmf or cotton), cont under 70% by weight of silk or silk waste, not k/c Women’s or girls’ nightdresses and pajamas, not knitted or crocheted, of cotton Women’s or girls’ nightdresses and pajamas, not knitted or crocheted, of man-made fibers Women’s or girls’ nightdresses and pajamas, of textile materials(except cotton or mmf), cont &gt; or = 70% by wt of silk or silk waste, not k/c Women’s or girls’ nightdresses and pajamas, of textile materials(except cotton or mmf), cont</w:t>
      </w:r>
    </w:p>
    <w:p>
      <w:pPr>
        <w:pStyle w:val="Normal"/>
      </w:pPr>
      <w:r>
        <w:t>under 70% by wt of silk or silk waste, not k/c Women’s or girls’ bathrobes, dressing gowns and similar articles, not knitted or crocheted, of cotton Women’s or girls’ undershirts and underpants, not knitted or crocheted, of cotton Women’s or girls’ singlets &amp; other undershirts, briefs, panties, bathrobes &amp; similar articles, not knitted or crocheted, of man-made fibers Women’s or girls’ undershirts, underpants, bathrobes &amp; like articles, not knitted or</w:t>
      </w:r>
    </w:p>
    <w:p>
      <w:pPr>
        <w:pStyle w:val="Normal"/>
      </w:pPr>
      <w:r>
        <w:t>crocheted, of wool or fine animal hair Women’s or girls’ singlet &amp; other undershirt, briefs, panties, negligees, dressing gowns &amp; sim art, of silk, con &gt; or = 70% wt silk, not k/c Women’s or girls’ singlets &amp; other undershirts, briefs, panties, negligees, dressing gowns &amp; sim art, of silk, con &lt; 70% wt silk, not k/c Women’s or girls’ undershirts, underpants, bathrobes &amp; like articles, not knitted or crocheted, of textile materials nesoi Babies’ dresses, not knitted or crocheted, of cotton Babies’ blouses and shirts, except those imported as parts of sets, not knitted or crocheted, of cotton Babies’ trousers, breeches and shorts, except those imported as parts of sets, not knitted or crocheted, of cotton Babies’ garments &amp; clothing acc. nesoi, of cotton, incl.</w:t>
      </w:r>
    </w:p>
    <w:p>
      <w:pPr>
        <w:pStyle w:val="Normal"/>
      </w:pPr>
      <w:r>
        <w:t>sunsuits &amp; sim app, sets &amp; parts of sets, &amp; diapers, not knitted or crocheted Babies’ blouses and shirts, except those imported as parts of sets, not knitted or crocheted, of synthetic fibers Babies’ trousers, breeches and shorts, except those imported as parts of sets, not knitted or crocheted, of synthetic fibers Babies’ garments and clothing accessories, not knitted or crocheted, nesoi, of synthetic fibers Babies’ garments and clothing accessories, not knitted or crocheted, of wool or fine animal hair Babies’ blouses and shirts, except those imported as parts of sets, not knitted or crocheted, of artificial fibers Babies’ trousers, breeches and shorts, except those imported as parts of sets, not knitted or crocheted,</w:t>
      </w:r>
    </w:p>
    <w:p>
      <w:pPr>
        <w:pStyle w:val="Normal"/>
      </w:pPr>
      <w:r>
        <w:t>of artificial fibers Babies’ garments and clothing accessories, not knitted or crocheted, nesoi, of artificial fibers Babies’ garments and clothing accessories, of text mats(except wool, cotton or mmf), cont 70% or more by wt of silk or silk waste, not k/c Babies’ garments and clothing accessories, of textile mats(except wool, cotton or mmf), cont under 70% by wt of silk or silk waste, not k/c Garments, not knitted or crocheted, made up of fabrics of heading 5602 or 5603 formed on a base of paper or covered or lined with paper Nonwoven dispos apparel designed for hosps, clinics, labs or cont area use, made up of fab of 5602/5603, n/formed or lined w paper, not k/c Disposable briefs and panties designed for one time use, made up of fabrics of 5602 or 5603, not formed or lined w paper, not k/c Garments, nesoi, made up of fabrics of heading 5602 or 5603, not formed or lined w paper, not k/c Men’s or boys’ garments, sim to 6201.11-6201.19, of mmf, outer surf impreg, coated etc.</w:t>
      </w:r>
    </w:p>
    <w:p>
      <w:pPr>
        <w:pStyle w:val="Normal"/>
      </w:pPr>
      <w:r>
        <w:t>w rub/plast, underlying fab completely obsc, not k/c Men’s or boys’ overcoats/carcoats/capes/etc. of mmf, other than with outer sur. impreg/coated/etc. w/ rub/plast, n knitted/crocheted Men’s or boys’ overcoats/carcoats/capes/etc. of tx mat(excl mmf), outer sur. impreg/etc. w/rub/plast completely obscuring fab, n k/c Men’s or boys’ overcoats/carcoats/capes/etc. of tx mat(excl mmf), other than with outer sur. impreg/coated/etc. w/ rub/plast, n k/c Women’s or girls’ overcoats/carcoats/capes/etc.</w:t>
      </w:r>
    </w:p>
    <w:p>
      <w:pPr>
        <w:pStyle w:val="Normal"/>
      </w:pPr>
      <w:r>
        <w:t>of mmf, outer sur. impreg/coated/etc. w/rub/plast completely obscuring fab, n k/c Women’s or girls’ overcoats/carcoats/capes/etc. of mmf, other than with outer sur. impreg/coated/etc. w/rub/plast, n k/c Women’s or girls’ overcoats/carcoats/capes/etc. of tx mat(excl mmf), fabric impreg/coated w/rub/plast completely obscuring fab, n k/c Women’s or girls’ overcoats/carcoats/capes/etc. of tx mat(excl mmf), other than with outer sur. impreg/coated etc. w/rub/plast, n k/c Rec perf outwear, men’s/boys’ garm, nesi, of fab 5903/5906/5907, not k/c, mmf, w/out sur. impreg/coatd/etc. w/rub/plast completely obscuring fab, Rec perf outwear, men’s/boys’ garm, nesoi, of fab of 5903/5906/5907, not k/c, mmf, o/than w/outer sur. impreg/coated/etc. w/rub/plast, Rec perf outwear, men’s/boys’ garm, nesi, fab of 5903/5906/5907, not k/c, tex mat (excl mmf), w/out sur. impreg/etc. w/rub/plast compl obscuring fab Rec perf outwear, men’s or boys’ garm, nesoi, of fab of 5903/5906/5907, not k/c, tex mat (excl mmf), w/out sur. impreg/etc. w/rub/plast Men’s/boys’ garm, nesi, fab of 5903/5906/5907, not k/c, mmf, w/out sur. impreg/coated/etc. w/rub/plast completely obscuring fab, not rec perf outwear Men’s or boys’ garm, nesoi, of fab of 5903/5906/5907, not k/c, mmf, o/than w/outer sur. impreg/coated/etc. w/rub/plast, o/than rec perf outwear Men’s/boys’ garm, nesi, fab of 5903/5906/5907, n k/c, tex mat (excl mmf), w/oute sur. impreg/etc.</w:t>
      </w:r>
    </w:p>
    <w:p>
      <w:pPr>
        <w:pStyle w:val="Normal"/>
      </w:pPr>
      <w:r>
        <w:t>w/rub/plast compl obscuring fab,not rec perf outwr Men’s or boys’ garm, nesoi, of fab of 5903/5906/5907, not k/c, tex mat (excl mmf), w/out sur. impreg/etc. w/rub/plast, o/than rec perf outwear Rec perf outwear, women’s/girls’ garm, nesi, fab of 5903/5906/5907, not k/c, mmf, w/outer sur. impreg/coated/etc. w/rub/plast compl obscuring fab Rec perf outwear, women’s/girls’ garm, nesi, fab of 5903/5906/5907,not k/c, mmf, o/than w/out sur. impreg/etc. w/rub/plast Rec perf outwear, women/girls’ garm, nesi, fab of 5903/5906/5907, n k/c, tex mat (excl mmf), w/out sur. impreg/etc. w/rub/plast comp obscuring fab Rec perf outwear, wom’s/girls’ garm, nesi, fab of 5903/5906/5907, n k/c, tex mat (excpt mmf), o/than w/out sur. impreg/coated w/rub/plas Women’s/girls’ garm, nesi, fab of 5903/5906/5907, n k/c, mmf, w/out sur. impreg/coated/etc. w/rub/plast compl obscuring fab, o/than rec perf outwear Women’s or girls’ garm, nesoi, of fab of 5903/5906/5907, n k/c, of mmf, other than w/outer sur. impreg/etc. w/rub/plast, o/than rec perf outwear Wom’s/girls’ garm, nesi, fab of 5903/5906/5907, n k/c, of tex mat (excl mmf), w/o sur. impreg/etc. w/rub/plast comp obscur fab, not rec perf outwear Wom’s/girls’ garm, nesi, fab of 5903/5906/5907, not k/c, tex mat(except mmf), o/than w/out sur.</w:t>
      </w:r>
    </w:p>
    <w:p>
      <w:pPr>
        <w:pStyle w:val="Normal"/>
      </w:pPr>
      <w:r>
        <w:t>impreg/coated w/rub/plas, o/than rec perf outwear Men’s or boys’ swimwear, not knitted or crocheted, of man-made fibers Men’s or boys’ swimwear, of textile materials(except mmf), containing 70% or more by weight of silk or silk waste, not knit or crocheted Men’s or boys’ swimwear, of textile materials(except mmf), containing under 70% by weight of silk or silk waste, not knit or crocheted Women’s or girls’ swimwear, not knitted or crocheted, of man-made fibers Women’s or girls’ swimwear, of textile materials(except mmf), containing 70% or more by weight of silk or silk waste, not knit or crocheted Women’s or girls’ swimwear, of textile materials(except mmf), containing under 70% by weight of silk or silk waste, not knit or crocheted Anoraks, windbreakers and similar articles imported as parts of ski-suits, con 15% or more by wt of down &amp; waterfowl plumage, etc, not k/c Anoraks, windbreakers and similar articles imported as parts of ski-suits, con under 15% by wt of down &amp; waterfowl plumage, etc, not k/c Men’s or boys’ ski-suits, not</w:t>
      </w:r>
    </w:p>
    <w:p>
      <w:pPr>
        <w:pStyle w:val="Normal"/>
      </w:pPr>
      <w:r>
        <w:t>knitted or crocheted, water resistant, not containing 15% or more by weight of down, etc Men’s or boys’ anoraks, windbreakers and sim art impted as pts of ski-suits, of wool, con &lt; 15% wt of down etc, not water resist, not k/c Men’s or boys’ anoraks, etc.</w:t>
      </w:r>
    </w:p>
    <w:p>
      <w:pPr>
        <w:pStyle w:val="Normal"/>
      </w:pPr>
      <w:r>
        <w:t>imported as parts of ski-suits, of tx mats(except wool), con 15% wt of down etc, not water resist, not k/c Men’s or boys’ trousers and breeches imported as parts of ski-suits, of wool, con under 15% by wt of down etc., not water resist, not k/c Men’s or boys’ trousers &amp; breeches imported as pts of ski-suits, of tx mat(except wool), con 15% wt down etc, not water resist, not k/c Men’s or boys’ ski-suits nesoi, of wool or fine animal hair, con under 15% wt down etc, not water resist, not knitted/crocheted Men’s or boys’ ski-suits nesoi, of tx mats(except wool or fine animal hair), con under 15% wt down etc, not water resist, not knitted/croch Women’s or girls’ anoraks, windbreakers and sim art impted as pts of ski-suits, of wool, con 15% wt down etc, not water resist, not k/c Women’s or girls’ anoraks and sim art imported as pts of ski-suits, of tx mats(except wool), con &lt; 15% wt down etc, not wat resist, n k/c Women’s</w:t>
      </w:r>
    </w:p>
    <w:p>
      <w:pPr>
        <w:pStyle w:val="Normal"/>
      </w:pPr>
      <w:r>
        <w:t>or girls’ trousers and breeches imported as parts of ski-suits, of wool, cont under 15% by wt of down etc, not water resist, not k/c Women’s or girls’ trousers &amp; breeches imp as pts of ski-suits, of tx mats(except wool), con &lt; 15% wt of down etc, not wat resist, not k/c Women’s or girls’ ski-suits nesoi, of wool or fine animal hair, con under 15% by wt of down etc, not water resistant, not knit or crocheted Women’s or girls’ ski-suits nesoi, of tx mats(except wool), con under 15% by weight of down etc, not water resistant, not knit or crocheted Rec pref</w:t>
      </w:r>
    </w:p>
    <w:p>
      <w:pPr>
        <w:pStyle w:val="Normal"/>
      </w:pPr>
      <w:r>
        <w:t>outwear, men’s or boys’ track suits or other garments nesoi, not knitted or crocheted, of cotton Men’s or boys’ track suits or other garments nesoi, not knitted or crocheted, of cotton, o/than rec perf outwear Rec perf outwear, men’s or boys’ track suits or other garments nesoi, not knitted or crocheted, of man-made fibers Men’s or boys’ track suits or other garments nesoi, not knitted or crocheted, of man- made fibers, o/than rec perf outwear Rec perf outwear, men’s or boys’ track suits or other garments nesoi, not knitted or crocheted, of wool or fine animal hair Rec pref outwear, men’s/boys’ garments(excl swimwear or ski-suits), nesoi, not k/c, tex mat (not wool, cotton,mmf), cont 70% or more wt of silk Rec perf outwear, men’s/boys’ garments (excl swimwr or ski-suits), nesi, not k/c, tex mat (not wool, cotton, mmf), cont under 70% by wt of silk Men’s or boys’ track suits or other garments nesoi, not knitted or crocheted, of wool or fine animal hair, o/than rec perf outwear Men’s/boys’ garments</w:t>
      </w:r>
    </w:p>
    <w:p>
      <w:pPr>
        <w:pStyle w:val="Normal"/>
      </w:pPr>
      <w:r>
        <w:t>(excl swimwr or ski-suits), nesi, not k/c, tex mat (not wool, cotton or mmf), cont 70% or more wt of silk, not rec perf outwear Men’s/boys’ garments (excl swimwr or ski-suits), nesi, not k/c, tex mat (not wool, cotton, mmf), cont under 70% by wt of silk, not rec perf outwear Rec perf outwear, women’s or girls’ track suits or other garments nesoi, not knitted or crocheted, of cotton Women’s or girls’ track suits or other garments nesoi, not knitted or crocheted, of cotton, o/than rec</w:t>
      </w:r>
    </w:p>
    <w:p>
      <w:pPr>
        <w:pStyle w:val="Normal"/>
      </w:pPr>
      <w:r>
        <w:t>perf outwear Rec perf outwear, women’s or girls’ track suits or other garments nesoi, not knitted or crocheted, of man-made fibers Women’s or girls’ track suits or other garments nesoi, not knitted or crocheted, of man- made fibers, o/than rec perf outwear Rec perf outwear, women’s/girls’ garments (excl swimwr or ski-suits), nesi, not k/c, tex mat (not wool, cotton,mmf), cont 70% or more wt of silk Rec perf outwear, women’s or girls’ track suits or other garments nesoi, not knitted or crocheted, of wool or fine animal hair Rec pref outwear, women’s/girls’ garments (excl swimwr or ski-suits), nesi, not k/c, tex mat (not wool, cotton,mmf), cont under 70% by wt of silk Women’s/girls’ garms (excl swimwr or ski-suits), nesi, not k/c, tex mat (not wool, cotton, mmf), cont 70% or more wt of silk,o/than rec perf outwear Women’s or girls’ track suits or other garments nesoi, not knitted or crocheted, of wool or fine animal hair, o/than rec perf outwear Women’s/girls’ garments (excl swimwr or ski-suits), nesi, not k/c, tex</w:t>
      </w:r>
    </w:p>
    <w:p>
      <w:pPr>
        <w:pStyle w:val="Normal"/>
      </w:pPr>
      <w:r>
        <w:t>mat (not wool, cotton, mmf), cont under 70% by wt of silk, not rec perf outwear Brassieres, containing lace, net or embroidery, containing 70% or more by weight of silk or silk waste, whether or not knitted or crocheted Brassieres containing lace, net or embroidery, containing under 70% by weight of silk or silk waste, whether or not knitted or crocheted Brassieres, not containing lace, net or embroidery, containing 70% or more by wt of silk or silk waste, whether</w:t>
      </w:r>
    </w:p>
    <w:p>
      <w:pPr>
        <w:pStyle w:val="Normal"/>
      </w:pPr>
      <w:r>
        <w:t>or not knitted or crocheted Brassieres, not containing lace, net or embroidery, containing under 70% by wt of silk or silk waste, whether or not knitted or crocheted Girdles and panty-girdles Corsets Braces, suspenders, garters and similar articles and parts thereof Handkerchiefs, not knitted or crocheted, of cotton, hemmed, not containing lace or embroidery Handkerchiefs, not knitted or crocheted, of cotton, nesoi Handkerchiefs, not knitted or crocheted, containing 70% or more by weight of silk or silk waste Handkerchiefs, of silk or silk waste, containing less than 70 percent by weight of silk or silk waste Handkerchiefs, not knitted or crocheted, of man-made fibers Handkerchiefs, not knitted or crocheted, of textile materials, nesoi Shawls, scarves, mufflers, mantillas, veils and the like, not knitted or crocheted, containing 70% or more silk or silk waste Shawls, scarves, mufflers, mantillas, veils and the like, not knitted or crocheted, containing less than 70% silk or silk waste Shawls, scarves, mufflers, mantillas, veils and the like, not knitted or crocheted, of wool or fine animal</w:t>
      </w:r>
    </w:p>
    <w:p>
      <w:pPr>
        <w:pStyle w:val="Normal"/>
      </w:pPr>
      <w:r>
        <w:t>hair Shawls, scarves, mufflers, mantillas, veils and the like, not knitted or crocheted, of synthetic fibers Shawls, scarves, mufflers, mantillas, veils and the like, not knitted or crocheted, of artificial fibers Shawls, scarves, mufflers, mantillas, veils and the like, not knitted or crocheted, of textile materials nesoi Ties, bow ties and cravats, not knitted or crocheted, of silk or</w:t>
      </w:r>
    </w:p>
    <w:p>
      <w:pPr>
        <w:pStyle w:val="Normal"/>
      </w:pPr>
      <w:r>
        <w:t>silk waste Ties, bow ties and cravats, not knitted or crocheted, of man-made fibers Ties, bow ties and cravats, not knitted or crocheted, of textile materials nesoi Ice hockey and field hockey gloves, not knitted or crocheted, impregnated, coated or covered with plastics or rubber Gloves, mittens &amp; mitts, for sports, including ski &amp; snowmobile gloves, etc., not knitted/crocheted, impreg. or cov. with plastic/rubber Gloves etc. (excl. for sports etc.), not k/c, impreg. etc. with plas/rub, w/o four., cut &amp; sewn, of veg. fibers, over 50% by wt. plas/rub Gloves etc.</w:t>
      </w:r>
    </w:p>
    <w:p>
      <w:pPr>
        <w:pStyle w:val="Normal"/>
      </w:pPr>
      <w:r>
        <w:t>(excl. for sports), not k/c, impreg. etc. with plas/rub, w/o four., cut &amp; sewn, of veg. fibers, cont. &lt;50% by wt. plas./rubber Gloves, mittens and mitts(excl sports), w/o four, impreg etc, cut &amp; sewn from pre exist impreg fab, of non-veg fib, con &gt; 50% wt plas/rub Gloves, mittens and mitts(excl sports), w/o four, impreg etc, cut &amp; sewn from pre exist impreg fab, of non-veg fib, con &lt; 50% wt plas/rub Gloves, mittens and mitts(excl sports), w/o four, impreg etc, not cut &amp; sewn from pre exist fab, con 50% or more wt cotton/mmf, not k/c Gloves, mittens and mitts(excl sports), w/o four, impreg etc, not cut &amp; sewn from pre exist fab, con under 50% wt cotton or mmf, not k/c Gloves, mittens and mitts(excl sports), impreg, etc., with fourchettes, cont 50% or more by wt of coton, mmf or combo thereof, not knit/croc Gloves, mittens and mitts(excl sports), impreg, etc., with fourchettes, cont under 50% by wt of coton, mmf or</w:t>
      </w:r>
    </w:p>
    <w:p>
      <w:pPr>
        <w:pStyle w:val="Normal"/>
      </w:pPr>
      <w:r>
        <w:t>combo thereof, not knit/croc Ice hockey and field hockey gloves, not knitted or crocheted, of cotton, not impregnated, coated or covered with plastics or rubber Gloves, mittens &amp; mitts, all the foregoing for sports use, including ski &amp; snowmobile gloves, mittens &amp; mitts, of cotton Gloves, mittens &amp; mitts (excl. for sports), not impregnated, coated or covered with plastics or rubber, of cotton, without fourchettes Gloves, mittens &amp; mitts (excl. for sports), not impregnated, coated or covered with plastics or rubber, of cotton, with fourchettes Ice hockey and field hockey gloves, not knitted or crocheted, of man-made fibers, not impregnated etc. with plastics or rubber Gloves, mittens &amp; mitts, for sports use, incl. ski &amp; snowmobile, of man-made fibers, not impregnated/coated with plastics or rubber Gloves, mittens &amp; mitts (excl. for sports), not impregnated, coated or covered with plastics or rubber, of man-made fibers, w/o fourchettes Gloves, mittens &amp; mitts (excl.</w:t>
      </w:r>
    </w:p>
    <w:p>
      <w:pPr>
        <w:pStyle w:val="Normal"/>
      </w:pPr>
      <w:r>
        <w:t>for sports), not impregnated, coated or covered with plastics or rubber, of mmf, with fourchettes Gloves, mittens and mitts, not knitted or crocheted, of wool or fine animal hair, nesoi Gloves, mittens and mitts, not knitted or crocheted, of textile materials nesoi Made up clothing accessories(excl those of heading 6212), containing 70% or more by weight of silk or silk waste, not knitted or crocheted Headbands, ponytail holders and similar articles, of textile materials containing &lt; 70% by weight of silk, not knit/crochet Made up clothing accessories (excl of heading 6212 or headbands, ponytail holders &amp; like), containing &lt; 70% wgt of silk, not knit/crochet Parts of garments or of clothing accessories (excl those of heading 6212), containing 70% or more by weight of silk or silk waste, not k/c Parts of garments or of clothing accessories(excl those of heading 6212), containing under 70% by weight of silk or silk waste, n/knit/croc Electric blankets Blankets (other than electric blankets) and traveling rugs, of wool or fine animal hair Blankets (other</w:t>
      </w:r>
    </w:p>
    <w:p>
      <w:pPr>
        <w:pStyle w:val="Normal"/>
      </w:pPr>
      <w:r>
        <w:t>than electric blankets) and traveling rugs, of cotton Blankets (other than electric blankets) and traveling rugs, of synthetic fibers Blankets and traveling rugs, nesoi Bed linen, knitted or crocheted Bed linen, not knitted or crocheted, printed, of cotton, cont any embroidery, lace, braid, edging, trimming, piping or applique work, napped Bed linen, not knit or crocheted, printed, of cotton, cont any embroidery, lace, braid,</w:t>
      </w:r>
    </w:p>
    <w:p>
      <w:pPr>
        <w:pStyle w:val="Normal"/>
      </w:pPr>
      <w:r>
        <w:t>edging, trimming, piping or applique work, n/napped Bed linen, not knit or crocheted, printed, of cotton, not cont any embroidery, lace,braid, edging, trimming, piping or applique work, napped Bed linen, not knit or croc, printed, of cotton, not cont any embroidery, lace, braid, edging, trimming, piping or applique work, not napped Bed linen, not knitted or crocheted, printed, of manmade fibers, containing embroidery, lace, braid, etc or applique work Bed linen, not knitted or crocheted, printed, of manmade fibers, nesoi Bed linen, not knitted or crocheted, printed, of textile materials nesoi Bed linen, not knit/croc, not printed, of cotton, cont any embroidery, lace, braid, edging, trimming, piping or applique work, napped Bed linen, not knit/croc, not printed, of cotton, cont any embroidery, lace, braid, edging, trimming, piping or applique work, not napped Bed linen, not knit/croc, not printed, of cotton, not cont any embroidery, lace, braid, edging, trimming, piping or applique work, napped Bed linen, not knit/croc, not printed, of cotton, not cont any embroidery, lace, braid, edging, trimming,piping or</w:t>
      </w:r>
    </w:p>
    <w:p>
      <w:pPr>
        <w:pStyle w:val="Normal"/>
      </w:pPr>
      <w:r>
        <w:t>applique work, not napped Bed linen, not knitted or crocheted, not printed, of manmade fiber, containing embroidery, lace, braid, etc or applique work Bed linen, not knitted or crocheted, not printed, of manmade fibers, nesoi Bed linen, not knitted or crocheted, not printed, of textile materials nesoi Table linen, knitted or crocheted, of vegetable fiber (except of</w:t>
      </w:r>
    </w:p>
    <w:p>
      <w:pPr>
        <w:pStyle w:val="Normal"/>
      </w:pPr>
      <w:r>
        <w:t>cotton) Table linen, knitted or crocheted, nesoi Damask tablecloths and napkins, not knitted or crocheted, of cotton Plain woven tablecloths and napkins, not knitted or crocheted, of cotton Tablecloths and napkins, other than plain woven or damask, not knitted or crocheted, of cotton Table linen, other than tablecloths and napkins, not knitted or crocheted, of cotton, nesoi Table linen of man-made fibers, not knitted or crocheted Tablecloths and napkins of flax, not knitted or crocheted Table linen of flax, other than tablecloths and napkins, not knitted or crocheted Table linen, of textile materials other than of cotton, flax or man-made fibers, not knitted or crocheted Toilet linen and kitchen linen, of terry toweling or similar terry fabrics, of cotton Toilet and kitchen linen, other than terry toweling or similar terry fabrics of cotton Toilet and kitchen linen, of manmade fibers, of pile or tufted construction Toilet and kitchen linen, of manmade fibers, nesoi Toilet and kitchen linen of textile materials nesoi, containing 85% or more by weight of silk or</w:t>
      </w:r>
    </w:p>
    <w:p>
      <w:pPr>
        <w:pStyle w:val="Normal"/>
      </w:pPr>
      <w:r>
        <w:t>silk waste Toilet and kitchen linen of flax Toilet and kitchen linen of textile materials nesoi, containing less than 85% by weight of silk or silk waste Curtains (including drapes), interior blinds and valances of synthetic fibers, knitted or crocheted Curtains (including drapes), interior blinds and valances of cotton, knitted or crocheted Curtains (including drapes),interior blinds and valances of textile materials</w:t>
      </w:r>
    </w:p>
    <w:p>
      <w:pPr>
        <w:pStyle w:val="Normal"/>
      </w:pPr>
      <w:r>
        <w:t>other than of cotton or synthetic fibers, knitted or crocheted Curtains (including drapes), interior blinds and valances of cotton, not knitted or crocheted Curtains/drapes, inter. blinds, etc. of syn fib, made up from fab of subh 5407.60.11/5407.60.21/5407.60.91, not knitted or crocheted Curtains (including drapes), interior blinds and valances, nesoi, of synthetic fibers, not knitted or crocheted Curtains (including drapes),interior blinds, valances of textile materials other than of cotton or of synthetic fibers,not knitted/crocheted Bedspreads of cotton, knitted or crocheted, excluding those of heading 9404 Bedspreads of man-made fibers, knitted or crocheted, excluding those of heading 9404 Bedspreads of textile materials other than of cotton or of man-made fibers, knitted or crocheted, excluding those of heading 9404 Bedspreads, not knitted or crocheted, of cotton, containing any embroidery, lace, etc. Bedspreads, not knitted or crocheted, of cotton, nesoi Bedspreads, not knitted or crocheted, of manmade fibers, containing any embroidery, lace, etc.</w:t>
      </w:r>
    </w:p>
    <w:p>
      <w:pPr>
        <w:pStyle w:val="Normal"/>
      </w:pPr>
      <w:r>
        <w:t>Bedspreads, not knitted or crocheted, of manmade fibers, nesoi Bedspreads, not knitted or crocheted, other than those of cotton or man-made fibers, excluding those of heading 9404 Furnishing articles (excluding those of heading 9404 and other than bedspreads) knitted or crocheted Furnishing articles (excluding those of heading 9404 and other than bedspreads) not knitted or crocheted, of cotton Furnishing articles (excluding those of heading 9404 and other than bedspreads) not knitted or crocheted, of synthetic fibers Wall hangings, not knitted or crocheted, of wool or fine animal hair, the foregoing certified hand-loomed and folklore products Wall hangings, not knitted or crocheted, of wool or fine animal hair, nesoi Wall hangings of jute, excluding those of heading 9404 Furnishing articles (excl. those of heading 9404 and other than bedspreads and jute wall hangings) of veg. fibers (excl.</w:t>
      </w:r>
    </w:p>
    <w:p>
      <w:pPr>
        <w:pStyle w:val="Normal"/>
      </w:pPr>
      <w:r>
        <w:t>cotton), not k/c Certified hand-loomed and folklore pillow covers of wool or fine animal hair, not knitted or crocheted Furnishing articles (excluding those of heading 9404 and other than bedspreads) not knitted or crocheted, of textile materials, nesoi Sacks and bags of a kind used for the packing of goods, of jute or of other textile bast fibers of heading 5303 Sacks and bags of a kind used for the packing of goods, of cotton Flexible intermed.</w:t>
      </w:r>
    </w:p>
    <w:p>
      <w:pPr>
        <w:pStyle w:val="Normal"/>
      </w:pPr>
      <w:r>
        <w:t>bulk containers of a kind used for packing goods, of man-made textile materials Other sacks/bags for packing goods, of mm tex.mat.(not flex.intermed.bulk containers), of polyethylene or polypro.</w:t>
      </w:r>
    </w:p>
    <w:p>
      <w:pPr>
        <w:pStyle w:val="Normal"/>
      </w:pPr>
      <w:r>
        <w:t>strip or the like Sacks and bags of a kind used for the packing of goods, of man-made textile materials, nesoi Sacks and bags of a kind used for the packing of goods, of textile materials, nesoi Tarpaulins, awnings and sunblinds, of synthetic fibers Tarpaulins, awnings and sunblinds, of cotton Tarpaulins, awnings and sunblinds, of textile materials other than of cotton or synthetic fibers Backpacking tents of synthetic fibers Tents other than backpacking tents, of synthetic fibers Tents of cotton Tents of textile materials other than of cotton or synthetic fibers Sails of textile materials Pneumatic mattresses of cotton Pneumatic mattresses of textile materials other than of cotton Camping goods, nesoi, of cotton Camping goods, nesoi, of textile materials other than of cotton Dustcloths, mop cloths and polishing cloths, of cotton Floor cloths, dishcloths and similar cleaning cloths of textile materials (except dustcloths, mops cloths and polishing cloths of cotton) Lifejackets and lifebelts of textile materials Made-up labels of textile materials Cords and tassels of textile materials Corset lacings, footwear lacings or similar lacings of textile materials Surgical drapes of fabric formed on a base of paper or covered or lined with paper Surgical drapes of spunlaced or bonded fiber</w:t>
      </w:r>
    </w:p>
    <w:p>
      <w:pPr>
        <w:pStyle w:val="Normal"/>
      </w:pPr>
      <w:r>
        <w:t>fabric disposable surgical drapes of man- made fibers Surgical drapes, nesoi, not spunlaced or bonded fiber fabric Toys for pets, of textile materials Wall banners, of man-made fibers Surgical towels; cotton towels of pile/tufted const.; pillow shells, of cotton;</w:t>
      </w:r>
    </w:p>
    <w:p>
      <w:pPr>
        <w:pStyle w:val="Normal"/>
      </w:pPr>
      <w:r>
        <w:t>shells for quilts etc., and similar articles of cotton National flags and other made-up articles of textile materials, nesoi Needlecraft sets for making up into rugs, etc., consist of woven fabric and yarn, whether/not w/accessories, put up packings for retail sale Worn clothing and other worn articles Used or new rags, scrap and worn out articles of twine, cordage, rope or cables, of wool or fine animal hair, sorted Used or new rags, scrap and worn out articles of twine, cordage, rope or cables, of textile materials nesoi, sorted Used or new rags, scrap and worn out articles of twine, cordage, rope or cables, of wool or fine animal hair, not sorted Used or new rags, scrap and worn out articles of twine, cordage, rope or cables, of textile materials nesoi, not sorted Waterproof footwear, not mechanically assembled, w/outer soles &amp; uppers of rubber or plastics, w/metal toecap Waterproof ski boots &amp; snowboard boots, not mechanically asmbld., w/outer sole and uppers of rubb. or plast., cover/ankle but not knee Waterproof footwear, not mechanically asmbld., w/over 90% of ext. surf.</w:t>
      </w:r>
    </w:p>
    <w:p>
      <w:pPr>
        <w:pStyle w:val="Normal"/>
      </w:pPr>
      <w:r>
        <w:t>area of soles &amp; uppers PVC, covering/ankle but not knee Waterproof footwear, not mechanically asmbld., w/outer soles and upper of rubber or plastics, nesoi, covering ankle but not knee Waterproof footwear, not mechanically assembled, w/outer soles &amp; uppers of rubber or plastics, covering the knee Waterproof protect. footwear, not mechanically asmbld., w/outer soles and uppers of rubber or plastics, not cover ankle, w/o closures Waterproof protect. footwear, not mechanically asmbld., w/outer soles and uppers of rubber or plastics, not cover ankle, w/closures Waterproof footwear, not mechanically asmbld, w/outer soles and 90% of ext. surf. area of uppers of rubber or plastics, not cover ankle Waterproof footwear, not mechanically asmbld, w/outer soles and uppers of rubber or plastics, nesoi, not cover ankle Ski-boots, cross-country ski footwear and snowboard boots, w/outer soles and uppers of rubber or plastics Golf shoes w/outer soles of rubber or plastics and uppers &gt; 90% of ext. surface area rubber or plastics Sports footwear (o/than ski fwear &amp; golf shoes), w/outer soles of rubber or plastics &amp; uppers &gt;90% ext. surf. area rubber or plast.</w:t>
      </w:r>
    </w:p>
    <w:p>
      <w:pPr>
        <w:pStyle w:val="Normal"/>
      </w:pPr>
      <w:r>
        <w:t>Sports footwear w/outer soles and uppers of rubber or plastics, nesi, valued not over $3/pair Sports footwear w/outer soles and uppers of rubber or plastics, nesi, valued over $3 but not over $6.50/pair Sports footwear w/outer soles and uppers of rubber or plastics, nesi, valued over $6.50 but not over $12/pair Sports footwear w/outer soles and uppers of rubber or plastics, nesi, valued over $12/pair Footwear w/outer soles &amp; uppers of rubber/plastics, w/upper straps or thongs assembled to sole by means of plugs (zoris) Footwear w/outer soles of rubber or plastics, o/than sports,covers ankle, w/metal toe- cap,w/ext. surf.</w:t>
      </w:r>
    </w:p>
    <w:p>
      <w:pPr>
        <w:pStyle w:val="Normal"/>
      </w:pPr>
      <w:r>
        <w:t>uppers o/90% rubber or plastics Footwear, covers ankle, w/outer soles &amp; uppers of rubber or plastics, nesoi, w/metal toe-cap, designed to protect liquids, chemicals, weather Footwear, covers ankle, w/outer soles &amp; uppers of rubber or plastics, nesoi, w/metal toe-cap, not protective, valued n/o $3/pair Footwear, covers ankle, w/outer soles &amp; uppers of rubber or plastics, nesoi, w/metal toe-cap, not protective, valued over $3 but n/o $6.50/pair Footwear, covers ankle, w/outer soles &amp; uppers of rubber or plastics, nesoi, w/metal toe-cap, not protective, valued o/$6.50 but n/o $12/pair Footwear, covers ankle, w/outer soles &amp; uppers of rubber or plastics, nesoi, w/metal toe-cap, not protective, valued over $12/pair Footwear w/outer soles &amp; uppers of rubber or plastics, nesoi, covering ankle, w/ext. surf.</w:t>
      </w:r>
    </w:p>
    <w:p>
      <w:pPr>
        <w:pStyle w:val="Normal"/>
      </w:pPr>
      <w:r>
        <w:t>of uppers o/90% rubber or plastics Protective active footwear w/outer soles &amp; uppers of rubber or plastics, covered ankle, nesoi, valued over $24/pair Footwear w/outer soles &amp; uppers of rubber or plastics, nesoi, covering ankle, designed as protection against liquids, chemicals, weather Footwear w/outer soles &amp; uppers of rubber or plastics, nesoi, covering ankle, nesoi, valued n/o $3/pair Footwear w/outer soles &amp; uppers of rubber or plastics, nesoi, covering ankle, nesoi, valued over $3 but n/o $6.50/pair Footwear w/outer soles &amp; uppers of rubber or plastics, nesoi, covering ankle, nesoi, valued o/$6.50 but n/o $12/pair Footwear w/outer soles &amp; uppers of rubber or plastics, nesoi, covering ankle, nesoi, valued over $12/pair Footwear not cov. ankle, w/outer soles of rubber or plastics, nesoi, w/metal toe-cap, w/ext. surf. uppers o/90% rubber or plastics Footwear not cov. ankle,w/outer soles &amp; uppers of rubber or plastics, nesoi, w/metal toe-cap, to protect against liquids, chem, weather Footwear not cov. ankle, w/outer soles &amp; uppers of rubber or plastics, nesoi, w/metal toe-cap, not protective, valued n/o $3/pair Footwear not cov.</w:t>
      </w:r>
    </w:p>
    <w:p>
      <w:pPr>
        <w:pStyle w:val="Normal"/>
      </w:pPr>
      <w:r>
        <w:t>ankle, w/outer soles &amp; uppers of rubber or plastics, nesoi, w/metal toe-cap, not protective, valued &gt; $3 but n/o $6.50/pair Footwear not cov. ankle, w/outer soles &amp; uppers of rubber or plastics, nesoi, w/metal toe-cap, not protective, valued o/$6.50 but n/o $12/pair Footwear not cov.</w:t>
      </w:r>
    </w:p>
    <w:p>
      <w:pPr>
        <w:pStyle w:val="Normal"/>
      </w:pPr>
      <w:r>
        <w:t>ankle, w/outer soles &amp; uppers of rubber or plastics, nesoi, w/metal toe-cap, not protective, valued over $12/pair Footwear w/outer soles &amp; uppers of rubber or plastics, nesoi, n/cov. ankle, w/ext. surf. uppers o/90% rubber/plastics, w/base of wood Footwear w/outer soles &amp; uppers of rubber or plastics, nesoi, n/cov. ankle, w/ext. surf. uppers o/90% rubber/plastics, w/base of cork Sandals w/outer soles &amp; uppers of rubber or plastics, not cov. ankle, produced in one piece by molding Footwear w/outer soles &amp; uppers of rubber or plastics, nesoi, n/cov. ankle, w/ext. surf. of uppers o/90% rubber or plastics, nesoi Protective active footwear w/outer soles &amp; uppers of rubber or plastics, not covered ankle, nesoi, valued over $24/pair Footwear w/outer soles &amp; uppers of rubber or plastics, nesoi, n/cov. ankle, nesoi, design. as protection against liquids/chemicals/weather Footwear, nesoi, w/outer soles &amp; uppers of rubber or plastic, open toe or heel or slip- on, tex outersole Footwear w/outer soles &amp; uppers of rubber or plastics, nesoi, n/cov.</w:t>
      </w:r>
    </w:p>
    <w:p>
      <w:pPr>
        <w:pStyle w:val="Normal"/>
      </w:pPr>
      <w:r>
        <w:t>ankle, w/open toes or heels or of the slip-on type Footwear, nesoi, w/outer soles &amp; uppers of rubber or plastics, o/than open toe or heel or slip-on, &lt; $3, tex outersole, not subj C64 note 5 Footwear w/outer soles &amp; uppers of rubber or plastics, nesoi, n/cov.</w:t>
      </w:r>
    </w:p>
    <w:p>
      <w:pPr>
        <w:pStyle w:val="Normal"/>
      </w:pPr>
      <w:r>
        <w:t>ankle, nesoi, valued n/o $3/pair Footwear, nesoi, w/outer soles and uppers of rubber or plastic, o/than open toe or heel or slip-on, $3-6.50, tex outersole, not subj C64 note 5 Footwear w/outer soles &amp; uppers of rubber or plastics, nesoi, n/cov. ankle, nesoi, valued o/$3 but n/o $6.50/pair Footwear w/outer soles &amp; uppers of rubber or plastics, nesoi, n/cov. ankle, nesoi, valued o/$6.50 but n/o $12/pair Footwear w/outer soles &amp; uppers of rubber or plastics, nesoi, n/cov. ankle, nesoi, valued over $12/pair Ski-boots,cross-country ski footwear and snowboard boots, w/outer soles of rubber/plastics/leather/comp. leather &amp; uppers of leather, welt Ski-boots,cross-country ski footwear and snowboard boot, w/outer soles of rubber/plastics/leather/comp. leather &amp;uppers of leather, n/welt Golf shoes, w/outer soles rubber/plastics/leather/comp. leather &amp; uppers of leather, welt, for men/youths/boys Sports footwear, nesoi, w/outer soles of rubber/plastics/leather/comp. leather &amp; uppers of leather, welt, for men/youths/boys Golf shoes, w/outer soles rubber/plastics/leather/comp. leather &amp; uppers of leather, n/welt, for men/youths/boys Sports footwear, nesoi, w/outer soles rubber/plastics/leather/comp. leather &amp; uppers of leather, n/welt, for men/youths/boys Golf shoes, w/outer soles rubber/plastics/leather/comp.</w:t>
      </w:r>
    </w:p>
    <w:p>
      <w:pPr>
        <w:pStyle w:val="Normal"/>
      </w:pPr>
      <w:r>
        <w:t>leather &amp; upper of leather, for persons other than men/youths/boys Sports footwear, nesoi, w/outer soles rubber/plastics/leather/comp.leather &amp; uppers of leather, for persons other than men/youths/boys Footwear w/outer soles leather and uppers consist. of leather straps across the instep and around the big toe Footwear w/outer soles of rubber/plastics/leather/comp. leather &amp; uppers of leather, w/protective metal toe-cap, welt Footwear w/outer soles of rubber/plastics/leather/comp.</w:t>
      </w:r>
    </w:p>
    <w:p>
      <w:pPr>
        <w:pStyle w:val="Normal"/>
      </w:pPr>
      <w:r>
        <w:t>leather &amp; uppers of leather, w/protective metal toe-cap, n/welt Footwear w/outer soles of leather &amp; uppers of leather, covering ankle, made on a base or platform of wood, w/o insole or metal toe-cap Footwear w/outer soles and uppers of leather, nesoi, covering the ankle, welt Footwear w/outer soles and uppers of leather, nesoi, covering the ankle, n/welt, for men, youths and boys Footwear w/outer soles and uppers of leather, nesoi, covering the ankle, n/welt, for persons other than men, youths and boys Footwear w/outer soles of leather &amp; uppers of leather, not covering ankle, made on a base or platform of wood, w/o insole or metal toe-cap Turn or turned footwear w/outer soles and uppers of leather, not covering the ankle Footwear w/outer soles and uppers of leather, not covering the ankle, welt, nesoi Footwear w/outer soles and uppers of leather, not cov. ankle, n/welt, for men, youths and boys Footwear w/outer soles and uppers of leather, not cov.</w:t>
      </w:r>
    </w:p>
    <w:p>
      <w:pPr>
        <w:pStyle w:val="Normal"/>
      </w:pPr>
      <w:r>
        <w:t>ankle, n/welt, for persons other than men, youths and boys Footwear w/outer soles of rubber, plastics &amp; uppers of leather, covering ankle, made on a base or platform of wood, w/o insole or metal toe Footwear w/outer soles of rubber/plastics/composition leather &amp; uppers of leather, covering the ankle, welt Footwear w/outer soles of rubber/plastics/composition leather &amp; uppers of leather, covering the ankle, n/welt, for men,youths and boys Footwear w/outer soles of rubber/plastics/comp. leather &amp; uppers of leather, cov. ankle, n/welt, for persons other than men/youths/boys Footwear w/outer soles of rubber, plastics &amp; uppers of leather, not covering ankle, made on a base or platform of wood, w/o insole or metal Footwear w/outer soles of rubber/plastics/comp. leather &amp; uppers of leather, n/cov. ankle, made on a base wood Footwear w/outer soles of rubber/plastics/comp. leather &amp; uppers of leather, n/cov. ankle, welt, nesoi Footwear w/outer soles of rubber/plastics/comp. leather &amp; uppers of leather, n/cov. ankle, n/welt, for men, youths and boys, nesoi Footwear w/outer soles of rubber/plastics/comp. leather &amp; uppers of leather, n/cov.</w:t>
      </w:r>
    </w:p>
    <w:p>
      <w:pPr>
        <w:pStyle w:val="Normal"/>
      </w:pPr>
      <w:r>
        <w:t>ankle, for women/child./infants, val.n/o $2.50/pr Footwear w/outer soles of rubber/plastics/comp. leather &amp; uppers of leather, n/cov. ankle, for women/child./infants, val. over $2.50/pair Sports &amp; athletic footwear w/outer soles of rubber/plastics &amp; uppers of textile, w/ext. surf.</w:t>
      </w:r>
    </w:p>
    <w:p>
      <w:pPr>
        <w:pStyle w:val="Normal"/>
      </w:pPr>
      <w:r>
        <w:t>of uppers over 50% leather Sports ftwear w/outr sole rub/plast &amp; upper textile val. &lt; $3/pr, w/sole fixed w/adhesives w/o foxing not subj note 5 ch 64 Sports ftwear, outer soles rubber/plastic &amp; uppers textile, val. &lt;$3/pr, soles fixed w/adhesives w/o foxing, subj note 5 ch 64 Sports ftwear w/outer soles rubber/plastic &amp; uppers textile, val. &lt; $3/pair, not subj to note 5 ch 64 Sports ftwear w/outer soles rubber/plastic, uppers textile, val &lt;$3/pair, subj note 5 ch Sports ftwear w/outr sole rubber/plastic &amp; upper textile, val. &gt;$3 but &lt; $6.50/pr, w/soles fixed w/adhesives, not subj note 5 ch 64 Sports ftwear w/outr sole rubber/plastic &amp; uppers textile, val.&gt;$3 but &lt;$6.50/pr, w/sole fixed w/adhesives subj note 5 ch 64 Sports ftwear w/outer soles rubber/plastic &amp; uppers veg fiber, val.&gt;$3 but &lt;$6.50/pr, not subj note 5 ch 64 Sports ftwear w/outer soles rubber/plastic &amp; uppers textile, val. &gt;$3 but &lt;$6.50/pr, not subj note 5 ch 64 Sports ftwear w/outer soles rubber/plastic &amp; uppers textile, val.</w:t>
      </w:r>
    </w:p>
    <w:p>
      <w:pPr>
        <w:pStyle w:val="Normal"/>
      </w:pPr>
      <w:r>
        <w:t>&gt;$3 but &lt;$6.50/pr, subj note 5 ch 64 Sports ftwear w/outer soles rubber/plastic &amp; uppers veg fiber, val. &gt;$6.50 but &lt;$12/pr, not subj note 5 to ch 64 Sports ftwear w/outer soles rubber/plastic &amp; uppers textile, val. &gt;$6.50 but &lt; $12/pr, not subj to note 5 ch 64 Sports ftwear w/outer soles rubber/plastics&amp; uppers textile, val. &gt;$6.50 but &lt;$12/pr, subj note 5 ch 64 Sports ftwear w/outer soles rubber/plastic &amp; uppers textile, val.</w:t>
      </w:r>
    </w:p>
    <w:p>
      <w:pPr>
        <w:pStyle w:val="Normal"/>
      </w:pPr>
      <w:r>
        <w:t>&gt;$12/pair Ftwear w/outer soles rubber/plastic &amp; uppers textile, nesoi, w/ext. surf. of uppers &gt; 50% leather Ftwear w/outer soles rubber/plastic &amp; uppers textile, nesoi, designed to protect agst liquids, chemicals &amp; weather Ftwear w/outer soles rubber/plastic &amp; upp. veg. fibers, nesoi, w/open toes/heels or slip- on, &lt; 10% rub/plast by wt. Ftwear w/outer soles rubber/plastic &amp; upp. textile, nesoi, w/open toes/heels or slip-on, &lt;10% rub/plast by wt.</w:t>
      </w:r>
    </w:p>
    <w:p>
      <w:pPr>
        <w:pStyle w:val="Normal"/>
      </w:pPr>
      <w:r>
        <w:t>Ftwear w/outer soles rub/plast &amp; upp. veg fiber, nesoi, w/open toes/heels or slip-on, &gt;10% by wt. rub./plast, subj note 5 ch 64 Ftwear w/outr soles rubber/plastic &amp; upp. textile, nesoi, w/open toes/heels or slip-on, &gt;10% by wt. of rub/plast, subj note 5 ch 64 Ftwear w/outr sole rub/plast &amp; upp. textile, nesoi, w/open toes/heels or slip-on, &gt;10% by wt. rub./plast not subj note 5 ch 64 Ftwear w/outr sole rub/plast. &amp; upp. veg fiber, nesoi, val. &lt;$3/pr, w/sole fixed to upp. w/adhesives &amp; w/o foxing, not subj note 5 ch 64 Ftwear w/outr soles rub/plast &amp; upp. textile, nesoi, val. &lt;$3/pr, w/sole fixed to upper w/adhesives &amp; w/o foxing, not subj note 5 ch 64 Ftwear w/outr sole rub./plast. &amp; upp. textile, nesoi, val. &lt;$3/pr, w/soles fixed to upper w/adhesives &amp; w/o foxing subj note 5 ch 64 Ftwear w/outer soles rubber/plastic &amp; upp. veg fiber, nesoi, val. &lt;$3/pr, nesoi, not subj note 5 ch 64 Ftwear w/outr sole rub/plast./leather &amp; upp. not veg fiber textile, nesoi, not sports, val.</w:t>
      </w:r>
    </w:p>
    <w:p>
      <w:pPr>
        <w:pStyle w:val="Normal"/>
      </w:pPr>
      <w:r>
        <w:t>&lt;$3/pr, not subj note 5 ch 64 Ftwear w/outr sole rub/plast./leather &amp; upp. textile, nesoi, not sports, val. &lt; $3/pr, subj note 5 ch 64 Ftwear w/outr sole rub/plast. &amp; upp. textile, nesoi, val. &gt;/$3 but &lt;$6.50/pr, w/sole fixed to upp. w/adhesives, not subj note 5 ch 64 Ftwear w/outr sole rub/plast. &amp; upp. textile, nesoi, val. &gt;$3 but &lt;$6.50/pr, w/sole fixed to upp. w/adhesives, subj note 5 ch 64 Ftwear w/outr sole rub/plast. &amp; upper veg fiber, nesoi, val. &gt;$3 but &lt;$6.50/pr, nesoi, not subj note 5 ch 64 Footwear w/outer sole rub/plast. &amp; upper textile, nesoi, val. o/$3 but n/o $6.50/pr, nesoi, not subj note 5 ch 64 Footwear w/outr sole rub/plast. &amp; upper. textile, nesoi, val. o/$3 but n/o $6.50/pr, nesoi, subj note 5 ch 64 Footwear w/outer sole rub/plast. &amp; upp. veg fiber, nesoi, val. o/$6.50 but n/o $12/pr, not subj note 5 ch 64 Footwear w/outer sole rub/plast. &amp; upp. textile, nesoi, val. o/$6.50 but n/o $12/pr, not subj note 5 ch 64 Footwear w/outer soles rub/plast. &amp; upp. textile, nesoi, val.</w:t>
      </w:r>
    </w:p>
    <w:p>
      <w:pPr>
        <w:pStyle w:val="Normal"/>
      </w:pPr>
      <w:r>
        <w:t>o/$6.50 but n/o $12/pr, subj note 5 ch 64 Footwear w/outer soles of rub./plast. &amp; upp. of textile, nesoi, val. o/$12/pr Footwear w/outer soles of leather/comp. leath., n/o 50% by wt. rub./plast. or rub./plast./text. &amp; 10%+ by wt. rub./plast., val. n/o $2.50/pr Footwear w/outer soles of leather/comp. leath., n/o 50% by wt. rub./plast. or rub./plast./text. &amp; 10%+ by wt. rub./plast., val. o/$2.50/pr Footwear w/outer soles of leather/comp.</w:t>
      </w:r>
    </w:p>
    <w:p>
      <w:pPr>
        <w:pStyle w:val="Normal"/>
      </w:pPr>
      <w:r>
        <w:t>leather &amp; uppers of textile, nesoi Footwear, nesoi, w/outer soles of other than rubber/plastics/leather/comp.leather &amp; uppers of leather/composition leather, nesoi Footwear, nesoi, w/outer soles of other than rubber/plastics/leather/comp.leather &amp; uppers of vegetable fibers, nesoi Footwear, nesoi, with soles and uppers of wool felt Footwear,nesoi,w/outer sole other than rubber/plastics/leather/comp. leather &amp; upper of text. material other than veg. fibers or wool felt Disposable footwear, nesoi, designed for one-time use Footwear, nesoi, w/outer soles and uppers o/than leather or comp.</w:t>
      </w:r>
    </w:p>
    <w:p>
      <w:pPr>
        <w:pStyle w:val="Normal"/>
      </w:pPr>
      <w:r>
        <w:t>leather, not disposible Formed uppers for footwear, of leather/composition leather, for men, youths and boys Formed uppers for footwear, of leather/composition leather, for women, misses, children and infants Formed uppers for footwear, of textile materials, w/o 50% of external surface leather Formed uppers for footwear, of textile materials, nesoi, valued n/o $3/pr Formed uppers for footwear, of textile materials, nesoi, valued o/$3 but n/o $6.50/pr Formed uppers for footwear, of textile materials, nesoi, valued o/$6.50 but n/o $12/pr Formed uppers for footwear, of textile materials, nesoi, valued o/$12/pr Formed upper for footwear, of materials other than leather/comp.leather or textile, w/over 90% of ext. surf. rub./plast. not for fw w/foxing Formed uppers for footwear, of materials other than leather/comp.leather or textile materials, nesoi Uppers &amp; pts.</w:t>
      </w:r>
    </w:p>
    <w:p>
      <w:pPr>
        <w:pStyle w:val="Normal"/>
      </w:pPr>
      <w:r>
        <w:t>thereof for footwear, nesoi, of rubber or plastics Uppers &amp; pts. thereof for footwear, nesoi, of leather Uppers &amp; pts. thereof for footwear, nesoi, of textile materials w/external surface area over 50% leather Uppers for footwear, nesoi, of cotton, w/external surface area less than 50% textile materials Uppers &amp; pts. thereof for footwear, nesoi, of cotton, w/external surface area 50% or more of textile materials Uppers for footwear, nesoi, of materials nesoi, w/external surface area less than 50% textile materials Uppers &amp; pts. thereof for footwear, nesoi Outer soles and heels for footwear, of rubber or plastics Parts of footwear, nesoi, of wood Parts of footwear; nesoi, removable insoles, heel cushions, gaiters, leggings, etc, &amp; pts. thereof; all the foregoing of textile materials Parts of footwear, nesoi; removable insoles,heel cushions, etc; gaiters, leggings, etc., &amp; pts. thereof; all the foregoing of rubber/plastic Parts of footwear; nesoi, removable insoles, heel cushions, etc; gaiters, leggings, etc, &amp; pts.</w:t>
      </w:r>
    </w:p>
    <w:p>
      <w:pPr>
        <w:pStyle w:val="Normal"/>
      </w:pPr>
      <w:r>
        <w:t>thereof; all the foregoing of leather Parts of footwear, nesoi; removable insoles, heel cushions, etc; gaiters, leggings, etc, &amp; pts thereof; all the foregoing of materials nesoi Hat forms, hat bodies and hoods, not blocked to shape or with made brims; plateaux &amp; manchons; all of fur felt, for men or boys Hat forms, hat bodies and hoods, not blocked to shape or with made brims; plateaux &amp; manchons; all of fur felt, not for men or boys Hat forms, hat bodies and hoods, not blocked to shape or with made brims; plateaux &amp; manchons; all of felt, other than fur felt Hat shapes, plaited or assembled from strips, not blocked/lined/trimmed &amp; w/o made brims, of veg. fibers or materls, or paper yarn, sewed Hat shapes, plaited or asmbld from strips, n/blocked/lined/trimmed &amp; w/o made brims, of veg. fibers or materls, not sewed/bleached/colored Hat shapes, plaited or asmbld from strips, n/blocked/lined/trimmed &amp; w/o made brims, of veg. fibers or materls, not sewed but bleachd/colord Hat shapes, plaited or assembled from strips, not blocked/lined/trimmed &amp; w/o made brims, not veg. fibers/veg.</w:t>
      </w:r>
    </w:p>
    <w:p>
      <w:pPr>
        <w:pStyle w:val="Normal"/>
      </w:pPr>
      <w:r>
        <w:t>materials/paper yarn, nesoi Hats and headgear, plaited or assembled from strips of veg. fibers or unspun fibrous veg. materials and/or paper yarn, sewed Hats and headgear, plaited or assembled from strips of veg. fibers or unspun fibrous veg. materials and/or paper yarn, not sewed Hats and headgear, plaited or assembled from strips of any material (o/than veg. fibers/unspun fibrous veg.</w:t>
      </w:r>
    </w:p>
    <w:p>
      <w:pPr>
        <w:pStyle w:val="Normal"/>
      </w:pPr>
      <w:r>
        <w:t>materials and/or paper yarn) Hair-nets of any material, whether or not lined or trimmed Hats and headgear of fur felt made from hat forms and hat bodies of 6501 Hats and headgear made from hat forms and hat bodies of 6501, except of fur felt Hats and headgear, of cotton and/or flax, knitted Headwear, of cotton, not knitted;</w:t>
      </w:r>
    </w:p>
    <w:p>
      <w:pPr>
        <w:pStyle w:val="Normal"/>
      </w:pPr>
      <w:r>
        <w:t>certified hand-loomed and folklore hats &amp; headgear, of cotton or flax, not knitted Hats and headgear, of cotton or flax, not knitted, not certified hand-loomed folklore goods Hats and headgear, of wool, knitted or crocheted or made up from knitted or crocheted fabric Hats and headgear, of wool, made up from felt or of textile material, not knitted or crocheted or made up from knitted or crocheted fabric Hats and headgear, of man-made fibers, knitted or crocheted or made up from knitted or crocheted fabric, wholly or in part of braid Hats and headgear, of man-made fibers, knitted or crocheted or made up from knitted or crocheted fabrics, not in part of braid Hats and headgear, of man-made fibers, made up from felt or of textile material, not knitted or crocheted, wholly or in part braid Hats and headgear, of man-made fibers, made up from felt or of textile material, not knitted or crocheted, not in part of braid Hats and headgear, of textile materials (other than of cotton, flax, wool or man-made fibers), nesoi Safety headgear of reinforced or laminated plastics, whether or not lined or trimmed Safety headgear, other than of reinforced or laminated</w:t>
      </w:r>
    </w:p>
    <w:p>
      <w:pPr>
        <w:pStyle w:val="Normal"/>
      </w:pPr>
      <w:r>
        <w:t>plastics, whether or not lined or trimmed Headgear (other than safety headgear), nesoi, of rubber or plastics, whether or not lined or trimmed Headgear, nesoi, of furskin, whether or not lined or trimmed Headgear (other than safety headgear), nesoi, of materials other than rubber, plastics, or furskins, whether or not lined or trimmed Headbands, linings, covers, hat foundations, hat frames, peaks (visors) and chinstraps, for headgear Garden or similar umbrellas Umbrellas, other than garden or similar umbrellas, having a telescopic shaft Umbrellas, other than garden or similar umbrellas, not having a telescopic shaft Walking-sticks, seat-sticks, whips, riding-crops and the like Umbrella frames, including frames mounted on shafts (sticks), for hand-held umbrellas chiefly used for protection against rain Umbrella frames, including frames mounted on shafts (sticks), other than for hand-held rain umbrellas, nesoi Umbrella handles, knobs, tips and caps Handles, knobs, other parts, trimmings or accessories for walking sticks, seat-sticks, whips, riding crops and the like Articles of feathers or down (other than articles &amp; apparel filled or stuffed with feathers/down and worked quills &amp; scapes) Skins and o/parts of birds w/their feathers or down, feathers, pts of feathers/down, nesoi Artificial flowers/foliage/fruit;</w:t>
      </w:r>
    </w:p>
    <w:p>
      <w:pPr>
        <w:pStyle w:val="Normal"/>
      </w:pPr>
      <w:r>
        <w:t>articles of art. flowers, etc.; all of plastics, asmbld by binding/gluing/or similar methods Artificial flowers/foliage/fruit &amp; pts of; articles of art.</w:t>
      </w:r>
    </w:p>
    <w:p>
      <w:pPr>
        <w:pStyle w:val="Normal"/>
      </w:pPr>
      <w:r>
        <w:t>flowers, etc.; all of plastics, not asmbld by binding/gluing/or similar methods Artificial flowers/foliage/fruit &amp; pts thereof; articles of artif. flowers, etc.; all the foregoing of feathers Artificial flowers/foliage/fruit &amp; pts thereof; articles of artif. flowers, etc.; all the foregoing of man-made fibers Artificial flowers/foliage/fruit &amp; pts thereof; articles of artif. flowers, etc.; all the foregoing of materials o/than plast./feath./mmf Human hair, dressed, thinned, bleached or otherwise worked, for use in making wigs or the like Wool or other animal hair or other textile materials, prepared for use in making wigs or the like Wigs (complete), of synthetic textile materials Wigs (partial), false beards, eyebrows and the like, of synthetic textile materials Wigs, false beards, eyebrows and the like, of human hair; articles of human hair, nesoi Wigs, false beards, eyebrows and the like, of animal hair or textile materials (other than synthetic textiles) Setts, curbstones and flagstones, of natural stone (except slate) Tiles/cubes/similar arts. of natural stone, enclosable in a sq. w/a side less than 7 cm; artificially colored granules, chippings &amp; powder Monumental or building stone &amp; arts.</w:t>
      </w:r>
    </w:p>
    <w:p>
      <w:pPr>
        <w:pStyle w:val="Normal"/>
      </w:pPr>
      <w:r>
        <w:t>thereof, of travertine, simply cut/sawn, w/flat or even surface Monumental or building stone &amp; arts. thereof, of marble &amp; alabaster, simply cut/sawn, w/flat or even surface Monumental or building stone &amp; arts.</w:t>
      </w:r>
    </w:p>
    <w:p>
      <w:pPr>
        <w:pStyle w:val="Normal"/>
      </w:pPr>
      <w:r>
        <w:t>thereof, of granite, simply cut/sawn, w/flat or even surface Monumental or building stone &amp; arts. thereof, of calcareous stone, nesoi, simply cut/sawn, w/flat or even surface Monumental or building stone &amp; arts. thereof, of stone, nesoi, simply cut/sawn, w/flat or even surface Marble slabs, further worked than simply cut/sawn Monumental or building stone &amp; arts. thereof (o/than slabs), of marble, further worked than simply cut/sawn, nesoi Monumental or building stone &amp; arts. thereof, of travertine, dressed or polished but not further worked, nesoi Monumental or building stone &amp; arts. thereof, of travertine, further worked than dressed or polished, nesoi Monumental or building stone &amp; arts. thereof, of alabaster, further worked than simply cut/sawn, nesoi Monumental or building stone &amp; arts. thereof, of calcareous stone, nesoi, further worked than simply cut/sawn, nesoi Monumental or building stone &amp; arts. thereof, of granite, further worked than simply cut/sawn, nesoi Monumental or building stone &amp; arts.</w:t>
      </w:r>
    </w:p>
    <w:p>
      <w:pPr>
        <w:pStyle w:val="Normal"/>
      </w:pPr>
      <w:r>
        <w:t>thereof, nesoi, further worked than simply cut/sawn, nesoi Roofing slate Worked slate (other than roofing slate) and articles of slate or agglomerated slate Millstones and grindstones for milling, grinding or pulping Millstones, grindstones, grinding wheels and the like, nesoi, of agglomerated synthetic or natural diamond Millstones, grindstones, grinding wheels and the like, nesoi, of agglomerated abrasives nesoi, or ceramics, bonded with synthetic resins Abrasive wheels of agglomerated abrasives nesoi, or ceramics, not bonded with synthetic resins Millstones, grindstones, grinding wheels and the like, nesoi, of agglomerated abrasives nesoi, or ceramics, not bonded w/synthetic resins Millstones, grindstones, grinding wheels and the like, nesoi, of natural stone Hand sharpening or polishing stones Natural or artificial abrasive powder or grain on a base of woven textile fabric only Natural or artificial abrasive powder or grain on a base of paper or paperboard only Articles wholly or partly coated natural or artificial abrasive powder or grain, on a base of materials nesoi, in sheets, strips, disks,etc.</w:t>
      </w:r>
    </w:p>
    <w:p>
      <w:pPr>
        <w:pStyle w:val="Normal"/>
      </w:pPr>
      <w:r>
        <w:t>Natural or artificial abrasive powder or grain on a base of materials nesoi, in forms nesoi Slag wool, rock wool and similar mineral wools, in bulk, sheets or rolls Exfoliated vermiculite, expanded clays, foamed slag and similar expanded mineral materials Mixtures and articles of heat-insulating, sound-insulating or sound-absorbing mineral materials, nesoi Articles of asphalt or of similar material, in rolls Articles of asphalt or of similar material, not in rolls Panels, boards, tiles and similar articles of vegetable fiber, straw or wood wastes, agglomerated with cement, plaster or o/mineral binders Panels, boards, sheets, tiles and similar articles of plaster or comp. plaster, n/ornamented, faced or reinforced w/paper or paperboard only Panels, boards, sheets, tiles and similar articles of plaster or comp. plaster, not ornamented, nesoi Articles (other than panels, boards, sheets, tiles, etc.) of plaster or of compositions based on plaster, nesoi Building blocks and bricks, of cement, concrete or artificial stone, whether or not reinforced Floor and wall tiles, of stone agglomerated with binders other than cement Floor and wall tiles, of cement, concrete, or of artificial stone (except stone agglom.</w:t>
      </w:r>
    </w:p>
    <w:p>
      <w:pPr>
        <w:pStyle w:val="Normal"/>
      </w:pPr>
      <w:r>
        <w:t>w/binders other than cement) Tiles, flagstones, and similar articles, nesoi, of cement, concrete or artificial stone, whether or not reinforced Prefabricated structural components for building or civil engineering, of cement, concrete or artificial stone, nesoi Articles of cement (other than tiles, flagstones, bricks and similar arts.), of concrete or artificial stone, nesoi Articles of asbestos-cement Corrugated sheets, of cellulose fiber-cement or the like (not containing asbestos) Sheets (other than corrugated), panels, tiles and similar articles of cellulose-fiber cement or the like (not containing asbestos) Tubes, pipes and tube or pipe fittings, of cellulose fiber-cement or the like (not containing asbestos) Articles of cellulose fiber-cement or the like (not containing asbestos), nesoi Footwear of crocidolite Articles or mixtures of crocidolite, nesoi Footwear of asbestos other than crocidolite Clothing, accessories, and headgear of asbestos other than crocidolite Paper, millboard and felt of asbestos other than crocidolite Compressed asbestos (other than crocidolite) fiber jointing, in sheets Articles nesoi, of asbestos other than crocidolite or mixtures with a basis of asbestos other than crocidolite</w:t>
      </w:r>
    </w:p>
    <w:p>
      <w:pPr>
        <w:pStyle w:val="Normal"/>
      </w:pPr>
      <w:r>
        <w:t>Friction material &amp; articles thereof, containing asbestos Brake linings and pads not containing asbestos Friction material &amp; articles thereof with a basis of mineral substances (other than asbestos) or of cellulose, nesoi Agglomerated or reconstituted mica, in plates,</w:t>
      </w:r>
    </w:p>
    <w:p>
      <w:pPr>
        <w:pStyle w:val="Normal"/>
      </w:pPr>
      <w:r>
        <w:t>sheets and strips, whether or not on a support Worked mica and articles of mica, nesoi, whether or not on a support of paper, paperboard or other materials Nonelectrical articles of graphite or other carbon Articles of peat, nesoi Articles containing magnesoite, dolomite or chromite, nesoi Talc, steatite and soapstone, cut or sawn, or in blanks, crayons, cubes, disks or other forms Articles of stone or of other mineral substances (including carbon fibers &amp; articles thereof), nesoi Siliceous fossil meal or earth bricks, blocks, tiles and other ceramic goods Refractory bricks of magnesite, containing by weight o/50% MgO Refractory bricks, blocks, tiles and similar goods containing by weight o/50% MgO, CaO, or Cr2O3 Refractory bricks containing by weight o/50% alumina (Al2O2) or silica (SiO2) or mixtures or compounds thereof Refractory blocks, tiles &amp; similar goods (o/than bricks), cont. by wt. o/50% alumina (Al2O2) or silica (SiO2) or mixtures thereof Refractory bricks, nesoi Refractory blocks, tiles &amp; similar goods (other than bricks), nesoi Refractory ceramic goods (o/than of siliceous fossil meals or earths), nesoi, cont. by wt.</w:t>
      </w:r>
    </w:p>
    <w:p>
      <w:pPr>
        <w:pStyle w:val="Normal"/>
      </w:pPr>
      <w:r>
        <w:t>o/50% graphite or o/forms or mix. of carbon Refractory ceramic goods (o/than of siliceous fossil meals or earths), nesoi, cont. by wt. o/50% alumina or mix. or comp.</w:t>
      </w:r>
    </w:p>
    <w:p>
      <w:pPr>
        <w:pStyle w:val="Normal"/>
      </w:pPr>
      <w:r>
        <w:t>of Al2O3 &amp; SiO3 Refractory ceramic goods (o/than of siliceous fossil meals or earths), nesoi Ceramic building bricks (o/than refractory bricks) Ceramic flooring blocks, support or filler tiles and the like (other than bricks) Ceramic roofing tiles Ceramic chimney pots, cowls, chimney liners, architectural ornaments and other construction goods Ceramic pipes, conduits, guttering and pipe fittings Unglazed ceramic tiles, other than those of subheading 6907.30 and 6907.40, of H2O absorp coeff by wt &lt;=0.5% Glazed ceramic tiles having &lt;=3229 tiles per m2, surf area in sq w/ side &lt;7cm, H2O absorp coeff by wt &lt;=0.5% Glazed ceramic tiles having surface area &lt;38.7cm2, surf area in sq w/ side &lt;7cm, of H2O absorp coeff by wt &lt;=0.5% Glazed ceramic tiles having surface area &gt;=38.7cm2, surf area in sq w/ side &lt;7cm, of a H2O absorp coeff by wt &lt;=0.5% Glazed ceramic tiles nesoi, of a H2O absorp coeff by wt &lt;=0.5% Unglazed ceramic tiles, other than those of subheading 6907.30 and</w:t>
      </w:r>
    </w:p>
    <w:p>
      <w:pPr>
        <w:pStyle w:val="Normal"/>
      </w:pPr>
      <w:r>
        <w:t>6907.40, of H2O absorp coeff by wt exceeding 0.5% but not exceeding 10% Glazed ceramic tiles having &lt;=3229 tiles per m2, surf area in sq w/ side &lt;7cm, H2O absorp coeff by wt exceeding 0.5% but not exceeding 10% Glazed ceramic tiles having surface area &lt;38.7cm2, surf area in sq w/ side &lt;7cm, of H2O absorp coeff by wt exceeding 0.5% but not exceeding 10% Glazed ceramic tiles having surface area &gt;=38.7cm2, surf area in sq w/ side &lt;7cm, of a H2O absorp coeff by wt exceeding 0.5% but not exceeding 10% Glazed ceramic</w:t>
      </w:r>
    </w:p>
    <w:p>
      <w:pPr>
        <w:pStyle w:val="Normal"/>
      </w:pPr>
      <w:r>
        <w:t>tiles nesoi, of a H2O absorp coeff by wt exceeding 0.5% but not exceeding 10% Unglazed ceramic tiles, other than those of subheading 6907.30 and 6907.40, of H2O absorp coeff by wt &gt;10% Glazed ceramic tiles having &lt;=3229 tiles per m2, surf area in sq w/ side &lt;7cm, H2O absorp coeff by wt &gt;10% Glazed ceramic tiles having surface area &lt;38.7cm2, surf area in sq w/ side &lt;7cm, of H2O absorp coeff by wt &gt;10% Glazed ceramic tiles having surface area &gt;=38.7cm2, surf area in sq w/ side &lt;7cm, of a H2O absorp coeff by wt &gt;10% Glazed ceramic tiles nesoi, of a H2O absorp coeff by wt &gt;10% Unglazed ceramic mosaic cubes, o/t subheading 6907.40 Glazed ceramic mosaic cubes having &lt;=3229 tiles per m2, surf area in sq w/ side &lt;7cm Glazed ceramic mosaic cubes having surface area &lt;38.7cm2, surf area in sq w/ side &lt;7cm Glazed ceramic mosaic cubes having surface area &gt;=38.7cm2, surf area in sq w/ side &lt;7cm Glazed ceramic mosaic cubes nesoi, o/t subheading</w:t>
      </w:r>
    </w:p>
    <w:p>
      <w:pPr>
        <w:pStyle w:val="Normal"/>
      </w:pPr>
      <w:r>
        <w:t>6907.40 Unglazed finishing ceramics Glazed finishing ceramics having &lt;=3229 tiles per m2, surf area in sq w/ side &lt;7cm Glazed finishing ceramics having surface area &lt;38.7cm2, surf area in sq w/ side &lt;7cm Glazed finishing ceramics having surface area &gt;=38.7cm2, surf area in sq w/ side &lt;7cm Glazed finishing ceramics nesoi Porcelain or china ceramic machinery parts Porcelain or china ceramic wares for laboratory, chemical or other technical uses (other than machinery parts), nesoi Ceramic wares (o/than of porcelain or china) for laboratory,</w:t>
      </w:r>
    </w:p>
    <w:p>
      <w:pPr>
        <w:pStyle w:val="Normal"/>
      </w:pPr>
      <w:r>
        <w:t>chemical or technical uses, w/hardness equivalent to 9 or more on Mohs scale Ceramic ferrite core memories Ceramic wares for laboratory, chemical or other technical uses (o/than of porcelain or china), nesoi Ceramic troughs, tubes &amp; siml. receptacles for agriculture; ceramic pots, jars, &amp; siml. arts. for conveyance or packing of goods Porcelain or china ceramic sinks, washbasins, baths, bidets, water closet bowls, urinals &amp; siml. sanitary fixtures Ceramic (o/than porcelain or china) sinks, washbasins, baths, bidets, water closet bowls, urinals &amp; siml. sanitary fixtures Porcelain or china hotel, restaurant &amp; nonhousehold table and kitchenware Bone china household table &amp; kitchenware valued n/o $31.50/doz. pcs. Bone china household table &amp; kitchenware valued o/$31.50/doz. pcs. Porcelain or china (o/than bone china) househld tabl. &amp; kitch.ware in sets in which aggregate val. of arts./US note 6(b) n/o $56 Porcelain or china (o/than bone china) househld tabl. &amp; kitch.ware in sets in which aggregate val. of arts./US note 6(b) o/$56 n/o $200 Porcelain or china (o/than bone china) househld tabl. &amp; kitch.ware in sets in which aggregate val. of arts./US note 6(b) o/$200 Porcelain or china (o/than bone china) hsehld steins w/pewter lids, decanters, punch bowls, spoons &amp; rests, salt/pepper sets, etc.</w:t>
      </w:r>
    </w:p>
    <w:p>
      <w:pPr>
        <w:pStyle w:val="Normal"/>
      </w:pPr>
      <w:r>
        <w:t>Porcelain or china (o/than bone china) household mugs and steins w/o attached pewter lids Porcelain or china (o/than bone china) hsehld tabl/kit.ware n/in specif.sets,cups o/$8 but n/o $29/dz, saucers o/$5.25 but n/o $18.75/dz,etc Porcelain or china (o/than bone china) hsehld tabl/kit ware n/in specif. sets, cups o/$29/dz, saucers o/$18.75/dz, bowls o/$33/dz, etc. Porcelain or china (o/than bone china) household serviette rings Porcelain or china (o/than bone china) household tableware &amp; kitchenware, not in specified sets, nesoi Porcelain or china (o/than bone china) household and toilet articles (other than tableware or kitchenware), nesoi Course-grained earthen/stoneware tabl &amp; kitchware; fine-grain earthenware tabl &amp; kitch.ware w/reddish body &amp; lustrous colored/mottled glaze Ceramic (o/than porcelain or china) hotel, restaurant or nonhousehold tableware and kitchenware Ceramic (o/than porcelain or china) household table and kitchenware, in sets in which aggregate val. of arts./US note 6(b) n/o $38 Ceramic (o/than porcelain or china) household table and kitchenware, in sets in which aggregate val. of arts./US note 6(b) o/$38 Ceramic (o/than porcelain or china) hsehld steins w/pewter lids, decanters, punch bowls, spoons &amp; rests, salt/pepper sets, etc.</w:t>
      </w:r>
    </w:p>
    <w:p>
      <w:pPr>
        <w:pStyle w:val="Normal"/>
      </w:pPr>
      <w:r>
        <w:t>Ceramic (o/than porcelain or china) household mugs and steins w/o attached pewter lids Ceramic (o/than porcelain or china) household tabl/kitch.ware,n/in specif. sets, cups o/$5.25/dz, saucers o/$3/dz, etc.</w:t>
      </w:r>
    </w:p>
    <w:p>
      <w:pPr>
        <w:pStyle w:val="Normal"/>
      </w:pPr>
      <w:r>
        <w:t>Ceramic (o/than porcelain or china) household serviette rings Ceramic (o/than porcelain or china) household tableware and kitchenware, nesoi Ceramic (o/than porcelain or china) household articles and toilet articles (o/than table and kitchenware), nesoi Porcelain or china statues, statuettes &amp; handmade flowers, valued o/$2.50 each, of original work by professional sculptors Bone china statuettes and other ornamental articles, nesoi Porcelain or china (o/than bone china) statuettes and other ornamental articles, nesoi Ceramic (o/than porcelain or china) statues, statuettes, handmade flowers, val. o/$2.50 each, of original work by professional sculptors Ornamental articles of ceramic tile Earthenware ornamental articles, having a reddish-colored body and a lustrous glaze of differing colors Ceramic (o/than porcelain, china or eartherware) ornamental articles, nesoi Porcelain or china ceramic ferrules, n/o 3mm diam or 25mm long, w/fiber channel open. and/or ceramic mating sleeves of Al2O3 or zirconia Porcelain or china arts. (o/than tableware/kitchenware/household &amp; ornament. arts),nesoi Ceramic (o/porcelain or china) ferrules, n/o 3mm or 25mm long, w/fiber channel open. and/or ceramic mating of sleeves of Al2O3 or zirconia Ceramic (o/than porcelain or china) arts. (o/than tableware/kitchenware/household &amp; ornament.</w:t>
      </w:r>
    </w:p>
    <w:p>
      <w:pPr>
        <w:pStyle w:val="Normal"/>
      </w:pPr>
      <w:r>
        <w:t>arts), nesoi Glass in the mass of fused quartz or other fused silica Glass in the mass (other than of fused quartz or other fused silica) Cullet and other waste and scrap of glass Glass in balls (o/than microspheres of heading 7018), unworked, n/o 6mm in diameter Glass in balls (o/than microspheres of heading 7018), unworked, over 6 mm in diameter Glass rods of fused quartz or other fused silica, unworked Glass rods (o/than of fused quartz or other fused silica), unworked Glass tubes of fused quartz or other fused silica, unworked Glass tubes (o/than fused quartz/silica), w/linear coefficient of expansion n/o 5x10-6 per Kelvin in range of 0-300 degrees C, unworked Glass tubes (o/than fused quartz/silica), nesoi, unworked Cast or rolled glass, in nonwired sheets, colored thru the mass, opacified, flashed or w/absorbent,reflect. or non-reflect.layer, not wkd.</w:t>
      </w:r>
    </w:p>
    <w:p>
      <w:pPr>
        <w:pStyle w:val="Normal"/>
      </w:pPr>
      <w:r>
        <w:t>Cast or rolled glass, in nonwired sheets, n/colored thru the mass, opacified, flashed, etc. &amp; not further worked Cast or rolled glass, in wired sheets Cast or rolled glass profiles Drawn or blown glass, in sheets, w/absorbent, reflecting or non-reflecting layer, n/furth. wkd. Drawn or blown glass, in rect. sheets, colored thru the mass, etc., w/o absorbent, reflecting or non-reflect. layer, n/furth wkd Drawn or blown glass, in sheets (o/than rect.), colored thru the mass, opacified, flashed, w/o absorbent, etc. layer, n/furth. wkd. Drawn or blown glass, nesoi, in rectangular sheets, w/thick.</w:t>
      </w:r>
    </w:p>
    <w:p>
      <w:pPr>
        <w:pStyle w:val="Normal"/>
      </w:pPr>
      <w:r>
        <w:t>n/o 1.5 mm &amp; n/o 0.26 m2 in area, n/further wkd. Drawn or blown glass, nesoi, in rectangular sheets, w/thick. n/o 1.5 mm &amp; over 0.26 m2 in area, n/further wkd. Drawn or blown glass, nesoi, in rectangular sheets, w/thick. over 1.5 but n/o 2 mm &amp; n/o 0.26 m2 in area, n/further wkd. Drawn or blown glass, nesoi, in rectangular sheets, w/thick. over 1.5 but n/o 2 mm &amp; over 0.26 m2 in area, n/further wkd. Drawn or blown glass, nesoi, in rectangular sheets, w/thick. over 2 but n/o 3.5 mm, not further wkd. Drawn or blown glass, nesoi, in rectangular sheets, w/thick. over 3.5 mm &amp; n/o 0.65 m2 in area, not further wkd. Drawn or blown glass, nesoi, in rectangular sheets, w/thick. over 3.5 mm &amp; over 0.65 m2 in area, not further wkd. Drawn or blown glass, nesoi, in sheets (other than rectangular), nesoi Surface ground or polished glass, w/absorb. or reflect. layer, n/o 1.2 mm thick &amp; n/o 0.8 M2 in area, suitable for use in LCD’s Float glass &amp; surface ground or polished glass, nonwired, in sheets, w/absorb. or reflect.</w:t>
      </w:r>
    </w:p>
    <w:p>
      <w:pPr>
        <w:pStyle w:val="Normal"/>
      </w:pPr>
      <w:r>
        <w:t>layer, nesoi, not worked Float glass &amp; surface ground or polished glass, nonwired, in sheets, colored thru mass, opacified, flashed, under 10 mm thick, not worked Float glass &amp; surface ground or polished glass, nonwired, in sheets, colored thru mass, opacified, flashed, 10 mm or more thick, not worked Float glass &amp; surface ground or polished glass, in sheets, less than 10 mm thick, w/area n/o 0.65 M2 &amp; for liquid crystal displays Float glass &amp; surface ground or polished glass, nonwired, in sheets, less than 10 mm thick, w/area n/o 0.65 M2 &amp; not for LCD’s Float glass &amp; surface ground or polished glass, in sheets, less than 10 mm thick, w/area o/0.65 M2 &amp; for liquid crystal displays Float glass &amp; surface ground or polished glass, nonwired, in sheets, less than 10 mm thick, w/area over 0.65 M2 &amp; not for LCD’s Float glass &amp; surface ground or polished glass, nonwired, in sheets, 10 mm or more in thickness Float glass &amp; surface ground or polished glass, wired,</w:t>
      </w:r>
    </w:p>
    <w:p>
      <w:pPr>
        <w:pStyle w:val="Normal"/>
      </w:pPr>
      <w:r>
        <w:t>in sheets Glass of heading 7003-7005 in strips n/o 15.2 cm wide &amp; o/2 mm thick, w/longitudinal edges ground or smoothed Drawn or blown glass, not containing wire netting &amp; not surface ground or polished, but bent, edged or otherwise worked but not framed Glass of heading 7003-7005, bent, edgeworked, engraved, drilled, enameled or otherwise worked, but not framed or fitted, nesoi Toughened (tempered) safety glass, of size and shape suitable for incorporation in vehicles, aircraft, spacecraft or vessels Toughened (tempered)</w:t>
      </w:r>
    </w:p>
    <w:p>
      <w:pPr>
        <w:pStyle w:val="Normal"/>
      </w:pPr>
      <w:r>
        <w:t>safety glass, not of size or shape suitable for incorporation in vehicles, aircraft, spacecraft or vessels Laminated safety glass, windshields, of size and shape suitable for incorporation in vehicles, aircraft, spacecraft or vessels Laminated safety glass (o/than windshields), of size and shape suitable for incorporation in vehicles, aircraft, spacecraft or vessels Laminated safety glass, not of size or shape suitable for incorporation in vehicles, aircraft, spacecraft or vessels Glass multiple-walled insulating units Glass rearview mirrors for vehicles Glass mirrors (o/than rearview mirrors), unframed, n/o 929 cm2 in reflecting area Glass mirrors (o/than rearview mirrors), unframed, over 929 cm2 in reflecting area Glass mirrors (o/than rearview mirrors), framed, n/o 929 cm2 in reflecting area Glass mirrors (o/than rearview mirrors), framed, over 929 cm2 in reflecting area Glass ampoules used for the conveyance or packing of goods Glass stoppers, lids and other closures produced by automatic machine Glass stoppers, lids and other closures not produced by automatic machine Glass serum bottles, vials and other pharmaceutical containers Glass containers for conveyance/packing perfume/toilet preps</w:t>
      </w:r>
    </w:p>
    <w:p>
      <w:pPr>
        <w:pStyle w:val="Normal"/>
      </w:pPr>
      <w:r>
        <w:t>&amp; containers with/designed for ground glass stopper, made by automatic machine Glass containers for convey/pack perfume/toilet preps &amp; containers with/designed for ground glass stopper, not made by automatic machine Glass carboys, bottles, jars, pots, flasks, &amp; other containers for</w:t>
      </w:r>
    </w:p>
    <w:p>
      <w:pPr>
        <w:pStyle w:val="Normal"/>
      </w:pPr>
      <w:r>
        <w:t>conveyance/packing of goods (w/wo closures) &amp; preserving jars, nesoi Glass bulbs (w/o fittings) for electric incandescent lamps Glass envelopes, open, &amp; glass parts thereof, for electric lighting (other than bulbs for incandescent lamps), without fittings Glass cones (w/o fittings) for cathode-ray tubes Monochrome glass envelopes (open &amp; w/o fittings), certified by importer for actual use in computer or graphic display CRTs Glass envelopes (open &amp; w/o fittings) &amp; glass parts thereof, nesoi, for cathode-ray tubes Glass envelopes (open &amp; w/o fittings) &amp; glass parts thereof (o/than for electric lighting or cathode-ray tubes Transparent glass-ceramic kitchenware 75% by vol. crystallilne, of lithium aluminosilicate, w/low lin.</w:t>
      </w:r>
    </w:p>
    <w:p>
      <w:pPr>
        <w:pStyle w:val="Normal"/>
      </w:pPr>
      <w:r>
        <w:t>coefficient of expansion Glass-ceramic ware of a kind used for household, office, indoor decoration or similar purposes, nesoi Stemware drinking glasses of lead crystal, valued n/over $1 each Stemware drinking glasses of lead crystal, valued o/$1 but n/over $3 each Stemware drinking glasses of lead crystal, valued o/$3 but n/over $5 each Stemware drinking glasses of lead crystal, valued over $5 each Stemware of pressed and toughened (specially tempered) glass, o/than lead crystal Stemware, o/than of pressed and toughened glass, o/than lead crystal, valued n/over $0.30 each Stemware, o/than of pressed and toughened glass, o/than lead crystal, valued o/$0.30 but n/over $3 each Stemware, o/than of pressed and toughened glass, o/than lead crystal, cut or</w:t>
      </w:r>
    </w:p>
    <w:p>
      <w:pPr>
        <w:pStyle w:val="Normal"/>
      </w:pPr>
      <w:r>
        <w:t>engraved, valued o/$3 but n/over $5 each Stemware, o/than of pressed and toughened glass, o/than lead crystal, cut or engraved, valued over $5 each Stemware, o/than of pressed and toughened glass, o/than lead crystal, not cut or engraved, valued o/$3 but n/over $5 each Stemware, o/than of pressed and toughened glass, o/than lead crystal, not cut or engraved, valued over $5 each Drinking glasses, nesoi, of lead crystal, valued n/over $1 each Drinking glasses, nesoi, of lead crystal, valued o/$1 but n/over $3 each Drinking glasses, nesoi, of lead crystal, valued o/$3 but n/over $5 each Drinking glasses, nesoi, of lead crystal, valued over $5 each Drinking glasses, nesoi, of pressed and toughened (specially tempered) glass, o/than lead crystal Drinking glasses, nesoi, o/than of pressed and toughened glass, o/than lead crystal, valued n/over $0.30 each Drinking glasses, nesoi, o/than of pressed and toughened glass, o/than lead crystal, valued o/$0.30 but n/over $3 each Drinking glasses, nesoi, o/than of pressed and toughened glass, o/than lead crystal, cut or engraved, valued o/$3</w:t>
      </w:r>
    </w:p>
    <w:p>
      <w:pPr>
        <w:pStyle w:val="Normal"/>
      </w:pPr>
      <w:r>
        <w:t>but n/over $5 each Drinking glasses, nesoi, o/than of pressed and toughened glass, o/than lead crystal, cut or engraved, valued over $5 each Drinking glasses, nesoi, o/than of pressed and toughened glass, o/than lead crystal, not cut or engraved, valued o/$3 but n/over $5 each Drinking glasses, nesoi, o/than of pressed and toughened glass, o/than lead crystal, not cut or engraved, valued over $5 each</w:t>
      </w:r>
    </w:p>
    <w:p>
      <w:pPr>
        <w:pStyle w:val="Normal"/>
      </w:pPr>
      <w:r>
        <w:t>Glassware for table or kitchen purposes (o/than drinking glasses), of lead crystal, valued n/over $1 each Glassware for table or kitchen purposes (o/than drinking glasses), of lead crystal, valued over $1 but n/over $3 each Glassware for table or kitchen purposes (o/than drinking glasses), of lead crystal, valued over $3 but n/over $5 each Glassware for table or kitchen purposes (o/than drinking glasses), of lead crystal, valued over $5 each Glassware for table or kitchen purposes (o/than drinking glasses), of pressed and toughened low coefficient of heat expansion glass Glassware for table or kitchen purposes (o/than drinking glasses), of low coefficient of heat expansion glass, n/o $3 each Glassware for table or kitchen purposes (o/than drinking glasses), of low coefficient of heat expansion glass, over $3 but n/o $5 each Glassware for table or kitchen purposes (o/than drinking glasses), of low coefficient of heat expansion, over $5 each Glassware for table or kitchen purposes (o/than drinking glasses), of pressed and toughened glass, nesoi Glassware for table or kitchen purposes (o/than</w:t>
      </w:r>
    </w:p>
    <w:p>
      <w:pPr>
        <w:pStyle w:val="Normal"/>
      </w:pPr>
      <w:r>
        <w:t>drinking glasses), nesoi, valued n/over $3 each Glassware for table or kitchen purposes (o/than drinking glasses), nesoi, cut or engraved, valued over $3 but n/over $5 each Glassware for table or kitchen purposes (o/than drinking glasses), nesoi, cut or engraved, valued over $5 each Glassware for table or kitchen purposes (o/than drinking glasses), nesoi, n/cut or engraved, valued over $3</w:t>
      </w:r>
    </w:p>
    <w:p>
      <w:pPr>
        <w:pStyle w:val="Normal"/>
      </w:pPr>
      <w:r>
        <w:t>but n/o $5 each Glassware for table or kitchen purposes (o/than drinking glasses), nesoi, n/cut or engraved, valued over $5 each Glassware for toilet/office/indoor decor. &amp; similar purposes, of lead crystal, valued n/over $1 each Glassware for toilet/office/indoor decor. &amp; similar purposes, of lead crystal, valued over $1 but n/over $3 each Glassware for toilet/office/indoor decor. &amp; similar purposes, of lead crystal, valued over $3 but n/over $5 each Glassware for toilet/office/indoor decor. &amp; similar purposes, of lead crystal, valued over $5 each Glassware, nesoi, decorated/colored within the body prior to solidification; millefiori glassware; glassware colored &amp; w/bubbles etc Glassware for toilet/office/indoor decor. &amp; similar purposes, of pressed and toughened (specially tempered) glass Smokers’ articles of glass, nesoi; perfume bottles of glass fitted with ground glass stoppersk, nesoi Votive-candle holders of glass, nesoi Glassware for toilet/office/indoor decor. or similar purposes, nesoi, valued n/over $0.30 each Glassware for toilet/office/indoor decor. or similar purposes, nesoi, valued over $0.30 but n/over $3 each Glassware for toilet/office/indoor decor. or similar purposes, nesoi, cut or engraved, valued over $3 but n/over $5 each Glassware for toilet/office/indoor decor. or similar purposes, nesoi, cut or engraved, valued over $5 each Glassware for toilet/office/indoor decor.</w:t>
      </w:r>
    </w:p>
    <w:p>
      <w:pPr>
        <w:pStyle w:val="Normal"/>
      </w:pPr>
      <w:r>
        <w:t>or similar purposes, nesoi, n/cut or engraved, valued over $3 but n/over $5 each Glassware for toilet/office/indoor decor. or similar purposes, nesoi, n/cut or engraved, valued over $5 each Glass lens blanks (other than for spectacles), not optically worked Glass optical elements (other than lens blanks), not optically worked Glass lenses and filters (other than optical elements) and parts thereof, for signaling purposes, not optically worked Signaling glassware, nesoi, not optically worked Glasses, curved, bent, hollowed, or the like (but not optically worked), for corrective spectacles Watch glasses, round Watch glasses, not round Clock glasses; glasses curved, bent, hollowed, etc. for noncorrective spectacles; hollow spheres &amp; segments for glasses; all n/opt. wkd. Glass cubes and other glass smallwares, whether or not on a backing, for mosaics or similar decorative purposes Paving blocks, slabs, bricks, squares, tiles &amp; other arts.</w:t>
      </w:r>
    </w:p>
    <w:p>
      <w:pPr>
        <w:pStyle w:val="Normal"/>
      </w:pPr>
      <w:r>
        <w:t>of pressed or molded glass, for building or construction purposes Leaded glass windows &amp; the like; multicellular or foam glass in blocks, panels, plates, shells or similar forms Fused quartz reactor tubes and holders designed for insertion into diffusion and oxidation furnaces for semiconductor wafer production Laboratory, hygienic or pharmaceutical glassware, whether or not calibrated or graduated, of fused quartz or other fused silica, nesoi Laboratory, hygienic or pharmaceutical glassware, whether or not calibrated or graduated, of glass w/low coefficient of heat expansion Glass microscope slides and micro cover glasses Laboratory, hygienic or pharmaceutical glassware, whether or not calibrated, nesoi, of glass, nesoi Glass imitation pearls and pearl beads of all shapes and colors, whether or not drilled, not strung and not set Glass imitation precious or semiprecious stones (except beads) Glass beads (o/than imitat.</w:t>
      </w:r>
    </w:p>
    <w:p>
      <w:pPr>
        <w:pStyle w:val="Normal"/>
      </w:pPr>
      <w:r>
        <w:t>pearls) &amp; similar glass smallwares, nesoi Glass microspheres not exceeding 1 mm in diameter Glass eyes, except prosthetic articles Articles (o/than imitation jewellry) of glass beads, pearls and imitation stones and statuettes &amp; ornaments of lamp-worked glass Glass fiber chopped strands of a length not more than 50 mm Glass fiber rovings Fiberglass rubber reinforcing yarn,not color,of electrically nonconductive continuous filament 9 to 11 microns diam &amp; impreg for adhesion to Glass fiber yarns, not colored, other than fiberglass rubber reinforcing yarn Fiberglass rubber reinforce yarn,color,of electrically nonconduct. continuous filament 9 to 11 microns diam &amp; impreg for adhesion to polym. Glass fiber yarns, colored, other than fiberglass rubber reinforcing yarn Glass fiber chopped strands of a length more than 50 mm Fiberglass rubber reinforce cord,of electrically nonconduct. contin. filament 9 to 11 microns diam &amp; impreg for adhesion to polymeric comp. Glass fiber slivers Nonwoven glass fiber mats Nonwoven glass fiber in thin sheets (voiles) Nonwoven glass wool insulation products Nonwoven glass fiber webs, mattresses, boards and similar articles of nonwoven glass fibers, nesoi Woven fiberglass tire cord fabric of rovings,n/o 30 cm wide,of elect. nonconductive cont.</w:t>
      </w:r>
    </w:p>
    <w:p>
      <w:pPr>
        <w:pStyle w:val="Normal"/>
      </w:pPr>
      <w:r>
        <w:t>filament 9-11 micron diam &amp; impreg for adhesion Woven glass fiber fabric of rovings, n/o 30 cm in width, other than fiberglass tire cord fabric Woven fiberglass tire cord fabric of roving,o/30 cm wide,n/color, of elect. nonconduct. contin. fil.</w:t>
      </w:r>
    </w:p>
    <w:p>
      <w:pPr>
        <w:pStyle w:val="Normal"/>
      </w:pPr>
      <w:r>
        <w:t>9-11 micron diam &amp; impreg for adhesion Woven glass fiber fabric of rovings, o/30 cm wide, not colored, other than fiberglass tire cord fabric Woven fiberglass tire cord fabric of roving,o/30 cm wide,color,of elect nonconduct. cont. filament 9-11 micron diam &amp; impreg for adhesion Woven glass fiber fabrics of rovings, o/30 cm wide, colored, other than fiberglass tire cord fabric Woven fiberglass tire cord fabric,n/roving,n/o 30 cm wide,of electrical nonconduct. contin. filament 9-11 micron diam &amp; impreg for adhesion Woven glass fiber fabric, not of rovings, n/o 30 cm wide, other than fiberglass tire cord fabric Woven fiberglass tire cord fabric,n/rov,pl.weave,o/30 cm wide &amp; less than 250 g/m2,w/no single yarn o/136 tex,n/colrd,of elect nonconduct Woven glass fiber woven fabric, not colored, not of rovings, plain weave, o/30 cm wide, less than 250 g/m2, w/no single yarn o/136 tex,nesoi Woven fiberglass tire cord fabric,n/rov,color,pl. weave,o/30 cm wide &amp; less thna 250 g/m2,w/no single yarn o/136 tex, of elect nonconduct Woven glass fiber fabric,not colored,not rovings,plain weave,o/30 cm wide &amp; less than 250 g/m2,w/no single yarn not more than 136 tex, nesoi Woven fiberglass tire cord fabric,n/colored,nesoi,o/30 cm wide,of elect.</w:t>
      </w:r>
    </w:p>
    <w:p>
      <w:pPr>
        <w:pStyle w:val="Normal"/>
      </w:pPr>
      <w:r>
        <w:t>noncond contin filament 9-11 micron diam and impreg for adhesion Woven glass fiber woven fabrics, not colored, nesoi, o/30 cm wide, nesoi Woven fiberglass tire cord fabric,colored,nesoi,o/30 cm wide,of elect.</w:t>
      </w:r>
    </w:p>
    <w:p>
      <w:pPr>
        <w:pStyle w:val="Normal"/>
      </w:pPr>
      <w:r>
        <w:t>nonconduct contin filaments 9-11 micron diam &amp; impreg for adhesion Woven glass fiber woven fabrics, colored, nesoi, o/30 cm wide, nesoi Woven glass fiber articles (other than fabrics), nesoi Glass fibers (including glass wool), nesoi, and articles thereof, nesoi Quartz reactor tubes and holders designed for insertion into diffusion and oxidation furnaces for semiconductor wafer production, nesoi Glass inners for vacuum flasks or for other vacuum vessels Articles of glass, not elsewhere specified or included Natural pearls, graded and temporarily strung for convenence of transport Natural pearls, not strung, mounted or set Cultured pearls, unworked Cultured pearls, worked, graded and temporarily strung for convenience of transport Cultured pearls, worked, not strung, mounted or set Diamonds, unsorted, whether or not worked Miners’ diamonds, unworked or simply sawn, cleaved or bruted Industrial diamonds (other than miners’ diamonds), simply sawn, cleaved or bruted Industrial diamonds (other than miners’ diamonds), unworked Industrial diamonds, worked, but not mounted or set Nonindustrial diamonds, unworked or simply sawn, cleaved or bruted Nonindustrial diamonds, worked, but not mounted or set Precious stones (o/than diamonds) &amp; semiprecious stones, unworked Precious</w:t>
      </w:r>
    </w:p>
    <w:p>
      <w:pPr>
        <w:pStyle w:val="Normal"/>
      </w:pPr>
      <w:r>
        <w:t>stones (o/than diamonds) &amp; semiprecious stones, simply sawn or roughly shaped Rubies, sapphires and emeralds, worked, whether or not graded, but n/strung (ex. ungraded temporarily strung), mounted or set Precious or semiprecious stones, nesoi, cut but not set and suitable for use in the manufacture of jewelry Precious or semiprecious stones, nesoi, worked, whether or not graded, but n/strung (ex. ungraded temporarily strung), mtd. or set Piezo-electric quartz Synthetic or reconstructed precious or semiprecious stones, unworked or simply sawn or roughly shaped Synthetic or reconstructed precious or semiprecious stones, cut but not set &amp; suitable for use in the manufacture of jewelry Synth.or reconstruct. precious or semiprecious stones, wkd, whether or not graded, but n/strung (ex.ungraded temp. strung), mtd./set,nesoi Diamond dust and powder Natural or synthetic precious (except diamond) or semiprecious stone dust and powder Silver powder Silver bullion and dore Silver, unwrought (o/than bullion and dore) Silver (incl.</w:t>
      </w:r>
    </w:p>
    <w:p>
      <w:pPr>
        <w:pStyle w:val="Normal"/>
      </w:pPr>
      <w:r>
        <w:t>silver plate w gold/platinum),semimanufacture,rectangular/near rectangular shape,99.5% or &gt; pure,marked only by wgt/identity Silver (including silver plated with gold or platinum), in semimanufactured form, nesoi Base metals clad with silver, not further worked than semimanufactured Gold powder Gold, nonmonetary, bullion and dore Gold, nonmonetary, unwrought (o/than gold bullion and dore) Gold leaf Gold (incl.</w:t>
      </w:r>
    </w:p>
    <w:p>
      <w:pPr>
        <w:pStyle w:val="Normal"/>
      </w:pPr>
      <w:r>
        <w:t>gold plated w platinum),not money,semimanufacture,rectangle/near rectangular shape,99.5% or &gt; pure,marked only by wgt/identity Gold (including gold plated with platinum), nonmonetary, in semimanufactured forms (except gold leaf), nesoi Gold, monetary, in unwrought, semimanufactured or powder form Base metals or silver clad with gold, but not further worked than semimanufactured Platinum, unwrought or in powder form Platinum, in semimanufactured forms Palladium, unwrought or in powder form Palladium, in semimanufactured forms Rhodium, unwrought or in powder form Rhodium, in semimanufactured forms Iridium, osmium and ruthenium, unwrought or in powder form Iridium, osmium and ruthenium, in semimanufactured forms Base metals, silver or gold clad with platinum, not further worked than semimanufactured Ash containing precious metals or precious metal compounds Gold waste and scrap, including metal clad with gold but excluding sweepings containing other precious metals Platinum waste and scrap, including metal clad with platinum but excluding sweepings containing other precious metals Precious metal (other than of gold or platinum) waste and scrap, including metal clad with precious metals, nesoi Silver rope, curb, etc.</w:t>
      </w:r>
    </w:p>
    <w:p>
      <w:pPr>
        <w:pStyle w:val="Normal"/>
      </w:pPr>
      <w:r>
        <w:t>in continuous lengths, whether or not plated/clad with other precious metal, suitable for jewelry manufacture Silver articles of jewelry and parts thereof, nesoi, valued not over $18 per dozen pieces or parts Silver articles of jewelry and parts thereof, nesoi, valued over $18 per dozen pieces or parts Precious metal (o/than silver) rope, curb, etc.</w:t>
      </w:r>
    </w:p>
    <w:p>
      <w:pPr>
        <w:pStyle w:val="Normal"/>
      </w:pPr>
      <w:r>
        <w:t>in continuous lengths, whether or not plated/clad precious metal, for jewelry manufacture Gold rope necklaces and neck chains Gold mixed link necklaces and neck chains Gold necklaces and neck chains (o/than of rope or mixed links) Precious metal (o/than silver) clasps and parts thereof Precious metal (o/than silver) articles of jewelry and parts thereo, whether or not plated or clad with precious metal,nesoi Base metal clad w/precious metal, rope, curb &amp; like articles in continuous lengths, suitable for use in jewelry manufacture Base metal clad w/gold rope necklaces and neck chains Base metal clad w/gold mixed link necklaces and neck chains Base metal clad w/gold necklaces and neck chains, nesoi Base metal clad w/precious metal clasps and parts thereof Base metal clad w/precious metal articles of jewelry and parts thereof, nesoi Knives with handles of silver, whether or not plated or clad with other precious metal Forks with handles of silver, whether or not plated or clad with other precious metal Spoons and ladles with handles of sterling silver Spoons and ladles (o/than w/sterling silver handles) of silver, whether or not</w:t>
      </w:r>
    </w:p>
    <w:p>
      <w:pPr>
        <w:pStyle w:val="Normal"/>
      </w:pPr>
      <w:r>
        <w:t>plated or clad w/other precious metal Sets of two or more knives or forks w/silver handles or spoons and ladles of silver, whether or not clad or plated w/prec.metal Tableware, nesoi, of sterling silver Articles of silver nesoi, for household, table or kitchen use, toilet and sanitary wares, including parts thereof Silversmiths’ wares (other than for household/table/kitchen use &amp; toilet and sanitary wares) of silver, nesoi Precious metal (o/than silver) articles, nesoi, whether or not plated or clad with other precious metal, nesoi Goldsmiths’ or silversmiths’ wares of base metal clad with precious metal Platinum catalysts in the form of wire cloth or grill Precious metal articles, incl.</w:t>
      </w:r>
    </w:p>
    <w:p>
      <w:pPr>
        <w:pStyle w:val="Normal"/>
      </w:pPr>
      <w:r>
        <w:t>metal clad w/precious metal,rectangle/near rectangle shape,99.5%/ or pure,marked only by wgt/identity Gold (including metal clad with gold) articles (o/than jewellry or goldsmiths’ wares), nesoi Silver (including metal clad with silver) articles (o/than jewellry or silversmiths’ wares), nesoi Articles of precious metal (o/than gold or silver), including metal clad with precious metal, nesoi Natural pearl articles Cultured pearl articles Jewelry articles of precious or semiprecious stones, valued not over $40 per piece Jewelry articles of precious or semiprecious stones, valued over $40 per piece Semiprecious stones (except rock crystal), graded and strung temporarily for convenience of transport Semiprecious stone (except rock crystal) figurines Semiprecious stone (except rock crystal)</w:t>
      </w:r>
    </w:p>
    <w:p>
      <w:pPr>
        <w:pStyle w:val="Normal"/>
      </w:pPr>
      <w:r>
        <w:t>articles (other than jewelry and figurines) Precious stone articles,nesoi Cuff links and studs of base metal (whether or not plated w/precious metal) Toy jewelry rope, curb, cable, chain, etc, of base metal (whether or not plated w/prec. metal), val. n/o 8 cents each Rope, curb, cable, chain, etc., of base metal (whether or n/plated w/prec. metal), val. n/over 33 cents/meter for jewelry mfr. Rope, curb, cable, chain, etc., of base metal (whether or n/plated w/prec. metal), val. o/33 cents/meter, for jewelry mfr.</w:t>
      </w:r>
    </w:p>
    <w:p>
      <w:pPr>
        <w:pStyle w:val="Normal"/>
      </w:pPr>
      <w:r>
        <w:t>Religious articles of a devotional character, design. to be carried on the person, of base metal (whether or not plated with precious metal) Toy jewelry (o/than rope, curb, cable, chain, etc.) of base metal, val. not over 8 cents each Imitation jewelry (o/than toy jewelry &amp; rope, curb, cable, chain, etc.), of base metal (wheth. or n/plated w/prec.metal), nesoi Necklaces wholly of plastic shapes on a fiber string, valued not over 30 cents per dozen Rosaries and chaplets of a purely devotional character for personal use, of a material o/than prec. or base metals, nesoi Religious articles of a purely devotional character designed to be carried on the person, nesoi Toy jewelry (except pts.), other than necklaces of plastic shapes, not of base metal, n/o 20 cents/dozen pcs Imitation jewelry nesoi, not of base metal, n/o 20 cents/doz.</w:t>
      </w:r>
    </w:p>
    <w:p>
      <w:pPr>
        <w:pStyle w:val="Normal"/>
      </w:pPr>
      <w:r>
        <w:t>pcs or pts Toy jewelry (except pts.), not of base metal, n/o 8 cents each Imitation jewelry of plastics, nesoi, over 20 cents/dozen pcs or pts Imitation jewelry not of base metal or plastics, nesoi, over 20 cents/dozen pcs or pts Coin (other than gold coin), not being legal tender Coins, nesoi Nonalloy pig iron containing by weight 0.5 percent or less of phosphorus Nonalloy pig iron containing by weight more than 0.5 percent of phosphorus Alloy pig iron in blocks or other primary forms Spiegeleisen in blocks or other primary forms Ferromanganese containing by weight more than 2 percent but not more than 4 percent of carbon Ferromanganese containing by weight more than 4 percent of carbon Ferromanganese containing by weight not more than 1 percent of carbon Ferromanganese containing by weight more than 1 percent but not more than 2 percent of carbon Ferrosilicon containing by weight more than 55% but not more than 80% of silicon and more than 3% of calcium Ferrosilicon containing by weight more</w:t>
      </w:r>
    </w:p>
    <w:p>
      <w:pPr>
        <w:pStyle w:val="Normal"/>
      </w:pPr>
      <w:r>
        <w:t>than 55% but not more than 80% of silicon, nesoi Ferrosilicon containing by weight more than 80% but not more than 90% of silicon Ferrosilicon containing by weight more than 90% of silicon Ferrosilicon containing by weight 55% or less of silicon Ferrosilicon manganese Ferrochromium containing by weight more than 4 percent of carbon Ferrochromium containing by weight more than 3 percent but not more than 4 percent of carbon Ferrochromium containing by weight 3 percent or less of carbon</w:t>
      </w:r>
    </w:p>
    <w:p>
      <w:pPr>
        <w:pStyle w:val="Normal"/>
      </w:pPr>
      <w:r>
        <w:t>Ferrosilicon chromium Ferronickel Ferromolybdenum Ferrotungsten and ferrosilicon tungsten Ferrotitanium and ferrosilicon titanium Ferrovanadium Ferroniobium containing by weight less than 0.02 percent of phosphorus or sulfur or less than 0.4 percent of silicon Ferroniobium, nesoi Ferrozirconium Calcium silicon ferroalloys Ferroalloys nesoi Ferrous products obtained by direct reduction of iron ore Spongy ferrous products, in lumps, pellets or like forms; iron of a minimum purity by weight of 99.94% in lumps, pellets or like forms Cast iron waste and scrap Stainless steel waste and scrap Alloy steel (o/than stainless) waste and scrap Tinned iron or steel waste and scrap Ferrous turnings, shavings, chips, milling wastes, sawdust, fillings, trimmings and stampings, whether or not in bundles Ferrous waste and scrap nesoi Iron or steel remelting scrap ingots Pig iron, spiegeleisen, and iron or steel granules Alloy steel powders Pig iron, spiegeleisen, and iron or steel (o/than alloy steel) powders Iron and nonalloy steel ingots Iron and nonalloy steel in primary forms (o/than ingots) Iron or nonalloy steel semifinished products, w/less than 0.25% carbon, w/rect. cross sect.(incl. sq.), w/width less than twice thickness Iron or nonalloy steel semifinished products, w/less than 0.25% carbon, w/rect. cross sect.</w:t>
      </w:r>
    </w:p>
    <w:p>
      <w:pPr>
        <w:pStyle w:val="Normal"/>
      </w:pPr>
      <w:r>
        <w:t>(exclud. sq.), nesoi Iron or nonalloy steel semifinished products, w/less than 0.25% carbon, o/than w/rect.</w:t>
      </w:r>
    </w:p>
    <w:p>
      <w:pPr>
        <w:pStyle w:val="Normal"/>
      </w:pPr>
      <w:r>
        <w:t>cross section Iron or nonalloy steel semifinished products, w/0.25% or more of carbon Iron/nonalloy steel, width 600mm+, hot-rolled flat-rolled products, w/patterns in relief, in coils, pickled, not clad/plated/coated Iron/nonalloy steel,width 600mm+,hot-rolled flat-rolled product,in coil,w/pattern in relief,w/thick 4.75mm+,not pickld,not clad/plated/coatd Iron/nonalloy steel,width 600mm+,hot-rolled flat-rolled product,in coil,w/pattern in relief,w/thick &lt;4.75mm,not pickld,not clad/plated/coatd Nonalloy hi-strength steel, width 600mm+, hot-rolled flat-rolled products, in coils, w/thick 4.75mm+, pickled, not clad/plated/coated Iron/nonalloy steel, width 600mm+, hot-rolled flat-rolled products, in coils, w/thick 4.7mm or more, pickled, not clad/plated/coated Iron/nonalloy steel, width 600mm+, hot-rolled flat-rolled products, in coils, w/thick 3mm or mor but less 4.75mm, pickled, not clad/plated Iron/nonalloy steel, width 600mm+, hot-rolled flat-rolled products, in coils, w/thick less than 3mm, pickled, not clad/plated/coated Iron/nonalloy steel, width 600mm+, hot-rolled flat-rolled products, in coils, w/thick o/10mm, not pickled/clad/plated/coated Iron/nonalloy steel, width 600mm+, hot-rolled flat-rolled products, in coils, w/thick 4.75mm or more &amp; n/o 10mm, not pickled/clad/plated Iron/nonalloy steel, width 600mm+, hot-rolled flat-rolled products, in coils, w/thick 3mm or more &amp; less 4.75mm, not pickld/clad/plated Iron/nonalloy steel, width 600mm+, hot-rolled flat-rolled</w:t>
      </w:r>
    </w:p>
    <w:p>
      <w:pPr>
        <w:pStyle w:val="Normal"/>
      </w:pPr>
      <w:r>
        <w:t>products, in coils, w/thick less than 3mm, not pickled/clad/plated/coated Iron/nonalloy steel, width 600mm+, hot-rolled flat-rolled products, w/pattern in relief,not coils,w/thick 4.75 or more, n/clad/plated/coated Iron/nonalloy steel, width 600mm+, hot-rolled flat-rolled products, w/pattern in relief,not coils,w/thick &lt; 4.75mm, not clad/plated/coated Iron/nonalloy steel, width 600mm+, hot-rolled flat-rolled products, nesoi, not in coils, w/thick o/10mm, not clad/plated/coated Iron/nonalloy steel, width 600mm+, hot-rolled flat-rolled products, neosi, not in coils, w/thick 4.75mm+ but n/o 10mm, not clad/plated/ Iron/nonalloy steel, width 600mm+, hot-rolled flat-rolled products, neosi, not in coils, w/thick 3mm+ but &lt; 4.75mm, not clad/plated/coated Iron/nonalloy steel, width 600mm+, hot-rolled flat-rolled products, neosi, not in coils, w/thick less than 3mm, not clad/plated/coated Iron/nonalloy steel, width 600mm+, hot-rolled flat-rolled products, nesoi, not clad/plated/coated Iron/nonalloy steel, width 600mm+, cold-rolled flat-rolled products, in coils, w/thick 3mm+, not clad/plated/coated Iron/nonalloy steel, width 600mm+, cold-rolled flat-rolled products, in coils, w/thick o/1mm but less than 3mm, not clad/plated/coated Iron/nonalloy steel, width 600mm+, cold-rolled flat-rolled products, in coils, w/thick 0.5mm or more but n/o 1mm, not clad/plated/coated Nonalloy hi-strength steel, width 600mm+, cold-rolled flat-rolled products, in coils, w/thick less than 0.5mm, not</w:t>
      </w:r>
    </w:p>
    <w:p>
      <w:pPr>
        <w:pStyle w:val="Normal"/>
      </w:pPr>
      <w:r>
        <w:t>clad/plated/coated Nonalloy steel(blackplate), width 600mm+, cold-rolled flat-rolled products, in coils, w/thick less than 0.361mm, not clad/plated/coated Iron/nonalloy steel, width 600mm+, cold-rolled flat-rolled products, in coils, w/thick 0.361mm+ but less 5mm, not clad/plated/coated Iron/nonalloy steel, width 600mm+, cold-rolled flat-rolled products, not in coils, w/thick 3mm or more, not clad/plated/coated Iron/nonalloy steel, width 600mm+, cold-rolled flat-rolled products, not in coils, w/thick o/1mm but less than 3mm, not clad/plated/coated Iron/nonalloy steel, width 600mm+, cold-rolled flat-rolled products, not in coils, w/thick 0.5mm+ but n/o 1mm, not clad/plated/coated Iron/nonalloy steel, width 600mm+, cold-rolled flat-rolled products, not in coils, w/thick less than 0.5mm, not clad/plated/coated Iron/nonalloy steel, width 600mm+, flat-rolled products further worked than cold- rolled, not clad/plated/coated, nesoi Iron/nonalloy steel, width 600mm+, flat-rolled products, plated or coated with tin, w/thick.</w:t>
      </w:r>
    </w:p>
    <w:p>
      <w:pPr>
        <w:pStyle w:val="Normal"/>
      </w:pPr>
      <w:r>
        <w:t>0.5 mm or more Iron/nonalloy steel, width 600mm+, flat-rolled products, plated or coated with tin, less than 0.5 mm thick Iron/nonalloy steel, width 600mm+, flat-rolled products, plated or coated with lead, including terneplate Iron/nonalloy steel, width 600mm+, flat-rolled products, electrolytically plated or coated with zinc Iron/nonalloy steel, width 600mm+, flat-rolled products, plated or coated with zinc (other than electrolytically), corrugated Iron/nonalloy steel, width 600mm+, flat-rolled products, plated or coated with zinc (other than electrolytically), not corrugated Iron/nonalloy steel, width 600mm+, flat-rolled products, plated or coated with chromium oxides or with chromium and chromium oxides Iron/nonalloy steel, width 600mm+, flat-rolled products, plated or coated with aluminum-zinc alloys Iron/nonalloy steel, width 600mm+, flat-rolled products, plated or coated with aluminum o/than aluminum-zinc alloy Iron/nonalloy steel, width 600mm+, flat-rolled products, painted/varnished or coated w/plastic but not plated/coated or clad w/metal Iron/nonalloy steel, width 600mm+, flat-rolled products, painted/varnished or coated w/plastic, nesoi Iron/nonalloy steel, width 600mm+, flat-rolled products, clad Iron/nonalloy steel, width 600mm+, flat-rolled products, electrolytically coated or plated with base metal, nesoi Iron/nonalloy steel, width 600mm+, flat-rolled products, plated or coated, nesoi Iron/nonalloy steel, width less th/600mm, hot-rolled flat-rolled universal</w:t>
      </w:r>
    </w:p>
    <w:p>
      <w:pPr>
        <w:pStyle w:val="Normal"/>
      </w:pPr>
      <w:r>
        <w:t>mill plate, not clad/plated/coated Iron/nonalloy steel, width less th/600mm, hot-rolled flat-rolled products, nesoi, w/thick of 4.75mm or more, not clad/plated/coated Nonalloy hi-strength steel, width less th/300mm, hot-rolled flat-rolled products, not clad/plated/coated Iron/nonalloy steel, neosi, width less th/300mm, hot-rolled flat-rolled products, w/thick o/1.25 mm but n/o 4.75 mm, n/clad/plated/coated Iron/nonalloy steel, neosi, width less th/300mm, hot-rolled flat-rolled products, w/thick 1.25mm or less, not clad/plated/coated Nonalloy hi-strength steel, width 300mm+ but less th/600mm, hot-rolled flat-rolled products, not clad/plated/coated Iron/nonalloy steel, neosi, width 300mm+ but less th/600mm, hot-rolled flat-rolled products, pickled, not clad/plated/coated Iron/nonalloy steel, neosi, width 300mm+ but less th/600mm, hot-rolled flat-rolled products, not pickled, not clad/plated/coated Nonalloy hi-strength steel, width less th/300mm, cold-rolled flat-rolled, &lt;0.25% carbon, w/thick o/1.25mm, not clad/plated/coated Iron/nonalloy steel, nesoi, width less th/300mm, cold-rolled flat-rolled, &lt;0.25% carbon, w/thick o/1.25mm, not clad/plated/coated Iron/nonalloy steel, nesoi, width less th/300mm, cold-rolled flat-rolled, &lt;0.25% carbon, w/thick o/0.25mm n/o 1.25mm, not clad/plated Iron/nonalloy steel, nesoi, width less th/300mm, cold-rolled flat-rolled, &lt;0.25% carbon, w/thick n/o 0.25mm, not clad/plated/coated Iron/nonalloy steel, nesoi, width 300mm+ but less th/600mm,</w:t>
      </w:r>
    </w:p>
    <w:p>
      <w:pPr>
        <w:pStyle w:val="Normal"/>
      </w:pPr>
      <w:r>
        <w:t>cold-rolled flat-rolled, &lt;0.25% carbon, not clad/plated/coated Iron/nonalloy steel, width less th/300mm, cold-rolled flat-rolled, w/0.25% or more carbon,w/thick o/0.25mm, not clad/plated/coated Iron/nonalloy steel, width less th/300mm, cold-rolled flat-rolled, w/0.25% or more carbon,w/thick 0.25mm or less, not clad/plated/coated Iron/nonalloy steel, width 300mm+ but less th/600mm, cold-rolled flat-rolled, w/0.25% or more carbon, not clad/plated/coated Iron/nonalloy steel, width less th/600mm, flat-rolled further worked than cold-rolled, not clad, plated or coated Iron/nonalloy steel, width less th/600mm, flat-rolled products, plated or coated with tin Iron/nonalloy steel, width less th/600mm, flat-rolled products, electrolytically plated or coated with zinc Iron/nonalloy steel, width less th/300mm, flat-rolled products, plated/coated with zinc (other than electrolytically), w/thick o/0.25mm Iron/nonalloy steel, width less th/300mm, flat-rolled products, plated/coated w/zinc (other than electrolytically), w/thick 0.25mm or less Iron/nonalloy steel, width 300+ but less th/600mm, flat-rolled products, plated or coated with zinc (other than electrolytically) Iron/nonalloy steel, width less th/300mm, flat-rolled products, painted, varnished or coated w/plastic Iron/nonalloy steel, width 300+ but less th/600mm, flat-rolled products, painted, varnished or coated w/plastic Iron/nonalloy steel, width less th/600mm, flat-rolled products, plated or coated nesoi Iron/nonalloy steel,</w:t>
      </w:r>
    </w:p>
    <w:p>
      <w:pPr>
        <w:pStyle w:val="Normal"/>
      </w:pPr>
      <w:r>
        <w:t>width less th/600mm, flat-rolled products, clad Iron/nonalloy, concrete reinforcing bars and rods in irregularly wound coils, hot-rolled Free-cutting steel, bars and rods in irregularly wound coils, hot-rolled Iron/nonalloy steel, nesoi, hot-rolled bars &amp; rods in irregularly wound coils, w/cir. x- sect. diam. &lt;14mm, n/tempered/treated/partly mfd Iron/nonalloy steel, nesoi, hot-rolled bars &amp; rods in irregularly wound coils, w/cir. x- sect. diam. &lt;14mm, w/0.6%+ of carbon, nesoi Iron/nonalloy steel, nesoi, hot-rolled bars &amp; rods in irregularly wound coils, w/cir. x- sect. diam. &lt;14mm, w/less th/0.6% carbon, nesoi Iron/nonalloy steel, nesoi, hot-rolled bars &amp; rods, w/cir. x-sect. diam 14+mm or non circ.</w:t>
      </w:r>
    </w:p>
    <w:p>
      <w:pPr>
        <w:pStyle w:val="Normal"/>
      </w:pPr>
      <w:r>
        <w:t>x-sect., in irregularly wound coils, nesoi Iron/nonalloy steel, forged bars and rods, not in coils Iron/nonalloy steel, concrete reinforcing bars and rods, not further worked than hot- rolled, hot-drawn or hot-extruded, n/coils Free-cutting steel, bars and rods, not further worked than hot-rolled, hot-drawn or hot- extruded, n/coils, nesoi Iron/nonalloy steel, bars and rods, not further worked than hot-rolled, hot-drawn or hot- extruded, w/rectangular (o/than square) X-section Iron/nonalloy steel, bars and rods, not further worked than hot-rolled, hot-drawn or hot- extruded, w/non-rectangular X-sect, not in coils Free-cutting steel, bars and rods, not further worked than cold-formed or cold-finished, not in coils Iron/nonalloy steel nesoi, bars and rods, not further wkd.</w:t>
      </w:r>
    </w:p>
    <w:p>
      <w:pPr>
        <w:pStyle w:val="Normal"/>
      </w:pPr>
      <w:r>
        <w:t>than cold-formed or cold- finished, not in coils Iron/nonalloy steel, bars and rods, not cold-formed, plated or coated with metal Iron/nonalloy steel, bars and rods, cold-formed, plated or coated with metal Iron/nonalloy steel, bars and rods, further worked than cold-formed or cold-finished, nesoi Iron/nonalloy steel, U,I or H-sections, not further worked than hot-rolled, hot-drawn or extruded, w/height under 80 mm Iron/nonalloy steel, L-sections, not further worked than hot-rolled, hot-drawn or extruded, w/height under 80 mm Iron/nonalloy steel, T-sections, not further worked than hot-rolled, hot-drawn or extruded, w/height under 80 mm Iron/nonalloy steel, U-sections, not further worked than hot-rolled, hot-drawn or extruded, w/height of 80 mm or more Iron/nonalloy steel, I-sections (standard beams), not further worked than hot-rolled, hot-drawn or extruded, w/height 80 mm or more Iron/nonalloy steel, H-sections, not further worked than hot-rolled, hot-drawn or extruded, w/height 80 mm or more Iron/nonalloy steel, L or T-sections, not further worked than hot-rolled, hot-drawn or extruded, w/height 80 mm or more Iron/nonalloy steel, angles, shapes &amp; sections nesoi, not further worked than</w:t>
      </w:r>
    </w:p>
    <w:p>
      <w:pPr>
        <w:pStyle w:val="Normal"/>
      </w:pPr>
      <w:r>
        <w:t>hot- rolled, hot-drawn or extruded Iron/nonalloy steel, angles, shapes &amp; sections nesoi, not further worked than cold- formed or cold-finished, from flat-rolled products Iron/nonalloy steel, angles, shapes &amp; sections nesoi, not further worked than cold- formed or cold-finished, not from</w:t>
      </w:r>
    </w:p>
    <w:p>
      <w:pPr>
        <w:pStyle w:val="Normal"/>
      </w:pPr>
      <w:r>
        <w:t>flat-rolled products Iron/nonalloy steel, angle, shapes &amp; sections nesoi,cold-formed/cold-finished from flat- rolled prod. &amp; furth wkd th/cold-formed/cold-finish Iron/nonalloy steel, angles, shapes &amp; sections nesoi,further wkd.</w:t>
      </w:r>
    </w:p>
    <w:p>
      <w:pPr>
        <w:pStyle w:val="Normal"/>
      </w:pPr>
      <w:r>
        <w:t>than cold-formed or cold-finished and not from flat-rolled products Iron/nonalloy steel, flat wire, &lt;0.25% carbon, not plated or coated, w/thick n/o 0.25 mm Iron/nonalloy steel, flat wire, &lt;0.25% carbon, not plated or coated, w/thick o/0.25mm but n/o 1.25 mm Iron/nonalloy steel, flat wire, &lt;0.25% carbon, not plated or coated, w/thick o/1.25 mm Iron/nonalloy steel, round wire, &lt;0.25% carbon, not plated or coated, w/diameter less than 1.5 mm Iron/nonalloy steel, round wire, &lt;0.25% carbon, not plated or coated, w/diameter of 1.5 mm or more Iron/nonalloy steel, wire (other than flat or round), &lt;0.25% carbon, not plated or coated Iron/nonalloy steel, flat wire, w/0.25% or more carbon, not plated or coated Iron/nonalloy steel, round wire, w/0.25% or more carbon, not plated or coated Iron/nonalloy steel, wire (other than flat or round), w/0.25% or more of carbon, not plated or coated Iron/nonalloy steel, flat wire, plated or coated with zinc Iron/nonalloy steel, round wire, &lt;0.25% carbon, plated or coated with zinc, w/diameter of 1.5 mm or more Iron/nonalloy steel, round wire, w/0.25% or more carbon and/or &lt;1.5mm diam, plated or coated with zinc Iron/nonalloy steel, wire (other than flat or round), &lt;0.25% carbon, plated or coated with zinc Iron/nonalloy</w:t>
      </w:r>
    </w:p>
    <w:p>
      <w:pPr>
        <w:pStyle w:val="Normal"/>
      </w:pPr>
      <w:r>
        <w:t>steel, wire (other than flat or round), w/0.25% or more of carbon, plated or coated with zinc Iron/nonalloy steel, flat wire, plated or coated with base metal other than zinc Iron/nonalloy steel, round wire, &lt;0.25% carbon, plated or coated with base metal other than zinc, w/diam. of 1.5 mm or more Iron/nonalloy steel, round wire, w/0.25% or more carbon and/or &lt;1.5mm diam, plated or coated with base metal other than zinc Iron/nonalloy steel, wire (other than flat or round), &lt;0.25% carbon, plated or coated with base metal other than zinc Iron/nonalloy steel, wire (other than flat or round), w/0.25% or more of carbon, plated or coated with base metal other than zinc Iron/nonalloy steel, wire, coated with plastics Iron/nonalloy steel, wire, plated or coated with materials other than base metals or plastics Stainless steel, ingots and other primary forms Stainless steel, semifinished products of rectangular (other than square) cross-section Stainless steel, semifinished products, other than of rectangular (other than square) cross-section Stainless steel, width 600mm+, hot-rolled flat-rolled products, in coils, w/thickness o/10 mm Stainless steel, width 600mm+, hot-rolled flat-rolled products, in coils, w/thick.</w:t>
      </w:r>
    </w:p>
    <w:p>
      <w:pPr>
        <w:pStyle w:val="Normal"/>
      </w:pPr>
      <w:r>
        <w:t>4.75 mm or more but n/o 10 mm Stainless steel, width 600mm+, hot-rolled flat-rolled products, in coils, w/thick.</w:t>
      </w:r>
    </w:p>
    <w:p>
      <w:pPr>
        <w:pStyle w:val="Normal"/>
      </w:pPr>
      <w:r>
        <w:t>3 mm or more but less than 4.75 mm Stainless steel, width 600mm+, hot-rolled flat-rolled products, in coils, w/thickness less than 3 mm Stainless steel, width 600mm+, hot-rolled flat-rolled products, not in coils, w/thickness o/10 mm Stainless steel, width 600mm+, hot-rolled flat-rolled products, not in coils, w/thick. 4.75 mm or more but n/o 10 mm Stainless steel, width 600mm+, hot-rolled flat-rolled products, not in coils, w/thick.</w:t>
      </w:r>
    </w:p>
    <w:p>
      <w:pPr>
        <w:pStyle w:val="Normal"/>
      </w:pPr>
      <w:r>
        <w:t>3 mm or more but less than 4.75 mm Stainless steel, width 600mm+, hot-rolled flat-rolled products, not in coils, w/thickness less than 3 mm Stainless steel, width 600mm+, cold-rolled flat-rolled products, w/thickness of 4.75 mm or more Stainless steel, width 600mm+, cold-rolled flat-rolled products, w/thickness of 3 mm or more but less than 4.75 mm Stainless steel, width 600mm+, cold-rolled flat-rolled products, w/thickness o/1 mm but less than 3 mm Stainless steel, width 600mm+, cold-rolled flat-rolled products, w/thickness of 0.5 mm or more but n/o 1 mm Stainless steel, width 600mm+, cold-rolled flat-rolled products, w/thickness of less than 0.5 mm Stainless steel, width 600mm+, flat-rolled products, nesoi, further worked than cold- rolled Stainless steel, width less th/600mm, hot-rolled flat-rolled products, w/thickness of 4.75 mm or more Stainless steel, width 300m+ but less th/600mm, hot-rolled flat-rolled products, w/thickness of less than 4.75 mm Stainless steel, width less th/300mm, hot-rolled flat-rolled products, w/thickness of less</w:t>
      </w:r>
    </w:p>
    <w:p>
      <w:pPr>
        <w:pStyle w:val="Normal"/>
      </w:pPr>
      <w:r>
        <w:t>than 4.75 mm Stainless steel, width 300+ but less th/600mm, cold-rolled flat-rolled products Stainless steel, width less th/300mm, cold-rolled flat-rolled products, w/thickness o/1.25 mm Stainless steel, width less th/300mm, cold-rolled flat-rolled products, w/ thickness of 0.25 mm but n/o 1.25 mm Stainless razor blade steel, width less th/300mm, cold-rolled flat-rolled, w/thickness n/o 0.25 mm Stainless steel (o/than razor blade steel), width less th/300mm, cold-rolled flat-rolled products, w/thickness n/o 0.25 mm Stainless steel, width less th/600mm, flat-rolled products further worked than cold- rolled Stainless steel, bars and rods in irregularly wound coils, hot-rolled Stainless steel, bars and rods, hot-rolled, hot-drawn or extruded, of circular cross- section Stainless steel, bars and rods, hot-rolled, hot-drawn or extruded, other than of circular cross-section Stainless steel, bars and rods, not further worked than cold-formed or cold-finished, nesoi Stainless steel, bars and rods, further worked than cold-formed or cold-finished, nesoi Stainless steel, angles, shapes &amp; sections, hot-rolled, not drilled/punched or otherwise advanced Stainless steel, angles, shapes &amp; sections, other than hot-rolled and not drilled/punched or otherwise</w:t>
      </w:r>
    </w:p>
    <w:p>
      <w:pPr>
        <w:pStyle w:val="Normal"/>
      </w:pPr>
      <w:r>
        <w:t>advanced Stainless steel, round wire Stainless steel, flat wire Stainless steel, wire (other than round or flat wire) Alloy (o/than stainless) steel, ingots and other primary forms Alloy (o/than stainless) steel, semifinished products</w:t>
      </w:r>
    </w:p>
    <w:p>
      <w:pPr>
        <w:pStyle w:val="Normal"/>
      </w:pPr>
      <w:r>
        <w:t>Alloy silicon electrical steel (grain-oriented), width 600mm+, flat-rolled products Alloy silicon electrical steel (other than grain-oriented), width 600mm+, flat-rolled products Alloy tool steel, width 600mm+, hot-rolled flat-rolled products, in coils, w/thick. of 4.75 mm or more Alloy (o/th stainless, silicon elect., hi-speed, or tool) steel, width 600mm+, hot-rolled flat-rolled products, in coils, w/thick 4.75mm+ Alloy tool steel, width 600mm+, hot-rolled flat-rolled products, in coils, w/thick. of less than 4.75 mm Alloy (o/th stainless, silicon elect., hi-speed, or tool) steel, width 600mm+, hot-rolled flat-rolled prod., in coils, w/thick less 4.75mm Alloy tool steel, width 600mm+, hot-rolled flat-rolled products, n/coils, w/thick. of 4.75 mm or more Alloy (o/th stainless, silicon elect., hi-speed, or tool) steel, width 600mm+, hot-rolled flat-rolled products, n/coils, w/thick 4.75mm+ Alloy tool steel, width 600mm+, hot-rolled flat-rolled products, n/coils, w/thick.</w:t>
      </w:r>
    </w:p>
    <w:p>
      <w:pPr>
        <w:pStyle w:val="Normal"/>
      </w:pPr>
      <w:r>
        <w:t>of less than 4.75 mm Alloy (o/th stainless, silicon elect., hi-speed, or tool) steel, width 600mm+, hot-rolled flat-rolled prod., n/coils, w/thick less 4.75mm Alloy tool steel, width 600mm+, cold-rolled flat-rolled products Alloy steel (o/ than tool), width 600mm+, cold-rolled flat-rolled products, w/thickness 4.75 mm or more Alloy heat-resisting steel, width 600mm+, cold-rolled flat-rolled products, w/thickness less than 4.75 mm Alloy steel (o/th heat-resisting), width 600mm+, cold-rolled flat-rolled products, w/thickness less than 4.75 mm Alloy steel, width 600mm+, flat-rolled products further worked than cold-rolled, electrolytically plated or coated with zinc Alloy steel, width 600mm+, flat-rolled products further worked than cold-rolled, plated or coated with zinc (o/than electrolytically) Alloy steel, width 600mm+, flat-rolled products further worked than cold-rolled, nesoi Alloy silicon electrical steel (grain-oriented), width 300mm+ but less th/600mm, flat- rolled products Alloy silicon electrical steel (grain-oriented), width less th/300mm, flat-rolled products Alloy silicon electrical steel (o/than grain-oriented), width 300mm+ but less th/600mm, flat-rolled products Alloy silicon electrical steel (o/than grain-oriented), width less th/300mm, flat-rolled products Alloy high-speed steel, width less th/600mm, flat-rolled products of high-speed steel Alloy chipper knife tool steel (o/than hi-speed), width less th/600mm, hot-rolled flat- rolled products Alloy tool</w:t>
      </w:r>
    </w:p>
    <w:p>
      <w:pPr>
        <w:pStyle w:val="Normal"/>
      </w:pPr>
      <w:r>
        <w:t>steel (o/than hi-speed/chipper knife), width 300mm+ but less th/600mm, hot- rolled flat-rolled products Alloy tool steel (o/than hi-speed/chipper knife), width less th/300mm, hot-rolled flat- rolled products Alloy steel (o/than silicon elect./tool), width less th/600mm, hot-rolled flat-rolled products, w/thickness of 4.75 mm or more Alloy steel (o/than silicon elect./tool), width 300mm+ but less th/600mm, hot-rolled flat-rolled products, w/thickness less than 4.75 mm Alloy steel (o/than silicon elect./tool), width less th/300mm, hot-rolled flat-rolled products, w/thickness less than 4.75 mm Alloy tool steel (o/than hi-speed), width 300mm+ but less th/600mm, cold-rolled flat- rolled products Alloy tool steel (o/than hi-speed), width less th/300mm, cold-rolled flat-rolled products Alloy steel (o/than tool), width 300mm+ but less th/600mm, cold-rolled flat-rolled products Alloy steel (o/than tool), width less th/300mm, cold-rolled flat-rolled products, w/thickness n/o 0.25 mm Alloy steel (o/than tool), width less th/300mm, cold-rolled flat-rolled products, w/thickness o/0.25 mm Alloy steel, width less than 600mm, flat-rolled products further worked than cold- rolled, nesoi Alloy high-speed steel, bars and rods in irregularly wound coils, hmot-rolled Alloy silico-manganese steel, bars and rods in irregularly wound coils, hot-rolled Alloy tool steel (o/than hi-speed), bars &amp; rods in irregular wound coils, hot-rolled, n/tempered, treated or partly manufactured Alloy tool steel</w:t>
      </w:r>
    </w:p>
    <w:p>
      <w:pPr>
        <w:pStyle w:val="Normal"/>
      </w:pPr>
      <w:r>
        <w:t>(o/than hi-speed), bars and rods in irregularly wound coils, hot-rolled, nesoi Alloy steel (o/than hi-speed/silico-mang./tool) steel, bars and rods in irregularly wound coils, hot-rolled Alloy high-speed steel, bars and rods, o/than hot-rolled and in irregularly wound coils Alloy silico-manganese steel, bars and rods, not cold-formed, o/than hot-rolled and in irregularly wound coils Alloy silico-manganese steel, bars and rods, cold formed, o/than hot-rolled and in irregularly wound coils Alloy ball-bearing tool steel, bars and rods, not further worked than hot-rolled, hot- drawn or extruded Alloy chipper knife tool steel, bars and rods, not cold-formed &amp; not further worked than hot-rolled, hot-drawn or extruded Alloy tool steel (o/than ball-bearing/chipper knife), bars and rods, not further worked than hot-rolled, hot-drawn or extruded Alloy steel (o/than hi-speed, silico-mang./tool), bars and rods, not further worked than hot-rolled, hot-drawn or extruded Alloy steel, bars and rods, not further worked than forged Alloy tool steel (o/than hi-speed), bars and rods, not further worked than cold-formed or cold-finished Alloy steel (o/than tool), bars and rods, not further worked</w:t>
      </w:r>
    </w:p>
    <w:p>
      <w:pPr>
        <w:pStyle w:val="Normal"/>
      </w:pPr>
      <w:r>
        <w:t>than cold-formed or cold- finished Alloy tool steel (o/than hi-speed), bars and rods, further worked than hot-rolled, forged, cold-formed or cold-finished Alloy steel (o/than tool), bars and rods, further worked than hot-rolled, forged but not cold-formed Alloy steel (o/than tool), bars and rods,</w:t>
      </w:r>
    </w:p>
    <w:p>
      <w:pPr>
        <w:pStyle w:val="Normal"/>
      </w:pPr>
      <w:r>
        <w:t>cold-formed Alloy steel, angles, shapes and sections, hot-rolled &amp; not drilled/not punched and not otherwise advanced Alloy steel, angles, shapes and sections, o/than hot-rolled &amp; not drilled/punced and not otherwise advanced Alloy steel hollow drill bars and rods Alloy silico-manganese steel, wire Alloy high-speed steel, wire Alloy steel (o/than hi-speed/silico-mang.), flat wire Alloy steel (o/than hi-speed/silico-mang.), round wire Alloy steel (o/than hi-speed/silico-mang.), wire (o/than flat or round wire) Iron or steel sheet piling, whether or not drilled, punched or made from assembled elements Iron or nonalloy steel, angles, shapes and sections, welded Alloy steel, angles, shapes and sections of alloy steel, welded Iron or nonalloy steel, rails for railway or tramway tracks Alloy steel, rails for railway or tramway tracks Iron or steel, switch blades, crossing frogs, point rods and other crossing pieces, for jointing or fixing rails Iron or steel, fish plates and sole plates for jointing or fixing rails Sleepers (cross-ties) for railway or tramway track construction of iron or steel Railway or tramway track construction material and</w:t>
      </w:r>
    </w:p>
    <w:p>
      <w:pPr>
        <w:pStyle w:val="Normal"/>
      </w:pPr>
      <w:r>
        <w:t>other materials specialized for joing or fixing rails, of iron or steel, nesoi Cast iron, tubes, pipes and hollow profiles Stainless steel, seamless line pipe used for oil or gas pipelines Iron (o/than cast) or nonalloy steel, seamless line pipe used for oil and gas pipelines Alloy (other than stainless) steel, seamless line pipe used for</w:t>
      </w:r>
    </w:p>
    <w:p>
      <w:pPr>
        <w:pStyle w:val="Normal"/>
      </w:pPr>
      <w:r>
        <w:t>oil or gas pipelines Stainless steel, seamless drill pipe, of a kind used in drilling for oil or gas Iron (o/than cast) or nonalloy steel, seamless drill pipe, of a kind used in drilling for oil or gas Alloy (other than stainless) steel, seamless drill pipe, of a kind used in drilling for oil or gas Stainless steel, seamless casing pipe, threaded or coupled, of a kind used in drilling for oil or gas Stainless steel, seamless casing pipe, not threaded or coupled, of a kind used in drilling for oil or gas Stainless steel, seamless tubing, of a kind used in drilling for oil or gas Iron (o/than cast) or nonalloy steel, seamless casing pipe, threaded or coupled, of a kind used in drilling for oil or gas Iron (o/than cast) or nonalloy steel, seamless casing pipe, not threaded or coupled, of a kind used in drilling for oil or gas Alloy (other than stainless) steel, seamless casing pipe, threaded or coupled, of a kind used in drilling for</w:t>
      </w:r>
    </w:p>
    <w:p>
      <w:pPr>
        <w:pStyle w:val="Normal"/>
      </w:pPr>
      <w:r>
        <w:t>oil or gas Alloy (other than stainless) steel, seamless casing pipe, not threaded or coupled, of a kind used in drilling for oil or gas Iron (o/than cast) or nonalloy, seamless tubing, of a kind used in drilling for oil or gas Alloy (other than stainless) steel, seamless tubing, of a kind used in drilling for oil or gas Iron (o/than cast) or nonalloy steel, seamless, cold-drawn or cold-rolled, hollow bars w/circular cross section Iron (o/than cast) or nonalloy steel, seamless, cold-drawn or cold-rolled, tubes, pipes &amp; hollow profiles, w/circular</w:t>
      </w:r>
    </w:p>
    <w:p>
      <w:pPr>
        <w:pStyle w:val="Normal"/>
      </w:pPr>
      <w:r>
        <w:t>cross section, nesoi Iron (o/than cast) or nonalloy steel, seamless, not cold-drawn or cold-rolled, tubes, pipes and hollow prof., w/circular cross sect., nesoi Stainless steel, seamless, cold-drawn/cold-rolled, tubes, pipes and hollow profiles, w/circular cross section &amp; extern. diam less than 19mm Stainless steel, seamless, cold-drawn/cold-rolled, tubes, pipes and hollow profiles, w/circular cross section &amp; extern. diam of 19mm or more Stainless steel, seamless, not cold-drawn/cold-rolled, tubes, pipes and hollow profiles, w/circular cross section Alloy steel (o/than stainless), seamless, cold-drawn/cold-rolled, tubes, pipes, etc., w/circ. cross sect., for mfr of ball/roller bearings Alloy steel (o/than stainless), seamless, cold-drawn/cold-rolled, tubes, pipes and hollow profiles, w/circular cross section, nesoi Alloy steel (o/than stainless), seamless, n/cold-drawn/cold-rolled, tubes, pipes, etc. w/circ. cross sect., for mfr ball/roller bearings Alloy steel (o/than stainless), seamless, n/cold-drawn/cold-rolled, tubes, pipes, etc. w/circ. cross sect., for boilers, heaters, etc Heat-resisting alloy steel (o/than stainless), seamless, n/cold-drawn/cold-rolled, tubes, pipes, etc., w/circ. cross sect., nesoi Alloy steel (o/than heat-resist or stainless), seamless, n/cold-drawn/cold-rolled, tubes, pipes and hollow prof., w/circ. cross sect., nesoi Iron (o/than cast) or nonalloy steel, seamless, tubes, pipes and hollow profiles, o/than circ.</w:t>
      </w:r>
    </w:p>
    <w:p>
      <w:pPr>
        <w:pStyle w:val="Normal"/>
      </w:pPr>
      <w:r>
        <w:t>cross sect., w/wall thickness of 4 mm or more Alloy steel (o/than stainless), seamless, tubes, pipes and hollow profiles, o/than circ. cross sect., w/wall thickness of 4 mm or more Iron (o/than cast) or nonalloy steel, seamless, tubes, pipes and hollow profiles, o/than circ. cross sect., w/wall thickness less than 4 mm Alloy steel (o/than stainless), seamless, tubes, pipes and hollow profiles, o/than circ. cross sect., w/wall thickness less than 4 mm Iron or nonalloy steel, seamed, w/circ. cross sect. &amp; ext. diam o/406.4mm, line pipe, long. submerg. arc weld., used for oil/gas Alloy steel, seamed, circ. w/cross sect. &amp; ext. diam o/406.4mm, line pipe, long. submerg. arc weld., used for oil/gas pipelines Iron or nonalloy steel, seamed, w/circ. cross sect. &amp; ext. diam o/406.4mm, line pipe, long. welded nesoi, used for oil/gas Alloy steel, seamed, w/circ. cross sect. &amp; ext. diam o/406.4mm, line pipe, long. welded nesoi, used for oil/gas pipelines Iron or nonalloy steel, seamed, w/circ. cross sect.&amp; ext. diam o/406.4mm, line pipe, not long. welded, used for oil/gas Alloy steel, seamed, w/circ. cross sect. &amp; ext.</w:t>
      </w:r>
    </w:p>
    <w:p>
      <w:pPr>
        <w:pStyle w:val="Normal"/>
      </w:pPr>
      <w:r>
        <w:t>diam o/406.4mm, line pipe, not long. welded, used for oil/gas pipelines Iron or nonalloy steel, seamed, w/circ. cross sect. &amp; ext. diam. o/406.4mm, casing pipe, threaded/coupled, of kind for drilling for oil/gas Iron or nonalloy steel, seamed, w/circ. cross sect. &amp; ext. diam. o/406.4mm, casing pipe, n/threaded/coupled, of kind for drill.</w:t>
      </w:r>
    </w:p>
    <w:p>
      <w:pPr>
        <w:pStyle w:val="Normal"/>
      </w:pPr>
      <w:r>
        <w:t>for oil/gas Alloy steel, seamed, w/circ. cross sect. &amp; ext. diam. o/406.4mm, casing pipe, threaded/coupled, of kind for drilling for oil/gas Alloy steel, seamed, w/circ. cross sect. &amp; ext. diam. o/406.4mm, casing pipe, n/threaded/coupled, of kind for drilling for oil/gas Steel, long. welded, w/circ. cross sect &amp; ext. diam o/406.4mm, tapered pipes and tubes principally used as pts of illuminating arts.</w:t>
      </w:r>
    </w:p>
    <w:p>
      <w:pPr>
        <w:pStyle w:val="Normal"/>
      </w:pPr>
      <w:r>
        <w:t>Iron or nonalloy steel, long. welded, w/circ. cross sect. &amp; ext. diam. o/406.4mm, tubes and pipes, o/th used in oil/gas drill.etc Alloy steel, long. welded, w/circ. cross sect. &amp; ext. diam. o/406.4mm, tubes and pipes, o/than used in oil/gas drill. or pipelines Iron or nonalloy steel, weld. o/than long. weld., w/circ. x-sect. &amp; ext. diam. o/406.4mm, tubes and pipes, o/th used in oil/gas drill.etc Alloy steel, weld. o/than long. weld., w/circ. x-sect. &amp; ext. diam. o/406.4mm, tubes and pipes, o/than used in oil/gas drill. or pipelines Iron or nonalloy steel, seamed, w/circ. cross sect. &amp; ext. diam. o/406.4mm, not welded, tubes and pipes, o/th used in oil/gas drill.etc Alloy steel, seamed, w/circ. cross sect. &amp; ext. diam. o/406.4mm, not welded, tubes and pipes, o/than used in oil/gas drill. or pipelines Welded stainless steel, w/ext. diam 406.4mm or less or o/than circ. x-sect, line pipe of a kind used for oil and gas pipelines Iron or nonalloy steel, seamed, w/ext. diam. 406.4mm or less or o/than circ.</w:t>
      </w:r>
    </w:p>
    <w:p>
      <w:pPr>
        <w:pStyle w:val="Normal"/>
      </w:pPr>
      <w:r>
        <w:t>x-sect, line pipe of a kind used for oil and gas pipelines Alloy steel, seamed (o/than welded stainless steel), w/ext. diam 406.4mm or less or o/than circ. x-sect, line pipe of a kind used for oil an Welded stainless steel, w/ext. diam 406.4mm or less or o/than circ. x-sect, threaded/coupled, casing of kind used in drilling for oil/gas Welded stainless steel, w/ext. diam 406.4mm or less or o/than circ. x-sect, n/threaded/coupled, casing of kind used in drilling for oil/gas Welded stainless steel, w/ext. diam 406.4mm or less or o/than circ. x-sect, tubing of a kind used for drilling for oil/gas Iron or nonalloy steel, seamed, w/ext. diam 406.4mm or less or o/than circ. x-sect, threaded/coupled, casing of kind used in drill. oil/gas Iron or nonalloy steel, seamed, w/ext. diam 406.4mm or less or o/than circ. x-sect, n/threaded/coupled, casing kind used drill for oil/gas Alloy steel, seamed (o/than welded stainless steel), w/ext. diam 406.4mm or less or o/than circ. x-sect, threaded/coupled, casing of kind us Alloy steel, seamed (o/than welded stainless steel), w/ext. diam 406.4mm or less or o/than circ. x-sect, n/threaded/coupled, casing of kind Iron or nonalloy steel, seamed, w/ext. diam.</w:t>
      </w:r>
    </w:p>
    <w:p>
      <w:pPr>
        <w:pStyle w:val="Normal"/>
      </w:pPr>
      <w:r>
        <w:t>406.4mm or less or o/than circ. x-sect, tubing of a kind used for drilling for oil/gas Alloy steel, seamed (o/than welded stainless steel), w/ext. diam 406.4mm or less or o/than circ. x-sect, tubing of a kind used for drilling Iron or nonalloy steel, welded, w/circ. x-sect &amp; ext. diam.</w:t>
      </w:r>
    </w:p>
    <w:p>
      <w:pPr>
        <w:pStyle w:val="Normal"/>
      </w:pPr>
      <w:r>
        <w:t>406.4mm or less, tubes, pipes, hollow profiles, w/wall thick. less than 1.65 mm Nonalloy steel, welded, w/circ. x-sect &amp; ext. diam. 406.4mm or less, tapered pipes &amp; tubes, w/wall thick. of 1.65 mm+, pts. of illum. arts. Iron or nonalloy steel, welded, w/circ. x-sect &amp; ext. diam. 406.4mm or less, pipes, tubes &amp; holl. prof., w/wall thick. of 1.65 mm or more Stainless steel, welded, w/circ. x-sect &amp; ext. diam. 406.4mm or less, tubes, pipes, hollow profiles, w/wall thick. less than 1.65 mm Stainless steel, welded, w/circ. x-sect &amp; ext. diam. 406.4mm or less, tubes, pipes, hollow profiles, w/wall thick. of 1.65 mm or more Alloy steel (o/stainless), welded, w/circ. x-sect &amp; ext. diam. 406.4mm or less, tubes, pipes, hollow prof., w/wall thick. less th/1.65 mm Alloy steel (o/stainless), welded, w/circ. x-sect &amp; ext. diam. 406.4mm or less, tapered pipes &amp; tubes, w/wall thick. of 1.65 mm+, pts. illum Alloy steel (o/stainless), welded, w/circ. x-sect &amp; ext. diam. 406.4mm or less, tubes, pipes, hollow prof., w/wall thick.</w:t>
      </w:r>
    </w:p>
    <w:p>
      <w:pPr>
        <w:pStyle w:val="Normal"/>
      </w:pPr>
      <w:r>
        <w:t>of 1.65 mm+ Iron or nonalloy steel, welded, w/square or rectangular x-sect, tubes, pipes and hollow profiles, w/wall thickness of 4 mm or more Alloy steel, welded, w/square or rectangular x-sect, tubes, pipes and hollow profiles, w/wall thickness of 4 mm or more Iron or nonalloy steel, welded, w/square or rectangular x-sect, tubes, pipes and hollow profiles, w/wall thickness less than 4 mm Alloy steel, welded, w/square or rectangular x-sect, tubes, pipes and hollow profiles, w/wall thickness less than 4 mm Iron or nonalloy steel, welded, w/other non-circ. x-sect, tubes, pipes and hollow profiles, w/wall thickness of 4 mm or more Alloy steel, welded, w/other non-circ. x-sect, tubes, pipes and hollow profiles, w/wall thickness of 4 mm or more Iron or nonalloy steel, welded, w/other non-circ. x-sect, tubes, pipes and hollow profiles, w/wall thickness less than 4 mm Alloy steel, welded, w/other non-circ. x-sect, tubes, pipes and hollow profiles, w/wall thickness less than 4 mm Iron or nonalloy steel, seamed o/welded, w/non-circ. x-sect. or circ. x-sect. w/ext. diam. 406.4mm or less, tubes, pipes &amp; hollow profiles Alloy steel, seamed o/than welded, w/non-circ. x-sect or circ. x-sect w/ext. diam.</w:t>
      </w:r>
    </w:p>
    <w:p>
      <w:pPr>
        <w:pStyle w:val="Normal"/>
      </w:pPr>
      <w:r>
        <w:t>406.4mm or less, tubes, pipes and hollow profiles Cast nonmalleable iron, fittings for tubes or pipes Cast ductile iron or steel, fittings for tubes or pipes Cast iron or steel, fittings for tubes or pipes, nesoi Stainless steel, flanges for tubes/pipes, forged, not machined, not tooled and not otherwise processed after forging Stainless steel, not cast, flanges for tubes/pipes, not forged or forged and machined, tooled and otherwise processed after forging Stainless steel, not cast, threaded sleeves (couplings) for tubes/pipes Stainless steel, not cast, threaded elbow and bends for tubes/pipes Stainless steel, not cast, butt welding fittings for tubes/pipes Stainless steel, not cast, fittings for tubes/pipes, nesoi Iron or nonalloy steel, flanges for tubes/pipes, forged, not machined, not tooled and not otherwise processed after forging Alloy steel (o/than stainless), not cast, flanges for tubes/pipes, forged, not machined/tooled and not otherwise processed after forging Iron or steel (o/than stainless), not cast, flanges for tubes/pipes, not forged or forged and machined, tooled &amp; processed after forging Iron or steel (o/than stainless), not</w:t>
      </w:r>
    </w:p>
    <w:p>
      <w:pPr>
        <w:pStyle w:val="Normal"/>
      </w:pPr>
      <w:r>
        <w:t>cast, threaded sleeves (couplings) for tubes/pipes Iron or steel (o/than stainless), not cast, threaded elbow and bends for tubes/pipes Iron or nonalloy steel, not cast, butt welding fittings for tubes/pipes, w/inside diam.</w:t>
      </w:r>
    </w:p>
    <w:p>
      <w:pPr>
        <w:pStyle w:val="Normal"/>
      </w:pPr>
      <w:r>
        <w:t>less than 360mm Alloy steel (o/than stainless), not cast, butt welding fittings for tubes/pipes, w/inside diam.</w:t>
      </w:r>
    </w:p>
    <w:p>
      <w:pPr>
        <w:pStyle w:val="Normal"/>
      </w:pPr>
      <w:r>
        <w:t>less than 360mm Iron or alloy steel (o/than stainless), not cast, butt welding fittings for tubes/pipes, w/inside diam.</w:t>
      </w:r>
    </w:p>
    <w:p>
      <w:pPr>
        <w:pStyle w:val="Normal"/>
      </w:pPr>
      <w:r>
        <w:t>360mm or more Iron or nonalloy steel, fittings for tubes/pipes, nesoi, forged, not machined, not tooled and not otherwise processed after forging Alloy steel (o/than stainless), fittings for tubes/pipes, nesoi, forged, not machined/tooled and not otherwise processed after forging Iron/steel (o/than stainless), n/cast, fittings for tubes/pipes, nesoi, not forged or forged and machined, tooled &amp; processed after forging Iron or steel, bridges and bridge sections Iron or steel, towers and lattice masts Stainless steel, doors, windows and their frames, and thresholds for doors Iron or steel (o/than stainless), doors, windows and their frames, and thresholds for doors Iron or steel, props and similar equipment for scaffolding, shuttering or pit-propping Iron or steel, not in part alloy steel, columns, pillars, posts, beams and girders Iron or steel, columns, pillars, posts, beams and girders, nesoi Steel, grating for structures or parts of structures Iron or steel, structures (excluding prefab structures of 9406) and parts of structures, nesoi Iron/steel, reservoirs, tanks, vats, siml. contain., for any material (o/than compress./liq.gas), w/capacity o/300 l, n/fit. w/mech/thermal Iron/steel, tanks, casks, drums, cans, boxes &amp; siml. cont. for any material (o/than compress./liq.gas), w/cap.</w:t>
      </w:r>
    </w:p>
    <w:p>
      <w:pPr>
        <w:pStyle w:val="Normal"/>
      </w:pPr>
      <w:r>
        <w:t>of 50+ l but n/o 300 l Iron/steel, cans for any material (o/compressed/liq. gas), closed by soldering or crimping, w/cap. less than 50 l Iron/steel, cans for any material (o/compressed/liq. gas), n/closed by soldering or crimping, w/cap. less than 50 l Iron/steel, containers for compressed or liquefied gas Stainless steel, stranded wire, not elect. insulated, fitted with fittings or made up into articles Stainless steel, stranded wire, not elect. insulated, not fitted with fittings or made up into articles Iron or steel (o/than stainless), stranded wire, not elect. insul., fitted with fittings or made up into articles Iron or steel (o/than stainless), stranded wire, not elect. insul., not fitted with fittings or made up into articles Stainless steel, ropes, cables and cordage (o/than stranded wire), not elect. insul., fitted with fittings or made up into articles Stainless steel, ropes, cables and cordage (o/than stranded wire), not elect. insul., not fitted with fittings or made up into articles Iron/steel (o/stainless), ropes, cables &amp; cordage (o/than stranded wire), n/elect. insul., fitted with fittings or made up into articles Iron/steel (o/stainless), ropes, cables &amp; cordage, of brass plated wire (o/than stranded wire), n/elect. insul., w/o fittings or arts.</w:t>
      </w:r>
    </w:p>
    <w:p>
      <w:pPr>
        <w:pStyle w:val="Normal"/>
      </w:pPr>
      <w:r>
        <w:t>Iron/steel (o/stainless), ropes, cables &amp; cordage, o/th of brass plate wire (o/than stranded wire), n/elect. insul., w/o fittings etc.</w:t>
      </w:r>
    </w:p>
    <w:p>
      <w:pPr>
        <w:pStyle w:val="Normal"/>
      </w:pPr>
      <w:r>
        <w:t>Iron/steel (o/stainless), plaited bands, slings and the like, not electrically insulated Iron/steel, barbed wire;</w:t>
      </w:r>
    </w:p>
    <w:p>
      <w:pPr>
        <w:pStyle w:val="Normal"/>
      </w:pPr>
      <w:r>
        <w:t>iron/steel, twisted hoop or single flat wire and loosely twisted double wire, of a kind used for fencing Stainless steel, woven cloth endless bands for machinery, w/meshes not finer than 12 wires to the lineal cm in warp or filling Stainless steel, woven cloth endless bands for machinery, w/meshes finer than 12 but n/finer than 36 wires to the lineal cm warp or filling Stainless steel, Fourdrinier wires for papermaking machines w/94 or more wires to the lineal cm in warp or filling Stainless steel, Fourdrinier wires for papermaking machines w/36 to 93 wires to the lineal cm in warp or filling Stainless steel, woven cloth endless bands for machinery, nesoi, w/meshes finer than 36 wires to the lineal cm in warp or filling Stainless steel, woven cloth (o/than endless bands for machinery), w/meshes not finer than 12 wires to the lineal cm in warp or filling Stainless steel, woven cloth (o/than endless bands for machinery), w/meshes finer 12 but n/finer 36 wires to the lineal cm warp/filling Stainless steel,</w:t>
      </w:r>
    </w:p>
    <w:p>
      <w:pPr>
        <w:pStyle w:val="Normal"/>
      </w:pPr>
      <w:r>
        <w:t>Fourdrinier wires (o/than endless bands) for papermaking machines,w/meshes 94 or more wire to lineal cm warp/filling Stainless steel, Fourdrinier wires (o/than endless bands) for papermaking machines, w/meshes 36 to 93 wires to the lineal cm warp/filling Stainless steel woven cloth (other than endless band for machinery), neosi, w/meshes finer than 36 wires to</w:t>
      </w:r>
    </w:p>
    <w:p>
      <w:pPr>
        <w:pStyle w:val="Normal"/>
      </w:pPr>
      <w:r>
        <w:t>the lineal cm in warp or filling Iron or steel (o/than stainless), woven cloth Iron/steel, grill, netting &amp; fencing, of wire w/maximum x-sect.</w:t>
      </w:r>
    </w:p>
    <w:p>
      <w:pPr>
        <w:pStyle w:val="Normal"/>
      </w:pPr>
      <w:r>
        <w:t>dimension 3 mm or more, welded at intersection, w/mesh size 100 cm2 or more Iron/steel, fencing, of wire, welded at the intersection, plated or coated with zinc, whether or not covered w/plastic material Iron/steel, grill and netting, of wire, welded at the intersection, plated or coated with zinc, nesoi Iron/steel, grill, netting and fencing, of wire, welded at the intersection, not plated or coated with zinc Iron/steel, grill, netting and fencing, of wire, not welded at the intersection, plated or coated with zinc Iron/steel, grill, netting and fencing, of wire, not welded at the intersection, coated with plastics Iron/steel, grill, netting and fencing, of wire, not welded at the intersection, not cut to shape Iron/steel, grill, netting and fencing, of wire, not welded at the intersection, cut to shape Iron or steel, expanded metal Iron or steel, roller chain Iron or steel, articulated link chain (other than roller chain) Iron or steel, parts of articulated link chain Iron or steel, skid chain, not over 8 mm in diameter Iron or</w:t>
      </w:r>
    </w:p>
    <w:p>
      <w:pPr>
        <w:pStyle w:val="Normal"/>
      </w:pPr>
      <w:r>
        <w:t>steel, skid chain, over 8 mm in diameter Iron or steel, stud link chain Alloy steel, welded link chain, not over 10 mm in diameter Alloy steel, welded link chain, over 10 mm in diameter Iron or nonalloy steel, welded link chain, not over 10 mm in diameter Iron or nonalloy steel, welded link chain, over 10 mm</w:t>
      </w:r>
    </w:p>
    <w:p>
      <w:pPr>
        <w:pStyle w:val="Normal"/>
      </w:pPr>
      <w:r>
        <w:t>in diameter Iron or steel, chain nesoi, with links of essentially round cross section, not over 8 mm in diameter Iron or steel, chain nesoi, with links of essentially round cross sections, over 8 mm in diameter Iron or steel, chain nesoi Iron or steel, parts of chain (other than articulated link chain) Iron or steel, anchors, grapnels and parts thereof Iron or steel, thumb tacks Iron or steel, nails, tacks, corrugated nails, staples &amp; similar arts., not threaded, suitable for use in powder-actuated hand tools Iron or steel, nails, tacks, corrugated nails, staples &amp; similar arts., threaded, suitable for use in powder-actuated hand tools Iron or steel, nails, tacks, corrugated nails, staples &amp; similar arts., of one piece construction, made of round wire, nesoi Iron or steel, nails, tacks, corrugated nails, staples &amp; similar arts., of one piece construction, not made of round wire, nesoi Iron or steel, nails, tacks, corrugated nails, staples &amp; similar arts., of two or more pieces, nesoi Iron or steel, coach screws Iron or</w:t>
      </w:r>
    </w:p>
    <w:p>
      <w:pPr>
        <w:pStyle w:val="Normal"/>
      </w:pPr>
      <w:r>
        <w:t>steel, wood screws (o/than coach screws) Iron or steel, screw hooks and screw rings Iron or steel, self-tapping screws, w/shanks or threads less than 6 mm in diameter Iron or steel, self-tapping screws, w/shanks or threads 6 mm or more in diameter Iron or steel, bolts and bolts &amp; their nuts or washers, imported in the same shipment Iron or steel, machine screws (o/than cap screws), 9.5 mm or more in length and 3.2 mm in diameter Iron or steel, threaded studs</w:t>
      </w:r>
    </w:p>
    <w:p>
      <w:pPr>
        <w:pStyle w:val="Normal"/>
      </w:pPr>
      <w:r>
        <w:t>Iron or steel, screws and bolts, nesoi, having shanks or threads less than 6 mm in diameter Iron or steel, screws and bolts, nesoi, having shanks or threads 6 mm or more in diameter Iron or steel, nuts Iron or steel, threaded articles similar to screws, bolts, nuts, coach screws &amp; screw hooks, nesoi Iron or steel, spring washers and other lock washers Iron or steel, washers (o/than spring washers and other lock washers) Iron or steel, rivets Iron or steel, cotters and cotter pins Iron or steel, nonthreaded articles similar to rivets, cotters, cotter pins, washers and spring washers Iron or steel, safety pins Iron or steel, dressmakers’ or common pins Iron or steel, pins (o/than safety pins, dressmakers’ or common pins) Iron or steel, sewing, darning or embroidery needles Iron or steel, knitting needles, bodkins, crochet hooks, embroidery stilettos and similar articles for use in the hand Iron or steel, leaf springs &amp; leaves therefore, to be used in motor vehicles having a G.V.W. not exceeding 4 metric tons Iron or steel, leaf springs &amp; leaves therefore, suitable for motor vehicle suspension (o/than for motor vehicles w/a G.V.W.</w:t>
      </w:r>
    </w:p>
    <w:p>
      <w:pPr>
        <w:pStyle w:val="Normal"/>
      </w:pPr>
      <w:r>
        <w:t>o/4 metric tons) Iron or steel, leaf springs &amp; leaves therefore, not suitable for motor vehicle suspension Iron or steel, helical springs, suitable for motor-vehicle suspension Iron or steel, helical springs (o/than suitable for motor-vehicle suspension) Iron or steel, hairsprings Iron or steel, springs (o/than leaf springs, helical springs or hairsprings) Iron or steel, portable non-electric domestic cooking appliances and plate warmers, for gas fuel or for both gas and other fuels Iron or steel, nonportable non-electric domestic stoves or ranges, for gas fuel or for both gas and other fuels Iron or steel, nonportable non-electric domestic cook. appl. (o/th stoves or ranges) &amp; plate warmers, for gas fuel or both gas &amp; other fuels Iron or steel, non-electric domestic cooking appliances and plate warmers, for liquid fuels Iron or steel, non-electric domestic cooking appliances and plate warmers, o/than for gas or liquid fuels Iron or steel, portable non-electric domestic grates &amp; warming appl. (o/cooking/plate warmers), for gas fuel or both gas and other fuels Iron or steel, nonportable non-electric domestic grates &amp; warming appl.</w:t>
      </w:r>
    </w:p>
    <w:p>
      <w:pPr>
        <w:pStyle w:val="Normal"/>
      </w:pPr>
      <w:r>
        <w:t>(o/than cooking/plate warmers), for gas fuel/both gas &amp; other fuels Iron or steel, portable non-electric domestic grates &amp; warming appliances (o/than cooking/plate warmers) for liquid fuels Iron or steel, nonportable non-electric domestic grates &amp; warming appliances (o/than cooking/plate warmers), for liquid fuels Iron or steel, non-electric domestic grates &amp; warming appliances (o/than cooking/plate warmers), o/than for gas or liquid fuelss Iron/steel, cooking chambers for nonportable non-electric domestic stoves or ranges, for gas or for gas and other fuels Iron/steel, top surface panels w/ or w/o burners/controls for nonportable non-elect. domest. stoves or ranges, for gas or gas &amp; other fuels Iron/steel, door assmbly w/more than one of inner panel, out. panel, window, insul., for non-elect.</w:t>
      </w:r>
    </w:p>
    <w:p>
      <w:pPr>
        <w:pStyle w:val="Normal"/>
      </w:pPr>
      <w:r>
        <w:t>stoves or ranges, for gas or gas &amp; other Iron/steel, parts of nonportable non-electric domestic stoves or ranges, nesoi, for gas fuel or for both gas and other fuels Iron/steel, parts, of nonelectric domestic cooking and warming appliances, nesoi Cast iron, non-electrically heated radiators and parts thereof, for central heating Iron (o/than cast) or steel, non-electrically heated radiators and parts thereof, for central heating Iron or steel, non-electrically heated air heaters and hot air distributors w/motor driven fan or blower and parts thereof Iron or steel wool; iron or steel pot scourers and scouring or polishing pads, gloves and the like Cast iron, table, kitchen or o/household arts. and parts thereof, not enameled but coated or plated with precious metals Cast iron, table, kitchen or o/household arts. and parts thereof, not enameled &amp; not coated or plated with precious metals Cast iron, table, kitchen or o/household arts. and parts thereof, enameled Stainless steel, table, kitchen or o/household arts. amd parts thereof Iron (o/than cast) or steel (o/than stainless), table, kitchen or o/household arts.</w:t>
      </w:r>
    </w:p>
    <w:p>
      <w:pPr>
        <w:pStyle w:val="Normal"/>
      </w:pPr>
      <w:r>
        <w:t>and parts thereof, enameled Iron (o/th cast) or steel (o/th stainless), table, kitchen or o/household arts. &amp; parts thereof, not enameled but plated/coat. w/silver Iron (o/th cast)/steel (o/th stainless), table/kitchen /household arts. &amp; parts thereof, not enameled but plated/coat. w/prec metal o/silver Tinplate, table, kitchen or o/household arts.</w:t>
      </w:r>
    </w:p>
    <w:p>
      <w:pPr>
        <w:pStyle w:val="Normal"/>
      </w:pPr>
      <w:r>
        <w:t>&amp; parts thereof, not coated or plated w/precious metal Iron (o/th cast) or steel (o/than tinplate or stainless), cookingware, not coated or plated with precious metal Iron (o/th cast)/steel (o/th tinplate or stainless), table, kitchen (o/th cooking.) or o/household arts &amp; part, n/coated/plated w/prec.metal Stainless steel, sinks and wash basins Cast iron, baths (whether or not enameled), coated or plated with precious metal Cast iron, baths (whether or not enameled), not coated or plated with precious metal Iron (o/than cast) or steel, baths (whether or not enameled) Iron or steel, sanitary ware (o/than baths or stainless steel sinks and wash basins) and parts thereof Nonmalleable cast iron, articles, nesoi Iron or steel, cast grinding balls and similar articles for mills Cast iron (o/than nonmalleable cast iron), articles nesoi Steel, cast articles nesoi Iron or steel, forged or stamped grinding balls and similar articles for mills Iron or steel, articles forged or stamped but n/further worked, nesoi Iron or steel, articles of wire, nesoi Tinplate, articles nesoi Iron or steel, cable</w:t>
      </w:r>
    </w:p>
    <w:p>
      <w:pPr>
        <w:pStyle w:val="Normal"/>
      </w:pPr>
      <w:r>
        <w:t>or inner wire for caliper and cantilever brakes and casing therefore, whether or not cut to length Iron or steel, containers of a kind normally carried on the person, in the pocket or in the handbag, nesoi Iron or steel, horse and mule shoes Iron or steel, articles nesoi, coated or plated with precious metal Iron or steel, articles, nesoi Copper mattes;</w:t>
      </w:r>
    </w:p>
    <w:p>
      <w:pPr>
        <w:pStyle w:val="Normal"/>
      </w:pPr>
      <w:r>
        <w:t>cement copper (precipitated copper)</w:t>
      </w:r>
    </w:p>
    <w:p>
      <w:pPr>
        <w:pStyle w:val="Normal"/>
      </w:pPr>
      <w:r>
        <w:t>Unrefined copper; copper anodes for electrolytic refining Refined copper cathodes and sections of cathodes Refined copper, wire bars Refined copper, billets Refined copper, unwrought articles nesoi Copper-zinc base alloys (brass), unwrought nesoi Copper-tin base alloys (bronze), unwrought nesoi Copper alloys (o/than copper-zinc, copper-tin alloys), unwrought nesoi Copper spent anodes; copper waste &amp; scrap containing less than 94% by weight of copper Copper, waste and scrap containing 94% or more by weight of copper Copper master alloys, containing 5% or more but n/more than 15% by weight of phosphorus Copper master alloys, not containing 5% or more but n/more than 15% by weight of phosphorus Copper, powders of non-lamellar structure Copper, powders of lamellar structure;</w:t>
      </w:r>
    </w:p>
    <w:p>
      <w:pPr>
        <w:pStyle w:val="Normal"/>
      </w:pPr>
      <w:r>
        <w:t>copper flakes Refined copper, hollow profiles Refined copper, profiles (o/than hollow profiles) Refined copper, bars and rods Copper-zinc base alloys (brass), hollow profiles Copper-zinc base alloys (brass), profiles (o/than hollow profiles) Copper-zinc base alloys (brass), low fuming brazing rods Copper-zinc base alloys (brass), bars &amp; rods nesoi, having a rectangular cross section Copper-zinc base alloys (brass), bars &amp; rods nesoi, not having a rectangular cross section Copper alloys, hollow profiles Copper-nickel base alloys (cupro-nickel) or copper-nickel-zinc base alloys (nickel silver), profiles (o/than hollow profiles) Copper alloys (o/than cupro-nickel or nickel silver), profiles (o/than hollow</w:t>
      </w:r>
    </w:p>
    <w:p>
      <w:pPr>
        <w:pStyle w:val="Normal"/>
      </w:pPr>
      <w:r>
        <w:t>profiles) Copper-nickel base alloys (cupro-nickel) or copper-nickel-zinc base alloys (nickel silver), bars &amp; rods Copper alloys (o/than brass, cupro-nickel or nickel silver), bars and rods Refined copper, wire, w/maximum cross-sectional dimension over 9.5 mm Refined copper, wire, w/maximum cross-sectional dimension over 6 mm but not over 9.5 mm Refined copper, wire, w/maximum cross-sectional dimension of 6 mm or less Copper-zinc base alloys (brass), wire Copper-nickel base alloys (cupro-nickel) or copper-nickel-zinc base alloys (nickel silver), wire, coated or plated with metal Copper-nickel base alloys (cupro-nickel) or copper-nickel-zinc base alloys (nickel silver), wire, not coated or plated w/metal Copper alloys (o/than brass, cupro-nickel or nickel-silver), wire, coated or plated with metal Copper alloys (o/than brass, cupro-nickel or nickel-silver), wire, not coated or plated with metal Refined copper, plates, sheets and strip, in coils, with a thickness of 5 mm or more Refined copper, plates, sheets and strip, in coils, with a thickness over 0.15mm but less than 5 mm Refined copper, plates, sheets and strip, not in coils, with a thickness of</w:t>
      </w:r>
    </w:p>
    <w:p>
      <w:pPr>
        <w:pStyle w:val="Normal"/>
      </w:pPr>
      <w:r>
        <w:t>5 mm or more Refined copper, plates, sheets and strip, not in coils, with a thickness o/0.15mm but less than 5 mm &amp; a width of 500 mm or more Refined copper, plates, sheets and strip, not in coils, with a thickness o/0.15mm but less than 5 mm &amp; a width of less than 500 mm Copper-zinc base alloys (brass), plates, sheets and strip,</w:t>
      </w:r>
    </w:p>
    <w:p>
      <w:pPr>
        <w:pStyle w:val="Normal"/>
      </w:pPr>
      <w:r>
        <w:t>in coils Copper-zinc base alloys (brass), plates, sheets and strip, not in coils Copper-tin base alloys (bronze), plates, sheets and strip, in coils.</w:t>
      </w:r>
    </w:p>
    <w:p>
      <w:pPr>
        <w:pStyle w:val="Normal"/>
      </w:pPr>
      <w:r>
        <w:t>with a thickness of 5 mm or more Copper-tin base alloys (bronze), plates, sheets and strip, in coils, with a thickness o/0.15mm but less than 5mm &amp; a width of 500mm or more Copper-tin base alloys (bronze), plates, sheets and strip, in coils, w/thickness o/0.15mm but less than 5mm &amp; a width of less than 500mm Copper-tin base alloys (bronze), plates, sheets and strip, with a thickness of 5 mm or more Copper-tin base alloys (bronze), plates, sheets and strip, with a thickness o/0.15 but less than 5 mm &amp; of a width of 500 mm or more Copper-tin base alloys (bronze), plates, sheets and strip, with a thickness o/0.15 but less than 5 mm &amp; of a width of less than 500 mm Copper-nickel base alloys (cupro-nickel) or copper-nickel-zinc base alloys (nickel silver), plates, sheets and strip, w/thickness o/0.15mm Copper alloys (o/than brass/bronze/cupro-nickel/nickel silver), plates, sheets &amp; strip, with thickness of 5 mm or more Copper alloys (o/than brass/bronze/cupro-nickel/nickel silver), plates, sheets &amp; strip, w/thick.</w:t>
      </w:r>
    </w:p>
    <w:p>
      <w:pPr>
        <w:pStyle w:val="Normal"/>
      </w:pPr>
      <w:r>
        <w:t>o/0.15mm but less th/5mm &amp; width 500mm+ Copper alloys (o/than brass/bronze/cupro-nickel/nickel silver), plates, sheets &amp; strip, w/thick.</w:t>
      </w:r>
    </w:p>
    <w:p>
      <w:pPr>
        <w:pStyle w:val="Normal"/>
      </w:pPr>
      <w:r>
        <w:t>o/0.15mm but less th/5mm &amp; width less 500mm Refined copper, foil, w/thickness of 0.15 mm or less, not backed Copper alloys, foil, w/thickness of 0.15 mm or less, not backed Refined copper, clad laminates, w/thickness of 0.15 mm or less, backed Refined copper, foil, w/thickness of 0.15 mm or less, backed Copper alloys, foil, w/thickness of 0.15 mm or less, backed Refined copper, tubes and pipes, seamless Refined copper, tubes and pipes, other than seamless Copper-zinc base alloys (brass), tubes and pipes, seamless Copper-zinc base alloys (brass), tubes and pipes, other than seamless Copper-nickel base alloys (cupro-nickel) or copper-nickel-zinc base alloys (nickel- silver), tubes and pipes Copper alloys (o/than brass/cupro-nickel/nickel-silver), pipes and tubes, seamless Copper alloys (o/than brass/cupro-nickel/nickel-silver), pipes and tubes, other than seamless Refined copper, fittings for tubes and pipes Copper alloys, fittings for tubes and pipes Copper, stranded wire, not electrically insulated, not fitted with fittings and not made up into articles Copper, cables, plaited bands and the like, not fitted with fittings and not made up into</w:t>
      </w:r>
    </w:p>
    <w:p>
      <w:pPr>
        <w:pStyle w:val="Normal"/>
      </w:pPr>
      <w:r>
        <w:t>articles Copper, stranded wire, cables, plaited bands and the like, not electrically insulated, fitted with fittings or made up into articles Copper or iron/steel w/heads of copper, nails and tacks, drawing pins, staples and similar articles Copper, washers (including spring washers) Copper, rivets, cotters, cotter pins and similar</w:t>
      </w:r>
    </w:p>
    <w:p>
      <w:pPr>
        <w:pStyle w:val="Normal"/>
      </w:pPr>
      <w:r>
        <w:t>non-threaded articles (o/than washers) Copper screws for wood Muntz or yellow metal copper bolts Screws (other than wood screws), bolts (other than Muntz or yellow metal) and nuts, of copper, threaded, nesoi Copper, screw hooks and other threaded articles, nesoi Copper &amp; copper alloy table, kitchen, household articles &amp; parts; pot scourers, scouring &amp; polishing pads, gloves, etc Copper-zinc base alloys (brass), sanitary ware and parts thereof Copper (o/than brass), sanitary ware and parts thereof Copper, chain and parts thereof Copper, articles nesoi, cast, molded, stamped, or forged but not further worked Copper, Fourdrinier wires, for use in papermaking machines, w/94 or more wires to the lineal cm Copper cloth, nesoi Copper, wire grill and netting;</w:t>
      </w:r>
    </w:p>
    <w:p>
      <w:pPr>
        <w:pStyle w:val="Normal"/>
      </w:pPr>
      <w:r>
        <w:t>expanded metal of copper Copper, containers a kind normally carried on the person, in the pocket or in the handbag Copper, springs Copper, articles nesoi, coated or plated with precious metal Copper, articles nesoi, not coated or plated with precious metal Nickel mattes Nickel oxide sinters and other intermediate products of nickel metallurgy Nickel (o/than alloy), unwrought Nickel alloys, unwrought Nickel, waste and scrap Nickel, powders and flakes Nickel (o/than alloy), bars and rods, cold formed Nickel (o/than alloy), bars and rods, not cold formed Nickel (o/than alloy), profiles Nickel alloy, bars and rods, cold formed Nickel alloy, bars and rods, not cold formed Nickel alloy, profiles Nickel (o/than alloy), wire, cold</w:t>
      </w:r>
    </w:p>
    <w:p>
      <w:pPr>
        <w:pStyle w:val="Normal"/>
      </w:pPr>
      <w:r>
        <w:t>formed Nickel (o/than alloy), wire, not cold formed Nickel alloy, wire, cold formed Nickel alloy, wire, not cold formed Nickel, foil, w/thickness not over 0.15 mm Nickel (o/than alloy), plates, sheets and strip, cold formed Nickel (o/than alloy), plates, sheets and strip, not cold formed Nickel alloy, foil, w/thickness not over 0.15 mm Nickel alloy, plates, sheets and strip, cold formed Nickel alloy, plates, sheets and strip, not cold formed Nickel (o/than alloy), tubes and pipes Nickel alloy, tubes and pipes Nickel, fittings for tubes and pipes Nickel, wire cloth, grill and netting Nickel, stranded wire Nickel, articles of nesoi Aluminum (o/than alloy), unwrought, in coils, w/uniform x-section throughout length &amp; w/least cross-sectional dimension n/o 9.5 mm Aluminum (o/than alloy), unwrought nesoi Aluminum alloys, unwrought, in coils, w/uniform x-section throughout length &amp; w/least cross-sectional dimension n/o 9.5 mm Aluminum alloys, w/25% or more by weight of silicon, unwrought nesoi Aluminum alloys nesoi, unwrought nesoi Aluminum, waste and scrap Aluminum, powders of non-lamellar structure Aluminum, powders of lamellar structure;</w:t>
      </w:r>
    </w:p>
    <w:p>
      <w:pPr>
        <w:pStyle w:val="Normal"/>
      </w:pPr>
      <w:r>
        <w:t>aluminum flakes Aluminum (o/than alloy), profiles Aluminum (o/than alloy), bar and rods, with a round cross section Aluminum (o/than alloy), bar and rods, other than with a round cross section Aluminum alloy, hollow profiles Aluminum alloy, profiles (o/than hollow profiles) Aluminum alloy, bars and rods, having a round cross section Aluminum</w:t>
      </w:r>
    </w:p>
    <w:p>
      <w:pPr>
        <w:pStyle w:val="Normal"/>
      </w:pPr>
      <w:r>
        <w:t>alloy, bars and rodss, other than with a round cross section Aluminum (o/than alloy), wire, with a maximum cross-sectional dimension over 7 mm Aluminum (o/than alloy), wire, with a maximum cross-sectional dimension of 7 mm or less Aluminum alloy, wire, with a maximum cross-sectional dimension over 7 mm Aluminum alloy, wire, with a maximum cross-sectional dimension of 7 mm or less Aluminum (o/than alloy), plates/sheets/strip, w/thick. o/0.2mm, rectangular (incl. sq), not clad Aluminum (o/than alloy), plates/sheets/strip, w/thick. o/0.2mm, rectangular (incl. sq), clad Aluminum alloy, plates/sheets/strip, w/thick. o/0.2mm, rectangular (incl. sq), not clad Aluminum alloy, plates/sheets/strip, w/thick. o/0.2mm, rectangular (incl. sq), clad Aluminum (o/than alloy), plates/sheets/strip, w/thick. o/0.2mm, o/than rectangular (incl. sq), not clad Aluminum (o/than alloy), plates/sheets/strip, w/thick. o/0.2mm, o/than rectangular (incl. sq), clad Aluminum alloy, plates/sheets/strip, w/thick. o/0.2mm, o/than rectangular (incl. sq), not clad Aluminum alloy, plates/sheets/strip, w/thick. o/0.2mm, o/than rectangular (incl.</w:t>
      </w:r>
    </w:p>
    <w:p>
      <w:pPr>
        <w:pStyle w:val="Normal"/>
      </w:pPr>
      <w:r>
        <w:t>sq), clad Aluminum, foil, w/thickness n/o 0.01 mm, rolled but not further worked, not backed Aluminum, foil, w/thickness over 0.01 mm but n/o 0.15 mm, rolled but not further worked, not backed Aluminum, foil, w/thickness over 0.15 mm but n/o 0.2 mm, rolled but not further worked, not backed Aluminum, etched capacitor foil, w/thickness n/o 0.2 mm, not rolled or rolled and further worked, not backed Aluminum, foil nesoi, w/thickness n/o 0.15 mm, cut to shape, not rolled, not backed Aluminum, foil nesoi, w/thickness o/0.15mm but n/o 0.2 mm or 0.15mm or less &amp; not cut to shape, not rolled, not backed, nesoi Aluminum, foil, w/thickness n/o 0.2 mm, backed, covered or decorated with a character, design, fancy effect or pattern Aluminum, foil, w/thickness n/o 0.2 mm, backed, nesoi Aluminum (o/than alloy), tubes and pipes Aluminum alloy, tubes and pipes Aluminum, fittings for tubes and pipes Aluminum, doors, windows and their frames and thresholds for doors Aluminum, structures and parts of structures, nesoi;</w:t>
      </w:r>
    </w:p>
    <w:p>
      <w:pPr>
        <w:pStyle w:val="Normal"/>
      </w:pPr>
      <w:r>
        <w:t>aluminum plates, rods, profiles, tubes and the like prepared for use in structures Aluminum, reservoirs, tanks, vats &amp; like containers for any material (o/than compressed or liq. gas), w/capacity o/300 l, not fitted w/ Aluminum, collapsible tubular containers, w/capacity of 300 l or less Aluminum, casks, drums &amp; like containers, for any material (o/than compressed or liq. gas), w/cap.</w:t>
      </w:r>
    </w:p>
    <w:p>
      <w:pPr>
        <w:pStyle w:val="Normal"/>
      </w:pPr>
      <w:r>
        <w:t>n/o 20 l, n/fitted w/mech/thermal Aluminum, casks, drums &amp; like containers, for any material (o/thna compressed or liq. gas), w/cap. o/20 but n/o 300 l, n/fitted w/mech Aluminum, containers for compressed or liquefied gas Aluminum, stranded wire, cables &amp; the like w/steel core, not electrically insulated, not fitted with fittings &amp; not made up into articles Aluminum, stranded wire, cables &amp; the like w/steel core, not electrically insulated, fitted with fittings or made up into articles Aluminum, elect. conductors of stranded wire, cables &amp; the like (o/than w/steel core), n/elect. insulated, n/fitted w/fittings or articles Aluminum, stranded wire, cables, &amp; the like (o/than elect. conduct or w/steel core), n/elect.</w:t>
      </w:r>
    </w:p>
    <w:p>
      <w:pPr>
        <w:pStyle w:val="Normal"/>
      </w:pPr>
      <w:r>
        <w:t>insulated, n/fitted w/fittings or articles Aluminum, stranded wire, cables and the like (o/than w/steel core), not electrically insulated, fitted w/fittings or made up into articles Aluminum, pot scourers, scouring or polishing pads, gloves and the like Aluminum, cast cooking and kitchen ware, enameled or glazed or containing nonstick interior finishes Aluminum, cooking and kitchen ware (o/than cast), enameled or glazed or containing nonstick interior finishes Aluminum, cast cooking and kitchen ware, not enameled or glazed and not containing nonstick interior finishes Aluminum, cooking and kitchen ware (o/than cast), not enameled or glazed and not containing nonstick interior finishes Aluminum, table, kitchen or other household articles (o/than cooking or kitchen</w:t>
      </w:r>
    </w:p>
    <w:p>
      <w:pPr>
        <w:pStyle w:val="Normal"/>
      </w:pPr>
      <w:r>
        <w:t>ware) and parts thereof Aluminum, sanitary ware and parts thereof Aluminum, nails, tacks and staples Aluminum, rivets Aluminum, cotters and cotter pins Aluminum, screws, bolts, nuts, screw hooks, washers and similar articles w/shanks, threads, or holes o/6 mm in diameter Aluminum, screws, bolts, nuts, screw hooks, washers and similar articles w/shanks, threads or holes 6 mm or less in diameter Aluminum, wire cloth, grill, netting and fencing Aluminum, luggage frames Aluminum, articles, nesoi Refined lead, unwrought Lead (o/than refined lead), containing by weight antimony as the principal other element, unwrought Lead (o/than refined lead), bullion Lead (o/than refined lead), unwrought nesoi Lead, waste and scrap Lead, sheets, strip and foil, w/thickness n/o 0.2 mm, excluding any backing Lead, plates &amp; sheets, strip and foil w/thickness o/0.2mm, nesoi Lead, powders and flakes Lead, bars, rods, profiles and wire Lead, tubes or pipes and fittings for tubes or pipes Lead, articles, nesoi Zinc (o/than alloy), unwrought, containing o/99.99% by weight of zinc Zinc (o/than alloy), unwrought, casting-grade zinc, containing at least 97.5% but less than 99.99% by weight of zinc Zinc (o/than alloy), unwrought, o/than casting-grade zinc, containing at least 97.5% but less than 99.99% by wt.</w:t>
      </w:r>
    </w:p>
    <w:p>
      <w:pPr>
        <w:pStyle w:val="Normal"/>
      </w:pPr>
      <w:r>
        <w:t>of zinc Zinc alloy, unwrought Zinc, waste and scrap Zinc, dust Zinc, powders Zinc, flakes Zinc, bars, rods, profiles and wire Zinc, plates, sheets, strip and foil Zinc, household, table or kitchen use articles; zinc toilet and sanitary wares; zinc parts of all the foregoing Zinc, tubes or pipes and fittings for tubes or pipes Zinc, articles (o/than for household, table or kitchen use), nesoi Tin (o/than alloy), unwrought Tin alloy, unwrought Tin, waste and scrap Tin, bars, rods, profiles and wire Tin, household, table or kitchen use articles; tin toilet and sanitary wares; all the foregoing, n/coated or plated w/prec. metal Tin, plates, sheets and strip, of a thickness exceeding 0.20 mm Tin.</w:t>
      </w:r>
    </w:p>
    <w:p>
      <w:pPr>
        <w:pStyle w:val="Normal"/>
      </w:pPr>
      <w:r>
        <w:t>foil, w/thickness (excluding any backing) n/o 0.2 mm Tin, powders and flakes Tin, tubes or pipes and fittings for tubes or pipes Tin, articles nesoi Tungsten, powders Tungsten, unwrought (including bars and rods obtained simply by sintering) Tungsten wire Tungsten waste and scrap Tungsten bars and rods (o/than those obtained simply by sintering), profiles, plates, sheets, strip and foil Tungsten, articles nesoi Molybdenum, powders Molybdenum, unwrought (including bars and rods obtained simply by sintering) Molybdenum bars and rods (o/than those obtained simply by sintering) Molybdenum profiles, plates, sheets, strip and foil Molybdenum wire Molybdenum waste and scrap Molybdenum, articles nesoi Tantalum, unwrought (including bars and rods obtained simply by sintering); tantalum powders</w:t>
      </w:r>
    </w:p>
    <w:p>
      <w:pPr>
        <w:pStyle w:val="Normal"/>
      </w:pPr>
      <w:r>
        <w:t>Tantalum waste and scrap Tantalum, articles nesoi Magnesium, unwrought, containing at least 99.8 percent by weight of magnesium Magnesium, unwrought, nesoi Magnesium, waste and scrap Magnesium, raspings, turnings and granules graded according to size; magnesium powders Magnesium, articles nesoi Cobalt alloys, unwrought Cobalt (other than alloys), unwrought Cobalt, mattes and other intermediate products of cobalt metallurgy; cobalt powders Cobalt waste and scrap Cobalt, articles thereof nesoi Bismuth (including waste &amp; scrap) and articles thereof, nesoi Cadmium, unwrought; cadmium powders Cadmium waste and scrap Cadmium, articles thereof nesoi Titanium, unwrought; titanium powders Titanium waste and scrap Titanium, articles nesoi Titanium, wrought nesoi Zirconium, unwrought; zirconium powders Zirconium waste and scrap Zirconium, articles, nesoi Antimony, unwrought; antimony powders Antimony waste and scrap Articles of antimony, nesoi Manganese, waste and scrap Unwrought manganese flake containing at least 99.5 percent by weight manganese Unwrought manganese, nesoi Manganese (o/than waste and scrap, unwrought) and articles thereof, nesoi Beryllium, unwrought; beryllium powders Beryllium waste and scrap Beryllium, articles nesoi Chromium, unwrought; chromium powders Chromium waste and scrap Articles of chromium, nesoi Thallium, unwrought; thallium powders Thallium waste and scrap Articles of thallium, nesoi Waste and scrap of gallium, germanium, hafnium, indium, niobium,</w:t>
      </w:r>
    </w:p>
    <w:p>
      <w:pPr>
        <w:pStyle w:val="Normal"/>
      </w:pPr>
      <w:r>
        <w:t>rhenium, or vanadium Gallium, unwrought; gallium powders Hafnium, unwrought; hafnium powders Indium, unwrought; indium powders Niobium (columbium), unwrought; niobium powders Rhenium, unwrought;</w:t>
      </w:r>
    </w:p>
    <w:p>
      <w:pPr>
        <w:pStyle w:val="Normal"/>
      </w:pPr>
      <w:r>
        <w:t>rhenium powders Germanium, unwrought Germanium powder, wrought Vanadium, unwrought and powders Germanium nesoi and articles thereof Vanadium, nesoi, and articles thereof Articles of gallium, hafnium, indium, niobium or rhenium, nesoi Cermets (including waste &amp; scrap) and articles thereof Spades and shovels and base metal parts thereof Mattocks, picks, hoes and rakes and base metal parts thereof Machetes, and base metal parts thereof Axes, bill hooks and similar hewing tools (o/than machetes), and base metal parts thereof One-handed secateurs, pruners and shears (including poultry shears), and base metal parts thereof Hedge shears, two-handed pruning shears and similar two-handed shears, and base metal parts thereof Grass shears, and base metal parts thereof Forks (hand tools) and base metal parts thereof Base metal hand tools of a kind used in agriculture, horticulture or forestry nesoi, and base metal parts thereof Hand saws, and base metal parts thereof (except blades) Band saw blades Circular saw blades (including slitting or slotting saw blades), w/working part of steel Circular saw blades (including slitting or slotting saw blades), with working part of o/than steel, &amp; base metal parts thereof Chain saw blades &amp; base metal parts thereof, w/cutting parts cont.</w:t>
      </w:r>
    </w:p>
    <w:p>
      <w:pPr>
        <w:pStyle w:val="Normal"/>
      </w:pPr>
      <w:r>
        <w:t>o/0.2% of Cr, Mo or W, or o/0.1% of V Chain saw blades and base metal parts thereof, nesoi Hacksaw blades for working metal Straight saw blades for working metal (o/than hacksaw blades), and base metal parts thereof Saw blades nesoi, and base metal parts thereof Files, rasps and similar tools, n/o 11 cm in length Files, rasps and similar tools, o/11 cm but n/o 17 cm in length Files, rasps and similar tools, o/17 cm in length Base metal tweezers Slip joint pliers Pliers (including cutting pliers but not slip joint pliers), pincers and similar tools Base metal parts of pliers (including cutting pliers), pincers, tweezers and similar tools Metal cutting shears and similar tools, and base metal parts thereof Pipe cutters, bolt cutters, perf. punches &amp; similar tools, w/cutting parts o/0.2% Cr, Mo or W, or o/0.1% V &amp; base metal pts.</w:t>
      </w:r>
    </w:p>
    <w:p>
      <w:pPr>
        <w:pStyle w:val="Normal"/>
      </w:pPr>
      <w:r>
        <w:t>Pipe cutters, bolt cutters, perforating punches and similar tools, nesoi, and base metal parts thereof Hand-operated non-adjustable spanners and wrenches, and base metal parts thereof Hand-operated adjustable spanners and wrenches, and base metal parts thereof Socket wrenches, with or without handles, drives and extensions, and base metal parts thereof Drilling, threading or tapping tools, and base metal parts thereof Hammers and sledge hammers, with heads not over 1.5 kg each, and base metal parts thereof Hammers and sledge hammers, with heads over 1.5 kg each, and base metal parts thereof Planes, chisels, gouges etc.</w:t>
      </w:r>
    </w:p>
    <w:p>
      <w:pPr>
        <w:pStyle w:val="Normal"/>
      </w:pPr>
      <w:r>
        <w:t>for working wood, over 0.2% chromium, molybdenum or tungsten, or over 0.1% vanadium, base metal parts thereof Planes, chisels, gouges and similar cutting tools for working wood, nesoi, and base metal parts thereof Screwdrivers and base metal parts thereof Carving and butcher steels, of iron or steel, with or without their handles Iron or steel household handtools (o/than carving &amp; butcher steels), and base metal parts thereof Copper household handtools, and base metal parts thereof Aluminum household handtools, and base metal parts thereof Base metal, nesoi, household handtools, and base metal parts thereof Pipe tools and base metal parts thereof Powder-actuated hand tools and base metal parts thereof Crowbars, track tools and wedges, and base metal parts thereof Caulking guns of iron or steel, and base metal parts thereof Iron or steel handtools (o/ than household, o/than caulking guns) nesoi, and base metal parts thereof Copper handtools (o/than household) nesoi, and base metal parts thereof Aluminum handtools (o/than household) nesoi, and base metal parts thereof Base metal, nesoi, handtools (o/than</w:t>
      </w:r>
    </w:p>
    <w:p>
      <w:pPr>
        <w:pStyle w:val="Normal"/>
      </w:pPr>
      <w:r>
        <w:t>household), and base metal parts thereof Blow torches and similar self-contained torches, and base metal parts thereof Vises, clamps and the like, and base metal parts thereof Anvils, portable forges, hand- or pedal-operated grinding wheels with frameworks and base metal parts thereof Sets of articles (handtools and other specified tools) of two or more foregoing subheadings</w:t>
      </w:r>
    </w:p>
    <w:p>
      <w:pPr>
        <w:pStyle w:val="Normal"/>
      </w:pPr>
      <w:r>
        <w:t>Tools of two or more of headings 8202 to 8205 put up in sets for retail sale Interchangeable tools for rock drilling or earth boring tools, w/working part of cermets Interchangeable tools for rock drilling or earth boring tools, w/cutting part o/0.2% Cr, Mo or W, or o/0.1% V by wt., &amp; base metal parts Interchangeable tools for rock drilling or earth boring tools, w/working part neosi, and base metal parts thereof Interchangeable dies for drawing or extruding metal, and base metal parts thereof Interchangeable tools for pressing, stamping or punching, suitable for cutting metal, and base metal parts thereof Interchangeable tools for pressing, stamping or punching, not suitable for cutting metal, and base metal parts thereof Interchangeable tools for tapping or threading, w/cutting pts ov 0.2% by wt of Cr, Mo, W, or ov 0.1% V, &amp; base metal pts thereof Interchangeable tools for tapping or threading, nesoi, and base metal parts thereof Interchangeable tools for drilling (o/than rock drilling) w/cutting part ov 0.2% Cr, Mo or W, or</w:t>
      </w:r>
    </w:p>
    <w:p>
      <w:pPr>
        <w:pStyle w:val="Normal"/>
      </w:pPr>
      <w:r>
        <w:t>ov 0.1% V &amp; base metal parts thereof Interchangeable tools for drilling (o/than rock drilling), nesoi, suitable for cutting metal, and base metal parts thereof Interchangeable tools for handtools, for drilling (o/than rock drilling), nesoi, n/suitable for cutting metal, &amp; base metal parts thereof Interchangeable tools (o/than for handtools) for drilling (o/than rock drilling), nesoi, not suitable for cutting metal, &amp; base metal parts Interchangeable</w:t>
      </w:r>
    </w:p>
    <w:p>
      <w:pPr>
        <w:pStyle w:val="Normal"/>
      </w:pPr>
      <w:r>
        <w:t>tools for boring or broaching, and base metal parts thereof Interchangeable tools for milling, w/cutting part ov 0.2% by wt of Cr, Mo or W, or ov 0.1% by wt of V &amp; base metal parts thereof Interchangeable tools for milling, nesoi, and base metal parts thereof Interchangeable tools for turning, w/cutting part ov 0.2% by wt of Cr, Mo or W, or ov 0.1% by wt of V &amp; base metal parts thereof Interchangeable tools for turning, nesoi, and base metal parts thereof Interchangeable files and rasps, including rotary files and rasps, and base metal parts thereof Interchangeable cutting tools, nesoi, w/cutting part ov 0.2% by wt of Cr, Mo or W, or ov 0.1% by wt of V, and base metal parts thereof Interchangeable tools, nesoi, suitable for cutting metal, nesoi and base metal parts thereof Interchangeable tools for handtools, nesoi, not suitable for cutting metal, nesoi and base metal parts thereof Interchangeable tools (o/than for handtools) nesoi, not suitable for cutting metal, nesoi and base metal parts</w:t>
      </w:r>
    </w:p>
    <w:p>
      <w:pPr>
        <w:pStyle w:val="Normal"/>
      </w:pPr>
      <w:r>
        <w:t>thereof Knives and cutting blades for metal working machines or mechanical appliances, and base metal parts thereof Knives and cutting blades for wood working machines or mechanical appliances, and base metal parts thereof Knives and cutting blades for kitchen appliances or for machines used by the food industry, and base metal parts thereof Lawnmower blades for agricultural, horticultural or forestry machines Knives and cutting blades (o/than lawnmower blades) for agricultural,</w:t>
      </w:r>
    </w:p>
    <w:p>
      <w:pPr>
        <w:pStyle w:val="Normal"/>
      </w:pPr>
      <w:r>
        <w:t>horticultural or forestry machines, and base metal parts thereof Knives and cutting blades for shoe machinery, and base metal parts thereof Knives and cutting blades, nesoi for machines or for mechanical appliances nesoi, and base metal parts thereof Cermet plates, sticks, tips and the like for tools, unmounted Hand-operated mechanical appliances weighing 10 kg or less, used in preparation, conditioning, serving food or drink &amp; base metal pts Sets of assorted knives w/cutting blades serrated or not (including pruning knives) Table knives with fixed blades and silver-plated handles Table knives w/fixed blades, w/stain. steel handles w/Ni or ov 10% by wt. of Mn, w/overall length 25.9cm or less &amp; val. &lt;than 25 cents ea Table knives w/fixed blades, w/stain. steel handles cont.</w:t>
      </w:r>
    </w:p>
    <w:p>
      <w:pPr>
        <w:pStyle w:val="Normal"/>
      </w:pPr>
      <w:r>
        <w:t>Ni or ov 10% by wt of Mn, nesoi Table knives w/fixed blades, w/stain. steel handles, nesoi, not ov 25.9 cm in overall length &amp; val less than 25 cents each Table knives w/fixed blades, w/stain. steel handles, nesoi Table knives w/fixed blades, with rubber or plastics handles Table knives w/fixed blades, w/handles other than of silver-plate, stainless steel, rubber or plastics Kitchen and butcher knives w/fixed blades, with rubber or plastics handles Knives w/fixed blades (o/than table or kitchen and butcher knives), with rubber or plastic handles Hunting knives w/fixed blades, with wood handles Knives w/fixed blades (o/than table knives, other knives w/rubb./plast.</w:t>
      </w:r>
    </w:p>
    <w:p>
      <w:pPr>
        <w:pStyle w:val="Normal"/>
      </w:pPr>
      <w:r>
        <w:t>handles, or hunting knives w/wood handles) Knives having other than fixed blades Base metal blades for knives having fixed blades Base metal blades for knives having other than fixed blades Base metal handles for table knives w/fixed blades Base metal handles for knives (o/than table knivies) w/fixed blades Base metal handles for knives having other than fixed blades Base metal razors Base metal safety razor blades (including razor blade blanks) Base metal parts of razors and razor blades Base metal scissors, tailors’ shears and similar shears, and blades thereof, valued n/o $1.75 per dozen Base metal pinking shears, and blades thereof, valued over $30 per dozen Base metal scissors, tailors’ shears and similar shears (o/than pinking shears val o$30/dz), and base metal parts, val.</w:t>
      </w:r>
    </w:p>
    <w:p>
      <w:pPr>
        <w:pStyle w:val="Normal"/>
      </w:pPr>
      <w:r>
        <w:t>o/$1.75 per dozen Base metal paper knives, letter openers, erasing knives, nonmechanical pencil sharpeners and blades and base metal parts thereof Base metal instruments for manicure or pedicure purposes, and base metal parts thereof Manicure and pedicure sets, and combinations thereof, in leather containers Manicure and pedicure sets, and combinations thereof, other than in leather containers Butchers’ or kitchen cleavers with their handles, nesoi, and base metal parts thereof Butchers’ or kitchen chopping or mincing knives (o/than cleavers w/their handles), and base metal parts thereof Articles of cutlery, nesoi, and base metal parts of cutlery, nesoi Sets of assted.</w:t>
      </w:r>
    </w:p>
    <w:p>
      <w:pPr>
        <w:pStyle w:val="Normal"/>
      </w:pPr>
      <w:r>
        <w:t>base metal spoons, forks, ladles, etc. &amp; similar kitchen or tableware, w/at least one article plated w/prec. metal Sets of assted. base metal spoons, forks, ladles, etc. &amp; similar kitchen or tableware, w/no articles plated with precious metal Base metal forks plated with precious metal Base metal spoons and ladles plated with precious metal Base metal skimmers, cake-servers, fish-knives, etc. and similar kitchen or tableware and parts, plated with precious metal Base metal forks, w/stainless steel handles cont. Ni or o/10% by wt of Mn, w/overall length n/o 25.9cm, valued under 25cents ea Base metal forks, w/stainless steel handles cont.</w:t>
      </w:r>
    </w:p>
    <w:p>
      <w:pPr>
        <w:pStyle w:val="Normal"/>
      </w:pPr>
      <w:r>
        <w:t>Ni or o/10% by wt of Mn, nesoi Base metal forks, w/stainless steel handles, nesoi, valued under 25 cents each Base metal forks, w/stainless steel handles, nesoi, valued at 25 cents each or more Base metal forks, with rubber or plastic handles Base metal forks, without their handles Base metal table forks and barbecue forks, with wood handles Base metal forks (o/than plated w/prec. metal, or w/handles of stain. steel, wood, rubber or plastics), nesoi Base metal spoons, w/stainless steel handles &amp; valued under 25 cents each Base metal spoons, w/stainless steel handles &amp; valued at 25 cents and over, and base metal ladles w/stainless steel handles Base metal spoons and ladles with handles of base metal (o/than stain.</w:t>
      </w:r>
    </w:p>
    <w:p>
      <w:pPr>
        <w:pStyle w:val="Normal"/>
      </w:pPr>
      <w:r>
        <w:t>steel) or w/nonmetal handles Base metal spoons and ladles, nesoi Base metal skimmers/cake-servers/butter-knives/sugar tongs &amp; similar kitchen or tableware, &amp; base metal parts (incl. pts.</w:t>
      </w:r>
    </w:p>
    <w:p>
      <w:pPr>
        <w:pStyle w:val="Normal"/>
      </w:pPr>
      <w:r>
        <w:t>of forks/spoons) Padlocks, base metal, not of cylinder or pin tumbler construction, not ov 3.8cm wide Padlocks, base metal, not of cylinder or pin tumbler construction, ov 3.8cm but n/o 6.4cm wide Padlocks, base metal, not of cylinder or pin tumbler construction, ov 6.4cm wide Padlocks, base metal, of cylinder or pin tumbler construction, not ov 3.8cm wide Padlocks, base metal, of cylinder or pin tumbler construction, ov 3.8cm but n/o 6.4cm wide Padlocks, base metal, of cylinder or pin tumbler construction, ov 6.4cm wide Base metal locks, of a kind used on motor vehicles Base metal locks, of a kind used for furniture Base metal luggage locks Base metal locks (o/than padlocks, locks for motor vehicles or furniture, luggage locks) Base metal clasps and frames with clasps, incorporating locks Base metal parts of padlocks, other locks, and clasps and frames with clasps incorporating locks Base metal keys for padlocks, other locks, and clasps and frames with clasps incorporating locks Iron or steel, aluminum, or zinc hinges and base metal</w:t>
      </w:r>
    </w:p>
    <w:p>
      <w:pPr>
        <w:pStyle w:val="Normal"/>
      </w:pPr>
      <w:r>
        <w:t>parts thereof, designed for motor vehicles Iron or steel, aluminum, or zinc hinges and base metal parts thereof, not designed for motor vehicles Base metal (o/than iron/steel/aluminum/zinc) hinges and base metal parts thereof Base metal castors and base metal</w:t>
      </w:r>
    </w:p>
    <w:p>
      <w:pPr>
        <w:pStyle w:val="Normal"/>
      </w:pPr>
      <w:r>
        <w:t>parts thereof Iron or steel, aluminum or zinc mountings, fittings and similar articles nesoi, suitable for motor vehicles, and base metal parts thereof Base metal (o/than iron/steel/aluminum/zinc) mountings, fittings &amp; similar articles, suitable for motor vehicles, &amp; base metal pts thereof Base metal door closers (except automatic door closers) suitable for buildings, and base metal parts thereof Iron or steel, aluminum or zinc mountings, fittings &amp; similar articles, nesoi, suitable for buildings, &amp; base metal pts thereof Base metal (o/than iron/steel/aluminum/zinc) mountings, fittings and similar arts, nesoi, suitable for buildings &amp; base metal parts thereof Iron or steel, aluminum, or zinc mountings, fittings &amp; similar articles, suitable for furniture, and base metal parts thereof Base metal (o/than iron/steel/aluminum/zinc) mountings, fittings &amp; similar articles, suitable for furniture, and base metal parts thereof Base metal harness, saddlery or riding-bridle hardware coated or plated w/prec. metal, and base metal parts thereof Base metal harness, saddlery or riding-bridle hardware, not coated or plated w/prec.</w:t>
      </w:r>
    </w:p>
    <w:p>
      <w:pPr>
        <w:pStyle w:val="Normal"/>
      </w:pPr>
      <w:r>
        <w:t>metal, and base metal parts thereof Iron or steel, aluminum, or zinc, mountings, fittings &amp; similar articles nesoi, and base metal parts thereof Base metal (o/than iron/steel/aluminum/zinc) mountings, fittings &amp; similar articles nesoi, and base metal parts thereof Base metal hat-racks, hat pegs, brackets and similar fixtures, and base metal parts thereof Base metal automatic door closers Base metal parts of automatic door closers Base metal armored or reinforced safes/strong-boxes &amp; doors &amp; safe deposit lockers for strong rooms/cash &amp; deed boxes etc., &amp; base metal pts Base metal desk-top filing/card-index cabinets, paper trays, pen trays &amp; similar office/desk equipment nesoi, and base metal parts thereof Base metal fittings for loose-leaf binders or files Base metal staples in strips (e.g., for offices, upholstery, packaging) Base metal paper clips and base metal parts thereof Base metal letter clips, letter corners, indexing tags and similar office articles nesoi, and base metal parts thereof Base metal, nonelectric bells, gongs, and the like, and base metal parts thereof Base metal statuettes and other ornaments plated w/prec.</w:t>
      </w:r>
    </w:p>
    <w:p>
      <w:pPr>
        <w:pStyle w:val="Normal"/>
      </w:pPr>
      <w:r>
        <w:t>metal, and base metal parts thereof Base metal statuettes and other ornaments not plated w/prec.metal, and base metal parts thereof Base metal photograph, picture or similar frames; base metal mirrors;</w:t>
      </w:r>
    </w:p>
    <w:p>
      <w:pPr>
        <w:pStyle w:val="Normal"/>
      </w:pPr>
      <w:r>
        <w:t>base metal parts thereof Iron or steel flexible tubing, with fittings Iron or steel flexible tubing, without fittings Base metal (o/than iron or steel) flexible tubing, with fittings Base metal (o/than iron or steel) flexible tubing, without fittings Base metal hooks, eyes, and eyelets, of a kind used for clothing, footwear, awnings, handbags, travel goods, or other made up articles Iron or steel bifurcated rivets, not brightened, not lathed and not machined Base metal tubular or bifurcated rivets (o/than of iron or steel) Base metal beads and spangles Base metal buckles and buckle clasps, and base metal parts thereof Base metal clasps, frames with clasps not incorporating a lock, and like articles, and base metal parts thereof Base metal crown corks (including crown seals and caps), and base metal parts thereof Base metal stoppers, caps and lids (o/than crown corks), threaded bungs, bung covers, seals, other packing accessories and parts Base metal sign plates, name plates, address plates, numbers, letters and other symbols (o/than of 9405), and base metal parts</w:t>
      </w:r>
    </w:p>
    <w:p>
      <w:pPr>
        <w:pStyle w:val="Normal"/>
      </w:pPr>
      <w:r>
        <w:t>thereof Coated base metal electrodes for electric arc-welding Base metal cored wire for electric arc-welding Coated rod or cored wire lead-tin solders Coated rods and cored wire of base metal (o/than lead-tin</w:t>
      </w:r>
    </w:p>
    <w:p>
      <w:pPr>
        <w:pStyle w:val="Normal"/>
      </w:pPr>
      <w:r>
        <w:t>solders), for soldering, brazing or welding by flame Wire &amp; rods of agglom. base metal powder for metal spray.; metal carbide wire, rods, tubes, electrodes, coated/cored w/flux, for welding etc Nuclear reactors Machinery and apparatus for isotopic separation, and parts thereof Fuel elements (cartridges), non-irradiated and parts thereof Parts of nuclear reactors Watertube boilers with a steam production exceeding 45 tons per hour Watertube boilers with a steam production not exceeding 45 tons per hour Vapor-generating boilers, including hybrid boilers, other than watertube boilers Super-heated water boilers Parts of steam- or other vapor-generating boilers Central heating boilers (other than those of heading 8402) Parts of central heating boilers (other than those of heading 8402) Auxiliary plant for use with boilers of heading 8402 or 8403 Condensers for steam or other vapor power units Parts for auxiliary plant for use with boilers of heading 8402 and 8403 and condensers for steam or vapor power units Producer gas or water gas generators, acetylene gas generators and similar water process gas generators;</w:t>
      </w:r>
    </w:p>
    <w:p>
      <w:pPr>
        <w:pStyle w:val="Normal"/>
      </w:pPr>
      <w:r>
        <w:t>with or without their purifiers Parts for gas generators of subheading 8405.10 Steam turbines for marine propulsion Vapor turbines (other than steam) for marine propulsion Steam turbines other than for marine propulsion, of an output exceeding 40 MW Vapor turbines (excluding steam turbines) other than for marine propulsion, of an output exceeding 40 MW Steam turbines other</w:t>
      </w:r>
    </w:p>
    <w:p>
      <w:pPr>
        <w:pStyle w:val="Normal"/>
      </w:pPr>
      <w:r>
        <w:t>than for marine propulsion, of an output not exceeding 40 MW Vapor turbines (excluding steam turbines) other than for marine propulsion, of an output not exceeding 40 MW Parts of steam turbines, rotors, finished for final assembly Parts of steam turbines, rotors, not further worked than cleaned or machined for removal of fins, etc., or certain other working Parts of steam turbines, blades, rotating or stationary Parts of steam turbines, other Parts of vapor turbines other than steam turbines, rotors, finished for final assembly Parts of vapor turbines other than steam turbines, rotors, not further worked than cleaned or machined for removal of fins, etc., or other Parts of vapor turbines other than steam turbines, blades, rotating or stationary Parts of vapor turbines other than steam turbines, other Spark-ignition reciprocating or rotary internal combustion piston engines for use in aircraft Marine propulsion spark-ignition reciprocating or rotary internal-combustion piston engines for outboard motors Marine propulsion spark-ignition reciprocating or rotary internal-combustion piston engines, nesi Spark-ignition reciprocating piston engines used for propulsion of</w:t>
      </w:r>
    </w:p>
    <w:p>
      <w:pPr>
        <w:pStyle w:val="Normal"/>
      </w:pPr>
      <w:r>
        <w:t>vehicles of chapter 87, of a cylinder capacity not exceeding 50cc Spark-ignition reciprocating piston engines used in tractors suitable for agricultural use, of a cylinder capacity over 50cc but n/o 250cc Spark-ignition reciprocating piston engines used in vehicles of heading</w:t>
      </w:r>
    </w:p>
    <w:p>
      <w:pPr>
        <w:pStyle w:val="Normal"/>
      </w:pPr>
      <w:r>
        <w:t>8701.20, 8702 8704, cylinder capacity</w:t>
      </w:r>
    </w:p>
    <w:p>
      <w:pPr>
        <w:pStyle w:val="Normal"/>
      </w:pPr>
      <w:r>
        <w:t>over 50cc but n/o 250cc Spark-ignition reciprocating piston engines used for vehicles, of chap. 87 nesi, of a cylinder capacity over 50 but not over 250cc Spark-ignition reciprocating piston engines used in tractors for agricultural use, of a cylinder capacity over 250cc but not over 1000cc Spark-ignition reciprocating piston engines, for certain spec. veh. of 8701.20, 8702, 8703 or 8704, cylinder cap. &gt; 250 cc &gt; or = 1, 000 cc Spark-ignition reciprocating piston engines, for other veh. of 8701.20, 8702, 8703 or 8704, cylinder cap. &gt; 250 cc &gt; or = 1, 000 cc, nesi Spark-ignition reciprocating piston engines for vehicles of chap. 87 nesi, of a cylinder capacity over 250cc but not over 1000cc Spark-ignition reciprocating piston engines used in agricultural tractors, cylinder capacity over 1000 cc to 2000 cc Spark-ignition reciprocating piston engines for vehicles of 8701.20 or 8702-8704, cylinder cap. over 1000 cc to 2000 cc, used or rebuilt Spark-ignition reciprocating piston engines for vehicles of 8701.20 or 8702-8704, cylinder cap. over 1000 cc to 2000 cc, new Spark-ignition reciprocating piston engines for other vehicles of chap.</w:t>
      </w:r>
    </w:p>
    <w:p>
      <w:pPr>
        <w:pStyle w:val="Normal"/>
      </w:pPr>
      <w:r>
        <w:t>87, of a cylinder capacity over 1000 cc to 2000 cc Spark-ignition reciprocating piston engines used in agricultural tractors, cylinder capacity over 2000 cc Spark-ignition reciprocating piston engines for vehicles of 8701.20 or 8702-8704, cylinder capacity over 2000 cc, used or rebuilt Spark-ignition reciprocating piston engines for vehicles of 8701.20 or 8702-8704, cylinder capacity over 2000 cc, new Spark-ignition reciprocating piston engines for other vehicles of chap. 87 nesi, of a cylinder capacity exceeding 2000 cc Spark-ignition rotary or reciprocating internal-combustion piston engines nesi, installed in agricultural/horticultural machinery/equipment Spark-ignition rotary or reciprocating internal-combustion piston engines, for machinery or equipment nesi Marine propulsion compression-ignition internal-combustion piston engines Compression-ignition internal-combustion piston engines to be installed in tractors suitable for agricultural use Compression-ignition internal-combustion piston engines to be installed in vehicles of heading 8701.20, 8702, 8703, or 8704 Compression-ignition internal-combustion piston engines used for propulsion of vehicles of chapter 87, nesi Compression-ignition internal-combustion piston engines, to be installed in agricultural or horticultural machinery or equipment, nesi Compression-ignition internal-combustion piston engines, for machinery or equipment, nesi Parts for internal combustion aircraft engines Cast-iron parts used solely or</w:t>
      </w:r>
    </w:p>
    <w:p>
      <w:pPr>
        <w:pStyle w:val="Normal"/>
      </w:pPr>
      <w:r>
        <w:t>principally with spark-ignition internal-combustion piston engines of heading 8407 Aluminum cylinder heads for spark-ignition internal combustion piston engines for vehicles of 8701.20 or 8702-8704 Parts nesi, used solely or principally with spark-ignition internal-combustion piston engines for vehicles of head 8701.20, 8702-8704 Parts nesi, used solely or principally with spark-ignition internal-combustion piston engines for marine propulsion Parts nesi, used solely or principally with spark-ignition internal-combustion piston engines of heading 8407, nesi Cast iron parts not advanced beyond cleaning &amp; machined only for removal of fins, gates, etc.</w:t>
      </w:r>
    </w:p>
    <w:p>
      <w:pPr>
        <w:pStyle w:val="Normal"/>
      </w:pPr>
      <w:r>
        <w:t>or to permit location in machinery Parts nesi, used solely or principally with the engines of heading 8408, for vehicles of heading 8701.20, 8702, 8703, 8704 Parts nesi, used solely or principally with compression-ignition internal-combustion piston engines for marine propulsion Parts nesi, used solely or principally with compression-ignition internal-combustion piston engines of heading 8407 or 8408, nesi Hydraulic turbines and water wheels of a power not exceeding 1,000 kW Hydraulic turbines and water wheels of a power exceeding 1,000 kW but not exceeding 10,000 kW Hydraulic turbines and water wheels of a power exceeding 10,000 kW Parts, including regulators, of hydraulic turbines and water wheels Aircraft turbojets of a thrust not exceeding 25 kN Turbojets of a thrust not exceeding 25 kN, other than aircraft Aircraft turbojets</w:t>
      </w:r>
    </w:p>
    <w:p>
      <w:pPr>
        <w:pStyle w:val="Normal"/>
      </w:pPr>
      <w:r>
        <w:t>of a thrust exceeding 25 kN Turbojets of a thrust exceeding 25 kN, other than aircraft Aircraft turbopropellers of a power not exceeding 1,100 kW Turbopropellers of a power not exceeding 1,100 kW, other than aircraft Aircraft turbopropellers of a power exceeding 1,100 kW Turbopropellers of a power exceeding 1,100 kW, other than aircraft Aircraft gas turbines other than turbojets or turbopropellers, of a power not exceeding 5,000 kW Gas turbines other than turbojets or turbopropellers, of a power not exceeding 5,000 kW, other than aircraft Aircraft gas turbines other than turbojets or turbopropellers, of a power exceeding 5,000 kW Gas turbines, other than turbojets or turbopropellers of a power exceeding 5,000 kW, other than aircraft Cast-iron parts of turbojets or turbopropellers machined only for removal of fins, gates, etc.</w:t>
      </w:r>
    </w:p>
    <w:p>
      <w:pPr>
        <w:pStyle w:val="Normal"/>
      </w:pPr>
      <w:r>
        <w:t>or to permit location in machinery Parts of turbojets or turbopropellers other than those of subheading 8411.91.10 Cast-iron parts of gas turbines nesi, not advanced beyond cleaning, and machined for removal of fins, gates, sprues and risers Parts of gas turbines nesi, other than those of subheading 8411.99.10 Reaction engines other than turbojets Hydraulic power engines and motors, linear acting (cylinders) Hydrojet engines for marine propulsion Hydraulic power engines and motors, nesi Pneumatic power engines and motors, linear acting (cylinders) Pneumatic power engines and motors, other than linear acting Spring-operated and weight-operated motors Engines and motors, nesi (excluding motors of heading 8501) Parts of hydrojet engines for marine propulsion Parts for engines of heading 8412 other than hydrojet engines for marine propulsion Pumps fitted or designed to be fitted with a measuring device, used for dispensing fuel or lubricants, of the type used in filling-stations Pumps for liquids fitted or designed to be fitted with a measuring device, nesi Hand pumps other than those of subheading 8413.11 or</w:t>
      </w:r>
    </w:p>
    <w:p>
      <w:pPr>
        <w:pStyle w:val="Normal"/>
      </w:pPr>
      <w:r>
        <w:t>8413.19, not fitted with a measuring device Fuel-injection pumps for compression-ignition engines, not fitted with a measuring device Fuel, lubricating or cooling medium pumps for internal-combustion piston engines, not fitted with a measuring device, nesi Concrete pumps for liquids, not fitted with a measuring device Reciprocating positive displacement pumps for liquids,</w:t>
      </w:r>
    </w:p>
    <w:p>
      <w:pPr>
        <w:pStyle w:val="Normal"/>
      </w:pPr>
      <w:r>
        <w:t>not fitted with a measuring device, nesi Rotary positive displacement pumps for liquids, not fitted with a measuring device, nesi Stock pumps imported for use with machines for making cellulosic pulp, paper or paperboard, not fitted with a measuring device Centrifugal pumps for liquids, not fitted with a measuring device, nesi Pumps for liquids, not fitted with a measuring device, nesi Liquid elevators Parts of fuel-injection pumps for compression-ignition engines Parts of stock pumps imported for use with machines for making cellulosic pulp, paper or paperboard Parts of pumps, nesi Parts of liquid elevators Vacuum pumps Hand-operated or foot-operated air pumps Compressors of a kind used in refrigerating equipment (including air conditioning) not exceeding 1/4 horsepower Compressors of a kind used in refrigerating equipment (incl.</w:t>
      </w:r>
    </w:p>
    <w:p>
      <w:pPr>
        <w:pStyle w:val="Normal"/>
      </w:pPr>
      <w:r>
        <w:t>air conditioning) exceeding 1/4 horsepower Air compressors mounted on a wheeled chassis for towing Ceiling fans for permanent installation, with a self-contained electric motor of an output not exceeding 125 W Table, floor, wall, window or roof fans, with a self-contained electric motor of an output not exceeding 125 W Blowers for pipe organs Fans used for cooling microprocessors, telecommunications equipment, or computers Turbocharger and supercharger fans Other fans, nesi Ventilating or recycling hoods incorporating a fan, having a maximum horizontal side not exceeding 120 cm Turbocharger and supercharger air compressors Air compressors, nesoi Gas compressors, nesi Air or gas pumps, compressors and fans, nesi Parts of fans (including blowers) and ventilating or recycling hoods Stators and rotors of goods of subheading</w:t>
      </w:r>
    </w:p>
    <w:p>
      <w:pPr>
        <w:pStyle w:val="Normal"/>
      </w:pPr>
      <w:r>
        <w:t>8414.30 Parts of air or gas compressors, nesoi Parts of air or vacuum pumps and ventilating or recycling hoods Window or wall type air conditioning machines, self-contained Window or wall type air conditioning machines, “split-system”, incorporating a refrigerating unit &amp; valve for reversal of cooling/heat cycle Window or wall type air conditioning machines, “split-system”, nesoi Air conditioning machines of a kind used for persons, in motor vehicles Air conditioning machines incorporating a refrigerating unit and valve for reversal of cooling/heat cycle, nesoi Air conditioning machines incorporating a refrigerating unit, nesoi Air conditioning machines not</w:t>
      </w:r>
    </w:p>
    <w:p>
      <w:pPr>
        <w:pStyle w:val="Normal"/>
      </w:pPr>
      <w:r>
        <w:t>incorporating a refrigerating unit Chassis, chassis bases and other outer cabinets for air conditioning machines, Parts for air conditioning machines, nesi Furnace burners for liquid fuel Furnace burners for pulverized solid fuel or for gas, including combination burners Mechanical stokers, including their mechanical grates, mechanical ash dischargers and similar appliances Parts for furnace burners, mechanical stokers, mechanical grates, mechanical ash dischargers and similar appliances Furnaces and ovens for the roasting, melting or other heat treatment of ores, pyrites or of metals Bakery ovens, including biscuit ovens Industrial or laboratory furnaces and ovens nesi, including incinerators, nonelectric Parts for industrial or laboratory furnaces and ovens, including incinerators, nonelectric Combined refrigerator-freezers, fitted with separate external doors, electric or other Refrigerators, household compression-type, electric or other, other than those of subheading 8418.10 Refrigerators, household absorption-type, electrical, other than those of subheading 8418.10 Refrigerators, household type, electric or other, other than those of subheading 8418.10, nesi Freezers of the chest type, not exceeding 800 liters capacity, electric or other Freezers of the upright type, not exceeding 900 liters capacity, electric or other Refrigerating or freezing display counters, cabinets, showcases and similar refrigerating or freezing furniture Heat pumps, other than the</w:t>
      </w:r>
    </w:p>
    <w:p>
      <w:pPr>
        <w:pStyle w:val="Normal"/>
      </w:pPr>
      <w:r>
        <w:t>air-conditioning machines of heading 8415 Refrigerating or freezing equipment nesi Furniture designed to receive refrigerating or freezing equipment Certain door assemblies for refrigerators, freezers and other refrigerating or freezing equipment Parts for refrigerators, freezers and other refrigerating or freezing equipment, electric or other, nesi; parts for heat pumps, nesi Instantaneous gas water heaters, nonelectric Storage water heaters, nonelectric Medical, surgical or laboratory sterilizers Dryers for agricultural products, not used for domestic purposes Dryers for wood Dryers for paper pulp, paper or paperboard Dryers, other than of a kind for domestic purposes, nesoi Distilling or rectifying plant, not used for domestic purposes Brazed aluminum plate-fin heat exchangers Heat exchange units, nesoi Machinery for liquefying air or gas containing brazed aluminum plate-fin heat exchangers Machinery for liquefying air or gas, nesoi Cooking stoves, ranges &amp; ovens, other than microwave, for making hot drinks or for cooking or heating food, not used for domestic purposes Machinery and equipment nesi, for making hot drinks or for cooking or heating food, not used for domestic purposes Machinery and equipment for the treatment of materials (by a process which changes temperatures), for making paper pulp, paper or paperboard Industrial machinery, plant or equip. for the treat.</w:t>
      </w:r>
    </w:p>
    <w:p>
      <w:pPr>
        <w:pStyle w:val="Normal"/>
      </w:pPr>
      <w:r>
        <w:t>of mat., involving a change in temp., for molten-salt-cooled acrylic acid reactors Industrial machinery, plant or equipment for the treatment of materials, by process involving a change in temperature, nesoi Parts of instantaneous or storage water heaters Parts of machinery and plant, for making paper pulp, paper or paperbroad Parts of heat exchange units Parts of molten-salt-cooled acrylic acid reactors, nesi;</w:t>
      </w:r>
    </w:p>
    <w:p>
      <w:pPr>
        <w:pStyle w:val="Normal"/>
      </w:pPr>
      <w:r>
        <w:t>parts of certain medical, surgical or laboratory sterilizers, nesi Parts of electromechanical tools for work in the hand, w/self-contained electric motor, for treatment of materials by change in temperature Parts of machinery, plant or laboratory equipment for the treatment of materials by a process involving a change of temperature, nesoi Textile calendering or rolling machines Calendering or similar rolling machines for making paper pulp, paper or paperboard Calendering or other rolling machines, other than for metals or glass, nesi Cylinders for textile calendering or rolling machines Cylinders for paper pulp, paper or paperboard calendering or rolling machines Cylinders for calendering and similar rolling machines, nesi Parts of calendering or rolling machines for processing textiles Parts of calendering or rolling machines for making paper pulp, paper or paperboard Parts of calendering or other rolling machines, other than for metals or glass, nesi Cream separators Centrifugal clothes dryers Centrifuges, other than cream separators or clothes dryers Machinery</w:t>
      </w:r>
    </w:p>
    <w:p>
      <w:pPr>
        <w:pStyle w:val="Normal"/>
      </w:pPr>
      <w:r>
        <w:t>and apparatus for filtering or purifying water Machinery and apparatus for filtering or purifying beverages other than water Oil or fuel filters for internal combustion engines Filtering or purifying machinery and apparatus for liquids, nesi Intake air filters for internal combustion engines Catalytic converters Filtering or purifying machinery and apparatus for gases, other than intake air filters for internal combustion engines or catalytic conv.</w:t>
      </w:r>
    </w:p>
    <w:p>
      <w:pPr>
        <w:pStyle w:val="Normal"/>
      </w:pPr>
      <w:r>
        <w:t>Drying chambers for the clothes-dryers of subheading 8421.12 and other parts of clothes-dryers incorporating drying chambers Furniture designed to receive the clothes-dryers of subheading 8421.12 Parts of centrifuges, including centrifugal dryers, nesi Parts for filtering or purifying machinery or apparatus for liquids or gases Dishwashing machines of the household type Dishwashing machines other than of the household type Machinery for cleaning or drying bottles or other containers Can-sealing machines Machinery for filling,closing,sealing, capsuling or labeling bottles,cans, boxes or other containers;machinery for aerating beverages; nesoi Machinery for packing or wrapping pipe tobacco, candy and cigarette packages; combination candy cutting and wrapping machines Packing or wrapping machinery, nesoi Water containment chambers for the household dishwashing machines and other parts of the same incorporating water containment chambers Door assemblies for the dishwashing machines of subheading 8422.11 Parts of dishwashing machines,</w:t>
      </w:r>
    </w:p>
    <w:p>
      <w:pPr>
        <w:pStyle w:val="Normal"/>
      </w:pPr>
      <w:r>
        <w:t>nesi Parts of can-sealing machines Parts of machines for packing tobacco, wrapping candy, cigarette packages and of combination candy cutting and wrapping machines Parts of packing or wrapping machinery, nesoi Personal weighing machines, including baby scales;</w:t>
      </w:r>
    </w:p>
    <w:p>
      <w:pPr>
        <w:pStyle w:val="Normal"/>
      </w:pPr>
      <w:r>
        <w:t>household scales Scales for continuous weighing of goods on conveyors using electronic means for gauging weights Other scales for continuous weighing of goods on conveyors Constant weight scales and scales for discharging a predetermined weight of material into a bag or container, including hopper scales Weighing machinery having a maximum weighing capacity not exceeding 30 kg Weighing machinery having a maximum weighing capacity exceeding 30 kg but not exceeding 5,000 kg Weighing machinery with maximum capacity exceeding 5,000 kg, using electronic means for gauging Weighing machinery with maximum capacity exceeding 5,000 kg, not using electronic means for gauging nesi Parts of weighing machinery using electronic means for gauging, except parts for weighing motor vehicles Other parts of weighing machinery, including weights Fire extinguishers, whether or not charged Simple piston pump sprays and powder bellows Spray guns and similar appliances other than simple piston pump sprays and powder bellows Sand blasting machines Steam blasting machines and similar jet projecting machines, other than sand blasting machines; nesi Portable sprayers excl self-contained sprayers having a capacity &gt;=20 liters) Portable sprayers</w:t>
      </w:r>
    </w:p>
    <w:p>
      <w:pPr>
        <w:pStyle w:val="Normal"/>
      </w:pPr>
      <w:r>
        <w:t>self-contained having a capacity &gt;=20 liters Sprayers, not portable, nesoi Agricultural or horticultural projecting or dispersing equipment including irrigation equipment Mechanical appliances for projecting, dispersing or spraying liquids or powders, used for making printed circuits or printed circuit assemblies Other mechanical appliances for projecting, dispersing or spraying liquids or powders, nesi Parts of fire extinguishers Parts of simple piston pump sprays and powder bellows Parts of sand blasting machines Parts of mechanical appliances for projecting, dispersing or spraying liquids or powders, fire extinguishers and similar machines, nesi Pulley tackle and hoists other than skip hoists or hoists used for raising vehicles, powered by electric motor Pulley tackle and hoists other than skip hoists or hoists used for raising vehicles, not powered by electric motor Winches nesi, and capstans, powered by electric motor Winches nesi, and capstans, not powered by electric motor Built-in jacking systems of a type used in garages Hydraulic jacks and hoists, nesi Jacks and hoists of a kind used for raising vehicles, other than hydraulic, nesi Overhead</w:t>
      </w:r>
    </w:p>
    <w:p>
      <w:pPr>
        <w:pStyle w:val="Normal"/>
      </w:pPr>
      <w:r>
        <w:t>traveling cranes on fixed support Mobile lifting frames on tires and straddle carriers Transporter cranes, gantry cranes and bridge cranes Tower cranes Portal or pedestal jib cranes Derricks, cranes and other lifting machinery nesi, self-propelled, on tires Derricks, cranes and other lifting machinery nesi, self-propelled, not</w:t>
      </w:r>
    </w:p>
    <w:p>
      <w:pPr>
        <w:pStyle w:val="Normal"/>
      </w:pPr>
      <w:r>
        <w:t>on tires Derricks, cranes and other lifting machinery nesi, designed for mounting on road vehicles Derricks, cranes and other lifting machinery nesi Self-propelled works trucks powered by an electric motor, rider type forklift trucks Self-propelled works trucks powered by an electric motor, fitted with lifting and handling equipment, nesi Self-propelled works trucks not powered by an electric motor, rider type forklift trucks Self-propelled works trucks not powered by an electric motor, fitted with lifting and handling equipment, nesi Trucks, fitted with lifting or handling equipment, nesi Passenger or freight elevators other than continuous action; skip hoists Pneumatic elevators and conveyors Continuous-action elevators and conveyors, for goods or materials, specially designed for underground use Bucket type continuous-action elevators and conveyors, for goods or materials Belt type continuous-action elevators and conveyors, for goods or materials Continuous-action elevators and conveyors, for goods or materials, nesi Escalators and moving walkways Teleferics, chair lifts, ski draglines; traction mechanisms for funiculars Machinery for lifting, handling, loading or unloading, nesi Self-propelled bulldozers and angledozers, for track laying Self-propelled bulldozers and angledozers other than track laying Self-propelled graders and levelers Self-propelled scrapers Self-propelled tamping machines and road rollers Self-propelled front-end shovel loaders, wheel-type</w:t>
      </w:r>
    </w:p>
    <w:p>
      <w:pPr>
        <w:pStyle w:val="Normal"/>
      </w:pPr>
      <w:r>
        <w:t>Self-propelled front-end shovel loaders, other than wheel-type Self-propelled backhoes, shovels, clamshells and draglines with a 360 degree revolving superstructure Self-propelled machinery with a 360 degree revolving superstructure, other than backhoes, shovels, clamshells and draglines Self-propelled backhoes, shovels, clamshells and draglines not with a 360 degree revolving superstructure Self-propelled machinery not with a 360 degree revolving superstructure, other than backhoes, shovels, clamshells and draglines Pile-drivers and pile-extractors Snowplows and snowblowers Self-propelled coal or rock cutters and tunneling machinery Coal or rock cutters and tunneling machinery, not self-propelled Self-propelled boring or sinking machinery Offshore oil and natural gas drilling and production platforms Boring or sinking machinery, not self-propelled, nesi Self-propelled peat excavators Self-propelled machinery for working earth, minerals or ores, nesi Tamping or compacting machinery, not self-propelled Machinery for working earth, minerals or ores, not self-propelled, nesoi Parts suitable for use solely or principally with the machinery of heading 8425 Parts suitable for use solely or principally with the machinery of heading 8427 Parts suitable for use solely or principally with passenger or freight elevators other than continuous action, skip hoists or escalators Parts suitable for use solely or principally with the machinery of heading 8428, nesi Buckets, shovels, grabs</w:t>
      </w:r>
    </w:p>
    <w:p>
      <w:pPr>
        <w:pStyle w:val="Normal"/>
      </w:pPr>
      <w:r>
        <w:t>and grips suitable for use solely or principally with the machinery of headings 8426, 8429, or 8430 Bulldozer or angledozer blades suitable for use solely or principally with the machinery of heading 8426, 8429 or 8430 Parts for offshore oil &amp; natural gas, drilling and production platforms Parts for boring or sinking machinery of 8430.41 or 8430.49, nesi Parts suitable for use solely or principally with the machinery of heading 8426, nesi Parts suitable for use solely or principally with the machinery of heading 8429 or 8430, nesi Plows for soil preparation or cultivation Disc harrows for soil preparation or cultivation Harrows (other than disc), scarifiers, cultivators, weeders and hoes for soil preparation or cultivation No-till direct seeders, planters and transplanters Seeders, planters and transplanters, nesoi Manure spreaders Fertilizer distributors Agricultural, horticultural or forestry machinery for soil preparation or cultivation, nesi; lawn or sports ground rollers Parts of agricultural, horticultural or forestry machinery for soil preparation or cultivation;</w:t>
      </w:r>
    </w:p>
    <w:p>
      <w:pPr>
        <w:pStyle w:val="Normal"/>
      </w:pPr>
      <w:r>
        <w:t>parts of lawn or sports ground rollers Mowers for lawns, parks or sports grounds, powered, with the cutting device rotating in a horizontal plane Mowers for lawns, parks or sports grounds, nesi Mowers nesi, including cutter bars for tractor mounting Haymaking machinery other than mowers Straw or fodder balers, including pick-up balers Combine harvester-threshers Threshing machinery other than combine</w:t>
      </w:r>
    </w:p>
    <w:p>
      <w:pPr>
        <w:pStyle w:val="Normal"/>
      </w:pPr>
      <w:r>
        <w:t>harvester-threshers Root or tuber harvesting machines Harvesting machinery or threshing machinery, nesi Machines for cleaning, sorting or grading eggs, fruit or other agricultural produce Parts of mowers for lawns, parks or sports grounds Parts for machinery of heading 8433, nesi Milking machines Dairy machinery other than milking machines Parts for milking machines and dairy machinery Presses, crushers and similar machinery used in the manufacture of wine, cider, fruit juices or similar beverages Parts of presses, crushers and similar machinery used in the manufacture of wine, cider, fruit juices or similar beverages Machinery for preparing animal feeds Poultry incubators and brooders Poultry-keeping machinery Agricultural, horticultural, forestry or bee-keeping machinery, nesi Parts of poultry-keeping machinery or poultry incubators and brooders Parts for agricultural, horticultural, forestry or bee-keeping machinery, nesi Machines for cleaning, sorting or grading seed, grain or dried leguminous vegetables Machinery used in the milling industry or for the working of cereals or dried leguminous vegetables, other than farm type machinery Parts for machinery used in the milling industry or for</w:t>
      </w:r>
    </w:p>
    <w:p>
      <w:pPr>
        <w:pStyle w:val="Normal"/>
      </w:pPr>
      <w:r>
        <w:t>cleaning,sorting,grading or working of cereals or dried leguminous vegetables Bakery machinery and machinery for the manufacture of macaroni, spaghetti or similar products, nesi Machinery for the manufacture of confectionery, cocoa or chocolate, nesi Machinery for sugar manufacture,</w:t>
      </w:r>
    </w:p>
    <w:p>
      <w:pPr>
        <w:pStyle w:val="Normal"/>
      </w:pPr>
      <w:r>
        <w:t>nesi Brewery machinery, nesi Machinery for the preparation of meat or poultry, nesi Machinery for the preparation of fruits, nuts or vegetables, nesi Machinery for the industrial preparation or manufacture of food or drink, nesi Parts of machinery for sugar manufacture, nesi Parts of machinery for the industrial preparation or manufacture of food or drink, other than sugar manufacturing, nesi Machinery for making pulp of fibrous cellulosic material Machinery for making paper or paperboard Machinery for finishing paper or paperboard Bed plates, roll bars and other stock-treating parts of machinery for making pulp of fibrous cellulosic materials Parts of machinery for making pulp of fibrous cellulosic materials, nesi Parts of machinery for making paper or paperboard Parts of machinery for finishing paper or paperboard Bookbinding machinery, including book-sewing machines Parts for bookbinding machinery, including book-sewing machines Cutting machines of all kinds used for making up paper pulp, paper or paperboard Machines for making bags, sacks or envelopes of paper pulp, paper or paperboard Machines for making cartons, boxes, cases, tubes,</w:t>
      </w:r>
    </w:p>
    <w:p>
      <w:pPr>
        <w:pStyle w:val="Normal"/>
      </w:pPr>
      <w:r>
        <w:t>drums or similar containers, other than by molding, of paper pulp, paper or paperboard Machines for molding articles in paper pulp, paper or paperboard Machinery for making up paper pulp, paper or paperboard, nesi Parts for machinery used in making up paper pulp, paper or paperboard, including cutting machines Machinery, apparatus and</w:t>
      </w:r>
    </w:p>
    <w:p>
      <w:pPr>
        <w:pStyle w:val="Normal"/>
      </w:pPr>
      <w:r>
        <w:t>equipment of heading 8442 Parts of the machinery, apparatus or equipment of subheadings 8442.10, 8442.20 and 8442.30 Printing plates Printing type, blocks, cylinders and other printing components; blocks, cylinders and lithographic stones, prepared for printing purposes Reel-fed offset printing machinery, double-width newspaper printing presses Reel-fed offset printing machinery, other than double-width newspaper printing presses Sheet-fed offset printing machinery, office type (sheet size not exceeding 22 X 36 cm) Offset printing machinery, nesi Letterpress printing machinery, excluding flexographic printing, reel-fed Letterpress printing machinery, excluding flexographic printing, other than reel-fed Flexographic printing machinery Gravure printing machinery Textile printing machinery Printing machinery, nesoi Multifunction units (machines which perform two or more of the functions of printing, copying or facsimile transmission, capable of connecti Printer units, capable of connecting to an automatic data processing machine or to a network Single function units other than printer units (machines which perform only one of the functions of printing, copying or facsimile transmiss Electrostatic photocopying apparatus, operating by reproducing the original image directly onto the copy (direct process) Electrostatic photocopying apparatus, operating by reproducing the original image via an intermediate onto the copy (indirect process) Photocopying apparatus, other than</w:t>
      </w:r>
    </w:p>
    <w:p>
      <w:pPr>
        <w:pStyle w:val="Normal"/>
      </w:pPr>
      <w:r>
        <w:t>electrostatic, incorporating an optical system Photocopying apparatus, other than electrostatic, of the contact type Thermocopying apparatus Copying machines, nesoi Other printers, copying machines or facsimile machines, nesoi Machines for uses ancillary to printing Parts of textile printing machinery Parts for printing machinery other than textile printing machinery Accessory &amp; auxiliary machines intended for attachment to an electrostatic photocopier &amp; which do not operate independent of such copier Parts of printer units of subheading 8443.32.10 specified in additional U.S. note 2 to this chapter Parts and accessories of printers, nesoi Parts of facsimile machines specified in additional U.S. note 3 to this chapter Parts and accessories of facsimile machines, nesoi Parts of photocopying apparatus of subheading 8443.39.20 specified in additional U.S.</w:t>
      </w:r>
    </w:p>
    <w:p>
      <w:pPr>
        <w:pStyle w:val="Normal"/>
      </w:pPr>
      <w:r>
        <w:t>note 4 to this chapter Parts and acessories of copying machines; nesoi Parts and acessories of other printing, copying or facsimile machines; nesoi Machines for extruding, drawing, texturing or cutting man-made textile materials Carding machines for preparing textile fibers Combing machines for preparing textile fibers Drawing or roving machines for preparing textile fibers Machines for preparing textile fibers, nesi Textile spinning machines Textile doubling or twisting machines Textile winding (including weft-winding) or reeling machines Machinery for producing textile yarns nesi;</w:t>
      </w:r>
    </w:p>
    <w:p>
      <w:pPr>
        <w:pStyle w:val="Normal"/>
      </w:pPr>
      <w:r>
        <w:t>machines for preparing textile yarns for use on machines of heading 8446 or 8447 Weaving machines (looms) for weaving fabrics of a width not exceeding 30 cm Shuttle type power looms for weaving fabrics of a width exceeding 4.9 m Shuttle type power looms for weaving fabrics of a width exceeding 30 cm, but not exceeding 4.9 m Weaving machines for weaving fabrics of a width exceeding 30 cm, shuttle type, nesi Shuttleless type power looms, for weaving fabrics of a width exceeding 4.9 m, nesi Shuttleless type weaving machines (looms), for weaving fabrics of a width exceeding 30 cm, nesi Circular knitting machines with cylinder diameter not exceeding 165 mm, for knitting hosiery Circular knitting machines with cylinder diameter not exceeding 165 mm, other than for knitting hosiery Circular knitting machines with cylinder diameter exceeding 165 mm, for knitting hosiery Circular knitting machines with</w:t>
      </w:r>
    </w:p>
    <w:p>
      <w:pPr>
        <w:pStyle w:val="Normal"/>
      </w:pPr>
      <w:r>
        <w:t>cylinder diameter exceeding 165 mm, other than for knitting hosiery V-bed flat knitting machines, power driven, over 50.8 mm in width V-bed flat knitting machines, nesi Warp knitting machines Flat knitting machines, other than V-bed or warp; stitch-bonding machines Braiding and lace-braiding machines Embroidery machines Knitting machines other than circular or flat knitting; machines for making gimped yarn, tulle, trimmings or net;</w:t>
      </w:r>
    </w:p>
    <w:p>
      <w:pPr>
        <w:pStyle w:val="Normal"/>
      </w:pPr>
      <w:r>
        <w:t>machines for tufting Dobbies and Jacquards, card reducing, copying, punching or assembling machines for use with machines of heading 8444, 8445, 8446 or 8447 Auxiliary machinery for machines of heading 8444, 8445, 8446 or 8447, nesi Parts and accessories of machines for extruding or drawing man-made textile filaments Parts and accessories of machines of heading 8444 or of their auxiliary machinery, nesi Card clothing as parts and accessories of machines of heading 8445 or of their auxiliary machinery Parts and accessories of machines for preparing textile fibers, other than card clothing Spindles, spindle flyers, spinning rings and ring travellers of machines of heading 8445 or of their auxiliary machines Parts of spinning, doubling or twisting machines of heading 8445 or of their auxiliary machinery Parts of winding or reeling machines of heading 8445 or of their auxiliary machinery Parts and accessories of machines of heading 8445 or their auxiliary machinery, nesi Reeds for looms, healds and heald-frames of weaving machines (looms) or their</w:t>
      </w:r>
    </w:p>
    <w:p>
      <w:pPr>
        <w:pStyle w:val="Normal"/>
      </w:pPr>
      <w:r>
        <w:t>auxiliary machinery Shuttles for weaving machines (looms) Parts and accessories of weaving machines (looms) or of their auxiliary machinery, other than shuttles, reeds, healds and heald-frames Latch needles for knitting machines Spring-beard needles for knitting machines Needles for knitting machines other than latch needles or spring-beard needles Sinkers, needles and other articles used to form stitches, nesi, for machines of heading Parts of knitting machines of heading 8447 or of their auxiliary machinery, nesi Accessories of machines of heading 8447 or of their auxiliary machinery, nesi Finishing machinery for felt or nonwovens and parts thereof Machinery for making felt hats; blocks for making hats;</w:t>
      </w:r>
    </w:p>
    <w:p>
      <w:pPr>
        <w:pStyle w:val="Normal"/>
      </w:pPr>
      <w:r>
        <w:t>parts thereof Household- or laundry-type washing machines, each of a dry linen capacity not exceeding 10 kg, fully automatic Household- or laundry-type washing machines, each of a dry linen capacity not exceeding 10 kg, with built-in centrifugal driers, nesi Household- or laundry-type washing machines, each of a dry linen capacity not exceeding 10 kg, nesi Household- or laundry-type washing machines, each of a dry linen capacity exceeding 10 kg Tub and tub assemblies for household- or laundry-type washing machines Furniture designed to receive household- or laundry-type washing machines Parts for household- or laundry-type washing machines, nesi Dry-cleaning machines Drying machines, each of a dry linen capacity not exceeding 10 kg Drying machines for yarns, fabrics or made</w:t>
      </w:r>
    </w:p>
    <w:p>
      <w:pPr>
        <w:pStyle w:val="Normal"/>
      </w:pPr>
      <w:r>
        <w:t>up textile articles, each of a dry linen capacity exceeding 10 kg Ironing machines and presses (including fusing presses) for textile fabrics or made up textile articles Washing, bleaching or dyeing machines for textile yarns, fabrics or made up textile articles Machines for reeling, unreeling, folding, cutting or pinking textile fabrics Machinery for the handling of textile yarns, fabrics or made up textile articles, nesi Drying chambers for the drying machines of subheading 8451.21 or 8451.29, and other parts of drying machines incorporating drying chambers Furniture designed to receive the drying machines of subheading 8451.21 or</w:t>
      </w:r>
    </w:p>
    <w:p>
      <w:pPr>
        <w:pStyle w:val="Normal"/>
      </w:pPr>
      <w:r>
        <w:t>8451.29 Parts of machines for the handling of textile yarns, fabrics or made up textile articles, nesi Sewing machines of the household type Sewing machines specially designed to join footwear soles to uppers, automatic Sewing machines, automatic, nesi Sewing machines, other than automatic, specially designed to join footwear soles to uppers Sewing machines, other than automatic, nesi Sewing machine needles Furniture, bases and covers for sewing machines, and parts thereof Parts of sewing machines, nesi Machinery for preparing, tanning or working hides, skins or leather Machinery for making or repairing footwear Machinery, nesi, for making or repairing articles of hides, skins or leather Parts of machinery for making or repairing footwear Parts of machinery for preparing, tanning or working hides, skins or leather or making or repairing articles</w:t>
      </w:r>
    </w:p>
    <w:p>
      <w:pPr>
        <w:pStyle w:val="Normal"/>
      </w:pPr>
      <w:r>
        <w:t>of same, nesi Converters of a kind used in metallurgy or in metal foundries Ingot molds and ladles, of a kind used in metallurgy or in metal foundries Casting machines, of a kind used in metallurgy or in metal foundries Parts of converters, ladles, ingot molds and casting machines, of a kind used in metallurgy or in metal foundries Metal-rolling tube mills Metal-rolling mills, other than tube mills, hot or combination hot and cold Metal-rolling mills, other than tube mills, cold Rolls for metal-rolling mills Parts for metal-rolling mills, other than rolls, in the form of castings or weldments, individually weighing less than 90 tons Parts for metal-rolling mills, other than rolls, nesi Machine tools operated by laser, for working metal Machine tools operated by laser, of a kind used solely or principally for manufacture of printed circuits Machine tools operated by laser, nesoi Machine tools operated by light or photon beam processes, for working metal Machine tools operated by light or photon beam processes, of a kind used solely</w:t>
      </w:r>
    </w:p>
    <w:p>
      <w:pPr>
        <w:pStyle w:val="Normal"/>
      </w:pPr>
      <w:r>
        <w:t>or principally for the manufacture of printed circuits Machine tools operated by light or photon beam processes, nesoi Machine tools operated by ultrasonic processes, for working metal Machine tools operated by ultrasonic processes, other than for working metal Machine tools operated by electro-discharge processes, for working metal Machine tools operated by electro-discharge processes, other than for working metal Machine tools operated by plasma</w:t>
      </w:r>
    </w:p>
    <w:p>
      <w:pPr>
        <w:pStyle w:val="Normal"/>
      </w:pPr>
      <w:r>
        <w:t>arc process, for working metal Machine tools operated by plasma arc process, other than for working metal Water-jet cutting machines Machine tools operated by electro-chemical or ionic-beam processes, for working metal Machine tools operated by electro-chemical or ionic-beam processes, other than for working metal Machining centers for working metal Unit construction machines (single station), for working metal Multistation transfer machines for working metal Horizontal lathes (including turning centers) for removing metal, numerically controlled Horizontal lathes (including turning centers) for removing metal, other than numerically controlled Vertical turret lathes (including turning centers) for removing metal, numerically controlled Lathes (including turning centers), other than horizontal or vertical turret lathes, for removing metal, numerically controlled Vertical turret lathes (including turning centers) for removing metal, other than numerically controlled Lathes (including turning centers), other than horizontal or vertical turret lathes, for removing metal, other than numerically controlled Way-type unit head machines for drilling, boring, milling, threading or tapping by removing metal, other than lathes of heading 8458 Drilling machines, numerically controlled, nesi Drilling machines, other than numerically controlled, nesi Boring-milling machines, numerically controlled, nesi Boring-milling machines, other than numerically controlled, nesi Boring machines,</w:t>
      </w:r>
    </w:p>
    <w:p>
      <w:pPr>
        <w:pStyle w:val="Normal"/>
      </w:pPr>
      <w:r>
        <w:t>numerically controlled, nesoi Boring machines, not numerically controlled, nesoi Milling machines, knee type, numerically controlled, nesi Milling machines, knee type, other than numerically controlled, nesi Milling machines, other than knee type, numerically controlled, nesi Milling machines, other than knee type, other than numerically controlled, nesi Other threading or tapping machines, numerically controlled Other threading or tapping machines nesi Flat-surface grinding machines, numerically controlled Flat-surface grinding machines, not numerically controlled Centerless grinding machines, numerically controlled Other cylindrical grinding machines, numerically controlled Other grinding machines, numerically controlled Other grinding machines, other than numerically controlled Sharpening (tool or cutter grinding) machines for working metal or cermets, numerically controlled Sharpening (tool or cutter grinding) machines for working metal or cermets, other than numerically controlled Honing or lapping machines for working metal or cermets, numerically controlled Honing or lapping machines for working metal or cermets, other than numerically controlled Other machine tools for deburring, polishing or otherwise finishing metal or cermets, nesoi, numerically controlled Other machine tools for deburring, polishing or otherwise finishing metal or cermets, nesoi, other than numerically controlled Shaping or slotting machines for working by removing metal or cermets, numerically</w:t>
      </w:r>
    </w:p>
    <w:p>
      <w:pPr>
        <w:pStyle w:val="Normal"/>
      </w:pPr>
      <w:r>
        <w:t>controlled Shaping or slotting machines for working by removing metal or cermets, other than numerically controlled Broaching machines for working by removing metal or cermets, numerically controlled Broaching machines for working by removing metal or cermets, other than numerically controlled Gear cutting machines for working by removing metal or cermets Gear grinding or finishing machines for working by removing metal or cermets Sawing or cutting-off machines for working by removing metal or cermets, numerically controlled Sawing or cutting-off machines for working by removing metal or cermets, other than numerically controlled Machine-tools for working by removing metal or cermets, nesoi, numerically controlled Machine-tools for working by removing metal or cermets, nesoi, other than numerically controlled Forging or die-stamping machines (including presses) and hammers Bending, folding, straightening or flattening machines (including presses) numerically controlled for working metal or metal carbides Bending, folding, straightening or flattening machines (including presses) not numerically controlled for working metal or metal carbides Shearing machines (incl. presses), excl. combined punching &amp; shearing machines, numerically controlled for working metal or metal carbides Shearing machines (incl. presses), excl. combined punch &amp; shearing machines, nt numerically controlled for working metal or metal carbides Punch/notch machines (incl. presses), incl.</w:t>
      </w:r>
    </w:p>
    <w:p>
      <w:pPr>
        <w:pStyle w:val="Normal"/>
      </w:pPr>
      <w:r>
        <w:t>combined punch &amp; shearing machines, numerically controlled for working metal or metal carbides Punch/notch machines (incl. presses), incl.</w:t>
      </w:r>
    </w:p>
    <w:p>
      <w:pPr>
        <w:pStyle w:val="Normal"/>
      </w:pPr>
      <w:r>
        <w:t>combined punch &amp; shear machines, nt numerically controlled for working metal or metal carbides Hydraulic presses, numerically controlled Hydraulic presses, not numerically controlled Machine tools (including nonhydraulic presses) for working metal or metal carbides, nesi, numerically controlled Machine tools (including nonhydraulic presses) for working metal or metal carbides, nesi, not numerically controlled Draw-benches for bars, tubes, profiles, wire or the like, for working metal or cermets, without removing material Thread rolling machines for working metal or cermets, without removing material Machines for working wire of metal or cermets, without removing material Machine tools for working metal or cermets, without removing material, nesoi Sawing machines for working stone, ceramics, concrete, asbestos-cement or like mineral materials or for cold working glass Grinding or polishing machines for working stone, ceramics, concrete, asbestos- cement or like mineral materials, or glass, nesi Machine tools for working stone, ceramics, concrete, asbestos-cement or like mineral materials or for cold working glass, nesoi Machines for working certain hard materials which can carry out different types of machining operations w/o tool change between operations Machine centers for sawing, planing, milling, molding, grinding, sanding,</w:t>
      </w:r>
    </w:p>
    <w:p>
      <w:pPr>
        <w:pStyle w:val="Normal"/>
      </w:pPr>
      <w:r>
        <w:t>polishing, drilling or mortising Machine centers for bending or assembling Machine centers, nesoi Sawing machines for working wood, cork, bone, hard rubber, hard plastics or similar hard materials Planing, milling or molding (by cutting) machines for working wood, cork, bone, hard rubber, hard plastics or similar hard materials Grinding, sanding or polishing machines for working wood, cork, bone, hard rubber, hard plastics or similar hard materials Bending or assembling machines for working wood, cork, bone hard rubber, hard plastics or similar hard materials Drilling or mortising machines for working wood, cork, bone, hard rubber, hard plastics or similar hard materials Splitting, slicing or paring machines for working wood, cork, bone, hard rubber, hard plastics or similar hard materials Machine tools for working wood, cork, bone, hard rubber, hard plastics and similar hard materials, nesoi Tool holders and self-opening dieheads for use solely or principally with machines of headings 8456 to 8465, nesoi Work holders for machine tools used in cutting gears Work holders for machine tools other than those used</w:t>
      </w:r>
    </w:p>
    <w:p>
      <w:pPr>
        <w:pStyle w:val="Normal"/>
      </w:pPr>
      <w:r>
        <w:t>in cutting gears, nesoi Dividing heads for use solely or principally for machine tools of headings 8456 to Special attachments (which are machines) use solely or principally for machines of heading 8456 to 8465, excluding dividing heads, nesoi Special attachments for use solely or principally for machine tools of headings 8456 to 8465, nesoi Cast iron parts not advanced</w:t>
      </w:r>
    </w:p>
    <w:p>
      <w:pPr>
        <w:pStyle w:val="Normal"/>
      </w:pPr>
      <w:r>
        <w:t>beyond cleaning and specifically machined, for machines of heading 8464 Parts and accessories nesi, for machines of heading 8464 Cast-iron parts not advanced beyond cleaning and specifically machined, for machines of heading 8465 Parts and accessories nesi, for machines of heading 8465 Certain parts for water-jet cutting machines Certain specified cast-iron parts not advanced beyond cleaning and specifically machined, for metalworking machine tools for cutting, etc. Certain specified parts and accessories of metal working machine tools for cutting gears Certain specified parts and accessories for machines of heading 8456 to 8461, nesoi Other cast-iron parts not advanced beyond cleaning and specifically machined, for metalworking machine tools for cutting, etc.</w:t>
      </w:r>
    </w:p>
    <w:p>
      <w:pPr>
        <w:pStyle w:val="Normal"/>
      </w:pPr>
      <w:r>
        <w:t>Other parts and accessories of metal working machine tools for cutting gears Parts &amp; accessories for machines of heading 8456 to 8461 used to make printed circuits or PCAs, parts of heading 8517 or computers Other parts and accessories for machines of heading 8456 to 8461, nesoi Certain specified cast-iron parts not advanced beyond cleaning and specifically machined, for machines of heading 8462 or 8463 Other cast-iron parts not advanced beyond cleaning and specifically machined, for machines of heading 8462 or 8463 Other specified parts and accessories for machines of heading 8462 or 8463, nesoi Other parts and accessories for machines of heading 8462 or 8463, nesoi Tools for working in the hand, pneumatic, rotary</w:t>
      </w:r>
    </w:p>
    <w:p>
      <w:pPr>
        <w:pStyle w:val="Normal"/>
      </w:pPr>
      <w:r>
        <w:t>type, suitable for metal working Tools for working in the hand, pneumatic, rotary type, other than suitable for metal working Tools for working in the hand, pneumatic, other than rotary type, suitable for metal working Tools for working in the hand, pneumatic, other than rotary type, other than suitable for metal working Electromechanical drills of all kinds for working in the hand, with self-contained electric motor Electromechanical saws for working in the hand, with self-contained electric motor Electromechanical tools for working in the hand, other than drills or saws, with self- contained electric motor Chain saws for working in the hand, hydraulic or with self-contained nonelectric motor Other tools for working in the hand, hydraulic or with self-contained nonelectric motor, suitable for metal working, nesoi Other tools for working in the hand, hydraulic or with self-contained nonelectric motor, other than suitable for metal working, nesoi Parts of chain saws Parts of pneumatic tools for working in the hand Parts of tools for working in the hand, hydraulic or with self-contained</w:t>
      </w:r>
    </w:p>
    <w:p>
      <w:pPr>
        <w:pStyle w:val="Normal"/>
      </w:pPr>
      <w:r>
        <w:t>nonelectric or electric motor, other than chain saws Hand-held blow torches Gas-operated machinery, apparatus and appliances, hand-directed or -controlled, used for soldering, brazing, welding or tempering, nesi Gas-operated machinery, apparatus and appliances, not hand-directed or -controlled, used for soldering, brazing, welding or tempering, nesi Machinery and apparatus, hand-directed or</w:t>
      </w:r>
    </w:p>
    <w:p>
      <w:pPr>
        <w:pStyle w:val="Normal"/>
      </w:pPr>
      <w:r>
        <w:t>-controlled, used for soldering, brazing or welding, not gas-operated Machinery and apparatus other than hand-directed or -controlled, used for soldering, brazing or welding, not gas-operated Parts of hand-directed or -controlled machinery, apparatus and appliances used for soldering, brazing, welding or tempering Parts for machinery, apparatus or appliances, not hand-directed or -controlled, used for soldering, brazing, welding or tempering Electronic calculator operate w/o external electric power &amp; pocket-size data recording/reproducing/displaying machine w/calculating function Electronic calculating machines, incorporating a printing device, nesi Electronic calculating machines, not incorporating a printing device, nesi Calculating machines nesi, other than electronic Cash registers Postage-franking, ticket-issuing and similar machines nesi, incorporating a calculating device; accounting machines Portable automatic data processing machines, not over 10 kg, consisting at least a central processing unit, keyboard and display ADP machines, nonportable or over 10 kg, comprise in the same housing least central processing unit and input &amp; output unit ADP machines, nesoi, entered as a system (consisting of a central processing unit, an input unit, and an output unit) Processing units other than those of subheading 8471.41 and 8471.49, nesoi Combined input/output units for automatic data processing machines not entered with the rest of a system Keyboards for automatic data</w:t>
      </w:r>
    </w:p>
    <w:p>
      <w:pPr>
        <w:pStyle w:val="Normal"/>
      </w:pPr>
      <w:r>
        <w:t>processing machines not entered with the rest of a system Input or output units suitable for physical incorporation into ADP machine or unit thereof,nesoi, not entered with the rest of a system Optical scanners and magnetic ink recognition devices not entered with the rest of a ADP system Other input or output units of digital ADP machines, nesoi, not entered with the rest of a system ADP magnetic disk drive storage units, disk dia. ov 21 cm,w/o read-write unit; read- write units; all not entered with the rest of a system ADP magnetic disk drive storage units, disk dia. ov 21 cm: for incorp. into ADP machines or units, not entered with the rest of a system ADP magnetic disk drive storage units, disk dia. ov 21 cm, nesoi, not entered with the rest of a system ADP magnetic disk drive storage units, disk dia. n/ov 21 cm,not in cabinet, w/o attached external power supply, n/entered w/rest of a system ADP magnetic disk drive storage units, disk dia.</w:t>
      </w:r>
    </w:p>
    <w:p>
      <w:pPr>
        <w:pStyle w:val="Normal"/>
      </w:pPr>
      <w:r>
        <w:t>n/ov 21 cm, nesoi, not entered with the rest of a system ADP storage units other than magnetic disk, not in cabinets for placing on a table, etc., not entered with the rest of a system ADP storage units other than magnetic disk drive units, nesoi, not entered with the rest of a system Control or adapter units for automatic data processing machines not entered with rest of a system Unit suitable for physical incorporation into automatic data processing machine or unit thereof,not entered with the rest of a system, nesoi Other units of automatic data processing machines, not entered with the rest of a system, nesoi Magnetic or optical readers, nesoi; machines for transcribing data on data media in coded form and machines for processing such data, nesoi Hectographic or stencil duplicating machines Machines for sorting, folding, opening, closing or sealing mail, and postage stamp affixing or canceling machines Addressing machines and address plate embossing machines Automatic teller machines Pencil sharpeners Typewriters other than printers of heading 8443;</w:t>
      </w:r>
    </w:p>
    <w:p>
      <w:pPr>
        <w:pStyle w:val="Normal"/>
      </w:pPr>
      <w:r>
        <w:t>word processing machines Numbering, dating and check-writing machines Other office machines, nesoi Parts and accessories of the electronic calculating machines of subheading 8470.10, 8470.21 or 8470.29 Parts and accessories of machines of heading 8470, nesi Printed circuit assemblies, not incorporating a cathode ray tube, of the machines of Parts and accessories of the ADP machines of heading 8471, not incorporating a CRT,</w:t>
      </w:r>
    </w:p>
    <w:p>
      <w:pPr>
        <w:pStyle w:val="Normal"/>
      </w:pPr>
      <w:r>
        <w:t>parts and accessories of printed circuit assemblies Parts and accessories of the ADP machines of heading 8471, not incorporating a CRT, nesi Parts and accessories of the ADP machines of heading 8471, incorporating a CRT, nesi Printed circuit assemblies for automatic teller machines of subheading 8472.90.10 Printed circuit assemblies of word processing machines of 8472.90.50 Other parts and accessories of the machines of 8472.90.50 Other parts and accessories of machines of heading 8472, nesoi Printed circuit assemblies suitable for use with machines of two or more of the headings 8469 to 8472 Part/accessory (also face plate and lock latch) of printed circuit assemblies suitable for use w/machine of two or more heading 8469 to 8472 Parts and accessories, nesoi, suitable for use with machines of two or more of the headings 8469 to 8472 Sorting, screening, separating or washing machines for earth, stones, ores or other mineral substances in solid form Crushing or grinding machines for earth, stones, ores or other mineral substances Concrete or mortar mixers Machines for mixing mineral substances with bitumen Mixing or kneading machines for earth, stones, ores or other mineral substances, nesi Machinery for agglomerating, shaping or molding solid mineral fuels, or other mineral products;</w:t>
      </w:r>
    </w:p>
    <w:p>
      <w:pPr>
        <w:pStyle w:val="Normal"/>
      </w:pPr>
      <w:r>
        <w:t>machines for forming sand foundry molds Parts for the machinery of heading 8474 Machines for assembling electric or electronic lamps, tubes or flashbulbs, in glass envelopes Machines for making</w:t>
      </w:r>
    </w:p>
    <w:p>
      <w:pPr>
        <w:pStyle w:val="Normal"/>
      </w:pPr>
      <w:r>
        <w:t>glass optical fibers and preforms thereof Machines for manufacturing or hot working glass or glassware, nesoi Parts of machines for assembling electric or electronic lamps, tubes or flashbulbs, in glass envelopes Parts of machines for manufacturing or hot working glass or glassware Automatic beverage-vending machines incorporating heating or refrigerating devices Automatic beverage-vending machines other than machines that incorporate heating or refrigerating devices Automatic goods-vending machines (other than beverage-vending) incorporating heating or refrigerating devices Automatic goods-vending (other than beverage-vending but incl. money-changing machines) not incorporating heating or refrigerating devices Parts for automatic goods-vending and money-changing machines Injection-molding machines for manufacturing shoes of rubber or plastics Injection-molding machines for use in the manufacture of video laser discs Injection-molding machines of a type used for working or manufacturing products from rubber or plastics, nesoi Extruders for working rubber or plastics or for the manufacture of products from these materials, nesi Blow-molding machines for working rubber or plastics or for the manufacture of products from these materials Vacuum-molding and other thermoforming machines for working rubber or plastics or for manufacture of products from these materials, nesoi Machinery for molding or retreading pneumatic tires or for molding or otherwise forming inner tubes</w:t>
      </w:r>
    </w:p>
    <w:p>
      <w:pPr>
        <w:pStyle w:val="Normal"/>
      </w:pPr>
      <w:r>
        <w:t>Machinery for molding or otherwise forming rubber or plastics other than for molding or retreading pneumatic tires, nesoi Machinery for working rubber or plastics or for the manufacture of products from these materials, nesi Base, bed, platen and specified parts of machinery for working rubber or plastics or for manufacture of products from these material, nesoi Barrel screws of machinery for working rubber or plastics or for the manufacture of products from these materials, nesoi Hydraulic assemblies of machinery for working rubber or plastics or for the manufacture of products from these materials, nesoi Parts of machinery for working rubber or plastics or for the manufacture of products from these materials, nesoi Machinery for preparing or making up tobacco, nesi Parts of machinery for preparing or making up tobacco, nesi Machinery for public works, building or the like, nesi Machinery for the extraction or preparation of animal or fixed vegetable fats or oils, nesi Presses for making particle board or fiber building board of wood or other ligneous materials, and mach. for treat.</w:t>
      </w:r>
    </w:p>
    <w:p>
      <w:pPr>
        <w:pStyle w:val="Normal"/>
      </w:pPr>
      <w:r>
        <w:t>wood or cork, nesi Rope- or cable-making machines nesi Industrial robots, not elsewhere specified or included Evaporative air coolers Passenger boarding bridges of a kind used in airports Other passenger boarding bridges Machines and mechanical appliances for treating metal, including electric wire coil- winders, nesi Machines for mixing, kneading, crushing, grinding, screening, sifting, homogenizing, emulsifying or stirring, nesi Air humidifiers or dehumidifiers with self-contained electric motor, other than for domestic purposes Floor polishers with self-contained electric motor, other than for domestic purposes Electromechanical appliances with self-contained electric motor, trash compactors Electromechanical appliances with self-contained electric motor, nesi Carpet sweepers, not electromechanical having self-contained electric motor Machines for the manufacture of optical media Automated electronic component placement machines for making printed circuit assemblies Other machines and mechanical appliances having individual functions, not specified or included elsewhere in chapter 84, nesoi Parts of floor polishers of subheading 8479.89.20; parts of carpet sweepers Parts of trash compactors, frame assemblies Parts of trash compactors, ram assemblies Parts of trash compactors, container assemblies Parts of trash compactors, cabinets or cases Parts of trash compactors, nesi Parts of machines and mechanical appliances having individual functions, not specidied or included</w:t>
      </w:r>
    </w:p>
    <w:p>
      <w:pPr>
        <w:pStyle w:val="Normal"/>
      </w:pPr>
      <w:r>
        <w:t>elsewhere in chapter 84, nesoi Molding boxes for metal foundry Mold bases Molding patterns Molds for metal or metal carbides, injection or compression types Molds for metal or metal carbides other than injection or compression types Molds for glass Molds for mineral materials Molds for rubber or plastics, injection or compression types, for shoe machinery Injection or compression type molds for rubber or plastics for the manufacture of semiconductor devices Molds for rubber or plastics, injection or compression types, other than for shoe machinery or for manufacture of semiconductor devices Molds for rubber or plastics, other than injection or compression types, for shoe machinery Molds for rubber or plastics, other than injection or compression types, other than for shoe machinery Pressure-reducing valves for pipes, boiler shells, tanks, vats or the like Valves for oleohydraulic or pneumatic transmissions Check valves of copper for pipes, boiler shells, tanks, vats or the like Check valves of iron or steel for pipes, boiler shells, tanks, vats or the like Check valves other than of</w:t>
      </w:r>
    </w:p>
    <w:p>
      <w:pPr>
        <w:pStyle w:val="Normal"/>
      </w:pPr>
      <w:r>
        <w:t>copper or iron or steel, for pipes, boiler shells, tanks, vats or the like Safety or relief valves for pipes, boiler shells, tanks, vats or the like Taps, cocks, valves &amp; similar appliances for pipes, boiler shells, tanks, vats or the like, hand operated, of copper, nesi Taps, cocks, valves &amp; similar appliances for pipes, boiler shells, tanks, vats or the like, hand operated, of iron or steel,</w:t>
      </w:r>
    </w:p>
    <w:p>
      <w:pPr>
        <w:pStyle w:val="Normal"/>
      </w:pPr>
      <w:r>
        <w:t>nesi Taps, cocks, valves &amp; similar appliances for pipes, boiler shells, tanks, vats or the like, hand operated, not copper, iron or steel, nesi Taps, cocks, valves &amp; similar appliances for pipes, boiler shells, tanks, vats or the like, other than hand operated, nesi Parts of hand operated and check appliances for pipes, boiler shells, tanks, vats or the like, of copper Parts of hand operated and check appliances for pipes, boiler shells, tanks, vats or the like, of iron or steel Parts of hand operated and check appliances for pipes, boiler shells, tanks, vats or the like, other than of copper or iron or steel Parts of taps, cocks, valves and similar appliances for pipes, boiler shells, tanks, vats or the like, nesi Ball bearings with integral shafts Ball bearings other than ball bearings with integral shafts Tapered roller bearings, including cone and tapered roller assemblies Spherical roller bearings Needle roller bearings Cylindrical roller bearings nesi Ball or roller bearings nesi, including combined ball/roller bearings Balls, needles and rollers</w:t>
      </w:r>
    </w:p>
    <w:p>
      <w:pPr>
        <w:pStyle w:val="Normal"/>
      </w:pPr>
      <w:r>
        <w:t>for ball or roller bearings Inner or outer rings or races for ball bearings Inner or outer rings or races for taper roller bearings Inner or outer rings or races for other bearings, nesi Parts of ball bearings (including parts of ball bearings with integral shafts), nesi Parts of tapered roller bearings, nesi Parts of other ball or roller bearings, nesi Camshafts and crankshafts for use solely or principally with</w:t>
      </w:r>
    </w:p>
    <w:p>
      <w:pPr>
        <w:pStyle w:val="Normal"/>
      </w:pPr>
      <w:r>
        <w:t>spark-ignition internal- combustion piston or rotary engines Camshafts and crankshafts nesi Transmission shafts and cranks other than camshafts and crankshafts Housed bearings of the flange, take-up, cartridge and hanger unit type (incorporating ball or roller bearings) Housed bearings (incorporating ball or roller bearings), nesi Bearing housings of the flange, take-up, cartridge and hanger unit type Bearing housings nesi;</w:t>
      </w:r>
    </w:p>
    <w:p>
      <w:pPr>
        <w:pStyle w:val="Normal"/>
      </w:pPr>
      <w:r>
        <w:t>plain shaft bearings Torque converters Fixed, multiple and variable ratio speed changers, imported for use with machines for making cellulosic pulp, paper or paperboard Fixed, multiple and variable ratio speed changers, not imported for use with machines for making cellulosic pulp, paper or paperboard Speed changers other than fixed, multiple and variable ratio speed changers Ball or roller screws Gears and gearing, other than toothed wheels, chain sprockets and other transmission elements entered separately Gray-iron awning or tackle pulleys, not over 6.4 cm in wheel diameter Flywheels, nesi Pulleys, including pulley blocks, nesi Clutches and universal joints Shaft couplings (other than universal joints) Chain sprockets and parts thereof Parts of flange, take-up, cartridge and hanger units Parts of bearing housings and plain shaft bearings, nesi Parts of gearing, gear boxes and other speed changers Parts of articles of subheading 8483.20 Parts of transmission equipment, nesi Gaskets and similar joints of metal sheeting combined with other material or of</w:t>
      </w:r>
    </w:p>
    <w:p>
      <w:pPr>
        <w:pStyle w:val="Normal"/>
      </w:pPr>
      <w:r>
        <w:t>two or more layers of metal Mechanical seals Sets or assortments of gaskets and similar joints dissimilar in composition, put up in pouches, envelopes or similar packings Machines and apparatus for the manufacture of boules or wafers Machines and apparatus for the manufacture of semiconductor devices or electronic integrated circuits Machines and apparatus for the manufacture of flat panel displays Machines and apparatus for the manufacture of masks and reticles; for the assembly of electronic integrated circuits;</w:t>
      </w:r>
    </w:p>
    <w:p>
      <w:pPr>
        <w:pStyle w:val="Normal"/>
      </w:pPr>
      <w:r>
        <w:t>or for the lifting, ha Parts and accessories of the machines and apparatus for the manufacture of semiconductor devices, electronic integrated circuits and flat pa Ships’ or boats propellers and blades therefor Machinery parts, not containing electrical connectors, insulators, coils, contacts or other electrical features and other parts nesi Electric motors of an output of under 18.65 W, synchronous, valued not over $4 each Electric motors of an output of under 18.65 W, other than synchronous valued not over $4 each Electric motors of an output of 18.65 W or more but not exceeding 37.5 W Universal AC/DC motors of an output exceeding 37.5 W but not exceeding 74.6 W Universal AC/DC motors of an output exceeding 74.6 W but not exceeding 735 W Universal AC/DC motors of an output exceeding 735 W but under 746 W Universal AC/DC motors of an output of 746 W or more DC motors nesi, of an output exceeding 37.5 W but not exceeding 74.6 W DC motors, nesi, of an output</w:t>
      </w:r>
    </w:p>
    <w:p>
      <w:pPr>
        <w:pStyle w:val="Normal"/>
      </w:pPr>
      <w:r>
        <w:t>exceeding 74.6 W but not exceeding 735 W DC motors, nesi, of an ouput exceeding 735 W but under 746 W DC motors nesi, of an output of 746 W but not exceeding 750 W DC generators of an output not exceeding 750 W DC motors nesi, of an output exceeding 750 W but not exceeding 14.92 kW DC motors nesi, of an output exceeding 14.92 kW but not exceeding 75 kW, used as primary source of mechanical power for electric vehicles DC motors nesi, of an output exceeding 14.92 kW but not exceeding 75 kW, nesi DC generators of an output exceeding 750 W but not exceeding 75 kW DC motors nesi, of an output exceeding 75 kW but under 149.2 kW DC motors, nesi, 149.2 kW or more but not exceeding 150 kW DC motors nesi, of an output exceeding 150 kW but not exceeding 375 kW DC generators of an output exceeding 75 kW but not exceeding 375 kW DC motors nesi, of an output exceeding 375</w:t>
      </w:r>
    </w:p>
    <w:p>
      <w:pPr>
        <w:pStyle w:val="Normal"/>
      </w:pPr>
      <w:r>
        <w:t>kW DC generators of an output exceeding 375 kW AC motors nesi, single-phase, exceeding 37.5 W but not exceeding 74.6 W AC motors, nesi, single-phase, exceeding 74.6 W but not exceeding 735 W AC motors, nesi, single-phase, exceeding 735 W but under 746 W AC motors nesi, single-phase, of 746 W or more AC motors nesi, multi-phase, of an output exceeding 37.5 W but not exceeding 74.6 W AC motors, nesi, multi-phase, of an output exceeding 74.6 W but not exceeding 735 W AC motors, nesi, multi-phase, of an output exceeding 735 W but under 746 W AC motors nesi, multi-phase of an output of 746 W but not exceeding 750 W AC motors</w:t>
      </w:r>
    </w:p>
    <w:p>
      <w:pPr>
        <w:pStyle w:val="Normal"/>
      </w:pPr>
      <w:r>
        <w:t>nesi, multi-phase, of an output exceeding 750 W but not exceeding 14.92 kW AC motors nesi, multi-phase, of an output exceeding 14.92 kW but not exceeding 75 kW AC motors nesi, multi-phase, of an output exceeding 75 kW but under 149.2 kW AC motors, nesi, multi-phase, 149.2 kW or more but not exceeding 150 kW AC motors nesi, multi-phase, of an output exceeding 150 kW AC generators (alternators) of an output not exceeding 75 kVA AC generators (alternators) of an output exceeding 75 kVA but not exceeding 375 kVA AC generators (alternators) of an output exceeding 375 kVA but not exceeding 750 kVA AC generators (alternators) of an output exceeding 750 kVA Electric generating sets with compression-ignition internal-combustion piston engines, of an output not exceeding 75 kVA Electric generating sets with compression-ignition internal-combustion piston engines, of an output exceeding 75 kVA but not over 375 kVA Electric generating sets with compression-ignition internal-combustion piston engines, of an output exceeding 375 kVA Electric generating sets with spark-ignition internal-combustion piston engines Wind-powered electric</w:t>
      </w:r>
    </w:p>
    <w:p>
      <w:pPr>
        <w:pStyle w:val="Normal"/>
      </w:pPr>
      <w:r>
        <w:t>generating sets Electric generating sets, nesoi Electric rotary converters Commutators suitable for use solely or principally with the machines of heading 8501 or 8502 Parts of electric motors under 18.65 W, stators and rotors Stators and rotors for electric generators for use on aircraft Stators and rotors for electric motors &amp; generators of heading 8501,</w:t>
      </w:r>
    </w:p>
    <w:p>
      <w:pPr>
        <w:pStyle w:val="Normal"/>
      </w:pPr>
      <w:r>
        <w:t>nesi Parts of electric motors under 18.65 W, other than commutators, stators or rotors Parts for electric generators suitable for use on aircraft Other parts, nesi, suitable for use solely or principally with the machines in heading 8501 or 8502 Ballasts for discharge lamps or tubes Liquid dielectric transformers having a power handling capacity not exceeding 650 kVA Liquid dielectric transformers having a power handling capacity exceeding 650 kVA but not exceeding 10,000 kVA Liquid dielectric transformers having a power handling capacity exceeding 10,000 kVA Unrated electrical transformers other than liquid dielectric, having a power handling capacity not exceeding 1 kVA Electrical transformers other than liquid dielectric, having a power handling capacity less than 1 kVA Electrical transformers other than liquid dielectric, having a power handling capacity of l kVA Electrical transformers other than liquid dielectric, having a power handling capacity exceeding 1 kVA but not exceeding 16 kVA Electrical transformers other than liquid dielectric, having a power handling capacity exceeding 16 kVA but not exceeding 500 kVA Electrical transformers</w:t>
      </w:r>
    </w:p>
    <w:p>
      <w:pPr>
        <w:pStyle w:val="Normal"/>
      </w:pPr>
      <w:r>
        <w:t>other than liquid dielectric, having a power handling capacity exceeding 500 kVA Electrical speed drive controllers for electric motors (static converters) Power supplies suitable for physical incorporation into automatic data processing machines or units thereof of heading 8471 Power supplies for automatic data processing machines or</w:t>
      </w:r>
    </w:p>
    <w:p>
      <w:pPr>
        <w:pStyle w:val="Normal"/>
      </w:pPr>
      <w:r>
        <w:t>units thereof of heading 8471, nesoi Static converters (for example, rectifiers) for telecommunication apparatus Static converters (for example, rectifiers), nesoi Other inductors for power supplies for ADP machines and units of heading 8471 or for telecommunication apparatus Other inductors, nesoi Printed circuit assemblies of power supplies for automatic data processing machines or units thereof of heading 8471 Parts of power supplies (other than printed circuit assemblies) for automatic data processing machines or units thereof of heading 8471 Printed circuit assemblies of the goods of subheading 8504.40 or 8504.50 for telecommunication apparatus Printed circuit assemblies of electrical transformers, static converters and inductors, nesoi Parts (other than printed circuit assemblies) of electrical transformers, static converters and inductors Permanent magnets and articles intended to become permanent magnets after magnetization, of metal Flexible permanent magnets, other than of metal Composite goods containing flexible permanent magnets, other than of metal Permanent magnets and articles intended to become permanent magnets after magnetization, other than of metal, nesoi Electromagnetic couplings, clutches and brakes Electromagnetic lifting heads Electromagnetic or permanent magnet work holders and parts thereof Electromagnets used for MRI Other electromagnets and parts thereof, and parts of related electromagnetic articles nesi Manganese dioxide primary cells and</w:t>
      </w:r>
    </w:p>
    <w:p>
      <w:pPr>
        <w:pStyle w:val="Normal"/>
      </w:pPr>
      <w:r>
        <w:t>primary batteries Mercuric oxide primary cells and primary batteries having an external volume not exceeding 300 cubic cm Mercuric oxide primary cells and primary batteries having an external volume exceeding 300 cubic cm Silver oxide primary cells and primary batteries having an external volume not exceeding 300 cubic cm Silver oxide primary cells and primary batteries having an external volume exceeding 300 cubic cm Lithium primary cells and primary batteries Air-zinc primary cells and primary batteries Primary cells and primary batteries, nesoi Parts of primary cells and primary batteries Lead-acid storage batteries of a kind used for starting piston engines Lead-acid storage batteries of a kind used as the primary source of electrical power for electrically powered vehicles of 8703.90 Lead-acid storage batteries other than of a kind used for starting piston engines or as the primary source of power for electric vehicles Nickel-cadmium storage batteries, of a kind used as the primary source of electrical power for electrically powered vehicles of</w:t>
      </w:r>
    </w:p>
    <w:p>
      <w:pPr>
        <w:pStyle w:val="Normal"/>
      </w:pPr>
      <w:r>
        <w:t>8703.90 Nickel-cadmium storage batteries, other than of a kind used as the primary source of power for electric vehicles Nickel-iron storage batteries, of a kind used as the primary source of electrical power for electrically powered vehicles of 8703.90 Nickel-iron storage batteries, other than of a kind used as the primary source of power for electric vehicles Nickel-metal hydride batteries Lithium-ion batteries Other storage</w:t>
      </w:r>
    </w:p>
    <w:p>
      <w:pPr>
        <w:pStyle w:val="Normal"/>
      </w:pPr>
      <w:r>
        <w:t>batteries nesi, of a kind used as the primary source of electrical power for electrically powered vehicles of</w:t>
      </w:r>
    </w:p>
    <w:p>
      <w:pPr>
        <w:pStyle w:val="Normal"/>
      </w:pPr>
      <w:r>
        <w:t>8703.90 Other storage batteries nesi, other than of a kind used as the primary source of power for electric vehicles Parts of lead-acid storage batteries, including separators therefor Parts of storage batteries, including separators therefor, other than parts of lead-acid storage batteries Vacuum cleaners with self-contained electric motor, of a power not exceeding 1,500 W and having a dust bag or other receptacle capacity not Vacuum cleaners with self-contained electric motor, other than of a power not exceeding 1,500 W and having a dust bag or other receptacle ca Vacuum cleaners with other than a self-contained electric motor Parts of vacuum cleaners Electromechanical food grinders, processors, mixers, fruit or vegetable juice extractors, w self-contained electric motor, for domestic uses Electromechanical floor polishers, with self-contained electric motor, for domestic uses Electromechanical kitchen waste disposers (disposals), with self-contained electric motor, for domestic uses Electromechanical domestic appliances nesi, with self-contained electric motor Parts of electromechanical domestic floor polishers, housings Parts of electromechanical domestic floor polishers, other than housings Parts of electromechanical domestic appliances nesi, housings Parts of electromechanical domestic appliances nesi, other than housings Shavers, with self-contained electric</w:t>
      </w:r>
    </w:p>
    <w:p>
      <w:pPr>
        <w:pStyle w:val="Normal"/>
      </w:pPr>
      <w:r>
        <w:t>motor Hair clippers to be used for agricultural or horticultual purposes, with self-contained electric motor Hair clippers other than to be used for agricultural or horticultural purposes, with self- contained electric motor Hair-removing appliances with self-contained electric motor Blades and cutting heads of shavers with self-contained electric motor Parts of shavers with self-contained electric motor, other than blades and cutting heads Parts of hair clippers with self-contained electric motor Parts of hair clippers, nesoi, with self-contained electric motor Parts of hair-removing appliances of subheading</w:t>
      </w:r>
    </w:p>
    <w:p>
      <w:pPr>
        <w:pStyle w:val="Normal"/>
      </w:pPr>
      <w:r>
        <w:t>8510.30 Spark plugs Ignition magnetos, magneto-dynamos and magnetic flywheels Distributors and ignition coils Starter motors and dual purpose starter-generators Generators nesi, of a kind used in conjunction with spark-ignition or compression- ignition internal-combustion engines Voltage and voltage-current regulators with cut-out relays designed for use on 6, 12 or 24 V systems Voltage and voltage-current regulators with cut-out relays other than those designed for use on 6, 12 or 24 V systems Electrical ignition or starting equipment of a kind used for spark-ignition internal- combustion or compression-ignition engines, nesi Parts of voltage and voltage-current regulators with cut-out relays, designed for use on 6, 12 or 24 V systems Parts of voltage and voltage-current regulators with cut-out relays, other than those designed for use on 6, 12 or 24 V systems Parts</w:t>
      </w:r>
    </w:p>
    <w:p>
      <w:pPr>
        <w:pStyle w:val="Normal"/>
      </w:pPr>
      <w:r>
        <w:t>nesi of electrical ignition or starting equipment or generators used for spark- or compression-ignition internal-combustion engines Electrical lighting equipment of a kind used on bicycles Electrical visual signaling equipment of a kind used on bicycles Electrical lighting equipment of a kind used for motor vehicles or cycles other than bicycles Electrical visual signaling equipment of a kind used for motor vehicles or cycles other than bicycles Electrical sound signaling equipment of a kind used for cycles or motor vehicles Defrosters and demisters of a kind used for cycles or motor vehicles Windshield wipers of a kind used for cycles or motor vehicles Parts of electrical signaling equipment of a kind used for cycles or motor vehicles Parts of electrical lighting equipment of a kind used on bicycles Parts of electrical lighting equipment of a kind used for motor vehicles or cycles other than bicycles Parts of defrosters and demisters of a kind used for cycles or motor vehicles Parts of windshield wipers of a kind used for motor vehicles or</w:t>
      </w:r>
    </w:p>
    <w:p>
      <w:pPr>
        <w:pStyle w:val="Normal"/>
      </w:pPr>
      <w:r>
        <w:t>cycles Flashlights Portable electric lamps designed to function by their own source of energy, other than flashlights Parts of flashlights Parts of portable electric lamps designed to function by their own source of energy, other than flashlights Resistance heated industrial or laboratory furnaces and ovens Industrial or laboratory microwave ovens for making hot drinks or for cooking or heating food Industrial or laboratory microwave</w:t>
      </w:r>
    </w:p>
    <w:p>
      <w:pPr>
        <w:pStyle w:val="Normal"/>
      </w:pPr>
      <w:r>
        <w:t>ovens, nesoi Industrial or laboratory furnaces and ovens (other than microwave) functioning by induction or dielectric loss Industrial furnaces and ovens for making printed circuits or printed circuit assemblies Industrial or laboratory electric industrial or laboratory furnaces and ovens nesi Industrial or laboratory induction or dielectric heating equipment nesi Parts of industrial or laboratory microwaves Parts of industrial or laboratory electric furnaces and ovens and other industrial or laboratory induction or dielectric heating equipment Electric soldering irons and guns Electric brazing or soldering machines and apparatus, other than soldering irons and guns Electric machines and apparatus for resistance welding of metal, fully or partly automatic Electric machines and apparatus for resistance welding of metal, other than fully or partly automatic Electric machines and apparatus for arc (including plasma arc) welding of metals, fully or partly automatic Electric machines and apparatus for arc (including plasma arc) welding of metals, other than fully or partly automatic Electric welding apparatus nesi,and electric machines and apparatus for hot spraying metals or sintered metal carbides</w:t>
      </w:r>
    </w:p>
    <w:p>
      <w:pPr>
        <w:pStyle w:val="Normal"/>
      </w:pPr>
      <w:r>
        <w:t>Parts of electric welding machines and apparatus Parts of electric soldering or brazing machines &amp; apparatus, &amp; electric apparatus for hot spraying of metals or sintered metal carbides Electric instantaneous or storage water heaters and immersion heaters Electric storage heating</w:t>
      </w:r>
    </w:p>
    <w:p>
      <w:pPr>
        <w:pStyle w:val="Normal"/>
      </w:pPr>
      <w:r>
        <w:t>radiators Electric space heating apparatus and electric soil heating apparatus, other than storage heating radiators Electrothermic hair dryers Electrothermic hairdressing apparatus other than hair dryers Electrothermic hand drying apparatus Electric flatirons, travel type Electric flatirons, other than travel type Microwave ovens of a kind used for domestic purposes Electrothermic cooking stoves, ranges and ovens (excluding microwave ovens) of a kind used for domestic purposes Electrothermic cookers, cooking plates, boiling rings, grillers and roasters, nesi, of a kind used for domestic purposes Electrothermic coffee or tea makers, for domestic purposes Electrothermic toasters, for domestic purposes Electrothermic appliances nesi, of a kind used for domestic purposes Electric heating resistors assembled only with simple insulated former and electrical connectors, used for anti-icing or de-icing Electric heating resistors, nesi Parts of electric heaters or heating apparatus of subheading 8516.10, 8516.21 or 8516.29 Housings for hand-drying apparatus of subheading 8516.33 Housings and steel bases for electric flat irons of subheading 8516.40 Parts of domestic microwave ovens, assemblies, having more than one of: cooking chamber; structural supporting chassis; door;</w:t>
      </w:r>
    </w:p>
    <w:p>
      <w:pPr>
        <w:pStyle w:val="Normal"/>
      </w:pPr>
      <w:r>
        <w:t>outer case Parts of domestic microwave ovens, printed circuit assemblies Parts of domestic microwave ovens, other nesi Parts of domestic electrothermic cooking stoves, ranges and ovens of subheading 8516.60.40,</w:t>
      </w:r>
    </w:p>
    <w:p>
      <w:pPr>
        <w:pStyle w:val="Normal"/>
      </w:pPr>
      <w:r>
        <w:t>cooking chambers whether or not assembled Parts of domestic electrothermic cooking stoves, ranges and ovens of subheading 8516.60.40, top surface panels w/orw/o elements or controls Parts of domestic electrothermic cooking stoves, ranges and ovens of subheading 8516.60.40, door assemblies Parts of domestic electrothermic cooking stoves, ranges and ovens of subheading 8516.60.40, other nesi Housings for domestic electrothermic toasters Parts of electric instantaneous or storage water heaters and immersion heaters and other domestic electrothermic appliance, nesi Line telephone sets with cordless handsets Telephones for cellular networks or for other wireless networks Telephone sets, nesoi Base stations Machines for the reception, conversion and transmission or regeneration of voice, images or other data, including switching and routing appa Other apparatus for transmission or reception of voice, images or other data, including apparatus for communication in a wired or wireless n Parts of telephone sets;</w:t>
      </w:r>
    </w:p>
    <w:p>
      <w:pPr>
        <w:pStyle w:val="Normal"/>
      </w:pPr>
      <w:r>
        <w:t>parts of other apparatus for the transmission or reception of voice, images or other data, including apparatus for Microphones having a frequency range of 300Hz-3.4kHz with diameter not over 10 mm and height not over 3 mm, for telecommunication Microphones and stands therefor, nesoi Single loudspeakers mounted in their enclosures Multiple loudspeakers mounted in the same enclosure Loudspeakers not mounted in their enclosures, with frequency range of 300Hz to 3.4kHz, with a</w:t>
      </w:r>
    </w:p>
    <w:p>
      <w:pPr>
        <w:pStyle w:val="Normal"/>
      </w:pPr>
      <w:r>
        <w:t>diameter not over 50 mm, for telecommunication Loudspeakers nesoi, not mounted in their enclosures, nesoi Line telephone handsets Headphones, earphones and combined microphone/speaker sets, other than telephone handsets Audio-frequency electric amplifiers for use as repeaters in line telephony Audio-frequency electric amplifiers, other than for use as repeaters in line telephony Electric sound amplifier sets Printed circuit assemblies of line telephone handsets; parts of repeaters Other parts of telephone handsets other than printed circuit assemblies Printed circuit assemblies of the microphones of subheading 8518.10.40 or the loudspeakers of subheading 8518.29.40 Other parts of microphones &amp; stands, loudspeakers, headphones &amp; earphones nesi, electric amplifiers, &amp; electric sound amplifier sets, nesoi Sound recording or reproducing apparatus operated by coins, bank notes, bank cards, tokens or other means of payment Turntables with automatic record changing mechanism Turntables without automatic record changing mechanism Telephone answering machines Transcribing machines Cassette players (non-recording) designed exclusively for motor-vehicle installation Cassette players (non-recording), nesoi Sound reproducing apparatus nesi, not incorporating a sound recording device Sound recording and reproducing apparatus using magnetic tape, optical media, or semiconductor media Record players, other than coin- or token-operated, without loudspeaker Record players, other than coin- or</w:t>
      </w:r>
    </w:p>
    <w:p>
      <w:pPr>
        <w:pStyle w:val="Normal"/>
      </w:pPr>
      <w:r>
        <w:t>token-operated, with loudspeakers Sound recording and reproducing apparatus, nesoi Color, cartridge or cassette magnetic tape-type video players Color, cartridge or cassette magnetic tape-type video recording and reproducing apparatus, nesi Magnetic tape-type video recording or reproducing apparatus, other than color, cartridge or cassette type Video recording or reproducing apparatus, other than magnetic tape-type Pick-up cartridges for use with apparatus of heading 8519 to 8521 Assemblies &amp; subassemblies of articles of 8520.90, consisting of 2 or more pieces fastened together, printed circuit assemblies Other assemblies &amp; subassemblies of articles of</w:t>
      </w:r>
    </w:p>
    <w:p>
      <w:pPr>
        <w:pStyle w:val="Normal"/>
      </w:pPr>
      <w:r>
        <w:t>8520.90, consisting of 2 or more pieces fastened together, other than printed circuit assemblies Other parts of telephone answering machines, printed circuit assemblies Other parts of telephone answering machines, other than printed circuit assemblies Parts and accessories of apparatus of headings 8519 to 8521, nesi, printed circuit assemblies Parts and accessories of apparatus of headings 8519 to 8521, nesi, other than printed circuit assemblies Cards incorporating a magnetic stripe Unrecorded magnetic media Pre-recorded magnetic tapes for reproducing phenomena other than sound or image Pre-recorded magnetic tapes, of a width not exceeding 4 mm, of news sound recording relating to current events Pre-recorded magnetic tapes, of a width not exceeding 4 mm, nesoi Pre-recorded magnetic video tape recordings of a width exceeding 4</w:t>
      </w:r>
    </w:p>
    <w:p>
      <w:pPr>
        <w:pStyle w:val="Normal"/>
      </w:pPr>
      <w:r>
        <w:t>mm but not exceeding 6.5 mm Pre-recorded magnetic tapes of a width exceeding 4 mm but not exceeding 6.5 mm, nesoi Pre-recorded magnetic video tape recordings of a width exceeding 6.5 mm Pre-recorded magnetic tapes of a width exceeding 6.5 mm, nesoi Pre-recorded magnetic media other than tape, nesoi Unrecorded optical media Recorded optical media, for reproducing phenonema other than sound or image Recorded optical media, for reproducing sound only Recorded optical media,for reproducing representations of instructions, data, sound, &amp; image, recorded machine readable binary form, for ADP Recorded optical media, nesoi Semiconductor media, solid state non-volatile storage devices Semiconductor media, “smart cards” Semiconductor media, nesoi Phonograph records Discs, tapes, solid-state non-volatile storage devices, “smart cards” and other media for the recording of sound or of other phenomena, whet Television transmission set top boxes which have a communication function Transmission apparatus for television, nesoi Transmission apparatus for radiobroadcasting Transceivers Transmission apparatus incorporating reception apparatus, other than transceivers Television cameras, gyrostabilized Television cameras, studio type, other than shoulder-carried or other portable cameras Television cameras, nesi Digital still image video cameras Television cameras, digital cameras and video camera recorders, nesoi Radar apparatus Radio navigational aid apparatus, other than radar Radio remote</w:t>
      </w:r>
    </w:p>
    <w:p>
      <w:pPr>
        <w:pStyle w:val="Normal"/>
      </w:pPr>
      <w:r>
        <w:t>control apparatus for video game consoles Radio remote control apparatus other than for video game consoles Pocket-size radio cassette players Radio-tape player combination (other than pocket-size radio cassette type),nonrecording,capable of operating w/o an external source of power Radio-tape recorder combinations, capable of operating without an external source of power, nesoi Radio-phonograph combinations, capable of operating without external power source, nesoi Radiobroadcast receivers capable of operating without external power source, combined with sound recording or reproducing apparatus, nesoi Radiobroadcast receivers, able to operate w/o external power, with clock or clock- timer, valued not over $40, not for motor vehicles Radiobroadcast receivers, capable of operation w/o external power, nesi Radio-tape player combinations capable of receiving &amp; decoding digital radio signals Other radio-tape player combinations Radiobroadcast receivers not operable w/o external power source, for motor veh., combined with sound recording/reproducing apparatus, nesi Radiobroadcast receivers, not operating w/o external power, for motor vehicles, w/o sound recording or reproducing apparatus, FM or AM/FM Radiobroadcast receivers, not operating w/o external power, for motor vehicles, w/o sound recording or reproducing apparatus, other Radiobroadcast receiver combined w/ sound recording or reproducing apparatus for connection to telegraphic/telephonic apparatus/network Radiobroadcast</w:t>
      </w:r>
    </w:p>
    <w:p>
      <w:pPr>
        <w:pStyle w:val="Normal"/>
      </w:pPr>
      <w:r>
        <w:t>receiver combinations incorporating tape players, nesi Radiobroadcast receiver combinations incorporating tape recorders, nesi Radiobroadcast receivers combined with sound recording or reproducing apparatus, nesi Radiobroadcast receiver with clock or clock-timer, n/for m.v., n/combined w/sound recording or reproducing app., valued &lt; or = $40 ea Radiobroadcast receiver with clock or clock timer, n/for m.v., n/combined w/sound recording or reproducing app., valued &gt; $40 ea Infant nursery monitor systems, consisting, in the same package, of a radio transmitter, electrical adapter and radio receiver Radio receivers, nesoi Reception apparatus for radiobroadcasting, nesoi Cathode-ray tube monitors capable of directly connecting to and designed for use with an automatic data processing machine of heading 8471 Incomplete or unfinished color video monitors, presented w/o a display device, incorp. VCR or player Incomplete or unfinished color video monitors, presented w/o a display device, not incorp. VCR or player Non-high definition color video monitors, nonprojection type, w/CRT, video display diagonal not over 34.29 cm, incorporating VCR or player Non-high definition color video monitors, nonprojection, w/CRT, video display diag. ov 34.29 cm but n/ov 35.56 cm, incorp. VCR or player Non-high definition color video monitors, nonprojection type, w/CRT, video display diagonal not over 34.29 cm, not incorp.</w:t>
      </w:r>
    </w:p>
    <w:p>
      <w:pPr>
        <w:pStyle w:val="Normal"/>
      </w:pPr>
      <w:r>
        <w:t>VCR or player Non-high definition color video monitors, nonprojection, w/CRT, video display diag. ov 34.29 cm but n/ov 35.56 cm, not incorp. VCR or player Non-high definition color video monitors, nonprojection type, w/CRT, video display diagonal over 35.56 cm, incorporating VCR or player Non-high definition color video monitors, nonprojection type, w/CRT, video display diagonal over 35.56 cm, not incorporating VCR or player Non-high definition color video monitors, projection type, with cathode-ray tube, incorporating VCR or player Non-high definition color video monitors, projection type, with cathode-ray tube, not incorporating VCR or player High definition color video monitors, nonprojection type, with cathode-ray tube, incorporating VCR or player High definition color video monitors, nonprojection type, with cathode-ray tube, not incorporating VCR or player High definition color video monitors, projection type, with cathode-ray tube, incorporating VCR or player High definition color video monitors, projection type, with cathode-ray tube, not incorporating VCR or player Black and white or other monochrome video monitors, with cathode-ray tube Other monitors capable of directly connecting to and designed for use with an automatic data processing machine of heading 8471 Incomplete or unfinished color video monitors, w/o cathode-ray tube, flat panel screen or similar display device, incorp.</w:t>
      </w:r>
    </w:p>
    <w:p>
      <w:pPr>
        <w:pStyle w:val="Normal"/>
      </w:pPr>
      <w:r>
        <w:t>VCR or player Incomplete or unfinished color video monitors, w/o cathode-ray tube, flat panel screen or similar display device, not incorp.</w:t>
      </w:r>
    </w:p>
    <w:p>
      <w:pPr>
        <w:pStyle w:val="Normal"/>
      </w:pPr>
      <w:r>
        <w:t>VCR or player Color video monitors w/flat panel screen, video display diagonal n/ov 34.29 cm, incorporate VCR or player Color video monitors w/flat panel screen, video display diagonal &gt; 34.29 cm, incorporating VCR or player, not subject US note 13 Color video monitors w/flat panel screen, video display diagonal n/ov 34.29 cm, not incorporate VCR or player Color video monitors w/flat panel screen, video display diagonal &gt; 34.29 cm, not with VCR/player, not subj US note 13 Color video monitors nesoi, with video display diagonal not over 34.29 cm, incorporating VCR or player Color video monitors nesoi, with video display diagonal over 34.29 cm, incorporating VCR or player Color video monitors nesoi, with video display diagonal not over 34.29 cm, not incorporating VCR or player Color video monitors nesoi, with video display diagonal over 34.29 cm, not incorporating VCR or player Black and white or other monochrome video monitors, other Projectors capable of directly connecting to and designed for use with an automatic data processing machine of heading 8471 Incomplete or unfinished color video projectors, w/o cathode-ray tube, flat panel screen or similar display device, incorp.</w:t>
      </w:r>
    </w:p>
    <w:p>
      <w:pPr>
        <w:pStyle w:val="Normal"/>
      </w:pPr>
      <w:r>
        <w:t>VCR or player Incomplete or unfinished color video projectors, w/o cathode-ray tube, flat panel screen or similar display, not incorp.</w:t>
      </w:r>
    </w:p>
    <w:p>
      <w:pPr>
        <w:pStyle w:val="Normal"/>
      </w:pPr>
      <w:r>
        <w:t>VCR or player Non-high definition color video projectors, with a cathode-ray tube, incorporating VCR or player Non-high definition color video projectors, with a cathode-ray tube, not incorporating VCR or player High definition color video projectors, with a cathode-ray tube, incorporating VCR or player High definition color video projectors, with a cathode-ray tube, not incorporating VCR or player Color video projectors w/flat panel screen, video display diagonal not over 34.29 cm, incorporating VCR or player Color video projectors w/flat panel screen, video display diagonal over 34.29 cm, incorporating VCR or player Color video projectors w/flat panel screen, video display diagonal not over 34.29 cm, not incorporating VCR or player Color video projectors w/flat panel screen, video display diagonal over 34.29 cm, not incorporating VCR or player Color video projectors nesoi, incorporating video recording or reproducing apparatus Color video projectors nesoi, not incorporating a video recording or reproducing apparatus Black and white or other monochrome video projectors Reception apparatus for television, not designed to incorporate a video display or screen, incorporating video</w:t>
      </w:r>
    </w:p>
    <w:p>
      <w:pPr>
        <w:pStyle w:val="Normal"/>
      </w:pPr>
      <w:r>
        <w:t>recording or reproducing appa TV reception set top boxes with a communication function, nesoi TV reception printed circuit assemblies incorporating a tuner, of a kind used with ADP machines of heading 8471, nesoi TV reception apparatus, not designed to incorp.</w:t>
      </w:r>
    </w:p>
    <w:p>
      <w:pPr>
        <w:pStyle w:val="Normal"/>
      </w:pPr>
      <w:r>
        <w:t>video display or screen, not incorp.</w:t>
      </w:r>
    </w:p>
    <w:p>
      <w:pPr>
        <w:pStyle w:val="Normal"/>
      </w:pPr>
      <w:r>
        <w:t>video recording/reproducing apparatus, color TV reception apparatus, not designed to incorp. video display or screen, not incorp. video recording/reproducing apparatus, monochrome Incomplete or unfinished color tv reception apparatus, presented w/o a display device, incorp. VCR or player Incomplete or unfinished color tv reception apparatus, presented w/o a display device, n/incorp. VCR or player Non-high definition color television reception apparatus, nonprojection, w/CRT, video display diag. not ov 34.29 cm, incorp. a VCR or player Non-high def. color television reception app., nonprojection, w/CRT, display diag. ov 34.29 cm but n/ov 35.56 cm, incorp. VCR or player Non-high def. color television reception app., nonprojection, w/CRT, video display diag. not ov 34.29 cm, not incorporating VCR or player Non-high def. color television reception app., nonprojection, w/CRT, display diag. ov 34.29 cm but n/ov 35.56 cm, n/incorp. VCR or player Non-high definition color television reception app., nonprojection, w/CRT, video display diag. ov 35.56 cm, incorporating a VCR or player Non-high definition color television reception apparatus, nonprojection, w/CRT, video display diag. ov 35.56 cm, not incorp.</w:t>
      </w:r>
    </w:p>
    <w:p>
      <w:pPr>
        <w:pStyle w:val="Normal"/>
      </w:pPr>
      <w:r>
        <w:t>a VCR or player Non-high definition color television reception apparatus, projection type, with a cathode-ray tube, incorporating a VCR or player Non-high definition color television reception apparatus, projection type, with a cathode-ray tube, not incorporating a VCR or player High definition color television reception apparatus, nonprojection, with cathode-ray tube, incorporating a VCR or player High definition color television reception apparatus, nonprojection, with cathode-ray tube, not incorporating a VCR or player High definition color television reception apparatus, projection type, with cathode-ray tube, incorporating a VCR or player High definition color television reception apparatus, projection type, with cathode-ray tube, not incorporating a VCR or player Color television reception apparatus w/flat panel screen, video display diagonal n/ov 34.29 cm, incorporating a VCR or player Color television reception apparatus w/flat panel screen, video display diagonal over 34.29 cm, incorporating a VCR or player Color television reception apparatus w/flat panel screen, video display diagonal n/o 34.29 cm, not incorporating a VCR or player Color television reception apparatus w/flat panel screen, video display diagonal over 34.29</w:t>
      </w:r>
    </w:p>
    <w:p>
      <w:pPr>
        <w:pStyle w:val="Normal"/>
      </w:pPr>
      <w:r>
        <w:t>cm, not incorporating a VCR or player Color television reception apparatus nesoi, video display diagonal not over 34.29 cm, incorporating a VCR or player Color television reception apparatus nesoi, video display diagonal over 34.29 cm,</w:t>
      </w:r>
    </w:p>
    <w:p>
      <w:pPr>
        <w:pStyle w:val="Normal"/>
      </w:pPr>
      <w:r>
        <w:t>incorporating a VCR or player Color television reception apparatus nesoi, video display diagonal not over 34.29 cm, not incorporating a VCR or player Color television reception apparatus nesoi, video display diagonal over 34.29 cm, not incorporating a VCR or player, nesoi Black and white or other monochrome television reception apparatus Television antennas and antenna reflectors, and parts suitable for use therewith Radar, radio navigational aid and radio remote control antennas and antenna reflectors, and parts suitable for use therewith Other antennas and antenna reflectors of all kinds and parts, for use Tuners (printed circuit assemblies) PCBs and ceramic substrates and subassemblies thereof, for color TV, with components listed in add. US note 4, chap. 85 PCBs and ceramic substrates and subassemblies thereof, for color TV, not with components listed in add. US note 4, chap. 85 Printed circuit assemblies for television cameras Printed circuit assemblies for television apparatus, nesi Printed circuit assemblies which are subassemblies of radar, radio nav.</w:t>
      </w:r>
    </w:p>
    <w:p>
      <w:pPr>
        <w:pStyle w:val="Normal"/>
      </w:pPr>
      <w:r>
        <w:t>aid or remote control apparatus, of 2 or more parts joined together Printed circuit assemblies, nesi, for radar, radio navigational aid or radio remote control apparatus Other printed circuit assemblies suitable for use solely or principally with the apparatus of headings 8525 to 8528, nesi Transceiver assemblies for the apparatus of subheading 8526.10, other than printed circuit assemblies Tuners for television apparatus, other than printed circuit assemblies Subassies w/2 or more PCBs or ceramic substrates, as spec’d in add. US note 9 ch. 85, for color TV, w/components in add. US note 4, ch. 85 Subassies w/2 or more PCBs or ceramic substrates, as spec’d in add. US note 9 ch. 85, for color TV, not w/components in add. US note 4, ch. 85 Parts of television receivers specified in U.S. note 9 to chapter 85, other than printed circuit assemblies, nesi PCBs and ceramic substrates and subassemblies thereof for color TV, w/components listed in add. U.S. note 4, chap. 85 Combinations of PCBs and ceramic substrates and subassemblies thereof for color TV, w/components listed in add. U.S. note 4, chap. 85 Combinations of parts of television receivers specified in U.S.</w:t>
      </w:r>
    </w:p>
    <w:p>
      <w:pPr>
        <w:pStyle w:val="Normal"/>
      </w:pPr>
      <w:r>
        <w:t>note 10 to chapter 85, other than printed circuit assemblies, nesi Flat panel screen assemblies for TV reception apparatus, color video monitors and video projectors Parts of printed circuit assemblies (including face plates and lock latches) for television cameras Parts of printed circuit assemblies (including face plates and lock latches) for television apparatus other than television cameras Parts of printed circuit assemblies (including face plates and lock latches) for radar, radio navigational aid or radio remote control app. Parts of printed circuit assemblies (including face plates and lock latches) for other apparatus of headings 8525 to 8528, nesi Mounted lenses for use in closed circuit television cameras, seperately imported, w/ or w/o attached elec. connectors or motors Other parts of television camers, nesi Other parts of television apparatus (other than television cameras), nesi Parts suitable for use solely or principally with the apparatus of 8525 and 8527 (except television apparatus or cellular phones), nesi Subassies w/2 or more PCBs or ceramic substrates, exc. tuners or converg. ass’ies, for color TV, w/components in add. US note 4, ch.</w:t>
      </w:r>
    </w:p>
    <w:p>
      <w:pPr>
        <w:pStyle w:val="Normal"/>
      </w:pPr>
      <w:r>
        <w:t>85 Subassies w/2 or more PCBs or ceramic substrates, exc. tuners or converg. ass’ies, for color TV, not w/components in add. US note 4, ch.</w:t>
      </w:r>
    </w:p>
    <w:p>
      <w:pPr>
        <w:pStyle w:val="Normal"/>
      </w:pPr>
      <w:r>
        <w:t>85 Parts of television apparatus, nesi Assemblies and subassemblies of radar, radio navigational aid or remote control apparatus, of 2 or more parts joined together, nesi Parts suitable for use solely or principally in radar, radio navigational aid or radio remote control apparatus, nesi Parts suitable for use solely or principally with the apparatus of headings 8525 to 8528, nesi Electrical signaling, safety or traffic control equipment for railways, streetcar lines or subways Electrical signaling, safety or traffic control equipment for roads, inland waterways, parking facilities, port installations or airfields Parts for electrical signaling, safety or traffic control equipment Electric burglar or fire alarms and similar apparatus Indicator panels incorporating liquid crystal devices (LCD’s) or light emitting diodes (LED’s) Doorbells, chimes, buzzers, and similar apparatus Electric sound or visual signaling apparatus, nesoi Printed circuit assemblies of the panels of subheading 8531.20 Printed circuit assemblies of electric sound or visual signaling apparatus, nesoi Parts of the panels of subheading</w:t>
      </w:r>
    </w:p>
    <w:p>
      <w:pPr>
        <w:pStyle w:val="Normal"/>
      </w:pPr>
      <w:r>
        <w:t>8531.20, other than printed circuit assemblies Parts of electric sound or visual signaling apparatus, nesoi Fixed electrical capacitors designed for use in 50/60 Hz circuits and having a reactive power handling capacity of not less than 0.5 kvar Tantalum fixed capacitors Aluminum electrolytic fixed capacitors Ceramic dielectric fixed capacitors, single layer Ceramic</w:t>
      </w:r>
    </w:p>
    <w:p>
      <w:pPr>
        <w:pStyle w:val="Normal"/>
      </w:pPr>
      <w:r>
        <w:t>dielectric fixed capacitors, multilayer Dielectric fixed capacitors of paper or plastics Fixed electrical capacitors, nesi Variable or adjustable (pre-set) electrical capacitors Parts of electrical capacitors, fixed, variable or adjustable (pre-set) Electrical fixed carbon resistors, composition or film types Electrical fixed resistors, other than composition or film type carbon resistors, for a power handling capacity not exceeding 20 W Electrical fixed resistors, other than composition or film type carbon resistors, for a power handling capacity exceeding 20 W Electrical wirewound variable resistors, including rheostats and potentiometers, for a power handling capacity not exceeding 20 W Electrical wirewound variable resistors, including rheostats and potentiometers, for a power handling capacity exceeding 20 W Metal oxide resistors Electrical variable resistors, other than wirewound, including rheostats and potentiometers For the goods of subheading</w:t>
      </w:r>
    </w:p>
    <w:p>
      <w:pPr>
        <w:pStyle w:val="Normal"/>
      </w:pPr>
      <w:r>
        <w:t>8533.40, of ceramic or metallic materials, electrically or mechanically reactive to changes in temperature Other parts of electrical resistors, including rheostats and potentiometers, nesi Printed circuits, without elements (other than connecting elements) fitted thereon Fuses, for a voltage exceeding 1,000 V Automatic circuit breakers, for a voltage of less than 72.5 kV, but exceeding 1,000 V Automatic circuit breakers, for a voltage of 72.5 kV or more Isolating switches and make-and-break switches, for a voltage exceeding</w:t>
      </w:r>
    </w:p>
    <w:p>
      <w:pPr>
        <w:pStyle w:val="Normal"/>
      </w:pPr>
      <w:r>
        <w:t>1,000 V Lightning arrestors, voltage limiters and surge suppressors, for a voltage exceeding 1,000 V Electrical motor starters and electrical motor overload protector, for a voltage exceeding 1,000 V Electrical apparatus nesi for switching, protecting, or making connections for electrical circuits, for a voltage exceeding 1,000 V, nesi Fuses, for a voltage not exceeding 1,000 V Automatic circuit breakers, for a voltage not exceeding 1,000 V Electrical motor overload protectors, for a voltage not exceeding 1,000 V, nesi Electrical apparatus for protecting electrical circuits, for a voltage not exceeding 1,000 V, nesi Relays for switching, protecting or making connections to or in electrical circuits, for a voltage not exceeding 60 V Relays for switching, protecting or making connections to or in electrical circuits, for a voltage exceeding 60 but not exceeding 1,000 V Electrical motor starters (which are switches), for a voltage not exceeding 1,000 V Certain specifed electronic and electromechanical snap-action switches, for a voltage not exceeding 1,000 V Switches nesoi, for switching or making connections to or in electrical circuits, for a voltage not exceeding 1,000 V Lampholders for a voltage not exceeding 1,000 V Connectors:</w:t>
      </w:r>
    </w:p>
    <w:p>
      <w:pPr>
        <w:pStyle w:val="Normal"/>
      </w:pPr>
      <w:r>
        <w:t>coaxial, cylindrical multicontact, rack and panel, printed circuit, ribbon or flat cable, for a voltage not exceeding 1,000 V Plugs and sockets for making connections to or in electrical circuits, for a voltage not exceeding 1,000 V, nesoi</w:t>
      </w:r>
    </w:p>
    <w:p>
      <w:pPr>
        <w:pStyle w:val="Normal"/>
      </w:pPr>
      <w:r>
        <w:t>Connectors for optical fibers, optical fiber bundles or cables Electrical terminals, electrical splicers and electrical couplings, wafer probers, for a voltage not exceeding 1,000 V Battery clamps used in motor vehicles of headings 8702, 8703, 8704, or 8711 Other electrical apparatus nesi, for switching or making connections to or in electrical circuits, for a voltage not exceeding 1,000 V, nesoi Electric control panels, for a voltage not exceeding 1,000, assembled with outer housing or supports, for goods of 8421, 8422, 8450 or 8516 Boards, panels, etc., equipped with apparatus for electric control, for a voltage not exceeding 1,000, motor control centers Touch screens without display capabilities for incorporation in apparatus having a display Other boards, panels, consoles, desks, cabinets, etc., equipped with apparatus for electric control, for a voltage not exceeding 1,000, nesi Boards, panels, consoles, desks, cabinets and other bases, equipped with apparatus for electric control, for a voltage exceeding 1,000 V Parts of boards, panels, consoles, desks, cabinets and other bases for the goods of heading 8537, not equipped with their apparatus Printed circuit assemblies of an article of heading 8537 for one of the articles described in additional U.S.</w:t>
      </w:r>
    </w:p>
    <w:p>
      <w:pPr>
        <w:pStyle w:val="Normal"/>
      </w:pPr>
      <w:r>
        <w:t>note 12 to chapter 85 Printed circuit assemblies, suitable for use solely or principally with the apparatus of heading 8535, 8536 or 8537, nesoi Parts for articles of 8535.90.40, 8536.30.40 or 8536.50.40, of ceramic or metallic materials, mech. or elec. reactive to changes in temp.</w:t>
      </w:r>
    </w:p>
    <w:p>
      <w:pPr>
        <w:pStyle w:val="Normal"/>
      </w:pPr>
      <w:r>
        <w:t>Molded parts nesi, suitable for use solely or principally with the apparatus of heading 8535, 8536 or 8537 Other parts nesi, suitable for use solely or principally with the apparatus of heading 8535, 8536 or 8537 Sealed beam lamp units Tungsten halogen electrical filament lamps, designed for a voltage not exceeding 100 V Tungsten halogen electrical filament lamps, designed for a voltage exceeding 100 V Electrical filament Christmas-tree lamps, of a power not exceeding 200 W and for a voltage exceeding 100 V Electrical filament lamps of a power not exceeding 200 W and for a voltage exceeding 100 V nesi, excluding ultraviolet and infrared lamps Electrical filament Christmas-tree lamps, designed for a voltage not exceeding 100 V Electrical filament lamps, voltage not exceeding 100 V, having glass envelopes n/o 6.35 mm in diameter, suitable in surgical instruments Electrical filament lamps nesi, designed for a voltage not exceeding 100 V, excluding ultraviolet and infrared lamps Electrical filament lamps, designed for a voltage exceeding 100 V, of a power exceeding 200 W Fluorescent, hot cathode discharge lamps, other than untraviolet lamps Mercury or sodium vapor discharge lamps or metal halide</w:t>
      </w:r>
    </w:p>
    <w:p>
      <w:pPr>
        <w:pStyle w:val="Normal"/>
      </w:pPr>
      <w:r>
        <w:t>discharge lamps (other than ultraviolet lamps) CCFLS for backlighting of flat planel displays Other electrical discharge lamps, other than fluorescent (hot cathode), mercury or sodium vapor, metal halide or ultraviolet lamps Arc lamps Ultraviolet or infrared lamps Light-emitting diode (LED) lamps Parts of electrical filament or discharge lamps Cathode-ray television picture tubes incl. video monitor, color, non-high definition, non-projection, display &gt; 35.56 cm Cathode-ray TV &amp; video monitor tubes, color, non-high definition, non-projection, video display diagonal &lt;or= 34.29 cm Cathode-ray TV &amp; video monitor tubes, color, non-high definition, non-projection, video display diagonal &gt; 34.29 cm &amp; &lt;or= 35.56 cm Cathode-ray television picture tubes incl. video monitor, color, high definition, display diagonal &gt; 35.56 cm Cathode-ray TV &amp; video monitor tubes, color, high definition, having video display display diagonal &lt;or= 34.29 cm Cathode-ray TV &amp; video monitor tubes, color, high definition, video display diagonal video display diagonal &gt; 34.29 cm &amp; &lt;or= 35.56 cm Cathode-ray television picture tubes incl. video monitor, color, non-high definition, projection type Cathode-ray television picture tubes incl.</w:t>
      </w:r>
    </w:p>
    <w:p>
      <w:pPr>
        <w:pStyle w:val="Normal"/>
      </w:pPr>
      <w:r>
        <w:t>video monitor, monochrome, non-high definition, w/faceplate diagonal &gt; 29 cm and &lt;or= 42 cm Cathode-ray television picture tubes incl. video monitor, monochrome, high definition, w/faceplate diagonal &gt; 29 cm and &lt;or= 42 cm Cathode-ray television picture tubes incl.</w:t>
      </w:r>
    </w:p>
    <w:p>
      <w:pPr>
        <w:pStyle w:val="Normal"/>
      </w:pPr>
      <w:r>
        <w:t>video monitor, monochrome, non-high definition, nesi Cathode-ray television picture tubes incl. video monitor, monochrome, high definition, nesi Cathode-ray television camera tubes Television camera tubes, image converters and intensifiers, and other photocathode tubes, other than cathode-ray tubes Data/grphic display tubes, monochrome; data/graphic display tubes, color, with a phosphor dot screen pitch smaller than 0.4 mm Cathode-ray tubes nesoi Magnetron tubes, modified for use as parts of microwave ovens Magnetron tubes nesoi Klystron tubes Microwave tubes (other than magnetrons or klystrons) excluding grid-controlled tubes Receiver or amplifier tubes Thermionic, cold cathode or photocathode tubes, nesi Front panel assemblies for cathode-ray tubes Deflection coils for cathode-ray tubes Parts of cathode-ray tubes other than deflection coils or front panel assemblies Electron guns; radio frequency (RF) interaction structures for microwave tubes of subheadings 8540.71 through 8540.79, inclusive Parts of thermionic, cold cathode or photocathode tubes, other than parts of cathode- ray tubes, electron guns, etc., nesi Diodes, other than photosensitive or light-emitting diodes Transistors, other than photosensitive transistors, with a dissipation rating of less than 1 W Transistors, other than photosensitive transistors, with a dissipation rating of 1 W or more Thyristors, diacs and triacs, other than photosensitive devices Light-emitting diodes (LED’s) Diodes for semiconductor</w:t>
      </w:r>
    </w:p>
    <w:p>
      <w:pPr>
        <w:pStyle w:val="Normal"/>
      </w:pPr>
      <w:r>
        <w:t>devices, other than light-emitting diodes, nesi Photosensitive transistors Photosensitive semiconductor devices nesi, optical coupled isolators Photosensitive semiconductor devices nesi, other Semiconductor devices other than photosensitive semiconductor devices, nesi Mounted piezoelectric crystals Parts of diodes, transistors, similar semiconductor devices, photosensitive semiconductor devices, LED’s and mounted piezoelectric crystals Processors and controllers, whether or not combined with memories, converters, logic circuits, amplifiers, clock and timing circuits, or oth Memories Amplifiers Electronic integrated circuits, nesoi Parts of electronic integrated circuits and microassemblies Electrical particle accelerators Electrical signal generators Electrical machines and apparatus for electroplating, electrolysis, or electrophoresis for making printed circuits Other electrical machines and apparatus for electroplating, electrolysis, or electrophoresis Physical vapor deposition appartus, nesoi Flight data recorders Other electric synchros and transducers; defrosters and demisters with electric resistors for aircraft Electrical machines and apparatus nesoi, designed for connection to telegraphic or telephonic apparatus, instruments or networks Electric luminescent lamps Microwave amplifiers Electrical machines and apparatus for electrical nerve stimulation Electrical machines w/ translation/dictionary; flatpanel displays except for heading 8528 (except 8528.51/61);infrared</w:t>
      </w:r>
    </w:p>
    <w:p>
      <w:pPr>
        <w:pStyle w:val="Normal"/>
      </w:pPr>
      <w:r>
        <w:t>video game controller Portable battery operated electronic readers for recording text, still images or audio files Digital signal processing apparatus capable of connecting to a wired or wireless network for sound mixing Portable interactive electronic education devices for children Touch screens without display capabilities for incorporation in apparatus having a display Plasma cleaner machines that remove organic contaminants from electron microscopy specimens and holders Other machinery in this subheading Parts of physical vapor deposition apparatus of subheading 8543.70 Assemblies and subassemblies for flight data recorders, consisting of 2 or more parts pieces fastened together, printed circuit assemblies Assemblies and subassemblies for flight data recorders, consisting of 2 or more parts pieces fastened together, not printed circuit assys.</w:t>
      </w:r>
    </w:p>
    <w:p>
      <w:pPr>
        <w:pStyle w:val="Normal"/>
      </w:pPr>
      <w:r>
        <w:t>Printed circuit assemblies of flat panel displays other than for reception apparatus for television of heading 8528 Printed circuit assemblies of electrical machines and apparatus, having individual functions, nesoi Parts, nesoi, of flat panel displays other than for reception apparatus for television of heading 8528 Parts (other than printed circuit assemblies) of electrical machines and apparatus, having individual functions, nesoi Insulated (including enameled or anodized) winding wire, of copper Insulated (including enameled or anodized) winding wire, other than of copper Insulated (including enameled or anodized) coaxial cable and other coaxial conductors Insulated ignition wiring sets and other wiring sets of a kind used in vehicles, aircraft or ships Insulated electric conductors nesi, for a voltage not exceeding 1,000 V, fitted with modular telephone connectors Insulated electric conductors nesi, used for telecommuncations, for a voltage not exceeding 1,000 V, fitted with connectors Insulated electric conductors nesi, for a voltage not exceeding 1,000 V, fitted with connectors, nesoi Insulated electric conductors of a kind used for telecommuncations, for a voltage not exceeding</w:t>
      </w:r>
    </w:p>
    <w:p>
      <w:pPr>
        <w:pStyle w:val="Normal"/>
      </w:pPr>
      <w:r>
        <w:t>80 V, not fitted with connectors Insulated electric conductors nesoi, for a voltage not exceeding 80 V, not fitted with connectors Insulated electric conductors nesi, of copper, for a voltage not exceeding 1,000 V, not fitted with connectors Insulated electric conductors nesi, not of copper,</w:t>
      </w:r>
    </w:p>
    <w:p>
      <w:pPr>
        <w:pStyle w:val="Normal"/>
      </w:pPr>
      <w:r>
        <w:t>for a voltage not exceeding 1,000 V, not fitted with connectors Insulated electric conductors nesi, for a voltage exceeding 1,000 V, fitted with connectors Insulated electric conductors nesi, of copper, for a voltage exceeding 1,000 V, not fitted with connectors Insulated electric conductors nesi, not of copper, for a voltage exceeding 1,000 V, not fitted with connectors Optical fiber cables made up of individually sheathed fibers Carbon electrodes of a kind used for furnaces Carbon electrodes of a kind used for electrolytic purposes Carbon electrodes of a kind used for electrical purposes, other than those used for furnaces or for electrolytic purposes Carbon brushes of a kind used for electrical purposes Arc light carbons of a kind used for electrical purposes Lamp carbons, battery carbons and articles of graphite or other carbon nesi, of a kind used for electrical purposes Electrical insulators of glass Electrical insulators of ceramics Electrical insulators of any material, other than glass or ceramics Ceramic insulators to be used in the production of spark plugs for</w:t>
      </w:r>
    </w:p>
    <w:p>
      <w:pPr>
        <w:pStyle w:val="Normal"/>
      </w:pPr>
      <w:r>
        <w:t>natural gas fueled, stationary, internal-combustion engines Insulating fittings for electrical machines, appliances or equipment, of ceramics nesi Insulating fittings for electrical machines, appliances or equipment, of plastics Electrical conduit tubing and joints therefor, of base metal lined with insulating material;</w:t>
      </w:r>
    </w:p>
    <w:p>
      <w:pPr>
        <w:pStyle w:val="Normal"/>
      </w:pPr>
      <w:r>
        <w:t>insulating fittings for electrical goods nesi Spent primary cells, spent primary</w:t>
      </w:r>
    </w:p>
    <w:p>
      <w:pPr>
        <w:pStyle w:val="Normal"/>
      </w:pPr>
      <w:r>
        <w:t>batteries and spent electric storage batteries, entered for recovery of lead Spent primary cells, spent primary batteries and spent electric storage batteries, not entered for recovery of lead Waste and scrap of primary cells, primary batteries and electric storage batteries, entered for recovery of lead Waste and scrap of primary cells, primary batteries and electric storage batteries, not entered for recovery of lead Electrical parts of machinery or apparatus not specified or included elsewhere in chapter 85 Rail locomotives powered from an external source of electricity Rail locomotives powered by electric accumulators (batteries) Diesel-electric locomotives Rail locomotives (o/than diesel-electric), non-electric; locomotive tenders Self-propelled railway or tramway coaches, vans and trucks (o/than those of 8604), powered from an external source of electricity Self-propelled railway or tramway coaches, vans and trucks (o/than those of 8604), o/than powered from an external source of electricity Railway or tramway maintenance or service vehicles, whether or not self-propelled Railway or tramway passenger coaches and special purpose railway or tramway coaches, not self-propelled Railway or tramway tank cars and the like, not self-propelled Railway or tramway self-discharging freight cars (o/than tank cars or insulated/refrig.</w:t>
      </w:r>
    </w:p>
    <w:p>
      <w:pPr>
        <w:pStyle w:val="Normal"/>
      </w:pPr>
      <w:r>
        <w:t>freight cars), not self-propelled Railway or tramway freight cars nesoi, closed and covered, not self-propelled Railway or tramway freight cars nesoi, open, with nonremovable sides of a height over 60 cm, not self-propelled Railway or tramway freight cars nesoi, not self-propelled Parts of railway/tramway locomotives/rolling stock, truck assemblies for self-propelled vehicles Parts of railway/tramway locomotives/rolling stock, truck assemblies for other than self- propelled vehicles Parts of railway/tramway locomotives/rolling stock, axles Parts of railway/tramway locomotives/rolling stock, parts of axles Parts of railway/tramway locomotives/rolling stock, wheels, whether or not fitted with axles Parts of railway/tramway locomotives/rolling stock, parts of wheels Parts of railway/tramway locomotives/rolling stock, parts of truck assemblies for non self-propelled passenger coaches or freight cars Parts of railway/tramway locomotives/rolling stock, parts of truck assemblies for self- propelled vehicles or for non-self propelled nesoi Parts of railway/tramway locomotives/rolling stock, air brakes &amp; parts thereof for non self-propelled passenger coaches or freight cars Parts of railway/tramway locomotives/rolling stock, air brakes &amp; parts thereof for self- propelled vehicles or non-self-propelled stock nesoi Parts of railway/tramway locomotives/rolling stock, pts of brakes (o/than air brakes) for non-self-propelled passenger coaches or freight Parts of railway/tramway</w:t>
      </w:r>
    </w:p>
    <w:p>
      <w:pPr>
        <w:pStyle w:val="Normal"/>
      </w:pPr>
      <w:r>
        <w:t>locomotives/rolling stock, pts of brakes (o/th air brakes) for self-propelled vehicles or non-self-propelled nesoi Parts of railway/tramway locomotives/rolling stock, hooks and other coupling devices, buffers, pts thereof, for stock of 8605 or 8606 Parts of railway/tramway locomotives/rolling stock, hooks and other coupling devices, buffers, pts thereof, for stock of 8601 to 8605 Parts, nesoi, of railway/tramway locomotives Parts (o/than brake regulators) nesoi, of railway/tramway, non-self-propelled passenger coaches or freight cars Parts, nesoi, of railway or tramway rolling stock, nesoi Railway or tramway track fixtures and fittings; mechanical signaling, safety or traffic control equipment of all kinds nesoi;</w:t>
      </w:r>
    </w:p>
    <w:p>
      <w:pPr>
        <w:pStyle w:val="Normal"/>
      </w:pPr>
      <w:r>
        <w:t>parts thereof Containers (including containers for transport of fluids) specially designed and equipped for carriage by one or more modes of transport Single axle tractors, other than tractors of 8709 Road tractors for semi-trailers Track-laying tractors, suitable for agricultural use Track-laying tractors, not suitable for agricultural use Other tractors of engine power &lt;18kW, for agricultural use Other tractors of engine power &lt;18kW, not for agricultural use Other tractors of engine power =&gt; 18kW but &lt; 37kW, for agricultural use Other tractors of engine power =&gt; 18kW but &lt; 37kW, not for agricultural use Other tractors of engine power =&gt; 37kW but &lt; 75kW, for agricultural use Other tractors of engine power =&gt; 37kW but &lt; 75kW, not for agricultural use Other tractors</w:t>
      </w:r>
    </w:p>
    <w:p>
      <w:pPr>
        <w:pStyle w:val="Normal"/>
      </w:pPr>
      <w:r>
        <w:t>of engine power =&gt; 75kW but &lt; 130kW, for agricultural use Other tractors of engine power =&gt; 75kW but &lt; 130kW, not for agricultural use Other tractors of engine power &gt;130kW, for agricultural use Other tractors of engine power &gt;130kW, not for agricultural use Motor vehicles w/diesel engine, to transport 16 or more persons, incl driver Motor vehicles w/diesel engine, to transport 10 to 15 persons, incl driver Motor vehicles w/diesel engine &amp; electric motor, to transport 16 or more persons, incl driver Motor vehicles w/diesel engine &amp; electric motor, to transport 10 to 15 persons, incl driver Motor vehicles w/spark-ign. IC recip. piston engine &amp; electric motor, to transport 16 or more persons, incl driver Motor vehicles w/spark-ign.</w:t>
      </w:r>
    </w:p>
    <w:p>
      <w:pPr>
        <w:pStyle w:val="Normal"/>
      </w:pPr>
      <w:r>
        <w:t>IC recip. piston engine &amp; electric motor, to transport 10 to 15 persons, incl driver Motor vehicles w/electric motor, to transport 16 or more persons, incl driver Motor vehicles w/electric motor, to transport 10 to 15 persons, incl driver Motor vehicles nesoi, to transport 16 or more persons, incl driver Motor vehicles nesoi, to transport 10 to 15 persons, incl driver Motor vehicles specially designed for traveling on snow Golf carts and similar motor vehicles Motor vehicles to transport persons, w/spark-ign. IC recip. piston engine, w/cyl capacity &lt;= 1, 000 cc Motor vehicles to transport persons, w/spark-ign. IC recip. piston engine, w/cyl capacity &gt; 1, 000cc but &lt;=1, 500cc Motor vehicles to transport persons, w/spark-ign. IC recip.</w:t>
      </w:r>
    </w:p>
    <w:p>
      <w:pPr>
        <w:pStyle w:val="Normal"/>
      </w:pPr>
      <w:r>
        <w:t>piston engine, w/cyl capacity &gt;1, 500cc but &lt;=3, 000cc Motor vehicles to transport persons, w/spark-ign. IC recip. piston engine, w/cyl capacity &gt;3, 000cc Motor vehicles to transport persons, w/diesel engines, of a cylinder capacity &lt;= 1, 500cc Motor vehicles to transport persons, w/diesel engines, of a cylinder capacity &gt; 1, 500cc but &lt;= 2, 500cc Motor vehicles to transport persons, w/diesel engines, of a cylinder capacity &gt; 2, 500cc Motor vehicles to transport persons, w/spark-ign. IC recip. piston engine &amp; elec motor incapable of charge by plug to exetrnal source Motor vehicles to transport persons, w/diesel engine &amp; elec motor incapable of charge by plug to external source Motor vehicles to transport persons, w/spark-ign.</w:t>
      </w:r>
    </w:p>
    <w:p>
      <w:pPr>
        <w:pStyle w:val="Normal"/>
      </w:pPr>
      <w:r>
        <w:t>IC recip. piston engine &amp; elec motor capable of charge by plug to external source Motor vehicles to transport persons, w/diesel engine &amp; elec motor capable of charge by plug to external source Motor vehicles to transport persons, w/electric motor for propulsion Motor vehicles to transport persons, nesoi Mtr. vehicles for transport of goods, cab chassis for dumpers designed for off-highway use Mtr. vehicles for transport of goods, complete dumpers designed for off-highway use Mtr. vehicles for transport of goods, w/compress.-ign. int. combust. recip. piston engine, w/G.V.W. not over 5 metric tons Mtr. vehicles for transport of goods, cab chassis, w/compress.-ign. int. combust. recip. piston engine, w/G.V.W. o/5 but n/o 20 metric tons Mtr. vehicl.</w:t>
      </w:r>
    </w:p>
    <w:p>
      <w:pPr>
        <w:pStyle w:val="Normal"/>
      </w:pPr>
      <w:r>
        <w:t>for transport of goods (o/than cab chassis), w/compress.-ign. int. combust. recip. piston engine, w/G.V.W. o/5 but n/o 20 mtons Mtr. vehicles for transport of goods, w/compress.-ign. int. combust. recip. piston engine, w/G.V.W. over 20 metric tons Mtr. vehicles for transport of goods, w/spark.-ign. int. combust. recip. piston engine, w/G.V.W. not over 5 metric tons Mtr. vehicles for transport of goods, w/spark.-ign. int. combust. recip. piston engine, w/G.V.W. over 5 metric tons Mtr. vehicles for transport of goods, o/than w/compress. ign. or spark ign. recip. piston engine, nesoi Mtr. vehicles (o/than for transport of persons or of goods), mobile cranes Mtr. vehicles (o/than for transport of persons or of goods), mobile drilling derricks Mtr. vehicles (o/than for transport of persons or of goods), fire fighting vehicles Mtr. vehicles (o/than for transport of persons or of goods), concrete mixers Mtr. vehicles (o/than for transport of persons or of goods), special purpose motor vehicles nesoi Chassis fitted w/engines, for mtr. vehicles for transport of goods of 8704.21 or 8704.31 Chassis fitted w/engines, for mtr.</w:t>
      </w:r>
    </w:p>
    <w:p>
      <w:pPr>
        <w:pStyle w:val="Normal"/>
      </w:pPr>
      <w:r>
        <w:t>vehicles of 8701.20, 8702, &amp; 8704 (except 8704.21 or 8704.31) Chassis fitted w/engines, for mtr. vehicles for transport of persons of 8703 Chassis fitted w/engines, for mtr. vehicles of heading 8705 Chassis fitted w/engines, for tractors suitable for agricultural use Chassis fitted w/engines, for tractors (o/than for agric.</w:t>
      </w:r>
    </w:p>
    <w:p>
      <w:pPr>
        <w:pStyle w:val="Normal"/>
      </w:pPr>
      <w:r>
        <w:t>use) and other motor vehicles nesoi Bodies (including cabs), for mtr. vehicles for transport of persons of heading 8703 Bodies (including cabs), for tractors suitable for agricultural use Bodies (including cabs), for mtr. vehicles (o/than tract. for agri. use) of headings 8701 8705 (except 8703) Pts. &amp; access. for mtr vehicles of headings 8701 to 8705, bumpers Pts. &amp; access. of mtr. vehicles of headings 8701 to 8705, parts of bumpers Pts. &amp; access. of bodies for mtr. vehicles of headings 8701 to 8705, safety seat belts Pts. &amp; access. of bodies for mtr. vehicles of headings 8701 to 8705, door assemblies Body stampings for tractors suitable for agriculture Body stampings of motor vehicles, nesoi Pts. &amp; access. of bodies for mtr. vehicles of headings 8701 to 8705, nesoi Pts. &amp; access. of tractors suit. for agric. use, brakes and servo-brakes &amp; pts thereof Pts. &amp; access. of mtr. vehicles of 8701, nesoi, and 8702-8705, brakes and servo-brakes &amp; pts thereof Pts. &amp; access. of mtr. vehic. of 8701.20, 8702, 8703 or 8704, gear boxes Pts. &amp; access.</w:t>
      </w:r>
    </w:p>
    <w:p>
      <w:pPr>
        <w:pStyle w:val="Normal"/>
      </w:pPr>
      <w:r>
        <w:t>of tractors suitable for agricultural use, gear boxes Pts. &amp; access. of mtr. vehic. of 8701, nesoi, and of 8705, gear boxes Pts. &amp; access. of tractors suitable for agricultural use, pts. for gear boxes Pts. &amp; access. of tractors (o/than road tractors or for agricultural use), pts. for gear boxes Parts of gear boxes of the motor vehicles of 8701-8705, of cast iron Pts. &amp; access. of motor vehicles of 8701, nesoi, and 8702-8705, pts.</w:t>
      </w:r>
    </w:p>
    <w:p>
      <w:pPr>
        <w:pStyle w:val="Normal"/>
      </w:pPr>
      <w:r>
        <w:t>for gear boxes, nesoi Pts. &amp; access. of tractors suitable for agricultural use, drive axles w/differential (whether or not w/other transm. components) Pts. &amp; access. of tractors, other than road tractors or for agricultural use, drive axles w/differential (whether or not w/other transm. com Pts. &amp; access. of motor vehicles of 8703, drive axles w/differential (whether or not w/other transm. components) Pts. &amp; access. of mtr. vehic. of 8701, nesoi, 8702, and 8704-8705, drive axles w/different. (wheth or not w/oth transm components) Pts. &amp; access. of mtr. vehic. of 8701, nesoi, of 8702, and of 8704-8705, non-driving axles Pts. &amp; access. of tractors suitable for agricultural use, parts of drive axles w/different. (wheth or not w/oth transm components) Pts. &amp; access. of tractors, other than road tractors or for agricultural use, parts of drive axles w/different.</w:t>
      </w:r>
    </w:p>
    <w:p>
      <w:pPr>
        <w:pStyle w:val="Normal"/>
      </w:pPr>
      <w:r>
        <w:t>(wheth or not w/oth transm c Pts. &amp; access. of mtr. vehic. for transp. of persons of 8703, parts of non-driving axles Pts. &amp; access. of motor vehicles of 8703, of cast iron nesoi Pts. &amp; access. of motor vehicles of 8703, half-shafts Pts. &amp; access. of motor vehicles of 8703, parts, nesoi, of drive axles w/different. (wheth or not w/oth transm components) Pts. &amp; access. of mtr. vehic. of 8701, nesoi, 8702 and 8704-8705, parts of non-driving axles Pts. &amp; access. of mtr. vehic. of 8701, nesoi, 8702 and 8704-8705, of cast iron nesoi Pts. &amp; access. of mtr. vehic. of 8701, nesoi, 8702 and 8704-8705, half-shafts Pts. &amp; access.</w:t>
      </w:r>
    </w:p>
    <w:p>
      <w:pPr>
        <w:pStyle w:val="Normal"/>
      </w:pPr>
      <w:r>
        <w:t>of mtr. vehic. of 8701, nesoi, 8702 and 8704-8705, parts, nesoi, of drive axles w/different.</w:t>
      </w:r>
    </w:p>
    <w:p>
      <w:pPr>
        <w:pStyle w:val="Normal"/>
      </w:pPr>
      <w:r>
        <w:t>(wheth or not w/oth transm compo Pts. &amp; access. of tractors suitable for agricultural use, road wheels Pts. &amp; access. of tractors suitable for agricultural use, pts. &amp; access. for road wheels Pts. &amp; access. of tractors (o/than road tractors or for agric. use), road wheels Pts. &amp; access. of tractors (o/than road tractors or for agric. use), pts. &amp; access. for road wheels Pts. &amp; access. of mtr. vehic. of 8701, nesoi, and of 8702-8705, road wheels Pts. &amp; access. of mtr. vehicc of 8701, nesoi, and of 8702-8705, pts. &amp; access. for road wheels Pts. &amp; access. of tractors suitable for agricultural use, McPherson struts Pts. &amp; access. of tractors suitable for agricultural use, suspension shock absorbers (o/than McPherson struts) Pts. &amp; access. of mtr. vehic. of 8701, nesoi, and of 8702-8705, McPherson struts Pts. &amp; access. of mtr. vehic. of 8701, nesoi, and of 8702-8705, suspension shock absorbers (o/than McPherson struts) Pts. &amp; access. of tractors suitable for agricultural use, pts. for suspension systems nesoi Pts. &amp; access.</w:t>
      </w:r>
    </w:p>
    <w:p>
      <w:pPr>
        <w:pStyle w:val="Normal"/>
      </w:pPr>
      <w:r>
        <w:t>of tractors (o/than road tractors or for agricultural use), pts. for suspension systems nesoi Parts of suspension systems of the motor vehicles of 8701-8705, of cast iron Pts. &amp; access. of motor vehicles of 8701, nesoi, and 8702-8705, pts. for suspension systems nesoi Pts. &amp; access. of tractors suitable for agricultural use, radiators Pts. &amp; access. of mtr. vehic.</w:t>
      </w:r>
    </w:p>
    <w:p>
      <w:pPr>
        <w:pStyle w:val="Normal"/>
      </w:pPr>
      <w:r>
        <w:t>of 8701, nesoi, and 8702-8705, radiators Pts. &amp; access., nesoi, of tractors suitable for agricultural use, parts of radiators Pts. &amp; access., nesoi, of tractors (o/than road tractors or suitable for agricultural use), parts of radiators Pts. &amp; access. of motor vehicles of 8701, nesoi, and 8702-8705, parts of radiators, of cast iron nesoi Pts. &amp; access., nesoi, of motor vehicles of 8701, nesoi, and 8702-8705, parts of radiators, nesoi Pts. &amp; access. of tractors suitable for agricultural use, mufflers &amp; exhaust pipes Pts. &amp; access. of mtr. vehic. of 8701, nesoi, and 8702-8705, mufflers &amp; exhaust pipes Pts. &amp; access., nesoi, of tractors suitable for agricultural use, parts of mufflers Pts. &amp; access., nesoi, of tractors (o/than road tractors or suitable for agricultural use), parts of mufflers Pts. &amp; access. of motor vehicles of 8701, nesoi, and 8702-8705, parts of mufflers, of cast iron nesoi Pts. &amp; access., nesoi, of motor vehicles of 8701, nesoi, and 8702-8705, parts of mufflers, nesoi Pts. &amp; access. of tractors suitable for agricultural use, clutches Pts. &amp; access.</w:t>
      </w:r>
    </w:p>
    <w:p>
      <w:pPr>
        <w:pStyle w:val="Normal"/>
      </w:pPr>
      <w:r>
        <w:t>of tractors suitable for agricultural use, pts. of clutches Pts. &amp; access. of mtr. vehic. of 8701, nesoi, and 8702-8705, clutches Pts. &amp; access. of mtr. vehic. of 8701, nesoi, and 8702-8705, pts. of clutches Pts. &amp; access. of tractors suitable for agricultural use, steering wheels, steering columns and steering boxes Pts. &amp; access. of mtr. vehic.</w:t>
      </w:r>
    </w:p>
    <w:p>
      <w:pPr>
        <w:pStyle w:val="Normal"/>
      </w:pPr>
      <w:r>
        <w:t>of 8701, nesoi, and 8702-8705, steering wheels, steering columns and steering boxes Pts. &amp; access., nesoi, of tractors suitable for agricultural use, parts of steering wheels/columns/boxes Pts. &amp; access., nesoi, of tractors (o/than road tractors or suitable for agricultural use), parts of steering wheels/columns/boxes Pts. &amp; access. of motor vehicles of 8701, nesoi, and 8702-8705, parts of steering wheels/columns/boxes, of cast iron nesoi Pts. &amp; access., nesoi, of motor vehicles of 8701, nesoi, and 8702-8705, parts of steering wheels/columns/boxes, nesoi Pts. &amp; access. of bodies for mtr. vehicles of headings 8701 to 8705, inflators &amp; modules for airbags Pts. &amp; access., nesoi, of tractors suitable for agricultural use, parts of safety airbags with inflater system Pts. &amp; access., nesoi, of tractors (o/than road tractors or suitable for agricultural use), parts of safety airbags with inflater system Pts. &amp; access. of motor vehicles of 8701, nesoi, and 8702-8705, parts of safety airbags with inflater system Pts. &amp; access. of tractors suitable for agricultural use, vibration control goods containing rubber Pts. &amp; access.</w:t>
      </w:r>
    </w:p>
    <w:p>
      <w:pPr>
        <w:pStyle w:val="Normal"/>
      </w:pPr>
      <w:r>
        <w:t>of tractors suitable for agricultural use, double flanged wheel hub units w/ball bearings Pts. &amp; access. of tractors suitable for agricultural use, pts. for power trains nesoi Pts. &amp; access., nesoi, of tractors suitable for agricultural use Pts. &amp; access. of tractors (o/than road tractors or for agricultural use), vibration control goods containing rubber Pts.</w:t>
      </w:r>
    </w:p>
    <w:p>
      <w:pPr>
        <w:pStyle w:val="Normal"/>
      </w:pPr>
      <w:r>
        <w:t>&amp; access. of tractors (o/than road tractors or for agricultural use), double flanged wheel hub units w/ball bearings Pts. &amp; access. of tractors (o/than road tractors or for agricultural use), pts. for power trains nesoi Pts. &amp; access., nesoi, of tractors (o/than road tractors or suitable for agricultural use) Parts &amp; accessories of motor vehicles of 8701-8705, nesoi, of cast iron Pts. &amp; access. of motor vehicles of 8701, nesoi, and 8702-8705, vibration control goods containing rubber Pts. &amp; access. of motor vehicles of 8701, nesoi, and 8702-8705, double flanged wheel hub units w/ball bearings Pts. &amp; access. of motor vehicles of 8701, nesoi, and 8702-8705, pts. for power trains nesoi Pts. &amp; access., nesoi, of motor vehicles of 8701, nesoi, and 8702-8705 Electrical, self-propelled, works trucks, not fitted w/lift. equip. and tractors of type used on railway station platforms Non-electrical, self-propelled, works trucks, not fitted w/lift. equip. and tractors of type used on railway station platforms Parts of self-propelled works trucks, not fitted w/lift. equip.</w:t>
      </w:r>
    </w:p>
    <w:p>
      <w:pPr>
        <w:pStyle w:val="Normal"/>
      </w:pPr>
      <w:r>
        <w:t>and tractors of the type used on railway station platforms Tanks &amp; other armored fighting vehicles, motorized, whether or not fitted with weapons, and parts of such vehicles Motorcycles (incl. mopeds) and cycles, fitted w/recip. internal-combustion piston engine w/capacity n/o 50 cc Motorcycles (incl. mopeds) and cycles, fitted w/recip.</w:t>
      </w:r>
    </w:p>
    <w:p>
      <w:pPr>
        <w:pStyle w:val="Normal"/>
      </w:pPr>
      <w:r>
        <w:t>internal-combustion piston engine w/capacity o/50 but n/o 250 cc Motorcycles (incl. mopeds) and cycles, fitted w/recip. internal-combustion piston engine w/capacity o/250 but n/o 500 cc Motorcycles (incl. mopeds) and cycles, fitted w/recip. internal-combustion piston engine w/capacity o/500 cc but n/o 700 cc Motorcycles (incl. mopeds) and cycles, fitted w/recip. internal-combustion piston engine w/capacity o/700 cc but n/o 800 cc Motorcycles (incl. mopeds) and cycles, fitted w/recip. internal-combustion piston engine w/capacity o/800 cc Motorcycles (incl. mopeds) and cycles, w/electric motor for propulsion Motorcycles (incl. mopeds) and cycles, nesoi Bicycles, not motorized, w/both wheels not over 63.5 cm in diameter Bicycles, not motorized, w/both wheels o/63.5 cm in diam., weighing under 16.3 kg &amp; not design. for tires w/x-sect. diam. o/4.13cm Bicycles, not motorized, w/both wheels o/63.5 cm in diam., weighing 16.3 kg or more, and/or for use w/tires w/x-sect. diam. o/4.13 cm Bicycles, n/motor., w/front wheel diam. o/55 cm but n/o 63.5 cm &amp; rear wheel diam.</w:t>
      </w:r>
    </w:p>
    <w:p>
      <w:pPr>
        <w:pStyle w:val="Normal"/>
      </w:pPr>
      <w:r>
        <w:t>o/63.5 cm in diam., &amp; wt &lt;16.3 kg w/o acces., value $200+ Bicycles, n/motor., w/front wheel w/diameter different than rear wheel diam., nesoi Cycles (o/than bicycles) (including delivery tricycles), not motorized Invalid carriages, not mechanically propelled Invalid carriages, motorized or otherwise mechanically propelled Pts. &amp; access. for motorcycles (including mopeds) Pts. &amp; access. for invalid carriages Pts.</w:t>
      </w:r>
    </w:p>
    <w:p>
      <w:pPr>
        <w:pStyle w:val="Normal"/>
      </w:pPr>
      <w:r>
        <w:t>&amp; access. for bicycles &amp; o/cycles, frames, valued over $600 each Pts. &amp; access. for bicycles &amp; o/cycles, frames, valued at $600 or less each Pts. &amp; access. for bicycles, sets of steel tubing cut to exact length for the assembly (w/other pts) into the frame &amp; fork of one bicycle Pts. &amp; access. for bicycles &amp; o/cycles, forks, nesoi and pts of frames, nesoi and pts. of forks Pts. &amp; access. for bicycles &amp; o/cycles, wheel rims Pts. &amp; access. for bicycles &amp; o/cycles, wheel spokes Pts. &amp; access. for bicycles &amp; o/cycles, aluminum alloy hubs, w/hollow axle and lever- operated quick release mechanism Pts. &amp; access. for bicycles &amp; o/cycles, 3-speed hubs nesoi Pts. &amp; access. for bicycles &amp; o/cycles, 2-speed hubs, w/internal gear changing mechanisms, nesoi Pts. &amp; access. for bicycles &amp; o/cycles, variable speed hubs, w/internal gear changing mechanisms, nesoi Pts. &amp; access. for bicycles &amp; o/cycles, non-variable speed hubs, nesoi Pts. &amp; access. for bicycles &amp; o/cycles, free-wheel sprocket-wheels Pts. &amp; access. for bicycles &amp; o/cycles, brakes (o/than hub brakes) and parts thereof Pts.</w:t>
      </w:r>
    </w:p>
    <w:p>
      <w:pPr>
        <w:pStyle w:val="Normal"/>
      </w:pPr>
      <w:r>
        <w:t>&amp; access. for bicycles &amp; o/cycles, brakes and parts thereof, nesoi Pts. &amp; access. for bicycles &amp; o/cycles, saddles Pts. &amp; access. for bicycles &amp; o/cycles, pedals and parts thereof Pts. &amp; access. for bicycles &amp; o/cycles, cotterless-type crank sets and parts thereof Pts. &amp; access. for bicycles &amp; o/cycles, crank-gear nesoi and parts thereof Pts. &amp; access.</w:t>
      </w:r>
    </w:p>
    <w:p>
      <w:pPr>
        <w:pStyle w:val="Normal"/>
      </w:pPr>
      <w:r>
        <w:t>for bicycles &amp; o/cycles, click twist grips and click stick levers Pts. &amp; access. for bicycles &amp; o/cycles, derailleurs and parts thereof Pts. &amp; accs. for bicycles &amp; o/cycl., trigger &amp; twist grip cntrls for 3-spd hubs, alum. handlebar stems &gt;$2.15 ea, &amp; stem rotor assys. &amp; pts.</w:t>
      </w:r>
    </w:p>
    <w:p>
      <w:pPr>
        <w:pStyle w:val="Normal"/>
      </w:pPr>
      <w:r>
        <w:t>Pts. &amp; access. nesoi, for bicycles and other cycles of heading 8712 Baby carriages (including strollers) and parts thereof Trailers &amp; semi-trailers, not mech. propelled, for housing or camping Self-loading or self-unloading trailers and semi-trailers, not mech. propelled, for agricultural purposes Tanker trailers and tanker semi-trailers, not mech. propelled, for the transport of goods Trailers and semi-trailers, not mech. propelled, nesoi, for the transport of goods Trailers and semi-trailers, not mechanically propelled, nesoi Farm wagons and carts, not mechanically propelled Vehicles, not mechanically propelled, nesoi Parts of farm wagons and carts Parts of vehicles, not mechanically propelled, castors (o/than castors of heading 8302) Parts of trailers and semi-trailers and vehicles, not mechanically propelled, nesoi Balloons, dirigibles and non-powered aircraft, gliders and hang gliders Helicopters, with an unladen weight not over 2,000 kg Helicopters, with an unladen weight over 2,000 kg Airplanes and other powered aircraft, nesoi, with an unladen weight not over 2,000 kg Airplanes and other powered aircraft, nesoi, with an unladen weight over 2,000 kg but not over 15,000 kg Airplanes and other</w:t>
      </w:r>
    </w:p>
    <w:p>
      <w:pPr>
        <w:pStyle w:val="Normal"/>
      </w:pPr>
      <w:r>
        <w:t>powered aircraft, nesoi, with an unladen weight over 15,000 kg Communication satellites Spacecraft, including satellites (o/than communication satellites), and suborbital and spacecraft launch vehicles Parts of airplanes and other aircraft, propellers and rotors and parts thereof Parts of airplanes and other aircraft, undercarriages and parts thereof Parts of airplanes and helicopters, nesoi Parts of communication satellites Parts of aircraft (o/than airplanes and helicopters), spacecraft (o/than comm. satell.) and suborbital and launch vehicles, nesoi Parachutes (including dirigible parachutes) and rotochutes; parts &amp; access. thereof Aircraft launching gear and parts thereof; deck-arrestors or similar gear and parts thereof Air combat ground flying simulators and parts thereof Ground flying trainers and parts thereof, other than air combat simulators Vessels, designed for the transport of persons, cruise ships, excursion boats and similar vessels; ferry boats of all kinds Vessels, designed for the transport of goods, tankers Vessels, designed for the transport of goods, refrigerated vessels (o/than tankers) Vessels, designed for the transport of goods or for the transport of both persons and goods, nesoi Vessels, fishing;</w:t>
      </w:r>
    </w:p>
    <w:p>
      <w:pPr>
        <w:pStyle w:val="Normal"/>
      </w:pPr>
      <w:r>
        <w:t>factory ships and other vessels for processing or preserving fishery products Vessels, inflatable, for pleasure or sports Vessels, sailboats, with or without auxiliary motor, for pleasure or sports Vessels, motorboats (o/than outboard motorboats), for</w:t>
      </w:r>
    </w:p>
    <w:p>
      <w:pPr>
        <w:pStyle w:val="Normal"/>
      </w:pPr>
      <w:r>
        <w:t>pleasure or sports Vessels, canoes, not of a type designed to be principally used with motor or sails Vessels, row boats, not of a type to be principally used with motors or sails Vessels, outboard motorboats, for pleasure or sports Vessels, yachts and other vessels for pleasure or sports, nesoi Vessels, tugs and pusher craft Vessels, dredgers Floating or submersible drilling or production platforms Floating docks Vessels, light-vessels, fire-floats, floating cranes, &amp; other vessels nesoi, the navigability of which is subsidiary to their main function Warships Vessels (including lifeboats other than row boats), nesoi Inflatable rafts (o/than used for pleasure or sports of</w:t>
      </w:r>
    </w:p>
    <w:p>
      <w:pPr>
        <w:pStyle w:val="Normal"/>
      </w:pPr>
      <w:r>
        <w:t>8901.10) Floating structures nesoi (for example, rafts, other than inflatable rafts, tanks, cofferdams, landing stages, buoys and beacons) Vessels and other floating structures for breaking up (scrapping) Optical fibers, optical fiber bundles and cables, other than those of heading 8544 Sheets and plates of polarizing material Contact lenses Spectacle lenses of glass, unmounted Spectacle lenses of materials other than glass, unmounted Lenses nesi, unmounted Prisms, unmounted Mirrors, unmounted Half-tone screens designed for use in engraving or photographic processes, unmounted Optical elements nesi, unmounted Projection lenses, mounted, and parts and accessories therefor, for cameras, projectors or photographic enlargers or reducers Mounted objective lenses for use in closed circuit television cameras,</w:t>
      </w:r>
    </w:p>
    <w:p>
      <w:pPr>
        <w:pStyle w:val="Normal"/>
      </w:pPr>
      <w:r>
        <w:t>seperately imported, w/ or w/o attached elec. connectors or motors Objective lenses and parts &amp; access. thereof, for cameras, projectors, or photographic enlargers or reducers, except projection, nesi Objective lenses, mounted, and parts and accessories therefor, other than for cameras, projectors or photographic enlargers or reducers Photographic filters, mounted, and parts and accessories therefor Filters, mounted, and parts and accessories therefor, for optical uses other than photographic Prisms, mounted, for optical uses Mirrors, mounted, for optical uses Half-tone screens, mounted, designed for use in engraving or photographic processes Mounted lenses, n/obj., for use in closed circuit television cameras, seperately imported, w/ or w/o attached elec. connectors or motors Mounted optical elements, nesi;</w:t>
      </w:r>
    </w:p>
    <w:p>
      <w:pPr>
        <w:pStyle w:val="Normal"/>
      </w:pPr>
      <w:r>
        <w:t>parts and accessories of mounted optical elements, nesi Frames and mountings, of plastics, for spectacles, goggles or the like Frames and mountings, other than of plastics, for spectacles, goggles or the like Parts of frames and mountings for spectacles, goggles or the like Sunglasses, corrective, protective or other Spectacles, goggles and the like, corrective, protective or other, other than sunglasses Binoculars Optical telescopes, including monoculars Monoculars and astronomical instruments other than binoculars and optical telescopes but not including instruments for radio-astronomy Parts and accessories, for binoculars, monoculars, optical telescopes, or</w:t>
      </w:r>
    </w:p>
    <w:p>
      <w:pPr>
        <w:pStyle w:val="Normal"/>
      </w:pPr>
      <w:r>
        <w:t>astronomical instruments, incorp.</w:t>
      </w:r>
    </w:p>
    <w:p>
      <w:pPr>
        <w:pStyle w:val="Normal"/>
      </w:pPr>
      <w:r>
        <w:t>good or 9001 or 9002 Parts and accessories, including mountings, for binoculars, monoculars, other optical telescopes, and other astronomical instruments, nesi Photographic cameras for underwater, aerial, medical, surgical, forensic or criminological purposes, not cinematographic Fixed focus instant print cameras Instant print cameras, other than fixed focus, valued not over $10 each Instant print cameras, other than fixed focus, valued over $10 each Cameras with through-the-lens viewfinder, for roll film of a width not exceeding 35 mm, not cinematographic Fixed focus, hand held, 110 cameras Fixed focus, hand held cameras, other than 110 cameras, for roll film of a width less than 35 mm, not cinematographic Fixed focus cameras nesi, for roll film of a width less than 35 mm, not cinematographic Cameras, other than fixed focus, nesi, for roll film of a width less than 35 mm, valued not over $10 each, not cinematographic Cameras, other than fixed focus, nesi, for roll film of a width less than 35 mm, valued over $10 each, not cinematographic Cameras nesi, for roll</w:t>
      </w:r>
    </w:p>
    <w:p>
      <w:pPr>
        <w:pStyle w:val="Normal"/>
      </w:pPr>
      <w:r>
        <w:t>film of a width of 35 mm, not cinematographic Cameras of a kind used for preparing printing plates or cylinders Fixed focus cameras, nesi, not cinematographic Cameras nesi, other than fixed focus, valued not over $10 each, not cinematographic Photographic cameras, other than fixed focus, valued over $10 each, nesi Photographic discharge lamp (“electronic”) flashlight apparatus</w:t>
      </w:r>
    </w:p>
    <w:p>
      <w:pPr>
        <w:pStyle w:val="Normal"/>
      </w:pPr>
      <w:r>
        <w:t>Photographic flashlight apparatus, nesi Parts and accessories for photographic cameras, not cinematographic Parts and accessories for photographic flashlight apparatus and flashbulbs Cinematographic cameras Cinematographic projectors for film &lt; 16 mm, w/sound recording and reproducing systems and those for projecting only sound motion pictures Cinematographic projectors for film of less than 16 mm, nesoi Cinematographic projectors for film = or &gt; 16 mm, w/sound recording &amp; reproducing systems &amp; those for projecting only sound motion pictures Cinematographic projectors for film of 16 mm or greater, nesoi Parts for cinematographic cameras Accessories for cinematographic cameras Parts and accessories for cinematographic projectors Slide projectors Microfilm, microfiche or other microform readers, capable of producing copies Microfilm, microfiche or other microform readers, other than those capable of producing copies Image projectors, except slide projectors and microfilm, microfiche or other microform readers Photographic (other than cinematographic) enlargers and reducers Parts and accessories of image projectors, other than cinematographic Parts and accessories of photographic (other than cinematographic) enlargers and reducers Apparatus &amp; equipment for auto.</w:t>
      </w:r>
    </w:p>
    <w:p>
      <w:pPr>
        <w:pStyle w:val="Normal"/>
      </w:pPr>
      <w:r>
        <w:t>developing photographic film/paper in rolls or exposing developed film to rolls of photographic paper Contact printers for photographic laboratories Developing tanks for photographic laboratories Editors and combination editor-splicers, for cinematographic film, containing an optical lens or designed to contain such a lens Photographic film viewers, titlers, splicers and editors, and combinations thereof, containing or designed to contain an optical lens, nesoi Photographic film viewers, titlers, splicers and editors, and combinations thereof, not containing or designed to contain an optical lens Apparatus and equipment for photographic (including cinematographic) laboratories, nesoi; negatoscopes Projection screens Parts and accessories of articles of subheading 9010.50 &amp; 9010.60 Other parts &amp; accessories for apparatus &amp; equipment for photographic (incl.</w:t>
      </w:r>
    </w:p>
    <w:p>
      <w:pPr>
        <w:pStyle w:val="Normal"/>
      </w:pPr>
      <w:r>
        <w:t>cinematographic) labs, nesoi, negatoscopes, &amp; projection screens Stereoscopic microscopes, provided with a means for photographing the image Stereoscopic microscopes, other than those provided with a means for photographing the image Microscopes for microphotography, microcinematography or microprojection, provided with a means for photographing the image Microscopes for microphotography, microcinematography or microprojection, not provided with a means for photographing the image Compound optical microscopes other than stereoscopic or those for microphotography, microcinematography or microprojection Parts and accessories for compound optical microscopes, including those for microphotography, microcinematography or microprojection Microscopes other than optical microscopes; diffraction apparatus Parts and accessories for microscopes other than optical microscopes, and for diffraction apparatus Telescopic sights for rifles not designed for use with infrared light Telescopic sights for rifles designed for use with infrared light Telescopes as parts of machines, appliances, etc.</w:t>
      </w:r>
    </w:p>
    <w:p>
      <w:pPr>
        <w:pStyle w:val="Normal"/>
      </w:pPr>
      <w:r>
        <w:t>of chapter 90 or section XVI Other telescopic sights for arms other than rifles; periscopes Lasers, other than laser diodes Hand magnifiers, magnifying glasses, loupes, thread counters and similar apparatus nesi Door viewers (door eyes) Liquid crystal and other optical flat panel displays other than for articles of heading 8528, nesoi Liquid crystal devices nesoi, and optical appliances and instruments, nesoi Parts and accessories of telescopic sights for rifles Parts and accessories of flat panel displays other than for articles of heading 8528 Parts and accessories other than for telescopic sights for fitting to arms or for periscopes Parts and accessories of liquid crystal devices nesoi, and optical appliances and instruments, nesoi Optical direction finding compasses Gyroscopic directing finding compasses, other than electrical Electrical direction finding compasses Direction finding compasses, other than optical instruments, gyroscopic compasses or electrical Optical instruments and appliances (other than compasses) for aeronautical or space navigation Automatic pilots for aeronautical or space navigation Electrical instruments and appliances (other than compasses) for aeronautical or space navigation Nonelectrical instruments and appliances (other than compasses) for aeronautical or space navigation Optical navigational instruments, nesi Ships’ logs and depth-sounding apparatus Electrical navigational instruments and appliances, nesi Nonelectrical navigational</w:t>
      </w:r>
    </w:p>
    <w:p>
      <w:pPr>
        <w:pStyle w:val="Normal"/>
      </w:pPr>
      <w:r>
        <w:t>instruments and appliances, nesi Parts and accessories of automatic pilots for aeronautical or space navigation of subheading 9014.20.40 Parts and accessories of nonelectrical instruments and appliances for aeronautical or space navigation of subheading 9014.20.80 Parts and accessories of nonelectrical navigational instruments and appliances nesi of subheading 9014.80.50 Parts and accessories of navigational instruments and appliances, nesi Electrical rangefinders Rangefinders, other than electrical Electrical theodolites and tachymeters Theodolites and tachymeters, other than electrical Electrical levels Levels, other than electrical Electrical photogrammetrical surveying instruments and appliances Photogrammetrical surveying instruments and appliances, other than electrical Optical surveying, hydrographic, oceanographic, hydrological, meteorological or geophysical instruments and appliances, nesi Seismographs Surveying, hydrographic, oceanographic, hydrological, meteorological or geophysical instruments and appliances, nesi, nonoptical Parts and accessories of 9015 Electrical balances of a sensitivity of 5 cg or better, with or without weights, and parts and accessories thereof Jewelers’ balances (nonelectrical) of a sensitivity of 5 cg or better, with or without weights, and parts and accessories thereof Balances (nonelectrical) of a sensitivity of 5 cg or better, other than jewelers’, balances, and parts and accessories thereof Drafting plotters, whether or not automatic</w:t>
      </w:r>
    </w:p>
    <w:p>
      <w:pPr>
        <w:pStyle w:val="Normal"/>
      </w:pPr>
      <w:r>
        <w:t>Drafting tables and machines, whether or not automatic, nesoi Disc calculators, slide rules and other mathematical calculating instruments Other drawing, marking-out or mathematical plotters, nesoi Other drawing, marking-out or mathematical calculating instruments, nesoi Micrometers and calipers, for use in the hand Gauges for measuring length, for use in the hand Instruments for measuring length, for use in the hand, nesi (for example, measuring rods and tapes) Parts and accessories for drawing, marking-out or mathematical calculating instruments, and for hand-held instruments for measuring length Electrocardiographs Printed circuit assemblies for electrocardiographs Parts and accessories of electrocardiographs, other than printed circuit assemblies Ultrasonic scanning electro-diagnostic apparatus used in medical, surgical, dental or veterinary sciences Magnetic resonance imaging electro-diagnostic apparatus used in medical, surgical, dental or veterinary sciences Scintigraphic electro-diagnostic apparatus used in medical, surgical, dental or veterinary sciences Electro-diagnostic apparatus for functional exploratory examination, and parts and accessories thereof Electro-diagnostic patient monitoring systems Printed circuit assemblies for electro-diagnostic parameter acquisition modules Electro-diagnostic apparatus nesi, and parts and accessories thereof nesi Ultraviolet or infrared ray apparatus used in medical, surgical, dental or veterinary sciences, and parts and</w:t>
      </w:r>
    </w:p>
    <w:p>
      <w:pPr>
        <w:pStyle w:val="Normal"/>
      </w:pPr>
      <w:r>
        <w:t>accessories thereof Syringes, with or without their needles; parts and accessories thereof Tubular metal needles and needles for sutures, used in medical, surgical, dental or veterinary sciences, and parts and accessories thereof Catheters, cannulae and the like nesi, used in medical, surgical, dental or veterinary sciences, and parts and accessories thereof Dental drill engines, whether or not combined on a single base with other dental equipment, and parts and accessories thereof Dental burs Instruments and apparatus used in dental sciences, nesi, and parts and accessories thereof Ophthalmic instruments and appliances nesi, and parts and accessories thereof Mirrors and reflectors used in medical, surgical, dental or veterinary sciences, and parts and accessories thereof Optical instruments and appliances nesi, used in medical, surgical, dental or veterinary sciences, and parts and accessories thereof Anesthetic instruments and appliances nesi, used in medical, surgical, dental or veterinary sciences, and parts and accessories thereof Percussion hammers, stethescopes, and parts of stethescopes used in medical, surgical, dental or veterinary sciences Sphygmomanometers, tensimeters and oscillometers used in medical, surgical, dental or veterinary sciences; parts and accessories thereof Electro-surgical instruments and appliances nesi, other than extracorporeal shock wave lithotripters and parts and accessories thereof Defibrillators Printed circuit assemblies for</w:t>
      </w:r>
    </w:p>
    <w:p>
      <w:pPr>
        <w:pStyle w:val="Normal"/>
      </w:pPr>
      <w:r>
        <w:t>defibrillators Electro-medical instruments and appliances nesi, and parts and accessories thereof Instruments and appliances used in medical, surgical, dental or veterinary sciences, nesi, and parts and accessories thereof Mechano-therapy appliances and massage apparatus, and parts and accessories thereof Electrical psychological aptitude testing apparatus and parts and accessories thereof Psychological aptitude testing apparatus, other than electrical, and parts and accessories thereof Ozone, oxygen and aerosol therapy, artificial respiration or other therapeutic respiration apparatus, and parts and accessories thereof Underwater breathing devices designed as a complete unit to be carried on the person &amp; not requiring attendants, parts &amp; accessories thereof Breathing appliances, nesi, &amp; gas masks, excl.</w:t>
      </w:r>
    </w:p>
    <w:p>
      <w:pPr>
        <w:pStyle w:val="Normal"/>
      </w:pPr>
      <w:r>
        <w:t>protective masks having neither mechanical parts/replaceable filters, parts, accessories of Parts and accessories of breathing appliances and gas masks, nesi Orthopedic or fracture appliances, and parts and accessories thereof Artificial teeth and parts and accessories thereof, of plastics Artificial teeth and parts and accessories thereof, other than of plastics Dental fittings and parts and accessories thereof, of plastics Dental fittings and parts and accessories thereof, other than of plastics Artificial joints and parts and accessories thereof Artificial parts of the body (other than artificial joints) and parts and accessories thereof, nesoi Hearing aids, excluding parts and accessories thereof Pacemakers for stimulating heart muscles, excluding parts and accessories thereof Parts and accessories for hearing aids and for pacemakers for stimulating heart muscles Appliances nesi which are worn or carried, or implanted in the body, to compensate for a defect or disability, and parts and accessories Computed tomography apparatus based on the use of X-rays Apparatus based on the use of X-rays for dental uses (other than computed tomography apparatus) Apparatus based</w:t>
      </w:r>
    </w:p>
    <w:p>
      <w:pPr>
        <w:pStyle w:val="Normal"/>
      </w:pPr>
      <w:r>
        <w:t>on the use of X-rays for medical, surgical or veterinary uses (other than computed tomography apparatus) Apparatus based on the use of X-rays other than for medical, surgical, dental or veterinary use Apparatus based on the use of alpha, beta or gamma radiations, for medical, surgical, dental or veterinary use</w:t>
      </w:r>
    </w:p>
    <w:p>
      <w:pPr>
        <w:pStyle w:val="Normal"/>
      </w:pPr>
      <w:r>
        <w:t>Smoke detectors, ionization type Apparatus based on the use of alpha, beta or gama radiations, other than for medical, surgical, dental or veterinary use, nesi X-ray tubes Radiation generator units Radiation beam delivery units X-ray generators, high tension generators, desks, screens, examination or treatment tables, chairs and similar apparatus, nesi Parts and accessories of X-ray tubes Parts and accessories of apparatus based on the use of X-rays Parts and accessories of ionization type smoke detectors Parts and accessories of apparatus based on the use of alpha, beta or gamma radiations Instruments, apparatus and models, designed for demonstrational purposes, unsuitable for other uses, and parts and accessories thereof Machines and appliances for testing the mechanical properties of metals Machines and appliances for testing the mechanical properties of materials other than metals Parts and accessories of machines and appliances for testing the hardness, strength, compressibility, or other properties of materials Clinical thermometers, liquid-filled, for direct reading, not combined with other instruments Liquid-filled thermometers, for direct reading, not combined with other instruments, other than clinical thermometers Pyrometers, not combined with other instruments Thermometers, for direct reading, not combined with other instruments, other than liquid-filled thermometers Electrical:</w:t>
      </w:r>
    </w:p>
    <w:p>
      <w:pPr>
        <w:pStyle w:val="Normal"/>
      </w:pPr>
      <w:r>
        <w:t>hydrometers &amp; sim. floating instr., hygrometers, psychometers, &amp; any comb.</w:t>
      </w:r>
    </w:p>
    <w:p>
      <w:pPr>
        <w:pStyle w:val="Normal"/>
      </w:pPr>
      <w:r>
        <w:t>with or w/o thermometers, pyrometers, &amp; barometers Nonelectrical barometers, not combined with other instruments Hydrometers and similar floating instruments, whether or not incorporating a thermometer, non-recording, other than electrical Hygrometers and psychrometers, non-electrical, non-recording Thermographs, barographs, hygrographs and other recording instruments, other than electrical Combinations of thermometers, barometers and similar temperature and atmosphere measuring and recording instruments, nonelectrical Other parts &amp; accessories of hydrometers &amp; like floating instruments, thermometers,pyrometers,barometers,hygrometers,psychrometers &amp; combinations Electrical instruments and apparatus for measuring or checking the flow or level of liquids Flow meters, other than electrical, for measuring or checking the flow of liquids Instruments and apparatus for measuring or checking the level of liquids, other than flow meters, non-electrical Electrical instruments and apparatus for measuring or checking the pressure of liquids or gases Instruments and apparatus, other than electrical, for measuring or checking the pressure of liquids or gases Electrical instruments and apparatus for measuring or checking variables of liquids or gases, nesi Nonelectrical heat meters incorporating liquid supply meters, and anemometers Nonelectrical instruments and apparatus for measuring or checking variables of liquids or gases, nesi Parts and accessories of electrical instruments and</w:t>
      </w:r>
    </w:p>
    <w:p>
      <w:pPr>
        <w:pStyle w:val="Normal"/>
      </w:pPr>
      <w:r>
        <w:t>apparatus for measuring or checking variables of liquids or gases Parts and accessories of nonelectrical flow meters, heat meters incorporating liquid supply meters and anemometers Parts and accessories of nonelectrical instruments and apparatus for measuring or checking variables of liquids or gases, nesi Electrical gas or smoke analysis apparatus Nonelectrical optical instruments and apparatus for gas or smoke analysis Nonelectrical gas or smoke analysis apparatus, other than optical instruments and apparatus Electrical chromatographs and electrical electrophoresis instruments Nonelectrical chromatographs Electrical spectrometers, spectrophotometers and spectrographs using optical radiations (ultraviolet, visible, infrared) Nonelectrical spectrometers, spectrophotometers and spectrographs using optical radiations (ultraviolet, visible, infrared) Exposure meters Electrical instruments and apparatus using optical radiations (ultraviolet, visible, infrared), nesi Nonelectrical instruments and apparatus using optical radiations (ultraviolet, visible, infrared), nesi Nuclear magnetic resonance instruments Electrical instruments and apparatus for physical or chemical analysis, measuring viscosity, checking heat, sound, light, etc., nesi Nonelectrical instruments and apparatus for physical or chemical analysis, measuring viscosity, checking heat, sound or light, nesi Microtomes Printed circuit assemblies for instruments and apparatus of subheading 9027.80 Parts and accessories of</w:t>
      </w:r>
    </w:p>
    <w:p>
      <w:pPr>
        <w:pStyle w:val="Normal"/>
      </w:pPr>
      <w:r>
        <w:t>electrophoresis instruments not incorporating an optical or other measuring device Parts and accessories of electrical instruments and apparatus of subheading 9027.20, 9027.30, 9027.50 or 9027.80 Other parts and accessories of other electrical instruments and apparatus of heading 9027, nesoi Parts and accessories of nonelectrical optical instruments and apparatus of subheading 9027.20, 9027.30, 9027.40, 9027.50 or 9027.80 Parts and accessories of nonelectrical optical instruments and apparatus of heading 9027, nesoi Parts and accessories of nonelectrical nonoptical instruments and apparatus of heading 9027.20, 9027.30, 9027.40, 9027.50 or 9027.80 Parts and accessories of nonelectrical instruments and apparatus of heading 9027, nesoi Gas supply or production meters, including calibrating meters thereof Liquid supply or production meters, including calibrating meters thereof Electricity supply or production meters, including calibrating meters thereof Parts and accessories for gas, liquid or electricity supply or production meters Taximeters Revolution counters, production counters, odometers, pedometers and the like, other than taximeters Bicycle speedometers Speedometers and tachometers, other than bicycle speedometers Stroboscopes Parts and accessories of taximeters Parts and accessories of bicycle speedometers Parts and accessories of stroboscopes Parts and accessories of revolution counters, production counters, odometers, pedometers and the like, of speedometers nesi and</w:t>
      </w:r>
    </w:p>
    <w:p>
      <w:pPr>
        <w:pStyle w:val="Normal"/>
      </w:pPr>
      <w:r>
        <w:t>tachometers Instruments and apparatus for measuring or detecting ionizing radiations Oscilloscopes and oscillographs, specially designed for telecommunications Oscilloscopes and oscillographs, nesoi Multimeters for measuring or checking electrical voltage, current, resistance or power, without a recording device Multimeters, with a recording device Resistance measuring instruments Other instruments and apparatus, nesi, for measuring or checking electrical voltage, current, resistance or power, without a recording device Instruments and apparatus, nesi, for measuring or checking electrical voltage, current, resistance or power, with a recording device Instruments and apparatus specially designed for telecommunications Instruments and apparatus for measuring or checking electrical quantities, nesoi: for measuring or checking semiconductor wafers or devices Instruments and apparatus for measuring, checking or detecting electrical quantities or ionizing radiations, nesoi: with a recording device Instruments and apparatus for measuring, checking or detecting electrical quantities or ionizing radiations, nesoi: w/o a recording device Printed circuit assemblies for instruments and apparatus for measuring or detecting ionizing radiation Parts and accessories for instruments and apparatus for measuring or detecting ionizing radiation, nesi Printed circuit assemblies for subheadings and apparatus of 9030.40 &amp; 9030.82 Printed circuit assemblies, nesoi Parts and accessories for</w:t>
      </w:r>
    </w:p>
    <w:p>
      <w:pPr>
        <w:pStyle w:val="Normal"/>
      </w:pPr>
      <w:r>
        <w:t>instruments and apparatus for measuring or checking semiconductor wafers or devices, nesoi Parts and accessories for articles of subheadings 9030.20 to 9030.40, 9030.83 and 9030.89, nesoi Machines for balancing mechanical parts Test benches Optical measuring/checking instruments/appliances for inspecting semiconductor wafers/devices or photomasks/reticle used to mfg such devices Profile projectors Optical coordinate-measuring machines, nesoi Optical instrument &amp; appliance: to inspect masks (not photomask) used to mfg semiconductor devices; to measure contamination on such devices Other optical measuring or checking instruments, appliances and machines, nesoi Electron beam microscopes fitted with equipment specifically designed for the handling and transport of semiconductor devices or reticles Measuring and checking instruments, appliances and machines, nesoi Parts and accessories of profile projectors Bases and frames for the optical coordinate-measuring machines of subheading 9031.49.40 Parts &amp; accessories of measuring &amp; checking optical instruments &amp; appliances of subheading 9031.41 or 9031.49.70 Parts &amp; accessories of measuring &amp; checking optical instruments &amp; appliances, other than test benches or profile projectors, nesoi Parts and accessories of articles of subheading 9031.80.40 Parts and accessories of measuring or checking instruments, appliances and machines, nesoi Automatic thermostats Automatic manostats Hydraulic and pneumatic automatic regulating or controlling</w:t>
      </w:r>
    </w:p>
    <w:p>
      <w:pPr>
        <w:pStyle w:val="Normal"/>
      </w:pPr>
      <w:r>
        <w:t>instruments and apparatus Automatic voltage and voltage-current regulators, designed for use in a 6, 12, or 24 V system Automatic voltage and voltage-current regulators, not designed for use in a 6, 12, or 24 V system Automatic regulating or controlling instruments and apparatus, nesi Parts and accessories of automatic voltage and voltage-current regulators designed for use in a 6, 12, or 24 V system, nesi Parts and accessories of automatic voltage and voltage-current regulators, not designed for use in a 6, 12, or 24 V system, nesi Parts and accessories for automatic regulating or controlling instruments and apparatus, nesi LEDs for backlighting of LCDs Touch screens without display capabilities for incorporation in apparatus having a display Other parts and accessories for machines, appliances, instruments or apparatus of chapter 90, nesi Wrist watches with cases of or clad with precious metal, electrically operated, with mechanical display only, with 0-1 jewel in mvmt Wrist watches with cases of or clad with precious metal, electrically operated, with mechanical display only, w/more than 1</w:t>
      </w:r>
    </w:p>
    <w:p>
      <w:pPr>
        <w:pStyle w:val="Normal"/>
      </w:pPr>
      <w:r>
        <w:t>jewel in mvmt Wrist watches with cases of or clad with precious metal, electrically operated, with opto-electronic display only Wrist watches with cases of or clad with precious metal, electrically operated, with both opto-electronic and mechanical displays, 0-1 jewel Wrist watches with cases of or clad with precious metal, electrically operated, w/both opto-electronic &amp; mechanical</w:t>
      </w:r>
    </w:p>
    <w:p>
      <w:pPr>
        <w:pStyle w:val="Normal"/>
      </w:pPr>
      <w:r>
        <w:t>displays, over 1 jewel Straps/bands/bracelets of tex. mat. or base metal, whether or not gold- or silver-plated entered with wrist watches of subheading 9101.21.50 Straps, bands or bracelets, nesi, entered with wrist watches of subheading 9101.21.50 and classifiable therewith Wrist watches with cases of or clad with precious metal, not electrically operated, with automatic winding, with over 17 jewels in mvmt Wrist watches with cases of or clad with precious metal, not electrically operated, with automatic winding, w/17 jewels or less in mvmt Wrist watches with cases of or clad with precious metal, not electrically operated, not automatic winding, with 0-1 jewel in mvmt Wrist watches with cases of or clad with precious metal, not electrically operated, not automatic winding, with 2-7 jewels in mvmt Wrist watches with cases of or clad with precious metal, not electrically operated, n/auto winding, 8-17 jewels, mvmt n/o $15 &amp; n/o 15.2 mm Wrist watches with cases of or clad with precious metal, not electrically operated, n/auto winding, 8-17 jewels, mvmt n/o $15 &amp; ov 15.2 mm Wrist watches with cases of or clad with precious metal, not electrically operated, not automatic winding, 8-17 jewels, movement over $15 Straps/bands/bracelets of tex. mat.</w:t>
      </w:r>
    </w:p>
    <w:p>
      <w:pPr>
        <w:pStyle w:val="Normal"/>
      </w:pPr>
      <w:r>
        <w:t>or base metal, whether or not gold- or silver-plated entered with wrist watches of subheading 9101.29.90 Straps, bands or bracelets, nesi, entered with wrist watches of subheading 9101.29.90 and classifiable therewith Wrist watches with cases of or clad with precious metal, not electrically operated, not automatic winding, w/over 17 jewels in the mvmt Watches (excl. wrist watches) with cases of or clad with precious metal, electrically operated, with opto-electronic display only Watches (excl. wrist watches) with cases of or clad with precious metal, electrically operated, with 0-1 jewel in mvmt, n/optoelec. display Watches (excl. wrist watches) with cases of or clad with precious metal, electrically operated, over 1 jewel in mvmt, n/optoelec. display Watches (excl. wrist watches) with cases of or clad with precious metal, not electrically operated, with 0-7 jewels in the mvmt Watches (excl. wrist watches) with cases of or clad with precious metal, not electrically operated, w/8-17 jewels in mvmt, mvmt n/o $15 ea Watches (excl.</w:t>
      </w:r>
    </w:p>
    <w:p>
      <w:pPr>
        <w:pStyle w:val="Normal"/>
      </w:pPr>
      <w:r>
        <w:t>wrist watches) with cases of or clad with precious metal, not electrically operated, w/8-17 jewels in mvmt, mvmt over $15 ea Watches (excl. wrist watches) with cases of or clad with precious metal, not electrically operated, with over 17 jewels in the mvmt Wrist watches nesoi, electrically operated, mechanical display only, 0-1 jewel, gold/silver-plated case, band of textile mat.</w:t>
      </w:r>
    </w:p>
    <w:p>
      <w:pPr>
        <w:pStyle w:val="Normal"/>
      </w:pPr>
      <w:r>
        <w:t>or base metal Wrist watches nesoi, electrically operated, mechanical display only, 0-1 jewel, case nesoi, with band of textile material or base metal Wrist watches nesoi, electrically operated, mechanical display only, 0-1 jewel, gold- or silver-plated case, with band of material nesoi Wrist watches nesoi, electrically operated, mechanical display only, 0-1 jewel, case nesoi, with band of material nesoi Wrist watches nesoi, electrically operated, mechanical display only, over 1 jewel, gold/silver-plated case, band of textile or base metal Wrist watches nesoi, electrically operated, mechanical display only, over 1 jewel, case nesoi, with band of textile material or base metal Wrist watches nesoi, electrically operated, mechanical display only, over 1 jewel, gold- or silver-case, with band of material nesoi Wrist watches nesoi, electrically operated, mechanical display only, over 1 jewel, case nesoi, with band of material nesoi Straps/bands/bracelets of tex. mat.</w:t>
      </w:r>
    </w:p>
    <w:p>
      <w:pPr>
        <w:pStyle w:val="Normal"/>
      </w:pPr>
      <w:r>
        <w:t>or base metal, whether or not gold- or silver-plated entered with wrist watches of subheading 9102.12.80 Straps, bands or bracelets, nesi, entered with wrist watches of subheading 9102.12.80 and classifiable therewith Wrist watches nesoi, electrically operated, with opto-electronic display only Wrist watches nesoi, electrically operated, w/both optoelectronic &amp; mechanical displays, 0-1 jewel, band of textile material or base metal Wrist watches nesoi, electrically operated, w/both optoelectronic &amp; mechanical displays, 0-1 jewel, band of material nesoi Wrist watches nesoi, electrically operated, w/both optoelectronic &amp; mechanical displays, over 1 jewel, band of textile mat.</w:t>
      </w:r>
    </w:p>
    <w:p>
      <w:pPr>
        <w:pStyle w:val="Normal"/>
      </w:pPr>
      <w:r>
        <w:t>or base metal Wrist watches nesoi, electrically operated, w/both optoelectronic &amp; mechanical displays, over 1 jewel, band of material nesoi Wrist watches nesi, automatic winding, 0-1 jewel, watch band of textile material or base metal Wrist watches nesi, automatic winding, 0-1 jewel, watch band not of textile material or base metal Wrist watches nesi, automatic winding, 2-17 jewels, watch band of textile material or base metal Wrist watches nesi, automatic winding, 2-17 jewels, watch band not of textile material or base metal Wrist watches nesi, automatic winding, over 17 jewels, watch band of textile material or base metal Wrist watches nesi, automatic winding, over 17 jewels, watch band not of textile material or base metal Straps/bands/bracelets of tex. mat.</w:t>
      </w:r>
    </w:p>
    <w:p>
      <w:pPr>
        <w:pStyle w:val="Normal"/>
      </w:pPr>
      <w:r>
        <w:t>or base metal, whether or not gold- or silver-plated entered with wrist watches of subheading 9102.29.04 Wrist watches nesoi, not electrically operated, not autowind, 0-1 jewel, entered with straps/bands/bracelet of tex. mat.</w:t>
      </w:r>
    </w:p>
    <w:p>
      <w:pPr>
        <w:pStyle w:val="Normal"/>
      </w:pPr>
      <w:r>
        <w:t>or base metal Wrist watches nesoi, not electrically operated, not automatic winding, 0-1 jewel, with strap/band/bracelet of material nesoi Wrist watches nesoi, not electrically operated, not automatic winding, 2-7 jewels, with strap/band of textile material or base metal Wrist watches nesoi, not electrically operated, not automatic winding, 2-7 jewels, with strap/band/bracelet of material nesoi Wrist watches nesoi, not electrically operated, n/autowind, 8-17 jewels, mvmt n/o $15 &amp; n/o 15.2 mm, band of textile material or base metal Wrist watches nesoi, not electrically operated, not automatic winding, 8-17 jewels, movement n/o $15 &amp; n/o 15.2 mm, band of material nesoi Wrist watches nesoi, not electrically operated, n/autowinding, 8-17 jewel, mvmt n/o $15 &amp; ov 15.2 mm, band of textile material or base metal Wrist watches nesoi, not electrically operated, n/autowinding, 8-17 jewel, mvmt n/o $15 &amp; over 15.2 mm, with band of material nesoi Wrist watches nesoi, not electrically operated, not auto winding, 8-17 jewels, movement over $15 each, with band of textiles or base metal Wrist watches nesoi, not electrically operated, not auto winding, 8-17 jewels, mvmt over $15 each, with band of material nesoi Wrist watches nesoi, not electrically operated, not</w:t>
      </w:r>
    </w:p>
    <w:p>
      <w:pPr>
        <w:pStyle w:val="Normal"/>
      </w:pPr>
      <w:r>
        <w:t>automatic winding, over 17 jewels in the mvmt, with band of textiles or base metal Wrist watches nesoi, not electrically operated, not automatic winding, over 17 jewels in the movement, with band of material nesoi Watches (excl. wrist watches) nesoi, electrically operated, with opto-electronic display only Watches (excl. wrist watches) nesoi, electrically operated, with 0-1 jewel in the movement Watches (excl. wrist watches) nesoi, electrically operated, with over 1 jewel in the movement Watches (excl. wrist watches) nesoi, not electrically operated, with 0-7 jewels in the movement Watches (excl. wrist watches) nesoi, not electrically operated, with 8-17 jewels in movement, movement valued not over $15 each Watches (excl. wrist watches) nesoi, not electrically operated, with 8-17 jewels in movement, movement valued over $15 each Watches (excl.</w:t>
      </w:r>
    </w:p>
    <w:p>
      <w:pPr>
        <w:pStyle w:val="Normal"/>
      </w:pPr>
      <w:r>
        <w:t>wrist watches) nesoi, not electrically operated, having over 17 jewels in the movement Clocks with watch movements, excluding clocks of heading 9104, electrically operated, with opto-electronic display only Clocks with watch movements, excluding clocks of heading 9104, electrically operated, with 0-1 jewel in the movement Clocks with watch movements, excluding clocks of heading 9104, electrically operated, with over 1 jewel in the movement Clocks with watch movements, excluding clocks of heading 9104, not electrically operated Instrument panel clocks for vehicles, air/spacecraft, vessels, clock movement over 50 mm wide, opto-electronic display only, n/o $10 each Instrument panel clocks for veh., air/spacecraft, vessels, clock mvmt over 50 mm wide, electric, nt optoelectronic display, n/o $10 each Instrument panel clocks for vehicles, air/spacecraft, vessels, w/clock movement over 50 mm wide, valued n/o $10 each, nonelectric Instrument panel clocks for vehicles, air/spacecraft, vessels, w/clock movement ov 50 mm wide, opto-electronic display only, ov $10 each Instrument panel clocks for vehicles, air/spacecraft,vessels, w/clock mvmt ov 50 mm wide, electric, nt optoelectronic display, ov $10 each</w:t>
      </w:r>
    </w:p>
    <w:p>
      <w:pPr>
        <w:pStyle w:val="Normal"/>
      </w:pPr>
      <w:r>
        <w:t>Instrument panel clocks for vehicles, air/spacecraft,vessels, w/clock movement ov 50 mm wide, valued ov $10 each, non-electric Instrument panel clocks for vehicles, air/spacecraft,vessels, w/watch or clock movement &lt; 50 mm wide, opto-electronic display only Instrument panel clocks</w:t>
      </w:r>
    </w:p>
    <w:p>
      <w:pPr>
        <w:pStyle w:val="Normal"/>
      </w:pPr>
      <w:r>
        <w:t>for vehicles, air/spacecraft, vessels, w/watch or clock movement &lt; 50 mm wide, electric, not opto-electronic display Instrument panel clocks for vehicles, air/spacecraft or vessels, w/clock or watch movement &lt; 50 mm wide, nonelectric Alarm clocks nesoi, electrically operated, with opto-electronic display only Alarm clocks nesoi, electrically operated, other than with opto-electronic display only Alarm clocks nesoi, not electrically operated, movement measuring not over 50 mm, not designed to operate over 47 hrs without rewinding Alarm clocks nesoi, not electrically operated, movement measuring n/o 50 mm, designed to operate over 47 hrs w/o rewinding, with 0-1 jewel Alarm clocks nesoi, not electrically operated, movement measuring n/o 50 mm, designed to operate over 47 hrs w/o rewinding, over 1 jewel Alarm clocks nesoi, not electrically operated, movement measuring over 50 mm in width or diameter, valued not over $5 each Alarm clocks nesoi, not electrically operated, movement measuring over 50 mm in width or diameter, valued over $5 each Wall clocks nesoi, electrically operated, with opto-electronic display only Wall clocks nesoi, electrically operated, other than with opto-electronic display only Wall clocks nesoi, not electrically operated, mvmt measuring n/o 50 mm, not designed or constr.</w:t>
      </w:r>
    </w:p>
    <w:p>
      <w:pPr>
        <w:pStyle w:val="Normal"/>
      </w:pPr>
      <w:r>
        <w:t>to operate over 47 hrs without rewinding Wall clocks nesoi, not electrically operated, mvmt measuring n/o 50 mm, 0-1 jewel, constructed/designed to operate over 47 hrs w/o rewinding Wall clocks nesoi, not electrically operated, mvmt measuring n/o 50 mm, ov 1 jewel, constructed/designed to operate ov 47 hrs w/o rewinding Wall clocks nesoi, not electrically operated, movement measuring over 50 mm in width or diameter, valued not over $5 each Wall clocks nesoi, not electrically operated, movement measuring over 50 mm in width or diameter, valued over $5 each Clocks nesoi, electrically operated, with opto-electronic display only Clocks nesoi, electrically operated, other than with opto-electronic display only Standard marine chronometers nesi, having spring-detent escapements Clocks nesoi, not electrically operated, mvmt not over 50 mm in width or diameter, not designed to operate for over 47 hrs without rewinding Clocks nesoi, not electrically operated, mvmt not over 50 mm in width or diameter, 0-1 jewel, designed to operate ov 47 hrs w/o rewinding Clocks nesoi, not electrically operated, mvmt not over</w:t>
      </w:r>
    </w:p>
    <w:p>
      <w:pPr>
        <w:pStyle w:val="Normal"/>
      </w:pPr>
      <w:r>
        <w:t>50 mm in width or diameter, over 1 jewel, designed to operate ov 47 hrs w/o rewinding Clocks nesoi, not electrically operated, movement measuring over 50 mm in width or diameter, valued not over $5 each Clocks nesoi, not electrically operated, movement measuring over 50 mm in width or diameter, valued over $5 each Time registers;</w:t>
      </w:r>
    </w:p>
    <w:p>
      <w:pPr>
        <w:pStyle w:val="Normal"/>
      </w:pPr>
      <w:r>
        <w:t>time recorders Parking meters Time locks valued</w:t>
      </w:r>
    </w:p>
    <w:p>
      <w:pPr>
        <w:pStyle w:val="Normal"/>
      </w:pPr>
      <w:r>
        <w:t>over $10 each Apparatus for meas., recording or indicating time intervals, w/watch or clock mvmt., battery powered, w/opto-electronic display only Other apparatus for meas., recording or otherwise indicating time intervals, w/watch or clock mvmt., battery powered, nesi Apparatus for meas., recording or indicating time intervals, w/watch or clock mvmt., AC powered, w/opto-electronic display only Time of day recording apparatus &amp; apparatus for measuring, detecting, recording or otherwise indicating intervals of time nesi Time switches with clock or watch movements or with synchronous motor, valued not over $5 each Time switches with clock or watch movements or with synchronous motor, valued over $5 each Watch movements, complete and assembled, electrically operated, with mechanical display or device to incorporate such display, 0-1 jewel Watch movements, complete and assembled, electrically operated, with mechanical display or device to incorporate such display, over 1 jewel Watch movements, complete and assembled, electrically operated, with opto-electronic display only Watch movements, complete and assembled, electrically operated, w/both optoelectronic &amp; mechanical displays, having 0-1 jewels Watch movements, complete and</w:t>
      </w:r>
    </w:p>
    <w:p>
      <w:pPr>
        <w:pStyle w:val="Normal"/>
      </w:pPr>
      <w:r>
        <w:t>assembled, electrically operated, w/both optoelectronic &amp; mechanical displays, having over 1 jewel Watch movements, complete and assembled, with automatic winding, over 17 jewels Watch movements, complete and assembled, with automatic winding, 17 jewels or</w:t>
      </w:r>
    </w:p>
    <w:p>
      <w:pPr>
        <w:pStyle w:val="Normal"/>
      </w:pPr>
      <w:r>
        <w:t>less Watch movements, complete and assembled, not electrically operated or automatic winding, measuring 33.8 mm or less, none or only 1 jewel Watch movements, complete and assembled, not electrically operated or automatic winding, measuring over 33.8 mm, none or only 1 jewel Watch movements, complete and assembled, not electrically operated or automatic winding, measuring 33.8 mm or less, over 1 but n/o 7 jewels Watch movements, complete and assembled, not electrically operated or automatic winding, measuring over 33.8 mm, ov 1 but not over 7 jewels Watch movements, complete and assembled, nesoi, measuring not over 15.2 mm, over 7 but n/o 17 jewels, valued not over $15 each Watch movements, complete and assembled, nesoi, measuring over 15.2 mm but not over 33.8 mm, over 7 but n/o 17 jewels, valued n/o $15 each Watch movements, complete and assembled, nesoi, measuring 33.8 mm or less, over 7 but not over 17 jewels, valued over $15 each Watch movements, complete and assembled, nesoi, measuring over 33.8 mm, over 7 but not over</w:t>
      </w:r>
    </w:p>
    <w:p>
      <w:pPr>
        <w:pStyle w:val="Normal"/>
      </w:pPr>
      <w:r>
        <w:t>17 jewels, valued not over $15 each Watch movements, complete and assembled, nesoi, measuring over 33.8 mm, over 7 but not over 17 jewels, valued over $15 each Watch movements, complete and assembled, not electrically operated or automatic winding, measuring 33.8 mm or less, over 17 jewels Watch movements, complete and assembled, not electrically operated or automatic winding, measuring over 33.8 mm, over 17 jewels Alarm clock movements, complete and</w:t>
      </w:r>
    </w:p>
    <w:p>
      <w:pPr>
        <w:pStyle w:val="Normal"/>
      </w:pPr>
      <w:r>
        <w:t>assembled, electrically operated, with opto electronic display only Alarm clock movements, complete and assembled, electrically operated, with display nesoi, measuring not over 50 mm in width or diameter Alarm clock movements, complete and assembled, electrically operated, with display nesoi, measuring over 50 mm, valued not over $5 each Alarm clock movements, complete and assembled, electrically operated, with display nesoi, measuring over 50 mm, valued over $5 each Clock movements nesoi, complete and assembled, electrically operated, with opto electronic display only Clock movements nesoi, complete and assembled, electrically operated, with display nesoi, measuring not over 50 mm in width or diameter Clock movements nesoi, complete and assembled, electrically operated, with display nesoi, measuring over 50 mm, valued not over $5 each Clock movements nesoi, complete and assembled, electrically operated, with display nesoi, measuring over 50 mm, valued over $5 each Clock movements, complete and assembled, not electrically operated, measuring not over 50 mm in width or diameter Clock movements, complete and assembled, not electrically operated, measuring over 50 mm in width</w:t>
      </w:r>
    </w:p>
    <w:p>
      <w:pPr>
        <w:pStyle w:val="Normal"/>
      </w:pPr>
      <w:r>
        <w:t>or diameter, valued not over $5 each Clock movements, complete and assembled, not electrically operated, measuring over 50 mm in width or diameter, valued over $5 each Complete watch movements, unassembled or partly assembled (movement sets) Incomplete watch movements, assembled Rough watch movements</w:t>
      </w:r>
    </w:p>
    <w:p>
      <w:pPr>
        <w:pStyle w:val="Normal"/>
      </w:pPr>
      <w:r>
        <w:t>Complete clock movements, unassembled or partly assembled (movement sets) Incomplete clock movements consisting of 2 or more pieces or parts fastened or joined together Incomplete clock movements, nesi Watch cases of precious metal or of metal clad with precious metal Watch cases of gold- or silver-plated base metal Watch cases of base metal not gold- or silver-plated Watch cases, not of precious metal, of metal clad with precious metal or of base metal Parts of watch cases, of precious metal or of metal clad with precious metal Bezels, backs and centers, of watch cases, not of precious metal or of metal clad with precious metal Parts of watch cases, other than bezels, backs and centers, not of precious metal or of metal clad with precious metal Clock cases and cases of a similar type for other goods of chapter 91, of metal Clock cases and cases of a similar type for other goods of chapter 91, other than cases of metal Parts of clock cases and cases of a similar</w:t>
      </w:r>
    </w:p>
    <w:p>
      <w:pPr>
        <w:pStyle w:val="Normal"/>
      </w:pPr>
      <w:r>
        <w:t>type for other goods of chapter 91 Watch straps, watch bands and watch bracelets, of precious metal or of metal clad with precious metal, and parts thereof Watch straps, watch bands and watch bracelets of base metal, whether or not gold- or silver-plated, valued not over $5 per dozen Watch straps, watch bands and watch bracelets of base metal, whether or not gold- or silver-plated, valued over $5 per dozen Parts of watch bracelet of base metal, whether or not gold- or silver-plated, valued not over $12 per dozen</w:t>
      </w:r>
    </w:p>
    <w:p>
      <w:pPr>
        <w:pStyle w:val="Normal"/>
      </w:pPr>
      <w:r>
        <w:t>Parts of watch bracelets of base metal, whether or not gold- or silver-plated, valued over $12 per dozen Watch straps, watch bands and watch bracelets, of textile material, and parts thereof Watch straps, watch bands and watch bracelets, other than of precious metal, base metal or textile material, and parts thereof Springs, including hair-springs, for watches Springs, including hair-springs, for clocks Dials for watches and clocks, not exceeding 50 mm in width Dials for watches and clocks, exceeding 50 mm in width Watch movement bottom or pillar plates or their equivalent Any plate, or set of plates, suitable for assembling thereon a clock movement Plates and bridges for watches, nesi Plates and bridges for clocks, nesi Jewels for watch or clock movements Assemblies and subassemblies for watch movements consisting of 2 or more pieces or parts fastened or joined inseparably together Assemblies and subassemblies for clock movements consisting of 2 or more pieces or parts fastened or joined inseparably together Watch parts, nesi Clock parts, nesi Upright pianos Grand pianos Keybd string. musical instru., o/than w/elect. sound or ampl., pianos (incl. player pianos) nesoi; harpsichords &amp; oth keybd string. instr.</w:t>
      </w:r>
    </w:p>
    <w:p>
      <w:pPr>
        <w:pStyle w:val="Normal"/>
      </w:pPr>
      <w:r>
        <w:t>String musical instruments, o/than w/elect. sound or ampl., played with a bow String musical instruments, o/than w/elect. sound or ampl., guitars, valued not over $100 each (excluding the value of the case) String musical instruments, o/than w/elect.</w:t>
      </w:r>
    </w:p>
    <w:p>
      <w:pPr>
        <w:pStyle w:val="Normal"/>
      </w:pPr>
      <w:r>
        <w:t>sound or ampl., guitars, valued over $100 each (excluding the value of the case) String musical instruments (o/than guitars or instruments played with a bow), o/than w/elect. sound or ampl. Wind musical instruments, o/than w/elect. sound or ampl., brass-wind instruments Keyboard musical instruments, o/than w/elect. sound or ampl., pipe organs Keyboard musical instruments, o/than w/elect. sound or ampl., harmoniums and similar keyboard instruments with free metal reeds Piano accordions, o/than w/elect. sound or ampl. Accordions (o/than piano accordions) and similar instruments, o/than w/elect. sound or ampl. Mouth organs Wind musical instruments, o/than w/elect. sound or ampl., bagpipes Wind musical instruments, o/than w/elect. sound or ampl., woodwind instruments (o/than bagpipes) Wind musical instruments (o/than brass-wind or woodwind) nesoi, o/than w/elect. sound or ampl. Percussion musical instruments, o/than w/elect. sound or ampl., drums Percussion musical instruments, o/than w/elect. sound or ampl., cymbals Percussion musical instruments, o/than w/elect.</w:t>
      </w:r>
    </w:p>
    <w:p>
      <w:pPr>
        <w:pStyle w:val="Normal"/>
      </w:pPr>
      <w:r>
        <w:t>sound or ampl., sets of tuned bells known as chimes, peals or carillons Percussion musical instruments (o/than drums, cymbals, chimes, peals or carillons) nesoi (e.g., xylophones, castanets, maracas) Keyboard musical instruments (o/than accordions), the sound of which is produced, or must be amplified, electrically Musical instruments (o/than keyboard except accordions) nesoi, the sound of which is produced, or must be amplified, electrically Music boxes Musical instruments nesoi in chapter 92; decoy calls; whistles, and o/mouth-blown sound signaling instruments Strings for musical instruments Tuning pins for pianos Parts &amp; access. for pianos (o/than tuning pins and strings) nesoi Mutes, collapsible musical instru. stands, &amp; music holders for attachment to instru., all the foregoing, for stringed music. instru. of 9202 Tuning pins for stringed musical instruments of heading 9202 Bows, parts of bows, bow hair, chin rests and other parts and accessories for stringed musical instru. of 9202 Parts &amp; access. nesoi, for stringed musical instruments of heading 9202 Collapsible musical instrument stands, for the instruments w/elect sound or ampl. of heading 9207 Parts &amp; access. nesoi, for the musical instruments w/elect.</w:t>
      </w:r>
    </w:p>
    <w:p>
      <w:pPr>
        <w:pStyle w:val="Normal"/>
      </w:pPr>
      <w:r>
        <w:t>sound or ampl. of heading 9207 nesoi Metronomes, tuning forks and pitch pipes of all kinds Mutes nesoi; pedals, dampers &amp; spurs for drums; pedals &amp; holders for cymbals; music holders nesoi; collapsible music instru stands, nesoi Parts &amp; access.</w:t>
      </w:r>
    </w:p>
    <w:p>
      <w:pPr>
        <w:pStyle w:val="Normal"/>
      </w:pPr>
      <w:r>
        <w:t>nesoi, for pipe organs Parts &amp; access. nesoi, for harmoniums and similar keyboard instruments with free metal reeds of heading 9203, nesoi Parts &amp; access. nesoi, for bagpipes Parts &amp; access. nesoi, for woodwind and brass-wind musical instruments Parts for music boxes Parts &amp; access. nesoi, for musical instruments, nesoi Artillery weapons (for example, guns, howitzers, and mortars) Rocket launchers; flame-throwers; grenade launchers; torpedo tubes and similar projectors Rifles, military Shotguns, military Military weapons, nesoi Revolvers and pistols (o/than of heading 9303 or 9304) Muzzle-loading firearms Shotguns (incl. comb. shotgun-rifles), for sport, hunting or target-shooting Rifles (o/than muzzle-loading), for sport, hunting or target-shootings, valued o/$25 but n/or $50 each Rifles (o/than muzzle-loading), for sport, hunting or target-shooting rifles, valued at $25 and under or o/$50 each Revolvers and pistols, designed to fire only blank cartridges or blank ammunition Firearms and similar devices that operate by the firing of an explosive charge, nesoi Rifles that eject missiles by release of compressed air or gas, or by the release of a spring mechanism or rubber held under tension Pistols &amp; other guns (o/than rifles) that eject missiles by release of comp.</w:t>
      </w:r>
    </w:p>
    <w:p>
      <w:pPr>
        <w:pStyle w:val="Normal"/>
      </w:pPr>
      <w:r>
        <w:t>air or gas, a spring mechanism or rubber held under tension Arms (o/than those of heading 9307) nesoi Parts and accessories nesoi, for revolvers or pistols of heading 9302 Parts and accessories nesoi, for revolvers or pistols designed to fire only blank cartridges or blank ammunition Parts and accessories nesoi, for muzzle-loading revolvers and pistols Parts and accessories nesoi, for revolvers or pistols nesoi Stocks, for rifles of heading 9303 Other parts and accessories of shotguns or rifles of heading 9303 Parts and accessories for military rifles of heading 9301 Parts and accessories for military shotguns of heading 9301 Parts and accessories for military weapons (other than rifles and shotguns) of heading Parts and accessories for articles of heading 9303 other than shotguns or rifles Parts and accessories for articles of subheading 9304.00.20 or 9304.00.40 Parts and accessories for articles of headings 9301 to 9304, nesoi Cartridges, for shotguns Parts of cartridges for shotguns; air gun pellets Cartridges nesoi and empty cartridge shells Parts of cartridges nesoi Bombs, grenades, torpedoes, mines, missiles and similar munitions of war and pts thereof; other ammunition projectiles &amp; pts.</w:t>
      </w:r>
    </w:p>
    <w:p>
      <w:pPr>
        <w:pStyle w:val="Normal"/>
      </w:pPr>
      <w:r>
        <w:t>thereof Swords, cutlasses, bayonets, lances and similar arms, parts thereof and scabbards and sheaths therefor Seats, of a kind used for aircraft, leather upholstered Seats, of a kind used for aircraft (o/than leather upholstered) Seats, of a kind used for motor vehicles Seats nesoi, swivel w/variable height adjustment &amp; w/wooden frame (o/than of heading 9402) Seats nesoi, swivel w/variable height adjustment &amp; other than w/wooden frame (o/than of heading 9402) Seats nesoi, convertible into beds (o/than garden seats or camping equip.) Bamboo seats Rattan seats Seats nesoi, of cane, osier, similar materials o/than bamboo or rattan Chairs nesoi, w/teak frames, upholstered Chairs nesoi, w/wooden frames (o/than teak), upholstered Seats (o/than chairs) nesoi, w/wooden frames, upholstered Seats nesoi, of bent-wood Chairs nesoi, w/teak frames, not upholstered Chairs nesoi, w/wooden frames (o/than teak), not upholstered Seats (o/than chairs) nesoi, w/wooden frames, not upholstered Seats nesoi, w/metal frame (o/than of heading 9402), upholstered Seats nesoi, w/metal frame (o/than of heading 9402), not upholstered Seats nesoi, of reinforced or laminated plastics (o/than of heading</w:t>
      </w:r>
    </w:p>
    <w:p>
      <w:pPr>
        <w:pStyle w:val="Normal"/>
      </w:pPr>
      <w:r>
        <w:t>9402) Seats nesoi, of rubber or plastics (o/than of reinforced or laminated plastics &amp; o/than of heading 9402) Seats nesoi, o/than of wood, or w/metal frame or of rubber or plastics (o/than of heading 9402) Parts of seats nesoi, for seats of a kind used for motor vehicles Parts of seats nesoi, for bent-wood</w:t>
      </w:r>
    </w:p>
    <w:p>
      <w:pPr>
        <w:pStyle w:val="Normal"/>
      </w:pPr>
      <w:r>
        <w:t>seats Parts of seats (o/than of 9402) nesoi, of cane, osier, bamboo or similar materials Parts of seats (o/than of 9402) nesoi, of rubber or plastics (o/than of heading 9402) Parts of seats (o/than of 9402) nesoi, of wood Parts of seats (o/than of 9402) nesoi, o/than of cane etc, rubber or plastics or of wood Dentists’, barbers’ and similar chairs and parts thereof Medical, surgical, dental or veterinary furniture and parts thereof Furniture (o/than seats) of metal nesoi, of a kind used in offices Furniture (o/than seats) of metal nesoi, o/than of a kind used in offices Furniture (o/than seats) of bentwood nesoi, of a kind used in offices Furniture (o/than seats) of wood (o/than bentwood) nesoi, of a kind used in offices Furniture (o/than seats) of bent-wood nesoi, of a kind used in the kitchen Furniture (o/than seats) of wood (o/than bentwood) nesoi, of a kind used in the kitchen &amp; design. for motor vehicle use Furniture (o/than seats) of wood (o/than bentwood) nesoi, of a kind used in the kitchen &amp; not design. for motor vehicl.</w:t>
      </w:r>
    </w:p>
    <w:p>
      <w:pPr>
        <w:pStyle w:val="Normal"/>
      </w:pPr>
      <w:r>
        <w:t>use Furniture (o/than seats) of bentwood nesoi, of a kind used in the bedroom Furniture (o/than seats) of wood (o/than bentwood), of a kind used in the bedroom &amp; designed for motor vehicle use Furniture (o/than seats) of wood (o/than bentwood), of a kind used in the bedroom &amp; not designed for motor vehicle use Furniture (o/than seats &amp; o/than of 9402) of bentwood nesoi Furniture (o/than seats &amp; o/than of 9402) of wooden (o/than bentwood) nesoi Furniture (o/than seats &amp; o/than of 9402) of reinforced or laminated plastics nesoi Furniture (o/than seats &amp; o/than of 9402) of plastics (o/than reinforced or laminated) nesoi Bamboo furniture and parts Rattan furniture and parts Furniture (o/than seats) of cane, osier, or similar materials o/than bamboo or rattan Furniture (o/than seats &amp; o/than of 9402) of materials nesoi Parts of furniture (o/than seats), for furniture of a kind used for motor vehicles Parts of furniture (o/than seats), of cane, osier, bamboo or similar materials Parts of furniture (o/than seats or o/than of 9402),</w:t>
      </w:r>
    </w:p>
    <w:p>
      <w:pPr>
        <w:pStyle w:val="Normal"/>
      </w:pPr>
      <w:r>
        <w:t>of reinforced or laminated plastics Parts of furniture (o/than seats or o/than of 9402), of rubber or plastics (o/than reinforced or laminated plastics) Parts of furniture (o/than seats or o/than of 9402), of textile material (o/than cotton) Parts of furniture (o/than seats or o/than of 9402), of wood Parts of furniture (o/than seats or o/than of 9402) nesoi Mattress supports Mattresses, of cellular rubber or plastics, whether or not covered Mattresses,</w:t>
      </w:r>
    </w:p>
    <w:p>
      <w:pPr>
        <w:pStyle w:val="Normal"/>
      </w:pPr>
      <w:r>
        <w:t>of cotton Mattresses (o/than of cellular rubber or plastics or of cotton) Sleeping bags, containing 20% or more by weight of feathers and/or down Sleeping bags, not containing 20% or more by weight of feathers and/or down Pillows, cushions and similar furnishings, of cotton Pillows, cushions and similar furnishings, other than of cotton Arts. of bedding &amp; similar furnishings stuffed or internally fitted w/any material nesoi, of cotton, w/o embroidery/lace/braid/edging,etc Quilts, eiderdowns, comforters and similar articles, not of cotton Arts.</w:t>
      </w:r>
    </w:p>
    <w:p>
      <w:pPr>
        <w:pStyle w:val="Normal"/>
      </w:pPr>
      <w:r>
        <w:t>of bedding &amp; similar furnishings stuffed or internally fitted w/any material nesoi Chandeliers and other electric ceiling or wall lighting fittings (o/than used for public spaces), of brass Chandeliers and other electric ceiling or wall lighting fixtures (o/than used for public spaces), of base metal (o/than brass) Chandeliers and other electric ceiling or wall lighting fixtures (o/than used for public spaces), not of base metal Electric table, desk, bedside or floor-standing lamps, of brass Electric table, desk, bedside or floor-standing lamps, of base metal (o/than brass) Electric table, desk, bedside or floor-standing lamps, not of base metal Lighting sets of a kind used for Christmas trees Electric lamps and lighting fixtures nesoi, of brass Electric lamps and lighting fixtures nesoi, of base metal (o/than brass) LEDs for backlighting of LCDs Electric lamps and lighting fixtures nesoi, not of base metal Non-electrical incandescent</w:t>
      </w:r>
    </w:p>
    <w:p>
      <w:pPr>
        <w:pStyle w:val="Normal"/>
      </w:pPr>
      <w:r>
        <w:t>lamps designed to be operated by propane or other gas, or by compressed air and kerosene or gasoline Non-electrical lamps and lighting fixtures nesoi, of brass Non-electrical lamps and lighting fixtures nesoi, not of brass Illuminated signs, illuminated name plates and the like, of brass Illuminated signs, illuminated name plates and the like, of base metal (o/than brass) Illuminated signs, illuminated name plates and the like, not of base metal Parts of lamps, lighting fittings, illuminated signs &amp; the like, globes and shades, of lead crystal glass Parts of lamps, lighting fittings, illuminated signs &amp; the like, globes and shades, of glass (o/than lead crystal) Parts of lamps, lighting fittings, illuminated signs &amp; the like, chimneys, of glass Parts of lamps, lighting fixtures, illuminated signs &amp; the like, of glass nesoi Parts of lamps, lighting fixtures, illuminated signs &amp; the like, of plastics Parts of lamps, lighting fixtures, illuminated signs &amp; the like, of brass Parts of lamps, lighting fixtures, illuminated signs &amp; the like, not of glass, plastics or</w:t>
      </w:r>
    </w:p>
    <w:p>
      <w:pPr>
        <w:pStyle w:val="Normal"/>
      </w:pPr>
      <w:r>
        <w:t>brass Prefabricated buildings of wood Prefabricated buildings not of wood Toys, including riding toys o/than bicycles, puzzles, reduced scale models Balls, for billiards Chalk, for billiards Tables, for billiards Articles nesoi and parts and accessories, for billiards Coin- or token-operated games for arcade, table or parlor (o/than bowling alley equipment) nesoi and parts and accessories thereof Playing cards Video</w:t>
      </w:r>
    </w:p>
    <w:p>
      <w:pPr>
        <w:pStyle w:val="Normal"/>
      </w:pPr>
      <w:r>
        <w:t>game consoles and machines, other than those of heading 9504.30 Game machines (o/than coin- or token-operated) and parts and accessories thereof Chess, checkers, backgammon, darts and o/table and parlor games played on boards of a special design and parts thereof; poker chips and dice Articles nesoi for arcade, table or parlor games &amp; parts &amp; access.; automatic bowling alley equipment &amp; parts and accessories thereof Arts. for Christmas festivities, ornaments of glass Arts. for Christmas festivities, ornaments of wood Arts. for Christmas festivities, ornaments, not of glass or wood Arts. for Christmas festivities, nativity scenes and figures thereof Arts. for Christmas festivities (o/than ornaments &amp; nativity scenes) nesoi, of plastics Arts.</w:t>
      </w:r>
    </w:p>
    <w:p>
      <w:pPr>
        <w:pStyle w:val="Normal"/>
      </w:pPr>
      <w:r>
        <w:t>for Christmas festivities (o/than ornaments &amp; nativity scenes) nesoi, not of plastics Magic tricks and practical joke articles, and parts &amp; accessories thereof nesoi Confetti, paper spirals or streamers, party favors, and noisemakers, and parts &amp; accessories thereof nesoi Festive, carnival or other entertainment articles nesoi and parts &amp; accessories thereof nesoi Skis, cross-country snow-skis Skis, snow-skis (o/than cross-country) Parts and accessories (o/than poles) for snow-skis Bindings and parts &amp; accessories thereof, for cross-country snow skis Bindings and parts &amp; accessories thereof, for snow-skis (o/than cross-country) Cross country snow-ski equipment nesoi, and parts &amp; accessories thereof nesoi Snow-ski (o/than cross country)</w:t>
      </w:r>
    </w:p>
    <w:p>
      <w:pPr>
        <w:pStyle w:val="Normal"/>
      </w:pPr>
      <w:r>
        <w:t>equipment nesoi, and parts &amp; accessories thereof nesoi Sailboards Parts and accessories for sailboards Water-skis, surf boards, and other water sport equipment (o/than sailboards) and parts &amp; accessories thereof nesoi Golf clubs, complete Golf balls Golf equipment (o/than golf footwear) nesoi and parts &amp; accessories thereof Articles and equipment for table-tennis and parts &amp; accessories thereof Lawn-tennis rackets, strung Lawn-tennis rackets, not strung Parts and accessories for lawn-tennis rackets Badminton rackets and parts and accessories thereof Rackets for games (o/than for lawn-tennis or badminton) and parts &amp; accessories thereof Lawn-tennis balls Inflatable footballs and soccer balls Inflatable balls (o/than footballs and soccer balls) nesoi Baseballs and softballs Noninflatable hollow balls nesoi, w/diameter of 19 cm or less Noninflatable balls nesoi Roller skates and parts &amp; accessories thereof Ice skates w/footwear permanently attached Skates (o/than roller or ice) nesoi and parts &amp; access. thereof (incl. parts and accessories for ice skates w/perm. attach. footwear) Arts. and equip.</w:t>
      </w:r>
    </w:p>
    <w:p>
      <w:pPr>
        <w:pStyle w:val="Normal"/>
      </w:pPr>
      <w:r>
        <w:t>for general physical exercise, gymnastics or athletics and parts &amp; accessories thereof Archery articles and equipment, and parts &amp; accessories thereof Badminton nets, of cotton Badminton articles and equipment (o/than rackets and cotton nets) and parts &amp; accessories thereof Baseball articles and equipment (o/than baseballs) and parts &amp; accessories thereof Football, soccer and polo articles and equipment (o/than balls), and parts &amp; accessories thereof Ice-hockey and field-hockey articles and equipment (o/than balls and skates), and parts &amp; accessories thereof Lacrosse sticks Lawn-tennis articles and equipment (o/than balls and rackets), and parts &amp; accessories thereof Skeet targets Toboggans; bobsleds and luges of a kind used in international competition Sleds and bobsleds (o/than bobsleds &amp; luges for intl.</w:t>
      </w:r>
    </w:p>
    <w:p>
      <w:pPr>
        <w:pStyle w:val="Normal"/>
      </w:pPr>
      <w:r>
        <w:t>competition) and parts &amp; accessories for toboggans, sleds, bobsled, luges and the like Snowshoes and parts &amp; accessories thereof Swimming pools and wading pools and parts &amp; accessories thereof Athletic and sports articles and equipment nesoi, and parts &amp; accessories thereof nesoi Fishing rods and parts &amp; accessories thereof Fish hooks, snelled Fish hooks, not snelled Fishing reels, valued not over $2.70 each Fishing reels, valued over $2.70 but not over $8.45 each Fishing reels, valued over $8.45 each Parts and accessories for fishing reels Fishing line, put up and packaged for retail sale Fishing casts or leaders Fish landing nets, butterfly nets and similar nets Artificial baits and flies Line fishing tackle nesoi, decoy “birds” &amp; similar hunting or shooting equip., and parts &amp; access. thereof Traveling circuses and traveling menageries; parts and accessories thereof Merry-go-rounds, boat-swings, shooting galleries and other fairground amusements; traveling theaters;</w:t>
      </w:r>
    </w:p>
    <w:p>
      <w:pPr>
        <w:pStyle w:val="Normal"/>
      </w:pPr>
      <w:r>
        <w:t>parts and accessories thereof Ivory, worked and articles thereof Shell, worked and articles thereof Coral, cut but not set, and cameos, suitable for use in jewelry Bone, horn, hoof, whalebone, quill, or any combination thereof, worked and articles thereof Carving materials of animal parts, worked and articles thereof, nesoi Unhardened gelatin, worked and articles thereof Wax, molded or carved articles Vegetable, mineral or gum materials, worked and articles of these materials Whiskbrooms, wholly or pt.</w:t>
      </w:r>
    </w:p>
    <w:p>
      <w:pPr>
        <w:pStyle w:val="Normal"/>
      </w:pPr>
      <w:r>
        <w:t>of broom corn, n/o $0.96 each, first 61,655 doz in calendar year classif. In 9603.10.05-9603.10.35 Whiskbrooms, wholly or pt. of broom corn, n/o $0.96 each, &gt;first 61,655 dz in calendar year classif.</w:t>
      </w:r>
    </w:p>
    <w:p>
      <w:pPr>
        <w:pStyle w:val="Normal"/>
      </w:pPr>
      <w:r>
        <w:t>In 9603.10.05-9603.10.35 Whiskbrooms, wholly or pt. of broom corn, over $0.96 each Brooms (o/than whiskbrooms), wholly or in part broom corn, val. n/o 96 cents ea, first 121478 dz in calendar yr, class. in 9603.10 Brooms (o/than whiskbrooms), wholly or in part broom corn, val. n/o 96 cents ea, in excess of 121478 dz in calendar yr., class in 9603.10 Brooms (o/than whiskbrooms), wholly or in part broom corn, val. ov 96 cents each Brooms &amp; brushes of twigs or vegetable materials (o/than broom corn) bound together, w/ or w/o handles Toothbrushes, including dental-plate brushes Shaving brushes, hair brushes, nail brushes, eyelash and other toilet brushes (o/than tooth brushes), valued n/o 40 cents each Shaving brushes, hair brushes, nail brushes, eyelash and other toilet brushes (o/than tooth brushes), valued o/40 cents each Artists’ brushes, writing brushes and similar brushes for the application of cosmetics, valued n/o 5 cents each Artists’ brushes, writing brushes and similar brushes for the application of cosmetics, valued o/5 cents but n/o 10 cents each Artists’ brushes, writing brushes and similar brushes for the application of cosmetics, valued o/10 cents each Paint rollers Paint, distemper, varnish or similar brushes (o/than artists’ brushes); paint pads Brushes,</w:t>
      </w:r>
    </w:p>
    <w:p>
      <w:pPr>
        <w:pStyle w:val="Normal"/>
      </w:pPr>
      <w:r>
        <w:t>constituting parts of machines, appliances or vehicles, nesoi Feather dusters Brooms &amp; brushes nesoi, mops, hand-operated mechanical floor sweepers, squeegees and similar articles, nesoi Hand sieves and hand riddles Travel sets for personal toilet, sewing, shoe or clothes cleaning (o/than manicure and pedicure sets of 8214) Press-fasteners, snap-fasteners and press-studs and pts thereof, valued n/o 20 cents/dozen pieces or parts Press-fasteners, snap-fasteners and press-studs and pts thereof, valued o/20 cents/dozen pieces or parts Buttons, of casein, not covered with textile material Buttons, of acrylic resin or polyester resin, or both resins, not covered with textile material Buttons, of plastics (o/than casein, acrylic or polyester resins), not covered with textile materials Buttons, of base metal, not covered with textile material Buttons, of acrylic resin or polyester resin, or both resins, covered with textile material Buttons, of pearl or shell Buttons, nesoi Button blanks, of casein Button molds &amp; parts of buttons;</w:t>
      </w:r>
    </w:p>
    <w:p>
      <w:pPr>
        <w:pStyle w:val="Normal"/>
      </w:pPr>
      <w:r>
        <w:t>button blanks (o/than casein) Slide fasteners, fitted with chain scoops of base metal Slide fasteners, not fitted with chain scoops of base metal Parts of slide fasteners Pens, w/ball point Pens and markers, w/felt tip or other porous-tip Pens, fountain, stylograph and other pens, nesoi Pencils, propelling or sliding, w/mechanical action for extending, or for extending and retracting, the lead Pencils, propelling or sliding pencils, not w/mechanical</w:t>
      </w:r>
    </w:p>
    <w:p>
      <w:pPr>
        <w:pStyle w:val="Normal"/>
      </w:pPr>
      <w:r>
        <w:t>action for extending, or for extending and retracting, the lead Sets of pens, mechanical pencils, etc. from two or more subheadings 9608.10  9608.40 Refills for ball point pens, comprising the ball point and ink reservoir Pen nibs and nib points Refill cartridges for pens (o/than ball point pens) Balls for ball point pens Parts, of pens, mechanical pencils, etc. provided for in 9608.10, 9608.31, and 9608.39 (o/than balls for ball point pens) Duplicating stylos, pen-holders, pencil-holders and similar holders &amp; pts. thereof, and parts of pens, mech.pencils, etc. of 9608 nesoi Pencils &amp; crayons, with leads encased in a rigid sheath Pencil leads, black or colored, n/o 1.5 mm in maximum cross-sectional dimension Pencil leads, black or colored, o/1.5 mm in maximum cross-sectional dimension Tailors’ chalks Pencils &amp; crayons (o/than in rigid sheath), pastels, drawing charcoals and writing or drawing chalks, nesoi Slates and boards, with writing or drawing surfaces (whether or not framed) Date, sealing or numbering stamps and the like, designed for operating in the hand; hand-operated composing sticks and hand printing sets Ribbons, inked or otherwise prepared, less than 30 mm wide, put up in plastic/metal cart., of a kind used in typewriters, ADP or other mach.</w:t>
      </w:r>
    </w:p>
    <w:p>
      <w:pPr>
        <w:pStyle w:val="Normal"/>
      </w:pPr>
      <w:r>
        <w:t>Ribbons, inked or otherwise prepared (whether or not on spools) nesoi, for typewriters and similar uses Ink pads (whether or not inked and with or without boxes) Cigarette lighters and similar lighters, gas fueled, not refillable, for the pocket Cigarette lighters and similar lighters, gas fueled, refillable, for the pocket Cigarette lighters and similar lighters, for the table Cigarette lighters and similar lighters (other than pocket or table), electrical Cigarette lighters &amp; similar lighters (o/than pocket or table), n/elect., of prec.metal (o/than silver), precious/semiprec. stones, or comb.</w:t>
      </w:r>
    </w:p>
    <w:p>
      <w:pPr>
        <w:pStyle w:val="Normal"/>
      </w:pPr>
      <w:r>
        <w:t>Cigarette lighters &amp; similar lighters (o/than pocket or table), n/elect., nesoi, valued n/o $5/dozen pieces Cigarette lighters &amp; similar lighters (o/than pocket or table), n/elect., nesoi, valued over $5/dozen pieces Parts for electrical cigarette lighters and similar lighters Parts for nonelectrical cigarette lighters and similar lighters Roughly shaped blocks of wood or root, for the manufacture of smoking pipes Smoking pipes (o/than roughly shaped blocks of wood or root for the manufacture of smoking pipes) and pipe bowls of wood or root Smoking pipes and bowls, wholly of clay, and other smoking pipes w/bowls wholly of clay Smoking pipes and pipe bowls (o/than wood, root or wholly of clay) Cigar or cigarette holders of metal; parts of metal for smoking pipes &amp; bowls or for cigar or cigarette holders Cigar or cigarette holders o/than of metal; parts o/than of metal for smoking</w:t>
      </w:r>
    </w:p>
    <w:p>
      <w:pPr>
        <w:pStyle w:val="Normal"/>
      </w:pPr>
      <w:r>
        <w:t>pipes &amp; bowls or for cigar or cigarette holders Combs, of hard rubber or plastics, valued n/o $4.50 per gross Combs, of hard rubber, valued over $4.50 per gross Combs, of plastics, valued over $4.50 per gross Hair slides and the like, of hard rubber or plastics, not set with imitation pearls or imitation gemstones Hair slides and the like, of hard rubber or plastics, set w/imitation pearls or imit. gemstones Combs, not of hard rubber or plastics, valued n/o $4.50 per gross Combs, not of hard rubber or plastics, valued over $4.50 per gross Hair-slides and the like, not of hard rubber or plastics Nonthermic, nonornamental devices for curling the hair Hair pins Hair accessories and pts thereof, and pts. of combs, hair slides, etc. nesoi, of rubber or plastics, n/set w/imit. pearls or imit. gemstones Hair accessories and pts thereof, and pts. of combs, hair slides, etc.</w:t>
      </w:r>
    </w:p>
    <w:p>
      <w:pPr>
        <w:pStyle w:val="Normal"/>
      </w:pPr>
      <w:r>
        <w:t>nesoi Scent sprayers and similar toilet sprayers, and mounts and heads therefor Powder puffs and pads for the application of cosmetics or toilet preparations Vacuum flasks and vessels, complete with cases, w/capacity n/o 1 liter Vacuum flasks and vessels, complete with cases, w/capacity o/1 liter but n/o 2 liters Vacuum flasks and vessels, complete with cases, w/capacity o/2 liters Vacuum flask and vacuum vessel parts (o/than glass liners) Tailors’ dummies and other mannequins;</w:t>
      </w:r>
    </w:p>
    <w:p>
      <w:pPr>
        <w:pStyle w:val="Normal"/>
      </w:pPr>
      <w:r>
        <w:t>automatons and other animated displays used for shop window dressing Sanitary napkins and tampons, diapers and diaper liners and similar sanitary articles, of plastics Sanitary napkins and tampons, diapers and diaper liners and similar sanitary articles, of paper pulp Sanitary napkins and tampons, diapers and diaper liners and similar sanitary articles, other than of paper pulp Sanitary towels and tampons, diapers and diaper liners for babies and similar sanitary articles, of wadding of cotton Sanitary towels and tampons, diapers and diaper liners for babies &amp; similar sanitary articles, of wadding of other textile materials, nesoi Babies’ diapers, knitted or crocheted, of cotton, nesoi Babies’ diapers nesoi, of cotton, not knitted or crocheted Babies’ diapers, not knitted or crocheted, nesoi, of synthetic fibers Babies’ diapers, not knitted or crocheted, nesoi, of artificial fibers Babies diapers, of textile materials (except wool, cotton or mmf), containing under 70% by weight of silk, k/c Babies’</w:t>
      </w:r>
    </w:p>
    <w:p>
      <w:pPr>
        <w:pStyle w:val="Normal"/>
      </w:pPr>
      <w:r>
        <w:t>diapers, of textile mats(except wool, cotton or mmf), cont under 70% by wt of silk or silk waste, not k/c Other sanitary garments nesoi, knitted or crocheted, of cotton Other sanitary garments nesoi, knitted or crocheted, of man-made fibers Other sanitary garments, nesoi, of textile materials (except wool, cotton or mmf), &lt; 70% by wt of silk or silk waste, knitted/crocheted Other sanitary garments nesoi, not knitted or crocheted, of cotton Other sanitary garments nesoi, not knitted or crocheted, of man-made fibers Men’s or boys’ other sanitary garments, nesoi, of tex mat(except wool, cotton or mmf), cont under 70% by wt of silk, not k/c Women’s or girls’ other sanitary garments, nesoi, of tex mat(except wool, cotton or mmf), cont under 70% by wt of silk, not k/c Other sanitary included articles of textile materials, nesoi Monopods, bipods, tripods and similar articles, accessories of heading 8519 or 8521 Monopods, bipods, tripods and similar articles, accessories of heading 9005 Monopods, bipods, tripods and similar articles, accessories of heading 9006, other than</w:t>
      </w:r>
    </w:p>
    <w:p>
      <w:pPr>
        <w:pStyle w:val="Normal"/>
      </w:pPr>
      <w:r>
        <w:t>cinematographic Monopods, bipods, tripods and similar articles, accessories of heading 9007 Monopods, bipods, tripods and similar articles, accessories of heading 9015, including rangefinders Monopods, bipods, tripods and similar articles of plastics, nesoi Monopods, bipods, tripods and similar articles of wood, nesoi Monopods, bipods, tripods and similar articles of graphite and other carbon, nesoi Monopods,</w:t>
      </w:r>
    </w:p>
    <w:p>
      <w:pPr>
        <w:pStyle w:val="Normal"/>
      </w:pPr>
      <w:r>
        <w:t>bipods, tripods and similar articles of iron and steel, nesoi Monopods, bipods, tripods and similar articles of aluminum, nesoi Paintings, drawings (o/than of 4906) and pastels, executed entirely by hand, whether or not framed Collages and similar decorative plaques, executed entirely by hand, whether or not framed Original engravings, prints and lithographs, whether or not framed Original sculptures and statuary, in any material Postage or revenue stamps, stamp-postmarks, first-day covers, postal stationery, and the like, used or unused, other than heading 4907 Collections and collectors’ pieces of zoological, botanical, mineralogical, anatomical, historical, archaeological etc. interest Antiques of an age exceeding one hundred years U.S. goods returned without having been advanced in value or improved in condition while abroad U.S.</w:t>
      </w:r>
    </w:p>
    <w:p>
      <w:pPr>
        <w:pStyle w:val="Normal"/>
      </w:pPr>
      <w:r>
        <w:t>Government property, returned to the United States without having been advanced in value or improved in condition by any means while abroad Articles reimported without having advanced in value or improved in condition while abroad, under lease to a foreign manufacturer Articles reimported without having advanced in value or improved in condition while abroad, or do not conform to specifications Articles sold for export for personal use and reimported without having advanced in value or improved in condition while abroad by exporter Any aircraft engine or part reimported without having advanced or improved while abroad, after temporary substitution for engine overhauled Articles returned after temporary export for exhibition, examination or experimentation, for scientific or educational purposes Articles returned after temporary export for exhibition in connection with any circus or menagerie Articles returned after temporary export for exhibition or use at any public exposition, fair or conference Art. ret. after temp. export for rendition of geophysical or contr. services, connected w/exploration, extract. or dev.</w:t>
      </w:r>
    </w:p>
    <w:p>
      <w:pPr>
        <w:pStyle w:val="Normal"/>
      </w:pPr>
      <w:r>
        <w:t>of natural resources Previously exported aircraft with benefit of drawback, dutiable upon return Previously exported articles except aircraft, dutiable upon return Professional books, implements, instruments &amp; tools of trade, occupation or employment returned US by person after use temporarily abroad U.S.</w:t>
      </w:r>
    </w:p>
    <w:p>
      <w:pPr>
        <w:pStyle w:val="Normal"/>
      </w:pPr>
      <w:r>
        <w:t>domestic animals and offspring returned from straying across the border or returned from pasture abroad within 8 months Photographic films and dry plates manufactured in U.S.(except commercial motion- picture film) and exposed abroad, whether developed or not Articles returned to the U.S. after having been exported for repairs or alterations, made pursuant to a warranty Articles returned to the U.S. after having been exported for repairs or alterations, nesi Textile and apparel goods, assembled in Mexico in which all fabric components were wholly formed and cut in the United States, etc.</w:t>
      </w:r>
    </w:p>
    <w:p>
      <w:pPr>
        <w:pStyle w:val="Normal"/>
      </w:pPr>
      <w:r>
        <w:t>Substantial containers and holders, either U.S. or foreign prev. imported and dutied; specified instruments of international traffic, etc books, libraries, usual furniture &amp; household effects, used 1 year+, and n/for other person, or for sale For person arriving in the U.S.: professional books, implements, instruments &amp; tools of trade/occupation/employ., previously taken abroad For person emigrating to the U.S.: professional books, implements, instruments &amp; tools of trade/occupation/employ., he owned &amp; used abroad For person arriving in the U.S., not returning resident: certain wearing apparel, personal adornment art., toilet art. &amp; personal effects For person arriving in the U.S., not returning resident: up to 50 cigars, 200 cigarettes, or 2 kg smoking tobacco &amp; n/ov. 1 liter of alcohol For person arriving in the U.S., not returning resident: n/over $100 of articles (n/alcohol. bev.</w:t>
      </w:r>
    </w:p>
    <w:p>
      <w:pPr>
        <w:pStyle w:val="Normal"/>
      </w:pPr>
      <w:r>
        <w:t>or cigarettes, n/over 100 cigars) for gift For person arriving in the U.S., not returning resident: automobiles &amp; other means of transport, import connected w/arrival, for personal us For person arriving in the U.S., not returning resident: n/over $200 of articles (w/n/over 4 liters alcohol. bev.) for a person in transit For person arriving in the U.S., returning resident, etc.: all personal and household effects taken abroad by him or for his account For person arriving in the U.S., returning resident, etc.: articles of metal (incl. medals, etc.), bestowed by foreign countries or citizens For person arriving in the U.S., returning resident, etc.: game animals, birds &amp; fish killed abroad by him &amp; not for non-commercial purposes For person arriving in the U.S., returning resident, etc.: automobiles rented by U.S. resident while abroad and imported for personal use For person arriving in the U.S., returning resident, etc.: acquired abroad, accompanying: n/over $400 value, etc (limit on tobacco &amp; alcoho For person arriving in the U.S., returning resident, etc.: acquired abroad: n/over $1,200 value, etc (limit on tobacco &amp; alcohol):</w:t>
      </w:r>
    </w:p>
    <w:p>
      <w:pPr>
        <w:pStyle w:val="Normal"/>
      </w:pPr>
      <w:r>
        <w:t>insular For person arriving in the U.S., returning resident, etc.: acquired abroad: n/over $600 value, etc (limit on tobacco &amp; alcohol): beneficiar For person arriving in the U.S., returning resident, etc.: article imported to replace like art. previously exempted under 9804.00.70, etc.</w:t>
      </w:r>
    </w:p>
    <w:p>
      <w:pPr>
        <w:pStyle w:val="Normal"/>
      </w:pPr>
      <w:r>
        <w:t>Articles (limits on tobacco &amp; alcohol), for personal use of person leaving a vessel, etc. engaged in int’l. traffic, on which employed, etc. Personal &amp; household effects, not stock in trade, part of estate of a citizen of the United States who died abroad Personal &amp; household effects (limit on alcohol &amp; tobacco) of person in U.S. service returning at end of assignment to extended duty, etc.</w:t>
      </w:r>
    </w:p>
    <w:p>
      <w:pPr>
        <w:pStyle w:val="Normal"/>
      </w:pPr>
      <w:r>
        <w:t>Baggage and effects of the following aliens (on req. of Dept. of State): ambassadors, ministers and other rep., etc. &amp; their families etc Baggage and effects of the following aliens (on req. of Dept. of State): diplomatic couriers of foreign governments Baggage and effects of the following aliens (on req. of Dept. of State): rep. etc. of foreign govt in or to public int’l organizations, etc Baggage and effects of the following aliens (on req. of Dept. of State): persons on duty in the U.S. as members of foreign armed forces, etc Baggage and effects of the following aliens (on req. of Dept. of State): persons designated by the State Dept. as foreign high officials, et Baggage and effects of the following aliens (on req. of Dept. of State): persons designated by statute or treaty ratified by the U.S. Senate On req. of Dept. of State: personal effects and equip. of groups of foreign residents arriving on goodwill visits of short duration, etc. Art. for the personal or family use of the following aliens on duty in U.S.</w:t>
      </w:r>
    </w:p>
    <w:p>
      <w:pPr>
        <w:pStyle w:val="Normal"/>
      </w:pPr>
      <w:r>
        <w:t>(on req. of Dept. of State): ambassadors, etc. of embassies, etc Art.</w:t>
      </w:r>
    </w:p>
    <w:p>
      <w:pPr>
        <w:pStyle w:val="Normal"/>
      </w:pPr>
      <w:r>
        <w:t>for the personal or family use of the following aliens on duty in U.S. (on req. of Dept. of State): members of foreign armed forces Art. for the personal or family use of the following aliens on duty in U.S. (on req. of Dept. of State): other rep. &amp; employ. of foreign gov Art. for the personal or family use of the following aliens on duty in U.S. (on req. of Dept. of State): persons designated by statute, etc Art. of metal (incl. medals, trophies &amp; prizes), for bestowal on persons in U.S., as honorary dist., by foreign countries or their citizens Upon req. of the Dept. of State, articles from citizens of foreign countries for presentation to the Pres. or Vice Pres. of the U.S. Engravings, etchings, photographic prints or exposed films, video tapes, and govt. publications on micromedia; all for U.S. govt. agency use Sound recordings and recorded video tapes for State Department use under the U.S.I.E.E.</w:t>
      </w:r>
    </w:p>
    <w:p>
      <w:pPr>
        <w:pStyle w:val="Normal"/>
      </w:pPr>
      <w:r>
        <w:t>Act of 1948 Materials certified to the Commissioner of Customs by authorized military procuring agencies to be emergency war material purchased abroad Materials certified to the Commissioner of Customs by GSA to be strategic and critical for stockpiles Material certified to the Comm. of Customs by the Nuclear Regulatory Comm. or the Dept. of Energy to be necessary for defense and security Plants, seeds and all other material for planting for use of the Department of Agriculture or United States Botanic Garden Materials certified to the Comm.</w:t>
      </w:r>
    </w:p>
    <w:p>
      <w:pPr>
        <w:pStyle w:val="Normal"/>
      </w:pPr>
      <w:r>
        <w:t>of Customs by the Commodity Credit Corp. to be materials acquired by barter or exchange of agri. products Materials certified by NASA to the Comm. of Customs to be imported to be launched into space by NASA, spare parts and support equipment Public documents, incl. microfiche etc. (incl. motion pictures &amp; other films, video tapes &amp; audio tapes) issued by a foreign government, et For foreign govt on a recip. basis &amp; for public intl. org.</w:t>
      </w:r>
    </w:p>
    <w:p>
      <w:pPr>
        <w:pStyle w:val="Normal"/>
      </w:pPr>
      <w:r>
        <w:t>(on req. of Dept. of State): office supplies &amp; other art. for the official use For foreign govt on a recip. basis &amp; for public intl. org.: articles for the official use of members foreign armed forces on duty in the U.S On req. of Dept. of State, property of a foreign govt or public intl. org.: used in non-commercial functions, exhibitions, etc On req. of Dept. of State, property of a foreign govt or public intl. org.: prosthetic appliances furnished by foreign govt to armed forces On req. of Dept. of State, property of a foreign govt or public intl. org.: headstones furnished by foreign govt for graves of its war vet. On req. of Dept. of State, property of a foreign govt or public intl. org.: gifts to the various govt. or public institutions in U.S. On req. of Dept. of State, property of a foreign govt or public intl. org.: printed matter, not containing advertising, for free distrib.</w:t>
      </w:r>
    </w:p>
    <w:p>
      <w:pPr>
        <w:pStyle w:val="Normal"/>
      </w:pPr>
      <w:r>
        <w:t>Drawings, engravings, etchings and similar articles bound or unbound, and exposed photographic films for use of religious institutions Painted, colored or stained glass windows and parts valued over $161 per square meter, by a professional artist, for religious institutions Regalia for the use of religious institutions Handwoven fabrics, to be used by religious institutions in making religious vestments for its own use or sale Altars, pulpits, communion tables, fonts, mosaics, shrines and similar articles for use of religious institutions Drawings and plans, reproductions, engravings, globes, sound recordings and similar articles for use of public institutions Symbols, arithmetical materials, printed matter, shapes, figures, models and other classroom materials for the instruction of children Sculptures and statuary for use of any public or nonprofit institutions for educational, scientific, philosophical or fine arts purposes Regalia for use of any public or nonprofit institution for educational, scientific, literary, philosophical or fine arts purposes Any textile machine or machinery, or part thereof, solely for the instruction of students in any public or nonprofit institutions Patterns</w:t>
      </w:r>
    </w:p>
    <w:p>
      <w:pPr>
        <w:pStyle w:val="Normal"/>
      </w:pPr>
      <w:r>
        <w:t>and models exclusively for exhibition or educational use at any public or nonprofit institution Instruments and apparatus, not manufactured in the U.S., to be used in nonprofit institutions for educational or scientific purposes Repair components for instruments or apparatus admitted</w:t>
      </w:r>
    </w:p>
    <w:p>
      <w:pPr>
        <w:pStyle w:val="Normal"/>
      </w:pPr>
      <w:r>
        <w:t>under heading 98100060 Tools specially designed for maintenance, etc. of instruments and apparatus of subheading 9810.00.60 Wild animals (including birds and fish) imported for use or sale for use in any scientific public collection for exhibition Lifeboats and life-saving apparatus for lifesaving institutions Radiation apparatus (including parts or accessories) for nonprofit institutions for educational, scientific or therapeutic purposes Cellulosic plastics materials for use in artificial kidney machine by a hospital or by a patient pursuant to prescription of a physician Prayer shawls, bags for the keeping of prayer shawls, and headwear of a kind used for public or private religious observances Scrolls or tablets of wood or paper, commonly known as Gohonzon, imported for use in public or private religious observances Alcoholic bev. samples (each containing &lt;or=n 300 ml if a malt be., &lt;or= 150 ml if wine &amp; &lt;or= 100 ml if other) for use in soliciting orders Samples of tobacco products, etc. (limited to 3 cigars, cigarettes, cig.</w:t>
      </w:r>
    </w:p>
    <w:p>
      <w:pPr>
        <w:pStyle w:val="Normal"/>
      </w:pPr>
      <w:r>
        <w:t>tubes or papers, 3.5 gm tobacco or snuff), for soliciting orders Any sample (except 9811.00.20 or 9811.00.40), valued n/over $1 each, or marked, torn, or otherwise unsuitable for sale, for soliciting order Articles imported by certain organizations, only for exhibition to encourage agriculture, arts, education or science without bond without bond Articles imported by any institution, society or state, or for a municipal corporation, for the purpose of erecting a public monument without bond without bond Articles to be repaired, altered or processed (including processes which result in articles manufactured or produced in the United States) without bond without bond Models of women’s wearing apparel imported by manufacturers for use solely as models in their own establishments without bond without bond Art. imp. by illustrators and photographers for use as models in their establishments, in illustrating of catalogues or advertising matters without bond without bond Samples solely for use in taking orders for merchandise without bond without bond Articles for examination w/view to reproduction, or for such examination and reproduction; and motion-picture advertising films without bond without bond Articles intended for testing, experimental or review purposes, incl.</w:t>
      </w:r>
    </w:p>
    <w:p>
      <w:pPr>
        <w:pStyle w:val="Normal"/>
      </w:pPr>
      <w:r>
        <w:t>spec., photos and similar articles for use in experiments or for stud without bond without bond Automobiles, and other vehicles and craft, and the usual equip.; all temporarily imported by nonresidents for races or other specific contes without bond without bond Locomotives and other railroad equipment temporarily imported for use in clearing obstructions, fighting fire, making emergency repairs, etc without bond without bond Containers for compressed gases, &amp; containers, etc. for use for covering or holding merchandise during transportation and suitable for reuse without bond without bond Professional equip., tools of trade, &amp; repair components for such and camping equipment; imported by nonresidents sojourning temp. in U.S. without bond without bond Articles of special design for temporary use exclusively in connection with the manufacture or production of articles for export without bond without bond Animals and poultry brought into the U.S. for the purpose of breeding, exhibition or competition for prizes, and the usual equipment therefo without bond without bond Art, engravings, photos &amp; philo./scien. appar. imported by artist, lecturer or scientist for exhib.</w:t>
      </w:r>
    </w:p>
    <w:p>
      <w:pPr>
        <w:pStyle w:val="Normal"/>
      </w:pPr>
      <w:r>
        <w:t>or promotion of art, science &amp; industry without bond without bond Automobiles, chassis, bodies, cutaway portions of such, and parts for such, finished, unfinished or cutaway, intended for show purposes without bond without bond Tea, tea waste, and tea siftings and sweepings, for manufacturing of chemical products without bond without bond Products of American fisheries which have not been landed in a foreign country, or landed solely for transshipment Fish (except cod, cusk, haddock, hake, mackerel, pollock and swordfish) landed abroad only for evisceration and/or chilling or freezing Products of American fisheries, prepared or preserved by American fishery on treaty coasts of Labrador, Magdalen Isles or Newfoundland Articles for personal or household use, or as gifts, valued not over $1,000, accompanying a person, arriving in the U.S.</w:t>
      </w:r>
    </w:p>
    <w:p>
      <w:pPr>
        <w:pStyle w:val="Normal"/>
      </w:pPr>
      <w:r>
        <w:t>Articles for personal or household use, or as gifts, valued not over $1,000, accompanying a person arriving from an insular possessions Monofilament gill nets or sections or parts of nets to be used for fish sampling Nets (incl. section or parts) to be used in taking wild birds under license issued by an appropriate Federal or State government authority Visual or auditory material of educational, scientific or cultural character (except toy models) per U.S.</w:t>
      </w:r>
    </w:p>
    <w:p>
      <w:pPr>
        <w:pStyle w:val="Normal"/>
      </w:pPr>
      <w:r>
        <w:t>note 1(a) of subchapter XVII Holograms; microfilm, microfiche, etc.; the foregoing if defined as visual or auditory materials Motion picture films if defined as visual or auditory materials Sound, sound+visual, and magnetic recordings; video discs, tapes, etc.; the foregoing if defined as visual or auditory materials Various specific articles and kits used generally as aids to learning or instruction, if defined as visual or auditory materials Machinery, equipment and implements to be used for agricultural or horticultural purposes Parts to be used in articles provided for in headings 8432, 8433, 8434, and 8436 Animals, game, imported to be liberated in the United States for stocking purposes Articles of copper to be used in remanufacture by melting, or by shredding, shearing, etc.</w:t>
      </w:r>
    </w:p>
    <w:p>
      <w:pPr>
        <w:pStyle w:val="Normal"/>
      </w:pPr>
      <w:r>
        <w:t>rendering suitable only for recovery of metal Specified unwrought metal and forms or articles of metal for remanufacture or for recovery of the metal content Books, music and pamphlets, in raised print, used exclusively by or for the blind Braille tablets, cubarithms, and special apparatus, machines, presses, and types for use by or benefit exclusively of the blind Other articles specially designed or adapted for the use or benefit of the blind or other physically or mentally handicapped persons Articles specially designed or adapted for the use or benefit of the blind or other physically or mentally handicapped persons, nesi Rum, tafia, liqueurs and spirituous beverages, of subheading 2208.40 or</w:t>
      </w:r>
    </w:p>
    <w:p>
      <w:pPr>
        <w:pStyle w:val="Normal"/>
      </w:pPr>
      <w:r>
        <w:t>2208.90, and described in US note 6 to this subchapter Photographic color couplers &amp; cyclic organic chemical products, having an aromatic or mod. aromatic structure, used in the mfg. of such Methanol (Methyl alcohol) produced from natural gas aboard a vessel on the high seas or in foreign waters Certain needle-craft display models, primarily hand stitched, of completed mass- produced kits (of certain specified headings) Articles not sale/distribution to the public:</w:t>
      </w:r>
    </w:p>
    <w:p>
      <w:pPr>
        <w:pStyle w:val="Normal"/>
      </w:pPr>
      <w:r>
        <w:t>personal effect/equipment of foreign participant or official of international athletic events Articles of ski racing apparel which, are specially designed to protect against injuries from the sport of ski racing Footwear, not heading 9021, for support/hold foot after illness, injury or operation, provided certain conditions are met Certain mounted tool and drill bit blanks of polycrystalline diamond &amp; mounted tool blanks of polycrystalline diamond (of certain headings) Certain wheelbuilding, wheel-trueing, rimpunching, tire fitting and similar machines, for use in the manufacture of wheels for bicycles Prototypes to be used exclusively for development, testing, product evaluation, or quality control purposes Utilitarian articles of a kind used in the home in the performance of specific religious or cultural ritual celebrations for religious or cu Utilitarian articles in the form of a three-dimensional representation of a symbol or motif clearly associated with a specific holiday in t Any equipment or part</w:t>
      </w:r>
    </w:p>
    <w:p>
      <w:pPr>
        <w:pStyle w:val="Normal"/>
      </w:pPr>
      <w:r>
        <w:t xml:space="preserve">purchased for, or repair parts used, or expense of repairs made to, a LASH (Lighter Aboard Ship) barge Spare repair parts or materials which the owner or master of a vessel certifies are intended for use aboard a cargo vessel, etc. Spare parts necessarily installed before first entry into the U.S., upon first entry into the U.S. of each such spare part, etc. Other equipment or parts, upon first arrival in any port of the U.S. of any vessel described in U.S. note 1 to subch. XVIII of chap. 98</w:t>
      </w:r>
    </w:p>
    <w:p>
      <w:pPr>
        <w:pStyle w:val="Heading2"/>
      </w:pPr>
      <w:bookmarkStart w:id="900064" w:name="_Toc300000063"/>
      <w:r>
        <w:t xml:space="preserve">TARIFF SCHEDULE OF THE UNITED STATES: APPENDIX 1</w:t>
      </w:r>
      <w:bookmarkEnd w:id="900064"/>
    </w:p>
    <w:p>
      <w:pPr>
        <w:pStyle w:val="Normal"/>
      </w:pPr>
      <w:r>
        <w:t xml:space="preserve">HTSUS 1 July 2017 Brief Description Base Rate Staging Category for Canada Milk and cream, not concentrated, not sweetened, fat content o/6% but not o/10%, not subject to gen. nte 15 or add. nte 5 to Ch. 4 77.2 cents/liter TRQ-US 1 Milk and cream, not concentrated, not sweetened, fat content o/10% but not o/45%, not subject to gen. nte 15 or add. nte 5 to Ch. 4 77.2 cents/liter TRQ-US 1 Milk and cream, not concentrated, not sweetened, fat content o/45%, not subject to gen. nte 15 or add. nte 6 to Ch.</w:t>
      </w:r>
    </w:p>
    <w:p>
      <w:pPr>
        <w:pStyle w:val="Normal"/>
      </w:pPr>
      <w:r>
        <w:t>4 $1.646/kg TRQ-US 3 Milk &amp; cream in powder granules/other solid forms fat content by weight not exceeding 1.5% whether/not sweetened, nesi 86.5 cents/kg TRQ-US 2 Milk &amp; cream, concen, not sweetened, in powder, granules or other solid forms, w/fat content o/1.5% but not o/3%, not subj GN15/Ch4 US note7 86.5 cents/kg TRQ-US 2 Milk &amp; cream, concen, not sweetened, in powder/granules/oth solid forms, fat cont o/3% but not o/35%, not subj to GN15 or Ch 4 US.S. note 7 $1.092/kg TRQ-US 5 Milk &amp; cream, concen, not sweetened, in powder, granules or other solid forms, w/fat content o/35%, not subj to GN15 or Ch4 US note 9 $1.556/kg TRQ-US 3 Milk &amp; cream, concen, sweetened, in powder, granules or other solid forms, w/fat content o/1.5%, not subj to GN15 or Ch4 US note 10 $1.104/kg + 14.9% TRQ-US 5 Milk &amp; cream, concen in non-solid forms, not sweetened, in airtight containers, not subject to gen. note 15 or add.</w:t>
      </w:r>
    </w:p>
    <w:p>
      <w:pPr>
        <w:pStyle w:val="Normal"/>
      </w:pPr>
      <w:r>
        <w:t>US note 11 to Ch.4 31.3 cents/kg TRQ-US 7 Milk and cream, concentrated, in other than powder, granules or other solid forms, unsweetened, other than in airtight containers 31.3 cents/kg TRQ-US 7 Condensed milk, sweetened, in airtight containers, not subject to gen. note 15 or add. US note 11 to Ch.4 49.6 cents/kg TRQ-US 7 Condensed milk, sweetened, not in airtight containers, not subject to gen. note 15 or add. US note 11 to Ch.4 49.6 cents/kg TRQ-US 7 Milk &amp; cream (except condensed milk), concentrated in non-solid forms, sweetened, not desc. gen. note 15 or add.</w:t>
      </w:r>
    </w:p>
    <w:p>
      <w:pPr>
        <w:pStyle w:val="Normal"/>
      </w:pPr>
      <w:r>
        <w:t>US note 10 to Ch. 4 46.3 cents/kg + 14.9% TRQ-US 7 Yogurt, in dry form, whether or not flavored or containing add fruit or cocoa, not subject to gen nte 15 or add. US nte 10 to Ch.4 $1.035/kg + 17% TRQ-US 6 Sour cream, fluid, n/o 45% by wt. butterfat, not subject to gen nte 15 or add US note 5 to Ch.4 77.2 cents/liter TRQ-US 1 Sour cream, dried, n/o 6% by wt. butterfat, not subject to gen nte 15 or add. US note 12 to Ch. 4 87.6 cents/kg TRQ-US 6 Sour cream, dried, o/6% but n/o 35% by wt. butterfat, not subject to gen nte 15 or add. US note 8 to Ch. 4 $1.092/kg TRQ-US 6 Sour cream, dried, o/35% but n/o 45% by wt. butterfat, not subject to gen nte 15 or add. US note 9 to Ch. 4 $1.556/kg TRQ-US 3 Sour cream, o/45% by wt. butterfat, not subject to gen nte 15 or add. US note 6 to Ch.</w:t>
      </w:r>
    </w:p>
    <w:p>
      <w:pPr>
        <w:pStyle w:val="Normal"/>
      </w:pPr>
      <w:r>
        <w:t>4 $1.646/kg TRQ-US 3 Curdled milk/cream/kephir &amp; other fermentd or acid. milk/cream subj to GN 15 or Ch4 US note 10 $1.034/kg + 17% TRQ-US 6 Modified whey (except protein conc.), wheth/not conc. or sweetened, not subject to gen. note 15 $1.035/kg + 8.5% B11; TRQ-US 6 Whey (except modified whey), dried, whether or not conc. or sweetened, not subject to gen. note 15 or add US nte 12 to Ch.4 87.6 cents/kg B11; TRQ-US 6 Dairy products of nat. milk constituents (except protein conc.), descr. in add. US nte 1 to Ch. 4 &amp; not subj to GN15 or Ch4 US note 10 $1.189/kg + 8.5% TRQ-US 6 Butter not subject to general note 15 and in excess of quota in chapter 4 additional U.S.</w:t>
      </w:r>
    </w:p>
    <w:p>
      <w:pPr>
        <w:pStyle w:val="Normal"/>
      </w:pPr>
      <w:r>
        <w:t>note $1.541/kg TRQ-US 3 Butter substitute dairy spreads, over 45% butterfat weight, not subj to gen note 15 and in excess of quota in ch. 4 additional US note 14 $1.996/kg TRQ-US 3 Other dairy spreads of a type provided in ch. 4 add. US note 1, not subject to gen note 15 and in excess of quota in ch. 4 add. US note 10 70.4 cents/kg + 8.5% TRQ-US 3 Fats and oils derived from milk, other than butter or dairy spreads, not subject to gen note 15 and excess of quota in ch 4 add US note 14 $1.865/kg + 8.5% TRQ-US 3 Chongos, unripened or uncured cheese, including whey cheese and curd, not subject to gen note 15 or add. US note 16 to Ch. 4 $1.509/kg TRQ-US 4 Fresh (unripened/uncured) blue-mold cheese, cheese/subs for cheese cont or proc fr blue- mold cheese, not subj to Ch4 US note 17 or GN15 $2.269/kg TRQ-US 4 Fresh (unripened/uncured) cheddar cheese, cheese/subs for cheese cont or proc from cheddar cheese, not subj to Ch4 US note 18, not GN15 $1.227/kg TRQ-US 4 Fresh (unripened/uncured) american-type cheese, cheese cont or proc. fr american-type, not subj to add.</w:t>
      </w:r>
    </w:p>
    <w:p>
      <w:pPr>
        <w:pStyle w:val="Normal"/>
      </w:pPr>
      <w:r>
        <w:t>US note 19 to Ch.4, not GN15 $1.055/kg TRQ-US 4 Fresh (unripened/uncured) edam and gouda cheeses, cheese/subs for cheese cont or processed therefrom, not sub to Ch4 US note 20, not GN15 $1.803/kg TRQ-US 4 Fresh (unrip./uncured) Italian-type cheeses from cow milk, cheese/substitutes cont or proc therefrom, not subj to Ch4 US note 21 or GN15 $2.146/kg TRQ-US 4 Fresh (unripened/uncured) Swiss/emmentaler cheeses exc eye formation, gruyere-process cheese and cheese cont or proc. from such, not subj . $1.386/kg TRQ-US 4 Fresh cheese, and substitutes for cheese,neosi, w/0.5% or less by wt. of butterfat, not descr in add US note 23 to Ch 4, not GN15 $1.128/kg TRQ-US 4 Fresh cheese, and substitutes for cheese, cont. cows milk, neosi, o/0.5% by wt. of butterfat, not descr in add US note 16 to Ch 4, not GN 15 $1.509/kg TRQ-US 4 Blue-veined cheese (except Roquefort or Stilton), grated or powdered, not subject to gen nte 15 or add. US note 17 to Ch.4 $2.269/kg TRQ-US 4 Cheddar cheese, grated or powdered, not subject to gen. note 15 or add.</w:t>
      </w:r>
    </w:p>
    <w:p>
      <w:pPr>
        <w:pStyle w:val="Normal"/>
      </w:pPr>
      <w:r>
        <w:t>US note 18 to Ch. 4 $1.227/kg TRQ-US 4 Colby cheese, grated or powdered, not describ. in gen. note 15 or add. US note 19 to Ch. 4 $1.055/kg TRQ-US 4 Edam and gouda cheese, grated or powdered, not subject to gen note 15 or add. US nte 20 to Ch.</w:t>
      </w:r>
    </w:p>
    <w:p>
      <w:pPr>
        <w:pStyle w:val="Normal"/>
      </w:pPr>
      <w:r>
        <w:t>4 $1.803/kg TRQ-US 4 Romano, reggiano, provolone, provoletti, sbrinz and goya, made from cow’s milk, grated or powdered, not subj to Ch4 US nte 21 or GN15 $2.146/kg TRQ-US 4 Cheese containing or processed from blue-veined cheese (except roquefort), grated/powdered, not subject to add US note 17 to Ch.4 $2.269/kg TRQ-US 4 Cheese containing or processed from cheddar cheese, grated or powdered, not subject to add US note 18 to Ch. 4 $1.227/kg TRQ-US 4 Cheese containing or processed from american-type cheese (except cheddar), grated or powdered, not subject to add US note 19 to Ch. 4 $1.055/kg TRQ-US 4 Cheese containing or processed from edam or gouda cheeses, grated or powdered, not subject to add US note 20 to Ch. 4 $1.803/kg TRQ-US 4 Cheese containing or processed from italian-type cheeses made from cow’s milk, grated or powdered, not subject to add US note 21 to Ch. 4 $2.146/kg TRQ-US 4 Cheese containing or processed from swiss, emmentaler or gruyere-process cheeses, grated or powdered, not subject to add US nte 22 to Ch.</w:t>
      </w:r>
    </w:p>
    <w:p>
      <w:pPr>
        <w:pStyle w:val="Normal"/>
      </w:pPr>
      <w:r>
        <w:t>4 $1.386/kg TRQ-US 4 Cheese (including mixtures), nesoi, n/o 0.5% by wt. of butterfat, grated or powdered, not subject to add US note 23 to Ch. 4 $1.128/kg TRQ-US 4 Cheese (including mixtures), nesoi, o/0.5% by wt of butterfat, w/cow’s milk, grated or powdered, not subject to add US note 16 to Ch. 4 $1.509/kg TRQ-US 4 Blue-veined cheese (except roquefort), processed, not grated or powdered, not subject to gen. note 15 or add. US note 17 to Ch.</w:t>
      </w:r>
    </w:p>
    <w:p>
      <w:pPr>
        <w:pStyle w:val="Normal"/>
      </w:pPr>
      <w:r>
        <w:t>4 $2.269/kg TRQ-US 4 Cheddar cheese, processed, not grated or powdered, not subject to gen note 15 or in add US note 18 to Ch. 4 $1.227/kg TRQ-US 4 Colby cheese, processed, not grated or powdered, not subject to gen note 15 or add US note 19 to Ch. 4 $1.055/kg TRQ-US 4 Edam and gouda cheese, processed, not grated or powdered, not subject to gen note 15 or add. US note 20 to Ch. 4 $1.803/kg TRQ-US 4 Gruyere-process cheese, processed, not grated or powdered, not subject to gen note 15 or add. US note 22 to Ch. 4 $1.386/kg TRQ-US 4 Processed cheese cont/procd fr blue-veined cheese (ex roquefort), not grated/powdered, not subject to add US note 17 to Ch. 4, not GN15 $2.269/kg TRQ-US 4 Processed cheese cont/procd fr cheddar cheese, not grated/powdered, not subject to add US note 18, not GN15 $1.227/kg TRQ-US 4 Processed cheese cont/procd fr american-type cheese (ex cheddar), not grated/powdered, not subject to add US note 19 to Ch.</w:t>
      </w:r>
    </w:p>
    <w:p>
      <w:pPr>
        <w:pStyle w:val="Normal"/>
      </w:pPr>
      <w:r>
        <w:t>4, not GN15 $1.055/kg TRQ-US 4 Processed cheese cont/procd from edam or gouda, not grated/powdered, not subject to add US note 20 to Ch. 4, not GN15 $1.803/kg TRQ-US 4 Processed cheese cont/procd from italian-type, not grated/powdered, not subject to add US note 21 to Ch. 4, not GN15 $2.146/kg TRQ-US 4 Processed cheese cont/procd from swiss/emmentaler/gruyere-process, n/grated/powdered, not subject to add US note 22 to Ch. 4, not GN15 $1.386/kg TRQ-US 4 Processed cheese (incl. mixtures), nesoi, n/o 0.5% by wt.</w:t>
      </w:r>
    </w:p>
    <w:p>
      <w:pPr>
        <w:pStyle w:val="Normal"/>
      </w:pPr>
      <w:r>
        <w:t>butterfat, not grated or powdered, not subj to Ch 4 US note 23 or not GN15 $1.128/kg TRQ-US 4 Processed cheese (incl. mixtures), nesoi, w/cow’s milk, not grated or powdered, not subject to add US note 16 to Ch. 4, not GN15 $1.509/kg TRQ-US 4 Blue-veined cheese, nesoi, not subject to gen. note 15 of the HTS or to add. US note 17 to Ch. 4 $2.269/kg TRQ-US 4 Cheddar cheese, nesoi, not subject to gen. note 15 of the HTS or to add. US note 18 to Ch. 4 $1.227/kg TRQ-US 4 Edam and gouda cheese, nesoi, not subject to gen. note 15 of the HTS or to add. US note 20 to Ch. 4 $1.803/kg TRQ-US 4 Goya cheese from cow’s milk, not in original loaves, nesoi, not subject to gen. note 15 or to add. US note 21 to Ch. 4 $2.146/kg TRQ-US 4 Sbrinz cheese from cow’s milk, nesoi, not subject to gen. note 15 or to add. US note 21 to Ch.</w:t>
      </w:r>
    </w:p>
    <w:p>
      <w:pPr>
        <w:pStyle w:val="Normal"/>
      </w:pPr>
      <w:r>
        <w:t>4 $2.146/kg TRQ-US 4 Romano, Reggiano, Parmesan, Provolone, and Provoletti cheese, nesoi, from cow’s milk, not subj to to GN 15 or Ch4 US note 21 $2.146/kg TRQ-US 4 Swiss or Emmentaler cheese with eye formation, nesoi, not subject to gen. note 15 or to add. US note 25 to Ch. 4 $1.877/kg TRQ-US 4 Colby cheese, nesoi, not subject to gen. note 15 or to add. US note 19 to Ch. 4 $1.055/kg TRQ-US 4 Cheeses &amp; subst. for cheese(incl. mixt.), nesoi, w/romano/reggiano/parmesan/provolone/etc, f/cow milk, not subj. Ch4 US note 21, not GN15 $2.146/kg TRQ-US 4 Cheeses &amp; subst. for cheese (incl. mixt.), nesoi, w/ or from blue-veined cheese, not subj. to add.</w:t>
      </w:r>
    </w:p>
    <w:p>
      <w:pPr>
        <w:pStyle w:val="Normal"/>
      </w:pPr>
      <w:r>
        <w:t>US note 17 to Ch.4, not GN15 $2.269/kg TRQ-US 4 Cheeses &amp; subst. for cheese (incl. mixt.), nesoi, w/ or from cheddar cheese, not subj. to add. US note 18 to Ch.4, not GN15 $1.227/kg TRQ-US 4 Cheeses &amp; subst. for cheese (incl. mixt.), nesoi, w/ or from Am. cheese except cheddar, not subj. to add. US note 19 to Ch.4, not GN15 $1.055/kg TRQ-US 4 Cheeses &amp; subst. for cheese (incl. mixt.), nesoi, w/ or from edam or gouda cheese, not subj. to add. US note 20 to Ch.4, not GN15 $1.803/kg TRQ-US 4 Cheeses &amp; subst. for cheese (incl. mixt.), nesoi, w/ or from swiss, emmentaler or gruyere, not subj. Ch4 US note 22, not GN15 $1.386/kg TRQ-US 4 Cheeses &amp; subst. for cheese (incl. mixt.), nesoi, w/butterfat n/o 0.5% by wt, not subject to add. US note 23 to Ch.</w:t>
      </w:r>
    </w:p>
    <w:p>
      <w:pPr>
        <w:pStyle w:val="Normal"/>
      </w:pPr>
      <w:r>
        <w:t>4, not GN15 $1.128/kg TRQ-US 4 Cheeses &amp; subst. for cheese (incl. mixt.), nesoi, w/cows milk, w/butterfat o/0.5% by wt, not subject to Ch4 US note 16, not GN15 $1.509/kg TRQ-US 4 Peanuts (ground-nuts), seed, not roasted or cooked, shelled, not subject to gen note 15 or add. US note 2 to Ch.12 131.8% B6 Peanuts (ground-nuts), not seed, not roasted or cooked, in shell, not subject to gen note 15 or add. US note 2 to Ch.12 163.8% B6 Peanuts (ground-nuts), not seed, not roasted or cooked, shelled, not subject to gen note 15 or add. US note 2 to Ch.12 131.8% B6 Edible mixt. &amp; preps, dairy products described in add. US note 1 to Ch 4: not subj. to gen. note 15 or add. US note 10 to Ch.</w:t>
      </w:r>
    </w:p>
    <w:p>
      <w:pPr>
        <w:pStyle w:val="Normal"/>
      </w:pPr>
      <w:r>
        <w:t>4 34.2 cents/kg B6; TRQ-US 8 Beet sugar, raw, in solid form, w/o added flavoring or coloring, nesoi, not subject to gen. note 15 or add. US 5 to Ch.17 35.74 cents/kg TRQ-US 9 Cane sugar, raw, specif in subhead 2 to chapt 17,solid, w/o added flavor or color, not subject gen. note 15 of the HTS or chapter note 5 33.87 cents/kg TRQ-US 9 Other cane sugar, raw solid form, w/o flavoring or coloring, nesoi, not subject to gen. note 15 or add. US 5 to Ch.17 33.87 cents/kg TRQ-US 9 Cane/beet sugar &amp; pure sucrose, refined, solid, w/added coloring but not flav., not subject to gen. note 15 or add.</w:t>
      </w:r>
    </w:p>
    <w:p>
      <w:pPr>
        <w:pStyle w:val="Normal"/>
      </w:pPr>
      <w:r>
        <w:t>US 5 to Ch.17 35.74 cents/kg TRQ-US 9 Cane/beet sugar &amp; pure sucrose, refined, solid, w/added flavoring, o/65% by wt. sugar, descr. in Ch17 US note 2, not GN 15/Ch 17 US nte 7 33.9 cents/kg + 5.1% TRQ-US 10 Cane/beet sugar &amp; pure sucrose, refined, solid, w/added flavoring, o/10% by wt. sugar, descr. in Ch17 US note 3, not GN15/Ch.17 US nte 8 33.9 cents/kg + 5.1% TRQ-US 10 Cane/beet sugar &amp; pure sucrose, refined, solid, w/o added coloring or flavoring, not subject to gen. note 15 or add. US 5 to Ch.17 35.74 cents/kg TRQ-US 9 Maple syrup, blended, described in add. US note 4 to Ch.17: not subject to gen note 15 or add. US note 9 to Ch.17 16.9 cents/kg of total sugars + 5.1% TRQ-US 10 Glucose &amp; glucose syrup not containing or containing in dry state less than 20% fructose; blended syrups (chap 17-note 4), nesoi 16.9 cents/kg of total sugars + 5.1% TRQ-US 10 Blended syrup desc. in add’l U.S.</w:t>
      </w:r>
    </w:p>
    <w:p>
      <w:pPr>
        <w:pStyle w:val="Normal"/>
      </w:pPr>
      <w:r>
        <w:t>note 4(chap.17) Contng in dry state 20%-50% by weight of fructose, nesoi 33.9 cents/kg of total sugars + 5.1% TRQ-US 10 Oth fructose &amp; fruc. syrup contng in dry state &gt;50% by wt. of fructose, blended syrup(see add’l U.S. note 4-chap 17), nesoi 33.9 cents/kg of total sugars + 5.1% TRQ-US 10 Cane/beet sugars &amp; syrups (incl. invert sugar); nesoi, w/soluble non-sugar solids 6% or less soluble solids, not subj to GN15/Ch17 US nte 5 35.74 cents/kg TRQ-US 9 Blended syrups described in add. US note 4 to chap. 17, nesoi, not subject to add. US note 9 to Ch. 17 33.9 cents/kg of total sugars + 5.1% TRQ-US 10 Sugars nesoi w/o 65% by dry wt. sugar, described in add. U.S note 2 to Ch.17: and not subj. to add. US note 7 to Ch.17 33.9 cents/kg + 5.1% TRQ-US 10 Sugar confectionery nesoi, w/o cocoa, dairy products subject to add. US note 1 to chap.</w:t>
      </w:r>
    </w:p>
    <w:p>
      <w:pPr>
        <w:pStyle w:val="Normal"/>
      </w:pPr>
      <w:r>
        <w:t>4: not subject to add US note 10 to chapter 4 40 cents/kg + 10.4% TRQ-US 8 Sugar confectionery nesoi o/65% by dry wt. of sugar described in add. US note 2 to Ch. 17, w/o cocoa, not subj. to Ch17 US note 7 40 cents/kg + 10.4% TRQ-US 10 Sugar confectionery nesoi o/10% by dry wt. of sugar described in add. US note 3 to Ch. 17, w/o cocoa, not subj. to Ch17 US note 8 40 cents/kg + 10.4% TRQ-US 10 Cocoa powder, sweetened, w/le ss than 65% by dr y wt. sugar, not subject to gen note 15 or add US note 1 to Ch. 18 21.7 cents/kg TRQ-US 10 Cocoa powder, o/65% but less than 90% by dry wt of sugar, described in add US note 2 to Ch.17: not subj.</w:t>
      </w:r>
    </w:p>
    <w:p>
      <w:pPr>
        <w:pStyle w:val="Normal"/>
      </w:pPr>
      <w:r>
        <w:t>to add US note 7 to Ch. 17 33.6 cents/kg TRQ-US 10 Cocoa powder, sweetened, neosi, not subject to add US note 1 to Ch. 18 33.6 cents/kg TRQ-US 10 Cocoa powder, o/90% by dry wt of sugar, described in add US note 2 to Ch. 17: not subject to add US note 7 to Ch. 17 33.6 cents/kg TRQ-US 10 Cocoa powder, o/90% by dry wt of sugar, neosi 33.6 cents/kg TRQ-US 10 Chocolate, ov 2kg, cont. milk solids, not in blocks 4.5 kg or more, not subj.</w:t>
      </w:r>
    </w:p>
    <w:p>
      <w:pPr>
        <w:pStyle w:val="Normal"/>
      </w:pPr>
      <w:r>
        <w:t>Ch18 US note 2/GN15, ov 5.5 pc bf, less th 21% milk solids 37.2 cents/kg + 4.3% TRQ-US 8 Chocolate, ov 2kg, cont. milk solids, not in blocks 4.5 kg or more, not GN15, ov 5.5 pc bf ov 21% milk solids 52.8 cents/kg + 4.3% TRQ-US 8 Chocolate, ov 2kg, cont. milk solids, not in blocks 4.5 kg or more, less than 21% milk solids, not subj. to Ch18 US note 3/GN15 37.2 cents/kg + 4.3% TRQ-US 8 Chocolate, ov 2kg, cont. milk solids, not in blocks 4.5 kg or more, 21% or more milk solids, not GN15 52.8 cents/kg + 4.3% TRQ-US 8 Chocolate/oth preps with cocoa, ov 2kg but n/o 4.5 kg, o/65% by wt of sugar, desc in Ch17 US nte 2, not subj. to Ch17 US note 7 30.5 cents/kg + 8.5% TRQ-US 10 Chocolate/oth preps with cocoa, ov 2kg but n/o 4.5 kg, o/65% by wt of sugar, desc in add US nte 3 to Ch.</w:t>
      </w:r>
    </w:p>
    <w:p>
      <w:pPr>
        <w:pStyle w:val="Normal"/>
      </w:pPr>
      <w:r>
        <w:t>17: not subj. to Ch17 US note 8 30.5 cents/kg + 8.5% TRQ-US 10 Chocolate/oth preps w/cocoa, o/2kg but n/o4.5 kg (dairy prod.</w:t>
      </w:r>
    </w:p>
    <w:p>
      <w:pPr>
        <w:pStyle w:val="Normal"/>
      </w:pPr>
      <w:r>
        <w:t>of Ch4 US note 1), n/o 65% sugar, less th 21% milk solid, not GN15 37.2 cents/kg + 8.5% TRQ-US 8 Chocolate/oth preps w/cocoa, o/2kg but n/o4.5 kg (dairy prod. of Ch4 US note 10), n/o 65% sugar, 21% or more milk solids, not GN15 52.8 cents/kg + 8.5% TRQ-US 8 Low-fat chocolate crumb, n/o 65% by wt of sugar, ov 2kg but n/o 4.5 kg, less than 21% milk solids, not GN15, not subj to ch 18 US note 3 37.2 cents/kg + 8.5% TRQ-US 8 Low-fat chocolate crumb, n/o 65% by wt of sugar, 21% or more milk solids, not ov 2kg, not GN15, not subj to ch 18 US note 3 52.8 cents/kg + 8.5% TRQ-US 8 Blended syrups w/chocolate or cocoa, o/2kg but n/o 4.5 kg, n/o 65% sugar, descr in Ch 17 US note 4, not subj.</w:t>
      </w:r>
    </w:p>
    <w:p>
      <w:pPr>
        <w:pStyle w:val="Normal"/>
      </w:pPr>
      <w:r>
        <w:t>to Cha7 US note 9, not GN15 37.2 cents/kg + 8.5% TRQ-US 10 Chocolate and preps w/cocoa, neosi, o/2kg but n/o 4.5 kg, n/o 65% sugar, desc in Ch17 US note 3, not subj to Ch.17 US note 8, not GN15 37.2 cents/kg + 8.5% TRQ-US 10 Chocolate, not filled, less than 21% milk solids, &gt;5.5% butterfat, in blocks/slabs/bars 2kg or less 37.2 cents/kg + 4.3% TRQ-US 8 Chocolate, not filled, 21% or more milk solids, &gt;5.5% butterfat, in blocks/slabs/bars 2kg or less 52.8 cents/kg + 4.3% TRQ-US 8 Chocolate, not filled, less than 21% milk solids, &lt;= 5.5% butterfat, in blocks/slabs/bars 2kg or less 37.2 cents/kg + 4.3% TRQ-US 8 Chocolate, not filled, 21% or more milk solids, &lt;=5.5% butterfat, in blocks/slabs/bars 2kg or less 52.8 cents/kg + 4.3% TRQ-US 8 Cocoa preps, (dairy prod.</w:t>
      </w:r>
    </w:p>
    <w:p>
      <w:pPr>
        <w:pStyle w:val="Normal"/>
      </w:pPr>
      <w:r>
        <w:t>of Ch4 US note 1), less than 21% milk solids, not filled, in blocks/slabs/bars, 2 kg or less, not Ch.4 US nte 10 37.2 cents/kg + 6% TRQ-US 8 Cocoa preps, (dairy prod. of Ch4 US note 1), 21% or more milk solids, not filled, in blocks/slabs/bars, 2 kg or less, not Ch.4 US nte 10 52.8 cents/kg + 6% TRQ-US 8 Cocoa preps, (dairy prod. descr. in add US note 1 to Ch.4), less than 21% milk solids, not in blocks, slabs or bars, not GN15 37.2 cents/kg + 6% TRQ-US 8 Cocoa preps, (dairy prod. descr. in Ch4 US note 1), 21% or more milk solids, not in blocks, slabs or bars, not Ch4 USNote 10, not GN15 52.8 cents/kg + 6% TRQ-US 8 Cocoa preps, o/5.5% butterfat by wt, w/less than 21% milk solids, not in blocks/slabs/bars, not GN15 37.2 cents/kg + 6% TRQ-US 8 Cocoa preps, o/5.5% butterfat by wt, 21% or more milk solids, not in blocks/slabs/bars, not GN15 52.8 cents/kg + 6% TRQ-US 8 Cocoa preps, cont.</w:t>
      </w:r>
    </w:p>
    <w:p>
      <w:pPr>
        <w:pStyle w:val="Normal"/>
      </w:pPr>
      <w:r>
        <w:t>milk solids, n/o 5.5% butterfat by wt, w/less than 21% milk solids, not blocks/slabs/bars, not Ch18 US note 3, not GN15 37.2 cents/kg + 6% TRQ-US 8 Cocoa preps, cont. milk solids, n/o 5.5% butterfat by wt, 21% or more milk solids, not in blocks/slabs/bars, not Ch18 US note 3, not GN15 52.8 cents/kg + 6% TRQ-US 8 Blended syrups w/chocolate or cocoa, nesoi, described in add US note 4 to Ch.17: not subj. to add US note 9 to Ch.</w:t>
      </w:r>
    </w:p>
    <w:p>
      <w:pPr>
        <w:pStyle w:val="Normal"/>
      </w:pPr>
      <w:r>
        <w:t>17, not GN15 37.2 cents/kg + 6% TRQ-US 10 Chocolate and preps w/cocoa, nesoi, o/65% by dry wt of sugar, described in add US note 2 to Ch.17: not subj to Ch17 US note 7, not GN15 37.2 cents/kg + 6% TRQ-US 10 Chocolate and preps w/cocoa, nesoi, o/10% by dry wt of sugar, described in add US note 3 to Ch.17:</w:t>
      </w:r>
    </w:p>
    <w:p>
      <w:pPr>
        <w:pStyle w:val="Normal"/>
      </w:pPr>
      <w:r>
        <w:t>not subj to Ch17 US note 8, not GN15 37.2 cents/kg + 6% TRQ-US 10 Preps for infant use, infant formula containing Oligossaccharides and &gt; 10% milk solid by weight, nesoi $1.035/kg + 14.9% TRQ-US 8 Preps for infant use, containing &gt;10% weight of milk solids, dairy products described in additional note 1 to chapter 4, nesoi $1.035/kg + 14.9% TRQ-US 8 Preps for infant use, nesoi, formula containing Oligosaccharides, nesoi $1.035/kg + 14.9% TRQ-US 8 Preps for infant use, dairy products described in additional US note 1 to chapter 4 $1.035/kg + 14.9% TRQ-US 8 Preps for young children, dairy preps containing &gt; 10% by weight of milk solids, nesoi $1.035/kg +13.6% TRQ-US 8 Preps for young children, nesoi $1.035/kg + 13.6% TRQ-US 8 Preps for young children, nesoi, containing &gt;10% by dry weight of sugar described in additional US note 3 to Chapter 17: provisional 23.7¢/kg + 8.5% TRQ-US 10 Mixes for bakers wares (dairy prod. of Ch4 US note 1), o/25% by wt butterfat, not retail, not subj. to add.</w:t>
      </w:r>
    </w:p>
    <w:p>
      <w:pPr>
        <w:pStyle w:val="Normal"/>
      </w:pPr>
      <w:r>
        <w:t>US nte 10 to Ch.4, not GN15 42.3 cents/kg + 8.5% TRQ-US 8 Mixes and doughs for the prep of bakers wares of heading 1905, containing over 25% by weight of butterfat, not put up for retail sale, nesoi 42.3 cents/kg + 8.5% TRQ-US 10 Mixes for bakers wares, o/25% bf, not retail, descr in add US note 1 to Ch. 19: not subj. to add. US nte 3 to Ch.19, not GN15 42.3 cents/kg + 8.5% TRQ-US 10 Mixes for bakers wares (dairy prod. of Ch4 US note 1), n/o 25% bf, not retail, not subj. to add. US nte 10 to Ch.4, not GN15 42.3 cents/kg + 8.5% TRQ-US 8 Mixes for bakers wares, o/65% sugar, n/o 25% bf, not retail, descr in add US note 2 to Ch. 17: not subj. to Ch17 US nte 7, not GN15 42.3 cents/kg + 8.5% TRQ-US 10 Mixes for bakers wares, n/o 25% bf, not retail, descr in add US note 1 to Ch. 19: not subj. to add. US nte 3 to Ch.19, not GN15 42.3 cents/kg + 8.5% TRQ-US 10 Margarine cheese not subject to gen. note 15 or add US note 23 to Ch.</w:t>
      </w:r>
    </w:p>
    <w:p>
      <w:pPr>
        <w:pStyle w:val="Normal"/>
      </w:pPr>
      <w:r>
        <w:t>4 $1.128/kg TRQ-US 4 Malted milk containing &gt;10% by weight of milk solids, nesoi $1.035/kg +13.6% TRQ-US 8 Articles of milk or cream, nesoi, preps containing &gt;10% by weight of milk solids, nesoi $1.035/kg + 13.6% TRQ-US 8 Articles of milk or cream, nesoi, containing &gt;65% by dry weight of sugar described in additional US note 2 to Chapter 17: provisional 23.7¢/kg + 8.5% TRQ-US 10 Articles of milk or cream, nesoi, containing &gt;10% by dry weight of sugar described in additional US note 3 to chapter 17: provisional 23.7¢/kg + 8.5% TRQ-US 10 Peanut butter and paste, nesoi, not subject to gen note 15 or add US note 5 to Ch. 20 131.8% B6 Blanched peanuts, nesoi, not subject to gen note 15 or add US note 2 to Ch. 12 131.8% B6 Peanuts, otherwise prepared or preserved, nesoi, not subject to gen note 15 or add US note 2 to Ch.</w:t>
      </w:r>
    </w:p>
    <w:p>
      <w:pPr>
        <w:pStyle w:val="Normal"/>
      </w:pPr>
      <w:r>
        <w:t>12 131.8% B6 Blend syrup (Ch17 add US note 4) preparation w/basis of extract, essence or concentrate or w/ basis of coffee, over Ch17 add US note 9 quota 30.5 cents/kg + 8.5% TRQ-US 10 Preparation ov 65% sugar (Ch17 add US note 2) w/ basis of extract, essence or concentrate or w/ basis of coffee, ov Ch17 add US note 9 quota 30.5 cents/kg + 8.5% TRQ-US 10 Preparation ov 10% sugar (Ch17 add US note 3) w/ basis of extract, essence or concentrate or w/ basis of coffee, ov Ch17 add US note 8 quota 30.5 cents/kg + 8.5% TRQ-US 10 Blend syrup (Ch17 add US note 4) preparation w/basis of extract/essence/concentrate or w/basis of tea or mate, over Ch17 add US note 9 quota 30.5 cents/kg + 8.5% TRQ-US 10 Preparation ov 65% sugar (Ch17 add US note 2) w/basis of extract/essence/concentrate or w/basis of tea or mate, ov Ch17 add US note 9 quota 30.5 cents/kg + 8.5% TRQ-US 10 Preparation ov 10% sugar (Ch17 add</w:t>
      </w:r>
    </w:p>
    <w:p>
      <w:pPr>
        <w:pStyle w:val="Normal"/>
      </w:pPr>
      <w:r>
        <w:t>US note 3) w/basis of extract/essence/concentrate or w/basis of tea or mate, ov Ch17 add US note 8 quota 30.5 cents/kg + 8.5% TRQ-US 10 Mixed condiments and mixed seasonings (described in add US note 3 to Ch.</w:t>
      </w:r>
    </w:p>
    <w:p>
      <w:pPr>
        <w:pStyle w:val="Normal"/>
      </w:pPr>
      <w:r>
        <w:t>21), not subject to gen note 15 or add. US note 8(a) to Ch.17 30.5 cents/kg + 6.4% TRQ-US 10 Ice cream, whether or not containing cocoa, not subject to gen note 15 or add. US note 5 to Ch.21 50.2 cents/kg + 17% TRQ-US 1 Edible ice except ice cream, dairy products described in add’l U.S. note 1 to chap.</w:t>
      </w:r>
    </w:p>
    <w:p>
      <w:pPr>
        <w:pStyle w:val="Normal"/>
      </w:pPr>
      <w:r>
        <w:t>4, nesoi 50.2 cents/kg + 17% TRQ-US 8 Food preps, nesoi, n/o 5.5% b’fat, mixed w/other ingredi., if o/16% milk solids by wt, capable of being further proc, bulk, nesoi, not GN15 86.2 cents/kg TRQ-US 8 Butter substitutes o/10% by wt of milk solids, o/45% butterfat, not subject to gen note 15 or add US note 14 to Ch.4 $1.996/kg TRQ-US 3 Butter substitutes n/o 10% by wt of milk solids, o/45% butterfat, not subject to gen note 15 or add US note 14 to Ch.4 $1.996/kg TRQ-US 3 Syrups from cane/beet sugar, neosi, w/added coloring but not added flavoring, not subject to gen note 15 or add US note 5 to Ch. 17 35.74 cents/kg TRQ-US 10 Food preps, nesoi, o/10% by wt of milk solids, dairy prods, descr. in add US note 1 to Ch.4: not subject to Ch4 US note 10, not GN15 70.4 cents/kg + 8.5% TRQ-US 8 Blended syrups, neosi, o/10% milk solids, descr. in add US note 4 to Ch 17: not subject to add US note 9 to Ch.</w:t>
      </w:r>
    </w:p>
    <w:p>
      <w:pPr>
        <w:pStyle w:val="Normal"/>
      </w:pPr>
      <w:r>
        <w:t>17, not GN15 70.4 cents/kg + 8.5% TRQ-US 10 Food preps, nesoi, o/10% milk solids, o/65% sugar, descr. in add US note 2 to Ch.17, not subject to add US note 7 to Ch. 17, not GN15 70.4 cents/kg + 8.5% TRQ-US 10 Food preps, nesoi, o/10% milk solids, o/10% sugar, descr. in add US note 3 to Ch.17, not subject to add US note 8 to Ch. 17, not GN15 70.4 cents/kg + 8.5% TRQ-US 10 Food preps, nesoi, n/o 10% by wt of milk solids, dairy prods, descr. in add US note 1 to Ch.4: n/subject to add US note 10 to Ch.</w:t>
      </w:r>
    </w:p>
    <w:p>
      <w:pPr>
        <w:pStyle w:val="Normal"/>
      </w:pPr>
      <w:r>
        <w:t>4, n/GN15 28.8 cents/kg + 8.5% TRQ-US 8 Blended syrups, neosi, n/o/10% milk solids, descr. in add US note 4 to Ch 17: not subject to add US note 9 to Ch. 17, not GN15 28.8 cents/kg + 8.5% TRQ-US 10 Food preps, nesoi, n/o 10% milk solids, o/65% sugar, descr. in add US note 2 to Ch.17, not subject to add US note 7 to Ch. 17, not GN15 28.8 cents/kg + 8.5% TRQ-US 10 Food preps, nesoi, n/o 10% milk solids, o/10% sugar, descr. in add US note 3 to Ch.17, not subject to add US note 8 to Ch. 17, not GN15 28.8 cents/kg + 8.5% TRQ-US 10 Milk-based drinks, nonalcoholic, nesoi 23.5¢/liter + 14.9% TRQ-US 1 Animal feeds w/milk or milk derivatives, o/10% by wt of milk solids, not subject to gen note 15 or add note 2 to Ch. 23 80.4 cents/kg + 6.4% TRQ-US 5 Animal feeds w/milk or milk derivatives, n/o 10% by wt of milk solids, not subject to gen note 15 or add note 2 to Ch.</w:t>
      </w:r>
    </w:p>
    <w:p>
      <w:pPr>
        <w:pStyle w:val="Normal"/>
      </w:pPr>
      <w:r>
        <w:t>23 80.4 cents/kg + 6.4% TRQ-US 5 Cotton, not carded or combed, having a staple length under 28.575 mm (1-1/8 inches), n/harsh or rough, nesoi 31.4 cents/kg B6 Cotton, not carded or combed, harsh or rough, staple length of 29.36875 mm or more but under 34.925 mm &amp; white in color, nesoi 31.4 cents/kg B6 Cotton, not carded or combed, staple length of 28.575 mm or more but under 34.925 mm, nesoi 31.4 cents/kg B6 Cotton, not carded or combed, having a staple length of 34.925 mm or more, nesoi 31.4 cents/kg B6 Cotton card strips made from cotton waste having staple length under 30.1625 mm &amp; lap, sliver &amp; roving waste, nesoi 7.8 cents/kg B6 Cotton fibers, carded or combed, of cotton fiber processed, but not spun, nesoi 31.4 cents/kg B6</w:t>
      </w:r>
    </w:p>
    <w:p>
      <w:pPr>
        <w:pStyle w:val="ModHeading"/>
      </w:pPr>
      <w:bookmarkStart w:id="900065" w:name="_Toc300000064"/>
      <w:r>
        <w:t>CHAPTER 2: CUSMA 2.0 MODERNIZATION PROVISIONS</w:t>
      </w:r>
      <w:bookmarkEnd w:id="900065"/>
    </w:p>
    <w:p>
      <w:pPr>
        <w:pStyle w:val="Normal"/>
      </w:pPr>
      <w:r>
        <w:rPr>
          <w:i/>
        </w:rPr>
        <w:t>The provisions of this Part amend Chapter 2 (National Treatment and Market Access for Goods). The tariff commitments of Annex 2-B are unaffected except as expressly stated.</w:t>
      </w:r>
    </w:p>
    <w:p>
      <w:pPr>
        <w:pStyle w:val="Heading2"/>
      </w:pPr>
      <w:bookmarkStart w:id="900066" w:name="_Toc300000065"/>
      <w:r>
        <w:t>Article 2.A: Tariff Treatment of Originating Goods (Replacement of Interpretive Framework for Article 2.4)</w:t>
      </w:r>
      <w:bookmarkEnd w:id="900066"/>
    </w:p>
    <w:p>
      <w:pPr>
        <w:pStyle w:val="Normal"/>
      </w:pPr>
      <w:r>
        <w:t>1. Article 2.4 (Elimination of Customs Duties) is supplemented as follows:</w:t>
      </w:r>
    </w:p>
    <w:p>
      <w:pPr>
        <w:pStyle w:val="Normal"/>
      </w:pPr>
      <w:r>
        <w:t>“</w:t>
      </w:r>
      <w:r>
        <w:t>For greater certainty, the prohibition in this Article on increasing an existing customs duty or adopting a new customs duty on an originating good applies to any covered border measure, as defined in Article 35.2, whatever its domestic-law designation, and subject only to the exceptions expressly provided in this Agreement, including Article 35.3.9. In determining whether a measure is a covered border measure, its design, operation, incidence, conditions of application, and economic effect shall control over its domestic-law label or form. Once an affected Party identifies a measure that on its face falls within Article 35.2, the Party maintaining the measure bears the burden of identifying the provision of this Agreement that authorizes or excepts that measure and of producing the information reasonably necessary to substantiate that reliance. A disputed classification under this paragraph shall proceed through the applicable Chapter 35 notification, verification, and cure procedures and does not, by itself, authorize unilateral tariff escalation outside those procedures.”</w:t>
      </w:r>
    </w:p>
    <w:p>
      <w:pPr>
        <w:pStyle w:val="Normal"/>
      </w:pPr>
      <w:r>
        <w:t>2. A Party’s Schedule to Annex 2-B may not be modified so as to increase a duty on an originating good except by agreement of the Parties under Article 34.3 (Amendments).</w:t>
      </w:r>
    </w:p>
    <w:p>
      <w:pPr>
        <w:pStyle w:val="Heading2"/>
      </w:pPr>
      <w:bookmarkStart w:id="900067" w:name="_Toc300000066"/>
      <w:r>
        <w:t>Article 2.B: Prohibition of Equivalent Charges</w:t>
      </w:r>
      <w:bookmarkEnd w:id="900067"/>
    </w:p>
    <w:p>
      <w:pPr>
        <w:pStyle w:val="Normal"/>
      </w:pPr>
      <w:r>
        <w:t>1. No Party shall adopt or maintain, in respect of an originating good of another Party, a fee, surcharge, levy, border adjustment, security charge, or other charge of any kind applied by reason of importation or exportation, except: (a) a charge permitted by Article 2.10 as consistent with Article III:2 of the GATT 1994; (b) a fee or charge commensurate with the cost of services rendered, consistent with Article VIII of the GATT 1994; and (c) a measure expressly authorized by this Agreement.</w:t>
      </w:r>
    </w:p>
    <w:p>
      <w:pPr>
        <w:pStyle w:val="Normal"/>
      </w:pPr>
      <w:r>
        <w:t>2. Any charge described in paragraph 1 that exceeds the cost of services rendered is treated for all purposes of this Agreement as a customs duty.</w:t>
      </w:r>
    </w:p>
    <w:p>
      <w:pPr>
        <w:pStyle w:val="Normal"/>
      </w:pPr>
      <w:r>
        <w:t>3. A Party shall not avoid paragraphs 1 or 2 by renaming, bundling, routing through an intermediary, or indirectly collecting a charge whose design or economic incidence is materially based on the importation or exportation of an originating good.</w:t>
      </w:r>
    </w:p>
    <w:p>
      <w:pPr>
        <w:pStyle w:val="Normal"/>
      </w:pPr>
      <w:r>
        <w:t>4. A Party relying on paragraph 1(b) shall maintain and, on request through the applicable consultation or verification procedure, provide a reasoned explanation of the methodology used to relate the amount of the fee or charge to the approximate cost of the services rendered, subject to protection of confidential information.</w:t>
      </w:r>
    </w:p>
    <w:p>
      <w:pPr>
        <w:pStyle w:val="Heading2"/>
      </w:pPr>
      <w:bookmarkStart w:id="900068" w:name="_Toc300000067"/>
      <w:r>
        <w:t>Article 2.C: Low-Value Shipments</w:t>
      </w:r>
      <w:bookmarkEnd w:id="900068"/>
    </w:p>
    <w:p>
      <w:pPr>
        <w:pStyle w:val="Normal"/>
      </w:pPr>
      <w:r>
        <w:t>1. Each Party shall maintain a de minimis regime providing duty-free and simplified entry for low-value shipments, and shall not set its de minimis threshold below the level in effect for that Party on January 1, 2020.</w:t>
      </w:r>
    </w:p>
    <w:p>
      <w:pPr>
        <w:pStyle w:val="Normal"/>
      </w:pPr>
      <w:r>
        <w:t>2. Duty-free and simplified treatment under paragraph 1 applies to shipments of originating goods without regard to the existence of any dispute between the Parties. Withdrawal, suspension, or conditioning of de minimis treatment for originating shipments is a covered border measure within Article 35.2(e).</w:t>
      </w:r>
    </w:p>
    <w:p>
      <w:pPr>
        <w:pStyle w:val="Normal"/>
      </w:pPr>
      <w:r>
        <w:t>3. The Parties shall establish interoperable electronic advance-data and declaration systems for low-value shipments, proportionate fraud and safety controls, and simplified procedures for low-risk small and medium-sized enterprises, in accordance with Chapter 7 as amended.</w:t>
      </w:r>
    </w:p>
    <w:p>
      <w:pPr>
        <w:pStyle w:val="Normal"/>
      </w:pPr>
      <w:r>
        <w:t>4. Customs treatment of low-value shipments shall be uniform across a Party’s ports of entry.</w:t>
      </w:r>
    </w:p>
    <w:p>
      <w:pPr>
        <w:pStyle w:val="Normal"/>
      </w:pPr>
      <w:r>
        <w:t>5. Dispute Standstill. During the pendency of consultations, verification, panel proceedings, appeal or compliance review concerning a low-value shipment measure, the treatment in force immediately before the dispute shall remain available to originating shipments, except to the extent an identified shipment or entity is supported by particularized evidence of fraud, forced labor, prohibited goods, material health or safety risk, or another independently lawful ground. A Party shall not suspend or narrow low-value treatment generally as leverage in the dispute.</w:t>
      </w:r>
    </w:p>
    <w:p>
      <w:pPr>
        <w:pStyle w:val="Heading2"/>
      </w:pPr>
      <w:bookmarkStart w:id="900069" w:name="_Toc300000068"/>
      <w:r>
        <w:t>Article 2.D: Non-Discriminatory Administration of Tariff-Rate Quotas</w:t>
      </w:r>
      <w:bookmarkEnd w:id="900069"/>
    </w:p>
    <w:p>
      <w:pPr>
        <w:pStyle w:val="Normal"/>
      </w:pPr>
      <w:r>
        <w:t>1. Each Party shall administer its tariff-rate quotas under this Agreement in a manner that is transparent, predictable, and non-discriminatory, and shall not administer a TRQ so as to deny eligible importers or users access to allocations by reason of their channel of trade, where that channel is eligible under the Party’s other trade agreements for substantially like products.</w:t>
      </w:r>
    </w:p>
    <w:p>
      <w:pPr>
        <w:pStyle w:val="Normal"/>
      </w:pPr>
      <w:r>
        <w:t>2. Without limiting paragraph 1, where a Party administers a tariff-rate quota for cheese or other dairy products under this Agreement and a corresponding quota under another trade agreement, the Party shall ensure that the eligibility of allocation applicants under this Agreement’s quota is not less favorable than the eligibility of like applicants under the other agreement’s quota, it being understood that allocation among eligible applicants remains a matter of the administering Party’s published procedures.</w:t>
      </w:r>
    </w:p>
    <w:p>
      <w:pPr>
        <w:pStyle w:val="Normal"/>
      </w:pPr>
      <w:r>
        <w:t>3. Each Party shall publish its TRQ allocation methodology, utilization rates, and applicable deadlines, and shall notify material changes 60 days before they take effect. Utilization data shall be reported annually to the Committee on Agricultural Trade.</w:t>
      </w:r>
    </w:p>
    <w:p>
      <w:pPr>
        <w:pStyle w:val="Normal"/>
      </w:pPr>
      <w:r>
        <w:t>4. This Article is without prejudice to the scope and levels of market-access commitments set out in the Parties’ Schedules, and does not require a Party to expand any quota volume. For greater certainty, nothing in this Agreement requires a Party to alter the fundamental structure of its supply-management system; the disciplines of this Article address the administration of the access that this Agreement provides.</w:t>
      </w:r>
    </w:p>
    <w:p>
      <w:pPr>
        <w:pStyle w:val="Heading2"/>
      </w:pPr>
      <w:bookmarkStart w:id="900070" w:name="_Toc300000069"/>
      <w:r>
        <w:t>Article 2.E: Alcoholic Beverages, Non-Discriminatory Treatment</w:t>
      </w:r>
      <w:bookmarkEnd w:id="900070"/>
    </w:p>
    <w:p>
      <w:pPr>
        <w:pStyle w:val="Normal"/>
      </w:pPr>
      <w:r>
        <w:t>1. Measures of a Party, including measures of a sub-federal level of government within the scope of Article 2.3 (National Treatment) and the Annexes on alcoholic beverages, shall not discriminate against wine, beer, or spirits of another Party, in listing, distribution, mark-up, or retail access, by comparison with like products of that Party or of any non-Party.</w:t>
      </w:r>
    </w:p>
    <w:p>
      <w:pPr>
        <w:pStyle w:val="Normal"/>
      </w:pPr>
      <w:r>
        <w:t>2. Where a measure of a province, state, or other sub-federal entity restricts the sale of another Party’s alcoholic beverages while permitting the sale of like domestic or third-country products, the Party shall, consistent with Article 1.6 and its constitutional allocation of authority, use the measures lawfully available to it to seek observance of paragraph 1. At a minimum, the Party shall notify the relevant sub-federal authority of the concern, offer or undertake consultation, make a written request for correction where the concern is not resolved, report the response to the affected Party, and use available domestic coordinating mechanisms appropriate to the matter. This paragraph imposes an obligation of diligent use of constitutionally available measures and does not require a Party to exercise authority it does not possess or to guarantee the conduct of a sub-federal government.</w:t>
      </w:r>
    </w:p>
    <w:p>
      <w:pPr>
        <w:pStyle w:val="Normal"/>
      </w:pPr>
      <w:r>
        <w:t>3. Retaliatory removal of another Party’s alcoholic beverages from sale, in response to a matter arising under this Agreement, is a measure subject to this Agreement, including the disciplines of Chapter 35 where the removal has the economic effect of a covered border measure on originating goods.</w:t>
      </w:r>
    </w:p>
    <w:p>
      <w:pPr>
        <w:pStyle w:val="Heading2"/>
      </w:pPr>
      <w:bookmarkStart w:id="900071" w:name="_Toc300000070"/>
      <w:r>
        <w:t>Article 2.F: Goods Re-Entered After Repair or Alteration; Temporary Admission</w:t>
      </w:r>
      <w:bookmarkEnd w:id="900071"/>
    </w:p>
    <w:p>
      <w:pPr>
        <w:pStyle w:val="Normal"/>
      </w:pPr>
      <w:r>
        <w:t>1. The treatment of goods re-entered after repair or alteration, and of temporarily admitted goods, is governed by Articles 2.5 and 2.6 as in force. No Party shall apply a covered border measure to such goods by reason of extraordinary authority where the underlying goods are originating and the repair, alteration, or temporary admission conditions of this Agreement are satisfied. A Party shall not circumvent this rule by characterizing a measure as a fee, surcharge, security charge, processing charge, or other equivalent exaction where the measure is imposed by reason of the qualifying good crossing the border. Nothing in this Article prevents a Party from requiring the ordinary documentation reasonably necessary to establish origin or satisfaction of the applicable repair, alteration, or temporary-admission conditions, or from applying independently lawful measures addressing fraud, prohibited goods, material health or safety risks, or other grounds expressly permitted by this Agreement.</w:t>
      </w:r>
    </w:p>
    <w:p>
      <w:pPr>
        <w:pStyle w:val="Heading2"/>
      </w:pPr>
      <w:bookmarkStart w:id="900072" w:name="_Toc300000071"/>
      <w:r>
        <w:t>Article 2.G: Import and Export Restrictions</w:t>
      </w:r>
      <w:bookmarkEnd w:id="900072"/>
    </w:p>
    <w:p>
      <w:pPr>
        <w:pStyle w:val="Normal"/>
      </w:pPr>
      <w:r>
        <w:t>1. Article 2.11 (Import and Export Restrictions) is supplemented as follows:</w:t>
      </w:r>
    </w:p>
    <w:p>
      <w:pPr>
        <w:pStyle w:val="Normal"/>
      </w:pPr>
      <w:r>
        <w:t>“</w:t>
      </w:r>
      <w:r>
        <w:t>For greater certainty, a licensing requirement, registration condition, or similar administrative measure that operates to restrict imports or exports of originating goods to a degree equivalent to a quantitative restriction is a restriction within this Article, and is a covered border measure within Article 35.2 where it is applied by reason of the goods crossing the border. Indicators of equivalent restrictive effect may include denial of otherwise lawful entry or export, a numerical or volume limitation, systematic delay that materially prevents trade, discriminatory eligibility conditions, or administrative conditions that in practice materially prevent otherwise lawful trade. A Party shall not avoid this Article by dividing, renaming, sequencing, or administering measures whose combined operation produces such an effect. Nothing in this paragraph prevents non-discriminatory licensing, registration, inspection, or similar requirements genuinely directed to health, safety, customs administration, prohibited goods, or another lawful regulatory purpose, provided that the measure is not applied as a disguised quantitative restriction.”</w:t>
      </w:r>
    </w:p>
    <w:p>
      <w:pPr>
        <w:pStyle w:val="Heading2"/>
      </w:pPr>
      <w:bookmarkStart w:id="900073" w:name="_Toc300000072"/>
      <w:r>
        <w:t>Article 2.H: Consultation on Non-Party Preferential Treatment</w:t>
      </w:r>
      <w:bookmarkEnd w:id="900073"/>
    </w:p>
    <w:p>
      <w:pPr>
        <w:pStyle w:val="Normal"/>
      </w:pPr>
      <w:r>
        <w:t>1. Where a Party extends to a non-Party preferential sectoral treatment materially more favorable than the treatment applicable to like originating goods of another Party, including under an arrangement addressing an extraordinary measure, the affected Party may request consultations, which shall be held within 30 days.</w:t>
      </w:r>
    </w:p>
    <w:p>
      <w:pPr>
        <w:pStyle w:val="Normal"/>
      </w:pPr>
      <w:r>
        <w:t>2. The Party extending the treatment shall in good faith consider extending functionally equivalent treatment to the affected Party’s originating goods, taking into account the affected Party’s participation in this Agreement’s anti-circumvention, traceability, and economic-security disciplines. In assessing whether treatment is materially more favorable or functionally equivalent, the Parties shall consider, as applicable, tariff incidence, quota or quantitative access, eligibility conditions, duration, sectoral and product scope, compliance conditions, and other conditions materially affecting usable market access. Within 30 days after the consultations conclude, the Party extending the treatment shall provide the affected Party a written response stating whether it will extend functionally equivalent treatment and, if it declines, the principal reasons for that decision. Nothing in this Article guarantees extension of a non-Party preference or requires a Party to disregard an applicable exception or other obligation under this Agreement.</w:t>
      </w:r>
    </w:p>
    <w:p>
      <w:pPr>
        <w:pStyle w:val="Normal"/>
      </w:pPr>
      <w:r>
        <w:t>3. This Article does not affect preferences extended under a free trade agreement or customs union consistent with Article XXIV of the GATT 1994, or preferences required by the WTO Agreement.</w:t>
      </w:r>
    </w:p>
    <w:p>
      <w:pPr>
        <w:pStyle w:val="Heading2"/>
      </w:pPr>
      <w:bookmarkStart w:id="900074" w:name="_Toc300000073"/>
      <w:r>
        <w:t>Article 2.I: Committee on Trade in Goods, Additional Functions</w:t>
      </w:r>
      <w:bookmarkEnd w:id="900074"/>
    </w:p>
    <w:p>
      <w:pPr>
        <w:pStyle w:val="Normal"/>
      </w:pPr>
      <w:r>
        <w:t>1. The Committee on Trade in Goods shall: (a) monitor the operation of Articles 2.A through 2.H; (b) receive reports from the Secretariat's Treaty Integrity function concerning covered border measures affecting goods; and (c) report annually to the Commission on the state of tariff-free North American trade in goods. The annual report shall identify material notifications concerning covered border measures, unresolved implementation issues, material developments involving tariffs or equivalent charges on originating goods, and recommendations, where appropriate, for improving administration or resolving recurring implementation problems. The Committee shall rely on information already produced under this Agreement and by competent national authorities to the greatest extent practicable and shall not create duplicative reporting requirements unless the Commission expressly authorizes them. The Committee may recommend action to the Commission but may not amend a Party’s tariff commitments, alter a Schedule to Annex 2-B, or create a new binding obligation except through the amendment procedures of this Agreement.</w:t>
      </w:r>
    </w:p>
    <w:p>
      <w:pPr>
        <w:pStyle w:val="Heading1"/>
      </w:pPr>
      <w:bookmarkStart w:id="900075" w:name="_Toc300000074"/>
      <w:r>
        <w:t>CHAPTER 3 AGRICULTURE</w:t>
      </w:r>
      <w:r>
        <w:br/>
      </w:r>
      <w:r>
        <w:t>Section A: General Provisions</w:t>
      </w:r>
      <w:bookmarkEnd w:id="900075"/>
    </w:p>
    <w:p>
      <w:pPr>
        <w:pStyle w:val="Heading2"/>
      </w:pPr>
      <w:bookmarkStart w:id="900076" w:name="_Toc300000075"/>
      <w:r>
        <w:t xml:space="preserve">Article 3.1: Definitions</w:t>
      </w:r>
      <w:bookmarkEnd w:id="900076"/>
    </w:p>
    <w:p>
      <w:pPr>
        <w:pStyle w:val="Normal"/>
      </w:pPr>
      <w:r>
        <w:t xml:space="preserve">For the purposes of this Chapter: agricultural good means agricultural products referred to in Article 2 of the Agreement on Agriculture; export subsidy has the same meaning as assigned to “export subsidies” in Article 1(e) of the Agreement on Agriculture; and Agreement on Agriculture means the Agreement on Agriculture, set out in Annex 1A to the WTO Agreement.</w:t>
      </w:r>
    </w:p>
    <w:p>
      <w:pPr>
        <w:pStyle w:val="Heading2"/>
      </w:pPr>
      <w:bookmarkStart w:id="900077" w:name="_Toc300000076"/>
      <w:r>
        <w:t xml:space="preserve">Article 3.2: Scope</w:t>
      </w:r>
      <w:bookmarkEnd w:id="900077"/>
    </w:p>
    <w:p>
      <w:pPr>
        <w:pStyle w:val="Normal"/>
      </w:pPr>
      <w:r>
        <w:t xml:space="preserve">1. This Chapter applies to measures adopted or maintained by a Party relating to trade in agricultural goods. 2. In the event of any inconsistency between this Chapter and another provision of this Agreement, this Chapter shall prevail to the extent of the inconsistency.</w:t>
      </w:r>
    </w:p>
    <w:p>
      <w:pPr>
        <w:pStyle w:val="Heading2"/>
      </w:pPr>
      <w:bookmarkStart w:id="900078" w:name="_Toc300000077"/>
      <w:r>
        <w:t xml:space="preserve">Article 3.3: International Cooperation</w:t>
      </w:r>
      <w:bookmarkEnd w:id="900078"/>
    </w:p>
    <w:p>
      <w:pPr>
        <w:pStyle w:val="Normal"/>
      </w:pPr>
      <w:r>
        <w:t xml:space="preserve">The Parties shall work together at the WTO to promote increased transparency and to improve and further develop multilateral disciplines on market access, domestic support, and export competition with the objective of substantial progressive reductions in support and protection resulting in fundamental reform.</w:t>
      </w:r>
    </w:p>
    <w:p>
      <w:pPr>
        <w:pStyle w:val="Heading2"/>
      </w:pPr>
      <w:bookmarkStart w:id="900079" w:name="_Toc300000078"/>
      <w:r>
        <w:t xml:space="preserve">Article 3.4: Export Competition</w:t>
      </w:r>
      <w:bookmarkEnd w:id="900079"/>
    </w:p>
    <w:p>
      <w:pPr>
        <w:pStyle w:val="Normal"/>
      </w:pPr>
      <w:r>
        <w:t xml:space="preserve">1. No Party shall adopt or maintain an export subsidy on any agricultural good destined for the territory of another Party. 2. If a Party considers that export financing support granted by another Party results or may result in a distorting effect on trade between the Parties, or considers that an export subsidy is being granted by another Party, with respect to an agricultural good, it may request a discussion on the matter with the other Party. The responding Party shall agree to discuss the matter with the requesting Party as soon as practicable.</w:t>
      </w:r>
    </w:p>
    <w:p>
      <w:pPr>
        <w:pStyle w:val="Heading2"/>
      </w:pPr>
      <w:bookmarkStart w:id="900080" w:name="_Toc300000079"/>
      <w:r>
        <w:t xml:space="preserve">Article 3.5: Export Restrictions – Food Security</w:t>
      </w:r>
      <w:bookmarkEnd w:id="900080"/>
    </w:p>
    <w:p>
      <w:pPr>
        <w:pStyle w:val="Normal"/>
      </w:pPr>
      <w:r>
        <w:t xml:space="preserve">1. For the purpose of this Article, “foodstuff” includes fish and fish products intended for human consumption. 2. The Parties recognize that under Article XI:2(a) of the GATT 1994 a Party may temporarily apply an export prohibition or restriction that is otherwise prohibited under Article XI:1 of the GATT 1994 on a foodstuff to prevent or relieve a critical shortage, subject to meeting the conditions set out in Article 12.1 of the Agreement on Agriculture. 3. In addition to the conditions set out in Article 12.1 of the Agreement on Agriculture under which a Party may apply an export prohibition or restriction, other than a duty, tax, or other charge on a foodstuff, a Party that:</w:t>
      </w:r>
    </w:p>
    <w:p>
      <w:pPr>
        <w:pStyle w:val="Normal"/>
      </w:pPr>
      <w:r>
        <w:t>(a) imposes an export prohibition or restriction on the exportation or sale for export of a foodstuff to another Party shall notify the measure to the other Parties at least 30 days prior to the date the measure takes effect, except when the critical shortage is caused by an event constituting force majeure, in which case the Party shall notify prior to the date the measure takes effect; or (b) maintains an export prohibition or restriction as of the date of entry into force of this Agreement shall notify the measure to the other Parties within 30 days of the date of entry into force of this Agreement. 4.</w:t>
      </w:r>
    </w:p>
    <w:p>
      <w:pPr>
        <w:pStyle w:val="Normal"/>
      </w:pPr>
      <w:r>
        <w:t>A notification made pursuant to paragraph 3 must include: the reasons for adopting or maintaining the export prohibition or restriction, an explanation of how the measure is consistent with Article XI:2(a) of the GATT 1994, and an identification of alternative measures, if any, that the Party considered before imposing the export prohibition or restriction. 5. A Party is not required to notify an export prohibition or restriction pursuant to paragraphs 3 or 8 if the measure prohibits or restricts the exportation or sale for export only of a foodstuff that the Party has been a net importer during each of the three calendar years preceding the imposition of the measure, excluding the year in which the Party imposes the measure. 6.</w:t>
      </w:r>
    </w:p>
    <w:p>
      <w:pPr>
        <w:pStyle w:val="Normal"/>
      </w:pPr>
      <w:r>
        <w:t>If a Party that adopts or maintains a measure referred to in paragraph 3 has been a net importer of each foodstuff subject to that measure during each of the three calendar years preceding imposition of the measure, excluding the year in which the Party imposes the measure, and that Party does not provide the other Parties with a notification pursuant to paragraph 3, the Party shall, within a reasonable period of time, provide to the other Parties trade data demonstrating that it was a net importer of the foodstuff during these three calendar years. 7.</w:t>
      </w:r>
    </w:p>
    <w:p>
      <w:pPr>
        <w:pStyle w:val="Normal"/>
      </w:pPr>
      <w:r>
        <w:t>A Party that is required to notify a measure under paragraph 3 shall: (a) on the request of another Party having a substantial interest as an importer of the foodstuff subject to the measure, consult with that Party with respect to any matter relating to the measure; (b) on the request of another Party having a substantial interest as an importer of the foodstuff subject to the measure, provide that Party with relevant economic indicators bearing on whether a critical shortage within the meaning of Article XI:2(a) of the GATT 1994 exists or is likely to occur in the absence of the measure, and on how the measure will prevent or relieve the critical shortage; and (c) respond in writing to any question posed by another Party regarding the measure within 14 days of receipt of the question. 8. A Party that considers that another Party should have notified a measure under paragraph 3 may bring the matter to the attention of that other Party.</w:t>
      </w:r>
    </w:p>
    <w:p>
      <w:pPr>
        <w:pStyle w:val="Normal"/>
      </w:pPr>
      <w:r>
        <w:t>If the matter is not satisfactorily resolved promptly thereafter, the Party that considers that the measure should have been notified may itself bring the measure to the attention to the third Party. 9. A Party should ordinarily terminate a measure subject to notification under paragraphs 3 or 8 within six months of the date it is adopted.</w:t>
      </w:r>
    </w:p>
    <w:p>
      <w:pPr>
        <w:pStyle w:val="Normal"/>
      </w:pPr>
      <w:r>
        <w:t>A Party contemplating continuation of a measure beyond six months from the date it adopted the measure shall notify the other Parties no later than five months after the date it adopted the measure and provide the information identified in paragraph 3. Unless the Party has consulted with the other Parties that are net importers of the foodstuff subject to the export prohibition or restriction, the Party shall not continue the measure beyond 12 months from the date the Party adopted the measure. The Party shall immediately discontinue the measure when the critical shortage, or threat thereof, ceases to exist. 10. No Party shall apply a measure that is subject to notification under paragraphs 3 or 8 to a foodstuff purchased for a non-commercial, humanitarian purpose.</w:t>
      </w:r>
    </w:p>
    <w:p>
      <w:pPr>
        <w:pStyle w:val="Heading2"/>
      </w:pPr>
      <w:bookmarkStart w:id="900081" w:name="_Toc300000080"/>
      <w:r>
        <w:t xml:space="preserve">Article 3.6: Domestic Support</w:t>
      </w:r>
      <w:bookmarkEnd w:id="900081"/>
    </w:p>
    <w:p>
      <w:pPr>
        <w:pStyle w:val="Normal"/>
      </w:pPr>
      <w:r>
        <w:t xml:space="preserve">1. The Parties recognize that domestic support measures can be of crucial importance to their agricultural sectors but may also have trade distorting effects and effects on production. If a Party supports its agricultural producers, the Party shall consider domestic support measures that have no, or at most minimal, trade distorting effects or effects on production. 2. If a Party raises concerns that another Party’s domestic support measure has had a negative impact on trade between the Parties, the Parties shall share relevant information regarding the domestic support measure with each other and discuss the matter with a view to seeking to minimize any negative trade impact.</w:t>
      </w:r>
    </w:p>
    <w:p>
      <w:pPr>
        <w:pStyle w:val="Heading2"/>
      </w:pPr>
      <w:bookmarkStart w:id="900082" w:name="_Toc300000081"/>
      <w:r>
        <w:t xml:space="preserve">Article 3.7: Committee on Agricultural Trade</w:t>
      </w:r>
      <w:bookmarkEnd w:id="900082"/>
    </w:p>
    <w:p>
      <w:pPr>
        <w:pStyle w:val="Normal"/>
      </w:pPr>
      <w:r>
        <w:t xml:space="preserve">1. The Parties hereby establish a Committee on Agricultural Trade (“Agriculture Committee”), composed of government representatives of each Party. 2. The Agriculture Committee’s functions shall include: (a) promoting trade in agricultural goods between the Parties under this Agreement; (b) monitoring and promoting cooperation on the implementation and administration of this Chapter; (c) providing a forum for the Parties to consult and endeavor to address issues or trade barriers and improve access to their respective markets, in coordination or jointly with other committees, working groups, or any other subsidiary bodies established under this Agreement; (d) endeavoring to exchange information on trade in agricultural goods between the Parties, including information covered by Article 3.10.1 (Transparency and Consultations) or any other relevant transparency provision in this Chapter; (e) fostering cooperation among the Parties in areas of mutual interest, such as rural development, technology, research and development, and capacity building, and creating joint programs as mutually agreed between the agencies involved in agriculture, among others;</w:t>
      </w:r>
    </w:p>
    <w:p>
      <w:pPr>
        <w:pStyle w:val="Normal"/>
      </w:pPr>
      <w:r>
        <w:t>(f) undertaking any additional work, including that the Commission may assign or another committee may refer; (g) recommending to the Commission any modification of or addition to this Chapter; and (h) reporting annually on its activities to the Commission. 3.</w:t>
      </w:r>
    </w:p>
    <w:p>
      <w:pPr>
        <w:pStyle w:val="Normal"/>
      </w:pPr>
      <w:r>
        <w:t>The Agriculture Committee shall establish its terms of reference at its first meeting and may revise those terms as needed. 4. The Agriculture Committee shall meet within one year of the date of entry into force of this Agreement and once each year thereafter unless the Parties decide otherwise.</w:t>
      </w:r>
    </w:p>
    <w:p>
      <w:pPr>
        <w:pStyle w:val="Heading2"/>
      </w:pPr>
      <w:bookmarkStart w:id="900083" w:name="_Toc300000082"/>
      <w:r>
        <w:t xml:space="preserve">Article 3.8: Consultative Committees on Agriculture</w:t>
      </w:r>
      <w:bookmarkEnd w:id="900083"/>
    </w:p>
    <w:p>
      <w:pPr>
        <w:pStyle w:val="Normal"/>
      </w:pPr>
      <w:r>
        <w:t xml:space="preserve">1. The activities of the Consultative Committees on Agriculture (CCAs) established by: (a) the Canada-U.S. Consultative Committee on Agriculture Terms of Reference in accordance with the Record of Understanding Between the Governments of the United States of America and Canada Regarding Areas of Agricultural Trade (ROU) on December 4, 1998; (b) the Memorandum of Understanding Between the U.S. Department of Agriculture and the Office of the U.S. Trade Representative, and the Secretariat of Agriculture, Livestock, Rural Development, Fish and Food and the Secretary of Economy of the United Mexican States Regarding Areas of Food and Agriculture Trade (US-MX MOU) on October 1, 2001 and re-established on March 6, 2007; and (c) the Memorandum of Understanding between the Secretariat of Agriculture, Livestock, Rural Development, Fisheries and Food of the United Mexican States and Agriculture and Agri-Food Canada for the establishment of the Mexico- Canada Agriculture Consultative Committee (MX-CA MOU) on February 1, 2002 and re-established in March 2006, shall as of the date of entry into force of this Agreement be organized under this Agreement.</w:t>
      </w:r>
    </w:p>
    <w:p>
      <w:pPr>
        <w:pStyle w:val="Normal"/>
      </w:pPr>
      <w:r>
        <w:t>2. The CCAs shall be governed by and operate according to their respective ROU or MOU, and all implementing or administrative documents, as may be amended. 3.</w:t>
      </w:r>
    </w:p>
    <w:p>
      <w:pPr>
        <w:pStyle w:val="Normal"/>
      </w:pPr>
      <w:r>
        <w:t>The CCAs may inform the Agriculture Committee, the Committee on Sanitary and Phytosanitary Measures, or the Committee on Technical Barriers to Trade of their activities.</w:t>
      </w:r>
    </w:p>
    <w:p>
      <w:pPr>
        <w:pStyle w:val="Heading2"/>
      </w:pPr>
      <w:bookmarkStart w:id="900084" w:name="_Toc300000083"/>
      <w:r>
        <w:t xml:space="preserve">Article 3.9: Agricultural Special Safeguards</w:t>
      </w:r>
      <w:bookmarkEnd w:id="900084"/>
    </w:p>
    <w:p>
      <w:pPr>
        <w:pStyle w:val="Normal"/>
      </w:pPr>
      <w:r>
        <w:t xml:space="preserve">Originating agricultural goods traded under preferential tariff treatment shall not be subject to any duties that the importing Party applies pursuant to a special safeguard it takes pursuant to the Agreement on Agriculture.1 1 For greater certainty, an agricultural good for which most-favored-nation tariff treatment applies may be subject to additional duties applied by a Party pursuant to a special safeguard taken under the Agreement on Agriculture.</w:t>
      </w:r>
    </w:p>
    <w:p>
      <w:pPr>
        <w:pStyle w:val="Heading2"/>
      </w:pPr>
      <w:bookmarkStart w:id="900085" w:name="_Toc300000084"/>
      <w:r>
        <w:t xml:space="preserve">Article 3.10: Transparency and Consultations</w:t>
      </w:r>
      <w:bookmarkEnd w:id="900085"/>
    </w:p>
    <w:p>
      <w:pPr>
        <w:pStyle w:val="Normal"/>
      </w:pPr>
      <w:r>
        <w:t xml:space="preserve">1. Each Party shall endeavor, as appropriate, to share with another Party, on request, available information regarding a measure relating to trade in agricultural goods taken by a regional level of government in its territory that may have a significant effect on trade between those Parties. 2. At the request of another Party, a Party shall meet to discuss, and if appropriate, resolve, matters arising from grade, quality, technical specifications, and other standards as they affect trade between the Parties.</w:t>
      </w:r>
    </w:p>
    <w:p>
      <w:pPr>
        <w:pStyle w:val="Heading2"/>
      </w:pPr>
      <w:bookmarkStart w:id="900086" w:name="_Toc300000085"/>
      <w:r>
        <w:t xml:space="preserve">Article 3.11: Annexes</w:t>
      </w:r>
      <w:bookmarkEnd w:id="900086"/>
    </w:p>
    <w:p>
      <w:pPr>
        <w:pStyle w:val="Normal"/>
      </w:pPr>
      <w:r>
        <w:t xml:space="preserve">1. Annex 3-A applies to trade in agricultural goods between Canada and the United States. 2. Annex 3-B applies to trade in agricultural goods between Mexico and the United States. 3. Annex 3-C applies to trade in distilled spirits, wine, beer, and other alcohol beverages. 4. Annex 3-D applies to proprietary formulas for prepackaged foods and food additives. Section B: Agricultural Biotechnology</w:t>
      </w:r>
    </w:p>
    <w:p>
      <w:pPr>
        <w:pStyle w:val="Heading2"/>
      </w:pPr>
      <w:bookmarkStart w:id="900087" w:name="_Toc300000086"/>
      <w:r>
        <w:t xml:space="preserve">Article 3.12: Definitions</w:t>
      </w:r>
      <w:bookmarkEnd w:id="900087"/>
    </w:p>
    <w:p>
      <w:pPr>
        <w:pStyle w:val="Normal"/>
      </w:pPr>
      <w:r>
        <w:t xml:space="preserve">For the purposes of this Section: agricultural biotechnology means technologies, including modern biotechnology, used for the deliberate manipulation of an organism to introduce, remove, or modify one or more heritable characteristics of a product for agriculture and aquaculture use and that are not technologies used in traditional breeding and selection; Low Level Presence (LLP) Occurrence means low levels of recombinant deoxyribonucleic acid (DNA) plant materials that have passed a food safety assessment according to the Codex Guideline for the Conduct of a Food Safety Assessment of Foods Derived from Recombinant- DNA Plants (CAC/GL 45-2003) in one or more countries, which may on occasion be inadvertently present in food or feed in importing countries in which the food safety of the relevant recombinant DNA plant has not been determined; modern biotechnology means the application of:</w:t>
      </w:r>
    </w:p>
    <w:p>
      <w:pPr>
        <w:pStyle w:val="Normal"/>
      </w:pPr>
      <w:r>
        <w:t>(a) in vitro nucleic acid techniques, including recombinant DNA and direct injection of nucleic acid into cells or organelles; or (b) fusion of cells beyond the taxonomic family, that overcome natural physiological reproductive or recombination barriers and that are not techniques used in traditional breeding and selection; product of agricultural biotechnology means an agricultural good, or a fish or fish product covered by Chapter 3 of the Harmonized System, developed using agricultural biotechnology, but does not include a medicine or a medical product; and product</w:t>
      </w:r>
    </w:p>
    <w:p>
      <w:pPr>
        <w:pStyle w:val="Normal"/>
      </w:pPr>
      <w:r>
        <w:t>of modern biotechnology means an agricultural good, or a fish or fish product covered by Chapter 3 of the Harmonized System, developed using modern biotechnology, but does not include a medicine or a medical product.</w:t>
      </w:r>
    </w:p>
    <w:p>
      <w:pPr>
        <w:pStyle w:val="Heading2"/>
      </w:pPr>
      <w:bookmarkStart w:id="900088" w:name="_Toc300000087"/>
      <w:r>
        <w:t xml:space="preserve">Article 3.13: Contact Points</w:t>
      </w:r>
      <w:bookmarkEnd w:id="900088"/>
    </w:p>
    <w:p>
      <w:pPr>
        <w:pStyle w:val="Normal"/>
      </w:pPr>
      <w:r>
        <w:t xml:space="preserve">Each Party shall designate and notify a contact point or contact points for the sharing of information on matters related to this Section, in accordance with Article 30.5 (Agreement Coordinator and Contact Points).</w:t>
      </w:r>
    </w:p>
    <w:p>
      <w:pPr>
        <w:pStyle w:val="Heading2"/>
      </w:pPr>
      <w:bookmarkStart w:id="900089" w:name="_Toc300000088"/>
      <w:r>
        <w:t xml:space="preserve">Article 3.14: Trade in Products of Agricultural Biotechnology</w:t>
      </w:r>
      <w:bookmarkEnd w:id="900089"/>
    </w:p>
    <w:p>
      <w:pPr>
        <w:pStyle w:val="Normal"/>
      </w:pPr>
      <w:r>
        <w:t xml:space="preserve">1. The Parties confirm the importance of encouraging agricultural innovation and facilitating trade in products of agricultural biotechnology, while fulfilling legitimate objectives, including by promoting transparency and cooperation, and exchanging information related to the trade in products of agricultural biotechnology. 2. This Section does not require a Party to mandate an authorization for a product of agricultural biotechnology to be on the market. 3. Each Party shall make available to the public and, to the extent possible, online: (a) the information and documentation requirements for an authorization, if required, of a product of agricultural biotechnology; (b) any summary of any risk or safety assessment that has led to the authorization, if required, of a product of agricultural biotechnology; and (c) any list of the products of agricultural biotechnology that have been authorized in its territory. 4.</w:t>
      </w:r>
    </w:p>
    <w:p>
      <w:pPr>
        <w:pStyle w:val="Normal"/>
      </w:pPr>
      <w:r>
        <w:t>To reduce the likelihood of disruptions to trade in products of agricultural biotechnology: (a) each Party shall continue to encourage applicants to submit timely and concurrent applications to the Parties for authorization, if required, of products of agricultural biotechnology; (b) a Party requiring any authorization for a product of agricultural biotechnology shall: (i) accept and review applications for the authorization, if required, of products of agricultural biotechnology on an ongoing basis year-round, (ii) adopt or maintain measures that allow the initiation of the domestic regulatory authorization process of a product not yet authorized in another country, (iii) if an authorization is subject to expiration, take steps to help ensure that the review of the product is completed and a decision is made in a timely manner, and if possible, prior to expiration, and (iv) communicate with the other Parties regarding any new and existing authorizations of products of agricultural biotechnology so as to improve information exchange.</w:t>
      </w:r>
    </w:p>
    <w:p>
      <w:pPr>
        <w:pStyle w:val="Heading2"/>
      </w:pPr>
      <w:bookmarkStart w:id="900090" w:name="_Toc300000089"/>
      <w:r>
        <w:t xml:space="preserve">Article 3.15: LLP Occurrence</w:t>
      </w:r>
      <w:bookmarkEnd w:id="900090"/>
    </w:p>
    <w:p>
      <w:pPr>
        <w:pStyle w:val="Normal"/>
      </w:pPr>
      <w:r>
        <w:t xml:space="preserve">1. Each Party shall adopt or maintain policies or approaches designed to facilitate the management of any LLP Occurrence. 2. To address an LLP Occurrence, and with a view to preventing future LLP Occurrences, on request of an importing Party, an exporting Party shall: (a) provide any summary of the specific risk or safety assessments that the exporting Party conducted in connection with any authorization of the product of modern biotechnology that is the subject of the LLP Occurrence; (b) provide, on receiving permission of the entity, if required, a contact point for any entity within its territory that received authorization for the product of modern biotechnology that is the subject of the LLP Occurrence and that is on the basis of this authorization, likely to possess:</w:t>
      </w:r>
    </w:p>
    <w:p>
      <w:pPr>
        <w:pStyle w:val="Normal"/>
      </w:pPr>
      <w:r>
        <w:t>(i) any existing, validated methods for the detection of the product of modern biotechnology that is the subject of the LLP Occurrence, (ii) any reference sample of the product of modern biotechnology that is the subject of the LLP Occurrence necessary for the detection of the LLP Occurrence, and (iii) relevant information2 that can be used by the importing Party to conduct a risk or safety assessment, if appropriate, in accordance with the relevant international standards and guidelines; and (c) encourage the entity in its territory that received authorization related to the product of modern biotechnology that is the subject of the LLP Occurrence to share the information</w:t>
      </w:r>
    </w:p>
    <w:p>
      <w:pPr>
        <w:pStyle w:val="Normal"/>
      </w:pPr>
      <w:r>
        <w:t>referred to in paragraph 2(b) with the importing Party. 3. In the event of an LLP Occurrence, the importing Party shall: (a) inform the importer or the importer’s agent of the LLP Occurrence and of any additional information, including the information referenced in paragraph 2(b) of this Article, that will be required to be submitted to assist the importing Party to make a decision on the management of the LLP occurrence; (b) on request, and if available, provide to the exporting Party a summary of any risk or safety assessment that the importing Party has conducted in accordance with its domestic law in connection with the LLP Occurrence; (c) ensure that the LLP Occurrence is managed without unnecessary delay and that any measure3 applied to manage the LLP Occurrence is appropriate to achieve compliance with the importing Party’s laws and regulations and takes into account any risk posed by the LLP Occurrence; and (d) take into account, as appropriate, any relevant risk or safety assessment provided, and authorization granted, by another Party or non-Party when deciding how to manage the LLP Occurrence.</w:t>
      </w:r>
    </w:p>
    <w:p>
      <w:pPr>
        <w:pStyle w:val="Heading2"/>
      </w:pPr>
      <w:bookmarkStart w:id="900091" w:name="_Toc300000090"/>
      <w:r>
        <w:t xml:space="preserve">Article 3.16: Working Group for Cooperation on Agricultural Biotechnology</w:t>
      </w:r>
      <w:bookmarkEnd w:id="900091"/>
    </w:p>
    <w:p>
      <w:pPr>
        <w:pStyle w:val="Normal"/>
      </w:pPr>
      <w:r>
        <w:t xml:space="preserve">2 For example, relevant information includes the information contained in Annex 3 of the Codex Guideline for the Conduct of Food Safety Assessment of Foods Derived from Recombinant-DNA Plants (CAC/GL 45-2003). 3 For purposes of this paragraph, “measure” does not include penalties. 1. The Parties hereby establish a Working Group for Cooperation on Agricultural Biotechnology (Working Group) for information exchange and cooperation on policy and trade- related matters associated with products of agricultural biotechnology. The Working Group shall be co-chaired by government representatives of each of the Parties, and shall be comprised of policy officials responsible for issues related to agricultural biotechnology of each of the Parties. The Working Group shall report to the Agriculture Committee on its activities and progress on related matters. 2.</w:t>
      </w:r>
    </w:p>
    <w:p>
      <w:pPr>
        <w:pStyle w:val="Normal"/>
      </w:pPr>
      <w:r>
        <w:t>The Working Group shall provide a forum for the Parties to: (a) exchange information on issues, including on existing and proposed domestic laws, regulations, and policies, and on any risk or safety assessments subject to appropriate confidentiality arrangements, related to the trade in products of agricultural biotechnology; (b) exchange information, and collaborate when possible, on issues pertaining to products of agricultural biotechnology, including on regulatory and policy developments; (c) consider work, based upon accumulated knowledge and experience of certain products, in areas of regulatory affairs and policy to facilitate trade in products of agricultural biotechnology; (d) collaborate to consider common approaches for the management of an LLP Occurrence; and (e) consider the work conducted under other trilateral cooperation mechanisms focused on agricultural biotechnology, including the Trilateral Technical Working Group, established by the Parties in 2003 and operating under Terms of Reference from February 2015. 3. The Working Group shall coordinate efforts to advance regulatory approaches and trade policies that are transparent, and based on science and on risk for products of agricultural biotechnology in other countries and in international organizations.</w:t>
      </w:r>
    </w:p>
    <w:p>
      <w:pPr>
        <w:pStyle w:val="Normal"/>
      </w:pPr>
      <w:r>
        <w:t>4. The Working Group shall meet annually, unless otherwise decided by the Parties, and may meet in person, or by any other means as determined by the Parties.</w:t>
      </w:r>
    </w:p>
    <w:p>
      <w:pPr>
        <w:pStyle w:val="Heading2"/>
      </w:pPr>
      <w:bookmarkStart w:id="900092" w:name="_Toc300000091"/>
      <w:r>
        <w:t xml:space="preserve">ANNEX 3-A AGRICULTURAL TRADE BETWEEN CANADA AND THE UNITED STATES</w:t>
      </w:r>
      <w:bookmarkEnd w:id="900092"/>
    </w:p>
    <w:p>
      <w:pPr>
        <w:pStyle w:val="Heading2"/>
      </w:pPr>
      <w:bookmarkStart w:id="900093" w:name="_Toc300000092"/>
      <w:r>
        <w:t xml:space="preserve">Article 3.A.1: Tariff Classifications</w:t>
      </w:r>
      <w:bookmarkEnd w:id="900093"/>
    </w:p>
    <w:p>
      <w:pPr>
        <w:pStyle w:val="Normal"/>
      </w:pPr>
      <w:r>
        <w:t xml:space="preserve">1. Canada shall notify the United States of any change to Canada’s Schedule to the Customs Tariff that increases the rate of a customs duty applied to a dairy, poultry, or egg product when imported into Canada from the United States4 prior to finalization of such change. To the maximum extent possible, Canada shall provide such notification immediately after publication of the proposal for the change, so as to provide a sufficient opportunity for the United States to review the proposal prior to its implementation. If the United States requests, Canada shall promptly provide information to the United States, and respond to questions from the United States, pertaining to any change to Canada’s Schedule to the Customs Tariff that increases the rate of a customs duty applied to a dairy, poultry, or egg product when imported into Canada from the United States, whether or not the United States has been previously notified of the change. 2.</w:t>
      </w:r>
    </w:p>
    <w:p>
      <w:pPr>
        <w:pStyle w:val="Normal"/>
      </w:pPr>
      <w:r>
        <w:t>The United States shall notify Canada of any change to the Harmonized Tariff Schedule of the United States that increases the tariff rate applied to a sugar, sugar containing product (SCP), or dairy product when imported into the United States from Canada5 prior to finalization of such change.</w:t>
      </w:r>
    </w:p>
    <w:p>
      <w:pPr>
        <w:pStyle w:val="Normal"/>
      </w:pPr>
      <w:r>
        <w:t>To the maximum extent possible, the United States shall provide such notification immediately after publication of the proposal for the change, so as to provide sufficient opportunity for Canada to review the proposal prior to its implementation. If Canada requests, the United States shall promptly provide information to Canada, and respond to questions from Canada, pertaining to any change to the Harmonized Tariff Schedule of the United States that increases the tariff rate applied to a sugar, SCP, or dairy product when imported into the United States from Canada, whether or not Canada has been previously notified of the change. 3. On the request of the other Party, a Party shall meet to discuss any measures or policies that may affect trade between the Parties of a sugar, SCP, dairy, poultry, or egg product within 30 days of the request.</w:t>
      </w:r>
    </w:p>
    <w:p>
      <w:pPr>
        <w:pStyle w:val="Normal"/>
      </w:pPr>
      <w:r>
        <w:t>4 For purposes of this paragraph, a “change to Canada’s Schedule to the Customs Tariff that increases the rate of a customs duty applied to a dairy, poultry, or egg product when imported into Canada from the United States” means a change to Canada’s Schedule to the Customs Tariff that changes the classification of any good not previously classified under a tariff item listed in Appendix A that results in the good being classified under a tariff item listed in Appendix A.</w:t>
      </w:r>
    </w:p>
    <w:p>
      <w:pPr>
        <w:pStyle w:val="Normal"/>
      </w:pPr>
      <w:r>
        <w:t xml:space="preserve">5 For purposes of this paragraph, a “change to the Harmonized Tariff Schedule of the United States that increases the tariff rate applied to a sugar, SCP, or dairy product when imported into the United States from Canada” means a change to the Harmonized Tariff Schedule of the United States that changes the classification of any good not classified before the change under a tariff item listed in Appendix B to this Annex that results in the good being classified under a tariff item listed in Appendix B. 3-A-1</w:t>
      </w:r>
    </w:p>
    <w:p>
      <w:pPr>
        <w:pStyle w:val="Heading2"/>
      </w:pPr>
      <w:bookmarkStart w:id="900094" w:name="_Toc300000093"/>
      <w:r>
        <w:t xml:space="preserve">Article 3.A.2: Tariff-Rate Quota Administration</w:t>
      </w:r>
      <w:bookmarkEnd w:id="900094"/>
    </w:p>
    <w:p>
      <w:pPr>
        <w:pStyle w:val="Normal"/>
      </w:pPr>
      <w:r>
        <w:t xml:space="preserve">1. For the purposes of this Article: allocation mechanism means any system in which access to the tariff rate quota is granted on a basis other than first-come first-served; and tariff rate quota (TRQ) means a mechanism that provides for the application of a preferential rate of customs duty to imports of a particular originating good up to a specified quantity (in quota quantity), and at a different rate to imports of that good that exceed that quantity. 2.</w:t>
      </w:r>
    </w:p>
    <w:p>
      <w:pPr>
        <w:pStyle w:val="Normal"/>
      </w:pPr>
      <w:r>
        <w:t>For the purposes of this Article, TRQ refers only t o those TRQs established under this Agreement as set out in a Party’s Schedule to Annex 2-B (Tariff Commitments). For greater certainty, this Article shall not apply to TRQs set out in a Party’s Schedule to the WTO Agreement. 3.</w:t>
      </w:r>
    </w:p>
    <w:p>
      <w:pPr>
        <w:pStyle w:val="Normal"/>
      </w:pPr>
      <w:r>
        <w:t>Each Party shall implement and administer its TRQs in accordance with Article XIII of GATT 1994, including its interpretative notes, the Import Licensing Agreement and Article 2.15 (Transparency in Import Licensing). All TRQs established by a Party under this Agreement shall be set out in that Party’s Schedule to Annex 2-B (Tariff Commitments). 4. Each Party shall ensure that its procedures for administering its TRQs: (a) are transparent; (b) are fair and equitable; (c) use clearly specified timeframes, administrative procedures, and requirements; (d) are no more administratively burdensome than necessary; (e) are responsive to market conditions; and (f) are administered in a timely manner. 5. The Party administering a TRQ shall publish, on its designated website and at least 90 days prior to the beginning of the TRQ year, all information concerning its TRQ administration, including the size of quotas and eligibility requirements. 6. Each Party shall administer its TRQs in a manner that allows importers the opportunity to utilize TRQ quantities fully.</w:t>
      </w:r>
    </w:p>
    <w:p>
      <w:pPr>
        <w:pStyle w:val="Normal"/>
      </w:pPr>
      <w:r>
        <w:t>(a) Except as provided in subparagraph (b) and (c), no Party shall introduce a new or additional condition, limit, or eligibility requirement on the utilization of a TRQ 3-A-2 for importation of an agricultural good, including in relation to specification or grade, permissible end-use of the imported product, or package size beyond those set out in its Schedule to Annex 2-B (Tariff Commitments).</w:t>
      </w:r>
    </w:p>
    <w:p>
      <w:pPr>
        <w:pStyle w:val="Normal"/>
      </w:pPr>
      <w:r>
        <w:t>For greater certainty, paragraph 6 shall not apply to conditions, limits, or eligibility requirements that apply regardless of whether or not the importer utilizes the TRQ when importing the agricultural good. (b) A Party seeking to introduce a new or additional condition, limit, or eligibility requirement on the utilization of a TRQ for importation of an agricultural good shall notify the other Party at least 45 days prior to the proposed effective date of the new or additional condition, limit, or eligibility requirement. If the other Party has a demonstrable commercial interest in supplying the agricultural good, that Party may submit a written request for consultations within 30 days of the notification to the Party seeking to introduce the new or additional condition, limit, or eligibility requirement. On receipt of such a request for consultations, the Party seeking to introduce the new or additional condition, limit, or eligibility requirement shall promptly undertake consultations with the other Party, in accordance with Article 3.10 (Transparency and Consultations).</w:t>
      </w:r>
    </w:p>
    <w:p>
      <w:pPr>
        <w:pStyle w:val="Normal"/>
      </w:pPr>
      <w:r>
        <w:t>(c) The Party seeking to introduce the new or additional condition, limit, or eligibility requirement may do so if the other Party with a demonstrable commercial interest in supplying the agricultural good has not submitted a written request for consultations within 30 days of the notification pursuant to subparagraph (b) or, in the case when the other Party has submitted a written request for consultations pursuant to subparagraph (b) if: (i) the Party has consulted with the other Party, and (ii) the other Party has not objected, after the consultation, to the introduction of the new or additional condition, limit, or eligibility requirement. (d) A new or additional condition, limit, or eligibility requirement that is the outcome of any consultation held pursuant to subparagraph (c) shall be circulated to the other Party prior to its implementation. 7. Notwithstanding paragraph 6, a Party shall not implement a condition, limit, or eligibility requirement:</w:t>
      </w:r>
    </w:p>
    <w:p>
      <w:pPr>
        <w:pStyle w:val="Normal"/>
      </w:pPr>
      <w:r>
        <w:t>(a) regarding the quota applicant’s nationality, or headquarters location; or (b) requiring the quota applicant’s physical presence in the territory of the Party, except that a Party may require that the quota applicant either: (i) do business and have a business office, or 3-A-3 (ii) have an employee, an agent for service of process, or a legal representative, in the territory of the Party. 8.</w:t>
      </w:r>
    </w:p>
    <w:p>
      <w:pPr>
        <w:pStyle w:val="Normal"/>
      </w:pPr>
      <w:r>
        <w:t>On entry into force of this Agreement, if either Party maintains a TRQ in its Schedule to Annex 2-B (Tariff Commitments) that is administered through issuance of permits by either Party, then the Party maintaining the TRQ shall have: (a) consulted with the other Party with respect to all procedures for the allocation and use of the TRQ, and any condition or requirement applicable on or in connection with the allocation or use of the TRQ; and (b) adopted and implemented regulations or policies containing all of its procedures for the allocation and use of the TRQ and any condition or requirement of that Party applicable on or in connection with the allocation or use of the TRQ. 9. If a TRQ is administered by an allocation mechanism, the administering Party shall, prior to any change to the allocation mechanism:</w:t>
      </w:r>
    </w:p>
    <w:p>
      <w:pPr>
        <w:pStyle w:val="Normal"/>
      </w:pPr>
      <w:r>
        <w:t>(a) publish for public comment the proposed regulations or policies containing all of its procedures for the allocation and use of the TRQ and any condition or requirement applicable on or in connection with the allocation or use of the TRQ no less than 60 days in advance of the date on which comments are due; (b) take any comments into account in the development of the final regulations or policies; and (c) adopt, implement, and publish the final regulations or policies on its designated website at least 90 days prior to the beginning of each TRQ year. 10.</w:t>
      </w:r>
    </w:p>
    <w:p>
      <w:pPr>
        <w:pStyle w:val="Normal"/>
      </w:pPr>
      <w:r>
        <w:t>If a TRQ is administered by an allocation mechanism, then the administering Party shall provide that the mechanism allows for importers that have not previously imported the agricultural good subject to the TRQ (new importers), who meet all eligibility criteria other than import performance, to be eligible for a quota allocation. The Party administering the TRQ allocation mechanism shall not discriminate against new importers when allocating the TRQ. 11. A Party administering an allocated TRQ shall ensure that: (a) any person of the other Party that fulfils the importing Party’s eligibility requirements is able to apply and be considered for a quota allocation under the TRQ; (b) unless otherwise agreed by the Parties, it does not allocate any portion of the quota 3-A-4 to a producer group, condition access to an allocation on the purchase of domestic production, or limit access to an allocation to processors; (c) each allocation is made in commercially viable shipping quantities and, to the maximum extent possible, in the quantities that the TRQ applicant requests;</w:t>
      </w:r>
    </w:p>
    <w:p>
      <w:pPr>
        <w:pStyle w:val="Normal"/>
      </w:pPr>
      <w:r>
        <w:t>(d) an allocation for in-quota imports is applicable to any tariff items subject to the TRQ and is valid throughout the TRQ year; (e) if the aggregate TRQ quantity requested by applicants exceeds the quota size, allocation to eligible applicants shall be conducted by equitable and transparent methods; (f) applicants have at least four weeks after the opening of the application period to submit their applications;</w:t>
      </w:r>
    </w:p>
    <w:p>
      <w:pPr>
        <w:pStyle w:val="Normal"/>
      </w:pPr>
      <w:r>
        <w:t>and (g) quota is allocated no later than four weeks before the opening of the quota period, unless the allocation is based in whole or in part on import performance during the 12-month period immediately preceding the quota period. If the administering Party bases the allocation in whole or in part on import performance during the 12-month period immediately preceding the quota period, then that Party shall make a provisional allocation of the full quota amount no later than four weeks before the opening of the quota period. All final allocation decisions, including any revisions, shall be made and communicated to applicants by the beginning of the quota period. 12.</w:t>
      </w:r>
    </w:p>
    <w:p>
      <w:pPr>
        <w:pStyle w:val="Normal"/>
      </w:pPr>
      <w:r>
        <w:t>If less than 12 months remain in the first TRQ year on the date of entry into force of this Agreement, then a Party administering a TRQ allocation shall make available to quota applicants, beginning on the date of entry into force of this Agreement, the quota quantity established in its Schedule to Annex 2-B (Tariff Commitments), multiplied by a fraction the numerator of which shall be a whole number consisting of the number of months remaining in the TRQ year on the date of entry into force of this Agreement, including the entirety of the month in which this Agreement enters into force, and the denominator of which shall be 12.</w:t>
      </w:r>
    </w:p>
    <w:p>
      <w:pPr>
        <w:pStyle w:val="Normal"/>
      </w:pPr>
      <w:r>
        <w:t>The administering Party shall make the entire quota quantity established in its Schedule to Annex 2-B (Tariff Commitments) available to quota applicants beginning on the first day of each TRQ year that the quota is in operation. 13. A Party administering a TRQ shall not require the re-export of an agricultural good as a condition for the application for, or utilization of, a quota allocation. 14. Any quantity of agricultural goods imported under a TRQ pursuant to Section B of Appendix 2 (Tariff Schedule of Canada (Tariff Rate Quotas)) to the Tariff Schedule of Canada in Annex 2-B (Tariff Commitments) or Section B of Appendix 2 (Tariff Schedule of the United States (Tariff Rate Quotas)) to the Tariff Schedule of the United States in 3-A-5 Annex 2-B (Tariff Commitments) shall not count towards, or reduce the in-quota quantity of, any TRQ provided for that agricultural good in a Party’s Schedule to the WTO Agreement or under any other trade agreement.6 15.</w:t>
      </w:r>
    </w:p>
    <w:p>
      <w:pPr>
        <w:pStyle w:val="Normal"/>
      </w:pPr>
      <w:r>
        <w:t>If a TRQ is administered by an allocation mechanism, then the administering Party shall ensure that there is a mechanism for the return and reallocation of unused allocations in a timely and transparent manner that provides the greatest possible opportunity for the TRQ to be filled. 16. Each Party shall publish, on a regular basis and on its designated publicly available website, information concerning quantities allocated, quantities returned, and, if available, quota utilization rates.</w:t>
      </w:r>
    </w:p>
    <w:p>
      <w:pPr>
        <w:pStyle w:val="Normal"/>
      </w:pPr>
      <w:r>
        <w:t>In addition, each Party shall publish, on the website designated to provide TRQ information, the quantities available for reallocation and the application deadline, at least two weeks prior to the date on which the Party will begin accepting applications for reallocations. 17. Each Party shall identify the entity or entities responsible for administering its TRQs and designate and notify at least one contact point, in accordance with Article 30.5 (Agreement Coordinator and Contact Points), to facilitate communications between the Parties on matters relating to the administration of its TRQs. Each Party shall promptly notify the other Party of any amendments to the details of its contact point. 18. If a TRQ is administered by an allocation mechanism, then the administering Party shall publish the name and address of allocation holders on its designated publicly available website. 19.</w:t>
      </w:r>
    </w:p>
    <w:p>
      <w:pPr>
        <w:pStyle w:val="Normal"/>
      </w:pPr>
      <w:r>
        <w:t>If a TRQ is administered on a first-come, first-served basis, the importing Party’s administering authority shall publish the utilization rates and remaining available quantities for that TRQ, over the course of each TRQ year, in a timely and on-going basis, and on its designated website. 20. When a TRQ administered on a first-come, first-served basis is filled, the administering Party shall publish a notice to this effect on its designated publicly available website within 10 days. 21.</w:t>
      </w:r>
    </w:p>
    <w:p>
      <w:pPr>
        <w:pStyle w:val="Normal"/>
      </w:pPr>
      <w:r>
        <w:t xml:space="preserve">When a TRQ administered by an allocation mechanism is filled, the administering Party shall publish a notice to this effect on its designated publicly available website as early as practicable. 6 For greater certainty, nothing in this paragraph shall prevent an administrating Party from applying an in-quota rate of customs duty to agricultural goods from the other Party, as set out in the administering Party’s Schedule to Annex 2-B (Tariff Commitments), that is different than the rate of customs duty applied to the same agricultural good of Mexico or a non-Party under a TRQ established under the WTO Agreement. Furthermore, nothing in this paragraph requires an administrating Party to change the in-quota quantity of any TRQ established under the WTO Agreement. 3-A-6 22. On the written request of the exporting Party, the Party administrating a TRQ shall consult with the exporting Party regarding the administration of its TRQ within 30 days of the request, under normal circumstances.</w:t>
      </w:r>
    </w:p>
    <w:p>
      <w:pPr>
        <w:pStyle w:val="Heading2"/>
      </w:pPr>
      <w:bookmarkStart w:id="900095" w:name="_Toc300000094"/>
      <w:r>
        <w:t xml:space="preserve">Article 3.A.3: Dairy Pricing and Exports</w:t>
      </w:r>
      <w:bookmarkEnd w:id="900095"/>
    </w:p>
    <w:p>
      <w:pPr>
        <w:pStyle w:val="Normal"/>
      </w:pPr>
      <w:r>
        <w:t xml:space="preserve">1.</w:t>
      </w:r>
    </w:p>
    <w:p>
      <w:pPr>
        <w:pStyle w:val="Normal"/>
      </w:pPr>
      <w:r>
        <w:t>For the purposes of this Article: assumed processor margin means the estimated cost to a processor of converting raw milk into a specified manufactured wholesale commodity or milk product, which may then be used in the calculation of a milk class price and may also be referred to as a make allowance; dairy year means August 1 to July 31; eligible goods means goods that a processor may manufacture using the milk or milk components provided at a milk class price; infant formula means a good classified in HS subheading 1901.10 containing more than 10 percent on a dry weight basis of cow milk solids; milk class means an end use for which processors may utilize milk or milk components provided at milk class prices; milk class price means the price, minimum price, or milk component price at which milk or milk components are billed or provided to processors based on their end use; milk component means butterfat, protein, other solids, and any other component of milk for which a Party sets a milk class price; milk protein concentrate means goods classified in HS subheading 0404.90; skim milk powder means goods classified in HS subheading 0402.10;</w:t>
      </w:r>
    </w:p>
    <w:p>
      <w:pPr>
        <w:pStyle w:val="Normal"/>
      </w:pPr>
      <w:r>
        <w:t>USDA nonfat dry milk price means the nonfat dry milk price published by the United States Department of Agriculture (USDA) in its Announcement of Class and Component Prices, as used in the calculation of the Nonfat Milk Solids price in the United States; and yield factor means the estimated ratio of a given volume of skim milk powder to</w:t>
      </w:r>
    </w:p>
    <w:p>
      <w:pPr>
        <w:pStyle w:val="Normal"/>
      </w:pPr>
      <w:r>
        <w:t>the volume of non-fat solids required to manufacture that volume skim milk powder as determined by the Party. 2. This Article applies to any milk class pricing system for dairy adopted or maintained by a Party, where for: 3-A-7 (a) Canada, milk class pricing system refers to price setting under the supply management system for dairy; and (b) the United States, milk class pricing system refers to price setting under the federal milk marketing orders. 3. Canada shall ensure that milk class 6 and milk class 7, including their associated milk class prices, are eliminated six months after entry into force of this Agreement. 4. Six months after entry into force of this Agreement, Canada shall ensure that products and ingredients formerly classified under milk classes 6 and 7 are reclassified and that their associated milk class prices are established appropriately based on end use. 5.</w:t>
      </w:r>
    </w:p>
    <w:p>
      <w:pPr>
        <w:pStyle w:val="Normal"/>
      </w:pPr>
      <w:r>
        <w:t>Notwithstanding paragraph 4, Canada shall ensure that the prices for non-fat solids used to manufacture milk protein concentrates, skim milk powder, and infant formula are no lower than the applicable price determined by the following formula: (The USDA nonfat dry milk price minus Canada’s applicable assumed processor margin) multiplied by Canada’s applicable yield factor. 6. Paragraph 5 shall not apply to domestic sales of milk components for non-human consumption, such as for use as animal feed. 7.</w:t>
      </w:r>
    </w:p>
    <w:p>
      <w:pPr>
        <w:pStyle w:val="Normal"/>
      </w:pPr>
      <w:r>
        <w:rPr>
          <w:b w:val="0"/>
        </w:rPr>
        <w:t>Canada shall monitor its global exports of milk protein concentrates, skim milk powder, and infant formula and provide information regarding those exports to the United States as specified in paragraph 13. 8. In a given dairy year, if global exports of: (a) both milk protein concentrates and skim milk powder from Canada together exceed the following thresholds: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Year</w:t>
            </w:r>
          </w:p>
        </w:tc>
        <w:tc>
          <w:tcPr>
            <w:tcW w:type="dxa" w:w="4680"/>
            <w:tcBorders>
              <w:bottom w:val="single" w:sz="6" w:space="0" w:color="546E7A"/>
            </w:tcBorders>
            <w:shd w:fill="E4E9EC" w:val="clear" w:color="auto"/>
          </w:tcPr>
          <w:p>
            <w:pPr>
              <w:pStyle w:val="TableText"/>
            </w:pPr>
            <w:r>
              <w:rPr>
                <w:b/>
                <w:color w:val="37474F"/>
              </w:rPr>
              <w:t>MPC plus SMP Threshold</w:t>
            </w:r>
          </w:p>
        </w:tc>
      </w:tr>
      <w:tr>
        <w:trPr>
          <w:cantSplit/>
        </w:trP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55,000 MT</w:t>
            </w:r>
          </w:p>
        </w:tc>
      </w:tr>
      <w:tr>
        <w:trPr>
          <w:cantSplit/>
        </w:trP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35,000 MT</w:t>
            </w:r>
          </w:p>
        </w:tc>
      </w:tr>
    </w:tbl>
    <w:p>
      <w:pPr>
        <w:pStyle w:val="Normal"/>
      </w:pPr>
      <w:r>
        <w:rPr>
          <w:b w:val="0"/>
        </w:rPr>
        <w:t>then, Canada shall apply an export charge of CAD 0.54 per kilogram to global exports of these goods in excess of the thresholds set out above for the remainder of the dairy year. (b) infant formula from Canada exceeds the following thresholds: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Year</w:t>
            </w:r>
          </w:p>
        </w:tc>
        <w:tc>
          <w:tcPr>
            <w:tcW w:type="dxa" w:w="4680"/>
            <w:tcBorders>
              <w:bottom w:val="single" w:sz="6" w:space="0" w:color="546E7A"/>
            </w:tcBorders>
            <w:shd w:fill="E4E9EC" w:val="clear" w:color="auto"/>
          </w:tcPr>
          <w:p>
            <w:pPr>
              <w:pStyle w:val="TableText"/>
            </w:pPr>
            <w:r>
              <w:rPr>
                <w:b/>
                <w:color w:val="37474F"/>
              </w:rPr>
              <w:t>Infant Formula Threshold</w:t>
            </w:r>
          </w:p>
        </w:tc>
      </w:tr>
      <w:tr>
        <w:trPr>
          <w:cantSplit/>
        </w:trP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13,333 MT</w:t>
            </w:r>
          </w:p>
        </w:tc>
      </w:tr>
      <w:tr>
        <w:trPr>
          <w:cantSplit/>
        </w:trP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40,000 MT</w:t>
            </w:r>
          </w:p>
        </w:tc>
      </w:tr>
    </w:tbl>
    <w:p>
      <w:pPr>
        <w:pStyle w:val="Normal"/>
      </w:pPr>
      <w:r>
        <w:rPr>
          <w:b w:val="0"/>
        </w:rPr>
        <w:t>then, Canada shall apply an export charge of CAD 4.25 per kilogram to global exports of these goods in excess of the thresholds set out above for the remainder of the dairy year. 9. With regard to the thresholds established in paragraphs 8(a) and 8(b), after Year 2 each threshold shall increase at a rate of 1.2 percent annually on a dairy year basis. 10.</w:t>
      </w:r>
    </w:p>
    <w:p>
      <w:pPr>
        <w:pStyle w:val="Normal"/>
      </w:pPr>
      <w:r>
        <w:t>Each Party shall publish on, or link to, a central government website, the following information: (a) laws and regulations at the central or regional level of government of a Party that govern or implement a milk class pricing system for dairy, including any replacement or amendment thereof; (b) the assumed processor margin; (c) each milk class price, including for each milk component by each milk class; and (d) the yield factor. Each Party shall publish this information as of entry into force of this Agreement for existing measures, and thereafter, a Party shall publish the information as soon as possible. 11. (a) No later than six months after entry into force of this Agreement, each Party shall provide to the other Party or publish on, or link to, a central government website the requirements, terms, and conditions for obtaining and using milk and milk components at milk class prices, including:</w:t>
      </w:r>
    </w:p>
    <w:p>
      <w:pPr>
        <w:pStyle w:val="Normal"/>
      </w:pPr>
      <w:r>
        <w:t>(i) a list or description of the goods for which processors are eligible to receive milk or milk components at a milk class price, and 3-A-9 (ii) a list or description of the products that eligible goods can be used to manufacture.7 Thereafter, each Party shall provide to the other Party or publish on, or link to, a central government website any revisions or amendments to this information as soon as possible.</w:t>
      </w:r>
    </w:p>
    <w:p>
      <w:pPr>
        <w:pStyle w:val="Normal"/>
      </w:pPr>
      <w:r>
        <w:t>The first time that the information in subparagraph (a) is provided or published, the Party shall also provide or publish this information since entry into force of this Agreement. (b) No later than six months after entry into force of this Agreement, each Party shall provide to the other Party or publish on, or link to, a central government website the milk utilization by milk class and by month, including quantities sold, prices, and revenues for milk and each milk component.8 Thereafter, each Party shall provide or publish this monthly data on a quarterly basis. The first time that this data is provided or published the Party shall also provide or publish this data since entry into force of this Agreement. 12. Before the adoption, amendment, or revision to a milk class,9 a Party shall:</w:t>
      </w:r>
    </w:p>
    <w:p>
      <w:pPr>
        <w:pStyle w:val="Normal"/>
      </w:pPr>
      <w:r>
        <w:t>(a) notify the other Party of, or publicly announce, its intent to adopt, amend, or revise a milk class at least one calendar month before the effective date of the adoption, amendment, or revision, so as to provide a sufficient opportunity for the other Party to review the proposed measure containing the adoption, amendment, or revision to a milk class prior to its implementation; (b) consult with the other Party on request, or allow participation in any public regulatory process, regarding the proposed measure containing the adoption, amendment, or revision to a milk class, and take any comments into account in the decision to adopt, amend, or revise a milk class; and 7 For greater</w:t>
      </w:r>
    </w:p>
    <w:p>
      <w:pPr>
        <w:pStyle w:val="Normal"/>
      </w:pPr>
      <w:r>
        <w:t>certainty, the information to be provided or published in subparagraph (a) is not confidential and does not include information regarding individual contractual arrangements. 8 For greater certainty, the data to be provided or published in subparagraph (b) is aggregated data. The Parties understand that aggregated data is not confidential and that if certain data cannot be aggregated, then it may be considered confidential. 9 For the purposes of this paragraph an “adoption, amendment or revision to a milk class” means the creation of a new milk class, the removal of a milk class, and the amendment of the eligible goods in a milk class or how a milk class price is set. Amendments to how a milk class price is set means changes to the formula used to calculate a milk class price, the source of data used in the formula, the value of the assumed processor margin, or the value of the yield factor.</w:t>
      </w:r>
    </w:p>
    <w:p>
      <w:pPr>
        <w:pStyle w:val="Normal"/>
      </w:pPr>
      <w:r>
        <w:t>For greater certainty, “adoption, amendment, or revision to a milk class” does not include routine updates to a milk class price due to the input of updated data, and “amendment of the eligible goods” does not include changes that are clerical in nature. 3-A-10 (c) publish the final measure, and to the extent possible, allow for an interval between the publication of the final measure and its effective date. 13.</w:t>
      </w:r>
    </w:p>
    <w:p>
      <w:pPr>
        <w:pStyle w:val="Normal"/>
      </w:pPr>
      <w:r>
        <w:t>Further to paragraph 7, Canada shall make available to the United States data regarding Canada’s global exports of milk protein concentrates, skim milk powder, and infant formula, at the HS subheading level, on a monthly basis, and no later than 30 days after the close of each month. 14. Within 30 days of a request from the other Party, the Parties shall meet in a jointly agreed location, or by electronic means, to discuss any matter associated with the application of this Section. 15. Recognizing that new products and new consumer preferences may impact the demand for and exports of skim milk powder, milk protein concentrates, and infant formula, if the trade monitoring mechanism established in paragraphs 7 through 9 is unsatisfactory to either Party, the Parties shall, within 30 days of a written request of a Party, enter consultations to consider and, if appropriate, seek to amend the provisions of paragraphs 7 through 9 pursuant to Article 34.3 (Amendments). 16.</w:t>
      </w:r>
    </w:p>
    <w:p>
      <w:pPr>
        <w:pStyle w:val="Normal"/>
      </w:pPr>
      <w:r>
        <w:t xml:space="preserve">Five years after entry into force of this Agreement and every two years thereafter, Canada and the United States shall meet to consider whether conditions have changed such that this Article should be terminated or modified. Modifications, including termination, may be made at that time or at any other time by mutual consent of Canada and the United States.</w:t>
      </w:r>
    </w:p>
    <w:p>
      <w:pPr>
        <w:pStyle w:val="Heading2"/>
      </w:pPr>
      <w:bookmarkStart w:id="900096" w:name="_Toc300000095"/>
      <w:r>
        <w:t xml:space="preserve">Article 3.A.4: Grain</w:t>
      </w:r>
      <w:bookmarkEnd w:id="900096"/>
    </w:p>
    <w:p>
      <w:pPr>
        <w:pStyle w:val="Normal"/>
      </w:pPr>
      <w:r>
        <w:t xml:space="preserve">1.</w:t>
      </w:r>
    </w:p>
    <w:p>
      <w:pPr>
        <w:pStyle w:val="Normal"/>
      </w:pPr>
      <w:r>
        <w:t>Each Party shall accord to originating wheat imported from the territory of the other Party treatment no less favorable than that it accords to like wheat of domestic origin with respect to the assignment of quality grades, including by ensuring that any measure it adopts or maintains regarding the grading of wheat for quality, whether on a mandatory or voluntary basis, is applied to imported wheat on the basis of the same requirements as domestic wheat. 2. No Party shall require that a country of origin statement be issued on a quality grade certificate for originating wheat imported from the territory of the other Party, recognizing that phytosanitary or customs requirements may require such a statement. 3. At the request of the other Party, the Parties shall discuss issues related to the operation of a domestic grain grading or grain class system, including issues related to the seed regulatory system associated with the operation of any such system, through existing mechanisms. The Parties shall endeavor to share best practices with respect these issues, as appropriate. 4.</w:t>
      </w:r>
    </w:p>
    <w:p>
      <w:pPr>
        <w:pStyle w:val="Normal"/>
      </w:pPr>
      <w:r>
        <w:t xml:space="preserve">Canada shall exclude from the application of the Maximum Grain Revenue Entitlement, established under the Canada Transportation Act, or any modification, replacement, or 3-A-11 amendment thereof, movements of agricultural goods originating in Canada and shipped via west coast ports for consumption in the United States.</w:t>
      </w:r>
    </w:p>
    <w:p>
      <w:pPr>
        <w:pStyle w:val="Heading2"/>
      </w:pPr>
      <w:bookmarkStart w:id="900097" w:name="_Toc300000096"/>
      <w:r>
        <w:t xml:space="preserve">Article 3.A.5: Sugar and Sugar Containing Products</w:t>
      </w:r>
      <w:bookmarkEnd w:id="900097"/>
    </w:p>
    <w:p>
      <w:pPr>
        <w:pStyle w:val="Normal"/>
      </w:pPr>
      <w:r>
        <w:t xml:space="preserve">1.</w:t>
      </w:r>
    </w:p>
    <w:p>
      <w:pPr>
        <w:pStyle w:val="Normal"/>
      </w:pPr>
      <w:r>
        <w:t>For the purposes of paragraphs 2 through 5: “product of Canada” means a good that qualifies to be marked as a good of Canada pursuant to U.S. law10 without regard to whether the good is marked. 2. Consistent with Article XIII of the GATT 1994, the United States shall allocate to Canada: (a) a share of the in-quota quantity of its refined sugar TRQ11 of not less than 10,300 metric tons, raw value, for sugar that is a product of Canada; and (b) a share of the in-quota quantity of its SCP TRQ12 of not less than 59,250 metric tons for SCPs that are the product of Canada. 3. Further to paragraph 2, the United States shall permit access for sugar that is the product of Canada to any in-quota quantity of the refined sugar TRQ that is not allocated among supplying countries. The United States shall permit access to the unallocated amounts in a TRQ period without regard to whether the share allocated to Canada for that period has been filled. 4.</w:t>
      </w:r>
    </w:p>
    <w:p>
      <w:pPr>
        <w:pStyle w:val="Normal"/>
      </w:pPr>
      <w:r>
        <w:t>Further to paragraph 2, if the United States allocates the refined sugar TRQ reserved for specialty sugar, then the United States shall do so consistent with its WTO obligations and in consultation with Canada. 5.</w:t>
      </w:r>
    </w:p>
    <w:p>
      <w:pPr>
        <w:pStyle w:val="Normal"/>
      </w:pPr>
      <w:r>
        <w:t>Further to paragraph 2, if for any TRQ period Canada informs the United States that Canada will not supply the full amount of the share of SCP TRQ allocated to Canada pursuant to paragraph 2, then the United States shall transfer the quantity of the share that Canada will not supply to the quantity of SCP TRQ that is not allocated among supplying countries. The United States shall provide Canada reasonable advance notice of the date on which such a transfer will 10 Any change to U.S. regulations regarding the marking of refined sugar and sugar containing products shall be undertaken consistent with U.S. law, meaning that any proposed amendments or revisions will be published in the Federal Register normally allowing at least 60 days for public comment, including comments from Canada, and the United States shall take all public comments timely submitted into account before finalizing any new regulation. 11 The refined sugar TRQ of the United States is as provided for in Additional U.S.</w:t>
      </w:r>
    </w:p>
    <w:p>
      <w:pPr>
        <w:pStyle w:val="Normal"/>
      </w:pPr>
      <w:r>
        <w:t>Note 2 to chapter 17 of the Schedule of the United States annexed to the Marrakesh Protocol to the General Agreement on Tariffs and Trade 1994. 12 The SCP TRQ of the United States is as provided for in Additional U.S. Note 6 to chapter 17 of the Schedule of the United States annexed to the Marrakesh Protocol to the General Agreement on Tariffs and Trade 1994. 3-A-12 take effect.</w:t>
      </w:r>
    </w:p>
    <w:p>
      <w:pPr>
        <w:pStyle w:val="Normal"/>
      </w:pPr>
      <w:r>
        <w:t xml:space="preserve">Any transfer under this paragraph will not affect the amount of the share of the SCP TRQ allocated to Canada pursuant to paragraph 2 in subsequent TRQ periods.</w:t>
      </w:r>
    </w:p>
    <w:p>
      <w:pPr>
        <w:pStyle w:val="Heading2"/>
      </w:pPr>
      <w:bookmarkStart w:id="900098" w:name="_Toc300000097"/>
      <w:r>
        <w:t xml:space="preserve">Article 3.A.6: Other</w:t>
      </w:r>
      <w:bookmarkEnd w:id="900098"/>
    </w:p>
    <w:p>
      <w:pPr>
        <w:pStyle w:val="Normal"/>
      </w:pPr>
      <w:r>
        <w:t xml:space="preserve">1. Canada shall ensure that imports of dairy, poultry, or egg products eligible for Canada’s Duties Relief Program (DRP) and Import for Re-export Program (IREP) as of September 1, 2018, continue to be eligible for these programs, as well as any subsequent or successor programs to DRP and IREP, as long as Canada maintains such programs. 2. Notwithstanding the product specific rules of origin in Annex 4-B (Product Specific Rules of Origin), the rule of origin for a good traded between Canada and the United States in subheading 1517.10 shall allow that good to be originating if there is a change from heading 15.11 or any other chapter.</w:t>
      </w:r>
    </w:p>
    <w:p>
      <w:pPr>
        <w:pStyle w:val="Normal"/>
      </w:pPr>
      <w:r>
        <w:t>3-A-13 Appendix 1 01051121, 01051122, 01059491, 01059492, 01059911, 01059912, 02071191, 02071192, 02071291, 02071292, 02071391, 02071392, 02071393, 02071421, 02071422, 02071491, 02071492, 02071493, 02072411, 02072412, 02072491, 02072492, 02072511, 02072512, 02072591, 02072592, 02072610, 02072620, 02072630, 02072711, 02072712, 02072791, 02072792, 02072793, 02099010, 02099020, 02099030, 02099040, 02109911, 02109912, 02109913, 02109914, 02109915, 02109916, 04011010, 04011020, 04012010, 04012020, 04014010, 04014020, 04015010, 04015020, 04021010, 04021020, 04022111, 04022112, 04022121, 04022122, 04022911, 04022912, 04022921, 04022922, 04029110, 04029120, 04029910, 04029920, 04031010, 04031020, 04039011, 04039012, 04039091, 04039092, 04041021, 04041022, 04049010, 04049020, 04051010, 04051020, 04052010, 04052020, 04059010, 04059020, 04061010, 04061020, 04062011, 04062012, 04062091, 04062092, 04063010, 04063020, 04064010, 04064020, 04069011, 04069012, 04069021, 04069022, 04069031, 04069032, 04069041, 04069042, 04069051, 04069052, 04069061, 04069062, 04069071, 04069072, 04069081, 04069082, 04069091, 04069092, 04069093, 04069094, 04069095, 04069096, 04069098, 04069099, 04071111, 04071112, 04071191, 04071192, 04072110, 04072120, 04079011, 04079012, 04081110, 04081120, 04081910, 04081920, 04089110, 04089120, 04089910, 04089920, 15171020, 15179021, 15179022, 16010021, 16010022, 16010031, 16010032, 16022021, 16022022, 16022031, 16022032, 16023112, 16023113, 16023114, 16023193, 16023194,</w:t>
      </w:r>
    </w:p>
    <w:p>
      <w:pPr>
        <w:pStyle w:val="Normal"/>
      </w:pPr>
      <w:r>
        <w:t>16023195, 16023212, 16023213, 16023214, 16023293, 16023294, 16023295, 18062021, 18062022, 18069011, 18069012, 19012011, 19012012, 19012021, 19012022, 19019031, 19019032, 19019033, 19019034, 19019051, 19019052, 19019053, 19019054, 21050091, 21050092, 21069031, 21069032, 21069033, 21069034, 21069051, 21069052, 21069093, 21069094, 22029932, 22029933, 23099031, 23099032, 35021110, 35021120, 35021910, 35021920. 3-A-1-1 Appendix 2 04014005, 04014025, 04015005, 04015025, 04015075, 04015050, 04021010, 04021050, 04022105, 04022125, 04022130, 04022150, 04022175, 04022190, 04022910, 04022950, 04029110, 04029130, 04029170, 04029190, 04029910, 04029930, 04029945, 04029955, 04029970, 04029990, 04031010, 04031050, 04039004, 04039016, 04039041, 04039045, 04039051, 04039055, 04039061, 04039065, 04039074, 04039078, 04039090, 04039095, 04041011, 04041015, 04041050, 04041090, 04049030, 04049050, 04051010, 04051020, 04052020, 04052030, 04052060, 04052070, 04059010, 04059020, 04061004, 04061008, 04061014, 04061018, 04061024, 04061028, 04061034, 04061038, 04061044, 04061048, 04061054, 04061058, 04061064, 04061068, 04061074, 04061078, 04061084, 04061088, 04062024, 04062028, 04062031, 04062033, 04062036, 04062039, 04062044, 04062048, 04062051, 04062053, 04062061, 04062063, 04062065, 04062067, 04062069, 04062071, 04062073, 04062075, 04062077, 04062079, 04062081, 04062083, 04062085, 04062087, 04062089, 04062091, 04063014, 04063018, 04063024, 04063028, 04063034, 04063038, 04063044, 04063048, 04063051,</w:t>
      </w:r>
    </w:p>
    <w:p>
      <w:pPr>
        <w:pStyle w:val="Normal"/>
      </w:pPr>
      <w:r>
        <w:t>04063053, 04063061, 04063063, 04063065, 04063067, 04063069, 04063071, 04063073, 04063075, 04063077, 04063079, 04063081, 04063083, 04063085, 04063087, 04063089, 04063091, 04064054, 04064058, 04064070, 04069008, 04069012, 04069016, 04069018, 04069031, 04069032, 04069036, 04069037, 04069041, 04069042, 04069046, 04069048, 04069052, 04069054, 04069066, 04069068, 04069072, 04069074, 04069076, 04069078, 04069082, 04069084, 04069086, 04069088, 04069090, 04069092, 04069093, 04069094, 04069095, 04069097, 15179050, 15179060, 17011210, 17011250, 17011310, 17011350, 17011410, 17011450, 17019110, 17019130, 17019144, 17019148, 17019154, 17019158, 17019910, 17019950, 17022024, 17022028, 17023024, 17023028, 17024024, 17024028, 17026024, 17026028, 17029010, 17029020, 17029054, 17029058, 17029064, 17029068, 17049054, 17049058, 17049064, 17049068, 17049074, 17049078, 18061010, 18061015, 18061024, 18061028, 18061034, 18061038, 18061045, 18061055, 18061065, 18061075, 18062024, 18062026, 18062028, 18062034, 18062036, 18062038, 18062071, 18062073, 18062075, 18062077, 18062081, 18062082, 18062083, 18062085, 18062087, 18062089, 18062091, 18062094, 18062095, 18062098, 18063204, 18063206, 18063208, 18063214, 18063216, 18063218, 18063260, 18063270, 18063280, 18069005, 18069008, 18069010, 18069015, 18069018, 18069020, 18069025, 18069028, 18069030, 18069035, 18069039, 18069045, 18069049, 18069055, 18069059, 19011011, 19011016, 19011021, 19011026, 19011033, 19011036, 19011041, 19011044, 19011054, 19011056,</w:t>
      </w:r>
    </w:p>
    <w:p>
      <w:pPr>
        <w:pStyle w:val="Normal"/>
      </w:pPr>
      <w:r>
        <w:t>19011064, 19011066, 19011074, 19011076, 19012005, 19012015, 19012020, 19012025, 19012030, 19012035, 19012045, 19012050, 19012055, 19012060, 19012065, 19012070, 19019034, 19019036, 19019061, 19019062, 19019064, 19019065, 19019067, 19019068, 19019069, 19019071, 21011234, 21011238, 21011244, 21011248, 21011254, 3-A-2-1 21011258, 21012034, 21012038, 21012044, 21012048, 21012054, 21012058, 21039074, 21039078, 21050010, 21050020, 21050030, 21050040, 21069006, 21069009, 21069024, 21069026, 21069034, 21069036, 21069044, 21069046, 21069064, 21069066, 21069068, 21069072, 21069074, 21069076, 21069078, 21069080, 21069085, 21069087, 21069089, 21069091, 21069092, 21069094, 21069095, 21069097, 22029924, 22029928, 23099024, 23099028, 23099044, 23099048 3-A-2-2</w:t>
      </w:r>
    </w:p>
    <w:p>
      <w:pPr>
        <w:pStyle w:val="Heading2"/>
      </w:pPr>
      <w:bookmarkStart w:id="900099" w:name="_Toc300000098"/>
      <w:r>
        <w:t xml:space="preserve">ANNEX 3-B AGRICULTURAL TRADE BETWEEN MEXICO AND THE UNITED STATES</w:t>
      </w:r>
      <w:bookmarkEnd w:id="900099"/>
    </w:p>
    <w:p>
      <w:pPr>
        <w:pStyle w:val="Normal"/>
      </w:pPr>
      <w:r>
        <w:t xml:space="preserve">1. For the purposes of this Annex: qualifying good means an originating good that is an agricultural good, except that in determining whether the good is an originating good, operations performed in or materials obtained from Canada shall be considered as if they were performed in or obtained from a non- Party; sugar means raw or refined sugar derived directly or indirectly from sugar cane or sugar beets, including liquid refined sugar; sugar-containing product means a good containing sugar; sugar or syrup good means:</w:t>
      </w:r>
    </w:p>
    <w:p>
      <w:pPr>
        <w:pStyle w:val="Normal"/>
      </w:pPr>
      <w:r>
        <w:t>(a) for imports into Mexico, a good provided for in any of the current HS subheading 1701.91 (except those that contain added flavoring matter) and the current tariff items 1701.12.01, 1701.12.04, 1701.13.01, 1701.14.01, 1701.14.04, 1701.99.01, 1701.99.02, 1701.99.99, 1702.90.01, 1806.10.01, and 2106.90.05 of the General Import and Export Duty Act (“Ley de los Impuestos Generales de Importación y de Exportación”); and (b) for imports into the United States, a good provided for in any of the current tariff items 1701.12.05, 1701.12.10, 1701.12.50, 1701.13.05, 1701.13.10, 1701.13.20, 1701.13.50, 1701.14.05, 1701.14.10, 1701.14.20, 1701.14.50, 1701.91.05, 1701.91.10, 1701.91.30, 1701.99.05, 1701.99.10, 1701.99.50, 1702.90.05, 1702.90.10, 1702.90.20, 1702.90.35, 1702.90.40, 1702.90.52, 1702.90.54, 1702.90.58, 1702.90.64, 1702.90.68, 1702.90.90, 1806.10.43, 1806.10.45, 1806.10.55, 1806.10.65,</w:t>
      </w:r>
    </w:p>
    <w:p>
      <w:pPr>
        <w:pStyle w:val="Normal"/>
      </w:pPr>
      <w:r>
        <w:t>1806.10.75, and 2106.90.42, 2106.90.44, and 2106.90.46 of the U.S. Harmonized Tariff Schedule, without regard to the quantity imported; and Tariff rate quota (TRQ) means a mechanism that provides for the application of a customs duty at a certain rate to imports of a particular good up to a specific quantity (in-quota quantity), and at a different rate to imports of that good that exceed that quantity. 2. This Annex applies only as between Mexico and the United States. 3. With the exception of TRQs set out in its schedule to the WTO Agreement, Mexico shall ensure that the customs duty for any TRQ it maintains for sugar or syrup goods on a most 3-B-1 favored-nation (MFN) basis is not less than the prevailing MFN rate of the United States for the same sugar and syrup goods. 4.</w:t>
      </w:r>
    </w:p>
    <w:p>
      <w:pPr>
        <w:pStyle w:val="Normal"/>
      </w:pPr>
      <w:r>
        <w:t>Mexico shall not be required to apply the applicable preferential duty rate provided in this Agreement to a sugar or syrup good, or sugar-containing product, that is a qualifying good when the United States has granted or will grant benefits under any re-export program or any like program in connection with the export of the good, including a good covered in paragraph 6(f) of Article 2.5 (Drawback and Duty Deferral Programs). The United States shall notify Mexico in writing within two business days of any export to Mexico of a good for which the benefits of any re-export program or any other like program have been or will be claimed by the exporter. 5.</w:t>
      </w:r>
    </w:p>
    <w:p>
      <w:pPr>
        <w:pStyle w:val="Normal"/>
      </w:pPr>
      <w:r>
        <w:t>Notwithstanding Chapter 4 (Rules of Origin), or General Note 7 to the Tariff Schedule of the United States, for the purposes of applying the preferential duty rate provided in this Agreement to a good, the United States may consider a good not to be originating if it is provided for in U.S. tariff items 1702.90.05, 1702.90.10, 1702.90.20, 1702.90.35, 1702.90.40, 1702.90.52, 1702.90.54, 1702.90.58, 1702.90.64, 1702.90.68, 1702.90.90, 1806.10.43, 1806.10.45, 1806.10.55, 1806.10.65, 1806.10.75, 2106.90.42, 2106.90.44, or 2106.90.46 that is exported from the territory of Mexico, if any material provided for in HS subheading 1701.99 used in the production of that good is not a qualifying good. 6. Notwithstanding Chapter 4 (Rules of Origin) or General Note 4 to the Tariff Schedule of Mexico, for the purposes of applying the preferential duty rate provided in this Agreement to a good, Mexico may consider a good not to be originating if it is a good provided for in: Mexican tariff item 1702.90.01, 1702.90.99, 1806.10.01, or 2106.90.05 that is exported from the territory of the United States, if any material provided for in HS subheading 1701.99 used in the production of that good is not a qualifying good. 7.</w:t>
      </w:r>
    </w:p>
    <w:p>
      <w:pPr>
        <w:pStyle w:val="Normal"/>
      </w:pPr>
      <w:r>
        <w:t>Each Party shall ensure that any measure it adopts or maintains regarding the grading of agricultural goods for quality, whether on a mandatory or voluntary basis, shall be applicable to imported agricultural goods, on the basis of the same regulatory framework, including the same requirements and based on the same criteria as domestic agricultural goods. 8. A Party that provides for the assignment of grades shall ensure that the same quality grade certificate requiring the same information is used for domestic and imported like products. No Party shall require: (a) a country of origin statement on any quality grade certificate; or (b) that any quality grade certificate state that the agricultural good is foreign or domestic. 9. No Party shall make domestic registration of grain and oilseed varietals: (a) a requirement for importation; or 3-B-2 (b) a consideration in the assignment of quality grades or classes to imported grain and oilseed. 10.</w:t>
      </w:r>
    </w:p>
    <w:p>
      <w:pPr>
        <w:pStyle w:val="Normal"/>
      </w:pPr>
      <w:r>
        <w:t>Mexico and the United States shall establish a technical working group, which will be comprised of, and co-chaired by, representatives of the governments of Mexico and the United States. The technical working group shall meet on an annual basis, unless otherwise decided. The technical working group shall review matters related to agricultural grade and quality standards, technical specifications, and other standards in each Party and their application and implementation insofar as they affect trade between the Parties.</w:t>
      </w:r>
    </w:p>
    <w:p>
      <w:pPr>
        <w:pStyle w:val="Normal"/>
      </w:pPr>
      <w:r>
        <w:t>The technical working group shall work to resolve issues that may arise regarding the application and implementation of the standards, including when feasible and appropriate, considering joint mechanisms, such as training programs, or work plans for quality inspections at the point of origin to facilitate trade between the Parties. 11. Beginning on the date of entry into force of this Agreement, no Party may refund the amount of customs paid, or waive or reduce the amount of customs duties owed, on any agricultural good imported into its territory that is substituted for an identical or similar good that is subsequently exported to the territory of the other Party. 3-B-3</w:t>
      </w:r>
    </w:p>
    <w:p>
      <w:pPr>
        <w:pStyle w:val="Heading2"/>
      </w:pPr>
      <w:bookmarkStart w:id="900100" w:name="_Toc300000099"/>
      <w:r>
        <w:t xml:space="preserve">ANNEX 3-C DISTILLED SPIRITS, WINE, BEER, AND OTHER ALCOHOL BEVERAGES</w:t>
      </w:r>
      <w:bookmarkEnd w:id="900100"/>
    </w:p>
    <w:p>
      <w:pPr>
        <w:pStyle w:val="Heading2"/>
      </w:pPr>
      <w:bookmarkStart w:id="900101" w:name="_Toc300000100"/>
      <w:r>
        <w:t xml:space="preserve">Article 3.C.1: Internal Sale and Distribution of Distilled Spirits, Wine, Beer, or other Alcohol Beverages</w:t>
      </w:r>
      <w:bookmarkEnd w:id="900101"/>
    </w:p>
    <w:p>
      <w:pPr>
        <w:pStyle w:val="Normal"/>
      </w:pPr>
      <w:r>
        <w:t xml:space="preserve">1. For the purposes of this Article: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distilled spirits include distilled spirits and distilled spirit containing beverages; and wine includes wine and wine-containing beverages. 2. This Article applies to a measure related to the internal sale and distribution of distilled spirits, wine, beer, or other alcohol beverages.13 3. Except as otherwise provided in this Article, Article 2.3 (National Treatment) shall not apply to: (a) a non-conforming provision of a measure related to wine or distilled spirits in existence on October 4, 1987;</w:t>
      </w:r>
    </w:p>
    <w:p>
      <w:pPr>
        <w:pStyle w:val="Normal"/>
      </w:pPr>
      <w:r>
        <w:t>(b) the continuation or prompt renewal of a non-conforming provision of a measure referred to in subparagraph (a); or (c) an amendment to a non-conforming provision of a measure referred to in subparagraph (a) to the extent that the amendment does not decrease its conformity with Article 2.3 (National Treatment). 4. A Party asserting that paragraph 3 applies to a measure shall have the burden of establishing that the measure meets the conditions set out in paragraph 3. 5.</w:t>
      </w:r>
    </w:p>
    <w:p>
      <w:pPr>
        <w:pStyle w:val="Normal"/>
      </w:pPr>
      <w:r>
        <w:t>Measures related to distribution of distilled spirits, wine, beer, or other alcohol beverages shall conform with Article 2.3 (National Treatment). 13 Paragraphs 3 and 4 of this Article do not apply to Mexico. 3-C-1 6. Notwithstanding paragraph 5, and provided that distribution measures otherwise ensure conformity with Article 2.3 (National Treatment), Canada may maintain a measure in existence on October 4, 1987, requiring private wine store outlets in existence on October 4, 1987, in the provinces of Ontario and British Columbia to discriminate in favor of wine of those provinces to a degree no greater than the discrimination required by that measure in existence on October 4, 1987. 7. Nothing in this Agreement shall prohibit the Province of Quebec from requiring that wine sold in grocery stores in Quebec be bottled in Quebec, provided that alternative outlets are provided in Quebec for the sale of wine of the other Parties, whether or not that wine is bottled in Quebec. 8.</w:t>
      </w:r>
    </w:p>
    <w:p>
      <w:pPr>
        <w:pStyle w:val="Normal"/>
      </w:pPr>
      <w:r>
        <w:t>If a Party requires that distilled spirits, wine, beer, or other alcohol beverages be listed to be distributed or sold in its territory, measures related to listing shall: (a) conform with Article 2.3 (National Treatment); (b) not create disguised barriers to trade; (c) be based on commercial considerations; and (d) be transparent, including providing transparent criteria for decisions regarding listing. 9.</w:t>
      </w:r>
    </w:p>
    <w:p>
      <w:pPr>
        <w:pStyle w:val="Normal"/>
      </w:pPr>
      <w:r>
        <w:t>If a Party requires that distilled spirits, wine, beer, or other alcohol beverages be listed to be distributed or sold in its territory, that Party shall, with regard to the decisions of the entity exercising governmental authority regarding the listing: (a) provide for a prompt decision on any listing application; (b) provide prompt written notification of decisions regarding a listing application to the applicant and, in the case of a negative decision, provide for a statement of the reason for refusal; and (c) establish administrative appeal procedures for listing decisions that provide for prompt, fair, and objective rulings. 10. If a distributor or retailer exercises governmental authority regarding internal sale or distribution of distilled spirits, wine, beer, or other alcohol beverages, any price mark-ups charged by that entity shall conform with Article 2.3 (National Treatment) and that entity shall accord treatment to distilled spirits, wine, beer, or other alcohol beverages of another Party no less favorable than the treatment accorded to a like product of another Party or a non-Party. 3-C-2 11.</w:t>
      </w:r>
    </w:p>
    <w:p>
      <w:pPr>
        <w:pStyle w:val="Normal"/>
      </w:pPr>
      <w:r>
        <w:t xml:space="preserve">If a distributor or retailer exercises governmental authority regarding internal sale or distribution of distilled spirits, wine, beer, or other alcohol beverages, that entity may charge the actual cost-of-service differential between distributing or selling distilled spirits, wine, beer, or other alcohol beverages of another Party and distributing or selling domestic or regional product. The cost-of-service shall be reasonable and commensurate with service. Any cost-of-service differential referred to above shall not exceed the actual amount by which the audited cost of service for the product of the exporting Party exceeds the audited cost of service for the product of the importing Party. 12. A Party may maintain or introduce a measure limiting on premise sales by a winery or distillery to those wines or distilled spirits produced on its premises. 13. No Party shall adopt or maintain a measure requiring that distilled spirits, wine, beer, or other alcohol beverages imported from another Party for bottling be blended with distilled spirits, wine, beer, or other alcohol beverages of the importing Party.</w:t>
      </w:r>
    </w:p>
    <w:p>
      <w:pPr>
        <w:pStyle w:val="Heading2"/>
      </w:pPr>
      <w:bookmarkStart w:id="900102" w:name="_Toc300000101"/>
      <w:r>
        <w:t xml:space="preserve">Article 3.C.2: Distinctive Products</w:t>
      </w:r>
      <w:bookmarkEnd w:id="900102"/>
    </w:p>
    <w:p>
      <w:pPr>
        <w:pStyle w:val="Normal"/>
      </w:pPr>
      <w:r>
        <w:t xml:space="preserve">1.</w:t>
      </w:r>
    </w:p>
    <w:p>
      <w:pPr>
        <w:pStyle w:val="Normal"/>
      </w:pPr>
      <w:r>
        <w:t>Canada and Mexico shall recognize Bourbon Whiskey and Tennessee Whiskey, which is a straight Bourbon Whiskey authorized to be produced only in the State of Tennessee, as distinctive products of the United States.</w:t>
      </w:r>
    </w:p>
    <w:p>
      <w:pPr>
        <w:pStyle w:val="Normal"/>
      </w:pPr>
      <w:r>
        <w:t xml:space="preserve">Accordingly, Canada and Mexico shall not permit the sale of any product as Bourbon Whiskey or Tennessee Whiskey, unless it has been manufactured in the United States in accordance with the laws and regulations of the United States governing the manufacture of Bourbon Whiskey and Tennessee Whiskey. 2. Mexico and the United States shall recognize Canadian Whisky as a distinctive product of Canada. Accordingly, Mexico and the United States shall not permit the sale of any product as Canadian Whisky, unless it has been manufactured in Canada in accordance with the laws and regulations of Canada governing the manufacture of Canadian Whisky for consumption in Canada. 3. Canada and the United States shall recognize Tequila and Mezcal as distinctive products of Mexico. Accordingly, Canada and the United States shall not permit the sale of any product as Tequila or Mezcal unless it has been manufactured in Mexico in accordance with the laws and regulations of Mexico governing the manufacture of Tequila and Mezcal.</w:t>
      </w:r>
    </w:p>
    <w:p>
      <w:pPr>
        <w:pStyle w:val="Heading2"/>
      </w:pPr>
      <w:bookmarkStart w:id="900103" w:name="_Toc300000102"/>
      <w:r>
        <w:t xml:space="preserve">Article 3.C.3: Wine and Distilled Spirits</w:t>
      </w:r>
      <w:bookmarkEnd w:id="900103"/>
    </w:p>
    <w:p>
      <w:pPr>
        <w:pStyle w:val="Normal"/>
      </w:pPr>
      <w:r>
        <w:t xml:space="preserve">1.</w:t>
      </w:r>
    </w:p>
    <w:p>
      <w:pPr>
        <w:pStyle w:val="Normal"/>
      </w:pPr>
      <w:r>
        <w:t>For the purposes of this Article and Article 3.C.4 (Other Provisions): container means a bottle, barrel, cask, or other closed receptacle, irrespective of size or of the material from which it is made, used for the retail sale of wine or distilled spirits;</w:t>
      </w:r>
    </w:p>
    <w:p>
      <w:pPr>
        <w:pStyle w:val="Normal"/>
      </w:pPr>
      <w:r>
        <w:t>3-C-3 distilled spirits means a potable alcoholic distillate including spirits made from wine, whiskey, rum, brandy, gin, tequila, mezcal, liqueurs, cordials, and vodka and dilutions or mixtures thereof for consumption; label means a brand, mark, pictorial, or other descriptive matter that is written, printed, stenciled, marked, embossed, or impressed on, or firmly affixed to a primary container of wine or distilled spirits; mandatory information means information required by a Party to appear on a wine or distilled spirits container, label, or packaging; oenological practices means winemaking materials, processes, treatments, and techniques, but does not include labeling, bottling, or packaging for final sale; single field of vision means a part of the surface of a primary container, excluding its base and cap, that can be seen without having to turn the container; and wine means a beverage that is produced by the complete or partial alcoholic fermentation exclusively of fresh grapes, grape must, or products derived from fresh grapes and as defined by each Party’s laws and regulations.14 2.</w:t>
      </w:r>
    </w:p>
    <w:p>
      <w:pPr>
        <w:pStyle w:val="Normal"/>
      </w:pPr>
      <w:r>
        <w:t>This Article shall apply to the preparation, adoption, and application of technical regulations, standards, and conformity assessment procedures adopted or maintained by each Party at the central level of government that may affect trade in wine and distilled spirits between the Parties, other than sanitary or phytosanitary measures or technical specifications prepared by a governmental body for production or consumption requirements of governmental bodies. 3. Each Party shall make its laws and regulations concerning wine and distilled spirits available online. 4. A Party may require that a wine or distilled spirits label be: (a) clear, specific, truthful, accurate, and not misleading to the consumer; (b) legible to the consumer; and (c) firmly affixed to the container if the label is not an integral part of the container. 5. Each Party shall permit mandatory information to be displayed on a supplementary label affixed to a distilled spirits container. Each Party shall permit those supplementary labels to be 14 For the United States, the alcohol content of wine must be not less than seven percent and not more than 24 percent.</w:t>
      </w:r>
    </w:p>
    <w:p>
      <w:pPr>
        <w:pStyle w:val="Normal"/>
      </w:pPr>
      <w:r>
        <w:t>3-C-4 affixed to an imported distilled spirits container after importation but prior to the product being offered for sale in the Party’s territory. A Party may require that the supplementary label be affixed prior to release from customs.</w:t>
      </w:r>
    </w:p>
    <w:p>
      <w:pPr>
        <w:pStyle w:val="Normal"/>
      </w:pPr>
      <w:r>
        <w:t>For greater certainty, a Party may require that the information indicated on a supplementary label meet the requirements in paragraph 4. 6. A Party may require that information indicated on a supplementary label affixed to a distilled spirits container or wine container not conflict with information on an existing label. 7. Each Party shall permit the alcoholic content by volume indicated on a wine or distilled spirits label to be expressed by alcohol by volume (alc/vol), for example 12% alc/vol or alc12%vol, and to be indicated in percentage terms to a maximum of one decimal point, for example 12.1%. 8. Each Party shall permit the use of the term “wine” as a product name. A Party may require a wine label to indicate the type, category, class, or classification of the wine. 9. With respect to wine labels, each Party shall permit the information set out in paragraphs 11(a) through (d) to be presented in a single field of vision for a container of wine.</w:t>
      </w:r>
    </w:p>
    <w:p>
      <w:pPr>
        <w:pStyle w:val="Normal"/>
      </w:pPr>
      <w:r>
        <w:t>If this information is presented in a single field of vision, then the Party’s requirements with respect to placement of this information are satisfied. A Party shall accept any of the information that appears outside a single field of vision if that information satisfies that Party’s laws, regulations, and requirements. 10.</w:t>
      </w:r>
    </w:p>
    <w:p>
      <w:pPr>
        <w:pStyle w:val="Normal"/>
      </w:pPr>
      <w:r>
        <w:t>Notwithstanding paragraph 9, a Party may require net contents to be displayed on the principal display panel for a subset of less commonly used container sizes if specifically required by that Party’s laws or regulations. 11. If a Party requires a wine label to indicate information other than: (a) product name; (b) country of origin; (c) net contents; or (d) alcohol content, it shall permit the information to be indicated on a supplementary label affixed to the wine container. A Party shall permit the supplementary label to be affixed to the container of the imported wine after importation but prior to the product being offered for sale in the Party’s territory, and may require that the supplementary label be affixed prior to release from customs. For greater certainty, a Party may require that information on a supplementary label meet the requirements set out in paragraph 4. 3-C-5 12.</w:t>
      </w:r>
    </w:p>
    <w:p>
      <w:pPr>
        <w:pStyle w:val="Normal"/>
      </w:pPr>
      <w:r>
        <w:t>If there is more than one label on a container of imported wine or distilled spirits, a Party may require that each label be visible and not obscure mandatory information on another label. 13. If a Party has more than one official language, it may require that information on a wine or distilled spirits label appear in equal prominence in each official language. 14.</w:t>
      </w:r>
    </w:p>
    <w:p>
      <w:pPr>
        <w:pStyle w:val="Normal"/>
      </w:pPr>
      <w:r>
        <w:t>Each Party shall permit placement of a lot identification code on a wine or distilled spirits container, if the code is clear, specific, truthful, accurate, and not misleading, and shall not impose requirements regarding: (a) where to place the lot identification code on the container, provided that the code does not cover up mandatory information printed on the label; and (b) the specific font size, readable phrasing, and formatting for the code, provided that the lot identification code is legible by physical means, and if permitted, by electronic means. 15. A Party may impose penalties for the removal or deliberate defacement of any lot identification code on the container. 16. No Party shall require a date mark on a wine or distilled spirits container, label, or packaging, including the following or iterations of the following: (a) date of production or manufacture; (b) use-by date (recommended last consumption date, expiration date); (c) date of minimum durability (best-before date), best quality before date; (d) sell-by date;</w:t>
      </w:r>
    </w:p>
    <w:p>
      <w:pPr>
        <w:pStyle w:val="Normal"/>
      </w:pPr>
      <w:r>
        <w:t>(e) date of packaging; or (f) date of bottling, except that a Party may require the display of a date of minimum durability or use-by date on products that could have a shorter date of minimum durability or expiration than would normally be expected by the consumer because of their packaging or container, for example, bag-in-box wines or individual serving size wines, or because of the addition of perishable ingredients. 17.</w:t>
      </w:r>
    </w:p>
    <w:p>
      <w:pPr>
        <w:pStyle w:val="Normal"/>
      </w:pPr>
      <w:r>
        <w:t>No Party shall require a wine or distilled spirits label or packaging to include translation of a trademark or brand name. A Party may require that a trademark or brand name not conflict with any mandatory information on the label. 3-C-6 18. No Party shall prevent imports of wine from other Parties on the basis that the wine label includes the following terms: chateau, classic, clos, cream, crusted, crusting, fine, late bottled vintage, noble, reserve, ruby, special reserve, solera, superior, sur lie, tawny, vintage, or vintage character.15 19. No Party shall require a wine label or packaging to disclose an oenological practice, except to meet a legitimate human health or safety objective with respect to that oenological practice. 20. Each Party shall permit wine to be labeled as Icewine, ice wine, ice-wine or a similar variation of those terms, only if the wine is made exclusively from grapes naturally frozen on the vine. 21.</w:t>
      </w:r>
    </w:p>
    <w:p>
      <w:pPr>
        <w:pStyle w:val="Normal"/>
      </w:pPr>
      <w:r>
        <w:t>Each Party shall endeavor to base its quality and identity requirements for any specific type, category, class, or classification of distilled spirits solely on minimum ethyl alcohol content and raw materials, added ingredients, and production procedures used to produce that specific type, category, class, or classification of distilled spirits. 22.</w:t>
      </w:r>
    </w:p>
    <w:p>
      <w:pPr>
        <w:pStyle w:val="Normal"/>
      </w:pPr>
      <w:r>
        <w:t>No importing Party shall require imported wine or distilled spirits to be certified by an official certification body of the Party in which territory the wine or distilled spirits were produced or by a certification body recognized by the Party in whose territory the wine or distilled spirits were produced regarding: (a) vintage, varietal, regional, or appellation of origin claims for wine; or (b) raw materials and production processes for distilled spirits, except that the importing Party may require: (i) that wine or distilled spirits be certified regarding subparagraph (a) or (b) if the Party in which territory the wine or distilled spirits were produced requires that certification, or (ii) that wine be certified regarding subparagraph (a) if the importing Party has a reasonable and legitimate concern about a vintage, varietal, regional, or appellation of origin claim for wine, or that distilled spirits be certified regarding subparagraph (b) if certification is necessary to verify claims such as age, origin, or standards of identity. 23.</w:t>
      </w:r>
    </w:p>
    <w:p>
      <w:pPr>
        <w:pStyle w:val="Normal"/>
      </w:pPr>
      <w:r>
        <w:t>A Party shall normally permit submission of any required certification (other than those required pursuant to paragraph 22 of this Article), test result, or sample only with the initial 15 Nothing in this paragraph shall be construed to require Canada to apply this paragraph in a manner inconsistent with its obligations under Article A(3) of Annex V of the EU-Canada Wine Agreement, as amended on September 21, 2017.</w:t>
      </w:r>
    </w:p>
    <w:p>
      <w:pPr>
        <w:pStyle w:val="Normal"/>
      </w:pPr>
      <w:r>
        <w:t>3-C-7 shipment of a particular brand, producer, and lot. If a Party requires submission of a sample of the product for the Party’s procedure to assess conformity with its technical regulation or standard, it shall not require a sample quantity larger than the minimum quantity necessary to complete the relevant conformity assessment procedure. Nothing in this provision precludes a Party from undertaking verification of test results or certification, for example, if the Party has information that a particular product may be non-compliant. 24. Each Party shall endeavor to assess the other Parties’ laws, regulations, and requirements in respect of oenological practices, with the aim of reaching agreements that provide for the Parties’ acceptance of each other’s mechanisms for regulating oenological practices, if appropriate. 25. If an importing Party requires certification for wine or distilled spirits from the Party in whose territory the wine or distilled spirits were produced, the importing Party shall not deny the certification on the basis that the certification was issued from a conformity assessment body accredited and approved by the Party in whose territory the wine or distilled spirits were produced. 26.</w:t>
      </w:r>
    </w:p>
    <w:p>
      <w:pPr>
        <w:pStyle w:val="Normal"/>
      </w:pPr>
      <w:r>
        <w:t xml:space="preserve">Each Party shall permit a wine or distilled spirits label to include: (a) statements regarding quality;16 (b) statements regarding production processes; and (c) drawings, figures, or illustrations, provided they are not false, misleading, obscene, or indecent, as defined in each Party’s law. 27. Nothing in paragraph 26 affects mandatory information requirements or a Party’s ability to enforce its intellectual property, health, or safety laws and regulations.</w:t>
      </w:r>
    </w:p>
    <w:p>
      <w:pPr>
        <w:pStyle w:val="Heading2"/>
      </w:pPr>
      <w:bookmarkStart w:id="900104" w:name="_Toc300000103"/>
      <w:r>
        <w:t xml:space="preserve">Article 3.C.4: Other Provisions</w:t>
      </w:r>
      <w:bookmarkEnd w:id="900104"/>
    </w:p>
    <w:p>
      <w:pPr>
        <w:pStyle w:val="Normal"/>
      </w:pPr>
      <w:r>
        <w:t xml:space="preserve">1. Unless urgent problems of human health or safety arise or threaten to arise, a Party shall normally allow a reasonable period of time, as determined by the authority responsible, following the date of entry into force of a measure before requiring wine or distilled spirits that were entered into commerce in the territory of that Party prior to that date of entry into force to comply with the measure in order to allow time for the sale of those products. 2.</w:t>
      </w:r>
    </w:p>
    <w:p>
      <w:pPr>
        <w:pStyle w:val="Normal"/>
      </w:pPr>
      <w:r>
        <w:t>For the purpose of paragraph 1, a “measure” means a technical regulation, standard, conformity assessment procedure, or sanitary or phytosanitary measure adopted by a Party at the 16 Statements regarding quality would include, for example, “premium” or “ultra premium.” 3-C-8 central level of government that may affect trade in wine and distilled spirits between the Parties, other than technical specifications prepared by a governmental body for production or consumption requirements of governmental bodies. 3.</w:t>
      </w:r>
    </w:p>
    <w:p>
      <w:pPr>
        <w:pStyle w:val="Normal"/>
      </w:pPr>
      <w:r>
        <w:t>If a Party imposes a mandatory food allergen labelling requirement at the central level of government for wine or distilled spirits, that Party shall: (a) not apply the requirement to wines and distilled spirits if no protein from a food allergen is present in the product; or (b) provide an exemption17 for food allergen sources that have been used in the production of the beverage if: (i) the finished product or class of products does not cause an allergic response that poses a risk to human health, or (ii) the finished product does not contain protein from a food allergen. For the purpose of this paragraph, “food allergen” means those food allergens that a Party requires to be declared on a wine or distilled spirits label. 4. Each Party shall apply a risk-based approach regarding whether to require, for wine, certificates of analysis for pathogenic microorganisms. In applying a risk-based approach, each Party shall take into account that wine is a microbiological low risk food product. 5.</w:t>
      </w:r>
    </w:p>
    <w:p>
      <w:pPr>
        <w:pStyle w:val="Normal"/>
      </w:pPr>
      <w:r>
        <w:t>If an authority at the central level of government deems that certification of wine is necessary to protect human health or safety or to achieve other legitimate objectives, that Party shall consider the use of the generic model official certificate in the Codex Alimentarius Guidelines for Design, Production, Issuance and Use of Generic Official Certificates (CAC/GL 38-2001), as amended, or the APEC model wine export certificate.</w:t>
      </w:r>
    </w:p>
    <w:p>
      <w:pPr>
        <w:pStyle w:val="Normal"/>
      </w:pPr>
      <w:r>
        <w:t>A Party requiring certification of wine shall ensure any certification requirements are transparent and non discriminatory. 6. The Committee on Agricultural Trade established in Article 3.7 (Committee on Agricultural Trade) shall provide a forum for the Parties to: (a) monitor and promote cooperation on the implementation and administration of this Annex; (b) if appropriate consult on matters and positions relevant to trade in alcohol beverages in international organizations; 17 For greater certainty, a Party may require the producer, bottler, or importer of the product to establish eligibility for an exemption from the Party’s allergen labeling requirement using a scientifically validated testing methodology. 3-C-9 (c) promote trade in alcohol beverages between the Parties under this Agreement; and (d) discuss any other matters related to this Annex. 3-C-10</w:t>
      </w:r>
    </w:p>
    <w:p>
      <w:pPr>
        <w:pStyle w:val="Heading2"/>
      </w:pPr>
      <w:bookmarkStart w:id="900105" w:name="_Toc300000104"/>
      <w:r>
        <w:t xml:space="preserve">ANNEX 3-D PROPRIETARY FORMULAS FOR PREPACKAGED FOODS AND FOOD ADDITIVES</w:t>
      </w:r>
      <w:bookmarkEnd w:id="900105"/>
    </w:p>
    <w:p>
      <w:pPr>
        <w:pStyle w:val="Normal"/>
      </w:pPr>
      <w:r>
        <w:t xml:space="preserve">1. This Annex applies to the preparation, adoption, and application of technical regulations and standards of central government bodies related to prepackaged foods and food additives, other than sanitary or phytosanitary measures or technical specifications prepared by a governmental body for production or consumption requirements of a governmental body. 2. For the purposes of this Annex, “food”, “food additive”, and “prepackaged” have the same meanings as set out in the Codex General Standard for the Labelling of Pre-Packaged Food (CODEX STAN 1-1985) and the Codex General Standard for the Labelling of Food Additives When Sold as Such (CODEX STAN 107-1981), as amended. 3. When requesting information relating to proprietary formulas for prepackaged foods or food additives, a Party shall: (a) ensure that its information requirements are limited to what is necessary to achieve its legitimate objective; and (b) protect the confidential information received about products originating in the territory of another Party in the same manner as for domestic products and in a manner that protects legitimate commercial interests. 4.</w:t>
      </w:r>
    </w:p>
    <w:p>
      <w:pPr>
        <w:pStyle w:val="Normal"/>
      </w:pPr>
      <w:r>
        <w:t>A Party may use confidential information it has obtained relating to proprietary formulas in administrative and judicial proceedings in accordance with its law, provided the Party maintains procedures to protect the confidentiality of the information in the course of those proceedings.</w:t>
      </w:r>
    </w:p>
    <w:p>
      <w:pPr>
        <w:pStyle w:val="Normal"/>
      </w:pPr>
      <w:r>
        <w:t>5. Nothing in paragraph 3 prevents a Party from requiring ingredients to be listed on labels consistent with CODEX STAN 1-1985 and CODEX STAN 107-1981, as they may be amended, except when those standards would be an ineffective or inappropriate means for the fulfilment of a legitimate objective. 3-D-1</w:t>
      </w:r>
    </w:p>
    <w:p>
      <w:pPr>
        <w:pStyle w:val="Normal"/>
      </w:pPr>
      <w:r>
        <w:t>4. A discriminatory listing, distribution, mark-up, retail-access, licensing, inspection, or equivalent sub-federal measure concerning alcoholic beverages is subject to Article 35.4A where its design or economic effect substitutes for a prohibited covered border measure. Differences in regulatory form are permitted where the burden is objectively equivalent, non-discriminatory, and reasonably necessary to achieve a legitimate regulatory objective.</w:t>
      </w:r>
    </w:p>
    <w:p>
      <w:pPr>
        <w:pStyle w:val="Heading1"/>
      </w:pPr>
      <w:bookmarkStart w:id="900106" w:name="_Toc300000105"/>
      <w:r>
        <w:t>CHAPTER 4 RULES OF ORIGIN</w:t>
      </w:r>
      <w:bookmarkEnd w:id="900106"/>
    </w:p>
    <w:p>
      <w:pPr>
        <w:pStyle w:val="Heading2"/>
      </w:pPr>
      <w:bookmarkStart w:id="900107" w:name="_Toc300000106"/>
      <w:r>
        <w:t xml:space="preserve">Article 4.1: Definitions</w:t>
      </w:r>
      <w:bookmarkEnd w:id="900107"/>
    </w:p>
    <w:p>
      <w:pPr>
        <w:pStyle w:val="Normal"/>
      </w:pPr>
      <w:r>
        <w:t xml:space="preserve">For the purposes of this Chapter: aquaculture means the farming of aquatic organisms, including fish, molluscs, crustaceans, other aquatic invertebrates and aquatic plants from seed stock such as eggs, fry, fingerlings, or larvae, by intervention in the rearing or growth processes to enhance production such as regular stocking, feeding, or protection from predators; fungible goods or fungible materials means goods or materials that are interchangeable for commercial purposes and the properties of which are essentially identical; indirect material means a material used in the production, testing, or inspection of a good but not physically incorporated into the good, or a material used in the maintenance of buildings or the operation of equipment associated with the production of a good, including: (a) fuel and energy; (b) tools, dies, and molds; (c) spare parts and materials used in the maintenance of equipment and buildings; (d) lubricants, greases, compounding materials, and other materials used in production or used to operate equipment and buildings; (e) gloves, glasses, footwear, clothing, safety equipment, and supplies;</w:t>
      </w:r>
    </w:p>
    <w:p>
      <w:pPr>
        <w:pStyle w:val="Normal"/>
      </w:pPr>
      <w:r>
        <w:t>(f) equipment, devices, and supplies used for testing or inspecting the goods; (g) catalysts and solvents; and (h) any other material that is not incorporated into the good but for which the use in the production of the good can reasonably be demonstrated to be a part of that production; intermediate material means a material</w:t>
      </w:r>
    </w:p>
    <w:p>
      <w:pPr>
        <w:pStyle w:val="Normal"/>
      </w:pPr>
      <w:r>
        <w:t>that is self-produced and used in the production of a good, and designated pursuant to Article 4.8 (Intermediate Materials); material means a good that is used in the production of another good, and includes a part or an ingredient; net cost means total cost minus sales promotion, marketing and after-sales service costs, royalties, shipping and packing costs, and non-allowable interest costs that are included in the total cost; net cost of a good means the net cost that can be reasonably allocated to a good using one of the methods set out in Article 4.5 (Regional Value Content); non-allowable interest costs means interest costs incurred by a producer that exceed 700 basis points above the applicable federal government interest rate identified in the Uniform Regulations for comparable maturities; non-originating good or non-originating material means a good or material that does not qualify as originating under this Chapter; originating good or originating material means a good or material that qualifies as originating under this Chapter;</w:t>
      </w:r>
    </w:p>
    <w:p>
      <w:pPr>
        <w:pStyle w:val="Normal"/>
      </w:pPr>
      <w:r>
        <w:t>packaging materials and containers means materials and containers in which a good is packaged for retail sale; packing materials and containers means materials and containers that are used to protect a good during transportation; producer means a person who engages in the production of a good; production means growing, cultivating, raising, mining, harvesting, fishing, trapping, hunting, capturing, breeding, extracting, manufacturing,</w:t>
      </w:r>
    </w:p>
    <w:p>
      <w:pPr>
        <w:pStyle w:val="Normal"/>
      </w:pPr>
      <w:r>
        <w:t>processing, or assembling a good, or aquaculture; reasonably allocate means to apportion in a manner appropriate to the circumstances; royalties means payments of any kind, including payments under technical assistance or similar agreements, made as consideration for the use or right to use a copyright, literary, artistic, or scientific work, patent, trademark, design, model, plan, or secret formula or process, excluding those payments under technical assistance or similar agreements that can be related to specific services such as: (a) personnel training, without regard to where the training is performed; or (b) if performed in the territory of one or more of the Parties, engineering, tooling, die-setting, software design and similar computer services, or other services; sales promotion, marketing, and after-sales service costs means the following costs related to sales promotion, marketing, and after-sales service:</w:t>
      </w:r>
    </w:p>
    <w:p>
      <w:pPr>
        <w:pStyle w:val="Normal"/>
      </w:pPr>
      <w:r>
        <w:t>(a) sales and marketing promotion; media advertising; advertising and market research; promotional and demonstration materials; exhibits; sales conferences, trade shows, and conventions; banners; marketing displays; free samples; sales, marketing, and after-sales service literature (product brochures, catalogs, technical literature, price lists, service manuals, or sales aid information); establishment and protection of logos and trademarks; sponsorships; wholesale and retail restocking charges; or entertainment; (b) sales and marketing incentives; consumer,</w:t>
      </w:r>
    </w:p>
    <w:p>
      <w:pPr>
        <w:pStyle w:val="Normal"/>
      </w:pPr>
      <w:r>
        <w:t>retailer, or wholesaler rebates; or merchandise incentives; (c) salaries and wages, sales commissions, bonuses, benefits (for example, medical, insurance, or pension), travelling and living expenses, or membership and professional fees for sales promotion, marketing and after-sales service personnel; (d) recruiting and training of sales promotion, marketing, and after-sales service personnel, and after-sales training of customers’ employees, if those costs are identified separately for sales promotion, marketing, and after-sales service of goods on the financial statements or cost accounts of the producer; (e) product liability insurance; (f) office supplies for sales promotion, marketing, and after-sales service of goods, if those costs are identified separately for sales promotion, marketing, and after- sales service of goods on the financial statements or cost accounts of the producer; (g) telephone, mail, and other communications, if those costs are identified separately for sales promotion, marketing, and after-sales service of goods on the financial statements or cost accounts of the producer; (h) rent and depreciation of sales promotion, marketing, and after-sales service offices, and distribution centers;</w:t>
      </w:r>
    </w:p>
    <w:p>
      <w:pPr>
        <w:pStyle w:val="Normal"/>
      </w:pPr>
      <w:r>
        <w:t>(i) property insurance premiums, taxes, cost of utilities, and repair and maintenance of sales promotion, marketing, and after-sales service offices and distribution centers, if those costs are identified separately for sales promotion, marketing, and after-sales</w:t>
      </w:r>
    </w:p>
    <w:p>
      <w:pPr>
        <w:pStyle w:val="Normal"/>
      </w:pPr>
      <w:r>
        <w:t>service of goods on the financial statements or cost accounts of the producer; and (j) payments by the producer to other persons for warranty repairs; self-produced material means a material that is produced by the producer of a good and used in the production of that good; shipping and packing costs means the costs incurred in packing a good for shipment and shipping the good from the point of direct shipment to the buyer, excluding costs of preparing and packaging the good for retail sale; total cost means all product costs, period costs, and other costs incurred in the territory of one or more of the Parties, where: (a) product costs are costs that are associated with the production of a good and include the value of materials, direct labor costs, and direct overheads; (b) period costs are costs, other than product costs, that are expensed in the period in which they are incurred, such as selling expenses and general and administrative expenses; and (c) other costs are all costs recorded on the books of the producer that are not product costs or period costs, such as interest.</w:t>
      </w:r>
    </w:p>
    <w:p>
      <w:pPr>
        <w:pStyle w:val="Normal"/>
      </w:pPr>
      <w:r>
        <w:t>Total cost does not include profits that are earned by the producer, regardless of whether they are retained by the producer or paid out to other persons as dividends, or taxes paid on those profits, including capital gains taxes; transaction value means the customs value as determined in accordance with the Customs Valuation Agreement, that is, the price actually paid or payable for a good or material with respect to a transaction of, except for the application of Articles 10.3(a) in the Appendix to Annex 4-B (Product-Specific Rules of Origin), the producer of the good, adjusted in accordance with the principles of Articles 8(1), 8(3), and 8(4) of the Customs Valuation Agreement, regardless of whether the good or material is sold for export; used means used or consumed in the production of goods; and value means value of a good or material for purposes of calculating customs duties or for the purposes of applying this Chapter.</w:t>
      </w:r>
    </w:p>
    <w:p>
      <w:pPr>
        <w:pStyle w:val="Heading2"/>
      </w:pPr>
      <w:bookmarkStart w:id="900108" w:name="_Toc300000107"/>
      <w:r>
        <w:t xml:space="preserve">Article 4.2: Originating Goods</w:t>
      </w:r>
      <w:bookmarkEnd w:id="900108"/>
    </w:p>
    <w:p>
      <w:pPr>
        <w:pStyle w:val="Normal"/>
      </w:pPr>
      <w:r>
        <w:t xml:space="preserve">Except as otherwise provided in this Chapter, each Party shall provide that a good is originating if it is: (a) wholly obtained or produced entirely in the territory of one or more of the Parties, as defined in Article 4.3 (Wholly Obtained or Produced Goods); (b) produced entirely in the territory of one or more of the Parties using non- originating materials provided the good satisfies all applicable requirements of Annex 4-B (Product-Specific Rules of Origin); (c) produced entirely in the territory of one or more of the Parties exclusively from originating materials; or (d) except for a good provided for in Chapter 61 to 63 of the Harmonized System: (i) produced entirely in the territory of one or more of the Parties;</w:t>
      </w:r>
    </w:p>
    <w:p>
      <w:pPr>
        <w:pStyle w:val="Normal"/>
      </w:pPr>
      <w:r>
        <w:t>(ii) one or more of the non-originating materials provided for as parts under the Harmonized System used in the production of the good cannot satisfy the requirements set out in Annex 4-B (Product-Specific Rules of Origin) because both the good and its materials are classified in the same subheading or same heading that is not further subdivided into subheadings or, the good was imported into the territory of a Party in an unassembled or a disassembled form but was classified as an assembled good pursuant to rule 2(a) of the General Rules of Interpretation of the Harmonized System; and (iii) the regional value content of the good, determined in accordance with Article 4.5 (Regional Value Content), is not less than 60 percent if</w:t>
      </w:r>
    </w:p>
    <w:p>
      <w:pPr>
        <w:pStyle w:val="Normal"/>
      </w:pPr>
      <w:r>
        <w:t>the transaction value method is used, or not less than 50 percent if the net cost method is used; and the good satisfies all other applicable requirements of this Chapter.</w:t>
      </w:r>
    </w:p>
    <w:p>
      <w:pPr>
        <w:pStyle w:val="Heading2"/>
      </w:pPr>
      <w:bookmarkStart w:id="900109" w:name="_Toc300000108"/>
      <w:r>
        <w:t xml:space="preserve">Article 4.3: Wholly Obtained or Produced Goods</w:t>
      </w:r>
      <w:bookmarkEnd w:id="900109"/>
    </w:p>
    <w:p>
      <w:pPr>
        <w:pStyle w:val="Normal"/>
      </w:pPr>
      <w:r>
        <w:t xml:space="preserve">Each Party shall provide that, for the purposes of Article 4.2 (Originating Goods), a good is wholly obtained or produced entirely in the territory of one or more of the Parties if it is: (a) a mineral good or other naturally occurring substance extracted or taken from there; (b) a plant, plant good, vegetable, or fungus, grown, cultivated, harvested, picked, or gathered there; (c) a live animal born and raised there; (d) a good obtained from a live animal there; (e) an animal obtained by hunting, trapping, fishing, gathering, or capturing there; (f) a good obtained from aquaculture there; (g) fish, shellfish, or other marine life taken from the sea, seabed or subsoil outside the territories of the Parties and, under international law, outside the territorial sea of non-Parties, by vessels that are registered, listed, or recorded with a Party and entitled to fly the flag of that Party;</w:t>
      </w:r>
    </w:p>
    <w:p>
      <w:pPr>
        <w:pStyle w:val="Normal"/>
      </w:pPr>
      <w:r>
        <w:t>(h) a good produced from goods referred to in subparagraph (g) on board a factory ship that is registered, listed, or recorded with a Party and entitled to fly the flag of that Party; (i) a good other than fish, shellfish, and other marine life taken by a Party or a person of a Party from the seabed or subsoil outside the territories of the Parties, provided that Party has the right to exploit that seabed or subsoil; (j) waste and scrap derived from: (i) production there, or (ii) used goods collected there, provided the goods are fit only for the</w:t>
      </w:r>
    </w:p>
    <w:p>
      <w:pPr>
        <w:pStyle w:val="Normal"/>
      </w:pPr>
      <w:r>
        <w:t>recovery of raw materials; and (k) a good produced there, exclusively from goods referred to in subparagraphs (a) through (j), or from their derivatives, at any stage of production.</w:t>
      </w:r>
    </w:p>
    <w:p>
      <w:pPr>
        <w:pStyle w:val="Heading2"/>
      </w:pPr>
      <w:bookmarkStart w:id="900110" w:name="_Toc300000109"/>
      <w:r>
        <w:t xml:space="preserve">Article 4.4: Treatment of Recovered Materials Used in the Production of a Remanufactured Good</w:t>
      </w:r>
      <w:bookmarkEnd w:id="900110"/>
    </w:p>
    <w:p>
      <w:pPr>
        <w:pStyle w:val="Normal"/>
      </w:pPr>
      <w:r>
        <w:t xml:space="preserve">1. Each Party shall provide that a recovered material derived in the territory of one or more of the Parties is treated as originating when it is used in the production of, and incorporated into, a remanufactured good. 2. For greater certainty: (a) a remanufactured good is originating only if it satisfies the applicable requirements of Article 4.2 (Originating Goods); and (b) a recovered material that is not used or incorporated in the production of a remanufactured good is originating only if it satisfies the applicable requirements of Article 4.2 (Originating Goods).</w:t>
      </w:r>
    </w:p>
    <w:p>
      <w:pPr>
        <w:pStyle w:val="Heading2"/>
      </w:pPr>
      <w:bookmarkStart w:id="900111" w:name="_Toc300000110"/>
      <w:r>
        <w:t xml:space="preserve">Article 4.5: Regional Value Content</w:t>
      </w:r>
      <w:bookmarkEnd w:id="900111"/>
    </w:p>
    <w:p>
      <w:pPr>
        <w:pStyle w:val="Normal"/>
      </w:pPr>
      <w:r>
        <w:t xml:space="preserve">1. Except as provided in paragraph 6, each Party shall provide that the regional value content of a good shall be calculated, at the choice of the importer, exporter, or producer of the good, on the basis of either the transaction value method set out in paragraph 2 or the net cost method set out in paragraph 3. 2. Each Party shall provide that an importer, exporter, or producer may calculate the regional value content of a good on the basis of the following transaction value method: RVC = (TV-VNM)/TV x 100 where RVC is the regional value content, expressed as a percentage; TV is the transaction value of the good, adjusted to exclude any costs incurred in the international shipment of the good; and VNM is the value of non-originating materials including materials of undetermined origin used by the producer in the production of the good. 3.</w:t>
      </w:r>
    </w:p>
    <w:p>
      <w:pPr>
        <w:pStyle w:val="Normal"/>
      </w:pPr>
      <w:r>
        <w:t>Each Party shall provide that an importer, exporter, or producer may calculate the regional value content of a good on the basis of the following net cost method: RVC = (NC-VNM)/NC x 100 where RVC is the regional value content, expressed as a percentage; NC is the net cost of the good; and VNM is the value of non-originating materials including materials of undetermined origin used by the producer in the production of the good. 4.</w:t>
      </w:r>
    </w:p>
    <w:p>
      <w:pPr>
        <w:pStyle w:val="Normal"/>
      </w:pPr>
      <w:r>
        <w:t>Each Party shall provide that the value of non-originating materials used by the producer in the production of a good shall not, for the purposes of calculating the regional value content of the good under paragraph 2 or 3, include the value of non-originating materials used to produce originating materials that are subsequently used in the production of the good. 5. Each Party shall provide that if a non-originating material is used in the production of a good, the following may be counted as originating content for the purpose of determining whether the good meets a regional value content requirement: (a) the value of processing of the non-originating materials undertaken in the territory of one or more of the Parties; and (b) the value of any originating material used in the production of the non-originating material undertaken in the territory of one or more of the Parties. 6.</w:t>
      </w:r>
    </w:p>
    <w:p>
      <w:pPr>
        <w:pStyle w:val="Normal"/>
      </w:pPr>
      <w:r>
        <w:t>Each Party shall provide that an importer, exporter, or producer shall calculate the regional value content of a good solely on the basis of the net cost method set out in paragraph 3 if the rule under the Annex 4-B (Product-Specific Rules of Origin) does not provide a rule based on the transaction value method. 7.</w:t>
      </w:r>
    </w:p>
    <w:p>
      <w:pPr>
        <w:pStyle w:val="Normal"/>
      </w:pPr>
      <w:r>
        <w:t>If an importer, exporter, or producer of a good calculates the regional value content of the good on the basis of the transaction value method set out in paragraph 2 and a Party subsequently notifies the importer, exporter, or producer, during the course of a verification pursuant to Chapter 5 (Origin Procedures) that the transaction value of the good, or the value of material used in the production of the good, is required to be adjusted or is unacceptable under Article 1 of the Customs Valuation Agreement, the exporter, producer, or importer may then also calculate the regional value content of the good on the basis of the net cost method set out in paragraph 3. 8. For the purposes of calculating the net cost of a good under paragraph 3, the producer of the good may:</w:t>
      </w:r>
    </w:p>
    <w:p>
      <w:pPr>
        <w:pStyle w:val="Normal"/>
      </w:pPr>
      <w:r>
        <w:t>(a) calculate the total cost incurred with respect to all goods produced by that producer, subtract any sales promotion, marketing, and after-sales service costs, royalties, shipping and packing costs, and non-allowable interest costs that are included in the total cost of all those goods, and then reasonably allocate the resulting net cost of those goods to the good; (b) calculate the total cost incurred with respect to all goods produced by that producer, reasonably allocate the total cost to the good, and then subtract any sales promotion, marketing, and after-sales service costs, royalties, shipping and packing costs, and non-allowable interest costs that are included in the portion of the total cost</w:t>
      </w:r>
    </w:p>
    <w:p>
      <w:pPr>
        <w:pStyle w:val="Normal"/>
      </w:pPr>
      <w:r>
        <w:t>allocated to the good; or (c) reasonably allocate each cost that forms part of the total cost incurred with respect to the good so that the aggregate of these costs does not include any sales promotion, marketing, and after-sales service costs, royalties, shipping and packing costs, and non-allowable interest costs, provided that the allocation of all those costs is consistent with the provisions regarding the reasonable allocation of costs set out in the Uniform Regulations.</w:t>
      </w:r>
    </w:p>
    <w:p>
      <w:pPr>
        <w:pStyle w:val="Heading2"/>
      </w:pPr>
      <w:bookmarkStart w:id="900112" w:name="_Toc300000111"/>
      <w:r>
        <w:t xml:space="preserve">Article 4.6: Value of Materials Used in Production</w:t>
      </w:r>
      <w:bookmarkEnd w:id="900112"/>
    </w:p>
    <w:p>
      <w:pPr>
        <w:pStyle w:val="Normal"/>
      </w:pPr>
      <w:r>
        <w:t xml:space="preserve">Each Party shall provide that, for the purposes of this Chapter, the value of a material is: (a) for a material imported by the producer of the good, the transaction value of the material at the time of importation, including the costs incurred in the international shipment of the material; (b) for a material acquired in the territory where the good is produced: (i) the price paid or payable by the producer in the Party where the producer is located, (ii) the value as determined for an imported material in subparagraph (a), or (iii) the earliest ascertainable price paid or payable in the territory of the Party; or (c) for a material that is self-produced: (i) all the costs incurred in the production of the material, which includes general expenses, and (ii) an amount equivalent to the profit added in the normal course of trade, or equal to the profit that is usually reflected in the sale of goods of the same class or kind as the self-produced material that is being valued.</w:t>
      </w:r>
    </w:p>
    <w:p>
      <w:pPr>
        <w:pStyle w:val="Heading2"/>
      </w:pPr>
      <w:bookmarkStart w:id="900113" w:name="_Toc300000112"/>
      <w:r>
        <w:t xml:space="preserve">Article 4.7: Further Adjustments to the Value of Materials</w:t>
      </w:r>
      <w:bookmarkEnd w:id="900113"/>
    </w:p>
    <w:p>
      <w:pPr>
        <w:pStyle w:val="Normal"/>
      </w:pPr>
      <w:r>
        <w:t xml:space="preserve">1. Each Party shall provide that for a non-originating material or material of undetermined origin, the following expenses may be deducted from the value of the material: (a) the costs of freight, insurance, packing, and all other costs incurred in transporting the material to the location of the producer of the good; (b) duties, taxes, and customs brokerage fees on the material paid in the territory of one or more of the Parties, other than duties and taxes that are waived, refunded, refundable, or otherwise recoverable, which include credit against duty or tax paid or payable; and (c) the cost of waste and spoilage resulting from the use of the material in the production of the good, less the value of reusable scrap or by-product. 2. If the cost or expense listed in paragraph 1 is unknown or documentary evidence of the amount of the adjustment is not available, then no adjustment is allowed for that particular cost.</w:t>
      </w:r>
    </w:p>
    <w:p>
      <w:pPr>
        <w:pStyle w:val="Heading2"/>
      </w:pPr>
      <w:bookmarkStart w:id="900114" w:name="_Toc300000113"/>
      <w:r>
        <w:t xml:space="preserve">Article 4.8: Intermediate Materials</w:t>
      </w:r>
      <w:bookmarkEnd w:id="900114"/>
    </w:p>
    <w:p>
      <w:pPr>
        <w:pStyle w:val="Normal"/>
      </w:pPr>
      <w:r>
        <w:t xml:space="preserve">Each Party shall provide that any self-produced material, other than a component identified in Table G of that Appendix, that is used in the production of a good may be designated by the producer of the good as an intermediate material for the purpose of calculating the regional value content of the good under paragraph 2 or 3 of Article 4.5 (Regional Value Content), provided that if the intermediate material is subject to a regional value content requirement, no other self-produced material subject to a regional value content requirement used in the production of that intermediate material may itself be designated by the producer as an intermediate material.</w:t>
      </w:r>
    </w:p>
    <w:p>
      <w:pPr>
        <w:pStyle w:val="Heading2"/>
      </w:pPr>
      <w:bookmarkStart w:id="900115" w:name="_Toc300000114"/>
      <w:r>
        <w:t>Article 4.9: Indirect Materials</w:t>
      </w:r>
      <w:bookmarkEnd w:id="900115"/>
    </w:p>
    <w:p>
      <w:pPr>
        <w:pStyle w:val="Normal"/>
      </w:pPr>
      <w:r>
        <w:t>An indirect material shall be considered to be an originating material without regard to where it is produced.</w:t>
      </w:r>
    </w:p>
    <w:p>
      <w:pPr>
        <w:pStyle w:val="Heading2"/>
      </w:pPr>
      <w:bookmarkStart w:id="900116" w:name="_Toc300000115"/>
      <w:r>
        <w:t>Article 4.10: Automotive Goods</w:t>
      </w:r>
      <w:bookmarkEnd w:id="900116"/>
    </w:p>
    <w:p>
      <w:pPr>
        <w:pStyle w:val="Normal"/>
      </w:pPr>
      <w:r>
        <w:t>The Appendix to Annex 4-B (Product-Specific Rules of Origin) includes additional provisions that apply to automotive goods.</w:t>
      </w:r>
    </w:p>
    <w:p>
      <w:pPr>
        <w:pStyle w:val="Heading2"/>
      </w:pPr>
      <w:bookmarkStart w:id="900117" w:name="_Toc300000116"/>
      <w:r>
        <w:t xml:space="preserve">Article 4.11: Accumulation</w:t>
      </w:r>
      <w:bookmarkEnd w:id="900117"/>
    </w:p>
    <w:p>
      <w:pPr>
        <w:pStyle w:val="Normal"/>
      </w:pPr>
      <w:r>
        <w:t xml:space="preserve">1. Each Party shall provide that a good is originating if the good is produced in the territory of one or more of the Parties by one or more producers, provided that the good satisfies the requirements of Article 4.2 (Originating Goods) and all other applicable requirements in this Chapter. 2. Each Party shall provide that an originating good or material of one or more of the Parties is considered as originating in the territory of another Party when used as a material in the production of a good in the territory of another Party. 3. Each Party shall provide that production undertaken on a non-originating material in the territory of one or more of the Parties may contribute toward the originating status of a good, regardless of whether that production was sufficient to confer originating status to the material itself.</w:t>
      </w:r>
    </w:p>
    <w:p>
      <w:pPr>
        <w:pStyle w:val="Heading2"/>
      </w:pPr>
      <w:bookmarkStart w:id="900118" w:name="_Toc300000117"/>
      <w:r>
        <w:t xml:space="preserve">Article 4.12: De Minimis</w:t>
      </w:r>
      <w:bookmarkEnd w:id="900118"/>
    </w:p>
    <w:p>
      <w:pPr>
        <w:pStyle w:val="Normal"/>
      </w:pPr>
      <w:r>
        <w:t xml:space="preserve">1. Except as provided in Annex 4-A (Exceptions to Article 4.12 (De Minimis)), each Party shall provide that a good is an originating good if the value of all non-originating materials used in the production of the good that do not undergo an applicable change in tariff classification set out in Annex 4-B (Product- Specific Rules of Origin) is not more than 10 percent: (a) of the transaction value of the good adjusted to exclude any costs incurred in the international shipment of the good; or (b) of the total cost of the good, provided that the good satisfies all other applicable requirements of this Chapter. 2. If a good described in paragraph 1 is also subject to a regional value content requirement, the value of those non-originating materials shall be included in the value of non-originating materials for the applicable regional value content requirement. 3.</w:t>
      </w:r>
    </w:p>
    <w:p>
      <w:pPr>
        <w:pStyle w:val="Normal"/>
      </w:pPr>
      <w:r>
        <w:t>A good that is otherwise subject to a regional value content requirement shall not be required to satisfy the requirement if the value of all non-originating materials used in the production of the good is not more than 10 percent of the transaction value of the good, adjusted to exclude any costs incurred in the international shipment of the good, or the total cost of the good, provided that the good satisfies all other applicable requirements of this Chapter. 4.</w:t>
      </w:r>
    </w:p>
    <w:p>
      <w:pPr>
        <w:pStyle w:val="Normal"/>
      </w:pPr>
      <w:r>
        <w:t>With respect to a textile or apparel good, Articles 6.1.2 and 6.1.3 (Rules of Origin and Related Matters) apply in place of paragraph 1.</w:t>
      </w:r>
    </w:p>
    <w:p>
      <w:pPr>
        <w:pStyle w:val="Heading2"/>
      </w:pPr>
      <w:bookmarkStart w:id="900119" w:name="_Toc300000118"/>
      <w:r>
        <w:t xml:space="preserve">Article 4.13: Fungible Goods and Materials</w:t>
      </w:r>
      <w:bookmarkEnd w:id="900119"/>
    </w:p>
    <w:p>
      <w:pPr>
        <w:pStyle w:val="Normal"/>
      </w:pPr>
      <w:r>
        <w:t xml:space="preserve">1. Each Party shall provide that a fungible material or good is originating if: (a) when originating and non-originating fungible materials are used in the production of a good, the determination of whether the materials are originating is made on the basis of an inventory management method recognized in the Generally Accepted Accounting Principles of, or otherwise accepted by, the Party in which the production is performed; or (b) when originating and non-originating fungible goods are commingled and exported in the same form, the determination of whether the goods are originating is made on the basis of an inventory management method recognized in the Generally Accepted Accounting Principles of, or otherwise accepted by, the Party from which the good is exported. 2. The inventory management method selected under paragraph 1 must be used throughout the fiscal year of the producer or the person that selected the inventory management method. 3. For greater certainty, an importer may claim that a fungible material or good is originating if the importer, producer, or exporter has physically segregated each fungible material or good as to allow their specific identification.</w:t>
      </w:r>
    </w:p>
    <w:p>
      <w:pPr>
        <w:pStyle w:val="Heading2"/>
      </w:pPr>
      <w:bookmarkStart w:id="900120" w:name="_Toc300000119"/>
      <w:r>
        <w:t xml:space="preserve">Article 4.14: Accessories, Spare Parts, Tools, or Instructional or Other Information Materials</w:t>
      </w:r>
      <w:bookmarkEnd w:id="900120"/>
    </w:p>
    <w:p>
      <w:pPr>
        <w:pStyle w:val="Normal"/>
      </w:pPr>
      <w:r>
        <w:t xml:space="preserve">1. Each Party shall provide that: (a) in determining whether a good is wholly obtained, or satisfies a process or change in tariff classification requirement as set out in Annex 4-B (Product-Specific Rules of Origin), accessories, spare parts, tools, or instructional or other information materials as described in paragraph 3, are to be disregarded; and (b) in determining whether a good meets a regional value content requirement, the value of the accessories, spare parts, tools, or instructional or other information materials, as described in paragraph 3, are to be taken into account as originating or non-originating materials, as the case may be, in calculating the regional value content of the good. 2. Each Party shall provide that a good’s accessories, spare parts, tools, or instructional or other information materials, as described in paragraph 3, have the originating status of the good with which they are delivered. 3. For the purposes of this Article, accessories, spare parts, tools, or instructional or other information materials are covered when:</w:t>
      </w:r>
    </w:p>
    <w:p>
      <w:pPr>
        <w:pStyle w:val="Normal"/>
      </w:pPr>
      <w:r>
        <w:t>(a) the accessories, spare parts, tools, or instructional or other information materials are classified with, delivered with, but not invoiced separately from the good; and (b) the types, quantities, and value of the accessories, spare parts, tools, or instructional or other information materials are customary for that good.</w:t>
      </w:r>
    </w:p>
    <w:p>
      <w:pPr>
        <w:pStyle w:val="Heading2"/>
      </w:pPr>
      <w:bookmarkStart w:id="900121" w:name="_Toc300000120"/>
      <w:r>
        <w:t xml:space="preserve">Article 4.15: Packaging Materials and Containers for Retail Sale</w:t>
      </w:r>
      <w:bookmarkEnd w:id="900121"/>
    </w:p>
    <w:p>
      <w:pPr>
        <w:pStyle w:val="Normal"/>
      </w:pPr>
      <w:r>
        <w:t xml:space="preserve">1. Each Party shall provide that packaging materials and containers in which a good is packaged for retail sale, if classified with the good, are disregarded in determining whether all the non-originating materials used in the production of the good have satisfied the applicable process or change in tariff classification requirement set out in Annex 4-B (Product-Specific Rules of Origin) or whether the good is wholly obtained or produced. 2. Each Party shall provide that if a good is subject to a regional value content requirement, the value of the packaging materials and containers in which the good is packaged for retail sale, if classified with the good, are taken into account as originating or non-originating, as the case may be, in calculating the regional value content of the good.</w:t>
      </w:r>
    </w:p>
    <w:p>
      <w:pPr>
        <w:pStyle w:val="Heading2"/>
      </w:pPr>
      <w:bookmarkStart w:id="900122" w:name="_Toc300000121"/>
      <w:r>
        <w:t xml:space="preserve">Article 4.16: Packing Materials and Containers for Shipment</w:t>
      </w:r>
      <w:bookmarkEnd w:id="900122"/>
    </w:p>
    <w:p>
      <w:pPr>
        <w:pStyle w:val="Normal"/>
      </w:pPr>
      <w:r>
        <w:t xml:space="preserve">Each Party shall provide that packing materials and containers for shipment are disregarded in determining whether a good is originating.</w:t>
      </w:r>
    </w:p>
    <w:p>
      <w:pPr>
        <w:pStyle w:val="Heading2"/>
      </w:pPr>
      <w:bookmarkStart w:id="900123" w:name="_Toc300000122"/>
      <w:r>
        <w:t xml:space="preserve">Article 4.17: Sets of Goods, Kits or Composite Goods</w:t>
      </w:r>
      <w:bookmarkEnd w:id="900123"/>
    </w:p>
    <w:p>
      <w:pPr>
        <w:pStyle w:val="Normal"/>
      </w:pPr>
      <w:r>
        <w:t xml:space="preserve">1. Except as provided in Annex 4-B (Product-Specific Rules of Origin), each Party shall provide that for a set classified as a result of the application of rule 3 of the General Rules for the Interpretation of the Harmonized System, the set is originating only if each good in the set is originating and both the set and the goods meet the other applicable requirements of this Chapter. 2. Notwithstanding paragraph 1, for a set classified as a result of the application of rule 3 of the General Rules for the Interpretation of the Harmonized System, the set is originating if the value of all the non-originating goods in the set does not exceed 10 percent of the value of the set. 3. For the purposes of paragraph 2, the value of the non-originating goods in the set and the value of the set shall be calculated in the same manner as the value of non-originating materials and the value of the good. 4. With respect to a textile or apparel good, Articles 6.1.4 and 6.1.5 (Rules of Origin and Related Matters) apply in place of paragraph 1.</w:t>
      </w:r>
    </w:p>
    <w:p>
      <w:pPr>
        <w:pStyle w:val="Heading2"/>
      </w:pPr>
      <w:bookmarkStart w:id="900124" w:name="_Toc300000123"/>
      <w:r>
        <w:t xml:space="preserve">Article 4.18: Transit and Transshipment</w:t>
      </w:r>
      <w:bookmarkEnd w:id="900124"/>
    </w:p>
    <w:p>
      <w:pPr>
        <w:pStyle w:val="Normal"/>
      </w:pPr>
      <w:r>
        <w:t xml:space="preserve">1. Each Party shall provide that an originating good retains its originating status if the good has been transported to the importing Party without passing through the territory of a non-Party. 2. Each Party shall provide that if an originating good is transported outside the territories of the Parties, the good retains its originating status if the good: (a) remains under customs control in the territory of a non-Party; and (b) does not undergo an operation outside the territories of the Parties other than: unloading; reloading; separation from a bulk shipment; storing; labeling or marking required by the importing Party; or any other operation necessary to preserve it in good condition or to transport the good to the territory of the importing Party.</w:t>
      </w:r>
    </w:p>
    <w:p>
      <w:pPr>
        <w:pStyle w:val="Heading2"/>
      </w:pPr>
      <w:bookmarkStart w:id="900125" w:name="_Toc300000124"/>
      <w:r>
        <w:t xml:space="preserve">Article 4.19: Non-Qualifying Operations</w:t>
      </w:r>
      <w:bookmarkEnd w:id="900125"/>
    </w:p>
    <w:p>
      <w:pPr>
        <w:pStyle w:val="Normal"/>
      </w:pPr>
      <w:r>
        <w:t xml:space="preserve">Each Party shall provide that a good shall not be considered to be an originating good merely by reason of: (a) mere dilution with water or another substance that does not materially alter the characteristics of the good; or (b) a production or pricing practice in respect of which it may be demonstrated, on the basis of a preponderance of evidence, that the object was to circumvent this Chapter.</w:t>
      </w:r>
    </w:p>
    <w:p>
      <w:pPr>
        <w:pStyle w:val="Heading2"/>
      </w:pPr>
      <w:bookmarkStart w:id="900126" w:name="_Toc300000125"/>
      <w:r>
        <w:t xml:space="preserve">ANNEX 4-A EXCEPTIONS TO ARTICLE 4.12 (DE MINIMIS)</w:t>
      </w:r>
      <w:bookmarkEnd w:id="900126"/>
    </w:p>
    <w:p>
      <w:pPr>
        <w:pStyle w:val="Normal"/>
      </w:pPr>
      <w:r>
        <w:t xml:space="preserve">Each Party shall provide that Article 4.12 (De Minimis) shall not apply to: (a) a non-originating material of heading 04.01 through 04.06, or a non-originating dairy preparation containing over 10 percent by dry weight of milk solids of subheading 1901.90 or 2106.90, used in the production of a good of heading 04.01 through 04.06; (b) a non-originating material of heading 04.01 through 04.06, or non-originating dairy preparations containing over 10 percent by dry weight of milk solids of subheading 1901.90 or 2106.90, used in the production of: (i) infant preparations containing over 10 percent by dry weight of milk solids of subheading 1901.10, (ii) mixes and doughs, containing over 25 percent by dry weight of butterfat, not put up for retail sale of subheading 1901.20, (iii) dairy preparations containing over 10 percent by dry weight of milk solids of subheading 1901.90 or 2106.90, (iv) goods of heading 21.05, (v) beverages containing milk of subheading 2202.90, or (vi) animal feeds containing over 10 percent by dry weight of milk solids of subheading 2309.90;</w:t>
      </w:r>
    </w:p>
    <w:p>
      <w:pPr>
        <w:pStyle w:val="Normal"/>
      </w:pPr>
      <w:r>
        <w:t>(c) a non-originating material of heading 08.05 or subheading 2009.11 through 2009.39 used in the production of a good of subheading 2009.11 through 2009.39, or a fruit or vegetable juice of any single fruit or vegetable, fortified with minerals or vitamins, concentrated or unconcentrated, of subheading 2106.90 or 2202.90; (d) a non-originating material of Chapter 9</w:t>
      </w:r>
    </w:p>
    <w:p>
      <w:pPr>
        <w:pStyle w:val="Normal"/>
      </w:pPr>
      <w:r>
        <w:t>of the Harmonized System used in the production of instant coffee, not flavored, of subheading 2101.11; (e) a non-originating material of Chapter 15 of the Harmonized System, used in the production of a good of heading 15.01 through 15.08, 15.12, 15.14, or 15.15; 4-A-1 (f) a non-originating material of heading 17.01 used in the production of a good provided for in heading 17.01 through 17.03; (g) a non-originating material of Chapter 17 of the Harmonized System or heading 18.05 that is used in the production of a good of subheading 1806.10; (h) non-originating peaches, pears, or apricots of Chapter 8 or 20 of the Harmonized System, used in the production of a good of heading 20.08; (i) a non-originating single juice ingredient provided for in heading 20.09 that is used in the production of a good provided for in subheading 2009.90, or tariff item 2106.90.cc (concentrated mixtures of fruit or vegetable juice, fortified with minerals or vitamins), or 2202.90.bb (mixtures of fruit or vegetable juices, fortified with minerals or vitamins);</w:t>
      </w:r>
    </w:p>
    <w:p>
      <w:pPr>
        <w:pStyle w:val="Normal"/>
      </w:pPr>
      <w:r>
        <w:t>(j) a non-originating material provided for in heading 22.03 through 22.08 that is used in the production of a good provided for in heading 22.07 or 22.08; (k) a non-originating material used in the production of a good of Chapters 1 through 27 of the Harmonized System, unless the non-originating materials are provided for in a different subheading than the good for which origin is being determined under this Agreement. 4-A-2</w:t>
      </w:r>
    </w:p>
    <w:p>
      <w:pPr>
        <w:pStyle w:val="Heading2"/>
      </w:pPr>
      <w:bookmarkStart w:id="900127" w:name="_Toc300000126"/>
      <w:r>
        <w:t xml:space="preserve">ANNEX 4-B PRODUCT-SPECIFIC RULES OF ORIGIN</w:t>
      </w:r>
      <w:bookmarkEnd w:id="900127"/>
    </w:p>
    <w:p>
      <w:pPr>
        <w:pStyle w:val="AnnexSection"/>
      </w:pPr>
      <w:bookmarkStart w:id="900128" w:name="_Toc300000127"/>
      <w:r>
        <w:t xml:space="preserve">Section A: General Interpretative Note</w:t>
      </w:r>
      <w:bookmarkEnd w:id="900128"/>
    </w:p>
    <w:p>
      <w:pPr>
        <w:pStyle w:val="Normal"/>
      </w:pPr>
      <w:r>
        <w:t xml:space="preserve">For the purposes of interpreting the rules of origin set out in this Annex: (a) the tariff items referred to in this Annex, shown generically in this Annex by eight-digit numbers comprised of six numeric and two alpha characters, refer to the Party-specific tariff items shown in the table following Section B of this Annex; (b) the specific rule, or specific set of rules, that applies to a particular heading, subheading or tariff item is set out immediately adjacent to the heading, subheading, or tariff item; (c) a rule applicable to a tariff item shall take precedence over a rule applicable to the heading or subheading which is parent to that tariff item; (d) a requirement of a change in tariff classification applies only to non-originating materials; (e) reference to weight in the rules for goods provided for in Chapter 1 through 24 of the Harmonized System means dry weight unless otherwise specified in the Harmonized System;</w:t>
      </w:r>
    </w:p>
    <w:p>
      <w:pPr>
        <w:pStyle w:val="Normal"/>
      </w:pPr>
      <w:r>
        <w:t>(f) the specific rule that follows a reference to “beginning on January 1, 2020 or the date of entry into force of the Agreement, whichever is later” is the specific rule that applies if the Agreement enters into force before January 1, 2020, (g) the following definitions apply: chapter means a chapter of the Harmonized System; heading means the first four digits in the tariff classification number under the Harmonized System; section means a section of the Harmonized</w:t>
      </w:r>
    </w:p>
    <w:p>
      <w:pPr>
        <w:pStyle w:val="Normal"/>
      </w:pPr>
      <w:r>
        <w:t xml:space="preserve">System; subheading means the first six digits in the tariff classification number under the Harmonized System; and 4-B-1 tariff item means the first eight digits in the tariff classification number under the Harmonized System as implemented by each Party. (h) if the good is a vehicle of chapter 87 or a part listed in Tables A.1, B, C, D, E, F or G of the Appendix to this Annex for use in a vehicle of Chapter 87, the provisions of the Appendix to this Annex apply.</w:t>
      </w:r>
    </w:p>
    <w:p>
      <w:pPr>
        <w:pStyle w:val="AnnexSection"/>
      </w:pPr>
      <w:bookmarkStart w:id="900129" w:name="_Toc300000128"/>
      <w:r>
        <w:t xml:space="preserve">Section B: Product-Specific Rules of Origin</w:t>
      </w:r>
      <w:bookmarkEnd w:id="900129"/>
    </w:p>
    <w:p>
      <w:pPr>
        <w:pStyle w:val="AnnexSection"/>
      </w:pPr>
      <w:bookmarkStart w:id="900130" w:name="_Toc300000129"/>
      <w:r>
        <w:t xml:space="preserve">Section I - Live Animals; Animal Products (Chapter 1-5)</w:t>
      </w:r>
      <w:bookmarkEnd w:id="900130"/>
    </w:p>
    <w:p>
      <w:pPr>
        <w:pStyle w:val="Normal"/>
      </w:pPr>
      <w:r>
        <w:t xml:space="preserve">Chapter 1 Live Animals 01.01-01.06 A change to heading 01.01 through 01.06 from any other chapter. Chapter 2 Meat and Edible Meat Offal 02.01-02.10 A change to heading 02.01 through 02.10 from any other chapter. Chapter 3 Fish and Crustaceans, Molluscs and Other Aquatic Invertebrates Note:</w:t>
      </w:r>
    </w:p>
    <w:p>
      <w:pPr>
        <w:pStyle w:val="Normal"/>
      </w:pPr>
      <w:r>
        <w:t>A fish, crustacean, mollusc or other aquatic invertebrate obtained in the territory of a Party is originating even if obtained from eggs, larvae, fry, fingerlings, parr, smolts or other immature fish at a post-larval stage that are imported from a non-Party. 03.01-03.05 A change to heading 03.01 through 03.05 from any other chapter. 03.06.11 – 03.08.90 A change to a smoked good of any of subheading 03.06.11 through 03.08.90 from a non-smoked good within that subheading or any other subheading; or A change to any other good of any of subheading 03.06.11 through 03.08.90 from any other chapter.</w:t>
      </w:r>
    </w:p>
    <w:p>
      <w:pPr>
        <w:pStyle w:val="Normal"/>
      </w:pPr>
      <w:r>
        <w:t xml:space="preserve">Chapter 4 Dairy Produce; Birds’ Eggs; Natural Honey; Edible Products of Animal Origin, Not Elsewhere Specified or Included 04.01-04.04 A change to heading 04.01 through 04.04 from any other chapter, except from tariff item 1901.90.aa. 4-B-2 04.05 A change to heading 04.05 from any other chapter, except from tariff item 1901.90.aa or 2106.90.dd. 04.06-04.10 A change to heading 04.06 through 04.10 from any other chapter, except from tariff item 1901.90.aa. Chapter 5 Products of Animal Origin, Not Elsewhere Specified or Included 05.01-05.11 A change to heading 05.01 through 05.11 from any other chapter.</w:t>
      </w:r>
    </w:p>
    <w:p>
      <w:pPr>
        <w:pStyle w:val="AnnexSection"/>
      </w:pPr>
      <w:bookmarkStart w:id="900131" w:name="_Toc300000130"/>
      <w:r>
        <w:t xml:space="preserve">Section II - Vegetable Products (Chapter 6-14)</w:t>
      </w:r>
      <w:bookmarkEnd w:id="900131"/>
    </w:p>
    <w:p>
      <w:pPr>
        <w:pStyle w:val="Normal"/>
      </w:pPr>
      <w:r>
        <w:t xml:space="preserve">Note: Agricultural and horticultural goods grown in the territory of a Party shall be treated as originating in the territory of that Party even if grown from seed, bulbs, rootstock, cuttings, slips or other live parts of plants imported from a non-Party. Chapter 6 Live Trees and Other Plants; Bulbs, Roots and the Like; Cut Flowers and Ornamental Foliage 06.01-06.04 A change to heading 06.01 through 06.04 from any other chapter.</w:t>
      </w:r>
    </w:p>
    <w:p>
      <w:pPr>
        <w:pStyle w:val="Normal"/>
      </w:pPr>
      <w:r>
        <w:t>Chapter 7 Edible Vegetables and Certain Roots and Tubers Note: Notwithstanding subparagraph (k) of Annex 4-A (Exceptions to Article 4.12 (De Minimis)), paragraph 1 of Article 4.12 (De Minimis) applies to: non- originating truffles of subheading 0709.59 used in the production of mixtures of mushrooms and truffles of subheading 0709.59 and non-originating capers of subheading 0711.90 used in the production of mixtures of vegetables of subheading 0711.90. 07.01-07.11 A change to heading 07.01 through 07.11 from any other chapter. 0712.20-0712.39 A change to subheading 0712.20 through 0712.39 from any other chapter. 0712.90 A change to savory, crushed or ground, of subheading 0712.90 from savory, neither crushed nor ground, of subheading 0712.90 or any other chapter; or A change to any other good of subheading 0712.90 from any other chapter. 4-B-3 07.13-07.14 A change to heading 07.13 through 07.14 from any other chapter. Chapter 8 Edible Fruit and Nuts; Peel of Citrus Fruit or Melons Note:</w:t>
      </w:r>
    </w:p>
    <w:p>
      <w:pPr>
        <w:pStyle w:val="Normal"/>
      </w:pPr>
      <w:r>
        <w:t>Notwithstanding subparagraph (k) of Annex 4-A (Exceptions to Article 4.12 (De Minimis)), paragraph 1 of Article 4.12 (De Minimis) does not apply to non-originating macadamia nuts of subheading 0802.60 used in the production of mixtures of nuts of subheading 0802.90. 08.01-08.14 A change to heading 08.01 through 08.14 from any other chapter. Chapter 9 Coffee, Tea, Maté and Spices 09.01 A change to heading 09.01 from any other chapter.</w:t>
      </w:r>
    </w:p>
    <w:p>
      <w:pPr>
        <w:pStyle w:val="Normal"/>
      </w:pPr>
      <w:r>
        <w:t>0902.10-0902.40 A change to subheading 0902.10 through 0902.40 from any other subheading, including another subheading within that group. 09.03 A change to heading 09.03 from any other chapter. 0904.11 A change to subheading 0904.11 from any other chapter. 0904.12 A change to subheading 0904.12 from any other subheading. 0904.21 A change to subheading 0904.21 from any other chapter. 0904.22 A change to allspice, crushed or ground, of subheading 0904.22 from allspice, neither crushed nor ground of subheading 0904.21 or from any other chapter; or A change to any other good of subheading 0904.22 from any other chapter. 09.05 A change to heading 09.05 from any other chapter. 0906.11-0906.19 A change to subheading 0906.11 through 0906.19 from any other chapter. 0906.20 A change to subheading 0906.20 from any other subheading. 0907.10-0907.20 A change to a good of any of subheading 0907.10 through 0907.20 from any other good within that subheading, any other subheading within that group or any other chapter.</w:t>
      </w:r>
    </w:p>
    <w:p>
      <w:pPr>
        <w:pStyle w:val="Normal"/>
      </w:pPr>
      <w:r>
        <w:t>4-B-4 0908.11-0909.62 A change to a good of any of subheading 0908.11 through 0909.62 from any other good within that subheading, any other subheading within that group or any other chapter. 0910.11-0910.12 A change to a good of any of subheading 0910.11 through 0910.12 from any other good within that subheading, any other subheading within that group or any other chapter. 0910.20 A change to subheading 0910.20 from any other chapter.</w:t>
      </w:r>
    </w:p>
    <w:p>
      <w:pPr>
        <w:pStyle w:val="Normal"/>
      </w:pPr>
      <w:r>
        <w:t>0910.30 A change to a good of subheading 0910.30 from within that subheading or any other chapter. 0910.91 A change to subheading 0910.91 from any other subheading. 0910.99 Note: Notwithstanding subparagraph (k) of Annex 4-A (Exceptions to Article 4.12 (De Minimis)), paragraph 1 of Article 4.12 (De Minimis) applies to non- originating thyme, bay leaves, or curry of subheading 0910.99 used in the production of mixtures of subheading 0910.99. A change to bay leaves, crushed or ground, of subheading 0910.99 from bay leaves, neither crushed nor ground, of subheading 0910.99 or any other chapter; A change to dill seeds, crushed or ground, of subheading 0910.99 from dill seeds, neither crushed nor ground, of subheading 0910.99 or any other chapter; A change to curry of subheading 0910.99 from any other good of subheading 0910.99 or any other subheading; or A change to any other good of subheading 0910.99 from any other chapter. Chapter 10 Cereals 10.01-10.08 A change to heading 10.01 through 10.08 from any other chapter. Chapter 11 Products of the Milling Industry; Malt; Starches; Inulin;</w:t>
      </w:r>
    </w:p>
    <w:p>
      <w:pPr>
        <w:pStyle w:val="Normal"/>
      </w:pPr>
      <w:r>
        <w:t>Wheat Gluten 11.01-11.09 4-B-5 12.08 Note: Notwithstanding subparagraph (k) of Annex 4-A (Exceptions to Article 4.12 (De Minimis)), paragraph 1 of Article 4.12 (De Minimis) applies to non- originating rice or rye flour of subheading 1102.90 used in the production of mixtures of flours of subheading 1102.90. A change to heading 11.01 through 11.09 from any other chapter.</w:t>
      </w:r>
    </w:p>
    <w:p>
      <w:pPr>
        <w:pStyle w:val="Normal"/>
      </w:pPr>
      <w:r>
        <w:t>Chapter 12 Oil Seeds and Oleaginous Fruits; Miscellaneous Grains, Seeds and Fruit; Industrial or Medicinal Plants; Straw and Fodder 12.01-12.06 A change to heading 12.01 through 12.06 from any other chapter. 1207.10-1207.70 A change to subheading 1207.10 through 1207.70 from any other chapter. 1207.91 A change to a good of subheading 1207.91 from within that subheading or any other chapter. 1207.99 A change to subheading 1207.99 from any other chapter. A change to heading 12.08 from any other chapter. 1209.10-1209.30 Note: Notwithstanding subparagraph (k) of Annex 4-A (Exceptions to Article 4.12 (De Minimis)), paragraph 1 of Article 4.12 (De Minimis) applies to non- originating timothy grass seed when used in the production of mixtures of subheading 1209.29. A change to subheading 1209.10 through 1209.30 from any other chapter. 1209.91 A change to celery seeds, crushed or ground, of subheading 1209.91 from celery seeds, neither crushed nor ground, of subheading 1209.91 or any other chapter; or A change to any other good of subheading 1209.91 from any other chapter. 1209.99 A change to subheading 1209.99 from any other chapter.</w:t>
      </w:r>
    </w:p>
    <w:p>
      <w:pPr>
        <w:pStyle w:val="Normal"/>
      </w:pPr>
      <w:r>
        <w:t>12.10-12.14 A change to heading 12.10 through 12.14 from any other chapter. 4-B-6 Chapter 13 Lac; Gums, Resins and Other Vegetable Saps and Extracts 1301.20 A change to a good of subheading 1301.20 from within that subheading or any other chapter.</w:t>
      </w:r>
    </w:p>
    <w:p>
      <w:pPr>
        <w:pStyle w:val="Normal"/>
      </w:pPr>
      <w:r>
        <w:t xml:space="preserve">1301.90 A change to subheading 1301.90 from any other chapter 1302.11-1302.32 Note: Notwithstanding subparagraph (k) of Annex 4-A (Exceptions to Article 4.12 (De Minimis)), paragraph 1 of Article 4.12 (De Minimis) applies to non- originating saps and extracts of pyrethrum or of the roots of plants containing rotenone when used in the production of goods of subheading 1302.19. A change to subheading 1302.11 through 1302.32 from any other chapter, except from concentrates of poppy straw of subheading 2939.11. 1302.39 A change to carrageenan of subheading 1302.39 from within that subheading or any other chapter, provided the non-originating materials of subheading 1302.39 do not exceed 50 percent by weight of the good; or A change to any other good of subheading 1302.39 from any other chapter, except from concentrates of poppy straw of subheading 2939.11. Chapter 14 Vegetable Plaiting Materials; Vegetable Products Not Elsewhere Specified or Included 14.01-14.04 A change to heading 14.01 through 14.04 from any other chapter.</w:t>
      </w:r>
    </w:p>
    <w:p>
      <w:pPr>
        <w:pStyle w:val="AnnexSection"/>
      </w:pPr>
      <w:bookmarkStart w:id="900132" w:name="_Toc300000131"/>
      <w:r>
        <w:t xml:space="preserve">Section III - Animal or Vegetable Fats and Oils and Their Cleavage Products; Prepared Edible Fats;</w:t>
      </w:r>
      <w:r>
        <w:t xml:space="preserve"> </w:t>
      </w:r>
      <w:r>
        <w:t xml:space="preserve">Animal or Vegetable Waxes (Chapter 15)</w:t>
      </w:r>
      <w:bookmarkEnd w:id="900132"/>
    </w:p>
    <w:p>
      <w:pPr>
        <w:pStyle w:val="Normal"/>
      </w:pPr>
      <w:r>
        <w:t xml:space="preserve">Chapter 15 Animal or Vegetable Fats and Oils and Their Cleavage Products; Prepared Edible Fats; Animal or Vegetable Waxes 15.01-15.18 A change to heading 15.01 through 15.18 from any other chapter, except from heading 38.23. A change to heading 15.20 from any other heading, except from heading 38.23.</w:t>
      </w:r>
    </w:p>
    <w:p>
      <w:pPr>
        <w:pStyle w:val="Normal"/>
      </w:pPr>
      <w:r>
        <w:t xml:space="preserve">15.21-15.22 A change to heading 15.21 through 15.22 from any other chapter. 4-B-7 15.20 17.04</w:t>
      </w:r>
    </w:p>
    <w:p>
      <w:pPr>
        <w:pStyle w:val="AnnexSection"/>
      </w:pPr>
      <w:bookmarkStart w:id="900133" w:name="_Toc300000132"/>
      <w:r>
        <w:t xml:space="preserve">Section IV - Prepared Foodstuffs; Beverages, Spirits and Vinegar; Tobacco and Manufactured Tobacco Substitutes (Chapter 16-24)</w:t>
      </w:r>
      <w:bookmarkEnd w:id="900133"/>
    </w:p>
    <w:p>
      <w:pPr>
        <w:pStyle w:val="Normal"/>
      </w:pPr>
      <w:r>
        <w:t xml:space="preserve">Chapter 16 Preparations of Meat, of Fish or of Crustaceans, Molluscs or Other Aquatic Invertebrates 16.01-16.05 A change to heading 16.01 through 16.05 from any other chapter. Chapter 17 Sugars and Sugar Confectionery 17.01-17.03 A change to heading 17.01 through 17.03 from any other chapter. A change to heading 17.04 from any other heading. Chapter 18 Cocoa and Cocoa Preparations 18.01-18.05 A change to heading 18.01 through 18.05 from any other chapter. 1806.10 1806.10.aa A change to tariff item 1806.10.aa from any other heading 1806.10 A change to subheading 1806.10 from any other heading, provided that the non-originating sugar of Chapter 17 constitutes no more than 35 percent by weight of the sugar and the non-originating cocoa powder of heading 18.05 constitutes no more than 35 percent by weight of the cocoa powder. 1806.20 A change to subheading 1806.20 from any other heading.</w:t>
      </w:r>
    </w:p>
    <w:p>
      <w:pPr>
        <w:pStyle w:val="Normal"/>
      </w:pPr>
      <w:r>
        <w:t>1806.31-1806.90 A change to subheading 1806.31 through 1806.90 from any other subheading, including another subheading within that group. Chapter 19 Preparations of Cereals, Flour, Starch or Milk; Pastrycooks’ Products 1901.10 1901.10.aa A change to tariff item 1901.10.aa from any other chapter, except from Chapter 4.</w:t>
      </w:r>
    </w:p>
    <w:p>
      <w:pPr>
        <w:pStyle w:val="Normal"/>
      </w:pPr>
      <w:r>
        <w:t>1901.10 A change to subheading 1901.10 from any other chapter. 1901.20 4-B-8 19.05 1901.20.aa A change to tariff item 1901.20.aa from any other chapter, except from Chapter 4. 1901.20 A change to subheading 1901.20 from any other chapter. 1901.90 1901.90.aa A change to tariff item 1901.90.aa from any other chapter, except from Chapter 4. 1901.90 A change to subheading 1901.90 from any other chapter. 19.02-19.03 A change to heading 19.02 through 19.03 from any other chapter. 1904.10 A change to subheading 1904.10 from any other chapter. 1904.20 A change to subheading 1904.20 from any other subheading, except from Chapter 20. 1904.30-1904.90 A change to subheading 1904.30 through 1904.90 from any other chapter. A change to heading 19.05 from any other chapter. Chapter 20 Preparations of Vegetables, Fruit, Nuts or Other Parts of Plants Note:</w:t>
      </w:r>
    </w:p>
    <w:p>
      <w:pPr>
        <w:pStyle w:val="Normal"/>
      </w:pPr>
      <w:r>
        <w:t>Fruit, nut and vegetable preparations of Chapter 20 that have been prepared or preserved merely by freezing, by packing (including canning) in water, brine or natural juices, or by roasting, either dry or in oil (including processing incidental to freezing, packing, or roasting), shall be treated as an originating good only if the fresh good were wholly produced or obtained entirely in the territory of one or more of the Parties.</w:t>
      </w:r>
    </w:p>
    <w:p>
      <w:pPr>
        <w:pStyle w:val="Normal"/>
      </w:pPr>
      <w:r>
        <w:t>20.01-20.07 Note 1: Notwithstanding subparagraph (k) of Annex 4-A (Exceptions to Article 4.12 (De Minimis)), paragraph 1 of Article 4.12 (De Minimis), does not apply to non-originating bamboo shoots of subheading 2005.91 used in the production of mixtures of vegetables of subheading 2005.99. Note 2: Notwithstanding sub-paragraph (k) of Annex 4-A (Exceptions to Article 4.12 (De Minimis)), paragraph 1 of Article 4.12 (De Minimis) applies to non- originating truffles of subheading 2003.90 used in the production of mixtures of mushrooms and truffles of subheading 2003.90. 4-B-9 A change to heading 20.01 through 20.07 from any other chapter. 2008.11 A change to subheading 2008.11 from any other heading, except from heading 12.02. 2008.19-2008.99 Note: Fruit preparations of subheading 2008.19 through 2008.99 that contain peaches, pears, or apricots, either alone or mixed with other fruits shall be treated as originating only if the peaches, pears, or apricots were wholly obtained or produced entirely in the territory of one or more of the Parties. A change to subheading 2008.19 through 2008.99 from any other chapter. 2009.11-2009.39 A change to subheading 2009.11 through 2009.39 from any other chapter, except from heading 08.05. 2009.41-2009.89 A change to subheading 2009.41 through 2009.89 from any other chapter.</w:t>
      </w:r>
    </w:p>
    <w:p>
      <w:pPr>
        <w:pStyle w:val="Normal"/>
      </w:pPr>
      <w:r>
        <w:t>2009.90 A change to subheading 2009.90 from any other chapter; A change to cranberry juice mixtures of subheading 2009.90 from any other subheading within Chapter 20, except from subheading 2009.11 through 2009.39 or cranberry juice of subheading 2009.80, whether or not there is also a change from any other chapter, provided there is a regional value content of not less than: (a) 60 percent where the transaction value method is used; or (b) 50 percent where the net cost method is used; or a change to any other good of subheading 2009.90 from any other subheading within Chapter 20, whether or not there is also a change from any other chapter, provided that a single juice ingredient, or juice ingredients from a single non-Party, constitute in single strength form no more than 60 percent by volume of the good. Chapter 21 Miscellaneous Edible Preparations 21.01 2101.11.aa A change to tariff item 2101.11.aa from any other chapter, provided that the non-originating coffee of Chapter 9 constitutes no more than 60 percent by weight of the good.</w:t>
      </w:r>
    </w:p>
    <w:p>
      <w:pPr>
        <w:pStyle w:val="Normal"/>
      </w:pPr>
      <w:r>
        <w:t>4-B-10 21.01 A change to heading 21.01 from any other chapter. 21.02 A change to heading 21.02 from any other chapter. 2103.10 A change to subheading 2103.10 from any other chapter. 2103.20 2103.20.aa A change to tariff item 2103.20.aa from any other chapter, except from subheading 2002.90. 2103.20 A change to subheading 2103.20 from any other chapter. 2103.30 A change to subheading 2103.30 from any other chapter.</w:t>
      </w:r>
    </w:p>
    <w:p>
      <w:pPr>
        <w:pStyle w:val="Normal"/>
      </w:pPr>
      <w:r>
        <w:t>2103.90 A change to subheading 2103.90 from any other subheading. 21.04 A change to heading 21.04 from any other chapter. 21.05 A change to heading 21.05 from any other heading, except from Chapter 4 or tariff item 1901.90.aa. 21.06 2106.90.bb A change to tariff item 2106.90.bb from any other chapter, except from heading 08.05 or 20.09 or tariff item 2202.90.aa. 2106.90.cc A change to tariff item 2106.90.cc from any other chapter, except from heading 20.09 or tariff item 2202.90.bb; or A change to tariff item 2106.90.cc from any other subheading within Chapter 21, heading 20.09, or tariff item 2202.90.bb, whether or not there is also a change from any other chapter, provided that a single juice ingredient, or juice ingredients from a single non-Party, constitute in single strength form no more than 60 percent by volume of the good. 2106.90.dd A change to tariff items 2106.90.dd from any other chapter, except from Chapter 4 or tariff item 1901.90.aa. 2106.90.ee A change to tariff item 2106.90.ee from any other tariff item, except from heading 22.03 through 22.09.</w:t>
      </w:r>
    </w:p>
    <w:p>
      <w:pPr>
        <w:pStyle w:val="Normal"/>
      </w:pPr>
      <w:r>
        <w:t>21.06 A change to heading 21.06 from any other chapter. 4-B-11 Chapter 22 Beverages, Spirits and Vinegar 22.01 A change to heading 22.01 from any other chapter. 2202.10 A change to subheading 2202.10 from any other chapter. 2202.90 2202.90.aa A change to tariff item 2202.90.aa from any other chapter, except from heading 08.05 or 20.09 or tariff item 2106.90.bb.</w:t>
      </w:r>
    </w:p>
    <w:p>
      <w:pPr>
        <w:pStyle w:val="Normal"/>
      </w:pPr>
      <w:r>
        <w:t>2202.90.bb A change to tariff item 2202.90.bb from any other chapter, except from heading 20.09 or tariff item 2106.90.cc; or A change to tariff item 2202.90.bb from any other subheading within Chapter 22, heading 20.09, or tariff item 2106.90.cc, whether or not there is also a change from any other chapter, provided that a single juice ingredient, or juice ingredients from a single non-Party, constitute in single strength form no more than 60 percent by volume of the good. 2202.90.cc A change to tariff item 2202.90.cc from any other chapter, except from Chapter 4 or tariff item 1901.90.aa. 2202.90 A change to subheading 2202.90 from any other chapter. 22.03-22.07 A change to heading 22.03 through 22.07 from any heading outside that group, except from tariff item 2106.90.ee or heading 22.08 through 22.09. 2208.20 A change to subheading 2208.20 from any other heading, except from tariff item 2106.90.ee or heading 22.03 through 22.07 or 22.09.</w:t>
      </w:r>
    </w:p>
    <w:p>
      <w:pPr>
        <w:pStyle w:val="Normal"/>
      </w:pPr>
      <w:r>
        <w:t>2208.30-2208.70 No required change in tariff classification to subheading 2208.30 through 2208.70, provided that the non-originating alcoholic ingredients constitute no more than 10 percent of the alcoholic content of the good by volume. 2208.90 A change to subheading 2208.90 from any other heading, except from tariff item 2106.90.ee or heading 22.03 through 22.07 or 22.09. 22.09 A change to heading 22.09 from any other heading, except from tariff item 2106.90.ee or heading 22.03 through 22.08.</w:t>
      </w:r>
    </w:p>
    <w:p>
      <w:pPr>
        <w:pStyle w:val="Normal"/>
      </w:pPr>
      <w:r>
        <w:t xml:space="preserve">4-B-12 Chapter 23 Residues and Waste From the Food Industries; Prepared Animal Fodder 23.01-23.08 A change to heading 23.01 through 23.08 from any other chapter. 2309.10 A change to subheading 2309.10 from any other heading. 2309.90 2309.90.aa A change to tariff item 2309.90.aa from any other heading, except from Chapter 4 or tariff item 1901.90.aa. 2309.90 A change to subheading 2309.90 from any other heading. Chapter 24 Tobacco and Manufactured Tobacco Substitutes 24.01-24.03 A change to heading 24.01 through 24.03 from tariff item 2401.10.aa, 2401.20.aa, or 2403.91.aa or any other chapter.</w:t>
      </w:r>
    </w:p>
    <w:p>
      <w:pPr>
        <w:pStyle w:val="AnnexSection"/>
      </w:pPr>
      <w:bookmarkStart w:id="900134" w:name="_Toc300000133"/>
      <w:r>
        <w:t xml:space="preserve">Section V - Mineral Products (Chapter 25-27)</w:t>
      </w:r>
      <w:bookmarkEnd w:id="900134"/>
    </w:p>
    <w:p>
      <w:pPr>
        <w:pStyle w:val="Normal"/>
      </w:pPr>
      <w:r>
        <w:t xml:space="preserve">Chapter 25 Salt; Sulphur; Earths and Stone; Plastering Materials, Lime and Cement 25.01-25.30 A change to heading 25.01 through 25.30 from any other chapter. Chapter 26 Ores, Slag and Ash 26.01-26.21 A change to heading 26.01 through 26.21 from any other heading, including another heading within that group. Chapter 27 Mineral Fuels, Mineral Oils and Products of Their Distillation; Bituminous Substances; Mineral Waxes Note 1:</w:t>
      </w:r>
    </w:p>
    <w:p>
      <w:pPr>
        <w:pStyle w:val="Normal"/>
      </w:pPr>
      <w:r>
        <w:t>Notwithstanding the applicable product-specific rules of origin, a good of chapter 27 that is the product of a chemical reaction is an originating good if the chemical reaction occurred in the territory of one or more of the Parties.</w:t>
      </w:r>
    </w:p>
    <w:p>
      <w:pPr>
        <w:pStyle w:val="Normal"/>
      </w:pPr>
      <w:r>
        <w:t>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chemical reactions: (a) dissolving in water or other solvents; 4-B-13 (b) the elimination of solvents, including solvent water; or (c) the addition or elimination of water of crystallisation. Note 2: For the purposes of heading 27.10, the following processes confer origin: (a) Atmospheric distillation: A separation process in which petroleum oils are converted, in a distillation tower, into fractions according to boiling point and the vapor then condensed into different liquefied fractions. Liquefied petroleum gas, naphtha, gasoline, kerosene, diesel/heating oil, light gas oils, and lubricating oil are produced from petroleum distillation; (b) Vacuum distillation: Distillation at a pressure below atmospheric but not so low that it would be classed as molecular distillation. Vacuum distillation is useful for distilling high-boiling and heat- sensitive materials such as heavy distillates in petroleum oils to produce light to heavy vacuum gas oils and residuum.</w:t>
      </w:r>
    </w:p>
    <w:p>
      <w:pPr>
        <w:pStyle w:val="Normal"/>
      </w:pPr>
      <w:r>
        <w:t>In some refineries gas oils may be further processed into lubricating oils; (c) Catalytic hydroprocessing: The cracking or treating of petroleum oils with hydrogen at high temperature and under pressure, in the presence of special catalysts. Catalytic hydroprocessing includes hydrocracking and hydrotreating; (d) Reforming (catalytic reforming): The rearrangement of molecules in a naphtha boiling range material to form higher octane aromatics (i.e., improved antiknock quality at the expense of gasoline yield). A main product is catalytic reformate, a blend component for gasoline. Hydrogen is another by-product; (e) Alkylation: A process whereby a high-octane blending component for gasolines is derived from catalytic combination of an isoparaffin and an olefin; (f) Cracking: A refining process involving decomposition and molecular recombination of organic compounds, especially hydrocarbons obtained by means of heat, to form molecules suitable for motor fuels, monomers, petrochemicals, etc.; (i) Thermal cracking: Exposes the distillate to temperatures of approximately 540-650C (1000-1200F) for varying periods 4-B-14 of time.</w:t>
      </w:r>
    </w:p>
    <w:p>
      <w:pPr>
        <w:pStyle w:val="Normal"/>
      </w:pPr>
      <w:r>
        <w:t>Process produces modest yields of gasoline and higher yields of residual products for fuel oil blending, or (ii) Catalytic cracking: Hydrocarbon vapors are passed at approximately 400C (750F) over a metallic catalyst (e.g., silica-alumina or platinum); the complex recombinations (alkylation, polymerization, isomerization, etc.) occur within seconds to yield high-octane gasoline. Process yields less residual oils and light gases than thermal cracking; (g) Coking: A thermal cracking process for the conversion of heavy low grade products, such as reduced crude, straight run pitch, cracked tars, and shale oil into solid coke (carbon) and lower boiling hydrocarbon products which are suitable as feed for other refinery units for conversion into lighter products; and (h) Isomerization: The refinery process of converting petroleum compounds into their isomers. Note 3: For the purposes of heading 27.10, “direct blending” is a refinery process whereby various petroleum streams from processing units and petroleum components from holding/storage tanks combine to create a finished product, with pre-determined parameters, classified under heading 27.10, provided that the non-originating material constitutes no more than 25 percent by volume of the good.</w:t>
      </w:r>
    </w:p>
    <w:p>
      <w:pPr>
        <w:pStyle w:val="Normal"/>
      </w:pPr>
      <w:r>
        <w:t>Note 4: For the purposes of determining whether or not a good of heading 27.09 is an originating good, the origin of diluent of heading 27.09 or 27.10 that is used to facilitate the transportation between Parties of crude petroleum oils and crude oils obtained from bituminous minerals of heading 27.09 is disregarded, provided that the diluent constitutes no more than 40 percent by volume of the good. 27.01-27.03 A change to heading 27.01 through 27.03 from any other chapter. A change to heading 27.04 from any other heading. 27.05-27.06 A change to heading 27.05 through 27.06 from any other heading, including another heading within that group. 2707.10-2707.91 A change to subheading 2707.10 through 2707. 91 from any other heading; or 4-B-15 27.04 27.10 A change to subheading 2707.10 through 2707. 91 from any other subheading within heading 27.07, whether or not there is also a change from any other heading, provided that the good resulting from such change is the product of a chemical reaction.</w:t>
      </w:r>
    </w:p>
    <w:p>
      <w:pPr>
        <w:pStyle w:val="Normal"/>
      </w:pPr>
      <w:r>
        <w:t>2707.99 A change to subheading 2707.99 from any other heading; A change to phenols of subheading 2707.99 from within that subheading or any other subheading within heading 27.07, whether or not there is also a change from any other heading, provided that the good resulting from such change is the product of a chemical reaction; or A change to any other good of subheading 2707.99 from phenols of that subheading or any other subheading within heading 27.07, whether or not there is also a change from any other heading, provided that the good resulting from such change is the product of a chemical reaction. 27.08-27.09 A change to heading 27.08 through 27.09 from any other heading, including another heading within that group. Note: Notwithstanding sub-paragraph (k) of Annex 4-A (Exceptions to Article 4.12 (De Minimis)) paragraph 1 of Article 4.12 (De Minimis) applies to: (a) non-originating light oils and preparations of subheading 2710.20 when used in the production of other goods of subheading 2710.20; and (b) non-originating other oils of subheading 2710.20 when used in the production of light oils or preparations of subheading 2710.20.</w:t>
      </w:r>
    </w:p>
    <w:p>
      <w:pPr>
        <w:pStyle w:val="Normal"/>
      </w:pPr>
      <w:r>
        <w:t>A change to heading 27.10 from any other heading, except from heading 27.11 through 27.15; Production of any good of heading 27.10 as the result of atmospheric distillation, vacuum distillation, catalytic hydroprocessing, catalytic reforming, alkylation, catalytic cracking, thermal cracking, coking or isomerization; or Production of any good of heading 27.10 as the result of direct blending, provided that: (i) the non-originating material is classified in Chapter 27, 4-B-16 (ii) no component of that non-originating material is classified under heading 22.07, and (iii) the non-originating material constitutes no more than 25 percent by volume of the good. 2711.11 A change to a good of subheading 2711.11 from within that subheading or any other subheading, provided that the non-originating feedstock of subheading 2711.11 constitutes no more than 49 percent by volume of the good. 2711.12-2711.14 A change to a good of subheading 2711.12 through 2711.14 from within that subheading or any other subheading, including another subheading within that group, provided that the non-originating feedstock of subheading 2711.12 through 2711.14 constitutes no more than 49 percent by volume of the good.</w:t>
      </w:r>
    </w:p>
    <w:p>
      <w:pPr>
        <w:pStyle w:val="Normal"/>
      </w:pPr>
      <w:r>
        <w:t>2711.19 A change to subheading 2711.19 from any other subheading, except from subheading 2711.29. 2711.21 A change to subheading 2711.21 from any other subheading. 2711.29 A change to subheading 2711.29 from any other subheading, except from subheading 2711.12 through 2711.21.</w:t>
      </w:r>
    </w:p>
    <w:p>
      <w:pPr>
        <w:pStyle w:val="Normal"/>
      </w:pPr>
      <w:r>
        <w:t xml:space="preserve">27.12 A change to heading 27.12 from any other heading. 2713.11-2713.12 A change to subheading 2713.11 through 2713.12 from any other heading. 2713.20 A change to a good of subheading 2713.20 from any other good within that subheading or any other subheading, provided that the non-originating feedstock of subheading 2713.20 constitutes no more than 49 percent by volume of the good. 2713.90 A change to subheading 2713.90 from any other heading, except from heading 27.10 through 27.12, subheading 2713.11 through 2713.20 or heading 27.14 through 27.15. 27.14 A change to heading 27.14 from any other heading. 27.15 A change to heading 27.15 from subheading 2713.20 or heading 27.14. any other heading, except from 4-B-17 27.16 A change to heading 27.16 from any other heading.</w:t>
      </w:r>
    </w:p>
    <w:p>
      <w:pPr>
        <w:pStyle w:val="AnnexSection"/>
      </w:pPr>
      <w:bookmarkStart w:id="900135" w:name="_Toc300000134"/>
      <w:r>
        <w:t xml:space="preserve">Section VI - Products of the Chemical or Allied Industries (Chapter 28-38)</w:t>
      </w:r>
      <w:bookmarkEnd w:id="900135"/>
    </w:p>
    <w:p>
      <w:pPr>
        <w:pStyle w:val="Normal"/>
      </w:pPr>
      <w:r>
        <w:t xml:space="preserve">Note 1: A good of any chapter or heading in Section VI that satisfies one or more of Rules 1 through 8 of this Section shall be treated as an originating good, except as otherwise specified in those rules. Note 2:</w:t>
      </w:r>
    </w:p>
    <w:p>
      <w:pPr>
        <w:pStyle w:val="Normal"/>
      </w:pPr>
      <w:r>
        <w:t>Notwithstanding Note 1, a good is an originating good if it meets the applicable change in tariff classification or satisfies the applicable value content requirement specified in the rules of origin in this Section.</w:t>
      </w:r>
    </w:p>
    <w:p>
      <w:pPr>
        <w:pStyle w:val="Normal"/>
      </w:pPr>
      <w:r>
        <w:t>Rule 1: Chemical Reaction Rule A good of Chapter 28 through 38, except a good of heading 33.01 or 38.23, or subheading 2916.32 or 3502.11 through 3502.19,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crystallisation.</w:t>
      </w:r>
    </w:p>
    <w:p>
      <w:pPr>
        <w:pStyle w:val="Normal"/>
      </w:pPr>
      <w:r>
        <w:t>Rule 2: Purification Rule A good of Chapter 28 through 38, except for a good of heading 33.01 or subheading 3502.11 through 3502.19,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4-B-18 (ii) as a chemical product or reagent for analytical, diagnostic, or laboratory uses, (iii) as an element or component for use in micro-elements, (iv) for specialized optical uses, (v) for non-toxic uses for health and safety; (vi) for biotechnical use (e.g. in cell culturing, in genetic technology, or as a catalyst), (vii) as a carrier used in a separation process, or (viii) for nuclear grade uses.</w:t>
      </w:r>
    </w:p>
    <w:p>
      <w:pPr>
        <w:pStyle w:val="Normal"/>
      </w:pPr>
      <w:r>
        <w:t>Rule 3: Mixtures and Blends Rule A good of Chapter 28 through 38, except for a good of Chapter 28, 29, or 32, heading 33.01 or 38.08, or subheading 3502.11 through 3502.19 is an originating good if the deliberate and proportionally controlled mixing or blending (including dispersing) of materials other than the addition of diluents, to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w:t>
      </w:r>
    </w:p>
    <w:p>
      <w:pPr>
        <w:pStyle w:val="Normal"/>
      </w:pPr>
      <w:r>
        <w:t>Change in Particle Size Rule A good of Chapter 28 through 38, except for a good of Chapter 28, 29, 32, or 38, heading 33.01, or subheading 3502.11 through 3502.19,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w:t>
      </w:r>
    </w:p>
    <w:p>
      <w:pPr>
        <w:pStyle w:val="Normal"/>
      </w:pPr>
      <w:r>
        <w:t>Rule 5: Standards Materials Rule A standards material of Chapter 28 through 38, except for a good of heading 33.01, or subheading 3502.11 through 3502.19 is an originating good if it is produced in the territory of one or more of the Parties. 4-B-19 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28 through 38, except for a good of heading 33.01, or subheading 3502.11 through 3502.19 is an originating good if the isolation or separation of isomers from mixtures of isomers occurs in the territory of one or more of the Parties. Rule 7:</w:t>
      </w:r>
    </w:p>
    <w:p>
      <w:pPr>
        <w:pStyle w:val="Normal"/>
      </w:pPr>
      <w:r>
        <w:t>Separation Prohibition Rule A good of Chapter 28 through 38, except for a good of heading 33.01, or subheading 3502.11 through 3502.19, that undergoes a change from one classification to another in the territory of one or more of the Parties as a result of the separation of one or more materials from a man- made mixture, shall not be treated as an originating good unless the isolated material underwent a chemical reaction in the territory of one or more of the Parties.</w:t>
      </w:r>
    </w:p>
    <w:p>
      <w:pPr>
        <w:pStyle w:val="Normal"/>
      </w:pPr>
      <w:r>
        <w:t>Rule 8: Biotechnological Processes Rule A good of Chapter 28 through 38, except for a good of heading 29.30 through 29.42, Chapter 30, heading 33.01, or subheading 3502.11 through 3502.19, is an originating good if it undergoes a biochemical process or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Products obtained by fermentation. Chapter 28 Inorganic Chemicals; Organic or Inorganic Compounds of Precious Metals, of Rare-Earth Metals, of Radioactive Elements or of Isotopes 2801.10-2853.00 A change to subheading 2801.10 through 2853.00 from any other subheading, including another heading within that group; or No required change in tariff classification to subheading 2801.10 through 2853.00, provided there is a regional value content of not less than: 4-B-20 30.04 (a) 40 percent where the transaction value method is used; or (b) 30 percent where the net cost method is used.</w:t>
      </w:r>
    </w:p>
    <w:p>
      <w:pPr>
        <w:pStyle w:val="Normal"/>
      </w:pPr>
      <w:r>
        <w:t>Chapter 29 Organic Chemicals 2901.10-2942.00 A change to subheading 2901.10 through 2942.00 from any other subheading, including another subheading within that group; or No required change in tariff classification to subheading 2901.10 through 2942.00, except for a good of subheading 2916.32 whether or not there is also a change from any other subheading, provided there is a regional value content of not less than: (a) 40 percent where the transaction value method is used; or (b) 30 percent where the net cost method is used. Chapter 30 Pharmaceutical Products 3001.20-3003.90 A change to subheading 3001.20 through 3003.90 from any other subheading, including another subheading within that group. A change to heading 30.04 from any other heading, except from heading 30.03; or No required change in tariff classification to heading 30.04, provided there is a regional value content of not less than: (a) 60 percent where the transaction value method is used; or (b) 50 percent where the net cost method is used.</w:t>
      </w:r>
    </w:p>
    <w:p>
      <w:pPr>
        <w:pStyle w:val="Normal"/>
      </w:pPr>
      <w:r>
        <w:t>3005.10-3005.90 A change to subheading 3005.10 through 3005.90 from any other heading; or No required change in tariff classification to subheading 3005.10 through 3005.90, provided there is a regional value content of not less than: (a) 60 percent where the transaction value method is used; or (b) 50 percent where the net cost method is used.</w:t>
      </w:r>
    </w:p>
    <w:p>
      <w:pPr>
        <w:pStyle w:val="Normal"/>
      </w:pPr>
      <w:r>
        <w:t>4-B-21 3006.10-3006.50 A change to subheading 3006.10 through 3006.50 from any other subheading, including another subheading within that group. 3006.60 A change to subheading 3006.60 from any other heading; or No required change in tariff classification to subheading 3006.60, provided there is a regional value content of not less than: (a) 60 percent where the transaction value is used; or (b) 50 percent where the net cost method is used. 3006.70 A change to subheading 3006.70 from any other chapter, except from Chapter 28 through 38; or No required change in tariff classification to subheading 3006.70, provided there is a regional value content of not less than: (a) 60 percent where the transaction value method is used; or (b) 50 percent where the net cost method is used. 3006.91-3006.92 A change to subheading 3006.91 through 3006.92 from any other subheading, including another subheading within that group. Chapter 31 Fertilizers 3101.00-3105.90 A change to subheading 3101.00 through 3105.90 from any other good within these subheadings or any other subheading, including another subheading within that group.</w:t>
      </w:r>
    </w:p>
    <w:p>
      <w:pPr>
        <w:pStyle w:val="Normal"/>
      </w:pPr>
      <w:r>
        <w:t>Chapter 32 Tanning or Dyeing Extracts; Tannins and Their Derivatives; Dyes, Pigments and Other Colouring Matter; Paints and Varnishes; Putty and Other Mastics; Inks Note: Pigments or coloring materials classified under heading 32.06 or 32.12 shall be disregarded in determining the origin of the goods classified under heading 32.07 through 32.15, except for any such pigments or materials based on titanium dioxide. 3201.10-3202.90 A change to subheading 3201.10 through 3202.90 from any other subheading, including another subheading within that group. A change to heading 32.03 from any other heading. 4-B-22 32.03 3204.11-3204.90 A change to subheading 3204.11 through 3204.90 from any other subheading, including another subheading within that group. 3205.00 A change to subheading 3205.00 from any other subheading; or No required change in tariff classification to subheading 3205.00, provided there is a regional value content of not less than: (a) 40 percent where the transaction value method is used; or (b) 30 percent where the net cost method is used. 3206.11-3206.42 A change to subheading 3206.11 through 3206.42 from any other subheading, including another subheading within that group.</w:t>
      </w:r>
    </w:p>
    <w:p>
      <w:pPr>
        <w:pStyle w:val="Normal"/>
      </w:pPr>
      <w:r>
        <w:t>3206.49 A change to pigments or preparations based on cadmium compounds of subheading 3206.49 from any other good of subheading 3206.49 or any other subheading; A change to pigments and preparations based on hexacyanoferrates (ferrocyanides and ferricyanides) of subheading 3206.49 from any other good of subheading 3206.49 or any other subheading; or A change to any other good of subheading 3206.49 from any other subheading. 3206.50 A change to subheading 3206.50 from any other subheading. 32.07-32.15 A change to heading 32.07 through 32.15 from any other chapter. Chapter 33 Essential Oils and Resinoids; Perfumery, Cosmetic, or Toilet Preparations 3301.12-3301.13 A change to subheading 3301.12 through 3301.13 from any other chapter; or No required change in tariff classification to subheading 3301.12 through 3301.13 provided there is a regional value content of not less than: (a) 60 percent where the transaction value method is used; or (b) 50 percent where the net cost method is used. 4-B-23 3301.19 A change to essential oils of bergamot or lime of subheading 3301.19 from any other good of subheading 3301.19 or any other subheading;</w:t>
      </w:r>
    </w:p>
    <w:p>
      <w:pPr>
        <w:pStyle w:val="Normal"/>
      </w:pPr>
      <w:r>
        <w:t>A change to any other good of subheading 3301.19 from any other chapter; or No required change in tariff classification to subheading 3301.19 provided there is a regional value content of not less than: (a) 60 percent where the transaction value method is used; or (b) 50 percent where the net cost method is used.</w:t>
      </w:r>
    </w:p>
    <w:p>
      <w:pPr>
        <w:pStyle w:val="Normal"/>
      </w:pPr>
      <w:r>
        <w:t>3301.24-3301.25 A change to subheading 3301.24 through 3301.25 from any other subheading, including another subheading within that group. 3301.29 A change to essential oils of geranium, jasmine, lavender, lavandin, or vetiver of subheading 3301.29 from any other good of subheading 3301.29 or any other subheading; A change to any other good of subheading 3301.29 from any other chapter; or No required change in tariff classification to subheading 3301.29, whether or not there is also a change from any other chapter, provided there is a regional value content of not less than: (a) 60 percent where the transaction value method is used; or (b) 50 percent where the net cost method is used. 3301.30-3301.90 A change to subheading 3301.30 through 3301.90 from any other chapter; or No required change in tariff classification to subheading 3301.30 through 3301.90, provided there is a regional value content of not less than: (a) 60 percent where the transaction value method is used; or (b) 50 percent where the net cost method is used.</w:t>
      </w:r>
    </w:p>
    <w:p>
      <w:pPr>
        <w:pStyle w:val="Normal"/>
      </w:pPr>
      <w:r>
        <w:t>33.02 – 33.03 A change to heading 33.02 through 33.03 from any other heading. 4-B-24 3304.10-3305.90 A change to subheading 3304.10 through 3305.90 from any other subheading, including another subheading within that group. 33.06-33.07 A change to heading 33.06 through 33.07 from any other heading.</w:t>
      </w:r>
    </w:p>
    <w:p>
      <w:pPr>
        <w:pStyle w:val="Normal"/>
      </w:pPr>
      <w:r>
        <w:t>Chapter 34 Soap, Organic Surface-active Agents, Washing Preparations, Lubricating Preparations, Artificial Waxes, Prepared Waxes, Polishing or Scouring Preparations, Candles and Similar Articles, Modelling Pastes, “Dental Waxes” and Dental Preparations with a Basis of Plaster 34.01 A change to heading 34.01 from any other heading. 3402.11-3404.90 A change to subheading 3402.11 through 3404.90 from any other subheading, including another subheading within that group; or No required change in tariff classification to subheading 3402.11 through 3404.90, provided there is a regional value content of not less than: (a) 60 percent where the transaction value method is used; or (b) 50 percent where the net cost method is used. 34.05-34.07 A change to heading 34.05 through 34.07 from any other heading, including another heading within that group. Chapter 35 Albuminoidal Substances; Modified Starches; Glues; Enzymes 35.01 A change to heading 35.01 from any other heading; or No required change in tariff classification to heading 35.01, provided there is a regional value content of not less than: (a) 65 percent where the transaction value method is used; or (b) 50 percent where the net cost method is used. 3502.11-3502.19 A change to subheading 3502.11 through 3502.19 from any other heading.</w:t>
      </w:r>
    </w:p>
    <w:p>
      <w:pPr>
        <w:pStyle w:val="Normal"/>
      </w:pPr>
      <w:r>
        <w:t>3502.20-3502.90 A change to subheading 3502.20 through 3502.90 from any other heading; or No required change in tariff classification to subheading 3502.20 through 3502.90, provided there is a regional value content of not less than: 4-B-25 (a) 65 percent where the transaction value method is used; or (b) 50 percent where the net cost method is used. 3503.00-3507.90 A change to subheading 3503.00 through 3507.90 from any other subheading, including another subheading within that group; or No required change in tariff classification to subheading 3503.00 through 3507.90, provided there is a regional value content of not less than: (a) 40 percent where the transaction value method is used; or (b) 30 percent where the net cost method is used. Chapter 36 Explosives; Pyrotechnic Products; Matches; Pyrophoric Alloys; Certain Combustible Preparations 36.01-36.06 A change to heading 36.01 through 36.06 from any other heading, including another heading within that group. Chapter 37 Photographic or Cinematographic Goods 37.01-37.03 A change to heading 37.01 through 37.03 from any heading outside that group. 37.04- 37.07 A change to heading 37.04 through 37.07 from any other heading, including another heading within that group.</w:t>
      </w:r>
    </w:p>
    <w:p>
      <w:pPr>
        <w:pStyle w:val="Normal"/>
      </w:pPr>
      <w:r>
        <w:t>Chapter 38 Miscellaneous Chemical Products 3801.10-3807.00 A change to subheading 3801.10 through 3807.00 from any other subheading, including another subheading within that group; or No required change in tariff classification to subheading 3801.10 through 3807.00, provided there is a regional value content of not less than: (a) 40 percent where the transaction value method is used; or (b) 30 percent where the net cost method is used. 3808.50-3808.99 A change to subheading 3808.50 through 3808.99 from any other subheading, including another subheading within that group, provided that not less than 50 percent by weight of the total active ingredient or ingredients is originating. 4-B-26 3809.10-3821.00 A change to subheading 3809.10 through 3821.00 from any other subheading, including another subheading within that group; or No required change in tariff classification to subheading 3809.10 through 3821.00, provided there is a regional value content of not less than: (a) 40 percent where the transaction value method is used; or (b) 30 percent where the net cost method is used. 38.22 A change to heading 38.22 from any other heading.</w:t>
      </w:r>
    </w:p>
    <w:p>
      <w:pPr>
        <w:pStyle w:val="Normal"/>
      </w:pPr>
      <w:r>
        <w:t xml:space="preserve">3823.11-3826.00 A change to subheading 3823.11 through 3826.00 from any other subheading, including another subheading within that group; or No required change in tariff classification to subheading 3823.11 through 3826.00, provided there is a regional value content of not less than: (a) 40 percent where the transaction value method is used; or (b) 30 percent where the net cost method is used.</w:t>
      </w:r>
    </w:p>
    <w:p>
      <w:pPr>
        <w:pStyle w:val="AnnexSection"/>
      </w:pPr>
      <w:bookmarkStart w:id="900136" w:name="_Toc300000135"/>
      <w:r>
        <w:t xml:space="preserve">Section VII - Plastics and Articles Thereof; Rubber and Articles Thereof (Chapter 39-40)</w:t>
      </w:r>
      <w:bookmarkEnd w:id="900136"/>
    </w:p>
    <w:p>
      <w:pPr>
        <w:pStyle w:val="Normal"/>
      </w:pPr>
      <w:r>
        <w:t xml:space="preserve">Notes to Section VII: Note 1: A good of any chapter or heading in Section VII that satisfies one or more of Rules 1 through 7 of this Section shall be treated as an originating good, except as otherwise specified in those rules. Note 2: Notwithstanding Note 1, a good is an originating good if it meets the applicable change in tariff classification or satisfies the applicable value content requirement specified in the rules of origin in this Section. Rule 1:</w:t>
      </w:r>
    </w:p>
    <w:p>
      <w:pPr>
        <w:pStyle w:val="Normal"/>
      </w:pPr>
      <w:r>
        <w:t>Chemical Reaction Rule A good of Chapter 39 through 40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w:t>
      </w:r>
    </w:p>
    <w:p>
      <w:pPr>
        <w:pStyle w:val="Normal"/>
      </w:pPr>
      <w:r>
        <w:t>4-B-27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crystallization. Rule 2: Purification Rule A good of Chapter 39 through 40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(ii) as a chemical product or reagent for analytical, diagnostic, or laboratory uses, (iii) as an element or component for use in micro-elements, (iv) for specialized optical uses, (v) for non-toxic uses for health and safety, (vi) for biotechnical use (e.g., in cell culturing, in genetic technology, or as a catalyst), (vii) as a carrier used in a separation process, or (viii) for nuclear grade uses.</w:t>
      </w:r>
    </w:p>
    <w:p>
      <w:pPr>
        <w:pStyle w:val="Normal"/>
      </w:pPr>
      <w:r>
        <w:t>Rule 3: Mixtures and Blends Rule A good of Chapter 39 is an originating good if the deliberate and proportionally-controlled mixing or blending (including dispersing) of materials, other than the addition of diluents, to 4-B-28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 Change in Particle Size Rule A good of Chapter 39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 Rule 5:</w:t>
      </w:r>
    </w:p>
    <w:p>
      <w:pPr>
        <w:pStyle w:val="Normal"/>
      </w:pPr>
      <w:r>
        <w:t>Standards Materials Rule A standards material of Chapter 39 is an originating good if it is produced in the territory of one or more of the Parties.</w:t>
      </w:r>
    </w:p>
    <w:p>
      <w:pPr>
        <w:pStyle w:val="Normal"/>
      </w:pPr>
      <w:r>
        <w:t>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39 is an originating good if the isolation or separation of isomers from mixtures of isomers occurs in the territory of one or more of the Parties. Rule 7: Biotechnological Processes Rule A good of Chapter 39 is an originating good if it undergoes a biochemical process or through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Fermentation.</w:t>
      </w:r>
    </w:p>
    <w:p>
      <w:pPr>
        <w:pStyle w:val="Normal"/>
      </w:pPr>
      <w:r>
        <w:t>4-B-29 Chapter 39 Plastics and Articles Thereof 39.01-39.15 A change to heading 39.01 through 39.15 from any other heading, including another heading within that group, provided that the originating polymer content of heading 39.01 through 39.15 is not less than 50 percent by weight of the total polymer content. 39.16-39.26 A change to heading 39.15 through 39.26 from any other heading, including another heading within that group.</w:t>
      </w:r>
    </w:p>
    <w:p>
      <w:pPr>
        <w:pStyle w:val="Normal"/>
      </w:pPr>
      <w:r>
        <w:t>Chapter 40 Rubber and Articles Thereof 4001.10-4002.99 A change to subheading 4001.10 through 4002.99 from any other subheading, including another subheading within that group. 40.03-40.04 A change to heading 40.03 through 40.04 from any other heading, including another heading within that group. 40.05-40.06 A change to heading 40.05 through 40.06 from any other heading, including another heading within that group, except from heading 40.01; or A change to heading 40.05 through 40.06 from heading 40.01, whether or not there is also a change from any other heading, including another heading within that group, provided there is a regional value content of not less than: (a) 35 percent where the transaction value method is used; or (b) 25 percent where the net cost method is used. 40.07-40.08 A change to heading 40.07 through 40.08 from any heading outside that group. 4009.111 A change to subheading 4009.11 from any other heading, except from heading 40.10 through 40.17.</w:t>
      </w:r>
    </w:p>
    <w:p>
      <w:pPr>
        <w:pStyle w:val="Normal"/>
      </w:pPr>
      <w:r>
        <w:t>4009.122 A change to tubes, pipes, or hoses of subheading 4009.12, of a kind for use in a motor vehicle of tariff item 8702.10.bb or 8702.90.bb, subheading 1 If the good is for use in a vehicle of Chapter 87, the provisions of the Appendix to this Annex apply. 2 If the good is for use in a vehicle of Chapter 87, the provisions of the Appendix to this Annex apply.</w:t>
      </w:r>
    </w:p>
    <w:p>
      <w:pPr>
        <w:pStyle w:val="Normal"/>
      </w:pPr>
      <w:r>
        <w:t>4-B-30 8703.21 through 8703.90, 8704.21 or 8704.31, or heading 87.11, from any other heading, except from heading 40.10 through 40.17; A change to tubes, pipes or hoses of subheading 4009.12,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4009.12, other than those of a kind for use in a motor vehicle of tariff item 8702.10.bb or 8702.90.bb, subheading 8703.21 through 8703.90, 8704.21 or 8704.31, or heading 87.11, from any other heading, except from heading 40.10 through 40.17. 4009.213 A change to subheading 4009.21 from any other heading, except from heading 40.10 through 40.17.</w:t>
      </w:r>
    </w:p>
    <w:p>
      <w:pPr>
        <w:pStyle w:val="Normal"/>
      </w:pPr>
      <w:r>
        <w:t>4009.224 A change to tubes, pipes, or hoses of subheading 4009.22, of a kind for use in a motor vehicle of tariff item 8702.10.bb or 8702.90.bb, subheading 8703.21 through 8703.90, 8704.21 or 8704.31, or heading 87.11, from any other heading, except from heading 40.10 through 40.17; A change to tubes, pipes, or hoses of subheading 4009.22,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3 If the good is for use in a vehicle of Chapter 87, the provisions of the Appendix to this Annex apply. 4 If the good is for use in a vehicle of Chapter 87, the provisions of the Appendix to this Annex apply.</w:t>
      </w:r>
    </w:p>
    <w:p>
      <w:pPr>
        <w:pStyle w:val="Normal"/>
      </w:pPr>
      <w:r>
        <w:t>4-B-31 A change to tubes, pipes, or hoses of subheading 4009.22, other than those of a kind for use in a motor vehicle of tariff item 8702.10.bb or 8702.90.bb, subheading 8703.21 through 8703.90, 8704.21 or 8704.31, or heading 87.11, from any other heading, except from heading 40.10 through 40.17. 4009.315 A change to subheading 4009.31 from any other heading, except from heading 40.10 through 40.17.</w:t>
      </w:r>
    </w:p>
    <w:p>
      <w:pPr>
        <w:pStyle w:val="Normal"/>
      </w:pPr>
      <w:r>
        <w:t>4009.326 A change to tubes, pipes, or hoses of subheading 4009.32, of a kind for use in a motor vehicle of tariff item 8702.10.bb or 8702.90.bb, subheading 8703.21 through 8703.90, 8704.21 or 8704.31, or heading 87.11, from any other heading, except from heading 40.10 through 40.17; A change to tubes, pipes, or hoses of subheading 4009.32,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4009.32, other than those of a kind for use in a motor vehicle of tariff item 8702.10.bb or 8702.90.bb, subheading 8703.21 through 8703.90, 8704.21 or 8704.31, or heading 87.11, from any other heading, except from heading 40.10 through 40.17.</w:t>
      </w:r>
    </w:p>
    <w:p>
      <w:pPr>
        <w:pStyle w:val="Normal"/>
      </w:pPr>
      <w:r>
        <w:t>4009.417 A change to subheading 4009.41 from any other heading, except from heading 40.10 through 40.17. 4009.428 A change to tubes, pipes, or hoses of subheading 4009.42, of a kind for use in a motor vehicle of tariff item 8702.10.bb or 8702.90.bb, subheading 5 If the good is for use in a vehicle of Chapter 87, the provisions of the Appendix to this Annex apply.</w:t>
      </w:r>
    </w:p>
    <w:p>
      <w:pPr>
        <w:pStyle w:val="Normal"/>
      </w:pPr>
      <w:r>
        <w:t>6 If the good is for use in a vehicle of Chapter 87, the provisions of the Appendix to this Annex apply. 7 If the good is for use in a vehicle of Chapter 87, the provisions of the Appendix to this Annex apply. 8 If the good is for use in a vehicle of Chapter 87, the provisions of the Appendix to this Annex apply. 4-B-32 8703.21 through 8703.90, 8704.21 or 8704.31, or heading 87.11, from any other heading, except from heading 40.10 through 40.17; A change to tubes, pipes or hoses of subheading 4009.42,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w:t>
      </w:r>
    </w:p>
    <w:p>
      <w:pPr>
        <w:pStyle w:val="Normal"/>
      </w:pPr>
      <w:r>
        <w:t>(a) 60 percent where the transaction value method is used; or (b) 50 percent where the net cost method is used; or A change to tubes, pipes or hoses of subheading 4009.42, other than those of a kind for use in a motor vehicle of tariff item 8702.10.bb or 8702.90.bb, subheading 8703.21 through 8703.90, 8704.21 or 8704.31, or heading 87.11, from any other heading, except from heading 40.10 through 40.17. 40.10-40.119 A change to heading 40.10 through 40.11 from any other heading, except from heading 40.09 through 40.17. 4012.11-4012.19 A change to subheading 4012.11 through 4012.19 from any subheading outside that group.</w:t>
      </w:r>
    </w:p>
    <w:p>
      <w:pPr>
        <w:pStyle w:val="Normal"/>
      </w:pPr>
      <w:r>
        <w:t>4012.20-4012.90 A change to subheading 4012.20 through 4012.90 from any other heading. 40.13-40.15 A change to heading 40.13 through 40.15 from any other heading, including another heading within that group. 4016.10-4016.9510 A change to subheading 4016.10 through 4016.95 from any other heading. 4016.9911 4016.99.aa A change to tariff item 4016.99.aa from any other heading; or 9 If the good is for use in a vehicle of Chapter 87, the provisions of the Appendix to this Annex apply. 10 If the good is for use in a vehicle of Chapter 87, the provisions of the Appendix to this Annex apply. 11 If the good is for use in a vehicle of Chapter 87, the provisions of the Appendix to this Annex apply. 4-B-33 A change to tariff item 4016.99.aa from any other subheading, provided there is a regional value content of not less than 50 percent under the net cost method. 4016.99 A change to subheading 4016.99 from any other heading. 40.17 A change to heading 40.17 from any other heading.</w:t>
      </w:r>
    </w:p>
    <w:p>
      <w:pPr>
        <w:pStyle w:val="AnnexSection"/>
      </w:pPr>
      <w:bookmarkStart w:id="900137" w:name="_Toc300000136"/>
      <w:r>
        <w:t xml:space="preserve">Section VIII - Raw Hides and Skins, Leather, Furskins and Articles Thereof; Saddlery and Harness; Travel Goods, Handbags and Similar Containers; Articles of Animal Gut (Other Than Silk-worm Gut) (Chapter 41-43)</w:t>
      </w:r>
      <w:bookmarkEnd w:id="900137"/>
    </w:p>
    <w:p>
      <w:pPr>
        <w:pStyle w:val="Normal"/>
      </w:pPr>
      <w:r>
        <w:t xml:space="preserve">Chapter 41 Raw Hides and Skins (Other Than Furskins) and Leather 41.01 A change to hides or skins of heading 41.01 which have undergone a tanning (including pre-tanning) process which is reversible from any other good of heading 41.01 or any other chapter; or A change to any other good of heading 41.01 from any other chapter. 41.02 A change to hides or skins of heading 41.02 which have undergone a tanning (including pre-tanning) process which is reversible from any other good of heading 41.02 or any other chapter; or A change to any other good of heading 41.02 from any other chapter. 41.03 A change to hides or skins of heading 41.03, except hides or skins of camels or dromedaries of heading 41.03, which have undergone a tanning (including pre-tanning) process which is reversible from any other good of heading 41.03 or any other chapter;</w:t>
      </w:r>
    </w:p>
    <w:p>
      <w:pPr>
        <w:pStyle w:val="Normal"/>
      </w:pPr>
      <w:r>
        <w:t>A change to hides or skins of camels or dromedaries of heading 41.03 from any other chapter, except from Chapter 43; or A change to any other good of heading 41.03 from any other chapter. 41.04 A change to heading 41.04 from any other heading, except from 41.07. 4105.10 A change to subheading 4105.10 from heading 41.02 or any other chapter.</w:t>
      </w:r>
    </w:p>
    <w:p>
      <w:pPr>
        <w:pStyle w:val="Normal"/>
      </w:pPr>
      <w:r>
        <w:t>4105.30 A change to subheading 4105.30 from heading 41.02, subheading 4105.10 or any other chapter. 4-B-34 4106.21 A change to subheading 4106.21 from subheading 4103.10 or any other chapter. 4106.22 A change to subheading 4106.22 from subheading 4103.10 or 4106.21 or any other chapter. 4106.31 A change to subheading 4106.31 from subheading 4103.30 or any other chapter. 4106.32 A change to subheading 4106.32 from subheading 4103.30 or 4106.31 or any other chapter. 4106.40 A change to tanned hides and skins in the wet state (including wet-blue) of subheading 4106.40 from subheading 4103.20 or any other chapter; or A change to crust hides and skins of subheading 4106.40 from subheading 4103.20 or tanned hides and skins in the wet state (including wet-blue) of subheading 4106.40 or any other chapter. 4106.91 A change to subheading 4106.91 from subheading 4103.90 or any other chapter. 4106.92 A change to subheading 4106.92 from subheading 4103.90 or 4106.91 or any other chapter. 41.07 A change to heading 41.07 from heading 41.01 or any other chapter.</w:t>
      </w:r>
    </w:p>
    <w:p>
      <w:pPr>
        <w:pStyle w:val="Normal"/>
      </w:pPr>
      <w:r>
        <w:t>41.12 A change to heading 41.12 from heading 41.02, subheading 4105.10 or any other chapter. 41.13 A change to heading 41.13 from heading 41.03, subheading 4106.21 or 4106.31, tanned hides and skins in the wet state (including wet-blue) of subheading 4106.40, subheading 4106.91 or any other chapter.</w:t>
      </w:r>
    </w:p>
    <w:p>
      <w:pPr>
        <w:pStyle w:val="Normal"/>
      </w:pPr>
      <w:r>
        <w:t>41.14 A change to heading 41.14 from heading 41.01 through 41.03, subheading 4105.10, 4106.21, 4106.31 or 4106.91 or any other chapter. 4115.10-4115.20 A change to subheading 4115.10 through 4115.20 from heading 41.01 through 41.03 or any other chapter. Chapter 42 Articles of Leather; Saddlery and Harness; Travel Goods, Handbags and Similar Containers; Articles of Animal Gut (Other Than Silk-Worm Gut) A change to heading 42.01 from any other chapter. 4-B-35 42.01 4202.11 A change to subheading 4202.11 from any other chapter. 4202.12 A change to subheading 4202.12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4202.19-4202.21 A change to subheading 4202.19 through 4202.21 from any other chapter.</w:t>
      </w:r>
    </w:p>
    <w:p>
      <w:pPr>
        <w:pStyle w:val="Normal"/>
      </w:pPr>
      <w:r>
        <w:t>4202.22 A change to subheading 4202.22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4202.29-4202.31 A change to subheading 4202.29 through 4202.31 from any other chapter.</w:t>
      </w:r>
    </w:p>
    <w:p>
      <w:pPr>
        <w:pStyle w:val="Normal"/>
      </w:pPr>
      <w:r>
        <w:t>4202.32 A change to subheading 4202.32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4202.39-4202.91 A change to subheading 4202.39 through 4202.91 from any other chapter. 4202.92 A change to subheading 4202.92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4202.99 A change to subheading 4202.99 from any other chapter. 42.03-42.06 A change to heading 42.03 through 42.06 from any other chapter. Chapter 43 Furskins and Artificial Fur; Manufactures Thereof A change to heading 43.01 from any other chapter. 4-B-36 43.01 43.02 A change to heading 43.02 from any other heading. 43.03-43.04 A change to heading 43.03 through 43.04 from any heading outside that group.</w:t>
      </w:r>
    </w:p>
    <w:p>
      <w:pPr>
        <w:pStyle w:val="AnnexSection"/>
      </w:pPr>
      <w:bookmarkStart w:id="900138" w:name="_Toc300000137"/>
      <w:r>
        <w:t xml:space="preserve">Section IX - Wood and Articles of Wood; Wood Charcoal; Cork and Articles of Cork; Manufactures of Straw, of Esparto, or of Other Plaiting Materials; Basketware and Wickerwork (Chapter 44-46)</w:t>
      </w:r>
      <w:bookmarkEnd w:id="900138"/>
    </w:p>
    <w:p>
      <w:pPr>
        <w:pStyle w:val="Normal"/>
      </w:pPr>
      <w:r>
        <w:t xml:space="preserve">Chapter 44 Wood and Articles of Wood; Wood Charcoal 44.01-44.21 A change to heading 44.01 through 44.21 from any other heading, including another heading within that group. Chapter 45 Cork and Articles of Cork 45.01-45.02 A change to heading 45.01 through 45.02 from any other heading, including another heading within that group. 4503.10 A change to a good of subheading 4503.10 from any other good within that subheading or any other subheading. 4503.90 A change to subheading 4503.90 from any other heading. 45.04 A change to heading 45.04 from any other heading. Chapter 46 Manufactures of Straw, of Esparto or of Other Plaiting Materials; Basketware and Wickerwork 46.01 A change to heading 46.01 from any other chapter. 46.02 A change to heading 46.02 from any other heading.</w:t>
      </w:r>
    </w:p>
    <w:p>
      <w:pPr>
        <w:pStyle w:val="AnnexSection"/>
      </w:pPr>
      <w:bookmarkStart w:id="900139" w:name="_Toc300000138"/>
      <w:r>
        <w:t xml:space="preserve">Section X - Pulp of Wood or of other Fibrous Cellulosic Material; Waste and Scrap of Paper or Paperboard;</w:t>
      </w:r>
      <w:r>
        <w:t xml:space="preserve"> </w:t>
      </w:r>
      <w:r>
        <w:t xml:space="preserve">Paper and Paperboard and Articles Thereof (Chapter 47-49)</w:t>
      </w:r>
      <w:bookmarkEnd w:id="900139"/>
    </w:p>
    <w:p>
      <w:pPr>
        <w:pStyle w:val="Normal"/>
      </w:pPr>
      <w:r>
        <w:t xml:space="preserve">Chapter 47 Pulp of Wood or of Other Fibrous Cellulosic Material; Waste and Scrap of Paper or Paperboard 47.01-47.07 A change to heading 47.01 through 47.07 from any other chapter. 4-B-37 Chapter 48 Paper and Paperboard; Articles of Paper Pulp, of Paper or of Paperboard 48.01 A change to heading 48.01 from any other chapter.</w:t>
      </w:r>
    </w:p>
    <w:p>
      <w:pPr>
        <w:pStyle w:val="Normal"/>
      </w:pPr>
      <w:r>
        <w:t>48.02 A change to paper or paperboard in strips or rolls of a width not exceeding 15 cm of heading 48.02 from strips or rolls of a width exceeding 15 cm of heading 48.02 or any other heading, except from heading 48.17 through 48.23; A change to paper or paperboard in rectangular (including square) sheets with the larger dimension not exceeding 36 cm or the other dimension not exceeding 15 cm in the unfolded state of heading 48.02 from strips or rolls of a width exceeding 15 cm of heading 48.02, paper or paperboard in rectangular (including square) sheets with the larger dimension exceeding 36 cm and the other dimension exceeding 15 cm in the unfolded state of heading 48.02 or from any other heading, except from heading 48.17 through 48.23; or A change to any other good of heading 48.02 from any other chapter. 48.03-48.07 A change to heading 48.03 through 48.07 from any other chapter. 48.08-48.09 A change to heading 48.08 through 48.09 from any heading outside that group.</w:t>
      </w:r>
    </w:p>
    <w:p>
      <w:pPr>
        <w:pStyle w:val="Normal"/>
      </w:pPr>
      <w:r>
        <w:t>48.10 A change to paper or paperboard in strips or rolls of a width not exceeding 15 cm of heading 48.10 from strips or rolls of a width exceeding 15 cm of heading 48.10, or from any other heading, except from heading 48.17 through 48.23; A change to paper or paperboard in rectangular (including square) sheets with the larger dimension not exceeding 36 cm or the other dimension not exceeding 15 cm in the unfolded state of heading 48.10 from strips or rolls of a width exceeding 15 cm of heading 48.10, paper or paperboard in rectangular (including square) sheets with the larger dimension exceeding 36 cm and the other dimension exceeding 15 cm in the unfolded state of heading 48.10, or from any other heading, except from heading 48.17 through 48.23; or A change to any other good of heading 48.10 from any other chapter.</w:t>
      </w:r>
    </w:p>
    <w:p>
      <w:pPr>
        <w:pStyle w:val="Normal"/>
      </w:pPr>
      <w:r>
        <w:t>48.11 A change to paper or paperboard in strips or rolls of a width not exceeding 15cm of heading 48.11 from strips or rolls of a width exceeding 15 cm of heading 48.11, floor coverings on a base of paper or paperboard of 4-B-38 heading 48.11, or from any other heading, except from heading 48.17 through 48.23; A change to paper or paperboard in rectangular (including square) sheets with the larger dimension not exceeding 36 cm or the other dimension not exceeding 15 cm in the unfolded state of heading 48.11 from strips or rolls of a width exceeding 15 cm of heading 48.11, paper or paperboard in rectangular (including square) sheets with the larger dimension exceeding 36 cm and the other dimension exceeding 15 cm in the unfolded state of heading 48.11, floor coverings on a base of paper or paperboard of heading 48.11 or any other heading, except from heading 48.17 through 48.23;</w:t>
      </w:r>
    </w:p>
    <w:p>
      <w:pPr>
        <w:pStyle w:val="Normal"/>
      </w:pPr>
      <w:r>
        <w:t>A change to floor coverings on a base of paper or paperboard of heading 48.11 from any other good of heading 48.11 or any other heading, except from heading 48.14 or floor coverings on a base of paper or paperboard of subheading 4823.90; or A change to any other good of heading 48.11 from floor coverings on a base of paper or paperboard of heading 48.11 or any other chapter. 48.12-48.13 A change to heading 48.12 through 48.13 from any other chapter. 48.14 A change to heading 48.14 from any other heading, except from floor coverings on a base of paper or paperboard of heading 48.11.</w:t>
      </w:r>
    </w:p>
    <w:p>
      <w:pPr>
        <w:pStyle w:val="Normal"/>
      </w:pPr>
      <w:r>
        <w:t>48.16 A change to heading 48.16 from any other heading, except from heading 48.09. 48.17-48.22 A change to heading 48.17 through 48.22 from any heading outside that group, except from heading 48.23. 48.23 A change to strips or rolls of a width of 15 cm or less of heading 48.23 from strips or rolls of a width exceeding 15 cm of heading 48.23, other than strips or rolls of heading 48.23 which, but for their width, would be classified in heading 48.03, 48.09 or 48.14, floor coverings on a base of paper or paperboard of heading 48.23, or from any other heading, except from heading 48.17 through 48.22; A change to strips or rolls of a width exceeding 15 cm of heading 48.23 from floor coverings on a base of paper or paperboard of heading 48.23, or any other heading, except from heading 48.17 through 48.22;</w:t>
      </w:r>
    </w:p>
    <w:p>
      <w:pPr>
        <w:pStyle w:val="Normal"/>
      </w:pPr>
      <w:r>
        <w:t>4-B-39 A change to floor coverings on a base of paper or paperboard of heading 48.23 from any other good of heading 48.23 or any other heading, except from floor coverings on a base of paper or paperboard of heading 48.11 or 48.14; or A change to any other good of heading 48.23 from strip or rolls of a width exceeding 15 cm of heading 48.23, other than strips or rolls of heading 48.23 which but for their width would be classified in heading 48.03, 48.09 or 48.14, floor coverings on a base of paper or paperboard of heading 48.23, from or any other heading, except from strip or rolls of a width exceeding 15 cm but not exceeding 36 cm or paper or paperboard in rectangular</w:t>
      </w:r>
    </w:p>
    <w:p>
      <w:pPr>
        <w:pStyle w:val="Normal"/>
      </w:pPr>
      <w:r>
        <w:t xml:space="preserve">(including square) sheets with one side not exceeding 15 cm in the unfolded state of heading 48.02, 48.10 or 48.11, or from heading 48.17 through 48.22. Chapter 49 Printed Books, Newspapers, Pictures and Other Products of the Printing Industry; Manuscripts, Typescripts and Plans 49.01-49.11 A change to heading 49.01 through 49.11 from any other chapter.</w:t>
      </w:r>
    </w:p>
    <w:p>
      <w:pPr>
        <w:pStyle w:val="AnnexSection"/>
      </w:pPr>
      <w:bookmarkStart w:id="900140" w:name="_Toc300000139"/>
      <w:r>
        <w:t xml:space="preserve">Section XI - Textiles and Textile Articles (Chapter 50-63)</w:t>
      </w:r>
      <w:bookmarkEnd w:id="900140"/>
    </w:p>
    <w:p>
      <w:pPr>
        <w:pStyle w:val="Normal"/>
      </w:pPr>
      <w:r>
        <w:t xml:space="preserve">Note 1: The textile and apparel rules are read in conjunction with Chapter 6 (Textile and Apparel Goods). For the purposes of these rules, the term “wholly” means that the good is made entirely or solely of the named material. Note 2: A good classified in Chapter 50 through 63 shall be considered originating, notwithstanding the origin of the following materials, provided that the good otherwise meets the applicable product specific rule: (a) rayon filament, other than lyocell or acetate, of heading 54.03 or 54.05, or (b) rayon fiber, other than lyocell or acetate, of heading 55.02, 55.04, or 55.07. Chapter 50 Silk 50.01-50.03 A change to heading 50.01 through 50.03 from any other chapter.</w:t>
      </w:r>
    </w:p>
    <w:p>
      <w:pPr>
        <w:pStyle w:val="Normal"/>
      </w:pPr>
      <w:r>
        <w:t>50.04-50.06 A change to heading 50.04 through 50.06 from any heading outside that group. A change to heading 50.07 from any other heading. 4-B-40 50.07 Chapter 51 Wool, Fine or Coarse Animal Hair; Horsehair Yarn and Woven Fabric 51.01-51.05 A change to heading 51.01 through 51.05 from any other chapter.</w:t>
      </w:r>
    </w:p>
    <w:p>
      <w:pPr>
        <w:pStyle w:val="Normal"/>
      </w:pPr>
      <w:r>
        <w:t>51.06-51.10 A change to heading 51.06 through 51.10 from any heading outside that group. 51.11 A change to heading 51.11 from any heading, except from heading 51.06 through 51.10, 51.12 through 51.13, 52.05 through 52.06, 54.01 through 54.04 or 55.09 through 55.10. 5112.11 For the purposes of trade between Canada and the United States of goods of subheading 5112.11, the following rules of origin apply: A change to woven fabrics (other than tapestry fabrics or upholstery fabrics of a weight not exceeding 140 grams per square meter) of combed fine animal hair of subheading 5112.11 from yarn of combed camel hair or combed cashmere of subheading 5108.20 or any other heading (except from heading 51.06 through 51.07, any other good of heading 51.08, or heading 51.09 through 51.11, 52.05 through 52.06, 54.01 through 54.04, or 55.09 through 55.10); or A change to any other good of subheading 5112.11 from any other heading, except from heading 51.06 through 51.11 or 51.13, 52.05 through 52.06, 54.01 through 54.04 or 55.09 through 55.10.</w:t>
      </w:r>
    </w:p>
    <w:p>
      <w:pPr>
        <w:pStyle w:val="Normal"/>
      </w:pPr>
      <w:r>
        <w:t>For the purposes of all other trade of subheading 5112.11 the following rule of origin applies: A change to subheading 5112.11 from any other heading, except from heading 51.06 through 51.11 or 51.13, 52.05 through 52.06, 54.01 through 54.04 or 55.09 through 55.10.</w:t>
      </w:r>
    </w:p>
    <w:p>
      <w:pPr>
        <w:pStyle w:val="Normal"/>
      </w:pPr>
      <w:r>
        <w:t>5112.19 For the purposes of trade between Canada and the United States of goods of subheading 5112.19, the following rules of origin apply: A change to woven fabrics, other than tapestry or upholstery fabrics, of combed fine animal hair of subheading 5112.19 from yarn of combed camel hair or combed cashmere of subheading 5108.20 or any other heading (except from heading 51.06 through 51.07, any other good of heading 51.08 or headings 51.09 through 4-B-41 51.11, 52.05 through 52.06, 54.01 through 54.04 or 55.09 through 55.10); or A change to any other good of subheading 5112.19 from any other heading, except from heading 51.06 through 51.10, 51.11, 51.13, 52.05 through 52.06, 54.01 through 54.04 or 55.09 through 55.10. For the purposes of all other trade of subheading 5112.19 the following rule of origin applies: A change to subheading 5112.19 from any other heading, except from heading 51.06 through 51.11 or 51.13, 52.05 through 52.06, 54.01 through 54.04 or 55.09 through 55.10.</w:t>
      </w:r>
    </w:p>
    <w:p>
      <w:pPr>
        <w:pStyle w:val="Normal"/>
      </w:pPr>
      <w:r>
        <w:t>5112.20-5112.90 A change to subheading 5112.20 through 5112.90 from any other heading, except from heading 51.06 through 51.11 or 51.13, 52.05 through 52.06, 54.01 through 54.04 or 55.09 through 55.10. 51.13 A change to heading 51.13 from any other heading, except from heading 51.06 through 51.12, 52.05 through 52.06, 54.01 through 54.04 or 55.09 through 55.10.</w:t>
      </w:r>
    </w:p>
    <w:p>
      <w:pPr>
        <w:pStyle w:val="Normal"/>
      </w:pPr>
      <w:r>
        <w:t>Chapter 52 Cotton 52.01-52.07 A change to heading 52.01 through 52.07 from any other chapter, except from heading 54.01 through 54.05 or 55.01 through 55.07. 52.08-52.12 A change to heading 52.08 through 52.12 from any heading outside that group, except from heading 51.06 through 51.10, 52.05 through 52.06, 54.01 through 54.04 or 55.09 through 55.10. Chapter 53 Other Vegetable Textile Fibers; Paper Yarn and Woven Fabrics of Paper Yarn 53.01-53.05 A change to heading 53.01 through 53.05 from any other chapter. 53.06-53.08 A change to heading 53.06 through 53.08 from any heading outside that group. 53.09-53.11 A change to heading 53.09 through 53.11 from any other heading. Chapter 54 Man-Made Filaments 4-B-42 54.01-54.06 A change to heading 54.01 through 54.06 from any other chapter, except from heading 52.01 through 52.03 or 55.01 through 55.07.</w:t>
      </w:r>
    </w:p>
    <w:p>
      <w:pPr>
        <w:pStyle w:val="Normal"/>
      </w:pPr>
      <w:r>
        <w:t>54.07 A change to woven fabric of non-textured polyester filaments of subheading 5407.61 from yarns, with a twist of 900 or more turns per meter, wholly of polyesters other than partially oriented measuring no less than 75 decitex but not more than 80 decitex, and having 24 filaments per yarn of subheading 5402.44, 5402.47 or 5402.52, or any other chapter, except from heading 51.06 through 51.10, 52.05 through 52.06 or 55.09 through 55.10. A change to any other good of heading 54.07 from any other chapter, except from heading 51.06 through 51.10, 52.05 through 52.06 or 55.09 through 55.10.</w:t>
      </w:r>
    </w:p>
    <w:p>
      <w:pPr>
        <w:pStyle w:val="Normal"/>
      </w:pPr>
      <w:r>
        <w:t>54.08 A change to heading 54.08 from any other chapter, except from heading 51.06 through 51.10, 52.05 through 52.06, or 55.09 through 55.10. Chapter 55 Man-Made Staple Fibers 55.01-55.08 A change to heading 55.01 through 55.08 from any other chapter, except from heading 52.01 through 52.03 or 54.01 through 54.05. 5509.11-5509.22 A change to subheading 5509.11 through 5509.22 from any other chapter, except from heading 52.01 through 52.03 or 54.01 through 54.05. 5509.31 For the purposes of trade between Canada and the United States of goods of subheading 5509.31 the following rule of origin applies: A change to subheading 5509.31 from acid-dyeable acrylic tow of subheading 5501.30 or any other chapter, except from heading 52.01 through 52.03 or 54.01 through 54.05. For the purposes of all other trade of subheading 5509.31 the following rule of origin applies: A change to subheading 5509.31 from any other chapter, except from heading 52.01 through 52.03 or 54.01 through 54.05. 5509.32-5509.99 A change to subheading 5509.32 through 5509.99 from any other chapter, except from heading 52.01 through 52.03 or 54.01 through 54.05.</w:t>
      </w:r>
    </w:p>
    <w:p>
      <w:pPr>
        <w:pStyle w:val="Normal"/>
      </w:pPr>
      <w:r>
        <w:t>4-B-43 55.10-55.11 A change to heading 55.10 through 55.11 from any other chapter, except from heading 52.01 through 52.03 or 54.01 through 54.05. 55.12-55.16 A change to heading 55.12 through 55.16 from any heading outside that group, except from heading 51.06 through 51.10, 52.05 through 52.06, 54.01 through 54.04 or 55.09 through 55.10.</w:t>
      </w:r>
    </w:p>
    <w:p>
      <w:pPr>
        <w:pStyle w:val="Normal"/>
      </w:pPr>
      <w:r>
        <w:t>Chapter 56 Wadding, Felt, and Nonwovens; Special Yarns; Twine, Cordage, Ropes, and Cables and Articles Thereof 56.01-56.05 A change to heading 56.01 through 56.05 from any other chapter, except from heading 51.06 through 51.13, 52.04 through 52.12, 53.10 through 53.11 or Chapter 54 through 55. 56.06 A change to heading 56.06 from flat yarns of subheading 5402.45 (flat yarns means 7 denier/5 filament, 10 denier/7 filament or 12 denier/5 filament, all of nylon 66, untextured (flat) semi-dull yarns, multifilament, untwisted or with a twist not exceeding 50 turns per meter, of subheading 5402.45) or any other chapter, except from heading 51.06 through 51.13, 52.04 through 52.12, 53.10 through 53.11 or Chapter 54 through 55. A change to any other good of heading 56.06 from any other chapter, except from heading 51.06 through 51.13, 52.04 through 52.12, 53.10 through 53.11, or Chapter 54 through 55. 56.07-56.09 A change to heading 56.07 through 56.09 from any other chapter, except from heading 51.06 through 51.13, 52.04 through 52.12, 53.10 through 53.11 or Chapter 54 through 55.</w:t>
      </w:r>
    </w:p>
    <w:p>
      <w:pPr>
        <w:pStyle w:val="Normal"/>
      </w:pPr>
      <w:r>
        <w:t>Chapter 57 Carpets and Other Textile Floor Coverings 57.01-57.02 A change to heading 57.01 through 57.02 from any other chapter, except from heading 51.06 through 51.13, 52.04 through 52.12, 53.11, Chapter 54 or heading 55.08 through 55.16.</w:t>
      </w:r>
    </w:p>
    <w:p>
      <w:pPr>
        <w:pStyle w:val="Normal"/>
      </w:pPr>
      <w:r>
        <w:t>5703.10 A change to subheading 5703.10 from any other chapter, except from heading 51.06 through 51.13, 52.04 through 52.12, 53.11, Chapter 54 or heading 55.08 through 55.16. 5703.20-5703.30 For the purposes of trade between Mexico and the United States of goods of subheading 5703.20 through 5703.30 the following rule of origin applies: 4-B-44 A change to subheading 5703.20 through 5703.30 from any other chapter, except from heading 51.06 through 51.13, 52.04 through 52.12, 53.11, Chapter 54 or 55. For the purposes of all other trade of subheading 5703.20 through 5703.30 the following rule of origin applies: A change to subheading 5703.20 through 5703.30 from any other chapter, except from heading 51.06 through 51.13, 52.04 through 52.12, 53.11, Chapter 54 or heading 55.08 through 55.16. 5703.90 A change to subheading 5703.90 from any other chapter, except from heading 51.06 through 51.13, 52.04 through 52.12, 53.11, Chapter 54 or heading 55.08 through 55.16. 57.04 For the purposes of trade between Mexico and the United States of goods of heading 57.04 the following rule of origin applies:</w:t>
      </w:r>
    </w:p>
    <w:p>
      <w:pPr>
        <w:pStyle w:val="Normal"/>
      </w:pPr>
      <w:r>
        <w:t>A change to heading 57.04 from any chapter, except from heading 51.06 through 51.13, 52.04 through 52.12, 53.11, or Chapter 54 or 55. For the purposes of all other trade of heading 57.04 the following rule of origin applies: A change to heading 57.04 from any other chapter, except from heading 51.06 through 51.13, 52.04 through 52.12, 53.11, Chapter 54 or heading 55.08 through 55.16.</w:t>
      </w:r>
    </w:p>
    <w:p>
      <w:pPr>
        <w:pStyle w:val="Normal"/>
      </w:pPr>
      <w:r>
        <w:t>57.05 A change to heading 57.05 from any other chapter, except from heading 51.06 through 51.13, 52.04 through 52.12, 53.11, Chapter 54 or heading 55.08 through 55.16. Chapter 58 Special Woven Fabrics; Tufted Textile Fabrics; Lace; Tapestries; Trimmings; Embroidery 5801.10-5801.33 A change to subheading 5801.10 through 5801.33 from any other chapter, except from heading 51.06 through 51.13, 52.04 through 52.12, 53.10 through 53.11, or Chapter 54 through 55. 5801.36 For the purposes of trade between Canada and the United States of goods of subheading 5801.36 the following rule of origin applies: 4-B-45 A change to subheading 5801.36 from any other chapter, except heading 51.06 through 51.13, 52.04 through 52.12, 53.10 through 53.11, Chapter 54, heading 55.01 through 55.02, subheading 5503.10 through 5503.20 or 5503.40 through 5503.90 or heading 55.04 through 55.16. For the purposes of all other trade of subheading 5801.36 the following rule of origin applies: A change to subheading 5801.36 from any other chapter, except from heading 51.06 through 51.13, 52.04 through 52.12, 53.10 through 53.11, or Chapter 54 through 55.</w:t>
      </w:r>
    </w:p>
    <w:p>
      <w:pPr>
        <w:pStyle w:val="Normal"/>
      </w:pPr>
      <w:r>
        <w:t>5801.37 For the purposes of trade between Canada and the United States of goods of subheading 5801.37 the following rules of origin apply: A change to warp pile fabrics, cut, of subheading 5801.37 (if such fabrics are fabrics with pile of dry-spun acrylic staple fibers of subheading 5503.30 and dyed in the piece to a single uniform color) from any other chapter, except from heading 51.06 through 51.13, 52.04 through 52.12, 53.10 through 53.11, Chapter 54, heading 55.01 through 55.02, subheading 5503.10 through 5503.20 or 5503.40 through 5503.90 or heading 55.04 through 55.16; or A change to any other good of subheading 5801.37 from any other chapter, except from heading 51.06 through 51.13, 52.04 through 52.12, 53.10 through 53.11, or Chapter 54 through 55. For the purposes of all other trade of subheading 5801.37 the following rule of origin applies: A change to subheading 5801.37 from any other chapter, except from heading 51.06 through 51.13, 52.04 through 52.12, 53.10 through 53.11, or Chapter 54 through 55.</w:t>
      </w:r>
    </w:p>
    <w:p>
      <w:pPr>
        <w:pStyle w:val="Normal"/>
      </w:pPr>
      <w:r>
        <w:t>5801.90 A change to subheading 5801.90 from any other chapter, except from heading 51.06 through 51.13, 52.04 through 52.12, 53.10 through 53.11, or Chapter 54 through 55. 58.02-58.11 A change to heading 58.02 through 58.11 from any other chapter, except from heading 51.06 through 51.13, 52.04 through 52.12, 53.10 through 53.11, or Chapter 54 through 55.</w:t>
      </w:r>
    </w:p>
    <w:p>
      <w:pPr>
        <w:pStyle w:val="Normal"/>
      </w:pPr>
      <w:r>
        <w:t>4-B-46 Chapter 59 Impregnated, Coated, Covered, or Laminated Textile Fabrics; Textile Articles of a Kind Suitable For Industrial Use 59.01 A change to heading 59.01 from any other chapter, except from heading 51.11 through 51.13, 52.08 through 52.12, 53.10 through 53.11, 54.07 through 54.08 or 55.12 through 55.16. 59.02 A change to heading 59.02 from any other heading, except from heading 51.06 through 51.13, 52.04 through 52.12, 53.10 through 53.11 or Chapter 54 through 55. 59.03-59.08 A change to heading 59.03 through 59.08 from any other chapter, except from heading 51.11 through 51.13, 52.08 through 52.12, 53.10 through 53.11, 54.07 through 54.08 or 55.12 through 55.16. 59.09 A change to heading 59.09 from any other chapter, except from heading 51.11 through 51.13, 52.08 through 52.12 or 53.10 through 53.11, Chapter 54 or heading 55.12 through 55.16. 59.10 A change to heading 59.10 from any other heading, except from heading 51.06 through 51.13, 52.04 through 52.12, 53.10 through 53.11, or Chapter 54 through 55.</w:t>
      </w:r>
    </w:p>
    <w:p>
      <w:pPr>
        <w:pStyle w:val="Normal"/>
      </w:pPr>
      <w:r>
        <w:t>59.11 A change to heading 59.11 from any other chapter, except from heading 51.11 through 51.13, 52.08 through 52.12, 53.10 through 53.11, 54.07 through 54.08 or 55.12 through 55.16. Chapter 60 Knitted or Crocheted Fabrics 60.01-60.06 A change to heading 60.01 through 60.06 from any other chapter, except from heading 51.06 through 51.13, Chapter 52, heading 53.10 through 53.11, or Chapter 54 through 55.</w:t>
      </w:r>
    </w:p>
    <w:p>
      <w:pPr>
        <w:pStyle w:val="Normal"/>
      </w:pPr>
      <w:r>
        <w:t>Chapter 61 Articles of Apparel and Clothing Accessories, Knitted or Crocheted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 Effective 18 months from the date of entry into force of the agreement, and notwithstanding Chapter Note 1, a good of this chapter containing fabrics of subheading 5806.20 or heading 60.02 is originating only if such fabrics are 4-B-47 both formed from yarn and finished in the territory of one or more of the Parties. Note 3:</w:t>
      </w:r>
    </w:p>
    <w:p>
      <w:pPr>
        <w:pStyle w:val="Normal"/>
      </w:pPr>
      <w:r>
        <w:t>Effective 12 months from the date of entry into force of the agreement, and notwithstanding Chapter Note 1, a good of this chapter containing sewing thread of heading 52.04, 54.01 or 55.08, or yarn of heading 54.02 used as sewing thread shall be considered originating only if such sewing thread is both formed and finished in the territory of one or more of the Parties. Note 4: Effective 18 months from the date of entry into force of the agreement, and notwithstanding Chapter Note 1, if a good of this chapter contains a pocket or pockets, the pocket bag fabric must be formed and finished in the territory of one or more of the Parties from yarn wholly formed in one or more of the Parties.</w:t>
      </w:r>
    </w:p>
    <w:p>
      <w:pPr>
        <w:pStyle w:val="Normal"/>
      </w:pPr>
      <w:r>
        <w:t>61.01-61.02 A change to heading 61.01 through 61.02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6103.10-6103.22 A change to subheading 6103.10 through 6103.22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6103.23 For the purposes of trade between Mexico and the United States of goods of subheading 6103.23 the following rules of origin apply:</w:t>
      </w:r>
    </w:p>
    <w:p>
      <w:pPr>
        <w:pStyle w:val="Normal"/>
      </w:pPr>
      <w:r>
        <w:t>A change to sweaters of subheading 6110.30 classified as part of an ensemble of subheading 6103.23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6103.23 from any other chapter, except from heading 51.06 through 51.13, 52.04 through 52.12, 53.10 through 53.11, Chapter 54, heading 55.08 through 55.16, or 60.01 through 60.06, provided that the</w:t>
      </w:r>
    </w:p>
    <w:p>
      <w:pPr>
        <w:pStyle w:val="Normal"/>
      </w:pPr>
      <w:r>
        <w:t>good is both cut (or knit to shape) and sewn or otherwise assembled in the territory of one or more of the Parties. 4-B-48 For the purposes of all other trade of subheading 6103.23 the following rule of origin applies: A change to subheading 6103.23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6103.29-6103.49 A change to subheading 6103.29 through 6103.49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6104.13-6104.22 A change to subheading 6104.13 through 6104.22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6104.23 For the purposes of trade between Mexico and the United States of goods of subheading 6104.23 the following rules of origin apply: A change to sweaters of subheading 6110.30 classified as part of an ensemble of subheading 6104.23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6104.23 the following rule of origin applies:</w:t>
      </w:r>
    </w:p>
    <w:p>
      <w:pPr>
        <w:pStyle w:val="Normal"/>
      </w:pPr>
      <w:r>
        <w:t>4-B-49 A change to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pPr>
        <w:pStyle w:val="Normal"/>
      </w:pPr>
      <w:r>
        <w:t>6104.29-6104.69 A change to subheading 6104.29 through 6104.69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61.05-61.06 A change to heading 61.05 through 61.06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6107.11-6107.19 A change to subheading 6107.11 through 6107.19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pPr>
        <w:pStyle w:val="Normal"/>
      </w:pPr>
      <w:r>
        <w:t>6107.21 A change to subheading 6107.21 from:</w:t>
      </w:r>
    </w:p>
    <w:p>
      <w:pPr>
        <w:pStyle w:val="Normal"/>
      </w:pPr>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or elastic,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4-B-50 both cut (or knit to shape) and sewn or otherwise assembled in the territory of one or more of the Parties.</w:t>
      </w:r>
    </w:p>
    <w:p>
      <w:pPr>
        <w:pStyle w:val="Normal"/>
      </w:pPr>
      <w:r>
        <w:t>6107.22-6107.99 A change to subheading 6107.22 through 6107.99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6108.11-6108.19 A change to subheading 6108.11 through 6108.19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6108.21 A change to subheading 6108.21 from:</w:t>
      </w:r>
    </w:p>
    <w:p>
      <w:pPr>
        <w:pStyle w:val="Normal"/>
      </w:pPr>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w:t>
      </w:r>
    </w:p>
    <w:p>
      <w:pPr>
        <w:pStyle w:val="Normal"/>
      </w:pPr>
      <w:r>
        <w:t>Parties. 6108.22-6108.29 A change to subheading 6108.22 through 6108.29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4-B-51 6108.31 A change to subheading 6108.31 from:</w:t>
      </w:r>
    </w:p>
    <w:p>
      <w:pPr>
        <w:pStyle w:val="Normal"/>
      </w:pPr>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both cut (or knit to shape) and sewn or otherwise assembled in the</w:t>
      </w:r>
    </w:p>
    <w:p>
      <w:pPr>
        <w:pStyle w:val="Normal"/>
      </w:pPr>
      <w:r>
        <w:t>territory of one or more of the Parties. 6108.32-6108.99 A change to subheading 6108.32 through 6108.99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61.09 A change to heading 61.09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w:t>
      </w:r>
    </w:p>
    <w:p>
      <w:pPr>
        <w:pStyle w:val="Normal"/>
      </w:pPr>
      <w:r>
        <w:t>6110.11-6110.20 A change to subheading 6110.11 through 6110.20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pPr>
        <w:pStyle w:val="Normal"/>
      </w:pPr>
      <w:r>
        <w:t>6110.30 For the purposes of trade between Mexico and the United States of goods of subheading 6110.30 the following rules of origin apply: 4-B-52 61.11 A change to sweaters of subheading 6110.30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6110.30 the following rule of origin applies:</w:t>
      </w:r>
    </w:p>
    <w:p>
      <w:pPr>
        <w:pStyle w:val="Normal"/>
      </w:pPr>
      <w:r>
        <w:t>A change to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pPr>
        <w:pStyle w:val="Normal"/>
      </w:pPr>
      <w:r>
        <w:t>6110.90 A change to subheading 6110.90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A change to heading 61.11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 61.12-61.17 A change to heading 61.12 through 61.17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4-B-53 Chapter 62 Articles of Apparel and Clothing Accessories, Not Knitted or Crocheted Note 1: Apparel goods of this chapter shall be considered to originate if they are both cut and sewn or otherwise assembled in the territory of one or more of the Parties and if the fabric of the outer shell, exclusive of collars or cuffs, is wholly of one or more of the following: (a) Velveteen fabrics of subheading 5801.23, containing 85 percent or more by weight of cotton; (b) Corduroy fabrics of subheading 5801.22, containing 85 percent or more by weight of cotton and containing more than 7.5 wales per centimeter; (c) Fabrics of subheading 5111.11 or 5111.19, if handwoven, with a loom width of less than 76 cm, woven in the United Kingdom in accordance with the rules and regulations of the Harris Tweed Authority, Ltd., and so certified by the Authority;</w:t>
      </w:r>
    </w:p>
    <w:p>
      <w:pPr>
        <w:pStyle w:val="Normal"/>
      </w:pPr>
      <w:r>
        <w:t>(d) Fabrics of subheading 5112.30, weighing not more than 340 grams per square meter, containing wool, not less than 20 percent by weight of fine animal hair and not less than 15 percent by weight of manmade staple fibers; or (e) Batiste fabrics of subheading 5513.11 or 5513.21, of square construction, of single yarns exceeding 76 metric count, containing between 60 and 70 warp ends and filling picks per square centimeter, of a weight not exceeding 110 grams per square meter. Such apparel goods shall not be subject to Notes 3 through 5 of this Chapter.</w:t>
      </w:r>
    </w:p>
    <w:p>
      <w:pPr>
        <w:pStyle w:val="Normal"/>
      </w:pPr>
      <w:r>
        <w:t>Note 2: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3: Effective 18 months from the date of entry into force of the agreement, and notwithstanding Chapter Note 2, a good of this chapter containing fabrics of subheading 5806.20 or heading 60.02 is originating only if such fabrics are both formed and finished from yarn in the territory of one or more of the Parties. 4-B-54 Note 4: Effective 12 months from the date of entry into force of the agreement, and notwithstanding Chapter Note 2, a good of this chapter containing sewing thread of heading 52.04, 54.01 or 55.08, or yarn of heading 54.02 used as sewing thread shall be considered originating only if such sewing thread is both formed and finished in the territory of one or more of the Parties. Note 5:</w:t>
      </w:r>
    </w:p>
    <w:p>
      <w:pPr>
        <w:pStyle w:val="Normal"/>
      </w:pPr>
      <w:r>
        <w:t>For apparel made of blue denim fabric of subheading 5209.42, 5211.42, 5212.24, and 5514.30, effective 30 months from the date of entry into force of the agreement, and notwithstanding Chapter Note 2, if such goods of this chapter contain a pocket or pockets, the pocket bag fabric must be formed and finished in the territory of one or more of the Parties from yarn wholly formed in one or more of the Parties.</w:t>
      </w:r>
    </w:p>
    <w:p>
      <w:pPr>
        <w:pStyle w:val="Normal"/>
      </w:pPr>
      <w:r>
        <w:t>For all other apparel, effective 18 months from the date of entry into force of the agreement, and notwithstanding Chapter Note 2, if a good of this chapter contains a pocket or pockets, the pocket bag fabric must be formed and finished in the territory of one or more of the Parties from yarn wholly formed in one or more of the Parties. 62.01-62.04 A change to heading 62.01 through 62.04 from any other chapter, except from heading 51.06 through 51.13 52.04 through 52.12, 53.10 through 53.11, Chapter 54, heading 55.08 through 55.16, 58.01 through 58.02 or 60.01 through 60.06, provided that the good is both cut (or knit to shape) and sewn or otherwise assembled in the territory of one or more of the Parties. 6205.20-6205.30 Note:</w:t>
      </w:r>
    </w:p>
    <w:p>
      <w:pPr>
        <w:pStyle w:val="Normal"/>
      </w:pPr>
      <w:r>
        <w:t>Men’s or boys’ shirts of cotton or man-made fibers shall be considered to originate if they are both cut and assembled in the territory of one or more of the Parties and if the fabric of the outer shell, exclusive of collars or cuffs, is wholly of one or more of the following: (a) Fabrics of subheading 5208.21, 5208.22, 5208.29, 5208.31, 5208.32, 5208.39, 5208.41, 5208.42, 5208.49, 5208.51, 5208.52 or 5208.59, other than 3-thread or 4-thread twill, including cross twill, fabric of subheading 5208.59 of average yarn number exceeding 135 metric; (b) Fabrics of subheading 5513.11 or 5513.21, not of square construction, containing more than 70 warp ends and filling picks per square centimeter, of average yarn number exceeding 70 metric; 4-B-55 (c)</w:t>
      </w:r>
    </w:p>
    <w:p>
      <w:pPr>
        <w:pStyle w:val="Normal"/>
      </w:pPr>
      <w:r>
        <w:t>Fabrics of subheading 5210.21 or 5210.31, not of square construction, containing more than 70 warp ends and filling picks per square centimeter, of average yarn number exceeding 70 metric; (d) Fabrics of subheading 5208.22 or 5208.32, not of square construction, containing more than 75 warp ends and filling picks per square centimeter, of average yarn number exceeding 65 metric; (e) Fabrics of subheading 5407.81, 5407.82 or 5407.83, weighing less than 170 grams per square meter, having a dobby weave created by a dobby attachment; (f) Fabrics of subheading 5208.42 or 5208.49, not of square construction, containing more than 85 warp ends and filling picks per square centimeter, of average yarn number exceeding 85 metric; (g) Fabrics of subheading 5208.51, of square construction, containing more than 75 warp ends and filling picks per square centimeter, made with single yarns, of average yarn number 95 or greater metric;</w:t>
      </w:r>
    </w:p>
    <w:p>
      <w:pPr>
        <w:pStyle w:val="Normal"/>
      </w:pPr>
      <w:r>
        <w:t>(h) Fabrics of subheading 5208.41, of square construction, with a gingham pattern, containing more than 85 warp ends and filling picks per square centimeter, made with single yarns, of average yarn number 95 or greater metric, and characterized by a check effect produced by the variation in color of the yarns in the warp and filling; or (i) Fabrics of subheading 5208.41, with the warp colored with vegetable dyes, and the filling yarns white or colored with vegetable dyes, of average yarn number greater than 65 metric.</w:t>
      </w:r>
    </w:p>
    <w:p>
      <w:pPr>
        <w:pStyle w:val="Normal"/>
      </w:pPr>
      <w:r>
        <w:t>Such apparel goods shall not be subject to Notes 3 through 5 of this Chapter. A change to any other good of subheading 6205.20 through 6205.30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4-B-56 62.06 6205.90 A change to subheading 6205.90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A change to heading 62.06 from any other chapter, except from heading 51.06 through 51.13, 52.04 through 52.12, or 53.10 through 53.11, Chapter 54 or heading 55.08 through 55.16, 58.01 through 58.02 or 60.01 through 60.06, provided that the good is both cut and sewn or otherwise assembled in the territory of one or more of the Parties.</w:t>
      </w:r>
    </w:p>
    <w:p>
      <w:pPr>
        <w:pStyle w:val="Normal"/>
      </w:pPr>
      <w:r>
        <w:t>6207.11 Note: Men’s or boys’ boxer shorts of cotton of subheading 6207.11 shall be considered to originate if they are both cut and sewn or otherwise assembled in the territory of one or more of the Parties, and if the plain weave fabric of the outer shell, exclusive of waistbands, is wholly of one or more of the following: (a) Fabrics of subheading 5208.41, yarn-dyed, with a fiber content of 100 percent cotton, 95 to 100 grams per square meter, of average yarn number 37 to 42 metric; (b) Fabrics of subheading 5208.42, yarn-dyed, with a fiber content of 100 percent cotton, weighing not more than 105 grams per square meter, of average yarn number 47 to 53 metric; (c) Fabrics of subheading 5208.51, printed, with a fiber content of 100 percent cotton, 93 to 97 grams per square meter, of average yarn number 38 to 42 metric; (d) Fabrics of subheading 5208.52, printed, with a fiber content of 100 percent cotton, 112 to 118 grams per square meter, of average yarn number 38 to 42 metric;</w:t>
      </w:r>
    </w:p>
    <w:p>
      <w:pPr>
        <w:pStyle w:val="Normal"/>
      </w:pPr>
      <w:r>
        <w:t>(e) Fabrics of subheading 5210.11, greige, with a fiber content of 51 to 60 percent cotton, 49 to 40 percent polyester, 100 to 112 grams per square meter, of average yarn number 55 to 65 metric; (f) Fabrics of subheading 5210.41, yarn-dyed, with a fiber content of 51 to 60 percent cotton, 49 to 40 percent polyester, 77 to 82 grams per square meter, of average yarn number 43 to 48 metric; 4-B-57 (g) Fabrics of subheading 5210.41, yarn-dyed, with a fiber content of 51 to 60 percent cotton, 49 to 40</w:t>
      </w:r>
    </w:p>
    <w:p>
      <w:pPr>
        <w:pStyle w:val="Normal"/>
      </w:pPr>
      <w:r>
        <w:t>percent polyester, 85 to 90 grams per square meter, of average yarn number 69 to 75 metric; (h) Fabrics of subheading 5210.51, printed, with a fiber content of 51 to 60 percent cotton, 49 to 40 percent polyester, 107 to 113 grams per square meter, of average yarn number 33 to 37 metric; (i) Fabrics of subheading 5210.51, printed, with a fiber content of 51 to 60 percent cotton, 49 to 40 percent polyester, 92 to 98 grams per square meter, of average yarn number 43 to 48 metric; or (j) Fabrics of subheading 5210.51, printed, with a fiber content of 51 to 60 percent cotton, 49 to 40 percent polyester, 105 to 112 grams per square meter, of average yarn number 50 to 60 metric. Such apparel goods shall not be subject to Notes 3 through 5 of this Chapter.</w:t>
      </w:r>
    </w:p>
    <w:p>
      <w:pPr>
        <w:pStyle w:val="Normal"/>
      </w:pPr>
      <w:r>
        <w:t>A change to any other good of subheading 6207.11 from any other chapter, except from heading 51.06 through 51.13, 52.04 through 52.12, 53.10 through 53.11, Chapter 54 or heading 55.08 through 55.16, 58.01 through 58.02 or 60.01 through 60.06, or other made-up textile articles of heading 96.19, provided that the good is both cut and sewn or otherwise assembled in the territory of one or more of the Parties.</w:t>
      </w:r>
    </w:p>
    <w:p>
      <w:pPr>
        <w:pStyle w:val="Normal"/>
      </w:pPr>
      <w:r>
        <w:t>6207.19-6207.99 A change to heading 6207.19 through 6207.99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62.08-62.11 A change to heading 62.08 through 62.11 from any other chapter, except from heading 51.06 through 51.13, 52.04 through 52.12, 53.10 through 53.11, Chapter 54, heading 55.08 through 55.16, 58.01 through 58.02 or 60.01 through 60.06, provided that the good is both cut and sewn or otherwise assembled in the territory of one or more of the Parties. 6212.10 A change to subheading 6212.10 from any other chapter, provided that the good is both cut and sewn or otherwise assembled in the territory of one or more of the Parties. Such goods shall not be subject to Notes 3 through 5 of this Chapter.</w:t>
      </w:r>
    </w:p>
    <w:p>
      <w:pPr>
        <w:pStyle w:val="Normal"/>
      </w:pPr>
      <w:r>
        <w:t>4-B-58 6212.20-6212.90 A change to subheading 6212.20 through 6212.90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w:t>
      </w:r>
    </w:p>
    <w:p>
      <w:pPr>
        <w:pStyle w:val="Normal"/>
      </w:pPr>
      <w:r>
        <w:t>62.13-62.17 A change to heading 62.13 through 62.17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Chapter 63 Other Made Up Textile Articles; Sets; Worn Clothing and Worn Textile Articles; Rags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w:t>
      </w:r>
    </w:p>
    <w:p>
      <w:pPr>
        <w:pStyle w:val="Normal"/>
      </w:pPr>
      <w:r>
        <w:t>Effective 18 months from the date of entry into force of the agreement, and not withstanding Chapter Note 1, for the purposes of determining the origin of a good of this chapter, a good of this chapter containing fabrics of heading 59.03 shall be considered originating only if all fabrics used in the production of the fabrics of heading 59.03 are formed and finished in the territory of one or more of the Parties. This note shall not apply to goods of heading 63.05, goods of subheading 6306.12 or 6306.22, or goods of subheading 6307.90 that are not surgical drapes or national flags.</w:t>
      </w:r>
    </w:p>
    <w:p>
      <w:pPr>
        <w:pStyle w:val="Normal"/>
      </w:pPr>
      <w:r>
        <w:t>63.01-63.02 A change to heading 63.01 through 63.02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6303.12-6303.91 A change to subheading 6303.12 through 6303.91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w:t>
      </w:r>
    </w:p>
    <w:p>
      <w:pPr>
        <w:pStyle w:val="Normal"/>
      </w:pPr>
      <w:r>
        <w:t>6303.92 A change to curtains of subheading 6303.92 made of fabrics wholly of non-textured polyester filaments from yarn, with a twist of 900 or more 4-B-59 turns per meter, wholly of polyesters other than partially oriented, measuring not less than 75 decitex but not more than 80 decitex, and having 24 filaments per yarn of subheading 5402.44, 5402.47 or 5402.52, provided that the good is both cut and sewn or otherwise assembled in the territory of one or more of the Parties, and such goods will not be subject to Note 2 of this Chapter; A change to any other good of subheading 6303.92 from any other chapter, except from heading 51.06 through 51.13, 52.04 through 52.12, 53.10 through 53.11, Chapter 54 through 55 or heading 58.01 through</w:t>
      </w:r>
    </w:p>
    <w:p>
      <w:pPr>
        <w:pStyle w:val="Normal"/>
      </w:pPr>
      <w:r>
        <w:t xml:space="preserve">58.02 or 60.01 through 60.06, provided that the good is both cut (or knit to shape) and sewn or otherwise assembled in the territory of one or more of the Parties. 6303.99 A change to subheading 6303.99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63.04-63.10 A change to heading 63.04 through 63.10 from any other chapter, except from heading 51.06 through 51.13, 52.04 through 52.12, 53.10 through 53.11, Chapter 54 through 55 or heading 58.01 through 58.02 or 60.01 through 60.06, or other made-up textile articles of heading 96.19, provided that the good is both cut (or knit to shape) and sewn or otherwise assembled in the territory of one or more of the Parties.</w:t>
      </w:r>
    </w:p>
    <w:p>
      <w:pPr>
        <w:pStyle w:val="AnnexSection"/>
      </w:pPr>
      <w:bookmarkStart w:id="900141" w:name="_Toc300000140"/>
      <w:r>
        <w:t xml:space="preserve">Section XII - Footwear, Headgear, Umbrellas, Sun Umbrellas, Walking-Sticks, Seat-Sticks, Whips, Riding-Crops and Parts Thereof;</w:t>
      </w:r>
      <w:r>
        <w:t xml:space="preserve"> </w:t>
      </w:r>
      <w:r>
        <w:t xml:space="preserve">Prepared Feathers and Articles Made Therewith; Artificial Flowers; Articles of Human Hair (Chapter 64-67)</w:t>
      </w:r>
      <w:bookmarkEnd w:id="900141"/>
    </w:p>
    <w:p>
      <w:pPr>
        <w:pStyle w:val="Normal"/>
      </w:pPr>
      <w:r>
        <w:t xml:space="preserve">Chapter 64 Footwear, Gaiters and the Like; Parts of Such Articles 64.01-64.05 A change to heading 64.01 through 64.05 from any heading outside that group, except from subheading 6406.10, provided there is a regional value content of not less than 55 percent under the net cost method.</w:t>
      </w:r>
    </w:p>
    <w:p>
      <w:pPr>
        <w:pStyle w:val="Normal"/>
      </w:pPr>
      <w:r>
        <w:t>6406.10 A change to subheading 6406.10 from any other subheading, except from heading 64.01 through 64.05, provided there is a regional value content of not less than 55 percent under the net cost method. 6406.20-6406.90 A change to subheading 6406.20 through 6406.90 from any other chapter. Chapter 65 Headgear and Parts Thereof 4-B-60 65.01-65.02 A change to heading 65.01 through 65.02 from any other chapter. 65.04-65.07 A change to heading 65.04 through 65.07 from any heading outside that group. Chapter 66 Umbrellas, Sun Umbrellas, Walking-Sticks, Seat-Sticks, Whips, Riding-Crops and Parts Thereof 66.01 A change to heading 66.01 from any other heading, except from a combination of both: (a) subheading 6603.20; and (b) heading 39.20 through 39.21, 50.07, 51.11 through 51.13, 52.08 through 52.12, 53.09 through 53.11, 54.07 through 54.08, 55.12 through 55.16, 56.02 through 56.03, 58.01 through 58.11, 59.01 through 59.11 and 60.01 through 60.06. 66.02 A change to heading 66.02 from any other heading. 66.03 A change to heading 66.03 from any other chapter. Chapter 67 Prepared Feathers and Down and Articles Made of Feathers or of Down;</w:t>
      </w:r>
    </w:p>
    <w:p>
      <w:pPr>
        <w:pStyle w:val="Normal"/>
      </w:pPr>
      <w:r>
        <w:t>Artificial Flowers; Articles of Human Hair 67.01 A change to heading 67.01 from any other heading; or A change to a good of feather or down of heading 67.01 from within that heading or any other heading. 67.02-67.04 A change to heading 67.02 through 67.04 from any other heading, including another heading within that group.</w:t>
      </w:r>
    </w:p>
    <w:p>
      <w:pPr>
        <w:pStyle w:val="AnnexSection"/>
      </w:pPr>
      <w:bookmarkStart w:id="900142" w:name="_Toc300000141"/>
      <w:r>
        <w:t xml:space="preserve">Section XIII - Articles of Stone, Plaster, Cement, Asbestos, Mica or Similar Materials; Ceramic Products; Glass and Glassware (Chapter 68-70)</w:t>
      </w:r>
      <w:bookmarkEnd w:id="900142"/>
    </w:p>
    <w:p>
      <w:pPr>
        <w:pStyle w:val="Normal"/>
      </w:pPr>
      <w:r>
        <w:t xml:space="preserve">Chapter 68 Articles of Stone, Plaster, Cement, Asbestos, Mica or Similar Materials 68.01-68.11 A change to heading 68.01 through 68.11 from any other chapter. 6812.80 A change to clothing, clothing accessories, footwear and headgear of subheading 6812.80 from any other subheading; 4-B-61 A change to fabricated crocidolite fibers or mixtures with a basis of crocidolite or with a basis of crocidolite and magnesium carbonate of subheading 6812.80 from any other chapter; A change to yarn or thread of subheading 6812.80 from any other good of subheading 6812.80 or any other subheading; A change to cords or string, whether or not plaited, of subheading 6812.80 from any other good of subheading 6812.80 or any other subheading, except from woven or knitted fabric of subheading 6812.80;</w:t>
      </w:r>
    </w:p>
    <w:p>
      <w:pPr>
        <w:pStyle w:val="Normal"/>
      </w:pPr>
      <w:r>
        <w:t>A change to woven or knitted fabric of subheading 6812.80 from any other good of subheading 6812.80 or any other subheading, except from cords or string, whether or not plaited, of subheading 6812.80; or A change to any other good of subheading 6812.80 from fabricated crocidolite fibers or mixtures with a basis of crocidolite and magnesium carbonate, yarn or thread, cords or string, whether or not plaited, or woven or knitted fabric of subheading 6812.80 or from any other subheading. 6812.91 A change to subheading 6812.91 from any other subheading.</w:t>
      </w:r>
    </w:p>
    <w:p>
      <w:pPr>
        <w:pStyle w:val="Normal"/>
      </w:pPr>
      <w:r>
        <w:t>6812.92-6812.99 A change to fabricated asbestos fibers or mixtures with a basis of asbestos or with a basis of asbestos and magnesium carbonate of subheading 6812.99 from any other chapter; A change to yarn or thread of subheading 6812.99 from any other good of subheading 6812.99 or any other subheading; A change to cords or string, whether or not plaited, of subheading 6812.99 from any other good of subheading 6812.99 or any other subheading, except from woven or knitted fabric of subheading 6812.99; A change to woven or knitted fabric of subheading 6812.99 from any other good of subheading 6812.99 or any other subheading, except from cords or string, whether or not plaited, of subheading 6812.99; or A change to any other good of subheading 6812.92 through 6812.99 from fabricated asbestos fibers or mixtures with a basis of asbestos or with a basis of asbestos and magnesium carbonate, yarn or thread, cords or string, whether or not plaited, or woven or knitted fabric of subheading 6812.99 or from any subheading outside that group.</w:t>
      </w:r>
    </w:p>
    <w:p>
      <w:pPr>
        <w:pStyle w:val="Normal"/>
      </w:pPr>
      <w:r>
        <w:t>4-B-62 68.13 A change to heading 68.13 from any other heading. 68.14-68.15 A change to heading 68.14 through 68.15 from any other chapter. Chapter 69 Ceramic Products 69.01-69.14 A change to heading 69.01 through 69.14 from any other chapter. Chapter 70 Glass and Glassware 70.01 A change to heading 70.01 from any other heading. 7002.10 A change to subheading 7002.10 from any other heading.</w:t>
      </w:r>
    </w:p>
    <w:p>
      <w:pPr>
        <w:pStyle w:val="Normal"/>
      </w:pPr>
      <w:r>
        <w:t xml:space="preserve">7002.20 A change to subheading 7002.20 from any other chapter. 7002.31 A change to subheading 7002.31 from any other heading. 7002.32-7002.39 A change to subheading 7002.32 through 7002.39 from any other chapter. 70.03-70.0812 A change to heading 70.03 through 70.08 from any heading outside that group, except from heading 70.09. 7009.10-7009.9113 A change to subheading 7009.10 through 7009.91 from any other heading, except from heading 70.03 through 70.08. 7009.92 A change to subheading 7009.92 from any other subheading. 70.10-70.18 A change to heading 70.10 through 70.18 from any other chapter. 70.19 A change to heading 70.19 from any other heading, except from heading 70.07 through 70.18 or 70.20. 70.20 A change to heading 70.20 from any other chapter.</w:t>
      </w:r>
    </w:p>
    <w:p>
      <w:pPr>
        <w:pStyle w:val="AnnexSection"/>
      </w:pPr>
      <w:bookmarkStart w:id="900143" w:name="_Toc300000142"/>
      <w:r>
        <w:t xml:space="preserve">Section XIV - Natural or Cultured Pearls, Precious or Semi-precious Stones, Precious Metals, Metals Clad with Precious Metal, and Articles Thereof; Imitation Jewellery; Coin (Chapter 71)</w:t>
      </w:r>
      <w:bookmarkEnd w:id="900143"/>
    </w:p>
    <w:p>
      <w:pPr>
        <w:pStyle w:val="Normal"/>
      </w:pPr>
      <w:r>
        <w:t xml:space="preserve">12 If the good is for use in a vehicle of Chapter 87, the provisions of the Appendix to this Annex apply.</w:t>
      </w:r>
    </w:p>
    <w:p>
      <w:pPr>
        <w:pStyle w:val="Normal"/>
      </w:pPr>
      <w:r>
        <w:t>13 If the good is for use in a vehicle of Chapter 87, the provisions of the Appendix to this Annex apply. 4-B-63 Chapter 71 Natural or Cultured Pearls, Precious or Semi-Precious Stones, Precious Metals, Metals Clad with Precious Metal, and Articles Thereof; Imitation Jewellery; Coin (Chapter 71) 71.01-71.05 A change to heading 71.01 through 71.05 from any other chapter.</w:t>
      </w:r>
    </w:p>
    <w:p>
      <w:pPr>
        <w:pStyle w:val="Normal"/>
      </w:pPr>
      <w:r>
        <w:t>7106.10-7106.92 A change to subheading 7106.10 through 7106.92 from any other subheading, including another subheading within that group; or No required change in tariff classification to subheading 7106.91, whether or not there is also a change from another subheading, provided that the non-originating materials undergo electrolytic, thermal or chemical separation or alloying. 71.07 A change to heading 71.07 from any other chapter. 7108.11-7108.20 A change to subheading 7108.11 through 7108.20 from any other subheading, including another subheading within that group; or No required change in tariff classification to subheading 7108.12, whether or not there is also a change from another subheading, provided that the non-originating materials undergo electrolytic, thermal or chemical separation or alloying. 71.09 A change to heading 71.09 from any other chapter. 7110.11-7110.49 A change to subheading 7110.11 through 7110.49 from any other subheading, including another subheading within that group. 71.11 A change to heading 71.11 from any other chapter. 71.12 A change to heading 71.12 from any other heading. 71.13-71.18 A change to heading 71.13 through 71.18 from any heading outside that group.</w:t>
      </w:r>
    </w:p>
    <w:p>
      <w:pPr>
        <w:pStyle w:val="AnnexSection"/>
      </w:pPr>
      <w:bookmarkStart w:id="900144" w:name="_Toc300000143"/>
      <w:r>
        <w:t xml:space="preserve">Section XV - Base Metals and Articles of Base Metal (Chapter 72-83)</w:t>
      </w:r>
      <w:bookmarkEnd w:id="900144"/>
    </w:p>
    <w:p>
      <w:pPr>
        <w:pStyle w:val="Normal"/>
      </w:pPr>
      <w:r>
        <w:t xml:space="preserve">Chapter 72 Iron and Steel A change to heading 72.01 from any other chapter. 7202.11-7202.60 A change to subheading 7202.11 through 7202.60 from any other chapter.</w:t>
      </w:r>
    </w:p>
    <w:p>
      <w:pPr>
        <w:pStyle w:val="Normal"/>
      </w:pPr>
      <w:r>
        <w:t>4-B-64 72.01 7202.70 A change to subheading 7202.70 from any other chapter, except from subheading 2613.10. 7202.80-7202.99 A change to subheading 7202.80 through 7202.99 from any other chapter. 72.03-72.05 A change to heading 72.03 through 72.05 from any other chapter. 72.06-72.07 A change to heading 72.06 through 72.07 from any heading outside that group. 72.08-72.16 A change to heading 72.08 through 72.16 from any heading outside that group. 72.17 A change to heading 72.17 from any other heading, except from heading 72.13 through 72.15. 72.18-72.22 A change to heading 72.18 through 72.22 from any heading outside that group. 72.23 A change to heading 72.23 from any other heading, except from heading 72.21 through 72.22. 72.24-72.28 A change to heading 72.24 through 72.28 from any heading outside that group. 72.29 A change to heading 72.29 from any other heading, except from heading 72.27 through 72.28. Chapter 73 Articles of Iron or Steel 73.01-73.03 A change to heading 73.01 through 73.03 from any other chapter. 7304.11-7304.39 A change to subheading 7304.11 through 7304.39 from any other chapter.</w:t>
      </w:r>
    </w:p>
    <w:p>
      <w:pPr>
        <w:pStyle w:val="Normal"/>
      </w:pPr>
      <w:r>
        <w:t>7304.41 7304.41.aa A change to tariff item 7304.41.aa from subheading 7304.49 or any other chapter. 7304.41 A change to subheading 7304.41 from any other chapter. 7304.49-7304.90 A change to subheading 7304.49 through 7304.90 from any other chapter.</w:t>
      </w:r>
    </w:p>
    <w:p>
      <w:pPr>
        <w:pStyle w:val="Normal"/>
      </w:pPr>
      <w:r>
        <w:t>73.05-73.07 4-B-65 Note: Beginning on January 1, 2020 or the date of entry into force of the Agreement, whichever is later, until December 31, 2022 or three years after entry into force of this Agreement, whichever is later, the following rule of origin shall apply to heading 73.05 through 73.07: A change to heading 73.05 through 73.07 from any other chapter. Note: Beginning on January 1, 2023, or three years after entry into force of this Agreement, whichever is later, and thereafter, the following rules of origin shall apply to heading 73.05 through 73.07: A change to heading 73.05 through 73.07 from any other heading, except from heading 72.08 through 72.29 or 73.01 through 73.26; or A change to heading 73.05 through 73.07 from heading 72.08 through 72.29 or 73.01 through 73.26, provided that at least 70 percent by weight of the materials of heading 72.08 through 72.29 and heading 73.01 through 73.26 is originating; or No required change in tariff classification to heading 73.05 through 73.07 provided there is a regional value content of not less than: (a) 75 percent where the transaction value method is used; or (b) 65 percent where the net cost method is used.</w:t>
      </w:r>
    </w:p>
    <w:p>
      <w:pPr>
        <w:pStyle w:val="Normal"/>
      </w:pPr>
      <w:r>
        <w:t>7308.10 Note: Beginning on January 1 2020 or the date of entry into force of the Agreement, whichever is later, until December 31, 2021 or two years after entry into force of this Agreement, whichever is later, the following rules of origin shall apply to subheading 7308.10: A change to subheading 7308.10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4-B-66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pPr>
      <w:r>
        <w:t>Note: Beginning on January 1, 2022 or two years after entry into force of this Agreement, whichever is later, and thereafter, the follow rules of origin shall apply to subheading 7308.10: A change to subheading 7308.10 from any other heading, except from heading 72.08, 72.11, 72.16, 72.25or 72.26; or A change to subheading 7308.10 from heading 72.08, 72.11, 72.16, 72.25 or 72.26, provided that at least 70 percent by weight of the materials of heading 72.08, 72.11, 72.16, 72.25 and 72.26 is originating; or No required change in tariff classification to subheading 7308.10 provided there is a regional value content of not less than: (a) 75 percent where the transaction value method is used; or (b) 65 percent where the net cost method is used. 7308.20 Note: Beginning on the date of entry into force of the Agreement until January 1, 2022 or two years after entry into force of this Agreement, whichever is later, the following rules of origin shall apply to subheading 7308.20:</w:t>
      </w:r>
    </w:p>
    <w:p>
      <w:pPr>
        <w:pStyle w:val="Normal"/>
      </w:pPr>
      <w:r>
        <w:t>A change to subheading 7308.20 from any other heading, except for changes resulting from the following processes performed on angles, shapes, or sections of heading 72.16: (a) drilling, punching, notching, cutting, cambering, or sweeping, whether performed individually or in combination; 4-B-67 (b) adding attachments or weldments for composite construction; (c) adding attachments for handling purposes; (d) adding weldments, connectors or attachments to H-sections or I- sections, provided that the maximum</w:t>
      </w:r>
    </w:p>
    <w:p>
      <w:pPr>
        <w:pStyle w:val="Normal"/>
      </w:pPr>
      <w: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7308.20: A change to subheading 7308.20 from any other heading, except from heading 72.08, 72.11, 72.16, 72.25or 72.26; or A change to subheading 7308.20 from heading 72.08, 72.11, 72.16, 72.25, or 72.26, provided that at least 70 percent by weight of the materials of heading 72.08, 72.11, 72.16, 72.25and 72.26 is originating; or No required change in tariff classification to subheading 7308.20 provided there is a regional value content of not less than: (a) 65 percent where the transaction value method is used; or (b) 55 percent where the net cost method is used.</w:t>
      </w:r>
    </w:p>
    <w:p>
      <w:pPr>
        <w:pStyle w:val="Normal"/>
      </w:pPr>
      <w:r>
        <w:t>7308.30 Note: Beginning on the date of entry into force of the Agreement until January 1, 2022 or two years after entry into force of this Agreement, whichever is later, the following rules of origin shall apply to subheading 7308.30: A change to subheading 7308.30 from any other heading, except for changes resulting from the following processes performed on angles, shapes, or sections of heading 72.16: 4-B-68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pPr>
      <w:r>
        <w:t>Note: Beginning on January 1, 2022 or two years after entry into force of this Agreement, whichever is later, and thereafter, the follow rules of origin shall apply to subheading 7308.30: A change to subheading 7308.30 from any other heading, except from heading 72.08, 72.11, 72.16, 72.25 or 72.26; A change to subheading 7308.30 from heading 72.08, 72.11, 72.16, 72.25, or 72.26, provided that at least 70 percent by weight of the materials of heading 72.08, 72.11, 72.16, 72.25 and 72.26 is originating; or No required change in tariff classification to subheading 7308.30 provided there is a regional value content of not less than: (a) 75 percent where the transaction value method is used; or (b) 65 percent where the net cost method is used. 7308.40 Note: Beginning on the date of entry into force of the Agreement until January 1, 2022 or two years after entry into force of this Agreement, whichever is later, the following rules of origin shall apply to subheading 7308.40:</w:t>
      </w:r>
    </w:p>
    <w:p>
      <w:pPr>
        <w:pStyle w:val="Normal"/>
      </w:pPr>
      <w:r>
        <w:t>4-B-69 A change to subheading 7308.40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w:t>
      </w:r>
    </w:p>
    <w:p>
      <w:pPr>
        <w:pStyle w:val="Normal"/>
      </w:pPr>
      <w: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7308.40: A change to subheading 7308.40 from any other heading, except from heading 72.08, 72.11, 72.16, 72.25 or 72.26; A change to subheading 7308.40 from heading 72.08, 72.11, 72.16, 72.25, or 72.26, provided that at least 70 percent by weight of the materials of heading 72.08, 72.11, 72.16, 72.25 and 72.26 is originating; or No required change in tariff classification to subheading 7308.40 provided there is a regional value content of not less than: (a) 65 percent where the transaction value method is used; or (b) 55 percent where the net cost method is used.</w:t>
      </w:r>
    </w:p>
    <w:p>
      <w:pPr>
        <w:pStyle w:val="Normal"/>
      </w:pPr>
      <w:r>
        <w:t>7308.90 4-B-70 Note: Beginning on the date of entry into force of the Agreement until January 1, 2022 or two years after entry into force of this Agreement, whichever is later, the following rules of origin shall apply to subheading 7308.90: A change to subheading 7308.90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pPr>
      <w:r>
        <w:t>Note: Beginning on January 1, 2022 or two years after entry into force of this Agreement, whichever is later, and thereafter, the follow rules of origin shall apply to subheading 7308.90: A change to subheading 7308.90 from any other heading, except from heading 72.08, 72.11, 72.16, 72.25 or 72.26; A change to subheading 7308.90 from heading 72.08, 72.11, 72.16, 72.25, or 72.26, provided that at least 70 percent by weight of the materials of heading 72.08, 72.11, 72.16, 72.25 and 72.26 is originating; or No required change in tariff classification to subheading 7308.90 provided there is a regional value content of not less than 65 percent where the net cost method is used. 4-B-71 73.13 73.09-73.11 A change to heading 73.09 through 73.11 from any heading outside that group. 7312.10 Note: Beginning on the date of entry into force of the Agreement until January 1, 2023 or three years after entry into force of this Agreement, whichever is later, the following rule of origin shall apply to subheading 7312.10: A change to subheading 7312.10 from any other heading.</w:t>
      </w:r>
    </w:p>
    <w:p>
      <w:pPr>
        <w:pStyle w:val="Normal"/>
      </w:pPr>
      <w:r>
        <w:t>Note: Beginning on January 1, 2023, or three years after entry into force of this Agreement, whichever is later, and thereafter, the following rules of origin shall apply to subheading 7312.10: A change to subheading 7312.10 from any other heading except from heading 72.08 through 72.29 or 73.01 through 73.26; A change to subheading 7312.10 from heading 72.08 through 72.29 or 73.01 through 73.26, provided that at least 70 percent by weight of the materials of heading 72.08 through 72.29 and 73.01 through 73.26 is originating; or No required change in tariff classification to subheading 7312.10 provided there is a regional value content of not less than: (a) 75 percent where the transaction value method is used; or (b) 65 percent where the net cost method is used. 7312.90 A change to subheading 7312.90 from any other heading. Note: Beginning on the date of entry into force of the Agreement until January 1, 2023, or three years after entry into force of this Agreement, whichever is later, the following rule of origin shall apply to heading 73.13: A change to heading 73.13 from any other heading.</w:t>
      </w:r>
    </w:p>
    <w:p>
      <w:pPr>
        <w:pStyle w:val="Normal"/>
      </w:pPr>
      <w:r>
        <w:t>Note: Beginning on January 1, 2023 or three years after entry into force of this Agreement, whichever is later, and thereafter, the following rules of origin shall apply to heading 73.13: 4-B-72 A change to heading 73.13 from any other heading, except from heading 72.08 through 72.29 or 73.01 through 73.26; A change to heading 73.13 from heading 72.08 through 72.29 or 73.01 through 73.26, provided that at least 70 percent by weight of the materials of heading 72.08 through 72.29 and 73.01 through 73.26 is originating; or No required change in tariff classification to heading 73.13 provided there is a regional value content of not less than: (a) 75 percent where the transaction value method is used; or (b) 65 percent where the net cost method is used. 7314.12-7314.14 A change to subheading 7314.12 through 7314.14 from any other heading. 7314.19 Note: Beginning on the date of entry into force of the Agreement until January 1, 2023, or three years after entry into force of this Agreement, whichever is later, the following rule of origin shall apply to subheading 7314.19: A change to subheading 7314.19 from any other heading.</w:t>
      </w:r>
    </w:p>
    <w:p>
      <w:pPr>
        <w:pStyle w:val="Normal"/>
      </w:pPr>
      <w:r>
        <w:t>Note: Beginning on January 1, 2023 or three years after entry into force of this Agreement, whichever is later, and thereafter, the following rules of origin shall apply to subheading 7314.19: A change to subheading 7314.19 from any other heading, except from heading 72.08 through 72.29 or 73.01 through 73.26; A change to subheading 7314.19 from heading 72.08 through 72.29 or 73.01 through 73.26, provided that at least 70 percent by weight of the materials of heading 72.08 through 72.29 and 73.01 through 73.26 is originating; or No required change in tariff classification to subheading 7314.19 provided there is a regional value content of not less than: (a) 75 percent where the transaction value method is used; or (b) 65 percent where the net cost method is used. 4-B-73 7314.20 A change to subheading 7314.20 from any other heading. 7314.31-7314.49 Note: Beginning on the date of entry into force of the Agreement until January 1, 2023, or three years after entry into force of this Agreement, whichever is later, the following rule of origin shall apply to subheading 7314.31 through 7314.49: A change to subheading 7314.31 through 7314.49 from any other heading.</w:t>
      </w:r>
    </w:p>
    <w:p>
      <w:pPr>
        <w:pStyle w:val="Normal"/>
      </w:pPr>
      <w:r>
        <w:t>Note: Beginning on January 1, 2023 or three years after entry into force of this Agreement, whichever is later, and thereafter, the following rules of origin shall apply to subheading 7314.31 through 7314.49: A change to subheading 7314.31 through 7314.49 from any other heading, except from heading 72.08 through 72.29 or 73.01 through 73.26; A change to subheading 7314.31 through 7314.49 from heading 72.08 through 72.29 or 73.01 through 73.26, provided that at least 70 percent by weight of the materials of heading 72.08 through 72.29 and 73.01 through 73.26 is originating; or No required change in tariff classification to subheading 7314.31 through 7314.49 provided there is a regional value content of not less than: (a) 75 percent where the transaction value method is used; or (b) 65 percent where the net cost method is used. 7314.50 A change to subheading 7314.50 from any other heading.</w:t>
      </w:r>
    </w:p>
    <w:p>
      <w:pPr>
        <w:pStyle w:val="Normal"/>
      </w:pPr>
      <w:r>
        <w:t>7315.11-7315.12 A change to subheading 7315.11 through 7315.12 from any other heading; or A change to subheading 7315.11 through 7315.12 from subheading 7315.19, whether or not there is also a change from any other heading, provided there is a regional value content of not less than: (a) 60 percent where the transaction value method is used; or (b) 50 percent where the net cost method is used. 7315.19 A change to subheading 7315.19 from any other heading.</w:t>
      </w:r>
    </w:p>
    <w:p>
      <w:pPr>
        <w:pStyle w:val="Normal"/>
      </w:pPr>
      <w:r>
        <w:t>4-B-74 7315.20-7315.81 A change to subheading 7315.20 through 7315.81 from any other heading; or A change to subheading 7315.20 through 7315.81 from subheading 7315.90, whether or not there is also a change from any other heading, provided there is a regional value content of not less than: (a) 60 percent where the transaction value method is used; or (b) 50 percent where the net cost method is used. 7315.82-7315.89 Note: Beginning on the date of entry into force of the Agreement until January 1, 2023 or three years after entry into force of this Agreement, whichever is later, the following rules of origin shall apply to subheading 7315.82 through 7315.89: A change to subheading 7315.82 through 7315.89 from any other heading; or A change to subheading 7315.82 through 7315.89 from subheading 7315.90, whether or not there is also a change from any other heading, provided there is a regional value content of not less than: (a) 60 percent where the transaction value method is used, or (b) 50 percent where the net cost method is used.</w:t>
      </w:r>
    </w:p>
    <w:p>
      <w:pPr>
        <w:pStyle w:val="Normal"/>
      </w:pPr>
      <w:r>
        <w:t>Note: Beginning on January 1, 2023 or three years after entry into force of this Agreement, whichever is later, and thereafter, the following rules of origin shall apply to subheading 7315.82 through 7315.89: A change to subheading 7315.82 through 7315.89 from any other heading, except from heading 72.08 through 72.29 or 73.01 through 73.26; A change to subheading 7315.82 through 7315.89 from heading 72.08 through 72.29 or 73.01 through 73.26, provided that at least 70 percent by weight of the materials of heading 72.08 through 72.29 and 73.01 through 73.26 is originating; or No required change in tariff classification to subheading 7315.82 through 7315.89 provided there is a regional value content of not less than: 4-B-75 (a) 75 percent where the transaction value method is used; or (b) 65 percent where the net cost method is used. 7315.90 A change to subheading 7314.20 from any other heading. 73.16 A change to heading 73.16 from any other heading, except from heading 73.12 or 73.15. 73.17 Note:</w:t>
      </w:r>
    </w:p>
    <w:p>
      <w:pPr>
        <w:pStyle w:val="Normal"/>
      </w:pPr>
      <w:r>
        <w:t>Beginning on the date of entry into force of the Agreement until January 1 2023 or three years after entry into force of this Agreement, whichever is later, the following rule of origin shall apply to heading 73.17: A change to heading 73.17 from any other heading, except from heading 73.18.</w:t>
      </w:r>
    </w:p>
    <w:p>
      <w:pPr>
        <w:pStyle w:val="Normal"/>
      </w:pPr>
      <w:r>
        <w:t>Note: Beginning on January 1, 2023 or three years after entry into force of this Agreement, whichever is later, and thereafter, the following rules of origin shall apply to heading 73.17: A change to heading 73.17 from any other heading, except from heading 72.08 through 72.29 or 73.01 through 73.26; or A change to heading 73.17 from heading 72.08 through 72.29 or 73.01 through 73.26, provided that at least 70 percent by weight of the materials of heading 72.08 through 72.29 and 73.01 through 73.26 is originating; or No required change in tariff classification to heading 73.17 provided there is a regional value content of not less than: (a) 75 percent where the transaction value method is used; or (b) 65 percent where the net cost method is used. 73.18 A change to heading 73.18 from any other heading, except from heading 73.17. 73.19-73.20 A change to heading 73.19 through 73.20 from any heading outside that group. 4-B-76 7321.11 7321.11.aa A change to tariff item 7321.11.aa from any other subheading, except from tariff item 7321.90.aa, 7321.90.bb or 7321.90.cc.</w:t>
      </w:r>
    </w:p>
    <w:p>
      <w:pPr>
        <w:pStyle w:val="Normal"/>
      </w:pPr>
      <w:r>
        <w:t>7321.11 A change to subheading 7321.11 from any other heading; or A change to subheading 7321.11 from subheading 7321.90, whether or not there is also a change from any other heading, provided there is a regional value content of not less than: (a) 60 percent where the transaction value method is used, or (b) 50 percent where the net cost method is used.</w:t>
      </w:r>
    </w:p>
    <w:p>
      <w:pPr>
        <w:pStyle w:val="Normal"/>
      </w:pPr>
      <w:r>
        <w:t>7321.12-7321.89 A change to subheading 7321.12 through 7321.89 from any other heading; or A change to subheading 7321.12 through 7321.89 from subheading 7321.90, whether or not there is also a change from any other heading, provided there is a regional value content of not less than: (a) 60 percent where the transaction value method is used, or (b) 50 percent where the net cost method is used. 7321.90 7321.90.aa A change to tariff item 7321.90.aa from any other tariff item. 7321.90.bb A change to tariff item 7321.90.bb from any other tariff item. 7321.90.cc A change to tariff item 7321.90.cc from any other tariff item. 7321.90 A change to subheading 7321.90 from any other heading. 73.22-73.23 A change to heading 73.22 through 73.23 from any heading outside that group. 7324.10-7324.29 A change to subheading 7324.10 through 7324.29 from any other heading; or 4-B-77 74.04 A change to subheading 7324.10 through 7324.29 from subheading 7324.90, whether or not there is also a change from any other heading, provided there is a regional value content of not less than:</w:t>
      </w:r>
    </w:p>
    <w:p>
      <w:pPr>
        <w:pStyle w:val="Normal"/>
      </w:pPr>
      <w:r>
        <w:t>(a) 60 percent where the transaction value method is used; or (b) 50 percent where the net cost method is used. 7324.90 A change to subheading 7324.90 from any other heading. 73.25-73.26 A change to heading 73.25 through 73.26 from any heading outside that group.</w:t>
      </w:r>
    </w:p>
    <w:p>
      <w:pPr>
        <w:pStyle w:val="Normal"/>
      </w:pPr>
      <w:r>
        <w:t>Chapter 74 Copper and Articles Thereof 74.01-74.03 A change to heading 74.01 through 74.03 from any other heading, including another heading within that group, except from heading 74.04; or A change to heading 74.01 through 74.03 from heading 74.04, whether or not there is also a change from any other heading, including another heading within that group, provided there is a regional value content of not less than: (a) 60 percent where the transaction value method is used; or (b) 50 percent where the net cost method is used. A change to a good of heading 74.04 from any other good within that heading or any other heading. 74.05-74.07 A change to heading 74.05 through 74.07 from any other chapter; or A change to heading 74.05 through 74.07 from heading 74.01 through 74.02 or tariff item 7404.00.aa, whether or not there is also a change from any other chapter, provided there is a regional value content of not less than:</w:t>
      </w:r>
    </w:p>
    <w:p>
      <w:pPr>
        <w:pStyle w:val="Normal"/>
      </w:pPr>
      <w:r>
        <w:t>(a) 60 percent where the transaction value method is used; or (b) 50 percent where the net cost method is used. 7408.11 4-B-78 7408.11.aa A change to tariff item 7408.11.aa from any other chapter; or A change to tariff item 7408.11.aa from heading 74.01 through 74.02 or tariff item 7404.00.aa, whether or not there is also a change from any other chapter, provided there is a regional value content of not less than: (a) 60 percent where the transaction value method is used; or (b) 50 percent where the net cost method is used.</w:t>
      </w:r>
    </w:p>
    <w:p>
      <w:pPr>
        <w:pStyle w:val="Normal"/>
      </w:pPr>
      <w:r>
        <w:t>7408.11 A change to subheading 7408.11 from any other heading, except from heading 74.07. 7408.19-7408.29 A change to subheading 7408.19 through 7408.29 from any other heading, except from heading 74.07. 74.09 A change to heading 74.09 from any other heading. 74.10 A change to heading 74.10 from any other heading, except from heading 74.09. 74.11 A change to heading 74.11 from any other heading, except from tariff item 7407.10.aa, 7407.21.aa, 7407.29.aa or heading 74.09. 74.12 A change to heading 74.12 from any other heading, except from heading 74.11. 74.13 A change to heading 74.13 from any other heading, except from heading 74.07 through 74.08; or A change to heading 74.13 from heading 74.07 through 74.08, whether or not there is also a change from any other heading, provided there is a regional value content of not less than: (a) 60 percent where the transaction value method is used; or (b) 50 percent where the net cost method is used. 74.15-74.18 A change to heading 74.15 through 74.18 from any other heading, including another heading within that group.</w:t>
      </w:r>
    </w:p>
    <w:p>
      <w:pPr>
        <w:pStyle w:val="Normal"/>
      </w:pPr>
      <w:r>
        <w:t>7419.10 A change to subheading 7419.10 from any other heading, except from heading 74.07. 4-B-79 7419.91 A change to subheading 7419.91 from any other heading. 7419.99 A change to a good of subheading 7419.99 from any other good within that subheading or any other heading.</w:t>
      </w:r>
    </w:p>
    <w:p>
      <w:pPr>
        <w:pStyle w:val="Normal"/>
      </w:pPr>
      <w:r>
        <w:t>Chapter 75 Nickel and Articles Thereof 75.01-75.04 A change to heading 75.01 through 75.04 from any other heading, including another heading within that group. 7505.11-7505.12 A change to subheading 7505.11 through 7505.12 from any other heading. 7505.21-7505.22 A change to subheading 7505.21 through 7505.22 from any other heading; or A change to subheading 7505.21 through 7505.22 from subheading 7505.11 through 7505.12, whether or not there is also a change from any other heading, provided that, if bar or rod is used, the cross-sectional area of the bar or rod is reduced by at least 50 percent. 75.06 7506.10.aa A change to tariff item 7506.10.aa from any other tariff item. 7506.20.aa A change to tariff item 7506.20.aa from any other tariff item. 75.06 A change to heading 75.06 from any other heading. 7507.11-7508.90 A change to subheading 7507.11 through 7508.90 from any other subheading, including another subheading within that group. Chapter 76 Aluminum and Articles Thereof 76.01 A change to heading 76.01 from any other chapter. 76.02 A change to heading 76.02 from any other heading.</w:t>
      </w:r>
    </w:p>
    <w:p>
      <w:pPr>
        <w:pStyle w:val="Normal"/>
      </w:pPr>
      <w:r>
        <w:t>76.03 A change to heading 76.03 from any other chapter. 76.04 A change to heading 76.04 from any other heading. 76.05 A change to heading 76.05 from any other heading, except from heading 76.04 or 76.06. 4-B-80 76.06 A change to heading 76.06 from any other heading. 76.07 A change to heading 76.07 from any other heading.</w:t>
      </w:r>
    </w:p>
    <w:p>
      <w:pPr>
        <w:pStyle w:val="Normal"/>
      </w:pPr>
      <w:r>
        <w:t>76.08-76.09 A change to heading 76.08 through 76.09 from any heading outside that group. 76.10-76.13 A change to heading 76.10 through 76.13 from any other heading, including another heading within that group. 76.14 A change to heading 76.14 from any other heading, except from heading 76.04 through 76.05. 76.15-76.16 A change to heading 76.15 through 76.16 from any other heading, including another heading within that group. Chapter 78 Lead and Articles Thereof 78.01-78.02 A change to heading 78.01 through 78.02 from any other chapter. 7804.11-7804.20 A change to subheading 7804.11 through 7804.20 from any other subheading, including another subheading within that group; or A change to foil of a thickness not exceeding 0.15 mm (excluding backing) of subheading 7804.11 from within that subheading, whether or not there is also a change from any other subheading. 78.06 A change to a good of heading 78.06 from any other good within that heading or any other heading. Chapter 79 Zinc and Articles Thereof 79.01-79.02 A change to heading 79.01 through 79.02 from any other chapter. 7903.10 A change to subheading 7903.10 from any other chapter. 7903.90 A change to subheading 7903.90 from any other heading.</w:t>
      </w:r>
    </w:p>
    <w:p>
      <w:pPr>
        <w:pStyle w:val="Normal"/>
      </w:pPr>
      <w:r>
        <w:t>79.04 A change to heading 79.04 from any other heading; or A change to wire of heading 79.04 from within that heading, whether or not there is also a change from any other heading, provided that, if bar or rod is used, the cross-sectional area of the bar or rod is reduced by at least 50 percent. 4-B-81 79.05 A change to heading 79.05 from any other heading; or A change to foil of a thickness not exceeding 0.15 mm (excluding backing) of heading 79.05 from within that heading, whether or not there is also a change from any other heading. 79.07 A change to a good of heading 79.07 from any other good within that heading or any other heading. Chapter 80 Tin and Articles Thereof 80.01-80.02 A change to heading 80.01 through 80.02 from any other chapter.</w:t>
      </w:r>
    </w:p>
    <w:p>
      <w:pPr>
        <w:pStyle w:val="Normal"/>
      </w:pPr>
      <w:r>
        <w:t>80.03 A change to heading 80.03 from any other heading; or A change to wire of heading 80.03 from within that heading, whether or not there is also a change from any other heading, provided that, if bar or rod is used, the cross-sectional area of the bar or rod is reduced by at least 50 percent. 80.07 A change to a good of heading 80.07 from any other good within that heading or any other heading. Chapter 81 Other Base Metals; Cermets; Articles Thereof 8101.10-8101.97 A change to subheading 8101.10 through 8101.97 from any other subheading, including another subheading within that group. 8101.99 A change to a good of subheading 8101.99 from any other good within that subheading or any other subheading.</w:t>
      </w:r>
    </w:p>
    <w:p>
      <w:pPr>
        <w:pStyle w:val="Normal"/>
      </w:pPr>
      <w:r>
        <w:t>8102.10-8107.90 A change to subheading 8102.10 through 8107.90 from any other subheading, including another subheading within that group. 8108.20 A change to subheading 8108.20 from any other chapter; or A change from any other subheading whether or not there is also a change from any other chapter, provided there is a regional value content of not less than: (a) 60 percent where the transaction value method is used; or (b) 50 percent where the net cost method is used. 4-B-82 82.01 8108.30 A change to subheading 8108.30 from any other subheading. 8108.90 A change to subheading 8108.90 from any other chapter; or A change to subheading 8108.90 from any other subheading, whether or not there is also a change from any other chapter, provided there is a regional value content of not less than: (a) 60 percent where the transaction value method is used; or (b) 50 percent where the net cost method is used.</w:t>
      </w:r>
    </w:p>
    <w:p>
      <w:pPr>
        <w:pStyle w:val="Normal"/>
      </w:pPr>
      <w:r>
        <w:t>8109.20-8110.90 A change to subheading 8109.20 through 8110.90 from any other subheading, including another subheading within that group 81.11 A change to manganese powders or articles of manganese of heading 81.11 from any other good of heading 81.11; or A change to any other good of heading 81.11 from any other heading. 8112.12-8112.59 A change to subheading 8112.12 through 8112.59 from any other subheading, including another subheading within that group.</w:t>
      </w:r>
    </w:p>
    <w:p>
      <w:pPr>
        <w:pStyle w:val="Normal"/>
      </w:pPr>
      <w:r>
        <w:t>8112.92-8112.99 A change to a good of any of subheading 8112.92 through 8112.99 from any other good within that subheading or any other subheading, including another subheading within that group. 81.13 A change to heading 81.13 from any other heading. Chapter 82 Tools, Implements, Cutlery, Spoons and Forks, of Base Metal; Parts Thereof of Base Metal A change to heading 82.01 from any other chapter. 8202.10-8202.20 A change to subheading 8202.10 through 8202.20 from any other chapter. 8202.31 A change to subheading 8202.31 from any other chapter; or A change to subheading 8202.31 from subheading 8202.39, whether or not there is also a change from any other chapter, provided there is a regional value content of not less than: (a) 60 percent where the transaction value method is used; or 4-B-83 (b) 50 percent where the net cost method is used. 8202.39-8202.99 A change to subheading 8202.39 through 8202.99 from any other chapter. 82.03-82.06 A change to heading 82.03 through 82.06 from any other chapter.</w:t>
      </w:r>
    </w:p>
    <w:p>
      <w:pPr>
        <w:pStyle w:val="Normal"/>
      </w:pPr>
      <w:r>
        <w:t>8207.13 A change to subheading 8207.13 from any other chapter; or A change to subheading 8207.13 from subheading 8207.19, whether or not there is also a change from any other chapter, provided there is a regional value content of not less than: (a) 60 percent where the transaction value method is used; or (b) 50 percent where the net cost method is used. 8207.19-8207.90 A change to subheading 8207.19 through 8207.90 from any other chapter.</w:t>
      </w:r>
    </w:p>
    <w:p>
      <w:pPr>
        <w:pStyle w:val="Normal"/>
      </w:pPr>
      <w:r>
        <w:t>82.08-82.10 A change to heading 82.08 through 82.10 from any other chapter. 8211.10 A change to subheading 8211.10 from any other chapter. 8211.91-8211.93 A change to subheading 8211.91 through 8211.93 from any other chapter; or A change to subheading 8211.91 through 8211.93 from subheading 8211.95, whether or not there is also a change from any other chapter, provided there is a regional value content of not less than: (a) 60 percent where the transaction value method is used; or (b) 50 percent where the net cost method is used. 8211.94-8211.95 A change to subheading 8211.94 through 8211.95 from any other chapter. 82.12-82.15 A change to heading 82.12 through 82.15 from any other chapter. Chapter 83 Miscellaneous Articles of Base Metal 4-B-84 8301.10-8301.5014 A change to subheading 8301.10 through 8301.50 from any other chapter; or A change to subheading 8301.10 through 8301.50 from subheading 8301.60, whether or not there is also a change from any other chapter, provided there is a regional value content of not less than:</w:t>
      </w:r>
    </w:p>
    <w:p>
      <w:pPr>
        <w:pStyle w:val="Normal"/>
      </w:pPr>
      <w:r>
        <w:t>(a) 60 percent where the transaction value method is used; or (b) 50 percent where the net cost method is used. 8301.60-8301.70 A change to subheading 8301.60 through 8301.70 from any other chapter. 83.02-83.04 A change to heading 83.02 through 83.04 from any other heading, including another heading within that group.</w:t>
      </w:r>
    </w:p>
    <w:p>
      <w:pPr>
        <w:pStyle w:val="Normal"/>
      </w:pPr>
      <w:r>
        <w:t>8305.10-8305.20 A change to subheading 8305.10 through 8305.20 from any other chapter; or A change to subheading 8305.10 through 8305.20 from subheading 8305.90, whether or not there is also a change from any other chapter, provided there is a regional value content of not less than: (a) 60 percent where the transaction value method is used; or (b) 50 percent where the net cost method is used. 8305.90 A change to subheading 8305.90 from any other heading. 83.06-83.07 A change to heading 83.06 through 83.07 from any other chapter. 8308.10-8308.20 A change to subheading 8308.10 through 8308.20 from any other chapter; or A change to subheading 8308.10 through 8308.20 from subheading 8308.90, whether or not there is also a change from any other chapter, provided there is a regional value content of not less than: (a) 60 percent where the transaction value method is used; or 14 If the good is for use in a vehicle of Chapter 87, the provisions of the Appendix to this Annex apply. 4-B-85 (b) 50 percent where the net cost method is used.</w:t>
      </w:r>
    </w:p>
    <w:p>
      <w:pPr>
        <w:pStyle w:val="Normal"/>
      </w:pPr>
      <w:r>
        <w:t>8308.90 A change to subheading 8308.90 from any other heading. 83.09-83.10 A change to heading 83.09 through 83.10 from any other chapter.</w:t>
      </w:r>
    </w:p>
    <w:p>
      <w:pPr>
        <w:pStyle w:val="Normal"/>
      </w:pPr>
      <w:r>
        <w:t xml:space="preserve">8311.10-8311.30 A change to subheading 8311.10 through 8311.30 from any other chapter; or A change to subheading 8311.10 through 8311.30 from subheading 8311.90, whether or not there is also a change from any other chapter, provided there is a regional value content of not less than: (a) 60 percent where the transaction value method is used; or (b) 50 percent where the net cost method is used. 8311.90 A change to subheading 8311.90 from any other heading.</w:t>
      </w:r>
    </w:p>
    <w:p>
      <w:pPr>
        <w:pStyle w:val="AnnexSection"/>
      </w:pPr>
      <w:bookmarkStart w:id="900145" w:name="_Toc300000144"/>
      <w:r>
        <w:t xml:space="preserve">Section XVI - Machinery and Mechanical Appliances; Electrical Equipment; Parts Thereof; Sound Recorders and Reproducers, Television Image and Sound Recorders and Reproducers, and Parts and Accessories of Such Articles (Chapter 84-85)</w:t>
      </w:r>
      <w:bookmarkEnd w:id="900145"/>
    </w:p>
    <w:p>
      <w:pPr>
        <w:pStyle w:val="Normal"/>
      </w:pPr>
      <w:r>
        <w:t xml:space="preserve">Chapter 84 Nuclear Reactors, Boilers, Machinery and Mechanical Appliances; Parts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w:t>
      </w:r>
    </w:p>
    <w:p>
      <w:pPr>
        <w:pStyle w:val="Normal"/>
      </w:pPr>
      <w:r>
        <w:t>Note 2: For the purposes of subheading 8471.49, the origin of each unit presented within a system shall be determined in accordance with the rule that would be applicable to such unit if it were presented separately and the rate of duty applicable to each unit presented within a system shall be: (a) in the case of Mexico, the rate that would be applicable to such unit if it were presented separately; and 4-B-86 (b) in the case of Canada and the United States, the rate that is applicable to such unit under the appropriate tariff item within subheading 8471.49. For the purposes of this Note, the term “unit presented within a system” shall mean: (a) a separate unit as described in Note 5(B) to Chapter 84 of the Harmonized System; or (b) any other separate machine that is presented and classified with a system under subheading 8471.49.</w:t>
      </w:r>
    </w:p>
    <w:p>
      <w:pPr>
        <w:pStyle w:val="Normal"/>
      </w:pPr>
      <w:r>
        <w:t>Note 3: The following are parts for those goods of subheading 8443.31 or 8443.32: (a) control or command assemblies, incorporating more than one of the following: printed circuit assembly; hard or flexible (floppy) disc drive; keyboard; user interface; (b) light source assemblies, incorporating more than one of the following: light emitting diode assembly; gas laser; mirror polygon assembly; base casting; (c) laser imaging assemblies, incorporating more than one of the following: photoreceptor belt or cylinder; toner receptable unit; toner developing unit; charge/discharge unit; cleaning unit; (d) image fixing assemblies, incorporating more than one of the following: fuser; pressure roller; heating element; release oil dispenser; cleaning unit; electrical control; (e) ink-jet marking assemblies, incorporating more than one of the following: thermal print head; ink dispensing unit; nozzle and reservoir unit; ink heater; (f) maintenance/sealing assemblies, incorporating more than one of the following: vacuum unit; ink-jet covering unit; sealing unit; purging unit; (g) paper handling assemblies, incorporating more than one of the following: paper transport belt; roller; print bar; carriage; gripper roller; paper storage unit; exit tray;</w:t>
      </w:r>
    </w:p>
    <w:p>
      <w:pPr>
        <w:pStyle w:val="Normal"/>
      </w:pPr>
      <w:r>
        <w:t>4-B-87 (h) thermal transfer imaging assemblies, incorporating more than one of the following: thermal print head, cleaning unit; supply or take-up roller; (i) ionographic imaging assemblies, incorporating more than one of the following: ion</w:t>
      </w:r>
    </w:p>
    <w:p>
      <w:pPr>
        <w:pStyle w:val="Normal"/>
      </w:pPr>
      <w:r>
        <w:t>generation and emitting unit; air assist unit; printed circuit assembly; charge receptor belt or cyclinder; toner receptacle unit; toner distribution unit; developer receptacle and distribution unit; developing unit; charge/discharge unit; cleaning unit; or (j) combinations of the above specified assemblies. Note 4: The following are parts for facsimile machines: (a) control or command assemblies, incorporating more than one of the following: printed circuit assembly; modem; hard or flexible (floppy) disc drive; keyboard; user interface; (b) optics module assemblies, incorporating more than one of the following: optics lamp; charge couples device and appropriate optics; lenses; mirror; (c) laser imaging assemblies, incorporating more than one of the following: photoreceptor belt or cylinder; toner receptacle unit; toner developing unit; charge/discharge unit; cleaning unit; (d) ink-jet marking assemblies, incorporating more than one of the following: thermal print head; ink dispensing unit; nozzle and reservoir unit; ink heater; (e) thermal transfer imaging assemblies, incorporating more than one of the following: thermal print head, cleaning unit; supply or take-up roller;</w:t>
      </w:r>
    </w:p>
    <w:p>
      <w:pPr>
        <w:pStyle w:val="Normal"/>
      </w:pPr>
      <w:r>
        <w:t>(f) ionographic imaging assemblies, incorporating more than one of the following: ion generation and emitting unit; air assist unit; printed circuit assembly; charge receptor belt or cyclinder; toner receptacle unit; toner distribution unit; developer receptacle and distribution unit; developing unit;</w:t>
      </w:r>
    </w:p>
    <w:p>
      <w:pPr>
        <w:pStyle w:val="Normal"/>
      </w:pPr>
      <w:r>
        <w:t>charge/discharge unit; cleaning unit; (g) image fixing assemblies, incorporating more than one of the following: fuser; pressure roller; heating element; release oil dispenser; cleaning unit; electrical control; 4-B-88 (h) paper handling assemblies, incorporating more than one of the following: paper transport belt; roller; print bar; carriage; gripper roller; paper storage unit; exit tray; or (i) combinations of the above specified assemblies. Note 5: The following are parts for photocopying apparatus of subheading 8443.32 and 8443.39 which refer to this Note: (a) imaging assemblies, incorporating more than one of the following: photoreceptor belt or cylinder; toner receptacle unit; toner distribution unit; developer receptacle unit; developer distribution unit; charge/discharge unit; cleaning unit; (b) optics assemblies, incorporating more than one of the following: lens; mirror; illumination source; document exposure glass; (c) user control assemblies incorporating more than one of the following: printed circuit assembly; power supply; user input keyboard; wiring harness; display unit (cathode-ray type or flat panel); (d) image fixing assemblies, incorporating more than one of the following: fuser; pressure roller; heating element; release oil dispenser; cleaning unit; electrical control;</w:t>
      </w:r>
    </w:p>
    <w:p>
      <w:pPr>
        <w:pStyle w:val="Normal"/>
      </w:pPr>
      <w:r>
        <w:t>(e) paper handling assemblies incorporating more than one of the following: paper transport belt; roller; print bar; carriage; gripper roller; paper storage unit; exit tray; (f) or</w:t>
      </w:r>
    </w:p>
    <w:p>
      <w:pPr>
        <w:pStyle w:val="Normal"/>
      </w:pPr>
      <w:r>
        <w:t>combinations of the above specified assemblies. 8401.10-8401.30 A change to subheading 8401.10 through 8401.30 from any other heading; or A change to subheading 8401.10 through 8401.30 from subheading 8401.40, whether or not there is also a change from any other heading, provided there is a regional value content of not less than: (a) 60 percent where the transaction value method is used; or (b) 50 percent where the net cost method is used. 8401.40 A change to subheading 8401.40 from any other heading. 4-B-89 8402.11-8402.20 A change to subheading 8402.11 through 8402.20 from any other heading; or A change to subheading 8402.11 through 8402.20 from subheading 8402.90, whether or not there is also a change from any other heading, provided there is a regional value content of not less than: (a) 60 percent where the transaction value method is used; or (b) 50 percent where the net cost method is used.</w:t>
      </w:r>
    </w:p>
    <w:p>
      <w:pPr>
        <w:pStyle w:val="Normal"/>
      </w:pPr>
      <w:r>
        <w:t>8402.90 A change to subheading 8402.90 from any other heading; or No required change in tariff classification to subheading 8402.90, provided there is a regional value content of not less than: (a) 60 percent where the transaction value method is used; or (b) 50 percent where the net cost method is used.</w:t>
      </w:r>
    </w:p>
    <w:p>
      <w:pPr>
        <w:pStyle w:val="Normal"/>
      </w:pPr>
      <w:r>
        <w:t>8403.10 A change to subheading 8403.10 from any other heading; or A change to subheading 8403.10 from subheading 8403.90, whether or not there is also a change from any other heading, provided there is a regional value content of not less than: (a) 60 percent where the transaction value method is used; or (b) 50 percent where the net cost method is used. 8403.90 A change to subheading 8403.90 from any other heading. 8404.10-8404.20 A change to subheading 8404.10 through 8404.20 from any other heading; or A change to subheading 8404.10 through 8404.20 from subheading 8404.90, whether or not there is also a change from any other heading, provided there is a regional value content of not less than: (a) 60 percent where the transaction value method is used; or (b) 50 percent where the net cost method is used. 8404.90 A change to subheading 8404.90 from any other heading.</w:t>
      </w:r>
    </w:p>
    <w:p>
      <w:pPr>
        <w:pStyle w:val="Normal"/>
      </w:pPr>
      <w:r>
        <w:t>4-B-90 8405.10 A change to subheading 8405.10 from any other heading; or A change to subheading 8405.10 from subheading 8405.90, whether or not there is also a change from any other heading, provided there is a regional value content of not less than: (a) 60 percent where the transaction value method is used; or (b) 50 percent where the net cost method is used. 8405.90 A change to subheading 8405.90 from any other heading. 8406.10 A change to subheading 8406.10 from any other subheading. 8406.81-8406.82 A change to subheading 8406.81 through 8406.82 from any subheading outside that group.</w:t>
      </w:r>
    </w:p>
    <w:p>
      <w:pPr>
        <w:pStyle w:val="Normal"/>
      </w:pPr>
      <w:r>
        <w:t>8406.90.aa A change to tariff item 8406.90.aa from tariff item 8406.90.cc or any other heading; or A change to tariff item 8406.90.aa from any other good within subheading 8406.90, whether or not there is also a change from tariff item 8406.90.cc or any other heading, provided there is a regional value content of not less than: (a) 60 percent where the transaction value method is used; or (b) 50 percent where the net cost method is used. 8406.90.bb A change to tariff item 8406.90.bb from any other tariff item; or No required change in tariff classification to tariff item 8406.90.bb, provided there is a regional value content of not less than: (a) 60 percent where the transaction value method is used; or (b) 50 percent where the net cost method is used. 8406.90 A change to subheading 8406.90 from any other heading. 8407.10-8407.29 A change to subheading 8407.10 through 8407.29 from any other heading, provided there is a regional value content of not less than:</w:t>
      </w:r>
    </w:p>
    <w:p>
      <w:pPr>
        <w:pStyle w:val="Normal"/>
      </w:pPr>
      <w:r>
        <w:t>4-B-91 (a) 60 percent where the transaction value method is used; or (b) 50 percent where the net cost method is used. 8407.31-8407.3415 For a good of heading 8407.31 through 8407.34 for use in a passenger vehicle or light truck: No required change in tariff classification to a good of subheading 8407.31 through 8407.34, provided there is a regional value content of not less than 75 percent under the net cost method.</w:t>
      </w:r>
    </w:p>
    <w:p>
      <w:pPr>
        <w:pStyle w:val="Normal"/>
      </w:pPr>
      <w:r>
        <w:t>For a good of heading 8407.31 through 8407.34 for use in a heavy truck: No required change in tariff classification to a good of subheading 8407.31 through 8407.34, provided there is a regional value content of not less than 70 percent under the net cost method. For any other good of heading 8407.31 through 8407.34: A change to subheading 8407.31 through 8407.34 from any other heading, provided there is a regional value content of not less than: (a) 60 percent where the transaction value method is used; or (b) 50 percent where the net cost method is used. 8407.90 A change to subheading 8407.90 from any other subheading. 8408.10 A change to subheading 8408.10 from any other subheading. 8408.2016 For a compression-ignition internal combustion piston engine of 8408.20 used for a light truck: 15 If the good is for use in a vehicle of Chapter 87, the provisions of the Appendix to this Annex apply. 16 If the good is for use in a vehicle of Chapter 87, the provisions of the Appendix to this Annex apply.</w:t>
      </w:r>
    </w:p>
    <w:p>
      <w:pPr>
        <w:pStyle w:val="Normal"/>
      </w:pPr>
      <w:r>
        <w:t>4-B-92 No required change in tariff classification to a good of subheading 8408.20, provided there is a regional value content of not less than: (a) 85 percent where the transaction value method is used; or (b) 75 percent where the net cost method is used.</w:t>
      </w:r>
    </w:p>
    <w:p>
      <w:pPr>
        <w:pStyle w:val="Normal"/>
      </w:pPr>
      <w:r>
        <w:t>For a good of heading 8408.20 for use in a heavy truck: A change to subheading 8408.20 from any other heading, provided there is a regional value content of not less than: (a) 80 percent where the transaction value method is used; or (b) 70 percent where the net cost method is used. For any other good of heading 8408.20: A change to subheading 8408.20 from any other heading, provided there is a regional value content of not less than: (a) 60 percent where the transaction value method is used; or (b) 50 percent where the net cost method is used. 8408.90 A change to subheading 8408.90 from any other subheading. 8409.10 A change to subheading 8409.10 from any other heading. 8409.9117 For a good of heading 8409.91 for use in a passenger vehicle or light truck: No required change in tariff classification to a good of subheading 8409.91, provided there is a regional value content of not less than 75 percent under the net cost method.</w:t>
      </w:r>
    </w:p>
    <w:p>
      <w:pPr>
        <w:pStyle w:val="Normal"/>
      </w:pPr>
      <w:r>
        <w:t>17 If the good is for use in a vehicle of Chapter 87, the provisions of the Appendix to this Annex apply. 4-B-93 For a good of heading 8409.91 for use in a heavy truck: No required change in tariff classification to a good of subheading 8409.91, provided there is a regional value content of not less than 70 percent under the net cost method.</w:t>
      </w:r>
    </w:p>
    <w:p>
      <w:pPr>
        <w:pStyle w:val="Normal"/>
      </w:pPr>
      <w:r>
        <w:t>For any other good of heading 8409.91: A change to subheading 8409.91 from any other heading; or No required change in tariff classification to subheading 8409.91, provided there is a regional value content of not less than: (a) 60 percent where the transaction value method is used; or (b) 50 percent where the net cost method is used. 8409.9918 For a good of heading 8409.99 for use in a passenger vehicle or light truck: No required change in tariff classification to a good of subheading 8409.91, provided there is a regional value content of not less than 75 percent under the net cost method. For a good of heading 8409.99 for use in a heavy truck: No required change in tariff classification to a good of subheading 8409.91, provided there is a regional value content of not less than 70 percent under the net cost method. For any other good of heading 8409.99:</w:t>
      </w:r>
    </w:p>
    <w:p>
      <w:pPr>
        <w:pStyle w:val="Normal"/>
      </w:pPr>
      <w:r>
        <w:t>A change to subheading 8409.99 from any other heading; or No required change in tariff classification to subheading 8409.99, provided there is a regional value content of not less than: 18 If the good is for use in a vehicle of Chapter 87, the provisions of the Appendix to this Annex apply. 4-B-94 (a) 60 percent where the transaction value method is used; or (b) 50 percent where the net cost method is used.</w:t>
      </w:r>
    </w:p>
    <w:p>
      <w:pPr>
        <w:pStyle w:val="Normal"/>
      </w:pPr>
      <w:r>
        <w:t>8410.11-8410.13 A change to subheading 8410.11 through 8410.13 from any other heading; or A change to subheading 8410.11 through 8410.13 from subheading 8410.90, whether or not there is also a change from any other heading, provided there is a regional value content of not less than: (a) 60 percent where the transaction value method is used; or (b) 50 percent where the net cost method is used. 8410.90 A change to subheading 8410.90 from any other heading. 8411.11-8411.82 A change to subheading 8411.11 through 8411.82 from any subheading outside that group. 8411.91 A change to subheading 8411.91 from any other heading. 8411.99 A change to subheading 8411.99 from any other heading; or No required change in tariff classification to subheading 8411.99, provided there is a regional value content of not less than: (a) 60 percent where the transaction value method is used; or (b) 50 percent where the net cost method is used. 8412.10-8412.80 A change to subheading 8412.10 through 8412.80 from any other subheading, including another subheading within that group.</w:t>
      </w:r>
    </w:p>
    <w:p>
      <w:pPr>
        <w:pStyle w:val="Normal"/>
      </w:pPr>
      <w:r>
        <w:t>8412.90 A change to subheading 8412.90 from any other heading. 8413.11-8413.8219 A change to subheading 8413.11 through 8413.82 from any other heading; or 19 If the good is for use in a vehicle of Chapter 87, the provisions of the Appendix to this Annex apply.</w:t>
      </w:r>
    </w:p>
    <w:p>
      <w:pPr>
        <w:pStyle w:val="Normal"/>
      </w:pPr>
      <w:r>
        <w:t>4-B-95 A change to subheading 8413.11 through 8413.82 from subheading 8413.91 through 8413.92, whether or not there is also a change from any other heading, provided there is a regional value content of not less than: (a) 60 percent where the transaction value method is used; or (b) 50 percent where the net cost method is used. 8413.91 A change to subheading 8413.91 from any other heading. 8413.92 A change to subheading 8413.92 from any other heading; or No required change in tariff classification to subheading 8413.92, provided there is a regional value content of not less than: (a) 60 percent where the transaction value method is used; or (b) 50 percent where the net cost method is used. 8414.10-8414.20 A change to subheading 8414.10 through 8414.20 from any other heading; or A change to subheading 8414.10 through 8414.20 from subheading 8414.90, whether or not there is also a change from any other heading, provided there is a regional value content of not less than:</w:t>
      </w:r>
    </w:p>
    <w:p>
      <w:pPr>
        <w:pStyle w:val="Normal"/>
      </w:pPr>
      <w:r>
        <w:t>(a) 60 percent where the transaction value method is used; or (b) 50 percent where the net cost method is used. 8414.3020 A change to subheading 8414.30 from any other subheading, except from tariff item 8414.90.aa.</w:t>
      </w:r>
    </w:p>
    <w:p>
      <w:pPr>
        <w:pStyle w:val="Normal"/>
      </w:pPr>
      <w:r>
        <w:t>8414.40 A change to subheading 8414.40 from any other heading; or A change to subheading 8414.40 from subheading 8414.90, whether or not there is also a change from any other heading, provided there is a regional value content of not less than: (a) 60 percent where the transaction value method is used; or 20 If the good is for use in a vehicle of Chapter 87, the provisions of the Appendix to this Annex apply. 4-B-96 (b) 50 percent where the net cost method is used. 8414.51 A change to subheading 8414.51 from any other subheading. 8414.59-8414.8021 A change to subheading 8414.59 through 8414.80 from any other heading; or A change to subheading 8414.59 through 8414.80 from subheading 8414.90, whether or not there is also a change from any other heading, provided there is a regional value content of not less than: (a) 60 percent where the transaction value method is used; or (b) 50 percent where the net cost method is used.</w:t>
      </w:r>
    </w:p>
    <w:p>
      <w:pPr>
        <w:pStyle w:val="Normal"/>
      </w:pPr>
      <w:r>
        <w:t>8414.90 A change to subheading 8414.90 from any other heading; or No required change in tariff classification to subheading 8414.90, provided there is a regional value content of not less than: (a) 60 percent where the transaction value method is used; or (b) 50 percent where the net cost method is used.</w:t>
      </w:r>
    </w:p>
    <w:p>
      <w:pPr>
        <w:pStyle w:val="Normal"/>
      </w:pPr>
      <w:r>
        <w:t>8415.10 A change to self-contained window or wall type air conditioning machines of subheading 8415.10 from any other subheading, except from tariff item 8415.90.aa or assemblies incorporating more than one of the following: compressor, condenser, evaporator, connecting tubing; A change to “split-systems” of subheading 8415.10 from any other subheading, except from subheading 8415.20 through 8415.83, tariff item 8415.90.aa or assemblies incorporating more than one of the following: compressor, condenser, evaporator, connecting tubing; or A change to “split-systems” of subheading 8415.10 from tariff item 8415.90.aa or assemblies incorporating more than one of the following: compressor, condenser, evaporator, connecting tubing, whether or not there is also a change from subheading 8415.20 through 8415.83, provided there is a regional value content of not less than: 21 If the good is for use in a vehicle of Chapter 87, the provisions of the Appendix to this Annex apply. 4-B-97 (a) 60 percent where the transaction value method is used; or (b) 50 percent where the net cost method is used.</w:t>
      </w:r>
    </w:p>
    <w:p>
      <w:pPr>
        <w:pStyle w:val="Normal"/>
      </w:pPr>
      <w:r>
        <w:t>8415.20-8415.8322 A change to subheading 8415.20 through 8415.83 from any subheading outside that group, except from “split-systems” of subheading 8415.10, tariff item 8415.90.aa or assemblies incorporating more than one of the following: compressor, condenser, evaporator, connecting tubing; or A change to subheading 8415.20 through 8415.83 from tariff item 8415.90.aa or assemblies incorporating more than one of the following: compressor, condenser, evaporator, connecting tubing, whether or not there is also a change from any subheading outside that group, except from “split-systems” of subheading 8415.10, provided there is a regional value content of not less than: (a) 60 percent where the transaction value method is used; or (b) 50 percent where the net cost method is used. 8415.90 8415.90.aa A change to tariff item 8415.90.aa from any other tariff item. 8415.90 A change to subheading 8415.90 from any other heading.</w:t>
      </w:r>
    </w:p>
    <w:p>
      <w:pPr>
        <w:pStyle w:val="Normal"/>
      </w:pPr>
      <w:r>
        <w:t>8416.10-8416.30 A change to subheading 8416.10 through 8416.30 from any other heading; or A change to subheading 8416.10 through 8416.30 from subheading 8416.90, whether or not there is also a change from any other heading, provided there is a regional value content of not less than: (a) 60 percent where the transaction value method is used; or (b) 50 percent where the net cost method is used. 8416.90 A change to subheading 8416.90 from any other heading. 22 If the good is for use in a vehicle of Chapter 87, the provisions of the Appendix to this Annex apply.</w:t>
      </w:r>
    </w:p>
    <w:p>
      <w:pPr>
        <w:pStyle w:val="Normal"/>
      </w:pPr>
      <w:r>
        <w:t>4-B-98 8417.10-8417.80 A change to subheading 8417.10 through 8417.80 from any other heading; or A change to subheading 8417.10 through 8417.80 from subheading 8417.90, whether or not there is also a change from any other heading, provided there is a regional value content of not less than: (a) 60 percent where the transaction value method is used; or (b) 50 percent where the net cost method is used. 8417.90 A change to subheading 8417.90 from any other heading. 8418.10-8418.21 A change to subheading 8418.10 through 8418.21 from any subheading outside that group, except from subheading 8418.91, tariff item 8418.99.aa or assemblies incorporating more than one of the following: compressor, condenser, evaporator, connecting tubing. 8418.29 A change to absorption-type electrical household refrigerators of subheading 8418.29 from any other heading; A change to absorption-type electrical household refrigerators of subheading 8418.29 from subheading 8418.91 through 8418.99, whether or not there is also a change from any other heading, provided there is a regional value content of not less than:</w:t>
      </w:r>
    </w:p>
    <w:p>
      <w:pPr>
        <w:pStyle w:val="Normal"/>
      </w:pPr>
      <w:r>
        <w:t>(a) 60 percent where the transaction value method is used; or (b) 50 percent where the net cost method is used; or A change to any other good of subheading 8418.29 from any other subheading, except from subheading 8418.30, 8418.40 or 8418.91, door assemblies incorporating more than one of the following: inner panel, outer panel, insulation, hinges, handles of subheading 8418.99 or</w:t>
      </w:r>
    </w:p>
    <w:p>
      <w:pPr>
        <w:pStyle w:val="Normal"/>
      </w:pPr>
      <w:r>
        <w:t>assemblies incorporating more than one of the following: compressor, condenser, evaporator, connecting tubing. 8418.30-8418.40 A change to subheading 8418.30 through 8418.40 from any subheading outside that group, except from any good, other than absorption-type electrical household refrigerators, of subheading 8418.29 or 8418.91, door assemblies incorporating more than one of the following: inner panel, outer panel, insulation, hinges, handles of subheading 8418.99 or assemblies incorporating more than one of the following: compressor, condenser, evaporator, connecting tubing. 4-B-99 8418.50-8418.69 A change to subheading 8418.50 through 8418.69 from any other heading; or A change to subheading 8418.50 through 8418.69 from subheading 8418.91 through 8418.99, whether or not there is also a change from any other heading, provided there is a regional value content of not less than: (a) 60 percent where the transaction value method is used; or (b) 50 percent where the net cost method is used. 8418.91 A change to subheading 8418.91 from any other subheading. 8418.99 8418.99.aa A change to tariff item 8418.99.aa from any other tariff item. 8418.99 A change to subheading 8418.99 from any other heading.</w:t>
      </w:r>
    </w:p>
    <w:p>
      <w:pPr>
        <w:pStyle w:val="Normal"/>
      </w:pPr>
      <w:r>
        <w:t>8419.11-8419.89 A change to subheading 8419.11 through 8419.89 from any other heading; or A change to subheading 8419.11 through 8419.89 from subheading 8419.90, whether or not there is also a change from any other heading, provided there is a regional value content of not less than: (a) 60 percent where the transaction value method is used; or (b) 50 percent where the net cost method is used. 8419.90 A change to subheading 8419.90 from any other heading; or No required change in tariff classification to subheading 8419.90, provided there is a regional value content of not less than: (a) 60 percent where the transaction value method is used; or (b) 50 percent where the net cost method is used. 8420.10 A change to subheading 8420.10 from any other heading; or 4-B-100 A change to subheading 8420.10 from subheading 8420.91 through 8420.99, whether or not there is also a change from any other heading, provided there is a regional value content of not less than: (a) 60 percent where the transaction value method is used; or (b) 50 percent where the net cost method is used. 8420.91-8420.99 A change to subheading 8420.91 through 8420.99 from any other heading.</w:t>
      </w:r>
    </w:p>
    <w:p>
      <w:pPr>
        <w:pStyle w:val="Normal"/>
      </w:pPr>
      <w:r>
        <w:t>8421.11 A change to subheading 8421.11 from any other heading; or A change to subheading 8421.11 from subheading 8421.91, whether or not there is also a change from any other heading, provided there is a regional value content of not less than: (a) 60 percent where the transaction value method is used; or (b) 50 percent where the net cost method is used. 8421.12 A change to subheading 8421.12 from any other subheading, except from tariff item 8421.91.aa, 8421.91.bb or 8537.10.aa. 8421.19-8421.3923 A change to subheading 8421.19 through 8421.39 from any other heading; or A change to subheading 8421.19 through 8421.39 from subheading 8421.91 through 8421.99, whether or not there is also a change from any other heading, provided there is a regional value content of not less than: (a) 60 percent where the transaction value method is used; or (b) 50 percent where the net cost method is used. 8421.91 8421.91.aa A change to tariff item 8421.91.aa from any other tariff item. 8421.91.bb A change to tariff item 8421.91.bb from any other tariff item.</w:t>
      </w:r>
    </w:p>
    <w:p>
      <w:pPr>
        <w:pStyle w:val="Normal"/>
      </w:pPr>
      <w:r>
        <w:t>23 If the good is for use in a vehicle of Chapter 87, the provisions of the Appendix to this Annex apply. 4-B-101 8421.91 A change to subheading 8421.91 from any other heading.</w:t>
      </w:r>
    </w:p>
    <w:p>
      <w:pPr>
        <w:pStyle w:val="Normal"/>
      </w:pPr>
      <w:r>
        <w:t>8421.99 A change to subheading 8421.99 from any other heading; or No required change in tariff classification to subheading 8421.99, provided there is a regional value content of not less than: (a) 60 percent where the transaction value method is used; or (b) 50 percent where the net cost method is used. 8422.11 A change to subheading 8422.11 from any other subheading, except from tariff item 8422.90.aa, 8422.90.bb, 8537.10.aa or water circulation systems incorporating a pump, whether or not motorized, and auxiliary apparatus for controlling, filtering, or dispersing a spray. 8422.19-8422.40 A change to subheading 8422.19 through 8422.40 from any other heading; or A change to subheading 8422.19 through 8422.40 from subheading 8422.90, whether or not there is also a change from any other heading, provided there is a regional value content of not less than: (a) 60 percent where the transaction value method is used; or (b) 50 percent where the net cost method is used. 8422.90 8422.90.aa A change to tariff item 8422.90.aa from any other tariff item. 8422.90.bb A change to tariff item 8422.90.bb from any other tariff item. 8422.90 A change to subheading 8422.90 from any other heading.</w:t>
      </w:r>
    </w:p>
    <w:p>
      <w:pPr>
        <w:pStyle w:val="Normal"/>
      </w:pPr>
      <w:r>
        <w:t>8423.10-8423.89 A change to subheading 8423.10 through 8423.89 from any other heading; or A change to subheading 8423.10 through 8423.89 from subheading 8423.90, whether or not there is also a change from any other heading, provided there is a regional value content of not less than: (a) 60 percent where the transaction value method is used; or 4-B-102 (b) 50 percent where the net cost method is used. 8423.90 A change to subheading 8423.90 from any other heading. 8424.10-8424.89 A change to subheading 8424.10 through 8424.89 from any other subheading, including another subheading within that group. 8424.90 A change to subheading 8424.90 from any other heading. 84.25-84.26 A change to heading 84.25 through 84.26 from any other heading, including another heading within that group, except from heading 84.31; or A change to heading 84.25 through 84.26 from heading 84.31,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pPr>
        <w:pStyle w:val="Normal"/>
      </w:pPr>
      <w:r>
        <w:t>8427.10 8427.10.aa A change to tariff item 8427.10.aa from any other heading, except from subheading 8431.20 or 8483.40 or heading 85.01; or A change to tariff item 8427.10.aa from subheading 8431.20 or 8483.40 or heading 85.01, whether or not there is also a change from any other heading, provided there is a regional value content of not less than: (a) 60 percent where the transaction value method is used; or (b) 50 percent where the net cost method is used. 8427.10 A change to subheading 8427.10 from any other heading, except from subheading 8431.20; or A change to subheading 8427.10 from subheading 8431.20, whether or not there is also a change from any other heading, provided there is a regional value content of not less than: (a) 60 percent where the transaction value method is used; or 4-B-103 (b) 50 percent where the net cost method is used. 8427.20 A change to subheading 8427.20 from any other subheading.</w:t>
      </w:r>
    </w:p>
    <w:p>
      <w:pPr>
        <w:pStyle w:val="Normal"/>
      </w:pPr>
      <w:r>
        <w:t>8427.90 A change to subheading 8427.90 from any other heading, except from subheading 8431.20; or A change to subheading 8427.90 from subheading 8431.20, whether or not there is also a change from any other heading, provided there is a regional value content of not less than: (a) 60 percent where the transaction value method is used; or (b) 50 percent where the net cost method is used. 8428.10-8430.69 A change to subheading 8428.10 through 8430.69 from any other subheading, including another subheading within that group.</w:t>
      </w:r>
    </w:p>
    <w:p>
      <w:pPr>
        <w:pStyle w:val="Normal"/>
      </w:pPr>
      <w:r>
        <w:t>8431.10-8431.49 A change to subheading 8431.10 through 8431.49 from any other heading; or No required change in tariff classification to any of subheading 8431.10 through 8431.49, provided there is a regional value content of not less than: (a) 60 percent where the transaction value method is used; or (b) 50 percent where the net cost method is used. 8432.10-8432.80 A change to subheading 8432.10 through 8432.80 from any other subheading, including another subheading within that group. 8432.90 A change to subheading 8432.90 from any other heading. 8433.11-8433.60 A change to subheading 8433.11 through 8433.60 from any other subheading, including another subheading within that group. 8433.90 A change to subheading 8433.90 from any other heading. 8434.10-8434.20 A change to subheading 8434.10 through 8434.20 from any other heading; or 4-B-104 A change to subheading 8434.10 through 8434.20 from subheading 8434.90, whether or not there is also a change from any other heading, provided there is a regional value content of not less than:</w:t>
      </w:r>
    </w:p>
    <w:p>
      <w:pPr>
        <w:pStyle w:val="Normal"/>
      </w:pPr>
      <w:r>
        <w:t>(a) 60 percent where the transaction value method is used; or (b) 50 percent where the net cost method is used. 8434.90 A change to subheading 8434.90 from any other heading. 8435.10 A change to a good of subheading 8435.10 from any other good within that subheading or any other subheading. 8435.90 A change to subheading 8435.90 from any other heading.</w:t>
      </w:r>
    </w:p>
    <w:p>
      <w:pPr>
        <w:pStyle w:val="Normal"/>
      </w:pPr>
      <w:r>
        <w:t>8436.10-8436.80 A change to subheading 8436.10 through 8436.80 from any other subheading, including another subheading within that group. 8436.91-8436.99 A change to subheading 8436.91 through 8436.99 from any other heading. 8437.10-8437.80 A change to subheading 8437.10 through 8437.80 from any other heading; or A change to subheading 8437.10 through 8437.80 from subheading 8437.90, whether or not there is also a change from any other heading, provided there is a regional value content of not less than: (a) 60 percent where the transaction value method is used; or (b) 50 percent where the net cost method is used. 8437.90 A change to subheading 8437.90 from any other heading. 8438.10-8438.80 A change to subheading 8438.10 through 8438.80 from any other heading; or A change to subheading 8438.10 through 8438.80 from subheading 8438.90, whether or not there is also a change from any other heading, provided there is a regional value content of not less than: (a) 60 percent where the transaction value method is used; or (b) 50 percent where the net cost method is used. 4-B-105 8438.90 A change to subheading 8438.90 from any other heading.</w:t>
      </w:r>
    </w:p>
    <w:p>
      <w:pPr>
        <w:pStyle w:val="Normal"/>
      </w:pPr>
      <w:r>
        <w:t>8439.10-8439.30 A change to subheading 8439.10 through 8439.30 from any other heading; or A change to subheading 8439.10 through 8439.30 from subheading 8439.91 through 8439.99, whether or not there is also a change from any other heading, provided there is a regional value content of not less than: (a) 60 percent where the transaction value method is used; or (b) 50 percent where the net cost method is used. 8439.91-8439.99 A change to subheading 8439.91 through 8439.99 from any other heading. 8440.10 A change to subheading 8440.10 from any other heading; or A change to subheading 8440.10 from subheading 8440.90, whether or not there is also a change from any other heading, provided there is a regional value content of not less than: (a) 60 percent where the transaction value method is used; or (b) 50 percent where the net cost method is used. 8440.90 A change to subheading 8440.90 from any other heading.</w:t>
      </w:r>
    </w:p>
    <w:p>
      <w:pPr>
        <w:pStyle w:val="Normal"/>
      </w:pPr>
      <w:r>
        <w:t>8441.10-8441.80 A change to subheading 8441.10 through 8441.80 from any other heading; or A change to subheading 8441.10 through 8441.80 from subheading 8441.90, whether or not there is also a change from any other heading, provided there is a regional value content of not less than: (a) 60 percent where the transaction value method is used; or (b) 50 percent where the net cost method is used.</w:t>
      </w:r>
    </w:p>
    <w:p>
      <w:pPr>
        <w:pStyle w:val="Normal"/>
      </w:pPr>
      <w:r>
        <w:t>8441.90 A change to subheading 8441.90 from any other heading; or No required change in tariff classification to subheading 8441.90, provided there is a regional value content of not less than: (a) 60 percent where the transaction value method is used; or 4-B-106 (b) 50 percent where the net cost method is used. 8442.30 A change to subheading 8442.30 from any other heading; or A change to subheading 8442.30 from subheading 8442.40 through 8442.50, whether or not there is also a change from any other heading, provided there is a regional value content of not less than: (a) 60 percent where the transaction value method is used; or (b) 50 percent where the net cost method is used. 8442.40-8442.50 A change to subheading 8442.40 through 8442.50 from any other heading.</w:t>
      </w:r>
    </w:p>
    <w:p>
      <w:pPr>
        <w:pStyle w:val="Normal"/>
      </w:pPr>
      <w:r>
        <w:t>8443.11-8443.19 A change to subheading 8443.11 through 8443.19 from any other heading; or A change to subheading 8443.11 through 8443.19 from any other subheading within that group or subheading 8443.91, whether or not there is also a change from any other heading, provided there is a regional value content of not less than: (a) 60 percent where the transaction value method is used; or (b) 50 percent where the net cost method is used. 8443.31-8443.39 A change to a good of any of subheading 8443.31 through 8443.39 from any other good within that subheading or any other subheading, including another subheading within that group.</w:t>
      </w:r>
    </w:p>
    <w:p>
      <w:pPr>
        <w:pStyle w:val="Normal"/>
      </w:pPr>
      <w:r>
        <w:t>8443.91 A change to subheading 8443.91 from any other subheading; or A change to a good of subheading 8443.91 from any other good within that subheading, whether or not there is also a change from any other subheading, provided there is a regional value content of not less than: (a) 60 percent where the transaction value method is used; or (b) 50 percent where the net cost method is used. 8443.99 A change to a good of subheading 8443.99 from any other good within that subheading or any other subheading. 4-B-107 84.49 84.44-84.47 A change to heading 84.44 through 84.47 from any heading outside that group, except from heading 84.48; or A change to heading 84.44 through 84.47 from heading 84.48, whether or not there is also a change from any other heading, provided there is a regional value content of not less than: (a) 60 percent where the transaction value method is used; or (b) 50 percent where the net cost method is used.</w:t>
      </w:r>
    </w:p>
    <w:p>
      <w:pPr>
        <w:pStyle w:val="Normal"/>
      </w:pPr>
      <w:r>
        <w:t>8448.11-8448.19 A change to subheading 8448.11 through 8448.19 from any other heading; or A change to subheading 8448.11 through 8448.19 from subheading 8448.20 through 8448.59, whether or not there is also a change from any other heading, provided there is a regional value content of not less than: (a) 60 percent where the transaction value method is used; or (b) 50 percent where the net cost method is used. 8448.20-8448.59 A change to subheading 8448.20 through 8448.59 from any other heading. A change to heading 84.49 from any other heading.</w:t>
      </w:r>
    </w:p>
    <w:p>
      <w:pPr>
        <w:pStyle w:val="Normal"/>
      </w:pPr>
      <w:r>
        <w:t>8450.11-8450.20 A change to subheading 8450.11 through 8450.20 from any subheading outside that group, except from tariff item 8450.90.aa, 8450.90.bb, 8537.10.aa or washer assemblies incorporating more than one of the following: agitator, motor, transmission, clutch. 8450.90 8450.90.aa A change to tariff item 8450.90.aa from any other tariff item. 8450.90.bb A change to tariff item 8450.90.bb from any other tariff item. 8450.90 A change to subheading 8450.90 from any other heading. 8451.10 A change to subheading 8451.10 from any other heading; or A change to subheading 8451.10 from subheading 8451.90, whether or not there is also a change from any other heading, provided there is a regional value content of not less than: 4-B-108 (a) 60 percent where the transaction value method is used; or (b) 50 percent where the net cost method is used. 8451.21-8451.29 A change to subheading 8451.21 through 8451.29 from any subheading outside that group, except from tariff item 8451.90.aa or 8451.90.bb or subheading 8537.10.</w:t>
      </w:r>
    </w:p>
    <w:p>
      <w:pPr>
        <w:pStyle w:val="Normal"/>
      </w:pPr>
      <w:r>
        <w:t>8451.30-8451.80 A change to subheading 8451.30 through 8451.80 from any other heading; or A change to subheading 8451.30 through 8451.80 from subheading 8451.90, whether or not there is also a change from any other heading, provided there is a regional value content of not less than: (a) 60 percent where the transaction value method is used; or (b) 50 percent where the net cost method is used.</w:t>
      </w:r>
    </w:p>
    <w:p>
      <w:pPr>
        <w:pStyle w:val="Normal"/>
      </w:pPr>
      <w:r>
        <w:t>8451.90 8451.90.aa A change to tariff item 8451.90.aa from any other tariff item. 8451.90.bb A change to tariff item 8451.90.bb from any other tariff item. 8451.90 A change to subheading 8451.90 from any other heading. 8452.10-8452.30 A change to subheading 8452.10 through 8452.30 from any other heading; or A change to subheading 8452.10 through 8452.30 from subheading 8452.90, whether or not there is also a change from any other heading, provided there is a regional value content of not less than: (a) 60 percent where the transaction value method is used; or (b) 50 percent where the net cost method is used. 8452.90 A change to subheading 8452.90 from any other heading. 8453.10-8453.80 A change to subheading 8453.10 through 8453.80 from any other heading; or 4-B-109 A change to subheading 8453.10 through 8453.80 from subheading 8453.90, whether or not there is also a change from any other heading, provided there is a regional value content of not less than: (a) 60 percent where the transaction value method is used; or (b) 50 percent where the net cost method is used. 8453.90 A change to subheading 8453.90 from any other heading.</w:t>
      </w:r>
    </w:p>
    <w:p>
      <w:pPr>
        <w:pStyle w:val="Normal"/>
      </w:pPr>
      <w:r>
        <w:t>8454.10-8454.30 A change to subheading 8454.10 through 8454.30 from any other heading; or A change to subheading 8454.10 through 8454.30 from subheading 8454.90, whether or not there is also a change from any other heading, provided there is a regional value content of not less than: (a) 60 percent where the transaction value method; or (b) 50 percent where the net cost method is used. 8454.90 A change to subheading 8454.90 from any other heading. 8455.10-8455.22 A change to subheading 8455.10 through 8455.22 from any subheading outside that group, except from tariff item 8455.90.aa. 8455.30 A change to subheading 8455.30 from any other heading; or A change to subheading 8455.30 from subheading 8455.90, whether or not there is also a change from any other heading, provided there is a regional value content of not less than: (a) 60 percent where the transaction value method is used; or (b) 50 percent where the net cost method is used. 8455.90 A change to subheading 8455.90 from any other heading.</w:t>
      </w:r>
    </w:p>
    <w:p>
      <w:pPr>
        <w:pStyle w:val="Normal"/>
      </w:pPr>
      <w:r>
        <w:t>8456.10 A change to subheading 8456.10 from any other heading, except from more than one of the following: - tariff item 8466.93.aa, - subheading 8537.10, - subheading 9013.20. 4-B-110 84.57 8456.20-8456.30 A change to subheading 8456.20 through 8456.30 from any other heading, except from more than one of the following: - subheading 8413.50 through 8413.60, - tariff item 8466.93.aa, - subheading 8501.32 or 8501.52, - subheading 8537.10.</w:t>
      </w:r>
    </w:p>
    <w:p>
      <w:pPr>
        <w:pStyle w:val="Normal"/>
      </w:pPr>
      <w:r>
        <w:t>8456.90 A change to water-jet cutting machinery of subheading 8456.90 from any other good within that subheading, subheading 8456.10 through 8456.30 or any other heading, except from subheading 8466.93 or heading 84.79; A change to water-jet cutting machinery of subheading 8456.90 from subheading 8466.93, whether or not there is also a change from any other good within subheading 8456.90, subheading 8456.10 through 8456.30 or any other heading, except from heading 84.79, provided there is a regional value content of not less than: (a) 60 percent where the transaction value method is used, or (b) 50 percent where the net cost method is used; or A change to any other good of subheading 8456.90 from water-jet cutting machinery within that subheading or any other heading, except from more than one of the following: - subheading 8413.50 through 8413.60, - tariff item 8466.93.aa, - subheading 8501.32 or 8501.52, - subheading 8537.10.</w:t>
      </w:r>
    </w:p>
    <w:p>
      <w:pPr>
        <w:pStyle w:val="Normal"/>
      </w:pPr>
      <w:r>
        <w:t>A change to heading 84.57 from any other heading, except from heading 84.59 or more than one of the following: - subheading 8413.50 through 8413.60, - tariff item 8466.93.aa, - subheading 8501.32 or 8501.52, - subheading 8537.10. 8458.11 A change to subheading 8458.11 from any other heading, except from more than one of the following: - subheading 8413.50 through 8413.60, 4-B-111 - tariff item 8466.93.aa, - subheading 8501.32 or 8501.52, - subheading 8537.10.</w:t>
      </w:r>
    </w:p>
    <w:p>
      <w:pPr>
        <w:pStyle w:val="Normal"/>
      </w:pPr>
      <w:r>
        <w:t>8458.19 A change to subheading 8458.19 from any other heading, except from tariff item 8466.93.aa or subheading 8501.32 or 8501.52. 8458.91 A change to subheading 8458.91 from any other heading, except from more than one of the following: - subheading 8413.50 through 8413.60, - tariff item 8466.93.aa, - subheading 8501.32 or 8501.52, - subheading 8537.10. 8458.99 A change to subheading 8458.99 from any other heading, except from tariff item 8466.93.aa or subheading 8501.32 or 8501.52. 8459.10 A change to subheading 8459.10 from any other heading, except from tariff item 8466.93.aa or subheading 8501.32 or 8501.52.</w:t>
      </w:r>
    </w:p>
    <w:p>
      <w:pPr>
        <w:pStyle w:val="Normal"/>
      </w:pPr>
      <w:r>
        <w:t>8459.21 A change to subheading 8459.21 from any other heading, except from more than one of the following: - subheading 8413.50 through 8413.60, - tariff item 8466.93.aa, - subheading 8501.32 or 8501.52, - subheading 8537.10; or A change to subheading 8459.21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4-B-112 8459.29 A change to subheading 8459.29 from any other heading, except from tariff item 8466.93.aa or subheading 8501.32 or 8501.52.</w:t>
      </w:r>
    </w:p>
    <w:p>
      <w:pPr>
        <w:pStyle w:val="Normal"/>
      </w:pPr>
      <w:r>
        <w:t>8459.31 A change to subheading 8459.31 from any other heading, except from more than one of the following: - subheading 8413.50 through 8413.60, - tariff item 8466.93.aa, - subheading 8501.32 or 8501.52, - subheading 8537.10; or A change to subheading 8459.31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8459.39 A change to subheading 8459.39 from any other heading, except from tariff item 8466.93.aa or subheading 8501.32 or 8501.52.</w:t>
      </w:r>
    </w:p>
    <w:p>
      <w:pPr>
        <w:pStyle w:val="Normal"/>
      </w:pPr>
      <w:r>
        <w:t>8459.40-8459.51 A change to subheading 8459.40 through 8459.51 from any other heading, except from more than one of the following: - subheading 8413.50 through 8413.60, - tariff item 8466.93.aa, - subheading 8501.32 or 8501.52, - subheading 8537.10; or A change to subheading 8459.40 through 8459.51 from more than one of the following: - subheading 8413.50 through 8413.60, - tariff item 8466.93.aa, - subheading 8501.32 or 8501.52, or - subheading 8537.10, 4-B-113 whether or not there is also a change from any other heading, provided there is a regional value content of not less than: (a) 60 percent where the transaction value method is used; or (b) 50 percent where the net cost method is used.</w:t>
      </w:r>
    </w:p>
    <w:p>
      <w:pPr>
        <w:pStyle w:val="Normal"/>
      </w:pPr>
      <w:r>
        <w:t>8459.59 A change to subheading 8459.59 from any other heading, except from tariff item 8466.93.aa or subheading 8501.32 or 8501.52. 8459.61 A change to subheading 8459.61 from any other heading, except from more than one of the following: - subheading 8413.50 through 8413.60, - tariff item 8466.93.aa, - subheading 8501.32 or 8501.52, - subheading 8537.10; or A change to subheading 8459.61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8459.69 A change to subheading 8459.69 from any other heading, except from tariff item 8466.93.aa or subheading 8501.32 or 8501.52.</w:t>
      </w:r>
    </w:p>
    <w:p>
      <w:pPr>
        <w:pStyle w:val="Normal"/>
      </w:pPr>
      <w:r>
        <w:t>8459.70 8459.70.aa A change to tariff item 8459.70.aa from any other heading, except from more than one of the following: - subheading 8413.50 through 8413.60, - tariff item 8466.93.aa, - subheading 8501.32 or 8501.52, - subheading 8537.10; or 4-B-114 A change to tariff item 8459.70.aa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8459.70 A change to subheading 8459.70 from any other heading, except from tariff item 8466.93.aa or subheading 8501.32 or 8501.52. 8460.11 A change to subheading 8460.11 from any other heading, except from more than one of the following: - subheading 8413.50 through 8413.60, - tariff item 8466.93.aa, - subheading 8501.32 or 8501.52, - subheading 8537.10.</w:t>
      </w:r>
    </w:p>
    <w:p>
      <w:pPr>
        <w:pStyle w:val="Normal"/>
      </w:pPr>
      <w:r>
        <w:t>8460.19 A change to subheading 8460.19 from any other heading, except from tariff item 8466.93.aa or subheading 8501.32 or 8501.52. 8460.21 A change to subheading 8460.21 from any other heading, except from more than one of the following: - subheading 8413.50 through 8413.60, - tariff item 8466.93.aa, - subheading 8501.32 or 8501.52, - subheading 8537.10.</w:t>
      </w:r>
    </w:p>
    <w:p>
      <w:pPr>
        <w:pStyle w:val="Normal"/>
      </w:pPr>
      <w:r>
        <w:t>8460.29 A change to subheading 8460.29 from any other heading, except from tariff item 8466.93.aa or subheading 8501.32 or 8501.52. 8460.31 A change to subheading 8460.31 from any other heading, except from more than one of the following: - subheading 8413.50 through 8413.60, 4-B-115 - tariff item 8466.93.aa, - subheading 8501.32 or 8501.52, - subheading 8537.10. 8460.39 A change to subheading 8460.39 from any other heading, except from tariff item 8466.93.aa or subheading 8501.32 or 8501.52. 8460.40 8460.40.aa A change to tariff item 8460.40.aa from any other heading, except from more than one of the following: - subheading 8413.50 through 8413.60, - tariff item 8466.93.aa, - subheading 8501.32 or 8501.52, - subheading 8537.10. 8460.40 A change to subheading 8460.40 from any other heading, except from tariff item 8466.93.aa or subheading 8501.32 or 8501.52. 8460.90 8460.90.aa A change to tariff item 8460.90.aa from any other heading, except from more than one of the following: - subheading 8413.50 through 8413.60, - tariff item 8466.93.aa, - subheading 8501.32 or 8501.52, - subheading 8537.10.</w:t>
      </w:r>
    </w:p>
    <w:p>
      <w:pPr>
        <w:pStyle w:val="Normal"/>
      </w:pPr>
      <w:r>
        <w:t>8460.90 A change to subheading 8460.90 from any other heading, except from tariff item 8466.93.aa or subheading 8501.32 or 8501.52. 8461.20 8461.20.aa A change to tariff item 8461.20.aa from any other heading, except from more than one of the following: - subheading 8413.50 through 8413.60, - tariff item 8466.93.aa, - subheading 8501.32 or 8501.52, - subheading 8537.10.</w:t>
      </w:r>
    </w:p>
    <w:p>
      <w:pPr>
        <w:pStyle w:val="Normal"/>
      </w:pPr>
      <w:r>
        <w:t>4-B-116 8461.20 A change to subheading 8461.20 from any other heading, except from tariff item 8466.93.aa. 8461.30 8461.30.aa A change to tariff item 8461.30.aa from any other heading, except from more than one of the following: - subheading 8413.50 through 8413.60, - tariff item 8466.93.aa, - subheading 8501.32 or 8501.52, - subheading 8537.10. 8461.30 A change to subheading 8461.30 from any other heading, except from tariff item 8466.93.aa. 8461.40 A change to subheading 8461.40 from any other heading, except from tariff item 8466.93.aa. 8461.50 8461.50.aa A change to tariff item 8461.50.aa from any other heading, except from more than one of the following: - subheading 8413.50 through 8413.60, - tariff item 8466.93.aa, - subheading 8501.32 or 8501.52, - subheading 8537.10. 8461.50 A change to subheading 8461.50 from any other heading, except from tariff item 8466.93.aa. 8461.90 8461.90.aa A change to tariff item 8461.90.aa from any other heading, except from more than one of the following: - subheading 8413.50 through 8413.60, - tariff item 8466.93.aa, - subheading 8501.32 or 8501.52, - subheading 8537.10.</w:t>
      </w:r>
    </w:p>
    <w:p>
      <w:pPr>
        <w:pStyle w:val="Normal"/>
      </w:pPr>
      <w:r>
        <w:t>8461.90 A change to subheading 8461.90 from any other heading, except from tariff item 8466.93.aa. 4-B-117 8462.10 A change to subheading 8462.10 from any other heading, except from tariff item 8466.94.aa or 8483.50.aa.</w:t>
      </w:r>
    </w:p>
    <w:p>
      <w:pPr>
        <w:pStyle w:val="Normal"/>
      </w:pPr>
      <w:r>
        <w:t>8462.21 A change to subheading 8462.21 from any other heading, except from more than one of the following: - subheading 8413.50 through 8413.60, - tariff item 8466.94.aa, - tariff item 8483.50.aa, - subheading 8501.32 or 8501.52, - subheading 8537.10. 8462.29 A change to subheading 8462.29 from any other heading, except from tariff item 8466.94.aa or 8483.50.aa. 8462.31 A change to subheading 8462.31 from any other heading, except from more than one of the following: - subheading 8413.50 through 8413.60, - tariff item 8466.94.aa, - tariff item 8483.50.aa, - subheading 8501.32 or 8501.52, - subheading 8537.10. 8462.39 A change to subheading 8462.39 from any other heading, except from tariff item 8466.94.aa or 8483.50.aa. 8462.41 A change to subheading 8462.41 from any other heading, except from more than one of the following: - subheading 8413.50 through 8413.60, - tariff item 8466.94.aa, - tariff item 8483.50.aa, - subheading 8501.32 or 8501.52, - subheading 8537.10. 8462.49 A change to subheading 8462.49 from any other heading, except from tariff item 8466.94.aa or 8483.50.aa. 8462.91 A change to subheading 8462.91 from any other heading.</w:t>
      </w:r>
    </w:p>
    <w:p>
      <w:pPr>
        <w:pStyle w:val="Normal"/>
      </w:pPr>
      <w:r>
        <w:t>8462.99 4-B-118 8462.99.aa A change to tariff item 8462.99.aa from any other heading, except from more than one of the following: - subheading 8413.50 through 8413.60, - tariff item 8466.94.aa, - tariff item 8483.50.aa, - subheading 8501.32 or 8501.52, - subheading 8537.10.</w:t>
      </w:r>
    </w:p>
    <w:p>
      <w:pPr>
        <w:pStyle w:val="Normal"/>
      </w:pPr>
      <w:r>
        <w:t>8462.99 A change to subheading 8462.99 from any other heading, except from tariff item 8466.94.aa or 8483.50.aa. 84.63 A change to heading 84.63 from any other heading, except from tariff item 8466.94.aa or 8483.50.aa or subheading 8501.32 or 8501.52. 84.64 A change to heading 84.64 from any other heading, except from subheading 8466.91; or A change to heading 84.64 from subheading 8466.91, whether or not there is also a change from any other heading, provided there is a regional value content of not less than: (a) 60 percent where the transaction value method is used; or (b) 50 percent where the net cost method is used. 84.65 A change to heading 84.65 from any other heading, except from subheading 8466.92; or A change to heading 84.65 from subheading 8466.92, whether or not there is also a change from any other heading, provided there is a regional value content of not less than: (a) 60 percent where the transaction value method is used; or (b) 50 percent where the net cost method is used.</w:t>
      </w:r>
    </w:p>
    <w:p>
      <w:pPr>
        <w:pStyle w:val="Normal"/>
      </w:pPr>
      <w:r>
        <w:t>84.66 A change to heading 84.66 from any other subheading; or No required change in tariff classification to heading 84.66 provided there is a regional value content of not less than: (a) 60 percent where the transaction value method is used; or 4-B-119 (b) 50 percent where the net cost method is used.</w:t>
      </w:r>
    </w:p>
    <w:p>
      <w:pPr>
        <w:pStyle w:val="Normal"/>
      </w:pPr>
      <w:r>
        <w:t>8467.11-8467.19 A change to subheading 8467.11 through 8467.19 from any other heading; or A change to subheading 8467.11 through 8467.19 from subheading 8467.91 or 8467.92, whether or not there is also a change from any other heading, provided there is a regional value content of not less than: (a) 60 percent where the transaction value method is used; or (b) 50 percent where the net cost method is used. 8467.21-8467.29 A change to subheading 8467.21 through 8467.29 from any subheading outside that group, except from housings of subheading 8467.91 or 8467.99 or heading 85.01; or A change to subheading 8467.21 through 8467.29 from housings of subheading 8467.91 or 8467.99 or heading 85.01, whether or not there is also a change from any subheading outside that group, provided there is a regional value content of not less than: (a) 60 percent where the transaction value method is used; or (b) 50 percent where the net cost method is used.</w:t>
      </w:r>
    </w:p>
    <w:p>
      <w:pPr>
        <w:pStyle w:val="Normal"/>
      </w:pPr>
      <w:r>
        <w:t>8467.81-8467.89 A change to subheading 8467.81 through 8467.89 from any other heading; or A change to subheading 8467.81 through 8467.89 from subheading 8467.91 or 8467.99, whether or not there is also a change from any other heading, provided there is a regional value content of not less than: (a) 60 percent where the transaction value method is used; or (b) 50 percent where the net cost method is used. 8467.91-8467.99 A change to subheading 8467.91 through 8467.99 from any other heading.</w:t>
      </w:r>
    </w:p>
    <w:p>
      <w:pPr>
        <w:pStyle w:val="Normal"/>
      </w:pPr>
      <w:r>
        <w:t>8468.10-8468.80 A change to subheading 8468.10 through 8468.80 from any other heading; or 4-B-120 A change to subheading 8468.10 through 8468.80 from subheading 8468.90, whether or not there is also a change from any other heading, provided there is a regional value content of not less than: (a) 60 percent where the transaction value method is used; or (b) 50 percent where the net cost method is used. 8468.90 A change to subheading 8468.90 from any other heading. 84.69 A change to word-processing machines of heading 84.69 from any other heading, except from heading 84.73; or A change to word-processing machines of heading 84.69 from heading 84.73, whether or not there is also a change from any other heading, provided there is a regional value content of not less than 50 percent under the net cost method;</w:t>
      </w:r>
    </w:p>
    <w:p>
      <w:pPr>
        <w:pStyle w:val="Normal"/>
      </w:pPr>
      <w:r>
        <w:t>A change to any other good of heading 84.69 from any other heading, except from heading 84.73; or A change to any other good of heading 84.69 from heading 84.73, whether or not there is also a change from any other heading, provided there is a regional value content of not less than: (a) 60 percent where the transaction value method is used; or (b) 50 percent where the net cost method is used.</w:t>
      </w:r>
    </w:p>
    <w:p>
      <w:pPr>
        <w:pStyle w:val="Normal"/>
      </w:pPr>
      <w:r>
        <w:t>84.70 A change to heading 84.70 from any other heading, except from heading 84.73; or A change to heading 84.70 from heading 84.73, whether or not there is also a change from any other heading, provided there is a regional value content of not less than: (a) 60 percent where the transaction value method is used; or (b) 50 percent where the net cost method is used. 8471.30 A change to a good of subheading 8471.30 from any other good within that subheading or any other subheading, except from subheading 8471.41 through 8471.50. 4-B-121 8471.41 A change to a good of subheading 8471.41 from any other good within that subheading or any other subheading, except from subheading 8471.30 or 8471.49 through 8471.50. 8471.49 Note: The origin of each unit presented within a system shall be determined as though each unit were presented separately and were classified under the appropriate tariff provision for that unit.</w:t>
      </w:r>
    </w:p>
    <w:p>
      <w:pPr>
        <w:pStyle w:val="Normal"/>
      </w:pPr>
      <w:r>
        <w:t>8471.50 A change to analogue or hybrid automatic data processing machines of subheading 8471.50 from any other heading, except from heading 84.73; or A change to analogue or hybrid automatic data processing machines of subheading 8471.50 from heading 84.73, whether or not there is also a change from any other heading, provided there is a regional value content of not less than: (a) 60 percent where the transaction value method is used; or (b) 50 percent where the net cost method is used; or A change to any other good of subheading 8471.50 from analogue or hybrid automatic data processing machines of subheading 8471.50 or any other subheading, except from subheading 8471.30 through 8471.49. 8471.60 A change to subheading 8471.60 from any other subheading, except from subheading 8471.49. 8471.70 A change to subheading 8471.70 from any other subheading, except from subheading 8471.49. 8471.80 8471.80.aa A change to tariff item 8471.80.aa from any other tariff item, except from subheading 8471.49. 8471.80.cc A change to tariff item 8471.80.cc from any other tariff item, except from subheading 8471.49.</w:t>
      </w:r>
    </w:p>
    <w:p>
      <w:pPr>
        <w:pStyle w:val="Normal"/>
      </w:pPr>
      <w:r>
        <w:t>8471.80 A change to any other tariff item within subheading 8471.80 from tariff item 8471.80.aa or 8471.80.cc or any other subheading, except from subheading 8471.49. 4-B-122 84.72 8471.90 A change to subheading 8471.90 from any other subheading.</w:t>
      </w:r>
    </w:p>
    <w:p>
      <w:pPr>
        <w:pStyle w:val="Normal"/>
      </w:pPr>
      <w:r>
        <w:t>A change to heading 84.72 from any other heading, except from heading 84.73; or A change to heading 84.72 from heading 84.73, whether or not there is also a change from any other heading, provided there is a regional value content of not less than: (a) 60 percent where the transaction value method is used; or (b) 50 percent where the net cost method is used. 8473.10 8473.10.aa A change to tariff item 8473.10.aa from any other heading. 8473.10.bb A change to tariff item 8473.10.bb from any other heading; or No required change in tariff classification to tariff item 8473.10.bb, provided there is a regional value content of not less than: (a) 60 percent where the transaction value method is used; or (b) 50 percent where the net cost method is used. 8473.10 A change to subheading 8473.10 from any other heading. 8473.21 A change to subheading 8473.21 from any other heading; or No required change in tariff classification to subheading 8473.21, provided there is a regional value content of not less than:</w:t>
      </w:r>
    </w:p>
    <w:p>
      <w:pPr>
        <w:pStyle w:val="Normal"/>
      </w:pPr>
      <w:r>
        <w:t>(a) 60 percent where the transaction value method is used; or (b) 50 percent where the net cost method is used. 8473.29 A change to subheading 8473.29 from any other heading; or No required change in tariff classification to subheading 8473.29, provided there is a regional value content of not less than: (a) 60 percent where the transaction value method is used; or 4-B-123 (b) 50 percent where the net cost method is used.</w:t>
      </w:r>
    </w:p>
    <w:p>
      <w:pPr>
        <w:pStyle w:val="Normal"/>
      </w:pPr>
      <w:r>
        <w:t>8473.30 8473.30.aa A change to tariff item 8473.30.aa from any other tariff item. 8473.30.bb A change to tariff item 8473.30.bb from any other tariff item. 8473.30 A change to subheading 8473.30 from any other heading; or No required change in tariff classification to subheading 8473.30, provided there is a regional value content of not less than: (a) 60 percent where the transaction value method is used; or (b) 50 percent where the net cost method is used. 8473.40 A change to subheading 8473.40 from any other heading; or No required change in tariff classification to subheading 8473.40, provided there is a regional value content of not less than: (a) 60 percent where the transaction value method is used; or (b) 50 percent where the net cost method is used. 8473.50 8473.50.aa A change to tariff item 8473.50.aa from any other tariff item. 8473.50.bb A change to tariff item 8473.50.bb from any other tariff item. 8473.50 Note: The alternative rule which contains a regional value content requirement does not apply to a part or accessory provided for in subheading 8473.50 if that part or accessory is used in the production of a good provided for in subheading 8469.11 or heading 84.71.</w:t>
      </w:r>
    </w:p>
    <w:p>
      <w:pPr>
        <w:pStyle w:val="Normal"/>
      </w:pPr>
      <w:r>
        <w:t>A change to subheading 8473.50 from any other heading; or No required change in tariff classification to subheading 8473.50, provided there is a regional value content of not less than: 4-B-124 (a) 60 percent where the transaction value method is used; or (b) 50 percent where the net cost method is used. 8474.10-8474.80 A change to subheading 8474.10 through 8474.80 from any other heading; or A change to subheading 8474.10 through 8474.80 from subheading 8474.90, whether or not there is also a change from any other heading, provided there is a regional value content of not less than: (a) 60 percent where the transaction value method is used; or (b) 50 percent where the net cost method is used. 8474.90 A change to subheading 8474.90 from any other heading; or No required change in tariff classification to subheading 8474.90, provided there is a regional value content of not less than: (a) 60 percent where the transaction value method is used; or (b) 50 percent where the net cost method is used.</w:t>
      </w:r>
    </w:p>
    <w:p>
      <w:pPr>
        <w:pStyle w:val="Normal"/>
      </w:pPr>
      <w:r>
        <w:t>8475.10-8475.29 A change to subheading 8475.10 through 8475.29 from any other heading; or A change to subheading 8475.10 through 8475.29 from subheading 8475.90, whether or not there is also a change from any other heading, provided there is a regional value content of not less than: (a) 60 percent where the transaction value method is used; or (b) 50 percent where the net cost method is used. 8475.90 A change to subheading 8475.90 from any other heading.</w:t>
      </w:r>
    </w:p>
    <w:p>
      <w:pPr>
        <w:pStyle w:val="Normal"/>
      </w:pPr>
      <w:r>
        <w:t>8476.21-8476.89 A change to subheading 8476.21 through 8476.89 from any other heading; or A change to subheading 8476.21 through 8476.89 from subheading 8476.90, whether or not there is also a change from any other heading, provided there is a regional value content of not less than: 4-B-125 (a) 60 percent where the transaction value method is used; or (b) 50 percent where the net cost method is used. 8476.90 A change to subheading 8476.90 from any other heading. 8477.10 A change to subheading 8477.10 from any other subheading, except from tariff item 8477.90.aa or more than one of the following: - tariff item 8477.90.bb, - subheading 8537.10. 8477.20 A change to subheading 8477.20 from any other subheading, except from tariff item 8477.90.aa or more than one of the following: - tariff item 8477.90.bb, - subheading 8537.10. 8477.30 A change to subheading 8477.30 from any other subheading, except from tariff item 8477.90.aa or more than one of the following: - tariff item 8477.90.cc, - subheading 8537.10.</w:t>
      </w:r>
    </w:p>
    <w:p>
      <w:pPr>
        <w:pStyle w:val="Normal"/>
      </w:pPr>
      <w:r>
        <w:t>8477.40-8477.80 A change to subheading 8477.40 through 8477.80 from any other heading; or A change to subheading 8477.40 through 8477.80 from subheading 8477.90, whether or not there is also a change from any other heading, provided there is a regional value content of not less than: (a) 60 percent where the transaction value method is used; or (b) 50 percent where the net cost method is used. 8477.90 A change to subheading 8477.90 from any other heading.</w:t>
      </w:r>
    </w:p>
    <w:p>
      <w:pPr>
        <w:pStyle w:val="Normal"/>
      </w:pPr>
      <w:r>
        <w:t>8478.10 A change to subheading 8478.10 from any other heading; or A change to subheading 8478.10 from subheading 8478.90, whether or not there is also a change from any other heading, provided there is a regional value content of not less than: 4-B-126 (a) 60 percent where the transaction value method is used; or (b) 50 percent where the net cost method is used. 8478.90 A change to subheading 8478.90 from any other heading. 8479.10-8479.82 A change to subheading 8479.10 through 8479.82 from any other subheading, including another subheading within that group. 8479.8924 A change to trash compactors of subheading 8479.89 from any other good within that subheading or any other subheading; or A change to any other good of subheading 8479.89 from any other subheading. 8479.90 8479.90.aa A change to tariff item 8479.90.aa from any other tariff item. 8479.90.bb A change to tariff item 8479.90.bb from any other tariff item. 8479.90.cc A change to tariff item 8479.90.cc from any other tariff item. 8479.90.dd A change to tariff item 8479.90.dd from any other tariff item. 8479.90 A change to subheading 8479.90 from any other heading. 84.80 A change to heading 84.80 from any other heading.</w:t>
      </w:r>
    </w:p>
    <w:p>
      <w:pPr>
        <w:pStyle w:val="Normal"/>
      </w:pPr>
      <w:r>
        <w:t>8481.10-8481.3025 A change to subheading 8481.10 through 8481.30 from any other heading; or A change to subheading 8481.10 through 8481.30 from subheading 8481.90, whether or not there is also a change from any other heading, provided there is a regional value content of not less than: (a) 60 percent where the transaction value method is used or (b) 50 percent where the net cost method is used. 24 If the good is for use in a vehicle of Chapter 87, the provisions of the Appendix to this Annex apply. 25 If the good is for use in a vehicle of Chapter 87, the provisions of the Appendix to this Annex apply. 4-B-127 8481.40-8481.8026 A change to subheading 8481.40 through 8481.80 from any other heading; or A change to subheading 8481.40 through 8481.80 from subheading 8481.90, whether or not there is also a change from any other heading, provided there is a regional value content of not less than: (a) 45 percent where the transaction value method is used; or (b) 35 percent where the net cost method is used. 8481.90 A change to subheading 8481.90 from any other heading.</w:t>
      </w:r>
    </w:p>
    <w:p>
      <w:pPr>
        <w:pStyle w:val="Normal"/>
      </w:pPr>
      <w:r>
        <w:t>8482.10-8482.8027 A change to subheading 8482.10 through 8482.80 from any subheading outside that group, except from tariff item 8482.99.aa; or A change to subheading 8482.10 through 8482.80 from tariff item 8482.99.aa, whether or not there is also a change from any subheading outside that group, provided there is a regional value content of not less than: (a) 60 percent where the transaction value method is used; or (b) 50 percent where the net cost method is used. 8482.91-8482.99 A change to subheading 8482.91 through 8482.99 from any other heading. 8483.1028 A change to subheading 8483.10 from any other heading; or A change to subheading 8483.10 from subheading 8483.90, whether or not there is also a change from any other heading, provided there is a regional value content of not less than: (a) 60 percent where the transaction value method is used; or 26 If the good is for use in a vehicle of Chapter 87, the provisions of the Appendix to this Annex apply.</w:t>
      </w:r>
    </w:p>
    <w:p>
      <w:pPr>
        <w:pStyle w:val="Normal"/>
      </w:pPr>
      <w:r>
        <w:t>27 If the good is for use in a vehicle of Chapter 87, the provisions of the Appendix to this Annex apply. 28 If the good is for use in a vehicle of Chapter 87, the provisions of the Appendix to this Annex apply. 4-B-128 (b) 50 percent where the net cost method is used.</w:t>
      </w:r>
    </w:p>
    <w:p>
      <w:pPr>
        <w:pStyle w:val="Normal"/>
      </w:pPr>
      <w:r>
        <w:t>8483.2029 A change to subheading 8483.20 from any other subheading, except from subheading 8482.10 through 8482.80, tariff item 8482.99.aa, or subheading 8483.90; or A change to subheading 8483.20 from subheading 8482.10 through 8482.80, tariff item 8482.99.aa or subheading 8483.90, whether or not there is also a change from any other subheading, provided there is a regional value content of not less than: (a) 60 percent where the transaction value method is used; or (b) 50 percent where the net cost method is used. 8483.3030 A change to subheading 8483.30 from any other heading; or A change to subheading 8483.30 from subheading 8483.90, whether or not there is also a change from any other heading, provided there is a regional value content of not less than: (a) 60 percent where the transaction value method is used; or (b) 50 percent where the net cost method is used. 8483.40 -8483.9031 A change to subheading 8483.40 through 8483.90 from any other subheading, including another subheading within that group. 84.84 A change to heading 84.84 from any other heading.</w:t>
      </w:r>
    </w:p>
    <w:p>
      <w:pPr>
        <w:pStyle w:val="Normal"/>
      </w:pPr>
      <w:r>
        <w:t>8486.10-8486.90 A change to a good of any of subheading 8486.10 through 8486.90 from any other good within that subheading or any other subheading, including another subheading within that group. 84.87 A change to heading 84.87 from any other heading. 29 If the good is for use in a vehicle of Chapter 87, the provisions of the Appendix to this Annex apply.</w:t>
      </w:r>
    </w:p>
    <w:p>
      <w:pPr>
        <w:pStyle w:val="Normal"/>
      </w:pPr>
      <w:r>
        <w:t>30 If the good is for use in a vehicle of Chapter 87, the provisions of the Appendix to this Annex apply. 31 If the good is for use in a vehicle of Chapter 87, the provisions of the Appendix to this Annex apply. 4-B-129 Chapter 85 Electrical Machinery and Equipment and Parts Thereof; Sound Recorders and Reproducers, Television Image and Sound Recorders and Reproducers, and Parts and Accessories of Such Articles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integrated circuits of heading 85.42, and microassemblies of heading 85.43 or 85.48. Note 2: For purposes of this Chapter: (a) references to “high definition” as it applies to television receivers and cathode-ray tubes refers to goods having:</w:t>
      </w:r>
    </w:p>
    <w:p>
      <w:pPr>
        <w:pStyle w:val="Normal"/>
      </w:pPr>
      <w:r>
        <w:t>(i) an aspect ratio of the screen equal to or greater than 16:9, and (ii) (ii) a viewing screen capable of displaying more than 700 scanning lines; and (b) the video display diagonal is determined by measuring the maximum straight line dimension across the visible portion of the face plate used for displaying video.</w:t>
      </w:r>
    </w:p>
    <w:p>
      <w:pPr>
        <w:pStyle w:val="Normal"/>
      </w:pPr>
      <w:r>
        <w:t>Note 3: Tariff item 8529.90.cc covers the following parts of television receivers, video monitors, and video projectors: (a) Video intermediate (IF) amplifying and detecting systems; (b) Video processing and amplification systems; (c) Synchronizing and deflection circuitry; (d) Tuners and tuner control systems; and (e) Audio detection and amplification systems. Note 4: For the purposes of tariff item 8540.91.aa, the term “front panel assembly” refers to:</w:t>
      </w:r>
    </w:p>
    <w:p>
      <w:pPr>
        <w:pStyle w:val="Normal"/>
      </w:pPr>
      <w:r>
        <w:t>(a) with respect to a monochrome cathode-ray television picture tube, video monitor tube or video projector tube, an assembly which 4-B-130 consists of either a glass panel or a glass envelope, which is suitable for incorporation into a monochrome cathode-ray television picture tube, video monitor tube or video projector tube and which has undergone the necessary chemical and physical processes for imprinting phosphors on the glass panel or glass envelope with sufficient precision to render a video image when excited by a stream of electrons; or (b) with respect to a color cathode-ray television picture tube, video monitor tube or video projector tube, an assembly which consists of a glass panel and a shadow mask or aperture grille, attached for ultimate use, which is suitable for incorporation into a color cathode-ray television picture tube, video monitor tube or video projector tube and which has undergone the necessary chemical and physical processes for imprinting phosphors on the glass panel with sufficient precision</w:t>
      </w:r>
    </w:p>
    <w:p>
      <w:pPr>
        <w:pStyle w:val="Normal"/>
      </w:pPr>
      <w:r>
        <w:t>to render a video image when excited by a stream of electrons. Note 5: The origin of a television combination unit shall be determined in accordance with the rule that would be applicable to such unit if it were solely a television receiver. 85.0132 A change to heading 85.01 from any other heading, except from tariff item 8503.00.aa; or A change to heading 85.01 from tariff item 8503.00.aa, whether or not there is also a change from any other heading, provided there is a regional value content of not less than: (a) 60 percent where the transaction value method is used; or (b) 50 percent where the net cost method is used. 85.02 A change to heading 85.02 from any other heading, except from heading 84.06, 84.11, 85.01 or 85.03; or A change to heading 85.02 from heading 84.06, 84.11, 85.01 or 85.03, whether or not there is also a change from any other heading, provided there is a regional value content of not less than:</w:t>
      </w:r>
    </w:p>
    <w:p>
      <w:pPr>
        <w:pStyle w:val="Normal"/>
      </w:pPr>
      <w:r>
        <w:t>(a) 60 percent where the transaction value method is used; or 32 If the good is for use in a vehicle of Chapter 87, the provisions of the Appendix to this Annex apply. 4-B-131 85.03 (b) 50 percent where the net cost method is used. A change to heading 85.03 from any other heading. 8504.10 A change to subheading 8504.10 from any other subheading.</w:t>
      </w:r>
    </w:p>
    <w:p>
      <w:pPr>
        <w:pStyle w:val="Normal"/>
      </w:pPr>
      <w:r>
        <w:t>8504.21-8504.34 Note: Beginning on the date of entry into force of the Agreement until January 1 2025 or five years after entry into force of this Agreement, whichever is later, the following rules of origin shall apply to subheading 8504.21 through 8504.34: A change to subheading 8504.21 through 8504.34 from any other heading; or A change to subheading 8504.21 through 8504.34 from subheading 8504.90, whether or not there is also a change from any other heading, provided there is a regional value content of not less than: (a) 60 percent where the transaction value method is used; or (b) 50 percent where the net cost method is used. Note: Beginning on January 1, 2025 or five years after entry into force of this Agreement, whichever is later, and thereafter, the following rules of origin shall apply to subheading 8504.21 through 8504.34:</w:t>
      </w:r>
    </w:p>
    <w:p>
      <w:pPr>
        <w:pStyle w:val="Normal"/>
      </w:pPr>
      <w:r>
        <w:t>A change to subheading 8504.21 through 8504.34 from any other heading, except from heading 72.25, 72.26 or 73.26; or No required change in tariff classification to subheading 8504.21 through 8504.34, provided there is a regional value content of not less than: (a) 65 percent where the transaction value method is used; or (b) 55 percent where the net cost method is used. 8504.40 4-B-132 8504.40.aa A change to tariff item 8504.40.aa from any other subheading, except from subheading 8471.49. 8504.40.bb A change to tariff item 8504.40.bb from any other subheading. 8504.40 A change to subheading 8504.40 from any other subheading.</w:t>
      </w:r>
    </w:p>
    <w:p>
      <w:pPr>
        <w:pStyle w:val="Normal"/>
      </w:pPr>
      <w:r>
        <w:t>8504.50 A change to subheading 8504.50 from any other heading; or A change to subheading 8504.50 from subheading 8504.90, whether or not there is also a change from any other heading, provided there is a regional value content of not less than: (a) 60 percent where the transaction value method is used; or (b) 50 percent where the net cost method is used. 8504.90 8504.90.aa A change to tariff item 8504.90.aa from any other tariff item. 8504.90.bb A change to tariff item 8504.90.bb from any other tariff item. 8504.90 Note: Beginning on the date of entry into force of the Agreement, whichever is later, until January 1 2025 or five years after entry into force of this Agreement, whichever is later, the following rules of origin shall apply to subheading 8504.90: A change to subheading 8504.90 from any other heading; or No required change in tariff classification to subheading 8504.90, provided there is a regional value content of not less than: (a) 60 percent where the transaction value method is used; or (b) 50 percent where the net cost method is used.</w:t>
      </w:r>
    </w:p>
    <w:p>
      <w:pPr>
        <w:pStyle w:val="Normal"/>
      </w:pPr>
      <w:r>
        <w:t>Note: Beginning on January 1, 2025 or five years after entry into force of this Agreement, whichever is later, and thereafter, the following rules of origin shall apply to subheading 8504.90: A change to subheading 8504.90 from any other heading, except from heading 72.25, 72.26 or 73.26; or 4-B-133 No required change in tariff classification to subheading 8504.90, provided there is a regional value content of not less than: (a) 65 percent where the transaction value method is used; or (b) 55 percent where the net cost method is used. 8505.11-8505.2033 A change to subheading 8505.11 through 8505.20 from any other heading; or A change to subheading 8505.11 through 8505.20 from subheading 8505.90, whether or not there is also a change from any other heading, provided there is a regional value content of not less than: (a) 60 percent where the transaction value method is used; or (b) 50 percent where the net cost method is used.</w:t>
      </w:r>
    </w:p>
    <w:p>
      <w:pPr>
        <w:pStyle w:val="Normal"/>
      </w:pPr>
      <w:r>
        <w:t>8505.9034 A change to subheading 8505.90 from any other heading; or No required change in tariff classification to subheading 8505.90, provided there is a regional value content of not less than: (a) 60 percent where the transaction value method is used; or (b) 50 percent where the net cost method is used. 8506.10-8506.40 A change to subheading 8506.10 through 8506.40 from any other subheading, including another subheading within that group. 8506.50-8506.80 A change to subheading 8506.50 through 8506.80 from any subheading outside that group.</w:t>
      </w:r>
    </w:p>
    <w:p>
      <w:pPr>
        <w:pStyle w:val="Normal"/>
      </w:pPr>
      <w:r>
        <w:t>8506.90 A change to a good of subheading 8506.90 from within that subheading or any other subheading. 8507.10-8507.5035 A change to subheading 8507.10 through 8507.50 from any other heading, except from tariff item 8548.10.aa, or 33 If the good is for use in a vehicle of Chapter 87, the provisions of the Appendix to this Annex apply. 34 If the good is for use in a vehicle of Chapter 87, the provisions of the Appendix to this Annex apply. 4-B-134 A change to subheading 8507.10 through 8507.50 from subheading 8507.90, whether or not there is also a change from any other heading, except from tariff item 8548.10.aa, provided there is a regional value content of not less than: (a) 60 percent where the transaction value method is used; or (b) 50 percent where the net cost method is used. 8507.6036 A change to a battery of subheading 8507.60, of a kind used as the primary source of electrical power for the propulsion of an electric passenger vehicle or light truck from any other subheading, excluding battery cells of 8507.90;</w:t>
      </w:r>
    </w:p>
    <w:p>
      <w:pPr>
        <w:pStyle w:val="Normal"/>
      </w:pPr>
      <w:r>
        <w:t>No required change in tariff classification a battery of subheading 8507.60, used as the primary source of electrical power for the propulsion of an electric passenger vehicle or light truck provided that the regional value content is (a) 85 percent where the transaction value method is used; or (b) 75 percent where the net cost method is used; A change to any other good of subheading 8507.60 from any other heading; or A change to any other good of subheading</w:t>
      </w:r>
    </w:p>
    <w:p>
      <w:pPr>
        <w:pStyle w:val="Normal"/>
      </w:pPr>
      <w:r>
        <w:t>8507.60 from subheading 8507.90, whether or not there is also a change from any other heading, provided there is a regional value content of not less than: (a) 60 percent where the transaction value method is used; or (b) 50 percent where the net cost method is used 8507.8037 A change to subheading 8507.80 from any other heading, except from tariff item 8548.10.aa; or 35 If the good is for use in a vehicle of Chapter 87, the provisions of the Appendix to this Annex apply. 36 If the good is for use in vehicle of Chapter 87, the provisions of the Appendix to this Annex apply. 37 If the good is for use in a vehicle of Chapter 87, the provisions of the Appendix to this Annex apply. 4-B-135 A change to subheading 8507.80 from subheading 8507.90, whether or not there is also a change from any other heading, except from tariff item 8548.10.aa, provided there is a regional value content of not less than:</w:t>
      </w:r>
    </w:p>
    <w:p>
      <w:pPr>
        <w:pStyle w:val="Normal"/>
      </w:pPr>
      <w:r>
        <w:t>(a) 60 percent where the transaction value method is used, or (b) 50 percent where the net cost method is used. 8507.90 A change to subheading 8507.90 from any other heading, except from tariff item 8548.10.aa; or No required change in tariff classification to subheading 8507.90, provided there is a regional value content of not less than: (a) 60 percent where the transaction value method is used; or (b) 50 percent where the net cost method is used.</w:t>
      </w:r>
    </w:p>
    <w:p>
      <w:pPr>
        <w:pStyle w:val="Normal"/>
      </w:pPr>
      <w:r>
        <w:t>8508.11 A change to subheading 8508.11 from any other subheading, except from heading 85.01, subheading 8508.19 or housings of subheading 8508.70; or A change to subheading 8508.11 from heading 85.01, subheading 8508.19 or housings of subheading 8508.70, whether or not there is also a change from any other subheading, provided there is a regional value content of not less than: (a) 60 percent where the transaction value method is used; or (b) 50 percent where the net cost method is used. 8508.19 A change to domestic vacuum cleaners of subheading 8508.19 from any other subheading, except from heading 85.01, subheading 8508.11 or housings of subheading 8508.70; A change to domestic vacuum cleaners of subheading 8508.19 from heading 85.01, subheading 8508.11 or housings of subheading 8508.70, whether or not there is also a change from any other subheading, provided there is a regional value content of not less than: (a) 60 percent where the transaction value method is used; or (b) 50 percent where the net cost method is used;</w:t>
      </w:r>
    </w:p>
    <w:p>
      <w:pPr>
        <w:pStyle w:val="Normal"/>
      </w:pPr>
      <w:r>
        <w:t>4-B-136 A change to any other good of subheading 8508.19 from any other heading, except from heading 84.79; or A change to any other good of subheading 8508.19 from subheading 8508.70, whether or not there is also a change from any other heading, except from heading 84.79, provided there is a regional value content of not less than: (a) 60 percent where the transaction value method is used; or (b) 50 percent where the net cost method is used.</w:t>
      </w:r>
    </w:p>
    <w:p>
      <w:pPr>
        <w:pStyle w:val="Normal"/>
      </w:pPr>
      <w:r>
        <w:t>8508.60 A change to subheading 8508.60 from any other heading, except from heading 84.79; or A change to subheading 8508.60 from subheading 8508.70, whether or not there is also a change from any other heading, except from heading 84.79, provided there is a regional value content of not less than: (a) 60 percent where the transaction value method is used; or (b) 50 percent where the net cost method is used. 8508.70 A change to parts of domestic vacuum cleaners of subheading 8508.70 from any other heading, except from heading 85.09; No required change in tariff classification to parts of domestic vacuum cleaners of subheading 8508.70, provided there is a regional value content of not less than: (a) 60 percent where the transaction value method is used; or (b) 50 percent where the net cost method is used; or A change to any other good of subheading 8508.70 from parts of domestic vacuum cleaners of subheading 8508.70 or any other heading, except from heading 84.79. 8509.40 A change to subheading 8509.40 from any other subheading.</w:t>
      </w:r>
    </w:p>
    <w:p>
      <w:pPr>
        <w:pStyle w:val="Normal"/>
      </w:pPr>
      <w:r>
        <w:t>8509.80 A change to a good of subheading 8509.80 from any other good within that subheading or any other subheading. 8509.90 A change to subheading 8509.90 from any other heading; or 4-B-137 No required change in tariff classification to subheading 8509.90, provided there is a regional value content of not less than: (a) 60 percent where the transaction value method is used; or (b) 50 percent where the net cost method is used.</w:t>
      </w:r>
    </w:p>
    <w:p>
      <w:pPr>
        <w:pStyle w:val="Normal"/>
      </w:pPr>
      <w:r>
        <w:t>8510.10-8510.30 A change to subheading 8510.10 through 8510.30 from any other heading; or A change to subheading 8510.10 through 8510.30 from subheading 8510.90, whether or not there is also a change from any other heading, provided there is a regional value content of not less than: (a) 60 percent where the transaction value method is used; or (b) 50 percent where the net cost method is used. 8510.90 A change to subheading 8510.90 from any other heading. 8511.10-8511.8038 A change to subheading 8511.10 through 8511.80 from any other subheading, including another subheading within that group. 8511.9039 A change to subheading 8511.90 from any other heading; or No required change in tariff classification to subheading 8511.90, provided there is a regional value content of not less than: (a) 60 percent where the transaction value method is used; or (b) 50 percent where the net cost method is used.</w:t>
      </w:r>
    </w:p>
    <w:p>
      <w:pPr>
        <w:pStyle w:val="Normal"/>
      </w:pPr>
      <w:r>
        <w:t>8512.10-8512.4040 A change to subheading 8512.10 through 8512.40 from any other heading; or 38 If the good is for use in a vehicle of Chapter 87, the provisions of the Appendix to this Annex apply. 39 If the good is for use in a vehicle of Chapter 87, the provisions of the Appendix to this Annex apply. 40 If the good is for use in a vehicle of Chapter 87, the provisions of the Appendix to this Annex apply.</w:t>
      </w:r>
    </w:p>
    <w:p>
      <w:pPr>
        <w:pStyle w:val="Normal"/>
      </w:pPr>
      <w:r>
        <w:t>4-B-138 A change to subheading 8512.10 through 8512.40 from subheading 8512.90, whether or not there is also a change from any other heading, provided there is also a regional value content of not less than: (a) 60 percent where the transaction value method is used; or (b) 50 percent where the net cost method is used. 8512.90 A change to subheading 8512.90 from any other heading. 8513.10 A change to subheading 8513.10 from any other heading; or A change to subheading 8513.10 from subheading 8513.90, whether or not there is also a change from any other heading, provided there is a regional value content of not less than: (a) 60 percent where the transaction value method is used; or (b) 50 percent where the net cost method is used. 8513.90 A change to subheading 8513.90 from any other heading. 8514.10-8514.30 A change to subheading 8514.10 through 8514.30 from any other subheading, including another subheading within that group.</w:t>
      </w:r>
    </w:p>
    <w:p>
      <w:pPr>
        <w:pStyle w:val="Normal"/>
      </w:pPr>
      <w:r>
        <w:t>8514.40 A change to subheading 8514.40 from any other heading; or A change to subheading 8514.40 from subheading 8514.90, whether or not there is also a change from any other heading, provided there is a regional value content of not less than: (a) 60 percent where the transaction value method is used; or (b) 50 percent where the net cost method is used.</w:t>
      </w:r>
    </w:p>
    <w:p>
      <w:pPr>
        <w:pStyle w:val="Normal"/>
      </w:pPr>
      <w:r>
        <w:t>8514.90 A change to subheading 8514.90 from any other heading; or No required change in tariff classification to subheading 8514.90, provided there is a regional value content of not less than: (a) 60 percent where the transaction value method is used; or (b) 50 percent where the net cost method is used. 4-B-139 8515.11-8515.80 A change to subheading 8515.11 through 8515.80 from any other heading; or A change to subheading 8515.11 through 8515.80 from subheading 8515.90, whether or not there is also a change from any other heading, provided there is a regional value content of not less than: (a) 60 percent where the transaction value method is used; or (b) 50 percent where the net cost method is used. 8515.90 A change to subheading 8515.90 from any other heading. 8516.10-8516.80 A change to subheading 8516.10 through 8516.80 from any other subheading, including another subheading within that group. 8516.90 8516.90.cc A change to tariff item 8516.90.cc from any other tariff item. 8516.90.dd A change to tariff item 8516.90.dd from any other tariff item.</w:t>
      </w:r>
    </w:p>
    <w:p>
      <w:pPr>
        <w:pStyle w:val="Normal"/>
      </w:pPr>
      <w:r>
        <w:t>8516.90.ee A change to tariff item 8516.90.ee from any other tariff item. 8516.90.ff A change to tariff item 8516.90.ff from any other tariff item. 8516.90.gg A change to tariff item 8516.90.gg from any other tariff item.</w:t>
      </w:r>
    </w:p>
    <w:p>
      <w:pPr>
        <w:pStyle w:val="Normal"/>
      </w:pPr>
      <w:r>
        <w:t>8516.90 A change to subheading 8516.90 from any other heading; or No required change in tariff classification to subheading 8516.90, provided there is a regional value content of not less than: (a) 60 percent where the transaction value method is used; or (b) 50 percent where the net cost method is used. 8517.11 A change to subheading 8517.11 from any other subheading. 8517.12-8517.61 A change to subheading 8517.12 through 8517.61 from any other subheading, including another subheading within that group. 4-B-140 8517.62-8517.70 A change to a good of any of subheading 8517.62 through 8517.70 from any other good within that subheading or any other subheading, including another subheading within that group. 8518.10-8518.30 A change to a good of any of subheading 8518.10 through 8518.30 from any other good within that subheading or any other subheading, including another subheading within that group.</w:t>
      </w:r>
    </w:p>
    <w:p>
      <w:pPr>
        <w:pStyle w:val="Normal"/>
      </w:pPr>
      <w:r>
        <w:t>8518.40-8518.50 A change to subheading 8518.40 through 8518.50 from any other heading; or A change to subheading 8518.40 through 8518.50 from subheading 8518.90, whether or not there is also a change from any other heading, provided there is a regional value content of not less than: (a) 60 percent where the transaction value method is used; or (b) 50 percent where the net cost method is used.</w:t>
      </w:r>
    </w:p>
    <w:p>
      <w:pPr>
        <w:pStyle w:val="Normal"/>
      </w:pPr>
      <w:r>
        <w:t>8518.90 A change to subheading 8518.90 from any other heading; or A change to subheading 8518.90 from any other subheading within heading 85.18, whether or not there is also a change from any other heading, provided there is a regional value content of not less than: (a) 30 percent where the transaction value method is used; or (b) 25 percent where the net cost method is used. 8519.20-8519.8941 A change to a good of any of subheading 8519.20 through 8519.89 from any other good within that subheading or any other subheading, including another subheading within that group. 8521.10-8521.90 A change to subheading 8521.10 through 8521.90 from any other subheading, including another subheading within that group, except from tariff item 8522.90.aa. 85.22 A change to heading 85.22 from any other heading. 41 If the good is for use in a vehicle of Chapter 87, the provisions of the Appendix to this Annex apply. 4-B-141 8523.21-8523.51 A change to a good of any of subheading 8523.21 through 8523.51 from any other good within that subheading or any other subheading, including another subheading within that group.</w:t>
      </w:r>
    </w:p>
    <w:p>
      <w:pPr>
        <w:pStyle w:val="Normal"/>
      </w:pPr>
      <w:r>
        <w:t>8523.52 Note: Notwithstanding Article 4.18 (Transit and Transshipment), “smart cards” of subheading 8523.52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“smart cards” which contain a single integrated circuit or parts of such “smart cards” of subheading 8523.52; A change to other “smart cards” of subheading 8523.52 from any other good of subheading 8523.52, except from parts of other “smart cards” of subheading 8523.52, or any other heading; A change to other “smart cards” of subheading 8523.52 from parts of other “smart cards” of subheading 8523.52, whether or not there is also a change from any other good of subheading 8523.52 or any other heading, provided there is a regional value content of not less than: (a) 60 percent where the transaction value method is used; or (b) 50 percent where the net cost method is used.</w:t>
      </w:r>
    </w:p>
    <w:p>
      <w:pPr>
        <w:pStyle w:val="Normal"/>
      </w:pPr>
      <w:r>
        <w:t>A change to parts of other “smart cards” of subheading 8523.52 from any other heading; or No required change in tariff classification to parts of other “smart cards” of subheading 8523.52, provided there is a regional value content of not less than: (a) 60 percent where the transaction value method is used; or (b) 50 percent where the net cost method is used. 8523.59-8523.80 A change to a good of any of subheading 8523.59 through 8523.80 from any other good within that subheading or any other subheading, including another subheading within that group. 4-B-142 8525.50-8525.60 A change to subheading 8525.50 through 8525.60 from any subheading outside that group, provided that, with respect to printed circuit assemblies (PCAs) of subheading 8529.90: (a) except as provided in subparagraph (b), for each multiple of nine PCAs, or any portion thereof, that is contained in the good, only one PCA may be a non-originating PCA; and (b) if the good contains less than three PCAs, all of the PCAs must be originating PCAs.</w:t>
      </w:r>
    </w:p>
    <w:p>
      <w:pPr>
        <w:pStyle w:val="Normal"/>
      </w:pPr>
      <w:r>
        <w:t>8525.80 A change to gyrostabilized television cameras of subheading 8525.80 from any other good of subheading 8525.80 or any other subheading, except from studio television cameras, other than shoulder-carried cameras and other portable cameras, of subheading 8525.80; A change to other television cameras of subheading 8525.80 from any other good of subheading 8525.80 or any other subheading, except from gyrostabilized television cameras of subheading 8525.80; or A change to any other good of subheading 8525.80 from television cameras of subheading 8525.80 or any other subheading. 8526.10-8526.92 A change to subheading 8526.10 through 8526.92 from any other subheading, including another subheading within that group. 8527.12-8527.9942 A change to subheading 8527.12 through 8527.99 from any other subheading, including another subheading within that group, except from printed circuit assemblies (PCAs) of subheading 8529.90. 85.28 A change to heading 85.28 from any other heading; or No required change in tariff classification to heading 85.28, provided there is a regional value content of not less than:</w:t>
      </w:r>
    </w:p>
    <w:p>
      <w:pPr>
        <w:pStyle w:val="Normal"/>
      </w:pPr>
      <w:r>
        <w:t>(a) 60 percent where the transaction value method is used; or (b) 50 percent where the net cost method is used. 42 If the good is for use in a vehicle of Chapter 87, the provisions of the Appendix to this Annex apply.</w:t>
      </w:r>
    </w:p>
    <w:p>
      <w:pPr>
        <w:pStyle w:val="Normal"/>
      </w:pPr>
      <w:r>
        <w:t>4-B-143 8529.10 A change to subheading 8529.10 from any other heading; or No required change in tariff classification to subheading 8529.10, provided there is a regional value content of not less than: (a) 60 percent where the transaction value method is used; or (b) 50 percent where the net cost method is used. 8529.90 A change of subheading 8529.90 from any other good within the same subheading; or No required change in tariff classification to subheading 8529.90, provided there is a regional value content of not less than: (a) 40 percent where the transaction value method is used; or (b) 30 percent where the net cost method is used. 8530.10-8530.80 A change to subheading 8530.10 through 8530.80 from any other heading; or A change to subheading 8530.10 through 8530.80 from subheading 8530.90, whether or not there is also a change from any other heading, provided there is a regional value content of not less than: (a) 60 percent where the transaction value method is used; or (b) 50 percent where the net cost method is used.</w:t>
      </w:r>
    </w:p>
    <w:p>
      <w:pPr>
        <w:pStyle w:val="Normal"/>
      </w:pPr>
      <w:r>
        <w:t>8530.90 A change to subheading 8530.90 from any other heading; or No required change in tariff classification to subheading 8530.90, provided there is a regional value content of not less than: (a) 60 percent where the transaction value method is used; or (b) 50 percent where the net cost method is used. 8531.10 A change to subheading 8531.10 from any other subheading.</w:t>
      </w:r>
    </w:p>
    <w:p>
      <w:pPr>
        <w:pStyle w:val="Normal"/>
      </w:pPr>
      <w:r>
        <w:t>8531.20 A change to a good of subheading 8531.20 from any other good within that subheading or any other subheading. 4-B-144 8531.80 A change to subheading 8531.80 from any other subheading. 8531.90 A change to a good of subheading 8531.90 from any other good within that subheading or any other subheading. 8532.10-8532.90 A change to a good of any of subheading 8532.10 through 8532.90 from any other good within that subheading or any other subheading, including another subheading within that group. 8533.10-8533.39 A change to subheading 8533.10 through 8533.39 from any other subheading, including another subheading within that group. 8533.40 A change to subheading 8533.40 from any other subheading, except from tariff item 8533.90.aa. 8533.90 A change to a good of subheading 8533.90 from any other good within that subheading or any other subheading. 85.34 A change to heading 85.34 from any other heading.</w:t>
      </w:r>
    </w:p>
    <w:p>
      <w:pPr>
        <w:pStyle w:val="Normal"/>
      </w:pPr>
      <w:r>
        <w:t>85.35 8535.90.aa A change to tariff item 8535.90.aa from any other tariff item, except from tariff item 8538.90.aa; or A change to tariff item 8535.90.aa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pPr>
      <w:r>
        <w:t>85.35 A change to heading 85.35 from any other heading, except from tariff item 8538.90.bb or 8538.90.cc; or A change to heading 85.35 from tariff item 8538.90.bb or 8538.90.cc, whether or not there is also a change from any other heading, provided there is a regional value content of not less than: (a) 60 percent where the transaction value method is used; or (b) 50 percent where the net cost method is used. 4-B-145 8536.10-8536.20 A change to subheading 8536.10 through 8536.20 from any other heading, except from tariff item 8538.90.bb or 8538.90.cc; or A change to subheading 8536.10 through 8536.20 from tariff item 8538.90.bb or 8538.90.cc, whether or not there is also a change from any other heading, provided there is a regional value content of not less than: (a) 60 percent where the transaction value method is used; or (b) 50 percent where the net cost method is used.</w:t>
      </w:r>
    </w:p>
    <w:p>
      <w:pPr>
        <w:pStyle w:val="Normal"/>
      </w:pPr>
      <w:r>
        <w:t>8536.30 8536.30.aa A change to tariff item 8536.30.aa from any other tariff item, except from tariff item 8538.90.aa; or A change to tariff item 8536.30.aa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pPr>
      <w:r>
        <w:t>8536.30 A change to any other good of subheading 8536.30 from any other heading, except from tariff item 8538.90.bb or 8538.90.cc; or A change to any other good of subheading 8536.30 from tariff item 8538.90.bb or 8538.90.cc, whether or not there is also a change from any other heading, provided there is a regional value content of not less than: (a) 60 percent where the transaction value method is used; or (b) 50 percent where the net cost method is used. 8536.41-8536.49 A change to subheading 8536.41 through 8536.49 from any other heading, except from tariff item 8538.90.bb or 8538.90.cc; or A change to subheading 8536.41 through 8536.49 from tariff item 8538.90.bb or 8538.90.cc, whether or not there is also a change from any other heading, provided there is a regional value content of not less than: (a) 60 percent where the transaction value method is used; or 4-B-146 (b) 50 percent where the net cost method is used.</w:t>
      </w:r>
    </w:p>
    <w:p>
      <w:pPr>
        <w:pStyle w:val="Normal"/>
      </w:pPr>
      <w:r>
        <w:t>8536.5043 8536.50.aa A change to tariff item 8536.50.aa from any other tariff item, except from tariff item 8538.90.aa; or A change to tariff item 8536.50.aa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pPr>
      <w:r>
        <w:t>8536.50 A change to any other good of subheading 8536.50 from any other heading, except from tariff item 8538.90.bb or 8538.90.cc; or A change to any other good of subheading 8536.50 from tariff item 8538.90.bb or 8538.90.cc, whether or not there is also a change from any other heading, provided there is a regional value content of not less than: (a) 60 percent where the transaction value method is used; or (b) 50 percent where the net cost method is used. 8536.61-8536.69 A change to subheading 8536.61 through 8536.69 from any other heading, except from tariff item 8538.90.bb or 8538.90.cc; or A change to subheading 8536.61 through 8536.69 from tariff item 8538.90.bb or 8538.90.cc, whether or not there is also a change from any other heading, provided there is a regional value content of not less than: (a) 60 percent where the transaction value method is used; or (b) 50 percent where the net cost method is used. 43 If the good is for use in a vehicle of Chapter 87, the provisions of the Appendix to this Annex apply.</w:t>
      </w:r>
    </w:p>
    <w:p>
      <w:pPr>
        <w:pStyle w:val="Normal"/>
      </w:pPr>
      <w:r>
        <w:t>4-B-147 8536.70 A change to plastic connectors of subheading 8536.70 from any other good of subheading 8536.70 or any other subheading, except from heading 39.26, provided there is a regional value content of not less than: (a) 60 percent where the transaction value method is used; or (b) 50 percent where the net cost method is used.</w:t>
      </w:r>
    </w:p>
    <w:p>
      <w:pPr>
        <w:pStyle w:val="Normal"/>
      </w:pPr>
      <w:r>
        <w:t>A change to ceramic connectors of subheading 8536.70 from any other good of subheading 8536.70 or any other subheading, except from Chapter 69; or A change to copper connectors of subheading 8536.70 from any other good of subheading 8536.70 or any other subheading, except from heading 74.19. 8536.9044 A change to subheading 8536.90 from any other heading, except from tariff item 8538.90.bb or 8538.90.cc; or A change to subheading 8536.90 from tariff item 8538.90.bb or 8538.90.cc, whether or not there is also a change from any other heading, provided there is a regional value content of not less than: (a) 60 percent where the transaction value method is used; or (b) 50 percent where the net cost method is used.</w:t>
      </w:r>
    </w:p>
    <w:p>
      <w:pPr>
        <w:pStyle w:val="Normal"/>
      </w:pPr>
      <w:r>
        <w:t>85.3745 A change to heading 85.37 from any other heading, except from printed circuit assemblies of subheading 8538.90 or moulded parts of subheading 8538.90; or A change to heading 85.37 from printed circuit assemblies of subheading 8538.90 or moulded parts of subheading 8538.90 or, whether or not there is also a change from any other heading, provided there is a regional value content of not less than: (a) 50 percent where the transaction value method is used; or (b) 40 percent where the net cost method is used. 44 If the good is for use in a vehicle of Chapter 87, the provisions of the Appendix to this Annex apply. 45 If the good is for use in a vehicle of Chapter 87, the provisions of the Appendix to this Annex apply.</w:t>
      </w:r>
    </w:p>
    <w:p>
      <w:pPr>
        <w:pStyle w:val="Normal"/>
      </w:pPr>
      <w:r>
        <w:t>4-B-148 8538.10-8538.90 A change to subheading 8538.10 through 8538.90 from any other heading; or A change to subheading 8538.10 through 8538.90 from any other subheading within that group, whether or not there is also a change from any other heading, provided there is a regional value content of not less than: (a) 60 percent where the transaction value method is used; or (b) 50 percent where the net cost method is used. 8539.10-8539.4946 A change to subheading 8539.10 through 8539.49 from any other subheading, except from any subheading within that group. 8539.90 A change to subheading 8539.90 from any other heading. 8540.11 8540.11.aa A change to tariff item 8540.11.aa from any other subheading, except from more than one of the following: - tariff item 7011.20.aa, - tariff item 8540.91.aa. 8540.11.bb A change to tariff item 8540.11.bb from any other subheading, except from more than one of the following: - tariff item 7011.20.aa, - tariff item 8540.91.aa. 8540.11.cc A change to tariff item 8540.11.cc from any other subheading, except from tariff item 8540.91.aa.</w:t>
      </w:r>
    </w:p>
    <w:p>
      <w:pPr>
        <w:pStyle w:val="Normal"/>
      </w:pPr>
      <w:r>
        <w:t>8540.11.dd A change to tariff item 8540.11.dd from any other subheading, except from tariff item 8540.91.aa. 8540.11 A change to subheading 8540.11 from any other heading; or 46 If the good is for use in a vehicle of Chapter 87, the provisions of the Appendix to this Annex apply.</w:t>
      </w:r>
    </w:p>
    <w:p>
      <w:pPr>
        <w:pStyle w:val="Normal"/>
      </w:pPr>
      <w:r>
        <w:t>4-B-149 A change to subheading 8540.11 from subheading 8540.91, whether or not there is also a change from any other heading, provided there is a regional value content of not less than: (a) 60 percent where the transaction value method is used; or (b) 50 percent where the net cost method is used. 8540.12 Note: The following rule applies to a good of tariff item 8540.12.aa incorporating a glass panel referred to in subparagraph (b) of Note 4 of Chapter85 and a glass cone provided for in tariff item 7011.20.aa: 8540.12.aa A change to tariff item 8540.12.aa from any other subheading, except from more than one of the following: - tariff item 7011.20.aa, - tariff item 8540.91.aa. Note: The following rule applies to a good of tariff item 8540.12.aa incorporating a glass envelope referred to in subparagraph (b) of Note 4 of Chapter 85: 8540.12.aa A change to tariff item 8540.12.aa from any other subheading, except from tariff item 8540.91.aa. 8540.12.bb A change to tariff item 8540.12.bb from any other subheading, except from tariff item 8540.91.aa.</w:t>
      </w:r>
    </w:p>
    <w:p>
      <w:pPr>
        <w:pStyle w:val="Normal"/>
      </w:pPr>
      <w:r>
        <w:t>8540.12 A change to subheading 8540.12 from any other heading; or A change to subheading 8540.12 from subheading 8540.91, whether or not there is also a change from any other heading, provided there is a regional value content of not less than: (a) 60 percent where the transaction value method is used; or (b) 50 percent where the net cost method is used.</w:t>
      </w:r>
    </w:p>
    <w:p>
      <w:pPr>
        <w:pStyle w:val="Normal"/>
      </w:pPr>
      <w:r>
        <w:t>8540.20 A change to subheading 8540.20 from any other heading; or A change to subheading 8540.20 from subheading 8540.91 through 8540.99, whether or not there is also a change from any other heading, provided there is a regional value content of not less than: 4-B-150 (a) 60 percent where the transaction value method is used; or (b) 50 percent where the net cost method is used. 8540.40-8540.60 A change to subheading 8540.40 through 8540.60 from any subheading outside that group. 8540.71 A change to subheading 8540.71 from any other subheading. 8540.79 A change to klystrons of subheading 8540.79 from any other good within that subheading or any other subheading; or A change to any other good of subheading 8540.79 from klystrons within that subheading or any other subheading. 8540.81-8540.89 A change to subheading 8540.81 through 8540.89 from any other subheading, including another subheading within that group. 8540.91 8540.91.aa A change to tariff item 8540.91.aa from any other tariff item.</w:t>
      </w:r>
    </w:p>
    <w:p>
      <w:pPr>
        <w:pStyle w:val="Normal"/>
      </w:pPr>
      <w:r>
        <w:t>8540.91 A change to subheading 8540.91 from any other heading; or No required change in tariff classification to subheading 8540.91, provided there is a regional value content of not less than: (a) 60 percent where the transaction value method is used; or (b) 50 percent where the net cost method is used. 8540.99 8540.99.aa A change to tariff item 8540.99.aa from any other tariff item.</w:t>
      </w:r>
    </w:p>
    <w:p>
      <w:pPr>
        <w:pStyle w:val="Normal"/>
      </w:pPr>
      <w:r>
        <w:t>8540.99 A change to subheading 8540.99 from any other heading; or No required change in tariff classification to subheading 8540.99, provided there is a regional value content of not less than: (a) 60 percent where the transaction value method is used; or 4-B-151 (b) 50 percent where the net cost method is used. 8541.10-8542.90 Note: Notwithstanding Article 4.18 (Transshipment), a good provided for in subheading 8541.10 through 8541.60 or 8542.10 through 8542.39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 subheading outside of that group. No required change in tariff classification to subheading 8541.10 through 8542.90. 8543.10 A change to subheading 8543.10 from any other subheading, except from subheading 8486.20. 8543.20-8543.30 A change to subheading 8543.20 through 8543.30 from any other subheading, including another subheading within that group. 8543.70 A change to subheading 8543.70 from any other subheading, except from “smart” cards, other than those containing a single integrated circuit, of subheading 8523.59.</w:t>
      </w:r>
    </w:p>
    <w:p>
      <w:pPr>
        <w:pStyle w:val="Normal"/>
      </w:pPr>
      <w:r>
        <w:t>8543.90 Note: Notwithstanding Article 4.18 (Transit and Transshipment), electronic microassemblies of subheading 8543.90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electronic microassemblies of subheading 8543.90; A change to any other good of subheading 8543.90 from electronic microassemblies of subheading 8543.90 or any other heading; or No required change in tariff classification to any other good of subheading 8543.90, provided there is a regional value content of not less than: (a) 60 percent where the transaction value method is used; or 4-B-152 (b) 50 percent where the net cost method is used.</w:t>
      </w:r>
    </w:p>
    <w:p>
      <w:pPr>
        <w:pStyle w:val="Normal"/>
      </w:pPr>
      <w:r>
        <w:t>8544.11-8544.6047 A change to subheading 8544.11 through 8544.60 from any subheading outside that group, except from heading 74.08, 74.13, 76.05 or 76.14; or A change to subheading 8544.11 through 8544.60 from any other subheading within that group or heading 74.08, 74.13, 76.05 or 76.14, whether or not there is also a change from any other subheading, provided there is a regional value content of not less than: (a) 60 percent where the transaction value method is used; or (b) 50 percent where the net cost method is used.</w:t>
      </w:r>
    </w:p>
    <w:p>
      <w:pPr>
        <w:pStyle w:val="Normal"/>
      </w:pPr>
      <w:r>
        <w:t>8544.70 A change to subheading 8544.70 from any other subheading, except from heading 70.02 or 90.01; or A change to subheading 8544.70 from heading 70.02 or 90.01, whether or not there is also a change from any other subheading, provided there is a regional value content of not less than: (a) 60 percent where the transaction value method is used; or (b) 50 percent where the net cost method is used. 8545.11-8545.90 A change to subheading 8545.11 through 8545.90 from any other subheading, including another subheading within that group. 85.46 A change to heading 85.46 from any other heading. 8547.10-8547.90 A change to subheading 8547.10 through 8547.90 from any other subheading, including another subheading within that group. 8548.10 A change to subheading 8548.10 from any other chapter. 8548.90 Note: Notwithstanding Article 4.18 (Transit and Transshipment), electronic microassemblies of subheading 8548.90 qualifying under the rule below as an originating good may undergo further production outside the territory of the 47 If the good is for use in a vehicle of Chapter 87, the provisions of the Appendix to this Annex apply.</w:t>
      </w:r>
    </w:p>
    <w:p>
      <w:pPr>
        <w:pStyle w:val="Normal"/>
      </w:pPr>
      <w:r>
        <w:t>4-B-153 Parties and, when imported into the territory of a Party, will originate in the territory of a Party, provided that such further production did not result in a change to any other subheading.</w:t>
      </w:r>
    </w:p>
    <w:p>
      <w:pPr>
        <w:pStyle w:val="Normal"/>
      </w:pPr>
      <w:r>
        <w:t xml:space="preserve">No required change in tariff classification to electronic microassemblies of subheading 8548.90; or A change to any other good of subheading 8548.90 from electronic microassemblies of subheading 8548.90 or any other heading.</w:t>
      </w:r>
    </w:p>
    <w:p>
      <w:pPr>
        <w:pStyle w:val="AnnexSection"/>
      </w:pPr>
      <w:bookmarkStart w:id="900146" w:name="_Toc300000145"/>
      <w:r>
        <w:t xml:space="preserve">Section XVII - Vehicles, Aircraft, Vessels and Associated Transport Equipment (Chapter 86-89)</w:t>
      </w:r>
      <w:bookmarkEnd w:id="900146"/>
    </w:p>
    <w:p>
      <w:pPr>
        <w:pStyle w:val="Normal"/>
      </w:pPr>
      <w:r>
        <w:t xml:space="preserve">Chapter 86 Railway or Tramway Locomotives, Rolling-Stock and Parts Thereof; Railway or Tramway Track Fixtures and Fittings and Parts Thereof; Mechanical (Including Electro-Mechanical) Traffic Signalling Equipment of all Kinds 86.01-86.02 A change to heading 86.01 through 86.02 from any other heading, including another heading within that group. 86.03-86.06 A change to heading 86.03 through 86.06 from any other heading, including another heading within that group, except from heading 86.07; or A change to heading 86.03 through 86.06 from heading 86.07,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pPr>
        <w:pStyle w:val="Normal"/>
      </w:pPr>
      <w:r>
        <w:t>8607.11-8607.12 Note: Beginning on the date of entry into force of the Agreement, until January 1, 2023 or three years after entry into force of this Agreement, whichever is later, the following rule of origin shall apply to subheading 8607.11 through 8607.12: 4-B-154 A change to subheading 8607.11 through 8607.12 from any subheading outside that group. Note: Beginning on January 1, 2023 or three years after entry into force of this Agreement, whichever is later, and thereafter, the following rules of origin shall apply to subheading 8607.11 through 8607.12: A change to subheading 8607.11 through 8607.12 from any other heading, except from heading 72.08 through 72.29 or 73.01 through 73.26; A change to subheading 8607.11 through 8607.12 from heading 72.08 through 72.29 or 73.01 through 73.26, provided that at least 70 percent by weight of the materials of heading 72.08 through 72.29 and 73.01 through 73.26 is originating; or No required change in tariff classification to subheading 8607.11 through 8607.12 provided there is a regional value content of not less than: (a) 70 percent where the transaction value method is used; or (b) 60 percent where the net cost method is used.</w:t>
      </w:r>
    </w:p>
    <w:p>
      <w:pPr>
        <w:pStyle w:val="Normal"/>
      </w:pPr>
      <w:r>
        <w:t>8607.19 8607.19.aa A change to tariff item 8607.19.aa from any other heading; or A change to tariff item 8607.19.aa from tariff item 8607.19.bb, whether or not there is also a change from any other heading, provided there is a regional value content of not less than: (a) 60 percent where the transaction value method is used; or (b) 50 percent where the net cost method is used. 8607.19.cc A change to tariff item 8607.19.cc from any other heading; or A change to tariff item 8607.19.cc from tariff item 8607.19.bb or 8607.19.dd, whether or not there is also a change from any other heading, provided there is a regional value content of not less than: (a) 60 percent where the transaction value method is used; or (b) 50 percent where the net cost method is used. 4-B-155 8607.19 A change to subheading 8607.19 from any other heading. 8607.21 A change to subheading 8607.21 from any other heading; or No required change in tariff classification to subheading 8607.21, provided there is a regional value content of not less than: (a) 60 percent where the transaction value method is used; or (b) 50 percent where the net cost method is used.</w:t>
      </w:r>
    </w:p>
    <w:p>
      <w:pPr>
        <w:pStyle w:val="Normal"/>
      </w:pPr>
      <w:r>
        <w:t>8607.29 Note: Beginning on the date of entry into force of the Agreement, until January 1, 2023 or three years after entry into force of this Agreement, whichever is later, the following rule of origin shall apply to subheading 8607.29: A change to subheading 8607.29 from any other heading; or No required change in tariff classification to subheading 8607.29, provided there is a regional value content of not less than: (a) 60 percent where the transaction value method is used, or (b) 50 percent where the net cost method is used. Note: Beginning on January 1, 2023 or three years after entry into force of this Agreement, whichever is later, and thereafter, the following rules of origin shall apply to subheading 8607.29: A change to subheading 8607.29 from any other heading, except from heading 72.08 through 72.29 or heading 73.01 through 73.26;</w:t>
      </w:r>
    </w:p>
    <w:p>
      <w:pPr>
        <w:pStyle w:val="Normal"/>
      </w:pPr>
      <w:r>
        <w:t>A change to subheading 8607.29 from heading 72.08 through 72.29 or 73.01 through 73.26, provided that at least 70 percent by weight of the materials of heading 72.08 through 72.29 and 73.01 through 73.26 is originating; or No required change in tariff classification to subheading 8607.21 provided there is a regional value content of not less than: (a) 70 percent where the transaction value method is used; or 4-B-156 (b) 60 percent where the net cost method is used.</w:t>
      </w:r>
    </w:p>
    <w:p>
      <w:pPr>
        <w:pStyle w:val="Normal"/>
      </w:pPr>
      <w:r>
        <w:t>8607.30 A change to subheading 8607.30 from any other heading; or No required change in tariff classification to subheading 8607.30, provided there is a regional value content of not less than: (a) 60 percent where the transaction value method is used; or (b) 50 percent where the net cost method is used. 8607.91 Note: Beginning on the date of entry into force of the Agreement, until January 1, 2023 or three years after entry into force of this Agreement, whichever is later, the following rule of origin shall apply to subheading 8607.91: A change to subheading 8607.91 from any other heading; or No required change in tariff classification to subheading 8607.91, provided there is a regional value content of not less than: (a) 60 percent where the transaction value method is used, or (b) 50 percent where the net cost method is used.</w:t>
      </w:r>
    </w:p>
    <w:p>
      <w:pPr>
        <w:pStyle w:val="Normal"/>
      </w:pPr>
      <w:r>
        <w:t>Note: Beginning on January 1, 2023 or three years after entry into force of this Agreement, whichever is later, and thereafter, the following rules of origin shall apply to subheading 8607.91: A change to subheading 8607.91 from any other heading, except from heading 72.08 through 72.29 or 73.01 through 73.26; A change to subheading 8607.91 from heading 72.08 through 72.29 or 73.01 through 73.26, provided that at least 70 percent by weight of the materials of heading 72.08 through 72.29 and 73.01 through 73.26 is originating; or No required change in tariff classification to subheading 8607.91 provided there is a regional value content of not less than: (a) 70 percent where the transaction value method is used; or 4-B-157 (b) 60 percent where the net cost method is used. 8607.99 A change to subheading 8607.99 from any other heading; or No required change in tariff classification to subheading 8607.99, provided there is a regional value content of not less than: (a) 60 percent where the transaction value method is used; or (b) 50 percent where the net cost method is used. 86.08 A change to heading 86.08 from any other heading.</w:t>
      </w:r>
    </w:p>
    <w:p>
      <w:pPr>
        <w:pStyle w:val="Normal"/>
      </w:pPr>
      <w:r>
        <w:t>86.09 Note: Beginning on the date of entry into force of the Agreementuntil January 1, 2023, or three years after entry into force of this Agreement, whichever is later, the following rule of origin shall apply to heading 86.09: A change to heading 86.09 from any other heading Note: Beginning on January 1, 2023, or three years after entry into force of this Agreement, whichever is later, and thereafter, the following rules of origin shall apply to heading 86.09: A change to heading 86.09 from any other heading, except from heading 72.08 through 72.29 or 73.01 through 73.26; or A change to heading 86.09 from heading 72.08 through 72.29 or 73.01 through 73.26, provided that at least 70 percent by weight of the materials of heading 72.08 through 72.29 and 73.01 through 73.26 is originating; or No required change in tariff classification to heading 86.09 is required provided there is a regional value content of not less than:</w:t>
      </w:r>
    </w:p>
    <w:p>
      <w:pPr>
        <w:pStyle w:val="Normal"/>
      </w:pPr>
      <w:r>
        <w:t>(a) 70 percent where the transaction value method is used; or (b) 60 percent where the net cost method is used 4-B-158 87.01-87.08 87.10 Chapter 87 Vehicles Other Than Railway or Tramway Rolling-Stock, and Parts and Accessories Thereof The Appendix (Provisions Related to the Product-Specific Rules of Origin for Automotive Goods) includes the product-specific rules for a good of heading 8701 through 8708.</w:t>
      </w:r>
    </w:p>
    <w:p>
      <w:pPr>
        <w:pStyle w:val="Normal"/>
      </w:pPr>
      <w:r>
        <w:t>8709.11-8709.19 A change to subheading 8709.11 through 8709.19 from any other heading; or A change to subheading 8709.11 through 8709.19 from subheading 8709.90, whether or not there is also a change from any other heading, provided there is a regional value content of not less than: (a) 60 percent where the transaction value method is used; or (b) 50 percent where the net cost method is used. 8709.90 A change to subheading 8709.90 from any other heading. A change to heading 87.10 from any other heading. 87.11-87.13 A change to heading 87.11 through 87.13 from any other heading, including another heading within that group, except from heading 87.14; or A change to heading 87.11 through 87.13 from heading 87.14, whether or not there is also a change from any other heading, including another heading within that group, provided there is a regional value content of not less than: (a) 60 percent where the transaction value method is used; or (b) 50 percent where the net cost method is used. 87.14-87.15 A change to heading 87.14 through 87.15 from any other heading, including another heading within that group.</w:t>
      </w:r>
    </w:p>
    <w:p>
      <w:pPr>
        <w:pStyle w:val="Normal"/>
      </w:pPr>
      <w:r>
        <w:t>8716.10-8716.80 A change to subheading 8716.10 through 8716.80 from any other heading; or 4-B-159 88.01 A change to subheading 8716.10 through 8716.80 from subheading 8716.90, whether or not there is also a change from any other heading, provided there is a regional value content of not less than: (a) 60 percent where the transaction value method is used; or (b) 50 percent where the net cost method is used. 8716.90 A change to subheading 8716.90 from any other heading; or No required change in tariff classification to subheading 8716.90, provided there is a regional value content of not less than: (a) 60 percent where the transaction value method is used; or (b) 50 percent where the net cost method is used. Chapter 88 Aircraft, Spacecraft, and Parts Thereof A change to gliders or hang gliders of heading 88.01 from any other good of heading 88.01 or any other heading; or A change to any other good of heading 88.01 from gliders or hang gliders of heading 88.01 or any other heading.</w:t>
      </w:r>
    </w:p>
    <w:p>
      <w:pPr>
        <w:pStyle w:val="Normal"/>
      </w:pPr>
      <w:r>
        <w:t>8802.11-8803.90 A change to subheading 8802.11 through 8803.90 from any other subheading, including another subheading within that group. 88.04-88.05 A change to heading 88.04 through 88.05 from any other heading, including another heading within that group.</w:t>
      </w:r>
    </w:p>
    <w:p>
      <w:pPr>
        <w:pStyle w:val="Normal"/>
      </w:pPr>
      <w:r>
        <w:t>Chapter 89 Ships, Boats and Floating Structures 89.01-89.02 A change to heading 89.01 through 89.02 from any other chapter; or A change to heading 89.01 through 89.02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4-B-160 89.03 A change to heading 89.03 from any other heading, provided there is a regional value content of not less than: (a) 60 percent where the transaction value method is used; or (b) 50 percent where the net cost method is used.</w:t>
      </w:r>
    </w:p>
    <w:p>
      <w:pPr>
        <w:pStyle w:val="Normal"/>
      </w:pPr>
      <w:r>
        <w:t>89.04-89.05 A change to heading 89.04 through 89.05 from any other chapter; or A change to heading 89.04 through 89.05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89.06-89.08 A change to heading 89.06 through 89.08 from any other heading, including another heading within that group.</w:t>
      </w:r>
    </w:p>
    <w:p>
      <w:pPr>
        <w:pStyle w:val="AnnexSection"/>
      </w:pPr>
      <w:bookmarkStart w:id="900147" w:name="_Toc300000146"/>
      <w:r>
        <w:t xml:space="preserve">Section XVIII- Optical, Photographic, Cinematographic, Measuring, Checking, Precision, Medical or Surgical Instruments and Apparatus; Clocks and Watches; Musical Instruments; Parts and Accessories Thereof (Chapter 90-92)</w:t>
      </w:r>
      <w:bookmarkEnd w:id="900147"/>
    </w:p>
    <w:p>
      <w:pPr>
        <w:pStyle w:val="Normal"/>
      </w:pPr>
      <w:r>
        <w:t xml:space="preserve">Chapter 90 Optical, Photographic, Cinematographic, Measuring, Checking, Precision, Medical or Surgical Instruments and Apparatus; Parts and Accessories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 Note 2: The origin of the goods of Chapter 90 shall be determined without regard to the origin of any automatic data processing machines or units thereof of heading 84.71, or parts and accessories thereof of heading 84.73, which may be included therewith.</w:t>
      </w:r>
    </w:p>
    <w:p>
      <w:pPr>
        <w:pStyle w:val="Normal"/>
      </w:pPr>
      <w:r>
        <w:t>9001.10 A change to subheading 9001.10 from any other chapter, except from pre forms of heading 70.02; or 4-B-161 90.02 A change to subheading 9001.10 from any other good of heading 70.02 except pre-forms, whether or not there is also a change from any other chapter, provided there is a regional value content of not less than: (a) 60 percent where the transaction value method is used; or (b) 50 percent where the net cost method is used. 9001.20-9001.90 A change to subheading 9001.20 through 9001.90 from any other heading. A change to heading 90.02 from any other heading, except from heading 90.01. 9003.11-9003.19 A change to subheading 9003.11 through 9003.19 from any other subheading, including another subheading within that group, except from subheading 9003.90; or A change to subheading 9003.11 through 9003.19 from subheading 9003.90, whether or not there is also a change from any other subheading, including another subheading within that group, provided there is a regional value content of not less than:</w:t>
      </w:r>
    </w:p>
    <w:p>
      <w:pPr>
        <w:pStyle w:val="Normal"/>
      </w:pPr>
      <w:r>
        <w:t>(a) 60 percent where the transaction value method is used; or (b) 50 percent where the net cost method is used. 9003.90 A change to subheading 9003.90 from any other heading. 9004.10 A change to subheading 9004.10 from any other subheading.</w:t>
      </w:r>
    </w:p>
    <w:p>
      <w:pPr>
        <w:pStyle w:val="Normal"/>
      </w:pPr>
      <w:r>
        <w:t>9004.90 A change to subheading 9004.90 from any other chapter; or A change to subheading 9004.90 from any other heading within Chapter 90, whether or not there is also a change from any other chapter, provided there is a regional value content of not less than: (a) 60 percent where the transaction value method is used; or (b) 50 percent where the net cost method is used. 9005.10-9005.80 A change to subheading 9005.10 through 9005.80 from any subheading outside that group, except from heading 90.01 through 90.02 or tariff item 9005.90.aa. 4-B-162 9005.90 9005.90.aa A change to tariff item 9005.90.aa from any other heading, except from heading 90.01 through 90.02. 9005.90 A change to subheading 9005.90 from any other heading; or No required change in tariff classification to subheading 9005.90, provided there is a regional value content of not less than: (a) 60 percent where the transaction value method is used; or (b) 50 percent where the net cost method is used.</w:t>
      </w:r>
    </w:p>
    <w:p>
      <w:pPr>
        <w:pStyle w:val="Normal"/>
      </w:pPr>
      <w:r>
        <w:t>9006.10-9006.69 A change to subheading 9006.10 through 9006.69 from any other heading; or A change to subheading 9006.10 through 9006.69 from subheading 9006.91 or 9006.99, whether or not there is also a change from any other heading, provided there is a regional value content of not less than: (a) 60 percent where the transaction value method is used; or (b) 50 percent where the net cost method is used.</w:t>
      </w:r>
    </w:p>
    <w:p>
      <w:pPr>
        <w:pStyle w:val="Normal"/>
      </w:pPr>
      <w:r>
        <w:t>9006.91-9006.99 A change to subheading 9006.91 through 9006.99 from any other heading; or A change to a good of any of subheading 9006.91 through 9006.99 from within that subheading, whether or not there is also a change from any other heading, provided there is a regional value content of not less than: (a) 60 percent where the transaction value method is used; or (b) 50 percent where the net cost method is used. 9007.10 A change to gyrostabilized cameras of subheading 9007.10 from any other good within that subheading or any other subheading; A change to heading; or any other good of subheading 9007.10 from any other 4-B-163 A change to any other good of subheading 9007.10 from subheading 9007.91, whether or not there is also a change from any other heading, provided there is a regional value content of not less than: (a) 60 percent where the transaction value method is used, or (b) 50 percent where the net cost method is used.</w:t>
      </w:r>
    </w:p>
    <w:p>
      <w:pPr>
        <w:pStyle w:val="Normal"/>
      </w:pPr>
      <w:r>
        <w:t>9007.20 A change to subheading 9007.20 from any other heading; or A change to subheading 9007.20 from subheading 9007.92, whether or not there is also a change from any other heading, provided there is a regional value content of not less than: (a) 60 percent where the transaction value method is used; or (b) 50 percent where the net cost is used.</w:t>
      </w:r>
    </w:p>
    <w:p>
      <w:pPr>
        <w:pStyle w:val="Normal"/>
      </w:pPr>
      <w:r>
        <w:t>9007.91 A change to subheading 9007.91 from any other heading; or No required change in tariff classification to subheading 9007.91, provided there is a regional value content of not less than: (a) 60 percent where the transaction value method is used; or (b) 50 percent where the net cost method is used. 9007.92 A change to subheading 9007.92 from any other heading; or No required change in tariff classification to subheading 9007.92, provided there is a regional value content of not less than: (a) 60 percent where the transaction value method is used; or (b) 50 percent where the net cost method is used. 9008.50 A change to subheading 9008.50 from any other heading; or A change to subheading 9008.50 from subheading 9008.90, whether or not there is also a change from any other heading, provided there is a regional value content of not less than: (a) 60 percent where the transaction value method is used; or 4-B-164 (b) 50 percent where the net cost method is used.</w:t>
      </w:r>
    </w:p>
    <w:p>
      <w:pPr>
        <w:pStyle w:val="Normal"/>
      </w:pPr>
      <w:r>
        <w:t>9008.90 A change to subheading 9008.90 from any other heading; or No required change in tariff classification to subheading 9008.90, provided there is a regional value content of not less than: (a) 60 percent where the transaction value method is used; or (b) 50 percent where the net cost method is used.</w:t>
      </w:r>
    </w:p>
    <w:p>
      <w:pPr>
        <w:pStyle w:val="Normal"/>
      </w:pPr>
      <w:r>
        <w:t>9010.10-9010.60 A change to subheading 9010.10 through 9010.60 from any other heading; or A change to subheading 9010.10 through 9010.60 from subheading 9010.90, whether or not there is also a change from any other heading, provided there is a regional value content of not less than: (a) 60 percent where the transaction value method is used; or (b) 50 percent where the net cost method is used. 9010.90 A change to subheading 9010.90 from any other heading; or No required change in tariff classification to subheading 9010.90, provided there is a regional value content of not less than: (a) 60 percent where the transaction value method is used; or (b) 50 percent where the net cost method is used. 9011.10-9011.80 A change to subheading 9011.10 through 9011.80 from any other heading; or A change to subheading 9011.10 through 9011.80 from subheading 9011.90, whether or not there is also a change from any other heading, provided there is a regional value content of not less than: (a) 60 percent where the transaction value method is used; or (b) 50 percent where the net cost method is used. 9011.90 A change to subheading 9011.90 from any other heading.</w:t>
      </w:r>
    </w:p>
    <w:p>
      <w:pPr>
        <w:pStyle w:val="Normal"/>
      </w:pPr>
      <w:r>
        <w:t>4-B-165 9012.10 A change to subheading 9012.10 from any other heading; or A change to subheading 9012.10 from subheading 9012.90, whether or not there is also a change from any other heading, provided there is a regional value content of not less than: (a) 60 percent where the transaction value method is used; or (b) 50 percent where the net cost method is used. 9012.90 A change to subheading 9012.90 from any other heading. 9013.10-9013.20 A change to subheading 9013.10 through 9013.20 from any other heading; or A change to subheading 9013.10 through 9013.20 from subheading 9013.90, whether or not there is also a change from any other heading, provided there is a regional value content of not less than: (a) 60 percent where the transaction value method is used; or (b) 50 percent where the net cost method is used.</w:t>
      </w:r>
    </w:p>
    <w:p>
      <w:pPr>
        <w:pStyle w:val="Normal"/>
      </w:pPr>
      <w:r>
        <w:t>9013.80 A change to Liquid Crystal Display Assemblies of subheading 9013.80 from any other subheading; No required tariff change to Liquid Crystal Display Assemblies of subheading 9013.80 provided there is a regional value content of not less than: (a) 40 percent where the transaction value method is used; or (b) 30 percent where the net cost method is used; A change to any other good of subheading 9013.80 from any other heading; or No required tariff change to any other good of subheading 9013.80 provided there is a regional value content of not less than: (a) 60 percent where the transaction value method is used; or (b) 50 percent where the net cost method is used. 4-B-166 9013.90 A change to subheading 9013.90 from any other heading; or No required change in tariff classification to subheading 9013.90, provided there is a regional value content of not less than: (a) 60 percent where the transaction value method is used; or (b) 50 percent where the net cost method is used.</w:t>
      </w:r>
    </w:p>
    <w:p>
      <w:pPr>
        <w:pStyle w:val="Normal"/>
      </w:pPr>
      <w:r>
        <w:t>9014.10-9014.80 A change to subheading 9014.10 through 9014.80 from any other heading; or A change to subheading 9014.10 through 9014.80 from subheading 9014.90, whether or not there is also a change from any other heading, provided there is a regional value content of not less than: (a) 60 percent where the transaction value method is used; or (b) 50 percent where the net cost method is used.</w:t>
      </w:r>
    </w:p>
    <w:p>
      <w:pPr>
        <w:pStyle w:val="Normal"/>
      </w:pPr>
      <w:r>
        <w:t>9014.90 A change to subheading 9014.90 from any other heading; or No required change in tariff classification to subheading 9014.90, provided there is a regional value content of not less than: (a) 60 percent where the transaction value method is used; or (b) 50 percent where the net cost method is used. 9015.10-9015.80 A change to subheading 9015.10 through 9015.80 from any other heading; or A change to subheading 9015.10 through 9015.80 from subheading 9015.90, whether or not there is also a change from any other heading, provided there is a regional value content of not less than: (a) 60 percent where the transaction value method is used; or (b) 50 percent where the net cost method is used. 9015.90 A change to subheading 9015.90 from any other heading; or No required change in tariff classification to subheading 9015.90, provided there is a regional value content of not less than: 4-B-167 90.16 (a) 60 percent where the transaction value method is used; or (b) 50 percent where the net cost method is used.</w:t>
      </w:r>
    </w:p>
    <w:p>
      <w:pPr>
        <w:pStyle w:val="Normal"/>
      </w:pPr>
      <w:r>
        <w:t>A change to heading 90.16 from any other heading. 9017.10-9017.80 A change to subheading 9017.10 through 9017.80 from any other heading; or A change to subheading 9017.10 through 9017.80 from subheading 9017.90, whether or not there is also a change from any other heading, provided there is a regional value content of not less than: (a) 60 percent where the transaction value method is used; or (b) 50 percent where the net cost method is used.</w:t>
      </w:r>
    </w:p>
    <w:p>
      <w:pPr>
        <w:pStyle w:val="Normal"/>
      </w:pPr>
      <w:r>
        <w:t>9017.90 A change to subheading 9017.90 from any other heading. 9018.11 9018.11.aa A change to tariff item 9018.11.aa from any other tariff item, except from tariff item 9018.11.bb. 9018.11 A change to subheading 9018.11 from any other heading. 9018.12-9018.14 A change to subheading 9018.12 through 9018.14 from any other heading. 9018.19 9018.19.aa A change to tariff item 9018.19.aa from any other tariff item, except from tariff item 9018.19.bb. 9018.19 A change to subheading 9018.19 from any other heading. 9018.20-9018.50 A change to subheading 9018.20 through 9018.50 from any other heading. 9018.90 9018.90.aa A change to tariff item 9018.90.aa from any other tariff item, except from tariff item 9018.90.bb. 9018.90 A change to subheading 9018.90 from any other heading. 4-B-168 90.20 9019.10-9019.20 A change to subheading 9019.10 through 9019.20 from any other subheading, including another subheading within that group; or No required change in tariff classification to any of subheading 9019.10 through 9019.20, provided there is a regional value content of not less than: (a) 60 percent where the transaction value method is used; or (b) 50 percent where the net cost method is used. A change to heading 90.20 from any other heading.</w:t>
      </w:r>
    </w:p>
    <w:p>
      <w:pPr>
        <w:pStyle w:val="Normal"/>
      </w:pPr>
      <w:r>
        <w:t>9021.10-9021.90 A change to subheading 9021.10 through 9021.90 from any other subheading, including another subheading within that group; or No required change in tariff classification to any of subheading 9021.10 through 9021.90, provided there is a regional value content of not less than: (a) 60 percent where the transaction value method is used; or (b) 50 percent where the net cost method is used. 9022.12-9022.30 A change to subheading 9022.12 through 9022.30 from any other subheading, including another subheading within that group; or No required change in tariff classification to any of subheading 9022.12 through 9022.30, provided there is a regional value content of not less than: (a) 60 percent where the transaction value method is used; or (b) 50 percent where the net cost method is used. 9022.90 9022.90.aa A change to tariff item 9022.90.aa from any other tariff item. 9022.90 A change to subheading 9022.90 from any other heading; or No required change in tariff classification to subheading 9022.90, provided there is a regional value content of not less than:</w:t>
      </w:r>
    </w:p>
    <w:p>
      <w:pPr>
        <w:pStyle w:val="Normal"/>
      </w:pPr>
      <w:r>
        <w:t>4-B-169 90.23 (a) 60 percent where the transaction value method is used; or (b) 50 percent where the net cost method is used. A change to heading 90.23 from any other heading.</w:t>
      </w:r>
    </w:p>
    <w:p>
      <w:pPr>
        <w:pStyle w:val="Normal"/>
      </w:pPr>
      <w:r>
        <w:t>9024.10-9024.80 A change to subheading 9024.10 through 9024.80 from any other heading; or A change to subheading 9024.10 through 9024.80 from subheading 9024.90, whether or not there is also a change from any other heading, provided there is a regional value content of not less than: (a) 60 percent where the transaction value method is used; or (b) 50 percent where the net cost method is used. 9024.90 A change to subheading 9024.90 from any other heading; or No required change in tariff classification to subheading 9024.90, provided there is a regional value content of not less than: (a) 60 percent where the transaction value method is used; or (b) 50 percent where the net cost method is used. 9025.11-9025.80 A change to subheading 9025.11 through 9025.80 from any other heading; or A change to subheading 9025.11 through 9025.80 from subheading 9025.90, whether or not there is also a change from any other heading, provided there is a regional value content of not less than: (a) 45 percent where the transaction value method is used; or (b) 35 percent where the net cost method is used. 9025.90 A change to subheading 9025.90 from any other heading.</w:t>
      </w:r>
    </w:p>
    <w:p>
      <w:pPr>
        <w:pStyle w:val="Normal"/>
      </w:pPr>
      <w:r>
        <w:t>9026.10-9026.80 A change to subheading 9026.10 through 9026.80 from any other heading; or 4-B-170 A change to subheading 9026.10 through 9026.80 from subheading 9026.90, whether or not there is also a change from any other heading, provided there is a regional value content of not less than: (a) 60 percent where the transaction value method is used; or (b) 50 percent where the net cost method is used. 9026.90 A change to subheading 9026.90 from any other heading; or No required change in tariff classification to subheading 9026.90, provided there is a regional value content of not less than: (a) 60 percent where the transaction value method is used; or (b) 50 percent where the net cost method is used. 9027.10-9027.50 A change to subheading 9027.10 through 9027.50 from any other subheading, including another subheading within that group. 9027.80 A change to a good of subheading 9027.80 from any other good within that subheading or any other subheading.</w:t>
      </w:r>
    </w:p>
    <w:p>
      <w:pPr>
        <w:pStyle w:val="Normal"/>
      </w:pPr>
      <w:r>
        <w:t>9027.90 A change to subheading 9027.90 from any other heading; or No required change in tariff classification to subheading 9027.90, provided there is a regional value content of not less than: (a) 60 percent where the transaction value method is used; or (b) 50 percent where the net cost method is used.</w:t>
      </w:r>
    </w:p>
    <w:p>
      <w:pPr>
        <w:pStyle w:val="Normal"/>
      </w:pPr>
      <w:r>
        <w:t>9028.10-9028.30 A change to subheading 9028.10 through 9028.30 from any other heading; or A change to subheading 9028.10 through 9028.30 from subheading 9028.90, whether or not there is also a change from any other heading, provided there is a regional value content of not less than: (a) 60 percent where the transaction value method is used; or (b) 50 percent where the net cost method is used. 9028.90 A change to subheading 9028.90 from any other heading. 4-B-171 9029.10-9029.20 A change to subheading 9029.10 through 9029.20 from any other heading; or A change to subheading 9029.10 through 9029.20 from subheading 9029.90, whether or not there is also a change from any other heading, provided there is a regional value content of not less than: (a) 60 percent where the transaction value method is used; or (b) 50 percent where the net cost method is used. 9029.90 A change to subheading 9029.90 from any other heading; or No required change in tariff classification to subheading 9029.90, provided there is a regional value content of not less than:</w:t>
      </w:r>
    </w:p>
    <w:p>
      <w:pPr>
        <w:pStyle w:val="Normal"/>
      </w:pPr>
      <w:r>
        <w:t>(a) 60 percent where the transaction value method is used; or (b) 50 percent where the net cost method is used. 9030.10 A change to subheading 9030.10 from any other subheading. 9030.20 A change to cathode-ray oscilloscopes or cathode-ray oscillographs of subheading 9030.20 from any other good within that subheading or any other subheading; or A change to any other good of subheading 9030.20 from any other subheading.</w:t>
      </w:r>
    </w:p>
    <w:p>
      <w:pPr>
        <w:pStyle w:val="Normal"/>
      </w:pPr>
      <w:r>
        <w:t>9030.31 A change to subheading 9030.31 from any other subheading. 9030.32 A change to subheading 9030.32 from any other heading; or A change to subheading 9030.32 from subheading 9030.90, whether or not there is also a change from any other heading, provided there is a regional value content of not less than: (a) 60 percent where the transaction value method is used; or (b) 50 percent where the net cost method is used. 9030.33 A change to subheading 9030.33 from any other subheading, except from printed circuit assemblies (PCAs) of subheading 9030.90. 4-B-172 9030.39 A change to subheading 9030.39 from any other subheading. 9030.40-9030.82 A change to subheading 9030.40 through 9030.82 from any other heading; or A change to subheading 9030.40 through 9030.82 from subheading 9030.90, whether or not there is also a change from any other heading, provided there is a regional value content of not less than: (a) 60 percent where the transaction value method is used; or (b) 50 percent where the net cost method is used.</w:t>
      </w:r>
    </w:p>
    <w:p>
      <w:pPr>
        <w:pStyle w:val="Normal"/>
      </w:pPr>
      <w:r>
        <w:t>9030.84-9030.89 A change to subheading 9030.84 through 9030.89 from any other subheading, including another subheading within that group. 9030.90 A change to subheading 9030.90 from any other heading; or No required change in tariff classification to subheading 9030.90, provided there is a regional value content of not less than: (a) 60 percent where the transaction value method is used; or (b) 50 percent where the net cost method is used.</w:t>
      </w:r>
    </w:p>
    <w:p>
      <w:pPr>
        <w:pStyle w:val="Normal"/>
      </w:pPr>
      <w:r>
        <w:t>9031.10-9031.20 A change to subheading 9031.10 through 9031.20 from any other subheading, including another subheading within that group. 9031.41 A change to subheading 9031.41 from any other heading; or A change to subheading 9031.41 from subheading 9031.90, whether or not there is also a change from any other heading, provided there is a regional value content of not less than: (a) 60 percent where the transaction value method is used; or (b) 50 percent where the net cost method is used. 9031.49 9031.49.aa A change to tariff item 9031.49.aa from any other tariff item. 9031.49 A change to subheading 9031.49 from any other subheading. 4-B-173 9031.8048 A change to subheading 9031.80 from any other heading; or A change to subheading 9031.80 from subheading 9031.90, whether or not there is also a change from any other heading, provided there is a regional value content of not less than: (a) 60 percent where the transaction value method is used; or (b) 50 percent where the net cost method is used. 9031.90 A change to a good of 9031.90 from any other good within that subheading or any other subheading.</w:t>
      </w:r>
    </w:p>
    <w:p>
      <w:pPr>
        <w:pStyle w:val="Normal"/>
      </w:pPr>
      <w:r>
        <w:t>9032.10 A change to subheading 9032.10 from any other heading; or A change to a good of subheading 9032.10 from within that subheading or subheading 9032.89 through 9032.90, whether or not there is also a change from any other heading, provided there is a regional value content of not less than: (a) 45 percent where the transaction value method is used; or (b) 35 percent where the net cost method is used. 9032.20-9032.81 A change to subheading 9032.20 through 9032.81 from any other subheading, including another subheading within that group. 9032.8949 A change to subheading 9032.89 from any other heading; or A change to subheading 9032.89 from subheading 9032.90, whether or not there is also a change from any other heading, provided there is a regional value content of not less than: (a) 45 percent where the transaction value method is used; or (b) 35 percent where the net cost method is used.</w:t>
      </w:r>
    </w:p>
    <w:p>
      <w:pPr>
        <w:pStyle w:val="Normal"/>
      </w:pPr>
      <w:r>
        <w:t>9032.90 A change to subheading 9032.90 from any other heading; or 48 If the good is for use in a vehicle of Chapter 87, the provisions of the Appendix to this Annex apply. 49 If the good is for use in a vehicle of Chapter 87, the provisions of the Appendix to this Annex apply. 4-B-174 No required change in tariff classification to subheading 9032.90, provided there is a regional value content of not less than: (a) 60 percent where the transaction value method is used; or (b) 50 percent where the net cost method is used.</w:t>
      </w:r>
    </w:p>
    <w:p>
      <w:pPr>
        <w:pStyle w:val="Normal"/>
      </w:pPr>
      <w:r>
        <w:t>90.33 A change to heading 90.33 from any other heading; or No required change in tariff classification to heading 90.33, provided there is a regional value content of not less than: (a) 60 percent where the transaction value method is used; or (b) 50 percent where the net cost method is used. Chapter 91 Clocks and Watches and Parts Thereof 91.01-91.06 A change to heading 91.01 through 91.06 from any other chapter; or A change to heading 91.01 through 91.06 from heading 91.14, whether or not there is also a change from any other chapter, provided there is a regional value content of not less than: (a) 60 percent where the transaction value method is used; or (b) 50 percent where the net cost method is used. 91.07 A change to heading 91.07 from any other chapter; or A change to heading 91.07 from heading 91.14, whether or not there is also a change from any other chapter, provided there is a regional value content of not less than:</w:t>
      </w:r>
    </w:p>
    <w:p>
      <w:pPr>
        <w:pStyle w:val="Normal"/>
      </w:pPr>
      <w:r>
        <w:t>(a) 45 percent where the transaction value method is used; or (b) 35 percent where the net cost method is used. 91.08-91.10 A change to heading 91.08 through 91.10 from any other heading, including another heading within that group, provided there is a regional value content of not less than: (a) 60 percent where the transaction value method is used; or 4-B-175 (b) 50 percent where the net cost method is used.</w:t>
      </w:r>
    </w:p>
    <w:p>
      <w:pPr>
        <w:pStyle w:val="Normal"/>
      </w:pPr>
      <w:r>
        <w:t>9111.10-9111.80 A change to subheading 9111.10 through 9111.80 from subheading 9111.90 or any other heading, provided there is a regional value content of not less than: (a) 60 percent where the transaction value method is used; or (b) 50 percent where the net cost method is used. 9111.90 A change to subheading 9111.90 from any other heading, provided there is a regional value content of not less than: (a) 60 percent where the transaction value method is used; or (b) 50 percent where the net cost method is used. 9112.20 A change to subheading 9112.20 from subheading 9112.90 or any other heading, provided there is a regional value content of not less than: (a) 60 percent where the transaction value method is used; or (b) 50 percent where the net cost method is used. 9112.90 A change to subheading 9112.90 from any other heading, provided there is a regional value content of not less than: (a) 60 percent where the transaction value method is used; or (b) 50 percent where the net cost method is used.</w:t>
      </w:r>
    </w:p>
    <w:p>
      <w:pPr>
        <w:pStyle w:val="Normal"/>
      </w:pPr>
      <w:r>
        <w:t>91.13 A change to heading 91.13 from any other heading, provided there is a regional value content of not less than: (a) 60 percent where the transaction value method is used; or (b) 50 percent where the net cost method is used. 91.14 A change to heading 91.14 from any other heading.</w:t>
      </w:r>
    </w:p>
    <w:p>
      <w:pPr>
        <w:pStyle w:val="Normal"/>
      </w:pPr>
      <w:r>
        <w:t xml:space="preserve">Chapter 92 Musical Instruments; Parts and Accessories of Such Articles 92.01-92.08 A change to heading 92.01 through 92.08 from any other chapter; or 4-B-176 A change to heading 92.01 through 92.08 from heading 92.09, whether or not there is also a change from any other chapter, provided there is a regional value content of not less than: (a) 60 percent where the transaction value method is used; or (b) 50 percent where the net cost method is used. 92.09 A change to heading 92.09 from any other heading.</w:t>
      </w:r>
    </w:p>
    <w:p>
      <w:pPr>
        <w:pStyle w:val="AnnexSection"/>
      </w:pPr>
      <w:bookmarkStart w:id="900148" w:name="_Toc300000147"/>
      <w:r>
        <w:t xml:space="preserve">Section XIX - Arms and Ammunition; Parts and Accessories Thereof (Chapter 93)</w:t>
      </w:r>
      <w:bookmarkEnd w:id="900148"/>
    </w:p>
    <w:p>
      <w:pPr>
        <w:pStyle w:val="Normal"/>
      </w:pPr>
      <w:r>
        <w:t xml:space="preserve">Chapter 93 Arms and Ammunition; Parts and Accessories Thereof 93.01-93.04 A change to heading 93.01 through 93.04 from any other chapter; or A change to heading 93.01 through 93.04 from heading 93.05, whether or not there is also a change from any other chapter, provided there is a regional value content of not less than: (a) 60 percent where the transaction value method is used; or (b) 50 percent where the net cost method is used. 93.05 A change to heading 93.05 from any other heading. 93.06-93.07 A change to heading 93.06 through 93.07 from any other chapter.</w:t>
      </w:r>
    </w:p>
    <w:p>
      <w:pPr>
        <w:pStyle w:val="AnnexSection"/>
      </w:pPr>
      <w:bookmarkStart w:id="900149" w:name="_Toc300000148"/>
      <w:r>
        <w:t xml:space="preserve">Section XX - Miscellaneous Manufactured Articles (Chapter 94-96)</w:t>
      </w:r>
      <w:bookmarkEnd w:id="900149"/>
    </w:p>
    <w:p>
      <w:pPr>
        <w:pStyle w:val="Normal"/>
      </w:pPr>
      <w:r>
        <w:t xml:space="preserve">Chapter 94 Furniture; Bedding, Mattresses, Mattress Supports, Cushions and Similar Stuffed Furnishings; Lamps and Lighting Fittings, Not Elsewhere Specified or Included; Illuminated Signs, Illuminated Name-Plates and the Like; Prefabricated Buildings 9401.10-9401.8050 A change to subheading 9401.10 through 9401.80 from any other chapter; or 50 If the good is for use in a vehicle of Chapter 87, the provisions of the Appendix to this Annex apply. 4-B-177 A change to subheading 9401.10 through 9401.80 from subheading 9401.90, whether or not there is also a change from any other chapter, provided there is a regional value content of not less than: (a) 60 percent where the transaction value method is used; or (b) 50 percent where the net cost method is used. 9401.90 A change to subheading 9401.90 from any other heading. 9402.10-9402.90 A change to subheading 9402.10 through 9402.90 from any other subheading, including another subheading within that group.</w:t>
      </w:r>
    </w:p>
    <w:p>
      <w:pPr>
        <w:pStyle w:val="Normal"/>
      </w:pPr>
      <w:r>
        <w:t>9403.10-9403.89 A change to subheading 9403.10 through 9403.89 from any other chapter; or A change to subheading 9403.10 through 9403.89 from subheading 9403.90, whether or not there is also a change from any other chapter, provided there is a regional value content of not less than: (a) 60 percent where the transaction value method is used; or (b) 50 percent where the net cost method is used. 9403.90 A change to subheading 9403.90 from any other heading.</w:t>
      </w:r>
    </w:p>
    <w:p>
      <w:pPr>
        <w:pStyle w:val="Normal"/>
      </w:pPr>
      <w:r>
        <w:t>9404.10-9404.30 A change to subheading 9404.10 through 9404.30 from any other chapter. 9404.90 A change to subheading 9404.90 from any other chapter, except from heading 50.07, 51.11 through 51.13, 52.08 through 52.12, 53.10 through 53.11, 54.07 through 54.08 or 55.12 through 55.16. 9405.10-9405.40 A change to subheading 9405.10 through 9405.40 from any subheading outside that group. 9405.50 A change to subheading 9405.50 from any other chapter; or A change to subheading 9405.50 from subheading 9405.91 through 9405.99, whether or not there is also a change from any other chapter, provided there is a regional value content of not less than: (a) 60 percent where the transaction value method is used; or (b) 50 percent where the net cost method is used. 4-B-178 9405.60 A change to subheading 9405.60 from any other subheading. 9405.91-9405.99 A change to subheading 9405.91 through 9405.99 from any other heading. 94.06 A change to heading 94.06 from any other chapter. Chapter 95 Toys, Games and Sports Requisites;</w:t>
      </w:r>
    </w:p>
    <w:p>
      <w:pPr>
        <w:pStyle w:val="Normal"/>
      </w:pPr>
      <w:r>
        <w:t>Parts and Accessories Thereof 9503.00-9505.90 A change to subheading 9503.00 through 9505.90 from any other subheading, including another subheading within that group; or No required change in tariff classification to any of subheading 9503.00 through 9505.90, provided there is a regional value content of not less than: (a) 45 percent where the transaction value method is used; or (b) 35 percent where the net cost method is used.</w:t>
      </w:r>
    </w:p>
    <w:p>
      <w:pPr>
        <w:pStyle w:val="Normal"/>
      </w:pPr>
      <w:r>
        <w:t>9506.11-9506.29 A change to subheading 9506.11 through 9506.29 from any other chapter. 9506.31 A change to subheading 9506.31 from any other chapter; or A change to subheading 9506.31 from subheading 9506.39, whether or not there is also a change from any other chapter, provided there is a regional value content of not less than: (a) 60 percent where the transaction value method is used; or (b) 50 percent where the net cost method is used. 9506.32-9506.39 A change to subheading 9506.32 through 9506.39 from any other chapter. 9506.40-9506.99 A change to subheading 9506.40 through 9506.99 from any other chapter. 95.07-95.08 A change to heading 95.07 through 95.08 from any other chapter. Chapter 96 Miscellaneous Manufactured Articles 96.01-96.05 A change to heading 96.01 through 96.05 from any other chapter. 9606.10 A change to subheading 9606.10 from any other chapter.</w:t>
      </w:r>
    </w:p>
    <w:p>
      <w:pPr>
        <w:pStyle w:val="Normal"/>
      </w:pPr>
      <w:r>
        <w:t>4-B-179 9606.21-9606.29 A change to subheading 9606.21 through 9606.29 from any other chapter; or A change to subheading 9606.21 through 9606.29 from subheading 9606.30, whether or not there is also a change from any other chapter, provided there is a regional value content of not less than: (a) 60 percent where the transaction value method is used; or (b) 50 percent where the net cost method is used. 9606.30 A change to subheading 9606.30 from any other heading.</w:t>
      </w:r>
    </w:p>
    <w:p>
      <w:pPr>
        <w:pStyle w:val="Normal"/>
      </w:pPr>
      <w:r>
        <w:t>9607.11-9607.19 A change to subheading 9607.11 through 9607.19 from any other chapter; or A change to subheading 9607.11 through 9607.19 from subheading 9607.20, whether or not there is also a change from any other chapter, provided there is a regional value content of not less than: (a) 60 percent where the transaction value method is used; or (b) 50 percent where the net cost method is used. 9607.20 A change to subheading 9607.20 from any other heading. 9608.10-9608.50 A change to subheading 9608.10 through 9608.50 from any other chapter; or A change to subheading 9608.10 through 9608.50 from subheading 9608.60 through 9608.99, whether or not there is also a change from any other chapter, provided there is a regional value content of not less than: (a) 60 percent where the transaction value method is used; or (b) 50 percent where the net cost method is used. 9608.60-9608.99 A change to subheading 9608.60 through 9608.99 from any other heading. 96.09-96.12 A change to heading 96.09 through 96.12 from any other chapter.</w:t>
      </w:r>
    </w:p>
    <w:p>
      <w:pPr>
        <w:pStyle w:val="Normal"/>
      </w:pPr>
      <w:r>
        <w:t>9613.10-9613.80 A change to subheading 9613.10 through 9613.80 from any other chapter; or 4-B-180 A change to subheading 9613.10 through 9613.80 from subheading 9613.90, whether or not there is also a change from any other chapter, provided there is a regional value content of not less than: (a) 45 percent where the transaction value method is used; or (b) 35 percent where the net cost method is used.</w:t>
      </w:r>
    </w:p>
    <w:p>
      <w:pPr>
        <w:pStyle w:val="Normal"/>
      </w:pPr>
      <w:r>
        <w:t>9613.90 A change to subheading 9613.90 from any other heading. 96.14 A change to a good of heading 96.14 from any other good within that heading or any other heading. 9615.11-9615.19 A change to subheading 9615.11 through 9615.19 from any other chapter; or A change to subheading 9615.11 through 9615.19 from subheading 9615.90, whether or not there is also a change from any other chapter, provided there is a regional value content of not less than: (a) 60 percent where the transaction value method is used; or (b) 50 percent where the net cost method is used. 9615.90 A change to subheading 9615.90 from any other heading. 96.16-96.18 A change to heading 96.16 through 96.18 from any other chapter. 96.19 Note: A good of heading 96.19 shall be considered originating, notwithstanding the origin of the following materials, provided that the good otherwise meets the applicable product-specific rule of origin: (a) rayon filament, other than lyocell or acetate, of heading 54.03 or 54.05; or (b) rayon fiber, other than lyocell or acetate, of heading 55.02, 55.04, or 55.07.</w:t>
      </w:r>
    </w:p>
    <w:p>
      <w:pPr>
        <w:pStyle w:val="Normal"/>
      </w:pPr>
      <w:r>
        <w:t xml:space="preserve">A change to sanitary towels or tampons of heading 96.19 from any other chapter, except from heading 51.06 through 51.13, 52.04 through 52.12, 53.10 through 53.11 or Chapter 54 through 55; 4-B-181 A change to a good of textile wadding of heading 96.19 from any other heading, except from heading 51.06 through 51.13, 52.04 through 52.12, 53.10 through 53.11, Chapter 54 through 56 or 61 through 62; A change to any other good of textile material of heading 96.19 from any other chapter, except from heading 51.06 through 51.13, 52.04 through 52.12, 53.10 through 53.11, Chapter 54, heading 55.08 through 55.16, 60.01 through 60.06, or Chapter 61 through 62, provided the good is cut or knit to shape, or both, and sewn or otherwise assembled in the territory of one or more of the Parties; or A change to any other good of heading 96.19 from any other heading.</w:t>
      </w:r>
    </w:p>
    <w:p>
      <w:pPr>
        <w:pStyle w:val="AnnexSection"/>
      </w:pPr>
      <w:bookmarkStart w:id="900150" w:name="_Toc300000149"/>
      <w:r>
        <w:t xml:space="preserve">Section XXI - Works of Art, Collectors’ Pieces and Antiques</w:t>
      </w:r>
      <w:bookmarkEnd w:id="900150"/>
    </w:p>
    <w:p>
      <w:pPr>
        <w:pStyle w:val="Normal"/>
      </w:pPr>
      <w:r>
        <w:t xml:space="preserve">Chapter 97 Works of Art, Collectors’ Pieces and Antiques 97.01-97.06 A change to heading 97.01 through 97.06 from any other chapter.</w:t>
      </w:r>
    </w:p>
    <w:p>
      <w:pPr>
        <w:pStyle w:val="Normal"/>
      </w:pPr>
      <w:r>
        <w:t xml:space="preserve">4-B-182</w:t>
      </w:r>
    </w:p>
    <w:p>
      <w:pPr>
        <w:pStyle w:val="AnnexSection"/>
      </w:pPr>
      <w:bookmarkStart w:id="900151" w:name="_Toc300000150"/>
      <w:r>
        <w:t xml:space="preserve">Section C: Revised Tariff Items (HS 2012)</w:t>
      </w:r>
      <w:bookmarkEnd w:id="900151"/>
    </w:p>
    <w:p>
      <w:pPr>
        <w:pStyle w:val="Normal"/>
      </w:pPr>
      <w:r>
        <w:t xml:space="preserve">TARIFF ITEM CANADA (HS 2012) USA (HS 2012) MEXICO (HS 2012) DESCRIPTION 1806.10.aa 1806.10.10 1806.10.43 1806.10.45 1806.10.55 1806.10.65 1806.10.75 1806.10.01 Containing 90 percent or more by weight of sugar 1901.10.aa 1901.10.20 1901.10.05 1901.10.15 1901.10.30 1901.10.35 1901.10.40 1901.10.45 1901.10.01 Containing over 10 percent by weight of milk solids 4-B-183 TARIFF ITEM CANADA (HS 2012) USA (HS 2012) MEXICO (HS 2012) DESCRIPTION 1901.20.aa 1901.20.11 1901.20.02 1901.20.01 Containing over 25 percent by weight of 1901.20.12 1901.20.05 1901.20.02 butterfat, not put up for retail sale 1901.20.21 1901.20.15 1901.20.22 1901.20.20 1901.20.25 1901.20.30 1901.20.35 1901.20.40 1901.90.aa 1901.90.31 1901.90.32 1901.90.03 Dairy preparations containing over 10 1901.90.32 1901.90.33 1901.90.04 percent by weight of milk solids 1901.90.33 1901.90.34 1901.90.05 1901.90.34 1901.90.36 1901.90.39 1901.90.38 1901.90.51 1901.90.42 1901.90.52 1901.90.43 1901.90.53 1901.90.54 1901.90.59 4-B-184 TARIFF ITEM CANADA (HS 2012) USA (HS 2012) MEXICO (HS 2012) DESCRIPTION 2101.11.aa 2101.11.10 2101.11.21 2101.11.01 Instant coffee, not flavoured 2103.20.aa 2103.20.10 2103.20.20 2103.20.01 Ketchup 2106.90.bb 2106.90.cc 2106.90.91 2106.90.92 2106.90.48 2106.90.52 2106.90.54 2106.90.06 2106.90.07 Concentrated fruit or vegetable juices, fortified with minerals or vitamins: Of any single fruit or vegetable Of mixtures of fruit or vegetable juices 4-B-185</w:t>
      </w:r>
    </w:p>
    <w:p>
      <w:pPr>
        <w:pStyle w:val="Normal"/>
      </w:pPr>
      <w:r>
        <w:t>TARIFF ITEM CANADA (HS 2012) USA (HS 2012) MEXICO (HS 2012) DESCRIPTION 2106.90.dd 2106.90.31 2106.90.03 2106.90.08 Containing over 10 percent by weight of 2106.90.32 2106.90.06 milk solids 2106.90.33 2106.90.09 2106.90.34 2106.90.22 2106.90.35 2106.90.24 2106.90.93 2106.90.26 2106.90.94 2106.90.28 2106.90.95 2106.90.62 2106.90.64 2106.90.66 2106.90.68 2106.90.72 2106.90.74 2106.90.76 2106.90.78 2106.90.80 2106.90.82 4-B-186 TARIFF ITEM CANADA (HS 2012) USA (HS 2012) MEXICO (HS 2012) DESCRIPTION 2106.90.ee 2106.90.96 2106.90.12 2106.90.10 Compound preparations, with an alcoholic 2106.90.15 2106.90.11 strength exceeding 0.5 percent by volume, of a 2106.90.18 kind used in the manufacture of beverages Fruit or vegetable juices, fortified with minerals or vitamins: 2202.90.aa 2202.90.31 2202.90.30 2202.90.02 Of any single fruit or vegetable 2202.90.bb 2202.90.32 2202.90.37 2202.90.03 Of mixtures of fruit or vegetable juices 2202.90.cc 2202.90.41 2202.90.10 2202.90.04 Beverages containing milk 2202.90.42 2202.90.22 2202.90.43 2202.90.24 2202.90.49 2202.90.28 4-B-187 TARIFF ITEM CANADA (HS 2012) USA (HS 2012) MEXICO (HS 2012) DESCRIPTION 2309.90.aa 2309.90.31 2309.90.32 2309.90.33 2309.90.35 2309.90.36 2309.90.22 2309.90.24 2309.90.28 2309.90.10 2309.90.11 Containing over 10 percent by weight of milk solids 2401.10.aa 2401.10.10 2401.10.21 2401.10.01 Wrapper tobacco 2401.20.aa 2401.20.10 2401.20.14 2401.20.02 Wrapper tobacco 2403.91.aa 2403.91.10 2403.91.20 2403.91.01 Of a kind</w:t>
      </w:r>
    </w:p>
    <w:p>
      <w:pPr>
        <w:pStyle w:val="Normal"/>
      </w:pPr>
      <w:r>
        <w:t>used as wrapper tobacco 4010.39.aa 4010.39.10 4010.39.10 4010.39.20 4010.39.01 Endless transmission belts (V-belts) 4016.93.aa 4016.93.10 4016.93.10 4016.93.01 4016.93.02 Rubber, gaskets, washers and other seals for automotive goods) 4016.99.aa 4016.99.30 4016.99.30 4016.99.55 4016.99.10 Vibration control goods of a kind used in the vehicles of heading 87.01 through 87.05 4-B-188 TARIFF ITEM CANADA (HS 2012) USA (HS 2012) MEXICO (HS 2012) DESCRIPTION 4105.10.aa 4105.10.21 4105.10.29 4105.10.10 4105.10.03 Wet blue 7011.20.aa 7011.20.10 7011.20.10 7011.20.02 7011.20.03 Cones 7304.41.aa 7304.41.11 7304.41.19 7304.41.30 7304.41.02 Of an external diameter of less than 19 mm 7321.11.aa 7321.11.10 7321.11.30 7321.11.01 7321.11.02 Stoves or ranges (other than portable) 7321.90.aa 7321.90.21 7321.90.10 7321.90.05 Parts: Of stoves or ranges (other than portable): Cooking chambers, whether or not assembled 4-B-189 TARIFF ITEM CANADA (HS 2012) USA (HS 2012) MEXICO (HS 2012) DESCRIPTION 7321.90.bb 7321.90.cc 7321.90.22 7321.90.23 7321.90.20 7321.90.40 7321.90.06 7321.90.07 Top surface panels with or without burners or control Door assemblies, incorporating more than one of the following: inner panel, outer panel, window, insulation 7404.00.aa 7404.00.10 7404.00.20 7404.00.91 7404.00.30 7404.00.02 Spent anodes; waste and scrap with a copper content of less than 94 percent by weight 7407.10.aa 7407.10.11 7407.10.12 7407.10.15 7407.10.02 Hollow profiles 7407.21.aa 7407.21.21 7407.21.22</w:t>
      </w:r>
    </w:p>
    <w:p>
      <w:pPr>
        <w:pStyle w:val="Normal"/>
      </w:pPr>
      <w:r>
        <w:t>7407.21.15 7407.21.02 Hollow profiles 4-B-190 TARIFF ITEM CANADA (HS 2012) USA (HS 2012) MEXICO (HS 2012) DESCRIPTION 7407.29.aa ex. 7407.29.21 ex. 7407.29.29 7407.29.90 7407.29.16 7407.29.02 7407.29.03 Hollow profiles 7408.11.aa 7408.11.11 7408.11.12 7408.11.60 7408.11.01 With a maximum cross- sectional dimension not exceeding 9.5 mm 7506.10.aa 7506.10.10 7506.10.05 7506.10.01 Foil, not exceeding 0.15 mm in thickness 7506.20.aa 7506.20.10 7506.20.05 7506.20.01 Foil, not exceeding 0.15 mm in thickness 8406.90.aa 8406.90.22 8406.90.33 8406.90.34 8406.90.20 8406.90.50 8406.90.01 Rotors, finished for final assembly 4-B-191 TARIFF ITEM CANADA (HS 2012) USA (HS 2012) MEXICO (HS 2012) DESCRIPTION 8406.90.bb 8406.90.cc 8406.90.23 8406.90.36 8406.90.37 8406.90.21 8406.90.31 8406.90.32 8406.90.40 8406.90.70 8406.90.30 8406.90.60 8406.90.02 8406.90.03 Blades, rotating or stationary Rotors, not further advanced than cleaned or machined for removal of fins, gates, sprues, and risers, or to permit location in finishing machinery 8407.34.aa 8407.34.10 8407.34.05 8407.34.14 8407.34.18 8407.34.25 8407.34.02 Engines of a cylinder capacity exceeding 1000 cc but not exceeding 2000 cc 8407.34.bb 8407.34.21 8407.34.29 8407.34.35 8407.34.44 8407.34.48 8407.34.55 8407.34.99 Engines of a cylinder capacity exceeding 2000 cc 8414.59.aa see 8414.80.aa 8414.59.30 see 8414.80.aa Turbochargers and superchargers for motor vehicles, where not provided for under subheading 8414.80 8414.80.aa 8414.80.10</w:t>
      </w:r>
    </w:p>
    <w:p>
      <w:pPr>
        <w:pStyle w:val="Normal"/>
      </w:pPr>
      <w:r>
        <w:t>8414.80.05 8414.80.14 Turbochargers and superchargers for motor vehicles, where not provided for under subheading 8414.59 4-B-192 TARIFF ITEM CANADA (HS 2012) USA (HS 2012) MEXICO (HS 2012) DESCRIPTION 8414.90.aa 8414.90.10 8414.90.30 8414.90.04 Stators and rotors of goods of subheading 8414.30 8415.90.aa 8415.90.11 8415.90.21 8415.90.22 8415.90.40 8415.90.01 Chassis, chassis bases and outer cabinets 8418.99.aa 8418.99.10 8418.99.40 8418.99.04 Door assemblies incorporating more than one of the following: inner panel; outer panel; insulation; hinges; handles 8421.39.aa 8421.39.20 8421.39.40 8421.39.08 Catalytic converters 8421.91.aa 8421.91.bb 8421.91.10 8421.91.20 8421.91.20 8421.91.40 8421.91.02 8421.91.03 Drying chambers for the goods of subheading 8421.12 and other parts of clothes-dryers incorporating drying chambers Furniture designed to receive the goods of subheading 8421.12 4-B-193 TARIFF ITEM CANADA (HS 2012) USA (HS 2012) MEXICO (HS 2012) DESCRIPTION 8422.90.aa 8422.90.bb 8422.90.10 8422.90.20 8422.90.02 8422.90.04 8422.90.03 8422.90.04 Water containment chambers for the goods of subheading 8422.11 and other parts of dishwashing machines of the household type incorporating water containment chambers Door assemblies for the goods of subheading 8422.11 8427.10.aa 8427.10.10 8427.10.40 8427.10.01 8427.10.02 Rider-type, counterbalanced fork-lift trucks 8450.90.aa 8450.90.bb 8450.90.10 8450.90.20 8450.90.20 8450.90.40 8450.90.01 8450.90.02 Tubs and tub assemblies</w:t>
      </w:r>
    </w:p>
    <w:p>
      <w:pPr>
        <w:pStyle w:val="Normal"/>
      </w:pPr>
      <w:r>
        <w:t>Furniture designed to receive the goods of subheading 8450.11 through 8450.20 4-B-194 TARIFF ITEM CANADA (HS 2012) USA (HS 2012) MEXICO (HS 2012) DESCRIPTION 8451.90.aa 8451.90.bb 8451.90.10 8451.90.20 8451.90.30 8451.90.60 8451.90.01 8451.90.02 Drying chambers for the goods of subheading 8451.21 or 8451.29 and other parts of drying machines incorporating drying chambers Furniture designed to receive the goods of subheading 8451.21 or 8451.29 8455.90.aa 8455.90.10 8455.90.40 8455.90.01 Castings or weldments, individually weighing less than 90 tons, for the machines of heading 84.55 8459.70.aa 8459.70.10 8459.70.40 8459.70.02 Numerically controlled 8460.40.aa 8460.40.10 8460.40.40 8460.40.02 Numerically controlled 8460.90.aa 8460.90.10 8460.90.40 8460.90.01 Numerically controlled 8461.20.aa 8461.20.10 8461.20.40 8461.20.01 Numerically controlled 4-B-195 TARIFF ITEM CANADA (HS 2012) USA (HS 2012) MEXICO (HS 2012) DESCRIPTION 8461.30.aa 8461.30.10 8461.30.40 8461.30.01 Numerically controlled 8461.50.aa 8461.50.11 8461.50.19 8461.50.40 8461.50.01 Numerically controlled 8461.90.aa 8461.90.10 8461.90.30 8461.90.02 Numerically controlled 8462.99.aa 8462.99.11 8462.99.19 8462.99.40 8462.99.01 Numerically controlled 8466.93.aa 8466.93.10 8466.93.15 8466.93.30 8466.93.53 8466.93.04 Bed, base, table, head, tail, saddle, cradle, cross slide, column, arm, saw arm, wheelhead, tailstock, headstock, ram, frame, work-arbor support, and C-frame castings, weldments or fabrications 8466.94.aa</w:t>
      </w:r>
    </w:p>
    <w:p>
      <w:pPr>
        <w:pStyle w:val="Normal"/>
      </w:pPr>
      <w:r>
        <w:t>8466.94.10 8466.94.20 8466.94.65 8466.94.01 Bed, base, table, column, cradle, frame, bolster, crown, slide, rod, tailstock and headstock castings, weldments or fabrications 4-B-196 TARIFF ITEM CANADA (HS 2012) USA (HS 2012) MEXICO (HS 2012) DESCRIPTION 8471.80.aa 8471.80.cc 8471.80.10 8471.80.91 8471.80.10 8471.80.40 8471.80.03 8471.80.01 Control or adapter units Other units suitable for physical incorporation into automatic data processing machines or units thereof 8473.10.aa 8473.10.bb 8473.10.00 8473.10.20 8473.10.40 8473.10.60 8473.10.01 8473.10.99 Parts for word processing machines of heading 84.69 Parts of other machines of heading 84.69 8473.30.aa 8473.30.bb 8473.30.20 8473.30.30 8473.30.10 8473.30.20 8473.30.02 8473.30.03 Printed circuit assemblies Parts and accessories, including face plates and lock latches, of printed circuit assemblies 4-B-197 TARIFF ITEM CANADA (HS 2012) USA (HS 2012) MEXICO (HS 2012) DESCRIPTION 8473.50.aa 8473.50.bb 8473.50.10 8473.50.20 8473.50.30 8473.50.60 8473.50.01 8473.50.02 Printed circuit assemblies Parts and accessories, including face plates and lock latches, of printed circuit assemblies 8477.90.aa 8477.90.bb 8477.90.cc 8477.90.10 8477.90.20 8477.90.30 8477.90.25 8477.90.45 8477.90.65 8477.90.01 8477.90.02 8477.90.03 Base, bed, platen, clamp cylinder, ram and injection castings, weldments, and fabrications Barrel screws Hydraulic assemblies incorporating more than one of the following: manifold, valves, pump, oil cooler 8479.90.aa</w:t>
      </w:r>
    </w:p>
    <w:p>
      <w:pPr>
        <w:pStyle w:val="Normal"/>
      </w:pPr>
      <w:r>
        <w:t>8479.90.11 8479.90.45 8479.90.17 Frame assemblies incorporating more than one of the following: baseplate, side frames, power screws, front plates 4-B-198 TARIFF ITEM CANADA (HS 2012) USA (HS 2012) MEXICO (HS 2012) DESCRIPTION 8479.90.bb 8479.90.cc 8479.90.dd 8479.90.12 8479.90.13 8479.90.14 8479.90.55 8479.90.65 8479.90.75 8479.90.15 8479.90.07 8479.90.04 Ram assemblies incorporating a ram wrapper and/or ram cover Container assemblies incorporating more than one of the following: container bottom, container wrapper, slide track, container front Cabinet or cases 8482.99.aa 8482.99.11 8482.99.19 8482.99.05 8482.99.15 8482.99.25 8482.99.01 8482.99.02 8482.99.03 Inner or outer rings or races 8501.32.aa 8501.32.20 8501.32.45 8501.32.06 Electric motors that provide primary source for electric powered vehicles of subheading 8703.90 8503.00.aa 8503.00.10 8503.00.35 8503.00.45 8503.00.65 8503.00.01 8503.00.03 8503.00.05 Stators and rotors for the goods of heading 85.01. 4-B-199 TARIFF ITEM CANADA (HS 2012) USA (HS 2012) MEXICO (HS 2012) DESCRIPTION 8504.40.aa 8504.40.bb 8504.40.30 8504.40.40 8504.40.60 8504.40.70 8504.40.40 8504.40.10 8504.40.12 8504.40.14 8504.40.13 Power supplies for the automatic data processing machines of heading 84.71 Speed drive controllers for electric motors 8507.20.aa 8507.20.10 8507.20.40 8507.20.03 Batteries that provide primary source for electric cars.</w:t>
      </w:r>
    </w:p>
    <w:p>
      <w:pPr>
        <w:pStyle w:val="Normal"/>
      </w:pPr>
      <w:r>
        <w:t>8507.30.aa 8507.30.20 8507.30.40 8507.30.01 Batteries that provide primary source for electric cars 8507.40.aa 8507.40.10 8507.40.40 8507.40.01 Batteries that provide primary source for electric cars 8507.80.aa 8507.80.20 8507.80.40 8507.80.01 Batteries that provide primary source for electric cars 8516.90.cc 8516.90.30 8516.90.35 8516.90.06 Assemblies for the goods of subheading 8516.50, incorporating more than one of the following: cooking chamber; structural supporting chassis; door; outer case 4-B-200 TARIFF ITEM CANADA (HS 2012) USA (HS 2012) MEXICO (HS 2012) DESCRIPTION 8516.90.dd 8516.90.40 8516.90.45 8516.90.07 Printed circuit assemblies for the goods of subheading 8516.50 For the goods of tariff item 8516.60.aa: 8516.90.ee 8516.90.50 8516.90.55 8516.90.08 Cooking chambers whether or not assembled 8516.90.ff 8516.90.60 8516.90.65 8516.90.09 Top surface panels with or without heating elements or controls 8516.90.gg 8516.90.70 8516.90.75 8516.90.10 Door assemblies incorporating more than one of the following: inner panel; outer panel; window; insulation 8522.90.aa 8522.90.10 8522.90.25 8522.90.07 Printed circuit assemblies for the 8522.90.45 apparatus provided for in heading 85.19 and 85.21 8522.90.65 4-B-201 TARIFF ITEM CANADA (HS 2012) USA (HS 2012) MEXICO (HS 2012) DESCRIPTION 8533.90.aa 8533.90.10 8533.90.40 8533.90.02 For the goods of subheading 8533.40, of ceramic or metallic materials, electrically or mechanically reactive to changes in temperature 8535.90.aa</w:t>
      </w:r>
    </w:p>
    <w:p>
      <w:pPr>
        <w:pStyle w:val="Normal"/>
      </w:pPr>
      <w:r>
        <w:t>8535.90.30 8535.90.40 8535.90.08 8535.90.20 Motor starters and motor overload protectors 8536.30.aa 8536.30.10 8536.30.20 8536.30.40 8536.30.05 Motor overload protectors 8536.50.aa 8536.50.11 8536.50.12 8536.50.19 8536.50.40 8536.50.13 8536.50.14 Motor starters 8537.10.aa 8537.10.11 8537.10.91 8537.10.30 8537.10.05 Assembled with outer housing or supports, for the goods of heading 84.21, 84.22, 84.50 or 85.16 4-B-202 TARIFF ITEM CANADA (HS 2012) USA (HS 2012) MEXICO (HS 2012) DESCRIPTION 8537.10.bb 8537.10.21 8537.10.29 8537.10.60 8537.10.06 Motor control centers 8538.90.aa 8538.90.10 8538.90.40 8538.90.04 For the goods of tariff item 8535.90.aa, 8536.30.aa or 8536.50.aa, of ceramic or metallic materials, electrically or mechanically reactive to changes in temperature 8538.90.bb 8538.90.20 8538.90.10 8538.90.05 Printed circuit assemblies 8538.90.30 8538.90.cc 8538.90.31 8538.90.60 8538.90.01 Moulded parts 8538.90.39 8540.11.aa 8540.11.22 8540.11.10 8540.11.03 Non-high definition, non-projection, having a 8540.11.05 video display diagonal exceeding 14 inches (35.56 cm) 8540.11.bb 8540.11.21 8540.11.24 8540.11.04 Non-high definition, non-projection, having a 8540.11.28 video display diagonal not exceeding 14 inches (35.56 cm) 4-B-203 TARIFF ITEM CANADA (HS 2012) USA (HS 2012) MEXICO (HS 2012) DESCRIPTION 8540.11.cc 8540.11.dd 8540.11.12 8540.11.11 8540.11.30 8540.11.44 8540.11.48 8540.11.01 8540.11.05 8540.11.02 High definition, having a video display diagonal exceeding 14</w:t>
      </w:r>
    </w:p>
    <w:p>
      <w:pPr>
        <w:pStyle w:val="Normal"/>
      </w:pPr>
      <w:r>
        <w:t>inches (35.56 cm) High definition, having a video display diagonal not exceeding 14 inches (35.56 cm) 8540.12.aa 8540.12.bb 8540.12.91 8540.12.99 8540.12.11 8540.12.19 8540.12.10 8540.12.50 8540.12.20 8540.12.70 8540.12.99 8540.12.01 Non-high definition High definition 8540.91.aa 8540.91.10 8540.91.15 8540.91.01 Front panel assemblies 8540.99.aa 8540.99.10 8540.99.40 8540.99.03 Electron guns; radio frequency (RF) interaction structures for microwave tubes of subheading 8540.71 through 8540.79 4-B-204 TARIFF ITEM CANADA (HS 2012) USA (HS 2012) MEXICO (HS 2012) DESCRIPTION 8548.10.aa 8548.10.10 8548.10.05 8548.10.15 8548.10.01 Spent primary cells, spent primary batteries and spent electric accumulators 8607.19.aa 8607.19.bb 8607.19.cc 8607.19.11 8607.19.19 8607.19.30 8607.19.21 8607.19.29 8607.19.03 8607.19.06 8607.19.12 8607.19.01 8607.19.99 8607.19.06 8607.19.02 8607.19.03 Axles Parts of axles Wheels, whether or not fitted with axles 8607.19.dd 8607.19.30 8607.19.40 8607.19.15 8607.19.04 8607.19.05 8607.19.06 Parts of wheels 4-B-205 TARIFF ITEM CANADA (HS 2012) USA (HS 2012) MEXICO (HS 2012) DESCRIPTION 8702.10.bb 8702.10.20 8702.10.60 8702.10.01 8702.10.02 Designed for the transport of 15 or fewer persons, including the driver 8706.00.aa 8706.00.20 8706.00.03 8706.00.15 8706.00.01 8706.00.02 Chassis of vehicles of heading 87.03 and subheading 8704.21 and 8704.31 8706.00.bb 8706.00.10 8706.00.90 8706.00.05 8706.00.25 8706.00.30 8706.00.50 8706.00.99 Chassis for other</w:t>
      </w:r>
    </w:p>
    <w:p>
      <w:pPr>
        <w:pStyle w:val="Normal"/>
      </w:pPr>
      <w:r>
        <w:t>vehicles 8708.10.aa 8708.10.10 8708.10.30 8708.10.03 Bumpers, but not parts thereof 8708.29.aa 8708.29.11 8708.29.19 8708.29.20 8708.29.20 Body stampings 8708.29.cc 8708.29.20 8708.29.15 8708.29.19 Door assemblies 8708.70.aa 8708.70.11 8708.70.19 8708.70.05 8708.70.25 8708.70.45 8708.70.03 8708.70.04 Road wheels, but not parts or accessories thereof 8708.93.aa 8708.93.11 8708.93.19 8708.93.15 8708.93.60 8708.93.04 Clutches, but not parts thereof 8708.99.aa 8708.99.41 8708.99.49 8708.99.03 8708.99.27 8708.99.55 8708.99.11 Vibration control goods containing rubber 4-B-206 TARIFF ITEM CANADA (HS 2012) USA (HS 2012) MEXICO (HS 2012) DESCRIPTION 8708.99.bb 8708.99.51 8708.99.59 8708.99.06 8708.99.31 8708.99.58 8708.99.10 Doubled flanged wheel hub units incorporating ball bearings 8708.99.ee 8708.99.14 8708.99.15 8708.99.19 8708.99.15 8708.99.16 8708.99.40 8708.99.41 8708.99.67 8708.99.68 8708.99.99 Other parts for powertrains 8708.99.hh 8708.99.91 8708.99.99 8708.99.23 8708.99.24 8708.99.48 8708.99.49 8708.99.80 8708.99.81 8708.99.01 8708.99.02 8708.99.03 8708.99.04 8708.99.05 8708.99.06 8708.99.07 8708.99.08 8708.99.09 8708.99.12 8708.99.13 8708.99.14 8708.99.99 Other parts and accessories not elsewhere classified under subheading 8708.99 9005.90.aa 9005.90.11 9005.90.91 9005.90.40 9005.90.01 Incorporating goods of heading 90.01 or 90.02 9018.11.aa 9018.11.bb 9018.11.10 9018.11.91 9018.11.30 9018.11.60 9018.11.01 9018.11.02 Electrocardiographs Printed circuit assemblies 4-B-207</w:t>
      </w:r>
    </w:p>
    <w:p>
      <w:pPr>
        <w:pStyle w:val="Normal"/>
      </w:pPr>
      <w:r>
        <w:t xml:space="preserve">TARIFF ITEM CANADA (HS 2012) USA (HS 2012) MEXICO (HS 2012) DESCRIPTION 9018.19.aa 9018.19.bb 9018.19.10 9018.19.20 9018.19.55 9018.19.75 9018.19.05 9018.19.10 Patient monitoring systems Printed circuit assemblies for parameter acquisition modules 9018.90.aa 9018.90.bb 9018.90.10 9018.90.20 9018.90.64 9018.90.68 9018.90.18 9018.90.24 Defibrillators Printed circuit assemblies for the goods of tariff item 9018.90.aa 9022.90.aa 9022.90.10 9022.90.05 9022.90.01 Radiation generator units 9031.49.aa 9031.49.10 9031.49.40 9031.49.01 Coordinate-measuring machines 4-B-208</w:t>
      </w:r>
    </w:p>
    <w:p>
      <w:pPr>
        <w:pStyle w:val="Heading2"/>
      </w:pPr>
      <w:bookmarkStart w:id="900152" w:name="_Toc300000151"/>
      <w:r>
        <w:t xml:space="preserve">APPENDIX PROVISIONS RELATED TO THE PRODUCT-SPECIFIC RULES OF ORIGIN FOR AUTOMOTIVE GOODS</w:t>
      </w:r>
      <w:bookmarkEnd w:id="900152"/>
    </w:p>
    <w:p>
      <w:pPr>
        <w:pStyle w:val="Heading2"/>
      </w:pPr>
      <w:bookmarkStart w:id="900153" w:name="_Toc300000152"/>
      <w:r>
        <w:t xml:space="preserve">Article 1: Definitions</w:t>
      </w:r>
      <w:bookmarkEnd w:id="900153"/>
    </w:p>
    <w:p>
      <w:pPr>
        <w:pStyle w:val="Normal"/>
      </w:pPr>
      <w:r>
        <w:t xml:space="preserve">For purposes of this Appendix: Advanced Technology Vehicle means: (a) an electric vehicle, including a hybrid electric vehicle; fuel cell vehicle; or other type of advanced propulsion vehicle (e.g., zero emission veh101icle); or (b) an autonomous vehicle of heading 8703 or 8704 classified as a Level 4 or Level 5 automated vehicle in accordance with SAE International SAEJ3016-2016 (Taxonomy and Definitions for Terms Related to Driving Automation Systems for On-Road Motor Vehicles), as amended; class of motor vehicles means one of the following categories of motor vehicles: (a) motor vehicles of subheading 8701.20, motor vehicles for the transport of 16 or more persons of subheading 8702.10 or 8702.90, or motor vehicles of subheading 8704.10, 8704.22, 8704.23, 8704.32 or 8704.90, or heading 87.05 or 87.06; (b) motor vehicles of subheading 8701.10 or 8701.30 through 8701.90;</w:t>
      </w:r>
    </w:p>
    <w:p>
      <w:pPr>
        <w:pStyle w:val="Normal"/>
      </w:pPr>
      <w:r>
        <w:t>(c) motor vehicles for the transport of 15 or fewer persons of subheading 8702.10 or 8702.90, or motor vehicles of subheading 8704.21 or 8704.31; or (d) motor vehicles of subheading 8703.21 through 8703.90; heavy truck means a vehicle of subheading 8701.20, 8704.22, 8704.23, 8704.32, 8704.90, or 8706, except for a vehicle that is solely or principally for off-road use; 51 A good of heading 87.06, for the purposes of this definition, means a chassis fitted with engines for a vehicle under subheading 8701.20, 8704.22, 8704.23, 8704.32, 8704.90, except for a vehicle that is solely or</w:t>
      </w:r>
    </w:p>
    <w:p>
      <w:pPr>
        <w:pStyle w:val="Normal"/>
      </w:pPr>
      <w:r>
        <w:t>principally designed for off-road use. 52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w:t>
      </w:r>
    </w:p>
    <w:p>
      <w:pPr>
        <w:pStyle w:val="Normal"/>
      </w:pPr>
      <w:r>
        <w:t>4-B-1-1 light truck means a vehicle of subheading 8704.21 or 8704.31, except for a vehicle that is solely or principally for off-road use;53 marque means the trade name used by a separate marketing division of a motor vehicle assembler; model line means a group of motor vehicles having the same platform or model name; motor vehicle assembler means a producer of motor vehicles and any related persons or joint ventures in which the producer participates; new building means a new construction, including at least the pouring or construction of new foundation and floor, the erection of a new structure and roof, and installation of new plumbing, electrical and other utilities to house a complete vehicle assembly process; passenger vehicle means a vehicle of subheading 8703.21 through 8703.90, except for: (a) a vehicle with a compression-ignition engine classified in subheading 8703.31 through 8703.33, or a vehicle of 8703.90 with both a compression-ignition engine and an electric motor for propulsion; (b) a three or four-wheeled motorcycle; (c) an all-terrain vehicle;54 or (d) a motorhome or entertainer coach;55 refit</w:t>
      </w:r>
    </w:p>
    <w:p>
      <w:pPr>
        <w:pStyle w:val="Normal"/>
      </w:pPr>
      <w:r>
        <w:t>means a plant closure, for purposes of plant conversion or retooling, that lasts at least three months; and 53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 54 An all-terrain vehicle is defined as a vehicle that does not meet U.S. federal safety and emissions standards permitting unrestricted on-road use or the equivalent Mexican and Canadian on-road standards. The Parties shall develop any additional description or other modification, if necessary. 55 A motorhome or entertainer coach is defined as a vehicle built on a self-propelled motor vehicle chassis that is solely or principally designed as temporary living quarters for recreational, camping, entertainment, corporate, or seasonal use. The Parties shall develop any additional description or other modification, if necessary. 4-B-1-2 super-core means the parts listed in the left column of Table A.2 of this Appendix, which are considered as a single part for the purposes of performing a Regional Value Content calculation in accordance with Article 5.2 (Averaging).</w:t>
      </w:r>
    </w:p>
    <w:p>
      <w:pPr>
        <w:pStyle w:val="Heading2"/>
      </w:pPr>
      <w:bookmarkStart w:id="900154" w:name="_Toc300000153"/>
      <w:r>
        <w:t xml:space="preserve">Article 2: Product-Specific Rules of Origin for Vehicles</w:t>
      </w:r>
      <w:bookmarkEnd w:id="900154"/>
    </w:p>
    <w:p>
      <w:pPr>
        <w:pStyle w:val="Normal"/>
      </w:pPr>
      <w:r>
        <w:t xml:space="preserve">Each Party shall provide that the product-specific rules for a good of heading 87.01 through 87.08 are: 8701.10 A change to a good of subheading 8701.10 from any other heading, provided there is a regional value content of not less than 60 percent under the net cost method. 8701.20 A change to a good of subheading 8701.20 from any other heading, provided there is a regional value content of not less than 70 percent under the net cost method. 8701.30 - 8701.90 A change to a good of subheading 8701.30 through 8701.90 from any other heading, provided there is a regional value content of not less than 60 percent under the net cost method.</w:t>
      </w:r>
    </w:p>
    <w:p>
      <w:pPr>
        <w:pStyle w:val="Normal"/>
      </w:pPr>
      <w:r>
        <w:t>8702.10 A change to a motor vehicle for the transport of 15 or fewer persons of subheading 8702.10 from any other heading, provided there is a regional value content of not less than 62.5 percent under the net cost method; or A change to a motor vehicle for the transport of 16 or more persons of subheading 8702.10 from any other heading, provided there is a regional value content of not less than 60 percent under the net cost method.</w:t>
      </w:r>
    </w:p>
    <w:p>
      <w:pPr>
        <w:pStyle w:val="Normal"/>
      </w:pPr>
      <w:r>
        <w:t>8702.90 A change to a motor vehicle for the transport of 15 or fewer persons of subheading 8702.90 from any other heading, provided there is a regional value content of not less than 62.5 percent under the net cost method; or A change to a motor vehicle for the transport of 16 or more persons of subheading 8702.90 from any other heading, provided there is a regional value content of not less than 60 percent under the net cost method. 8703.10 A change to subheading 8703.10 from any other heading, provided there is a regional value content of not less than: (a) 60 percent where the transaction value method is used; or 4-B-1-3 (b) 50 percent where the net cost method is used.</w:t>
      </w:r>
    </w:p>
    <w:p>
      <w:pPr>
        <w:pStyle w:val="Normal"/>
      </w:pPr>
      <w:r>
        <w:t>8703.21-8703.90 A change to a passenger vehicle of subheading 8703.21 through 8703.90 from any other heading, provided there is a regional value content of not less than 75 percent under the net cost method; or A change to any other good of subheading 8703.21 through 8703.90 from any other heading, provided there is a regional value content of not less than 62.5 percent under the net cost method. 8704.10 A change to a good of subheading 8704.10 from any other heading, provided there is a regional value content of not less than 60 percent under the net cost method.</w:t>
      </w:r>
    </w:p>
    <w:p>
      <w:pPr>
        <w:pStyle w:val="Normal"/>
      </w:pPr>
      <w:r>
        <w:t>8704.21 A change to a light truck of subheading 8704.21 from any other heading, provided there is a regional value content of not less than 75 percent under the net cost method; or A change to a vehicle solely or principally for off-road use of subheading 8704.21 from any other heading, provided there is a regional value content of not less than 62.5 percent under the net cost method. 8704.22-8704.23 A change to a heavy truck of subheading 8704.22 through 8704.23 from any other heading, provided there is a regional value content of not less than 70 percent under the net cost method; or A change to a vehicle that is solely or principally for off-road use of subheading 8704.22 through 8704.23 from any other heading, provided there is a regional value content of not less than 60 percent under the net cost method.</w:t>
      </w:r>
    </w:p>
    <w:p>
      <w:pPr>
        <w:pStyle w:val="Normal"/>
      </w:pPr>
      <w:r>
        <w:t>8704.31 A change to a light truck of subheading 8704.31 from any other heading, provided there is a regional value content of not less than 75 percent under the net cost method; or A change to a vehicle solely or principally for off-road use of subheading 8704.31 from any other heading, provided there is a regional value content of not less than 62.5 percent under the net cost method.</w:t>
      </w:r>
    </w:p>
    <w:p>
      <w:pPr>
        <w:pStyle w:val="Normal"/>
      </w:pPr>
      <w:r>
        <w:t>8704.32-8704.90 A change to a vehicle that is solely or principally for off-road use of subheading 8704.32 through 8704.90 from any other heading, provided there is a regional value content of not less than 60 percent under the net cost method; or 4-B-1-4 A change to any other good of subheading 8704.32 through 8704.90 from any other heading, provided there is a regional value content of not less than 70 percent under the net cost method. 87.05 A change to heading 87.05 from any other heading, provided there is a regional value content of not less than 60 percent under the net cost method. 87.0656 For a good of heading 87.06 for use in a passenger vehicle or light truck: No required change in tariff classification provided there is a regional value content of not less than 75 percent under the net cost method; For a good of heading 87.06 for use in heavy truck: No required change in tariff classification provided there is a regional value content of not less than 70 percent under the net cost method;</w:t>
      </w:r>
    </w:p>
    <w:p>
      <w:pPr>
        <w:pStyle w:val="Normal"/>
      </w:pPr>
      <w:r>
        <w:t>For any other good of heading 87.06: No required change in tariff classification provided there is a regional value content of not less than 60 percent under the net cost method; 87.0757 For a good of heading 87.07 for use in a passenger vehicle or light truck: No required change in tariff classification to heading 87.07, provided there is a regional value content of not less than 75 percent under the net cost method.</w:t>
      </w:r>
    </w:p>
    <w:p>
      <w:pPr>
        <w:pStyle w:val="Normal"/>
      </w:pPr>
      <w:r>
        <w:t>For a good of heading 87.07 for use in a heavy truck: 56 If the good is for use in a passenger vehicle or light truck, Articles 3.2 and 3.3 of this Appendix apply. If the good is for use in a heavy truck, Article 4.2 of this Appendix applies. If the good is for use in a vehicle specified in paragraphs 1 and 2 of Article 10, Articles 10.1 and 10.2 of this Appendix apply. 57 If the good is for use in a passenger vehicle or light truck, Articles 3.2 and 3.3 of this Appendix apply. If the good for use in a heavy truck, Article 4.2 of this Appendix applies. If the good is for use in a vehicle specified in paragraphs 1 and 2 of Article 10, Articles 10.1 and 10.2 of this Appendix apply.</w:t>
      </w:r>
    </w:p>
    <w:p>
      <w:pPr>
        <w:pStyle w:val="Normal"/>
      </w:pPr>
      <w:r>
        <w:t>4-B-1-5 A change to heading 87.07 from any other chapter; or A change to heading 87.07 from heading 87.08, whether or not there is also a change from any other chapter, provided there is a regional value content of not less than 70 percent under the net cost method. For any other good of heading 87.07: A change to heading 87.07 from any other chapter; or A change to heading 87.07 from heading 87.08, whether or not there is also a change from any other chapter, provided there is a regional value content of not less than 60 percent under the net cost method.</w:t>
      </w:r>
    </w:p>
    <w:p>
      <w:pPr>
        <w:pStyle w:val="Normal"/>
      </w:pPr>
      <w:r>
        <w:t>8708.1058 For a good of subheading 8708.10 for use in a passenger vehicle, light truck, or heavy truck: A change to subheading 8708.10 from any other heading; or A change to subheading 8708.10 from subheading 8708.99, whether or not there is also a change from any other heading, provided there is a regional value content of not less than 70 percent under the net cost method. For any other good of subheading 8708.10: A change to subheading 8708.10 from any other heading; or A change to subheading 8708.10 from subheading 8708.99, whether or not there is also a change from any other heading, provided there is a regional value content of not less than 50 percent under the net cost method. 8708.2159 58 If the good is for use in a passenger vehicle or light truck, Article 3.4 of this Appendix applies. If the good is for use in a heavy truck, Article 4.2 of this Appendix applies.</w:t>
      </w:r>
    </w:p>
    <w:p>
      <w:pPr>
        <w:pStyle w:val="Normal"/>
      </w:pPr>
      <w:r>
        <w:t>If the good is for use in a vehicle specified in paragraphs 1 and 2 of Article 10, Articles 10.1 and 10.2 of this Appendix apply. 59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pPr>
        <w:pStyle w:val="Normal"/>
      </w:pPr>
      <w:r>
        <w:t>4-B-1-6 For a good of subheading 8708.21 for use in a passenger vehicle, light truck or heavy truck: A change to subheading 8708.21 from any other heading; or A change to subheading 8708.21 from subheading 8708.99, whether or not there is also a change from any other heading, provided there is a regional value content of not less than 70 percent under the net cost method. For any other good of subheading 8708.21: A change to subheading 8708.21 from any other heading; or A change to subheading 8708.21 from subheading 8708.99, whether or not there is also a change from any other heading, provided there is a regional value content of not less than 50 percent under the net cost method. 8708.2960 For a body stamping of subheading 8708.29 for use in a passenger vehicle or light truck: No required change in tariff classification to a body stamping of subheading 8708.29, provided there is a regional value content of at least 75 percent under the net cost method.</w:t>
      </w:r>
    </w:p>
    <w:p>
      <w:pPr>
        <w:pStyle w:val="Normal"/>
      </w:pPr>
      <w:r>
        <w:t>For any other good of subheading 8708.29 for use in a passenger vehicle, light truck or heavy truck: A change to subheading 8708.29 from any other heading; or No required change in tariff classification to subheading 8708.29, provided there is a regional value content of not less than 70 percent under the net cost method. For any other good of subheading 8708.29: 60 If the good is a body stamping for use in a passenger vehicle or light truck, Articles 3.2 and 3.3 of this Appendix apply.</w:t>
      </w:r>
    </w:p>
    <w:p>
      <w:pPr>
        <w:pStyle w:val="Normal"/>
      </w:pPr>
      <w:r>
        <w:t>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4-B-1-7 A change to subheading 8708.29 from any other heading; or No required change in tariff classification to subheading 8708.29, provided there is a regional value content of not less than 50 percent under the net cost method. 8708.3061 For a good of subheading 8708.30 for use in a passenger vehicle, light truck or heavy truck:</w:t>
      </w:r>
    </w:p>
    <w:p>
      <w:pPr>
        <w:pStyle w:val="Normal"/>
      </w:pPr>
      <w:r>
        <w:t>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provided there is a regional value content of not less than 70 percent under the net cost method; 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70 percent under the net cost method.</w:t>
      </w:r>
    </w:p>
    <w:p>
      <w:pPr>
        <w:pStyle w:val="Normal"/>
      </w:pPr>
      <w:r>
        <w:t>For any other good of subheading 8708.30: 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61 If the good is a body stamping for use in a passenger vehicle or light truck, Articles 3.2 and 3.3 of this Appendix apply. 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4-B-1-8 provided there is a regional value content of not less than 50 percent under the net cost method;</w:t>
      </w:r>
    </w:p>
    <w:p>
      <w:pPr>
        <w:pStyle w:val="Normal"/>
      </w:pPr>
      <w:r>
        <w:t>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50 percent under the net cost method.</w:t>
      </w:r>
    </w:p>
    <w:p>
      <w:pPr>
        <w:pStyle w:val="Normal"/>
      </w:pPr>
      <w:r>
        <w:t>8708.4062 For a good of subheading 8708.40 for use in a passenger vehicle or light truck: No required change in tariff classification to subheading 8708.40, provided there is a regional value content of not less than 75 percent under the net cost method. For a good of subheading 8708.40 for use in a heavy truck: No required change in tariff classification to subheading 8708.40, provided there is a regional value content of not less than 70 percent under the net cost method. For any other good of subheading 8708.40: A change to gear boxes of subheading 8708.40 from any other heading; or A change to gear boxes of subheading 8708.40 from any other good of subheading 8708.40 or 8708.99, whether or not there is also a change from any other heading, provided there is a regional value content of not less than 50 percent under the net cost method;</w:t>
      </w:r>
    </w:p>
    <w:p>
      <w:pPr>
        <w:pStyle w:val="Normal"/>
      </w:pPr>
      <w:r>
        <w:t>A change to any other good of subheading 8708.40 from any other heading; or 62 If the good is for use in a passenger vehicle or light truck, Articles 3.2 and 3.3 of this Appendix apply. If the good is for use in a heavy truck, Articles 4.2 and 4.4 of this Appendix apply. If the good is for use in a vehicle specified in paragraphs 1 and 2 of Article 10, Articles 10.1 and 10.2 of this Appendix apply. 4-B-1-9 No required change in tariff classification to any other good of subheading 8708.40, provided there is a regional value content of not less than 50 percent under the net cost method.</w:t>
      </w:r>
    </w:p>
    <w:p>
      <w:pPr>
        <w:pStyle w:val="Normal"/>
      </w:pPr>
      <w:r>
        <w:t>8708.5063 For a good of subheading 8708.50 for use in a passenger vehicle or light truck: No required change in tariff classification to subheading 8708.50, provided there is a regional value content of not less than 75 percent under the net cost method. For a good of subheading 8708.50 for use in a heavy truck: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70 percent under the net cost method;</w:t>
      </w:r>
    </w:p>
    <w:p>
      <w:pPr>
        <w:pStyle w:val="Normal"/>
      </w:pPr>
      <w:r>
        <w:t>A change to other drive-axles with differential, whether or not provided with other transmission components, of subheading 8708.50 from any other heading; or A change to other drive-axles with differential, whether or not provided with other transmission components, of subheading 8708.50 from subheading 8708.99, whether or not there is also a change from any other heading, provided there is a regional value content of not less than 70 percent under the net cost method; 63 If the good is for use in a passenger vehicle or light truck, Articles</w:t>
      </w:r>
    </w:p>
    <w:p>
      <w:pPr>
        <w:pStyle w:val="Normal"/>
      </w:pPr>
      <w:r>
        <w:t>3.2 and 3.3 of this Appendix apply. If the good is for use in a heavy truck, Articles 4.2 of this Appendix applies. If the good is for use in a vehicle specified in paragraphs 1 and 2 of Article 10, Articles 10.1 and 10.2 of this Appendix apply. 4-B-1-10 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 or not there is also a change from any other heading, provided there is a regional value content of not less than 70 percent under the net cost method;</w:t>
      </w:r>
    </w:p>
    <w:p>
      <w:pPr>
        <w:pStyle w:val="Normal"/>
      </w:pPr>
      <w:r>
        <w:t>A change to other non-driving axles and parts thereof of subheading 8708.50 from any other heading; or A change to other non-driving axles and parts thereof of subheading 8708.50 from subheading 8708.99, whether or not there is also a change from any other heading, provided there is a regional value content of not less than 70 percent under the net cost method; A change to any other good of subheading 8708.50 from any other heading; or No required change in tariff classification to any other good of subheading 8708.50, provided there is a regional value content of not less than 70 percent under the net cost method.</w:t>
      </w:r>
    </w:p>
    <w:p>
      <w:pPr>
        <w:pStyle w:val="Normal"/>
      </w:pPr>
      <w:r>
        <w:t>For any other good of subheading 8708.50: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50 percent under the net cost method; A change to other drive-axles with differential, whether or not provided with other transmission components, of subheading 8708.50 from any other heading; or 4-B-1-11 A change to other drive-axles with differential, whether or not provided with other transmission components, of subheading 8708.50 from subheading 8708.99, whether or not there is also a change from any other heading, provided there is a regional value content of not less than 50 percent under the net cost method;</w:t>
      </w:r>
    </w:p>
    <w:p>
      <w:pPr>
        <w:pStyle w:val="Normal"/>
      </w:pPr>
      <w:r>
        <w:t>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w:t>
      </w:r>
    </w:p>
    <w:p>
      <w:pPr>
        <w:pStyle w:val="Normal"/>
      </w:pPr>
      <w:r>
        <w:t>or not there is also a change from any other heading, provided there is a regional value content of not less than 50 percent under the net cost method; A change to other non-driving axles and parts thereof of subheading 8708.50 from any other heading; or A change to other non-driving axles and parts thereof of subheading 8708.50 from subheading 8708.99, whether or not there is also a change from any other heading, provided there is a regional value content of not less than 50 percent under the net cost method; A change to any other good of subheading 8708.50 from any other heading; or No required change in tariff classification to any other good of subheading 8708.50, provided there is a regional value content of not less than 50 percent under the net cost method. 8708.7064 For a good of subheading 8708.70 for use in a passenger vehicle, light truck, or heavy truck:</w:t>
      </w:r>
    </w:p>
    <w:p>
      <w:pPr>
        <w:pStyle w:val="Normal"/>
      </w:pPr>
      <w:r>
        <w:t>A change to subheading 8708.70 from any other heading; or 64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4-B-1-12 A change to subheading 8708.70 from subheading 8708.99, whether or not there is also a change from any other heading, provided there is a regional value content of not less than 70 percent under the net cost method.</w:t>
      </w:r>
    </w:p>
    <w:p>
      <w:pPr>
        <w:pStyle w:val="Normal"/>
      </w:pPr>
      <w:r>
        <w:t>For any other good of subheading 8708.70: A change to subheading 8708.70 from any other heading; or A change to subheading 8708.70 from subheading 8708.99, whether or not there is also a change from any other heading, provided there is a regional value content of not less than 50 percent under the net cost method. 8708.8065 For a good of subheading 8708.80 for use in a passenger vehicle or light truck: No required change in tariff classification to subheading 8708.80, provided there is a regional value content of not less than 75 percent under the net cost method. For a good of subheading 8708.80 for use in a heavy truck: A change to McPherson struts of subheading 8708.80 from parts thereof of subheading 8708.80 or any other subheading, provided there is a regional value content of not less than 50 percent under the net cost method; A change to any other good subheading 8708.80 from any other heading;</w:t>
      </w:r>
    </w:p>
    <w:p>
      <w:pPr>
        <w:pStyle w:val="Normal"/>
      </w:pPr>
      <w:r>
        <w:t>A change to suspension systems (including shock absorbers) of subheading 8708.80 from parts thereof of subheading 8708.80 or 8708.99, whether or not there is also a change from any other heading, provided there is a regional value content of not less than 70 percent under the net cost method; or No required change in tariff classification to parts of suspension systems (including shock absorbers) of subheading 8708.80, provided there is a 65 If the good is for use in a passenger vehicle or light truck, Article 3.2 and 3.3 of this Appendix applies.</w:t>
      </w:r>
    </w:p>
    <w:p>
      <w:pPr>
        <w:pStyle w:val="Normal"/>
      </w:pPr>
      <w:r>
        <w:t>If the good is for use in a heavy truck, Article 4.2 of this Appendix applies. If the good is for use in a vehicle specified in paragraphs 1 and 2 of Article 10, Articles 10.1 and 10.2 of this Appendix apply. 4-B-1-13 regional value content of not less than 70 percent under the net cost method. For any other good of subheading 8708.80: A change to McPherson struts of subheading 8708.80 from parts thereof of subheading 8708.80 or any other subheading, provided there is a regional value content of not less than 50 percent under the net cost method; A change to any other good subheading 8708.80 from any other heading; A change to suspension systems (including shock absorbers) of subheading 8708.80 from parts thereof of subheading 8708.80 or 8708.99, whether or not there is also a change from any other heading, provided there is a regional value content of not less than 50 percent under the net cost method; or No required change in tariff classification to parts of suspension systems (including shock absorbers) of subheading 8708.80, provided there is a regional value content of not less than 50 percent under the net cost method.</w:t>
      </w:r>
    </w:p>
    <w:p>
      <w:pPr>
        <w:pStyle w:val="Normal"/>
      </w:pPr>
      <w:r>
        <w:t>8708.9166 For a good of subheading 8708.91 for use in a passenger vehicle, light truck or heavy truck: A change to radiators of subheading 8708.91 from any other heading; A change to radiators of subheading 8708.91 from any other good of subheading 8708.91, whether or not there is also a change from any other heading, provided there is a regional value content of not less than 70 percent under the net cost method; or No required change in tariff classification to any other good of subheading 8708.91, provided there is a regional value content of not less than 70 percent under the net cost method. 66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4-B-1-14 For any other good of subheading 8708.91:</w:t>
      </w:r>
    </w:p>
    <w:p>
      <w:pPr>
        <w:pStyle w:val="Normal"/>
      </w:pPr>
      <w:r>
        <w:t>A change to radiators of subheading 8708.91 from any other heading; A change to radiators of subheading 8708.91 from any other good of subheading 8708.91, whether or not there is also a change from any other heading, provided there is a regional value content of not less than 50 percent under the net cost method; or No required change in tariff classification to any other good of subheading 8708.91, provided there is a regional value content of not less than 50 percent under the net cost method.</w:t>
      </w:r>
    </w:p>
    <w:p>
      <w:pPr>
        <w:pStyle w:val="Normal"/>
      </w:pPr>
      <w:r>
        <w:t>8708.9267 For a good of subheading 8708.92 for use in a passenger vehicle, light truck or heavy truck: A change to silencers (mufflers) or exhaust pipes of subheading 8708.92 from any other heading; or A change to silencers (mufflers) or exhaust pipes of subheading 8708.92 from any other good of subheading 8708.92, whether or not there is also a change from any other heading, provided there is regional value content of not less than 70 percent under the net cost method; or No required change in tariff classification to any other good of subheading 8708.92, provided there is a regional value content of not less than 70 percent under the net cost method For any other good of subheading 8708.92:</w:t>
      </w:r>
    </w:p>
    <w:p>
      <w:pPr>
        <w:pStyle w:val="Normal"/>
      </w:pPr>
      <w:r>
        <w:t>A change to silencers (mufflers) or exhaust pipes of subheading 8708.92 from any other heading; or A change to silencers (mufflers) or exhaust pipes of subheading 8708.92 from any other good of subheading 8708.92, whether or not there is also a 67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pPr>
        <w:pStyle w:val="Normal"/>
      </w:pPr>
      <w:r>
        <w:t>4-B-1-15 change from any other heading, provided there is regional value content of not less than 50 percent under the net cost method; or No required change in tariff classification to any other good of subheading 8708.92, provided there is a regional value content of not less than 50 percent under the net cost method 8708.9368 For a good of subheading 8708.93 for use in a passenger vehicle, light truck or heavy truck: A change to subheading 8708.93 from any other heading; or A change to subheading 8708.93 from subheading 8708.99, whether or not there is also a change from any other heading, provided there is a regional value content of not less than 70 percent under the net cost method. For any other good of subheading 8708.93: A change to subheading 8708.93 from any other heading; or A change to subheading 8708.93 from subheading 8708.99, whether or not there is also a change from any other heading, provided there is a regional value content of not less than 50 percent under the net cost method.</w:t>
      </w:r>
    </w:p>
    <w:p>
      <w:pPr>
        <w:pStyle w:val="Normal"/>
      </w:pPr>
      <w:r>
        <w:t>8708.9469 For a good of subheading 8708.94 for use in a passenger vehicle or light truck: No required change in tariff classification to subheading 8708.94, provided there is a regional value content of not less than 75 percent under the net cost method. 68 If the good is for use in a passenger vehicle or light truck, Article 3.4 of this Appendix applies. If the good is for use in a heavy truck, Article 4.2 of this Appendix applies.</w:t>
      </w:r>
    </w:p>
    <w:p>
      <w:pPr>
        <w:pStyle w:val="Normal"/>
      </w:pPr>
      <w:r>
        <w:t>If the good is for use in a vehicle specified in paragraphs 1 and 2 of Article 10, Articles 10.1 and 10.2 of this Appendix apply. 69 If the good is for use in a passenger vehicle or light truck, Article 3.2 and 3.3 of this Appendix apply. If the good is for use in a heavy truck, Article 4.2 of this Appendix applies. If the good is for use in a vehicle specified in paragraphs 1 and 2 of Article 10, Articles 10.1 and 10.2 of this Appendix apply. 4-B-1-16 For a good of subheading 8708.94 for use in a heavy truck: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70 percent under the net cost method; No required change in tariff classification to parts of steering wheels, steering columns or steering boxes of subheading 8708.94, provided there is a regional value content of not less than 70 percent under the net cost method.</w:t>
      </w:r>
    </w:p>
    <w:p>
      <w:pPr>
        <w:pStyle w:val="Normal"/>
      </w:pPr>
      <w:r>
        <w:t>For any other good of subheading 8708.94: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50 percent under the net cost method; No required change in tariff classification to parts of steering wheels, steering columns or steering boxes of subheading 8708.94, provided there is a regional value content of not less than 50 percent under the net cost method. 8708.9570 For a good of subheading 8708.95 for use in a passenger vehicle, light truck or heavy truck: A change to subheading 8708.95 from any other heading; or 70 If the good is for use in a passenger vehicle or light truck, Article 3.4 of this Appendix applies. If the good is for use in a heavy truck, Article 4.2 of this Appendix applies.</w:t>
      </w:r>
    </w:p>
    <w:p>
      <w:pPr>
        <w:pStyle w:val="Normal"/>
      </w:pPr>
      <w:r>
        <w:t>If the good is for use in a vehicle specified in paragraphs 1 and 2 of Article 10, Articles 10.1 and 10.2 of this Appendix apply. 4-B-1-17 No required change in tariff classification to subheading 8708.95, provided there is a regional value content of not less than 70 percent under the net cost method.</w:t>
      </w:r>
    </w:p>
    <w:p>
      <w:pPr>
        <w:pStyle w:val="Normal"/>
      </w:pPr>
      <w:r>
        <w:t>For any other good of subheading 8708.95: A change to subheading 8708.95 from any other heading; or No required change in tariff classification to subheading 8708.95, provided there is a regional value content of not less than 50 percent under the net cost method. 8708.9971 For a chassis frame of subheading 8708.99 for use in a passenger vehicle or light truck: No required change in tariff classification to a good of subheading 8708.99, provided there is a regional value content of not less than 75 percent under the net cost method. For a chassis of subheading 8708.99 for use in a heavy truck: No required change in tariff classification to a good of subheading 8708.99, provided there is a regional value content of not less than 70 percent under the net cost method. For any other good of subheading 8708.99 for use in a heavy truck or for any other good of subheading 8708.99 for use in a passenger vehicle or light truck:</w:t>
      </w:r>
    </w:p>
    <w:p>
      <w:pPr>
        <w:pStyle w:val="Normal"/>
      </w:pPr>
      <w:r>
        <w:t>8708.99.aa A change to tariff item 8708.99.aa from any other subheading, provided there is a regional value content of not less than 70 percent under the net cost method. 8708.99.bb A change to tariff item 8708.99.bb from any other heading, except from subheading 8482.10 through 8482.80 or tariff item 8482.99.aa; or 71 If the good is a chassis frame for use in a passenger vehicle or light truck, Articles 3.2 and 3.3 of this Appendix 3 apply. If the good is a chassis for use in a heavy truck, Articles 4.2 and 4.4 of this Appendix applies.</w:t>
      </w:r>
    </w:p>
    <w:p>
      <w:pPr>
        <w:pStyle w:val="Normal"/>
      </w:pPr>
      <w:r>
        <w:t>If the good is any other good for use in a passenger vehicle or light truck, Article 3.4 of this Appendix applies. If the good is any other good for use in a heavy truck, Article 4.2 of this Appendix applies. If the good is for use in a vehicle specified in paragraphs 1 and 2 of Article 10, Articles 10.1 and 10.2 of this Appendix apply. 4-B-1-18 A change to tariff item 8708.99.bb from subheading 8482.10 through 8482.80 or tariff item 8482.99.aa, whether or not there is also a change from any other heading, provided there is a regional value content of not less than 70 percent under the net cost method. 8708.99 A change to subheading 8708.99 from any other heading; or No required change in tariff classification to subheading 8708.99, provided there is a regional value content of not less than 70 percent under the net cost method For any other good of subheading 8708.99:</w:t>
      </w:r>
    </w:p>
    <w:p>
      <w:pPr>
        <w:pStyle w:val="Normal"/>
      </w:pPr>
      <w:r>
        <w:t>8708.99.aa A change to tariff item 8708.99.aa from any other subheading, provided there is a regional value content of not less than 50 percent under the net cost method. 8708.99.bb A change to tariff item 8708.99.bb from any other heading, except from subheading 8482.10 through 8482.80 or tariff item 8482.99.aa; or A change to tariff item 8708.99.bb from subheading 8482.10 through 8482.80 or tariff item 8482.99.aa, whether or not there is also a change from any other heading, provided there is a regional value content of not less than 50 percent under the net cost method.</w:t>
      </w:r>
    </w:p>
    <w:p>
      <w:pPr>
        <w:pStyle w:val="Normal"/>
      </w:pPr>
      <w:r>
        <w:t>8708.99 A change to subheading 8708.99 from any other heading; or No required change in tariff classification to subheading 8708.99, provided there is a regional value content of not less than 50 percent under the net cost method.</w:t>
      </w:r>
    </w:p>
    <w:p>
      <w:pPr>
        <w:pStyle w:val="Heading2"/>
      </w:pPr>
      <w:bookmarkStart w:id="900155" w:name="_Toc300000154"/>
      <w:r>
        <w:t xml:space="preserve">Article 3: Regional Value Content for Passenger Vehicles, Light Trucks, and Parts Thereof</w:t>
      </w:r>
      <w:bookmarkEnd w:id="900155"/>
    </w:p>
    <w:p>
      <w:pPr>
        <w:pStyle w:val="Normal"/>
      </w:pPr>
      <w:r>
        <w:t xml:space="preserve">1. Notwithstanding Article 2 (Product-Specific Rules of Origin for Vehicles), each Party shall provide that the regional value content requirement for a passenger vehicle or a light truck is: (a) 66 percent under the net cost method, beginning on January 1, 2020, or the date of entry into force of this Agreement, whichever is later; 4-B-1-19 (b) 69 percent under the net cost method, beginning on January 1, 2021, or one year after the date of entry into force of this Agreement, whichever is later; (c) 72 percent under the net cost method, beginning on January 1, 2022, or two years after the date of entry into force of this Agreement, whichever is later; and (d) 75 percent under the net cost method, beginning on January 1, 2023, or three years after the date of entry into force of this Agreement, whichever is later, and thereafter. 2.</w:t>
      </w:r>
    </w:p>
    <w:p>
      <w:pPr>
        <w:pStyle w:val="Normal"/>
      </w:pPr>
      <w:r>
        <w:t>Notwithstanding Article 2 (Product-Specific Rules of Origin for Vehicles) and the Product-Specific Rules of Origin in Annex 4-B, each Party shall provide that the regional value content requirement for a part listed in Table A.1 of this Appendix that is for use in a passenger vehicle or light truck is: (a) 66 percent under the net cost method or 76 percent under the transaction value method, if the corresponding rule includes a transaction value method, beginning on January 1, 2020, or the date of entry into force of this Agreement, whichever is later; (b) 69 percent under the net cost method or 79 percent under the transaction value method, if the corresponding rule includes a transaction value method, beginning on January 1, 2021, or one year after the date of entry into force of this Agreement, whichever is later;</w:t>
      </w:r>
    </w:p>
    <w:p>
      <w:pPr>
        <w:pStyle w:val="Normal"/>
      </w:pPr>
      <w:r>
        <w:t>(c) 72 percent under the net cost method or 82 percent under the transaction value method, if the corresponding rule includes a transaction value method, beginning on January 1, 2022, or two years after the date of entry into force of this Agreement, whichever is later; or (d) 75 percent under the net cost method or 85 percent under the transaction value method, if the corresponding rule includes a transaction value method, beginning on January 1, 2023, or three years after the date of entry into force of this Agreement, whichever is later, and thereafter. 3.</w:t>
      </w:r>
    </w:p>
    <w:p>
      <w:pPr>
        <w:pStyle w:val="Normal"/>
      </w:pPr>
      <w:r>
        <w:t>Notwithstanding Article 2 (Product-Specific Rules of Origin for Vehicles) and the Product-Specific Rules of Origin in Annex 4-B, each Party shall provide that a part listed in Table A.1 of this Appendix that is for use in a passenger vehicle or light truck is originating only if it satisfies the regional value content requirement in paragraph 2, except for batteries of subheading 8507.60 that are used as the primary source of electrical power for the propulsion of an electric passenger vehicle or light truck. 4. Notwithstanding Article 2 (Product-Specific Rules of Origin for Vehicles) and the Product-Specific Rules of Origin in Annex 4-B, each Party shall provide that the regional value 4-B-1-20 content requirement for a part listed in Table B of this Appendix that is for use in a passenger vehicle or light truck is: (a) 62.5 percent under the net cost method or 72.5 percent under the transaction value method, if the corresponding rule includes a transaction value method, beginning on January 1, 2020 or the date of entry into force of this Agreement, whichever is later;</w:t>
      </w:r>
    </w:p>
    <w:p>
      <w:pPr>
        <w:pStyle w:val="Normal"/>
      </w:pPr>
      <w:r>
        <w:t>(b) 65 percent under the net cost method or 75 percent under the transaction value method, if the corresponding rule includes a transaction value method, beginning on January 1, 2021 or one year after the date of entry into force of this Agreement, whichever is later; (c) 67.5 percent under the net cost method or 77.5 percent under the transaction value method, if the corresponding rule includes a</w:t>
      </w:r>
    </w:p>
    <w:p>
      <w:pPr>
        <w:pStyle w:val="Normal"/>
      </w:pPr>
      <w:r>
        <w:t>transaction value method, beginning on January 1, 2022 or two years after the date of entry into force of this Agreement, whichever is later; or (d) 70 percent under the net cost method or 80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B is originating if it meets the applicable change in tariff classification requirement provided in Annex 4-B. 5. Notwithstanding the Product-Specific Rules of Origin in Annex 4-B, each Party shall provide that the regional value content requirement for a part listed in Table C of this Appendix that is for use in a passenger vehicle or light truck is:</w:t>
      </w:r>
    </w:p>
    <w:p>
      <w:pPr>
        <w:pStyle w:val="Normal"/>
      </w:pPr>
      <w:r>
        <w:t>(a) 62 percent under the net cost method or 72 percent under the transaction value method, if the corresponding rule includes a transaction value method, beginning on January 1, 2020 or the date of entry into force of this Agreement, whichever is later; (b) 63 percent under the net cost method or 73 percent under the transaction value method, if the corresponding rule includes a transaction value method, beginning on January 1, 2021 or one year after the date of entry into force of this Agreement, whichever is later; (c) 64 percent under the net cost method or 74 percent under the transaction value method,</w:t>
      </w:r>
    </w:p>
    <w:p>
      <w:pPr>
        <w:pStyle w:val="Normal"/>
      </w:pPr>
      <w:r>
        <w:t>if the corresponding rule includes a transaction value method, beginning 4-B-1-21 on January 1, 2022 or two years after the date of entry into force of this Agreement, whichever is later; or (d) 65 percent under the net cost method or 75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C is originating if it meets the applicable change in tariff classification requirement provided in Annex 4-B. 6. For the purposes of calculating the regional value content under paragraphs 1 through 5, Article 4.5 (Regional Value Content), Article 4.6 (Value of Materials Used in Production), Article 4.7 (Further Adjustments to the Value of Materials), and 4.8 (Intermediate Materials) and Article 5 (Averaging) apply. 7.</w:t>
      </w:r>
    </w:p>
    <w:p>
      <w:pPr>
        <w:pStyle w:val="Normal"/>
      </w:pPr>
      <w:r>
        <w:t>Each Party shall provide that a passenger vehicle or light truck is originating only if the parts under Column 1 of Table A.2 of this Appendix used in the production of a passenger vehicle or light truck are originating. Such a part is originating only if it satisfies the regional value content requirement in paragraph 2, except for an advanced battery.</w:t>
      </w:r>
    </w:p>
    <w:p>
      <w:pPr>
        <w:pStyle w:val="Normal"/>
      </w:pPr>
      <w:r>
        <w:t>The Parties, as appropriate, shall provide in the Uniform Regulations additional description or other clarification to the list of the parts and components under Table A.2 of this Appendix, such as by tariff provision or product description, to facilitate implementation of this requirement. 8. Each Party shall provide that for the purposes of calculating the regional value content under Article 4.5 (Regional Value Content) for a part under Column 1 of Table A.2 of this Appendix, the value of non-originating materials (VNM) is, at the vehicle producer’s option: (a) the value of all non-originating materials used in the production of the part; or (b) the value of any non-originating components used in the production of the part that are listed under Column 2 of Table A.2 of this Appendix. 9.</w:t>
      </w:r>
    </w:p>
    <w:p>
      <w:pPr>
        <w:pStyle w:val="Normal"/>
      </w:pPr>
      <w:r>
        <w:t>Further to paragraph 8, each Party shall provide that the regional value content may also be calculated, at the producer’s option, for all parts under Column 1 of Table A.2 of this Appendix as a single part, using the sum of the net cost of each part listed under Column 1 of Table A.2 of this Appendix, and when calculating the VNM, at the producer’s option: (a) the sum of the value of all non-originating materials used in the production of the parts listed under Column 1; or 4-B-1-22 (b) the sum of the value of only those non-originating components under Column 2 of Table A.2 of this Appendix, used in the production of the parts listed under Column 1.</w:t>
      </w:r>
    </w:p>
    <w:p>
      <w:pPr>
        <w:pStyle w:val="Normal"/>
      </w:pPr>
      <w:r>
        <w:t>If this regional value content meets the required threshold under paragraph 2, then each Party shall provide that all parts under Table A.2 of this Appendix are originating and the passenger vehicle or light truck will be considered to have met the requirement under paragraph 7. 10. The Parties are encouraged to develop any additional description or other modification to the list of the parts and components of the parts and components in Table A.2 of this Appendix for a passenger vehicle or light truck that is an Advanced Technology Vehicle. Upon request of one of the Parties, the Parties shall discuss and agree on any appropriate modifications to Table A.2 of this Appendix for such a vehicle to ensure that the requirements in paragraph 7 remain relevant in light of technological changes and to facilitate the use of originating core parts.</w:t>
      </w:r>
    </w:p>
    <w:p>
      <w:pPr>
        <w:pStyle w:val="Heading2"/>
      </w:pPr>
      <w:bookmarkStart w:id="900156" w:name="_Toc300000155"/>
      <w:r>
        <w:t xml:space="preserve">Article 4: Regional Value Content for Heavy Trucks and Parts Thereof</w:t>
      </w:r>
      <w:bookmarkEnd w:id="900156"/>
    </w:p>
    <w:p>
      <w:pPr>
        <w:pStyle w:val="Normal"/>
      </w:pPr>
      <w:r>
        <w:t xml:space="preserve">1. Notwithstanding Article 2 (Product-Specific Rules of Origin for Vehicles), each Party shall provide that the regional value content requirement for a heavy truck is: (a) 60 percent under the net cost method, beginning on January 1, 2020, or the date of entry into force of this Agreement, whichever is later; (b) 64 percent under the net cost method, beginning on January 1, 2024, or four years after the date of entry into force of this Agreement, whichever is later; or (c) 70 percent under the net cost method, beginning on January 1, 2027, or seven years after the date of entry into force of this Agreement, whichever is later, and thereafter. 2. Notwithstanding Article 2 (Product-Specific Rules of Origin for Vehicles) and the Product-Specific Rules of Origin in Annex 4-B, each Party shall provide that the regional value content requirement for a part listed in Table D of this Appendix that is for use in a heavy truck is:</w:t>
      </w:r>
    </w:p>
    <w:p>
      <w:pPr>
        <w:pStyle w:val="Normal"/>
      </w:pPr>
      <w:r>
        <w:t>(a) 60 percent under the net cost method or 70 percent under the transaction value method, if the corresponding rule includes a transaction value method, beginning on January 1, 2020, or the date of entry into force of this Agreement, whichever is later; 4-B-1-23 (b) 64 percent under the net cost method or 74 percent under the transaction value method, if the corresponding rule includes a transaction value method, beginning on January 1, 2024, or four years after the date of entry into</w:t>
      </w:r>
    </w:p>
    <w:p>
      <w:pPr>
        <w:pStyle w:val="Normal"/>
      </w:pPr>
      <w:r>
        <w:t>force of this Agreement, whichever is later; and (c) 70 percent under the net cost method or 80 percent under the transaction value method, if the corresponding rule includes a transaction value method, beginning on January 1, 2027, or seven years after the date of entry into force of this Agreement, whichever is later, and thereafter. 3. Notwithstanding the Product-Specific Rules of Origin in Annex 4-B, each Party shall provide that the regional value content requirement for a part listed in Table E of this Appendix that is for use in a heavy truck is: (a) 50 percent under the net cost method or 60 percent under the transaction value method, if the corresponding rule includes a transaction value method, beginning on January 1, 2020, or the date of entry into force of this Agreement, whichever is later;</w:t>
      </w:r>
    </w:p>
    <w:p>
      <w:pPr>
        <w:pStyle w:val="Normal"/>
      </w:pPr>
      <w:r>
        <w:t>(b) 54 percent under the net cost method or 64 percent under the transaction value method, if the corresponding rule includes a transaction value method beginning on January 1, 2024, or four years after the date of entry into force of this Agreement, whichever is later; and (c) 60 percent under the net cost method or 70 percent under the transaction value method, if the corresponding rule includes a transaction value method, beginning on January 1, 2027, or seven years after the date of entry into force of this Agreement, whichever is later, and thereafter. 4.</w:t>
      </w:r>
    </w:p>
    <w:p>
      <w:pPr>
        <w:pStyle w:val="Normal"/>
      </w:pPr>
      <w:r>
        <w:t>Notwithstanding Article 2 (Product-Specific Rules of Origin for Vehicles) or the Product- Specific Rules of Origin in Annex 4-B, each Party shall provide that a part of heading 84.07 or 84.08 or subheading 8708.40, or a chassis classified in 8708.99, that is for use in a heavy truck, is originating only if it satisfies the applicable regional value content requirement in paragraph 2.</w:t>
      </w:r>
    </w:p>
    <w:p>
      <w:pPr>
        <w:pStyle w:val="Heading2"/>
      </w:pPr>
      <w:bookmarkStart w:id="900157" w:name="_Toc300000156"/>
      <w:r>
        <w:t xml:space="preserve">Article 5: Averaging</w:t>
      </w:r>
      <w:bookmarkEnd w:id="900157"/>
    </w:p>
    <w:p>
      <w:pPr>
        <w:pStyle w:val="Normal"/>
      </w:pPr>
      <w:r>
        <w:t xml:space="preserve">1. Each Party shall provide that, for the purposes of calculating the regional value content of a passenger vehicle, light truck, or heavy truck, the calculation may be averaged over the producer’s fiscal year, using any one of the following categories, on the basis of either all motor vehicles in the category or only those motor vehicles in the category that are exported to the territory of one or more of the other Parties: 4-B-1-24 (a) the same model line of motor vehicles in the same class of vehicles produced in the same plant in the territory of a Party; (b) the same class of motor vehicles produced in the same plant in the territory of a Party; (c) the same model line or same class of motor vehicles produced in the territory of a Party;72 or (d) any other category as the Parties may decide. 2.</w:t>
      </w:r>
    </w:p>
    <w:p>
      <w:pPr>
        <w:pStyle w:val="Normal"/>
      </w:pPr>
      <w:r>
        <w:t>Each Party shall provide, that for the purposes of calculating the regional value content for an automotive good listed in Tables A.1, B, C, D, or E of this Appendix, produced in the same plant, or a super-core for a passenger vehicle or light truck, the calculation may be averaged: (a) over the fiscal year of the motor vehicle producer to whom the good is sold; (b) over any quarter or month; (c) over the fiscal year of the producer of the automotive material; or (d) over any of the categories in paragraph 1 (a) through (d), provided that the good was produced during the fiscal year, quarter, or month forming the basis for the calculation, in which: (i) the average in subparagraph (a) is calculated separately for those goods sold to one or more motor vehicle producers, or (ii) the average in subparagraph (a) or (b) is calculated separately for those goods that are exported to the territory of another Party.</w:t>
      </w:r>
    </w:p>
    <w:p>
      <w:pPr>
        <w:pStyle w:val="Heading2"/>
      </w:pPr>
      <w:bookmarkStart w:id="900158" w:name="_Toc300000157"/>
      <w:r>
        <w:t xml:space="preserve">Article 6: Steel and Aluminum</w:t>
      </w:r>
      <w:bookmarkEnd w:id="900158"/>
    </w:p>
    <w:p>
      <w:pPr>
        <w:pStyle w:val="Normal"/>
      </w:pPr>
      <w:r>
        <w:t xml:space="preserve">1. In addition to the Product-Specific Rules of Origin in Annex 4-B or other requirements in this Appendix, each Party shall provide that a passenger vehicle, light truck, or heavy truck is originating only if, during a time period provided for in paragraph 2,at least 70 percent of: 72 Vehicles within the same model line or class may be averaged separately if such vehicles are subject to different RVC requirements. 4-B-1-25 (a) the vehicle producer’s purchases of steel by value in the territories of the Parties; and (b) the vehicle producer’s purchases of aluminum by value in the territories of the Parties, are of originating goods.73 2. Each Party shall provide that, for the purposes of determining the vehicle producer’s purchases of steel or aluminium in paragraph 1, the producer may calculate the purchases: (a) over the previous fiscal year of the producer; (b) over the previous calendar year; (c) over the quarter or month to date in which the vehicle is exported;</w:t>
      </w:r>
    </w:p>
    <w:p>
      <w:pPr>
        <w:pStyle w:val="Normal"/>
      </w:pPr>
      <w:r>
        <w:t>(d) over the producer’s fiscal year to date in which the vehicle is exported; or (e) over the calendar year to date in which the vehicle is exported. A steel or aluminum calculation based on the producer’s previous fiscal year is valid for the duration of the producer’s current fiscal year. A steel or aluminum calculation based on the previous calendar year is valid for the duration of the current calendar year. 3.</w:t>
      </w:r>
    </w:p>
    <w:p>
      <w:pPr>
        <w:pStyle w:val="Normal"/>
      </w:pPr>
      <w:r>
        <w:t>The Parties shall endeavor to develop any additional description or other modification of steel and aluminum subject to paragraph 1, if needed, to facilitate implementation of this requirement. Upon request of one of the Parties, the Parties shall discuss and agree on any appropriate modifications to the description of steel and aluminum. The Parties, as appropriate, shall provide in the Uniform Regulations additional description for steel and aluminum subject to paragraph 1, such as by tariff provision or product description, to facilitate implementation of this requirement. 4. The Parties shall include any certification or verification provisions for this requirement in Uniform Regulations. 73 This requirement will apply to a vehicle producer’s corporate purchases throughout the territories of the Parties, including if the producer has more than one location in a Party where steel and aluminum is purchased. Such purchases of steel and aluminum include direct purchases, purchases through a services center, and purchases contracted through a supplier. 4-B-1-26</w:t>
      </w:r>
    </w:p>
    <w:p>
      <w:pPr>
        <w:pStyle w:val="Heading2"/>
      </w:pPr>
      <w:bookmarkStart w:id="900159" w:name="_Toc300000158"/>
      <w:r>
        <w:t>Article 7: North American Automotive Workforce Advancement Standard</w:t>
      </w:r>
      <w:bookmarkEnd w:id="900159"/>
    </w:p>
    <w:p>
      <w:pPr>
        <w:pStyle w:val="Normal"/>
      </w:pPr>
      <w:r>
        <w:t>1. Supersession of Legacy Labor Value Content. The former Labor Value Content requirements based on a fixed US$16 per hour production-wage threshold, including the former 40 percent passenger-vehicle requirement and 45 percent light- and heavy-truck requirement, are superseded by this Article. Compliance with a fixed nominal wage threshold shall not be a condition of originating status under this Agreement.</w:t>
      </w:r>
    </w:p>
    <w:p>
      <w:pPr>
        <w:pStyle w:val="Normal"/>
      </w:pPr>
      <w:r>
        <w:t>2. Standard Origin. A passenger vehicle, light truck, medium-duty vehicle, heavy-duty vehicle, vocational vehicle, qualifying chassis, or other covered automotive good that satisfies the applicable regional value content, product-specific origin, steel or aluminum, and anti-circumvention requirements shall not be denied ordinary originating treatment solely because of the compensation level, wage geography, or workforce-cost structure of a facility in which qualifying North American production occurred. The 75% (75 percent) Standard Tier under the automotive modernization architecture remains sufficient for ordinary zero automotive tariff treatment where all other applicable origin requirements are satisfied.</w:t>
      </w:r>
    </w:p>
    <w:p>
      <w:pPr>
        <w:pStyle w:val="Normal"/>
      </w:pPr>
      <w:r>
        <w:t>3. Workforce Advancement Objective. The Parties shall use workforce performance as an earned-integration and industrial-upgrading factor rather than as a fixed nominal-wage gate to origin. The objective is to raise compensation, skills, productivity, worker security, lawful collective representation, workplace safety, and long-term North American production without creating a permanent geographic preference for facilities that happened to begin from a higher nominal-wage base.</w:t>
      </w:r>
    </w:p>
    <w:p>
      <w:pPr>
        <w:pStyle w:val="Normal"/>
      </w:pPr>
      <w:r>
        <w:t>4. Eligible Workforce Advancement Factors. An implementing schedule may recognize verified performance involving: (a) sustained real compensation growth; (b) competitive total compensation, including lawful benefits; (c) freedom of association and collective-bargaining compliance; (d) apprenticeship and certified industrial training; (e) technical and portable credentials; (f) worker retention and reduced involuntary turnover; (g) employer-funded upskilling and transition support; (h) genuine engineering, research, development, testing, software, and advanced-manufacturing employment; (i) productivity improvements accompanied by measurable worker benefit; (j) occupational safety and health performance; (k) lawful portable benefits and social-protection coordination; and (l) absence and remediation of prohibited recruitment fees, document retention, retaliation, forced labour, or other serious covered labour violations.</w:t>
      </w:r>
    </w:p>
    <w:p>
      <w:pPr>
        <w:pStyle w:val="Normal"/>
      </w:pPr>
      <w:r>
        <w:t>5. Earned Integration. Verified workforce advancement may contribute to eligibility for High Integration or Strategic Integration benefits under the 80% (80 percent) and 85% (85 percent) automotive tiers, including designated customs facilitation, reduced routine verification, trusted-trader treatment, transition assistance, supplier-development support, workforce-development cooperation, or other authorized non-tariff benefits. Workforce advancement shall not by itself create a nationality-specific quota or mandatory production allocation.</w:t>
      </w:r>
    </w:p>
    <w:p>
      <w:pPr>
        <w:pStyle w:val="Normal"/>
      </w:pPr>
      <w:r>
        <w:t>6. Upward-Convergence Path. A facility or producer shall not be disadvantaged merely because its lawful starting compensation level is lower than that of a facility in another Party. An implementing schedule may recognize sustained real wage growth, productivity growth, skills formation, stronger bargaining outcomes, improved benefits, and movement into higher-value production as evidence of upward convergence. The architecture shall reward measurable improvement and durable worker benefit rather than permanent incumbency at a historically higher nominal wage.</w:t>
      </w:r>
    </w:p>
    <w:p>
      <w:pPr>
        <w:pStyle w:val="Normal"/>
      </w:pPr>
      <w:r>
        <w:t>7. No Wage-Suppression Advantage. No Party or producer shall obtain an automotive integration advantage principally through sustained suppression of compensation, denial of covered labour rights, prohibited recruitment practices, systematic misclassification, coercive use of immigration status, forced labour, or deliberate circumvention of applicable labour protections. A serious verified violation may affect earned-integration benefits in accordance with Chapter 23, Chapter 31, Chapter 51, and Cothrom procedures, but shall not automatically erase otherwise valid North American origin unless an applicable origin rule is independently violated.</w:t>
      </w:r>
    </w:p>
    <w:p>
      <w:pPr>
        <w:pStyle w:val="Normal"/>
      </w:pPr>
      <w:r>
        <w:t>8. Worker-First Enforcement. The existence of a covered labour right does not depend on proof that a violation injured the commerce or competitiveness of another Party. Commercial effects may inform the proportionality of a trade-related remedy, but shall not determine whether workers possess the protected right or whether a serious violation warrants remediation.</w:t>
      </w:r>
    </w:p>
    <w:p>
      <w:pPr>
        <w:pStyle w:val="Normal"/>
      </w:pPr>
      <w:r>
        <w:t>9. Trilateral Neutrality. Workforce advancement criteria shall apply on functionally equivalent terms to facilities in Canada, Mexico, and the United States. No Party shall receive a presumption that high nominal wages establish labour compliance, that lower nominal wages establish labour non-compliance, or that meaningful workforce upgrading can occur only in another Party.</w:t>
      </w:r>
    </w:p>
    <w:p>
      <w:pPr>
        <w:pStyle w:val="Normal"/>
      </w:pPr>
      <w:r>
        <w:t>10. Benefits and Non-Cash Compensation. Total-compensation measures may recognize legally required or genuinely additional benefits, including pensions, health coverage, paid leave, housing contributions, profit-sharing, childcare, transport, or meal support, where measurable and worker-accessible. Non-cash benefits shall not be used to disguise sustained suppression of cash compensation or to substitute indefinitely for reasonable wage progression.</w:t>
      </w:r>
    </w:p>
    <w:p>
      <w:pPr>
        <w:pStyle w:val="Normal"/>
      </w:pPr>
      <w:r>
        <w:t>11. Skills, R&amp;D, and Advanced Work. Genuine North American engineering, research, development, design, software, testing, certification, skilled-trades, apprenticeship, and advanced-manufacturing work may qualify as workforce advancement where it materially contributes to covered automotive production. Paper allocations, nominal contracting, or artificial relocation of accounting entries shall not qualify.</w:t>
      </w:r>
    </w:p>
    <w:p>
      <w:pPr>
        <w:pStyle w:val="Normal"/>
      </w:pPr>
      <w:r>
        <w:t>12. Verification and Anti-Gaming. Verification shall be risk-based, evidence-based, proportionate, and no more burdensome than necessary. The Parties may use trusted-compliance treatment for producers with a sustained record of accurate reporting, subject to reopening where credible evidence indicates material non-compliance, manipulation, worker retaliation, or false certification.</w:t>
      </w:r>
    </w:p>
    <w:p>
      <w:pPr>
        <w:pStyle w:val="Normal"/>
      </w:pPr>
      <w:r>
        <w:t>13. Cure and Earn-Back. Where an earned workforce-related benefit is paused for verified non-performance, the producer or Party shall receive a reasonable opportunity to cure except where urgent action is necessary to prevent serious or irreversible harm. A paused benefit shall be restored promptly and proportionately when corrective performance is verified, consistent with the No Uncompensated Front-Loading and Cothrom earn-back architecture.</w:t>
      </w:r>
    </w:p>
    <w:p>
      <w:pPr>
        <w:pStyle w:val="Normal"/>
      </w:pPr>
      <w:r>
        <w:t>14. No Fixed-Dollar Automatic Escalator. No fixed U.S.-dollar wage number, purchasing-power-parity formula, foreign minimum-wage benchmark, or automatic inflation escalator shall determine originating status. Any numerical workforce benchmarks adopted in an implementing schedule shall be evidence-based, periodically reviewable, transparent, and subordinate to the trilateral outcome principles in this Article.</w:t>
      </w:r>
    </w:p>
    <w:p>
      <w:pPr>
        <w:pStyle w:val="Normal"/>
      </w:pPr>
      <w:r>
        <w:t>15. Review. The Parties shall periodically assess whether workforce advancement measures are producing higher real compensation, stronger skills, safer workplaces, improved worker retention, greater productivity, more resilient North American production, and reduced incentive for abusive labour arbitrage. Review shall inform agreed modernization and shall not automatically rewrite substantive treaty obligations.</w:t>
      </w:r>
    </w:p>
    <w:p>
      <w:pPr>
        <w:pStyle w:val="Normal"/>
      </w:pPr>
      <w:r>
        <w:t>16. Chapter 23-B Operationalization. The workforce advancement metrics supporting Article 4.A.2 are operationalized through Chapter 23-B (North American Just Transition and Worker Security Framework). Parties shall provide workers with access to the income support, retraining, and benefit portability specified in Articles 23-B.3–23-B.5. All workforce-advancement metrics shall be measured against Chapter 23-B standards.</w:t>
      </w:r>
    </w:p>
    <w:p>
      <w:pPr>
        <w:pStyle w:val="Heading2"/>
      </w:pPr>
      <w:bookmarkStart w:id="900160" w:name="_Toc300000159"/>
      <w:r>
        <w:t xml:space="preserve">Article 8: Transitions</w:t>
      </w:r>
      <w:bookmarkEnd w:id="900160"/>
    </w:p>
    <w:p>
      <w:pPr>
        <w:pStyle w:val="Normal"/>
      </w:pPr>
      <w:r>
        <w:t xml:space="preserve">1. Each Party shall provide that for a period ending no later than January 1, 2025 or five years after entry into force of this Agreement, whichever is later, a passenger vehicle or light truck may be originating pursuant to an alternative staging regime to the regime set out in Articles 2 through 6, subject to paragraphs 2 and 3. 2. An alternative staging regime for eligible passenger vehicles or light trucks must meet the following requirements:</w:t>
      </w:r>
    </w:p>
    <w:p>
      <w:pPr>
        <w:pStyle w:val="Normal"/>
      </w:pPr>
      <w:r>
        <w:t>(a) the regional value content for such vehicles must not be lower than 62.5 percent, under the net cost method, and must be 75 percent by no later than January 1, 2025 or five years after entry into force of this Agreement, whichever is later;81 (b) the regional value content for a good listed in Table A.1 of this Appendix, except for a battery of subheading 8507.60,82 that is for use in a passenger vehicle or light truck must not be lower than 62.5 percent under the net cost method or 72.5 percent under the transaction value method, if the corresponding rule includes a transaction value method, and must be 75 percent under the net cost method or 85 percent under the transaction value method, if the corresponding rule includes a transaction value method by no later than January 1, 2025 or five years after entry into force of this Agreement, whichever is later; (c) the steel and aluminum requirement under Article 6 (Steel and Aluminum) must be met, unless the Parties agree to change that requirement for</w:t>
      </w:r>
    </w:p>
    <w:p>
      <w:pPr>
        <w:pStyle w:val="Normal"/>
      </w:pPr>
      <w:r>
        <w:t>vehicles subject to this alternative regime. 81 Notwithstanding this Article, if a vehicle is covered by an alternative staging regime described in Article 403.6 of NAFTA 1994 as of signature of this Agreement, a transition provided for under this Article may include providing such treatment. 82 During this transition period, the rule of origin for a battery of subheading 8507.60 will be: “A change to a battery of subheading 8507.60, of a kind used as the primary source of electrical power for the propulsion of an electric passenger vehicle or light truck, from within that subheading or from any other subheading. 4-B-1-30 4.</w:t>
      </w:r>
    </w:p>
    <w:p>
      <w:pPr>
        <w:pStyle w:val="Normal"/>
      </w:pPr>
      <w:r>
        <w:t>The quantities of passenger vehicles or light trucks eligible for the alternative staging regime in paragraph 2 shall be limited to not more than ten percent of a producer’s total passenger vehicle or light truck production, in the territories of the Parties, during the complete 12 month period prior to entry into force of this Agreement, or the average of such production during the complete 36 month period prior to entry into force of this Agreement, whichever is greater.</w:t>
      </w:r>
    </w:p>
    <w:p>
      <w:pPr>
        <w:pStyle w:val="Normal"/>
      </w:pPr>
      <w:r>
        <w:t>The Parties may decide to increase the number of eligible vehicles for a producer if a vehicle producer can demonstrate, to the satisfaction of the Parties, a detailed and credible plan to ensure these vehicles will meet all the requirements set out in Articles 1 through 6 within five years from entry into force of this Agreement. 5. Each Party shall provide that for a period ending no later than January 1, 2027 or seven years after entry into force of this Agreement, whichever is later, a heavy truck may be originating pursuant to an alternative staging regime to the requirements set out in Articles 2 through 6. 6. A Party may apply an alternative staging regime described in this Article on a producer- by-producer basis.</w:t>
      </w:r>
    </w:p>
    <w:p>
      <w:pPr>
        <w:pStyle w:val="Normal"/>
      </w:pPr>
      <w:r>
        <w:t>Upon request of one of the Parties, the Parties shall discuss and agree on any appropriate extensions or other modifications to the alternative staging regime described in paragraphs 1 through 4 if the Parties consider that such an extension or modification would result in new investment for vehicle or parts production in the territories of the Parties. 7. A rule of origin applicable to a good as a result of an alternative staging regime provided for under this Article applies in place of any other rule of origin for that good.</w:t>
      </w:r>
    </w:p>
    <w:p>
      <w:pPr>
        <w:pStyle w:val="Heading2"/>
      </w:pPr>
      <w:bookmarkStart w:id="900161" w:name="_Toc300000160"/>
      <w:r>
        <w:t xml:space="preserve">Article 9: Review and Transitional Arrangements</w:t>
      </w:r>
      <w:bookmarkEnd w:id="900161"/>
    </w:p>
    <w:p>
      <w:pPr>
        <w:pStyle w:val="Normal"/>
      </w:pPr>
      <w:r>
        <w:t xml:space="preserve">1. The Parties shall, upon request of a Party, review the requirements in this Appendix for passenger vehicles, light truck, and heavy trucks to ensure that they reflect the composition of these vehicles, especially Advanced Technology Vehicles, and in light of technological developments 2. Notwithstanding Article 5 (Averaging), a Party may allow averaging for a producer over a partial fiscal year or partial calendar year if the beginning of the producer’s fiscal year does not coincide with the date of entry into force of this Agreement, or if the date of entry into force of this Agreement does not fall at the beginning of a calendar year, in order to facilitate implementation of the requirements in this Appendix. 3. The Parties shall include additional description or other clarification to this Appendix, as well as matters for implementation of any transition arrangements, in the Uniform Regulations.</w:t>
      </w:r>
    </w:p>
    <w:p>
      <w:pPr>
        <w:pStyle w:val="Heading2"/>
      </w:pPr>
      <w:bookmarkStart w:id="900162" w:name="_Toc300000161"/>
      <w:r>
        <w:t xml:space="preserve">Article 10: Regional Value Content for Other Vehicles</w:t>
      </w:r>
      <w:bookmarkEnd w:id="900162"/>
    </w:p>
    <w:p>
      <w:pPr>
        <w:pStyle w:val="Normal"/>
      </w:pPr>
      <w:r>
        <w:t xml:space="preserve">4-B-1-31 1. Notwithstanding the Product-Specific Rules of Origin in Annex 4-B, each Party shall provide that the regional value content requirement is 62.5 percent under the net cost method for: (a) a motor vehicle for the transport of 15 or fewer persons of subheading 8702.10 or 8702.90; a passenger vehicle with a compression-ignition engine as the primary motor of propulsion, a three or four-wheeled motorcycle, a motorhome or entertainer coach, or a vehicle solely or principally for off-road use of subheading 8703.21 through 8703.90; or a vehicle of subheading 8704.21 or 8704.31 that is solely or principally for off-road use; and (b) a good of heading 84.07 or 84.08, or subheading 8708.40, that is for use in a motor vehicle in subparagraph (a). 2.</w:t>
      </w:r>
    </w:p>
    <w:p>
      <w:pPr>
        <w:pStyle w:val="Normal"/>
      </w:pPr>
      <w:r>
        <w:t>Notwithstanding the Product-Specific Rules of Origin in Annex 4-B, each Party shall provide that the regional value content requirement is 60 percent under the net cost method for: (a) a good that is a motor vehicle of heading 8701, except for subheading 8701.20; a motor vehicle for the transport of 16 or more persons of subheading 8702.10 or 8702.90; a motor vehicle of subheading 8704.10; a motor vehicle of subheading 8704.22, 8704.23, 8704.32, or 8704.90 that is solely or principally for off-road use; a motor vehicle of heading 87.05; or a good of heading 87.06 that is not for use in a passenger vehicle, light truck, or heavy truck; (b) a good of heading 84.07 or 84.08, or subheading 8708.40, that is for use in a motor vehicle in subparagraph (a); or (c) except for a good in paragraph 2(b) or of subheading 8482.10 through 8482.80, 8483.20, or 8483.30, a good in Table F of this Appendix that is subject to a regional value content requirement and that is for use in a motor vehicle in paragraphs 1(a) or 2(a). 3.</w:t>
      </w:r>
    </w:p>
    <w:p>
      <w:pPr>
        <w:pStyle w:val="Normal"/>
      </w:pPr>
      <w:r>
        <w:t>Each Party shall provide that, for the purposes of calculating the regional value content under the net cost method for a good that is a motor vehicle provided for in paragraph 1(a) or 2(a), a good listed in Table F of this Appendix for use as original equipment in the production of a good in paragraph 1(a), or a component listed in Table G of this Appendix for use as original equipment in the production of the motor vehicle in paragraph 2(a), the value of non-originating materials used by the producer in the production of the good shall be the sum of:</w:t>
      </w:r>
    </w:p>
    <w:p>
      <w:pPr>
        <w:pStyle w:val="Normal"/>
      </w:pPr>
      <w:r>
        <w:t>(a) for each material used by the producer listed in Table F or Table G, whether or not produced by the producer, at the choice of the producer and determined in accordance with Article 4.5 (Regional Value Content), either (i) the value of such material that is non-originating, or 4-B-1-32 (ii) the value of non-originating materials used in the production of such material; and (b) the value of any other non-originating material used by the producer that is not listed in Table F or Table G of this Appendix, determined in accordance with Article 4.5 (Regional Value Content). 4.</w:t>
      </w:r>
    </w:p>
    <w:p>
      <w:pPr>
        <w:pStyle w:val="Normal"/>
      </w:pPr>
      <w:r>
        <w:t>Each Party shall provide that, for purposes of calculating the regional value content of a motor vehicle covered by paragraph 1 or 2, the producer may average its calculation over its fiscal year, using any one of the following categories, on the basis of either all motor vehicles in the category or only those motor vehicles in the category that are exported to the territory of one or more of the other Parties: (a) the same model line of motor vehicles in the same class of vehicles produced in the same plant in the territory of a Party; (b) the same class of motor vehicles produced in the same plant in the territory of a Party; or (c) the same model line of motor vehicles produced in the territory of a Party. 5. Each Party shall provide that, for purposes of calculating the regional value content for a good listed in Table F of this Appendix, or a component or material listed in Table G of this Appendix, produced in the same plant, the producer of the good may:</w:t>
      </w:r>
    </w:p>
    <w:p>
      <w:pPr>
        <w:pStyle w:val="Normal"/>
      </w:pPr>
      <w:r>
        <w:t>(a) average its calculation: (i) over the fiscal year of the motor vehicle producer to whom the good is sold, (ii) over any quarter or month, or (iii) over its fiscal year, if the good is sold as an aftermarket part; (b) calculate the average referred to in subparagraph (a) separately for a good sold to one or more motor vehicle producers; or (c) with respect to any calculation under this paragraph, calculate the average separately for goods that are exported to the territory of one or more of the Parties. 6.</w:t>
      </w:r>
    </w:p>
    <w:p>
      <w:pPr>
        <w:pStyle w:val="Normal"/>
      </w:pPr>
      <w:r>
        <w:t>The regional value content requirement for a motor vehicle identified in paragraph 1 or 2 of this Article shall be: 4-B-1-33 (a) 50 percent for five years after the date on which the first motor vehicle prototype is produced in a plant by a motor vehicle assembler, if:</w:t>
      </w:r>
    </w:p>
    <w:p>
      <w:pPr>
        <w:pStyle w:val="Normal"/>
      </w:pPr>
      <w:r>
        <w:rPr>
          <w:b w:val="0"/>
        </w:rPr>
        <w:t>(i) it is a motor vehicle of a class, or marque, or, except for a motor vehicle identified in paragraph 2, size category and underbody, not previously produced by the motor vehicle assembler in the territory of any of the Parties, (ii) the plant consists of a new building in which the motor vehicle is assembled, and (iii) the plant contains substantially all new machinery that is used in the assembly of the motor vehicle; or (b) 50 percent for two years after the date on which the first motor vehicle prototype is produced at a plant following a refit, if it is a different motor vehicle of a class, or marque, or, except for a motor vehicle identified in paragraph 2, size category and underbody, than was assembled by the motor vehicle assembler in the plant before the refit. 4-B-1-34</w:t>
      </w:r>
    </w:p>
    <w:p>
      <w:pPr>
        <w:pStyle w:val="Normal"/>
      </w:pPr>
      <w:r>
        <w:rPr>
          <w:b/>
        </w:rPr>
        <w:t>TABLE A.1: CORE PARTS FOR PASSENGER VEHICLES AND LIGHT TRUCKS</w:t>
      </w:r>
    </w:p>
    <w:p>
      <w:pPr>
        <w:pStyle w:val="Normal"/>
      </w:pPr>
      <w:r>
        <w:rPr>
          <w:b w:val="0"/>
        </w:rPr>
        <w:t>Note: The Regional Value Content requirements set out in Article 3 of this Appendix apply to a good for use in a passenger vehicle or light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8407.31</w:t>
            </w:r>
          </w:p>
        </w:tc>
        <w:tc>
          <w:tcPr>
            <w:tcW w:type="dxa" w:w="4680"/>
            <w:tcMar>
              <w:top w:w="70" w:type="dxa"/>
              <w:start w:w="110" w:type="dxa"/>
              <w:bottom w:w="70" w:type="dxa"/>
              <w:end w:w="110" w:type="dxa"/>
            </w:tcMar>
          </w:tcPr>
          <w:p>
            <w:pPr>
              <w:pStyle w:val="TableText"/>
            </w:pPr>
            <w:r>
              <w:rPr/>
              <w:t>Reciprocating piston engines of a kind used for the propulsion of passenger vehicles of Chapter 87, of a cylinder capacity not exceeding 50 cc</w:t>
            </w:r>
          </w:p>
        </w:tc>
      </w:tr>
      <w:tr>
        <w:trPr>
          <w:cantSplit/>
        </w:trPr>
        <w:tc>
          <w:tcPr>
            <w:tcW w:type="dxa" w:w="4680"/>
            <w:shd w:fill="F5F7F8" w:val="clear" w:color="auto"/>
            <w:tcMar>
              <w:top w:w="70" w:type="dxa"/>
              <w:start w:w="110" w:type="dxa"/>
              <w:bottom w:w="70" w:type="dxa"/>
              <w:end w:w="110" w:type="dxa"/>
            </w:tcMar>
          </w:tcPr>
          <w:p>
            <w:pPr>
              <w:pStyle w:val="TableText"/>
            </w:pPr>
            <w:r>
              <w:rPr/>
              <w:t>8407.32</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50 cc but not exceeding 250 cc</w:t>
            </w:r>
          </w:p>
        </w:tc>
      </w:tr>
      <w:tr>
        <w:trPr>
          <w:cantSplit/>
        </w:trPr>
        <w:tc>
          <w:tcPr>
            <w:tcW w:type="dxa" w:w="4680"/>
            <w:tcMar>
              <w:top w:w="70" w:type="dxa"/>
              <w:start w:w="110" w:type="dxa"/>
              <w:bottom w:w="70" w:type="dxa"/>
              <w:end w:w="110" w:type="dxa"/>
            </w:tcMar>
          </w:tcPr>
          <w:p>
            <w:pPr>
              <w:pStyle w:val="TableText"/>
            </w:pPr>
            <w:r>
              <w:rPr/>
              <w:t>8407.33</w:t>
            </w:r>
          </w:p>
        </w:tc>
        <w:tc>
          <w:tcPr>
            <w:tcW w:type="dxa" w:w="4680"/>
            <w:tcMar>
              <w:top w:w="70" w:type="dxa"/>
              <w:start w:w="110" w:type="dxa"/>
              <w:bottom w:w="70" w:type="dxa"/>
              <w:end w:w="110" w:type="dxa"/>
            </w:tcMar>
          </w:tcPr>
          <w:p>
            <w:pPr>
              <w:pStyle w:val="TableText"/>
            </w:pPr>
            <w:r>
              <w:rPr/>
              <w:t>Reciprocating piston engines of a kind used for the propulsion of vehicles of Chapter 87, of a cylinder capacity exceeding 250 cc but not exceeding 1,000 cc</w:t>
            </w:r>
          </w:p>
        </w:tc>
      </w:tr>
      <w:tr>
        <w:trPr>
          <w:cantSplit/>
        </w:trPr>
        <w:tc>
          <w:tcPr>
            <w:tcW w:type="dxa" w:w="4680"/>
            <w:shd w:fill="F5F7F8" w:val="clear" w:color="auto"/>
            <w:tcMar>
              <w:top w:w="70" w:type="dxa"/>
              <w:start w:w="110" w:type="dxa"/>
              <w:bottom w:w="70" w:type="dxa"/>
              <w:end w:w="110" w:type="dxa"/>
            </w:tcMar>
          </w:tcPr>
          <w:p>
            <w:pPr>
              <w:pStyle w:val="TableText"/>
            </w:pPr>
            <w:r>
              <w:rPr/>
              <w:t>8407.34</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1,000 cc</w:t>
            </w:r>
          </w:p>
        </w:tc>
      </w:tr>
      <w:tr>
        <w:trPr>
          <w:cantSplit/>
        </w:trPr>
        <w:tc>
          <w:tcPr>
            <w:tcW w:type="dxa" w:w="4680"/>
            <w:tcMar>
              <w:top w:w="70" w:type="dxa"/>
              <w:start w:w="110" w:type="dxa"/>
              <w:bottom w:w="70" w:type="dxa"/>
              <w:end w:w="110" w:type="dxa"/>
            </w:tcMar>
          </w:tcPr>
          <w:p>
            <w:pPr>
              <w:pStyle w:val="TableText"/>
            </w:pPr>
            <w:r>
              <w:rPr/>
              <w:t>Ex 8408.20</w:t>
            </w:r>
          </w:p>
        </w:tc>
        <w:tc>
          <w:tcPr>
            <w:tcW w:type="dxa" w:w="4680"/>
            <w:tcMar>
              <w:top w:w="70" w:type="dxa"/>
              <w:start w:w="110" w:type="dxa"/>
              <w:bottom w:w="70" w:type="dxa"/>
              <w:end w:w="110" w:type="dxa"/>
            </w:tcMar>
          </w:tcPr>
          <w:p>
            <w:pPr>
              <w:pStyle w:val="TableText"/>
            </w:pPr>
            <w:r>
              <w:rPr/>
              <w:t>Compression-ignition internal combustion piston engines of a kind used for the propulsion of vehicles of subheading</w:t>
            </w:r>
          </w:p>
        </w:tc>
      </w:tr>
      <w:tr>
        <w:trPr>
          <w:cantSplit/>
        </w:trPr>
        <w:tc>
          <w:tcPr>
            <w:tcW w:type="dxa" w:w="4680"/>
            <w:shd w:fill="F5F7F8" w:val="clear" w:color="auto"/>
            <w:tcMar>
              <w:top w:w="70" w:type="dxa"/>
              <w:start w:w="110" w:type="dxa"/>
              <w:bottom w:w="70" w:type="dxa"/>
              <w:end w:w="110" w:type="dxa"/>
            </w:tcMar>
          </w:tcPr>
          <w:p>
            <w:pPr>
              <w:pStyle w:val="TableText"/>
            </w:pPr>
            <w:r>
              <w:rPr/>
              <w:t>8704.21</w:t>
            </w:r>
          </w:p>
        </w:tc>
        <w:tc>
          <w:tcPr>
            <w:tcW w:type="dxa" w:w="4680"/>
            <w:shd w:fill="F5F7F8" w:val="clear" w:color="auto"/>
            <w:tcMar>
              <w:top w:w="70" w:type="dxa"/>
              <w:start w:w="110" w:type="dxa"/>
              <w:bottom w:w="70" w:type="dxa"/>
              <w:end w:w="110" w:type="dxa"/>
            </w:tcMar>
          </w:tcPr>
          <w:p>
            <w:pPr>
              <w:pStyle w:val="TableText"/>
            </w:pPr>
            <w:r>
              <w:rPr/>
              <w:t>or</w:t>
            </w:r>
          </w:p>
        </w:tc>
      </w:tr>
      <w:tr>
        <w:trPr>
          <w:cantSplit/>
        </w:trPr>
        <w:tc>
          <w:tcPr>
            <w:tcW w:type="dxa" w:w="4680"/>
            <w:tcMar>
              <w:top w:w="70" w:type="dxa"/>
              <w:start w:w="110" w:type="dxa"/>
              <w:bottom w:w="70" w:type="dxa"/>
              <w:end w:w="110" w:type="dxa"/>
            </w:tcMar>
          </w:tcPr>
          <w:p>
            <w:pPr>
              <w:pStyle w:val="TableText"/>
            </w:pPr>
            <w:r>
              <w:rPr/>
              <w:t>8704.31</w:t>
            </w:r>
          </w:p>
        </w:tc>
        <w:tc>
          <w:tcPr>
            <w:tcW w:type="dxa" w:w="4680"/>
            <w:tcMar>
              <w:top w:w="70" w:type="dxa"/>
              <w:start w:w="110" w:type="dxa"/>
              <w:bottom w:w="70" w:type="dxa"/>
              <w:end w:w="110" w:type="dxa"/>
            </w:tcMar>
          </w:tcPr>
          <w:p>
            <w:pPr>
              <w:pStyle w:val="TableText"/>
            </w:pPr>
            <w:r>
              <w:rPr/>
            </w:r>
          </w:p>
        </w:tc>
      </w:tr>
      <w:tr>
        <w:trPr>
          <w:cantSplit/>
        </w:trPr>
        <w:tc>
          <w:tcPr>
            <w:tcW w:type="dxa" w:w="4680"/>
            <w:shd w:fill="F5F7F8" w:val="clear" w:color="auto"/>
            <w:tcMar>
              <w:top w:w="70" w:type="dxa"/>
              <w:start w:w="110" w:type="dxa"/>
              <w:bottom w:w="70" w:type="dxa"/>
              <w:end w:w="110" w:type="dxa"/>
            </w:tcMar>
          </w:tcPr>
          <w:p>
            <w:pPr>
              <w:pStyle w:val="TableText"/>
            </w:pPr>
            <w:r>
              <w:rPr/>
              <w:t>8409.91</w:t>
            </w:r>
          </w:p>
        </w:tc>
        <w:tc>
          <w:tcPr>
            <w:tcW w:type="dxa" w:w="4680"/>
            <w:shd w:fill="F5F7F8" w:val="clear" w:color="auto"/>
            <w:tcMar>
              <w:top w:w="70" w:type="dxa"/>
              <w:start w:w="110" w:type="dxa"/>
              <w:bottom w:w="70" w:type="dxa"/>
              <w:end w:w="110" w:type="dxa"/>
            </w:tcMar>
          </w:tcPr>
          <w:p>
            <w:pPr>
              <w:pStyle w:val="TableText"/>
            </w:pPr>
            <w:r>
              <w:rPr/>
              <w:t>Parts suitable for use solely or principally with the engines of heading 84.07 or 84.08, suitable for use solely or principally with spark-ignition internal combustion piston engines</w:t>
            </w:r>
          </w:p>
        </w:tc>
      </w:tr>
      <w:tr>
        <w:trPr>
          <w:cantSplit/>
        </w:trPr>
        <w:tc>
          <w:tcPr>
            <w:tcW w:type="dxa" w:w="4680"/>
            <w:tcMar>
              <w:top w:w="70" w:type="dxa"/>
              <w:start w:w="110" w:type="dxa"/>
              <w:bottom w:w="70" w:type="dxa"/>
              <w:end w:w="110" w:type="dxa"/>
            </w:tcMar>
          </w:tcPr>
          <w:p>
            <w:pPr>
              <w:pStyle w:val="TableText"/>
            </w:pPr>
            <w:r>
              <w:rPr/>
              <w:t>8409.99</w:t>
            </w:r>
          </w:p>
        </w:tc>
        <w:tc>
          <w:tcPr>
            <w:tcW w:type="dxa" w:w="4680"/>
            <w:tcMar>
              <w:top w:w="70" w:type="dxa"/>
              <w:start w:w="110" w:type="dxa"/>
              <w:bottom w:w="70" w:type="dxa"/>
              <w:end w:w="110" w:type="dxa"/>
            </w:tcMar>
          </w:tcPr>
          <w:p>
            <w:pPr>
              <w:pStyle w:val="TableText"/>
            </w:pPr>
            <w:r>
              <w:rPr/>
              <w:t>Parts suitable for use solely or principally with the engines of heading 84.07 or 84.08, other</w:t>
            </w:r>
          </w:p>
        </w:tc>
      </w:tr>
      <w:tr>
        <w:trPr>
          <w:cantSplit/>
        </w:trPr>
        <w:tc>
          <w:tcPr>
            <w:tcW w:type="dxa" w:w="4680"/>
            <w:shd w:fill="F5F7F8" w:val="clear" w:color="auto"/>
            <w:tcMar>
              <w:top w:w="70" w:type="dxa"/>
              <w:start w:w="110" w:type="dxa"/>
              <w:bottom w:w="70" w:type="dxa"/>
              <w:end w:w="110" w:type="dxa"/>
            </w:tcMar>
          </w:tcPr>
          <w:p>
            <w:pPr>
              <w:pStyle w:val="TableText"/>
            </w:pPr>
            <w:r>
              <w:rPr/>
              <w:t>8507.60</w:t>
            </w:r>
          </w:p>
        </w:tc>
        <w:tc>
          <w:tcPr>
            <w:tcW w:type="dxa" w:w="4680"/>
            <w:shd w:fill="F5F7F8" w:val="clear" w:color="auto"/>
            <w:tcMar>
              <w:top w:w="70" w:type="dxa"/>
              <w:start w:w="110" w:type="dxa"/>
              <w:bottom w:w="70" w:type="dxa"/>
              <w:end w:w="110" w:type="dxa"/>
            </w:tcMar>
          </w:tcPr>
          <w:p>
            <w:pPr>
              <w:pStyle w:val="TableText"/>
            </w:pPr>
            <w:r>
              <w:rPr/>
              <w:t>Lithium-ion batteries</w:t>
            </w:r>
          </w:p>
        </w:tc>
      </w:tr>
      <w:tr>
        <w:trPr>
          <w:cantSplit/>
        </w:trPr>
        <w:tc>
          <w:tcPr>
            <w:tcW w:type="dxa" w:w="4680"/>
            <w:tcMar>
              <w:top w:w="70" w:type="dxa"/>
              <w:start w:w="110" w:type="dxa"/>
              <w:bottom w:w="70" w:type="dxa"/>
              <w:end w:w="110" w:type="dxa"/>
            </w:tcMar>
          </w:tcPr>
          <w:p>
            <w:pPr>
              <w:pStyle w:val="TableText"/>
            </w:pPr>
            <w:r>
              <w:rPr/>
              <w:t>8706.00</w:t>
            </w:r>
          </w:p>
        </w:tc>
        <w:tc>
          <w:tcPr>
            <w:tcW w:type="dxa" w:w="4680"/>
            <w:tcMar>
              <w:top w:w="70" w:type="dxa"/>
              <w:start w:w="110" w:type="dxa"/>
              <w:bottom w:w="70" w:type="dxa"/>
              <w:end w:w="110" w:type="dxa"/>
            </w:tcMar>
          </w:tcPr>
          <w:p>
            <w:pPr>
              <w:pStyle w:val="TableText"/>
            </w:pPr>
            <w:r>
              <w:rPr/>
              <w:t>Chassis fitted with engines, for the motor vehicles of heading 87.03 or subheading</w:t>
            </w:r>
          </w:p>
        </w:tc>
      </w:tr>
      <w:tr>
        <w:trPr>
          <w:cantSplit/>
        </w:trPr>
        <w:tc>
          <w:tcPr>
            <w:tcW w:type="dxa" w:w="4680"/>
            <w:shd w:fill="F5F7F8" w:val="clear" w:color="auto"/>
            <w:tcMar>
              <w:top w:w="70" w:type="dxa"/>
              <w:start w:w="110" w:type="dxa"/>
              <w:bottom w:w="70" w:type="dxa"/>
              <w:end w:w="110" w:type="dxa"/>
            </w:tcMar>
          </w:tcPr>
          <w:p>
            <w:pPr>
              <w:pStyle w:val="TableText"/>
            </w:pPr>
            <w:r>
              <w:rPr/>
              <w:t>8704.21</w:t>
            </w:r>
          </w:p>
        </w:tc>
        <w:tc>
          <w:tcPr>
            <w:tcW w:type="dxa" w:w="4680"/>
            <w:shd w:fill="F5F7F8" w:val="clear" w:color="auto"/>
            <w:tcMar>
              <w:top w:w="70" w:type="dxa"/>
              <w:start w:w="110" w:type="dxa"/>
              <w:bottom w:w="70" w:type="dxa"/>
              <w:end w:w="110" w:type="dxa"/>
            </w:tcMar>
          </w:tcPr>
          <w:p>
            <w:pPr>
              <w:pStyle w:val="TableText"/>
            </w:pPr>
            <w:r>
              <w:rPr/>
              <w:t>or</w:t>
            </w:r>
          </w:p>
        </w:tc>
      </w:tr>
      <w:tr>
        <w:trPr>
          <w:cantSplit/>
        </w:trPr>
        <w:tc>
          <w:tcPr>
            <w:tcW w:type="dxa" w:w="4680"/>
            <w:tcMar>
              <w:top w:w="70" w:type="dxa"/>
              <w:start w:w="110" w:type="dxa"/>
              <w:bottom w:w="70" w:type="dxa"/>
              <w:end w:w="110" w:type="dxa"/>
            </w:tcMar>
          </w:tcPr>
          <w:p>
            <w:pPr>
              <w:pStyle w:val="TableText"/>
            </w:pPr>
            <w:r>
              <w:rPr/>
              <w:t>8704.31</w:t>
            </w:r>
          </w:p>
        </w:tc>
        <w:tc>
          <w:tcPr>
            <w:tcW w:type="dxa" w:w="4680"/>
            <w:tcMar>
              <w:top w:w="70" w:type="dxa"/>
              <w:start w:w="110" w:type="dxa"/>
              <w:bottom w:w="70" w:type="dxa"/>
              <w:end w:w="110" w:type="dxa"/>
            </w:tcMar>
          </w:tcPr>
          <w:p>
            <w:pPr>
              <w:pStyle w:val="TableText"/>
            </w:pPr>
            <w:r>
              <w:rPr/>
            </w:r>
          </w:p>
        </w:tc>
      </w:tr>
      <w:tr>
        <w:trPr>
          <w:cantSplit/>
        </w:trPr>
        <w:tc>
          <w:tcPr>
            <w:tcW w:type="dxa" w:w="4680"/>
            <w:shd w:fill="F5F7F8" w:val="clear" w:color="auto"/>
            <w:tcMar>
              <w:top w:w="70" w:type="dxa"/>
              <w:start w:w="110" w:type="dxa"/>
              <w:bottom w:w="70" w:type="dxa"/>
              <w:end w:w="110" w:type="dxa"/>
            </w:tcMar>
          </w:tcPr>
          <w:p>
            <w:pPr>
              <w:pStyle w:val="TableText"/>
            </w:pPr>
            <w:r>
              <w:rPr/>
              <w:t>8707.10</w:t>
            </w:r>
          </w:p>
        </w:tc>
        <w:tc>
          <w:tcPr>
            <w:tcW w:type="dxa" w:w="4680"/>
            <w:shd w:fill="F5F7F8" w:val="clear" w:color="auto"/>
            <w:tcMar>
              <w:top w:w="70" w:type="dxa"/>
              <w:start w:w="110" w:type="dxa"/>
              <w:bottom w:w="70" w:type="dxa"/>
              <w:end w:w="110" w:type="dxa"/>
            </w:tcMar>
          </w:tcPr>
          <w:p>
            <w:pPr>
              <w:pStyle w:val="TableText"/>
            </w:pPr>
            <w:r>
              <w:rPr/>
              <w:t>Bodies for the vehicles of heading 87.03</w:t>
            </w:r>
          </w:p>
        </w:tc>
      </w:tr>
      <w:tr>
        <w:trPr>
          <w:cantSplit/>
        </w:trPr>
        <w:tc>
          <w:tcPr>
            <w:tcW w:type="dxa" w:w="4680"/>
            <w:tcMar>
              <w:top w:w="70" w:type="dxa"/>
              <w:start w:w="110" w:type="dxa"/>
              <w:bottom w:w="70" w:type="dxa"/>
              <w:end w:w="110" w:type="dxa"/>
            </w:tcMar>
          </w:tcPr>
          <w:p>
            <w:pPr>
              <w:pStyle w:val="TableText"/>
            </w:pPr>
            <w:r>
              <w:rPr/>
              <w:t>8707.90</w:t>
            </w:r>
          </w:p>
        </w:tc>
        <w:tc>
          <w:tcPr>
            <w:tcW w:type="dxa" w:w="4680"/>
            <w:tcMar>
              <w:top w:w="70" w:type="dxa"/>
              <w:start w:w="110" w:type="dxa"/>
              <w:bottom w:w="70" w:type="dxa"/>
              <w:end w:w="110" w:type="dxa"/>
            </w:tcMar>
          </w:tcPr>
          <w:p>
            <w:pPr>
              <w:pStyle w:val="TableText"/>
            </w:pPr>
            <w:r>
              <w:rPr/>
              <w:t>Bodies for the vehicles of subheading</w:t>
            </w:r>
          </w:p>
        </w:tc>
      </w:tr>
      <w:tr>
        <w:trPr>
          <w:cantSplit/>
        </w:trPr>
        <w:tc>
          <w:tcPr>
            <w:tcW w:type="dxa" w:w="4680"/>
            <w:shd w:fill="F5F7F8" w:val="clear" w:color="auto"/>
            <w:tcMar>
              <w:top w:w="70" w:type="dxa"/>
              <w:start w:w="110" w:type="dxa"/>
              <w:bottom w:w="70" w:type="dxa"/>
              <w:end w:w="110" w:type="dxa"/>
            </w:tcMar>
          </w:tcPr>
          <w:p>
            <w:pPr>
              <w:pStyle w:val="TableText"/>
            </w:pPr>
            <w:r>
              <w:rPr/>
              <w:t>8704.21</w:t>
            </w:r>
          </w:p>
        </w:tc>
        <w:tc>
          <w:tcPr>
            <w:tcW w:type="dxa" w:w="4680"/>
            <w:shd w:fill="F5F7F8" w:val="clear" w:color="auto"/>
            <w:tcMar>
              <w:top w:w="70" w:type="dxa"/>
              <w:start w:w="110" w:type="dxa"/>
              <w:bottom w:w="70" w:type="dxa"/>
              <w:end w:w="110" w:type="dxa"/>
            </w:tcMar>
          </w:tcPr>
          <w:p>
            <w:pPr>
              <w:pStyle w:val="TableText"/>
            </w:pPr>
            <w:r>
              <w:rPr/>
              <w:t>or</w:t>
            </w:r>
          </w:p>
        </w:tc>
      </w:tr>
      <w:tr>
        <w:trPr>
          <w:cantSplit/>
        </w:trPr>
        <w:tc>
          <w:tcPr>
            <w:tcW w:type="dxa" w:w="4680"/>
            <w:tcMar>
              <w:top w:w="70" w:type="dxa"/>
              <w:start w:w="110" w:type="dxa"/>
              <w:bottom w:w="70" w:type="dxa"/>
              <w:end w:w="110" w:type="dxa"/>
            </w:tcMar>
          </w:tcPr>
          <w:p>
            <w:pPr>
              <w:pStyle w:val="TableText"/>
            </w:pPr>
            <w:r>
              <w:rPr/>
              <w:t>8704.31</w:t>
            </w:r>
          </w:p>
        </w:tc>
        <w:tc>
          <w:tcPr>
            <w:tcW w:type="dxa" w:w="4680"/>
            <w:tcMar>
              <w:top w:w="70" w:type="dxa"/>
              <w:start w:w="110" w:type="dxa"/>
              <w:bottom w:w="70" w:type="dxa"/>
              <w:end w:w="110" w:type="dxa"/>
            </w:tcMar>
          </w:tcPr>
          <w:p>
            <w:pPr>
              <w:pStyle w:val="TableText"/>
            </w:pPr>
            <w:r>
              <w:rPr/>
            </w:r>
          </w:p>
        </w:tc>
      </w:tr>
      <w:tr>
        <w:trPr>
          <w:cantSplit/>
        </w:trPr>
        <w:tc>
          <w:tcPr>
            <w:tcW w:type="dxa" w:w="4680"/>
            <w:shd w:fill="F5F7F8" w:val="clear" w:color="auto"/>
            <w:tcMar>
              <w:top w:w="70" w:type="dxa"/>
              <w:start w:w="110" w:type="dxa"/>
              <w:bottom w:w="70" w:type="dxa"/>
              <w:end w:w="110" w:type="dxa"/>
            </w:tcMar>
          </w:tcPr>
          <w:p>
            <w:pPr>
              <w:pStyle w:val="TableText"/>
            </w:pPr>
            <w:r>
              <w:rPr/>
              <w:t>Ex 8708.29</w:t>
            </w:r>
          </w:p>
        </w:tc>
        <w:tc>
          <w:tcPr>
            <w:tcW w:type="dxa" w:w="4680"/>
            <w:shd w:fill="F5F7F8" w:val="clear" w:color="auto"/>
            <w:tcMar>
              <w:top w:w="70" w:type="dxa"/>
              <w:start w:w="110" w:type="dxa"/>
              <w:bottom w:w="70" w:type="dxa"/>
              <w:end w:w="110" w:type="dxa"/>
            </w:tcMar>
          </w:tcPr>
          <w:p>
            <w:pPr>
              <w:pStyle w:val="TableText"/>
            </w:pPr>
            <w:r>
              <w:rPr/>
              <w:t>Body stampings</w:t>
            </w:r>
          </w:p>
        </w:tc>
      </w:tr>
      <w:tr>
        <w:trPr>
          <w:cantSplit/>
        </w:trPr>
        <w:tc>
          <w:tcPr>
            <w:tcW w:type="dxa" w:w="4680"/>
            <w:tcMar>
              <w:top w:w="70" w:type="dxa"/>
              <w:start w:w="110" w:type="dxa"/>
              <w:bottom w:w="70" w:type="dxa"/>
              <w:end w:w="110" w:type="dxa"/>
            </w:tcMar>
          </w:tcPr>
          <w:p>
            <w:pPr>
              <w:pStyle w:val="TableText"/>
            </w:pPr>
            <w:r>
              <w:rPr/>
              <w:t>8708.40</w:t>
            </w:r>
          </w:p>
        </w:tc>
        <w:tc>
          <w:tcPr>
            <w:tcW w:type="dxa" w:w="4680"/>
            <w:tcMar>
              <w:top w:w="70" w:type="dxa"/>
              <w:start w:w="110" w:type="dxa"/>
              <w:bottom w:w="70" w:type="dxa"/>
              <w:end w:w="110" w:type="dxa"/>
            </w:tcMar>
          </w:tcPr>
          <w:p>
            <w:pPr>
              <w:pStyle w:val="TableText"/>
            </w:pPr>
            <w:r>
              <w:rPr/>
              <w:t>Gear boxes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8708.50</w:t>
            </w:r>
          </w:p>
        </w:tc>
        <w:tc>
          <w:tcPr>
            <w:tcW w:type="dxa" w:w="4680"/>
            <w:shd w:fill="F5F7F8" w:val="clear" w:color="auto"/>
            <w:tcMar>
              <w:top w:w="70" w:type="dxa"/>
              <w:start w:w="110" w:type="dxa"/>
              <w:bottom w:w="70" w:type="dxa"/>
              <w:end w:w="110" w:type="dxa"/>
            </w:tcMar>
          </w:tcPr>
          <w:p>
            <w:pPr>
              <w:pStyle w:val="TableText"/>
            </w:pPr>
            <w:r>
              <w:rPr/>
              <w:t>Drive axles with differential, whether or not provided with other transmission components, and non-driving axles; parts thereof</w:t>
            </w:r>
          </w:p>
        </w:tc>
      </w:tr>
      <w:tr>
        <w:trPr>
          <w:cantSplit/>
        </w:trPr>
        <w:tc>
          <w:tcPr>
            <w:tcW w:type="dxa" w:w="4680"/>
            <w:tcMar>
              <w:top w:w="70" w:type="dxa"/>
              <w:start w:w="110" w:type="dxa"/>
              <w:bottom w:w="70" w:type="dxa"/>
              <w:end w:w="110" w:type="dxa"/>
            </w:tcMar>
          </w:tcPr>
          <w:p>
            <w:pPr>
              <w:pStyle w:val="TableText"/>
            </w:pPr>
            <w:r>
              <w:rPr/>
              <w:t>8708.80</w:t>
            </w:r>
          </w:p>
        </w:tc>
        <w:tc>
          <w:tcPr>
            <w:tcW w:type="dxa" w:w="4680"/>
            <w:tcMar>
              <w:top w:w="70" w:type="dxa"/>
              <w:start w:w="110" w:type="dxa"/>
              <w:bottom w:w="70" w:type="dxa"/>
              <w:end w:w="110" w:type="dxa"/>
            </w:tcMar>
          </w:tcPr>
          <w:p>
            <w:pPr>
              <w:pStyle w:val="TableText"/>
            </w:pPr>
            <w:r>
              <w:rPr/>
              <w:t>Suspension systems and parts thereof (including shock absorbers)</w:t>
            </w:r>
          </w:p>
        </w:tc>
      </w:tr>
      <w:tr>
        <w:trPr>
          <w:cantSplit/>
        </w:trPr>
        <w:tc>
          <w:tcPr>
            <w:tcW w:type="dxa" w:w="4680"/>
            <w:shd w:fill="F5F7F8" w:val="clear" w:color="auto"/>
            <w:tcMar>
              <w:top w:w="70" w:type="dxa"/>
              <w:start w:w="110" w:type="dxa"/>
              <w:bottom w:w="70" w:type="dxa"/>
              <w:end w:w="110" w:type="dxa"/>
            </w:tcMar>
          </w:tcPr>
          <w:p>
            <w:pPr>
              <w:pStyle w:val="TableText"/>
            </w:pPr>
            <w:r>
              <w:rPr/>
              <w:t>8708.94</w:t>
            </w:r>
          </w:p>
        </w:tc>
        <w:tc>
          <w:tcPr>
            <w:tcW w:type="dxa" w:w="4680"/>
            <w:shd w:fill="F5F7F8" w:val="clear" w:color="auto"/>
            <w:tcMar>
              <w:top w:w="70" w:type="dxa"/>
              <w:start w:w="110" w:type="dxa"/>
              <w:bottom w:w="70" w:type="dxa"/>
              <w:end w:w="110" w:type="dxa"/>
            </w:tcMar>
          </w:tcPr>
          <w:p>
            <w:pPr>
              <w:pStyle w:val="TableText"/>
            </w:pPr>
            <w:r>
              <w:rPr/>
              <w:t>Steering wheels, steering columns, and steering boxes; parts thereof</w:t>
            </w:r>
          </w:p>
        </w:tc>
      </w:tr>
      <w:tr>
        <w:trPr>
          <w:cantSplit/>
        </w:trPr>
        <w:tc>
          <w:tcPr>
            <w:tcW w:type="dxa" w:w="4680"/>
            <w:tcMar>
              <w:top w:w="70" w:type="dxa"/>
              <w:start w:w="110" w:type="dxa"/>
              <w:bottom w:w="70" w:type="dxa"/>
              <w:end w:w="110" w:type="dxa"/>
            </w:tcMar>
          </w:tcPr>
          <w:p>
            <w:pPr>
              <w:pStyle w:val="TableText"/>
            </w:pPr>
            <w:r>
              <w:rPr/>
              <w:t>Ex 8708.99</w:t>
            </w:r>
          </w:p>
        </w:tc>
        <w:tc>
          <w:tcPr>
            <w:tcW w:type="dxa" w:w="4680"/>
            <w:tcMar>
              <w:top w:w="70" w:type="dxa"/>
              <w:start w:w="110" w:type="dxa"/>
              <w:bottom w:w="70" w:type="dxa"/>
              <w:end w:w="110" w:type="dxa"/>
            </w:tcMar>
          </w:tcPr>
          <w:p>
            <w:pPr>
              <w:pStyle w:val="TableText"/>
            </w:pPr>
            <w:r>
              <w:rPr/>
              <w:t>Chassis frames</w:t>
            </w:r>
          </w:p>
        </w:tc>
      </w:tr>
    </w:tbl>
    <w:p>
      <w:pPr>
        <w:pStyle w:val="Normal"/>
      </w:pPr>
      <w:r>
        <w:rPr>
          <w:b/>
        </w:rPr>
        <w:t>TABLE A.2: PARTS AND COMPONENTS FOR DETERMINING THE ORIGIN OF PASSENGER VEHICLES AND LIGHT TRUCKS UNDER ARTICLE 3 OF THIS APPENDIX</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Parts</w:t>
            </w:r>
          </w:p>
        </w:tc>
        <w:tc>
          <w:tcPr>
            <w:tcW w:type="dxa" w:w="4680"/>
            <w:tcBorders>
              <w:bottom w:val="single" w:sz="6" w:space="0" w:color="546E7A"/>
            </w:tcBorders>
            <w:shd w:fill="E4E9EC" w:val="clear" w:color="auto"/>
          </w:tcPr>
          <w:p>
            <w:pPr>
              <w:pStyle w:val="TableText"/>
            </w:pPr>
            <w:r>
              <w:rPr>
                <w:b/>
                <w:color w:val="37474F"/>
              </w:rPr>
              <w:t>Components</w:t>
            </w:r>
          </w:p>
        </w:tc>
      </w:tr>
      <w:tr>
        <w:trPr>
          <w:cantSplit/>
        </w:trPr>
        <w:tc>
          <w:tcPr>
            <w:tcW w:type="dxa" w:w="4680"/>
            <w:tcMar>
              <w:top w:w="70" w:type="dxa"/>
              <w:start w:w="110" w:type="dxa"/>
              <w:bottom w:w="70" w:type="dxa"/>
              <w:end w:w="110" w:type="dxa"/>
            </w:tcMar>
          </w:tcPr>
          <w:p>
            <w:pPr>
              <w:pStyle w:val="TableText"/>
            </w:pPr>
            <w:r>
              <w:rPr/>
              <w:t>ENGINE</w:t>
            </w:r>
          </w:p>
        </w:tc>
        <w:tc>
          <w:tcPr>
            <w:tcW w:type="dxa" w:w="4680"/>
            <w:tcMar>
              <w:top w:w="70" w:type="dxa"/>
              <w:start w:w="110" w:type="dxa"/>
              <w:bottom w:w="70" w:type="dxa"/>
              <w:end w:w="110" w:type="dxa"/>
            </w:tcMar>
          </w:tcPr>
          <w:p>
            <w:pPr>
              <w:pStyle w:val="TableText"/>
            </w:pPr>
            <w:r>
              <w:rPr/>
              <w:t>Heads, Blocks, Crankshafts, Crankcases, Pistons, Rods, Head subassembly</w:t>
            </w:r>
          </w:p>
        </w:tc>
      </w:tr>
      <w:tr>
        <w:trPr>
          <w:cantSplit/>
        </w:trPr>
        <w:tc>
          <w:tcPr>
            <w:tcW w:type="dxa" w:w="4680"/>
            <w:shd w:fill="F5F7F8" w:val="clear" w:color="auto"/>
            <w:tcMar>
              <w:top w:w="70" w:type="dxa"/>
              <w:start w:w="110" w:type="dxa"/>
              <w:bottom w:w="70" w:type="dxa"/>
              <w:end w:w="110" w:type="dxa"/>
            </w:tcMar>
          </w:tcPr>
          <w:p>
            <w:pPr>
              <w:pStyle w:val="TableText"/>
            </w:pPr>
            <w:r>
              <w:rPr/>
              <w:t>TRANSMISSION</w:t>
            </w:r>
          </w:p>
        </w:tc>
        <w:tc>
          <w:tcPr>
            <w:tcW w:type="dxa" w:w="4680"/>
            <w:shd w:fill="F5F7F8" w:val="clear" w:color="auto"/>
            <w:tcMar>
              <w:top w:w="70" w:type="dxa"/>
              <w:start w:w="110" w:type="dxa"/>
              <w:bottom w:w="70" w:type="dxa"/>
              <w:end w:w="110" w:type="dxa"/>
            </w:tcMar>
          </w:tcPr>
          <w:p>
            <w:pPr>
              <w:pStyle w:val="TableText"/>
            </w:pPr>
            <w:r>
              <w:rPr/>
              <w:t>Transmission cases, Torque converters, Torque converter housings, Gears and gear blanks, Clutches, Valve body assembly</w:t>
            </w:r>
          </w:p>
        </w:tc>
      </w:tr>
      <w:tr>
        <w:trPr>
          <w:cantSplit/>
        </w:trPr>
        <w:tc>
          <w:tcPr>
            <w:tcW w:type="dxa" w:w="4680"/>
            <w:tcMar>
              <w:top w:w="70" w:type="dxa"/>
              <w:start w:w="110" w:type="dxa"/>
              <w:bottom w:w="70" w:type="dxa"/>
              <w:end w:w="110" w:type="dxa"/>
            </w:tcMar>
          </w:tcPr>
          <w:p>
            <w:pPr>
              <w:pStyle w:val="TableText"/>
            </w:pPr>
            <w:r>
              <w:rPr/>
              <w:t>BODY AND CHASSIS</w:t>
            </w:r>
          </w:p>
        </w:tc>
        <w:tc>
          <w:tcPr>
            <w:tcW w:type="dxa" w:w="4680"/>
            <w:tcMar>
              <w:top w:w="70" w:type="dxa"/>
              <w:start w:w="110" w:type="dxa"/>
              <w:bottom w:w="70" w:type="dxa"/>
              <w:end w:w="110" w:type="dxa"/>
            </w:tcMar>
          </w:tcPr>
          <w:p>
            <w:pPr>
              <w:pStyle w:val="TableText"/>
            </w:pPr>
            <w:r>
              <w:rPr/>
              <w:t>Major body panels, Secondary panels, Structural panels, Frames</w:t>
            </w:r>
          </w:p>
        </w:tc>
      </w:tr>
      <w:tr>
        <w:trPr>
          <w:cantSplit/>
        </w:trPr>
        <w:tc>
          <w:tcPr>
            <w:tcW w:type="dxa" w:w="4680"/>
            <w:shd w:fill="F5F7F8" w:val="clear" w:color="auto"/>
            <w:tcMar>
              <w:top w:w="70" w:type="dxa"/>
              <w:start w:w="110" w:type="dxa"/>
              <w:bottom w:w="70" w:type="dxa"/>
              <w:end w:w="110" w:type="dxa"/>
            </w:tcMar>
          </w:tcPr>
          <w:p>
            <w:pPr>
              <w:pStyle w:val="TableText"/>
            </w:pPr>
            <w:r>
              <w:rPr/>
              <w:t>AXLE</w:t>
            </w:r>
          </w:p>
        </w:tc>
        <w:tc>
          <w:tcPr>
            <w:tcW w:type="dxa" w:w="4680"/>
            <w:shd w:fill="F5F7F8" w:val="clear" w:color="auto"/>
            <w:tcMar>
              <w:top w:w="70" w:type="dxa"/>
              <w:start w:w="110" w:type="dxa"/>
              <w:bottom w:w="70" w:type="dxa"/>
              <w:end w:w="110" w:type="dxa"/>
            </w:tcMar>
          </w:tcPr>
          <w:p>
            <w:pPr>
              <w:pStyle w:val="TableText"/>
            </w:pPr>
            <w:r>
              <w:rPr/>
              <w:t>Axle shafts, Axle housings, Axle hubs, Carriers, Differentials</w:t>
            </w:r>
          </w:p>
        </w:tc>
      </w:tr>
      <w:tr>
        <w:trPr>
          <w:cantSplit/>
        </w:trPr>
        <w:tc>
          <w:tcPr>
            <w:tcW w:type="dxa" w:w="4680"/>
            <w:tcMar>
              <w:top w:w="70" w:type="dxa"/>
              <w:start w:w="110" w:type="dxa"/>
              <w:bottom w:w="70" w:type="dxa"/>
              <w:end w:w="110" w:type="dxa"/>
            </w:tcMar>
          </w:tcPr>
          <w:p>
            <w:pPr>
              <w:pStyle w:val="TableText"/>
            </w:pPr>
            <w:r>
              <w:rPr/>
              <w:t>SUSPENSION SYSTEM</w:t>
            </w:r>
          </w:p>
        </w:tc>
        <w:tc>
          <w:tcPr>
            <w:tcW w:type="dxa" w:w="4680"/>
            <w:tcMar>
              <w:top w:w="70" w:type="dxa"/>
              <w:start w:w="110" w:type="dxa"/>
              <w:bottom w:w="70" w:type="dxa"/>
              <w:end w:w="110" w:type="dxa"/>
            </w:tcMar>
          </w:tcPr>
          <w:p>
            <w:pPr>
              <w:pStyle w:val="TableText"/>
            </w:pPr>
            <w:r>
              <w:rPr/>
              <w:t>Shock absorbers, Struts, Control arms, Sway bars, Knuckles, Coil springs, Leaf springs</w:t>
            </w:r>
          </w:p>
        </w:tc>
      </w:tr>
      <w:tr>
        <w:trPr>
          <w:cantSplit/>
        </w:trPr>
        <w:tc>
          <w:tcPr>
            <w:tcW w:type="dxa" w:w="4680"/>
            <w:shd w:fill="F5F7F8" w:val="clear" w:color="auto"/>
            <w:tcMar>
              <w:top w:w="70" w:type="dxa"/>
              <w:start w:w="110" w:type="dxa"/>
              <w:bottom w:w="70" w:type="dxa"/>
              <w:end w:w="110" w:type="dxa"/>
            </w:tcMar>
          </w:tcPr>
          <w:p>
            <w:pPr>
              <w:pStyle w:val="TableText"/>
            </w:pPr>
            <w:r>
              <w:rPr/>
              <w:t>STEERING SYSTEM</w:t>
            </w:r>
          </w:p>
        </w:tc>
        <w:tc>
          <w:tcPr>
            <w:tcW w:type="dxa" w:w="4680"/>
            <w:shd w:fill="F5F7F8" w:val="clear" w:color="auto"/>
            <w:tcMar>
              <w:top w:w="70" w:type="dxa"/>
              <w:start w:w="110" w:type="dxa"/>
              <w:bottom w:w="70" w:type="dxa"/>
              <w:end w:w="110" w:type="dxa"/>
            </w:tcMar>
          </w:tcPr>
          <w:p>
            <w:pPr>
              <w:pStyle w:val="TableText"/>
            </w:pPr>
            <w:r>
              <w:rPr/>
              <w:t>Steering columns, Steering gears/racks, Control units</w:t>
            </w:r>
          </w:p>
        </w:tc>
      </w:tr>
      <w:tr>
        <w:trPr>
          <w:cantSplit/>
        </w:trPr>
        <w:tc>
          <w:tcPr>
            <w:tcW w:type="dxa" w:w="4680"/>
            <w:tcMar>
              <w:top w:w="70" w:type="dxa"/>
              <w:start w:w="110" w:type="dxa"/>
              <w:bottom w:w="70" w:type="dxa"/>
              <w:end w:w="110" w:type="dxa"/>
            </w:tcMar>
          </w:tcPr>
          <w:p>
            <w:pPr>
              <w:pStyle w:val="TableText"/>
            </w:pPr>
            <w:r>
              <w:rPr/>
              <w:t>ADVANCED BATTERY</w:t>
            </w:r>
          </w:p>
        </w:tc>
        <w:tc>
          <w:tcPr>
            <w:tcW w:type="dxa" w:w="4680"/>
            <w:tcMar>
              <w:top w:w="70" w:type="dxa"/>
              <w:start w:w="110" w:type="dxa"/>
              <w:bottom w:w="70" w:type="dxa"/>
              <w:end w:w="110" w:type="dxa"/>
            </w:tcMar>
          </w:tcPr>
          <w:p>
            <w:pPr>
              <w:pStyle w:val="TableText"/>
            </w:pPr>
            <w:r>
              <w:rPr/>
              <w:t>Cells, Modules/arrays, Assembled packs</w:t>
            </w:r>
          </w:p>
        </w:tc>
      </w:tr>
    </w:tbl>
    <w:p>
      <w:pPr>
        <w:pStyle w:val="Normal"/>
      </w:pPr>
      <w:r>
        <w:rPr>
          <w:b/>
        </w:rPr>
        <w:t>TABLE B: PRINCIPAL PARTS FOR PASSENGER VEHICLES AND LIGHT TRUCKS</w:t>
      </w:r>
    </w:p>
    <w:p>
      <w:pPr>
        <w:pStyle w:val="Normal"/>
      </w:pPr>
      <w:r>
        <w:rPr>
          <w:b w:val="0"/>
        </w:rPr>
        <w:t>Note: The Regional Value Content requirements set out in Article 3 of this Appendix apply to a good for use in a passenger vehicle or light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8413.30</w:t>
            </w:r>
          </w:p>
        </w:tc>
        <w:tc>
          <w:tcPr>
            <w:tcW w:type="dxa" w:w="4680"/>
            <w:tcMar>
              <w:top w:w="70" w:type="dxa"/>
              <w:start w:w="110" w:type="dxa"/>
              <w:bottom w:w="70" w:type="dxa"/>
              <w:end w:w="110" w:type="dxa"/>
            </w:tcMar>
          </w:tcPr>
          <w:p>
            <w:pPr>
              <w:pStyle w:val="TableText"/>
            </w:pPr>
            <w:r>
              <w:rPr/>
              <w:t>Fuel, lubricating or cooling medium pumps for internal combustion piston engines</w:t>
            </w:r>
          </w:p>
        </w:tc>
      </w:tr>
      <w:tr>
        <w:trPr>
          <w:cantSplit/>
        </w:trPr>
        <w:tc>
          <w:tcPr>
            <w:tcW w:type="dxa" w:w="4680"/>
            <w:shd w:fill="F5F7F8" w:val="clear" w:color="auto"/>
            <w:tcMar>
              <w:top w:w="70" w:type="dxa"/>
              <w:start w:w="110" w:type="dxa"/>
              <w:bottom w:w="70" w:type="dxa"/>
              <w:end w:w="110" w:type="dxa"/>
            </w:tcMar>
          </w:tcPr>
          <w:p>
            <w:pPr>
              <w:pStyle w:val="TableText"/>
            </w:pPr>
            <w:r>
              <w:rPr/>
              <w:t>8413.50</w:t>
            </w:r>
          </w:p>
        </w:tc>
        <w:tc>
          <w:tcPr>
            <w:tcW w:type="dxa" w:w="4680"/>
            <w:shd w:fill="F5F7F8" w:val="clear" w:color="auto"/>
            <w:tcMar>
              <w:top w:w="70" w:type="dxa"/>
              <w:start w:w="110" w:type="dxa"/>
              <w:bottom w:w="70" w:type="dxa"/>
              <w:end w:w="110" w:type="dxa"/>
            </w:tcMar>
          </w:tcPr>
          <w:p>
            <w:pPr>
              <w:pStyle w:val="TableText"/>
            </w:pPr>
            <w:r>
              <w:rPr/>
              <w:t>Other reciprocating positive displacement pumps</w:t>
            </w:r>
          </w:p>
        </w:tc>
      </w:tr>
      <w:tr>
        <w:trPr>
          <w:cantSplit/>
        </w:trPr>
        <w:tc>
          <w:tcPr>
            <w:tcW w:type="dxa" w:w="4680"/>
            <w:tcMar>
              <w:top w:w="70" w:type="dxa"/>
              <w:start w:w="110" w:type="dxa"/>
              <w:bottom w:w="70" w:type="dxa"/>
              <w:end w:w="110" w:type="dxa"/>
            </w:tcMar>
          </w:tcPr>
          <w:p>
            <w:pPr>
              <w:pStyle w:val="TableText"/>
            </w:pPr>
            <w:r>
              <w:rPr/>
              <w:t>8414.59</w:t>
            </w:r>
          </w:p>
        </w:tc>
        <w:tc>
          <w:tcPr>
            <w:tcW w:type="dxa" w:w="4680"/>
            <w:tcMar>
              <w:top w:w="70" w:type="dxa"/>
              <w:start w:w="110" w:type="dxa"/>
              <w:bottom w:w="70" w:type="dxa"/>
              <w:end w:w="110" w:type="dxa"/>
            </w:tcMar>
          </w:tcPr>
          <w:p>
            <w:pPr>
              <w:pStyle w:val="TableText"/>
            </w:pPr>
            <w:r>
              <w:rPr/>
              <w:t>Other fans</w:t>
            </w:r>
          </w:p>
        </w:tc>
      </w:tr>
      <w:tr>
        <w:trPr>
          <w:cantSplit/>
        </w:trPr>
        <w:tc>
          <w:tcPr>
            <w:tcW w:type="dxa" w:w="4680"/>
            <w:shd w:fill="F5F7F8" w:val="clear" w:color="auto"/>
            <w:tcMar>
              <w:top w:w="70" w:type="dxa"/>
              <w:start w:w="110" w:type="dxa"/>
              <w:bottom w:w="70" w:type="dxa"/>
              <w:end w:w="110" w:type="dxa"/>
            </w:tcMar>
          </w:tcPr>
          <w:p>
            <w:pPr>
              <w:pStyle w:val="TableText"/>
            </w:pPr>
            <w:r>
              <w:rPr/>
              <w:t>8414.80</w:t>
            </w:r>
          </w:p>
        </w:tc>
        <w:tc>
          <w:tcPr>
            <w:tcW w:type="dxa" w:w="4680"/>
            <w:shd w:fill="F5F7F8" w:val="clear" w:color="auto"/>
            <w:tcMar>
              <w:top w:w="70" w:type="dxa"/>
              <w:start w:w="110" w:type="dxa"/>
              <w:bottom w:w="70" w:type="dxa"/>
              <w:end w:w="110" w:type="dxa"/>
            </w:tcMar>
          </w:tcPr>
          <w:p>
            <w:pPr>
              <w:pStyle w:val="TableText"/>
            </w:pPr>
            <w:r>
              <w:rPr/>
              <w:t>Other air or gas pumps, compressors and fans</w:t>
            </w:r>
          </w:p>
        </w:tc>
      </w:tr>
      <w:tr>
        <w:trPr>
          <w:cantSplit/>
        </w:trPr>
        <w:tc>
          <w:tcPr>
            <w:tcW w:type="dxa" w:w="4680"/>
            <w:tcMar>
              <w:top w:w="70" w:type="dxa"/>
              <w:start w:w="110" w:type="dxa"/>
              <w:bottom w:w="70" w:type="dxa"/>
              <w:end w:w="110" w:type="dxa"/>
            </w:tcMar>
          </w:tcPr>
          <w:p>
            <w:pPr>
              <w:pStyle w:val="TableText"/>
            </w:pPr>
            <w:r>
              <w:rPr/>
              <w:t>8415.20</w:t>
            </w:r>
          </w:p>
        </w:tc>
        <w:tc>
          <w:tcPr>
            <w:tcW w:type="dxa" w:w="4680"/>
            <w:tcMar>
              <w:top w:w="70" w:type="dxa"/>
              <w:start w:w="110" w:type="dxa"/>
              <w:bottom w:w="70" w:type="dxa"/>
              <w:end w:w="110" w:type="dxa"/>
            </w:tcMar>
          </w:tcPr>
          <w:p>
            <w:pPr>
              <w:pStyle w:val="TableText"/>
            </w:pPr>
            <w:r>
              <w:rPr/>
              <w:t>Air conditioning machines, comprising a motor-driven fan and elements for changing the temperature and humidity, including those machines in which humidity cannot be separately regulated, of a kind used for persons, in motor vehicles</w:t>
            </w:r>
          </w:p>
        </w:tc>
      </w:tr>
      <w:tr>
        <w:trPr>
          <w:cantSplit/>
        </w:trPr>
        <w:tc>
          <w:tcPr>
            <w:tcW w:type="dxa" w:w="4680"/>
            <w:shd w:fill="F5F7F8" w:val="clear" w:color="auto"/>
            <w:tcMar>
              <w:top w:w="70" w:type="dxa"/>
              <w:start w:w="110" w:type="dxa"/>
              <w:bottom w:w="70" w:type="dxa"/>
              <w:end w:w="110" w:type="dxa"/>
            </w:tcMar>
          </w:tcPr>
          <w:p>
            <w:pPr>
              <w:pStyle w:val="TableText"/>
            </w:pPr>
            <w:r>
              <w:rPr/>
              <w:t>Ex 8479.89</w:t>
            </w:r>
          </w:p>
        </w:tc>
        <w:tc>
          <w:tcPr>
            <w:tcW w:type="dxa" w:w="4680"/>
            <w:shd w:fill="F5F7F8" w:val="clear" w:color="auto"/>
            <w:tcMar>
              <w:top w:w="70" w:type="dxa"/>
              <w:start w:w="110" w:type="dxa"/>
              <w:bottom w:w="70" w:type="dxa"/>
              <w:end w:w="110" w:type="dxa"/>
            </w:tcMar>
          </w:tcPr>
          <w:p>
            <w:pPr>
              <w:pStyle w:val="TableText"/>
            </w:pPr>
            <w:r>
              <w:rPr/>
              <w:t>Electronic brake systems, including ABS and ESC systems</w:t>
            </w:r>
          </w:p>
        </w:tc>
      </w:tr>
      <w:tr>
        <w:trPr>
          <w:cantSplit/>
        </w:trPr>
        <w:tc>
          <w:tcPr>
            <w:tcW w:type="dxa" w:w="4680"/>
            <w:tcMar>
              <w:top w:w="70" w:type="dxa"/>
              <w:start w:w="110" w:type="dxa"/>
              <w:bottom w:w="70" w:type="dxa"/>
              <w:end w:w="110" w:type="dxa"/>
            </w:tcMar>
          </w:tcPr>
          <w:p>
            <w:pPr>
              <w:pStyle w:val="TableText"/>
            </w:pPr>
            <w:r>
              <w:rPr/>
              <w:t>8482.10</w:t>
            </w:r>
          </w:p>
        </w:tc>
        <w:tc>
          <w:tcPr>
            <w:tcW w:type="dxa" w:w="4680"/>
            <w:tcMar>
              <w:top w:w="70" w:type="dxa"/>
              <w:start w:w="110" w:type="dxa"/>
              <w:bottom w:w="70" w:type="dxa"/>
              <w:end w:w="110" w:type="dxa"/>
            </w:tcMar>
          </w:tcPr>
          <w:p>
            <w:pPr>
              <w:pStyle w:val="TableText"/>
            </w:pPr>
            <w:r>
              <w:rPr/>
              <w:t>Ball bearings</w:t>
            </w:r>
          </w:p>
        </w:tc>
      </w:tr>
      <w:tr>
        <w:trPr>
          <w:cantSplit/>
        </w:trPr>
        <w:tc>
          <w:tcPr>
            <w:tcW w:type="dxa" w:w="4680"/>
            <w:shd w:fill="F5F7F8" w:val="clear" w:color="auto"/>
            <w:tcMar>
              <w:top w:w="70" w:type="dxa"/>
              <w:start w:w="110" w:type="dxa"/>
              <w:bottom w:w="70" w:type="dxa"/>
              <w:end w:w="110" w:type="dxa"/>
            </w:tcMar>
          </w:tcPr>
          <w:p>
            <w:pPr>
              <w:pStyle w:val="TableText"/>
            </w:pPr>
            <w:r>
              <w:rPr/>
              <w:t>8482.20</w:t>
            </w:r>
          </w:p>
        </w:tc>
        <w:tc>
          <w:tcPr>
            <w:tcW w:type="dxa" w:w="4680"/>
            <w:shd w:fill="F5F7F8" w:val="clear" w:color="auto"/>
            <w:tcMar>
              <w:top w:w="70" w:type="dxa"/>
              <w:start w:w="110" w:type="dxa"/>
              <w:bottom w:w="70" w:type="dxa"/>
              <w:end w:w="110" w:type="dxa"/>
            </w:tcMar>
          </w:tcPr>
          <w:p>
            <w:pPr>
              <w:pStyle w:val="TableText"/>
            </w:pPr>
            <w:r>
              <w:rPr/>
              <w:t>Tapered roller bearings, including cone and tapered roller assemblies</w:t>
            </w:r>
          </w:p>
        </w:tc>
      </w:tr>
      <w:tr>
        <w:trPr>
          <w:cantSplit/>
        </w:trPr>
        <w:tc>
          <w:tcPr>
            <w:tcW w:type="dxa" w:w="4680"/>
            <w:tcMar>
              <w:top w:w="70" w:type="dxa"/>
              <w:start w:w="110" w:type="dxa"/>
              <w:bottom w:w="70" w:type="dxa"/>
              <w:end w:w="110" w:type="dxa"/>
            </w:tcMar>
          </w:tcPr>
          <w:p>
            <w:pPr>
              <w:pStyle w:val="TableText"/>
            </w:pPr>
            <w:r>
              <w:rPr/>
              <w:t>8482.30</w:t>
            </w:r>
          </w:p>
        </w:tc>
        <w:tc>
          <w:tcPr>
            <w:tcW w:type="dxa" w:w="4680"/>
            <w:tcMar>
              <w:top w:w="70" w:type="dxa"/>
              <w:start w:w="110" w:type="dxa"/>
              <w:bottom w:w="70" w:type="dxa"/>
              <w:end w:w="110" w:type="dxa"/>
            </w:tcMar>
          </w:tcPr>
          <w:p>
            <w:pPr>
              <w:pStyle w:val="TableText"/>
            </w:pPr>
            <w:r>
              <w:rPr/>
              <w:t>Spherical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8482.40</w:t>
            </w:r>
          </w:p>
        </w:tc>
        <w:tc>
          <w:tcPr>
            <w:tcW w:type="dxa" w:w="4680"/>
            <w:shd w:fill="F5F7F8" w:val="clear" w:color="auto"/>
            <w:tcMar>
              <w:top w:w="70" w:type="dxa"/>
              <w:start w:w="110" w:type="dxa"/>
              <w:bottom w:w="70" w:type="dxa"/>
              <w:end w:w="110" w:type="dxa"/>
            </w:tcMar>
          </w:tcPr>
          <w:p>
            <w:pPr>
              <w:pStyle w:val="TableText"/>
            </w:pPr>
            <w:r>
              <w:rPr/>
              <w:t>Needle roller bearings</w:t>
            </w:r>
          </w:p>
        </w:tc>
      </w:tr>
      <w:tr>
        <w:trPr>
          <w:cantSplit/>
        </w:trPr>
        <w:tc>
          <w:tcPr>
            <w:tcW w:type="dxa" w:w="4680"/>
            <w:tcMar>
              <w:top w:w="70" w:type="dxa"/>
              <w:start w:w="110" w:type="dxa"/>
              <w:bottom w:w="70" w:type="dxa"/>
              <w:end w:w="110" w:type="dxa"/>
            </w:tcMar>
          </w:tcPr>
          <w:p>
            <w:pPr>
              <w:pStyle w:val="TableText"/>
            </w:pPr>
            <w:r>
              <w:rPr/>
              <w:t>8482.50</w:t>
            </w:r>
          </w:p>
        </w:tc>
        <w:tc>
          <w:tcPr>
            <w:tcW w:type="dxa" w:w="4680"/>
            <w:tcMar>
              <w:top w:w="70" w:type="dxa"/>
              <w:start w:w="110" w:type="dxa"/>
              <w:bottom w:w="70" w:type="dxa"/>
              <w:end w:w="110" w:type="dxa"/>
            </w:tcMar>
          </w:tcPr>
          <w:p>
            <w:pPr>
              <w:pStyle w:val="TableText"/>
            </w:pPr>
            <w:r>
              <w:rPr/>
              <w:t>Other cylindrical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8482.80</w:t>
            </w:r>
          </w:p>
        </w:tc>
        <w:tc>
          <w:tcPr>
            <w:tcW w:type="dxa" w:w="4680"/>
            <w:shd w:fill="F5F7F8" w:val="clear" w:color="auto"/>
            <w:tcMar>
              <w:top w:w="70" w:type="dxa"/>
              <w:start w:w="110" w:type="dxa"/>
              <w:bottom w:w="70" w:type="dxa"/>
              <w:end w:w="110" w:type="dxa"/>
            </w:tcMar>
          </w:tcPr>
          <w:p>
            <w:pPr>
              <w:pStyle w:val="TableText"/>
            </w:pPr>
            <w:r>
              <w:rPr/>
              <w:t>Other ball or roller bearings, including combined ball/roller bearings</w:t>
            </w:r>
          </w:p>
        </w:tc>
      </w:tr>
      <w:tr>
        <w:trPr>
          <w:cantSplit/>
        </w:trPr>
        <w:tc>
          <w:tcPr>
            <w:tcW w:type="dxa" w:w="4680"/>
            <w:tcMar>
              <w:top w:w="70" w:type="dxa"/>
              <w:start w:w="110" w:type="dxa"/>
              <w:bottom w:w="70" w:type="dxa"/>
              <w:end w:w="110" w:type="dxa"/>
            </w:tcMar>
          </w:tcPr>
          <w:p>
            <w:pPr>
              <w:pStyle w:val="TableText"/>
            </w:pPr>
            <w:r>
              <w:rPr/>
              <w:t>8483.10</w:t>
            </w:r>
          </w:p>
        </w:tc>
        <w:tc>
          <w:tcPr>
            <w:tcW w:type="dxa" w:w="4680"/>
            <w:tcMar>
              <w:top w:w="70" w:type="dxa"/>
              <w:start w:w="110" w:type="dxa"/>
              <w:bottom w:w="70" w:type="dxa"/>
              <w:end w:w="110" w:type="dxa"/>
            </w:tcMar>
          </w:tcPr>
          <w:p>
            <w:pPr>
              <w:pStyle w:val="TableText"/>
            </w:pPr>
            <w:r>
              <w:rPr/>
              <w:t>Transmission shafts (including cam shafts and crank shafts) and cranks</w:t>
            </w:r>
          </w:p>
        </w:tc>
      </w:tr>
      <w:tr>
        <w:trPr>
          <w:cantSplit/>
        </w:trPr>
        <w:tc>
          <w:tcPr>
            <w:tcW w:type="dxa" w:w="4680"/>
            <w:shd w:fill="F5F7F8" w:val="clear" w:color="auto"/>
            <w:tcMar>
              <w:top w:w="70" w:type="dxa"/>
              <w:start w:w="110" w:type="dxa"/>
              <w:bottom w:w="70" w:type="dxa"/>
              <w:end w:w="110" w:type="dxa"/>
            </w:tcMar>
          </w:tcPr>
          <w:p>
            <w:pPr>
              <w:pStyle w:val="TableText"/>
            </w:pPr>
            <w:r>
              <w:rPr/>
              <w:t>8483.20</w:t>
            </w:r>
          </w:p>
        </w:tc>
        <w:tc>
          <w:tcPr>
            <w:tcW w:type="dxa" w:w="4680"/>
            <w:shd w:fill="F5F7F8" w:val="clear" w:color="auto"/>
            <w:tcMar>
              <w:top w:w="70" w:type="dxa"/>
              <w:start w:w="110" w:type="dxa"/>
              <w:bottom w:w="70" w:type="dxa"/>
              <w:end w:w="110" w:type="dxa"/>
            </w:tcMar>
          </w:tcPr>
          <w:p>
            <w:pPr>
              <w:pStyle w:val="TableText"/>
            </w:pPr>
            <w:r>
              <w:rPr/>
              <w:t>Bearing housings, incorporating ball or roller bearings</w:t>
            </w:r>
          </w:p>
        </w:tc>
      </w:tr>
      <w:tr>
        <w:trPr>
          <w:cantSplit/>
        </w:trPr>
        <w:tc>
          <w:tcPr>
            <w:tcW w:type="dxa" w:w="4680"/>
            <w:tcMar>
              <w:top w:w="70" w:type="dxa"/>
              <w:start w:w="110" w:type="dxa"/>
              <w:bottom w:w="70" w:type="dxa"/>
              <w:end w:w="110" w:type="dxa"/>
            </w:tcMar>
          </w:tcPr>
          <w:p>
            <w:pPr>
              <w:pStyle w:val="TableText"/>
            </w:pPr>
            <w:r>
              <w:rPr/>
              <w:t>8483.30</w:t>
            </w:r>
          </w:p>
        </w:tc>
        <w:tc>
          <w:tcPr>
            <w:tcW w:type="dxa" w:w="4680"/>
            <w:tcMar>
              <w:top w:w="70" w:type="dxa"/>
              <w:start w:w="110" w:type="dxa"/>
              <w:bottom w:w="70" w:type="dxa"/>
              <w:end w:w="110" w:type="dxa"/>
            </w:tcMar>
          </w:tcPr>
          <w:p>
            <w:pPr>
              <w:pStyle w:val="TableText"/>
            </w:pPr>
            <w:r>
              <w:rPr/>
              <w:t>Bearing housings, not incorporating ball or roller bearings; plain shaft bearings</w:t>
            </w:r>
          </w:p>
        </w:tc>
      </w:tr>
      <w:tr>
        <w:trPr>
          <w:cantSplit/>
        </w:trPr>
        <w:tc>
          <w:tcPr>
            <w:tcW w:type="dxa" w:w="4680"/>
            <w:shd w:fill="F5F7F8" w:val="clear" w:color="auto"/>
            <w:tcMar>
              <w:top w:w="70" w:type="dxa"/>
              <w:start w:w="110" w:type="dxa"/>
              <w:bottom w:w="70" w:type="dxa"/>
              <w:end w:w="110" w:type="dxa"/>
            </w:tcMar>
          </w:tcPr>
          <w:p>
            <w:pPr>
              <w:pStyle w:val="TableText"/>
            </w:pPr>
            <w:r>
              <w:rPr/>
              <w:t>8483.40</w:t>
            </w:r>
          </w:p>
        </w:tc>
        <w:tc>
          <w:tcPr>
            <w:tcW w:type="dxa" w:w="4680"/>
            <w:shd w:fill="F5F7F8" w:val="clear" w:color="auto"/>
            <w:tcMar>
              <w:top w:w="70" w:type="dxa"/>
              <w:start w:w="110" w:type="dxa"/>
              <w:bottom w:w="70" w:type="dxa"/>
              <w:end w:w="110" w:type="dxa"/>
            </w:tcMar>
          </w:tcPr>
          <w:p>
            <w:pPr>
              <w:pStyle w:val="TableText"/>
            </w:pPr>
            <w:r>
              <w:rPr/>
              <w:t>Gears and gearing, other than toothed wheels, chain sprockets and other transmission elements presented separately; ball or roller screws; gear boxes and other speed changers, including torque converters</w:t>
            </w:r>
          </w:p>
        </w:tc>
      </w:tr>
      <w:tr>
        <w:trPr>
          <w:cantSplit/>
        </w:trPr>
        <w:tc>
          <w:tcPr>
            <w:tcW w:type="dxa" w:w="4680"/>
            <w:tcMar>
              <w:top w:w="70" w:type="dxa"/>
              <w:start w:w="110" w:type="dxa"/>
              <w:bottom w:w="70" w:type="dxa"/>
              <w:end w:w="110" w:type="dxa"/>
            </w:tcMar>
          </w:tcPr>
          <w:p>
            <w:pPr>
              <w:pStyle w:val="TableText"/>
            </w:pPr>
            <w:r>
              <w:rPr/>
              <w:t>8483.50</w:t>
            </w:r>
          </w:p>
        </w:tc>
        <w:tc>
          <w:tcPr>
            <w:tcW w:type="dxa" w:w="4680"/>
            <w:tcMar>
              <w:top w:w="70" w:type="dxa"/>
              <w:start w:w="110" w:type="dxa"/>
              <w:bottom w:w="70" w:type="dxa"/>
              <w:end w:w="110" w:type="dxa"/>
            </w:tcMar>
          </w:tcPr>
          <w:p>
            <w:pPr>
              <w:pStyle w:val="TableText"/>
            </w:pPr>
            <w:r>
              <w:rPr/>
              <w:t>Flywheels and pulleys, including pulley blocks</w:t>
            </w:r>
          </w:p>
        </w:tc>
      </w:tr>
      <w:tr>
        <w:trPr>
          <w:cantSplit/>
        </w:trPr>
        <w:tc>
          <w:tcPr>
            <w:tcW w:type="dxa" w:w="4680"/>
            <w:shd w:fill="F5F7F8" w:val="clear" w:color="auto"/>
            <w:tcMar>
              <w:top w:w="70" w:type="dxa"/>
              <w:start w:w="110" w:type="dxa"/>
              <w:bottom w:w="70" w:type="dxa"/>
              <w:end w:w="110" w:type="dxa"/>
            </w:tcMar>
          </w:tcPr>
          <w:p>
            <w:pPr>
              <w:pStyle w:val="TableText"/>
            </w:pPr>
            <w:r>
              <w:rPr/>
              <w:t>8483.60</w:t>
            </w:r>
          </w:p>
        </w:tc>
        <w:tc>
          <w:tcPr>
            <w:tcW w:type="dxa" w:w="4680"/>
            <w:shd w:fill="F5F7F8" w:val="clear" w:color="auto"/>
            <w:tcMar>
              <w:top w:w="70" w:type="dxa"/>
              <w:start w:w="110" w:type="dxa"/>
              <w:bottom w:w="70" w:type="dxa"/>
              <w:end w:w="110" w:type="dxa"/>
            </w:tcMar>
          </w:tcPr>
          <w:p>
            <w:pPr>
              <w:pStyle w:val="TableText"/>
            </w:pPr>
            <w:r>
              <w:rPr/>
              <w:t>Clutches and shaft couplings (including universal joints)</w:t>
            </w:r>
          </w:p>
        </w:tc>
      </w:tr>
      <w:tr>
        <w:trPr>
          <w:cantSplit/>
        </w:trPr>
        <w:tc>
          <w:tcPr>
            <w:tcW w:type="dxa" w:w="4680"/>
            <w:tcMar>
              <w:top w:w="70" w:type="dxa"/>
              <w:start w:w="110" w:type="dxa"/>
              <w:bottom w:w="70" w:type="dxa"/>
              <w:end w:w="110" w:type="dxa"/>
            </w:tcMar>
          </w:tcPr>
          <w:p>
            <w:pPr>
              <w:pStyle w:val="TableText"/>
            </w:pPr>
            <w:r>
              <w:rPr/>
              <w:t>8501.32</w:t>
            </w:r>
          </w:p>
        </w:tc>
        <w:tc>
          <w:tcPr>
            <w:tcW w:type="dxa" w:w="4680"/>
            <w:tcMar>
              <w:top w:w="70" w:type="dxa"/>
              <w:start w:w="110" w:type="dxa"/>
              <w:bottom w:w="70" w:type="dxa"/>
              <w:end w:w="110" w:type="dxa"/>
            </w:tcMar>
          </w:tcPr>
          <w:p>
            <w:pPr>
              <w:pStyle w:val="TableText"/>
            </w:pPr>
            <w:r>
              <w:rPr/>
              <w:t>Other DC motors and generators of an output exceeding 750W but not exceeding 75 kW</w:t>
            </w:r>
          </w:p>
        </w:tc>
      </w:tr>
      <w:tr>
        <w:trPr>
          <w:cantSplit/>
        </w:trPr>
        <w:tc>
          <w:tcPr>
            <w:tcW w:type="dxa" w:w="4680"/>
            <w:shd w:fill="F5F7F8" w:val="clear" w:color="auto"/>
            <w:tcMar>
              <w:top w:w="70" w:type="dxa"/>
              <w:start w:w="110" w:type="dxa"/>
              <w:bottom w:w="70" w:type="dxa"/>
              <w:end w:w="110" w:type="dxa"/>
            </w:tcMar>
          </w:tcPr>
          <w:p>
            <w:pPr>
              <w:pStyle w:val="TableText"/>
            </w:pPr>
            <w:r>
              <w:rPr/>
              <w:t>8501.33</w:t>
            </w:r>
          </w:p>
        </w:tc>
        <w:tc>
          <w:tcPr>
            <w:tcW w:type="dxa" w:w="4680"/>
            <w:shd w:fill="F5F7F8" w:val="clear" w:color="auto"/>
            <w:tcMar>
              <w:top w:w="70" w:type="dxa"/>
              <w:start w:w="110" w:type="dxa"/>
              <w:bottom w:w="70" w:type="dxa"/>
              <w:end w:w="110" w:type="dxa"/>
            </w:tcMar>
          </w:tcPr>
          <w:p>
            <w:pPr>
              <w:pStyle w:val="TableText"/>
            </w:pPr>
            <w:r>
              <w:rPr/>
              <w:t>Other DC motors and generators of an output exceeding 75 kW but not exceeding 375 kW</w:t>
            </w:r>
          </w:p>
        </w:tc>
      </w:tr>
      <w:tr>
        <w:trPr>
          <w:cantSplit/>
        </w:trPr>
        <w:tc>
          <w:tcPr>
            <w:tcW w:type="dxa" w:w="4680"/>
            <w:tcMar>
              <w:top w:w="70" w:type="dxa"/>
              <w:start w:w="110" w:type="dxa"/>
              <w:bottom w:w="70" w:type="dxa"/>
              <w:end w:w="110" w:type="dxa"/>
            </w:tcMar>
          </w:tcPr>
          <w:p>
            <w:pPr>
              <w:pStyle w:val="TableText"/>
            </w:pPr>
            <w:r>
              <w:rPr/>
              <w:t>8505.20</w:t>
            </w:r>
          </w:p>
        </w:tc>
        <w:tc>
          <w:tcPr>
            <w:tcW w:type="dxa" w:w="4680"/>
            <w:tcMar>
              <w:top w:w="70" w:type="dxa"/>
              <w:start w:w="110" w:type="dxa"/>
              <w:bottom w:w="70" w:type="dxa"/>
              <w:end w:w="110" w:type="dxa"/>
            </w:tcMar>
          </w:tcPr>
          <w:p>
            <w:pPr>
              <w:pStyle w:val="TableText"/>
            </w:pPr>
            <w:r>
              <w:rPr/>
              <w:t>Electro-magnetic couplings, clutches and brakes</w:t>
            </w:r>
          </w:p>
        </w:tc>
      </w:tr>
      <w:tr>
        <w:trPr>
          <w:cantSplit/>
        </w:trPr>
        <w:tc>
          <w:tcPr>
            <w:tcW w:type="dxa" w:w="4680"/>
            <w:shd w:fill="F5F7F8" w:val="clear" w:color="auto"/>
            <w:tcMar>
              <w:top w:w="70" w:type="dxa"/>
              <w:start w:w="110" w:type="dxa"/>
              <w:bottom w:w="70" w:type="dxa"/>
              <w:end w:w="110" w:type="dxa"/>
            </w:tcMar>
          </w:tcPr>
          <w:p>
            <w:pPr>
              <w:pStyle w:val="TableText"/>
            </w:pPr>
            <w:r>
              <w:rPr/>
              <w:t>8505.90</w:t>
            </w:r>
          </w:p>
        </w:tc>
        <w:tc>
          <w:tcPr>
            <w:tcW w:type="dxa" w:w="4680"/>
            <w:shd w:fill="F5F7F8" w:val="clear" w:color="auto"/>
            <w:tcMar>
              <w:top w:w="70" w:type="dxa"/>
              <w:start w:w="110" w:type="dxa"/>
              <w:bottom w:w="70" w:type="dxa"/>
              <w:end w:w="110" w:type="dxa"/>
            </w:tcMar>
          </w:tcPr>
          <w:p>
            <w:pPr>
              <w:pStyle w:val="TableText"/>
            </w:pPr>
            <w:r>
              <w:rPr/>
              <w:t>Other electro-magnets; electro-magnetic or permanent magnet chucks, clamps and similar holding devices; electro-magnetic lifting heads; including parts</w:t>
            </w:r>
          </w:p>
        </w:tc>
      </w:tr>
      <w:tr>
        <w:trPr>
          <w:cantSplit/>
        </w:trPr>
        <w:tc>
          <w:tcPr>
            <w:tcW w:type="dxa" w:w="4680"/>
            <w:tcMar>
              <w:top w:w="70" w:type="dxa"/>
              <w:start w:w="110" w:type="dxa"/>
              <w:bottom w:w="70" w:type="dxa"/>
              <w:end w:w="110" w:type="dxa"/>
            </w:tcMar>
          </w:tcPr>
          <w:p>
            <w:pPr>
              <w:pStyle w:val="TableText"/>
            </w:pPr>
            <w:r>
              <w:rPr/>
              <w:t>8511.40</w:t>
            </w:r>
          </w:p>
        </w:tc>
        <w:tc>
          <w:tcPr>
            <w:tcW w:type="dxa" w:w="4680"/>
            <w:tcMar>
              <w:top w:w="70" w:type="dxa"/>
              <w:start w:w="110" w:type="dxa"/>
              <w:bottom w:w="70" w:type="dxa"/>
              <w:end w:w="110" w:type="dxa"/>
            </w:tcMar>
          </w:tcPr>
          <w:p>
            <w:pPr>
              <w:pStyle w:val="TableText"/>
            </w:pPr>
            <w:r>
              <w:rPr/>
              <w:t>Starter motors and dual purpose starter-generators of a kind used for spark- ignition or compression-ignition internal combustion engines</w:t>
            </w:r>
          </w:p>
        </w:tc>
      </w:tr>
      <w:tr>
        <w:trPr>
          <w:cantSplit/>
        </w:trPr>
        <w:tc>
          <w:tcPr>
            <w:tcW w:type="dxa" w:w="4680"/>
            <w:shd w:fill="F5F7F8" w:val="clear" w:color="auto"/>
            <w:tcMar>
              <w:top w:w="70" w:type="dxa"/>
              <w:start w:w="110" w:type="dxa"/>
              <w:bottom w:w="70" w:type="dxa"/>
              <w:end w:w="110" w:type="dxa"/>
            </w:tcMar>
          </w:tcPr>
          <w:p>
            <w:pPr>
              <w:pStyle w:val="TableText"/>
            </w:pPr>
            <w:r>
              <w:rPr/>
              <w:t>8511.50</w:t>
            </w:r>
          </w:p>
        </w:tc>
        <w:tc>
          <w:tcPr>
            <w:tcW w:type="dxa" w:w="4680"/>
            <w:shd w:fill="F5F7F8" w:val="clear" w:color="auto"/>
            <w:tcMar>
              <w:top w:w="70" w:type="dxa"/>
              <w:start w:w="110" w:type="dxa"/>
              <w:bottom w:w="70" w:type="dxa"/>
              <w:end w:w="110" w:type="dxa"/>
            </w:tcMar>
          </w:tcPr>
          <w:p>
            <w:pPr>
              <w:pStyle w:val="TableText"/>
            </w:pPr>
            <w:r>
              <w:rPr/>
              <w:t>Other generators</w:t>
            </w:r>
          </w:p>
        </w:tc>
      </w:tr>
      <w:tr>
        <w:trPr>
          <w:cantSplit/>
        </w:trPr>
        <w:tc>
          <w:tcPr>
            <w:tcW w:type="dxa" w:w="4680"/>
            <w:tcMar>
              <w:top w:w="70" w:type="dxa"/>
              <w:start w:w="110" w:type="dxa"/>
              <w:bottom w:w="70" w:type="dxa"/>
              <w:end w:w="110" w:type="dxa"/>
            </w:tcMar>
          </w:tcPr>
          <w:p>
            <w:pPr>
              <w:pStyle w:val="TableText"/>
            </w:pPr>
            <w:r>
              <w:rPr/>
              <w:t>8511.80</w:t>
            </w:r>
          </w:p>
        </w:tc>
        <w:tc>
          <w:tcPr>
            <w:tcW w:type="dxa" w:w="4680"/>
            <w:tcMar>
              <w:top w:w="70" w:type="dxa"/>
              <w:start w:w="110" w:type="dxa"/>
              <w:bottom w:w="70" w:type="dxa"/>
              <w:end w:w="110" w:type="dxa"/>
            </w:tcMar>
          </w:tcPr>
          <w:p>
            <w:pPr>
              <w:pStyle w:val="TableText"/>
            </w:pPr>
            <w:r>
              <w:rPr/>
              <w:t>Other electrical ignition or starting equipment of a kind used for spark-ignition or compression-ignition internal combustion engines</w:t>
            </w:r>
          </w:p>
        </w:tc>
      </w:tr>
      <w:tr>
        <w:trPr>
          <w:cantSplit/>
        </w:trPr>
        <w:tc>
          <w:tcPr>
            <w:tcW w:type="dxa" w:w="4680"/>
            <w:shd w:fill="F5F7F8" w:val="clear" w:color="auto"/>
            <w:tcMar>
              <w:top w:w="70" w:type="dxa"/>
              <w:start w:w="110" w:type="dxa"/>
              <w:bottom w:w="70" w:type="dxa"/>
              <w:end w:w="110" w:type="dxa"/>
            </w:tcMar>
          </w:tcPr>
          <w:p>
            <w:pPr>
              <w:pStyle w:val="TableText"/>
            </w:pPr>
            <w:r>
              <w:rPr/>
              <w:t>Ex 8511.90</w:t>
            </w:r>
          </w:p>
        </w:tc>
        <w:tc>
          <w:tcPr>
            <w:tcW w:type="dxa" w:w="4680"/>
            <w:shd w:fill="F5F7F8" w:val="clear" w:color="auto"/>
            <w:tcMar>
              <w:top w:w="70" w:type="dxa"/>
              <w:start w:w="110" w:type="dxa"/>
              <w:bottom w:w="70" w:type="dxa"/>
              <w:end w:w="110" w:type="dxa"/>
            </w:tcMar>
          </w:tcPr>
          <w:p>
            <w:pPr>
              <w:pStyle w:val="TableText"/>
            </w:pPr>
            <w:r>
              <w:rPr/>
              <w:t>Parts of electrical ignition or starting equipment of a kind used for spark-ignition or compression-ignition internal combustion engines</w:t>
            </w:r>
          </w:p>
        </w:tc>
      </w:tr>
      <w:tr>
        <w:trPr>
          <w:cantSplit/>
        </w:trPr>
        <w:tc>
          <w:tcPr>
            <w:tcW w:type="dxa" w:w="4680"/>
            <w:tcMar>
              <w:top w:w="70" w:type="dxa"/>
              <w:start w:w="110" w:type="dxa"/>
              <w:bottom w:w="70" w:type="dxa"/>
              <w:end w:w="110" w:type="dxa"/>
            </w:tcMar>
          </w:tcPr>
          <w:p>
            <w:pPr>
              <w:pStyle w:val="TableText"/>
            </w:pPr>
            <w:r>
              <w:rPr/>
              <w:t>8537.10</w:t>
            </w:r>
          </w:p>
        </w:tc>
        <w:tc>
          <w:tcPr>
            <w:tcW w:type="dxa" w:w="4680"/>
            <w:tcMar>
              <w:top w:w="70" w:type="dxa"/>
              <w:start w:w="110" w:type="dxa"/>
              <w:bottom w:w="70" w:type="dxa"/>
              <w:end w:w="110" w:type="dxa"/>
            </w:tcMar>
          </w:tcPr>
          <w:p>
            <w:pPr>
              <w:pStyle w:val="TableText"/>
            </w:pPr>
            <w:r>
              <w:rPr/>
              <w:t>Electric controls for a voltage not exceeding 1,000 V</w:t>
            </w:r>
          </w:p>
        </w:tc>
      </w:tr>
      <w:tr>
        <w:trPr>
          <w:cantSplit/>
        </w:trPr>
        <w:tc>
          <w:tcPr>
            <w:tcW w:type="dxa" w:w="4680"/>
            <w:shd w:fill="F5F7F8" w:val="clear" w:color="auto"/>
            <w:tcMar>
              <w:top w:w="70" w:type="dxa"/>
              <w:start w:w="110" w:type="dxa"/>
              <w:bottom w:w="70" w:type="dxa"/>
              <w:end w:w="110" w:type="dxa"/>
            </w:tcMar>
          </w:tcPr>
          <w:p>
            <w:pPr>
              <w:pStyle w:val="TableText"/>
            </w:pPr>
            <w:r>
              <w:rPr/>
              <w:t>8708.10</w:t>
            </w:r>
          </w:p>
        </w:tc>
        <w:tc>
          <w:tcPr>
            <w:tcW w:type="dxa" w:w="4680"/>
            <w:shd w:fill="F5F7F8" w:val="clear" w:color="auto"/>
            <w:tcMar>
              <w:top w:w="70" w:type="dxa"/>
              <w:start w:w="110" w:type="dxa"/>
              <w:bottom w:w="70" w:type="dxa"/>
              <w:end w:w="110" w:type="dxa"/>
            </w:tcMar>
          </w:tcPr>
          <w:p>
            <w:pPr>
              <w:pStyle w:val="TableText"/>
            </w:pPr>
            <w:r>
              <w:rPr/>
              <w:t>Bumpers and parts thereof</w:t>
            </w:r>
          </w:p>
        </w:tc>
      </w:tr>
      <w:tr>
        <w:trPr>
          <w:cantSplit/>
        </w:trPr>
        <w:tc>
          <w:tcPr>
            <w:tcW w:type="dxa" w:w="4680"/>
            <w:tcMar>
              <w:top w:w="70" w:type="dxa"/>
              <w:start w:w="110" w:type="dxa"/>
              <w:bottom w:w="70" w:type="dxa"/>
              <w:end w:w="110" w:type="dxa"/>
            </w:tcMar>
          </w:tcPr>
          <w:p>
            <w:pPr>
              <w:pStyle w:val="TableText"/>
            </w:pPr>
            <w:r>
              <w:rPr/>
              <w:t>8708.21</w:t>
            </w:r>
          </w:p>
        </w:tc>
        <w:tc>
          <w:tcPr>
            <w:tcW w:type="dxa" w:w="4680"/>
            <w:tcMar>
              <w:top w:w="70" w:type="dxa"/>
              <w:start w:w="110" w:type="dxa"/>
              <w:bottom w:w="70" w:type="dxa"/>
              <w:end w:w="110" w:type="dxa"/>
            </w:tcMar>
          </w:tcPr>
          <w:p>
            <w:pPr>
              <w:pStyle w:val="TableText"/>
            </w:pPr>
            <w:r>
              <w:rPr/>
              <w:t>Safety seat belts</w:t>
            </w:r>
          </w:p>
        </w:tc>
      </w:tr>
      <w:tr>
        <w:trPr>
          <w:cantSplit/>
        </w:trPr>
        <w:tc>
          <w:tcPr>
            <w:tcW w:type="dxa" w:w="4680"/>
            <w:shd w:fill="F5F7F8" w:val="clear" w:color="auto"/>
            <w:tcMar>
              <w:top w:w="70" w:type="dxa"/>
              <w:start w:w="110" w:type="dxa"/>
              <w:bottom w:w="70" w:type="dxa"/>
              <w:end w:w="110" w:type="dxa"/>
            </w:tcMar>
          </w:tcPr>
          <w:p>
            <w:pPr>
              <w:pStyle w:val="TableText"/>
            </w:pPr>
            <w:r>
              <w:rPr/>
              <w:t>Ex 8708.29</w:t>
            </w:r>
          </w:p>
        </w:tc>
        <w:tc>
          <w:tcPr>
            <w:tcW w:type="dxa" w:w="4680"/>
            <w:shd w:fill="F5F7F8" w:val="clear" w:color="auto"/>
            <w:tcMar>
              <w:top w:w="70" w:type="dxa"/>
              <w:start w:w="110" w:type="dxa"/>
              <w:bottom w:w="70" w:type="dxa"/>
              <w:end w:w="110" w:type="dxa"/>
            </w:tcMar>
          </w:tcPr>
          <w:p>
            <w:pPr>
              <w:pStyle w:val="TableText"/>
            </w:pPr>
            <w:r>
              <w:rPr/>
              <w:t>Other parts and accessories of bodies (including cabs) of motor vehicles (excluding body stampings)</w:t>
            </w:r>
          </w:p>
        </w:tc>
      </w:tr>
      <w:tr>
        <w:trPr>
          <w:cantSplit/>
        </w:trPr>
        <w:tc>
          <w:tcPr>
            <w:tcW w:type="dxa" w:w="4680"/>
            <w:tcMar>
              <w:top w:w="70" w:type="dxa"/>
              <w:start w:w="110" w:type="dxa"/>
              <w:bottom w:w="70" w:type="dxa"/>
              <w:end w:w="110" w:type="dxa"/>
            </w:tcMar>
          </w:tcPr>
          <w:p>
            <w:pPr>
              <w:pStyle w:val="TableText"/>
            </w:pPr>
            <w:r>
              <w:rPr/>
              <w:t>8708.30</w:t>
            </w:r>
          </w:p>
        </w:tc>
        <w:tc>
          <w:tcPr>
            <w:tcW w:type="dxa" w:w="4680"/>
            <w:tcMar>
              <w:top w:w="70" w:type="dxa"/>
              <w:start w:w="110" w:type="dxa"/>
              <w:bottom w:w="70" w:type="dxa"/>
              <w:end w:w="110" w:type="dxa"/>
            </w:tcMar>
          </w:tcPr>
          <w:p>
            <w:pPr>
              <w:pStyle w:val="TableText"/>
            </w:pPr>
            <w:r>
              <w:rPr/>
              <w:t>Brakes and servo-brakes; parts thereof</w:t>
            </w:r>
          </w:p>
        </w:tc>
      </w:tr>
      <w:tr>
        <w:trPr>
          <w:cantSplit/>
        </w:trPr>
        <w:tc>
          <w:tcPr>
            <w:tcW w:type="dxa" w:w="4680"/>
            <w:shd w:fill="F5F7F8" w:val="clear" w:color="auto"/>
            <w:tcMar>
              <w:top w:w="70" w:type="dxa"/>
              <w:start w:w="110" w:type="dxa"/>
              <w:bottom w:w="70" w:type="dxa"/>
              <w:end w:w="110" w:type="dxa"/>
            </w:tcMar>
          </w:tcPr>
          <w:p>
            <w:pPr>
              <w:pStyle w:val="TableText"/>
            </w:pPr>
            <w:r>
              <w:rPr/>
              <w:t>8708.70</w:t>
            </w:r>
          </w:p>
        </w:tc>
        <w:tc>
          <w:tcPr>
            <w:tcW w:type="dxa" w:w="4680"/>
            <w:shd w:fill="F5F7F8" w:val="clear" w:color="auto"/>
            <w:tcMar>
              <w:top w:w="70" w:type="dxa"/>
              <w:start w:w="110" w:type="dxa"/>
              <w:bottom w:w="70" w:type="dxa"/>
              <w:end w:w="110" w:type="dxa"/>
            </w:tcMar>
          </w:tcPr>
          <w:p>
            <w:pPr>
              <w:pStyle w:val="TableText"/>
            </w:pPr>
            <w:r>
              <w:rPr/>
              <w:t>Road wheels and parts and accessories thereof</w:t>
            </w:r>
          </w:p>
        </w:tc>
      </w:tr>
      <w:tr>
        <w:trPr>
          <w:cantSplit/>
        </w:trPr>
        <w:tc>
          <w:tcPr>
            <w:tcW w:type="dxa" w:w="4680"/>
            <w:tcMar>
              <w:top w:w="70" w:type="dxa"/>
              <w:start w:w="110" w:type="dxa"/>
              <w:bottom w:w="70" w:type="dxa"/>
              <w:end w:w="110" w:type="dxa"/>
            </w:tcMar>
          </w:tcPr>
          <w:p>
            <w:pPr>
              <w:pStyle w:val="TableText"/>
            </w:pPr>
            <w:r>
              <w:rPr/>
              <w:t>8708.91</w:t>
            </w:r>
          </w:p>
        </w:tc>
        <w:tc>
          <w:tcPr>
            <w:tcW w:type="dxa" w:w="4680"/>
            <w:tcMar>
              <w:top w:w="70" w:type="dxa"/>
              <w:start w:w="110" w:type="dxa"/>
              <w:bottom w:w="70" w:type="dxa"/>
              <w:end w:w="110" w:type="dxa"/>
            </w:tcMar>
          </w:tcPr>
          <w:p>
            <w:pPr>
              <w:pStyle w:val="TableText"/>
            </w:pPr>
            <w:r>
              <w:rPr/>
              <w:t>Radiators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8708.92</w:t>
            </w:r>
          </w:p>
        </w:tc>
        <w:tc>
          <w:tcPr>
            <w:tcW w:type="dxa" w:w="4680"/>
            <w:shd w:fill="F5F7F8" w:val="clear" w:color="auto"/>
            <w:tcMar>
              <w:top w:w="70" w:type="dxa"/>
              <w:start w:w="110" w:type="dxa"/>
              <w:bottom w:w="70" w:type="dxa"/>
              <w:end w:w="110" w:type="dxa"/>
            </w:tcMar>
          </w:tcPr>
          <w:p>
            <w:pPr>
              <w:pStyle w:val="TableText"/>
            </w:pPr>
            <w:r>
              <w:rPr/>
              <w:t>Silencers (mufflers) and exhaust pipes; parts thereof</w:t>
            </w:r>
          </w:p>
        </w:tc>
      </w:tr>
      <w:tr>
        <w:trPr>
          <w:cantSplit/>
        </w:trPr>
        <w:tc>
          <w:tcPr>
            <w:tcW w:type="dxa" w:w="4680"/>
            <w:tcMar>
              <w:top w:w="70" w:type="dxa"/>
              <w:start w:w="110" w:type="dxa"/>
              <w:bottom w:w="70" w:type="dxa"/>
              <w:end w:w="110" w:type="dxa"/>
            </w:tcMar>
          </w:tcPr>
          <w:p>
            <w:pPr>
              <w:pStyle w:val="TableText"/>
            </w:pPr>
            <w:r>
              <w:rPr/>
              <w:t>8708.93</w:t>
            </w:r>
          </w:p>
        </w:tc>
        <w:tc>
          <w:tcPr>
            <w:tcW w:type="dxa" w:w="4680"/>
            <w:tcMar>
              <w:top w:w="70" w:type="dxa"/>
              <w:start w:w="110" w:type="dxa"/>
              <w:bottom w:w="70" w:type="dxa"/>
              <w:end w:w="110" w:type="dxa"/>
            </w:tcMar>
          </w:tcPr>
          <w:p>
            <w:pPr>
              <w:pStyle w:val="TableText"/>
            </w:pPr>
            <w:r>
              <w:rPr/>
              <w:t>Clutches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8708.95</w:t>
            </w:r>
          </w:p>
        </w:tc>
        <w:tc>
          <w:tcPr>
            <w:tcW w:type="dxa" w:w="4680"/>
            <w:shd w:fill="F5F7F8" w:val="clear" w:color="auto"/>
            <w:tcMar>
              <w:top w:w="70" w:type="dxa"/>
              <w:start w:w="110" w:type="dxa"/>
              <w:bottom w:w="70" w:type="dxa"/>
              <w:end w:w="110" w:type="dxa"/>
            </w:tcMar>
          </w:tcPr>
          <w:p>
            <w:pPr>
              <w:pStyle w:val="TableText"/>
            </w:pPr>
            <w:r>
              <w:rPr/>
              <w:t>Safety airbags with inflator system</w:t>
            </w:r>
          </w:p>
        </w:tc>
      </w:tr>
    </w:tbl>
    <w:p>
      <w:pPr>
        <w:pStyle w:val="Normal"/>
      </w:pPr>
      <w:r>
        <w:rPr>
          <w:b w:val="0"/>
        </w:rPr>
        <w:t>parts thereof Ex 8708.99 Other parts and accessories of motor vehicles of headings 87.01 to 87.05 (excluding chassis frames) 9401.20 Seats of a kind used for motor vehicles 4-B-1-38</w:t>
      </w:r>
    </w:p>
    <w:p>
      <w:pPr>
        <w:pStyle w:val="Normal"/>
      </w:pPr>
      <w:r>
        <w:rPr>
          <w:b/>
        </w:rPr>
        <w:t>TABLE C: COMPLEMENTARY PARTS FOR PASSENGER VEHICLES AND LIGHT TRUCKS</w:t>
      </w:r>
    </w:p>
    <w:p>
      <w:pPr>
        <w:pStyle w:val="Normal"/>
      </w:pPr>
      <w:r>
        <w:rPr>
          <w:b w:val="0"/>
        </w:rPr>
        <w:t>Note: The Regional Value Content requirements set out in Article 3 of this Appendix apply to a good for use in a passenger vehicle or light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4009.12</w:t>
            </w:r>
          </w:p>
        </w:tc>
        <w:tc>
          <w:tcPr>
            <w:tcW w:type="dxa" w:w="4680"/>
            <w:tcMar>
              <w:top w:w="70" w:type="dxa"/>
              <w:start w:w="110" w:type="dxa"/>
              <w:bottom w:w="70" w:type="dxa"/>
              <w:end w:w="110" w:type="dxa"/>
            </w:tcMar>
          </w:tcPr>
          <w:p>
            <w:pPr>
              <w:pStyle w:val="TableText"/>
            </w:pPr>
            <w:r>
              <w:rPr/>
              <w:t>Tubes, pipes and hoses of vulcanised rubber other than hard rubber, not reinforced or otherwise combined with other materials, with fittings</w:t>
            </w:r>
          </w:p>
        </w:tc>
      </w:tr>
      <w:tr>
        <w:trPr>
          <w:cantSplit/>
        </w:trPr>
        <w:tc>
          <w:tcPr>
            <w:tcW w:type="dxa" w:w="4680"/>
            <w:shd w:fill="F5F7F8" w:val="clear" w:color="auto"/>
            <w:tcMar>
              <w:top w:w="70" w:type="dxa"/>
              <w:start w:w="110" w:type="dxa"/>
              <w:bottom w:w="70" w:type="dxa"/>
              <w:end w:w="110" w:type="dxa"/>
            </w:tcMar>
          </w:tcPr>
          <w:p>
            <w:pPr>
              <w:pStyle w:val="TableText"/>
            </w:pPr>
            <w:r>
              <w:rPr/>
              <w:t>4009.22</w:t>
            </w:r>
          </w:p>
        </w:tc>
        <w:tc>
          <w:tcPr>
            <w:tcW w:type="dxa" w:w="4680"/>
            <w:shd w:fill="F5F7F8" w:val="clear" w:color="auto"/>
            <w:tcMar>
              <w:top w:w="70" w:type="dxa"/>
              <w:start w:w="110" w:type="dxa"/>
              <w:bottom w:w="70" w:type="dxa"/>
              <w:end w:w="110" w:type="dxa"/>
            </w:tcMar>
          </w:tcPr>
          <w:p>
            <w:pPr>
              <w:pStyle w:val="TableText"/>
            </w:pPr>
            <w:r>
              <w:rPr/>
              <w:t>Tubes, pipes and hoses of vulcanised rubber other than hard rubber, reinforced or otherwise combined only with metal, with fittings</w:t>
            </w:r>
          </w:p>
        </w:tc>
      </w:tr>
      <w:tr>
        <w:trPr>
          <w:cantSplit/>
        </w:trPr>
        <w:tc>
          <w:tcPr>
            <w:tcW w:type="dxa" w:w="4680"/>
            <w:tcMar>
              <w:top w:w="70" w:type="dxa"/>
              <w:start w:w="110" w:type="dxa"/>
              <w:bottom w:w="70" w:type="dxa"/>
              <w:end w:w="110" w:type="dxa"/>
            </w:tcMar>
          </w:tcPr>
          <w:p>
            <w:pPr>
              <w:pStyle w:val="TableText"/>
            </w:pPr>
            <w:r>
              <w:rPr/>
              <w:t>4009.32</w:t>
            </w:r>
          </w:p>
        </w:tc>
        <w:tc>
          <w:tcPr>
            <w:tcW w:type="dxa" w:w="4680"/>
            <w:tcMar>
              <w:top w:w="70" w:type="dxa"/>
              <w:start w:w="110" w:type="dxa"/>
              <w:bottom w:w="70" w:type="dxa"/>
              <w:end w:w="110" w:type="dxa"/>
            </w:tcMar>
          </w:tcPr>
          <w:p>
            <w:pPr>
              <w:pStyle w:val="TableText"/>
            </w:pPr>
            <w:r>
              <w:rPr/>
              <w:t>Tubes, pipes and hoses of vulcanised rubber other than hard rubber, reinforced or otherwise combined only with textile materials, with fittings</w:t>
            </w:r>
          </w:p>
        </w:tc>
      </w:tr>
      <w:tr>
        <w:trPr>
          <w:cantSplit/>
        </w:trPr>
        <w:tc>
          <w:tcPr>
            <w:tcW w:type="dxa" w:w="4680"/>
            <w:shd w:fill="F5F7F8" w:val="clear" w:color="auto"/>
            <w:tcMar>
              <w:top w:w="70" w:type="dxa"/>
              <w:start w:w="110" w:type="dxa"/>
              <w:bottom w:w="70" w:type="dxa"/>
              <w:end w:w="110" w:type="dxa"/>
            </w:tcMar>
          </w:tcPr>
          <w:p>
            <w:pPr>
              <w:pStyle w:val="TableText"/>
            </w:pPr>
            <w:r>
              <w:rPr/>
              <w:t>4009.42</w:t>
            </w:r>
          </w:p>
        </w:tc>
        <w:tc>
          <w:tcPr>
            <w:tcW w:type="dxa" w:w="4680"/>
            <w:shd w:fill="F5F7F8" w:val="clear" w:color="auto"/>
            <w:tcMar>
              <w:top w:w="70" w:type="dxa"/>
              <w:start w:w="110" w:type="dxa"/>
              <w:bottom w:w="70" w:type="dxa"/>
              <w:end w:w="110" w:type="dxa"/>
            </w:tcMar>
          </w:tcPr>
          <w:p>
            <w:pPr>
              <w:pStyle w:val="TableText"/>
            </w:pPr>
            <w:r>
              <w:rPr/>
              <w:t>Tubes, pipes and hoses of vulcanised rubber other than hard rubber, reinforced or otherwise combined with other materials, with fittings</w:t>
            </w:r>
          </w:p>
        </w:tc>
      </w:tr>
      <w:tr>
        <w:trPr>
          <w:cantSplit/>
        </w:trPr>
        <w:tc>
          <w:tcPr>
            <w:tcW w:type="dxa" w:w="4680"/>
            <w:tcMar>
              <w:top w:w="70" w:type="dxa"/>
              <w:start w:w="110" w:type="dxa"/>
              <w:bottom w:w="70" w:type="dxa"/>
              <w:end w:w="110" w:type="dxa"/>
            </w:tcMar>
          </w:tcPr>
          <w:p>
            <w:pPr>
              <w:pStyle w:val="TableText"/>
            </w:pPr>
            <w:r>
              <w:rPr/>
              <w:t>8301.20</w:t>
            </w:r>
          </w:p>
        </w:tc>
        <w:tc>
          <w:tcPr>
            <w:tcW w:type="dxa" w:w="4680"/>
            <w:tcMar>
              <w:top w:w="70" w:type="dxa"/>
              <w:start w:w="110" w:type="dxa"/>
              <w:bottom w:w="70" w:type="dxa"/>
              <w:end w:w="110" w:type="dxa"/>
            </w:tcMar>
          </w:tcPr>
          <w:p>
            <w:pPr>
              <w:pStyle w:val="TableText"/>
            </w:pPr>
            <w:r>
              <w:rPr/>
              <w:t>Locks of a kind used for motor vehicles</w:t>
            </w:r>
          </w:p>
        </w:tc>
      </w:tr>
      <w:tr>
        <w:trPr>
          <w:cantSplit/>
        </w:trPr>
        <w:tc>
          <w:tcPr>
            <w:tcW w:type="dxa" w:w="4680"/>
            <w:shd w:fill="F5F7F8" w:val="clear" w:color="auto"/>
            <w:tcMar>
              <w:top w:w="70" w:type="dxa"/>
              <w:start w:w="110" w:type="dxa"/>
              <w:bottom w:w="70" w:type="dxa"/>
              <w:end w:w="110" w:type="dxa"/>
            </w:tcMar>
          </w:tcPr>
          <w:p>
            <w:pPr>
              <w:pStyle w:val="TableText"/>
            </w:pPr>
            <w:r>
              <w:rPr/>
              <w:t>Ex 8421.39</w:t>
            </w:r>
          </w:p>
        </w:tc>
        <w:tc>
          <w:tcPr>
            <w:tcW w:type="dxa" w:w="4680"/>
            <w:shd w:fill="F5F7F8" w:val="clear" w:color="auto"/>
            <w:tcMar>
              <w:top w:w="70" w:type="dxa"/>
              <w:start w:w="110" w:type="dxa"/>
              <w:bottom w:w="70" w:type="dxa"/>
              <w:end w:w="110" w:type="dxa"/>
            </w:tcMar>
          </w:tcPr>
          <w:p>
            <w:pPr>
              <w:pStyle w:val="TableText"/>
            </w:pPr>
            <w:r>
              <w:rPr/>
              <w:t>Catalytic converters</w:t>
            </w:r>
          </w:p>
        </w:tc>
      </w:tr>
      <w:tr>
        <w:trPr>
          <w:cantSplit/>
        </w:trPr>
        <w:tc>
          <w:tcPr>
            <w:tcW w:type="dxa" w:w="4680"/>
            <w:tcMar>
              <w:top w:w="70" w:type="dxa"/>
              <w:start w:w="110" w:type="dxa"/>
              <w:bottom w:w="70" w:type="dxa"/>
              <w:end w:w="110" w:type="dxa"/>
            </w:tcMar>
          </w:tcPr>
          <w:p>
            <w:pPr>
              <w:pStyle w:val="TableText"/>
            </w:pPr>
            <w:r>
              <w:rPr/>
              <w:t>8481.20</w:t>
            </w:r>
          </w:p>
        </w:tc>
        <w:tc>
          <w:tcPr>
            <w:tcW w:type="dxa" w:w="4680"/>
            <w:tcMar>
              <w:top w:w="70" w:type="dxa"/>
              <w:start w:w="110" w:type="dxa"/>
              <w:bottom w:w="70" w:type="dxa"/>
              <w:end w:w="110" w:type="dxa"/>
            </w:tcMar>
          </w:tcPr>
          <w:p>
            <w:pPr>
              <w:pStyle w:val="TableText"/>
            </w:pPr>
            <w:r>
              <w:rPr/>
              <w:t>Valves for oleohydraulic or pneumatic transmissions</w:t>
            </w:r>
          </w:p>
        </w:tc>
      </w:tr>
      <w:tr>
        <w:trPr>
          <w:cantSplit/>
        </w:trPr>
        <w:tc>
          <w:tcPr>
            <w:tcW w:type="dxa" w:w="4680"/>
            <w:shd w:fill="F5F7F8" w:val="clear" w:color="auto"/>
            <w:tcMar>
              <w:top w:w="70" w:type="dxa"/>
              <w:start w:w="110" w:type="dxa"/>
              <w:bottom w:w="70" w:type="dxa"/>
              <w:end w:w="110" w:type="dxa"/>
            </w:tcMar>
          </w:tcPr>
          <w:p>
            <w:pPr>
              <w:pStyle w:val="TableText"/>
            </w:pPr>
            <w:r>
              <w:rPr/>
              <w:t>8481.30</w:t>
            </w:r>
          </w:p>
        </w:tc>
        <w:tc>
          <w:tcPr>
            <w:tcW w:type="dxa" w:w="4680"/>
            <w:shd w:fill="F5F7F8" w:val="clear" w:color="auto"/>
            <w:tcMar>
              <w:top w:w="70" w:type="dxa"/>
              <w:start w:w="110" w:type="dxa"/>
              <w:bottom w:w="70" w:type="dxa"/>
              <w:end w:w="110" w:type="dxa"/>
            </w:tcMar>
          </w:tcPr>
          <w:p>
            <w:pPr>
              <w:pStyle w:val="TableText"/>
            </w:pPr>
            <w:r>
              <w:rPr/>
              <w:t>Check (nonreturn) valves</w:t>
            </w:r>
          </w:p>
        </w:tc>
      </w:tr>
      <w:tr>
        <w:trPr>
          <w:cantSplit/>
        </w:trPr>
        <w:tc>
          <w:tcPr>
            <w:tcW w:type="dxa" w:w="4680"/>
            <w:tcMar>
              <w:top w:w="70" w:type="dxa"/>
              <w:start w:w="110" w:type="dxa"/>
              <w:bottom w:w="70" w:type="dxa"/>
              <w:end w:w="110" w:type="dxa"/>
            </w:tcMar>
          </w:tcPr>
          <w:p>
            <w:pPr>
              <w:pStyle w:val="TableText"/>
            </w:pPr>
            <w:r>
              <w:rPr/>
              <w:t>8481.80</w:t>
            </w:r>
          </w:p>
        </w:tc>
        <w:tc>
          <w:tcPr>
            <w:tcW w:type="dxa" w:w="4680"/>
            <w:tcMar>
              <w:top w:w="70" w:type="dxa"/>
              <w:start w:w="110" w:type="dxa"/>
              <w:bottom w:w="70" w:type="dxa"/>
              <w:end w:w="110" w:type="dxa"/>
            </w:tcMar>
          </w:tcPr>
          <w:p>
            <w:pPr>
              <w:pStyle w:val="TableText"/>
            </w:pPr>
            <w:r>
              <w:rPr/>
              <w:t>Other taps, cocks, valves and similar appliances, including pressure-reducing valves and thermostatically controlled valves</w:t>
            </w:r>
          </w:p>
        </w:tc>
      </w:tr>
      <w:tr>
        <w:trPr>
          <w:cantSplit/>
        </w:trPr>
        <w:tc>
          <w:tcPr>
            <w:tcW w:type="dxa" w:w="4680"/>
            <w:shd w:fill="F5F7F8" w:val="clear" w:color="auto"/>
            <w:tcMar>
              <w:top w:w="70" w:type="dxa"/>
              <w:start w:w="110" w:type="dxa"/>
              <w:bottom w:w="70" w:type="dxa"/>
              <w:end w:w="110" w:type="dxa"/>
            </w:tcMar>
          </w:tcPr>
          <w:p>
            <w:pPr>
              <w:pStyle w:val="TableText"/>
            </w:pPr>
            <w:r>
              <w:rPr/>
              <w:t>8501.10</w:t>
            </w:r>
          </w:p>
        </w:tc>
        <w:tc>
          <w:tcPr>
            <w:tcW w:type="dxa" w:w="4680"/>
            <w:shd w:fill="F5F7F8" w:val="clear" w:color="auto"/>
            <w:tcMar>
              <w:top w:w="70" w:type="dxa"/>
              <w:start w:w="110" w:type="dxa"/>
              <w:bottom w:w="70" w:type="dxa"/>
              <w:end w:w="110" w:type="dxa"/>
            </w:tcMar>
          </w:tcPr>
          <w:p>
            <w:pPr>
              <w:pStyle w:val="TableText"/>
            </w:pPr>
            <w:r>
              <w:rPr/>
              <w:t>Electric motors of an output not exceeding 37.5 W</w:t>
            </w:r>
          </w:p>
        </w:tc>
      </w:tr>
      <w:tr>
        <w:trPr>
          <w:cantSplit/>
        </w:trPr>
        <w:tc>
          <w:tcPr>
            <w:tcW w:type="dxa" w:w="4680"/>
            <w:tcMar>
              <w:top w:w="70" w:type="dxa"/>
              <w:start w:w="110" w:type="dxa"/>
              <w:bottom w:w="70" w:type="dxa"/>
              <w:end w:w="110" w:type="dxa"/>
            </w:tcMar>
          </w:tcPr>
          <w:p>
            <w:pPr>
              <w:pStyle w:val="TableText"/>
            </w:pPr>
            <w:r>
              <w:rPr/>
              <w:t>8501.20</w:t>
            </w:r>
          </w:p>
        </w:tc>
        <w:tc>
          <w:tcPr>
            <w:tcW w:type="dxa" w:w="4680"/>
            <w:tcMar>
              <w:top w:w="70" w:type="dxa"/>
              <w:start w:w="110" w:type="dxa"/>
              <w:bottom w:w="70" w:type="dxa"/>
              <w:end w:w="110" w:type="dxa"/>
            </w:tcMar>
          </w:tcPr>
          <w:p>
            <w:pPr>
              <w:pStyle w:val="TableText"/>
            </w:pPr>
            <w:r>
              <w:rPr/>
              <w:t>Universal AC/DC motors of an output exceeding 37.5 W</w:t>
            </w:r>
          </w:p>
        </w:tc>
      </w:tr>
      <w:tr>
        <w:trPr>
          <w:cantSplit/>
        </w:trPr>
        <w:tc>
          <w:tcPr>
            <w:tcW w:type="dxa" w:w="4680"/>
            <w:shd w:fill="F5F7F8" w:val="clear" w:color="auto"/>
            <w:tcMar>
              <w:top w:w="70" w:type="dxa"/>
              <w:start w:w="110" w:type="dxa"/>
              <w:bottom w:w="70" w:type="dxa"/>
              <w:end w:w="110" w:type="dxa"/>
            </w:tcMar>
          </w:tcPr>
          <w:p>
            <w:pPr>
              <w:pStyle w:val="TableText"/>
            </w:pPr>
            <w:r>
              <w:rPr/>
              <w:t>8501.31</w:t>
            </w:r>
          </w:p>
        </w:tc>
        <w:tc>
          <w:tcPr>
            <w:tcW w:type="dxa" w:w="4680"/>
            <w:shd w:fill="F5F7F8" w:val="clear" w:color="auto"/>
            <w:tcMar>
              <w:top w:w="70" w:type="dxa"/>
              <w:start w:w="110" w:type="dxa"/>
              <w:bottom w:w="70" w:type="dxa"/>
              <w:end w:w="110" w:type="dxa"/>
            </w:tcMar>
          </w:tcPr>
          <w:p>
            <w:pPr>
              <w:pStyle w:val="TableText"/>
            </w:pPr>
            <w:r>
              <w:rPr/>
              <w:t>Other DC motors and generators of an output not exceeding 750 W</w:t>
            </w:r>
          </w:p>
        </w:tc>
      </w:tr>
      <w:tr>
        <w:trPr>
          <w:cantSplit/>
        </w:trPr>
        <w:tc>
          <w:tcPr>
            <w:tcW w:type="dxa" w:w="4680"/>
            <w:tcMar>
              <w:top w:w="70" w:type="dxa"/>
              <w:start w:w="110" w:type="dxa"/>
              <w:bottom w:w="70" w:type="dxa"/>
              <w:end w:w="110" w:type="dxa"/>
            </w:tcMar>
          </w:tcPr>
          <w:p>
            <w:pPr>
              <w:pStyle w:val="TableText"/>
            </w:pPr>
            <w:r>
              <w:rPr/>
              <w:t>Ex 8507.20</w:t>
            </w:r>
          </w:p>
        </w:tc>
        <w:tc>
          <w:tcPr>
            <w:tcW w:type="dxa" w:w="4680"/>
            <w:tcMar>
              <w:top w:w="70" w:type="dxa"/>
              <w:start w:w="110" w:type="dxa"/>
              <w:bottom w:w="70" w:type="dxa"/>
              <w:end w:w="110" w:type="dxa"/>
            </w:tcMar>
          </w:tcPr>
          <w:p>
            <w:pPr>
              <w:pStyle w:val="TableText"/>
            </w:pPr>
            <w:r>
              <w:rPr/>
              <w:t>Other lead-acid batteries of a kind used for the propulsion of motor vehicles of Chapter 87</w:t>
            </w:r>
          </w:p>
        </w:tc>
      </w:tr>
      <w:tr>
        <w:trPr>
          <w:cantSplit/>
        </w:trPr>
        <w:tc>
          <w:tcPr>
            <w:tcW w:type="dxa" w:w="4680"/>
            <w:shd w:fill="F5F7F8" w:val="clear" w:color="auto"/>
            <w:tcMar>
              <w:top w:w="70" w:type="dxa"/>
              <w:start w:w="110" w:type="dxa"/>
              <w:bottom w:w="70" w:type="dxa"/>
              <w:end w:w="110" w:type="dxa"/>
            </w:tcMar>
          </w:tcPr>
          <w:p>
            <w:pPr>
              <w:pStyle w:val="TableText"/>
            </w:pPr>
            <w:r>
              <w:rPr/>
              <w:t>Ex 8507.30</w:t>
            </w:r>
          </w:p>
        </w:tc>
        <w:tc>
          <w:tcPr>
            <w:tcW w:type="dxa" w:w="4680"/>
            <w:shd w:fill="F5F7F8" w:val="clear" w:color="auto"/>
            <w:tcMar>
              <w:top w:w="70" w:type="dxa"/>
              <w:start w:w="110" w:type="dxa"/>
              <w:bottom w:w="70" w:type="dxa"/>
              <w:end w:w="110" w:type="dxa"/>
            </w:tcMar>
          </w:tcPr>
          <w:p>
            <w:pPr>
              <w:pStyle w:val="TableText"/>
            </w:pPr>
            <w:r>
              <w:rPr/>
              <w:t>Nickel-cadmium batteries of a kind used for the propulsion of motor vehicles of Chapter 87 Ex</w:t>
            </w:r>
          </w:p>
        </w:tc>
      </w:tr>
    </w:tbl>
    <w:p>
      <w:pPr>
        <w:pStyle w:val="Normal"/>
      </w:pPr>
      <w:r>
        <w:rPr>
          <w:b w:val="0"/>
        </w:rPr>
        <w:t>8507.40 Nickel-iron batteries of a kind used for the propulsion of motor vehicles of Chapter 87 Ex 8507.80 Other batteries of a kind used for the propulsion of motor vehicles of Chapter 87 8511.30 Distributors; ignition coils 8512.20 Other lighting or visual signalling equipment 8512.40 Windshield wipers, defrosters and demisters Ex 8519.81 Cassette decks 8536.50 Other electrical switches, for a voltage not exceeding 1,000 V Ex 8536.90 Junction boxes 8539.10 Sealed beam lamp units 8539.21 Tungsten halogen filament lamp 8544.30 Ignition wiring sets and other wiring sets of a kind used in motor vehicles 9031.80 Other measuring and checking instruments, appliances &amp; machines 4-B-1-39 9032.89 Other automatic regulating or controlling instruments and apparatus 4-B-1-40</w:t>
      </w:r>
    </w:p>
    <w:p>
      <w:pPr>
        <w:pStyle w:val="Normal"/>
      </w:pPr>
      <w:r>
        <w:rPr>
          <w:b/>
        </w:rPr>
        <w:t>TABLE D: PRINCIPAL PARTS FOR HEAVY TRUCKS</w:t>
      </w:r>
    </w:p>
    <w:p>
      <w:pPr>
        <w:pStyle w:val="Normal"/>
      </w:pPr>
      <w:r>
        <w:rPr>
          <w:b w:val="0"/>
        </w:rPr>
        <w:t>Note: The Regional Value Content requirements set out in Article 4 of this Appendix apply to a good for use in a heavy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8407.31</w:t>
            </w:r>
          </w:p>
        </w:tc>
        <w:tc>
          <w:tcPr>
            <w:tcW w:type="dxa" w:w="4680"/>
            <w:tcMar>
              <w:top w:w="70" w:type="dxa"/>
              <w:start w:w="110" w:type="dxa"/>
              <w:bottom w:w="70" w:type="dxa"/>
              <w:end w:w="110" w:type="dxa"/>
            </w:tcMar>
          </w:tcPr>
          <w:p>
            <w:pPr>
              <w:pStyle w:val="TableText"/>
            </w:pPr>
            <w:r>
              <w:rPr/>
              <w:t>Reciprocating piston engines of a kind used for the propulsion of passenger vehicles of Chapter 87, of a cylinder capacity not exceeding 50 cc</w:t>
            </w:r>
          </w:p>
        </w:tc>
      </w:tr>
      <w:tr>
        <w:trPr>
          <w:cantSplit/>
        </w:trPr>
        <w:tc>
          <w:tcPr>
            <w:tcW w:type="dxa" w:w="4680"/>
            <w:shd w:fill="F5F7F8" w:val="clear" w:color="auto"/>
            <w:tcMar>
              <w:top w:w="70" w:type="dxa"/>
              <w:start w:w="110" w:type="dxa"/>
              <w:bottom w:w="70" w:type="dxa"/>
              <w:end w:w="110" w:type="dxa"/>
            </w:tcMar>
          </w:tcPr>
          <w:p>
            <w:pPr>
              <w:pStyle w:val="TableText"/>
            </w:pPr>
            <w:r>
              <w:rPr/>
              <w:t>8407.32</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50 cc but not exceeding 250 cc</w:t>
            </w:r>
          </w:p>
        </w:tc>
      </w:tr>
      <w:tr>
        <w:trPr>
          <w:cantSplit/>
        </w:trPr>
        <w:tc>
          <w:tcPr>
            <w:tcW w:type="dxa" w:w="4680"/>
            <w:tcMar>
              <w:top w:w="70" w:type="dxa"/>
              <w:start w:w="110" w:type="dxa"/>
              <w:bottom w:w="70" w:type="dxa"/>
              <w:end w:w="110" w:type="dxa"/>
            </w:tcMar>
          </w:tcPr>
          <w:p>
            <w:pPr>
              <w:pStyle w:val="TableText"/>
            </w:pPr>
            <w:r>
              <w:rPr/>
              <w:t>8407.33</w:t>
            </w:r>
          </w:p>
        </w:tc>
        <w:tc>
          <w:tcPr>
            <w:tcW w:type="dxa" w:w="4680"/>
            <w:tcMar>
              <w:top w:w="70" w:type="dxa"/>
              <w:start w:w="110" w:type="dxa"/>
              <w:bottom w:w="70" w:type="dxa"/>
              <w:end w:w="110" w:type="dxa"/>
            </w:tcMar>
          </w:tcPr>
          <w:p>
            <w:pPr>
              <w:pStyle w:val="TableText"/>
            </w:pPr>
            <w:r>
              <w:rPr/>
              <w:t>Reciprocating piston engines of a kind used for the propulsion of vehicles of Chapter 87, of a cylinder capacity exceeding 250 cc but not exceeding 1,000 cc</w:t>
            </w:r>
          </w:p>
        </w:tc>
      </w:tr>
      <w:tr>
        <w:trPr>
          <w:cantSplit/>
        </w:trPr>
        <w:tc>
          <w:tcPr>
            <w:tcW w:type="dxa" w:w="4680"/>
            <w:shd w:fill="F5F7F8" w:val="clear" w:color="auto"/>
            <w:tcMar>
              <w:top w:w="70" w:type="dxa"/>
              <w:start w:w="110" w:type="dxa"/>
              <w:bottom w:w="70" w:type="dxa"/>
              <w:end w:w="110" w:type="dxa"/>
            </w:tcMar>
          </w:tcPr>
          <w:p>
            <w:pPr>
              <w:pStyle w:val="TableText"/>
            </w:pPr>
            <w:r>
              <w:rPr/>
              <w:t>8407.34</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1,000 cc</w:t>
            </w:r>
          </w:p>
        </w:tc>
      </w:tr>
      <w:tr>
        <w:trPr>
          <w:cantSplit/>
        </w:trPr>
        <w:tc>
          <w:tcPr>
            <w:tcW w:type="dxa" w:w="4680"/>
            <w:tcMar>
              <w:top w:w="70" w:type="dxa"/>
              <w:start w:w="110" w:type="dxa"/>
              <w:bottom w:w="70" w:type="dxa"/>
              <w:end w:w="110" w:type="dxa"/>
            </w:tcMar>
          </w:tcPr>
          <w:p>
            <w:pPr>
              <w:pStyle w:val="TableText"/>
            </w:pPr>
            <w:r>
              <w:rPr/>
              <w:t>8408.20</w:t>
            </w:r>
          </w:p>
        </w:tc>
        <w:tc>
          <w:tcPr>
            <w:tcW w:type="dxa" w:w="4680"/>
            <w:tcMar>
              <w:top w:w="70" w:type="dxa"/>
              <w:start w:w="110" w:type="dxa"/>
              <w:bottom w:w="70" w:type="dxa"/>
              <w:end w:w="110" w:type="dxa"/>
            </w:tcMar>
          </w:tcPr>
          <w:p>
            <w:pPr>
              <w:pStyle w:val="TableText"/>
            </w:pPr>
            <w:r>
              <w:rPr/>
              <w:t>Compression-ignition internal combustion piston engines of a kind used for the propulsion of vehicles of Chapter 87</w:t>
            </w:r>
          </w:p>
        </w:tc>
      </w:tr>
      <w:tr>
        <w:trPr>
          <w:cantSplit/>
        </w:trPr>
        <w:tc>
          <w:tcPr>
            <w:tcW w:type="dxa" w:w="4680"/>
            <w:shd w:fill="F5F7F8" w:val="clear" w:color="auto"/>
            <w:tcMar>
              <w:top w:w="70" w:type="dxa"/>
              <w:start w:w="110" w:type="dxa"/>
              <w:bottom w:w="70" w:type="dxa"/>
              <w:end w:w="110" w:type="dxa"/>
            </w:tcMar>
          </w:tcPr>
          <w:p>
            <w:pPr>
              <w:pStyle w:val="TableText"/>
            </w:pPr>
            <w:r>
              <w:rPr/>
              <w:t>8409.91</w:t>
            </w:r>
          </w:p>
        </w:tc>
        <w:tc>
          <w:tcPr>
            <w:tcW w:type="dxa" w:w="4680"/>
            <w:shd w:fill="F5F7F8" w:val="clear" w:color="auto"/>
            <w:tcMar>
              <w:top w:w="70" w:type="dxa"/>
              <w:start w:w="110" w:type="dxa"/>
              <w:bottom w:w="70" w:type="dxa"/>
              <w:end w:w="110" w:type="dxa"/>
            </w:tcMar>
          </w:tcPr>
          <w:p>
            <w:pPr>
              <w:pStyle w:val="TableText"/>
            </w:pPr>
            <w:r>
              <w:rPr/>
              <w:t>Parts suitable for use solely or principally with the engines of heading 84.07 or 84.08, suitable for use solely or principally with spark-ignition internal combustion piston engines</w:t>
            </w:r>
          </w:p>
        </w:tc>
      </w:tr>
      <w:tr>
        <w:trPr>
          <w:cantSplit/>
        </w:trPr>
        <w:tc>
          <w:tcPr>
            <w:tcW w:type="dxa" w:w="4680"/>
            <w:tcMar>
              <w:top w:w="70" w:type="dxa"/>
              <w:start w:w="110" w:type="dxa"/>
              <w:bottom w:w="70" w:type="dxa"/>
              <w:end w:w="110" w:type="dxa"/>
            </w:tcMar>
          </w:tcPr>
          <w:p>
            <w:pPr>
              <w:pStyle w:val="TableText"/>
            </w:pPr>
            <w:r>
              <w:rPr/>
              <w:t>8409.99</w:t>
            </w:r>
          </w:p>
        </w:tc>
        <w:tc>
          <w:tcPr>
            <w:tcW w:type="dxa" w:w="4680"/>
            <w:tcMar>
              <w:top w:w="70" w:type="dxa"/>
              <w:start w:w="110" w:type="dxa"/>
              <w:bottom w:w="70" w:type="dxa"/>
              <w:end w:w="110" w:type="dxa"/>
            </w:tcMar>
          </w:tcPr>
          <w:p>
            <w:pPr>
              <w:pStyle w:val="TableText"/>
            </w:pPr>
            <w:r>
              <w:rPr/>
              <w:t>Parts suitable for use solely or principally with the engines of heading 84.07 or 84.08, other</w:t>
            </w:r>
          </w:p>
        </w:tc>
      </w:tr>
      <w:tr>
        <w:trPr>
          <w:cantSplit/>
        </w:trPr>
        <w:tc>
          <w:tcPr>
            <w:tcW w:type="dxa" w:w="4680"/>
            <w:shd w:fill="F5F7F8" w:val="clear" w:color="auto"/>
            <w:tcMar>
              <w:top w:w="70" w:type="dxa"/>
              <w:start w:w="110" w:type="dxa"/>
              <w:bottom w:w="70" w:type="dxa"/>
              <w:end w:w="110" w:type="dxa"/>
            </w:tcMar>
          </w:tcPr>
          <w:p>
            <w:pPr>
              <w:pStyle w:val="TableText"/>
            </w:pPr>
            <w:r>
              <w:rPr/>
              <w:t>8413.30</w:t>
            </w:r>
          </w:p>
        </w:tc>
        <w:tc>
          <w:tcPr>
            <w:tcW w:type="dxa" w:w="4680"/>
            <w:shd w:fill="F5F7F8" w:val="clear" w:color="auto"/>
            <w:tcMar>
              <w:top w:w="70" w:type="dxa"/>
              <w:start w:w="110" w:type="dxa"/>
              <w:bottom w:w="70" w:type="dxa"/>
              <w:end w:w="110" w:type="dxa"/>
            </w:tcMar>
          </w:tcPr>
          <w:p>
            <w:pPr>
              <w:pStyle w:val="TableText"/>
            </w:pPr>
            <w:r>
              <w:rPr/>
              <w:t>Fuel, lubricating or cooling medium pumps for internal combustion piston engines</w:t>
            </w:r>
          </w:p>
        </w:tc>
      </w:tr>
      <w:tr>
        <w:trPr>
          <w:cantSplit/>
        </w:trPr>
        <w:tc>
          <w:tcPr>
            <w:tcW w:type="dxa" w:w="4680"/>
            <w:tcMar>
              <w:top w:w="70" w:type="dxa"/>
              <w:start w:w="110" w:type="dxa"/>
              <w:bottom w:w="70" w:type="dxa"/>
              <w:end w:w="110" w:type="dxa"/>
            </w:tcMar>
          </w:tcPr>
          <w:p>
            <w:pPr>
              <w:pStyle w:val="TableText"/>
            </w:pPr>
            <w:r>
              <w:rPr/>
              <w:t>Ex 8414.59</w:t>
            </w:r>
          </w:p>
        </w:tc>
        <w:tc>
          <w:tcPr>
            <w:tcW w:type="dxa" w:w="4680"/>
            <w:tcMar>
              <w:top w:w="70" w:type="dxa"/>
              <w:start w:w="110" w:type="dxa"/>
              <w:bottom w:w="70" w:type="dxa"/>
              <w:end w:w="110" w:type="dxa"/>
            </w:tcMar>
          </w:tcPr>
          <w:p>
            <w:pPr>
              <w:pStyle w:val="TableText"/>
            </w:pPr>
            <w:r>
              <w:rPr/>
              <w:t>Turbochargers and superchargers</w:t>
            </w:r>
          </w:p>
        </w:tc>
      </w:tr>
      <w:tr>
        <w:trPr>
          <w:cantSplit/>
        </w:trPr>
        <w:tc>
          <w:tcPr>
            <w:tcW w:type="dxa" w:w="4680"/>
            <w:shd w:fill="F5F7F8" w:val="clear" w:color="auto"/>
            <w:tcMar>
              <w:top w:w="70" w:type="dxa"/>
              <w:start w:w="110" w:type="dxa"/>
              <w:bottom w:w="70" w:type="dxa"/>
              <w:end w:w="110" w:type="dxa"/>
            </w:tcMar>
          </w:tcPr>
          <w:p>
            <w:pPr>
              <w:pStyle w:val="TableText"/>
            </w:pPr>
            <w:r>
              <w:rPr/>
              <w:t>8414.80</w:t>
            </w:r>
          </w:p>
        </w:tc>
        <w:tc>
          <w:tcPr>
            <w:tcW w:type="dxa" w:w="4680"/>
            <w:shd w:fill="F5F7F8" w:val="clear" w:color="auto"/>
            <w:tcMar>
              <w:top w:w="70" w:type="dxa"/>
              <w:start w:w="110" w:type="dxa"/>
              <w:bottom w:w="70" w:type="dxa"/>
              <w:end w:w="110" w:type="dxa"/>
            </w:tcMar>
          </w:tcPr>
          <w:p>
            <w:pPr>
              <w:pStyle w:val="TableText"/>
            </w:pPr>
            <w:r>
              <w:rPr/>
              <w:t>Other air or gas pumps, compressors and fans</w:t>
            </w:r>
          </w:p>
        </w:tc>
      </w:tr>
      <w:tr>
        <w:trPr>
          <w:cantSplit/>
        </w:trPr>
        <w:tc>
          <w:tcPr>
            <w:tcW w:type="dxa" w:w="4680"/>
            <w:tcMar>
              <w:top w:w="70" w:type="dxa"/>
              <w:start w:w="110" w:type="dxa"/>
              <w:bottom w:w="70" w:type="dxa"/>
              <w:end w:w="110" w:type="dxa"/>
            </w:tcMar>
          </w:tcPr>
          <w:p>
            <w:pPr>
              <w:pStyle w:val="TableText"/>
            </w:pPr>
            <w:r>
              <w:rPr/>
              <w:t>8415.20</w:t>
            </w:r>
          </w:p>
        </w:tc>
        <w:tc>
          <w:tcPr>
            <w:tcW w:type="dxa" w:w="4680"/>
            <w:tcMar>
              <w:top w:w="70" w:type="dxa"/>
              <w:start w:w="110" w:type="dxa"/>
              <w:bottom w:w="70" w:type="dxa"/>
              <w:end w:w="110" w:type="dxa"/>
            </w:tcMar>
          </w:tcPr>
          <w:p>
            <w:pPr>
              <w:pStyle w:val="TableText"/>
            </w:pPr>
            <w:r>
              <w:rPr/>
              <w:t>Air conditioning machines, comprising a motor-driven fan and elements for changing the temperature and humidity, including those machines in which humidity cannot be separately regulated, of a kind used for persons, in motor vehicles</w:t>
            </w:r>
          </w:p>
        </w:tc>
      </w:tr>
      <w:tr>
        <w:trPr>
          <w:cantSplit/>
        </w:trPr>
        <w:tc>
          <w:tcPr>
            <w:tcW w:type="dxa" w:w="4680"/>
            <w:shd w:fill="F5F7F8" w:val="clear" w:color="auto"/>
            <w:tcMar>
              <w:top w:w="70" w:type="dxa"/>
              <w:start w:w="110" w:type="dxa"/>
              <w:bottom w:w="70" w:type="dxa"/>
              <w:end w:w="110" w:type="dxa"/>
            </w:tcMar>
          </w:tcPr>
          <w:p>
            <w:pPr>
              <w:pStyle w:val="TableText"/>
            </w:pPr>
            <w:r>
              <w:rPr/>
              <w:t>8483.10</w:t>
            </w:r>
          </w:p>
        </w:tc>
        <w:tc>
          <w:tcPr>
            <w:tcW w:type="dxa" w:w="4680"/>
            <w:shd w:fill="F5F7F8" w:val="clear" w:color="auto"/>
            <w:tcMar>
              <w:top w:w="70" w:type="dxa"/>
              <w:start w:w="110" w:type="dxa"/>
              <w:bottom w:w="70" w:type="dxa"/>
              <w:end w:w="110" w:type="dxa"/>
            </w:tcMar>
          </w:tcPr>
          <w:p>
            <w:pPr>
              <w:pStyle w:val="TableText"/>
            </w:pPr>
            <w:r>
              <w:rPr/>
              <w:t>Transmission shafts (including cam shafts and crank shafts) and cranks</w:t>
            </w:r>
          </w:p>
        </w:tc>
      </w:tr>
      <w:tr>
        <w:trPr>
          <w:cantSplit/>
        </w:trPr>
        <w:tc>
          <w:tcPr>
            <w:tcW w:type="dxa" w:w="4680"/>
            <w:tcMar>
              <w:top w:w="70" w:type="dxa"/>
              <w:start w:w="110" w:type="dxa"/>
              <w:bottom w:w="70" w:type="dxa"/>
              <w:end w:w="110" w:type="dxa"/>
            </w:tcMar>
          </w:tcPr>
          <w:p>
            <w:pPr>
              <w:pStyle w:val="TableText"/>
            </w:pPr>
            <w:r>
              <w:rPr/>
              <w:t>8483.40</w:t>
            </w:r>
          </w:p>
        </w:tc>
        <w:tc>
          <w:tcPr>
            <w:tcW w:type="dxa" w:w="4680"/>
            <w:tcMar>
              <w:top w:w="70" w:type="dxa"/>
              <w:start w:w="110" w:type="dxa"/>
              <w:bottom w:w="70" w:type="dxa"/>
              <w:end w:w="110" w:type="dxa"/>
            </w:tcMar>
          </w:tcPr>
          <w:p>
            <w:pPr>
              <w:pStyle w:val="TableText"/>
            </w:pPr>
            <w:r>
              <w:rPr/>
              <w:t>Gears and gearing, other than toothed wheels, chain sprockets and other transmission elements presented separately; ball or roller screws; gear boxes and other speed changers, including torque converters</w:t>
            </w:r>
          </w:p>
        </w:tc>
      </w:tr>
      <w:tr>
        <w:trPr>
          <w:cantSplit/>
        </w:trPr>
        <w:tc>
          <w:tcPr>
            <w:tcW w:type="dxa" w:w="4680"/>
            <w:shd w:fill="F5F7F8" w:val="clear" w:color="auto"/>
            <w:tcMar>
              <w:top w:w="70" w:type="dxa"/>
              <w:start w:w="110" w:type="dxa"/>
              <w:bottom w:w="70" w:type="dxa"/>
              <w:end w:w="110" w:type="dxa"/>
            </w:tcMar>
          </w:tcPr>
          <w:p>
            <w:pPr>
              <w:pStyle w:val="TableText"/>
            </w:pPr>
            <w:r>
              <w:rPr/>
              <w:t>8483.50</w:t>
            </w:r>
          </w:p>
        </w:tc>
        <w:tc>
          <w:tcPr>
            <w:tcW w:type="dxa" w:w="4680"/>
            <w:shd w:fill="F5F7F8" w:val="clear" w:color="auto"/>
            <w:tcMar>
              <w:top w:w="70" w:type="dxa"/>
              <w:start w:w="110" w:type="dxa"/>
              <w:bottom w:w="70" w:type="dxa"/>
              <w:end w:w="110" w:type="dxa"/>
            </w:tcMar>
          </w:tcPr>
          <w:p>
            <w:pPr>
              <w:pStyle w:val="TableText"/>
            </w:pPr>
            <w:r>
              <w:rPr/>
              <w:t>Flywheels and pulleys, including pulley blocks</w:t>
            </w:r>
          </w:p>
        </w:tc>
      </w:tr>
      <w:tr>
        <w:trPr>
          <w:cantSplit/>
        </w:trPr>
        <w:tc>
          <w:tcPr>
            <w:tcW w:type="dxa" w:w="4680"/>
            <w:tcMar>
              <w:top w:w="70" w:type="dxa"/>
              <w:start w:w="110" w:type="dxa"/>
              <w:bottom w:w="70" w:type="dxa"/>
              <w:end w:w="110" w:type="dxa"/>
            </w:tcMar>
          </w:tcPr>
          <w:p>
            <w:pPr>
              <w:pStyle w:val="TableText"/>
            </w:pPr>
            <w:r>
              <w:rPr/>
              <w:t>Ex 8501.32</w:t>
            </w:r>
          </w:p>
        </w:tc>
        <w:tc>
          <w:tcPr>
            <w:tcW w:type="dxa" w:w="4680"/>
            <w:tcMar>
              <w:top w:w="70" w:type="dxa"/>
              <w:start w:w="110" w:type="dxa"/>
              <w:bottom w:w="70" w:type="dxa"/>
              <w:end w:w="110" w:type="dxa"/>
            </w:tcMar>
          </w:tcPr>
          <w:p>
            <w:pPr>
              <w:pStyle w:val="TableText"/>
            </w:pPr>
            <w:r>
              <w:rPr/>
              <w:t>Other DC motors and generators of an output exceeding 750W but not exceeding 75 kW, of a kind used for the propulsion of motor vehicles of Chapter 87</w:t>
            </w:r>
          </w:p>
        </w:tc>
      </w:tr>
      <w:tr>
        <w:trPr>
          <w:cantSplit/>
        </w:trPr>
        <w:tc>
          <w:tcPr>
            <w:tcW w:type="dxa" w:w="4680"/>
            <w:shd w:fill="F5F7F8" w:val="clear" w:color="auto"/>
            <w:tcMar>
              <w:top w:w="70" w:type="dxa"/>
              <w:start w:w="110" w:type="dxa"/>
              <w:bottom w:w="70" w:type="dxa"/>
              <w:end w:w="110" w:type="dxa"/>
            </w:tcMar>
          </w:tcPr>
          <w:p>
            <w:pPr>
              <w:pStyle w:val="TableText"/>
            </w:pPr>
            <w:r>
              <w:rPr/>
              <w:t>8511.40</w:t>
            </w:r>
          </w:p>
        </w:tc>
        <w:tc>
          <w:tcPr>
            <w:tcW w:type="dxa" w:w="4680"/>
            <w:shd w:fill="F5F7F8" w:val="clear" w:color="auto"/>
            <w:tcMar>
              <w:top w:w="70" w:type="dxa"/>
              <w:start w:w="110" w:type="dxa"/>
              <w:bottom w:w="70" w:type="dxa"/>
              <w:end w:w="110" w:type="dxa"/>
            </w:tcMar>
          </w:tcPr>
          <w:p>
            <w:pPr>
              <w:pStyle w:val="TableText"/>
            </w:pPr>
            <w:r>
              <w:rPr/>
              <w:t>Starter motors and dual purpose starter-generators of a kind used for spark- ignition or compression-ignition internal combustion engines</w:t>
            </w:r>
          </w:p>
        </w:tc>
      </w:tr>
      <w:tr>
        <w:trPr>
          <w:cantSplit/>
        </w:trPr>
        <w:tc>
          <w:tcPr>
            <w:tcW w:type="dxa" w:w="4680"/>
            <w:tcMar>
              <w:top w:w="70" w:type="dxa"/>
              <w:start w:w="110" w:type="dxa"/>
              <w:bottom w:w="70" w:type="dxa"/>
              <w:end w:w="110" w:type="dxa"/>
            </w:tcMar>
          </w:tcPr>
          <w:p>
            <w:pPr>
              <w:pStyle w:val="TableText"/>
            </w:pPr>
            <w:r>
              <w:rPr/>
              <w:t>8511.50</w:t>
            </w:r>
          </w:p>
        </w:tc>
        <w:tc>
          <w:tcPr>
            <w:tcW w:type="dxa" w:w="4680"/>
            <w:tcMar>
              <w:top w:w="70" w:type="dxa"/>
              <w:start w:w="110" w:type="dxa"/>
              <w:bottom w:w="70" w:type="dxa"/>
              <w:end w:w="110" w:type="dxa"/>
            </w:tcMar>
          </w:tcPr>
          <w:p>
            <w:pPr>
              <w:pStyle w:val="TableText"/>
            </w:pPr>
            <w:r>
              <w:rPr/>
              <w:t>Other generators</w:t>
            </w:r>
          </w:p>
        </w:tc>
      </w:tr>
      <w:tr>
        <w:trPr>
          <w:cantSplit/>
        </w:trPr>
        <w:tc>
          <w:tcPr>
            <w:tcW w:type="dxa" w:w="4680"/>
            <w:shd w:fill="F5F7F8" w:val="clear" w:color="auto"/>
            <w:tcMar>
              <w:top w:w="70" w:type="dxa"/>
              <w:start w:w="110" w:type="dxa"/>
              <w:bottom w:w="70" w:type="dxa"/>
              <w:end w:w="110" w:type="dxa"/>
            </w:tcMar>
          </w:tcPr>
          <w:p>
            <w:pPr>
              <w:pStyle w:val="TableText"/>
            </w:pPr>
            <w:r>
              <w:rPr/>
              <w:t>8537.10</w:t>
            </w:r>
          </w:p>
        </w:tc>
        <w:tc>
          <w:tcPr>
            <w:tcW w:type="dxa" w:w="4680"/>
            <w:shd w:fill="F5F7F8" w:val="clear" w:color="auto"/>
            <w:tcMar>
              <w:top w:w="70" w:type="dxa"/>
              <w:start w:w="110" w:type="dxa"/>
              <w:bottom w:w="70" w:type="dxa"/>
              <w:end w:w="110" w:type="dxa"/>
            </w:tcMar>
          </w:tcPr>
          <w:p>
            <w:pPr>
              <w:pStyle w:val="TableText"/>
            </w:pPr>
            <w:r>
              <w:rPr/>
              <w:t>Electric controls for a voltage not exceeding 1,000 V</w:t>
            </w:r>
          </w:p>
        </w:tc>
      </w:tr>
      <w:tr>
        <w:trPr>
          <w:cantSplit/>
        </w:trPr>
        <w:tc>
          <w:tcPr>
            <w:tcW w:type="dxa" w:w="4680"/>
            <w:tcMar>
              <w:top w:w="70" w:type="dxa"/>
              <w:start w:w="110" w:type="dxa"/>
              <w:bottom w:w="70" w:type="dxa"/>
              <w:end w:w="110" w:type="dxa"/>
            </w:tcMar>
          </w:tcPr>
          <w:p>
            <w:pPr>
              <w:pStyle w:val="TableText"/>
            </w:pPr>
            <w:r>
              <w:rPr/>
              <w:t>8706.00</w:t>
            </w:r>
          </w:p>
        </w:tc>
        <w:tc>
          <w:tcPr>
            <w:tcW w:type="dxa" w:w="4680"/>
            <w:tcMar>
              <w:top w:w="70" w:type="dxa"/>
              <w:start w:w="110" w:type="dxa"/>
              <w:bottom w:w="70" w:type="dxa"/>
              <w:end w:w="110" w:type="dxa"/>
            </w:tcMar>
          </w:tcPr>
          <w:p>
            <w:pPr>
              <w:pStyle w:val="TableText"/>
            </w:pPr>
            <w:r>
              <w:rPr/>
              <w:t>Chassis fitted with engines, for the motor vehicles of heading 87.01 through 87.05</w:t>
            </w:r>
          </w:p>
        </w:tc>
      </w:tr>
      <w:tr>
        <w:trPr>
          <w:cantSplit/>
        </w:trPr>
        <w:tc>
          <w:tcPr>
            <w:tcW w:type="dxa" w:w="4680"/>
            <w:shd w:fill="F5F7F8" w:val="clear" w:color="auto"/>
            <w:tcMar>
              <w:top w:w="70" w:type="dxa"/>
              <w:start w:w="110" w:type="dxa"/>
              <w:bottom w:w="70" w:type="dxa"/>
              <w:end w:w="110" w:type="dxa"/>
            </w:tcMar>
          </w:tcPr>
          <w:p>
            <w:pPr>
              <w:pStyle w:val="TableText"/>
            </w:pPr>
            <w:r>
              <w:rPr/>
              <w:t>8707.90</w:t>
            </w:r>
          </w:p>
        </w:tc>
        <w:tc>
          <w:tcPr>
            <w:tcW w:type="dxa" w:w="4680"/>
            <w:shd w:fill="F5F7F8" w:val="clear" w:color="auto"/>
            <w:tcMar>
              <w:top w:w="70" w:type="dxa"/>
              <w:start w:w="110" w:type="dxa"/>
              <w:bottom w:w="70" w:type="dxa"/>
              <w:end w:w="110" w:type="dxa"/>
            </w:tcMar>
          </w:tcPr>
          <w:p>
            <w:pPr>
              <w:pStyle w:val="TableText"/>
            </w:pPr>
            <w:r>
              <w:rPr/>
              <w:t>Bodies for the vehicles of heading 87.01, 87.02, 87.04 or 87.05</w:t>
            </w:r>
          </w:p>
        </w:tc>
      </w:tr>
      <w:tr>
        <w:trPr>
          <w:cantSplit/>
        </w:trPr>
        <w:tc>
          <w:tcPr>
            <w:tcW w:type="dxa" w:w="4680"/>
            <w:tcMar>
              <w:top w:w="70" w:type="dxa"/>
              <w:start w:w="110" w:type="dxa"/>
              <w:bottom w:w="70" w:type="dxa"/>
              <w:end w:w="110" w:type="dxa"/>
            </w:tcMar>
          </w:tcPr>
          <w:p>
            <w:pPr>
              <w:pStyle w:val="TableText"/>
            </w:pPr>
            <w:r>
              <w:rPr/>
              <w:t>8708.10</w:t>
            </w:r>
          </w:p>
        </w:tc>
        <w:tc>
          <w:tcPr>
            <w:tcW w:type="dxa" w:w="4680"/>
            <w:tcMar>
              <w:top w:w="70" w:type="dxa"/>
              <w:start w:w="110" w:type="dxa"/>
              <w:bottom w:w="70" w:type="dxa"/>
              <w:end w:w="110" w:type="dxa"/>
            </w:tcMar>
          </w:tcPr>
          <w:p>
            <w:pPr>
              <w:pStyle w:val="TableText"/>
            </w:pPr>
            <w:r>
              <w:rPr/>
              <w:t>Bumpers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8708.21</w:t>
            </w:r>
          </w:p>
        </w:tc>
        <w:tc>
          <w:tcPr>
            <w:tcW w:type="dxa" w:w="4680"/>
            <w:shd w:fill="F5F7F8" w:val="clear" w:color="auto"/>
            <w:tcMar>
              <w:top w:w="70" w:type="dxa"/>
              <w:start w:w="110" w:type="dxa"/>
              <w:bottom w:w="70" w:type="dxa"/>
              <w:end w:w="110" w:type="dxa"/>
            </w:tcMar>
          </w:tcPr>
          <w:p>
            <w:pPr>
              <w:pStyle w:val="TableText"/>
            </w:pPr>
            <w:r>
              <w:rPr/>
              <w:t>Safety seat belts</w:t>
            </w:r>
          </w:p>
        </w:tc>
      </w:tr>
      <w:tr>
        <w:trPr>
          <w:cantSplit/>
        </w:trPr>
        <w:tc>
          <w:tcPr>
            <w:tcW w:type="dxa" w:w="4680"/>
            <w:tcMar>
              <w:top w:w="70" w:type="dxa"/>
              <w:start w:w="110" w:type="dxa"/>
              <w:bottom w:w="70" w:type="dxa"/>
              <w:end w:w="110" w:type="dxa"/>
            </w:tcMar>
          </w:tcPr>
          <w:p>
            <w:pPr>
              <w:pStyle w:val="TableText"/>
            </w:pPr>
            <w:r>
              <w:rPr/>
              <w:t>8708.29</w:t>
            </w:r>
          </w:p>
        </w:tc>
        <w:tc>
          <w:tcPr>
            <w:tcW w:type="dxa" w:w="4680"/>
            <w:tcMar>
              <w:top w:w="70" w:type="dxa"/>
              <w:start w:w="110" w:type="dxa"/>
              <w:bottom w:w="70" w:type="dxa"/>
              <w:end w:w="110" w:type="dxa"/>
            </w:tcMar>
          </w:tcPr>
          <w:p>
            <w:pPr>
              <w:pStyle w:val="TableText"/>
            </w:pPr>
            <w:r>
              <w:rPr/>
              <w:t>Other parts and accessories of bodies (including cabs) of motor vehicles</w:t>
            </w:r>
          </w:p>
        </w:tc>
      </w:tr>
      <w:tr>
        <w:trPr>
          <w:cantSplit/>
        </w:trPr>
        <w:tc>
          <w:tcPr>
            <w:tcW w:type="dxa" w:w="4680"/>
            <w:shd w:fill="F5F7F8" w:val="clear" w:color="auto"/>
            <w:tcMar>
              <w:top w:w="70" w:type="dxa"/>
              <w:start w:w="110" w:type="dxa"/>
              <w:bottom w:w="70" w:type="dxa"/>
              <w:end w:w="110" w:type="dxa"/>
            </w:tcMar>
          </w:tcPr>
          <w:p>
            <w:pPr>
              <w:pStyle w:val="TableText"/>
            </w:pPr>
            <w:r>
              <w:rPr/>
              <w:t>8708.30</w:t>
            </w:r>
          </w:p>
        </w:tc>
        <w:tc>
          <w:tcPr>
            <w:tcW w:type="dxa" w:w="4680"/>
            <w:shd w:fill="F5F7F8" w:val="clear" w:color="auto"/>
            <w:tcMar>
              <w:top w:w="70" w:type="dxa"/>
              <w:start w:w="110" w:type="dxa"/>
              <w:bottom w:w="70" w:type="dxa"/>
              <w:end w:w="110" w:type="dxa"/>
            </w:tcMar>
          </w:tcPr>
          <w:p>
            <w:pPr>
              <w:pStyle w:val="TableText"/>
            </w:pPr>
            <w:r>
              <w:rPr/>
              <w:t>Brakes and servo-brakes; parts thereof</w:t>
            </w:r>
          </w:p>
        </w:tc>
      </w:tr>
      <w:tr>
        <w:trPr>
          <w:cantSplit/>
        </w:trPr>
        <w:tc>
          <w:tcPr>
            <w:tcW w:type="dxa" w:w="4680"/>
            <w:tcMar>
              <w:top w:w="70" w:type="dxa"/>
              <w:start w:w="110" w:type="dxa"/>
              <w:bottom w:w="70" w:type="dxa"/>
              <w:end w:w="110" w:type="dxa"/>
            </w:tcMar>
          </w:tcPr>
          <w:p>
            <w:pPr>
              <w:pStyle w:val="TableText"/>
            </w:pPr>
            <w:r>
              <w:rPr/>
              <w:t>8708.40</w:t>
            </w:r>
          </w:p>
        </w:tc>
        <w:tc>
          <w:tcPr>
            <w:tcW w:type="dxa" w:w="4680"/>
            <w:tcMar>
              <w:top w:w="70" w:type="dxa"/>
              <w:start w:w="110" w:type="dxa"/>
              <w:bottom w:w="70" w:type="dxa"/>
              <w:end w:w="110" w:type="dxa"/>
            </w:tcMar>
          </w:tcPr>
          <w:p>
            <w:pPr>
              <w:pStyle w:val="TableText"/>
            </w:pPr>
            <w:r>
              <w:rPr/>
              <w:t>Gear boxes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8708.50</w:t>
            </w:r>
          </w:p>
        </w:tc>
        <w:tc>
          <w:tcPr>
            <w:tcW w:type="dxa" w:w="4680"/>
            <w:shd w:fill="F5F7F8" w:val="clear" w:color="auto"/>
            <w:tcMar>
              <w:top w:w="70" w:type="dxa"/>
              <w:start w:w="110" w:type="dxa"/>
              <w:bottom w:w="70" w:type="dxa"/>
              <w:end w:w="110" w:type="dxa"/>
            </w:tcMar>
          </w:tcPr>
          <w:p>
            <w:pPr>
              <w:pStyle w:val="TableText"/>
            </w:pPr>
            <w:r>
              <w:rPr/>
              <w:t>Drive axles with differential, whether or not provided with other transmission components, and non-driving axles; and parts thereof</w:t>
            </w:r>
          </w:p>
        </w:tc>
      </w:tr>
      <w:tr>
        <w:trPr>
          <w:cantSplit/>
        </w:trPr>
        <w:tc>
          <w:tcPr>
            <w:tcW w:type="dxa" w:w="4680"/>
            <w:tcMar>
              <w:top w:w="70" w:type="dxa"/>
              <w:start w:w="110" w:type="dxa"/>
              <w:bottom w:w="70" w:type="dxa"/>
              <w:end w:w="110" w:type="dxa"/>
            </w:tcMar>
          </w:tcPr>
          <w:p>
            <w:pPr>
              <w:pStyle w:val="TableText"/>
            </w:pPr>
            <w:r>
              <w:rPr/>
              <w:t>8708.70</w:t>
            </w:r>
          </w:p>
        </w:tc>
        <w:tc>
          <w:tcPr>
            <w:tcW w:type="dxa" w:w="4680"/>
            <w:tcMar>
              <w:top w:w="70" w:type="dxa"/>
              <w:start w:w="110" w:type="dxa"/>
              <w:bottom w:w="70" w:type="dxa"/>
              <w:end w:w="110" w:type="dxa"/>
            </w:tcMar>
          </w:tcPr>
          <w:p>
            <w:pPr>
              <w:pStyle w:val="TableText"/>
            </w:pPr>
            <w:r>
              <w:rPr/>
              <w:t>Road wheels and parts and accessories thereof</w:t>
            </w:r>
          </w:p>
        </w:tc>
      </w:tr>
      <w:tr>
        <w:trPr>
          <w:cantSplit/>
        </w:trPr>
        <w:tc>
          <w:tcPr>
            <w:tcW w:type="dxa" w:w="4680"/>
            <w:shd w:fill="F5F7F8" w:val="clear" w:color="auto"/>
            <w:tcMar>
              <w:top w:w="70" w:type="dxa"/>
              <w:start w:w="110" w:type="dxa"/>
              <w:bottom w:w="70" w:type="dxa"/>
              <w:end w:w="110" w:type="dxa"/>
            </w:tcMar>
          </w:tcPr>
          <w:p>
            <w:pPr>
              <w:pStyle w:val="TableText"/>
            </w:pPr>
            <w:r>
              <w:rPr/>
              <w:t>8708.80</w:t>
            </w:r>
          </w:p>
        </w:tc>
        <w:tc>
          <w:tcPr>
            <w:tcW w:type="dxa" w:w="4680"/>
            <w:shd w:fill="F5F7F8" w:val="clear" w:color="auto"/>
            <w:tcMar>
              <w:top w:w="70" w:type="dxa"/>
              <w:start w:w="110" w:type="dxa"/>
              <w:bottom w:w="70" w:type="dxa"/>
              <w:end w:w="110" w:type="dxa"/>
            </w:tcMar>
          </w:tcPr>
          <w:p>
            <w:pPr>
              <w:pStyle w:val="TableText"/>
            </w:pPr>
            <w:r>
              <w:rPr/>
              <w:t>Suspension systems and parts thereof (including shock absorbers)</w:t>
            </w:r>
          </w:p>
        </w:tc>
      </w:tr>
      <w:tr>
        <w:trPr>
          <w:cantSplit/>
        </w:trPr>
        <w:tc>
          <w:tcPr>
            <w:tcW w:type="dxa" w:w="4680"/>
            <w:tcMar>
              <w:top w:w="70" w:type="dxa"/>
              <w:start w:w="110" w:type="dxa"/>
              <w:bottom w:w="70" w:type="dxa"/>
              <w:end w:w="110" w:type="dxa"/>
            </w:tcMar>
          </w:tcPr>
          <w:p>
            <w:pPr>
              <w:pStyle w:val="TableText"/>
            </w:pPr>
            <w:r>
              <w:rPr/>
              <w:t>8708.91</w:t>
            </w:r>
          </w:p>
        </w:tc>
        <w:tc>
          <w:tcPr>
            <w:tcW w:type="dxa" w:w="4680"/>
            <w:tcMar>
              <w:top w:w="70" w:type="dxa"/>
              <w:start w:w="110" w:type="dxa"/>
              <w:bottom w:w="70" w:type="dxa"/>
              <w:end w:w="110" w:type="dxa"/>
            </w:tcMar>
          </w:tcPr>
          <w:p>
            <w:pPr>
              <w:pStyle w:val="TableText"/>
            </w:pPr>
            <w:r>
              <w:rPr/>
              <w:t>Radiators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8708.92</w:t>
            </w:r>
          </w:p>
        </w:tc>
        <w:tc>
          <w:tcPr>
            <w:tcW w:type="dxa" w:w="4680"/>
            <w:shd w:fill="F5F7F8" w:val="clear" w:color="auto"/>
            <w:tcMar>
              <w:top w:w="70" w:type="dxa"/>
              <w:start w:w="110" w:type="dxa"/>
              <w:bottom w:w="70" w:type="dxa"/>
              <w:end w:w="110" w:type="dxa"/>
            </w:tcMar>
          </w:tcPr>
          <w:p>
            <w:pPr>
              <w:pStyle w:val="TableText"/>
            </w:pPr>
            <w:r>
              <w:rPr/>
              <w:t>Silencers (mufflers) and exhaust pipes; parts thereof</w:t>
            </w:r>
          </w:p>
        </w:tc>
      </w:tr>
      <w:tr>
        <w:trPr>
          <w:cantSplit/>
        </w:trPr>
        <w:tc>
          <w:tcPr>
            <w:tcW w:type="dxa" w:w="4680"/>
            <w:tcMar>
              <w:top w:w="70" w:type="dxa"/>
              <w:start w:w="110" w:type="dxa"/>
              <w:bottom w:w="70" w:type="dxa"/>
              <w:end w:w="110" w:type="dxa"/>
            </w:tcMar>
          </w:tcPr>
          <w:p>
            <w:pPr>
              <w:pStyle w:val="TableText"/>
            </w:pPr>
            <w:r>
              <w:rPr/>
              <w:t>8708.93</w:t>
            </w:r>
          </w:p>
        </w:tc>
        <w:tc>
          <w:tcPr>
            <w:tcW w:type="dxa" w:w="4680"/>
            <w:tcMar>
              <w:top w:w="70" w:type="dxa"/>
              <w:start w:w="110" w:type="dxa"/>
              <w:bottom w:w="70" w:type="dxa"/>
              <w:end w:w="110" w:type="dxa"/>
            </w:tcMar>
          </w:tcPr>
          <w:p>
            <w:pPr>
              <w:pStyle w:val="TableText"/>
            </w:pPr>
            <w:r>
              <w:rPr/>
              <w:t>Clutches and</w:t>
            </w:r>
          </w:p>
        </w:tc>
      </w:tr>
    </w:tbl>
    <w:p>
      <w:pPr>
        <w:pStyle w:val="Normal"/>
      </w:pPr>
      <w:r>
        <w:rPr>
          <w:b w:val="0"/>
        </w:rPr>
        <w:t>parts thereof 8708.94 Steering wheels, steering columns and steering boxes; parts thereof 8708.95 Safety airbags with inflator system; parts thereof 8708.99 Other parts and accessories of motor vehicles of headings 87.01 to 87.05 9401.20 Seats of a kind used for motor vehicles 4-B-1-42</w:t>
      </w:r>
    </w:p>
    <w:p>
      <w:pPr>
        <w:pStyle w:val="Normal"/>
      </w:pPr>
      <w:r>
        <w:rPr>
          <w:b/>
        </w:rPr>
        <w:t>TABLE E: COMPLEMENTARY PARTS FOR HEAVY TRUCKS</w:t>
      </w:r>
    </w:p>
    <w:p>
      <w:pPr>
        <w:pStyle w:val="Normal"/>
      </w:pPr>
      <w:r>
        <w:rPr>
          <w:b w:val="0"/>
        </w:rPr>
        <w:t>Note: The Regional Value Content requirements set out in Article 4 of this Appendix apply to a good for use in a heavy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8413.50</w:t>
            </w:r>
          </w:p>
        </w:tc>
        <w:tc>
          <w:tcPr>
            <w:tcW w:type="dxa" w:w="4680"/>
            <w:tcMar>
              <w:top w:w="70" w:type="dxa"/>
              <w:start w:w="110" w:type="dxa"/>
              <w:bottom w:w="70" w:type="dxa"/>
              <w:end w:w="110" w:type="dxa"/>
            </w:tcMar>
          </w:tcPr>
          <w:p>
            <w:pPr>
              <w:pStyle w:val="TableText"/>
            </w:pPr>
            <w:r>
              <w:rPr/>
              <w:t>Other reciprocating positive displacement pumps</w:t>
            </w:r>
          </w:p>
        </w:tc>
      </w:tr>
      <w:tr>
        <w:trPr>
          <w:cantSplit/>
        </w:trPr>
        <w:tc>
          <w:tcPr>
            <w:tcW w:type="dxa" w:w="4680"/>
            <w:shd w:fill="F5F7F8" w:val="clear" w:color="auto"/>
            <w:tcMar>
              <w:top w:w="70" w:type="dxa"/>
              <w:start w:w="110" w:type="dxa"/>
              <w:bottom w:w="70" w:type="dxa"/>
              <w:end w:w="110" w:type="dxa"/>
            </w:tcMar>
          </w:tcPr>
          <w:p>
            <w:pPr>
              <w:pStyle w:val="TableText"/>
            </w:pPr>
            <w:r>
              <w:rPr/>
              <w:t>Ex 8479.89</w:t>
            </w:r>
          </w:p>
        </w:tc>
        <w:tc>
          <w:tcPr>
            <w:tcW w:type="dxa" w:w="4680"/>
            <w:shd w:fill="F5F7F8" w:val="clear" w:color="auto"/>
            <w:tcMar>
              <w:top w:w="70" w:type="dxa"/>
              <w:start w:w="110" w:type="dxa"/>
              <w:bottom w:w="70" w:type="dxa"/>
              <w:end w:w="110" w:type="dxa"/>
            </w:tcMar>
          </w:tcPr>
          <w:p>
            <w:pPr>
              <w:pStyle w:val="TableText"/>
            </w:pPr>
            <w:r>
              <w:rPr/>
              <w:t>Electronic brake systems, including ABS and ESC systems</w:t>
            </w:r>
          </w:p>
        </w:tc>
      </w:tr>
      <w:tr>
        <w:trPr>
          <w:cantSplit/>
        </w:trPr>
        <w:tc>
          <w:tcPr>
            <w:tcW w:type="dxa" w:w="4680"/>
            <w:tcMar>
              <w:top w:w="70" w:type="dxa"/>
              <w:start w:w="110" w:type="dxa"/>
              <w:bottom w:w="70" w:type="dxa"/>
              <w:end w:w="110" w:type="dxa"/>
            </w:tcMar>
          </w:tcPr>
          <w:p>
            <w:pPr>
              <w:pStyle w:val="TableText"/>
            </w:pPr>
            <w:r>
              <w:rPr/>
              <w:t>8482.10</w:t>
            </w:r>
          </w:p>
        </w:tc>
        <w:tc>
          <w:tcPr>
            <w:tcW w:type="dxa" w:w="4680"/>
            <w:tcMar>
              <w:top w:w="70" w:type="dxa"/>
              <w:start w:w="110" w:type="dxa"/>
              <w:bottom w:w="70" w:type="dxa"/>
              <w:end w:w="110" w:type="dxa"/>
            </w:tcMar>
          </w:tcPr>
          <w:p>
            <w:pPr>
              <w:pStyle w:val="TableText"/>
            </w:pPr>
            <w:r>
              <w:rPr/>
              <w:t>Ball bearings</w:t>
            </w:r>
          </w:p>
        </w:tc>
      </w:tr>
      <w:tr>
        <w:trPr>
          <w:cantSplit/>
        </w:trPr>
        <w:tc>
          <w:tcPr>
            <w:tcW w:type="dxa" w:w="4680"/>
            <w:shd w:fill="F5F7F8" w:val="clear" w:color="auto"/>
            <w:tcMar>
              <w:top w:w="70" w:type="dxa"/>
              <w:start w:w="110" w:type="dxa"/>
              <w:bottom w:w="70" w:type="dxa"/>
              <w:end w:w="110" w:type="dxa"/>
            </w:tcMar>
          </w:tcPr>
          <w:p>
            <w:pPr>
              <w:pStyle w:val="TableText"/>
            </w:pPr>
            <w:r>
              <w:rPr/>
              <w:t>8482.20</w:t>
            </w:r>
          </w:p>
        </w:tc>
        <w:tc>
          <w:tcPr>
            <w:tcW w:type="dxa" w:w="4680"/>
            <w:shd w:fill="F5F7F8" w:val="clear" w:color="auto"/>
            <w:tcMar>
              <w:top w:w="70" w:type="dxa"/>
              <w:start w:w="110" w:type="dxa"/>
              <w:bottom w:w="70" w:type="dxa"/>
              <w:end w:w="110" w:type="dxa"/>
            </w:tcMar>
          </w:tcPr>
          <w:p>
            <w:pPr>
              <w:pStyle w:val="TableText"/>
            </w:pPr>
            <w:r>
              <w:rPr/>
              <w:t>Tapered roller bearings, including cone and tapered roller assemblies</w:t>
            </w:r>
          </w:p>
        </w:tc>
      </w:tr>
      <w:tr>
        <w:trPr>
          <w:cantSplit/>
        </w:trPr>
        <w:tc>
          <w:tcPr>
            <w:tcW w:type="dxa" w:w="4680"/>
            <w:tcMar>
              <w:top w:w="70" w:type="dxa"/>
              <w:start w:w="110" w:type="dxa"/>
              <w:bottom w:w="70" w:type="dxa"/>
              <w:end w:w="110" w:type="dxa"/>
            </w:tcMar>
          </w:tcPr>
          <w:p>
            <w:pPr>
              <w:pStyle w:val="TableText"/>
            </w:pPr>
            <w:r>
              <w:rPr/>
              <w:t>8482.30</w:t>
            </w:r>
          </w:p>
        </w:tc>
        <w:tc>
          <w:tcPr>
            <w:tcW w:type="dxa" w:w="4680"/>
            <w:tcMar>
              <w:top w:w="70" w:type="dxa"/>
              <w:start w:w="110" w:type="dxa"/>
              <w:bottom w:w="70" w:type="dxa"/>
              <w:end w:w="110" w:type="dxa"/>
            </w:tcMar>
          </w:tcPr>
          <w:p>
            <w:pPr>
              <w:pStyle w:val="TableText"/>
            </w:pPr>
            <w:r>
              <w:rPr/>
              <w:t>Spherical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8482.40</w:t>
            </w:r>
          </w:p>
        </w:tc>
        <w:tc>
          <w:tcPr>
            <w:tcW w:type="dxa" w:w="4680"/>
            <w:shd w:fill="F5F7F8" w:val="clear" w:color="auto"/>
            <w:tcMar>
              <w:top w:w="70" w:type="dxa"/>
              <w:start w:w="110" w:type="dxa"/>
              <w:bottom w:w="70" w:type="dxa"/>
              <w:end w:w="110" w:type="dxa"/>
            </w:tcMar>
          </w:tcPr>
          <w:p>
            <w:pPr>
              <w:pStyle w:val="TableText"/>
            </w:pPr>
            <w:r>
              <w:rPr/>
              <w:t>Needle roller bearings</w:t>
            </w:r>
          </w:p>
        </w:tc>
      </w:tr>
      <w:tr>
        <w:trPr>
          <w:cantSplit/>
        </w:trPr>
        <w:tc>
          <w:tcPr>
            <w:tcW w:type="dxa" w:w="4680"/>
            <w:tcMar>
              <w:top w:w="70" w:type="dxa"/>
              <w:start w:w="110" w:type="dxa"/>
              <w:bottom w:w="70" w:type="dxa"/>
              <w:end w:w="110" w:type="dxa"/>
            </w:tcMar>
          </w:tcPr>
          <w:p>
            <w:pPr>
              <w:pStyle w:val="TableText"/>
            </w:pPr>
            <w:r>
              <w:rPr/>
              <w:t>8482.50</w:t>
            </w:r>
          </w:p>
        </w:tc>
        <w:tc>
          <w:tcPr>
            <w:tcW w:type="dxa" w:w="4680"/>
            <w:tcMar>
              <w:top w:w="70" w:type="dxa"/>
              <w:start w:w="110" w:type="dxa"/>
              <w:bottom w:w="70" w:type="dxa"/>
              <w:end w:w="110" w:type="dxa"/>
            </w:tcMar>
          </w:tcPr>
          <w:p>
            <w:pPr>
              <w:pStyle w:val="TableText"/>
            </w:pPr>
            <w:r>
              <w:rPr/>
              <w:t>Other cylindrical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8483.20</w:t>
            </w:r>
          </w:p>
        </w:tc>
        <w:tc>
          <w:tcPr>
            <w:tcW w:type="dxa" w:w="4680"/>
            <w:shd w:fill="F5F7F8" w:val="clear" w:color="auto"/>
            <w:tcMar>
              <w:top w:w="70" w:type="dxa"/>
              <w:start w:w="110" w:type="dxa"/>
              <w:bottom w:w="70" w:type="dxa"/>
              <w:end w:w="110" w:type="dxa"/>
            </w:tcMar>
          </w:tcPr>
          <w:p>
            <w:pPr>
              <w:pStyle w:val="TableText"/>
            </w:pPr>
            <w:r>
              <w:rPr/>
              <w:t>Bearing housings, incorporating ball or roller bearings</w:t>
            </w:r>
          </w:p>
        </w:tc>
      </w:tr>
      <w:tr>
        <w:trPr>
          <w:cantSplit/>
        </w:trPr>
        <w:tc>
          <w:tcPr>
            <w:tcW w:type="dxa" w:w="4680"/>
            <w:tcMar>
              <w:top w:w="70" w:type="dxa"/>
              <w:start w:w="110" w:type="dxa"/>
              <w:bottom w:w="70" w:type="dxa"/>
              <w:end w:w="110" w:type="dxa"/>
            </w:tcMar>
          </w:tcPr>
          <w:p>
            <w:pPr>
              <w:pStyle w:val="TableText"/>
            </w:pPr>
            <w:r>
              <w:rPr/>
              <w:t>8483.30</w:t>
            </w:r>
          </w:p>
        </w:tc>
        <w:tc>
          <w:tcPr>
            <w:tcW w:type="dxa" w:w="4680"/>
            <w:tcMar>
              <w:top w:w="70" w:type="dxa"/>
              <w:start w:w="110" w:type="dxa"/>
              <w:bottom w:w="70" w:type="dxa"/>
              <w:end w:w="110" w:type="dxa"/>
            </w:tcMar>
          </w:tcPr>
          <w:p>
            <w:pPr>
              <w:pStyle w:val="TableText"/>
            </w:pPr>
            <w:r>
              <w:rPr/>
              <w:t>Bearing housings, not incorporating ball or roller bearings; plain shaft bearings</w:t>
            </w:r>
          </w:p>
        </w:tc>
      </w:tr>
      <w:tr>
        <w:trPr>
          <w:cantSplit/>
        </w:trPr>
        <w:tc>
          <w:tcPr>
            <w:tcW w:type="dxa" w:w="4680"/>
            <w:shd w:fill="F5F7F8" w:val="clear" w:color="auto"/>
            <w:tcMar>
              <w:top w:w="70" w:type="dxa"/>
              <w:start w:w="110" w:type="dxa"/>
              <w:bottom w:w="70" w:type="dxa"/>
              <w:end w:w="110" w:type="dxa"/>
            </w:tcMar>
          </w:tcPr>
          <w:p>
            <w:pPr>
              <w:pStyle w:val="TableText"/>
            </w:pPr>
            <w:r>
              <w:rPr/>
              <w:t>8483.60</w:t>
            </w:r>
          </w:p>
        </w:tc>
        <w:tc>
          <w:tcPr>
            <w:tcW w:type="dxa" w:w="4680"/>
            <w:shd w:fill="F5F7F8" w:val="clear" w:color="auto"/>
            <w:tcMar>
              <w:top w:w="70" w:type="dxa"/>
              <w:start w:w="110" w:type="dxa"/>
              <w:bottom w:w="70" w:type="dxa"/>
              <w:end w:w="110" w:type="dxa"/>
            </w:tcMar>
          </w:tcPr>
          <w:p>
            <w:pPr>
              <w:pStyle w:val="TableText"/>
            </w:pPr>
            <w:r>
              <w:rPr/>
              <w:t>Clutches and shaft couplings (including universal joints)</w:t>
            </w:r>
          </w:p>
        </w:tc>
      </w:tr>
      <w:tr>
        <w:trPr>
          <w:cantSplit/>
        </w:trPr>
        <w:tc>
          <w:tcPr>
            <w:tcW w:type="dxa" w:w="4680"/>
            <w:tcMar>
              <w:top w:w="70" w:type="dxa"/>
              <w:start w:w="110" w:type="dxa"/>
              <w:bottom w:w="70" w:type="dxa"/>
              <w:end w:w="110" w:type="dxa"/>
            </w:tcMar>
          </w:tcPr>
          <w:p>
            <w:pPr>
              <w:pStyle w:val="TableText"/>
            </w:pPr>
            <w:r>
              <w:rPr/>
              <w:t>8505.20</w:t>
            </w:r>
          </w:p>
        </w:tc>
        <w:tc>
          <w:tcPr>
            <w:tcW w:type="dxa" w:w="4680"/>
            <w:tcMar>
              <w:top w:w="70" w:type="dxa"/>
              <w:start w:w="110" w:type="dxa"/>
              <w:bottom w:w="70" w:type="dxa"/>
              <w:end w:w="110" w:type="dxa"/>
            </w:tcMar>
          </w:tcPr>
          <w:p>
            <w:pPr>
              <w:pStyle w:val="TableText"/>
            </w:pPr>
            <w:r>
              <w:rPr/>
              <w:t>Electro-magnetic couplings, clutches and brakes</w:t>
            </w:r>
          </w:p>
        </w:tc>
      </w:tr>
      <w:tr>
        <w:trPr>
          <w:cantSplit/>
        </w:trPr>
        <w:tc>
          <w:tcPr>
            <w:tcW w:type="dxa" w:w="4680"/>
            <w:shd w:fill="F5F7F8" w:val="clear" w:color="auto"/>
            <w:tcMar>
              <w:top w:w="70" w:type="dxa"/>
              <w:start w:w="110" w:type="dxa"/>
              <w:bottom w:w="70" w:type="dxa"/>
              <w:end w:w="110" w:type="dxa"/>
            </w:tcMar>
          </w:tcPr>
          <w:p>
            <w:pPr>
              <w:pStyle w:val="TableText"/>
            </w:pPr>
            <w:r>
              <w:rPr/>
              <w:t>8505.90</w:t>
            </w:r>
          </w:p>
        </w:tc>
        <w:tc>
          <w:tcPr>
            <w:tcW w:type="dxa" w:w="4680"/>
            <w:shd w:fill="F5F7F8" w:val="clear" w:color="auto"/>
            <w:tcMar>
              <w:top w:w="70" w:type="dxa"/>
              <w:start w:w="110" w:type="dxa"/>
              <w:bottom w:w="70" w:type="dxa"/>
              <w:end w:w="110" w:type="dxa"/>
            </w:tcMar>
          </w:tcPr>
          <w:p>
            <w:pPr>
              <w:pStyle w:val="TableText"/>
            </w:pPr>
            <w:r>
              <w:rPr/>
              <w:t>Other electro-magnets; electro-magnetic or permanent magnet chucks, clamps and similar holding devices; electro-magnetic lifting heads; including parts</w:t>
            </w:r>
          </w:p>
        </w:tc>
      </w:tr>
      <w:tr>
        <w:trPr>
          <w:cantSplit/>
        </w:trPr>
        <w:tc>
          <w:tcPr>
            <w:tcW w:type="dxa" w:w="4680"/>
            <w:tcMar>
              <w:top w:w="70" w:type="dxa"/>
              <w:start w:w="110" w:type="dxa"/>
              <w:bottom w:w="70" w:type="dxa"/>
              <w:end w:w="110" w:type="dxa"/>
            </w:tcMar>
          </w:tcPr>
          <w:p>
            <w:pPr>
              <w:pStyle w:val="TableText"/>
            </w:pPr>
            <w:r>
              <w:rPr/>
              <w:t>8507.60</w:t>
            </w:r>
          </w:p>
        </w:tc>
        <w:tc>
          <w:tcPr>
            <w:tcW w:type="dxa" w:w="4680"/>
            <w:tcMar>
              <w:top w:w="70" w:type="dxa"/>
              <w:start w:w="110" w:type="dxa"/>
              <w:bottom w:w="70" w:type="dxa"/>
              <w:end w:w="110" w:type="dxa"/>
            </w:tcMar>
          </w:tcPr>
          <w:p>
            <w:pPr>
              <w:pStyle w:val="TableText"/>
            </w:pPr>
            <w:r>
              <w:rPr/>
              <w:t>Lithium-ion batteries</w:t>
            </w:r>
          </w:p>
        </w:tc>
      </w:tr>
      <w:tr>
        <w:trPr>
          <w:cantSplit/>
        </w:trPr>
        <w:tc>
          <w:tcPr>
            <w:tcW w:type="dxa" w:w="4680"/>
            <w:shd w:fill="F5F7F8" w:val="clear" w:color="auto"/>
            <w:tcMar>
              <w:top w:w="70" w:type="dxa"/>
              <w:start w:w="110" w:type="dxa"/>
              <w:bottom w:w="70" w:type="dxa"/>
              <w:end w:w="110" w:type="dxa"/>
            </w:tcMar>
          </w:tcPr>
          <w:p>
            <w:pPr>
              <w:pStyle w:val="TableText"/>
            </w:pPr>
            <w:r>
              <w:rPr/>
              <w:t>8511.80</w:t>
            </w:r>
          </w:p>
        </w:tc>
        <w:tc>
          <w:tcPr>
            <w:tcW w:type="dxa" w:w="4680"/>
            <w:shd w:fill="F5F7F8" w:val="clear" w:color="auto"/>
            <w:tcMar>
              <w:top w:w="70" w:type="dxa"/>
              <w:start w:w="110" w:type="dxa"/>
              <w:bottom w:w="70" w:type="dxa"/>
              <w:end w:w="110" w:type="dxa"/>
            </w:tcMar>
          </w:tcPr>
          <w:p>
            <w:pPr>
              <w:pStyle w:val="TableText"/>
            </w:pPr>
            <w:r>
              <w:rPr/>
              <w:t>Other electrical ignition or starting equipment of a kind used for spark-ignition or compression-ignition internal combustion engines</w:t>
            </w:r>
          </w:p>
        </w:tc>
      </w:tr>
      <w:tr>
        <w:trPr>
          <w:cantSplit/>
        </w:trPr>
        <w:tc>
          <w:tcPr>
            <w:tcW w:type="dxa" w:w="4680"/>
            <w:tcMar>
              <w:top w:w="70" w:type="dxa"/>
              <w:start w:w="110" w:type="dxa"/>
              <w:bottom w:w="70" w:type="dxa"/>
              <w:end w:w="110" w:type="dxa"/>
            </w:tcMar>
          </w:tcPr>
          <w:p>
            <w:pPr>
              <w:pStyle w:val="TableText"/>
            </w:pPr>
            <w:r>
              <w:rPr/>
              <w:t>8511.90</w:t>
            </w:r>
          </w:p>
        </w:tc>
        <w:tc>
          <w:tcPr>
            <w:tcW w:type="dxa" w:w="4680"/>
            <w:tcMar>
              <w:top w:w="70" w:type="dxa"/>
              <w:start w:w="110" w:type="dxa"/>
              <w:bottom w:w="70" w:type="dxa"/>
              <w:end w:w="110" w:type="dxa"/>
            </w:tcMar>
          </w:tcPr>
          <w:p>
            <w:pPr>
              <w:pStyle w:val="TableText"/>
            </w:pPr>
            <w:r>
              <w:rPr/>
              <w:t>Parts of electrical ignition or starting equipment of a kind used for spark-ignition or</w:t>
            </w:r>
          </w:p>
        </w:tc>
      </w:tr>
    </w:tbl>
    <w:p>
      <w:pPr>
        <w:pStyle w:val="Normal"/>
      </w:pPr>
      <w:r>
        <w:t>compression-ignition internal combustion engines or generators and cut-outs of a kind used in conjunction with such engines 4-B-1-43 TABLE F PARTS FOR OTHER VEHICLES Note: The Regional Value Content requirements set out in Article 10 of this Appendix apply to a good for use in a vehicle specified in paragraphs 1 and 2 of Article 10 of this Appendix.</w:t>
      </w:r>
    </w:p>
    <w:p>
      <w:pPr>
        <w:pStyle w:val="Normal"/>
      </w:pPr>
      <w:r>
        <w:t>HS 2012 Description 40.09 Tubes, pipes and hoses 4010.31 Endless transmission belts (V-belts), V-ribbed, of an outside circumference exceeding 60 cm but not exceeding 180 cm 4010.32 Endless transmission belts (V-belts), other than V-ribbed, of an outside circumference exceeding 60 cm but not exceeding 180 cm 4010.33 Endless transmission belts (V-belts), V-ribbed, of an outside circumference exceeding 180 cm but not exceeding 240 cm 4010.34 Endless transmission belts (V-belts), other than V-ribbed, of an outside circumference exceeding 180 cm but not exceeding 240 cm 4010.39.aa Other endless transmission belts (V-belts) 40.11 New pneumatic tires, of rubber 4016.93.aa Gaskets, washers and other seals of vulcanised rubber other than hard rubber 4016.99.aa Vibration control goods 7007.11 Toughened (tempered) safety glass of a size and shape suitable for incorporation in vehicles 7007.21 Laminated safety glass of a size and shape suitable for incorporation in vehicles 7009.10 Rearview mirrors for vehicles 8301.20 Locks of a kind used for motor vehicles 8407.31 Reciprocating piston engines of a kind used for the propulsion of passenger</w:t>
      </w:r>
    </w:p>
    <w:p>
      <w:pPr>
        <w:pStyle w:val="Normal"/>
      </w:pPr>
      <w:r>
        <w:t>vehicles of Chapter 87, of a cylinder capacity not exceeding 50 cc 8407.32 Reciprocating piston engines of a kind used for the propulsion of vehicles of Chapter 87, of a cylinder capacity exceeding 50 cc but not exceeding 250 cc 4-B-1-44 8407.33 8407.34.aa 8407.34.bb 8408.20 84.09 8413.30 8414.80.aa 8414.59.aa 8415.20 8421.39.aa 8481.20 8481.30 8481.80 8482.10 through 8482.80 8483.10 8483.20 8483.30</w:t>
      </w:r>
    </w:p>
    <w:p>
      <w:pPr>
        <w:pStyle w:val="Normal"/>
      </w:pPr>
      <w:r>
        <w:t>8483.40 Reciprocating piston engines of a kind used for the propulsion of vehicles of Chapter 87, of a cylinder capacity exceeding 250 cc but not exceeding 1,000 cc Reciprocating piston engines of a kind used for the propulsion of vehicles of Chapter 87, of a cylinder capacity exceeding 1,000 cc but not exceeding 2,000cc Reciprocating piston engines of a kind used for the propulsion of vehicles of Chapter 87, of a cylinder capacity exceeding 2,000 cc Compression-ignition internal combustion piston engines of a kind used for the propulsion of vehicles of Chapter 87 Parts suitable for use solely or principally with spark-ignition internal combustion piston engines Fuel, lubricating or cooling medium pumps for internal combustion piston engines Other air or gas pumps, compressors and fans (turbochargers and superchargers for motor vehicles, where not provided for under subheading 8414.59) Other fans (turbochargers and superchargers for motor vehicles, where not provided for under subheading 8414.80) Air conditioning machines, comprising a motor-driven fan and elements for changing</w:t>
      </w:r>
    </w:p>
    <w:p>
      <w:pPr>
        <w:pStyle w:val="Normal"/>
      </w:pPr>
      <w:r>
        <w:t>the temperature and humidity, including those machines in which humidity cannot be separately regulated, of a kind used for persons, in motor vehicles Catalytic converters Valves for oleohydraulic or pneumatic transmissions Check (nonreturn) valves Other taps, cocks, valves and similar appliances, including pressure-reducing valves and thermostatically controlled valves Ball or roller bearings Transmission shafts (including cam shafts and crank shafts) and cranks Bearing housings, incorporating ball or roller bearings Bearing housings; not incorporating ball or roller bearings; plain shaft bearings Gears and gearing, other than toothed wheels, chain sprockets 4-B-1-45 8483.50 8501.10 8501.20 8501.31 8501.32.aa 8507.20.aa, 8507.30.aa, 8507.40.aa and 8507.80.aa 8511.30 8511.40 8511.50 8512.20 8512.40 ex 8519.81 8527.21 8527.29 8536.50 8536.90 8537.10.bb 8539.10 8539.21 8544.30 87.06 and other transmission elements presented separately; ball or roller screws;</w:t>
      </w:r>
    </w:p>
    <w:p>
      <w:pPr>
        <w:pStyle w:val="Normal"/>
      </w:pPr>
      <w:r>
        <w:t>gear boxes and other speed changes, including torque converters Flywheels and pulleys, including pulley blocks Electric motors and generators of an output not exceeding 37.5 W Universal AC/DC motors of an output exceeding 37.5 W Other DC motors and generators of an output not exceeding 750 W Other DC motors and generators of an output exceeding 750W but not exceeding 75 kW of a kind used for the propulsion of vehicles of Chapter 87 Batteries that provide primary source for electric cars Distributors; ignition coils Starter</w:t>
      </w:r>
    </w:p>
    <w:p>
      <w:pPr>
        <w:pStyle w:val="Normal"/>
      </w:pPr>
      <w:r>
        <w:t>motors and dual purpose starter-generators of a kind used for spark-ignition or compressing-ignition internal combustion engines Other generators Other lighting or visual signalling equipment Windshield wipers, defrosters and demisters Cassette decks Radios combined with cassette players Radios Other electrical switches, for a voltage not exceeding 1,000 V Junction boxes Motor control centers Sealed beam lamp units Tungsten halogen filament lamp Ignition wiring sets and other wiring sets of a kind used in vehicles Chassis fitted with engines, for the motor vehicles of heading 87.01 through 87.05 4-B-1-46 87.07 8708.10.aa 8708.21 8708.29.aa 8708.29.cc 8708.30 8708.40 8708.50 8708.70.aa 8708.80 8708.91 8708.92 8708.93.aa 8708.94 8708.95 8708.99.aa 8708.99.bb 8708.99.ee 8708.99.hh 9031.80 9032.89 9401.20 Bodies (including cabs) for the motor vehicles of headings 87.01 to 87.05 Bumpers (but not parts thereof) Safety seat belts Body stampings Door assemblies Brakes and servo-brakes;</w:t>
      </w:r>
    </w:p>
    <w:p>
      <w:pPr>
        <w:pStyle w:val="Normal"/>
      </w:pPr>
      <w:r>
        <w:t>parts thereof Gear boxes and parts thereof Drive axles with differential, whether or not provided with other transmission components, and non-driving axles Road wheels, but not parts or accessories thereof Suspension systems and parts thereof (including shock absorbers) Radiators and parts thereof Silencers (mufflers) and exhaust pipes; parts thereof Clutches (but not parts thereof) Steering wheels, steering columns and steering boxes; parts thereof Safety airbags with inflator systems, and parts</w:t>
      </w:r>
    </w:p>
    <w:p>
      <w:pPr>
        <w:pStyle w:val="Normal"/>
      </w:pPr>
      <w:r>
        <w:rPr>
          <w:b w:val="0"/>
        </w:rPr>
        <w:t>thereof Vibration control goods containing rubber Double flanged wheel hub units incorporating ball bearings Other parts for powertrains Other parts and accessories not provided for elsewhere in subheading 8708.99 Other measuring and checking instruments, appliances &amp; machines Other automatic regulating or controlling instruments and apparatus Seats of a kind used for motor vehicles</w:t>
      </w:r>
    </w:p>
    <w:p>
      <w:pPr>
        <w:pStyle w:val="Normal"/>
      </w:pPr>
      <w:r>
        <w:rPr>
          <w:b/>
        </w:rPr>
        <w:t>TABLE G: LIST OF COMPONENTS AND MATERIALS FOR OTHER VEHICLES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Component</w:t>
            </w:r>
          </w:p>
        </w:tc>
        <w:tc>
          <w:tcPr>
            <w:tcW w:type="dxa" w:w="4680"/>
            <w:tcBorders>
              <w:bottom w:val="single" w:sz="6" w:space="0" w:color="546E7A"/>
            </w:tcBorders>
            <w:shd w:fill="E4E9EC" w:val="clear" w:color="auto"/>
          </w:tcPr>
          <w:p>
            <w:pPr>
              <w:pStyle w:val="TableText"/>
            </w:pPr>
            <w:r>
              <w:rPr>
                <w:b/>
                <w:color w:val="37474F"/>
              </w:rPr>
              <w:t>Materials</w:t>
            </w:r>
          </w:p>
        </w:tc>
      </w:tr>
      <w:tr>
        <w:trPr>
          <w:cantSplit/>
        </w:trPr>
        <w:tc>
          <w:tcPr>
            <w:tcW w:type="dxa" w:w="4680"/>
            <w:tcMar>
              <w:top w:w="70" w:type="dxa"/>
              <w:start w:w="110" w:type="dxa"/>
              <w:bottom w:w="70" w:type="dxa"/>
              <w:end w:w="110" w:type="dxa"/>
            </w:tcMar>
          </w:tcPr>
          <w:p>
            <w:pPr>
              <w:pStyle w:val="TableText"/>
            </w:pPr>
            <w:r>
              <w:rPr/>
              <w:t>Engines provided for in heading 84.07 or 84.08</w:t>
            </w:r>
          </w:p>
        </w:tc>
        <w:tc>
          <w:tcPr>
            <w:tcW w:type="dxa" w:w="4680"/>
            <w:tcMar>
              <w:top w:w="70" w:type="dxa"/>
              <w:start w:w="110" w:type="dxa"/>
              <w:bottom w:w="70" w:type="dxa"/>
              <w:end w:w="110" w:type="dxa"/>
            </w:tcMar>
          </w:tcPr>
          <w:p>
            <w:pPr>
              <w:pStyle w:val="TableText"/>
            </w:pPr>
            <w:r>
              <w:rPr/>
              <w:t>cast block, cast head, fuel nozzle, fuel injector pumps, glow plugs, turbochargers and superchargers, electronic engine controls, intake manifold, exhaust manifold, intake/exhaust valves, crankshaft/camshaft, alternator, starter, air cleaner assembly, pistons, connecting rods and assemblies made therefrom (or rotor assemblies for rotary engines), flywheel (for manual transmissions), flexplate (for automatic transmissions), oil pan, oil pump and pressure regulator, water pump, crankshaft and camshaft gears, and radiator assemblies or charge-air coolers.</w:t>
            </w:r>
          </w:p>
        </w:tc>
      </w:tr>
      <w:tr>
        <w:trPr>
          <w:cantSplit/>
        </w:trPr>
        <w:tc>
          <w:tcPr>
            <w:tcW w:type="dxa" w:w="4680"/>
            <w:shd w:fill="F5F7F8" w:val="clear" w:color="auto"/>
            <w:tcMar>
              <w:top w:w="70" w:type="dxa"/>
              <w:start w:w="110" w:type="dxa"/>
              <w:bottom w:w="70" w:type="dxa"/>
              <w:end w:w="110" w:type="dxa"/>
            </w:tcMar>
          </w:tcPr>
          <w:p>
            <w:pPr>
              <w:pStyle w:val="TableText"/>
            </w:pPr>
            <w:r>
              <w:rPr/>
              <w:t>Gear boxes (transmissions) provided for in subheading 8708.40</w:t>
            </w:r>
          </w:p>
        </w:tc>
        <w:tc>
          <w:tcPr>
            <w:tcW w:type="dxa" w:w="4680"/>
            <w:shd w:fill="F5F7F8" w:val="clear" w:color="auto"/>
            <w:tcMar>
              <w:top w:w="70" w:type="dxa"/>
              <w:start w:w="110" w:type="dxa"/>
              <w:bottom w:w="70" w:type="dxa"/>
              <w:end w:w="110" w:type="dxa"/>
            </w:tcMar>
          </w:tcPr>
          <w:p>
            <w:pPr>
              <w:pStyle w:val="TableText"/>
            </w:pPr>
            <w:r>
              <w:rPr/>
              <w:t>(a) for manual transmissions - transmission case and clutch housing; clutch; internal shifting mechanism; gear sets, synchronizers and shafts; and (b) for torque convertor type transmissions - transmission case and convertor housing; torque convertor assembly; gear sets and clutches; and electronic transmission controls.</w:t>
            </w:r>
          </w:p>
        </w:tc>
      </w:tr>
    </w:tbl>
    <w:p>
      <w:pPr>
        <w:pStyle w:val="Normal"/>
      </w:pPr>
      <w:r>
        <w:t>4-B-1-48</w:t>
      </w:r>
    </w:p>
    <w:p>
      <w:pPr>
        <w:pStyle w:val="ModHeading"/>
      </w:pPr>
      <w:bookmarkStart w:id="900163" w:name="_Toc300000162"/>
      <w:r>
        <w:t>CHAPTER 4: CUSMA 2.0 MODERNIZATION PROVISIONS</w:t>
      </w:r>
      <w:bookmarkEnd w:id="900163"/>
    </w:p>
    <w:p>
      <w:pPr>
        <w:pStyle w:val="Normal"/>
      </w:pPr>
      <w:r>
        <w:rPr>
          <w:i/>
        </w:rPr>
        <w:t>The provisions of this Part amend Chapter 4 (Rules of Origin) and its Annexes. Product-specific rules in Annex 4-B, including the Appendix on automotive goods, remain in force except as expressly amended below.</w:t>
      </w:r>
    </w:p>
    <w:p>
      <w:pPr>
        <w:pStyle w:val="Heading2"/>
      </w:pPr>
      <w:bookmarkStart w:id="900164" w:name="_Toc300000163"/>
      <w:r>
        <w:t>Article 4.A: Modernized General Origin Provisions</w:t>
      </w:r>
      <w:bookmarkEnd w:id="900164"/>
    </w:p>
    <w:p>
      <w:pPr>
        <w:pStyle w:val="Heading2"/>
      </w:pPr>
      <w:bookmarkStart w:id="900165" w:name="_Toc300000164"/>
      <w:r>
        <w:t>Article 4.A.1: North American Origin as the Organizing Concept</w:t>
      </w:r>
      <w:bookmarkEnd w:id="900165"/>
    </w:p>
    <w:p>
      <w:pPr>
        <w:pStyle w:val="Normal"/>
      </w:pPr>
      <w:r>
        <w:t>1. Origin under this Agreement is North American origin. A good is originating when it satisfies the applicable rule of origin in this Chapter and Annex 4-B, and originating status is a single regional status; it is not conditioned on the share of the good’s content attributable to any one Party.</w:t>
      </w:r>
    </w:p>
    <w:p>
      <w:pPr>
        <w:pStyle w:val="Normal"/>
      </w:pPr>
      <w:r>
        <w:t>2. For greater certainty, the accumulation rule in Article 4.11 (Accumulation) applies to production carried out in the territories of all Parties collectively, and no provision of this Agreement establishes a minimum content requirement measured by reference to a single Party’s territory.</w:t>
      </w:r>
    </w:p>
    <w:p>
      <w:pPr>
        <w:pStyle w:val="Normal"/>
      </w:pPr>
      <w:r>
        <w:t>3. No Party shall administer this Chapter so as to impose, in practice, a single-Party content requirement as a condition of preferential treatment.</w:t>
      </w:r>
    </w:p>
    <w:p>
      <w:pPr>
        <w:pStyle w:val="Normal"/>
      </w:pPr>
      <w:r>
        <w:t>4. A Party-specific content condition shall not be used to deny preferential treatment to a good that otherwise satisfies the applicable Party-neutral rule of origin under this Chapter and Annex 4-B. A measure alleged to operate as a de facto Party-specific content quota may be reviewed under Article 4.A.2C.</w:t>
      </w:r>
    </w:p>
    <w:p>
      <w:pPr>
        <w:pStyle w:val="Heading2"/>
      </w:pPr>
      <w:bookmarkStart w:id="900166" w:name="_Toc300000165"/>
      <w:r>
        <w:t>Article 4.A.2: Automotive Goods, Modernized Architecture</w:t>
      </w:r>
      <w:bookmarkEnd w:id="900166"/>
    </w:p>
    <w:p>
      <w:pPr>
        <w:pStyle w:val="Normal"/>
      </w:pPr>
      <w:r>
        <w:t>1. The regional value content thresholds for passenger vehicles, light trucks, heavy trucks, and parts in the Appendix to Annex 4-B remain as provided therein, subject to the transition schedules in force.</w:t>
      </w:r>
    </w:p>
    <w:p>
      <w:pPr>
        <w:pStyle w:val="Normal"/>
      </w:pPr>
      <w:r>
        <w:t>2. Notwithstanding paragraph 1, the Parties shall, within 24 months after entry into force of the Protocol of Modernization, conclude a technical modernization of the Appendix to Annex 4-B through a Commission instrument adopted by consensus, published by the Secretariat, and incorporated into the applicable Annex or implementing schedule in accordance with this Agreement. The modernization shall address, at a minimum:</w:t>
      </w:r>
    </w:p>
    <w:p>
      <w:pPr>
        <w:pStyle w:val="Normal"/>
      </w:pPr>
      <w:r>
        <w:t>(a) the treatment of electric vehicles, including batteries, cells, cathode and anode active materials, power electronics, and electric drive units, as core, principal, or complementary parts as technically appropriate;</w:t>
      </w:r>
    </w:p>
    <w:p>
      <w:pPr>
        <w:pStyle w:val="Normal"/>
      </w:pPr>
      <w:r>
        <w:t>(b) the treatment of vehicle software, sensors, and electronic systems in the value calculation, including their valuation where bundled with originating hardware;</w:t>
      </w:r>
    </w:p>
    <w:p>
      <w:pPr>
        <w:pStyle w:val="Normal"/>
      </w:pPr>
      <w:r>
        <w:t>(c) a clarified and simplified regional value content methodology, with reduced scope for divergent interpretation, including standardized calculation guidance and worked examples adopted by the Committee on Rules of Origin;</w:t>
      </w:r>
    </w:p>
    <w:p>
      <w:pPr>
        <w:pStyle w:val="Normal"/>
      </w:pPr>
      <w:r>
        <w:t>(d) the treatment of recycled, refurbished, and remanufactured content in accordance with Article 4.A.4; and</w:t>
      </w:r>
    </w:p>
    <w:p>
      <w:pPr>
        <w:pStyle w:val="Normal"/>
      </w:pPr>
      <w:r>
        <w:t>(e) transition periods sufficient to protect investments made in reliance on the rules in force, with not less than 36 months’ phase-in for any increased threshold.</w:t>
      </w:r>
    </w:p>
    <w:p>
      <w:pPr>
        <w:pStyle w:val="Normal"/>
      </w:pPr>
      <w:r>
        <w:t>3. Pending conclusion, adoption, implementation, or technical operation of the modernization in paragraph 2, the Appendix, uniform rules, preferential treatment, and other automotive rights otherwise in force shall continue without interruption. No Party shall apply a unilateral methodology, interpretation, auditing practice, tariff, surcharge, fee, quota, suspension of preference, or other covered border measure on the ground that the modernization, a traceability standard, a certification method, a technical platform, or an implementing methodology is incomplete, delayed, disputed, unavailable, or not yet operational, unless that measure is independently authorized under another provision of this Agreement and satisfies every condition of that provision. No Party may invoke as grounds for an emergency, safeguard, essential-security, transitional, corrective, or other trade restriction a condition materially created, prolonged, or aggravated by that Party's own failure to complete, adopt, implement, or operate the modernization. If the modernization has not been adopted by the 24-month deadline, the Appendix and uniform rules then in force shall continue without unilateral departure; the Committee on Rules of Origin shall publish a status report within 30 days and every 90 days thereafter until adoption, identifying unresolved technical questions without altering existing origin requirements or tariff treatment.</w:t>
      </w:r>
    </w:p>
    <w:p>
      <w:pPr>
        <w:pStyle w:val="Normal"/>
      </w:pPr>
      <w:r>
        <w:t>4. For a vehicle that fails to qualify as originating, any duty applied by a Party on importation from another Party shall be calculated so that the value of North American content, content originating in one or more Parties, is not subject to that duty; the duty base is confined to the non-originating content of the vehicle, in accordance with implementing procedures adopted by the Committee on Rules of Origin. This paragraph does not create a preferential rate; it confines the incidence of the applicable most-favored-nation duty to non-originating value.</w:t>
      </w:r>
    </w:p>
    <w:p>
      <w:pPr>
        <w:pStyle w:val="Normal"/>
      </w:pPr>
      <w:r>
        <w:t>5. Non-Originating Content Valuation. Any duty confined to the non-originating content of a non-qualifying vehicle or automotive good shall be administered exclusively under Annex 4-E (Automotive Non-Originating Content Valuation). No Party may apply that treatment until the Annex methodology, audit rules, software and engineering-cost treatment, transfer-pricing safeguards, component aggregation rules, and dispute procedures are operational.</w:t>
      </w:r>
    </w:p>
    <w:p>
      <w:pPr>
        <w:pStyle w:val="Heading2"/>
      </w:pPr>
      <w:bookmarkStart w:id="900167" w:name="_Toc300000166"/>
      <w:r>
        <w:t>Article 4.A.2A: Automotive Sector Worker and Community Support</w:t>
      </w:r>
      <w:bookmarkEnd w:id="900167"/>
    </w:p>
    <w:p>
      <w:pPr>
        <w:pStyle w:val="Normal"/>
      </w:pPr>
      <w:r>
        <w:t>The Parties recognize that Article 4.A.2 transformation will materially affect automotive workers and communities. Accordingly:</w:t>
      </w:r>
    </w:p>
    <w:p>
      <w:pPr>
        <w:pStyle w:val="Normal"/>
      </w:pPr>
      <w:r>
        <w:t>(i) The automotive sector is designated as a Core Transition Sector under Chapter 23-B.</w:t>
      </w:r>
    </w:p>
    <w:p>
      <w:pPr>
        <w:pStyle w:val="Normal"/>
      </w:pPr>
      <w:r>
        <w:t>(ii) All automotive workers displaced or materially affected by the transformations contemplated by Article 4.A.2 qualify as Affected Workers under Chapter 23-B and are entitled to income support, retraining, and benefit portability under Articles 23-B.3–23-B.5.</w:t>
      </w:r>
    </w:p>
    <w:p>
      <w:pPr>
        <w:pStyle w:val="Normal"/>
      </w:pPr>
      <w:r>
        <w:t>(iii) Communities dependent on automotive manufacturing are entitled to community resilience and diversification support under Article 23-B.6.</w:t>
      </w:r>
    </w:p>
    <w:p>
      <w:pPr>
        <w:pStyle w:val="Normal"/>
      </w:pPr>
      <w:r>
        <w:t>(iv) The Parties shall coordinate automotive workforce development through the North American Skills and Credential Recognition Board established under Article 23-B.4(f), ensuring that automotive retraining produces credentials recognized across all three Parties.</w:t>
      </w:r>
    </w:p>
    <w:p>
      <w:pPr>
        <w:pStyle w:val="Heading3"/>
      </w:pPr>
      <w:r>
        <w:t>ANNEX 4-E: AUTOMOTIVE NON-ORIGINATING CONTENT VALUATION AND TRANSITION</w:t>
      </w:r>
    </w:p>
    <w:p>
      <w:pPr>
        <w:pStyle w:val="Normal"/>
      </w:pPr>
      <w:r>
        <w:t>1. Scope. This Annex governs any treatment that confines duty to the verified non-originating value of a non-qualifying vehicle or automotive good.</w:t>
      </w:r>
    </w:p>
    <w:p>
      <w:pPr>
        <w:pStyle w:val="Normal"/>
      </w:pPr>
      <w:r>
        <w:t>2. Valuation hierarchy. Non-originating value shall be established, in order of preference, from verified transaction values of non-originating materials; audited producer cost records; approved component-family averages; or another transparent method adopted by consensus through a published Commission instrument. Software, engineering, tooling, royalties, assists, transfer pricing, recovered materials, and related-party transactions shall be treated under published uniform rules. No unpublished or ad hoc valuation method shall bind a trader.</w:t>
      </w:r>
    </w:p>
    <w:p>
      <w:pPr>
        <w:pStyle w:val="Normal"/>
      </w:pPr>
      <w:r>
        <w:t>3. Aggregation. A producer may aggregate identical or substantially similar components by approved component family. Customs shall not require item-by-item valuation where aggregation produces an equally reliable result.</w:t>
      </w:r>
    </w:p>
    <w:p>
      <w:pPr>
        <w:pStyle w:val="Normal"/>
      </w:pPr>
      <w:r>
        <w:t>4. Audit and dispute protection. Customs shall disclose the methodology, data requests, adjustments, and calculation. Disputed amounts may be secured by bond or escrow pending expedited review; no Party may impose duty on originating value merely because valuation of non-originating value remains disputed.</w:t>
      </w:r>
    </w:p>
    <w:p>
      <w:pPr>
        <w:pStyle w:val="Normal"/>
      </w:pPr>
      <w:r>
        <w:t>5. Transition. Existing automotive origin thresholds remain applicable until a modernized threshold takes effect under an adopted schedule. Any increase in a regional-value or sector-specific threshold receives at least 36 months of phase-in after adoption unless all Parties agree otherwise. Heavy-truck and other legacy phase-ins shall be displayed by the Secretariat in a consolidated transition table stating the applicable threshold, effective date, vehicle class, and legal source.</w:t>
      </w:r>
    </w:p>
    <w:p>
      <w:pPr>
        <w:pStyle w:val="Normal"/>
      </w:pPr>
      <w:r>
        <w:t>6. The Commission shall adopt the initial technical valuation schedule within 12 months of entry into force and shall publish worked examples for a passenger vehicle, light truck, heavy truck, battery-electric vehicle, and vehicle containing recovered or remanufactured components. If the schedule is not adopted by that deadline, the valuation methods and automotive origin rules otherwise in force shall continue, and the non-originating-content duty treatment in Article 4.A.2(4) shall not become operational until the published schedule required by this paragraph is adopted.</w:t>
      </w:r>
    </w:p>
    <w:p>
      <w:pPr>
        <w:pStyle w:val="Heading2"/>
      </w:pPr>
      <w:bookmarkStart w:id="900168" w:name="_Toc300000167"/>
      <w:r>
        <w:t>Article 4.A.3: Steel and Aluminum, Melted and Poured; Smelted and Cast</w:t>
      </w:r>
      <w:bookmarkEnd w:id="900168"/>
    </w:p>
    <w:p>
      <w:pPr>
        <w:pStyle w:val="Normal"/>
      </w:pPr>
      <w:r>
        <w:t>1. The steel requirement of footnote 74 to the Appendix to Annex 4-B (as amended by the 2019 Protocol) remains in force as provided therein.</w:t>
      </w:r>
    </w:p>
    <w:p>
      <w:pPr>
        <w:pStyle w:val="Normal"/>
      </w:pPr>
      <w:r>
        <w:t>2. Within 18 months after entry into force of the Protocol of Modernization, the Parties shall adopt through the Committee on Rules of Origin: (a) the aluminum requirements contemplated by footnote 74; and (b) procedures under which compliance with melted-and-poured and smelted-and-cast requirements is certified through the traceability standards of Article 37.4. In developing those requirements, the Committee shall consider verified North American production capacity, commercially available grades and forms, supply concentration, material import dependence, technical specifications, transition needs, and reasonably foreseeable circumvention risks; shall provide a reasonable opportunity for public comment; and shall apply criteria on a Party-neutral basis. The adopted requirements and traceability procedures shall be published before taking effect. If no new aluminum requirement has been adopted by the deadline, the requirements otherwise in force remain applicable until a replacement is adopted in accordance with this paragraph.</w:t>
      </w:r>
    </w:p>
    <w:p>
      <w:pPr>
        <w:pStyle w:val="Normal"/>
      </w:pPr>
      <w:r>
        <w:t>3. A requirement described in this Article operates as a rule of origin only. It does not authorize a covered border measure, and no special sectoral origin test applies to originating goods outside this Agreement’s rules of origin except as provided herein.</w:t>
      </w:r>
    </w:p>
    <w:p>
      <w:pPr>
        <w:pStyle w:val="Heading2"/>
      </w:pPr>
      <w:bookmarkStart w:id="900169" w:name="_Toc300000168"/>
      <w:r>
        <w:t>Article 4.A.4: Circular Production, Recycling, Recovery, Refurbishment, Remanufacturing</w:t>
      </w:r>
      <w:bookmarkEnd w:id="900169"/>
    </w:p>
    <w:p>
      <w:pPr>
        <w:pStyle w:val="Normal"/>
      </w:pPr>
      <w:r>
        <w:t>1. Production within a Party consisting of recycling, recovery of materials, refining of secondary materials, refurbishment, or remanufacturing confers originating status where the recovered or remanufactured good satisfies the applicable rule of origin, treating the recovery or remanufacturing operations as qualifying production.</w:t>
      </w:r>
    </w:p>
    <w:p>
      <w:pPr>
        <w:pStyle w:val="Normal"/>
      </w:pPr>
      <w:r>
        <w:t>2. Recovered materials collected in a Party are originating materials for the purposes of this Chapter.</w:t>
      </w:r>
    </w:p>
    <w:p>
      <w:pPr>
        <w:pStyle w:val="Normal"/>
      </w:pPr>
      <w:r>
        <w:t>3. A remanufactured good, as defined in Article 2.1, that is recovered in the territory of one or more Parties and satisfies the applicable rule is originating.</w:t>
      </w:r>
    </w:p>
    <w:p>
      <w:pPr>
        <w:pStyle w:val="Normal"/>
      </w:pPr>
      <w:r>
        <w:t>4. The Committee on Rules of Origin shall adopt technical criteria for this Article within 18 months, including chain-of-custody documentation proportionate to risk.</w:t>
      </w:r>
    </w:p>
    <w:p>
      <w:pPr>
        <w:pStyle w:val="Normal"/>
      </w:pPr>
      <w:r>
        <w:t>5. Minimum Chain-of-Custody Standard. Risk-proportionate documentation shall in all cases identify the supplying entity, material or component category, quantity or value, recovery or remanufacturing operation, country of operation, transaction date, and linkage to the resulting originating good. Higher-risk transactions may require lot-level traceability, independent certification, or physical verification under published criteria. The Committee on Rules of Origin shall maintain a standardized electronic record template.</w:t>
      </w:r>
    </w:p>
    <w:p>
      <w:pPr>
        <w:pStyle w:val="Heading2"/>
      </w:pPr>
      <w:bookmarkStart w:id="900170" w:name="_Toc300000169"/>
      <w:r>
        <w:t>Article 4.A.5: Semiconductors and Embedded Electronics</w:t>
      </w:r>
      <w:bookmarkEnd w:id="900170"/>
    </w:p>
    <w:p>
      <w:pPr>
        <w:pStyle w:val="Normal"/>
      </w:pPr>
      <w:r>
        <w:t>1. For goods incorporating semiconductors or embedded microelectronics for which no North American substitute is reasonably available, testing, packaging, programming, or final assembly within a Party may receive the treatment described in this paragraph only under published procedures adopted by the Committee on Rules of Origin and subject to the de minimis component ceiling formally established in Annex 4-B as amended. Unavailability shall be determined from documented evidence concerning commercial availability, required volume, technical quality or specification, delivery time, and reasonable commercial price, taking account of genuine qualification and safety requirements. The procedure shall identify the evidence required, provide a reasoned eligibility determination, and permit review under the ordinary origin-review procedures of this Agreement. Until the Annex 4-B ceiling and implementing procedure are in force, the ordinary origin rules apply without disregarding the non-originating status of the component under this Article.</w:t>
      </w:r>
    </w:p>
    <w:p>
      <w:pPr>
        <w:pStyle w:val="Normal"/>
      </w:pPr>
      <w:r>
        <w:t>2. The Committee on Rules of Origin shall maintain and annually review a published list of components covered by paragraph 1, based on documented market evidence. Additions, removals, and material eligibility changes shall state reasons and an effective date and shall not apply retroactively to completed entries except where required to correct fraud or material misrepresentation.</w:t>
      </w:r>
    </w:p>
    <w:p>
      <w:pPr>
        <w:pStyle w:val="Heading2"/>
      </w:pPr>
      <w:bookmarkStart w:id="900171" w:name="_Toc300000170"/>
      <w:r>
        <w:t>Article 4.A.5A: Strategic Compute and AI Hardware Origin Integrity</w:t>
      </w:r>
      <w:bookmarkEnd w:id="900171"/>
    </w:p>
    <w:p>
      <w:pPr>
        <w:pStyle w:val="Normal"/>
      </w:pPr>
      <w:r>
        <w:t>1. [COVERAGE AND PURPOSE] For purposes of this Article, a strategic compute good means a good designated in Annex 4-B or an implementing schedule adopted under this Article because its principal commercial function materially depends on advanced computation, artificial-intelligence acceleration, high-performance data processing, or strategically significant compute interconnection. A designation may include AI accelerators, accelerator servers, high-performance computing systems, strategically significant networking equipment, accelerator modules, compute boards, or other finished or intermediate compute goods meeting published technical criteria. Designation shall be product-specific, technology-neutral, and supported by a reasoned record identifying the origin-integrity or circumvention risk that warrants special treatment. Ordinary consumer electronics, general-purpose equipment, and components not meeting the published criteria remain subject to the ordinary rules of origin unless separately designated through the applicable Annex 4-B procedure.</w:t>
      </w:r>
    </w:p>
    <w:p>
      <w:pPr>
        <w:pStyle w:val="Normal"/>
      </w:pPr>
      <w:r>
        <w:t>2. [NO-MOUSTACHE ORIGIN RULE] A strategic compute good does not acquire originating status solely through relabelling, repackaging, enclosure, cosmetic modification, firmware loading, software installation, testing without material production, simple fastening, or another operation that does not materially transform the designated good or satisfy its applicable product-specific rule of origin. Final assembly within a Party may contribute to originating status where it constitutes qualifying production and the resulting good satisfies the applicable rule, but final assembly alone does not disregard non-originating strategic content except as expressly permitted under Article 4.A.5 or Annex 4-B. The Committee on Rules of Origin shall publish examples distinguishing qualifying production from minimal or circumvention-oriented operations for designated strategic compute goods. Customs authorities shall apply this paragraph on a Party-neutral basis and shall not deny originating status merely because a producer uses globally sourced inputs that are lawfully permitted by the applicable rule.</w:t>
      </w:r>
    </w:p>
    <w:p>
      <w:pPr>
        <w:pStyle w:val="Normal"/>
      </w:pPr>
      <w:r>
        <w:t>3. [STRATEGIC CONTENT AND TRACEABILITY] For a designated strategic compute good, the applicable product-specific rule may identify strategic components whose origin, value, production stage, or substantial transformation must be documented because those components materially determine the economic identity, security significance, or circumvention risk of the finished good. Strategic components may include designated processors, accelerators, high-bandwidth memory assemblies, advanced substrates, chiplets, compute modules, high-speed interconnect equipment, or other items listed through the Annex 4-B process on the basis of documented technical and market evidence. Required records shall be proportionate to risk and may use supplier declarations, commercial records, lot or batch information, manufacturing records, or other reliable evidence rather than requiring physical tracing of every low-risk component. A documentation rule under this paragraph shall protect confidential business information, avoid unnecessary duplication with Article 37.4 traceability systems, and identify the consequence of a missing or materially unreliable record before the rule takes effect.</w:t>
      </w:r>
    </w:p>
    <w:p>
      <w:pPr>
        <w:pStyle w:val="Normal"/>
      </w:pPr>
      <w:r>
        <w:t>4. [NORTH AMERICAN CAPACITY-GAP SAFE HARBOR] A producer is not disqualified from preferential treatment merely because a designated strategic compute good incorporates a non-originating semiconductor, memory product, substrate, interconnect component, or other strategic input for which no North American substitute is reasonably available in the required volume, technical quality or specification, delivery time, qualification state, and reasonable commercial price. Eligibility for that treatment shall use the documented unavailability procedure in Article 4.A.5, including reasoned determinations, published component lists, ordinary origin review, and the applicable Annex 4-B ceiling or product-specific limitation. The Committee shall distinguish genuine capacity gaps from supplier preference, temporary price arbitrage, deliberate underinvestment, or sourcing arrangements structured principally to avoid an otherwise applicable origin requirement. When North American capacity becomes commercially reasonable, removal or narrowing of the safe harbor shall occur prospectively after published notice, a reasoned market finding, and a transition period sufficient to avoid stranding bona fide production commitments.</w:t>
      </w:r>
    </w:p>
    <w:p>
      <w:pPr>
        <w:pStyle w:val="Normal"/>
      </w:pPr>
      <w:r>
        <w:t>5. [ANTI-CIRCUMVENTION AND VERIFICATION] Where a customs authority possesses objective evidence that a strategic compute good may have been routed, minimally processed, disassembled, reassembled, or documented through a Party principally to obtain preferential treatment without satisfying the applicable origin rule, it may initiate verification under the ordinary origin procedures of this Agreement. Verification shall focus on the disputed production step, strategic component, value calculation, transformation, or documentary representation and shall not presume non-origin merely from ownership, investment nationality, brand, or the presence of non-originating inputs permitted by the applicable rule. A material misrepresentation concerning the country of production, strategic-component origin, qualifying operation, or capacity-gap eligibility may result in denial or correction of preferential treatment and other consequences available under applicable law. Anti-circumvention action under this Article does not authorize a Party to prohibit lawful trade with a non-Party, dictate a producer's general sourcing policy, or convert an origin verification into an investment-screening measure.</w:t>
      </w:r>
    </w:p>
    <w:p>
      <w:pPr>
        <w:pStyle w:val="Normal"/>
      </w:pPr>
      <w:r>
        <w:t>6. [ADMINISTRATION, REVIEW, AND SOVEREIGNTY FIREWALL] The Committee on Rules of Origin shall administer this Article in coordination with the bodies responsible for Chapter 39 semiconductor and advanced-electronics cooperation and the Economic Security and Supply Chain Resilience Subcommittee, while avoiding duplicate reporting or parallel product lists. Any new designation, strategic-component list, special threshold, valuation rule, or capacity-gap limitation having binding effect shall be adopted through the authority otherwise required for Annex 4-B or another applicable implementing instrument and shall state its effective date, evidentiary basis, and transition treatment. The Committee shall review designated strategic compute goods at least annually for technological change, North American production capacity, preference utilization, compliance burden, false-positive risk, and evidence of circumvention, and shall remove obsolete special treatment when ordinary origin rules are sufficient. Nothing in this Article authorizes a Party or treaty body to direct another Party's trade or investment relations with a non-Party, compel exclusion of a lawful supplier solely because of nationality, or impose a sectoral restriction beyond the rules of origin and other authority independently provided by this Agreement.</w:t>
      </w:r>
    </w:p>
    <w:p>
      <w:pPr>
        <w:pStyle w:val="Heading2"/>
      </w:pPr>
      <w:bookmarkStart w:id="900172" w:name="_Toc300000171"/>
      <w:r>
        <w:t>Article 4.A.6: SME Access</w:t>
      </w:r>
      <w:bookmarkEnd w:id="900172"/>
    </w:p>
    <w:p>
      <w:pPr>
        <w:pStyle w:val="Normal"/>
      </w:pPr>
      <w:r>
        <w:t>1. The Committee on Rules of Origin shall publish plain-language origin guidance, model certifications, and digital self-assessment tools for small and medium-sized enterprises in the three official languages.</w:t>
      </w:r>
    </w:p>
    <w:p>
      <w:pPr>
        <w:pStyle w:val="Normal"/>
      </w:pPr>
      <w:r>
        <w:t>2. One-Audit Safe Harbor. An SME that has completed an origin or customs compliance audit without a material adverse finding shall not be subjected to a substantially duplicative audit concerning the same goods and period during the following 12 months, unless the authority possesses materially new evidence of fraud, a material change in ownership or sourcing, or another documented risk that could not reasonably have been examined in the prior audit. If a second audit proceeds without such grounds and an independent review finds the audit unjustified, the authority shall reimburse the SME’s reasonable documented legal and compliance costs attributable to the duplicative audit.</w:t>
      </w:r>
    </w:p>
    <w:p>
      <w:pPr>
        <w:pStyle w:val="Normal"/>
      </w:pPr>
      <w:r>
        <w:t>3. Simplified origin procedures, including reduced documentation and longer certification-validity periods, apply to SMEs with a clean three-year compliance record.</w:t>
      </w:r>
    </w:p>
    <w:p>
      <w:pPr>
        <w:pStyle w:val="Normal"/>
      </w:pPr>
      <w:r>
        <w:t>4. Independent Review of Repeat Audits. An SME subject to a second audit within a rolling 12-month period may request an expedited determination by the Treaty Integrity Secretariat. The customs authority bears the burden of showing reasonable grounds based on materially new evidence, fraud indicators, a material change in ownership or trade pattern, or another published risk criterion. If the Secretariat determines that the repeat audit lacked reasonable grounds, the authority shall reimburse reasonable documented legal and compliance costs, subject to published caps and review standards.</w:t>
      </w:r>
    </w:p>
    <w:p>
      <w:pPr>
        <w:pStyle w:val="Normal"/>
      </w:pPr>
      <w:r>
        <w:t>5. Single SME Compliance Gateway. Each Party shall provide a single electronic and assisted-service gateway through which a qualifying SME may obtain origin guidance, submit a consolidated certification, request an advance ruling, respond to verification requests, and obtain a plain-language statement of any deficiency.</w:t>
      </w:r>
    </w:p>
    <w:p>
      <w:pPr>
        <w:pStyle w:val="Normal"/>
      </w:pPr>
      <w:r>
        <w:t>6. An SME that uses the official form, supplies the required data fields in good faith, and has no material fraud indicator is presumed to have satisfied documentary-format requirements. A customs authority may require correction of a material error but shall not deny preferential treatment solely for a non-material formatting defect.</w:t>
      </w:r>
    </w:p>
    <w:p>
      <w:pPr>
        <w:pStyle w:val="Normal"/>
      </w:pPr>
      <w:r>
        <w:t>7. Advance rulings and binding administrative guidance requested by a qualifying SME under this Article shall be provided without application fee and, absent exceptional complexity, within 30 days. Where the authority cannot meet that period, it shall issue an interim written position on which the SME may reasonably rely pending the final ruling.</w:t>
      </w:r>
    </w:p>
    <w:p>
      <w:pPr>
        <w:pStyle w:val="Normal"/>
      </w:pPr>
      <w:r>
        <w:t>8. The Commission shall publish model forms, worked examples, and sector-specific SME guidance and shall review SME compliance costs annually. If a new procedure materially increases average SME compliance cost, the responsible committee shall identify and adopt a simplified pathway or explain publicly why simplification is not feasible.</w:t>
      </w:r>
    </w:p>
    <w:p>
      <w:pPr>
        <w:pStyle w:val="Heading2"/>
      </w:pPr>
      <w:bookmarkStart w:id="900173" w:name="_Toc300000172"/>
      <w:r>
        <w:t>Article 4.A.7: Committee on Rules of Origin, Additional Functions</w:t>
      </w:r>
      <w:bookmarkEnd w:id="900173"/>
    </w:p>
    <w:p>
      <w:pPr>
        <w:pStyle w:val="Normal"/>
      </w:pPr>
      <w:r>
        <w:t>1. The Committee on Rules of Origin (or, pending its formal constitution for these functions, the Committee on Origin Procedures jointly with the Committee on Trade in Goods) shall: (a) administer the modernization mandate in Article 4.A.2; (b) maintain the lists in Articles 4.A.5 and 4.A.6; (c) coordinate with the Economic Security and Supply Chain Resilience Subcommittee on traceability; and (d) report annually to the Commission on utilization of preferences and on pending interpretive questions. The annual report shall identify material implementation actions, published lists or technical instruments adopted during the year, preference-utilization trends, unresolved interpretive questions, and recommendations requiring Commission attention, subject to appropriate redaction of confidential information. An interpretive question that the Committee cannot resolve shall be referred to the Commission or to the dispute-settlement route otherwise available under this Agreement. The Committee may administer and recommend changes but shall not amend an origin threshold, product-specific rule, or other binding requirement except through the amendment or technical-adoption procedure expressly authorized by this Agreement.</w:t>
      </w:r>
    </w:p>
    <w:p>
      <w:pPr>
        <w:pStyle w:val="Heading2"/>
      </w:pPr>
      <w:bookmarkStart w:id="900174" w:name="_Toc300000173"/>
      <w:r>
        <w:t>Article 4.A.2E: Automotive Duty-Free Safe Harbor and Alternative Settlement Election</w:t>
      </w:r>
      <w:bookmarkEnd w:id="900174"/>
    </w:p>
    <w:p>
      <w:pPr>
        <w:pStyle w:val="Normal"/>
      </w:pPr>
      <w:r>
        <w:t>1. A covered automotive good satisfying the ordinary CUSMA automotive rules of origin, including the applicable Standard Tier regional value content requirement and all other mandatory origin conditions, receives the preferential tariff treatment otherwise provided by this Agreement. No Article 59.5A non-North-American-value calculation or earned-integration-credit calculation is required merely to obtain that ordinary treatment.</w:t>
      </w:r>
    </w:p>
    <w:p>
      <w:pPr>
        <w:pStyle w:val="Normal"/>
      </w:pPr>
      <w:r>
        <w:t>2. A covered automotive good that does not satisfy ordinary preferential qualification may, where the applicable schedule permits, elect the Article 59.5A Automotive Settlement pathway. The 13.8 percent headline rate, verified content credits, earned integration credits, and bounded effective-rate rules apply only within that elected or otherwise expressly applicable pathway.</w:t>
      </w:r>
    </w:p>
    <w:p>
      <w:pPr>
        <w:pStyle w:val="Normal"/>
      </w:pPr>
      <w:r>
        <w:t>3. Use of the ordinary duty-free pathway shall not reduce eligibility for unrelated facilitation benefits. Election of the alternative pathway does not convert legitimate Canadian, Mexican, or United States originating content into non-originating content.</w:t>
      </w:r>
    </w:p>
    <w:p>
      <w:pPr>
        <w:pStyle w:val="Normal"/>
      </w:pPr>
      <w:r>
        <w:t>4. Authorities shall determine ordinary qualification first where doing so can resolve tariff treatment more simply than applying the alternative settlement calculation.</w:t>
      </w:r>
    </w:p>
    <w:tbl>
      <w:tblPr>
        <w:tblW w:type="auto" w:w="0"/>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9072"/>
      </w:tblGrid>
      <w:tr>
        <w:tc>
          <w:tcPr>
            <w:tcW w:type="dxa" w:w="9360"/>
            <w:shd w:fill="FFF2F2" w:val="clear"/>
            <w:tcMar>
              <w:top w:w="120" w:type="dxa"/>
              <w:left w:w="160" w:type="dxa"/>
              <w:bottom w:w="120" w:type="dxa"/>
              <w:right w:w="160" w:type="dxa"/>
            </w:tcMar>
            <w:vAlign w:val="center"/>
          </w:tcPr>
          <w:p>
            <w:pPr>
              <w:pStyle w:val="TableText"/>
              <w:jc w:val="center"/>
            </w:pPr>
            <w:r>
              <w:rPr>
                <w:b/>
                <w:color w:val="C00000"/>
              </w:rPr>
              <w:t>▼  ▼  ▼   ARTICLE 4.A.2E.1: CORE-PARTS ROLL-UP CLARIFICATION   ▼  ▼  ▼</w:t>
            </w:r>
          </w:p>
          <w:p>
            <w:pPr>
              <w:pStyle w:val="TableText"/>
            </w:pPr>
            <w:r>
              <w:rPr>
                <w:b/>
                <w:color w:val="C00000"/>
              </w:rPr>
              <w:t>1. For purposes of calculating the regional value content of a passenger vehicle, light truck, heavy truck, or other covered motor vehicle, a core part that qualifies as originating under the applicable rule of origin is treated as originating for the full value of that core part in the downstream vehicle calculation.</w:t>
            </w:r>
          </w:p>
          <w:p>
            <w:pPr>
              <w:pStyle w:val="TableText"/>
            </w:pPr>
            <w:r>
              <w:rPr>
                <w:b/>
                <w:color w:val="C00000"/>
              </w:rPr>
              <w:t>2. A producer is not required, solely for that downstream vehicle calculation, to trace through the originating core part and re-identify or deduct the value of non-originating materials incorporated into that core part.</w:t>
            </w:r>
          </w:p>
          <w:p>
            <w:pPr>
              <w:pStyle w:val="TableText"/>
            </w:pPr>
            <w:r>
              <w:rPr>
                <w:b/>
                <w:color w:val="C00000"/>
              </w:rPr>
              <w:t>3. This roll-up treatment does not waive, reduce, or alter the rule of origin, regional value content threshold, steel or aluminum requirement, labour-value requirement where independently applicable, or other condition that the core part or finished vehicle must itself satisfy to obtain originating status.</w:t>
            </w:r>
          </w:p>
          <w:p>
            <w:pPr>
              <w:pStyle w:val="TableText"/>
            </w:pPr>
            <w:r>
              <w:rPr>
                <w:b/>
                <w:color w:val="C00000"/>
              </w:rPr>
              <w:t>4. A customs authority may deny roll-up treatment where it establishes fraud, material misrepresentation, sham processing, or circumvention under the anti-evasion provisions of this Agreement, but it shall not use verification, guidance, administrative practice, or a calculation methodology to reimpose tracing of embedded non-originating materials after the core part has validly qualified as originating.</w:t>
            </w:r>
          </w:p>
          <w:p>
            <w:pPr>
              <w:pStyle w:val="TableText"/>
              <w:jc w:val="center"/>
            </w:pPr>
            <w:r>
              <w:rPr>
                <w:b/>
                <w:color w:val="C00000"/>
              </w:rPr>
              <w:t>▲  ▲  ▲   EXPRESS INTERPRETIVE RULE: NO CONTRARY ADMINISTRATIVE METHODOLOGY   ▲  ▲  ▲</w:t>
            </w:r>
          </w:p>
        </w:tc>
      </w:tr>
    </w:tbl>
    <w:p>
      <w:pPr>
        <w:pStyle w:val="Heading2"/>
      </w:pPr>
      <w:bookmarkStart w:id="900175" w:name="_Toc300000174"/>
      <w:r>
        <w:t>Article 4.A.2B: Strategic Component Banking and Portfolio Flexibility</w:t>
      </w:r>
      <w:bookmarkEnd w:id="900175"/>
    </w:p>
    <w:p>
      <w:pPr>
        <w:pStyle w:val="Normal"/>
      </w:pPr>
      <w:r>
        <w:t>1. The Commission may, by consensus and through a published implementing schedule, authorize limited banking of verified excess performance in designated strategic-component categories for use against a shortfall in another covered model or model-year of the same producer or controlled producer group. The schedule shall identify eligible categories, the maximum credit or percentage that may be banked or applied, the banking period and expiry, required records, audit treatment, and the effective date.</w:t>
      </w:r>
    </w:p>
    <w:p>
      <w:pPr>
        <w:pStyle w:val="Normal"/>
      </w:pPr>
      <w:r>
        <w:t>2. Banking is an optional facilitation mechanism and shall be capped, time-limited, transparent to the verifying authority, and unavailable to cure failure of a mandatory origin rule. Credits shall expire after the period specified in the schedule, shall not be applied retroactively to entries completed before the schedule takes effect, and may not be sold to unrelated producers unless expressly authorized by amendment. Banking shall reward real excess North American production or sourcing and shall not permit paper transfers, double counting, artificial production shifting, or circumvention of a mandatory Party-neutral origin rule. A Party's decision not to participate in a banking schedule does not constitute non-compliance, reduce unrelated benefits, or authorize retaliation unless the Party has expressly accepted that schedule as binding.</w:t>
      </w:r>
    </w:p>
    <w:p>
      <w:pPr>
        <w:pStyle w:val="Normal"/>
      </w:pPr>
      <w:r>
        <w:t>3. The Secretariat shall report aggregate use without disclosing confidential business information.</w:t>
      </w:r>
    </w:p>
    <w:p>
      <w:pPr>
        <w:pStyle w:val="Heading2"/>
      </w:pPr>
      <w:bookmarkStart w:id="900176" w:name="_Toc300000175"/>
      <w:r>
        <w:t>Article 4.A.2C: De Facto Party-Specific Quota Fast Track</w:t>
      </w:r>
      <w:bookmarkEnd w:id="900176"/>
    </w:p>
    <w:p>
      <w:pPr>
        <w:pStyle w:val="Normal"/>
      </w:pPr>
      <w:r>
        <w:t>1. A Party reasonably believing that another Party's automotive incentive, credit, procurement preference, licensing condition, or related measure functions in economic substance as a prohibited Party-specific content quota may submit a substantiated notice through the existing Secretariat.</w:t>
      </w:r>
    </w:p>
    <w:p>
      <w:pPr>
        <w:pStyle w:val="Normal"/>
      </w:pPr>
      <w:r>
        <w:t>2. Technical consultations begin within 10 days; findings or recommendations should issue by Day 30; if unresolved by Day 45 the complaining Party may request expedited Chapter 31 review; a final determination should issue by Day 60 absent exceptional circumstances.</w:t>
      </w:r>
    </w:p>
    <w:p>
      <w:pPr>
        <w:pStyle w:val="Normal"/>
      </w:pPr>
      <w:r>
        <w:t>3. The review shall examine design, eligibility conditions, marginal incentives, effective commercial access, treatment of equivalent originating content, and actual or reasonably foreseeable economic effects. A stronger marginal incentive for investment in the granting Party is not alone a prohibited quota. The question is whether, in design or effect, commercially meaningful access or treatment is conditioned on achieving a Party-specific production share or whether legitimate originating content of another Party is functionally treated as non-originating.</w:t>
      </w:r>
    </w:p>
    <w:p>
      <w:pPr>
        <w:pStyle w:val="Normal"/>
      </w:pPr>
      <w:r>
        <w:t>4. Pending review, the Parties shall use the narrowest sufficient interim measure and avoid suspension of unrelated automotive trade.</w:t>
      </w:r>
    </w:p>
    <w:p>
      <w:pPr>
        <w:pStyle w:val="Heading2"/>
      </w:pPr>
      <w:bookmarkStart w:id="900177" w:name="_Toc300000176"/>
      <w:r>
        <w:t>Article 4.A.2D: Advanced Automotive Components and Electrified Powertrain Origin</w:t>
      </w:r>
      <w:bookmarkEnd w:id="900177"/>
    </w:p>
    <w:p>
      <w:pPr>
        <w:pStyle w:val="Normal"/>
      </w:pPr>
      <w:r>
        <w:rPr>
          <w:b w:val="0"/>
        </w:rPr>
      </w:r>
      <w:r>
        <w:t>1. Covered Component Families. For purposes of the automotive rules of origin, advanced automotive components include battery cells, battery modules, battery packs and systems, traction motors, integrated electric-drive units, inverters, converters, onboard chargers, battery-management systems, thermal-management systems, and successor components designated under paragraph 6. The Automotive Committee shall maintain a technology-neutral classification schedule that maps each covered component to its applicable origin methodology without altering tariff treatment by administrative guidance. A component may be classified according to its principal manufacturing function even when multiple functions are integrated into a single housing, provided that the classification does not duplicate originating value. Classification under this paragraph determines the applicable origin method only and does not by itself confer originating status.</w:t>
      </w:r>
    </w:p>
    <w:p>
      <w:pPr>
        <w:pStyle w:val="Normal"/>
      </w:pPr>
      <w:r>
        <w:rPr>
          <w:b w:val="0"/>
        </w:rPr>
      </w:r>
      <w:r>
        <w:t>2. Substantial North American Transformation. A covered component may acquire originating status through a substantial manufacturing transformation performed in the territory of one or more Parties when the applicable rule in Annex 4-E-2 is satisfied. Qualifying transformation may include cell manufacture from active materials, substantive module or pack manufacture, manufacture or integration of traction-motor and reduction-drive systems, and substantive manufacture of power-electronic assemblies, where the operation creates a commercially distinct automotive component and is supported by production records. Relabelling, repackaging, simple fastening, testing alone, software flashing alone, cosmetic finishing, or other minimal operations do not confer origin on a finished non-originating component. Lawful accumulation among the Parties applies throughout the production chain in accordance with this Chapter.</w:t>
      </w:r>
    </w:p>
    <w:p>
      <w:pPr>
        <w:pStyle w:val="Normal"/>
      </w:pPr>
      <w:r>
        <w:rPr>
          <w:b w:val="0"/>
        </w:rPr>
      </w:r>
      <w:r>
        <w:t>3. Lawful Non-Originating Inputs. The presence of lawful non-originating minerals, chemicals, semiconductor devices, subassemblies, or other inputs does not by itself prevent a covered component from qualifying as originating when the component satisfies its applicable rule of origin. Mineral and strategic-material provenance remains reportable and verifiable under Chapters 36 and 37, and non-originating content remains subject to the valuation and tracing rules expressly applicable to the component. No Party may treat the origin of a single upstream material as dispositive of the origin of the finished advanced component unless the applicable product-specific rule expressly requires that material to originate. This paragraph does not excuse circumvention, fraudulent origin claims, prohibited transshipment, or failure to satisfy an expressly applicable critical-material requirement.</w:t>
      </w:r>
    </w:p>
    <w:p>
      <w:pPr>
        <w:pStyle w:val="Normal"/>
      </w:pPr>
      <w:r>
        <w:rPr>
          <w:b w:val="0"/>
        </w:rPr>
      </w:r>
      <w:r>
        <w:t>4. Downstream Roll-Up and No Double Counting. Once a covered advanced automotive component validly qualifies as originating, its full qualifying value is treated as originating in the downstream regional-value-content calculation for the vehicle or higher-level automotive component into which it is incorporated, consistently with Article 4.A.2E.1. The verifying authority shall not reopen embedded non-originating content solely because the qualifying component is subsequently incorporated into a module, pack, electric-drive system, or finished vehicle. The same economic value may not be claimed more than once as separate originating content, strategic-component credit, recovered-material credit, or other content credit at successive stages of production. Annex 4-E-2 shall prescribe a calculation hierarchy and reconciliation method sufficient to prevent duplication while preserving lawful accumulation and roll-up.</w:t>
      </w:r>
    </w:p>
    <w:p>
      <w:pPr>
        <w:pStyle w:val="Normal"/>
      </w:pPr>
      <w:r>
        <w:rPr>
          <w:b w:val="0"/>
        </w:rPr>
      </w:r>
      <w:r>
        <w:t>5. Recovered and Circular Materials. Recovered battery materials and other automotive materials that are genuinely processed in the territory of a Party into usable production feedstock receive originating treatment to the extent provided by the applicable recovered-material rule and the circularity provisions of Chapters 37 and 59. Recovery, refining, purification, precursor production, active-material production, remanufacturing, and other qualifying processes shall be credited according to the stage at which commercially usable material is created and shall not be counted repeatedly at later stages. Mere collection, sorting, baling, or shipment of waste or scrap does not by itself convert non-originating material into an originating advanced component. The Commission shall maintain worked examples for recycled black mass, recovered cathode and anode materials, remanufactured modules, and second-life battery systems.</w:t>
      </w:r>
    </w:p>
    <w:p>
      <w:pPr>
        <w:pStyle w:val="Normal"/>
      </w:pPr>
      <w:r>
        <w:rPr>
          <w:b w:val="0"/>
        </w:rPr>
      </w:r>
      <w:r>
        <w:t>6. Successor Technologies and Rule Updates. The Automotive Committee may designate a successor technology or newly integrated component family for treatment under this Article when the technology performs a substantially equivalent or newly material automotive propulsion, energy-storage, charging, control, or thermal-management function. Before designation, the Committee shall publish the proposed classification, technical rationale, expected compliance effect, and at least one worked origin example and shall provide not less than 60 days for Party and stakeholder comment. A designation may clarify classification or methodology but may not covertly increase regional-value-content thresholds, impose a Party-specific sourcing requirement, or materially tighten an origin rule without following Article 49.4 and the amendment procedures otherwise required by this Agreement. Until a designation becomes effective, an emerging component shall be treated under the most technically analogous existing rule that does not disadvantage a producer merely because the technology is new.</w:t>
      </w:r>
    </w:p>
    <w:p>
      <w:pPr>
        <w:pStyle w:val="Normal"/>
      </w:pPr>
      <w:r>
        <w:rPr>
          <w:b w:val="0"/>
        </w:rPr>
      </w:r>
      <w:r>
        <w:t>7. Verification and Administrative Simplicity. Origin claims under this Article are administered under Chapter 5 using model-year, component-family, supplier-declaration, advance-ruling, reusable-evidence, and risk-tiered verification procedures wherever those procedures can establish compliance reliably. Authorities shall request records proportionate to the origin issue being examined and shall not require reconstruction of the complete upstream genealogy of every input when the applicable component rule can be verified through production, cost, provenance, and supplier records at the relevant transformation stage. A producer using an official methodology in good faith receives the cure, reliance, appeal, and verification-clock protections otherwise provided by this Agreement. Nothing in this Article creates a separate battery or advanced-component verification bureaucracy.</w:t>
      </w:r>
    </w:p>
    <w:p>
      <w:pPr>
        <w:pStyle w:val="Normal"/>
      </w:pPr>
      <w:r>
        <w:rPr>
          <w:b w:val="0"/>
        </w:rPr>
      </w:r>
      <w:r>
        <w:t>8. Relationship to Enhanced-Origin Incentives. Qualification under this Article establishes ordinary originating status and is distinct from any voluntary High Tier, Strategic Tier, strategic-component, investment, or enhanced-origin incentive available elsewhere in this Agreement. A producer may earn additional benefits for exceeding ordinary North American sourcing or production thresholds only where the applicable program is voluntary, transparent, Party-neutral, and consistent with Articles 36.12 and 36.13. Failure to meet an enhanced or voluntary threshold does not convert an otherwise originating component or vehicle into a non-originating good. No incentive program may be administered as a disguised single-Party content quota or as a condition for ordinary preferential tariff treatment.</w:t>
      </w:r>
    </w:p>
    <w:p>
      <w:pPr>
        <w:pStyle w:val="Heading2"/>
      </w:pPr>
      <w:bookmarkStart w:id="900178" w:name="_Toc300000177"/>
      <w:r>
        <w:t>ANNEX 4-E-1: Consolidated Automotive Tier Reference</w:t>
      </w:r>
      <w:bookmarkEnd w:id="900178"/>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2340"/>
        <w:gridCol w:w="2340"/>
        <w:gridCol w:w="2340"/>
        <w:gridCol w:w="2339"/>
      </w:tblGrid>
      <w:tr>
        <w:trPr>
          <w:tblHeader w:val="true"/>
        </w:trPr>
        <w:tc>
          <w:tcPr>
            <w:tcW w:w="2340" w:type="dxa"/>
            <w:tcBorders>
              <w:bottom w:val="single" w:sz="6" w:space="0" w:color="546E7A"/>
            </w:tcBorders>
            <w:shd w:fill="E4E9EC" w:val="clear" w:color="auto"/>
          </w:tcPr>
          <w:p>
            <w:pPr>
              <w:pStyle w:val="TableText"/>
              <w:jc w:val="left"/>
            </w:pPr>
            <w:r>
              <w:rPr>
                <w:b/>
                <w:color w:val="37474F"/>
                <w:lang w:val="en-US" w:eastAsia="en-US" w:bidi="ar-SA"/>
              </w:rPr>
              <w:t>Tier</w:t>
            </w:r>
          </w:p>
        </w:tc>
        <w:tc>
          <w:tcPr>
            <w:tcW w:w="2340" w:type="dxa"/>
            <w:tcBorders>
              <w:bottom w:val="single" w:sz="6" w:space="0" w:color="546E7A"/>
            </w:tcBorders>
            <w:shd w:fill="E4E9EC" w:val="clear" w:color="auto"/>
          </w:tcPr>
          <w:p>
            <w:pPr>
              <w:pStyle w:val="TableText"/>
              <w:jc w:val="left"/>
            </w:pPr>
            <w:r>
              <w:rPr>
                <w:b/>
                <w:color w:val="37474F"/>
                <w:lang w:val="en-US" w:eastAsia="en-US" w:bidi="ar-SA"/>
              </w:rPr>
              <w:t>RVC / Origin Threshold</w:t>
            </w:r>
          </w:p>
        </w:tc>
        <w:tc>
          <w:tcPr>
            <w:tcW w:w="2340" w:type="dxa"/>
            <w:tcBorders>
              <w:bottom w:val="single" w:sz="6" w:space="0" w:color="546E7A"/>
            </w:tcBorders>
            <w:shd w:fill="E4E9EC" w:val="clear" w:color="auto"/>
          </w:tcPr>
          <w:p>
            <w:pPr>
              <w:pStyle w:val="TableText"/>
              <w:jc w:val="left"/>
            </w:pPr>
            <w:r>
              <w:rPr>
                <w:b/>
                <w:color w:val="37474F"/>
                <w:lang w:val="en-US" w:eastAsia="en-US" w:bidi="ar-SA"/>
              </w:rPr>
              <w:t>Strategic Component / Continuity Requirement</w:t>
            </w:r>
          </w:p>
        </w:tc>
        <w:tc>
          <w:tcPr>
            <w:tcW w:w="2339" w:type="dxa"/>
            <w:tcBorders>
              <w:bottom w:val="single" w:sz="6" w:space="0" w:color="546E7A"/>
            </w:tcBorders>
            <w:shd w:fill="E4E9EC" w:val="clear" w:color="auto"/>
          </w:tcPr>
          <w:p>
            <w:pPr>
              <w:pStyle w:val="TableText"/>
              <w:jc w:val="left"/>
            </w:pPr>
            <w:r>
              <w:rPr>
                <w:b/>
                <w:color w:val="37474F"/>
                <w:lang w:val="en-US" w:eastAsia="en-US" w:bidi="ar-SA"/>
              </w:rPr>
              <w:t>Principal Treatment</w:t>
            </w:r>
          </w:p>
        </w:tc>
      </w:tr>
      <w:tr>
        <w:trPr/>
        <w:tc>
          <w:tcPr>
            <w:tcW w:w="2340" w:type="dxa"/>
            <w:tcMar>
              <w:top w:w="70" w:type="dxa"/>
              <w:start w:w="110" w:type="dxa"/>
              <w:bottom w:w="70" w:type="dxa"/>
              <w:end w:w="110" w:type="dxa"/>
            </w:tcMar>
          </w:tcPr>
          <w:p>
            <w:pPr>
              <w:pStyle w:val="TableText"/>
              <w:jc w:val="left"/>
            </w:pPr>
            <w:r>
              <w:rPr>
                <w:lang w:val="en-US" w:eastAsia="en-US" w:bidi="ar-SA"/>
              </w:rPr>
              <w:t>Standard</w:t>
            </w:r>
          </w:p>
        </w:tc>
        <w:tc>
          <w:tcPr>
            <w:tcW w:w="2340" w:type="dxa"/>
            <w:tcMar>
              <w:top w:w="70" w:type="dxa"/>
              <w:start w:w="110" w:type="dxa"/>
              <w:bottom w:w="70" w:type="dxa"/>
              <w:end w:w="110" w:type="dxa"/>
            </w:tcMar>
          </w:tcPr>
          <w:p>
            <w:pPr>
              <w:pStyle w:val="TableText"/>
              <w:jc w:val="left"/>
            </w:pPr>
            <w:r>
              <w:rPr>
                <w:lang w:val="en-US" w:eastAsia="en-US" w:bidi="ar-SA"/>
              </w:rPr>
              <w:t>75% RVC, subject to all other applicable automotive origin rules</w:t>
            </w:r>
          </w:p>
        </w:tc>
        <w:tc>
          <w:tcPr>
            <w:tcW w:w="2340" w:type="dxa"/>
            <w:tcMar>
              <w:top w:w="70" w:type="dxa"/>
              <w:start w:w="110" w:type="dxa"/>
              <w:bottom w:w="70" w:type="dxa"/>
              <w:end w:w="110" w:type="dxa"/>
            </w:tcMar>
          </w:tcPr>
          <w:p>
            <w:pPr>
              <w:pStyle w:val="TableText"/>
              <w:jc w:val="left"/>
            </w:pPr>
            <w:r>
              <w:rPr>
                <w:lang w:val="en-US" w:eastAsia="en-US" w:bidi="ar-SA"/>
              </w:rPr>
              <w:t>No additional strategic-category condition solely by reason of this table</w:t>
            </w:r>
          </w:p>
        </w:tc>
        <w:tc>
          <w:tcPr>
            <w:tcW w:w="2339" w:type="dxa"/>
            <w:tcMar>
              <w:top w:w="70" w:type="dxa"/>
              <w:start w:w="110" w:type="dxa"/>
              <w:bottom w:w="70" w:type="dxa"/>
              <w:end w:w="110" w:type="dxa"/>
            </w:tcMar>
          </w:tcPr>
          <w:p>
            <w:pPr>
              <w:pStyle w:val="TableText"/>
              <w:jc w:val="left"/>
            </w:pPr>
            <w:r>
              <w:rPr>
                <w:lang w:val="en-US" w:eastAsia="en-US" w:bidi="ar-SA"/>
              </w:rPr>
              <w:t>Ordinary CUSMA preferential treatment; duty-free where otherwise provided; no Article 59.5A calculation required.</w:t>
            </w:r>
          </w:p>
        </w:tc>
      </w:tr>
      <w:tr>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High Integration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80% RVC reference threshold, where elected or specified by the applicable automotive schedule</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Qualifying performance in at least 3 of 5 designated strategic component categories, as defined in the implementing schedule</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Eligibility for designated facilitation benefits such as expedited customs, reduced verification frequency, or approved model-year determinations; does not create a Party-specific quota.</w:t>
            </w:r>
          </w:p>
        </w:tc>
      </w:tr>
      <w:tr>
        <w:trPr/>
        <w:tc>
          <w:tcPr>
            <w:tcW w:w="2340" w:type="dxa"/>
            <w:tcMar>
              <w:top w:w="70" w:type="dxa"/>
              <w:start w:w="110" w:type="dxa"/>
              <w:bottom w:w="70" w:type="dxa"/>
              <w:end w:w="110" w:type="dxa"/>
            </w:tcMar>
          </w:tcPr>
          <w:p>
            <w:pPr>
              <w:pStyle w:val="TableText"/>
              <w:jc w:val="left"/>
            </w:pPr>
            <w:r>
              <w:rPr>
                <w:lang w:val="en-US" w:eastAsia="en-US" w:bidi="ar-SA"/>
              </w:rPr>
              <w:t>Strategic Integration</w:t>
            </w:r>
          </w:p>
        </w:tc>
        <w:tc>
          <w:tcPr>
            <w:tcW w:w="2340" w:type="dxa"/>
            <w:tcMar>
              <w:top w:w="70" w:type="dxa"/>
              <w:start w:w="110" w:type="dxa"/>
              <w:bottom w:w="70" w:type="dxa"/>
              <w:end w:w="110" w:type="dxa"/>
            </w:tcMar>
          </w:tcPr>
          <w:p>
            <w:pPr>
              <w:pStyle w:val="TableText"/>
              <w:jc w:val="left"/>
            </w:pPr>
            <w:r>
              <w:rPr>
                <w:lang w:val="en-US" w:eastAsia="en-US" w:bidi="ar-SA"/>
              </w:rPr>
              <w:t>85% RVC reference threshold, where elected or specified by the applicable automotive schedule</w:t>
            </w:r>
          </w:p>
        </w:tc>
        <w:tc>
          <w:tcPr>
            <w:tcW w:w="2340" w:type="dxa"/>
            <w:tcMar>
              <w:top w:w="70" w:type="dxa"/>
              <w:start w:w="110" w:type="dxa"/>
              <w:bottom w:w="70" w:type="dxa"/>
              <w:end w:w="110" w:type="dxa"/>
            </w:tcMar>
          </w:tcPr>
          <w:p>
            <w:pPr>
              <w:pStyle w:val="TableText"/>
              <w:jc w:val="left"/>
            </w:pPr>
            <w:r>
              <w:rPr>
                <w:lang w:val="en-US" w:eastAsia="en-US" w:bidi="ar-SA"/>
              </w:rPr>
              <w:t>Qualifying performance across all 5 designated strategic component categories plus an approved supply-chain continuity plan</w:t>
            </w:r>
          </w:p>
        </w:tc>
        <w:tc>
          <w:tcPr>
            <w:tcW w:w="2339" w:type="dxa"/>
            <w:tcMar>
              <w:top w:w="70" w:type="dxa"/>
              <w:start w:w="110" w:type="dxa"/>
              <w:bottom w:w="70" w:type="dxa"/>
              <w:end w:w="110" w:type="dxa"/>
            </w:tcMar>
          </w:tcPr>
          <w:p>
            <w:pPr>
              <w:pStyle w:val="TableText"/>
              <w:jc w:val="left"/>
            </w:pPr>
            <w:r>
              <w:rPr>
                <w:lang w:val="en-US" w:eastAsia="en-US" w:bidi="ar-SA"/>
              </w:rPr>
              <w:t>Best available non-tariff facilitation and resilience treatment authorized by the implementing schedule, subject to verification and anti-gaming rules.</w:t>
            </w:r>
          </w:p>
        </w:tc>
      </w:tr>
    </w:tbl>
    <w:p>
      <w:pPr>
        <w:pStyle w:val="Normal"/>
      </w:pPr>
      <w:r>
        <w:t>Interpretive Note. This table consolidates operational reference points and does not silently override stricter product-specific rules, steel or aluminum requirements, anti-circumvention requirements, or other mandatory automotive provisions. Where a conflict exists, the operative treaty provision controls unless formally amended.</w:t>
      </w:r>
    </w:p>
    <w:p>
      <w:pPr>
        <w:pStyle w:val="Heading2"/>
      </w:pPr>
      <w:bookmarkStart w:id="900179" w:name="_Toc300000178"/>
      <w:r>
        <w:t>ANNEX 4-E-2: Advanced Automotive Component Origin Methodology and Worked Examples</w:t>
      </w:r>
      <w:bookmarkEnd w:id="900179"/>
    </w:p>
    <w:p>
      <w:pPr>
        <w:pStyle w:val="Normal"/>
      </w:pPr>
      <w:r>
        <w:rPr>
          <w:b w:val="0"/>
        </w:rPr>
        <w:t>Purpose. This Annex operationalizes Article 4.A.2D. It supplies component-family rules, minimum transformation tests, calculation hierarchy, anti-double-counting rules, and authoritative examples while preserving Chapter 5 verification, Chapters 36 and 37 strategic-material disciplines, Article 49.4 rule-change safeguards, and Chapter 59 automotive implementation.</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2340"/>
        <w:gridCol w:w="2340"/>
        <w:gridCol w:w="2340"/>
        <w:gridCol w:w="2340"/>
      </w:tblGrid>
      <w:tr>
        <w:tc>
          <w:tcPr>
            <w:tcW w:type="dxa" w:w="2340"/>
            <w:shd w:fill="ECEFF1" w:val="clear" w:color="auto"/>
            <w:tcMar>
              <w:top w:w="80" w:type="dxa"/>
              <w:start w:w="100" w:type="dxa"/>
              <w:bottom w:w="80" w:type="dxa"/>
              <w:end w:w="100" w:type="dxa"/>
            </w:tcMar>
          </w:tcPr>
          <w:p>
            <w:pPr>
              <w:pStyle w:val="TableText"/>
            </w:pPr>
            <w:r>
              <w:rPr>
                <w:b/>
              </w:rPr>
              <w:t>Component family</w:t>
            </w:r>
          </w:p>
        </w:tc>
        <w:tc>
          <w:tcPr>
            <w:tcW w:type="dxa" w:w="2340"/>
            <w:shd w:fill="ECEFF1" w:val="clear" w:color="auto"/>
            <w:tcMar>
              <w:top w:w="80" w:type="dxa"/>
              <w:start w:w="100" w:type="dxa"/>
              <w:bottom w:w="80" w:type="dxa"/>
              <w:end w:w="100" w:type="dxa"/>
            </w:tcMar>
          </w:tcPr>
          <w:p>
            <w:pPr>
              <w:pStyle w:val="TableText"/>
            </w:pPr>
            <w:r>
              <w:rPr>
                <w:b/>
              </w:rPr>
              <w:t>Qualifying North American transformation</w:t>
            </w:r>
          </w:p>
        </w:tc>
        <w:tc>
          <w:tcPr>
            <w:tcW w:type="dxa" w:w="2340"/>
            <w:shd w:fill="ECEFF1" w:val="clear" w:color="auto"/>
            <w:tcMar>
              <w:top w:w="80" w:type="dxa"/>
              <w:start w:w="100" w:type="dxa"/>
              <w:bottom w:w="80" w:type="dxa"/>
              <w:end w:w="100" w:type="dxa"/>
            </w:tcMar>
          </w:tcPr>
          <w:p>
            <w:pPr>
              <w:pStyle w:val="TableText"/>
            </w:pPr>
            <w:r>
              <w:rPr>
                <w:b/>
              </w:rPr>
              <w:t>Operations insufficient by themselves</w:t>
            </w:r>
          </w:p>
        </w:tc>
        <w:tc>
          <w:tcPr>
            <w:tcW w:type="dxa" w:w="2340"/>
            <w:shd w:fill="ECEFF1" w:val="clear" w:color="auto"/>
            <w:tcMar>
              <w:top w:w="80" w:type="dxa"/>
              <w:start w:w="100" w:type="dxa"/>
              <w:bottom w:w="80" w:type="dxa"/>
              <w:end w:w="100" w:type="dxa"/>
            </w:tcMar>
          </w:tcPr>
          <w:p>
            <w:pPr>
              <w:pStyle w:val="TableText"/>
            </w:pPr>
            <w:r>
              <w:rPr>
                <w:b/>
              </w:rPr>
              <w:t>Verification focus</w:t>
            </w:r>
          </w:p>
        </w:tc>
      </w:tr>
      <w:tr>
        <w:tc>
          <w:tcPr>
            <w:tcW w:type="dxa" w:w="2340"/>
            <w:tcMar>
              <w:top w:w="80" w:type="dxa"/>
              <w:start w:w="100" w:type="dxa"/>
              <w:bottom w:w="80" w:type="dxa"/>
              <w:end w:w="100" w:type="dxa"/>
            </w:tcMar>
            <w:vAlign w:val="top"/>
          </w:tcPr>
          <w:p>
            <w:pPr>
              <w:pStyle w:val="TableText"/>
            </w:pPr>
            <w:r>
              <w:t>Battery cell</w:t>
            </w:r>
          </w:p>
        </w:tc>
        <w:tc>
          <w:tcPr>
            <w:tcW w:type="dxa" w:w="2340"/>
            <w:tcMar>
              <w:top w:w="80" w:type="dxa"/>
              <w:start w:w="100" w:type="dxa"/>
              <w:bottom w:w="80" w:type="dxa"/>
              <w:end w:w="100" w:type="dxa"/>
            </w:tcMar>
            <w:vAlign w:val="top"/>
          </w:tcPr>
          <w:p>
            <w:pPr>
              <w:pStyle w:val="TableText"/>
            </w:pPr>
            <w:r>
              <w:t>Manufacture of a commercially functional electrochemical cell in North America, including electrode preparation or coating, cell assembly, electrolyte filling, formation, and testing sufficient to satisfy the applicable product-specific rule.</w:t>
            </w:r>
          </w:p>
        </w:tc>
        <w:tc>
          <w:tcPr>
            <w:tcW w:type="dxa" w:w="2340"/>
            <w:tcMar>
              <w:top w:w="80" w:type="dxa"/>
              <w:start w:w="100" w:type="dxa"/>
              <w:bottom w:w="80" w:type="dxa"/>
              <w:end w:w="100" w:type="dxa"/>
            </w:tcMar>
            <w:vAlign w:val="top"/>
          </w:tcPr>
          <w:p>
            <w:pPr>
              <w:pStyle w:val="TableText"/>
            </w:pPr>
            <w:r>
              <w:t>Importing a finished cell; relabelling; testing alone; packaging; simple terminal attachment.</w:t>
            </w:r>
          </w:p>
        </w:tc>
        <w:tc>
          <w:tcPr>
            <w:tcW w:type="dxa" w:w="2340"/>
            <w:tcMar>
              <w:top w:w="80" w:type="dxa"/>
              <w:start w:w="100" w:type="dxa"/>
              <w:bottom w:w="80" w:type="dxa"/>
              <w:end w:w="100" w:type="dxa"/>
            </w:tcMar>
            <w:vAlign w:val="top"/>
          </w:tcPr>
          <w:p>
            <w:pPr>
              <w:pStyle w:val="TableText"/>
            </w:pPr>
            <w:r>
              <w:t>Production records, bill of materials, cell genealogy, costed origin calculation, and relevant Chapter 37 provenance.</w:t>
            </w:r>
          </w:p>
        </w:tc>
      </w:tr>
      <w:tr>
        <w:tc>
          <w:tcPr>
            <w:tcW w:type="dxa" w:w="2340"/>
            <w:tcMar>
              <w:top w:w="80" w:type="dxa"/>
              <w:start w:w="100" w:type="dxa"/>
              <w:bottom w:w="80" w:type="dxa"/>
              <w:end w:w="100" w:type="dxa"/>
            </w:tcMar>
            <w:vAlign w:val="top"/>
          </w:tcPr>
          <w:p>
            <w:pPr>
              <w:pStyle w:val="TableText"/>
            </w:pPr>
            <w:r>
              <w:t>Battery module</w:t>
            </w:r>
          </w:p>
        </w:tc>
        <w:tc>
          <w:tcPr>
            <w:tcW w:type="dxa" w:w="2340"/>
            <w:tcMar>
              <w:top w:w="80" w:type="dxa"/>
              <w:start w:w="100" w:type="dxa"/>
              <w:bottom w:w="80" w:type="dxa"/>
              <w:end w:w="100" w:type="dxa"/>
            </w:tcMar>
            <w:vAlign w:val="top"/>
          </w:tcPr>
          <w:p>
            <w:pPr>
              <w:pStyle w:val="TableText"/>
            </w:pPr>
            <w:r>
              <w:t>Substantive assembly of cells with structural, electrical, sensing, control, safety, or thermal elements into a commercially distinct module under the applicable rule.</w:t>
            </w:r>
          </w:p>
        </w:tc>
        <w:tc>
          <w:tcPr>
            <w:tcW w:type="dxa" w:w="2340"/>
            <w:tcMar>
              <w:top w:w="80" w:type="dxa"/>
              <w:start w:w="100" w:type="dxa"/>
              <w:bottom w:w="80" w:type="dxa"/>
              <w:end w:w="100" w:type="dxa"/>
            </w:tcMar>
            <w:vAlign w:val="top"/>
          </w:tcPr>
          <w:p>
            <w:pPr>
              <w:pStyle w:val="TableText"/>
            </w:pPr>
            <w:r>
              <w:t>Simple bundling or fastening of imported finished modules or cosmetic enclosure.</w:t>
            </w:r>
          </w:p>
        </w:tc>
        <w:tc>
          <w:tcPr>
            <w:tcW w:type="dxa" w:w="2340"/>
            <w:tcMar>
              <w:top w:w="80" w:type="dxa"/>
              <w:start w:w="100" w:type="dxa"/>
              <w:bottom w:w="80" w:type="dxa"/>
              <w:end w:w="100" w:type="dxa"/>
            </w:tcMar>
            <w:vAlign w:val="top"/>
          </w:tcPr>
          <w:p>
            <w:pPr>
              <w:pStyle w:val="TableText"/>
            </w:pPr>
            <w:r>
              <w:t>Cell origin where relevant, module manufacturing records, BMS/thermal inputs, and reconciliation against duplicate credit.</w:t>
            </w:r>
          </w:p>
        </w:tc>
      </w:tr>
      <w:tr>
        <w:tc>
          <w:tcPr>
            <w:tcW w:type="dxa" w:w="2340"/>
            <w:tcMar>
              <w:top w:w="80" w:type="dxa"/>
              <w:start w:w="100" w:type="dxa"/>
              <w:bottom w:w="80" w:type="dxa"/>
              <w:end w:w="100" w:type="dxa"/>
            </w:tcMar>
            <w:vAlign w:val="top"/>
          </w:tcPr>
          <w:p>
            <w:pPr>
              <w:pStyle w:val="TableText"/>
            </w:pPr>
            <w:r>
              <w:t>Battery pack/system</w:t>
            </w:r>
          </w:p>
        </w:tc>
        <w:tc>
          <w:tcPr>
            <w:tcW w:type="dxa" w:w="2340"/>
            <w:tcMar>
              <w:top w:w="80" w:type="dxa"/>
              <w:start w:w="100" w:type="dxa"/>
              <w:bottom w:w="80" w:type="dxa"/>
              <w:end w:w="100" w:type="dxa"/>
            </w:tcMar>
            <w:vAlign w:val="top"/>
          </w:tcPr>
          <w:p>
            <w:pPr>
              <w:pStyle w:val="TableText"/>
            </w:pPr>
            <w:r>
              <w:t>Substantive manufacture or integration of modules or cells with enclosure, high-voltage distribution, BMS, thermal management, safety systems, and pack-level validation under the applicable rule.</w:t>
            </w:r>
          </w:p>
        </w:tc>
        <w:tc>
          <w:tcPr>
            <w:tcW w:type="dxa" w:w="2340"/>
            <w:tcMar>
              <w:top w:w="80" w:type="dxa"/>
              <w:start w:w="100" w:type="dxa"/>
              <w:bottom w:w="80" w:type="dxa"/>
              <w:end w:w="100" w:type="dxa"/>
            </w:tcMar>
            <w:vAlign w:val="top"/>
          </w:tcPr>
          <w:p>
            <w:pPr>
              <w:pStyle w:val="TableText"/>
            </w:pPr>
            <w:r>
              <w:t>Installation of a substantially finished imported pack into a vehicle; software flashing or testing alone.</w:t>
            </w:r>
          </w:p>
        </w:tc>
        <w:tc>
          <w:tcPr>
            <w:tcW w:type="dxa" w:w="2340"/>
            <w:tcMar>
              <w:top w:w="80" w:type="dxa"/>
              <w:start w:w="100" w:type="dxa"/>
              <w:bottom w:w="80" w:type="dxa"/>
              <w:end w:w="100" w:type="dxa"/>
            </w:tcMar>
            <w:vAlign w:val="top"/>
          </w:tcPr>
          <w:p>
            <w:pPr>
              <w:pStyle w:val="TableText"/>
            </w:pPr>
            <w:r>
              <w:t>Pack BOM, production routing, qualifying module/cell value, electronics, enclosure, thermal system, and no-double-count reconciliation.</w:t>
            </w:r>
          </w:p>
        </w:tc>
      </w:tr>
      <w:tr>
        <w:tc>
          <w:tcPr>
            <w:tcW w:type="dxa" w:w="2340"/>
            <w:tcMar>
              <w:top w:w="80" w:type="dxa"/>
              <w:start w:w="100" w:type="dxa"/>
              <w:bottom w:w="80" w:type="dxa"/>
              <w:end w:w="100" w:type="dxa"/>
            </w:tcMar>
            <w:vAlign w:val="top"/>
          </w:tcPr>
          <w:p>
            <w:pPr>
              <w:pStyle w:val="TableText"/>
            </w:pPr>
            <w:r>
              <w:t>Traction motor / electric-drive unit</w:t>
            </w:r>
          </w:p>
        </w:tc>
        <w:tc>
          <w:tcPr>
            <w:tcW w:type="dxa" w:w="2340"/>
            <w:tcMar>
              <w:top w:w="80" w:type="dxa"/>
              <w:start w:w="100" w:type="dxa"/>
              <w:bottom w:w="80" w:type="dxa"/>
              <w:end w:w="100" w:type="dxa"/>
            </w:tcMar>
            <w:vAlign w:val="top"/>
          </w:tcPr>
          <w:p>
            <w:pPr>
              <w:pStyle w:val="TableText"/>
            </w:pPr>
            <w:r>
              <w:t>Manufacture of a traction motor or substantive integration of motor, inverter, gearing, differential, controls, cooling, or related elements into a commercially distinct propulsion unit.</w:t>
            </w:r>
          </w:p>
        </w:tc>
        <w:tc>
          <w:tcPr>
            <w:tcW w:type="dxa" w:w="2340"/>
            <w:tcMar>
              <w:top w:w="80" w:type="dxa"/>
              <w:start w:w="100" w:type="dxa"/>
              <w:bottom w:w="80" w:type="dxa"/>
              <w:end w:w="100" w:type="dxa"/>
            </w:tcMar>
            <w:vAlign w:val="top"/>
          </w:tcPr>
          <w:p>
            <w:pPr>
              <w:pStyle w:val="TableText"/>
            </w:pPr>
            <w:r>
              <w:t>Bolting a finished imported drive unit into a vehicle; repackaging; calibration alone.</w:t>
            </w:r>
          </w:p>
        </w:tc>
        <w:tc>
          <w:tcPr>
            <w:tcW w:type="dxa" w:w="2340"/>
            <w:tcMar>
              <w:top w:w="80" w:type="dxa"/>
              <w:start w:w="100" w:type="dxa"/>
              <w:bottom w:w="80" w:type="dxa"/>
              <w:end w:w="100" w:type="dxa"/>
            </w:tcMar>
            <w:vAlign w:val="top"/>
          </w:tcPr>
          <w:p>
            <w:pPr>
              <w:pStyle w:val="TableText"/>
            </w:pPr>
            <w:r>
              <w:t>Motor/drive manufacturing records, major subassembly origin, costed transformation, and strategic-component records.</w:t>
            </w:r>
          </w:p>
        </w:tc>
      </w:tr>
      <w:tr>
        <w:tc>
          <w:tcPr>
            <w:tcW w:type="dxa" w:w="2340"/>
            <w:tcMar>
              <w:top w:w="80" w:type="dxa"/>
              <w:start w:w="100" w:type="dxa"/>
              <w:bottom w:w="80" w:type="dxa"/>
              <w:end w:w="100" w:type="dxa"/>
            </w:tcMar>
            <w:vAlign w:val="top"/>
          </w:tcPr>
          <w:p>
            <w:pPr>
              <w:pStyle w:val="TableText"/>
            </w:pPr>
            <w:r>
              <w:t>Power electronics</w:t>
            </w:r>
          </w:p>
        </w:tc>
        <w:tc>
          <w:tcPr>
            <w:tcW w:type="dxa" w:w="2340"/>
            <w:tcMar>
              <w:top w:w="80" w:type="dxa"/>
              <w:start w:w="100" w:type="dxa"/>
              <w:bottom w:w="80" w:type="dxa"/>
              <w:end w:w="100" w:type="dxa"/>
            </w:tcMar>
            <w:vAlign w:val="top"/>
          </w:tcPr>
          <w:p>
            <w:pPr>
              <w:pStyle w:val="TableText"/>
            </w:pPr>
            <w:r>
              <w:t>Substantive manufacture or assembly of inverter, converter, onboard charger, power-control, or related automotive power-electronic equipment that creates the functional automotive assembly under the applicable rule.</w:t>
            </w:r>
          </w:p>
        </w:tc>
        <w:tc>
          <w:tcPr>
            <w:tcW w:type="dxa" w:w="2340"/>
            <w:tcMar>
              <w:top w:w="80" w:type="dxa"/>
              <w:start w:w="100" w:type="dxa"/>
              <w:bottom w:w="80" w:type="dxa"/>
              <w:end w:w="100" w:type="dxa"/>
            </w:tcMar>
            <w:vAlign w:val="top"/>
          </w:tcPr>
          <w:p>
            <w:pPr>
              <w:pStyle w:val="TableText"/>
            </w:pPr>
            <w:r>
              <w:t>Importing a finished inverter or charger and changing labels, firmware, connectors, or packaging only.</w:t>
            </w:r>
          </w:p>
        </w:tc>
        <w:tc>
          <w:tcPr>
            <w:tcW w:type="dxa" w:w="2340"/>
            <w:tcMar>
              <w:top w:w="80" w:type="dxa"/>
              <w:start w:w="100" w:type="dxa"/>
              <w:bottom w:w="80" w:type="dxa"/>
              <w:end w:w="100" w:type="dxa"/>
            </w:tcMar>
            <w:vAlign w:val="top"/>
          </w:tcPr>
          <w:p>
            <w:pPr>
              <w:pStyle w:val="TableText"/>
            </w:pPr>
            <w:r>
              <w:t>PCB/assembly records, semiconductor and module inputs where relevant, testing records, and costed origin methodology.</w:t>
            </w:r>
          </w:p>
        </w:tc>
      </w:tr>
      <w:tr>
        <w:tc>
          <w:tcPr>
            <w:tcW w:type="dxa" w:w="2340"/>
            <w:tcMar>
              <w:top w:w="80" w:type="dxa"/>
              <w:start w:w="100" w:type="dxa"/>
              <w:bottom w:w="80" w:type="dxa"/>
              <w:end w:w="100" w:type="dxa"/>
            </w:tcMar>
            <w:vAlign w:val="top"/>
          </w:tcPr>
          <w:p>
            <w:pPr>
              <w:pStyle w:val="TableText"/>
            </w:pPr>
            <w:r>
              <w:t>BMS / thermal-management system</w:t>
            </w:r>
          </w:p>
        </w:tc>
        <w:tc>
          <w:tcPr>
            <w:tcW w:type="dxa" w:w="2340"/>
            <w:tcMar>
              <w:top w:w="80" w:type="dxa"/>
              <w:start w:w="100" w:type="dxa"/>
              <w:bottom w:w="80" w:type="dxa"/>
              <w:end w:w="100" w:type="dxa"/>
            </w:tcMar>
            <w:vAlign w:val="top"/>
          </w:tcPr>
          <w:p>
            <w:pPr>
              <w:pStyle w:val="TableText"/>
            </w:pPr>
            <w:r>
              <w:t>Substantive manufacture or integration of sensing, control, cooling, heating, pumping, valving, heat-exchange, or related systems into a distinct battery-management or thermal-management assembly.</w:t>
            </w:r>
          </w:p>
        </w:tc>
        <w:tc>
          <w:tcPr>
            <w:tcW w:type="dxa" w:w="2340"/>
            <w:tcMar>
              <w:top w:w="80" w:type="dxa"/>
              <w:start w:w="100" w:type="dxa"/>
              <w:bottom w:w="80" w:type="dxa"/>
              <w:end w:w="100" w:type="dxa"/>
            </w:tcMar>
            <w:vAlign w:val="top"/>
          </w:tcPr>
          <w:p>
            <w:pPr>
              <w:pStyle w:val="TableText"/>
            </w:pPr>
            <w:r>
              <w:t>Software loading alone; simple hose or connector installation; repackaging finished foreign systems.</w:t>
            </w:r>
          </w:p>
        </w:tc>
        <w:tc>
          <w:tcPr>
            <w:tcW w:type="dxa" w:w="2340"/>
            <w:tcMar>
              <w:top w:w="80" w:type="dxa"/>
              <w:start w:w="100" w:type="dxa"/>
              <w:bottom w:w="80" w:type="dxa"/>
              <w:end w:w="100" w:type="dxa"/>
            </w:tcMar>
            <w:vAlign w:val="top"/>
          </w:tcPr>
          <w:p>
            <w:pPr>
              <w:pStyle w:val="TableText"/>
            </w:pPr>
            <w:r>
              <w:t>System BOM, manufacturing routing, controller/sensor inputs, and functional integration records.</w:t>
            </w:r>
          </w:p>
        </w:tc>
      </w:tr>
      <w:tr>
        <w:tc>
          <w:tcPr>
            <w:tcW w:type="dxa" w:w="2340"/>
            <w:tcMar>
              <w:top w:w="80" w:type="dxa"/>
              <w:start w:w="100" w:type="dxa"/>
              <w:bottom w:w="80" w:type="dxa"/>
              <w:end w:w="100" w:type="dxa"/>
            </w:tcMar>
            <w:vAlign w:val="top"/>
          </w:tcPr>
          <w:p>
            <w:pPr>
              <w:pStyle w:val="TableText"/>
            </w:pPr>
            <w:r>
              <w:t>Successor technology</w:t>
            </w:r>
          </w:p>
        </w:tc>
        <w:tc>
          <w:tcPr>
            <w:tcW w:type="dxa" w:w="2340"/>
            <w:tcMar>
              <w:top w:w="80" w:type="dxa"/>
              <w:start w:w="100" w:type="dxa"/>
              <w:bottom w:w="80" w:type="dxa"/>
              <w:end w:w="100" w:type="dxa"/>
            </w:tcMar>
            <w:vAlign w:val="top"/>
          </w:tcPr>
          <w:p>
            <w:pPr>
              <w:pStyle w:val="TableText"/>
            </w:pPr>
            <w:r>
              <w:t>The transformation specified in a published Automotive Committee designation adopted under Article 4.A.2D.6 and Article 49.4.</w:t>
            </w:r>
          </w:p>
        </w:tc>
        <w:tc>
          <w:tcPr>
            <w:tcW w:type="dxa" w:w="2340"/>
            <w:tcMar>
              <w:top w:w="80" w:type="dxa"/>
              <w:start w:w="100" w:type="dxa"/>
              <w:bottom w:w="80" w:type="dxa"/>
              <w:end w:w="100" w:type="dxa"/>
            </w:tcMar>
            <w:vAlign w:val="top"/>
          </w:tcPr>
          <w:p>
            <w:pPr>
              <w:pStyle w:val="TableText"/>
            </w:pPr>
            <w:r>
              <w:t>Any operation designated minimal or insufficient in the published classification.</w:t>
            </w:r>
          </w:p>
        </w:tc>
        <w:tc>
          <w:tcPr>
            <w:tcW w:type="dxa" w:w="2340"/>
            <w:tcMar>
              <w:top w:w="80" w:type="dxa"/>
              <w:start w:w="100" w:type="dxa"/>
              <w:bottom w:w="80" w:type="dxa"/>
              <w:end w:w="100" w:type="dxa"/>
            </w:tcMar>
            <w:vAlign w:val="top"/>
          </w:tcPr>
          <w:p>
            <w:pPr>
              <w:pStyle w:val="TableText"/>
            </w:pPr>
            <w:r>
              <w:t>The records identified in the designation, using existing Chapter 5 procedures.</w:t>
            </w:r>
          </w:p>
        </w:tc>
      </w:tr>
    </w:tbl>
    <w:p>
      <w:pPr>
        <w:pStyle w:val="Normal"/>
      </w:pPr>
      <w:r>
        <w:rPr>
          <w:b/>
        </w:rPr>
        <w:t>Worked Example 1: Foreign mineral, North American cell and pack.</w:t>
      </w:r>
    </w:p>
    <w:p>
      <w:pPr>
        <w:pStyle w:val="Normal"/>
      </w:pPr>
      <w:r>
        <w:rPr>
          <w:b w:val="0"/>
        </w:rPr>
        <w:t>Lithium concentrate mined outside North America is lawfully imported and refined into qualifying battery material in Canada, after which electrodes and cells are manufactured in the United States and the cells are assembled into a qualifying pack in Canada. The foreign origin of the original concentrate does not by itself prevent the cell or pack from acquiring origin where the applicable transformation and value rules are satisfied, while Chapter 37 continues to record the material provenance. Once the pack qualifies, Article 4.A.2D.4 permits its qualifying value to roll up into the finished vehicle calculation without reopening the embedded concentrate value solely because it was non-originating. The producer may not separately count the same refined-material value, cell value, and pack value as three independent credits.</w:t>
      </w:r>
    </w:p>
    <w:p>
      <w:pPr>
        <w:pStyle w:val="Normal"/>
      </w:pPr>
      <w:r>
        <w:rPr>
          <w:b/>
        </w:rPr>
        <w:t>Worked Example 2: Imported finished cells.</w:t>
      </w:r>
    </w:p>
    <w:p>
      <w:pPr>
        <w:pStyle w:val="Normal"/>
      </w:pPr>
      <w:r>
        <w:rPr>
          <w:b w:val="0"/>
        </w:rPr>
        <w:t>Finished non-originating cells are imported into Mexico and assembled with a North American enclosure, BMS, cooling system, wiring, and safety hardware into a battery pack. The pack may qualify only if the applicable pack rule in this Annex and the product-specific origin rule are independently satisfied, and the imported cells remain non-originating inputs to the extent required by that calculation. Simple placement of imported cells into a housing is insufficient, but substantive pack manufacture may be recognized where the prescribed transformation and value requirements are met. If the pack qualifies, downstream roll-up applies to the pack while the same imported-cell value cannot be claimed again as a separate originating credit.</w:t>
      </w:r>
    </w:p>
    <w:p>
      <w:pPr>
        <w:pStyle w:val="Normal"/>
      </w:pPr>
      <w:r>
        <w:rPr>
          <w:b/>
        </w:rPr>
        <w:t>Worked Example 3: Imported finished pack.</w:t>
      </w:r>
    </w:p>
    <w:p>
      <w:pPr>
        <w:pStyle w:val="Normal"/>
      </w:pPr>
      <w:r>
        <w:rPr>
          <w:b w:val="0"/>
        </w:rPr>
        <w:t>A completed non-originating battery pack is imported into the United States and installed into an otherwise North American vehicle. Installation, software pairing, charging, calibration, or vehicle-level testing does not convert the imported finished pack into an originating pack. The pack therefore enters the vehicle origin calculation as non-originating except to the extent another express rule of this Agreement provides otherwise. The vehicle may nevertheless qualify if it satisfies all applicable vehicle-level rules without falsely treating the pack as originating.</w:t>
      </w:r>
    </w:p>
    <w:p>
      <w:pPr>
        <w:pStyle w:val="Normal"/>
      </w:pPr>
      <w:r>
        <w:rPr>
          <w:b/>
        </w:rPr>
        <w:t>Worked Example 4: Integrated e-axle.</w:t>
      </w:r>
    </w:p>
    <w:p>
      <w:pPr>
        <w:pStyle w:val="Normal"/>
      </w:pPr>
      <w:r>
        <w:rPr>
          <w:b w:val="0"/>
        </w:rPr>
        <w:t>A Canadian plant manufactures a traction motor and integrates it with an originating reduction gear, a non-originating semiconductor power module, cooling hardware, controls, and a differential into a commercially distinct e-axle. The non-originating semiconductor module does not automatically defeat origin if the e-axle satisfies the applicable transformation and value rule and the imported module is properly accounted for. Verification focuses on the actual North American manufacturing operations, costed bill of materials, supplier records, and any strategic-electronics requirements that independently apply. Once the e-axle qualifies, its qualifying value may roll up into the vehicle calculation without duplicate credit for the motor or gear.</w:t>
      </w:r>
    </w:p>
    <w:p>
      <w:pPr>
        <w:pStyle w:val="Normal"/>
      </w:pPr>
      <w:r>
        <w:rPr>
          <w:b/>
        </w:rPr>
        <w:t>Worked Example 5: Recycled black mass.</w:t>
      </w:r>
    </w:p>
    <w:p>
      <w:pPr>
        <w:pStyle w:val="Normal"/>
      </w:pPr>
      <w:r>
        <w:rPr>
          <w:b w:val="0"/>
        </w:rPr>
        <w:t>End-of-life batteries collected in the United States are processed into black mass and then refined in Canada into commercially usable battery-grade materials that enter cell production in Mexico. Origin credit attaches at the qualifying recovery or refining stage specified by Chapters 37 and 59 and the applicable rule, rather than being multiplied each time the material moves through a later manufacturing stage. Collection or sorting alone does not create the same credit as substantive recovery, refining, or active-material manufacture. The resulting cells and packs must still satisfy their own component rules before downstream roll-up applies.</w:t>
      </w:r>
    </w:p>
    <w:p>
      <w:pPr>
        <w:pStyle w:val="Normal"/>
      </w:pPr>
      <w:r>
        <w:rPr>
          <w:b/>
        </w:rPr>
        <w:t>Worked Example 6: Software is not enough.</w:t>
      </w:r>
    </w:p>
    <w:p>
      <w:pPr>
        <w:pStyle w:val="Normal"/>
      </w:pPr>
      <w:r>
        <w:rPr>
          <w:b w:val="0"/>
        </w:rPr>
        <w:t>A finished non-originating inverter is imported into Canada, loaded with Canadian-developed control software, tested, and relabelled for a Canadian vehicle program. Software development may qualify for any separate innovation or value treatment expressly provided elsewhere in this Agreement, but software loading alone does not transform the finished inverter into an originating power-electronic component. The inverter remains non-originating for the component rule unless additional qualifying North American manufacturing satisfies that rule. Authorities shall not treat this result as diminishing the originating status of unrelated Canadian software or engineering services.</w:t>
      </w:r>
    </w:p>
    <w:p>
      <w:pPr>
        <w:pStyle w:val="Normal"/>
      </w:pPr>
      <w:r>
        <w:rPr>
          <w:b/>
        </w:rPr>
        <w:t>Worked Example 7: Successor solid-state architecture.</w:t>
      </w:r>
    </w:p>
    <w:p>
      <w:pPr>
        <w:pStyle w:val="Normal"/>
      </w:pPr>
      <w:r>
        <w:rPr>
          <w:b w:val="0"/>
        </w:rPr>
        <w:t>A producer introduces a solid-state energy-storage architecture that does not map cleanly onto the existing cell-module-pack sequence. The producer or a Party may request an advance ruling and a successor-technology designation under Article 4.A.2D.6 using the closest technically analogous existing methodology during the interim. The Committee may clarify classification and evidence requirements but may not use the designation to increase substantive origin thresholds without Article 49.4 procedures. Once adopted, the published designation applies prospectively and includes at least one authoritative calculation example.</w:t>
      </w:r>
    </w:p>
    <w:p>
      <w:pPr>
        <w:pStyle w:val="Normal"/>
      </w:pPr>
      <w:r>
        <w:rPr>
          <w:b/>
        </w:rPr>
        <w:t>Worked Example 8: Model-year reconciliation.</w:t>
      </w:r>
    </w:p>
    <w:p>
      <w:pPr>
        <w:pStyle w:val="Normal"/>
      </w:pPr>
      <w:r>
        <w:rPr>
          <w:b w:val="0"/>
        </w:rPr>
        <w:t>A producer manufactures several related battery-pack variants during a model year using changing mixes of originating and non-originating cells and electronics. Chapter 5 permits the authority to verify the relevant component family through approved model-year, batch, supplier-declaration, and reusable-evidence methods rather than reconstructing every shipment independently. The producer must reconcile originating value accurately and retain sufficient records to prevent double counting or concealment of a material sourcing change. A good-faith methodology error remains subject to the cure and appeal protections otherwise provided by this Agreement unless fraud or circumvention is established.</w:t>
      </w:r>
    </w:p>
    <w:p>
      <w:pPr>
        <w:pStyle w:val="Normal"/>
      </w:pPr>
      <w:r>
        <w:rPr>
          <w:b w:val="0"/>
        </w:rPr>
        <w:t>Interpretive Safeguard 1. Nothing in this Annex creates a Party-specific content requirement, a tariff authority, or a presumption that lawful non-originating inputs constitute circumvention. Ordinary preferential qualification remains governed by the applicable North American rules of origin, and voluntary enhanced-origin incentives remain separate. Where another provision affords more favorable treatment to an originating good, this Annex does not reduce that treatment. Where an express product-specific rule is stricter, that operative rule controls unless formally amended.</w:t>
      </w:r>
    </w:p>
    <w:p>
      <w:pPr>
        <w:pStyle w:val="Normal"/>
      </w:pPr>
      <w:r>
        <w:rPr>
          <w:b w:val="0"/>
        </w:rPr>
        <w:t>Interpretive Safeguard 2. The Commission shall publish and maintain machine-readable calculation templates and at least the worked examples contained in this Annex, with additional examples adopted by consensus as technologies evolve. Technical guidance may resolve classification, evidence, or calculation questions but may not silently amend an origin threshold or withdraw lawful roll-up treatment. A producer may request an advance ruling before changing a manufacturing pathway or introducing a successor technology. Conflicting administrative interpretations shall be referred promptly to the Automotive Committee and, where necessary, the dispute-settlement procedures of this Agreement.</w:t>
      </w:r>
    </w:p>
    <w:p>
      <w:pPr>
        <w:pStyle w:val="Heading1"/>
      </w:pPr>
      <w:bookmarkStart w:id="900180" w:name="_Toc300000179"/>
      <w:r>
        <w:t>CHAPTER 5 ORIGIN PROCEDURES</w:t>
      </w:r>
      <w:bookmarkEnd w:id="900180"/>
    </w:p>
    <w:p>
      <w:pPr>
        <w:pStyle w:val="Heading2"/>
      </w:pPr>
      <w:bookmarkStart w:id="900181" w:name="_Toc300000180"/>
      <w:r>
        <w:t xml:space="preserve">Article 5.1: Definitions</w:t>
      </w:r>
      <w:bookmarkEnd w:id="900181"/>
    </w:p>
    <w:p>
      <w:pPr>
        <w:pStyle w:val="Normal"/>
      </w:pPr>
      <w:r>
        <w:t xml:space="preserve">For the purposes of this Chapter: exporter means an exporter located in the territory of a Party and an exporter required under this Chapter to maintain records in the territory of that Party regarding exportations of a good; identical goods means goods that are the same in all respects, including physical characteristics, quality, and reputation, irrespective of minor differences in appearance that are not relevant to a determination of origin of those goods under Chapter 4 (Rules of Origin) or Chapter 6 (Textile and Apparel Goods); importer means an importer located in the territory of a Party and an importer required under this Chapter to maintain records in the territory of that Party regarding importations of a good; and value means value of a good or material for purposes of calculating customs duties or for purposes of applying Chapter 4 (Rules of Origin) or Chapter 6 (Textile and Apparel Goods).</w:t>
      </w:r>
    </w:p>
    <w:p>
      <w:pPr>
        <w:pStyle w:val="Heading2"/>
      </w:pPr>
      <w:bookmarkStart w:id="900182" w:name="_Toc300000181"/>
      <w:r>
        <w:t xml:space="preserve">Article 5.2: Claims for Preferential Tariff Treatment</w:t>
      </w:r>
      <w:bookmarkEnd w:id="900182"/>
    </w:p>
    <w:p>
      <w:pPr>
        <w:pStyle w:val="Normal"/>
      </w:pPr>
      <w:r>
        <w:t xml:space="preserve">1. Each Party shall provide that an importer may make a claim for preferential tariff treatment, based on a certification of origin completed by the exporter, producer, or importer1 for the purpose of certifying that a good being exported from the territory of a Party into the territory of another Party qualifies as an originating good. 2. An importing Party may: (a) require that an importer who completes a certification of origin provide documents or other information to support the certification; (b) establish in its law conditions that an importer shall meet to complete a certification of origin; For Mexico, implementation of paragraph 1 with respect to a certification of origin by the importer shall be no later than three years and six months after the date of entry into force of this Agreement.</w:t>
      </w:r>
    </w:p>
    <w:p>
      <w:pPr>
        <w:pStyle w:val="Normal"/>
      </w:pPr>
      <w:r>
        <w:t>(c) if an importer fails to meet or no longer meets the conditions established under subparagraph (b), prohibit that importer from providing its own certification as the basis of a claim for preferential tariff treatment; or (d) if a claim for preferential tariff treatment is based on a certification of origin completed by an importer, prohibit that importer from: (i) issuing a certification, based on a certification of origin or a written representation completed by the exporter or producer, and (ii) making a subsequent claim for preferential tariff treatment for the same importation, based on a certification of origin completed by the exporter or producer. 3. Each Party shall provide that a certification of origin: (a) need not follow a prescribed format; (b) contains a set of minimum data elements as set out in Annex 5-A (Minimum Data Elements) that indicate that the good is both originating and meets the requirements of this Chapter; (c) may be provided on an invoice or any other document;</w:t>
      </w:r>
    </w:p>
    <w:p>
      <w:pPr>
        <w:pStyle w:val="Normal"/>
      </w:pPr>
      <w:r>
        <w:t>(d) describes the originating good in sufficient detail to enable its identification; and (e) meets the requirements as set out in the Uniform Regulations. 4. A Party shall not reject a claim for preferential tariff treatment for the sole reason that the invoice was issued in a non-Party. However, a certification of origin shall not be provided on an invoice or any other commercial document issued in a non-Party. 5.</w:t>
      </w:r>
    </w:p>
    <w:p>
      <w:pPr>
        <w:pStyle w:val="Normal"/>
      </w:pPr>
      <w:r>
        <w:t>Each Party shall provide that the certification of origin for a good imported into its territory may be completed in English, French, or Spanish. If the certification of origin is not in a language of the importing Party, the importing Party may require an importer to submit, upon request, a translation into such a language. 6. Each Party shall allow a certification of origin to be completed and submitted electronically and shall accept the certification of origin with an electronic or digital signature.</w:t>
      </w:r>
    </w:p>
    <w:p>
      <w:pPr>
        <w:pStyle w:val="Heading2"/>
      </w:pPr>
      <w:bookmarkStart w:id="900183" w:name="_Toc300000182"/>
      <w:r>
        <w:t xml:space="preserve">Article 5.3: Basis of a Certification of Origin</w:t>
      </w:r>
      <w:bookmarkEnd w:id="900183"/>
    </w:p>
    <w:p>
      <w:pPr>
        <w:pStyle w:val="Normal"/>
      </w:pPr>
      <w:r>
        <w:t xml:space="preserve">1. Each Party shall provide that if a producer certifies the origin of a good, the certification of origin is completed on the basis of the producer having information, including documents, that demonstrate that the good is originating. 2. Each Party shall provide that if the exporter is not the producer of the good, the certification of origin may be completed by the exporter of the good on the basis of: (a) having information, including documents, that demonstrate that the good is originating; or (b) reasonable reliance on the producer’s written representation, such as in a certification of origin, that the good is originating. 3. Each Party shall provide that a certification of origin may be completed by the importer of the good on the basis of the importer having information, including documents, that demonstrate that the good is originating. 4.</w:t>
      </w:r>
    </w:p>
    <w:p>
      <w:pPr>
        <w:pStyle w:val="Normal"/>
      </w:pPr>
      <w:r>
        <w:t>For greater certainty, nothing in paragraph 1 or 2 shall be construed to allow a Party to require an exporter or producer to complete a certification of origin or provide a certification of origin or a written representation to another person. 5. Each Party shall provide that a certification of origin may apply to: (a) a single shipment of a good into the territory of a Party; or (b) multiple shipments of identical goods within any period specified in the certification of origin, but not exceeding 12 months. 6.</w:t>
      </w:r>
    </w:p>
    <w:p>
      <w:pPr>
        <w:pStyle w:val="Normal"/>
      </w:pPr>
      <w:r>
        <w:t>Each Party shall provide that a certification of origin for a good imported into its territory be accepted by its customs administration for four years after the date the certification of origin was completed.</w:t>
      </w:r>
    </w:p>
    <w:p>
      <w:pPr>
        <w:pStyle w:val="Heading2"/>
      </w:pPr>
      <w:bookmarkStart w:id="900184" w:name="_Toc300000183"/>
      <w:r>
        <w:t xml:space="preserve">Article 5.4: Obligations Regarding Importations</w:t>
      </w:r>
      <w:bookmarkEnd w:id="900184"/>
    </w:p>
    <w:p>
      <w:pPr>
        <w:pStyle w:val="Normal"/>
      </w:pPr>
      <w:r>
        <w:t xml:space="preserve">1. Except as otherwise provided for in this Chapter, each Party shall provide that, for the purpose of claiming preferential tariff treatment, the importer shall: (a) make a statement forming part of the import documentation based on a valid certification of origin that the good qualifies as an originating good; (b) have a valid certification of origin in its possession at the time the statement referred to in subparagraph (a) is made; (c) provide, on the request of the importing Party’s customs administration, a copy of the certification of origin, in accordance with its laws and regulations;</w:t>
      </w:r>
    </w:p>
    <w:p>
      <w:pPr>
        <w:pStyle w:val="Normal"/>
      </w:pPr>
      <w:r>
        <w:t>(d) if a certification by the importer forms the basis for the claim, demonstrate, on request of the importing Party, that the good is originating under Article 5.3.3 (Basis of a Certification of Origin); and (e) if the claim for preferential tariff treatment is based on a certification of origin completed by a producer that is not the exporter of the good, demonstrate, on the request of the importing Party, that the good certified as originating did not undergo further production or any other operation other than unloading, reloading, or any other operation necessary to preserve it in good condition or to transport the good into the territory of the importing Party. 2.</w:t>
      </w:r>
    </w:p>
    <w:p>
      <w:pPr>
        <w:pStyle w:val="Normal"/>
      </w:pPr>
      <w:r>
        <w:t>Each Party shall provide that, if the importer has reason to believe that the certification of origin is based on incorrect information that could affect the accuracy or validity of the certification of origin, the importer shall promptly correct the importation document and pay any duties owing. The importer shall not be subject to penalties for making an incorrect statement that formed part of the import documentation, if it promptly corrects the importation document and pays any duties owing. 3. A Party may require an importer to demonstrate that a good for which the importer claims preferential tariff treatment was shipped in accordance with Article 4.18 (Transit and Transshipment) by providing: (a) transportation documents, including the multimodal or combined transportation documents, such as bills of lading or waybills, indicating the shipping route and all points of shipment and transhipment prior to the importation of the good; and (b) if the good is shipped through or transhipped outside the territories of the Parties, relevant documents, such as in the case of storage, storage documents or a copy of the customs control documents, demonstrating that the good remained under customs control while outside the territories of the Parties.</w:t>
      </w:r>
    </w:p>
    <w:p>
      <w:pPr>
        <w:pStyle w:val="Heading2"/>
      </w:pPr>
      <w:bookmarkStart w:id="900185" w:name="_Toc300000184"/>
      <w:r>
        <w:t xml:space="preserve">Article 5.5: Exceptions to Certification of Origin</w:t>
      </w:r>
      <w:bookmarkEnd w:id="900185"/>
    </w:p>
    <w:p>
      <w:pPr>
        <w:pStyle w:val="Normal"/>
      </w:pPr>
      <w:r>
        <w:t xml:space="preserve">Each Party shall provide that a certification of origin shall not be required if: (a) the value of the importation does not exceed US$1,000 or the equivalent amount in the importing Party’s currency or any higher amount as the importing Party may establish. A Party may require a written representation certifying that the good qualifies as an originating good; or (b) it is an importation of a good for which the Party into whose territory the good is imported has waived the requirement for a certification of origin, provided that the importation does not form part of a series of importations that may reasonably be considered to have been undertaken or arranged for the purpose of evading compliance with the importing Party’s laws, regulations, or procedures governing claims for preferential tariff treatment.</w:t>
      </w:r>
    </w:p>
    <w:p>
      <w:pPr>
        <w:pStyle w:val="Heading2"/>
      </w:pPr>
      <w:bookmarkStart w:id="900186" w:name="_Toc300000185"/>
      <w:r>
        <w:t xml:space="preserve">Article 5.6: Obligations Regarding Exportations</w:t>
      </w:r>
      <w:bookmarkEnd w:id="900186"/>
    </w:p>
    <w:p>
      <w:pPr>
        <w:pStyle w:val="Normal"/>
      </w:pPr>
      <w:r>
        <w:t xml:space="preserve">1. Each Party shall provide that an exporter or producer in its territory that completes a certification of origin shall provide a copy of the certification of origin to its customs administration, on its request. 2. Each Party shall provide that if an exporter or a producer in its territory has provided a certification of origin and has reason to believe that it contains or is based on incorrect information, the exporter or producer shall promptly notify, in writing, every person and every Party to whom the exporter or producer provided the certification of origin of any change that could affect the accuracy or validity of the certification of origin. 3. No Party shall impose penalties on an exporter or a producer in its territory that voluntarily provides written notification pursuant to paragraph 2 with respect to a certification of origin. 4. A Party may apply measures as the circumstances may warrant when an exporter or a producer in its territory fails to comply with any requirement of this Chapter. 5.</w:t>
      </w:r>
    </w:p>
    <w:p>
      <w:pPr>
        <w:pStyle w:val="Normal"/>
      </w:pPr>
      <w:r>
        <w:t>Each Party shall allow a certification of origin to be maintained in any medium and submitted electronically from the exporter or producer in the territory of a Party to an importer in the territory of another Party.</w:t>
      </w:r>
    </w:p>
    <w:p>
      <w:pPr>
        <w:pStyle w:val="Heading2"/>
      </w:pPr>
      <w:bookmarkStart w:id="900187" w:name="_Toc300000186"/>
      <w:r>
        <w:t xml:space="preserve">Article 5.7: Errors or Discrepancies</w:t>
      </w:r>
      <w:bookmarkEnd w:id="900187"/>
    </w:p>
    <w:p>
      <w:pPr>
        <w:pStyle w:val="Normal"/>
      </w:pPr>
      <w:r>
        <w:t xml:space="preserve">1. Each Party shall provide that it shall not reject a certification of origin due to minor errors or discrepancies in it that do not create doubts concerning the correctness of the import documentation. 2. Each Party shall provide that if the customs administration of the Party into whose territory a good is imported determines that a certification of origin is illegible, defective on its face, or has not been completed in accordance with this Chapter, the importer shall be granted a period of not less than five working days to provide the customs administration with a copy of the corrected certification of origin.</w:t>
      </w:r>
    </w:p>
    <w:p>
      <w:pPr>
        <w:pStyle w:val="Heading2"/>
      </w:pPr>
      <w:bookmarkStart w:id="900188" w:name="_Toc300000187"/>
      <w:r>
        <w:t xml:space="preserve">Article 5.8: Record Keeping Requirements</w:t>
      </w:r>
      <w:bookmarkEnd w:id="900188"/>
    </w:p>
    <w:p>
      <w:pPr>
        <w:pStyle w:val="Normal"/>
      </w:pPr>
      <w:r>
        <w:t xml:space="preserve">1. Each Party shall provide that an importer claiming preferential tariff treatment for a good imported into its territory shall maintain, for a period of no less than five years from the date of importation of the good: (a) the documentation related to the importation, including the certification of origin that served as the basis for the claim; (b) all records necessary to demonstrate that the good is originating, if the claim was based on a certification of origin completed by the importer; and (c) the information, including documents, necessary to demonstrate compliance with Article 5.4.1(e) (Obligations Regarding Importations), if applicable. 2.</w:t>
      </w:r>
    </w:p>
    <w:p>
      <w:pPr>
        <w:pStyle w:val="Normal"/>
      </w:pPr>
      <w:r>
        <w:t>Each Party shall provide that an exporter or a producer in its territory that completes a certification of origin or a producer that provides a written representation shall maintain in its territory for five years after the date on which the certification of origin was completed, or for such longer period as the Party may specify, all records necessary to demonstrate that a good for which the exporter or producer provided a certification of origin or other written representation is originating, including records associated with: (a) the purchase of, cost of, value of, shipping of, and payment for, the good or material; (b) the purchase of, cost of, value of, shipping of, and payment for all materials, including indirect materials, used in the production of the good or material; and (c)</w:t>
      </w:r>
    </w:p>
    <w:p>
      <w:pPr>
        <w:pStyle w:val="Normal"/>
      </w:pPr>
      <w:r>
        <w:t>the production of the good in the form in which the good is exported or the production of the material in the form in which it was sold. 3. Each Party shall provide in accordance with that Party’s law that an importer, exporter, or producer in its territory may choose to maintain the records or documentation specified in paragraphs 1 and 2 in any medium, including electronic, provided that the records or documentation can be promptly retrieved and printed. 4. For greater certainty, the record keeping requirements on an importer, exporter, or producer that a Party provides for pursuant to this Article apply even if the importing Party does not require a certification of origin or if a requirement for a certification of origin has been waived.</w:t>
      </w:r>
    </w:p>
    <w:p>
      <w:pPr>
        <w:pStyle w:val="Heading2"/>
      </w:pPr>
      <w:bookmarkStart w:id="900189" w:name="_Toc300000188"/>
      <w:r>
        <w:t xml:space="preserve">Article 5.9: Origin Verification</w:t>
      </w:r>
      <w:bookmarkEnd w:id="900189"/>
    </w:p>
    <w:p>
      <w:pPr>
        <w:pStyle w:val="Normal"/>
      </w:pPr>
      <w:r>
        <w:t xml:space="preserve">1. For the purpose of determining whether a good imported into its territory is an originating good, the importing Party may, through its customs administration, conduct a verification of a claim for preferential tariff treatment by one or more of the following: (a) a written request or questionnaire seeking information, including documents, from the importer, exporter, or producer of the good; (b) a verification visit to the premises of the exporter or producer of the good in order to request information, including documents, and to observe the production process and the related facilities; (c) for a textile or apparel good, the procedures set out in Article 6.6 (Verification); or (d) any other procedure as may be decided by the Parties. 2. The importing Party may choose to initiate a verification under this Article to the importer or the person who completed the certification of origin. 3. If an importing Party conducts a verification under this Article it shall accept information, including documents, directly from the importer, exporter, or producer. 4.</w:t>
      </w:r>
    </w:p>
    <w:p>
      <w:pPr>
        <w:pStyle w:val="Normal"/>
      </w:pPr>
      <w:r>
        <w:t>If a claim for preferential tariff treatment is based on a certification of origin completed by the exporter or producer, and in response to a request for information by an importing Party to determine whether a good is originating in verifying a claim of preferential treatment under paragraph 1(a), the importer does not provide sufficient information to demonstrate that the good is originating, the importing Party shall request information from the exporter or producer under paragraph 1 before it may deny the claim for preferential tariff treatment. The importing Party shall complete the verification, including any additional request to the exporter or producer under paragraph 1, within the time provided in paragraph 15. 5. A written request or questionnaire seeking information, including documents, or a request for a verification visit, under paragraphs 1(a) or (b) shall: (a) include the identity of the customs administration issuing the request; (b) state the object and scope of the verification, including the specific issue the requesting Party seeks to resolve with the verification;</w:t>
      </w:r>
    </w:p>
    <w:p>
      <w:pPr>
        <w:pStyle w:val="Normal"/>
      </w:pPr>
      <w:r>
        <w:t>(c) include sufficient information to identify the good that is being verified; and (d) in the case of a verification visit, request the written consent of the exporter or producer whose premises are going to be visited and indicate: (i) the legal authority for the visit, (ii) the proposed date and location for the visit, (iii) the specific purpose of the visit, and (iv) the names and</w:t>
      </w:r>
    </w:p>
    <w:p>
      <w:pPr>
        <w:pStyle w:val="Normal"/>
      </w:pPr>
      <w:r>
        <w:t>titles of the officials performing the visit. 6. If an importing Party has initiated a verification under paragraph 1(a) or 1(b) other than to the importer, it shall inform the importer of the initiation of the verification. 7. For a verification under paragraph 1(a) or 1(b), the importing Party shall: (a) ensure that the written request for information, or documentation to be reviewed, is limited to information and documentation to determine whether the good is originating; (b) describe the information or documentation in detail to allow the importer, exporter, or producer to identify the information and documentation necessary to respond; (c) allow the importer, exporter, or producer at least 30 days from the date of receipt of the written request or questionnaire under paragraph 1(a) to respond; and (d) allow the exporter or producer 30 days from the date of receipt of the written request for a visit under paragraph 1(b) to consent to or refuse the request. 8.</w:t>
      </w:r>
    </w:p>
    <w:p>
      <w:pPr>
        <w:pStyle w:val="Normal"/>
      </w:pPr>
      <w:r>
        <w:t>On request of the importing Party, the Party where the exporter or producer is located may, as it deems appropriate and in accordance with its laws and regulations, assist with the verification. This assistance may include providing information it has that is relevant to the origin verification. The importing Party shall not deny a claim for preferential tariff treatment solely on the grounds that the Party where the exporter or producer is located did not provide requested assistance. 9.</w:t>
      </w:r>
    </w:p>
    <w:p>
      <w:pPr>
        <w:pStyle w:val="Normal"/>
      </w:pPr>
      <w:r>
        <w:t>If an importing Party initiates a verification under paragraph 1(b), it shall, at the time of the request for the visit under paragraph 5, provide a copy of the request to: (a) the customs administration of the Party in whose territory the visit is to occur; and (b) if requested by the Party in whose territory the visit is to occur, the embassy of that Party in the territory of the Party proposing to conduct the visit. 10. Each Party shall provide that, when the exporter or producer receives notification pursuant to paragraph 5, the exporter or producer may, on a single occasion, within 15 days of receipt of the notification, request the postponement of the proposed verification visit for a period not exceeding 30 days from the proposed date of the visit. 11.</w:t>
      </w:r>
    </w:p>
    <w:p>
      <w:pPr>
        <w:pStyle w:val="Normal"/>
      </w:pPr>
      <w:r>
        <w:t>Each Party shall provide that, when its customs administration receives notification pursuant to paragraph 9, the customs administration may, within 15 days of receipt of the notification, postpone the proposed verification visit for a period not exceeding 60 days from the proposed date of the visit, or for a longer period as the relevant Parties may decide. 12. A Party shall not deny preferential tariff treatment to a good based solely on the postponement of a verification visit pursuant to paragraphs 10 or 11. 13.</w:t>
      </w:r>
    </w:p>
    <w:p>
      <w:pPr>
        <w:pStyle w:val="Normal"/>
      </w:pPr>
      <w:r>
        <w:t>Each Party shall permit an exporter or a producer whose good is subject to a verification visit by another Party to designate two observers to be present during the visit, provided that: (a) the observers do not participate in a manner other than as observers; (b) the failure of the exporter or producer to designate observers does not result in the postponement of the visit; and (c) an exporter or producer of a good identifies to the customs administration conducting a verification visit any observers designated to be present during the visit. 14. The importing Party shall provide the importer, exporter, or producer that certified that the good was originating and is the subject of a verification, with a written determination of origin that includes the findings of facts and the legal basis for the determination. If the importer is not the certifier, the importing Party shall also provide that written determination to the importer. 15.</w:t>
      </w:r>
    </w:p>
    <w:p>
      <w:pPr>
        <w:pStyle w:val="Normal"/>
      </w:pPr>
      <w:r>
        <w:t>The Party conducting a verification shall, as expeditiously as possible and within 120 days after it has received all the information necessary2 to make the determination, provide the written determination under paragraph 14. Notwithstanding the foregoing, the Party may extend this period, in exceptional cases, for up to 90 days after notifying the importer, and any exporter or producer who is subject to the verification or provided information during the verification.</w:t>
      </w:r>
    </w:p>
    <w:p>
      <w:pPr>
        <w:pStyle w:val="Normal"/>
      </w:pPr>
      <w:r>
        <w:t>2 This includes any information collected pursuant to a verification request to an exporter or producer. 16. Prior to issuing a written determination under paragraph 14, if the importing Party intends to deny preferential tariff treatment, the importing Party shall inform the importer, and any exporter or producer who is subject to the verification and provided information during the verification, of the preliminary results of the verification and provide those persons with a notice of intent to deny that includes when the denial would be effective and a period of at least 30 days for the submission of additional information, including documents, related to the originating status of the good. 17.</w:t>
      </w:r>
    </w:p>
    <w:p>
      <w:pPr>
        <w:pStyle w:val="Normal"/>
      </w:pPr>
      <w:r>
        <w:t>If verifications by a Party indicate a pattern of conduct by an importer, exporter, or a producer of false or unsupported representations that a good imported into its territory qualifies as an originating good, the Party may withhold preferential tariff treatment to identical goods imported, exported, or produced by such person until that person establishes compliance with this Chapter, Chapter 4 (Rules of Origin), and Chapter 6 (Textile and Apparel Goods). 18. For the purposes of this Article and relevant articles of the Uniform Regulations, all communication to the exporter or producer and to the customs administration of the Party of export will be sent by any means that can produce any confirmation of receipt. The specified time periods will begin from the date of receipt.</w:t>
      </w:r>
    </w:p>
    <w:p>
      <w:pPr>
        <w:pStyle w:val="Heading2"/>
      </w:pPr>
      <w:bookmarkStart w:id="900190" w:name="_Toc300000189"/>
      <w:r>
        <w:t xml:space="preserve">Article 5.10: Determinations of Origin</w:t>
      </w:r>
      <w:bookmarkEnd w:id="900190"/>
    </w:p>
    <w:p>
      <w:pPr>
        <w:pStyle w:val="Normal"/>
      </w:pPr>
      <w:r>
        <w:t xml:space="preserve">1. Except as otherwise provided in paragraph 2 or Article 6.7 (Determinations), each Party shall grant a claim for preferential tariff treatment made under this Chapter on or after the date of entry into force of this Agreement. 2. The importing Party may deny a claim for preferential tariff treatment if: (a) it determines that the good does not qualify for preferential treatment; (b) pursuant to a verification under Article 5.9 (Origin Verification), it has not received sufficient information to determine that the good qualifies as originating; (c) the exporter, producer, or importer fails to respond to a written request or questionnaire for information, including documents, under Article 5.9 (Origin Verification); (d) the exporter or producer fails to provide its written consent for a verification visit, in accordance with Article 5.9 (Origin Verification); (e) the importer, exporter, or producer fails to comply with the requirements of this Chapter; or (f) the exporter, producer, or importer of the good that is required to maintain records or documentation in accordance with this Chapter: (i) fails to maintain records or documentation, or (ii) denies access, if requested by a Party, to those records or documentation.</w:t>
      </w:r>
    </w:p>
    <w:p>
      <w:pPr>
        <w:pStyle w:val="Heading2"/>
      </w:pPr>
      <w:bookmarkStart w:id="900191" w:name="_Toc300000190"/>
      <w:r>
        <w:t xml:space="preserve">Article 5.11: Refunds and Claims for Preferential Tariff Treatment after Importation</w:t>
      </w:r>
      <w:bookmarkEnd w:id="900191"/>
    </w:p>
    <w:p>
      <w:pPr>
        <w:pStyle w:val="Normal"/>
      </w:pPr>
      <w:r>
        <w:t xml:space="preserve">1. Each Party shall provide that an importer may apply for preferential tariff treatment and a refund of any excess duties paid for a good if the importer did not make a claim for preferential tariff treatment at the time of importation, provided that the good would have qualified for preferential tariff treatment when it was imported into the territory of the Party. 2. The importing Party may, for the purposes of paragraph 1, require that the importer: (a) make a claim for preferential tariff treatment; (b) provide a statement that the good was originating at the time of importation; (c) provide a copy of the certification of origin; and (d) provide any other documentation relating to the importation of the good as the importing Party may require, no later than one year after the date of importation or a longer period if specified in the importing Party’s law.</w:t>
      </w:r>
    </w:p>
    <w:p>
      <w:pPr>
        <w:pStyle w:val="Heading2"/>
      </w:pPr>
      <w:bookmarkStart w:id="900192" w:name="_Toc300000191"/>
      <w:r>
        <w:t xml:space="preserve">Article 5.12: Confidentiality</w:t>
      </w:r>
      <w:bookmarkEnd w:id="900192"/>
    </w:p>
    <w:p>
      <w:pPr>
        <w:pStyle w:val="Normal"/>
      </w:pPr>
      <w:r>
        <w:t xml:space="preserve">1. If a Party provides information to another Party in accordance with this Chapter and designates the information as confidential or it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Chapter but only for the purposes of administration or enforcement of its customs laws or as otherwise provided under the Party’s law, including in an administrative, quasi-judicial, or judicial proceeding. 4. When a Party collects information from a trader under this Chapter, that Party shall apply the provisions set out in Article 7.24 (Protection of Trader Information) to keep the information confidential.</w:t>
      </w:r>
    </w:p>
    <w:p>
      <w:pPr>
        <w:pStyle w:val="Heading2"/>
      </w:pPr>
      <w:bookmarkStart w:id="900193" w:name="_Toc300000192"/>
      <w:r>
        <w:t xml:space="preserve">Article 5.13: Penalties</w:t>
      </w:r>
      <w:bookmarkEnd w:id="900193"/>
    </w:p>
    <w:p>
      <w:pPr>
        <w:pStyle w:val="Normal"/>
      </w:pPr>
      <w:r>
        <w:t xml:space="preserve">Each Party shall maintain criminal, civil, or administrative penalties for violations of its laws and regulations related to this Chapter.</w:t>
      </w:r>
    </w:p>
    <w:p>
      <w:pPr>
        <w:pStyle w:val="Heading2"/>
      </w:pPr>
      <w:bookmarkStart w:id="900194" w:name="_Toc300000193"/>
      <w:r>
        <w:t xml:space="preserve">Article 5.14: Advance Rulings Relating to Origin</w:t>
      </w:r>
      <w:bookmarkEnd w:id="900194"/>
    </w:p>
    <w:p>
      <w:pPr>
        <w:pStyle w:val="Normal"/>
      </w:pPr>
      <w:r>
        <w:t xml:space="preserve">1. In accordance with Article 7.5 (Advance Rulings), each Party, through its customs administration, shall, on request, provide for the issuance of a written advance ruling on origin under this Agreement. 2. Each Party shall adopt or maintain uniform procedures throughout its territory for the issuance of advance rulings on origin under this Agreement, including the common standards set out in the Uniform Regulations regarding the information required to process an application for a ruling.</w:t>
      </w:r>
    </w:p>
    <w:p>
      <w:pPr>
        <w:pStyle w:val="Heading2"/>
      </w:pPr>
      <w:bookmarkStart w:id="900195" w:name="_Toc300000194"/>
      <w:r>
        <w:t xml:space="preserve">Article 5.15: Review and Appeal</w:t>
      </w:r>
      <w:bookmarkEnd w:id="900195"/>
    </w:p>
    <w:p>
      <w:pPr>
        <w:pStyle w:val="Normal"/>
      </w:pPr>
      <w:r>
        <w:t xml:space="preserve">1. Each Party shall grant substantially the same rights of review and appeal of determinations of origin and advance rulings by its customs administration related to origin under this Agreement as it provides to importers in its territory, to an exporter or producer: (a) that completes a certification of origin for a good that has been the subject of a determination of origin under this Agreement; or (b) that has received an advance ruling on origin under this Agreement pursuant to Article 5.14 (Advance Rulings Relating to Origin), and Article 7.5 (Advance Rulings).</w:t>
      </w:r>
    </w:p>
    <w:p>
      <w:pPr>
        <w:pStyle w:val="Heading2"/>
      </w:pPr>
      <w:bookmarkStart w:id="900196" w:name="_Toc300000195"/>
      <w:r>
        <w:t xml:space="preserve">Article 5.16: Uniform Regulations</w:t>
      </w:r>
      <w:bookmarkEnd w:id="900196"/>
    </w:p>
    <w:p>
      <w:pPr>
        <w:pStyle w:val="Normal"/>
      </w:pPr>
      <w:r>
        <w:t xml:space="preserve">1. The Parties shall, by entry into force of this Agreement, adopt or maintain through their respective laws or regulations, Uniform Regulations regarding the interpretation, application, and administration of this Chapter, Chapter 4 (Rules of Origin), Chapter 6 (Textile and Apparel Goods), Chapter 7 (Customs Administration and Trade Facilitation) and other matters as may be decided by the Parties. 2. The Committee on Rules of Origin and Origin Procedures (Origin Committee) shall consult to discuss possible amendments or modifications to the Uniform Regulations. 3. In particular, the Origin Committee shall consult regularly to consider modifications or additions to the Uniform Regulations to reduce their complexity and provide practical and useful guidance to ensure better compliance with the rules and procedures of this Chapter, Chapter 4 (Rules of Origin), and Chapter 6 (Textile and Apparel Goods), including examples or guidance that would be of particular assistance to SMEs in the territories of the Parties. 4. The Origin Committee shall notify the Commission of any modification of or addition to the Uniform Regulations it decides. 5.</w:t>
      </w:r>
    </w:p>
    <w:p>
      <w:pPr>
        <w:pStyle w:val="Normal"/>
      </w:pPr>
      <w:r>
        <w:t>Each Party shall implement any modification of or addition to the Uniform Regulations within a period that the Parties decide. 6. Each Party shall apply the Uniform Regulations in addition to the obligations in the Chapter.</w:t>
      </w:r>
    </w:p>
    <w:p>
      <w:pPr>
        <w:pStyle w:val="Heading2"/>
      </w:pPr>
      <w:bookmarkStart w:id="900197" w:name="_Toc300000196"/>
      <w:r>
        <w:t xml:space="preserve">Article 5.17: Notification of Treatment</w:t>
      </w:r>
      <w:bookmarkEnd w:id="900197"/>
    </w:p>
    <w:p>
      <w:pPr>
        <w:pStyle w:val="Normal"/>
      </w:pPr>
      <w:r>
        <w:t xml:space="preserve">1. Each Party shall notify the other Parties of the following determinations, measures, and rulings, including to the extent practicable those that are prospective in application: (a) a determination of origin issued as the result of a verification conducted pursuant to Article 5.9 (Origin Verification); (b) a determination of origin that the Party is aware is contrary to: (i) a ruling issued by the customs administration of another Party, or (ii) consistent treatment given by the customs administration of another Party with respect to the tariff classification or value of a good, or of materials used in the production of a good, or the reasonable allocation of costs when calculating the net cost of a good, that has been the subject of a determination of origin; (c) a measure establishing or significantly modifying an administrative policy that is likely to affect a future determination of origin; and (d) an advance ruling, or a ruling modifying or revoking an advance ruling, on origin under this Agreement, pursuant to Article 5.14 (Advance Rulings Relating to Origin), and Article 7.5 (Advance Rulings).</w:t>
      </w:r>
    </w:p>
    <w:p>
      <w:pPr>
        <w:pStyle w:val="Heading2"/>
      </w:pPr>
      <w:bookmarkStart w:id="900198" w:name="_Toc300000197"/>
      <w:r>
        <w:t xml:space="preserve">Article 5.18: Committee on Rules of Origin and Origin Procedures</w:t>
      </w:r>
      <w:bookmarkEnd w:id="900198"/>
    </w:p>
    <w:p>
      <w:pPr>
        <w:pStyle w:val="Normal"/>
      </w:pPr>
      <w:r>
        <w:t xml:space="preserve">1. The Parties hereby establish a Committee on Rules of Origin and Origin Procedures (Origin Committee), composed of government representatives of each Party, to consider any matters arising under this Chapter or Chapter 4 (Rules of Origin). 2. The Origin Committee shall consult regularly to ensure that this Chapter and Chapter 4 (Rules of Origin) are administered effectively, uniformly, and consistently with the spirit and objectives of this Agreement. 3. The Origin Committee shall consult to discuss possible amendments or modifications to this Chapter or Chapter 4 (Rules of Origin), and in particular to the Product-Specific Rules of Origin in Annex 4-B, except Product-Specific Rules for textile and apparel goods, taking into account developments in technology, production processes, or other related matters. A Party may submit a proposed modification, along with supporting rationale and any studies to the other Parties for consideration. In particular, the Committee shall consider the possibility of cumulation with non-parties with which the Parties have trade agreements on a product by product basis. 4.</w:t>
      </w:r>
    </w:p>
    <w:p>
      <w:pPr>
        <w:pStyle w:val="Normal"/>
      </w:pPr>
      <w:r>
        <w:t>Prior to the entry into force of an amended version of the Harmonized System, the Origin Committee shall consult to prepare updates to this Chapter and Chapter 4 (Rules of Origin), and in particular to the Product-Specific Rules of Origin in Annex 4-B, except for textiles and apparel goods, that are necessary to reflect changes to the Harmonized System. 5. With respect to a textile or apparel good, Article 6.8 (Committee on Textile and Apparel Trade Matters) applies in place of this Article.</w:t>
      </w:r>
    </w:p>
    <w:p>
      <w:pPr>
        <w:pStyle w:val="Heading2"/>
      </w:pPr>
      <w:bookmarkStart w:id="900199" w:name="_Toc300000198"/>
      <w:r>
        <w:t xml:space="preserve">Article 5.19: Sub-Committee on Origin Verification</w:t>
      </w:r>
      <w:bookmarkEnd w:id="900199"/>
    </w:p>
    <w:p>
      <w:pPr>
        <w:pStyle w:val="Normal"/>
      </w:pPr>
      <w:r>
        <w:t xml:space="preserve">1. The Parties hereby establish a Sub-Committee on Origin Verification, composed of government representatives of each Party, which will be a subcommittee of the Origin Committee. 2. The Sub-Committee shall meet at least once within one year of the date of entry into force of this Agreement, and thereafter at such times as the Parties decide or on request of the Commission or the Origin Committee. 3. The Sub-Committee’s functions shall include: (a) discussing and developing technical papers and sharing technical advice related to this Chapter or Chapter 4 (Rules of Origin) for the purposes of conducting verifications of origin; (b) developing and improving the NAFTA 1994 Audit Manual and recommending verification procedures; (c) developing and improving verification questionnaires, forms, or brochures; and (d) providing a forum for the Parties to consult and endeavor to resolve issues relating to origin verification.</w:t>
      </w:r>
    </w:p>
    <w:p>
      <w:pPr>
        <w:pStyle w:val="Heading2"/>
      </w:pPr>
      <w:bookmarkStart w:id="900200" w:name="_Toc300000199"/>
      <w:r>
        <w:t xml:space="preserve">ANNEX 5-A MINIMUM DATA ELEMENTS</w:t>
      </w:r>
      <w:bookmarkEnd w:id="900200"/>
    </w:p>
    <w:p>
      <w:pPr>
        <w:pStyle w:val="Normal"/>
      </w:pPr>
      <w:r>
        <w:t xml:space="preserve">A certification of origin that is the basis for a claim for preferential tariff treatment under this Agreement shall include the following elements: 1. Importer, Exporter, or Producer Certification of Origin Indicate whether the certifier is the exporter, producer, or importer in accordance with Article 5.2 (Claims for Preferential Treatment). 2. Certifier Provide the certifier’s name, title, address (including country), telephone number, and e mail address. 3. Exporter Provide the exporter’s name, address (including country), e-mail address, and telephone number if different from the certifier. This information is not required if the producer is completing the certification of origin and does not know the identity of the exporter. The address of the exporter shall be the place of export of the good in a Party’s territory. 4. Producer Provide the producer’s name, address (including country), e-mail address, and telephone number, if different from the certifier or exporter or, if there are multiple producers, state “Various” or provide a list of producers.</w:t>
      </w:r>
    </w:p>
    <w:p>
      <w:pPr>
        <w:pStyle w:val="Normal"/>
      </w:pPr>
      <w:r>
        <w:t>A person that wishes for this information to remain confidential may state “Available upon request by the importing authorities”. The address of a producer shall be the place of production of the good in a Party’s territory. 5. Importer Provide, if known, the importer’s name, address, e-mail address, and telephone number. The address of the importer shall be in a Party’s territory. 6.</w:t>
      </w:r>
    </w:p>
    <w:p>
      <w:pPr>
        <w:pStyle w:val="Normal"/>
      </w:pPr>
      <w:r>
        <w:t>Description and HS Tariff Classification of the Good (a) Provide a description of the good and the HS tariff classification of the good to the 6-digit level. The description should be sufficient to relate it to the good covered by the certification; and 5-A-1 (b) If the certification of origin covers a single shipment of a good, indicate, if known, the invoice number related to the exportation. 7. Origin Criteria Specify the origin criteria under which the good qualifies, as set out in Article 4.2 (Originating Goods). 8. Blanket Period Include the period if the certification covers multiple shipments of identical goods for a specified period of up to 12 months as set out in Article 5.2 (Claims for Preferential Treatment). 9. Authorized Signature and Date The certification must be signed and dated by the certifier and accompanied by the following statement: I certify that the goods described in this document qualify as originating and the information contained in this document is true and accurate. I assume responsibility for proving such representations and agree to maintain and present upon request or to make available during a verification visit, documentation necessary to support this certification. 5-A-2</w:t>
      </w:r>
    </w:p>
    <w:p>
      <w:pPr>
        <w:pStyle w:val="ModHeading"/>
      </w:pPr>
      <w:bookmarkStart w:id="900201" w:name="_Toc300000200"/>
      <w:r>
        <w:t>CHAPTER 5: CUSMA 2.0 MODERNIZATION PROVISIONS</w:t>
      </w:r>
      <w:bookmarkEnd w:id="900201"/>
    </w:p>
    <w:p>
      <w:pPr>
        <w:pStyle w:val="Normal"/>
      </w:pPr>
      <w:r>
        <w:rPr>
          <w:i/>
        </w:rPr>
        <w:t>The provisions of this Part amend Chapter 5 (Origin Procedures).</w:t>
      </w:r>
    </w:p>
    <w:p>
      <w:pPr>
        <w:pStyle w:val="Heading2"/>
      </w:pPr>
      <w:bookmarkStart w:id="900202" w:name="_Toc300000201"/>
      <w:r>
        <w:t>Article 5.A: Verification Modernization</w:t>
      </w:r>
      <w:bookmarkEnd w:id="900202"/>
    </w:p>
    <w:p>
      <w:pPr>
        <w:pStyle w:val="Normal"/>
      </w:pPr>
      <w:r>
        <w:t>1. Verification of origin under Article 5.9 shall be conducted with regard to the following additional disciplines:</w:t>
      </w:r>
    </w:p>
    <w:p>
      <w:pPr>
        <w:pStyle w:val="Normal"/>
      </w:pPr>
      <w:r>
        <w:t>(a) a verification shall be based on reasonable, articulable grounds stated in the verification notice;</w:t>
      </w:r>
    </w:p>
    <w:p>
      <w:pPr>
        <w:pStyle w:val="Normal"/>
      </w:pPr>
      <w:r>
        <w:t>(b) verifications targeted at an entire national industry of another Party, rather than at identified producers, exporters, or shipments, are permitted only where the Verification Panel has certified a sector-wide risk pattern under Chapter 35;</w:t>
      </w:r>
    </w:p>
    <w:p>
      <w:pPr>
        <w:pStyle w:val="Normal"/>
      </w:pPr>
      <w:r>
        <w:t>(c) the customs administration shall complete verifications within the period in Article 5.9, and in any case shall issue its determination within 150 days after the request for information, failing which the claimed preferential treatment applies provisionally pending determination; and</w:t>
      </w:r>
    </w:p>
    <w:p>
      <w:pPr>
        <w:pStyle w:val="Normal"/>
      </w:pPr>
      <w:r>
        <w:t>(d) an exporter or producer subject to verification may present evidence of origin through any reasonable means, including the traceability records of Article 37.4 where applicable.</w:t>
      </w:r>
    </w:p>
    <w:p>
      <w:pPr>
        <w:pStyle w:val="Normal"/>
      </w:pPr>
      <w:r>
        <w:t>2. A customs administration shall not subject the same exporter, producer, or goods to repetitive verifications without new evidence. A further verification within 24 months of a completed verification that confirmed origin requires documented new grounds. A Party also shall not evade this discipline by distributing substantially similar verifications across multiple exporters, producers, shipments, facilities, products, agencies, or time periods where the aggregate pattern lacks independently reasonable, articulable grounds and has the purpose or reasonably foreseeable effect of imposing disproportionate administrative friction on originating trade. Where a challenged pattern could materially impede a sector or substantial volume of originating trade, the Party conducting the verifications bears the burden of identifying the risk basis, selection methodology, proportionality safeguards, and objective criteria for narrowing or ending the campaign; pending expedited review under Article 31.A or Chapter 35, compliant goods shall not lose preference solely because of the aggregate verification campaign absent entity- or shipment-specific grounds.</w:t>
      </w:r>
    </w:p>
    <w:p>
      <w:pPr>
        <w:pStyle w:val="Heading2"/>
      </w:pPr>
      <w:bookmarkStart w:id="900203" w:name="_Toc300000202"/>
      <w:r>
        <w:t>Article 5.B: Joint Verification and Data Exchange</w:t>
      </w:r>
      <w:bookmarkEnd w:id="900203"/>
    </w:p>
    <w:p>
      <w:pPr>
        <w:pStyle w:val="Normal"/>
      </w:pPr>
      <w:r>
        <w:t>1. The customs administrations of the Parties shall exchange origin-verification data, certification metadata, and risk indicators through secure electronic channels, consistent with Annex 35-C. Access shall be limited to authorized personnel for defined origin or customs purposes, authenticated and role-based, and recorded in auditable access logs.</w:t>
      </w:r>
    </w:p>
    <w:p>
      <w:pPr>
        <w:pStyle w:val="Normal"/>
      </w:pPr>
      <w:r>
        <w:t>2. Where suspected circumvention spans more than one Party, the customs administrations concerned shall conduct coordinated or joint verifications on request, and shall share results. Each participating administration acts under its own law; a joint verification does not enlarge the investigative, compulsory, or enforcement authority of another Party.</w:t>
      </w:r>
    </w:p>
    <w:p>
      <w:pPr>
        <w:pStyle w:val="Normal"/>
      </w:pPr>
      <w:r>
        <w:t>3. Information received under this Article is confidential, is used only for origin and customs purposes, and is subject to Article 5.12 (Confidentiality) and the access tiers of Annex 35-C, Part 4. Records shall be retained only for the period required by applicable law or an identified verification need, with correction, access-control, audit-log, and deletion or archival treatment governed by the supplying Party's restrictions and Annex 35-C. Where domestic legal requirements conflict, the administrations shall limit the exchange to the lawfully shareable minimum and use another lawful verification method rather than treating non-disclosure alone as adverse evidence.</w:t>
      </w:r>
    </w:p>
    <w:p>
      <w:pPr>
        <w:pStyle w:val="Heading2"/>
      </w:pPr>
      <w:bookmarkStart w:id="900204" w:name="_Toc300000203"/>
      <w:r>
        <w:t>Article 5.C: Anti-Circumvention Discipline</w:t>
      </w:r>
      <w:bookmarkEnd w:id="900204"/>
    </w:p>
    <w:p>
      <w:pPr>
        <w:pStyle w:val="Normal"/>
      </w:pPr>
      <w:r>
        <w:t>1. A Party that determines, through verification, that identified entities have engaged in transshipment, false declaration, or origin fraud shall apply consequences (denial of preference, penalties under its law, and suspension of certification privileges) to those entities and goods, in accordance with the procedural rights of Article 35.10A.</w:t>
      </w:r>
    </w:p>
    <w:p>
      <w:pPr>
        <w:pStyle w:val="Normal"/>
      </w:pPr>
      <w:r>
        <w:t>2. A Party shall not respond to entity-level origin fraud by withdrawing preferential treatment from the trade of other entities or of the sector generally, except in accordance with Chapter 35.</w:t>
      </w:r>
    </w:p>
    <w:p>
      <w:pPr>
        <w:pStyle w:val="Normal"/>
      </w:pPr>
      <w:r>
        <w:t>3. Upon demonstration of corrected conduct and reliable record-keeping, the entities’ access to preferential treatment restores automatically, and in any case not later than 30 days after the demonstration, unless a new verification establishes continuing fraud.</w:t>
      </w:r>
    </w:p>
    <w:p>
      <w:pPr>
        <w:pStyle w:val="Heading2"/>
      </w:pPr>
      <w:bookmarkStart w:id="900205" w:name="_Toc300000204"/>
      <w:r>
        <w:t>Article 5.D: Advance Rulings and Appeals</w:t>
      </w:r>
      <w:bookmarkEnd w:id="900205"/>
    </w:p>
    <w:p>
      <w:pPr>
        <w:pStyle w:val="Normal"/>
      </w:pPr>
      <w:r>
        <w:t>1. Advance rulings under Article 5.10 extend, on request, to the treatment of electric-vehicle, battery, and circular-production transactions under Article 4.A.</w:t>
      </w:r>
    </w:p>
    <w:p>
      <w:pPr>
        <w:pStyle w:val="Normal"/>
      </w:pPr>
      <w:r>
        <w:t>2. Each Party shall provide a rapid administrative appeal of origin determinations, certification decisions, and TNAO suspensions, with a decision within 90 days (30 days for TNAO suspensions), and judicial or quasi-judicial review thereafter in accordance with its law. The appellant shall receive written notice of the decision and the principal reasons and legal basis for it. Pending appeal, the importing Party shall use bond, escrow, provisional preference, or another lawful revenue-protection mechanism where reasonably available and adequate, unless credible fraud, prohibited goods, or a material enforcement risk requires different treatment. If the applicable decision period is missed, the authority shall promptly provide a written status update, reasons for delay, and a new expected decision date; missing the deadline does not by itself determine origin.</w:t>
      </w:r>
    </w:p>
    <w:p>
      <w:pPr>
        <w:pStyle w:val="Heading2"/>
      </w:pPr>
      <w:bookmarkStart w:id="900206" w:name="_Toc300000205"/>
      <w:r>
        <w:t>Article 5.E: Electronic Certification</w:t>
      </w:r>
      <w:bookmarkEnd w:id="900206"/>
    </w:p>
    <w:p>
      <w:pPr>
        <w:pStyle w:val="Normal"/>
      </w:pPr>
      <w:r>
        <w:t>1. Certificates of origin and supporting records may be created, transmitted, and retained in electronic form, and each Party shall accept electronic certifications and signatures in accordance with Chapter 7 as amended and Chapter 19 as amended.</w:t>
      </w:r>
    </w:p>
    <w:p>
      <w:pPr>
        <w:pStyle w:val="Normal"/>
      </w:pPr>
      <w:r>
        <w:t>2. The Parties shall implement interoperable electronic certification within 24 months after entry into force of the Protocol of Modernization, enabling a single certification data set to serve all three customs administrations. The common data set shall include at least the applicable minimum data elements in Annex 5-A and shall be mutually machine-readable. The customs administrations, acting through the Committee on Trade Facilitation and the existing origin committees, shall publish the technical specification, including authentication, integrity, version control, transmission-status and availability requirements. Each Party shall maintain a lawful non-electronic contingency process for material system outages or for traders that cannot reasonably use the electronic channel, without lowering the substantive certification standard.</w:t>
      </w:r>
    </w:p>
    <w:p>
      <w:pPr>
        <w:pStyle w:val="Heading2"/>
      </w:pPr>
      <w:bookmarkStart w:id="900207" w:name="_Toc300000206"/>
      <w:r>
        <w:t>Article 5.F: Administrative Simplicity and Least-Burdensome Verification</w:t>
      </w:r>
      <w:bookmarkEnd w:id="900207"/>
    </w:p>
    <w:p>
      <w:pPr>
        <w:pStyle w:val="Normal"/>
      </w:pPr>
      <w:r>
        <w:t>1. Where a trader demonstrably satisfies a simpler pathway that provides the treatment sought, a customs authority shall not require calculation, documentation, or verification under a more complex alternative pathway unless necessary to address credible evidence of circumvention, fraud, material error, or another mandatory treaty requirement.</w:t>
      </w:r>
    </w:p>
    <w:p>
      <w:pPr>
        <w:pStyle w:val="Normal"/>
      </w:pPr>
      <w:r>
        <w:t>2. A verification request shall identify the specific issue under review and initially be limited to information reasonably relevant to that issue. Broader requests require written reasons tied to identified risk.</w:t>
      </w:r>
    </w:p>
    <w:p>
      <w:pPr>
        <w:pStyle w:val="Normal"/>
      </w:pPr>
      <w:r>
        <w:t>3. Minor discrepancies that could not reasonably alter origin status, tariff treatment, a material credit, or enforcement outcome shall ordinarily be corrected through reconciliation rather than punitive treatment. Repeated or intentional discrepancies may be aggregated or escalated.</w:t>
      </w:r>
    </w:p>
    <w:p>
      <w:pPr>
        <w:pStyle w:val="Normal"/>
      </w:pPr>
      <w:r>
        <w:t>4. Nothing in this Article prevents full verification where justified, alters recordkeeping duties, excuses fraud, or restricts a Party's authority to protect revenue and enforce origin rules consistently with this Agreement.</w:t>
      </w:r>
    </w:p>
    <w:p>
      <w:pPr>
        <w:pStyle w:val="Heading2"/>
      </w:pPr>
      <w:bookmarkStart w:id="900208" w:name="_Toc300000207"/>
      <w:r>
        <w:t>Article 5.G: Standardized Verification Requests and Decisions</w:t>
      </w:r>
      <w:bookmarkEnd w:id="900208"/>
    </w:p>
    <w:p>
      <w:pPr>
        <w:pStyle w:val="Normal"/>
      </w:pPr>
      <w:r>
        <w:t>1. The customs administrations, acting through the existing Committee on Trade in Goods and customs cooperation mechanisms, shall maintain a common verification-request template and a common decision template. Templates shall identify the issue, legal basis, requested evidence, response deadline, available correction route, status-review points, and appeal rights.</w:t>
      </w:r>
    </w:p>
    <w:p>
      <w:pPr>
        <w:pStyle w:val="Normal"/>
      </w:pPr>
      <w:r>
        <w:t>2. A Party may request additional information where necessary, but shall explain why the additional material is relevant.</w:t>
      </w:r>
    </w:p>
    <w:p>
      <w:pPr>
        <w:pStyle w:val="Normal"/>
      </w:pPr>
      <w:r>
        <w:t>3. Standardized templates concern form and administration only and do not alter the substantive burden or standard established elsewhere in this Agreement.</w:t>
      </w:r>
    </w:p>
    <w:p>
      <w:pPr>
        <w:pStyle w:val="Heading2"/>
      </w:pPr>
      <w:bookmarkStart w:id="900209" w:name="_Toc300000208"/>
      <w:r>
        <w:t>Article 5.H: Risk-Tiered Verification</w:t>
      </w:r>
      <w:bookmarkEnd w:id="900209"/>
    </w:p>
    <w:p>
      <w:pPr>
        <w:pStyle w:val="Normal"/>
      </w:pPr>
      <w:r>
        <w:t>Verification shall be proportionate to documented risk. The operational lanes in this Article do not create a separate institution.</w:t>
      </w:r>
    </w:p>
    <w:p>
      <w:pPr>
        <w:pStyle w:val="Normal"/>
      </w:pPr>
      <w:r>
        <w:t>1. Trusted Lane: qualifying trusted traders receive a rebuttable presumption of compliance, document review as the default, and no on-site visit absent material anomaly, credible fraud indicator, or other reasonable grounds.</w:t>
      </w:r>
    </w:p>
    <w:p>
      <w:pPr>
        <w:pStyle w:val="Normal"/>
      </w:pPr>
      <w:r>
        <w:t>2. Standard Lane: questionnaire and documentary review are the default; an on-site visit requires reasonable articulable grounds or inability to resolve a material issue through documents.</w:t>
      </w:r>
    </w:p>
    <w:p>
      <w:pPr>
        <w:pStyle w:val="Normal"/>
      </w:pPr>
      <w:r>
        <w:t>3. Enhanced Lane: entities or transactions presenting documented high-risk indicators may receive full verification, including on-site review where lawful and necessary.</w:t>
      </w:r>
    </w:p>
    <w:p>
      <w:pPr>
        <w:pStyle w:val="Normal"/>
      </w:pPr>
      <w:r>
        <w:t>4. Trusted status may be suspended or revoked for material non-compliance, repeated serious error, obstruction, or fraud, subject to notice and review.</w:t>
      </w:r>
    </w:p>
    <w:p>
      <w:pPr>
        <w:pStyle w:val="Normal"/>
      </w:pPr>
      <w:r>
        <w:t>5. Risk models shall be periodically tested for false positives, discriminatory effects, and obsolete indicators.</w:t>
      </w:r>
    </w:p>
    <w:p>
      <w:pPr>
        <w:pStyle w:val="Heading2"/>
      </w:pPr>
      <w:bookmarkStart w:id="900210" w:name="_Toc300000209"/>
      <w:r>
        <w:t>Article 5.I: Single Submission and Reuse of Reliable Evidence</w:t>
      </w:r>
      <w:bookmarkEnd w:id="900210"/>
    </w:p>
    <w:p>
      <w:pPr>
        <w:pStyle w:val="Normal"/>
      </w:pPr>
      <w:r>
        <w:t>1. Existing electronic single-window and certification systems shall, to the maximum extent practicable, permit a trader to submit the same verification package once for authorized access by relevant customs administrations. Each Party retains independent legal authority to evaluate the evidence. A Party shall not require resubmission of identical material already available through an authorized interoperable system unless integrity, completeness, confidentiality, or technical-access concerns reasonably require it.</w:t>
      </w:r>
    </w:p>
    <w:p>
      <w:pPr>
        <w:pStyle w:val="Normal"/>
      </w:pPr>
      <w:r>
        <w:t>2. A prior audit, advance ruling, or verification finding involving materially identical goods, facts, supply chains, and legal provisions receives presumptive administrative weight. Supplementary verification requires materially new evidence, changed facts, identified audit deficiency, or credible fraud indicators.</w:t>
      </w:r>
    </w:p>
    <w:p>
      <w:pPr>
        <w:pStyle w:val="Normal"/>
      </w:pPr>
      <w:r>
        <w:t>3. A positive origin verification for the same goods from the same exporter shall ordinarily provide 12 months of repose from repetitive verification absent materially new evidence or a material change in the relevant supply chain, production method, ownership, or origin facts.</w:t>
      </w:r>
    </w:p>
    <w:p>
      <w:pPr>
        <w:pStyle w:val="Heading2"/>
      </w:pPr>
      <w:bookmarkStart w:id="900211" w:name="_Toc300000210"/>
      <w:r>
        <w:t>Article 5.J: Batch Certification and Model-Year Determinations</w:t>
      </w:r>
      <w:bookmarkEnd w:id="900211"/>
    </w:p>
    <w:p>
      <w:pPr>
        <w:pStyle w:val="Normal"/>
      </w:pPr>
      <w:r>
        <w:t>1. Repeated shipments of identical goods may use annual or other authorized blanket certifications consistent with Article 5.3.5. A blanket certification shall be offered as an ordinary administrative option where the goods, producer or exporter, applicable origin rule, and material origin facts are expected to remain stable during the certification period and no documented risk requires shipment-specific certification. A refusal of an otherwise eligible blanket-certification request shall state the principal reasons.</w:t>
      </w:r>
    </w:p>
    <w:p>
      <w:pPr>
        <w:pStyle w:val="Normal"/>
      </w:pPr>
      <w:r>
        <w:t>2. Automotive producers may seek advance model, model-year, component-family, or another determination expressly authorized by the customs administration or an applicable implementing schedule, covering approved origin coefficients, strategic-component treatment, and earned integration credits. The responsible customs administration shall publish the categories of advance determination it accepts and the information required for each. Border authorities shall apply an approved determination without reconstructing the full calculation shipment by shipment absent a material anomaly or changed facts.</w:t>
      </w:r>
    </w:p>
    <w:p>
      <w:pPr>
        <w:pStyle w:val="Normal"/>
      </w:pPr>
      <w:r>
        <w:t>3. Producers shall promptly disclose material changes affecting an approved determination and shall reconcile any resulting difference under Article 5.K.</w:t>
      </w:r>
    </w:p>
    <w:p>
      <w:pPr>
        <w:pStyle w:val="Heading2"/>
      </w:pPr>
      <w:bookmarkStart w:id="900212" w:name="_Toc300000211"/>
      <w:r>
        <w:t>Article 5.K: Correction, Cure, and Administrative Stay</w:t>
      </w:r>
      <w:bookmarkEnd w:id="900212"/>
    </w:p>
    <w:p>
      <w:pPr>
        <w:pStyle w:val="Normal"/>
      </w:pPr>
      <w:r>
        <w:t>1. Clerical, formatting, transcription, or comparable minor discrepancies shall not by themselves justify denial of preferential treatment where the substantive claim is otherwise supported. Where a correctable discrepancy is identified, the trader shall ordinarily receive at least 10 working days to submit a corrected certification or missing non-material information. Preferential treatment shall continue or be restored pending review where revenue is adequately protected and no credible fraud indicator exists.</w:t>
      </w:r>
    </w:p>
    <w:p>
      <w:pPr>
        <w:pStyle w:val="Normal"/>
      </w:pPr>
      <w:r>
        <w:t>2. For a good-faith substantive error, a trader may submit a correction plan within 30 days. Authorities may waive or reduce penalties where the error is promptly corrected, properly due amounts are paid, and reasonable compliance controls are demonstrated. Fraud, intentional misrepresentation, concealment, obstruction, or repeated reckless conduct is not eligible for the safe harbors in this Article.</w:t>
      </w:r>
    </w:p>
    <w:p>
      <w:pPr>
        <w:pStyle w:val="Heading2"/>
      </w:pPr>
      <w:bookmarkStart w:id="900213" w:name="_Toc300000212"/>
      <w:r>
        <w:t>Article 5.L: Verification Clocks and Status Transparency</w:t>
      </w:r>
      <w:bookmarkEnd w:id="900213"/>
    </w:p>
    <w:p>
      <w:pPr>
        <w:pStyle w:val="Normal"/>
      </w:pPr>
      <w:r>
        <w:t>1. A trader subject to verification shall receive electronic status information identifying the current stage, outstanding requests, and deadlines. For reviews continuing beyond 30, 60, or 90 days, the authority shall provide a status update and an estimated completion date; where a reliable estimate cannot reasonably be given, the update shall explain why and identify the next procedural milestone. Nothing in this paragraph extends the 150-day outer determination rule in Article 5.A.</w:t>
      </w:r>
    </w:p>
    <w:p>
      <w:pPr>
        <w:pStyle w:val="Normal"/>
      </w:pPr>
      <w:r>
        <w:t>2. Delay alone does not establish origin or non-origin, but unexplained administrative delay shall not be used to impose unnecessary commercial disruption. Where consistent with domestic law and adequate to protect revenue, the importing Party shall make available escrow, bond, provisional preference, or another equivalent interim mechanism while verification remains pending.</w:t>
      </w:r>
    </w:p>
    <w:p>
      <w:pPr>
        <w:pStyle w:val="Heading2"/>
      </w:pPr>
      <w:bookmarkStart w:id="900214" w:name="_Toc300000213"/>
      <w:r>
        <w:t>Article 5.M: Electronic Traceability and Technology Neutrality</w:t>
      </w:r>
      <w:bookmarkEnd w:id="900214"/>
    </w:p>
    <w:p>
      <w:pPr>
        <w:pStyle w:val="Normal"/>
      </w:pPr>
      <w:r>
        <w:t>A reliable electronic traceability chain may constitute presumptive evidence for the facts it records where it provides auditable provenance, integrity controls, access logs, correction history, retention, and confidentiality protection. No particular technology is required. Specific evidence of tampering, false input, broken chain of custody, or material inconsistency may rebut the presumption.</w:t>
      </w:r>
    </w:p>
    <w:p>
      <w:pPr>
        <w:pStyle w:val="Heading2"/>
      </w:pPr>
      <w:bookmarkStart w:id="900215" w:name="_Toc300000214"/>
      <w:r>
        <w:t>Article 5.N: Proportionate Supplier Documentation</w:t>
      </w:r>
      <w:bookmarkEnd w:id="900215"/>
    </w:p>
    <w:p>
      <w:pPr>
        <w:pStyle w:val="Normal"/>
      </w:pPr>
      <w:r>
        <w:t>1. A Party may authorize simplified supplier declarations for low-value, non-strategic inputs where full documentation would be disproportionate to origin risk. Any such program is a facilitation option rather than an entitlement unless the Party has expressly adopted it as such. Published eligibility criteria shall consider both value and strategic sensitivity; core automotive components, high-circumvention-risk goods, and inputs material to a product-specific rule may be excluded regardless of value.</w:t>
      </w:r>
    </w:p>
    <w:p>
      <w:pPr>
        <w:pStyle w:val="Normal"/>
      </w:pPr>
      <w:r>
        <w:t>2. The customs administration operating a simplified-declaration program shall publish its thresholds, covered and excluded categories, required declaration fields, and material suspension criteria, and shall review them at least once every 24 months. Material exclusions or suspensions shall be based on the published criteria and shall not modify the substantive origin requirement.</w:t>
      </w:r>
    </w:p>
    <w:p>
      <w:pPr>
        <w:pStyle w:val="Heading2"/>
      </w:pPr>
      <w:bookmarkStart w:id="900216" w:name="_Toc300000215"/>
      <w:r>
        <w:t>Article 5.O: Appeals Without Unnecessary Trade Interruption</w:t>
      </w:r>
      <w:bookmarkEnd w:id="900216"/>
    </w:p>
    <w:p>
      <w:pPr>
        <w:pStyle w:val="Normal"/>
      </w:pPr>
      <w:r>
        <w:t>1. Where preferential treatment is denied and the trader timely appeals, the importing Party shall permit bond, escrow, or equivalent security in lieu of unnecessary interruption where consistent with domestic law and adequate to protect revenue.</w:t>
      </w:r>
    </w:p>
    <w:p>
      <w:pPr>
        <w:pStyle w:val="Normal"/>
      </w:pPr>
      <w:r>
        <w:t>2. SMEs shall have access to simplified procedural requirements and expedited scheduling without changing the substantive standard of review. Material appeal decisions and advance rulings shall be published in searchable, appropriately redacted form. Prior decisions may have persuasive or precedential effect only to the extent permitted by the relevant Party's law or expressly adopted under this Agreement.</w:t>
      </w:r>
    </w:p>
    <w:p>
      <w:pPr>
        <w:pStyle w:val="Normal"/>
      </w:pPr>
      <w:r>
        <w:t>3. Where preference was clearly and finally denied through administrative error, improperly collected duties shall be refunded with applicable interest. Reasonable extraordinary storage or demurrage directly caused by clear administrative error may be addressed under domestic procedures; this does not create open-ended consequential-damages liability.</w:t>
      </w:r>
    </w:p>
    <w:p>
      <w:pPr>
        <w:pStyle w:val="Heading2"/>
      </w:pPr>
      <w:bookmarkStart w:id="900217" w:name="_Toc300000216"/>
      <w:r>
        <w:t>Article 5.P: Consolidated Origin Verification Manual and Training</w:t>
      </w:r>
      <w:bookmarkEnd w:id="900217"/>
    </w:p>
    <w:p>
      <w:pPr>
        <w:pStyle w:val="Normal"/>
      </w:pPr>
      <w:r>
        <w:t>1. The existing Secretariat, working with the customs administrations and relevant existing committees, shall publish and maintain a consolidated North American Origin Verification Manual containing current procedures, templates, timelines, electronic-submission guidance, correction routes, and non-binding implementation examples.</w:t>
      </w:r>
    </w:p>
    <w:p>
      <w:pPr>
        <w:pStyle w:val="Normal"/>
      </w:pPr>
      <w:r>
        <w:t>2. The Manual reflects the Agreement and does not amend it. In any conflict, the Agreement controls.</w:t>
      </w:r>
    </w:p>
    <w:p>
      <w:pPr>
        <w:pStyle w:val="Normal"/>
      </w:pPr>
      <w:r>
        <w:t>3. The customs administrations shall maintain a joint training and exchange program using existing institutional structures. No separate academy or permanent body is established.</w:t>
      </w:r>
    </w:p>
    <w:p>
      <w:pPr>
        <w:pStyle w:val="Normal"/>
      </w:pPr>
      <w:r>
        <w:t>4. Training shall emphasize consistent interpretation, issue-limited requests, confidentiality, risk-based verification, anti-circumvention, SME usability, and recognition of reliable prior findings.</w:t>
      </w:r>
    </w:p>
    <w:p>
      <w:pPr>
        <w:pStyle w:val="Heading2"/>
      </w:pPr>
      <w:bookmarkStart w:id="900218" w:name="_Toc300000217"/>
      <w:r>
        <w:t>Article 5.Q: No Delay of Chapter 23-B Benefits Through Verification</w:t>
      </w:r>
      <w:bookmarkEnd w:id="900218"/>
    </w:p>
    <w:p>
      <w:pPr>
        <w:pStyle w:val="Normal"/>
      </w:pPr>
      <w:r>
        <w:t>Verification procedures under this Chapter shall not be used to delay, condition, or deny worker income support, retraining, or community resilience benefits under Chapter 23-B. Chapter 23-B benefits shall be paid upon claim (with basic eligibility verification) and shall not be held pending trade verification or other Chapter 5 procedures. A worker's eligibility for income support is independent of trade verification timelines.</w:t>
      </w:r>
    </w:p>
    <w:p>
      <w:pPr>
        <w:pStyle w:val="Heading2"/>
      </w:pPr>
      <w:bookmarkStart w:id="900219" w:name="_Toc300000218"/>
      <w:r>
        <w:t>ANNEX 5-Z: Verification Service Standards and Safe-Harbor Matrix</w:t>
      </w:r>
      <w:bookmarkEnd w:id="900219"/>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1872"/>
        <w:gridCol w:w="1872"/>
        <w:gridCol w:w="1872"/>
        <w:gridCol w:w="1872"/>
        <w:gridCol w:w="1872"/>
      </w:tblGrid>
      <w:tr>
        <w:trPr>
          <w:tblHeader w:val="true"/>
        </w:trPr>
        <w:tc>
          <w:tcPr>
            <w:tcW w:w="1872" w:type="dxa"/>
            <w:tcBorders>
              <w:bottom w:val="single" w:sz="6" w:space="0" w:color="546E7A"/>
            </w:tcBorders>
            <w:shd w:fill="E4E9EC" w:val="clear" w:color="auto"/>
          </w:tcPr>
          <w:p>
            <w:pPr>
              <w:pStyle w:val="TableText"/>
              <w:jc w:val="left"/>
            </w:pPr>
            <w:r>
              <w:rPr>
                <w:b/>
                <w:color w:val="37474F"/>
                <w:lang w:val="en-US" w:eastAsia="en-US" w:bidi="ar-SA"/>
              </w:rPr>
              <w:t>Situation</w:t>
            </w:r>
          </w:p>
        </w:tc>
        <w:tc>
          <w:tcPr>
            <w:tcW w:w="1872" w:type="dxa"/>
            <w:tcBorders>
              <w:bottom w:val="single" w:sz="6" w:space="0" w:color="546E7A"/>
            </w:tcBorders>
            <w:shd w:fill="E4E9EC" w:val="clear" w:color="auto"/>
          </w:tcPr>
          <w:p>
            <w:pPr>
              <w:pStyle w:val="TableText"/>
              <w:jc w:val="left"/>
            </w:pPr>
            <w:r>
              <w:rPr>
                <w:b/>
                <w:color w:val="37474F"/>
                <w:lang w:val="en-US" w:eastAsia="en-US" w:bidi="ar-SA"/>
              </w:rPr>
              <w:t>Default Process</w:t>
            </w:r>
          </w:p>
        </w:tc>
        <w:tc>
          <w:tcPr>
            <w:tcW w:w="1872" w:type="dxa"/>
            <w:tcBorders>
              <w:bottom w:val="single" w:sz="6" w:space="0" w:color="546E7A"/>
            </w:tcBorders>
            <w:shd w:fill="E4E9EC" w:val="clear" w:color="auto"/>
          </w:tcPr>
          <w:p>
            <w:pPr>
              <w:pStyle w:val="TableText"/>
              <w:jc w:val="left"/>
            </w:pPr>
            <w:r>
              <w:rPr>
                <w:b/>
                <w:color w:val="37474F"/>
                <w:lang w:val="en-US" w:eastAsia="en-US" w:bidi="ar-SA"/>
              </w:rPr>
              <w:t>Escalation Trigger</w:t>
            </w:r>
          </w:p>
        </w:tc>
        <w:tc>
          <w:tcPr>
            <w:tcW w:w="1872" w:type="dxa"/>
            <w:tcBorders>
              <w:bottom w:val="single" w:sz="6" w:space="0" w:color="546E7A"/>
            </w:tcBorders>
            <w:shd w:fill="E4E9EC" w:val="clear" w:color="auto"/>
          </w:tcPr>
          <w:p>
            <w:pPr>
              <w:pStyle w:val="TableText"/>
              <w:jc w:val="left"/>
            </w:pPr>
            <w:r>
              <w:rPr>
                <w:b/>
                <w:color w:val="37474F"/>
                <w:lang w:val="en-US" w:eastAsia="en-US" w:bidi="ar-SA"/>
              </w:rPr>
              <w:t>Trade Treatment While Pending</w:t>
            </w:r>
          </w:p>
        </w:tc>
        <w:tc>
          <w:tcPr>
            <w:tcW w:w="1872" w:type="dxa"/>
            <w:tcBorders>
              <w:bottom w:val="single" w:sz="6" w:space="0" w:color="546E7A"/>
            </w:tcBorders>
            <w:shd w:fill="E4E9EC" w:val="clear" w:color="auto"/>
          </w:tcPr>
          <w:p>
            <w:pPr>
              <w:pStyle w:val="TableText"/>
              <w:jc w:val="left"/>
            </w:pPr>
            <w:r>
              <w:rPr>
                <w:b/>
                <w:color w:val="37474F"/>
                <w:lang w:val="en-US" w:eastAsia="en-US" w:bidi="ar-SA"/>
              </w:rPr>
              <w:t>Target Administration</w:t>
            </w:r>
          </w:p>
        </w:tc>
      </w:tr>
      <w:tr>
        <w:trPr/>
        <w:tc>
          <w:tcPr>
            <w:tcW w:w="1872" w:type="dxa"/>
            <w:tcMar>
              <w:top w:w="70" w:type="dxa"/>
              <w:start w:w="110" w:type="dxa"/>
              <w:bottom w:w="70" w:type="dxa"/>
              <w:end w:w="110" w:type="dxa"/>
            </w:tcMar>
          </w:tcPr>
          <w:p>
            <w:pPr>
              <w:pStyle w:val="TableText"/>
              <w:jc w:val="left"/>
            </w:pPr>
            <w:r>
              <w:rPr>
                <w:lang w:val="en-US" w:eastAsia="en-US" w:bidi="ar-SA"/>
              </w:rPr>
              <w:t>Trusted trader / stable goods</w:t>
            </w:r>
          </w:p>
        </w:tc>
        <w:tc>
          <w:tcPr>
            <w:tcW w:w="1872" w:type="dxa"/>
            <w:tcMar>
              <w:top w:w="70" w:type="dxa"/>
              <w:start w:w="110" w:type="dxa"/>
              <w:bottom w:w="70" w:type="dxa"/>
              <w:end w:w="110" w:type="dxa"/>
            </w:tcMar>
          </w:tcPr>
          <w:p>
            <w:pPr>
              <w:pStyle w:val="TableText"/>
              <w:jc w:val="left"/>
            </w:pPr>
            <w:r>
              <w:rPr>
                <w:lang w:val="en-US" w:eastAsia="en-US" w:bidi="ar-SA"/>
              </w:rPr>
              <w:t>Document review; batch or annual certification; reuse reliable prior findings</w:t>
            </w:r>
          </w:p>
        </w:tc>
        <w:tc>
          <w:tcPr>
            <w:tcW w:w="1872" w:type="dxa"/>
            <w:tcMar>
              <w:top w:w="70" w:type="dxa"/>
              <w:start w:w="110" w:type="dxa"/>
              <w:bottom w:w="70" w:type="dxa"/>
              <w:end w:w="110" w:type="dxa"/>
            </w:tcMar>
          </w:tcPr>
          <w:p>
            <w:pPr>
              <w:pStyle w:val="TableText"/>
              <w:jc w:val="left"/>
            </w:pPr>
            <w:r>
              <w:rPr>
                <w:lang w:val="en-US" w:eastAsia="en-US" w:bidi="ar-SA"/>
              </w:rPr>
              <w:t>Material anomaly, new evidence, credible fraud indicator</w:t>
            </w:r>
          </w:p>
        </w:tc>
        <w:tc>
          <w:tcPr>
            <w:tcW w:w="1872" w:type="dxa"/>
            <w:tcMar>
              <w:top w:w="70" w:type="dxa"/>
              <w:start w:w="110" w:type="dxa"/>
              <w:bottom w:w="70" w:type="dxa"/>
              <w:end w:w="110" w:type="dxa"/>
            </w:tcMar>
          </w:tcPr>
          <w:p>
            <w:pPr>
              <w:pStyle w:val="TableText"/>
              <w:jc w:val="left"/>
            </w:pPr>
            <w:r>
              <w:rPr>
                <w:lang w:val="en-US" w:eastAsia="en-US" w:bidi="ar-SA"/>
              </w:rPr>
              <w:t>Preference continues where revenue is protected</w:t>
            </w:r>
          </w:p>
        </w:tc>
        <w:tc>
          <w:tcPr>
            <w:tcW w:w="1872" w:type="dxa"/>
            <w:tcMar>
              <w:top w:w="70" w:type="dxa"/>
              <w:start w:w="110" w:type="dxa"/>
              <w:bottom w:w="70" w:type="dxa"/>
              <w:end w:w="110" w:type="dxa"/>
            </w:tcMar>
          </w:tcPr>
          <w:p>
            <w:pPr>
              <w:pStyle w:val="TableText"/>
              <w:jc w:val="left"/>
            </w:pPr>
            <w:r>
              <w:rPr>
                <w:lang w:val="en-US" w:eastAsia="en-US" w:bidi="ar-SA"/>
              </w:rPr>
              <w:t>Fast lane</w:t>
            </w:r>
          </w:p>
        </w:tc>
      </w:tr>
      <w:tr>
        <w:trPr/>
        <w:tc>
          <w:tcPr>
            <w:tcW w:w="1872" w:type="dxa"/>
            <w:shd w:fill="F5F7F8" w:val="clear" w:color="auto"/>
            <w:tcMar>
              <w:top w:w="70" w:type="dxa"/>
              <w:start w:w="110" w:type="dxa"/>
              <w:bottom w:w="70" w:type="dxa"/>
              <w:end w:w="110" w:type="dxa"/>
            </w:tcMar>
          </w:tcPr>
          <w:p>
            <w:pPr>
              <w:pStyle w:val="TableText"/>
              <w:jc w:val="left"/>
            </w:pPr>
            <w:r>
              <w:rPr>
                <w:lang w:val="en-US" w:eastAsia="en-US" w:bidi="ar-SA"/>
              </w:rPr>
              <w:t>Standard-risk verification</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Issue-limited standardized questionnaire; remote review first</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Unresolved material inconsistency or reasonable articulable grounds</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Preference continues, bond/escrow, or targeted hold as legally appropriate</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Ordinary lane</w:t>
            </w:r>
          </w:p>
        </w:tc>
      </w:tr>
      <w:tr>
        <w:trPr/>
        <w:tc>
          <w:tcPr>
            <w:tcW w:w="1872" w:type="dxa"/>
            <w:tcMar>
              <w:top w:w="70" w:type="dxa"/>
              <w:start w:w="110" w:type="dxa"/>
              <w:bottom w:w="70" w:type="dxa"/>
              <w:end w:w="110" w:type="dxa"/>
            </w:tcMar>
          </w:tcPr>
          <w:p>
            <w:pPr>
              <w:pStyle w:val="TableText"/>
              <w:jc w:val="left"/>
            </w:pPr>
            <w:r>
              <w:rPr>
                <w:lang w:val="en-US" w:eastAsia="en-US" w:bidi="ar-SA"/>
              </w:rPr>
              <w:t>High-risk / credible circumvention</w:t>
            </w:r>
          </w:p>
        </w:tc>
        <w:tc>
          <w:tcPr>
            <w:tcW w:w="1872" w:type="dxa"/>
            <w:tcMar>
              <w:top w:w="70" w:type="dxa"/>
              <w:start w:w="110" w:type="dxa"/>
              <w:bottom w:w="70" w:type="dxa"/>
              <w:end w:w="110" w:type="dxa"/>
            </w:tcMar>
          </w:tcPr>
          <w:p>
            <w:pPr>
              <w:pStyle w:val="TableText"/>
              <w:jc w:val="left"/>
            </w:pPr>
            <w:r>
              <w:rPr>
                <w:lang w:val="en-US" w:eastAsia="en-US" w:bidi="ar-SA"/>
              </w:rPr>
              <w:t>Full verification; expanded records; on-site review where lawful</w:t>
            </w:r>
          </w:p>
        </w:tc>
        <w:tc>
          <w:tcPr>
            <w:tcW w:w="1872" w:type="dxa"/>
            <w:tcMar>
              <w:top w:w="70" w:type="dxa"/>
              <w:start w:w="110" w:type="dxa"/>
              <w:bottom w:w="70" w:type="dxa"/>
              <w:end w:w="110" w:type="dxa"/>
            </w:tcMar>
          </w:tcPr>
          <w:p>
            <w:pPr>
              <w:pStyle w:val="TableText"/>
              <w:jc w:val="left"/>
            </w:pPr>
            <w:r>
              <w:rPr>
                <w:lang w:val="en-US" w:eastAsia="en-US" w:bidi="ar-SA"/>
              </w:rPr>
              <w:t>Existing documented risk</w:t>
            </w:r>
          </w:p>
        </w:tc>
        <w:tc>
          <w:tcPr>
            <w:tcW w:w="1872" w:type="dxa"/>
            <w:tcMar>
              <w:top w:w="70" w:type="dxa"/>
              <w:start w:w="110" w:type="dxa"/>
              <w:bottom w:w="70" w:type="dxa"/>
              <w:end w:w="110" w:type="dxa"/>
            </w:tcMar>
          </w:tcPr>
          <w:p>
            <w:pPr>
              <w:pStyle w:val="TableText"/>
              <w:jc w:val="left"/>
            </w:pPr>
            <w:r>
              <w:rPr>
                <w:lang w:val="en-US" w:eastAsia="en-US" w:bidi="ar-SA"/>
              </w:rPr>
              <w:t>Targeted protective measures permitted</w:t>
            </w:r>
          </w:p>
        </w:tc>
        <w:tc>
          <w:tcPr>
            <w:tcW w:w="1872" w:type="dxa"/>
            <w:tcMar>
              <w:top w:w="70" w:type="dxa"/>
              <w:start w:w="110" w:type="dxa"/>
              <w:bottom w:w="70" w:type="dxa"/>
              <w:end w:w="110" w:type="dxa"/>
            </w:tcMar>
          </w:tcPr>
          <w:p>
            <w:pPr>
              <w:pStyle w:val="TableText"/>
              <w:jc w:val="left"/>
            </w:pPr>
            <w:r>
              <w:rPr>
                <w:lang w:val="en-US" w:eastAsia="en-US" w:bidi="ar-SA"/>
              </w:rPr>
              <w:t>Enhanced lane</w:t>
            </w:r>
          </w:p>
        </w:tc>
      </w:tr>
      <w:tr>
        <w:trPr/>
        <w:tc>
          <w:tcPr>
            <w:tcW w:w="1872" w:type="dxa"/>
            <w:shd w:fill="F5F7F8" w:val="clear" w:color="auto"/>
            <w:tcMar>
              <w:top w:w="70" w:type="dxa"/>
              <w:start w:w="110" w:type="dxa"/>
              <w:bottom w:w="70" w:type="dxa"/>
              <w:end w:w="110" w:type="dxa"/>
            </w:tcMar>
          </w:tcPr>
          <w:p>
            <w:pPr>
              <w:pStyle w:val="TableText"/>
              <w:jc w:val="left"/>
            </w:pPr>
            <w:r>
              <w:rPr>
                <w:lang w:val="en-US" w:eastAsia="en-US" w:bidi="ar-SA"/>
              </w:rPr>
              <w:t>Minor clerical discrepancy</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10-working-day correction opportunity</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Failure to cure, repeated pattern, or evidence of intent</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No unnecessary denial solely for minor error</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Correction lane</w:t>
            </w:r>
          </w:p>
        </w:tc>
      </w:tr>
      <w:tr>
        <w:trPr/>
        <w:tc>
          <w:tcPr>
            <w:tcW w:w="1872" w:type="dxa"/>
            <w:tcMar>
              <w:top w:w="70" w:type="dxa"/>
              <w:start w:w="110" w:type="dxa"/>
              <w:bottom w:w="70" w:type="dxa"/>
              <w:end w:w="110" w:type="dxa"/>
            </w:tcMar>
          </w:tcPr>
          <w:p>
            <w:pPr>
              <w:pStyle w:val="TableText"/>
              <w:jc w:val="left"/>
            </w:pPr>
            <w:r>
              <w:rPr>
                <w:lang w:val="en-US" w:eastAsia="en-US" w:bidi="ar-SA"/>
              </w:rPr>
              <w:t>Positive prior verification</w:t>
            </w:r>
          </w:p>
        </w:tc>
        <w:tc>
          <w:tcPr>
            <w:tcW w:w="1872" w:type="dxa"/>
            <w:tcMar>
              <w:top w:w="70" w:type="dxa"/>
              <w:start w:w="110" w:type="dxa"/>
              <w:bottom w:w="70" w:type="dxa"/>
              <w:end w:w="110" w:type="dxa"/>
            </w:tcMar>
          </w:tcPr>
          <w:p>
            <w:pPr>
              <w:pStyle w:val="TableText"/>
              <w:jc w:val="left"/>
            </w:pPr>
            <w:r>
              <w:rPr>
                <w:lang w:val="en-US" w:eastAsia="en-US" w:bidi="ar-SA"/>
              </w:rPr>
              <w:t>12-month repose for same goods/exporter</w:t>
            </w:r>
          </w:p>
        </w:tc>
        <w:tc>
          <w:tcPr>
            <w:tcW w:w="1872" w:type="dxa"/>
            <w:tcMar>
              <w:top w:w="70" w:type="dxa"/>
              <w:start w:w="110" w:type="dxa"/>
              <w:bottom w:w="70" w:type="dxa"/>
              <w:end w:w="110" w:type="dxa"/>
            </w:tcMar>
          </w:tcPr>
          <w:p>
            <w:pPr>
              <w:pStyle w:val="TableText"/>
              <w:jc w:val="left"/>
            </w:pPr>
            <w:r>
              <w:rPr>
                <w:lang w:val="en-US" w:eastAsia="en-US" w:bidi="ar-SA"/>
              </w:rPr>
              <w:t>Materially new evidence or changed facts</w:t>
            </w:r>
          </w:p>
        </w:tc>
        <w:tc>
          <w:tcPr>
            <w:tcW w:w="1872" w:type="dxa"/>
            <w:tcMar>
              <w:top w:w="70" w:type="dxa"/>
              <w:start w:w="110" w:type="dxa"/>
              <w:bottom w:w="70" w:type="dxa"/>
              <w:end w:w="110" w:type="dxa"/>
            </w:tcMar>
          </w:tcPr>
          <w:p>
            <w:pPr>
              <w:pStyle w:val="TableText"/>
              <w:jc w:val="left"/>
            </w:pPr>
            <w:r>
              <w:rPr>
                <w:lang w:val="en-US" w:eastAsia="en-US" w:bidi="ar-SA"/>
              </w:rPr>
              <w:t>Prior treatment presumptively continues</w:t>
            </w:r>
          </w:p>
        </w:tc>
        <w:tc>
          <w:tcPr>
            <w:tcW w:w="1872" w:type="dxa"/>
            <w:tcMar>
              <w:top w:w="70" w:type="dxa"/>
              <w:start w:w="110" w:type="dxa"/>
              <w:bottom w:w="70" w:type="dxa"/>
              <w:end w:w="110" w:type="dxa"/>
            </w:tcMar>
          </w:tcPr>
          <w:p>
            <w:pPr>
              <w:pStyle w:val="TableText"/>
              <w:jc w:val="left"/>
            </w:pPr>
            <w:r>
              <w:rPr>
                <w:lang w:val="en-US" w:eastAsia="en-US" w:bidi="ar-SA"/>
              </w:rPr>
              <w:t>Reuse lane</w:t>
            </w:r>
          </w:p>
        </w:tc>
      </w:tr>
      <w:tr>
        <w:trPr/>
        <w:tc>
          <w:tcPr>
            <w:tcW w:w="1872" w:type="dxa"/>
            <w:shd w:fill="F5F7F8" w:val="clear" w:color="auto"/>
            <w:tcMar>
              <w:top w:w="70" w:type="dxa"/>
              <w:start w:w="110" w:type="dxa"/>
              <w:bottom w:w="70" w:type="dxa"/>
              <w:end w:w="110" w:type="dxa"/>
            </w:tcMar>
          </w:tcPr>
          <w:p>
            <w:pPr>
              <w:pStyle w:val="TableText"/>
              <w:jc w:val="left"/>
            </w:pPr>
            <w:r>
              <w:rPr>
                <w:lang w:val="en-US" w:eastAsia="en-US" w:bidi="ar-SA"/>
              </w:rPr>
              <w:t>Automotive Standard Tier qualification</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Apply ordinary CUSMA treatment; stop</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Evidence ordinary qualification is invalid</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Duty-free where otherwise provided</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Safe harbor</w:t>
            </w:r>
          </w:p>
        </w:tc>
      </w:tr>
      <w:tr>
        <w:trPr/>
        <w:tc>
          <w:tcPr>
            <w:tcW w:w="1872" w:type="dxa"/>
            <w:tcMar>
              <w:top w:w="70" w:type="dxa"/>
              <w:start w:w="110" w:type="dxa"/>
              <w:bottom w:w="70" w:type="dxa"/>
              <w:end w:w="110" w:type="dxa"/>
            </w:tcMar>
          </w:tcPr>
          <w:p>
            <w:pPr>
              <w:pStyle w:val="TableText"/>
              <w:jc w:val="left"/>
            </w:pPr>
            <w:r>
              <w:rPr>
                <w:lang w:val="en-US" w:eastAsia="en-US" w:bidi="ar-SA"/>
              </w:rPr>
              <w:t>Automotive alternative settlement</w:t>
            </w:r>
          </w:p>
        </w:tc>
        <w:tc>
          <w:tcPr>
            <w:tcW w:w="1872" w:type="dxa"/>
            <w:tcMar>
              <w:top w:w="70" w:type="dxa"/>
              <w:start w:w="110" w:type="dxa"/>
              <w:bottom w:w="70" w:type="dxa"/>
              <w:end w:w="110" w:type="dxa"/>
            </w:tcMar>
          </w:tcPr>
          <w:p>
            <w:pPr>
              <w:pStyle w:val="TableText"/>
              <w:jc w:val="left"/>
            </w:pPr>
            <w:r>
              <w:rPr>
                <w:lang w:val="en-US" w:eastAsia="en-US" w:bidi="ar-SA"/>
              </w:rPr>
              <w:t>Approved model/model-year calculation where possible</w:t>
            </w:r>
          </w:p>
        </w:tc>
        <w:tc>
          <w:tcPr>
            <w:tcW w:w="1872" w:type="dxa"/>
            <w:tcMar>
              <w:top w:w="70" w:type="dxa"/>
              <w:start w:w="110" w:type="dxa"/>
              <w:bottom w:w="70" w:type="dxa"/>
              <w:end w:w="110" w:type="dxa"/>
            </w:tcMar>
          </w:tcPr>
          <w:p>
            <w:pPr>
              <w:pStyle w:val="TableText"/>
              <w:jc w:val="left"/>
            </w:pPr>
            <w:r>
              <w:rPr>
                <w:lang w:val="en-US" w:eastAsia="en-US" w:bidi="ar-SA"/>
              </w:rPr>
              <w:t>Material change or anomaly</w:t>
            </w:r>
          </w:p>
        </w:tc>
        <w:tc>
          <w:tcPr>
            <w:tcW w:w="1872" w:type="dxa"/>
            <w:tcMar>
              <w:top w:w="70" w:type="dxa"/>
              <w:start w:w="110" w:type="dxa"/>
              <w:bottom w:w="70" w:type="dxa"/>
              <w:end w:w="110" w:type="dxa"/>
            </w:tcMar>
          </w:tcPr>
          <w:p>
            <w:pPr>
              <w:pStyle w:val="TableText"/>
              <w:jc w:val="left"/>
            </w:pPr>
            <w:r>
              <w:rPr>
                <w:lang w:val="en-US" w:eastAsia="en-US" w:bidi="ar-SA"/>
              </w:rPr>
              <w:t>Apply approved coefficient subject to reconciliation</w:t>
            </w:r>
          </w:p>
        </w:tc>
        <w:tc>
          <w:tcPr>
            <w:tcW w:w="1872" w:type="dxa"/>
            <w:tcMar>
              <w:top w:w="70" w:type="dxa"/>
              <w:start w:w="110" w:type="dxa"/>
              <w:bottom w:w="70" w:type="dxa"/>
              <w:end w:w="110" w:type="dxa"/>
            </w:tcMar>
          </w:tcPr>
          <w:p>
            <w:pPr>
              <w:pStyle w:val="TableText"/>
              <w:jc w:val="left"/>
            </w:pPr>
            <w:r>
              <w:rPr>
                <w:lang w:val="en-US" w:eastAsia="en-US" w:bidi="ar-SA"/>
              </w:rPr>
              <w:t>13.8% settlement lane</w:t>
            </w:r>
          </w:p>
        </w:tc>
      </w:tr>
    </w:tbl>
    <w:p>
      <w:pPr>
        <w:pStyle w:val="Heading2"/>
      </w:pPr>
      <w:bookmarkStart w:id="900220" w:name="_Toc300000219"/>
      <w:r>
        <w:t>Implementation Direction</w:t>
      </w:r>
      <w:bookmarkEnd w:id="900220"/>
    </w:p>
    <w:p>
      <w:pPr>
        <w:pStyle w:val="Normal"/>
      </w:pPr>
      <w:r>
        <w:t>Within 180 days of entry into force of this Package, the customs administrations, the Committee on Origin Procedures and its Sub-Committee on Origin Verification, and the Committee on Trade Facilitation, acting within their existing mandates, shall harmonize templates, electronic submission specifications, service standards, model-year automotive procedures, and the consolidated Verification Manual. The Committee on Origin Procedures shall coordinate resolution of conflicting origin-verification templates or specifications, consulting the Committee on Trade Facilitation where the conflict concerns electronic transmission or single-window interoperability. They shall prioritize reuse of existing systems and budgets and shall identify any proposal that would require a new permanent institution for Commission review under Article 30.C.1.</w:t>
      </w:r>
    </w:p>
    <w:p>
      <w:pPr>
        <w:pStyle w:val="Normal"/>
      </w:pPr>
      <w:r>
        <w:t>Nothing in this Package authorizes deletion of existing substantive protections merely for administrative convenience. Simplification shall reduce unnecessary duplication, delay, and documentation while preserving verification depth where risk warrants it.</w:t>
      </w:r>
    </w:p>
    <w:p>
      <w:pPr>
        <w:pStyle w:val="Heading1"/>
      </w:pPr>
      <w:bookmarkStart w:id="900221" w:name="_Toc300000220"/>
      <w:r>
        <w:t>CHAPTER 6 TEXTILE AND APPAREL GOODS</w:t>
      </w:r>
      <w:bookmarkEnd w:id="900221"/>
    </w:p>
    <w:p>
      <w:pPr>
        <w:pStyle w:val="Heading2"/>
      </w:pPr>
      <w:bookmarkStart w:id="900222" w:name="_Toc300000221"/>
      <w:r>
        <w:t xml:space="preserve">Article 6.1: Rules of Origin and Related Matters</w:t>
      </w:r>
      <w:bookmarkEnd w:id="900222"/>
    </w:p>
    <w:p>
      <w:pPr>
        <w:pStyle w:val="Normal"/>
      </w:pPr>
      <w:r>
        <w:t xml:space="preserve">Application of Chapters 4 (Rules of Origin) and 5 (Origin Procedures) 1. Except as provided in this Chapter, Chapters 4 (Rules of Origin) and 5 (Origin Procedures) apply to textile and apparel goods. De Minimis 2. A textile or apparel good classified in Chapters 50 through 60 or heading 96.19 of the Harmonized System that contains non-originating materials that do not satisfy the applicable change in tariff classification requirement specified in Annex 4-B (Product-Specific Rules of Origin), shall nonetheless be considered to be an originating good if the total weight of all those materials is not more than 10 percent of the total weight of the good, of which the total weight of elastomeric content may not exceed 7 percent of the total weight of the good, and the good meets all the other applicable requirements of this Chapter and Chapter 4 (Rules of Origin). 3.</w:t>
      </w:r>
    </w:p>
    <w:p>
      <w:pPr>
        <w:pStyle w:val="Normal"/>
      </w:pPr>
      <w:r>
        <w:t>A textile or apparel good classified in Chapters 61 through 63 of the Harmonized System that contains non-originating fibers or yarns in the component of the good that determines the tariff classification of the good that do not satisfy the applicable change in tariff classification set out in Annex 4-B (Product-Specific Rules of Origin), shall nonetheless be considered to be an originating good if the total weight of all those fibers or yarns is not more than 10 percent of the total weight of that component, of which the total weight of elastomeric content may not exceed 7 percent of the total weight of the good, and the good meets all the other applicable requirements of this Chapter and Chapter 4 (Rules of Origin). Treatment of Sets 4.</w:t>
      </w:r>
    </w:p>
    <w:p>
      <w:pPr>
        <w:pStyle w:val="Normal"/>
      </w:pPr>
      <w:r>
        <w:t>Notwithstanding the product-specific rules of origin set out in Annex 4-B (Product- Specific Rules of Origin), textile and apparel goods put up in sets for retail sale, classified as a result of the application of Rule 3 of the General Rules for the Interpretation of the Harmonized System, shall not be originating goods unless each of the goods in the set is an originating good or the total value of the non-originating goods in the set does not exceed 10 percent of the value of the set. 5.</w:t>
      </w:r>
    </w:p>
    <w:p>
      <w:pPr>
        <w:pStyle w:val="Normal"/>
      </w:pPr>
      <w:r>
        <w:t>For the purposes of paragraph 4: (a) the value of non-originating goods in the set shall be calculated in the same manner as the value of non-originating materials in Chapter 4 (Rules of Origin); and (b) the value of the set shall be calculated in the same manner as the value of the good in Chapter 4 (Rules of Origin).</w:t>
      </w:r>
    </w:p>
    <w:p>
      <w:pPr>
        <w:pStyle w:val="Heading2"/>
      </w:pPr>
      <w:bookmarkStart w:id="900223" w:name="_Toc300000222"/>
      <w:r>
        <w:t xml:space="preserve">Article 6.2: Handmade, Traditional Folkloric, or Indigenous Handicraft Goods</w:t>
      </w:r>
      <w:bookmarkEnd w:id="900223"/>
    </w:p>
    <w:p>
      <w:pPr>
        <w:pStyle w:val="Normal"/>
      </w:pPr>
      <w:r>
        <w:t xml:space="preserve">1. An importing Party and an exporting Party may identify particular textile or apparel goods that they mutually agree are: (a) hand-loomed fabrics of a cottage industry; (b) hand-made cottage industry goods made of those hand-loomed fabrics; (c) traditional folklore handicraft goods; or (d) indigenous handicraft goods. 2. The goods identified pursuant to paragraph 1 shall be eligible for duty-free treatment by the importing Party provided that any requirements agreed by the importing and exporting Parties are met.</w:t>
      </w:r>
    </w:p>
    <w:p>
      <w:pPr>
        <w:pStyle w:val="Heading2"/>
      </w:pPr>
      <w:bookmarkStart w:id="900224" w:name="_Toc300000223"/>
      <w:r>
        <w:t>Article 6.3: Special Provisions</w:t>
      </w:r>
      <w:bookmarkEnd w:id="900224"/>
    </w:p>
    <w:p>
      <w:pPr>
        <w:pStyle w:val="Normal"/>
      </w:pPr>
      <w:r>
        <w:t>Annex 6-A (Special Provisions) sets out special provisions applicable to certain textile and apparel goods.</w:t>
      </w:r>
    </w:p>
    <w:p>
      <w:pPr>
        <w:pStyle w:val="Heading2"/>
      </w:pPr>
      <w:bookmarkStart w:id="900225" w:name="_Toc300000224"/>
      <w:r>
        <w:t xml:space="preserve">Article 6.4: Review and Revision of Rules of Origin</w:t>
      </w:r>
      <w:bookmarkEnd w:id="900225"/>
    </w:p>
    <w:p>
      <w:pPr>
        <w:pStyle w:val="Normal"/>
      </w:pPr>
      <w:r>
        <w:t xml:space="preserve">1. On request of a Party, the Parties shall consult to consider whether particular goods should be subject to different rules of origin to address issues of availability of supply of fibers, yarns, or fabrics in the territories of the Parties. 2. In the consultations, each Party shall consider the data presented by a Party showing substantial production in its territory of the particular good. The consulting Parties shall consider that substantial production has been shown if that Party demonstrates that its domestic producers are capable of supplying commercial quantities of the good in a timely manner. With a view to concluding consultations without delay, the Parties shall endeavor to make an initial assessment of the evidence available regarding whether the fiber, yarn, or fabric is commercially available in the territories of the Parties promptly and to the extent possible within 90 days. 3.</w:t>
      </w:r>
    </w:p>
    <w:p>
      <w:pPr>
        <w:pStyle w:val="Normal"/>
      </w:pPr>
      <w:r>
        <w:t>If, based on the initial assessment, the Parties agree that the fiber, yarn, or fabric is not commercially available, the Parties shall endeavor to reach agreement promptly on a corresponding proposed product-specific rule change and, as appropriate, proceed with their respective domestic procedures for implementation. The Parties shall endeavor to conclude consultations within 60 days after the initial assessment.</w:t>
      </w:r>
    </w:p>
    <w:p>
      <w:pPr>
        <w:pStyle w:val="Normal"/>
      </w:pPr>
      <w:r>
        <w:t>An agreement between the Parties shall supersede any prior rule of origin for such good when approved by each Party in accordance with any necessary legal procedures of each Party.</w:t>
      </w:r>
    </w:p>
    <w:p>
      <w:pPr>
        <w:pStyle w:val="Heading2"/>
      </w:pPr>
      <w:bookmarkStart w:id="900226" w:name="_Toc300000225"/>
      <w:r>
        <w:t xml:space="preserve">Article 6.5: Cooperation</w:t>
      </w:r>
      <w:bookmarkEnd w:id="900226"/>
    </w:p>
    <w:p>
      <w:pPr>
        <w:pStyle w:val="Normal"/>
      </w:pPr>
      <w:r>
        <w:t xml:space="preserve">1. The Parties shall cooperate, through information sharing and other activities as provided for in Article 7.25 (Regional and Bilateral Cooperation on Enforcement), Article 7.26 (Exchange of Specific Confidential Information), Article 7.27 (Customs Compliance Verification Requests), and Article 7.28 (Confidentiality between Parties), on matters related to trade in textile and apparel goods. 2. The Parties recognize that documents such as bills of lading, invoices, contracts of sale, purchase orders, packing lists, and other commercial documents are particularly important to detect, prevent, or address customs offenses related to trade in textile and apparel goods. 3. Each Party shall designate a contact point for information exchange and other cooperation activities related to trade in textile and apparel goods in accordance with Article 30.5 (Agreement Coordinator and Contact Points).</w:t>
      </w:r>
    </w:p>
    <w:p>
      <w:pPr>
        <w:pStyle w:val="Heading2"/>
      </w:pPr>
      <w:bookmarkStart w:id="900227" w:name="_Toc300000226"/>
      <w:r>
        <w:t xml:space="preserve">Article 6.6: Verification</w:t>
      </w:r>
      <w:bookmarkEnd w:id="900227"/>
    </w:p>
    <w:p>
      <w:pPr>
        <w:pStyle w:val="Normal"/>
      </w:pPr>
      <w:r>
        <w:t xml:space="preserve">1. An importing Party may, through its customs administration, conduct a verification with respect to a textile or apparel good pursuant to Article 5.9 (Origin Verification), and the associated procedures, to verify whether a good qualifies for preferential tariff treatment, or through a request for a site visit as described in this Article.1 2. An importing Party may request a site visit under this Article from an exporter or producer of textile or apparel goods to verify whether: (a) a textile or apparel good qualifies for preferential tariff treatment under this Agreement; or (b) customs offenses with regard to a textile or apparel good are occurring or have occurred. 3. During a site visit under paragraph 2, an importing Party may request access to: (a) records and facilities relevant to the claim for preferential tariff treatment; or (b) records and facilities relevant to the customs offenses being verified. 4.</w:t>
      </w:r>
    </w:p>
    <w:p>
      <w:pPr>
        <w:pStyle w:val="Normal"/>
      </w:pPr>
      <w:r>
        <w:t>If an importing Party seeks to conduct a site visit under paragraph 2, it shall provide the host Party, not later than 20 days prior to the date of the first visit to an exporter or producer, with: (a) the proposed dates; (b) the number and general location of exporters and producers to be visited in appropriate detail to allow the efficient and effective application of the provisions of paragraphs 7(a) and 7(b), but does not need to specify the names of the exporters or producers to be visited; (c) whether assistance by the host Party will be requested and what type; (d) the suspected customs offenses to be verified under paragraph 2(b), including relevant factual information available at the time of the notification related to the specific offenses, which may include historical information; and (e) whether the importer claimed preferential tariff treatment. 5.</w:t>
      </w:r>
    </w:p>
    <w:p>
      <w:pPr>
        <w:pStyle w:val="Normal"/>
      </w:pPr>
      <w:r>
        <w:t>If an importing Party seeks to conduct a site visit under paragraph 2, and does not provide the names of the exporters or producers 20 days prior to the site visit, it shall provide the host For the purposes of this Article, the information collected in accordance with this Article shall be used for the purpose of ensuring the effective implementation of this Chapter. A Party shall not use these procedures to collect information for other purposes.</w:t>
      </w:r>
    </w:p>
    <w:p>
      <w:pPr>
        <w:pStyle w:val="Normal"/>
      </w:pPr>
      <w:r>
        <w:t>Party with a list of the names and addresses of the exporters or producers it proposes to visit, in a timely manner and prior to the date of the first visit to an exporter or producer under paragraph 2, to facilitate coordination, logistical support, and scheduling of the site visit. 6. The host Party shall promptly acknowledge receipt of the notification of a proposed site visit under paragraph 2, and may request information from the importing Party to facilitate planning of the site visit, such as logistical arrangements or provision of requested assistance. 7. If an importing Party seeks to conduct a site visit under paragraph 2: (a) officials of the customs administration of the host Party may accompany the officials of the importing Party during the site visit;</w:t>
      </w:r>
    </w:p>
    <w:p>
      <w:pPr>
        <w:pStyle w:val="Normal"/>
      </w:pPr>
      <w:r>
        <w:t>(b) officials of the customs administration of the host Party may, in accordance with its laws and regulations, on request of the importing Party or on its own initiative, assist the officials of the importing Party during the site visit and provide, to the extent practicable, information relevant to conduct the site visit; (c) the importing and the host Party shall limit communication regarding the site visit to relevant government officials and shall not inform any person outside the government of the host Party in advance of a site visit or provide any other verification or other information not publicly available the disclosure of which could undermine the effectiveness of the action; (d) the importing Party</w:t>
      </w:r>
    </w:p>
    <w:p>
      <w:pPr>
        <w:pStyle w:val="Normal"/>
      </w:pPr>
      <w:r>
        <w:t>shall request permission from the exporter, producer, or a person having capacity to consent on behalf of the exporter or producer, either prior to the site visit if this would not undermine the effectiveness of the site visit or at the time of the site visit, to access the relevant records or facilities; and (e) if the exporter, producer, or person having the capacity to consent on behalf of the exporter or producer denies permission or access to the records or facilities, the site visit will not occur. If the exporter, producer, or a person having the capacity to consent on behalf of the exporter or producer is not able to receive the importing Party to carry out the site visit, the site visit shall be conducted on the following working day unless: (i) the importing Party agrees otherwise, or (ii) the exporter, producer, or person having the capacity to consent on behalf of the exporter or producer, substantiates a valid reason acceptable to the importing Party that the site visit cannot occur at that time.</w:t>
      </w:r>
    </w:p>
    <w:p>
      <w:pPr>
        <w:pStyle w:val="Normal"/>
      </w:pPr>
      <w:r>
        <w:t>If the exporter, producer, or person having the capacity to consent on behalf of the exporter or producer, does not have a valid reason acceptable to the importing Party that the site visit cannot take place on the following working day, the importing Party may deem permission for the site visit or access to the records or facilities to be denied.</w:t>
      </w:r>
    </w:p>
    <w:p>
      <w:pPr>
        <w:pStyle w:val="Normal"/>
      </w:pPr>
      <w:r>
        <w:t>The importing Party shall give consideration to any reasonable alternative proposed dates, taking into account the availability of relevant employees or facilities of the person visited. 8. On completion of a site visit under paragraph 2, the importing Party shall: (a) on request of the host Party, inform the host Party of its preliminary findings; (b) on receiving a written request from the host Party, provide the host Party with a written report of the results of the site visit, including any findings, no later than 90 days after the date of the request; and (c) on receiving a written request of the exporter or producer, provide that person with a written report of the results of the site visit as it pertains to that exporter or producer, including any findings. This may be a report prepared under subparagraph (b), with appropriate changes. The importing Party shall inform the exporter or producer of the entitlement to request this report. 9.</w:t>
      </w:r>
    </w:p>
    <w:p>
      <w:pPr>
        <w:pStyle w:val="Normal"/>
      </w:pPr>
      <w:r>
        <w:t>If an importing Party conducts a site visit under this Article and, as a result, intends to deny preferential tariff treatment to a textile or apparel good, it shall, prior to issuing a written determination, inform the importer and any exporter or producer that provided information directly to the importing Party, of the preliminary results of the verification and provide those persons with a notice of intent to deny that includes when the denial would be effective and a period of at least 30 days to submit additional information, including documents, to support the claim for preferential tariff treatment. 10. The importing Party shall not reject a claim for preferential tariff treatment on the sole grounds that the host Party does not provide requested assistance or information under this Article. 11.</w:t>
      </w:r>
    </w:p>
    <w:p>
      <w:pPr>
        <w:pStyle w:val="Normal"/>
      </w:pPr>
      <w:r>
        <w:t>If verifications of identical textile or apparel goods by a Party indicate a pattern of conduct by an exporter or producer of false or unsupported representations that a textile or apparel good imported into its territory qualifies for preferential tariff treatment, the importing Party may withhold preferential tariff treatment to identical textile or apparel goods imported, exported, or produced by that person until it is demonstrated to the importing Party that those identical textile or apparel goods qualify for preferential tariff treatment.</w:t>
      </w:r>
    </w:p>
    <w:p>
      <w:pPr>
        <w:pStyle w:val="Normal"/>
      </w:pPr>
      <w:r>
        <w:t>For the purposes of this paragraph, “identical textile or apparel goods” means textile or apparel goods that are the same in all respects, including physical characteristics, quality and reputation, irrespective of minor differences in appearance that are not relevant to a determination of origin of those goods.</w:t>
      </w:r>
    </w:p>
    <w:p>
      <w:pPr>
        <w:pStyle w:val="Heading2"/>
      </w:pPr>
      <w:bookmarkStart w:id="900228" w:name="_Toc300000227"/>
      <w:r>
        <w:t xml:space="preserve">Article 6.7: Determinations</w:t>
      </w:r>
      <w:bookmarkEnd w:id="900228"/>
    </w:p>
    <w:p>
      <w:pPr>
        <w:pStyle w:val="Normal"/>
      </w:pPr>
      <w:r>
        <w:t xml:space="preserve">The importing Party may deny a claim for preferential tariff treatment for a textile or apparel good: (a) for a reason listed in Article 5.10 (Determinations of Origin); (b) if, pursuant to a site visit under Article 6.6.2 (Verification), it has not received sufficient information to determine that the textile or apparel good qualifies for preferential tariff treatment; or (c) if, pursuant to a request for a site visit under Article 6.6.2 (Verification), a the importing Party is unable to conduct a site visit as access or permission for the site visit is denied, the importing Party is prevented from completing the site visit, or the exporter, producer, or person having the capacity to consent on behalf of the exporter or producer does not provide access to the relevant records or facilities during a site visit.</w:t>
      </w:r>
    </w:p>
    <w:p>
      <w:pPr>
        <w:pStyle w:val="Heading2"/>
      </w:pPr>
      <w:bookmarkStart w:id="900229" w:name="_Toc300000228"/>
      <w:r>
        <w:t xml:space="preserve">Article 6.8: Committee on Textile and Apparel Trade Matters</w:t>
      </w:r>
      <w:bookmarkEnd w:id="900229"/>
    </w:p>
    <w:p>
      <w:pPr>
        <w:pStyle w:val="Normal"/>
      </w:pPr>
      <w:r>
        <w:t xml:space="preserve">1. The Parties hereby establish a Committee on Textile and Apparel Trade Matters, (Textiles Committee), composed of government representatives of each Party. 2. The Textiles Committee shall meet at least once within one year of the date of entry into force of this Agreement, and thereafter at such times as the Parties decide and on request of the Commission. The Committee shall meet at such venues and times as the Parties decide. 3. The Textiles Committee may consider any matter arising under this Chapter, and its functions shall include review of the implementation of this Chapter, consultation on technical or interpretive difficulties that may arise under this Chapter, and discussion of ways to improve the effectiveness of cooperation under this Chapter. 4.</w:t>
      </w:r>
    </w:p>
    <w:p>
      <w:pPr>
        <w:pStyle w:val="Normal"/>
      </w:pPr>
      <w:r>
        <w:t>The Textiles Committee shall assess the potential benefits and risks that may result from the elimination of existing restrictions on trade between the Parties in worn clothing and other worn articles classified in heading 63.09 of the Harmonized System, including the effects on business and employment opportunities, and on the market for textile and apparel goods, in each Party. 5. Prior to the entry into force of an amended version of the Harmonized System, the Committee shall consult to prepare proposed updates to this Chapter that are necessary to reflect changes to the Harmonized System.</w:t>
      </w:r>
    </w:p>
    <w:p>
      <w:pPr>
        <w:pStyle w:val="Heading2"/>
      </w:pPr>
      <w:bookmarkStart w:id="900230" w:name="_Toc300000229"/>
      <w:r>
        <w:t xml:space="preserve">Article 6.9: Confidentiality</w:t>
      </w:r>
      <w:bookmarkEnd w:id="900230"/>
    </w:p>
    <w:p>
      <w:pPr>
        <w:pStyle w:val="Normal"/>
      </w:pPr>
      <w:r>
        <w:t xml:space="preserve">The provisions set out in Article 5.12 (Confidentiality) apply to the information collected from a trader or provided by another Party under this Chapter.</w:t>
      </w:r>
    </w:p>
    <w:p>
      <w:pPr>
        <w:pStyle w:val="Heading2"/>
      </w:pPr>
      <w:bookmarkStart w:id="900231" w:name="_Toc300000230"/>
      <w:r>
        <w:t xml:space="preserve">ANNEX 6-A SPECIAL PROVISIONS</w:t>
      </w:r>
      <w:bookmarkEnd w:id="900231"/>
    </w:p>
    <w:p>
      <w:pPr>
        <w:pStyle w:val="Normal"/>
      </w:pPr>
      <w:r>
        <w:t xml:space="preserve">Section A: Definitions For the purposes of this Annex: average yarn number means the average yarn number of the yarns contained within the good. In computing the average yarn number, the length of the yarn is considered to be equal to the distance covered by it in the fabric, with all clipped yarn being measured as if continuous and with the count being taken of the total single yarns in the fabric including the single yarns in any multiple (folded) or cabled yarns. The weight shall be taken after any excessive sizing is removed by boiling or other suitable process. Any one of the following formulas may be used to determine the average yarn number: N = BYT / 1,000 N = 100T / Z’ N = BT / Z N = ST / 10 where:</w:t>
      </w:r>
    </w:p>
    <w:p>
      <w:pPr>
        <w:pStyle w:val="Normal"/>
      </w:pPr>
      <w:r>
        <w:t>N is the average yarn number, B is the breadth (width) of the fabric in centimeters, Y is the meters (linear) of the fabric per kilogram, T is the total single yarns per square centimeter, S is the square meters of fabric per kilogram, Z is the grams per linear meter of fabric, and Z’ is the grams per square meter of fabric, and fractions in the resulting “average yarn number” shall be disregarded.</w:t>
      </w:r>
    </w:p>
    <w:p>
      <w:pPr>
        <w:pStyle w:val="Normal"/>
      </w:pPr>
      <w:r>
        <w:t>category means the 3-digit textile and apparel categories and the corresponding Harmonized System numbers set out in the Correlation: Textile and Apparel Categories with the Harmonized Tariff Schedule of the United States, or successor publication, published by the United States Department of Commerce, International Trade Administration, Office of Textiles and Apparel; square meters equivalent (SME) means that unit of measurement that results from the application of the conversion factors set out in Annex 6-B (Conversion Factors) to a primary unit of measure such as unit, dozen, or kilogram; and 6-A-1 wool apparel means: (a) apparel predominantly of wool, by weight; (b) woven apparel predominantly of man-made fibers by weight, and containing 36 percent or more of wool, by weight; or (c) knitted or crocheted apparel predominantly of man-made fibers by weight, and containing 23 percent or more of wool by weight. Section B:</w:t>
      </w:r>
    </w:p>
    <w:p>
      <w:pPr>
        <w:pStyle w:val="Normal"/>
      </w:pPr>
      <w:r>
        <w:t>Tariff Treatment of Certain Textile and Apparel Goods The United States shall not apply customs duties on textile and apparel goods that are assembled in Mexico from fabrics wholly formed and cut in the United States and exported from and reimported into the United States under:2 (a) U.S. tariff item 9802.00.90 or any successor provision to this U.S. tariff item; or (b) Chapter 61, 62, or 63 of the Harmonized System if, after such assembly, those goods that would have qualified for treatment under 9802.00.90, or any successor provision to this U.S.</w:t>
      </w:r>
    </w:p>
    <w:p>
      <w:pPr>
        <w:pStyle w:val="Normal"/>
      </w:pPr>
      <w:r>
        <w:t>tariff item, notwithstanding whether the goods have been subject to bleaching, garment dyeing, stone-washing, acid-washing, or perma pressing. Section C: Preferential Tariff Treatment for Non-Originating Goods of another Party Apparel Goods 1. Each Party shall apply the preferential tariff treatment applicable to originating goods, set out in its Schedule to Annex 2-B (Tariff Commitments), up to the annual quantities, in SME, specified in Appendix 1 (Preferential Tariff Treatment for Non-Originating Apparel), to apparel goods of Chapters 61 and 62 of the Harmonized System that are both cut (or knit to shape) and sewn or otherwise assembled in the territory of a Party from fabric or yarn produced or obtained outside the territories of the Parties, and that meet other applicable conditions for preferential tariff treatment under this Agreement. The SME shall be determined in accordance with the conversion factors set out in Annex 6-B (Conversion Factors). Exceptions 2 For purposes of this Section, visible lining fabric may be of any origin. 6-A-2 2.</w:t>
      </w:r>
    </w:p>
    <w:p>
      <w:pPr>
        <w:pStyle w:val="Normal"/>
      </w:pPr>
      <w:r>
        <w:t>For the purposes of trade between Mexico and the United States: (a) apparel goods of Chapters 61 and 62 of the Harmonized System, in which the fabric that determines the tariff classification of the good is classified in one of the following tariff provisions, are ineligible for preferential tariff treatment provided for under the levels established in Appendix 1 (Preferential Tariff Treatment for Non-Originating Apparel): (i) blue denim: subheading 5209.42 or 5211.42; U.S. tariff items 5212.24.60.20, 5514.30.32.10, or 5514.30.39.10; Mexican tariff item 5212.24.01, or 5514.30.02; or any successor provision to these tariff items, and (ii) fabric woven as plain weave where two or more warp ends are woven as one (oxford cloth) of average yarn number less than 135 metric number: subheading 5208.19, 5208.29, 5208.39, 5208.49, 5208.59, 5210.19, 5210.29, 5210.39, 5210.49, 5210.59, 5512.11, 5512.19, 5513.13, 5513.23, 5513.39, or 5513.49, or any successor provision to these tariff items; (b) apparel goods of U.S.</w:t>
      </w:r>
    </w:p>
    <w:p>
      <w:pPr>
        <w:pStyle w:val="Normal"/>
      </w:pPr>
      <w:r>
        <w:t>tariff items 6107.11.00, 6107.12.00, 6109.10.00 or 6109.90.10; Mexican tariff items 6107.11.02, 6107.11.99, 6107.12.02, 6107.12.99, 6109.10.02, 6109.10.99, 6109.90.03, or 6109.90.91; or any successor provision to these tariff items, are ineligible for preferential tariff treatment provided for under the levels established in Appendix 1 if they are composed chiefly of circular knit fabric of yarn number equal to or less than 100 metric number; (c) apparel goods of subheading 6108.21 or 6108.22 are ineligible for preferential tariff treatment provided for under the levels established in 2(a), 2(b), 3(a) and 3(b) in Appendix 1 (Preferential Tariff Treatment for Non-Originating Apparel) if they are composed chiefly of circular knit fabric of yarn number equal to or less than 100 metric number; and (d) apparel goods of U.S. tariff items 6110.30.10.10, 6110.30.10.20, 6110.30.15.10, 6110.30.15.20, 6110.30.20.10, 6110.30.20.20, 6110.30.30.10, 6110.30.30.15, 6110.30.30.20, or 6110.30.30.25; apparel goods of those tariff items are classified as parts of ensembles in U.S.</w:t>
      </w:r>
    </w:p>
    <w:p>
      <w:pPr>
        <w:pStyle w:val="Normal"/>
      </w:pPr>
      <w:r>
        <w:t>tariff items 6103.23.00.30, 6103.23.00.70, 6104.23.00.22, or 6104.23.00.40; apparel goods of Mexican tariff item 6110.30.01; or apparel goods of that tariff item that are classified as parts of ensembles in subheading 6103.23 or 6104.23, or any successor provision to these tariff items, are ineligible for preferential tariff treatment provided for under the levels established in Appendix 1 (Preferential Tariff Treatment for Non- Originating Apparel). 6-A-3 Fabric and Made-Up Goods 3.</w:t>
      </w:r>
    </w:p>
    <w:p>
      <w:pPr>
        <w:pStyle w:val="Normal"/>
      </w:pPr>
      <w:r>
        <w:t>Each Party shall apply the preferential tariff treatment applicable to originating goods set out in its Schedule to Annex 2-B (Tariff Commitments), up to the annual quantities, in SME, specified in Appendix 2 (Preferential Tariff Treatment for Non-Originating Cotton or Man-Made Fiber Fabrics and Made up Goods), to cotton or man-made fiber fabric and cotton or man-made fiber made-up textile goods of Chapters 52 through 55, 58, 60, and 63 of the Harmonized System that are woven or knit in the territory of a Party from yarn produced or obtained outside the territories of the Parties or yarn produced in the territories of the Parties from fiber produced or obtained outside the territories of the Parties, or knit in the territory in a Party from yarn spun in the territory of a Party from fiber produced or obtained outside the territories of the Parties, and to goods of subheading 9404.90 that are finished and cut and sewn or otherwise assembled from fabrics of subheadings 5208.11 through 5208.29,</w:t>
      </w:r>
    </w:p>
    <w:p>
      <w:pPr>
        <w:pStyle w:val="Normal"/>
      </w:pPr>
      <w:r>
        <w:t>5209.11 through 5209.29, 5210.11 through 5210.29, 5211.11 through 5211.20, 5212.11, 5212.12, 5212.21, 5212.22, 5407.41, 5407.51, 5407.71, 5407.81, 5407.91, 5408.21, 5408.31, 5512.11, 5512.21, 5512.91, 5513.11 through 5513.19, 5514.11 through 5514.19, 5516.11, 5516.21, 5516.31, 5516.41, or 5516.91 produced or obtained outside the territories of the Parties, and that meet other applicable conditions for preferential tariff treatment under this Agreement. 4. For the purposes of paragraph 3, the number of SME that will be counted against the Tariff Preference Levels (TPLs) applied for the purposes of trade between Canada and the United States shall be:</w:t>
      </w:r>
    </w:p>
    <w:p>
      <w:pPr>
        <w:pStyle w:val="Normal"/>
      </w:pPr>
      <w:r>
        <w:t>(a) for textile goods that are not originating because certain non-originating textile materials do not undergo the applicable change in tariff classification set out in Annex 4-B (Product-Specific Rules of Origin) for that good, but where such materials are 50 percent or less by weight of the materials of that good, only 50 percent of the SME for that good; and (b) for textile goods that are not originating because certain non-originating textile materials do not undergo the applicable change in tariff classification set out in Annex 4-B (Product-Specific Rules of Origin) for that good, but where such materials are more than 50 percent by weight of the materials of that good, 100 percent of the SME for that good. Spun Yarn 5.</w:t>
      </w:r>
    </w:p>
    <w:p>
      <w:pPr>
        <w:pStyle w:val="Normal"/>
      </w:pPr>
      <w:r>
        <w:t>Each Party shall apply the preferential tariff treatment applicable to originating goods set out in its Schedule to Annex 2-B (Tariff Commitments), up to the annual quantities, in kilograms (kg), specified in Appendix 3 (Preferential Tariff Treatment for Non-Originating Cotton or Man- Made Fiber Spun Yarn), to cotton or man-made fiber yarns of heading 52.05 through 52.07 or 55.09 through 55.11 that are spun in the territory of a Party from fiber of heading 52.01 through 52.03 or 55.01 through 55.07, produced or obtained outside the territories of the Parties and that meet other applicable conditions for preferential tariff treatment under this Agreement. 6-A-4 6. For the purposes of trade between the United States and Canada, those Parties shall also apply the preferential tariff treatment provided for in paragraph 1 to goods of heading 56.05 that are formed the territory of in a Party from fibers obtained outside the territories of the Parties and that meet other applicable conditions for preferential tariff treatment under this Agreement. Goods Entering under TPL Provisions 7.</w:t>
      </w:r>
    </w:p>
    <w:p>
      <w:pPr>
        <w:pStyle w:val="Normal"/>
      </w:pPr>
      <w:r>
        <w:t>Each Party shall provide preferential tariff treatment for goods imported into its territory under a TPL set out in Annex 6-A, and no Party shall apply a customs user fee for those goods.3 Except as provided in paragraphs 8 through 16, the provisions of this Agreement regarding claims for preferential tariff treatment, including verification pursuant to Article 6.6 (Verification), verification pursuant to Article 5.9 (Origin Verification), or cooperation or enforcement activities pursuant to Section B of Chapter 7 (Customs and Trade Facilitation), and related provisions, that apply to other textiles and apparel goods also apply to these goods, notwithstanding that goods subject to a TPL are not originating goods and therefore the obligation for a certification of origin under Article 5.2 (Claims for Preferential Tariff Treatment) does not apply. 8. Trade in the goods referred to in this Annex shall be monitored by the Parties.</w:t>
      </w:r>
    </w:p>
    <w:p>
      <w:pPr>
        <w:pStyle w:val="Normal"/>
      </w:pPr>
      <w:r>
        <w:t>The Parties shall consult as needed to ensure that the TPLs are administered effectively and shall cooperate in the administration of this Annex, including by responding promptly to time- sensitive requests related to issues regarding TPL utilization. 9. The importing Party shall manage each TPL on a first-come, first-served basis and shall calculate the quantity of goods that enter under a TPL on the basis of its imports. 10.</w:t>
      </w:r>
    </w:p>
    <w:p>
      <w:pPr>
        <w:pStyle w:val="Normal"/>
      </w:pPr>
      <w:r>
        <w:t>Each Party shall publish online: (a) the amount of each annual TPL and the quantities allocated against each TPL, updated at least monthly; (b) the utilization of each annual TPL, based on its imports, updated at least monthly; (c) information on allocation and utilization of each TPL from entry into force of this Agreement; and 3 The merchandise processing fee (MPF) shall be the only customs user fee of the United States to which this paragraph applies. The derecho de trámite aduanero shall be the only customs user fee of Mexico to which this paragraph applies. 6-A-5 (d) its procedures for allocation of a TPL, along with summary documents explaining the procedures. Further, any changes to these procedures should be subject to a public notice and comment process. 11.</w:t>
      </w:r>
    </w:p>
    <w:p>
      <w:pPr>
        <w:pStyle w:val="Normal"/>
      </w:pPr>
      <w:r>
        <w:t>An importing Party may require a document issued by a Party’s competent authority, such as a certificate of eligibility, with information demonstrating that a good qualifies for duty- free treatment under a TPL, to track allocation and use of a TPL or as a condition to grant duty- free treatment to a good under a TPL. 12. Each Party shall allow an importer to claim duty-free treatment for a good under a TPL for at least one year after a good is imported. 13. Each Party shall notify the other Parties if it requires a certificate of eligibility or other documentation under paragraph 5, and the minimum data elements required. 14.</w:t>
      </w:r>
    </w:p>
    <w:p>
      <w:pPr>
        <w:pStyle w:val="Normal"/>
      </w:pPr>
      <w:r>
        <w:t xml:space="preserve">The Parties shall establish a secure system at the entry into force of this Agreement for electronic transmission of Certificates of Eligibility or other documentation related to TPL utilization, as well as for sharing information in real time related to allocation and utilization of TPLs. 15. At the request of one of the Parties, the competent authority of another Party shall exchange additional statistical information about the issuance of Certificates of Eligibility, TPL utilization, and any other related matter. 16. On request of a Party wishing to adjust an annual TPL based on the ability to obtain supplies of particular fibers, yarns, and fabrics, as appropriate, that can be used to produce originating goods, the Parties shall consult on the possibility of adjusting such level. Any adjustment in the TPL requires the mutual consent of the Parties concerned and is subject to domestic approval procedures. 6-A-6</w:t>
      </w:r>
    </w:p>
    <w:p>
      <w:pPr>
        <w:pStyle w:val="Heading2"/>
      </w:pPr>
      <w:bookmarkStart w:id="900232" w:name="_Toc300000231"/>
      <w:r>
        <w:t xml:space="preserve">APPENDIX 1 PREFERENTIAL TARIFF TREATMENT FOR NON-ORIGINATING APPAREL</w:t>
      </w:r>
      <w:bookmarkEnd w:id="900232"/>
    </w:p>
    <w:p>
      <w:pPr>
        <w:pStyle w:val="Normal"/>
      </w:pPr>
      <w:r>
        <w:t xml:space="preserve">1. Imports into Canada:</w:t>
      </w:r>
    </w:p>
    <w:p>
      <w:pPr>
        <w:pStyle w:val="Normal"/>
      </w:pPr>
      <w:r>
        <w:t>(a) Cotton or Man-made fiber apparel (b) Wool apparel from Mexico 6,000,000 SME 250,000 SME from United States 20,000,000 SME 700,000 SME 2. Imports into Mexico: (a) Cotton or Man-made fiber apparel (b) Wool apparel from Canada 6,000,000 SME 250,000 SME from United States 12,000,000 SME 1,000,000 SME 3.</w:t>
      </w:r>
    </w:p>
    <w:p>
      <w:pPr>
        <w:pStyle w:val="Normal"/>
      </w:pPr>
      <w:r>
        <w:t xml:space="preserve">Imports into United States: (a) Cotton or Man-made fiber apparel (b) Wool apparel from Canada 40,000,000 SME 4,000,000 SME4 from Mexico 45,000,000 SME 1,500,000 SME 4 Of the 4,000,000 SME annual quantity of wool apparel imports from Canada into the United States, no more than 3,800,000 SME shall be men’s or boys’ wool suits of U.S. category 443. 6-A-1-1</w:t>
      </w:r>
    </w:p>
    <w:p>
      <w:pPr>
        <w:pStyle w:val="Heading2"/>
      </w:pPr>
      <w:bookmarkStart w:id="900233" w:name="_Toc300000232"/>
      <w:r>
        <w:t xml:space="preserve">APPENDIX 2 PREFERENTIAL TARIFF TREATMENT FOR NON-ORIGINATING COTTON OR MAN-MADE FIBER FABRICS AND MADE-UP GOODS</w:t>
      </w:r>
      <w:bookmarkEnd w:id="900233"/>
    </w:p>
    <w:p>
      <w:pPr>
        <w:pStyle w:val="Normal"/>
      </w:pPr>
      <w:r>
        <w:t xml:space="preserve">1. Imports into Canada from Mexico 7,000,000 SME from United States 15,000,000 SME5 2. Imports into Mexico from Canada 7,000,000 SME from United States 1,400,000 SME 3. Imports into United States from Canada 71,765,252 SME6 from Mexico 22,800,000 SME7 5 The SME annual quantity of imports from the United States into Canada shall be limited to goods of Chapter 60 or heading 63.03 of the HS.</w:t>
      </w:r>
    </w:p>
    <w:p>
      <w:pPr>
        <w:pStyle w:val="Normal"/>
      </w:pPr>
      <w:r>
        <w:t>6 Of the 71,765,252 SME annual quantity of imports from Canada into the United States, no more than 38,642,828 may be in goods of Chapters 52 through 55, 58, or 63 (other than subheading 6302.10, 6302.40, 6303.12, 6303.19, 6304.11, or 6304.91) of the HS; and no more than 38,642,828 may be in goods of Chapter 60 or subheading 6302.10, 6302.40, 6303.12, 6303.19, 6304.11, or 6304.91 of the HS.</w:t>
      </w:r>
    </w:p>
    <w:p>
      <w:pPr>
        <w:pStyle w:val="Normal"/>
      </w:pPr>
      <w:r>
        <w:rPr>
          <w:b w:val="0"/>
        </w:rPr>
        <w:t>7 Of the 22,800,000 SME annual quantity of imports from Mexico into the United States, no more than 18 million SMEs of that quantity in a calendar year may be in goods of Chapter 60 and subheading 6302.10, 6302.40, 6303.12, 6303.19, 6304.11, or 6304.91 of the HS; and no more than 4,800,000 SMEs of that quantity in any given year may be in goods of Chapters 52 through 55, 58, and 63 (other than subheading 6302.10, 6302.40, 6303.12, 6303.19, 6304.11, or 6304.91) of the HS.</w:t>
      </w:r>
    </w:p>
    <w:p>
      <w:pPr>
        <w:pStyle w:val="Heading2"/>
      </w:pPr>
      <w:bookmarkStart w:id="900234" w:name="_Toc300000233"/>
      <w:r>
        <w:rPr>
          <w:b/>
        </w:rPr>
        <w:t>APPENDIX 3: PREFERENTIAL TARIFF TREATMENT FOR NON-ORIGINATING COTTON OR MAN-MADE FIBER SPUN YARN</w:t>
      </w:r>
      <w:bookmarkEnd w:id="900234"/>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Importing Party</w:t>
            </w:r>
          </w:p>
        </w:tc>
        <w:tc>
          <w:tcPr>
            <w:tcW w:type="dxa" w:w="3120"/>
            <w:tcBorders>
              <w:bottom w:val="single" w:sz="6" w:space="0" w:color="546E7A"/>
            </w:tcBorders>
            <w:shd w:fill="E4E9EC" w:val="clear" w:color="auto"/>
          </w:tcPr>
          <w:p>
            <w:pPr>
              <w:pStyle w:val="TableText"/>
            </w:pPr>
            <w:r>
              <w:rPr>
                <w:b/>
                <w:color w:val="37474F"/>
              </w:rPr>
              <w:t>Origin</w:t>
            </w:r>
          </w:p>
        </w:tc>
        <w:tc>
          <w:tcPr>
            <w:tcW w:type="dxa" w:w="3120"/>
            <w:tcBorders>
              <w:bottom w:val="single" w:sz="6" w:space="0" w:color="546E7A"/>
            </w:tcBorders>
            <w:shd w:fill="E4E9EC" w:val="clear" w:color="auto"/>
          </w:tcPr>
          <w:p>
            <w:pPr>
              <w:pStyle w:val="TableText"/>
            </w:pPr>
            <w:r>
              <w:rPr>
                <w:b/>
                <w:color w:val="37474F"/>
              </w:rPr>
              <w:t>Annual Quantity</w:t>
            </w:r>
          </w:p>
        </w:tc>
      </w:tr>
      <w:tr>
        <w:trPr>
          <w:cantSplit/>
        </w:trPr>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Mexico</w:t>
            </w:r>
          </w:p>
        </w:tc>
        <w:tc>
          <w:tcPr>
            <w:tcW w:type="dxa" w:w="3120"/>
            <w:tcMar>
              <w:top w:w="70" w:type="dxa"/>
              <w:start w:w="110" w:type="dxa"/>
              <w:bottom w:w="70" w:type="dxa"/>
              <w:end w:w="110" w:type="dxa"/>
            </w:tcMar>
          </w:tcPr>
          <w:p>
            <w:pPr>
              <w:pStyle w:val="TableText"/>
            </w:pPr>
            <w:r>
              <w:rPr/>
              <w:t>1,000,000 kg</w:t>
            </w:r>
          </w:p>
        </w:tc>
      </w:tr>
      <w:tr>
        <w:trPr>
          <w:cantSplit/>
        </w:trPr>
        <w:tc>
          <w:tcPr>
            <w:tcW w:type="dxa" w:w="3120"/>
            <w:shd w:fill="F5F7F8" w:val="clear" w:color="auto"/>
            <w:tcMar>
              <w:top w:w="70" w:type="dxa"/>
              <w:start w:w="110" w:type="dxa"/>
              <w:bottom w:w="70" w:type="dxa"/>
              <w:end w:w="110" w:type="dxa"/>
            </w:tcMar>
          </w:tcPr>
          <w:p>
            <w:pPr>
              <w:pStyle w:val="TableText"/>
            </w:pPr>
            <w:r>
              <w:rPr/>
              <w:t>Canada</w:t>
            </w:r>
          </w:p>
        </w:tc>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1,000,000 kg</w:t>
            </w:r>
          </w:p>
        </w:tc>
      </w:tr>
      <w:tr>
        <w:trPr>
          <w:cantSplit/>
        </w:trPr>
        <w:tc>
          <w:tcPr>
            <w:tcW w:type="dxa" w:w="3120"/>
            <w:tcMar>
              <w:top w:w="70" w:type="dxa"/>
              <w:start w:w="110" w:type="dxa"/>
              <w:bottom w:w="70" w:type="dxa"/>
              <w:end w:w="110" w:type="dxa"/>
            </w:tcMar>
          </w:tcPr>
          <w:p>
            <w:pPr>
              <w:pStyle w:val="TableText"/>
            </w:pPr>
            <w:r>
              <w:rPr/>
              <w:t>Mexico</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1,000,000 kg</w:t>
            </w:r>
          </w:p>
        </w:tc>
      </w:tr>
      <w:tr>
        <w:trPr>
          <w:cantSplit/>
        </w:trPr>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950,000 kg</w:t>
            </w:r>
          </w:p>
        </w:tc>
      </w:tr>
      <w:tr>
        <w:trPr>
          <w:cantSplit/>
        </w:trPr>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6,000,000 kg8</w:t>
            </w:r>
          </w:p>
        </w:tc>
      </w:tr>
      <w:tr>
        <w:trPr>
          <w:cantSplit/>
        </w:trPr>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700,000 kg</w:t>
            </w:r>
          </w:p>
        </w:tc>
      </w:tr>
    </w:tbl>
    <w:p>
      <w:pPr>
        <w:pStyle w:val="Normal"/>
      </w:pPr>
      <w:r>
        <w:rPr>
          <w:b w:val="0"/>
        </w:rPr>
        <w:t>Of the 6,000,000 kilograms annual quantity of imports from Canada into the United States, no more than 3,000,000 kilograms may be of yarns classified in headings 55.09 or 55.11 predominantly of acrylic by weight, and no more than 3,000,000 kilograms may be of other yarns in heading 52.05 through 52.07, 55.09 through 55.11, or 56.05 of the HS. 6-A-3-1</w:t>
      </w:r>
    </w:p>
    <w:p>
      <w:pPr>
        <w:pStyle w:val="Heading2"/>
      </w:pPr>
      <w:bookmarkStart w:id="900235" w:name="_Toc300000234"/>
      <w:r>
        <w:rPr>
          <w:b w:val="0"/>
        </w:rPr>
        <w:t xml:space="preserve">ANNEX 6-B CONVERSION FACTORS</w:t>
      </w:r>
      <w:bookmarkEnd w:id="900235"/>
    </w:p>
    <w:p>
      <w:pPr>
        <w:pStyle w:val="Normal"/>
      </w:pPr>
      <w:r>
        <w:rPr>
          <w:b w:val="0"/>
        </w:rPr>
        <w:t xml:space="preserve">1. For the purposes of this Annex: DPR means dozen pair; DZ means dozen; KG means kilogram; NO means number; and SM means square meter. 2. This Schedule applies to tariff preference levels pursuant to Annex 6-A (Special Provisions). 3. Unless otherwise provided in this Annex, or as may be agreed between any two Parties with respect to trade between them, the rates of conversion into SME set out in paragraphs 4 through 7 shall apply.</w:t>
      </w:r>
    </w:p>
    <w:p>
      <w:pPr>
        <w:pStyle w:val="Normal"/>
      </w:pPr>
      <w:r>
        <w:rPr>
          <w:b w:val="0"/>
        </w:rPr>
        <w:t>4. The following conversion factors shall apply to the goods covered by the following U.S. categories: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Conversion Factor</w:t>
            </w:r>
          </w:p>
        </w:tc>
        <w:tc>
          <w:tcPr>
            <w:tcW w:type="dxa" w:w="3120"/>
            <w:tcBorders>
              <w:bottom w:val="single" w:sz="6" w:space="0" w:color="546E7A"/>
            </w:tcBorders>
            <w:shd w:fill="E4E9EC" w:val="clear" w:color="auto"/>
          </w:tcPr>
          <w:p>
            <w:pPr>
              <w:pStyle w:val="TableText"/>
            </w:pPr>
            <w:r>
              <w:rPr>
                <w:b/>
                <w:color w:val="37474F"/>
              </w:rPr>
              <w:t>Description</w:t>
            </w:r>
          </w:p>
        </w:tc>
        <w:tc>
          <w:tcPr>
            <w:tcW w:type="dxa" w:w="3120"/>
            <w:tcBorders>
              <w:bottom w:val="single" w:sz="6" w:space="0" w:color="546E7A"/>
            </w:tcBorders>
            <w:shd w:fill="E4E9EC" w:val="clear" w:color="auto"/>
          </w:tcPr>
          <w:p>
            <w:pPr>
              <w:pStyle w:val="TableText"/>
            </w:pPr>
            <w:r>
              <w:rPr>
                <w:b/>
                <w:color w:val="37474F"/>
              </w:rPr>
              <w:t>Primary Unit of Measure</w:t>
            </w:r>
          </w:p>
        </w:tc>
      </w:tr>
      <w:tr>
        <w:trPr>
          <w:cantSplit/>
        </w:trPr>
        <w:tc>
          <w:tcPr>
            <w:tcW w:type="dxa" w:w="3120"/>
            <w:tcMar>
              <w:top w:w="70" w:type="dxa"/>
              <w:start w:w="110" w:type="dxa"/>
              <w:bottom w:w="70" w:type="dxa"/>
              <w:end w:w="110" w:type="dxa"/>
            </w:tcMar>
          </w:tcPr>
          <w:p>
            <w:pPr>
              <w:pStyle w:val="TableText"/>
            </w:pPr>
            <w:r>
              <w:rPr/>
              <w:t>6.60</w:t>
            </w:r>
          </w:p>
        </w:tc>
        <w:tc>
          <w:tcPr>
            <w:tcW w:type="dxa" w:w="3120"/>
            <w:tcMar>
              <w:top w:w="70" w:type="dxa"/>
              <w:start w:w="110" w:type="dxa"/>
              <w:bottom w:w="70" w:type="dxa"/>
              <w:end w:w="110" w:type="dxa"/>
            </w:tcMar>
          </w:tcPr>
          <w:p>
            <w:pPr>
              <w:pStyle w:val="TableText"/>
            </w:pPr>
            <w:r>
              <w:rPr/>
              <w:t>YARN FOR RETAIL SALE, SEWING THREAD</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6.50</w:t>
            </w:r>
          </w:p>
        </w:tc>
        <w:tc>
          <w:tcPr>
            <w:tcW w:type="dxa" w:w="3120"/>
            <w:shd w:fill="F5F7F8" w:val="clear" w:color="auto"/>
            <w:tcMar>
              <w:top w:w="70" w:type="dxa"/>
              <w:start w:w="110" w:type="dxa"/>
              <w:bottom w:w="70" w:type="dxa"/>
              <w:end w:w="110" w:type="dxa"/>
            </w:tcMar>
          </w:tcPr>
          <w:p>
            <w:pPr>
              <w:pStyle w:val="TableText"/>
            </w:pPr>
            <w:r>
              <w:rPr/>
              <w:t>SPECIALTY YARNS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FABRIC OF YARNS OF DIFFERENT COLORS</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DUCK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FABRIC OF SPECIAL WEAVE</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6.00</w:t>
            </w:r>
          </w:p>
        </w:tc>
        <w:tc>
          <w:tcPr>
            <w:tcW w:type="dxa" w:w="3120"/>
            <w:shd w:fill="F5F7F8" w:val="clear" w:color="auto"/>
            <w:tcMar>
              <w:top w:w="70" w:type="dxa"/>
              <w:start w:w="110" w:type="dxa"/>
              <w:bottom w:w="70" w:type="dxa"/>
              <w:end w:w="110" w:type="dxa"/>
            </w:tcMar>
          </w:tcPr>
          <w:p>
            <w:pPr>
              <w:pStyle w:val="TableText"/>
            </w:pPr>
            <w:r>
              <w:rPr/>
              <w:t>KNIT FABRIC</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14.00</w:t>
            </w:r>
          </w:p>
        </w:tc>
        <w:tc>
          <w:tcPr>
            <w:tcW w:type="dxa" w:w="3120"/>
            <w:tcMar>
              <w:top w:w="70" w:type="dxa"/>
              <w:start w:w="110" w:type="dxa"/>
              <w:bottom w:w="70" w:type="dxa"/>
              <w:end w:w="110" w:type="dxa"/>
            </w:tcMar>
          </w:tcPr>
          <w:p>
            <w:pPr>
              <w:pStyle w:val="TableText"/>
            </w:pPr>
            <w:r>
              <w:rPr/>
              <w:t>NON WOVEN FABRIC</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PILE &amp; TUFTED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BLUE DENIM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CHEESECLOTH, BATISTE, LAWN &amp; VOILE</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OXFORD CLOTH</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13.60</w:t>
            </w:r>
          </w:p>
        </w:tc>
        <w:tc>
          <w:tcPr>
            <w:tcW w:type="dxa" w:w="3120"/>
            <w:shd w:fill="F5F7F8" w:val="clear" w:color="auto"/>
            <w:tcMar>
              <w:top w:w="70" w:type="dxa"/>
              <w:start w:w="110" w:type="dxa"/>
              <w:bottom w:w="70" w:type="dxa"/>
              <w:end w:w="110" w:type="dxa"/>
            </w:tcMar>
          </w:tcPr>
          <w:p>
            <w:pPr>
              <w:pStyle w:val="TableText"/>
            </w:pPr>
            <w:r>
              <w:rPr/>
              <w:t>SPECIAL PURPOSE FABRIC</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19.20</w:t>
            </w:r>
          </w:p>
        </w:tc>
        <w:tc>
          <w:tcPr>
            <w:tcW w:type="dxa" w:w="3120"/>
            <w:tcMar>
              <w:top w:w="70" w:type="dxa"/>
              <w:start w:w="110" w:type="dxa"/>
              <w:bottom w:w="70" w:type="dxa"/>
              <w:end w:w="110" w:type="dxa"/>
            </w:tcMar>
          </w:tcPr>
          <w:p>
            <w:pPr>
              <w:pStyle w:val="TableText"/>
            </w:pPr>
            <w:r>
              <w:rPr/>
              <w:t>PLAYSUITS, SUNSUITS, ETC</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6.30</w:t>
            </w:r>
          </w:p>
        </w:tc>
        <w:tc>
          <w:tcPr>
            <w:tcW w:type="dxa" w:w="3120"/>
            <w:shd w:fill="F5F7F8" w:val="clear" w:color="auto"/>
            <w:tcMar>
              <w:top w:w="70" w:type="dxa"/>
              <w:start w:w="110" w:type="dxa"/>
              <w:bottom w:w="70" w:type="dxa"/>
              <w:end w:w="110" w:type="dxa"/>
            </w:tcMar>
          </w:tcPr>
          <w:p>
            <w:pPr>
              <w:pStyle w:val="TableText"/>
            </w:pPr>
            <w:r>
              <w:rPr/>
              <w:t>BABIES’ GARMENTS &amp; CLOTHING ACCESS.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8.50</w:t>
            </w:r>
          </w:p>
        </w:tc>
        <w:tc>
          <w:tcPr>
            <w:tcW w:type="dxa" w:w="3120"/>
            <w:tcMar>
              <w:top w:w="70" w:type="dxa"/>
              <w:start w:w="110" w:type="dxa"/>
              <w:bottom w:w="70" w:type="dxa"/>
              <w:end w:w="110" w:type="dxa"/>
            </w:tcMar>
          </w:tcPr>
          <w:p>
            <w:pPr>
              <w:pStyle w:val="TableText"/>
            </w:pPr>
            <w:r>
              <w:rPr/>
              <w:t>CARDED COTTON YARN</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8.50</w:t>
            </w:r>
          </w:p>
        </w:tc>
        <w:tc>
          <w:tcPr>
            <w:tcW w:type="dxa" w:w="3120"/>
            <w:shd w:fill="F5F7F8" w:val="clear" w:color="auto"/>
            <w:tcMar>
              <w:top w:w="70" w:type="dxa"/>
              <w:start w:w="110" w:type="dxa"/>
              <w:bottom w:w="70" w:type="dxa"/>
              <w:end w:w="110" w:type="dxa"/>
            </w:tcMar>
          </w:tcPr>
          <w:p>
            <w:pPr>
              <w:pStyle w:val="TableText"/>
            </w:pPr>
            <w:r>
              <w:rPr/>
              <w:t>COMBED COTTON YARN</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COTTON SHEETING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COTTON POPLIN &amp; BROADCLOTH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COTTON PRINTCLOTH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COTTON TWILL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COTTON SATEEN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1.40</w:t>
            </w:r>
          </w:p>
        </w:tc>
        <w:tc>
          <w:tcPr>
            <w:tcW w:type="dxa" w:w="3120"/>
            <w:shd w:fill="F5F7F8" w:val="clear" w:color="auto"/>
            <w:tcMar>
              <w:top w:w="70" w:type="dxa"/>
              <w:start w:w="110" w:type="dxa"/>
              <w:bottom w:w="70" w:type="dxa"/>
              <w:end w:w="110" w:type="dxa"/>
            </w:tcMar>
          </w:tcPr>
          <w:p>
            <w:pPr>
              <w:pStyle w:val="TableText"/>
            </w:pPr>
            <w:r>
              <w:rPr/>
              <w:t>COTTON HANDKERCHIEFS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2.90</w:t>
            </w:r>
          </w:p>
        </w:tc>
        <w:tc>
          <w:tcPr>
            <w:tcW w:type="dxa" w:w="3120"/>
            <w:tcMar>
              <w:top w:w="70" w:type="dxa"/>
              <w:start w:w="110" w:type="dxa"/>
              <w:bottom w:w="70" w:type="dxa"/>
              <w:end w:w="110" w:type="dxa"/>
            </w:tcMar>
          </w:tcPr>
          <w:p>
            <w:pPr>
              <w:pStyle w:val="TableText"/>
            </w:pPr>
            <w:r>
              <w:rPr/>
              <w:t>COTTON GLOVES AND MITTENS</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3.80</w:t>
            </w:r>
          </w:p>
        </w:tc>
        <w:tc>
          <w:tcPr>
            <w:tcW w:type="dxa" w:w="3120"/>
            <w:shd w:fill="F5F7F8" w:val="clear" w:color="auto"/>
            <w:tcMar>
              <w:top w:w="70" w:type="dxa"/>
              <w:start w:w="110" w:type="dxa"/>
              <w:bottom w:w="70" w:type="dxa"/>
              <w:end w:w="110" w:type="dxa"/>
            </w:tcMar>
          </w:tcPr>
          <w:p>
            <w:pPr>
              <w:pStyle w:val="TableText"/>
            </w:pPr>
            <w:r>
              <w:rPr/>
              <w:t>COTTON HOSIERY</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30.30</w:t>
            </w:r>
          </w:p>
        </w:tc>
        <w:tc>
          <w:tcPr>
            <w:tcW w:type="dxa" w:w="3120"/>
            <w:tcMar>
              <w:top w:w="70" w:type="dxa"/>
              <w:start w:w="110" w:type="dxa"/>
              <w:bottom w:w="70" w:type="dxa"/>
              <w:end w:w="110" w:type="dxa"/>
            </w:tcMar>
          </w:tcPr>
          <w:p>
            <w:pPr>
              <w:pStyle w:val="TableText"/>
            </w:pPr>
            <w:r>
              <w:rPr/>
              <w:t>M&amp;B SUIT TYPE COATS, COTTON</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OTHER M&amp;B COATS, COTTON</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COTTON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37.90</w:t>
            </w:r>
          </w:p>
        </w:tc>
        <w:tc>
          <w:tcPr>
            <w:tcW w:type="dxa" w:w="3120"/>
            <w:shd w:fill="F5F7F8" w:val="clear" w:color="auto"/>
            <w:tcMar>
              <w:top w:w="70" w:type="dxa"/>
              <w:start w:w="110" w:type="dxa"/>
              <w:bottom w:w="70" w:type="dxa"/>
              <w:end w:w="110" w:type="dxa"/>
            </w:tcMar>
          </w:tcPr>
          <w:p>
            <w:pPr>
              <w:pStyle w:val="TableText"/>
            </w:pPr>
            <w:r>
              <w:rPr/>
              <w:t>COTTON DRESSES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6.00</w:t>
            </w:r>
          </w:p>
        </w:tc>
        <w:tc>
          <w:tcPr>
            <w:tcW w:type="dxa" w:w="3120"/>
            <w:tcMar>
              <w:top w:w="70" w:type="dxa"/>
              <w:start w:w="110" w:type="dxa"/>
              <w:bottom w:w="70" w:type="dxa"/>
              <w:end w:w="110" w:type="dxa"/>
            </w:tcMar>
          </w:tcPr>
          <w:p>
            <w:pPr>
              <w:pStyle w:val="TableText"/>
            </w:pPr>
            <w:r>
              <w:rPr/>
              <w:t>M&amp;B COTTON KNIT SHIRTS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6.00</w:t>
            </w:r>
          </w:p>
        </w:tc>
        <w:tc>
          <w:tcPr>
            <w:tcW w:type="dxa" w:w="3120"/>
            <w:shd w:fill="F5F7F8" w:val="clear" w:color="auto"/>
            <w:tcMar>
              <w:top w:w="70" w:type="dxa"/>
              <w:start w:w="110" w:type="dxa"/>
              <w:bottom w:w="70" w:type="dxa"/>
              <w:end w:w="110" w:type="dxa"/>
            </w:tcMar>
          </w:tcPr>
          <w:p>
            <w:pPr>
              <w:pStyle w:val="TableText"/>
            </w:pPr>
            <w:r>
              <w:rPr/>
              <w:t>W&amp;G COTTON KNIT SHIRTS/BLOUSES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20.10</w:t>
            </w:r>
          </w:p>
        </w:tc>
        <w:tc>
          <w:tcPr>
            <w:tcW w:type="dxa" w:w="3120"/>
            <w:tcMar>
              <w:top w:w="70" w:type="dxa"/>
              <w:start w:w="110" w:type="dxa"/>
              <w:bottom w:w="70" w:type="dxa"/>
              <w:end w:w="110" w:type="dxa"/>
            </w:tcMar>
          </w:tcPr>
          <w:p>
            <w:pPr>
              <w:pStyle w:val="TableText"/>
            </w:pPr>
            <w:r>
              <w:rPr/>
              <w:t>M&amp;B COTTON SHIRTS, NOT KNIT</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12.10</w:t>
            </w:r>
          </w:p>
        </w:tc>
        <w:tc>
          <w:tcPr>
            <w:tcW w:type="dxa" w:w="3120"/>
            <w:shd w:fill="F5F7F8" w:val="clear" w:color="auto"/>
            <w:tcMar>
              <w:top w:w="70" w:type="dxa"/>
              <w:start w:w="110" w:type="dxa"/>
              <w:bottom w:w="70" w:type="dxa"/>
              <w:end w:w="110" w:type="dxa"/>
            </w:tcMar>
          </w:tcPr>
          <w:p>
            <w:pPr>
              <w:pStyle w:val="TableText"/>
            </w:pPr>
            <w:r>
              <w:rPr/>
              <w:t>W&amp;G COTTON SHIRTS/BLOUSES, NOT  KNIT</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COTTON SKIRTS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30.80</w:t>
            </w:r>
          </w:p>
        </w:tc>
        <w:tc>
          <w:tcPr>
            <w:tcW w:type="dxa" w:w="3120"/>
            <w:shd w:fill="F5F7F8" w:val="clear" w:color="auto"/>
            <w:tcMar>
              <w:top w:w="70" w:type="dxa"/>
              <w:start w:w="110" w:type="dxa"/>
              <w:bottom w:w="70" w:type="dxa"/>
              <w:end w:w="110" w:type="dxa"/>
            </w:tcMar>
          </w:tcPr>
          <w:p>
            <w:pPr>
              <w:pStyle w:val="TableText"/>
            </w:pPr>
            <w:r>
              <w:rPr/>
              <w:t>COTTON SWEATERS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M&amp;B COTTON  TROUSERS/BREECHES/SHORTS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14.90</w:t>
            </w:r>
          </w:p>
        </w:tc>
        <w:tc>
          <w:tcPr>
            <w:tcW w:type="dxa" w:w="3120"/>
            <w:shd w:fill="F5F7F8" w:val="clear" w:color="auto"/>
            <w:tcMar>
              <w:top w:w="70" w:type="dxa"/>
              <w:start w:w="110" w:type="dxa"/>
              <w:bottom w:w="70" w:type="dxa"/>
              <w:end w:w="110" w:type="dxa"/>
            </w:tcMar>
          </w:tcPr>
          <w:p>
            <w:pPr>
              <w:pStyle w:val="TableText"/>
            </w:pPr>
            <w:r>
              <w:rPr/>
              <w:t>W&amp;G COTTON  TROUSERS/BREECHES/SHORTS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4.00</w:t>
            </w:r>
          </w:p>
        </w:tc>
        <w:tc>
          <w:tcPr>
            <w:tcW w:type="dxa" w:w="3120"/>
            <w:tcMar>
              <w:top w:w="70" w:type="dxa"/>
              <w:start w:w="110" w:type="dxa"/>
              <w:bottom w:w="70" w:type="dxa"/>
              <w:end w:w="110" w:type="dxa"/>
            </w:tcMar>
          </w:tcPr>
          <w:p>
            <w:pPr>
              <w:pStyle w:val="TableText"/>
            </w:pPr>
            <w:r>
              <w:rPr/>
              <w:t>BRASSIERES, OTHER BODY SUPPORT  GARMENTS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42.60</w:t>
            </w:r>
          </w:p>
        </w:tc>
        <w:tc>
          <w:tcPr>
            <w:tcW w:type="dxa" w:w="3120"/>
            <w:shd w:fill="F5F7F8" w:val="clear" w:color="auto"/>
            <w:tcMar>
              <w:top w:w="70" w:type="dxa"/>
              <w:start w:w="110" w:type="dxa"/>
              <w:bottom w:w="70" w:type="dxa"/>
              <w:end w:w="110" w:type="dxa"/>
            </w:tcMar>
          </w:tcPr>
          <w:p>
            <w:pPr>
              <w:pStyle w:val="TableText"/>
            </w:pPr>
            <w:r>
              <w:rPr/>
              <w:t>COTTON DRESSING GOWNS, ROBES ETC.</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43.50</w:t>
            </w:r>
          </w:p>
        </w:tc>
        <w:tc>
          <w:tcPr>
            <w:tcW w:type="dxa" w:w="3120"/>
            <w:tcMar>
              <w:top w:w="70" w:type="dxa"/>
              <w:start w:w="110" w:type="dxa"/>
              <w:bottom w:w="70" w:type="dxa"/>
              <w:end w:w="110" w:type="dxa"/>
            </w:tcMar>
          </w:tcPr>
          <w:p>
            <w:pPr>
              <w:pStyle w:val="TableText"/>
            </w:pPr>
            <w:r>
              <w:rPr/>
              <w:t>COTTON NIGHTWEAR/PAJAMAS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9.20</w:t>
            </w:r>
          </w:p>
        </w:tc>
        <w:tc>
          <w:tcPr>
            <w:tcW w:type="dxa" w:w="3120"/>
            <w:shd w:fill="F5F7F8" w:val="clear" w:color="auto"/>
            <w:tcMar>
              <w:top w:w="70" w:type="dxa"/>
              <w:start w:w="110" w:type="dxa"/>
              <w:bottom w:w="70" w:type="dxa"/>
              <w:end w:w="110" w:type="dxa"/>
            </w:tcMar>
          </w:tcPr>
          <w:p>
            <w:pPr>
              <w:pStyle w:val="TableText"/>
            </w:pPr>
            <w:r>
              <w:rPr/>
              <w:t>COTTON UNDERWEAR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M&amp;B COTTON DOWN FILLED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W&amp;G COTTON DOWN FILLED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8.50</w:t>
            </w:r>
          </w:p>
        </w:tc>
        <w:tc>
          <w:tcPr>
            <w:tcW w:type="dxa" w:w="3120"/>
            <w:tcMar>
              <w:top w:w="70" w:type="dxa"/>
              <w:start w:w="110" w:type="dxa"/>
              <w:bottom w:w="70" w:type="dxa"/>
              <w:end w:w="110" w:type="dxa"/>
            </w:tcMar>
          </w:tcPr>
          <w:p>
            <w:pPr>
              <w:pStyle w:val="TableText"/>
            </w:pPr>
            <w:r>
              <w:rPr/>
              <w:t>OTHER COTTON APPAREL</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0.90</w:t>
            </w:r>
          </w:p>
        </w:tc>
        <w:tc>
          <w:tcPr>
            <w:tcW w:type="dxa" w:w="3120"/>
            <w:shd w:fill="F5F7F8" w:val="clear" w:color="auto"/>
            <w:tcMar>
              <w:top w:w="70" w:type="dxa"/>
              <w:start w:w="110" w:type="dxa"/>
              <w:bottom w:w="70" w:type="dxa"/>
              <w:end w:w="110" w:type="dxa"/>
            </w:tcMar>
          </w:tcPr>
          <w:p>
            <w:pPr>
              <w:pStyle w:val="TableText"/>
            </w:pPr>
            <w:r>
              <w:rPr/>
              <w:t>COTTON PILLOWCASES</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5.20</w:t>
            </w:r>
          </w:p>
        </w:tc>
        <w:tc>
          <w:tcPr>
            <w:tcW w:type="dxa" w:w="3120"/>
            <w:tcMar>
              <w:top w:w="70" w:type="dxa"/>
              <w:start w:w="110" w:type="dxa"/>
              <w:bottom w:w="70" w:type="dxa"/>
              <w:end w:w="110" w:type="dxa"/>
            </w:tcMar>
          </w:tcPr>
          <w:p>
            <w:pPr>
              <w:pStyle w:val="TableText"/>
            </w:pPr>
            <w:r>
              <w:rPr/>
              <w:t>COTTON SHEETS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5.80</w:t>
            </w:r>
          </w:p>
        </w:tc>
        <w:tc>
          <w:tcPr>
            <w:tcW w:type="dxa" w:w="3120"/>
            <w:shd w:fill="F5F7F8" w:val="clear" w:color="auto"/>
            <w:tcMar>
              <w:top w:w="70" w:type="dxa"/>
              <w:start w:w="110" w:type="dxa"/>
              <w:bottom w:w="70" w:type="dxa"/>
              <w:end w:w="110" w:type="dxa"/>
            </w:tcMar>
          </w:tcPr>
          <w:p>
            <w:pPr>
              <w:pStyle w:val="TableText"/>
            </w:pPr>
            <w:r>
              <w:rPr/>
              <w:t>OTHER COTTON BEDDING</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0.40</w:t>
            </w:r>
          </w:p>
        </w:tc>
        <w:tc>
          <w:tcPr>
            <w:tcW w:type="dxa" w:w="3120"/>
            <w:tcMar>
              <w:top w:w="70" w:type="dxa"/>
              <w:start w:w="110" w:type="dxa"/>
              <w:bottom w:w="70" w:type="dxa"/>
              <w:end w:w="110" w:type="dxa"/>
            </w:tcMar>
          </w:tcPr>
          <w:p>
            <w:pPr>
              <w:pStyle w:val="TableText"/>
            </w:pPr>
            <w:r>
              <w:rPr/>
              <w:t>COTTON TERRY &amp; OTHER PILE TOWELS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8.50</w:t>
            </w:r>
          </w:p>
        </w:tc>
        <w:tc>
          <w:tcPr>
            <w:tcW w:type="dxa" w:w="3120"/>
            <w:shd w:fill="F5F7F8" w:val="clear" w:color="auto"/>
            <w:tcMar>
              <w:top w:w="70" w:type="dxa"/>
              <w:start w:w="110" w:type="dxa"/>
              <w:bottom w:w="70" w:type="dxa"/>
              <w:end w:w="110" w:type="dxa"/>
            </w:tcMar>
          </w:tcPr>
          <w:p>
            <w:pPr>
              <w:pStyle w:val="TableText"/>
            </w:pPr>
            <w:r>
              <w:rPr/>
              <w:t>OTHER COTTON MANUFACTURES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3.70</w:t>
            </w:r>
          </w:p>
        </w:tc>
        <w:tc>
          <w:tcPr>
            <w:tcW w:type="dxa" w:w="3120"/>
            <w:tcMar>
              <w:top w:w="70" w:type="dxa"/>
              <w:start w:w="110" w:type="dxa"/>
              <w:bottom w:w="70" w:type="dxa"/>
              <w:end w:w="110" w:type="dxa"/>
            </w:tcMar>
          </w:tcPr>
          <w:p>
            <w:pPr>
              <w:pStyle w:val="TableText"/>
            </w:pPr>
            <w:r>
              <w:rPr/>
              <w:t>WOOL YARN</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WOOL WOVEN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2.80</w:t>
            </w:r>
          </w:p>
        </w:tc>
        <w:tc>
          <w:tcPr>
            <w:tcW w:type="dxa" w:w="3120"/>
            <w:tcMar>
              <w:top w:w="70" w:type="dxa"/>
              <w:start w:w="110" w:type="dxa"/>
              <w:bottom w:w="70" w:type="dxa"/>
              <w:end w:w="110" w:type="dxa"/>
            </w:tcMar>
          </w:tcPr>
          <w:p>
            <w:pPr>
              <w:pStyle w:val="TableText"/>
            </w:pPr>
            <w:r>
              <w:rPr/>
              <w:t>OTHER WOOL FABRIC</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1.80</w:t>
            </w:r>
          </w:p>
        </w:tc>
        <w:tc>
          <w:tcPr>
            <w:tcW w:type="dxa" w:w="3120"/>
            <w:shd w:fill="F5F7F8" w:val="clear" w:color="auto"/>
            <w:tcMar>
              <w:top w:w="70" w:type="dxa"/>
              <w:start w:w="110" w:type="dxa"/>
              <w:bottom w:w="70" w:type="dxa"/>
              <w:end w:w="110" w:type="dxa"/>
            </w:tcMar>
          </w:tcPr>
          <w:p>
            <w:pPr>
              <w:pStyle w:val="TableText"/>
            </w:pPr>
            <w:r>
              <w:rPr/>
              <w:t>WOOL GLOVES/MITTENS</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2.30</w:t>
            </w:r>
          </w:p>
        </w:tc>
        <w:tc>
          <w:tcPr>
            <w:tcW w:type="dxa" w:w="3120"/>
            <w:tcMar>
              <w:top w:w="70" w:type="dxa"/>
              <w:start w:w="110" w:type="dxa"/>
              <w:bottom w:w="70" w:type="dxa"/>
              <w:end w:w="110" w:type="dxa"/>
            </w:tcMar>
          </w:tcPr>
          <w:p>
            <w:pPr>
              <w:pStyle w:val="TableText"/>
            </w:pPr>
            <w:r>
              <w:rPr/>
              <w:t>WOOL HOSIERY</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30.10</w:t>
            </w:r>
          </w:p>
        </w:tc>
        <w:tc>
          <w:tcPr>
            <w:tcW w:type="dxa" w:w="3120"/>
            <w:shd w:fill="F5F7F8" w:val="clear" w:color="auto"/>
            <w:tcMar>
              <w:top w:w="70" w:type="dxa"/>
              <w:start w:w="110" w:type="dxa"/>
              <w:bottom w:w="70" w:type="dxa"/>
              <w:end w:w="110" w:type="dxa"/>
            </w:tcMar>
          </w:tcPr>
          <w:p>
            <w:pPr>
              <w:pStyle w:val="TableText"/>
            </w:pPr>
            <w:r>
              <w:rPr/>
              <w:t>M&amp;B WOOL SUIT TYPE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45.10</w:t>
            </w:r>
          </w:p>
        </w:tc>
        <w:tc>
          <w:tcPr>
            <w:tcW w:type="dxa" w:w="3120"/>
            <w:tcMar>
              <w:top w:w="70" w:type="dxa"/>
              <w:start w:w="110" w:type="dxa"/>
              <w:bottom w:w="70" w:type="dxa"/>
              <w:end w:w="110" w:type="dxa"/>
            </w:tcMar>
          </w:tcPr>
          <w:p>
            <w:pPr>
              <w:pStyle w:val="TableText"/>
            </w:pPr>
            <w:r>
              <w:rPr/>
              <w:t>OTHER M&amp;B WOOL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45.10</w:t>
            </w:r>
          </w:p>
        </w:tc>
        <w:tc>
          <w:tcPr>
            <w:tcW w:type="dxa" w:w="3120"/>
            <w:shd w:fill="F5F7F8" w:val="clear" w:color="auto"/>
            <w:tcMar>
              <w:top w:w="70" w:type="dxa"/>
              <w:start w:w="110" w:type="dxa"/>
              <w:bottom w:w="70" w:type="dxa"/>
              <w:end w:w="110" w:type="dxa"/>
            </w:tcMar>
          </w:tcPr>
          <w:p>
            <w:pPr>
              <w:pStyle w:val="TableText"/>
            </w:pPr>
            <w:r>
              <w:rPr/>
              <w:t>W&amp;G WOOL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41.10</w:t>
            </w:r>
          </w:p>
        </w:tc>
        <w:tc>
          <w:tcPr>
            <w:tcW w:type="dxa" w:w="3120"/>
            <w:tcMar>
              <w:top w:w="70" w:type="dxa"/>
              <w:start w:w="110" w:type="dxa"/>
              <w:bottom w:w="70" w:type="dxa"/>
              <w:end w:w="110" w:type="dxa"/>
            </w:tcMar>
          </w:tcPr>
          <w:p>
            <w:pPr>
              <w:pStyle w:val="TableText"/>
            </w:pPr>
            <w:r>
              <w:rPr/>
              <w:t>WOOL DRESSES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12.50</w:t>
            </w:r>
          </w:p>
        </w:tc>
        <w:tc>
          <w:tcPr>
            <w:tcW w:type="dxa" w:w="3120"/>
            <w:shd w:fill="F5F7F8" w:val="clear" w:color="auto"/>
            <w:tcMar>
              <w:top w:w="70" w:type="dxa"/>
              <w:start w:w="110" w:type="dxa"/>
              <w:bottom w:w="70" w:type="dxa"/>
              <w:end w:w="110" w:type="dxa"/>
            </w:tcMar>
          </w:tcPr>
          <w:p>
            <w:pPr>
              <w:pStyle w:val="TableText"/>
            </w:pPr>
            <w:r>
              <w:rPr/>
              <w:t>WOOL KNIT SHIRTS/BLOUSES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6.30</w:t>
            </w:r>
          </w:p>
        </w:tc>
        <w:tc>
          <w:tcPr>
            <w:tcW w:type="dxa" w:w="3120"/>
            <w:tcMar>
              <w:top w:w="70" w:type="dxa"/>
              <w:start w:w="110" w:type="dxa"/>
              <w:bottom w:w="70" w:type="dxa"/>
              <w:end w:w="110" w:type="dxa"/>
            </w:tcMar>
          </w:tcPr>
          <w:p>
            <w:pPr>
              <w:pStyle w:val="TableText"/>
            </w:pPr>
            <w:r>
              <w:rPr/>
              <w:t>BABIES’ WOOL GARM/CLOTHING ACCESS.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20.10</w:t>
            </w:r>
          </w:p>
        </w:tc>
        <w:tc>
          <w:tcPr>
            <w:tcW w:type="dxa" w:w="3120"/>
            <w:shd w:fill="F5F7F8" w:val="clear" w:color="auto"/>
            <w:tcMar>
              <w:top w:w="70" w:type="dxa"/>
              <w:start w:w="110" w:type="dxa"/>
              <w:bottom w:w="70" w:type="dxa"/>
              <w:end w:w="110" w:type="dxa"/>
            </w:tcMar>
          </w:tcPr>
          <w:p>
            <w:pPr>
              <w:pStyle w:val="TableText"/>
            </w:pPr>
            <w:r>
              <w:rPr/>
              <w:t>WOOL SHIRTS/BLOUSES, NOT KNIT</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15.00</w:t>
            </w:r>
          </w:p>
        </w:tc>
        <w:tc>
          <w:tcPr>
            <w:tcW w:type="dxa" w:w="3120"/>
            <w:tcMar>
              <w:top w:w="70" w:type="dxa"/>
              <w:start w:w="110" w:type="dxa"/>
              <w:bottom w:w="70" w:type="dxa"/>
              <w:end w:w="110" w:type="dxa"/>
            </w:tcMar>
          </w:tcPr>
          <w:p>
            <w:pPr>
              <w:pStyle w:val="TableText"/>
            </w:pPr>
            <w:r>
              <w:rPr/>
              <w:t>WOOL SKIRTS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3.76</w:t>
            </w:r>
          </w:p>
        </w:tc>
        <w:tc>
          <w:tcPr>
            <w:tcW w:type="dxa" w:w="3120"/>
            <w:shd w:fill="F5F7F8" w:val="clear" w:color="auto"/>
            <w:tcMar>
              <w:top w:w="70" w:type="dxa"/>
              <w:start w:w="110" w:type="dxa"/>
              <w:bottom w:w="70" w:type="dxa"/>
              <w:end w:w="110" w:type="dxa"/>
            </w:tcMar>
          </w:tcPr>
          <w:p>
            <w:pPr>
              <w:pStyle w:val="TableText"/>
            </w:pPr>
            <w:r>
              <w:rPr/>
              <w:t>M&amp;B WOOL SUITS</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3.76</w:t>
            </w:r>
          </w:p>
        </w:tc>
        <w:tc>
          <w:tcPr>
            <w:tcW w:type="dxa" w:w="3120"/>
            <w:tcMar>
              <w:top w:w="70" w:type="dxa"/>
              <w:start w:w="110" w:type="dxa"/>
              <w:bottom w:w="70" w:type="dxa"/>
              <w:end w:w="110" w:type="dxa"/>
            </w:tcMar>
          </w:tcPr>
          <w:p>
            <w:pPr>
              <w:pStyle w:val="TableText"/>
            </w:pPr>
            <w:r>
              <w:rPr/>
              <w:t>W&amp;G WOOL SUITS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12.40</w:t>
            </w:r>
          </w:p>
        </w:tc>
        <w:tc>
          <w:tcPr>
            <w:tcW w:type="dxa" w:w="3120"/>
            <w:shd w:fill="F5F7F8" w:val="clear" w:color="auto"/>
            <w:tcMar>
              <w:top w:w="70" w:type="dxa"/>
              <w:start w:w="110" w:type="dxa"/>
              <w:bottom w:w="70" w:type="dxa"/>
              <w:end w:w="110" w:type="dxa"/>
            </w:tcMar>
          </w:tcPr>
          <w:p>
            <w:pPr>
              <w:pStyle w:val="TableText"/>
            </w:pPr>
            <w:r>
              <w:rPr/>
              <w:t>M&amp;B WOOL SWEATERS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12.40</w:t>
            </w:r>
          </w:p>
        </w:tc>
        <w:tc>
          <w:tcPr>
            <w:tcW w:type="dxa" w:w="3120"/>
            <w:tcMar>
              <w:top w:w="70" w:type="dxa"/>
              <w:start w:w="110" w:type="dxa"/>
              <w:bottom w:w="70" w:type="dxa"/>
              <w:end w:w="110" w:type="dxa"/>
            </w:tcMar>
          </w:tcPr>
          <w:p>
            <w:pPr>
              <w:pStyle w:val="TableText"/>
            </w:pPr>
            <w:r>
              <w:rPr/>
              <w:t>W&amp;G WOOL SWEATERS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15.00</w:t>
            </w:r>
          </w:p>
        </w:tc>
        <w:tc>
          <w:tcPr>
            <w:tcW w:type="dxa" w:w="3120"/>
            <w:shd w:fill="F5F7F8" w:val="clear" w:color="auto"/>
            <w:tcMar>
              <w:top w:w="70" w:type="dxa"/>
              <w:start w:w="110" w:type="dxa"/>
              <w:bottom w:w="70" w:type="dxa"/>
              <w:end w:w="110" w:type="dxa"/>
            </w:tcMar>
          </w:tcPr>
          <w:p>
            <w:pPr>
              <w:pStyle w:val="TableText"/>
            </w:pPr>
            <w:r>
              <w:rPr/>
              <w:t>M&amp;B WOOL  TROUSERS/BREECHES/SHORTS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15.00</w:t>
            </w:r>
          </w:p>
        </w:tc>
        <w:tc>
          <w:tcPr>
            <w:tcW w:type="dxa" w:w="3120"/>
            <w:tcMar>
              <w:top w:w="70" w:type="dxa"/>
              <w:start w:w="110" w:type="dxa"/>
              <w:bottom w:w="70" w:type="dxa"/>
              <w:end w:w="110" w:type="dxa"/>
            </w:tcMar>
          </w:tcPr>
          <w:p>
            <w:pPr>
              <w:pStyle w:val="TableText"/>
            </w:pPr>
            <w:r>
              <w:rPr/>
              <w:t>W&amp;G WOOL  TROUSERS/BREECHES/SHORTS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3.70</w:t>
            </w:r>
          </w:p>
        </w:tc>
        <w:tc>
          <w:tcPr>
            <w:tcW w:type="dxa" w:w="3120"/>
            <w:shd w:fill="F5F7F8" w:val="clear" w:color="auto"/>
            <w:tcMar>
              <w:top w:w="70" w:type="dxa"/>
              <w:start w:w="110" w:type="dxa"/>
              <w:bottom w:w="70" w:type="dxa"/>
              <w:end w:w="110" w:type="dxa"/>
            </w:tcMar>
          </w:tcPr>
          <w:p>
            <w:pPr>
              <w:pStyle w:val="TableText"/>
            </w:pPr>
            <w:r>
              <w:rPr/>
              <w:t>OTHER WOOL APPAREL</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2.40</w:t>
            </w:r>
          </w:p>
        </w:tc>
        <w:tc>
          <w:tcPr>
            <w:tcW w:type="dxa" w:w="3120"/>
            <w:tcMar>
              <w:top w:w="70" w:type="dxa"/>
              <w:start w:w="110" w:type="dxa"/>
              <w:bottom w:w="70" w:type="dxa"/>
              <w:end w:w="110" w:type="dxa"/>
            </w:tcMar>
          </w:tcPr>
          <w:p>
            <w:pPr>
              <w:pStyle w:val="TableText"/>
            </w:pPr>
            <w:r>
              <w:rPr/>
              <w:t>WOOL BLANKETS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WOOL FLOOR COVERINGS</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3.70</w:t>
            </w:r>
          </w:p>
        </w:tc>
        <w:tc>
          <w:tcPr>
            <w:tcW w:type="dxa" w:w="3120"/>
            <w:tcMar>
              <w:top w:w="70" w:type="dxa"/>
              <w:start w:w="110" w:type="dxa"/>
              <w:bottom w:w="70" w:type="dxa"/>
              <w:end w:w="110" w:type="dxa"/>
            </w:tcMar>
          </w:tcPr>
          <w:p>
            <w:pPr>
              <w:pStyle w:val="TableText"/>
            </w:pPr>
            <w:r>
              <w:rPr/>
              <w:t>OTHER WOOL MANUFACTURES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6.50</w:t>
            </w:r>
          </w:p>
        </w:tc>
        <w:tc>
          <w:tcPr>
            <w:tcW w:type="dxa" w:w="3120"/>
            <w:shd w:fill="F5F7F8" w:val="clear" w:color="auto"/>
            <w:tcMar>
              <w:top w:w="70" w:type="dxa"/>
              <w:start w:w="110" w:type="dxa"/>
              <w:bottom w:w="70" w:type="dxa"/>
              <w:end w:w="110" w:type="dxa"/>
            </w:tcMar>
          </w:tcPr>
          <w:p>
            <w:pPr>
              <w:pStyle w:val="TableText"/>
            </w:pPr>
            <w:r>
              <w:rPr/>
              <w:t>TEXTURED FILAMENT YARN</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6.30</w:t>
            </w:r>
          </w:p>
        </w:tc>
        <w:tc>
          <w:tcPr>
            <w:tcW w:type="dxa" w:w="3120"/>
            <w:tcMar>
              <w:top w:w="70" w:type="dxa"/>
              <w:start w:w="110" w:type="dxa"/>
              <w:bottom w:w="70" w:type="dxa"/>
              <w:end w:w="110" w:type="dxa"/>
            </w:tcMar>
          </w:tcPr>
          <w:p>
            <w:pPr>
              <w:pStyle w:val="TableText"/>
            </w:pPr>
            <w:r>
              <w:rPr/>
              <w:t>YARN ≥</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85</w:t>
            </w:r>
          </w:p>
        </w:tc>
        <w:tc>
          <w:tcPr>
            <w:tcW w:type="dxa" w:w="3120"/>
            <w:shd w:fill="F5F7F8" w:val="clear" w:color="auto"/>
            <w:tcMar>
              <w:top w:w="70" w:type="dxa"/>
              <w:start w:w="110" w:type="dxa"/>
              <w:bottom w:w="70" w:type="dxa"/>
              <w:end w:w="110" w:type="dxa"/>
            </w:tcMar>
          </w:tcPr>
          <w:p>
            <w:pPr>
              <w:pStyle w:val="TableText"/>
            </w:pPr>
            <w:r>
              <w:rPr/>
              <w:t>% ARTIFICIAL STAPLE FIBER</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7.60</w:t>
            </w:r>
          </w:p>
        </w:tc>
        <w:tc>
          <w:tcPr>
            <w:tcW w:type="dxa" w:w="3120"/>
            <w:tcMar>
              <w:top w:w="70" w:type="dxa"/>
              <w:start w:w="110" w:type="dxa"/>
              <w:bottom w:w="70" w:type="dxa"/>
              <w:end w:w="110" w:type="dxa"/>
            </w:tcMar>
          </w:tcPr>
          <w:p>
            <w:pPr>
              <w:pStyle w:val="TableText"/>
            </w:pPr>
            <w:r>
              <w:rPr/>
              <w:t>YARN ≥</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85</w:t>
            </w:r>
          </w:p>
        </w:tc>
        <w:tc>
          <w:tcPr>
            <w:tcW w:type="dxa" w:w="3120"/>
            <w:shd w:fill="F5F7F8" w:val="clear" w:color="auto"/>
            <w:tcMar>
              <w:top w:w="70" w:type="dxa"/>
              <w:start w:w="110" w:type="dxa"/>
              <w:bottom w:w="70" w:type="dxa"/>
              <w:end w:w="110" w:type="dxa"/>
            </w:tcMar>
          </w:tcPr>
          <w:p>
            <w:pPr>
              <w:pStyle w:val="TableText"/>
            </w:pPr>
            <w:r>
              <w:rPr/>
              <w:t>% SYNTHETIC STAPLE FIBER</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20.10</w:t>
            </w:r>
          </w:p>
        </w:tc>
        <w:tc>
          <w:tcPr>
            <w:tcW w:type="dxa" w:w="3120"/>
            <w:tcMar>
              <w:top w:w="70" w:type="dxa"/>
              <w:start w:w="110" w:type="dxa"/>
              <w:bottom w:w="70" w:type="dxa"/>
              <w:end w:w="110" w:type="dxa"/>
            </w:tcMar>
          </w:tcPr>
          <w:p>
            <w:pPr>
              <w:pStyle w:val="TableText"/>
            </w:pPr>
            <w:r>
              <w:rPr/>
              <w:t>NON TEXTURED FILAMENT YARN</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6.50</w:t>
            </w:r>
          </w:p>
        </w:tc>
        <w:tc>
          <w:tcPr>
            <w:tcW w:type="dxa" w:w="3120"/>
            <w:shd w:fill="F5F7F8" w:val="clear" w:color="auto"/>
            <w:tcMar>
              <w:top w:w="70" w:type="dxa"/>
              <w:start w:w="110" w:type="dxa"/>
              <w:bottom w:w="70" w:type="dxa"/>
              <w:end w:w="110" w:type="dxa"/>
            </w:tcMar>
          </w:tcPr>
          <w:p>
            <w:pPr>
              <w:pStyle w:val="TableText"/>
            </w:pPr>
            <w:r>
              <w:rPr/>
              <w:t>OTHER STAPLE FIBER YARN</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WOVEN FABRIC ≥</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85</w:t>
            </w:r>
          </w:p>
        </w:tc>
        <w:tc>
          <w:tcPr>
            <w:tcW w:type="dxa" w:w="3120"/>
            <w:shd w:fill="F5F7F8" w:val="clear" w:color="auto"/>
            <w:tcMar>
              <w:top w:w="70" w:type="dxa"/>
              <w:start w:w="110" w:type="dxa"/>
              <w:bottom w:w="70" w:type="dxa"/>
              <w:end w:w="110" w:type="dxa"/>
            </w:tcMar>
          </w:tcPr>
          <w:p>
            <w:pPr>
              <w:pStyle w:val="TableText"/>
            </w:pPr>
            <w:r>
              <w:rPr/>
              <w:t>% ARTIFICIAL STAPLE</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SHEETING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POPLIN &amp; BROADCLOTH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PRINTCLOTH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TWILL AND SATEEN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WOVEN ARTIFICIAL FILAMENT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POLYESTER FILAMENT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OTHER SYNTHETIC FILAMENT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14.40</w:t>
            </w:r>
          </w:p>
        </w:tc>
        <w:tc>
          <w:tcPr>
            <w:tcW w:type="dxa" w:w="3120"/>
            <w:shd w:fill="F5F7F8" w:val="clear" w:color="auto"/>
            <w:tcMar>
              <w:top w:w="70" w:type="dxa"/>
              <w:start w:w="110" w:type="dxa"/>
              <w:bottom w:w="70" w:type="dxa"/>
              <w:end w:w="110" w:type="dxa"/>
            </w:tcMar>
          </w:tcPr>
          <w:p>
            <w:pPr>
              <w:pStyle w:val="TableText"/>
            </w:pPr>
            <w:r>
              <w:rPr/>
              <w:t>IMPRESSION FABRIC</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GLASS FIBER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WOVEN MMF FABRIC,</w:t>
            </w:r>
          </w:p>
        </w:tc>
        <w:tc>
          <w:tcPr>
            <w:tcW w:type="dxa" w:w="3120"/>
            <w:shd w:fill="F5F7F8" w:val="clear" w:color="auto"/>
            <w:tcMar>
              <w:top w:w="70" w:type="dxa"/>
              <w:start w:w="110" w:type="dxa"/>
              <w:bottom w:w="70" w:type="dxa"/>
              <w:end w:w="110" w:type="dxa"/>
            </w:tcMar>
          </w:tcPr>
          <w:p>
            <w:pPr>
              <w:pStyle w:val="TableText"/>
            </w:pPr>
            <w:r>
              <w:rPr/>
            </w:r>
          </w:p>
        </w:tc>
      </w:tr>
      <w:tr>
        <w:trPr>
          <w:cantSplit/>
        </w:trPr>
        <w:tc>
          <w:tcPr>
            <w:tcW w:type="dxa" w:w="3120"/>
            <w:tcMar>
              <w:top w:w="70" w:type="dxa"/>
              <w:start w:w="110" w:type="dxa"/>
              <w:bottom w:w="70" w:type="dxa"/>
              <w:end w:w="110" w:type="dxa"/>
            </w:tcMar>
          </w:tcPr>
          <w:p>
            <w:pPr>
              <w:pStyle w:val="TableText"/>
            </w:pPr>
            <w:r>
              <w:rPr/>
              <w:t>15</w:t>
            </w:r>
          </w:p>
        </w:tc>
        <w:tc>
          <w:tcPr>
            <w:tcW w:type="dxa" w:w="3120"/>
            <w:tcMar>
              <w:top w:w="70" w:type="dxa"/>
              <w:start w:w="110" w:type="dxa"/>
              <w:bottom w:w="70" w:type="dxa"/>
              <w:end w:w="110" w:type="dxa"/>
            </w:tcMar>
          </w:tcPr>
          <w:p>
            <w:pPr>
              <w:pStyle w:val="TableText"/>
            </w:pPr>
            <w:r>
              <w:rPr/>
              <w:t>% TO</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36</w:t>
            </w:r>
          </w:p>
        </w:tc>
        <w:tc>
          <w:tcPr>
            <w:tcW w:type="dxa" w:w="3120"/>
            <w:shd w:fill="F5F7F8" w:val="clear" w:color="auto"/>
            <w:tcMar>
              <w:top w:w="70" w:type="dxa"/>
              <w:start w:w="110" w:type="dxa"/>
              <w:bottom w:w="70" w:type="dxa"/>
              <w:end w:w="110" w:type="dxa"/>
            </w:tcMar>
          </w:tcPr>
          <w:p>
            <w:pPr>
              <w:pStyle w:val="TableText"/>
            </w:pPr>
            <w:r>
              <w:rPr/>
              <w:t>% WOOL</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STAPLE/FILAMENT POPLIN &amp;  BROADCLOTH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STAPLE/FILAMENT PRINTCLOTH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STAPLE/FILAMENT SHEETING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STAPLE/FILAMENT TWILL/SATEEN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OTHER MMF STAPLE/FILAMENT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1.40</w:t>
            </w:r>
          </w:p>
        </w:tc>
        <w:tc>
          <w:tcPr>
            <w:tcW w:type="dxa" w:w="3120"/>
            <w:shd w:fill="F5F7F8" w:val="clear" w:color="auto"/>
            <w:tcMar>
              <w:top w:w="70" w:type="dxa"/>
              <w:start w:w="110" w:type="dxa"/>
              <w:bottom w:w="70" w:type="dxa"/>
              <w:end w:w="110" w:type="dxa"/>
            </w:tcMar>
          </w:tcPr>
          <w:p>
            <w:pPr>
              <w:pStyle w:val="TableText"/>
            </w:pPr>
            <w:r>
              <w:rPr/>
              <w:t>MMF HANDKERCHIEFS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2.90</w:t>
            </w:r>
          </w:p>
        </w:tc>
        <w:tc>
          <w:tcPr>
            <w:tcW w:type="dxa" w:w="3120"/>
            <w:tcMar>
              <w:top w:w="70" w:type="dxa"/>
              <w:start w:w="110" w:type="dxa"/>
              <w:bottom w:w="70" w:type="dxa"/>
              <w:end w:w="110" w:type="dxa"/>
            </w:tcMar>
          </w:tcPr>
          <w:p>
            <w:pPr>
              <w:pStyle w:val="TableText"/>
            </w:pPr>
            <w:r>
              <w:rPr/>
              <w:t>MMF GLOVES AND MITTENS</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3.80</w:t>
            </w:r>
          </w:p>
        </w:tc>
        <w:tc>
          <w:tcPr>
            <w:tcW w:type="dxa" w:w="3120"/>
            <w:shd w:fill="F5F7F8" w:val="clear" w:color="auto"/>
            <w:tcMar>
              <w:top w:w="70" w:type="dxa"/>
              <w:start w:w="110" w:type="dxa"/>
              <w:bottom w:w="70" w:type="dxa"/>
              <w:end w:w="110" w:type="dxa"/>
            </w:tcMar>
          </w:tcPr>
          <w:p>
            <w:pPr>
              <w:pStyle w:val="TableText"/>
            </w:pPr>
            <w:r>
              <w:rPr/>
              <w:t>MMF HOSIERY</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30.30</w:t>
            </w:r>
          </w:p>
        </w:tc>
        <w:tc>
          <w:tcPr>
            <w:tcW w:type="dxa" w:w="3120"/>
            <w:tcMar>
              <w:top w:w="70" w:type="dxa"/>
              <w:start w:w="110" w:type="dxa"/>
              <w:bottom w:w="70" w:type="dxa"/>
              <w:end w:w="110" w:type="dxa"/>
            </w:tcMar>
          </w:tcPr>
          <w:p>
            <w:pPr>
              <w:pStyle w:val="TableText"/>
            </w:pPr>
            <w:r>
              <w:rPr/>
              <w:t>M&amp;B MMF SUIT TYPE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OTHER M&amp;B MMF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MMF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37.90</w:t>
            </w:r>
          </w:p>
        </w:tc>
        <w:tc>
          <w:tcPr>
            <w:tcW w:type="dxa" w:w="3120"/>
            <w:shd w:fill="F5F7F8" w:val="clear" w:color="auto"/>
            <w:tcMar>
              <w:top w:w="70" w:type="dxa"/>
              <w:start w:w="110" w:type="dxa"/>
              <w:bottom w:w="70" w:type="dxa"/>
              <w:end w:w="110" w:type="dxa"/>
            </w:tcMar>
          </w:tcPr>
          <w:p>
            <w:pPr>
              <w:pStyle w:val="TableText"/>
            </w:pPr>
            <w:r>
              <w:rPr/>
              <w:t>MMF DRESSES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15.00</w:t>
            </w:r>
          </w:p>
        </w:tc>
        <w:tc>
          <w:tcPr>
            <w:tcW w:type="dxa" w:w="3120"/>
            <w:tcMar>
              <w:top w:w="70" w:type="dxa"/>
              <w:start w:w="110" w:type="dxa"/>
              <w:bottom w:w="70" w:type="dxa"/>
              <w:end w:w="110" w:type="dxa"/>
            </w:tcMar>
          </w:tcPr>
          <w:p>
            <w:pPr>
              <w:pStyle w:val="TableText"/>
            </w:pPr>
            <w:r>
              <w:rPr/>
              <w:t>M&amp;B MMF KNIT SHIRTS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12.50</w:t>
            </w:r>
          </w:p>
        </w:tc>
        <w:tc>
          <w:tcPr>
            <w:tcW w:type="dxa" w:w="3120"/>
            <w:shd w:fill="F5F7F8" w:val="clear" w:color="auto"/>
            <w:tcMar>
              <w:top w:w="70" w:type="dxa"/>
              <w:start w:w="110" w:type="dxa"/>
              <w:bottom w:w="70" w:type="dxa"/>
              <w:end w:w="110" w:type="dxa"/>
            </w:tcMar>
          </w:tcPr>
          <w:p>
            <w:pPr>
              <w:pStyle w:val="TableText"/>
            </w:pPr>
            <w:r>
              <w:rPr/>
              <w:t>W&amp;G MMF KNIT SHIRTS &amp; 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20.10</w:t>
            </w:r>
          </w:p>
        </w:tc>
        <w:tc>
          <w:tcPr>
            <w:tcW w:type="dxa" w:w="3120"/>
            <w:tcMar>
              <w:top w:w="70" w:type="dxa"/>
              <w:start w:w="110" w:type="dxa"/>
              <w:bottom w:w="70" w:type="dxa"/>
              <w:end w:w="110" w:type="dxa"/>
            </w:tcMar>
          </w:tcPr>
          <w:p>
            <w:pPr>
              <w:pStyle w:val="TableText"/>
            </w:pPr>
            <w:r>
              <w:rPr/>
              <w:t>M&amp;B NOT KNIT MMF SHIRTS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12.10</w:t>
            </w:r>
          </w:p>
        </w:tc>
        <w:tc>
          <w:tcPr>
            <w:tcW w:type="dxa" w:w="3120"/>
            <w:shd w:fill="F5F7F8" w:val="clear" w:color="auto"/>
            <w:tcMar>
              <w:top w:w="70" w:type="dxa"/>
              <w:start w:w="110" w:type="dxa"/>
              <w:bottom w:w="70" w:type="dxa"/>
              <w:end w:w="110" w:type="dxa"/>
            </w:tcMar>
          </w:tcPr>
          <w:p>
            <w:pPr>
              <w:pStyle w:val="TableText"/>
            </w:pPr>
            <w:r>
              <w:rPr/>
              <w:t>W&amp;G NOT KNIT MMF SHIRTS &amp; 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MMF SKIRTS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3.76</w:t>
            </w:r>
          </w:p>
        </w:tc>
        <w:tc>
          <w:tcPr>
            <w:tcW w:type="dxa" w:w="3120"/>
            <w:shd w:fill="F5F7F8" w:val="clear" w:color="auto"/>
            <w:tcMar>
              <w:top w:w="70" w:type="dxa"/>
              <w:start w:w="110" w:type="dxa"/>
              <w:bottom w:w="70" w:type="dxa"/>
              <w:end w:w="110" w:type="dxa"/>
            </w:tcMar>
          </w:tcPr>
          <w:p>
            <w:pPr>
              <w:pStyle w:val="TableText"/>
            </w:pPr>
            <w:r>
              <w:rPr/>
              <w:t>M&amp;B MMF SUITS</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3.76</w:t>
            </w:r>
          </w:p>
        </w:tc>
        <w:tc>
          <w:tcPr>
            <w:tcW w:type="dxa" w:w="3120"/>
            <w:tcMar>
              <w:top w:w="70" w:type="dxa"/>
              <w:start w:w="110" w:type="dxa"/>
              <w:bottom w:w="70" w:type="dxa"/>
              <w:end w:w="110" w:type="dxa"/>
            </w:tcMar>
          </w:tcPr>
          <w:p>
            <w:pPr>
              <w:pStyle w:val="TableText"/>
            </w:pPr>
            <w:r>
              <w:rPr/>
              <w:t>W&amp;G MMF SUITS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30.80</w:t>
            </w:r>
          </w:p>
        </w:tc>
        <w:tc>
          <w:tcPr>
            <w:tcW w:type="dxa" w:w="3120"/>
            <w:shd w:fill="F5F7F8" w:val="clear" w:color="auto"/>
            <w:tcMar>
              <w:top w:w="70" w:type="dxa"/>
              <w:start w:w="110" w:type="dxa"/>
              <w:bottom w:w="70" w:type="dxa"/>
              <w:end w:w="110" w:type="dxa"/>
            </w:tcMar>
          </w:tcPr>
          <w:p>
            <w:pPr>
              <w:pStyle w:val="TableText"/>
            </w:pPr>
            <w:r>
              <w:rPr/>
              <w:t>M&amp;B MMF SWEATERS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30.80</w:t>
            </w:r>
          </w:p>
        </w:tc>
        <w:tc>
          <w:tcPr>
            <w:tcW w:type="dxa" w:w="3120"/>
            <w:tcMar>
              <w:top w:w="70" w:type="dxa"/>
              <w:start w:w="110" w:type="dxa"/>
              <w:bottom w:w="70" w:type="dxa"/>
              <w:end w:w="110" w:type="dxa"/>
            </w:tcMar>
          </w:tcPr>
          <w:p>
            <w:pPr>
              <w:pStyle w:val="TableText"/>
            </w:pPr>
            <w:r>
              <w:rPr/>
              <w:t>W&amp;G MMF SWEATERS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14.90</w:t>
            </w:r>
          </w:p>
        </w:tc>
        <w:tc>
          <w:tcPr>
            <w:tcW w:type="dxa" w:w="3120"/>
            <w:shd w:fill="F5F7F8" w:val="clear" w:color="auto"/>
            <w:tcMar>
              <w:top w:w="70" w:type="dxa"/>
              <w:start w:w="110" w:type="dxa"/>
              <w:bottom w:w="70" w:type="dxa"/>
              <w:end w:w="110" w:type="dxa"/>
            </w:tcMar>
          </w:tcPr>
          <w:p>
            <w:pPr>
              <w:pStyle w:val="TableText"/>
            </w:pPr>
            <w:r>
              <w:rPr/>
              <w:t>M&amp;B MMF TROUSERS/BREECHES/SHORTS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W&amp;G MMF TROUSERS/BREECHES/SHORTS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4.00</w:t>
            </w:r>
          </w:p>
        </w:tc>
        <w:tc>
          <w:tcPr>
            <w:tcW w:type="dxa" w:w="3120"/>
            <w:shd w:fill="F5F7F8" w:val="clear" w:color="auto"/>
            <w:tcMar>
              <w:top w:w="70" w:type="dxa"/>
              <w:start w:w="110" w:type="dxa"/>
              <w:bottom w:w="70" w:type="dxa"/>
              <w:end w:w="110" w:type="dxa"/>
            </w:tcMar>
          </w:tcPr>
          <w:p>
            <w:pPr>
              <w:pStyle w:val="TableText"/>
            </w:pPr>
            <w:r>
              <w:rPr/>
              <w:t>MMF BRAS &amp; OTHER BODY SUPPORT  GARMENTS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42.60</w:t>
            </w:r>
          </w:p>
        </w:tc>
        <w:tc>
          <w:tcPr>
            <w:tcW w:type="dxa" w:w="3120"/>
            <w:tcMar>
              <w:top w:w="70" w:type="dxa"/>
              <w:start w:w="110" w:type="dxa"/>
              <w:bottom w:w="70" w:type="dxa"/>
              <w:end w:w="110" w:type="dxa"/>
            </w:tcMar>
          </w:tcPr>
          <w:p>
            <w:pPr>
              <w:pStyle w:val="TableText"/>
            </w:pPr>
            <w:r>
              <w:rPr/>
              <w:t>MMF ROBES, DRESSING GOWNS, ETC.</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43.50</w:t>
            </w:r>
          </w:p>
        </w:tc>
        <w:tc>
          <w:tcPr>
            <w:tcW w:type="dxa" w:w="3120"/>
            <w:shd w:fill="F5F7F8" w:val="clear" w:color="auto"/>
            <w:tcMar>
              <w:top w:w="70" w:type="dxa"/>
              <w:start w:w="110" w:type="dxa"/>
              <w:bottom w:w="70" w:type="dxa"/>
              <w:end w:w="110" w:type="dxa"/>
            </w:tcMar>
          </w:tcPr>
          <w:p>
            <w:pPr>
              <w:pStyle w:val="TableText"/>
            </w:pPr>
            <w:r>
              <w:rPr/>
              <w:t>MMF NIGHTWEAR &amp; PAJAMAS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13.40</w:t>
            </w:r>
          </w:p>
        </w:tc>
        <w:tc>
          <w:tcPr>
            <w:tcW w:type="dxa" w:w="3120"/>
            <w:tcMar>
              <w:top w:w="70" w:type="dxa"/>
              <w:start w:w="110" w:type="dxa"/>
              <w:bottom w:w="70" w:type="dxa"/>
              <w:end w:w="110" w:type="dxa"/>
            </w:tcMar>
          </w:tcPr>
          <w:p>
            <w:pPr>
              <w:pStyle w:val="TableText"/>
            </w:pPr>
            <w:r>
              <w:rPr/>
              <w:t>MMF UNDERWEAR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M&amp;B MMF DOWN FILLED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MMF DOWN FILLED COATS    U.S.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14.40</w:t>
            </w:r>
          </w:p>
        </w:tc>
        <w:tc>
          <w:tcPr>
            <w:tcW w:type="dxa" w:w="3120"/>
            <w:shd w:fill="F5F7F8" w:val="clear" w:color="auto"/>
            <w:tcMar>
              <w:top w:w="70" w:type="dxa"/>
              <w:start w:w="110" w:type="dxa"/>
              <w:bottom w:w="70" w:type="dxa"/>
              <w:end w:w="110" w:type="dxa"/>
            </w:tcMar>
          </w:tcPr>
          <w:p>
            <w:pPr>
              <w:pStyle w:val="TableText"/>
            </w:pPr>
            <w:r>
              <w:rPr/>
              <w:t>OTHER MMF APPAREL</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FLOOR COVERINGS</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14.40</w:t>
            </w:r>
          </w:p>
        </w:tc>
        <w:tc>
          <w:tcPr>
            <w:tcW w:type="dxa" w:w="3120"/>
            <w:shd w:fill="F5F7F8" w:val="clear" w:color="auto"/>
            <w:tcMar>
              <w:top w:w="70" w:type="dxa"/>
              <w:start w:w="110" w:type="dxa"/>
              <w:bottom w:w="70" w:type="dxa"/>
              <w:end w:w="110" w:type="dxa"/>
            </w:tcMar>
          </w:tcPr>
          <w:p>
            <w:pPr>
              <w:pStyle w:val="TableText"/>
            </w:pPr>
            <w:r>
              <w:rPr/>
              <w:t>OTHER MMF FURNISHINGS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14.40</w:t>
            </w:r>
          </w:p>
        </w:tc>
        <w:tc>
          <w:tcPr>
            <w:tcW w:type="dxa" w:w="3120"/>
            <w:tcMar>
              <w:top w:w="70" w:type="dxa"/>
              <w:start w:w="110" w:type="dxa"/>
              <w:bottom w:w="70" w:type="dxa"/>
              <w:end w:w="110" w:type="dxa"/>
            </w:tcMar>
          </w:tcPr>
          <w:p>
            <w:pPr>
              <w:pStyle w:val="TableText"/>
            </w:pPr>
            <w:r>
              <w:rPr/>
              <w:t>OTHER MMF MANUFACTURES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3.70</w:t>
            </w:r>
          </w:p>
        </w:tc>
        <w:tc>
          <w:tcPr>
            <w:tcW w:type="dxa" w:w="3120"/>
            <w:shd w:fill="F5F7F8" w:val="clear" w:color="auto"/>
            <w:tcMar>
              <w:top w:w="70" w:type="dxa"/>
              <w:start w:w="110" w:type="dxa"/>
              <w:bottom w:w="70" w:type="dxa"/>
              <w:end w:w="110" w:type="dxa"/>
            </w:tcMar>
          </w:tcPr>
          <w:p>
            <w:pPr>
              <w:pStyle w:val="TableText"/>
            </w:pPr>
            <w:r>
              <w:rPr/>
              <w:t>MMF FLAT GOODS, HANDBAGS, LUGGAGE</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8.50</w:t>
            </w:r>
          </w:p>
        </w:tc>
        <w:tc>
          <w:tcPr>
            <w:tcW w:type="dxa" w:w="3120"/>
            <w:tcMar>
              <w:top w:w="70" w:type="dxa"/>
              <w:start w:w="110" w:type="dxa"/>
              <w:bottom w:w="70" w:type="dxa"/>
              <w:end w:w="110" w:type="dxa"/>
            </w:tcMar>
          </w:tcPr>
          <w:p>
            <w:pPr>
              <w:pStyle w:val="TableText"/>
            </w:pPr>
            <w:r>
              <w:rPr/>
              <w:t>YARN, SILK BLENDS/VEGETABLE FIBER</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WOVEN FABRIC, SILK  BLENDS/VEGETABLE FIBER</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2.90</w:t>
            </w:r>
          </w:p>
        </w:tc>
        <w:tc>
          <w:tcPr>
            <w:tcW w:type="dxa" w:w="3120"/>
            <w:tcMar>
              <w:top w:w="70" w:type="dxa"/>
              <w:start w:w="110" w:type="dxa"/>
              <w:bottom w:w="70" w:type="dxa"/>
              <w:end w:w="110" w:type="dxa"/>
            </w:tcMar>
          </w:tcPr>
          <w:p>
            <w:pPr>
              <w:pStyle w:val="TableText"/>
            </w:pPr>
            <w:r>
              <w:rPr/>
              <w:t>GLOVES &amp; MITTENS, SILK BLENDS /  VEGETABLE FIBER</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3.80</w:t>
            </w:r>
          </w:p>
        </w:tc>
        <w:tc>
          <w:tcPr>
            <w:tcW w:type="dxa" w:w="3120"/>
            <w:shd w:fill="F5F7F8" w:val="clear" w:color="auto"/>
            <w:tcMar>
              <w:top w:w="70" w:type="dxa"/>
              <w:start w:w="110" w:type="dxa"/>
              <w:bottom w:w="70" w:type="dxa"/>
              <w:end w:w="110" w:type="dxa"/>
            </w:tcMar>
          </w:tcPr>
          <w:p>
            <w:pPr>
              <w:pStyle w:val="TableText"/>
            </w:pPr>
            <w:r>
              <w:rPr/>
              <w:t>HOSIERY, SILK BLENDS/VEGETABLE  FIBER</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30.30</w:t>
            </w:r>
          </w:p>
        </w:tc>
        <w:tc>
          <w:tcPr>
            <w:tcW w:type="dxa" w:w="3120"/>
            <w:tcMar>
              <w:top w:w="70" w:type="dxa"/>
              <w:start w:w="110" w:type="dxa"/>
              <w:bottom w:w="70" w:type="dxa"/>
              <w:end w:w="110" w:type="dxa"/>
            </w:tcMar>
          </w:tcPr>
          <w:p>
            <w:pPr>
              <w:pStyle w:val="TableText"/>
            </w:pPr>
            <w:r>
              <w:rPr/>
              <w:t>M&amp;B SUIT TYPE COATS,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OTHER M&amp;B COATS, SILK  BLENDS/VEGETABLE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COATS, SILK BLENDS/VEGETABLE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37.90</w:t>
            </w:r>
          </w:p>
        </w:tc>
        <w:tc>
          <w:tcPr>
            <w:tcW w:type="dxa" w:w="3120"/>
            <w:shd w:fill="F5F7F8" w:val="clear" w:color="auto"/>
            <w:tcMar>
              <w:top w:w="70" w:type="dxa"/>
              <w:start w:w="110" w:type="dxa"/>
              <w:bottom w:w="70" w:type="dxa"/>
              <w:end w:w="110" w:type="dxa"/>
            </w:tcMar>
          </w:tcPr>
          <w:p>
            <w:pPr>
              <w:pStyle w:val="TableText"/>
            </w:pPr>
            <w:r>
              <w:rPr/>
              <w:t>DRESSES, SILK BLENDS/VEGETABLE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11.70</w:t>
            </w:r>
          </w:p>
        </w:tc>
        <w:tc>
          <w:tcPr>
            <w:tcW w:type="dxa" w:w="3120"/>
            <w:tcMar>
              <w:top w:w="70" w:type="dxa"/>
              <w:start w:w="110" w:type="dxa"/>
              <w:bottom w:w="70" w:type="dxa"/>
              <w:end w:w="110" w:type="dxa"/>
            </w:tcMar>
          </w:tcPr>
          <w:p>
            <w:pPr>
              <w:pStyle w:val="TableText"/>
            </w:pPr>
            <w:r>
              <w:rPr/>
              <w:t>KNIT SHIRTS &amp; BLOUSES, SILK  BLENDS/VEGETABLE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6.30</w:t>
            </w:r>
          </w:p>
        </w:tc>
        <w:tc>
          <w:tcPr>
            <w:tcW w:type="dxa" w:w="3120"/>
            <w:shd w:fill="F5F7F8" w:val="clear" w:color="auto"/>
            <w:tcMar>
              <w:top w:w="70" w:type="dxa"/>
              <w:start w:w="110" w:type="dxa"/>
              <w:bottom w:w="70" w:type="dxa"/>
              <w:end w:w="110" w:type="dxa"/>
            </w:tcMar>
          </w:tcPr>
          <w:p>
            <w:pPr>
              <w:pStyle w:val="TableText"/>
            </w:pPr>
            <w:r>
              <w:rPr/>
              <w:t>BABIES’ GARM &amp; CLOTHING  ACCESSORIES, SILK/VEG FIBER</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16.70</w:t>
            </w:r>
          </w:p>
        </w:tc>
        <w:tc>
          <w:tcPr>
            <w:tcW w:type="dxa" w:w="3120"/>
            <w:tcMar>
              <w:top w:w="70" w:type="dxa"/>
              <w:start w:w="110" w:type="dxa"/>
              <w:bottom w:w="70" w:type="dxa"/>
              <w:end w:w="110" w:type="dxa"/>
            </w:tcMar>
          </w:tcPr>
          <w:p>
            <w:pPr>
              <w:pStyle w:val="TableText"/>
            </w:pPr>
            <w:r>
              <w:rPr/>
              <w:t>NOT KNIT SHIRTS &amp; BLOUSES,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14.90</w:t>
            </w:r>
          </w:p>
        </w:tc>
        <w:tc>
          <w:tcPr>
            <w:tcW w:type="dxa" w:w="3120"/>
            <w:shd w:fill="F5F7F8" w:val="clear" w:color="auto"/>
            <w:tcMar>
              <w:top w:w="70" w:type="dxa"/>
              <w:start w:w="110" w:type="dxa"/>
              <w:bottom w:w="70" w:type="dxa"/>
              <w:end w:w="110" w:type="dxa"/>
            </w:tcMar>
          </w:tcPr>
          <w:p>
            <w:pPr>
              <w:pStyle w:val="TableText"/>
            </w:pPr>
            <w:r>
              <w:rPr/>
              <w:t>SKIRTS, SILK BLENDS/VEGETABLE FIBERS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3.76</w:t>
            </w:r>
          </w:p>
        </w:tc>
        <w:tc>
          <w:tcPr>
            <w:tcW w:type="dxa" w:w="3120"/>
            <w:tcMar>
              <w:top w:w="70" w:type="dxa"/>
              <w:start w:w="110" w:type="dxa"/>
              <w:bottom w:w="70" w:type="dxa"/>
              <w:end w:w="110" w:type="dxa"/>
            </w:tcMar>
          </w:tcPr>
          <w:p>
            <w:pPr>
              <w:pStyle w:val="TableText"/>
            </w:pPr>
            <w:r>
              <w:rPr/>
              <w:t>M&amp;B SUITS, SILK BLENDS/VEGETABLE  FIBER</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3.76</w:t>
            </w:r>
          </w:p>
        </w:tc>
        <w:tc>
          <w:tcPr>
            <w:tcW w:type="dxa" w:w="3120"/>
            <w:shd w:fill="F5F7F8" w:val="clear" w:color="auto"/>
            <w:tcMar>
              <w:top w:w="70" w:type="dxa"/>
              <w:start w:w="110" w:type="dxa"/>
              <w:bottom w:w="70" w:type="dxa"/>
              <w:end w:w="110" w:type="dxa"/>
            </w:tcMar>
          </w:tcPr>
          <w:p>
            <w:pPr>
              <w:pStyle w:val="TableText"/>
            </w:pPr>
            <w:r>
              <w:rPr/>
              <w:t>W&amp;G SUITS, SILK BLENDS/VEGETABLE  FIBER</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30.80</w:t>
            </w:r>
          </w:p>
        </w:tc>
        <w:tc>
          <w:tcPr>
            <w:tcW w:type="dxa" w:w="3120"/>
            <w:tcMar>
              <w:top w:w="70" w:type="dxa"/>
              <w:start w:w="110" w:type="dxa"/>
              <w:bottom w:w="70" w:type="dxa"/>
              <w:end w:w="110" w:type="dxa"/>
            </w:tcMar>
          </w:tcPr>
          <w:p>
            <w:pPr>
              <w:pStyle w:val="TableText"/>
            </w:pPr>
            <w:r>
              <w:rPr/>
              <w:t>SWEATERS, NON-COTTON VEGETABLE  FIBERS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30.80</w:t>
            </w:r>
          </w:p>
        </w:tc>
        <w:tc>
          <w:tcPr>
            <w:tcW w:type="dxa" w:w="3120"/>
            <w:shd w:fill="F5F7F8" w:val="clear" w:color="auto"/>
            <w:tcMar>
              <w:top w:w="70" w:type="dxa"/>
              <w:start w:w="110" w:type="dxa"/>
              <w:bottom w:w="70" w:type="dxa"/>
              <w:end w:w="110" w:type="dxa"/>
            </w:tcMar>
          </w:tcPr>
          <w:p>
            <w:pPr>
              <w:pStyle w:val="TableText"/>
            </w:pPr>
            <w:r>
              <w:rPr/>
              <w:t>SWEATERS, SILK BLENDS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TROUSERS/BREECHES/SHORTS,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42.60</w:t>
            </w:r>
          </w:p>
        </w:tc>
        <w:tc>
          <w:tcPr>
            <w:tcW w:type="dxa" w:w="3120"/>
            <w:shd w:fill="F5F7F8" w:val="clear" w:color="auto"/>
            <w:tcMar>
              <w:top w:w="70" w:type="dxa"/>
              <w:start w:w="110" w:type="dxa"/>
              <w:bottom w:w="70" w:type="dxa"/>
              <w:end w:w="110" w:type="dxa"/>
            </w:tcMar>
          </w:tcPr>
          <w:p>
            <w:pPr>
              <w:pStyle w:val="TableText"/>
            </w:pPr>
            <w:r>
              <w:rPr/>
              <w:t>ROBES, DRESSING GOWNS, ETC, SILK  BLENDS/ 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43.50</w:t>
            </w:r>
          </w:p>
        </w:tc>
        <w:tc>
          <w:tcPr>
            <w:tcW w:type="dxa" w:w="3120"/>
            <w:tcMar>
              <w:top w:w="70" w:type="dxa"/>
              <w:start w:w="110" w:type="dxa"/>
              <w:bottom w:w="70" w:type="dxa"/>
              <w:end w:w="110" w:type="dxa"/>
            </w:tcMar>
          </w:tcPr>
          <w:p>
            <w:pPr>
              <w:pStyle w:val="TableText"/>
            </w:pPr>
            <w:r>
              <w:rPr/>
              <w:t>NIGHTWEAR &amp; PYJAMAS,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11.30</w:t>
            </w:r>
          </w:p>
        </w:tc>
        <w:tc>
          <w:tcPr>
            <w:tcW w:type="dxa" w:w="3120"/>
            <w:shd w:fill="F5F7F8" w:val="clear" w:color="auto"/>
            <w:tcMar>
              <w:top w:w="70" w:type="dxa"/>
              <w:start w:w="110" w:type="dxa"/>
              <w:bottom w:w="70" w:type="dxa"/>
              <w:end w:w="110" w:type="dxa"/>
            </w:tcMar>
          </w:tcPr>
          <w:p>
            <w:pPr>
              <w:pStyle w:val="TableText"/>
            </w:pPr>
            <w:r>
              <w:rPr/>
              <w:t>UNDERWEAR, SILK BLENDS/VEGETABLE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6.60</w:t>
            </w:r>
          </w:p>
        </w:tc>
        <w:tc>
          <w:tcPr>
            <w:tcW w:type="dxa" w:w="3120"/>
            <w:tcMar>
              <w:top w:w="70" w:type="dxa"/>
              <w:start w:w="110" w:type="dxa"/>
              <w:bottom w:w="70" w:type="dxa"/>
              <w:end w:w="110" w:type="dxa"/>
            </w:tcMar>
          </w:tcPr>
          <w:p>
            <w:pPr>
              <w:pStyle w:val="TableText"/>
            </w:pPr>
            <w:r>
              <w:rPr/>
              <w:t>NECKWEAR, SILK BLENDS/VEGETABLE  FIBER</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12.50</w:t>
            </w:r>
          </w:p>
        </w:tc>
        <w:tc>
          <w:tcPr>
            <w:tcW w:type="dxa" w:w="3120"/>
            <w:shd w:fill="F5F7F8" w:val="clear" w:color="auto"/>
            <w:tcMar>
              <w:top w:w="70" w:type="dxa"/>
              <w:start w:w="110" w:type="dxa"/>
              <w:bottom w:w="70" w:type="dxa"/>
              <w:end w:w="110" w:type="dxa"/>
            </w:tcMar>
          </w:tcPr>
          <w:p>
            <w:pPr>
              <w:pStyle w:val="TableText"/>
            </w:pPr>
            <w:r>
              <w:rPr/>
              <w:t>OTHER SILK BLEND/VEGETABLE FIBER  APPAREL</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0.40</w:t>
            </w:r>
          </w:p>
        </w:tc>
        <w:tc>
          <w:tcPr>
            <w:tcW w:type="dxa" w:w="3120"/>
            <w:tcMar>
              <w:top w:w="70" w:type="dxa"/>
              <w:start w:w="110" w:type="dxa"/>
              <w:bottom w:w="70" w:type="dxa"/>
              <w:end w:w="110" w:type="dxa"/>
            </w:tcMar>
          </w:tcPr>
          <w:p>
            <w:pPr>
              <w:pStyle w:val="TableText"/>
            </w:pPr>
            <w:r>
              <w:rPr/>
              <w:t>TOWELS, SILK BLENDS/VEGETABLE  FIBERS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3.70</w:t>
            </w:r>
          </w:p>
        </w:tc>
        <w:tc>
          <w:tcPr>
            <w:tcW w:type="dxa" w:w="3120"/>
            <w:shd w:fill="F5F7F8" w:val="clear" w:color="auto"/>
            <w:tcMar>
              <w:top w:w="70" w:type="dxa"/>
              <w:start w:w="110" w:type="dxa"/>
              <w:bottom w:w="70" w:type="dxa"/>
              <w:end w:w="110" w:type="dxa"/>
            </w:tcMar>
          </w:tcPr>
          <w:p>
            <w:pPr>
              <w:pStyle w:val="TableText"/>
            </w:pPr>
            <w:r>
              <w:rPr/>
              <w:t>LUGGAGE, SILK BLENDS/VEGETABLE  FIBERS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3.70</w:t>
            </w:r>
          </w:p>
        </w:tc>
        <w:tc>
          <w:tcPr>
            <w:tcW w:type="dxa" w:w="3120"/>
            <w:tcMar>
              <w:top w:w="70" w:type="dxa"/>
              <w:start w:w="110" w:type="dxa"/>
              <w:bottom w:w="70" w:type="dxa"/>
              <w:end w:w="110" w:type="dxa"/>
            </w:tcMar>
          </w:tcPr>
          <w:p>
            <w:pPr>
              <w:pStyle w:val="TableText"/>
            </w:pPr>
            <w:r>
              <w:rPr/>
              <w:t>HANDBAGS &amp; FLATGOODS, SILK BLENDS/  VEGETABLE FIBER</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11.10</w:t>
            </w:r>
          </w:p>
        </w:tc>
        <w:tc>
          <w:tcPr>
            <w:tcW w:type="dxa" w:w="3120"/>
            <w:shd w:fill="F5F7F8" w:val="clear" w:color="auto"/>
            <w:tcMar>
              <w:top w:w="70" w:type="dxa"/>
              <w:start w:w="110" w:type="dxa"/>
              <w:bottom w:w="70" w:type="dxa"/>
              <w:end w:w="110" w:type="dxa"/>
            </w:tcMar>
          </w:tcPr>
          <w:p>
            <w:pPr>
              <w:pStyle w:val="TableText"/>
            </w:pPr>
            <w:r>
              <w:rPr/>
              <w:t>OTHER SILK BLENDS/VEGETABLE FIBER  MANUFACTURES</w:t>
            </w:r>
          </w:p>
        </w:tc>
        <w:tc>
          <w:tcPr>
            <w:tcW w:type="dxa" w:w="3120"/>
            <w:shd w:fill="F5F7F8" w:val="clear" w:color="auto"/>
            <w:tcMar>
              <w:top w:w="70" w:type="dxa"/>
              <w:start w:w="110" w:type="dxa"/>
              <w:bottom w:w="70" w:type="dxa"/>
              <w:end w:w="110" w:type="dxa"/>
            </w:tcMar>
          </w:tcPr>
          <w:p>
            <w:pPr>
              <w:pStyle w:val="TableText"/>
            </w:pPr>
            <w:r>
              <w:rPr/>
              <w:t>KG</w:t>
            </w:r>
          </w:p>
        </w:tc>
      </w:tr>
    </w:tbl>
    <w:p>
      <w:pPr>
        <w:pStyle w:val="Normal"/>
      </w:pPr>
      <w:r>
        <w:rPr>
          <w:b w:val="0"/>
        </w:rPr>
        <w:t>5. The following conversion factors shall apply to the following goods not covered by a U.S. category:</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2340"/>
        <w:gridCol w:w="2340"/>
        <w:gridCol w:w="2340"/>
        <w:gridCol w:w="2340"/>
      </w:tblGrid>
      <w:tr>
        <w:trPr>
          <w:tblHeader w:val="true"/>
          <w:cantSplit/>
          <w:tblHeader w:val="true"/>
        </w:trPr>
        <w:tc>
          <w:tcPr>
            <w:tcW w:type="dxa" w:w="2340"/>
            <w:tcBorders>
              <w:bottom w:val="single" w:sz="6" w:space="0" w:color="546E7A"/>
            </w:tcBorders>
            <w:shd w:fill="E4E9EC" w:val="clear" w:color="auto"/>
          </w:tcPr>
          <w:p>
            <w:pPr>
              <w:pStyle w:val="TableText"/>
            </w:pPr>
            <w:r>
              <w:rPr>
                <w:b/>
                <w:color w:val="37474F"/>
              </w:rPr>
              <w:t>U.S. Harmonized Statistical Provision</w:t>
            </w:r>
          </w:p>
        </w:tc>
        <w:tc>
          <w:tcPr>
            <w:tcW w:type="dxa" w:w="2340"/>
            <w:tcBorders>
              <w:bottom w:val="single" w:sz="6" w:space="0" w:color="546E7A"/>
            </w:tcBorders>
            <w:shd w:fill="E4E9EC" w:val="clear" w:color="auto"/>
          </w:tcPr>
          <w:p>
            <w:pPr>
              <w:pStyle w:val="TableText"/>
            </w:pPr>
            <w:r>
              <w:rPr>
                <w:b/>
                <w:color w:val="37474F"/>
              </w:rPr>
              <w:t>Conversion Factor</w:t>
            </w:r>
          </w:p>
        </w:tc>
        <w:tc>
          <w:tcPr>
            <w:tcW w:type="dxa" w:w="2340"/>
            <w:tcBorders>
              <w:bottom w:val="single" w:sz="6" w:space="0" w:color="546E7A"/>
            </w:tcBorders>
            <w:shd w:fill="E4E9EC" w:val="clear" w:color="auto"/>
          </w:tcPr>
          <w:p>
            <w:pPr>
              <w:pStyle w:val="TableText"/>
            </w:pPr>
            <w:r>
              <w:rPr>
                <w:b/>
                <w:color w:val="37474F"/>
              </w:rPr>
              <w:t>Primary Unit of Measure</w:t>
            </w:r>
          </w:p>
        </w:tc>
        <w:tc>
          <w:tcPr>
            <w:tcW w:type="dxa" w:w="2340"/>
            <w:tcBorders>
              <w:bottom w:val="single" w:sz="6" w:space="0" w:color="546E7A"/>
            </w:tcBorders>
            <w:shd w:fill="E4E9EC" w:val="clear" w:color="auto"/>
          </w:tcPr>
          <w:p>
            <w:pPr>
              <w:pStyle w:val="TableText"/>
            </w:pPr>
            <w:r>
              <w:rPr>
                <w:b/>
                <w:color w:val="37474F"/>
              </w:rPr>
              <w:t>Description</w:t>
            </w:r>
          </w:p>
        </w:tc>
      </w:tr>
      <w:tr>
        <w:trPr>
          <w:cantSplit/>
        </w:trPr>
        <w:tc>
          <w:tcPr>
            <w:tcW w:type="dxa" w:w="2340"/>
            <w:tcMar>
              <w:top w:w="70" w:type="dxa"/>
              <w:start w:w="110" w:type="dxa"/>
              <w:bottom w:w="70" w:type="dxa"/>
              <w:end w:w="110" w:type="dxa"/>
            </w:tcMar>
          </w:tcPr>
          <w:p>
            <w:pPr>
              <w:pStyle w:val="TableText"/>
            </w:pPr>
            <w:r>
              <w:rPr/>
              <w:t>5208.31.2000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NOT MORE THAN 100 G/M2, PLAIN WEAVE, CERTIFIED HANDLOOM FABRIC, DYED</w:t>
            </w:r>
          </w:p>
        </w:tc>
      </w:tr>
      <w:tr>
        <w:trPr>
          <w:cantSplit/>
        </w:trPr>
        <w:tc>
          <w:tcPr>
            <w:tcW w:type="dxa" w:w="2340"/>
            <w:shd w:fill="F5F7F8" w:val="clear" w:color="auto"/>
            <w:tcMar>
              <w:top w:w="70" w:type="dxa"/>
              <w:start w:w="110" w:type="dxa"/>
              <w:bottom w:w="70" w:type="dxa"/>
              <w:end w:w="110" w:type="dxa"/>
            </w:tcMar>
          </w:tcPr>
          <w:p>
            <w:pPr>
              <w:pStyle w:val="TableText"/>
            </w:pPr>
            <w:r>
              <w:rPr/>
              <w:t>5208.32.1000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100 G/M2 BUT NOT MORE THAN 200 G/M2, PLAIN WEAVE, CERTIFIED HANDLOOM FABRIC, DYED</w:t>
            </w:r>
          </w:p>
        </w:tc>
      </w:tr>
      <w:tr>
        <w:trPr>
          <w:cantSplit/>
        </w:trPr>
        <w:tc>
          <w:tcPr>
            <w:tcW w:type="dxa" w:w="2340"/>
            <w:tcMar>
              <w:top w:w="70" w:type="dxa"/>
              <w:start w:w="110" w:type="dxa"/>
              <w:bottom w:w="70" w:type="dxa"/>
              <w:end w:w="110" w:type="dxa"/>
            </w:tcMar>
          </w:tcPr>
          <w:p>
            <w:pPr>
              <w:pStyle w:val="TableText"/>
            </w:pPr>
            <w:r>
              <w:rPr/>
              <w:t>5208.41.2000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FABRIC,CONTAINING 85% OR MORE BY WEIGHT OF COTTON WEIGHING NOT MORE THAN 100 G/M2, PLAIN WEAVE CERTIFIED HANDLOOM, YARNS OF DIFFERENT COLORS</w:t>
            </w:r>
          </w:p>
        </w:tc>
      </w:tr>
      <w:tr>
        <w:trPr>
          <w:cantSplit/>
        </w:trPr>
        <w:tc>
          <w:tcPr>
            <w:tcW w:type="dxa" w:w="2340"/>
            <w:shd w:fill="F5F7F8" w:val="clear" w:color="auto"/>
            <w:tcMar>
              <w:top w:w="70" w:type="dxa"/>
              <w:start w:w="110" w:type="dxa"/>
              <w:bottom w:w="70" w:type="dxa"/>
              <w:end w:w="110" w:type="dxa"/>
            </w:tcMar>
          </w:tcPr>
          <w:p>
            <w:pPr>
              <w:pStyle w:val="TableText"/>
            </w:pPr>
            <w:r>
              <w:rPr/>
              <w:t>5208.42.1000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100 G/M2 BUT NOT MORE THAN 200 G/M2, PLAIN WEAVE, CERTIFIED HANDLOOM,     YARNS OF DIFFERENT COLORS</w:t>
            </w:r>
          </w:p>
        </w:tc>
      </w:tr>
      <w:tr>
        <w:trPr>
          <w:cantSplit/>
        </w:trPr>
        <w:tc>
          <w:tcPr>
            <w:tcW w:type="dxa" w:w="2340"/>
            <w:tcMar>
              <w:top w:w="70" w:type="dxa"/>
              <w:start w:w="110" w:type="dxa"/>
              <w:bottom w:w="70" w:type="dxa"/>
              <w:end w:w="110" w:type="dxa"/>
            </w:tcMar>
          </w:tcPr>
          <w:p>
            <w:pPr>
              <w:pStyle w:val="TableText"/>
            </w:pPr>
            <w:r>
              <w:rPr/>
              <w:t>5208.51.2000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NOT MORE THAN 100 G/M2 PLAIN WEAVE, CERTIFIED HANDLOOM, PRINTED</w:t>
            </w:r>
          </w:p>
        </w:tc>
      </w:tr>
      <w:tr>
        <w:trPr>
          <w:cantSplit/>
        </w:trPr>
        <w:tc>
          <w:tcPr>
            <w:tcW w:type="dxa" w:w="2340"/>
            <w:shd w:fill="F5F7F8" w:val="clear" w:color="auto"/>
            <w:tcMar>
              <w:top w:w="70" w:type="dxa"/>
              <w:start w:w="110" w:type="dxa"/>
              <w:bottom w:w="70" w:type="dxa"/>
              <w:end w:w="110" w:type="dxa"/>
            </w:tcMar>
          </w:tcPr>
          <w:p>
            <w:pPr>
              <w:pStyle w:val="TableText"/>
            </w:pPr>
            <w:r>
              <w:rPr/>
              <w:t>5208.52.1000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100 G/M2 BUT NOT MORE THAN 200 G/M2 PLAIN WEAVE, CERTIFIED HANDLOOM, PRINTED</w:t>
            </w:r>
          </w:p>
        </w:tc>
      </w:tr>
      <w:tr>
        <w:trPr>
          <w:cantSplit/>
        </w:trPr>
        <w:tc>
          <w:tcPr>
            <w:tcW w:type="dxa" w:w="2340"/>
            <w:tcMar>
              <w:top w:w="70" w:type="dxa"/>
              <w:start w:w="110" w:type="dxa"/>
              <w:bottom w:w="70" w:type="dxa"/>
              <w:end w:w="110" w:type="dxa"/>
            </w:tcMar>
          </w:tcPr>
          <w:p>
            <w:pPr>
              <w:pStyle w:val="TableText"/>
            </w:pPr>
            <w:r>
              <w:rPr/>
              <w:t>5209.31.3000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MORE THAN 200 G/M2, PLAIN WEAVE, CERTIFIED HANDLOOM, DYED</w:t>
            </w:r>
          </w:p>
        </w:tc>
      </w:tr>
      <w:tr>
        <w:trPr>
          <w:cantSplit/>
        </w:trPr>
        <w:tc>
          <w:tcPr>
            <w:tcW w:type="dxa" w:w="2340"/>
            <w:shd w:fill="F5F7F8" w:val="clear" w:color="auto"/>
            <w:tcMar>
              <w:top w:w="70" w:type="dxa"/>
              <w:start w:w="110" w:type="dxa"/>
              <w:bottom w:w="70" w:type="dxa"/>
              <w:end w:w="110" w:type="dxa"/>
            </w:tcMar>
          </w:tcPr>
          <w:p>
            <w:pPr>
              <w:pStyle w:val="TableText"/>
            </w:pPr>
            <w:r>
              <w:rPr/>
              <w:t>5209.41.3000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200 G/M2, PLAIN WEAVE, CERTIFIED HANDLOOM, YARNS OF DIFFERENT COLOR</w:t>
            </w:r>
          </w:p>
        </w:tc>
      </w:tr>
      <w:tr>
        <w:trPr>
          <w:cantSplit/>
        </w:trPr>
        <w:tc>
          <w:tcPr>
            <w:tcW w:type="dxa" w:w="2340"/>
            <w:tcMar>
              <w:top w:w="70" w:type="dxa"/>
              <w:start w:w="110" w:type="dxa"/>
              <w:bottom w:w="70" w:type="dxa"/>
              <w:end w:w="110" w:type="dxa"/>
            </w:tcMar>
          </w:tcPr>
          <w:p>
            <w:pPr>
              <w:pStyle w:val="TableText"/>
            </w:pPr>
            <w:r>
              <w:rPr/>
              <w:t>5209.51.3000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MORE THAN 200 G/M2, PLAIN WEAVE, CERTIFIED HANDLOOM, PRINTED</w:t>
            </w:r>
          </w:p>
        </w:tc>
      </w:tr>
      <w:tr>
        <w:trPr>
          <w:cantSplit/>
        </w:trPr>
        <w:tc>
          <w:tcPr>
            <w:tcW w:type="dxa" w:w="2340"/>
            <w:shd w:fill="F5F7F8" w:val="clear" w:color="auto"/>
            <w:tcMar>
              <w:top w:w="70" w:type="dxa"/>
              <w:start w:w="110" w:type="dxa"/>
              <w:bottom w:w="70" w:type="dxa"/>
              <w:end w:w="110" w:type="dxa"/>
            </w:tcMar>
          </w:tcPr>
          <w:p>
            <w:pPr>
              <w:pStyle w:val="TableText"/>
            </w:pPr>
            <w:r>
              <w:rPr/>
              <w:t>5310.10.0020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JUTE OR OTHER TEXTILE BAST FIBER (EXCLUDING FLAX/HEMP/RAMIE), NOT OVER 130 CM WIDE, UNBLEACHED</w:t>
            </w:r>
          </w:p>
        </w:tc>
      </w:tr>
      <w:tr>
        <w:trPr>
          <w:cantSplit/>
        </w:trPr>
        <w:tc>
          <w:tcPr>
            <w:tcW w:type="dxa" w:w="2340"/>
            <w:tcMar>
              <w:top w:w="70" w:type="dxa"/>
              <w:start w:w="110" w:type="dxa"/>
              <w:bottom w:w="70" w:type="dxa"/>
              <w:end w:w="110" w:type="dxa"/>
            </w:tcMar>
          </w:tcPr>
          <w:p>
            <w:pPr>
              <w:pStyle w:val="TableText"/>
            </w:pPr>
            <w:r>
              <w:rPr/>
              <w:t>5310.10.0040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JUTE OR OTHER TEXTILE BAST FIBER (EXCLUDING FLAX/HEMP/RAMIE) OVER 130 CM BUT NOT OVER 250 CM WIDE, UNBLEACHED</w:t>
            </w:r>
          </w:p>
        </w:tc>
      </w:tr>
      <w:tr>
        <w:trPr>
          <w:cantSplit/>
        </w:trPr>
        <w:tc>
          <w:tcPr>
            <w:tcW w:type="dxa" w:w="2340"/>
            <w:shd w:fill="F5F7F8" w:val="clear" w:color="auto"/>
            <w:tcMar>
              <w:top w:w="70" w:type="dxa"/>
              <w:start w:w="110" w:type="dxa"/>
              <w:bottom w:w="70" w:type="dxa"/>
              <w:end w:w="110" w:type="dxa"/>
            </w:tcMar>
          </w:tcPr>
          <w:p>
            <w:pPr>
              <w:pStyle w:val="TableText"/>
            </w:pPr>
            <w:r>
              <w:rPr/>
              <w:t>5310.10.0060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JUTE OR OTHER TEXTILE BAST FIBER(EXCLUDING FLAX/HEMP/RAMIE), OVER 250 CM WIDE, UNBLEACHED</w:t>
            </w:r>
          </w:p>
        </w:tc>
      </w:tr>
      <w:tr>
        <w:trPr>
          <w:cantSplit/>
        </w:trPr>
        <w:tc>
          <w:tcPr>
            <w:tcW w:type="dxa" w:w="2340"/>
            <w:tcMar>
              <w:top w:w="70" w:type="dxa"/>
              <w:start w:w="110" w:type="dxa"/>
              <w:bottom w:w="70" w:type="dxa"/>
              <w:end w:w="110" w:type="dxa"/>
            </w:tcMar>
          </w:tcPr>
          <w:p>
            <w:pPr>
              <w:pStyle w:val="TableText"/>
            </w:pPr>
            <w:r>
              <w:rPr/>
              <w:t>5310.90.0000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OTHER WOVEN FABRIC, JUTE OR OTHER TEXTILE BAST FIBER (EXCLUDING FLAX/HEMP/RAMIE)</w:t>
            </w:r>
          </w:p>
        </w:tc>
      </w:tr>
      <w:tr>
        <w:trPr>
          <w:cantSplit/>
        </w:trPr>
        <w:tc>
          <w:tcPr>
            <w:tcW w:type="dxa" w:w="2340"/>
            <w:shd w:fill="F5F7F8" w:val="clear" w:color="auto"/>
            <w:tcMar>
              <w:top w:w="70" w:type="dxa"/>
              <w:start w:w="110" w:type="dxa"/>
              <w:bottom w:w="70" w:type="dxa"/>
              <w:end w:w="110" w:type="dxa"/>
            </w:tcMar>
          </w:tcPr>
          <w:p>
            <w:pPr>
              <w:pStyle w:val="TableText"/>
            </w:pPr>
            <w:r>
              <w:rPr/>
              <w:t>5311.00.6000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OF PAPER YARN</w:t>
            </w:r>
          </w:p>
        </w:tc>
      </w:tr>
      <w:tr>
        <w:trPr>
          <w:cantSplit/>
        </w:trPr>
        <w:tc>
          <w:tcPr>
            <w:tcW w:type="dxa" w:w="2340"/>
            <w:tcMar>
              <w:top w:w="70" w:type="dxa"/>
              <w:start w:w="110" w:type="dxa"/>
              <w:bottom w:w="70" w:type="dxa"/>
              <w:end w:w="110" w:type="dxa"/>
            </w:tcMar>
          </w:tcPr>
          <w:p>
            <w:pPr>
              <w:pStyle w:val="TableText"/>
            </w:pPr>
            <w:r>
              <w:rPr/>
              <w:t>5407.30.1000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SYNTHETIC FILAMENT FABRIC WITH     YARN AT ACUTE/RIGHT ANGLES, OVER 60% BY WEIGHT OF PLASTIC</w:t>
            </w:r>
          </w:p>
        </w:tc>
      </w:tr>
      <w:tr>
        <w:trPr>
          <w:cantSplit/>
        </w:trPr>
        <w:tc>
          <w:tcPr>
            <w:tcW w:type="dxa" w:w="2340"/>
            <w:shd w:fill="F5F7F8" w:val="clear" w:color="auto"/>
            <w:tcMar>
              <w:top w:w="70" w:type="dxa"/>
              <w:start w:w="110" w:type="dxa"/>
              <w:bottom w:w="70" w:type="dxa"/>
              <w:end w:w="110" w:type="dxa"/>
            </w:tcMar>
          </w:tcPr>
          <w:p>
            <w:pPr>
              <w:pStyle w:val="TableText"/>
            </w:pPr>
            <w:r>
              <w:rPr/>
              <w:t>5605.00.1000</w:t>
            </w:r>
          </w:p>
        </w:tc>
        <w:tc>
          <w:tcPr>
            <w:tcW w:type="dxa" w:w="2340"/>
            <w:shd w:fill="F5F7F8" w:val="clear" w:color="auto"/>
            <w:tcMar>
              <w:top w:w="70" w:type="dxa"/>
              <w:start w:w="110" w:type="dxa"/>
              <w:bottom w:w="70" w:type="dxa"/>
              <w:end w:w="110" w:type="dxa"/>
            </w:tcMar>
          </w:tcPr>
          <w:p>
            <w:pPr>
              <w:pStyle w:val="TableText"/>
            </w:pPr>
            <w:r>
              <w:rPr/>
              <w:t>6.5</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METAL COATED OR METAL LAMINATED MAN-MADE FILAMENT OR STRIP OR THE LIKE, UNGIMPED, AND UNTWISTED OR WITH TWIST OF LESS THAN 5 TURNS PER METER WOVEN PILE FABRIC, CONTAINING 85% OR</w:t>
            </w:r>
          </w:p>
        </w:tc>
      </w:tr>
      <w:tr>
        <w:trPr>
          <w:cantSplit/>
        </w:trPr>
        <w:tc>
          <w:tcPr>
            <w:tcW w:type="dxa" w:w="2340"/>
            <w:tcMar>
              <w:top w:w="70" w:type="dxa"/>
              <w:start w:w="110" w:type="dxa"/>
              <w:bottom w:w="70" w:type="dxa"/>
              <w:end w:w="110" w:type="dxa"/>
            </w:tcMar>
          </w:tcPr>
          <w:p>
            <w:pPr>
              <w:pStyle w:val="TableText"/>
            </w:pPr>
            <w:r>
              <w:rPr/>
              <w:t>5801.90.2010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5802.20.0010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TERRY TOWELING AND SIMILAR WOVEN FABRIC,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5802.30.0010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TUFTED TEXTILE FABRIC,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5803.00.9010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GAUZE,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5804.10.9010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TULLES &amp; OTHER NETTING FABRIC NOT INCLUDING WOVEN, KNIT OR CROCHETED,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5804.29.9010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MECHANICALLY MADE LACE IN THE PIECE/STRIP/MOTIF,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5804.30.0010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HANDMADE LACE IN PIECE/STRIP/MOTIF,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5805.00.1000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HANDWOVEN TAPESTRIES FOR WALLHANGINGS, VALUED OVER $215 PER SM</w:t>
            </w:r>
          </w:p>
        </w:tc>
      </w:tr>
      <w:tr>
        <w:trPr>
          <w:cantSplit/>
        </w:trPr>
        <w:tc>
          <w:tcPr>
            <w:tcW w:type="dxa" w:w="2340"/>
            <w:tcMar>
              <w:top w:w="70" w:type="dxa"/>
              <w:start w:w="110" w:type="dxa"/>
              <w:bottom w:w="70" w:type="dxa"/>
              <w:end w:w="110" w:type="dxa"/>
            </w:tcMar>
          </w:tcPr>
          <w:p>
            <w:pPr>
              <w:pStyle w:val="TableText"/>
            </w:pPr>
            <w:r>
              <w:rPr/>
              <w:t>5805.00.2000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OTHER HANDWOVEN TAPESTRIES, WOOL OR FINE ANIMAL HAIR, CERTIFIED HANDLOOMED</w:t>
            </w:r>
          </w:p>
        </w:tc>
      </w:tr>
      <w:tr>
        <w:trPr>
          <w:cantSplit/>
        </w:trPr>
        <w:tc>
          <w:tcPr>
            <w:tcW w:type="dxa" w:w="2340"/>
            <w:shd w:fill="F5F7F8" w:val="clear" w:color="auto"/>
            <w:tcMar>
              <w:top w:w="70" w:type="dxa"/>
              <w:start w:w="110" w:type="dxa"/>
              <w:bottom w:w="70" w:type="dxa"/>
              <w:end w:w="110" w:type="dxa"/>
            </w:tcMar>
          </w:tcPr>
          <w:p>
            <w:pPr>
              <w:pStyle w:val="TableText"/>
            </w:pPr>
            <w:r>
              <w:rPr/>
              <w:t>5805.00.4090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OTHER HANDWOVEN TAPESTRIES</w:t>
            </w:r>
          </w:p>
        </w:tc>
      </w:tr>
      <w:tr>
        <w:trPr>
          <w:cantSplit/>
        </w:trPr>
        <w:tc>
          <w:tcPr>
            <w:tcW w:type="dxa" w:w="2340"/>
            <w:tcMar>
              <w:top w:w="70" w:type="dxa"/>
              <w:start w:w="110" w:type="dxa"/>
              <w:bottom w:w="70" w:type="dxa"/>
              <w:end w:w="110" w:type="dxa"/>
            </w:tcMar>
          </w:tcPr>
          <w:p>
            <w:pPr>
              <w:pStyle w:val="TableText"/>
            </w:pPr>
            <w:r>
              <w:rPr/>
              <w:t>5806.10.3010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NARROW WOVEN PILE &amp; CHENILLE FABRIC, CONTAINING 85 PERCENT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5806.39.3010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NARROW WOVEN FABRIC, NOT PILE,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5806.40.0000</w:t>
            </w:r>
          </w:p>
        </w:tc>
        <w:tc>
          <w:tcPr>
            <w:tcW w:type="dxa" w:w="2340"/>
            <w:tcMar>
              <w:top w:w="70" w:type="dxa"/>
              <w:start w:w="110" w:type="dxa"/>
              <w:bottom w:w="70" w:type="dxa"/>
              <w:end w:w="110" w:type="dxa"/>
            </w:tcMar>
          </w:tcPr>
          <w:p>
            <w:pPr>
              <w:pStyle w:val="TableText"/>
            </w:pPr>
            <w:r>
              <w:rPr/>
              <w:t>13.60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NARROW FABRIC, WARP WITHOUT WEFT ASSEMBLED BY MEANS OF AN ADHESIVE (BOLDUCS)</w:t>
            </w:r>
          </w:p>
        </w:tc>
      </w:tr>
      <w:tr>
        <w:trPr>
          <w:cantSplit/>
        </w:trPr>
        <w:tc>
          <w:tcPr>
            <w:tcW w:type="dxa" w:w="2340"/>
            <w:shd w:fill="F5F7F8" w:val="clear" w:color="auto"/>
            <w:tcMar>
              <w:top w:w="70" w:type="dxa"/>
              <w:start w:w="110" w:type="dxa"/>
              <w:bottom w:w="70" w:type="dxa"/>
              <w:end w:w="110" w:type="dxa"/>
            </w:tcMar>
          </w:tcPr>
          <w:p>
            <w:pPr>
              <w:pStyle w:val="TableText"/>
            </w:pPr>
            <w:r>
              <w:rPr/>
              <w:t>5807.10.1500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WOVEN LABELS, TEXTILE MATERIALS, NOT EMBROIDERED, NOT COTTON OR MMF</w:t>
            </w:r>
          </w:p>
        </w:tc>
      </w:tr>
      <w:tr>
        <w:trPr>
          <w:cantSplit/>
        </w:trPr>
        <w:tc>
          <w:tcPr>
            <w:tcW w:type="dxa" w:w="2340"/>
            <w:tcMar>
              <w:top w:w="70" w:type="dxa"/>
              <w:start w:w="110" w:type="dxa"/>
              <w:bottom w:w="70" w:type="dxa"/>
              <w:end w:w="110" w:type="dxa"/>
            </w:tcMar>
          </w:tcPr>
          <w:p>
            <w:pPr>
              <w:pStyle w:val="TableText"/>
            </w:pPr>
            <w:r>
              <w:rPr/>
              <w:t>5807.10.2010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WOVEN BADGES AND SIMILAR ARTICLES, COTTON, NOT EMBROIDERED</w:t>
            </w:r>
          </w:p>
        </w:tc>
      </w:tr>
      <w:tr>
        <w:trPr>
          <w:cantSplit/>
        </w:trPr>
        <w:tc>
          <w:tcPr>
            <w:tcW w:type="dxa" w:w="2340"/>
            <w:shd w:fill="F5F7F8" w:val="clear" w:color="auto"/>
            <w:tcMar>
              <w:top w:w="70" w:type="dxa"/>
              <w:start w:w="110" w:type="dxa"/>
              <w:bottom w:w="70" w:type="dxa"/>
              <w:end w:w="110" w:type="dxa"/>
            </w:tcMar>
          </w:tcPr>
          <w:p>
            <w:pPr>
              <w:pStyle w:val="TableText"/>
            </w:pPr>
            <w:r>
              <w:rPr/>
              <w:t>5807.10.2020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WOVEN BADGES/SIMILAR ARTICLES, MMF, NOT EMBROIDERED</w:t>
            </w:r>
          </w:p>
        </w:tc>
      </w:tr>
      <w:tr>
        <w:trPr>
          <w:cantSplit/>
        </w:trPr>
        <w:tc>
          <w:tcPr>
            <w:tcW w:type="dxa" w:w="2340"/>
            <w:tcMar>
              <w:top w:w="70" w:type="dxa"/>
              <w:start w:w="110" w:type="dxa"/>
              <w:bottom w:w="70" w:type="dxa"/>
              <w:end w:w="110" w:type="dxa"/>
            </w:tcMar>
          </w:tcPr>
          <w:p>
            <w:pPr>
              <w:pStyle w:val="TableText"/>
            </w:pPr>
            <w:r>
              <w:rPr/>
              <w:t>5807.10.2090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WOVEN BADGES/SIMILAR ARTCLES, TEXTILE MATERIALS, NOT EMBROIDERED, NOT COTTON/MMF</w:t>
            </w:r>
          </w:p>
        </w:tc>
      </w:tr>
      <w:tr>
        <w:trPr>
          <w:cantSplit/>
        </w:trPr>
        <w:tc>
          <w:tcPr>
            <w:tcW w:type="dxa" w:w="2340"/>
            <w:shd w:fill="F5F7F8" w:val="clear" w:color="auto"/>
            <w:tcMar>
              <w:top w:w="70" w:type="dxa"/>
              <w:start w:w="110" w:type="dxa"/>
              <w:bottom w:w="70" w:type="dxa"/>
              <w:end w:w="110" w:type="dxa"/>
            </w:tcMar>
          </w:tcPr>
          <w:p>
            <w:pPr>
              <w:pStyle w:val="TableText"/>
            </w:pPr>
            <w:r>
              <w:rPr/>
              <w:t>5807.90.1500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NOTWOVEN LABELS OF TEXTILE MATERIALS, NOT EMBROIDERED, NOT COTTON/MMF</w:t>
            </w:r>
          </w:p>
        </w:tc>
      </w:tr>
      <w:tr>
        <w:trPr>
          <w:cantSplit/>
        </w:trPr>
        <w:tc>
          <w:tcPr>
            <w:tcW w:type="dxa" w:w="2340"/>
            <w:tcMar>
              <w:top w:w="70" w:type="dxa"/>
              <w:start w:w="110" w:type="dxa"/>
              <w:bottom w:w="70" w:type="dxa"/>
              <w:end w:w="110" w:type="dxa"/>
            </w:tcMar>
          </w:tcPr>
          <w:p>
            <w:pPr>
              <w:pStyle w:val="TableText"/>
            </w:pPr>
            <w:r>
              <w:rPr/>
              <w:t>5807.90.2010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NOTWOVEN BADGES/SIMILAR ARTICLES, COTTON, NOT EMBROIDERED</w:t>
            </w:r>
          </w:p>
        </w:tc>
      </w:tr>
      <w:tr>
        <w:trPr>
          <w:cantSplit/>
        </w:trPr>
        <w:tc>
          <w:tcPr>
            <w:tcW w:type="dxa" w:w="2340"/>
            <w:shd w:fill="F5F7F8" w:val="clear" w:color="auto"/>
            <w:tcMar>
              <w:top w:w="70" w:type="dxa"/>
              <w:start w:w="110" w:type="dxa"/>
              <w:bottom w:w="70" w:type="dxa"/>
              <w:end w:w="110" w:type="dxa"/>
            </w:tcMar>
          </w:tcPr>
          <w:p>
            <w:pPr>
              <w:pStyle w:val="TableText"/>
            </w:pPr>
            <w:r>
              <w:rPr/>
              <w:t>5807.90.2020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NOTWOVEN BADGES/SIMILAR ARTICLES, MMF, NOT EMBROIDERED</w:t>
            </w:r>
          </w:p>
        </w:tc>
      </w:tr>
      <w:tr>
        <w:trPr>
          <w:cantSplit/>
        </w:trPr>
        <w:tc>
          <w:tcPr>
            <w:tcW w:type="dxa" w:w="2340"/>
            <w:tcMar>
              <w:top w:w="70" w:type="dxa"/>
              <w:start w:w="110" w:type="dxa"/>
              <w:bottom w:w="70" w:type="dxa"/>
              <w:end w:w="110" w:type="dxa"/>
            </w:tcMar>
          </w:tcPr>
          <w:p>
            <w:pPr>
              <w:pStyle w:val="TableText"/>
            </w:pPr>
            <w:r>
              <w:rPr/>
              <w:t>5807.90.2090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NOTWOVEN BADGES/SIMILAR ARTICLES, TEX MATERIALS, NOT EMBROIDERED, NOT COTTON/MMF</w:t>
            </w:r>
          </w:p>
        </w:tc>
      </w:tr>
      <w:tr>
        <w:trPr>
          <w:cantSplit/>
        </w:trPr>
        <w:tc>
          <w:tcPr>
            <w:tcW w:type="dxa" w:w="2340"/>
            <w:shd w:fill="F5F7F8" w:val="clear" w:color="auto"/>
            <w:tcMar>
              <w:top w:w="70" w:type="dxa"/>
              <w:start w:w="110" w:type="dxa"/>
              <w:bottom w:w="70" w:type="dxa"/>
              <w:end w:w="110" w:type="dxa"/>
            </w:tcMar>
          </w:tcPr>
          <w:p>
            <w:pPr>
              <w:pStyle w:val="TableText"/>
            </w:pPr>
            <w:r>
              <w:rPr/>
              <w:t>5808.10.5000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BRAIDS IN PIECE FOR HEADWEAR, OTHER TEXTILE MATERIALS</w:t>
            </w:r>
          </w:p>
        </w:tc>
      </w:tr>
      <w:tr>
        <w:trPr>
          <w:cantSplit/>
        </w:trPr>
        <w:tc>
          <w:tcPr>
            <w:tcW w:type="dxa" w:w="2340"/>
            <w:tcMar>
              <w:top w:w="70" w:type="dxa"/>
              <w:start w:w="110" w:type="dxa"/>
              <w:bottom w:w="70" w:type="dxa"/>
              <w:end w:w="110" w:type="dxa"/>
            </w:tcMar>
          </w:tcPr>
          <w:p>
            <w:pPr>
              <w:pStyle w:val="TableText"/>
            </w:pPr>
            <w:r>
              <w:rPr/>
              <w:t>5808.10.9000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BRAIDS IN PIECE</w:t>
            </w:r>
          </w:p>
        </w:tc>
      </w:tr>
      <w:tr>
        <w:trPr>
          <w:cantSplit/>
        </w:trPr>
        <w:tc>
          <w:tcPr>
            <w:tcW w:type="dxa" w:w="2340"/>
            <w:shd w:fill="F5F7F8" w:val="clear" w:color="auto"/>
            <w:tcMar>
              <w:top w:w="70" w:type="dxa"/>
              <w:start w:w="110" w:type="dxa"/>
              <w:bottom w:w="70" w:type="dxa"/>
              <w:end w:w="110" w:type="dxa"/>
            </w:tcMar>
          </w:tcPr>
          <w:p>
            <w:pPr>
              <w:pStyle w:val="TableText"/>
            </w:pPr>
            <w:r>
              <w:rPr/>
              <w:t>5808.90.0090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ORNAMENTAL TRIMMING IN PIECE, TEXTILE MATERIALS, NOT KNIT OR CROCHETED OR EMBROIDERED, NOT COTTON/MMF</w:t>
            </w:r>
          </w:p>
        </w:tc>
      </w:tr>
      <w:tr>
        <w:trPr>
          <w:cantSplit/>
        </w:trPr>
        <w:tc>
          <w:tcPr>
            <w:tcW w:type="dxa" w:w="2340"/>
            <w:tcMar>
              <w:top w:w="70" w:type="dxa"/>
              <w:start w:w="110" w:type="dxa"/>
              <w:bottom w:w="70" w:type="dxa"/>
              <w:end w:w="110" w:type="dxa"/>
            </w:tcMar>
          </w:tcPr>
          <w:p>
            <w:pPr>
              <w:pStyle w:val="TableText"/>
            </w:pPr>
            <w:r>
              <w:rPr/>
              <w:t>5810.92.1000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EMBROIDERED BADGES/EMBLEMS/MOTIFS WITH VISIBLE GROUND, MMF</w:t>
            </w:r>
          </w:p>
        </w:tc>
      </w:tr>
      <w:tr>
        <w:trPr>
          <w:cantSplit/>
        </w:trPr>
        <w:tc>
          <w:tcPr>
            <w:tcW w:type="dxa" w:w="2340"/>
            <w:shd w:fill="F5F7F8" w:val="clear" w:color="auto"/>
            <w:tcMar>
              <w:top w:w="70" w:type="dxa"/>
              <w:start w:w="110" w:type="dxa"/>
              <w:bottom w:w="70" w:type="dxa"/>
              <w:end w:w="110" w:type="dxa"/>
            </w:tcMar>
          </w:tcPr>
          <w:p>
            <w:pPr>
              <w:pStyle w:val="TableText"/>
            </w:pPr>
            <w:r>
              <w:rPr/>
              <w:t>5810.99.9000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EMBROIDERY PIECES/STRIPS/MOTIFS WITH VISIBLE GROUND, TEXTILE MATERIALS</w:t>
            </w:r>
          </w:p>
        </w:tc>
      </w:tr>
      <w:tr>
        <w:trPr>
          <w:cantSplit/>
        </w:trPr>
        <w:tc>
          <w:tcPr>
            <w:tcW w:type="dxa" w:w="2340"/>
            <w:tcMar>
              <w:top w:w="70" w:type="dxa"/>
              <w:start w:w="110" w:type="dxa"/>
              <w:bottom w:w="70" w:type="dxa"/>
              <w:end w:w="110" w:type="dxa"/>
            </w:tcMar>
          </w:tcPr>
          <w:p>
            <w:pPr>
              <w:pStyle w:val="TableText"/>
            </w:pPr>
            <w:r>
              <w:rPr/>
              <w:t>5811.00.4000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OTHER QUILTED PIECES, 1 LAYER TEXTILE MATERIALS,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6001.99.1000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OTHER KNIT OR CROCHETED PILE FABRIC, OTHER, CONTAINING 85% OR MORE BY WEIGHT OF SILK OR SILK WASTE</w:t>
            </w:r>
          </w:p>
        </w:tc>
      </w:tr>
      <w:tr>
        <w:trPr>
          <w:cantSplit/>
        </w:trPr>
        <w:tc>
          <w:tcPr>
            <w:tcW w:type="dxa" w:w="2340"/>
            <w:tcMar>
              <w:top w:w="70" w:type="dxa"/>
              <w:start w:w="110" w:type="dxa"/>
              <w:bottom w:w="70" w:type="dxa"/>
              <w:end w:w="110" w:type="dxa"/>
            </w:tcMar>
          </w:tcPr>
          <w:p>
            <w:pPr>
              <w:pStyle w:val="TableText"/>
            </w:pPr>
            <w:r>
              <w:rPr/>
              <w:t>6006.90.1000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KNIT OR CROCHETED FABRIC, OTHER,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6301.90.0020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BLANKET/TRAVELING RUGS,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6302.29.0010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BED LINEN, PRINTED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6302.39.0020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OTHER BED LINEN,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6302.99.1000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OTHER LINEN,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6303.99.0030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CURTAINS, INTERIOR BLINDS, OF OTHER TEXTILE MATERIALS NOT KNIT OR CROCHETED,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6304.19.3030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BEDSPREADS, NOT KNIT OR CROCHETED,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6304.91.0060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OTHER FURNISHING ARTICLES, KNIT OR CROCHETED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6304.99.1000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WALL HANGINGS OF WOOL OR FINE ANIMAL HAIR, CERTIFIED HANDLOOMED/FOLKLORE, NOT KNIT OR CROCHETED</w:t>
            </w:r>
          </w:p>
        </w:tc>
      </w:tr>
      <w:tr>
        <w:trPr>
          <w:cantSplit/>
        </w:trPr>
        <w:tc>
          <w:tcPr>
            <w:tcW w:type="dxa" w:w="2340"/>
            <w:shd w:fill="F5F7F8" w:val="clear" w:color="auto"/>
            <w:tcMar>
              <w:top w:w="70" w:type="dxa"/>
              <w:start w:w="110" w:type="dxa"/>
              <w:bottom w:w="70" w:type="dxa"/>
              <w:end w:w="110" w:type="dxa"/>
            </w:tcMar>
          </w:tcPr>
          <w:p>
            <w:pPr>
              <w:pStyle w:val="TableText"/>
            </w:pPr>
            <w:r>
              <w:rPr/>
              <w:t>6304.99.2500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WALL HANGINGS, JUTE, NOT KNIT</w:t>
            </w:r>
          </w:p>
        </w:tc>
      </w:tr>
      <w:tr>
        <w:trPr>
          <w:cantSplit/>
        </w:trPr>
        <w:tc>
          <w:tcPr>
            <w:tcW w:type="dxa" w:w="2340"/>
            <w:tcMar>
              <w:top w:w="70" w:type="dxa"/>
              <w:start w:w="110" w:type="dxa"/>
              <w:bottom w:w="70" w:type="dxa"/>
              <w:end w:w="110" w:type="dxa"/>
            </w:tcMar>
          </w:tcPr>
          <w:p>
            <w:pPr>
              <w:pStyle w:val="TableText"/>
            </w:pPr>
            <w:r>
              <w:rPr/>
              <w:t>6304.99.4000</w:t>
            </w:r>
          </w:p>
        </w:tc>
        <w:tc>
          <w:tcPr>
            <w:tcW w:type="dxa" w:w="2340"/>
            <w:tcMar>
              <w:top w:w="70" w:type="dxa"/>
              <w:start w:w="110" w:type="dxa"/>
              <w:bottom w:w="70" w:type="dxa"/>
              <w:end w:w="110" w:type="dxa"/>
            </w:tcMar>
          </w:tcPr>
          <w:p>
            <w:pPr>
              <w:pStyle w:val="TableText"/>
            </w:pPr>
            <w:r>
              <w:rPr/>
              <w:t>3.70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PILLOW COVERS, WOOL OR FINE ANIMAL HAIR, CERTIFIED HANDLOOMED/FOLKLORE NOT KNIT OR CROCHETED</w:t>
            </w:r>
          </w:p>
        </w:tc>
      </w:tr>
      <w:tr>
        <w:trPr>
          <w:cantSplit/>
        </w:trPr>
        <w:tc>
          <w:tcPr>
            <w:tcW w:type="dxa" w:w="2340"/>
            <w:shd w:fill="F5F7F8" w:val="clear" w:color="auto"/>
            <w:tcMar>
              <w:top w:w="70" w:type="dxa"/>
              <w:start w:w="110" w:type="dxa"/>
              <w:bottom w:w="70" w:type="dxa"/>
              <w:end w:w="110" w:type="dxa"/>
            </w:tcMar>
          </w:tcPr>
          <w:p>
            <w:pPr>
              <w:pStyle w:val="TableText"/>
            </w:pPr>
            <w:r>
              <w:rPr/>
              <w:t>6304.99.6030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FURNISHING ARTICLES, NOT KNIT,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6305.10.0000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SACKS &amp; BAGS, JUTE/BAST FIBERS</w:t>
            </w:r>
          </w:p>
        </w:tc>
      </w:tr>
      <w:tr>
        <w:trPr>
          <w:cantSplit/>
        </w:trPr>
        <w:tc>
          <w:tcPr>
            <w:tcW w:type="dxa" w:w="2340"/>
            <w:shd w:fill="F5F7F8" w:val="clear" w:color="auto"/>
            <w:tcMar>
              <w:top w:w="70" w:type="dxa"/>
              <w:start w:w="110" w:type="dxa"/>
              <w:bottom w:w="70" w:type="dxa"/>
              <w:end w:w="110" w:type="dxa"/>
            </w:tcMar>
          </w:tcPr>
          <w:p>
            <w:pPr>
              <w:pStyle w:val="TableText"/>
            </w:pPr>
            <w:r>
              <w:rPr/>
              <w:t>6306.22.1000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BACKPACK TENTS, SYNTHETIC FIBERS</w:t>
            </w:r>
          </w:p>
        </w:tc>
      </w:tr>
      <w:tr>
        <w:trPr>
          <w:cantSplit/>
        </w:trPr>
        <w:tc>
          <w:tcPr>
            <w:tcW w:type="dxa" w:w="2340"/>
            <w:tcMar>
              <w:top w:w="70" w:type="dxa"/>
              <w:start w:w="110" w:type="dxa"/>
              <w:bottom w:w="70" w:type="dxa"/>
              <w:end w:w="110" w:type="dxa"/>
            </w:tcMar>
          </w:tcPr>
          <w:p>
            <w:pPr>
              <w:pStyle w:val="TableText"/>
            </w:pPr>
            <w:r>
              <w:rPr/>
              <w:t>6306.22.9010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SCREEN HOUSES, SYNTHETIC FIBERS</w:t>
            </w:r>
          </w:p>
        </w:tc>
      </w:tr>
      <w:tr>
        <w:trPr>
          <w:cantSplit/>
        </w:trPr>
        <w:tc>
          <w:tcPr>
            <w:tcW w:type="dxa" w:w="2340"/>
            <w:shd w:fill="F5F7F8" w:val="clear" w:color="auto"/>
            <w:tcMar>
              <w:top w:w="70" w:type="dxa"/>
              <w:start w:w="110" w:type="dxa"/>
              <w:bottom w:w="70" w:type="dxa"/>
              <w:end w:w="110" w:type="dxa"/>
            </w:tcMar>
          </w:tcPr>
          <w:p>
            <w:pPr>
              <w:pStyle w:val="TableText"/>
            </w:pPr>
            <w:r>
              <w:rPr/>
              <w:t>6306.29.1100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TENTS OF COTTON</w:t>
            </w:r>
          </w:p>
        </w:tc>
      </w:tr>
      <w:tr>
        <w:trPr>
          <w:cantSplit/>
        </w:trPr>
        <w:tc>
          <w:tcPr>
            <w:tcW w:type="dxa" w:w="2340"/>
            <w:tcMar>
              <w:top w:w="70" w:type="dxa"/>
              <w:start w:w="110" w:type="dxa"/>
              <w:bottom w:w="70" w:type="dxa"/>
              <w:end w:w="110" w:type="dxa"/>
            </w:tcMar>
          </w:tcPr>
          <w:p>
            <w:pPr>
              <w:pStyle w:val="TableText"/>
            </w:pPr>
            <w:r>
              <w:rPr/>
              <w:t>6306.29.2100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TENTS,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6306.30.0010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SAILS, SYNTHETIC FIBERS</w:t>
            </w:r>
          </w:p>
        </w:tc>
      </w:tr>
      <w:tr>
        <w:trPr>
          <w:cantSplit/>
        </w:trPr>
        <w:tc>
          <w:tcPr>
            <w:tcW w:type="dxa" w:w="2340"/>
            <w:tcMar>
              <w:top w:w="70" w:type="dxa"/>
              <w:start w:w="110" w:type="dxa"/>
              <w:bottom w:w="70" w:type="dxa"/>
              <w:end w:w="110" w:type="dxa"/>
            </w:tcMar>
          </w:tcPr>
          <w:p>
            <w:pPr>
              <w:pStyle w:val="TableText"/>
            </w:pPr>
            <w:r>
              <w:rPr/>
              <w:t>6306.30.0020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SAILS,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6306.40.4100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PNEUMATIC MATTRESSES, COTTON</w:t>
            </w:r>
          </w:p>
        </w:tc>
      </w:tr>
      <w:tr>
        <w:trPr>
          <w:cantSplit/>
        </w:trPr>
        <w:tc>
          <w:tcPr>
            <w:tcW w:type="dxa" w:w="2340"/>
            <w:tcMar>
              <w:top w:w="70" w:type="dxa"/>
              <w:start w:w="110" w:type="dxa"/>
              <w:bottom w:w="70" w:type="dxa"/>
              <w:end w:w="110" w:type="dxa"/>
            </w:tcMar>
          </w:tcPr>
          <w:p>
            <w:pPr>
              <w:pStyle w:val="TableText"/>
            </w:pPr>
            <w:r>
              <w:rPr/>
              <w:t>6306.40.4900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PNEUMATIC MATTRESSES,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6306.90.1000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CAMPING GOODS, COTTON</w:t>
            </w:r>
          </w:p>
        </w:tc>
      </w:tr>
      <w:tr>
        <w:trPr>
          <w:cantSplit/>
        </w:trPr>
        <w:tc>
          <w:tcPr>
            <w:tcW w:type="dxa" w:w="2340"/>
            <w:tcMar>
              <w:top w:w="70" w:type="dxa"/>
              <w:start w:w="110" w:type="dxa"/>
              <w:bottom w:w="70" w:type="dxa"/>
              <w:end w:w="110" w:type="dxa"/>
            </w:tcMar>
          </w:tcPr>
          <w:p>
            <w:pPr>
              <w:pStyle w:val="TableText"/>
            </w:pPr>
            <w:r>
              <w:rPr/>
              <w:t>6306.90.5000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CAMPING GOODS,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6307.10.2030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CLEANING CLOTHS</w:t>
            </w:r>
          </w:p>
        </w:tc>
      </w:tr>
      <w:tr>
        <w:trPr>
          <w:cantSplit/>
        </w:trPr>
        <w:tc>
          <w:tcPr>
            <w:tcW w:type="dxa" w:w="2340"/>
            <w:tcMar>
              <w:top w:w="70" w:type="dxa"/>
              <w:start w:w="110" w:type="dxa"/>
              <w:bottom w:w="70" w:type="dxa"/>
              <w:end w:w="110" w:type="dxa"/>
            </w:tcMar>
          </w:tcPr>
          <w:p>
            <w:pPr>
              <w:pStyle w:val="TableText"/>
            </w:pPr>
            <w:r>
              <w:rPr/>
              <w:t>6307.20.0000</w:t>
            </w:r>
          </w:p>
        </w:tc>
        <w:tc>
          <w:tcPr>
            <w:tcW w:type="dxa" w:w="2340"/>
            <w:tcMar>
              <w:top w:w="70" w:type="dxa"/>
              <w:start w:w="110" w:type="dxa"/>
              <w:bottom w:w="70" w:type="dxa"/>
              <w:end w:w="110" w:type="dxa"/>
            </w:tcMar>
          </w:tcPr>
          <w:p>
            <w:pPr>
              <w:pStyle w:val="TableText"/>
            </w:pPr>
            <w:r>
              <w:rPr/>
              <w:t>11.40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LIFEJACKETS AND LIFEBELTS</w:t>
            </w:r>
          </w:p>
        </w:tc>
      </w:tr>
      <w:tr>
        <w:trPr>
          <w:cantSplit/>
        </w:trPr>
        <w:tc>
          <w:tcPr>
            <w:tcW w:type="dxa" w:w="2340"/>
            <w:shd w:fill="F5F7F8" w:val="clear" w:color="auto"/>
            <w:tcMar>
              <w:top w:w="70" w:type="dxa"/>
              <w:start w:w="110" w:type="dxa"/>
              <w:bottom w:w="70" w:type="dxa"/>
              <w:end w:w="110" w:type="dxa"/>
            </w:tcMar>
          </w:tcPr>
          <w:p>
            <w:pPr>
              <w:pStyle w:val="TableText"/>
            </w:pPr>
            <w:r>
              <w:rPr/>
              <w:t>6307.90.6010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PERINEAL TOWELS, FABRIC WITH PAPER BASE OR COVERED OR LINED WITH PAPER</w:t>
            </w:r>
          </w:p>
        </w:tc>
      </w:tr>
      <w:tr>
        <w:trPr>
          <w:cantSplit/>
        </w:trPr>
        <w:tc>
          <w:tcPr>
            <w:tcW w:type="dxa" w:w="2340"/>
            <w:tcMar>
              <w:top w:w="70" w:type="dxa"/>
              <w:start w:w="110" w:type="dxa"/>
              <w:bottom w:w="70" w:type="dxa"/>
              <w:end w:w="110" w:type="dxa"/>
            </w:tcMar>
          </w:tcPr>
          <w:p>
            <w:pPr>
              <w:pStyle w:val="TableText"/>
            </w:pPr>
            <w:r>
              <w:rPr/>
              <w:t>6307.90.6090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SURGICAL DRAPES, FABRIC WITH PAPER BASE OR COVERED OR LINED WITH PAPER</w:t>
            </w:r>
          </w:p>
        </w:tc>
      </w:tr>
      <w:tr>
        <w:trPr>
          <w:cantSplit/>
        </w:trPr>
        <w:tc>
          <w:tcPr>
            <w:tcW w:type="dxa" w:w="2340"/>
            <w:shd w:fill="F5F7F8" w:val="clear" w:color="auto"/>
            <w:tcMar>
              <w:top w:w="70" w:type="dxa"/>
              <w:start w:w="110" w:type="dxa"/>
              <w:bottom w:w="70" w:type="dxa"/>
              <w:end w:w="110" w:type="dxa"/>
            </w:tcMar>
          </w:tcPr>
          <w:p>
            <w:pPr>
              <w:pStyle w:val="TableText"/>
            </w:pPr>
            <w:r>
              <w:rPr/>
              <w:t>6307.90.6800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SURGICAL DRAPES, DISPOSABLE &amp; NONWOVEN MMF</w:t>
            </w:r>
          </w:p>
        </w:tc>
      </w:tr>
      <w:tr>
        <w:trPr>
          <w:cantSplit/>
        </w:trPr>
        <w:tc>
          <w:tcPr>
            <w:tcW w:type="dxa" w:w="2340"/>
            <w:tcMar>
              <w:top w:w="70" w:type="dxa"/>
              <w:start w:w="110" w:type="dxa"/>
              <w:bottom w:w="70" w:type="dxa"/>
              <w:end w:w="110" w:type="dxa"/>
            </w:tcMar>
          </w:tcPr>
          <w:p>
            <w:pPr>
              <w:pStyle w:val="TableText"/>
            </w:pPr>
            <w:r>
              <w:rPr/>
              <w:t>6307.90.7200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SURGICAL DRAPES</w:t>
            </w:r>
          </w:p>
        </w:tc>
      </w:tr>
      <w:tr>
        <w:trPr>
          <w:cantSplit/>
        </w:trPr>
        <w:tc>
          <w:tcPr>
            <w:tcW w:type="dxa" w:w="2340"/>
            <w:shd w:fill="F5F7F8" w:val="clear" w:color="auto"/>
            <w:tcMar>
              <w:top w:w="70" w:type="dxa"/>
              <w:start w:w="110" w:type="dxa"/>
              <w:bottom w:w="70" w:type="dxa"/>
              <w:end w:w="110" w:type="dxa"/>
            </w:tcMar>
          </w:tcPr>
          <w:p>
            <w:pPr>
              <w:pStyle w:val="TableText"/>
            </w:pPr>
            <w:r>
              <w:rPr/>
              <w:t>6307.90.7500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TOYS FOR PETS, TEXTILE MATERIALS</w:t>
            </w:r>
          </w:p>
        </w:tc>
      </w:tr>
      <w:tr>
        <w:trPr>
          <w:cantSplit/>
        </w:trPr>
        <w:tc>
          <w:tcPr>
            <w:tcW w:type="dxa" w:w="2340"/>
            <w:tcMar>
              <w:top w:w="70" w:type="dxa"/>
              <w:start w:w="110" w:type="dxa"/>
              <w:bottom w:w="70" w:type="dxa"/>
              <w:end w:w="110" w:type="dxa"/>
            </w:tcMar>
          </w:tcPr>
          <w:p>
            <w:pPr>
              <w:pStyle w:val="TableText"/>
            </w:pPr>
            <w:r>
              <w:rPr/>
              <w:t>6307.90.8500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WALL BANNERS, MANMADE FIBERS</w:t>
            </w:r>
          </w:p>
        </w:tc>
      </w:tr>
      <w:tr>
        <w:trPr>
          <w:cantSplit/>
        </w:trPr>
        <w:tc>
          <w:tcPr>
            <w:tcW w:type="dxa" w:w="2340"/>
            <w:shd w:fill="F5F7F8" w:val="clear" w:color="auto"/>
            <w:tcMar>
              <w:top w:w="70" w:type="dxa"/>
              <w:start w:w="110" w:type="dxa"/>
              <w:bottom w:w="70" w:type="dxa"/>
              <w:end w:w="110" w:type="dxa"/>
            </w:tcMar>
          </w:tcPr>
          <w:p>
            <w:pPr>
              <w:pStyle w:val="TableText"/>
            </w:pPr>
            <w:r>
              <w:rPr/>
              <w:t>6307.90.9825</w:t>
            </w:r>
          </w:p>
        </w:tc>
        <w:tc>
          <w:tcPr>
            <w:tcW w:type="dxa" w:w="2340"/>
            <w:shd w:fill="F5F7F8" w:val="clear" w:color="auto"/>
            <w:tcMar>
              <w:top w:w="70" w:type="dxa"/>
              <w:start w:w="110" w:type="dxa"/>
              <w:bottom w:w="70" w:type="dxa"/>
              <w:end w:w="110" w:type="dxa"/>
            </w:tcMar>
          </w:tcPr>
          <w:p>
            <w:pPr>
              <w:pStyle w:val="TableText"/>
            </w:pPr>
            <w:r>
              <w:rPr/>
              <w:t>14.50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NATIONAL FLAGS OF THE UNITED STATES</w:t>
            </w:r>
          </w:p>
        </w:tc>
      </w:tr>
      <w:tr>
        <w:trPr>
          <w:cantSplit/>
        </w:trPr>
        <w:tc>
          <w:tcPr>
            <w:tcW w:type="dxa" w:w="2340"/>
            <w:tcMar>
              <w:top w:w="70" w:type="dxa"/>
              <w:start w:w="110" w:type="dxa"/>
              <w:bottom w:w="70" w:type="dxa"/>
              <w:end w:w="110" w:type="dxa"/>
            </w:tcMar>
          </w:tcPr>
          <w:p>
            <w:pPr>
              <w:pStyle w:val="TableText"/>
            </w:pPr>
            <w:r>
              <w:rPr/>
              <w:t>6307.90.9835</w:t>
            </w:r>
          </w:p>
        </w:tc>
        <w:tc>
          <w:tcPr>
            <w:tcW w:type="dxa" w:w="2340"/>
            <w:tcMar>
              <w:top w:w="70" w:type="dxa"/>
              <w:start w:w="110" w:type="dxa"/>
              <w:bottom w:w="70" w:type="dxa"/>
              <w:end w:w="110" w:type="dxa"/>
            </w:tcMar>
          </w:tcPr>
          <w:p>
            <w:pPr>
              <w:pStyle w:val="TableText"/>
            </w:pPr>
            <w:r>
              <w:rPr/>
              <w:t>14.50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NATIONAL FLAGS OF NATIONS OTHER THAN THE UNITED STATES</w:t>
            </w:r>
          </w:p>
        </w:tc>
      </w:tr>
      <w:tr>
        <w:trPr>
          <w:cantSplit/>
        </w:trPr>
        <w:tc>
          <w:tcPr>
            <w:tcW w:type="dxa" w:w="2340"/>
            <w:shd w:fill="F5F7F8" w:val="clear" w:color="auto"/>
            <w:tcMar>
              <w:top w:w="70" w:type="dxa"/>
              <w:start w:w="110" w:type="dxa"/>
              <w:bottom w:w="70" w:type="dxa"/>
              <w:end w:w="110" w:type="dxa"/>
            </w:tcMar>
          </w:tcPr>
          <w:p>
            <w:pPr>
              <w:pStyle w:val="TableText"/>
            </w:pPr>
            <w:r>
              <w:rPr/>
              <w:t>6307.90.9889</w:t>
            </w:r>
          </w:p>
        </w:tc>
        <w:tc>
          <w:tcPr>
            <w:tcW w:type="dxa" w:w="2340"/>
            <w:shd w:fill="F5F7F8" w:val="clear" w:color="auto"/>
            <w:tcMar>
              <w:top w:w="70" w:type="dxa"/>
              <w:start w:w="110" w:type="dxa"/>
              <w:bottom w:w="70" w:type="dxa"/>
              <w:end w:w="110" w:type="dxa"/>
            </w:tcMar>
          </w:tcPr>
          <w:p>
            <w:pPr>
              <w:pStyle w:val="TableText"/>
            </w:pPr>
            <w:r>
              <w:rPr/>
              <w:t>14.50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MADEUP ARTICLES</w:t>
            </w:r>
          </w:p>
        </w:tc>
      </w:tr>
      <w:tr>
        <w:trPr>
          <w:cantSplit/>
        </w:trPr>
        <w:tc>
          <w:tcPr>
            <w:tcW w:type="dxa" w:w="2340"/>
            <w:tcMar>
              <w:top w:w="70" w:type="dxa"/>
              <w:start w:w="110" w:type="dxa"/>
              <w:bottom w:w="70" w:type="dxa"/>
              <w:end w:w="110" w:type="dxa"/>
            </w:tcMar>
          </w:tcPr>
          <w:p>
            <w:pPr>
              <w:pStyle w:val="TableText"/>
            </w:pPr>
            <w:r>
              <w:rPr/>
              <w:t>6309.00.0010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WORN CLOTHING</w:t>
            </w:r>
          </w:p>
        </w:tc>
      </w:tr>
      <w:tr>
        <w:trPr>
          <w:cantSplit/>
        </w:trPr>
        <w:tc>
          <w:tcPr>
            <w:tcW w:type="dxa" w:w="2340"/>
            <w:shd w:fill="F5F7F8" w:val="clear" w:color="auto"/>
            <w:tcMar>
              <w:top w:w="70" w:type="dxa"/>
              <w:start w:w="110" w:type="dxa"/>
              <w:bottom w:w="70" w:type="dxa"/>
              <w:end w:w="110" w:type="dxa"/>
            </w:tcMar>
          </w:tcPr>
          <w:p>
            <w:pPr>
              <w:pStyle w:val="TableText"/>
            </w:pPr>
            <w:r>
              <w:rPr/>
              <w:t>6309.00.0020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WORN ARTICLES</w:t>
            </w:r>
          </w:p>
        </w:tc>
      </w:tr>
      <w:tr>
        <w:trPr>
          <w:cantSplit/>
        </w:trPr>
        <w:tc>
          <w:tcPr>
            <w:tcW w:type="dxa" w:w="2340"/>
            <w:tcMar>
              <w:top w:w="70" w:type="dxa"/>
              <w:start w:w="110" w:type="dxa"/>
              <w:bottom w:w="70" w:type="dxa"/>
              <w:end w:w="110" w:type="dxa"/>
            </w:tcMar>
          </w:tcPr>
          <w:p>
            <w:pPr>
              <w:pStyle w:val="TableText"/>
            </w:pPr>
            <w:r>
              <w:rPr/>
              <w:t>6310.10.1000</w:t>
            </w:r>
          </w:p>
        </w:tc>
        <w:tc>
          <w:tcPr>
            <w:tcW w:type="dxa" w:w="2340"/>
            <w:tcMar>
              <w:top w:w="70" w:type="dxa"/>
              <w:start w:w="110" w:type="dxa"/>
              <w:bottom w:w="70" w:type="dxa"/>
              <w:end w:w="110" w:type="dxa"/>
            </w:tcMar>
          </w:tcPr>
          <w:p>
            <w:pPr>
              <w:pStyle w:val="TableText"/>
            </w:pPr>
            <w:r>
              <w:rPr/>
              <w:t>3.70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RAGS/SCRAP/TWINE/CORDAGE/ROPE/CABLES, SORTED, WOOL OR FINE ANIMAL HAIR</w:t>
            </w:r>
          </w:p>
        </w:tc>
      </w:tr>
      <w:tr>
        <w:trPr>
          <w:cantSplit/>
        </w:trPr>
        <w:tc>
          <w:tcPr>
            <w:tcW w:type="dxa" w:w="2340"/>
            <w:shd w:fill="F5F7F8" w:val="clear" w:color="auto"/>
            <w:tcMar>
              <w:top w:w="70" w:type="dxa"/>
              <w:start w:w="110" w:type="dxa"/>
              <w:bottom w:w="70" w:type="dxa"/>
              <w:end w:w="110" w:type="dxa"/>
            </w:tcMar>
          </w:tcPr>
          <w:p>
            <w:pPr>
              <w:pStyle w:val="TableText"/>
            </w:pPr>
            <w:r>
              <w:rPr/>
              <w:t>6310.10.2010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RAGS/SCRAP/TWINE/CORDAGE/ROPE/CABLES, SORTED, COTTON</w:t>
            </w:r>
          </w:p>
        </w:tc>
      </w:tr>
      <w:tr>
        <w:trPr>
          <w:cantSplit/>
        </w:trPr>
        <w:tc>
          <w:tcPr>
            <w:tcW w:type="dxa" w:w="2340"/>
            <w:tcMar>
              <w:top w:w="70" w:type="dxa"/>
              <w:start w:w="110" w:type="dxa"/>
              <w:bottom w:w="70" w:type="dxa"/>
              <w:end w:w="110" w:type="dxa"/>
            </w:tcMar>
          </w:tcPr>
          <w:p>
            <w:pPr>
              <w:pStyle w:val="TableText"/>
            </w:pPr>
            <w:r>
              <w:rPr/>
              <w:t>6310.10.2020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RAGS/SCRAP/TWINE/CORDAGE/ROPE/CABLES, SORTED, MMF</w:t>
            </w:r>
          </w:p>
        </w:tc>
      </w:tr>
      <w:tr>
        <w:trPr>
          <w:cantSplit/>
        </w:trPr>
        <w:tc>
          <w:tcPr>
            <w:tcW w:type="dxa" w:w="2340"/>
            <w:shd w:fill="F5F7F8" w:val="clear" w:color="auto"/>
            <w:tcMar>
              <w:top w:w="70" w:type="dxa"/>
              <w:start w:w="110" w:type="dxa"/>
              <w:bottom w:w="70" w:type="dxa"/>
              <w:end w:w="110" w:type="dxa"/>
            </w:tcMar>
          </w:tcPr>
          <w:p>
            <w:pPr>
              <w:pStyle w:val="TableText"/>
            </w:pPr>
            <w:r>
              <w:rPr/>
              <w:t>6310.10.2030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RAGS/SCRAP/TWINE/CORDAGE/ROPE/CABLES, SORTED, NOT COTTON/MMF</w:t>
            </w:r>
          </w:p>
        </w:tc>
      </w:tr>
      <w:tr>
        <w:trPr>
          <w:cantSplit/>
        </w:trPr>
        <w:tc>
          <w:tcPr>
            <w:tcW w:type="dxa" w:w="2340"/>
            <w:tcMar>
              <w:top w:w="70" w:type="dxa"/>
              <w:start w:w="110" w:type="dxa"/>
              <w:bottom w:w="70" w:type="dxa"/>
              <w:end w:w="110" w:type="dxa"/>
            </w:tcMar>
          </w:tcPr>
          <w:p>
            <w:pPr>
              <w:pStyle w:val="TableText"/>
            </w:pPr>
            <w:r>
              <w:rPr/>
              <w:t>6310.90.1000</w:t>
            </w:r>
          </w:p>
        </w:tc>
        <w:tc>
          <w:tcPr>
            <w:tcW w:type="dxa" w:w="2340"/>
            <w:tcMar>
              <w:top w:w="70" w:type="dxa"/>
              <w:start w:w="110" w:type="dxa"/>
              <w:bottom w:w="70" w:type="dxa"/>
              <w:end w:w="110" w:type="dxa"/>
            </w:tcMar>
          </w:tcPr>
          <w:p>
            <w:pPr>
              <w:pStyle w:val="TableText"/>
            </w:pPr>
            <w:r>
              <w:rPr/>
              <w:t>3.70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RAGS/SCRAP/TWINE/CORDAGE/ROPE/CABLES, NOT SORTED, WOOL OR FINE ANIMAL HAIR</w:t>
            </w:r>
          </w:p>
        </w:tc>
      </w:tr>
    </w:tbl>
    <w:p>
      <w:pPr>
        <w:pStyle w:val="Normal"/>
      </w:pPr>
      <w:r>
        <w:rPr>
          <w:b w:val="0"/>
        </w:rPr>
        <w:t>6. The primary unit of measure for the following tariff items in U.S. category 666 shall be NO and shall be converted into SME by a factor of 5.5:</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Tariff Item</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6301.10.0000</w:t>
            </w:r>
          </w:p>
        </w:tc>
        <w:tc>
          <w:tcPr>
            <w:tcW w:type="dxa" w:w="4680"/>
            <w:tcMar>
              <w:top w:w="70" w:type="dxa"/>
              <w:start w:w="110" w:type="dxa"/>
              <w:bottom w:w="70" w:type="dxa"/>
              <w:end w:w="110" w:type="dxa"/>
            </w:tcMar>
          </w:tcPr>
          <w:p>
            <w:pPr>
              <w:pStyle w:val="TableText"/>
            </w:pPr>
            <w:r>
              <w:rPr/>
              <w:t>ELECTRIC BLANKETS</w:t>
            </w:r>
          </w:p>
        </w:tc>
      </w:tr>
      <w:tr>
        <w:trPr>
          <w:cantSplit/>
        </w:trPr>
        <w:tc>
          <w:tcPr>
            <w:tcW w:type="dxa" w:w="4680"/>
            <w:shd w:fill="F5F7F8" w:val="clear" w:color="auto"/>
            <w:tcMar>
              <w:top w:w="70" w:type="dxa"/>
              <w:start w:w="110" w:type="dxa"/>
              <w:bottom w:w="70" w:type="dxa"/>
              <w:end w:w="110" w:type="dxa"/>
            </w:tcMar>
          </w:tcPr>
          <w:p>
            <w:pPr>
              <w:pStyle w:val="TableText"/>
            </w:pPr>
            <w:r>
              <w:rPr/>
              <w:t>6301.40.0010</w:t>
            </w:r>
          </w:p>
        </w:tc>
        <w:tc>
          <w:tcPr>
            <w:tcW w:type="dxa" w:w="4680"/>
            <w:shd w:fill="F5F7F8" w:val="clear" w:color="auto"/>
            <w:tcMar>
              <w:top w:w="70" w:type="dxa"/>
              <w:start w:w="110" w:type="dxa"/>
              <w:bottom w:w="70" w:type="dxa"/>
              <w:end w:w="110" w:type="dxa"/>
            </w:tcMar>
          </w:tcPr>
          <w:p>
            <w:pPr>
              <w:pStyle w:val="TableText"/>
            </w:pPr>
            <w:r>
              <w:rPr/>
              <w:t>BLANKETS (NOT ELECTRIC) &amp; TRAVEL RUGS OF SYNTHETIC FIBER, WOVEN</w:t>
            </w:r>
          </w:p>
        </w:tc>
      </w:tr>
      <w:tr>
        <w:trPr>
          <w:cantSplit/>
        </w:trPr>
        <w:tc>
          <w:tcPr>
            <w:tcW w:type="dxa" w:w="4680"/>
            <w:tcMar>
              <w:top w:w="70" w:type="dxa"/>
              <w:start w:w="110" w:type="dxa"/>
              <w:bottom w:w="70" w:type="dxa"/>
              <w:end w:w="110" w:type="dxa"/>
            </w:tcMar>
          </w:tcPr>
          <w:p>
            <w:pPr>
              <w:pStyle w:val="TableText"/>
            </w:pPr>
            <w:r>
              <w:rPr/>
              <w:t>6301.40.0020</w:t>
            </w:r>
          </w:p>
        </w:tc>
        <w:tc>
          <w:tcPr>
            <w:tcW w:type="dxa" w:w="4680"/>
            <w:tcMar>
              <w:top w:w="70" w:type="dxa"/>
              <w:start w:w="110" w:type="dxa"/>
              <w:bottom w:w="70" w:type="dxa"/>
              <w:end w:w="110" w:type="dxa"/>
            </w:tcMar>
          </w:tcPr>
          <w:p>
            <w:pPr>
              <w:pStyle w:val="TableText"/>
            </w:pPr>
            <w:r>
              <w:rPr/>
              <w:t>OTHER BLANKETS (NOT ELECTRIC) &amp; TRAVEL RUGS OF SYNTHETIC FIBER</w:t>
            </w:r>
          </w:p>
        </w:tc>
      </w:tr>
      <w:tr>
        <w:trPr>
          <w:cantSplit/>
        </w:trPr>
        <w:tc>
          <w:tcPr>
            <w:tcW w:type="dxa" w:w="4680"/>
            <w:shd w:fill="F5F7F8" w:val="clear" w:color="auto"/>
            <w:tcMar>
              <w:top w:w="70" w:type="dxa"/>
              <w:start w:w="110" w:type="dxa"/>
              <w:bottom w:w="70" w:type="dxa"/>
              <w:end w:w="110" w:type="dxa"/>
            </w:tcMar>
          </w:tcPr>
          <w:p>
            <w:pPr>
              <w:pStyle w:val="TableText"/>
            </w:pPr>
            <w:r>
              <w:rPr/>
              <w:t>6301.90.0010</w:t>
            </w:r>
          </w:p>
        </w:tc>
        <w:tc>
          <w:tcPr>
            <w:tcW w:type="dxa" w:w="4680"/>
            <w:shd w:fill="F5F7F8" w:val="clear" w:color="auto"/>
            <w:tcMar>
              <w:top w:w="70" w:type="dxa"/>
              <w:start w:w="110" w:type="dxa"/>
              <w:bottom w:w="70" w:type="dxa"/>
              <w:end w:w="110" w:type="dxa"/>
            </w:tcMar>
          </w:tcPr>
          <w:p>
            <w:pPr>
              <w:pStyle w:val="TableText"/>
            </w:pPr>
            <w:r>
              <w:rPr/>
              <w:t>BLANKETS AND TRAVELING RUGS OF ARTIFICIAL FIBER</w:t>
            </w:r>
          </w:p>
        </w:tc>
      </w:tr>
      <w:tr>
        <w:trPr>
          <w:cantSplit/>
        </w:trPr>
        <w:tc>
          <w:tcPr>
            <w:tcW w:type="dxa" w:w="4680"/>
            <w:tcMar>
              <w:top w:w="70" w:type="dxa"/>
              <w:start w:w="110" w:type="dxa"/>
              <w:bottom w:w="70" w:type="dxa"/>
              <w:end w:w="110" w:type="dxa"/>
            </w:tcMar>
          </w:tcPr>
          <w:p>
            <w:pPr>
              <w:pStyle w:val="TableText"/>
            </w:pPr>
            <w:r>
              <w:rPr/>
              <w:t>6302.10.0020</w:t>
            </w:r>
          </w:p>
        </w:tc>
        <w:tc>
          <w:tcPr>
            <w:tcW w:type="dxa" w:w="4680"/>
            <w:tcMar>
              <w:top w:w="70" w:type="dxa"/>
              <w:start w:w="110" w:type="dxa"/>
              <w:bottom w:w="70" w:type="dxa"/>
              <w:end w:w="110" w:type="dxa"/>
            </w:tcMar>
          </w:tcPr>
          <w:p>
            <w:pPr>
              <w:pStyle w:val="TableText"/>
            </w:pPr>
            <w:r>
              <w:rPr/>
              <w:t>BED LINEN, KNITTED OR CROCHETED FABRIC, EXCLUDING COTTON</w:t>
            </w:r>
          </w:p>
        </w:tc>
      </w:tr>
      <w:tr>
        <w:trPr>
          <w:cantSplit/>
        </w:trPr>
        <w:tc>
          <w:tcPr>
            <w:tcW w:type="dxa" w:w="4680"/>
            <w:shd w:fill="F5F7F8" w:val="clear" w:color="auto"/>
            <w:tcMar>
              <w:top w:w="70" w:type="dxa"/>
              <w:start w:w="110" w:type="dxa"/>
              <w:bottom w:w="70" w:type="dxa"/>
              <w:end w:w="110" w:type="dxa"/>
            </w:tcMar>
          </w:tcPr>
          <w:p>
            <w:pPr>
              <w:pStyle w:val="TableText"/>
            </w:pPr>
            <w:r>
              <w:rPr/>
              <w:t>6302.22.1030</w:t>
            </w:r>
          </w:p>
        </w:tc>
        <w:tc>
          <w:tcPr>
            <w:tcW w:type="dxa" w:w="4680"/>
            <w:shd w:fill="F5F7F8" w:val="clear" w:color="auto"/>
            <w:tcMar>
              <w:top w:w="70" w:type="dxa"/>
              <w:start w:w="110" w:type="dxa"/>
              <w:bottom w:w="70" w:type="dxa"/>
              <w:end w:w="110" w:type="dxa"/>
            </w:tcMar>
          </w:tcPr>
          <w:p>
            <w:pPr>
              <w:pStyle w:val="TableText"/>
            </w:pPr>
            <w:r>
              <w:rPr/>
              <w:t>SHEETS WITH TRIM, NAPPED, PRINTED, MANMADE FIBER</w:t>
            </w:r>
          </w:p>
        </w:tc>
      </w:tr>
      <w:tr>
        <w:trPr>
          <w:cantSplit/>
        </w:trPr>
        <w:tc>
          <w:tcPr>
            <w:tcW w:type="dxa" w:w="4680"/>
            <w:tcMar>
              <w:top w:w="70" w:type="dxa"/>
              <w:start w:w="110" w:type="dxa"/>
              <w:bottom w:w="70" w:type="dxa"/>
              <w:end w:w="110" w:type="dxa"/>
            </w:tcMar>
          </w:tcPr>
          <w:p>
            <w:pPr>
              <w:pStyle w:val="TableText"/>
            </w:pPr>
            <w:r>
              <w:rPr/>
              <w:t>6302.22.1040</w:t>
            </w:r>
          </w:p>
        </w:tc>
        <w:tc>
          <w:tcPr>
            <w:tcW w:type="dxa" w:w="4680"/>
            <w:tcMar>
              <w:top w:w="70" w:type="dxa"/>
              <w:start w:w="110" w:type="dxa"/>
              <w:bottom w:w="70" w:type="dxa"/>
              <w:end w:w="110" w:type="dxa"/>
            </w:tcMar>
          </w:tcPr>
          <w:p>
            <w:pPr>
              <w:pStyle w:val="TableText"/>
            </w:pPr>
            <w:r>
              <w:rPr/>
              <w:t>SHEETS WITH TRIM, NOT NAPPED,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6302.22.1050</w:t>
            </w:r>
          </w:p>
        </w:tc>
        <w:tc>
          <w:tcPr>
            <w:tcW w:type="dxa" w:w="4680"/>
            <w:shd w:fill="F5F7F8" w:val="clear" w:color="auto"/>
            <w:tcMar>
              <w:top w:w="70" w:type="dxa"/>
              <w:start w:w="110" w:type="dxa"/>
              <w:bottom w:w="70" w:type="dxa"/>
              <w:end w:w="110" w:type="dxa"/>
            </w:tcMar>
          </w:tcPr>
          <w:p>
            <w:pPr>
              <w:pStyle w:val="TableText"/>
            </w:pPr>
            <w:r>
              <w:rPr/>
              <w:t>BOLSTER CASES WITH TRIM, PRINTED, MANMADE FIBER</w:t>
            </w:r>
          </w:p>
        </w:tc>
      </w:tr>
      <w:tr>
        <w:trPr>
          <w:cantSplit/>
        </w:trPr>
        <w:tc>
          <w:tcPr>
            <w:tcW w:type="dxa" w:w="4680"/>
            <w:tcMar>
              <w:top w:w="70" w:type="dxa"/>
              <w:start w:w="110" w:type="dxa"/>
              <w:bottom w:w="70" w:type="dxa"/>
              <w:end w:w="110" w:type="dxa"/>
            </w:tcMar>
          </w:tcPr>
          <w:p>
            <w:pPr>
              <w:pStyle w:val="TableText"/>
            </w:pPr>
            <w:r>
              <w:rPr/>
              <w:t>6302.22.1060</w:t>
            </w:r>
          </w:p>
        </w:tc>
        <w:tc>
          <w:tcPr>
            <w:tcW w:type="dxa" w:w="4680"/>
            <w:tcMar>
              <w:top w:w="70" w:type="dxa"/>
              <w:start w:w="110" w:type="dxa"/>
              <w:bottom w:w="70" w:type="dxa"/>
              <w:end w:w="110" w:type="dxa"/>
            </w:tcMar>
          </w:tcPr>
          <w:p>
            <w:pPr>
              <w:pStyle w:val="TableText"/>
            </w:pPr>
            <w:r>
              <w:rPr/>
              <w:t>OTHER BED LINEN WITH TRIM,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6302.22.2020</w:t>
            </w:r>
          </w:p>
        </w:tc>
        <w:tc>
          <w:tcPr>
            <w:tcW w:type="dxa" w:w="4680"/>
            <w:shd w:fill="F5F7F8" w:val="clear" w:color="auto"/>
            <w:tcMar>
              <w:top w:w="70" w:type="dxa"/>
              <w:start w:w="110" w:type="dxa"/>
              <w:bottom w:w="70" w:type="dxa"/>
              <w:end w:w="110" w:type="dxa"/>
            </w:tcMar>
          </w:tcPr>
          <w:p>
            <w:pPr>
              <w:pStyle w:val="TableText"/>
            </w:pPr>
            <w:r>
              <w:rPr/>
              <w:t>SHEETS, NOT TRIMMED, PRINTED, MANMADE FIBER</w:t>
            </w:r>
          </w:p>
        </w:tc>
      </w:tr>
      <w:tr>
        <w:trPr>
          <w:cantSplit/>
        </w:trPr>
        <w:tc>
          <w:tcPr>
            <w:tcW w:type="dxa" w:w="4680"/>
            <w:tcMar>
              <w:top w:w="70" w:type="dxa"/>
              <w:start w:w="110" w:type="dxa"/>
              <w:bottom w:w="70" w:type="dxa"/>
              <w:end w:w="110" w:type="dxa"/>
            </w:tcMar>
          </w:tcPr>
          <w:p>
            <w:pPr>
              <w:pStyle w:val="TableText"/>
            </w:pPr>
            <w:r>
              <w:rPr/>
              <w:t>6302.22.2030</w:t>
            </w:r>
          </w:p>
        </w:tc>
        <w:tc>
          <w:tcPr>
            <w:tcW w:type="dxa" w:w="4680"/>
            <w:tcMar>
              <w:top w:w="70" w:type="dxa"/>
              <w:start w:w="110" w:type="dxa"/>
              <w:bottom w:w="70" w:type="dxa"/>
              <w:end w:w="110" w:type="dxa"/>
            </w:tcMar>
          </w:tcPr>
          <w:p>
            <w:pPr>
              <w:pStyle w:val="TableText"/>
            </w:pPr>
            <w:r>
              <w:rPr/>
              <w:t>OTHER BED LINEN, NOT TRIMMED,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6302.32.1030</w:t>
            </w:r>
          </w:p>
        </w:tc>
        <w:tc>
          <w:tcPr>
            <w:tcW w:type="dxa" w:w="4680"/>
            <w:shd w:fill="F5F7F8" w:val="clear" w:color="auto"/>
            <w:tcMar>
              <w:top w:w="70" w:type="dxa"/>
              <w:start w:w="110" w:type="dxa"/>
              <w:bottom w:w="70" w:type="dxa"/>
              <w:end w:w="110" w:type="dxa"/>
            </w:tcMar>
          </w:tcPr>
          <w:p>
            <w:pPr>
              <w:pStyle w:val="TableText"/>
            </w:pPr>
            <w:r>
              <w:rPr/>
              <w:t>SHEETS WITH TRIM, NAPPED, MANMADE FIBER</w:t>
            </w:r>
          </w:p>
        </w:tc>
      </w:tr>
      <w:tr>
        <w:trPr>
          <w:cantSplit/>
        </w:trPr>
        <w:tc>
          <w:tcPr>
            <w:tcW w:type="dxa" w:w="4680"/>
            <w:tcMar>
              <w:top w:w="70" w:type="dxa"/>
              <w:start w:w="110" w:type="dxa"/>
              <w:bottom w:w="70" w:type="dxa"/>
              <w:end w:w="110" w:type="dxa"/>
            </w:tcMar>
          </w:tcPr>
          <w:p>
            <w:pPr>
              <w:pStyle w:val="TableText"/>
            </w:pPr>
            <w:r>
              <w:rPr/>
              <w:t>6302.32.1040</w:t>
            </w:r>
          </w:p>
        </w:tc>
        <w:tc>
          <w:tcPr>
            <w:tcW w:type="dxa" w:w="4680"/>
            <w:tcMar>
              <w:top w:w="70" w:type="dxa"/>
              <w:start w:w="110" w:type="dxa"/>
              <w:bottom w:w="70" w:type="dxa"/>
              <w:end w:w="110" w:type="dxa"/>
            </w:tcMar>
          </w:tcPr>
          <w:p>
            <w:pPr>
              <w:pStyle w:val="TableText"/>
            </w:pPr>
            <w:r>
              <w:rPr/>
              <w:t>SHEETS WITH TRIM, NOT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6302.32.1050</w:t>
            </w:r>
          </w:p>
        </w:tc>
        <w:tc>
          <w:tcPr>
            <w:tcW w:type="dxa" w:w="4680"/>
            <w:shd w:fill="F5F7F8" w:val="clear" w:color="auto"/>
            <w:tcMar>
              <w:top w:w="70" w:type="dxa"/>
              <w:start w:w="110" w:type="dxa"/>
              <w:bottom w:w="70" w:type="dxa"/>
              <w:end w:w="110" w:type="dxa"/>
            </w:tcMar>
          </w:tcPr>
          <w:p>
            <w:pPr>
              <w:pStyle w:val="TableText"/>
            </w:pPr>
            <w:r>
              <w:rPr/>
              <w:t>BOLSTER CASES WITH TRIM, MANMADE FIBER</w:t>
            </w:r>
          </w:p>
        </w:tc>
      </w:tr>
      <w:tr>
        <w:trPr>
          <w:cantSplit/>
        </w:trPr>
        <w:tc>
          <w:tcPr>
            <w:tcW w:type="dxa" w:w="4680"/>
            <w:tcMar>
              <w:top w:w="70" w:type="dxa"/>
              <w:start w:w="110" w:type="dxa"/>
              <w:bottom w:w="70" w:type="dxa"/>
              <w:end w:w="110" w:type="dxa"/>
            </w:tcMar>
          </w:tcPr>
          <w:p>
            <w:pPr>
              <w:pStyle w:val="TableText"/>
            </w:pPr>
            <w:r>
              <w:rPr/>
              <w:t>6302.32.1060</w:t>
            </w:r>
          </w:p>
        </w:tc>
        <w:tc>
          <w:tcPr>
            <w:tcW w:type="dxa" w:w="4680"/>
            <w:tcMar>
              <w:top w:w="70" w:type="dxa"/>
              <w:start w:w="110" w:type="dxa"/>
              <w:bottom w:w="70" w:type="dxa"/>
              <w:end w:w="110" w:type="dxa"/>
            </w:tcMar>
          </w:tcPr>
          <w:p>
            <w:pPr>
              <w:pStyle w:val="TableText"/>
            </w:pPr>
            <w:r>
              <w:rPr/>
              <w:t>OTHER BED LINEN WITH TRIM,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6302.32.2030</w:t>
            </w:r>
          </w:p>
        </w:tc>
        <w:tc>
          <w:tcPr>
            <w:tcW w:type="dxa" w:w="4680"/>
            <w:shd w:fill="F5F7F8" w:val="clear" w:color="auto"/>
            <w:tcMar>
              <w:top w:w="70" w:type="dxa"/>
              <w:start w:w="110" w:type="dxa"/>
              <w:bottom w:w="70" w:type="dxa"/>
              <w:end w:w="110" w:type="dxa"/>
            </w:tcMar>
          </w:tcPr>
          <w:p>
            <w:pPr>
              <w:pStyle w:val="TableText"/>
            </w:pPr>
            <w:r>
              <w:rPr/>
              <w:t>SHEETS, NOT TRIMMED, NAPPED, MANMADE FIBER</w:t>
            </w:r>
          </w:p>
        </w:tc>
      </w:tr>
      <w:tr>
        <w:trPr>
          <w:cantSplit/>
        </w:trPr>
        <w:tc>
          <w:tcPr>
            <w:tcW w:type="dxa" w:w="4680"/>
            <w:tcMar>
              <w:top w:w="70" w:type="dxa"/>
              <w:start w:w="110" w:type="dxa"/>
              <w:bottom w:w="70" w:type="dxa"/>
              <w:end w:w="110" w:type="dxa"/>
            </w:tcMar>
          </w:tcPr>
          <w:p>
            <w:pPr>
              <w:pStyle w:val="TableText"/>
            </w:pPr>
            <w:r>
              <w:rPr/>
              <w:t>6302.32.2040</w:t>
            </w:r>
          </w:p>
        </w:tc>
        <w:tc>
          <w:tcPr>
            <w:tcW w:type="dxa" w:w="4680"/>
            <w:tcMar>
              <w:top w:w="70" w:type="dxa"/>
              <w:start w:w="110" w:type="dxa"/>
              <w:bottom w:w="70" w:type="dxa"/>
              <w:end w:w="110" w:type="dxa"/>
            </w:tcMar>
          </w:tcPr>
          <w:p>
            <w:pPr>
              <w:pStyle w:val="TableText"/>
            </w:pPr>
            <w:r>
              <w:rPr/>
              <w:t>SHEETS NOT TRIMMED, NOT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6302.32.2050</w:t>
            </w:r>
          </w:p>
        </w:tc>
        <w:tc>
          <w:tcPr>
            <w:tcW w:type="dxa" w:w="4680"/>
            <w:shd w:fill="F5F7F8" w:val="clear" w:color="auto"/>
            <w:tcMar>
              <w:top w:w="70" w:type="dxa"/>
              <w:start w:w="110" w:type="dxa"/>
              <w:bottom w:w="70" w:type="dxa"/>
              <w:end w:w="110" w:type="dxa"/>
            </w:tcMar>
          </w:tcPr>
          <w:p>
            <w:pPr>
              <w:pStyle w:val="TableText"/>
            </w:pPr>
            <w:r>
              <w:rPr/>
              <w:t>BOLSTER CASES, NOT TRIMMED, MANMADE FIBER</w:t>
            </w:r>
          </w:p>
        </w:tc>
      </w:tr>
      <w:tr>
        <w:trPr>
          <w:cantSplit/>
        </w:trPr>
        <w:tc>
          <w:tcPr>
            <w:tcW w:type="dxa" w:w="4680"/>
            <w:tcMar>
              <w:top w:w="70" w:type="dxa"/>
              <w:start w:w="110" w:type="dxa"/>
              <w:bottom w:w="70" w:type="dxa"/>
              <w:end w:w="110" w:type="dxa"/>
            </w:tcMar>
          </w:tcPr>
          <w:p>
            <w:pPr>
              <w:pStyle w:val="TableText"/>
            </w:pPr>
            <w:r>
              <w:rPr/>
              <w:t>6302.32.2060</w:t>
            </w:r>
          </w:p>
        </w:tc>
        <w:tc>
          <w:tcPr>
            <w:tcW w:type="dxa" w:w="4680"/>
            <w:tcMar>
              <w:top w:w="70" w:type="dxa"/>
              <w:start w:w="110" w:type="dxa"/>
              <w:bottom w:w="70" w:type="dxa"/>
              <w:end w:w="110" w:type="dxa"/>
            </w:tcMar>
          </w:tcPr>
          <w:p>
            <w:pPr>
              <w:pStyle w:val="TableText"/>
            </w:pPr>
            <w:r>
              <w:rPr/>
              <w:t>OTHER BED LINEN, MANMADE FIBER</w:t>
            </w:r>
          </w:p>
        </w:tc>
      </w:tr>
      <w:tr>
        <w:trPr>
          <w:cantSplit/>
        </w:trPr>
        <w:tc>
          <w:tcPr>
            <w:tcW w:type="dxa" w:w="4680"/>
            <w:shd w:fill="F5F7F8" w:val="clear" w:color="auto"/>
            <w:tcMar>
              <w:top w:w="70" w:type="dxa"/>
              <w:start w:w="110" w:type="dxa"/>
              <w:bottom w:w="70" w:type="dxa"/>
              <w:end w:w="110" w:type="dxa"/>
            </w:tcMar>
          </w:tcPr>
          <w:p>
            <w:pPr>
              <w:pStyle w:val="TableText"/>
            </w:pPr>
            <w:r>
              <w:rPr/>
              <w:t>6304.11.2000</w:t>
            </w:r>
          </w:p>
        </w:tc>
        <w:tc>
          <w:tcPr>
            <w:tcW w:type="dxa" w:w="4680"/>
            <w:shd w:fill="F5F7F8" w:val="clear" w:color="auto"/>
            <w:tcMar>
              <w:top w:w="70" w:type="dxa"/>
              <w:start w:w="110" w:type="dxa"/>
              <w:bottom w:w="70" w:type="dxa"/>
              <w:end w:w="110" w:type="dxa"/>
            </w:tcMar>
          </w:tcPr>
          <w:p>
            <w:pPr>
              <w:pStyle w:val="TableText"/>
            </w:pPr>
            <w:r>
              <w:rPr/>
              <w:t>BEDSPREADS, KNIT/CROCHETED, MANMADE FIBER</w:t>
            </w:r>
          </w:p>
        </w:tc>
      </w:tr>
      <w:tr>
        <w:trPr>
          <w:cantSplit/>
        </w:trPr>
        <w:tc>
          <w:tcPr>
            <w:tcW w:type="dxa" w:w="4680"/>
            <w:tcMar>
              <w:top w:w="70" w:type="dxa"/>
              <w:start w:w="110" w:type="dxa"/>
              <w:bottom w:w="70" w:type="dxa"/>
              <w:end w:w="110" w:type="dxa"/>
            </w:tcMar>
          </w:tcPr>
          <w:p>
            <w:pPr>
              <w:pStyle w:val="TableText"/>
            </w:pPr>
            <w:r>
              <w:rPr/>
              <w:t>6304.19.1500</w:t>
            </w:r>
          </w:p>
        </w:tc>
        <w:tc>
          <w:tcPr>
            <w:tcW w:type="dxa" w:w="4680"/>
            <w:tcMar>
              <w:top w:w="70" w:type="dxa"/>
              <w:start w:w="110" w:type="dxa"/>
              <w:bottom w:w="70" w:type="dxa"/>
              <w:end w:w="110" w:type="dxa"/>
            </w:tcMar>
          </w:tcPr>
          <w:p>
            <w:pPr>
              <w:pStyle w:val="TableText"/>
            </w:pPr>
            <w:r>
              <w:rPr/>
              <w:t>OTHER BEDSPREADS WITH TRIM, MANMADE FIBER</w:t>
            </w:r>
          </w:p>
        </w:tc>
      </w:tr>
      <w:tr>
        <w:trPr>
          <w:cantSplit/>
        </w:trPr>
        <w:tc>
          <w:tcPr>
            <w:tcW w:type="dxa" w:w="4680"/>
            <w:shd w:fill="F5F7F8" w:val="clear" w:color="auto"/>
            <w:tcMar>
              <w:top w:w="70" w:type="dxa"/>
              <w:start w:w="110" w:type="dxa"/>
              <w:bottom w:w="70" w:type="dxa"/>
              <w:end w:w="110" w:type="dxa"/>
            </w:tcMar>
          </w:tcPr>
          <w:p>
            <w:pPr>
              <w:pStyle w:val="TableText"/>
            </w:pPr>
            <w:r>
              <w:rPr/>
              <w:t>6304.19.2000</w:t>
            </w:r>
          </w:p>
        </w:tc>
        <w:tc>
          <w:tcPr>
            <w:tcW w:type="dxa" w:w="4680"/>
            <w:shd w:fill="F5F7F8" w:val="clear" w:color="auto"/>
            <w:tcMar>
              <w:top w:w="70" w:type="dxa"/>
              <w:start w:w="110" w:type="dxa"/>
              <w:bottom w:w="70" w:type="dxa"/>
              <w:end w:w="110" w:type="dxa"/>
            </w:tcMar>
          </w:tcPr>
          <w:p>
            <w:pPr>
              <w:pStyle w:val="TableText"/>
            </w:pPr>
            <w:r>
              <w:rPr/>
              <w:t>OTHER BEDSPREADS, MANMADE FIBER</w:t>
            </w:r>
          </w:p>
        </w:tc>
      </w:tr>
    </w:tbl>
    <w:p>
      <w:pPr>
        <w:pStyle w:val="Normal"/>
      </w:pPr>
      <w:r>
        <w:rPr>
          <w:b w:val="0"/>
        </w:rPr>
        <w:t>7. The primary unit of measure for the following tariff items in U.S. category 666 shall be NO and shall be converted into SME by a factor of 0.9:</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Tariff Item</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6302.22.1010</w:t>
            </w:r>
          </w:p>
        </w:tc>
        <w:tc>
          <w:tcPr>
            <w:tcW w:type="dxa" w:w="4680"/>
            <w:tcMar>
              <w:top w:w="70" w:type="dxa"/>
              <w:start w:w="110" w:type="dxa"/>
              <w:bottom w:w="70" w:type="dxa"/>
              <w:end w:w="110" w:type="dxa"/>
            </w:tcMar>
          </w:tcPr>
          <w:p>
            <w:pPr>
              <w:pStyle w:val="TableText"/>
            </w:pPr>
            <w:r>
              <w:rPr/>
              <w:t>PILLOWCASES WITH TRIM, PRINTED,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6302.22.1020</w:t>
            </w:r>
          </w:p>
        </w:tc>
        <w:tc>
          <w:tcPr>
            <w:tcW w:type="dxa" w:w="4680"/>
            <w:shd w:fill="F5F7F8" w:val="clear" w:color="auto"/>
            <w:tcMar>
              <w:top w:w="70" w:type="dxa"/>
              <w:start w:w="110" w:type="dxa"/>
              <w:bottom w:w="70" w:type="dxa"/>
              <w:end w:w="110" w:type="dxa"/>
            </w:tcMar>
          </w:tcPr>
          <w:p>
            <w:pPr>
              <w:pStyle w:val="TableText"/>
            </w:pPr>
            <w:r>
              <w:rPr/>
              <w:t>PILLOWCASES WITH TRIM, PRINTED, NOT NAPPED, MANMADE FIBER</w:t>
            </w:r>
          </w:p>
        </w:tc>
      </w:tr>
      <w:tr>
        <w:trPr>
          <w:cantSplit/>
        </w:trPr>
        <w:tc>
          <w:tcPr>
            <w:tcW w:type="dxa" w:w="4680"/>
            <w:tcMar>
              <w:top w:w="70" w:type="dxa"/>
              <w:start w:w="110" w:type="dxa"/>
              <w:bottom w:w="70" w:type="dxa"/>
              <w:end w:w="110" w:type="dxa"/>
            </w:tcMar>
          </w:tcPr>
          <w:p>
            <w:pPr>
              <w:pStyle w:val="TableText"/>
            </w:pPr>
            <w:r>
              <w:rPr/>
              <w:t>6302.22.2010</w:t>
            </w:r>
          </w:p>
        </w:tc>
        <w:tc>
          <w:tcPr>
            <w:tcW w:type="dxa" w:w="4680"/>
            <w:tcMar>
              <w:top w:w="70" w:type="dxa"/>
              <w:start w:w="110" w:type="dxa"/>
              <w:bottom w:w="70" w:type="dxa"/>
              <w:end w:w="110" w:type="dxa"/>
            </w:tcMar>
          </w:tcPr>
          <w:p>
            <w:pPr>
              <w:pStyle w:val="TableText"/>
            </w:pPr>
            <w:r>
              <w:rPr/>
              <w:t>PILLOWCASES, NOT TRIMMED,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6302.32.1010</w:t>
            </w:r>
          </w:p>
        </w:tc>
        <w:tc>
          <w:tcPr>
            <w:tcW w:type="dxa" w:w="4680"/>
            <w:shd w:fill="F5F7F8" w:val="clear" w:color="auto"/>
            <w:tcMar>
              <w:top w:w="70" w:type="dxa"/>
              <w:start w:w="110" w:type="dxa"/>
              <w:bottom w:w="70" w:type="dxa"/>
              <w:end w:w="110" w:type="dxa"/>
            </w:tcMar>
          </w:tcPr>
          <w:p>
            <w:pPr>
              <w:pStyle w:val="TableText"/>
            </w:pPr>
            <w:r>
              <w:rPr/>
              <w:t>PILLOWCASES WITH TRIM, NAPPED, MANMADE FIBER</w:t>
            </w:r>
          </w:p>
        </w:tc>
      </w:tr>
      <w:tr>
        <w:trPr>
          <w:cantSplit/>
        </w:trPr>
        <w:tc>
          <w:tcPr>
            <w:tcW w:type="dxa" w:w="4680"/>
            <w:tcMar>
              <w:top w:w="70" w:type="dxa"/>
              <w:start w:w="110" w:type="dxa"/>
              <w:bottom w:w="70" w:type="dxa"/>
              <w:end w:w="110" w:type="dxa"/>
            </w:tcMar>
          </w:tcPr>
          <w:p>
            <w:pPr>
              <w:pStyle w:val="TableText"/>
            </w:pPr>
            <w:r>
              <w:rPr/>
              <w:t>6302.32.1020</w:t>
            </w:r>
          </w:p>
        </w:tc>
        <w:tc>
          <w:tcPr>
            <w:tcW w:type="dxa" w:w="4680"/>
            <w:tcMar>
              <w:top w:w="70" w:type="dxa"/>
              <w:start w:w="110" w:type="dxa"/>
              <w:bottom w:w="70" w:type="dxa"/>
              <w:end w:w="110" w:type="dxa"/>
            </w:tcMar>
          </w:tcPr>
          <w:p>
            <w:pPr>
              <w:pStyle w:val="TableText"/>
            </w:pPr>
            <w:r>
              <w:rPr/>
              <w:t>PILLOWCASES WITH TRIM, NOT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6302.32.2010</w:t>
            </w:r>
          </w:p>
        </w:tc>
        <w:tc>
          <w:tcPr>
            <w:tcW w:type="dxa" w:w="4680"/>
            <w:shd w:fill="F5F7F8" w:val="clear" w:color="auto"/>
            <w:tcMar>
              <w:top w:w="70" w:type="dxa"/>
              <w:start w:w="110" w:type="dxa"/>
              <w:bottom w:w="70" w:type="dxa"/>
              <w:end w:w="110" w:type="dxa"/>
            </w:tcMar>
          </w:tcPr>
          <w:p>
            <w:pPr>
              <w:pStyle w:val="TableText"/>
            </w:pPr>
            <w:r>
              <w:rPr/>
              <w:t>PILLOWCASES, NOT TRIMMED, NAPPED, MANMADE FIBER</w:t>
            </w:r>
          </w:p>
        </w:tc>
      </w:tr>
      <w:tr>
        <w:trPr>
          <w:cantSplit/>
        </w:trPr>
        <w:tc>
          <w:tcPr>
            <w:tcW w:type="dxa" w:w="4680"/>
            <w:tcMar>
              <w:top w:w="70" w:type="dxa"/>
              <w:start w:w="110" w:type="dxa"/>
              <w:bottom w:w="70" w:type="dxa"/>
              <w:end w:w="110" w:type="dxa"/>
            </w:tcMar>
          </w:tcPr>
          <w:p>
            <w:pPr>
              <w:pStyle w:val="TableText"/>
            </w:pPr>
            <w:r>
              <w:rPr/>
              <w:t>6302.32.2020</w:t>
            </w:r>
          </w:p>
        </w:tc>
        <w:tc>
          <w:tcPr>
            <w:tcW w:type="dxa" w:w="4680"/>
            <w:tcMar>
              <w:top w:w="70" w:type="dxa"/>
              <w:start w:w="110" w:type="dxa"/>
              <w:bottom w:w="70" w:type="dxa"/>
              <w:end w:w="110" w:type="dxa"/>
            </w:tcMar>
          </w:tcPr>
          <w:p>
            <w:pPr>
              <w:pStyle w:val="TableText"/>
            </w:pPr>
            <w:r>
              <w:rPr/>
              <w:t>PILLOWCASES NOT TRIMMED, NOT NAPPED, MANMADE FIBER</w:t>
            </w:r>
          </w:p>
        </w:tc>
      </w:tr>
    </w:tbl>
    <w:p>
      <w:pPr>
        <w:pStyle w:val="Normal"/>
      </w:pPr>
      <w:r>
        <w:rPr>
          <w:b w:val="0"/>
        </w:rPr>
        <w:t>8. The primary unit of measure for garment parts of subheadings 6117.90 and 6217.90 shall be KG and shall be converted into SME by applying the following factors: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Garment-Part Category</w:t>
            </w:r>
          </w:p>
        </w:tc>
        <w:tc>
          <w:tcPr>
            <w:tcW w:type="dxa" w:w="4680"/>
            <w:tcBorders>
              <w:bottom w:val="single" w:sz="6" w:space="0" w:color="546E7A"/>
            </w:tcBorders>
            <w:shd w:fill="E4E9EC" w:val="clear" w:color="auto"/>
          </w:tcPr>
          <w:p>
            <w:pPr>
              <w:pStyle w:val="TableText"/>
            </w:pPr>
            <w:r>
              <w:rPr>
                <w:b/>
                <w:color w:val="37474F"/>
              </w:rPr>
              <w:t>Conversion Factor</w:t>
            </w:r>
          </w:p>
        </w:tc>
      </w:tr>
      <w:tr>
        <w:trPr>
          <w:cantSplit/>
        </w:trPr>
        <w:tc>
          <w:tcPr>
            <w:tcW w:type="dxa" w:w="4680"/>
            <w:tcMar>
              <w:top w:w="70" w:type="dxa"/>
              <w:start w:w="110" w:type="dxa"/>
              <w:bottom w:w="70" w:type="dxa"/>
              <w:end w:w="110" w:type="dxa"/>
            </w:tcMar>
          </w:tcPr>
          <w:p>
            <w:pPr>
              <w:pStyle w:val="TableText"/>
            </w:pPr>
            <w:r>
              <w:rPr/>
              <w:t>Cotton apparel</w:t>
            </w:r>
          </w:p>
        </w:tc>
        <w:tc>
          <w:tcPr>
            <w:tcW w:type="dxa" w:w="4680"/>
            <w:tcMar>
              <w:top w:w="70" w:type="dxa"/>
              <w:start w:w="110" w:type="dxa"/>
              <w:bottom w:w="70" w:type="dxa"/>
              <w:end w:w="110" w:type="dxa"/>
            </w:tcMar>
          </w:tcPr>
          <w:p>
            <w:pPr>
              <w:pStyle w:val="TableText"/>
            </w:pPr>
            <w:r>
              <w:rPr/>
              <w:t>8.5</w:t>
            </w:r>
          </w:p>
        </w:tc>
      </w:tr>
      <w:tr>
        <w:trPr>
          <w:cantSplit/>
        </w:trPr>
        <w:tc>
          <w:tcPr>
            <w:tcW w:type="dxa" w:w="4680"/>
            <w:shd w:fill="F5F7F8" w:val="clear" w:color="auto"/>
            <w:tcMar>
              <w:top w:w="70" w:type="dxa"/>
              <w:start w:w="110" w:type="dxa"/>
              <w:bottom w:w="70" w:type="dxa"/>
              <w:end w:w="110" w:type="dxa"/>
            </w:tcMar>
          </w:tcPr>
          <w:p>
            <w:pPr>
              <w:pStyle w:val="TableText"/>
            </w:pPr>
            <w:r>
              <w:rPr/>
              <w:t>Wool apparel</w:t>
            </w:r>
          </w:p>
        </w:tc>
        <w:tc>
          <w:tcPr>
            <w:tcW w:type="dxa" w:w="4680"/>
            <w:shd w:fill="F5F7F8" w:val="clear" w:color="auto"/>
            <w:tcMar>
              <w:top w:w="70" w:type="dxa"/>
              <w:start w:w="110" w:type="dxa"/>
              <w:bottom w:w="70" w:type="dxa"/>
              <w:end w:w="110" w:type="dxa"/>
            </w:tcMar>
          </w:tcPr>
          <w:p>
            <w:pPr>
              <w:pStyle w:val="TableText"/>
            </w:pPr>
            <w:r>
              <w:rPr/>
              <w:t>3.7</w:t>
            </w:r>
          </w:p>
        </w:tc>
      </w:tr>
      <w:tr>
        <w:trPr>
          <w:cantSplit/>
        </w:trPr>
        <w:tc>
          <w:tcPr>
            <w:tcW w:type="dxa" w:w="4680"/>
            <w:tcMar>
              <w:top w:w="70" w:type="dxa"/>
              <w:start w:w="110" w:type="dxa"/>
              <w:bottom w:w="70" w:type="dxa"/>
              <w:end w:w="110" w:type="dxa"/>
            </w:tcMar>
          </w:tcPr>
          <w:p>
            <w:pPr>
              <w:pStyle w:val="TableText"/>
            </w:pPr>
            <w:r>
              <w:rPr/>
              <w:t>Manmade fiber apparel</w:t>
            </w:r>
          </w:p>
        </w:tc>
        <w:tc>
          <w:tcPr>
            <w:tcW w:type="dxa" w:w="4680"/>
            <w:tcMar>
              <w:top w:w="70" w:type="dxa"/>
              <w:start w:w="110" w:type="dxa"/>
              <w:bottom w:w="70" w:type="dxa"/>
              <w:end w:w="110" w:type="dxa"/>
            </w:tcMar>
          </w:tcPr>
          <w:p>
            <w:pPr>
              <w:pStyle w:val="TableText"/>
            </w:pPr>
            <w:r>
              <w:rPr/>
              <w:t>14.4</w:t>
            </w:r>
          </w:p>
        </w:tc>
      </w:tr>
      <w:tr>
        <w:trPr>
          <w:cantSplit/>
        </w:trPr>
        <w:tc>
          <w:tcPr>
            <w:tcW w:type="dxa" w:w="4680"/>
            <w:shd w:fill="F5F7F8" w:val="clear" w:color="auto"/>
            <w:tcMar>
              <w:top w:w="70" w:type="dxa"/>
              <w:start w:w="110" w:type="dxa"/>
              <w:bottom w:w="70" w:type="dxa"/>
              <w:end w:w="110" w:type="dxa"/>
            </w:tcMar>
          </w:tcPr>
          <w:p>
            <w:pPr>
              <w:pStyle w:val="TableText"/>
            </w:pPr>
            <w:r>
              <w:rPr/>
              <w:t>Other non-cotton vegetable fiber apparel</w:t>
            </w:r>
          </w:p>
        </w:tc>
        <w:tc>
          <w:tcPr>
            <w:tcW w:type="dxa" w:w="4680"/>
            <w:shd w:fill="F5F7F8" w:val="clear" w:color="auto"/>
            <w:tcMar>
              <w:top w:w="70" w:type="dxa"/>
              <w:start w:w="110" w:type="dxa"/>
              <w:bottom w:w="70" w:type="dxa"/>
              <w:end w:w="110" w:type="dxa"/>
            </w:tcMar>
          </w:tcPr>
          <w:p>
            <w:pPr>
              <w:pStyle w:val="TableText"/>
            </w:pPr>
            <w:r>
              <w:rPr/>
              <w:t>12.5</w:t>
            </w:r>
          </w:p>
        </w:tc>
      </w:tr>
    </w:tbl>
    <w:p>
      <w:pPr>
        <w:pStyle w:val="Heading1"/>
      </w:pPr>
      <w:bookmarkStart w:id="900236" w:name="_Toc300000235"/>
      <w:r>
        <w:t>CHAPTER 7 CUSTOMS ADMINISTRATION AND TRADE FACILITATION</w:t>
      </w:r>
      <w:r>
        <w:br/>
      </w:r>
      <w:r>
        <w:t>Section A: Trade Facilitation</w:t>
      </w:r>
      <w:bookmarkEnd w:id="900236"/>
    </w:p>
    <w:p>
      <w:pPr>
        <w:pStyle w:val="Heading2"/>
      </w:pPr>
      <w:bookmarkStart w:id="900237" w:name="_Toc300000236"/>
      <w:r>
        <w:t xml:space="preserve">Article 7.1: Trade Facilitation</w:t>
      </w:r>
      <w:bookmarkEnd w:id="900237"/>
    </w:p>
    <w:p>
      <w:pPr>
        <w:pStyle w:val="Normal"/>
      </w:pPr>
      <w:r>
        <w:t xml:space="preserve">1. The Parties affirm their rights and obligations under the Agreement on Trade Facilitation, set out in Annex 1A to the WTO Agreement. 2. With a view to minimizing the costs incurred by traders through the importation, exportation, or transit of a good, each Party shall administer its customs procedures in a manner that facilitates the importation, exportation, or transit of a good, and supports compliance with its law. 3. The Parties shall discuss within the Trade Facilitation Committee established under Article 7.24 (Committee on Trade Facilitation) additional measures to facilitate trade. The Parties are encouraged to adopt additional measures that build on the obligations in this Chapter with a view to further facilitating trade.</w:t>
      </w:r>
    </w:p>
    <w:p>
      <w:pPr>
        <w:pStyle w:val="Heading2"/>
      </w:pPr>
      <w:bookmarkStart w:id="900238" w:name="_Toc300000237"/>
      <w:r>
        <w:t xml:space="preserve">Article 7.2: Online Publication</w:t>
      </w:r>
      <w:bookmarkEnd w:id="900238"/>
    </w:p>
    <w:p>
      <w:pPr>
        <w:pStyle w:val="Normal"/>
      </w:pPr>
      <w:r>
        <w:t xml:space="preserve">Each Party shall make available on a free, publicly accessible website the following information and update such information as necessary: (a) an informational resource that describes the procedures and practical steps an interested person needs to follow for importation into, exportation from, or transit through the territory of the Party; (b) the documentation and data that it requires for importation into, exportation from, or transit through its territory; (c) its laws, regulations, and procedures for importation into, exportation from or transit through its territory; (d) web links to all current customs duties, taxes, fees, and charges it imposes on or in connection with importation, exportation, or transit, including when the fee or charge applies, and the amount or rate; (e) contact information for its enquiry point or points established or maintained pursuant to Article 7.4 (Enquiry Points); (f) its laws, regulations, and procedures for becoming a customs broker, for issuing customs broker licenses, and regarding the use of customs brokers;</w:t>
      </w:r>
    </w:p>
    <w:p>
      <w:pPr>
        <w:pStyle w:val="Normal"/>
      </w:pPr>
      <w:r>
        <w:t>(g) informational resources that help an interested person understand their responsibilities when importing into, exporting from, or transiting goods through its territory, how to be compliant, and the benefits of compliance; and (h) procedures to correct an error in a customs transaction, including the information to submit and, if applicable, the circumstances when penalties will not be imposed.</w:t>
      </w:r>
    </w:p>
    <w:p>
      <w:pPr>
        <w:pStyle w:val="Heading2"/>
      </w:pPr>
      <w:bookmarkStart w:id="900239" w:name="_Toc300000238"/>
      <w:r>
        <w:t xml:space="preserve">Article 7.3: Communication with Traders</w:t>
      </w:r>
      <w:bookmarkEnd w:id="900239"/>
    </w:p>
    <w:p>
      <w:pPr>
        <w:pStyle w:val="Normal"/>
      </w:pPr>
      <w:r>
        <w:t xml:space="preserve">1. To the extent possible, in accordance with its law, each Party shall publish, in advance, regulations of general application governing trade and customs matters that it proposes to adopt and shall provide interested persons the opportunity to comment before the Party adopts such regulations. 2. Each Party shall adopt or maintain a mechanism to regularly communicate with traders within its territory on its procedures related to the importation, exportation, and transit of goods. These communications shall provide traders with an opportunity to raise emerging issues and provide their views to the customs administration on these procedures.</w:t>
      </w:r>
    </w:p>
    <w:p>
      <w:pPr>
        <w:pStyle w:val="Heading2"/>
      </w:pPr>
      <w:bookmarkStart w:id="900240" w:name="_Toc300000239"/>
      <w:r>
        <w:t xml:space="preserve">Article 7.4: Enquiry Points</w:t>
      </w:r>
      <w:bookmarkEnd w:id="900240"/>
    </w:p>
    <w:p>
      <w:pPr>
        <w:pStyle w:val="Normal"/>
      </w:pPr>
      <w:r>
        <w:t xml:space="preserve">1. Each Party shall establish or maintain one or more enquiry points to respond to enquiries by interested persons concerning importation, exportation, and transit procedures. 2. A Party shall not require the payment of a fee or charge for answering enquiries under paragraph 1.1 3. Each Party shall ensure that its enquiry points respond to enquiries within a reasonable period of time, which may vary depending on the nature or complexity of the request.</w:t>
      </w:r>
    </w:p>
    <w:p>
      <w:pPr>
        <w:pStyle w:val="Heading2"/>
      </w:pPr>
      <w:bookmarkStart w:id="900241" w:name="_Toc300000240"/>
      <w:r>
        <w:t xml:space="preserve">Article 7.5: Advance Rulings</w:t>
      </w:r>
      <w:bookmarkEnd w:id="900241"/>
    </w:p>
    <w:p>
      <w:pPr>
        <w:pStyle w:val="Normal"/>
      </w:pPr>
      <w:r>
        <w:t xml:space="preserve">For greater certainty, a Party may require payment of a fee or charge with respect to other enquiries requiring document search, duplication, and review in connection with requests in accordance with its laws and regulations providing public access to government records. 1. Each Party shall, through its customs administration, issue a written advance ruling, prior to the importation of a good into its territory, that sets forth the treatment that the Party shall provide to the good at the time of importation. 2. Each Party shall allow an exporter, importer, producer, or any other person with a justifiable cause, or a representative thereof, to request a written advance ruling. 3. No Party shall as a condition for requesting an advance ruling, require an exporter or producer of another Party to establish or maintain a contractual or other relation with a person located in the territory of the importing Party. 4. Each Party shall issue advance rulings with regard to: (a) tariff classification;</w:t>
      </w:r>
    </w:p>
    <w:p>
      <w:pPr>
        <w:pStyle w:val="Normal"/>
      </w:pPr>
      <w:r>
        <w:t>(b) the application of customs valuation criteria for a particular case in accordance with the Customs Valuation Agreement; (c) the origin of the good, including whether the good qualifies as an originating good under the terms of this Agreement; (d) whether a good is subject to a quota or a tariff-rate quota; and (e) other matters as the Parties may agree. 5.</w:t>
      </w:r>
    </w:p>
    <w:p>
      <w:pPr>
        <w:pStyle w:val="Normal"/>
      </w:pPr>
      <w:r>
        <w:t>Each Party shall adopt or maintain uniform procedures throughout its territory for the issuance of advance rulings, including a detailed description of the information required to process an application for a ruling. 6. Each Party shall provide that its customs administration: (a) may, at any time during the course of an evaluation of a request for an advance ruling, request supplemental information from the person requesting the ruling or a sample of the good for which the advance ruling was requested; (b) in issuing an advance ruling, take into account the facts and circumstances provided by the person requesting that ruling; (c) issue the ruling as expeditiously as possible and in no case later than 120 days after it has obtained all necessary information from the person requesting an advance ruling; and (d) provide to that person a full explanation of the reasons for the ruling. 7.</w:t>
      </w:r>
    </w:p>
    <w:p>
      <w:pPr>
        <w:pStyle w:val="Normal"/>
      </w:pPr>
      <w:r>
        <w:t>Each Party shall provide that its advance rulings take effect on the date that they are issued or on a later date specified in the ruling, and remain in effect unless the advance ruling is modified or revoked. 8. Each Party shall provide to a person requesting an advance ruling the same treatment, including the same interpretation and application of provisions of Chapter 4 (Rules of Origin) regarding a determination of origin, as it provided to any other person to whom it issued an advance ruling, provided that the facts and circumstances are identical in all material respects. 9.</w:t>
      </w:r>
    </w:p>
    <w:p>
      <w:pPr>
        <w:pStyle w:val="Normal"/>
      </w:pPr>
      <w:r>
        <w:t>An advance ruling issued by a Party shall apply throughout its territory to the person to whom the ruling is issued. 10. After issuing an advance ruling, the issuing Party may modify or revoke the advance ruling if there is a change in the law, facts, or circumstances on which the ruling was based, or if the ruling was based on inaccurate or false information, or on an error. 11. A Party may decline to issue an advance ruling if the facts and circumstances forming the basis of the advance ruling are the subject of a post clearance audit or an administrative, judicial, or quasi-judicial review or appeal. A Party that declines to issue an advance ruling shall promptly notify, in writing, the person requesting the ruling, setting out the relevant facts and circumstances and the basis for its decision. 12.</w:t>
      </w:r>
    </w:p>
    <w:p>
      <w:pPr>
        <w:pStyle w:val="Normal"/>
      </w:pPr>
      <w:r>
        <w:t>No Party shall apply retroactively a revocation or modification to the detriment of the requester unless the person to whom the advance ruling was issued has not acted in accordance with its terms and conditions or the ruling was based on inaccurate or false information provided by the requester. 13. Each Party shall provide that, unless it retroactively applies a modification or revocation as described in paragraph 12, any modification or revocation of an advance ruling shall be effective on the date on which the modification or revocation is issued, or on such later date as may be specified therein. 14.</w:t>
      </w:r>
    </w:p>
    <w:p>
      <w:pPr>
        <w:pStyle w:val="Normal"/>
      </w:pPr>
      <w:r>
        <w:t>The issuing Party shall postpone the effective date of such modification or revocation for a period not exceeding 90 days if the person to whom the advance ruling was issued demonstrates that it has relied in good faith to its detriment on that ruling. 15. Each Party shall, in accordance with its laws, regulations, and procedures, make its advance rulings, complete or redacted, available on a free, publicly accessible website.</w:t>
      </w:r>
    </w:p>
    <w:p>
      <w:pPr>
        <w:pStyle w:val="Heading2"/>
      </w:pPr>
      <w:bookmarkStart w:id="900242" w:name="_Toc300000241"/>
      <w:r>
        <w:t xml:space="preserve">Article 7.6: Advice or Information Regarding Duty Drawback or Duty Deferral Programs</w:t>
      </w:r>
      <w:bookmarkEnd w:id="900242"/>
    </w:p>
    <w:p>
      <w:pPr>
        <w:pStyle w:val="Normal"/>
      </w:pPr>
      <w:r>
        <w:t xml:space="preserve">Upon request from an importer in its territory, or an exporter or producer in the territory of another Party, a Party shall, within a reasonable timeframe, provide advice or information relevant to the facts contained in the request on the application of duty drawback or duty deferral programs that reduce, refund, or waive customs duties.</w:t>
      </w:r>
    </w:p>
    <w:p>
      <w:pPr>
        <w:pStyle w:val="Heading2"/>
      </w:pPr>
      <w:bookmarkStart w:id="900243" w:name="_Toc300000242"/>
      <w:r>
        <w:t xml:space="preserve">Article 7.7: Release of Goods</w:t>
      </w:r>
      <w:bookmarkEnd w:id="900243"/>
    </w:p>
    <w:p>
      <w:pPr>
        <w:pStyle w:val="Normal"/>
      </w:pPr>
      <w:r>
        <w:t xml:space="preserve">1. Each Party shall adopt or maintain simplified customs procedures for the efficient release of goods in order to facilitate trade between the Parties. 2. Pursuant to paragraph 1, each Party shall adopt or maintain procedures that: (a) provide for the immediate release of goods upon receipt of the customs declaration and fulfillment of all applicable requirements and procedures; (b) provide for the electronic submission and processing of documentation and data, including manifests, in advance of the arrival of the goods in order to expedite the release of goods from customs control upon arrival; (c) allow goods to be released at the point of arrival without requiring temporary transfer to warehouses or other facilities; and (d) require that the importer be informed if a Party does not promptly release goods, including, to the extent permitted by its law, the reasons why the goods are not released and which border agency, if not the customs administration, has withheld release of the goods. 3.</w:t>
      </w:r>
    </w:p>
    <w:p>
      <w:pPr>
        <w:pStyle w:val="Normal"/>
      </w:pPr>
      <w:r>
        <w:t>Each Party shall adopt or maintain procedures that provide for the release of goods prior to a final determination and payment of any customs duties, taxes, fees, and charges imposed on or in connection with importation of the goods, when these are not determined prior to or promptly upon arrival, provided that the goods are otherwise eligible for release and any security required by the importing Party has been provided. 4.</w:t>
      </w:r>
    </w:p>
    <w:p>
      <w:pPr>
        <w:pStyle w:val="Normal"/>
      </w:pPr>
      <w:r>
        <w:t>If a Party allows for the release of goods conditioned on a security, it shall adopt or maintain procedures that: (a) ensure that the amount of the security is no greater than that required to ensure that obligations arising from the importation of the goods will be fulfilled; (b) ensure that the security shall be discharged as soon as possible after its customs administration is satisfied that the obligations arising from the importation of the goods have been fulfilled or, for instruments covering multiple entries, until it is no longer required by the customs administration; and (c) allow an importer to provide security using a non-cash financial instrument, including, if applicable, when an importer frequently enters goods, an instrument covering multiple entries. 5. Nothing in this Article requires a Party to release a good if its requirements for release have not been met nor prevents a Party from liquidating a security in accordance with its law. 6.</w:t>
      </w:r>
    </w:p>
    <w:p>
      <w:pPr>
        <w:pStyle w:val="Normal"/>
      </w:pPr>
      <w:r>
        <w:t>Each Party shall allow, to the extent practicable, goods intended for import to be moved within its territory under customs control from the point of entry into the Party’s territory to another customs office in its territory from where the goods are intended to be released, provided the applicable regulatory requirements are met.</w:t>
      </w:r>
    </w:p>
    <w:p>
      <w:pPr>
        <w:pStyle w:val="Heading2"/>
      </w:pPr>
      <w:bookmarkStart w:id="900244" w:name="_Toc300000243"/>
      <w:r>
        <w:t xml:space="preserve">Article 7.8: Express Shipments</w:t>
      </w:r>
      <w:bookmarkEnd w:id="900244"/>
    </w:p>
    <w:p>
      <w:pPr>
        <w:pStyle w:val="Normal"/>
      </w:pPr>
      <w:r>
        <w:t xml:space="preserve">1. Each Party shall adopt or maintain specific expedited customs procedures for express shipments while maintaining appropriate customs controls. These procedures shall: (a) provide for information required to release an express shipment to be submitted and processed before the shipment arrives; (b) allow a single submission of information, such as a manifest, covering all goods contained in an express shipment, through, if possible, electronic means; (c) expedite the release of these shipments based on, to the extent possible, minimum documentation or a single submission of information; (d) provide for these shipments, under normal circumstances, to be released immediately after arrival, provided that all required documentation and data are submitted;</w:t>
      </w:r>
    </w:p>
    <w:p>
      <w:pPr>
        <w:pStyle w:val="Normal"/>
      </w:pPr>
      <w:r>
        <w:t>(e) apply to shipments of any weight or value, recognizing that a Party may require formal entry procedures as a condition for release, including a declaration and supporting documentation and payment of customs duties, based on the good’s weight or value; and (f) provide that, under normal circumstances, no customs duties or taxes will be assessed at the time or point of importation or formal entry procedures required,2 on express shipments of a Party valued at or below a fixed amount set out under For greater certainty, this subparagraph shall not prevent a Party from requiring informal entry procedures, including applicable supporting documents.</w:t>
      </w:r>
    </w:p>
    <w:p>
      <w:pPr>
        <w:pStyle w:val="Normal"/>
      </w:pPr>
      <w:r>
        <w:t>the Party’s law, provided that the shipment does not form part of a series of shipments carried out or planned for the purpose of evading duties or taxes, or avoiding any regulation applicable to the formal entry procedures required by the importing Party. The fixed amount set out under the Party’s law shall be at least3: (i) for the United States, US$800, (ii) for Mexico, US$117 for customs duties and US$50 for taxes, and (iii) for Canada, C$150 for customs duties and C$40 for taxes. For these shipments, each Party shall allow for the periodic assessment and payment of duties and taxes applicable at the time or point of importation. 2.</w:t>
      </w:r>
    </w:p>
    <w:p>
      <w:pPr>
        <w:pStyle w:val="Normal"/>
      </w:pPr>
      <w:r>
        <w:t>Each Party shall adopt or maintain procedures that apply fewer customs formalities than those applied under formal entry procedures, to shipments valued at less than CAD$3,300 for Canada and US$2,500 for the United States and Mexico, provided that the shipments do not form part of a series of importations that may be reasonably considered to have been undertaken or arranged for the purpose of avoiding compliance by an importer with the importing Party’s laws, regulations, or procedures related to formal entry. 3. Nothing in this Article prevents a Party from requiring the necessary information and documents as a condition for the release of goods, and from assessing customs duties or taxes for restricted or controlled goods.</w:t>
      </w:r>
    </w:p>
    <w:p>
      <w:pPr>
        <w:pStyle w:val="Heading2"/>
      </w:pPr>
      <w:bookmarkStart w:id="900245" w:name="_Toc300000244"/>
      <w:r>
        <w:t xml:space="preserve">Article 7.9: Use of Information Technology</w:t>
      </w:r>
      <w:bookmarkEnd w:id="900245"/>
    </w:p>
    <w:p>
      <w:pPr>
        <w:pStyle w:val="Normal"/>
      </w:pPr>
      <w:r>
        <w:t xml:space="preserve">Each Party shall: (a) use information technology that expedites procedures for the release of goods; (b) make available by electronic means any declaration or other form that is required for import, export, or transit of goods through its territory; (c) allow a customs declaration and related documentation to be submitted in electronic format; Notwithstanding the amounts set out under this subparagraph, a Party may impose a reciprocal amount that is lower for shipments from another Party if the amount provided for under that other Party’s law is lower than that of the Party. (d) make electronic systems accessible to importers, exporters, persons engaged in the transit of goods through its territory, and other customs users in order to submit and receive information; (e) promote the use of its electronic systems to facilitate the communication between traders and its customs administration and other related agencies;</w:t>
      </w:r>
    </w:p>
    <w:p>
      <w:pPr>
        <w:pStyle w:val="Normal"/>
      </w:pPr>
      <w:r>
        <w:t>(f) adopt or maintain procedures allowing for the electronic payment of customs duties, taxes, fees, or charges imposed on or in connection with importation or exportation and collected by customs and other related agencies; (g) use electronic risk management systems in accordance with Article 7.12 (Risk Management); and (h) endeavor to allow an importer, through its electronic systems, to correct multiple import declarations previously submitted to the Party involving the same issue through a single submission.</w:t>
      </w:r>
    </w:p>
    <w:p>
      <w:pPr>
        <w:pStyle w:val="Heading2"/>
      </w:pPr>
      <w:bookmarkStart w:id="900246" w:name="_Toc300000245"/>
      <w:r>
        <w:t xml:space="preserve">Article 7.10: Single Window</w:t>
      </w:r>
      <w:bookmarkEnd w:id="900246"/>
    </w:p>
    <w:p>
      <w:pPr>
        <w:pStyle w:val="Normal"/>
      </w:pPr>
      <w:r>
        <w:t xml:space="preserve">1. Each Party shall establish or maintain a single window system that enables the electronic submission through a single entry point of the documentation and data the Party requires for importation into its territory. 2. Each Party shall review the operations of its single window system with a view to expanding its functionality to cover all its import, export, and transit transactions. 3. Each Party shall, in a timely manner, inform a person that is using its single window system of the status of the release of goods, through the single window system. 4. If a Party receives documentation or data for a good or shipment of goods through its single window system, the Party shall not request the same documentation or data for that good or shipment of goods, except in urgent circumstances or pursuant to other limited exceptions set out in its laws, regulations, or procedures. Each Party shall minimize the extent to which paper documents are required if electronic copies are provided. 5.</w:t>
      </w:r>
    </w:p>
    <w:p>
      <w:pPr>
        <w:pStyle w:val="Normal"/>
      </w:pPr>
      <w:r>
        <w:t>In building and maintaining its single window system, each Party shall: (a) incorporate, as appropriate, the World Customs Organization Data Model for data elements; (b) endeavor to implement standards and data elements for import, export, and transit that are the same as the other Parties’ single window system; and (c) on an ongoing basis, streamline its single window system, including by adding functionality to facilitate trade, improve transparency, and reduce release times and costs. 6. In implementing paragraph 5, the Parties shall: (a) share with each other their respective experiences in developing and maintaining their single window system; and (b) work towards a harmonization, to the extent possible, of data elements and customs processes that facilitate use of a single transmission of information to both the exporting and importing Party.</w:t>
      </w:r>
    </w:p>
    <w:p>
      <w:pPr>
        <w:pStyle w:val="Heading2"/>
      </w:pPr>
      <w:bookmarkStart w:id="900247" w:name="_Toc300000246"/>
      <w:r>
        <w:t xml:space="preserve">Article 7.11: Transparency, Predictability, and Consistency in Customs Procedures</w:t>
      </w:r>
      <w:bookmarkEnd w:id="900247"/>
    </w:p>
    <w:p>
      <w:pPr>
        <w:pStyle w:val="Normal"/>
      </w:pPr>
      <w:r>
        <w:t xml:space="preserve">1. Each Party shall apply its customs procedures related to the importation, exportation, and transit of goods in a manner that is transparent, predictable, and consistent throughout its territory. 2. Nothing in this Article prevents a Party from differentiating its import, export, and transit procedures, and documentation and data requirements: (a) based on the nature and type of goods, or their means of transport; (b) based on risk management; (c) to provide total or partial exemption to a good from customs duties, taxes, fees, or charges; (d) to allow electronic filing, processing or payment; or (e) in a manner consistent with Chapter 9 (Sanitary and Phytosanitary Measures) and the SPS Agreement. 3. Each Party shall review its import, export, and transit procedures, and documentation and data requirements, and, based on the results of the review, ensure, as appropriate, that these procedures and requirements are: (a) adopted and applied with a view to a rapid release of goods;</w:t>
      </w:r>
    </w:p>
    <w:p>
      <w:pPr>
        <w:pStyle w:val="Normal"/>
      </w:pPr>
      <w:r>
        <w:t>(b) adopted and applied in a manner that aims at reducing the time, administrative burden, and cost of compliance with those procedures and those documentation and data requirements; (c) the least trade restrictive, if two or more alternative measures are reasonably available to fulfil the Party’s policy objectives; and (d) not maintained, including parts thereof, if no longer required to fulfil the Party’s policy</w:t>
      </w:r>
    </w:p>
    <w:p>
      <w:pPr>
        <w:pStyle w:val="Normal"/>
      </w:pPr>
      <w:r>
        <w:t>objectives. 4. If a Party holds the original paper version of a document submitted for the importation into, exportation from, or transit through its territory, the Party shall not require an additional submission of the same document. 5. Each Party shall take into consideration, to the extent practicable and appropriate, relevant international standards and international trade instruments for the development of its customs procedures related to the importation, exportation and transit of goods. 6. Each Party shall adopt or maintain measures with a view to ensuring consistency and predictability for traders throughout its territory in the application of its customs procedures, including determinations on tariff classification and customs valuation of goods. These measures may include training of customs officials or issuing documents that serve to guide customs officials. If an inconsistency in the application of its customs procedures, including determinations on tariff classification or customs valuation of goods, is discovered, the Party shall seek to resolve the inconsistency, if practicable.</w:t>
      </w:r>
    </w:p>
    <w:p>
      <w:pPr>
        <w:pStyle w:val="Heading2"/>
      </w:pPr>
      <w:bookmarkStart w:id="900248" w:name="_Toc300000247"/>
      <w:r>
        <w:t xml:space="preserve">Article 7.12: Risk Management</w:t>
      </w:r>
      <w:bookmarkEnd w:id="900248"/>
    </w:p>
    <w:p>
      <w:pPr>
        <w:pStyle w:val="Normal"/>
      </w:pPr>
      <w:r>
        <w:t xml:space="preserve">1. Each Party shall maintain a risk management system for assessment and targeting that enables its customs administration, and other agencies involved in the process for cross border trade, to focus inspection activities on high-risk goods and that simplifies the release and movement of low-risk goods. 2. Each Party shall base risk management on assessment of risk through appropriate selectivity criteria. 3. Each Party shall design and apply risk management in a manner as to avoid arbitrary or unjustifiable discrimination, or disguised restrictions on international trade. 4. In order to facilitate trade, each Party shall periodically review and update, as appropriate, its risk management system. 5. The Parties shall work towards strengthening their respective assessment of risk through improvements in compatibility of risk analysis and risk targeting systems, as appropriate.</w:t>
      </w:r>
    </w:p>
    <w:p>
      <w:pPr>
        <w:pStyle w:val="Heading2"/>
      </w:pPr>
      <w:bookmarkStart w:id="900249" w:name="_Toc300000248"/>
      <w:r>
        <w:t xml:space="preserve">Article 7.13: Post-Clearance Audit</w:t>
      </w:r>
      <w:bookmarkEnd w:id="900249"/>
    </w:p>
    <w:p>
      <w:pPr>
        <w:pStyle w:val="Normal"/>
      </w:pPr>
      <w:r>
        <w:t xml:space="preserve">1. With a view to expediting the release of goods, each Party shall adopt or maintain post- clearance audit to ensure compliance with its customs and related laws and regulations. 2. Each Party shall conduct post-clearance audits in a risk-based manner. 3. Each Party shall conduct post-clearance audits in a transparent manner. If an audit is conducted and conclusive results have been achieved, the Party shall, without delay, notify the person whose records are audited of the audit results, the basis of the results, and the audited person’s rights and obligations. 4. The Parties acknowledge that the information obtained in a post-clearance audit may be used in further administrative, quasi-judicial, or judicial proceedings. 5. Each Party shall, whenever practicable, use the result of post-clearance audit in applying risk management. 6. Each Party shall conduct a post-clearance audit in a manner that informs the trader with respect to laws, regulations, and procedures and promotes future compliance. 7. Each Party shall provide in its laws or regulations a fixed and finite period with respect to record-keeping obligations.</w:t>
      </w:r>
    </w:p>
    <w:p>
      <w:pPr>
        <w:pStyle w:val="Heading2"/>
      </w:pPr>
      <w:bookmarkStart w:id="900250" w:name="_Toc300000249"/>
      <w:r>
        <w:t xml:space="preserve">Article 7.14: Authorized Economic Operator – AEO</w:t>
      </w:r>
      <w:bookmarkEnd w:id="900250"/>
    </w:p>
    <w:p>
      <w:pPr>
        <w:pStyle w:val="Normal"/>
      </w:pPr>
      <w:r>
        <w:t xml:space="preserve">1. Each Party shall maintain a trade facilitation partnership program for operators who meet specified security criteria, hereinafter, referred to as Authorized Economic Operator (AEO) programs, in accordance with the Framework of Standards to Secure and Facilitate Global Trade of the World Customs Organization. 2. The Parties shall endeavor to cooperate by: (a) exchanging experiences on the operation of and improvements to their respective AEO programs, seeking to adopt, if appropriate, best practices; (b) exchanging information with each other on the operators authorized by each program, in accordance with each Party’s law and established processes; and (c) collaborating in the identification and implementation of trade facilitation benefits for operators authorized by the other Parties.</w:t>
      </w:r>
    </w:p>
    <w:p>
      <w:pPr>
        <w:pStyle w:val="Heading2"/>
      </w:pPr>
      <w:bookmarkStart w:id="900251" w:name="_Toc300000250"/>
      <w:r>
        <w:t xml:space="preserve">Article 7.15: Review and Appeal of Customs Determinations</w:t>
      </w:r>
      <w:bookmarkEnd w:id="900251"/>
    </w:p>
    <w:p>
      <w:pPr>
        <w:pStyle w:val="Normal"/>
      </w:pPr>
      <w:r>
        <w:t xml:space="preserve">1. With a view to providing effective, impartial, and easily accessible procedures for review and appeal of administrative determinations on customs matters, each Party shall ensure that any person to whom a customs administration issues a determination has access to: (a) an administrative appeal or a review of the determination by an administrative authority higher than or independent of the employee or office that issued the determination; and (b) a quasi-judicial or judicial review or appeal of the determination or decision made at the final level of an administrative review. 2. Each Party shall provide a person to whom it issues an administrative determination with the reasons for the administrative determination and access to information on how to request reviews and appeals. 3. Each Party shall ensure that an authority conducting a review or appeal under paragraph 1 notifies the person in writing of its determination or decision in the review or appeal, and the reasons for the determination or decision. 4.</w:t>
      </w:r>
    </w:p>
    <w:p>
      <w:pPr>
        <w:pStyle w:val="Normal"/>
      </w:pPr>
      <w:r>
        <w:t>Each Party shall ensure that if a person receives a determination or decision on an administrative, quasi-judicial, or judicial review or appeal as provided under paragraph 1, that determination or decision shall be applicable in the same manner throughout the territory of the Party with respect to that person. 5.</w:t>
      </w:r>
    </w:p>
    <w:p>
      <w:pPr>
        <w:pStyle w:val="Normal"/>
      </w:pPr>
      <w:r>
        <w:t>With a view to ensuring predictability for traders and consistent application of its customs laws, regulations, and procedural requirements, each Party is encouraged to apply determinations or decisions of administrative, quasi-judicial, and judicial authorities under paragraph 1 to the practices of its customs administration throughout its territory. 6. Each Party shall endeavor to allow a trader to file a request for administrative review or appeal to be conducted by the customs administration through electronic means.</w:t>
      </w:r>
    </w:p>
    <w:p>
      <w:pPr>
        <w:pStyle w:val="Heading2"/>
      </w:pPr>
      <w:bookmarkStart w:id="900252" w:name="_Toc300000251"/>
      <w:r>
        <w:t xml:space="preserve">Article 7.16: Administrative Guidance</w:t>
      </w:r>
      <w:bookmarkEnd w:id="900252"/>
    </w:p>
    <w:p>
      <w:pPr>
        <w:pStyle w:val="Normal"/>
      </w:pPr>
      <w:r>
        <w:t xml:space="preserve">1. Each Party shall adopt or maintain an administrative procedure by which a customs office in its territory may request the appropriate authority of the customs administration to provide guidance as to the proper application of laws, regulations, and procedures for importation into, exportation from, or transit through its territory with respect to a specific customs transaction, regardless of whether the transaction is prospective, pending, or has been completed. A customs office shall request guidance under this administrative procedure on its own initiative or at the written request of an importer or exporter in its territory, or a representative thereof. 2. The appropriate authority of a Party shall provide guidance in response to a request under paragraph 1 if the customs treatment applied or proposed to be applied by the customs office to the transaction is inconsistent with the customs treatment provided with respect to transactions that are identical in all material respects, including by another customs office in the territory of the Party. 3. Each Party shall make available to the public on a free, publicly accessible website the procedures, including any forms, for requesting guidance under paragraph 1. 4.</w:t>
      </w:r>
    </w:p>
    <w:p>
      <w:pPr>
        <w:pStyle w:val="Normal"/>
      </w:pPr>
      <w:r>
        <w:t>Each Party shall allow an importer or exporter to whom a request under paragraph 1 relates an opportunity to submit written views and information to the appropriate authority of the customs administration before it issues guidance in response to a request. 5. Guidance in response to a request under paragraph 1 shall be taken into account by the customs office with respect to the transaction that is the subject of the request, provided that there is not a ruling or determination issued on the transaction and the facts and circumstances remain the same. 6. Nothing in this Article requires the appropriate authority of the customs administration to provide guidance on transactions for which a determination has been made, or for which a determination has been applied consistently throughout its territory; on transactions for which a determination is pending; if an importer or exporter has requested a ruling or has received a ruling that has been applied consistently throughout its territory; or on transactions for which a determination or ruling is being reviewed.</w:t>
      </w:r>
    </w:p>
    <w:p>
      <w:pPr>
        <w:pStyle w:val="Heading2"/>
      </w:pPr>
      <w:bookmarkStart w:id="900253" w:name="_Toc300000252"/>
      <w:r>
        <w:t xml:space="preserve">Article 7.17: Transit</w:t>
      </w:r>
      <w:bookmarkEnd w:id="900253"/>
    </w:p>
    <w:p>
      <w:pPr>
        <w:pStyle w:val="Normal"/>
      </w:pPr>
      <w:r>
        <w:t xml:space="preserve">1. Goods (including baggage), and also vessels and other means of transport, shall be deemed to be in transit across the territory of a Party when the passage across the territory, with or without trans-shipment, warehousing, breaking bulk, or change in the mode of transport, is only a portion of a complete journey beginning and terminating beyond the frontier of the Party across whose territory the traffic passes. Traffic of this nature is termed for purposes of this Article as “traffic in transit.” 2. This Article does not apply to the operation of aircraft in transit, but applies to air transit of goods (including baggage). 3. Each Party’s formalities, documentation requirements, and customs controls in connection with traffic in transit shall not be more burdensome than necessary to: (a) identify the goods in transit; and (b) ensure that the Party’s transit requirements have been met. 4.</w:t>
      </w:r>
    </w:p>
    <w:p>
      <w:pPr>
        <w:pStyle w:val="Normal"/>
      </w:pPr>
      <w:r>
        <w:t>After a Party has authorized the goods to proceed from the point of entry through a Party’s territory, the Party shall not apply customs charges or customs procedures, or conduct inspections, other than those necessary for specific law enforcement purposes under its law with respect to that traffic in transit, until the goods arrive at the point of exit from its territory. 5. Each Party shall provide for advance filing and processing of documentation and data required for transit prior to the arrival of goods. 6.</w:t>
      </w:r>
    </w:p>
    <w:p>
      <w:pPr>
        <w:pStyle w:val="Normal"/>
      </w:pPr>
      <w:r>
        <w:t>Once traffic in transit has reached the point of exit from the territory of a Party and transit requirements have been met, the Party shall promptly terminate the transit operation. 7. A Party may require a guarantee or other security for traffic in transit, provided the use of the guarantee is limited to ensuring that obligations arising from such traffic in transit are fulfilled. 8. If a guarantee covers a transit operation, a Party shall allow use of a comprehensive guarantee that covers multiple transactions by the same operator. 9. If a Party requires a guarantee for traffic in transit, it shall discharge the guarantee without delay once it determines that its transit requirements have been satisfied. 10. Each Party shall publish information on how it sets the amount of a guarantee for traffic in transit. 11. If a Party limits the time for transiting its territory, it shall ensure that the time it allows is sufficient to accomplish the transit operation. 12. A Party shall not require the use of customs convoys or customs escorts for traffic in transit.</w:t>
      </w:r>
    </w:p>
    <w:p>
      <w:pPr>
        <w:pStyle w:val="Normal"/>
      </w:pPr>
      <w:r>
        <w:t xml:space="preserve">13. Each Party shall allow goods moving in transit to be imported into its territory provided the goods and appropriate information are presented to its customs administration and that the goods fulfil all applicable requirements for release under its law.</w:t>
      </w:r>
    </w:p>
    <w:p>
      <w:pPr>
        <w:pStyle w:val="Heading2"/>
      </w:pPr>
      <w:bookmarkStart w:id="900254" w:name="_Toc300000253"/>
      <w:r>
        <w:t xml:space="preserve">Article: 7.18: Penalties</w:t>
      </w:r>
      <w:bookmarkEnd w:id="900254"/>
    </w:p>
    <w:p>
      <w:pPr>
        <w:pStyle w:val="Normal"/>
      </w:pPr>
      <w:r>
        <w:t xml:space="preserve">1.</w:t>
      </w:r>
    </w:p>
    <w:p>
      <w:pPr>
        <w:pStyle w:val="Normal"/>
      </w:pPr>
      <w:r>
        <w:t>Each Party shall adopt or maintain measures that allow for the imposition of a penalty by a Party’s customs administration for breach of its customs laws, regulations, or procedural requirements, including those governing tariff classification, customs valuation, transit procedures, country of origin, or claims for preferential treatment. Each Party shall ensure that such measures are administered in a uniform manner throughout its territory. 2. Each Party shall ensure that a penalty imposed by its customs administration for a breach of its customs laws, regulations, or procedural requirements is imposed only on the person legally responsible for the breach. 3. Each Party shall ensure that any penalty imposed by its customs administration for breach of its customs laws, regulations, or procedural requirements depends on the facts and circumstances of the case, including any previous breaches by the person receiving the penalty, and be commensurate with the degree and severity of the breach. 4.</w:t>
      </w:r>
    </w:p>
    <w:p>
      <w:pPr>
        <w:pStyle w:val="Normal"/>
      </w:pPr>
      <w:r>
        <w:t>Each Party shall provide that a clerical or minor error in a customs transaction, as set forth in its laws, regulations or procedures, published in accordance with Article 7.2 (Online Publication), shall not be treated as a breach of customs laws, regulations, or procedural requirements, and may be corrected without assessment of a penalty, unless the error is part of a consistent pattern of such errors by that person. 5.</w:t>
      </w:r>
    </w:p>
    <w:p>
      <w:pPr>
        <w:pStyle w:val="Normal"/>
      </w:pPr>
      <w:r>
        <w:t>Each Party shall adopt or maintain measures to avoid conflicts of interest in the assessment and collection of penalties and duties. No portion of the remuneration of a government official shall be calculated as a fixed portion or percentage of any penalties or duties assessed or collected. 6. Each Party shall ensure that when its customs administration imposes a penalty for a breach of its customs laws, regulations, or procedural requirements, it provides an explanation in writing to the person on whom the penalty is imposed, specifying the nature of the breach, including the specific law, regulation, or procedural requirement concerned, and the basis for determining the penalty amount if not set forth specifically in the law, regulation, or procedural requirement. 7.</w:t>
      </w:r>
    </w:p>
    <w:p>
      <w:pPr>
        <w:pStyle w:val="Normal"/>
      </w:pPr>
      <w:r>
        <w:t>Each Party shall provide that a person may correct an error in a customs transaction that is a potential breach of a customs law, regulation, or procedural requirement, excluding fraud, prior to the discovery of the error by the Party, if the person does so in accordance with the Party’s laws, regulations, or procedures, and pays any owed customs duties, taxes, fees, and charges, including interest. The correction shall include the identification of the transaction and circumstances of the error. The Party shall not use this error to assess a penalty for a breach of a customs law, regulation, or procedural requirement. 8.</w:t>
      </w:r>
    </w:p>
    <w:p>
      <w:pPr>
        <w:pStyle w:val="Normal"/>
      </w:pPr>
      <w:r>
        <w:t>Each Party shall specify a fixed, finite period within which it may initiate penalty proceedings in connection with a breach of a customs law, regulation, or procedural requirement.</w:t>
      </w:r>
    </w:p>
    <w:p>
      <w:pPr>
        <w:pStyle w:val="Heading2"/>
      </w:pPr>
      <w:bookmarkStart w:id="900255" w:name="_Toc300000254"/>
      <w:r>
        <w:t xml:space="preserve">Article 7.19: Standards of Conduct</w:t>
      </w:r>
      <w:bookmarkEnd w:id="900255"/>
    </w:p>
    <w:p>
      <w:pPr>
        <w:pStyle w:val="Normal"/>
      </w:pPr>
      <w:r>
        <w:t xml:space="preserve">1. Further to Article 7.18 (Penalties) and Article 27.4 (Promoting Integrity among Public Officials), each Party shall adopt or maintain measures to deter its customs officials from engaging in any action that would result in, or that reasonably creates the appearance of, use of their public service position for private gain, including any monetary benefit. 2. Each Party shall provide a mechanism for importers, exporters, carriers, customs brokers and other stakeholders to submit complaints regarding perceived improper or corrupt behavior in its territory, including at ports of entry and other customs offices, of its customs administration personnel. Each Party shall take appropriate action on a complaint in a timely manner in accordance with its laws, regulations, or procedures.</w:t>
      </w:r>
    </w:p>
    <w:p>
      <w:pPr>
        <w:pStyle w:val="Heading2"/>
      </w:pPr>
      <w:bookmarkStart w:id="900256" w:name="_Toc300000255"/>
      <w:r>
        <w:t xml:space="preserve">Article 7.20: Customs Brokers</w:t>
      </w:r>
      <w:bookmarkEnd w:id="900256"/>
    </w:p>
    <w:p>
      <w:pPr>
        <w:pStyle w:val="Normal"/>
      </w:pPr>
      <w:r>
        <w:t xml:space="preserve">1. Each Party shall allow an importer and any other person it deems appropriate, in accordance with its laws and regulations, to self-file a customs declaration and other import or transit documentation without the services of a customs broker. For the purposes of electronic filing, self-filing shall include direct access or access through a service provider, to electronic systems for filing and transmitting customs declarations and other import or transit documentation. Each Party shall ensure that access to the electronic systems is available for self- filers on a non-discriminatory basis relative to other categories of users. 2. If a Party establishes requirements for qualifications, licensing, or registration to be a customs broker or to provide customs broker services, the Party shall ensure that the requirements are transparent, based on objective criteria related to providing customs broker services, promote integrity and professionalism among customs brokers, and are administered uniformly in its territory. 3. No Party shall impose arbitrary limits to the number of ports or locations at which a customs broker may operate.</w:t>
      </w:r>
    </w:p>
    <w:p>
      <w:pPr>
        <w:pStyle w:val="Normal"/>
      </w:pPr>
      <w:r>
        <w:t>A Party shall allow a licensed customs broker to electronically submit a customs declaration and import documentation to the electronic systems referred to in paragraph 1, at any port at which it is licensed to operate in accordance with the preceding sentence.</w:t>
      </w:r>
    </w:p>
    <w:p>
      <w:pPr>
        <w:pStyle w:val="Heading2"/>
      </w:pPr>
      <w:bookmarkStart w:id="900257" w:name="_Toc300000256"/>
      <w:r>
        <w:t xml:space="preserve">Article 7.21: Border Inspections</w:t>
      </w:r>
      <w:bookmarkEnd w:id="900257"/>
    </w:p>
    <w:p>
      <w:pPr>
        <w:pStyle w:val="Normal"/>
      </w:pPr>
      <w:r>
        <w:t xml:space="preserve">1. The Parties shall cooperate with each other, as appropriate, with a view to facilitating trade through the promotion of efficient and effective processing of imports and exports through their ports of entry. 2. Each Party shall ensure that its customs administration and other relevant agencies that examine goods, conveyances, or instruments of international traffic, carry out examinations with appropriate coordination and, to the extent practicable, simultaneously within a single location, with a view to releasing goods and allowing conveyances and instruments of international traffic to enter its territory in a timely manner and immediately after the examinations have been completed, provided that all regulatory requirements have been met. 3. Pursuant to paragraphs 1 and 2, each Party is encouraged to develop and implement standard operating procedures amongst its customs administration and relevant agencies that examine goods, conveyances, or instruments of international traffic. If practicable, each Party is encouraged to adapt their border facilities to carry out the examinations specified in paragraph 2. 4.</w:t>
      </w:r>
    </w:p>
    <w:p>
      <w:pPr>
        <w:pStyle w:val="Normal"/>
      </w:pPr>
      <w:r>
        <w:t>As appropriate, the Parties shall coordinate to develop procedures or facilities adjacent to ports of entry for the efficient movement of goods the processing of which requires specific accommodations with respect to facilities or examination. 5.</w:t>
      </w:r>
    </w:p>
    <w:p>
      <w:pPr>
        <w:pStyle w:val="Normal"/>
      </w:pPr>
      <w:r>
        <w:t>Nothing in this Article requires a Party to provide services for the examination and release of goods for all types of goods at all ports of entry within its territory.</w:t>
      </w:r>
    </w:p>
    <w:p>
      <w:pPr>
        <w:pStyle w:val="Heading2"/>
      </w:pPr>
      <w:bookmarkStart w:id="900258" w:name="_Toc300000257"/>
      <w:r>
        <w:t xml:space="preserve">Article 7.22: Protection of Trader Information</w:t>
      </w:r>
      <w:bookmarkEnd w:id="900258"/>
    </w:p>
    <w:p>
      <w:pPr>
        <w:pStyle w:val="Normal"/>
      </w:pPr>
      <w:r>
        <w:t xml:space="preserve">1. Each Party’s customs administration shall apply measures governing the collection, protection, use, disclosure, retention, correction, and disposal of information that it collects from traders. 2. Each Party’s customs administration shall protect, in accordance with its law, confidential information from use or disclosure that could prejudice the competitive position of the trader to whom the confidential information relates. 3. Notwithstanding paragraph 2, a Party may use or disclose confidential information but only for the purposes of administration or enforcement of its customs laws or as otherwise provided under the Party’s law, including in an administrative, quasi-judicial, or judicial proceeding. 4. If confidential information is used or disclosed other than in accordance with this Article, the Party shall address the incident, in accordance with its laws, regulations, or procedures, and strive to prevent a reoccurrence.</w:t>
      </w:r>
    </w:p>
    <w:p>
      <w:pPr>
        <w:pStyle w:val="Heading2"/>
      </w:pPr>
      <w:bookmarkStart w:id="900259" w:name="_Toc300000258"/>
      <w:r>
        <w:t xml:space="preserve">Article 7.23: Customs Initiatives for Trade Facilitation</w:t>
      </w:r>
      <w:bookmarkEnd w:id="900259"/>
    </w:p>
    <w:p>
      <w:pPr>
        <w:pStyle w:val="Normal"/>
      </w:pPr>
      <w:r>
        <w:t xml:space="preserve">1. The Parties shall cooperate in the development and implementation of customs initiatives related to the trade facilitation measures described in this Section, as well as on other trade facilitation initiatives. 2. This cooperation may include information sharing or collaboration with respect to: (a) best practices on the implementation of customs procedures; (b) the management of customs and trade compliance measures; (c) engagement between the customs administrations at the operational level to address issues related to regular cross-border operations and to resolve specific cases, including pending shipments; (d) the development and implementation of procedures to facilitate cross border trade and improve customs operations related to the movement, release, and clearance of goods; (e) the harmonization of cargo manifest data requirements in each mode of transportation; (f) the implementation of programs designed to facilitate the movement of goods through their ports of entry, including, if feasible, alignment of hours of service, joint customs inspections, and the use of shared facilities; and (g) the design, development, and construction of ports of entry located at their common borders.</w:t>
      </w:r>
    </w:p>
    <w:p>
      <w:pPr>
        <w:pStyle w:val="Heading2"/>
      </w:pPr>
      <w:bookmarkStart w:id="900260" w:name="_Toc300000259"/>
      <w:r>
        <w:t xml:space="preserve">Article 7.24: Committee on Trade Facilitation</w:t>
      </w:r>
      <w:bookmarkEnd w:id="900260"/>
    </w:p>
    <w:p>
      <w:pPr>
        <w:pStyle w:val="Normal"/>
      </w:pPr>
      <w:r>
        <w:t xml:space="preserve">1. The Parties hereby establish a Committee on Trade Facilitation (Trade Facilitation Committee), composed of government representatives of each Party. 2. The Trade Facilitation Committee shall: (a) facilitate the exchange of information among the Parties with respect to their respective experiences regarding the development and implementation of a single window including information regarding each Party’s participating border agencies and the automation of its forms, documents, and procedures; (b) facilitate the exchange of information among the Parties regarding the formulation and implementation of, and experiences under, each Party’s low-risk trader programs, including their AEO programs; (c) provide a forum for the sharing of views on individual cases involving questions of tariff classification, customs valuation, other customs treatments, or emerging industry trends and issues, with a view to reconciling inconsistencies, supporting a competitive business environment, or otherwise facilitating trade and investment among the Parties; (d) facilitate the exchange of information among the Parties regarding the formulation and implementation of, and experiences with, each Party’s measures that promote voluntary compliance by traders;</w:t>
      </w:r>
    </w:p>
    <w:p>
      <w:pPr>
        <w:pStyle w:val="Normal"/>
      </w:pPr>
      <w:r>
        <w:t>(e) providing a forum for the Parties to consult and endeavor to resolve issues relating to this Chapter, including, as appropriate, in coordination or jointly with other committees or other</w:t>
      </w:r>
    </w:p>
    <w:p>
      <w:pPr>
        <w:pStyle w:val="Normal"/>
      </w:pPr>
      <w:r>
        <w:t>subsidiary bodies established under this Agreement; (f) review international initiatives on trade facilitation; (g) identify initiatives for joint action by their respective customs administrations, in cases where joint action could facilitate trade among the Parties, and taking into account priorities and experiences of their customs administrations; (h) discuss technical assistance and support for capacity building to enhance the impact of trade facilitation measures for traders, and in particular to identify priorities for this assistance and support among their customs administrations and outside North America; and (i) engage in other activities as the Parties may decide. 3. The Trade Facilitation Committee shall meet within one year of the date of entry into force of this Agreement, and thereafter at such times as the Parties decide. 4. The Parties are encouraged to provide opportunities for persons to provide input to each Party’s representative to the Trade Facilitation Committee on matters relevant to the Committee’s work, such as through the mechanism described in Article 7.3 (Communication with Traders). Section B: Cooperation and Enforcement</w:t>
      </w:r>
    </w:p>
    <w:p>
      <w:pPr>
        <w:pStyle w:val="Heading2"/>
      </w:pPr>
      <w:bookmarkStart w:id="900261" w:name="_Toc300000260"/>
      <w:r>
        <w:t xml:space="preserve">Article 7.25: Regional and Bilateral Cooperation on Enforcement</w:t>
      </w:r>
      <w:bookmarkEnd w:id="900261"/>
    </w:p>
    <w:p>
      <w:pPr>
        <w:pStyle w:val="Normal"/>
      </w:pPr>
      <w:r>
        <w:t xml:space="preserve">1. The Parties agree to strengthen and expand their customs and trade enforcement efforts and cooperation as set out in this Section. In these efforts, the Parties may use any applicable mechanism, including bilateral cooperation mechanisms. 2. Each Party shall, in accordance with its laws and regulations, cooperate with other Parties for the purposes of enforcing or assisting in the enforcement of their respective measures concerning customs offenses in the trade in goods between the Parties, including ensuring the accuracy of claims for preferential tariff treatment under this Agreement. 3. With a view to facilitating the effective operation of this Agreement, each Party shall: (a) encourage cooperation with the other Parties regarding customs issues that affect goods traded between the Parties; and (b) endeavor to provide the other Parties with advance notice of any significant administrative change, modification of a law or regulation, or other measure related to its laws or regulations that governs importations, exportations, or transit procedures that is likely to substantially affect the operation of this Agreement or likely to affect the effective implementation and enforcement of the customs and trade laws and regulations of a Party. 4.</w:t>
      </w:r>
    </w:p>
    <w:p>
      <w:pPr>
        <w:pStyle w:val="Normal"/>
      </w:pPr>
      <w:r>
        <w:t>Each Party shall take appropriate measures, such as legislative, administrative, or judicial actions for enforcement of its laws, regulations, and procedures related to customs offenses, to enhance coordination between its customs administration and other relevant agencies and for cooperation with another Party. 5. The measures under paragraph 4 may include: (a) specific measures, such as enforcement actions to detect, prevent, or address customs offenses, especially on identified customs priorities, taking into account trade data, including patterns of imports, exports, or transit goods to identify potential or real sources of these offenses; (b) adopting or maintaining penalties aimed at deterring or penalizing customs offenses; and (c) providing a Party’s government officials with the legal authority to meet its enforcement obligations under this Agreement. 6. The Parties shall, subject to their respective laws, regulations and procedures, cooperate by sharing information, including exchanging historical data and if practicable and appropriate, data in real time with respect to imports, exports, and transit of goods to identify potential or real sources of customs offenses, especially on priority initiatives or industry sectors. Each Party shall identify and maintain the capability for the secure exchange of customs data with another Party. 7.</w:t>
      </w:r>
    </w:p>
    <w:p>
      <w:pPr>
        <w:pStyle w:val="Normal"/>
      </w:pPr>
      <w:r>
        <w:t>Each Party shall, whenever practicable, and subject to its laws and regulations, provide another Party with information that has come to its attention that it believes would assist the receiving Party in detecting, preventing, or addressing potential or real customs offenses in particular those related to unlawful activities, including duty evasion, smuggling, and similar infractions. Such information may include specific data on any person suspected to be involved in unlawful activity, the mode of transportation, other relevant information, and the results of enforcement actions, application of penalties, or unusual trade patterns, both collected directly by the providing Party and received from other sources. 8. The Parties shall endeavor to cooperate, subject to their laws, regulations, and procedures, bilaterally or trilaterally, as appropriate, by developing customs enforcement initiatives, which may include the creation of task forces, joint or coordinated data analysis, and identification of special monitoring measures and other actions, to prevent, deter, and address customs offenses, particularly with respect to priorities of mutual concern.</w:t>
      </w:r>
    </w:p>
    <w:p>
      <w:pPr>
        <w:pStyle w:val="Heading2"/>
      </w:pPr>
      <w:bookmarkStart w:id="900262" w:name="_Toc300000261"/>
      <w:r>
        <w:t xml:space="preserve">Article 7.26: Exchange of Specific Confidential Information</w:t>
      </w:r>
      <w:bookmarkEnd w:id="900262"/>
    </w:p>
    <w:p>
      <w:pPr>
        <w:pStyle w:val="Normal"/>
      </w:pPr>
      <w:r>
        <w:t xml:space="preserve">1. For the purposes of enforcing or assisting in the enforcement of its respective measures concerning customs offenses, a Party may request that another Party provide specific confidential information that is normally collected in connection with the importation, exportation, or transit of a good if the requesting Party has relevant facts indicating that a customs offense is occurring or is likely to occur. 2. A request under paragraph 1 shall be made in writing, electronically, or through another means that allows for the acknowledgement of receipt, and shall include a brief statement of the matter at issue, the information requested, the relevant facts indicating that a customs offense is occurring or is likely to occur, and sufficient information for the Party that receives a request to respond in accordance with its laws and regulations. 3. The Party that receives a request under paragraph 1 shall, subject to its laws, regulations, procedures, or other legal obligations, provide to the requesting Party a written response containing the requested information held by the Party as soon as practicable. 4. A Party may provide information under this Article in paper or electronic format. 5.</w:t>
      </w:r>
    </w:p>
    <w:p>
      <w:pPr>
        <w:pStyle w:val="Normal"/>
      </w:pPr>
      <w:r>
        <w:t>In order to facilitate the rapid and secure exchange of information, each Party shall designate or maintain a contact point for cooperation under this Section in accordance with Article 30.5 (Agreement Coordinator and Contact Points). 6. For the purposes of paragraph 1, relevant facts indicating that a customs offense is occurring or is likely to occur means historical evidence of non-compliance with laws or regulations, or other information that the requesting Party and the Party from which the information is requested agree is sufficient in the context of a particular request.</w:t>
      </w:r>
    </w:p>
    <w:p>
      <w:pPr>
        <w:pStyle w:val="Heading2"/>
      </w:pPr>
      <w:bookmarkStart w:id="900263" w:name="_Toc300000262"/>
      <w:r>
        <w:t xml:space="preserve">Article 7.27: Customs Compliance Verification Requests</w:t>
      </w:r>
      <w:bookmarkEnd w:id="900263"/>
    </w:p>
    <w:p>
      <w:pPr>
        <w:pStyle w:val="Normal"/>
      </w:pPr>
      <w:r>
        <w:t xml:space="preserve">1. A Party may request another Party to conduct a verification in that Party’s territory to assist the requesting Party to determine whether a customs offence is occurring or has occurred by obtaining information, including documents, from an exporter or producer. The requesting Party shall make the request in writing. The requested Party shall respond to the request promptly and in no case later than 30 days after the date it receives the request. The response will include whether it will conduct the verification. If the Party does not intend to conduct the verification, the response will indicate the basis for refusal. If a Party will conduct the verification, the response will indicate the intended timing and other relevant details. 2. If the requested Party conducts a verification under paragraph 1, it shall provide the requesting Party promptly upon completing the verification a report containing the relevant information including data and documents, obtained during its verification. 3.</w:t>
      </w:r>
    </w:p>
    <w:p>
      <w:pPr>
        <w:pStyle w:val="Normal"/>
      </w:pPr>
      <w:r>
        <w:t>In the case of a site visit by the requested Party, the requesting Party may, through officials it designates and subject to the consent of a legally responsible person for the location visited, accompany the requested Party. Accompanying the requested Party does not create any legal authority for the designated officials of the requesting Party.</w:t>
      </w:r>
    </w:p>
    <w:p>
      <w:pPr>
        <w:pStyle w:val="Normal"/>
      </w:pPr>
      <w:r>
        <w:t>The designated officials of the requesting Party shall fulfill the conditions and procedures mutually agreed between the relevant Parties for the visit. Nothing in this Agreement requires the requested Party to allow or facilitate the participation of the designated officials of the requesting Party.</w:t>
      </w:r>
    </w:p>
    <w:p>
      <w:pPr>
        <w:pStyle w:val="Heading2"/>
      </w:pPr>
      <w:bookmarkStart w:id="900264" w:name="_Toc300000263"/>
      <w:r>
        <w:t xml:space="preserve">Article 7.28: Confidentiality between Parties</w:t>
      </w:r>
      <w:bookmarkEnd w:id="900264"/>
    </w:p>
    <w:p>
      <w:pPr>
        <w:pStyle w:val="Normal"/>
      </w:pPr>
      <w:r>
        <w:t xml:space="preserve">1. If a Party provides information to another Party in accordance with this Section and designates the information as confidential or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Section but only for the purposes of administration or enforcement of its customs laws or as otherwise provided under the Party’s law, including in an administrative, quasi-judicial, or judicial proceeding.</w:t>
      </w:r>
    </w:p>
    <w:p>
      <w:pPr>
        <w:pStyle w:val="Heading2"/>
      </w:pPr>
      <w:bookmarkStart w:id="900265" w:name="_Toc300000264"/>
      <w:r>
        <w:t xml:space="preserve">Article 7.29: Sub-Committee on Customs Enforcement</w:t>
      </w:r>
      <w:bookmarkEnd w:id="900265"/>
    </w:p>
    <w:p>
      <w:pPr>
        <w:pStyle w:val="Normal"/>
      </w:pPr>
      <w:r>
        <w:t xml:space="preserve">1. The Parties hereby establish a Sub-Committee on Customs Enforcement (Customs Enforcement Sub-Committee), composed of government representatives of each Party, to address issues related to potential or real customs offenses. 2. The Customs Enforcement Sub-Committee shall: (a) work to identify regional priorities of mutual concern and programs for detecting, preventing, and addressing duty evasion and other customs offenses; (b) identify and discuss opportunities for the exchange of customs and trade information or data among the Parties that facilitates detecting, preventing, and addressing customs offenses; (c) provide a forum to discuss proposed customs enforcement initiatives, including by identifying areas of coordination and cooperation, as appropriate, especially those related to detecting, preventing, and addressing customs offenses; (d) facilitate the exchange of information of best practices on customs enforcement and in managing customs compliance; (e) provide a forum to discuss technical guidance or assistance and support for capacity building, including specific training programs, in matters related to customs enforcement and compliance;</w:t>
      </w:r>
    </w:p>
    <w:p>
      <w:pPr>
        <w:pStyle w:val="Normal"/>
      </w:pPr>
      <w:r>
        <w:t>(f) provide a forum to discuss, with a view to identifying and enhancing joint customs enforcement and compliance initiatives on topics of mutual concern, including with respect to customs offenses, such as deterring duty evasion and circumvention of safeguards, antidumping,</w:t>
      </w:r>
    </w:p>
    <w:p>
      <w:pPr>
        <w:pStyle w:val="Normal"/>
      </w:pPr>
      <w:r>
        <w:t>and countervailing duty laws and orders; (g) identify appropriate government officials to address the matters raised in the Customs Enforcement Sub-Committee and share their contact information; (h) inform the Trade Facilitation Committee about customs enforcement measures implemented by a Party that may have an impact on their customs procedures with respect to a matter covered by this Chapter; and (i) engage in other matters related to customs offenses as the Parties may decide. 3. The Parties shall designate and notify a contact point for this Customs Enforcement Sub- Committee in accordance with Article 30.5 (Agreement Coordinator and Contact Points). 4. The Customs Enforcement Sub-Committee shall meet within one year of the date of entry into force of this Agreement, and thereafter as the Parties may decide.</w:t>
      </w:r>
    </w:p>
    <w:p>
      <w:pPr>
        <w:pStyle w:val="ModHeading"/>
      </w:pPr>
      <w:bookmarkStart w:id="900266" w:name="_Toc300000265"/>
      <w:r>
        <w:t>CHAPTER 7: CUSMA 2.0 MODERNIZATION PROVISIONS</w:t>
      </w:r>
      <w:bookmarkEnd w:id="900266"/>
    </w:p>
    <w:p>
      <w:pPr>
        <w:pStyle w:val="Normal"/>
      </w:pPr>
      <w:r>
        <w:rPr>
          <w:i/>
        </w:rPr>
        <w:t>The provisions of this Part amend Chapter 7 (Customs Administration and Trade Facilitation).</w:t>
      </w:r>
    </w:p>
    <w:p>
      <w:pPr>
        <w:pStyle w:val="Heading2"/>
      </w:pPr>
      <w:bookmarkStart w:id="900267" w:name="_Toc300000266"/>
      <w:r>
        <w:t>Article 7.A: Low-Value Shipments (Implementation of Article 2.C)</w:t>
      </w:r>
      <w:bookmarkEnd w:id="900267"/>
    </w:p>
    <w:p>
      <w:pPr>
        <w:pStyle w:val="Normal"/>
      </w:pPr>
      <w:r>
        <w:t>1. Each Party shall provide simplified, electronic, expedited clearance for low-value shipments, with a de minimis threshold not below its January 1, 2020 level. Data requirements for such shipments shall conform to the Standard Data Packet adopted under paragraph 3, subject only to the published risk-based additions permitted there.</w:t>
      </w:r>
    </w:p>
    <w:p>
      <w:pPr>
        <w:pStyle w:val="Normal"/>
      </w:pPr>
      <w:r>
        <w:t>2. Risk-based controls on low-value shipments shall target fraud, safety, and prohibited goods, and shall not be administered so as to impose on originating shipments burdens equivalent to a duty.</w:t>
      </w:r>
    </w:p>
    <w:p>
      <w:pPr>
        <w:pStyle w:val="Normal"/>
      </w:pPr>
      <w:r>
        <w:t>3. Standard Data Packet. Within 12 months after entry into force of the Protocol of Modernization, the Committee on Trade Facilitation shall adopt and publish a uniform maximum core data set for low-value shipments, limited to elements reasonably necessary for customs, revenue, safety, security, and prohibited-goods enforcement, and shall review the data set at least every 24 months. A Party shall not require country-specific or carrier-specific additional data from originating low-value shipments except pursuant to published risk criteria of general application or a particularized request supported by documented risk. A materially burdensome additional-data requirement inconsistent with this paragraph is reviewable as a substitute measure under Article 35.4A.</w:t>
      </w:r>
    </w:p>
    <w:p>
      <w:pPr>
        <w:pStyle w:val="Heading2"/>
      </w:pPr>
      <w:bookmarkStart w:id="900268" w:name="_Toc300000267"/>
      <w:r>
        <w:t>Article 7.B: North American Single Window Interoperability</w:t>
      </w:r>
      <w:bookmarkEnd w:id="900268"/>
    </w:p>
    <w:p>
      <w:pPr>
        <w:pStyle w:val="Normal"/>
      </w:pPr>
      <w:r>
        <w:t>1. The Parties shall establish, within 36 months after entry into force of the Protocol of Modernization, interoperable electronic single-window systems such that: (a) a trader may submit a single standardized data set usable for the import, export, and transit formalities of all three Parties; (b) certificates of origin, trusted-trader credentials, and advance rulings are mutually machine-readable; and (c) border release status is electronically visible to the trader across the corridor.</w:t>
      </w:r>
    </w:p>
    <w:p>
      <w:pPr>
        <w:pStyle w:val="Normal"/>
      </w:pPr>
      <w:r>
        <w:t>2. The Committee on Trade Facilitation shall adopt and publish the technical standards, data dictionary, and cybersecurity requirements for this Article, and shall publish an annual implementation report. The technical framework shall at minimum require authenticated users and systems, integrity protection for submitted and returned data, confidentiality controls appropriate to the data, role-based access, auditable access and transaction logs, reasonable service availability and recovery capability, incident identification and response procedures, and a documented fallback process that permits lawful border processing during a material system outage. Technical protocols may differ among Parties where they remain interoperable and provide equivalent protection.</w:t>
      </w:r>
    </w:p>
    <w:p>
      <w:pPr>
        <w:pStyle w:val="Heading2"/>
      </w:pPr>
      <w:bookmarkStart w:id="900269" w:name="_Toc300000268"/>
      <w:r>
        <w:t>Article 7.C: Uniformity of Customs Administration</w:t>
      </w:r>
      <w:bookmarkEnd w:id="900269"/>
    </w:p>
    <w:p>
      <w:pPr>
        <w:pStyle w:val="Normal"/>
      </w:pPr>
      <w:r>
        <w:t>1. Each Party shall administer its customs laws and procedures uniformly across its ports of entry, including with respect to classification, valuation, origin treatment, and processing of low-value shipments.</w:t>
      </w:r>
    </w:p>
    <w:p>
      <w:pPr>
        <w:pStyle w:val="Normal"/>
      </w:pPr>
      <w:r>
        <w:t>2. A trader experiencing materially inconsistent treatment between ports may invoke a Party’s internal review mechanism, and the Party shall issue a harmonizing determination within 90 days. Recurrent inconsistency may be raised in the Committee on Trade Facilitation and, if unresolved, under Chapter 31.</w:t>
      </w:r>
    </w:p>
    <w:p>
      <w:pPr>
        <w:pStyle w:val="Normal"/>
      </w:pPr>
      <w:r>
        <w:t>3. No Party shall require that another Party’s goods enter only through designated ports, inspection centers, or crossings, or at restricted hours, unless objectively necessary for safety, security, or infrastructure capacity, with the invoking Party bearing the burden of demonstrating that necessity (see Article 35.4A.1(c)).</w:t>
      </w:r>
    </w:p>
    <w:p>
      <w:pPr>
        <w:pStyle w:val="Heading2"/>
      </w:pPr>
      <w:bookmarkStart w:id="900270" w:name="_Toc300000269"/>
      <w:r>
        <w:t>Article 7.D: Border Processing Times and Transparency</w:t>
      </w:r>
      <w:bookmarkEnd w:id="900270"/>
    </w:p>
    <w:p>
      <w:pPr>
        <w:pStyle w:val="Normal"/>
      </w:pPr>
      <w:r>
        <w:t>1. Each Party shall publish, monthly and by port of entry, average and 95th-percentile border processing times for commercial shipments, in machine-readable form.</w:t>
      </w:r>
    </w:p>
    <w:p>
      <w:pPr>
        <w:pStyle w:val="Normal"/>
      </w:pPr>
      <w:r>
        <w:t>2. The Committee on Trade Facilitation shall establish and publish corridor-specific performance objectives for processing times, together with the measurement methodology and material exclusions, and shall review performance quarterly. Where a corridor materially misses an objective in three consecutive monthly reporting periods, the responsible Party shall publish or provide to the Committee a brief explanation of the principal causes and the corrective actions being taken where correction is reasonably within governmental control. Performance objectives are administrative benchmarks and do not create automatic liability or establish breach from an isolated delay.</w:t>
      </w:r>
    </w:p>
    <w:p>
      <w:pPr>
        <w:pStyle w:val="Normal"/>
      </w:pPr>
      <w:r>
        <w:t>3. Systematic, discriminatory clearance delay, inspection intensity, documentation demands, or release holds that materially burden originating trade are covered border measures under Article 35.4A, assessed against the benchmarks published under this Article.</w:t>
      </w:r>
    </w:p>
    <w:p>
      <w:pPr>
        <w:pStyle w:val="Heading2"/>
      </w:pPr>
      <w:bookmarkStart w:id="900271" w:name="_Toc300000270"/>
      <w:r>
        <w:t>Article 7.E: Trusted Trader Programs</w:t>
      </w:r>
      <w:bookmarkEnd w:id="900271"/>
    </w:p>
    <w:p>
      <w:pPr>
        <w:pStyle w:val="Normal"/>
      </w:pPr>
      <w:r>
        <w:t>1. Each Party shall maintain a trusted-trader program consistent with its existing authorized-economic-operator or comparable customs-security framework and shall provide a process for mutual recognition of the other Parties' trusted-trader authorizations. Mutual recognition shall be based on materially equivalent eligibility, security, compliance, validation, monitoring, and suspension standards and shall provide qualifying traders meaningful facilitation benefits, including reduced inspection or expedited release where risk permits. A refusal, suspension, or revocation of mutual-recognition treatment shall identify the principal reasons and provide access to administrative review; existing treatment should continue pending review where doing so does not create a material security, fraud, or revenue risk.</w:t>
      </w:r>
    </w:p>
    <w:p>
      <w:pPr>
        <w:pStyle w:val="Normal"/>
      </w:pPr>
      <w:r>
        <w:t>2. Compliance facilitation earned under Article 35.17.7 is implemented through the trusted-trader programs of the Parties. Nothing in this Article requires a Party to recognize another Party's authorization where the equivalence criteria in paragraph 1 are not met or to waive independently applicable safety, security, prohibited-goods, or revenue controls.</w:t>
      </w:r>
    </w:p>
    <w:p>
      <w:pPr>
        <w:pStyle w:val="Heading1"/>
      </w:pPr>
      <w:bookmarkStart w:id="900272" w:name="_Toc300000271"/>
      <w:r>
        <w:t>CHAPTER 8 RECOGNITION OF THE UNITED MEXICAN STATES’ DIRECT, INALIENABLE, AND IMPRESCRIPTIBLE OWNERSHIP OF HYDROCARBONS</w:t>
      </w:r>
      <w:bookmarkEnd w:id="900272"/>
    </w:p>
    <w:p>
      <w:pPr>
        <w:pStyle w:val="Heading2"/>
      </w:pPr>
      <w:bookmarkStart w:id="900273" w:name="_Toc300000272"/>
      <w:r>
        <w:t xml:space="preserve">Article 8.1: Recognition of the United Mexican States’ Direct, Inalienable, and Imprescriptible Ownership of Hydrocarbons</w:t>
      </w:r>
      <w:bookmarkEnd w:id="900273"/>
    </w:p>
    <w:p>
      <w:pPr>
        <w:pStyle w:val="Normal"/>
      </w:pPr>
      <w:r>
        <w:t xml:space="preserve">1. As provided for in this Agreement, the Parties confirm their full respect for sovereignty and their sovereign right to regulate with respect to matters addressed in this Chapter in accordance with their respective Constitutions and domestic laws, in the full exercise of their democratic processes. 2. In the case of Mexico, and without prejudice to their rights and remedies available under this Agreement, the United States and Canada recognize that: (a) Mexico reserves its sovereign right to reform its Constitution and its domestic legislation; and (b) Mexico has the direct, inalienable, and imprescriptible ownership of all hydrocarbons in the subsoil of the national territory, including the continental shelf and the exclusive economic zone located outside the territorial sea and adjacent thereto, in strata or deposits, regardless of their physical conditions pursuant to Mexico’s Constitution (Constitución Política de los Estados Unidos Mexicanos).</w:t>
      </w:r>
    </w:p>
    <w:p>
      <w:pPr>
        <w:pStyle w:val="Heading1"/>
      </w:pPr>
      <w:bookmarkStart w:id="900274" w:name="_Toc300000273"/>
      <w:r>
        <w:t>CHAPTER 9 SANITARY AND PHYTOSANITARY MEASURES</w:t>
      </w:r>
      <w:bookmarkEnd w:id="900274"/>
    </w:p>
    <w:p>
      <w:pPr>
        <w:pStyle w:val="Heading2"/>
      </w:pPr>
      <w:bookmarkStart w:id="900275" w:name="_Toc300000274"/>
      <w:r>
        <w:t xml:space="preserve">Article 9.1: Definitions</w:t>
      </w:r>
      <w:bookmarkEnd w:id="900275"/>
    </w:p>
    <w:p>
      <w:pPr>
        <w:pStyle w:val="Normal"/>
      </w:pPr>
      <w:r>
        <w:t xml:space="preserve">1. The definitions in Annex A of the SPS Agreement are incorporated into and made part of this Chapter, mutatis mutandis, except as otherwise provided for in paragraph 2. 2.</w:t>
      </w:r>
    </w:p>
    <w:p>
      <w:pPr>
        <w:pStyle w:val="Normal"/>
      </w:pPr>
      <w:r>
        <w:t>For the purposes of this Chapter: competent authority means a government body of a Party responsible for measures or matters referred to in this Chapter; import check means an inspection, examination, sampling, review of documentation, test, or procedure, including laboratory, organoleptic, or identity, conducted at the border or otherwise during the entry process by an importing Party or its representative to determine if a consignment complies with the sanitary or phytosanitary requirements of the importing Party; relevant international organizations means the Codex Alimentarius Commission, the World Organization for Animal Health, the International Plant Protection Convention, and other international organizations as decided by the Committee on Sanitary and Phytosanitary Measures established under Article 9.17 (SPS Committee); relevant international standards, guidelines, or recommendations means those defined in paragraph 3(a) through (c) of Annex A of the SPS Agreement and standards, guidelines, or recommendations of other international organizations as decided by the SPS Committee; risk management means the weighing of policy alternatives in light of the results of risk assessment and, if required, selecting and implementing appropriate controls, which may include sanitary</w:t>
      </w:r>
    </w:p>
    <w:p>
      <w:pPr>
        <w:pStyle w:val="Normal"/>
      </w:pPr>
      <w:r>
        <w:t>or phytosanitary measures; WTO SPS Committee means the WTO Committee on Sanitary and Phytosanitary Measures established under Article 12 of the SPS Agreement.</w:t>
      </w:r>
    </w:p>
    <w:p>
      <w:pPr>
        <w:pStyle w:val="Heading2"/>
      </w:pPr>
      <w:bookmarkStart w:id="900276" w:name="_Toc300000275"/>
      <w:r>
        <w:t xml:space="preserve">Article 9.2: Scope</w:t>
      </w:r>
      <w:bookmarkEnd w:id="900276"/>
    </w:p>
    <w:p>
      <w:pPr>
        <w:pStyle w:val="Normal"/>
      </w:pPr>
      <w:r>
        <w:t xml:space="preserve">This Chapter applies to all sanitary and phytosanitary measures of a Party that may, directly or indirectly, affect trade between the Parties.</w:t>
      </w:r>
    </w:p>
    <w:p>
      <w:pPr>
        <w:pStyle w:val="Heading2"/>
      </w:pPr>
      <w:bookmarkStart w:id="900277" w:name="_Toc300000276"/>
      <w:r>
        <w:t xml:space="preserve">Article 9.3: Objectives</w:t>
      </w:r>
      <w:bookmarkEnd w:id="900277"/>
    </w:p>
    <w:p>
      <w:pPr>
        <w:pStyle w:val="Normal"/>
      </w:pPr>
      <w:r>
        <w:t xml:space="preserve">1. The objectives of this Chapter are to: (a) protect human, animal, or plant life or health in the territories of the Parties while facilitating trade between them; (b) reinforce and build upon the SPS Agreement; (c) strengthen communication, consultation, and cooperation between the Parties, and particularly between the Parties’ competent authorities; (d) ensure that sanitary or phytosanitary measures implemented by a Party do not create unnecessary barriers to trade; (e) enhance transparency in and understanding of the application of each Party’s sanitary and phytosanitary measures; (f) encourage the development and adoption of science-based international standards, guidelines, and recommendations, and promote their implementation by the Parties; (g) enhance compatability of sanitary or phytosanitary measures as appropriate; and (h) advance science-based decision making.</w:t>
      </w:r>
    </w:p>
    <w:p>
      <w:pPr>
        <w:pStyle w:val="Heading2"/>
      </w:pPr>
      <w:bookmarkStart w:id="900278" w:name="_Toc300000277"/>
      <w:r>
        <w:t xml:space="preserve">Article 9.4: General Provisions</w:t>
      </w:r>
      <w:bookmarkEnd w:id="900278"/>
    </w:p>
    <w:p>
      <w:pPr>
        <w:pStyle w:val="Normal"/>
      </w:pPr>
      <w:r>
        <w:t xml:space="preserve">1. The Parties affirm their rights and obligations under the SPS Agreement. 2. Sanitary or phytosanitary measures which conform to the relevant provisions of this Chapter are presumed to be consistent with the obligations of the Parties under Chapter 2 (National Treatment and Market Access for Goods), which relate to the use of sanitary or phytosanitary measures, and Article XX(b) of the GATT 1994 as incorporated into Article 32.1 (General Exceptions). 3. Sanitary or phytosanitary measures which conform to relevant international standards, guidelines, and recommendations are deemed to be necessary to protect human, animal, or plant life or health, and presumed to be consistent with the relevant provisions of this Chapter, Chapter 2 (National Treatment and Market Access for Goods), which relate to the use of sanitary or phytosanitary measures, and Article XX(b) of the GATT 1994 as incorporated into Article 32.1 (General Exceptions).</w:t>
      </w:r>
    </w:p>
    <w:p>
      <w:pPr>
        <w:pStyle w:val="Heading2"/>
      </w:pPr>
      <w:bookmarkStart w:id="900279" w:name="_Toc300000278"/>
      <w:r>
        <w:t xml:space="preserve">Article 9.5: Competent Authorities and Contact Points</w:t>
      </w:r>
      <w:bookmarkEnd w:id="900279"/>
    </w:p>
    <w:p>
      <w:pPr>
        <w:pStyle w:val="Normal"/>
      </w:pPr>
      <w:r>
        <w:t xml:space="preserve">1. Each Party shall provide to the other Parties a list of its central level of government competent authorities. On request of a Party, and, if applicable, a Party shall provide contact information or written descriptions of the sanitary and phytosanitary responsibilities of its competent authorities. 2. Each Party shall designate and notify a contact point for matters arising under this Chapter, in accordance with Article 30.5 (Agreement Coordinator and Contact Points). 3. Each Party shall promptly inform the other Parties of any change in its competent authorities or contact points.</w:t>
      </w:r>
    </w:p>
    <w:p>
      <w:pPr>
        <w:pStyle w:val="Heading2"/>
      </w:pPr>
      <w:bookmarkStart w:id="900280" w:name="_Toc300000279"/>
      <w:r>
        <w:t xml:space="preserve">Article 9.6: Science and Risk Analysis</w:t>
      </w:r>
      <w:bookmarkEnd w:id="900280"/>
    </w:p>
    <w:p>
      <w:pPr>
        <w:pStyle w:val="Normal"/>
      </w:pPr>
      <w:r>
        <w:t xml:space="preserve">1. The Parties recognize the importance of ensuring that their respective sanitary and phytosanitary measures are based on scientific principles. 2. Each Party has the right to adopt or maintain sanitary and phytosanitary measures necessary for the protection of human, animal, or plant life or health, provided that those measures are not inconsistent with the provisions of this Chapter. 3. Each Party shall base its sanitary and phytosanitary measures on relevant international standards, guidelines, or recommendations provided that doing so meets the Party’s appropriate level of sanitary or phytosanitary protection (appropriate level of protection). If a sanitary or phytosanitary measure is not based on relevant international standards, guidelines, or recommendations, or if relevant international standards, guidelines, or recommendations do not exist, the Party shall ensure that its sanitary or phytosanitary measure is based on an assessment, as appropriate to the circumstances, of the risk to human, animal, or plant life or health. 4.</w:t>
      </w:r>
    </w:p>
    <w:p>
      <w:pPr>
        <w:pStyle w:val="Normal"/>
      </w:pPr>
      <w:r>
        <w:t>Recognizing the Parties’ rights and obligations under the relevant provisions of the SPS Agreement, this Chapter does not prevent a Party from: (a) establishing the level of protection it determines to be appropriate; (b) establishing or maintaining an approval procedure that requires a risk assessment to be conducted before the Party grants a product access to its market; or (c) adopting or maintaining a sanitary or phytosanitary measure on a provisional basis if relevant scientific evidence is insufficient. 5. If a Party adopts or maintains a provisional sanitary or phytosanitary measure if relevant scientific evidence is insufficient, the Party shall within a reasonable period of time: (a) seek to obtain the additional information necessary for a more objective assessment of risk; (b) complete the risk assessment after obtaining the requisite information; and (c) review and, if appropriate, revise the provisional measure in light of the risk assessment. 6.</w:t>
      </w:r>
    </w:p>
    <w:p>
      <w:pPr>
        <w:pStyle w:val="Normal"/>
      </w:pPr>
      <w:r>
        <w:t>Each Party shall ensure that its sanitary and phytosanitary measures: (a) are applied only to the extent necessary to protect human, animal, or plant life or health; (b) are based on relevant scientific principles, taking into account relevant factors, including, if appropriate, different geographic conditions; (c) are not maintained if there is no longer a scientific basis; (d) do not arbitrarily or unjustifiably discriminate between Parties where identical or similar conditions prevail, including between its own territory and that of other Parties; and (e) are not applied in a manner that constitutes a disguised restriction on trade between the Parties. 7. Each Party shall conduct its risk assessment and risk management with respect to a sanitary or phytosanitary regulation within the scope of Annex B of the SPS Agreement in a manner that is documented and provides the other Parties and persons of the Parties an opportunity to comment, in a manner to be determined by that Party. 8.</w:t>
      </w:r>
    </w:p>
    <w:p>
      <w:pPr>
        <w:pStyle w:val="Normal"/>
      </w:pPr>
      <w:r>
        <w:t>In conducting its risk assessment and risk management, each Party shall: (a) ensure that each risk assessment it conducts is appropriate to the circumstances of the risk to human, animal, or plant life or health, and takes into account the available relevant scientific evidence, including qualitative and quantitative data and information; and (b) take into account relevant guidance of the WTO SPS Committee and the relevant international standards, guidelines, and recommendations of the relevant international organization. 9. Each Party shall consider, as a risk management option, taking no measure if that would achieve the Party’s appropriate level of protection. 10. Without prejudice to Article 9.4 (General Provisions), each Party shall select a sanitary or phytosanitary measure that is not more trade restrictive than required to achieve the level of protection that the Party has determined to be appropriate. For greater certainty, a sanitary or phytosanitary measure is not more trade restrictive than required unless there is another option that is reasonably available, taking into account technical and economic feasibility, that achieves the Party’s appropriate level of protection and is significantly less restrictive to trade. 11.</w:t>
      </w:r>
    </w:p>
    <w:p>
      <w:pPr>
        <w:pStyle w:val="Normal"/>
      </w:pPr>
      <w:r>
        <w:t>If an importing Party requires a risk assessment to evaluate a request from an exporting Party to authorize importation of a good of that exporting Party, the importing Party shall provide, on request of the exporting Party, an explanation of the information required for the risk assessment. On receipt of the requisite information from the exporting Party, the importing Party shall endeavor to facilitate the evaluation of the request for authorization by scheduling work on this request in accordance with the procedures, policies, resources, laws, and regulations of the importing Party. 12. On request of the exporting Party, the importing Party shall inform the exporting Party of the status of a request to authorize trade, including the status of any risk assessment or other evaluation the Party requires to authorize trade, and of any delay that occurs during the process. 13. If the importing Party, as a result of a risk assessment, adopts a sanitary or phytosanitary measure that may facilitate trade between the Parties, the importing Party shall implement the measure without undue delay. 14.</w:t>
      </w:r>
    </w:p>
    <w:p>
      <w:pPr>
        <w:pStyle w:val="Normal"/>
      </w:pPr>
      <w:r>
        <w:t>If a Party has reason to believe that a specific sanitary or phytosanitary measure adopted or maintained by another Party is constraining, or has the potential to constrain, its exports and the measure is not based on a relevant international standard, guideline, or recommendation, or a relevant standard, guideline, or recommendation does not exist, the Party adopting or maintaining the measure shall provide an explanation of the reasons and pertinent relevant information regarding the measure upon request by the other Party. 15. Without prejudice to Article 9.14 (Emergency Measures), no Party shall stop the importation of a good of another Party for the reason that the importing Party is undertaking a review of its sanitary or phytosanitary measure, if the importing Party permitted the importation of that good of the other Party when the review was initiated.1 1 For greater certainty, a Party is not stopping imports because it is undertaking a review if the Party stops imports on the basis that the review identifies that the information necessary to permit the importation of a good is lacking.</w:t>
      </w:r>
    </w:p>
    <w:p>
      <w:pPr>
        <w:pStyle w:val="Heading2"/>
      </w:pPr>
      <w:bookmarkStart w:id="900281" w:name="_Toc300000280"/>
      <w:r>
        <w:t xml:space="preserve">Article 9.7: Enhancing Compatibility of Sanitary and Phytosanitary Measures</w:t>
      </w:r>
      <w:bookmarkEnd w:id="900281"/>
    </w:p>
    <w:p>
      <w:pPr>
        <w:pStyle w:val="Normal"/>
      </w:pPr>
      <w:r>
        <w:t xml:space="preserve">1. Each Party recognizes that enhancing the compatibility of its sanitary and phytosanitary measures with the measures of another Party may facilitate trade while maintaining each Party’s right to determine its appropriate level of protection. 2. To reduce unnecessary obstacles to trade, each Party shall endeavor to enhance the compatibility of its sanitary and phytosanitary measures with the sanitary and phytosanitary measures of the other Parties, provided that doing so does not reduce each Party’s appropriate level of protection. In so doing, each Party: (a) is encouraged to consider relevant actual or proposed sanitary or phytosanitary measures of the other Parties in the development, modification, or adoption of their sanitary or phytosanitary measures; and (b) shall have the objective, among others, of making its sanitary and phytosanitary measures equivalent or, if appropriate, identical to those of the other Parties, but only to the extent that doing either does not reduce the Party’s appropriate level of protection.</w:t>
      </w:r>
    </w:p>
    <w:p>
      <w:pPr>
        <w:pStyle w:val="Heading2"/>
      </w:pPr>
      <w:bookmarkStart w:id="900282" w:name="_Toc300000281"/>
      <w:r>
        <w:t xml:space="preserve">Article 9.8: Adaptation to Regional Conditions, Including Pest- or Disease-Free Areas and Areas of Low Pest or Disease Prevalence</w:t>
      </w:r>
      <w:bookmarkEnd w:id="900282"/>
    </w:p>
    <w:p>
      <w:pPr>
        <w:pStyle w:val="Normal"/>
      </w:pPr>
      <w:r>
        <w:t xml:space="preserve">1. The Parties recognize that adaptation to regional conditions, including regionalization, zoning, and compartmentalization, is an important means to facilitate trade. 2. The Parties shall endeavour to cooperate on the recognition of pest- or disease-free areas, and areas of low pest or disease prevalence with the objective of acquiring confidence in the procedures followed by each Party for the recognition of pest- or disease-free areas, and areas of low pest or disease prevalence. 3. In making a determination regarding regional conditions, each Party shall take into account the relevant guidance of the WTO SPS Committee and relevant international standards, guidelines, and recommendations. 4. If an importing Party receives from an exporting Party a request for a determination of regional conditions and determines that the exporting Party has provided sufficient information, the importing Party shall initiate an assessment without undue delay.</w:t>
      </w:r>
    </w:p>
    <w:p>
      <w:pPr>
        <w:pStyle w:val="Normal"/>
      </w:pPr>
      <w:r>
        <w:t>For this purpose, each exporting Party shall provide reasonable access in its territory to the importing Party for inspection, testing, and other relevant procedures. 5. The importing Party shall inform the exporting Party of receipt of information provided by the exporting Party under paragraph 4.</w:t>
      </w:r>
    </w:p>
    <w:p>
      <w:pPr>
        <w:pStyle w:val="Normal"/>
      </w:pPr>
      <w:r>
        <w:t>The importing Party shall evaluate the information provided by the exporting Party and shall inform the exporting Party whether the information is sufficient to evaluate a request for adaptation to regional conditions. The importing Party may request additional relevant information or an on-site verification, if justified, based on the results of the ongoing evaluation. 6. When an importing Party initiates an evaluation of a request for a determination of regional conditions under paragraph 4, that Party shall explain, on request of the exporting Party, its process for making the determination of regional conditions without undue delay. 7. On request from the exporting Party, the importing Party’s competent authority shall consider whether a streamlined process may be used for the determination of regional conditions. 8. If the importing and exporting Parties’ competent authorities decide that a request for a determination of regional conditions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circumstances2, may finalize the determination. The determination may be positive or negative. 9.</w:t>
      </w:r>
    </w:p>
    <w:p>
      <w:pPr>
        <w:pStyle w:val="Normal"/>
      </w:pPr>
      <w:r>
        <w:t>On request of the exporting Party, the importing Party shall inform the exporting Party of the status of the evaluation of the exporting Party’s request for a determination of regional conditions. 10. The importing Party shall finalize the evaluation and all necessary stages involved for the determination of regional conditions of the exporting Party without undue delay once the importing Party’s competent authority determines that it has received sufficient information from the exporting Party. 11. If the evaluation results in the recognition of specific regional conditions of an exporting Party, the importing Party shall communicate this determination to the exporting Party in writing and shall apply this recognition without undue delay. 12. If the evaluation of the evidence provided by the exporting Party does not result in a determination to recognize pest- or disease-free areas or areas of low pest and disease prevalence, the importing Party shall provide in writing to the exporting Party with the rationale for its determination. 13. The importing and exporting Parties involved in a particular determination of regional conditions may also decide in advance the risk management measures that will apply to trade between them in the event of a change in the status.</w:t>
      </w:r>
    </w:p>
    <w:p>
      <w:pPr>
        <w:pStyle w:val="Normal"/>
      </w:pPr>
      <w:r>
        <w:t>For the purposes of this paragraph, “normal circumstances” do not include any extraordinary or unanticipated situations, such as unanticipated risks to human, animal, or plant life or health, or resource or regulatory constraints. 14. If there is an incident that results in a change of status, the exporting Party shall inform the importing Party. If the importing Party modifies or revokes the determination recognizing regional conditions as a result of the change in status, on request of the exporting Party, the Parties involved shall cooperate to assess whether the determination can be reinstated. 15. The Parties involved in a determination recognizing regional conditions shall, if mutually decided, report the outcome to the SPS Committee.</w:t>
      </w:r>
    </w:p>
    <w:p>
      <w:pPr>
        <w:pStyle w:val="Heading2"/>
      </w:pPr>
      <w:bookmarkStart w:id="900283" w:name="_Toc300000282"/>
      <w:r>
        <w:t xml:space="preserve">Article 9.9: Equivalence</w:t>
      </w:r>
      <w:bookmarkEnd w:id="900283"/>
    </w:p>
    <w:p>
      <w:pPr>
        <w:pStyle w:val="Normal"/>
      </w:pPr>
      <w:r>
        <w:t xml:space="preserve">1. The Parties recognize that a positive determination of equivalence of sanitary and phytosanitary measures is an important means to facilitate trade. 2. Further to Article 4 of the SPS Agreement, the Parties shall apply a recognition of equivalence to a specific sanitary or phytosanitary measure, or to the extent feasible and appropriate, to a group of measures or on a systems-wide basis. In determining the equivalence of a specific sanitary or phytosanitary measure, group of measures, or measures on a systems- wide basis, each Party shall take into account the relevant guidance of the WTO SPS Committee and relevant international standards, guidelines, and recommendations. 3. On request of the exporting Party, the importing Party shall explain the objective and rationale of its sanitary or phytosanitary measure and identify the risk the sanitary or phytosanitary measure is intended to address. 4. When an importing Party receives a request for a determination of equivalence from an exporting Party and determines that the exporting Party has provided sufficient information, the importing Party shall initiate an assessment without undue delay.</w:t>
      </w:r>
    </w:p>
    <w:p>
      <w:pPr>
        <w:pStyle w:val="Normal"/>
      </w:pPr>
      <w:r>
        <w:t>5. When an importing Party initiates an equivalence assessment, the importing Party shall explain, on request of the exporting Party, and without undue delay, its process for making the determination of equivalence, and, if the determination results in recognition, its plan for enabling trade. 6.</w:t>
      </w:r>
    </w:p>
    <w:p>
      <w:pPr>
        <w:pStyle w:val="Normal"/>
      </w:pPr>
      <w:r>
        <w:t>On request of the exporting Party, the importing Party’s competent authority shall consider whether a streamlined process may be used to determine equivalence. 7. If the importing and exporting Parties’ competent authorities decide that a request for a determination of equivalence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circumstances3, may finalize the determination. The determination may be positive or negative. 8. On request of the exporting Party, the importing Party shall inform the exporting Party of the status of the equivalence assessment. 9. Once the importing Party determines that the information provided by the exporting Party is sufficient to finalize the assessment, the importing Party shall finalize the assessment and communicate the results of the assessment to the exporting Party without undue delay. 10. In determining equivalence, an importing Party shall take into account available knowledge, information, and relevant experience, including knowledge acquired through experience with the exporting Party’s relevant competent authority. 11.</w:t>
      </w:r>
    </w:p>
    <w:p>
      <w:pPr>
        <w:pStyle w:val="Normal"/>
      </w:pPr>
      <w:r>
        <w:t>An importing Party shall recognize the equivalence of a sanitary or phytosanitary measure, group of measures, or system, even if the measure, group of measures, or system differs from its own, if the exporting Party objectively demonstrates to the importing Party that the exporting Party’s measure achieves the importing Party’s appropriate level of protection, taking into account outcomes that the exporting Party’s measure, group of measures, or system achieves. 12. If an importing Party adopts a measure that recognizes the equivalence of an exporting Party’s specific sanitary or phytosanitary measure, group of measures, or measures on a systems- wide basis, the importing Party shall communicate that measure to the exporting Party in writing and implement the measure without undue delay. 13. The Parties involved in an equivalence determination that results in recognition shall, if mutually decided, report the outcome to the SPS Committee. 14. If an assessment does not result in the recognition of equivalence, the importing Party shall communicate that determination and its rationale to the exporting Party without undue delay. 15.</w:t>
      </w:r>
    </w:p>
    <w:p>
      <w:pPr>
        <w:pStyle w:val="Normal"/>
      </w:pPr>
      <w:r>
        <w:t>If a Party plans to adopt, modify, or repeal a measure that is the subject of a sanitary or phytosanitary equivalence recognition, the following applies: (a) The Party shall notify the other Party involved in the recognition of its plan.</w:t>
      </w:r>
    </w:p>
    <w:p>
      <w:pPr>
        <w:pStyle w:val="Normal"/>
      </w:pPr>
      <w:r>
        <w:t>The notification should take place at an early appropriate stage where any comments submitted by the other Party can be taken into account, including by revising its plan. Upon request of a Party involved in the recognition, the Parties involved For the purposes of this paragraph, “normal circumstances” do not include any extraordinary or unanticipated situations, such as unanticipated risks to human, animal or plant life or health, or resource or regulatory constraints. shall discuss whether the adoption, modification, or repeal of the measure may affect the equivalence recognition. (b) The Party shall, upon request of the other Party, provide information and rationale concerning its planned adoption, modification, or repeal. The other Party shall review any information provided to it and submit any comments to the Party that plans to adopt, modify, or repeal the measure, without undue delay. (c) The importing Party shall not revoke its recognition of equivalence on the basis that an adoption, modification, or repeal of the measure is pending. 16.</w:t>
      </w:r>
    </w:p>
    <w:p>
      <w:pPr>
        <w:pStyle w:val="Normal"/>
      </w:pPr>
      <w:r>
        <w:t>If a Party adopts, modifies, or repeals a measure that is the subject of a sanitary or phytosanitary recognition of equivalence, the importing Party shall maintain its recognition of equivalence provided that the exporting Party’s measures concerning the good continue to achieve the appropriate level of protection of the importing Party.</w:t>
      </w:r>
    </w:p>
    <w:p>
      <w:pPr>
        <w:pStyle w:val="Normal"/>
      </w:pPr>
      <w:r>
        <w:t>Upon request of a Party, the Parties involved in the recognition shall promptly discuss the determination made by the importing Party. 17. If a Party adopts, modifies, or repeals a measure that is the subject of a sanitary or phytosanitary recognition of equivalence, the importing Party shall: (a) continue to accept the recognition of equivalence until it has communicated to the exporting Party whether other requirements must be met to maintain equivalence; and (b) if other requirements under subparagraph (a) must be met, upon request, discuss those requirements with the exporting Party.</w:t>
      </w:r>
    </w:p>
    <w:p>
      <w:pPr>
        <w:pStyle w:val="Heading2"/>
      </w:pPr>
      <w:bookmarkStart w:id="900284" w:name="_Toc300000283"/>
      <w:r>
        <w:t xml:space="preserve">Article 9.10: Audits</w:t>
      </w:r>
      <w:r>
        <w:rPr>
          <w:vertAlign w:val="superscript"/>
        </w:rPr>
        <w:t xml:space="preserve">4</w:t>
      </w:r>
      <w:bookmarkEnd w:id="900284"/>
    </w:p>
    <w:p>
      <w:pPr>
        <w:pStyle w:val="Normal"/>
      </w:pPr>
      <w:r>
        <w:t xml:space="preserve">1. To determine an exporting Party’s ability to comply with the importing Party’s sanitary or phytosanitary requirements or to verify an exporting Party’s compliance with its sanitary or phytosanitary requirements that the importing Party has determined to be equivalent, the importing Party shall have the right to audit the exporting Party’s competent authorities, including associated or designated inspection systems in accordance with this Article. That audit may include an assessment of the competent authorities’ control programs, including, if appropriate and feasible, the inspection programs, audit programs, or on-site inspections of facilities or other agriculture production areas. For greater certainty, the Parties recognize that an inspection of a facility and other premises relevant to the inspection in a Party’s territory in order to verify compliance with applicable sanitary or phytosanitary measures is a distinct activity from an audit and the provisions of this Article do not apply to that inspection. 2. An audit must be systems-based and designed to check the effectiveness of the regulatory controls of the competent authorities of the exporting Party. 3.</w:t>
      </w:r>
    </w:p>
    <w:p>
      <w:pPr>
        <w:pStyle w:val="Normal"/>
      </w:pPr>
      <w:r>
        <w:t>In undertaking an audit, a Party shall take into account relevant guidance of the WTO SPS Committee and relevant international standards, guidelines, and recommendations. 4.</w:t>
      </w:r>
    </w:p>
    <w:p>
      <w:pPr>
        <w:pStyle w:val="Normal"/>
      </w:pPr>
      <w:r>
        <w:t>Prior to the commencement of an audit, the auditing and audited Parties shall discuss: the rationale, objectives, and scope of the audit; and the criteria or requirements against which the audited Party will be assessed. Also at that time, the auditing and audited Parties shall decide the itinerary and procedures for conducting the audit. 5. Unless the auditing and audited Parties decide otherwise, the auditing Party shall hold an exit meeting at the end of the audit that includes an opportunity for the competent authority of the audited Party to raise questions or seek clarification on the preliminary findings and observations provided at the meeting. 6. The auditing Party shall provide the audited Party the draft written audit report, including its initial findings. The auditing Party shall provide the audited Party the opportunity to comment on the accuracy of the draft audit report and shall take any such comments into account before the auditing Party finalizes its report. The auditing Party shall provide a final audit report setting out its conclusions in writing to the audited Party within a reasonable period of time. 7.</w:t>
      </w:r>
    </w:p>
    <w:p>
      <w:pPr>
        <w:pStyle w:val="Normal"/>
      </w:pPr>
      <w:r>
        <w:t>In undertaking an audit in cases in which an importing Party has recognized equivalence on a system-wide basis, the importing Party shall: (a) conduct the audit to verify that the audited Party’s system achieves an equivalent outcome to the sanitary or phytosanitary appropriate level of protection of the importing Party; and (b) audit against the exporting Party’s implementation of the equivalent oversight and control system. 8. If a Party has recognized another Party’s system as equivalent, the competent authorities of the Parties involved in the recognition may discuss schedules of the audits of that system. 9. A decision or action taken by the auditing Party as a result of the audit must be supported by objective evidence and data that can be verified, taking into account the auditing Party’s knowledge of, relevant experience with, and confidence in, the audited Party’s regulatory controls. The auditing Party shall, on request of the audited Party, provide this objective evidence and data. 10.</w:t>
      </w:r>
    </w:p>
    <w:p>
      <w:pPr>
        <w:pStyle w:val="Normal"/>
      </w:pPr>
      <w:r>
        <w:t>The costs incurred by the auditing Party shall be borne by the auditing Party, unless the auditing and audited Parties decide otherwise. 11. The auditing Party and audited Party shall each ensure that procedures are in place to prevent the disclosure of confidential information that is acquired during the audit process. 12.</w:t>
      </w:r>
    </w:p>
    <w:p>
      <w:pPr>
        <w:pStyle w:val="Normal"/>
      </w:pPr>
      <w:r>
        <w:t>If the auditing Party makes a final audit report publicly available, the final audit report must incorporate, or be accompanied by, the comments or written response to the draft report provided by the competent authority of the audited Party. 13. The Parties may decide, if possible, to: (a) collaborate on audits of non-Parties; or (b) share the results of audits of non-Parties.</w:t>
      </w:r>
    </w:p>
    <w:p>
      <w:pPr>
        <w:pStyle w:val="Heading2"/>
      </w:pPr>
      <w:bookmarkStart w:id="900285" w:name="_Toc300000284"/>
      <w:r>
        <w:t xml:space="preserve">Article 9.11: Import Checks</w:t>
      </w:r>
      <w:bookmarkEnd w:id="900285"/>
    </w:p>
    <w:p>
      <w:pPr>
        <w:pStyle w:val="Normal"/>
      </w:pPr>
      <w:r>
        <w:t xml:space="preserve">1. An importing Party may use import checks to assess compliance with its sanitary and phytosanitary measures and to obtain information to assess risk or to determine the need for, develop, or periodically review a risk-based import check. 2. Each Party shall ensure that its import checks are based on the risks associated with importations, and that its import checks are carried out without undue delay. 3. A Party shall make available to another Party, on request, information on its import procedures and its basis for determining the nature and frequency of import checks, including the factors it considers to determine the risks associated with importations. 4. A Party may change the frequency of its import checks as a result of experience gained through import checks or as a result of actions or discussions provided for in this Chapter. 5. An importing Party shall provide to another Party, on request, information regarding the analytical methods, quality controls, sampling procedures, and facilities that the importing Party uses to test a good.</w:t>
      </w:r>
    </w:p>
    <w:p>
      <w:pPr>
        <w:pStyle w:val="Normal"/>
      </w:pPr>
      <w:r>
        <w:t>The importing Party shall ensure that any testing is conducted using appropriate and validated methods under a quality assurance program that is consistent with international laboratory standards.</w:t>
      </w:r>
    </w:p>
    <w:p>
      <w:pPr>
        <w:pStyle w:val="Normal"/>
      </w:pPr>
      <w:r>
        <w:t>The importing Party shall maintain physical or electronic documentation regarding the identification, collection, sampling, transportation and storage of the test sample, and the analytical methods used on the test sample. 6. Each Party, with respect to any import check that it conducts, shall: (a) limit any requirements regarding individual specimens or samples of an import to those that are reasonable and necessary; (b) ensure that any fees imposed for the procedures on imported products are equitable in relation to any fees charged on like domestic products or products originating in any other Party or non-Party and should be no higher than the actual cost of the service; (c) use criteria for selecting facilities at which an import check is conducted: (i) so that the location does not cause unnecessary inconvenience to an applicant or its agent, and (ii) so that the integrity of the good is preserved, except for the individual specimens or samples obtained pursuant to the requirements referred to in subparagraph (a). 7.</w:t>
      </w:r>
    </w:p>
    <w:p>
      <w:pPr>
        <w:pStyle w:val="Normal"/>
      </w:pPr>
      <w:r>
        <w:t>An importing Party shall ensure that its final decision in response to a finding of non conformity with the importing Party’s sanitary or phytosanitary measure is limited to what is reasonable and necessary in response to the non-conformity. 8.</w:t>
      </w:r>
    </w:p>
    <w:p>
      <w:pPr>
        <w:pStyle w:val="Normal"/>
      </w:pPr>
      <w:r>
        <w:t>If an importing Party prohibits or restricts the importation of a good of another Party on the basis of an adverse result of an import check, the importing Party shall provide a notification, if practicable by electronic means, about the adverse result to at least one of the following: the importer or its agent; the exporter; or the manufacturer. 9. When the importing Party provides a notification pursuant to paragraph 8, the Party shall: (a) include in its notification: (i) the reason for the prohibition or restriction, (ii) the legal basis or authorization for the action, and (iii) information on the status of the affected goods including, if applicable: (A) relevant laboratory results and laboratory methodologies, if requested and possible to include; (B) in the case of pest interceptions, an identification of the pests at the species level, if available; and (C) information on the disposition of goods, if appropriate; and (b) transmit the notification as soon as possible, and, in any event, under normal circumstances no later than five days after the date of the decision to prohibit or restrict, unless the good is seized by a customs administration or subject to ongoing law enforcement action. 10.</w:t>
      </w:r>
    </w:p>
    <w:p>
      <w:pPr>
        <w:pStyle w:val="Normal"/>
      </w:pPr>
      <w:r>
        <w:t>An importing Party that prohibits or restricts the importation of a good of another Party on the basis of an adverse result of an import check shall provide an opportunity for a review of the decision and consider any relevant information submitted to assist in the review.5 The review request and information should be submitted to the importing Party within a reasonable period of time. 11. Paragraph 9 does not prevent an importing Party from disposing of goods which are found to have an infectious pathogen or pest that, if urgent action is not taken, can spread and cause damage to human, animal, or plant life or health in the Party’s territory. 12. If an importing Party determines that there is a significant, sustained or recurring pattern of non-conformity with a sanitary or phytosanitary measure, the importing Party shall notify the exporting Party of the pattern of non-conformity. 13. On request, an importing Party shall provide to the exporting Party available information on goods of the exporting Party that were found not to conform to a sanitary or phytosanitary measure of the importing Party.</w:t>
      </w:r>
    </w:p>
    <w:p>
      <w:pPr>
        <w:pStyle w:val="Heading2"/>
      </w:pPr>
      <w:bookmarkStart w:id="900286" w:name="_Toc300000285"/>
      <w:r>
        <w:t xml:space="preserve">Article 9.12: Certification</w:t>
      </w:r>
      <w:bookmarkEnd w:id="900286"/>
    </w:p>
    <w:p>
      <w:pPr>
        <w:pStyle w:val="Normal"/>
      </w:pPr>
      <w:r>
        <w:t xml:space="preserve">1. The Parties recognize that assurances with respect to sanitary or phytosanitary requirements may be provided through means other than certificates. 2. Each Party shall ensure that at least one of the following conditions is satisfied before imposing a sanitary or phytosanitary certification requirement: (a) the certification requirement is based on the relevant international standards; or (b) the certification requirement is appropriate to the circumstances of risks to human, animal, or plant life or health at issue.6 5 For greater certainty, a Party shall provide an opportunity for review to at least one of the following: the importer or its agent, the exporter, or the manufacturer of the good, and the review shall be conducted by the customs administration or the relevant competent authority. 6 For greater certainty, a certification requirement concerning non-sanitary or phytosanitary requirements, including the quality of a product or information relating to consumer preferences, does not constitute a certification requirement appropriate to the circumstances of a risk to human, animal, or plant life or health. 3.</w:t>
      </w:r>
    </w:p>
    <w:p>
      <w:pPr>
        <w:pStyle w:val="Normal"/>
      </w:pPr>
      <w:r>
        <w:t>If an importing Party requires certification for trade in a good, that Party shall ensure that the certification requirement is applied only to the extent necessary to meet its appropriate level of protection. 4.</w:t>
      </w:r>
    </w:p>
    <w:p>
      <w:pPr>
        <w:pStyle w:val="Normal"/>
      </w:pPr>
      <w:r>
        <w:t>In applying certification requirements, an importing Party shall take into account relevant guidance of the WTO SPS Committee and relevant international standards, guidelines, and recommendations. 5. An importing Party shall limit attestations and information it requires on the certificates to essential information that is necessary to provide assurances to the importing Party that its appropriate level of protection has been met. 6. An importing Party shall provide to another Party, on request, the rationale for any attestations or information that the importing Party requires to be included on a certificate. 7. The Parties may decide to work cooperatively to develop model certificates to accompany specific goods traded between the Parties, taking into account relevant guidance of the WTO SPS Committee and relevant international standards, guidelines, and recommendations. 8. The Parties shall promote the implementation of electronic certification and other technologies to facilitate trade.</w:t>
      </w:r>
    </w:p>
    <w:p>
      <w:pPr>
        <w:pStyle w:val="Heading2"/>
      </w:pPr>
      <w:bookmarkStart w:id="900287" w:name="_Toc300000286"/>
      <w:r>
        <w:t xml:space="preserve">Article 9.13: Transparency</w:t>
      </w:r>
      <w:bookmarkEnd w:id="900287"/>
    </w:p>
    <w:p>
      <w:pPr>
        <w:pStyle w:val="Normal"/>
      </w:pPr>
      <w:r>
        <w:t xml:space="preserve">1. This Article applies to sanitary or phytosanitary measures that constitute sanitary or phytosanitary regulations for the purposes of Annex B of the SPS Agreement. 2. The Parties recognize the value of sharing information about their sanitary and phytosanitary measures on an ongoing basis, and of providing other Parties and persons of the Parties with the opportunity to comment on their proposed sanitary or phytosanitary measures. 3. In implementing this Article, each Party shall take into account relevant guidance of the WTO SPS Committee and relevant international standards, guidelines, and recommendations. 4. A Party shall notify a proposed sanitary or phytosanitary measure that may have an effect on the trade of another Party, including any that conforms to international standards, guidelines, or recommendations, by using the WTO SPS notification submission system as a means of notifying the other Parties. 5.</w:t>
      </w:r>
    </w:p>
    <w:p>
      <w:pPr>
        <w:pStyle w:val="Normal"/>
      </w:pPr>
      <w:r>
        <w:t>Unless urgent problems of human, animal, or plant life or health protection arise or threaten to arise requiring the adoption of an emergency measure, or the measure is of a trade- facilitating nature, a Party shall normally allow at least 60 days for the other Parties or persons of the Parties to provide written comments on the proposed measure, other than proposed legislation, after it makes the notification under paragraph 4.</w:t>
      </w:r>
    </w:p>
    <w:p>
      <w:pPr>
        <w:pStyle w:val="Normal"/>
      </w:pPr>
      <w:r>
        <w:t>The Party shall consider any reasonable request from another Party or persons of the Parties to extend the comment period. On request of another Party, the Party shall respond to the written comments of the other Party in an appropriate manner. 6. The Party shall make available on a free, publicly available website or official journal, the proposed sanitary or phytosanitary measure notified under paragraph 4, the legal basis for the measure, and the written comments or a summary of the written comments that the Party has received from the public on the proposed measure. 7. If a Party proposes a sanitary or phytosanitary measure that does not conform to a relevant international standard, guideline, or recommendation, the Party shall provide to another Party, on request, the relevant documentation that the Party considered in developing the proposed measure, including documented and objective scientific evidence related to the measure, such as risk assessments, relevant studies, and expert opinions. 8.</w:t>
      </w:r>
    </w:p>
    <w:p>
      <w:pPr>
        <w:pStyle w:val="Normal"/>
      </w:pPr>
      <w:r>
        <w:t>A Party that proposes to adopt a sanitary or phytosanitary measure shall discuss with another Party, on request and when appropriate during its regulatory process, any scientific or trade concerns that the other Party may raise regarding the proposed measure and the availability of alternative, less trade-restrictive approaches for achieving the Party’s appropriate level of protection. 9.</w:t>
      </w:r>
    </w:p>
    <w:p>
      <w:pPr>
        <w:pStyle w:val="Normal"/>
      </w:pPr>
      <w:r>
        <w:t>Each Party shall publish, preferably by electronic means, notices of final sanitary or phytosanitary measures in an official journal or website. 10. Each Party shall notify the other Parties of final sanitary or phytosanitary measures through the WTO SPS notification submission system. Each Party shall ensure that the text or the notice of a final sanitary or phytosanitary measure specifies the date on which the measure takes effect and the legal basis for the measure. A Party shall also make available to another Party, on request, and to the extent permitted by the confidentiality and privacy requirements of the Party’s law, significant written comments and relevant documentation considered to support the measure that were received during the comment period. 11. If a final sanitary or phytosanitary measure is substantively altered from the proposed measure, a Party shall also include in the notice of the final sanitary or phytosanitary measure that it publishes, an explanation of: (a) the objective and rationale of the measure and how the measure advances that objective and rationale; and (b) any substantive revisions that it made to the proposed measure. 12.</w:t>
      </w:r>
    </w:p>
    <w:p>
      <w:pPr>
        <w:pStyle w:val="Normal"/>
      </w:pPr>
      <w:r>
        <w:t>An exporting Party shall notify the importing Party through the contact points referred to in Article 9.5 (Competent Authorities and Contact Points) in a timely and appropriate manner: (a) if it has knowledge of a significant sanitary or phytosanitary risk related to the export of a good from its territory; (b) of urgent situations where a change in animal or plant health status in the territory of the exporting Party may affect current trade; (c) of significant changes in the status of a regionalized pest or disease; (d) of new scientific findings of importance which affect the regulatory response with respect to food safety, pests, or diseases; and (e) of significant changes in food safety, pest, or disease management, control or eradication policies or practices that may affect trade. 13.</w:t>
      </w:r>
    </w:p>
    <w:p>
      <w:pPr>
        <w:pStyle w:val="Normal"/>
      </w:pPr>
      <w:r>
        <w:t>If feasible and appropriate, a Party shall normally provide an interval of not less than six months between the date it publishes a final sanitary or phytosanitary measure and the date on which the measure takes effect, unless the measure is intended to address an urgent problem of human, animal, or plant life or health protection or the measure facilitates trade. 14. A Party shall make available to another Party, on request, all sanitary or phytosanitary measures related to the importation of a good into that Party’s territory.</w:t>
      </w:r>
    </w:p>
    <w:p>
      <w:pPr>
        <w:pStyle w:val="Heading2"/>
      </w:pPr>
      <w:bookmarkStart w:id="900288" w:name="_Toc300000287"/>
      <w:r>
        <w:t xml:space="preserve">Article 9.14: Emergency Measures</w:t>
      </w:r>
      <w:bookmarkEnd w:id="900288"/>
    </w:p>
    <w:p>
      <w:pPr>
        <w:pStyle w:val="Normal"/>
      </w:pPr>
      <w:r>
        <w:t xml:space="preserve">1. If an importing Party adopts an emergency measure to address an urgent problem of human, animal or plant life or health that arises or threatens to arise, and applies it to the exports of another Party the importing Party shall promptly notify in writing each affected Party of that measure through the normal channels. The importing Party shall take into consideration any information provided by an affected Party in response to the notification. 2. If an importing Party adopts an emergency measure under paragraph 1, it shall review the scientific basis of that measure within six months and make available the results of the review to any Party on request. If the emergency measure is maintained after the review, because the reason for its adoption remains, the Party should review the measure periodically.</w:t>
      </w:r>
    </w:p>
    <w:p>
      <w:pPr>
        <w:pStyle w:val="Heading2"/>
      </w:pPr>
      <w:bookmarkStart w:id="900289" w:name="_Toc300000288"/>
      <w:r>
        <w:t xml:space="preserve">Article 9.15: Information Exchange</w:t>
      </w:r>
      <w:bookmarkEnd w:id="900289"/>
    </w:p>
    <w:p>
      <w:pPr>
        <w:pStyle w:val="Normal"/>
      </w:pPr>
      <w:r>
        <w:t xml:space="preserve">A Party may request information from another Party on a matter arising under this Chapter. A Party that receives a request for information shall endeavor to provide available information to the requesting Party within a reasonable period of time, and if possible, by electronic means.</w:t>
      </w:r>
    </w:p>
    <w:p>
      <w:pPr>
        <w:pStyle w:val="Heading2"/>
      </w:pPr>
      <w:bookmarkStart w:id="900290" w:name="_Toc300000289"/>
      <w:r>
        <w:t xml:space="preserve">Article 9.16: Cooperation</w:t>
      </w:r>
      <w:bookmarkEnd w:id="900290"/>
    </w:p>
    <w:p>
      <w:pPr>
        <w:pStyle w:val="Normal"/>
      </w:pPr>
      <w:r>
        <w:t xml:space="preserve">1. The Parties shall explore opportunities for further cooperation, collaboration, and information exchange between the Parties on sanitary and phytosanitary matters of mutual interest, consistent with this Chapter. Those opportunities may include trade facilitation initiatives and technical assistance. The Parties shall cooperate to facilitate the implementation of this Chapter. 2. The Parties shall cooperate and may work, as mutually decided, on sanitary and phytosanitary matters, including to develop as appropriate, common principles, guidelines, and approaches on matters covered by this Chapter, with the goal of eliminating unecessary obstacles to trade between the Parties. 3. If mutually decided, the Parties shall share information on their respective approaches to risk management with the objective of enhancing the compatibility of their risk management approaches. 4. The Parties are encouraged to create and develop initiatives to facilitate and promote the compatibility of their sanitary or phytosanitary measures. 5.</w:t>
      </w:r>
    </w:p>
    <w:p>
      <w:pPr>
        <w:pStyle w:val="Normal"/>
      </w:pPr>
      <w:r>
        <w:t>If there is mutual interest and with the objective of establishing a common scientific foundation for each Party’s risk management approach, the competent authorities of the Parties are encouraged to: (a) share best practices on their respective approaches to risk analysis; (b) cooperate on joint scientific data collection; (c) if feasible and appropriate, undertake science-based joint risk assessments; (d) if applicable and in accordance with the procedures, policies, resources, laws, and regulations of each Party, provide access to their respective completed risk assessments and the data used to develop risk assessments; or (e) if appropriate, cooperate on aligning data requirements for risk assessments.</w:t>
      </w:r>
    </w:p>
    <w:p>
      <w:pPr>
        <w:pStyle w:val="Heading2"/>
      </w:pPr>
      <w:bookmarkStart w:id="900291" w:name="_Toc300000290"/>
      <w:r>
        <w:t xml:space="preserve">Article 9.17: Committee on Sanitary and Phytosanitary Measures</w:t>
      </w:r>
      <w:bookmarkEnd w:id="900291"/>
    </w:p>
    <w:p>
      <w:pPr>
        <w:pStyle w:val="Normal"/>
      </w:pPr>
      <w:r>
        <w:t xml:space="preserve">1. For the purposes of the effective implementation and operation of this Chapter, the Parties hereby establish a Committee on Sanitary and Phytosanitary Measures, composed of government representatives of each Party responsible for sanitary and phytosanitary matters. 2. The SPS Committee shall serve as a forum: (a) to consider any matter related to this Chapter, including relating to its implementation; (b) to improve the Parties’ understanding of sanitary or phytosanitary issues that relate to the implementation of the SPS Agreement or this Chapter; (c) to enhance mutual understanding of each Party’s sanitary or phytosanitary measures or the regulatory processes that relate to those measures; (d) to enhance communication and cooperation among the Parties related to sanitary or phytosanitary matters;</w:t>
      </w:r>
    </w:p>
    <w:p>
      <w:pPr>
        <w:pStyle w:val="Normal"/>
      </w:pPr>
      <w:r>
        <w:t>(e) to identify and discuss, at an early appropriate stage, proposed sanitary or phytosanitary measures or revisions to existing sanitary or phytosanitary measures that may have a significant effect on trade in North America including for the purposes of issue avoidance and facilitating greater alignment of sanitary or phytosanitary measures; and (f) for a Party to share information, as appropriate, on a sanitary or phytosanitary matter that has arisen between it and another Party or Parties. 3.</w:t>
      </w:r>
    </w:p>
    <w:p>
      <w:pPr>
        <w:pStyle w:val="Normal"/>
      </w:pPr>
      <w:r>
        <w:t>The SPS Committee may serve as a forum: (a) if appropriate, to identify and develop technical assistance and cooperation projects between the Parties on sanitary and phytosanitary measures; (b) to consult on matters and positions for meetings of the WTO SPS Committee, and meetings held under the auspices of the Codex Alimentarius Commission, the World Organisation for Animal Health, the International Plant Protection Convention, and other international organizations as appropriate; (c) to identify, prioritize, manage, and resolve bilateral or trilateral issues; (d) to review progress on addressing specific trade concerns related to the application of a sanitary or phytosanitary measure, with a view to facilitating mutually acceptable solution; (e) to establish and, as appropriate, determine the scope and mandate of technical working groups in areas such as, animal health, plant health, food safety, or pesticides, taking into account existing mechanisms, to undertake work related to the implementation of this Chapter; (f) to provide guidance to technical working groups, as needed and appropriate, for the identification, prioritization, and management of sanitary or phytosanitary matters;</w:t>
      </w:r>
    </w:p>
    <w:p>
      <w:pPr>
        <w:pStyle w:val="Normal"/>
      </w:pPr>
      <w:r>
        <w:t>(g) to request updates and discuss the work of the technical working groups; (h) to review the recommendation from a technical working group regarding whether it should be continued, suspended, or dissolved; (i) to seek, to the extent practicable, the assistance of relevant international or</w:t>
      </w:r>
    </w:p>
    <w:p>
      <w:pPr>
        <w:pStyle w:val="Normal"/>
      </w:pPr>
      <w:r>
        <w:t>regional organizations, such as the North American Plant Protection Organization, to obtain available scientific and technical advice and minimize duplication of effort; and (j) to facilitate the development, as appropriate, of common principles, guidelines and approaches on matters covered by this Chapter. 4. The SPS Committee shall establish its terms of reference at its first meeting and may revise those terms of reference as needed. 5. The SPS Committee shall meet within one year of the date of entry into force of this Agreement and once a year thereafter unless the Parties decide otherwise. 6. The SPS Committee shall report annually to the Commission on the implementation of this Chapter.</w:t>
      </w:r>
    </w:p>
    <w:p>
      <w:pPr>
        <w:pStyle w:val="Heading2"/>
      </w:pPr>
      <w:bookmarkStart w:id="900292" w:name="_Toc300000291"/>
      <w:r>
        <w:t xml:space="preserve">Article 9.18: Technical Working Groups</w:t>
      </w:r>
      <w:bookmarkEnd w:id="900292"/>
    </w:p>
    <w:p>
      <w:pPr>
        <w:pStyle w:val="Normal"/>
      </w:pPr>
      <w:r>
        <w:t xml:space="preserve">1. A technical working group may function on an on-going or ad hoc basis. 2. Any on-going technical working group shall meet on an annual basis unless otherwise decided by the Parties participating in the technical working group. Any ad hoc technical working group shall meet as frequently as decided by the Parties participating in the technical working group. 3. At the first meeting of a technical working group, the participating Parties shall establish the working group’s terms of reference, unless the Parties decide otherwise. 4. Any technical working group established under Article 9.17.3(e) (Committee on Sanitary and Phytosanitary Measures) may: (a) engage, at the earliest appropriate stage, in scientific or technical exchange and cooperation regarding sanitary or phytosanitary matters; (b) consider any sanitary or phytosanitary measure or set of measures identified by any Party that are likely to affect, directly or indirectly, trade, and provide technical advice with a view to facilitating the resolution of specific trade concerns relating to those measures;</w:t>
      </w:r>
    </w:p>
    <w:p>
      <w:pPr>
        <w:pStyle w:val="Normal"/>
      </w:pPr>
      <w:r>
        <w:t>(c) serve as a forum to facilitate discussion and consideration of specific risk assessments and possible risk management options; (d) provide an opportunity for Parties to discuss developments relevant to the work of the technical working group; (e) discuss other issues related to this Chapter; and (f) report to the SPS Committee on progress of work, as appropriate. 5.</w:t>
      </w:r>
    </w:p>
    <w:p>
      <w:pPr>
        <w:pStyle w:val="Normal"/>
      </w:pPr>
      <w:r>
        <w:t>A technical working group may provide the SPS Committee with the recommendation that it be continued, suspended, or dissolved. 6. Each technical working group shall be co-chaired by representatives of the participating Parties. 7. The Parties may seek to resolve any specific trade concern through the relevant technical working group.</w:t>
      </w:r>
    </w:p>
    <w:p>
      <w:pPr>
        <w:pStyle w:val="Heading2"/>
      </w:pPr>
      <w:bookmarkStart w:id="900293" w:name="_Toc300000292"/>
      <w:r>
        <w:t xml:space="preserve">Article 9.19: Technical Consultations</w:t>
      </w:r>
      <w:bookmarkEnd w:id="900293"/>
    </w:p>
    <w:p>
      <w:pPr>
        <w:pStyle w:val="Normal"/>
      </w:pPr>
      <w:r>
        <w:t xml:space="preserve">1. Recognizing that trade matters arising under this Chapter are best resolved by the appropriate competent authority, if a Party has concerns regarding any matter arising under this Chapter with respect to another Party, the Party shall endeavor to resolve the matter through available administrative procedures of the relevant competent authority or through a relevant technical working group established by the SPS Committee, if it considers that it is appropriate to do so. A Party may have recourse to technical consultations set out in paragraph 2 at any time it considers that the use of the relevant administrative procedures, the relevant technical working group, or other mechanisms would not resolve the matter. 2. A Party (requesting Party) may initiate technical consultations with another Party (responding Party) to discuss any matter arising under this Chapter that may adversely affect its trade by delivering a written request to the Contact Point of the responding Party. The request shall identify the reason for the request, including a description of the requesting Party’s concerns about the matter. 3.</w:t>
      </w:r>
    </w:p>
    <w:p>
      <w:pPr>
        <w:pStyle w:val="Normal"/>
      </w:pPr>
      <w:r>
        <w:t>The requesting and responding Parties shall meet within 30 days of the responding Party’s receipt of the request, with the aim of resolving the matter cooperatively within 180 days of the request if possible. 4.</w:t>
      </w:r>
    </w:p>
    <w:p>
      <w:pPr>
        <w:pStyle w:val="Normal"/>
      </w:pPr>
      <w:r>
        <w:t>The requesting and responding Parties shall ensure the appropriate involvement of relevant trade representatives and competent authorities in meetings held pursuant to this Article. 5. Recognizing that Parties may decide to engage in consultations pursuant to this Article for any length of time, the requesting Party may cease technical consultations under this Article and have recourse to dispute settlement under Chapter 31 (Dispute Settlement) following the meeting referred to in paragraph 3 or if the meeting is not held within 30 days as specified in paragraph 3. 6. No Party shall have recourse to dispute settlement under Chapter 31 (Dispute Settlement) for a matter arising under this Chapter without first seeking to resolve the matter through technical consultations in accordance with this Article.</w:t>
      </w:r>
    </w:p>
    <w:p>
      <w:pPr>
        <w:pStyle w:val="Heading2"/>
      </w:pPr>
      <w:bookmarkStart w:id="900294" w:name="_Toc300000293"/>
      <w:r>
        <w:t xml:space="preserve">Article 9.20: Dispute Settlement</w:t>
      </w:r>
      <w:bookmarkEnd w:id="900294"/>
    </w:p>
    <w:p>
      <w:pPr>
        <w:pStyle w:val="Normal"/>
      </w:pPr>
      <w:r>
        <w:t xml:space="preserve">In a dispute under this Chapter that involves scientific or technical issues, a panel should seek advice from experts chosen by the panel in consultation with the disputing Parties. To this end, the panel may, if it deems appropriate, establish an advisory technical experts group, or consult the relevant international standard setting organizations, at the request of a disputing Party or on its own initiative.</w:t>
      </w:r>
    </w:p>
    <w:p>
      <w:pPr>
        <w:pStyle w:val="Heading1"/>
      </w:pPr>
      <w:bookmarkStart w:id="900295" w:name="_Toc300000294"/>
      <w:r>
        <w:t>CHAPTER 10 TRADE REMEDIES</w:t>
      </w:r>
      <w:r>
        <w:br/>
      </w:r>
      <w:r>
        <w:t>Section A: Safeguards</w:t>
      </w:r>
      <w:bookmarkEnd w:id="900295"/>
    </w:p>
    <w:p>
      <w:pPr>
        <w:pStyle w:val="Heading2"/>
      </w:pPr>
      <w:bookmarkStart w:id="900296" w:name="_Toc300000295"/>
      <w:r>
        <w:t xml:space="preserve">Article 10.1: Definitions</w:t>
      </w:r>
      <w:bookmarkEnd w:id="900296"/>
    </w:p>
    <w:p>
      <w:pPr>
        <w:pStyle w:val="Normal"/>
      </w:pPr>
      <w:r>
        <w:t xml:space="preserve">For the purposes of this Section: competent investigating authority means: (a) for Canada, the Canadian International Trade Tribunal, or its successor; (b) for Mexico, the International Trade Practices Unit of the Secretaría de Economía, or its successor; and (c) for the United States, the United States International Trade Commission, or its successor;</w:t>
      </w:r>
    </w:p>
    <w:p>
      <w:pPr>
        <w:pStyle w:val="Heading2"/>
      </w:pPr>
      <w:bookmarkStart w:id="900297" w:name="_Toc300000296"/>
      <w:r>
        <w:t xml:space="preserve">Article 10.2: Rights and Obligations</w:t>
      </w:r>
      <w:bookmarkEnd w:id="900297"/>
    </w:p>
    <w:p>
      <w:pPr>
        <w:pStyle w:val="Normal"/>
      </w:pPr>
      <w:r>
        <w:t xml:space="preserve">1. Each Party retains its rights and obligations under Article XIX of the GATT 1994 and the Safeguards Agreement except those regarding compensation or retaliation and exclusion from an action to the extent that such rights or obligations are inconsistent with this Article. Any Party taking an emergency action under Article XIX and the Safeguards Agreement shall exclude imports of a good from each other Party from the action unless: (a) imports from a Party, considered individually, account for a substantial share of total imports; and (b) imports from a Party considered individually, or in exceptional circumstances imports from Parties considered collectively, contribute importantly to the serious injury, or threat thereof, caused by imports. 2. In determining whether:</w:t>
      </w:r>
    </w:p>
    <w:p>
      <w:pPr>
        <w:pStyle w:val="Normal"/>
      </w:pPr>
      <w:r>
        <w:t>(a) imports from a Party, considered individually, account for a substantial share of total imports, those imports normally shall not be considered to account for a substantial share of total imports if that Party is not among the top five suppliers of the good subject to the proceeding, measured in terms of import share during the most recent three-year period; and (b) imports from a Party or Parties contribute importantly to the serious injury, or threat thereof, the competent investigating authority shall consider such factors as the change in the import share of each Party, and the level and change in the level of imports of each Party.</w:t>
      </w:r>
    </w:p>
    <w:p>
      <w:pPr>
        <w:pStyle w:val="Normal"/>
      </w:pPr>
      <w:r>
        <w:t>In this regard, imports from a Party normally shall not be deemed to contribute importantly to serious injury, or the threat thereof, if the growth rate of imports from a Party during the period in which the injurious surge in imports occurred is appreciably lower than the growth rate of total imports from all sources over the same period. 3. A Party taking such action, from which a good from another Party or Parties is initially excluded pursuant to paragraph 1, shall have the right subsequently to include that good from the other Party or Parties in the action in the event that the competent investigating authority determines that a surge in imports of such good from the other Party or Parties undermines the effectiveness of the action. 4. A Party shall, without delay, deliver written notice to the other Parties of the institution of a proceeding that may result in emergency action under paragraph 1 or 3. 5. No Party may impose restrictions on a good in an action under paragraph 1 or 3:</w:t>
      </w:r>
    </w:p>
    <w:p>
      <w:pPr>
        <w:pStyle w:val="Normal"/>
      </w:pPr>
      <w:r>
        <w:t>(a) without delivery of prior written notice to the Commission, and without adequate opportunity for consultation with the Party or Parties against whose good the action is proposed to be taken, as far in advance of taking the action as practicable; and (b) that would have the effect of reducing imports of such good from a Party below the trend of imports of the good from that Party over a recent representative base period with allowance for reasonable growth. 6.</w:t>
      </w:r>
    </w:p>
    <w:p>
      <w:pPr>
        <w:pStyle w:val="Normal"/>
      </w:pPr>
      <w:r>
        <w:t>The Party taking an action pursuant to this Article shall provide to the Party or Parties against whose good the action is taken mutually agreed trade liberalizing compensation in the form of concessions having substantially equivalent trade effects or equivalent to the value of the additional duties expected to result from the action. If the Parties concerned are unable to agree on compensation, the Party against whose good the action is taken may take action having trade effects substantially equivalent to the action taken under paragraph 1 or 3.</w:t>
      </w:r>
    </w:p>
    <w:p>
      <w:pPr>
        <w:pStyle w:val="Heading2"/>
      </w:pPr>
      <w:bookmarkStart w:id="900298" w:name="_Toc300000297"/>
      <w:r>
        <w:t xml:space="preserve">Article 10.3: Administration of Emergency Action Proceedings</w:t>
      </w:r>
      <w:bookmarkEnd w:id="900298"/>
    </w:p>
    <w:p>
      <w:pPr>
        <w:pStyle w:val="Normal"/>
      </w:pPr>
      <w:r>
        <w:t xml:space="preserve">Each Party shall entrust determinations of serious injury, or threat thereof, in emergency action proceedings to a competent investigating authority, subject to review by judicial or administrative tribunals, to the extent provided by domestic law. Negative injury determinations shall not be subject to modification, except by such review. The competent investigating authority empowered under domestic law to conduct such proceedings should be provided with the necessary resources to enable it to fulfill its duties. Section B: Antidumping and Countervailing Duties</w:t>
      </w:r>
    </w:p>
    <w:p>
      <w:pPr>
        <w:pStyle w:val="Heading2"/>
      </w:pPr>
      <w:bookmarkStart w:id="900299" w:name="_Toc300000298"/>
      <w:r>
        <w:t xml:space="preserve">Article 10.4: Definitions</w:t>
      </w:r>
      <w:bookmarkEnd w:id="900299"/>
    </w:p>
    <w:p>
      <w:pPr>
        <w:pStyle w:val="Normal"/>
      </w:pPr>
      <w:r>
        <w:t xml:space="preserve">For purposes of this Section and Annex 10-A (Practices Relating to Antidumping and Countervailing Duty Proceedings): confidential information means information that is provided to an investigating authority on a confidential basis and that is by its nature confidential (for example, because its disclosure would be of significant competitive advantage to a competitor or because its disclosure would have a significantly adverse effect upon a person supplying the information or upon a person from whom that person acquired the information), whether in its original form or in a form other than the one in which it was originally provided; interested party1 means: (a) an exporter, foreign producer, or importer of a product subject to a proceeding, or a trade or business association a majority of the members of which are producers, exporters, or importers of such product; (b) the government of the exporting Party;</w:t>
      </w:r>
    </w:p>
    <w:p>
      <w:pPr>
        <w:pStyle w:val="Normal"/>
      </w:pPr>
      <w:r>
        <w:t>(c) a producer of the like product in the territory of the importing Party, or a trade and business association a majority of the members of which produce the like product in the territory of the importing Party; or (d) any other person treated as an interested party by the investigating authority of the importing Party; investigating authority means any authority of a Party that conducts antidumping or countervailing duty proceedings; proceeding means: 1 For greater certainty, an entity or person may be an interested party as long as they fulfill</w:t>
      </w:r>
    </w:p>
    <w:p>
      <w:pPr>
        <w:pStyle w:val="Normal"/>
      </w:pPr>
      <w:r>
        <w:t>all the corresponding requirements, if any, provided in the law of the importing Party. (a) for Mexico, an antidumping or countervailing duty investigation, review, or other relevant set of formalities and acts provided by the legal system which precede the issuance of the administrative act conducted by an investigating authority; and (b) for Canada and the United States, all segments of a proceeding, and begins on the date of the formal filing of an antidumping or countervailing duty application, or the publication of a notice of initiation in a self-initiated investigation, and ends with the conclusion of all administrative action pertaining to the product under consideration. For Canada, the formal filing of an antidumping or countervailing duty application corresponds to the determination that a complaint is properly documented; responding party means:</w:t>
      </w:r>
    </w:p>
    <w:p>
      <w:pPr>
        <w:pStyle w:val="Normal"/>
      </w:pPr>
      <w:r>
        <w:t>(a) for Canada and Mexico, a person or entity that an investigating authority of a Party requires to respond to an antidumping or countervailing duty questionnaire or any other request; and (b) for the United States, a producer, manufacturer, exporter, importer, or, where appropriate, a government or government entity, that an investigating authority of a Party requires to respond to an antidumping or countervailing duty questionnaire; and segment of a proceeding means for Canada and the United States, 2 an antidumping or countervailing duty investigation, review, or other relevant action conducted by an investigating</w:t>
      </w:r>
    </w:p>
    <w:p>
      <w:pPr>
        <w:pStyle w:val="Normal"/>
      </w:pPr>
      <w:r>
        <w:t>authority. For Canada, relevant actions conducted by an investigating authority do not cover duty assessment and related procedures.</w:t>
      </w:r>
    </w:p>
    <w:p>
      <w:pPr>
        <w:pStyle w:val="Heading2"/>
      </w:pPr>
      <w:bookmarkStart w:id="900300" w:name="_Toc300000299"/>
      <w:r>
        <w:t xml:space="preserve">Article 10.5: Rights and Obligations</w:t>
      </w:r>
      <w:bookmarkEnd w:id="900300"/>
    </w:p>
    <w:p>
      <w:pPr>
        <w:pStyle w:val="Normal"/>
      </w:pPr>
      <w:r>
        <w:t xml:space="preserve">1. Each Party retains its rights and obligations under Article VI of GATT 1994, the AD Agreement, and the SCM Agreement. 2. Except as provided in Annex 10-A (Practices Relating to Antidumping and Countervailing Duty Proceedings), nothing in this Agreement shall be construed to confer any rights or impose any obligations on the Parties with respect to antidumping or countervailing duty proceedings or measures taken pursuant to Article VI of GATT 1994, the AD Agreement, or the SCM Agreement. 2 For Mexico, “segment of a proceeding” does not apply. 3. No Party shall have recourse to dispute settlement under this Agreement for any matter arising under this Section or Annex 10-A (Practices Relating to Antidumping and Countervailing Duty Proceedings). Section C: Cooperation on Preventing Duty Evasion of Trade Remedy Laws</w:t>
      </w:r>
    </w:p>
    <w:p>
      <w:pPr>
        <w:pStyle w:val="Heading2"/>
      </w:pPr>
      <w:bookmarkStart w:id="900301" w:name="_Toc300000300"/>
      <w:r>
        <w:t xml:space="preserve">Article 10.6: General</w:t>
      </w:r>
      <w:bookmarkEnd w:id="900301"/>
    </w:p>
    <w:p>
      <w:pPr>
        <w:pStyle w:val="Normal"/>
      </w:pPr>
      <w:r>
        <w:t xml:space="preserve">1. The Parties recognize their shared concerns regarding duty evasion3 of antidumping, countervailing, and safeguard duties, and the importance of cooperation, including through information sharing, to combat duty evasion. 2. The Parties agree to strengthen and expand their customs and trade enforcement efforts in matters related to duty evasion, and to strengthen their cooperation as set out in the Article 10.7 (Duty Evasion Cooperation).</w:t>
      </w:r>
    </w:p>
    <w:p>
      <w:pPr>
        <w:pStyle w:val="Heading2"/>
      </w:pPr>
      <w:bookmarkStart w:id="900302" w:name="_Toc300000301"/>
      <w:r>
        <w:t xml:space="preserve">Article 10.7: Duty Evasion Cooperation</w:t>
      </w:r>
      <w:bookmarkEnd w:id="900302"/>
    </w:p>
    <w:p>
      <w:pPr>
        <w:pStyle w:val="Normal"/>
      </w:pPr>
      <w:r>
        <w:t xml:space="preserve">1. Each Party shall, in accordance with its law cooperate with the other Parties for the purposes of enforcing or assisting in the enforcement of their respective measures concerning duty evasion. 2. Each Party shall, subject to its law, share customs information with the other Parties pertaining to imports, exports, and transit transactions, to help enable the Parties to combat duty evasion and conduct joint or coordinated analysis and investigations of suspected duty evasion. In addition, each Party shall maintain a mechanism through which it can share information with the other Parties regarding entries that may involve evasion of antidumping, countervailing, or safeguard duties, including the information described in paragraph 3. The information referred to in this paragraph may be trader-specific or it may include an industry sector or group of traders. 3.</w:t>
      </w:r>
    </w:p>
    <w:p>
      <w:pPr>
        <w:pStyle w:val="Normal"/>
      </w:pPr>
      <w:r>
        <w:t>Each Party shall, subject to its law and on the request of another Party, provide the requesting Party with information collected in connection with the imports, exports and transit, and other relevant information that it has or can reasonably obtain, that will help enable the requesting Party to determine whether an entry into its territory is subject to antidumping, countervailing, or safeguard duties imposed by the requesting Party.4 3 For purposes of this Section, “duty evasion” refers to evasion of antidumping, countervailing, or safeguards duties.</w:t>
      </w:r>
    </w:p>
    <w:p>
      <w:pPr>
        <w:pStyle w:val="Normal"/>
      </w:pPr>
      <w:r>
        <w:t>4 For greater certainty, nothing in this Section shall be construed as an obligation on the requested Party to provide an original or copy of an export declaration submitted to its customs administration. 4. A request for information described in paragraph 3 shall be made in writing, by the customs administration of the requesting Party to the customs authority of the requested Party, by electronic means or any other acceptable method, and shall include sufficient information for the requested Party to respond. 5. A Party may request in writing that another Party conduct a duty evasion verification5 in the requested Party’s territory for the purposes of obtaining information, including documents, from an exporter or producer, to enable the requesting Party to determine whether a particular entry into the requesting Party’s territory is subject to antidumping, countervailing, or safeguard duties imposed by the requesting Party. The requested Party shall respond to the request promptly and in any case no later than 30 days after the date it receives the request.</w:t>
      </w:r>
    </w:p>
    <w:p>
      <w:pPr>
        <w:pStyle w:val="Normal"/>
      </w:pPr>
      <w:r>
        <w:t>The response must include whether it will conduct the duty evasion verification. If the Party does not intend to conduct the duty evasion verification, the response must indicate the basis for refusal. If a Party will conduct the duty evasion verification, the response must indicate the intended timing and other relevant details. 6.</w:t>
      </w:r>
    </w:p>
    <w:p>
      <w:pPr>
        <w:pStyle w:val="Normal"/>
      </w:pPr>
      <w:r>
        <w:t>If the requested Party conducts a duty evasion verification under paragraph 5 it shall provide the requesting Party promptly on completing the duty evasion verification a report containing the relevant information including data and documents, obtained during its duty evasion verification. 7. Regardless of whether a request to conduct a verification was made under paragraph 5, a duty evasion verification may be conducted in the relevant facilities located in the territory of the requested Party, as a result of a request. The requested Party normally shall grant the other Party access to its territory to participate in the duty evasion verification, absent extraordinary circumstances, provided that: (a) the duty evasion verification is subject to mutually agreed conditions and procedures between the Parties;6 (b) the requesting Party gives reasonable advance notice to the requested Party before the proposed date of the duty evasion verification; and (c) the parties to be verified in the requested Party consent to the duty evasion verification.</w:t>
      </w:r>
    </w:p>
    <w:p>
      <w:pPr>
        <w:pStyle w:val="Normal"/>
      </w:pPr>
      <w:r>
        <w:t>5 For greater certainty, a duty evasion verification visit to facilities located in the territory of a requested Party shall be subject to paragraph 7. 6 For the purposes of subparagraph (a), the Parties may agree to use any applicable mechanism, including existing bilateral cooperation mechanisms. 8.</w:t>
      </w:r>
    </w:p>
    <w:p>
      <w:pPr>
        <w:pStyle w:val="Normal"/>
      </w:pPr>
      <w:r>
        <w:t>Each Party shall maintain procedures that permit the sharing of confidential information with the other Parties, as a result of a request under paragraph 3 or a duty evasion verification report under paragraph 6, for the limited purpose of determining if duty evasion exists. If a Party, or a verified party, provides information to another Party in accordance with this Section and designates the information as confidential or is confidential under the receiving Party’s law, such receiving Party shall keep the information confidential in accordance with its law. If the receiving Party has not kept the information confidential in accordance with its law, a Party may decline to provide information requested by another Party in future requests for confidential information. The receiving Party may use or disclose confidential information received from the other Party under this Section but only for the purposes of administration or enforcement of its customs laws or as otherwise provided under the Party’s law, including in an administrative, quasi-judicial, or judicial proceeding. SECTION D: REVIEW AND DISPUTE SETTLEMENT IN ANTIDUMPING AND COUNTERVAILING DUTY MATTERS</w:t>
      </w:r>
    </w:p>
    <w:p>
      <w:pPr>
        <w:pStyle w:val="Heading2"/>
      </w:pPr>
      <w:bookmarkStart w:id="900303" w:name="_Toc300000302"/>
      <w:r>
        <w:t xml:space="preserve">Article 10.8: Definitions</w:t>
      </w:r>
      <w:bookmarkEnd w:id="900303"/>
    </w:p>
    <w:p>
      <w:pPr>
        <w:pStyle w:val="Normal"/>
      </w:pPr>
      <w:r>
        <w:t xml:space="preserve">For purposes of this Section and Annex 10-B.1 (Establishment of Binational Panels), Annex 10-B.2 (Panel Procedures under Article 10.11), Annex 10-B.3 (Extraordinary Challenge Procedure), Annex 10-B.4 (Special Committee Procedures), and Annex 10-B.5 (Amendments to Domestic Laws): administrative record means, unless otherwise agreed by the Parties and the other persons appearing before a panel: (a) all documentary or other information presented to or obtained by the competent investigating authority in the course of the administrative proceeding, including any governmental memoranda pertaining to the case, and including any record of ex parte meetings as may be required to be kept; (b) a copy of the final determination of the competent investigating authority, including reasons for the determination; (c) all transcripts or records of conferences or hearings before the competent investigating authority; and (d) all notices published in the official journal of the importing Party in connection with the administrative proceeding; antidumping statute means: (a) in the case of Canada, the relevant provisions of the Special Import Measures Act, as amended, and any successor statutes;</w:t>
      </w:r>
    </w:p>
    <w:p>
      <w:pPr>
        <w:pStyle w:val="Normal"/>
      </w:pPr>
      <w:r>
        <w:t>(b) in the case of Mexico, the relevant provisions of the Foreign Trade Act (Ley de Comercio Exterior), as amended, and any successor statutes; (c) in the case of the United States, the relevant provisions of Title VII of the Tariff Act of 1930, as amended, and any successor</w:t>
      </w:r>
    </w:p>
    <w:p>
      <w:pPr>
        <w:pStyle w:val="Normal"/>
      </w:pPr>
      <w:r>
        <w:t>statutes; and (d) the provisions of any other statute that provides for judicial review of final determinations under subparagraph (a), (b), or (c), or indicates the standard of review to be applied to such determinations; competent investigating authority means: (a) in the case of Canada: (i) the President of the Canada Border Services Agency as defined in the Special Import Measures Act, as amended, or the President’s successor; or (ii) the Canadian International Trade Tribunal, or its successor; (b) in the case of Mexico, the designated authority within the Secretariat of Economy (Secretaría de Economía), or its successor; and (c) in the case of the United States: (i) the International Trade Administration of the United States Department of Commerce, or its successor, or (ii) the United States International Trade Commission, or its successor; countervailing duty statute means: (a) in the case of Canada, the relevant provisions of the Special Import Measures Act, as amended, and any successor statutes;</w:t>
      </w:r>
    </w:p>
    <w:p>
      <w:pPr>
        <w:pStyle w:val="Normal"/>
      </w:pPr>
      <w:r>
        <w:t>(b) in the case of Mexico, the relevant provisions of the Foreign Trade Act (Ley de Comercio Exterior), as amended, and any successor statutes; (c) in the case of the United States, section 303 and the relevant provisions of Title VII of the Tariff Act of 1930, as amended, and any successor statutes; and (d) the provisions of any other statute that provides for judicial review of final determinations under subparagraph (a), (b), or (c), or indicates the standard of review</w:t>
      </w:r>
    </w:p>
    <w:p>
      <w:pPr>
        <w:pStyle w:val="Normal"/>
      </w:pPr>
      <w:r>
        <w:t>to be applied to such determinations; domestic law for purposes of Article 10.13.1 (Safeguarding the Panel Review System) means a Party’s constitution, statutes, regulations and judicial decisions to the extent they are relevant to the antidumping and countervailing duty laws; final determination means: (a) in the case of Canada:</w:t>
      </w:r>
    </w:p>
    <w:p>
      <w:pPr>
        <w:pStyle w:val="Normal"/>
      </w:pPr>
      <w:r>
        <w:t>(i) an order or finding of the Canadian International Trade Tribunal under subsection 43(1) of the Special Import Measures Act, (ii) an order by the Canadian International Trade Tribunal under subsection 76(4) of the Special Import Measures Act, as amended, continuing an order or finding made under subsection 43(1) of the Act with or without amendment, (iii) a determination by the President of the Canada Border Services Agency pursuant to section 41 of the Special Import Measures Act, as amended, (iv) a redetermination by the President pursuant to section 59 of the Special Import Measures Act, as amended, (v) a decision by the Canadian International Trade Tribunal pursuant to subsection 76(3) of the Special Import Measures Act, as amended, not to initiate a review, (vi) a reconsideration by the Canadian International Trade Tribunal pursuant to subsection 91(3) of the Special Import Measures Act, as amended, and (vii) a review by the President of an undertaking pursuant to subsection 53(1) of the Special Import Measures Act, as amended; and (b) in the case of Mexico:</w:t>
      </w:r>
    </w:p>
    <w:p>
      <w:pPr>
        <w:pStyle w:val="Normal"/>
      </w:pPr>
      <w:r>
        <w:t>(i) a final resolution regarding antidumping or countervailing duties investigations</w:t>
      </w:r>
    </w:p>
    <w:p>
      <w:pPr>
        <w:pStyle w:val="Normal"/>
      </w:pPr>
      <w:r>
        <w:t>by the Secretariat of Economy (Secretaría de Economía), pursuant to Article 59 of the Foreign Trade Act (Ley de Comercio Exterior), as amended, (ii) a final resolution regarding an annual administrative review of antidumping or countervailing duties by the Secretariat of Economy (Secretaría de Economía), as described in subparagraph (o) of its Schedule to Annex 10-B.5 (Amendments to Domestic Laws), and (iii) a final resolution by the Secretariat of Economy (Secretaría de Economía), as to whether a particular type of merchandise is within the class or kind of merchandise described in an existing antidumping or countervailing duty resolution; and (c) in the case of the United States:</w:t>
      </w:r>
    </w:p>
    <w:p>
      <w:pPr>
        <w:pStyle w:val="Normal"/>
      </w:pPr>
      <w:r>
        <w:t>(i) a final affirmative determination by the International Trade Administration of the United States Department of Commerce or by the United States International Trade Commission under section 705 or 735 of the Tariff Act of 1930, as amended, including any negative part of such a determination, (ii) a final negative determination by the International Trade Administration of the United States Department of Commerce or by the United States International Trade Commission under section 705 or 735 of the Tariff Act of 1930, as amended, including any affirmative part of such a determination, (iii) a final determination, other than a determination in (iv), under section 751 of the Tariff Act of 1930, as amended, (iv) a determination by the United States International Trade Commission under section 751(b)</w:t>
      </w:r>
    </w:p>
    <w:p>
      <w:pPr>
        <w:pStyle w:val="Normal"/>
      </w:pPr>
      <w:r>
        <w:t>of the Tariff Act of 1930, as amended, not to review a determination based on changed circumstances, and (v) a final determination by the International Trade Administration of the United States Department of Commerce as to whether a particular type of merchandise is within the class or kind of merchandise described in an existing finding of dumping or antidumping or countervailing duty order; foreign interests includes exporters or producers of the Party whose goods are the subject of the proceeding or, in the case of a countervailing duty proceeding, the government of the Party whose goods are the subject of the proceeding; general legal principles includes principles such as standing, due process, rules of statutory construction, mootness and exhaustion of administrative remedies; goods of a Party means domestic products as these are understood in the GATT 1994; importing Party means the Party that issued the final determination; interested parties includes foreign interests; involved Party means:</w:t>
      </w:r>
    </w:p>
    <w:p>
      <w:pPr>
        <w:pStyle w:val="Normal"/>
      </w:pPr>
      <w:r>
        <w:t>(a) the importing Party; or (b) a Party whose goods are the subject of the final determination; remand means a referral back for a determination not inconsistent with the panel or committee decision; and standard of review means the following standards, as may be amended from time to time by the relevant Party: (a) in the case of Canada, the grounds set out in subsection 18.1(4) of the Federal Court Act, as amended, with respect to all final determinations; (b) in the case of</w:t>
      </w:r>
    </w:p>
    <w:p>
      <w:pPr>
        <w:pStyle w:val="Normal"/>
      </w:pPr>
      <w:r>
        <w:t>Mexico, the standard set out in Article 51 of the Federal Act of Administrative Litigation Procedure (Ley Federal de Procedimiento Contencioso Administrativo), or any successor statutes, based solely on the administrative record; and (c) in the case of the United States; (i) the standard set out in section 516A(b)(l)(B) of the Tariff Act of 1930, as amended, with the exception of a determination referred to in (ii); and (ii) the standard set out in section 516A(b)(l)(A) of the Tariff Act of 1930, as amended, with respect to a determination by the United States International Trade Commission not to initiate a review pursuant to section 751(b) of the Tariff Act of 1930, as amended.</w:t>
      </w:r>
    </w:p>
    <w:p>
      <w:pPr>
        <w:pStyle w:val="Heading2"/>
      </w:pPr>
      <w:bookmarkStart w:id="900304" w:name="_Toc300000303"/>
      <w:r>
        <w:t xml:space="preserve">Article 10.9: General Provisions</w:t>
      </w:r>
      <w:bookmarkEnd w:id="900304"/>
    </w:p>
    <w:p>
      <w:pPr>
        <w:pStyle w:val="Normal"/>
      </w:pPr>
      <w:r>
        <w:t xml:space="preserve">1. Article 10.12 (Review of Final Antidumping Law and Countervailing Duty Law) applies only with respect to goods that the competent investigating authority of the importing Party, applying the importing Party’s antidumping or countervailing duty law to the facts of a specific case, determines are goods of another Party. 2. For purposes of Article 10.11 (Review of Statutory Amendments) and Article 10.12 (Review of Final Antidumping Law and Countervailing Duty Law), panels shall be established in accordance with the provisions of Annex 10-B.1 (Establishment of Binational Panels). 3. Except for Article 34.5 (Entry into Force), no provision of any other Chapter of this Agreement shall be construed as imposing obligations on a Party with respect to the Party’s antidumping law or countervailing duty law.</w:t>
      </w:r>
    </w:p>
    <w:p>
      <w:pPr>
        <w:pStyle w:val="Heading2"/>
      </w:pPr>
      <w:bookmarkStart w:id="900305" w:name="_Toc300000304"/>
      <w:r>
        <w:t xml:space="preserve">Article 10.10: Retention of Domestic Antidumping Law and Countervailing Duty Law</w:t>
      </w:r>
      <w:bookmarkEnd w:id="900305"/>
    </w:p>
    <w:p>
      <w:pPr>
        <w:pStyle w:val="Normal"/>
      </w:pPr>
      <w:r>
        <w:t xml:space="preserve">1. Each Party reserves the right to apply its antidumping law and countervailing duty law to goods imported from the territory of any other Party. Antidumping law and countervailing duty law include, as appropriate for each Party, relevant statutes, legislative history, regulations, administrative practice, and judicial precedents. 2. Each Party reserves the right to change or modify its antidumping law or countervailing duty law, provided that in the case of an amendment to a Party’s antidumping or countervailing duty statute: (a) such amendment shall apply to goods from another Party only if the amending statute specifies that it applies to goods from that Party or from the Parties to this Agreement; (b) the amending Party notifies in writing the Parties to which the amendment applies of the amending statute as far in advance as possible of the date of enactment of such statute;</w:t>
      </w:r>
    </w:p>
    <w:p>
      <w:pPr>
        <w:pStyle w:val="Normal"/>
      </w:pPr>
      <w:r>
        <w:t>(c) following notification, the amending Party, on request of any Party to which the amendment applies, consults with that Party prior to the enactment of the amending statute; and (d) such amendment, as applicable to that other Party, is not inconsistent with: (i) GATT 1994, the AD Agreement or the SCM Agreement, or any successor agreement to which the Parties are party, or (ii) the object and purpose of this Agreement and this Chapter, which is to establish fair and predictable conditions for the progressive</w:t>
      </w:r>
    </w:p>
    <w:p>
      <w:pPr>
        <w:pStyle w:val="Normal"/>
      </w:pPr>
      <w:r>
        <w:t>liberalization of trade between the Parties to this Agreement while maintaining effective and fair disciplines on unfair trade practices, such object and purpose to be ascertained from the provisions of this Agreement, its preamble and objectives, and the practices of the Parties.</w:t>
      </w:r>
    </w:p>
    <w:p>
      <w:pPr>
        <w:pStyle w:val="Heading2"/>
      </w:pPr>
      <w:bookmarkStart w:id="900306" w:name="_Toc300000305"/>
      <w:r>
        <w:t xml:space="preserve">Article 10.11: Review of Statutory Amendments</w:t>
      </w:r>
      <w:bookmarkEnd w:id="900306"/>
    </w:p>
    <w:p>
      <w:pPr>
        <w:pStyle w:val="Normal"/>
      </w:pPr>
      <w:r>
        <w:t xml:space="preserve">1. A Party to which an amendment of another Party’s antidumping or countervailing duty statute applies may request in writing that such amendment be referred to a binational panel for a declaratory opinion as to whether: (a) the amendment does not conform to the provisions of Article 10.10(2)(d)(i) or (ii) (Retention of Domestic Antidumping Law and Countervailing Duty Law); or (b) such amendment has the function and effect of overturning a prior decision of a panel made pursuant to Article 10.12 (Review of Final Antidumping and Countervailing Duty Determinations) and does not conform to the provisions of Article 10.10(2)(d)(i) or (ii) (Retention of Domestic Antidumping Law and Countervailing Duty Law). Such declaratory opinion shall have force or effect only as provided in this Article. 2. The panel shall conduct its review in accordance with the procedures of Annex 10-B.2 (Panel Procedures under Article 10.11). 3. In the event that the panel recommends modifications to the amending statute to remedy a non-conformity that it has identified in its opinion:</w:t>
      </w:r>
    </w:p>
    <w:p>
      <w:pPr>
        <w:pStyle w:val="Normal"/>
      </w:pPr>
      <w:r>
        <w:t>(a) the two Parties shall immediately begin consultations and shall seek to achieve a mutually satisfactory solution to the matter within 90 days of the issuance of the panel’s final declaratory opinion.</w:t>
      </w:r>
    </w:p>
    <w:p>
      <w:pPr>
        <w:pStyle w:val="Normal"/>
      </w:pPr>
      <w:r>
        <w:t>Such solution may include seeking corrective legislation with respect to the statute of the amending Party; (b) if corrective legislation is not enacted within nine months from the end of the 90 day consultation period referred to in subparagraph (a) and no other mutually satisfactory solution has been reached, the Party that requested the panel may: (i) take comparable legislative or equivalent executive action, or (ii) terminate this Agreement with regard to the amending Party on 60 day written notice to that Party.</w:t>
      </w:r>
    </w:p>
    <w:p>
      <w:pPr>
        <w:pStyle w:val="Heading2"/>
      </w:pPr>
      <w:bookmarkStart w:id="900307" w:name="_Toc300000306"/>
      <w:r>
        <w:t xml:space="preserve">Article 10.12: Review of Final Antidumping and Countervailing Duty Determinations</w:t>
      </w:r>
      <w:bookmarkEnd w:id="900307"/>
    </w:p>
    <w:p>
      <w:pPr>
        <w:pStyle w:val="Normal"/>
      </w:pPr>
      <w:r>
        <w:t xml:space="preserve">1. As provided in this Article, each Party shall replace judicial review of final antidumping and countervailing duty determinations with binational panel review. 2. An involved Party may request that a panel review, based on the administrative record, a final antidumping or countervailing duty determination of a competent investigating authority of an importing Party to determine whether such determination was in accordance with the antidumping or countervailing duty law of the importing Party. For this purpose, the antidumping or countervailing duty law consists of the relevant statutes, legislative history, regulations, administrative practice, and judicial precedents to the extent that a court of the importing Party would rely on such materials in reviewing a final determination of the competent investigating authority. Solely for purposes of the panel review provided for in this Article, the antidumping and countervailing duty statutes of the Parties, as those statutes may be amended from time to time, are incorporated into and made a part of this Section. 3.</w:t>
      </w:r>
    </w:p>
    <w:p>
      <w:pPr>
        <w:pStyle w:val="Normal"/>
      </w:pPr>
      <w:r>
        <w:t>The panel shall apply the standard of review set out in Article 10.8 (Definitions) and the general legal principles that a court of the importing Party otherwise would apply to a review of a determination of the competent investigating authority. 4.</w:t>
      </w:r>
    </w:p>
    <w:p>
      <w:pPr>
        <w:pStyle w:val="Normal"/>
      </w:pPr>
      <w:r>
        <w:t>A request for a panel shall be made in writing to the other involved Party within 30 days following the date of publication of the final determination in question in the official journal of the importing Party. In the case of final determinations that are not published in the official journal of the importing Party, the importing Party shall immediately notify the other involved Party of such final determination where it involves goods from the other involved Party, and the other involved Party may request a panel within 30 days of receipt of such notice. Where the competent investigating authority of the importing Party has imposed provisional measures in an investigation, the other involved Party may provide notice of its intention to request a panel under this Article, and the Parties shall begin to establish a panel at that time. Failure to request a panel within the time specified in this paragraph shall preclude review by a panel. 5.</w:t>
      </w:r>
    </w:p>
    <w:p>
      <w:pPr>
        <w:pStyle w:val="Normal"/>
      </w:pPr>
      <w:r>
        <w:t>An involved Party on its own initiative may request review of a final determination by a panel and shall, on request of a person who would otherwise be entitled under the law of the importing Party to commence domestic procedures for judicial review of that final determination, request such review. 6. The panel shall conduct its review in accordance with the procedures established by the Parties pursuant to paragraph 14.</w:t>
      </w:r>
    </w:p>
    <w:p>
      <w:pPr>
        <w:pStyle w:val="Normal"/>
      </w:pPr>
      <w:r>
        <w:t>Where both involved Parties request a panel to review a final determination, a single panel shall review that determination. 7. The competent investigating authority that issued the final determination in question shall have the right to appear and be represented by counsel before the panel. Each Party shall provide that other persons who, pursuant to the law of the importing Party, otherwise would have had the right to appear and be represented in a domestic judicial review proceeding concerning the determination of the competent investigating authority, shall have the right to appear and be represented by counsel before the panel. 8. The panel may uphold a final determination, or remand it for action not inconsistent with the panel’s decision. Where the panel remands a final determination, the panel shall establish as brief a time as is reasonable for compliance with the remand, taking into account the complexity of the factual and legal issues involved and the nature of the panel’s decision.</w:t>
      </w:r>
    </w:p>
    <w:p>
      <w:pPr>
        <w:pStyle w:val="Normal"/>
      </w:pPr>
      <w:r>
        <w:t>In no event shall the time permitted for compliance with a remand exceed an amount of time equal to the maximum amount of time (counted from the date of the filing of a petition, complaint or application) permitted by statute for the competent investigating authority in question to make a final determination in an investigation.</w:t>
      </w:r>
    </w:p>
    <w:p>
      <w:pPr>
        <w:pStyle w:val="Normal"/>
      </w:pPr>
      <w:r>
        <w:t>If review of the action taken by the competent investigating authority on remand is needed, such review shall be before the same panel, which shall normally issue a final decision within 90 days of the date on which such remand action is submitted to it. 9. The decision of a panel under this Article shall be binding on the involved Parties with respect to the particular matter between the Parties that is before the panel. 10. This Agreement shall not affect: (a) the judicial review procedures of any Party; or (b) cases appealed under those procedures, with respect to determinations other than final determinations. 11. A final determination shall not be reviewed under any judicial review procedures of the importing Party if an involved Party requests a panel with respect to that determination within the time limits set out in this Article. No Party may provide in its domestic legislation for an appeal from a panel decision to its domestic courts. 12.</w:t>
      </w:r>
    </w:p>
    <w:p>
      <w:pPr>
        <w:pStyle w:val="Normal"/>
      </w:pPr>
      <w:r>
        <w:t>This Article shall not apply where: (a) neither involved Party seeks panel review of a final determination; (b) a revised final determination is issued as a direct result of judicial review of the original final determination by a court of the importing Party in cases where neither involved Party sought panel review of that original final determination; or (c) a final determination is issued as a direct result of judicial review that was commenced in a court of the importing Party before the date of entry into force of this Agreement. 13. Where, within a reasonable time after the panel decision is issued, an involved Party alleges that:</w:t>
      </w:r>
    </w:p>
    <w:p>
      <w:pPr>
        <w:pStyle w:val="Normal"/>
      </w:pPr>
      <w:r>
        <w:t>(a) (i) a member of the panel was guilty of gross misconduct, bias, or a serious conflict of interest, or otherwise materially violated the rules of conduct, (ii) the panel seriously departed from a fundamental rule of procedure, or (iii) the panel manifestly exceeded its powers, authority or jurisdiction set out in this Article, for example by failing to apply the appropriate standard of review, and (b) any of the actions set out in subparagraph (a) has materially affected the panel’s decision and threatens the integrity of the binational panel review process, that Party may avail itself of the extraordinary challenge procedure set out in Annex 10-B.3 (Extraordinary Challenge Procedure). 14.</w:t>
      </w:r>
    </w:p>
    <w:p>
      <w:pPr>
        <w:pStyle w:val="Normal"/>
      </w:pPr>
      <w:r>
        <w:t>For purposes of this Article, the Parties shall adopt or maintain rules of procedure based, where appropriate, on judicial rules of appellate procedure, and shall include rules concerning: the content and service of requests for panels; a requirement that the competent investigating authority transmit to the panel the administrative record of the proceeding; the protection of business proprietary, government classified, and other privileged information (including sanctions against persons participating before panels for improper release of such information); participation by private persons; limitations on panel review to errors alleged by the Parties or private persons; filing and service; computation and extensions of time; the form and content of briefs and other papers; pre- and post-hearing conferences; motions; oral argument; requests for rehearing; and voluntary terminations of panel reviews. The rules shall be designed to result in final decisions within 315 days of the date on which a request for a panel is made, and shall allow: (a) 30 days for the filing of the complaint;</w:t>
      </w:r>
    </w:p>
    <w:p>
      <w:pPr>
        <w:pStyle w:val="Normal"/>
      </w:pPr>
      <w:r>
        <w:t>(b) 30 days for designation or certification of the administrative record and its filing with the panel; (c) 60 days for the complainant to file its brief; (d) 60 days for the respondent to file its brief; (e) 15 days for the filing of reply briefs; (f) 15 to 30 days for the panel to convene and hear oral argument; and (g) 90 days for the panel to issue its written decision. 15.</w:t>
      </w:r>
    </w:p>
    <w:p>
      <w:pPr>
        <w:pStyle w:val="Normal"/>
      </w:pPr>
      <w:r>
        <w:t>In order to achieve the objectives of this Article, the Parties shall maintain or amend their antidumping and countervailing duty statutes and regulations with respect to antidumping or countervailing duty proceedings involving goods of the other Parties, and other statutes and regulations to the extent that they apply to the operation of the antidumping and countervailing duty laws. In particular, without limiting the generality of the foregoing, each Party shall: (a) maintain or amend its statutes or regulations to ensure that existing procedures concerning the refund, with interest, of antidumping or countervailing duties operate to give effect to a final panel decision that a refund is due;</w:t>
      </w:r>
    </w:p>
    <w:p>
      <w:pPr>
        <w:pStyle w:val="Normal"/>
      </w:pPr>
      <w:r>
        <w:t>(b) maintain or amend its statutes or regulations to ensure that its courts shall give full force and effect, with respect to any person within its jurisdiction, to all sanctions imposed pursuant to the laws of the other Parties to enforce provisions of any protective order or undertaking that such other Party has promulgated or accepted in order to permit access for purposes of panel review or of the extraordinary challenge procedure to confidential, personal, business proprietary or other privileged information; (c) maintain or amend its statutes or regulations to ensure that: (i) domestic procedures for judicial review of a final determination may not be commenced until the time for requesting a panel under paragraph 4 has expired, and (ii) as a prerequisite to commencing domestic</w:t>
      </w:r>
    </w:p>
    <w:p>
      <w:pPr>
        <w:pStyle w:val="Normal"/>
      </w:pPr>
      <w:r>
        <w:t>judicial review procedures to review a final determination, a Party or other person intending to commence such procedures shall provide notice of such intent to the Parties concerned and to other persons entitled to commence such review procedures of the same final determination no later than 10 days prior to the latest date on which a panel may be requested; and (d) maintain the amendments set out in its Schedule to Annex 1904.15 of the NAFTA 1994, as reproduced in Annex 10-B.5 (Amendments to Domestic Laws), and make any conforming amendments necessary.</w:t>
      </w:r>
    </w:p>
    <w:p>
      <w:pPr>
        <w:pStyle w:val="Heading2"/>
      </w:pPr>
      <w:bookmarkStart w:id="900308" w:name="_Toc300000307"/>
      <w:r>
        <w:t xml:space="preserve">Article 10.13: Safeguarding the Panel Review System</w:t>
      </w:r>
      <w:bookmarkEnd w:id="900308"/>
    </w:p>
    <w:p>
      <w:pPr>
        <w:pStyle w:val="Normal"/>
      </w:pPr>
      <w:r>
        <w:t xml:space="preserve">1. Where a Party alleges that the application of another Party’s domestic law: (a) has prevented the establishment of a panel requested by the complaining Party; (b) has prevented a panel requested by the complaining Party from rendering a final decision; (c) has prevented the implementation of the decision of a panel requested by the complaining Party or denied it binding force and effect with respect to the particular matter that was before the panel; or (d) has resulted in a failure to provide opportunity for review of a final determination by a panel or court of competent jurisdiction that is independent of the competent investigating authorities, that examines the basis for the competent investigating authority’s determination and whether the competent investigating authority properly applied domestic antidumping and countervailing duty law in reaching the challenged determination, and that employs the relevant standard of review identified in Article 10.8 (Definitions); the Party may request in writing consultations with the other Party regarding the allegations.</w:t>
      </w:r>
    </w:p>
    <w:p>
      <w:pPr>
        <w:pStyle w:val="Normal"/>
      </w:pPr>
      <w:r>
        <w:t>The consultations shall begin within 15 days of the date of the request. 2. If the matter has not been resolved within 45 days of the request for consultations, or such other period as the consulting Parties may agree, the complaining Party may request the establishment of a special committee. 3.</w:t>
      </w:r>
    </w:p>
    <w:p>
      <w:pPr>
        <w:pStyle w:val="Normal"/>
      </w:pPr>
      <w:r>
        <w:t>Unless otherwise agreed by the disputing Parties, the special committee shall be established within 15 days of a request and perform its functions in a manner consistent with this Section. 4. The roster for special committees shall be that established under Annex 10-B.3 (Extraordinary Challenge Procedure). 5. The special committee shall comprise three members selected in accordance with the procedures set out in Annex 10-B.3 (Extraordinary Challenge Procedure). 6. The Parties shall establish or maintain rules of procedure in accordance with the principles set out in Annex 10-B.4 (Special Committee Procedures). 7. Where the special committee makes an affirmative finding with respect to one of the grounds specified in paragraph 1, the complaining Party and the Party complained against shall begin consultations within 10 days thereafter and shall seek to achieve a mutually satisfactory solution within 60 days of the issuance of the committee’s report. 8.</w:t>
      </w:r>
    </w:p>
    <w:p>
      <w:pPr>
        <w:pStyle w:val="Normal"/>
      </w:pPr>
      <w:r>
        <w:t>If, within the 60 day period, the Parties are unable to reach a mutually satisfactory solution to the matter, or the Party complained against has not demonstrated to the satisfaction of the special committee that it has corrected the problem or problems with respect to which the committee has made an affirmative finding, the complaining Party may suspend: (a) the operation of Article 10.12 (Review of Final Antidumping and Countervailing Duty Determinations) with respect to the Party complained against; or (b) the application to the Party complained against of such benefits under this Agreement as may be appropriate under the circumstances. If the complaining Party decides to take action under this paragraph, it shall do so within 30 days after the end of the 60-day consultation period. 9. In the event that a complaining Party suspends the operation of Article 10.12 (Review of Final Antidumping and Countervailing Duty Determinations) with respect to the Party complained against, the latter Party may reciprocally suspend the operation of Article 10.12 (Review of Final Antidumping and Countervailing Duty Determinations) within 30 days after the suspension of the operation of Article 10.12 (Review of Final Antidumping and Countervailing Duty Determinations) by the complaining Party.</w:t>
      </w:r>
    </w:p>
    <w:p>
      <w:pPr>
        <w:pStyle w:val="Normal"/>
      </w:pPr>
      <w:r>
        <w:t>If either Party decides to suspend the operation of Article 10.12 (Review of Final Antidumping and Countervailing Duty Determinations), it shall provide written notice of such suspension to the other Party. 10. On the request of the Party complained against, the special committee shall reconvene to determine whether: (a) the suspension of benefits by the complaining Party pursuant to paragraph 8(b) is manifestly excessive; or (b) the Party complained against has corrected the problem or problems with respect to which the committee has made an affirmative finding. The special committee shall, within 45 days of the request, present a report to both Parties containing its determination. Where the special committee determines that the Party complained against has corrected the problem or problems, any suspension effected by the complaining Party or the Party complained against, or both, pursuant to paragraph 8 or 9 shall be terminated. 11.</w:t>
      </w:r>
    </w:p>
    <w:p>
      <w:pPr>
        <w:pStyle w:val="Normal"/>
      </w:pPr>
      <w:r>
        <w:t>If the special committee makes an affirmative finding with respect to one of the grounds specified in paragraph 1, then effective as of the day following the date of issuance of the special committee’s report: (a) binational panel or extraordinary challenge committee review under Article 10.12 (Review of Final Antidumping and Countervailing Duty Determinations) shall be stayed (i) in the case of review of any final determination of the complaining Party requested by the Party complained against, if such review was requested after the date on which consultations were requested pursuant to paragraph 1, and in no case more than 150 days prior to an affirmative finding by the special committee, or (ii) in the case of review of any final determination of the Party complained against requested by the complaining Party, at the request of the complaining Party; and (b) the time set out in Article 10.12(4) (Review of Final Antidumping and Countervailing Duty Determinations) or Annex 10-B.3 (Extraordinary Challenge Procedure) for requesting panel or committee review shall not run unless and until resumed in accordance with paragraph 12. 12.</w:t>
      </w:r>
    </w:p>
    <w:p>
      <w:pPr>
        <w:pStyle w:val="Normal"/>
      </w:pPr>
      <w:r>
        <w:t>If either Party suspends the operation of Article 10.12 (Review of Final Antidumping and Countervailing Duty Determinations) pursuant to paragraph 8(a), the panel or committee review stayed under paragraph 11(a) shall be terminated and the challenge to the final determination shall be irrevocably referred to the appropriate domestic court for decision, as provided below: (a) in the case of review of any final determination of the complaining Party requested by the Party complained against, at the request of either Party, or of a party to the panel review under Article 10.12 (Review of Final Antidumping and Countervailing Duty Determinations); or (b) in the case of review of any final determination of the Party complained against requested by the complaining Party, at the request of the complaining Party, or of a person of the complaining Party that is a party to the panel review under Article 10.12 (Review of Final Antidumping and Countervailing Duty Determinations). 13.</w:t>
      </w:r>
    </w:p>
    <w:p>
      <w:pPr>
        <w:pStyle w:val="Normal"/>
      </w:pPr>
      <w:r>
        <w:t>If either Party suspends the operation of Article 10.12 (Review of Antidumping Law and Countervailing Duty Law) pursuant to paragraph 8(a), any running of time suspended under paragraph 11(b) shall resume. 14. If the suspension of the operation of Article 10.12 (Review of Antidumping Law and Countervailing Duty Law) does not become effective, panel or committee review stayed under paragraph 11(a), and any running of time suspended under paragraph 11(b), shall resume. 15.</w:t>
      </w:r>
    </w:p>
    <w:p>
      <w:pPr>
        <w:pStyle w:val="Normal"/>
      </w:pPr>
      <w:r>
        <w:t>If the complaining Party suspends the application to the Party complained against of such benefits under the Agreement as may be appropriate under the circumstances pursuant to paragraph 8(b), panel or committee review stayed under paragraph 11(a), and any running of time suspended under paragraph 11(b), shall resume. 16. Each Party shall provide in its domestic legislation that, in the event of an affirmative finding by the special committee, the time for requesting judicial review of a final antidumping or countervailing duty determination shall not run unless and until the Parties concerned have negotiated a mutually satisfactory solution under paragraph 7, have suspended the operation of Article 10.12 (Review of Antidumping Law and Countervailing Duty Law) or the application of other benefits under paragraph 8.</w:t>
      </w:r>
    </w:p>
    <w:p>
      <w:pPr>
        <w:pStyle w:val="Heading2"/>
      </w:pPr>
      <w:bookmarkStart w:id="900309" w:name="_Toc300000308"/>
      <w:r>
        <w:t xml:space="preserve">Article 10.14: Prospective Application</w:t>
      </w:r>
      <w:bookmarkEnd w:id="900309"/>
    </w:p>
    <w:p>
      <w:pPr>
        <w:pStyle w:val="Normal"/>
      </w:pPr>
      <w:r>
        <w:t xml:space="preserve">This Section shall apply only prospectively to: (a) final determinations of a competent investigating authority made after the date of entry into force of this Agreement; and (b) with respect to declaratory opinions under Article 10.11 (Review of Statutory Amendments), amendments to antidumping or countervailing duty statutes enacted after the date of entry into force of this Agreement.</w:t>
      </w:r>
    </w:p>
    <w:p>
      <w:pPr>
        <w:pStyle w:val="Heading2"/>
      </w:pPr>
      <w:bookmarkStart w:id="900310" w:name="_Toc300000309"/>
      <w:r>
        <w:t xml:space="preserve">Article 10.15: Consultations</w:t>
      </w:r>
      <w:bookmarkEnd w:id="900310"/>
    </w:p>
    <w:p>
      <w:pPr>
        <w:pStyle w:val="Normal"/>
      </w:pPr>
      <w:r>
        <w:t xml:space="preserve">1. The Parties shall consult annually, or on the request of any Party, to consider any problems that may arise with respect to the implementation or operation of this Section and recommend solutions, where appropriate. The Parties shall each designate one or more officials, including officials of the competent investigating authorities, to be responsible for ensuring that consultations occur, when required, so that the provisions of this Section are carried out expeditiously. 2. The Parties further agree to consult on: (a) the potential to develop more effective rules and disciplines concerning the use of government subsidies; and (b) the potential for reliance on a substitute system of rules for dealing with unfair transborder pricing practices and government subsidization. 3. The competent investigating authorities of the Parties shall consult annually, or on the request of any Party, and may submit reports to the Commission, where appropriate.</w:t>
      </w:r>
    </w:p>
    <w:p>
      <w:pPr>
        <w:pStyle w:val="Normal"/>
      </w:pPr>
      <w:r>
        <w:t>In the context of these consultations, the Parties agree that it is desirable in the administration of antidumping and countervailing duty laws to: (a) publish notice of initiation of investigations in the importing Party’s official journal, setting forth the nature of the proceeding, the legal authority under which the proceeding is initiated, and a description of the goods at issue; (b) provide notice of the times for submissions of information and for decisions that the competent investigating authorities are expressly required by statute or regulations to make; (c) provide explicit written notice and instructions as to the information required from interested parties and reasonable time to respond to requests for information;</w:t>
      </w:r>
    </w:p>
    <w:p>
      <w:pPr>
        <w:pStyle w:val="Normal"/>
      </w:pPr>
      <w:r>
        <w:t>(d) accord reasonable access to information, noting that in this context (i) “reasonable access” means access during the course of the investigation, to the extent practicable, so as to permit an opportunity to present facts and arguments as set out in paragraph (e); when it is not practicable to provide access to information during the investigation in such time as to permit an opportunity to present facts and arguments, reasonable access shall mean in time to permit the adversely affected party to make an informed decision as to whether to seek judicial or panel review, and (ii) “access to information” means access to representatives determined by the competent investigating authority to be qualified to have access to information received by that</w:t>
      </w:r>
    </w:p>
    <w:p>
      <w:pPr>
        <w:pStyle w:val="Normal"/>
      </w:pPr>
      <w:r>
        <w:t>competent investigating authority, including access to confidential (business proprietary) information, but does not include information of such high degree of sensitivity that its release would lead to substantial and irreversible harm to the owner or which is required to be kept confidential in accordance with domestic law of a Party; any privileges arising under the domestic law of the importing Party relating to communications between the competent investigating authorities and a lawyer in the employ of, or providing advice to, those authorities may be maintained; (e) provide an opportunity for interested parties to present facts and arguments, to the extent time permits, including an opportunity to comment on the preliminary determination of dumping or of subsidization; (f) protect confidential (business proprietary) information received by the competent investigating authority to ensure that there is no disclosure except to representatives determined by the competent investigating authority to be qualified; (g) prepare administrative records, including recommendations of official advisory bodies that may be required to be kept, and any record of ex parte meetings that may be required to be kept;</w:t>
      </w:r>
    </w:p>
    <w:p>
      <w:pPr>
        <w:pStyle w:val="Normal"/>
      </w:pPr>
      <w:r>
        <w:t>(h) provide disclosure of relevant information, including an explanation of the calculation or the methodology used to determine the margin of dumping or the amount of the subsidy, on which any preliminary or final determination of dumping or of subsidization is based, within a</w:t>
      </w:r>
    </w:p>
    <w:p>
      <w:pPr>
        <w:pStyle w:val="Normal"/>
      </w:pPr>
      <w:r>
        <w:t>reasonable time after a request by interested parties; (i) provide a statement of reasons concerning the final determination of dumping or subsidization; and (j) provide a statement of reasons for final determinations concerning material injury to a domestic industry, threat of material injury to a domestic industry or material retardation of the establishment of such an industry. Inclusion of an item in subparagraphs (a) through (j) is not intended to serve as guidance to a binational panel reviewing a final antidumping or countervailing duty determination pursuant to Article 10.12 (Review of Final Antidumping and Countervailing Duty Determinations) in determining whether such determination was in accordance with the antidumping or countervailing duty law of the importing Party.</w:t>
      </w:r>
    </w:p>
    <w:p>
      <w:pPr>
        <w:pStyle w:val="Heading2"/>
      </w:pPr>
      <w:bookmarkStart w:id="900311" w:name="_Toc300000310"/>
      <w:r>
        <w:t xml:space="preserve">Article 10.16: Special Secretariat Provisions</w:t>
      </w:r>
      <w:bookmarkEnd w:id="900311"/>
    </w:p>
    <w:p>
      <w:pPr>
        <w:pStyle w:val="Normal"/>
      </w:pPr>
      <w:r>
        <w:t xml:space="preserve">1. Each Party shall maintain a Secretariat to facilitate the operation of this Section, including the work of panels or committees that may be convened pursuant to this Section. 2. The Secretaries of the Secretariat shall act jointly to provide administrative assistance to all panels or committees established pursuant to this Section. The Secretary for the Section of the Party in which a panel or committee proceeding is held shall prepare a record thereof and shall preserve an authentic copy of the same in that Party’s Section office. Such Secretary shall, on request, provide to the Secretary for the Section of another Party a copy of such portion of the record as is requested, except that only public portions of the record shall be provided to the Secretary for the Section of any Party that is not an involved Party. 3.</w:t>
      </w:r>
    </w:p>
    <w:p>
      <w:pPr>
        <w:pStyle w:val="Normal"/>
      </w:pPr>
      <w:r>
        <w:t>Each Secretary shall receive and file all requests, briefs and other papers properly presented to a panel or committee in any proceeding before it that is instituted pursuant to this Section and shall number in numerical order all requests for a panel or committee. The number given to a request shall be the file number for briefs and other papers relating to such request. 4.</w:t>
      </w:r>
    </w:p>
    <w:p>
      <w:pPr>
        <w:pStyle w:val="Normal"/>
      </w:pPr>
      <w:r>
        <w:t>The Secretary for the Section of the Party in which a panel or committee proceeding is held shall forward to the Secretary for the Section of the other involved Party copies of all official letters, documents or other papers received or filed with that Party’s Section office pertaining to any proceeding before a panel or committee, except for the administrative record, which shall be handled in accordance with paragraph 2. The Secretary for the Section of an involved Party shall provide on request to the Secretary for the Section of a Party that is not an involved Party in the proceeding a copy of such public documents as are requested.</w:t>
      </w:r>
    </w:p>
    <w:p>
      <w:pPr>
        <w:pStyle w:val="Heading2"/>
      </w:pPr>
      <w:bookmarkStart w:id="900312" w:name="_Toc300000311"/>
      <w:r>
        <w:t xml:space="preserve">Article 10.17: Code of Conduct</w:t>
      </w:r>
      <w:bookmarkEnd w:id="900312"/>
    </w:p>
    <w:p>
      <w:pPr>
        <w:pStyle w:val="Normal"/>
      </w:pPr>
      <w:r>
        <w:t xml:space="preserve">The Parties shall exchange letters establishing or maintaining a code of conduct for panelists and members of committees established pursuant to Article 10.11 (Review of Statutory Amendments), Article 10.12 (Review of Final Antidumping and Countervailing Duty Determinations), and Article 10.13 (Safeguarding the Panel Review System).</w:t>
      </w:r>
    </w:p>
    <w:p>
      <w:pPr>
        <w:pStyle w:val="Heading2"/>
      </w:pPr>
      <w:bookmarkStart w:id="900313" w:name="_Toc300000312"/>
      <w:r>
        <w:t xml:space="preserve">Article 10.18: Miscellaneous</w:t>
      </w:r>
      <w:bookmarkEnd w:id="900313"/>
    </w:p>
    <w:p>
      <w:pPr>
        <w:pStyle w:val="Normal"/>
      </w:pPr>
      <w:r>
        <w:t xml:space="preserve">On request of another Party, the competent investigating authority of a Party shall provide to the other Party copies of all public information submitted to it for purposes of an antidumping or countervailing duty investigation with respect to goods of that other Party.</w:t>
      </w:r>
    </w:p>
    <w:p>
      <w:pPr>
        <w:pStyle w:val="Heading2"/>
      </w:pPr>
      <w:bookmarkStart w:id="900314" w:name="_Toc300000313"/>
      <w:r>
        <w:t xml:space="preserve">ANNEX 10-A PRACTICES RELATING TO ANTIDUMPING AND COUNTERVAILING DUTY PROCEEDINGS</w:t>
      </w:r>
      <w:bookmarkEnd w:id="900314"/>
    </w:p>
    <w:p>
      <w:pPr>
        <w:pStyle w:val="Normal"/>
      </w:pPr>
      <w:r>
        <w:t xml:space="preserve">The Parties recognize the right to apply trade remedy measures consistent with Article VI of GATT 1994, the AD Agreement, and the SCM Agreement, and the importance of promoting transparency in antidumping and countervailing duty proceedings and of ensuring the opportunity of all interested parties to participate meaningfully in such proceedings.7 1. To facilitate access to information relevant to antidumping and countervailing duty proceedings, a Party shall publish online the following: (a) laws and regulations that pertain to its antidumping and countervailing duty proceedings; and (b) sample questionnaires that it would issue in a typical antidumping proceeding. In publishing information online, a Party shall endeavor to minimize the number of webpages on which it provides such information. A Party shall also endeavor to publish online other information relevant to antidumping and countervailing duty proceedings such as manuals, guidelines, templates, and other reference and orientation materials, where applicable.8 2.</w:t>
      </w:r>
    </w:p>
    <w:p>
      <w:pPr>
        <w:pStyle w:val="Normal"/>
      </w:pPr>
      <w:r>
        <w:t>For each antidumping and countervailing duty proceeding which involves imports of another Party, initiated9 after the date of entry into force of this Agreement, each investigating authority of a Party shall maintain and make available without charge online for all interested parties:10 7 With regards to the provisions in this Annex, the Parties shall protect the confidentiality of the information pursuant to each Party’s law. 8 For greater certainty, the documents listed in this paragraph are not intended to constitute a comprehensive list of documents relating to antidumping and countervailing duty proceedings and no inference shall be drawn from this list’s inclusion or exclusion of a particular document. Such documents may be published online to the extent that they are available. 9 For greater certainty, when the proceedings involve imports from other countries of the same subject merchandise and are initiated on the same date, this paragraph also applies. 10 For greater certainty, for the United States, this paragraph shall not impact information and data already made publicly available pursuant to its law.</w:t>
      </w:r>
    </w:p>
    <w:p>
      <w:pPr>
        <w:pStyle w:val="Normal"/>
      </w:pPr>
      <w:r>
        <w:t>10-A-1 (a) a file that contains: (i) all non-confidential documents that are part of its administrative record for each segment of a proceeding, or proceeding in the case of Mexico, and (ii) to the extent feasible without revealing confidential information, non- confidential summaries of confidential information contained in its administrative record;11 and (b) a listing of all documents that are part of its administrative record for each segment of a proceeding, or proceeding in the case of Mexico, in a manner that enables any interested party to identify and locate particular documents in the file. If technical constraints prevent online access to a document that is part of its administrative record for each segment of a proceeding, or proceeding in the case of Mexico, the investigating authority may instead make the document available for all interested parties, pursuant to the domestic legislation of the Party, by means of physical inspection during the investigating authority’s normal business hours. 3.</w:t>
      </w:r>
    </w:p>
    <w:p>
      <w:pPr>
        <w:pStyle w:val="Normal"/>
      </w:pPr>
      <w:r>
        <w:t>Each investigating authority of a Party shall maintain or establish a system through which interested parties participating in an antidumping or countervailing duty segment of a proceeding, or proceeding in the case of Mexico, shall submit documents electronically in such a segment of a proceeding, or proceeding in the case of Mexico.</w:t>
      </w:r>
    </w:p>
    <w:p>
      <w:pPr>
        <w:pStyle w:val="Normal"/>
      </w:pPr>
      <w:r>
        <w:t>Notwithstanding the previous sentence, each investigating authority of a Party may require manual submission of a petition, or of other documents in exceptional circumstances, including where technical constraints may impact the ability of interested parties to submit certain documents electronically. 4. For the purposes of paragraphs 2 and 3, the online access point and the system for submitting documents electronically shall be established or maintained beginning no later than five years after the date of entry into force of this Agreement. (a) If a Party requests assistance with implementation of these obligations from another Party, that Party may provide assistance to the extent practicable. The Parties recognize that a need for assistance may necessitate additional flexibility in implementing the systems set forth in paragraphs 2 and 3, pursuant to the provisions in paragraph 4(b). 11 To the extent that individual information is not susceptible of summarization without disclosing confidential information, it may be aggregated. Nothing in this paragraph shall require an investigating authority to make publicly available a non-confidential summary of a questionnaire response that the investigating authority treats as confidential in its entirety.</w:t>
      </w:r>
    </w:p>
    <w:p>
      <w:pPr>
        <w:pStyle w:val="Normal"/>
      </w:pPr>
      <w:r>
        <w:t>10-A-2 (b) The Parties are aware of the technical and financial difficulties of establishing and maintaining the systems set forth in paragraphs 2 and 3, and may consult to discuss additional flexibility regarding the establishment and maintenance of such systems, as necessary. 5. On receipt of a formally filed antidumping or countervailing duty application with respect to imports of another Party, and normally no later than seven days prior to the date on which the investigating authority issues a determination on the application, the Party shall notify the other Party or Parties that it received the application.12 6. In any segment of a proceeding, or proceeding in the case of Mexico, in which an investigating authority of a Party determines to conduct an in-person verification of information provided by a responding party and pertinent to the calculation of an antidumping duty margin or the level of a countervailable subsidy, the investigating authority shall promptly notify the responding party of its intent to do so, and normally shall:</w:t>
      </w:r>
    </w:p>
    <w:p>
      <w:pPr>
        <w:pStyle w:val="Normal"/>
      </w:pPr>
      <w:r>
        <w:t>(a) provide the responding party advance notice of the dates on which the investigating authority intends to conduct any such in-person verification of information; (b) prior to any such in-person verification, provide the responding party a document that sets forth the topics the responding party should be prepared to address during the verification and describes the types of supporting documentation the responding party should make</w:t>
      </w:r>
    </w:p>
    <w:p>
      <w:pPr>
        <w:pStyle w:val="Normal"/>
      </w:pPr>
      <w:r>
        <w:t>available for review; (c) after the verification is completed prepare a written report describing the methods and procedures that it followed in carrying out the verification and the results of the verification; and (d) make the report available to all interested parties, without disclosing confidential information, in sufficient time for the interested parties to defend their interests in the segment of a proceeding, or proceeding in the case of Mexico. 7. An investigating authority of a Party shall disclose, among other things, for each interested party for whom the investigating authority has determined an individual rate of duty, the calculations used to determine the rate of dumping or countervailable subsidization and, if different, the calculations used to determine the rate of duty to be applied to imports of the interested party. The disclosure and explanation shall be in sufficient detail so as to permit the interested party to reproduce the calculations without undue difficulty.</w:t>
      </w:r>
    </w:p>
    <w:p>
      <w:pPr>
        <w:pStyle w:val="Normal"/>
      </w:pPr>
      <w:r>
        <w:t>Such disclosure shall include, whether in electronic format, such as a computer program or spreadsheet, or in any other medium, a detailed explanation of the information the investigating authority used, the sources 12 For Mexico, this notification shall apply only to an affirmative determination on the application.</w:t>
      </w:r>
    </w:p>
    <w:p>
      <w:pPr>
        <w:pStyle w:val="Normal"/>
      </w:pPr>
      <w:r>
        <w:t xml:space="preserve">10-A-3 of that information, and any adjustments it made to the information when used in the calculations.13 The investigating authority shall provide interested parties adequate opportunity to respond to the disclosure. 8. On receipt of a formally filed antidumping or countervailing duty application by the investigating authority of a Party against imports of goods from a non-Party, the investigating authorities of the other Parties may consider the information and data in the application and make a determination as to whether self-initiation of an antidumping or countervailing duty investigation or other relevant action is warranted. 9. To the extent feasible, Parties may exchange non-Parties’ subsidy information and consider whether self-initiation of a countervailing duty investigation or other relevant action is warranted. 13 When making such disclosure, the disclosing Party shall protect the confidentiality of the information in the disclosure pursuant its law. 10-A-4</w:t>
      </w:r>
    </w:p>
    <w:p>
      <w:pPr>
        <w:pStyle w:val="Heading2"/>
      </w:pPr>
      <w:bookmarkStart w:id="900315" w:name="_Toc300000314"/>
      <w:r>
        <w:t xml:space="preserve">ANNEX 10-B.1 ESTABLISHMENT OF BINATIONAL PANELS</w:t>
      </w:r>
      <w:bookmarkEnd w:id="900315"/>
    </w:p>
    <w:p>
      <w:pPr>
        <w:pStyle w:val="Normal"/>
      </w:pPr>
      <w:r>
        <w:t xml:space="preserve">1. On the date of entry into force of this Agreement, the Parties shall establish or maintain a roster of individuals to serve as panelists in disputes under Section D.</w:t>
      </w:r>
    </w:p>
    <w:p>
      <w:pPr>
        <w:pStyle w:val="Normal"/>
      </w:pPr>
      <w:r>
        <w:t>The roster shall include judges or former judges to the fullest extent practicable. The Parties shall consult in developing the roster, which shall include at least 75 candidates.</w:t>
      </w:r>
    </w:p>
    <w:p>
      <w:pPr>
        <w:pStyle w:val="Normal"/>
      </w:pPr>
      <w:r>
        <w:t>Each Party shall select at least 25 candidates, and all candidates shall be citizens of Canada, Mexico, or the United States. Candidates shall be of good character, high standing and repute, and shall be chosen strictly on the basis of objectivity, reliability, sound judgment and general familiarity with international trade law. Candidates shall not be affiliated with a Party, and in no event shall a candidate take instructions from a Party. The Parties shall maintain the roster, and may amend it, when necessary, after consultations. 2. A majority of the panelists on each panel shall be lawyers in good standing. Within 30 days of a request for a panel, each involved Party shall appoint two panelists, in consultation with the other involved Party. The involved Parties normally shall appoint panelists from the roster. If a panelist is not selected from the roster, the panelist shall be chosen in accordance with and be subject to the criteria of paragraph 1.</w:t>
      </w:r>
    </w:p>
    <w:p>
      <w:pPr>
        <w:pStyle w:val="Normal"/>
      </w:pPr>
      <w:r>
        <w:t>Each involved Party shall have the right to exercise four peremptory challenges, to be exercised simultaneously and in confidence, disqualifying from appointment to the panel up to four candidates proposed by the other involved Party. Peremptory challenges and the selection of alternative panelists shall occur within 45 days of the request for the panel.</w:t>
      </w:r>
    </w:p>
    <w:p>
      <w:pPr>
        <w:pStyle w:val="Normal"/>
      </w:pPr>
      <w:r>
        <w:t>If an involved Party fails to appoint its members to a panel within 30 days or if a panelist is struck and no alternative panelist is selected within 45 days, such panelist shall be selected by lot on the 31st or 46th day, as the case may be, from that Party’s candidates on the roster. 3. Within 55 days of the request for a panel, the involved Parties shall agree on the selection of a fifth panelist. If the involved Parties are unable to agree, they shall decide by lot which of them shall select, by the 61st day, the fifth panelist from the roster, excluding candidates eliminated by peremptory challenges. 4. On appointment of the fifth panelist, the panelists shall promptly appoint a chair from among the lawyers on the panel by majority vote of the panelists. If there is no majority vote, the chair shall be appointed by lot from among the lawyers on the panel. 5. Decisions of the panel shall be by majority vote and based on the votes of all members of the panel.</w:t>
      </w:r>
    </w:p>
    <w:p>
      <w:pPr>
        <w:pStyle w:val="Normal"/>
      </w:pPr>
      <w:r>
        <w:t>The panel shall issue a written decision with reasons, together with any dissenting or concurring opinions of panelists. 6. Panelists shall be subject to the code of conduct established pursuant to Article 10.17 (Code of Conduct). If an involved Party believes that a panelist is in violation of the code of 10-B.1-1 conduct, the involved Parties shall consult and if they agree, the panelist shall be removed and a new panelist shall be selected in accordance with the procedures of this Annex. 7.</w:t>
      </w:r>
    </w:p>
    <w:p>
      <w:pPr>
        <w:pStyle w:val="Normal"/>
      </w:pPr>
      <w:r>
        <w:t>When a panel is convened pursuant to Article 10.12 (Review of Final Antidumping and Countervailing Duty Determinations) each panelist shall be required to sign: (a) an application for protective order for information supplied by the United States or its persons covering business proprietary and other privileged information; (b) an undertaking for information supplied by Canada or its persons covering confidential, personal, business proprietary and other privileged information; or (c) an undertaking for information supplied by Mexico or its persons covering confidential, business proprietary and other privileged information. 8. On a panelist’s acceptance of the obligations and terms of an application for protective order or disclosure undertaking, the importing Party shall grant access to the information covered by such order or disclosure undertaking. Each Party shall establish appropriate sanctions for violations of protective orders or disclosure undertakings issued by or given to any Party. Each Party shall enforce such sanctions with respect to any person within its jurisdiction. Failure by a panelist to sign an application for a protective order or disclosure undertaking shall result in disqualification of the panelist. 9.</w:t>
      </w:r>
    </w:p>
    <w:p>
      <w:pPr>
        <w:pStyle w:val="Normal"/>
      </w:pPr>
      <w:r>
        <w:t>If a panelist becomes unable to fulfill panel duties or is disqualified, proceedings of the panel shall be suspended pending the selection of a substitute panelist in accordance with the procedures of this Annex. 10.</w:t>
      </w:r>
    </w:p>
    <w:p>
      <w:pPr>
        <w:pStyle w:val="Normal"/>
      </w:pPr>
      <w:r>
        <w:t xml:space="preserve">Subject to the code of conduct established pursuant to Article 10.17 (Code of Conduct), and provided that it does not interfere with the performance of the duties of such panelist, a panelist may engage in other business during the term of the panel. 11. While acting as a panelist, a panelist may not appear as counsel before another panel. 12. With the exception of violations of protective orders or disclosure undertakings, signed pursuant to paragraph 7, panelists shall be immune from suit and legal process relating to acts performed by them in their official capacity. 10-B.1-2</w:t>
      </w:r>
    </w:p>
    <w:p>
      <w:pPr>
        <w:pStyle w:val="Heading2"/>
      </w:pPr>
      <w:bookmarkStart w:id="900316" w:name="_Toc300000315"/>
      <w:r>
        <w:t xml:space="preserve">ANNEX 10-B.2 PANEL PROCEDURES UNDER ARTICLE 10.11</w:t>
      </w:r>
      <w:bookmarkEnd w:id="900316"/>
    </w:p>
    <w:p>
      <w:pPr>
        <w:pStyle w:val="Normal"/>
      </w:pPr>
      <w:r>
        <w:t xml:space="preserve">1. The panel shall establish its own rules of procedure unless the Parties otherwise agree prior to the establishment of that panel. The procedures shall ensure a right to at least one hearing before the panel, as well as the opportunity to provide written submissions and rebuttal arguments. The proceedings of the panel shall be confidential, unless the two Parties otherwise agree.</w:t>
      </w:r>
    </w:p>
    <w:p>
      <w:pPr>
        <w:pStyle w:val="Normal"/>
      </w:pPr>
      <w:r>
        <w:t>The panel shall base its decisions solely on the arguments and submissions of the two Parties. 2. Unless the Parties to the dispute otherwise agree, the panel shall, within 90 days after its chair is appointed, present to the two Parties an initial written declaratory opinion containing findings of fact and its determination pursuant to Article 10.11 (Review of Statutory Amendments). 3.</w:t>
      </w:r>
    </w:p>
    <w:p>
      <w:pPr>
        <w:pStyle w:val="Normal"/>
      </w:pPr>
      <w:r>
        <w:t>If the findings of the panel are affirmative, the panel may include in its report its recommendations as to the means by which the amending statute could be brought into conformity with the provisions of Article 10.10(2)(d) (Retention of Domestic Antidumping Law and Countervailing Duty Law). In determining what, if any, recommendations are appropriate, the panel shall consider the extent to which the amending statute affects interests under this Agreement. Individual panelists may provide separate opinions on matters not unanimously agreed. The initial opinion of the panel shall become the final declaratory opinion, unless a Party to the dispute requests a reconsideration of the initial opinion pursuant to paragraph 4. 4. Within 14 days of the issuance of the initial declaratory opinion, a Party to the dispute disagreeing in whole or in part with the opinion may present a written statement of its objections and the reasons for those objections to the panel. In such event, the panel shall request the views of both Parties and shall reconsider its initial opinion.</w:t>
      </w:r>
    </w:p>
    <w:p>
      <w:pPr>
        <w:pStyle w:val="Normal"/>
      </w:pPr>
      <w:r>
        <w:t>The panel shall conduct any further examination that it deems appropriate, and shall issue a final written opinion, together with dissenting or concurring views of individual panelists, within 30 days of the request for reconsideration. 5.</w:t>
      </w:r>
    </w:p>
    <w:p>
      <w:pPr>
        <w:pStyle w:val="Normal"/>
      </w:pPr>
      <w:r>
        <w:t xml:space="preserve">Unless the Parties to the dispute otherwise agree, the final declaratory opinion of the panel shall be made public, along with any separate opinions of individual panelists and any written views that either Party may wish to be published. 6. Unless the Parties to the dispute otherwise agree, meetings and hearings of the panel shall take place at the office of the amending Party’s Section of the Secretariat. 10-B.2-1</w:t>
      </w:r>
    </w:p>
    <w:p>
      <w:pPr>
        <w:pStyle w:val="Heading2"/>
      </w:pPr>
      <w:bookmarkStart w:id="900317" w:name="_Toc300000316"/>
      <w:r>
        <w:t xml:space="preserve">ANNEX 10-B.3 EXTRAORDINARY CHALLENGE PROCEDURE</w:t>
      </w:r>
      <w:bookmarkEnd w:id="900317"/>
    </w:p>
    <w:p>
      <w:pPr>
        <w:pStyle w:val="Normal"/>
      </w:pPr>
      <w:r>
        <w:t xml:space="preserve">1. The involved Parties shall establish an extraordinary challenge committee, composed of three members, within 15 days of a request pursuant to Article 10.12.13 (Review of Final Antidumping and Countervailing Duty Determinations). The members shall be selected from a 15-person roster comprised of judges or former judges of a federal judicial court of the United States or a judicial court of superior jurisdiction of Canada or a federal judicial or quasi-judicial tribunal of Mexico. Each Party shall name five persons to this roster.</w:t>
      </w:r>
    </w:p>
    <w:p>
      <w:pPr>
        <w:pStyle w:val="Normal"/>
      </w:pPr>
      <w:r>
        <w:t>Each involved Party shall select one member from this roster and the involved Parties shall decide by lot which of them shall select the third member from the roster. 2. The Parties shall establish or maintain rules of procedure for committees. The rules shall provide for a decision of a committee within 90 days of its establishment. 3. Committee decisions shall be binding on the Parties with respect to the particular matter between the Parties that was before the panel.</w:t>
      </w:r>
    </w:p>
    <w:p>
      <w:pPr>
        <w:pStyle w:val="Normal"/>
      </w:pPr>
      <w:r>
        <w:t xml:space="preserve">After examination of the legal and factual analysis underlying the findings and conclusions of the panel’s decision in order to determine whether one of the grounds set out in Article 10.12.13 (Review of Final Antidumping and Countervailing Duty Determinations) has been established, and on finding that one of those grounds has been established, the committee shall vacate the original panel decision or remand it to the original panel for action not inconsistent with the committee’s decision; if the grounds are not established, it shall deny the challenge and, therefore, the original panel decision shall stand affirmed. If the original decision is vacated, a new panel shall be established pursuant to Annex 10-B.1 (Establishment of Binational Panels). 10-B.3-1</w:t>
      </w:r>
    </w:p>
    <w:p>
      <w:pPr>
        <w:pStyle w:val="Heading2"/>
      </w:pPr>
      <w:bookmarkStart w:id="900318" w:name="_Toc300000317"/>
      <w:r>
        <w:t xml:space="preserve">ANNEX 10-B.4 SPECIAL COMMITTEE PROCEDURES</w:t>
      </w:r>
      <w:bookmarkEnd w:id="900318"/>
    </w:p>
    <w:p>
      <w:pPr>
        <w:pStyle w:val="Normal"/>
      </w:pPr>
      <w:r>
        <w:t xml:space="preserve">By the date of entry into force of this Agreement the Parties shall establish or maintain rules of procedure in accordance with the following principles: (a) the procedures shall assure a right to at least one hearing before the special committee as well as the opportunity to provide initial and rebuttal written submissions;</w:t>
      </w:r>
    </w:p>
    <w:p>
      <w:pPr>
        <w:pStyle w:val="Normal"/>
      </w:pPr>
      <w:r>
        <w:t>(b) the procedures shall assure that the special committee shall prepare an initial report typically within 60 days of the appointment of the last member, and shall afford the Parties 14 days to comment on that report prior to issuing a final report 30 days after presentation of the initial report; (c) the special committee’s hearings, deliberations, and</w:t>
      </w:r>
    </w:p>
    <w:p>
      <w:pPr>
        <w:pStyle w:val="Normal"/>
      </w:pPr>
      <w:r>
        <w:t xml:space="preserve">initial report, and all written submissions to and communications with the special committee shall be confidential; (d) unless the Parties to the dispute otherwise agree, the decision of the special committee shall be published 10 days after it is transmitted to the disputing Parties, along with any separate opinions of individual members and any written views that either Party may wish to be published; and (e) unless the Parties to the dispute otherwise agree, meetings and hearings of the special committee shall take place at the office of the Section of the Secretariat of the Party complained against. 10-B.4-1</w:t>
      </w:r>
    </w:p>
    <w:p>
      <w:pPr>
        <w:pStyle w:val="Heading2"/>
      </w:pPr>
      <w:bookmarkStart w:id="900319" w:name="_Toc300000318"/>
      <w:r>
        <w:t xml:space="preserve">ANNEX 10-B.5 AMENDMENTS TO DOMESTIC LAWS</w:t>
      </w:r>
      <w:bookmarkEnd w:id="900319"/>
    </w:p>
    <w:p>
      <w:pPr>
        <w:pStyle w:val="Normal"/>
      </w:pPr>
      <w:r>
        <w:t xml:space="preserve">Schedule of Canada 1.</w:t>
      </w:r>
    </w:p>
    <w:p>
      <w:pPr>
        <w:pStyle w:val="Normal"/>
      </w:pPr>
      <w:r>
        <w:t>Canada shall amend sections 56 and 58 of the Special Import Measures Act, as amended, to allow the United States with respect to goods of the United States or Mexico with respect to goods of Mexico or a United States or a Mexican manufacturer, producer, or exporter, without regard to payment of duties, to make a written request for a redetermination; and section 59 to require the Deputy Minister to make a ruling on a request for a redetermination within one year of a request to a designated officer or other customs officer. 2.</w:t>
      </w:r>
    </w:p>
    <w:p>
      <w:pPr>
        <w:pStyle w:val="Normal"/>
      </w:pPr>
      <w:r>
        <w:t>Canada shall amend section 18.3(1) of the Federal Court Act, as amended, to render that section inapplicable to the United States and to Mexico; and shall provide in its statutes or regulations that persons (including producers of goods subject to an investigation) have standing to ask Canada to request a panel review where such persons would be entitled to commence domestic procedures for judicial review if the final determination were reviewable by the Federal Court pursuant to section 18.1(4). 3. Canada shall amend the Special Import Measures Act, as amended, and any other relevant provisions of law, to provide that the following actions of the President shall be deemed for the purposes of Section D to be final determinations subject to judicial review: (a) a determination by the President pursuant to section 41; (b) a redetermination by the President pursuant to section 59; and (c) a review by the President of an undertaking pursuant to section 53(1). 4.</w:t>
      </w:r>
    </w:p>
    <w:p>
      <w:pPr>
        <w:pStyle w:val="Normal"/>
      </w:pPr>
      <w:r>
        <w:t>Canada shall amend Part II of the Special Import Measures Act, as amended, to provide for binational panel review respecting goods of Mexico and the United States. 5. Canada shall amend Part II of the Special Import Measures Act, as amended, to provide for definitions related to Section D, as may be required. 6.</w:t>
      </w:r>
    </w:p>
    <w:p>
      <w:pPr>
        <w:pStyle w:val="Normal"/>
      </w:pPr>
      <w:r>
        <w:t>Canada shall amend Part II of the Special Import Measures Act, as amended, to permit the governments of Mexico and the United States to request binational panel review of final determinations respecting goods of Mexico and the United States. 7. Canada shall amend Part II of the Special Import Measures Act, as amended, to provide for the establishment of binational panels requested to review final determinations in respect of goods of Mexico and the United States. 10-B.5-1 8. Canada shall amend Part II of the Special Import Measures Act, as amended, to provide that binational panel review of a final determination shall be conducted in accordance with this Chapter. 9. Canada shall amend Part II of the Special Import Measures Act, as amended, to provide that an extraordinary challenge proceeding shall be requested and conducted in accordance with Article10.12 (Review of Final Antidumping and Countervailing Duty Determinations) and Annex 10-B.3 (Extraordinary Challenge Procedure). 10.</w:t>
      </w:r>
    </w:p>
    <w:p>
      <w:pPr>
        <w:pStyle w:val="Normal"/>
      </w:pPr>
      <w:r>
        <w:t>Canada shall amend Part II of the Special Import Measures Act, as amended, to provide for a code of conduct, immunity for anything done or omitted to be done during the course of panel proceedings, the signing of and compliance with disclosure undertakings respecting confidential information, and remuneration for members of panels and committees established pursuant to this Chapter. 11.</w:t>
      </w:r>
    </w:p>
    <w:p>
      <w:pPr>
        <w:pStyle w:val="Normal"/>
      </w:pPr>
      <w:r>
        <w:t>Canada shall make such amendments as are necessary to establish a Canadian Secretariat for this Agreement and generally to facilitate the operation of Section D and the work of the binational panels, extraordinary challenge committees and special committees convened under this Chapter. Schedule of Mexico Mexico shall amend its antidumping and countervailing duty statutes and regulations, and other statutes and regulations to the extent that they apply to the operation of the antidumping and countervailing duty laws, to provide the following: (a) elimination of the possibility of imposing duties within the five-day period after the acceptance of a petition; (b) substitution of the term Initial Resolution (Resolución de Inicio) for the term Provisional Resolution (Resolución Provisional) and the term Provisional Resolution (Resolución Provisional) for the term Resolution Reviewing the Provisional Resolution (Resolución que revisa a la Resolución Provisional); (c) full participation in the administrative process for interested parties, as well as the right to administrative appeal and judicial review of final determinations of investigations, reviews, product coverage or other final decisions affecting them;</w:t>
      </w:r>
    </w:p>
    <w:p>
      <w:pPr>
        <w:pStyle w:val="Normal"/>
      </w:pPr>
      <w:r>
        <w:t>(d) elimination of the possibility of imposing provisional duties before the issuance of a preliminary determination; 10-B.5-2 (e) the right to immediate access to review of final determinations by binational panels for interested parties, without the need to exhaust first</w:t>
      </w:r>
    </w:p>
    <w:p>
      <w:pPr>
        <w:pStyle w:val="Normal"/>
      </w:pPr>
      <w:r>
        <w:t>the administrative appeal; (f) explicit and adequate timetables for determinations of the competent investigating authority and for the submission of questionnaires, evidence and comments by interested parties, as well as an opportunity for them to present facts and arguments in support of their positions prior to any final determination, to the extent time permits, including an opportunity to be adequately informed in a timely manner of and to comment on all aspects of preliminary determinations of dumping or subsidization; (g) written notice to interested parties of any of the actions or resolutions rendered by the competent investigating authority, including initiation of an administrative review as well as its conclusion; (h) disclosure meetings with interested parties by the competent investigating authority conducting its investigations and reviews, within seven calendar days after the date of publication in the Federal Official Journal (Diario Oficial de la Federación) of preliminary and final determinations, to explain the margins of dumping and the amount of subsidies calculations and to provide the interested parties with copies of sample calculations and, if used, computer programs;</w:t>
      </w:r>
    </w:p>
    <w:p>
      <w:pPr>
        <w:pStyle w:val="Normal"/>
      </w:pPr>
      <w:r>
        <w:t>(i) timely access by eligible counsel of interested parties during the course of the proceeding (including disclosure meetings) and on appeal, either before a national tribunal or a panel, to all information contained in the administrative record of the proceeding, including</w:t>
      </w:r>
    </w:p>
    <w:p>
      <w:pPr>
        <w:pStyle w:val="Normal"/>
      </w:pPr>
      <w:r>
        <w:t>confidential information, excepting proprietary information of such a high degree of sensitivity that its release would lead to substantial and irreversible harm to the owner as well as government classified information, subject to an undertaking for confidentiality that strictly forbids use of the information for personal benefit and its disclosure to persons who are not authorized to receive such information; and for sanctions that are specific to violations of undertakings in proceedings before national tribunals or panels; (j) timely access by interested parties during the course of the proceeding, to all non- confidential information contained in the administrative record and access to such information by interested parties or their representatives in any proceeding after 90 days following the issuance of the final determination; (k) a mechanism requiring that any person submitting documents to the competent investigating authority shall simultaneously serve on interested persons, including foreign interests, any submissions after the complaint;</w:t>
      </w:r>
    </w:p>
    <w:p>
      <w:pPr>
        <w:pStyle w:val="Normal"/>
      </w:pPr>
      <w:r>
        <w:t>10-B.5-3 (l) preparation of summaries of ex parte meetings held between the competent investigating authority and any interested party and the inclusion in the administrative record of such summaries, which shall be made available to parties to the proceeding; if such summaries contain business proprietary information, the documents must be disclosed to a party’s representative under an undertaking to ensure confidentiality; (m)</w:t>
      </w:r>
    </w:p>
    <w:p>
      <w:pPr>
        <w:pStyle w:val="Normal"/>
      </w:pPr>
      <w:r>
        <w:t>maintenance by the competent investigating authority of an administrative record as defined in Article 10.8 (Definitions) and a requirement that the final determination be based solely on the administrative record; (n) informing interested parties in writing of all data and information the administering authority requires them to submit for the investigation, review, product coverage proceeding, or other antidumping or countervailing duty proceeding; (o) the right to an annual individual review on request by the interested parties through which they can obtain their own dumping margin or countervailing duty rate, or can change the margin or rate they received in the investigation or a previous review, reserving to the competent investigating authority the ability to initiate a review, at any time, on its own motion and requiring that the competent investigating authority issue a notice of initiation within a reasonable period of time after the request; (p) application of determinations issued as a result of judicial, administrative, or panel review, to the extent they are relevant to interested parties in addition to the plaintiff, so that all interested parties will benefit;</w:t>
      </w:r>
    </w:p>
    <w:p>
      <w:pPr>
        <w:pStyle w:val="Normal"/>
      </w:pPr>
      <w:r>
        <w:t>(q) issuance of binding decisions by the competent investigating authority if an interested party seeks clarification outside the context of an antidumping or countervailing duty investigation or review with respect to whether a particular product is covered by an antidumping or countervailing duty</w:t>
      </w:r>
    </w:p>
    <w:p>
      <w:pPr>
        <w:pStyle w:val="Normal"/>
      </w:pPr>
      <w:r>
        <w:t>order; (r) a detailed statement of reasons and the legal basis for final determinations in a manner sufficient to permit interested parties to make an informed decision as to whether to seek judicial or panel review, including an explanation of methodological or policy issues raised in the calculation of dumping or subsidization; (s) written notice to interested parties and publication in the Federal Official Journal (Diario Oficial de la Federación) of initiation of investigations setting forth the nature of the proceeding, the legal authority under which the proceeding is initiated, and a description of the product at issue; 10-B.5-4 (t) documentation in writing of all advisory bodies’ decisions or recommendations, including the basis for the decisions, and release of such written decisions to parties to the proceeding; all decisions or recommendations of any advisory body shall be placed in the administrative record and made available to parties to the proceeding; and (u) a standard of review to be applied by binational panels as set out in subparagraph (b) of the definition of “standard of review” in Article 10.8 (Definitions). Schedule of the United States 1.</w:t>
      </w:r>
    </w:p>
    <w:p>
      <w:pPr>
        <w:pStyle w:val="Normal"/>
      </w:pPr>
      <w:r>
        <w:t>The United States shall amend section 301 of the Customs Courts Act of 1980, as amended, and any other relevant provisions of law, to eliminate the authority to issue declaratory judgments in any civil action involving an antidumping or countervailing duty proceeding regarding a class or kind of Canadian or Mexican merchandise. 2. The United States shall amend section 405(a) of the United States-Canada Free-Trade Agreement Implementation Act of 1988, to provide that the interagency group established under section 242 of the Trade Expansion Act of 1962 shall prepare a list of individuals qualified to serve as members of binational panels, extraordinary challenge committees and special committees convened under this Chapter. 3. The United States shall amend section 405(b) of the United States-Canada Free-Trade Agreement Implementation Act of 1988, to provide that panelists selected to serve on panels or committees convened pursuant to this Chapter, and individuals designated to assist such appointed individuals, shall not be considered employees of the United States. 4.</w:t>
      </w:r>
    </w:p>
    <w:p>
      <w:pPr>
        <w:pStyle w:val="Normal"/>
      </w:pPr>
      <w:r>
        <w:t>The United States shall amend section 405(c) of the United States-Canada Free-Trade Agreement Implementation Act of 1988, to provide that panelists selected to serve on panels or committees convened pursuant to this Chapter, and individuals designated to assist the individuals serving on such panels or committees, shall be immune from suit and legal process relating to acts performed by such individuals in their official capacity and within the scope of their functions as such panelists or committee members, except with respect to the violation of protective orders described in section 777f(d)(3) of the Tariff Act of 1930, as amended. 5. The United States shall amend section 405(d) of the United States-Canada Free-Trade Agreement Implementation Act of 1988, to establish a United States Secretariat to facilitate the operation of Section D and the work of the binational panels, extraordinary challenge committees and special committees convened under this Chapter. 6.</w:t>
      </w:r>
    </w:p>
    <w:p>
      <w:pPr>
        <w:pStyle w:val="Normal"/>
      </w:pPr>
      <w:r>
        <w:t>The United States shall amend section 407 of the United States-Canada Free-Trade Agreement Implementation Act of 1988, to provide that an extraordinary challenge committee convened pursuant to Article 10.12 (Review of Final Antidumping and Countervailing Duty 10-B.5-5 Determinations) and Annex 10-B.3 (Extraordinary Challenge Procedure) shall have authority to obtain information in the event of an allegation that a member of a binational panel was guilty of gross misconduct, bias, or a serious conflict of interest, or otherwise materially violated the rules of conduct, and for the committee to summon the attendance of witnesses, order the taking of depositions and obtain the assistance of any district or territorial court of the United States in aid of the committee’s investigation. 7.</w:t>
      </w:r>
    </w:p>
    <w:p>
      <w:pPr>
        <w:pStyle w:val="Normal"/>
      </w:pPr>
      <w:r>
        <w:t>The United States shall amend section 408 of the United States-Canada Free-Trade Agreement Implementation Act of 1988, to provide that, in the case of a final determination of a competent investigating authority of Mexico, as well as Canada, the filing with the United States Secretary of a request for binational panel review by a person described in Article 10.12.5 (Review of Final Antidumping and Countervailing Duty Determinations) shall be deemed, on receipt of the request by the Secretary, to be a request for binational panel review within the meaning of Article 10.12.4 (Review of Final Antidumping and Countervailing Duty Determinations). 8.</w:t>
      </w:r>
    </w:p>
    <w:p>
      <w:pPr>
        <w:pStyle w:val="Normal"/>
      </w:pPr>
      <w:r>
        <w:t>The United States shall amend section 516A of the Tariff Act of 1930, as amended, to provide that judicial review of antidumping or countervailing duty cases regarding Mexican, as well as Canadian, merchandise shall not be commenced in the Court of International Trade if binational panel review is requested. 9. The United States shall amend section 516A(a) of the Tariff Act of 1930, as amended, to provide that the time limits for commencing an action in the Court of International Trade with regard to antidumping or countervailing duty proceedings involving Mexican or Canadian merchandise shall not begin to run until the 31st day after the date of publication in the Federal Register of notice of the final determination or the antidumping duty order. 10. The United States shall amend section 516A(g) of the Tariff Act of 1930, as amended, to provide, in accordance with the terms of this Chapter, for binational panel review of antidumping and countervailing duty cases involving Mexican or Canadian merchandise. Such amendment shall provide that if binational panel review is requested such review will be exclusive.</w:t>
      </w:r>
    </w:p>
    <w:p>
      <w:pPr>
        <w:pStyle w:val="Normal"/>
      </w:pPr>
      <w:r>
        <w:t>11. The United States shall amend section 516A(g) of the Tariff Act of 1930, as amended, to provide that the competent investigating authority shall, within the period specified by any panel formed to review a final determination regarding Mexican or Canadian merchandise, take action not inconsistent with the decision of the panel or committee. 12.</w:t>
      </w:r>
    </w:p>
    <w:p>
      <w:pPr>
        <w:pStyle w:val="Normal"/>
      </w:pPr>
      <w:r>
        <w:t>The United States shall amend section 777 of the Tariff Act of 1930, as amended, to provide for the disclosure to authorized persons under protective order of proprietary information in the administrative record, if binational panel review of a final determination regarding Mexican or Canadian merchandise is requested. 13. The United States shall amend section 777 of the Tariff Act of 1930, as amended, to provide for the imposition of sanctions on any person who the competent investigating authority 10-B.5-6 finds to have violated a protective order issued by the competent investigating authority of the United States or disclosure undertakings entered into with an authorized agency of Mexico or with a competent investigating authority of Canada to protect proprietary material during binational panel review. 10-B.5-7</w:t>
      </w:r>
    </w:p>
    <w:p>
      <w:pPr>
        <w:pStyle w:val="ModHeading"/>
      </w:pPr>
      <w:bookmarkStart w:id="900320" w:name="_Toc300000319"/>
      <w:r>
        <w:t>CHAPTER 10: CUSMA 2.0 MODERNIZATION PROVISIONS</w:t>
      </w:r>
      <w:bookmarkEnd w:id="900320"/>
    </w:p>
    <w:p>
      <w:pPr>
        <w:pStyle w:val="Normal"/>
      </w:pPr>
      <w:r>
        <w:rPr>
          <w:i/>
        </w:rPr>
        <w:t>The provisions of this Part amend Chapter 10 (Trade Remedies). Antidumping, countervailing, and safeguard regimes remain available in accordance with this Chapter; these provisions harden them against substitution for prohibited extraordinary tariffs.</w:t>
      </w:r>
    </w:p>
    <w:p>
      <w:pPr>
        <w:pStyle w:val="Heading2"/>
      </w:pPr>
      <w:bookmarkStart w:id="900321" w:name="_Toc300000320"/>
      <w:r>
        <w:t>Article 10.A: Antidumping and Countervailing Duty Disciplines Among the Parties</w:t>
      </w:r>
      <w:bookmarkEnd w:id="900321"/>
    </w:p>
    <w:p>
      <w:pPr>
        <w:pStyle w:val="Normal"/>
      </w:pPr>
      <w:r>
        <w:t>1. The Parties retain their rights and obligations under the WTO Anti-Dumping Agreement and the SCM Agreement, and Chapter 10, including Section D (Review and Dispute Settlement in Antidumping and Countervailing Duty Matters), remains in force.</w:t>
      </w:r>
    </w:p>
    <w:p>
      <w:pPr>
        <w:pStyle w:val="Normal"/>
      </w:pPr>
      <w:r>
        <w:t>2. In an antidumping or countervailing duty investigation involving goods of another Party, the investigating authority shall:</w:t>
      </w:r>
    </w:p>
    <w:p>
      <w:pPr>
        <w:pStyle w:val="Normal"/>
      </w:pPr>
      <w:r>
        <w:t>(a) initiate only upon a petition or self-initiation record containing evidence of dumping or subsidization, injury, and causal link sufficient to satisfy the applicable WTO standard on its face;</w:t>
      </w:r>
    </w:p>
    <w:p>
      <w:pPr>
        <w:pStyle w:val="Normal"/>
      </w:pPr>
      <w:r>
        <w:t>(b) apply transparent, published methodologies for margin calculation, and disclose to interested parties of the other Parties the non-confidential basis of preliminary and final determinations in a timely manner;</w:t>
      </w:r>
    </w:p>
    <w:p>
      <w:pPr>
        <w:pStyle w:val="Normal"/>
      </w:pPr>
      <w:r>
        <w:t>(c) base injury and causation findings on positive evidence and objective examination, including consideration of other known factors, consistent with the non-attribution requirements of the applicable WTO agreements;</w:t>
      </w:r>
    </w:p>
    <w:p>
      <w:pPr>
        <w:pStyle w:val="Normal"/>
      </w:pPr>
      <w:r>
        <w:t>(d) afford interested parties of the other Parties full opportunities to defend their interests, including access to non-confidential files and a hearing on request; and</w:t>
      </w:r>
    </w:p>
    <w:p>
      <w:pPr>
        <w:pStyle w:val="Normal"/>
      </w:pPr>
      <w:r>
        <w:t>(e) complete sunset reviews in accordance with the applicable WTO standard, it being understood that duties do not continue by default without the required likelihood findings.</w:t>
      </w:r>
    </w:p>
    <w:p>
      <w:pPr>
        <w:pStyle w:val="Normal"/>
      </w:pPr>
      <w:r>
        <w:t>3. A pattern of antidumping or countervailing measures against another Party’s goods that a panel under Section D or Chapter 31 determines to constitute a systematic departure from paragraph 2, applied so as to achieve an objective this Agreement reserves to Chapter 35, is subject to consultations at the request of the affected Party within 15 days, and to the good-offices functions of the Commission.</w:t>
      </w:r>
    </w:p>
    <w:p>
      <w:pPr>
        <w:pStyle w:val="Normal"/>
      </w:pPr>
      <w:r>
        <w:t>4. Nothing in this Article limits the availability of antidumping or countervailing duties consistent with this Chapter, and nothing in this Article makes such duties subject to Chapter 35.</w:t>
      </w:r>
    </w:p>
    <w:p>
      <w:pPr>
        <w:pStyle w:val="Heading2"/>
      </w:pPr>
      <w:bookmarkStart w:id="900322" w:name="_Toc300000321"/>
      <w:r>
        <w:t>Article 10.B: Safeguard Measures, Party-Specific Analysis</w:t>
      </w:r>
      <w:bookmarkEnd w:id="900322"/>
    </w:p>
    <w:p>
      <w:pPr>
        <w:pStyle w:val="Normal"/>
      </w:pPr>
      <w:r>
        <w:t>1. A Party applying a safeguard measure under Chapter 10 and the WTO Safeguards Agreement shall exclude from the measure the originating goods of another Party unless the investigation establishes, on the basis of Party-specific evidence rather than aggregate global import statistics, that imports from that other Party independently make a substantial contribution to the serious injury or threat thereof.</w:t>
      </w:r>
    </w:p>
    <w:p>
      <w:pPr>
        <w:pStyle w:val="Normal"/>
      </w:pPr>
      <w:r>
        <w:t>2. Where imports from another Party do not independently satisfy the substantial-contribution test in paragraph 1, that Party’s originating goods shall not be subject to the safeguard measure.</w:t>
      </w:r>
    </w:p>
    <w:p>
      <w:pPr>
        <w:pStyle w:val="Normal"/>
      </w:pPr>
      <w:r>
        <w:t>3. A safeguard measure applied between the Parties shall: (a) be preceded by a transparent investigation with public notice and hearing; (b) be time-limited and progressively liberalized where exceeding one year; (c) be reassessed at intervals not exceeding 12 months; (d) terminate automatically when its legal conditions cease to exist; and (e) not be re-applied to substantially the same goods within a cooling-off period equal to the duration of the prior measure, absent a new injury finding based on changed circumstances.</w:t>
      </w:r>
    </w:p>
    <w:p>
      <w:pPr>
        <w:pStyle w:val="Normal"/>
      </w:pPr>
      <w:r>
        <w:t>4. A dispute under this Article is subject to the Expedited Tariff Panel procedure in Article 31.A.</w:t>
      </w:r>
    </w:p>
    <w:p>
      <w:pPr>
        <w:pStyle w:val="Heading1"/>
      </w:pPr>
      <w:bookmarkStart w:id="900323" w:name="_Toc300000322"/>
      <w:r>
        <w:t>CHAPTER 11 TECHNICAL BARRIERS TO TRADE</w:t>
      </w:r>
      <w:bookmarkEnd w:id="900323"/>
    </w:p>
    <w:p>
      <w:pPr>
        <w:pStyle w:val="Heading2"/>
      </w:pPr>
      <w:bookmarkStart w:id="900324" w:name="_Toc300000323"/>
      <w:r>
        <w:t xml:space="preserve">Article 11.1: Definitions</w:t>
      </w:r>
      <w:bookmarkEnd w:id="900324"/>
    </w:p>
    <w:p>
      <w:pPr>
        <w:pStyle w:val="Normal"/>
      </w:pPr>
      <w:r>
        <w:t xml:space="preserve">1. Annex 1 of the TBT Agreement, including the chapeau and explanatory notes, is incorporated into and made part of this Chapter, mutatis mutandis. 2.</w:t>
      </w:r>
    </w:p>
    <w:p>
      <w:pPr>
        <w:pStyle w:val="Normal"/>
      </w:pPr>
      <w:r>
        <w:t>For the purposes of this Chapter: international conformity assessment systems means systems that facilitate voluntary recognition or acceptance of the results of conformity assessment or accreditation bodies by the authorities of another Party based on compliance with international standards for conformity assessment; international standard means a standard that is consistent with the TBT Committee Decision on International Standards; mutual recognition agreement means an intergovernmental agreement that specifies the conditions by which a Party will recognize the results of conformity assessment procedures produced by another Party’s conformity assessment bodies that demonstrate fulfillment of appropriate standards or technical regulations;1 mutual recognition arrangement or multilateral recognition arrangement means an international or regional arrangement among accreditation bodies in the territories of the Parties, in which the accreditation bodies, on the basis of peer evaluation, accept the results of each other’s accredited conformity assessment bodies or among conformity assessment bodies in the territories of the Parties recognizing the results of conformity assessment; proposed technical regulation or conformity assessment procedure means the entirety of the text setting forth: (a) a</w:t>
      </w:r>
    </w:p>
    <w:p>
      <w:pPr>
        <w:pStyle w:val="Normal"/>
      </w:pPr>
      <w:r>
        <w:t>proposed technical regulation or conformity assessment procedure; or (b) a significant amendment to an existing technical regulation or conformity assessment procedure; TBT Agreement means the Agreement on Technical Barriers to Trade, set out in Annex 1A to the WTO Agreement; and For greater certainty, mutual recognition agreements include agreements to implement the APEC Mutual Recognition Arrangement for Conformity Assessment of Telecommunications Equipment of May 8, 1998 and the Electrical and Electronic Equipment Mutual Recognition Arrangement of July 7, 1999. TBT Committee Decision on International Standards means Annex 2 to Part 1 (Decision of the Committee on Principles for the Development of International Standards, Guides and Recommendations with relation to Articles 2, 5 and Annex 3 of the Agreement) in the Decisions and Recommendations adopted by the WTO Committee on Technical Barriers to Trade Since 1 January 1995 (G/TBT/1/Rev.13), as may be revised, issued by the WTO Committee on Technical Barriers to Trade.</w:t>
      </w:r>
    </w:p>
    <w:p>
      <w:pPr>
        <w:pStyle w:val="Heading2"/>
      </w:pPr>
      <w:bookmarkStart w:id="900325" w:name="_Toc300000324"/>
      <w:r>
        <w:t xml:space="preserve">Article 11.2: Scope</w:t>
      </w:r>
      <w:bookmarkEnd w:id="900325"/>
    </w:p>
    <w:p>
      <w:pPr>
        <w:pStyle w:val="Normal"/>
      </w:pPr>
      <w:r>
        <w:t xml:space="preserve">1. This Chapter applies to the preparation, adoption and application of standards, technical regulations, and conformity assessment procedures, including any amendments, of central level of government bodies, which may affect trade in goods between the Parties. 2. Notwithstanding paragraph 1, this Chapter does not apply to: (a) technical specifications prepared by a governmental body for production or consumption requirements of a governmental body; or (b) sanitary or phytosanitary measures.</w:t>
      </w:r>
    </w:p>
    <w:p>
      <w:pPr>
        <w:pStyle w:val="Heading2"/>
      </w:pPr>
      <w:bookmarkStart w:id="900326" w:name="_Toc300000325"/>
      <w:r>
        <w:t xml:space="preserve">Article 11.3: Incorporation of the TBT Agreement</w:t>
      </w:r>
      <w:bookmarkEnd w:id="900326"/>
    </w:p>
    <w:p>
      <w:pPr>
        <w:pStyle w:val="Normal"/>
      </w:pPr>
      <w:r>
        <w:t xml:space="preserve">1. The following provisions of the TBT Agreement are incorporated into and made part of this Agreement, mutatis mutandis: (a) Articles 2.1, 2.2, 2.3, 2.4, 2.5, 2.9, 2.10, 2.11, and 2.12; (b) Articles 3.1, 4.1, and 7.1; (c) Articles 5.1, 5.2, 5.3, 5.4, 5.6, 5.7, 5.8, and 5.9; and (d) Paragraphs D, E, F, and J of Annex 3. 2. No Party shall have recourse to dispute settlement under Chapter 31 (Dispute Settlement) for a matter arising under this Chapter if the dispute concerns: (a) exclusively claims made under the provisions of the TBT Agreement incorporated under paragraph 1; or (b) a measure that a Party alleges to be inconsistent with this Chapter that: (i) was referred or is subsequently referred to a WTO dispute settlement panel, (ii) was taken to comply in response to the recommendations or rulings from the WTO Dispute Settlement Body, or (iii) bears a close nexus, such as in terms of nature, effects, and timing, with respect to a measure described in subparagraph (ii).</w:t>
      </w:r>
    </w:p>
    <w:p>
      <w:pPr>
        <w:pStyle w:val="Heading2"/>
      </w:pPr>
      <w:bookmarkStart w:id="900327" w:name="_Toc300000326"/>
      <w:r>
        <w:t xml:space="preserve">Article 11.4: International Standards, Guides and Recommendations</w:t>
      </w:r>
      <w:bookmarkEnd w:id="900327"/>
    </w:p>
    <w:p>
      <w:pPr>
        <w:pStyle w:val="Normal"/>
      </w:pPr>
      <w:r>
        <w:t xml:space="preserve">1. The Parties recognize the important role that international standards, guides, and recommendations can play in supporting greater regulatory alignment and good regulatory practices, and in reducing unnecessary barriers to trade. 2. To determine whether there is an international standard, guide, or recommendation within the meaning of Articles 2 and 5 and Annex 3 of the TBT Agreement, each Party shall apply the TBT Committee Decision on International Standards. 3. Each Party shall apply no additional principles or criteria other than those in the TBT Committee Decision on International Standards in order to recognize a standard as an international standard. For greater certainty, criteria that are not relevant to determining whether a standard is an international standard include: (a) the domicile of the standards body; (b) whether the standards body is non-governmental or inter-governmental; and (c) whether the standards body limits participation to delegations. 4. The Parties shall cooperate with each other in appropriate circumstances to ensure that international standards, guides, and recommendations that are likely to become a basis for technical regulations and conformity assessment procedures do not create unnecessary obstacles to international trade. 5.</w:t>
      </w:r>
    </w:p>
    <w:p>
      <w:pPr>
        <w:pStyle w:val="Normal"/>
      </w:pPr>
      <w:r>
        <w:t>No Party shall accord any preference to the consideration or use of standards that are developed through processes that: (a) are inconsistent with the TBT Committee Decision on International Standards; or (b) treat persons of any of the Parties less favorably than persons whose domicile is the same as the standardization body. 6. With respect to any agreement or understanding establishing a customs union or free- trade area or providing trade-related technical assistance, each Party shall encourage the adoption, and use as the basis for standards, technical regulations, and conformity assessment procedures, of any relevant standards, guides, or recommendations developed in accordance with the TBT Committee Decision on International Standards. 7. Recognizing the importance of maintaining North American commercial integration and maintaining market access for producers in North America, each Party shall ensure that any obligation or understanding it has with a non-Party does not facilitate or require the withdrawal or limitation on the use or acceptance of any relevant standard, guide, or recommendation developed in accordance with the TBT Committee Decision on International Standards or the relevant provisions of this Chapter.</w:t>
      </w:r>
    </w:p>
    <w:p>
      <w:pPr>
        <w:pStyle w:val="Heading2"/>
      </w:pPr>
      <w:bookmarkStart w:id="900328" w:name="_Toc300000327"/>
      <w:r>
        <w:t xml:space="preserve">Article 11.5: Technical Regulations</w:t>
      </w:r>
      <w:bookmarkEnd w:id="900328"/>
    </w:p>
    <w:p>
      <w:pPr>
        <w:pStyle w:val="Normal"/>
      </w:pPr>
      <w:r>
        <w:t xml:space="preserve">Preparation and Review of Technical Regulations 1. Each Party shall conduct an appropriate assessment concerning any major technical regulations it proposes to adopt. An assessment can include: (a) a regulatory impact analysis of the technical regulation’s potential impacts; or (b) an analysis that requires evaluation of alternative measures, if any, including voluntary actions that are brought to the Party’s attention in a timely manner. Each Party shall maintain discretion in deciding if a proposed technical regulation is major under this paragraph. 2. Each Party shall: (a) periodically review technical regulations and conformity assessment procedures in order to: (i) examine increasing alignment with relevant international standards, including by reviewing any new developments in the relevant international standards and whether the circumstances that have given rise to divergences from any relevant international standard continue to exist, and (ii) consider the existence of any less trade-restrictive approaches; or (b) maintain a process whereby a person of another Party may directly petition the Party’s regulatory authorities to review a technical regulation or conformity assessment procedure on the grounds that:</w:t>
      </w:r>
    </w:p>
    <w:p>
      <w:pPr>
        <w:pStyle w:val="Normal"/>
      </w:pPr>
      <w:r>
        <w:t>(i) circumstances that were relevant to the content of the technical regulation have changed, or (ii) a less trade-restrictive method to fulfil the technical regulation’s objective exists, such as a technical regulation based</w:t>
      </w:r>
    </w:p>
    <w:p>
      <w:pPr>
        <w:pStyle w:val="Normal"/>
      </w:pPr>
      <w:r>
        <w:t>on the international standard. Use of Standards in Technical Regulations 3. If there are multiple international standards that would be effective and appropriate to fulfil the Party’s legitimate objectives of a technical regulation or conformity assessment procedure, the Party shall: (a) consider using as a basis for the technical regulation or conformity assessment procedure each of the international standards that fulfill the legitimate objectives of the technical regulation or conformity assessment procedure; and (b) if the Party has rejected an international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international standard or in a document that is published at the same time that the Party publishes the final technical regulation or conformity assessment procedure. 4. If no international standard is available that fulfils the legitimate objectives of the technical regulation or conformity assessment procedure, each Party shall consider whether a standard developed by a standardizing body domiciled in any of the Parties can fulfill its legitimate objectives.</w:t>
      </w:r>
    </w:p>
    <w:p>
      <w:pPr>
        <w:pStyle w:val="Normal"/>
      </w:pPr>
      <w:r>
        <w:t>To that end, each Party shall: (a) consider and decide whether to accept the standard developed by a standardizing body domiciled in any of the Parties fulfils its legitimate objectives; and (b) if the Party has rejected a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standard or in a document that is published at the same time the Party publishes the final technical regulation or conformity assessment procedure. 5. In order for a Party to consider accepting or using a standard as provided for in paragraphs 4 and 5, the Parties recognize that a standard must be brought to the attention of a Party, in a language the Party utilizes for the publication of technical regulations and conformity assessment procedures.</w:t>
      </w:r>
    </w:p>
    <w:p>
      <w:pPr>
        <w:pStyle w:val="Normal"/>
      </w:pPr>
      <w:r>
        <w:t>This must be done during the Party’s planning stage or when the proposed technical regulation or conformity assessment procedure is published for comment as provided for in Article 11.7 (Transparency). Information Exchange 6. If a Party has not used an international standard as a basis for a technical regulation, a Party shall, on request from another Party, explain why it has not used a relevant international standard or has substantially deviated from an international standard.</w:t>
      </w:r>
    </w:p>
    <w:p>
      <w:pPr>
        <w:pStyle w:val="Normal"/>
      </w:pPr>
      <w:r>
        <w:t>The explanation shall address why the standard has been judged inappropriate or ineffective for the objective pursued, and identify the scientific or technical evidence on which this assessment is based. To facilitate an appropriate explanation, the requesting Party shall in its request: (a) identify a relevant international standard that the technical regulation has purportedly not used as its basis; and (b) describe how the technical regulation is constraining or has the potential to constraint its exports. The requesting Party shall also endeavour to indicate whether the international standard was brought to the responding Party’s attention when it was developing the technical regulation. 7. In addition to Article 2.7 of the TBT Agreement, a Party shall, on request of another Party,2 provide the reasons why it has not or cannot accept a technical regulation of that Party as equivalent to its own. The Party to which the request is made should provide its response within a reasonable period of time. Labeling 8.</w:t>
      </w:r>
    </w:p>
    <w:p>
      <w:pPr>
        <w:pStyle w:val="Normal"/>
      </w:pPr>
      <w:r>
        <w:t>In order to avoid disrupting North American trade, and consistent with the obligations contained in Article 11.3 (Incorporation of the TBT Agreement), each Party shall ensure that its technical regulations concerning labels: (a) accord treatment no less favorable than that accorded to like goods of national origin; and (b) do not create unnecessary obstacles to trade between the Parties.</w:t>
      </w:r>
    </w:p>
    <w:p>
      <w:pPr>
        <w:pStyle w:val="Normal"/>
      </w:pPr>
      <w:r>
        <w:t>2 The Party’s request should identify with precision the respective technical regulations it considers to be equivalent and any data or evidence that supports its position.</w:t>
      </w:r>
    </w:p>
    <w:p>
      <w:pPr>
        <w:pStyle w:val="Heading2"/>
      </w:pPr>
      <w:bookmarkStart w:id="900329" w:name="_Toc300000328"/>
      <w:r>
        <w:t xml:space="preserve">Article 11.6: Conformity Assessment</w:t>
      </w:r>
      <w:bookmarkEnd w:id="900329"/>
    </w:p>
    <w:p>
      <w:pPr>
        <w:pStyle w:val="Normal"/>
      </w:pPr>
      <w:r>
        <w:t xml:space="preserve">National Treatment 1. In addition to Article 6.4 of the TBT Agreement, each Party shall accord to conformity assessment bodies located in the territory of another Party treatment no less favorable than that it accords to conformity assessment bodies located in its own territory or in the territory of the other Party. Treatment under this paragraph includes procedures, criteria, fees, and other conditions relating to accrediting, approving, licensing, or otherwise recognizing conformity assessment bodies. 2. In addition to Article 6.4 of the TBT Agreement, if a Party maintains procedures, criteria or other conditions as set out in paragraph 1 and requires conformity assessment results, including test results, certifications, technical reports or inspections as positive assurance that a product conforms to a technical regulation or standard, it shall: (a) not require the conformity assessment body to be located within its territory;</w:t>
      </w:r>
    </w:p>
    <w:p>
      <w:pPr>
        <w:pStyle w:val="Normal"/>
      </w:pPr>
      <w:r>
        <w:t>(b) not effectively require the conformity assessment body to operate an office within its territory; and (c) permit conformity assessment bodies in other Parties’ territories to apply to the Party, or any body that it has recognized or approved for this purpose, for a determination that they comply with any procedures, criteria and other conditions the Party requires to deem them competent or to otherwise approve them to test or certify the product or conduct an inspection. Explanations and Information 3.</w:t>
      </w:r>
    </w:p>
    <w:p>
      <w:pPr>
        <w:pStyle w:val="Normal"/>
      </w:pPr>
      <w:r>
        <w:t>If a Party undertakes conformity assessment procedures in relation to specific products by specified government bodies located in its own territory or in another Party’s territory, the Party shall, on the request of another Party or if practicable, an applicant of another Party, explain: (a) how the information it requires is necessary to assess conformity; (b) the sequence in which a conformity assessment procedure is undertaken and completed; (c) how the Party ensures that confidential business information is protected; and (d) the procedure to review complaints concerning the operation of the conformity assessment procedure and to take corrective action when a complaint is justified. 4. Each Party shall explain, on the request of another Party, the reasons for its decision, whenever it declines to: (a) accredit, approve, license, or otherwise recognize a conformity assessment body; (b) recognize the results from a conformity assessment body that is a signatory to a mutual recognition arrangement; (c) accept the results of a conformity assessment procedure conducted in the territory of another Party; or (d) continue negotiations for a mutual recognition agreement. Subcontracting 5.</w:t>
      </w:r>
    </w:p>
    <w:p>
      <w:pPr>
        <w:pStyle w:val="Normal"/>
      </w:pPr>
      <w:r>
        <w:t>If a Party requires conformity assessment as a positive assurance that a product conforms with a technical regulation or standard, it shall not prohibit a conformity assessment body from using subcontractors, or refuse to accept the results of conformity assessment on account of the conformity assessment body using subcontractors, to perform testing or inspections in relation to the conformity assessment, including subcontractors located in the territory of another Party,3 provided that the subcontractors are accredited and approved in the Party’s territory, when required. Accreditation 6. In addition to Article 9.2 of the TBT Agreement, no Party shall refuse to accept, or take actions that have the effect of, directly or indirectly, requiring or encouraging the refusal of acceptance of conformity assessment results performed by a conformity assessment body located in the territory of another Party because the accreditation body that accredited the conformity assessment body: (a) operates in the territory of a Party where there is more than one accreditation body; (b) is a non-governmental body;</w:t>
      </w:r>
    </w:p>
    <w:p>
      <w:pPr>
        <w:pStyle w:val="Normal"/>
      </w:pPr>
      <w:r>
        <w:t>(c) is domiciled in the territory of a Party that does not maintain a procedure for recognizing accreditation bodies, provided that the accreditation body is recognized internationally, consistent with paragraph 7; 3 For greater certainty, this paragraph does not prohibit a Party from taking steps to ensure the performance of the subcontractor meets its requirements.</w:t>
      </w:r>
    </w:p>
    <w:p>
      <w:pPr>
        <w:pStyle w:val="Normal"/>
      </w:pPr>
      <w:r>
        <w:t>(d) does not operate an office in the Party’s territory; or (e) is a for-profit entity. 7. In addition to Article 9.1 of the TBT Agreement, each Party shall: (a) adopt or maintain measures to facilitate and encourage its authorities to rely on mutual or multilateral recognition arrangements to accredit, approve, license or otherwise recognize conformity assessment bodies where effective and appropriate to fulfill the Party’s legitimate objectives; and (b) consider approving or recognizing accredited conformity assessment bodies for its technical regulations or standards, by an accreditation body that is a signatory to a mutual or multilateral recognition arrangement, for example, the International Laboratory Accreditation Cooperation (ILAC) and the International Accreditation Forum (IAF). The Parties recognize that the arrangements referenced in subparagraph (b) can address considerations in approving conformity assessment bodies, including technical competence, independence, and the avoidance of conflicts of interest. Choice of Conformity Assessment 8.</w:t>
      </w:r>
    </w:p>
    <w:p>
      <w:pPr>
        <w:pStyle w:val="Normal"/>
      </w:pPr>
      <w:r>
        <w:t>The Parties recognize that the choice of conformity assessment procedures in relation to a specific product covered by a technical regulation or standard should include an evaluation of the risks involved, the need to adopt procedures to address those risks, relevant scientific and technical information, incidence of non-compliant products, and possible alternative approaches for establishing that the technical regulation or standard has been met. Fees 9. Nothing in this Article precludes a Party from requesting that conformity assessment procedures in relation to specific products are performed by specified government authorities of the Party. In those cases, the Party conducting the conformity assessment procedures shall: (a) limit any fees it imposes for conformity assessment procedures on products from the other Parties to the costs of services rendered; (b) not impose fees on an applicant of another Party to deliver conformity assessment services, except to recover costs incurred from services rendered; (c) make the amounts of any fees for conformity assessment procedures publicly available;</w:t>
      </w:r>
    </w:p>
    <w:p>
      <w:pPr>
        <w:pStyle w:val="Normal"/>
      </w:pPr>
      <w:r>
        <w:t>(d) not apply a new or modified fee for conformity assessment procedures until the fee and the method for assessing the fee are published and, if practicable, the Party has provided an opportunity for interested persons to comment on the proposed introduction or modification of a conformity assessment fee. 10.</w:t>
      </w:r>
    </w:p>
    <w:p>
      <w:pPr>
        <w:pStyle w:val="Normal"/>
      </w:pPr>
      <w:r>
        <w:t>On request of a Party, or an applicant’s request if practicable, a Party shall explain how: (a) any fees it imposes for such conformity assessment are no higher than the cost of services rendered; (b) fees for its conformity assessment procedures are calculated; and (c) any information it requires is necessary to calculate fees. Exceptions 11. For greater certainty, nothing in paragraphs 1 or 2 precludes a Party from taking actions to verify the results from a conformity assessment procedure, including requesting information from the conformity assessment or accreditation body. These actions shall not subject a product to duplicative conformity assessment procedures, except when necessary to address non compliance. The verifying Party may share information it has requested with another Party, provided it protects confidential information. 12. Paragraphs 2(b) and 5 do not apply to any requirement a Party may have concerning the use of products, conformity assessment procedures or related services in the commercial maritime or civil aviation sectors.</w:t>
      </w:r>
    </w:p>
    <w:p>
      <w:pPr>
        <w:pStyle w:val="Heading2"/>
      </w:pPr>
      <w:bookmarkStart w:id="900330" w:name="_Toc300000329"/>
      <w:r>
        <w:t xml:space="preserve">Article 11.7: Transparency</w:t>
      </w:r>
      <w:bookmarkEnd w:id="900330"/>
    </w:p>
    <w:p>
      <w:pPr>
        <w:pStyle w:val="Normal"/>
      </w:pPr>
      <w:r>
        <w:t xml:space="preserve">1. Each Party shall allow persons of another Party to participate in the development of technical regulations, standards and conformity assessment procedures4 by its central government bodies on terms no less favorable than those that it accords to its own persons. 2. Further to Articles 2.9 and 5.6 of the TBT Agreement, if a Party prepares or proposes to adopt a technical regulation or conformity assessment procedure that is not in response to an urgent situation as referred to in Article 2.10 and Article 5.7 of the TBT Agreement, the Party shall: 4 A Party satisfies this obligation by, for example, providing interested persons a reasonable opportunity to provide comments on the measure it proposes to develop and by taking those comments into account in the development of the measure.</w:t>
      </w:r>
    </w:p>
    <w:p>
      <w:pPr>
        <w:pStyle w:val="Normal"/>
      </w:pPr>
      <w:r>
        <w:t>(a) publish the proposed technical regulation or conformity assessment procedure; (b) allow persons of another Party to submit written comments during a public consultation period on no less favorable terms than it provides to its own persons; (c) publish and allow for written comment in accordance with subparagraphs (a) and (b) at a time when the authority proposing the measure has sufficient time to review those comments and, as appropriate, to revise the measure to take them into account; (d) consider the written comments from a person of another Party on no less favorable terms than it considers those submitted by its own persons; and (e) if practicable,5 accept a written request from another Party to discuss written comments that the other Party has submitted.</w:t>
      </w:r>
    </w:p>
    <w:p>
      <w:pPr>
        <w:pStyle w:val="Normal"/>
      </w:pPr>
      <w:r>
        <w:t>The Party requested under subparagraph (e) to discuss its proposed technical regulation or conformity assessment procedure shall ensure that it has appropriate personnel to participate in the discussions, such as from the competent authority that has proposed the technical regulation or conformity assessment procedure, in order to confirm that the written comments are fully taken into account. 3. Each Party shall endeavor to promptly make publicly available any written comments it receives under paragraph 2(c), except to the extent necessary to protect confidential information or withhold personal identifying information or inappropriate content.</w:t>
      </w:r>
    </w:p>
    <w:p>
      <w:pPr>
        <w:pStyle w:val="Normal"/>
      </w:pPr>
      <w:r>
        <w:t>If it is impracticable to post these comments on a single website, the regulatory authority of a Party shall endeavor to make these comments available via its own website. 4. Each Party shall publish the final technical regulation or conformity assessment procedure and an explanation of how it has addressed substantive issues raised in comments submitted in a timely manner. 5. If appropriate, each Party shall encourage non-governmental bodies including standardization bodies in its territory to act consistently with the obligations in paragraphs 1 and 7, in developing standards and voluntary conformity assessment procedures. 6. Each Party shall ensure that its central government standardizing body’s work program, containing the standards it is currently preparing and the standards it has adopted, is published: 5 Circumstances when discussions are not practicable include where the Party requesting discussions has failed to submit its comments in a timely manner or if discussions would need to take place after the deadline to submit written comments has passed. (a) on the central government standardizing body’s website; (b) in its official gazette; or (c) on the website referred to in paragraph 10. Stakeholder Participation in Developing Technical Regulations and Mandatory Conformity Assessment Procedures 7.</w:t>
      </w:r>
    </w:p>
    <w:p>
      <w:pPr>
        <w:pStyle w:val="Normal"/>
      </w:pPr>
      <w:r>
        <w:t>Each Party shall encourage consideration of methods to provide additional transparency in the development of technical regulations, standards and conformity assessment procedures, including the use of electronic tools and public outreach or consultations. 8. If a Party requests a body within its territory to develop a standard for use as a technical regulation or conformity assessment procedure, the Party shall require the body to allow persons of another Party to participate on no less favorable terms than its own persons in groups or committees of the body that is developing the standard, and apply Annex 3 of the TBT Agreement. 9. Each Party shall take such reasonable measures as may be available to it to ensure proposed and final technical regulations and conformity assessment procedures of regional governments are published.6 10. Each Party shall publish online and make freely accessible, preferably on a single website, all proposed and final technical regulations and mandatory conformity assessment procedures, except with respect to any standards that are: (a) developed by non-governmental organizations; and (b) have been incorporated by reference into a technical regulation or conformity assessment procedure. Notification of Technical Regulations and Conformity Assessment 11.</w:t>
      </w:r>
    </w:p>
    <w:p>
      <w:pPr>
        <w:pStyle w:val="Normal"/>
      </w:pPr>
      <w:r>
        <w:t>In accordance with the procedures established under Article 2.9 or Article 5.6 of the TBT Agreement, each Party shall notify proposed technical regulations and conformity assessment procedures that are in accordance with the technical content of relevant international standards, guides, or recommendations if they may have a significant effect on trade. The Party’s notification shall identify the precise international standards, guides or recommendations with 6 For greater certainty, a Party may comply with this obligation by ensuring that the proposed and final measures in this paragraph are published on, or otherwise accessible through, the official website of the WTO. which the proposal is in accordance. 12. In accordance with the procedures under Article 2.10 or Article 5.7 of the TBT Agreement, and notwithstanding paragraph 11, if urgent problems of safety, health, environmental protection, or national security arise or threaten to arise for a Party, that Party shall notify a technical regulation or conformity assessment procedure that is in accordance with the technical content of relevant international standards, guides or recommendations. In its notification, the Party shall identify the precise international standards, guides, or recommendations with which the proposal is in accordance. 13.</w:t>
      </w:r>
    </w:p>
    <w:p>
      <w:pPr>
        <w:pStyle w:val="Normal"/>
      </w:pPr>
      <w:r>
        <w:t>In accordance with the procedures established under Article 2.9 or Article 5.6 of the TBT Agreement, each Party shall endeavor to notify, proposed technical regulations and conformity assessment procedures of regional level of governments that may have a significant effect on trade and that are in accordance with the technical content of relevant international standards, guides, and recommendations. 14. With respect to notifications made under Articles 2.9 and 5.6 of the TBT Agreement and paragraph 11 of this Chapter, each Party shall notify proposed technical regulations and conformity assessment procedures at an early appropriate stage by: (a) ensuring the notification is made at a time when the authority developing the measure can introduce amendments, including in response to any comments submitted as set out in subparagraph (d); (b) including with its notification:</w:t>
      </w:r>
    </w:p>
    <w:p>
      <w:pPr>
        <w:pStyle w:val="Normal"/>
      </w:pPr>
      <w:r>
        <w:t>(i) any objective for the proposed technical regulation or conformity assessment procedure and its legal basis, (ii) an explanation of how the proposed technical regulation or conformity assessment procedure would fulfill the identified objectives, and (iii) a copy of the proposed technical regulation or conformity assessment procedure or an online address at which the proposed measure can be accessed; (c) transmitting the notification electronically to the other Parties through their enquiry points established in accordance with Article 10 of the TBT Agreement, contemporaneously with the submission of the</w:t>
      </w:r>
    </w:p>
    <w:p>
      <w:pPr>
        <w:pStyle w:val="Normal"/>
      </w:pPr>
      <w:r>
        <w:t>notification to the WTO Secretariat; and (d) providing sufficient time between the end of the comment period and the adoption of the notified technical regulation or conformity assessment procedure to ensure that the responsible authority can fully consider the submitted comments and the Party can issue its responses to the comments. Each Party shall normally allow 60 days from the date it transmits a proposal under subparagraph (b) for another Party or an interested person of a Party to provide comments in writing on the proposal. A Party shall consider any reasonable request from another Party or an interested person of a Party to extend the comment period. A Party that is able to extend a time limit beyond 60 days, for example 90 days, shall consider doing so. 15. Each Party, when making a notification under Article 2.10 or Article 5.7 of the TBT Agreement, shall at the same time transmit electronically the notification and text of the technical regulation or conformity assessment procedure, or an online address where the text of the measure can be viewed, to the Parties’ contact points referred to in Article 11.12 (Contact Points). 16.</w:t>
      </w:r>
    </w:p>
    <w:p>
      <w:pPr>
        <w:pStyle w:val="Normal"/>
      </w:pPr>
      <w:r>
        <w:t>If a Party is notifying a proposed technical regulation or conformity assessment procedure to the WTO TBT Committee and the other Parties for the first time,7 the Party shall notify it to the WTO TBT Committee and the other Parties as a regular notification.8 Each Party shall endeavor to identify the scope of its proposed technical regulation or conformity assessment procedure in its notification by reference to the specific Harmonized System heading, subheading, or tariff item for the products that would be affected by the proposal. 17. If a Party is notifying a proposed technical regulation or conformity assessment procedure that is related to a measure that was previously notified, including because it is an revision, amendment, or replacement to the previously notified measure, the Party shall provide the WTO notification symbol for the previously notified measure.9 Each Party shall endeavor to submit a revision to a notification if the notified measure has been substantially redrafted prior to its entry into force. If the Party files a revision or the circumstances in paragraph 18(e) arise, the Party shall endeavor to allow either a new or extended period of time for interested persons to submit comments to the Party. 18.</w:t>
      </w:r>
    </w:p>
    <w:p>
      <w:pPr>
        <w:pStyle w:val="Normal"/>
      </w:pPr>
      <w:r>
        <w:t>Each Party shall submit an addendum to a notification it has previously made to the WTO TBT Committee and the Parties in any of the following circumstances: (a) the period of time to submit comments on the proposed measure has changed; 7 The Parties shall follow the recommendation set forth in G/TBT/35, Coherent Use of Notification Formats. 8 A notification is a document that is circulated by the WTO Secretariat, or submitted to the WTO Secretariat for the purposes of circulation, under the prefix “G/TBT/N.” 9 The Parties agree the appropriate place to make the identification is in field 8 of a document produced consistent with the Format and Guidelines for Notification Procedures for Draft Technical Regulations and Conformity Assessment Procedures. (b) the notified measure has been adopted or otherwise entered into force; (c) the compliance dates for the final measure have changed; (d) the notified measure has been withdrawn, revoked, or replaced;10 (e) the content or scope of the notified measure is partially changed or amended;</w:t>
      </w:r>
    </w:p>
    <w:p>
      <w:pPr>
        <w:pStyle w:val="Normal"/>
      </w:pPr>
      <w:r>
        <w:t>(f) any interpretive guidance for a notified measure that has been issued; or (g) the final text of the notified measure is published or adopted or otherwise enters into force. 19. Each Party shall endeavor to submit a corrigendum to a notification if it subsequently determines there are minor administrative or clerical errors in: (a) a notification or subsequent related addendum or revision; or (b) the text of the notified measure. 20.</w:t>
      </w:r>
    </w:p>
    <w:p>
      <w:pPr>
        <w:pStyle w:val="Normal"/>
      </w:pPr>
      <w:r>
        <w:t>If a Party obtains a translation of a measure notified to the WTO TBT Committee, whether official or unofficial, in an official WTO language other than the language of the notification, it shall endeavor to send the translation to the Parties’ contact points referred to in Article 11.12 (Contact Points). 21. For the purposes of determining whether a proposed technical regulation or conformity assessment procedure may have a significant effect on trade and is subject to notification in accordance with Articles 2.9, 2.10, 3.2, 5.6, 5.7, or 7.2 of the TBT Agreement and this Chapter, a Party shall consider, among other things, the relevant guidance in the Decisions and Recommendations Adopted by the WTO Committee on Technical Barriers to Trade Since 1 January 1995 (G/TBT/1/Rev.13), as may be revised. 22. When a Party has adopted a technical regulation or conformity assessment procedure that may have a significant effect on trade, the Party shall promptly publish online: (a) an explanation of how the technical regulation or conformity assessment procedure achieves the Party’s objectives;</w:t>
      </w:r>
    </w:p>
    <w:p>
      <w:pPr>
        <w:pStyle w:val="Normal"/>
      </w:pPr>
      <w:r>
        <w:t>(b) a description of alternative approaches, if any, that the Party considered in 10 The Party shall provide the WTO document number identifying the notification of a measure that replaces or has been proposed as a replacement for a withdrawn or revoked measure.</w:t>
      </w:r>
    </w:p>
    <w:p>
      <w:pPr>
        <w:pStyle w:val="Normal"/>
      </w:pPr>
      <w:r>
        <w:t>developing the adopted technical regulation or conformity assessment procedure and the explanation of why it chose one approach over the others it considered; (c) its views on any substantive issues raised in timely submitted comments on the proposed technical regulation or conformity assessment procedure; (d) any impact assessment it has undertaken; (e) if not addressed by an impact assessment, an explanation of the relationship between the regulation and the key evidence, data, and other information the regulatory authority considered in finalizing its work on the regulation; and (f) the date by which compliance is required.</w:t>
      </w:r>
    </w:p>
    <w:p>
      <w:pPr>
        <w:pStyle w:val="Heading2"/>
      </w:pPr>
      <w:bookmarkStart w:id="900331" w:name="_Toc300000330"/>
      <w:r>
        <w:t xml:space="preserve">Article 11.8: Compliance Period for Technical Regulations and Conformity Assessment Procedures</w:t>
      </w:r>
      <w:bookmarkEnd w:id="900331"/>
    </w:p>
    <w:p>
      <w:pPr>
        <w:pStyle w:val="Normal"/>
      </w:pPr>
      <w:r>
        <w:t xml:space="preserve">1. For the purposes of Articles 2.12 and 5.9 of the TBT Agreement, the term “reasonable interval” means normally a period of not less than six months, except when this would be ineffective in fulfilling the legitimate objectives pursued by the technical regulation or the conformity assessment procedure.11 2. If feasible and appropriate, each Party shall endeavor to provide an interval of more than six months between the publication of a final technical regulation or conformity assessment procedure and its entry into force. 3. In addition to paragraphs 1 and 2, in setting a “reasonable interval” for a specific technical regulation or conformity assessment procedure, each Party provide suppliers with a reasonable period of time, under the circumstances, to be able to demonstrate the conformity of their products with the relevant requirements of the technical regulation by the date of entry into force of the specific technical regulation or conformity assessment procedure. In doing so, each Party shall endeavor to take into account the resources available to suppliers.</w:t>
      </w:r>
    </w:p>
    <w:p>
      <w:pPr>
        <w:pStyle w:val="Heading2"/>
      </w:pPr>
      <w:bookmarkStart w:id="900332" w:name="_Toc300000331"/>
      <w:r>
        <w:t xml:space="preserve">Article 11.9: Cooperation and Trade Facilitation</w:t>
      </w:r>
      <w:bookmarkEnd w:id="900332"/>
    </w:p>
    <w:p>
      <w:pPr>
        <w:pStyle w:val="Normal"/>
      </w:pPr>
      <w:r>
        <w:t xml:space="preserve">1. In addition to Articles 5, 6, and 9 of the TBT Agreement, the Parties acknowledge that a 11 For greater certainty, a Party may decide to set an interval of less than six months between the publication of a measure and its entry into force in certain circumstances, including those where the measure is trade facilitative or is addressing an urgent problem of safety, health, environmental protection, or national security. broad range of mechanisms12 exists to facilitate the acceptance of conformity assessment results. In this regard, a Party shall give consideration to a request made by another Party with respect to any sector-specific proposal for cooperation including by, as appropriate: (a) implementing mutual recognition of the results by conformity assessment bodies located in its territory and another Party’s territory with respect to specific technical regulations; (b) recognizing existing mutual and multilateral recognition arrangements between or among accreditation bodies or conformity assessment bodies; (c) using accreditation to qualify conformity assessment bodies, particularly international systems of accreditation;</w:t>
      </w:r>
    </w:p>
    <w:p>
      <w:pPr>
        <w:pStyle w:val="Normal"/>
      </w:pPr>
      <w:r>
        <w:t>(d) designating conformity assessment bodies or recognise the other Party’s designation of conformity assessment bodies; (e) unilaterally recognizing the results of conformity assessment procedures performed in the other Party’s territory; and (f) accepting a supplier’s declaration of conformity. 2.</w:t>
      </w:r>
    </w:p>
    <w:p>
      <w:pPr>
        <w:pStyle w:val="Normal"/>
      </w:pPr>
      <w:r>
        <w:t>The Parties recognize that a broad range of mechanisms exist to support greater regulatory alignment and to eliminate unnecessary technical barriers to trade in the region, including: (a) regulatory dialogue and cooperation to, among other things: (i) exchange of information on regulatory approaches and practices, (ii) promote the use of good regulatory practices to improve the efficiency and effectiveness of technical regulations, standards and conformity assessment procedures, (iii) provide technical advice and assistance, on mutually agreed terms and conditions, to improve practices related to the development, implementation and review of technical regulations, standards, conformity assessment procedures and metrology, or 12 With respect to the mechanisms listed in paragraphs 1 and 2, the Parties recognize that the choice of the appropriate mechanism in a given regulatory context depends on a variety of factors, such as the product and sector involved, the volume and direction of trade, the relationship between Parties’ respective regulators, the legitimate objectives pursued and the risks of non-fulfilment of those objectives.</w:t>
      </w:r>
    </w:p>
    <w:p>
      <w:pPr>
        <w:pStyle w:val="Normal"/>
      </w:pPr>
      <w:r>
        <w:t>(iv) provide technical assistance and cooperation, on mutually agreed terms and conditions, to build capacity and support the implementation of this Chapter; (b) facilitation of the greater use and alignment of standards, technical regulations, and conformity assessment procedures with relevant international standards, guides, and recommendations; and (c) promotion of the acceptance of technical regulations of the other Party as equivalent. 3. In addition to subparagraph (c), the Parties shall work to develop common standards and conformity assessment procedures in sectors of mutual interest. The Parties shall determine the scope of this work through the Committee on Technical Barriers to Trade established under Article 11.11 (Committee on Technical Barriers to Trade). 4. The Parties shall strengthen their exchange and collaboration on mechanisms to facilitate the acceptance of conformity assessment results, to support greater regulatory alignment and to eliminate unnecessary technical barriers to trade in the region. To this end, the Parties shall seek to identify, develop, and promote trade-facilitating initiatives regarding standards, technical regulations, and conformity assessment procedures that address particular cross-cutting or sector- specific issues. 5.</w:t>
      </w:r>
    </w:p>
    <w:p>
      <w:pPr>
        <w:pStyle w:val="Normal"/>
      </w:pPr>
      <w:r>
        <w:t>The Parties shall encourage cooperation between their respective organizations responsible for standardization, conformity assessment, accreditation and metrology, whether they are public or private, with a view to facilitate trade.</w:t>
      </w:r>
    </w:p>
    <w:p>
      <w:pPr>
        <w:pStyle w:val="Heading2"/>
      </w:pPr>
      <w:bookmarkStart w:id="900333" w:name="_Toc300000332"/>
      <w:r>
        <w:t xml:space="preserve">Article 11.10: Information Exchange and Technical Discussions</w:t>
      </w:r>
      <w:bookmarkEnd w:id="900333"/>
    </w:p>
    <w:p>
      <w:pPr>
        <w:pStyle w:val="Normal"/>
      </w:pPr>
      <w:r>
        <w:t xml:space="preserve">1. The Parties recognize that technical discussions and information exchange can serve an important function in reaching mutually satisfactory solutions to trade concerns by promoting cooperation and consultation informed by relevant technical and scientific information. Accordingly, with respect to a matter that arises under this Chapter, a Party may request that another Party: (a) engage in technical discussions concerning the matter; or (b) provide information regarding any proposed or final technical regulation or conformity assessment procedure that relates to the matter. 2. The Party making the request shall do so in writing and identify: (a) the matter, including those provisions of the Chapter to which the matter relates; (b) the reasons for the request, including any concerns with a proposed or final measure; (c) whether the matter is urgent; and (d) if applicable, the precise information that is being requested. The Party making the request shall transmit it to the Parties through their respective contact points designated pursuant to Article 30.5 (Agreement Coordinator and Contact Points). 3.</w:t>
      </w:r>
    </w:p>
    <w:p>
      <w:pPr>
        <w:pStyle w:val="Normal"/>
      </w:pPr>
      <w:r>
        <w:t>With respect to a request made under paragraph 1(a), the requesting Party and the requested Party shall discuss the matter identified within 60 days after the date the request was transmitted to the contact point, unless the request identified the matter as urgent, in which case the Parties shall endeavor to hold the technical discussions sooner. The requested Party, at its discretion, may decide to allow another Party to participate in the technical discussions. With respect to a request made under paragraph 1(b), the Party receiving the request shall provide appropriate information within a reasonable period of time. The Parties shall attempt to obtain satisfactory resolution of the matter. 4. Unless the Parties decide otherwise, any discussions or information exchanged under this Article, other than the request referenced in paragraphs 1 and 2, shall be kept confidential and is without prejudice to the Parties’ rights and obligations under the Agreement, the WTO Agreement or any other agreement to which the requesting and requested Parties are party.</w:t>
      </w:r>
    </w:p>
    <w:p>
      <w:pPr>
        <w:pStyle w:val="Heading2"/>
      </w:pPr>
      <w:bookmarkStart w:id="900334" w:name="_Toc300000333"/>
      <w:r>
        <w:t xml:space="preserve">Article 11.11: Committee on Technical Barriers to Trade</w:t>
      </w:r>
      <w:bookmarkEnd w:id="900334"/>
    </w:p>
    <w:p>
      <w:pPr>
        <w:pStyle w:val="Normal"/>
      </w:pPr>
      <w:r>
        <w:t xml:space="preserve">1. The Parties hereby establish a Committee on Technical Barriers to Trade (TBT Committee), composed of government representatives of each Party. 2. Through the TBT Committee, the Parties shall strengthen their joint work in the fields of technical regulations, standards, and conformity assessment procedures with a view to facilitating trade between the Parties. 3. The TBT Committee’s functions include: (a) monitoring and identifying ways to strengthen the implementation and operation of this Chapter, and identifying any potential amendments to or interpretations of this Chapter for referral to the Commission; (b) as appropriate, discussing proposed and final versions of standards, technical regulations, or conformity assessment procedures of any Party; (c) monitoring any technical discussions on matters that arise under this Chapter requested pursuant to paragraph 2 of Article 11.10 (Information Exchange and Technical Discussions); (d) reaching an agreement on priority areas of mutual interest for future work under this Chapter and considering proposals for new sector-specific initiatives or other initiatives;</w:t>
      </w:r>
    </w:p>
    <w:p>
      <w:pPr>
        <w:pStyle w:val="Normal"/>
      </w:pPr>
      <w:r>
        <w:t>(e) encouraging cooperation between the Parties in matters that pertain to this Chapter, including the development, review, or modification of technical regulations, standard, and conformity assessment procedures; (f) encouraging cooperation between non-governmental bodies in the Parties’ territories, as well as</w:t>
      </w:r>
    </w:p>
    <w:p>
      <w:pPr>
        <w:pStyle w:val="Normal"/>
      </w:pPr>
      <w:r>
        <w:t>cooperation between governmental and non-governmental bodies in the Parties’ territories in matters that pertains to this Chapter; (g) facilitating the identification of technical capacity needs; (h) encouraging the exchange of information between the Parties and their relevant non-governmental bodies, if appropriate, to develop common approaches regarding matters under discussion in non-governmental, regional, plurilateral, and multilateral bodies or international conformity assessment systems or standards development relevant to this Chapter; including the WTO TBT Committee and bodies that develop standards in accordance with the TBT Committee Decision on International Standards, as appropriate; (i) encouraging, on request of a Party, the exchange of information between the Parties regarding specific technical regulations, standards, and conformity assessment procedures of non-Parties as well as systemic issues, with a view to fostering a common approach; (j) undertaking initiatives to support greater regulatory alignment in the region, including through the development of common standards or conformity assessment procedures, in sectors of mutual interest; (k) reporting to the Commission on the implementation and operation of this Chapter;</w:t>
      </w:r>
    </w:p>
    <w:p>
      <w:pPr>
        <w:pStyle w:val="Normal"/>
      </w:pPr>
      <w:r>
        <w:t>(l) reviewing this Chapter in light of any developments under the TBT Agreement, and developing recommendations for amendments to this Chapter in light of those developments; (m) engaging, as appropriate, with the public to participate</w:t>
      </w:r>
    </w:p>
    <w:p>
      <w:pPr>
        <w:pStyle w:val="Normal"/>
      </w:pPr>
      <w:r>
        <w:t>in the work of the TBT Committee, for example by requesting and considering comments on matters related to the implementation of this Chapter; and (n) taking any other steps that the Parties consider will assist them in implementing this Chapter. 4. Unless the Parties decide otherwise, the TBT Committee shall meet at least once a year. 5. The TBT Committee may establish and determine the scope and mandate of working groups to carry out its functions, and may invite, as appropriate, representatives of non governmental entities to participate in a working group. 6. To determine what activities the TBT Committee will undertake, the TBT Committee shall consider work that is being undertaken in other fora, with a view to ensuring that any activities undertaken by the TBT Committee do not unnecessarily duplicate that work.</w:t>
      </w:r>
    </w:p>
    <w:p>
      <w:pPr>
        <w:pStyle w:val="Heading2"/>
      </w:pPr>
      <w:bookmarkStart w:id="900335" w:name="_Toc300000334"/>
      <w:r>
        <w:t xml:space="preserve">Article 11.12: Contact Points</w:t>
      </w:r>
      <w:bookmarkEnd w:id="900335"/>
    </w:p>
    <w:p>
      <w:pPr>
        <w:pStyle w:val="Normal"/>
      </w:pPr>
      <w:r>
        <w:t xml:space="preserve">1. Each Party shall designate a contact point and notify it to the other Parties for matters arising under this Chapter in accordance with Article 30.5 (Agreement Coordinator and Contact Points). A Party shall promptly notify the other Parties of any change of its contact point or the details of the relevant officials. 2. The functions of each contact point shall include: (a) communicating with the other Parties’ contact points, including facilitating discussions, requests and the timely exchange of information on matters arising under this Chapter; (b) communicating with and coordinating the involvement of relevant government agencies, including regulatory authorities, in the territory of the Party it represents on relevant matters pertaining to this Chapter; (c) consulting and, if appropriate, coordinating with interested persons in the territory of the Party it represents on relevant matters pertaining to this Chapter; and (d) carrying out any additional responsibilities specified by the TBT Committee.</w:t>
      </w:r>
    </w:p>
    <w:p>
      <w:pPr>
        <w:pStyle w:val="Heading1"/>
      </w:pPr>
      <w:bookmarkStart w:id="900336" w:name="_Toc300000335"/>
      <w:r>
        <w:t>CHAPTER 12 SECTORAL ANNEXES</w:t>
      </w:r>
      <w:bookmarkEnd w:id="900336"/>
    </w:p>
    <w:p>
      <w:pPr>
        <w:pStyle w:val="Heading2"/>
      </w:pPr>
      <w:bookmarkStart w:id="900337" w:name="_Toc300000336"/>
      <w:r>
        <w:t xml:space="preserve">Article 12.1: Sectoral Annexes</w:t>
      </w:r>
      <w:bookmarkEnd w:id="900337"/>
    </w:p>
    <w:p>
      <w:pPr>
        <w:pStyle w:val="Normal"/>
      </w:pPr>
      <w:r>
        <w:t xml:space="preserve">1. In addition to other applicable provisions of this Agreement, this Chapter contains provisions with respect to chemical substances, cosmetic products, information and communication technology, energy performance standards, medical devices, and pharmaceuticals, as defined therein. 2. The rights and obligations set out in each annex to this Chapter shall apply only with respect to the sector specified in that annex, and shall not affect any Party’s rights or obligations under any other annex to this Chapter.</w:t>
      </w:r>
    </w:p>
    <w:p>
      <w:pPr>
        <w:pStyle w:val="Heading2"/>
      </w:pPr>
      <w:bookmarkStart w:id="900338" w:name="_Toc300000337"/>
      <w:r>
        <w:t xml:space="preserve">Article 12.2: Sectoral Implementation Work Program</w:t>
      </w:r>
      <w:bookmarkEnd w:id="900338"/>
    </w:p>
    <w:p>
      <w:pPr>
        <w:pStyle w:val="Normal"/>
      </w:pPr>
      <w:r>
        <w:t xml:space="preserve">1. The TBT Committee, in coordination with the competent authorities identified under the applicable annexes and the GRP Committee where relevant, shall maintain a rolling Chapter 12 Sectoral Implementation Work Program identifying active compatibility initiatives, unnecessary duplicative requirements under examination, responsible regulatory authorities, expected next steps, and implementation status. 2. The Work Program shall distinguish completed matters, active matters, matters awaiting domestic regulatory action, matters requiring additional technical evidence, and matters that a competent authority has declined to pursue, with a concise reason where disclosure is lawful. 3. Existing committees, regulator-to-regulator mechanisms, and sectoral bodies shall perform the underlying work wherever practicable, and the Work Program shall not create a separate approval layer or require a regulator to harmonize, recognize, rely upon, or alter a measure where it determines that doing so would be inconsistent with its lawful mandate or chosen level of protection. 4. The TBT Committee shall include a non-confidential summary of material Chapter 12 implementation progress and unresolved items in its existing report to the Commission rather than establishing a separate reporting institution.</w:t>
      </w:r>
    </w:p>
    <w:p>
      <w:pPr>
        <w:pStyle w:val="Heading2"/>
      </w:pPr>
      <w:bookmarkStart w:id="900339" w:name="_Toc300000338"/>
      <w:r>
        <w:t xml:space="preserve">ANNEX 12-A CHEMICAL SUBSTANCES</w:t>
      </w:r>
      <w:bookmarkEnd w:id="900339"/>
    </w:p>
    <w:p>
      <w:pPr>
        <w:pStyle w:val="Heading2"/>
      </w:pPr>
      <w:bookmarkStart w:id="900340" w:name="_Toc300000339"/>
      <w:r>
        <w:t xml:space="preserve">Article 12.A.1: Definitions</w:t>
      </w:r>
      <w:bookmarkEnd w:id="900340"/>
    </w:p>
    <w:p>
      <w:pPr>
        <w:pStyle w:val="Normal"/>
      </w:pPr>
      <w:r>
        <w:t xml:space="preserve">For the purposes of this Annex: chemical mixture means a combination or a solution composed of two or more chemical substances in which they do not react; chemical substance means any organic or inorganic substance of a particular molecular identity or a mixture of substances,1 including: (a) any combination of those substances occurring in whole or in part as a result of a chemical reaction or occurring in nature; and (b) any element or uncombined radical; hazard means the potential adverse human health, physical, or environmental effects caused by a chemical substance or chemical mixture; risk-based approach means the evaluation of a chemical substance or chemical mixture that includes the consideration of both the hazard and exposure; and safety data sheet means written or printed material that provides comprehensive information about chemical identity, hazards, precautions, and response actions for a particular chemical substance or chemical mixture for use in a workplace chemical control regulatory framework.</w:t>
      </w:r>
    </w:p>
    <w:p>
      <w:pPr>
        <w:pStyle w:val="Heading2"/>
      </w:pPr>
      <w:bookmarkStart w:id="900341" w:name="_Toc300000340"/>
      <w:r>
        <w:t xml:space="preserve">Article 12.A.2: Scope</w:t>
      </w:r>
      <w:bookmarkEnd w:id="900341"/>
    </w:p>
    <w:p>
      <w:pPr>
        <w:pStyle w:val="Normal"/>
      </w:pPr>
      <w:r>
        <w:t xml:space="preserve">This Annex applies to the preparation, adoption, and application of technical regulations; standards; conformity assessment procedures; measures relating to hazard communication, labeling, and communication of information on the use and storage of chemical substances and chemical mixtures, and on response in the workplace to hazards and exposures; and import and 1 “Mixture of substances” do not include any combination of two or more chemical substances if the combination does not occur in nature and is not, in whole or in part, the result of a chemical reaction. 12-A-1 export permits for chemical substances and chemical mixtures by a Party’s central level of government:2 (a) applied for the purposes of protecting the environment or human health from chemical substances and chemical mixtures; (b) that may significantly affect trade between the Parties; and (c) which is not: (i) a sanitary or phytosanitary measure, (ii) a measure relating to pesticides, pharmaceutical products, veterinary drugs, cosmetic products, nuclear material, or food products, including food additives, or (iii) a measure relating to the control of chemical precursors in order to prevent the production of illegal narcotics and psychotropic substances.</w:t>
      </w:r>
    </w:p>
    <w:p>
      <w:pPr>
        <w:pStyle w:val="Heading2"/>
      </w:pPr>
      <w:bookmarkStart w:id="900342" w:name="_Toc300000341"/>
      <w:r>
        <w:t xml:space="preserve">Article 12.A.3: Competent Authorities</w:t>
      </w:r>
      <w:bookmarkEnd w:id="900342"/>
    </w:p>
    <w:p>
      <w:pPr>
        <w:pStyle w:val="Normal"/>
      </w:pPr>
      <w:r>
        <w:t xml:space="preserve">Each Party shall publish online the following information with respect to each of its competent authorities at its central level of government that has responsibility for implementing and enforcing measures regulating chemical substances and chemical mixtures: (a) a description of each authority, including the authority’s specific responsibilities; and (b) a contact point within each authority. Each Party shall promptly notify the other Parties of any material changes to this information and update the information online.</w:t>
      </w:r>
    </w:p>
    <w:p>
      <w:pPr>
        <w:pStyle w:val="Heading2"/>
      </w:pPr>
      <w:bookmarkStart w:id="900343" w:name="_Toc300000342"/>
      <w:r>
        <w:t xml:space="preserve">Article 12.A.4: Enhancing Regulatory Compatibility</w:t>
      </w:r>
      <w:bookmarkEnd w:id="900343"/>
    </w:p>
    <w:p>
      <w:pPr>
        <w:pStyle w:val="Normal"/>
      </w:pPr>
      <w:r>
        <w:t xml:space="preserve">1. The Parties recognize that the principal objective of regulating chemical substances and chemical mixtures is the protection of human health and the environment. The Parties recognize that the obligations in this Annex do not preclude a Party from implementing obligations under existing international agreements relating to chemical management or entering into any new international agreement relating to chemical management. 12-A-2 2. The Parties also recognize the importance of developing and implementing measures in a manner that achieves their respective level of protection without creating unnecessary economic barriers or impediments to technological innovation. 3. Each Party shall endeavor to use a risk-based approach to the assessment of specific chemical substances and chemical mixtures, where appropriate.</w:t>
      </w:r>
    </w:p>
    <w:p>
      <w:pPr>
        <w:pStyle w:val="Normal"/>
      </w:pPr>
      <w:r>
        <w:t>Each Party also intends to encourage, as appropriate, a risk-based approach to regulating chemical substances and chemical mixtures both in international fora and in its relations with non-Parties. 4. The Parties shall endeavor, if appropriate, to align their respective risk assessment methodologies and risk management measures for chemical substances and chemical mixtures provided that alignment does not prevent a Party from determining and achieving its levels of protection. In its alignment efforts, each Party shall strive to continue to improve its levels of protection. 5. Each Party, when developing, modifying, or adopting a measure concerning chemical substances or chemical mixtures, shall endeavor to consider how a measure adopted by another Party could inform its decision-making. 6. The Parties shall strengthen their cooperation on chemical substances and chemical mixtures, including through the use of fora in existence.</w:t>
      </w:r>
    </w:p>
    <w:p>
      <w:pPr>
        <w:pStyle w:val="Normal"/>
      </w:pPr>
      <w:r>
        <w:t xml:space="preserve">To that end, the Parties recognize potential areas of cooperation include: (a) their respective implementation of the United Nations Globally Harmonized System for Classification and Labeling of Chemicals (GHS); (b) the use and content of safety data sheets, including with respect to the information requirements for identical or similar chemical substances, without reducing the level of safety or protection for workers; (c) compatibility of respective requirements for presentation of information protected as confidential business information on safety data sheets; (d) coordination, compatibility, and, if appropriate, development of chemical inventories; (e) coordination and collaboration on chemical risk assessment and risk management methodologies, tools, and models, and on the development of specific chemical assessments; and (f) if appropriate, scientific criteria used for the reliability of scientific data underpinning regulatory decisions. 12-A-3 If the Parties identify differences in practice with respect to paragraphs (b) and (c) they shall cooperate with a view to minimizing the differences in the use of safety data and safety data sheets by the competent authorities of each Party.</w:t>
      </w:r>
    </w:p>
    <w:p>
      <w:pPr>
        <w:pStyle w:val="Heading2"/>
      </w:pPr>
      <w:bookmarkStart w:id="900344" w:name="_Toc300000343"/>
      <w:r>
        <w:t xml:space="preserve">Article 12.A.5: Data and Information Exchange</w:t>
      </w:r>
      <w:bookmarkEnd w:id="900344"/>
    </w:p>
    <w:p>
      <w:pPr>
        <w:pStyle w:val="Normal"/>
      </w:pPr>
      <w:r>
        <w:t xml:space="preserve">1.</w:t>
      </w:r>
    </w:p>
    <w:p>
      <w:pPr>
        <w:pStyle w:val="Normal"/>
      </w:pPr>
      <w:r>
        <w:t>The Parties shall endeavor to periodically exchange information concerning respective methodologies for assessing chemical substances, both generally and with respect to particular chemicals. 2.</w:t>
      </w:r>
    </w:p>
    <w:p>
      <w:pPr>
        <w:pStyle w:val="Normal"/>
      </w:pPr>
      <w:r>
        <w:t>Upon request of another Party, a Party shall share any available data or assessments on particular chemical substances, such as full data studies or robust data summaries.3 Each Party shall adopt or maintain procedures to prevent the disclosure of confidential information that appears in the data or assessments, including procedures to remove or recall any confidential information that is inadvertently disclosed. 3. The Parties shall exchange, as appropriate: (a) information related to their respective activities to disseminate information to the public concerning the safety of chemical substances; and (b) scientific data and technical information, on new and emerging issues related to the management of chemical substances, with a view to accumulating the best available scientific data or technical information, including peer-reviewed studies. 3 A Party may fulfill this obligation by making the data or assessments requested publicly available and informing the Party that made the request how to access the information. 12-A-4</w:t>
      </w:r>
    </w:p>
    <w:p>
      <w:pPr>
        <w:pStyle w:val="Heading2"/>
      </w:pPr>
      <w:bookmarkStart w:id="900345" w:name="_Toc300000344"/>
      <w:r>
        <w:t xml:space="preserve">ANNEX 12-B COSMETIC PRODUCTS</w:t>
      </w:r>
      <w:bookmarkEnd w:id="900345"/>
    </w:p>
    <w:p>
      <w:pPr>
        <w:pStyle w:val="Heading2"/>
      </w:pPr>
      <w:bookmarkStart w:id="900346" w:name="_Toc300000345"/>
      <w:r>
        <w:t xml:space="preserve">Article 12.B.1: Definitions</w:t>
      </w:r>
      <w:bookmarkEnd w:id="900346"/>
    </w:p>
    <w:p>
      <w:pPr>
        <w:pStyle w:val="Normal"/>
      </w:pPr>
      <w:r>
        <w:t xml:space="preserve">For the purposes of this Annex: cosmetic product means: (a) for Canada, a product that constitutes a “cosmetic” as defined under section 2 of the Food and Drugs Act, R.S.C., 1985, c.F-27, as amended, and that is regulated solely under the Cosmetic Regulations, C.R.C., c. 869, as amended; (b) for Mexico, a product covered as “cosmetics” as defined under article 269 Ley General de Salud (Health General Law) and article 187 Reglamento Control Sanitario de Productos y Servicios (Regulation Sanitary Control of Products and Services) as amended; and (c) for the United States, a product covered as a “cosmetic” under 21 U.S.C. § 321(i), as amended; marketing authorization means the process or processes by which a Party approves or registers a cosmetic product in order to authorize its marketing, distribution, or sale in the Party’s territory on the basis of the Party’s safety, efficacy, and quality requirements; ICI Dictionary means the International Cosmetic Ingredient Dictionary and Handbook, published in Washington, DC by the Personal Care Products Council;</w:t>
      </w:r>
    </w:p>
    <w:p>
      <w:pPr>
        <w:pStyle w:val="Normal"/>
      </w:pPr>
      <w:r>
        <w:t>INC means the International Cosmetic Ingredient Nomenclature Committee, which develops the INCI names; and INCI name means the International Nomenclature Cosmetic Ingredient name assigned to an ingredient in the ICI Dictionary.</w:t>
      </w:r>
    </w:p>
    <w:p>
      <w:pPr>
        <w:pStyle w:val="Heading2"/>
      </w:pPr>
      <w:bookmarkStart w:id="900347" w:name="_Toc300000346"/>
      <w:r>
        <w:t xml:space="preserve">Article 12.B.2: Scope</w:t>
      </w:r>
      <w:bookmarkEnd w:id="900347"/>
    </w:p>
    <w:p>
      <w:pPr>
        <w:pStyle w:val="Normal"/>
      </w:pPr>
      <w:r>
        <w:t xml:space="preserve">This Annex applies to the preparation, adoption, and application of technical regulations, standards, conformity assessment procedures, and notification procedures by a Party’s central level of government that may affect trade in cosmetic products between the Parties, other than 12-B-1 sanitary or phytosanitary measures or technical specifications prepared by a government body for production or consumption requirements of that body.</w:t>
      </w:r>
    </w:p>
    <w:p>
      <w:pPr>
        <w:pStyle w:val="Heading2"/>
      </w:pPr>
      <w:bookmarkStart w:id="900348" w:name="_Toc300000347"/>
      <w:r>
        <w:t xml:space="preserve">Article 12.B.3: Competent Authorities</w:t>
      </w:r>
      <w:bookmarkEnd w:id="900348"/>
    </w:p>
    <w:p>
      <w:pPr>
        <w:pStyle w:val="Normal"/>
      </w:pPr>
      <w:r>
        <w:t xml:space="preserve">1. Each Party shall publish online the following information with respect to each of its competent authorities at its central level of government that has responsibility for implementing and enforcing measures regulating cosmetic products: (a) a description of each authority, including the authority’s specific responsibilities; and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cosmetic products, including by periodically examining whether its authorities are engaged in duplicative activities.</w:t>
      </w:r>
    </w:p>
    <w:p>
      <w:pPr>
        <w:pStyle w:val="Heading2"/>
      </w:pPr>
      <w:bookmarkStart w:id="900349" w:name="_Toc300000348"/>
      <w:r>
        <w:t xml:space="preserve">Article 12.B.4: Enhancing Regulatory Compatibility</w:t>
      </w:r>
      <w:bookmarkEnd w:id="900349"/>
    </w:p>
    <w:p>
      <w:pPr>
        <w:pStyle w:val="Normal"/>
      </w:pPr>
      <w:r>
        <w:t xml:space="preserve">1.</w:t>
      </w:r>
    </w:p>
    <w:p>
      <w:pPr>
        <w:pStyle w:val="Normal"/>
      </w:pPr>
      <w:r>
        <w:t xml:space="preserve">The Parties shall seek to collaborate to improve the alignment of their respective regulations and regulatory activities for cosmetic products through work in relevant international initiatives, as appropriate, such as those aimed at harmonization, as well as regional initiatives that support those international initiatives. 2. In developing or implementing regulations for cosmetic products, each Party shall consider relevant scientific or technical guidance documents developed through international collaborative efforts. Each Party is encouraged to consider regionally-developed scientific or technical guidance documents that are aligned with international efforts. 3. If a Party prepares or adopts good manufacturing practice guidelines for cosmetic products, it shall use relevant international standards for cosmetic products, or the relevant parts of them, as a basis for its guidelines unless those international standards or relevant parts would be an ineffective or inappropriate means for the fulfilment of the legitimate objectives pursued. 4. Each Party shall endeavor to share information: (a) from post-market surveillance of cosmetic products; and 12-B-2 (b) on its findings regarding cosmetic ingredients that may affect trade between the Parties.</w:t>
      </w:r>
    </w:p>
    <w:p>
      <w:pPr>
        <w:pStyle w:val="Heading2"/>
      </w:pPr>
      <w:bookmarkStart w:id="900350" w:name="_Toc300000349"/>
      <w:r>
        <w:t xml:space="preserve">Article 12.B.5: Application of Regulatory Controls</w:t>
      </w:r>
      <w:bookmarkEnd w:id="900350"/>
    </w:p>
    <w:p>
      <w:pPr>
        <w:pStyle w:val="Normal"/>
      </w:pPr>
      <w:r>
        <w:t xml:space="preserve">1.</w:t>
      </w:r>
    </w:p>
    <w:p>
      <w:pPr>
        <w:pStyle w:val="Normal"/>
      </w:pPr>
      <w:r>
        <w:t>Each Party shall ensure that for a measure it applies to ensure the safety, effectiveness, or quality of cosmetic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In developing a regulatory requirement for a cosmetic product, each Party shall consider its available resources and technical capacity in order to minimize the likelihood of implementing requirements that could: (a) inhibit the efficacy of procedures for ensuring the safety, effectiveness, or quality of cosmetic products; or (b) lead to substantial delays for cosmetic products becoming available in that Party’s market. 3. Each Party shall apply a risk-based approach to regulating the safety of cosmetic products for human health, taking into account relevant scientific factors. In applying this approach, each Party shall take into account that cosmetic products generally present a lower potential risk to human health or safety than medical devices or pharmaceutical products.</w:t>
      </w:r>
    </w:p>
    <w:p>
      <w:pPr>
        <w:pStyle w:val="Normal"/>
      </w:pPr>
      <w:r>
        <w:t>Accordingly, no Party shall require: (a) a marketing authorization for a cosmetic product, unless a Party identifies a human health or safety concern, and a less trade-restrictive alternative, such as a notification or post-market surveillance, is not reasonably available to effectively address the risks at issue; (b) re-testing or re-evaluating of a cosmetic product that differs only with respect to shade extensions or fragrance variants, unless conducted for human health or safety purposes; (c) a cosmetic product to be labeled with a notification number; 12-B-3 (d) a cosmetic product to receive a marketing authorization from a regulatory authority in the country of manufacture, as a condition for being placed in its market;4 or (e) a cosmetic product to be accompanied by a certificate of free sale as a condition of marketing, distribution, or sale in the Party’s territory. 4.</w:t>
      </w:r>
    </w:p>
    <w:p>
      <w:pPr>
        <w:pStyle w:val="Normal"/>
      </w:pPr>
      <w:r>
        <w:t>If a Party requires a manufacturer or supplier of a cosmetic product to indicate information on the product’s label, the Party shall permit the manufacturer or supplier to indicate the required information by relabeling the product or by using supplementary labeling of the product in accordance with the Party’s domestic requirements after the importation but prior to offering the product for sale or supply in the Party’s territory. 5.</w:t>
      </w:r>
    </w:p>
    <w:p>
      <w:pPr>
        <w:pStyle w:val="Normal"/>
      </w:pPr>
      <w:r>
        <w:t xml:space="preserve">No Party shall require that a cosmetic product be tested on animals to determine the safety of that cosmetic product, unless there is no validated alternative method available to assess safety. This paragraph, however, does not preclude a Party from considering the results of animal testing to evaluate the safety of a cosmetic product.</w:t>
      </w:r>
    </w:p>
    <w:p>
      <w:pPr>
        <w:pStyle w:val="Heading2"/>
      </w:pPr>
      <w:bookmarkStart w:id="900351" w:name="_Toc300000350"/>
      <w:r>
        <w:t xml:space="preserve">Article 12.B.6: Labeling</w:t>
      </w:r>
      <w:bookmarkEnd w:id="900351"/>
    </w:p>
    <w:p>
      <w:pPr>
        <w:pStyle w:val="Normal"/>
      </w:pPr>
      <w:r>
        <w:t xml:space="preserve">1. The Parties recognize the importance of the International Nomenclature Cosmetic Ingredient (INCI) in providing consistent, standardized information about the ingredients in cosmetic products to consumers, health practitioners, and other interested persons. 2. To that end, the Parties shall continue efforts to seek closer alignment of cosmetic ingredient labeling and, no later than one year after the date of entry into force of this Agreement, to report progress to the Commission toward this goal. 3. The Parties shall also endeavor to participate in the INC process for developing, revising, and simplifying the ICI Dictionary.</w:t>
      </w:r>
    </w:p>
    <w:p>
      <w:pPr>
        <w:pStyle w:val="Normal"/>
      </w:pPr>
      <w:r>
        <w:t xml:space="preserve">4 For greater certainty, this subparagraph does not prohibit a Party from accepting a prior marketing authorization issued by another regulatory authority as evidence that a product may meet its own requirements. 12-B-4</w:t>
      </w:r>
    </w:p>
    <w:p>
      <w:pPr>
        <w:pStyle w:val="Heading2"/>
      </w:pPr>
      <w:bookmarkStart w:id="900352" w:name="_Toc300000351"/>
      <w:r>
        <w:t xml:space="preserve">APPENDIX 1 ENHANCING REGULATORY COMPATIBILITY FOR PRODUCTS RECOGNIZED AS BEING AT THE INTERFACE OF COSMETICS AND DRUGS</w:t>
      </w:r>
      <w:bookmarkEnd w:id="900352"/>
    </w:p>
    <w:p>
      <w:pPr>
        <w:pStyle w:val="Normal"/>
      </w:pPr>
      <w:r>
        <w:t xml:space="preserve">1. This Appendix applies only as between Canada and the United States.</w:t>
      </w:r>
    </w:p>
    <w:p>
      <w:pPr>
        <w:pStyle w:val="Normal"/>
      </w:pPr>
      <w:r>
        <w:t>Accordingly, for the purposes of this Appendix, “Party” or “Parties” means Canada or the United States, singly or collectively. 2. This Appendix applies to toothpastes, mouthwashes, personal care use antiseptic skin cleansers, sunscreens, anti-dandruff shampoos, diaper-rash creams, antiperspirants, medicated skin care products,5 and acne products as set out in the following subparagraphs: (a) for Canada, products that: (i) are for topical use in the oral cavity or on unbroken skin that act in a localized and non-systemic manner, (ii) are authorized for sale in Canada, (iii) are a non-prescription drug product or a natural health product, and (iv) meet the definition of a “cosmetic” in section 2 of the Food and Drugs Act, R.S.C., 1985, c.F-27, as amended; (b) for the United States, products that conform to an over-the-counter drug monograph or an approved new drug application before the product can be placed on the U.S. market. 3.</w:t>
      </w:r>
    </w:p>
    <w:p>
      <w:pPr>
        <w:pStyle w:val="Normal"/>
      </w:pPr>
      <w:r>
        <w:t>For the purposes of this Appendix: facts table means a standard labeling format containing prescribed information as provided under each Party’s law; monograph means the regulatory requirements setting forth the permissible conditions for marketing of certain over-the-counter drug products, including use and labeling requirements, such as dose, intended use, directions for use, warnings, active ingredients and combinations thereof; non-prescription drug product means a pharmaceutical product, as defined in Article 12.F.1 (Definitions), that is safe and effective for use as directed on the label, is available for direct sale Medicated skin care products do not include antifungals, antivirals, antibiotics, corticosteroids, counterirritants, and analgesics. 12-B-1-1 to a consumer, is permitted to be sold without a prescription, and is not intended to be administered solely under the supervision of a health care practitioner; security packaging means a package having a security feature that provides reasonable assurance to consumers that the package has not been opened prior to purchase; and tamper-evident packaging means an indicator or barrier to entry which, if breached or missing, can reasonably be expected to provide visible evidence to consumers that tampering has occurred. 4.</w:t>
      </w:r>
    </w:p>
    <w:p>
      <w:pPr>
        <w:pStyle w:val="Normal"/>
      </w:pPr>
      <w:r>
        <w:t>If an importing Party has authorized for sale a product covered by paragraph 2, the importing Party shall allow the product to be shipped directly to retailers or wholesalers without subjecting the product to re-testing or quarantine unless done pursuant to: (a) an identified human health concern with regard to that specific shipment; or (b) an established system of random or risk-based inspection applied for the purpose of protecting human health. 5. The Parties shall endeavor to strengthen their cooperation in the regulation of products covered by paragraph 2. To that end, the Parties shall consider cooperating in areas including: (a) alignment of the requirements for tamper-evident packaging in the United States and security packaging in Canada with respect to dermatological and dentifrice products, subject to the consideration of any human health or safety concerns; and (b) alignment of facts table requirements. 5. If a Party authorizes for sale a product covered by paragraph 2, the Party shall permit the distribution of samples in that Party’s territory under conditions set out in that Party’s law. 12-B-1-2</w:t>
      </w:r>
    </w:p>
    <w:p>
      <w:pPr>
        <w:pStyle w:val="Heading2"/>
      </w:pPr>
      <w:bookmarkStart w:id="900353" w:name="_Toc300000352"/>
      <w:r>
        <w:t xml:space="preserve">ANNEX 12-C INFORMATION AND COMMUNICATION TECHNOLOGY</w:t>
      </w:r>
      <w:bookmarkEnd w:id="900353"/>
    </w:p>
    <w:p>
      <w:pPr>
        <w:pStyle w:val="Normal"/>
      </w:pPr>
      <w:r>
        <w:t xml:space="preserve">Article 12.C.1:</w:t>
      </w:r>
    </w:p>
    <w:p>
      <w:pPr>
        <w:pStyle w:val="Normal"/>
      </w:pPr>
      <w:r>
        <w:t>Definitions For the purposes of this Annex: cipher or cryptographic algorithm means a mathematical procedure or formula for combining a key with plaintext to create a ciphertext; cryptography means the principles, means or methods for the transformation of data in order to conceal or disguise its content, prevent its undetected modification, or prevent its unauthorized use; and is limited to the transformation of information using one or more secret parameters, for example, crypto variables, or associated key management; electromagnetic compatibility means the ability of a system or equipment to function satisfactorily in its electromagnetic environment without introducing intolerable electromagnetic disturbances with respect to any other device or system in that environment; electronic labeling means the electronic display of information, including required compliance information; encryption means the conversion of data (plaintext) through the use of a cryptographic algorithm into a form that cannot be easily understood without subsequent re-conversion (ciphertext) and the appropriate cryptographic key; information and communication technology good (ICT good) means a product whose intended function is information processing and communication by electronic means, including transmission and display, or electronic processing applied to determine or record physical phenomena, or to control physical processes;</w:t>
      </w:r>
    </w:p>
    <w:p>
      <w:pPr>
        <w:pStyle w:val="Normal"/>
      </w:pPr>
      <w:r>
        <w:t xml:space="preserve">information technology equipment product (ITE product) means a device, system, or component thereof for which the primary function is the entry, storage, display, retrieval, transmission, processing, switching, or control (or combinations thereof) of data or telecommunication messages by means other than radio transmission or reception; key means a parameter used in conjunction with a cryptographic algorithm that determines its operation in such a way that an entity with knowledge of the key can reproduce or reverse the operation, while an entity without knowledge of the key cannot; supplier’s declaration of conformity means an attestation by a supplier that a product meets a 12-C-1 specified standard or technical regulation based on an evaluation of the results of conformity assessment procedures; and terminal equipment means a digital or analog device capable of processing, receiving, switching, signaling, or transmitting signals by electromagnetic means and that is connected by radio or wire to a public telecommunications transport network at a termination point.</w:t>
      </w:r>
    </w:p>
    <w:p>
      <w:pPr>
        <w:pStyle w:val="Heading2"/>
      </w:pPr>
      <w:bookmarkStart w:id="900354" w:name="_Toc300000353"/>
      <w:r>
        <w:t xml:space="preserve">Article 12.C.2: ICT Goods that Use Cryptography</w:t>
      </w:r>
      <w:bookmarkEnd w:id="900354"/>
    </w:p>
    <w:p>
      <w:pPr>
        <w:pStyle w:val="Normal"/>
      </w:pPr>
      <w:r>
        <w:t xml:space="preserve">1.</w:t>
      </w:r>
    </w:p>
    <w:p>
      <w:pPr>
        <w:pStyle w:val="Normal"/>
      </w:pPr>
      <w:r>
        <w:t>This Article applies to ICT goods that use cryptography.6 This Article does not apply to: (a) a Party’s law enforcement authorities requiring service suppliers using encryption they control to provide unencrypted communications pursuant to that Party’s legal procedures; (b) the regulation of financial instruments; (c) a requirement that a Party adopts or maintains relating to access to networks, including user devices, that are owned or controlled by the government of that Party, including those of central banks; (d) a measure taken by a Party pursuant to supervisory, investigatory, or examination authority relating to financial institutions or financial markets; or (e) the manufacture, sale, distribution, import, or use of the good by or for the government of the Party. 2. With respect to an ICT good that uses cryptography and is designed for commercial applications, no Party shall require a manufacturer or supplier of the good, as a condition of the manufacture, sale, distribution, import, or use of the good, to:</w:t>
      </w:r>
    </w:p>
    <w:p>
      <w:pPr>
        <w:pStyle w:val="Normal"/>
      </w:pPr>
      <w:r>
        <w:t>(a) transfer or provide access to any proprietary information relating to cryptography, including by disclosing a particular technology or production process or other information, for example, a private key or other secret parameter, algorithm specification, or other design detail, to the Party or a person in the Party’s territory; (b) partner or otherwise cooperate with a person in its territory in the development, manufacture, sale, distribution, import, or use</w:t>
      </w:r>
    </w:p>
    <w:p>
      <w:pPr>
        <w:pStyle w:val="Normal"/>
      </w:pPr>
      <w:r>
        <w:t xml:space="preserve">of the product; or (c) use or integrate a particular cryptographic algorithm or cipher. 6 For greater certainty, for the purposes of this Annex, an ICT good does not include a financial instrument. 12-C-2</w:t>
      </w:r>
    </w:p>
    <w:p>
      <w:pPr>
        <w:pStyle w:val="Heading2"/>
      </w:pPr>
      <w:bookmarkStart w:id="900355" w:name="_Toc300000354"/>
      <w:r>
        <w:t xml:space="preserve">Article 12.C.3: Electromagnetic Compatibility of ITE Products</w:t>
      </w:r>
      <w:bookmarkEnd w:id="900355"/>
    </w:p>
    <w:p>
      <w:pPr>
        <w:pStyle w:val="Normal"/>
      </w:pPr>
      <w:r>
        <w:t xml:space="preserve">1. This Article applies to requirements regarding the electromagnetic compatibility of ITE products. 2. This Article does not apply to a product: (a) that a Party regulates as a medical device, a medical device system, or a component of a medical device or medical device system; or (b) for which the Party demonstrates that there is a high risk that the product will cause harmful electromagnetic interference with a safety or radio transmission or reception device or system. 3.</w:t>
      </w:r>
    </w:p>
    <w:p>
      <w:pPr>
        <w:pStyle w:val="Normal"/>
      </w:pPr>
      <w:r>
        <w:t xml:space="preserve">If a Party requires positive assurance that an ITE product meets a standard or technical regulation for electromagnetic compatibility, it shall accept a supplier’s declaration of conformity,7 provided that the declaration satisfies the Party’s requirements regarding testing, such as testing by an accredited laboratory, in support of a supplier’s declaration of conformity, registration of the supplier’s declaration of conformity, or the submission of evidence necessary to support the supplier’s declaration of conformity.</w:t>
      </w:r>
    </w:p>
    <w:p>
      <w:pPr>
        <w:pStyle w:val="Heading2"/>
      </w:pPr>
      <w:bookmarkStart w:id="900356" w:name="_Toc300000355"/>
      <w:r>
        <w:t xml:space="preserve">Article 12.C.4: Regional Cooperation Activities on Telecommunications Equipment</w:t>
      </w:r>
      <w:bookmarkEnd w:id="900356"/>
    </w:p>
    <w:p>
      <w:pPr>
        <w:pStyle w:val="Normal"/>
      </w:pPr>
      <w:r>
        <w:t xml:space="preserve">1. This Article applies to telecommunications equipment. 2.</w:t>
      </w:r>
    </w:p>
    <w:p>
      <w:pPr>
        <w:pStyle w:val="Normal"/>
      </w:pPr>
      <w:r>
        <w:t>The Parties are encouraged to implement the APEC Mutual Recognition Arrangement for Conformity Assessment of Telecommunications Equipment of May 8, 1998 (MRA-TEL) and, with respect to each other, the APEC Mutual Recognition Arrangement for Equivalence of Technical Requirements of October 31, 2010 (MRA-ETR), and to consider other arrangements to facilitate trade in telecommunications equipment. 3. In accordance with the Mutual Recognition Agreement between the Government of the United States and the Government of the United Mexican States for the Conformity Assessment of Telecommunications Equipment, done on May 26, 2011 at Paris, France the United States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For greater certainty, this paragraph does not apply to requirements a Party has adopted for certification by a conformity assessment body. 12-C-3 supplier or manufacturer of the telecommunications equipment, or the country of origin of the equipment for which a test report has been produced. 4.</w:t>
      </w:r>
    </w:p>
    <w:p>
      <w:pPr>
        <w:pStyle w:val="Normal"/>
      </w:pPr>
      <w:r>
        <w:t xml:space="preserve">In accordance with the Mutual Recognition Agreement between the Government of Canada and the Government of the United Mexican States for the Conformity Assessment of Telecommunications Equipment, done at Honolulu on 12 November 2011, Canada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supplier or manufacturer of the telecommunications equipment, or the country of origin of the equipment for which a test report has been produced. 5. If a Party requires equipment subject to electromagnetic compatibility and radio frequency requirements to include a label containing compliance information about the equipment, it shall permit this information to be provided through an electronic label. The Parties shall exchange information, as appropriate, about their respective electronic labeling requirements with a view to facilitate compatible approaches to electronic labeling.</w:t>
      </w:r>
    </w:p>
    <w:p>
      <w:pPr>
        <w:pStyle w:val="Heading2"/>
      </w:pPr>
      <w:bookmarkStart w:id="900357" w:name="_Toc300000356"/>
      <w:r>
        <w:t xml:space="preserve">Article 12.C.5: Terminal Equipment</w:t>
      </w:r>
      <w:bookmarkEnd w:id="900357"/>
    </w:p>
    <w:p>
      <w:pPr>
        <w:pStyle w:val="Normal"/>
      </w:pPr>
      <w:r>
        <w:t xml:space="preserve">1. This Article applies to terminal equipment. 2.</w:t>
      </w:r>
    </w:p>
    <w:p>
      <w:pPr>
        <w:pStyle w:val="Normal"/>
      </w:pPr>
      <w:r>
        <w:t>Each Party shall ensure that its technical regulations, standards, and conformity assessment procedures relating to the attachment of terminal equipment to the public telecommunications networks, including those measures relating to the use of testing and measuring equipment for conformity assessment procedures, are adopted or maintained only to the extent necessary to: (a) prevent damage to public telecommunications networks; (b) prevent degradation of public telecommunications services; (c) prevent electromagnetic interference, and ensure compatibility, with other uses of the electromagnetic spectrum; (d) prevent billing equipment malfunction; or (e) ensure safety of and access to public telecommunications or services, including for the hearing impaired or other disabled persons. 3. Each Party shall ensure that the network termination points for its public telecommunications networks are established on a reasonable and transparent basis. 12-C-4 4. Each Party shall permit any recognized8 conformity assessment body to perform the testing required under the Party’s conformity assessment procedures for terminal equipment to be attached to the public telecommunications network, subject to the Party’s right to review the accuracy and completeness of the test results.</w:t>
      </w:r>
    </w:p>
    <w:p>
      <w:pPr>
        <w:pStyle w:val="Normal"/>
      </w:pPr>
      <w:r>
        <w:t>8 “Recognized” means recognized pursuant to an act by a regulatory authority under which a conformity assessment body is approved to perform conformity assessment. 12-C-5</w:t>
      </w:r>
    </w:p>
    <w:p>
      <w:pPr>
        <w:pStyle w:val="Heading2"/>
      </w:pPr>
      <w:bookmarkStart w:id="900358" w:name="_Toc300000357"/>
      <w:r>
        <w:t xml:space="preserve">ANNEX 12-D ENERGY PERFORMANCE STANDARDS</w:t>
      </w:r>
      <w:bookmarkEnd w:id="900358"/>
    </w:p>
    <w:p>
      <w:pPr>
        <w:pStyle w:val="Heading2"/>
      </w:pPr>
      <w:bookmarkStart w:id="900359" w:name="_Toc300000358"/>
      <w:r>
        <w:t xml:space="preserve">Article 12.D.1: Definitions</w:t>
      </w:r>
      <w:bookmarkEnd w:id="900359"/>
    </w:p>
    <w:p>
      <w:pPr>
        <w:pStyle w:val="Normal"/>
      </w:pPr>
      <w:r>
        <w:t xml:space="preserve">For the purposes of this Annex: energy performance standard means a specification, containing performance or energy use requirements for an energy-using product, that specifies the performance (efficiency) or maximum amount of energy that may be consumed by a product when rated in accordance with the specified test procedure; and test procedure means a uniform method established to measure, with respect to a given product, energy use, energy efficiency, water use, or water efficiency.</w:t>
      </w:r>
    </w:p>
    <w:p>
      <w:pPr>
        <w:pStyle w:val="Heading2"/>
      </w:pPr>
      <w:bookmarkStart w:id="900360" w:name="_Toc300000359"/>
      <w:r>
        <w:t xml:space="preserve">Article 12.D.2: Scope</w:t>
      </w:r>
      <w:bookmarkEnd w:id="900360"/>
    </w:p>
    <w:p>
      <w:pPr>
        <w:pStyle w:val="Normal"/>
      </w:pPr>
      <w:r>
        <w:t xml:space="preserve">This Annex applies to the preparation, adoption, and application of technical regulations by a Party’s competent authorities at its central level of government, that set out energy performance standards and related test procedures.</w:t>
      </w:r>
    </w:p>
    <w:p>
      <w:pPr>
        <w:pStyle w:val="Heading2"/>
      </w:pPr>
      <w:bookmarkStart w:id="900361" w:name="_Toc300000360"/>
      <w:r>
        <w:t xml:space="preserve">Article 12.D.3: Competent Authorities</w:t>
      </w:r>
      <w:bookmarkEnd w:id="900361"/>
    </w:p>
    <w:p>
      <w:pPr>
        <w:pStyle w:val="Normal"/>
      </w:pPr>
      <w:r>
        <w:t xml:space="preserve">1. Each Party shall publish online the following information with respect to each of its competent authorities at its central level of government that has responsibility for developing, implementing, revising, or enforcing energy performance standards or related test procedures: (a) a description of each authority, including the authority’s specific responsibilities; and (b) a point of contact within each authority.</w:t>
      </w:r>
    </w:p>
    <w:p>
      <w:pPr>
        <w:pStyle w:val="Normal"/>
      </w:pPr>
      <w:r>
        <w:t xml:space="preserve">2. Each Party shall promptly notify the other Parties of any material changes to this information and update the information online. 12-D-1</w:t>
      </w:r>
    </w:p>
    <w:p>
      <w:pPr>
        <w:pStyle w:val="Heading2"/>
      </w:pPr>
      <w:bookmarkStart w:id="900362" w:name="_Toc300000361"/>
      <w:r>
        <w:t xml:space="preserve">Article 12.D.4: Enhancing Regulatory Compatibility</w:t>
      </w:r>
      <w:bookmarkEnd w:id="900362"/>
    </w:p>
    <w:p>
      <w:pPr>
        <w:pStyle w:val="Normal"/>
      </w:pPr>
      <w:r>
        <w:t xml:space="preserve">1.</w:t>
      </w:r>
    </w:p>
    <w:p>
      <w:pPr>
        <w:pStyle w:val="Normal"/>
      </w:pPr>
      <w:r>
        <w:t>The Parties shall cooperate on energy performance standards and related test procedures in order to facilitate trade among the Parties and advance energy efficiency, including through the use of fora in existence. 2. With respect to products for which each Party applies energy performance standards or test procedures on the date of entry into force of this Agreement, the Parties shall endeavor to harmonize:9 (a) test procedures for those products no later than eight years after the date of entry into force of this Agreement; and (b) energy performance standards for those products no later than nine years after the date of entry into force of this Agreement. 3. When developing or modifying energy performance standards or test procedures for a product, each Party shall give due consideration to adopting: (a) energy performance standards and test procedures adopted by another Party; or (b) industry standards that a standards development organization accredited in the territory of another Party has finalized and published for the product. 4.</w:t>
      </w:r>
    </w:p>
    <w:p>
      <w:pPr>
        <w:pStyle w:val="Normal"/>
      </w:pPr>
      <w:r>
        <w:t xml:space="preserve">In developing or modifying test procedures for a product, each Party shall give due consideration to operating conditions that are unique to each Party.</w:t>
      </w:r>
    </w:p>
    <w:p>
      <w:pPr>
        <w:pStyle w:val="Heading2"/>
      </w:pPr>
      <w:bookmarkStart w:id="900363" w:name="_Toc300000362"/>
      <w:r>
        <w:t xml:space="preserve">Article 12.D.5: Voluntary Approaches to Promote Energy Efficiency</w:t>
      </w:r>
      <w:bookmarkEnd w:id="900363"/>
    </w:p>
    <w:p>
      <w:pPr>
        <w:pStyle w:val="Normal"/>
      </w:pPr>
      <w:r>
        <w:t xml:space="preserve">1. The Parties recognize that voluntary programs and voluntary mechanisms can contribute to improving energy efficiency for a range of products. 2.</w:t>
      </w:r>
    </w:p>
    <w:p>
      <w:pPr>
        <w:pStyle w:val="Normal"/>
      </w:pPr>
      <w:r>
        <w:t>The Parties also recognize that voluntary programs and voluntary mechanisms should be open, transparent, and designed in a manner that maximizes benefits to consumers and environmental benefits, and avoids the creation of unnecessary barriers to trade. 3. The Parties shall encourage the use of voluntary programs and voluntary mechanisms and cooperate, as appropriate, to facilitate greater transparency and compatibility among these voluntary programs and voluntary mechanisms. The Parties recognize that successful efforts at harmonization should not diminish consumer welfare, consumer protection, or energy efficiency objectives. To that end, the Parties shall take into account, as appropriate, various factors including those relating to climate, geography, household purchasing power, and electricity infrastructure. 12-D-2</w:t>
      </w:r>
    </w:p>
    <w:p>
      <w:pPr>
        <w:pStyle w:val="Heading2"/>
      </w:pPr>
      <w:bookmarkStart w:id="900364" w:name="_Toc300000363"/>
      <w:r>
        <w:t xml:space="preserve">ANNEX 12-E MEDICAL DEVICES</w:t>
      </w:r>
      <w:bookmarkEnd w:id="900364"/>
    </w:p>
    <w:p>
      <w:pPr>
        <w:pStyle w:val="Heading2"/>
      </w:pPr>
      <w:bookmarkStart w:id="900365" w:name="_Toc300000364"/>
      <w:r>
        <w:t xml:space="preserve">Article 12.E.1: Definitions</w:t>
      </w:r>
      <w:bookmarkEnd w:id="900365"/>
    </w:p>
    <w:p>
      <w:pPr>
        <w:pStyle w:val="Normal"/>
      </w:pPr>
      <w:r>
        <w:t xml:space="preserve">For the purposes of this Annex: marketing authorization means the process or processes by which a Party approves or registers a medical device in order to authorize the marketing, distribution, or sale of the product in the Party’s territory on the basis of the Party’s safety, efficacy, and quality requirements; and medical device means: (a) for Canada, a product that constitutes a “device” as defined under section 2 of the Food and Drugs Act, R.S.C., 1985, c. F-27, as amended, and that is regulated as a “medical device” under the Medical Devices Regulations, SOR/98-282, as amended; (b) for Mexico, a product covered under article 262 of the Ley General de Salud (General Health Law) as amended; and (c) for the United States, a product for human use covered as a “device” under 21 U.S.C. § 321(h), as amended. Article 12.E.2:</w:t>
      </w:r>
    </w:p>
    <w:p>
      <w:pPr>
        <w:pStyle w:val="Normal"/>
      </w:pPr>
      <w:r>
        <w:t xml:space="preserve">Scope This Annex applies to the preparation, adoption, and application of technical regulations, standards, conformity assessment procedures, marketing authorization, and notification procedures of a Party’s central level of government that may affect trade in medical devices between the Parties, other than sanitary or phytosanitary measures or technical specifications prepared by a government body for production or consumption requirements of that body.</w:t>
      </w:r>
    </w:p>
    <w:p>
      <w:pPr>
        <w:pStyle w:val="Heading2"/>
      </w:pPr>
      <w:bookmarkStart w:id="900366" w:name="_Toc300000365"/>
      <w:r>
        <w:t xml:space="preserve">Article 12.E.3: Competent Authorities</w:t>
      </w:r>
      <w:bookmarkEnd w:id="900366"/>
    </w:p>
    <w:p>
      <w:pPr>
        <w:pStyle w:val="Normal"/>
      </w:pPr>
      <w:r>
        <w:t xml:space="preserve">1.</w:t>
      </w:r>
    </w:p>
    <w:p>
      <w:pPr>
        <w:pStyle w:val="Normal"/>
      </w:pPr>
      <w:r>
        <w:t xml:space="preserve">Each Party shall publish online the following information with respect to each of its competent authorities at its central level of government that has responsibility for implementing and enforcing measures regulating medical devices: (a) a description of each authority, including the authority’s specific responsibilities; and 12-E-1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medical devices, including by periodically examining whether its authorities are engaged in duplicative activities.</w:t>
      </w:r>
    </w:p>
    <w:p>
      <w:pPr>
        <w:pStyle w:val="Heading2"/>
      </w:pPr>
      <w:bookmarkStart w:id="900367" w:name="_Toc300000366"/>
      <w:r>
        <w:t xml:space="preserve">Article 12.E.4: Enhancing Regulatory Compatibility</w:t>
      </w:r>
      <w:bookmarkEnd w:id="900367"/>
    </w:p>
    <w:p>
      <w:pPr>
        <w:pStyle w:val="Normal"/>
      </w:pPr>
      <w:r>
        <w:t xml:space="preserve">1. Each Party should define “medical devices” under its laws and regulations in a manner that is consistent with the meaning assigned to the term “medical device” in the Definition of the Terms ‘Medical Device’ and ‘In Vitro Diagnostic (IVD) Medical Device’ endorsed by the Global Harmonization Task Force on May 16, 2012, as amended. 2.</w:t>
      </w:r>
    </w:p>
    <w:p>
      <w:pPr>
        <w:pStyle w:val="Normal"/>
      </w:pPr>
      <w:r>
        <w:t xml:space="preserve">The Parties shall seek to collaborate to improve the alignment of their respective regulations and regulatory activities for medical devices through work in relevant international initiatives, such as those aimed at harmonization, including the International Medical Device Regulators Forum, as well as regional initiatives that support those international initiatives, as appropriate. 3. The Parties shall seek to improve their cooperation on inspections of medical device manufacturers’ quality management systems. To this end, each Party shall recognize audits of device manufacturers’ quality management systems that are in accordance with the requirements established by the Medical Device Single Audit Program (MDSAP) and conducted by auditing organizations authorized by the regulatory authorities participating in MDSAP to audit under the MDSAP requirements. 4. When developing or implementing regulations for marketing authorization of medical devices, each Party shall consider relevant scientific or technical guidance documents developed through international collaborative efforts. Each Party is encouraged to consider regionally- developed scientific or technical guidance documents that are aligned with international efforts.</w:t>
      </w:r>
    </w:p>
    <w:p>
      <w:pPr>
        <w:pStyle w:val="Heading2"/>
      </w:pPr>
      <w:bookmarkStart w:id="900368" w:name="_Toc300000367"/>
      <w:r>
        <w:t xml:space="preserve">Article 12.E.5: Application of Regulatory Controls</w:t>
      </w:r>
      <w:bookmarkEnd w:id="900368"/>
    </w:p>
    <w:p>
      <w:pPr>
        <w:pStyle w:val="Normal"/>
      </w:pPr>
      <w:r>
        <w:t xml:space="preserve">1.</w:t>
      </w:r>
    </w:p>
    <w:p>
      <w:pPr>
        <w:pStyle w:val="Normal"/>
      </w:pPr>
      <w:r>
        <w:t>Each Party shall ensure that for a measure it applies to ensure the safety, effectiveness, or quality of medical devices,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12-E-2 2. Each Party shall classify medical devices based on risk, taking into account relevant scientific factors. Each Party shall ensure that any regulatory requirements it imposes on medical devices for purposes of assuring the device’s safety and effectiveness are based on an assessment of the medical device’s risks. 3. When developing a regulatory requirement for a medical device, each Party shall consider its available resources and technical capacity in order to minimize the likelihood of implementing requirements that could: (a) inhibit the efficacy of procedures for ensuring the safety, effectiveness, or quality of medical devices; or (b) lead to substantial delays for medical devices becoming available in that Party’s market. Article 12.E.6:</w:t>
      </w:r>
    </w:p>
    <w:p>
      <w:pPr>
        <w:pStyle w:val="Normal"/>
      </w:pPr>
      <w:r>
        <w:t>Marketing Authorizations 1. Each Party shall make a determination whether to grant marketing authorization for a specific medical device on the basis of information that is necessary to evaluate the safety, effectiveness, and quality of the medical device.</w:t>
      </w:r>
    </w:p>
    <w:p>
      <w:pPr>
        <w:pStyle w:val="Normal"/>
      </w:pPr>
      <w:r>
        <w:t>This information may include: (a) clinical data and information, if appropriate, on safety and effectiveness;10 (b) information on performance, design, and quality of the device; and (c) labeling information related to safety, effectiveness, quality, and use of the device. To this end, no Party shall require sales data, pricing data, or other financial data concerning the marketing of the medical device in making the determination. 2. Each Party shall administer its marketing authorizations: (a) reasonably, including by: (i) avoiding duplicative requests or requests for unnecessary information from the applicant, 10 For the purposes of evaluating the safety of a medical device, a Party may require information concerning the volume of devices sold in another jurisdiction and any reported problems or recalls of the medical device. 12-E-3 (ii) promptly communicating any deficiencies, and the reasons for those deficiencies, to the applicant, if that deficiency would prevent or delay consideration of the application, and (iii) providing an applicant that requests marketing authorization for a medical device with a determination within a reasonable period of time;11 (b) objectively, through application of published criteria;</w:t>
      </w:r>
    </w:p>
    <w:p>
      <w:pPr>
        <w:pStyle w:val="Normal"/>
      </w:pPr>
      <w:r>
        <w:t>(c) impartially, including by adopting or maintaining procedures to manage any conflicts of interest; and (d) transparently, including by publishing a checklist or other guidance concerning the information that must be provided in any application. 3.</w:t>
      </w:r>
    </w:p>
    <w:p>
      <w:pPr>
        <w:pStyle w:val="Normal"/>
      </w:pPr>
      <w:r>
        <w:t>Each Party shall ensure that it maintains measures that permit an applicant for a marketing authorization to seek review or reconsideration in the event the application is denied.12 4. If a Party requires periodic re-authorization for a medical device that has previously received marketing authorization from the Party, the Party shall allow the medical device to remain on its market under the conditions of the previous marketing authorization pending a decision on the periodic re-authorization, unless a Party identifies a significant safety, effectiveness, or quality concern.13 5. No Party shall require that a medical device receive a marketing authorization from a regulatory authority in the country of manufacture as a condition for the medical device to receive marketing authorization from that Party. 6. A Party may accept a prior marketing authorization that is issued by another regulatory authority as evidence that a medical device meets its requirements.</w:t>
      </w:r>
    </w:p>
    <w:p>
      <w:pPr>
        <w:pStyle w:val="Normal"/>
      </w:pPr>
      <w:r>
        <w:t>Notwithstanding paragraph 5, if the Party faces regulatory resource limitations that restrict its ability to provide marketing authorizations, a Party may require a marketing authorization from a reference country as a condition for the marketing authorization, provided that the Party has established and made public a list of those countries from which it will accept a marketing authorization as evidence that a medical device meets its own requirements.</w:t>
      </w:r>
    </w:p>
    <w:p>
      <w:pPr>
        <w:pStyle w:val="Normal"/>
      </w:pPr>
      <w:r>
        <w:t>The Parties recognize that the reasonable period of time required to make a marketing authorization determination may be affected by factors such as the novelty of a product or regulatory implications that may arise. 12 This provision does not preclude a Party from imposing a deadline by which review must be sought. 13 For greater certainty, the Parties recognize that an application for reauthorization that is not filed in a timely manner, that contains insufficient information, or that is otherwise inconsistent with a Party’s requirements, is deficient for the purposes of the reauthorization decision. 12-E-4 7. If a Party requires a manufacturer or supplier of a medical device to provide information through labeling, the Party shall permit the manufacturer or supplier to relabel the device or use supplementary labeling in accordance with the Party’s requirements after the device’s importation but prior to being offering for sale or supply in the Party’s territory. 12-E-5</w:t>
      </w:r>
    </w:p>
    <w:p>
      <w:pPr>
        <w:pStyle w:val="Heading2"/>
      </w:pPr>
      <w:bookmarkStart w:id="900369" w:name="_Toc300000368"/>
      <w:r>
        <w:t xml:space="preserve">ANNEX 12-F PHARMACEUTICALS</w:t>
      </w:r>
      <w:bookmarkEnd w:id="900369"/>
    </w:p>
    <w:p>
      <w:pPr>
        <w:pStyle w:val="Heading2"/>
      </w:pPr>
      <w:bookmarkStart w:id="900370" w:name="_Toc300000369"/>
      <w:r>
        <w:t xml:space="preserve">Article 12.F.1: Definitions</w:t>
      </w:r>
      <w:bookmarkEnd w:id="900370"/>
    </w:p>
    <w:p>
      <w:pPr>
        <w:pStyle w:val="Normal"/>
      </w:pPr>
      <w:r>
        <w:t xml:space="preserve">For the purposes of this Annex: marketing authorization means the process or processes by which a Party approves or registers a pharmaceutical product in order to authorize the marketing, distribution, or sale of the product in its territory on the basis of the Party’s safety, efficacy, and quality requirements; and pharmaceutical product means: (a) for Canada, a product destined for human use that constitutes a “drug” as defined under section 2 of the Food and Drugs Act, R.S.C., 1985, c. F-27, as amended, and that is regulated as a “drug” under the Food and Drug Regulations C.R.C., c. 870, as amended; (b) for Mexico, a product covered as human “drugs,” “biologics,” and “biotechnology” under articles 221, 222 bis, 224, and 224 bis of the Ley General de Salud (General Heath Law) as amended; and (c) for the United States, a product for human use covered as a “drug” under 21 U.S.C. § 321(g)(1), as amended, or as a “biologic” under 42 U.S.C. § 262(i), as amended.</w:t>
      </w:r>
    </w:p>
    <w:p>
      <w:pPr>
        <w:pStyle w:val="Heading2"/>
      </w:pPr>
      <w:bookmarkStart w:id="900371" w:name="_Toc300000370"/>
      <w:r>
        <w:t xml:space="preserve">Article 12.F.2: Scope</w:t>
      </w:r>
      <w:bookmarkEnd w:id="900371"/>
    </w:p>
    <w:p>
      <w:pPr>
        <w:pStyle w:val="Normal"/>
      </w:pPr>
      <w:r>
        <w:t xml:space="preserve">This Annex applies to the preparation, adoption, and application of technical regulations, standards, conformity assessment procedures, marketing authorization, and notification procedures of a Party’s central level of government that may affect trade in pharmaceutical products between the Parties, other than sanitary or phytosanitary measures or technical specifications prepared by a government body for production or consumption requirements of that body.</w:t>
      </w:r>
    </w:p>
    <w:p>
      <w:pPr>
        <w:pStyle w:val="Heading2"/>
      </w:pPr>
      <w:bookmarkStart w:id="900372" w:name="_Toc300000371"/>
      <w:r>
        <w:t xml:space="preserve">Article 12.F.3: Competent Authorities</w:t>
      </w:r>
      <w:bookmarkEnd w:id="900372"/>
    </w:p>
    <w:p>
      <w:pPr>
        <w:pStyle w:val="Normal"/>
      </w:pPr>
      <w:r>
        <w:t xml:space="preserve">1. Each Party shall make available online the following information with respect to each of its competent authorities at its central level of government that has responsibility for implementing and enforcing measures regulating pharmaceutical products: 12-F-1 (a) a description of each authority, including the authority’s specific responsibilities; and (b) a point of contact within each authority. 2. Each Party shall promptly notify the other Parties of any material changes to this information and update the information online. 3. Each Party shall avoid adopting or maintaining unnecessarily duplicative regulatory requirements with respect to pharmaceutical products, including by periodically examining whether its authorities are engaged in duplicative activities.</w:t>
      </w:r>
    </w:p>
    <w:p>
      <w:pPr>
        <w:pStyle w:val="Heading2"/>
      </w:pPr>
      <w:bookmarkStart w:id="900373" w:name="_Toc300000372"/>
      <w:r>
        <w:t xml:space="preserve">Article 12.F.4: Enhancing Regulatory Compatibility</w:t>
      </w:r>
      <w:bookmarkEnd w:id="900373"/>
    </w:p>
    <w:p>
      <w:pPr>
        <w:pStyle w:val="Normal"/>
      </w:pPr>
      <w:r>
        <w:t xml:space="preserve">The Parties shall seek to collaborate to improve the alignment of their respective regulations and regulatory activities for pharmaceutical products through work in relevant international initiatives as appropriate, such as those aimed at harmonization, as well as regional initiatives that support those international initiatives.</w:t>
      </w:r>
    </w:p>
    <w:p>
      <w:pPr>
        <w:pStyle w:val="Heading2"/>
      </w:pPr>
      <w:bookmarkStart w:id="900374" w:name="_Toc300000373"/>
      <w:r>
        <w:t xml:space="preserve">Article 12.F.5: Application of Regulatory Controls</w:t>
      </w:r>
      <w:bookmarkEnd w:id="900374"/>
    </w:p>
    <w:p>
      <w:pPr>
        <w:pStyle w:val="Normal"/>
      </w:pPr>
      <w:r>
        <w:t xml:space="preserve">1. Each Party shall ensure that for a measure it applies to ensure the safety, effectiveness, or quality of pharmaceutical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When developing a regulatory requirement for a pharmaceutical product, each Party shall consider its available resources and technical capacity in order to minimize the likelihood of implementing requirements that could: (a) inhibit the efficacy of procedures for ensuring the safety, effectiveness, or quality of pharmaceutical products; or (b) lead to substantial delays for pharmaceutical products becoming available in that Party’s market. 3. The Parties shall seek to improve their collaboration on pharmaceutical inspections.</w:t>
      </w:r>
    </w:p>
    <w:p>
      <w:pPr>
        <w:pStyle w:val="Normal"/>
      </w:pPr>
      <w:r>
        <w:t>Accordingly, each Party shall, with respect to a good manufacturing practice surveillance inspection of a manufacturing facility for pharmaceutical products within the territory of another Party: 12-F-2 (a) notify the other Party prior to conducting an inspection, unless there are reasonable grounds to believe that doing so could prejudice the effectiveness of the inspection; (b) if practicable, permit representatives of the other Party’s competent authority to observe the inspection; and (c) notify the other Party of its findings as soon as possible following the inspection and, if the findings will be publicly released, no later than a reasonable time before release. With respect to subparagraph (c), the inspecting Party is not required to notify the other Party of a finding that is subject to treatment as confidential information under the inspecting Party’s law. 4. Upon certification by the competent authority in the United States, the competent authorities of Canada and the United States shall establish mechanisms to permit the exchange of confidential information relevant to pharmaceutical inspections, including unredacted Good Manufacturing Practice inspection reports. 5.</w:t>
      </w:r>
    </w:p>
    <w:p>
      <w:pPr>
        <w:pStyle w:val="Normal"/>
      </w:pPr>
      <w:r>
        <w:t xml:space="preserve">Upon certification by the competent authority in the United States, the competent authorities of Mexico and the United States shall establish mechanisms to permit the exchange of confidential information relevant to pharmaceutical inspections, including unredacted Good Manufacturing Practice inspection reports. 6. To facilitate the exchange of information pursuant to paragraphs 4 and 5, each Party shall maintain procedures to prevent the disclosure of confidential information that may be necessary for the Parties to permit the exchange. 7. Competent authorities in Mexico and Canada shall strengthen their cooperation in the exchange of information, including through multilateral fora in existence. To that end, Mexico and Canada shall increase collaboration and confidence building exercises in the regulation of pharmaceutical products. 8. When developing or implementing regulations with respect to inspection of pharmaceutical products, each Party shall consider relevant scientific or technical guidance documents developed through international collaborative efforts.</w:t>
      </w:r>
    </w:p>
    <w:p>
      <w:pPr>
        <w:pStyle w:val="Heading2"/>
      </w:pPr>
      <w:bookmarkStart w:id="900375" w:name="_Toc300000374"/>
      <w:r>
        <w:t xml:space="preserve">Article 12.F.6: Marketing Authorizations</w:t>
      </w:r>
      <w:bookmarkEnd w:id="900375"/>
    </w:p>
    <w:p>
      <w:pPr>
        <w:pStyle w:val="Normal"/>
      </w:pPr>
      <w:r>
        <w:t xml:space="preserve">1. When developing or implementing a regulation for the marketing authorization of a pharmaceutical product, each Party shall consider relevant scientific or technical guidance 12-F-3 documents developed through international collaborative efforts.</w:t>
      </w:r>
    </w:p>
    <w:p>
      <w:pPr>
        <w:pStyle w:val="Normal"/>
      </w:pPr>
      <w:r>
        <w:t>Each Party is further encouraged to consider regionally-developed scientific or technical guidance documents that are aligned with international collaborative efforts. 2. Each Party shall make a determination whether to grant marketing authorization for a specific pharmaceutical product on the basis of information that is necessary to evaluate the safety, effectiveness, and quality of the pharmaceutical product. This information may include: (a) clinical data and information on safety and effectiveness of the product; (b) information on the quality of the product, including manufacturing controls for the ingredients of the product; and (c) labeling information related to the safety, effectiveness, quality, and use of the product. 3. No Party shall require sales data, or other financial data concerning the marketing of the product in making the determination referred to in paragraph 2. Further, each Party shall endeavor not to require pricing data in making the determination. 4.</w:t>
      </w:r>
    </w:p>
    <w:p>
      <w:pPr>
        <w:pStyle w:val="Normal"/>
      </w:pPr>
      <w:r>
        <w:t>Each Party shall administer its marketing authorizations: (a) reasonably, including by: (i) avoiding duplicative requests or requests for unnecessary information from the applicant, (ii) promptly communicating any deficiencies, and the reasons for the deficiencies, to the applicant, if the deficiency would prevent or delay consideration of the application, and (iii) providing an applicant that requests marketing authorization for a pharmaceutical product with a determination within a reasonable period of time;14 (b) objectively, through application of published criteria; (c) impartially, including by adopting or maintaining procedures to manage any conflicts of interest; and 14 For greater certainty, the reasonable period of time required to make a marketing authorization determination may be affected by factors such as the novelty of a product or regulatory implications that may arise. 12-F-4 (d) transparently, including by publishing a checklist or other guidance concerning the information that must be provided in any application. 5. Each Party shall ensure that it adopts or maintains measures that permit an applicant for a marketing authorization to seek review or reconsideration if the application is denied. 6. Paragraph 5 does not preclude a Party from imposing a deadline by which review must be sought. 7.</w:t>
      </w:r>
    </w:p>
    <w:p>
      <w:pPr>
        <w:pStyle w:val="Normal"/>
      </w:pPr>
      <w:r>
        <w:t>If a Party requires periodic re-authorization for a pharmaceutical product that has previously received marketing authorization from the Party, the Party shall allow the pharmaceutical product to remain on its market under the conditions of the previous marketing authorization pending a decision on the periodic reauthorization, unless the Party identifies a significant safety, effectiveness, or quality concern.15 8. No Party shall require that a pharmaceutical product receive marketing authorization from a regulatory authority in the country of manufacture as a condition for the product to receive marketing authorization from that Party. 9. A Party may accept a prior marketing authorization that is issued by another regulatory authority as evidence that a pharmaceutical product meets its requirements. Notwithstanding paragraph 6, if the Party faces regulatory resource limitations that restrict its ability to provide marketing authorizations, a Party may require a marketing authorization from a reference country as a condition for the marketing authorization, provided that the Party has established and published a list of those countries from which it will accept a marketing authorization as evidence that a pharmaceutical product meets its requirements. 10.</w:t>
      </w:r>
    </w:p>
    <w:p>
      <w:pPr>
        <w:pStyle w:val="Normal"/>
      </w:pPr>
      <w:r>
        <w:t>Each Party shall review the safety, effectiveness, and quality information submitted by the applicant requesting marketing authorization in a format that is consistent with the specifications set forth in the Common Technical Document (CTD) of the International Conference on Harmonisation of Technical Requirements for Registration of Pharmaceuticals for Human Use, as amended.16 For greater certainty, an application for reauthorization that is not filed in a timely manner, that contains insufficient information, or that is otherwise inconsistent with a Party’s requirements, is deficient for the purposes of the reauthorization decision. 16 For greater certainty, the CTD may not address all aspects relevant to a Party’s determination to approve marketing authorization for a particular product. 12-F-5</w:t>
      </w:r>
    </w:p>
    <w:p>
      <w:pPr>
        <w:pStyle w:val="ModHeading"/>
      </w:pPr>
      <w:bookmarkStart w:id="900376" w:name="_Toc300000375"/>
      <w:r>
        <w:t>CHAPTER 12: CUSMA 2.0 AVIATION CERTIFICATION MODERNIZATION</w:t>
      </w:r>
      <w:bookmarkEnd w:id="900376"/>
    </w:p>
    <w:p>
      <w:pPr>
        <w:pStyle w:val="TrumpVisibilityHeadline"/>
      </w:pPr>
      <w:r>
        <w:t xml:space="preserve">★ </w:t>
      </w:r>
      <w:r>
        <w:t>VISIBLE U.S. WIN: FASTER, FAIRER NORTH AMERICAN AIRCRAFT CERTIFICATION WITHOUT LOWERING SAFETY STANDARDS</w:t>
      </w:r>
    </w:p>
    <w:p>
      <w:pPr>
        <w:pStyle w:val="Heading2"/>
      </w:pPr>
      <w:bookmarkStart w:id="900377" w:name="_Toc300000376"/>
      <w:r>
        <w:t>ANNEX 12-G: NORTH AMERICAN AVIATION CERTIFICATION FAST LANE</w:t>
      </w:r>
      <w:bookmarkEnd w:id="900377"/>
    </w:p>
    <w:p>
      <w:pPr>
        <w:pStyle w:val="Heading2"/>
      </w:pPr>
      <w:bookmarkStart w:id="900378" w:name="_Toc300000377"/>
      <w:r>
        <w:t>Article 12.G.1: Purpose and Scope</w:t>
      </w:r>
      <w:bookmarkEnd w:id="900378"/>
    </w:p>
    <w:p>
      <w:pPr>
        <w:pStyle w:val="Normal"/>
      </w:pPr>
      <w:r>
        <w:t>1. The Parties establish a North American Aviation Certification Fast Lane to reduce avoidable regulatory duplication and delay in the certification and approval of civil aircraft, aircraft engines, propellers, appliances, parts, design changes, repairs, production approvals, and other civil-aviation products or technical approvals designated by the competent authorities. The Fast Lane shall operate through the Federal Aviation Administration of the United States, Transport Canada Civil Aviation, the Agencia Federal de Aviacion Civil of Mexico, and any lawful successor authorities.</w:t>
      </w:r>
    </w:p>
    <w:p>
      <w:pPr>
        <w:pStyle w:val="Normal"/>
      </w:pPr>
      <w:r>
        <w:t>2. The Fast Lane supplements and does not displace existing bilateral aviation-safety agreements, implementation procedures, technical arrangements, or domestic aviation law. Where an existing arrangement provides more specific or more efficient cooperation, the competent authorities may continue to use it.</w:t>
      </w:r>
    </w:p>
    <w:p>
      <w:pPr>
        <w:pStyle w:val="Heading2"/>
      </w:pPr>
      <w:bookmarkStart w:id="900379" w:name="_Toc300000378"/>
      <w:r>
        <w:t>Article 12.G.2: Sovereign Safety Authority and Safety Firewall</w:t>
      </w:r>
      <w:bookmarkEnd w:id="900379"/>
    </w:p>
    <w:p>
      <w:pPr>
        <w:pStyle w:val="Normal"/>
      </w:pPr>
      <w:r>
        <w:t>1. Nothing in this Annex requires a Party to certify, validate, approve, continue, or permit operation of an aircraft, engine, propeller, appliance, part, design, repair, production system, maintenance organization, or other aviation product or activity that its competent authority determines does not satisfy applicable safety requirements.</w:t>
      </w:r>
    </w:p>
    <w:p>
      <w:pPr>
        <w:pStyle w:val="Normal"/>
      </w:pPr>
      <w:r>
        <w:t>2. Each competent authority retains authority to conduct inspections, require testing or additional evidence where technically justified, issue airworthiness directives, impose operating limitations, suspend or revoke approvals, ground aircraft, investigate occurrences, and take immediate action necessary to address a credible aviation-safety risk.</w:t>
      </w:r>
    </w:p>
    <w:p>
      <w:pPr>
        <w:pStyle w:val="Normal"/>
      </w:pPr>
      <w:r>
        <w:t>3. A procedural deadline or reliance obligation under this Annex shall not compel a positive safety determination. Where additional time or evidence is reasonably necessary for safety, the authority shall provide the applicant with a concise technical explanation and revised expected timetable, subject to protection of confidential, security-sensitive, investigative, or privileged information.</w:t>
      </w:r>
    </w:p>
    <w:p>
      <w:pPr>
        <w:pStyle w:val="Heading2"/>
      </w:pPr>
      <w:bookmarkStart w:id="900380" w:name="_Toc300000379"/>
      <w:r>
        <w:t>Article 12.G.3: Concurrent and Coordinated Review</w:t>
      </w:r>
      <w:bookmarkEnd w:id="900380"/>
    </w:p>
    <w:p>
      <w:pPr>
        <w:pStyle w:val="Normal"/>
      </w:pPr>
      <w:r>
        <w:t>1. Where practicable and requested by an applicant, competent authorities shall permit simultaneous or overlapping technical review rather than requiring a completed certification decision in one Party before meaningful review may begin in another Party.</w:t>
      </w:r>
    </w:p>
    <w:p>
      <w:pPr>
        <w:pStyle w:val="Normal"/>
      </w:pPr>
      <w:r>
        <w:t>2. Authorities should coordinate early concerning the certification basis, significant technical issues, means of compliance, conformity plans, test programs, data expectations, and division of technical work so that materially identical questions are not independently rebuilt from the beginning without a safety justification.</w:t>
      </w:r>
    </w:p>
    <w:p>
      <w:pPr>
        <w:pStyle w:val="Normal"/>
      </w:pPr>
      <w:r>
        <w:t>3. Novel technologies may receive early joint technical engagement, including electric or hybrid propulsion, hydrogen systems, advanced avionics, autonomy or highly automated systems, novel materials, advanced manufacturing, alternative fuels, and other emerging civil-aviation technologies. Joint engagement does not predetermine certification.</w:t>
      </w:r>
    </w:p>
    <w:p>
      <w:pPr>
        <w:pStyle w:val="Heading2"/>
      </w:pPr>
      <w:bookmarkStart w:id="900381" w:name="_Toc300000380"/>
      <w:r>
        <w:t>Article 12.G.4: Maximum Lawful Reliance and Avoidance of Duplicative Testing</w:t>
      </w:r>
      <w:bookmarkEnd w:id="900381"/>
    </w:p>
    <w:p>
      <w:pPr>
        <w:pStyle w:val="Normal"/>
      </w:pPr>
      <w:r>
        <w:t>1. A competent authority shall, to the maximum extent consistent with its law and safety mandate, rely on technically sufficient findings, conformity inspections, test results, laboratory evidence, flight-test evidence, quality-system findings, engineering approvals, and other certification work performed or accepted by another Party's competent authority.</w:t>
      </w:r>
    </w:p>
    <w:p>
      <w:pPr>
        <w:pStyle w:val="Normal"/>
      </w:pPr>
      <w:r>
        <w:t>2. Additional or repeated testing may be required where a material difference in applicable requirements exists, the earlier evidence is incomplete or unreliable, a particularized safety concern is identified, a design change materially affects the relevant finding, or another documented technical reason makes reliance inappropriate. Mere foreign origin of the applicant, product, or evidence is not sufficient reason for duplicative testing.</w:t>
      </w:r>
    </w:p>
    <w:p>
      <w:pPr>
        <w:pStyle w:val="Heading2"/>
      </w:pPr>
      <w:bookmarkStart w:id="900382" w:name="_Toc300000381"/>
      <w:r>
        <w:t>Article 12.G.5: Published Response Clocks and Complete-Application Discipline</w:t>
      </w:r>
      <w:bookmarkEnd w:id="900382"/>
    </w:p>
    <w:p>
      <w:pPr>
        <w:pStyle w:val="Normal"/>
      </w:pPr>
      <w:r>
        <w:t>1. Within 15 days after receipt of a Fast Lane request, the receiving authority should acknowledge the request and identify the responsible contact point. Within 30 days after receipt of the principal application package, the authority should identify material completeness deficiencies known at that stage or confirm that substantive review has begun.</w:t>
      </w:r>
    </w:p>
    <w:p>
      <w:pPr>
        <w:pStyle w:val="Normal"/>
      </w:pPr>
      <w:r>
        <w:t>2. During substantive review, an authority should respond to a materially complete technical submission, issue a consolidated request for additional information where practicable, or provide a status update within 45 days. These periods are service benchmarks and do not create automatic certification by lapse of time.</w:t>
      </w:r>
    </w:p>
    <w:p>
      <w:pPr>
        <w:pStyle w:val="Normal"/>
      </w:pPr>
      <w:r>
        <w:t>3. A clock may pause while material information requested from the applicant is outstanding, during agreed testing, or while an identified safety issue reasonably requires additional technical work. The authority shall record the basis of the pause and restart the clock when the blocking condition is resolved.</w:t>
      </w:r>
    </w:p>
    <w:p>
      <w:pPr>
        <w:pStyle w:val="Heading2"/>
      </w:pPr>
      <w:bookmarkStart w:id="900383" w:name="_Toc300000382"/>
      <w:r>
        <w:t>Article 12.G.6: Non-Discrimination and No Politically Motivated Certification Delay</w:t>
      </w:r>
      <w:bookmarkEnd w:id="900383"/>
    </w:p>
    <w:p>
      <w:pPr>
        <w:pStyle w:val="Normal"/>
      </w:pPr>
      <w:r>
        <w:t>1. No Party shall delay, accelerate, condition, deny, suspend, or burden an aviation certification or technical approval principally for the purpose of trade retaliation, procurement leverage, unrelated diplomatic pressure, industrial favoritism, or coercion concerning a matter outside the applicable aviation-safety and regulatory criteria.</w:t>
      </w:r>
    </w:p>
    <w:p>
      <w:pPr>
        <w:pStyle w:val="Normal"/>
      </w:pPr>
      <w:r>
        <w:t>2. Applicants from another Party shall receive procedural treatment no less favorable than comparable domestic applicants with respect to access to published requirements, communication channels, completeness review, scheduling, reasons for delay, and opportunities to respond, taking account of legitimate differences in technical complexity, risk, novelty, and applicant readiness.</w:t>
      </w:r>
    </w:p>
    <w:p>
      <w:pPr>
        <w:pStyle w:val="Heading2"/>
      </w:pPr>
      <w:bookmarkStart w:id="900384" w:name="_Toc300000383"/>
      <w:r>
        <w:t>Article 12.G.7: Delay Escalation, Technical Review, and Institutional Boundary</w:t>
      </w:r>
      <w:bookmarkEnd w:id="900384"/>
    </w:p>
    <w:p>
      <w:pPr>
        <w:pStyle w:val="Normal"/>
      </w:pPr>
      <w:r>
        <w:t>1. Where a Fast Lane matter materially exceeds the applicable published service benchmark, the applicant may request a written status explanation and regulator-to-regulator consultation. Persistent unexplained procedural delay may be referred to an expedited Cothrom factual review limited to whether the procedural obligations of this Annex were observed.</w:t>
      </w:r>
    </w:p>
    <w:p>
      <w:pPr>
        <w:pStyle w:val="Normal"/>
      </w:pPr>
      <w:r>
        <w:t>2. A trade, Cothrom, or dispute-settlement body shall not substitute its judgment for a competent aviation authority on whether an aircraft or other aviation product is safe, airworthy, technically compliant, or suitable for certification. A procedural remedy may require renewed review, explanation, removal of discriminatory treatment, or observance of an applicable process, but shall not order issuance of a safety certificate or approval.</w:t>
      </w:r>
    </w:p>
    <w:p>
      <w:pPr>
        <w:pStyle w:val="Heading2"/>
      </w:pPr>
      <w:bookmarkStart w:id="900385" w:name="_Toc300000384"/>
      <w:r>
        <w:t>Article 12.G.8: North American Joint Certification Pathway and Continuous Improvement</w:t>
      </w:r>
      <w:bookmarkEnd w:id="900385"/>
    </w:p>
    <w:p>
      <w:pPr>
        <w:pStyle w:val="Normal"/>
      </w:pPr>
      <w:r>
        <w:t>1. The competent authorities shall maintain a voluntary pathway through which applicants may seek coordinated pre-application engagement, common evidence packages where feasible, aligned test witnessing, shared issue papers, and staged validation planning for products intended for certification in two or more Parties.</w:t>
      </w:r>
    </w:p>
    <w:p>
      <w:pPr>
        <w:pStyle w:val="Normal"/>
      </w:pPr>
      <w:r>
        <w:t>2. At least annually, the competent authorities shall review aggregate processing performance, categories of avoidable duplication, recurring technical divergences, and opportunities for additional reliance or mutual recognition. Public reporting shall protect confidential business information and safety-sensitive or security-sensitive information.</w:t>
      </w:r>
    </w:p>
    <w:p>
      <w:pPr>
        <w:pStyle w:val="Normal"/>
      </w:pPr>
      <w:r>
        <w:t>3. Implementation shall use existing competent aviation authorities and existing treaty institutions wherever practicable and does not require creation of a new permanent supranational aviation-certification body.</w:t>
      </w:r>
    </w:p>
    <w:p>
      <w:pPr>
        <w:pStyle w:val="Heading1"/>
      </w:pPr>
      <w:bookmarkStart w:id="900386" w:name="_Toc300000385"/>
      <w:r>
        <w:t>CHAPTER 13 GOVERNMENT PROCUREMENT</w:t>
      </w:r>
      <w:bookmarkEnd w:id="900386"/>
    </w:p>
    <w:p>
      <w:pPr>
        <w:pStyle w:val="Normal"/>
      </w:pPr>
      <w:r>
        <w:t>Article 13.1:</w:t>
      </w:r>
    </w:p>
    <w:p>
      <w:pPr>
        <w:pStyle w:val="Normal"/>
      </w:pPr>
      <w:r>
        <w:t>Definitions For the purposes of this Chapter: build-operate-transfer contract and public works concession contract means a contractual arrangement the primary purpose of which is to provide for the construction or rehabilitation of physical infrastructure, plants, buildings, facilities, or other government-owned works and under which, as consideration for a supplier’s execution of a contractual arrangement, a procuring entity grants to the supplier, for a specified period of time, temporary ownership or a right to control and operate, and demand payment for the use of those works for the duration of the contract; commercial goods or services means goods or services of a type generally sold or offered for sale in the commercial marketplace to, and customarily purchased by, non-governmental buyers for non-governmental purposes; construction service means a service that has as its objective the realization by whatever means of civil or building works, based on Division 51 of the United Nations Provisional Central Product Classification (CPC);</w:t>
      </w:r>
    </w:p>
    <w:p>
      <w:pPr>
        <w:pStyle w:val="Normal"/>
      </w:pPr>
      <w:r>
        <w:t>in writing or written means any worded or numbered expression that can be read, reproduced and may be later communicated, and may include electronically transmitted and stored information; limited tendering means a procurement method whereby the procuring entity contacts a supplier or suppliers of its choice; multi-use list means a list of suppliers that a procuring entity has determined satisfy the conditions for</w:t>
      </w:r>
    </w:p>
    <w:p>
      <w:pPr>
        <w:pStyle w:val="Normal"/>
      </w:pPr>
      <w:r>
        <w:t>participation in that list, and that the procuring entity intends to use more than once; notice of intended procurement means a notice published by a procuring entity inviting interested suppliers to submit a request for participation, a tender, or both; offset means any condition or undertaking that requires the use of domestic content, a domestic supplier, the licensing of technology, technology transfer, investment, counter-trade, or similar action to encourage local development or to improve a Party’s balance of payments accounts; open tendering means a procurement method whereby all interested suppliers may submit a tender; procuring entity means an entity listed in Annex 13-A; qualified supplier means a supplier that a procuring entity recognizes as having satisfied the conditions for participation; selective tendering means a procurement method whereby the procuring entity invites only qualified suppliers to submit a tender; services includes construction services, unless otherwise specified; supplier means a person or group of persons that provides or could provide a good or service to a procuring entity; and technical specification means a tendering requirement that: (a) sets out the characteristics of:</w:t>
      </w:r>
    </w:p>
    <w:p>
      <w:pPr>
        <w:pStyle w:val="Normal"/>
      </w:pPr>
      <w:r>
        <w:t>(i) goods to be procured, including quality, performance, safety, and dimensions, or the processes and methods for their production, or (ii) services to be procured, or the processes or methods for their provision, including any applicable administrative provisions;</w:t>
      </w:r>
    </w:p>
    <w:p>
      <w:pPr>
        <w:pStyle w:val="Normal"/>
      </w:pPr>
      <w:r>
        <w:t>or (b) addresses terminology, symbols, packaging, marking, or labelling requirements, as they apply to a good or service.</w:t>
      </w:r>
    </w:p>
    <w:p>
      <w:pPr>
        <w:pStyle w:val="Heading2"/>
      </w:pPr>
      <w:bookmarkStart w:id="900387" w:name="_Toc300000386"/>
      <w:r>
        <w:t xml:space="preserve">Article 13.2: Scope</w:t>
      </w:r>
      <w:bookmarkEnd w:id="900387"/>
    </w:p>
    <w:p>
      <w:pPr>
        <w:pStyle w:val="Normal"/>
      </w:pPr>
      <w:r>
        <w:t xml:space="preserve">Application of Chapter 1. This Chapter applies to any measure regarding covered procurement. 2. For the purposes of this Chapter, covered procurement means government procurement: (a) of a good, service, or any combination thereof as specified in each Party’s Schedule to Annex 13-A; (b) by any contractual means, including: purchase; rental or lease, with or without an option to buy; build-operate-transfer contracts and public works concessions contracts; (c) for which the value, as estimated in accordance with paragraphs 9 and 10, equals or exceeds the relevant threshold specified in a Party’s Schedule to Annex 13-A, at the time of publication of a notice of intended procurement; (d) by a procuring entity; and (e) that is not otherwise excluded from coverage under this Agreement. 3. This Chapter applies only as between Mexico and the United Sates. Accordingly, for the purposes of this Chapter, “Party” or “Parties” means Mexico or the United States, singly or collectively. Activities Not Covered 4.</w:t>
      </w:r>
    </w:p>
    <w:p>
      <w:pPr>
        <w:pStyle w:val="Normal"/>
      </w:pPr>
      <w:r>
        <w:t>Unless otherwise provided in a Party’s Schedule to Annex 13-A, this Chapter does not apply to: (a) the acquisition or rental of land, existing buildings or other immovable property or the rights thereon; (b) non-contractual agreements or any form of assistance that a Party, including its procuring entities, provides, including cooperative agreements, grants, loans, equity infusions, guarantees, subsidies, fiscal incentives, and sponsorship arrangements; (c) the procurement or acquisition of: fiscal agency or depository services; liquidation and management services for regulated financial institutions; or services related to the sale, redemption and distribution of public debt, including loans and government bonds, notes and other securities; (e) public employment contracts; and (f) procurement conducted: (i) for the specific purpose of providing international assistance, including development aid, (ii) under the particular procedure or condition of an international agreement relating to the stationing of troops or relating to the joint implementation by the signatory countries of a project, or (iii) under the particular procedure or condition of an international organization, or funded by international grants, loans, or other assistance if the applicable procedure or condition would be inconsistent with this Chapter. Schedules 5.</w:t>
      </w:r>
    </w:p>
    <w:p>
      <w:pPr>
        <w:pStyle w:val="Normal"/>
      </w:pPr>
      <w:r>
        <w:t>Each Party shall specify the following information in its Schedule to Annex 13-A: (a) in Section A, the central government entities for which procurement is covered by this Chapter; (b) in Section B, other entities for which procurement is covered by this Chapter; (c) in Section C, the goods covered by this Chapter; (d) in Section D, the services, other than construction services, covered by this Chapter; (e) in Section E, the construction services covered by this Chapter; (f) in Section F, any General Notes; (g) in Section G, the applicable Threshold Adjustment Formula; and (h) in Section H, the publication information required under Article 13.5.2 (Publication of Procurement Information). Compliance 6. Each Party shall ensure that its procuring entities comply with this Chapter in conducting covered procurements. 7. No procuring entity shall prepare or design a procurement, or otherwise structure or divide a procurement into separate procurements in any stage of the procurement, or use a particular method to estimate the value of a procurement, in order to avoid the obligations of this Chapter. 8.</w:t>
      </w:r>
    </w:p>
    <w:p>
      <w:pPr>
        <w:pStyle w:val="Normal"/>
      </w:pPr>
      <w:r>
        <w:t>Nothing in this Chapter shall be construed to prevent a Party, including its procuring entities, from developing new procurement policies, procedures or contractual means, provided that they are not inconsistent with this Chapter. Valuation 9.</w:t>
      </w:r>
    </w:p>
    <w:p>
      <w:pPr>
        <w:pStyle w:val="Normal"/>
      </w:pPr>
      <w:r>
        <w:t>In estimating the value of a procurement for the purposes of ascertaining whether it is a covered procurement, a procuring entity shall include the estimated maximum total value of the procurement over its entire duration, taking into account: (a) all forms of remuneration, including any premium, fee, commission, interest or other revenue stream that may be provided for under the contract; (b) the value of any option clause; and (c) any contract awarded at the same time or over a given period to one or more suppliers under the same procurement. 10. If the total estimated maximum value of a procurement over its entire duration is not known, the procurement shall be deemed a covered procurement, unless otherwise excluded under this Agreement.</w:t>
      </w:r>
    </w:p>
    <w:p>
      <w:pPr>
        <w:pStyle w:val="Heading2"/>
      </w:pPr>
      <w:bookmarkStart w:id="900388" w:name="_Toc300000387"/>
      <w:r>
        <w:t xml:space="preserve">Article 13.3: Exceptions</w:t>
      </w:r>
      <w:bookmarkEnd w:id="900388"/>
    </w:p>
    <w:p>
      <w:pPr>
        <w:pStyle w:val="Normal"/>
      </w:pPr>
      <w:r>
        <w:t xml:space="preserve">1. Subject to the requirement that the measure is not applied in a manner that would constitute a means of arbitrary or unjustifiable discrimination between Parties where the same conditions prevail, or a disguised restriction on international trade between the Parties, nothing in this Chapter shall be construed to prevent a Party, including its procuring entities, from adopting or maintaining a measure: (a) necessary to protect public morals, order, or safety; (b) necessary to protect human, animal, or plant life or health; (c) necessary to protect intellectual property; or (d) relating to the good or service of a person with disabilities, of philanthropic or not-for-profit institutions, or of prison labor. 2. The Parties understand that subparagraph 1(b) includes environmental measures necessary to protect human, animal, or plant life or health.</w:t>
      </w:r>
    </w:p>
    <w:p>
      <w:pPr>
        <w:pStyle w:val="Heading2"/>
      </w:pPr>
      <w:bookmarkStart w:id="900389" w:name="_Toc300000388"/>
      <w:r>
        <w:t xml:space="preserve">Article 13.4: General Principles</w:t>
      </w:r>
      <w:bookmarkEnd w:id="900389"/>
    </w:p>
    <w:p>
      <w:pPr>
        <w:pStyle w:val="Normal"/>
      </w:pPr>
      <w:r>
        <w:t xml:space="preserve">National Treatment and Non-Discrimination 1. With respect to any measure regarding covered procurement, each Party, including its procuring entities, shall accord immediately and unconditionally to the goods and services of the other Party and to the suppliers of the other Party, treatment no less favorable than the treatment that the Party, including its procuring entities, accords to domestic goods, services, and suppliers. 2. With respect to a measure regarding covered procurement, no Party, including its procuring entities, shall: (a) treat a locally established supplier less favorably than another locally established supplier on the basis of degree of foreign affiliation or ownership; or (b) discriminate against a locally established supplier on the basis that the good or service offered by that supplier for a particular procurement is a good or service of the other Party. 3. All orders under contracts awarded for covered procurement shall be subject to paragraphs 1 and 2 of this Article. Procurement Methods 4. A procuring entity shall use an open tendering procedure for covered procurement unless Article 13.8 (Qualification of Suppliers) or Article 13.9 (Limited Tendering) applies. Rules of Origin 5.</w:t>
      </w:r>
    </w:p>
    <w:p>
      <w:pPr>
        <w:pStyle w:val="Normal"/>
      </w:pPr>
      <w:r>
        <w:t>For the purposes of covered procurement, a Party shall not apply rules of origin to goods or services imported from or supplied from the other Party that are different from the rules of origin the Party applies at the same time in the normal course of trade to imports or supplies of the same goods or services from the same Party. Offsets 6. With regard to covered procurement, no Party, including its procuring entities, shall seek, take account of, impose, or enforce any offset, at any stage of a procurement. Measures Not Specific to Procurement 7. Paragraphs 1 and 2 shall not apply to customs duties and charges of any kind imposed on or in connection with importation, the method of levying such duties and charges, other import regulations or formalities, and measures affecting trade in services other than measures governing covered procurement. Use of Electronic Means 8. The Parties shall seek to provide opportunities for covered procurement to be undertaken through electronic means, including for the publication of procurement information, notices, and tender documentation, and for the receipt of tenders. 9.</w:t>
      </w:r>
    </w:p>
    <w:p>
      <w:pPr>
        <w:pStyle w:val="Normal"/>
      </w:pPr>
      <w:r>
        <w:t>When conducting covered procurement by electronic means, a procuring entity shall: (a) ensure that the procurement is conducted using information technology systems and software, including those related to authentication and encryption of information, that are generally available and interoperable with other generally available information technology systems and software; and (b) establish and maintain mechanisms that ensure the integrity of information provided by suppliers, including requests for participation and tenders.</w:t>
      </w:r>
    </w:p>
    <w:p>
      <w:pPr>
        <w:pStyle w:val="Heading2"/>
      </w:pPr>
      <w:bookmarkStart w:id="900390" w:name="_Toc300000389"/>
      <w:r>
        <w:t xml:space="preserve">Article 13.5: Publication of Procurement Information</w:t>
      </w:r>
      <w:bookmarkEnd w:id="900390"/>
    </w:p>
    <w:p>
      <w:pPr>
        <w:pStyle w:val="Normal"/>
      </w:pPr>
      <w:r>
        <w:t xml:space="preserve">1. Each Party shall promptly publish any measure of general application relating to covered procurement, and any change or addition to this information. 2. Each Party shall list in Section I of its Schedule to Annex 13-A the paper or electronic means through which the Party publishes the information described in paragraph 1 and the notices required by Article 13.6 (Notices of Intended Procurement), Article 13.8.3 (Qualification of Suppliers), and Article 13.15.3 (Transparency and Post-Award Information). 3. Each Party shall, on request, provide an explanation in response to an inquiry relating to the information referred to in paragraph 1.</w:t>
      </w:r>
    </w:p>
    <w:p>
      <w:pPr>
        <w:pStyle w:val="Heading2"/>
      </w:pPr>
      <w:bookmarkStart w:id="900391" w:name="_Toc300000390"/>
      <w:r>
        <w:t xml:space="preserve">Article 13.6: Notices of Intended Procurement</w:t>
      </w:r>
      <w:bookmarkEnd w:id="900391"/>
    </w:p>
    <w:p>
      <w:pPr>
        <w:pStyle w:val="Normal"/>
      </w:pPr>
      <w:r>
        <w:t xml:space="preserve">1. For each covered procurement, except in the circumstances described in Article 13.9 (Limited Tendering), a procuring entity shall publish a notice of intended procurement through the appropriate paper or electronic means listed in Annex 13-A. The notices shall remain readily accessible to the public until at least the expiration of the time period for responding to the notice or the deadline for submission of the tender. 2. The notices shall, if accessible by electronic means, be provided free of charge: (a) for central government entities that are covered under Annex 13-A, through a single point of access; and (b) for other entities covered under Annex 13-A, through links in a single electronic portal. 3. Unless otherwise provided in this Chapter, each notice of intended procurement shall include the following information, unless that information is provided in the tender documentation that is made available free of charge to all interested suppliers at the same time as the notice of intended procurement:</w:t>
      </w:r>
    </w:p>
    <w:p>
      <w:pPr>
        <w:pStyle w:val="Normal"/>
      </w:pPr>
      <w:r>
        <w:t>(a) the name and address of the procuring entity and other information necessary to contact the procuring entity and obtain all relevant documents relating to the procurement, and the cost and terms of payment to obtain the relevant documents, if any; (b) a description of the procurement, including, if appropriate, the nature and quantity of the goods or services to be procured and a description of any options, or the</w:t>
      </w:r>
    </w:p>
    <w:p>
      <w:pPr>
        <w:pStyle w:val="Normal"/>
      </w:pPr>
      <w:r>
        <w:t>estimated quantity if the quantity is not known; (c) if applicable, the time-frame for delivery of goods or services or the duration of the contract; (d) if applicable, the address and any final date for the submission of requests for participation in the procurement; (e) the address and the final date for the submission of tenders; (f) the language or languages in which tenders or requests for participation may be submitted, if other than an official language of the Party of the procuring entity; (g) a list and a brief description of any conditions for participation of suppliers, that may include any related requirements for specific documents or certifications that suppliers must provide; (h) if, pursuant to Article 13.8 (Qualification of Suppliers), a procuring entity intends to select a limited number of qualified suppliers to be invited to tender, the criteria that will be used to select them and, if applicable, any limitation on the number of suppliers that will be permitted to tender; and (i) an indication that the procurement is covered by this Chapter. 4.</w:t>
      </w:r>
    </w:p>
    <w:p>
      <w:pPr>
        <w:pStyle w:val="Normal"/>
      </w:pPr>
      <w:r>
        <w:t>For greater certainty, paragraph 3 does not preclude a Party from charging a fee for tender documentation if the notice of intended procurement includes all of the information set out in paragraph 3. Notice of Planned Procurement 5.</w:t>
      </w:r>
    </w:p>
    <w:p>
      <w:pPr>
        <w:pStyle w:val="Normal"/>
      </w:pPr>
      <w:r>
        <w:t>Procuring entities are encouraged to publish as early as possible in each fiscal year a notice regarding their future procurement plans (notice of planned procurement) which should include the subject matter of the procurement and the planned date of publication of the notice of intended procurement.</w:t>
      </w:r>
    </w:p>
    <w:p>
      <w:pPr>
        <w:pStyle w:val="Heading2"/>
      </w:pPr>
      <w:bookmarkStart w:id="900392" w:name="_Toc300000391"/>
      <w:r>
        <w:t xml:space="preserve">Article 13.7: Conditions for Participation</w:t>
      </w:r>
      <w:bookmarkEnd w:id="900392"/>
    </w:p>
    <w:p>
      <w:pPr>
        <w:pStyle w:val="Normal"/>
      </w:pPr>
      <w:r>
        <w:t xml:space="preserve">1. A procuring entity shall limit any conditions for participation in a covered procurement to those conditions that ensure that a supplier has the legal and financial capacities and the commercial and technical abilities to fulfil the requirements of that procurement. 2. In establishing the conditions for participation, a procuring entity: (a) shall not impose the condition that, in order for a supplier to participate in a procurement, the supplier has previously been awarded one or more contracts by a procuring entity of a given Party or that the supplier has prior work experience in the territory of that Party; and (b) may require relevant prior experience if essential to meet the requirements of the procurement. 3. In assessing whether a supplier satisfies the conditions for participation, a procuring entity shall: (a) evaluate the financial capacity and the commercial and technical abilities of a supplier on the basis of that supplier’s business activities both inside and outside the territory of the Party of the procuring entity; and (b) base its evaluation solely on the conditions that the procuring entity has specified in advance in notices or tender documentation. 4.</w:t>
      </w:r>
    </w:p>
    <w:p>
      <w:pPr>
        <w:pStyle w:val="Normal"/>
      </w:pPr>
      <w:r>
        <w:t>If there is supporting evidence, a Party, including its procuring entities, may exclude a supplier on grounds such as: (a) bankruptcy or insolvency; (b) false declarations; (c) significant or persistent deficiencies in the performance of any substantive requirement or obligation under a prior contract or contracts; (d) final judgments in respect of serious crimes or other serious offences; (e) professional misconduct or actions or omissions that adversely reflect on the commercial integrity of the supplier; or (f) failure to pay taxes. 5. For greater certainty, this Article is not intended to preclude a procuring entity from promoting compliance with laws in the territory in which the good is produced or the service is performed relating to labor rights as recognized by the Parties and set forth in Article 23.3 (Labor Rights), provided that such measures are applied in a manner consistent with Chapter 29 (Publication and Administration), and are not applied in a manner that constitutes a means of arbitrary or unjustifiable discrimination between the Parties or a disguised restriction on trade between the Parties.1</w:t>
      </w:r>
    </w:p>
    <w:p>
      <w:pPr>
        <w:pStyle w:val="Heading2"/>
      </w:pPr>
      <w:bookmarkStart w:id="900393" w:name="_Toc300000392"/>
      <w:r>
        <w:t xml:space="preserve">Article 13.8: Qualification of Suppliers</w:t>
      </w:r>
      <w:bookmarkEnd w:id="900393"/>
    </w:p>
    <w:p>
      <w:pPr>
        <w:pStyle w:val="Normal"/>
      </w:pPr>
      <w:r>
        <w:t xml:space="preserve">Registration Systems and Qualification Procedures 1. A Party, including its procuring entities, may maintain a supplier registration system under which interested suppliers are required to register and provide certain information. 2. No Party, including its procuring entities, shall: (a) adopt or apply any registration system or qualification procedure with the purpose or the effect of creating unnecessary obstacles to the participation of suppliers of the other Party in its procurement; or (b) use such registration system or qualification procedure to prevent or delay the inclusion of suppliers of the other Party on a list of suppliers or prevent those suppliers from being considered for a particular procurement. Selective Tendering 3. If a procuring entity intends to use selective tendering, the procuring entity shall: (a) publish a notice of intended procurement that invites suppliers to submit a request for participation in a covered procurement; and (b) include in the notice of intended procurement the information specified in Article 13.6.3(a), (b), (d), (g), (h), and (i) (Notices of Intended Procurement). 4.</w:t>
      </w:r>
    </w:p>
    <w:p>
      <w:pPr>
        <w:pStyle w:val="Normal"/>
      </w:pPr>
      <w:r>
        <w:t>The procuring entity shall: (a) publish the notice sufficiently in advance of the procurement to allow interested suppliers to request participation in the procurement; The adoption and maintenance of these measures by a Party should not be construed as evidence that the other Party has breached the obligations under Chapter 23 (Labor) with respect to labor. (b) provide, by the commencement of the time period for tendering, at least the information in Article 13.6.3 (c), (e), and (f) (Notices of Intended Procurement) to the qualified suppliers that it notifies as specified in Article 13.13.3(b) (Time Periods); and (c) allow all qualified suppliers to submit a tender, unless the procuring entity stated in the notice of intended procurement a limitation on the number of suppliers that will be permitted to tender and the criteria or justification for selecting the limited number of suppliers. 5.</w:t>
      </w:r>
    </w:p>
    <w:p>
      <w:pPr>
        <w:pStyle w:val="Normal"/>
      </w:pPr>
      <w:r>
        <w:t>If the tender documentation is not made publicly available from the date of publication of the notice referred to in paragraph 3, the procuring entity shall ensure that the tender documentation is made available at the same time to all the qualified suppliers selected in accordance with paragraph 4(c). Multi-Use Lists 6. A Party, including its procuring entities, may establish or maintain a multi-use list provided that it publishes annually, or otherwise makes continuously available by electronic means, a notice inviting interested suppliers to apply for inclusion on the list.</w:t>
      </w:r>
    </w:p>
    <w:p>
      <w:pPr>
        <w:pStyle w:val="Normal"/>
      </w:pPr>
      <w:r>
        <w:t>The notice shall include: (a) a description of the goods and services, or categories thereof, for which the list may be used; (b) the conditions for participation to be satisfied by suppliers for inclusion on the list and the methods that the procuring entity or other government agency will use to verify a supplier’s satisfaction of those conditions; (c) the name and address of the procuring entity or other government agency and other information necessary to contact the procuring entity and to obtain all relevant documents relating to the list; (d) the period of validity of the list and the means for its renewal or termination or, if the period of validity is not provided, an indication of the method by which notice will be given of the termination of use of the list;</w:t>
      </w:r>
    </w:p>
    <w:p>
      <w:pPr>
        <w:pStyle w:val="Normal"/>
      </w:pPr>
      <w:r>
        <w:t>(e) the deadline for submission of applications for inclusion on the list, if applicable; and (f) an indication that the list may be used for procurement covered by this Chapter, unless that indication is publicly available through information published pursuant to Article 13.5.2 (Publication of Procurement Information). 7. A Party, including its procuring entities, that establishes or maintains a multi-use list, shall include on the list, within a reasonable period of time, all suppliers that satisfy the conditions for participation set out in the notice referred to in paragraph 6. 8.</w:t>
      </w:r>
    </w:p>
    <w:p>
      <w:pPr>
        <w:pStyle w:val="Normal"/>
      </w:pPr>
      <w:r>
        <w:t>If a supplier that is not included on a multi-use list submits a request for participation in a procurement based on the multi-use list and submits all required documents, within the time period provided for in Article 13.13.2 (Time Periods), a procuring entity shall examine the request. The procuring entity shall not exclude the supplier from consideration in respect of the procurement unless the procuring entity is not able to complete the examination of the request within the time period allowed for the submission of tenders. Information on Procuring Entity Decisions 9. A procuring entity or other entity of a Party shall promptly inform any supplier that submits a request for participation in a procurement or application for inclusion on a multi-use list of the decision with respect to the request or application. 10. If a procuring entity or other entity of a Party rejects a supplier’s request for participation or application for inclusion on a multi-use list, ceases to recognize a supplier as qualified, or removes a supplier from a multi-use list, the entity shall promptly inform the supplier and on request of the supplier, promptly provide the supplier with a written explanation of the reason for its decision.</w:t>
      </w:r>
    </w:p>
    <w:p>
      <w:pPr>
        <w:pStyle w:val="Heading2"/>
      </w:pPr>
      <w:bookmarkStart w:id="900394" w:name="_Toc300000393"/>
      <w:r>
        <w:t xml:space="preserve">Article 13.9: Limited Tendering</w:t>
      </w:r>
      <w:bookmarkEnd w:id="900394"/>
    </w:p>
    <w:p>
      <w:pPr>
        <w:pStyle w:val="Normal"/>
      </w:pPr>
      <w:r>
        <w:t xml:space="preserve">1. Provided that it does not use this provision for the purpose of avoiding competition between suppliers, to protect domestic suppliers, or in a manner that discriminates against suppliers of the other Party, a procuring entity may use limited tendering. 2. If a procuring entity uses limited tendering, it may choose, according to the nature of the procurement, not to apply Article 13.6 (Notices of Intended Procurement), Article 13.7 (Conditions for Participation), Article 13.8 (Qualification of Suppliers), Article 13.10 (Negotiations), Article 13.11 (Technical Specifications), Article 13.12 (Tender Documentation), Article 13.13 (Time Periods), or Article 13.14 (Treatment of Tenders and Awarding of Contracts). A procuring entity may use limited tendering only under the following circumstances: (a) if, in response to a prior notice, invitation to participate, or invitation to tender:</w:t>
      </w:r>
    </w:p>
    <w:p>
      <w:pPr>
        <w:pStyle w:val="Normal"/>
      </w:pPr>
      <w:r>
        <w:t>(i) no tenders were submitted or no suppliers requested participation, (ii) no tenders were submitted that conform to the essential requirements in the tender documentation, (iii) no suppliers satisfied the conditions for participation, or (iv) the tenders submitted were collusive, provided that the procuring entity does not substantially modify the essential requirements set out in the notices or tender documentation; (b) if the good or service can be supplied only by a particular supplier and no reasonable alternative or substitute good or service exists for any</w:t>
      </w:r>
    </w:p>
    <w:p>
      <w:pPr>
        <w:pStyle w:val="Normal"/>
      </w:pPr>
      <w:r>
        <w:t>of the following reasons: (i) the requirement is for a work of art, (ii) the protection of patents, copyrights, or other exclusive rights, or (iii) due to an absence of competition for technical reasons; (c) for additional deliveries by the original supplier or its authorized agents, of goods or services that were not included in the initial procurement if a change of supplier for such additional goods or services: (i) cannot be made for technical reasons such as requirements of interchangeability or interoperability with existing equipment, software, services, or installations procured under the initial procurement, or due to conditions under original supplier warranties, and (ii) would cause significant inconvenience or substantial duplication of costs for the procuring entity; (d) for a good purchased on a commodity market or exchange; (e) if a procuring entity procures a prototype or a first good or service that is intended for limited trial or that is developed at its request in the course of, and for, a particular contract for research, experiment, study, or original development.</w:t>
      </w:r>
    </w:p>
    <w:p>
      <w:pPr>
        <w:pStyle w:val="Normal"/>
      </w:pPr>
      <w:r>
        <w:t>Original development of a prototype or a first good or service may include limited production or supply in order to incorporate the results of field testing and to demonstrate that the prototype or the first good or service is suitable for production or supply in quantity to acceptable quality standards, but does not include quantity production or supply to establish commercial viability or to recover research and development costs; (f) for purchases made under exceptionally advantageous conditions that only arise in the very short term, such as from unusual disposals, liquidation, bankruptcy, or receivership, but not for routine purchases from regular suppliers; (g) if a contract is awarded to the winner of a design contest, provided that: (i) the contest has been organized in a manner that is consistent with this Chapter, and (ii) the contest is judged by an independent jury with a view to award a design contract to the winner; or (h) in so far as is strictly necessary if, for reasons of extreme urgency brought about by events unforeseeable by the procuring entity, the good or service could not be obtained in time by means of open or selective tendering. 3.</w:t>
      </w:r>
    </w:p>
    <w:p>
      <w:pPr>
        <w:pStyle w:val="Normal"/>
      </w:pPr>
      <w:r>
        <w:t>For each contract awarded in accordance with paragraph 2, a procuring entity shall prepare a report in writing, or maintain a record, that includes the name of the procuring entity, the value and kind of good or service procured, and a statement that indicates the circumstances and conditions described in paragraph 2 that justified the use of limited tendering.</w:t>
      </w:r>
    </w:p>
    <w:p>
      <w:pPr>
        <w:pStyle w:val="Heading2"/>
      </w:pPr>
      <w:bookmarkStart w:id="900395" w:name="_Toc300000394"/>
      <w:r>
        <w:t xml:space="preserve">Article 13.10: Negotiations</w:t>
      </w:r>
      <w:bookmarkEnd w:id="900395"/>
    </w:p>
    <w:p>
      <w:pPr>
        <w:pStyle w:val="Normal"/>
      </w:pPr>
      <w:r>
        <w:t xml:space="preserve">1. A Party may provide for its procuring entities to conduct negotiations in the context of covered procurement if: (a) the procuring entity has indicated its intent to conduct negotiations in the notice of intended procurement required under Article 13.6 (Notices of Intended Procurement); or (b) it appears from the evaluation that no tender is obviously the most advantageous in terms of the specific evaluation criteria set out in the notice of intended procurement or tender documentation. 2. A procuring entity shall: (a) ensure that any elimination of suppliers participating in negotiations is carried out in accordance with the evaluation criteria set out in the notice of intended procurement or tender documentation; and (b) when negotiations are concluded, provide a common deadline for the remaining participating suppliers to submit any new or revised tenders.</w:t>
      </w:r>
    </w:p>
    <w:p>
      <w:pPr>
        <w:pStyle w:val="Heading2"/>
      </w:pPr>
      <w:bookmarkStart w:id="900396" w:name="_Toc300000395"/>
      <w:r>
        <w:t xml:space="preserve">Article 13.11: Technical Specifications</w:t>
      </w:r>
      <w:bookmarkEnd w:id="900396"/>
    </w:p>
    <w:p>
      <w:pPr>
        <w:pStyle w:val="Normal"/>
      </w:pPr>
      <w:r>
        <w:t xml:space="preserve">1. A procuring entity shall not prepare, adopt, or apply any technical specification or prescribe any conformity assessment procedure with the purpose or effect of creating an unnecessary obstacle to trade between the Parties. 2. In prescribing the technical specifications for the good or service being procured, a procuring entity shall, if appropriate: (a) set out the technical specifications in terms of performance and functional requirements, rather than design or descriptive characteristics; and (b) base the technical specifications on international standards, if these exist; otherwise, on national technical regulations, recognized national, standards or building codes. 3. A procuring entity shall not prescribe technical specifications that require or refer to a particular trademark or trade name, patent, copyright, design, type, specific origin, producer, or supplier, unless there is no other sufficiently precise or intelligible way of describing the procurement requirements and provided that, in these cases, the procuring entity includes words such as “or equivalent” in the tender documentation. 4.</w:t>
      </w:r>
    </w:p>
    <w:p>
      <w:pPr>
        <w:pStyle w:val="Normal"/>
      </w:pPr>
      <w:r>
        <w:t>A procuring entity shall not seek or accept, in a manner that would have the effect of precluding competition, advice that may be used in the preparation or adoption of any technical specification for a specific procurement from a person that may have a commercial interest in the procurement. 5.</w:t>
      </w:r>
    </w:p>
    <w:p>
      <w:pPr>
        <w:pStyle w:val="Normal"/>
      </w:pPr>
      <w:r>
        <w:t>For greater certainty, a procuring entity may conduct market research in developing specifications for a particular procurement. 6. For greater certainty, this Article is not intended to preclude a procuring entity from preparing, adopting, or applying technical specifications to promote the conservation of natural resources or the protection of the environment. 7. For greater certainty, this Chapter is not intended to preclude a Party, or its procuring entities, from preparing, adopting, or applying technical specifications required to protect sensitive government information, including specifications that may affect or limit the storage, hosting, or processing of such information outside the territory of the Party.</w:t>
      </w:r>
    </w:p>
    <w:p>
      <w:pPr>
        <w:pStyle w:val="Heading2"/>
      </w:pPr>
      <w:bookmarkStart w:id="900397" w:name="_Toc300000396"/>
      <w:r>
        <w:t xml:space="preserve">Article 13.12: Tender Documentation</w:t>
      </w:r>
      <w:bookmarkEnd w:id="900397"/>
    </w:p>
    <w:p>
      <w:pPr>
        <w:pStyle w:val="Normal"/>
      </w:pPr>
      <w:r>
        <w:t xml:space="preserve">1. A procuring entity shall promptly make available or provide on request to any interested supplier tender documentation that includes all information necessary to permit the supplier to prepare and submit a responsive tender. Unless already provided in the notice of intended procurement, that tender documentation shall include a complete description of: (a) the procurement, including the nature, scope and, if known, the quantity of the good or service to be procured or, if the quantity is not known, the estimated quantity and any requirements to be fulfilled, including any technical specifications, conformity certification, plans, drawings, or instructional materials; (b) any conditions for participation, including any financial guarantees, information, and documents that suppliers are required to submit; (c) all criteria to be considered in the awarding of the contract and the relative importance of those criteria; (d) if there will be a public opening of tenders, the date, time, and place for the opening; (e) any other terms or conditions relevant to the evaluation of tenders; and (f) any date for delivery of a good or supply of a service. 2.</w:t>
      </w:r>
    </w:p>
    <w:p>
      <w:pPr>
        <w:pStyle w:val="Normal"/>
      </w:pPr>
      <w:r>
        <w:t>In establishing any date for the delivery of a good or the supply of a service being procured, a procuring entity shall take into account factors such as the complexity of the procurement, the extent of subcontracting anticipated, and the realistic time required for production, de-stocking, and transport of goods from the point of supply or for supply of services. 3. A procuring entity shall promptly reply to any reasonable request for relevant information by an interested or participating supplier, provided that the information does not give that supplier an advantage over other suppliers. Modifications 4. If, prior to the award of a contract, a procuring entity modifies the evaluation criteria or requirements set out in a notice of intended procurement or tender documentation provided to a participating supplier, or amends, or re-issues a notice or tender documentation, it shall publish or provide those modifications, or the amended or re-issued notice or tender documentation:</w:t>
      </w:r>
    </w:p>
    <w:p>
      <w:pPr>
        <w:pStyle w:val="Normal"/>
      </w:pPr>
      <w:r>
        <w:t>(a) to all suppliers that are participating in the procurement at the time of the modification, amendment, or re-issuance, if those suppliers are known to the procuring entity, and in all other cases, in the same manner as the original information was made available; and (b) in adequate time to allow those suppliers to modify and re-submit their initial tender, if appropriate.</w:t>
      </w:r>
    </w:p>
    <w:p>
      <w:pPr>
        <w:pStyle w:val="Heading2"/>
      </w:pPr>
      <w:bookmarkStart w:id="900398" w:name="_Toc300000397"/>
      <w:r>
        <w:t xml:space="preserve">Article 13.13: Time Periods</w:t>
      </w:r>
      <w:bookmarkEnd w:id="900398"/>
    </w:p>
    <w:p>
      <w:pPr>
        <w:pStyle w:val="Normal"/>
      </w:pPr>
      <w:r>
        <w:t xml:space="preserve">General 1. A procuring entity shall, consistent with its own reasonable needs, provide sufficient time for a supplier to obtain the tender documentation and to prepare and submit a request for participation and a responsive tender, taking into account factors such as: (a) the nature and complexity of the procurement; and (b) the time necessary for transmitting tenders by non-electronic means from foreign as well as domestic points if electronic means are not used. Deadlines 2. A procuring entity that uses selective tendering shall establish that the final date for the submission of a request for participation shall not, in principle, be less than 25 days from the date of publication of the notice of intended procurement. If a state of urgency duly substantiated by the procuring entity renders this time period impracticable, the time period may be reduced to no less than 10 days. 3.</w:t>
      </w:r>
    </w:p>
    <w:p>
      <w:pPr>
        <w:pStyle w:val="Normal"/>
      </w:pPr>
      <w:r>
        <w:t>Except as provided in paragraphs 4 and 5, a procuring entity shall establish that the final date for the submission of tenders shall not be less than 40 days from the date on which: (a) in the case of open tendering, the notice of intended procurement is published; or (b) in the case of selective tendering, the procuring entity notifies the suppliers that they will be invited to submit tenders, whether or not it uses a multi-use list. 4.</w:t>
      </w:r>
    </w:p>
    <w:p>
      <w:pPr>
        <w:pStyle w:val="Normal"/>
      </w:pPr>
      <w:r>
        <w:t>A procuring entity may reduce the time period for tendering set out in paragraph 3 by five days for each one of the following circumstances: (a) the notice of intended procurement is published by electronic means; (b) the tender documentation is made available by electronic means from the date of the publication of the notice of intended procurement; and (c) the procuring entity accepts tenders by electronic means. 5. A procuring entity may reduce the time period for tendering set out in paragraph 3 to no less than 10 days if: (a) the procuring entity has published a notice of planned procurement under Article 13.6 (Notices of Intended Procurement) at least 40 days and no more than 12 months in advance of the publication of the notice of intended procurement, and the notice of planned procurement contains:</w:t>
      </w:r>
    </w:p>
    <w:p>
      <w:pPr>
        <w:pStyle w:val="Normal"/>
      </w:pPr>
      <w:r>
        <w:t>(i) a description of the procurement, (ii) the approximate final dates for the submission of tenders or requests for participation, (iii) the address from which documents relating to the procurement may be obtained, and (iv) as much of the information that is required for the notice of intended procurement as is available; (b) a state of urgency duly substantiated by the procuring entity renders impracticable the time period for tendering set out in paragraph 3; or (c) the procuring entity procures commercial goods or services. 6.</w:t>
      </w:r>
    </w:p>
    <w:p>
      <w:pPr>
        <w:pStyle w:val="Normal"/>
      </w:pPr>
      <w:r>
        <w:t>The use of paragraph 4, in conjunction with paragraph 5, shall in no case result in the reduction of the time periods for tendering set out in paragraph 3 to less than 10 days. 7. A procuring entity shall require all interested or participating suppliers to submit requests for participation or tenders in accordance with a common deadline. These time periods, and any extension of these time periods, shall be the same for all interested or participating suppliers.</w:t>
      </w:r>
    </w:p>
    <w:p>
      <w:pPr>
        <w:pStyle w:val="Heading2"/>
      </w:pPr>
      <w:bookmarkStart w:id="900399" w:name="_Toc300000398"/>
      <w:r>
        <w:t xml:space="preserve">Article 13.14: Treatment of Tenders and Awarding of Contracts</w:t>
      </w:r>
      <w:bookmarkEnd w:id="900399"/>
    </w:p>
    <w:p>
      <w:pPr>
        <w:pStyle w:val="Normal"/>
      </w:pPr>
      <w:r>
        <w:t xml:space="preserve">Treatment of Tenders 1. A procuring entity shall receive, open and treat all tenders under procedures that guarantee the fairness and impartiality of the procurement process and the confidentiality of tenders. 2. If the tender of a supplier is received after the time specified for receiving tenders, the procuring entity shall not penalize that supplier if the delay is due solely to the mishandling on the part of the procuring entity. 3. If a procuring entity provides a supplier with an opportunity to correct unintentional errors of form between the opening of tenders and the awarding of the contract, the procuring entity shall provide the same opportunity to all participating suppliers. Awarding of Contracts 4. To be considered for an award, a tender shall be submitted in writing and shall, at the time of opening, comply with the essential requirements set out in the notice and tender documentation and be submitted by a supplier who satisfies the conditions for participation. 5.</w:t>
      </w:r>
    </w:p>
    <w:p>
      <w:pPr>
        <w:pStyle w:val="Normal"/>
      </w:pPr>
      <w:r>
        <w:t>Unless a procuring entity determines that it is not in the public interest to award a contract, it shall award the contract to the supplier that the procuring entity has determined to be fully capable of fulfilling the terms of the contract and that, based solely on the evaluation criteria specified in the notice and tender documentation, submits: (a) the most advantageous tender; or (b) if price is the sole criterion, the lowest price. 6.</w:t>
      </w:r>
    </w:p>
    <w:p>
      <w:pPr>
        <w:pStyle w:val="Normal"/>
      </w:pPr>
      <w:r>
        <w:t>If a procuring entity received a tender with a price that is abnormally lower than the prices in other tenders submitted, it may verify with the supplier that it satisfies the conditions for participation and is capable of fulfilling the terms of the contract. 7. A procuring entity shall not use options, cancel a covered procurement, or modify or terminate awarded contracts in order to avoid the obligations of this Chapter.</w:t>
      </w:r>
    </w:p>
    <w:p>
      <w:pPr>
        <w:pStyle w:val="Heading2"/>
      </w:pPr>
      <w:bookmarkStart w:id="900400" w:name="_Toc300000399"/>
      <w:r>
        <w:t xml:space="preserve">Article 13.15: Transparency and Post-Award Information</w:t>
      </w:r>
      <w:bookmarkEnd w:id="900400"/>
    </w:p>
    <w:p>
      <w:pPr>
        <w:pStyle w:val="Normal"/>
      </w:pPr>
      <w:r>
        <w:t xml:space="preserve">Information Provided to Suppliers 1. A procuring entity shall promptly inform suppliers that have submitted a tender of the contract award decision. The procuring entity may do so in writing or through the prompt publication of the notice in paragraph 3, provided that the notice includes the date of award. If a supplier has requested the information in writing, the procuring entity shall provide it in writing. 2. Subject to Article 13.16 (Disclosure of Information), a procuring entity shall, on request, provide an unsuccessful supplier with an explanation of the reasons why the procuring entity did not select the unsuccessful supplier’s tender or an explanation of the relative advantages of the successful supplier’s tender. Publication of Award Information 3.</w:t>
      </w:r>
    </w:p>
    <w:p>
      <w:pPr>
        <w:pStyle w:val="Normal"/>
      </w:pPr>
      <w:r>
        <w:t>A procuring entity shall, promptly after the award of a contract for a covered procurement, publish in an officially designated publication a notice containing at least the following information: (a) a description of the good or service procured; (b) the name and address of the procuring entity; (c) the name and address of the successful supplier; (d) the value of the contract award; (e) the date of award or, if the procuring entity has already informed suppliers of the date of the award under paragraph 1, the contract date; and (f) the procurement method used and, if a procedure was used pursuant to Article 13.9 (Limited Tendering), a brief description of the circumstances justifying the use of that procedure. Maintenance of Records 4. A procuring entity shall maintain the documentation, records and reports relating to tendering procedures and contract awards for covered procurement, including the records and reports provided for in Article 13.9.3 (Limited Tendering), for at least three years after the award of a contract. Collection and Reporting of Statistics 5. Each Party shall prepare a statistical report on its covered procurement, and make such report publicly available on an official website.</w:t>
      </w:r>
    </w:p>
    <w:p>
      <w:pPr>
        <w:pStyle w:val="Normal"/>
      </w:pPr>
      <w:r>
        <w:t>Each report shall cover one year and be available within two years of the end of the reporting period, and shall contain: (a) for Section A procuring entities: (i) the number and total value, for all such entities, of all contracts covered by this Chapter, (ii) the number and total value of all contracts covered by this Chapter awarded by each such entity, broken down by categories of goods and services according to an internationally recognized uniform classification system, and (iii) the number and total value of all contracts covered by this Chapter awarded by each such entity under limited tendering; (b) for Section B procuring entities, the number and total value of contracts covered by this Chapter awarded by all such entities; and (c) estimates for the data required under subparagraphs (a) and (b), with an explanation of the methodology used to develop the estimates, if it is not feasible to provide the data.</w:t>
      </w:r>
    </w:p>
    <w:p>
      <w:pPr>
        <w:pStyle w:val="Heading2"/>
      </w:pPr>
      <w:bookmarkStart w:id="900401" w:name="_Toc300000400"/>
      <w:r>
        <w:t xml:space="preserve">Article 13.16: Disclosure of Information</w:t>
      </w:r>
      <w:bookmarkEnd w:id="900401"/>
    </w:p>
    <w:p>
      <w:pPr>
        <w:pStyle w:val="Normal"/>
      </w:pPr>
      <w:r>
        <w:t xml:space="preserve">Provision of Information to Parties 1. On request of the other Party, a Party shall provide promptly information sufficient to demonstrate whether a procurement was conducted fairly, impartially and in accordance with this Chapter, including, if applicable, information on the characteristics and relative advantages of the successful tender, without disclosing confidential information. The Party that receives the information shall not disclose it to any supplier, except after consulting with, and obtaining the agreement of, the Party that provided the information. Non-Disclosure of Information 2. Notwithstanding any other provision of this Chapter, a Party, including its procuring entities, shall not, except to the extent required by law or with the written authorization of the supplier that provided the information, disclose information that would prejudice legitimate commercial interests of a particular supplier or that might prejudice fair competition between suppliers. 3. Nothing in this Chapter shall be construed to require a Party, including its procuring entities, authorities, and review bodies, to disclose confidential information if that disclosure: (a) would impede law enforcement;</w:t>
      </w:r>
    </w:p>
    <w:p>
      <w:pPr>
        <w:pStyle w:val="Normal"/>
      </w:pPr>
      <w:r>
        <w:t>(b) might prejudice fair competition between suppliers; (c) would prejudice the legitimate commercial interests of particular persons, including the protection of intellectual property; or (d) would otherwise be contrary to the public interest.</w:t>
      </w:r>
    </w:p>
    <w:p>
      <w:pPr>
        <w:pStyle w:val="Heading2"/>
      </w:pPr>
      <w:bookmarkStart w:id="900402" w:name="_Toc300000401"/>
      <w:r>
        <w:t xml:space="preserve">Article 13.17: Ensuring Integrity in Procurement Practices</w:t>
      </w:r>
      <w:bookmarkEnd w:id="900402"/>
    </w:p>
    <w:p>
      <w:pPr>
        <w:pStyle w:val="Normal"/>
      </w:pPr>
      <w:r>
        <w:t xml:space="preserve">1. Each Party shall ensure that criminal, civil, or administrative measures exist that can address corruption, fraud, and other wrongful acts in its government procurement. 2. These measures may include procedures to debar, suspend, or declare ineligible from participation in the Party’s procurements, for a stated period of time, a supplier that the Party has determined to have engaged in corruption, fraud, or other wrongful acts relevant to a supplier’s eligibility to participate in a Party’s government procurement. Each Party: (a) may consider the seriousness of the supplier’s acts or omissions and any remedial measures or mitigating factors in making any decisions on debarment or suspension, including in making a decision on whether to reduce the period or extent of debarment or suspension at the supplier’s request pursuant to paragraph 2(b)(ii); and (b) shall provide a supplier of the other Party directly implicated by a proceeding applying procedures adopted or maintained under paragraph 2:</w:t>
      </w:r>
    </w:p>
    <w:p>
      <w:pPr>
        <w:pStyle w:val="Normal"/>
      </w:pPr>
      <w:r>
        <w:t>(i) reasonable notice that the proceeding was initiated, including a description of the nature of the proceeding, a statement of the authority under which the proceeding was initiated, and the reasons for the proceeding, and (ii) reasonable opportunity to present facts and arguments in support of its position; and (c) shall publish and update a list of enterprises and, subject to its law, natural persons it has debarred,</w:t>
      </w:r>
    </w:p>
    <w:p>
      <w:pPr>
        <w:pStyle w:val="Normal"/>
      </w:pPr>
      <w:r>
        <w:t>suspended, or declared ineligible. 3. Each Party shall ensure that it has in place policies or procedures to address potential conflicts of interest on the part of those engaged in or having influence over a procurement. 4. Each Party may also put in place policies or procedures, including provisions in tender documentation, that require successful suppliers to maintain and enforce effective internal controls, business ethics, and compliance programs, taking into account the size of the supplier, particularly SMEs, and other relevant factors, for preventing and detecting corruption, fraud, and other wrongful acts.</w:t>
      </w:r>
    </w:p>
    <w:p>
      <w:pPr>
        <w:pStyle w:val="Heading2"/>
      </w:pPr>
      <w:bookmarkStart w:id="900403" w:name="_Toc300000402"/>
      <w:r>
        <w:t xml:space="preserve">Article 13.18: Domestic Review</w:t>
      </w:r>
      <w:bookmarkEnd w:id="900403"/>
    </w:p>
    <w:p>
      <w:pPr>
        <w:pStyle w:val="Normal"/>
      </w:pPr>
      <w:r>
        <w:t xml:space="preserve">1. Each Party shall maintain, establish, or designate at least one impartial administrative or judicial authority (review authority) that is independent of its procuring entities to review, in a non-discriminatory, timely, transparent, and effective manner, a challenge or complaint (complaint) by a supplier that there has been: (a) a breach of this Chapter; or (b) if the supplier does not have a right to directly challenge a breach of this Chapter under the law of a Party, a failure of a procuring entity to comply with the Party’s measures implementing this Chapter, arising in the context of a covered procurement, in which the supplier has, or had, an interest. The procedural rules for these complaints shall be in writing and made generally available. 2.</w:t>
      </w:r>
    </w:p>
    <w:p>
      <w:pPr>
        <w:pStyle w:val="Normal"/>
      </w:pPr>
      <w:r>
        <w:t>In the event of a complaint by a supplier, arising in the context of covered procurement in which the supplier has, or had, an interest, that there has been a breach or a failure as referred to in paragraph 1, the Party of the procuring entity conducting the procurement shall encourage, if appropriate, the procuring entity and the supplier to seek resolution of the complaint through consultations. The procuring entity shall accord impartial and timely consideration to the complaint in a manner that is not prejudicial to the supplier’s participation in ongoing or future procurement or to its right to seek corrective measures under the administrative or judicial review procedure.</w:t>
      </w:r>
    </w:p>
    <w:p>
      <w:pPr>
        <w:pStyle w:val="Normal"/>
      </w:pPr>
      <w:r>
        <w:t>Each Party shall make information on its complaint mechanisms generally available. 3. If a body other than the review authority initially reviews a complaint, a Party shall ensure that the supplier may appeal the initial decision to the review authority that is independent of the procuring entity that is the subject of the complaint. 4. If the review authority has determined that there has been a breach or a failure as referred to in paragraph 1, a Party may limit compensation for the loss or damages suffered to either the costs reasonably incurred in the preparation of the tender or in bringing the complaint, or both. 5. Each Party shall ensure that, if the review authority is not a court, its review procedures are conducted in accordance with the following procedures: (a) a supplier shall be allowed sufficient time to prepare and submit a complaint in writing, which in no case shall be less than 10 days from the time when the basis of the complaint became known or reasonably should have become known to the supplier;</w:t>
      </w:r>
    </w:p>
    <w:p>
      <w:pPr>
        <w:pStyle w:val="Normal"/>
      </w:pPr>
      <w:r>
        <w:t>(b) a procuring entity shall respond in writing to a supplier’s complaint and provide all relevant documents to the review authority; (c) a supplier that initiates a complaint shall be provided an opportunity to reply to the procuring entity’s response before the review authority takes a decision on the complaint; and (d) the review authority shall provide its decision on a supplier’s complaint in a timely manner, in writing, with an explanation of the basis</w:t>
      </w:r>
    </w:p>
    <w:p>
      <w:pPr>
        <w:pStyle w:val="Normal"/>
      </w:pPr>
      <w:r>
        <w:t>for the decision. 6. Each Party shall adopt or maintain procedures that provide for: (a) prompt interim measures, pending the resolution of a complaint, to preserve the supplier’s opportunity to participate in the procurement and to ensure that the procuring entities of the Party comply with its measures implementing this Chapter; and (b) corrective action that may include compensation under paragraph 4. The procedures may provide that overriding adverse consequences for the interests concerned, including the public interest, may be taken into account when deciding whether those measures should be applied. Just cause for not acting shall be provided in writing.</w:t>
      </w:r>
    </w:p>
    <w:p>
      <w:pPr>
        <w:pStyle w:val="Heading2"/>
      </w:pPr>
      <w:bookmarkStart w:id="900404" w:name="_Toc300000403"/>
      <w:r>
        <w:t xml:space="preserve">Article 13.19: Modifications and Rectifications of Annex</w:t>
      </w:r>
      <w:bookmarkEnd w:id="900404"/>
    </w:p>
    <w:p>
      <w:pPr>
        <w:pStyle w:val="Normal"/>
      </w:pPr>
      <w:r>
        <w:t xml:space="preserve">1. A Party shall notify any proposed modification or rectification (modification) to its Schedule to Annex 13-A by circulating a notice in writing to the other Party through the Agreement Coordinator designated under Article 30.5 (Agreement Coordinator and Contact Points). A Party shall provide compensatory adjustments for a change in coverage if necessary to maintain a level of coverage comparable to the coverage that existed prior to the modification. The Party may include the offer of compensatory adjustment in its notice. 2. A Party is not required to provide compensatory adjustments to the other Party if the proposed modification concerns one of the following: (a) a procuring entity over which the Party has effectively eliminated its control or influence in respect of covered procurement by that procuring entity; or (b) rectifications of a purely formal nature and minor modifications to its Schedule to Annex 13-A, such as:</w:t>
      </w:r>
    </w:p>
    <w:p>
      <w:pPr>
        <w:pStyle w:val="Normal"/>
      </w:pPr>
      <w:r>
        <w:t>(i) changes in the name of a procuring entity, (ii) the merger of one or more procuring entities listed in its Schedule, (iii) the separation of a procuring entity listed in its Schedule into two or more procuring entities that are all added to the procuring entities listed in the same Section of the Annex, or (iv) changes in website references, and the other Party does not object under paragraph 3 on the basis that the proposed modification does not concern subparagraph (a) or (b). 3.</w:t>
      </w:r>
    </w:p>
    <w:p>
      <w:pPr>
        <w:pStyle w:val="Normal"/>
      </w:pPr>
      <w:r>
        <w:t>A Party whose rights under this Chapter may be affected by a proposed modification that is notified under paragraph 1 shall notify the other Party of any objection to the proposed modification within 45 days of the date of circulation of the notice. 4. If a Party objects to a proposed modification, including a modification regarding a procuring entity on the basis that government control or influence over the entity’s covered procurement has been effectively eliminated, that Party may request additional information, including information on the nature of any government control or influence, with a view to clarifying and reaching agreement on the proposed modification, including the procuring entity’s continued coverage under this Chapter. The modifying Party and the objecting Party shall make every attempt to resolve the objection through consultations. 5. The Commission shall modify Annex 13-A to reflect any agreed modification.</w:t>
      </w:r>
    </w:p>
    <w:p>
      <w:pPr>
        <w:pStyle w:val="Heading2"/>
      </w:pPr>
      <w:bookmarkStart w:id="900405" w:name="_Toc300000404"/>
      <w:r>
        <w:t xml:space="preserve">Article 13.20: Facilitation of Participation by SMEs</w:t>
      </w:r>
      <w:bookmarkEnd w:id="900405"/>
    </w:p>
    <w:p>
      <w:pPr>
        <w:pStyle w:val="Normal"/>
      </w:pPr>
      <w:r>
        <w:t xml:space="preserve">1. The Parties recognize the important contribution that SMEs can make to economic growth and employment and the importance of facilitating the participation of SMEs in government procurement. 2. If a Party maintains a measure that provides preferential treatment for SMEs, the Party shall ensure that the measure, including the criteria for eligibility, is transparent. 3. To facilitate participation by SMEs in covered procurement, each Party shall, to the extent possible and if appropriate: (a) provide comprehensive procurement-related information that includes a definition of SMEs in a single electronic portal; (b) endeavor to make all tender documentation available free of charge; (c) conduct procurement by electronic means or through other new information and communication technologies; and (d) consider the size, design, and structure of the procurement, including the use of subcontracting by SMEs.</w:t>
      </w:r>
    </w:p>
    <w:p>
      <w:pPr>
        <w:pStyle w:val="Heading2"/>
      </w:pPr>
      <w:bookmarkStart w:id="900406" w:name="_Toc300000405"/>
      <w:r>
        <w:t xml:space="preserve">Article 13.21: Committee on Government Procurement</w:t>
      </w:r>
      <w:bookmarkEnd w:id="900406"/>
    </w:p>
    <w:p>
      <w:pPr>
        <w:pStyle w:val="Normal"/>
      </w:pPr>
      <w:r>
        <w:t xml:space="preserve">1. The Parties hereby establish a Committee on Government Procurement (Government Procurement Committee), composed of government representatives of each Party. On request of a Party, the Government Procurement Committee shall meet to address matters related to the implementation and operation of this Chapter, such as: (a) facilitation of participation by SMEs in covered procurement, as provided for in Article 13.20 (Facilitation of Participation by SMEs); (b) experiences and best practices in the use and adoption of information technology in conducting covered procurement. This could include topics such as the use of digital modeling in construction services; and (c) experiences and best practices in the use and adoption of measures to promote opportunities for socially or economically disadvantaged people when conducting covered procurement.</w:t>
      </w:r>
    </w:p>
    <w:p>
      <w:pPr>
        <w:pStyle w:val="Heading2"/>
      </w:pPr>
      <w:bookmarkStart w:id="900407" w:name="_Toc300000406"/>
      <w:r>
        <w:t xml:space="preserve">ANNEX 13-A SCHEDULE OF MEXICO</w:t>
      </w:r>
      <w:bookmarkEnd w:id="900407"/>
    </w:p>
    <w:p>
      <w:pPr>
        <w:pStyle w:val="Normal"/>
      </w:pPr>
      <w:r>
        <w:t xml:space="preserve">Section A: Central Government Entities Thresholds: Unless otherwise specified, Chapter 13 (Government Procurement) covers procurement by entities listed in this Section, in accordance with the following thresholds: US$80,317 Goods and Services US$10,441,216 Construction Services The thresholds set out in this paragraph shall be adjusted in accordance with Section G (Threshold Adjustment Formula) of this Schedule. List of Entities: 1. Secretaría de Agricultura, Ganadería, Desarrollo Rural, Pesca y Alimentación (Ministry of Agriculture, Livestock, Rural Development, Fisheries and Feeding) and the following entities: (a) Agencia de Servicios a la Comercialización y Desarrollo de Mercados Agropecuarios (Support Services for Agricultural Marketing); (b) Comisión Nacional de Acuacultura y Pesca (National Commission of Aquaculture and Fisheries); (c) Instituto Nacional de Investigaciones Forestales, Agrícolas y Pecuarias (National Forestry, Agriculture and Cattle Research Institute); (d) Instituto Nacional de Pesca (National Institute of Fisheries); (e) Servicio de Información Agroalimentaria y Pesquera (Information Service and Agro-alimentary and Fisheries Statistics); (f) Servicio Nacional de Inspección y Certificación de Semillas (National Service of Inspection and Certification of Seeds); and (g) Servicio Nacional de Sanidad, Inocuidad y Calidad Agroalimentaria (National Service of Health, Innocuous and Agro-alimentary Quality) 13-A-1 2.</w:t>
      </w:r>
    </w:p>
    <w:p>
      <w:pPr>
        <w:pStyle w:val="Normal"/>
      </w:pPr>
      <w:r>
        <w:t>Secretaría de Comunicaciones y Transportes (Ministry of Communication and Transportation) and the following entity: (a) Instituto Mexicano del Transporte (Mexican Institute of Transportation) 3. Secretaría de la Defensa Nacional (Ministry of National Defense) 4. Secretaría de Desarrollo Agrario, Territorial y Urbano (Ministry of Agrarian Territorial and Urban Development) and the following entities: (a) Comisión Nacional de Vivienda (National Housing Commission); (b) Procuraduría Agraria (Agrarian Office of the Attorney); and (c) Registro Agrario Nacional (National Agrarian Registry) 5. Secretaría de Desarrollo Social (Ministry of Social Development) and the following entity: (a) Coordinación Nacional de PROSPERA (National Coordination PROSPERA) 6. Secretaría de Economía (Ministry of Economy) and the following entities: (a) Comisión Nacional de Mejora Regulatoria (National Commission of Regulatory Improvement); and (b) Instituto Nacional del Emprendedor (National Entreprenuer Institute) 7.</w:t>
      </w:r>
    </w:p>
    <w:p>
      <w:pPr>
        <w:pStyle w:val="Normal"/>
      </w:pPr>
      <w:r>
        <w:t>Secretaría de Educación Pública (Ministry of Public Education) and the following entities: (a) Comisión Nacional de Cultura Física y Deporte (National Physical Culture and Sports Commission); (b) Consejo Nacional para la Cultura y las Artes (National Council for Culture and Arts); (c) Instituto Nacional de Antropología e Historia (National Institute of Anthropology and History); (d) Instituto Nacional de Bellas Artes y Literatura (National Institute of Fine Arts and Literature); (e) Instituto Nacional del Derecho de Autor (National Institute for Copyrights); (f) Instituto Nacional de Estudios Históricos de las Revoluciones de México 13-A-2 (National Institute of Historical Studies of Mexican Revolutions); and (g) Radio Educación (Radio Education) 8. Secretaría de Energía (Ministry of Energy) and the following entities: (a) Comisión Nacional de Seguridad Nuclear y Salvaguardias (National Commission on Nuclear Safety and Safeguards); (b) Comisión Nacional para el Uso Eficiente de la Energía (National Commission for Energy Conservation); and (c) Comisión Reguladora de Energía (Regulatory Commission of Energy) 9. Secretaría de la Función Pública (Ministry of Public Administration) 10.</w:t>
      </w:r>
    </w:p>
    <w:p>
      <w:pPr>
        <w:pStyle w:val="Normal"/>
      </w:pPr>
      <w:r>
        <w:t>Secretaría de Gobernación (Ministry of Government) and the following entities: (a) Archivo General de la Nación (General Archives of the Nation); (b) Centro Nacional de Prevención de Desastres (National Disaster Prevention Center); (c) Centro de Producción de Programas Informativos y Especiales (Production Center for Informative Programs and Specials); (d) Coordinación General de la Comisión Mexicana de Ayuda a Refugiados (General Coordination of the Mexican Commission on Refugee Assistance); (e) Instituto Nacional de Migración (National Institute of Migration); (f) Instituto Nacional para el Federalismo y el Desarrollo Municipal (National Institute for Federalism and Municipal Development); (g) Policía Federal (Federal Police); (h) Prevención y Readaptación Social (Prevention and Social Readaptation); (i) Secretariado Ejecutivo del Sistema Nacional de Seguridad Pública (Executive Secretariat of the Public Security National System); (j) Secretaría General del Consejo Nacional de Población (General Secretary of the National Population Council); and (k) Secretaría Técnica de la Comisión Calificadora de Publicaciones y Revistas Ilustradas (Technical Secretary of Illustrated Periodicals and Publications Examining Commission) 13-A-3 11.</w:t>
      </w:r>
    </w:p>
    <w:p>
      <w:pPr>
        <w:pStyle w:val="Normal"/>
      </w:pPr>
      <w:r>
        <w:t>Secretaría de Hacienda y Crédito Público (Ministry of Finance and Public Credit) and the following entities: (a) Comisión Nacional Bancaria y de Valores (National Banking and Securities Commission); (b) Comisión Nacional de Seguros y Fianzas (National Commission of Insurance and Guarantees); (c) Comisión Nacional del Sistema de Ahorro para el Retiro (National Commission of the Saving System for Retirement); (d) Servicio de Administración y Enajenación Bienes (Assets Management and Disposition Agency); and (e) Servicio de Administración Tributaria (Tax Administration Service) 12. Secretaría de Marina (Ministry of Navy) 13. Secretaría de Medio Ambiente y Recursos Naturales (Ministry of Environment and Natural Resources) and the following entities: (a) Instituto Mexicano de Tecnología del Agua (Mexican Water Technology Institute); and (b) Instituto Nacional de Ecología y Cambio Climático (National Institute of Ecology and Climate Change) 14. Secretaría de Relaciones Exteriores (Ministry of Foreign Relations) 15.</w:t>
      </w:r>
    </w:p>
    <w:p>
      <w:pPr>
        <w:pStyle w:val="Normal"/>
      </w:pPr>
      <w:r>
        <w:t>Secretaría de Salud (Ministry of Health) and the following entities: (a) Administración del Patrimonio de la Beneficencia Pública (Public Charity Fund Administration); (b) Centro Nacional de Equidad de Género y Salud Reproductiva (National Centre of Reproductive Health and Gender Equity); (c) Centro Nacional de Trasplantes (National Transplants Center); (d) Centro Nacional de la Transfusión Sanguínea (National Blood Transfusion Center); (e) Centro Nacional para la Prevención y Control del VIH/SIDA (National Center for the Prevention and Control of HIV/AIDS); 13-A-4 (f) Centro Nacional para la Salud de la Infancia y la Adolescencia (National Center for Health of Childhood and Adolescence); (g) Comisión Federal para la Protección contra Riesgos Sanitarios (Federal Commission for Protection against Health Risks); (h) Comisión Nacional de Arbitraje Médico (National Commission of Medical Arbitration); (i) Instituto Nacional de Rehabilitación (National Rehabilitation Institute); (j) Laboratorios de Biológicos y Reactivos de México, S.A. de C.V. (Laboratories of Biologicals and Reagents of Mexico); and (k) Servicios de Atención Psiquiátrica (Psychiatric Attention Services) 16. Secretaría del Trabajo y Previsión Social (Ministry of Labor and Social Welfare) and the following entity: (a) Procuraduría Federal de la Defensa del Trabajo (Office of the Federal Attorney for Labor Defense) 17.</w:t>
      </w:r>
    </w:p>
    <w:p>
      <w:pPr>
        <w:pStyle w:val="Normal"/>
      </w:pPr>
      <w:r>
        <w:t>Secretaría de Turismo (Ministry of Tourism) and the following entity: (a) Instituto de Competitividad Turística (Institute for Tourist Competitiveness) 18. Procuraduría General de la República (Office of the Attorney General of the Republic) 19. Centro de Ingeniería y Desarrollo Industrial (Engineering and Industrial Development Center) 20. Comisión Nacional de Libros de Texto Gratuitos (National Commission of Free Textbooks) 21. Comisión Nacional de las Zonas Áridas (National Commission on Arid Zones) 22. Consejo Nacional de Fomento Educativo (National Educational Development Council) 23. Instituto Federal de Telecomunicaciones (Federal Telecomunications Institute) Note to Section A English translation of entities listed in this Section is only provided for the purposes of reference; it is not an official translation. 13-A-5 Section B: Other Entities Thresholds: Unless otherwise specified, Chapter 13 (Government Procurement) covers procurement by the entities listed in this Section, in accordance with the following thresholds: US$401,584 Goods and Services US$12,851,327 Construction Services The thresholds set out in this paragraph shall be adjusted in accordance with Section G (Threshold Adjustment Formula) of this Schedule. List of Other Entities: 1.</w:t>
      </w:r>
    </w:p>
    <w:p>
      <w:pPr>
        <w:pStyle w:val="Normal"/>
      </w:pPr>
      <w:r>
        <w:t>Aeropuerto Internacional de la Ciudad de México, S.A. de C.V. (International Airport of Mexico City) 2. Aeropuertos y Servicios Auxiliares (ASA) (Airports and Auxiliary Services) 3.</w:t>
      </w:r>
    </w:p>
    <w:p>
      <w:pPr>
        <w:pStyle w:val="Normal"/>
      </w:pPr>
      <w:r>
        <w:t>Caminos y Puentes Federales de Ingresos y Servicios Conexos (CAPUFE) (Federal Toll Roads and Bridges and Related Services) 4. Centro de Integración Juvenil, A.C. (Youth Integration Centers) 5. Comisión Federal de Electricidad (CFE) (Federal Electricity Commission) and the following entities: (a) Comisión Federal de Electricidad (Coorporativo) (Federal Electricity Commission –Corporate–); (b) Empresa Productiva Subsidiaria CFE Distribución (Subsidiary Productive Company CFE Distribution); (c) Empresa Productiva Subsidiaria CFE Transmisión (Subsidiary Productive Company CFE Transmission); (d) Empresa Productiva Subsidiaria CFE Generación I (Subsidiary Productive Company CFE Generation I); (e) Empresa Productiva Subsidiaria CFE Generación II (Subsidiary Productive Company CFE Generation II); 13-A-6 (f) Empresa Productiva Subsidiaria CFE Generación III (Subsidiary Productive Company CFE Generation III); (g) Empresa Productiva Subsidiaria CFE Generación IV (Subsidiary Productive Company CFE Generation IV); (h) Empresa Productiva Subsidiaria CFE Generación V (Subsidiary Productive Company CFE Generation V); (i) Empresa Productiva Subsidiaria CFE Generación VI (Subsidiary Productive Company CFE Generation VI); and (j) Empresa Productiva Subsidiaria CFE Suministrador de Servicios Básicos (Subsidiary Productive Company CFE Basic Services Provider) 6. Comisión Nacional del Agua (National Water Commission) 7. Comisión Nacional Forestal (National Forestry Commission) 8.</w:t>
      </w:r>
    </w:p>
    <w:p>
      <w:pPr>
        <w:pStyle w:val="Normal"/>
      </w:pPr>
      <w:r>
        <w:t>Comisión Nacional para el Desarrollo de los Pueblos Indígenas (National Commission for the Development of Indigenous People) 9. Consejo Nacional de Ciencia y Tecnología (CONACYT) (National Science and Technology Council) 10. Consejo de Promoción Turística de México, S.A. de C.V. (México Tourism Board) 11. Distribuidora Impulsora Comercial de Conasupo S.A. de C.V. (Diconsa) (Commercial Distributor and Trade Promotion) 12. Ferrocarril del Istmo de Tehuantepec, S.A. de C.V. (Railroad of the Itsmo de Tehuatepec) 13. Grupo Aeroportuario de la Ciudad de México S.A. de C.V. (Airport Group of Mexico City) 14. Instituto Mexicano de Cinematografía (Mexican Institute of Cinematography) 15. Instituto Mexicano de la Juventud (Mexican Youth Institute) 16. Instituto Mexicano del Seguro Social (IMSS) (Mexican Social Security Institute) 17. Instituto Nacional de la Infraestructura Física Educativa (National Institute of Physical Educational Infrastructure) 13-A-7 18. Instituto Nacional de las Mujeres (Women National Institute) 19. Instituto Nacional de las Personas Adultas Mayores (National Institute for the Elderly) 20. Instituto Nacional del Suelo Sustentable (National Institute of Sustainable Land) 21. Instituto Mexicano de la Propiedad Industrial (Mexican Institute of Industrial Property 22. Instituto de Seguridad Social para las Fuerzas Armadas Mexicanas (Social Security for the Mexican Armed Forces Institute) 23.</w:t>
      </w:r>
    </w:p>
    <w:p>
      <w:pPr>
        <w:pStyle w:val="Normal"/>
      </w:pPr>
      <w:r>
        <w:t>Instituto Nacional para la Educación de los Adultos (National Institute for Adult Education) 24. Leche Industrializada Conasupo S.A. de C.V. (Liconsa) (Conasupo Industrialized Milk) 25. Lotería Nacional para la Asistencia Pública (National Lottery for Public Assistance) 26. NOTIMEX S.A. de C.V. 27. Petróleos Mexicanos (PEMEX) (Mexican Petroleum) and the following entities: (a) PEMEX Corporativo (PEMEX Corporate); (b) PEMEX Exploración y Producción (PEMEX Exploration and Production); (c) PEMEX Perforación y Servicios (PEMEX Drilling and Services); (d) PEMEX Transformación Industrial (PEMEX Industrial Transformation); (e) PEMEX Logística (PEMEX Logistics); (f) PEMEX Cogeneración y Servicios (PEMEX Co-Generation and Services); (g) PEMEX Etileno (PEMEX Ethylene); and (h) PEMEX Fertilizantes (PEMEX Fertilizers) 28. Procuraduría Federal del Consumidor (Federal Office of The Attorney for Consumers) 29. Pronósticos para la Asistencia Pública (Forecasting for Public Assistance) 13-A-8 30. Servicio Aeroportuario de la Ciudad de México, S.A. de C.V. (Airport Services of Mexico City) 31. Servicio Geológico Mexicano (Mexican Geological Service) 32. Servicio Postal Mexicano (Mexican Postal Services) 33. Sistema Nacional para el Desarrollo Integral de la Familia (DIF) (National System for Integral Family Development) 35. Talleres Gráficos de México (National Printers of Mexico) 36. Telecomunicaciones de México (TELECOM) (Telecommunications of México) Notes to Section B 1.</w:t>
      </w:r>
    </w:p>
    <w:p>
      <w:pPr>
        <w:pStyle w:val="Normal"/>
      </w:pPr>
      <w:r>
        <w:t>English translation of entities listed in this Section is only provided for the purposes of reference; it is not an official translation. 2. Chapter 13 (Government Procurement) shall not cover procurements by PEMEX and CFE of the following goods (numbers refer to the Federal Supply Classification (FSC) code): (i) Hoisery, Handwear, and Clothing Accessories, Men’s (8440); (ii) Hoisery, Handwear, and Clothing Accessories, Women’s (8445); (iii) Clothing Special Purpose (8415); (iv) Underwear and Nightwear, Men’s (8420); (v) Underwear and Nightwear, Women’s (8425); (vi) Footwear, Men’s (8430); and (vii) Machine Shop Sets, Kits, and Outfits (3470). 3. Chapter 13 (Government Procurement) shall not cover procurements by LICONSA of agricultural goods made in furtherance of agricultural support programs or human feeding programs. 4. Chapter 13 (Government Procurement) shall not cover procurements by PEMEX of fuel and gas. 5. Chapter 13 (Government Procurement) shall not cover procurements by DIF of agricultural goods made in furtherance of agricultural support programs or human feeding programs. Section C: Goods Unless otherwise specified, Chapter 13 (Government Procurement) covers all goods that are procured by the entities listed in Sections A (Central Government Entities) and B (Other Entities).</w:t>
      </w:r>
    </w:p>
    <w:p>
      <w:pPr>
        <w:pStyle w:val="Normal"/>
      </w:pPr>
      <w:r>
        <w:t>However, for procurement by the Secretaría de la Defensa Nacional (Ministry of National Defense) and the Secretaría de Marina (Ministry of Navy), only the following goods are included in the coverage of this Chapter: 13-A-9 (Note: numbers refer to the Federal Supply Classification (FSC) code) FSC Description Railway equipment Ground effect vehicles, motor vehicles, trailers and cycles (except buses in 2310; and military trucks and trailers in 2320 and 2330 and tracked combat, assault and tactical vehicles in 2350) Tractors Vehicular equipment components Tires and tubes Engine accessories Mechanical power transmission equipment Woodworking machinery and equipment Metal-working machinery Service and trade equipment Special industry machinery Agricultural machinery and equipment Construction, mining, excavating, and highway maintenance equipment Materials handling equipment Rope, cable, chain, and fittings Refrigeration, air conditioning, and air circulating equipment Firefighting, rescue, and safety equipment; and environmental protection equipment and materials Pumps and compressors Furnace, steam plant, and drying equipment; and nuclear reactors Plumbing, heating, and waste disposal equipment Water purification and sewage treatment equipment Pipe, tubing, hose, and fittings Valves Maintenance and repair shop equipment Measuring tools Hardware and abrasives Prefabricated structures and scaffolding Lumber, millwork, plywood, and veneer Construction and building materials</w:t>
      </w:r>
    </w:p>
    <w:p>
      <w:pPr>
        <w:pStyle w:val="Normal"/>
      </w:pPr>
      <w:r>
        <w:t>Electric wire, and power and distribution equipment Lighting fixtures and lamps Alarm, signal and security detection systems Medical, dental, and veterinary equipment and supplies Instruments and laboratory equipment Photographic equipment Chemicals and chemical products Training aids and devices Automatic data processing equipment (including firmware), software, supplies and support equipment Furniture 13-A-10 Household and commercial furnishings and appliances Food preparation and serving equipment Office machines, text processing systems and visible record equipment Office supplies and devices Books, maps, and other publications (except 7650: drawings and specifications) Musical instruments, phonographs, and home-type radios Recreational and athletic equipment Cleaning equipment and supplies Brushes, paints, sealers, and adhesives Containers, packaging, and packing supplies Toiletries Agricultural supplies Live animals Fuels, lubricants, oils, and waxes Nonmetallic fabricated materials Nonmetallic crude materials Ores, minerals, and their primary products (except 9620: minerals, natural and synthetic) Miscellaneous Section D: Services Chapter 13 (Government Procurement) does not cover the procurement of the following services identified in accordance with the Common Classification System, Appendix 13-D-1 (Common Classification System Services), that are procured by entities listed in Sections A (Central Government Entities) and B (Other Entities): A Research and</w:t>
      </w:r>
    </w:p>
    <w:p>
      <w:pPr>
        <w:pStyle w:val="Normal"/>
      </w:pPr>
      <w:r>
        <w:t>Development C All classes D Architecture and Engineering Services Restoration (only for preservation of historic sites and buildings) Information Processing and Related Telecommunications Services C130 ADP Telecommunications and Transmissions Services except for those services that are classified as enhanced or value added, defined as telecommunications D304 services using computerized processing systems, which: (a) act on the format, content, code, protocol or similar aspects of the information transmitted by the user, (b) provide the customer with additional, different or restructured information, or (c) involve user interaction with stored information. For purposes of this provision, the acquisition of ADP Telecommunications and Transmission Services do not include the ownership or furnishing of facilities for voice or data transmission services. ADP Services for Teleprocessing and Timeshare. D309 Information and Data Broadcasting Services or Data Distribution Services. D316 Telecommunications Network Management Services. D317 Automated News Services, Data Services, or Other Information Services Buying Data (the electronic equivalent of books, periodicals, newspapers, etc.) 13-A-11 D399 Other ADP Telecommunications Services (includes data storage on tape, CDs, etc.) F Natural Resources Services. F011 Pesticides/Insecticides Support Services G Health and Social Services.</w:t>
      </w:r>
    </w:p>
    <w:p>
      <w:pPr>
        <w:pStyle w:val="Normal"/>
      </w:pPr>
      <w:r>
        <w:t>All classes J Maintenance, Repair, Modification, Rebuilding and Installation of Goods / Equipment J010 Armament J011 War Nuclear Material J012 Fire Equipment and Control J013 Ammunition and Explosives J014 Guided Missiles J015 Aircrafts and Aircraft Structures Components J016 Aircrafts Components and Accessories J017 Takeoff, Landing, and Ground Handling Aircraft Equipment J018 Space Vehicles J019 Shipments, Small Structures, Barges and Floating Docks J020 Boats and Marine Equipment J022 Rail Equipment J023 Land Vehicles, Motored Vehicles, Trailers and Motorcycles J024 Tractors J025 Motor Vehicles Parts J998 Non-nuclear Ships Repair K Custodial Operations and Related Services (professional services only for K103 protection, personal security installations carried out by armed guards) Fueling and Other Petroleum Services –Excluding Storage K105 Guard services (professional services only for protection, personal security and surveillance installations carried out by armed guards) K109 Surveillance services (professional services only for protection, personal security and surveillance installations carried out by armed guards) K110 Solid Fuel Handling Services L Financial and Related Services All classes R Professional, Administrative and Management Support Services R003 Legal Services R004 Certifications and Accreditations for products and institutions other than Educational Institutions R012 Patent and Trade Mark Services R016 Personal Services Contracts R101 Expert Witness</w:t>
      </w:r>
    </w:p>
    <w:p>
      <w:pPr>
        <w:pStyle w:val="Normal"/>
      </w:pPr>
      <w:r>
        <w:t>(Only for legal services) R103 Courier and Messenger Services R105 Mail and Distribution Services (Post Office Services excluded) R106 Post Office Services R116 Court Reporting Services R200 Military Recruitment S Utilities 13-A-12 V All classes T Communications, Photographic, Mapping, Printing and Publication Services T000 Communications Studies T001 Market Research and Public Opinion Services (Formerly Telephone and Field Interviews services, including Focus testing, Syndicated and attitude surveys) Except for CPC 86503 Management Consulting Marketing Services. T002 Communication Services (including Exhibit Services) T003 Advertising Services T004 Public Relations Services (Including Writing Services, Even Planning and Management, Media Relations, Radio and TV Analysis, Press Services) T005 Arts/Graphics Services T008 Film Processing Services T009 Film/Video Production Services T010 Microfiche Services T013 General Photography Services - Still T014 Print/Binding Services T015 Reproduction Services T017 General Photography Services – Motion T018 Audio/Visual Services T099 Other Communication, Photography, Mapping, Printing and Publication Services U Educational and Training Services U003 Reserves Training (Military) U010 Certifications and Accreditations for Educational Institutions Transportation, Travel and Relocation Services All classes (except V503 Travel Agent Services) W Lease and Rental of equipment which require patent protection, copyright or other proprietary</w:t>
      </w:r>
    </w:p>
    <w:p>
      <w:pPr>
        <w:pStyle w:val="Normal"/>
      </w:pPr>
      <w:r>
        <w:t>rights. W058 Communication, Detection and Coherent Radiation Equipment Notes to Section D 1. Chapter 13 (Government Procurement) does not apply to the operation of government facilities under concessions. 2. All services related to goods acquired by the Secretaría de la Defensa Nacional (Ministry of National Defense) and the Secretaría de Marina (Ministry of Navy) that are not covered by this Chapter, are excluded. 3. All services that are not excluded from the coverage of Chapter 13 (Government Procurement) are subject to Chapter 15 (Cross-Border Trade in Services) and Annex I and Annex II of this Agreement. 4. The management and operating services contracts awarded to research and development centers operating with federal funds, or related to the implementation of research programs sponsored by the government are excluded from the disciplines of 13-A-13 Chapter 13 (Government Procurement). Section E: Construction Services Chapter 13 (Government Procurement) applies to all construction services procured by the entities listed in Sections A (Central Government Entities) and B (Other Entities), identified in Division 51 of the United Nations Provisional Central Product Classification (CPC Prov) which can be found at: https://unstats.un.org/unsd/cr/registry/regcs.asp?Cl=9&amp;Lg=1&amp;Co=51, unless otherwise specified in Chapter 13 (Government Procurement), including this Schedule.</w:t>
      </w:r>
    </w:p>
    <w:p>
      <w:pPr>
        <w:pStyle w:val="Normal"/>
      </w:pPr>
      <w:r>
        <w:t>Section F: General Notes The following General Notes apply to Chapter 13 (Government Procurement), including Sections A through E: 1. Chapter 13 (Government Procurement) does not apply to procurements made: (a) with a view to commercial resale by government owned retail stores; (b) pursuant to loans from regional or multilateral financial institutions to the extent that different procedures are imposed by such institutions (except for national content requirements); or (c) by one entity from another entity of Mexico. 2. Chapter 13 (Government Procurement) does not apply to the procurement of transportation services that are part of, or are incidental to a purchase contract. 3. Chapter 13 (Government Procurement) does not apply to build-operate-transfer contracts and public works concessions contracts. 4.</w:t>
      </w:r>
    </w:p>
    <w:p>
      <w:pPr>
        <w:pStyle w:val="Normal"/>
      </w:pPr>
      <w:r>
        <w:t>Notwithstanding any provision in Chapter 13 (Government Procurement), Mexico may set aside procurement contracts from the obligations of Chapter 13 (Government Procurement), subject to the following: (a) the total value of the contracts set aside may not exceed the Mexican peso equivalent of US$2,328,000,000 in each calendar year from the date of entry into force of this Agreement, which may be allocated by all entities, including PEMEX and CFE; (b) the total value of contracts under any single FSC class (or other classification system agreed by the Parties) that may be set aside under this paragraph in any year shall not exceed 10 per cent of the total value of contracts that may be set aside under this paragraph for that year; 13-A-14 (c) no entity subject to subparagraph (a) may set aside contracts in any calendar year of a value of more than 20 per cent of the total value of contracts that may be set aside for that year; and (d) the total value of the contracts set aside by PEMEX and CFE may not exceed the Mexican peso equivalent of US$466,000,000 in each calendar year. 5.</w:t>
      </w:r>
    </w:p>
    <w:p>
      <w:pPr>
        <w:pStyle w:val="Normal"/>
      </w:pPr>
      <w:r>
        <w:t>(a) Beginning in January of the next calendar year after the date of entry into force of this Agreement, the dollar values referred to in paragraph 4 shall be adjusted annually for cumulative inflation from January 2017, based on the implicit price deflator for the United States Gross Domestic Product (USGDP) or any successor index published by the Council of Economic Advisors in “Economic Indicators”. (b) The dollar values adjusted for cumulative inflation up to January of each calendar year following 2016 shall be equal to the original dollar values multiplied by the ratio of: (i) the implicit USGDP price deflator or any successor index published by the Council of Economic Advisors in “Economic Indicators”, current as of January of that year, to (ii) the implicit USGDP price deflator or any successor index published by the Council of Economic Advisors in “Economic Indicators”, current as of the date of entry into force of this Agreement, provided that the price deflators under subparagraphs (i) and (ii) have the same base year.</w:t>
      </w:r>
    </w:p>
    <w:p>
      <w:pPr>
        <w:pStyle w:val="Normal"/>
      </w:pPr>
      <w:r>
        <w:t>(c) The resulting adjusted dollar values shall be rounded to the nearest million dollars. 6. The national security exception provided for in Article 32.2 (Essential Security) shall cover procurements made in support of safeguarding nuclear materials or technology. 7.</w:t>
      </w:r>
    </w:p>
    <w:p>
      <w:pPr>
        <w:pStyle w:val="Normal"/>
      </w:pPr>
      <w:r>
        <w:t>(a) Notwithstanding any provision of Chapter 13 (Government Procurement), an entity may impose a local content requirement of no more than: (i) 40 per cent, for labor-intensive turnkey or major integrated projects, or (ii) 25 per cent, for capital-intensive turnkey or major integrated projects. (b) For the purposes of this paragraph, “turnkey or major integrated project” means, in general, a construction, supply, or installation project undertaken by a person pursuant to a right granted by an entity with respect to which: 13-A-15 (i) the prime contractor is vested with the authority to select the general contractors or subcontractors, (ii) neither the Government of Mexico nor its entities fund the project, (iii) the person bears the risks associated with non-performance, and (iv) the facility will be operated by an entity or through a procurement contract of that entity. 8.</w:t>
      </w:r>
    </w:p>
    <w:p>
      <w:pPr>
        <w:pStyle w:val="Normal"/>
      </w:pPr>
      <w:r>
        <w:t>In the event that Mexico exceeds in any given year the total value of contracts it may set aside for that year in accordance with paragraph 4 of this Section, Mexico shall consult with the other Party with a view to agreement on compensation in the form of additional procurement opportunities during the following year. The consultations shall be without prejudice to the rights of any Party under Chapter 31 (Dispute Settlement). Section G: Thresholds Adjustment Formula 1.</w:t>
      </w:r>
    </w:p>
    <w:p>
      <w:pPr>
        <w:pStyle w:val="Normal"/>
      </w:pPr>
      <w:r>
        <w:t>The thresholds in Sections A (Central Government Entities) and B (Other Entities) shall be calculated in accordance with the following: (a) the U.S. inflation rate shall be measured by the Producer Price Index for Finished Goods published by the U.S. Bureau of Labor Statistics; (b) adjustments shall be calculated using two-year periods, each period beginning November 1, and shall take effect on January 1 of the year immediately following the end of the two-year period; (c) the United States shall notify the other Party of the adjusted threshold values no later than November 16 of the year before the adjustment takes effect; and (d) the inflationary adjustment shall be estimated according to the following formula:  x (1 +) =  = threshold value at base period  = accumulated U.S. inflation rate for the ith two year-period  = new threshold value. 2. Mexico shall calculate and convert the value of the thresholds into Mexican pesos using the conversion rate of the Banco de México (Bank of Mexico).</w:t>
      </w:r>
    </w:p>
    <w:p>
      <w:pPr>
        <w:pStyle w:val="Normal"/>
      </w:pPr>
      <w:r>
        <w:t>The conversion rate shall be the existing value of the Mexican peso in terms of the U.S. dollar as of December 1 and June 1 of each year, or the first working day thereafter. The conversion rate as of 13-A-16 December 1 shall apply from January 1 to June 30 of the following year, and the conversion rate as of June 1 shall apply from July 1 to December 31 of that year. 3.</w:t>
      </w:r>
    </w:p>
    <w:p>
      <w:pPr>
        <w:pStyle w:val="Normal"/>
      </w:pPr>
      <w:r>
        <w:t>Information related to thresholds shall be published in www.compranet.gob.mx Section H: Procurement Information Information on government procurement shall be published in the following websites: www.dof.gob.mx www.compranet.gob.mx www.pemex.com www.cfe.mx 13-A-17 SCHEDULE OF THE UNITED STATES Section A: Central Government Entities Thresholds: 1. Chapter 13 (Government Procurement) applies to the entities of the central level of government listed in this Section where the value of the procurement is estimated, in accordance with Article 13.2.8 (Scope) and Article 13.2.9 (Scope), to equal or exceed: (a) for procurement of goods and services: US$80,317; and (b) for procurement of construction services: US$10,441,216. The thresholds set out in this paragraph shall be adjusted in accordance with Section G (Threshold Adjustment Formula) of this Schedule. 2. Unless otherwise specified herein, Chapter 13 (Government Procurement) applies to all agencies subordinate to the entities listed in this Section. List of Entities: 1. American Battle Monuments Commission 2. Broadcasting Board of Governors 3. Commission on Civil Rights 4. Commodity Futures Trading Commission 5. Consumer Product Safety Commission 6. Corporation for National and Community Service 7.</w:t>
      </w:r>
    </w:p>
    <w:p>
      <w:pPr>
        <w:pStyle w:val="Normal"/>
      </w:pPr>
      <w:r>
        <w:t>Department of Agriculture (Note 1) 8. Department of Commerce 9. Department of Defense (Note 2) 10. Department of Education 11. Department of Energy (Note 3) 13-A-18 12. Department of Health and Human Services 13.</w:t>
      </w:r>
    </w:p>
    <w:p>
      <w:pPr>
        <w:pStyle w:val="Normal"/>
      </w:pPr>
      <w:r>
        <w:t>Department of Homeland Security (Note 4) 14. Department of Housing and Urban Development 15. Department of the Interior, including the Bureau of Reclamation 16. Department of Justice 17. Department of Labor 18. Department of State 19. Department of Transportation 20. Department of the Treasury 21. Department of Veterans Affairs 22. Environmental Protection Agency 23. Equal Employment Opportunity Commission 24. Executive Office of the President 25. Export-Import Bank of the United States 26. Farm Credit Administration 27. Federal Communications Commission 28. Federal Deposit Insurance Corporation 29. Federal Housing Finance Agency 30. Federal Maritime Commission 31. Federal Mediation and Conciliation Service 32. Federal Trade Commission 33. General Services Administration (Note 5) 34. Merit Systems Protection Board 35. National Aeronautics and Space Administration 13-A-19 36. National Archives and Records Administration 37. National Credit Union Administration 38. National Labor Relations Board 39. National Mediation Board 40. National Science Foundation 41. National Transportation Safety Board 42. Nuclear Regulatory Commission 43. Office of Personnel Management 44. Overseas Private Investment Corporation 45. Peace Corps 46. Railroad Retirement Board 47. Rural Utilities Services (Note 6) 48. Securities and Exchange Commission 49. Selective Service System 50. Smithsonian Institution 51. United States Agency for International Development 52.</w:t>
      </w:r>
    </w:p>
    <w:p>
      <w:pPr>
        <w:pStyle w:val="Normal"/>
      </w:pPr>
      <w:r>
        <w:t>United States International Trade Commission Notes to Section A 1. Department of Agriculture: Chapter 13 (Government Procurement) does not cover procurement of any agricultural good made in furtherance of an agricultural support program or a human feeding program. 2. Department of Defense: (a) Chapter 13 (Government Procurement) does not cover procurement of any good described in any Federal Supply Code classification (for complete listing of U.S. Federal Supply Classification, see any of the following Federal Supply Code (FSC), which can be found in the Product Code Section of the Federal 13-A-20 Procurement Data System Product and Service Code Manual at https://www.acquisition.gov/Acquisition_Systems) listed below:</w:t>
      </w:r>
    </w:p>
    <w:p>
      <w:pPr>
        <w:pStyle w:val="Normal"/>
      </w:pPr>
      <w:r>
        <w:rPr>
          <w:b/>
        </w:rPr>
        <w:t>Federal Supply Classification exclusions: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FSC</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FSC 11</w:t>
            </w:r>
          </w:p>
        </w:tc>
        <w:tc>
          <w:tcPr>
            <w:tcW w:type="dxa" w:w="4680"/>
            <w:tcMar>
              <w:top w:w="70" w:type="dxa"/>
              <w:start w:w="110" w:type="dxa"/>
              <w:bottom w:w="70" w:type="dxa"/>
              <w:end w:w="110" w:type="dxa"/>
            </w:tcMar>
          </w:tcPr>
          <w:p>
            <w:pPr>
              <w:pStyle w:val="TableText"/>
            </w:pPr>
            <w:r>
              <w:rPr/>
              <w:t>Nuclear Ordnance</w:t>
            </w:r>
          </w:p>
        </w:tc>
      </w:tr>
      <w:tr>
        <w:trPr>
          <w:cantSplit/>
        </w:trPr>
        <w:tc>
          <w:tcPr>
            <w:tcW w:type="dxa" w:w="4680"/>
            <w:shd w:fill="F5F7F8" w:val="clear" w:color="auto"/>
            <w:tcMar>
              <w:top w:w="70" w:type="dxa"/>
              <w:start w:w="110" w:type="dxa"/>
              <w:bottom w:w="70" w:type="dxa"/>
              <w:end w:w="110" w:type="dxa"/>
            </w:tcMar>
          </w:tcPr>
          <w:p>
            <w:pPr>
              <w:pStyle w:val="TableText"/>
            </w:pPr>
            <w:r>
              <w:rPr/>
              <w:t>FSC 1555</w:t>
            </w:r>
          </w:p>
        </w:tc>
        <w:tc>
          <w:tcPr>
            <w:tcW w:type="dxa" w:w="4680"/>
            <w:shd w:fill="F5F7F8" w:val="clear" w:color="auto"/>
            <w:tcMar>
              <w:top w:w="70" w:type="dxa"/>
              <w:start w:w="110" w:type="dxa"/>
              <w:bottom w:w="70" w:type="dxa"/>
              <w:end w:w="110" w:type="dxa"/>
            </w:tcMar>
          </w:tcPr>
          <w:p>
            <w:pPr>
              <w:pStyle w:val="TableText"/>
            </w:pPr>
            <w:r>
              <w:rPr/>
              <w:t>Space Vehicles</w:t>
            </w:r>
          </w:p>
        </w:tc>
      </w:tr>
      <w:tr>
        <w:trPr>
          <w:cantSplit/>
        </w:trPr>
        <w:tc>
          <w:tcPr>
            <w:tcW w:type="dxa" w:w="4680"/>
            <w:tcMar>
              <w:top w:w="70" w:type="dxa"/>
              <w:start w:w="110" w:type="dxa"/>
              <w:bottom w:w="70" w:type="dxa"/>
              <w:end w:w="110" w:type="dxa"/>
            </w:tcMar>
          </w:tcPr>
          <w:p>
            <w:pPr>
              <w:pStyle w:val="TableText"/>
            </w:pPr>
            <w:r>
              <w:rPr/>
              <w:t>FSC 1675</w:t>
            </w:r>
          </w:p>
        </w:tc>
        <w:tc>
          <w:tcPr>
            <w:tcW w:type="dxa" w:w="4680"/>
            <w:tcMar>
              <w:top w:w="70" w:type="dxa"/>
              <w:start w:w="110" w:type="dxa"/>
              <w:bottom w:w="70" w:type="dxa"/>
              <w:end w:w="110" w:type="dxa"/>
            </w:tcMar>
          </w:tcPr>
          <w:p>
            <w:pPr>
              <w:pStyle w:val="TableText"/>
            </w:pPr>
            <w:r>
              <w:rPr/>
              <w:t>Space Vehicle Component</w:t>
            </w:r>
          </w:p>
        </w:tc>
      </w:tr>
      <w:tr>
        <w:trPr>
          <w:cantSplit/>
        </w:trPr>
        <w:tc>
          <w:tcPr>
            <w:tcW w:type="dxa" w:w="4680"/>
            <w:shd w:fill="F5F7F8" w:val="clear" w:color="auto"/>
            <w:tcMar>
              <w:top w:w="70" w:type="dxa"/>
              <w:start w:w="110" w:type="dxa"/>
              <w:bottom w:w="70" w:type="dxa"/>
              <w:end w:w="110" w:type="dxa"/>
            </w:tcMar>
          </w:tcPr>
          <w:p>
            <w:pPr>
              <w:pStyle w:val="TableText"/>
            </w:pPr>
            <w:r>
              <w:rPr/>
              <w:t>FSC 1677</w:t>
            </w:r>
          </w:p>
        </w:tc>
        <w:tc>
          <w:tcPr>
            <w:tcW w:type="dxa" w:w="4680"/>
            <w:shd w:fill="F5F7F8" w:val="clear" w:color="auto"/>
            <w:tcMar>
              <w:top w:w="70" w:type="dxa"/>
              <w:start w:w="110" w:type="dxa"/>
              <w:bottom w:w="70" w:type="dxa"/>
              <w:end w:w="110" w:type="dxa"/>
            </w:tcMar>
          </w:tcPr>
          <w:p>
            <w:pPr>
              <w:pStyle w:val="TableText"/>
            </w:pPr>
            <w:r>
              <w:rPr/>
              <w:t>Space Vehicle Remote Control System</w:t>
            </w:r>
          </w:p>
        </w:tc>
      </w:tr>
      <w:tr>
        <w:trPr>
          <w:cantSplit/>
        </w:trPr>
        <w:tc>
          <w:tcPr>
            <w:tcW w:type="dxa" w:w="4680"/>
            <w:tcMar>
              <w:top w:w="70" w:type="dxa"/>
              <w:start w:w="110" w:type="dxa"/>
              <w:bottom w:w="70" w:type="dxa"/>
              <w:end w:w="110" w:type="dxa"/>
            </w:tcMar>
          </w:tcPr>
          <w:p>
            <w:pPr>
              <w:pStyle w:val="TableText"/>
            </w:pPr>
            <w:r>
              <w:rPr/>
              <w:t>FSC 1725</w:t>
            </w:r>
          </w:p>
        </w:tc>
        <w:tc>
          <w:tcPr>
            <w:tcW w:type="dxa" w:w="4680"/>
            <w:tcMar>
              <w:top w:w="70" w:type="dxa"/>
              <w:start w:w="110" w:type="dxa"/>
              <w:bottom w:w="70" w:type="dxa"/>
              <w:end w:w="110" w:type="dxa"/>
            </w:tcMar>
          </w:tcPr>
          <w:p>
            <w:pPr>
              <w:pStyle w:val="TableText"/>
            </w:pPr>
            <w:r>
              <w:rPr/>
              <w:t>Space Vehicle Launchers</w:t>
            </w:r>
          </w:p>
        </w:tc>
      </w:tr>
      <w:tr>
        <w:trPr>
          <w:cantSplit/>
        </w:trPr>
        <w:tc>
          <w:tcPr>
            <w:tcW w:type="dxa" w:w="4680"/>
            <w:shd w:fill="F5F7F8" w:val="clear" w:color="auto"/>
            <w:tcMar>
              <w:top w:w="70" w:type="dxa"/>
              <w:start w:w="110" w:type="dxa"/>
              <w:bottom w:w="70" w:type="dxa"/>
              <w:end w:w="110" w:type="dxa"/>
            </w:tcMar>
          </w:tcPr>
          <w:p>
            <w:pPr>
              <w:pStyle w:val="TableText"/>
            </w:pPr>
            <w:r>
              <w:rPr/>
              <w:t>FSC 1735</w:t>
            </w:r>
          </w:p>
        </w:tc>
        <w:tc>
          <w:tcPr>
            <w:tcW w:type="dxa" w:w="4680"/>
            <w:shd w:fill="F5F7F8" w:val="clear" w:color="auto"/>
            <w:tcMar>
              <w:top w:w="70" w:type="dxa"/>
              <w:start w:w="110" w:type="dxa"/>
              <w:bottom w:w="70" w:type="dxa"/>
              <w:end w:w="110" w:type="dxa"/>
            </w:tcMar>
          </w:tcPr>
          <w:p>
            <w:pPr>
              <w:pStyle w:val="TableText"/>
            </w:pPr>
            <w:r>
              <w:rPr/>
              <w:t>Space Vehicle Handling and Servicing Equipment</w:t>
            </w:r>
          </w:p>
        </w:tc>
      </w:tr>
      <w:tr>
        <w:trPr>
          <w:cantSplit/>
        </w:trPr>
        <w:tc>
          <w:tcPr>
            <w:tcW w:type="dxa" w:w="4680"/>
            <w:tcMar>
              <w:top w:w="70" w:type="dxa"/>
              <w:start w:w="110" w:type="dxa"/>
              <w:bottom w:w="70" w:type="dxa"/>
              <w:end w:w="110" w:type="dxa"/>
            </w:tcMar>
          </w:tcPr>
          <w:p>
            <w:pPr>
              <w:pStyle w:val="TableText"/>
            </w:pPr>
            <w:r>
              <w:rPr/>
              <w:t>FSC 19</w:t>
            </w:r>
          </w:p>
        </w:tc>
        <w:tc>
          <w:tcPr>
            <w:tcW w:type="dxa" w:w="4680"/>
            <w:tcMar>
              <w:top w:w="70" w:type="dxa"/>
              <w:start w:w="110" w:type="dxa"/>
              <w:bottom w:w="70" w:type="dxa"/>
              <w:end w:w="110" w:type="dxa"/>
            </w:tcMar>
          </w:tcPr>
          <w:p>
            <w:pPr>
              <w:pStyle w:val="TableText"/>
            </w:pPr>
            <w:r>
              <w:rPr/>
              <w:t>Ships, Small Craft, Pontoons, and Floating Docks (the part of this classification defined as naval vessels or major components of the hull or superstructure thereof)</w:t>
            </w:r>
          </w:p>
        </w:tc>
      </w:tr>
      <w:tr>
        <w:trPr>
          <w:cantSplit/>
        </w:trPr>
        <w:tc>
          <w:tcPr>
            <w:tcW w:type="dxa" w:w="4680"/>
            <w:shd w:fill="F5F7F8" w:val="clear" w:color="auto"/>
            <w:tcMar>
              <w:top w:w="70" w:type="dxa"/>
              <w:start w:w="110" w:type="dxa"/>
              <w:bottom w:w="70" w:type="dxa"/>
              <w:end w:w="110" w:type="dxa"/>
            </w:tcMar>
          </w:tcPr>
          <w:p>
            <w:pPr>
              <w:pStyle w:val="TableText"/>
            </w:pPr>
            <w:r>
              <w:rPr/>
              <w:t>FSC 20</w:t>
            </w:r>
          </w:p>
        </w:tc>
        <w:tc>
          <w:tcPr>
            <w:tcW w:type="dxa" w:w="4680"/>
            <w:shd w:fill="F5F7F8" w:val="clear" w:color="auto"/>
            <w:tcMar>
              <w:top w:w="70" w:type="dxa"/>
              <w:start w:w="110" w:type="dxa"/>
              <w:bottom w:w="70" w:type="dxa"/>
              <w:end w:w="110" w:type="dxa"/>
            </w:tcMar>
          </w:tcPr>
          <w:p>
            <w:pPr>
              <w:pStyle w:val="TableText"/>
            </w:pPr>
            <w:r>
              <w:rPr/>
              <w:t>Ship and Marine Equipment (the part of this classification defined as naval vessels or major components of the hull or superstructure thereof)</w:t>
            </w:r>
          </w:p>
        </w:tc>
      </w:tr>
      <w:tr>
        <w:trPr>
          <w:cantSplit/>
        </w:trPr>
        <w:tc>
          <w:tcPr>
            <w:tcW w:type="dxa" w:w="4680"/>
            <w:tcMar>
              <w:top w:w="70" w:type="dxa"/>
              <w:start w:w="110" w:type="dxa"/>
              <w:bottom w:w="70" w:type="dxa"/>
              <w:end w:w="110" w:type="dxa"/>
            </w:tcMar>
          </w:tcPr>
          <w:p>
            <w:pPr>
              <w:pStyle w:val="TableText"/>
            </w:pPr>
            <w:r>
              <w:rPr/>
              <w:t>FSC 2310</w:t>
            </w:r>
          </w:p>
        </w:tc>
        <w:tc>
          <w:tcPr>
            <w:tcW w:type="dxa" w:w="4680"/>
            <w:tcMar>
              <w:top w:w="70" w:type="dxa"/>
              <w:start w:w="110" w:type="dxa"/>
              <w:bottom w:w="70" w:type="dxa"/>
              <w:end w:w="110" w:type="dxa"/>
            </w:tcMar>
          </w:tcPr>
          <w:p>
            <w:pPr>
              <w:pStyle w:val="TableText"/>
            </w:pPr>
            <w:r>
              <w:rPr/>
              <w:t>Passenger Motor Vehicles (only buses)</w:t>
            </w:r>
          </w:p>
        </w:tc>
      </w:tr>
      <w:tr>
        <w:trPr>
          <w:cantSplit/>
        </w:trPr>
        <w:tc>
          <w:tcPr>
            <w:tcW w:type="dxa" w:w="4680"/>
            <w:shd w:fill="F5F7F8" w:val="clear" w:color="auto"/>
            <w:tcMar>
              <w:top w:w="70" w:type="dxa"/>
              <w:start w:w="110" w:type="dxa"/>
              <w:bottom w:w="70" w:type="dxa"/>
              <w:end w:w="110" w:type="dxa"/>
            </w:tcMar>
          </w:tcPr>
          <w:p>
            <w:pPr>
              <w:pStyle w:val="TableText"/>
            </w:pPr>
            <w:r>
              <w:rPr/>
              <w:t>FSC 2350</w:t>
            </w:r>
          </w:p>
        </w:tc>
        <w:tc>
          <w:tcPr>
            <w:tcW w:type="dxa" w:w="4680"/>
            <w:shd w:fill="F5F7F8" w:val="clear" w:color="auto"/>
            <w:tcMar>
              <w:top w:w="70" w:type="dxa"/>
              <w:start w:w="110" w:type="dxa"/>
              <w:bottom w:w="70" w:type="dxa"/>
              <w:end w:w="110" w:type="dxa"/>
            </w:tcMar>
          </w:tcPr>
          <w:p>
            <w:pPr>
              <w:pStyle w:val="TableText"/>
            </w:pPr>
            <w:r>
              <w:rPr/>
              <w:t>Combat, Assault &amp; Tactical Vehicles, Tracked</w:t>
            </w:r>
          </w:p>
        </w:tc>
      </w:tr>
      <w:tr>
        <w:trPr>
          <w:cantSplit/>
        </w:trPr>
        <w:tc>
          <w:tcPr>
            <w:tcW w:type="dxa" w:w="4680"/>
            <w:tcMar>
              <w:top w:w="70" w:type="dxa"/>
              <w:start w:w="110" w:type="dxa"/>
              <w:bottom w:w="70" w:type="dxa"/>
              <w:end w:w="110" w:type="dxa"/>
            </w:tcMar>
          </w:tcPr>
          <w:p>
            <w:pPr>
              <w:pStyle w:val="TableText"/>
            </w:pPr>
            <w:r>
              <w:rPr/>
              <w:t>FSC 51</w:t>
            </w:r>
          </w:p>
        </w:tc>
        <w:tc>
          <w:tcPr>
            <w:tcW w:type="dxa" w:w="4680"/>
            <w:tcMar>
              <w:top w:w="70" w:type="dxa"/>
              <w:start w:w="110" w:type="dxa"/>
              <w:bottom w:w="70" w:type="dxa"/>
              <w:end w:w="110" w:type="dxa"/>
            </w:tcMar>
          </w:tcPr>
          <w:p>
            <w:pPr>
              <w:pStyle w:val="TableText"/>
            </w:pPr>
            <w:r>
              <w:rPr/>
              <w:t>Hand Tools</w:t>
            </w:r>
          </w:p>
        </w:tc>
      </w:tr>
      <w:tr>
        <w:trPr>
          <w:cantSplit/>
        </w:trPr>
        <w:tc>
          <w:tcPr>
            <w:tcW w:type="dxa" w:w="4680"/>
            <w:shd w:fill="F5F7F8" w:val="clear" w:color="auto"/>
            <w:tcMar>
              <w:top w:w="70" w:type="dxa"/>
              <w:start w:w="110" w:type="dxa"/>
              <w:bottom w:w="70" w:type="dxa"/>
              <w:end w:w="110" w:type="dxa"/>
            </w:tcMar>
          </w:tcPr>
          <w:p>
            <w:pPr>
              <w:pStyle w:val="TableText"/>
            </w:pPr>
            <w:r>
              <w:rPr/>
              <w:t>FSC 52</w:t>
            </w:r>
          </w:p>
        </w:tc>
        <w:tc>
          <w:tcPr>
            <w:tcW w:type="dxa" w:w="4680"/>
            <w:shd w:fill="F5F7F8" w:val="clear" w:color="auto"/>
            <w:tcMar>
              <w:top w:w="70" w:type="dxa"/>
              <w:start w:w="110" w:type="dxa"/>
              <w:bottom w:w="70" w:type="dxa"/>
              <w:end w:w="110" w:type="dxa"/>
            </w:tcMar>
          </w:tcPr>
          <w:p>
            <w:pPr>
              <w:pStyle w:val="TableText"/>
            </w:pPr>
            <w:r>
              <w:rPr/>
              <w:t>Measuring Tools</w:t>
            </w:r>
          </w:p>
        </w:tc>
      </w:tr>
      <w:tr>
        <w:trPr>
          <w:cantSplit/>
        </w:trPr>
        <w:tc>
          <w:tcPr>
            <w:tcW w:type="dxa" w:w="4680"/>
            <w:tcMar>
              <w:top w:w="70" w:type="dxa"/>
              <w:start w:w="110" w:type="dxa"/>
              <w:bottom w:w="70" w:type="dxa"/>
              <w:end w:w="110" w:type="dxa"/>
            </w:tcMar>
          </w:tcPr>
          <w:p>
            <w:pPr>
              <w:pStyle w:val="TableText"/>
            </w:pPr>
            <w:r>
              <w:rPr/>
              <w:t>FSC 60</w:t>
            </w:r>
          </w:p>
        </w:tc>
        <w:tc>
          <w:tcPr>
            <w:tcW w:type="dxa" w:w="4680"/>
            <w:tcMar>
              <w:top w:w="70" w:type="dxa"/>
              <w:start w:w="110" w:type="dxa"/>
              <w:bottom w:w="70" w:type="dxa"/>
              <w:end w:w="110" w:type="dxa"/>
            </w:tcMar>
          </w:tcPr>
          <w:p>
            <w:pPr>
              <w:pStyle w:val="TableText"/>
            </w:pPr>
            <w:r>
              <w:rPr/>
              <w:t>Fiber Optics Materials, Components, Assemblies, and Accessories</w:t>
            </w:r>
          </w:p>
        </w:tc>
      </w:tr>
      <w:tr>
        <w:trPr>
          <w:cantSplit/>
        </w:trPr>
        <w:tc>
          <w:tcPr>
            <w:tcW w:type="dxa" w:w="4680"/>
            <w:shd w:fill="F5F7F8" w:val="clear" w:color="auto"/>
            <w:tcMar>
              <w:top w:w="70" w:type="dxa"/>
              <w:start w:w="110" w:type="dxa"/>
              <w:bottom w:w="70" w:type="dxa"/>
              <w:end w:w="110" w:type="dxa"/>
            </w:tcMar>
          </w:tcPr>
          <w:p>
            <w:pPr>
              <w:pStyle w:val="TableText"/>
            </w:pPr>
            <w:r>
              <w:rPr/>
              <w:t>FSC 8140</w:t>
            </w:r>
          </w:p>
        </w:tc>
        <w:tc>
          <w:tcPr>
            <w:tcW w:type="dxa" w:w="4680"/>
            <w:shd w:fill="F5F7F8" w:val="clear" w:color="auto"/>
            <w:tcMar>
              <w:top w:w="70" w:type="dxa"/>
              <w:start w:w="110" w:type="dxa"/>
              <w:bottom w:w="70" w:type="dxa"/>
              <w:end w:w="110" w:type="dxa"/>
            </w:tcMar>
          </w:tcPr>
          <w:p>
            <w:pPr>
              <w:pStyle w:val="TableText"/>
            </w:pPr>
            <w:r>
              <w:rPr/>
              <w:t>Ammunition &amp; Nuclear Ordnance Boxes, Packages &amp; Special Containers</w:t>
            </w:r>
          </w:p>
        </w:tc>
      </w:tr>
      <w:tr>
        <w:trPr>
          <w:cantSplit/>
        </w:trPr>
        <w:tc>
          <w:tcPr>
            <w:tcW w:type="dxa" w:w="4680"/>
            <w:tcMar>
              <w:top w:w="70" w:type="dxa"/>
              <w:start w:w="110" w:type="dxa"/>
              <w:bottom w:w="70" w:type="dxa"/>
              <w:end w:w="110" w:type="dxa"/>
            </w:tcMar>
          </w:tcPr>
          <w:p>
            <w:pPr>
              <w:pStyle w:val="TableText"/>
            </w:pPr>
            <w:r>
              <w:rPr/>
              <w:t>FSC 83</w:t>
            </w:r>
          </w:p>
        </w:tc>
        <w:tc>
          <w:tcPr>
            <w:tcW w:type="dxa" w:w="4680"/>
            <w:tcMar>
              <w:top w:w="70" w:type="dxa"/>
              <w:start w:w="110" w:type="dxa"/>
              <w:bottom w:w="70" w:type="dxa"/>
              <w:end w:w="110" w:type="dxa"/>
            </w:tcMar>
          </w:tcPr>
          <w:p>
            <w:pPr>
              <w:pStyle w:val="TableText"/>
            </w:pPr>
            <w:r>
              <w:rPr/>
              <w:t>Textiles, Leather, Furs, Apparel, Shoe Findings, Tents, and Flags (all elements other than pins, needles, sewing kits, flagstaffs, flagpoles, and flagstaff trucks)</w:t>
            </w:r>
          </w:p>
        </w:tc>
      </w:tr>
      <w:tr>
        <w:trPr>
          <w:cantSplit/>
        </w:trPr>
        <w:tc>
          <w:tcPr>
            <w:tcW w:type="dxa" w:w="4680"/>
            <w:shd w:fill="F5F7F8" w:val="clear" w:color="auto"/>
            <w:tcMar>
              <w:top w:w="70" w:type="dxa"/>
              <w:start w:w="110" w:type="dxa"/>
              <w:bottom w:w="70" w:type="dxa"/>
              <w:end w:w="110" w:type="dxa"/>
            </w:tcMar>
          </w:tcPr>
          <w:p>
            <w:pPr>
              <w:pStyle w:val="TableText"/>
            </w:pPr>
            <w:r>
              <w:rPr/>
              <w:t>FSC 84</w:t>
            </w:r>
          </w:p>
        </w:tc>
        <w:tc>
          <w:tcPr>
            <w:tcW w:type="dxa" w:w="4680"/>
            <w:shd w:fill="F5F7F8" w:val="clear" w:color="auto"/>
            <w:tcMar>
              <w:top w:w="70" w:type="dxa"/>
              <w:start w:w="110" w:type="dxa"/>
              <w:bottom w:w="70" w:type="dxa"/>
              <w:end w:w="110" w:type="dxa"/>
            </w:tcMar>
          </w:tcPr>
          <w:p>
            <w:pPr>
              <w:pStyle w:val="TableText"/>
            </w:pPr>
            <w:r>
              <w:rPr/>
              <w:t>Clothing, Individual Equipment, and Insignia and Jewelry (all elements other than sub-class 8457 – jewelry and 8460 – luggage)</w:t>
            </w:r>
          </w:p>
        </w:tc>
      </w:tr>
      <w:tr>
        <w:trPr>
          <w:cantSplit/>
        </w:trPr>
        <w:tc>
          <w:tcPr>
            <w:tcW w:type="dxa" w:w="4680"/>
            <w:tcMar>
              <w:top w:w="70" w:type="dxa"/>
              <w:start w:w="110" w:type="dxa"/>
              <w:bottom w:w="70" w:type="dxa"/>
              <w:end w:w="110" w:type="dxa"/>
            </w:tcMar>
          </w:tcPr>
          <w:p>
            <w:pPr>
              <w:pStyle w:val="TableText"/>
            </w:pPr>
            <w:r>
              <w:rPr/>
              <w:t>FSC 89</w:t>
            </w:r>
          </w:p>
        </w:tc>
        <w:tc>
          <w:tcPr>
            <w:tcW w:type="dxa" w:w="4680"/>
            <w:tcMar>
              <w:top w:w="70" w:type="dxa"/>
              <w:start w:w="110" w:type="dxa"/>
              <w:bottom w:w="70" w:type="dxa"/>
              <w:end w:w="110" w:type="dxa"/>
            </w:tcMar>
          </w:tcPr>
          <w:p>
            <w:pPr>
              <w:pStyle w:val="TableText"/>
            </w:pPr>
            <w:r>
              <w:rPr/>
              <w:t>Subsistence (all elements other than sub-class 8975- tobacco products)</w:t>
            </w:r>
          </w:p>
        </w:tc>
      </w:tr>
    </w:tbl>
    <w:p>
      <w:pPr>
        <w:pStyle w:val="Normal"/>
      </w:pPr>
      <w:r>
        <w:rPr>
          <w:b w:val="0"/>
        </w:rPr>
        <w:t>(b) Chapter 13 (Government Procurement) does not cover procurement of any specialty metal or any good containing one or more specialty metals. Specialty metal means: (i) steel for which the maximum alloy content exceeds one or more of the following levels: manganese, 1.65 per cent; silicon, 0.60 per cent; or copper, 0.60 per cent; (ii) steel that contains more than 0.25 per cent of any of the following elements: aluminum, chromium, cobalt, columbium, molybdenum, nickel, titanium, tungsten or vanadium; (iii) a metal alloy consisting of a nickel, iron-nickel or cobalt base alloy 13-A-21 that contains a total of other alloying metals (except iron) in excess of 10 per cent; (iv) titanium or a titanium alloy; or (v) zirconium or a zirconium base alloy.</w:t>
      </w:r>
    </w:p>
    <w:p>
      <w:pPr>
        <w:pStyle w:val="Normal"/>
      </w:pPr>
      <w:r>
        <w:rPr>
          <w:b w:val="0"/>
        </w:rPr>
        <w:t>(c) Chapter 13 (Government Procurement) generally shall not cover procurement of any good described in any of the following FSC classifications, due to the application of Article 32.2 (Essential Security):</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FSC</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FSC 10</w:t>
            </w:r>
          </w:p>
        </w:tc>
        <w:tc>
          <w:tcPr>
            <w:tcW w:type="dxa" w:w="4680"/>
            <w:tcMar>
              <w:top w:w="70" w:type="dxa"/>
              <w:start w:w="110" w:type="dxa"/>
              <w:bottom w:w="70" w:type="dxa"/>
              <w:end w:w="110" w:type="dxa"/>
            </w:tcMar>
          </w:tcPr>
          <w:p>
            <w:pPr>
              <w:pStyle w:val="TableText"/>
            </w:pPr>
            <w:r>
              <w:rPr/>
              <w:t>Weapons</w:t>
            </w:r>
          </w:p>
        </w:tc>
      </w:tr>
      <w:tr>
        <w:trPr>
          <w:cantSplit/>
        </w:trPr>
        <w:tc>
          <w:tcPr>
            <w:tcW w:type="dxa" w:w="4680"/>
            <w:shd w:fill="F5F7F8" w:val="clear" w:color="auto"/>
            <w:tcMar>
              <w:top w:w="70" w:type="dxa"/>
              <w:start w:w="110" w:type="dxa"/>
              <w:bottom w:w="70" w:type="dxa"/>
              <w:end w:w="110" w:type="dxa"/>
            </w:tcMar>
          </w:tcPr>
          <w:p>
            <w:pPr>
              <w:pStyle w:val="TableText"/>
            </w:pPr>
            <w:r>
              <w:rPr/>
              <w:t>FSC 12</w:t>
            </w:r>
          </w:p>
        </w:tc>
        <w:tc>
          <w:tcPr>
            <w:tcW w:type="dxa" w:w="4680"/>
            <w:shd w:fill="F5F7F8" w:val="clear" w:color="auto"/>
            <w:tcMar>
              <w:top w:w="70" w:type="dxa"/>
              <w:start w:w="110" w:type="dxa"/>
              <w:bottom w:w="70" w:type="dxa"/>
              <w:end w:w="110" w:type="dxa"/>
            </w:tcMar>
          </w:tcPr>
          <w:p>
            <w:pPr>
              <w:pStyle w:val="TableText"/>
            </w:pPr>
            <w:r>
              <w:rPr/>
              <w:t>Fire Control Equipment</w:t>
            </w:r>
          </w:p>
        </w:tc>
      </w:tr>
      <w:tr>
        <w:trPr>
          <w:cantSplit/>
        </w:trPr>
        <w:tc>
          <w:tcPr>
            <w:tcW w:type="dxa" w:w="4680"/>
            <w:tcMar>
              <w:top w:w="70" w:type="dxa"/>
              <w:start w:w="110" w:type="dxa"/>
              <w:bottom w:w="70" w:type="dxa"/>
              <w:end w:w="110" w:type="dxa"/>
            </w:tcMar>
          </w:tcPr>
          <w:p>
            <w:pPr>
              <w:pStyle w:val="TableText"/>
            </w:pPr>
            <w:r>
              <w:rPr/>
              <w:t>FSC 13</w:t>
            </w:r>
          </w:p>
        </w:tc>
        <w:tc>
          <w:tcPr>
            <w:tcW w:type="dxa" w:w="4680"/>
            <w:tcMar>
              <w:top w:w="70" w:type="dxa"/>
              <w:start w:w="110" w:type="dxa"/>
              <w:bottom w:w="70" w:type="dxa"/>
              <w:end w:w="110" w:type="dxa"/>
            </w:tcMar>
          </w:tcPr>
          <w:p>
            <w:pPr>
              <w:pStyle w:val="TableText"/>
            </w:pPr>
            <w:r>
              <w:rPr/>
              <w:t>Ammunitions and Explosives</w:t>
            </w:r>
          </w:p>
        </w:tc>
      </w:tr>
      <w:tr>
        <w:trPr>
          <w:cantSplit/>
        </w:trPr>
        <w:tc>
          <w:tcPr>
            <w:tcW w:type="dxa" w:w="4680"/>
            <w:shd w:fill="F5F7F8" w:val="clear" w:color="auto"/>
            <w:tcMar>
              <w:top w:w="70" w:type="dxa"/>
              <w:start w:w="110" w:type="dxa"/>
              <w:bottom w:w="70" w:type="dxa"/>
              <w:end w:w="110" w:type="dxa"/>
            </w:tcMar>
          </w:tcPr>
          <w:p>
            <w:pPr>
              <w:pStyle w:val="TableText"/>
            </w:pPr>
            <w:r>
              <w:rPr/>
              <w:t>FSC 14</w:t>
            </w:r>
          </w:p>
        </w:tc>
        <w:tc>
          <w:tcPr>
            <w:tcW w:type="dxa" w:w="4680"/>
            <w:shd w:fill="F5F7F8" w:val="clear" w:color="auto"/>
            <w:tcMar>
              <w:top w:w="70" w:type="dxa"/>
              <w:start w:w="110" w:type="dxa"/>
              <w:bottom w:w="70" w:type="dxa"/>
              <w:end w:w="110" w:type="dxa"/>
            </w:tcMar>
          </w:tcPr>
          <w:p>
            <w:pPr>
              <w:pStyle w:val="TableText"/>
            </w:pPr>
            <w:r>
              <w:rPr/>
              <w:t>Guided Missiles</w:t>
            </w:r>
          </w:p>
        </w:tc>
      </w:tr>
      <w:tr>
        <w:trPr>
          <w:cantSplit/>
        </w:trPr>
        <w:tc>
          <w:tcPr>
            <w:tcW w:type="dxa" w:w="4680"/>
            <w:tcMar>
              <w:top w:w="70" w:type="dxa"/>
              <w:start w:w="110" w:type="dxa"/>
              <w:bottom w:w="70" w:type="dxa"/>
              <w:end w:w="110" w:type="dxa"/>
            </w:tcMar>
          </w:tcPr>
          <w:p>
            <w:pPr>
              <w:pStyle w:val="TableText"/>
            </w:pPr>
            <w:r>
              <w:rPr/>
              <w:t>FSC 15</w:t>
            </w:r>
          </w:p>
        </w:tc>
        <w:tc>
          <w:tcPr>
            <w:tcW w:type="dxa" w:w="4680"/>
            <w:tcMar>
              <w:top w:w="70" w:type="dxa"/>
              <w:start w:w="110" w:type="dxa"/>
              <w:bottom w:w="70" w:type="dxa"/>
              <w:end w:w="110" w:type="dxa"/>
            </w:tcMar>
          </w:tcPr>
          <w:p>
            <w:pPr>
              <w:pStyle w:val="TableText"/>
            </w:pPr>
            <w:r>
              <w:rPr/>
              <w:t>Aerospace Craft and Structural Components</w:t>
            </w:r>
          </w:p>
        </w:tc>
      </w:tr>
      <w:tr>
        <w:trPr>
          <w:cantSplit/>
        </w:trPr>
        <w:tc>
          <w:tcPr>
            <w:tcW w:type="dxa" w:w="4680"/>
            <w:shd w:fill="F5F7F8" w:val="clear" w:color="auto"/>
            <w:tcMar>
              <w:top w:w="70" w:type="dxa"/>
              <w:start w:w="110" w:type="dxa"/>
              <w:bottom w:w="70" w:type="dxa"/>
              <w:end w:w="110" w:type="dxa"/>
            </w:tcMar>
          </w:tcPr>
          <w:p>
            <w:pPr>
              <w:pStyle w:val="TableText"/>
            </w:pPr>
            <w:r>
              <w:rPr/>
              <w:t>FSC 16</w:t>
            </w:r>
          </w:p>
        </w:tc>
        <w:tc>
          <w:tcPr>
            <w:tcW w:type="dxa" w:w="4680"/>
            <w:shd w:fill="F5F7F8" w:val="clear" w:color="auto"/>
            <w:tcMar>
              <w:top w:w="70" w:type="dxa"/>
              <w:start w:w="110" w:type="dxa"/>
              <w:bottom w:w="70" w:type="dxa"/>
              <w:end w:w="110" w:type="dxa"/>
            </w:tcMar>
          </w:tcPr>
          <w:p>
            <w:pPr>
              <w:pStyle w:val="TableText"/>
            </w:pPr>
            <w:r>
              <w:rPr/>
              <w:t>Aerospace Craft Components and Accessories</w:t>
            </w:r>
          </w:p>
        </w:tc>
      </w:tr>
      <w:tr>
        <w:trPr>
          <w:cantSplit/>
        </w:trPr>
        <w:tc>
          <w:tcPr>
            <w:tcW w:type="dxa" w:w="4680"/>
            <w:tcMar>
              <w:top w:w="70" w:type="dxa"/>
              <w:start w:w="110" w:type="dxa"/>
              <w:bottom w:w="70" w:type="dxa"/>
              <w:end w:w="110" w:type="dxa"/>
            </w:tcMar>
          </w:tcPr>
          <w:p>
            <w:pPr>
              <w:pStyle w:val="TableText"/>
            </w:pPr>
            <w:r>
              <w:rPr/>
              <w:t>FSC 17</w:t>
            </w:r>
          </w:p>
        </w:tc>
        <w:tc>
          <w:tcPr>
            <w:tcW w:type="dxa" w:w="4680"/>
            <w:tcMar>
              <w:top w:w="70" w:type="dxa"/>
              <w:start w:w="110" w:type="dxa"/>
              <w:bottom w:w="70" w:type="dxa"/>
              <w:end w:w="110" w:type="dxa"/>
            </w:tcMar>
          </w:tcPr>
          <w:p>
            <w:pPr>
              <w:pStyle w:val="TableText"/>
            </w:pPr>
            <w:r>
              <w:rPr/>
              <w:t>Aerospace Craft Launching, Landing and Ground Handling and Servicing Equipment</w:t>
            </w:r>
          </w:p>
        </w:tc>
      </w:tr>
      <w:tr>
        <w:trPr>
          <w:cantSplit/>
        </w:trPr>
        <w:tc>
          <w:tcPr>
            <w:tcW w:type="dxa" w:w="4680"/>
            <w:shd w:fill="F5F7F8" w:val="clear" w:color="auto"/>
            <w:tcMar>
              <w:top w:w="70" w:type="dxa"/>
              <w:start w:w="110" w:type="dxa"/>
              <w:bottom w:w="70" w:type="dxa"/>
              <w:end w:w="110" w:type="dxa"/>
            </w:tcMar>
          </w:tcPr>
          <w:p>
            <w:pPr>
              <w:pStyle w:val="TableText"/>
            </w:pPr>
            <w:r>
              <w:rPr/>
              <w:t>FSC 19</w:t>
            </w:r>
          </w:p>
        </w:tc>
        <w:tc>
          <w:tcPr>
            <w:tcW w:type="dxa" w:w="4680"/>
            <w:shd w:fill="F5F7F8" w:val="clear" w:color="auto"/>
            <w:tcMar>
              <w:top w:w="70" w:type="dxa"/>
              <w:start w:w="110" w:type="dxa"/>
              <w:bottom w:w="70" w:type="dxa"/>
              <w:end w:w="110" w:type="dxa"/>
            </w:tcMar>
          </w:tcPr>
          <w:p>
            <w:pPr>
              <w:pStyle w:val="TableText"/>
            </w:pPr>
            <w:r>
              <w:rPr/>
              <w:t>Ships, Small Craft, Pontoons and Floating Docks</w:t>
            </w:r>
          </w:p>
        </w:tc>
      </w:tr>
      <w:tr>
        <w:trPr>
          <w:cantSplit/>
        </w:trPr>
        <w:tc>
          <w:tcPr>
            <w:tcW w:type="dxa" w:w="4680"/>
            <w:tcMar>
              <w:top w:w="70" w:type="dxa"/>
              <w:start w:w="110" w:type="dxa"/>
              <w:bottom w:w="70" w:type="dxa"/>
              <w:end w:w="110" w:type="dxa"/>
            </w:tcMar>
          </w:tcPr>
          <w:p>
            <w:pPr>
              <w:pStyle w:val="TableText"/>
            </w:pPr>
            <w:r>
              <w:rPr/>
              <w:t>FSC 20</w:t>
            </w:r>
          </w:p>
        </w:tc>
        <w:tc>
          <w:tcPr>
            <w:tcW w:type="dxa" w:w="4680"/>
            <w:tcMar>
              <w:top w:w="70" w:type="dxa"/>
              <w:start w:w="110" w:type="dxa"/>
              <w:bottom w:w="70" w:type="dxa"/>
              <w:end w:w="110" w:type="dxa"/>
            </w:tcMar>
          </w:tcPr>
          <w:p>
            <w:pPr>
              <w:pStyle w:val="TableText"/>
            </w:pPr>
            <w:r>
              <w:rPr/>
              <w:t>Ship and Marine Equipment</w:t>
            </w:r>
          </w:p>
        </w:tc>
      </w:tr>
      <w:tr>
        <w:trPr>
          <w:cantSplit/>
        </w:trPr>
        <w:tc>
          <w:tcPr>
            <w:tcW w:type="dxa" w:w="4680"/>
            <w:shd w:fill="F5F7F8" w:val="clear" w:color="auto"/>
            <w:tcMar>
              <w:top w:w="70" w:type="dxa"/>
              <w:start w:w="110" w:type="dxa"/>
              <w:bottom w:w="70" w:type="dxa"/>
              <w:end w:w="110" w:type="dxa"/>
            </w:tcMar>
          </w:tcPr>
          <w:p>
            <w:pPr>
              <w:pStyle w:val="TableText"/>
            </w:pPr>
            <w:r>
              <w:rPr/>
              <w:t>FSC 28</w:t>
            </w:r>
          </w:p>
        </w:tc>
        <w:tc>
          <w:tcPr>
            <w:tcW w:type="dxa" w:w="4680"/>
            <w:shd w:fill="F5F7F8" w:val="clear" w:color="auto"/>
            <w:tcMar>
              <w:top w:w="70" w:type="dxa"/>
              <w:start w:w="110" w:type="dxa"/>
              <w:bottom w:w="70" w:type="dxa"/>
              <w:end w:w="110" w:type="dxa"/>
            </w:tcMar>
          </w:tcPr>
          <w:p>
            <w:pPr>
              <w:pStyle w:val="TableText"/>
            </w:pPr>
            <w:r>
              <w:rPr/>
              <w:t>Engines, Turbines and Components</w:t>
            </w:r>
          </w:p>
        </w:tc>
      </w:tr>
      <w:tr>
        <w:trPr>
          <w:cantSplit/>
        </w:trPr>
        <w:tc>
          <w:tcPr>
            <w:tcW w:type="dxa" w:w="4680"/>
            <w:tcMar>
              <w:top w:w="70" w:type="dxa"/>
              <w:start w:w="110" w:type="dxa"/>
              <w:bottom w:w="70" w:type="dxa"/>
              <w:end w:w="110" w:type="dxa"/>
            </w:tcMar>
          </w:tcPr>
          <w:p>
            <w:pPr>
              <w:pStyle w:val="TableText"/>
            </w:pPr>
            <w:r>
              <w:rPr/>
              <w:t>FSC 31</w:t>
            </w:r>
          </w:p>
        </w:tc>
        <w:tc>
          <w:tcPr>
            <w:tcW w:type="dxa" w:w="4680"/>
            <w:tcMar>
              <w:top w:w="70" w:type="dxa"/>
              <w:start w:w="110" w:type="dxa"/>
              <w:bottom w:w="70" w:type="dxa"/>
              <w:end w:w="110" w:type="dxa"/>
            </w:tcMar>
          </w:tcPr>
          <w:p>
            <w:pPr>
              <w:pStyle w:val="TableText"/>
            </w:pPr>
            <w:r>
              <w:rPr/>
              <w:t>Bearings</w:t>
            </w:r>
          </w:p>
        </w:tc>
      </w:tr>
      <w:tr>
        <w:trPr>
          <w:cantSplit/>
        </w:trPr>
        <w:tc>
          <w:tcPr>
            <w:tcW w:type="dxa" w:w="4680"/>
            <w:shd w:fill="F5F7F8" w:val="clear" w:color="auto"/>
            <w:tcMar>
              <w:top w:w="70" w:type="dxa"/>
              <w:start w:w="110" w:type="dxa"/>
              <w:bottom w:w="70" w:type="dxa"/>
              <w:end w:w="110" w:type="dxa"/>
            </w:tcMar>
          </w:tcPr>
          <w:p>
            <w:pPr>
              <w:pStyle w:val="TableText"/>
            </w:pPr>
            <w:r>
              <w:rPr/>
              <w:t>FSC 58</w:t>
            </w:r>
          </w:p>
        </w:tc>
        <w:tc>
          <w:tcPr>
            <w:tcW w:type="dxa" w:w="4680"/>
            <w:shd w:fill="F5F7F8" w:val="clear" w:color="auto"/>
            <w:tcMar>
              <w:top w:w="70" w:type="dxa"/>
              <w:start w:w="110" w:type="dxa"/>
              <w:bottom w:w="70" w:type="dxa"/>
              <w:end w:w="110" w:type="dxa"/>
            </w:tcMar>
          </w:tcPr>
          <w:p>
            <w:pPr>
              <w:pStyle w:val="TableText"/>
            </w:pPr>
            <w:r>
              <w:rPr/>
              <w:t>Communications, Detection, and Coherent Radiation Equipment</w:t>
            </w:r>
          </w:p>
        </w:tc>
      </w:tr>
      <w:tr>
        <w:trPr>
          <w:cantSplit/>
        </w:trPr>
        <w:tc>
          <w:tcPr>
            <w:tcW w:type="dxa" w:w="4680"/>
            <w:tcMar>
              <w:top w:w="70" w:type="dxa"/>
              <w:start w:w="110" w:type="dxa"/>
              <w:bottom w:w="70" w:type="dxa"/>
              <w:end w:w="110" w:type="dxa"/>
            </w:tcMar>
          </w:tcPr>
          <w:p>
            <w:pPr>
              <w:pStyle w:val="TableText"/>
            </w:pPr>
            <w:r>
              <w:rPr/>
              <w:t>FSC 59</w:t>
            </w:r>
          </w:p>
        </w:tc>
        <w:tc>
          <w:tcPr>
            <w:tcW w:type="dxa" w:w="4680"/>
            <w:tcMar>
              <w:top w:w="70" w:type="dxa"/>
              <w:start w:w="110" w:type="dxa"/>
              <w:bottom w:w="70" w:type="dxa"/>
              <w:end w:w="110" w:type="dxa"/>
            </w:tcMar>
          </w:tcPr>
          <w:p>
            <w:pPr>
              <w:pStyle w:val="TableText"/>
            </w:pPr>
            <w:r>
              <w:rPr/>
              <w:t>Electrical and Electronic Equipment Components</w:t>
            </w:r>
          </w:p>
        </w:tc>
      </w:tr>
      <w:tr>
        <w:trPr>
          <w:cantSplit/>
        </w:trPr>
        <w:tc>
          <w:tcPr>
            <w:tcW w:type="dxa" w:w="4680"/>
            <w:shd w:fill="F5F7F8" w:val="clear" w:color="auto"/>
            <w:tcMar>
              <w:top w:w="70" w:type="dxa"/>
              <w:start w:w="110" w:type="dxa"/>
              <w:bottom w:w="70" w:type="dxa"/>
              <w:end w:w="110" w:type="dxa"/>
            </w:tcMar>
          </w:tcPr>
          <w:p>
            <w:pPr>
              <w:pStyle w:val="TableText"/>
            </w:pPr>
            <w:r>
              <w:rPr/>
              <w:t>FSC 95</w:t>
            </w:r>
          </w:p>
        </w:tc>
        <w:tc>
          <w:tcPr>
            <w:tcW w:type="dxa" w:w="4680"/>
            <w:shd w:fill="F5F7F8" w:val="clear" w:color="auto"/>
            <w:tcMar>
              <w:top w:w="70" w:type="dxa"/>
              <w:start w:w="110" w:type="dxa"/>
              <w:bottom w:w="70" w:type="dxa"/>
              <w:end w:w="110" w:type="dxa"/>
            </w:tcMar>
          </w:tcPr>
          <w:p>
            <w:pPr>
              <w:pStyle w:val="TableText"/>
            </w:pPr>
            <w:r>
              <w:rPr/>
              <w:t>Metal Bars, Sheets, and Shapes</w:t>
            </w:r>
          </w:p>
        </w:tc>
      </w:tr>
    </w:tbl>
    <w:p>
      <w:pPr>
        <w:pStyle w:val="Normal"/>
      </w:pPr>
      <w:r>
        <w:rPr>
          <w:b w:val="0"/>
        </w:rPr>
        <w:t>3. Department of Energy: Due to the application of Article 32.2 (Essential Security), Chapter 13 (Government Procurement) does not cover procurement of: (a) any good or service that supports the safeguarding of nuclear materials or technology, where the Department of Energy conducts the procurement under the authority of the Atomic Energy Act; or (b) any oil purchase related to the Strategic Petroleum Reserve. 4.</w:t>
      </w:r>
    </w:p>
    <w:p>
      <w:pPr>
        <w:pStyle w:val="Normal"/>
      </w:pPr>
      <w:r>
        <w:rPr>
          <w:b w:val="0"/>
        </w:rPr>
        <w:t>Department of Homeland Security: (a) Chapter 13 (Government Procurement) does not cover procurement by the Transportation Security Administration of FSC 83 (Textiles, Leather, Furs, Apparel, Shoe Findings, Tents and Flags) and FSC 84 (Clothing, Individual Equipment, and Insignia and Jewelry). (b) The national security considerations applicable to the Department of Defense 13-A-22 apply equally to the U.S. Coast Guard. 5. General Services Administration: Chapter 13 (Government Procurement) does not cover procurement of any good in any of the following FSC classifications: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FSC</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FSC 51</w:t>
            </w:r>
          </w:p>
        </w:tc>
        <w:tc>
          <w:tcPr>
            <w:tcW w:type="dxa" w:w="4680"/>
            <w:tcMar>
              <w:top w:w="70" w:type="dxa"/>
              <w:start w:w="110" w:type="dxa"/>
              <w:bottom w:w="70" w:type="dxa"/>
              <w:end w:w="110" w:type="dxa"/>
            </w:tcMar>
          </w:tcPr>
          <w:p>
            <w:pPr>
              <w:pStyle w:val="TableText"/>
            </w:pPr>
            <w:r>
              <w:rPr/>
              <w:t>Hand Tools</w:t>
            </w:r>
          </w:p>
        </w:tc>
      </w:tr>
      <w:tr>
        <w:trPr>
          <w:cantSplit/>
        </w:trPr>
        <w:tc>
          <w:tcPr>
            <w:tcW w:type="dxa" w:w="4680"/>
            <w:shd w:fill="F5F7F8" w:val="clear" w:color="auto"/>
            <w:tcMar>
              <w:top w:w="70" w:type="dxa"/>
              <w:start w:w="110" w:type="dxa"/>
              <w:bottom w:w="70" w:type="dxa"/>
              <w:end w:w="110" w:type="dxa"/>
            </w:tcMar>
          </w:tcPr>
          <w:p>
            <w:pPr>
              <w:pStyle w:val="TableText"/>
            </w:pPr>
            <w:r>
              <w:rPr/>
              <w:t>FSC 52</w:t>
            </w:r>
          </w:p>
        </w:tc>
        <w:tc>
          <w:tcPr>
            <w:tcW w:type="dxa" w:w="4680"/>
            <w:shd w:fill="F5F7F8" w:val="clear" w:color="auto"/>
            <w:tcMar>
              <w:top w:w="70" w:type="dxa"/>
              <w:start w:w="110" w:type="dxa"/>
              <w:bottom w:w="70" w:type="dxa"/>
              <w:end w:w="110" w:type="dxa"/>
            </w:tcMar>
          </w:tcPr>
          <w:p>
            <w:pPr>
              <w:pStyle w:val="TableText"/>
            </w:pPr>
            <w:r>
              <w:rPr/>
              <w:t>Measuring Tools</w:t>
            </w:r>
          </w:p>
        </w:tc>
      </w:tr>
      <w:tr>
        <w:trPr>
          <w:cantSplit/>
        </w:trPr>
        <w:tc>
          <w:tcPr>
            <w:tcW w:type="dxa" w:w="4680"/>
            <w:tcMar>
              <w:top w:w="70" w:type="dxa"/>
              <w:start w:w="110" w:type="dxa"/>
              <w:bottom w:w="70" w:type="dxa"/>
              <w:end w:w="110" w:type="dxa"/>
            </w:tcMar>
          </w:tcPr>
          <w:p>
            <w:pPr>
              <w:pStyle w:val="TableText"/>
            </w:pPr>
            <w:r>
              <w:rPr/>
              <w:t>FSC 7340</w:t>
            </w:r>
          </w:p>
        </w:tc>
        <w:tc>
          <w:tcPr>
            <w:tcW w:type="dxa" w:w="4680"/>
            <w:tcMar>
              <w:top w:w="70" w:type="dxa"/>
              <w:start w:w="110" w:type="dxa"/>
              <w:bottom w:w="70" w:type="dxa"/>
              <w:end w:w="110" w:type="dxa"/>
            </w:tcMar>
          </w:tcPr>
          <w:p>
            <w:pPr>
              <w:pStyle w:val="TableText"/>
            </w:pPr>
            <w:r>
              <w:rPr/>
              <w:t>Cutlery and Flatware</w:t>
            </w:r>
          </w:p>
        </w:tc>
      </w:tr>
    </w:tbl>
    <w:p>
      <w:pPr>
        <w:pStyle w:val="Normal"/>
      </w:pPr>
      <w:r>
        <w:rPr>
          <w:b w:val="0"/>
        </w:rPr>
        <w:t>6. Rural Utilities Service: Federal buy national requirements imposed as conditions of funding by the Rural Utilities Service will not apply to goods of Mexico, suppliers of such goods, and service suppliers of Mexico. Section B: Other Entities Thresholds: 1. Chapter 13 (Government Procurement) applies to the other covered entities listed in this Section where the value of the procurement is estimated, in accordance with Article 13.2.8 (Scope) and Article 13.2.9 (Scope), to equal or exceed: (a) for procurement of goods and services:</w:t>
      </w:r>
    </w:p>
    <w:p>
      <w:pPr>
        <w:pStyle w:val="Normal"/>
      </w:pPr>
      <w:r>
        <w:t>US$401,584; and (b) for procurement of construction services: US$12,851,327. The monetary threshold set out in subparagraph (b) shall be adjusted in accordance with Section G (Threshold Adjustment Formula) of this Schedule. 2.</w:t>
      </w:r>
    </w:p>
    <w:p>
      <w:pPr>
        <w:pStyle w:val="Normal"/>
      </w:pPr>
      <w:r>
        <w:t>Unless otherwise specified herein, Chapter 13 (Government Procurement) applies only to the entities listed in this Section. List of Entities: 1. Tennessee Valley Authority 2. Bonneville Power Administration 3. Western Area Power Administration 4. Southeastern Power Administration 5. Southwestern Power Administration 6. St. Lawrence Seaway Development Corporation 13-A-23 Section C: Goods Chapter 13 (Government Procurement) covers all goods procured by the entities listed in Sections A (Central Government Entities) and B (Other Entities), subject to the Notes to the respective Sections and the General Notes. Section D: Services Chapter 13 (Government Procurement) covers all services procured by the entities listed in Sections A and B, subject to the Notes to the respective Sections, the General Notes and the Notes to this Section. Notes to Section D 1. This Chapter does not cover the procurement of the following services, as elaborated in the Common Classification System, Appendix 13-D-1: A. Research and Development: All classes D. Information Processing and Related Telecommunications Services:</w:t>
      </w:r>
    </w:p>
    <w:p>
      <w:pPr>
        <w:pStyle w:val="Normal"/>
      </w:pPr>
      <w:r>
        <w:t>D304 ADP Telecommunications and Transmission Services, except for those services classified as “enhanced or value-added services.” For the purposes of this provision, the procurement of “ADP Telecommunications and Transmission Services” does not include the ownership or furnishing of facilities for the transmission of voice or data services.</w:t>
      </w:r>
    </w:p>
    <w:p>
      <w:pPr>
        <w:pStyle w:val="Normal"/>
      </w:pPr>
      <w:r>
        <w:t>D305 ADP Teleprocessing and Timesharing Services D316 Telecommunications Network Management Services D317 Automated News Services, Data Services or Other Information Services D399 Other ADP and Telecommunications Services J. Maintenance, Repair, Modification, Rebuilding and Installation of Goods/Equipment: J019 Maintenance, Repair, Modification, Rebuilding and Installation of Equipment Related to Ships J998 Non-nuclear Ship Repair M. Operation of Government-Owned Facilities: All facilities operated by the Department of Defense, Department of Energy, and the National Aeronautics and Space Administration; and for all entities: 13-A-24 M180 Research and Development facilities S. Utilities: All Classes V. Transportation, Travel and Relocation Services: All Classes except V503 Travel Agent Services 2. Chapter 13 (Government Procurement) does not cover procurement of any service in support of military forces located overseas. Section E: Construction Services Chapter 13 (Government Procurement) covers all construction services procured by the entities listed in Sections A and C, listed in Division 51 of the Provisional Central Product Classification (CPC), which is found at: https://unstats.un.org/unsd/cr/registry/regcs.asp?Cl=9&amp;Lg=1&amp;Co=51, subject to the Notes to the respective Sections, the General Notes and the Notes to this Section. Note to Section E Chapter 13 (Government Procurement) does not cover procurement of dredging services.</w:t>
      </w:r>
    </w:p>
    <w:p>
      <w:pPr>
        <w:pStyle w:val="Normal"/>
      </w:pPr>
      <w:r>
        <w:t>Section F: General Notes Unless otherwise specified herein, the following General Notes apply without exception to Chapter 13 (Government Procurement), including to all sections of this Schedule. 1. Chapter 13 (Government Procurement) does not apply to any set-aside on behalf of a small- or minority-owned business. A set-aside may include any form of preference, such as the exclusive right to provide a good or service, or any price preference. 2. Chapter 13 (Government Procurement) does not cover procurement of transportation services that form a part of, or are incidental to, a procurement contract. 3. For goods and services (including construction services) of Mexico and suppliers of such goods and services, this Chapter does not apply to procurement done by the contractual means of build-operate-transfer contract or public works concessions contract. The United States is prepared to amend this note at such time as coverage with respect to build-operate transfer contracts and public works concessions contracts can be resolved with Mexico. 13-A-25 Section G: Threshold Adjustment Formula 1. Any threshold denominated in U.S.</w:t>
      </w:r>
    </w:p>
    <w:p>
      <w:pPr>
        <w:pStyle w:val="Normal"/>
      </w:pPr>
      <w:r>
        <w:t>Dollars shall be made in accordance with the following: (a) the U.S. inflation rate shall be measured by the Producer Price Index for Finished Goods published by the U.S.</w:t>
      </w:r>
    </w:p>
    <w:p>
      <w:pPr>
        <w:pStyle w:val="Normal"/>
      </w:pPr>
      <w:r>
        <w:t>Bureau of Labor Statistics; (b) the first adjustment for inflation, to take effect on January 1, 2020, shall be calculated using the period from November 1, 2017 through October 31, 2019; (c) all subsequent adjustments shall be calculated using two-year periods, each period beginning November 1, and shall take effect on January 1 of the year immediately following the end of the two-year period; (d) the United States shall notify the other Party of the adjusted threshold values no later than December 16 of the year before the adjustment takes effect; and (e) the inflationary adjustment shall be estimated according to the following formula: T 0 x (1+ pi i) = T 1 T 0 = threshold value at base period pi i = accumulated U.S. inflation rate for the ith two year-period T 1 = new threshold value.</w:t>
      </w:r>
    </w:p>
    <w:p>
      <w:pPr>
        <w:pStyle w:val="Normal"/>
      </w:pPr>
      <w:r>
        <w:t>Section H: Procurement Information Publications utilized by the United States for the publication of notices of intended procurement and of post-award notices and the publication annually of information on permanent lists of qualified suppliers in the case of selective tendering procedures: Federal Business Opportunities (http://www.fedbizopps.gov) Laws, regulations, judicial decisions, administrative rulings and procedures regarding government procurement for entities listed in Section A (Central Government Entities) are published on the following websites: US Federal Laws (primarily US Code Titles 10 and 41): http://www.gpo.gov/fdsys/browse/collectionUScode.action?collectionCode=USCODE Federal Acquisition Regulation (FAR): http://www.acquisition.gov/far/index.html 13-A-26 Agency Supplemental Regulations: https://www.acquisition.gov/Supplemental_Regulations Federal Register: https://www.federalregister.gov/ Federal Government Procurement Policies: http://www.whitehouse.gov/omb/procurement/ Bid Protest Decisions of Government Accountability Office: http://www.gao.gov/legal/bidprotest.html US Civilian Board of Contract Appeals Decisions: http://www.cbca.gsa.gov/ Judicial Decisions: US Court of Federal Claims (jurisdiction includes claims related to government contracts, including bid protests): http://www.uscfc.uscourts.gov/ US Court of Appeals for the Federal Circuit (jurisdiction includes appeals from the US Civilian Boards of Contract Appeals):</w:t>
      </w:r>
    </w:p>
    <w:p>
      <w:pPr>
        <w:pStyle w:val="Normal"/>
      </w:pPr>
      <w:r>
        <w:t xml:space="preserve">http://www.cafc.uscourts.gov/ Laws, judicial decisions, administrative rulings and procedures regarding government procurement for entities listed in Section B (Other Entities) are available directly from the listed entities. 13-A-27</w:t>
      </w:r>
    </w:p>
    <w:p>
      <w:pPr>
        <w:pStyle w:val="Heading2"/>
      </w:pPr>
      <w:bookmarkStart w:id="900408" w:name="_Toc300000407"/>
      <w:r>
        <w:t xml:space="preserve">Appendix 13-D-1: Common Classification System Services</w:t>
      </w:r>
      <w:bookmarkEnd w:id="900408"/>
    </w:p>
    <w:p>
      <w:pPr>
        <w:pStyle w:val="Normal"/>
      </w:pPr>
      <w:r>
        <w:t xml:space="preserve">Notes: 1. The Parties will continue to review outstanding technical issues that may arise from time to time. 2. This common classification system follows the format described below: Group = one digit Sub-group = two digit Class = four digit A - Research and Development Definition of research and development contracts: Procurement of research and development services include the acquisition of specialized expertise for the purposes of increasing knowledge in science; applying increased scientific knowledge or exploiting the potential of scientific discoveries and improvements in technology to advance the state of art; and systematically using increases in scientific knowledge and advances in state of art to design, develop, test, or evaluate new products or services. R&amp;D Codes: The R&amp;D code is composed of two alphabetic digits. The first digit is always the letter “A” to identify R&amp;D, the second digit is alphabetic “A to Z” to identify the major sub group.</w:t>
      </w:r>
    </w:p>
    <w:p>
      <w:pPr>
        <w:pStyle w:val="Normal"/>
      </w:pPr>
      <w:r>
        <w:t>Code Descriptions AA Agriculture AB Community Services and Development AC Defense Systems AD Defense - Other AE Economic Growth and Productivity AF Education AG Energy AH Environmental Protection AJ General Science and Technology AK Housing AL Income Security AM International Affairs and Cooperation AN Medical AP Natural Resources AQ Social Services AR Space AS Transportation - Modal AT Transportation - General AV Mining Activities AZ Other Research and Development 13-A-1-1 B - Studies and Analysis - (not R&amp;D) Definition of studies and analysis: Procurement of special studies and analyses are organized, analytic assessments that provide insights for understanding complex issues or improving policy development or decision making. Output obtained in such acquisitions is a formal, structured document including data or other information that form the basis for conclusions or recommendations.</w:t>
      </w:r>
    </w:p>
    <w:p>
      <w:pPr>
        <w:pStyle w:val="Normal"/>
      </w:pPr>
      <w:r>
        <w:t>B0 Natural Sciences B000 Chemical/Biological Studies and Analyses B001 Endangered Species Studies - Plant and Animal B002 Animal and Fisheries Studies B003 Grazing/Range Studies B004 Natural Resource Studies B005 Oceanological Studies B009 Other Natural Sciences Studies B1 Environmental Studies B100 Air Quality Analyses B101 Environmental Studies Development of Environmental Impact Statements and Assessments B102 Soil Studies B103 Water Quality Studies B104 Wildlife Studies B109 Other Environmental Studies B2 Engineering Studies B200 Geological Studies B201 Geophysical Studies B202 Geotechnical Studies B203 Scientific Data Studies B204 Seismological Studies B205 Building Technology Studies B206 Energy Studies B207 Technology Studies B208 Housing and Community Development Studies (incl. Urban/Town Planning Studies) 13-A-1-2 B219 Other Engineering Studies B3 Administrative Support Studies B300 Cost Benefit Analyses B301 Data Analyses (other than scientific) B302 Feasibility Studies (non-construction) B303 Mathematical/Statistical Analyses B304 Regulatory Studies B305 Intelligence Studies B306 Defense Studies B307 Security Studies (Physical and Personal) B308 Accounting/Financial Management Studies B309 Trade Issue Studies B310 Foreign Policy/National Security Policy Studies B311 Organization/Administrative/Personnel Studies B312 Mobilization/Preparedness Studies B313 Manpower Studies B314 Acquisition Policy/Procedures Studies B329 Other Administrative Support Studies B4 Space</w:t>
      </w:r>
    </w:p>
    <w:p>
      <w:pPr>
        <w:pStyle w:val="Normal"/>
      </w:pPr>
      <w:r>
        <w:t>Studies B400 Aeronautic/Space Studies B5 Social Studies and Humanities B500 Archeological/Paleontological Studies B501 Historical Studies B502 Recreation Studies B503 Medical and Health Studies B504 Educational Studies and Analyses B505 Elderly/Handicapped Studies B506 Economic Studies B507 Legal Studies B509 Other Studies and Analyses 13-A-1-3 C - Architect and Engineering Services C1 - Architect and Engineering Services - Related To Construction C11 Building and Facility Structures C111 Administrative and Service Buildings C112 Airfield, Communication and Missile Facilities C113 Educational Buildings C114 Hospital Buildings C115 Industrial Buildings C116 Residential Buildings C117 Warehouse Buildings C118 Research and Development Facilities C119 Other Buildings C12 Non-Building Structures C121 Conservation and Development C122 Highways, Roads, Streets, Bridges and Railways C123 Electric Power Generation (EPG) C124 Utilities C129 Other Non-Building Structures C130 Restoration C2 - Architect and Engineering Services - Not Related to Construction C211 Architect - Engineer Services (incl. landscaping, interior layout and designing) C212 Engineering Drafting Services C213 A&amp;E Inspection Services C214 A&amp;E Management Engineering Services C215 A&amp;E Production Engineering Services (incl.</w:t>
      </w:r>
    </w:p>
    <w:p>
      <w:pPr>
        <w:pStyle w:val="Normal"/>
      </w:pPr>
      <w:r>
        <w:t>Design and Control and Building Programming) C216 Marine Architect and Engineering Services C219 Other Architect and Engineering Services 13-A-1-4 D - Information Processing and Related Telecommunications Services D301 ADP Facility Operation and Maintenance Services D302 ADP Systems Development Services D303 ADP Data Entry Services D304 ADP Telecommunications and Transmission Services D305 ADP Teleprocessing and Timesharing Services D306 ADP Systems Analysis Services D307 Automated Information System Design and Integration Services D308 Programming Services D309 Information and Data Broadcasting or Data Distribution Services D310 ADP Backup and Security Services D311 ADP Data Conversion Services D312 ADP Optical Scanning Services D313 Computer Aided Design/Computer Aided Manufacturing (CAD/CAM) Services D314 ADP System Acquisition Support Services (Includes preparation of statement of work, benchmarks,specifications, etc.) D315 Digitizing Services (Includes cartographic and geographic information) D316 Telecommunications Network Management Services D317 Automated News Services, Data Services, or Other Information Services. Buying data (the electronic equivalent of books, periodicals, newspapers, etc.) D399 Other ADP and Telecommunications Services (incl. data storage on tapes, Compact Disk (CD), etc.</w:t>
      </w:r>
    </w:p>
    <w:p>
      <w:pPr>
        <w:pStyle w:val="Normal"/>
      </w:pPr>
      <w:r>
        <w:t>E - Environmental Services E101 Air Quality Support Services E102 Industrial Investigation Surveys and Technical Support Related to Air Pollution E103 Water Quality Support Services E104 Industrial Investigation Surveys and Technical Support Related to Water Pollution E106 Toxic Substances Support Services E107 Hazardous Substance Analysis E108 Hazardous Substance Removal, Cleanup, and Disposal Services and Operational Support 13-A-1-5 E109 Leaking Underground Storage Tank Support Services E110 Industrial Investigations, Surveys and Technical Support for Multiple Pollutants E111 Oil Spill Response including Cleanup, Removal, Disposal and Operational Support E199 Other Environmental Services F - Natural Resources Services F0 Agriculture and Forestry Services F001 Forest/Range Fire Suppression/Presuppression Services (incl. Water Bombing) F002 Forest/Range Fire Rehabilitation Services (non construction) F003 Forest Tree Planting Services F004 Land Treatment Practices Services (plowing/clearing, etc.) F005 Range Seeding Services (ground equipment) F006 Crop Services (incl. Seed Collection and Production Services) F007 Seedling Production/Transplanting Services F008 Tree Breeding Services (incl. ornamental shrub) F009 Tree Thinning Services F010 Other Range/Forest Improvements Services (non construction) F011 Pesticides /Insecticides Support Services F02 Animal Care / Control Services F020 Other Wildlife Management Services F021 Veterinary/Animal Care Services (incl.</w:t>
      </w:r>
    </w:p>
    <w:p>
      <w:pPr>
        <w:pStyle w:val="Normal"/>
      </w:pPr>
      <w:r>
        <w:t>Livestock Services) F029 Other Animal Care/Control Services F03 Fisheries and Ocean Services F030 Fisheries Resources Management Services F031 Fish Hatchery Services F04 Mining 13-A-1-6 F040 Surface Mining Reclamation Services (non-construction) F041 Well Drilling F042 Other Services Incidental to Mining Except Those Listed in F040 and F041 F05 Other Natural Resources Services F050 Recreation Site Maintenance Services (non-construction) F051 Survey Line Clearing Services F059 Other Natural Resources and Conservation Services G - Health and Social Services G0 Health Services G001 Health Care G002 Internal Medicine G003 Surgery G004 Pathology G009 Other Health Services G 1 Social Services G100 Care of Remains and/or Funeral Services G101 Chaplain Services G102 Recreational Services (incl. Entertainment Services) G103 Social Rehabilitation Services G104 Geriatric Services G199 Other Social Services H - Quality Control, Testing, Inspection and Technical Representative Services HO Technical Representative Services Hl Quality Control Services H2 Equipment and Materials Testing H3 Inspection Services (incl. commercial testing and 13-A-1-7 Laboratory Services, Except Medical/Dental) H9 Other Quality Control, Testing, Inspection and Technical Representative Services J - Maintenance, Repair, Modification, Rebuilding and Installation of Goods/Equipment JO Maintenance, Repair, Modification, Rebuilding and Installation of Goods/Equipment; includes as examples: 1.</w:t>
      </w:r>
    </w:p>
    <w:p>
      <w:pPr>
        <w:pStyle w:val="Normal"/>
      </w:pPr>
      <w:r>
        <w:t>Textile Finishing, Dying and Printing 2. Welding services not related to Construction.</w:t>
      </w:r>
    </w:p>
    <w:p>
      <w:pPr>
        <w:pStyle w:val="Normal"/>
      </w:pPr>
      <w:r>
        <w:t>(see CPC 5155 for Construction Welding) J998 Non-nuclear Ship Repair (including overhauls and conversions) K - Custodial Operations and Related Services K0 Personal Care Services (incl. services such as Barber and Beauty Shop, Shoe Repairs and Tailoring etc.) K1 Custodial Services K100 Custodial - Janitorial Services K101 Fire Protection Services K102 Food Services K103 Fueling and Other Petroleum Services - Excluding Storage K104 Trash/Garbage Collection Services - Including Portable Sanitation Services K105 Guard Services K106 Insect and Rodent Control Services K107 Landscaping/Groundskeeping Services K108 Laundry and Dry Cleaning Services K109 Surveillance Services K110 Solid Fuel Handling Services K111 Carpet Cleaning K112 Interior Plantscaping K113 Snow Removal/Salt Service (also spreading aggregate or other snow meltings material) K114 Waste Treatment and Storage K115 Preparation and Disposal of Excess and Surplus Property 13-A-1-8 K116 Other Salvage Services K199 Other Custodial and Related Services L - Financial and Related Services L000 Government Life Insurance Programs L001 Government Health Insurance Programs L002 Other Government Insurance Programs L003 Non-Government Insurance Programs L004 Other Insurance Services L005 Credit Reporting Services L006 Banking Services L007 Debt Collection Services L008 Coin Minting L009 Banknote Printing L099 Other Financial Services M -</w:t>
      </w:r>
    </w:p>
    <w:p>
      <w:pPr>
        <w:pStyle w:val="Normal"/>
      </w:pPr>
      <w:r>
        <w:t>Operation of Government - Owned Facilities M110 Administrative Facilities and Service Buildings M120 Airfield, Communications, and Missile Facilities M130 Educational Buildings M140 Hospital Buildings M150 Industrial Buildings M160 Residential Buildings M170 Warehouse Buildings M180 Research and Development Facilities M190 Other Buildings M210 Conservation and Development Facilities M220 Highways, Roads, Streets, Bridges and Railways M230 Electric Power Generation (EPG) Facilities M240 Utilities M290 Other Non-Building Facilities R - Professional, Administrative and Management Support Services R0 Professional Services R001 Specifications Development Services R002 Technology Sharing/Utilization Services R003 Legal Services 13-A-1-9 R004 Certifications and Accreditations for products and institutions other than Educational Institutions R005 Technical Assistance R006 Technical Writing Services R007 Systems Engineering Services R008 Engineering and Technical Services (incl.</w:t>
      </w:r>
    </w:p>
    <w:p>
      <w:pPr>
        <w:pStyle w:val="Normal"/>
      </w:pPr>
      <w:r>
        <w:t>Mechanical, Electrical, Chemical, Electronic Engineering) R009 Accounting Services R010 Auditing Services R011 Ongoing Audit Operations Support R012 Patent and Trade Mark Services R013 Real Property Appraisals Services R014 Operations Research Studies / Quantitative Analysis Studies R015 Simulation R016 Personal Services Contracts R019 Other Professional Services R1 Administrative and Management Support Services R100 Intelligence Services R101 Expert Witness R102 Weather Reporting/Observation Services R103 Courier and Messenger Services R104 Transcription Services R105 Mailing and Distribution Services (Excluding Post Office Services) R106 Post Office Services R107 Library Services R108 Word Processing/Typing Services R109 Translation and Interpreting Services (Including Sign Language) R110 Stenographic Services R111 Personal Property Management Services R112 Information Retrieval (non-automated) R113 Data Collection Services R114 Logistics Support Services R115 Contract, Procurement, and Acquisition Support Services R116 Court Reporting Services R117 Paper Shredding Services 13-A-1-10 R118 Real Estate Brokerage Services R119 Industrial Hygienics R120 Policy Review/Development Services R121 Program Evaluation Studies R122 Program Management/Support Services R123 Program Review/Development Services R199 Other Administrative and Management Support Services R2 Personnel Recruitment R200 Military Personnel Recruitment R201 Civilian Personnel Recruitment (incl.</w:t>
      </w:r>
    </w:p>
    <w:p>
      <w:pPr>
        <w:pStyle w:val="Normal"/>
      </w:pPr>
      <w:r>
        <w:t>Services of Employment Agencies) S - Utilities S000 Gas Services S001 Electric Services S002 Telephone and/or Communications Services (incl. Telegraph, Telex and Cablevision Service) S003 Water Services S099 Other Utilities T - Communications, Photographic, Mapping, Printing and Publication Services T000 Communications Studies T001 Market Research and Public Opinion Services (Formerly Telephone and Field Interview Services incl. Focus testing, Syndicated and attitude Surveys) T002 Communications Services (incl. exhibit Services) T003 Advertising Services T004 Public Relations Services (incl. Writing Services, Event Planning and Management, Media Relations, Radio and TV Analysis, Press Services) T005 Arts/Graphics Services T006 Cartography Services T007 Charting Services T008 Film Processing Services T009 Film/Video Tape Production Services T010 Microfiche Services T011 Photogrammetry Services 13-A-1-11 T012 Aerial Photographic Services T013 General Photographic Services - Still T014 Print/Binding Services T015 Reproduction Services T016 Topography Services T017 General Photographic Services - Motion T018 Audio/Visual Services T019 Land Surveys, Cadastral Services (non-construction) T099 Other Communication, Photographic, Mapping, Printing and Publication Services U - Educational and Training Services U001 Lectures For Training U002 Personnel Testing U003 Reserve Training (Military) U004 Scientific and Management Education U005 Tuition, Registration, and Membership Fees U006</w:t>
      </w:r>
    </w:p>
    <w:p>
      <w:pPr>
        <w:pStyle w:val="Normal"/>
      </w:pPr>
      <w:r>
        <w:t>Vocational/Technical U007 Faculty Salaries for Schools Overseas U008 Training/Curriculum Development U009 Informatics Training U010 Certifications and Accreditations for Educational Institutions U099 Other Education and Training Services V - Transporation, Travel and Relocation Services V0 Land Transport Services V000 Motor Pool Operations V001 Motor Freight V002 Rail Freight V003 Motor Charter for Things V004 Rail Charter for Things V005 Motor Passenger Service V006 Rail Passenger Service V007 Passenger Motor Charter Service V008 Passenger Rail Charter Service V009 Ambulance Service 13-A-1-12 V010 Taxicab Services V011 Security Vehicle Service V1 Water Transport Services V100 Vessel Freight V101 Marine Charter for Things V102 Marine Passenger Service V103 Passenger Marine Charter Service V2 Air Transport Services V200 Air Freight V201 Air Charter for Things V202 Air Passenger Service V203 Passenger Air Charter Service V204 Specialty air Services including Aerial Fertilization, Spraying and Seeding V3 Space Transportation and Launch Services V4 Other Transport Services V401 Other Transportation Travel and Relocation Services V402 Other Cargo and Freight Services V403 Other Vehicle Charter for Transportation of Things V5</w:t>
      </w:r>
    </w:p>
    <w:p>
      <w:pPr>
        <w:pStyle w:val="Normal"/>
      </w:pPr>
      <w:r>
        <w:t>Supporting and Auxiliary Transport Services V500 Stevedoring V501 Vessel Towing Service V502 Relocation Services V503 Travel Agent Services V504 Packing/Crating Services V505 Warehousing and Storage Services V506 Salvage of Marine Vessels V507 Salvage of</w:t>
      </w:r>
    </w:p>
    <w:p>
      <w:pPr>
        <w:pStyle w:val="Normal"/>
      </w:pPr>
      <w:r>
        <w:t>Aircraft V508 Navigational Aid and Pilotage Services 13-A-1-13 W - Lease and Rental of Equipment WO Lease or Rental of Equipment 13-A-1-14</w:t>
      </w:r>
    </w:p>
    <w:p>
      <w:pPr>
        <w:pStyle w:val="Heading1"/>
      </w:pPr>
      <w:bookmarkStart w:id="900409" w:name="_Toc300000408"/>
      <w:r>
        <w:t>CHAPTER 14 INVESTMENT</w:t>
      </w:r>
      <w:bookmarkEnd w:id="900409"/>
    </w:p>
    <w:p>
      <w:pPr>
        <w:pStyle w:val="Normal"/>
      </w:pPr>
      <w:r>
        <w:t>Original Integral Understanding: Canada–United States Research and Development Expenditures. The 2004 Guidelines understanding preserved in Annex 34-G, Part D continues according to its original terms and is not transformed into a new reservation or concession by this modernization.</w:t>
      </w:r>
    </w:p>
    <w:p>
      <w:pPr>
        <w:pStyle w:val="Heading2"/>
      </w:pPr>
      <w:bookmarkStart w:id="900410" w:name="_Toc300000409"/>
      <w:r>
        <w:t xml:space="preserve">Article 14.1: Definitions</w:t>
      </w:r>
      <w:bookmarkEnd w:id="900410"/>
    </w:p>
    <w:p>
      <w:pPr>
        <w:pStyle w:val="Normal"/>
      </w:pPr>
      <w:r>
        <w:t xml:space="preserve">For the purposes of this Chapter: covered investment means, with respect to a Party, an investment in its territory of an investor of another Party in existence as of the date of entry into force of this Agreement or established, acquired, or expanded thereafter; enterprise means an enterprise as defined in Article 1.4 (General Definitions), and a branch of an enterprise; enterprise of a Party means an enterprise constituted or organized under the law of a Party, or a branch located in the territory of a Party and carrying out business activities there; freely usable currency means “freely usable currency” as determined by the International Monetary Fund under its Articles of Agreement; investment means every asset that an investor owns or controls, directly or indirectly, that has the characteristics of an investment, including such characteristics as the commitment of capital or other resources, the expectation of gain or profit, or the assumption of risk.</w:t>
      </w:r>
    </w:p>
    <w:p>
      <w:pPr>
        <w:pStyle w:val="Normal"/>
      </w:pPr>
      <w:r>
        <w:t>An investment may include: (a) an enterprise; (b) shares, stock and other forms of equity participation in an enterprise; (c) bonds, debentures, other debt instruments, and loans;1 (d) futures, options, and other derivatives; (e) turnkey, construction, management, production, concession, revenue-sharing, and other similar contracts; (f) intellectual property rights; Some forms of debt, such as bonds, debentures, and long-term notes or loans, are more likely to have the characteristics of an investment, while other forms of debt, such as claims to payment that are immediately due, are less likely to have these characteristics. (g) licenses, authorizations, permits, and similar rights conferred pursuant to a Party’s law;2 and (h) other tangible or intangible, movable or immovable property, and related property rights, such as liens, mortgages, pledges, and leases, but investment does not mean: (i) an order or judgment entered in a judicial or administrative action; (j) claims to money that arise solely from:</w:t>
      </w:r>
    </w:p>
    <w:p>
      <w:pPr>
        <w:pStyle w:val="Normal"/>
      </w:pPr>
      <w:r>
        <w:t>(i) commercial contracts for the sale of goods or services by a natural person or enterprise in the territory of a Party to an enterprise in the territory of another Party, or (ii) the extension of credit in connection with a commercial contract referred to in subparagraph (j)(i); investor of a non-Party means, with respect to a Party, an investor that attempts to make,3 is making, or has made an investment in the territory of that Party, that is not an investor of a</w:t>
      </w:r>
    </w:p>
    <w:p>
      <w:pPr>
        <w:pStyle w:val="Normal"/>
      </w:pPr>
      <w:r>
        <w:t>Party; and investor of a Party means a Party, or a national or an enterprise of a Party, that attempts to make, is making, or has made an investment in the territory of another Party, provided however that: (a) a natural person who is a dual citizen is deemed to be exclusively a national of the State of his or her dominant and effective citizenship; and 2 Whether a particular type of license, authorization, permit, or similar instrument (including a concession to the extent that it has the nature of such an instrument) has the characteristics of an investment depends on such factors as the nature and extent of the rights that the holder has under a Party’s law. For greater certainty, among such instruments that do not have the characteristics of an investment are those that do not create any rights protected under the Party’s law. For greater certainty, the foregoing is without prejudice to whether any asset associated with such instruments has the characteristics of an investment.</w:t>
      </w:r>
    </w:p>
    <w:p>
      <w:pPr>
        <w:pStyle w:val="Normal"/>
      </w:pPr>
      <w:r>
        <w:t>3 For greater certainty, the Parties understand that, for the purposes of the definitions of “investor of a non-Party” and “investor of a Party”, an investor “attempts to make” an investment when that investor has taken concrete action or actions to make an investment, such as channelling resources or capital in order to set up a business, or applying for a permit or license.</w:t>
      </w:r>
    </w:p>
    <w:p>
      <w:pPr>
        <w:pStyle w:val="Normal"/>
      </w:pPr>
      <w:r>
        <w:t>(b) a natural person who is a citizen of a Party and a permanent resident of another Party is deemed to be exclusively a national of the Party of which that natural person is a citizen.</w:t>
      </w:r>
    </w:p>
    <w:p>
      <w:pPr>
        <w:pStyle w:val="Heading2"/>
      </w:pPr>
      <w:bookmarkStart w:id="900411" w:name="_Toc300000410"/>
      <w:r>
        <w:t xml:space="preserve">Article 14.2: Scope</w:t>
      </w:r>
      <w:bookmarkEnd w:id="900411"/>
    </w:p>
    <w:p>
      <w:pPr>
        <w:pStyle w:val="Normal"/>
      </w:pPr>
      <w:r>
        <w:t xml:space="preserve">1. This Chapter applies to measures adopted or maintained by a Party relating to: (a) investors of another Party; (b) covered investments; and (c) with respect to Article 14.10 (Performance Requirements) and Article 14.16 (Investment and Environmental, Health, Safety, and other Regulatory Objectives), all investments in the territory of that Party. 2. A Party’s obligations under this Chapter apply to measures adopted or maintained by: (a) the central, regional, or local governments or authorities of that Party;4 and (b) a person, including a state enterprise or another body, when it exercises any governmental authority delegated to it by central, regional, or local governments or authorities of that Party.5 3. For greater certainty, this Chapter, except as provided for in Annex 14-C (Legacy Investment Claims and Pending Claims) does not bind a Party in relation to an act or fact that took place or a situation that ceased to exist before the date of entry into force of this Agreement. 4.</w:t>
      </w:r>
    </w:p>
    <w:p>
      <w:pPr>
        <w:pStyle w:val="Normal"/>
      </w:pPr>
      <w:r>
        <w:t>For greater certainty, an investor may only submit a claim to arbitration under this Chapter as provided under Annex 14-C (Legacy Investment Claims and Pending Claims), Annex 14-D (Mexico-United States Investment Disputes), or Annex 14-E (Mexico-United States Investment Disputes Related to Covered Government Contracts).</w:t>
      </w:r>
    </w:p>
    <w:p>
      <w:pPr>
        <w:pStyle w:val="Heading2"/>
      </w:pPr>
      <w:bookmarkStart w:id="900412" w:name="_Toc300000411"/>
      <w:r>
        <w:t xml:space="preserve">Article 14.3: Relation to Other Chapters</w:t>
      </w:r>
      <w:bookmarkEnd w:id="900412"/>
    </w:p>
    <w:p>
      <w:pPr>
        <w:pStyle w:val="Normal"/>
      </w:pPr>
      <w:r>
        <w:t xml:space="preserve">4 For greater certainty, the term “governments or authorities” means the organs of a Party, consistent with the principles of attribution under customary international law. 5 For greater certainty, governmental authority is delegated to any person under the Party’s law, including through a legislative grant or a government order, directive, or other act transferring or authorizing the exercise of governmental authority. 1. In the event of any inconsistency between this Chapter and another Chapter of this Agreement, the other Chapter shall prevail to the extent of the inconsistency. 2. This Chapter does not apply to measures adopted or maintained by a Party to the extent that they are covered by Chapter 17 (Financial Services). 3. A requirement of a Party that a service supplier of another Party post a bond or other form of financial security as a condition for the cross-border supply of a service does not of itself make this Chapter applicable to measures adopted or maintained by the Party relating to the cross-border supply of the service.</w:t>
      </w:r>
    </w:p>
    <w:p>
      <w:pPr>
        <w:pStyle w:val="Normal"/>
      </w:pPr>
      <w:r>
        <w:t>This Chapter applies to measures adopted or maintained by the Party relating to the posted bond or financial security, to the extent that the bond or financial security is a covered investment. 4.</w:t>
      </w:r>
    </w:p>
    <w:p>
      <w:pPr>
        <w:pStyle w:val="Normal"/>
      </w:pPr>
      <w:r>
        <w:t>For greater certainty, consistent with Article 15.2.2(a) (Scope), Article 15.5 (Market Access), and Article 15.8 (Development and Administration of Measures) apply to measures adopted or maintained by a Party relating to the supply of a service in its territory by a covered investment.</w:t>
      </w:r>
    </w:p>
    <w:p>
      <w:pPr>
        <w:pStyle w:val="Heading2"/>
      </w:pPr>
      <w:bookmarkStart w:id="900413" w:name="_Toc300000412"/>
      <w:r>
        <w:t xml:space="preserve">Article 14.4: National Treatment</w:t>
      </w:r>
      <w:bookmarkEnd w:id="900413"/>
    </w:p>
    <w:p>
      <w:pPr>
        <w:pStyle w:val="Normal"/>
      </w:pPr>
      <w:r>
        <w:t xml:space="preserve">1. Each Party shall accord to investors of another Party treatment no less favorable than that it accords, in like circumstances, to its own investors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its own investors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and to investments of investors, of the Party of which it forms a part. 4. 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pPr>
        <w:pStyle w:val="Heading2"/>
      </w:pPr>
      <w:bookmarkStart w:id="900414" w:name="_Toc300000413"/>
      <w:r>
        <w:t xml:space="preserve">Article 14.5: Most-Favored-Nation Treatment</w:t>
      </w:r>
      <w:bookmarkEnd w:id="900414"/>
    </w:p>
    <w:p>
      <w:pPr>
        <w:pStyle w:val="Normal"/>
      </w:pPr>
      <w:r>
        <w:t xml:space="preserve">1. Each Party shall accord to investors of another Party treatment no less favorable than the treatment it accords, in like circumstances, to investors of any other Party or of any non-Party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investors of any other Party or of any non-Party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in its territory, and to investments of those investors, of any other Party or of any non-Party. 4.</w:t>
      </w:r>
    </w:p>
    <w:p>
      <w:pPr>
        <w:pStyle w:val="Normal"/>
      </w:pPr>
      <w:r>
        <w:t>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pPr>
        <w:pStyle w:val="Heading2"/>
      </w:pPr>
      <w:bookmarkStart w:id="900415" w:name="_Toc300000414"/>
      <w:r>
        <w:t xml:space="preserve">Article 14.6: Minimum Standard of Treatment</w:t>
      </w:r>
      <w:r>
        <w:rPr>
          <w:vertAlign w:val="superscript"/>
        </w:rPr>
        <w:t xml:space="preserve">6</w:t>
      </w:r>
      <w:bookmarkEnd w:id="900415"/>
    </w:p>
    <w:p>
      <w:pPr>
        <w:pStyle w:val="Normal"/>
      </w:pPr>
      <w:r>
        <w:t xml:space="preserve">1. Each Party shall accord to covered investments treatment in accordance with customary international law, including fair and equitable treatment and full protection and security. 2. For greater certainty, paragraph 1 prescribes the customary international law minimum standard of treatment of aliens as the standard of treatment to be afforded to covered investments. The concepts of “fair and equitable treatment” and “full protection and security” do not require treatment in addition to or beyond that which is required by that standard, and do not create additional substantive rights. The obligations in paragraph 1 to provide: (a) “fair and equitable treatment” includes the obligation not to deny justice in criminal, civil, or administrative adjudicatory proceedings in accordance with the principle of due process embodied in the principal legal systems of the world; and (b) “full protection and security” requires each Party to provide the level of police protection required under customary international law. 6 This Article shall be interpreted in accordance with Annex 14-A (Customary International Law). 3.</w:t>
      </w:r>
    </w:p>
    <w:p>
      <w:pPr>
        <w:pStyle w:val="Normal"/>
      </w:pPr>
      <w:r>
        <w:t>A determination that there has been a breach of another provision of this Agreement, or of a separate international agreement, does not establish that there has been a breach of this Article. 4.</w:t>
      </w:r>
    </w:p>
    <w:p>
      <w:pPr>
        <w:pStyle w:val="Normal"/>
      </w:pPr>
      <w:r>
        <w:t>For greater certainty, the mere fact that a Party takes or fails to take an action that may be inconsistent with an investor’s expectations does not constitute a breach of this Article, even if there is loss or damage to the covered investment as a result.</w:t>
      </w:r>
    </w:p>
    <w:p>
      <w:pPr>
        <w:pStyle w:val="Heading2"/>
      </w:pPr>
      <w:bookmarkStart w:id="900416" w:name="_Toc300000415"/>
      <w:r>
        <w:t xml:space="preserve">Article 14.7: Treatment in Case of Armed Conflict or Civil Strife</w:t>
      </w:r>
      <w:bookmarkEnd w:id="900416"/>
    </w:p>
    <w:p>
      <w:pPr>
        <w:pStyle w:val="Normal"/>
      </w:pPr>
      <w:r>
        <w:t xml:space="preserve">1. Notwithstanding Article 14.12.5(b) (Non-Conforming Measures), each Party shall accord to investors of another Party and to covered investments non-discriminatory treatment with respect to measures it adopts or maintains relating to losses suffered by investments in its territory owing to armed conflict or civil strife. 2. Notwithstanding paragraph 1, if an investor of a Party, in a situation referred to in paragraph 1, suffers a loss in the territory of another Party resulting from: (a) requisitioning of its covered investment or part thereof by the latter’s forces or authorities; or (b) destruction of its covered investment or part thereof by the latter’s forces or authorities, which was not required by the necessity of the situation, the latter Party shall provide the investor restitution, compensation, or both, as appropriate, for that loss. 3. Paragraph 1 does not apply to existing measures relating to subsidies or grants that would be inconsistent with Article 14.4 (National Treatment) but for Article 14.12.5(b) (Non- Conforming Measures).</w:t>
      </w:r>
    </w:p>
    <w:p>
      <w:pPr>
        <w:pStyle w:val="Heading2"/>
      </w:pPr>
      <w:bookmarkStart w:id="900417" w:name="_Toc300000416"/>
      <w:r>
        <w:t xml:space="preserve">Article 14.8: Expropriation and Compensation</w:t>
      </w:r>
      <w:r>
        <w:rPr>
          <w:vertAlign w:val="superscript"/>
        </w:rPr>
        <w:t xml:space="preserve">7</w:t>
      </w:r>
      <w:bookmarkEnd w:id="900417"/>
    </w:p>
    <w:p>
      <w:pPr>
        <w:pStyle w:val="Normal"/>
      </w:pPr>
      <w:r>
        <w:t xml:space="preserve">1. No Party shall expropriate or nationalize a covered investment either directly or indirectly through measures equivalent to expropriation or nationalization (expropriation), except: (a) for a public purpose; (b) in a non-discriminatory manner; 7 This Article shall be interpreted in accordance with Annex 14-B (Expropriation). (c) on payment of prompt, adequate, and effective compensation in accordance with paragraphs 2, 3, and 4; and (d) in accordance with due process of law. 2. Compensation shall: (a) be paid without delay; (b) be equivalent to the fair market value of the expropriated investment immediately before the expropriation took place (the date of expropriation); (c) not reflect any change in value occurring because the intended expropriation had become known earlier; and (d) be fully realizable and freely transferable. 3. If the fair market value is denominated in a freely usable currency, the compensation paid shall be no less than the fair market value on the date of expropriation, plus interest at a commercially reasonable rate for that currency, accrued from the date of expropriation until the date of payment. 4.</w:t>
      </w:r>
    </w:p>
    <w:p>
      <w:pPr>
        <w:pStyle w:val="Normal"/>
      </w:pPr>
      <w:r>
        <w:t>If the fair market value is denominated in a currency that is not freely usable, the compensation paid – converted into the currency of payment at the market rate of exchange prevailing on the date of payment8 – shall be no less than: (a) the fair market value on the date of expropriation, converted into a freely usable currency at the market rate of exchange prevailing on that date; plus (b) interest, at a commercially reasonable rate for that freely usable currency, accrued from the date of expropriation until the date of payment. 5. For greater certainty, whether an action or series of actions by a Party constitutes an expropriation shall be determined in accordance with paragraph 1 of this Article and Annex 14-B (Expropriation). 6.</w:t>
      </w:r>
    </w:p>
    <w:p>
      <w:pPr>
        <w:pStyle w:val="Normal"/>
      </w:pPr>
      <w:r>
        <w:t>This Article does not apply to the issuance of compulsory licenses granted in relation to intellectual property rights in accordance with the TRIPS Agreement, or to the revocation, 8 For greater certainty, for the purposes of this paragraph, the currency of payment may be the same as the currency in which the fair market value is denominated. limitation, or creation of intellectual property rights, to the extent that the issuance, revocation, limitation, or creation is consistent with Chapter 20 (Intellectual Property) and the TRIPS Agreement.9</w:t>
      </w:r>
    </w:p>
    <w:p>
      <w:pPr>
        <w:pStyle w:val="Heading2"/>
      </w:pPr>
      <w:bookmarkStart w:id="900418" w:name="_Toc300000417"/>
      <w:r>
        <w:t xml:space="preserve">Article 14.9: Transfers</w:t>
      </w:r>
      <w:bookmarkEnd w:id="900418"/>
    </w:p>
    <w:p>
      <w:pPr>
        <w:pStyle w:val="Normal"/>
      </w:pPr>
      <w:r>
        <w:t xml:space="preserve">1. Each Party shall permit all transfers relating to a covered investment to be made freely and without delay into and out of its territory. These transfers include: (a) contributions to capital;10 (b) profits, dividends, interest, capital gains, royalty payments, management fees, technical assistance, and other fees; (c) proceeds from the sale of all or any part of the covered investment or from the partial or complete liquidation of the covered investment; (d) payments made under a contract entered into by the investor, or the covered investment, including payments made pursuant to a loan agreement or employment contract; and (e) payments made pursuant to Article 14.7 (Treatment in Case of Armed Conflict or Civil Strife) and Article 14.8 (Expropriation and Compensation). 2. Each Party shall permit transfers relating to a covered investment to be made in a freely usable currency at the market rate of exchange prevailing at the time of transfer. 3.</w:t>
      </w:r>
    </w:p>
    <w:p>
      <w:pPr>
        <w:pStyle w:val="Normal"/>
      </w:pPr>
      <w:r>
        <w:t>A Party shall not require its investors to transfer, or penalize its investors that fail to transfer, the income, earnings, profits, or other amounts derived from, or attributable to, investments in the territory of another Party. 4. Each Party shall permit returns in kind relating to a covered investment to be made as authorized or specified in a written agreement between the Party and a covered investment or an investor of another Party. 5.</w:t>
      </w:r>
    </w:p>
    <w:p>
      <w:pPr>
        <w:pStyle w:val="Normal"/>
      </w:pPr>
      <w:r>
        <w:t>Notwithstanding paragraphs 1, 2, and 4, a Party may prevent or delay a transfer through the equitable, non-discriminatory, and good faith application of its laws11 relating to: 9 For greater certainty, the Parties recognize that, for the purposes of this Article, the term “revocation” of an intellectual property right includes the cancellation or nullification of that right, and the term “limitation” of an intellectual property right includes exceptions to that right. 10 For greater certainty, contributions to capital include the initial contribution. (a) bankruptcy, insolvency, or the protection of the rights of creditors; (b) issuing, trading, or dealing in securities or derivatives; (c) criminal or penal offenses; (d) financial reporting or record keeping of transfers when necessary to assist law enforcement or financial regulatory authorities; or (e) ensuring compliance with orders or judgments in judicial or administrative proceedings. 6. Notwithstanding paragraph 4, a Party may restrict transfers of returns in kind in circumstances where it could otherwise restrict those transfers under this Agreement, including as set out in paragraph 5.</w:t>
      </w:r>
    </w:p>
    <w:p>
      <w:pPr>
        <w:pStyle w:val="Heading2"/>
      </w:pPr>
      <w:bookmarkStart w:id="900419" w:name="_Toc300000418"/>
      <w:r>
        <w:t xml:space="preserve">Article 14.10: Performance Requirements</w:t>
      </w:r>
      <w:bookmarkEnd w:id="900419"/>
    </w:p>
    <w:p>
      <w:pPr>
        <w:pStyle w:val="Normal"/>
      </w:pPr>
      <w:r>
        <w:t xml:space="preserve">1. No Party shall, in connection with the establishment, acquisition, expansion, management, conduct, operation, or sale or other disposition of an investment of an investor of a Party or of a non-Party in its territory, impose or enforce any requirement, or enforce any commitment or undertaking:12 (a) to export a given level or percentage of goods or services; (b) to achieve a given level or percentage of domestic content; (c) to purchase, use, or accord a preference to a good produced or a service supplied in its territory, or to purchase a good or a service from a person in its territory; (d) to relate in any way the volume or value of imports to the volume or value of exports or to the amount of foreign exchange inflows associated with the investment; (e) to restrict sales of a good or a service in its territory that the investment produces or supplies by relating those sales in any way to the volume or value of its exports or foreign exchange earnings;</w:t>
      </w:r>
    </w:p>
    <w:p>
      <w:pPr>
        <w:pStyle w:val="Normal"/>
      </w:pPr>
      <w:r>
        <w:t>11 For greater certainty, this Article does not preclude the equitable, non-discriminatory, and good faith application of a Party’s laws relating to its social security, public retirement, or compulsory savings programs. 12 For greater certainty, a condition for the receipt or continued receipt of an advantage referred to in paragraph 2 does not constitute a “requirement” or a “commitment or undertaking” for the purposes of paragraph 1.</w:t>
      </w:r>
    </w:p>
    <w:p>
      <w:pPr>
        <w:pStyle w:val="Normal"/>
      </w:pPr>
      <w:r>
        <w:t>(f) to transfer a technology, a production process, or other proprietary knowledge to a person in its territory; (g) to supply exclusively from the territory of the Party a good that the investment produces or a service that it supplies to a specific regional market or to the world market; (h) (i) to purchase, use, or accord a preference to, in its territory, technology of the Party or of a person of the Party,13 or (ii) that prevents the purchase or use of, or the according of a preference to, in its territory, a technology; or (i) to adopt:</w:t>
      </w:r>
    </w:p>
    <w:p>
      <w:pPr>
        <w:pStyle w:val="Normal"/>
      </w:pPr>
      <w:r>
        <w:t>(i) a given rate or amount of royalty under a license contract, or (ii) a given duration of the term of a license contract, in regard to any license contract in existence at the time the requirement is imposed or enforced, or any commitment or undertaking is enforced, or any future license contract14 freely entered into between the investor and a person in its territory, provided that the requirement is imposed or the commitment or undertaking is enforced in a manner that constitutes direct interference with that license contract by an exercise of non-judicial governmental authority of a Party. For greater certainty, paragraph 1(i) does not apply when the license contract is concluded between the investor and a Party. 2.</w:t>
      </w:r>
    </w:p>
    <w:p>
      <w:pPr>
        <w:pStyle w:val="Normal"/>
      </w:pPr>
      <w:r>
        <w:t>No Party shall condition the receipt or continued receipt of an advantage, in connection with the establishment, acquisition, expansion, management, conduct, operation, or sale or other disposition of an investment of an investor of a Party or of a non-Party in its territory, on compliance with any requirement: (a) to achieve a given level or percentage of domestic content; 13 For the purposes of this Article, the term “technology of the Party or of a person of the Party” includes technology that is owned by the Party or a person of the Party, and technology for which the Party or a person of the Party holds an exclusive license. 14 A “license contract” referred to in this subparagraph means a contract concerning the licensing of technology, a production process, or other proprietary knowledge.</w:t>
      </w:r>
    </w:p>
    <w:p>
      <w:pPr>
        <w:pStyle w:val="Normal"/>
      </w:pPr>
      <w:r>
        <w:t>(b) to purchase, use, or accord a preference to a good produced in its territory, or to purchase a good from a person in its territory; (c) to relate in any way the volume or value of imports to the volume or value of exports or to the amount of foreign exchange inflows associated with the investment; (d) to restrict sales of goods or services in its territory that the investment produces or supplies by relating those sales in any way to the volume or value of its exports or foreign exchange earnings; or (e) (i) to purchase, use or accord a preference to, in its territory, technology of the Party or of a person of the Party, or (ii) that prevents the purchase or use of, or the according of a preference to, in its territory, a technology. 3. In relation to paragraphs 1 and 2:</w:t>
      </w:r>
    </w:p>
    <w:p>
      <w:pPr>
        <w:pStyle w:val="Normal"/>
      </w:pPr>
      <w:r>
        <w:t>(a) Nothing in paragraph 2 shall be construed to prevent a Party from conditioning the receipt or continued receipt of an advantage, in connection with an investment of an investor of a Party or of a non-Party in its territory, on compliance with a requirement to locate production, supply a service, train or employ workers, construct or expand particular facilities, or carry out research and development, in its territory.</w:t>
      </w:r>
    </w:p>
    <w:p>
      <w:pPr>
        <w:pStyle w:val="Normal"/>
      </w:pPr>
      <w:r>
        <w:t>(b) Paragraphs 1(f), 1(h), 1(i), and 2(e) do not apply: (i) if a Party authorizes use of an intellectual property right in accordance with Article 3115 of the TRIPS Agreement, or to a measure requiring the disclosure of proprietary information that fall within the scope of, and is consistent with, Article 39 of the TRIPS Agreement, or (ii) if the requirement is imposed or the commitment or undertaking 16 is enforced by a court, administrative tribunal, or competition authority, after 15 The reference to “Article 31” includes any waiver or amendment to the TRIPS Agreement implementing paragraph 6 of the Doha Declaration on the TRIPS Agreement and Public Health (WT/MIN (01)/DEC/2).</w:t>
      </w:r>
    </w:p>
    <w:p>
      <w:pPr>
        <w:pStyle w:val="Normal"/>
      </w:pPr>
      <w:r>
        <w:t>16 For greater certainty, for the purposes of this subparagraph, a commitment or undertaking includes a consent agreement. judicial or administrative process, to remedy an alleged violation of competition laws.17 (c) Provided that such measures are not applied in an arbitrary or unjustifiable manner, or do not constitute a disguised restriction on international trade or investment, paragraphs 1(b), 1(c), 1(f), 2(a), and 2(b) shall not be construed to prevent a Party from adopting or maintaining measures: (i) necessary to secure compliance with laws and regulations that are not inconsistent with this Agreement, (ii) necessary to protect human, animal or plant life or health, or (iii) related to the conservation of living or non-living exhaustible natural resources.</w:t>
      </w:r>
    </w:p>
    <w:p>
      <w:pPr>
        <w:pStyle w:val="Normal"/>
      </w:pPr>
      <w:r>
        <w:t>(d) Paragraphs 1(a), 1(b), 1(c), 2(a), and 2(b) do not apply to qualification requirements for a good or a service with respect to export promotion and foreign aid programs. (e) Paragraphs 1(b), 1(c), 1(f), 1(g), 1(h), 1(i), 2(a), 2(b), and 2(e) do not apply to government procurement. (f) Paragraphs 2(a) and 2(b) do not apply to requirements imposed by an importing Party relating to the content of a good necessary to qualify for preferential tariffs or preferential quotas. (g) Paragraphs 1(h), 1(i), and 2(e) shall not be construed to prevent a Party from adopting or maintaining measures to protect legitimate public welfare objectives, provided that such measures are not applied in an arbitrary or unjustifiable manner, or in a manner that constitutes a disguised restriction on international trade or investment. 4. For greater certainty, paragraphs 1 and 2 do not apply to any commitment, undertaking, or requirement other than those set out in those paragraphs. 5. This Article does not preclude enforcement of any commitment, undertaking, or requirement between private parties, if a Party did not impose or require the commitment, undertaking, or requirement. 17 The Parties recognize that a patent does not necessarily confer market power.</w:t>
      </w:r>
    </w:p>
    <w:p>
      <w:pPr>
        <w:pStyle w:val="Heading2"/>
      </w:pPr>
      <w:bookmarkStart w:id="900420" w:name="_Toc300000419"/>
      <w:r>
        <w:t xml:space="preserve">Article 14.11: Senior Management and Boards of Directors</w:t>
      </w:r>
      <w:bookmarkEnd w:id="900420"/>
    </w:p>
    <w:p>
      <w:pPr>
        <w:pStyle w:val="Normal"/>
      </w:pPr>
      <w:r>
        <w:t xml:space="preserve">1. No Party shall require that an enterprise of that Party that is a covered investment appoint to senior management positions a natural person of a particular nationality. 2. A Party may require that a majority of the board of directors, or any committee thereof, of an enterprise of that Party that is a covered investment, be of a particular nationality, or resident in the territory of the Party, provided that the requirement does not materially impair the ability of the investor to exercise control over its investment.</w:t>
      </w:r>
    </w:p>
    <w:p>
      <w:pPr>
        <w:pStyle w:val="Heading2"/>
      </w:pPr>
      <w:bookmarkStart w:id="900421" w:name="_Toc300000420"/>
      <w:r>
        <w:t xml:space="preserve">Article 14.12: Non-Conforming Measures</w:t>
      </w:r>
      <w:bookmarkEnd w:id="900421"/>
    </w:p>
    <w:p>
      <w:pPr>
        <w:pStyle w:val="Normal"/>
      </w:pPr>
      <w:r>
        <w:t xml:space="preserve">1. Article 14.4 (National Treatment), Article 14.5 (Most-Favored-Nation Treatment), Article 14.10 (Performance Requirements), and Article 14.11 (Senior Management and Boards of Directors) do not apply to: (a) any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any non-conforming measure referred to in subparagraph (a); or (c) an amendment to any non-conforming measure referred to in subparagraph (a) to the extent that the amendment does not decrease the conformity of the measure, as it existed immediately before the amendment, with Article 14.4 (National Treatment), Article 14.5 (Most-Favored-Nation Treatment), Article 14.10 (Performance Requirements), or Article 14.11 (Senior Management and Boards of Directors). 2.</w:t>
      </w:r>
    </w:p>
    <w:p>
      <w:pPr>
        <w:pStyle w:val="Normal"/>
      </w:pPr>
      <w:r>
        <w:t>Article 14.4 (National Treatment), Article 14.5 (Most-Favored-Nation Treatment), Article 14.10 (Performance Requirements), and Article 14.11 (Senior Management and Boards of Directors) do not apply to any measure that a Party adopts or maintains with respect to sectors, sub-sectors, or activities, as set out by that Party in its Schedule to Annex II. 3.</w:t>
      </w:r>
    </w:p>
    <w:p>
      <w:pPr>
        <w:pStyle w:val="Normal"/>
      </w:pPr>
      <w:r>
        <w:t>No Party shall, under any measure adopted after the date of entry into force of this Agreement and covered by its Schedule to Annex II, require an investor of another Party, by reason of its nationality, to sell or otherwise dispose of an investment existing at the time the measure becomes effective. 4. (a) Article 14.4 (National Treatment) does not apply to any measure that falls within an exception to, or derogation from, the obligations imposed by: (i) Article 20.8 (National Treatment), or (ii) Article 3 of the TRIPS Agreement, if the exception or derogation relates to matters not addressed by Chapter 20 (Intellectual Property Rights); (b) Article 14.5 (Most-Favored-Nation Treatment) does not apply to any measure that falls within Article 5 of the TRIPS Agreement, or an exception to, or derogation from, an obligation imposed by: (i) Article 20.8 (National Treatment), or (ii) Article 4 of the TRIPS Agreement. 5. Article 14.4 (National Treatment), Article 14.5 (Most-Favored-Nation Treatment), and Article 14.11 (Senior Management and Boards of Directors) do not apply to: (a) government procurement; or (b) subsidies or grants provided by a Party, including government-supported loans, guarantees, and insurance.</w:t>
      </w:r>
    </w:p>
    <w:p>
      <w:pPr>
        <w:pStyle w:val="Heading2"/>
      </w:pPr>
      <w:bookmarkStart w:id="900422" w:name="_Toc300000421"/>
      <w:r>
        <w:t xml:space="preserve">Article 14.13: Special Formalities and Information Requirements</w:t>
      </w:r>
      <w:bookmarkEnd w:id="900422"/>
    </w:p>
    <w:p>
      <w:pPr>
        <w:pStyle w:val="Normal"/>
      </w:pPr>
      <w:r>
        <w:t xml:space="preserve">1. Nothing in Article 14.4 (National Treatment) shall be construed to prevent a Party from adopting or maintaining a measure that prescribes special formalities in connection with covered investments, such as a requirement that investors be residents of the Party or that covered investments be legally constituted under the laws or regulations of the Party, provided that these formalities do not materially impair the protections afforded by the Party to investors of another Party and covered investments pursuant to this Chapter. 2. Notwithstanding Article 14.4 (National Treatment) and Article 14.5 (Most-Favored- Nation Treatment), a Party may require an investor of another Party or its covered investment to provide information concerning that investment solely for informational or statistical purposes. The Party shall protect such information that is confidential from any disclosure that would prejudice the competitive position of the investor or its covered investment. Nothing in this paragraph shall be construed to prevent a Party from otherwise obtaining or disclosing information in connection with the equitable and good faith application of its law.</w:t>
      </w:r>
    </w:p>
    <w:p>
      <w:pPr>
        <w:pStyle w:val="Heading2"/>
      </w:pPr>
      <w:bookmarkStart w:id="900423" w:name="_Toc300000422"/>
      <w:r>
        <w:t xml:space="preserve">Article 14.14: Denial of Benefits</w:t>
      </w:r>
      <w:bookmarkEnd w:id="900423"/>
    </w:p>
    <w:p>
      <w:pPr>
        <w:pStyle w:val="Normal"/>
      </w:pPr>
      <w:r>
        <w:t xml:space="preserve">1. A Party may deny the benefits of this Chapter to an investor of another Party that is an enterprise of that other Party and to investments of that investor if the enterprise: (a) is owned or controlled by a person of a non-Party or of the denying Party; and (b) has no substantial business activities in the territory of any Party other than the denying Party. 2. A Party may deny the benefits of this Chapter to an investor of another Party that is an enterprise of that other Party and to investments of that investor if persons of a non-Party own or control the enterprise and the denying Party adopts or maintains measures with respect to the non-Party or a person of the non-Party that prohibit transactions with the enterprise or that would be violated or circumvented if the benefits of this Chapter were accorded to the enterprise or to its investments.</w:t>
      </w:r>
    </w:p>
    <w:p>
      <w:pPr>
        <w:pStyle w:val="Heading2"/>
      </w:pPr>
      <w:bookmarkStart w:id="900424" w:name="_Toc300000423"/>
      <w:r>
        <w:t xml:space="preserve">Article 14.15: Subrogation</w:t>
      </w:r>
      <w:bookmarkEnd w:id="900424"/>
    </w:p>
    <w:p>
      <w:pPr>
        <w:pStyle w:val="Normal"/>
      </w:pPr>
      <w:r>
        <w:t xml:space="preserve">If a Party, or an agency of a Party, makes a payment to an investor of the Party under a guarantee, a contract of insurance, or other form of indemnity that it has entered into with respect to a covered investment, the other Party in whose territory the covered investment was made shall recognize the subrogation or transfer of any right the investor would have possessed with respect to the covered investment but for the subrogation, and the investor shall be precluded from pursuing that right to the extent of the subrogation, unless a Party or an agency of a Party authorizes the investor to act on its behalf.</w:t>
      </w:r>
    </w:p>
    <w:p>
      <w:pPr>
        <w:pStyle w:val="Heading2"/>
      </w:pPr>
      <w:bookmarkStart w:id="900425" w:name="_Toc300000424"/>
      <w:r>
        <w:t xml:space="preserve">Article 14.16: Investment and Environmental, Health, Safety, and other Regulatory Objectives</w:t>
      </w:r>
      <w:bookmarkEnd w:id="900425"/>
    </w:p>
    <w:p>
      <w:pPr>
        <w:pStyle w:val="Normal"/>
      </w:pPr>
      <w:r>
        <w:t xml:space="preserve">Nothing in this Chapter shall be construed to prevent a Party from adopting, maintaining, or enforcing any measure otherwise consistent with this Chapter that it considers appropriate to ensure that investment activity in its territory is undertaken in a manner sensitive to environmental, health, safety, or other regulatory objectives.</w:t>
      </w:r>
    </w:p>
    <w:p>
      <w:pPr>
        <w:pStyle w:val="Heading2"/>
      </w:pPr>
      <w:bookmarkStart w:id="900426" w:name="_Toc300000425"/>
      <w:r>
        <w:t xml:space="preserve">Article 14.17: Corporate Social Responsibility</w:t>
      </w:r>
      <w:bookmarkEnd w:id="900426"/>
    </w:p>
    <w:p>
      <w:pPr>
        <w:pStyle w:val="Normal"/>
      </w:pPr>
      <w:r>
        <w:t xml:space="preserve">The Parties reaffirm the importance of each Party encouraging enterprises operating within its territory or subject to its jurisdiction to voluntarily incorporate into their internal policies those internationally recognized standards, guidelines, and principles of corporate social responsibility that have been endorsed or are supported by that Party, which may include the OECD Guidelines for Multinational Enterprises. These standards, guidelines, and principles may address areas such as labor, environment, gender equality, human rights, indigenous and aboriginal peoples’ rights, and corruption.</w:t>
      </w:r>
    </w:p>
    <w:p>
      <w:pPr>
        <w:pStyle w:val="Heading2"/>
      </w:pPr>
      <w:bookmarkStart w:id="900427" w:name="_Toc300000426"/>
      <w:r>
        <w:t xml:space="preserve">ANNEX 14-A CUSTOMARY INTERNATIONAL LAW</w:t>
      </w:r>
      <w:bookmarkEnd w:id="900427"/>
    </w:p>
    <w:p>
      <w:pPr>
        <w:pStyle w:val="Normal"/>
      </w:pPr>
      <w:r>
        <w:t xml:space="preserve">The Parties confirm their shared understanding that “customary international law” generally and as specifically referenced in Article 14.6 (Minimum Standard of Treatment) results from a general and consistent practice of States that they follow from a sense of legal obligation. The customary international law minimum standard of treatment of aliens refers to all customary international law principles that protect the investments of aliens. 14-A-1</w:t>
      </w:r>
    </w:p>
    <w:p>
      <w:pPr>
        <w:pStyle w:val="Heading2"/>
      </w:pPr>
      <w:bookmarkStart w:id="900428" w:name="_Toc300000427"/>
      <w:r>
        <w:t xml:space="preserve">ANNEX 14-B EXPROPRIATION</w:t>
      </w:r>
      <w:bookmarkEnd w:id="900428"/>
    </w:p>
    <w:p>
      <w:pPr>
        <w:pStyle w:val="Normal"/>
      </w:pPr>
      <w:r>
        <w:t xml:space="preserve">The Parties confirm their shared understanding that: 1. An action or a series of actions by a Party cannot constitute an expropriation unless it interferes with a tangible or intangible property right18 or property interest in an investment. 2. Article 14.8.1 (Expropriation and Compensation) addresses two situations. The first is direct expropriation, in which an investment is nationalized or otherwise directly expropriated through formal transfer of title or outright seizure. 3. The second situation addressed by Article 14.8.1 (Expropriation and Compensation) is indirect expropriation, in which an action or series of actions by a Party has an effect equivalent to direct expropriation without formal transfer of title or outright seizure. (a) The determination of whether an action or series of actions by a Party, in a specific fact situation, constitutes an indirect expropriation, requires a case-by case, fact-based inquiry that considers, among other factors:</w:t>
      </w:r>
    </w:p>
    <w:p>
      <w:pPr>
        <w:pStyle w:val="Normal"/>
      </w:pPr>
      <w:r>
        <w:t>(i) the economic impact of the government action, although the fact that an action or series of actions by a Party has an adverse effect on the economic value of an investment, standing alone, does not establish that an indirect expropriation has occurred, (ii) the extent to which the government action interferes with distinct, reasonable investment-backed expectations,19 and (iii) the character of the government action, including its object, context, and intent.</w:t>
      </w:r>
    </w:p>
    <w:p>
      <w:pPr>
        <w:pStyle w:val="Normal"/>
      </w:pPr>
      <w:r>
        <w:t>(b) Non-discriminatory regulatory actions by a Party that are designed and applied to protect legitimate public welfare objectives, such as health, safety and the environment, do not constitute indirect expropriations, except in rare circumstances. 18 For greater certainty, the existence of a property right is determined with reference to a Party’s law. 19 For greater certainty, whether an investor’s investment-backed expectations are reasonable depends, to the extent relevant, on factors such as whether the government provided the investor with binding written assurances and the nature and extent of governmental regulation or the potential for government regulation in the relevant sector. 14-B-1</w:t>
      </w:r>
    </w:p>
    <w:p>
      <w:pPr>
        <w:pStyle w:val="Heading2"/>
      </w:pPr>
      <w:bookmarkStart w:id="900429" w:name="_Toc300000428"/>
      <w:r>
        <w:t xml:space="preserve">ANNEX 14-C LEGACY INVESTMENT CLAIMS AND PENDING CLAIMS</w:t>
      </w:r>
      <w:bookmarkEnd w:id="900429"/>
    </w:p>
    <w:p>
      <w:pPr>
        <w:pStyle w:val="Normal"/>
      </w:pPr>
      <w:r>
        <w:t xml:space="preserve">1. Each Party consents, with respect to a legacy investment, to the submission of a claim to arbitration in accordance with Section B of Chapter 11 (Investment) of NAFTA 1994 and this Annex alleging breach of an obligation under: (a) Section A of Chapter 11 (Investment) of NAFTA 1994; (b) Article 1503(2) (State Enterprises) of NAFTA 1994; and (c) Article 1502(3)(a) (Monopolies and State Enterprises) of NAFTA 1994 where the monopoly has acted in a manner inconsistent with the Party’s obligations under Section A of Chapter 11 (Investment) of NAFTA 1994.20, 21 2. The consent under paragraph 1 and the submission of a claim to arbitration in accordance with Section B of Chapter 11 (Investment) of NAFTA 1994 and this Annex shall satisfy the requirements of: (a) Chapter II of the ICSID Convention (Jurisdiction of the Centre) and the ICSID Additional Facility Rules for written consent of the parties to the dispute;</w:t>
      </w:r>
    </w:p>
    <w:p>
      <w:pPr>
        <w:pStyle w:val="Normal"/>
      </w:pPr>
      <w:r>
        <w:t>(b) Article II of the New York Convention for an “agreement in writing”; and (c) Article I of the Inter-American Convention for an “agreement”. 3. A Party’s consent under paragraph 1 shall expire three years after the termination of NAFTA 1994. 4.</w:t>
      </w:r>
    </w:p>
    <w:p>
      <w:pPr>
        <w:pStyle w:val="Normal"/>
      </w:pPr>
      <w:r>
        <w:t>For greater certainty, an arbitration initiated pursuant to the submission of a claim under paragraph 1 may proceed to its conclusion in accordance with Section B of Chapter 11 (Investment) of NAFTA 1994, the Tribunal’s jurisdiction with respect to such a claim is not affected by the expiration of consent referenced in paragraph 3, and Article 1136 (Finality and Enforcement of an Award) of NAFTA 1994 (excluding paragraph 5) applies with respect to any award made by the Tribunal. 20 For greater certainty, the relevant provisions in Chapter 2 (General Definitions), Chapter 11 (Section A) (Investment), Chapter 14 (Financial Services), Chapter 15 (Competition Policy, Monopolies and State Enterprises), Chapter 17 (Intellectual Property), Chapter 21 (Exceptions), and Annexes I-VII (Reservations and Exceptions to Investment, Cross-Border Trade in Services and Financial Services Chapters) of NAFTA 1994 apply with respect to such a claim. 21 Mexico and the United States do not consent under paragraph 1 with respect to an investor of the other Party that is eligible to submit claims to arbitration under paragraph 2 of Annex 14-E (Mexico-United States Investment Disputes Related to Covered Government Contracts). 14-C-1 5.</w:t>
      </w:r>
    </w:p>
    <w:p>
      <w:pPr>
        <w:pStyle w:val="Normal"/>
      </w:pPr>
      <w:r>
        <w:t>For greater certainty, an arbitration initiated pursuant to the submission of a claim under Section B of Chapter 11 (Investment) of NAFTA 1994 while NAFTA 1994 is in force may proceed to its conclusion in accordance with Section B of Chapter 11 (Investment) of NAFTA 1994, the Tribunal’s jurisdiction with respect to such a claim is not affected by the termination of NAFTA 1994, and Article 1136 of NAFTA 1994 (excluding paragraph 5) applies with respect to any award made by the Tribunal. 6. For the purposes of this Annex: (a) “legacy investment” means an investment of an investor of another Party in the territory of the Party established or acquired between January 1, 1994, and the date of termination of NAFTA 1994, and in existence on the date of entry into force of this Agreement; (b) “investment”, “investor”, and “Tribunal” have the meanings accorded in Chapter 11 (Investment) of NAFTA 1994; and (c) “ICSID Convention”, “ICSID Additional Facility Rules”, “New York Convention”, and “Inter-American Convention” have the meanings accorded in Article 14.D.1 (Definitions). 14-C-2</w:t>
      </w:r>
    </w:p>
    <w:p>
      <w:pPr>
        <w:pStyle w:val="Heading2"/>
      </w:pPr>
      <w:bookmarkStart w:id="900430" w:name="_Toc300000429"/>
      <w:r>
        <w:t xml:space="preserve">ANNEX 14-D MEXICO-UNITED STATES INVESTMENT DISPUTES</w:t>
      </w:r>
      <w:bookmarkEnd w:id="900430"/>
    </w:p>
    <w:p>
      <w:pPr>
        <w:pStyle w:val="Heading2"/>
      </w:pPr>
      <w:bookmarkStart w:id="900431" w:name="_Toc300000430"/>
      <w:r>
        <w:t xml:space="preserve">Article 14.D.1: Definitions</w:t>
      </w:r>
      <w:bookmarkEnd w:id="900431"/>
    </w:p>
    <w:p>
      <w:pPr>
        <w:pStyle w:val="Normal"/>
      </w:pPr>
      <w:r>
        <w:t xml:space="preserve">For the purposes of this Annex: Annex Party means Mexico or the United States; Centre means the International Centre for Settlement of Investment Disputes (ICSID) established by the ICSID Convention; claimant means an investor of an Annex Party that is a party to a qualifying investment dispute, excluding an investor that is owned or controlled by a person of a non-Annex Party that, on the date of signature of this Agreement, the other Annex Party has determined to be a non-market economy for purposes of its trade remedy laws and with which no Party has a free trade agreement; disputing parties means the claimant and the respondent; disputing party means either the claimant or the respondent; ICSID Additional Facility Rules means the Rules Governing the Additional Facility for the Administration of Proceedings by the Secretariat of the International Centre for Settlement of Investment Disputes; ICSID Convention means the Convention on the Settlement of Investment Disputes between States and Nationals of other States, done at Washington, March 18, 1965;</w:t>
      </w:r>
    </w:p>
    <w:p>
      <w:pPr>
        <w:pStyle w:val="Normal"/>
      </w:pPr>
      <w:r>
        <w:t>Inter-American Convention means the Inter-American Convention on International Commercial Arbitration, done at Panama, January 30, 1975; New York Convention means the Convention on the Recognition and Enforcement of Foreign Arbitral Awards, done at New York, June 10, 1958; non-disputing Annex Party means the Annex Party that is not a party to a</w:t>
      </w:r>
    </w:p>
    <w:p>
      <w:pPr>
        <w:pStyle w:val="Normal"/>
      </w:pPr>
      <w:r>
        <w:t xml:space="preserve">qualifying investment dispute; protected information means confidential business information or information that is privileged or otherwise protected from disclosure under a Party’s law, including classified government information; 14-D-1 qualifying investment dispute means an investment dispute between an investor of an Annex Party and the other Annex Party; respondent means the Annex Party that is a party to a qualifying investment dispute; Secretary-General means the Secretary-General of ICSID; and UNCITRAL Arbitration Rules means the arbitration rules of the United Nations Commission on International Trade Law.</w:t>
      </w:r>
    </w:p>
    <w:p>
      <w:pPr>
        <w:pStyle w:val="Heading2"/>
      </w:pPr>
      <w:bookmarkStart w:id="900432" w:name="_Toc300000431"/>
      <w:r>
        <w:t xml:space="preserve">Article 14.D.2: Consultation and Negotiation</w:t>
      </w:r>
      <w:bookmarkEnd w:id="900432"/>
    </w:p>
    <w:p>
      <w:pPr>
        <w:pStyle w:val="Normal"/>
      </w:pPr>
      <w:r>
        <w:t xml:space="preserve">1. In the event of a qualifying investment dispute, the claimant and the respondent should initially seek to resolve the dispute through consultation and negotiation, which may include the use of non-binding, third party procedures, such as good offices, conciliation, or mediation. 2. For greater certainty, the initiation of consultations and negotiations shall not be construed as recognition of the jurisdiction of the tribunal.</w:t>
      </w:r>
    </w:p>
    <w:p>
      <w:pPr>
        <w:pStyle w:val="Heading2"/>
      </w:pPr>
      <w:bookmarkStart w:id="900433" w:name="_Toc300000432"/>
      <w:r>
        <w:t xml:space="preserve">Article 14.D.3: Submission of a Claim to Arbitration</w:t>
      </w:r>
      <w:bookmarkEnd w:id="900433"/>
    </w:p>
    <w:p>
      <w:pPr>
        <w:pStyle w:val="Normal"/>
      </w:pPr>
      <w:r>
        <w:t xml:space="preserve">1.</w:t>
      </w:r>
    </w:p>
    <w:p>
      <w:pPr>
        <w:pStyle w:val="Normal"/>
      </w:pPr>
      <w:r>
        <w:t>In the event that a disputing party considers that a qualifying investment dispute cannot be settled by consultation and negotiation: (a) the claimant, on its own behalf, may submit to arbitration under this Annex a claim: (i) that the respondent has breached: (A) Article 14.4 (National Treatment) or Article 14.5 (Most-Favored- Nation Treatment),22 except with respect to the establishment or acquisition of an investment, or (B) Article 14.8 (Expropriation and Compensation), except with respect to indirect expropriation, and (ii) that the claimant has incurred loss or damage by reason of, or arising out of, that breach; and 22 For the purposes of this paragraph: (i) the “treatment” referred to in Article 14.5 (Most-Favored-Nation Treatment) excludes provisions in other international trade or investment agreements that establish international dispute resolution procedures or impose substantive obligations; and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w:t>
      </w:r>
    </w:p>
    <w:p>
      <w:pPr>
        <w:pStyle w:val="Normal"/>
      </w:pPr>
      <w:r>
        <w:t>14-D-2 (b) the claimant, on behalf of an enterprise of the respondent that is a juridical person that the claimant owns or controls directly or indirectly, may submit to arbitration under this Annex a claim: (i) that the respondent has breached: (A) Article 14.4 (National Treatment) or Article 14.5 (Most-Favored- Nation Treatment), except with respect to the establishment or acquisition of an investment, or (B) Article 14.8 (Expropriation and Compensation), except with respect to indirect expropriation, and (ii) that the enterprise has incurred loss or damage by reason of, or arising out of, that breach.23 2. At least 90 days before submitting any claim to arbitration under this Annex, the claimant shall deliver to the respondent a written notice of its intention to submit a claim to arbitration (notice of intent). The notice shall specify: (a) the name and address of the claimant and, if a claim is submitted on behalf of an enterprise, the name, address, and place of incorporation of the enterprise;</w:t>
      </w:r>
    </w:p>
    <w:p>
      <w:pPr>
        <w:pStyle w:val="Normal"/>
      </w:pPr>
      <w:r>
        <w:t>(b) for each claim, the provision of this Agreement alleged to have been breached and any other relevant provisions; (c) the legal and factual basis for each claim; and (d) the relief sought and the approximate amount of damages claimed. 3.</w:t>
      </w:r>
    </w:p>
    <w:p>
      <w:pPr>
        <w:pStyle w:val="Normal"/>
      </w:pPr>
      <w:r>
        <w:t>The claimant may submit a claim referred to in paragraph 1 under one of the following alternatives: (a) the ICSID Convention and the ICSID Rules of Procedure for Arbitration Proceedings, provided that both the respondent and the Party of the claimant are parties to the ICSID Convention;24 (b) the ICSID Additional Facility Rules, provided that either the respondent or the Party of the claimant is a party to the ICSID Convention; 23 For greater certainty, in order for a claim to be submitted to arbitration under subparagraph (b), an investor of the Party of the claimant must own or control the enterprise on the date of the alleged breach and the date on which the claim is submitted to arbitration. 24 For greater certainty, if a claimant submits a claim under this subparagraph, any award made by the tribunal under Article 14.D.13 (Awards) constitutes an award under Chapter IV of the ICSID Convention (Arbitration). 14-D-3 (c) the UNCITRAL Arbitration Rules; or (d) if the claimant and respondent agree, any other arbitral institution or any other arbitration rules. 4.</w:t>
      </w:r>
    </w:p>
    <w:p>
      <w:pPr>
        <w:pStyle w:val="Normal"/>
      </w:pPr>
      <w:r>
        <w:t>A claim shall be deemed submitted to arbitration under this Annex when the claimant’s notice of or request for arbitration (notice of arbitration): (a) referred to in the ICSID Convention is received by the Secretary-General; (b) referred to in the ICSID Additional Facility Rules is received by the Secretary- General; (c) referred to in the UNCITRAL Arbitration Rules, together with the statement of claim referred to therein, are received by the respondent; or (d) referred to under any arbitral institution or arbitration rules selected under paragraph 3(d) is received by the respondent. A claim asserted by the claimant for the first time after such notice of arbitration is submitted shall be deemed submitted to arbitration under this Annex on the date of its receipt under the applicable arbitration rules. 5. The arbitration rules applicable under paragraph 3 that are in effect on the date the claim or claims were submitted to arbitration under this Annex shall govern the arbitration except to the extent modified by this Agreement. 6. The claimant shall provide with the notice of arbitration:</w:t>
      </w:r>
    </w:p>
    <w:p>
      <w:pPr>
        <w:pStyle w:val="Normal"/>
      </w:pPr>
      <w:r>
        <w:t xml:space="preserve">(a) the name of the arbitrator that the claimant appoints; or (b) the claimant’s written consent for the Secretary-General to appoint that arbitrator.</w:t>
      </w:r>
    </w:p>
    <w:p>
      <w:pPr>
        <w:pStyle w:val="Heading2"/>
      </w:pPr>
      <w:bookmarkStart w:id="900434" w:name="_Toc300000433"/>
      <w:r>
        <w:t xml:space="preserve">Article 14.D.4: Consent to Arbitration</w:t>
      </w:r>
      <w:bookmarkEnd w:id="900434"/>
    </w:p>
    <w:p>
      <w:pPr>
        <w:pStyle w:val="Normal"/>
      </w:pPr>
      <w:r>
        <w:t xml:space="preserve">1. Each Annex Party consents to the submission of a claim to arbitration under this Annex in accordance with this Agreement. 2.</w:t>
      </w:r>
    </w:p>
    <w:p>
      <w:pPr>
        <w:pStyle w:val="Normal"/>
      </w:pPr>
      <w:r>
        <w:t xml:space="preserve">The consent under paragraph 1 and the submission of a claim to arbitration under this Annex shall be deemed to satisfy the requirements of: (a) Chapter II of the ICSID Convention (Jurisdiction of the Centre) and the ICSID Additional Facility Rules for written consent of the parties to the dispute; 14-D-4 (b) Article II of the New York Convention for an “agreement in writing”; and (c) Article I of the Inter-American Convention for an “agreement”.</w:t>
      </w:r>
    </w:p>
    <w:p>
      <w:pPr>
        <w:pStyle w:val="Heading2"/>
      </w:pPr>
      <w:bookmarkStart w:id="900435" w:name="_Toc300000434"/>
      <w:r>
        <w:t xml:space="preserve">Article 14.D.5: Conditions and Limitations on Consent</w:t>
      </w:r>
      <w:bookmarkEnd w:id="900435"/>
    </w:p>
    <w:p>
      <w:pPr>
        <w:pStyle w:val="Normal"/>
      </w:pPr>
      <w:r>
        <w:t xml:space="preserve">1. No claim shall be submitted to arbitration under this Annex unless: (a) the claimant (for claims brought under Article 14.D.3.1(a) (Submission of a Claim to Arbitration)) and the claimant or the enterprise (for claims brought under Article 14.D.3.1(b)) first initiated a proceeding before a competent court or administrative tribunal of the respondent with respect to the measures alleged to constitute a breach referred to in Article 14.D.3;</w:t>
      </w:r>
    </w:p>
    <w:p>
      <w:pPr>
        <w:pStyle w:val="Normal"/>
      </w:pPr>
      <w:r>
        <w:t>(b) the claimant or the enterprise obtained a final decision from a court of last resort of the respondent or 30 months have elapsed from the date the proceeding in subparagraph (a) was initiated;25 (c) no more than four years have elapsed from the date on which the claimant first acquired, or should have first acquired, knowledge of the breach alleged under Article 14.D.3.1 (Submission of a Claim to Arbitration) and knowledge that the claimant (for claims brought under Article 14.D.3.1(a)) or the enterprise (for claims brought under Article</w:t>
      </w:r>
    </w:p>
    <w:p>
      <w:pPr>
        <w:pStyle w:val="Normal"/>
      </w:pPr>
      <w:r>
        <w:t>14.D.3.1(b)) has incurred loss or damage; (d) the claimant consents in writing to arbitration in accordance with the procedures set out in this Agreement; and (e) the notice of arbitration is accompanied: (i) for claims submitted to arbitration under Article 14.D.3.1(a) (Submission of a Claim to Arbitration), by the claimant’s written waiver, and (ii) for claims submitted to arbitration under Article 14.D.3.1(b) (Submission of a Claim to Arbitration), by the claimant’s and the enterprise’s written waivers, of any right to initiate or continue before any court or administrative tribunal under the law of an Annex Party, or any other dispute settlement procedures, any proceeding with respect to any measure alleged to constitute a breach referred to in Article 14.D.3 (Submission of a Claim to Arbitration). 25 The provisions in subparagraphs (a) and (b) do not apply to the extent recourse to domestic remedies was obviously futile. 14-D-5 2.</w:t>
      </w:r>
    </w:p>
    <w:p>
      <w:pPr>
        <w:pStyle w:val="Normal"/>
      </w:pPr>
      <w:r>
        <w:t xml:space="preserve">Notwithstanding paragraph 1(e), the claimant (for claims brought under Article 14.D.3.1(a) (Submission of a Claim to Arbitration)) and the claimant or the enterprise (for claims brought under Article 14.D.3.1(b)) may initiate or continue an action that seeks interim injunctive relief and does not involve the payment of monetary damages before a judicial or administrative tribunal of the respondent, provided that the action is brought for the sole purpose of preserving the claimant’s or the enterprise’s rights and interests during the pendency of the arbitration.</w:t>
      </w:r>
    </w:p>
    <w:p>
      <w:pPr>
        <w:pStyle w:val="Heading2"/>
      </w:pPr>
      <w:bookmarkStart w:id="900436" w:name="_Toc300000435"/>
      <w:r>
        <w:t xml:space="preserve">Article 14.D.6: Selection of Arbitrators</w:t>
      </w:r>
      <w:bookmarkEnd w:id="900436"/>
    </w:p>
    <w:p>
      <w:pPr>
        <w:pStyle w:val="Normal"/>
      </w:pPr>
      <w:r>
        <w:t xml:space="preserve">1. Unless the disputing parties agree otherwise, the tribunal shall comprise three arbitrators, one arbitrator appointed by each of the disputing parties and the third, who shall be the presiding arbitrator, appointed by agreement of the disputing parties. 2. The Secretary-General shall serve as appointing authority for an arbitration under this Annex. 3.</w:t>
      </w:r>
    </w:p>
    <w:p>
      <w:pPr>
        <w:pStyle w:val="Normal"/>
      </w:pPr>
      <w:r>
        <w:t>If a tribunal has not been constituted within a period of 75 days after the date that a claim is submitted to arbitration under this Annex, the Secretary-General, on the request of a disputing party, shall appoint, in his or her discretion, the arbitrator or arbitrators not yet appointed. The Secretary-General shall not appoint a national of either the respondent or the Party of the claimant as the presiding arbitrator unless the disputing parties agree otherwise. 4.</w:t>
      </w:r>
    </w:p>
    <w:p>
      <w:pPr>
        <w:pStyle w:val="Normal"/>
      </w:pPr>
      <w:r>
        <w:t>For the purposes of Article 39 of the ICSID Convention and Article 7 of Schedule C to the ICSID Additional Facility Rules, and without prejudice to an objection to an arbitrator on a ground other than nationality: (a) the respondent agrees to the appointment of each individual member of a tribunal established under the ICSID Convention or the ICSID Additional Facility Rules; (b) a claimant referred to in Article 14.D.3.1(a) (Submission of a Claim to Arbitration) may submit a claim to arbitration under this Annex, or continue a claim, under the ICSID Convention or the ICSID Additional Facility Rules, only on condition that the claimant agrees in writing to the appointment of each individual member of the tribunal; and (c) a claimant referred to in Article 14.D.3.1(b) (Submission of a Claim to Arbitration) may submit a claim to arbitration under this Annex, or continue a claim, under the ICSID Convention or the ICSID Additional Facility Rules, only on condition that the claimant and the enterprise agree in writing to the appointment of each individual member of the tribunal. 5.</w:t>
      </w:r>
    </w:p>
    <w:p>
      <w:pPr>
        <w:pStyle w:val="Normal"/>
      </w:pPr>
      <w:r>
        <w:t xml:space="preserve">Arbitrators appointed to a tribunal for claims submitted under Article 14.D.3.1 shall: 14-D-6 (a) comply with the International Bar Association Guidelines on Conflicts of Interest in International Arbitration, including guidelines regarding direct or indirect conflicts of interest, or any supplemental guidelines or rules adopted by the Annex Parties; (b) not take instructions from any organization or government regarding the dispute; and (c) not, for the duration of the proceedings, act as counsel or as party-appointed expert or witness in any pending arbitration under the annexes to this Chapter. 6. Challenges to arbitrators shall be governed by the procedures in the UNCITRAL Arbitration Rules.</w:t>
      </w:r>
    </w:p>
    <w:p>
      <w:pPr>
        <w:pStyle w:val="Heading2"/>
      </w:pPr>
      <w:bookmarkStart w:id="900437" w:name="_Toc300000436"/>
      <w:r>
        <w:t xml:space="preserve">Article 14.D.7: Conduct of the Arbitration</w:t>
      </w:r>
      <w:bookmarkEnd w:id="900437"/>
    </w:p>
    <w:p>
      <w:pPr>
        <w:pStyle w:val="Normal"/>
      </w:pPr>
      <w:r>
        <w:t xml:space="preserve">1. The disputing parties may agree on the legal place of any arbitration under the arbitration rules applicable under Article 14.D.3.3 (Submission of a Claim to Arbitration). If the disputing parties fail to reach agreement, the tribunal shall determine the place in accordance with the applicable arbitration rules, provided that the place shall be in the territory of a State that is a party to the New York Convention. 2. The non-disputing Annex Party may make oral and written submissions to the tribunal regarding the interpretation of this Agreement. 3.</w:t>
      </w:r>
    </w:p>
    <w:p>
      <w:pPr>
        <w:pStyle w:val="Normal"/>
      </w:pPr>
      <w:r>
        <w:t>After consultation with the disputing parties, the tribunal may accept and consider written amicus curiae submissions regarding a matter of fact or law within the scope of the dispute that may assist the tribunal in evaluating the submissions and arguments of the disputing parties from a person or entity that is not a disputing party but has a significant interest in the arbitral proceedings. Each submission shall identify the author; disclose any affiliation, direct or indirect, with any disputing party; and identify any person, government, or other entity that has provided, or will provide, any financial or other assistance in preparing the submission. Each submission shall be in a language of the arbitration and comply with any page limits and deadlines set by the tribunal. The tribunal shall provide the disputing parties with an opportunity to respond to such submissions. The tribunal shall ensure that the submissions do not disrupt or unduly burden the arbitral proceedings, or unfairly prejudice any disputing party. 4.</w:t>
      </w:r>
    </w:p>
    <w:p>
      <w:pPr>
        <w:pStyle w:val="Normal"/>
      </w:pPr>
      <w:r>
        <w:t>Without prejudice to a tribunal’s authority to address other objections as a preliminary question, such as an objection that a dispute is not within the competence of the tribunal, including an objection to the tribunal’s jurisdiction, a tribunal shall address and decide as a preliminary question any objection by the respondent that, as a matter of law, a claim submitted is not a claim for which an award in favor of the claimant may be made under Article 14.D.13 (Awards) or that a claim is manifestly without legal merit. 14-D-7 (a) An objection under this paragraph shall be submitted to the tribunal as soon as possible after the tribunal is constituted, and in no event later than the date the tribunal fixes for the respondent to submit its counter-memorial or, in the case of an amendment to the notice of arbitration, the date the tribunal fixes for the respondent to submit its response to the amendment.</w:t>
      </w:r>
    </w:p>
    <w:p>
      <w:pPr>
        <w:pStyle w:val="Normal"/>
      </w:pPr>
      <w:r>
        <w:t>(b) On receipt of an objection under this paragraph, the tribunal shall suspend any proceedings on the merits, establish a schedule for considering the objection consistent with any schedule it has established for considering any other preliminary question, and issue a decision or award on the objection, stating the grounds therefor.</w:t>
      </w:r>
    </w:p>
    <w:p>
      <w:pPr>
        <w:pStyle w:val="Normal"/>
      </w:pPr>
      <w:r>
        <w:t>(c) In deciding an objection under this paragraph that a claim submitted is not a claim for which an award in favor of the claimant may be made under Article 14.D.13 (Awards), the tribunal shall assume to be true the claimant’s factual allegations in support of any claim in the notice of arbitration (or any amendment thereof) and, in disputes brought under the UNCITRAL Arbitration Rules, the statement of claim referred to in the relevant article of the UNCITRAL Arbitration Rules. The tribunal may also consider any relevant facts not in dispute. (d) The respondent does not waive any objection as to competence, including an objection to jurisdiction, or any argument on the merits merely because the respondent did or did not raise an objection under this paragraph or make use of the expedited procedure set out in paragraph 5. 5.</w:t>
      </w:r>
    </w:p>
    <w:p>
      <w:pPr>
        <w:pStyle w:val="Normal"/>
      </w:pPr>
      <w:r>
        <w:t>In the event that the respondent so requests within 45 days after the tribunal is constituted, the tribunal shall decide on an expedited basis an objection under paragraph 4 or any objection that the dispute is not within the tribunal’s competence, including an objection that the dispute is not within the tribunal’s jurisdiction. The tribunal shall suspend any proceedings on the merits and issue a decision or award on the objection, stating the grounds therefor, no later than 150 days after the date of the request. However, if a disputing party requests a hearing, the tribunal may take an additional 30 days to issue the decision or award.</w:t>
      </w:r>
    </w:p>
    <w:p>
      <w:pPr>
        <w:pStyle w:val="Normal"/>
      </w:pPr>
      <w:r>
        <w:t>Regardless of whether a hearing is requested, a tribunal may, on a showing of extraordinary cause, delay issuing its decision or award by an additional brief period, which may not exceed 30 days. 6. When the tribunal decides a respondent’s objection under paragraph 4 or 5, it may, if warranted, award to the prevailing disputing party reasonable costs and attorney’s fees incurred in submitting or opposing the objection. In determining whether such an award is warranted, the tribunal shall consider whether either the claimant’s claim or the respondent’s objection was frivolous, and shall provide the disputing parties a reasonable opportunity to comment. 7. For greater certainty, if an investor of an Annex Party submits a claim under this Annex, the investor has the burden of proving all elements of its claims, consistent with general principles of international law applicable to international arbitration. 14-D-8 8. A respondent may not assert as a defense, counterclaim, right of set-off, or for any other reason, that the claimant has received or will receive indemnification or other compensation for all or part of the alleged damages pursuant to an insurance or guarantee contract. 9.</w:t>
      </w:r>
    </w:p>
    <w:p>
      <w:pPr>
        <w:pStyle w:val="Normal"/>
      </w:pPr>
      <w:r>
        <w:t>A tribunal may order an interim measure of protection to preserve the rights of a disputing party, or to ensure that the tribunal’s jurisdiction is made fully effective, including an order to preserve evidence in the possession or control of a disputing party or to protect the tribunal’s jurisdiction. A tribunal may not order attachment or enjoin the application of a measure alleged to constitute a breach referred to in Article 14.D.3 (Submission of a Claim to Arbitration). For the purposes of this paragraph, an order includes a recommendation. 10. The tribunal and the disputing parties shall endeavor to conduct the arbitration in an expeditious and cost-effective manner. 11.</w:t>
      </w:r>
    </w:p>
    <w:p>
      <w:pPr>
        <w:pStyle w:val="Normal"/>
      </w:pPr>
      <w:r>
        <w:t>Following the submission of a claim to arbitration under this Annex, if the disputing parties fail to take any steps in the proceedings for more than 150 days, or such period as they may agree with the approval of the tribunal, the tribunal shall notify the disputing parties that they shall be deemed to have discontinued the proceedings if the parties fail to take any steps within 30 days after the notice is received. If the parties fail to take any steps within that time period, the tribunal shall take note of the discontinuance in an order. If a tribunal has not yet been constituted, the Secretary-General shall assume these responsibilities. 12.</w:t>
      </w:r>
    </w:p>
    <w:p>
      <w:pPr>
        <w:pStyle w:val="Normal"/>
      </w:pPr>
      <w:r>
        <w:t xml:space="preserve">In any arbitration conducted under this Annex, at the request of a disputing party, a tribunal shall, before issuing a decision or award on liability, transmit its proposed decision or award to the disputing parties. Within 60 days after the tribunal transmits its proposed decision or award, the disputing parties may submit written comments to the tribunal concerning any aspect of its proposed decision or award. The tribunal shall consider any comments and issue its decision or award no later than 45 days after the expiration of the 60 day comment period.</w:t>
      </w:r>
    </w:p>
    <w:p>
      <w:pPr>
        <w:pStyle w:val="Heading2"/>
      </w:pPr>
      <w:bookmarkStart w:id="900438" w:name="_Toc300000437"/>
      <w:r>
        <w:t xml:space="preserve">Article 14.D.8: Transparency of Arbitral Proceedings</w:t>
      </w:r>
      <w:bookmarkEnd w:id="900438"/>
    </w:p>
    <w:p>
      <w:pPr>
        <w:pStyle w:val="Normal"/>
      </w:pPr>
      <w:r>
        <w:t xml:space="preserve">1. Subject to paragraphs 2 and 4, the respondent shall, after receiving the following documents, promptly transmit them to the non-disputing Annex Party and make them available to the public: (a) the notice of intent; (b) the notice of arbitration; (c) pleadings, memorials, and briefs submitted to the tribunal by a disputing party and any written submissions submitted pursuant to Article 14.D.7.2 and 14.D.7.3 (Conduct of the Arbitration), and Article 14.D.12 (Consolidation);</w:t>
      </w:r>
    </w:p>
    <w:p>
      <w:pPr>
        <w:pStyle w:val="Normal"/>
      </w:pPr>
      <w:r>
        <w:t>(d) minutes or transcripts of hearings of the tribunal, if available; and (e) orders, awards, and decisions of the tribunal. 14-D-9 2. The tribunal shall conduct hearings open to the public and shall determine, in consultation with the disputing parties, the appropriate logistical arrangements.</w:t>
      </w:r>
    </w:p>
    <w:p>
      <w:pPr>
        <w:pStyle w:val="Normal"/>
      </w:pPr>
      <w:r>
        <w:t>If a disputing party intends to use information in a hearing that is designated as protected information or otherwise subject to paragraph 3 it shall so advise the tribunal. The tribunal shall make appropriate arrangements to protect such information from disclosure which may include closing the hearing for the duration of the discussion of that information. 3. Nothing in this Annex, including paragraph 4(d), requires a respondent to make available to the public or otherwise disclose during or after the arbitral proceedings, including the hearing, protected information, or to furnish or allow access to information that it may withhold in accordance with Article 32.2 (Essential Security) or Article 32.5 (Disclosure of Information).26 4. Any protected information that is submitted to the tribunal shall be protected from disclosure in accordance with the following procedures: (a) subject to subparagraph (d), neither the disputing parties nor the tribunal shall disclose to the non-disputing Annex Party or to the public any protected information if the disputing party that provided the information clearly designates it in accordance with subparagraph (b);</w:t>
      </w:r>
    </w:p>
    <w:p>
      <w:pPr>
        <w:pStyle w:val="Normal"/>
      </w:pPr>
      <w:r>
        <w:t>(b) any disputing party claiming that certain information constitutes protected information shall clearly designate the information according to any schedule set by the tribunal; (c) a disputing party shall, according to any schedule set by the tribunal, submit a redacted version of the document that does not contain the</w:t>
      </w:r>
    </w:p>
    <w:p>
      <w:pPr>
        <w:pStyle w:val="Normal"/>
      </w:pPr>
      <w:r>
        <w:t>protected information. Only the redacted version shall be disclosed in accordance with paragraph 1; and (d) the tribunal, subject to paragraph 3, shall decide any objection regarding the designation of information claimed to be protected information. If the tribunal determines that the information was not properly designated, the disputing party that submitted the information may: (i) withdraw all or part of its submission containing that information, or (ii) agree to resubmit complete and redacted documents with corrected designations in accordance with the tribunal’s determination and subparagraph (c). In either case, the other disputing party shall, whenever necessary, resubmit complete and redacted documents which either remove the information withdrawn 26 For greater certainty, when a respondent chooses to disclose to the tribunal information that may be withheld in accordance with Article 32.2 (Essential Security) or Article 32.5 (Disclosure of Information), the respondent may still withhold that information from disclosure to the public.</w:t>
      </w:r>
    </w:p>
    <w:p>
      <w:pPr>
        <w:pStyle w:val="Normal"/>
      </w:pPr>
      <w:r>
        <w:t>14-D-10 under subparagraph (d)(i) by the disputing party that first submitted the information or redesignate the information consistent with the designation under subparagraph (d)(ii) of the disputing party that first submitted the information. 5. Nothing in this Annex requires a respondent to withhold from the public information required to be disclosed by its laws.</w:t>
      </w:r>
    </w:p>
    <w:p>
      <w:pPr>
        <w:pStyle w:val="Normal"/>
      </w:pPr>
      <w:r>
        <w:t xml:space="preserve">The respondent should endeavor to apply those laws in a manner sensitive to protecting from disclosure information that has been designated as protected information.</w:t>
      </w:r>
    </w:p>
    <w:p>
      <w:pPr>
        <w:pStyle w:val="Heading2"/>
      </w:pPr>
      <w:bookmarkStart w:id="900439" w:name="_Toc300000438"/>
      <w:r>
        <w:t xml:space="preserve">Article 14.D.9: Governing Law</w:t>
      </w:r>
      <w:bookmarkEnd w:id="900439"/>
    </w:p>
    <w:p>
      <w:pPr>
        <w:pStyle w:val="Normal"/>
      </w:pPr>
      <w:r>
        <w:t xml:space="preserve">1. Subject to paragraph 2, when a claim is submitted under Article 14.D.3.1 (Submission of a Claim to Arbitration), the tribunal shall decide the issues in dispute in accordance with this Agreement and applicable rules of international law. 2. A decision of the Commission on the interpretation of a provision of this Agreement under Article 30.2 (Functions of the Commission) shall be binding on a tribunal, and any decision or award issued by a tribunal must be consistent with that decision.</w:t>
      </w:r>
    </w:p>
    <w:p>
      <w:pPr>
        <w:pStyle w:val="Heading2"/>
      </w:pPr>
      <w:bookmarkStart w:id="900440" w:name="_Toc300000439"/>
      <w:r>
        <w:t xml:space="preserve">Article 14.D.10: Interpretation of Annexes</w:t>
      </w:r>
      <w:bookmarkEnd w:id="900440"/>
    </w:p>
    <w:p>
      <w:pPr>
        <w:pStyle w:val="Normal"/>
      </w:pPr>
      <w:r>
        <w:t xml:space="preserve">1. If a respondent asserts as a defense that the measure alleged to be a breach is within the scope of a non-conforming measure set out in Annex I or Annex II, the tribunal shall, on request of the respondent, request the interpretation of the Commission on the issue.</w:t>
      </w:r>
    </w:p>
    <w:p>
      <w:pPr>
        <w:pStyle w:val="Normal"/>
      </w:pPr>
      <w:r>
        <w:t>The Commission shall submit in writing any decision on its interpretation under Article 30.2 (Functions of the Commission) to the tribunal within 90 days of delivery of the request. 2. A decision issued by the Commission under paragraph 1 shall be binding on the tribunal, and any decision or award issued by the tribunal must be consistent with that decision. If the Commission fails to issue such a decision within 90 days, the tribunal shall decide the issue.</w:t>
      </w:r>
    </w:p>
    <w:p>
      <w:pPr>
        <w:pStyle w:val="Heading2"/>
      </w:pPr>
      <w:bookmarkStart w:id="900441" w:name="_Toc300000440"/>
      <w:r>
        <w:t xml:space="preserve">Article 14.D.11: Expert Reports</w:t>
      </w:r>
      <w:bookmarkEnd w:id="900441"/>
    </w:p>
    <w:p>
      <w:pPr>
        <w:pStyle w:val="Normal"/>
      </w:pPr>
      <w:r>
        <w:t xml:space="preserve">Without prejudice to the appointment of other kinds of experts when authorized by the applicable arbitration rules, a tribunal, on request of a disputing party or, unless the disputing parties disapprove, on its own initiative, may appoint one or more experts to report to it in writing on any factual issue concerning scientific matters raised by a disputing party in a proceeding, subject to any terms and conditions that the disputing parties may agree. 14-D-11</w:t>
      </w:r>
    </w:p>
    <w:p>
      <w:pPr>
        <w:pStyle w:val="Heading2"/>
      </w:pPr>
      <w:bookmarkStart w:id="900442" w:name="_Toc300000441"/>
      <w:r>
        <w:t xml:space="preserve">Article 14.D.12: Consolidation</w:t>
      </w:r>
      <w:bookmarkEnd w:id="900442"/>
    </w:p>
    <w:p>
      <w:pPr>
        <w:pStyle w:val="Normal"/>
      </w:pPr>
      <w:r>
        <w:t xml:space="preserve">1. If two or more claims have been submitted separately to arbitration under Article 14.D.3.1 (Submission of a Claim to Arbitration) and the claims have a question of law or fact in common and arise out of the same events or circumstances, any disputing party may seek a consolidation order in accordance with the agreement of all the disputing parties sought to be covered by the order or the terms of paragraphs 2 through 10. 2.</w:t>
      </w:r>
    </w:p>
    <w:p>
      <w:pPr>
        <w:pStyle w:val="Normal"/>
      </w:pPr>
      <w:r>
        <w:t>A disputing party that seeks a consolidation order under this Article shall deliver, in writing, a request to the Secretary-General and to all the disputing parties sought to be covered by the order and shall specify in the request: (a) the names and addresses of all the disputing parties sought to be covered by the order; (b) the nature of the order sought; and (c) the grounds on which the order is sought. 3.</w:t>
      </w:r>
    </w:p>
    <w:p>
      <w:pPr>
        <w:pStyle w:val="Normal"/>
      </w:pPr>
      <w:r>
        <w:t>Unless the Secretary-General finds within a period of 30 days after the date of receiving a request under paragraph 2 that the request is manifestly unfounded, a tribunal shall be established under this Article. 4. Unless all the disputing parties sought to be covered by the order agree otherwise, a tribunal established under this Article shall comprise three arbitrators: (a) one arbitrator appointed by agreement of the claimants; (b) one arbitrator appointed by the respondent; and (c) the presiding arbitrator appointed by the Secretary-General, provided that the presiding arbitrator is not a national of the respondent or of the Party of the claimants. 5. If, within a period of 60 days after the date when the Secretary-General receives a request made under paragraph 2, the respondent fails or the claimants fail to appoint an arbitrator in accordance with paragraph 4, the Secretary-General, on request of any disputing party sought to be covered by the order, shall appoint, in his or her discretion, the arbitrator or arbitrators not yet appointed. 6.</w:t>
      </w:r>
    </w:p>
    <w:p>
      <w:pPr>
        <w:pStyle w:val="Normal"/>
      </w:pPr>
      <w:r>
        <w:t>If a tribunal established under this Article is satisfied that two or more claims that have been submitted to arbitration under Article 14.D.3.1 (Submission of a Claim to Arbitration) have a question of law or fact in common, and arise out of the same events or circumstances, the tribunal may, in the interest of fair and efficient resolution of the claims, and after hearing the disputing parties, by order: 14-D-12 (a) assume jurisdiction over, and hear and determine together, all or part of the claims; (b) assume jurisdiction over, and hear and determine one or more of the claims, the determination of which it believes would assist in the resolution of the others; or (c) instruct a tribunal previously established under Article 14.D.6 (Selection of Arbitrators) to assume jurisdiction over, and hear and determine together, all or part of the claims, provided that: (i) that tribunal, on request of a claimant that was not previously a disputing party before that tribunal, shall be reconstituted with its original members, except that the arbitrator for the claimants shall be appointed pursuant to paragraphs 4(a) and 5, and (ii) that tribunal shall decide whether a prior hearing shall be repeated. 7.</w:t>
      </w:r>
    </w:p>
    <w:p>
      <w:pPr>
        <w:pStyle w:val="Normal"/>
      </w:pPr>
      <w:r>
        <w:t>If a tribunal has been established under this Article, a claimant that has submitted a claim to arbitration under Article 14.D.3.1 (Submission of a Claim to Arbitration) and that has not been named in a request made under paragraph 2 may make a written request to the tribunal that it be included in any order made under paragraph 6. The request shall specify: (a) the name and address of the claimant; (b) the nature of the order sought; and (c) the grounds on which the order is sought. The claimant shall deliver a copy of its request to the Secretary-General. 8. A tribunal established under this Article shall conduct its proceedings in accordance with the UNCITRAL Arbitration Rules, except as modified by this Annex. 9. A tribunal established under Article 14.D.6 (Selection of Arbitrators) shall not have jurisdiction to decide a claim, or a part of a claim, over which a tribunal established or instructed under this Article has assumed jurisdiction. 10.</w:t>
      </w:r>
    </w:p>
    <w:p>
      <w:pPr>
        <w:pStyle w:val="Normal"/>
      </w:pPr>
      <w:r>
        <w:t xml:space="preserve">On the application of a disputing party, a tribunal established under this Article, pending its decision under paragraph 6, may order that the proceedings of a tribunal established under Article 14.D.6 (Selection of Arbitrators) be stayed, unless the latter tribunal has already adjourned its proceedings.</w:t>
      </w:r>
    </w:p>
    <w:p>
      <w:pPr>
        <w:pStyle w:val="Heading2"/>
      </w:pPr>
      <w:bookmarkStart w:id="900443" w:name="_Toc300000442"/>
      <w:r>
        <w:t xml:space="preserve">Article 14.D.13: Awards</w:t>
      </w:r>
      <w:bookmarkEnd w:id="900443"/>
    </w:p>
    <w:p>
      <w:pPr>
        <w:pStyle w:val="Normal"/>
      </w:pPr>
      <w:r>
        <w:t xml:space="preserve">14-D-13 1.</w:t>
      </w:r>
    </w:p>
    <w:p>
      <w:pPr>
        <w:pStyle w:val="Normal"/>
      </w:pPr>
      <w:r>
        <w:t>When a tribunal makes a final award, the tribunal may award, separately or in combination, only: (a) monetary damages and any applicable interest; and (b) restitution of property, in which case the award shall provide that the respondent may pay monetary damages and any applicable interest in lieu of restitution.27 2. For greater certainty, if an investor of an Annex Party submits a claim to arbitration under Article 14.D.3.1 (Submission of a Claim to Arbitration), it may recover only for loss or damage that is established on the basis of satisfactory evidence and that is not inherently speculative. 3. For greater certainty, if an investor of an Annex Party submits a claim to arbitration under Article 14.D.3.1(a) (Submission of a Claim to Arbitration), it may recover only for loss or damage incurred in its capacity as an investor of an Annex Party. 4. A tribunal may also award costs and attorney’s fees incurred by the disputing parties in connection with the arbitral proceedings, and shall determine how and by whom those costs and attorney’s fees shall be paid, in accordance with this Annex and the applicable arbitration rules. 5.</w:t>
      </w:r>
    </w:p>
    <w:p>
      <w:pPr>
        <w:pStyle w:val="Normal"/>
      </w:pPr>
      <w:r>
        <w:t>Subject to paragraph 1, if a claim is submitted to arbitration under Article 14.D.3.1(b) (Submission of a Claim to Arbitration) and an award is made in favor of the enterprise: (a) an award of restitution of property shall provide that restitution be made to the enterprise; (b) an award of monetary damages and any applicable interest shall provide that the sum be paid to the enterprise; and (c) the award shall provide that it is made without prejudice to any right that any person may have under applicable domestic law with respect to the relief provided in the award. 6. A tribunal shall not award punitive damages. 7. An award made by a tribunal has no binding force except between the disputing parties and in respect of the particular case. 8. Subject to paragraph 9 and the applicable review procedure for an interim award, a disputing party shall abide by and comply with an award without delay. 9. A disputing party shall not seek enforcement of a final award until:</w:t>
      </w:r>
    </w:p>
    <w:p>
      <w:pPr>
        <w:pStyle w:val="Normal"/>
      </w:pPr>
      <w:r>
        <w:t>27 For greater certainty, in the final award the tribunal may not order the respondent to take or not to take other actions, including the amendment, repeal, adoption, or implementation of a law or regulation.</w:t>
      </w:r>
    </w:p>
    <w:p>
      <w:pPr>
        <w:pStyle w:val="Normal"/>
      </w:pPr>
      <w:r>
        <w:t>14-D-14 (a) in the case of a final award made under the ICSID Convention: (i) 120 days have elapsed from the date the award was rendered and no disputing party has requested revision or annulment of the award, or (ii) revision or annulment proceedings have been completed; and (b) in the case of a final award under the ICSID Additional Facility Rules, the UNCITRAL Arbitration Rules, or the rules selected pursuant to Article 14.D.3.3(d) (Submission of a Claim to Arbitration): (i) 90 days have elapsed from the date the award was rendered and no disputing party has commenced a proceeding to revise, set aside or annul the award, or (ii) a court has dismissed or allowed an application to revise, set aside or annul the award and there is no further appeal. 10. Each Annex Party shall provide for the enforcement of an award in its territory. 11.</w:t>
      </w:r>
    </w:p>
    <w:p>
      <w:pPr>
        <w:pStyle w:val="Normal"/>
      </w:pPr>
      <w:r>
        <w:t>If the respondent fails to abide by or comply with a final award, on delivery of a request by the Party of the claimant, a panel shall be established under Article 31.6 (Establishment of a Panel). The requesting Party may seek in those proceedings: (a) a determination that the failure to abide by or comply with the final award is inconsistent with the obligations of this Agreement; and (b) in accordance with Article 31.17 (Panel Report), a recommendation that the respondent abide by or comply with the final award. 12.</w:t>
      </w:r>
    </w:p>
    <w:p>
      <w:pPr>
        <w:pStyle w:val="Normal"/>
      </w:pPr>
      <w:r>
        <w:t xml:space="preserve">A disputing party may seek enforcement of an arbitration award under the ICSID Convention, the New York Convention, or the Inter-American Convention regardless of whether proceedings have been taken under paragraph 11. 13. A claim that is submitted to arbitration under this Annex shall be considered to arise out of a commercial relationship or transaction for the purposes of Article I of the New York Convention and Article I of the Inter-American Convention.</w:t>
      </w:r>
    </w:p>
    <w:p>
      <w:pPr>
        <w:pStyle w:val="Heading2"/>
      </w:pPr>
      <w:bookmarkStart w:id="900444" w:name="_Toc300000443"/>
      <w:r>
        <w:t xml:space="preserve">Article 14.D.14: Service of Documents</w:t>
      </w:r>
      <w:bookmarkEnd w:id="900444"/>
    </w:p>
    <w:p>
      <w:pPr>
        <w:pStyle w:val="Normal"/>
      </w:pPr>
      <w:r>
        <w:t xml:space="preserve">Delivery of notice and other documents to an Annex Party shall be made to the place named for that Annex Party in Appendix 1 (Service of Documents on an Annex Party). An Annex Party shall promptly make publicly available and notify the other Annex Party of any change to the place referred to in that Appendix. 14-D-15</w:t>
      </w:r>
    </w:p>
    <w:p>
      <w:pPr>
        <w:pStyle w:val="Heading2"/>
      </w:pPr>
      <w:bookmarkStart w:id="900445" w:name="_Toc300000444"/>
      <w:r>
        <w:t xml:space="preserve">APPENDIX 1 SERVICE OF DOCUMENTS ON AN ANNEX PARTY</w:t>
      </w:r>
      <w:bookmarkEnd w:id="900445"/>
    </w:p>
    <w:p>
      <w:pPr>
        <w:pStyle w:val="Normal"/>
      </w:pPr>
      <w:r>
        <w:t xml:space="preserve">Mexico Notices and other documents in disputes under this Annex shall be served on Mexico by delivery to: Dirección General de Consultoría Jurídica de Comercio Internacional Secretaría de Economía Pachuca #189, piso 19 Col.</w:t>
      </w:r>
    </w:p>
    <w:p>
      <w:pPr>
        <w:pStyle w:val="Normal"/>
      </w:pPr>
      <w:r>
        <w:t xml:space="preserve">Condesa Demarcación Territorial Cuauhtémoc Ciudad de México C.P. 06140 United States Notices and other documents in disputes under this Annex shall be served on the United States by delivery to: Executive Director (L/H-EX) Office of the Legal Adviser &amp; Bureau of Legislative Affairs U.S. Department of State 600 19th Street, NW Washington, D.C. 20552 14-D-1-1</w:t>
      </w:r>
    </w:p>
    <w:p>
      <w:pPr>
        <w:pStyle w:val="Heading2"/>
      </w:pPr>
      <w:bookmarkStart w:id="900446" w:name="_Toc300000445"/>
      <w:r>
        <w:t xml:space="preserve">APPENDIX 2 PUBLIC DEBT</w:t>
      </w:r>
      <w:bookmarkEnd w:id="900446"/>
    </w:p>
    <w:p>
      <w:pPr>
        <w:pStyle w:val="Normal"/>
      </w:pPr>
      <w:r>
        <w:t xml:space="preserve">1.</w:t>
      </w:r>
    </w:p>
    <w:p>
      <w:pPr>
        <w:pStyle w:val="Normal"/>
      </w:pPr>
      <w:r>
        <w:t>For greater certainty, no award shall be made in favor of a claimant for a claim under Article 14.D.3.1 (Submission of a Claim to Arbitration) with respect to default or non-payment of debt issued by a Party28 unless the claimant meets its burden of proving that such default or non-payment constitutes a breach of a relevant obligation in the Chapter. 2. No claim that a restructuring of debt issued by a Party, standing alone, breaches an obligation in this Chapter shall be submitted to arbitration under Article 14.D.3.1 (Submission of a Claim to Arbitration), provided that the restructuring is effected as provided for under the debt instrument’s terms, including the debt instrument’s governing law. 28 For purposes of this Annex, “debt issued by a Party” includes, in the case of Mexico, “public debt” of Mexico as defined in Article 1 of the Federal Law on Public Debt (Ley Federal de Deuda Pública).</w:t>
      </w:r>
    </w:p>
    <w:p>
      <w:pPr>
        <w:pStyle w:val="Normal"/>
      </w:pPr>
      <w:r>
        <w:t xml:space="preserve">14-D-2-1</w:t>
      </w:r>
    </w:p>
    <w:p>
      <w:pPr>
        <w:pStyle w:val="Heading2"/>
      </w:pPr>
      <w:bookmarkStart w:id="900447" w:name="_Toc300000446"/>
      <w:r>
        <w:t xml:space="preserve">APPENDIX 3 SUBMISSION OF A CLAIM TO ARBITRATION</w:t>
      </w:r>
      <w:bookmarkEnd w:id="900447"/>
    </w:p>
    <w:p>
      <w:pPr>
        <w:pStyle w:val="Normal"/>
      </w:pPr>
      <w:r>
        <w:t xml:space="preserve">An investor of the United States may not submit to arbitration a claim that Mexico has breached an obligation under this Chapter either: (a) on its own behalf under Article 14.D.3.1(a) (Submission of a Claim to Arbitration); or (b) on behalf of an enterprise of Mexico that is a juridical person that the investor owns or controls directly or indirectly under Article 14.D.3.1(b) (Submission of a Claim to Arbitration), if the investor or the enterprise, respectively, has alleged that breach of an obligation under this Chapter, as distinguished from breach of other obligations under Mexican law, in proceedings before a court or administrative tribunal of Mexico. 14-D-3-1</w:t>
      </w:r>
    </w:p>
    <w:p>
      <w:pPr>
        <w:pStyle w:val="Heading2"/>
      </w:pPr>
      <w:bookmarkStart w:id="900448" w:name="_Toc300000447"/>
      <w:r>
        <w:t xml:space="preserve">ANNEX 14-E MEXICO-UNITED STATES INVESTMENT DISPUTES RELATED TO COVERED GOVERNMENT CONTRACTS</w:t>
      </w:r>
      <w:bookmarkEnd w:id="900448"/>
    </w:p>
    <w:p>
      <w:pPr>
        <w:pStyle w:val="Normal"/>
      </w:pPr>
      <w:r>
        <w:t xml:space="preserve">1. Annex 14-D (Mexico-United States Investment Disputes) applies as modified by this Annex to the settlement of a qualifying investment dispute under this Chapter in the circumstances set out in paragraph 2.29 2. In the event that a disputing party considers that a qualifying investment dispute cannot be settled by consultation and negotiation: (a) the claimant, on its own behalf, may submit to arbitration under Annex 14-D (Mexico-United States Investment Disputes) a claim: (i) that the respondent has breached any obligation under this Chapter,30 provided that: (A) the claimant is:</w:t>
      </w:r>
    </w:p>
    <w:p>
      <w:pPr>
        <w:pStyle w:val="Normal"/>
      </w:pPr>
      <w:r>
        <w:t>(1) a party to a covered government contract, or (2) engaged in activities in the same covered sector in the territory of the respondent as an enterprise of the respondent that the claimant owns or controls directly or indirectly and that is a party to a covered government contract, and (B) the respondent is a party to another international trade or investment agreement that permits investors to initiate dispute settlement procedures to resolve an investment dispute with a government, and (ii) that the claimant has incurred loss or damage by reason of, or arising out of, that breach; 29 For greater certainty, Annex 14-D (Mexico-United States Investment Disputes) includes its appendices.</w:t>
      </w:r>
    </w:p>
    <w:p>
      <w:pPr>
        <w:pStyle w:val="Normal"/>
      </w:pPr>
      <w:r>
        <w:t>30 For the purposes of this paragraph: (i) the “treatment” referred to in Article 14.5 (Most-Favored-Nation Treatment) excludes provisions in other international trade or investment agreements that establish international dispute resolution procedures or impose substantive obligations;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 14-E-1 (b) the claimant, on behalf of an enterprise of the respondent that is a juridical person that the claimant owns or controls directly or indirectly, may submit to arbitration under Annex 14-D (Mexico-United States Investment Disputes) a claim: (i) that the respondent has breached any obligation under this Chapter, provided that: (A) the enterprise is:</w:t>
      </w:r>
    </w:p>
    <w:p>
      <w:pPr>
        <w:pStyle w:val="Normal"/>
      </w:pPr>
      <w:r>
        <w:t>(1) a party to a covered government contract, (2) engaged in activities in the same covered sector in the territory of the respondent as the claimant and the claimant is a party to a covered government contract, or (3) engaged in activities in the same covered sector in the territory of the respondent as another enterprise of the respondent that the claimant owns or controls directly or indirectly and that is a party to a covered government contract, and (B) the respondent is a party to another international trade or investment agreement that</w:t>
      </w:r>
    </w:p>
    <w:p>
      <w:pPr>
        <w:pStyle w:val="Normal"/>
      </w:pPr>
      <w:r>
        <w:t>permits investors to initiate dispute settlement procedures to resolve an investment dispute with a government, and (ii) that the enterprise has incurred loss or damage by reason of, or arising out of, that breach.31 3. For the purposes of paragraph 2, if a covered government contract is terminated in a manner inconsistent with an obligation under this Chapter, the claimant or enterprise that was previously a party to the contract shall be deemed to remain a party for the duration of the contract, as if it had not been terminated. 4. No claim shall be submitted to arbitration under paragraph 2 if:</w:t>
      </w:r>
    </w:p>
    <w:p>
      <w:pPr>
        <w:pStyle w:val="Normal"/>
      </w:pPr>
      <w:r>
        <w:t>(a) less than six months have elapsed from the events giving rise to the claim; and (b) more than three years have elapsed from the date on which the claimant first acquired, or should have first acquired, knowledge of the breach alleged under paragraph 2 and knowledge that the claimant (for claims brought under paragraph 31 For greater certainty, in order for a claim to be submitted to arbitration under subparagraph (b), an investor of the Party of the claimant must own or control the enterprise on the date of the alleged breach and the date on which the claim is submitted to arbitration. 14-E-2 2(a)) or the enterprise (for claims brought under paragraph 2(b)) has incurred loss or damage.32 5. For greater certainty, the Annex Parties may agree to modify or eliminate this Annex. 6.</w:t>
      </w:r>
    </w:p>
    <w:p>
      <w:pPr>
        <w:pStyle w:val="Normal"/>
      </w:pPr>
      <w:r>
        <w:t>For the purposes of this Annex: (a) “covered government contract” means a written agreement between a national authority of an Annex Party and a covered investment or investor of the other Annex Party, on which the covered investment or investor relies in establishing or acquiring a covered investment other than the written agreement itself, that grants rights to the covered investment or investor in a covered sector; (b) “covered sector” means: (i) activities with respect to oil and natural gas that a national authority of an Annex Party controls, such as exploration, extraction, refining, transportation, distribution, or sale, (ii) the supply of power generation services to the public on behalf of an Annex Party, (iii) the supply of telecommunications services to the public on behalf of an Annex Party, (iv) the supply of transportation services to the public on behalf of an Annex Party, or (v) the ownership or management of roads, railways, bridges, or canals that are not for the exclusive or predominant use and benefit of the government of an Annex Party;</w:t>
      </w:r>
    </w:p>
    <w:p>
      <w:pPr>
        <w:pStyle w:val="Normal"/>
      </w:pPr>
      <w:r>
        <w:t>(c) “national authority” means an authority at the central level of government;33 and (d) “written agreement” means an agreement in writing, negotiated, and executed by two or more parties, whether in a single instrument or in multiple instruments.34 32 For greater certainty, Article 14.D.5.1(a)-(c) does not apply to claims under paragraph 2.</w:t>
      </w:r>
    </w:p>
    <w:p>
      <w:pPr>
        <w:pStyle w:val="Normal"/>
      </w:pPr>
      <w:r>
        <w:t>33 For greater certainty, an authority at the central level of government includes any person, including a state enterprise or another body, when it exercises governmental authority delegated to it by an authority at the central level of government. 34 For greater certainty, (a) a unilateral act of an administrative or judicial authority, such as a permit, license, certificate, approval, or similar instrument issued by an Annex Party in its regulatory capacity, or a subsidy or grant, or a decree, order or judgment, standing alone; and (b) an administrative or judicial consent decree or order, shall not be considered a written agreement. 14-E-3</w:t>
      </w:r>
    </w:p>
    <w:p>
      <w:pPr>
        <w:pStyle w:val="Heading1"/>
      </w:pPr>
      <w:bookmarkStart w:id="900449" w:name="_Toc300000448"/>
      <w:r>
        <w:t>CHAPTER 15 CROSS-BORDER TRADE IN SERVICES</w:t>
      </w:r>
      <w:bookmarkEnd w:id="900449"/>
    </w:p>
    <w:p>
      <w:pPr>
        <w:pStyle w:val="Heading2"/>
      </w:pPr>
      <w:bookmarkStart w:id="900450" w:name="_Toc300000449"/>
      <w:r>
        <w:t xml:space="preserve">Article 15.1: Definitions</w:t>
      </w:r>
      <w:bookmarkEnd w:id="900450"/>
    </w:p>
    <w:p>
      <w:pPr>
        <w:pStyle w:val="Normal"/>
      </w:pPr>
      <w:r>
        <w:t xml:space="preserve">For the purposes of this Chapter: cross-border trade in services or cross-border supply of services means the supply of a service: (a) from the territory of a Party into the territory of another Party;</w:t>
      </w:r>
    </w:p>
    <w:p>
      <w:pPr>
        <w:pStyle w:val="Normal"/>
      </w:pPr>
      <w:r>
        <w:t>(b) in the territory of a Party by a person of that Party to a person of another Party; or (c) by a national of a Party in the territory of another Party, but does not include the supply of a service in the territory of a Party by a covered investment; enterprise means an enterprise as defined in Article 1.4 (General Definitions), or a branch of an enterprise; professional service means a service, the supply of which requires specialized post-secondary education, or equivalent training or experience, and for which the right to practice is granted or restricted by a Party, but does not include a service provided by a tradesperson, or a vessel or aircraft crew member; service supplied in the exercise of governmental authority means, for a Party, a service that is supplied neither on a commercial basis nor in competition with one or more service suppliers; service supplier of another Party means a person of a Party that seeks to supply or supplies a service;</w:t>
      </w:r>
    </w:p>
    <w:p>
      <w:pPr>
        <w:pStyle w:val="Normal"/>
      </w:pPr>
      <w:r>
        <w:t>and specialty air service means a specialized commercial operation using an aircraft whose primary purpose is not the transportation of goods or passengers, such as aerial fire-fighting, flight training, sightseeing, spraying, surveying, mapping, photography, parachute jumping, glider towing, and</w:t>
      </w:r>
    </w:p>
    <w:p>
      <w:pPr>
        <w:pStyle w:val="Normal"/>
      </w:pPr>
      <w:r>
        <w:t>helicopter-lift for logging and construction, and other airborne agricultural, industrial, and inspection services.</w:t>
      </w:r>
    </w:p>
    <w:p>
      <w:pPr>
        <w:pStyle w:val="Heading2"/>
      </w:pPr>
      <w:bookmarkStart w:id="900451" w:name="_Toc300000450"/>
      <w:r>
        <w:t xml:space="preserve">Article 15.2: Scope</w:t>
      </w:r>
      <w:bookmarkEnd w:id="900451"/>
    </w:p>
    <w:p>
      <w:pPr>
        <w:pStyle w:val="Normal"/>
      </w:pPr>
      <w:r>
        <w:t xml:space="preserve">1. This Chapter applies to measures adopted or maintained by a Party relating to cross- border trade in services by a service supplier of another Party, including a measure relating to: (a) the production, distribution, marketing, sale or delivery of a service;1 (b) the purchase or use of, or payment for, a service;2 (c) the access to or use of distribution, transport, or telecommunications networks or services in connection with the supply of a service; (d) the presence in the Party’s territory of a service supplier of another Party; or (e) the provision of a bond or other form of financial security as a condition for the supply of a service. 2. In addition to paragraph 1: (a) Article 15.5 (Market Access) and Article 15.8 (Development and Administration of Measures) apply to measures adopted or maintained by a Party relating to the supply of a service in its territory by a covered investment; and (b) Annex 15-A (Delivery Services) applies to measures adopted or maintained by a Party relating to the supply of delivery services, including by a covered investment. 3.</w:t>
      </w:r>
    </w:p>
    <w:p>
      <w:pPr>
        <w:pStyle w:val="Normal"/>
      </w:pPr>
      <w:r>
        <w:t>This Chapter does not apply to: (a) a financial service as defined in Article 17.1 (Definitions), except that paragraph 2(a) applies if the financial service is supplied by a covered investment that is not a covered investment in a financial institution as defined in Article 17.1 (Definitions) in the Party’s territory; (b) government procurement; (c) a service supplied in the exercise of governmental authority; or 1 For greater certainty, subparagraph (a) includes the production, distribution, marketing, sale or delivery of a service by electronic means. 2 For greater certainty, subparagraph (b) includes the purchase or use of, or payment for, a service by electronic means. (d) a subsidy or grant provided by a Party or a state enterprise, including government- supported loans, guarantees, or insurance. 4. This Chapter does not apply to air services, including domestic and international air transportation services, whether scheduled or non-scheduled, or to related services in support of air services, other than the following:</w:t>
      </w:r>
    </w:p>
    <w:p>
      <w:pPr>
        <w:pStyle w:val="Normal"/>
      </w:pPr>
      <w:r>
        <w:t>(a) aircraft repair or maintenance services during which an aircraft is withdrawn from service, excluding so-called line maintenance; and (b) specialty air services. 5. This Chapter does not impose an obligation on a Party with respect to a national of another Party who seeks access to its employment market or who is employed on a permanent basis in its territory, and does not confer any right on that national with respect to that access or employment.</w:t>
      </w:r>
    </w:p>
    <w:p>
      <w:pPr>
        <w:pStyle w:val="Normal"/>
      </w:pPr>
      <w:r>
        <w:t>6. Annex 15-B (Committee on Transportation Services) and Annex 15-D (Programming Services) include additional provisions related to this Chapter.</w:t>
      </w:r>
    </w:p>
    <w:p>
      <w:pPr>
        <w:pStyle w:val="Heading2"/>
      </w:pPr>
      <w:bookmarkStart w:id="900452" w:name="_Toc300000451"/>
      <w:r>
        <w:t xml:space="preserve">Article 15.3: National Treatment</w:t>
      </w:r>
      <w:bookmarkEnd w:id="900452"/>
    </w:p>
    <w:p>
      <w:pPr>
        <w:pStyle w:val="Normal"/>
      </w:pPr>
      <w:r>
        <w:t xml:space="preserve">1. Each Party shall accord to services or service suppliers of another Party treatment no less favorable than that it accords, in like circumstances, to its own services and service suppliers. 2. The treatment to be accorded by a Party under paragraph 1 means, with respect to a government other than at the central level, treatment no less favorable than the most favorable treatment accorded, in like circumstances, by that government to services and service suppliers of the Party of which it forms a part. 3. For greater certainty, whether treatment referred to in paragraph 1 is accorded in “like circumstances” depends on the totality of the circumstances, including whether the relevant treatment distinguishes between services or service suppliers on the basis of legitimate public welfare objectives.</w:t>
      </w:r>
    </w:p>
    <w:p>
      <w:pPr>
        <w:pStyle w:val="Heading2"/>
      </w:pPr>
      <w:bookmarkStart w:id="900453" w:name="_Toc300000452"/>
      <w:r>
        <w:t xml:space="preserve">Article 15.4: Most-Favored-Nation Treatment</w:t>
      </w:r>
      <w:bookmarkEnd w:id="900453"/>
    </w:p>
    <w:p>
      <w:pPr>
        <w:pStyle w:val="Normal"/>
      </w:pPr>
      <w:r>
        <w:t xml:space="preserve">1. Each Party shall accord to services or service suppliers of another Party treatment no less favorable than that it accords, in like circumstances, to services and service suppliers of another Party or a non-Party. 2. The treatment to be accorded by a Party under paragraph 1 means, with respect to a government other than at the central level, treatment no less favorable than the most favorable treatment accorded, in like circumstances, by that government to services and service suppliers of another Party or a non-Party. 3. For greater certainty, whether treatment referred to in paragraph 1 is accorded in “like circumstances” depends on the totality of the circumstances, including whether the relevant treatment distinguishes between services or services suppliers on the basis of legitimate public welfare objectives.</w:t>
      </w:r>
    </w:p>
    <w:p>
      <w:pPr>
        <w:pStyle w:val="Heading2"/>
      </w:pPr>
      <w:bookmarkStart w:id="900454" w:name="_Toc300000453"/>
      <w:r>
        <w:t xml:space="preserve">Article 15.5: Market Access</w:t>
      </w:r>
      <w:bookmarkEnd w:id="900454"/>
    </w:p>
    <w:p>
      <w:pPr>
        <w:pStyle w:val="Normal"/>
      </w:pPr>
      <w:r>
        <w:t xml:space="preserve">1. No Party shall adopt or maintain, either on the basis of a regional subdivision or on the basis of its entire territory, a measure that: (a) imposes a limitation on: (i) the number of service suppliers, whether in the form of a numerical quota, monopoly, exclusive service suppliers, or the requirement of an economic needs test, (ii) the total value of service transactions or assets in the form of a numerical quota or the requirement of an economic needs test, (iii) the total number of service operations or the total quantity of service output expressed in terms of a designated numerical unit in the form of a quota or the requirement of an economic needs test,3 or (iv) the total number of natural persons that may be employed in a particular service sector or that a service supplier may employ and who are necessary for, and directly related to, the supply of a specific service in the form of a numerical quota or the requirement of an economic needs test; or (b) restricts or requires a specific type of legal entity or joint venture through which a service supplier may supply a service.</w:t>
      </w:r>
    </w:p>
    <w:p>
      <w:pPr>
        <w:pStyle w:val="Heading2"/>
      </w:pPr>
      <w:bookmarkStart w:id="900455" w:name="_Toc300000454"/>
      <w:r>
        <w:t xml:space="preserve">Article 15.6: Local Presence</w:t>
      </w:r>
      <w:bookmarkEnd w:id="900455"/>
    </w:p>
    <w:p>
      <w:pPr>
        <w:pStyle w:val="Normal"/>
      </w:pPr>
      <w:r>
        <w:t xml:space="preserve">3 Subparagraph (a)(iii) does not cover measures of a Party which limit inputs for the supply of services. No Party shall require a service supplier of another Party to establish or maintain a representative office or an enterprise, or to be resident, in its territory as a condition for the cross- border supply of a service.</w:t>
      </w:r>
    </w:p>
    <w:p>
      <w:pPr>
        <w:pStyle w:val="Heading2"/>
      </w:pPr>
      <w:bookmarkStart w:id="900456" w:name="_Toc300000455"/>
      <w:r>
        <w:t xml:space="preserve">Article 15.7: Non-Conforming Measures</w:t>
      </w:r>
      <w:bookmarkEnd w:id="900456"/>
    </w:p>
    <w:p>
      <w:pPr>
        <w:pStyle w:val="Normal"/>
      </w:pPr>
      <w:r>
        <w:t xml:space="preserve">1. Article 15.3 (National Treatment), Article 15.4 (Most-Favored-Nation Treatment), Article 15.5 (Market Access), and Article 15.6 (Local Presence) do not apply to: (a) an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immediately before the amendment, with Article 15.3 (National Treatment), Article 15.4 (Most-Favored-Nation Treatment), Article 15.5 (Market Access), or Article 15.6 (Local Presence). 2. Article 15.3 (National Treatment), Article 15.4 (Most-Favored-Nation Treatment), Article 15.5 (Market Access), and Article 15.6 (Local Presence) do not apply to a measure that a Party adopts or maintains with respect to sectors, sub-sectors or activities, as set out by that Party in its Schedule to Annex II. 3.</w:t>
      </w:r>
    </w:p>
    <w:p>
      <w:pPr>
        <w:pStyle w:val="Normal"/>
      </w:pPr>
      <w:r>
        <w:t>If a Party considers that a non-conforming measure applied by a regional level of government of another Party, as referred to in sub-paragraph 1(a)(ii), creates a material impediment to the cross-border supply of services in relation to the former Party, it may request consultations with regard to that measure. These Parties shall enter into consultations with a view to exchanging information on the operation of the measure and to considering whether further steps are necessary and appropriate. 4. For greater certainty, a Party may request consultations with another Party regarding non conforming measures applied by the central level of government, as referred to in subparagraph 1(a)(i).</w:t>
      </w:r>
    </w:p>
    <w:p>
      <w:pPr>
        <w:pStyle w:val="Heading2"/>
      </w:pPr>
      <w:bookmarkStart w:id="900457" w:name="_Toc300000456"/>
      <w:r>
        <w:t xml:space="preserve">Article 15.8: Development and Administration of Measures</w:t>
      </w:r>
      <w:bookmarkEnd w:id="900457"/>
    </w:p>
    <w:p>
      <w:pPr>
        <w:pStyle w:val="Normal"/>
      </w:pPr>
      <w:r>
        <w:t xml:space="preserve">1. Each Party shall ensure that a measure of general application affecting trade in services is administered in a reasonable, objective, and impartial manner. 2. If a Party adopts or maintains a measure relating to licensing requirements and procedures, or qualification requirements and procedures, affecting trade in services, the Party shall, with respect to that measure: (a) ensure that the requirement or procedure is based on criteria that are objective and transparent. For greater certainty, these criteria may include competence or ability to supply a service, or potential health or environmental impacts of an authorization, and competent authorities may assess the weight given to such criteria; (b) ensure that the competent authority reaches and administers a decision in an independent manner; (c) ensure that the procedure does not in itself prevent fulfilment of a requirement; and (d) to the extent practicable, avoid requiring an applicant to approach more than one competent authority for each application for authorization.4 3.</w:t>
      </w:r>
    </w:p>
    <w:p>
      <w:pPr>
        <w:pStyle w:val="Normal"/>
      </w:pPr>
      <w:r>
        <w:t>If a Party requires an authorization for the supply of a service, it shall ensure that each of its competent authorities: (a) to the extent practicable, permits an applicant to submit an application at any time; (b) if a specific time period for applications exists, allows a reasonable period for the submission of an application; (c) if an examination is required, schedules the examination at reasonably frequent intervals and provides a reasonable period of time to enable an applicant to request to take the examination; (d) endeavors to accept an application electronically; For greater certainty, a Party may require multiple applications for authorization if a service is within the jurisdiction of multiple competent authorities. (e) to the extent practicable, provides an indicative timeframe for processing an application; (f) to the extent practicable, ascertains without undue delay the completeness of an application for processing under the Party’s law;</w:t>
      </w:r>
    </w:p>
    <w:p>
      <w:pPr>
        <w:pStyle w:val="Normal"/>
      </w:pPr>
      <w:r>
        <w:t>(g) accepts copies of documents that are authenticated in accordance with the Party’s law, in place of original documents, unless the competent authority requires original documents to protect the integrity of the authorization process; (h) at the request of the applicant, provides without undue delay information concerning the status of the application; (i) if an application is considered complete under the Party’s law, within a reasonable period of time after the submission of the application, ensures that the processing</w:t>
      </w:r>
    </w:p>
    <w:p>
      <w:pPr>
        <w:pStyle w:val="Normal"/>
      </w:pPr>
      <w:r>
        <w:t>of the application is completed, and that the applicant is informed of the decision concerning the application, to the extent possible in writing;5 (j) if an application is considered incomplete for processing under the Party’s law, within a reasonable period of time, to the extent practicable: (i) informs the applicant that the application is incomplete, (ii) if the applicant requests, provides guidance on why the application is considered incomplete, (iii) provides the applicant with an opportunity6 to provide the additional information that is required for the application to be considered complete, and if none of the above is practicable, and the application is rejected due to incompleteness, ensures that the applicant is informed of the rejection within a reasonable period of time;</w:t>
      </w:r>
    </w:p>
    <w:p>
      <w:pPr>
        <w:pStyle w:val="Normal"/>
      </w:pPr>
      <w:r>
        <w:t>(k) if an application is rejected, to the extent possible, either upon its own initiative or upon the request of the applicant, informs the applicant of the reasons for rejection and, if applicable, the timeframe for an appeal or review of the decision 5 A competent authority can meet this requirement by informing an applicant in advance in writing, including through a published measure, that lack of response after a specified period of time from the date of submission of the application indicates either acceptance or rejection of the application. For greater certainty, “in writing” includes in electronic form.</w:t>
      </w:r>
    </w:p>
    <w:p>
      <w:pPr>
        <w:pStyle w:val="Normal"/>
      </w:pPr>
      <w:r>
        <w:t>6 For greater certainty, providing this opportunity does not require a competent authority to provide extensions of deadlines. to reject the application and the procedures for resubmission of an application; and (l) ensures that authorization, once granted, enters into effect without undue delay, subject to the applicable terms and conditions. 4. Each Party shall ensure that any authorization fee charged by any of its competent authorities is reasonable, transparent, and does not, in itself, restrict the supply of the relevant service. For the purposes of this paragraph, an authorization fee does not include a fee for the use of natural resources, payments for auction, tendering, or other non-discriminatory means of awarding concessions, or mandated contributions to the provision of universal service. 5. Each Party shall encourage its competent authorities, when adopting a technical standard, to adopt technical standards developed through an open and transparent process, and shall encourage a body designated to develop a technical standard to use an open and transparent process. 6.</w:t>
      </w:r>
    </w:p>
    <w:p>
      <w:pPr>
        <w:pStyle w:val="Normal"/>
      </w:pPr>
      <w:r>
        <w:t>If a Party requires authorization for the supply of a service, the Party shall provide to a service supplier or person seeking to supply a service the information necessary to comply with requirements or procedures for obtaining, maintaining, amending, and renewing that authorization.</w:t>
      </w:r>
    </w:p>
    <w:p>
      <w:pPr>
        <w:pStyle w:val="Normal"/>
      </w:pPr>
      <w:r>
        <w:t>That information must include: (a) any fee; (b) the contact information of a relevant competent authority; (c) any procedure for appeal or review of a decision concerning an application; (d) any procedure for monitoring or enforcing compliance with the terms and conditions of licenses; (e) any opportunities for public involvement, such as through hearings or comments; (f) any indicative timeframe for processing of an application; (g) any requirement or procedure; and (h) any technical standard. 7. Paragraphs 1 through 6 do not apply to the aspects of a measure set out in an entry to a Party’s Schedule to Annex I, or to a measure that a Party adopts or maintains with respect to sectors, sub-sectors, or activities as set out by that Party in its Schedule to Annex II.</w:t>
      </w:r>
    </w:p>
    <w:p>
      <w:pPr>
        <w:pStyle w:val="Heading2"/>
      </w:pPr>
      <w:bookmarkStart w:id="900458" w:name="_Toc300000457"/>
      <w:r>
        <w:t xml:space="preserve">Article 15.9: Recognition</w:t>
      </w:r>
      <w:bookmarkEnd w:id="900458"/>
    </w:p>
    <w:p>
      <w:pPr>
        <w:pStyle w:val="Normal"/>
      </w:pPr>
      <w:r>
        <w:t xml:space="preserve">1. For the purposes of the fulfilment, in whole or in part, of a Party’s standards or criteria for the authorization, licensing, or certification of a service supplier, and subject to the requirements of paragraph 4, a Party may recognize any education or experience obtained, requirements met, or licenses or certifications granted, in the territory of another Party or a non- Party. That recognition, which may be achieved through harmonization or otherwise, may be based on an agreement or arrangement with the Party or non-Party concerned, or may be accorded autonomously. 2. If a Party recognizes, autonomously or by agreement or arrangement, the education or experience obtained, requirements met, or licenses or certifications granted, in the territory of another Party or a non-Party, Article 15.4 (Most-Favored-Nation Treatment) does not require the Party to accord recognition to the education or experience obtained, requirements met, or licenses or certifications granted, in the territory of another Party. 3.</w:t>
      </w:r>
    </w:p>
    <w:p>
      <w:pPr>
        <w:pStyle w:val="Normal"/>
      </w:pPr>
      <w:r>
        <w:t>If a Party is a party to an agreement or arrangement of the type referred to in paragraph 1, whether existing or future, the Party shall afford adequate opportunity to another Party, on request, to negotiate its accession to that agreement or arrangement, or to negotiate a comparable agreement or arrangement.</w:t>
      </w:r>
    </w:p>
    <w:p>
      <w:pPr>
        <w:pStyle w:val="Normal"/>
      </w:pPr>
      <w:r>
        <w:t>If a Party accords recognition of the type referred to in paragraph 1 autonomously, the Party shall afford adequate opportunity to another Party to demonstrate that education or experience obtained, requirements met, or licenses or certifications granted, in that other Party’s territory should be recognized. 4. A Party shall not accord recognition in a manner that would constitute a means of discrimination between Parties or between a Party and a non-Party in the application of its standards or criteria for the authorization, licensing, or certification of a service supplier, or a disguised restriction on trade in services. 5. The Parties shall endeavor to facilitate trade in professional services as set out in Annex 15-C (Professional Services).</w:t>
      </w:r>
    </w:p>
    <w:p>
      <w:pPr>
        <w:pStyle w:val="Heading2"/>
      </w:pPr>
      <w:bookmarkStart w:id="900459" w:name="_Toc300000458"/>
      <w:r>
        <w:t xml:space="preserve">Article 15.10: Small and Medium-Sized Enterprises</w:t>
      </w:r>
      <w:bookmarkEnd w:id="900459"/>
    </w:p>
    <w:p>
      <w:pPr>
        <w:pStyle w:val="Normal"/>
      </w:pPr>
      <w:r>
        <w:t xml:space="preserve">1. With a view to enhancing commercial opportunities in services for SMEs, and further to Chapter 25 (Small and Medium-Sized Enterprises), each Party shall endeavor to support the development of SME trade in services and SME-enabling business models, such as direct selling services,7 including through measures that facilitate SME access to resources or protect individuals from fraudulent practices. Direct selling is the retail distribution of goods by an independent sales representative, and for which the representative is compensated based exclusively on the value of goods sold either by the representative or additional representatives recruited, trained, or otherwise supported by the representative. These goods include any product that may be distributed by other retail distribution service suppliers without a prescription or other special 2. Further to Chapter 28 (Good Regulatory Practices), each Party shall endeavor to adopt or maintain appropriate mechanisms that consider the effects of regulatory actions on SME service suppliers and that enable small businesses to participate in regulatory policy development. 3. Further to Article 15.8 (Development and Administration of Measures), each Party shall endeavor to ensure that authorization procedures for a service sector do not impose disproportionate burdens on SMEs.</w:t>
      </w:r>
    </w:p>
    <w:p>
      <w:pPr>
        <w:pStyle w:val="Heading2"/>
      </w:pPr>
      <w:bookmarkStart w:id="900460" w:name="_Toc300000459"/>
      <w:r>
        <w:t xml:space="preserve">Article 15.11: Denial of Benefits</w:t>
      </w:r>
      <w:bookmarkEnd w:id="900460"/>
    </w:p>
    <w:p>
      <w:pPr>
        <w:pStyle w:val="Normal"/>
      </w:pPr>
      <w:r>
        <w:t xml:space="preserve">1. A Party may deny the benefits of this Chapter to a service supplier of another Party if the service supplier is an enterprise owned or controlled by a person of a non-Party, and the denying Party adopts or maintains a measure with respect to the non-Party or a person of the non-Party that prohibits a transaction with that enterprise or that would be violated or circumvented if the benefits of this Chapter were accorded to that enterprise. 2. A Party may deny the benefits of this Chapter to a service supplier of another Party if the service supplier is an enterprise owned or controlled by a person of a non-Party, or by a person of the denying Party, that has no substantial business activities in the territory of any Party other than the denying Party.</w:t>
      </w:r>
    </w:p>
    <w:p>
      <w:pPr>
        <w:pStyle w:val="Heading2"/>
      </w:pPr>
      <w:bookmarkStart w:id="900461" w:name="_Toc300000460"/>
      <w:r>
        <w:t xml:space="preserve">Article 15.12: Payments and Transfers</w:t>
      </w:r>
      <w:bookmarkEnd w:id="900461"/>
    </w:p>
    <w:p>
      <w:pPr>
        <w:pStyle w:val="Normal"/>
      </w:pPr>
      <w:r>
        <w:t xml:space="preserve">1. Each Party shall permit all transfers and payments that relate to the cross-border supply of services to be made freely and without delay into and out of its territory. 2. Each Party shall permit transfers and payments that relate to the cross-border supply of services to be made in a freely usable currency at the market rate of exchange that prevails at the time of transfer. 3. Notwithstanding paragraphs 1 and 2, a Party may prevent or delay a transfer or payment through the equitable, non-discriminatory, and good faith application of its laws that relate to: (a) bankruptcy, insolvency, or the protection of the rights of creditors; (b) issuing, trading, or dealing in securities or derivatives; authorization, and may include food products, such as food and nutritional supplements in tablet, powder, or liquid capsule form; cosmetics; common consumer products for which medical expertise is not required, such as cotton swabs; and other hygiene and cleaning products.</w:t>
      </w:r>
    </w:p>
    <w:p>
      <w:pPr>
        <w:pStyle w:val="Normal"/>
      </w:pPr>
      <w:r>
        <w:t>The term “nutritional supplement” applies to all health- maintenance products not intended to cure or treat a disease, and that are sold without prescription or other special authorization. (c) financial reporting or record keeping of transfers when necessary to assist law enforcement or financial regulatory authorities; (d) criminal or penal offenses; or (e) ensuring compliance with orders or judgments in judicial or administrative proceedings. 4.</w:t>
      </w:r>
    </w:p>
    <w:p>
      <w:pPr>
        <w:pStyle w:val="Normal"/>
      </w:pPr>
      <w:r>
        <w:t>For greater certainty, this Article does not preclude the equitable, non-discriminatory, and good faith application of a Party’s laws relating to its social security, public retirement, or compulsory savings programs.</w:t>
      </w:r>
    </w:p>
    <w:p>
      <w:pPr>
        <w:pStyle w:val="Heading2"/>
      </w:pPr>
      <w:bookmarkStart w:id="900462" w:name="_Toc300000461"/>
      <w:r>
        <w:t xml:space="preserve">ANNEX 15-A DELIVERY SERVICES</w:t>
      </w:r>
      <w:bookmarkEnd w:id="900462"/>
    </w:p>
    <w:p>
      <w:pPr>
        <w:pStyle w:val="Normal"/>
      </w:pPr>
      <w:r>
        <w:t xml:space="preserve">1. For the purposes of this Annex: delivery services means the collection, sorting, transport, and delivery of documents, printed matter, parcels, goods, or other items; postal monopoly means the exclusive right accorded to an operator within a Party’s territory to supply specified delivery services pursuant to a measure of the Party; and universal service means a delivery service that is made available to all users in a designated territory in accordance with standards of price and quality as defined by each Party. 2. For greater certainty, this Annex does not apply to maritime, internal waterway, air, rail, or road transportation services, including cabotage. 3. Each Party that maintains a postal monopoly shall define the scope of the monopoly on the basis of objective criteria, including quantitative criteria such as price or weight thresholds. 4. For greater certainty, each Party has the right to define the kind of universal service obligation it wishes to adopt or maintain. Each Party that maintains a universal service obligation shall administer it in a transparent, non-discriminatory, and impartial manner with regard to all service suppliers subject to the obligation. 5.</w:t>
      </w:r>
    </w:p>
    <w:p>
      <w:pPr>
        <w:pStyle w:val="Normal"/>
      </w:pPr>
      <w:r>
        <w:t>No Party shall allow a supplier of a delivery service covered by a postal monopoly to: (a) use revenues derived from the supply of such services to cross-subsidize the supply of a delivery service not covered by a postal monopoly;8 or (b) unjustifiably differentiate among mailers in like circumstances or consolidators in like circumstances with respect to tariffs or other terms and conditions for the supply of a delivery service covered by a postal monopoly. 6. Each Party shall ensure that a supplier of services covered by a postal monopoly does not abuse its monopoly position to act in the Party’s territory in a manner inconsistent with the 8 A Party shall be deemed in compliance with this paragraph if an independent audit (which, for greater certainty, means for the United States a finding by the Postal Regulatory Commission) determines on an annual basis that the Party’s supplier of a delivery service covered by a postal monopoly has not used revenues derived from that monopoly to cross-subsidize its delivery services not covered by a postal monopoly.</w:t>
      </w:r>
    </w:p>
    <w:p>
      <w:pPr>
        <w:pStyle w:val="Normal"/>
      </w:pPr>
      <w:r>
        <w:t>For greater certainty, this paragraph does not require a Party to ensure that a supplier of a delivery service covered by a postal monopoly maintain accounts in a sufficiently detailed manner to show the costs and revenues of each of its delivery services.</w:t>
      </w:r>
    </w:p>
    <w:p>
      <w:pPr>
        <w:pStyle w:val="Normal"/>
      </w:pPr>
      <w:r>
        <w:t>15-A-1 Party’s commitments under Article 14.4 (National Treatment), Article 15.3 (National Treatment), or Article 15.5 (Market Access) with respect to the supply of delivery services outside of the postal monopoly. 7. No Party shall: (a) require the supply of a delivery service on a universal basis as a condition for an authorization or license to supply a delivery service not covered by a postal monopoly; or (b) assess fees or other charges exclusively on the supply of any delivery service that is not a universal service for the purpose of funding the supply of a universal service. 8. Each Party shall ensure that the authority primarily responsible for regulating delivery services is not accountable to any supplier of delivery services, and that the decisions and procedures that the authority adopts are impartial, non-discriminatory, and transparent with respect to all delivery services not covered by a postal monopoly in its territory.9 9.</w:t>
      </w:r>
    </w:p>
    <w:p>
      <w:pPr>
        <w:pStyle w:val="Normal"/>
      </w:pPr>
      <w:r>
        <w:t>No Party may require a supplier of a delivery service not covered by a postal monopoly to contract, or prevent such a supplier from contracting, with another service supplier to supply a segment of the delivery service. 9 For greater certainty, and for the purposes of this paragraph, an “authority responsible for regulating delivery services” does not mean a customs administration. 15-A-2</w:t>
      </w:r>
    </w:p>
    <w:p>
      <w:pPr>
        <w:pStyle w:val="Heading2"/>
      </w:pPr>
      <w:bookmarkStart w:id="900463" w:name="_Toc300000462"/>
      <w:r>
        <w:t xml:space="preserve">ANNEX 15-B COMMITTEE ON TRANSPORTATION SERVICES</w:t>
      </w:r>
      <w:bookmarkEnd w:id="900463"/>
    </w:p>
    <w:p>
      <w:pPr>
        <w:pStyle w:val="Normal"/>
      </w:pPr>
      <w:r>
        <w:t xml:space="preserve">1. The Parties hereby establish a Committee on Transportation Services (Transportation Services Committee) composed of government representatives of the relevant trade and transport-related national authorities of each Party. Each Party shall designate contact points for the Transportation Services Committee in accordance with Article 30.5 (Agreement Coordinator and Contact Points). 2. The Transportation Services Committee shall discuss issues as the Parties may decide that may arise from the implementation and operation of the Parties’ obligations related to transportation services in Chapters 14 (Investment) and 15 (Cross-Border Trade in Services), among others, as appropriate. 3. The Transportation Services Committee may invite, as appropriate, representatives of other relevant entities and representatives of the private sector to attend meetings of the Committee and report to the Committee on discussions by these representatives. 4. The Transportation Services Committee shall take into consideration the discussions and outcomes related to the Committee from other fora in which the Parties participate in order to avoid duplication, and, as appropriate, incorporate those discussions and outcomes in the discussions of the Committee. 5.</w:t>
      </w:r>
    </w:p>
    <w:p>
      <w:pPr>
        <w:pStyle w:val="Normal"/>
      </w:pPr>
      <w:r>
        <w:t>The Transportation Services Committee shall endeavor to meet within one year of the date of entry into force of this Agreement, and thereafter as necessary, at such venues, format, and times as the Parties may decide. 6. The Transportation Services Committee shall, as appropriate, report to the Commission activities undertaken by the Parties pursuant to this Annex. 15-B-1</w:t>
      </w:r>
    </w:p>
    <w:p>
      <w:pPr>
        <w:pStyle w:val="Heading2"/>
      </w:pPr>
      <w:bookmarkStart w:id="900464" w:name="_Toc300000463"/>
      <w:r>
        <w:t xml:space="preserve">ANNEX 15-C PROFESSIONAL SERVICES</w:t>
      </w:r>
      <w:bookmarkEnd w:id="900464"/>
    </w:p>
    <w:p>
      <w:pPr>
        <w:pStyle w:val="Normal"/>
      </w:pPr>
      <w:r>
        <w:t xml:space="preserve">1. Each Party shall consult with relevant bodies in its territory to seek to identify professional services where at least two of the Parties are mutually interested in establishing a dialogue on issues that relate to the recognition of professional qualifications, licensing, or registration. 2. If a professional service described in Paragraph 1 is identified, each Party shall encourage its relevant bodies to establish dialogues with the relevant bodies of the other Parties, with a view to facilitating trade in professional services. The dialogues may consider, as appropriate: (a) recognition of professional qualifications and facilitating licensing and registration procedures through mutual recognition agreements; (b) autonomous recognition of the education or experience obtained by a candidate in the territory of another Party, for the purposes of fulfilling some or all of the licensing or examination requirements of that profession; (c) the development of mutually acceptable standards and criteria for authorization of professional service suppliers from the territory of the other Party;</w:t>
      </w:r>
    </w:p>
    <w:p>
      <w:pPr>
        <w:pStyle w:val="Normal"/>
      </w:pPr>
      <w:r>
        <w:t>(d) temporary or project-specific licensing or registration based on a foreign supplier’s home license or recognized professional body membership, without the need for further written examination; (e) the form of association and procedures whereby a foreign-licensed supplier may work in association with a professional service supplier of the Party; or (f)</w:t>
      </w:r>
    </w:p>
    <w:p>
      <w:pPr>
        <w:pStyle w:val="Normal"/>
      </w:pPr>
      <w:r>
        <w:t>any other approaches to facilitate authorization to provide services by professionals licensed in another Party. 3. Each Party shall encourage its relevant bodies to take into account agreements that relate to professional services in the development of agreements on the recognition of professional qualifications, licensing, and registration. 4. Further to any dialogue referred to in paragraphs 2(a) through 2(f), each Party shall encourage its respective relevant bodies, as appropriate, to consider undertaking related activity within a mutually agreed time. 15-C-1 5. If relevant bodies enter into discussions under paragraph 2(a) for the purpose of creating a Mutual Recognition Agreement, those discussions may be guided by Appendix 1 for the negotiation of such an agreement. 6. The Parties hereby establish a Professional Services Working Group (Professional Services Working Group), composed of representatives of each Party. 7. The Professional Services Working Group shall liaise, as appropriate, to support the Parties’ relevant bodies in pursuing the activities listed in paragraph 2. This support may include providing points of contact, facilitating meetings, and providing information regarding regulation of professional services in the Parties’ territories.</w:t>
      </w:r>
    </w:p>
    <w:p>
      <w:pPr>
        <w:pStyle w:val="Normal"/>
      </w:pPr>
      <w:r>
        <w:t>8. The Professional Services Working Group shall meet within one year of the date of entry into force of this Agreement, and thereafter as decided by the Parties, to discuss activities covered by this Annex. 9.</w:t>
      </w:r>
    </w:p>
    <w:p>
      <w:pPr>
        <w:pStyle w:val="Normal"/>
      </w:pPr>
      <w:r>
        <w:t xml:space="preserve">The Professional Services Working Group shall, as appropriate, report to the Commission activities undertaken by the Parties pursuant to this Annex. 15-C-2</w:t>
      </w:r>
    </w:p>
    <w:p>
      <w:pPr>
        <w:pStyle w:val="Heading2"/>
      </w:pPr>
      <w:bookmarkStart w:id="900465" w:name="_Toc300000464"/>
      <w:r>
        <w:t xml:space="preserve">APPENDIX 1 GUIDELINES FOR MUTUAL RECOGNITION AGREEMENTS OR ARRANGEMENTS FOR THE PROFESSIONAL SERVICES SECTOR</w:t>
      </w:r>
      <w:bookmarkEnd w:id="900465"/>
    </w:p>
    <w:p>
      <w:pPr>
        <w:pStyle w:val="Normal"/>
      </w:pPr>
      <w:r>
        <w:t xml:space="preserve">Introductory Notes This Appendix provides practical guidance for governments, negotiating entities or other entities entering into mutual recognition negotiations for the professional services sector. These guidelines are non-binding and are intended to be used by the Parties on a voluntary basis. They do not modify or affect the rights and obligations of the Parties under this Agreement. The objective of these guidelines is to facilitate the negotiation of mutual recognition agreements or arrangements (MRAs). The examples listed under this Appendix are provided by way of illustration. The listing of these examples is indicative and is intended neither to be exhaustive, nor as an endorsement of the application of such measures by the Parties. Section A: Conduct of Negotiations and Relevant Obligations Opening of Negotiations 1. Parties intending to enter into negotiations towards an MRA are encouraged to inform the Professional Services Working Group established under Annex 15-C.</w:t>
      </w:r>
    </w:p>
    <w:p>
      <w:pPr>
        <w:pStyle w:val="Normal"/>
      </w:pPr>
      <w:r>
        <w:t>The following information may be supplied: (a) the entities involved in discussions (for example, governments, organizations in the professional services sector or institutes which authority, statutory or otherwise, to enter into such negotiations); national have (b) a contact point to obtain further information; (c) the subject of the negotiations (specific activity covered); and (d) the expected time of the start of negotiations. Single Negotiating Entity 2. If no single negotiating entity exists, the Parties are encouraged to establish one. Results 15-C-1-1 3. Upon the conclusion of an MRA, parties to the MRA are encouraged to inform the Professional Services Working Group, and may supply the following information in its notification: (a) the content of a new MRA; or (b) the significant modifications to an existing MRA. Follow-up Actions 4. As a follow-up action to a conclusion of an MRA, parties to the MRA are encouraged to inform the Professional Services Working Group of the following: (a) that the MRA comply with the provisions of this Chapter;</w:t>
      </w:r>
    </w:p>
    <w:p>
      <w:pPr>
        <w:pStyle w:val="Normal"/>
      </w:pPr>
      <w:r>
        <w:t>(b) measures and actions taken regarding the implementation and monitoring of the MRA; and (c) that the text of the MRA is publicly available. Section B: Form and Content of MRAs Introductory Note This Section sets out various issues that may be addressed in MRA negotiations and, if so agreed during the negotiations, included in the MRA.</w:t>
      </w:r>
    </w:p>
    <w:p>
      <w:pPr>
        <w:pStyle w:val="Normal"/>
      </w:pPr>
      <w:r>
        <w:t>It includes some basic ideas on what a Party might require of foreign professionals seeking to take advantage of an MRA. Participants 5. The MRA should identify clearly: (a) the parties to the MRA (for example, governments, national professional organisations, or institutes); (b) competent authorities or organizations other than the parties to the MRA, if any, and their position in relation to the MRA; and (c) the status and area of competence of each party to the MRA. Purpose of the MRA 6. The purpose of the MRA should be clearly stated. 15-C-1-2 Scope of the MRA 7. The MRA should set out clearly: (a) its scope in terms of the specific profession or titles and professional activities it covers in the territories of the parties; (b) who is entitled to use the professional titles concerned; (c) whether the recognition mechanism is based on qualifications, on the license obtained in the country of origin or on some other requirement; and (d) whether it covers temporary access, permanent access, or both, to the profession concerned. MRA Provisions 8.</w:t>
      </w:r>
    </w:p>
    <w:p>
      <w:pPr>
        <w:pStyle w:val="Normal"/>
      </w:pPr>
      <w:r>
        <w:t>The MRA should clearly specify the conditions to be met for recognition in the territories of each Party and the level of equivalence agreed between the parties to the MRA. The precise terms of the MRA depend on the basis on which the MRA is founded, as discussed above. If the requirements of the various sub-national jurisdictions of a party to an MRA are not identical, the difference should be clearly presented.</w:t>
      </w:r>
    </w:p>
    <w:p>
      <w:pPr>
        <w:pStyle w:val="Normal"/>
      </w:pPr>
      <w:r>
        <w:t>The MRA should address the applicability of the recognition granted by one sub-national jurisdiction in the other sub-national jurisdictions of the party to the MRA. 9. The Parties should seek to ensure that recognition does not require citizenship or any form of residency, or education, experience, or training in the territory of the host jurisdiction. Eligibility for Recognition - Qualifications 10. If the MRA is based on recognition of qualifications, then it should, where applicable, state: (a) the minimum level of education required (including entry requirements, length of study, and subjects studied); (b) the minimum level of experience required (including location, length, and conditions of practical training or supervised professional practice prior to licensing, and framework of ethical and disciplinary standards); (c) examinations passed, especially examinations of professional competence;</w:t>
      </w:r>
    </w:p>
    <w:p>
      <w:pPr>
        <w:pStyle w:val="Normal"/>
      </w:pPr>
      <w:r>
        <w:t>15-C-1-3 (d) the extent to which home country qualifications are recognised in the host country; and (e) the qualifications which the parties to the MRA are prepared to recognize, for instance, by listing particular diplomas or certificates issued by certain institutions, or by reference to particular minimum requirements to be certified by the authorities of the country of origin, including whether the possession of a certain level of qualification would allow recognition for some activities but not others. Eligibility for Recognition - Registration 11.</w:t>
      </w:r>
    </w:p>
    <w:p>
      <w:pPr>
        <w:pStyle w:val="Normal"/>
      </w:pPr>
      <w:r>
        <w:t>If the MRA is based on recognition of the licensing or registration decision made by regulators in the country of origin, it should specify the mechanism by which eligibility for such recognition may be established. 12. If it is considered necessary to provide for additional requirements in order to ensure the quality of the service, the MRA should set out the conditions under which those requirements may apply, for example, in case of shortcomings in relation to qualification requirements in the host country or knowledge of local law, practice, standards, and regulations. This knowledge should be essential for practice in the host country or required because there are differences in the scope of licensed practice. 13. If additional requirements are deemed necessary, the MRA should set out in detail what they entail (for example, examination, aptitude test, additional practice in the host country or in the country of origin, practical training, and language used for examination). Mechanisms for Implementation 14. The MRA could state:</w:t>
      </w:r>
    </w:p>
    <w:p>
      <w:pPr>
        <w:pStyle w:val="Normal"/>
      </w:pPr>
      <w:r>
        <w:t>(a) the rules and procedures to be used to monitor and enforce the provisions of the MRA; (b) the mechanisms for dialogue and administrative cooperation between the parties to the MRA; and (c) the means of arbitration for disputes under the MRA. 15.</w:t>
      </w:r>
    </w:p>
    <w:p>
      <w:pPr>
        <w:pStyle w:val="Normal"/>
      </w:pPr>
      <w:r>
        <w:t>As a guide to the treatment of individual applicants, the MRA could include details on: (a) the focal point of contact in each party to the MRA for information on all issues relevant to the application (such as the name and address of competent authorities, 15-C-1-4 licensing formalities, and information on additional requirements which need to be met in the host country); (b) the duration of procedures for the processing of applications by the relevant authorities of the host country; (c) the documentation required of applicants and the form in which it should be presented and any time limits for applications; (d) acceptance of documents and certificates issued in the country of origin in relation to qualifications and licensing; (e) the procedures of appeal to or review by the relevant authorities; and (f) the fees that might be reasonably required. 16. The MRA could also include the following commitments: (a) that requests about the measures will be promptly dealt with; (b) that adequate preparation time will be provided where necessary;</w:t>
      </w:r>
    </w:p>
    <w:p>
      <w:pPr>
        <w:pStyle w:val="Normal"/>
      </w:pPr>
      <w:r>
        <w:t>(c) that any exams or tests will be arranged with reasonable periodicity; (d) that fees to applicants seeking to take advantage of the terms of the MRA will be in proportion to the cost to the host country or organisation; and (e) that information on any assistance programmes in the host country for practical training, and any commitments of the host country in that context, be supplied.</w:t>
      </w:r>
    </w:p>
    <w:p>
      <w:pPr>
        <w:pStyle w:val="Normal"/>
      </w:pPr>
      <w:r>
        <w:t>Licensing and Other Provisions in the Host Country 17. If applicable: (a) the MRA could also set out the means by which, and the conditions under which, a license is actually obtained following the establishment of eligibility, and what such license entails (such as a license and its content, membership of a professional body, and use of professional or academic titles); (b) a licensing requirement, other than qualifications, should include, for example: (i) an office address, an establishment requirement, or a residency requirement, 15-C-1-5 (ii) a language requirement, (iii) proof of good conduct and financial standing, (iv) professional indemnity insurance, (v) compliance with host country’s requirements for use of trade or firm names, and (vi) compliance with host country ethics, for instance independence and incompatibility. Revision of the MRA 18. If the MRA includes terms under which it can be reviewed or revoked, the details of such terms should be clearly stated. 15-C-1-6</w:t>
      </w:r>
    </w:p>
    <w:p>
      <w:pPr>
        <w:pStyle w:val="Heading2"/>
      </w:pPr>
      <w:bookmarkStart w:id="900466" w:name="_Toc300000465"/>
      <w:r>
        <w:t xml:space="preserve">ANNEX 15-D PROGRAMMING SERVICES</w:t>
      </w:r>
      <w:bookmarkEnd w:id="900466"/>
    </w:p>
    <w:p>
      <w:pPr>
        <w:pStyle w:val="Normal"/>
      </w:pPr>
      <w:r>
        <w:t xml:space="preserve">Simultaneous Substitution 1. Canada shall rescind Broadcasting Regulatory Policy CRTC 2016-334 and Broadcasting Order CRTC 2016-335. With respect to simultaneous substitution of signals during the retransmission in Canada of the program referenced in those measures, Canada may not accord the program treatment less favorable than the treatment accorded to other programs originating in the United States retransmitted in Canada. 2. The United States and Canada shall each provide in its copyright law that: (a) retransmission to the public of program signals not intended in the original transmission for free, over-the-air reception by the general public shall be permitted only with the authorization of the holder of the copyright in the program; and (b) if the original transmission of the program is carried in signals intended for free, over-the-air reception by the general public, willful retransmission in altered form or non-simultaneous retransmission of signals carrying a copyright holder’s program shall be permitted only with the authorization of the holder of the copyright in the program. 3.</w:t>
      </w:r>
    </w:p>
    <w:p>
      <w:pPr>
        <w:pStyle w:val="Normal"/>
      </w:pPr>
      <w:r>
        <w:t>Other than as provided for in paragraph 1, nothing in subparagraph 2 (b) shall be construed to prevent a Party from maintaining existing measures relating to retransmission of a program carried in signals intended for free, over-the-air reception by the general public; or introducing measures to enable the local licensee of the copyrighted program to exploit fully the commercial value of its license. Home Shopping Programming Services 4. Canada shall ensure that U.S. programming services specializing in home shopping, including modified versions of these U.S. programming services for the Canadian market, are authorized for distribution in Canada and may negotiate affiliation agreements with Canadian cable, satellite, and IPTV distributors. 15-D-1</w:t>
      </w:r>
    </w:p>
    <w:p>
      <w:pPr>
        <w:pStyle w:val="Heading2"/>
      </w:pPr>
      <w:bookmarkStart w:id="900467" w:name="_Toc300000466"/>
      <w:r>
        <w:t xml:space="preserve">ANNEX 15-E MEXICO’S CULTURAL EXCEPTIONS</w:t>
      </w:r>
      <w:bookmarkEnd w:id="900467"/>
    </w:p>
    <w:p>
      <w:pPr>
        <w:pStyle w:val="Normal"/>
      </w:pPr>
      <w:r>
        <w:t xml:space="preserve">Recognizing that culture is an important component of the creative, symbolic and economic dimension of human development, Affirming the fundamental right of freedom of expression and the right to plural and diverse information, Recognizing that states have the sovereign right to preserve, develop and implement their cultural policies, to support their cultural industries for the purpose of strengthening the diversity of cultural expressions, and to preserve their cultural identity, and In order to preserve and promote the development of Mexican culture, Mexico has negotiated reservations in its schedules to Annex I and Annex II for certain obligations in Chapter 14 (Investment) and Chapter 15 (Cross-Border Trade in Services), which are summarized below. In Annex I: Broadcasting (radio and free-to-air television): Reservations taken against: • National Treatment obligations for Investment and Cross-Border Trade in Services Chapters • Local Presence obligation for Cross-Border Trade in Services Chapter • Sole concessions and frequency band concessions will be granted only to Mexican nationals or enterprises constituted under Mexican laws and regulations. • Investors of a Party or their investments may participate up to 49 per cent in concessionaire enterprises providing broadcasting services.</w:t>
      </w:r>
    </w:p>
    <w:p>
      <w:pPr>
        <w:pStyle w:val="Normal"/>
      </w:pPr>
      <w:r>
        <w:t>This maximum foreign investment will be applied according to the reciprocity existent with the country in which the investor or trader who ultimately controls it, directly or indirectly, is constituted. • Concessions for indigenous social use shall be granted to indigenous people and indigenous communities of Mexico, with the objective to promote, develop and preserve languages, culture, knowledge, traditions, identity and their internal rules that, under principles of gender equality, enable the 15-E-1 integration of indigenous women in the accomplishment of the purposes for which the concession is granted. • Under no circumstances may a concession, the rights conferred therein, facilities, auxiliary services, offices or accessories and properties affected thereto, be assigned, encumbered, pledged or given in trust, mortgaged, or transferred totally or partially to any foreign government or state. • The State shall guarantee that broadcasting promotes the values of national identity. • The broadcasting concessionaires shall use and stimulate local and national artistic values and expressions of Mexican culture, according to the characteristics of its programming. • The daily programming with personal performances shall include more time covered by Mexicans.</w:t>
      </w:r>
    </w:p>
    <w:p>
      <w:pPr>
        <w:pStyle w:val="Normal"/>
      </w:pPr>
      <w:r>
        <w:t>Newspaper publishing Reservation taken against: • National Treatment obligation for Investment Chapter • Investors of another Party or their investments may only own, directly or indirectly, up to 49 per cent of the ownership interest in an enterprise established or to be established in the territory of Mexico engaged in the printing or publication of daily newspapers written primarily for a Mexican audience and distributed in the territory of Mexico. Cinema services Reservation taken against: • National Treatment obligation for Investment Chapter • Most-Favored-Nation Treatment obligation for Investment and Cross-Border Trade in Services Chapters • Exhibitors shall reserve 10 per cent of the total screen time to the projection of national films. 15-E-2 In Annex II: Audiovisual services Reservation taken against: • Market Access obligation for Cross-Border Trade in Services Chapter • Mexico is taking only limited commitments in the Market Access obligation with respect to the audiovisual services sectors. 15-E-3</w:t>
      </w:r>
    </w:p>
    <w:p>
      <w:pPr>
        <w:pStyle w:val="ModHeading"/>
      </w:pPr>
      <w:bookmarkStart w:id="900468" w:name="_Toc300000467"/>
      <w:r>
        <w:t>CHAPTER 15: CUSMA 2.0 MODERNIZATION PROVISIONS</w:t>
      </w:r>
      <w:bookmarkEnd w:id="900468"/>
    </w:p>
    <w:p>
      <w:pPr>
        <w:pStyle w:val="Heading2"/>
      </w:pPr>
      <w:bookmarkStart w:id="900469" w:name="_Toc300000468"/>
      <w:r>
        <w:t>Article 15.H: North American Franchise and Consumer Services Market Access</w:t>
      </w:r>
      <w:bookmarkEnd w:id="900469"/>
    </w:p>
    <w:p>
      <w:pPr>
        <w:pStyle w:val="Normal"/>
      </w:pPr>
      <w:r>
        <w:t>1. The Parties recognize that franchising and consumer-service networks can expand small-business ownership, employment, consumer choice, and cross-border services trade. Each Party shall administer generally applicable registration, licensing, customs, and commercial requirements affecting qualifying franchise and consumer-service enterprises of another Party in a transparent and non-discriminatory manner.</w:t>
      </w:r>
    </w:p>
    <w:p>
      <w:pPr>
        <w:pStyle w:val="Normal"/>
      </w:pPr>
      <w:r>
        <w:t>2. Each Party shall make publicly available clear administrative guidance, published processing milestones or ordinary service benchmarks where such benchmarks exist, and a single information point or coordinated online entry point for enterprises seeking to establish or expand a lawful franchise network. The information point shall identify the principal generally applicable federal or national requirements and direct applicants to competent sub-federal or sectoral authorities where responsibility lies elsewhere. This paragraph does not create an entitlement to zoning approval, food-safety approval, immigration status, or any other authorization governed by domestic law, and does not require consolidation of independent regulators into a new institution.</w:t>
      </w:r>
    </w:p>
    <w:p>
      <w:pPr>
        <w:pStyle w:val="Normal"/>
      </w:pPr>
      <w:r>
        <w:t>3. Through existing services, customs, standards, or regulatory-cooperation mechanisms, the Parties shall identify recurring duplicative requirements affecting proprietary equipment, ordinary commercial documentation, conformity evidence, and recurring cross-border shipments used by franchise systems and shall seek administrative reliance, reusable evidence, or other simplification where equivalent protection can be maintained. A Party may retain a distinct requirement where it identifies a material difference in law, risk, scope, local conditions, or regulatory objective that makes reliance inappropriate. Nothing in this paragraph lowers health, safety, consumer-protection, labor, competition, cultural, or sub-federal regulatory authority.</w:t>
      </w:r>
    </w:p>
    <w:p>
      <w:pPr>
        <w:pStyle w:val="Normal"/>
      </w:pPr>
      <w:r>
        <w:t>4. Facilitation under this Article shall be reciprocal and shall not favor a named enterprise, brand, nationality, or business model. The Committee on Competitiveness may identify recurring barriers faced by small and medium-sized franchise operators and recommend administrative improvements.</w:t>
      </w:r>
    </w:p>
    <w:p>
      <w:pPr>
        <w:pStyle w:val="Heading1"/>
      </w:pPr>
      <w:bookmarkStart w:id="900470" w:name="_Toc300000469"/>
      <w:r>
        <w:t>CHAPTER 16 TEMPORARY ENTRY FOR BUSINESS PERSONS</w:t>
      </w:r>
      <w:bookmarkEnd w:id="900470"/>
    </w:p>
    <w:p>
      <w:pPr>
        <w:pStyle w:val="Heading2"/>
      </w:pPr>
      <w:bookmarkStart w:id="900471" w:name="_Toc300000470"/>
      <w:r>
        <w:t xml:space="preserve">Article 16.1: Definitions</w:t>
      </w:r>
      <w:bookmarkEnd w:id="900471"/>
    </w:p>
    <w:p>
      <w:pPr>
        <w:pStyle w:val="Normal"/>
      </w:pPr>
      <w:r>
        <w:t xml:space="preserve">For the purposes of this Chapter: business person means a citizen of a Party who is engaged in trade in goods, the supply of services or the conduct of investment activities; citizen means, with respect to Mexico, a national or a citizen according to the provisions of Articles 30 and 34, respectively, of the Mexico’s Constitution (Constitución Política de los Estados Unidos Mexicanos); and temporary entry means entry into the territory of a Party by a business person of another Party without the intent to establish permanent residence.</w:t>
      </w:r>
    </w:p>
    <w:p>
      <w:pPr>
        <w:pStyle w:val="Heading2"/>
      </w:pPr>
      <w:bookmarkStart w:id="900472" w:name="_Toc300000471"/>
      <w:r>
        <w:t xml:space="preserve">Article 16.2: Scope</w:t>
      </w:r>
      <w:bookmarkEnd w:id="900472"/>
    </w:p>
    <w:p>
      <w:pPr>
        <w:pStyle w:val="Normal"/>
      </w:pPr>
      <w:r>
        <w:t xml:space="preserve">1. This Chapter applies to measures affecting the temporary entry of business persons of a Party into the territory of another Party. 2. This Chapter does not apply to measures affecting natural persons seeking access to the employment market of another Party, nor does it apply to measures regarding citizenship, nationality, residence or employment on a permanent basis. 3. Nothing in this Agreement prevents a Party from applying measures to regulate the entry of natural persons of another Party into, or their temporary stay in, its territory, including those measures necessary to protect the integrity of, and to ensure the orderly movement of natural persons across, its borders, provided that those measures are not applied in a manner as to nullify or impair the benefits accruing to any Party under this Chapter.</w:t>
      </w:r>
    </w:p>
    <w:p>
      <w:pPr>
        <w:pStyle w:val="Heading2"/>
      </w:pPr>
      <w:bookmarkStart w:id="900473" w:name="_Toc300000472"/>
      <w:r>
        <w:t xml:space="preserve">Article 16.3: General Obligations</w:t>
      </w:r>
      <w:bookmarkEnd w:id="900473"/>
    </w:p>
    <w:p>
      <w:pPr>
        <w:pStyle w:val="Normal"/>
      </w:pPr>
      <w:r>
        <w:t xml:space="preserve">1. Each Party shall apply its measures relating to this Chapter expeditiously so as to avoid unduly impairing or delaying trade in goods or services or the conduct of investment activities under this Agreement. 2. The Parties shall endeavor to develop and adopt common criteria, definitions and interpretations for the implementation of this Chapter.</w:t>
      </w:r>
    </w:p>
    <w:p>
      <w:pPr>
        <w:pStyle w:val="Heading2"/>
      </w:pPr>
      <w:bookmarkStart w:id="900474" w:name="_Toc300000473"/>
      <w:r>
        <w:t xml:space="preserve">Article 16.4: Grant of Temporary Entry</w:t>
      </w:r>
      <w:bookmarkEnd w:id="900474"/>
    </w:p>
    <w:p>
      <w:pPr>
        <w:pStyle w:val="Normal"/>
      </w:pPr>
      <w:r>
        <w:t xml:space="preserve">1. Each Party shall grant temporary entry to a business person who is otherwise qualified for entry under its measures relating to public health and safety and national security, in accordance with this Chapter, including Annex 16-A (Temporary Entry for Business Persons). 2. A Party may refuse to grant temporary entry or issue an immigration document authorizing employment to a business person where the temporary entry of that person might adversely affect: (a) the settlement of a labor dispute that is in progress at the place or intended place of employment; or (b) the employment of a person who is involved in that dispute. 3. If a Party refuses pursuant to paragraph 2 to grant temporary entry or issue an immigration document authorizing employment, it shall: (a) provide written notice to the business person of the reasons for the refusal; and (b) promptly provide written notice to the Party whose business person has been refused entry of the reasons for the refusal. 4.</w:t>
      </w:r>
    </w:p>
    <w:p>
      <w:pPr>
        <w:pStyle w:val="Normal"/>
      </w:pPr>
      <w:r>
        <w:t>Each Party shall limit any fees for processing applications for temporary entry of business persons to the approximate cost of services rendered. 5. The sole fact that a Party grants temporary entry to a business person of another Party pursuant to this Chapter does not exempt that business person from meeting any applicable licensing or other requirements, including any mandatory codes of conduct, to practice a profession or otherwise engage in business activities.</w:t>
      </w:r>
    </w:p>
    <w:p>
      <w:pPr>
        <w:pStyle w:val="Heading2"/>
      </w:pPr>
      <w:bookmarkStart w:id="900475" w:name="_Toc300000474"/>
      <w:r>
        <w:t xml:space="preserve">Article 16.5: Provision of Information</w:t>
      </w:r>
      <w:bookmarkEnd w:id="900475"/>
    </w:p>
    <w:p>
      <w:pPr>
        <w:pStyle w:val="Normal"/>
      </w:pPr>
      <w:r>
        <w:t xml:space="preserve">1. Further to Article 29.2 (Publication), each Party shall publish online or otherwise make publicly available explanatory material regarding the requirements for temporary entry under this Chapter that will enable a business person of another Party to become acquainted with them. 2. Each Party shall collect and maintain, and make available to the other Parties in accordance with its law, data respecting the granting of temporary entry under this Chapter to business persons of the other Parties who have been issued immigration documentation, including, if practicable, data specific to each occupation, profession, or activity.</w:t>
      </w:r>
    </w:p>
    <w:p>
      <w:pPr>
        <w:pStyle w:val="Heading2"/>
      </w:pPr>
      <w:bookmarkStart w:id="900476" w:name="_Toc300000475"/>
      <w:r>
        <w:t xml:space="preserve">Article 16.6: Temporary Entry Working Group</w:t>
      </w:r>
      <w:bookmarkEnd w:id="900476"/>
    </w:p>
    <w:p>
      <w:pPr>
        <w:pStyle w:val="Normal"/>
      </w:pPr>
      <w:r>
        <w:t xml:space="preserve">1. The Parties hereby establish a Temporary Entry Working Group, comprising representatives of each Party, including representatives of immigration authorities. 2. The Working Group shall meet at least once each year to consider: (a) the implementation and administration of this Chapter; (b) the development of measures to further facilitate temporary entry of business persons on a reciprocal basis; (c) the waiving of labor certification tests or procedures of similar effect for spouses of business persons who have been granted temporary entry for more than one year under Section B, C or D of Annex 16-A (Temporary Entry for Business Persons); (d) proposed modifications of or additions to this Chapter; and (e) issues of common interest related to the temporary entry of business persons, such as the use of technologies related to processing of applications, that can be further explored among the Parties in other fora.</w:t>
      </w:r>
    </w:p>
    <w:p>
      <w:pPr>
        <w:pStyle w:val="Heading2"/>
      </w:pPr>
      <w:bookmarkStart w:id="900477" w:name="_Toc300000476"/>
      <w:r>
        <w:t xml:space="preserve">Article 16.7: Dispute Settlement</w:t>
      </w:r>
      <w:bookmarkEnd w:id="900477"/>
    </w:p>
    <w:p>
      <w:pPr>
        <w:pStyle w:val="Normal"/>
      </w:pPr>
      <w:r>
        <w:t xml:space="preserve">1. A Party may not initiate proceedings under Article 31.5 (Commission Good Offices, Conciliation, and Mediation) regarding a refusal to grant temporary entry under this Chapter or a particular case arising under Article 16.3(1) unless: (a) the matter involves a pattern of practice; and (b) the business person has exhausted the available administrative remedies regarding the particular matter. 2. The remedies referred to in paragraph (1)(b) will be deemed to be exhausted if a final determination in the matter has not been issued by the competent authority within one year of the institution of an administrative proceeding, and the failure to issue a determination is not attributable to delay caused by the business person.</w:t>
      </w:r>
    </w:p>
    <w:p>
      <w:pPr>
        <w:pStyle w:val="Heading2"/>
      </w:pPr>
      <w:bookmarkStart w:id="900478" w:name="_Toc300000477"/>
      <w:r>
        <w:t xml:space="preserve">Article 16.8: Relation to Other Chapters</w:t>
      </w:r>
      <w:bookmarkEnd w:id="900478"/>
    </w:p>
    <w:p>
      <w:pPr>
        <w:pStyle w:val="Normal"/>
      </w:pPr>
      <w:r>
        <w:t xml:space="preserve">Except for this Chapter, Chapter 1 (Initial Provisions and General Definitions), Chapter 30 (Administrative and Institutional Provisions), Chapter 31 (Dispute Settlement), Chapter 34 (Final Provisions), Article 29.2 (Publication), and Article 29.3 (Administrative Proceedings), this Agreement does not impose an obligation on a Party regarding its immigration measures.</w:t>
      </w:r>
    </w:p>
    <w:p>
      <w:pPr>
        <w:pStyle w:val="Heading2"/>
      </w:pPr>
      <w:bookmarkStart w:id="900479" w:name="_Toc300000478"/>
      <w:r>
        <w:t xml:space="preserve">ANNEX 16-A TEMPORARY ENTRY FOR BUSINESS PERSONS</w:t>
      </w:r>
      <w:bookmarkEnd w:id="900479"/>
    </w:p>
    <w:p>
      <w:pPr>
        <w:pStyle w:val="Normal"/>
      </w:pPr>
      <w:r>
        <w:t xml:space="preserve">Section A: Business Visitors 1. Each Party shall grant temporary entry to a business person seeking to engage in a business activity set out in Appendix 1, without requiring that person to obtain an employment authorization, provided that the business person otherwise complies with the Party’s measures applicable to temporary entry, on presentation of: (a) proof of citizenship of a Party; (b) documentation demonstrating that the business person will be so engaged and describing the purpose of entry; and (c) evidence demonstrating that the proposed business activity is international in scope and that the business person is not seeking to enter the local labor market. 2. Each Party shall provide that a business person may satisfy the requirements of paragraph 1(c) by demonstrating that: (a) the primary source of remuneration for the proposed business activity is outside the territory of the Party granting temporary entry; and (b) the business person’s principal place of business and the actual place of accrual of profits, at least predominantly, remain outside that Party’s territory.</w:t>
      </w:r>
    </w:p>
    <w:p>
      <w:pPr>
        <w:pStyle w:val="Normal"/>
      </w:pPr>
      <w:r>
        <w:t>A Party shall normally accept an oral declaration as to the principal place of business and the actual place of accrual of profits. Where the Party requires further proof, it shall normally consider a letter from the employer attesting to these matters as sufficient proof. 3.</w:t>
      </w:r>
    </w:p>
    <w:p>
      <w:pPr>
        <w:pStyle w:val="Normal"/>
      </w:pPr>
      <w:r>
        <w:t>Paragraph 1 does not limit the ability of a business person seeking to engage in a business activity other than those set out in Appendix 1 to seek temporary entry under a Party’s measures relating to the entry of business persons. 4. No Party shall: (a) as a condition for temporary entry under paragraph 1, require prior approval procedures, petitions, labor certification tests or other procedures of similar effect; or 16-A-1 (b) impose or maintain a numerical restriction relating to temporary entry under paragraph 1. 5. Notwithstanding paragraph 4, a Party may require a business person seeking temporary entry under this Section to obtain a visa or its equivalent prior to entry. Before imposing a visa requirement, the Party shall consult, on request,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 Section B: Traders and Investors 1.</w:t>
      </w:r>
    </w:p>
    <w:p>
      <w:pPr>
        <w:pStyle w:val="Normal"/>
      </w:pPr>
      <w:r>
        <w:t>Each Party shall grant temporary entry and provide confirming documentation to a business person seeking to: (a) carry on substantial trade in goods or services principally between the territory of the Party of which the business person is a citizen and the territory of the Party into which entry is sought; or (b) establish, develop, administer or provide advice or key technical services to the operation of an investment to which the business person or the business person’s enterprise has committed, or is in the process of committing, a substantial amount of capital, in a capacity that is supervisory, executive or involves essential skills, provided that the business person otherwise complies with the Party’s measures applicable to temporary entry. 2. No Party shall: (a) as a condition for temporary entry under paragraph 1, require labor certification tests or other procedures of similar effect; or (b) impose or maintain a numerical restriction relating to temporary entry under paragraph 1. 3.</w:t>
      </w:r>
    </w:p>
    <w:p>
      <w:pPr>
        <w:pStyle w:val="Normal"/>
      </w:pPr>
      <w:r>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pPr>
        <w:pStyle w:val="Normal"/>
      </w:pPr>
      <w:r>
        <w:t>With respect to an existing visa requirement, a Party shall consult, on request, with a Party whose business persons are subject to the requirement with a view to its removal. 16-A-2 Section C: Intra-Company Transferees 1. Each Party shall grant temporary entry and provide confirming documentation to a business person employed by an enterprise who seeks to render services to that enterprise or a subsidiary or affiliate thereof, in a capacity that is managerial, executive or involves specialized knowledge, provided that the business person otherwise complies with the Party’s measures applicable to temporary entry. A Party may require the business person to have been employed continuously by the enterprise for one year within the three-year period immediately preceding the date of the application for admission. 2. No Party shall: (a) as a condition for temporary entry under paragraph 1, require labor certification tests or other procedures of similar effect; or (b) impose or maintain a numerical restriction relating to temporary entry under paragraph 1. 3.</w:t>
      </w:r>
    </w:p>
    <w:p>
      <w:pPr>
        <w:pStyle w:val="Normal"/>
      </w:pPr>
      <w:r>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pPr>
        <w:pStyle w:val="Normal"/>
      </w:pPr>
      <w:r>
        <w:t>With respect to an existing visa requirement, a Party shall consult, on request, with a Party whose business persons are subject to the requirement with a view to its removal. Section D: Professionals 1. Each Party shall grant temporary entry and provide confirming documentation to a business person seeking to engage in a business activity at a professional level in a profession set out in Appendix 2, if the business person otherwise complies with the Party’s measures applicable to temporary entry, on presentation of: (a) proof of citizenship of a Party; and (b) documentation demonstrating that the business person will be so engaged and describing the purpose of entry. 16-A-3 2. No Party shall: (a) as a condition for temporary entry under paragraph 1, require prior approval procedures, petitions, labor certification tests or other procedures of similar effect; or (b) impose or maintain a numerical restriction relating to temporary entry under paragraph 1. 3. Notwithstanding paragraph 2, a Party may require a business person seeking temporary entry under this Section to obtain a visa or its equivalent prior to entry.</w:t>
      </w:r>
    </w:p>
    <w:p>
      <w:pPr>
        <w:pStyle w:val="Normal"/>
      </w:pPr>
      <w:r>
        <w:t>Before imposing a visa requirement, the Party shall consult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w:t>
      </w:r>
    </w:p>
    <w:p>
      <w:pPr>
        <w:pStyle w:val="Normal"/>
      </w:pPr>
      <w:r>
        <w:t xml:space="preserve">16-A-4</w:t>
      </w:r>
    </w:p>
    <w:p>
      <w:pPr>
        <w:pStyle w:val="Heading2"/>
      </w:pPr>
      <w:bookmarkStart w:id="900480" w:name="_Toc300000479"/>
      <w:r>
        <w:t xml:space="preserve">APPENDIX 1 BUSINESS VISITORS</w:t>
      </w:r>
      <w:bookmarkEnd w:id="900480"/>
    </w:p>
    <w:p>
      <w:pPr>
        <w:pStyle w:val="Normal"/>
      </w:pPr>
      <w:r>
        <w:t xml:space="preserve">Section A: Definitions For the purposes of this Appendix: territory of another Party means the territory of a Party other than the territory of the Party into which temporary entry is sought; tour bus operator means a natural person, including relief personnel accompanying or following to join, necessary for the operation of a tour bus for the duration of a trip; and transportation operator means a natural person, other than a tour bus operator, including relief personnel accompanying or following to join, necessary for the operation of a vehicle for the duration of a trip. Section B: Business Activities Research and Design • Technical, scientific and statistical researchers conducting independent research or research for an enterprise located in the territory of another Party. Growth, Manufacture, and Production • Harvester owner supervising a harvesting crew admitted under a Party’s law. • Purchasing and production management personnel conducting commercial transactions for an enterprise located in the territory of another Party. Marketing • Market researchers and analysts conducting independent research or analysis or research or analysis for an enterprise located in the territory of another Party. • Trade fair and promotional personnel attending a trade convention.</w:t>
      </w:r>
    </w:p>
    <w:p>
      <w:pPr>
        <w:pStyle w:val="Normal"/>
      </w:pPr>
      <w:r>
        <w:t>Sales • Sales representatives and agents taking orders or negotiating contracts for goods or services for an enterprise located in the territory of another Party but not delivering goods or supplying services. 16-A-1-1 • Buyers purchasing for an enterprise located in the territory of another Party. Distribution • Transportation operators transporting goods or passengers to the territory of a Party from the territory of another Party or loading and transporting goods or passengers from the territory of a Party, with no unloading in that territory, to the territory of another Party. • With respect to temporary entry into the territory of the United States, Canadian customs brokers performing brokerage duties relating to the export of goods from the territory of the United States to or through the territory of Canada. • With respect to temporary entry into the territory of Canada, United States customs brokers performing brokerage duties relating to the export of goods from the territory of Canada to or through the territory of the United States. • Customs brokers providing consulting services regarding the facilitation of the import or export of goods.</w:t>
      </w:r>
    </w:p>
    <w:p>
      <w:pPr>
        <w:pStyle w:val="Normal"/>
      </w:pPr>
      <w:r>
        <w:t>After Sales Services • Installers, repair and maintenance personnel, and supervisors, possessing specialized knowledge essential to a seller’s contractual obligation, performing services or training workers to perform services, pursuant to a warranty or other service contract incidental to the sale of commercial or industrial equipment or machinery, including computer software, purchased from an enterprise located outside the territory of the Party into which temporary entry is sought, during the life of the warranty or service agreement. General Service • Professionals engaging in a business activity at a professional level in a profession set out in Appendix 2 Commercial Transactions • Management and supervisory personnel engaging in a commercial transaction for an enterprise located in the territory of another Party. • Financial services personnel (insurers, bankers or investment brokers) engaging in commercial transactions for an enterprise located in the territory of another Party. Public Relations and Advertising • Public relations and advertising personnel consulting with business associates, or attending or participating in conventions. 16-A-1-2 Tourism • Tourism personnel (tour and travel agents, tour guides or tour operators) attending or participating in conventions or conducting a tour that has begun in the territory of another Party.</w:t>
      </w:r>
    </w:p>
    <w:p>
      <w:pPr>
        <w:pStyle w:val="Normal"/>
      </w:pPr>
      <w:r>
        <w:t xml:space="preserve">Tour Bus Operation • Tour bus operators entering the territory of a Party: (a) with a group of passengers on a bus tour that has begun in, and will return to, the territory of another Party; (b) to meet a group of passengers on a bus tour that will end, and the predominant portion of which will take place, in the territory of another Party; or (c) with a group of passengers on a bus tour to be unloaded in the territory of the Party into which temporary entry is sought, and returning with no passengers or reloading with the group for transportation to the territory of another Party. Translation • Translators or interpreters performing services as employees of an enterprise located in the territory of another Party. 16-A-1-3</w:t>
      </w:r>
    </w:p>
    <w:p>
      <w:pPr>
        <w:pStyle w:val="Heading2"/>
      </w:pPr>
      <w:bookmarkStart w:id="900481" w:name="_Toc300000480"/>
      <w:r>
        <w:t xml:space="preserve">APPENDIX 2 PROFESSIONALS</w:t>
      </w:r>
      <w:bookmarkEnd w:id="900481"/>
    </w:p>
    <w:p>
      <w:pPr>
        <w:pStyle w:val="Normal"/>
      </w:pPr>
      <w:r>
        <w:t xml:space="preserve">PROFESSION1 MINIMUM EDUCATION REQUIREMENTS AND ALTERNATIVE CREDENTIALS General Accountant Baccalaureate or Licenciatura Degree; or C.P.A., C.A., C.G.A. or C.M.A.</w:t>
      </w:r>
    </w:p>
    <w:p>
      <w:pPr>
        <w:pStyle w:val="Normal"/>
      </w:pPr>
      <w:r>
        <w:t>Architect Baccalaureate or Licenciatura Degree; or state/provincial license2 Computer Systems Analyst Baccalaureate or Licenciatura Degree; or Post- Secondary Diploma3 or Post-Secondary Certificate,4 and three years experience Disaster Relief Insurance Claims Adjuster (claims Baccalaureate or Licenciatura Degree, and Adjuster employed by an insurance company successful completion of training in the located in the territory of a Party, or an appropriate areas of insurance adjustment independent claims adjuster) pertaining to disaster relief claims; or three years experience in claims adjustment and successful completion of training in the appropriate areas of insurance adjustment pertaining to disaster relief claims Economist Baccalaureate or Licenciatura Degree 1 A business person seeking temporary entry under this Appendix may also perform training functions relating to the profession, including conducting seminars. 2 “State/provincial license” and “state/provincial/federal license” mean a document issued by a state, provincial, or federal government, as the case may be, or under its authority, but not by a local government, that permits a person to engage in a regulated activity or profession. 3 “Post-Secondary Diploma” means a credential issued, on completion of two or more years of postsecondary education, by an accredited academic institution in Canada or the United States.</w:t>
      </w:r>
    </w:p>
    <w:p>
      <w:pPr>
        <w:pStyle w:val="Normal"/>
      </w:pPr>
      <w:r>
        <w:t>4 “Post-Secondary Certificate” means a certificate issued, on completion of two or more years of postsecondary education at an academic institution, by the federal government of Mexico or a state government in Mexico, an academic institution recognized by the federal government or a state government, or an academic institution created by federal or state law. 16-A-2-1 Engineer Baccalaureate or Licenciatura Degree; or state/provincial license Forester Baccalaureate or Licenciatura Degree; or state/provincial license Graphic Designer Baccalaureate or Licenciatura Degree; or Post- Secondary Diploma or Post-Secondary Certificate, and three years experience Hotel Manager Baccalaureate or Licenciatura Degree in hotel/restaurant management; or Post-Secondary Diploma or Post-Secondary Certificate in hotel/restaurant management, and three years experience in hotel/restaurant management Industrial Designer Baccalaureate or Licenciatura Degree; or Post- Secondary Diploma or Post-Secondary Certificate, and three years experience Interior Designer Baccalaureate or Licenciatura Degree; or Post- Secondary Diploma or Post-Secondary Certificate, and three years experience Land Surveyor Baccalaureate or Licenciatura Degree; or state/provincial/federal license Landscape Architect Baccalaureate or Licenciatura Degree Lawyer (including Notary in the Province of LL.B., J.D., LL.L., B.C.L. or Licenciatura Quebec) Degree (five years); or membership in a state/provincial bar Librarian M.L.S.</w:t>
      </w:r>
    </w:p>
    <w:p>
      <w:pPr>
        <w:pStyle w:val="Normal"/>
      </w:pPr>
      <w:r>
        <w:t>or B.L.S. (for which another Baccalaureate or Licenciatura Degree was a prerequisite) Management Consultant Baccalaureate or Licenciatura Degree; or equivalent professional experience as established by statement or professional credential attesting to five years experience as a management consultant, or five years experience 16-A-2-2 Mathematician (including Statistician)5 Range Manager/Range Conservationalist Research Assistant (working in a post-secondary educational institution) Scientific Technician/Technologist6 Social Worker Sylviculturist (including Forestry Specialist) Technical Publications Writer Urban Planner (including Geographer) Vocational Counsellor Medical/Allied Professional Dentist in a field of specialty related to the consulting agreement Baccalaureate or Licenciatura Degree Baccalaureate or Licenciatura Degree Baccalaureate or Licenciatura Degree Possession of (a) theoretical knowledge of any of the following disciplines: agricultural sciences, astronomy, biology, chemistry, engineering, forestry, geology, geophysics, meteorology or physics; and (b) the ability to solve practical problems in any of those disciplines, or the ability to apply principles of any of those disciplines to basic or applied research Baccalaureate or Licenciatura Degree Baccalaureate or Licenciatura Degree Baccalaureate or Licenciatura Degree; or Post- Secondary Diploma or Post-Secondary Certificate, and three years experience Baccalaureate or Licenciatura Degree Baccalaureate or</w:t>
      </w:r>
    </w:p>
    <w:p>
      <w:pPr>
        <w:pStyle w:val="Normal"/>
      </w:pPr>
      <w:r>
        <w:t>Licenciatura Degree D.D.S., D.M.D., Doctor en Odontologia or Doctor en Cirugia Dental; or state/provincial license 5 In accordance with the NAFTA 1994 Commission decision of October 7, 2003, the term “Mathematician” includes the profession of Actuary. 6 A business person in this category must be seeking temporary entry to work in direct support of professionals in agricultural sciences, astronomy, biology, chemistry, engineering, forestry, geology, geophysics, meteorology, or physics. 16-A-2-3 Dietitian Baccalaureate or Licenciatura Degree; or state/provincial license Medical Laboratory Technologist Baccalaureate or Licenciatura Degree; or Post (Canada)/Medical Technologist (Mexico and the Secondary Diploma or Post-Secondary United States)7 Certificate, and three years experience Nutritionist Baccalaureate or Licenciatura Degree Occupational Therapist Baccalaureate or Licenciatura Degree; or state/provincial license Pharmacist Baccalaureate or Licenciatura Degree; or state/provincial license Physician (teaching or research only) M.D. or Doctor en Medicina; or state/provincial license Physiotherapist/Physical Therapist Baccalaureate or Licenciatura Degree; or state/provincial license Psychologist State/provincial license; or Licenciatura Degree Recreational Therapist Baccalaureate or Licenciatura Degree Registered Nurse State/provincial license; or Licenciatura Degree Veterinarian D.V.M., D.M.V.</w:t>
      </w:r>
    </w:p>
    <w:p>
      <w:pPr>
        <w:pStyle w:val="Normal"/>
      </w:pPr>
      <w:r>
        <w:t>or Doctor en Veterinaria; or state/provincial license Scientist Agriculturist (including Agronomist) Baccalaureate or Licenciatura Degree Animal Breeder Baccalaureate or Licenciatura Degree Animal Scientist Baccalaureate or Licenciatura Degree A business person in this category must be seeking temporary entry to perform in a laboratory chemical, biological, hematological, immunologic, microscopic, or bacteriological tests and analyses for diagnosis, treatment or prevention of disease. 16-A-2-4 Apiculturist Astronomer Biochemist Biologist8 Chemist Dairy Scientist Entomologist Epidemiologist Geneticist Geologist Geochemist Geophysicist (including Oceanographer in Mexico and the United States) Horticulturist Meteorologist Pharmacologist Physicist (including Oceanographer in Canada) Plant Breeder Poultry Scientist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8 In</w:t>
      </w:r>
    </w:p>
    <w:p>
      <w:pPr>
        <w:pStyle w:val="Normal"/>
      </w:pPr>
      <w:r>
        <w:t>accordance with the NAFTA 1994 Commission decision of October 7, 2003, the term “Biologist” includes the profession of Plant Pathologist. 16-A-2-5 Soil Scientist Baccalaureate or Licenciatura Degree Zoologist Baccalaureate or Licenciatura Degree Teacher College Baccalaureate or Licenciatura Degree Seminary Baccalaureate or Licenciatura Degree University Baccalaureate or Licenciatura Degree 16-A-2-6</w:t>
      </w:r>
    </w:p>
    <w:p>
      <w:pPr>
        <w:pStyle w:val="ModHeading"/>
      </w:pPr>
      <w:bookmarkStart w:id="900482" w:name="_Toc300000481"/>
      <w:r>
        <w:t>CHAPTER 16: CUSMA 2.0 MOBILITY SUPPLEMENT</w:t>
      </w:r>
      <w:bookmarkEnd w:id="900482"/>
    </w:p>
    <w:p>
      <w:pPr>
        <w:pStyle w:val="Heading2"/>
      </w:pPr>
      <w:bookmarkStart w:id="900483" w:name="_Toc300000482"/>
      <w:r>
        <w:t>Article 16.B: Trusted North American Visitor and Snowbird Mobility Framework</w:t>
      </w:r>
      <w:bookmarkEnd w:id="900483"/>
    </w:p>
    <w:p>
      <w:pPr>
        <w:pStyle w:val="Normal"/>
      </w:pPr>
      <w:r>
        <w:t>1. Without altering the scope of Articles 16.1 through 16.4 for business persons, the Parties establish a reciprocal administrative-cooperation framework for citizens making lawful temporary visits for tourism, seasonal residence, family visits, or comparable non-employment purposes.</w:t>
      </w:r>
    </w:p>
    <w:p>
      <w:pPr>
        <w:pStyle w:val="Normal"/>
      </w:pPr>
      <w:r>
        <w:t>2. A Party may establish or expand voluntary trusted-traveler programs, including interoperable or linked programs building on NEXUS and preclearance arrangements, for pre-screened citizens of another Party. Participation does not create a right of admission and remains subject to each Party's immigration, customs, public-health, criminal, and national-security laws.</w:t>
      </w:r>
    </w:p>
    <w:p>
      <w:pPr>
        <w:pStyle w:val="Normal"/>
      </w:pPr>
      <w:r>
        <w:t>3. For verified trusted visitors, the Parties shall endeavor to provide expedited processing, clear electronic records of authorized stay where applicable, advance resolution channels for routine documentation problems, and rapid correction procedures for mistaken identity or materially erroneous travel-status records.</w:t>
      </w:r>
    </w:p>
    <w:p>
      <w:pPr>
        <w:pStyle w:val="Normal"/>
      </w:pPr>
      <w:r>
        <w:t>4. Where a verified citizen of another Party is refused admission solely on ordinary admissibility or documentation grounds and presents no identified criminal, security, public-safety, or flight risk, the refusing Party shall, to the extent permitted by domestic law, prefer prompt return or voluntary withdrawal over unnecessary custodial detention.</w:t>
      </w:r>
    </w:p>
    <w:p>
      <w:pPr>
        <w:pStyle w:val="Normal"/>
      </w:pPr>
      <w:r>
        <w:t>5. A detained citizen of another Party shall receive access to consular notification and communication consistent with applicable law and international obligations. The Parties shall maintain supervisory-review procedures for prolonged immigration detention of verified temporary visitors.</w:t>
      </w:r>
    </w:p>
    <w:p>
      <w:pPr>
        <w:pStyle w:val="Normal"/>
      </w:pPr>
      <w:r>
        <w:t>6. The Parties shall expand preclearance and trusted-traveler capacity where justified by traffic volumes, infrastructure, security, and cost, including consideration of airports, rail, marine, and land-border facilities.</w:t>
      </w:r>
    </w:p>
    <w:p>
      <w:pPr>
        <w:pStyle w:val="Normal"/>
      </w:pPr>
      <w:r>
        <w:t>7. The framework shall be reciprocal. Nothing in this Article limits a Party's authority to refuse admission, investigate fraud, enforce lawful periods of stay, or take proportionate action against persons who violate immigration or criminal law.</w:t>
      </w:r>
    </w:p>
    <w:p>
      <w:pPr>
        <w:pStyle w:val="Normal"/>
      </w:pPr>
      <w:r>
        <w:rPr>
          <w:b w:val="false"/>
        </w:rPr>
        <w:t>8. No Amnesty; No Immigration Entitlement. Nothing in this Article, the Trusted North American Visitor framework, or the temporary-entry provisions of this Agreement grants permanent residence, citizenship, amnesty, access to the general labor market, a right of admission, or immunity from immigration enforcement. Temporary or trusted status remains limited to the purpose and period authorized under the law of the admitting Party.</w:t>
      </w:r>
    </w:p>
    <w:p>
      <w:pPr>
        <w:pStyle w:val="Heading1"/>
      </w:pPr>
      <w:bookmarkStart w:id="900484" w:name="_Toc300000483"/>
      <w:r>
        <w:t>CHAPTER 17 FINANCIAL SERVICES</w:t>
      </w:r>
      <w:bookmarkEnd w:id="900484"/>
    </w:p>
    <w:p>
      <w:pPr>
        <w:pStyle w:val="Heading2"/>
      </w:pPr>
      <w:bookmarkStart w:id="900485" w:name="_Toc300000484"/>
      <w:r>
        <w:t xml:space="preserve">Article 17.1: Definitions</w:t>
      </w:r>
      <w:bookmarkEnd w:id="900485"/>
    </w:p>
    <w:p>
      <w:pPr>
        <w:pStyle w:val="Normal"/>
      </w:pPr>
      <w:r>
        <w:t xml:space="preserve">For the purposes of this Chapter: computing facility means a computer server or storage device for the processing or storage of information for the conduct of business within the scope of the license, authorization, or registration of a covered person, but does not include a computer server or storage device of or those used to access: (a) financial market infrastructures;</w:t>
      </w:r>
    </w:p>
    <w:p>
      <w:pPr>
        <w:pStyle w:val="Normal"/>
      </w:pPr>
      <w:r>
        <w:t>(b) exchanges or markets for securities or for derivatives such as futures, options, and swaps; or (c) non-governmental bodies that exercise regulatory or supervisory authority over covered persons; covered person means (a) a financial institution of another Party; or (b) a cross-border financial service supplier of another Party that is subject to regulation, supervision, and licensing, authorization, or registration by a financial regulatory authority of the Party;1 cross-border financial service supplier of a Party means a person of a Party that is engaged in the business of supplying a financial service within the territory of the Party and that seeks to supply or supplies a financial service through the cross-border supply of that service; cross-border trade in financial services or cross-border supply of financial services means the supply of a financial service: (a) from the territory of a Party into the territory of another Party; 1 For greater certainty, whenever a cross-border financial service supplier of another Party is subject to regulation, supervision, and</w:t>
      </w:r>
    </w:p>
    <w:p>
      <w:pPr>
        <w:pStyle w:val="Normal"/>
      </w:pPr>
      <w:r>
        <w:t>licensing, authorization, or registration by a financial regulatory authority of the Party, that supplier is a covered person for the purposes of this Chapter. For greater certainty, if a financial regulatory authority of the Party foregoes imposition of certain regulatory or supervisory requirements on the condition that a cross-border financial service supplier of another Party comply with certain regulatory or supervisory requirements imposed by a financial regulatory authority of the other Party, that supplier is a covered person.</w:t>
      </w:r>
    </w:p>
    <w:p>
      <w:pPr>
        <w:pStyle w:val="Normal"/>
      </w:pPr>
      <w:r>
        <w:t>(b) in the territory of a Party by a person of that Party to a person of another Party; or (c) by a national of a Party in the territory of another Party, but does not include the supply of a financial service in the territory of a Party by a covered investment; financial institution means a financial intermediary or other enterprise that is authorized to do business and is regulated or supervised as a financial institution under the law of the Party in whose territory it is located; financial institution of another Party means a financial institution, including a branch, located in the territory of a Party that is controlled by a person of another Party; financial market infrastructure means a multi-participant system in which a covered person participates with other financial service suppliers, including the operator of the system, used for the purposes of clearing, settling, or recording payments, securities, derivatives, or other financial</w:t>
      </w:r>
    </w:p>
    <w:p>
      <w:pPr>
        <w:pStyle w:val="Normal"/>
      </w:pPr>
      <w:r>
        <w:t>transactions; financial service means a service of a financial nature. Financial services include all insurance and insurance-related services, and all banking and other financial services (excluding insurance), as well as services incidental or auxiliary to a service of a financial nature. Financial services include the following activities: Insurance and insurance-related services (a) direct insurance (including co-insurance): (i) life, (ii) non-life; (b) reinsurance and retrocession; (c) insurance intermediation, such as brokerage and agency; and (d) services auxiliary to insurance, such as consultancy, actuarial, risk assessment, and claim settlement services; Banking and other financial services (excluding insurance) (e) acceptance of deposits and other repayable funds from the public; (f) lending of all types, including consumer credit, mortgage credit, factoring, and financing of commercial transactions; (g) financial leasing; (h) all payment and money transmission services, including credit, charge and debit cards, travelers checks, and bankers drafts; (i) guarantees and commitments; (j) trading for own account or for account of customers, whether on an exchange, in an over-the-counter market or otherwise, the following:</w:t>
      </w:r>
    </w:p>
    <w:p>
      <w:pPr>
        <w:pStyle w:val="Normal"/>
      </w:pPr>
      <w:r>
        <w:t>(i) money market instruments (including checks, bills, certificates of deposits), (ii) foreign exchange, (iii) derivative products, including futures and options, (iv) exchange rate and interest rate instruments, including products such as swaps and</w:t>
      </w:r>
    </w:p>
    <w:p>
      <w:pPr>
        <w:pStyle w:val="Normal"/>
      </w:pPr>
      <w:r>
        <w:t>forward rate agreements, (v) transferable securities, and (vi) other negotiable instruments and financial assets, including bullion; (k) participation in issues of all kinds of securities, including underwriting and placement as agent (whether publicly or privately) and supply of services related to these issues; (l) money broking; (m) asset management, such as cash or portfolio management, all forms of collective investment management, pension fund management, custodial, depository, and trust services; (n) settlement and clearing services for financial assets, including securities, derivative products, and other negotiable instruments;</w:t>
      </w:r>
    </w:p>
    <w:p>
      <w:pPr>
        <w:pStyle w:val="Normal"/>
      </w:pPr>
      <w:r>
        <w:t>(o) provision and transfer of financial information, and financial data processing and related software by suppliers of other financial services; and (p) advisory, intermediation and other auxiliary financial services on all the activities listed in subparagraphs (e) through (o), including credit reference and analysis, investment and portfolio research and advice, advice on acquisitions, and on corporate restructuring and strategy; financial service supplier of a Party means a person of a Party that is engaged in the business of supplying a financial service within the territory of that Party; investment means “investment” as defined in Article 1 4 .1 (Definitions), except that with respect to “loans” and “debt instruments” referred to in that Article: (a) a loan to or debt instrument issued by a financial institution is an investment only</w:t>
      </w:r>
    </w:p>
    <w:p>
      <w:pPr>
        <w:pStyle w:val="Normal"/>
      </w:pPr>
      <w:r>
        <w:t>if it is treated as regulatory capital by the Party in whose territory the financial institution is located; and (b) a loan granted by or debt instrument owned by a financial institution, other than a loan to or debt instrument issued by a financial institution referred to in subparagraph (a), is not an investment; for greater certainty, a loan granted, or debt instrument owned, by a cross-border financial service supplier, other than a loan to or debt instrument issued by a financial institution, is an investment for the purposes of Chapter 14 (Investment), if that loan or debt instrument meets the criteria for investments set out in Article 14.1 (Definitions); investor of a Party means a Party, or a person of a Party, that attempts to make,2 is making, or has made an investment in the territory of another Party;</w:t>
      </w:r>
    </w:p>
    <w:p>
      <w:pPr>
        <w:pStyle w:val="Normal"/>
      </w:pPr>
      <w:r>
        <w:t>new financial service means a financial service not supplied in the Party’s territory that is supplied within the territory of another Party, and includes any new form of delivery of a financial service or the sale of a financial product that is not sold in the Party’s territory; person of a Party means “person of a Party” as defined in Article 1.4 (General Definitions) and, for greater certainty, does not include a branch of an enterprise of a non-Party; public entity means a central bank or monetary authority of a Party, or a financial institution that is owned or controlled by a Party; and self-regulatory organization means a non-governmental body, including a</w:t>
      </w:r>
    </w:p>
    <w:p>
      <w:pPr>
        <w:pStyle w:val="Normal"/>
      </w:pPr>
      <w:r>
        <w:t>securities or futures exchange or market, clearing agency, or other organization or association, that exercises regulatory or supervisory authority over financial service suppliers or financial institutions by statute or delegation from a central or regional government. 2 For greater certainty, the Parties understand that an investor “attempts to make” an investment when that investor has taken concrete action or actions to make an investment, such as channeling resources or capital in order to set up a business, or applying for permits or licenses.</w:t>
      </w:r>
    </w:p>
    <w:p>
      <w:pPr>
        <w:pStyle w:val="Heading2"/>
      </w:pPr>
      <w:bookmarkStart w:id="900486" w:name="_Toc300000485"/>
      <w:r>
        <w:t xml:space="preserve">Article 17.2: Scope</w:t>
      </w:r>
      <w:bookmarkEnd w:id="900486"/>
    </w:p>
    <w:p>
      <w:pPr>
        <w:pStyle w:val="Normal"/>
      </w:pPr>
      <w:r>
        <w:t xml:space="preserve">1. This Chapter applies to a measure adopted or maintained by a Party relating to: (a) a financial institution of another Party; (b) an investor of another Party, and an investment of that investor, in a financial institution in the Party’s territory; and (c) cross-border trade in financial services. 2. Chapter 14 (Investment) and Chapter 15 (Cross-Border Trade in Services) apply to a measure described in paragraph 1 only to the extent that those Chapters are incorporated into this Chapter. (a) Article 14.6 (Minimum Standard of Treatment), Article 14.7 (Treatment in Case of Armed Conflict or Civil Strife), Article 14.8 (Expropriation and Compensation), Article 14.9 (Transfers), Article 14.13 (Special Formalities and Information Requirements), Article 14.14 (Denial of Benefits), Article 14.16 (Investment and Environmental, Health, Safety, and other Regulatory Objectives), and Article 15.11 (Denial of Benefits) are incorporated into and made a part of this Chapter. (b) Article 15.12 (Payments and Transfers) is incorporated into and made a part of this Chapter to the extent that cross-border trade in financial services is subject to obligations pursuant to Article 17.3.3 (National Treatment), Article 17.5.1(b) and (c) (Market Access), and Article 17.6 (Cross-Border Trade Standstill). 3.</w:t>
      </w:r>
    </w:p>
    <w:p>
      <w:pPr>
        <w:pStyle w:val="Normal"/>
      </w:pPr>
      <w:r>
        <w:t>This Chapter does not apply to a measure adopted or maintained by a Party relating to: (a) an activity or a service forming part of a public retirement plan or statutory system of social security; or (b) an activity or a service conducted for the account or with the guarantee or using the financial resources of the Party, including its public entities, except that this Chapter applies to the extent that a Party allows an activity or service referred to in subparagraph (a) or (b) to be conducted by its financial institutions in competition with a public entity or a financial institution. 4. This Chapter does not apply to government procurement of financial services. 5. This Chapter does not apply to a subsidy or a grant provided by a Party, including a government supported loan, guarantee, and insurance, with respect to the cross-border supply of financial services by a cross-border supplier of another Party.</w:t>
      </w:r>
    </w:p>
    <w:p>
      <w:pPr>
        <w:pStyle w:val="Heading2"/>
      </w:pPr>
      <w:bookmarkStart w:id="900487" w:name="_Toc300000486"/>
      <w:r>
        <w:t xml:space="preserve">Article 17.3: National Treatment</w:t>
      </w:r>
      <w:bookmarkEnd w:id="900487"/>
    </w:p>
    <w:p>
      <w:pPr>
        <w:pStyle w:val="Normal"/>
      </w:pPr>
      <w:r>
        <w:t xml:space="preserve">1. Each Party shall accord to investors of another Party treatment no less favorable than that it accords to its own investors, in like circumstances, with respect to the establishment, acquisition, expansion, management, conduct, operation, and sale or other disposition of financial institutions, and investments in financial institutions in its territory. 2. Each Party shall accord to financial institutions of another Party, and to investments of investors of another Party in financial institutions, treatment no less favorable than that it accords to its own financial institutions, and to investments of its own investors in financial institutions, in like circumstances, with respect to the establishment, acquisition, expansion, management, conduct, operation, and sale or other disposition of financial institutions and investments. 3. Each Party shall accord to:</w:t>
      </w:r>
    </w:p>
    <w:p>
      <w:pPr>
        <w:pStyle w:val="Normal"/>
      </w:pPr>
      <w:r>
        <w:t>(a) financial services or cross-border financial service suppliers of another Party seeking to supply or supplying the financial services as specified by the Party in Annex 17-A (Cross-Border Trade); and (b) financial services or cross-border financial service suppliers of another Party seeking to supply or supplying financial services subject to paragraph 4, treatment no less favorable than that it accords to its own financial services and financial service suppliers, in like circumstances. 4.</w:t>
      </w:r>
    </w:p>
    <w:p>
      <w:pPr>
        <w:pStyle w:val="Normal"/>
      </w:pPr>
      <w:r>
        <w:t>Subparagraph 3(b) does not require a Party to permit a cross-border financial service supplier of another Party to do business or solicit in the Party’s territory. A Party may define “doing business” and “solicitation” in its law for the purposes of this paragraph. 5. The treatment to be accorded by a Party under paragraphs 1, 2, and 3 means, with respect to a government other than at the central level, treatment no less favorable than the most favorable treatment accorded, in like circumstances, by that government to financial institutions of the Party, investors of the Party, and investments of those investors, in financial institutions; or financial services or financial service suppliers, of the Party. 6. 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pPr>
        <w:pStyle w:val="Heading2"/>
      </w:pPr>
      <w:bookmarkStart w:id="900488" w:name="_Toc300000487"/>
      <w:r>
        <w:t xml:space="preserve">Article 17.4: Most-Favored-Nation Treatment</w:t>
      </w:r>
      <w:bookmarkEnd w:id="900488"/>
    </w:p>
    <w:p>
      <w:pPr>
        <w:pStyle w:val="Normal"/>
      </w:pPr>
      <w:r>
        <w:t xml:space="preserve">1. Each Party shall accord to: (a) investors of another Party, treatment no less favorable than that it accords to investors of any other Party or of a non-Party, in like circumstances; (b) financial institutions of another Party, treatment no less favorable than that it accords to financial institutions of any other Party or of a non-Party, in like circumstances; (c) investments of investors of another Party in a financial institution, treatment no less favorable than that it accords to investments of investors of any other Party or of a non-Party in financial institutions, in like circumstances; and (d) financial services or cross-border financial service suppliers of another Party, treatment no less favorable than that it accords to financial services and cross-border financial service suppliers of any other Party or of a non-Party, in like circumstances. 2.</w:t>
      </w:r>
    </w:p>
    <w:p>
      <w:pPr>
        <w:pStyle w:val="Normal"/>
      </w:pPr>
      <w:r>
        <w:t>The treatment to be accorded by a Party under paragraph 1 means, with respect to a government other than at the central level, treatment no less favorable than the most favorable treatment accorded, in like circumstances, by that government to financial institutions of another Party or a non-Party; investors of another Party or a non-Party, and investments of those investors, in financial institutions; or financial services or cross-border financial service suppliers of another Party or non-Party. 3.</w:t>
      </w:r>
    </w:p>
    <w:p>
      <w:pPr>
        <w:pStyle w:val="Normal"/>
      </w:pPr>
      <w:r>
        <w:t>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pPr>
        <w:pStyle w:val="Heading2"/>
      </w:pPr>
      <w:bookmarkStart w:id="900489" w:name="_Toc300000488"/>
      <w:r>
        <w:t xml:space="preserve">Article 17.5: Market Access</w:t>
      </w:r>
      <w:bookmarkEnd w:id="900489"/>
    </w:p>
    <w:p>
      <w:pPr>
        <w:pStyle w:val="Normal"/>
      </w:pPr>
      <w:r>
        <w:t xml:space="preserve">1. No Party shall adopt or maintain with respect to: (a) a financial institution of another Party or, an investor of another Party seeking to establish those institutions; (b) a cross-border financial service supplier of another Party seeking to supply or supplying the financial services as specified by the Party in Annex 17-A (Cross- Border Trade); or (c) a cross-border financial service supplier of another Party seeking to supply or supplying financial services, subject to paragraph 2, either on the basis of a regional subdivision or on the basis of its entire territory, a measure that: (d) imposes a limitation on:</w:t>
      </w:r>
    </w:p>
    <w:p>
      <w:pPr>
        <w:pStyle w:val="Normal"/>
      </w:pPr>
      <w:r>
        <w:t>(i) the number of financial institutions or cross-border financial service suppliers, whether in the form of numerical quotas, monopolies, exclusive service suppliers or the requirement of an economic needs test, (ii) the total value of financial service transactions or assets in the form of numerical quotas or the requirement of an economic needs test, (iii) the total number of financial service operations or the total quantity of financial services output expressed in terms of designated numerical units in the form of quotas or the requirement of an economic needs test,3 or (iv) the total number of natural persons that may be employed in a particular financial service sector or that a financial institution or cross- border f i n a n c i a l service supplier may employ and who are necessary for, and directly related to, the supply of</w:t>
      </w:r>
    </w:p>
    <w:p>
      <w:pPr>
        <w:pStyle w:val="Normal"/>
      </w:pPr>
      <w:r>
        <w:t>a specific financial service in the form of numerical quotas or the requirement of an economic needs test; or (e) restricts or requires specific types of legal entity or joint venture through which a financial institution or cross-border financial service supplier may supply a service. 2. Subparagraph 1(c) does not require a Party to permit a cross-border financial service supplier of another Party to do business or solicit in the Party’s territory. A Party may define “doing business” and “solicitation” in its law for the purposes of this paragraph. 3. No Party shall require a cross-border financial service supplier of another Party to establish or maintain a representative office or an enterprise, or to be resident, in its territory as a condition for the cross-border supply of a financial service, with respect to the financial services referred to in Article 17.6 (Cross-Border Trade Standstill) and the financial services as specified 3 Subparagraph (d)(iii) does not cover measures of a Party that limit inputs for the supply of financial services. by the Party in Annex 17-A (Cross-Border Trade). 4.</w:t>
      </w:r>
    </w:p>
    <w:p>
      <w:pPr>
        <w:pStyle w:val="Normal"/>
      </w:pPr>
      <w:r>
        <w:t>For greater certainty, a Party may require the registration or authorization of a cross- border financial service supplier of another Party or of a financial instrument.</w:t>
      </w:r>
    </w:p>
    <w:p>
      <w:pPr>
        <w:pStyle w:val="Heading2"/>
      </w:pPr>
      <w:bookmarkStart w:id="900490" w:name="_Toc300000489"/>
      <w:r>
        <w:t xml:space="preserve">Article 17.6: Cross-Border Trade Standstill</w:t>
      </w:r>
      <w:bookmarkEnd w:id="900490"/>
    </w:p>
    <w:p>
      <w:pPr>
        <w:pStyle w:val="Normal"/>
      </w:pPr>
      <w:r>
        <w:t xml:space="preserve">No Party shall adopt a measure restricting any type of cross-border trade in financial services by cross-border financial service suppliers of another Party that the Party permitted on January 1, 1994, or that is inconsistent with Article 17.3.3 (National Treatment), with respect to the supply of those services.</w:t>
      </w:r>
    </w:p>
    <w:p>
      <w:pPr>
        <w:pStyle w:val="Heading2"/>
      </w:pPr>
      <w:bookmarkStart w:id="900491" w:name="_Toc300000490"/>
      <w:r>
        <w:t xml:space="preserve">Article 17.7: New Financial Services</w:t>
      </w:r>
      <w:r>
        <w:rPr>
          <w:vertAlign w:val="superscript"/>
        </w:rPr>
        <w:t xml:space="preserve">4</w:t>
      </w:r>
      <w:bookmarkEnd w:id="900491"/>
    </w:p>
    <w:p>
      <w:pPr>
        <w:pStyle w:val="Normal"/>
      </w:pPr>
      <w:r>
        <w:t xml:space="preserve">Each Party shall permit a financial institution of another Party to supply a new financial service that the Party would permit its own financial institutions, in like circumstances, to supply without adopting a law or modifying an existing law.5 Notwithstanding Article 17.5.1(a) and(e) (Market Access), a Party may determine the institutional and juridical form through which the new financial service may be supplied and may require authorization for the supply of the service. If a Party requires a financial institution to obtain authorization to supply a new financial service, the Party shall decide within a reasonable period of time whether to issue the authorization and may refuse the authorization only for prudential reasons.</w:t>
      </w:r>
    </w:p>
    <w:p>
      <w:pPr>
        <w:pStyle w:val="Heading2"/>
      </w:pPr>
      <w:bookmarkStart w:id="900492" w:name="_Toc300000491"/>
      <w:r>
        <w:t xml:space="preserve">Article 17.8: Treatment of Customer Information</w:t>
      </w:r>
      <w:bookmarkEnd w:id="900492"/>
    </w:p>
    <w:p>
      <w:pPr>
        <w:pStyle w:val="Normal"/>
      </w:pPr>
      <w:r>
        <w:t xml:space="preserve">This Chapter does not require a Party to disclose information related to the financial affairs or accounts of individual customers of financial institutions or cross-border financial service suppliers. 4 The Parties understand that nothing in this Article prevents a financial institution of a Party from applying to another Party to request that it authorize the supply of a financial service that is not supplied in the territory of any Party. That application will be subject to the law of the Party to which the application is made and, for greater certainty, is not subject to this Article. 5 For greater certainty, a Party may issue a new regulation or other subordinate measure in permitting the supply of the new financial service.</w:t>
      </w:r>
    </w:p>
    <w:p>
      <w:pPr>
        <w:pStyle w:val="Heading2"/>
      </w:pPr>
      <w:bookmarkStart w:id="900493" w:name="_Toc300000492"/>
      <w:r>
        <w:t xml:space="preserve">Article 17.9: Senior Management and Boards of Directors</w:t>
      </w:r>
      <w:bookmarkEnd w:id="900493"/>
    </w:p>
    <w:p>
      <w:pPr>
        <w:pStyle w:val="Normal"/>
      </w:pPr>
      <w:r>
        <w:t xml:space="preserve">1. No Party shall require a financial institution of another Party to engage a natural person of a particular nationality as senior managerial or other essential personnel. 2. No Party shall require that more than a simple majority of the board of directors of a financial institution of another Party be composed of nationals of the Party, persons residing in the territory of the Party, or a combination thereof.</w:t>
      </w:r>
    </w:p>
    <w:p>
      <w:pPr>
        <w:pStyle w:val="Heading2"/>
      </w:pPr>
      <w:bookmarkStart w:id="900494" w:name="_Toc300000493"/>
      <w:r>
        <w:t xml:space="preserve">Article 17.10: Non-Conforming Measures</w:t>
      </w:r>
      <w:bookmarkEnd w:id="900494"/>
    </w:p>
    <w:p>
      <w:pPr>
        <w:pStyle w:val="Normal"/>
      </w:pPr>
      <w:r>
        <w:t xml:space="preserve">1. Article 17.3 (National Treatment), Article 17.4 (Most-Favored-Nation Treatment), Article 17.5 (Market Access), and Article 17.9 (Senior Management and Boards of Directors) do not apply to: (a) an existing non-conforming measure that is maintained by a Party at: (i) the central level of government, as set out by that Party in Section A of its Schedule to Annex III, (ii) a regional level of government, as set out by that Party in Section A of its Schedule to Annex III,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 immediately before the amendment, with Articles 17.3.1 and 17.3.2 (National Treatment), Article 17.4 (Most-Favored-Nation Treatment), Article 17.5.1(a) (Market Access), or Article 17.9 (Senior Management and Boards of Directors), or (ii) on the date of entry into force of this Agreement for the Party applying the non-conforming measure with Article 17.3.3 (National Treatment), Article 17.5.1(b) (Market Access), or Article 17.5.1(c) (Market Access). 2.</w:t>
      </w:r>
    </w:p>
    <w:p>
      <w:pPr>
        <w:pStyle w:val="Normal"/>
      </w:pPr>
      <w:r>
        <w:t>Article 17.3 (National Treatment), Article 17.4 (Most-Favored-Nation Treatment), Article 17.5 (Market Access), Article 17.6 (Cross-Border Trade Standstill), and Article 17.9 (Senior Management and Boards of Directors) do not apply to a measure that a Party adopts or maintains with respect to a sector, subsector, or an activity, as set out by that Party in Section B of its Schedule to Annex III. 3. A non-conforming measure, set out in a Party’s Schedule to Annex I or II as not subject to Article 14. 4 (National Treatment), Article 14.5 (Most-Favored-Nation Treatment), Article 14.11 (Senior Management and Boards of Directors), Article 1 5 . 3 (National Treatment) or Article 1 5 . 4 (Most-Favored-Nation Treatment), shall be treated as a non-conforming measure not subject to Article 17.3 (National Treatment), Article 17.4 (Most-Favored-Nation Treatment) or Article 17.9 (Senior Management and Boards of Directors), as the case may be, to the extent that the measure, sector, subsector or activity set out in the Party’s schedule to Annex I or II is covered by this Chapter. 4.</w:t>
      </w:r>
    </w:p>
    <w:p>
      <w:pPr>
        <w:pStyle w:val="Normal"/>
      </w:pPr>
      <w:r>
        <w:t>(a) Article 17.3 (National Treatment) does not apply to a measure that falls within an exception to, or derogation from, the obligations which are imposed by: (i) Article 20.8 (National Treatment), or (ii) Article 3 of the TRIPS Agreement, if the exception or derogation relates to matters not addressed by Chapter 20 (Intellectual Property Rights).</w:t>
      </w:r>
    </w:p>
    <w:p>
      <w:pPr>
        <w:pStyle w:val="Normal"/>
      </w:pPr>
      <w:r>
        <w:t>(b) Article 17.4 (Most-Favored-Nation Treatment) does not apply to a measure that falls within Article 5 of the TRIPS Agreement, or an exception to, or derogation from, the obligations which are imposed by: (i) Article 20.8 (National Treatment), or (ii) Article 4 of the TRIPS Agreement.</w:t>
      </w:r>
    </w:p>
    <w:p>
      <w:pPr>
        <w:pStyle w:val="Heading2"/>
      </w:pPr>
      <w:bookmarkStart w:id="900495" w:name="_Toc300000494"/>
      <w:r>
        <w:t xml:space="preserve">Article 17.11: Exceptions</w:t>
      </w:r>
      <w:bookmarkEnd w:id="900495"/>
    </w:p>
    <w:p>
      <w:pPr>
        <w:pStyle w:val="Normal"/>
      </w:pPr>
      <w:r>
        <w:t xml:space="preserve">1. Notwithstanding the other provisions of this Agreement except for Chapter 2 (National Treatment and Market Access for Goods), Chapter 3 (Agriculture), Chapter 4 (Rules of Origin), Chapter 5 (Origin Procedures), Chapter 6 (Textiles and Apparel), Chapter 7 (Customs Administration and Trade Facilitation), Chapter 9 (Sanitary and Phytosanitary Measures), Chapter 1 0 (Trade Remedies), and Chapter 11 (Technical Barriers to Trade), a Party is not prevented from adopting or maintaining a measure for prudential reasons,6 including for the protection of investors, depositors, policy holders, or persons to whom a fiduciary duty is owed by a financial institution or cross-border financial service supplier, or 6 The Parties understand that the term “prudential reasons” includes the maintenance of the safety, soundness, integrity, or financial responsibility of individual financial institutions or cross-border financial service suppliers as well as the safety, and financial and operational integrity of payment and clearing systems. to ensure the integrity and stability of the financial system. If the measure does not conform with the provisions of this Agreement to which this exception applies, the measure must not be used as a means of avoiding the Party’s commitments or obligations under those provisions. 2.</w:t>
      </w:r>
    </w:p>
    <w:p>
      <w:pPr>
        <w:pStyle w:val="Normal"/>
      </w:pPr>
      <w:r>
        <w:t>Nothing in this Chapter, Chapter 14 (Investment), Chapter 15 (Cross- Border Trade in Services), Chapter 18 (Telecommunications) including specifically Article 18.26 (Relation to Other Chapters), or Chapter 19 (Digital Trade), applies to a non-discriminatory measure of general application taken by a public entity in pursuit of monetary and related credit policies or exchange rate policies. This paragraph does not affect a Party’s obligations under Article 1 4 .10 (Performance Requirements) with respect to a measure covered by Chapter 14 (Investment), under Article 14.9 (Transfers) or Article 15.12 (Cross Border Trade in Services, Payments and Transfers). 3. Notwithstanding Article 14.9 (Transfers) and Article 15.12 (Payments and Transfers), as incorporated into this Chapter, a Party may prevent or limit a transfer by a financial institution or a cross-border financial service supplier to, or for the benefit of, an affiliate of or person related to that institution or supplier, through the equitable, non-discriminatory and good faith application of a measure relating to maintenance of the safety, soundness, integrity, or financial responsibility of financial institutions or cross-border financial service suppliers. This paragraph does not prejudice any other provision of this Agreement that permits a Party to restrict transfers. 4.</w:t>
      </w:r>
    </w:p>
    <w:p>
      <w:pPr>
        <w:pStyle w:val="Normal"/>
      </w:pPr>
      <w:r>
        <w:t>For greater certainty, nothing in this Chapter shall be construed to prevent a Party from adopting or maintaining a measure necessary to secure compliance with laws or regulations that are not inconsistent with this Chapter, including those relating to the prevention of deceptive and fraudulent practices or to deal with the effects of a default on financial services contracts, subject to the requirement that the measure is not applied in a manner that would constitute a means of arbitrary or unjustifiable discrimination between Parties or between Parties and non-Parties where like conditions prevail, or a disguised restriction on investment in financial institutions or cross-border trade in financial services as covered by this Chapter.</w:t>
      </w:r>
    </w:p>
    <w:p>
      <w:pPr>
        <w:pStyle w:val="Heading2"/>
      </w:pPr>
      <w:bookmarkStart w:id="900496" w:name="_Toc300000495"/>
      <w:r>
        <w:t xml:space="preserve">Article 17.12: Recognition</w:t>
      </w:r>
      <w:bookmarkEnd w:id="900496"/>
    </w:p>
    <w:p>
      <w:pPr>
        <w:pStyle w:val="Normal"/>
      </w:pPr>
      <w:r>
        <w:t xml:space="preserve">1. A Party may recognize prudential measures of another Party or a non-Party in the application of a measure covered by this Chapter. That recognition may be: (a) accorded autonomously; (b) achieved through harmonization or other means; or (c) based upon an agreement or arrangement with another Party or a non-Party. 2. A Party that accords recognition of prudential measures under paragraph 1 shall provide adequate opportunity to another Party to demonstrate that circumstances exist in which there are or would be equivalent regulation, oversight, implementation of regulation and, if appropriate, procedures concerning the sharing of information between the relevant Parties. 3. If a Party accords recognition of prudential measures under paragraph 1(c) and the circumstances set out in paragraph 2 exist, that Party shall provide adequate opportunity to another Party to negotiate accession to the agreement or arrangement, or to negotiate a comparable agreement or arrangement. 4. For greater certainty, nothing in Article 17.4 (Most-Favored-Nation Treatment) requires a Party to accord recognition to prudential measures of any other Party.</w:t>
      </w:r>
    </w:p>
    <w:p>
      <w:pPr>
        <w:pStyle w:val="Heading2"/>
      </w:pPr>
      <w:bookmarkStart w:id="900497" w:name="_Toc300000496"/>
      <w:r>
        <w:t xml:space="preserve">Article 17.13: Transparency and Administration of Certain Measures</w:t>
      </w:r>
      <w:bookmarkEnd w:id="900497"/>
    </w:p>
    <w:p>
      <w:pPr>
        <w:pStyle w:val="Normal"/>
      </w:pPr>
      <w:r>
        <w:t xml:space="preserve">1. Chapter 28 (Good Regulatory Practices) and Chapter 29 (Publication and Administration) d o not apply to a measure relating to this Chapter. 2. Each Party shall ensure that all measures of general application to which this Chapter applies are administered in a reasonable, objective and impartial manner. 3. Each Party shall, to the extent practicable: (a) publish in advance any regulation that it proposes to adopt and the purpose of the regulation; and (b) provide interested persons and other Parties with a reasonable opportunity to comment on that proposed regulation. 4. At the time that it adopts a final regulation, a Party should, to the extent practicable, address in writing the substantive comments received from interested persons and other Parties with respect to the proposed regulation. For greater certainty, a Party may address those comments collectively on an official government website. 5.</w:t>
      </w:r>
    </w:p>
    <w:p>
      <w:pPr>
        <w:pStyle w:val="Normal"/>
      </w:pPr>
      <w:r>
        <w:t>To the extent practicable, each Party should allow a reasonable period of time between publication of a final regulation of general application and the date when it enters into effect. 6. Each Party shall establish or maintain appropriate mechanisms for responding to inquiries from interested persons and other Parties regarding measures of general application covered by this Chapter. 7.</w:t>
      </w:r>
    </w:p>
    <w:p>
      <w:pPr>
        <w:pStyle w:val="Normal"/>
      </w:pPr>
      <w:r>
        <w:t>If a Party requires authorization for the supply of a financial service, it shall ensure that its financial regulatory authorities: (a) to the extent practicable, permit an applicant to submit an application at any time; (b) allow a reasonable period for the submission of an application if specific time periods for applications exist; (c) provide to service suppliers and persons seeking to supply a service the information necessary to comply with the requirements and procedures for obtaining, maintaining, amending, and renewing such authorization; (d) to the extent practicable, provide an indicative timeframe for processing of an application; (e) endeavor to accept applications in electronic format; (f) accept copies of documents that are authenticated in accordance with the Party’s law, in place of original documents, unless the financial regulatory authorities require original documents to protect the integrity of the authorization process; (g) at the request of the applicant, provide without undue delay information concerning the status of the application;</w:t>
      </w:r>
    </w:p>
    <w:p>
      <w:pPr>
        <w:pStyle w:val="Normal"/>
      </w:pPr>
      <w:r>
        <w:t>(h) in the case of an application considered complete under the Party’s laws and regulations, within a reasonable period of time taking into account the available resources of the competent authority after the submission of the application, ensure that the processing of an application is completed, and that the applicant is informed of the decision concerning the application, to the extent possible in writing; (i) in</w:t>
      </w:r>
    </w:p>
    <w:p>
      <w:pPr>
        <w:pStyle w:val="Normal"/>
      </w:pPr>
      <w:r>
        <w:t>the case of an application considered incomplete under the Party’s law, within a reasonable period of time, to the extent practicable: (i) inform the applicant that the application is incomplete, (ii) at the request of the applicant, provide guidance on why the application is considered incomplete, and (iii) provide the applicant with the opportunity7 to provide the additional information that is required to complete the application; and if none of the actions in subparagraphs (i) through (iii) is practicable, and the 7 For greater certainty, this opportunity does not require a competent authority to provide extensions of deadlines. application is rejected due to incompleteness, ensure that the applicant is informed within a reasonable period of time; (j) in the case of a rejected application, to the extent practicable, either on its own initiative or upon the request of the applicant, inform the applicant of the reasons for rejection and, if applicable, the procedures for resubmission of an application; (k) with respect to an authorization fee8 charged by financial regulatory authorities:</w:t>
      </w:r>
    </w:p>
    <w:p>
      <w:pPr>
        <w:pStyle w:val="Normal"/>
      </w:pPr>
      <w:r>
        <w:t>(i) provide applicants with a schedule of fees or information on how fee amounts are calculated, and (ii) do not use the fees as a means of avoiding the Party’s commitments or obligations under this Chapter; and (l) ensure that authorization, once granted, enters into effect without undue delay.</w:t>
      </w:r>
    </w:p>
    <w:p>
      <w:pPr>
        <w:pStyle w:val="Heading2"/>
      </w:pPr>
      <w:bookmarkStart w:id="900498" w:name="_Toc300000497"/>
      <w:r>
        <w:t xml:space="preserve">Article 17.14: Self-Regulatory Organizations</w:t>
      </w:r>
      <w:bookmarkEnd w:id="900498"/>
    </w:p>
    <w:p>
      <w:pPr>
        <w:pStyle w:val="Normal"/>
      </w:pPr>
      <w:r>
        <w:t xml:space="preserve">If a Party requires a financial institution or a cross-border financial service supplier of another Party to be a member of, participate in, or have access to, a self-regulatory organization in order to provide a financial service in or into its territory, it shall ensure that the self-regulatory organization observes the obligations contained in this Chapter.</w:t>
      </w:r>
    </w:p>
    <w:p>
      <w:pPr>
        <w:pStyle w:val="Heading2"/>
      </w:pPr>
      <w:bookmarkStart w:id="900499" w:name="_Toc300000498"/>
      <w:r>
        <w:t xml:space="preserve">Article 17.15: Payment and Clearing Systems</w:t>
      </w:r>
      <w:bookmarkEnd w:id="900499"/>
    </w:p>
    <w:p>
      <w:pPr>
        <w:pStyle w:val="Normal"/>
      </w:pPr>
      <w:r>
        <w:t xml:space="preserve">Under terms and conditions that accord national treatment, each Party shall grant financial institutions of another Party established in its territory access to payment and clearing systems operated by public entities, and to official funding and refinancing facilities available in the normal course of ordinary business. This Article does not confer or require access to the Party’s lender of last resort facilities.</w:t>
      </w:r>
    </w:p>
    <w:p>
      <w:pPr>
        <w:pStyle w:val="Heading2"/>
      </w:pPr>
      <w:bookmarkStart w:id="900500" w:name="_Toc300000499"/>
      <w:r>
        <w:t xml:space="preserve">Article 17.16: Expedited Availability of Insurance Services</w:t>
      </w:r>
      <w:bookmarkEnd w:id="900500"/>
    </w:p>
    <w:p>
      <w:pPr>
        <w:pStyle w:val="Normal"/>
      </w:pPr>
      <w:r>
        <w:t xml:space="preserve">The Parties recognize the importance of maintaining and developing regulatory procedures to expedite the offering of insurance services by licensed suppliers. These procedures may include: allowing introduction of products unless those products are 8 An authorization fee includes a licensing fee and fees relating to qualification procedures but does not include a fee for the use of natural resources, payments for auction, tendering or other non-discriminatory means of awarding concessions, or mandated contributions to universal service provision. disapproved within a reasonable period of time; not requiring product approval or authorization of insurance lines for insurance other than insurance sold to individuals or compulsory insurance; or not imposing limitations on the number or frequency of product introductions. If a Party maintains regulatory product approval procedures, that Party shall endeavor to maintain or improve those procedures, as appropriate, to expedite availability of insurance services by licensed suppliers.</w:t>
      </w:r>
    </w:p>
    <w:p>
      <w:pPr>
        <w:pStyle w:val="Heading2"/>
      </w:pPr>
      <w:bookmarkStart w:id="900501" w:name="_Toc300000500"/>
      <w:r>
        <w:t xml:space="preserve">Article 17.17: Transfer of Information</w:t>
      </w:r>
      <w:bookmarkEnd w:id="900501"/>
    </w:p>
    <w:p>
      <w:pPr>
        <w:pStyle w:val="Normal"/>
      </w:pPr>
      <w:r>
        <w:t xml:space="preserve">No Party shall prevent a covered person from transferring information, including personal information, into and out of the Party’s territory by electronic or other means when this activity is for the conduct of business within the scope of the license, authorization, or registration of that covered person. Nothing in this Article restricts the right of a Party to adopt or maintain measures to protect personal data, personal privacy and the confidentiality of individual records and accounts, provided that such measures are not used to circumvent this Article.</w:t>
      </w:r>
    </w:p>
    <w:p>
      <w:pPr>
        <w:pStyle w:val="Heading2"/>
      </w:pPr>
      <w:bookmarkStart w:id="900502" w:name="_Toc300000501"/>
      <w:r>
        <w:t xml:space="preserve">Article 17.18: Location of Computing Facilities</w:t>
      </w:r>
      <w:bookmarkEnd w:id="900502"/>
    </w:p>
    <w:p>
      <w:pPr>
        <w:pStyle w:val="Normal"/>
      </w:pPr>
      <w:r>
        <w:t xml:space="preserve">1. The Parties recognize that immediate, direct, complete, and ongoing access by a Party’s financial regulatory authorities to information of covered persons, including information underlying the transactions and operations of such persons, is critical to financial regulation and supervision, and recognize the need to eliminate any potential limitations on that access. 2. No Party shall require a covered person to use or locate computing facilities in the Party’s territory as a condition for conducting business in that territory, so long as the Party’s financial regulatory authorities, for regulatory and supervisory purposes, have immediate, direct, complete, and ongoing access to information processed or stored on computing facilities that the covered person uses or locates outside the Party’s territory.9 3.</w:t>
      </w:r>
    </w:p>
    <w:p>
      <w:pPr>
        <w:pStyle w:val="Normal"/>
      </w:pPr>
      <w:r>
        <w:t>Each Party shall, to the extent practicable, provide a covered person with a reasonable opportunity to remediate a lack of access to information as described in paragraph 2 before the Party requires the covered person to use or locate computing facilities in the Party’s territory or the territory of another jurisdiction.10 9 For greater certainty, access to information includes access to information of a covered person that is processed or stored on computing facilities of the covered person or on computing facilities of a third-party service supplier.</w:t>
      </w:r>
    </w:p>
    <w:p>
      <w:pPr>
        <w:pStyle w:val="Normal"/>
      </w:pPr>
      <w:r>
        <w:t>For greater certainty, a Party may adopt or maintain a measure that is not inconsistent with this Agreement, including any measure consistent with Article 17.11.1 (Exceptions), such as a measure requiring a covered person to obtain prior authorization from a financial regulatory authority to designate a particular enterprise as a recipient of that information, or a measure adopted or maintained by a financial regulatory authority in the exercise of its authority over a covered person’s business continuity planning practices with respect to maintenance of the operation of computing facilities. 10 For greater certainty, so long as a Party’s financial regulatory authorities do not have access to information as 4. Nothing in this Article restricts the right of a Party to adopt or maintain measures to protect personal data, personal privacy and the confidentiality of individual records and accounts, provided that these measures are not used to circumvent the commitments or obligations of this Article.</w:t>
      </w:r>
    </w:p>
    <w:p>
      <w:pPr>
        <w:pStyle w:val="Heading2"/>
      </w:pPr>
      <w:bookmarkStart w:id="900503" w:name="_Toc300000502"/>
      <w:r>
        <w:t xml:space="preserve">Article 17.19: Committee on Financial Services</w:t>
      </w:r>
      <w:bookmarkEnd w:id="900503"/>
    </w:p>
    <w:p>
      <w:pPr>
        <w:pStyle w:val="Normal"/>
      </w:pPr>
      <w:r>
        <w:t xml:space="preserve">1. The Parties hereby establish a Committee on Financial Services (Financial Services Committee). The principal representative of each Party must be an official of the Party’s authority responsible for financial services set out in Annex 17-B (Authorities Responsible for Financial Services). 2. The Financial Services Committee shall supervise the implementation of this Chapter and its further elaboration, including by considering issues regarding financial services that are referred to it by a Party. 3. The Financial Services Committee shall meet as the Parties decide to assess the functioning of this Agreement as it applies to financial services. The Financial Services Committee shall inform the Commission of the results of any meeting. The Parties may invite, as appropriate, representatives of their domestic financial regulatory authorities to attend meetings of the Committee.</w:t>
      </w:r>
    </w:p>
    <w:p>
      <w:pPr>
        <w:pStyle w:val="Heading2"/>
      </w:pPr>
      <w:bookmarkStart w:id="900504" w:name="_Toc300000503"/>
      <w:r>
        <w:t xml:space="preserve">Article 17.20: Consultations</w:t>
      </w:r>
      <w:bookmarkEnd w:id="900504"/>
    </w:p>
    <w:p>
      <w:pPr>
        <w:pStyle w:val="Normal"/>
      </w:pPr>
      <w:r>
        <w:t xml:space="preserve">1. A Party may request, in writing, consultations with another Party regarding any matter arising under this Agreement that affects financial services. The other Party shall give sympathetic consideration to this request. The consulting Parties shall report the results of their consultations to the Financial Services Committee. 2. A Party may request information on an existing non-conforming measure of another Party as referred to in Article 17.10.1 (Non-Conforming Measures). Each Party’s financial authorities specified in Annex 17-B (Authorities Responsible for Financial Services) shall be the contact point to respond to those requests and to facilitate the exchange of information regarding the operation of measures covered by those requests. 3.</w:t>
      </w:r>
    </w:p>
    <w:p>
      <w:pPr>
        <w:pStyle w:val="Normal"/>
      </w:pPr>
      <w:r>
        <w:t>For greater certainty, nothing in this Article shall be construed to require a Party to derogate from its law regarding sharing of information between financial regulatory authorities or the requirements of an agreement or arrangement between financial regulatory authorities of described in paragraph 2, the Party may, subject to paragraph 3, require a covered person to use or locate computing facilities either in the territory of the Party or the territory of another jurisdiction where the Party has that access. the Parties, or to require a financial regulatory authority to take any action that would interfere with specific regulatory, supervisory, administrative or enforcement matters.</w:t>
      </w:r>
    </w:p>
    <w:p>
      <w:pPr>
        <w:pStyle w:val="Heading2"/>
      </w:pPr>
      <w:bookmarkStart w:id="900505" w:name="_Toc300000504"/>
      <w:r>
        <w:t xml:space="preserve">Article 17.21: Dispute Settlement</w:t>
      </w:r>
      <w:bookmarkEnd w:id="900505"/>
    </w:p>
    <w:p>
      <w:pPr>
        <w:pStyle w:val="Normal"/>
      </w:pPr>
      <w:r>
        <w:t xml:space="preserve">1. Chapter 31 (Dispute Settlement) applies as modified by this Article to the settlement of disputes arising under this Chapter. 2. For disputes arising under this Chapter or a dispute in which a Party invokes Article 17.11 (Exceptions), when selecting panelists to compose a panel under Article 31.9 (Panel Composition), each disputing Party shall select panelists so that: (a) the chairperson has expertise or experience in financial services law or practice, such as the regulation of financial institutions, and meets the qualifications set out in Article 31.8.2 (Roster and Qualifications of Panelists); and (b) each of the other panelists: (i) has expertise or experience in financial services law or practice, such as the regulation of financial institutions, and meets the qualifications set out in paragraph (2)(b) through (2)(d) of Article 31.8.2 (Roster and Qualifications of Panelists); or (ii) meets the qualifications set out in Article 31.8.2 (Roster and Qualification of Panelists). 3.</w:t>
      </w:r>
    </w:p>
    <w:p>
      <w:pPr>
        <w:pStyle w:val="Normal"/>
      </w:pPr>
      <w:r>
        <w:t>If a Party seeks to suspend benefits in the financial services sector, a panel that reconvenes to make a determination on the proposed suspension of benefits, in accordance with Article 3 1 .19 (Non-Implementation – Suspension of Benefits), shall seek the views of financial services experts, as necessary. 4.</w:t>
      </w:r>
    </w:p>
    <w:p>
      <w:pPr>
        <w:pStyle w:val="Normal"/>
      </w:pPr>
      <w:r>
        <w:t>Notwithstanding Article 31.19 (Non-Implementation – Suspension of Benefits), when a panel’s determination is that a Party’s measure is inconsistent with this Agreement and the measure affects: (a) only a sector other than the financial services sector, the complaining Party may not suspend benefits in the financial services sector; or (b) the financial services sector and another sector, the complaining Party may not suspend benefits in the financial services sector that have an effect that exceeds the effect of the measure in the complaining Party’s financial services sector. 17-A-0</w:t>
      </w:r>
    </w:p>
    <w:p>
      <w:pPr>
        <w:pStyle w:val="Heading2"/>
      </w:pPr>
      <w:bookmarkStart w:id="900506" w:name="_Toc300000505"/>
      <w:r>
        <w:t xml:space="preserve">ANNEX 17-A CROSS-BORDER TRADE</w:t>
      </w:r>
      <w:bookmarkEnd w:id="900506"/>
    </w:p>
    <w:p>
      <w:pPr>
        <w:pStyle w:val="Normal"/>
      </w:pPr>
      <w:r>
        <w:t xml:space="preserve">Canada11 Insurance and Insurance-Related Services 1. Articles 17.3.3 (National Treatment) and 17.5.1 (Market Access) apply to the cross- border supply of or trade in financial services, as defined in subparagraph (a) of the definition of “cross-border supply of financial services” in Article 17.1 (Definitions), with respect to: (a) insurance of risks relating to: (i) maritime transport and commercial aviation and space launching and freight (including satellites), with such insurance to cover any or all of the following: the goods being transported, the vehicle transporting the goods, and any liability deriving therefrom, and (ii) goods in international transit; (b) reinsurance and retrocession; (c) services auxiliary to insurance as described in subparagraph (d) of the definition of “financial service” in Article 17.1 (Definitions); and (d) insurance intermediation such as brokerage and agency, as referred to in subparagraph (c) of the definition of “financial service” in Article 14.1 (Definitions) of insurance of risks related to services listed in subparagraphs (a) and (b) of this paragraph. Banking and Other Financial Services (excluding insurance) 2.</w:t>
      </w:r>
    </w:p>
    <w:p>
      <w:pPr>
        <w:pStyle w:val="Normal"/>
      </w:pPr>
      <w:r>
        <w:t>Articles 17.3.3 (National Treatment) and 17.5.1 (Market Access) apply to the cross- border supply of or trade in financial services, as defined in subparagraphs (a) of the definition of “cross-border supply of financial services” in Article 17.1 (Definitions), with respect to: (a) the provision and transfer of financial information and financial data processing as described in subparagraph (o) of the definition of “financial service” in Article 14.1 (Definitions); 11 For greater certainty, Canada requires that a cross-border financial services supplier appoint a local agent in Canada that is provided with power of attorney. 17-A-1 (b) advisory and other auxiliary financial services, and credit reference and analysis, excluding intermediation, relating to banking and other financial services as described in subparagraph (p) of the definition of financial service” in Article 14.1 (Definitions); and (c) electronic payment services for payment card transactions falling within subparagraph (h) of the definition of “financial service” in Article 14.1 (Definitions), and within subcategory 71593 of the United Nations Central Product Classification, Version 3.9, and including only:</w:t>
      </w:r>
    </w:p>
    <w:p>
      <w:pPr>
        <w:pStyle w:val="Normal"/>
      </w:pPr>
      <w:r>
        <w:t>(i) the processing of financial transactions, such as verification of financial balances, authorization of transactions, notification of banks (or credit card issuers) of individual transactions and provision of daily summaries and instructions regarding the net financial position of relevant institutions</w:t>
      </w:r>
    </w:p>
    <w:p>
      <w:pPr>
        <w:pStyle w:val="Normal"/>
      </w:pPr>
      <w:r>
        <w:t>for authorized transactions, and (ii) those services that are provided on a business-to-business basis and use proprietary networks to process payment transactions, but not including the transfer of funds to and from transactors’ accounts.12 (d) the following services if they are provided to a collective investment scheme located in Canada: (i) investment advice, and (ii) portfolio management services, excluding: (A) trustee services, and (B) custodial services and execution services that are not related to managing a collective investment scheme. 3. For the purposes of paragraph 3, in Canada: (a) payment card means a “payment card” as defined under the Payment Card Networks Act as of January 1, 2015. For greater certainty, physical and electronic forms of credit and debit cards are included in the definition. For greater certainty, 12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w:t>
      </w:r>
    </w:p>
    <w:p>
      <w:pPr>
        <w:pStyle w:val="Normal"/>
      </w:pPr>
      <w:r>
        <w:t>For greater certainty, nothing in this subparagraph prevents a Party from adopting or maintaining measures that regulate fees, such as interchange or switching fees, or that impose fees. 17-A-2 credit cards include pre-paid cards. (b) a collective investment scheme means, an “investment fund”13 as defined under the relevant Securities Act.</w:t>
      </w:r>
    </w:p>
    <w:p>
      <w:pPr>
        <w:pStyle w:val="Normal"/>
      </w:pPr>
      <w:r>
        <w:t>13 In Canada, a financial institution organized in the territory of another Party can only provide custodial services to a collective investment scheme located in Canada if the financial institution has shareholders’ equity equivalent to at least $100 million. 17-A-3 Mexico Insurance and insurance-related services 1. 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space launching and freight (including satellites), with such insurance to cover all or any of the following: the goods being transported; and the vehicle transporting the goods, when such vehicles have foreign registration or are property of persons domiciled abroad, and (ii) goods in international transit;</w:t>
      </w:r>
    </w:p>
    <w:p>
      <w:pPr>
        <w:pStyle w:val="Normal"/>
      </w:pPr>
      <w:r>
        <w:t>(b) any other insurance of risks, if the person seeking to purchase the insurance demonstrates that none of the insurance companies authorized to operate in Mexico is able or deems convenient to enter into such insurance proposed to it; (c) reinsurance and retrocession; and (d) insurance intermediation, as referred to in subparagraph (c) of the definition of “financial service” in Article 17.1 (Definitions), and services auxiliary to insurance, as referred to in subparagraph (d) of the</w:t>
      </w:r>
    </w:p>
    <w:p>
      <w:pPr>
        <w:pStyle w:val="Normal"/>
      </w:pPr>
      <w:r>
        <w:t>definition of “financial service” in Article 17.1 (Definitions), only in respect of insurance referred to in the section of Mexico in this Annex. Banking and other financial services (excluding insurance) 2. Article 17.3.3 (National Treatment) and Article 17.5.1 (Market Access) shall apply to the cross-border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14.1 (Definitions); 17-A-4 (b) advisory and other auxiliary services,14 excluding intermediation, and credit reference and analysis, relating to banking and other financial services, as referred to in subparagraph (p) of the definition of “financial service” in Article 17.1 (Definitions); (c) the following services if they are provided to a collective investment scheme in Mexico: (i) investment advice, and (ii) portfolio management services, excluding:</w:t>
      </w:r>
    </w:p>
    <w:p>
      <w:pPr>
        <w:pStyle w:val="Normal"/>
      </w:pPr>
      <w:r>
        <w:t>(A) trustee services, and (B) custodial services and execution services that are not related to managing a collective investment scheme; and (d) electronic payment services for payment card transactions falling within subparagraph (h) of the definition of “financial service” in Article 17.1 (Definitions), and within subcategory 71593 of the United</w:t>
      </w:r>
    </w:p>
    <w:p>
      <w:pPr>
        <w:pStyle w:val="Normal"/>
      </w:pPr>
      <w:r>
        <w:t>Nations Central Product Classification, Version 3.9, and including only: (i) receiving and sending messages for: authorization requests, authorization responses (approvals or declines), stand-in authorizations, adjustments, refunds, returns, retrievals, charge backs and related administrative messages, (ii) calculation of fees and balances derived from transactions of acquirers and issuers, and receiving and sending messages related to this process to acquirers and issuers, and their agents and representatives, (iii) the provision of periodic reconciliation, summaries and instructions regarding the net financial position of acquirers and issuers, and their agents and representatives for approved transactions, (iv) value-added services related to the main processing activities referred to in subparagraphs (i), (ii), and (iii), such as fraud prevention and mitigation activities, and administration of loyalty programs, and 14 The Parties understand that advisory and other auxiliary financial services do not include those services referred to in subparagraphs (e) through (o) of the definition of “financial service” in Article 17.1 (Definitions). 17-A-5 (v) those services that are provided on a business-to-business basis and use proprietary networks to process payment transactions, as referenced in subparagraphs (i)-(iv), but not including the transfer of funds to and from transactors’ accounts.</w:t>
      </w:r>
    </w:p>
    <w:p>
      <w:pPr>
        <w:pStyle w:val="Normal"/>
      </w:pPr>
      <w:r>
        <w:t>For Mexico, a payment card means a credit card, debit card, and reloadable card in physical form or electronic format, as defined under Mexican law.15 3. For the purposes of paragraph 2(b) and 2(c), in Mexico a collective investment scheme means the “Managing Companies of Investment Funds (Sociedades Operadoras de Fondos de Inversión)” established under the Investment Funds Law (Ley de Fondos de Inversión). A financial institution organized in the territory of another Party will only be authorized to provide portfolio management services to a collective investment scheme located in Mexico if it provides the same services in the territory of the Party where it is established. 15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 For greater certainty, nothing in this subparagraph prevents a Party from adopting or maintaining measures that regulate fees, such as interchange or switching fees, or that impose fees. 17-A-6 United States Insurance and insurance-related services 1.</w:t>
      </w:r>
    </w:p>
    <w:p>
      <w:pPr>
        <w:pStyle w:val="Normal"/>
      </w:pPr>
      <w:r>
        <w:t>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and space launching and freight (including satellites), with that insurance to cover any or all of the following: the goods being transported, t he vehicle transporting the goods, and any liability arising therefrom, and (ii) goods in international transit; and (b) reinsurance and retrocession; services auxiliary to insurance, as referred to in subparagraph (d) of the definition of “financial service” in Article 17.1 (Definitions); and insurance intermediation, such as brokerage and agency, as referred to in subparagraph (c) of the definition of “financial service” in Article 17.1 (Definitions). Banking and other financial services (excluding insurance) 2.</w:t>
      </w:r>
    </w:p>
    <w:p>
      <w:pPr>
        <w:pStyle w:val="Normal"/>
      </w:pPr>
      <w:r>
        <w:t>Article 17.3.3 (National Treatment) and 17.5.1 (Market Access) shall apply to the cross- 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17.1 (Definitions); (b) advisory and other auxiliary services, excluding intermediation, relating to banking and other financial services, as referred to in subparagraph (p) of the definition of “financial service” in Article 17.1 (Definitions); (c) investment advice to a collective investment scheme located in the Party’s territory;</w:t>
      </w:r>
    </w:p>
    <w:p>
      <w:pPr>
        <w:pStyle w:val="Normal"/>
      </w:pPr>
      <w:r>
        <w:t>(d) portfolio management services, excluding (i) trustee services, and 17-A-7 (ii) custodial services and execution services that are not related to managing a collective investment scheme; and (e) electronic payment services for payment card transactions falling within subparagraph (h) of the definition of “financial service” in Article 17.1 (Definitions), and within subcategory 71593 of the United Nations Central Product Classification, Version 3.9, and including only: (i) the processing of financial transactions such as verification of financial balances, authorization of transactions, notification of banks (or credit card issuers) of individual transactions and provision of</w:t>
      </w:r>
    </w:p>
    <w:p>
      <w:pPr>
        <w:pStyle w:val="Normal"/>
      </w:pPr>
      <w:r>
        <w:t>daily summaries and instructions regarding the net financial position of relevant institutions for authorized transactions, and (ii) those services that are provided on a business-to-business basis and use proprietary networks to process payment transactions, but not including the transfer of funds to and from transactors’ accounts. For the United States, a payment card means a credit card, charge card, debit card, check card, automated teller machine (ATM) card, prepaid card, and other physical or electronic products or services for performing similar functions as these cards, and the unique account number associated with that card, product, or service. 3. For the purposes of subparagraphs 2(c) and 2(d), for the United States, a collective investment scheme means an investment company registered with the Securities and Exchange Commission under the Investment Company Act of 1940. 17 16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w:t>
      </w:r>
    </w:p>
    <w:p>
      <w:pPr>
        <w:pStyle w:val="Normal"/>
      </w:pPr>
      <w:r>
        <w:t>For greater certainty, nothing in this subparagraph prevents a Party from adopting or maintaining measures that regulate fees, such as interchange or switching fees, or that impose fees.</w:t>
      </w:r>
    </w:p>
    <w:p>
      <w:pPr>
        <w:pStyle w:val="Normal"/>
      </w:pPr>
      <w:r>
        <w:t>17 Custodial services are included in the scope of the commitment made by the United States under this Annex only with respect to investments for which the primary market is outside the territory of the Party. 17-A-8</w:t>
      </w:r>
    </w:p>
    <w:p>
      <w:pPr>
        <w:pStyle w:val="Heading2"/>
      </w:pPr>
      <w:bookmarkStart w:id="900507" w:name="_Toc300000506"/>
      <w:r>
        <w:t xml:space="preserve">ANNEX 17-B AUTHORITIES RESPONSIBLE FOR FINANCIAL SERVICES</w:t>
      </w:r>
      <w:bookmarkEnd w:id="900507"/>
    </w:p>
    <w:p>
      <w:pPr>
        <w:pStyle w:val="Normal"/>
      </w:pPr>
      <w:r>
        <w:t xml:space="preserve">The authorities for each Party responsible for financial services are: (a) for Canada, the Department of Finance of Canada; (b) for Mexico, the Ministry of Finance and Public Credit (Secretaría de Hacienda y Crédito Público); and (c) for the United States, the Department of the Treasury for the purposes of Annex 17-C (Mexico-United States Investment Disputes in Financial Services) and for all matters involving banking, securities, and financial services other than insurance, and the Department of the Treasury, in cooperation with the Office of the U.S. Trade Representative, for insurance matters. 17-B-1</w:t>
      </w:r>
    </w:p>
    <w:p>
      <w:pPr>
        <w:pStyle w:val="Heading2"/>
      </w:pPr>
      <w:bookmarkStart w:id="900508" w:name="_Toc300000507"/>
      <w:r>
        <w:t xml:space="preserve">ANNEX 17-C MEXICO-UNITED STATES INVESTMENT DISPUTES IN FINANCIAL SERVICES</w:t>
      </w:r>
      <w:bookmarkEnd w:id="900508"/>
    </w:p>
    <w:p>
      <w:pPr>
        <w:pStyle w:val="Normal"/>
      </w:pPr>
      <w:r>
        <w:t xml:space="preserve">1. Annex 14-D (Mexico-United States Investment Disputes) applies as modified by this Annex to the settlement of a qualifying investment dispute under this Chapter. 2. In the event that a disputing party considers that a qualifying investment dispute under this Chapter cannot be settled by consultation and negotiation: (a) the claimant, on its own behalf, may submit to arbitration under Annex 14-D a claim: (i) that the respondent has breached:</w:t>
      </w:r>
    </w:p>
    <w:p>
      <w:pPr>
        <w:pStyle w:val="Normal"/>
      </w:pPr>
      <w:r>
        <w:t>(A) Article 17.3.1 (National Treatment), Article 17.3.2 (National Treatment), Article 17.4.1(a) (Most-Favored-Nation Treatment), Article 17.4.1(b) (Most-Favored-Nation Treatment), or Article 17.4.1(c) (Most-Favored-Nation Treatment)18 except with respect to the establishment or acquisition of an investment; or (B) Article 14.8 (Expropriation and Compensation) as incorporated into this Chapter under Article 17.2.2(a) (Scope), except with respect to indirect expropriation; and (ii) that the claimant has incurred loss or damage by reason of, or arising out of, that breach; and (b) the claimant, on behalf of a financial institution of the respondent that is a juridical person that the claimant owns or controls directly or indirectly, may submit to arbitration under Annex 14-D a claim: (i) that the respondent has breached: (A) Article 17.3.1 (National Treatment), Article 17.3.2 (National Treatment), Article 17.4.1(a) (Most-Favored-Nation Treatment), 18 For the purposes</w:t>
      </w:r>
    </w:p>
    <w:p>
      <w:pPr>
        <w:pStyle w:val="Normal"/>
      </w:pPr>
      <w:r>
        <w:t>of this paragraph:(i) the “treatment” referred to in Article 17.4.1(a) (Most-Favored-Nation Treatment), Article 17.4.1(b) (Most-Favored-Nation Treatment), and Article 17.4.1(c) (Most-Favored-Nation Treatment) excludes provisions in other international trade or investment agreements that establish international dispute resolution procedures or impose substantive obligations; and (ii) the “treatment” referred to in these subparagraphs only encompasses measures adopted or maintained by the other Annex Party, which for greater clarity may include measures adopted in connection with the implementation of substantive obligations in other international trade or investment agreements. 17-C-1 Article 17.4.1(b) (Most-Favored-Nation Treatment), or Article 17.4.1(c) (Most-Favored-Nation Treatment), except with respect to the establishment or acquisition of an investment; or (B) Article 14.8 (Expropriation and Compensation) as incorporated into this Chapter under Article 17.2.2(a), except with respect to indirect expropriation; and (ii) that the financial institution has incurred loss or damage by reason of, or arising out of, that breach. 3.</w:t>
      </w:r>
    </w:p>
    <w:p>
      <w:pPr>
        <w:pStyle w:val="Normal"/>
      </w:pPr>
      <w:r>
        <w:t>If an investor of an Annex Party submits a claim to arbitration under Annex 14-D (Mexico-United States Investment Disputes) as modified by this Annex: (a) the presiding arbitrator and the other arbitrators shall be selected so that the presiding arbitrator has expertise or experience in financial services law or practice such as the regulation of financial institutions, and, to the extent practicable, the other arbitrators have expertise or experience in financial services law or practice such as the regulation of financial institutions; and (b) the respondent shall endeavor to consult with its domestic financial regulatory authorities on the claim. 4. No claim shall be submitted to arbitration under Annex 14-D (Mexico-United States Investment Disputes) as modified by this Annex unless the conditions in Article 14.D.5.1 (Conditions and Limitations on Consent) of Annex 14-D (Mexico-United States Investment Disputes) are satisfied, except the relevant time period in subparagraph (b) is 18 months. 5.</w:t>
      </w:r>
    </w:p>
    <w:p>
      <w:pPr>
        <w:pStyle w:val="Normal"/>
      </w:pPr>
      <w:r>
        <w:t>If an investor of an Annex Party submits a claim to arbitration under Annex 14-D (Mexico-United States Investment Disputes) as modified by this Annex, and the respondent invokes Article 17.11 (Exceptions) as a defense, the following provisions of this Article apply: (a) The respondent shall, no later than the date the tribunal fixes for the respondent to submit its counter-memorial, or in the case of an amendment to the notice of arbitration, the date the tribunal fixes for the respondent to submit its response to the amendment, submit in writing to the authorities responsible for financial services of the Annex Party of the claimant, as set out in Annex 17-B (Authorities Responsible for Financial Services), a request for a joint determination by the authorities of the respondent and the Annex Party of the claimant on the issue of whether and to what extent Article 17.11 (Exceptions) is a valid defense to the claim.</w:t>
      </w:r>
    </w:p>
    <w:p>
      <w:pPr>
        <w:pStyle w:val="Normal"/>
      </w:pPr>
      <w:r>
        <w:t>(i) The respondent shall set out in the request the text of a proposed joint determination that specifies the claims to which it considers Article 17.11 17-C-2 (Exceptions) a valid defense. (ii) The respondent shall promptly provide the tribunal, if constituted, a copy of the request. (iii) The authorities of the Annex Party of the claimant shall notify the authorities of the respondent in writing that the request has been received.</w:t>
      </w:r>
    </w:p>
    <w:p>
      <w:pPr>
        <w:pStyle w:val="Normal"/>
      </w:pPr>
      <w:r>
        <w:t>(iv) The arbitration may proceed with respect to the claim only as provided in subparagraph (g).19 (b) The authorities referred to in subparagraph (a) shall attempt in good faith to make a joint determination as described in that subparagraph within 120 days after the date of the written request for that determination. The authorities may, in extraordinary circumstances, agree to extend the date for a joint determination for up to 60 additional days. (c) The authorities of the Annex Party of the claimant shall notify the authorities of the respondent within 120 days after the date of the written request for a joint determination under subparagraph (a), or within the period agreed under subparagraph (b), whichever is longer, whether the authorities of the Annex Party of the claimant agree to the proposed joint determination submitted under subparagraph (a)(i), propose an alternative joint determination, or will not, for any reason, agree to a joint determination.</w:t>
      </w:r>
    </w:p>
    <w:p>
      <w:pPr>
        <w:pStyle w:val="Normal"/>
      </w:pPr>
      <w:r>
        <w:t>(d) If the authorities of the Annex Party of the claimant make no notification under subparagraph (c), they shall be presumed to take a position that is consistent with that of the authorities of the respondent, and a joint determination shall deemed to be made regarding the issue of whether and to what extent Article 17.11 (Exceptions) is a valid defense to the claim as set out in the proposed joint determination submitted under subparagraph (a)(i).</w:t>
      </w:r>
    </w:p>
    <w:p>
      <w:pPr>
        <w:pStyle w:val="Normal"/>
      </w:pPr>
      <w:r>
        <w:t>(e) Any joint determination made or deemed to be made shall be transmitted promptly to the disputing parties, the Committee and, if constituted, to the tribunal. The joint determination shall be binding on the tribunal and any decision or award issued by the tribunal must be consistent with that determination. (f) If the authorities referred to in subparagraph (a), within 120 days after the date of the written request for a joint determination under subparagraph (a) or within the 19 The term “joint determination” as used in this subparagraph refers to a determination by the authorities responsible for financial services of the respondent and of the Annex Party of the claimant, as set out in Annex 17-B (Authorities Responsible for Financial Services). 17-C-3 date agreed under subparagraph (b), whichever is longer, have not made a determination as described in subparagraph (a), the tribunal shall decide the issue left unresolved by the authorities.</w:t>
      </w:r>
    </w:p>
    <w:p>
      <w:pPr>
        <w:pStyle w:val="Normal"/>
      </w:pPr>
      <w:r>
        <w:t>(i) The tribunal shall draw no inference regarding the application of Article 17.11 (Exceptions) from the fact that the competent authorities have not made a determination as described in subparagraph (a). (ii) The Annex Party of the claimant may make oral and written submissions to the tribunal regarding the issue of whether and to what extent Article 17.11 (Exceptions) is a valid defense to the claim.</w:t>
      </w:r>
    </w:p>
    <w:p>
      <w:pPr>
        <w:pStyle w:val="Normal"/>
      </w:pPr>
      <w:r>
        <w:t>Unless it makes such a submission, the Annex Party of the claimant shall be presumed, for purposes of the arbitration, to take a position on Article 17.11 (Exceptions) not inconsistent with that of the respondent. (g) The arbitration referred to in subparagraph (a) may proceed with respect to the claim: (i) 10 days after the date a joint determination under subparagraph (a) has been received by the disputing parties and, if constituted, the tribunal; or (ii) 10 days after the expiration of the 120-day period following the request for a joint determination under subparagraph (a) or the expiration of the period agreed under subparagraph (b), whichever is longer.</w:t>
      </w:r>
    </w:p>
    <w:p>
      <w:pPr>
        <w:pStyle w:val="Normal"/>
      </w:pPr>
      <w:r>
        <w:t>(h) On the request of the respondent made within 30 days after the expiration of the 120-day period following the request for a joint determination under subparagraph (a), or within 30 days after the expiration of the period agreed under subparagraph (b), whichever is longer, or, if the tribunal has not been constituted as of the expiration of the 120-day or the period agreed under subparagraph (b), within 30 days after the tribunal is constituted, the tribunal shall address and decide the issue or issues left unresolved by the authorities as referred to in subparagraph (c) prior to deciding the merits of the claim for which Article 17.11 (Exceptions) has been invoked by the respondent as a defense.</w:t>
      </w:r>
    </w:p>
    <w:p>
      <w:pPr>
        <w:pStyle w:val="Normal"/>
      </w:pPr>
      <w:r>
        <w:t>Failure of the respondent to make that request is without prejudice to the right of the respondent to invoke Article 17.11 (Exceptions) as a defense at any appropriate phase of the arbitration. 6. If a respondent asserts that the measure alleged to be a breach is within the scope of a non conforming measure set out in the responding Party’s Schedule to Annex III, Article 10 of Annex 14-D (Mexico-United States Investment Disputes) shall apply to any request of the respondent for an interpretation of the Commission on the issue. 17-C-4</w:t>
      </w:r>
    </w:p>
    <w:p>
      <w:pPr>
        <w:pStyle w:val="Heading2"/>
      </w:pPr>
      <w:bookmarkStart w:id="900509" w:name="_Toc300000508"/>
      <w:r>
        <w:t xml:space="preserve">ANNEX 17-D LOCATION OF COMPUTING FACILITIES</w:t>
      </w:r>
      <w:bookmarkEnd w:id="900509"/>
    </w:p>
    <w:p>
      <w:pPr>
        <w:pStyle w:val="Normal"/>
      </w:pPr>
      <w:r>
        <w:t xml:space="preserve">Article 17.18 (Location of Computing Facilities) does not apply to existing measures of Canada for one year after the entry into force of this Agreement. 17-D-1</w:t>
      </w:r>
    </w:p>
    <w:p>
      <w:pPr>
        <w:pStyle w:val="Heading1"/>
      </w:pPr>
      <w:bookmarkStart w:id="900510" w:name="_Toc300000509"/>
      <w:r>
        <w:t>CHAPTER 18 TELECOMMUNICATIONS</w:t>
      </w:r>
      <w:bookmarkEnd w:id="900510"/>
    </w:p>
    <w:p>
      <w:pPr>
        <w:pStyle w:val="Heading2"/>
      </w:pPr>
      <w:bookmarkStart w:id="900511" w:name="_Toc300000510"/>
      <w:r>
        <w:t xml:space="preserve">Article 18.1: Definitions</w:t>
      </w:r>
      <w:bookmarkEnd w:id="900511"/>
    </w:p>
    <w:p>
      <w:pPr>
        <w:pStyle w:val="Normal"/>
      </w:pPr>
      <w:r>
        <w:t xml:space="preserve">For the purposes of this Chapter: cost-oriented means based on cost, and may include a reasonable profit, and may involve different cost methodologies for different facilities or services; dialing parity means the ability of an end-user to use an equal number of digits to access a particular public telecommunications service, regardless of which public telecommunications services supplier the end-user chooses; end-user means a final consumer of or subscriber to a public telecommunications service, including a service supplier other than a supplier of public telecommunications services; enterprise means an enterprise as defined in Article 1.4 (General Definitions) and a branch of an enterprise; essential facilities means facilities of a public telecommunications network or service that:</w:t>
      </w:r>
    </w:p>
    <w:p>
      <w:pPr>
        <w:pStyle w:val="Normal"/>
      </w:pPr>
      <w:r>
        <w:t>(a) are exclusively or predominantly provided by a single or limited number of suppliers; and (b) cannot feasibly be economically, or technically substituted in order to supply a service; interconnection means linking suppliers providing public telecommunications services in order to allow a user of one supplier to communicate with a user of another supplier and to access services provided by another supplier; leased circuit means a telecommunications facility between two or more designated points that is set aside for the dedicated use of, or availability to, a user and supplied by a supplier of a fixed telecommunications service; license means any authorization that</w:t>
      </w:r>
    </w:p>
    <w:p>
      <w:pPr>
        <w:pStyle w:val="Normal"/>
      </w:pPr>
      <w:r>
        <w:t>a Party may require of a person, in accordance with its laws and regulations, in order for that person to offer a telecommunications service, including concessions, permits or registrations; major supplier means a supplier of public telecommunications services that has the ability to materially affect the terms of participation (having regard to price and supply) in the relevant market for public telecommunications services as a result of:</w:t>
      </w:r>
    </w:p>
    <w:p>
      <w:pPr>
        <w:pStyle w:val="Normal"/>
      </w:pPr>
      <w:r>
        <w:t>(a) control over essential facilities; or (b) use of its position in the market1 mobile service means a public telecommunications service supplied through mobile wireless means; network element means a facility or equipment used in supplying a fixed public telecommunications service, including features, functions and capabilities provided by means of that facility or equipment; non-discriminatory means according treatment no less favorable than that accorded to another user of like public telecommunications services in like circumstances, including with respect to timeliness; number portability means the ability of a n end-user of public telecommunications services to retain the same telephone numbers when switching between suppliers of public telecommunications services; physical co-location means physical access to and control over space in order to install, maintain or repair equipment, at premises owned or controlled and used by a major supplier to provide public telecommunications services; public telecommunications network means</w:t>
      </w:r>
    </w:p>
    <w:p>
      <w:pPr>
        <w:pStyle w:val="Normal"/>
      </w:pPr>
      <w:r>
        <w:t>telecommunications infrastructure used to provide public telecommunications services between defined network termination points; public telecommunications service means a telecommunications service that a Party requires, explicitly or in effect, to be offered to the public generally that typically involves the transmission of customer-supplied information between two or more points without an end-to-end change in the form or content of the customer’s information. This service may include telephone and data transmission; reference interconnection offer means an interconnection offer extended by a major supplier and filed with, approved by or determined by a telecommunications regulatory body that sufficiently details the terms, rates, and conditions for interconnection so that a supplier of a public telecommunications service that is willing to accept it may obtain interconnection For Mexico, a major supplier includes a preponderant economic agent deemed as such by virtue of its national share in the supply of telecommunication services, when it directly or indirectly holds more than fifty percent national share. This percentage shall be measured either by the number of users, subscribers, traffic on their networks or the utilized capacity of said networks, according to the information held by the Federal Telecommunications Institute.</w:t>
      </w:r>
    </w:p>
    <w:p>
      <w:pPr>
        <w:pStyle w:val="Normal"/>
      </w:pPr>
      <w:r>
        <w:t>with the major supplier on that basis, without having to engage in negotiations with the major supplier concerned; roaming service means a mobile service provided pursuant to an agreement between suppliers of public telecommunications services that enables an end-user to use their mobile handset or other device for voice, data, or messaging services while outside the home public telecommunications network of the mobile handset or other device; telecommunications means the transmission and reception of signals by any electromagnetic means; telecommunications regulatory body means a body or bodies responsible for the regulation of telecommunications; user means a service consumer or a service supplier; value-added service means a telecommunications service employing a computer processing application that: (a) acts on the format, content, code, protocol or similar aspects of a customer’s transmitted information; (b) provides a customer with additional, different or restructured information; or (c) involves customer interaction with stored information; and virtual co-location means an arrangement whereby a requesting supplier that seeks co- location may specify equipment to be used in the premises of a major supplier but does not obtain physical access to those premises and allows the major supplier to install, maintain, and repair that equipment.</w:t>
      </w:r>
    </w:p>
    <w:p>
      <w:pPr>
        <w:pStyle w:val="Heading2"/>
      </w:pPr>
      <w:bookmarkStart w:id="900512" w:name="_Toc300000511"/>
      <w:r>
        <w:t xml:space="preserve">Article 18.2: Scope</w:t>
      </w:r>
      <w:bookmarkEnd w:id="900512"/>
    </w:p>
    <w:p>
      <w:pPr>
        <w:pStyle w:val="Normal"/>
      </w:pPr>
      <w:r>
        <w:t xml:space="preserve">1. This Chapter applies to a measure affecting trade in telecommunications services, including: (a) a measure relating to access to and use of public telecommunications networks or services; (b) a measure relating to obligations of suppliers of public telecommunications services; (c) a measure relating to the supply of value-added services; and (d) any other measure relating to public telecommunications networks or services. 2. This Chapter does not apply to a measure relating to broadcast or cable distribution of radio or television programming, except to ensure that an enterprise operating a broadcast station or cable system has continued access to and use of public telecommunications networks and services, as provided under Article 18.3 (Access and Use).2 3. Nothing in this Chapter shall be construed to require a Party:</w:t>
      </w:r>
    </w:p>
    <w:p>
      <w:pPr>
        <w:pStyle w:val="Normal"/>
      </w:pPr>
      <w:r>
        <w:t>(a) to establish, construct, acquire, lease, operate, or provide a telecommunications network or service not offered to the public generally, or require a Party to compel an enterprise to do so; or (b) to compel an enterprise exclusively engaged in the broadcast or cable distribution of radio or television programming to make available its broadcast or cable facilities as a public telecommunications network. 4. Annex 18-A (Rural Telephone Suppliers) includes additional provisions relating to the scope of this Chapter.</w:t>
      </w:r>
    </w:p>
    <w:p>
      <w:pPr>
        <w:pStyle w:val="Heading2"/>
      </w:pPr>
      <w:bookmarkStart w:id="900513" w:name="_Toc300000512"/>
      <w:r>
        <w:t xml:space="preserve">Article 18.3: Access and Use</w:t>
      </w:r>
      <w:bookmarkEnd w:id="900513"/>
    </w:p>
    <w:p>
      <w:pPr>
        <w:pStyle w:val="Normal"/>
      </w:pPr>
      <w:r>
        <w:t xml:space="preserve">1. Each Party shall ensure that any enterprise of another Party has access to and use of any public telecommunications network or service, including leased circuits, offered in its territory or across its borders, on reasonable and non-discriminatory terms and conditions. This obligation shall be applied, inter alia, to paragraphs 2 through 6.3 2. Each Party shall ensure that any enterprise of another Party is permitted to: (a) purchase or lease, and attach terminal or other equipment that interfaces with a public telecommunications network; (b) provide services to individual or multiple end-users over leased or owned circuits; 2 For greater certainty, to the extent that a services supplier engaged in the broadcast or cable distribution of radio or television programming is also engaged in the supply of public telecommunications services, measures relating to the supply of those public telecommunications by that services supplier are covered by this Chapter.</w:t>
      </w:r>
    </w:p>
    <w:p>
      <w:pPr>
        <w:pStyle w:val="Normal"/>
      </w:pPr>
      <w:r>
        <w:t>3 For greater certainty, this Article does not prohibit any Party from requiring an enterprise to obtain a license to supply a public telecommunications service within its territory. (c) connect leased or owned circuits with public telecommunications networks and services or with circuits leased or owned by another enterprise; (d) perform switching, signaling, processing, and conversion functions; and (e) use operating protocols of its choice. 3.</w:t>
      </w:r>
    </w:p>
    <w:p>
      <w:pPr>
        <w:pStyle w:val="Normal"/>
      </w:pPr>
      <w:r>
        <w:t>Each Party shall ensure that any enterprise of another Party may use public telecommunications networks or services for the movement of information in its territory or across its borders, including for intra-corporate communications, and to access information contained in databases or otherwise stored in machine-readable form in the territory of a Party. 4. Notwithstanding paragraph 3, a Party may take measures necessary to ensure the security and confidentiality of messages or to protect the privacy of personal data of end-users of public telecommunications networks or services, provided that those measures are not applied in a manner that would constitute a means of arbitrary or unjustifiable discrimination or disguised restriction on trade in services. 5. Each Party shall ensure that no condition is imposed on access to and use of public telecommunications networks and services, other than as necessary to: (a) safeguard the public service responsibilities of suppliers of public telecommunications networks and services, in particular their ability to make their networks or services available to the public generally; or (b) protect the technical integrity of public telecommunications networks or services. 6.</w:t>
      </w:r>
    </w:p>
    <w:p>
      <w:pPr>
        <w:pStyle w:val="Normal"/>
      </w:pPr>
      <w:r>
        <w:t>Provided that the conditions for access to and use of public telecommunications networks and services satisfy the criteria set out in paragraph 5, those conditions may include: (a) a requirement to use a specified technical interface, including an interface protocol, for connection with those networks or services; (b) a requirement, if necessary, for the interoperability of those networks and services; (c) type approval of terminal or other equipment that interfaces with the network and technical requirements relating to the attachment of that equipment to those networks; and (d) notification, registration, and licensing which, if adopted or maintained, is transparent and provides for processing applications filed thereunder in accordance with a Party’s laws or regulations.</w:t>
      </w:r>
    </w:p>
    <w:p>
      <w:pPr>
        <w:pStyle w:val="Heading2"/>
      </w:pPr>
      <w:bookmarkStart w:id="900514" w:name="_Toc300000513"/>
      <w:r>
        <w:t xml:space="preserve">Article 18.4: Obligations Relating to Suppliers of Public Telecommunications Services</w:t>
      </w:r>
      <w:bookmarkEnd w:id="900514"/>
    </w:p>
    <w:p>
      <w:pPr>
        <w:pStyle w:val="Normal"/>
      </w:pPr>
      <w:r>
        <w:t xml:space="preserve">Interconnection 1. Each Party shall ensure that a supplier of public telecommunications services in its territory provides, directly or indirectly within its territory, interconnection with a supplier of public telecommunications services of another Party. 2. Each Party shall provide its telecommunications regulatory body with the authority to require interconnection at reasonable rates. 3. Further to paragraph 1, each Party shall ensure that a supplier of public telecommunications services in its territory takes reasonable steps to protect the confidentiality of commercially sensitive information of, or relating to, suppliers and end-users of public telecommunications services obtained as a result of interconnection arrangements and only uses that information for the purpose of providing these services. Resale 4. No Party shall prohibit the resale of a public telecommunications service. Roaming 5. No Party shall prohibit a supplier of public telecommunications services from entering into an agreement to provide roaming services, including an agreement to provide roaming services to devices that is not limited to a transient presence in a Party’s territory. Number Portability 6.</w:t>
      </w:r>
    </w:p>
    <w:p>
      <w:pPr>
        <w:pStyle w:val="Normal"/>
      </w:pPr>
      <w:r>
        <w:t>Each Party shall ensure that a supplier of public telecommunications services in its territory provides number portability without impairment to quality and reliability, on a timely basis, and on reasonable and non-discriminatory terms and conditions.4 Dialing Parity 4 With respect to Mexico, this obligation shall apply only to end-users switching suppliers within the same category of service until such time as Mexico determines, pursuant to periodic review, that it is economically and technically feasible to implement number portability without that restriction. With respect to the United States and Canada, this obligation is limited to the ability of end-users to retain at the same location the same telephone numbers, until such time as the Party determines, pursuant to periodic review, that it is economically and technically feasible to implement number portability without that restriction in its territory. 7. Each Party shall ensure that a supplier of public telecommunications services in its territory provides dialing parity within the same category of service to suppliers of public telecommunications services of another Party.5 Access to Numbers 8.</w:t>
      </w:r>
    </w:p>
    <w:p>
      <w:pPr>
        <w:pStyle w:val="Normal"/>
      </w:pPr>
      <w:r>
        <w:t>Each Party shall ensure that a supplier of public telecommunications services of another Party established in its territory is afforded access to telephone numbers on a non-discriminatory basis.</w:t>
      </w:r>
    </w:p>
    <w:p>
      <w:pPr>
        <w:pStyle w:val="Heading2"/>
      </w:pPr>
      <w:bookmarkStart w:id="900515" w:name="_Toc300000514"/>
      <w:r>
        <w:t xml:space="preserve">Article 18.5: Treatment by Major Suppliers of Public Telecommunications Services</w:t>
      </w:r>
      <w:bookmarkEnd w:id="900515"/>
    </w:p>
    <w:p>
      <w:pPr>
        <w:pStyle w:val="Normal"/>
      </w:pPr>
      <w:r>
        <w:t xml:space="preserve">Each Party shall ensure that a major supplier in its territory accords a supplier of public telecommunications services of another Party treatment no less favorable than that major supplier accords in like circumstances to itself, its subsidiaries, its affiliates, or non-affiliated service suppliers regarding: (a) the availability, provisioning, rates, or quality of like public telecommunications services; and (b) the availability of technical interfaces necessary for interconnection.</w:t>
      </w:r>
    </w:p>
    <w:p>
      <w:pPr>
        <w:pStyle w:val="Heading2"/>
      </w:pPr>
      <w:bookmarkStart w:id="900516" w:name="_Toc300000515"/>
      <w:r>
        <w:t xml:space="preserve">Article 18.6: Competitive Safeguards</w:t>
      </w:r>
      <w:bookmarkEnd w:id="900516"/>
    </w:p>
    <w:p>
      <w:pPr>
        <w:pStyle w:val="Normal"/>
      </w:pPr>
      <w:r>
        <w:t xml:space="preserve">1. Each Party shall maintain appropriate measures for the purpose of preventing suppliers of public telecommunications services that, alone or together, are a major supplier in its territory from engaging in or continuing anti-competitive practices.6 2. The anti-competitive practices referred to in paragraph 1 include in particular: (a) engaging in anti-competitive cross-subsidization; 5 For greater certainty, this paragraph shall not be construed to apply to pre-subscribed long distance service. 6 Mexico reaffirms the principles underlying the Decree amending and supplementing certain provisions of the Articles 6, 7, 27, 28, 73, 78, 94 and 105 of Mexico’s Constitution (Constitución Política de los Estados Unidos Mexicanos), in telecommunications, Diario Oficial de la Federación, June 11, 2013 and, as set out therein, shall impose on a major supplier the necessary measures to prevent impairment of competition. For Mexico, any changes to the measures concerning the rates, terms, and conditions of access to and use of the networks, facilities, and services of a major supplier shall be consistent with the objective of advancing effective competition and preventing monopolistic practices and shall not impair the conditions of competition in the corresponding market.</w:t>
      </w:r>
    </w:p>
    <w:p>
      <w:pPr>
        <w:pStyle w:val="Normal"/>
      </w:pPr>
      <w:r>
        <w:t>(b) using information obtained from competitors with anti-competitive results; and (c) not making available, on a timely basis, to suppliers of public telecommunications services, technical information about essential facilities and commercially relevant information that are necessary for them to provide services.</w:t>
      </w:r>
    </w:p>
    <w:p>
      <w:pPr>
        <w:pStyle w:val="Heading2"/>
      </w:pPr>
      <w:bookmarkStart w:id="900517" w:name="_Toc300000516"/>
      <w:r>
        <w:t xml:space="preserve">Article 18.7: Resale</w:t>
      </w:r>
      <w:r>
        <w:rPr>
          <w:vertAlign w:val="superscript"/>
        </w:rPr>
        <w:t xml:space="preserve">7</w:t>
      </w:r>
      <w:bookmarkEnd w:id="900517"/>
    </w:p>
    <w:p>
      <w:pPr>
        <w:pStyle w:val="Normal"/>
      </w:pPr>
      <w:r>
        <w:t xml:space="preserve">Each Party shall ensure that a major supplier in its territory does not impose unreasonable or discriminatory conditions or limitations on the resale of its public telecommunications services.</w:t>
      </w:r>
    </w:p>
    <w:p>
      <w:pPr>
        <w:pStyle w:val="Heading2"/>
      </w:pPr>
      <w:bookmarkStart w:id="900518" w:name="_Toc300000517"/>
      <w:r>
        <w:t xml:space="preserve">Article 18.8: Unbundling of Network Elements</w:t>
      </w:r>
      <w:bookmarkEnd w:id="900518"/>
    </w:p>
    <w:p>
      <w:pPr>
        <w:pStyle w:val="Normal"/>
      </w:pPr>
      <w:r>
        <w:t xml:space="preserve">Each Party shall provide its telecommunications regulatory body with the authority to require a major supplier in its territory to offer public telecommunications service suppliers access to network elements on an unbundled basis on terms and conditions, and at cost-oriented rates, that are reasonable, non-discriminatory, and transparent for the supply of public telecommunications services. A Party may determine, in accordance with its laws and regulations, the network elements required to be made available in its territory, and the suppliers that may obtain those elements.</w:t>
      </w:r>
    </w:p>
    <w:p>
      <w:pPr>
        <w:pStyle w:val="Heading2"/>
      </w:pPr>
      <w:bookmarkStart w:id="900519" w:name="_Toc300000518"/>
      <w:r>
        <w:t xml:space="preserve">Article 18.9: Interconnection with Major Suppliers</w:t>
      </w:r>
      <w:bookmarkEnd w:id="900519"/>
    </w:p>
    <w:p>
      <w:pPr>
        <w:pStyle w:val="Normal"/>
      </w:pPr>
      <w:r>
        <w:t xml:space="preserve">General Terms and Conditions 1. Each Party shall ensure that a major supplier in its territory provides interconnection for the facilities and equipment of suppliers of public telecommunications services of another Party: (a) at any technically feasible point in the major supplier’s network; (b) under non-discriminatory terms, conditions (including technical standards and specifications), and rates; (c) of a quality no less favorable than that provided by the major supplier for its own like services, for like services of non-affiliated service suppliers, or for its subsidiaries or other affiliates; 7 For the purposes of this Article, a supplier of mobile services in a Party’s territory is not a major supplier unless a Party determines that the supplier meets the definition of “major supplier” set out in Article 18.1 (Definitions).</w:t>
      </w:r>
    </w:p>
    <w:p>
      <w:pPr>
        <w:pStyle w:val="Normal"/>
      </w:pPr>
      <w:r>
        <w:t>(d) in a timely manner, on terms and conditions (including technical standards and specifications), and at cost-oriented rates, that are transparent, reasonable, having regard to economic feasibility, and sufficiently unbundled so that the suppliers do not have to pay for network components or facilities that they do not require for the service to be provided; and (e) on request, at points in addition to the network termination points made generally available to users, subject to charges that reflect the cost of construction of necessary additional facilities.</w:t>
      </w:r>
    </w:p>
    <w:p>
      <w:pPr>
        <w:pStyle w:val="Normal"/>
      </w:pPr>
      <w:r>
        <w:t>Options for Interconnecting with Major Suppliers 2. Each Party shall ensure that a major supplier in its territory provides suppliers of public telecommunications services of another Party the opportunity to interconnect their facilities and equipment with those of the major supplier through: (a) a reference interconnection offer containing the rates, terms, and conditions that the major supplier offers generally to suppliers of public telecommunications services; or (b) the terms and conditions of an interconnection agreement in effect. 3. In addition to the options provided in paragraph 2, each Party shall ensure that suppliers of public telecommunications services of another Party have the opportunity to interconnect their facilities and equipment with those of the major supplier through the negotiation of a new interconnection agreement. Public Availability of Interconnection Offers and Agreements 4. Each Party shall make publicly available the applicable procedures for interconnection negotiations with a major supplier in its territory. 5. Each Party shall provide means for suppliers of another Party to obtain the rates, terms, and conditions necessary for interconnection offered by a major supplier.</w:t>
      </w:r>
    </w:p>
    <w:p>
      <w:pPr>
        <w:pStyle w:val="Normal"/>
      </w:pPr>
      <w:r>
        <w:t>Those means include, at a minimum, ensuring the public availability of: (a) rates, terms and conditions for interconnection with a major supplier set by the telecommunications regulatory body; (b) interconnection agreements that are in effect between a major supplier in its territory and other suppliers of public telecommunications services in its territory; and (c) any reference interconnection offer.</w:t>
      </w:r>
    </w:p>
    <w:p>
      <w:pPr>
        <w:pStyle w:val="Heading2"/>
      </w:pPr>
      <w:bookmarkStart w:id="900520" w:name="_Toc300000519"/>
      <w:r>
        <w:t xml:space="preserve">Article 18.10: Provisioning and Pricing of Leased Circuits Services</w:t>
      </w:r>
      <w:bookmarkEnd w:id="900520"/>
    </w:p>
    <w:p>
      <w:pPr>
        <w:pStyle w:val="Normal"/>
      </w:pPr>
      <w:r>
        <w:t xml:space="preserve">1. Each Party shall ensure that a major supplier in its territory provides service suppliers of another Party leased circuits services that are public telecommunications services in a reasonable period of time on terms and conditions, and at rates, that are reasonable and non-discriminatory, and based on a generally available offer. 2. Further to paragraph 1, each Party shall provide its telecommunications regulatory body with the authority to require a major supplier in its territory to offer leased circuits services that are public telecommunications services to service suppliers of another Party at capacity-based, cost-oriented prices.</w:t>
      </w:r>
    </w:p>
    <w:p>
      <w:pPr>
        <w:pStyle w:val="Heading2"/>
      </w:pPr>
      <w:bookmarkStart w:id="900521" w:name="_Toc300000520"/>
      <w:r>
        <w:t xml:space="preserve">Article 18.11: Co-Location</w:t>
      </w:r>
      <w:r>
        <w:rPr>
          <w:vertAlign w:val="superscript"/>
        </w:rPr>
        <w:t xml:space="preserve">8</w:t>
      </w:r>
      <w:bookmarkEnd w:id="900521"/>
    </w:p>
    <w:p>
      <w:pPr>
        <w:pStyle w:val="Normal"/>
      </w:pPr>
      <w:r>
        <w:t xml:space="preserve">1. Subject to paragraphs 2 and 3, each Party shall ensure that a major supplier in its territory provides to suppliers of public telecommunications services of another Party in the Party’s territory physical co-location of equipment necessary for interconnection or access to unbundled network elements based on a generally available offer, on a timely basis, and on terms and conditions and at cost-oriented rates, that are reasonable, non-discriminatory, and transparent. 2. Where physical co-location is not practical for technical reasons or because of space limitations, each Party shall ensure that a major supplier in its territory provides an alternative solution, such as virtual co-location or some other arrangement that facilitates interconnection or access to unbundled network elements, based on a generally available offer, on a timely basis, and on terms and conditions, and at cost-oriented rates, that are reasonable, non-discriminatory, and transparent. 3. A Party may determine, in accordance with its laws and regulations, which premises owned or controlled by major suppliers in its territory are subject to paragraphs 1 and 2.</w:t>
      </w:r>
    </w:p>
    <w:p>
      <w:pPr>
        <w:pStyle w:val="Normal"/>
      </w:pPr>
      <w:r>
        <w:t>If a Party makes this determination, it shall take into account factors such as the state of competition in the market where co-location is required, whether those premises can be substituted in an economically or technically feasible manner in order to provide a competing service, or other specified public interest factors. 8 For the purposes of this Article, a supplier of mobile services in a Party’s territory is not a major supplier unless a Party determines that the supplier meets the definition of “major supplier” set out in Article 18.1 (Definitions). 4. Even if a Party does not require that a major supplier offer co-location at certain premises, it shall allow a service supplier to request that those premises be offered for co- location consistent with paragraph 1, without prejudice to the Party’s decision on that request.</w:t>
      </w:r>
    </w:p>
    <w:p>
      <w:pPr>
        <w:pStyle w:val="Heading2"/>
      </w:pPr>
      <w:bookmarkStart w:id="900522" w:name="_Toc300000521"/>
      <w:r>
        <w:t xml:space="preserve">Article 18.12: Access to Poles, Ducts, Conduits, and Rights-of-Way</w:t>
      </w:r>
      <w:r>
        <w:rPr>
          <w:vertAlign w:val="superscript"/>
        </w:rPr>
        <w:t xml:space="preserve">9</w:t>
      </w:r>
      <w:bookmarkEnd w:id="900522"/>
    </w:p>
    <w:p>
      <w:pPr>
        <w:pStyle w:val="Normal"/>
      </w:pPr>
      <w:r>
        <w:t xml:space="preserve">Each Party shall ensure that a major supplier in its territory provides access, subject to technical feasibility, to poles, ducts, conduits, rights-of-way, and any other structures as determined by the Party, owned or controlled by the major supplier, to suppliers of public telecommunications services of another Party in the Party’s territory on a timely basis, on terms and conditions and at rates, that are reasonable, non-discriminatory, and transparent.</w:t>
      </w:r>
    </w:p>
    <w:p>
      <w:pPr>
        <w:pStyle w:val="Heading2"/>
      </w:pPr>
      <w:bookmarkStart w:id="900523" w:name="_Toc300000522"/>
      <w:r>
        <w:t xml:space="preserve">Article 18.13: Submarine Cable Systems</w:t>
      </w:r>
      <w:bookmarkEnd w:id="900523"/>
    </w:p>
    <w:p>
      <w:pPr>
        <w:pStyle w:val="Normal"/>
      </w:pPr>
      <w:r>
        <w:t xml:space="preserve">Each Party shall ensure that a major supplier that controls international submarine cable landing stations in the Party’s territory for which there are no economically or technically feasible alternatives provides access to those landing stations consistent with Article 18.9 (Interconnection with Major Suppliers), Article 18.10 (Provisioning and Pricing of Leased Circuits Services), and Article 18.11 (Co-Location), to public telecommunications suppliers of another Party.10</w:t>
      </w:r>
    </w:p>
    <w:p>
      <w:pPr>
        <w:pStyle w:val="Heading2"/>
      </w:pPr>
      <w:bookmarkStart w:id="900524" w:name="_Toc300000523"/>
      <w:r>
        <w:t xml:space="preserve">Article 18.14: Conditions for the Supply of Value-Added Services</w:t>
      </w:r>
      <w:r>
        <w:rPr>
          <w:vertAlign w:val="superscript"/>
        </w:rPr>
        <w:t xml:space="preserve">11</w:t>
      </w:r>
      <w:bookmarkEnd w:id="900524"/>
    </w:p>
    <w:p>
      <w:pPr>
        <w:pStyle w:val="Normal"/>
      </w:pPr>
      <w:r>
        <w:t xml:space="preserve">1. The Parties recognize the importance of value-added services to innovation, competition, and consumer welfare. If a Party engages in direct regulation of value-added services, it should not impose on a supplier of value-added services requirements applicable to a supplier of public telecommunications services without due consideration of the legitimate public policy objectives, the technical feasibility of the requirements, and the characteristics of the value- added services at issue. 2. Further to paragraph 1, each Party shall: 9 For the purposes of this Article, a supplier of mobile services in a Party’s territory is not a major supplier unless a Party determines that the supplier meets the definition of “major supplier” set out in Article 18.1 (Definitions). 10 Mexico, based on its evaluation of the state of competition of the Mexican submarine cable systems market, has not applied major supplier-related measures to submarine cable landing stations pursuant to this Article. 11 For greater certainty, this Article should not be understood to reflect a Party’s view on whether a service should be categorized as a value-added service or a public telecommunications service.</w:t>
      </w:r>
    </w:p>
    <w:p>
      <w:pPr>
        <w:pStyle w:val="Normal"/>
      </w:pPr>
      <w:r>
        <w:t>(a) ensure that: (i) any licensing, permit, registration, or notification procedure that it adopts or maintains relating to the supply of value-added services is transparent and non-discriminatory, and that applications filed thereunder are processed expeditiously, and (ii) information required under that procedure is limited to that necessary to demonstrate that the applicant has the financial solvency to begin providing services or to assess conformity of the applicant’s terminal or other equipment with the Party’s applicable standards or technical regulations, and (b) not require an enterprise in its territory that supplies value-added services to: (i) supply those services to the public generally, (ii) cost-justify its rates for those services, (iii) file a tariff for those services, (iv) connect its networks with a particular customer or network for the supply of those services or (v) conform with a particular standard or technical regulation of the telecommunications regulatory body for connecting to any other network, other than a public telecommunications network. 3.</w:t>
      </w:r>
    </w:p>
    <w:p>
      <w:pPr>
        <w:pStyle w:val="Normal"/>
      </w:pPr>
      <w:r>
        <w:t>Notwithstanding paragraphs 2(a)(ii) and 2(b), a Party may take the actions described in paragraphs 2(a)(ii) and 2(b) to remedy a practice of a supplier of value-added services that the Party has found in a particular case to be anticompetitive under its law, or to otherwise promote competition or safeguard the interests of consumers.</w:t>
      </w:r>
    </w:p>
    <w:p>
      <w:pPr>
        <w:pStyle w:val="Heading2"/>
      </w:pPr>
      <w:bookmarkStart w:id="900525" w:name="_Toc300000524"/>
      <w:r>
        <w:t xml:space="preserve">Article 18.15: Flexibility in the Choice of Technology</w:t>
      </w:r>
      <w:bookmarkEnd w:id="900525"/>
    </w:p>
    <w:p>
      <w:pPr>
        <w:pStyle w:val="Normal"/>
      </w:pPr>
      <w:r>
        <w:t xml:space="preserve">1. No Party shall prevent a supplier of public telecommunications services from choosing the technologies it wishes to use to supply its services, subject to requirements necessary to satisfy legitimate public policy interests, provided that any measure restricting that choice is not prepared, adopted, or applied in a manner that creates an unnecessary obstacle to trade. 2. For greater certainty, if a Party adopts a measure restricting choice referred to in paragraph 1, it shall do so consistent with Article 18.24 (Transparency).</w:t>
      </w:r>
    </w:p>
    <w:p>
      <w:pPr>
        <w:pStyle w:val="Heading2"/>
      </w:pPr>
      <w:bookmarkStart w:id="900526" w:name="_Toc300000525"/>
      <w:r>
        <w:t xml:space="preserve">Article 18.16: Approaches to Regulation</w:t>
      </w:r>
      <w:bookmarkEnd w:id="900526"/>
    </w:p>
    <w:p>
      <w:pPr>
        <w:pStyle w:val="Normal"/>
      </w:pPr>
      <w:r>
        <w:t xml:space="preserve">1. The Parties recognize the value of competitive markets to deliver a wide choice in the supply of telecommunications services and to enhance consumer welfare, and that economic regulation may not be needed if there is effective competition or if a service is new to a market. Accordingly, the Parties recognize that regulatory needs and approaches differ by market, and that each Party may determine how to implement its obligations under this Chapter. 2. In this respect, the Parties recognize that a Party may: (a) engage in direct regulation either in anticipation of an issue that the Party expects may arise or to resolve an issue that has arisen in the market; (b) rely on the role of market forces, particularly with respect to market segments that are, or are likely to be, competitive or that have low barriers to entry, such as services provided by telecommunications suppliers that do not own network facilities;12 or (c) use other appropriate means that benefit the long-term interest of end-users. 3.</w:t>
      </w:r>
    </w:p>
    <w:p>
      <w:pPr>
        <w:pStyle w:val="Normal"/>
      </w:pPr>
      <w:r>
        <w:t>If a Party engages in direct regulation, it may nonetheless forbear, to the extent provided for in its law, from applying that regulation to a service that the Party classifies as a public telecommunications service, if its telecommunications regulatory body determines that: (a) enforcement of the regulation is not necessary to prevent unreasonable or discriminatory practices; (b) enforcement of the regulation is not necessary for the protection of consumers; and (c) forbearance is consistent with the public interest, including promoting and enhancing competition between suppliers of public telecommunications services.</w:t>
      </w:r>
    </w:p>
    <w:p>
      <w:pPr>
        <w:pStyle w:val="Heading2"/>
      </w:pPr>
      <w:bookmarkStart w:id="900527" w:name="_Toc300000526"/>
      <w:r>
        <w:t xml:space="preserve">Article 18.17: Telecommunications Regulatory Bodies</w:t>
      </w:r>
      <w:bookmarkEnd w:id="900527"/>
    </w:p>
    <w:p>
      <w:pPr>
        <w:pStyle w:val="Normal"/>
      </w:pPr>
      <w:r>
        <w:t xml:space="preserve">12 Consistent with this subparagraph, the United States, based on its evaluation of the state of competition of the U.S. commercial mobile market, has not applied major supplier-related measures pursuant to Article 18.5 (Treatment by Major Suppliers of Public Telecommunications Services), Article 18.7 (Resale), Article 18.9 (Interconnection with Major Suppliers), Article 18.11 (Co-Location), or Article 18.12 (Access to Poles, Ducts, Conduits, and Rights-of Way) to the commercial mobile market. 1. Each Party shall ensure that its telecommunications regulatory body is separate from, and not accountable to, a supplier of public telecommunications services. With a view to ensuring the independence and impartiality of telecommunications regulatory bodies, each Party shall ensure that its telecommunications regulatory body does not hold a financial interest13 or maintain an operating or management role in a supplier of public telecommunications services.14 2. Each Party shall ensure that its regulatory decisions and procedures, including decisions and procedures relating to licensing, interconnection with public telecommunications networks and services, tariffs, and assignment or allocation of spectrum for commercial telecommunications services, are impartial with respect to market participants. 3.</w:t>
      </w:r>
    </w:p>
    <w:p>
      <w:pPr>
        <w:pStyle w:val="Normal"/>
      </w:pPr>
      <w:r>
        <w:t>Each Party shall ensure that its telecommunications regulatory body has the authority to impose requirements on a major supplier that are additional to or different from requirements imposed on other suppliers in the telecommunications sector.</w:t>
      </w:r>
    </w:p>
    <w:p>
      <w:pPr>
        <w:pStyle w:val="Heading2"/>
      </w:pPr>
      <w:bookmarkStart w:id="900528" w:name="_Toc300000527"/>
      <w:r>
        <w:t xml:space="preserve">Article 18.18: State Enterprises</w:t>
      </w:r>
      <w:bookmarkEnd w:id="900528"/>
    </w:p>
    <w:p>
      <w:pPr>
        <w:pStyle w:val="Normal"/>
      </w:pPr>
      <w:r>
        <w:t xml:space="preserve">No Party shall accord more favorable treatment to a supplier of telecommunications services in its territory than that accorded to a like service supplier of another Party on the basis that the supplier receiving more favorable treatment is owned or controlled by the central level of government of the Party.</w:t>
      </w:r>
    </w:p>
    <w:p>
      <w:pPr>
        <w:pStyle w:val="Heading2"/>
      </w:pPr>
      <w:bookmarkStart w:id="900529" w:name="_Toc300000528"/>
      <w:r>
        <w:t xml:space="preserve">Article 18.19: Universal Services</w:t>
      </w:r>
      <w:bookmarkEnd w:id="900529"/>
    </w:p>
    <w:p>
      <w:pPr>
        <w:pStyle w:val="Normal"/>
      </w:pPr>
      <w:r>
        <w:t xml:space="preserve">Each Party has the right to define the kind of universal service obligation it wishes to maintain. Each Party shall administer any universal service obligation that it maintains in a transparent, non-discriminatory, and competitively neutral manner and shall ensure that its universal service obligation is not more burdensome than necessary for the kind of universal service that it has defined.</w:t>
      </w:r>
    </w:p>
    <w:p>
      <w:pPr>
        <w:pStyle w:val="Heading2"/>
      </w:pPr>
      <w:bookmarkStart w:id="900530" w:name="_Toc300000529"/>
      <w:r>
        <w:t xml:space="preserve">Article 18.20: Licensing Process</w:t>
      </w:r>
      <w:bookmarkEnd w:id="900530"/>
    </w:p>
    <w:p>
      <w:pPr>
        <w:pStyle w:val="Normal"/>
      </w:pPr>
      <w:r>
        <w:t xml:space="preserve">13 For greater certainty, this paragraph shall not be construed to prohibit a government entity of a Party other than the telecommunications regulatory body from owning equity in a supplier of public telecommunications services. 14 For Mexico, the telecommunications regulatory body is autonomous from the Executive Branch of government, is independent regarding its decisions and functioning, and has the purpose of regulating and promoting competition and efficient development of telecommunications, as set out in existing Mexican law. 1. If a Party requires a supplier of public telecommunications services to have a license, the Party shall make publicly available: (a) applicable licensing criteria and procedures; (b) the period that it normally requires to reach a decision concerning an application for a license; and (c) the terms and conditions of licenses in effect. 2. Each Party shall ensure that, on request, an applicant or licensee receives the reasons for the: (a) denial of a license; (b) imposition of supplier-specific conditions on a license; (c) revocation of a license; or (d) refusal to renew a license.</w:t>
      </w:r>
    </w:p>
    <w:p>
      <w:pPr>
        <w:pStyle w:val="Heading2"/>
      </w:pPr>
      <w:bookmarkStart w:id="900531" w:name="_Toc300000530"/>
      <w:r>
        <w:t xml:space="preserve">Article 18.21: Allocation and Use of Scarce Resources</w:t>
      </w:r>
      <w:bookmarkEnd w:id="900531"/>
    </w:p>
    <w:p>
      <w:pPr>
        <w:pStyle w:val="Normal"/>
      </w:pPr>
      <w:r>
        <w:t xml:space="preserve">1. Each Party shall administer its procedures for the allocation and use of scarce telecommunications resources, including frequencies, numbers and rights-of-way, in an objective, timely, transparent, and non-discriminatory manner. 2. Each Party shall make publicly available the current state of frequency bands allocated and assigned to specific suppliers but retains the right not to provide detailed identification of frequencies that are allocated or assigned for specific government uses. 3. For greater certainty, a measure of a Party that allocates or assigns spectrum or manages frequency is not in itself inconsistent with Article 15.5 (Market Access) either as it applies to cross-border trade in services or through the operation of Article 15.2 (Scope) to an investor or covered investment of another Party. Accordingly, each Party retains the right to establish and apply spectrum and frequency management policies that may have the effect of limiting the number of suppliers of public telecommunications services, provided that the Party does so in a manner that is consistent with this Agreement. This includes the ability to allocate frequency bands, taking into account current and future needs and spectrum availability. 4.</w:t>
      </w:r>
    </w:p>
    <w:p>
      <w:pPr>
        <w:pStyle w:val="Normal"/>
      </w:pPr>
      <w:r>
        <w:t>When making a spectrum allocation for commercial telecommunications services, each Party shall endeavor to rely on an open and transparent process that considers the public interest, including the promotion of competition. 5. Each Party shall endeavor to rely generally on market-based approaches in assigning spectrum for terrestrial commercial telecommunications services. To this end, each Party may use mechanisms such as auctions, if appropriate, to assign spectrum for commercial use.</w:t>
      </w:r>
    </w:p>
    <w:p>
      <w:pPr>
        <w:pStyle w:val="Heading2"/>
      </w:pPr>
      <w:bookmarkStart w:id="900532" w:name="_Toc300000531"/>
      <w:r>
        <w:t xml:space="preserve">Article 18.22: Enforcement</w:t>
      </w:r>
      <w:bookmarkEnd w:id="900532"/>
    </w:p>
    <w:p>
      <w:pPr>
        <w:pStyle w:val="Normal"/>
      </w:pPr>
      <w:r>
        <w:t xml:space="preserve">Each Party shall provide its competent authority the authority to enforce the Party’s measures relating to the obligations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 That authority shall include the ability to impose effective sanctions, which may include financial penalties, injunctive relief (on an interim or final basis), corrective orders, or the modification, suspension, or revocation of licenses.</w:t>
      </w:r>
    </w:p>
    <w:p>
      <w:pPr>
        <w:pStyle w:val="Heading2"/>
      </w:pPr>
      <w:bookmarkStart w:id="900533" w:name="_Toc300000532"/>
      <w:r>
        <w:t xml:space="preserve">Article 18.23: Resolution of Disputes</w:t>
      </w:r>
      <w:bookmarkEnd w:id="900533"/>
    </w:p>
    <w:p>
      <w:pPr>
        <w:pStyle w:val="Normal"/>
      </w:pPr>
      <w:r>
        <w:t xml:space="preserve">1. Further to Article 29.3 (Administrative Proceedings) and Article 29.4 (Review and Appeal), each Party shall ensure that: Recourse (a) enterprises have recourse to the telecommunications regulatory body of the Party to resolve disputes with a supplier of public telecommunications services regarding the Party’s measures relating to matters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w:t>
      </w:r>
    </w:p>
    <w:p>
      <w:pPr>
        <w:pStyle w:val="Normal"/>
      </w:pPr>
      <w:r>
        <w:t>(b) if the telecommunications regulatory body declines to initiate action on a request to resolve a dispute, it shall, on request, provide a written explanation for its decision within a reasonable period of time;15 (c) a supplier of public telecommunications services of another Party that has requested interconnection with a major supplier in the Party’s territory has, within a reasonable and publicly specified period of time after the supplier requests interconnection, recourse to its telecommunications regulatory body to</w:t>
      </w:r>
    </w:p>
    <w:p>
      <w:pPr>
        <w:pStyle w:val="Normal"/>
      </w:pPr>
      <w:r>
        <w:t>resolve disputes regarding the appropriate terms, conditions and rates for interconnection with that major supplier; and Reconsideration16 (d) an enterprise whose legally protected interests are adversely affected by a determination or decision of the Party’s telecommunications regulatory body may appeal to or petition the body to reconsider that determination or decision. No Party shall permit the making of an application for reconsideration to constitute grounds for non-compliance with the determination or decision of the telecommunications regulatory body, unless the regulatory body issues an order that the determination or decision not be enforced while the proceeding is pending. A Party may limit the circumstances under which reconsideration is available, in accordance with its laws and regulations. Judicial Review 2. No Party shall permit the making of an application for judicial review to constitute grounds for non-compliance with the determination or decision of the telecommunications regulatory body, unless the judicial body issues an order that the determination or decision not be enforced while the proceeding is pending. 15 For the United States, this subparagraph applies only to the national regulatory body. 16 This subparagraph does not apply to Mexico.</w:t>
      </w:r>
    </w:p>
    <w:p>
      <w:pPr>
        <w:pStyle w:val="Normal"/>
      </w:pPr>
      <w:r>
        <w:t>For Mexico, the general rules, acts or omissions of the Federal Telecommunications Institute may only be challenged through an indirect amparo trial before federal courts specialized in competition, broadcasting, and telecommunications and shall not be subject to injunction (suspensión).</w:t>
      </w:r>
    </w:p>
    <w:p>
      <w:pPr>
        <w:pStyle w:val="Heading2"/>
      </w:pPr>
      <w:bookmarkStart w:id="900534" w:name="_Toc300000533"/>
      <w:r>
        <w:t xml:space="preserve">Article 18.24: Transparency</w:t>
      </w:r>
      <w:bookmarkEnd w:id="900534"/>
    </w:p>
    <w:p>
      <w:pPr>
        <w:pStyle w:val="Normal"/>
      </w:pPr>
      <w:r>
        <w:t xml:space="preserve">1. Further to Article 29.2 (Publication), each Party shall ensure that when its telecommunications regulatory body seeks input 17 for a proposal for a regulation, that body: (a) makes the proposal public or otherwise available to any interested persons; (b) includes an explanation of the purpose of and reasons for the proposal; (c) provides interested persons with adequate public notice of the ability to comment and reasonable opportunity for comment; (d) to the extent practicable, makes publicly available all relevant comments filed with it; and (e) responds to all significant and relevant issues raised in comments filed, in the course of issuance of the final regulation.18 2. Further to Article 29.2 (Publication), each Party shall ensure that its measures relating to public telecommunications services are publicly available, including: (a) tariffs and other terms and conditions of service; (b) specifications of technical interfaces; (c) conditions for attaching terminal or other equipment to the public telecommunications network; (d) licensing, permit, registration, or notification requirements, if any;</w:t>
      </w:r>
    </w:p>
    <w:p>
      <w:pPr>
        <w:pStyle w:val="Normal"/>
      </w:pPr>
      <w:r>
        <w:t>(e) general procedures relating to resolution of telecommunications disputes provided for in Article 18.23 (Resolution of Disputes); and (f) any measures of the telecommunications regulatory body if the government delegates to other bodies the responsibility for preparing, amending, and adopting standards-related measures affecting access and use.</w:t>
      </w:r>
    </w:p>
    <w:p>
      <w:pPr>
        <w:pStyle w:val="Heading2"/>
      </w:pPr>
      <w:bookmarkStart w:id="900535" w:name="_Toc300000534"/>
      <w:r>
        <w:t xml:space="preserve">Article 18.25: International Roaming Services</w:t>
      </w:r>
      <w:bookmarkEnd w:id="900535"/>
    </w:p>
    <w:p>
      <w:pPr>
        <w:pStyle w:val="Normal"/>
      </w:pPr>
      <w:r>
        <w:t xml:space="preserve">17 For greater certainty, seeking input does not include internal governmental deliberations. 18 For greater certainty, a Party may consolidate its responses to the comments received from interested persons. 1. The Parties shall endeavor to cooperate on promoting transparent and reasonable rates for international mobile roaming services that can help promote the growth of trade between the Parties and enhance consumer welfare. 2. A Party may take steps to enhance transparency and competition with respect to international mobile roaming rates and technological alternatives to roaming services, such as: (a) ensuring that information regarding retail rates is easily accessible to consumers; and (b) minimizing impediments to the use of technological alternatives to roaming, whereby consumers can access telecommunications services using the device of their choice when visiting the territory of a Party from the territory of another Party.</w:t>
      </w:r>
    </w:p>
    <w:p>
      <w:pPr>
        <w:pStyle w:val="Heading2"/>
      </w:pPr>
      <w:bookmarkStart w:id="900536" w:name="_Toc300000535"/>
      <w:r>
        <w:t xml:space="preserve">Article 18.26: Relation to Other Chapters</w:t>
      </w:r>
      <w:bookmarkEnd w:id="900536"/>
    </w:p>
    <w:p>
      <w:pPr>
        <w:pStyle w:val="Normal"/>
      </w:pPr>
      <w:r>
        <w:t xml:space="preserve">If there is an inconsistency between this Chapter and another Chapter of this Agreement, this Chapter shall prevail to the extent of the inconsistency.</w:t>
      </w:r>
    </w:p>
    <w:p>
      <w:pPr>
        <w:pStyle w:val="Heading2"/>
      </w:pPr>
      <w:bookmarkStart w:id="900537" w:name="_Toc300000536"/>
      <w:r>
        <w:t xml:space="preserve">Article 18.27: Telecommunications Committee</w:t>
      </w:r>
      <w:bookmarkEnd w:id="900537"/>
    </w:p>
    <w:p>
      <w:pPr>
        <w:pStyle w:val="Normal"/>
      </w:pPr>
      <w:r>
        <w:t xml:space="preserve">1. The Parties hereby establish a Telecommunications Committee composed of government representatives of each Party. 2. The Telecommunications Committee shall: (a) review and monitor the implementation and operation of this Chapter, with a view to ensuring the effective implementation of the Chapter by enabling responsiveness to technological and regulatory developments in telecommunications to ensure the continuing relevance of this Chapter to Parties, service suppliers and end-users; (b) discuss issues related to this Chapter and any other issues relevant to the telecommunications sector the Parties may decide; (c) report to the Commission on the findings and the outcomes of its discussions; and (d) carry out other functions delegated to it by the Commission. 3. The Telecommunications Committee shall meet at venues and times as the Parties may decide. 4. The Parties may decide to invite representatives of relevant entities other than the Parties, including representatives of private sector entities, having the necessary expertise relevant to the issues to be discussed, to attend meetings of the Telecommunications Committee.</w:t>
      </w:r>
    </w:p>
    <w:p>
      <w:pPr>
        <w:pStyle w:val="Heading2"/>
      </w:pPr>
      <w:bookmarkStart w:id="900538" w:name="_Toc300000537"/>
      <w:r>
        <w:t xml:space="preserve">ANNEX 18-A RURAL TELEPHONE SUPPLIERS</w:t>
      </w:r>
      <w:bookmarkEnd w:id="900538"/>
    </w:p>
    <w:p>
      <w:pPr>
        <w:pStyle w:val="Normal"/>
      </w:pPr>
      <w:r>
        <w:t xml:space="preserve">United States The United States may exempt rural local exchange carriers and rural telephone companies, as defined, respectively, in sections 251(f)(2) and 3(44) of the Communications Act of 1934, as amended, (47 U.S.C. Section 251(f)(2) and Section 153(44)), from the obligations contained in Article 18.4.6 (Obligations Relating to Suppliers of Public Telecommunications Services – Number Portability), Article 18.4.7 (Obligations Relating to Suppliers of Public Telecommunications Services – Dialing Parity), Article 18.7 (Resale), Article 18.8 (Unbundling of Network Elements), Article 18.9 (Interconnection with Major Suppliers), and Article 18.11 (Co-Location). 18-A-1</w:t>
      </w:r>
    </w:p>
    <w:p>
      <w:pPr>
        <w:pStyle w:val="Normal"/>
      </w:pPr>
      <w:r>
        <w:t>This Chapter and its modernization provisions contain the principal digital-trade architecture. Related AI, automated-decision, cybersecurity, privacy, and sector-specific rules may also appear elsewhere.</w:t>
      </w:r>
    </w:p>
    <w:p>
      <w:pPr>
        <w:pStyle w:val="TrumpVisibilityHeadline"/>
      </w:pPr>
      <w:r>
        <w:t>SEARCH SIGNPOST: DIGITAL TRADE / DATA / PRIVACY / CYBERSECURITY / ARTIFICIAL INTELLIGENCE / AI / ALGORITHMS / SOURCE CODE</w:t>
      </w:r>
    </w:p>
    <w:p>
      <w:pPr>
        <w:pStyle w:val="Heading1"/>
      </w:pPr>
      <w:bookmarkStart w:id="900539" w:name="_Toc300000538"/>
      <w:r>
        <w:t>CHAPTER 19 DIGITAL TRADE</w:t>
      </w:r>
      <w:bookmarkEnd w:id="900539"/>
    </w:p>
    <w:p>
      <w:pPr>
        <w:pStyle w:val="Heading2"/>
      </w:pPr>
      <w:bookmarkStart w:id="900540" w:name="_Toc300000539"/>
      <w:r>
        <w:t xml:space="preserve">Article 19.1: Definitions</w:t>
      </w:r>
      <w:bookmarkEnd w:id="900540"/>
    </w:p>
    <w:p>
      <w:pPr>
        <w:pStyle w:val="Normal"/>
      </w:pPr>
      <w:r>
        <w:t xml:space="preserve">For the purposes of this Chapter: algorithm means a defined sequence of steps, taken to solve a problem or obtain a result; computing facility means a computer server or storage device for processing or storing information for commercial use; covered person means: (a) a covered investment as defined in 1.4 (General Definitions); (b) an investor of a Party as defined in Article 14.1 (Definitions); or (c) a service supplier of a Party as defined in Article 15.1 (Definitions), but does not include a covered person as defined in Article 17.1 (Definitions); digital product means a computer program, text, video, image, sound recording, or other product that is digitally encoded, produced for commercial sale or distribution, and that can be transmitted electronically. For greater certainty, digital product does not include a digitized representation of a financial instrument, including money;</w:t>
      </w:r>
    </w:p>
    <w:p>
      <w:pPr>
        <w:pStyle w:val="Normal"/>
      </w:pPr>
      <w:r>
        <w:t>1 electronic authentication means the process or act of verifying the identity of a party to an electronic communication or transaction and ensuring the integrity of an electronic communication; electronic signature means data in electronic form that is in, affixed to, or logically associated with, an electronic document or message, and that may be used to identify the signatory in relation to the electronic document or message and indicate the signatory’s approval of the information contained in the electronic document or message; government information means</w:t>
      </w:r>
    </w:p>
    <w:p>
      <w:pPr>
        <w:pStyle w:val="Normal"/>
      </w:pPr>
      <w:r>
        <w:t>non-proprietary information, including data, held by the central government; information content provider means a person or entity that creates or develops, in whole or in 1 This definition should not be understood to reflect a Party’s view that digital products are a good or are a service. part, information provided through the Internet or another interactive computer service; interactive computer service means a system or service that provides or enables electronic access by multiple users to a computer server; personal information means information, including data, about an identified or identifiable natural person; trade administration document means a form issued or controlled by a Party that must be completed by or for an importer or exporter in connection with the import or export of goods; and unsolicited commercial electronic communication means an electronic message, which is sent to an electronic address of a person for commercial or marketing purposes without the consent of the recipient or despite the explicit rejection of the recipient.2</w:t>
      </w:r>
    </w:p>
    <w:p>
      <w:pPr>
        <w:pStyle w:val="Heading2"/>
      </w:pPr>
      <w:bookmarkStart w:id="900541" w:name="_Toc300000540"/>
      <w:r>
        <w:t xml:space="preserve">Article 19.2: Scope and General Provisions</w:t>
      </w:r>
      <w:bookmarkEnd w:id="900541"/>
    </w:p>
    <w:p>
      <w:pPr>
        <w:pStyle w:val="Normal"/>
      </w:pPr>
      <w:r>
        <w:t xml:space="preserve">1. The Parties recognize the economic growth and opportunities provided by digital trade and the importance of frameworks that promote consumer confidence in digital trade and of avoiding unnecessary barriers to its use and development. 2. This Chapter applies to measures adopted or maintained by a Party that affect trade by electronic means. 3. This Chapter does not apply: (a) to government procurement; or (b) except for Article 19.18 (Open Government Data), to information held or processed by or on behalf of a Party, or measures related to that information, including measures related to its collection. 4. For greater certainty, a measure that affects the supply of a service delivered or performed electronically is subject to Chapter 14 (Investment), Chapter 15 (Cross-Border Trade in Services), and Chapter 17 (Financial Services), including any exception or non-conforming measure set out in this Agreement that is applicable to the obligations contained in those Chapters. For the United States, an unsolicited commercial electronic communication does not include an electronic message sent primarily for purposes other than commercial or marketing purposes.</w:t>
      </w:r>
    </w:p>
    <w:p>
      <w:pPr>
        <w:pStyle w:val="Heading2"/>
      </w:pPr>
      <w:bookmarkStart w:id="900542" w:name="_Toc300000541"/>
      <w:r>
        <w:t xml:space="preserve">Article 19.3: Customs Duties</w:t>
      </w:r>
      <w:bookmarkEnd w:id="900542"/>
    </w:p>
    <w:p>
      <w:pPr>
        <w:pStyle w:val="Normal"/>
      </w:pPr>
      <w:r>
        <w:t xml:space="preserve">1. No Party shall impose customs duties, fees, or other charges on or in connection with the importation or exportation of digital products transmitted electronically, between a person of one Party and a person of another Party. 2. For greater certainty, paragraph 1 does not preclude a Party from imposing internal taxes, fees, or other charges on a digital product transmitted electronically, provided that those taxes, fees, or charges are imposed in a manner consistent with this Agreement.</w:t>
      </w:r>
    </w:p>
    <w:p>
      <w:pPr>
        <w:pStyle w:val="Heading2"/>
      </w:pPr>
      <w:bookmarkStart w:id="900543" w:name="_Toc300000542"/>
      <w:r>
        <w:t xml:space="preserve">Article 19.4: Non-Discriminatory Treatment of Digital Products</w:t>
      </w:r>
      <w:bookmarkEnd w:id="900543"/>
    </w:p>
    <w:p>
      <w:pPr>
        <w:pStyle w:val="Normal"/>
      </w:pPr>
      <w:r>
        <w:t xml:space="preserve">1. No Party shall accord less favorable treatment to a digital product created, produced, published, contracted for, commissioned, or first made available on commercial terms in the territory of another Party, or to a digital product of which the author, performer, producer, developer, or owner is a person of another Party, than it accords to other like digital products.3 2. This Article does not apply to a subsidy or grant provided by a Party, including a government-supported loan, guarantee, or insurance.</w:t>
      </w:r>
    </w:p>
    <w:p>
      <w:pPr>
        <w:pStyle w:val="Heading2"/>
      </w:pPr>
      <w:bookmarkStart w:id="900544" w:name="_Toc300000543"/>
      <w:r>
        <w:t xml:space="preserve">Article 19.5: Domestic Electronic Transactions Framework</w:t>
      </w:r>
      <w:bookmarkEnd w:id="900544"/>
    </w:p>
    <w:p>
      <w:pPr>
        <w:pStyle w:val="Normal"/>
      </w:pPr>
      <w:r>
        <w:t xml:space="preserve">1. Each Party shall maintain a legal framework governing electronic transactions consistent with the principles of the UNCITRAL Model Law on Electronic Commerce 1996. 2. Each Party shall endeavor to: (a) avoid unnecessary regulatory burden on electronic transactions; and (b) facilitate input by interested persons in the development of its legal framework for electronic transactions.</w:t>
      </w:r>
    </w:p>
    <w:p>
      <w:pPr>
        <w:pStyle w:val="Heading2"/>
      </w:pPr>
      <w:bookmarkStart w:id="900545" w:name="_Toc300000544"/>
      <w:r>
        <w:t xml:space="preserve">Article 19.6: Electronic Authentication and Electronic Signatures</w:t>
      </w:r>
      <w:bookmarkEnd w:id="900545"/>
    </w:p>
    <w:p>
      <w:pPr>
        <w:pStyle w:val="Normal"/>
      </w:pPr>
      <w:r>
        <w:t xml:space="preserve">1. Except in circumstances provided for under its law, a Party shall not deny the legal validity of a signature solely on the basis that the signature is in electronic form. 2. No Party shall adopt or maintain measures for electronic authentication and electronic 3 For greater certainty, to the extent that a digital product of a non-Party is a “like digital product,” it will qualify as an “other like digital product” for the purposes of Article 19.4.1 (Non-Discriminatory Treatment of Digital Products). signatures that would: (a) prohibit parties to an electronic transaction from mutually determining the appropriate authentication methods or electronic signatures for that transaction; or (b) prevent parties to an electronic transaction from having the opportunity to establish before judicial or administrative authorities that their transaction complies with any legal requirements with respect to authentication or electronic signatures. 3. Notwithstanding paragraph 2, a Party may require that, for a particular category of transactions, the electronic signature or method of authentication meets certain performance standards or is certified by an authority accredited in accordance with its law. 4. Each Party shall encourage the use of interoperable electronic authentication.</w:t>
      </w:r>
    </w:p>
    <w:p>
      <w:pPr>
        <w:pStyle w:val="Heading2"/>
      </w:pPr>
      <w:bookmarkStart w:id="900546" w:name="_Toc300000545"/>
      <w:r>
        <w:t xml:space="preserve">Article 19.7: Online Consumer Protection</w:t>
      </w:r>
      <w:bookmarkEnd w:id="900546"/>
    </w:p>
    <w:p>
      <w:pPr>
        <w:pStyle w:val="Normal"/>
      </w:pPr>
      <w:r>
        <w:t xml:space="preserve">1. The Parties recognize the importance of adopting and maintaining transparent and effective measures to protect consumers from fraudulent or deceptive commercial activities as referred to in Article 21.4.2 (Consumer Protection) when they engage in digital trade. 2. Each Party shall adopt or maintain consumer protection laws to proscribe fraudulent and deceptive commercial activities that cause harm or potential harm to consumers engaged in online commercial activities. 3. The Parties recognize the importance of, and public interest in, cooperation between their respective national consumer protection agencies or other relevant bodies on activities related to cross-border digital trade in order to enhance consumer welfare. To this end, the Parties affirm that cooperation under paragraphs 21.4.3 through 21.4.5 (Consumer Protection) includes cooperation with respect to online commercial activities.</w:t>
      </w:r>
    </w:p>
    <w:p>
      <w:pPr>
        <w:pStyle w:val="Heading2"/>
      </w:pPr>
      <w:bookmarkStart w:id="900547" w:name="_Toc300000546"/>
      <w:r>
        <w:t xml:space="preserve">Article 19.8: Personal Information Protection</w:t>
      </w:r>
      <w:bookmarkEnd w:id="900547"/>
    </w:p>
    <w:p>
      <w:pPr>
        <w:pStyle w:val="Normal"/>
      </w:pPr>
      <w:r>
        <w:t xml:space="preserve">1. The Parties recognize the economic and social benefits of protecting the personal information of users of digital trade and the contribution that this makes to enhancing consumer confidence in digital trade. 2. To this end, each Party shall adopt or maintain a legal framework that provides for the protection of the personal information of the users of digital trade. In the development of this legal framework, each Party should take into account principles and guidelines of relevant international bodies,4 such as the APEC Privacy Framework and the OECD Recommendation of the Council concerning Guidelines governing the Protection of Privacy and Transborder Flows of Personal Data (2013). 3. The Parties recognize that pursuant to paragraph 2, key principles include: limitation on collection; choice; data quality; purpose specification; use limitation; security safeguards; transparency; individual participation; and accountability. The Parties also recognize the importance of ensuring compliance with measures to protect personal information and ensuring that any restrictions on cross-border flows of personal information are necessary and proportionate to the risks presented. 4. Each Party shall endeavor to adopt non-discriminatory practices in protecting users of digital trade from personal information protection violations occurring within its jurisdiction. 5.</w:t>
      </w:r>
    </w:p>
    <w:p>
      <w:pPr>
        <w:pStyle w:val="Normal"/>
      </w:pPr>
      <w:r>
        <w:t>Each Party shall publish information on the personal information protections it provides to users of digital trade, including how: (a) a natural person can pursue a remedy; and (b) an enterprise can comply with legal requirements. 6. Recognizing that the Parties may take different legal approaches to protecting personal information, each Party should encourage the development of mechanisms to promote compatibility between these different regimes. The Parties shall endeavor to exchange information on the mechanisms applied in their jurisdictions and explore ways to extend these or other suitable arrangements to promote compatibility between them. The Parties recognize that the APEC Cross-Border Privacy Rules system is a valid mechanism to facilitate cross-border information transfers while protecting personal information.</w:t>
      </w:r>
    </w:p>
    <w:p>
      <w:pPr>
        <w:pStyle w:val="Heading2"/>
      </w:pPr>
      <w:bookmarkStart w:id="900548" w:name="_Toc300000547"/>
      <w:r>
        <w:t xml:space="preserve">Article 19.9: Paperless Trading</w:t>
      </w:r>
      <w:bookmarkEnd w:id="900548"/>
    </w:p>
    <w:p>
      <w:pPr>
        <w:pStyle w:val="Normal"/>
      </w:pPr>
      <w:r>
        <w:t xml:space="preserve">Each Party shall endeavor to accept a trade administration document submitted electronically as the legal equivalent of the paper version of that document.</w:t>
      </w:r>
    </w:p>
    <w:p>
      <w:pPr>
        <w:pStyle w:val="Heading2"/>
      </w:pPr>
      <w:bookmarkStart w:id="900549" w:name="_Toc300000548"/>
      <w:r>
        <w:t xml:space="preserve">Article 19.10: Principles on Access to and Use of the Internet for Digital Trade</w:t>
      </w:r>
      <w:bookmarkEnd w:id="900549"/>
    </w:p>
    <w:p>
      <w:pPr>
        <w:pStyle w:val="Normal"/>
      </w:pPr>
      <w:r>
        <w:t xml:space="preserve">The Parties recognize that it is beneficial for consumers in their territories to be able to: For greater certainty, a Party may comply with the obligation in this paragraph by adopting or maintaining measures such as a comprehensive privacy, personal information or personal data protection laws, sector-specific laws covering privacy, or laws that provide for the enforcement of voluntary undertakings by enterprises relating to privacy. (a) access and use services and applications of a consumer’s choice available on the Internet, subject to reasonable network management; (b) connect the end-user devices of a consumer’s choice to the Internet, provided that such devices do not harm the network; and (c) access information on the network management practices of a consumer’s Internet access service supplier.</w:t>
      </w:r>
    </w:p>
    <w:p>
      <w:pPr>
        <w:pStyle w:val="Heading2"/>
      </w:pPr>
      <w:bookmarkStart w:id="900550" w:name="_Toc300000549"/>
      <w:r>
        <w:t xml:space="preserve">Article 19.11: Cross-Border Transfer of Information by Electronic Means</w:t>
      </w:r>
      <w:bookmarkEnd w:id="900550"/>
    </w:p>
    <w:p>
      <w:pPr>
        <w:pStyle w:val="Normal"/>
      </w:pPr>
      <w:r>
        <w:t xml:space="preserve">1. No Party shall prohibit or restrict the cross-border transfer of information, including personal information, by electronic means if this activity is for the conduct of the business of a covered person. 2. This Article does not prevent a Party from adopting or maintaining a measure inconsistent with paragraph 1 that is necessary to achieve a legitimate public policy objective, provided that the measure: (a) is not applied in a manner which would constitute a means of arbitrary or unjustifiable discrimination or a disguised restriction on trade; and (b) does not impose restrictions on transfers of information greater than are necessary to achieve the objective.5</w:t>
      </w:r>
    </w:p>
    <w:p>
      <w:pPr>
        <w:pStyle w:val="Heading2"/>
      </w:pPr>
      <w:bookmarkStart w:id="900551" w:name="_Toc300000550"/>
      <w:r>
        <w:t xml:space="preserve">Article 19.12: Location of Computing Facilities</w:t>
      </w:r>
      <w:bookmarkEnd w:id="900551"/>
    </w:p>
    <w:p>
      <w:pPr>
        <w:pStyle w:val="Normal"/>
      </w:pPr>
      <w:r>
        <w:t xml:space="preserve">No Party shall require a covered person to use or locate computing facilities in that Party’s territory as a condition for conducting business in that territory.</w:t>
      </w:r>
    </w:p>
    <w:p>
      <w:pPr>
        <w:pStyle w:val="Heading2"/>
      </w:pPr>
      <w:bookmarkStart w:id="900552" w:name="_Toc300000551"/>
      <w:r>
        <w:t xml:space="preserve">Article 19.13: Unsolicited Commercial Electronic Communications</w:t>
      </w:r>
      <w:bookmarkEnd w:id="900552"/>
    </w:p>
    <w:p>
      <w:pPr>
        <w:pStyle w:val="Normal"/>
      </w:pPr>
      <w:r>
        <w:t xml:space="preserve">1. Each Party shall adopt or maintain measures providing for the limitation of unsolicited commercial electronic communications. 2. Each Party shall adopt or maintain measures regarding unsolicited commercial electronic communications sent to an electronic mail address that: 5 A measure does not meet the conditions of this paragraph if it accords different treatment to data transfers solely on the basis that they are cross-border in a manner that modifies the conditions of competition to the detriment of service suppliers of another Party. (a) require suppliers of unsolicited commercial electronic messages to facilitate the ability of recipients to prevent ongoing reception of those messages; or (b) require the consent, as specified in the laws and regulations of each Party, of recipients to receive commercial electronic messages. 3. Each Party shall endeavor to adopt or maintain measures that enable consumers to reduce or prevent unsolicited commercial electronic communications sent other than to an electronic mail address. 4.</w:t>
      </w:r>
    </w:p>
    <w:p>
      <w:pPr>
        <w:pStyle w:val="Normal"/>
      </w:pPr>
      <w:r>
        <w:t>Each Party shall provide recourse in its law against suppliers of unsolicited commercial electronic communications that do not comply with a measure adopted or maintained pursuant to paragraph 2 or 3. 5. The Parties shall endeavor to cooperate in appropriate cases of mutual concern regarding the regulation of unsolicited commercial electronic communications.</w:t>
      </w:r>
    </w:p>
    <w:p>
      <w:pPr>
        <w:pStyle w:val="Heading2"/>
      </w:pPr>
      <w:bookmarkStart w:id="900553" w:name="_Toc300000552"/>
      <w:r>
        <w:t xml:space="preserve">Article 19.14: Cooperation</w:t>
      </w:r>
      <w:bookmarkEnd w:id="900553"/>
    </w:p>
    <w:p>
      <w:pPr>
        <w:pStyle w:val="Normal"/>
      </w:pPr>
      <w:r>
        <w:t xml:space="preserve">1. Recognizing the global nature of digital trade, the Parties shall endeavor to: (a) exchange information and share experiences on regulations, policies, enforcement and compliance relating to digital trade, including: (i) personal information protection, particularly with a view to strengthening existing international mechanisms for cooperation in enforcing laws protecting privacy, (ii) security in electronic communications, (iii) authentication, and (iv) government use of digital tools and technologies to achieve better government performance; (b) cooperate and maintain a dialogue on the promotion and development of mechanisms, including the APEC Cross-Border Privacy Rules, that further global interoperability of privacy regimes; (c) actively participate in regional and multilateral fora to promote the development of digital trade; (d) encourage development by the private sector of methods of self-regulation that foster digital trade, including codes of conduct, model contracts, guidelines, and enforcement mechanisms; (e) promote access for persons with disabilities to information and communications technologies; and (f) promote, through international cross-border cooperation initiatives, the development of mechanisms to assist users in submitting cross-border complaints regarding personal information protection. 2.</w:t>
      </w:r>
    </w:p>
    <w:p>
      <w:pPr>
        <w:pStyle w:val="Normal"/>
      </w:pPr>
      <w:r>
        <w:t>The Parties shall consider establishing a forum to address any of the issues listed above, or any other matter pertaining to the operation of this Chapter.</w:t>
      </w:r>
    </w:p>
    <w:p>
      <w:pPr>
        <w:pStyle w:val="Heading2"/>
      </w:pPr>
      <w:bookmarkStart w:id="900554" w:name="_Toc300000553"/>
      <w:r>
        <w:t xml:space="preserve">Article 19.15: Cybersecurity</w:t>
      </w:r>
      <w:bookmarkEnd w:id="900554"/>
    </w:p>
    <w:p>
      <w:pPr>
        <w:pStyle w:val="Normal"/>
      </w:pPr>
      <w:r>
        <w:t xml:space="preserve">1. The Parties recognize that threats to cybersecurity undermine confidence in digital trade. Accordingly, the Parties shall endeavor to: (a) build the capabilities of their respective national entities responsible for cybersecurity incident response; and (b) strengthen existing collaboration mechanisms for cooperating to identify and mitigate malicious intrusions or dissemination of malicious code that affect electronic networks, and use those mechanisms to swiftly address cybersecurity incidents, as well as for the sharing of information for awareness and best practices. 2. Given the evolving nature of cybersecurity threats, the Parties recognize that risk-based approaches may be more effective than prescriptive regulation in addressing those threats. Accordingly, each Party shall endeavor to employ, and encourage enterprises within its jurisdiction to use, risk-based approaches that rely on consensus-based standards and risk management best practices to identify and protect against cybersecurity risks and to detect, respond to, and recover from cybersecurity events.</w:t>
      </w:r>
    </w:p>
    <w:p>
      <w:pPr>
        <w:pStyle w:val="Heading2"/>
      </w:pPr>
      <w:bookmarkStart w:id="900555" w:name="_Toc300000554"/>
      <w:r>
        <w:t xml:space="preserve">Article 19.16: Source Code</w:t>
      </w:r>
      <w:bookmarkEnd w:id="900555"/>
    </w:p>
    <w:p>
      <w:pPr>
        <w:pStyle w:val="Normal"/>
      </w:pPr>
      <w:r>
        <w:t xml:space="preserve">1. No Party shall require the transfer of, or access to, a source code of software owned by a person of another Party, or to an algorithm expressed in that source code, as a condition for the import, distribution, sale or use of that software, or of products containing that software, in its territory. 2. This Article does not preclude a regulatory body or judicial authority of a Party from requiring a person of another Party to preserve and make available the source code of software, or an algorithm expressed in that source code, to the regulatory body for a specific investigation, inspection, examination, enforcement action, or judicial proceeding,6 subject to safeguards against unauthorized disclosure.</w:t>
      </w:r>
    </w:p>
    <w:p>
      <w:pPr>
        <w:pStyle w:val="Heading2"/>
      </w:pPr>
      <w:bookmarkStart w:id="900556" w:name="_Toc300000555"/>
      <w:r>
        <w:t xml:space="preserve">Article 19.17: Interactive Computer Services</w:t>
      </w:r>
      <w:bookmarkEnd w:id="900556"/>
    </w:p>
    <w:p>
      <w:pPr>
        <w:pStyle w:val="Normal"/>
      </w:pPr>
      <w:r>
        <w:t xml:space="preserve">1. The Parties recognize the importance of the promotion of interactive computer services, including for small and medium-sized enterprises, as vital to the growth of digital trade. 2. To that end, other than as provided in paragraph 4, no Party shall adopt or maintain measures that treat a supplier or user of an interactive computer service as an information content provider in determining liability for harms related to information stored, processed, transmitted, distributed, or made available by the service, except to the extent the supplier or user has, in whole or in part, created, or developed the information.7 3. No Party shall impose liability on a supplier or user of an interactive computer service on account of:</w:t>
      </w:r>
    </w:p>
    <w:p>
      <w:pPr>
        <w:pStyle w:val="Normal"/>
      </w:pPr>
      <w:r>
        <w:t>(a) any action voluntarily taken in good faith by the supplier or user to restrict access to or availability of material that is accessible or available through its supply or use of the interactive computer services and that the supplier or user considers to be harmful or objectionable; or (b) any action taken to enable or make available the technical means that enable an information content provider or other persons to restrict access to material that it considers to be harmful or objectionable. 4.</w:t>
      </w:r>
    </w:p>
    <w:p>
      <w:pPr>
        <w:pStyle w:val="Normal"/>
      </w:pPr>
      <w:r>
        <w:t>Nothing in this Article shall: (a) apply to any measure of a Party pertaining to intellectual property, including measures addressing liability for intellectual property infringement; or (b) be construed to enlarge or diminish a Party’s ability to protect or enforce an intellectual property right; or (c) be construed to prevent: 6 This disclosure shall not be construed to negatively affect the software source code’s status as a trade secret, if such status is claimed by the trade secret owner. 7 For greater certainty, a Party may comply with this Article through its laws, regulations, or application of existing legal doctrines as applied through judicial decisions. (i) a Party from enforcing any criminal law, or (ii) a supplier or user of an interactive computer service from complying with a specific, lawful order of a law enforcement authority.8 5. This Article is subject to Annex 19-A.</w:t>
      </w:r>
    </w:p>
    <w:p>
      <w:pPr>
        <w:pStyle w:val="Heading2"/>
      </w:pPr>
      <w:bookmarkStart w:id="900557" w:name="_Toc300000556"/>
      <w:r>
        <w:t xml:space="preserve">Article 19.18: Open Government Data</w:t>
      </w:r>
      <w:bookmarkEnd w:id="900557"/>
    </w:p>
    <w:p>
      <w:pPr>
        <w:pStyle w:val="Normal"/>
      </w:pPr>
      <w:r>
        <w:t xml:space="preserve">1. The Parties recognize that facilitating public access to and use of government information fosters economic and social development, competitiveness, and innovation. 2. To the extent that a Party chooses to make government information, including data, available to the public, it shall endeavor to ensure that the information is in a machine-readable and open format and can be searched, retrieved, used, reused, and redistributed. 3. The Parties shall endeavor to cooperate to identify ways in which each Party can expand access to and use of government information, including data, that the Party has made public, with a view to enhancing and generating business opportunities, especially for SMEs. 8 The Parties understand that measures referenced in paragraph 4(c)(ii) shall be not inconsistent with paragraph 2 in situations where paragraph 2 is applicable.</w:t>
      </w:r>
    </w:p>
    <w:p>
      <w:pPr>
        <w:pStyle w:val="Heading2"/>
      </w:pPr>
      <w:bookmarkStart w:id="900558" w:name="_Toc300000557"/>
      <w:r>
        <w:t xml:space="preserve">ANNEX 19-A</w:t>
      </w:r>
      <w:bookmarkEnd w:id="900558"/>
    </w:p>
    <w:p>
      <w:pPr>
        <w:pStyle w:val="Normal"/>
      </w:pPr>
      <w:r>
        <w:t xml:space="preserve">1. Article 19.17 (Interactive Computer Services) shall not apply with respect to Mexico until the date of three years after entry into force of this Agreement. 2. The Parties understand that Articles 145 and 146 of Mexico’s Ley Federal de Telecomunicaciones y Radiodifusión, as in force on the date of entry into force of this Agreement, are not inconsistent with Article 19.17.3 (Interactive Computer Services). In a dispute with respect to this article, subordinate measures adopted or maintained under the authority of and consistent with Articles 145 and 146 of Mexico’s Ley Federal de Telecomunicaciones y Radiodifusión shall be presumed to be not inconsistent with Article 19.17.3 (Interactive Computer Services). 3. The Parties understand that Mexico will comply with the obligations in Article 19.17.3 (Interactive Computer Services) in a manner that is both effective and consistent with Mexico’s Constitution (Constitución Política de los Estados Unidos Mexicanos), specifically Articles 6 and 7. 4.</w:t>
      </w:r>
    </w:p>
    <w:p>
      <w:pPr>
        <w:pStyle w:val="Normal"/>
      </w:pPr>
      <w:r>
        <w:t>For greater certainty, Article 19.17 (Interactive Computer Services) is subject to Article 32.1 (General Exceptions), which, among other things, provides that, for purposes of Chapter 19, the exception for measures necessary to protect public morals pursuant to paragraph (a) of Article XIV of GATS is incorporated into and made part of this Agreement, mutatis mutandis.</w:t>
      </w:r>
    </w:p>
    <w:p>
      <w:pPr>
        <w:pStyle w:val="Normal"/>
      </w:pPr>
      <w:r>
        <w:t>The Parties agree that measures necessary to protect against online sex trafficking, sexual exploitation of children, and prostitution, such as Public Law 115-164, the “Allow States and Victims to Fight Online Sex Trafficking Act of 2017,” which amends the Communications Act of 1934, and any relevant provisions of Ley General para Prevenir, Sancionar y Erradicar los Delitos en Materia de Trata de Personas y para la Protección y Asistencia a las Víctimas de estos delitos, are measures necessary to protect public morals. 19-A-1</w:t>
      </w:r>
    </w:p>
    <w:p>
      <w:pPr>
        <w:pStyle w:val="ModHeading"/>
      </w:pPr>
      <w:bookmarkStart w:id="900559" w:name="_Toc300000558"/>
      <w:r>
        <w:t>CHAPTER 19: CUSMA 2.0 MODERNIZATION PROVISIONS</w:t>
      </w:r>
      <w:bookmarkEnd w:id="900559"/>
    </w:p>
    <w:p>
      <w:pPr>
        <w:pStyle w:val="Normal"/>
      </w:pPr>
      <w:r>
        <w:rPr>
          <w:i/>
        </w:rPr>
        <w:t>The provisions of this Part amend Chapter 19 (Digital Trade). Articles 19.1 through 19.18 remain in force except as supplemented below.</w:t>
      </w:r>
    </w:p>
    <w:p>
      <w:pPr>
        <w:pStyle w:val="Heading2"/>
      </w:pPr>
      <w:bookmarkStart w:id="900560" w:name="_Toc300000559"/>
      <w:r>
        <w:t>Article 19.A: Scope Modernization</w:t>
      </w:r>
      <w:bookmarkEnd w:id="900560"/>
    </w:p>
    <w:p>
      <w:pPr>
        <w:pStyle w:val="Normal"/>
      </w:pPr>
      <w:r>
        <w:t>1. The Parties affirm that this Chapter applies to digital trade as conducted through contemporary and evolving technologies, including cloud computing, artificial-intelligence-enabled services, digital identity systems, and electronic payments, subject to the exceptions of this Agreement.</w:t>
      </w:r>
    </w:p>
    <w:p>
      <w:pPr>
        <w:pStyle w:val="Normal"/>
      </w:pPr>
      <w:r>
        <w:t>2. Nothing in this Chapter prevents a Party from regulating digital markets, artificial intelligence, or online services in the public interest, provided the measure is not applied in a manner constituting arbitrary or unjustifiable discrimination between the Parties’ persons, goods, or services, or a disguised restriction on trade.</w:t>
      </w:r>
    </w:p>
    <w:p>
      <w:pPr>
        <w:pStyle w:val="Heading2"/>
      </w:pPr>
      <w:bookmarkStart w:id="900561" w:name="_Toc300000560"/>
      <w:r>
        <w:t>Article 19.B: Cybersecurity Cooperation for Trade Infrastructure</w:t>
      </w:r>
      <w:bookmarkEnd w:id="900561"/>
    </w:p>
    <w:p>
      <w:pPr>
        <w:pStyle w:val="Normal"/>
      </w:pPr>
      <w:r>
        <w:t>1. The Parties shall establish mechanisms for: (a) rapid notification of cyber incidents materially affecting customs systems, ports, logistics infrastructure, electronic payment systems, or cross-border supply chains; (b) mutual assistance and technical coordination in response to such incidents; and (c) alignment of cybersecurity baselines for trade-critical infrastructure, building on existing national frameworks.</w:t>
      </w:r>
    </w:p>
    <w:p>
      <w:pPr>
        <w:pStyle w:val="Normal"/>
      </w:pPr>
      <w:r>
        <w:t>2. A Party’s cybersecurity measures shall not discriminate against the digital products or services of another Party except on documented, evidence-based security grounds, which are reviewable for procedural compliance under Chapter 31 without review of the Party’s security judgment.</w:t>
      </w:r>
    </w:p>
    <w:p>
      <w:pPr>
        <w:pStyle w:val="Heading2"/>
      </w:pPr>
      <w:bookmarkStart w:id="900562" w:name="_Toc300000561"/>
      <w:r>
        <w:t>Article 19.C: Electronic Payments</w:t>
      </w:r>
      <w:bookmarkEnd w:id="900562"/>
    </w:p>
    <w:p>
      <w:pPr>
        <w:pStyle w:val="Normal"/>
      </w:pPr>
      <w:r>
        <w:t>1. Each Party shall permit the supply of electronic payment services by persons of another Party in accordance with Chapter 15 (Cross-Border Trade in Services) and Chapter 17 (Financial Services), and shall foster interoperability of payment systems, including real-time and cross-border retail payments.</w:t>
      </w:r>
    </w:p>
    <w:p>
      <w:pPr>
        <w:pStyle w:val="Normal"/>
      </w:pPr>
      <w:r>
        <w:t>2. A Party’s regulation of payment services (including licensing, prudential, anti-money-laundering, and consumer-protection requirements) shall be administered in a non-discriminatory manner and shall not require, as a condition of supplying a payment service, the localization of data or infrastructure beyond what Article 19.12 permits.</w:t>
      </w:r>
    </w:p>
    <w:p>
      <w:pPr>
        <w:pStyle w:val="Heading2"/>
      </w:pPr>
      <w:bookmarkStart w:id="900563" w:name="_Toc300000562"/>
      <w:r>
        <w:t>Article 19.D: Data Governance and Interoperability</w:t>
      </w:r>
      <w:bookmarkEnd w:id="900563"/>
    </w:p>
    <w:p>
      <w:pPr>
        <w:pStyle w:val="Normal"/>
      </w:pPr>
      <w:r>
        <w:t>1. The Parties shall cooperate on interoperable approaches to data governance, including privacy-framework interoperability, mechanisms for cross-border data transfers consistent with Article 19.8 and Article 19.11, and government-data portability for trade documentation.</w:t>
      </w:r>
    </w:p>
    <w:p>
      <w:pPr>
        <w:pStyle w:val="Normal"/>
      </w:pPr>
      <w:r>
        <w:t>2. The Parties reaffirm that Articles 19.11 (Cross-Border Transfer of Information by Electronic Means) and 19.12 (Location of Computing Facilities) remain in force, and that the public-policy exceptions therein are subject to the discipline that they not constitute a means of arbitrary or unjustifiable discrimination or a disguised restriction on trade.</w:t>
      </w:r>
    </w:p>
    <w:p>
      <w:pPr>
        <w:pStyle w:val="Heading2"/>
      </w:pPr>
      <w:bookmarkStart w:id="900564" w:name="_Toc300000563"/>
      <w:r>
        <w:t>Article 19.E: Digital Identity and Trust Services</w:t>
      </w:r>
      <w:bookmarkEnd w:id="900564"/>
    </w:p>
    <w:p>
      <w:pPr>
        <w:pStyle w:val="Normal"/>
      </w:pPr>
      <w:r>
        <w:t>1. Within 24 months after entry into force of the Protocol of Modernization, the Parties shall, through the Committee on Digital Trade Cooperation and competent domestic authorities, establish a framework for mutual recognition or interoperable acceptance of qualifying digital identity credentials, electronic signatures, seals, timestamps, and related trust services used in cross-border trade. Recognition shall depend on published criteria addressing, as applicable, identity proofing or attribute verification, authentication strength, credential integrity, issuer governance, revocation or status checking, security controls, privacy and data minimization, auditability, and available redress. A Party may refuse or condition recognition where a material difference in assurance, law, security, privacy, fraud risk, or regulated use makes recognition inappropriate, but shall provide the principal reasons and permit reconsideration when the deficiency is cured. Until the framework is operational, existing domestic and treaty rules continue to govern and no Party is required to recognize a credential solely because it was issued or accepted in another Party.</w:t>
      </w:r>
    </w:p>
    <w:p>
      <w:pPr>
        <w:pStyle w:val="Heading2"/>
      </w:pPr>
      <w:bookmarkStart w:id="900565" w:name="_Toc300000564"/>
      <w:r>
        <w:t>Article 19.F: Committee on Digital Trade Cooperation</w:t>
      </w:r>
      <w:bookmarkEnd w:id="900565"/>
    </w:p>
    <w:p>
      <w:pPr>
        <w:pStyle w:val="Normal"/>
      </w:pPr>
      <w:r>
        <w:t>1. The Parties establish a Committee on Digital Trade Cooperation, composed of senior officials of each Party, which shall: (a) oversee implementation of this Chapter as amended; (b) administer the Artificial Intelligence Regulatory Cooperation Track under Article 39.3; (c) address emerging digital-trade barriers; (d) coordinate the cybersecurity standards referenced in Annex 35-C, Part 3; and (e) report annually to the Commission.</w:t>
      </w:r>
    </w:p>
    <w:p>
      <w:pPr>
        <w:pStyle w:val="Heading2"/>
      </w:pPr>
      <w:bookmarkStart w:id="900566" w:name="_Toc300000565"/>
      <w:r>
        <w:t>Article 19.G: Open Government Data for Trade</w:t>
      </w:r>
      <w:bookmarkEnd w:id="900566"/>
    </w:p>
    <w:p>
      <w:pPr>
        <w:pStyle w:val="Normal"/>
      </w:pPr>
      <w:r>
        <w:t>1. Each Party shall endeavor to make publicly available, in machine-readable form, government data relevant to North American trade, including tariff data, TRQ utilization, border wait times, and trade statistics, consistent with Article 19.16 and Article 35.24.</w:t>
      </w:r>
    </w:p>
    <w:p>
      <w:pPr>
        <w:pStyle w:val="Heading2"/>
      </w:pPr>
      <w:bookmarkStart w:id="900567" w:name="_Toc300000566"/>
      <w:r>
        <w:t>Article 19.H: Digital Regulatory Interoperability and Verified Outcomes</w:t>
      </w:r>
      <w:bookmarkEnd w:id="900567"/>
    </w:p>
    <w:p>
      <w:pPr>
        <w:pStyle w:val="Normal"/>
      </w:pPr>
      <w:r>
        <w:t>1. The Parties retain authority to establish their own levels of privacy, safety, consumer, cultural, cybersecurity, artificial-intelligence, and other digital protection, while seeking interoperable standards, mutual or unilateral recognition of materially equivalent outcomes, portable evidence, and common technical interfaces where these can reduce unnecessary duplication without lowering a Party’s chosen level of protection.</w:t>
      </w:r>
    </w:p>
    <w:p>
      <w:pPr>
        <w:pStyle w:val="Normal"/>
      </w:pPr>
      <w:r>
        <w:t>2. Recognition shall be based on objective, published, technology-neutral criteria and may operate at the level of a framework, requirement, certification, audit, credential, or service. Foreign compliance shall not be deemed equivalent solely because it originates in another Party.</w:t>
      </w:r>
    </w:p>
    <w:p>
      <w:pPr>
        <w:pStyle w:val="Normal"/>
      </w:pPr>
      <w:r>
        <w:t>3. A person seeking recognition bears the initial burden of demonstrating satisfaction of applicable published criteria. Once demonstrated, compliance shall be presumed unless the competent authority identifies documented evidence sufficient to rebut that presumption.</w:t>
      </w:r>
    </w:p>
    <w:p>
      <w:pPr>
        <w:pStyle w:val="Normal"/>
      </w:pPr>
      <w:r>
        <w:t>4. Screening indicators create a basis for inquiry, not a presumption of violation. Material adverse consequences require an affirmative finding on the full record under the applicable procedure.</w:t>
      </w:r>
    </w:p>
    <w:p>
      <w:pPr>
        <w:pStyle w:val="Normal"/>
      </w:pPr>
      <w:r>
        <w:t>5. Mutual recognition shall reduce duplicative compliance, not reduce the level of protection selected by a Party.</w:t>
      </w:r>
    </w:p>
    <w:p>
      <w:pPr>
        <w:pStyle w:val="Heading2"/>
      </w:pPr>
      <w:bookmarkStart w:id="900568" w:name="_Toc300000567"/>
      <w:r>
        <w:t>Article 19.I: Portable Compliance Evidence and Regulatory Reliance</w:t>
      </w:r>
      <w:bookmarkEnd w:id="900568"/>
    </w:p>
    <w:p>
      <w:pPr>
        <w:pStyle w:val="Normal"/>
      </w:pPr>
      <w:r>
        <w:t>1. Where a competent authority accepts a methodology for a regulatory purpose, it shall, where reasonably practicable, permit reliable audits, certifications, testing results, technical assessments, and other compliance evidence already produced under that methodology to be submitted and reused for the same or a materially comparable purpose. Acceptance of prior evidence does not require acceptance of a prior legal conclusion.</w:t>
      </w:r>
    </w:p>
    <w:p>
      <w:pPr>
        <w:pStyle w:val="Normal"/>
      </w:pPr>
      <w:r>
        <w:t>2. A Party may require supplementary or new evidence where material differences in law, risk, scope, population, technology, methodology, time elapsed, or identified deficiency reasonably justify it. A request that substantially duplicates evidence already accepted or available shall identify the material difference or deficiency that makes the additional work necessary.</w:t>
      </w:r>
    </w:p>
    <w:p>
      <w:pPr>
        <w:pStyle w:val="Normal"/>
      </w:pPr>
      <w:r>
        <w:t>3. Where a regulated person reasonably relies on a recognized standard or approval and a competent authority subsequently makes a material change that would render that reliance non-compliant, the authority shall provide a proportionate transition period or another lawful transition mechanism unless urgent evidence demonstrates a material risk requiring faster action. The authority shall identify the basis for any urgent departure from ordinary transition treatment.</w:t>
      </w:r>
    </w:p>
    <w:p>
      <w:pPr>
        <w:pStyle w:val="Normal"/>
      </w:pPr>
      <w:r>
        <w:t>4. An isolated, non-material good-faith compliance error that is promptly corrected shall not by itself require loss of recognition. This paragraph does not protect fraud, deliberate concealment, systematic non-compliance, exploitation, or severe unresolved risk.</w:t>
      </w:r>
    </w:p>
    <w:p>
      <w:pPr>
        <w:pStyle w:val="Heading2"/>
      </w:pPr>
      <w:bookmarkStart w:id="900569" w:name="_Toc300000568"/>
      <w:r>
        <w:t>Article 19.J: Child-Safe Digital Services and Incentive-Based Safety</w:t>
      </w:r>
      <w:bookmarkEnd w:id="900569"/>
    </w:p>
    <w:p>
      <w:pPr>
        <w:pStyle w:val="Normal"/>
      </w:pPr>
      <w:r>
        <w:t>1. The Parties recognize protection of minors online as a legitimate public-policy objective. Where a Party regulates covered digital services for child safety, its measures should, consistent with domestic law, favor performance-based, proportionate, non-discriminatory approaches that permit materially equivalent technical designs rather than prescribing a particular vendor or interface.</w:t>
      </w:r>
    </w:p>
    <w:p>
      <w:pPr>
        <w:pStyle w:val="Normal"/>
      </w:pPr>
      <w:r>
        <w:t>2. A Party may, under its domestic law, recognize a Child-Safe Mode or equivalent operating configuration as one means of demonstrating compliance with applicable child-safety requirements. Any recognition criteria shall be published and shall address, as relevant to the service and demonstrated risk, enhanced privacy, age-appropriate defaults, parental or guardian controls where appropriate, exposure to harmful content and interactions, high-risk engagement mechanisms, accessible reporting and remediation, and privacy-preserving age assurance. Recognition under this paragraph does not itself create or expand a domestic child-safety obligation.</w:t>
      </w:r>
    </w:p>
    <w:p>
      <w:pPr>
        <w:pStyle w:val="Normal"/>
      </w:pPr>
      <w:r>
        <w:t>3. A Party may provide lawful domestic incentives for verified child-safety research, development, deployment, or sustained performance, including expedited recognition, reduced duplicative audits, proportionate supervisory relief, procurement recognition, or fiscal incentives under domestic law. Participation is voluntary; this Agreement does not prescribe a tax-credit rate, expenditure level, procurement preference, or entitlement to an incentive.</w:t>
      </w:r>
    </w:p>
    <w:p>
      <w:pPr>
        <w:pStyle w:val="Normal"/>
      </w:pPr>
      <w:r>
        <w:t>4. Platforms shall remain free to use different technical designs where they demonstrate materially equivalent safety outcomes. No particular interface feature, recommender design, identity technology, or vendor is mandated by this Article.</w:t>
      </w:r>
    </w:p>
    <w:p>
      <w:pPr>
        <w:pStyle w:val="Normal"/>
      </w:pPr>
      <w:r>
        <w:t>5. Experimental status does not excuse compliance with applicable minimum requirements concerning child exploitation, privacy, emergency safety, or other binding child-protection law.</w:t>
      </w:r>
    </w:p>
    <w:p>
      <w:pPr>
        <w:pStyle w:val="Heading2"/>
      </w:pPr>
      <w:bookmarkStart w:id="900570" w:name="_Toc300000569"/>
      <w:r>
        <w:t>Article 19.K: Privacy-Preserving Age Assurance and Anonymous Adult Access</w:t>
      </w:r>
      <w:bookmarkEnd w:id="900570"/>
    </w:p>
    <w:p>
      <w:pPr>
        <w:pStyle w:val="Normal"/>
      </w:pPr>
      <w:r>
        <w:t>1. Where an age-based access rule applies, a Party should permit privacy-preserving methods capable of proving the required age threshold or age band without requiring disclosure of identity or exact birth date where such methods provide sufficient assurance.</w:t>
      </w:r>
    </w:p>
    <w:p>
      <w:pPr>
        <w:pStyle w:val="Normal"/>
      </w:pPr>
      <w:r>
        <w:t>2. A trusted issuer may establish an age attribute from an approved authoritative or independently verified source and issue a cryptographically protected credential disclosing only the minimum attribute necessary for the transaction.</w:t>
      </w:r>
    </w:p>
    <w:p>
      <w:pPr>
        <w:pStyle w:val="Normal"/>
      </w:pPr>
      <w:r>
        <w:t>3. A relying service shall not require a name, address, government identifier, exact date of birth, or other unrelated attribute solely to establish an age threshold where a sufficiently reliable minimal-disclosure credential is reasonably available.</w:t>
      </w:r>
    </w:p>
    <w:p>
      <w:pPr>
        <w:pStyle w:val="Normal"/>
      </w:pPr>
      <w:r>
        <w:t>4. Age-assurance data shall not be repurposed for advertising, unrelated profiling, recommendation optimization, credit scoring, commercial data enrichment, or unrelated identity analytics.</w:t>
      </w:r>
    </w:p>
    <w:p>
      <w:pPr>
        <w:pStyle w:val="Normal"/>
      </w:pPr>
      <w:r>
        <w:t>5. No Party shall require a centralized registry connecting identifiable individuals with lawful services, content, pages, queries, or activities for which age credentials are presented.</w:t>
      </w:r>
    </w:p>
    <w:p>
      <w:pPr>
        <w:pStyle w:val="Normal"/>
      </w:pPr>
      <w:r>
        <w:t>6. Credential systems should provide unlinkability across relying services and transactions to the maximum extent technically practicable and should separate the entity establishing eligibility from knowledge of the content or service subsequently accessed.</w:t>
      </w:r>
    </w:p>
    <w:p>
      <w:pPr>
        <w:pStyle w:val="Normal"/>
      </w:pPr>
      <w:r>
        <w:t>7. Satisfaction of an age-assurance requirement shall not by itself extinguish an adult’s ability to access lawful online content anonymously or pseudonymously.</w:t>
      </w:r>
    </w:p>
    <w:p>
      <w:pPr>
        <w:pStyle w:val="Normal"/>
      </w:pPr>
      <w:r>
        <w:t>8. Parties should permit multiple qualified issuers and interoperable open standards where consistent with domestic law, security, privacy, and fraud-prevention requirements.</w:t>
      </w:r>
    </w:p>
    <w:p>
      <w:pPr>
        <w:pStyle w:val="Heading2"/>
      </w:pPr>
      <w:bookmarkStart w:id="900571" w:name="_Toc300000570"/>
      <w:r>
        <w:t>Article 19.L: Digital Content and Function Risk Bands</w:t>
      </w:r>
      <w:bookmarkEnd w:id="900571"/>
    </w:p>
    <w:p>
      <w:pPr>
        <w:pStyle w:val="Normal"/>
      </w:pPr>
      <w:r>
        <w:t>1. The Parties may develop interoperable risk bands for digital content and functions while retaining domestic classification labels and cultural-policy authority.</w:t>
      </w:r>
    </w:p>
    <w:p>
      <w:pPr>
        <w:pStyle w:val="Normal"/>
      </w:pPr>
      <w:r>
        <w:t>2. Risk bands may distinguish general access, age-appropriate safeguards, enhanced minor protections, mature-content controls, and adult-only access. A Party need not classify an entire platform at the same level where particular functions or content can be classified separately.</w:t>
      </w:r>
    </w:p>
    <w:p>
      <w:pPr>
        <w:pStyle w:val="Normal"/>
      </w:pPr>
      <w:r>
        <w:t>3. A service may satisfy applicable requirements through function-level access controls, a verified Child-Safe Mode, privacy-preserving age assurance, or a combination of methods that achieves the required outcome.</w:t>
      </w:r>
    </w:p>
    <w:p>
      <w:pPr>
        <w:pStyle w:val="Normal"/>
      </w:pPr>
      <w:r>
        <w:t>4. Classification and access-control measures shall be transparent, reviewable, proportionate to demonstrated risk, and administered without discrimination based on nationality or ownership.</w:t>
      </w:r>
    </w:p>
    <w:p>
      <w:pPr>
        <w:pStyle w:val="Heading2"/>
      </w:pPr>
      <w:bookmarkStart w:id="900572" w:name="_Toc300000571"/>
      <w:r>
        <w:t>Article 19.M: Interactive Artificial Intelligence and Minor Safety</w:t>
      </w:r>
      <w:bookmarkEnd w:id="900572"/>
    </w:p>
    <w:p>
      <w:pPr>
        <w:pStyle w:val="Normal"/>
      </w:pPr>
      <w:r>
        <w:t>1. Child-safety provisions of this Chapter apply, where relevant, to interactive artificial-intelligence services and AI-enabled social or companion services as well as conventional online platforms.</w:t>
      </w:r>
    </w:p>
    <w:p>
      <w:pPr>
        <w:pStyle w:val="Normal"/>
      </w:pPr>
      <w:r>
        <w:t>2. Competent authorities may require proportionate safeguards for services capable of generating or facilitating adult sexual content, severe violence, self-harm encouragement, exploitation, predatory interaction, or other categories designated under domestic law.</w:t>
      </w:r>
    </w:p>
    <w:p>
      <w:pPr>
        <w:pStyle w:val="Normal"/>
      </w:pPr>
      <w:r>
        <w:t>3. Parties should permit service-level or function-level safety modes and privacy-preserving age assurance rather than requiring disclosure of identity where a less intrusive method provides sufficient protection.</w:t>
      </w:r>
    </w:p>
    <w:p>
      <w:pPr>
        <w:pStyle w:val="Normal"/>
      </w:pPr>
      <w:r>
        <w:t>4. Nothing in this Article requires a Party to permit content or conduct prohibited by its law.</w:t>
      </w:r>
    </w:p>
    <w:p>
      <w:pPr>
        <w:pStyle w:val="Heading2"/>
      </w:pPr>
      <w:bookmarkStart w:id="900573" w:name="_Toc300000572"/>
      <w:r>
        <w:t>Article 19.N: Encryption, Source Code, and Security-by-Design</w:t>
      </w:r>
      <w:bookmarkEnd w:id="900573"/>
    </w:p>
    <w:p>
      <w:pPr>
        <w:pStyle w:val="Normal"/>
      </w:pPr>
      <w:r>
        <w:t>1. No Party shall require a provider, as a condition of ordinary market access, to introduce a systemic vulnerability, universal decryption capability, or deliberately weakened encryption into a lawful product or service.</w:t>
      </w:r>
    </w:p>
    <w:p>
      <w:pPr>
        <w:pStyle w:val="Normal"/>
      </w:pPr>
      <w:r>
        <w:t>2. Paragraph 1 does not prevent lawful investigative, judicial, or national-security measures consistent with a Party’s law, provided such measures do not operate as a disguised requirement for a systemic weakness as a condition of market access.</w:t>
      </w:r>
    </w:p>
    <w:p>
      <w:pPr>
        <w:pStyle w:val="Normal"/>
      </w:pPr>
      <w:r>
        <w:t>3. Algorithmic or AI accountability may require documentation, testing results, risk assessments, audit access under appropriate confidentiality, or explanations of material system behavior, but shall not ordinarily require public disclosure or transfer of proprietary source code, model weights, or trade secrets except under the conditions permitted by Article 19.16 and applicable law.</w:t>
      </w:r>
    </w:p>
    <w:p>
      <w:pPr>
        <w:pStyle w:val="Normal"/>
      </w:pPr>
      <w:r>
        <w:t>4. The Parties shall encourage secure-by-design and secure-by-default practices, proportionate vulnerability management, and interoperable cybersecurity baselines.</w:t>
      </w:r>
    </w:p>
    <w:p>
      <w:pPr>
        <w:pStyle w:val="Heading2"/>
      </w:pPr>
      <w:bookmarkStart w:id="900574" w:name="_Toc300000573"/>
      <w:r>
        <w:t>Article 19.O: Cybersecurity Interoperability and Reusable Assurance</w:t>
      </w:r>
      <w:bookmarkEnd w:id="900574"/>
    </w:p>
    <w:p>
      <w:pPr>
        <w:pStyle w:val="Normal"/>
      </w:pPr>
      <w:r>
        <w:t>1. The Parties shall encourage interoperability among recognized cybersecurity frameworks and common concepts for incident severity, critical-infrastructure resilience, secure development, identity and access management, and supply-chain security.</w:t>
      </w:r>
    </w:p>
    <w:p>
      <w:pPr>
        <w:pStyle w:val="Normal"/>
      </w:pPr>
      <w:r>
        <w:t>2. A recognized independent cybersecurity assessment should be reusable across jurisdictions to the extent its scope and methodology satisfy the receiving authority’s requirements.</w:t>
      </w:r>
    </w:p>
    <w:p>
      <w:pPr>
        <w:pStyle w:val="Normal"/>
      </w:pPr>
      <w:r>
        <w:t>3. Cybersecurity requirements shall be evidence-based, risk-proportionate, and non-discriminatory and shall not require localization except where permitted by this Agreement.</w:t>
      </w:r>
    </w:p>
    <w:p>
      <w:pPr>
        <w:pStyle w:val="Normal"/>
      </w:pPr>
      <w:r>
        <w:t>4. The Parties shall facilitate practical cybersecurity assistance for small and medium-sized enterprises through existing programs and institutions.</w:t>
      </w:r>
    </w:p>
    <w:p>
      <w:pPr>
        <w:pStyle w:val="Heading2"/>
      </w:pPr>
      <w:bookmarkStart w:id="900575" w:name="_Toc300000574"/>
      <w:r>
        <w:t>Article 19.P: Artificial Intelligence Capability and Productivity</w:t>
      </w:r>
      <w:bookmarkEnd w:id="900575"/>
    </w:p>
    <w:p>
      <w:pPr>
        <w:pStyle w:val="Normal"/>
      </w:pPr>
      <w:r>
        <w:t>1. The Parties recognize artificial intelligence as a general-purpose technology capable of materially increasing scientific discovery, productivity, public-service capacity, healthcare capability, industrial competitiveness, accessibility, entrepreneurship, and economic growth.</w:t>
      </w:r>
    </w:p>
    <w:p>
      <w:pPr>
        <w:pStyle w:val="Normal"/>
      </w:pPr>
      <w:r>
        <w:t>2. Cooperation under this Article is voluntary and may include responsible development, adoption, diffusion, experimentation, and beneficial use of artificial intelligence among small and medium-sized enterprises, workers, students, educators, researchers, healthcare institutions, manufacturers, farms, logistics providers, and public authorities. A Party may select the sectors, programs, instruments, and level of participation appropriate to its domestic priorities and resources.</w:t>
      </w:r>
    </w:p>
    <w:p>
      <w:pPr>
        <w:pStyle w:val="Normal"/>
      </w:pPr>
      <w:r>
        <w:t>3. Where a Party chooses to cooperate under paragraph 2, implementation should, where appropriate, favor experimentation, interoperability, competition, modularity, reusable evidence, workforce development, and measurable improvements in capability or productivity. No numerical adoption, spending, employment, training, or productivity target is created by this Article.</w:t>
      </w:r>
    </w:p>
    <w:p>
      <w:pPr>
        <w:pStyle w:val="Normal"/>
      </w:pPr>
      <w:r>
        <w:t>4. Safety, privacy, cybersecurity, and accountability requirements applicable to AI remain determined under each Party's law and the binding provisions of this Agreement. Cooperation under this Article shall not be used to weaken those requirements or to discriminate against a lawful product or service of another Party solely because of nationality.</w:t>
      </w:r>
    </w:p>
    <w:p>
      <w:pPr>
        <w:pStyle w:val="Normal"/>
      </w:pPr>
      <w:r>
        <w:t>5. Nothing in this Article requires a Party to adopt a particular model, vendor, technical architecture, or regulatory system.</w:t>
      </w:r>
    </w:p>
    <w:p>
      <w:pPr>
        <w:pStyle w:val="Heading2"/>
      </w:pPr>
      <w:bookmarkStart w:id="900576" w:name="_Toc300000575"/>
      <w:r>
        <w:t>Article 19.Q: North American AI Literacy, Skills, and Opportunity</w:t>
      </w:r>
      <w:bookmarkEnd w:id="900576"/>
    </w:p>
    <w:p>
      <w:pPr>
        <w:pStyle w:val="Normal"/>
      </w:pPr>
      <w:r>
        <w:t>1. The Parties recognize broad AI literacy and practical AI capability as strategic foundations of North American competitiveness.</w:t>
      </w:r>
    </w:p>
    <w:p>
      <w:pPr>
        <w:pStyle w:val="Normal"/>
      </w:pPr>
      <w:r>
        <w:t>2. Subject to the constitutional allocation of education authority, domestic priorities, and available resources, the Parties may cooperate to expand accessible AI education and training through schools, colleges, universities, vocational institutions, apprenticeships, work-integrated learning, professional development, community programs, and online resources. Cooperation may include exchange of non-binding curricula, educator resources, evaluation methods, and evidence concerning effective training.</w:t>
      </w:r>
    </w:p>
    <w:p>
      <w:pPr>
        <w:pStyle w:val="Normal"/>
      </w:pPr>
      <w:r>
        <w:t>3. For cooperation under this Article, AI fluency may include effective use of AI tools and agents; prompt and workflow design; verification of important outputs; data and privacy practices; cybersecurity; synthetic-media awareness; understanding model capabilities and limitations; and appropriate human accountability. This illustrative list does not establish a curriculum, licensing standard, or condition of employment.</w:t>
      </w:r>
    </w:p>
    <w:p>
      <w:pPr>
        <w:pStyle w:val="Normal"/>
      </w:pPr>
      <w:r>
        <w:t>4. The Parties shall encourage open and modular educational resources, educator training, student competitions, practical industry projects, and pathways from introductory literacy to advanced technical skills.</w:t>
      </w:r>
    </w:p>
    <w:p>
      <w:pPr>
        <w:pStyle w:val="Normal"/>
      </w:pPr>
      <w:r>
        <w:t>5. No provision of this Article establishes a mandatory continental curriculum or graduation requirement.</w:t>
      </w:r>
    </w:p>
    <w:p>
      <w:pPr>
        <w:pStyle w:val="Heading2"/>
      </w:pPr>
      <w:bookmarkStart w:id="900577" w:name="_Toc300000576"/>
      <w:r>
        <w:t>Article 19.R: Portable AI Credentials and Workforce Mobility</w:t>
      </w:r>
      <w:bookmarkEnd w:id="900577"/>
    </w:p>
    <w:p>
      <w:pPr>
        <w:pStyle w:val="Normal"/>
      </w:pPr>
      <w:r>
        <w:t>1. The Parties may facilitate transparent and interoperable recognition of credible academic, vocational, professional, and industry credentials demonstrating artificial-intelligence, cybersecurity, data, and related digital competencies through existing education, professional-recognition, standards, and temporary-entry mechanisms.</w:t>
      </w:r>
    </w:p>
    <w:p>
      <w:pPr>
        <w:pStyle w:val="Normal"/>
      </w:pPr>
      <w:r>
        <w:t>2. Recognition may include microcredentials, certificates, apprenticeships, prior-learning assessments, and competency-based qualifications. Nothing in this Article requires a competent educational, licensing, immigration, or professional body to recognize a credential it has not determined to be equivalent under its applicable law or procedures.</w:t>
      </w:r>
    </w:p>
    <w:p>
      <w:pPr>
        <w:pStyle w:val="Normal"/>
      </w:pPr>
      <w:r>
        <w:t>3. The Parties may exchange information and cooperate on reskilling and transition pathways for workers whose occupations are materially transformed by artificial intelligence, including short-cycle credentials, apprenticeships, employer partnerships, and work-integrated learning. Such cooperation does not create an individual right to training, funding, employment, or temporary entry.</w:t>
      </w:r>
    </w:p>
    <w:p>
      <w:pPr>
        <w:pStyle w:val="Normal"/>
      </w:pPr>
      <w:r>
        <w:t>4. Cooperation should seek to expand access for SMEs, rural and remote communities, Indigenous communities, underserved regions, and workers without requiring creation of a new standing institution.</w:t>
      </w:r>
    </w:p>
    <w:p>
      <w:pPr>
        <w:pStyle w:val="Heading2"/>
      </w:pPr>
      <w:bookmarkStart w:id="900578" w:name="_Toc300000577"/>
      <w:r>
        <w:t>Article 19.S: SME Artificial Intelligence Diffusion</w:t>
      </w:r>
      <w:bookmarkEnd w:id="900578"/>
    </w:p>
    <w:p>
      <w:pPr>
        <w:pStyle w:val="Normal"/>
      </w:pPr>
      <w:r>
        <w:t>1. The Parties may cooperate, through existing SME and digital-economy programs, to reduce avoidable barriers to productive adoption of artificial intelligence and related digital tools by small and medium-sized enterprises. Cooperation shall not require a Party to subsidize adoption, provide compute capacity, or alter a generally applicable safety, privacy, cybersecurity, competition, or sectoral rule.</w:t>
      </w:r>
    </w:p>
    <w:p>
      <w:pPr>
        <w:pStyle w:val="Normal"/>
      </w:pPr>
      <w:r>
        <w:t>2. Participating programs may provide practical training, cybersecurity assistance, technical guidance, access to interoperable tools, demonstration projects, cloud or compute guidance, and connections to educational or research institutions, subject to domestic law, eligibility rules, and available resources.</w:t>
      </w:r>
    </w:p>
    <w:p>
      <w:pPr>
        <w:pStyle w:val="Normal"/>
      </w:pPr>
      <w:r>
        <w:t>3. AI adoption support shall remain vendor-neutral and should promote portability, competition, and avoidance of unnecessary lock-in.</w:t>
      </w:r>
    </w:p>
    <w:p>
      <w:pPr>
        <w:pStyle w:val="Heading2"/>
      </w:pPr>
      <w:bookmarkStart w:id="900579" w:name="_Toc300000578"/>
      <w:r>
        <w:t>Article 19.T: AI-Ready Public Data and Modular Government Technology</w:t>
      </w:r>
      <w:bookmarkEnd w:id="900579"/>
    </w:p>
    <w:p>
      <w:pPr>
        <w:pStyle w:val="Normal"/>
      </w:pPr>
      <w:r>
        <w:t>1. A Party may modernize public information systems to support structured, documented, secure, and interoperable data interfaces capable of responsible use by authorized automated systems and artificial-intelligence tools. Any such modernization remains subject to domestic authority, appropriations, security classification, privacy, records-management, accessibility, and public-law requirements.</w:t>
      </w:r>
    </w:p>
    <w:p>
      <w:pPr>
        <w:pStyle w:val="Normal"/>
      </w:pPr>
      <w:r>
        <w:t>2. Public authorities may, where appropriate and consistent with procurement law, consider modular architectures, documented interfaces, data portability, reasonable substitution of components, and interoperability in government AI procurement to reduce avoidable vendor lock-in. This paragraph does not require disclosure of protected source code, model weights, trade secrets, security information, or procurement-sensitive information and does not create a procurement preference or award entitlement.</w:t>
      </w:r>
    </w:p>
    <w:p>
      <w:pPr>
        <w:pStyle w:val="Normal"/>
      </w:pPr>
      <w:r>
        <w:t>3. Parties may maintain catalogues of reusable technical patterns, evaluations, and lessons learned through existing government knowledge systems rather than creating duplicative standing bodies. Participation in or reliance on such catalogues is voluntary unless domestic law provides otherwise.</w:t>
      </w:r>
    </w:p>
    <w:p>
      <w:pPr>
        <w:pStyle w:val="Normal"/>
      </w:pPr>
      <w:r>
        <w:t>4. Procurement shall remain subject to applicable security, privacy, accessibility, competition, records-management, and public-law requirements.</w:t>
      </w:r>
    </w:p>
    <w:p>
      <w:pPr>
        <w:pStyle w:val="Heading2"/>
      </w:pPr>
      <w:bookmarkStart w:id="900580" w:name="_Toc300000579"/>
      <w:r>
        <w:t>Article 19.U: AI Productivity Dividend and Experimental Public-Service Adoption</w:t>
      </w:r>
      <w:bookmarkEnd w:id="900580"/>
    </w:p>
    <w:p>
      <w:pPr>
        <w:pStyle w:val="Normal"/>
      </w:pPr>
      <w:r>
        <w:t>1. Public authorities may, under domestic law and available appropriations, use staged pilots to test whether AI can improve service quality, accessibility, processing speed, backlog management, analytical capability, or employee productivity in identified administrative functions. A pilot shall not itself expand the legal authority of the public body, determine an individual's legal rights or liabilities outside applicable law, or displace required human review.</w:t>
      </w:r>
    </w:p>
    <w:p>
      <w:pPr>
        <w:pStyle w:val="Normal"/>
      </w:pPr>
      <w:r>
        <w:t>2. A participating authority should establish a baseline and identify in advance the outcomes relevant to the pilot, which may include hours saved, processing time, backlog reduction, error rates, service availability, cost per completed case, employee workload, citizen wait time, and quality changes. Results should record material adverse outcomes as well as benefits and should be retained in a form suitable for later evaluation.</w:t>
      </w:r>
    </w:p>
    <w:p>
      <w:pPr>
        <w:pStyle w:val="Normal"/>
      </w:pPr>
      <w:r>
        <w:t>3. A successful pilot may be scaled only through the Experimental Technology Pathway or applicable domestic authorization, procurement, privacy, security, labor, records-management, and appropriations procedures. An unsuccessful pilot creates no presumption that the underlying use case must be retried or funded.</w:t>
      </w:r>
    </w:p>
    <w:p>
      <w:pPr>
        <w:pStyle w:val="Normal"/>
      </w:pPr>
      <w:r>
        <w:t>4. AI-generated work remains attributable to the responsible public authority; use of AI does not eliminate legal accountability.</w:t>
      </w:r>
    </w:p>
    <w:p>
      <w:pPr>
        <w:pStyle w:val="Heading2"/>
      </w:pPr>
      <w:bookmarkStart w:id="900581" w:name="_Toc300000580"/>
      <w:r>
        <w:t>Article 19.V: AI-Enabled Health Innovation and Interoperability</w:t>
      </w:r>
      <w:bookmarkEnd w:id="900581"/>
    </w:p>
    <w:p>
      <w:pPr>
        <w:pStyle w:val="Normal"/>
      </w:pPr>
      <w:r>
        <w:t>1. The Parties may cooperate, through existing health, research, standards, and regulatory institutions, on responsible uses of artificial intelligence that may reduce administrative burden, improve clinical information retrieval and documentation, accelerate research, support earlier detection of disease, strengthen clinical decision support, or improve public-health preparedness. Cooperation is subject to domestic health authority, applicable law, ethics requirements, and available resources and does not require deployment of a particular system or clinical use case.</w:t>
      </w:r>
    </w:p>
    <w:p>
      <w:pPr>
        <w:pStyle w:val="Normal"/>
      </w:pPr>
      <w:r>
        <w:t>2. Cooperation may include interoperable health-data standards such as FHIR or successor standards; structured extraction from unstructured clinical records; voice-to-record documentation; rare-disease and oncology research; validated early-warning systems; frailty and risk screening; and medical-AI evaluation methodologies. References to particular standards or use cases are illustrative and do not incorporate a private standard into binding law unless a Party separately adopts it through its applicable procedures.</w:t>
      </w:r>
    </w:p>
    <w:p>
      <w:pPr>
        <w:pStyle w:val="Normal"/>
      </w:pPr>
      <w:r>
        <w:t>3. Medical AI shall remain subject to applicable privacy, professional, medical-device, clinical-safety, research-ethics, and health-information requirements.</w:t>
      </w:r>
    </w:p>
    <w:p>
      <w:pPr>
        <w:pStyle w:val="Normal"/>
      </w:pPr>
      <w:r>
        <w:t>4. Where practicable, sensitive health-data collaboration should favor federated, distributed, privacy-enhancing, or other architectures that move approved computation to protected data rather than centralizing identifiable records.</w:t>
      </w:r>
    </w:p>
    <w:p>
      <w:pPr>
        <w:pStyle w:val="Normal"/>
      </w:pPr>
      <w:r>
        <w:t>5. AI systems intended for clinical use should be validated for the relevant population, setting, and function and monitored after deployment where appropriate. Cross-border cooperation shall not substitute for required domestic authorization.</w:t>
      </w:r>
    </w:p>
    <w:p>
      <w:pPr>
        <w:pStyle w:val="Normal"/>
      </w:pPr>
      <w:r>
        <w:t>6. Clinical decision support may retrieve, synthesize, flag, predict, or recommend within applicable law; this Article does not itself authorize autonomous clinical practice.</w:t>
      </w:r>
    </w:p>
    <w:p>
      <w:pPr>
        <w:pStyle w:val="Heading2"/>
      </w:pPr>
      <w:bookmarkStart w:id="900582" w:name="_Toc300000581"/>
      <w:r>
        <w:t>Article 19.W: North American Medical AI Evaluation and Research Evidence</w:t>
      </w:r>
      <w:bookmarkEnd w:id="900582"/>
    </w:p>
    <w:p>
      <w:pPr>
        <w:pStyle w:val="Normal"/>
      </w:pPr>
      <w:r>
        <w:t>1. The Parties may cooperate through existing health, research, standards, and regulatory institutions on interoperable evaluation methods for medical AI covering accuracy, calibration, robustness, privacy, cybersecurity, clinical utility, workflow impact, and performance across relevant populations. A receiving competent authority retains authority to determine whether a methodology is acceptable for its regulatory purpose.</w:t>
      </w:r>
    </w:p>
    <w:p>
      <w:pPr>
        <w:pStyle w:val="Normal"/>
      </w:pPr>
      <w:r>
        <w:t>2. Approved research may use de-identified, anonymized, synthetic, federated, or privacy-enhancing data approaches consistent with applicable law. Nothing in this Article requires creation of a centralized continental medical-record database.</w:t>
      </w:r>
    </w:p>
    <w:p>
      <w:pPr>
        <w:pStyle w:val="Normal"/>
      </w:pPr>
      <w:r>
        <w:t>3. Evaluation evidence generated under a methodology accepted by a receiving competent authority should be reusable where relevant. Supplementary testing may be required where material differences in population, clinical setting, device configuration, intended use, data quality, time elapsed, or identified safety concern reasonably justify it; the receiving authority should identify the basis for materially duplicative additional testing.</w:t>
      </w:r>
    </w:p>
    <w:p>
      <w:pPr>
        <w:pStyle w:val="Normal"/>
      </w:pPr>
      <w:r>
        <w:t>4. The Parties may cooperate on rare diseases, cancer, sepsis, public-health surveillance, and other high-value areas through existing health, research, and regulatory institutions.</w:t>
      </w:r>
    </w:p>
    <w:p>
      <w:pPr>
        <w:pStyle w:val="Heading2"/>
      </w:pPr>
      <w:bookmarkStart w:id="900583" w:name="_Toc300000582"/>
      <w:r>
        <w:t>Article 19.X: AI Vendor Interoperability, Competition, and Open Interfaces</w:t>
      </w:r>
      <w:bookmarkEnd w:id="900583"/>
    </w:p>
    <w:p>
      <w:pPr>
        <w:pStyle w:val="Normal"/>
      </w:pPr>
      <w:r>
        <w:t>1. The Parties recognize that modular and interoperable AI architectures can improve competition, reduce switching costs, and accelerate adoption of improved models and services.</w:t>
      </w:r>
    </w:p>
    <w:p>
      <w:pPr>
        <w:pStyle w:val="Normal"/>
      </w:pPr>
      <w:r>
        <w:t>2. Public-sector and cooperative programs may, where appropriate and consistent with applicable procurement, competition, security, and intellectual-property law, support documented interfaces, common data formats, model substitution, portable evaluations, and multi-vendor integration. This Article does not require a public authority to purchase, replace, or integrate a particular system.</w:t>
      </w:r>
    </w:p>
    <w:p>
      <w:pPr>
        <w:pStyle w:val="Normal"/>
      </w:pPr>
      <w:r>
        <w:t>3. Nothing in this Article requires disclosure of proprietary source code, model weights, trade secrets, or confidential security information.</w:t>
      </w:r>
    </w:p>
    <w:p>
      <w:pPr>
        <w:pStyle w:val="Normal"/>
      </w:pPr>
      <w:r>
        <w:t>4. Interoperability requirements shall be proportionate and shall not be designed to advantage a domestic vendor or exclude a supplier solely on nationality grounds.</w:t>
      </w:r>
    </w:p>
    <w:p>
      <w:pPr>
        <w:pStyle w:val="Heading2"/>
      </w:pPr>
      <w:bookmarkStart w:id="900584" w:name="_Toc300000583"/>
      <w:r>
        <w:t>Article 19.Y: Functional Classification of Digital Financial Services</w:t>
      </w:r>
      <w:bookmarkEnd w:id="900584"/>
    </w:p>
    <w:p>
      <w:pPr>
        <w:pStyle w:val="Normal"/>
      </w:pPr>
      <w:r>
        <w:t>1. Where a digital product or service performs a regulated financial function, the applicable treatment shall be determined principally by the function performed and relevant risk rather than solely by the provider’s characterization as a technology or financial company.</w:t>
      </w:r>
    </w:p>
    <w:p>
      <w:pPr>
        <w:pStyle w:val="Normal"/>
      </w:pPr>
      <w:r>
        <w:t>2. Where classification of an electronic payment, digital wallet, tokenized instrument, stable-value instrument, or successor technology materially affects whether Chapter 17 or this Chapter applies, the competent authorities of the Parties shall, on request through existing financial-services and digital-trade mechanisms, consult to identify the principally applicable chapter and any overlapping obligations. Consultation does not limit a Party's prudential or other lawful financial-regulatory authority and does not delay an otherwise applicable domestic measure.</w:t>
      </w:r>
    </w:p>
    <w:p>
      <w:pPr>
        <w:pStyle w:val="Normal"/>
      </w:pPr>
      <w:r>
        <w:t>3. Nothing in this Article limits prudential, anti-money-laundering, sanctions, consumer-protection, market-integrity, or financial-stability measures otherwise permitted by this Agreement.</w:t>
      </w:r>
    </w:p>
    <w:p>
      <w:pPr>
        <w:pStyle w:val="Heading2"/>
      </w:pPr>
      <w:bookmarkStart w:id="900585" w:name="_Toc300000584"/>
      <w:r>
        <w:t>Article 19.Z: Existing-Institution Presumption for Digital and AI Cooperation</w:t>
      </w:r>
      <w:bookmarkEnd w:id="900585"/>
    </w:p>
    <w:p>
      <w:pPr>
        <w:pStyle w:val="Normal"/>
      </w:pPr>
      <w:r>
        <w:t>1. Articles 19.H through 19.Y shall be implemented, to the maximum extent practicable, through the Free Trade Commission, the Committee on Digital Trade Cooperation established by Article 19.F, competent domestic regulators, existing education, health, research, cybersecurity, standards, and SME institutions, and other mechanisms already established by this Agreement.</w:t>
      </w:r>
    </w:p>
    <w:p>
      <w:pPr>
        <w:pStyle w:val="Normal"/>
      </w:pPr>
      <w:r>
        <w:t>2. No new standing council, secretariat, summit body, task force, registry authority, fellowship administration, innovation fund, or permanent network is created by Articles 19.H through 19.Y unless the Parties expressly establish one through applicable implementation or amendment procedures after determining that existing institutions cannot efficiently perform the function. Articles 19.P through 19.X are cooperative or enabling provisions except to the extent that a paragraph expressly states a binding prohibition or procedural safeguard. A Party's decision not to fund, pilot, procure, teach, deploy, or participate in an activity authorized only by those cooperative provisions does not constitute non-compliance, reduce unrelated benefits, or authorize retaliation.</w:t>
      </w:r>
    </w:p>
    <w:p>
      <w:pPr>
        <w:pStyle w:val="Normal"/>
      </w:pPr>
      <w:r>
        <w:t>3. The Committee on Digital Trade Cooperation should coordinate rather than duplicate the jurisdiction of specialized regulators and may designate time-limited technical workstreams using existing personnel.</w:t>
      </w:r>
    </w:p>
    <w:p>
      <w:pPr>
        <w:pStyle w:val="Normal"/>
      </w:pPr>
      <w:r>
        <w:t>4. Cooperative projects remain subject to available resources and do not compel an appropriation of public funds.</w:t>
      </w:r>
    </w:p>
    <w:p>
      <w:pPr>
        <w:pStyle w:val="Heading1"/>
      </w:pPr>
      <w:bookmarkStart w:id="900586" w:name="_Toc300000585"/>
      <w:r>
        <w:t>CHAPTER 20 INTELLECTUAL PROPERTY RIGHTS</w:t>
      </w:r>
      <w:r>
        <w:br/>
      </w:r>
      <w:r>
        <w:t>Section A: General Provisions</w:t>
      </w:r>
      <w:bookmarkEnd w:id="900586"/>
    </w:p>
    <w:p>
      <w:pPr>
        <w:pStyle w:val="Heading2"/>
      </w:pPr>
      <w:bookmarkStart w:id="900587" w:name="_Toc300000586"/>
      <w:r>
        <w:t xml:space="preserve">Article 20.1: Definitions</w:t>
      </w:r>
      <w:bookmarkEnd w:id="900587"/>
    </w:p>
    <w:p>
      <w:pPr>
        <w:pStyle w:val="Normal"/>
      </w:pPr>
      <w:r>
        <w:t xml:space="preserve">1. For the purposes of this Chapter: Berne Convention means the Berne Convention for the Protection of Literary and Artistic Works, done at Berne on September 9, 1886, as revised at Paris on July 24, 1971; Brussels Convention means the Convention Relating to the Distribution of Programme- Carrying Signals Transmitted by Satellite, done at Brussels on May 21, 1974; Budapest Treaty means the Budapest Treaty on the International Recognition of the Deposit of Microorganisms for the Purposes of Patent Procedure (1977), done at Budapest on April 28, 1977, as amended on September 26, 1980; Declaration on TRIPS and Public Health means the Declaration on the TRIPS Agreement and Public Health (WT/MIN(01)/DEC/2), adopted on November 14, 2001; geographical indication means an indication that identifies a good as originating in the territory of a Party, or a region or locality in that territory, where a given quality, reputation, or other characteristic of the good is essentially attributable to its geographical origin;</w:t>
      </w:r>
    </w:p>
    <w:p>
      <w:pPr>
        <w:pStyle w:val="Normal"/>
      </w:pPr>
      <w:r>
        <w:t>Hague Agreement means the Geneva Act of the Hague Agreement Concerning the International Registration of Industrial Designs, done at Geneva on July 2, 1999; intellectual property refers to all categories of intellectual property that are the subject of Sections 1 through 7 of Part II of the TRIPS Agreement; Madrid Protocol means the Protocol Relating to the Madrid Agreement Concerning the International Registration of Marks, done at Madrid on</w:t>
      </w:r>
    </w:p>
    <w:p>
      <w:pPr>
        <w:pStyle w:val="Normal"/>
      </w:pPr>
      <w:r>
        <w:t>June 27, 1989; Paris Convention means the Paris Convention for the Protection of Industrial Property, done at Paris on March 20, 1883 as revised at Stockholm on July 14, 1967; performance means a performance fixed in a phonogram, unless otherwise specified; with respect to copyright and related rights, right to authorize or prohibit refers to exclusive rights; PLT means the Patent Law Treaty adopted by the WIPO Diplomatic Conference done at Geneva on June 1, 2000; Singapore Treaty means the Singapore Treaty on the Law of Trademarks, done at Singapore on March 27, 2006; UPOV 1991 means the International Convention for the Protection of New Varieties of Plants, done at Paris on December 2, 1961, as revised at Geneva on March 19, 1991; WCT means the WIPO Copyright Treaty, done at Geneva on December 20, 1996; WIPO means the World Intellectual Property Organization; for greater certainty, work includes a cinematographic work, photographic work, and computer program; and WPPT means the WIPO Performances and Phonograms Treaty, done at Geneva on December 20, 1996. 2.</w:t>
      </w:r>
    </w:p>
    <w:p>
      <w:pPr>
        <w:pStyle w:val="Normal"/>
      </w:pPr>
      <w:r>
        <w:t>For the purposes of Article 20.8 (National Treatment), Article 20.30 (Administrative Procedures for the Protection or Recognition of Geographical Indications), and Article 20.62 (Related Rights): a national means, in respect of the relevant right, a person of a Party that would meet the criteria for eligibility for protection provided for in the agreements listed in Article 20.7 (International Agreements) or the TRIPS Agreement.</w:t>
      </w:r>
    </w:p>
    <w:p>
      <w:pPr>
        <w:pStyle w:val="Heading2"/>
      </w:pPr>
      <w:bookmarkStart w:id="900588" w:name="_Toc300000587"/>
      <w:r>
        <w:t xml:space="preserve">Article 20.2: Objectives</w:t>
      </w:r>
      <w:bookmarkEnd w:id="900588"/>
    </w:p>
    <w:p>
      <w:pPr>
        <w:pStyle w:val="Normal"/>
      </w:pPr>
      <w:r>
        <w:t xml:space="preserve">The protection and enforcement of intellectual 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w:t>
      </w:r>
    </w:p>
    <w:p>
      <w:pPr>
        <w:pStyle w:val="Heading2"/>
      </w:pPr>
      <w:bookmarkStart w:id="900589" w:name="_Toc300000588"/>
      <w:r>
        <w:t xml:space="preserve">Article 20.3: Principles</w:t>
      </w:r>
      <w:bookmarkEnd w:id="900589"/>
    </w:p>
    <w:p>
      <w:pPr>
        <w:pStyle w:val="Normal"/>
      </w:pPr>
      <w:r>
        <w:t xml:space="preserve">1. A Party may, in formulating or amending its laws and regulations, adopt measures necessary to protect public health and nutrition, and to promote the public interest in sectors of vital importance to their socio-economic and technological development, provided that those measures are consistent with the provisions of this Chapter. 2. Appropriate measures, provided that they are consistent with the provisions of this Chapter, may be needed to prevent the abuse of intellectual property rights by right holders or the resort to practices which unreasonably restrain trade or adversely affect the international transfer of technology.</w:t>
      </w:r>
    </w:p>
    <w:p>
      <w:pPr>
        <w:pStyle w:val="Heading2"/>
      </w:pPr>
      <w:bookmarkStart w:id="900590" w:name="_Toc300000589"/>
      <w:r>
        <w:t xml:space="preserve">Article 20.4: Understandings in Respect of this Chapter</w:t>
      </w:r>
      <w:bookmarkEnd w:id="900590"/>
    </w:p>
    <w:p>
      <w:pPr>
        <w:pStyle w:val="Normal"/>
      </w:pPr>
      <w:r>
        <w:t xml:space="preserve">Having regard to the underlying public policy objectives of national systems, the Parties recognize the need to: (a) promote innovation and creativity; (b) facilitate the diffusion of information, knowledge, technology, culture, and the arts; and (c) foster competition and open and efficient markets; through their respective intellectual property systems, while respecting the principles of transparency and due process, and taking into account the interests of relevant stakeholders, including right holders, service providers, users, and the public.</w:t>
      </w:r>
    </w:p>
    <w:p>
      <w:pPr>
        <w:pStyle w:val="Heading2"/>
      </w:pPr>
      <w:bookmarkStart w:id="900591" w:name="_Toc300000590"/>
      <w:r>
        <w:t xml:space="preserve">Article 20.5: Nature and Scope of Obligations</w:t>
      </w:r>
      <w:bookmarkEnd w:id="900591"/>
    </w:p>
    <w:p>
      <w:pPr>
        <w:pStyle w:val="Normal"/>
      </w:pPr>
      <w:r>
        <w:t xml:space="preserve">1. Each Party shall provide in its territory to the nationals of another Party adequate and effective protection and enforcement of intellectual property rights, while ensuring that measures to enforce intellectual property rights do not themselves become barriers to legitimate trade. 2. A Party may, but shall not be obliged to, provide more extensive protection for, or enforcement of, intellectual property rights under its law than is required by this Chapter, provided that such protection or enforcement does not contravene this Chapter. Each Party shall be free to determine the appropriate method of implementing the provisions of this Chapter within its own legal system and practice.</w:t>
      </w:r>
    </w:p>
    <w:p>
      <w:pPr>
        <w:pStyle w:val="Heading2"/>
      </w:pPr>
      <w:bookmarkStart w:id="900592" w:name="_Toc300000591"/>
      <w:r>
        <w:t xml:space="preserve">Article 20.6: Understandings Regarding Certain Public Health Measures</w:t>
      </w:r>
      <w:bookmarkEnd w:id="900592"/>
    </w:p>
    <w:p>
      <w:pPr>
        <w:pStyle w:val="Normal"/>
      </w:pPr>
      <w:r>
        <w:t xml:space="preserve">The Parties affirm their commitment to the Declaration on TRIPS and Public Health. In particular, the Parties have reached the following understandings regarding this Chapter: (a) The obligations of this Chapter do not and should not prevent a Party from taking measures to protect public health. Accordingly, while reiterating their commitment to this Chapter, the Parties affirm that this Chapter can and should be interpreted and implemented in a manner supportive of each Party’s right to protect public health and, in particular, to promote access to medicines for all. Each Party has the right to determine what constitutes a national emergency or other circumstances of extreme urgency, it being understood that public health crises, including those relating to HIV/AIDS, tuberculosis, malaria, and other epidemics, can represent a national emergency or other circumstances of extreme urgency.</w:t>
      </w:r>
    </w:p>
    <w:p>
      <w:pPr>
        <w:pStyle w:val="Normal"/>
      </w:pPr>
      <w:r>
        <w:t>(b) In recognition of the commitment to access to medicines that are supplied in accordance with the Decision of the WTO General Council of August 30, 2003 on the Implementation of Paragraph Six of the Doha Declaration on the TRIPS Agreement and Public Health (WT/L/540) and the WTO General Council Chairman’s Statement Accompanying the Decision (JOB(03)/177, WT/GC/M/82), as well as the Decision of the WTO General Council of December 6, 2005 on the Amendment of the TRIPS Agreement, (WT/L/641) and the WTO General Council Chairperson’s Statement Accompanying the Decision (JOB(05)/319 and Corr. 1,WT/GC/M/100) (collectively, the “TRIPS/health solution”), this Chapter does not and should not prevent the effective utilization of the TRIPS/health solution. (c) With respect to the aforementioned matters, if any waiver of a provision of the TRIPS Agreement, or any amendment of the TRIPS Agreement, enters into force with respect to the Parties, and a Party’s application of a measure in conformity with that waiver or amendment is contrary to the obligations of this Chapter, the Parties shall immediately consult in order to adapt this Chapter as appropriate in the light of the waiver or amendment.</w:t>
      </w:r>
    </w:p>
    <w:p>
      <w:pPr>
        <w:pStyle w:val="Heading2"/>
      </w:pPr>
      <w:bookmarkStart w:id="900593" w:name="_Toc300000592"/>
      <w:r>
        <w:t xml:space="preserve">Article 20.7: International Agreements</w:t>
      </w:r>
      <w:bookmarkEnd w:id="900593"/>
    </w:p>
    <w:p>
      <w:pPr>
        <w:pStyle w:val="Normal"/>
      </w:pPr>
      <w:r>
        <w:t xml:space="preserve">1. Each Party affirms that it has ratified or acceded to the following agreements: (a) Patent Cooperation Treaty, as amended on September 28, 1979, and modified on February 3, 1984; (b) Paris Convention; (c) Berne Convention; (d) WCT; and (e) WPPT. 2. Each Party shall ratify or accede to each of the following agreements, if it is not already a party to that agreement, by the date of entry into force of this Agreement: (a) Madrid Protocol; (b) Budapest Treaty; (c) Singapore Treaty;1 (d) UPOV 1991; (e) Hague Agreement; and (f) Brussels Convention. 3. Each Party shall give due consideration to ratifying or acceding to the PLT, or, in the alternative, shall adopt or maintain procedural standards consistent with the objective of the PLT.</w:t>
      </w:r>
    </w:p>
    <w:p>
      <w:pPr>
        <w:pStyle w:val="Heading2"/>
      </w:pPr>
      <w:bookmarkStart w:id="900594" w:name="_Toc300000593"/>
      <w:r>
        <w:t xml:space="preserve">Article 20.8: National Treatment</w:t>
      </w:r>
      <w:bookmarkEnd w:id="900594"/>
    </w:p>
    <w:p>
      <w:pPr>
        <w:pStyle w:val="Normal"/>
      </w:pPr>
      <w:r>
        <w:t xml:space="preserve">1. In respect of all categories of intellectual property covered in this Chapter, each Party shall accord to nationals of another Party treatment no less favorable than it accords to its own nationals with regard to the protection2 of intellectual property rights. 2. A Party may derogate from paragraph 1 in relation to its judicial and administrative procedures, including requiring a national of another Party to designate an address for service of process in its territory, or to appoint an agent in its territory, provided that this derogation is: 1 A Party may satisfy the obligations in paragraphs 2(a) and 2(c) by ratifying or acceding to either the Madrid Protocol or the Singapore Treaty. 2 For the purposes of this paragraph, “protection” shall include matters affecting the availability, acquisition, scope, maintenance and enforcement of intellectual property rights as well as matters affecting the use of intellectual property rights specifically covered by this Chapter. Further, for the purposes of this paragraph, “protection” also includes the prohibition on the circumvention of effective technological measures set out in Article 20.67 (Technological Protection Measures) and the provisions concerning rights management information set out in Article 20.68 (Rights Management Information).</w:t>
      </w:r>
    </w:p>
    <w:p>
      <w:pPr>
        <w:pStyle w:val="Normal"/>
      </w:pPr>
      <w:r>
        <w:t>For greater certainty, “matters affecting the use of intellectual property rights specifically covered by this Chapter” in respect of works, performances, and phonograms, include any form of payment, such as licensing fees, royalties, equitable remuneration, or levies, in respect of uses that fall under the copyright and related rights in this Chapter. The preceding sentence is without prejudice to a Party’s interpretation of “matters affecting the use of intellectual property rights” in footnote 3 of the TRIPS Agreement. (a) necessary to secure compliance with laws or regulations that are not inconsistent with this Chapter; and (b) not applied in a manner that would constitute a disguised restriction on trade. 3. Paragraph 1 does not apply to procedures provided in multilateral agreements concluded under the auspices of WIPO relating to the acquisition or maintenance of intellectual property rights.</w:t>
      </w:r>
    </w:p>
    <w:p>
      <w:pPr>
        <w:pStyle w:val="Heading2"/>
      </w:pPr>
      <w:bookmarkStart w:id="900595" w:name="_Toc300000594"/>
      <w:r>
        <w:t xml:space="preserve">Article 20.9: Transparency</w:t>
      </w:r>
      <w:bookmarkEnd w:id="900595"/>
    </w:p>
    <w:p>
      <w:pPr>
        <w:pStyle w:val="Normal"/>
      </w:pPr>
      <w:r>
        <w:t xml:space="preserve">1. Further to Article 20.81 (Enforcement Practices with Respect to Intellectual Property Rights), each Party shall endeavor to publish online its laws, regulations, procedures, and administrative rulings of general application concerning the protection and enforcement of intellectual property rights. 2. Each Party shall, subject to its law, endeavor to publish online information that it makes public concerning applications for trademarks, geographical indications, designs, patents, and plant variety rights.3, 4 3. Each Party shall, subject to its law, publish online information that it makes public concerning registered or granted trademarks, geographical indications, designs, patents, and plant variety rights, sufficient to enable the public to become acquainted with those registered or granted rights.5</w:t>
      </w:r>
    </w:p>
    <w:p>
      <w:pPr>
        <w:pStyle w:val="Heading2"/>
      </w:pPr>
      <w:bookmarkStart w:id="900596" w:name="_Toc300000595"/>
      <w:r>
        <w:t xml:space="preserve">Article 20.10: Application of Chapter to Existing Subject Matter and Prior Acts</w:t>
      </w:r>
      <w:bookmarkEnd w:id="900596"/>
    </w:p>
    <w:p>
      <w:pPr>
        <w:pStyle w:val="Normal"/>
      </w:pPr>
      <w:r>
        <w:t xml:space="preserve">1. Unless otherwise provided in this Chapter, including in Article 20.64 (Application of Article 18 of the Berne Convention and Article 14.6 of the TRIPS Agreement), this Chapter gives rise to obligations in respect of all subject matter existing at the date of entry into force of this Agreement and that is protected on that date in the territory of a Party where protection is claimed, or that meets or comes subsequently to meet the criteria for protection under this Chapter. 3 For greater certainty, paragraphs 2 and 3 are without prejudice to a Party’s obligations under Article 20.23 (Electronic Trademarks System). 4 For greater certainty, paragraph 2 does not require a Party to publish online the entire dossier for the relevant application. 5 For greater certainty, paragraph 3 does not require a Party to publish online the entire dossier for the relevant registered or granted intellectual property right. 2.</w:t>
      </w:r>
    </w:p>
    <w:p>
      <w:pPr>
        <w:pStyle w:val="Normal"/>
      </w:pPr>
      <w:r>
        <w:t>Unless provided in Article 20.64 (Application of Article 18 of the Berne Convention and Article 14.6 of the TRIPS Agreement), a Party shall not be required to restore protection to subject matter that on the date of entry into force of this Agreement has fallen into the public domain in its territory. 3. This Chapter does not give rise to obligations in respect of acts that occurred before the date of entry into force of this Agreement.</w:t>
      </w:r>
    </w:p>
    <w:p>
      <w:pPr>
        <w:pStyle w:val="Heading2"/>
      </w:pPr>
      <w:bookmarkStart w:id="900597" w:name="_Toc300000596"/>
      <w:r>
        <w:t xml:space="preserve">Article 20.11: Exhaustion of Intellectual Property Rights</w:t>
      </w:r>
      <w:bookmarkEnd w:id="900597"/>
    </w:p>
    <w:p>
      <w:pPr>
        <w:pStyle w:val="Normal"/>
      </w:pPr>
      <w:r>
        <w:t xml:space="preserve">Nothing in this Agreement prevents a Party from determining whether or under what conditions the exhaustion of intellectual property rights applies under its legal system.6 Section B: Cooperation</w:t>
      </w:r>
    </w:p>
    <w:p>
      <w:pPr>
        <w:pStyle w:val="Heading2"/>
      </w:pPr>
      <w:bookmarkStart w:id="900598" w:name="_Toc300000597"/>
      <w:r>
        <w:t xml:space="preserve">Article 20.12: Contact Points for Cooperation</w:t>
      </w:r>
      <w:bookmarkEnd w:id="900598"/>
    </w:p>
    <w:p>
      <w:pPr>
        <w:pStyle w:val="Normal"/>
      </w:pPr>
      <w:r>
        <w:t xml:space="preserve">Each Party may designate and notify the other Parties of one or more contact points for the purpose of cooperation under this Section.</w:t>
      </w:r>
    </w:p>
    <w:p>
      <w:pPr>
        <w:pStyle w:val="Heading2"/>
      </w:pPr>
      <w:bookmarkStart w:id="900599" w:name="_Toc300000598"/>
      <w:r>
        <w:t xml:space="preserve">Article 20.13: Cooperation</w:t>
      </w:r>
      <w:bookmarkEnd w:id="900599"/>
    </w:p>
    <w:p>
      <w:pPr>
        <w:pStyle w:val="Normal"/>
      </w:pPr>
      <w:r>
        <w:t xml:space="preserve">The Parties shall endeavor to cooperate on the subject matter covered by this Chapter, such as through appropriate coordination and exchange of information between their respective intellectual property offices, or other agencies or institutions, as determined by each Party.</w:t>
      </w:r>
    </w:p>
    <w:p>
      <w:pPr>
        <w:pStyle w:val="Heading2"/>
      </w:pPr>
      <w:bookmarkStart w:id="900600" w:name="_Toc300000599"/>
      <w:r>
        <w:t xml:space="preserve">Article 20.14: Committee on Intellectual Property Rights</w:t>
      </w:r>
      <w:bookmarkEnd w:id="900600"/>
    </w:p>
    <w:p>
      <w:pPr>
        <w:pStyle w:val="Normal"/>
      </w:pPr>
      <w:r>
        <w:t xml:space="preserve">1. The Parties hereby establish a Committee on Intellectual Property Rights (IPR Committee), composed of government representatives of each Party. 2. The IPR Committee shall: For greater certainty, this Article is without prejudice to any provisions addressing the exhaustion of intellectual property rights in international agreements to which a Party is a party. (a) exchange information, pertaining to intellectual property rights matters, including how intellectual property protection contributes to innovation, creativity, economic growth, and employment, such as: (i) developments in domestic and international intellectual property law and policy, (ii) economic benefits related to trade and other analysis of the contributions arising from the protection and enforcement of intellectual property rights, (iii) intellectual property issues particularly relevant to small and medium- sized enterprises; science, technology, and innovation activities; and to the generation, transfer, and dissemination of technology, (iv) approaches for reducing the infringement of intellectual property rights, as well as effective strategies for removing the underlying incentives for infringement, (v) programs on education and awareness related to intellectual property and building capacity regarding intellectual property rights matters, and (vi) implementation of multilateral intellectual property agreements, such as those concluded or</w:t>
      </w:r>
    </w:p>
    <w:p>
      <w:pPr>
        <w:pStyle w:val="Normal"/>
      </w:pPr>
      <w:r>
        <w:t>administered under the auspices of WIPO; (b) work towards strengthening border enforcement of intellectual property rights through the promotion of collaborative operations in customs and exchange of best practices; (c) exchange information regarding trade secret-related matters, including the value of trade secrets and the economic loss associated with trade secret misappropriation; (d) discuss proposals to enhance procedural fairness in patent litigation, including with respect to choice of venue; and (e) upon request of a Party and in the interest of advancing transparency, endeavor to reach a mutually agreeable solution before taking measures in connection with future requests of recognition or protection of a geographical indication from any other country through a trade agreement. 3. The Parties shall endeavor to cooperate on providing technical assistance regarding trade secret protection to the relevant authorities of non-Parties and identify appropriate opportunities to increase cooperation between the Parties on trade-related intellectual property rights protection and enforcement. 4. The IPR Committee shall meet within one year after the date of entry into force of this Agreement and thereafter as necessary.</w:t>
      </w:r>
    </w:p>
    <w:p>
      <w:pPr>
        <w:pStyle w:val="Heading2"/>
      </w:pPr>
      <w:bookmarkStart w:id="900601" w:name="_Toc300000600"/>
      <w:r>
        <w:t xml:space="preserve">Article 20.15: Patent Cooperation and Work Sharing</w:t>
      </w:r>
      <w:bookmarkEnd w:id="900601"/>
    </w:p>
    <w:p>
      <w:pPr>
        <w:pStyle w:val="Normal"/>
      </w:pPr>
      <w:r>
        <w:t xml:space="preserve">1. The Parties recognize the importance of improving the quality and efficiency of their respective patent registration systems as well as simplifying and streamlining the procedures and processes of their respective patent offices to the benefit of all users of the patent system and the public as a whole. 2. Further to paragraph 1, the Parties shall endeavor to cooperate among their respective patent offices to facilitate the sharing and use of search and examination work of the Parties. This may include: (a) making search and examination results available to the patent offices of the other Parties;7 and (b) exchanging information on quality assurance systems and quality standards relating to patent examination. 3. In order to reduce the complexity and cost of obtaining the grant of a patent, the Parties shall endeavor to cooperate to reduce differences in the procedures and processes of their respective patent offices.</w:t>
      </w:r>
    </w:p>
    <w:p>
      <w:pPr>
        <w:pStyle w:val="Heading2"/>
      </w:pPr>
      <w:bookmarkStart w:id="900602" w:name="_Toc300000601"/>
      <w:r>
        <w:t xml:space="preserve">Article 20.16: Cooperation on Request</w:t>
      </w:r>
      <w:bookmarkEnd w:id="900602"/>
    </w:p>
    <w:p>
      <w:pPr>
        <w:pStyle w:val="Normal"/>
      </w:pPr>
      <w:r>
        <w:t xml:space="preserve">Cooperation activities undertaken under this Chapter are subject to the availability of resources, and on request, and on terms and conditions mutually decided upon between the Parties involved. The Parties affirm that cooperation under this Section is additional to and without prejudice to other past, ongoing, and future cooperation activities, both bilateral and multilateral, between the Parties, including between their respective intellectual property offices. Section C: Trademarks The Parties recognize the importance of multilateral efforts to promote the sharing and use of search and examination results with a view to improving the quality of search and examination processes and to reducing the costs for both applicants and patent offices.</w:t>
      </w:r>
    </w:p>
    <w:p>
      <w:pPr>
        <w:pStyle w:val="Heading2"/>
      </w:pPr>
      <w:bookmarkStart w:id="900603" w:name="_Toc300000602"/>
      <w:r>
        <w:t xml:space="preserve">Article 20.17: Types of Signs Registrable as Trademarks</w:t>
      </w:r>
      <w:bookmarkEnd w:id="900603"/>
    </w:p>
    <w:p>
      <w:pPr>
        <w:pStyle w:val="Normal"/>
      </w:pPr>
      <w:r>
        <w:t xml:space="preserve">No Party shall require, as a condition of registration, that a sign be visually perceptible, nor shall a Party deny registration of a trademark only on the ground that the sign of which it is composed is a sound. Additionally, each Party shall make best efforts to register scent marks. A Party may require a concise and accurate description, or graphical representation, or both, as applicable, of the trademark.</w:t>
      </w:r>
    </w:p>
    <w:p>
      <w:pPr>
        <w:pStyle w:val="Heading2"/>
      </w:pPr>
      <w:bookmarkStart w:id="900604" w:name="_Toc300000603"/>
      <w:r>
        <w:t xml:space="preserve">Article 20.18: Collective and Certification Marks</w:t>
      </w:r>
      <w:bookmarkEnd w:id="900604"/>
    </w:p>
    <w:p>
      <w:pPr>
        <w:pStyle w:val="Normal"/>
      </w:pPr>
      <w:r>
        <w:t xml:space="preserve">Each Party shall provide that trademarks include collective marks and certification marks. A Party is not required to treat certification marks as a separate category in its law, provided that those marks are protected. Each Party shall also provide that signs that may serve as geographical indications are capable of protection under its trademark system.8</w:t>
      </w:r>
    </w:p>
    <w:p>
      <w:pPr>
        <w:pStyle w:val="Heading2"/>
      </w:pPr>
      <w:bookmarkStart w:id="900605" w:name="_Toc300000604"/>
      <w:r>
        <w:t xml:space="preserve">Article 20.19: Use of Identical or Similar Signs</w:t>
      </w:r>
      <w:bookmarkEnd w:id="900605"/>
    </w:p>
    <w:p>
      <w:pPr>
        <w:pStyle w:val="Normal"/>
      </w:pPr>
      <w:r>
        <w:t xml:space="preserve">Each Party shall provide that the owner of a registered trademark has the exclusive right to prevent third parties that do not have the owner’s consent from using in the course of trade identical or similar signs, including subsequent geographical indications9 for goods or services that are related to those goods or services in respect of which the owner’s trademark is registered, if that use would result in a likelihood of confusion. In the case of the use of an identical sign for identical goods or services, a likelihood of confusion shall be presumed.</w:t>
      </w:r>
    </w:p>
    <w:p>
      <w:pPr>
        <w:pStyle w:val="Heading2"/>
      </w:pPr>
      <w:bookmarkStart w:id="900606" w:name="_Toc300000605"/>
      <w:r>
        <w:t xml:space="preserve">Article 20.20: Exceptions</w:t>
      </w:r>
      <w:bookmarkEnd w:id="900606"/>
    </w:p>
    <w:p>
      <w:pPr>
        <w:pStyle w:val="Normal"/>
      </w:pPr>
      <w:r>
        <w:t xml:space="preserve">A Party may provide limited exceptions to the rights conferred by a trademark, such as fair use of descriptive terms, provided that those exceptions take account of the legitimate interests of the owner of the trademark and of third parties.</w:t>
      </w:r>
    </w:p>
    <w:p>
      <w:pPr>
        <w:pStyle w:val="Heading2"/>
      </w:pPr>
      <w:bookmarkStart w:id="900607" w:name="_Toc300000606"/>
      <w:r>
        <w:t xml:space="preserve">Article 20.21: Well-Known Trademarks</w:t>
      </w:r>
      <w:bookmarkEnd w:id="900607"/>
    </w:p>
    <w:p>
      <w:pPr>
        <w:pStyle w:val="Normal"/>
      </w:pPr>
      <w:r>
        <w:t xml:space="preserve">8 Consistent with the definition of a geographical indication in Article 20.1 (Definitions), any sign, or combination of signs, shall be eligible for protection under one or more of the legal means for protecting geographical indications, or a combination of those means. 9 For greater certainty, the Parties understand that this Article should not be interpreted to affect their rights and obligations under Articles 22 and 23 of the TRIPS Agreement. 1. No Party shall require as a condition for determining that a trademark is well-known that the trademark has been registered in the Party or in another jurisdiction, included on a list of well-known trademarks, or given prior recognition as a well-known trademark. 2. Article 6bis of the Paris Convention shall apply, mutatis mutandis, to goods or services that are not identical or similar to those identified by a well-known trademark,10 whether registered or not, provided that use of that trademark in relation to those goods or services would indicate a connection between those goods or services and the owner of the trademark, and provided that the interests of the owner of the trademark are likely to be damaged by that use. 3.</w:t>
      </w:r>
    </w:p>
    <w:p>
      <w:pPr>
        <w:pStyle w:val="Normal"/>
      </w:pPr>
      <w:r>
        <w:t>The Parties recognize the importance of the Joint Recommendation Concerning Provisions on the Protection of Well-Known Marks as adopted by the Assembly of the Paris Union for the Protection of Industrial Property and the General Assembly of WIPO at the Thirty- Fourth Series of Meetings of the Assemblies of the Member States of WIPO September 20 to 29, 1999. 4. Each Party shall provide for appropriate measures to refuse the application or cancel the registration and prohibit the use of a trademark that is identical or similar to a well-known trademark,11 for identical or similar goods or services, if the use of that trademark is likely to cause confusion with the prior well-known trademark. A Party may also provide those measures including in cases in which the subsequent trademark is likely to deceive.</w:t>
      </w:r>
    </w:p>
    <w:p>
      <w:pPr>
        <w:pStyle w:val="Heading2"/>
      </w:pPr>
      <w:bookmarkStart w:id="900608" w:name="_Toc300000607"/>
      <w:r>
        <w:t xml:space="preserve">Article 20.22: Procedural Aspects of Examination, Opposition, and Cancellation</w:t>
      </w:r>
      <w:bookmarkEnd w:id="900608"/>
    </w:p>
    <w:p>
      <w:pPr>
        <w:pStyle w:val="Normal"/>
      </w:pPr>
      <w:r>
        <w:t xml:space="preserve">Each Party shall provide a system for the examination and registration of trademarks that includes among other things: (a) communicating to the applicant in writing, which may be by electronic means, the reasons for any refusal to register a trademark; (b) providing the applicant with an opportunity to respond to communications from the competent authorities, to contest any initial refusal, and to make a judicial appeal of any final refusal to register a trademark; 10 In determining whether a trademark is well-known in a Party, that Party need not require that the reputation of the trademark extend beyond the sector of the public that normally deals with the relevant goods or services. 11 The Parties understand that a well-known trademark is one that was already well-known before, as determined by a Party, the application for, registration of, or use of the first-mentioned trademark.</w:t>
      </w:r>
    </w:p>
    <w:p>
      <w:pPr>
        <w:pStyle w:val="Normal"/>
      </w:pPr>
      <w:r>
        <w:t>(c) providing an opportunity to oppose the registration of a trademark and an opportunity to seek cancellation12 of a trademark through, at a minimum, administrative procedures; and (d) requiring administrative decisions in opposition and cancellation proceedings to be reasoned and in writing, which may be provided by electronic means.</w:t>
      </w:r>
    </w:p>
    <w:p>
      <w:pPr>
        <w:pStyle w:val="Heading2"/>
      </w:pPr>
      <w:bookmarkStart w:id="900609" w:name="_Toc300000608"/>
      <w:r>
        <w:t xml:space="preserve">Article 20.23: Electronic Trademarks System</w:t>
      </w:r>
      <w:bookmarkEnd w:id="900609"/>
    </w:p>
    <w:p>
      <w:pPr>
        <w:pStyle w:val="Normal"/>
      </w:pPr>
      <w:r>
        <w:t xml:space="preserve">Further to Article 20.9.3 (Transparency), each Party shall provide a: (a) system for the electronic application for, and maintenance of, trademarks; and (b) publicly available electronic information system, including an online database, of trademark applications and of registered trademarks.</w:t>
      </w:r>
    </w:p>
    <w:p>
      <w:pPr>
        <w:pStyle w:val="Heading2"/>
      </w:pPr>
      <w:bookmarkStart w:id="900610" w:name="_Toc300000609"/>
      <w:r>
        <w:t xml:space="preserve">Article 20.24: Classification of Goods and Services</w:t>
      </w:r>
      <w:bookmarkEnd w:id="900610"/>
    </w:p>
    <w:p>
      <w:pPr>
        <w:pStyle w:val="Normal"/>
      </w:pPr>
      <w:r>
        <w:t xml:space="preserve">Each Party shall adopt or maintain a trademark classification system that is consistent with the Nice Agreement Concerning the International Classification of Goods and Services for the Purposes of the Registration of Marks, done at Nice, June 15, 1957, as revised and amended (Nice Classification). Each Party shall provide that: (a) registrations and the publications of applications indicate the goods and services by their names, grouped according to the classes established by the Nice Classification;13 and (b) goods or services may not be considered as being similar to each other on the ground that, in any registration or publication, they are classified in the same class of the Nice Classification. Conversely, each Party shall provide that goods or services may not be considered as being dissimilar from each other on the ground that, in any registration or publication, they are classified in different classes of the Nice Classification.</w:t>
      </w:r>
    </w:p>
    <w:p>
      <w:pPr>
        <w:pStyle w:val="Heading2"/>
      </w:pPr>
      <w:bookmarkStart w:id="900611" w:name="_Toc300000610"/>
      <w:r>
        <w:t xml:space="preserve">Article 20.25: Term of Protection for Trademarks</w:t>
      </w:r>
      <w:bookmarkEnd w:id="900611"/>
    </w:p>
    <w:p>
      <w:pPr>
        <w:pStyle w:val="Normal"/>
      </w:pPr>
      <w:r>
        <w:t xml:space="preserve">12 For greater certainty, cancellation for the purposes of this Section may be implemented through a nullification or revocation proceeding. A Party that relies on translations of the Nice Classification shall follow updated versions of the Nice Classification to the extent that official translations have been issued and published. Each Party shall provide that initial registration and each renewal of registration of a trademark is for a term of no less than 10 years.</w:t>
      </w:r>
    </w:p>
    <w:p>
      <w:pPr>
        <w:pStyle w:val="Heading2"/>
      </w:pPr>
      <w:bookmarkStart w:id="900612" w:name="_Toc300000611"/>
      <w:r>
        <w:t xml:space="preserve">Article 20.26: Non-Recordal of a License</w:t>
      </w:r>
      <w:bookmarkEnd w:id="900612"/>
    </w:p>
    <w:p>
      <w:pPr>
        <w:pStyle w:val="Normal"/>
      </w:pPr>
      <w:r>
        <w:t xml:space="preserve">No Party shall require recordal of trademark licenses: (a) to establish the validity of the licenses; or (b) as a condition for use of a trademark by a licensee to be deemed to constitute use by the holder in a proceeding that relates to the acquisition, maintenance, or enforcement of trademarks.</w:t>
      </w:r>
    </w:p>
    <w:p>
      <w:pPr>
        <w:pStyle w:val="Heading2"/>
      </w:pPr>
      <w:bookmarkStart w:id="900613" w:name="_Toc300000612"/>
      <w:r>
        <w:t xml:space="preserve">Article 20.27: Domain Names</w:t>
      </w:r>
      <w:bookmarkEnd w:id="900613"/>
    </w:p>
    <w:p>
      <w:pPr>
        <w:pStyle w:val="Normal"/>
      </w:pPr>
      <w:r>
        <w:t xml:space="preserve">1. In connection with each Party’s system for the management of its country-code top-level domain (ccTLD) domain names, the following shall be available: (a) an appropriate procedure for the settlement of disputes that, based on, or modelled along the same lines as, the principles established in the Uniform Domain-Name Dispute-Resolution Policy, or that: (i) is designed to resolve disputes expeditiously and at low cost, (ii) is fair and equitable, (iii) is not overly burdensome, and (iv) does not preclude resort to judicial proceedings; and (b) online public access to a reliable and accurate database of contact information concerning domain name registrants, in accordance with each Party’s law and, if applicable, relevant administrator policies regarding protection of privacy and personal data. 2. In connection with each Party’s system for the management of ccTLD domain names, appropriate remedies14 shall be available at least in cases in which a person registers or holds, 14 The Parties understand that those remedies may, but need not, include revocation, cancellation, transfer, damages, or injunctive relief. with a bad faith intent to profit, a domain name that is identical or confusingly similar to a trademark. Section D: Country Names</w:t>
      </w:r>
    </w:p>
    <w:p>
      <w:pPr>
        <w:pStyle w:val="Heading2"/>
      </w:pPr>
      <w:bookmarkStart w:id="900614" w:name="_Toc300000613"/>
      <w:r>
        <w:t xml:space="preserve">Article 20.28: Country Names</w:t>
      </w:r>
      <w:bookmarkEnd w:id="900614"/>
    </w:p>
    <w:p>
      <w:pPr>
        <w:pStyle w:val="Normal"/>
      </w:pPr>
      <w:r>
        <w:t xml:space="preserve">Each Party shall provide the legal means for interested persons to prevent commercial use of the country name of a Party in relation to a good in a manner that misleads consumers as to the origin of that good. Section E: Geographical Indications</w:t>
      </w:r>
    </w:p>
    <w:p>
      <w:pPr>
        <w:pStyle w:val="Heading2"/>
      </w:pPr>
      <w:bookmarkStart w:id="900615" w:name="_Toc300000614"/>
      <w:r>
        <w:t xml:space="preserve">Article 20.29: Recognition of Geographical Indications</w:t>
      </w:r>
      <w:bookmarkEnd w:id="900615"/>
    </w:p>
    <w:p>
      <w:pPr>
        <w:pStyle w:val="Normal"/>
      </w:pPr>
      <w:r>
        <w:t xml:space="preserve">The Parties recognize that geographical indications may be protected through a trademark or a sui generis system or other legal means.</w:t>
      </w:r>
    </w:p>
    <w:p>
      <w:pPr>
        <w:pStyle w:val="Heading2"/>
      </w:pPr>
      <w:bookmarkStart w:id="900616" w:name="_Toc300000615"/>
      <w:r>
        <w:t xml:space="preserve">Article 20.30: Administrative Procedures for the Protection or Recognition of Geographical Indications</w:t>
      </w:r>
      <w:bookmarkEnd w:id="900616"/>
    </w:p>
    <w:p>
      <w:pPr>
        <w:pStyle w:val="Normal"/>
      </w:pPr>
      <w:r>
        <w:t xml:space="preserve">If a Party provides administrative procedures for the protection or recognition of geographical indications, whether through a trademark or a sui generis system, with respect to applications for that protection or petitions for that recognition, that Party shall: (a) accept those applications or petitions without requiring intercession by a Party on behalf of its nationals;15 (b) process those applications or petitions without imposing overly burdensome formalities; (c) ensure that its laws and regulations governing the filing of those applications or petitions are readily available to the public and clearly set out the procedures for these actions; 15 This subparagraph also applies to judicial procedures that protect or recognize a geographical indication.</w:t>
      </w:r>
    </w:p>
    <w:p>
      <w:pPr>
        <w:pStyle w:val="Normal"/>
      </w:pPr>
      <w:r>
        <w:t>(d) make available information sufficient to allow the general public to obtain guidance concerning the procedures for filing applications or petitions and the processing of those applications or petitions in general; and allow an applicant, a petitioner, or their representative to ascertain the status of specific applications and petitions; (e) require that applications or petitions may specify particular translation or transliteration for which protection is being sought; (f) examine applications or petitions; (g) ensure that those applications or petitions are published for opposition and provide procedures for opposing geographical indications that are the subject of applications or petitions; (h) provide a reasonable period of time during which an interested person may oppose the application or petition; (i) require that administrative decisions in opposition proceedings be reasoned and in writing, which may be provided by electronic means; (j) require that administrative decisions in cancellation proceedings be reasoned and in writing, which may be provided by electronic means; and (k) provide for cancellation16 of the protection or recognition afforded to a geographical indication.</w:t>
      </w:r>
    </w:p>
    <w:p>
      <w:pPr>
        <w:pStyle w:val="Heading2"/>
      </w:pPr>
      <w:bookmarkStart w:id="900617" w:name="_Toc300000616"/>
      <w:r>
        <w:t xml:space="preserve">Article 20.31: Grounds of Denial, Opposition, and Cancellation</w:t>
      </w:r>
      <w:r>
        <w:rPr>
          <w:vertAlign w:val="superscript"/>
        </w:rPr>
        <w:t xml:space="preserve">17</w:t>
      </w:r>
      <w:bookmarkEnd w:id="900617"/>
    </w:p>
    <w:p>
      <w:pPr>
        <w:pStyle w:val="Normal"/>
      </w:pPr>
      <w:r>
        <w:t xml:space="preserve">1. If a Party protects or recognizes a geographical indication through the procedures referred to in Article 20.30 (Administrative Procedures for the Protection or Recognition of Geographical Indications), that Party shall provide procedures that allow interested persons to object to the protection or recognition of a geographical indication, and that allow for that protection or recognition to be refused or otherwise not afforded, at least, on the grounds that the geographical indication is: 16 For greater certainty, for the purposes of this Section, cancellation may be implemented through nullification or revocation proceedings. 17 A Party is not required to apply this Article to geographical indications for wines and spirits or to applications or petitions for those geographical indications. (a) likely to cause confusion with a trademark that is the subject of a pre-existing good faith pending application or registration in the territory of the Party;</w:t>
      </w:r>
    </w:p>
    <w:p>
      <w:pPr>
        <w:pStyle w:val="Normal"/>
      </w:pPr>
      <w:r>
        <w:t>(b) likely to cause confusion with a pre-existing trademark, the rights to which have been acquired in accordance with the Party’s law; and 18, 19, 20 (c) a term customary in common language as the common name for the relevant good in the territory of the Party. 2.</w:t>
      </w:r>
    </w:p>
    <w:p>
      <w:pPr>
        <w:pStyle w:val="Normal"/>
      </w:pPr>
      <w:r>
        <w:t>If a Party has protected or recognized a geographical indication through the procedures referred to in Article 20.30 (Administrative Procedures for the Protection or Recognition of Geographical Indications), that Party shall provide procedures that allow for interested persons to seek the cancellation of a geographical indication, and that allow for the protection or recognition to be cancelled, at least, on the grounds listed in paragraph 1. A Party may provide that the grounds listed in paragraph 1 apply as of the time of filing the request for protection or recognition of a geographical indication in the territory of the Party.21 3. No Party shall preclude the possibility that the protection or recognition of a geographical indication may be cancelled, or otherwise cease, on the basis that the protected or recognized term has ceased meeting the conditions upon which the protection or recognition was originally granted in that Party. 4.</w:t>
      </w:r>
    </w:p>
    <w:p>
      <w:pPr>
        <w:pStyle w:val="Normal"/>
      </w:pPr>
      <w:r>
        <w:t>If a Party has in place a sui generis system for protecting unregistered geographical indications by means of judicial procedures, that Party shall provide that its judicial authorities have the authority to deny the protection or recognition of a geographical indication if any 18 If a Party refuses to protect or recognize a compound geographical indication on the grounds that an individual term of that geographical indication is the common name for the relevant good in the territory of a Party, the Party may withdraw its refusal of protection or recognition if the applicant or registrant agrees to disclaim any claim of exclusive rights to the particular individual term that was the basis for the refusal.</w:t>
      </w:r>
    </w:p>
    <w:p>
      <w:pPr>
        <w:pStyle w:val="Normal"/>
      </w:pPr>
      <w:r>
        <w:t>19 For greater certainty, if a Party provides for the procedures in Article 20.30 (Administrative Procedures for the Protection or Recognition of Geographical Indications) and this Article to be applied to geographical indications for wines and spirits or applications or petitions for those geographical indications, that Party is not required to protect or recognize a geographical indication of any other Party with respect to products of the vine for which the relevant indication is identical with the customary name of a grape variety existing in the territory of that Party. 20 For greater certainty, a term customary in common language as the common name may refer to a single- component term or individual components of a multi-component term.</w:t>
      </w:r>
    </w:p>
    <w:p>
      <w:pPr>
        <w:pStyle w:val="Normal"/>
      </w:pPr>
      <w:r>
        <w:t>21 For greater certainty, if the grounds listed in paragraph 1 did not exist in a Party’s law as of the time of filing of the request for protection or recognition of a geographical indication under Article 20.30 (Administrative Procedures for the Protection or Recognition of Geographical Indications), that Party is not required to apply those grounds for the purposes of paragraphs 2 or 4 of this Article in relation to that geographical indication. circumstance identified in paragraph 1 has been established.22 That Party shall also provide a process that allows interested persons to commence a proceeding on the grounds identified in paragraph 1. 5. If a Party provides protection or recognition of a geographical indication through the procedures referred to in Article 20.30 (Administrative Procedures for the Protection or Recognition of Geographical Indications) to the translation or transliteration of that geographical indication, that Party shall make available procedures that are equivalent to, and grounds that are the same as, those referred to in paragraphs 1 and 2 with respect to that translation or transliteration.</w:t>
      </w:r>
    </w:p>
    <w:p>
      <w:pPr>
        <w:pStyle w:val="Heading2"/>
      </w:pPr>
      <w:bookmarkStart w:id="900618" w:name="_Toc300000617"/>
      <w:r>
        <w:t xml:space="preserve">Article 20.32: Guidelines for Determining Whether a Term is the Term Customary in the Common Language</w:t>
      </w:r>
      <w:bookmarkEnd w:id="900618"/>
    </w:p>
    <w:p>
      <w:pPr>
        <w:pStyle w:val="Normal"/>
      </w:pPr>
      <w:r>
        <w:t xml:space="preserve">With respect to the procedures in Article 20.30 (Administrative Procedures for the Protection or Recognition of Geographical Indications) and Article 20.31 (Grounds of Denial, Opposition, and Cancellation), in determining whether a term is the term customary in common language as the common name for the relevant good in the territory of a Party, that Party’s authorities shall have the authority to take into account how consumers understand the term in the territory of that Party. Factors relevant to that consumer understanding may include: (a) whether the term is used to refer to the type of good in question, as indicated by competent sources such as dictionaries, newspapers, and relevant websites; (b) how the good referenced by the term is marketed and used in trade in the territory of that Party;</w:t>
      </w:r>
    </w:p>
    <w:p>
      <w:pPr>
        <w:pStyle w:val="Normal"/>
      </w:pPr>
      <w:r>
        <w:t>(c) whether the term is used, as appropriate, in relevant international standards recognized by the Parties to refer to a type or class of good in the territory of the Party, such as pursuant to a standard promulgated by the Codex Alimentarius; and (d) whether the good in question is imported into the Party’s territory, in significant quantities,23 from a place other than the territory identified in the application or petition, and whether those imported goods are named by the term.</w:t>
      </w:r>
    </w:p>
    <w:p>
      <w:pPr>
        <w:pStyle w:val="Normal"/>
      </w:pPr>
      <w:r>
        <w:t>22 As an alternative to this paragraph, if a Party has in place a sui generis system of the type referred to in this paragraph as of the applicable date under Article 20.35.6 (International Agreements), that Party shall at least provide that its judicial authorities have the authority to deny the protection or recognition of a geographical indication if the circumstances identified in paragraph 1(c) have been established. 23 In determining whether the good in question is imported in significant quantities, a Party may consider the amount of importation at the time of the application or petition.</w:t>
      </w:r>
    </w:p>
    <w:p>
      <w:pPr>
        <w:pStyle w:val="Heading2"/>
      </w:pPr>
      <w:bookmarkStart w:id="900619" w:name="_Toc300000618"/>
      <w:r>
        <w:t xml:space="preserve">Article 20.33: Multi-Component Terms</w:t>
      </w:r>
      <w:bookmarkEnd w:id="900619"/>
    </w:p>
    <w:p>
      <w:pPr>
        <w:pStyle w:val="Normal"/>
      </w:pPr>
      <w:r>
        <w:t xml:space="preserve">With respect to the procedures in Article 20.30 (Administrative Procedures for the Protection or Recognition of Geographical Indications) and Article 20.31 (Grounds of Denial, Opposition, and Cancellation), an individual component of a multi-component term that is protected as a geographical indication in the territory of a Party shall not be protected in that Party if that individual component is a term customary in the common language as the common name for the associated good.</w:t>
      </w:r>
    </w:p>
    <w:p>
      <w:pPr>
        <w:pStyle w:val="Heading2"/>
      </w:pPr>
      <w:bookmarkStart w:id="900620" w:name="_Toc300000619"/>
      <w:r>
        <w:t xml:space="preserve">Article 20.34: Date of Protection of a Geographical Indication</w:t>
      </w:r>
      <w:bookmarkEnd w:id="900620"/>
    </w:p>
    <w:p>
      <w:pPr>
        <w:pStyle w:val="Normal"/>
      </w:pPr>
      <w:r>
        <w:t xml:space="preserve">If a Party grants protection or recognition to a geographical indication through the procedures referred to in Article 20.30 (Administrative Procedures for the Protection or Recognition of Geographical Indications), that protection or recognition shall commence no earlier than the filing date24 in the Party or the registration date in the Party, as applicable.</w:t>
      </w:r>
    </w:p>
    <w:p>
      <w:pPr>
        <w:pStyle w:val="Heading2"/>
      </w:pPr>
      <w:bookmarkStart w:id="900621" w:name="_Toc300000620"/>
      <w:r>
        <w:t xml:space="preserve">Article 20.35: International Agreements</w:t>
      </w:r>
      <w:bookmarkEnd w:id="900621"/>
    </w:p>
    <w:p>
      <w:pPr>
        <w:pStyle w:val="Normal"/>
      </w:pPr>
      <w:r>
        <w:t xml:space="preserve">1. If a Party protects or recognizes a geographical indication pursuant to an international agreement, as of the applicable date under paragraph 6, involving a Party or a non-Party and that geographical indication is not protected through the procedures referred to in Article 20.30 (Administrative Procedures for the Protection or Recognition of Geographical Indications)25 or Article 20.31 (Grounds of Denial, Opposition, and Cancellation), that Party at least shall apply procedures and grounds that are equivalent to those in Article 20.30(f), (g), (h), and (i) (Administrative Procedures for the Protection or Recognition of Geographical Indications) and Article 20.31.1 (Grounds of Denial, Opposition, and Cancellation), as well as: (a) make available information sufficient to allow the general public to obtain guidance concerning the procedures for protecting or recognizing the geographical indication and allow interested persons to ascertain the status of requests for protection or recognition; 24 For greater certainty, the filing date referred to in this paragraph includes, as applicable, the priority filing date under the Paris Convention.</w:t>
      </w:r>
    </w:p>
    <w:p>
      <w:pPr>
        <w:pStyle w:val="Normal"/>
      </w:pPr>
      <w:r>
        <w:t>No Party shall use the date of protection in a country of origin of a geographical indication to establish a priority date in the territory of the Party, unless filed within the Paris Convention priority period.</w:t>
      </w:r>
    </w:p>
    <w:p>
      <w:pPr>
        <w:pStyle w:val="Normal"/>
      </w:pPr>
      <w:r>
        <w:t>25 Each Party shall apply Article 20.32 (Guidelines for Determining Whether a Term is the Term Customary in the Common Language) and Article 20.33 (Multi-Component Terms) in determining whether to grant protection or recognition of a geographical indication pursuant to this paragraph. (b) to publish online details regarding the terms that the Party is considering protecting or recognizing through an international agreement involving a Party or a non-Party, including specifying whether the protection or recognition is being considered for any translations or transliterations of those terms, and with respect to multi-component terms, specifying the components, if any, for which protection or recognition is being considered, or the components that are disclaimed; (c) in respect of opposition procedures, provide a reasonable period of time for interested persons to oppose the protection or recognition of the terms referred to in subparagraph (b). That period shall allow for a meaningful opportunity for any interested person to participate in an opposition process; and (d) inform the other Parties of the opportunity to oppose, no later than the commencement of the opposition period. 2.</w:t>
      </w:r>
    </w:p>
    <w:p>
      <w:pPr>
        <w:pStyle w:val="Normal"/>
      </w:pPr>
      <w:r>
        <w:t>In respect of international agreements referred to in paragraph 6 that permit the protection or recognition of a new geographical indication, a Party shall:26, 27 (a) apply paragraph 1(b) and apply at least procedures and grounds that are equivalent to those in Article 20.30(f), (g), (h), and (i) (Administrative Procedures for the Protection or Recognition of Geographical Indications) and Article 20.31.1 (Grounds of Denial, Opposition, and Cancellation); (b) provide an opportunity for interested persons to comment regarding the protection or recognition of the new geographical indication for a reasonable period of time before that term is protected or recognized; and (c) inform the other Parties of the opportunity to comment, no later than the commencement of the period for comment. 3. For the purposes of this Article, a Party shall not preclude the possibility that the protection or recognition of a geographical indication could cease. 4. For the purposes of this Article, a Party is not required to apply Article 20.31 (Grounds of Denial, Opposition, and Cancellation), or obligations equivalent to Article 20.31, to geographical indications for wines and spirits or applications for those geographical indications.</w:t>
      </w:r>
    </w:p>
    <w:p>
      <w:pPr>
        <w:pStyle w:val="Normal"/>
      </w:pPr>
      <w:r>
        <w:t>26 In respect of an international agreement referred to in paragraph 6 that has geographical indications that have been identified, but have not yet received protection or recognition in the territory of the Party that is a party to that agreement, that Party may fulfil the obligations of paragraph 2 by complying with the obligations of paragraph 1. 27 A Party may comply with this Article by applying Article 20.30 (Administrative Procedures for the Protection or Recognition of Geographical Indications) and Article 20.31 (Grounds of Denial, Opposition, and Cancellation). 5. The protection or recognition that each Party provides pursuant to paragraph 1 shall commence no earlier than the date on which that agreement enters into force or, if that Party grants that protection or recognition on a date after the entry into force of that agreement, on that later date. 6. No Party shall be required to apply this Article to geographical indications that have been specifically identified in, and that are protected or recognized pursuant to, an international agreement involving a Party or a non-Party, provided that the agreement:</w:t>
      </w:r>
    </w:p>
    <w:p>
      <w:pPr>
        <w:pStyle w:val="Normal"/>
      </w:pPr>
      <w:r>
        <w:t>(a) was concluded, or agreed in principle,28 prior to the date of conclusion, or agreement in principle, of this Agreement; (b) was ratified by a Party prior to the date of ratification of this Agreement by that Party; or (c) entered into force for a Party prior to the date of entry into force of this Agreement.</w:t>
      </w:r>
    </w:p>
    <w:p>
      <w:pPr>
        <w:pStyle w:val="Normal"/>
      </w:pPr>
      <w:r>
        <w:t>Section F: Patents and Undisclosed Test or Other Data Subsection A: General Patents</w:t>
      </w:r>
    </w:p>
    <w:p>
      <w:pPr>
        <w:pStyle w:val="Heading2"/>
      </w:pPr>
      <w:bookmarkStart w:id="900622" w:name="_Toc300000621"/>
      <w:r>
        <w:t xml:space="preserve">Article 20.36: Patentable Subject Matter</w:t>
      </w:r>
      <w:bookmarkEnd w:id="900622"/>
    </w:p>
    <w:p>
      <w:pPr>
        <w:pStyle w:val="Normal"/>
      </w:pPr>
      <w:r>
        <w:t xml:space="preserve">1. Subject to paragraphs 3 and 4, each Party shall make patents available for any invention, whether a product or process, in all fields of technology, provided that the invention is new, involves an inventive step, and is capable of industrial application.29 2. Subject to paragraphs 3 and 4 and consistent with paragraph 1, each Party confirms that patents are available for inventions claimed as at least one of the following: new uses of a known product, new methods of using a known product, or new processes of using a known product. 28 For the purpose of this Article, an agreement “agreed in principle” means an agreement involving another government, government entity, or international organization in respect of which a political understanding has been reached and the negotiated outcomes of the agreement have been publically announced. For the purposes of this Section, a Party may deem the terms “inventive step” and “capable of industrial application” to be synonymous with the terms “non-obvious” and “useful”, respectively.</w:t>
      </w:r>
    </w:p>
    <w:p>
      <w:pPr>
        <w:pStyle w:val="Normal"/>
      </w:pPr>
      <w:r>
        <w:t>In determinations regarding inventive step, or non-obviousness, each Party shall consider whether the claimed invention would have been obvious to a person skilled in the art, or having ordinary skill in the art, having regard to the prior art. 3.</w:t>
      </w:r>
    </w:p>
    <w:p>
      <w:pPr>
        <w:pStyle w:val="Normal"/>
      </w:pPr>
      <w:r>
        <w:t>A Party may exclude from patentability inventions, the prevention within their territory of the commercial exploitation of which is necessary to protect ordre public or morality, including to protect human, animal, or plant life or health or to avoid serious prejudice to nature or the environment, provided that such exclusion is not made merely because the exploitation is prohibited by its law. A Party may also exclude from patentability: (a) diagnostic, therapeutic, and surgical methods for the treatment of humans or animals; (b) animals other than microorganisms, and essentially biological processes for the production of plants or animals, other than non-biological and microbiological processes. 4. A Party may also exclude from patentability plants other than microorganisms. However, consistent with paragraph 1 and subject to paragraph 3, each Party confirms that patents are available at least for inventions that are derived from plants.</w:t>
      </w:r>
    </w:p>
    <w:p>
      <w:pPr>
        <w:pStyle w:val="Heading2"/>
      </w:pPr>
      <w:bookmarkStart w:id="900623" w:name="_Toc300000622"/>
      <w:r>
        <w:t xml:space="preserve">Article 20.37: Grace Period</w:t>
      </w:r>
      <w:bookmarkEnd w:id="900623"/>
    </w:p>
    <w:p>
      <w:pPr>
        <w:pStyle w:val="Normal"/>
      </w:pPr>
      <w:r>
        <w:t xml:space="preserve">Each Party shall disregard at least information contained in public disclosures used to determine if an invention is novel or has an inventive step, if the public disclosure:30 (a) was made by the patent applicant or by a person that obtained the information directly or indirectly from the patent applicant; and (b) occurred within twelve months prior to the filing date in the territory of the Party.</w:t>
      </w:r>
    </w:p>
    <w:p>
      <w:pPr>
        <w:pStyle w:val="Heading2"/>
      </w:pPr>
      <w:bookmarkStart w:id="900624" w:name="_Toc300000623"/>
      <w:r>
        <w:t xml:space="preserve">Article 20.38: Patent Revocation</w:t>
      </w:r>
      <w:bookmarkEnd w:id="900624"/>
    </w:p>
    <w:p>
      <w:pPr>
        <w:pStyle w:val="Normal"/>
      </w:pPr>
      <w:r>
        <w:t xml:space="preserve">1. Each Party shall provide that a patent may be cancelled, revoked, or nullified only on grounds that would have justified a refusal to grant the patent. A Party may also provide that fraud, misrepresentation, or inequitable conduct may be the basis for cancelling, revoking, or nullifying a patent or holding a patent unenforceable. 2. Notwithstanding paragraph 1, a Party may provide that a patent may be revoked, provided it is done in a manner consistent with Article 5A of the Paris Convention and the TRIPS Agreement. 30 For greater certainty, a Party may limit the application of this Article to disclosures made by, or obtained directly or indirectly from, the inventor or joint inventor. For greater certainty, a Party may provide that, for the purposes of this Article, information obtained directly or indirectly from the patent applicant may be information contained in the public disclosure that was authorized by, or derived from, the patent applicant.</w:t>
      </w:r>
    </w:p>
    <w:p>
      <w:pPr>
        <w:pStyle w:val="Heading2"/>
      </w:pPr>
      <w:bookmarkStart w:id="900625" w:name="_Toc300000624"/>
      <w:r>
        <w:t xml:space="preserve">Article 20.39: Exceptions</w:t>
      </w:r>
      <w:bookmarkEnd w:id="900625"/>
    </w:p>
    <w:p>
      <w:pPr>
        <w:pStyle w:val="Normal"/>
      </w:pPr>
      <w:r>
        <w:t xml:space="preserve">A Party may provide limited exceptions to the exclusive rights conferred by a patent, provided that those exceptions do not unreasonably conflict with a normal exploitation of the patent and do not unreasonably prejudice the legitimate interests of the patent owner, taking account of the legitimate interests of third parties.</w:t>
      </w:r>
    </w:p>
    <w:p>
      <w:pPr>
        <w:pStyle w:val="Heading2"/>
      </w:pPr>
      <w:bookmarkStart w:id="900626" w:name="_Toc300000625"/>
      <w:r>
        <w:t xml:space="preserve">Article 20.40: Other Use Without Authorization of the Right Holder</w:t>
      </w:r>
      <w:bookmarkEnd w:id="900626"/>
    </w:p>
    <w:p>
      <w:pPr>
        <w:pStyle w:val="Normal"/>
      </w:pPr>
      <w:r>
        <w:t xml:space="preserve">The Parties understand that nothing in this Chapter limits a Party’s rights and obligations under Article 31 of the TRIPS Agreement, and any waiver of or amendment to that Article that the Parties accept.</w:t>
      </w:r>
    </w:p>
    <w:p>
      <w:pPr>
        <w:pStyle w:val="Heading2"/>
      </w:pPr>
      <w:bookmarkStart w:id="900627" w:name="_Toc300000626"/>
      <w:r>
        <w:t xml:space="preserve">Article 20.41: Amendments, Corrections, and Observations</w:t>
      </w:r>
      <w:bookmarkEnd w:id="900627"/>
    </w:p>
    <w:p>
      <w:pPr>
        <w:pStyle w:val="Normal"/>
      </w:pPr>
      <w:r>
        <w:t xml:space="preserve">Each Party shall provide a patent applicant with at least one opportunity to make amendments, corrections, and observations in connection with its application.31</w:t>
      </w:r>
    </w:p>
    <w:p>
      <w:pPr>
        <w:pStyle w:val="Heading2"/>
      </w:pPr>
      <w:bookmarkStart w:id="900628" w:name="_Toc300000627"/>
      <w:r>
        <w:t xml:space="preserve">Article 20.42: Publication of Patent Applications</w:t>
      </w:r>
      <w:bookmarkEnd w:id="900628"/>
    </w:p>
    <w:p>
      <w:pPr>
        <w:pStyle w:val="Normal"/>
      </w:pPr>
      <w:r>
        <w:t xml:space="preserve">1. Recognizing the benefits of transparency in the patent system, each Party shall endeavor to publish unpublished pending patent applications promptly after the expiration of 18 months from the filing date or, if priority is claimed, from the earliest priority date. 2. If a pending application is not published promptly in accordance with paragraph 1, a Party shall publish that application or the corresponding patent, as soon as practicable. 3. Each Party shall provide that an applicant may request the early publication of an application prior to the expiration of the period referred to in paragraph 1.</w:t>
      </w:r>
    </w:p>
    <w:p>
      <w:pPr>
        <w:pStyle w:val="Heading2"/>
      </w:pPr>
      <w:bookmarkStart w:id="900629" w:name="_Toc300000628"/>
      <w:r>
        <w:t xml:space="preserve">Article 20.43: Information Relating to Published Patent Applications and Granted Patents</w:t>
      </w:r>
      <w:bookmarkEnd w:id="900629"/>
    </w:p>
    <w:p>
      <w:pPr>
        <w:pStyle w:val="Normal"/>
      </w:pPr>
      <w:r>
        <w:t xml:space="preserve">For published patent applications and granted patents, and in accordance with the Party’s requirements for prosecution of those applications and patents, each Party shall make available to 31 A Party may provide that those amendments or corrections must not exceed the scope of the disclosure of the invention, as of the filing date. the public at least the following information, to the extent that this information is in the possession of the competent authorities and is generated on, or after, the date of the entry into force of this Agreement: (a) search and examination results, including details of, or information related to, relevant prior art searches; (b) as appropriate, non-confidential communications from applicants; and (c) patent and non-patent related literature citations submitted by applicants and relevant third parties.</w:t>
      </w:r>
    </w:p>
    <w:p>
      <w:pPr>
        <w:pStyle w:val="Heading2"/>
      </w:pPr>
      <w:bookmarkStart w:id="900630" w:name="_Toc300000629"/>
      <w:r>
        <w:t xml:space="preserve">Article 20.44: Patent Term Adjustment for Unreasonable Granting Authority Delays</w:t>
      </w:r>
      <w:bookmarkEnd w:id="900630"/>
    </w:p>
    <w:p>
      <w:pPr>
        <w:pStyle w:val="Normal"/>
      </w:pPr>
      <w:r>
        <w:t xml:space="preserve">1. Each Party shall make best efforts to process patent applications in an efficient and timely manner, with a view to avoiding unreasonable or unnecessary delays. 2. A Party may provide procedures for a patent applicant to request to expedite the examination of its patent application. 3. If there are unreasonable delays in a Party’s issuance of a patent, that Party shall provide the means to, and at the request of the patent owner shall, adjust the term of the patent to compensate for those delays. 4. For the purposes of this Article, an unreasonable delay at least shall include a delay in the issuance of a patent of more than five years from the date of filing of the application in the territory of the Party, or three years after a request for examination of the application has been made, whichever is later.</w:t>
      </w:r>
    </w:p>
    <w:p>
      <w:pPr>
        <w:pStyle w:val="Normal"/>
      </w:pPr>
      <w:r>
        <w:t>A Party may exclude, from the determination of those delays, periods of time that do not occur during the processing32 of, or the examination of, the patent application by the granting authority; periods of time that are not directly attributable33 to the granting authority; as well as periods of time that are attributable to the patent applicant.34 32 For the purposes of this paragraph, a Party may interpret processing to mean initial administrative processing and administrative processing at the time of grant.</w:t>
      </w:r>
    </w:p>
    <w:p>
      <w:pPr>
        <w:pStyle w:val="Normal"/>
      </w:pPr>
      <w:r>
        <w:t>33 A Party may treat delays “that are not directly attributable to the granting authority” as delays that are outside the direction or control of the granting authority. 34 Notwithstanding Article 20.10 (Application of Chapter to Existing Subject Matter and Prior Acts), this Article shall apply to all patent applications filed after the date of entry into force of this Agreement, or the date two years after the signing of this Agreement, whichever is later. Subsection B: Measures Relating to Agricultural Chemical Products</w:t>
      </w:r>
    </w:p>
    <w:p>
      <w:pPr>
        <w:pStyle w:val="Heading2"/>
      </w:pPr>
      <w:bookmarkStart w:id="900631" w:name="_Toc300000630"/>
      <w:r>
        <w:t xml:space="preserve">Article 20.45: Protection of Undisclosed Test or Other Data for Agricultural Chemical Products</w:t>
      </w:r>
      <w:bookmarkEnd w:id="900631"/>
    </w:p>
    <w:p>
      <w:pPr>
        <w:pStyle w:val="Normal"/>
      </w:pPr>
      <w:r>
        <w:t xml:space="preserve">1. If a Party requires, as a condition for granting marketing approval35 for a new agricultural chemical product, the submission of undisclosed test or other data concerning the safety and efficacy of the product,36 that Party shall not permit third persons, without the consent of the person that previously submitted that information, to market the same or a similar37 product on the basis of that information or the marketing approval granted to the person that submitted that test or other data for at least 10 years38 from the date of marketing approval of the new agricultural chemical product in the territory of the Party. 2.</w:t>
      </w:r>
    </w:p>
    <w:p>
      <w:pPr>
        <w:pStyle w:val="Normal"/>
      </w:pPr>
      <w:r>
        <w:t>If a Party permits, as a condition of granting marketing approval for a new agricultural chemical product, the submission of evidence of a prior marketing approval of the product in another territory, that Party shall not permit third persons, without the consent of the person that previously submitted undisclosed test or other data concerning the safety and efficacy of the product in support of that prior marketing approval, to market the same or a similar product based on that undisclosed test or other data, or other evidence of the prior marketing approval in the other territory, for at least 10 years from the date of marketing approval of the new agricultural chemical product in the territory of the Party. 3.</w:t>
      </w:r>
    </w:p>
    <w:p>
      <w:pPr>
        <w:pStyle w:val="Normal"/>
      </w:pPr>
      <w:r>
        <w:t>For the purposes of this Article, a new agricultural chemical product is one that contains a chemical entity that has not been previously approved in the territory of the Party for use in an agricultural chemical product. 35 For the purposes of this Chapter, the term “marketing approval” is synonymous with “sanitary approval” under a Party’s law. 36 Each Party confirms that the obligations of this Article apply to cases in which the Party requires the submission of undisclosed test or other data concerning: (a) only the safety of the product, (b) only the efficacy of the product, or (c) both. 37 For greater certainty, for the purposes of this Section, an agricultural chemical product is “similar” to a previously approved agricultural chemical product if the marketing approval, or, in the alternative, the applicant’s request for that approval, of that similar agricultural chemical product is based upon the undisclosed test or other data concerning the safety and efficacy of the previously approved agricultural chemical product, or the prior approval of that previously approved product. 38 For greater certainty, a Party may limit the period of protection under this Article to 10 years. Subsection C: Measures Relating to Pharmaceutical Products</w:t>
      </w:r>
    </w:p>
    <w:p>
      <w:pPr>
        <w:pStyle w:val="Heading2"/>
      </w:pPr>
      <w:bookmarkStart w:id="900632" w:name="_Toc300000631"/>
      <w:r>
        <w:t xml:space="preserve">Article 20.46: Patent Term Adjustment for Unreasonable Curtailment</w:t>
      </w:r>
      <w:bookmarkEnd w:id="900632"/>
    </w:p>
    <w:p>
      <w:pPr>
        <w:pStyle w:val="Normal"/>
      </w:pPr>
      <w:r>
        <w:t xml:space="preserve">1. Each Party shall make best efforts to process applications for marketing approval of pharmaceutical products in an efficient and timely manner, with a view to avoiding unreasonable or unnecessary delays. 2. With respect to a pharmaceutical product that is subject to a patent, each Party shall make available an adjustment39 of the patent term to compensate the patent owner for unreasonable curtailment of the effective patent term as a result of the marketing approval process. 3. For greater certainty, in implementing the obligations of this Article, each Party may provide for conditions and limitations, provided that the Party continues to give effect to this Article. 4. With the objective of avoiding unreasonable curtailment of the effective patent term, a Party may adopt or maintain procedures that expedite the processing of marketing approval applications.</w:t>
      </w:r>
    </w:p>
    <w:p>
      <w:pPr>
        <w:pStyle w:val="Heading2"/>
      </w:pPr>
      <w:bookmarkStart w:id="900633" w:name="_Toc300000632"/>
      <w:r>
        <w:t xml:space="preserve">Article 20.47: Regulatory Review Exception</w:t>
      </w:r>
      <w:bookmarkEnd w:id="900633"/>
    </w:p>
    <w:p>
      <w:pPr>
        <w:pStyle w:val="Normal"/>
      </w:pPr>
      <w:r>
        <w:t xml:space="preserve">Without prejudice to the scope of, and consistent with, Article 20.39 (Exceptions), each Party shall adopt or maintain a regulatory review exception for pharmaceutical products.</w:t>
      </w:r>
    </w:p>
    <w:p>
      <w:pPr>
        <w:pStyle w:val="Heading2"/>
      </w:pPr>
      <w:bookmarkStart w:id="900634" w:name="_Toc300000633"/>
      <w:r>
        <w:t xml:space="preserve">Article 20.48: Protection of Undisclosed Test or Other Data</w:t>
      </w:r>
      <w:bookmarkEnd w:id="900634"/>
    </w:p>
    <w:p>
      <w:pPr>
        <w:pStyle w:val="Normal"/>
      </w:pPr>
      <w:r>
        <w:t xml:space="preserve">1. (a) If a Party requires, as a condition for granting marketing approval for a new pharmaceutical product, the submission of undisclosed test or other data concerning the safety and efficacy of the product,40 that Party shall not permit 39 For greater certainty, a Party may alternatively make available a period of additional sui generis protection to compensate for unreasonable curtailment of the effective patent term as a result of the marketing approval process. The sui generis protection must confer the rights conferred by the patent, subject to any conditions and limitations pursuant to paragraph 3. 40 Each Party confirms that the obligations of this Article and Article 20.49 (Biologics) apply to cases in which the Party requires the submission of undisclosed test or other data concerning: (i) only the safety of the product, (ii) only the efficacy of the product, or (iii) both.</w:t>
      </w:r>
    </w:p>
    <w:p>
      <w:pPr>
        <w:pStyle w:val="Normal"/>
      </w:pPr>
      <w:r>
        <w:t>third persons, without the consent of the person that previously submitted that information, to market the same or a similar41 product on the basis of: (i) that information, or (ii) the marketing approval granted to the person that submitted that information, for at least five years42 from the date of marketing approval of the new pharmaceutical product in the territory of the Party; (b) If a Party permits, as a condition of granting marketing approval for a new pharmaceutical product, the submission of evidence of prior marketing approval of the product in another territory, that Party shall not permit third persons, without the consent of a person that previously submitted the information concerning the safety and efficacy of the product, to market a same or a similar product based on evidence relating to prior marketing approval in the other territory for at least five years from the date of marketing approval of the new pharmaceutical product in the territory of that Party. 2.</w:t>
      </w:r>
    </w:p>
    <w:p>
      <w:pPr>
        <w:pStyle w:val="Normal"/>
      </w:pPr>
      <w:r>
        <w:t>Each Party shall:43 (a) apply paragraph 1, mutatis mutandis, for a period of at least three years with respect to new clinical information submitted as required in support of a marketing approval of a previously approved pharmaceutical product covering a new indication, new formulation, or new method of administration; or, alternatively, (b) apply paragraph 1, mutatis mutandis, for a period of at least five years to new pharmaceutical products that contain a chemical entity that has not been previously approved in that Party.44 41 For greater certainty, for the purposes of this Section, a pharmaceutical product is “similar” to a previously approved pharmaceutical product if the marketing approval, or, in the alternative, the applicant’s request for that approval, of that similar pharmaceutical product is based upon the undisclosed test or other data concerning the safety and efficacy of the previously approved pharmaceutical product, or the prior approval of that previously approved product.</w:t>
      </w:r>
    </w:p>
    <w:p>
      <w:pPr>
        <w:pStyle w:val="Normal"/>
      </w:pPr>
      <w:r>
        <w:t>42 For greater certainty, a Party may limit the period of protection under paragraph 1 to five years, and the period of protection under Article 20.49.1 (Biologics) to 10 years. 43 A Party that provides a period of at least eight years of protection under paragraph 1 is not required to apply paragraph 2. 3.</w:t>
      </w:r>
    </w:p>
    <w:p>
      <w:pPr>
        <w:pStyle w:val="Normal"/>
      </w:pPr>
      <w:r>
        <w:t>Notwithstanding paragraphs 1 and 2 and Article 20.49 (Biologics), a Party may take measures to protect public health in accordance with: (a) the Declaration on TRIPS and Public Health; (b) any waiver of a provision of the TRIPS Agreement granted by WTO Members in accordance with the WTO Agreement to implement the Declaration on TRIPS and Public Health and that is in force between the Parties; or (c) any amendment of the TRIPS Agreement to implement the Declaration on TRIPS and Public Health that enters into force with respect to the Parties.</w:t>
      </w:r>
    </w:p>
    <w:p>
      <w:pPr>
        <w:pStyle w:val="Heading2"/>
      </w:pPr>
      <w:bookmarkStart w:id="900635" w:name="_Toc300000634"/>
      <w:r>
        <w:t xml:space="preserve">Article 20.49: Biologics</w:t>
      </w:r>
      <w:bookmarkEnd w:id="900635"/>
    </w:p>
    <w:p>
      <w:pPr>
        <w:pStyle w:val="Normal"/>
      </w:pPr>
      <w:r>
        <w:t xml:space="preserve">1. With regard to protecting new biologics, a Party shall, with respect to the first marketing approval in a Party of a new pharmaceutical product that is, or contains, a biologic,45, 46 provide effective market protection through the implementation of Article 20.48.1 (Protection of Undisclosed Test or Other Data) and Article 20.48.3 (Protection of Undisclosed Test or Other Data), mutatis mutandis, for a period of at least ten years from the date of first marketing approval of that product in that Party. 2. Each Party shall apply this Article to, at a minimum,47 a product that is produced using biotechnology processes and that is, or contains, a virus, therapeutic serum, toxin, antitoxin, vaccine, blood, blood component or derivative, allergenic product, protein, or analogous product, for use in human beings for the prevention, treatment, or cure of a disease or condition.</w:t>
      </w:r>
    </w:p>
    <w:p>
      <w:pPr>
        <w:pStyle w:val="Normal"/>
      </w:pPr>
      <w:r>
        <w:t>44 For the purposes of Article 20.48.2(b) (Protection of Undisclosed Test or Other Data), a Party may choose to protect only the undisclosed test or other data concerning the safety and efficacy relating to the chemical entity that has not been previously approved. 45 Nothing requires a Party to extend the protection of this paragraph to: (a) any second or subsequent marketing approval of such a pharmaceutical product; or (b) a pharmaceutical product that is, or contains, a previously approved biologic.</w:t>
      </w:r>
    </w:p>
    <w:p>
      <w:pPr>
        <w:pStyle w:val="Normal"/>
      </w:pPr>
      <w:r>
        <w:t>46 Each Party may provide that an applicant may request approval of a pharmaceutical product that is, or contains, a biologic under the procedures set forth in Article 20.48.1(a) (Protection of Undisclosed Test or Other Data) and Article 20.48.1(b) (Protection of Undisclosed Test or Other Data) on or before March 23, 2020, provided that other pharmaceutical products in the same class of products have been approved by that Party under the procedures set forth in in Article 20.48.1(a) (Protection of Undisclosed Test or Other Data) and Article 20.48.1(b) (Protection of Undisclosed Test or Other Data) before the date of entry into force of this Agreement. 47 For greater certainty, for the purposes of this Article, the Parties understand that “at a minimum” means that a Party may limit the application to the scope specified in this paragraph.</w:t>
      </w:r>
    </w:p>
    <w:p>
      <w:pPr>
        <w:pStyle w:val="Heading2"/>
      </w:pPr>
      <w:bookmarkStart w:id="900636" w:name="_Toc300000635"/>
      <w:r>
        <w:t xml:space="preserve">Article 20.50: Definition of New Pharmaceutical Product</w:t>
      </w:r>
      <w:bookmarkEnd w:id="900636"/>
    </w:p>
    <w:p>
      <w:pPr>
        <w:pStyle w:val="Normal"/>
      </w:pPr>
      <w:r>
        <w:t xml:space="preserve">For the purposes of Article 20.48.1 (Protection of Undisclosed Test or Other Data), a new pharmaceutical product means a pharmaceutical product that does not contain a chemical entity that has been previously approved in that Party.</w:t>
      </w:r>
    </w:p>
    <w:p>
      <w:pPr>
        <w:pStyle w:val="Heading2"/>
      </w:pPr>
      <w:bookmarkStart w:id="900637" w:name="_Toc300000636"/>
      <w:r>
        <w:t xml:space="preserve">Article 20.51: Measures Relating to the Marketing of Certain Pharmaceutical Products</w:t>
      </w:r>
      <w:bookmarkEnd w:id="900637"/>
    </w:p>
    <w:p>
      <w:pPr>
        <w:pStyle w:val="Normal"/>
      </w:pPr>
      <w:r>
        <w:t xml:space="preserve">1. If a Party permits, as a condition of approving the marketing of a pharmaceutical product, persons, other than the person originally submitting the safety and efficacy information, to rely on evidence or information concerning the safety and efficacy of a product that was previously approved, such as evidence of prior marketing approval by the Party or in another territory, that Party shall provide: (a) a system to provide notice to a patent holder48 or to allow for a patent holder to be notified prior to the marketing of such a pharmaceutical product, that such other person is seeking to market that product during the term of an applicable patent claiming the approved product or its approved method of use;</w:t>
      </w:r>
    </w:p>
    <w:p>
      <w:pPr>
        <w:pStyle w:val="Normal"/>
      </w:pPr>
      <w:r>
        <w:t>(b) adequate time and sufficient opportunity for such a patent holder to seek, prior to the marketing of an allegedly infringing product, available remedies in subparagraph (c); and (c) procedures, such as judicial or administrative proceedings, and expeditious remedies, such as preliminary injunctions or equivalent effective provisional measures, for the timely resolution of disputes concerning the validity or infringement of an applicable patent claiming an approved pharmaceutical product or its approved method of use. 2.</w:t>
      </w:r>
    </w:p>
    <w:p>
      <w:pPr>
        <w:pStyle w:val="Normal"/>
      </w:pPr>
      <w:r>
        <w:t>As an alternative to paragraph 1, a Party shall instead adopt or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consent or acquiescence of the patent holder. 48 For greater certainty, for the purposes of this Article, a Party may provide that a “patent holder” includes a patent licensee or the authorized holder of marketing approval.</w:t>
      </w:r>
    </w:p>
    <w:p>
      <w:pPr>
        <w:pStyle w:val="Heading2"/>
      </w:pPr>
      <w:bookmarkStart w:id="900638" w:name="_Toc300000637"/>
      <w:r>
        <w:t xml:space="preserve">Article 20.52: Alteration of Period of Protection</w:t>
      </w:r>
      <w:bookmarkEnd w:id="900638"/>
    </w:p>
    <w:p>
      <w:pPr>
        <w:pStyle w:val="Normal"/>
      </w:pPr>
      <w:r>
        <w:t xml:space="preserve">Subject to Article 20.48.3 (Protection of Undisclosed Test or Other Data), if a product is subject to a system of marketing approval in the territory of a Party pursuant to Article 20.45 (Protection of Undisclosed Test or Other Data for Agricultural Chemical Products), Article 20.48, or Article 20.49 (Biologics) and is also covered by a patent in the territory of that Party, that Party shall not alter the period of protection that it provides pursuant to Article 20.45, Article 20.48, or Article 20.49 in the event that the patent protection terminates on a date earlier than the end of the period of protection specified in Article 20.45, Article 20.48, or Article 20.49. Section G: Industrial Designs</w:t>
      </w:r>
    </w:p>
    <w:p>
      <w:pPr>
        <w:pStyle w:val="Heading2"/>
      </w:pPr>
      <w:bookmarkStart w:id="900639" w:name="_Toc300000638"/>
      <w:r>
        <w:t xml:space="preserve">Article 20.53: Protection</w:t>
      </w:r>
      <w:bookmarkEnd w:id="900639"/>
    </w:p>
    <w:p>
      <w:pPr>
        <w:pStyle w:val="Normal"/>
      </w:pPr>
      <w:r>
        <w:t xml:space="preserve">1. Each Party shall ensure adequate and effective protection of industrial designs consistent with Articles 25 and 26 of the TRIPS Agreement. 2. Consistent with paragraph 1, each Party confirms that protection is available for designs embodied in a part of an article.</w:t>
      </w:r>
    </w:p>
    <w:p>
      <w:pPr>
        <w:pStyle w:val="Heading2"/>
      </w:pPr>
      <w:bookmarkStart w:id="900640" w:name="_Toc300000639"/>
      <w:r>
        <w:t xml:space="preserve">Article 20.54: Non-Prejudicial Disclosures/Grace Period</w:t>
      </w:r>
      <w:r>
        <w:rPr>
          <w:vertAlign w:val="superscript"/>
        </w:rPr>
        <w:t xml:space="preserve">49</w:t>
      </w:r>
      <w:bookmarkEnd w:id="900640"/>
    </w:p>
    <w:p>
      <w:pPr>
        <w:pStyle w:val="Normal"/>
      </w:pPr>
      <w:r>
        <w:t xml:space="preserve">Each Party shall disregard at least information contained in public disclosures used to determine if an industrial design is new, original, or, where applicable, non-obvious, if the public disclosure:50 (a) was made by the design applicant or by a person that obtained the information directly or indirectly from the design applicant; and (b) occurred within 12 months prior to the filing date in the territory of the Party.</w:t>
      </w:r>
    </w:p>
    <w:p>
      <w:pPr>
        <w:pStyle w:val="Heading2"/>
      </w:pPr>
      <w:bookmarkStart w:id="900641" w:name="_Toc300000640"/>
      <w:r>
        <w:t xml:space="preserve">Article 20.55: Electronic Industrial Design System</w:t>
      </w:r>
      <w:bookmarkEnd w:id="900641"/>
    </w:p>
    <w:p>
      <w:pPr>
        <w:pStyle w:val="Normal"/>
      </w:pPr>
      <w:r>
        <w:t xml:space="preserve">49 Articles 20.54 (Non-Prejudicial Disclosures/Grace Period) and 20.55 (Electronic Industrial Design System) apply with respect to industrial design patent systems or industrial design registration systems. 50 For greater certainty, a Party may limit the application of this Article to disclosures made by, or obtained directly or indirectly from, the creator or co-creator and provide that, for the purposes of this Article, information obtained directly or indirectly from the design applicant may be information contained in the public disclosure that was authorized by, or derived from, the design applicant. Each Party shall provide a: (a) system for the electronic application for industrial design rights; and (b) publicly available electronic information system, which must include an online database of protected industrial designs.</w:t>
      </w:r>
    </w:p>
    <w:p>
      <w:pPr>
        <w:pStyle w:val="Heading2"/>
      </w:pPr>
      <w:bookmarkStart w:id="900642" w:name="_Toc300000641"/>
      <w:r>
        <w:t xml:space="preserve">Article 20.56: Term of Protection</w:t>
      </w:r>
      <w:bookmarkEnd w:id="900642"/>
    </w:p>
    <w:p>
      <w:pPr>
        <w:pStyle w:val="Normal"/>
      </w:pPr>
      <w:r>
        <w:t xml:space="preserve">Each Party shall provide a term of protection for industrial designs of at least 15 years from either: (a) the date of filing, or (b) the date of grant or registration. Section H: Copyright and Related Rights</w:t>
      </w:r>
    </w:p>
    <w:p>
      <w:pPr>
        <w:pStyle w:val="Heading2"/>
      </w:pPr>
      <w:bookmarkStart w:id="900643" w:name="_Toc300000642"/>
      <w:r>
        <w:t xml:space="preserve">Article 20.57: Definitions</w:t>
      </w:r>
      <w:bookmarkEnd w:id="900643"/>
    </w:p>
    <w:p>
      <w:pPr>
        <w:pStyle w:val="Normal"/>
      </w:pPr>
      <w:r>
        <w:t xml:space="preserve">For the purposes of Article 20.58 (Right of Reproduction) and Article 20.60 (Right of Distribution) through Article 20.69 (Collective Management), the following definitions apply with respect to performers and producers of phonograms: broadcasting means the transmission by wireless means for public reception of sounds or of images and sounds or of the representations thereof; such transmission by satellite is also “broadcasting”; transmission of encrypted signals is “broadcasting” if the means for decrypting are provided to the public by the broadcasting organization or with its consent;</w:t>
      </w:r>
    </w:p>
    <w:p>
      <w:pPr>
        <w:pStyle w:val="Normal"/>
      </w:pPr>
      <w:r>
        <w:t>“</w:t>
      </w:r>
      <w:r>
        <w:t>broadcasting” does not include transmission over computer networks or any transmissions where the time and place of reception may be individually chosen by members of the public; communication to the public of a performance or a phonogram means the transmission to the public by any medium, other than by broadcasting, of sounds of a performance or the sounds or the representations of sounds fixed in a phonogram; fixation means the embodiment of sounds, or of the representations thereof, from which they can be perceived, reproduced, or communicated through a device; performers means actors, singers, musicians, dancers, and other persons who act, sing, deliver, declaim, play in, interpret, or otherwise perform literary or artistic works or expressions of folklore; phonogram means the fixation of the sounds of a performance or of other sounds, or of a representation</w:t>
      </w:r>
    </w:p>
    <w:p>
      <w:pPr>
        <w:pStyle w:val="Normal"/>
      </w:pPr>
      <w:r>
        <w:t>of sounds, other than in the form of a fixation incorporated in a cinematographic or other audio-visual work; producer of a phonogram means a person that takes the initiative and has the responsibility for the first fixation of the sounds of a performance or other sounds, or the representations of sounds; and publication of a performance or phonogram means the offering of copies of the performance or the phonogram to the public, with the consent of the right holder, and provided that copies are offered to the public in reasonable quantity.</w:t>
      </w:r>
    </w:p>
    <w:p>
      <w:pPr>
        <w:pStyle w:val="Heading2"/>
      </w:pPr>
      <w:bookmarkStart w:id="900644" w:name="_Toc300000643"/>
      <w:r>
        <w:t xml:space="preserve">Article 20.58: Right of Reproduction</w:t>
      </w:r>
      <w:bookmarkEnd w:id="900644"/>
    </w:p>
    <w:p>
      <w:pPr>
        <w:pStyle w:val="Normal"/>
      </w:pPr>
      <w:r>
        <w:t xml:space="preserve">Each Party shall provide51 to authors, performers, and producers of phonograms52 the exclusive right to authorize or prohibit all reproduction of their works, performances, or phonograms in any manner or form, including in electronic form.</w:t>
      </w:r>
    </w:p>
    <w:p>
      <w:pPr>
        <w:pStyle w:val="Heading2"/>
      </w:pPr>
      <w:bookmarkStart w:id="900645" w:name="_Toc300000644"/>
      <w:r>
        <w:t xml:space="preserve">Article 20.59: Right of Communication to the Public</w:t>
      </w:r>
      <w:bookmarkEnd w:id="900645"/>
    </w:p>
    <w:p>
      <w:pPr>
        <w:pStyle w:val="Normal"/>
      </w:pPr>
      <w:r>
        <w:t xml:space="preserve">Without prejudice to Article 11(1)(ii), Article 11bis(1)(i) and (ii), Article 11ter(1)(ii), Article 14(1)(ii), and Article 14bis(1) of the Berne Convention, each Party shall provide to authors the exclusive right to authorize or prohibit the communication to the public of their works, by wire or wireless means, including the making available to the public of their works in such a way that members of the public may access these works from a place and at a time individually chosen by them.53</w:t>
      </w:r>
    </w:p>
    <w:p>
      <w:pPr>
        <w:pStyle w:val="Heading2"/>
      </w:pPr>
      <w:bookmarkStart w:id="900646" w:name="_Toc300000645"/>
      <w:r>
        <w:t xml:space="preserve">Article 20.60: Right of Distribution</w:t>
      </w:r>
      <w:bookmarkEnd w:id="900646"/>
    </w:p>
    <w:p>
      <w:pPr>
        <w:pStyle w:val="Normal"/>
      </w:pPr>
      <w:r>
        <w:t xml:space="preserve">51 For greater certainty, the Parties understand that it is a matter for each Party’s law to prescribe that works, performances, or phonograms in general or any specified categories of works, performances and phonograms are not protected by copyright or related rights unless the work, performance, or phonogram has been fixed in some material form. 52 References to “authors, performers, and producers of phonograms” refer also to any of their successors in interest. 53 The Parties understand that the mere provision of physical facilities for enabling or making a communication does not in itself amount to communication within the meaning of this Chapter or the Berne Convention. The Parties further understand that nothing in this Article precludes a Party from applying Article 11bis(2) of the Berne Convention. Each Party shall provide to authors, performers, and producers of phonograms the exclusive right to authorize or prohibit the making available to the public of the original and copies54 of their works, performances, and phonograms through sale or other transfer of ownership.</w:t>
      </w:r>
    </w:p>
    <w:p>
      <w:pPr>
        <w:pStyle w:val="Heading2"/>
      </w:pPr>
      <w:bookmarkStart w:id="900647" w:name="_Toc300000646"/>
      <w:r>
        <w:t xml:space="preserve">Article 20.61: No Hierarchy</w:t>
      </w:r>
      <w:bookmarkEnd w:id="900647"/>
    </w:p>
    <w:p>
      <w:pPr>
        <w:pStyle w:val="Normal"/>
      </w:pPr>
      <w:r>
        <w:t xml:space="preserve">Each Party shall provide that, in cases in which authorization is needed from both the author of a work embodied in a phonogram and a performer or producer that owns rights in the phonogram, the need for the authorization of the: (a) author does not cease to exist because the authorization of the performer or producer is also required; and (b) performer or producer does not cease to exist because the authorization of the author is also required.</w:t>
      </w:r>
    </w:p>
    <w:p>
      <w:pPr>
        <w:pStyle w:val="Heading2"/>
      </w:pPr>
      <w:bookmarkStart w:id="900648" w:name="_Toc300000647"/>
      <w:r>
        <w:t xml:space="preserve">Article 20.62: Related Rights</w:t>
      </w:r>
      <w:bookmarkEnd w:id="900648"/>
    </w:p>
    <w:p>
      <w:pPr>
        <w:pStyle w:val="Normal"/>
      </w:pPr>
      <w:r>
        <w:t xml:space="preserve">1. Further to the protection afforded to performers and producers of phonograms as “nationals” under Article 20.8 (National Treatment), each Party shall accord the rights provided for in this Chapter to performances and phonograms first published or first fixed55 in the territory of another Party.56 A performance or phonogram is considered first published in the territory of a Party if it is published in the territory of that Party within 30 days of its original publication. 2. Each Party shall provide to performers the exclusive right to authorize or prohibit: (a) the broadcasting and communication to the public of their unfixed performances, unless the performance is already a broadcast performance; and (b) the fixation of their unfixed performances. 54 The expressions “copies” and “original and copies”, that are subject to the right of distribution in this Article, refer exclusively to fixed copies that can be put into circulation as tangible objects. 55 For the purposes of this Article, fixation means the finalization of the master tape or its equivalent.</w:t>
      </w:r>
    </w:p>
    <w:p>
      <w:pPr>
        <w:pStyle w:val="Normal"/>
      </w:pPr>
      <w:r>
        <w:t>56 For greater certainty, consistent with Article 20.8 (National Treatment), each Party shall accord to performances and phonograms first published or first fixed in the territory of another Party treatment no less favorable than it accords to performances or phonograms first published or first fixed in its own territory. 3.</w:t>
      </w:r>
    </w:p>
    <w:p>
      <w:pPr>
        <w:pStyle w:val="Normal"/>
      </w:pPr>
      <w:r>
        <w:t>(a) Each Party shall provide to performers and producers of phonograms the exclusive right to authorize or prohibit the broadcasting or any communication to the public of their performances or phonograms, by wire or wireless means57 and the making available to the public of those performances or phonograms in such a way that members of the public may access them from a place and at a time individually chosen by them. (b) Notwithstanding subparagraph (a) and Article 20.65 (Limitations and Exceptions), the application of the right referred to in subparagraph (a) to analog transmissions and non-interactive free over-the-air broadcasts, and exceptions or limitations to this right for those activities, is a matter of each Party’s law.58 (c) Each Party may adopt limitations to this right in respect of other non-interactive transmissions in accordance with Article 20.65.1 (Limitations and Exceptions), provided that the limitations do not prejudice the right of the performer or producer of phonograms to obtain equitable remuneration.</w:t>
      </w:r>
    </w:p>
    <w:p>
      <w:pPr>
        <w:pStyle w:val="Heading2"/>
      </w:pPr>
      <w:bookmarkStart w:id="900649" w:name="_Toc300000648"/>
      <w:r>
        <w:t xml:space="preserve">Article 20.63: Term of Protection for Copyright and Related Rights</w:t>
      </w:r>
      <w:bookmarkEnd w:id="900649"/>
    </w:p>
    <w:p>
      <w:pPr>
        <w:pStyle w:val="Normal"/>
      </w:pPr>
      <w:r>
        <w:t xml:space="preserve">Each Party shall provide that in cases in which the term of protection of a work, performance, or phonogram is to be calculated: (a) on the basis of the life of a natural person, the term shall be not less than the life of the author and 70 years after the author’s death;59 and (b) on a basis other than the life of a natural person, the term shall be: 57 For greater certainty, the obligation under this paragraph does not include broadcasting or communication to the public, by wire or wireless means, of the sounds or representations of sounds fixed in a phonogram that are incorporated in a cinematographic or other audio-visual work.</w:t>
      </w:r>
    </w:p>
    <w:p>
      <w:pPr>
        <w:pStyle w:val="Normal"/>
      </w:pPr>
      <w:r>
        <w:t>58 For the purposes of this subparagraph the Parties understand that a Party may provide for the retransmission of non-interactive, free over-the-air broadcasts, provided that these retransmissions are lawfully permitted by that Party’s government communications authority; any entity engaging in these retransmissions complies with the relevant rules, orders, or regulations of that authority; and these retransmissions do not include those delivered and accessed over the Internet. For greater certainty this footnote does not limit a Party’s ability to avail itself of this subparagraph.</w:t>
      </w:r>
    </w:p>
    <w:p>
      <w:pPr>
        <w:pStyle w:val="Normal"/>
      </w:pPr>
      <w:r>
        <w:t>59 The Parties understand that if a Party provides its nationals a term of copyright protection that exceeds life of the author plus 70 years, nothing in this Article or Article 20.8 (National Treatment) precludes that Party from applying Article 7(8) of the Berne Convention with respect to the term in excess of the term provided in this subparagraph of protection for works of another Party. (i) not less than 75 years from the end of the calendar year of the first authorized publication60 of the work, performance, or phonogram, or (ii) failing such authorized publication within 25 years from the creation of the work, performance, or phonogram, not less than 70 years from the end of the calendar year of the creation of the work, performance, or phonogram.</w:t>
      </w:r>
    </w:p>
    <w:p>
      <w:pPr>
        <w:pStyle w:val="Heading2"/>
      </w:pPr>
      <w:bookmarkStart w:id="900650" w:name="_Toc300000649"/>
      <w:r>
        <w:t xml:space="preserve">Article 20.64: Application of Article 18 of the Berne Convention and Article 14.6 of the TRIPS Agreement</w:t>
      </w:r>
      <w:bookmarkEnd w:id="900650"/>
    </w:p>
    <w:p>
      <w:pPr>
        <w:pStyle w:val="Normal"/>
      </w:pPr>
      <w:r>
        <w:t xml:space="preserve">Each Party shall apply Article 18 of the Berne Convention and Article 14.6 of the TRIPS Agreement, mutatis mutandis, to works, performances, and phonograms, and the rights in and protections afforded to that subject matter as required by this Section.</w:t>
      </w:r>
    </w:p>
    <w:p>
      <w:pPr>
        <w:pStyle w:val="Heading2"/>
      </w:pPr>
      <w:bookmarkStart w:id="900651" w:name="_Toc300000650"/>
      <w:r>
        <w:t xml:space="preserve">Article 20.65: Limitations and Exceptions</w:t>
      </w:r>
      <w:bookmarkEnd w:id="900651"/>
    </w:p>
    <w:p>
      <w:pPr>
        <w:pStyle w:val="Normal"/>
      </w:pPr>
      <w:r>
        <w:t xml:space="preserve">1. With respect to this Section, each Party shall confine limitations or exceptions to exclusive rights to certain special cases that do not conflict with a normal exploitation of the work, performance, or phonogram, and do not unreasonably prejudice the legitimate interests of the right holder. 2. This Article does not reduce or extend the scope of applicability of the limitations and exceptions permitted by the TRIPS Agreement, the Berne Convention, the WCT, or the WPPT.</w:t>
      </w:r>
    </w:p>
    <w:p>
      <w:pPr>
        <w:pStyle w:val="Heading2"/>
      </w:pPr>
      <w:bookmarkStart w:id="900652" w:name="_Toc300000651"/>
      <w:r>
        <w:t xml:space="preserve">Article 20.66: Contractual Transfers</w:t>
      </w:r>
      <w:bookmarkEnd w:id="900652"/>
    </w:p>
    <w:p>
      <w:pPr>
        <w:pStyle w:val="Normal"/>
      </w:pPr>
      <w:r>
        <w:t xml:space="preserve">Each Party shall provide that for copyright and related rights, any person acquiring or holding an economic right61 in a work, performance, or phonogram: (a) may freely and separately transfer that right by contract; and 60 For greater certainty, for the purposes of subparagraph (b), if a Party’s law provides for the calculation of term from fixation rather than from the first authorized publication that Party may continue to calculate the term from fixation. 61 For greater certainty, this Article does not affect the exercise of moral rights. (b) by virtue of contract, including contracts of employment underlying the creation of works, performances, or phonograms, must be able to exercise that right in that person’s own name and enjoy fully the benefits derived from that right.62</w:t>
      </w:r>
    </w:p>
    <w:p>
      <w:pPr>
        <w:pStyle w:val="Heading2"/>
      </w:pPr>
      <w:bookmarkStart w:id="900653" w:name="_Toc300000652"/>
      <w:r>
        <w:t xml:space="preserve">Article 20.67: Technological Protection Measures</w:t>
      </w:r>
      <w:r>
        <w:rPr>
          <w:vertAlign w:val="superscript"/>
        </w:rPr>
        <w:t xml:space="preserve">63</w:t>
      </w:r>
      <w:bookmarkEnd w:id="900653"/>
    </w:p>
    <w:p>
      <w:pPr>
        <w:pStyle w:val="Normal"/>
      </w:pPr>
      <w:r>
        <w:t xml:space="preserve">1. In order to provide adequate legal protection and effective legal remedies against the circumvention of effective technological measures that authors, performers, and producers of phonograms use in connection with the exercise of their rights and that restrict unauthorized acts in respect of their works, performances, and phonograms, each Party shall provide64 that a person who: (a) knowingly, or having reasonable grounds to know,65 circumvents without authority an effective technological measure that controls access to a protected work, performance, or phonogram;66 or (b) manufactures, imports, distributes, offers for sale or rental to the public, or otherwise provides devices, products, or components, or offers to the public or provides services, that: (i) are promoted, advertised, or otherwise marketed by that person for the purpose of circumventing any effective technological measure, 62 Nothing in this Article affects a Party’s ability to establish: (i) which specific contracts underlying the creation of works, performances, or phonograms shall, in the absence of a written agreement, result in a transfer of economic rights by operation of law; and (ii) reasonable limits to protect the interests of the original right holders, taking into account the legitimate interests of the transferees.</w:t>
      </w:r>
    </w:p>
    <w:p>
      <w:pPr>
        <w:pStyle w:val="Normal"/>
      </w:pPr>
      <w:r>
        <w:t>63 Nothing in this Agreement requires a Party to restrict the importation or domestic sale of a device that does not render effective a technological measure the only purpose of which is to control market segmentation for legitimate physical copies of a cinematographic film, and is not otherwise a violation of its law. 64 A Party that, prior to the date of entry into force of this Agreement, maintains legal protections for technological protection measures consistent with Article 20.67.1 (Technological Protection Measures), may maintain its current scope of limitations, exceptions, and regulations regarding circumvention. 65 For greater certainty, for the purposes of this subparagraph, a Party may provide that reasonable grounds to know may be demonstrated through reasonable evidence, taking into account the facts and circumstances surrounding the alleged illegal act. 66 For greater certainty, no Party is required to impose civil or criminal liability under this subparagraph for a person that circumvents any effective technological measure that protects any of the exclusive rights of copyright or related rights in a protected work, performance, or phonogram, but does not control access to that work, performance, or phonogram.</w:t>
      </w:r>
    </w:p>
    <w:p>
      <w:pPr>
        <w:pStyle w:val="Normal"/>
      </w:pPr>
      <w:r>
        <w:t>(ii) have only a limited commercially significant purpose or use other than to circumvent any effective technological measure, or (iii) are primarily designed, produced, or performed for the purpose of circumventing any effective technological measure, is liable and subject to the remedies provided for in Article 20.82.18 (Civil and Administrative Procedures and Remedies).67 Each Party shall provide for criminal procedures and penalties to be applied when a person, other than a non-profit library, archive,68 educational institution, or public non-commercial broadcasting entity, is found to have engaged willfully and for the purposes of commercial advantage or financial gain in any of the foregoing activities. Criminal procedures and penalties listed in subparagraphs (a), (c), and (f) of Article 20.85.6 (Criminal Procedures and Penalties) shall apply, as applicable to infringements mutatis mutandis, to the activities described in subparagraphs (a) and (b) of this paragraph. 2. In implementing paragraph 1, no Party shall be obligated to require that the design of, or the design and selection of parts and components for, a consumer electronics, telecommunications, or computing product provide for a response to any particular technological measure, so long as the product does not otherwise violate any measure implementing paragraph 1. 3.</w:t>
      </w:r>
    </w:p>
    <w:p>
      <w:pPr>
        <w:pStyle w:val="Normal"/>
      </w:pPr>
      <w:r>
        <w:t>Each Party shall provide that a violation of a measure implementing this Article is a separate cause of action, independent of any infringement that might occur under the Party’s law on copyright and related rights. 4. Each Party shall confine exceptions and limitations to measures implementing paragraph 1 to the following activities, which shall be applied to relevant measures in accordance with paragraph 5:69 (a) non-infringing reverse engineering activities with regard to a lawfully obtained copy of a computer program, carried out in good faith with respect to particular elements of that computer program that have not been readily available to the For greater certainty, no Party is required to impose liability under this Article and Article 20.68 (Rights Management Information) for actions taken by that Party or a third person acting with authorization or consent of the Party. 68 For greater certainty, a Party may treat a non-profit museum as a non-profit archive. 69 A Party may request consultations with the other Parties to consider how to address, under paragraph 4, activities of a similar nature that a Party identifies after the date this Agreement enters into force.</w:t>
      </w:r>
    </w:p>
    <w:p>
      <w:pPr>
        <w:pStyle w:val="Normal"/>
      </w:pPr>
      <w:r>
        <w:t>person engaged in those activities, for the sole purpose of achieving interoperability of an independently created computer program with other programs; (b) non-infringing good faith activities, carried out by an appropriately qualified researcher who has lawfully obtained a copy, unfixed performance, or display of a work, performance, or phonogram and who has made a good faith effort to obtain authorization for those activities, to the extent necessary for the sole purpose of research consisting of identifying and analyzing flaws and vulnerabilities of technologies for scrambling and descrambling of information; (c) the inclusion of a component or part for the sole purpose of preventing the access of minors to inappropriate online content in a technology, product, service, or device that itself is not prohibited under the measures implementing paragraph (1)(b); (d) non-infringing good faith activities that are authorized by the owner of a computer, computer system, or computer network for the sole purpose of testing, investigating, or correcting the security of that computer, computer system, or computer network;</w:t>
      </w:r>
    </w:p>
    <w:p>
      <w:pPr>
        <w:pStyle w:val="Normal"/>
      </w:pPr>
      <w:r>
        <w:t>(e) non-infringing activities for the sole purpose of identifying and disabling a capability to carry out undisclosed collection or dissemination of personally identifying information reflecting the online activities of a natural person in a way that has no other effect on the ability of any person to gain access to any work; (f) lawfully authorized activities</w:t>
      </w:r>
    </w:p>
    <w:p>
      <w:pPr>
        <w:pStyle w:val="Normal"/>
      </w:pPr>
      <w:r>
        <w:t>carried out by government employees, agents, or contractors for the purpose of law enforcement, intelligence, essential security, or similar governmental purposes; (g) access by a nonprofit library, archive, or educational institution to a work, performance, or phonogram not otherwise available to it, for the sole purpose of making acquisition decisions; and (h) in addition, a Party may provide additional exceptions or limitations for non- infringing uses of a particular class of works, performances, or phonograms, when an actual or likely adverse impact on those non-infringing uses is demonstrated by substantial evidence in a legislative, regulatory, or administrative proceeding in accordance with the Party’s law. 5. The exceptions and limitations to measures implementing paragraph 1 for the activities set forth in paragraph 4 may only be applied as follows, and only to the extent that they do not impair the adequacy of legal protection or the effectiveness of legal remedies against the circumvention of effective technological measures under the Party’s legal system:</w:t>
      </w:r>
    </w:p>
    <w:p>
      <w:pPr>
        <w:pStyle w:val="Normal"/>
      </w:pPr>
      <w:r>
        <w:t>(a) measures implementing paragraph (1)(a) may be subject to exceptions and limitations with respect to each activity set forth in paragraph (4); (b) measures implementing paragraph (1)(b), as they apply to effective technological measures that control access to a work, performance, or phonogram, may be subject to exceptions and limitations with respect to activities set forth in paragraphs (4)(a), (b), (c),</w:t>
      </w:r>
    </w:p>
    <w:p>
      <w:pPr>
        <w:pStyle w:val="Normal"/>
      </w:pPr>
      <w:r>
        <w:t>(d), and (f); and (c) measures implementing paragraph (1)(b), as they apply to effective technological measures that protect any copyright or any rights related to copyright, may be subject to exceptions and limitations with respect to activities set forth in paragraphs (4)(a) and (f). 6. Effective technological measure means a technology, device, or component that, in the normal course of its operation, controls access to a protected work, performance, or phonogram, or protects copyright or rights related to copyright.70</w:t>
      </w:r>
    </w:p>
    <w:p>
      <w:pPr>
        <w:pStyle w:val="Heading2"/>
      </w:pPr>
      <w:bookmarkStart w:id="900654" w:name="_Toc300000653"/>
      <w:r>
        <w:t xml:space="preserve">Article 20.68: Rights Management Information</w:t>
      </w:r>
      <w:r>
        <w:rPr>
          <w:vertAlign w:val="superscript"/>
        </w:rPr>
        <w:t xml:space="preserve">71</w:t>
      </w:r>
      <w:bookmarkEnd w:id="900654"/>
    </w:p>
    <w:p>
      <w:pPr>
        <w:pStyle w:val="Normal"/>
      </w:pPr>
      <w:r>
        <w:t xml:space="preserve">1. In order to provide adequate and effective legal remedies to protect rights management information (RMI), each Party shall provide that any person that, without authority, and knowing, or having reasonable grounds to know, that it would induce, enable, facilitate, or conceal an infringement of the copyright or related right of authors, performers, or producers of phonograms, knowingly:72 (a) removes or alters any RMI; (b) distributes or imports for distribution RMI knowing that the RMI has been altered without authority;73 or 70 For greater certainty, a technological measure that can, in a usual case, be circumvented accidentally is not an “effective” technological measure. 71 A Party may comply with the obligations in this Article by providing legal protection only to electronic rights management information. 72 For greater certainty, a Party may extend the protection afforded by this paragraph to circumstances in which a person engages without knowledge in the acts in subparagraphs (a), (b), and (c), and to other related right holders.</w:t>
      </w:r>
    </w:p>
    <w:p>
      <w:pPr>
        <w:pStyle w:val="Normal"/>
      </w:pPr>
      <w:r>
        <w:t>A Party may meet its obligation under this subparagraph if it provides effective protection for original compilations, provided that the acts described in this subparagraph are treated as infringements of copyright in those original compilations.</w:t>
      </w:r>
    </w:p>
    <w:p>
      <w:pPr>
        <w:pStyle w:val="Normal"/>
      </w:pPr>
      <w:r>
        <w:t>(c) distributes, imports for distribution, broadcasts, communicates, or makes available to the public copies of works, performances, or phonograms, knowing that RMI has been removed or altered without authority, is liable and subject to the remedies set out in Article 20.82 (Civil and Administrative Procedures and Remedies). 2. Each Party shall provide for criminal procedures and penalties to be applied if a person is found to have engaged willfully and for purposes of commercial advantage or financial gain in any of the activities referred to in paragraph 1. 3. A Party may provide that the criminal procedures and penalties do not apply to a non profit library, museum, archive, educational institution or public non-commercial broadcasting entity.74 4. For greater certainty, nothing prevents a Party from excluding from a measure that implements paragraphs 1 through 3 a lawfully authorized activity that is carried out for the purpose of law enforcement, essential security interests, or other related governmental purposes, such as the performance of a statutory function. 5.</w:t>
      </w:r>
    </w:p>
    <w:p>
      <w:pPr>
        <w:pStyle w:val="Normal"/>
      </w:pPr>
      <w:r>
        <w:t>For greater certainty, nothing in this Article obligates a Party to require a right holder in a work, performance, or phonogram to attach RMI to copies of the work, performance, or phonogram, or to cause RMI to appear in connection with a communication of the work, performance, or phonogram to the public. 6.</w:t>
      </w:r>
    </w:p>
    <w:p>
      <w:pPr>
        <w:pStyle w:val="Normal"/>
      </w:pPr>
      <w:r>
        <w:t>RMI means: (a) information that identifies a work, performance, or phonogram, the author of the work, the performer of the performance, or the producer of the phonogram; or the owner of a right in the work, performance, or phonogram; (b) information about the terms and conditions of the use of the work, performance, or phonogram; or (c) any numbers or codes that represent the information referred to in subparagraphs (a) and (b), if any of these items is attached to a copy of the work, performance, or phonogram or appears in connection with the communication or making available of a work, performance, or phonogram to the public. 74 For greater certainty, a Party may treat a broadcasting entity established without a profit-making purpose under its law as a public non-commercial broadcasting entity.</w:t>
      </w:r>
    </w:p>
    <w:p>
      <w:pPr>
        <w:pStyle w:val="Heading2"/>
      </w:pPr>
      <w:bookmarkStart w:id="900655" w:name="_Toc300000654"/>
      <w:r>
        <w:t xml:space="preserve">Article 20.69: Collective Management</w:t>
      </w:r>
      <w:bookmarkEnd w:id="900655"/>
    </w:p>
    <w:p>
      <w:pPr>
        <w:pStyle w:val="Normal"/>
      </w:pPr>
      <w:r>
        <w:t xml:space="preserve">The Parties recognize the important role of collective management societies for copyright and related rights in collecting and distributing royalties75 based on practices that are fair, efficient, transparent, and accountable, which may include appropriate record keeping and reporting mechanisms. Section I: Trade Secrets76, 77</w:t>
      </w:r>
    </w:p>
    <w:p>
      <w:pPr>
        <w:pStyle w:val="Heading2"/>
      </w:pPr>
      <w:bookmarkStart w:id="900656" w:name="_Toc300000655"/>
      <w:r>
        <w:t xml:space="preserve">Article 20.70: Protection of Trade Secrets</w:t>
      </w:r>
      <w:bookmarkEnd w:id="900656"/>
    </w:p>
    <w:p>
      <w:pPr>
        <w:pStyle w:val="Normal"/>
      </w:pPr>
      <w:r>
        <w:t xml:space="preserve">In the course of ensuring effective protection against unfair competition as provided in Article 10bis of the Paris Convention, each Party shall ensure that persons have the legal means to prevent trade secrets lawfully in their control from being disclosed to, acquired by, or used by others (including state-owned enterprises) without their consent in a manner contrary to honest commercial practices.</w:t>
      </w:r>
    </w:p>
    <w:p>
      <w:pPr>
        <w:pStyle w:val="Heading2"/>
      </w:pPr>
      <w:bookmarkStart w:id="900657" w:name="_Toc300000656"/>
      <w:r>
        <w:t xml:space="preserve">Article 20.71: Civil Protection and Enforcement</w:t>
      </w:r>
      <w:bookmarkEnd w:id="900657"/>
    </w:p>
    <w:p>
      <w:pPr>
        <w:pStyle w:val="Normal"/>
      </w:pPr>
      <w:r>
        <w:t xml:space="preserve">In fulfilling its obligation under paragraphs 1 and 2 of Article 39 of the TRIPS Agreement, each Party shall: (a) provide civil judicial procedures78 for any person lawfully in control of a trade secret to prevent, and obtain redress for, the misappropriation of the trade secret by any other person; and (b) not limit the duration of protection for a trade secret, so long as the conditions in Article 20.73 (Definitions) exist. 75 For greater certainty, royalties may include equitable remuneration. 76 For greater certainty, the enforcement obligations and principles set forth in Section J also apply to the obligations in this section, as relevant. For greater certainty, this Section is without prejudice to a Party’s measures protecting good faith lawful disclosures to provide evidence of a violation of that Party’s law. 78 For greater certainty, civil judicial procedures do not have to be federal provided that those procedures are available.</w:t>
      </w:r>
    </w:p>
    <w:p>
      <w:pPr>
        <w:pStyle w:val="Heading2"/>
      </w:pPr>
      <w:bookmarkStart w:id="900658" w:name="_Toc300000657"/>
      <w:r>
        <w:t xml:space="preserve">Article 20.72: Criminal Enforcement</w:t>
      </w:r>
      <w:bookmarkEnd w:id="900658"/>
    </w:p>
    <w:p>
      <w:pPr>
        <w:pStyle w:val="Normal"/>
      </w:pPr>
      <w:r>
        <w:t xml:space="preserve">1. Subject to paragraph 2, each Party shall provide for criminal procedures and penalties for the unauthorized and willful misappropriation79 of a trade secret. 2. With respect to the acts referred to in paragraph 1, a Party may, as appropriate, limit the availability of its procedures, or limit the level of penalties available, to one or more of the following cases in which the act is: (a) for the purposes of commercial advantage or financial gain; (b) related to a product or service in national or international commerce; or (c) intended to injure the owner of that trade secret.</w:t>
      </w:r>
    </w:p>
    <w:p>
      <w:pPr>
        <w:pStyle w:val="Heading2"/>
      </w:pPr>
      <w:bookmarkStart w:id="900659" w:name="_Toc300000658"/>
      <w:r>
        <w:t xml:space="preserve">Article 20.73: Definitions</w:t>
      </w:r>
      <w:bookmarkEnd w:id="900659"/>
    </w:p>
    <w:p>
      <w:pPr>
        <w:pStyle w:val="Normal"/>
      </w:pPr>
      <w:r>
        <w:t xml:space="preserve">For the purposes of this Section: trade secret means information that: (a) is secret in the sense that it is not, as a body or in the precise configuration and assembly of its components, generally known among or readily accessible to persons within the circles that normally deal with the kind of information in question; (b) has actual or potential commercial value because it is secret; and (c) has been subject to reasonable steps under the circumstances, by the person lawfully in control of the information, to keep it secret; misappropriation means the acquisition, use, or disclosure of a trade secret in a manner contrary to honest commercial practices, including the acquisition, use, or disclosure of a trade secret by a third party that knew, or had reason to know, that the trade secret was acquired in a manner contrary to honest commercial practices.80 Misappropriation does not include situations in which a person:</w:t>
      </w:r>
    </w:p>
    <w:p>
      <w:pPr>
        <w:pStyle w:val="Normal"/>
      </w:pPr>
      <w:r>
        <w:t>79 For the purposes of this Article, “willful misappropriation” requires a person to have known that the trade secret was acquired in a manner contrary to honest commercial practices. 80 For greater certainty, “misappropriation” as defined in this paragraph includes cases in which the acquisition, use, or disclosure involves a computer system.</w:t>
      </w:r>
    </w:p>
    <w:p>
      <w:pPr>
        <w:pStyle w:val="Normal"/>
      </w:pPr>
      <w:r>
        <w:t>(a) reverse engineered an item lawfully obtained; (b) independently discovered information claimed as a trade secret; or (c) acquired the subject information from another person in a legitimate without an obligation of confidentiality or knowledge that the informatio trade secret; and manner n was a manner contrary to honest commercial practices means at least practices such as breach of contract, breach of confidence, and inducement to breach, and includes the acquisition of undisclosed information by third parties that knew, or were grossly negligent in failing to know, that those practices were involved in the acquisition.</w:t>
      </w:r>
    </w:p>
    <w:p>
      <w:pPr>
        <w:pStyle w:val="Heading2"/>
      </w:pPr>
      <w:bookmarkStart w:id="900660" w:name="_Toc300000659"/>
      <w:r>
        <w:t xml:space="preserve">Article 20.74: Provisional Measures</w:t>
      </w:r>
      <w:bookmarkEnd w:id="900660"/>
    </w:p>
    <w:p>
      <w:pPr>
        <w:pStyle w:val="Normal"/>
      </w:pPr>
      <w:r>
        <w:t xml:space="preserve">In the civil judicial proceedings described in Article 20.71 (Civil Protection and Enforcement), each Party shall provide that its judicial authorities have the authority to order prompt and effective provisional measures, such as orders to prevent the misappropriation of the trade secret and to preserve relevant evidence.</w:t>
      </w:r>
    </w:p>
    <w:p>
      <w:pPr>
        <w:pStyle w:val="Heading2"/>
      </w:pPr>
      <w:bookmarkStart w:id="900661" w:name="_Toc300000660"/>
      <w:r>
        <w:t xml:space="preserve">Article 20.75: Confidentiality</w:t>
      </w:r>
      <w:bookmarkEnd w:id="900661"/>
    </w:p>
    <w:p>
      <w:pPr>
        <w:pStyle w:val="Normal"/>
      </w:pPr>
      <w:r>
        <w:t xml:space="preserve">In connection with the civil judicial proceedings described in Article 20.71 (Civil Protection and Enforcement), each Party shall provide that its civil judicial authorities have the authority to: (a) order specific procedures to protect the confidentiality of any trade secret, alleged trade secret, or any other information asserted by an interested party to be confidential; and (b) impose sanctions on parties, counsel, expert, or other person subject to those proceedings, related to violation of orders concerning the protection of a trade secret or alleged trade secret produced or exchanged in that proceeding, as well as other information asserted by an interested party to be confidential. Each Party shall further provide in its law that, in cases in which an interested party asserts information to be a trade secret, its judicial authorities shall not disclose that information without first providing that person with an opportunity to make a submission under seal that describes the interest of that person in keeping the information confidential.</w:t>
      </w:r>
    </w:p>
    <w:p>
      <w:pPr>
        <w:pStyle w:val="Heading2"/>
      </w:pPr>
      <w:bookmarkStart w:id="900662" w:name="_Toc300000661"/>
      <w:r>
        <w:t xml:space="preserve">Article 20.76: Civil Remedies</w:t>
      </w:r>
      <w:bookmarkEnd w:id="900662"/>
    </w:p>
    <w:p>
      <w:pPr>
        <w:pStyle w:val="Normal"/>
      </w:pPr>
      <w:r>
        <w:t xml:space="preserve">In connection with the civil judicial proceedings described in Article 20.71 (Civil Protection and Enforcement), each Party shall provide that its judicial authorities have the authority at least to order: (a) injunctive relief that conforms to Article 44 of the TRIPS Agreement against a person that misappropriated a trade secret; and (b) a person that misappropriated a trade secret to pay damages adequate to compensate the person lawfully in control of the trade secret for the injury suffered because of the misappropriation of the trade secret81 and, if appropriate, because of the proceedings to enforce the trade secret.</w:t>
      </w:r>
    </w:p>
    <w:p>
      <w:pPr>
        <w:pStyle w:val="Heading2"/>
      </w:pPr>
      <w:bookmarkStart w:id="900663" w:name="_Toc300000662"/>
      <w:r>
        <w:t xml:space="preserve">Article 20.77: Licensing and Transfer of Trade Secrets</w:t>
      </w:r>
      <w:bookmarkEnd w:id="900663"/>
    </w:p>
    <w:p>
      <w:pPr>
        <w:pStyle w:val="Normal"/>
      </w:pPr>
      <w:r>
        <w:t xml:space="preserve">No Party shall discourage or impede the voluntary licensing of trade secrets by imposing excessive or discriminatory conditions on those licenses or conditions that dilute the value of the trade secrets.</w:t>
      </w:r>
    </w:p>
    <w:p>
      <w:pPr>
        <w:pStyle w:val="Heading2"/>
      </w:pPr>
      <w:bookmarkStart w:id="900664" w:name="_Toc300000663"/>
      <w:r>
        <w:t xml:space="preserve">Article 20.78: Prohibition of Unauthorized Disclosure or Use of a Trade Secret by Government Officials Outside the Scope of Their Official Duties</w:t>
      </w:r>
      <w:bookmarkEnd w:id="900664"/>
    </w:p>
    <w:p>
      <w:pPr>
        <w:pStyle w:val="Normal"/>
      </w:pPr>
      <w:r>
        <w:t xml:space="preserve">1. In civil, criminal, and regulatory proceedings in which trade secrets may be submitted to a court or government entity, each Party shall prohibit the unauthorized disclosure of a trade secret by a government official at the central level of government outside the scope of that person’s official duties. 2. Each Party shall provide for in its law deterrent level penalties, including monetary fines, suspension or termination of employment, and imprisonment, to guard against the unauthorized disclosure of a trade secret described in paragraph 1. 81 For greater certainty, a Party may provide that the determination of damages is carried out after the determination of misappropriation. Section J: Enforcement</w:t>
      </w:r>
    </w:p>
    <w:p>
      <w:pPr>
        <w:pStyle w:val="Heading2"/>
      </w:pPr>
      <w:bookmarkStart w:id="900665" w:name="_Toc300000664"/>
      <w:r>
        <w:t xml:space="preserve">Article 20.79: General Obligations</w:t>
      </w:r>
      <w:bookmarkEnd w:id="900665"/>
    </w:p>
    <w:p>
      <w:pPr>
        <w:pStyle w:val="Normal"/>
      </w:pPr>
      <w:r>
        <w:t xml:space="preserve">1. Each Party shall ensure that enforcement procedures as specified in this Section are available under its law so as to permit effective action against an act of infringement of intellectual property rights covered by this Chapter, including expeditious remedies to prevent infringements and remedies that constitute a deterrent to future infringements.82 These procedures shall be applied in such a manner as to avoid the creation of barriers to legitimate trade and to provide for safeguards against their abuse. 2. Each Party confirms that the enforcement procedures set forth in Article 20.82 (Civil and Administrative Procedures and Remedies), Article 20.83 (Provisional Measures), and Article 20.85 (Criminal Procedures and Penalties) shall be available to the same extent with respect to acts of trademark infringement, as well as copyright or related rights infringement, in the digital environment. 3. Each Party shall ensure that its procedures concerning the enforcement of intellectual property rights are fair and equitable. These procedures shall not be unnecessarily complicated or costly, or entail unreasonable time-limits or unwarranted delays. 4.</w:t>
      </w:r>
    </w:p>
    <w:p>
      <w:pPr>
        <w:pStyle w:val="Normal"/>
      </w:pPr>
      <w:r>
        <w:t>This Section does not create any obligation: (a) to put in place a judicial system for the enforcement of intellectual property rights distinct from that for the enforcement of law in general, nor does it affect the capacity of each Party to enforce its law in general; or (b) with respect to the distribution of resources as between the enforcement of intellectual property rights and the enforcement of law in general. 5. In implementing this Section in its intellectual property system, each Party shall take into account the need for proportionality between the seriousness of the infringement of the intellectual property right and the applicable remedies and penalties, as well as the interests of third parties. 82 For greater certainty, and subject to Article 44 of the TRIPS Agreement and this Agreement, each Party confirms that it makes those remedies available with respect to enterprises, regardless of whether the enterprises are private or state-owned.</w:t>
      </w:r>
    </w:p>
    <w:p>
      <w:pPr>
        <w:pStyle w:val="Heading2"/>
      </w:pPr>
      <w:bookmarkStart w:id="900666" w:name="_Toc300000665"/>
      <w:r>
        <w:t xml:space="preserve">Article 20.80: Presumptions</w:t>
      </w:r>
      <w:bookmarkEnd w:id="900666"/>
    </w:p>
    <w:p>
      <w:pPr>
        <w:pStyle w:val="Normal"/>
      </w:pPr>
      <w:r>
        <w:t xml:space="preserve">1. In civil, criminal, and, if applicable, administrative proceedings involving copyright or related rights, each Party shall provide for a presumption83 that, in the absence of proof to the contrary: (a) the person whose name is indicated in the usual manner84 as the author, performer, or producer of the work, performance, or phonogram, or if applicable the publisher, is the designated right holder in that work, performance, or phonogram; and (b) the copyright or related right subsists in that subject matter. 2. In connection with the commencement of a civil, administrative, or criminal enforcement proceeding involving a registered trademark that has been substantively examined by its competent authority, each Party shall provide that the trademark be considered prima facie valid. 3. In connection with the commencement of a civil or administrative enforcement proceeding involving a patent that has been substantively examined and granted by the competent authority of a Party, that Party shall provide that each claim in the patent be considered prima facie to satisfy the applicable criteria of patentability in its territory.85, 86</w:t>
      </w:r>
    </w:p>
    <w:p>
      <w:pPr>
        <w:pStyle w:val="Heading2"/>
      </w:pPr>
      <w:bookmarkStart w:id="900667" w:name="_Toc300000666"/>
      <w:r>
        <w:t xml:space="preserve">Article 20.81: Enforcement Practices with Respect to Intellectual Property Rights</w:t>
      </w:r>
      <w:bookmarkEnd w:id="900667"/>
    </w:p>
    <w:p>
      <w:pPr>
        <w:pStyle w:val="Normal"/>
      </w:pPr>
      <w:r>
        <w:t xml:space="preserve">1. Each Party shall provide that final judicial decisions and administrative rulings of general application pertaining to the enforcement of intellectual property rights: 83 For greater certainty, a Party may implement this Article on the basis of sworn statements or documents having evidentiary value, such as statutory declarations. A Party may also provide that these presumptions are rebuttable presumptions that may be rebutted by evidence to the contrary. 84 For greater certainty, a Party may establish the means by which it shall determine what constitutes the “usual manner” for a particular physical support. 85 For greater certainty, if a Party provides its administrative authorities with the exclusive authority to determine the validity of a registered trademark or patent, nothing in paragraphs 2 and 3 shall prevent that Party’s competent authority from suspending enforcement procedures until the validity of the registered trademark or patent is determined by the administrative authority.</w:t>
      </w:r>
    </w:p>
    <w:p>
      <w:pPr>
        <w:pStyle w:val="Normal"/>
      </w:pPr>
      <w:r>
        <w:t>In those validity procedures, the party challenging the validity of the registered trademark or patent shall be required to prove that the registered trademark or patent is not valid. Notwithstanding this requirement, a Party may require the trademark holder to provide evidence of first use.</w:t>
      </w:r>
    </w:p>
    <w:p>
      <w:pPr>
        <w:pStyle w:val="Normal"/>
      </w:pPr>
      <w:r>
        <w:t>86 A Party may provide that this paragraph applies only to those patents that have been applied for, examined, and granted after the entry into force of this Agreement. (a) are in writing and preferably state any relevant findings of fact and the reasoning or the legal basis on which the decisions and rulings are based; and (b) are published87 or, if publication is not practicable, otherwise made available to the public in a national language in such a manner as to enable interested persons and Parties to become acquainted with them. 2. Each Party recognizes the importance of collecting and analyzing statistical data and other relevant information concerning infringements of intellectual property rights as well as collecting information on best practices to prevent and combat infringements. 3. Each Party shall publish or otherwise make available to the public information on its efforts to provide effective enforcement of intellectual property rights in its civil, administrative, and criminal systems, such as statistical information that the Party may collect for those purposes.</w:t>
      </w:r>
    </w:p>
    <w:p>
      <w:pPr>
        <w:pStyle w:val="Heading2"/>
      </w:pPr>
      <w:bookmarkStart w:id="900668" w:name="_Toc300000667"/>
      <w:r>
        <w:t xml:space="preserve">Article 20.82: Civil and Administrative Procedures and Remedies</w:t>
      </w:r>
      <w:bookmarkEnd w:id="900668"/>
    </w:p>
    <w:p>
      <w:pPr>
        <w:pStyle w:val="Normal"/>
      </w:pPr>
      <w:r>
        <w:t xml:space="preserve">1. Each Party shall make available to right holders civil judicial procedures concerning the enforcement of any intellectual property right covered in this Chapter.88 2. Each Party shall provide that its judicial authorities have the authority to order injunctive relief that conforms to Article 44 of the TRIPS Agreement, including to prevent goods that involve the infringement of an intellectual property right under the law of the Party providing that relief from entering into the channels of commerce. 3. Each Party shall provide89 that, in civil judicial proceedings, its judicial authorities have the authority at least to order the infringer to pay the right holder damages adequate to compensate for the injury the right holder has suffered because of an infringement of that person’s intellectual property right by an infringer who knowingly, or with reasonable grounds to know, engaged in infringing activity. 87 For greater certainty, a Party may satisfy the requirement for publication by making the decision or ruling available to the public online.</w:t>
      </w:r>
    </w:p>
    <w:p>
      <w:pPr>
        <w:pStyle w:val="Normal"/>
      </w:pPr>
      <w:r>
        <w:t>88 For the purposes of this Article, the term “right holders” includes those authorized licensees, federations, and associations that have the legal standing and authority to assert those rights. The term “authorized licensee” includes the exclusive licensee of any one or more of the exclusive intellectual property rights encompassed in a given intellectual property.</w:t>
      </w:r>
    </w:p>
    <w:p>
      <w:pPr>
        <w:pStyle w:val="Normal"/>
      </w:pPr>
      <w:r>
        <w:t>89 A Party may also provide that the right holder may not be entitled to any of the remedies set out in paragraphs 3, 5, and 7 if there is a finding of non-use of a trademark. For greater certainty, there is no obligation for a Party to provide for the possibility of any of the remedies in paragraphs 3, 5, 6, and 7 to be ordered in parallel. 4. In determining the amount of damages under paragraph 3, each Party’s judicial authorities shall have the authority to consider, among other things, any legitimate measure of value the right holder submits, which may include lost profits, the value of the infringed goods or services measured by the market price, or the suggested retail price. 5. At least in cases of copyright or related rights infringement and trademark counterfeiting, each Party shall provide that, in civil judicial proceedings, its judicial authorities have the authority to order the infringer, at least in cases described in paragraph 3, to pay the right holder the infringer’s profits that are attributable to the infringement.90 6.</w:t>
      </w:r>
    </w:p>
    <w:p>
      <w:pPr>
        <w:pStyle w:val="Normal"/>
      </w:pPr>
      <w:r>
        <w:t>In civil judicial proceedings with respect to the infringement of copyright or related rights protecting works, phonograms, or performances, each Party shall establish or maintain a system that provides for one or more of the following: (a) pre-established damages, which shall be available on the election of the right holder; or (b) additional damages.91 7.</w:t>
      </w:r>
    </w:p>
    <w:p>
      <w:pPr>
        <w:pStyle w:val="Normal"/>
      </w:pPr>
      <w:r>
        <w:t>In civil judicial proceedings with respect to trademark counterfeiting, each Party shall also establish or maintain a system that provides for one or more of the following: (a) pre-established damages, which shall be available on the election of the right holder; or (b) additional damages.92 8. Pre-established damages referred to in paragraphs 6 and 7 shall be in an amount sufficient to constitute a deterrent to future infringements and to compensate fully the right holder for the harm caused by the infringement. 9. In awarding additional damages referred to in paragraphs 6 and 7, judicial authorities shall have the authority to award those additional damages as they consider appropriate, having regard to all relevant matters, including the nature of the infringing conduct and the need to deter similar infringements in the future. 10.</w:t>
      </w:r>
    </w:p>
    <w:p>
      <w:pPr>
        <w:pStyle w:val="Normal"/>
      </w:pPr>
      <w:r>
        <w:t>Each Party shall provide that its judicial authorities, if appropriate, have the authority to order, at the conclusion of civil judicial proceedings concerning infringement of at least 90 A Party may comply with this paragraph by presuming those profits to be the damages referred to in paragraph 3. 91 For greater certainty, additional damages may include exemplary or punitive damages. 92 For greater certainty, additional damages may include exemplary or punitive damages.</w:t>
      </w:r>
    </w:p>
    <w:p>
      <w:pPr>
        <w:pStyle w:val="Normal"/>
      </w:pPr>
      <w:r>
        <w:t>copyright or related rights, patents, and trademarks, that the prevailing party be awarded payment by the losing party of court costs or fees and appropriate attorney’s fees, or any other expenses as provided for under the Party’s law. 11. If a Party’s judicial or other authorities appoint a technical or other expert in a civil proceeding concerning the enforcement of an intellectual property right and require that the parties in the proceeding pay the costs of that expert, that Party should seek to ensure that those costs are reasonable and related appropriately, among other things, to the quantity and nature of work to be performed and do not unreasonably deter recourse to those proceedings. 12. Each Party shall provide that in civil judicial proceedings: (a) at least with respect to pirated copyright goods and counterfeit trademark goods, its judicial authorities have the authority, at the right holder’s request, to order that the infringing goods be destroyed, except in exceptional circumstances, without compensation of any sort;</w:t>
      </w:r>
    </w:p>
    <w:p>
      <w:pPr>
        <w:pStyle w:val="Normal"/>
      </w:pPr>
      <w:r>
        <w:t>(b) its judicial authorities have the authority to order that materials and implements that have been used in the manufacture or creation of the infringing goods be, without compensation of any sort, promptly destroyed or, in exceptional circumstances, without compensation of any sort, disposed of outside the channels of commerce in such a manner as to minimize the risk of further infringement; and (c) in regard to counterfeit trademark goods,</w:t>
      </w:r>
    </w:p>
    <w:p>
      <w:pPr>
        <w:pStyle w:val="Normal"/>
      </w:pPr>
      <w:r>
        <w:t>the simple removal of the trademark unlawfully affixed is not sufficient, other than in exceptional circumstances, to permit the release of goods into the channels of commerce. 13. Without prejudice to its law governing privilege, the protection of confidentiality of information sources, or the processing of personal data, each Party shall provide that, in civil judicial proceedings concerning the enforcement of an intellectual property right, its judicial authorities have the authority, on a justified request of the right holder, to order the infringer or the alleged infringer, as applicable, to provide to the right holder or to the judicial authorities, at least for the purpose of collecting evidence, relevant information as provided for in its applicable laws and regulations that the infringer or alleged infringer possesses or controls. This information may include information regarding any person involved in any aspect of the infringement or alleged infringement and the means of production or the channels of distribution of the infringing or allegedly infringing goods or services, including the identification of third persons alleged to be involved in the production and distribution of the goods or services and of their channels of distribution. 14.</w:t>
      </w:r>
    </w:p>
    <w:p>
      <w:pPr>
        <w:pStyle w:val="Normal"/>
      </w:pPr>
      <w:r>
        <w:t>In cases in which a party in a proceeding voluntarily and without good reason refuses access to, or otherwise does not provide relevant evidence under its control within a reasonable period, or significantly impedes a proceeding relating to an enforcement action, each Party shall provide that its judicial authorities shall have the authority to make preliminary and final determinations, affirmative or negative, on the basis of the evidence presented, including the complaint or the allegation presented by the party adversely affected by the denial of access to evidence, subject to providing the parties an opportunity to be heard on the allegations or evidence. 15. Each Party shall ensure that its judicial authorities have the authority to order a party at whose request measures were taken and that has abused enforcement procedures to provide to a party wrongfully enjoined or restrained adequate compensation for the injury suffered because of that abuse. The judicial authorities shall also have the authority to order the applicant to pay the defendant expenses, which may include appropriate attorney’s fees. 16.</w:t>
      </w:r>
    </w:p>
    <w:p>
      <w:pPr>
        <w:pStyle w:val="Normal"/>
      </w:pPr>
      <w:r>
        <w:t>Each Party shall provide that in relation to a civil judicial proceeding concerning the enforcement of an intellectual property right, its judicial or other authorities have the authority to impose sanctions on a party, counsel, expert, or other person subject to the court’s jurisdiction for violation of judicial orders concerning the protection of confidential information produced or exchanged in that proceeding. 17. To the extent that a civil remedy can be ordered as a result of administrative procedures on the merits of a case, each Party shall provide that those procedures conform to principles equivalent in substance to those set out in this Article. 18. In civil judicial proceedings concerning the acts described in Article 20.67 (Technological Protection Measures) and Article 20.68 (Rights Management Information):</w:t>
      </w:r>
    </w:p>
    <w:p>
      <w:pPr>
        <w:pStyle w:val="Normal"/>
      </w:pPr>
      <w:r>
        <w:t>(a) each Party shall provide that its judicial authorities have the authority at least to:93 (i) impose provisional measures, including seizure or other taking into custody of devices and products suspected of being involved in the prohibited activity, (ii) order the type of damages available for copyright infringement, as provided under its law in accordance with this Article, (iii) order court costs, fees or expenses as provided for under paragraph 10, and (iv) order the destruction of devices and products found to be involved in the prohibited activity; and 93 For greater certainty, a Party may, but is not required to, put in place separate remedies in</w:t>
      </w:r>
    </w:p>
    <w:p>
      <w:pPr>
        <w:pStyle w:val="Normal"/>
      </w:pPr>
      <w:r>
        <w:t>respect of Article 20.67 (Technological Protection Measures) and 20.68 (Rights Management Information), if those remedies are available under its copyright law. (b) a Party may provide that damages are not available against a non-profit library, museum, archive, educational institution, or public non-commercial broadcasting entity, if it sustains the burden of proving that it was not aware or had no reason to believe that its acts constituted a prohibited activity.</w:t>
      </w:r>
    </w:p>
    <w:p>
      <w:pPr>
        <w:pStyle w:val="Heading2"/>
      </w:pPr>
      <w:bookmarkStart w:id="900669" w:name="_Toc300000668"/>
      <w:r>
        <w:t xml:space="preserve">Article 20.83: Provisional Measures</w:t>
      </w:r>
      <w:bookmarkEnd w:id="900669"/>
    </w:p>
    <w:p>
      <w:pPr>
        <w:pStyle w:val="Normal"/>
      </w:pPr>
      <w:r>
        <w:t xml:space="preserve">1. Each Party’s authorities shall act on a request for relief in respect of an intellectual property right inaudita altera parte expeditiously in accordance with that Party’s judicial rules. 2. Each Party shall provide that its judicial authorities have the authority to require the applicant for a provisional measure in respect of an intellectual property right to provide any reasonably available evidence in order to satisfy the judicial authority, with a sufficient degree of certainty, that the applicant’s right is being infringed or that the infringement is imminent, and to order the applicant to provide security or equivalent assurance set at a level sufficient to protect the defendant and to prevent abuse. That security or equivalent assurance shall not unreasonably deter recourse to those procedures. 3. In civil judicial proceedings concerning copyright or related rights infringement and trademark counterfeiting, each Party shall provide that its judicial authorities have the authority to order the seizure or other taking into custody of suspected infringing goods, materials, and implements relevant to the infringement, and, at least for trademark counterfeiting, documentary evidence relevant to the infringement.</w:t>
      </w:r>
    </w:p>
    <w:p>
      <w:pPr>
        <w:pStyle w:val="Heading2"/>
      </w:pPr>
      <w:bookmarkStart w:id="900670" w:name="_Toc300000669"/>
      <w:r>
        <w:t xml:space="preserve">Article 20.84: Special Requirements Related to Border Measures</w:t>
      </w:r>
      <w:bookmarkEnd w:id="900670"/>
    </w:p>
    <w:p>
      <w:pPr>
        <w:pStyle w:val="Normal"/>
      </w:pPr>
      <w:r>
        <w:t xml:space="preserve">1. Each Party shall provide for applications to suspend the release of, or to detain, suspected counterfeit or confusingly similar trademark or pirated copyright goods that are imported into the territory of the Party.94 2. Each Party shall provide that a right holder, submitting an application referred to in paragraph 1, to initiate procedures for the Party’s competent authorities95 to suspend release into 94 For the purposes of this Article:</w:t>
      </w:r>
    </w:p>
    <w:p>
      <w:pPr>
        <w:pStyle w:val="Normal"/>
      </w:pPr>
      <w:r>
        <w:t>(a) “counterfeit trademark goods” means goods, including packaging, bearing without authorization a trademark that is identical to the trademark validly registered in respect of those goods, or that cannot be distinguished in its essential aspects from such a trademark, and that thereby infringes the rights of the owner of the trademark in question under the law of the Party providing the procedures under this Section; and (b) “pirated copyright goods” means goods that are copies made without the consent of the right holder or person duly authorized by the right holder in the country of production and that are made directly or indirectly from an article when the making of that copy would have constituted an infringement of a copyright or a related right under the law of the Party providing the procedures under this Section.</w:t>
      </w:r>
    </w:p>
    <w:p>
      <w:pPr>
        <w:pStyle w:val="Normal"/>
      </w:pPr>
      <w:r>
        <w:t>free circulation of, or to detain, suspected counterfeit or confusingly similar trademark or pirated copyright goods, is required to: (a) provide adequate evidence to satisfy the competent authorities that, under the law of the Party providing the procedures, there is prima facie an infringement of the right holder’s intellectual property right; and (b) supply sufficient information that may reasonably be expected to be within the right holder’s knowledge to make the suspect goods reasonably recognizable by its competent authorities. The requirement to provide that information shall not unreasonably deter recourse to these procedures. 3. Each Party shall provide that its competent authorities have the authority to require a right holder submitting an application referred to in paragraph 1 to provide a reasonable security or equivalent assurance sufficient to protect the defendant and the competent authorities, and to prevent abuse. Each Party shall provide that such security or equivalent assurance does not unreasonably deter recourse to these procedures.</w:t>
      </w:r>
    </w:p>
    <w:p>
      <w:pPr>
        <w:pStyle w:val="Normal"/>
      </w:pPr>
      <w:r>
        <w:t>A Party may provide that the security may be in the form of a bond conditioned to hold the defendant harmless from any loss or damage resulting from any suspension of the release of goods in the event the competent authorities determine that the article is not an infringing good. 4.</w:t>
      </w:r>
    </w:p>
    <w:p>
      <w:pPr>
        <w:pStyle w:val="Normal"/>
      </w:pPr>
      <w:r>
        <w:t>Without prejudice to a Party’s law pertaining to privacy or the confidentiality of information: (a) if a Party’s competent authorities have detained or suspended the release of goods that are suspected of being counterfeit trademark or pirated copyright goods, that Party may provide that its competent authorities have the authority to inform the right holder without undue delay of the names and addresses of the consignor, exporter, consignee, or importer; a description of the goods; the quantity of the goods; and, if known, the country of origin of the goods;96 or (b) if a Party does not provide its competent authority with the authority referred to in subparagraph (a) when suspect goods are detained or suspended from release, it shall provide, at least in cases of imported goods, its competent authorities with the authority to provide the information specified in subparagraph (a) to the right holder normally within 30 working days of the seizure or determination that the goods are counterfeit trademark goods or pirated copyright goods.</w:t>
      </w:r>
    </w:p>
    <w:p>
      <w:pPr>
        <w:pStyle w:val="Normal"/>
      </w:pPr>
      <w:r>
        <w:t>95 For the purposes of this Article, unless otherwise specified, competent authorities may include the appropriate judicial, administrative, or law enforcement authorities under a Party’s law. 96 For greater certainty, a Party may establish reasonable procedures to receive or access that information. 5.</w:t>
      </w:r>
    </w:p>
    <w:p>
      <w:pPr>
        <w:pStyle w:val="Normal"/>
      </w:pPr>
      <w:r>
        <w:t>Each Party shall provide that its competent authorities may initiate border measures ex officio against suspected counterfeit trademark goods or pirated copyright goods under customs control97 that are: (a) imported; (b) destined for export; (c) in transit;98 and (d) admitted into or exiting from a free trade zone or a bonded warehouse. 6. Nothing in this Article precludes a Party from exchanging, if appropriate and with a view to eliminating international trade in counterfeit trademarked goods or pirated copyrighted goods, available information to another Party in respect of goods that it has examined without a local consignee and that are transshipped through its territory and are destined for the territory of the other Party, to inform that other Party’s efforts to identify suspect goods upon arrival in its territory. 7. Each Party shall adopt or maintain a procedure by which its competent authorities may determine within a reasonable period of time after the initiation of the procedures described in paragraphs 1 and 5, whether the suspect goods infringe an intellectual property right.</w:t>
      </w:r>
    </w:p>
    <w:p>
      <w:pPr>
        <w:pStyle w:val="Normal"/>
      </w:pPr>
      <w:r>
        <w:t>If a Party provides administrative procedures for the determination of an infringement, it may also provide its authorities with the authority to impose administrative penalties or sanctions, which may include fines or the seizure of the infringing goods following a determination that the goods are infringing. 8.</w:t>
      </w:r>
    </w:p>
    <w:p>
      <w:pPr>
        <w:pStyle w:val="Normal"/>
      </w:pPr>
      <w:r>
        <w:t>Each Party shall provide that its competent authorities have the authority to order the destruction of goods following a determination that the goods are infringing. In cases in which the goods are not destroyed, each Party shall ensure that, except in exceptional circumstances, the goods are disposed of outside the channels of commerce in such a manner as to avoid harm to the right holder. In regard to counterfeit trademark goods, the simple removal of the trademark unlawfully affixed shall not be sufficient, other than in exceptional cases, to permit the release of the goods into the channels of commerce. 97 For the purposes of this Article, “goods under customs control” means goods that are subject to a Party’s customs procedures. For the purposes of this Article, an “in-transit” good means a good that is under “Customs transit” or “transshipped,” as defined in the International Convention on the Simplification and Harmonization of Customs Procedures (as amended), done at Kyoto on May 18, 1973, as amended at Brussels on June 26, 1999. 9.</w:t>
      </w:r>
    </w:p>
    <w:p>
      <w:pPr>
        <w:pStyle w:val="Normal"/>
      </w:pPr>
      <w:r>
        <w:t>If a Party establishes or assesses, in connection with the procedures described in this Article, an application fee, storage fee, or destruction fee, that Party shall not set the fee at an amount that unreasonably deters recourse to these procedures. 10. This Article applies to goods of a commercial nature sent in small consignments.</w:t>
      </w:r>
    </w:p>
    <w:p>
      <w:pPr>
        <w:pStyle w:val="Normal"/>
      </w:pPr>
      <w:r>
        <w:t>A Party may exclude from the application of this Article small quantities of goods of a non-commercial nature contained in travelers’ personal luggage.99</w:t>
      </w:r>
    </w:p>
    <w:p>
      <w:pPr>
        <w:pStyle w:val="Heading2"/>
      </w:pPr>
      <w:bookmarkStart w:id="900671" w:name="_Toc300000670"/>
      <w:r>
        <w:t xml:space="preserve">Article 20.85: Criminal Procedures and Penalties</w:t>
      </w:r>
      <w:bookmarkEnd w:id="900671"/>
    </w:p>
    <w:p>
      <w:pPr>
        <w:pStyle w:val="Normal"/>
      </w:pPr>
      <w:r>
        <w:t xml:space="preserve">1. Each Party shall provide for criminal procedures and penalties to be applied at least in cases of willful trademark counterfeiting or copyright or related rights piracy on a commercial scale. In respect of willful copyright or related rights piracy, “on a commercial scale” includes: (a) acts carried out for commercial advantage or financial gain; and (b) significant acts, not carried out for commercial advantage or financial gain, that have a substantial prejudicial impact on the interests of the copyright or related rights holder in relation to the marketplace.100, 101 2. Each Party shall treat willful importation or exportation of counterfeit trademark goods or pirated copyright goods on a commercial scale as unlawful activities subject to criminal penalties.102 3. Each Party shall provide for criminal procedures and penalties to be applied in cases of willful importation103 and domestic use, in the course of trade and on a commercial scale, of a label or packaging:</w:t>
      </w:r>
    </w:p>
    <w:p>
      <w:pPr>
        <w:pStyle w:val="Normal"/>
      </w:pPr>
      <w:r>
        <w:t>99 For greater certainty, a Party may also exclude from the application of this Article small quantities of goods of a non-commercial nature sent in small consignments. 100 The Parties understand that a Party may comply with subparagraph (b) by addressing those significant acts under its criminal procedures and penalties for non-authorized uses of protected works, performances and phonograms in its law.</w:t>
      </w:r>
    </w:p>
    <w:p>
      <w:pPr>
        <w:pStyle w:val="Normal"/>
      </w:pPr>
      <w:r>
        <w:t>101 A Party may provide that the volume and value of any infringing items may be taken into account in determining whether the act has a substantial prejudicial impact on the interests of the copyright or related rights holder in relation to the marketplace. 102 The Parties understand that a Party may comply with its obligation under this paragraph by providing that distribution or sale of counterfeit trademark goods or pirated copyright goods on a commercial scale is an unlawful activity subject to criminal penalties. The Parties understand that criminal procedures and penalties as specified in paragraphs 1, 2, and 3 are applicable in any free trade zones in a Party. (a) to which a trademark has been applied without authorization that is identical to, or cannot be distinguished from, a trademark registered in its territory; and (b) that is intended to be used in the course of trade on goods or in relation to services that are identical to goods or services for which that trademark is registered. 4.</w:t>
      </w:r>
    </w:p>
    <w:p>
      <w:pPr>
        <w:pStyle w:val="Normal"/>
      </w:pPr>
      <w:r>
        <w:t>Each Party shall provide for criminal procedures to be applied against a person who, willfully and without the authorization of the holder104 of copyright or related rights in a cinematographic work, knowingly uses or attempts to use an audiovisual recording device to transmit or make a copy of the cinematographic work or any part thereof, from a performance of the motion picture or other audiovisual work in a movie theater or other venue that is being used primarily for the exhibition of a copyrighted motion picture. In addition to the criminal procedures, a Party may provide for administrative enforcement procedures. 5. With respect to the offenses for which this Article requires a Party to provide for criminal procedures and penalties, each Party shall ensure that criminal liability for aiding and abetting is available under its law. 6.</w:t>
      </w:r>
    </w:p>
    <w:p>
      <w:pPr>
        <w:pStyle w:val="Normal"/>
      </w:pPr>
      <w:r>
        <w:t>With respect to the offenses described in paragraphs 1 through 5, each Party shall provide: (a) penalties that include sentences of imprisonment as well as monetary fines sufficiently high to provide a deterrent to future acts of infringement, consistent with the level of penalties applied for crimes of a corresponding gravity;105 (b) that its judicial authorities have the authority, in determining penalties, to account for the seriousness of the circumstances, which may include circumstances that involve threats to, or effects on, health or safety;106 (c) that its judicial or other competent authorities have the authority to order the seizure of suspected counterfeit trademark goods or pirated copyright goods, any related materials and implements used in the commission of the alleged offense, 103 A Party may comply with its obligation relating to importation of labels or packaging through its measures concerning distribution. 104 For greater certainty, the theater or venue owner or operator shall be entitled to contact the criminal law enforcement authorities with respect to the suspected commission of the acts referred to in this provision.</w:t>
      </w:r>
    </w:p>
    <w:p>
      <w:pPr>
        <w:pStyle w:val="Normal"/>
      </w:pPr>
      <w:r>
        <w:t>For greater certainty, nothing in this paragraph expands or diminishes the existing rights and obligations of a theater or venue owner or operator with respect to the cinematographic work.</w:t>
      </w:r>
    </w:p>
    <w:p>
      <w:pPr>
        <w:pStyle w:val="Normal"/>
      </w:pPr>
      <w:r>
        <w:t>105 The Parties understand that there is no obligation for a Party to provide for the possibility of imprisonment and monetary fines to be imposed in parallel. 106 A Party may also account for those circumstances through a separate criminal offense. documentary evidence relevant to the alleged offense, and assets derived from, or obtained through the alleged infringing activity. If a Party requires identification of items subject to seizure as a prerequisite for issuing a judicial order referred to in this subparagraph, that Party shall not require the items to be described in greater detail than necessary to identify them for the purpose of seizure; (d) that its judicial authorities have the authority to order the forfeiture, at least for serious offenses, of any assets derived from or obtained through the infringing activity; (e) that its judicial authorities have the authority to order the forfeiture or destruction of:</w:t>
      </w:r>
    </w:p>
    <w:p>
      <w:pPr>
        <w:pStyle w:val="Normal"/>
      </w:pPr>
      <w:r>
        <w:t>(i) all counterfeit trademark goods or pirated copyright goods, (ii) materials and implements that have been predominantly used in the creation of pirated copyright goods or counterfeit trademark goods, and (iii) any other labels or packaging to which a counterfeit trademark has been applied and that have been used in the commission of the offense, In cases in which counterfeit trademark goods and pirated copyright goods are not destroyed, the judicial or other competent authorities shall ensure that, except in exceptional circumstances, those goods are</w:t>
      </w:r>
    </w:p>
    <w:p>
      <w:pPr>
        <w:pStyle w:val="Normal"/>
      </w:pPr>
      <w:r>
        <w:t>disposed of outside the channels of commerce in such a manner as to avoid causing any harm to the right holder. Each Party shall further provide that forfeiture or destruction under this subparagraph and subparagraph (d) occur without compensation of any kind to the defendant; (f) that its judicial or other competent authorities have the authority to release or, in the alternative, provide access to, goods, material, implements, and other evidence held by the relevant authority to a right holder for civil107 infringement proceedings; and (g) that its competent authorities may act upon their own initiative to initiate legal action without the need for a formal complaint by a third person or right holder. 7. With respect to the offenses described in paragraphs 1 through 5, a Party may provide that its judicial authorities have the authority to order the seizure or forfeiture of assets, or alternatively, a fine, the value of which corresponds to the assets derived from, or obtained directly or indirectly through, the infringing activity. 107 A Party may also provide this authority in connection with administrative infringement proceedings.</w:t>
      </w:r>
    </w:p>
    <w:p>
      <w:pPr>
        <w:pStyle w:val="Heading2"/>
      </w:pPr>
      <w:bookmarkStart w:id="900672" w:name="_Toc300000671"/>
      <w:r>
        <w:t xml:space="preserve">Article 20.86: Protection of Encrypted Program-Carrying Satellite and Cable Signals</w:t>
      </w:r>
      <w:bookmarkEnd w:id="900672"/>
    </w:p>
    <w:p>
      <w:pPr>
        <w:pStyle w:val="Normal"/>
      </w:pPr>
      <w:r>
        <w:t xml:space="preserve">1. Each Party shall make it a criminal offense to: (a) manufacture, assemble,108 modify, import, export,109 sell, or otherwise distribute a tangible or intangible device or system knowing or having reason to know110 that the device or system meets at least one of the following conditions: (i) it is intended to be used to assist, or (ii) it is primarily of assistance, in decoding an encrypted program-carrying satellite signal without the authorization of the lawful distributor111 of that signal;112 and (b) with respect to an encrypted program-carrying satellite signal, willfully: (i) receive113 that signal, or (ii) further distribute114 that signal, 108 For greater certainty, a Party may treat “assemble” as incorporated in “manufacture.” 109 The obligation regarding export may be met by making it a criminal offense to possess and distribute a device or system described in this paragraph.</w:t>
      </w:r>
    </w:p>
    <w:p>
      <w:pPr>
        <w:pStyle w:val="Normal"/>
      </w:pPr>
      <w:r>
        <w:t>110 For the purposes of this paragraph, a Party may provide that “having a reason to know” may be demonstrated through reasonable evidence, taking into account the facts and circumstances surrounding the alleged illegal act, as part of the Party’s “knowledge” requirements. A Party may treat “having reason to know” as meaning “willful negligence”.</w:t>
      </w:r>
    </w:p>
    <w:p>
      <w:pPr>
        <w:pStyle w:val="Normal"/>
      </w:pPr>
      <w:r>
        <w:t>111 With regard to the criminal offenses and penalties in paragraphs 1 and 3, a Party may require a demonstration of intent to avoid payment to the lawful distributor, or a demonstration of intent to otherwise secure a pecuniary benefit to which the recipient is not entitled. 112 For the purposes of this Article, a Party may provide that a “lawful distributor” means a person that has the lawful right in that Party’s territory to distribute the encrypted program carrying signal and authorize its decoding. 113 For greater certainty and for the purposes of paragraphs 1(b) and 3(b), a Party may provide that willful receipt of an encrypted program carrying satellite or cable signal means receipt and use of the signal, or means receipt and decoding of the signal. 114 For greater certainty, a Party may interpret “further distribute” as “retransmit to the public”. knowing that it has been decoded without the authorization of the lawful distributor of the signal. 2. Each Party shall provide for civil remedies for a person that holds an interest in an encrypted program-carrying satellite signal or its content and that is injured by an activity described in paragraph 1. 3.</w:t>
      </w:r>
    </w:p>
    <w:p>
      <w:pPr>
        <w:pStyle w:val="Normal"/>
      </w:pPr>
      <w:r>
        <w:t>Each Party shall provide for criminal penalties and civil115 remedies for willfully: (a) manufacturing or distributing equipment knowing that the equipment is intended to be used in the unauthorized reception of any encrypted program-carrying cable signal; and (b) receiving, or assisting another to receive,116 an encrypted program-carrying cable signal without authorization of the lawful distributor of the signal.</w:t>
      </w:r>
    </w:p>
    <w:p>
      <w:pPr>
        <w:pStyle w:val="Heading2"/>
      </w:pPr>
      <w:bookmarkStart w:id="900673" w:name="_Toc300000672"/>
      <w:r>
        <w:t xml:space="preserve">Article 20.87: Government Use of Software</w:t>
      </w:r>
      <w:bookmarkEnd w:id="900673"/>
    </w:p>
    <w:p>
      <w:pPr>
        <w:pStyle w:val="Normal"/>
      </w:pPr>
      <w:r>
        <w:t xml:space="preserve">1. Each Party recognizes the importance of promoting the adoption of measures to enhance government awareness of respect for intellectual property rights and of the detrimental effects of the infringement of intellectual property rights. 2. Each Party shall adopt or maintain appropriate laws, regulations, policies, orders, government-issued guidelines, or administrative or executive decrees that provide that its central government agencies use only non-infringing computer software protected by copyright and related rights, and, if applicable, only use that computer software in a manner authorized by the relevant license. These measures apply to the acquisition and management of the software for government use.</w:t>
      </w:r>
    </w:p>
    <w:p>
      <w:pPr>
        <w:pStyle w:val="Heading2"/>
      </w:pPr>
      <w:bookmarkStart w:id="900674" w:name="_Toc300000673"/>
      <w:r>
        <w:t xml:space="preserve">Article 20.88: Internet Service Providers</w:t>
      </w:r>
      <w:bookmarkEnd w:id="900674"/>
    </w:p>
    <w:p>
      <w:pPr>
        <w:pStyle w:val="Normal"/>
      </w:pPr>
      <w:r>
        <w:t xml:space="preserve">1. For the purpose of Article 20.89 (Legal Remedies and Safe Harbors), an Internet Service Provider is: (a) a provider of services for the transmission, routing, or providing of connections for digital online communications without modification of their content, 115 In providing for civil remedies, a Party may require a demonstration of injury. 116 A Party may comply with its obligation in respect of “assisting another to receive” by providing for criminal penalties to be available against a person willfully publishing any information in order to enable or assist another person to receive a signal without authorization of the lawful distributor of the signal. between or among points specified by a user, of material of the user’s choosing, undertaking the function in Article 20.89.2(a) (Legal Remedies and Safe Harbors); or (b) a provider of online services undertaking the functions in Article 20.89.2(b), Article 20.89.2(c), or Article 20.89.2(d) (Legal Remedies and Safe Harbors). 2. For the purposes of Article 20.89 (Legal Remedies and Safe Harbors), “copyright” includes related rights.</w:t>
      </w:r>
    </w:p>
    <w:p>
      <w:pPr>
        <w:pStyle w:val="Heading2"/>
      </w:pPr>
      <w:bookmarkStart w:id="900675" w:name="_Toc300000674"/>
      <w:r>
        <w:t xml:space="preserve">Article 20.89: Legal Remedies and Safe Harbors</w:t>
      </w:r>
      <w:r>
        <w:rPr>
          <w:vertAlign w:val="superscript"/>
        </w:rPr>
        <w:t xml:space="preserve">117</w:t>
      </w:r>
      <w:bookmarkEnd w:id="900675"/>
    </w:p>
    <w:p>
      <w:pPr>
        <w:pStyle w:val="Normal"/>
      </w:pPr>
      <w:r>
        <w:t xml:space="preserve">1. The Parties recognize the importance of facilitating the continued development of legitimate online services operating as intermediaries and, in a manner consistent with Article 41 of the TRIPS Agreement, providing enforcement procedures that permit effective and expeditious action by right holders against copyright infringement covered under this Chapter that occurs in the online environment. Accordingly, each Party shall ensure that legal remedies are available for right holders to address that copyright infringement and shall establish or maintain appropriate safe harbors in respect of online services that are Internet Service Providers. This framework of legal remedies and safe harbors shall include: (a) legal incentives for Internet Service Providers to cooperate with copyright owners to deter the unauthorized storage and transmission of copyrighted materials or, in the alternative, to take other action to deter the unauthorized storage and transmission of copyrighted materials; and (b) limitations in its law that have the effect of precluding monetary relief against Internet Service Providers for copyright infringements that they do not control, initiate or direct, and that take place through systems or networks controlled or operated by them or on their behalf. 2.</w:t>
      </w:r>
    </w:p>
    <w:p>
      <w:pPr>
        <w:pStyle w:val="Normal"/>
      </w:pPr>
      <w:r>
        <w:t>The limitations described in paragraph 1(b) shall include limitations in respect of the following functions: (a) transmitting, routing, or providing connections for material without modification of its content or the intermediate and transient storage of that material done automatically in the course of such a technical process;118 117 Annex 20-A (Annex to Section J) applies to Articles 20.89.3, 20.89.4, and 20.89.6. 118 The Parties understand that these limitations shall apply only where the Internet Service Provider does not initiate the chain of transmission of the materials, and does not select the material or its recipients. (b) caching carried out through an automated process; (c) storage, at the direction of a user, of material residing on a system or network controlled or operated by or for the Internet Service Provider; and (d) referring or linking users to an online location by using information location tools, including hyperlinks and directories. 3.</w:t>
      </w:r>
    </w:p>
    <w:p>
      <w:pPr>
        <w:pStyle w:val="Normal"/>
      </w:pPr>
      <w:r>
        <w:t>To facilitate effective action to address infringement, each Party shall prescribe in its law conditions for Internet Service Providers to qualify for the limitations described in paragraph 1(b), or, alternatively, shall provide for circumstances under which Internet Service Providers do not qualify for the limitations described in paragraph 1(b):119 (a) With respect to the functions referred to in paragraphs 2(c) and 2(d), these conditions shall include a requirement for Internet Service Providers to expeditiously remove or disable access to material residing on their networks or systems upon obtaining actual knowledge of the copyright infringement or becoming aware of facts or circumstances from which the infringement is apparent, such as through receiving a notice120 of alleged infringement from the right holder or a person authorized to act on its behalf. (b) An Internet Service Provider that removes or disables access to material in good faith under subparagraph (a) shall be exempt from any liability for having done so, provided that it takes reasonable steps in advance or promptly after to notify the person whose material is removed or disabled.121 4.</w:t>
      </w:r>
    </w:p>
    <w:p>
      <w:pPr>
        <w:pStyle w:val="Normal"/>
      </w:pPr>
      <w:r>
        <w:t>For the purposes of the functions referred to in paragraphs 2(c) and 2(d), each Party shall establish appropriate procedures in its laws or regulations for effective notices of claimed infringement, and effective counter-notices by those whose material is removed or disabled 119 The Parties understand that a Party that has yet to implement the obligations in paragraphs 3 and 4 will do so in a manner that is both effective and consistent with that Party’s existing constitutional provisions. To that end, a Party may establish an appropriate role for the government that does not impair the timeliness of the process provided in paragraphs 3 and 4, and does not entail advance government review of each individual notice. 120 For greater certainty, a notice of alleged infringement, as may be set out under a Party’s law, must contain information that: (a) is reasonably sufficient to enable the Internet Service Provider to identify the work, performance or phonogram claimed to be infringed, the alleged infringing material, and the online location of the alleged infringement; and (b) has a sufficient indicia of reliability with respect to the authority of the person sending the notice.</w:t>
      </w:r>
    </w:p>
    <w:p>
      <w:pPr>
        <w:pStyle w:val="Normal"/>
      </w:pPr>
      <w:r>
        <w:t>121 With respect to the function in paragraph 2(b), a Party may limit the requirements of paragraph 3 related to an Internet Service Provider removing or disabling access to material to circumstances in which the Internet Service Provider becomes aware or receives notification that the cached material has been removed or access to it has been disabled at the originating site. through mistake or misidentification. If material has been removed or access has been disabled in accordance with paragraph 3, that Party shall require that the Internet Service Provider restores the material that is the subject of a counter-notice, unless the person giving the original notice seeks relief through civil judicial proceedings within a reasonable period of time as set forth in that Party’s laws or regulations. 5. Each Party shall ensure that monetary remedies are available in its legal system against a person that makes a knowing material misrepresentation in a notice or counter-notice that causes injury to any interested party122 as a result of an Internet Service Provider relying on the misrepresentation. 6.</w:t>
      </w:r>
    </w:p>
    <w:p>
      <w:pPr>
        <w:pStyle w:val="Normal"/>
      </w:pPr>
      <w:r>
        <w:t>Eligibility for the limitations in paragraph 1 shall be conditioned on the Internet Service Provider: (a) adopting and reasonably implementing a policy that provides for termination in appropriate circumstances of the accounts of repeat infringers; (b) accommodating and not interfering with standard technical measures accepted in the Party’s territory that protect and identify copyrighted material, that are developed through an open, voluntary process by a broad consensus of copyright owners and service providers, that are available on reasonable and non-discriminatory terms, and that do not impose substantial costs on service providers or substantial burdens on their systems or networks; and (c) with respect to the functions identified in paragraphs 2(c) and 2(d), not receiving a financial benefit directly attributable to the infringing activity, in circumstances where it has the right and ability to control such activity. 7. Eligibility for the limitations identified in paragraph 1 shall not be conditioned on the Internet Service Provider monitoring its service or affirmatively seeking facts indicating infringing activity, except to the extent consistent with the technical measures identified in paragraph 6(b). 8.</w:t>
      </w:r>
    </w:p>
    <w:p>
      <w:pPr>
        <w:pStyle w:val="Normal"/>
      </w:pPr>
      <w:r>
        <w:t>Each Party shall provide procedures, whether judicial or administrative, in accordance with its legal system, and consistent with principles of due process and privacy, that enable a copyright owner that has made a legally sufficient claim of copyright infringement to obtain expeditiously from an Internet Service Provider information in the provider’s possession identifying the alleged infringer, in cases in which that information is sought for the purpose of protecting or enforcing that copyright. 122 For greater certainty, the Parties understand that, “any interested party” may be limited to those with a legal interest recognized under that Party’s law. 9. The Parties understand that the failure of an Internet Service Provider to qualify for the limitations in paragraph 1(b) does not itself result in liability. Further, this Article is without prejudice to the availability of other limitations and exceptions to copyright, or any other defenses under a Party’s legal system. 10. The Parties recognize the importance, in implementing their obligations under this Article, of taking into account the impact on the right holders and Internet Service Providers. Section K: Final Provisions</w:t>
      </w:r>
    </w:p>
    <w:p>
      <w:pPr>
        <w:pStyle w:val="Heading2"/>
      </w:pPr>
      <w:bookmarkStart w:id="900676" w:name="_Toc300000675"/>
      <w:r>
        <w:t xml:space="preserve">Article 20.90: Final Provisions</w:t>
      </w:r>
      <w:bookmarkEnd w:id="900676"/>
    </w:p>
    <w:p>
      <w:pPr>
        <w:pStyle w:val="Normal"/>
      </w:pPr>
      <w:r>
        <w:t xml:space="preserve">1. Except as otherwise provided in Article 20.10 (Application of Chapter to Existing Subject Matter and Prior Acts) and paragraphs 2 and 3, each Party shall implement the provisions of this Chapter on the date of entry into force of this Agreement. 2. During the relevant periods set out below, a Party shall not amend an existing measure or adopt a new measure that is less consistent with its obligations under the Articles referred to below for that Party than relevant measures that are in effect on the date of signature of this Agreement. 3. With regard to obligations subject to a transition period, Mexico shall fully implement its obligations under the provisions of this Chapter no later than the expiration of the relevant time period specified below, which begins on the date of entry into force of this Agreement: (a) Article 20.7 (International Agreements), UPOV 1991, four years; (b) Article 20.45 (Protection of Undisclosed Test or Other Data for Agricultural Chemical Products), five years; (c) Article 20.46 (Patent Term Adjustment for Unreasonable Curtailment), 4.5 years;</w:t>
      </w:r>
    </w:p>
    <w:p>
      <w:pPr>
        <w:pStyle w:val="Normal"/>
      </w:pPr>
      <w:r>
        <w:t>(d) Article 20.48 (Protection of Undisclosed Test or Other Data), five years; (e) Article 20.49 (Biologics), five years; (f) Article 20.71 (Civil Protection and Enforcement), Article 20.74 (Provisional Measures) and Article 20.76 (Civil Remedies), five years; and (g) Articles 20.88 (Internet Service Providers) and 20.89 (Legal Remedies and Safe Harbors), three years. 4.</w:t>
      </w:r>
    </w:p>
    <w:p>
      <w:pPr>
        <w:pStyle w:val="Normal"/>
      </w:pPr>
      <w:r>
        <w:t>With regard to obligations subject to a transition period, Canada shall fully implement its obligations under the provisions of this Chapter no later than the expiration of the relevant time period specified below, which begins on the date of entry into force of this Agreement. (a) Article 20.7.2(f) (International Agreements), four years; (b) Article 20.44 (Patent Term Adjustment for Unreasonable Granting Authority Delays), 4.5 years; (c) Article 20.49 (Biologics), five years; and (d) Article 20.63(a) (Term of Protection for Copyright and Related Rights), 2.5 years.</w:t>
      </w:r>
    </w:p>
    <w:p>
      <w:pPr>
        <w:pStyle w:val="Heading2"/>
      </w:pPr>
      <w:bookmarkStart w:id="900677" w:name="_Toc300000676"/>
      <w:r>
        <w:t xml:space="preserve">ANNEX 20-A ANNEX TO SECTION J</w:t>
      </w:r>
      <w:bookmarkEnd w:id="900677"/>
    </w:p>
    <w:p>
      <w:pPr>
        <w:pStyle w:val="Normal"/>
      </w:pPr>
      <w:r>
        <w:t xml:space="preserve">1. In order to facilitate the enforcement of copyright online and to avoid unwarranted market disruption in the online environment, Articles 20.89.3, 20.89.4, and 20.89.6 (Legal Remedies and Safe Harbors) shall not apply to a Party provided that, as from the date of agreement in principle of this Agreement, the Party continues to: (a) prescribe in its law circumstances under which Internet Service Providers do not qualify for the limitations described in Article 20.89.1(b) (Legal Remedies and Safe Harbors); (b) provide statutory secondary liability for copyright infringement in cases in which a person, by means of the Internet or another digital network, provides a service primarily for the purpose of enabling acts of copyright infringement, in relation to factors set out in its law, such as: (i) whether the person marketed or promoted the service as one that could be used to enable acts of copyright infringement; (ii) whether the person had knowledge that the service was used to enable a significant number of acts of copyright infringement;</w:t>
      </w:r>
    </w:p>
    <w:p>
      <w:pPr>
        <w:pStyle w:val="Normal"/>
      </w:pPr>
      <w:r>
        <w:t>(iii) whether the service has significant uses other than to enable acts of copyright infringement; (iv) the person’s ability, as part of providing the service, to limit acts of copyright infringement, and any action taken by the person to do so; (v) any benefits the person received as a result of enabling the acts of copyright infringement; and (vi) the economic viability of the service if it were not used</w:t>
      </w:r>
    </w:p>
    <w:p>
      <w:pPr>
        <w:pStyle w:val="Normal"/>
      </w:pPr>
      <w:r>
        <w:t>to enable acts of copyright infringement; (c) require Internet Service Providers carrying out the functions referred to in Article 20.89.2(a) and (c) (Legal Remedies and Safe Harbors) to participate in a system for forwarding notices of alleged infringement, including if material is made available online, and if the Internet Service Provider fails to do so, subjecting that provider to pre-established monetary damages for that failure; 20-A-1 (d) induce Internet Service Providers offering information location tools to remove within a specified period of time any reproductions of material that they make, and communicate to the public, as part of offering the information location tool upon receiving a notice of alleged infringement and after the original material has been removed from the electronic location set out in the notice; and (e) induce Internet Service Providers carrying out the function referred to in Article 20.89.2(c) (Legal Remedies and Safe Harbors) to remove or disable access to material upon becoming aware of a decision of a court of that Party to the effect that the person storing the material infringes copyright in the material. 2.</w:t>
      </w:r>
    </w:p>
    <w:p>
      <w:pPr>
        <w:pStyle w:val="Normal"/>
      </w:pPr>
      <w:r>
        <w:t>For a Party to which Articles 20.89.3, 20.89.4, and 20.89.6 (Legal Remedies and Safe Harbors) do not apply pursuant to paragraph 1, and in light of, among other things, paragraph 1(b), for the purposes of Article 20.89.1(a), legal incentives shall not mean the conditions for Internet Service Providers to qualify for the limitations provided for in Article 20.89.1(b), as set out in Article 20.89.3. 3. Pursuant to paragraph 1, for a Party to which Articles 20.89.3, 20.89.4, and 20.89.6 (Legal Remedies and Safe Harbors) do not apply: (a) the term “modification” in paragraphs 20.88.1(a) and 20.89.2(a) does not include modifications made for solely technical reasons such as division into packets; and (b) with regard to paragraph 20.89.7, “except to the extent consistent with the technical measures identified in paragraph 6(b)” does not apply. 20-A-2</w:t>
      </w:r>
    </w:p>
    <w:p>
      <w:pPr>
        <w:pStyle w:val="Heading1"/>
      </w:pPr>
      <w:bookmarkStart w:id="900678" w:name="_Toc300000677"/>
      <w:r>
        <w:t>CHAPTER 21 COMPETITION POLICY</w:t>
      </w:r>
      <w:bookmarkEnd w:id="900678"/>
    </w:p>
    <w:p>
      <w:pPr>
        <w:pStyle w:val="Heading2"/>
      </w:pPr>
      <w:bookmarkStart w:id="900679" w:name="_Toc300000678"/>
      <w:r>
        <w:t xml:space="preserve">Article 21.1: Competition Law and Authorities</w:t>
      </w:r>
      <w:bookmarkEnd w:id="900679"/>
    </w:p>
    <w:p>
      <w:pPr>
        <w:pStyle w:val="Normal"/>
      </w:pPr>
      <w:r>
        <w:t xml:space="preserve">1. Each Party shall maintain national competition laws that proscribe anticompetitive business conduct to promote competition in order to increase economic efficiency and consumer welfare, and shall take appropriate action with respect to that conduct. 2. Each Party shall endeavor to apply its national competition laws to all commercial activities in its territory. This does not prevent a Party from applying its national competition laws to commercial activities outside its borders that have an appropriate nexus to its jurisdiction. 3. Each Party may provide for certain exemptions from the application of its national competition laws provided that those exemptions are transparent, established in its law, and based on public interest or public policy grounds. 4. Each Party shall maintain a national competition authority or authorities (national competition authorities) responsible for the enforcement of its national competition laws. 5.</w:t>
      </w:r>
    </w:p>
    <w:p>
      <w:pPr>
        <w:pStyle w:val="Normal"/>
      </w:pPr>
      <w:r>
        <w:t>Each Party shall ensure that the enforcement policies of its national competition authorities include: (a) treating persons of another Party no less favorably than persons of the Party in like circumstances; (b) considering, if applicable, the effect of enforcement activities on related enforcement activities by a national competition authority of another Party; and (c) limiting remedies relating to conduct or assets outside the Party’s territory to situations in which there is an appropriate nexus to harm or threatened harm affecting the Party’s territory or commerce.</w:t>
      </w:r>
    </w:p>
    <w:p>
      <w:pPr>
        <w:pStyle w:val="Heading2"/>
      </w:pPr>
      <w:bookmarkStart w:id="900680" w:name="_Toc300000679"/>
      <w:r>
        <w:t xml:space="preserve">Article 21.2: Procedural Fairness in Competition Law Enforcement</w:t>
      </w:r>
      <w:bookmarkEnd w:id="900680"/>
    </w:p>
    <w:p>
      <w:pPr>
        <w:pStyle w:val="Normal"/>
      </w:pPr>
      <w:r>
        <w:t xml:space="preserve">1. For the purposes of this Article, “enforcement proceeding” means a judicial or administrative proceeding following an investigation into the alleged violation of the national competition laws and does not include matters occurring before a grand jury. 2. Each Party shall ensure that its national competition authorities: (a) provide transparency, including in writing, regarding the applicable competition laws, regulations, and procedural rules pursuant to which national competition law investigations and enforcement proceedings are conducted; (b) conduct their investigations subject to definitive deadlines or within a reasonable time frame, if the investigations are not subject to definitive deadlines; (c) afford to a person a reasonable opportunity to be represented by legal counsel, including by: (i) allowing, at the person’s request, counsel’s participation in all meetings or proceedings between the national competition authority and the person.</w:t>
      </w:r>
    </w:p>
    <w:p>
      <w:pPr>
        <w:pStyle w:val="Normal"/>
      </w:pPr>
      <w:r>
        <w:t>This sub-subparagraph does not apply to matters occurring before a grand jury, ex parte proceedings, or to searches conducted pursuant to judicial warrants, and (ii) recognizing a privilege, as acknowledged by its law, if not waived, for lawful confidential communications between the counsel and the person if the communications concern the soliciting or rendering of legal advice; and (d) with respect to reviews of merger transactions, permit early consultations between the national competition authority and the merging persons to provide their views concerning the transaction, including on potentially dispositive issues. 3. Each Party shall ensure that all information that its national competition authorities obtain during investigations and reviews, and that its law protects as confidential or privileged is not disclosed, subject to applicable legal exceptions. 4. Each Party shall ensure that its national competition authorities do not state or imply in any public notice confirming or revealing the existence of a pending or ongoing investigation against a particular person that that person has in fact violated the Party’s national competition laws. 5.</w:t>
      </w:r>
    </w:p>
    <w:p>
      <w:pPr>
        <w:pStyle w:val="Normal"/>
      </w:pPr>
      <w:r>
        <w:t>Each Party shall ensure that its national competition authorities1 have the ultimate burden of establishing the legal and factual basis for an alleged violation in an enforcement proceeding; however, a Party may require that a person against whom that allegation is made be responsible for establishing certain defenses to the allegation. 1 For Canada, this includes the public prosecutor for criminal prosecutions. 6. Each Party shall ensure that all final decisions in contested civil or administrative matters finding a violation of its national competition laws are in writing and set out the findings of fact and conclusions of law on which they are based. Each Party shall make public those final decisions, with the exception of any confidential material contained therein. 7. Each Party shall ensure that before it imposes a sanction or remedy against a person for a violation of its national competition laws, it affords the person a reasonable opportunity to: (a) obtain information regarding the national competition authority’s concerns, including identification of the specific competition laws alleged to have been violated;</w:t>
      </w:r>
    </w:p>
    <w:p>
      <w:pPr>
        <w:pStyle w:val="Normal"/>
      </w:pPr>
      <w:r>
        <w:t>(b) engage with the relevant national competition authority at key points on significant legal, factual, and procedural issues; (c) have access to information that is necessary to prepare an adequate defense if the person contests the allegations in an enforcement proceeding; however, a national competition authority is not obliged to produce information</w:t>
      </w:r>
    </w:p>
    <w:p>
      <w:pPr>
        <w:pStyle w:val="Normal"/>
      </w:pPr>
      <w:r>
        <w:t>that is not already in its possession. If a Party’s national competition authority2 introduces or will introduce confidential information in an enforcement proceeding, the Party shall, as permissible under its law, allow the person under investigation or its legal counsel timely access to that information; (d) be heard and present evidence in its defense, including rebuttal evidence, and, whenever relevant, the analysis of a properly qualified expert; (e) cross-examine any witness testifying in an enforcement proceeding; and (f) contest an allegation that the person has violated national competition laws before an impartial judicial or administrative authority, provided that in the case of an administrative authority, the decision-making body must be independent of the unit offering evidence in support of the allegation; except that a Party may provide for these opportunities within a reasonable time after it imposes an interim measure. 8.</w:t>
      </w:r>
    </w:p>
    <w:p>
      <w:pPr>
        <w:pStyle w:val="Normal"/>
      </w:pPr>
      <w:r>
        <w:t>Each Party shall provide a person that is subject to the imposition of a fine, sanction, or remedy for violation of its national competition laws with the opportunity to seek judicial review by a court or independent tribunal, including review of alleged substantive or procedural errors, unless the person voluntarily agreed to the imposition of the fine, sanction, or remedy. 2 For Canada, this includes the public prosecutor for criminal prosecutions. 9.</w:t>
      </w:r>
    </w:p>
    <w:p>
      <w:pPr>
        <w:pStyle w:val="Normal"/>
      </w:pPr>
      <w:r>
        <w:t>Each Party shall ensure that criteria used for calculating a fine for a violation of national competition laws are transparent. If a Party imposes a fine as a penalty for a non-criminal violation of its national competition laws that is based on the person’s revenue or profit, it shall ensure that the calculation considers revenue or profit relating to the Party’s territory. 10. Each Party’s national competition authority shall maintain measures to preserve all relevant evidence, including exculpatory evidence, that it collected as part of an enforcement proceeding until the review is exhausted.</w:t>
      </w:r>
    </w:p>
    <w:p>
      <w:pPr>
        <w:pStyle w:val="Heading2"/>
      </w:pPr>
      <w:bookmarkStart w:id="900681" w:name="_Toc300000680"/>
      <w:r>
        <w:t xml:space="preserve">Article 21.3: Cooperation</w:t>
      </w:r>
      <w:bookmarkEnd w:id="900681"/>
    </w:p>
    <w:p>
      <w:pPr>
        <w:pStyle w:val="Normal"/>
      </w:pPr>
      <w:r>
        <w:t xml:space="preserve">1. The Parties recognize the importance of cooperation and coordination between their respective national competition authorities to foster effective competition law enforcement in the free trade area. Accordingly, the Parties’ national competition authorities shall endeavor to cooperate in relation to their enforcement laws and policies, including through investigative assistance, notification, consultation, and exchange of information. 2. The Parties shall seek to further strengthen cooperation and coordination between their respective national competition authorities, particularly regarding those commercial practices that hinder market efficiency and reduce consumer welfare within the free trade area. 3. Each Party shall adopt or maintain measures sufficient to permit negotiations of cooperation instruments that may address, among other matters, enhanced information sharing and mutual legal assistance. 4. The Parties’ national competition authorities shall seek to cooperate with respect to their competition policies and in the enforcement of their respective national competition laws, which may include coordination of investigations that raise common law enforcement concerns. This cooperation shall be compatible with each Party’s law and important interests, in accordance with their law governing legal privilege and disclosure of business secrets and other confidential information, and within reasonably available resources.</w:t>
      </w:r>
    </w:p>
    <w:p>
      <w:pPr>
        <w:pStyle w:val="Normal"/>
      </w:pPr>
      <w:r>
        <w:t>The Parties’ national competition authorities may cooperate on the basis of mechanisms that exist or may be developed. 5. Recognizing that the Parties can benefit by sharing their diverse experience in developing, implementing, and enforcing their national competition laws and policies, the Parties’ national competition authorities shall consider undertaking mutually agreed technical cooperation activities, including training programs. 6. The Parties acknowledge the importance of cooperation and coordination internationally and the work of multilateral organizations in this area, including the Competition Committee of the Organisation for Economic Co-operation and Development, and the International Competition Network.</w:t>
      </w:r>
    </w:p>
    <w:p>
      <w:pPr>
        <w:pStyle w:val="Heading2"/>
      </w:pPr>
      <w:bookmarkStart w:id="900682" w:name="_Toc300000681"/>
      <w:r>
        <w:t xml:space="preserve">Article 21.4: Consumer Protection</w:t>
      </w:r>
      <w:bookmarkEnd w:id="900682"/>
    </w:p>
    <w:p>
      <w:pPr>
        <w:pStyle w:val="Normal"/>
      </w:pPr>
      <w:r>
        <w:t xml:space="preserve">1. The Parties recognize the importance of consumer protection policy and enforcement to creating efficient and competitive markets, and enhancing consumer welfare in the free trade area. 2. Each Party shall adopt or maintain national consumer protection laws or other laws or regulations that proscribe fraudulent and deceptive commercial activities, recognizing that the enforcement of those laws and regulations is in the public interest. The laws and regulations a Party adopts or maintains to proscribe these activities may be civil or criminal in nature. 3. The Parties recognize that fraudulent and deceptive commercial activities increasingly transcend national borders and that cooperation and coordination between the Parties to address these activities effectively is important and in the public interest. 4. The Parties shall promote, as appropriate, cooperation and coordination on matters of mutual interest related to fraudulent and deceptive commercial activities, including in the enforcement of their consumer protection laws through activities such as the exchange of consumer complaints and other enforcement information. That cooperation and coordination may be based on cooperation mechanisms in existence. Each Party shall protect confidential information in accordance with its law, including business information. 5.</w:t>
      </w:r>
    </w:p>
    <w:p>
      <w:pPr>
        <w:pStyle w:val="Normal"/>
      </w:pPr>
      <w:r>
        <w:t>The Parties shall endeavor to cooperate and coordinate on the matters set out in this Article through the relevant national public bodies or officials responsible for consumer protection policy, law, or enforcement, as determined by each Party and compatible with their respective law and important interests, and within their reasonably available resources.</w:t>
      </w:r>
    </w:p>
    <w:p>
      <w:pPr>
        <w:pStyle w:val="Heading2"/>
      </w:pPr>
      <w:bookmarkStart w:id="900683" w:name="_Toc300000682"/>
      <w:r>
        <w:t xml:space="preserve">Article 21.5: Transparency</w:t>
      </w:r>
      <w:bookmarkEnd w:id="900683"/>
    </w:p>
    <w:p>
      <w:pPr>
        <w:pStyle w:val="Normal"/>
      </w:pPr>
      <w:r>
        <w:t xml:space="preserve">1. The Parties recognize the value of making competition enforcement and advocacy policies as transparent as possible. 2. On request of another Party, a Party shall make available to the requesting Party public information concerning: (a) its national competition law enforcement policies and practices; and (b) exemptions and immunities to its national competition laws, provided that the request specifies the particular good or service and market of concern and includes information explaining how the exemption or immunity may hinder trade or investment between the Parties.</w:t>
      </w:r>
    </w:p>
    <w:p>
      <w:pPr>
        <w:pStyle w:val="Heading2"/>
      </w:pPr>
      <w:bookmarkStart w:id="900684" w:name="_Toc300000683"/>
      <w:r>
        <w:t xml:space="preserve">Article 21.6: Consultations</w:t>
      </w:r>
      <w:bookmarkEnd w:id="900684"/>
    </w:p>
    <w:p>
      <w:pPr>
        <w:pStyle w:val="Normal"/>
      </w:pPr>
      <w:r>
        <w:t xml:space="preserve">1. In order to foster understanding between the Parties, or to address specific matters that arise under this Chapter, on request of another Party, a Party shall enter into consultations with the requesting Party. In its request, the requesting Party shall indicate, if relevant, how the matter affects trade or investment between the Parties. 2. The Party addressed shall accord full and sympathetic consideration to the concerns of the requesting Party. 3. To facilitate discussion of the matter that is the subject of the consultations, each Party shall endeavor to provide relevant non-confidential, non-privileged information to the other Party.</w:t>
      </w:r>
    </w:p>
    <w:p>
      <w:pPr>
        <w:pStyle w:val="Heading2"/>
      </w:pPr>
      <w:bookmarkStart w:id="900685" w:name="_Toc300000684"/>
      <w:r>
        <w:t xml:space="preserve">Article 21.7: Non-Application of Dispute Settlement</w:t>
      </w:r>
      <w:bookmarkEnd w:id="900685"/>
    </w:p>
    <w:p>
      <w:pPr>
        <w:pStyle w:val="Normal"/>
      </w:pPr>
      <w:r>
        <w:t xml:space="preserve">No Party shall have recourse to dispute settlement under Chapter 14 (Investment) or Chapter 31 (Dispute Settlement) for a matter arising under this Chapter.</w:t>
      </w:r>
    </w:p>
    <w:p>
      <w:pPr>
        <w:pStyle w:val="Heading1"/>
      </w:pPr>
      <w:bookmarkStart w:id="900686" w:name="_Toc300000685"/>
      <w:r>
        <w:t>CHAPTER 22 STATE-OWNED ENTERPRISES AND DESIGNATED MONOPOLIES</w:t>
      </w:r>
      <w:bookmarkEnd w:id="900686"/>
    </w:p>
    <w:p>
      <w:pPr>
        <w:pStyle w:val="Heading2"/>
      </w:pPr>
      <w:bookmarkStart w:id="900687" w:name="_Toc300000686"/>
      <w:r>
        <w:t xml:space="preserve">Article 22.1: Definitions</w:t>
      </w:r>
      <w:bookmarkEnd w:id="900687"/>
    </w:p>
    <w:p>
      <w:pPr>
        <w:pStyle w:val="Normal"/>
      </w:pPr>
      <w:r>
        <w:t xml:space="preserve">For the purposes of this Chapter:</w:t>
      </w:r>
    </w:p>
    <w:p>
      <w:pPr>
        <w:pStyle w:val="Normal"/>
      </w:pPr>
      <w:r>
        <w:t>Arrangement means the Arrangement on Officially Supported Export Credits, developed within the framework of the Organization for Economic Cooperation and Development (OECD), or a successor undertaking, whether developed within or outside of the OECD framework, that has been adopted by at least 12 original WTO Members that were Participants to the Arrangement as of January 1, 1979; commercial activities means activities that an enterprise undertakes with an orientation toward profitmaking1 and that result in the production of a good or supply of a service that will be sold to a consumer in the relevant market in quantities and at prices determined by the enterprise;2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designate means to establish, name, or authorize a monopoly, or to expand the scope of a monopoly to cover an additional good or service;</w:t>
      </w:r>
    </w:p>
    <w:p>
      <w:pPr>
        <w:pStyle w:val="Normal"/>
      </w:pPr>
      <w:r>
        <w:t>designated monopoly means a privately owned monopoly that is designated after the date of entry into force of this Agreement and a government monopoly that a Party designates or has designated; financial services supplier, financial institution, and financial services have the same meaning as in Article 17.1</w:t>
      </w:r>
    </w:p>
    <w:p>
      <w:pPr>
        <w:pStyle w:val="Normal"/>
      </w:pPr>
      <w:r>
        <w:t>(Definitions); government monopoly means a monopoly that is owned, or controlled through ownership interests, by a Party or by another government monopoly; independent pension fund means an enterprise that is owned, or controlled through ownership interests, by a Party that: 1 For greater certainty, activities undertaken by an enterprise that operates on a notforprofit basis or on a cost recovery basis are not activities undertaken with an orientation toward profitmaking. For greater certainty, measures of general application to the relevant market shall not be construed as the determination by a Party of pricing, production, or supply decisions of an enterprise. 221 (a) is engaged exclusively in the following activities: (i) administering or providing a plan for pension, retirement, social security, disability, death, or employee benefits, or any combination thereof solely for the benefit of natural persons who are contributors to such a plan or their beneficiaries, or (ii) investing the assets of these plans;</w:t>
      </w:r>
    </w:p>
    <w:p>
      <w:pPr>
        <w:pStyle w:val="Normal"/>
      </w:pPr>
      <w:r>
        <w:t>(b) has a fiduciary duty to the natural persons referred to in subparagraph (a)(i); and (c) is not subject to investment direction by the government of the Party;3 market means the geographical and commercial market for a good or service; monopoly means an entity, including a consortium or government agency that, in a relevant market in the territory of a Party, is designated as the sole provider or purchaser of a good or service, but does not include an entity</w:t>
      </w:r>
    </w:p>
    <w:p>
      <w:pPr>
        <w:pStyle w:val="Normal"/>
      </w:pPr>
      <w:r>
        <w:t>that has been granted an exclusive intellectual property right solely by reason of the grant; non-commercial assistance4 means assistance that is limited to certain enterprises, and: (a) “assistance” means the following forms of assistance: (i) direct transfers of funds or potential direct transfers of funds or liabilities, such as: (A) grants or debt forgiveness, (B) loans, loan guarantees, or other types of financing on terms more favorable than those commercially available to that enterprise, or (C) equity capital inconsistent with the usual investment practice (including for the provision of risk capital) of private investors, 3 Investment direction from the government of a Party does not include general guidance with respect to risk management and asset allocation that is not inconsistent with usual investment practice and is not demonstrated solely by the presence of government officials on the enterprise’s board of directors or investment panel. 4 For greater certainty, non-commercial assistance does not include a Party’s transfer of funds, collected from contributors to a plan for pension, retirement, social security, disability, death or employee benefits, or any combination thereof, to an independent pension fund for investment on behalf of the contributors and their beneficiaries.</w:t>
      </w:r>
    </w:p>
    <w:p>
      <w:pPr>
        <w:pStyle w:val="Normal"/>
      </w:pPr>
      <w:r>
        <w:t>222 (ii) the provision of goods or the supply of services other than general infrastructure, on terms more favorable than those commercially available to the enterprise, or (iii) the purchase of goods on terms more favorable than those commercially available to the enterprise; (b) “certain enterprises” means an enterprise or industry or group of enterprises or industries; (c) “limited to certain enterprises” means that the Party or any of the Party’s state enterprises or state-owned enterprises, or a combination thereof:</w:t>
      </w:r>
    </w:p>
    <w:p>
      <w:pPr>
        <w:pStyle w:val="Normal"/>
      </w:pPr>
      <w:r>
        <w:t>(i) explicitly limits access to the assistance to certain enterprises, (ii) provides assistance to a limited number of certain enterprises, (iii) provides assistance which is predominantly used by certain enterprises, (iv) provides a disproportionately large amount of the assistance to certain enterprises, or (v) otherwise favors certain enterprises through the use of its discretion in the provision of assistance;5 and (d) assistance that falls under Article 22.6.1, Article 22.6.2, or Article 22.6.3 (Non Commercial Assistance) shall be deemed to be “limited to certain enterprises”; public service mandate means a government mandate pursuant to which a state-owned enterprise makes available a service, directly or indirectly, to the general public in its territory;6 state-owned enterprise means an enterprise that is principally engaged in commercial activities, and in which a Party: (a) directly or indirectly7 owns more than 50 percent of the share capital;</w:t>
      </w:r>
    </w:p>
    <w:p>
      <w:pPr>
        <w:pStyle w:val="Normal"/>
      </w:pPr>
      <w:r>
        <w:t>5 For greater certainty, assistance that is limited, in law or fact, to state enterprises or state-owned enterprises of a Party, or a combination thereof, is “limited to certain enterprises”. 6 For greater certainty, a service to the general public includes the distribution of goods and the supply of general infrastructure services. 7 For the purposes of this definition, the term “indirectly” refers to situations in which a Party holds an ownership interest in an enterprise through one or more state enterprises of that Party. At each level of the ownership chain, the state enterprise – either alone or in combination with other state enterprises – must own, or control through ownership interests, another enterprise. 223 (b) controls, through direct or indirect ownership interests, the exercise of more than 50 percent of the voting rights; (c) holds the power to control the enterprise through any other ownership interest, including indirect or minority ownership;8 or (d) holds the power to appoint a majority of members of the board of directors or any other equivalent management body.</w:t>
      </w:r>
    </w:p>
    <w:p>
      <w:pPr>
        <w:pStyle w:val="Heading2"/>
      </w:pPr>
      <w:bookmarkStart w:id="900688" w:name="_Toc300000687"/>
      <w:r>
        <w:t xml:space="preserve">Article 22.2: Scope</w:t>
      </w:r>
      <w:bookmarkEnd w:id="900688"/>
    </w:p>
    <w:p>
      <w:pPr>
        <w:pStyle w:val="Normal"/>
      </w:pPr>
      <w:r>
        <w:t xml:space="preserve">1. This Chapter applies to the activities of state-owned enterprises, state enterprises, or designated monopolies of a Party that affect or could affect trade or investment between Parties within the free trade area. This Chapter also applies to the activities of state-owned enterprises of a Party that cause adverse effects in the market of a non-Party as provided in Article 22.7 (Adverse Effects). 2. This Chapter does not apply to: (a) the regulatory or supervisory activities, or monetary and related credit policy and exchange rate policy, of a central bank or monetary authority of a Party; (b) the regulatory or supervisory activities of a financial regulatory body of a Party, including a nongovernmental body, such as a securities or futures exchange or market, clearing agency, or other organization or association, that exercises regulatory or supervisory authority over financial services suppliers; or (c) activities undertaken by a Party or one of its state enterprises or state-owned enterprises for the purpose of the resolution of a failing or failed financial institution or any other failing or failed enterprise principally engaged in the supply of financial services. 3.</w:t>
      </w:r>
    </w:p>
    <w:p>
      <w:pPr>
        <w:pStyle w:val="Normal"/>
      </w:pPr>
      <w:r>
        <w:t>This Chapter does not apply to: (a) an independent pension fund of a Party; or 8 For the purposes of this subparagraph, a Party holds the power to control the enterprise if, through an ownership interest, it can determine or direct important matters affecting the enterprise, excluding minority shareholder protections. In determining whether a Party has this power, all relevant legal and factual elements shall be taken into account on a casebycase basis. Those elements may include the power to determine or direct commercial operations, including major expenditures or investments; issuances of equity or significant debt offerings; or the restructuring, merger, or dissolution of the enterprise. 224 (b) an enterprise owned or controlled by an independent pension fund of a Party, except:</w:t>
      </w:r>
    </w:p>
    <w:p>
      <w:pPr>
        <w:pStyle w:val="Normal"/>
      </w:pPr>
      <w:r>
        <w:t>(i) Article 22.6.1, Article 22.6.2, Article 22.6.4, and Article 22.6.6 (Non Commercial Assistance) apply only to a Party’s direct or indirect provision of non-commercial assistance to an enterprise owned or controlled by an independent pension fund, and (ii) Article 22.6.1, Article 22.6.2, Article 22.6.4, and Article 22.6.6 (Non Commercial Assistance) apply only to a Party’s indirect provision of non-commercial assistance through an enterprise owned or controlled by an independent pension fund. 4. This Chapter does not apply to government procurement. 5.</w:t>
      </w:r>
    </w:p>
    <w:p>
      <w:pPr>
        <w:pStyle w:val="Normal"/>
      </w:pPr>
      <w:r>
        <w:t xml:space="preserve">Nothing in this Chapter shall be construed to prevent a Party from: (a) establishing or maintaining a state enterprise or a state-owned enterprise; or (b) designating a monopoly. 6. Article 22.4 (Non-Discriminatory Treatment and Commercial Considerations), Article 22.6 (Non-Commercial Assistance), and Article 22.10 (Transparency) do not apply to a service supplied in the exercise of governmental authority.9 7. Article 22.4.l(b), Article 22.4.l(c), Article 22.4.2(b), and Article 22.4.2(c) (Non Discriminatory Treatment and Commercial Considerations) do not apply to the extent that a Party’s state-owned enterprise or designated monopoly makes purchases and sales of goods or services pursuant to: (a) an existing nonconforming measure that the Party maintains, continues, renews or amends in accordance with Article 14.12.1 (Non-Conforming Measures), Article 15.7.1 (Non-Conforming Measures) or Article 17.10.1 (Non-Conforming Measures), as set out in its Schedule to Annex I or in Section A of its Schedule to Annex III; or (b) a nonconforming measure that the Party adopts or maintains with respect to sectors, subsectors, or activities in accordance with Article 14.12.2 (Non Conforming Measures), Article 15.7.2 (Non-Conforming Measures) or Article 17.10.2 (Non-Conforming Measures), as set out in its Schedule to Annex II or in Section B of its Schedule to Annex III.</w:t>
      </w:r>
    </w:p>
    <w:p>
      <w:pPr>
        <w:pStyle w:val="Normal"/>
      </w:pPr>
      <w:r>
        <w:t>For the purposes of this paragraph, “a service supplied in the exercise of governmental authority” has the same meaning as in the GATS, including the meaning in its Financial Services Annex if applicable. 225</w:t>
      </w:r>
    </w:p>
    <w:p>
      <w:pPr>
        <w:pStyle w:val="Heading2"/>
      </w:pPr>
      <w:bookmarkStart w:id="900689" w:name="_Toc300000688"/>
      <w:r>
        <w:t xml:space="preserve">Article 22.3: Delegated Authority</w:t>
      </w:r>
      <w:bookmarkEnd w:id="900689"/>
    </w:p>
    <w:p>
      <w:pPr>
        <w:pStyle w:val="Normal"/>
      </w:pPr>
      <w:r>
        <w:t xml:space="preserve">Consistent with Article 1.3 (Persons Exercising Delegated Governmental Authority), each Party shall ensure that if its state-owned enterprises, state enterprises, or designated monopolies exercise regulatory, administrative, or other governmental authority that the Party has directed or delegated to those entities to carry out, those entities act in a manner that is not inconsistent with that Party’s obligations under this Agreement.10</w:t>
      </w:r>
    </w:p>
    <w:p>
      <w:pPr>
        <w:pStyle w:val="Heading2"/>
      </w:pPr>
      <w:bookmarkStart w:id="900690" w:name="_Toc300000689"/>
      <w:r>
        <w:t xml:space="preserve">Article 22.4: Non-Discriminatory Treatment and Commercial Considerations</w:t>
      </w:r>
      <w:bookmarkEnd w:id="900690"/>
    </w:p>
    <w:p>
      <w:pPr>
        <w:pStyle w:val="Normal"/>
      </w:pPr>
      <w:r>
        <w:t xml:space="preserve">1. Each Party shall ensure that each of its state-owned enterprises, when engaging in commercial activities: (a) acts in accordance with commercial considerations in its purchase or sale of a good or service, except to fulfil the terms of its public service mandate that are not inconsistent with subparagraphs (b) or (c)(ii); (b) in its purchase of a good or service:</w:t>
      </w:r>
    </w:p>
    <w:p>
      <w:pPr>
        <w:pStyle w:val="Normal"/>
      </w:pPr>
      <w: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a good or service:</w:t>
      </w:r>
    </w:p>
    <w:p>
      <w:pPr>
        <w:pStyle w:val="Normal"/>
      </w:pPr>
      <w:r>
        <w:t>(i)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 enterprises in the relevant 10 Examples of regulatory, administrative, or other governmental authority include the power to expropriate, grant</w:t>
      </w:r>
    </w:p>
    <w:p>
      <w:pPr>
        <w:pStyle w:val="Normal"/>
      </w:pPr>
      <w:r>
        <w:t>licenses, approve commercial transactions, or impose quotas, fees, or other charges. 226 market in the Party’s territory that are investments of investors of the Party, of another Party or of a non-Party.11 2. Each Party shall ensure that each of its designated monopolies: (a) acts in accordance with commercial considerations in its purchase or sale of the monopoly good or service in the relevant market, except to fulfil any terms of its designation that are not inconsistent with subparagraphs (b), (c), or (d); (b) in its purchase of the monopoly good or service:</w:t>
      </w:r>
    </w:p>
    <w:p>
      <w:pPr>
        <w:pStyle w:val="Normal"/>
      </w:pPr>
      <w: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the monopoly good or service: (i)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w:t>
      </w:r>
    </w:p>
    <w:p>
      <w:pPr>
        <w:pStyle w:val="Normal"/>
      </w:pPr>
      <w:r>
        <w:t>enterprises in the relevant market in the Party’s territory that are investments of investors of the Party, of another Party or of a non-Party; and (d) does not use its monopoly position to engage in, either directly or indirectly, including through its dealings with its parent, subsidiaries, or other entities the Party or the designated monopoly owns, anticompetitive practices in a non monopolized market in its territory that negatively affect trade or investment between the Parties. 3. Paragraphs 1(b) and 1(c) and paragraphs 2(b) and 2(c) do not preclude a state-owned enterprise or designated monopoly from: 11 Article 22.4.1 (Non-Discriminatory Treatment and Commercial Considerations) does not apply with respect to the purchase or sale of shares, stock, or other forms of equity by a state-owned enterprise as a means of its equity participation in another enterprise. 227 (a) purchasing or selling goods or services on different terms or conditions including those relating to price; or (b) refusing to purchase or sell goods or services, provided that this differential treatment or refusal is undertaken in accordance with commercial considerations.</w:t>
      </w:r>
    </w:p>
    <w:p>
      <w:pPr>
        <w:pStyle w:val="Heading2"/>
      </w:pPr>
      <w:bookmarkStart w:id="900691" w:name="_Toc300000690"/>
      <w:r>
        <w:t xml:space="preserve">Article 22.5: Courts and Administrative Bodies</w:t>
      </w:r>
      <w:bookmarkEnd w:id="900691"/>
    </w:p>
    <w:p>
      <w:pPr>
        <w:pStyle w:val="Normal"/>
      </w:pPr>
      <w:r>
        <w:t xml:space="preserve">1. Each Party shall provide its courts with jurisdiction over civil claims against an enterprise owned or controlled through ownership interests by a foreign government based on a commercial activity carried on in its territory.12 This shall not be construed to require a Party to provide jurisdiction over those claims if it does not provide jurisdiction over similar claims against enterprises that are not owned or controlled through ownership interests by a foreign government. 2. Each Party shall ensure that any administrative body that the Party establishes or maintains that regulates a state-owned enterprise exercises its regulatory discretion in an impartial manner with respect to enterprises that it regulates, including enterprises that are not state-owned enterprises.</w:t>
      </w:r>
    </w:p>
    <w:p>
      <w:pPr>
        <w:pStyle w:val="Heading2"/>
      </w:pPr>
      <w:bookmarkStart w:id="900692" w:name="_Toc300000691"/>
      <w:r>
        <w:t xml:space="preserve">Article 22.6: Non-Commercial Assistance</w:t>
      </w:r>
      <w:bookmarkEnd w:id="900692"/>
    </w:p>
    <w:p>
      <w:pPr>
        <w:pStyle w:val="Normal"/>
      </w:pPr>
      <w:r>
        <w:t xml:space="preserve">1. The following forms of non-commercial assistance, if provided to a state-owned enterprise primarily engaged in the production or sale of goods other than electricity, are prohibited:13 (a) loans or loan guarantees provided by a state enterprise or state-owned enterprise of a Party to an uncreditworthy state-owned enterprise of that Party;14 12 This paragraph shall not be construed to preclude a Party from providing its courts with jurisdiction over claims against enterprises owned or controlled through ownership interests by a foreign government other than those claims referred to in this paragraph. 13 Article 22.6.1, Article 22.6.2, and Article 22.6.3 (Non-Commercial Assistance) do not apply to state-owned enterprises of a Party that are primarily engaged in the construction of general infrastructure such as bridges, highways, ports, or railways (including intercity or urban railways), if (i) the infrastructure is located, in whole or in part, within the territory of the Party; and (ii) neither access to nor use of the infrastructure is limited to certain enterprises, unless those enterprises access or use the infrastructure primarily to supply a service to the general public within the territory of the Party.</w:t>
      </w:r>
    </w:p>
    <w:p>
      <w:pPr>
        <w:pStyle w:val="Normal"/>
      </w:pPr>
      <w:r>
        <w:t>14 A state-owned enterprise is “uncreditworthy” if, at the time the terms of the financing were agreed upon, the 228 (b) non-commercial assistance provided by a Party or a state enterprise or state owned enterprise of a Party to a state-owned enterprise of that Party, in circumstances where the recipient is insolvent15 or on the brink of insolvency,16 without a credible restructuring plan designed to return the state-owned enterprise within a reasonable period of time to longterm viability; or (c) conversion by a Party or a state enterprise or state-owned enterprise of a Party of the outstanding debt of a state-owned enterprise of that Party to equity, in circumstances where this would be inconsistent with the usual investment practice of a private investor.17 2. No Party shall provide, either directly or indirectly,18 non-commercial assistance referred to in paragraphs 1(b) and 1(c). 3. Each Party shall ensure that its state enterprises and state-owned enterprises do not provide, either directly or indirectly, non-commercial assistance referred to in paragraphs 1(a), 1(b), and 1(c). 4.</w:t>
      </w:r>
    </w:p>
    <w:p>
      <w:pPr>
        <w:pStyle w:val="Normal"/>
      </w:pPr>
      <w:r>
        <w:t>No Party shall cause19 adverse effects to the interests of another Party through the use of non-commercial assistance that it provides, either directly or indirectly, to its state-owned enterprises with respect to: state-owned enterprise’s financial position would preclude it from obtaining longterm financing from conventional commercial sources (that is, bank loans and nonspeculative grade bond issues). To determine whether a state owned enterprise is creditworthy, all relevant legal and factual elements must be taken into consideration on a case bycase basis. These elements may include whether a creditor would have reasonable assurance of repayment of contractual debt obligations in a timely manner, for instance, from the cash flow and assets of the business. 15 A state-owned enterprise is “insolvent” if it is unable to meet its debt obligations as they become due.</w:t>
      </w:r>
    </w:p>
    <w:p>
      <w:pPr>
        <w:pStyle w:val="Normal"/>
      </w:pPr>
      <w:r>
        <w:t>Insolvency exists, for example, where (i) the state-owned enterprise has failed to make required payments due to an inability to service the debt obligations; or (ii) the state-owned enterprise has filed for bankruptcy, has been determined by a court to be bankrupt or insolvent, or is subject to court supervision, for purposes of either reorganization or liquidation of the enterprise. 16 A state-owned enterprise is “on the brink of insolvency” if it will likely be unable to meet its debt obligations at any point over the next 12 months.</w:t>
      </w:r>
    </w:p>
    <w:p>
      <w:pPr>
        <w:pStyle w:val="Normal"/>
      </w:pPr>
      <w:r>
        <w:t>To determine whether a state-owned enterprise is on the brink of insolvency, primary consideration shall be given to opinions of independent credit rating agencies and independent accounting firms issued in the ordinary course of business, if available. To the extent relevant, additional factual evidence concerning the ability of the state-owned enterprise to meet its debt obligations may also be taken into account. 17 With respect to Mexico, the obligations set out in Article 22.6.1, Article 22.6.2, and Article 22.6.3 (Non Commercial Assistance) are subject to the additional provisions of Annex 22F (Non-Commercial Assistance to Certain State Productive Enterprises). 18 For greater certainty, indirect provision includes the situation in which a Party entrusts or directs an enterprise that is not a state-owned enterprise to provide non-commercial assistance. 229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5.</w:t>
      </w:r>
    </w:p>
    <w:p>
      <w:pPr>
        <w:pStyle w:val="Normal"/>
      </w:pPr>
      <w:r>
        <w:t>Each Party shall ensure that its state enterprises and state-owned enterprises do not cause adverse effects to the interests of another Party through the use of non-commercial assistance that the state enterprise or state-owned enterprise provides to a state-owned enterprise of the Party with respect to: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6. No Party shall cause injury to a domestic industry20 of another Party through the use of non-commercial assistance that it provides, either directly or indirectly, to any of its state-owned enterprises that is a covered investment in the territory of that other Party in circumstances in which:</w:t>
      </w:r>
    </w:p>
    <w:p>
      <w:pPr>
        <w:pStyle w:val="Normal"/>
      </w:pPr>
      <w:r>
        <w:t>(a) the non-commercial assistance is provided with respect to the production and sale of a good by the state-owned enterprise in the territory of the other Party; and (b) a like good is produced and sold in the territory of the other Party by the domestic industry of that other Party.21 19 For the purposes of paragraphs 4 and 5, it must be demonstrated that the adverse effects claimed have been caused by the non-commercial assistance.</w:t>
      </w:r>
    </w:p>
    <w:p>
      <w:pPr>
        <w:pStyle w:val="Normal"/>
      </w:pPr>
      <w:r>
        <w:t>Thus, the non-commercial assistance must be examined within the context of other possible causal factors to ensure an appropriate attribution of causality. 20 The term “domestic industry” refers to the domestic producers as a whole of the like good, or to those domestic producers whose collective output of the like good constitutes a major proportion of the total domestic production of the like good, excluding the state-owned enterprise that is a covered investment that has received the non commercial assistance referred to in this paragraph. 21 In situations of material retardation of the establishment of a domestic industry, it is understood that a domestic industry may not yet produce and sell the like good. However, in these situations, there must be evidence that a prospective domestic producer has made a substantial commitment to commence production and sales of the like good. 2210 7. A service supplied by a state-owned enterprise of a Party within that Party’s territory shall be deemed not to cause adverse effects.22</w:t>
      </w:r>
    </w:p>
    <w:p>
      <w:pPr>
        <w:pStyle w:val="Heading2"/>
      </w:pPr>
      <w:bookmarkStart w:id="900693" w:name="_Toc300000692"/>
      <w:r>
        <w:t xml:space="preserve">Article 22.7: Adverse Effects</w:t>
      </w:r>
      <w:bookmarkEnd w:id="900693"/>
    </w:p>
    <w:p>
      <w:pPr>
        <w:pStyle w:val="Normal"/>
      </w:pPr>
      <w:r>
        <w:t xml:space="preserve">1. For the purposes of Article 22.6.4 and Article 22.6.5 (Non-Commercial Assistance), adverse effects arise if the effect of the non-commercial assistance is: (a) that the production and sale of a good by a Party’s state-owned enterprise that has received the non-commercial assistance displaces or impedes from the Party’s market imports of a like good of another Party or sales of a like good produced by an enterprise that is a covered investment in the territory of the Party; (b) that the production and sale of a good by a Party’s state-owned enterprise that has received the non-commercial assistance displaces or impedes from: (i) the market of another Party sales of a like good produced by an enterprise that is a covered investment in the territory of that other Party, or imports of a like good of any other Party, or (ii) the market of a non-Party imports of a like good of another Party;</w:t>
      </w:r>
    </w:p>
    <w:p>
      <w:pPr>
        <w:pStyle w:val="Normal"/>
      </w:pPr>
      <w:r>
        <w:t>(c) a significant price undercutting by a good produced by a Party’s state-owned enterprise that has received the non-commercial assistance and sold by the enterprise in: (i) the market of a Party as compared with the price in the same market of imports of a like good of another Party or a like good that is produced by an enterprise that is a covered investment in the territory of the Party, or significant price suppression, price depression or lost sales in the same market, or (ii) the market of a non-Party as compared with the price in the same market of</w:t>
      </w:r>
    </w:p>
    <w:p>
      <w:pPr>
        <w:pStyle w:val="Normal"/>
      </w:pPr>
      <w:r>
        <w:t>imports of a like good of another Party, or significant price suppression, price depression or lost sales in the same market. (d) that services supplied by a Party’s state-owned enterprise that has received the non-commercial assistance displace or impede from the market of another Party a 22 For greater certainty, this paragraph shall not be construed to apply to a service that itself is a form of non commercial assistance. 2211 like service supplied by a service supplier of that other Party or any other Party; or (e) a significant price undercutting by a service supplied in the market of another Party by a Party’s state-owned enterprise that has received the non-commercial assistance as compared with the price in the same market of a like service supplied by a service supplier of that other Party or any other Party, or significant price suppression, price depression or lost sales in the same market.23 2.</w:t>
      </w:r>
    </w:p>
    <w:p>
      <w:pPr>
        <w:pStyle w:val="Normal"/>
      </w:pPr>
      <w:r>
        <w:t>For the purposes of paragraphs l(a), l(b), and l (d), the displacing or impeding of a good or service includes a case in which it has been demonstrated that there has been a significant change in relative shares of the market to the disadvantage of the like good or like service.</w:t>
      </w:r>
    </w:p>
    <w:p>
      <w:pPr>
        <w:pStyle w:val="Normal"/>
      </w:pPr>
      <w:r>
        <w:t>“</w:t>
      </w:r>
      <w:r>
        <w:t>Significant change in relative shares of the market” includes the following situations: (a) there is a significant increase in the market share of the good or service of the Party’s state-owned enterprise; (b) the market share of the good or service of the Party’s state-owned enterprise remains constant in circumstances in which, in the absence of the non-commercial assistance, it would have declined significantly; or (c) the market share of the good or service of the Party’s state-owned enterprise declines, but at a significantly slower rate than would have been the case in the absence of the non-commercial assistance. The change must manifest itself over an appropriately representative period sufficient to demonstrate clear trends in the development of the market for the good or service concerned, which, in normal circumstances, is at least one year. 3.</w:t>
      </w:r>
    </w:p>
    <w:p>
      <w:pPr>
        <w:pStyle w:val="Normal"/>
      </w:pPr>
      <w:r>
        <w:t>For the purposes of paragraphs l(c) and l(e), price undercutting includes a case in which such price undercutting has been demonstrated through a comparison of the prices of the good or service of the state-owned enterprise with the prices of the like good or service. 4. Comparisons of the prices in paragraph 3 must be made at the same level of trade and at comparable times, and due account must be taken for factors affecting price comparability.</w:t>
      </w:r>
    </w:p>
    <w:p>
      <w:pPr>
        <w:pStyle w:val="Normal"/>
      </w:pPr>
      <w:r>
        <w:t>If a direct comparison of transactions is not possible, the existence of price undercutting may be demonstrated on some other reasonable basis, such as, in the case of goods, a comparison of unit values. 23 The purchase or sale of shares, stock or other forms of equity by a state-owned enterprise that has received non commercial assistance as a means of its equity participation in another enterprise shall not, in and of itself, be construed to give rise to adverse effects as provided for in Article 22.7.1 (Adverse Effects). Consistent with Article 22.6.5 (Non-Commercial Assistance), if the state-owned enterprise provides equity capital to another state-owned enterprise, and the equity capital is a form of non-commercial assistance, then, depending on the facts, the production and sale of a good or the supply of a service by the recipient enterprise could give rise to adverse effects. 2212 I 5. Non-commercial assistance that a Party provides before the signing of this Agreement shall be deemed not to cause adverse effects.</w:t>
      </w:r>
    </w:p>
    <w:p>
      <w:pPr>
        <w:pStyle w:val="Heading2"/>
      </w:pPr>
      <w:bookmarkStart w:id="900694" w:name="_Toc300000693"/>
      <w:r>
        <w:t xml:space="preserve">Article 22.8: Injury</w:t>
      </w:r>
      <w:bookmarkEnd w:id="900694"/>
    </w:p>
    <w:p>
      <w:pPr>
        <w:pStyle w:val="Normal"/>
      </w:pPr>
      <w:r>
        <w:t xml:space="preserve">1. For the purposes of Article 22.6.6 (Non-Commercial Assistance), the term “injury” means material injury to a domestic industry, threat of material injury to a domestic industry, or material retardation of the establishment of such an industry. A determination of material injury shall be based on positive evidence and involve an objective examination of the relevant factors, including the volume of production by the covered investment that has received non-commercial assistance, the effect of that production on prices for like goods produced and sold by the domestic industry, and the effect of that production on the domestic industry producing like goods.24 2. With regard to the volume of production by the covered investment that has received non-commercial assistance, consideration shall be given as to whether there has been a significant increase in the volume of production, either in absolute terms or relative to production or consumption in the territory of the Party in which injury is alleged to have occurred.</w:t>
      </w:r>
    </w:p>
    <w:p>
      <w:pPr>
        <w:pStyle w:val="Normal"/>
      </w:pPr>
      <w:r>
        <w:t>With regard to the effect of the production by the covered investment on prices, consideration shall be given as to whether there has been a significant price undercutting by the goods produced and sold by the covered investment as compared with the price of like goods produced and sold by the domestic industry, or whether the effect of production by the covered investment is otherwise to depress prices to a significant degree or to prevent price increases, which otherwise would have occurred, to a significant degree. No one or several of these factors can necessarily give decisive guidance. 3.</w:t>
      </w:r>
    </w:p>
    <w:p>
      <w:pPr>
        <w:pStyle w:val="Normal"/>
      </w:pPr>
      <w:r>
        <w:t>The examination of the impact on the domestic industry of the goods produced and sold by the covered investment that received the non-commercial assistance must include an evaluation of all relevant economic factors and indices having a bearing on the state of the industry, such as actual and potential decline in output, sales, market share, profits, productivity, return on investments, or utilization of capacity; factors affecting domestic prices; actual and potential negative effects on cash flow, inventories, employment, wages, growth, ability to raise capital or investments and, in the case of agriculture, whether there has been an increased burden on government support programs. This list is not exhaustive, nor can one or several of these factors necessarily give decisive guidance. 4.</w:t>
      </w:r>
    </w:p>
    <w:p>
      <w:pPr>
        <w:pStyle w:val="Normal"/>
      </w:pPr>
      <w:r>
        <w:t>It must be demonstrated that the goods produced and sold by the covered investment are, through the effects of the non-commercial assistance, set out in paragraphs 2 and 3, causing injury within the meaning of this Article. The demonstration of a causal relationship between the 24 The periods for examination of the non-commercial assistance and injury shall be reasonably established and shall end as closely as practical to the date of initiation of the proceeding before the panel. 2213 goods produced and sold by the covered investment and the injury to the domestic industry shall be based on an examination of all relevant evidence. Any known factors other than the goods produced by the covered investment which at the same time are injuring the domestic industry must be examined, and the injuries caused by these other factors must not be attributed to the goods produced and sold by the covered investment that has received non-commercial assistance.</w:t>
      </w:r>
    </w:p>
    <w:p>
      <w:pPr>
        <w:pStyle w:val="Normal"/>
      </w:pPr>
      <w:r>
        <w:t>Factors that may be relevant in this respect include the volumes and prices of other like goods in the market in question, contraction in demand or changes in the patterns of consumption, and developments in technology and the export performance and productivity of the domestic industry. 5. A determination of a threat of material injury shall be based on facts and not merely on allegation, conjecture or remote possibility and shall be considered with special care.</w:t>
      </w:r>
    </w:p>
    <w:p>
      <w:pPr>
        <w:pStyle w:val="Normal"/>
      </w:pPr>
      <w:r>
        <w:t>The change in circumstances that would create a situation in which non commercial assistance to the covered investment would cause injury must be clearly foreseen and imminent. In making a determination regarding the existence of a threat of material injury, there should be consideration of relevant factors25 and of whether the totality of the factors considered lead to the conclusion that further availability of goods produced by the covered investment is imminent and that, unless protective action is taken, material injury would occur.</w:t>
      </w:r>
    </w:p>
    <w:p>
      <w:pPr>
        <w:pStyle w:val="Heading2"/>
      </w:pPr>
      <w:bookmarkStart w:id="900695" w:name="_Toc300000694"/>
      <w:r>
        <w:t xml:space="preserve">Article 22.9: Party-Specific Annexes</w:t>
      </w:r>
      <w:bookmarkEnd w:id="900695"/>
    </w:p>
    <w:p>
      <w:pPr>
        <w:pStyle w:val="Normal"/>
      </w:pPr>
      <w:r>
        <w:t xml:space="preserve">1. Article 22.4 (Non-Discriminatory Treatment and Commercial Considerations) and Article 22.6 (Non-Commercial Assistance) do not apply with respect to the nonconforming activities of state-owned enterprises or designated monopolies that a Party lists in its Schedule to Annex IV in accordance with the terms of the Party’s Schedule. 2. Article 22.4 (Non-Discriminatory Treatment and Commercial Considerations), Article 22.5 (Courts and Administrative Bodies), Article 22.6 (Non-Commercial Assistance), and Article 22.10 (Transparency) do not apply to a Party’s state-owned enterprises or designated monopolies as set out in Annex 22D (Application to Sub-Central State-Owned Enterprises and Designated Monopolies). 25 In making a determination regarding the existence of a threat of material injury, a panel established pursuant to Chapter 31 (Dispute Settlement) should consider, among other things, such factors as: (i) the nature of the non commercial assistance in question and the trade effects likely to arise therefrom; (ii) a significant rate of increase in sales in the domestic market by the covered investment, indicating a likelihood of substantially increased sales;</w:t>
      </w:r>
    </w:p>
    <w:p>
      <w:pPr>
        <w:pStyle w:val="Normal"/>
      </w:pPr>
      <w:r>
        <w:t>(iii) sufficient freely disposable, or an imminent, substantial increase in, capacity of the covered investment indicating the likelihood of substantially increased production of the good by that covered investment, taking into account the availability of export markets to absorb</w:t>
      </w:r>
    </w:p>
    <w:p>
      <w:pPr>
        <w:pStyle w:val="Normal"/>
      </w:pPr>
      <w:r>
        <w:t>additional production; (iv) whether prices of goods sold by the covered investment will have a significant depressing or suppressing effect on the price of like goods; and (v) inventories of like goods. 2214</w:t>
      </w:r>
    </w:p>
    <w:p>
      <w:pPr>
        <w:pStyle w:val="Heading2"/>
      </w:pPr>
      <w:bookmarkStart w:id="900696" w:name="_Toc300000695"/>
      <w:r>
        <w:t xml:space="preserve">Article 22.10: Transparency</w:t>
      </w:r>
      <w:bookmarkEnd w:id="900696"/>
    </w:p>
    <w:p>
      <w:pPr>
        <w:pStyle w:val="Normal"/>
      </w:pPr>
      <w:r>
        <w:t xml:space="preserve">1. Each Party shall provide to the other Parties or publish on an official website a list of its state-owned enterprises no later than six months after the date of entry into force of this Agreement, and thereafter shall update the list annually. 2. Each Party shall promptly notify the other Parties or publish on an official website the designation of a monopoly or expansion of the scope of an existing monopoly and the terms of its designation. 3. On the written request of another Party, a Party shall promptly provide the following information in writing concerning a state-owned enterprise or a government monopoly, provided that the request includes a reasoned explanation of how the activites of the entity affect or could affect trade or investment between the Parties: (a) the percentage of shares that the Party, its state enterprises, state-owned enterprises, or designated monopolies cumulatively own, and the percentage of votes that they cumulatively hold, in the entity;</w:t>
      </w:r>
    </w:p>
    <w:p>
      <w:pPr>
        <w:pStyle w:val="Normal"/>
      </w:pPr>
      <w:r>
        <w:t>(b) a description of any special shares or special voting or other rights that the Party, its state enterprises, state-owned enterprises, or designated monopolies hold, to the extent these rights are different from the rights attached to the general common shares of the entity; (c) the government titles of any government official serving as an officer or member of the entity’s board of directors; (d) the entity’s annual revenue and total assets over the most recent three year</w:t>
      </w:r>
    </w:p>
    <w:p>
      <w:pPr>
        <w:pStyle w:val="Normal"/>
      </w:pPr>
      <w:r>
        <w:t>period for which information is available; (e) any exemptions and immunities from which the entity benefits under the Party’s law; and (f) any additional information regarding the entity that is publicly available, including annual financial reports and thirdparty audits, and that is sought in the written request. 4. On the written request of another Party, a Party shall promptly provide, in writing, information regarding any policy or program that the Party has adopted or maintains that provides for the provision of either non-commercial assistance or any equity capital (regardless of whether the equity infusion also constitutes non-commercial assistance) to its state-owned enterprises. 2215 5. When a Party provides a response pursuant to paragraph 4, the information it provides must be sufficiently specific to enable the requesting Party to understand the operation of the policy or program and evaluate its effects or potential effects on trade or investment between the Parties.</w:t>
      </w:r>
    </w:p>
    <w:p>
      <w:pPr>
        <w:pStyle w:val="Normal"/>
      </w:pPr>
      <w:r>
        <w:t>The Party responding to a request shall ensure that the response that it provides contains the following information: (a) the form of the non-commercial assistance provided under the policy or program, for example, grant or loan; (b) the names of the government agencies, state enterprises, or state-owned enterprises providing the non-commercial assistance or equity capital and the names of the state-owned enterprises that have received or are eligible to receive the non-commercial assistance; (c) the legal basis and policy objective of the policy or program providing for the non-commercial assistance or equity infusion; (d) with respect to goods, the amount per unit of the non-commercial assistance or, in cases if it is not possible to provide a per unit amount, the total amount of or the annual amount budgeted for the non-commercial assistance, indicating, if possible, the average amount per unit in the previous year; (e) with respect to services, the total amount of or the annual amount budgeted for the non-commercial assistance, indicating, if possible, the total amount in the previous year;</w:t>
      </w:r>
    </w:p>
    <w:p>
      <w:pPr>
        <w:pStyle w:val="Normal"/>
      </w:pPr>
      <w:r>
        <w:t>(f) with respect to policies or programs providing for non-commercial assistance in the form of loans or loan guarantees, the amount of the loan or amount of the loan guaranteed, interest rates, and fees charged; (g) with respect to policies or programs providing for non-commercial assistance in the form of the provision of goods or the supply of services, the prices charged, if any,</w:t>
      </w:r>
    </w:p>
    <w:p>
      <w:pPr>
        <w:pStyle w:val="Normal"/>
      </w:pPr>
      <w:r>
        <w:t>for those goods and services; (h) with respect to policies or programs for the provision of equity capital, the amount invested, the number and a description of the shares received, and any assessment of the enterprise’s financial health and prospects that is conducted with respect to the underlying investment decision; (i) duration of the policy or program or any other timelimits attached to it; and (j) statistical data permitting an assessment of the effects of the non-commercial assistance on trade or investment between the Parties. 2216 6. In response to a request made pursuant to paragraph 4, if a Party considers that it has not adopted or does not maintain any policies or programs referred to in paragraph 4, it shall promptly provide a reasoned explanation of this in writing to the requesting Party. 7. If any relevant points in paragraph 5 have not been addressed in the written response, that Party shall provide a reasoned explanation of this in the written response. 8.</w:t>
      </w:r>
    </w:p>
    <w:p>
      <w:pPr>
        <w:pStyle w:val="Normal"/>
      </w:pPr>
      <w:r>
        <w:t>The Parties recognize that the provision of information under paragraphs 5 and 7 does not prejudge the legal status of the assistance that was the subject of the request under paragraph 4 or the effects of that assistance under this Agreement. 9. When a Party responds to a request for information under this Article, and informs the requesting Party that it considers certain information to be confidential, the Party shall provide a reasoned explanation for its determination.</w:t>
      </w:r>
    </w:p>
    <w:p>
      <w:pPr>
        <w:pStyle w:val="Normal"/>
      </w:pPr>
      <w:r>
        <w:t>The requesting Party shall not disclose this information without the prior consent of the Party that provided it. To the maximum extent possible under its law, the Party should not consider the amount of the financial contribution associated with the non-commercial assistance or equity capital to be confidential.</w:t>
      </w:r>
    </w:p>
    <w:p>
      <w:pPr>
        <w:pStyle w:val="Heading2"/>
      </w:pPr>
      <w:bookmarkStart w:id="900697" w:name="_Toc300000696"/>
      <w:r>
        <w:t xml:space="preserve">Article 22.11: Technical Cooperation</w:t>
      </w:r>
      <w:bookmarkEnd w:id="900697"/>
    </w:p>
    <w:p>
      <w:pPr>
        <w:pStyle w:val="Normal"/>
      </w:pPr>
      <w:r>
        <w:t xml:space="preserve">The Parties shall, if appropriate and subject to available resources, engage in mutually decided upon technical cooperation activities, including: (a) exchanging information regarding Parties’ experiences in improving the corporate governance and operation of their state-owned enterprises; (b) sharing best practices on policy approaches to ensure a level playing field between state-owned and privately owned enterprises, including policies related to competitive neutrality; and (c) organizing international seminars, workshops or any other appropriate forum for sharing technical information and expertise related to the governance and operations of state-owned enterprises.</w:t>
      </w:r>
    </w:p>
    <w:p>
      <w:pPr>
        <w:pStyle w:val="Heading2"/>
      </w:pPr>
      <w:bookmarkStart w:id="900698" w:name="_Toc300000697"/>
      <w:r>
        <w:t xml:space="preserve">Article 22.12: Committee on State-Owned Enterprises and Designated Monopolies</w:t>
      </w:r>
      <w:bookmarkEnd w:id="900698"/>
    </w:p>
    <w:p>
      <w:pPr>
        <w:pStyle w:val="Normal"/>
      </w:pPr>
      <w:r>
        <w:t xml:space="preserve">1. The Parties hereby establish a Committee on State-owned Enterprises and Designated Monopolies (SOE Committee), composed of government representatives of each Party. 2. The SOE Committee’s functions include: (a) reviewing and considering the operation and implementation of this Chapter; 2217 (b) at a Party’s request, consulting on a matter arising under this Chapter; (c) developing cooperative efforts, as appropriate, to promote the principles underlying the disciplines contained in this Chapter in the free trade area and to contribute to the development of similar disciplines in other regional and multilateral institutions in which two or more Parties participate; and (d) undertaking other activities as the SOE Committee may decide. 3. The SOE Committee shall meet within one year after the date of entry into force of this Agreement, and at least annually thereafter, unless the Parties decide otherwise.</w:t>
      </w:r>
    </w:p>
    <w:p>
      <w:pPr>
        <w:pStyle w:val="Heading2"/>
      </w:pPr>
      <w:bookmarkStart w:id="900699" w:name="_Toc300000698"/>
      <w:r>
        <w:t xml:space="preserve">Article 22.13: Exceptions</w:t>
      </w:r>
      <w:bookmarkEnd w:id="900699"/>
    </w:p>
    <w:p>
      <w:pPr>
        <w:pStyle w:val="Normal"/>
      </w:pPr>
      <w:r>
        <w:t xml:space="preserve">1. Nothing in Article 22.4 (Non-Discriminatory Treatment and Commercial Considerations) or Article 22.6 (Non-Commercial Assistance) shall be construed to: (a) prevent the adoption or enforcement by a Party of measures to respond temporarily to a national or global economic emergency; or (b) apply to a state-owned enterprise with respect to which a Party has adopted or enforced measures on a temporary basis in response to a national or global economic emergency, for the duration of that emergency. 2. Article 22.4.l (Non-Discriminatory Treatment and Commercial Considerations) does not apply to the supply of financial services by a state-owned enterprise pursuant to a government mandate if that supply of financial services: (a) supports exports or imports, provided that these services are: (i) not intended to displace commercial financing, or (ii) offered on terms no more favorable than those that could be obtained for comparable financial services in the commercial market;26 26 In circumstances in which no comparable financial services are offered in the commercial market:</w:t>
      </w:r>
    </w:p>
    <w:p>
      <w:pPr>
        <w:pStyle w:val="Normal"/>
      </w:pPr>
      <w:r>
        <w:t>(a) for the purposes of paragraphs 2(a)(ii), 2(b)(ii), 3(a)(ii), and 3(b)(ii), the state-owned enterprise may rely as necessary on available evidence to establish a benchmark of the terms on which such services would be offered in the commercial market; and (b) for the purposes of paragraphs 2(a)(i), 2(b)(i), 3(a)(i), and 3(b)(i), the supply of the financial services is deemed not</w:t>
      </w:r>
    </w:p>
    <w:p>
      <w:pPr>
        <w:pStyle w:val="Normal"/>
      </w:pPr>
      <w:r>
        <w:t>to be intended to displace commercial financing. 2218 (b)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 provided that it falls within the scope of the Arrangement. 3. The supply of financial services by a state-owned enterprise pursuant to a government mandate shall be deemed not to give rise to adverse effects under Article 22.6.4(b) (Non Commercial Assistance) or Article 22.6.5(b), or under Article 22.6.4(c) or Article 22.6.5(c) if the Party in which the financial service is supplied requires a local presence in order to supply those services, if that supply of financial services:27 (a) supports exports or imports, provided that these services are: (i) not intended to displace commercial financing, or (ii) offered on terms no more favorable than those that could be obtained for comparable financial services in the commercial market;</w:t>
      </w:r>
    </w:p>
    <w:p>
      <w:pPr>
        <w:pStyle w:val="Normal"/>
      </w:pPr>
      <w:r>
        <w:t>(b)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w:t>
      </w:r>
    </w:p>
    <w:p>
      <w:pPr>
        <w:pStyle w:val="Normal"/>
      </w:pPr>
      <w:r>
        <w:t>provided that it falls within the scope of the Arrangement. 4. Article 22.6 (Non-Commercial Assistance) does not apply with respect to an enterprise located outside the territory of a Party over which a state-owned enterprise of that Party has assumed temporary ownership as a consequence of foreclosure or a similar action in connection with defaulted debt, or payment of an insurance claim by the state-owned enterprise, associated with the supply of the financial services referred to in paragraphs 2 and 3, provided that any support the Party, a state enterprise, or state-owned enterprise of the Party provides to the 27 For the purposes of this paragraph, in cases where the Party in which the financial service is supplied requires a local presence in order to supply those services, the supply of the financial services identified in this paragraph through an enterprise that is a covered investment shall be deemed to not give rise to adverse effects. 2219 enterprise during the period of temporary ownership is provided in order to recoup the state owned enterprise’s investment in accordance with a restructuring or liquidation plan that will result in the ultimate divestiture from the enterprise. 5.</w:t>
      </w:r>
    </w:p>
    <w:p>
      <w:pPr>
        <w:pStyle w:val="Normal"/>
      </w:pPr>
      <w:r>
        <w:t>Article 22.4 (Non-Discriminatory Treatment and Commercial Considerations), Article 22.6 (Non-Commercial Assistance), Article 22.10 (Transparency), and Article 22.12 (Committee on State-Owned Enterprises and Designated Monopolies) do not apply with respect to a state owned enterprise or designated monopoly if in any one of the three previous consecutive fiscal years, the annual revenue derived from the commercial activities of the state-owned enterprise or designated monopoly was less than a threshold amount which shall be calculated in accordance with Annex 22A (Threshold Calculation).28</w:t>
      </w:r>
    </w:p>
    <w:p>
      <w:pPr>
        <w:pStyle w:val="Heading2"/>
      </w:pPr>
      <w:bookmarkStart w:id="900700" w:name="_Toc300000699"/>
      <w:r>
        <w:t xml:space="preserve">Article 22.14: Further Negotiations</w:t>
      </w:r>
      <w:bookmarkEnd w:id="900700"/>
    </w:p>
    <w:p>
      <w:pPr>
        <w:pStyle w:val="Normal"/>
      </w:pPr>
      <w:r>
        <w:t xml:space="preserve">Within six months of the date of entry into force of this Agreement, the Parties shall begin further negotiations so as to extend the application of the disciplines in this Chapter in accordance with Annex 22C (Further Negotiations).</w:t>
      </w:r>
    </w:p>
    <w:p>
      <w:pPr>
        <w:pStyle w:val="Heading2"/>
      </w:pPr>
      <w:bookmarkStart w:id="900701" w:name="_Toc300000700"/>
      <w:r>
        <w:t xml:space="preserve">Article 22.15: Process for Developing Information</w:t>
      </w:r>
      <w:bookmarkEnd w:id="900701"/>
    </w:p>
    <w:p>
      <w:pPr>
        <w:pStyle w:val="Normal"/>
      </w:pPr>
      <w:r>
        <w:t xml:space="preserve">Annex 22B (Process for Developing Information Concerning State-Owned Enterprises and Designated Monopolies) applies in any dispute under Chapter 31 (Dispute Settlement) regarding a Party’s conformity with Article 22.4 (Non-Discriminatory Treatment and Commercial Considerations) or Article 22.6 (Non-Commercial Assistance). 28 When a Party invokes this exception during consultations under Article 31.4 (Consultations), the consulting Parties should exchange and discuss available evidence concerning the annual revenue of the state-owned enterprise or the designated monopoly derived from the commercial activities during the three previous consecutive fiscal years in an effort to resolve during the consultations period any disagreement regarding the application of this exception. 2220</w:t>
      </w:r>
    </w:p>
    <w:p>
      <w:pPr>
        <w:pStyle w:val="Heading2"/>
      </w:pPr>
      <w:bookmarkStart w:id="900702" w:name="_Toc300000701"/>
      <w:r>
        <w:t xml:space="preserve">ANNEX 22A THRESHOLD CALCULATION</w:t>
      </w:r>
      <w:bookmarkEnd w:id="900702"/>
    </w:p>
    <w:p>
      <w:pPr>
        <w:pStyle w:val="Normal"/>
      </w:pPr>
      <w:r>
        <w:t xml:space="preserve">1. On the date of entry into force of this Agreement, the threshold referred to in Article 22.13.5 (Exceptions) shall be 175 million Special Drawing Rights (SDRs). 2. The amount of the threshold shall be adjusted at three-year intervals with each adjustment taking effect on 1 January. The first adjustment must take place on the first 1 January following the entry into force of this Agreement, in accordance with the formula set out in this Annex. 3.</w:t>
      </w:r>
    </w:p>
    <w:p>
      <w:pPr>
        <w:pStyle w:val="Normal"/>
      </w:pPr>
      <w:r>
        <w:t>The threshold shall be adjusted for changes in general price levels using a composite SDR inflation rate, calculated as a weighted sum of cumulative per cent changes in the Gross Domestic Product (GDP) deflators of SDR component currencies over the three-year period ending 30 June of the year prior to the adjustment taking effect, and using the following formula: T₁ = (1 + (Σ wᵢˢᴰᴿ · Πᵢˢᴰᴿ))T₀ where: T₀ = threshold value at base period; T₁ = new (adjusted) threshold value; wᵢˢᴰᴿ = respective (fixed) weights of each currency, i, in the SDR (as at 30 June of the year prior to adjustment taking effect); and Πᵢˢᴰᴿ = cumulative per cent change in the GDP deflator of each currency, i, in the SDR over the three-year period ending 30 June of the year prior to adjustment taking effect.</w:t>
      </w:r>
    </w:p>
    <w:p>
      <w:pPr>
        <w:pStyle w:val="Normal"/>
      </w:pPr>
      <w:r>
        <w:t>4. Each Party shall convert the threshold into national currency terms where the conversion rates are the average of monthly values of that Party’s national currency in SDR terms over the three-year period to 30 June of the year before the threshold is to take effect. Each Party shall notify the other Parties of their applicable threshold in their respective national currencies. 5. For the purposes of this Chapter, all data shall be drawn from the International Monetary Fund’s International Financial Statistics database. 6. The Parties shall consult if a major change in a national currency vis-à-vis the SDR were to create a significant problem with regard to the application of this Chapter.</w:t>
      </w:r>
    </w:p>
    <w:p>
      <w:pPr>
        <w:pStyle w:val="Normal"/>
      </w:pPr>
      <w:r>
        <w:t xml:space="preserve">22A1</w:t>
      </w:r>
    </w:p>
    <w:p>
      <w:pPr>
        <w:pStyle w:val="Heading2"/>
      </w:pPr>
      <w:bookmarkStart w:id="900703" w:name="_Toc300000702"/>
      <w:r>
        <w:t xml:space="preserve">ANNEX 22B PROCESS FOR DEVELOPING INFORMATION CONCERNING STATE OWNED ENTERPRISES AND DESIGNATED MONOPOLIES</w:t>
      </w:r>
      <w:bookmarkEnd w:id="900703"/>
    </w:p>
    <w:p>
      <w:pPr>
        <w:pStyle w:val="Normal"/>
      </w:pPr>
      <w:r>
        <w:t xml:space="preserve">1. If a panel has been established pursuant to Chapter 31 (Dispute Settlement) to examine a complaint arising under Article 22.4 (Non-Discriminatory Treatment and Commercial Considerations) or Article 22.6 (Non-Commercial Assistance), the disputing Parties may exchange written questions and responses, as set forth in paragraphs 2, 3, and 4, to obtain information relevant to the complaint that is not otherwise readily available. 2. A disputing Party (questioning Party) may provide written questions to another disputing Party (answering Party) within 15 days of the date the panel is established. The answering Party shall provide its responses to the questions to the questioning Party within 30 days of the date it receives the questions. 3. The questioning Party may provide any followup written questions to the answering Party within 15 days of the date it receives the responses to the initial questions. The answering Party shall provide its responses to the followup questions to the questioning Party within 30 days of the date it receives the followup questions. 4.</w:t>
      </w:r>
    </w:p>
    <w:p>
      <w:pPr>
        <w:pStyle w:val="Normal"/>
      </w:pPr>
      <w:r>
        <w:t>If the questioning Party considers that the answering Party has failed to cooperate in the informationgathering process under this Annex, the questioning Party shall inform the panel and the answering Party in writing within 30 days of the date the responses to the questioning Party’s final questions are due, and provide the basis for its view. The panel shall afford the answering Party an opportunity to reply in writing. 5. A disputing Party that provides written questions or responses to another disputing Party pursuant to the procedures set out in this Annex shall, on the same day, provide the questions or answers to the panel. In the event that a panel has not yet been composed, each disputing Party shall, upon the composition of the panel, promptly provide the panel with any questions or responses it has provided to the other disputing Party. 6.</w:t>
      </w:r>
    </w:p>
    <w:p>
      <w:pPr>
        <w:pStyle w:val="Normal"/>
      </w:pPr>
      <w:r>
        <w:t>The answering Party may designate information in its responses as confidential information in accordance with the procedures set out in the Rules of Procedure established under Article 30.2. l (e) (Functions of the Commission) or other rules of procedure agreed to by the disputing Parties. 7. The time periods in paragraphs 2, 3, and 4 may be modified upon agreement of the disputing Parties or approval by the panel. 22B1 8.</w:t>
      </w:r>
    </w:p>
    <w:p>
      <w:pPr>
        <w:pStyle w:val="Normal"/>
      </w:pPr>
      <w:r>
        <w:t>In determining whether a disputing Party has failed to cooperate in the information gathering process, the panel shall take into account the reasonableness of the questions and the efforts the answering Party has made to respond to the questions in a cooperative and timely manner. 9. In making findings of fact and its initial report, the panel should draw adverse inferences from instances of noncooperation by a disputing Party in the informationgathering process. 10. The panel may deviate from the time period set out in Chapter 31 (Dispute Settlement) for the issuance of the initial report if necessary to accommodate the informationgathering process. 11. The panel may seek additional information from a disputing Party that was not provided to the panel through the informationgathering process if the panel considers the information necessary to resolve the dispute. However, the panel shall not request additional information to complete the record if the information would support a Party’s position and the absence of that information in the record is the result of that Party’s noncooperation in the information gathering process.</w:t>
      </w:r>
    </w:p>
    <w:p>
      <w:pPr>
        <w:pStyle w:val="Normal"/>
      </w:pPr>
      <w:r>
        <w:t xml:space="preserve">22B2</w:t>
      </w:r>
    </w:p>
    <w:p>
      <w:pPr>
        <w:pStyle w:val="Heading2"/>
      </w:pPr>
      <w:bookmarkStart w:id="900704" w:name="_Toc300000703"/>
      <w:r>
        <w:t xml:space="preserve">ANNEX 22C FURTHER NEGOTIATIONS</w:t>
      </w:r>
      <w:bookmarkEnd w:id="900704"/>
    </w:p>
    <w:p>
      <w:pPr>
        <w:pStyle w:val="Normal"/>
      </w:pPr>
      <w:r>
        <w:t xml:space="preserve">Within six months of the date of entry into force of this Agreement, the Parties shall begin further negotiations so as to extend the application of: (a) the obligations in this Chapter to the activities of state-owned enterprises that are owned or controlled by a subcentral level of government, and designated monopolies designated by a subcentral level of government, if these obligations are listed in Annex 22D (Application to Sub-Central State-Owned Enterprises and Designated Monopolies); and (b) the disciplines of Article 22.6 (Non-Commercial Assistance) and Article 22.7 (Adverse Effects) to address effects caused in a market of a non-Party through the supply of services by a state-owned enterprise. The Parties shall meet on a quarterly basis, and shall endeavor to conclude these further negotiations within three years after entry into force of this Agreement.</w:t>
      </w:r>
    </w:p>
    <w:p>
      <w:pPr>
        <w:pStyle w:val="Normal"/>
      </w:pPr>
      <w:r>
        <w:t xml:space="preserve">22C1</w:t>
      </w:r>
    </w:p>
    <w:p>
      <w:pPr>
        <w:pStyle w:val="Heading2"/>
      </w:pPr>
      <w:bookmarkStart w:id="900705" w:name="_Toc300000704"/>
      <w:r>
        <w:t xml:space="preserve">ANNEX 22D APPLICATION TO SUBCENTRAL STATE-OWNED ENTERPRISES AND DESIGNATED MONOPOLIES</w:t>
      </w:r>
      <w:bookmarkEnd w:id="900705"/>
    </w:p>
    <w:p>
      <w:pPr>
        <w:pStyle w:val="Normal"/>
      </w:pPr>
      <w:r>
        <w:t xml:space="preserve">Pursuant to Article 22.9.2 (Party-Specific Annexes), the following provisions do not apply with respect to a state-owned enterprise owned or controlled by a subcentral level of government or a designated monopoly designated by a subcentral level of government:29 (a) For Canada: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(viii) Article 22.6.4(b) and (c) (Non-commercial Assistance) and Article 22.6.5(b) and (c) (Non-commercial Assistance), (ix) Article 22.6.6 (Non-Commercial</w:t>
      </w:r>
    </w:p>
    <w:p>
      <w:pPr>
        <w:pStyle w:val="Normal"/>
      </w:pPr>
      <w:r>
        <w:t>Assistance), 29 For the purposes of this Annex, “subcentral level of government” means the regional level of government and the local level of government of a Party. 22D1 (x) Article 22.10.1 (Transparency), and (xi) Article 22.10.4 (Transparency) with respect to a policy or program adopted or maintained by a subcentral level of government. (b) For Mexico: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Mexico, (viii) Article 22.6.4(b) and (c) (Non-Commercial Assistance) and Article 22.6.5(b) and (c) (Non-Commercial Assistance), and (ix) Article 22.10.1</w:t>
      </w:r>
    </w:p>
    <w:p>
      <w:pPr>
        <w:pStyle w:val="Normal"/>
      </w:pPr>
      <w:r>
        <w:t xml:space="preserve">(Transparency). (c) For the United States: (i) Article 22.4.1(a) (Non-Discriminatory Treatment and Commercial Considerations), 22D2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the United States, (viii) Article 22.6.4(b) and (c) (Non-Commercial Assistance) and Article 22.6.5(b) and (c) (Non-Commercial Assistance), and (ix) Article 22.10.1 (Transparency). 22D3</w:t>
      </w:r>
    </w:p>
    <w:p>
      <w:pPr>
        <w:pStyle w:val="Heading2"/>
      </w:pPr>
      <w:bookmarkStart w:id="900706" w:name="_Toc300000705"/>
      <w:r>
        <w:t xml:space="preserve">ANNEX 22E SPECIAL PURPOSE VEHICLES OF STATE PRODUCTIVE ENTERPRISES</w:t>
      </w:r>
      <w:bookmarkEnd w:id="900706"/>
    </w:p>
    <w:p>
      <w:pPr>
        <w:pStyle w:val="Normal"/>
      </w:pPr>
      <w:r>
        <w:t xml:space="preserve">1.</w:t>
      </w:r>
    </w:p>
    <w:p>
      <w:pPr>
        <w:pStyle w:val="Normal"/>
      </w:pPr>
      <w:r>
        <w:t>This Chapter applies to the State Productive Enterprises (“SPEs”) referred to in the Decree amending the Political Constitution of the United Mexican States on December 20, 2013 as published in the Official Gazette (“the Decree”), and to the subsidiaries and affiliates of the SPEs. 2. This Chapter does not apply to Special Purpose Vehicles, with the exception of paragraphs 3 and 4 of this Annex. For the purposes of this Annex, the term “Special Purpose Vehicle” means a private legal entity established by the SPEs, their subsidiaries and affiliates, as a result of a venture with private investors, created to perform, develop, own, or operate a specific project.30 3. Mexico shall ensure that Special Purpose Vehicles: (a) be established as a result of competitive processes under the laws and regulations of Mexico applicable to the SPE; (b) pursue the performance of commercial activities on equal circumstances and conditions available to competitors on a level playing field, with no intention of displacing or impeding competitors from the relevant market; (c) be aimed at generating economic value and profitability under commercial conditions;</w:t>
      </w:r>
    </w:p>
    <w:p>
      <w:pPr>
        <w:pStyle w:val="Normal"/>
      </w:pPr>
      <w:r>
        <w:t>(d) follow generally accepted accounting principles and generally accepted international corporate governance rules such as the G20/OECD Principles of Corporate Governance; (e) act in accordance with Article 22.4 (Non-Discriminatory Treatment and Commercial Considerations), Article 22.5 (Courts and Administrative Bodies), and Article 22.6</w:t>
      </w:r>
    </w:p>
    <w:p>
      <w:pPr>
        <w:pStyle w:val="Normal"/>
      </w:pPr>
      <w:r>
        <w:t xml:space="preserve">(Non-Commercial Assistance). 4. Mexico shall provide information concerning the SPV and any assistance provided to it, to the extent reasonably available, if it is requested in accordance with the relevant provisions of Article 22.10 (Transparency). 30 For greater certainty, any contractual agreement, including a joint venture or partnership, between an SPE and another enterprise, which does not constitute an entity constituted or organized under applicable law, is not an “enterprise” as defined in Article 1.4 (General Definitions) or a “monopoly” as defined in Article 22.1 (Definitions), and falls outside the scope of this Chapter. 22E1</w:t>
      </w:r>
    </w:p>
    <w:p>
      <w:pPr>
        <w:pStyle w:val="Heading2"/>
      </w:pPr>
      <w:bookmarkStart w:id="900707" w:name="_Toc300000706"/>
      <w:r>
        <w:t xml:space="preserve">ANNEX 22F NON-COMMERCIAL ASSISTANCE TO CERTAIN STATE PRODUCTIVE ENTERPRISES</w:t>
      </w:r>
      <w:bookmarkEnd w:id="900707"/>
    </w:p>
    <w:p>
      <w:pPr>
        <w:pStyle w:val="Normal"/>
      </w:pPr>
      <w:r>
        <w:t xml:space="preserve">1.</w:t>
      </w:r>
    </w:p>
    <w:p>
      <w:pPr>
        <w:pStyle w:val="Normal"/>
      </w:pPr>
      <w:r>
        <w:t>With respect to Article 22.6.1, Article 22.6.2, and Article 22.6.3 (Non-Commercial Assistance), Mexico or its state enterprises or state-owned enterprises may provide non commercial assistance to an SPE referred to in Annex 22E (Special Purpose Vehicles of State Productive Enterprises) (including the SPE’s affiliates and subsidiaries) that is primarily engaged in oil and gas activities, in circumstances that jeopardize the continued viability of the recipient enterprise, and for the sole purpose of enabling the enterprise to return to viability and fulfil its mandate under the Decree and Article 25 of Mexico’s Constitution (Constitución Política de los Estados Unidos Mexicanos). 2.</w:t>
      </w:r>
    </w:p>
    <w:p>
      <w:pPr>
        <w:pStyle w:val="Normal"/>
      </w:pPr>
      <w:r>
        <w:t>At the request of a Party, the Parties may consult regarding whether this Annex should be amended or eliminated. This Annex should only be maintained if Mexico considers that circumstances continue to require the possibility of providing non-commercial assistance to an SPE to ensure its continued viability. 22F1</w:t>
      </w:r>
    </w:p>
    <w:p>
      <w:pPr>
        <w:pStyle w:val="Normal"/>
      </w:pPr>
      <w:r>
        <w:t>Chapter 23 is the primary worker-rights chapter. Additional labor protections also appear in automotive, strategic-supply, forced-labor, migration, and custodial provisions. Search both LABOR and LABOUR.</w:t>
      </w:r>
    </w:p>
    <w:p>
      <w:pPr>
        <w:pStyle w:val="TrumpVisibilityHeadline"/>
      </w:pPr>
      <w:r>
        <w:t>SEARCH SIGNPOST: LABOR / LABOUR / WORKER RIGHTS / COLLECTIVE BARGAINING / FORCED LABOR / CHILD LABOR / OCCUPATIONAL SAFETY / MIGRANT WORKERS</w:t>
      </w:r>
    </w:p>
    <w:p>
      <w:pPr>
        <w:pStyle w:val="Heading1"/>
      </w:pPr>
      <w:bookmarkStart w:id="900708" w:name="_Toc300000707"/>
      <w:r>
        <w:t>CHAPTER 23 LABOR</w:t>
      </w:r>
      <w:bookmarkEnd w:id="900708"/>
    </w:p>
    <w:p>
      <w:pPr>
        <w:pStyle w:val="Heading2"/>
      </w:pPr>
      <w:bookmarkStart w:id="900709" w:name="_Toc300000708"/>
      <w:r>
        <w:t xml:space="preserve">Article 23.1: Definitions</w:t>
      </w:r>
      <w:bookmarkEnd w:id="900709"/>
    </w:p>
    <w:p>
      <w:pPr>
        <w:pStyle w:val="Normal"/>
      </w:pPr>
      <w:r>
        <w:t xml:space="preserve">For the purposes of this Chapter: ILO Declaration on Rights at Work means the International Labor Organization (ILO) Declaration on Fundamental Principles and Rights at Work and its Follow-Up (1998); labor laws means statutes and regulations, or provisions of statutes and regulations, of a Party that are directly related to the following internationally recognized labor rights: (a) freedom of association and the effective recognition of the right to collective bargaining; (b) the elimination of all forms of forced or compulsory labor; (c) the effective abolition of child labor, a prohibition on the worst forms of child labor, and other labor protections for children and minors;</w:t>
      </w:r>
    </w:p>
    <w:p>
      <w:pPr>
        <w:pStyle w:val="Normal"/>
      </w:pPr>
      <w:r>
        <w:t>(d) the elimination of discrimination in respect of employment and occupation; and (e) acceptable conditions of work with respect to minimum wages, hours of work, and occupational safety and health; statutes and regulations and statutes or regulations means enforceable statutes, regulations, constitutional provisions where applicable, and provisions promulgated pursuant to law by the competent level or levels of government of Canada, Mexico, or the United States that govern matters within this Chapter. For each Party with a federal form of government, this definition shall provide effective coverage for substantially all workers consistent with Article 31.E.16 (Federalism and Domestic Institutional Neutrality).</w:t>
      </w:r>
    </w:p>
    <w:p>
      <w:pPr>
        <w:pStyle w:val="Normal"/>
      </w:pPr>
      <w:r>
        <w:t>1 For greater certainty, a Party’s labor laws regarding “acceptable conditions of work with respect to minimum wages” include requirements under that Party’s labor laws to provide wage-related benefit payments to, or on behalf of, workers, such as those for profit sharing, bonuses, retirement, and healthcare. 2 For greater certainty, for each Party setting out a definition, which has a federal form of government, its definition provides coverage for substantially all workers.</w:t>
      </w:r>
    </w:p>
    <w:p>
      <w:pPr>
        <w:pStyle w:val="Heading2"/>
      </w:pPr>
      <w:bookmarkStart w:id="900710" w:name="_Toc300000709"/>
      <w:r>
        <w:t xml:space="preserve">Article 23.2: Statement of Shared Commitments</w:t>
      </w:r>
      <w:bookmarkEnd w:id="900710"/>
    </w:p>
    <w:p>
      <w:pPr>
        <w:pStyle w:val="Normal"/>
      </w:pPr>
      <w:r>
        <w:t xml:space="preserve">1. The Parties affirm their obligations as members of the ILO, including those stated in the ILO Declaration on Rights at Work and the ILO Declaration on Social Justice for a Fair Globalization (2008). 2. The Parties recognize the important role of workers’ and employers’ organizations in protecting internationally recognized labor rights. 3. The Parties also recognize the goal of trading only in goods produced in compliance with this Chapter.</w:t>
      </w:r>
    </w:p>
    <w:p>
      <w:pPr>
        <w:pStyle w:val="Heading2"/>
      </w:pPr>
      <w:bookmarkStart w:id="900711" w:name="_Toc300000710"/>
      <w:r>
        <w:t xml:space="preserve">Article 23.3: Labor Rights</w:t>
      </w:r>
      <w:bookmarkEnd w:id="900711"/>
    </w:p>
    <w:p>
      <w:pPr>
        <w:pStyle w:val="Normal"/>
      </w:pPr>
      <w:r>
        <w:t xml:space="preserve">1. Each Party shall adopt and maintain in its statutes and regulations, and practices thereunder, the following rights, as stated in the ILO Declaration on Rights at Work:3, 4 (a) freedom of association5 and the effective recognition of the right to collective bargaining;6 (b) the elimination of all forms of forced or compulsory labor; (c) the effective abolition of child labor and, for the purposes of this Agreement, a prohibition on the worst forms of child labor; and (d) the elimination of discrimination in respect of employment and occupation. 3 The obligations set out in this Article, as they relate to the ILO, refer only to the ILO Declaration on Rights at Work 4 To establish a violation of an obligation under paragraphs 1 or 2, a Party must demonstrate that the other Party has failed to adopt or maintain a statute, regulation, or practice in a manner affecting trade or investment between the Parties. For greater certainty, a failure is “in a manner affecting trade or investment between the Parties” if it involves:</w:t>
      </w:r>
    </w:p>
    <w:p>
      <w:pPr>
        <w:pStyle w:val="Normal"/>
      </w:pPr>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5 For greater certainty, the right to strike is linked to the right to freedom of association, which cannot be realized without protecting the right to strike. 6 Annex 23-A (Worker Representation, Collective Bargaining and Labour-Reform Durability in Mexico) sets out obligations with regard to worker representation in collective bargaining. 2. Each Party shall adopt and maintain statutes and regulations, and practices thereunder, governing acceptable conditions of work with respect to minimum wages, hours of work, and occupational safety and health.</w:t>
      </w:r>
    </w:p>
    <w:p>
      <w:pPr>
        <w:pStyle w:val="Heading2"/>
      </w:pPr>
      <w:bookmarkStart w:id="900712" w:name="_Toc300000711"/>
      <w:r>
        <w:t xml:space="preserve">Article 23.4: Non-Derogation</w:t>
      </w:r>
      <w:bookmarkEnd w:id="900712"/>
    </w:p>
    <w:p>
      <w:pPr>
        <w:pStyle w:val="Normal"/>
      </w:pPr>
      <w:r>
        <w:t xml:space="preserve">The Parties recognize that it is inappropriate to encourage trade or investment by weakening or reducing the protections afforded in each Party’s labor laws. Accordingly, no Party shall waive or otherwise derogate from, or offer to waive or otherwise derogate from, its statutes or regulations: (a) implementing Article 23.3.1 (Labor Rights), if the waiver or derogation would be inconsistent with a right set out in that paragraph; or (b) implementing Article 23.3.1 or Article 23.3.2 (Labor Rights), if the waiver or derogation would weaken or reduce adherence to a right set out in Article 23.3.1 (Labor Rights), or to a condition of work referred to in Article 23.3.2 (Labor Rights), in a special trade or customs area, such as an export processing zone or foreign trade zone, in the Party’s territory; in a manner affecting trade or investment between the Parties.7</w:t>
      </w:r>
    </w:p>
    <w:p>
      <w:pPr>
        <w:pStyle w:val="Heading2"/>
      </w:pPr>
      <w:bookmarkStart w:id="900713" w:name="_Toc300000712"/>
      <w:r>
        <w:t xml:space="preserve">Article 23.5: Enforcement of Labor Laws</w:t>
      </w:r>
      <w:bookmarkEnd w:id="900713"/>
    </w:p>
    <w:p>
      <w:pPr>
        <w:pStyle w:val="Normal"/>
      </w:pPr>
      <w:r>
        <w:t xml:space="preserve">1. No Party shall fail to effectively enforce its labor laws through a sustained or recurring course of action or inaction8 in a manner affecting trade or investment between the Parties9 after the date of entry into force of this Agreement. 7 For greater certainty, a waiver or derogation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8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w:t>
      </w:r>
    </w:p>
    <w:p>
      <w:pPr>
        <w:pStyle w:val="Normal"/>
      </w:pPr>
      <w:r>
        <w:t>9 For greater certainty, a “course of action or inaction” is “in a manner affecting trade or investment between the Parties” if the course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2. Each Party shall promote compliance with its labor laws through appropriate government action, such as by: (a) appointing and training inspectors; (b) monitoring compliance and investigating suspected violations, including through unannounced on-site inspections, and giving due consideration to requests to investigate an alleged violation of its labor laws; (c) seeking assurances of voluntary compliance; (d) requiring record keeping and reporting; (e) encouraging the establishment of labor-management committees to address labor regulation of the workplace; (f) providing or encouraging mediation, conciliation, and arbitration services;</w:t>
      </w:r>
    </w:p>
    <w:p>
      <w:pPr>
        <w:pStyle w:val="Normal"/>
      </w:pPr>
      <w:r>
        <w:t>(g) initiating, in a timely manner, proceedings to seek appropriate sanctions or remedies for violations of its labor laws; and (h) implementing remedies and sanctions imposed for noncompliance with its labor laws, including timely collection of fines and reinstatement of workers. 3.</w:t>
      </w:r>
    </w:p>
    <w:p>
      <w:pPr>
        <w:pStyle w:val="Normal"/>
      </w:pPr>
      <w:r>
        <w:t>If a Party fails to comply with an obligation under this Chapter, a decision made by that Party on the provision of enforcement resources shall not excuse that failure. Each Party retains the right to exercise reasonable enforcement discretion and to make bona fide decisions with regard to the allocation of enforcement resources between labor enforcement activities among the fundamental labor rights and acceptable conditions of work enumerated in Article 23.3.1 and Article 23.3.2 (Labor Rights), provided that the exercise of that discretion, and those decisions, are not inconsistent with its obligations under this Chapter. 4. Nothing in this Chapter shall be construed to empower a Party’s authorities to undertake labor law enforcement activities in the territory of another Party.</w:t>
      </w:r>
    </w:p>
    <w:p>
      <w:pPr>
        <w:pStyle w:val="Heading2"/>
      </w:pPr>
      <w:bookmarkStart w:id="900714" w:name="_Toc300000713"/>
      <w:r>
        <w:t xml:space="preserve">Article 23.6: Forced or Compulsory Labor</w:t>
      </w:r>
      <w:bookmarkEnd w:id="900714"/>
    </w:p>
    <w:p>
      <w:pPr>
        <w:pStyle w:val="Normal"/>
      </w:pPr>
      <w:r>
        <w:t xml:space="preserve">1. The Parties recognize the goal of eliminating all forms of forced or compulsory labor, including forced or compulsory child labor. Accordingly, each Party shall prohibit, through measures it considers appropriate, the importation of goods into its territory from other sources produced in whole or in part by forced or compulsory labor, including forced or compulsory child labor.10 2. To assist in the implementation of paragraph 1, the Parties shall establish cooperation for the identification and movement of goods produced by forced labor as provided for under Article 23.12.5(c) (Cooperation).</w:t>
      </w:r>
    </w:p>
    <w:p>
      <w:pPr>
        <w:pStyle w:val="Heading2"/>
      </w:pPr>
      <w:bookmarkStart w:id="900715" w:name="_Toc300000714"/>
      <w:r>
        <w:t xml:space="preserve">Article 23.7: Violence Against Workers</w:t>
      </w:r>
      <w:bookmarkEnd w:id="900715"/>
    </w:p>
    <w:p>
      <w:pPr>
        <w:pStyle w:val="Normal"/>
      </w:pPr>
      <w:r>
        <w:t xml:space="preserve">The Parties recognize that workers and labor organizations must be able to exercise the rights set out in Article 23.3 (Labor Rights) in a climate that is free from violence, threats, and intimidation, and the imperative of governments to effectively address incidents of violence, threats, and intimidation against workers. Accordingly, no Party shall fail to address cases of violence or threats of violence against workers, directly related to exercising or attempting to exercise the rights set out in Article 23.3 (Labor Rights), through a sustained or recurring course of action or inaction11 in a manner affecting trade or investment between the Parties.12</w:t>
      </w:r>
    </w:p>
    <w:p>
      <w:pPr>
        <w:pStyle w:val="Heading2"/>
      </w:pPr>
      <w:bookmarkStart w:id="900716" w:name="_Toc300000715"/>
      <w:r>
        <w:t xml:space="preserve">Article 23.8: Migrant Workers</w:t>
      </w:r>
      <w:bookmarkEnd w:id="900716"/>
    </w:p>
    <w:p>
      <w:pPr>
        <w:pStyle w:val="Normal"/>
      </w:pPr>
      <w:r>
        <w:t xml:space="preserve">The Parties recognize the vulnerability of migrant workers with respect to labor protections. Accordingly, in implementing Article 23.3 (Labor Rights), each Party shall ensure that migrant workers are protected under its labor laws, whether they are nationals or non- nationals of the Party.</w:t>
      </w:r>
    </w:p>
    <w:p>
      <w:pPr>
        <w:pStyle w:val="Heading2"/>
      </w:pPr>
      <w:bookmarkStart w:id="900717" w:name="_Toc300000716"/>
      <w:r>
        <w:t xml:space="preserve">Article 23.9: Discrimination in the Workplace</w:t>
      </w:r>
      <w:bookmarkEnd w:id="900717"/>
    </w:p>
    <w:p>
      <w:pPr>
        <w:pStyle w:val="Normal"/>
      </w:pPr>
      <w:r>
        <w:t xml:space="preserve">The Parties recognize the goal of eliminating discrimination in employment and occupation, and support the goal of promoting equality of women in the workplace. 10 For greater certainty, nothing in this Article authorizes a Party to take measures that would be inconsistent with its obligations under this Agreement, the WTO Agreement, or other international trade agreements. 11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 12 For greater certainty, a “course of action or inaction” is “in a manner affecting trade or investment between the Parties” if the course involves:</w:t>
      </w:r>
    </w:p>
    <w:p>
      <w:pPr>
        <w:pStyle w:val="Normal"/>
      </w:pPr>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Accordingly, each Party shall implement policies13 that it considers appropriate to protect workers against employment discrimination on the basis of sex (including with regard to sexual harassment), pregnancy, sexual orientation, gender identity, and caregiving responsibilities; provide job-protected leave for birth or adoption of a child and care of family members; and protect against wage discrimination.</w:t>
      </w:r>
    </w:p>
    <w:p>
      <w:pPr>
        <w:pStyle w:val="Heading2"/>
      </w:pPr>
      <w:bookmarkStart w:id="900718" w:name="_Toc300000717"/>
      <w:r>
        <w:t xml:space="preserve">Article 23.10: Public Awareness and Procedural Guarantees</w:t>
      </w:r>
      <w:bookmarkEnd w:id="900718"/>
    </w:p>
    <w:p>
      <w:pPr>
        <w:pStyle w:val="Normal"/>
      </w:pPr>
      <w:r>
        <w:t xml:space="preserve">1. Each Party shall promote public awareness of its labor laws, including by ensuring that information related to its labor laws and enforcement and compliance procedures is publicly available. 2. Each Party shall ensure that a person with a recognized interest under its law in a particular matter has appropriate access to tribunals for the enforcement of its labor laws. These tribunals may include administrative tribunals, quasi-judicial tribunals, judicial tribunals, or labor tribunals, as provided for in each Party’s law. 3. Each Party shall ensure that proceedings before these tribunals for the enforcement of its labor laws: (a) are fair, equitable and transparent; (b) comply with due process of law; (c) do not entail unreasonable fees or time limits or unwarranted delay; and (d) that any hearings in these proceedings are open to the public, except where the administration of justice otherwise requires, and in accordance with its applicable laws. 4. Each Party shall ensure that:</w:t>
      </w:r>
    </w:p>
    <w:p>
      <w:pPr>
        <w:pStyle w:val="Normal"/>
      </w:pPr>
      <w:r>
        <w:t>(a) the parties to these proceedings are entitled to support or defend their respective positions, including by presenting information or evidence; and (b) final decisions on the merits of the case shall satisfy the requirements of paragraph 4. For greater certainty, an existing measure of a Party may satisfy an obligation under Article 23.9 where that measure provides functionally equivalent or greater protection. No Party receives a country-specific presumption of compliance solely because a particular pre-existing statute, regulation, policy, or agency practice is named in this Agreement.</w:t>
      </w:r>
    </w:p>
    <w:p>
      <w:pPr>
        <w:pStyle w:val="Normal"/>
      </w:pPr>
      <w:r>
        <w:t>(i) are based on information or evidence in respect of which the parties were offered the opportunity to be heard, (ii) state the reasons on which they are based, and (iii) are available in writing without undue delay to the parties to the proceedings and, consistent with its law, to the public. 5. Each Party shall provide, as appropriate, that parties to these proceedings have the right to seek review and, if warranted, correction of decisions issued in these proceedings. 6. Each Party shall ensure that tribunals that conduct or review these proceedings are impartial and independent. 7.</w:t>
      </w:r>
    </w:p>
    <w:p>
      <w:pPr>
        <w:pStyle w:val="Normal"/>
      </w:pPr>
      <w:r>
        <w:t>Each Party shall ensure that the parties to these proceedings have access to remedies under its law for the effective enforcement of their rights under its labor laws and that these remedies are executed in a timely manner. 8. Each Party shall provide procedures to effectively enforce the final decisions of its tribunals in these proceedings. 9. For greater certainty, and without prejudice to whether a tribunal’s decision is inconsistent with a Party’s obligations under this Chapter, nothing in this Chapter shall be construed to require a tribunal of a Party to reopen a decision that it has made in a particular matter. 10.</w:t>
      </w:r>
    </w:p>
    <w:p>
      <w:pPr>
        <w:pStyle w:val="Normal"/>
      </w:pPr>
      <w:r>
        <w:t>Each Party shall ensure that other types of proceedings within its labor bodies for the implementation of its labor laws: (a) are fair and equitable; (b) are conducted by officials who meet appropriate guarantees of impartiality; (c) do not entail unreasonable fees or time limits or unwarranted delay; and (d) document and communicate decisions to persons directly affected by these proceedings.</w:t>
      </w:r>
    </w:p>
    <w:p>
      <w:pPr>
        <w:pStyle w:val="Heading2"/>
      </w:pPr>
      <w:bookmarkStart w:id="900719" w:name="_Toc300000718"/>
      <w:r>
        <w:t xml:space="preserve">Article 23.11: Public Submissions</w:t>
      </w:r>
      <w:bookmarkEnd w:id="900719"/>
    </w:p>
    <w:p>
      <w:pPr>
        <w:pStyle w:val="Normal"/>
      </w:pPr>
      <w:r>
        <w:t xml:space="preserve">1. Each Party, through its contact point designated under Article 23.15 (Contact Points), shall provide for the receipt and consideration of written submissions from persons of a Party on matters related to this Chapter in accordance with its domestic procedures. Each Party shall make readily accessible and publicly available its procedures, including timelines, for the receipt and consideration of written submissions. 2. Each Party shall: (a) consider matters raised by the submission and provide a timely response to the submitter, including in writing as appropriate; and (b) make the submission and the results of its consideration available to the other Parties and the public, as appropriate, in a timely manner. 3. A Party may request from the person or organization that made the submission additional information that is necessary to consider the substance of the submission.</w:t>
      </w:r>
    </w:p>
    <w:p>
      <w:pPr>
        <w:pStyle w:val="Heading2"/>
      </w:pPr>
      <w:bookmarkStart w:id="900720" w:name="_Toc300000719"/>
      <w:r>
        <w:t xml:space="preserve">Article 23.12: Cooperation</w:t>
      </w:r>
      <w:bookmarkEnd w:id="900720"/>
    </w:p>
    <w:p>
      <w:pPr>
        <w:pStyle w:val="Normal"/>
      </w:pPr>
      <w:r>
        <w:t xml:space="preserve">1. The Parties recognize the importance of cooperation as a mechanism for effective implementation of this Chapter, to enhance opportunities to improve labor standards, and to further advance common commitments regarding labor matters, including the principles and rights stated in the ILO Declaration on Rights at Work. 2. The Parties may, commensurate with the availability of resources, cooperate through: (a) exchanging of information and sharing of best practices on issues of common interest, including through seminars, workshops, and online fora; (b) study trips, visits, and research studies to document and study policies and practices; (c) collaborative research and development related to best practices in subjects of mutual interest; (d) specific exchanges of technical expertise and assistance, as appropriate; and (e) other forms as the Parties may decide. 3. In undertaking cooperative activities, the Parties shall consider each Party’s priorities and complementarity with initiatives in existence, with the aim to achieve mutual benefits and measurable labor outcomes. 4. Each Party shall invite the views and, as appropriate, participation of its stakeholders, including worker and employer representatives, in identifying potential areas for cooperation and undertaking cooperative activities. 5.</w:t>
      </w:r>
    </w:p>
    <w:p>
      <w:pPr>
        <w:pStyle w:val="Normal"/>
      </w:pPr>
      <w:r>
        <w:t>The Parties may develop cooperative activities in the following areas: (a) labor laws and practices, including the promotion and effective implementation of the principles and rights as stated in the ILO Declaration on Rights at Work; (b) labor laws and practices related to compliance with ILO Convention No. 182 Concerning the Prohibition and Immediate Action for the Elimination of the Worst Forms of Child Labor; (c) identification and movement of goods produced by forced labor; (d) combatting forced labor and human trafficking, including on fishing vessels; (e) addressing violence against workers, including for trade union activity; (f) occupational safety and health, including the prevention of occupational injuries and illnesses; (g) institutional capacity of labor administrative and judicial bodies; (h) labor inspectorates and inspection systems, including methods and training to improve the level and efficiency of labor law enforcement, strengthen labor inspection systems, and help ensure compliance with labor laws; (i) remuneration systems and mechanisms for compliance with labor laws pertaining to hours of work, minimum wages and overtime, and employment conditions;</w:t>
      </w:r>
    </w:p>
    <w:p>
      <w:pPr>
        <w:pStyle w:val="Normal"/>
      </w:pPr>
      <w:r>
        <w:t>(j) addressing gender-related issues in the field of labor and employment, including: (i) elimination of discrimination on the basis of sex in respect of employment, occupation, and wages, (ii) developing analytical and enforcement tools related to equal pay for equal work or work of equal value, (iii)</w:t>
      </w:r>
    </w:p>
    <w:p>
      <w:pPr>
        <w:pStyle w:val="Normal"/>
      </w:pPr>
      <w:r>
        <w:t>promotion of labor practices that integrate and retain women in the job market, and building the capacity and skills of women workers, including on workplace challenges and in collective bargaining, (iv) consideration of gender issues related to occupational safety and health and other workplace practices, including advancement of child care, nursing mothers, and related policies and programs, and in the prevention of occupational injuries and illnesses, and (v) prevention of gender-based workplace violence and harassment; (k) promotion of productivity, innovation, competitiveness, training and human capital development in workplaces, particularly in respect to SMEs; (l) addressing the opportunities of a diverse workforce, including: (i) promotion of equality and elimination of employment discrimination in the areas of age, disability, race, ethnicity, religion, sexual orientation, gender identity, and other characteristics not related to merit or the requirements of employment, and (ii) promotion of equality, elimination of employment discrimination, and protection of migrant workers and other vulnerable workers, including low-waged, casual, or temporary workers; (m) collection and use of labor statistics, indicators, methods, and procedures, including on the basis of sex;</w:t>
      </w:r>
    </w:p>
    <w:p>
      <w:pPr>
        <w:pStyle w:val="Normal"/>
      </w:pPr>
      <w:r>
        <w:t>(n) social protection issues, including workers’ compensation in case of occupational injury or illness, pension systems, and employment assistance schemes; (o) labor relations, including forms of</w:t>
      </w:r>
    </w:p>
    <w:p>
      <w:pPr>
        <w:pStyle w:val="Normal"/>
      </w:pPr>
      <w:r>
        <w:t>cooperation and dispute resolution to improve labor relations among workers, employers, and governments; (p) apprenticeship programs; (q) social dialogue, including tripartite consultation and partnership; (r) with respect to labor relations in multi-national enterprises, promoting information sharing and dialogue related to conditions of employment by enterprises operating in two or more Parties with representative worker organizations in each of the cooperating Parties; and (s) other areas as the Parties may decide. 6. The Parties may establish cooperative arrangements with the ILO or other international and regional organizations to draw on their expertise and resources to further the purposes of this Chapter.</w:t>
      </w:r>
    </w:p>
    <w:p>
      <w:pPr>
        <w:pStyle w:val="Heading2"/>
      </w:pPr>
      <w:bookmarkStart w:id="900721" w:name="_Toc300000720"/>
      <w:r>
        <w:t xml:space="preserve">Article 23.13: Cooperative Labor Dialogue</w:t>
      </w:r>
      <w:bookmarkEnd w:id="900721"/>
    </w:p>
    <w:p>
      <w:pPr>
        <w:pStyle w:val="Normal"/>
      </w:pPr>
      <w:r>
        <w:t xml:space="preserve">1. A Party may request dialogue with another Party on any matter arising under this Chapter at any time by delivering a written request to the contact point that the other Party has designated under Article 23.15 (Contact Points). 2. The requesting Party shall include information that is specific and sufficient to enable the receiving Party to respond, including identification of the matter at issue, an indication of the basis of the request under this Chapter and, when relevant, how trade or investment between the Parties is affected. 3. Unless the requesting and receiving Parties (the dialoguing Parties) decide otherwise, dialogue must commence within 30 days of a Party’s receipt of a request for dialogue. The dialoguing Parties shall engage in dialogue in good faith. As part of the dialogue, the dialoguing Parties shall provide a means for receiving and considering the views of interested persons on the matter. 4. Dialogue may be held in person or by any technological means available to the dialoguing Parties. 5.</w:t>
      </w:r>
    </w:p>
    <w:p>
      <w:pPr>
        <w:pStyle w:val="Normal"/>
      </w:pPr>
      <w:r>
        <w:t>The dialoguing Parties shall address all the issues raised in the request. If the dialoguing Parties resolve the matter, they shall document the outcome, including, if appropriate, specific steps and timelines that they have decided upon. The dialoguing Parties shall make the outcome available to the public, unless they decide otherwise. 6.</w:t>
      </w:r>
    </w:p>
    <w:p>
      <w:pPr>
        <w:pStyle w:val="Normal"/>
      </w:pPr>
      <w:r>
        <w:t>In developing an outcome pursuant to paragraph 5, the dialoguing Parties should consider all available options and may jointly decide on a course of action they consider appropriate, including: (a) the development and implementation of an action plan in a form that they find satisfactory, which may include specific and verifiable steps, such as on labor inspection, investigation, or compliance action, and appropriate timeframes; (b) the independent verification of compliance or implementation by individuals or entities, such as the ILO, chosen by the dialoguing Parties; and (c) appropriate incentives, such as cooperative programs and capacity building, to encourage or assist the dialoguing Parties to identify and address labor matters.</w:t>
      </w:r>
    </w:p>
    <w:p>
      <w:pPr>
        <w:pStyle w:val="Heading2"/>
      </w:pPr>
      <w:bookmarkStart w:id="900722" w:name="_Toc300000721"/>
      <w:r>
        <w:t xml:space="preserve">Article 23.14: Labor Council</w:t>
      </w:r>
      <w:bookmarkEnd w:id="900722"/>
    </w:p>
    <w:p>
      <w:pPr>
        <w:pStyle w:val="Normal"/>
      </w:pPr>
      <w:r>
        <w:t xml:space="preserve">1. The Parties hereby establish a Labor Council composed of senior governmental representatives at the ministerial or other level from trade and labor ministries, as designated by each Party. 2. The Labor Council shall meet within one year of the date of entry into force of this Agreement and thereafter every two years, unless the Parties decide otherwise. 3. The Labor Council may consider any matter within the scope of this Chapter and perform other functions as the Parties may decide. 4. In conducting its activities, including meetings, the Labor Council shall provide a means for receiving and considering the views of interested persons on matters related to this Chapter. If practicable, meetings will include a public session or other means for Council members to meet with the public to discuss matters relating to the implementation of this Chapter. 5.</w:t>
      </w:r>
    </w:p>
    <w:p>
      <w:pPr>
        <w:pStyle w:val="Normal"/>
      </w:pPr>
      <w:r>
        <w:t>During the fifth year after the date of entry into force of this Agreement, or as otherwise decided by the Parties, the Labor Council shall review the operation and effectiveness of this Chapter and thereafter may undertake subsequent reviews as decided by the Parties. 6. Labor Council decisions and reports shall be made by consensus and be made publicly available, unless the Council decides otherwise. 7. The Labor Council shall issue a joint summary report or statement on its work at the end of each Council meeting.</w:t>
      </w:r>
    </w:p>
    <w:p>
      <w:pPr>
        <w:pStyle w:val="Heading2"/>
      </w:pPr>
      <w:bookmarkStart w:id="900723" w:name="_Toc300000722"/>
      <w:r>
        <w:t xml:space="preserve">Article 23.15: Contact Points</w:t>
      </w:r>
      <w:bookmarkEnd w:id="900723"/>
    </w:p>
    <w:p>
      <w:pPr>
        <w:pStyle w:val="Normal"/>
      </w:pPr>
      <w:r>
        <w:t xml:space="preserve">1. Each Party shall designate, within 60 days of the date of entry into force of this Agreement, an office or official within its labor ministry or equivalent entity as a contact point to address matters related to this Chapter. Each Party shall notify the other Parties in writing promptly in the event of a change to its contact point. 2. The contact points shall: (a) facilitate regular communication and coordination between the Parties, including responding to requests for information and providing sufficient information to enable a full examination of matters related to this Chapter; (b) assist the Labor Council; (c) report to the Labor Council, as appropriate; (d) act as a channel for communication with the public in their respective territories; and (e) work together, including with other appropriate agencies of their governments, to develop and implement cooperative activities, guided by the priorities of the Labor Council, areas of cooperation identified in Article 23.12.5 (Cooperation), and the needs of the Parties. 3.</w:t>
      </w:r>
    </w:p>
    <w:p>
      <w:pPr>
        <w:pStyle w:val="Normal"/>
      </w:pPr>
      <w:r>
        <w:t>Contact points may communicate and coordinate activities in person or through electronic or other means of communication. 4. Each Party’s contact point, in carrying out its responsibilities under this Chapter, shall regularly consult and coordinate with its trade ministry.</w:t>
      </w:r>
    </w:p>
    <w:p>
      <w:pPr>
        <w:pStyle w:val="Heading2"/>
      </w:pPr>
      <w:bookmarkStart w:id="900724" w:name="_Toc300000723"/>
      <w:r>
        <w:t xml:space="preserve">Article 23.16: Public Engagement</w:t>
      </w:r>
      <w:bookmarkEnd w:id="900724"/>
    </w:p>
    <w:p>
      <w:pPr>
        <w:pStyle w:val="Normal"/>
      </w:pPr>
      <w:r>
        <w:t xml:space="preserve">Each Party shall establish or maintain, and consult with, a national labor consultative or advisory body or similar mechanism, for members of its public, including representatives of its labor and business organizations, to provide views on matters regarding this Chapter.</w:t>
      </w:r>
    </w:p>
    <w:p>
      <w:pPr>
        <w:pStyle w:val="Heading2"/>
      </w:pPr>
      <w:bookmarkStart w:id="900725" w:name="_Toc300000724"/>
      <w:r>
        <w:t xml:space="preserve">Article 23.17: Labor Consultations</w:t>
      </w:r>
      <w:bookmarkEnd w:id="900725"/>
    </w:p>
    <w:p>
      <w:pPr>
        <w:pStyle w:val="Normal"/>
      </w:pPr>
      <w:r>
        <w:t xml:space="preserve">1. The Parties shall make every effort through cooperation and dialogue to arrive at a mutually satisfactory resolution of any matter arising under this Chapter. 2. A Party (the requesting Party) may request labor consultations with another Party (the responding Party) regarding any matter arising under this Chapter by delivering a written request to the responding Party’s contact point. The requesting Party shall include information that is specific and sufficient to enable the responding Party to respond, including identification of the matter at issue and an indication of the legal basis of the request under this Chapter. 3. A third Party that considers it has a substantial interest in the matter may participate in the labor consultations by notifying the other Parties (the consulting Parties) in writing through their respective contact points, no later than seven days after the date of delivery of the request for labor consultations. The third Party shall include in its notice an explanation of its substantial interest in the matter. 4.</w:t>
      </w:r>
    </w:p>
    <w:p>
      <w:pPr>
        <w:pStyle w:val="Normal"/>
      </w:pPr>
      <w:r>
        <w:t>Unless the consulting Parties decide otherwise, they shall enter into labor consultations no later than 30 days after the date of delivery of the request. 5. The consulting Parties shall make every effort to arrive at a mutually satisfactory resolution of the matter through labor consultations, which may include appropriate cooperative activities.</w:t>
      </w:r>
    </w:p>
    <w:p>
      <w:pPr>
        <w:pStyle w:val="Normal"/>
      </w:pPr>
      <w:r>
        <w:t>The consulting Parties may request advice from independent experts chosen by the consulting Parties to assist them. 6. Ministerial Labor Consultations: If the consulting Parties have failed to resolve the matter, a consulting Party may request that the relevant Ministers or their designees of the consulting Parties convene to consider the matter at issue by delivering a written request to the other consulting Party through its contact point. The Ministers of the consulting Parties shall convene promptly after the date of receipt of the request, and shall seek to resolve the matter, including, if appropriate, by consulting independent experts chosen by the consulting Parties to assist them, and having recourse to procedures such as good offices, conciliation, or mediation. 7. If the consulting Parties are able to resolve the matter, they shall document the outcome, including, if appropriate, specific steps and timelines decided upon. The consulting Parties shall make the outcome available to the other Party and to the public, unless they decide otherwise. 8.</w:t>
      </w:r>
    </w:p>
    <w:p>
      <w:pPr>
        <w:pStyle w:val="Normal"/>
      </w:pPr>
      <w:r>
        <w:t>If the consulting Parties fail to resolve the matter within 30 days after the date of receipt of a request for Labor consultations under paragraph 2, or any other period as the consulting Parties may agree, the requesting Party may request a meeting of the Commission pursuant to Article 31.5 (Commission, Good Offices, Conciliation, and Mediation) and thereafter request the establishment of a panel under Article 31.6 (Establishment of a Panel). 9. Labor consultations shall be confidential and without prejudice to the rights of a Party in another proceeding. 10. Labor consultations pursuant to this Article may be held in person or by any technological means available to the consulting Parties. If the labor consultations are held in person, they must be held in the capital of the Party to which the request for labor consultations was made, unless the consulting Parties decide otherwise. 11. In labor consultations under this Article, a consulting Party may request another consulting Party to make available personnel of its government agencies or other regulatory bodies who have expertise in the matter at issue.</w:t>
      </w:r>
    </w:p>
    <w:p>
      <w:pPr>
        <w:pStyle w:val="Normal"/>
      </w:pPr>
      <w:r>
        <w:t>12. No Party shall have recourse to dispute settlement under Chapter 31 (Dispute Settlement) for a matter arising under this Chapter without first seeking to resolve the matter in accordance with this Article. 13.</w:t>
      </w:r>
    </w:p>
    <w:p>
      <w:pPr>
        <w:pStyle w:val="Normal"/>
      </w:pPr>
      <w:r>
        <w:t>A Party may have recourse to labor consultations under this Article without prejudice to the commencement or continuation of Cooperative Labor Dialogue under Article 23.13 (Cooperative Labor Dialogue).</w:t>
      </w:r>
    </w:p>
    <w:p>
      <w:pPr>
        <w:pStyle w:val="Heading1"/>
      </w:pPr>
      <w:bookmarkStart w:id="900726" w:name="_Toc300000725"/>
      <w:r>
        <w:t>ANNEX 23-A: WORKER REPRESENTATION, COLLECTIVE BARGAINING AND LABOUR-REFORM DURABILITY IN MEXICO</w:t>
      </w:r>
      <w:bookmarkEnd w:id="900726"/>
    </w:p>
    <w:p>
      <w:pPr>
        <w:pStyle w:val="Heading2"/>
      </w:pPr>
      <w:bookmarkStart w:id="900727" w:name="_Toc300000726"/>
      <w:r>
        <w:t>23-A.1 Purpose and Durable Floor</w:t>
      </w:r>
      <w:bookmarkEnd w:id="900727"/>
    </w:p>
    <w:p>
      <w:pPr>
        <w:pStyle w:val="Normal"/>
      </w:pPr>
      <w:r>
        <w:t>Mexico shall maintain and effectively implement the worker-representation, collective-bargaining, institutional-independence and democratic-consent protections set out in this Annex. These obligations preserve the durable outcomes of Mexico's labour reforms while respecting Mexico's authority to improve, reorganize or replace particular institutions and procedures with measures providing functionally equivalent or greater protection.</w:t>
      </w:r>
    </w:p>
    <w:p>
      <w:pPr>
        <w:pStyle w:val="Heading2"/>
      </w:pPr>
      <w:bookmarkStart w:id="900728" w:name="_Toc300000727"/>
      <w:r>
        <w:t>23-A.2 Freedom of Worker Organization</w:t>
      </w:r>
      <w:bookmarkEnd w:id="900728"/>
    </w:p>
    <w:p>
      <w:pPr>
        <w:pStyle w:val="Normal"/>
      </w:pPr>
      <w:r>
        <w:t>Mexico shall maintain in its labour laws and practices the right of workers to engage in concerted activities for collective bargaining or mutual protection and to organize, form and join the union of their choice. Employer domination or interference in union activities, discrimination or coercion based on protected union activity or support, and refusal to bargain collectively with a duly recognized representative shall remain prohibited and effectively remediable.</w:t>
      </w:r>
    </w:p>
    <w:p>
      <w:pPr>
        <w:pStyle w:val="Heading2"/>
      </w:pPr>
      <w:bookmarkStart w:id="900729" w:name="_Toc300000728"/>
      <w:r>
        <w:t>23-A.3 Independent and Impartial Labour Institutions</w:t>
      </w:r>
      <w:bookmarkEnd w:id="900729"/>
    </w:p>
    <w:p>
      <w:pPr>
        <w:pStyle w:val="Normal"/>
      </w:pPr>
      <w:r>
        <w:t>Mexico shall maintain independent and impartial institutions capable of registering unions and collective bargaining agreements, resolving representation disputes, adjudicating labour disputes, issuing effective orders and sanctions, and providing access to independent judicial review. Mexico may replace, consolidate, rename, reorganize or digitize such institutions provided that independence, accessibility, due process, timeliness and remedial effectiveness are maintained or strengthened.</w:t>
      </w:r>
    </w:p>
    <w:p>
      <w:pPr>
        <w:pStyle w:val="Heading2"/>
      </w:pPr>
      <w:bookmarkStart w:id="900730" w:name="_Toc300000729"/>
      <w:r>
        <w:t>23-A.4 Personal, Free and Secret Worker Choice</w:t>
      </w:r>
      <w:bookmarkEnd w:id="900730"/>
    </w:p>
    <w:p>
      <w:pPr>
        <w:pStyle w:val="Normal"/>
      </w:pPr>
      <w:r>
        <w:t>Mexico shall maintain an effective system ensuring that elections of union leaders, representation votes and other decisions for which worker democratic consent is required are conducted through personal, free and secret voting, without employer, union, governmental or other coercion inconsistent with workers' protected freedom of choice.</w:t>
      </w:r>
    </w:p>
    <w:p>
      <w:pPr>
        <w:pStyle w:val="Heading2"/>
      </w:pPr>
      <w:bookmarkStart w:id="900731" w:name="_Toc300000730"/>
      <w:r>
        <w:t>23-A.5 Authentic Support for Collective Bargaining Agreements</w:t>
      </w:r>
      <w:bookmarkEnd w:id="900731"/>
    </w:p>
    <w:p>
      <w:pPr>
        <w:pStyle w:val="Normal"/>
      </w:pPr>
      <w:r>
        <w:t>An initial collective bargaining agreement shall not be registered or take legal effect unless the competent authority verifies the legally required level of authentic worker support through a personal, free and secret vote of the workers covered by the agreement. Material revisions concerning wages or working conditions shall likewise be subject to meaningful worker approval where required by Mexican law consistent with this Annex.</w:t>
      </w:r>
    </w:p>
    <w:p>
      <w:pPr>
        <w:pStyle w:val="Heading2"/>
      </w:pPr>
      <w:bookmarkStart w:id="900732" w:name="_Toc300000731"/>
      <w:r>
        <w:t>23-A.6 Protection Against Fictitious or Employer-Dominated Agreements</w:t>
      </w:r>
      <w:bookmarkEnd w:id="900732"/>
    </w:p>
    <w:p>
      <w:pPr>
        <w:pStyle w:val="Normal"/>
      </w:pPr>
      <w:r>
        <w:t>No collective bargaining agreement shall be registered, maintained or used for the purpose or effect of suppressing independent worker representation where the agreement lacks authentic worker support or results from prohibited employer domination, interference, coercion, fraud or comparable manipulation. Mexico shall maintain procedures capable of identifying and correcting such arrangements.</w:t>
      </w:r>
    </w:p>
    <w:p>
      <w:pPr>
        <w:pStyle w:val="Heading2"/>
      </w:pPr>
      <w:bookmarkStart w:id="900733" w:name="_Toc300000732"/>
      <w:r>
        <w:t>23-A.7 Information Before Consent</w:t>
      </w:r>
      <w:bookmarkEnd w:id="900733"/>
    </w:p>
    <w:p>
      <w:pPr>
        <w:pStyle w:val="Normal"/>
      </w:pPr>
      <w:r>
        <w:t>Workers shall receive reasonable and timely access to the collective bargaining agreement or material terms on which their approval is sought before voting. Access may be physical or electronic and shall be provided in a form reasonably understandable and accessible to affected workers, including reasonable accommodation for disability, language needs and lack of reliable digital access where necessary.</w:t>
      </w:r>
    </w:p>
    <w:p>
      <w:pPr>
        <w:pStyle w:val="Heading2"/>
      </w:pPr>
      <w:bookmarkStart w:id="900734" w:name="_Toc300000733"/>
      <w:r>
        <w:t>23-A.8 Representation Challenges and Procedural Integrity</w:t>
      </w:r>
      <w:bookmarkEnd w:id="900734"/>
    </w:p>
    <w:p>
      <w:pPr>
        <w:pStyle w:val="Normal"/>
      </w:pPr>
      <w:r>
        <w:t>Union representation challenges shall receive timely, impartial resolution through competent institutions and shall not be defeated through abusive procedural delay, obstruction, manipulation of voter eligibility, destruction or concealment of evidence, or comparable tactics. Procedures shall provide clear stages, reasonable time limits and meaningful opportunities to present and answer evidence.</w:t>
      </w:r>
    </w:p>
    <w:p>
      <w:pPr>
        <w:pStyle w:val="Heading2"/>
      </w:pPr>
      <w:bookmarkStart w:id="900735" w:name="_Toc300000734"/>
      <w:r>
        <w:t>23-A.9 Verification of Democratic Legitimacy</w:t>
      </w:r>
      <w:bookmarkEnd w:id="900735"/>
    </w:p>
    <w:p>
      <w:pPr>
        <w:pStyle w:val="Normal"/>
      </w:pPr>
      <w:r>
        <w:t>The competent Mexican authority shall possess authority and capacity to verify, using risk-based and proportionate methods, that the workplace and bargaining unit are genuine, workers received required information, voting procedures protected free choice, and the legally required support was obtained. Verification may use physical or electronic records, direct worker consultation, audits or on-site review where justified by the circumstances.</w:t>
      </w:r>
    </w:p>
    <w:p>
      <w:pPr>
        <w:pStyle w:val="Heading2"/>
      </w:pPr>
      <w:bookmarkStart w:id="900736" w:name="_Toc300000735"/>
      <w:r>
        <w:t>23-A.10 Anti-Retaliation Protection</w:t>
      </w:r>
      <w:bookmarkEnd w:id="900736"/>
    </w:p>
    <w:p>
      <w:pPr>
        <w:pStyle w:val="Normal"/>
      </w:pPr>
      <w:r>
        <w:t>Workers, witnesses, complainants, candidates, representatives and other persons lawfully participating in a protected vote, representation challenge, investigation, testimony or verification process shall be protected against dismissal, blacklisting, threats, immigration-related coercion, discriminatory scheduling, loss of compensation or opportunity, violence, surveillance used for retaliation, or comparable reprisals.</w:t>
      </w:r>
    </w:p>
    <w:p>
      <w:pPr>
        <w:pStyle w:val="Heading2"/>
      </w:pPr>
      <w:bookmarkStart w:id="900737" w:name="_Toc300000736"/>
      <w:r>
        <w:t>23-A.11 Effective Worker Remedies</w:t>
      </w:r>
      <w:bookmarkEnd w:id="900737"/>
    </w:p>
    <w:p>
      <w:pPr>
        <w:pStyle w:val="Normal"/>
      </w:pPr>
      <w:r>
        <w:t>Remedies for violations of this Annex shall be capable of restoring the affected right and deterring deliberate interference. Depending on the violation, remedies may include reinstatement, backpay, restoration of unlawfully withheld compensation or benefits, corrected or rerun elections, invalidation of tainted procedures, restoration of representational or bargaining rights, protective orders, sanctions, and monitoring reasonably necessary to establish durable compliance.</w:t>
      </w:r>
    </w:p>
    <w:p>
      <w:pPr>
        <w:pStyle w:val="Heading2"/>
      </w:pPr>
      <w:bookmarkStart w:id="900738" w:name="_Toc300000737"/>
      <w:r>
        <w:t>23-A.12 Transparency and Privacy</w:t>
      </w:r>
      <w:bookmarkEnd w:id="900738"/>
    </w:p>
    <w:p>
      <w:pPr>
        <w:pStyle w:val="Normal"/>
      </w:pPr>
      <w:r>
        <w:t>Mexico shall maintain readily accessible information concerning registered collective bargaining agreements, union governing documents and institutional outcomes to the extent necessary for worker awareness, accountability and lawful public oversight. Transparency obligations shall not require publication of secret ballots, unnecessary personal data, confidential complainant identities, or information whose disclosure would create a credible risk of retaliation.</w:t>
      </w:r>
    </w:p>
    <w:p>
      <w:pPr>
        <w:pStyle w:val="Heading2"/>
      </w:pPr>
      <w:bookmarkStart w:id="900739" w:name="_Toc300000738"/>
      <w:r>
        <w:t>23-A.13 Non-Regression</w:t>
      </w:r>
      <w:bookmarkEnd w:id="900739"/>
    </w:p>
    <w:p>
      <w:pPr>
        <w:pStyle w:val="Normal"/>
      </w:pPr>
      <w:r>
        <w:t>Mexico shall not materially weaken or reduce the effective protection of the worker-representation, collective-bargaining, institutional-independence or democratic-consent guarantees maintained pursuant to this Annex for the purpose of encouraging trade or investment or obtaining a competitive advantage. A substantial institutional redesign shall be consistent with this paragraph where it maintains functionally equivalent or greater protection.</w:t>
      </w:r>
    </w:p>
    <w:p>
      <w:pPr>
        <w:pStyle w:val="Heading2"/>
      </w:pPr>
      <w:bookmarkStart w:id="900740" w:name="_Toc300000739"/>
      <w:r>
        <w:t>23-A.14 No Institutional Fossilization</w:t>
      </w:r>
      <w:bookmarkEnd w:id="900740"/>
    </w:p>
    <w:p>
      <w:pPr>
        <w:pStyle w:val="Normal"/>
      </w:pPr>
      <w:r>
        <w:t>Nothing in this Annex shall prevent Mexico from replacing, consolidating, reorganizing, digitizing or otherwise modernizing a labour institution, procedure or statutory mechanism, provided that the resulting system affords functionally equivalent or greater independence, accessibility, due process, timeliness, worker participation and remedial protection.</w:t>
      </w:r>
    </w:p>
    <w:p>
      <w:pPr>
        <w:pStyle w:val="Heading2"/>
      </w:pPr>
      <w:bookmarkStart w:id="900741" w:name="_Toc300000740"/>
      <w:r>
        <w:t>23-A.15 Performance and Durability Review</w:t>
      </w:r>
      <w:bookmarkEnd w:id="900741"/>
    </w:p>
    <w:p>
      <w:pPr>
        <w:pStyle w:val="Normal"/>
      </w:pPr>
      <w:r>
        <w:t>Existing NAESTMA labour and Secretariat institutions may periodically review the practical durability of the protections in this Annex, including access to remedies, case duration, retaliation allegations, reinstatement and backpay outcomes, representation challenges, enforcement of final orders and worker accessibility. Numerical indicators shall inform review but shall not by themselves create a presumption of compliance or violation.</w:t>
      </w:r>
    </w:p>
    <w:p>
      <w:pPr>
        <w:pStyle w:val="Heading2"/>
      </w:pPr>
      <w:bookmarkStart w:id="900742" w:name="_Toc300000741"/>
      <w:r>
        <w:t>23-A.16 Technical Cooperation Without Supervision</w:t>
      </w:r>
      <w:bookmarkEnd w:id="900742"/>
    </w:p>
    <w:p>
      <w:pPr>
        <w:pStyle w:val="Normal"/>
      </w:pPr>
      <w:r>
        <w:t>Canada and the United States may, at Mexico's request or by mutual agreement, support training, digital infrastructure, judicial and administrative exchanges, worker education, enforcement capacity and other cooperative labour initiatives. Cooperation under this paragraph is assistance among equal Parties and shall not confer supervisory authority over Mexico's domestic labour institutions.</w:t>
      </w:r>
    </w:p>
    <w:p>
      <w:pPr>
        <w:pStyle w:val="Heading2"/>
      </w:pPr>
      <w:bookmarkStart w:id="900743" w:name="_Toc300000742"/>
      <w:r>
        <w:t>23-A.17 Country-Specific Annex and Equal Party Status</w:t>
      </w:r>
      <w:bookmarkEnd w:id="900743"/>
    </w:p>
    <w:p>
      <w:pPr>
        <w:pStyle w:val="Normal"/>
      </w:pPr>
      <w:r>
        <w:t>The existence of this Annex reflects distinct Mexican legal and institutional history and shall not establish a presumption that labour-rights violations are more likely, more serious, or more appropriately subject to expedited enforcement in Mexico than in another Party. A country-specific labour annex shall not create materially weaker worker protection, materially stronger enforcement exposure, or permanent discriminatory treatment solely because of the identity of that Party.</w:t>
      </w:r>
    </w:p>
    <w:p>
      <w:pPr>
        <w:pStyle w:val="Heading2"/>
      </w:pPr>
      <w:bookmarkStart w:id="900744" w:name="_Toc300000743"/>
      <w:r>
        <w:t>23-A.18 Relationship to Facility-Specific Enforcement</w:t>
      </w:r>
      <w:bookmarkEnd w:id="900744"/>
    </w:p>
    <w:p>
      <w:pPr>
        <w:pStyle w:val="Normal"/>
      </w:pPr>
      <w:r>
        <w:t>This Annex defines substantive obligations applicable in Mexico. Article 31.E governs facility-specific enforcement on functionally equivalent terms among all three Parties. An alleged violation at a Mexican covered facility shall therefore receive no materially stronger or weaker procedural treatment solely because the facility is located in Mexico. Nothing in this Annex limits the application to Canada or the United States of equivalent Chapter 23 obligations concerning freedom of association, collective bargaining, anti-retaliation, effective remedies, or facility-specific enforcement.</w:t>
      </w:r>
    </w:p>
    <w:p>
      <w:pPr>
        <w:pStyle w:val="Heading2"/>
      </w:pPr>
      <w:bookmarkStart w:id="900745" w:name="_Toc300000744"/>
      <w:r>
        <w:t>23-A.19 Worker-Rights Firewall</w:t>
      </w:r>
      <w:bookmarkEnd w:id="900745"/>
    </w:p>
    <w:p>
      <w:pPr>
        <w:pStyle w:val="Normal"/>
      </w:pPr>
      <w:r>
        <w:t>Rights and protections maintained under this Annex shall not be suspended, reduced, waived or traded away as retaliation, compensation or leverage in an unrelated dispute under this Agreement. Trade remedies may be used to secure compliance with labour obligations where authorized, but the underlying rights of workers are not bargaining currency.</w:t>
      </w:r>
    </w:p>
    <w:p>
      <w:pPr>
        <w:pStyle w:val="Heading2"/>
      </w:pPr>
      <w:bookmarkStart w:id="900746" w:name="_Toc300000745"/>
      <w:r>
        <w:t>23-A.20 Future Improvement</w:t>
      </w:r>
      <w:bookmarkEnd w:id="900746"/>
    </w:p>
    <w:p>
      <w:pPr>
        <w:pStyle w:val="Normal"/>
      </w:pPr>
      <w:r>
        <w:t>Mexico may at any time adopt or maintain worker protections exceeding the floor established by this Annex. Nothing in this Annex shall be interpreted to require Mexico to reduce a higher level of protection, reverse a successful reform, or preserve a superseded procedure where a replacement provides equivalent or greater protection.</w:t>
      </w:r>
    </w:p>
    <w:p>
      <w:pPr>
        <w:pStyle w:val="Heading2"/>
      </w:pPr>
      <w:bookmarkStart w:id="900747" w:name="_Toc300000746"/>
      <w:r>
        <w:t>23-A.21 Completion of Historical Transitional Measures</w:t>
      </w:r>
      <w:bookmarkEnd w:id="900747"/>
    </w:p>
    <w:p>
      <w:pPr>
        <w:pStyle w:val="Normal"/>
      </w:pPr>
      <w:r>
        <w:t>Obligations whose sole purpose was to require enactment of legislation before 1 January 2019, to address the Mexican government incoming in December 2018, or to require a one-time revision of then-existing collective bargaining agreements during the initial reform transition are deemed completed and are not repeated as continuing temporal commands. The durable worker-consent, institutional-independence and collective-bargaining outcomes underlying those measures remain binding through the substantive provisions of this Annex.</w:t>
      </w:r>
    </w:p>
    <w:p>
      <w:pPr>
        <w:pStyle w:val="Heading2"/>
      </w:pPr>
      <w:bookmarkStart w:id="900748" w:name="_Toc300000747"/>
      <w:r>
        <w:t>23-A.22 Chapter 23-B Remedies Following Labor-Enforcement Disruption</w:t>
      </w:r>
      <w:bookmarkEnd w:id="900748"/>
    </w:p>
    <w:p>
      <w:pPr>
        <w:pStyle w:val="Normal"/>
      </w:pPr>
      <w:r>
        <w:t>Workers who are subject to labor enforcement actions (e.g., discrimination, forced labor violations found and remedied) shall be entitled to income support and retraining under Chapter 23-B to the same extent as workers displaced by economic transformation, if the labor violation results in employment disruption. This is in addition to any remedies available under Chapter 23 labor enforcement.</w:t>
      </w:r>
    </w:p>
    <w:p>
      <w:pPr>
        <w:pStyle w:val="ModHeading"/>
      </w:pPr>
      <w:bookmarkStart w:id="900749" w:name="_Toc300000748"/>
      <w:r>
        <w:t>CHAPTER 23: CUSMA 2.0 MODERNIZATION PROVISIONS</w:t>
      </w:r>
      <w:bookmarkEnd w:id="900749"/>
    </w:p>
    <w:p>
      <w:pPr>
        <w:pStyle w:val="Normal"/>
      </w:pPr>
      <w:r>
        <w:rPr>
          <w:i/>
        </w:rPr>
        <w:t>The provisions of this Part amend Chapter 23 (Labor).</w:t>
      </w:r>
    </w:p>
    <w:p>
      <w:pPr>
        <w:pStyle w:val="Heading2"/>
      </w:pPr>
      <w:bookmarkStart w:id="900750" w:name="_Toc300000749"/>
      <w:r>
        <w:t>Article 23.A: Forced Labour, Interoperable Enforcement</w:t>
      </w:r>
      <w:bookmarkEnd w:id="900750"/>
    </w:p>
    <w:p>
      <w:pPr>
        <w:pStyle w:val="Normal"/>
      </w:pPr>
      <w:r>
        <w:t>1. Article 23.6 (Forced or Compulsory Labor), as amended by the 2019 Protocol, is supplemented as follows:</w:t>
      </w:r>
    </w:p>
    <w:p>
      <w:pPr>
        <w:pStyle w:val="Normal"/>
      </w:pPr>
      <w:r>
        <w:t>(a) each Party shall maintain import prohibitions addressing goods produced wholly or in part by forced or compulsory labour, and shall administer them through risk-based, evidence-based procedures;</w:t>
      </w:r>
    </w:p>
    <w:p>
      <w:pPr>
        <w:pStyle w:val="Normal"/>
      </w:pPr>
      <w:r>
        <w:t>(b) the Parties shall establish interoperable enforcement procedures, including: shared evidentiary standards for determinations; timely exchange of detention and exclusion information, so that goods denied entry by one Party do not divert into another Party; and coordinated investigation of supply chains spanning more than one Party;</w:t>
      </w:r>
    </w:p>
    <w:p>
      <w:pPr>
        <w:pStyle w:val="Normal"/>
      </w:pPr>
      <w:r>
        <w:t>(c) a Party’s enforcement performance under this Article is subject to cooperative review through the Labor Council, including technical assistance and capacity-building, and not to covered border measures. For greater certainty, disagreement concerning another Party’s enforcement of forced-labour import prohibitions does not authorize a covered border measure against originating goods unconnected to forced labour; any such measure is inconsistent with Articles 35.6 and 35.7; and</w:t>
      </w:r>
    </w:p>
    <w:p>
      <w:pPr>
        <w:pStyle w:val="Normal"/>
      </w:pPr>
      <w:r>
        <w:t>(d) where verification under Chapter 35 establishes that identified goods of identified producers were produced with forced labour, the goods are subject to exclusion from preferential treatment and from entry, targeted at those producers and goods.</w:t>
      </w:r>
    </w:p>
    <w:p>
      <w:pPr>
        <w:pStyle w:val="Heading2"/>
      </w:pPr>
      <w:bookmarkStart w:id="900751" w:name="_Toc300000750"/>
      <w:r>
        <w:t>Article 23.B: Labor Enforcement, Procedural Consistency</w:t>
      </w:r>
      <w:bookmarkEnd w:id="900751"/>
    </w:p>
    <w:p>
      <w:pPr>
        <w:pStyle w:val="Normal"/>
      </w:pPr>
      <w:r>
        <w:t>1. Building on the operation of this Chapter, the Parties shall adopt, through the Labor Council, common guidance on: evidentiary standards for Article 23.5 (Enforcement of Labor Laws); timelines for labor consultations and disputes; transparency of proceedings; and the relationship between this Chapter and Article 31.E (North American Facility-Specific Labour Remedy), including the temporary use and administrative consolidation of predecessor procedures contained in Annexes 31-A and 31-B.</w:t>
      </w:r>
    </w:p>
    <w:p>
      <w:pPr>
        <w:pStyle w:val="Normal"/>
      </w:pPr>
      <w:r>
        <w:t>2. The Parties reaffirm that a panel shall presume that a failure is in a manner affecting trade or investment between the Parties, unless the responding Party demonstrates otherwise, as provided in the footnotes inserted by the 2019 Protocol.</w:t>
      </w:r>
    </w:p>
    <w:p>
      <w:pPr>
        <w:pStyle w:val="Heading2"/>
      </w:pPr>
      <w:bookmarkStart w:id="900752" w:name="_Toc300000751"/>
      <w:r>
        <w:t>Article 23.C: Independent Factual Verification of Labor Enforcement Complaints</w:t>
      </w:r>
      <w:bookmarkEnd w:id="900752"/>
    </w:p>
    <w:p>
      <w:pPr>
        <w:pStyle w:val="Normal"/>
      </w:pPr>
      <w:r>
        <w:t>1. Before a Party may seek a trade remedy based on an alleged systemic failure to enforce labor obligations under this Chapter, the Labor Council shall commission an independent factual verification by a three-person technical team selected from a standing roster agreed by the Parties. The team shall have access to relevant non-confidential records and, with appropriate safeguards, protected information necessary to establish the facts.</w:t>
      </w:r>
    </w:p>
    <w:p>
      <w:pPr>
        <w:pStyle w:val="Normal"/>
      </w:pPr>
      <w:r>
        <w:t>2. The technical team shall issue a factual report within 90 days. The report is binding as to factual findings for proceedings under this Agreement, without determining the ultimate legal consequence. Where the report finds no sustained, recurring, systemic, or material failure within the scope of the complaint, no covered border measure may be based on that complaint absent materially new evidence.</w:t>
      </w:r>
    </w:p>
    <w:p>
      <w:pPr>
        <w:pStyle w:val="Normal"/>
      </w:pPr>
      <w:r>
        <w:t>3. Cooperation Clock. A requested Party shall provide responsive non-privileged records within 20 days after a lawful request by the technical team, or identify with specificity the legal basis for withholding particular material. A request for clarification does not suspend the 90-day verification period.</w:t>
      </w:r>
    </w:p>
    <w:p>
      <w:pPr>
        <w:pStyle w:val="Normal"/>
      </w:pPr>
      <w:r>
        <w:t>4. Unjustified failure to provide access, records, interviews, or other information does not stop the verification clock. The technical team may rely on other credible evidence and may draw reasonable adverse factual inferences proportionate to the information withheld.</w:t>
      </w:r>
    </w:p>
    <w:p>
      <w:pPr>
        <w:pStyle w:val="Normal"/>
      </w:pPr>
      <w:r>
        <w:t>5. The technical team shall issue its factual report on the existing record when the 90-day period expires unless all Parties agree to a single extension not exceeding 30 days because essential evidence is genuinely unavailable despite cooperation.</w:t>
      </w:r>
    </w:p>
    <w:p>
      <w:pPr>
        <w:pStyle w:val="Normal"/>
      </w:pPr>
      <w:r>
        <w:t>6. This Article does not delay, replace, or condition the operation of Annex 31-A or Annex 31-B. Where a facility-specific complaint falls within a Rapid Response Labor Mechanism, that Annex governs and its shorter clocks and remedies remain fully available.</w:t>
      </w:r>
    </w:p>
    <w:p>
      <w:pPr>
        <w:pStyle w:val="Heading2"/>
      </w:pPr>
      <w:bookmarkStart w:id="900753" w:name="_Toc300000752"/>
      <w:r>
        <w:t>Article 23.D: Triadic Labour Floor and Equal Dignity in Employment</w:t>
      </w:r>
      <w:bookmarkEnd w:id="900753"/>
    </w:p>
    <w:p>
      <w:pPr>
        <w:pStyle w:val="Normal"/>
      </w:pPr>
      <w:r>
        <w:t>1. Each Party shall adopt and maintain a floor of effective labour protection that secures safe and dignified working conditions while permitting a Party to maintain or adopt more protective measures.</w:t>
      </w:r>
    </w:p>
    <w:p>
      <w:pPr>
        <w:pStyle w:val="Normal"/>
      </w:pPr>
      <w:r>
        <w:t>2. North American economic integration shall not depend upon discrimination, exclusion, harassment, retaliation, forced labour, denial of basic sanitation, or systematic suppression of workers’ lawful rights.</w:t>
      </w:r>
    </w:p>
    <w:p>
      <w:pPr>
        <w:pStyle w:val="Normal"/>
      </w:pPr>
      <w:r>
        <w:t>3. Implementation may account for workplace size, risk, remoteness, operational characteristics, and reasonable economic capacity, provided that no distinction substantially defeats the minimum protection guaranteed by this Chapter.</w:t>
      </w:r>
    </w:p>
    <w:p>
      <w:pPr>
        <w:pStyle w:val="Heading2"/>
      </w:pPr>
      <w:bookmarkStart w:id="900754" w:name="_Toc300000753"/>
      <w:r>
        <w:t>Article 23.E: Basic Workplace Conditions Standard</w:t>
      </w:r>
      <w:bookmarkEnd w:id="900754"/>
    </w:p>
    <w:p>
      <w:pPr>
        <w:pStyle w:val="Normal"/>
      </w:pPr>
      <w:r>
        <w:t>1. Each Party shall maintain effective requirements for potable drinking water, sanitary and reasonably accessible toilet facilities, handwashing facilities, appropriate first-aid capability, necessary personal protective equipment, reasonable opportunities for rest and meals, and protection from foreseeable occupational hazards.</w:t>
      </w:r>
    </w:p>
    <w:p>
      <w:pPr>
        <w:pStyle w:val="Normal"/>
      </w:pPr>
      <w:r>
        <w:t>2. Employers shall not impose unreasonable restrictions that materially prevent workers from using toilet facilities when needed. Facilities shall be maintained in sanitary working condition and supplied with essential hygiene materials.</w:t>
      </w:r>
    </w:p>
    <w:p>
      <w:pPr>
        <w:pStyle w:val="Normal"/>
      </w:pPr>
      <w:r>
        <w:t>3. Where eating at a workstation would expose workers to contamination or another material hazard, workers shall have access to a sanitary location suitable for meals and rest.</w:t>
      </w:r>
    </w:p>
    <w:p>
      <w:pPr>
        <w:pStyle w:val="Normal"/>
      </w:pPr>
      <w:r>
        <w:t>4. Workplaces shall provide appropriate means for sanitary disposal of menstrual products in relevant facilities.</w:t>
      </w:r>
    </w:p>
    <w:p>
      <w:pPr>
        <w:pStyle w:val="Heading2"/>
      </w:pPr>
      <w:bookmarkStart w:id="900755" w:name="_Toc300000754"/>
      <w:r>
        <w:t>Article 23.F: Emergency Readiness and First-Aid Capability</w:t>
      </w:r>
      <w:bookmarkEnd w:id="900755"/>
    </w:p>
    <w:p>
      <w:pPr>
        <w:pStyle w:val="Normal"/>
      </w:pPr>
      <w:r>
        <w:t>1. Workplaces shall maintain first-aid supplies appropriate to workforce size and reasonably foreseeable hazards, in locations that are readily accessible during working hours and maintained through periodic inspection and replenishment.</w:t>
      </w:r>
    </w:p>
    <w:p>
      <w:pPr>
        <w:pStyle w:val="Normal"/>
      </w:pPr>
      <w:r>
        <w:t>2. Each Party shall require timely access to appropriately trained first-aid capability, with the number and qualification of responders proportionate to workplace risk, size, remoteness, and emergency response time.</w:t>
      </w:r>
    </w:p>
    <w:p>
      <w:pPr>
        <w:pStyle w:val="Normal"/>
      </w:pPr>
      <w:r>
        <w:t>3. Employers shall maintain unobstructed and appropriately marked emergency exits, emergency communication capability, fire protection, backup or emergency lighting where reasonably necessary, and emergency plans proportionate to reasonably foreseeable hazards.</w:t>
      </w:r>
    </w:p>
    <w:p>
      <w:pPr>
        <w:pStyle w:val="Normal"/>
      </w:pPr>
      <w:r>
        <w:t>4. Higher-risk workplaces shall conduct drills or equivalent preparedness exercises at intervals appropriate to their risk profile.</w:t>
      </w:r>
    </w:p>
    <w:p>
      <w:pPr>
        <w:pStyle w:val="Heading2"/>
      </w:pPr>
      <w:bookmarkStart w:id="900756" w:name="_Toc300000755"/>
      <w:r>
        <w:t>Article 23.G: Occupational Environmental Quality</w:t>
      </w:r>
      <w:bookmarkEnd w:id="900756"/>
    </w:p>
    <w:p>
      <w:pPr>
        <w:pStyle w:val="Normal"/>
      </w:pPr>
      <w:r>
        <w:t>1. Each Party shall maintain protections against unsafe heat, cold, wildfire smoke, hazardous airborne contaminants, toxic fumes, deficient ventilation, and other material environmental hazards at work.</w:t>
      </w:r>
    </w:p>
    <w:p>
      <w:pPr>
        <w:pStyle w:val="Normal"/>
      </w:pPr>
      <w:r>
        <w:t>2. Standards shall be science-based and risk-appropriate and shall not require a single fixed ventilation, humidity, or temperature value where occupational conditions require a different protective approach.</w:t>
      </w:r>
    </w:p>
    <w:p>
      <w:pPr>
        <w:pStyle w:val="Normal"/>
      </w:pPr>
      <w:r>
        <w:t>3. Outdoor and remote workers shall receive appropriate access to hydration, shade, warming or cooling measures, protective equipment, and work-rest or stop-work procedures during dangerous environmental conditions.</w:t>
      </w:r>
    </w:p>
    <w:p>
      <w:pPr>
        <w:pStyle w:val="Heading2"/>
      </w:pPr>
      <w:bookmarkStart w:id="900757" w:name="_Toc300000756"/>
      <w:r>
        <w:t>Article 23.H: Personal Protective Equipment and Fit</w:t>
      </w:r>
      <w:bookmarkEnd w:id="900757"/>
    </w:p>
    <w:p>
      <w:pPr>
        <w:pStyle w:val="Normal"/>
      </w:pPr>
      <w:r>
        <w:t>1. Necessary personal protective equipment shall be provided without charge to workers where required for occupational safety.</w:t>
      </w:r>
    </w:p>
    <w:p>
      <w:pPr>
        <w:pStyle w:val="Normal"/>
      </w:pPr>
      <w:r>
        <w:t>2. Required equipment shall be appropriate to the hazard, available in suitable sizes and configurations, properly fitted where fit affects protection, maintained in serviceable condition, and replaced when damaged, expired, or no longer protective.</w:t>
      </w:r>
    </w:p>
    <w:p>
      <w:pPr>
        <w:pStyle w:val="Normal"/>
      </w:pPr>
      <w:r>
        <w:t>3. Workers shall receive understandable instruction and training in the proper use, limitations, care, and inspection of required equipment.</w:t>
      </w:r>
    </w:p>
    <w:p>
      <w:pPr>
        <w:pStyle w:val="Heading2"/>
      </w:pPr>
      <w:bookmarkStart w:id="900758" w:name="_Toc300000757"/>
      <w:r>
        <w:t>Article 23.I: Rest, Seating, Lactation, and Reasonable Accommodation</w:t>
      </w:r>
      <w:bookmarkEnd w:id="900758"/>
    </w:p>
    <w:p>
      <w:pPr>
        <w:pStyle w:val="Normal"/>
      </w:pPr>
      <w:r>
        <w:t>1. Each Party shall maintain reasonable protections for rest and meal opportunities consistent with the nature and duration of work and applicable domestic law.</w:t>
      </w:r>
    </w:p>
    <w:p>
      <w:pPr>
        <w:pStyle w:val="Normal"/>
      </w:pPr>
      <w:r>
        <w:t>2. Where the essential functions of work can reasonably be performed while seated, workers shall not be prohibited from using suitable seating without a legitimate operational, safety, or occupational reason.</w:t>
      </w:r>
    </w:p>
    <w:p>
      <w:pPr>
        <w:pStyle w:val="Normal"/>
      </w:pPr>
      <w:r>
        <w:t>3. Appropriate seating or rest accommodation shall be provided where reasonably required by disability, pregnancy, injury, or medical need, subject to applicable reasonable-accommodation standards.</w:t>
      </w:r>
    </w:p>
    <w:p>
      <w:pPr>
        <w:pStyle w:val="Normal"/>
      </w:pPr>
      <w:r>
        <w:t>4. Workers requiring lactation accommodation shall have reasonable time and access to a private, sanitary space other than a toilet facility, consistent with domestic law.</w:t>
      </w:r>
    </w:p>
    <w:p>
      <w:pPr>
        <w:pStyle w:val="Heading2"/>
      </w:pPr>
      <w:bookmarkStart w:id="900759" w:name="_Toc300000758"/>
      <w:r>
        <w:t>Article 23.J: Health, Illness, and Family Continuity</w:t>
      </w:r>
      <w:bookmarkEnd w:id="900759"/>
    </w:p>
    <w:p>
      <w:pPr>
        <w:pStyle w:val="Normal"/>
      </w:pPr>
      <w:r>
        <w:t>1. Each Party shall maintain access to reasonable job-protected sick leave and family-care leave, including protections for serious or long-term illness, with benefit design and financing determined under domestic law.</w:t>
      </w:r>
    </w:p>
    <w:p>
      <w:pPr>
        <w:pStyle w:val="Normal"/>
      </w:pPr>
      <w:r>
        <w:t>2. Short-duration illness reporting should avoid unnecessary medical certification where self-certification or another reliable method is appropriate. Extended or recurring leave may require reasonable confirmation consistent with privacy and accessibility protections.</w:t>
      </w:r>
    </w:p>
    <w:p>
      <w:pPr>
        <w:pStyle w:val="Normal"/>
      </w:pPr>
      <w:r>
        <w:t>3. Parties are encouraged to use social-insurance, tax, or reimbursement mechanisms where appropriate to prevent disproportionate burdens on micro and small enterprises.</w:t>
      </w:r>
    </w:p>
    <w:p>
      <w:pPr>
        <w:pStyle w:val="Normal"/>
      </w:pPr>
      <w:r>
        <w:t>4. Parental, maternity, adoption, and caregiving protections shall be administered without prohibited discrimination and may provide flexible, shared, intermittent, or phased-return arrangements under domestic law.</w:t>
      </w:r>
    </w:p>
    <w:p>
      <w:pPr>
        <w:pStyle w:val="Heading2"/>
      </w:pPr>
      <w:bookmarkStart w:id="900760" w:name="_Toc300000759"/>
      <w:r>
        <w:t>Article 23.K: Universal Anti-Discrimination and Equality Standard</w:t>
      </w:r>
      <w:bookmarkEnd w:id="900760"/>
    </w:p>
    <w:p>
      <w:pPr>
        <w:pStyle w:val="Normal"/>
      </w:pPr>
      <w:r>
        <w:t>1. Each Party shall prohibit discrimination in employment and occupation on protected grounds including, at minimum, race, colour, national or ethnic origin, sex, pregnancy, sexual orientation, gender identity or expression, religion or creed, age, disability, marital or family status, and other grounds protected by its domestic law.</w:t>
      </w:r>
    </w:p>
    <w:p>
      <w:pPr>
        <w:pStyle w:val="Normal"/>
      </w:pPr>
      <w:r>
        <w:t>2. Protection shall extend to recruitment, hiring, compensation, benefits, assignments, training, promotion, working conditions, harassment, termination, layoffs, and retaliation.</w:t>
      </w:r>
    </w:p>
    <w:p>
      <w:pPr>
        <w:pStyle w:val="Normal"/>
      </w:pPr>
      <w:r>
        <w:t>3. Parties shall maintain effective requirements for reasonable accommodation, subject to applicable undue-hardship or disproportionate-burden standards.</w:t>
      </w:r>
    </w:p>
    <w:p>
      <w:pPr>
        <w:pStyle w:val="Normal"/>
      </w:pPr>
      <w:r>
        <w:t>4. Domestic law may recognize additional protected grounds and provide stronger remedies without inconsistency with this Agreement.</w:t>
      </w:r>
    </w:p>
    <w:p>
      <w:pPr>
        <w:pStyle w:val="Heading2"/>
      </w:pPr>
      <w:bookmarkStart w:id="900761" w:name="_Toc300000760"/>
      <w:r>
        <w:t>Article 23.L: Proportionate Employer Equality Duties</w:t>
      </w:r>
      <w:bookmarkEnd w:id="900761"/>
    </w:p>
    <w:p>
      <w:pPr>
        <w:pStyle w:val="Normal"/>
      </w:pPr>
      <w:r>
        <w:t>1. Employers shall maintain an accessible process for reporting and addressing discrimination and harassment without retaliation.</w:t>
      </w:r>
    </w:p>
    <w:p>
      <w:pPr>
        <w:pStyle w:val="Normal"/>
      </w:pPr>
      <w:r>
        <w:t>2. Larger employers may be required under domestic law to maintain documented equality plans, periodic manager training, and objective compensation reviews for unexplained disparities. Simplified compliance methods shall be available for smaller employers where appropriate.</w:t>
      </w:r>
    </w:p>
    <w:p>
      <w:pPr>
        <w:pStyle w:val="Normal"/>
      </w:pPr>
      <w:r>
        <w:t>3. Compensation review shall distinguish unlawful or unjustified disparities from differences objectively attributable to role, tenure, location, hours, qualifications, performance, scarcity, or other legitimate factors.</w:t>
      </w:r>
    </w:p>
    <w:p>
      <w:pPr>
        <w:pStyle w:val="Heading2"/>
      </w:pPr>
      <w:bookmarkStart w:id="900762" w:name="_Toc300000761"/>
      <w:r>
        <w:t>Article 23.M: Migrant, Temporary, Agency, and Contract Worker Parity</w:t>
      </w:r>
      <w:bookmarkEnd w:id="900762"/>
    </w:p>
    <w:p>
      <w:pPr>
        <w:pStyle w:val="Normal"/>
      </w:pPr>
      <w:r>
        <w:t>1. A worker shall not receive less favourable substantive protection under this Chapter solely because of immigration status, temporary or seasonal status, part-time status, agency placement, or similar employment classification, except where a distinction is objectively justified and consistent with domestic law.</w:t>
      </w:r>
    </w:p>
    <w:p>
      <w:pPr>
        <w:pStyle w:val="Normal"/>
      </w:pPr>
      <w:r>
        <w:t>2. Parties shall maintain practical avenues through which migrant and temporary workers can report labour and occupational-safety violations without unlawful retaliation.</w:t>
      </w:r>
    </w:p>
    <w:p>
      <w:pPr>
        <w:pStyle w:val="Heading2"/>
      </w:pPr>
      <w:bookmarkStart w:id="900763" w:name="_Toc300000762"/>
      <w:r>
        <w:t>Article 23.N: Automated Employment Decision Safeguards</w:t>
      </w:r>
      <w:bookmarkEnd w:id="900763"/>
    </w:p>
    <w:p>
      <w:pPr>
        <w:pStyle w:val="Normal"/>
      </w:pPr>
      <w:r>
        <w:t>1. Where automated systems materially influence recruitment, scheduling, promotion, compensation, discipline, or termination, each Party shall maintain protections against unlawful discriminatory outcomes.</w:t>
      </w:r>
    </w:p>
    <w:p>
      <w:pPr>
        <w:pStyle w:val="Normal"/>
      </w:pPr>
      <w:r>
        <w:t>2. Workers shall have access to an appropriate human review, contestability, or equivalent remedy where an automated decision materially affects employment rights or opportunities.</w:t>
      </w:r>
    </w:p>
    <w:p>
      <w:pPr>
        <w:pStyle w:val="Normal"/>
      </w:pPr>
      <w:r>
        <w:t>3. Nothing in this Article requires disclosure of source code, trade secrets, or protected security information except as otherwise permitted by this Agreement or domestic law.</w:t>
      </w:r>
    </w:p>
    <w:p>
      <w:pPr>
        <w:pStyle w:val="Heading2"/>
      </w:pPr>
      <w:bookmarkStart w:id="900764" w:name="_Toc300000763"/>
      <w:r>
        <w:t>Article 23.O: Protected Exercise Firewall</w:t>
      </w:r>
      <w:bookmarkEnd w:id="900764"/>
    </w:p>
    <w:p>
      <w:pPr>
        <w:pStyle w:val="Normal"/>
      </w:pPr>
      <w:r>
        <w:t>1. No Party shall administer cooperation under this Agreement in a manner that materially deters a worker from reporting or participating in the investigation of a labour-rights or occupational-safety violation solely because of the worker’s immigration status.</w:t>
      </w:r>
    </w:p>
    <w:p>
      <w:pPr>
        <w:pStyle w:val="Normal"/>
      </w:pPr>
      <w:r>
        <w:t>2. Information obtained principally through a worker’s good-faith exercise of rights under this Chapter shall not be transferred to another Party for unrelated civil immigration enforcement except where required by domestic law, judicial process, or a narrowly tailored exception involving an imminent threat to life or serious public safety.</w:t>
      </w:r>
    </w:p>
    <w:p>
      <w:pPr>
        <w:pStyle w:val="Normal"/>
      </w:pPr>
      <w:r>
        <w:t>3. The protection in paragraph 2 does not create immunity from criminal law and shall not prevent lawful investigation of fraud or abuse of the complaint process.</w:t>
      </w:r>
    </w:p>
    <w:p>
      <w:pPr>
        <w:pStyle w:val="Heading2"/>
      </w:pPr>
      <w:bookmarkStart w:id="900765" w:name="_Toc300000764"/>
      <w:r>
        <w:t>Article 23.P: Labour Enforcement Escalation and Institutional Restraint</w:t>
      </w:r>
      <w:bookmarkEnd w:id="900765"/>
    </w:p>
    <w:p>
      <w:pPr>
        <w:pStyle w:val="Normal"/>
      </w:pPr>
      <w:r>
        <w:t>1. Individual complaints shall ordinarily be addressed through effective domestic remedies. Systemic, pattern-and-practice, or persistent failures affecting obligations under this Chapter may proceed through the Agreement’s verification and dispute-settlement architecture.</w:t>
      </w:r>
    </w:p>
    <w:p>
      <w:pPr>
        <w:pStyle w:val="Normal"/>
      </w:pPr>
      <w:r>
        <w:t>2. Expedited facility-specific procedures shall be reserved for serious, verified denials of covered rights where ordinary remedies are inadequate or persistently ineffective.</w:t>
      </w:r>
    </w:p>
    <w:p>
      <w:pPr>
        <w:pStyle w:val="Normal"/>
      </w:pPr>
      <w:r>
        <w:t>3. The Parties shall implement these obligations through existing domestic institutions and existing bodies under this Agreement wherever practicable. No new standing body shall be created where an existing institution can perform the required function.</w:t>
      </w:r>
    </w:p>
    <w:p>
      <w:pPr>
        <w:pStyle w:val="Heading2"/>
      </w:pPr>
      <w:bookmarkStart w:id="900766" w:name="_Toc300000765"/>
      <w:r>
        <w:t>Article 23.Q: Worker-Rights Non-Bargaining Firewall</w:t>
      </w:r>
      <w:bookmarkEnd w:id="900766"/>
    </w:p>
    <w:p>
      <w:pPr>
        <w:pStyle w:val="Normal"/>
      </w:pPr>
      <w:r>
        <w:t>1. No Party may suspend, waive, reduce, condition, or exchange a worker right protected by this Chapter as retaliation, compensation, consideration, or leverage in an unrelated dispute under this Agreement. Trade remedies authorized for a labour violation may be used to secure compliance with labour obligations, but the underlying rights of workers in Canada, Mexico, and the United States are not bargaining currency.</w:t>
      </w:r>
    </w:p>
    <w:p>
      <w:pPr>
        <w:pStyle w:val="Heading2"/>
      </w:pPr>
      <w:bookmarkStart w:id="900767" w:name="_Toc300000766"/>
      <w:r>
        <w:t>Section 23.R: Relationship to Chapter 23-B (Just Transition)</w:t>
      </w:r>
      <w:bookmarkEnd w:id="900767"/>
    </w:p>
    <w:p>
      <w:pPr>
        <w:pStyle w:val="Normal"/>
      </w:pPr>
      <w:r>
        <w:t>Chapter 23 protections (freedom of association, collective bargaining, occupational safety) remain the floor for all workers. Chapter 23-B (North American Just Transition and Worker Security Framework) provides additional, specific protections for workers and communities affected by the economic, energy, and industrial transformations contemplated by this Agreement. Chapter 23-B income support, retraining, and benefit portability obligations operate in addition to and do not diminish Chapter 23 protections.</w:t>
      </w:r>
    </w:p>
    <w:p>
      <w:pPr>
        <w:pStyle w:val="Heading1"/>
      </w:pPr>
      <w:bookmarkStart w:id="900768" w:name="_Toc300000767"/>
      <w:r>
        <w:t>CHAPTER 23-B NORTH AMERICAN JUST TRANSITION AND WORKER SECURITY FRAMEWORK</w:t>
      </w:r>
      <w:bookmarkEnd w:id="900768"/>
    </w:p>
    <w:p>
      <w:pPr>
        <w:pStyle w:val="Normal"/>
      </w:pPr>
      <w:r>
        <w:t>(HARDENED VERSION WITH ENFORCEMENT MECHANISMS AND FINANCIAL COMMITMENTS)</w:t>
      </w:r>
    </w:p>
    <w:p>
      <w:pPr>
        <w:pStyle w:val="Heading2"/>
      </w:pPr>
      <w:bookmarkStart w:id="900769" w:name="_Toc300000768"/>
      <w:r>
        <w:t>Article 23-B.1: Purpose and Principles</w:t>
      </w:r>
      <w:bookmarkEnd w:id="900769"/>
    </w:p>
    <w:p>
      <w:pPr>
        <w:pStyle w:val="Normal"/>
      </w:pPr>
      <w:r>
        <w:t>The Parties recognize that the economic, energy, and industrial transformations contemplated by this Agreement will have profound effects on workers, families, and communities across North America. These transformations shall be actively managed to ensure that no worker, community, or region is left behind, and that the benefits of transition are broadly and equitably shared.</w:t>
      </w:r>
    </w:p>
    <w:p>
      <w:pPr>
        <w:pStyle w:val="Normal"/>
      </w:pPr>
      <w:r>
        <w:t>The Parties affirm the International Labour Organization's Guidelines for a Just Transition towards Environmentally Sustainable Economies and Societies for All (2015) as the legally binding guiding framework for this Chapter.</w:t>
      </w:r>
    </w:p>
    <w:p>
      <w:pPr>
        <w:pStyle w:val="Normal"/>
      </w:pPr>
      <w:r>
        <w:t>The following principles shall govern the implementation of this Chapter:</w:t>
      </w:r>
    </w:p>
    <w:p>
      <w:pPr>
        <w:pStyle w:val="Normal"/>
      </w:pPr>
      <w:r>
        <w:t>(a) No Worker Left Behind: Workers displaced or materially affected by the transitions contemplated by this Agreement shall have unconditional access to concrete support, including income security, retraining, and transition assistance. No worker shall be excluded based on immigration status, sector, or geography.</w:t>
      </w:r>
    </w:p>
    <w:p>
      <w:pPr>
        <w:pStyle w:val="Normal"/>
      </w:pPr>
      <w:r>
        <w:t>(b) Leave No Community Behind: Communities and regions dependent on transitioning industries shall receive targeted, predictable support for economic diversification, infrastructure investment, and social cohesion.</w:t>
      </w:r>
    </w:p>
    <w:p>
      <w:pPr>
        <w:pStyle w:val="Normal"/>
      </w:pPr>
      <w:r>
        <w:t>(c) Worker Participation: Workers and their representatives shall be consulted and engaged at every stage of the design and implementation of transition policies, from sector identification to fund allocation to program evaluation.</w:t>
      </w:r>
    </w:p>
    <w:p>
      <w:pPr>
        <w:pStyle w:val="Normal"/>
      </w:pPr>
      <w:r>
        <w:t>(d) Social Dialogue: The Parties shall engage with employers, unions, and civil society in tripartite and multi-stakeholder processes to shape just transition policies. No policy affecting workers shall be implemented without prior consultation with worker representatives.</w:t>
      </w:r>
    </w:p>
    <w:p>
      <w:pPr>
        <w:pStyle w:val="Normal"/>
      </w:pPr>
      <w:r>
        <w:t>(e) Non-Regression: Nothing in this Chapter shall be used to weaken, reduce, or defer existing worker protections, social safety nets, or collective bargaining rights. Existing protections shall not be rolled back as a condition of access to Chapter 23-B benefits.</w:t>
      </w:r>
    </w:p>
    <w:p>
      <w:pPr>
        <w:pStyle w:val="Normal"/>
      </w:pPr>
      <w:r>
        <w:t>(f) Complementarity: This Chapter operates within and supplements the treaty-wide human-rights floor established in Package CL (North American Human Dignity, Equality and Rights Framework). Human beings are not trade collateral; economic integration shall not be achieved at the expense of worker dignity, security, or fundamental rights.</w:t>
      </w:r>
    </w:p>
    <w:p>
      <w:pPr>
        <w:pStyle w:val="Normal"/>
      </w:pPr>
      <w:r>
        <w:t>(g) Primacy Over Trade Measures: Chapter 23-B obligations take precedence over Article 35.17A (Remediation Investment and Corrective Compensation) and other trade remedies. Worker protection is not subordinate to trade interests.</w:t>
      </w:r>
    </w:p>
    <w:p>
      <w:pPr>
        <w:pStyle w:val="Heading2"/>
      </w:pPr>
      <w:bookmarkStart w:id="900770" w:name="_Toc300000769"/>
      <w:r>
        <w:t>Article 23-B.2: Definitions</w:t>
      </w:r>
      <w:bookmarkEnd w:id="900770"/>
    </w:p>
    <w:p>
      <w:pPr>
        <w:pStyle w:val="Normal"/>
      </w:pPr>
      <w:r>
        <w:t>For the purposes of this Chapter:</w:t>
      </w:r>
    </w:p>
    <w:p>
      <w:pPr>
        <w:pStyle w:val="Normal"/>
      </w:pPr>
      <w:r>
        <w:t>Just Transition means the managed, rights-based process of shifting to a low-carbon, sustainable, and resilient economy in a manner that maximizes concrete benefits for workers and communities while actively minimizing and mitigating adverse social and economic impacts, consistent with the ILO Guidelines for a Just Transition. Just Transition is not aspirational; it is an enforceable commitment.</w:t>
      </w:r>
    </w:p>
    <w:p>
      <w:pPr>
        <w:pStyle w:val="Normal"/>
      </w:pPr>
      <w:r>
        <w:t>Affected Worker means a worker whose employment is materially impacted (whether through displacement, permanent layoff, significant and sustained reduction in hours (&gt;20% reduction lasting &gt;3 months), or fundamental change in job content or location)as a direct or reasonably foreseeable indirect result of the economic, energy, or industrial transitions contemplated by this Agreement, including but not limited to decarbonization, automation, supply-chain restructuring, electrification, digitization, and sectoral transformation. Affected Workers include wage employees, temporary workers, migrant workers, gig workers, and workers in informal employment relationships.</w:t>
      </w:r>
    </w:p>
    <w:p>
      <w:pPr>
        <w:pStyle w:val="Normal"/>
      </w:pPr>
      <w:r>
        <w:t>Affected Community means a region, locality, municipality, or community that experiences significant economic disruption, employment loss exceeding 5% of local workforce in a single sector, or social dislocation (including loss of tax base, closure of public services, or emigration pressure) as a result of the transitions contemplated by this Agreement. A community is "affected" even if not all workers in that community are displaced.</w:t>
      </w:r>
    </w:p>
    <w:p>
      <w:pPr>
        <w:pStyle w:val="Normal"/>
      </w:pPr>
      <w:r>
        <w:t>Transition Sector means an economic sector or industry designated by the Commission under Article 23-B.8 as undergoing or likely to undergo significant transformation due to the Agreement's implementation or each Party's domestic climate and energy policies. Core Transition Sectors include: fossil fuel energy production and distribution; coal mining; automotive manufacturing; steel and aluminum production; heavy industrial manufacturing; and forestry and logging.</w:t>
      </w:r>
    </w:p>
    <w:p>
      <w:pPr>
        <w:pStyle w:val="Normal"/>
      </w:pPr>
      <w:r>
        <w:t>Portable Benefit means a social protection or employment-related benefit that is not tied to a specific employer or jurisdiction and that may be carried by a worker across employers, sectors, and the territories of the Parties without loss of accrued value or entitlement.</w:t>
      </w:r>
    </w:p>
    <w:p>
      <w:pPr>
        <w:pStyle w:val="Normal"/>
      </w:pPr>
      <w:r>
        <w:t>Wage Insurance means income replacement for a displaced worker at a specified percentage of the worker's prior wage, available for a defined period during retraining or job search.</w:t>
      </w:r>
    </w:p>
    <w:p>
      <w:pPr>
        <w:pStyle w:val="Normal"/>
      </w:pPr>
      <w:r>
        <w:t>Income Replacement means regular cash payments to a displaced or transitioning worker at a level sufficient to maintain economic security and dignity during periods of unemployment, retraining, or underemployment.</w:t>
      </w:r>
    </w:p>
    <w:p>
      <w:pPr>
        <w:pStyle w:val="Normal"/>
      </w:pPr>
      <w:r>
        <w:t>Commission means the Free Trade Commission established under Article 30 of the Agreement.</w:t>
      </w:r>
    </w:p>
    <w:p>
      <w:pPr>
        <w:pStyle w:val="Normal"/>
      </w:pPr>
      <w:r>
        <w:t>Fund means the North American Just Transition Fund established under Article 23-B.7.</w:t>
      </w:r>
    </w:p>
    <w:p>
      <w:pPr>
        <w:pStyle w:val="Heading2"/>
      </w:pPr>
      <w:bookmarkStart w:id="900771" w:name="_Toc300000770"/>
      <w:r>
        <w:t>Article 23-B.3: Mandatory Worker Income Security and Transition Support</w:t>
      </w:r>
      <w:bookmarkEnd w:id="900771"/>
    </w:p>
    <w:p>
      <w:pPr>
        <w:pStyle w:val="Normal"/>
      </w:pPr>
      <w:r>
        <w:t>Each Party shall maintain or establish, and continuously fund, programs providing income support for Affected Workers during periods of transition. These programs are mandatory, not discretionary.</w:t>
      </w:r>
    </w:p>
    <w:p>
      <w:pPr>
        <w:pStyle w:val="Heading3"/>
      </w:pPr>
      <w:r>
        <w:t>(a) Wage Insurance and Income Replacement</w:t>
      </w:r>
    </w:p>
    <w:p>
      <w:pPr>
        <w:pStyle w:val="Normal"/>
      </w:pPr>
      <w:r>
        <w:t>(i) Each Party shall provide Wage Insurance or Income Replacement to Affected Workers at the following minimum levels:</w:t>
      </w:r>
    </w:p>
    <w:p>
      <w:pPr>
        <w:pStyle w:val="ListBullet"/>
        <w:numPr>
          <w:ilvl w:val="0"/>
          <w:numId w:val="1"/>
        </w:numPr>
      </w:pPr>
      <w:r/>
      <w:r>
        <w:t>Months 1–12: Minimum 75% of the worker's prior average monthly wage</w:t>
      </w:r>
    </w:p>
    <w:p>
      <w:pPr>
        <w:pStyle w:val="ListBullet"/>
      </w:pPr>
      <w:r>
        <w:t>Months 13–24: Minimum 65% of the worker's prior average monthly wage</w:t>
      </w:r>
    </w:p>
    <w:p>
      <w:pPr>
        <w:pStyle w:val="ListBullet"/>
      </w:pPr>
      <w:r>
        <w:t>Months 25–36: Minimum 55% of the worker's prior average monthly wage</w:t>
      </w:r>
    </w:p>
    <w:p>
      <w:pPr>
        <w:pStyle w:val="Normal"/>
      </w:pPr>
      <w:r>
        <w:t>(ii) Income Replacement payments shall continue for a minimum of 36 months from the date of displacement or material impact.</w:t>
      </w:r>
    </w:p>
    <w:p>
      <w:pPr>
        <w:pStyle w:val="Normal"/>
      </w:pPr>
      <w:r>
        <w:t>(iii) Income Replacement shall be indexed annually to inflation to maintain real wage value.</w:t>
      </w:r>
    </w:p>
    <w:p>
      <w:pPr>
        <w:pStyle w:val="Normal"/>
      </w:pPr>
      <w:r>
        <w:t>(iv) No worker receiving Income Replacement shall fall below each Party's established poverty line. If the percentage specified in (i) would result in income below the poverty line, the Party shall provide the poverty-line amount as a floor.</w:t>
      </w:r>
    </w:p>
    <w:p>
      <w:pPr>
        <w:pStyle w:val="Normal"/>
      </w:pPr>
      <w:r>
        <w:t>(v) Income Replacement is unconditional during the first 3 months of unemployment (no "job search" requirement). After 3 months, continuation may be conditioned on documented participation in retraining under Article 23-B.4 or active job search.</w:t>
      </w:r>
    </w:p>
    <w:p>
      <w:pPr>
        <w:pStyle w:val="Heading3"/>
      </w:pPr>
      <w:r>
        <w:t>(b) Extended Unemployment Benefits and Transition Allowances</w:t>
      </w:r>
    </w:p>
    <w:p>
      <w:pPr>
        <w:pStyle w:val="Normal"/>
      </w:pPr>
      <w:r>
        <w:t>(i) For workers in designated Transition Sectors who cannot immediately secure employment at or near prior wage levels, each Party shall provide Transition Allowances (supplemental payments) at the following levels:</w:t>
      </w:r>
    </w:p>
    <w:p>
      <w:pPr>
        <w:pStyle w:val="ListBullet"/>
        <w:numPr>
          <w:ilvl w:val="0"/>
          <w:numId w:val="1"/>
        </w:numPr>
      </w:pPr>
      <w:r/>
      <w:r>
        <w:t>If new employment wage is 50–74% of prior wage: Supplement of 25–50% of prior wage difference for up to 24 additional months</w:t>
      </w:r>
    </w:p>
    <w:p>
      <w:pPr>
        <w:pStyle w:val="ListBullet"/>
      </w:pPr>
      <w:r>
        <w:t>If new employment wage is &lt;50% of prior wage: Supplement of 50% of prior wage difference for up to 36 additional months</w:t>
      </w:r>
    </w:p>
    <w:p>
      <w:pPr>
        <w:pStyle w:val="Normal"/>
      </w:pPr>
      <w:r>
        <w:t>(ii) These supplemental payments are in addition to the income replacement specified in (a).</w:t>
      </w:r>
    </w:p>
    <w:p>
      <w:pPr>
        <w:pStyle w:val="Heading3"/>
      </w:pPr>
      <w:r>
        <w:t>(c) Early Retirement and Phased Retirement</w:t>
      </w:r>
    </w:p>
    <w:p>
      <w:pPr>
        <w:pStyle w:val="Normal"/>
      </w:pPr>
      <w:r>
        <w:t>(i) For workers aged 55 or older in designated Transition Sectors, each Party shall offer early retirement or phased-retirement options with:</w:t>
      </w:r>
    </w:p>
    <w:p>
      <w:pPr>
        <w:pStyle w:val="ListBullet"/>
        <w:numPr>
          <w:ilvl w:val="0"/>
          <w:numId w:val="1"/>
        </w:numPr>
      </w:pPr>
      <w:r/>
      <w:r>
        <w:t>Full preservation of pension and retirement benefit entitlements</w:t>
      </w:r>
    </w:p>
    <w:p>
      <w:pPr>
        <w:pStyle w:val="ListBullet"/>
      </w:pPr>
      <w:r>
        <w:t>No actuarial reduction in monthly benefit payments due to early claim</w:t>
      </w:r>
    </w:p>
    <w:p>
      <w:pPr>
        <w:pStyle w:val="ListBullet"/>
      </w:pPr>
      <w:r>
        <w:t>Bridge income (if necessary) to reach age 62 (U.S./Mexico) or 65 (Canada) at levels of at least 80% of prior wage</w:t>
      </w:r>
    </w:p>
    <w:p>
      <w:pPr>
        <w:pStyle w:val="Normal"/>
      </w:pPr>
      <w:r>
        <w:t>(ii) Early retirement shall be genuinely voluntary and must be offered before involuntary layoff.</w:t>
      </w:r>
    </w:p>
    <w:p>
      <w:pPr>
        <w:pStyle w:val="Heading3"/>
      </w:pPr>
      <w:r>
        <w:t>(d) Transition to Self-Employment and Entrepreneurship</w:t>
      </w:r>
    </w:p>
    <w:p>
      <w:pPr>
        <w:pStyle w:val="Normal"/>
      </w:pPr>
      <w:r>
        <w:t>(i) Workers transitioning to self-employment, cooperative enterprises, or worker-ownership models shall receive:</w:t>
      </w:r>
    </w:p>
    <w:p>
      <w:pPr>
        <w:pStyle w:val="ListBullet"/>
        <w:numPr>
          <w:ilvl w:val="0"/>
          <w:numId w:val="1"/>
        </w:numPr>
      </w:pPr>
      <w:r/>
      <w:r>
        <w:t>Startup capital grants of up to $25,000 USD per worker</w:t>
      </w:r>
    </w:p>
    <w:p>
      <w:pPr>
        <w:pStyle w:val="ListBullet"/>
      </w:pPr>
      <w:r>
        <w:t>Business planning and technical assistance</w:t>
      </w:r>
    </w:p>
    <w:p>
      <w:pPr>
        <w:pStyle w:val="ListBullet"/>
      </w:pPr>
      <w:r>
        <w:t>Liability insurance coverage for up to 24 months</w:t>
      </w:r>
    </w:p>
    <w:p>
      <w:pPr>
        <w:pStyle w:val="ListBullet"/>
      </w:pPr>
      <w:r>
        <w:t>Extension of Income Replacement payments (at 50% level) during first 18 months of business launch</w:t>
      </w:r>
    </w:p>
    <w:p>
      <w:pPr>
        <w:pStyle w:val="Heading3"/>
      </w:pPr>
      <w:r>
        <w:t>(e) Universal Accessibility</w:t>
      </w:r>
    </w:p>
    <w:p>
      <w:pPr>
        <w:pStyle w:val="Normal"/>
      </w:pPr>
      <w:r>
        <w:t>(i) All programs under this Article shall be accessible to all Affected Workers without regard to immigration status, employment type, or sector.</w:t>
      </w:r>
    </w:p>
    <w:p>
      <w:pPr>
        <w:pStyle w:val="Normal"/>
      </w:pPr>
      <w:r>
        <w:t>(ii) CRITICALLY: Migrant workers and temporary workers with valid work authorization shall receive full income support benefits. A worker's immigration status shall not affect eligibility or benefit levels.</w:t>
      </w:r>
    </w:p>
    <w:p>
      <w:pPr>
        <w:pStyle w:val="Normal"/>
      </w:pPr>
      <w:r>
        <w:t>(iii) For workers whose work authorization expires during Income Replacement periods, each Party shall automatically issue a "Transition Work Visa" (see Article 23-B.3(f)) permitting continued residence and work while receiving benefits.</w:t>
      </w:r>
    </w:p>
    <w:p>
      <w:pPr>
        <w:pStyle w:val="Normal"/>
      </w:pPr>
      <w:r>
        <w:t>(iv) Benefits shall be paid directly to workers and shall not be contingent on employer cooperation or verification.</w:t>
      </w:r>
    </w:p>
    <w:p>
      <w:pPr>
        <w:pStyle w:val="Heading3"/>
      </w:pPr>
      <w:r>
        <w:t>(f) Transition Work Visa (New Provision)</w:t>
      </w:r>
    </w:p>
    <w:p>
      <w:pPr>
        <w:pStyle w:val="Normal"/>
      </w:pPr>
      <w:r>
        <w:t>Each Party shall create a temporary work visa category, renewable annually for up to 36 months, for Affected Workers (including migrant and temporary workers) in retraining programs or receiving Income Replacement. This visa:</w:t>
      </w:r>
    </w:p>
    <w:p>
      <w:pPr>
        <w:pStyle w:val="ListBullet"/>
        <w:numPr>
          <w:ilvl w:val="0"/>
          <w:numId w:val="1"/>
        </w:numPr>
      </w:pPr>
      <w:r/>
      <w:r>
        <w:t>Permits unrestricted work authorization and residence</w:t>
      </w:r>
    </w:p>
    <w:p>
      <w:pPr>
        <w:pStyle w:val="ListBullet"/>
      </w:pPr>
      <w:r>
        <w:t>Is not employer-specific</w:t>
      </w:r>
    </w:p>
    <w:p>
      <w:pPr>
        <w:pStyle w:val="ListBullet"/>
      </w:pPr>
      <w:r>
        <w:t>Carries full access to social benefits in that Party's territory</w:t>
      </w:r>
    </w:p>
    <w:p>
      <w:pPr>
        <w:pStyle w:val="ListBullet"/>
      </w:pPr>
      <w:r>
        <w:t>Shall not be revoked based on retraining performance or job-search results</w:t>
      </w:r>
    </w:p>
    <w:p>
      <w:pPr>
        <w:pStyle w:val="Heading3"/>
      </w:pPr>
      <w:r>
        <w:t>(g) Domestic Program Equivalence (Revised and Restricted)</w:t>
      </w:r>
    </w:p>
    <w:p>
      <w:pPr>
        <w:pStyle w:val="Normal"/>
      </w:pPr>
      <w:r>
        <w:t>A Party may use existing domestic programs to satisfy the obligations of this Article ONLY if:</w:t>
      </w:r>
    </w:p>
    <w:p>
      <w:pPr>
        <w:pStyle w:val="Normal"/>
      </w:pPr>
      <w:r>
        <w:t>(i) The Commission has independently verified that such programs provide functionally equivalent or greater protection to Affected Workers; AND</w:t>
      </w:r>
    </w:p>
    <w:p>
      <w:pPr>
        <w:pStyle w:val="Normal"/>
      </w:pPr>
      <w:r>
        <w:t>(ii) The Party submits detailed evidence to the Commission showing that:</w:t>
      </w:r>
    </w:p>
    <w:p>
      <w:pPr>
        <w:pStyle w:val="ListBullet"/>
      </w:pPr>
      <w:r>
        <w:t>Income replacement levels meet or exceed the minimums in 23-B.3(a)(i)</w:t>
      </w:r>
    </w:p>
    <w:p>
      <w:pPr>
        <w:pStyle w:val="ListBullet"/>
      </w:pPr>
      <w:r>
        <w:t>Benefit duration meets the 36-month minimum</w:t>
      </w:r>
    </w:p>
    <w:p>
      <w:pPr>
        <w:pStyle w:val="ListBullet"/>
      </w:pPr>
      <w:r>
        <w:t>Programs are accessible to all Affected Workers regardless of immigration status</w:t>
      </w:r>
    </w:p>
    <w:p>
      <w:pPr>
        <w:pStyle w:val="ListBullet"/>
      </w:pPr>
      <w:r>
        <w:t>No existing program has been rolled back or reduced in scope within the past 5 years</w:t>
      </w:r>
    </w:p>
    <w:p>
      <w:pPr>
        <w:pStyle w:val="Normal"/>
      </w:pPr>
      <w:r>
        <w:t>(iii) Commission verification shall occur within 6 months of Article 23-B.3's entry into force. If verification fails, the Party must establish new programs meeting 23-B.3 standards within 12 months.</w:t>
      </w:r>
    </w:p>
    <w:p>
      <w:pPr>
        <w:pStyle w:val="Heading2"/>
      </w:pPr>
      <w:bookmarkStart w:id="900772" w:name="_Toc300000771"/>
      <w:r>
        <w:t>Article 23-B.4: Mandatory Skills Development, Reskilling, and Lifelong Learning</w:t>
      </w:r>
      <w:bookmarkEnd w:id="900772"/>
    </w:p>
    <w:p>
      <w:pPr>
        <w:pStyle w:val="Normal"/>
      </w:pPr>
      <w:r>
        <w:t>Each Party shall establish, and continuously fund, comprehensive programs providing Affected Workers with unconditional access to training, upskilling, reskilling, and lifelong learning opportunities.</w:t>
      </w:r>
    </w:p>
    <w:p>
      <w:pPr>
        <w:pStyle w:val="Heading3"/>
      </w:pPr>
      <w:r>
        <w:t>(a) Right to Paid Training</w:t>
      </w:r>
    </w:p>
    <w:p>
      <w:pPr>
        <w:pStyle w:val="Normal"/>
      </w:pPr>
      <w:r>
        <w:t>(i) Each Affected Worker in a designated Transition Sector has an unconditional RIGHT to paid training during working hours.</w:t>
      </w:r>
    </w:p>
    <w:p>
      <w:pPr>
        <w:pStyle w:val="Normal"/>
      </w:pPr>
      <w:r>
        <w:t>(ii) Training shall be compensated at the worker's regular rate of pay. Workers shall not experience any wage loss due to retraining.</w:t>
      </w:r>
    </w:p>
    <w:p>
      <w:pPr>
        <w:pStyle w:val="Normal"/>
      </w:pPr>
      <w:r>
        <w:t>(iii) Paid training time shall count toward pension and benefit accrual as if the worker had been actively employed.</w:t>
      </w:r>
    </w:p>
    <w:p>
      <w:pPr>
        <w:pStyle w:val="Normal"/>
      </w:pPr>
      <w:r>
        <w:t>(iv) Minimum training duration: 12 months of full-time (or equivalent part-time) paid training per Affected Worker.</w:t>
      </w:r>
    </w:p>
    <w:p>
      <w:pPr>
        <w:pStyle w:val="Normal"/>
      </w:pPr>
      <w:r>
        <w:t>(v) Workers selecting part-time training may extend the period up to 24 months while continuing to receive income support.</w:t>
      </w:r>
    </w:p>
    <w:p>
      <w:pPr>
        <w:pStyle w:val="Heading3"/>
      </w:pPr>
      <w:r>
        <w:t>(b) Universal Access to Skills Assessment and Career Counseling</w:t>
      </w:r>
    </w:p>
    <w:p>
      <w:pPr>
        <w:pStyle w:val="Heading3"/>
      </w:pPr>
      <w:r>
        <w:t>(i) Each Party shall provide, at no cost to the worker:</w:t>
      </w:r>
    </w:p>
    <w:p>
      <w:pPr>
        <w:pStyle w:val="ListBullet"/>
        <w:numPr>
          <w:ilvl w:val="0"/>
          <w:numId w:val="1"/>
        </w:numPr>
      </w:pPr>
      <w:r/>
      <w:r>
        <w:t>Individual skills assessment and occupational aptitude testing</w:t>
      </w:r>
    </w:p>
    <w:p>
      <w:pPr>
        <w:pStyle w:val="ListBullet"/>
      </w:pPr>
      <w:r>
        <w:t>Career counseling and transition planning</w:t>
      </w:r>
    </w:p>
    <w:p>
      <w:pPr>
        <w:pStyle w:val="ListBullet"/>
      </w:pPr>
      <w:r>
        <w:t>Information on labor market demand and wage prospects</w:t>
      </w:r>
    </w:p>
    <w:p>
      <w:pPr>
        <w:pStyle w:val="ListBullet"/>
      </w:pPr>
      <w:r>
        <w:t>Mental health and wellness support during transition</w:t>
      </w:r>
    </w:p>
    <w:p>
      <w:pPr>
        <w:pStyle w:val="Normal"/>
      </w:pPr>
      <w:r>
        <w:t>(ii) Assessment and counseling shall be available within 30 days of a worker's request.</w:t>
      </w:r>
    </w:p>
    <w:p>
      <w:pPr>
        <w:pStyle w:val="Heading3"/>
      </w:pPr>
      <w:r>
        <w:t>(c) Industry-Recognized Credentials and Certifications</w:t>
      </w:r>
    </w:p>
    <w:p>
      <w:pPr>
        <w:pStyle w:val="Normal"/>
      </w:pPr>
      <w:r>
        <w:t>(i) All training programs shall result in credentials and certifications that:</w:t>
      </w:r>
    </w:p>
    <w:p>
      <w:pPr>
        <w:pStyle w:val="ListBullet"/>
        <w:numPr>
          <w:ilvl w:val="0"/>
          <w:numId w:val="1"/>
        </w:numPr>
      </w:pPr>
      <w:r/>
      <w:r>
        <w:t>Are recognized by employers and industry bodies in all three Parties</w:t>
      </w:r>
    </w:p>
    <w:p>
      <w:pPr>
        <w:pStyle w:val="ListBullet"/>
      </w:pPr>
      <w:r>
        <w:t>Are portable across employers and sectors</w:t>
      </w:r>
    </w:p>
    <w:p>
      <w:pPr>
        <w:pStyle w:val="ListBullet"/>
      </w:pPr>
      <w:r>
        <w:t>Carry portable value across the territories of the Parties (see Article 23-B.4(f))</w:t>
      </w:r>
    </w:p>
    <w:p>
      <w:pPr>
        <w:pStyle w:val="Normal"/>
      </w:pPr>
      <w:r>
        <w:t>(ii) Training shall prioritize short-form, stackable micro-credentials allowing workers to build qualifications incrementally.</w:t>
      </w:r>
    </w:p>
    <w:p>
      <w:pPr>
        <w:pStyle w:val="Normal"/>
      </w:pPr>
      <w:r>
        <w:t>(iii) Each Party shall fund credential assessment and certification at no cost to workers.</w:t>
      </w:r>
    </w:p>
    <w:p>
      <w:pPr>
        <w:pStyle w:val="Heading3"/>
      </w:pPr>
      <w:r>
        <w:t>(d) Targeted Programs for Vulnerable Groups</w:t>
      </w:r>
    </w:p>
    <w:p>
      <w:pPr>
        <w:pStyle w:val="Normal"/>
      </w:pPr>
      <w:r>
        <w:t>Each Party shall establish dedicated retraining pathways for:</w:t>
      </w:r>
    </w:p>
    <w:p>
      <w:pPr>
        <w:pStyle w:val="ListBullet"/>
        <w:numPr>
          <w:ilvl w:val="0"/>
          <w:numId w:val="1"/>
        </w:numPr>
      </w:pPr>
      <w:r/>
      <w:r>
        <w:t>Older workers (55+) with wage-maintenance and age-discrimination protections</w:t>
      </w:r>
    </w:p>
    <w:p>
      <w:pPr>
        <w:pStyle w:val="ListBullet"/>
      </w:pPr>
      <w:r>
        <w:t>Women in traditionally male-dominated transition sectors</w:t>
      </w:r>
    </w:p>
    <w:p>
      <w:pPr>
        <w:pStyle w:val="ListBullet"/>
      </w:pPr>
      <w:r>
        <w:t>Indigenous peoples with culturally appropriate training options</w:t>
      </w:r>
    </w:p>
    <w:p>
      <w:pPr>
        <w:pStyle w:val="ListBullet"/>
      </w:pPr>
      <w:r>
        <w:t>Racialized workers and recent immigrants facing discrimination</w:t>
      </w:r>
    </w:p>
    <w:p>
      <w:pPr>
        <w:pStyle w:val="ListBullet"/>
      </w:pPr>
      <w:r>
        <w:t>Workers with disabilities and access requirements</w:t>
      </w:r>
    </w:p>
    <w:p>
      <w:pPr>
        <w:pStyle w:val="ListBullet"/>
      </w:pPr>
      <w:r>
        <w:t>Rural and remote workers with geographic barriers</w:t>
      </w:r>
    </w:p>
    <w:p>
      <w:pPr>
        <w:pStyle w:val="Normal"/>
      </w:pPr>
      <w:r>
        <w:t>Minimum allocation: 30% of training resources and 40% of Fund allocation shall serve these vulnerable groups.</w:t>
      </w:r>
    </w:p>
    <w:p>
      <w:pPr>
        <w:pStyle w:val="Heading3"/>
      </w:pPr>
      <w:r>
        <w:t>(e) Apprenticeships and On-the-Job Training</w:t>
      </w:r>
    </w:p>
    <w:p>
      <w:pPr>
        <w:pStyle w:val="Normal"/>
      </w:pPr>
      <w:r>
        <w:t>(i) Each Party shall expand paid apprenticeships and work-integrated learning in growth sectors.</w:t>
      </w:r>
    </w:p>
    <w:p>
      <w:pPr>
        <w:pStyle w:val="Normal"/>
      </w:pPr>
      <w:r>
        <w:t>(ii) Employer stipends: Each Party shall provide employers with wage subsidies (minimum 50% of apprentice wage) for apprentices and trainees hired from the Affected Worker pool.</w:t>
      </w:r>
    </w:p>
    <w:p>
      <w:pPr>
        <w:pStyle w:val="Normal"/>
      </w:pPr>
      <w:r>
        <w:t>(iii) Apprenticeships shall include:</w:t>
      </w:r>
    </w:p>
    <w:p>
      <w:pPr>
        <w:pStyle w:val="ListBullet"/>
      </w:pPr>
      <w:r>
        <w:t>Full wage compensation at 75%+ of journey-worker rate</w:t>
      </w:r>
    </w:p>
    <w:p>
      <w:pPr>
        <w:pStyle w:val="ListBullet"/>
      </w:pPr>
      <w:r>
        <w:t>Portable credentials upon completion</w:t>
      </w:r>
    </w:p>
    <w:p>
      <w:pPr>
        <w:pStyle w:val="ListBullet"/>
      </w:pPr>
      <w:r>
        <w:t>Job security (apprentice cannot be dismissed without cause)</w:t>
      </w:r>
    </w:p>
    <w:p>
      <w:pPr>
        <w:pStyle w:val="Heading3"/>
      </w:pPr>
      <w:r>
        <w:t>(f) North American Skills and Credential Recognition Working Group (Strengthened)</w:t>
      </w:r>
    </w:p>
    <w:p>
      <w:pPr>
        <w:pStyle w:val="Normal"/>
      </w:pPr>
      <w:r>
        <w:t>The Commission shall establish a North American Skills, Credentials and Certification Board (the "Board"), which shall:</w:t>
      </w:r>
    </w:p>
    <w:p>
      <w:pPr>
        <w:pStyle w:val="Heading3"/>
      </w:pPr>
      <w:r>
        <w:t>(i) Have binding authority (not advisory) to:</w:t>
      </w:r>
    </w:p>
    <w:p>
      <w:pPr>
        <w:pStyle w:val="ListBullet"/>
        <w:numPr>
          <w:ilvl w:val="0"/>
          <w:numId w:val="1"/>
        </w:numPr>
      </w:pPr>
      <w:r/>
      <w:r>
        <w:t>Certify credentials as "North American equivalent" (permitting cross-border recognition)</w:t>
      </w:r>
    </w:p>
    <w:p>
      <w:pPr>
        <w:pStyle w:val="ListBullet"/>
      </w:pPr>
      <w:r>
        <w:t>Identify skills gaps and labor market needs across the Parties</w:t>
      </w:r>
    </w:p>
    <w:p>
      <w:pPr>
        <w:pStyle w:val="ListBullet"/>
      </w:pPr>
      <w:r>
        <w:t>Establish interoperability standards for credentials, certifications, and micro-credentials</w:t>
      </w:r>
    </w:p>
    <w:p>
      <w:pPr>
        <w:pStyle w:val="ListBullet"/>
      </w:pPr>
      <w:r>
        <w:t>Approve training curricula for cross-border portability</w:t>
      </w:r>
    </w:p>
    <w:p>
      <w:pPr>
        <w:pStyle w:val="Normal"/>
      </w:pPr>
      <w:r>
        <w:t>(ii) Be composed of:</w:t>
      </w:r>
    </w:p>
    <w:p>
      <w:pPr>
        <w:pStyle w:val="ListBullet"/>
      </w:pPr>
      <w:r>
        <w:t>Three government representatives (one per Party)</w:t>
      </w:r>
    </w:p>
    <w:p>
      <w:pPr>
        <w:pStyle w:val="ListBullet"/>
      </w:pPr>
      <w:r>
        <w:t>Three worker/union representatives (with voting power equal to government)</w:t>
      </w:r>
    </w:p>
    <w:p>
      <w:pPr>
        <w:pStyle w:val="ListBullet"/>
      </w:pPr>
      <w:r>
        <w:t>Three employer representatives (with voting power equal to government)</w:t>
      </w:r>
    </w:p>
    <w:p>
      <w:pPr>
        <w:pStyle w:val="ListBullet"/>
      </w:pPr>
      <w:r>
        <w:t>One representative from each Party's education/training sector</w:t>
      </w:r>
    </w:p>
    <w:p>
      <w:pPr>
        <w:pStyle w:val="Normal"/>
      </w:pPr>
      <w:r>
        <w:t>(iii) Make binding decisions by qualified majority (6 of 9 voting members).</w:t>
      </w:r>
    </w:p>
    <w:p>
      <w:pPr>
        <w:pStyle w:val="Normal"/>
      </w:pPr>
      <w:r>
        <w:t>(iv) Have a secretariat funded by the Commission at a minimum of $5 million USD annually.</w:t>
      </w:r>
    </w:p>
    <w:p>
      <w:pPr>
        <w:pStyle w:val="Normal"/>
      </w:pPr>
      <w:r>
        <w:t>(v) Publish an annual "North American Skills and Credentials Registry" identifying all recognized credentials and their portability status.</w:t>
      </w:r>
    </w:p>
    <w:p>
      <w:pPr>
        <w:pStyle w:val="Normal"/>
      </w:pPr>
      <w:r>
        <w:t>(vi) Have authority to initiate financial compliance consequences if a Party blocks or delays credential recognition improperly. Specifically:</w:t>
      </w:r>
    </w:p>
    <w:p>
      <w:pPr>
        <w:pStyle w:val="ListBullet"/>
      </w:pPr>
      <w:r>
        <w:t>First violation: 30-day cure period</w:t>
      </w:r>
    </w:p>
    <w:p>
      <w:pPr>
        <w:pStyle w:val="ListBullet"/>
      </w:pPr>
      <w:r>
        <w:t>If unresolved: a binding make-whole assessment sufficient to reimburse affected workers for documented credential-assessment, retraining, delayed-employment, and related transition costs, together with an additional contribution to the Fund calibrated to the verified worker loss</w:t>
      </w:r>
    </w:p>
    <w:p>
      <w:pPr>
        <w:pStyle w:val="ListBullet"/>
      </w:pPr>
      <w:r>
        <w:t>Pattern of violations: enhanced make-whole payments and additional Fund contributions calibrated to the verified injury, with persistent or deliberate non-compliance eligible for the narrow, issue-related suspension remedies authorized under Article 23-B.11 and Chapter 31 after exhaustion of financial remedies</w:t>
      </w:r>
    </w:p>
    <w:p>
      <w:pPr>
        <w:pStyle w:val="Heading3"/>
      </w:pPr>
      <w:r>
        <w:t>(g) Mandatory Reporting on Training Outcomes</w:t>
      </w:r>
    </w:p>
    <w:p>
      <w:pPr>
        <w:pStyle w:val="Normal"/>
      </w:pPr>
      <w:r>
        <w:t>Each Party shall submit quarterly (not annual) reports to the Commission on:</w:t>
      </w:r>
    </w:p>
    <w:p>
      <w:pPr>
        <w:pStyle w:val="ListBullet"/>
        <w:numPr>
          <w:ilvl w:val="0"/>
          <w:numId w:val="1"/>
        </w:numPr>
      </w:pPr>
      <w:r/>
      <w:r>
        <w:t>Number of Affected Workers enrolled in training programs</w:t>
      </w:r>
    </w:p>
    <w:p>
      <w:pPr>
        <w:pStyle w:val="ListBullet"/>
      </w:pPr>
      <w:r>
        <w:t>Training completion rates and credential attainment</w:t>
      </w:r>
    </w:p>
    <w:p>
      <w:pPr>
        <w:pStyle w:val="ListBullet"/>
      </w:pPr>
      <w:r>
        <w:t>Employment outcomes (reemployment rate, wage recovery)</w:t>
      </w:r>
    </w:p>
    <w:p>
      <w:pPr>
        <w:pStyle w:val="ListBullet"/>
      </w:pPr>
      <w:r>
        <w:t>Demographic breakdown of trainees (age, gender, immigration status, ethnicity, disability status)</w:t>
      </w:r>
    </w:p>
    <w:p>
      <w:pPr>
        <w:pStyle w:val="ListBullet"/>
      </w:pPr>
      <w:r>
        <w:t>Cost per trainee and training quality metrics</w:t>
      </w:r>
    </w:p>
    <w:p>
      <w:pPr>
        <w:pStyle w:val="Normal"/>
      </w:pPr>
      <w:r>
        <w:t>Failure to submit timely reports shall trigger a written compliance notice and a mandatory administrative assessment payable to the Fund for each reporting period of continued non-compliance. The assessment shall be calibrated to the materiality and duration of the reporting failure and shall not reduce any worker or community benefit. If the missing report prevents calculation or delivery of benefits, the Party shall additionally make affected workers and communities whole for resulting delay or loss. Persistent or deliberate refusal after cure may be escalated under Article 23-B.11.</w:t>
      </w:r>
    </w:p>
    <w:p>
      <w:pPr>
        <w:pStyle w:val="Heading2"/>
      </w:pPr>
      <w:bookmarkStart w:id="900773" w:name="_Toc300000772"/>
      <w:r>
        <w:t>Article 23-B.5: Mandatory Portable Benefits and Cross-Border Social Protection</w:t>
      </w:r>
      <w:bookmarkEnd w:id="900773"/>
    </w:p>
    <w:p>
      <w:pPr>
        <w:pStyle w:val="Normal"/>
      </w:pPr>
      <w:r>
        <w:t>The Parties recognize that labor mobility across North America is essential to economic integration and that workers must not lose social protection, pension accrual, or benefit entitlements when moving between the territories of the Parties.</w:t>
      </w:r>
    </w:p>
    <w:p>
      <w:pPr>
        <w:pStyle w:val="Heading3"/>
      </w:pPr>
      <w:r>
        <w:t>(a) Mandatory Portability of Core Benefits</w:t>
      </w:r>
    </w:p>
    <w:p>
      <w:pPr>
        <w:pStyle w:val="Normal"/>
      </w:pPr>
      <w:r>
        <w:t>Each Party shall, through legislative amendment if necessary, guarantee the unrestricted portability of the following benefits:</w:t>
      </w:r>
    </w:p>
    <w:p>
      <w:pPr>
        <w:pStyle w:val="Heading3"/>
      </w:pPr>
      <w:r>
        <w:t>(i) Pension and Retirement Benefits</w:t>
      </w:r>
    </w:p>
    <w:p>
      <w:pPr>
        <w:pStyle w:val="ListBullet"/>
        <w:numPr>
          <w:ilvl w:val="0"/>
          <w:numId w:val="1"/>
        </w:numPr>
      </w:pPr>
      <w:r/>
      <w:r>
        <w:t>All accrued pension benefits from defined-contribution and defined-benefit plans shall be fully transferable between qualified plans in the territories of the Parties</w:t>
      </w:r>
    </w:p>
    <w:p>
      <w:pPr>
        <w:pStyle w:val="ListBullet"/>
      </w:pPr>
      <w:r>
        <w:t>No fee, penalty, or actuarial reduction shall be applied to transfers</w:t>
      </w:r>
    </w:p>
    <w:p>
      <w:pPr>
        <w:pStyle w:val="ListBullet"/>
      </w:pPr>
      <w:r>
        <w:t>A worker's pension accrual period in one Party shall count toward eligibility and benefit calculations in another Party</w:t>
      </w:r>
    </w:p>
    <w:p>
      <w:pPr>
        <w:pStyle w:val="ListBullet"/>
      </w:pPr>
      <w:r>
        <w:t>Minimum vesting period across all Plans: 3 years (or less, at the plan's choice)</w:t>
      </w:r>
    </w:p>
    <w:p>
      <w:pPr>
        <w:pStyle w:val="Normal"/>
      </w:pPr>
      <w:r>
        <w:t>(ii) Health and Medical Benefits</w:t>
      </w:r>
    </w:p>
    <w:p>
      <w:pPr>
        <w:pStyle w:val="ListBullet"/>
        <w:numPr>
          <w:ilvl w:val="0"/>
          <w:numId w:val="1"/>
        </w:numPr>
      </w:pPr>
      <w:r/>
      <w:r>
        <w:t>A worker shall maintain continuous health coverage when transitioning between Parties' territories</w:t>
      </w:r>
    </w:p>
    <w:p>
      <w:pPr>
        <w:pStyle w:val="ListBullet"/>
      </w:pPr>
      <w:r>
        <w:t>No waiting period for pre-existing conditions</w:t>
      </w:r>
    </w:p>
    <w:p>
      <w:pPr>
        <w:pStyle w:val="ListBullet"/>
      </w:pPr>
      <w:r>
        <w:t>Health benefit information and coverage portability documents must be provided in the worker's language of choice</w:t>
      </w:r>
    </w:p>
    <w:p>
      <w:pPr>
        <w:pStyle w:val="Normal"/>
      </w:pPr>
      <w:r>
        <w:t>(iii) Unemployment Insurance and Income-Support Benefits</w:t>
      </w:r>
    </w:p>
    <w:p>
      <w:pPr>
        <w:pStyle w:val="ListBullet"/>
        <w:numPr>
          <w:ilvl w:val="0"/>
          <w:numId w:val="1"/>
        </w:numPr>
      </w:pPr>
      <w:r/>
      <w:r>
        <w:t>Periods of contribution or unemployment in one Party count toward eligibility thresholds in another Party</w:t>
      </w:r>
    </w:p>
    <w:p>
      <w:pPr>
        <w:pStyle w:val="ListBullet"/>
      </w:pPr>
      <w:r>
        <w:t>Benefits earned in one Party are portable or honored when a worker moves to another Party</w:t>
      </w:r>
    </w:p>
    <w:p>
      <w:pPr>
        <w:pStyle w:val="ListBullet"/>
      </w:pPr>
      <w:r>
        <w:t>A worker's right to benefits is not forfeited by changing employment location or sector</w:t>
      </w:r>
    </w:p>
    <w:p>
      <w:pPr>
        <w:pStyle w:val="Normal"/>
      </w:pPr>
      <w:r>
        <w:t>(iv) Workers' Compensation and Occupational Injury Benefits</w:t>
      </w:r>
    </w:p>
    <w:p>
      <w:pPr>
        <w:pStyle w:val="ListBullet"/>
        <w:numPr>
          <w:ilvl w:val="0"/>
          <w:numId w:val="1"/>
        </w:numPr>
      </w:pPr>
      <w:r/>
      <w:r>
        <w:t>Coverage is continuous across Party territories</w:t>
      </w:r>
    </w:p>
    <w:p>
      <w:pPr>
        <w:pStyle w:val="ListBullet"/>
      </w:pPr>
      <w:r>
        <w:t>Awards, settlements, and ongoing payments for work-related injuries are honored by all Parties</w:t>
      </w:r>
    </w:p>
    <w:p>
      <w:pPr>
        <w:pStyle w:val="ListBullet"/>
      </w:pPr>
      <w:r>
        <w:t>A worker's injury history and rights to accommodation follow the worker across borders</w:t>
      </w:r>
    </w:p>
    <w:p>
      <w:pPr>
        <w:pStyle w:val="Heading3"/>
      </w:pPr>
      <w:r>
        <w:t>(v) Paid Leave Entitlements</w:t>
      </w:r>
    </w:p>
    <w:p>
      <w:pPr>
        <w:pStyle w:val="ListBullet"/>
        <w:numPr>
          <w:ilvl w:val="0"/>
          <w:numId w:val="1"/>
        </w:numPr>
      </w:pPr>
      <w:r/>
      <w:r>
        <w:t>Accrued sick leave, family leave, caregiving leave, and vacation time is portable</w:t>
      </w:r>
    </w:p>
    <w:p>
      <w:pPr>
        <w:pStyle w:val="ListBullet"/>
      </w:pPr>
      <w:r>
        <w:t>Unused leave balances are paid out or carried forward at the worker's election when moving between Parties</w:t>
      </w:r>
    </w:p>
    <w:p>
      <w:pPr>
        <w:pStyle w:val="Heading3"/>
      </w:pPr>
      <w:r>
        <w:t>(b) Trilateral Social Security Agreements (Binding Timeline)</w:t>
      </w:r>
    </w:p>
    <w:p>
      <w:pPr>
        <w:pStyle w:val="Normal"/>
      </w:pPr>
      <w:r>
        <w:t>(i) The Parties shall negotiate and conclude comprehensive bilateral or trilateral social security agreements consistent with OECD guidelines within 18 months of Article 23-B.5's entry into force.</w:t>
      </w:r>
    </w:p>
    <w:p>
      <w:pPr>
        <w:pStyle w:val="Normal"/>
      </w:pPr>
      <w:r>
        <w:t>(ii) Such agreements shall:</w:t>
      </w:r>
    </w:p>
    <w:p>
      <w:pPr>
        <w:pStyle w:val="ListBullet"/>
        <w:numPr>
          <w:ilvl w:val="0"/>
          <w:numId w:val="1"/>
        </w:numPr>
      </w:pPr>
      <w:r/>
      <w:r>
        <w:t>Ensure equal treatment of workers regardless of nationality</w:t>
      </w:r>
    </w:p>
    <w:p>
      <w:pPr>
        <w:pStyle w:val="ListBullet"/>
      </w:pPr>
      <w:r>
        <w:t>Guarantee accrued benefit rights</w:t>
      </w:r>
    </w:p>
    <w:p>
      <w:pPr>
        <w:pStyle w:val="ListBullet"/>
      </w:pPr>
      <w:r>
        <w:t>Establish totalization (period accumulation) rules</w:t>
      </w:r>
    </w:p>
    <w:p>
      <w:pPr>
        <w:pStyle w:val="ListBullet"/>
      </w:pPr>
      <w:r>
        <w:t>Facilitate labor mobility</w:t>
      </w:r>
    </w:p>
    <w:p>
      <w:pPr>
        <w:pStyle w:val="ListBullet"/>
      </w:pPr>
      <w:r>
        <w:t>Specify coordination of benefits when workers draw from multiple systems</w:t>
      </w:r>
    </w:p>
    <w:p>
      <w:pPr>
        <w:pStyle w:val="Normal"/>
      </w:pPr>
      <w:r>
        <w:t>(iii) If negotiations are not concluded within 18 months, the Commission shall establish a mandatory arbitration process with 90-day timelines to resolve disputes.</w:t>
      </w:r>
    </w:p>
    <w:p>
      <w:pPr>
        <w:pStyle w:val="Heading3"/>
      </w:pPr>
      <w:r>
        <w:t>(c) Interim Mandatory Steps (Effective Immediately Upon 23-B.5 Entry into Force)</w:t>
      </w:r>
    </w:p>
    <w:p>
      <w:pPr>
        <w:pStyle w:val="Normal"/>
      </w:pPr>
      <w:r>
        <w:t>Pending conclusion of social security agreements, each Party SHALL:</w:t>
      </w:r>
    </w:p>
    <w:p>
      <w:pPr>
        <w:pStyle w:val="Normal"/>
      </w:pPr>
      <w:r>
        <w:t>(i) Permit the transfer of pension and retirement account balances between qualified plans in the territories of the Parties without any penalty, fee, or tax consequence. Transfers must be completed within 30 days of request.</w:t>
      </w:r>
    </w:p>
    <w:p>
      <w:pPr>
        <w:pStyle w:val="Normal"/>
      </w:pPr>
      <w:r>
        <w:t>(ii) Recognize periods of employment and contribution in another Party for purposes of eligibility for social benefits (e.g., unemployment, disability, retirement). Minimum credit: 1 month worked in another Party = 1 month credit toward eligibility.</w:t>
      </w:r>
    </w:p>
    <w:p>
      <w:pPr>
        <w:pStyle w:val="Normal"/>
      </w:pPr>
      <w:r>
        <w:t>(iii) Provide workers, in writing and in their language of choice, with:</w:t>
      </w:r>
    </w:p>
    <w:p>
      <w:pPr>
        <w:pStyle w:val="ListBullet"/>
        <w:numPr>
          <w:ilvl w:val="0"/>
          <w:numId w:val="1"/>
        </w:numPr>
      </w:pPr>
      <w:r/>
      <w:r>
        <w:t>A comprehensive benefits statement upon request</w:t>
      </w:r>
    </w:p>
    <w:p>
      <w:pPr>
        <w:pStyle w:val="ListBullet"/>
      </w:pPr>
      <w:r>
        <w:t>Explanation of portability options</w:t>
      </w:r>
    </w:p>
    <w:p>
      <w:pPr>
        <w:pStyle w:val="ListBullet"/>
      </w:pPr>
      <w:r>
        <w:t>Contacts for benefits questions and assistance</w:t>
      </w:r>
    </w:p>
    <w:p>
      <w:pPr>
        <w:pStyle w:val="ListBullet"/>
      </w:pPr>
      <w:r>
        <w:t>A 30-day period to arrange transfers before changing residence</w:t>
      </w:r>
    </w:p>
    <w:p>
      <w:pPr>
        <w:pStyle w:val="Normal"/>
      </w:pPr>
      <w:r>
        <w:t>(iv) Encourage and permit employers to offer portable benefit options, including:</w:t>
      </w:r>
    </w:p>
    <w:p>
      <w:pPr>
        <w:pStyle w:val="ListBullet"/>
        <w:numPr>
          <w:ilvl w:val="0"/>
          <w:numId w:val="1"/>
        </w:numPr>
      </w:pPr>
      <w:r/>
      <w:r>
        <w:t>Multi-employer pension plans operating across Party territories</w:t>
      </w:r>
    </w:p>
    <w:p>
      <w:pPr>
        <w:pStyle w:val="ListBullet"/>
      </w:pPr>
      <w:r>
        <w:t>Individual savings accounts and portable health savings arrangements</w:t>
      </w:r>
    </w:p>
    <w:p>
      <w:pPr>
        <w:pStyle w:val="ListBullet"/>
      </w:pPr>
      <w:r>
        <w:t>Catastrophic health insurance with guaranteed renewal across Parties</w:t>
      </w:r>
    </w:p>
    <w:p>
      <w:pPr>
        <w:pStyle w:val="Heading3"/>
      </w:pPr>
      <w:r>
        <w:t>(d) North American Pension Registry (New Administrative Mechanism)</w:t>
      </w:r>
    </w:p>
    <w:p>
      <w:pPr>
        <w:pStyle w:val="Normal"/>
      </w:pPr>
      <w:r>
        <w:t>(i) The Commission shall establish a North American Pension Registry: a centralized digital database, to track workers' pension accrual and entitlements across the Parties.</w:t>
      </w:r>
    </w:p>
    <w:p>
      <w:pPr>
        <w:pStyle w:val="Normal"/>
      </w:pPr>
      <w:r>
        <w:t>(ii) Participation by private and public pension plans is mandatory (with a 12-month transition period). Plans covering &gt;50 workers must enroll immediately.</w:t>
      </w:r>
    </w:p>
    <w:p>
      <w:pPr>
        <w:pStyle w:val="Normal"/>
      </w:pPr>
      <w:r>
        <w:t>(iii) The Registry shall:</w:t>
      </w:r>
    </w:p>
    <w:p>
      <w:pPr>
        <w:pStyle w:val="ListBullet"/>
        <w:numPr>
          <w:ilvl w:val="0"/>
          <w:numId w:val="1"/>
        </w:numPr>
      </w:pPr>
      <w:r/>
      <w:r>
        <w:t>Track individual worker pension accounts and accrual across borders</w:t>
      </w:r>
    </w:p>
    <w:p>
      <w:pPr>
        <w:pStyle w:val="ListBullet"/>
      </w:pPr>
      <w:r>
        <w:t>Prevent duplicate contributions or benefit loss due to transfer</w:t>
      </w:r>
    </w:p>
    <w:p>
      <w:pPr>
        <w:pStyle w:val="ListBullet"/>
      </w:pPr>
      <w:r>
        <w:t>Facilitate vesting and benefit distribution</w:t>
      </w:r>
    </w:p>
    <w:p>
      <w:pPr>
        <w:pStyle w:val="ListBullet"/>
      </w:pPr>
      <w:r>
        <w:t>Be accessible to workers in real time</w:t>
      </w:r>
    </w:p>
    <w:p>
      <w:pPr>
        <w:pStyle w:val="Normal"/>
      </w:pPr>
      <w:r>
        <w:t>(iv) Registry operation is funded by the Commission at $10 million USD annually.</w:t>
      </w:r>
    </w:p>
    <w:p>
      <w:pPr>
        <w:pStyle w:val="Heading3"/>
      </w:pPr>
      <w:r>
        <w:t>(e) Mandatory Amendment of Domestic Law</w:t>
      </w:r>
    </w:p>
    <w:p>
      <w:pPr>
        <w:pStyle w:val="Normal"/>
      </w:pPr>
      <w:r>
        <w:t>Each Party commits, within 24 months, to amend its domestic legal framework (including pension law, immigration law, unemployment insurance law, and health law)where constitutionally available, or to adopt a demonstrably equivalent lawful mechanism under Article 23-B.10(c), to eliminate barriers to benefit portability without reducing any substantive entitlement in this Chapter. If a Party's law prohibits portability, the Party shall:</w:t>
      </w:r>
    </w:p>
    <w:p>
      <w:pPr>
        <w:pStyle w:val="Normal"/>
      </w:pPr>
      <w:r>
        <w:t>(i) Notify the Commission of the specific legal barrier within 6 months</w:t>
        <w:br/>
        <w:t>(ii) Submit a legislative proposal for amendment within 12 months</w:t>
        <w:br/>
        <w:t>(iii) Enact the amendment within 24 months or, where that prescribed legislative method is constitutionally unavailable, place an equivalent lawful mechanism into full effect within the same period</w:t>
      </w:r>
    </w:p>
    <w:p>
      <w:pPr>
        <w:pStyle w:val="Normal"/>
      </w:pPr>
      <w:r>
        <w:t>Failure to deliver the required substantive portability protection within the applicable deadline shall trigger:</w:t>
      </w:r>
    </w:p>
    <w:p>
      <w:pPr>
        <w:pStyle w:val="ListBullet"/>
      </w:pPr>
      <w:r>
        <w:t>A mandatory make-whole obligation for workers who incur benefit loss, tax cost, delay, or administrative expense because portability was not provided</w:t>
      </w:r>
    </w:p>
    <w:p>
      <w:pPr>
        <w:pStyle w:val="ListBullet"/>
      </w:pPr>
      <w:r>
        <w:t>An additional compliance contribution to the Fund, assessed annually until the substantive protection is delivered</w:t>
      </w:r>
    </w:p>
    <w:p>
      <w:pPr>
        <w:pStyle w:val="ListBullet"/>
      </w:pPr>
      <w:r>
        <w:t>Escalation to dispute settlement under Chapter 31 for persistent or deliberate non-complianceA Party may satisfy the substantive obligation through an equivalent mechanism under Article 23-B.10(c) where the prescribed legislative method is constitutionally unavailable; workers shall not bear the cost or delay of that substitution.</w:t>
      </w:r>
    </w:p>
    <w:p>
      <w:pPr>
        <w:pStyle w:val="Heading3"/>
      </w:pPr>
      <w:r>
        <w:t>(f) Biennial Reporting</w:t>
      </w:r>
    </w:p>
    <w:p>
      <w:pPr>
        <w:pStyle w:val="Normal"/>
      </w:pPr>
      <w:r>
        <w:t>The Parties shall report to the Commission biennially (every 2 years, not "biennially" in the aspirational sense) on:</w:t>
      </w:r>
    </w:p>
    <w:p>
      <w:pPr>
        <w:pStyle w:val="ListBullet"/>
        <w:numPr>
          <w:ilvl w:val="0"/>
          <w:numId w:val="1"/>
        </w:numPr>
      </w:pPr>
      <w:r/>
      <w:r>
        <w:t>Number of workers utilizing portable benefit provisions</w:t>
      </w:r>
    </w:p>
    <w:p>
      <w:pPr>
        <w:pStyle w:val="ListBullet"/>
      </w:pPr>
      <w:r>
        <w:t>Benefit transfers completed and amounts involved</w:t>
      </w:r>
    </w:p>
    <w:p>
      <w:pPr>
        <w:pStyle w:val="ListBullet"/>
      </w:pPr>
      <w:r>
        <w:t>Barriers encountered and steps taken to resolve them</w:t>
      </w:r>
    </w:p>
    <w:p>
      <w:pPr>
        <w:pStyle w:val="ListBullet"/>
      </w:pPr>
      <w:r>
        <w:t>Progress toward social security agreements</w:t>
      </w:r>
    </w:p>
    <w:p>
      <w:pPr>
        <w:pStyle w:val="ListBullet"/>
      </w:pPr>
      <w:r>
        <w:t>Amendments to domestic law enacted</w:t>
      </w:r>
    </w:p>
    <w:p>
      <w:pPr>
        <w:pStyle w:val="Heading2"/>
      </w:pPr>
      <w:bookmarkStart w:id="900774" w:name="_Toc300000773"/>
      <w:r>
        <w:t>Article 23-B.6: Mandatory Community Resilience and Economic Diversification</w:t>
      </w:r>
      <w:bookmarkEnd w:id="900774"/>
    </w:p>
    <w:p>
      <w:pPr>
        <w:pStyle w:val="Normal"/>
      </w:pPr>
      <w:r>
        <w:t>The Parties recognize that Affected Communities require targeted, proactive, predictable support to diversify their economic bases, attract new investment, and maintain social cohesion during transitions.</w:t>
      </w:r>
    </w:p>
    <w:p>
      <w:pPr>
        <w:pStyle w:val="Heading3"/>
      </w:pPr>
      <w:r>
        <w:t>(a) Mandatory Community Support Programs</w:t>
      </w:r>
    </w:p>
    <w:p>
      <w:pPr>
        <w:pStyle w:val="Normal"/>
      </w:pPr>
      <w:r>
        <w:t>Each Party shall maintain or establish, and continuously fund, comprehensive programs supporting Affected Communities. For expenditures financed from the North American Just Transition Fund, the percentage allocations in subparagraphs (i) through (vii) below apply within the Community Economic Diversification and Infrastructure allocation established by Article 23-B.7(c)(iii), and not to the Fund as a whole. Domestic expenditures made independently of the Fund may use the same allocation structure but are not counted toward the Fund-wide percentages in Article 23-B.7(c). The Fund Board shall report both the Fund-wide allocation under Article 23-B.7(c) and the internal community-allocation percentages under this Article so that compliance with each tier can be audited independently.</w:t>
      </w:r>
    </w:p>
    <w:p>
      <w:pPr>
        <w:pStyle w:val="Heading3"/>
      </w:pPr>
      <w:r>
        <w:t>(i) Infrastructure Investment: Minimum 20% of the Article 23-B.7(c)(iii) community allocation</w:t>
      </w:r>
    </w:p>
    <w:p>
      <w:pPr>
        <w:pStyle w:val="ListBullet"/>
        <w:numPr>
          <w:ilvl w:val="0"/>
          <w:numId w:val="1"/>
        </w:numPr>
      </w:pPr>
      <w:r/>
      <w:r>
        <w:t>Broadband and telecommunications infrastructure in rural and remote communities</w:t>
      </w:r>
    </w:p>
    <w:p>
      <w:pPr>
        <w:pStyle w:val="ListBullet"/>
      </w:pPr>
      <w:r>
        <w:t>Transportation infrastructure (roads, rail, transit) supporting economic diversification</w:t>
      </w:r>
    </w:p>
    <w:p>
      <w:pPr>
        <w:pStyle w:val="ListBullet"/>
      </w:pPr>
      <w:r>
        <w:t>Water, sewer, and energy infrastructure</w:t>
      </w:r>
    </w:p>
    <w:p>
      <w:pPr>
        <w:pStyle w:val="ListBullet"/>
      </w:pPr>
      <w:r>
        <w:t>Public facility upgrades (schools, hospitals, community centers)</w:t>
      </w:r>
    </w:p>
    <w:p>
      <w:pPr>
        <w:pStyle w:val="Normal"/>
      </w:pPr>
      <w:r>
        <w:t>(ii) Business Development and Entrepreneurship: Minimum 15% of the Article 23-B.7(c)(iii) community allocation</w:t>
      </w:r>
    </w:p>
    <w:p>
      <w:pPr>
        <w:pStyle w:val="ListBullet"/>
        <w:numPr>
          <w:ilvl w:val="0"/>
          <w:numId w:val="1"/>
        </w:numPr>
      </w:pPr>
      <w:r/>
      <w:r>
        <w:t>Small business startup grants and loans at favorable terms</w:t>
      </w:r>
    </w:p>
    <w:p>
      <w:pPr>
        <w:pStyle w:val="ListBullet"/>
      </w:pPr>
      <w:r>
        <w:t>Seed capital for cooperatives and worker-ownership enterprises</w:t>
      </w:r>
    </w:p>
    <w:p>
      <w:pPr>
        <w:pStyle w:val="ListBullet"/>
      </w:pPr>
      <w:r>
        <w:t>Business incubation and technical assistance programs</w:t>
      </w:r>
    </w:p>
    <w:p>
      <w:pPr>
        <w:pStyle w:val="ListBullet"/>
      </w:pPr>
      <w:r>
        <w:t>Access to markets and procurement for small and medium enterprises (SMEs)</w:t>
      </w:r>
    </w:p>
    <w:p>
      <w:pPr>
        <w:pStyle w:val="Normal"/>
      </w:pPr>
      <w:r>
        <w:t>(iii) Economic Diversification Planning: Minimum 10% of the Article 23-B.7(c)(iii) community allocation</w:t>
      </w:r>
    </w:p>
    <w:p>
      <w:pPr>
        <w:pStyle w:val="ListBullet"/>
        <w:numPr>
          <w:ilvl w:val="0"/>
          <w:numId w:val="1"/>
        </w:numPr>
      </w:pPr>
      <w:r/>
      <w:r>
        <w:t>Technical assistance to develop community economic diversification strategies</w:t>
      </w:r>
    </w:p>
    <w:p>
      <w:pPr>
        <w:pStyle w:val="ListBullet"/>
      </w:pPr>
      <w:r>
        <w:t>Support for regional economic development organizations</w:t>
      </w:r>
    </w:p>
    <w:p>
      <w:pPr>
        <w:pStyle w:val="ListBullet"/>
      </w:pPr>
      <w:r>
        <w:t>Labor market research and workforce planning</w:t>
      </w:r>
    </w:p>
    <w:p>
      <w:pPr>
        <w:pStyle w:val="ListBullet"/>
      </w:pPr>
      <w:r>
        <w:t>Industry recruitment and workforce preparation</w:t>
      </w:r>
    </w:p>
    <w:p>
      <w:pPr>
        <w:pStyle w:val="Normal"/>
      </w:pPr>
      <w:r>
        <w:t>(iv) Education and Training Facilities: Minimum 10% of the Article 23-B.7(c)(iii) community allocation</w:t>
      </w:r>
    </w:p>
    <w:p>
      <w:pPr>
        <w:pStyle w:val="ListBullet"/>
        <w:numPr>
          <w:ilvl w:val="0"/>
          <w:numId w:val="1"/>
        </w:numPr>
      </w:pPr>
      <w:r/>
      <w:r>
        <w:t>Construction and operation of regional training centers</w:t>
      </w:r>
    </w:p>
    <w:p>
      <w:pPr>
        <w:pStyle w:val="ListBullet"/>
      </w:pPr>
      <w:r>
        <w:t>Equipment and technology for skills training</w:t>
      </w:r>
    </w:p>
    <w:p>
      <w:pPr>
        <w:pStyle w:val="ListBullet"/>
      </w:pPr>
      <w:r>
        <w:t>Support for community colleges and vocational institutions</w:t>
      </w:r>
    </w:p>
    <w:p>
      <w:pPr>
        <w:pStyle w:val="ListBullet"/>
      </w:pPr>
      <w:r>
        <w:t>Partnerships with employers for apprenticeships and work-integrated learning</w:t>
      </w:r>
    </w:p>
    <w:p>
      <w:pPr>
        <w:pStyle w:val="Normal"/>
      </w:pPr>
      <w:r>
        <w:t>(v) Environmental Remediation and Site Repurposing: Minimum 10% of the Article 23-B.7(c)(iii) community allocation</w:t>
      </w:r>
    </w:p>
    <w:p>
      <w:pPr>
        <w:pStyle w:val="ListBullet"/>
        <w:numPr>
          <w:ilvl w:val="0"/>
          <w:numId w:val="1"/>
        </w:numPr>
      </w:pPr>
      <w:r/>
      <w:r>
        <w:t>Assessment and remediation of contaminated industrial sites</w:t>
      </w:r>
    </w:p>
    <w:p>
      <w:pPr>
        <w:pStyle w:val="ListBullet"/>
      </w:pPr>
      <w:r>
        <w:t>Brownfield redevelopment</w:t>
      </w:r>
    </w:p>
    <w:p>
      <w:pPr>
        <w:pStyle w:val="ListBullet"/>
      </w:pPr>
      <w:r>
        <w:t>Repurposing of abandoned facilities for new economic uses</w:t>
      </w:r>
    </w:p>
    <w:p>
      <w:pPr>
        <w:pStyle w:val="ListBullet"/>
      </w:pPr>
      <w:r>
        <w:t>Environmental restoration of mining, forestry, and energy sites</w:t>
      </w:r>
    </w:p>
    <w:p>
      <w:pPr>
        <w:pStyle w:val="Normal"/>
      </w:pPr>
      <w:r>
        <w:t>(vi) Community Amenities and Social Cohesion: Minimum 5% of the Article 23-B.7(c)(iii) community allocation</w:t>
      </w:r>
    </w:p>
    <w:p>
      <w:pPr>
        <w:pStyle w:val="ListBullet"/>
        <w:numPr>
          <w:ilvl w:val="0"/>
          <w:numId w:val="1"/>
        </w:numPr>
      </w:pPr>
      <w:r/>
      <w:r>
        <w:t>Arts, culture, and recreational facilities</w:t>
      </w:r>
    </w:p>
    <w:p>
      <w:pPr>
        <w:pStyle w:val="ListBullet"/>
      </w:pPr>
      <w:r>
        <w:t>Community gathering spaces</w:t>
      </w:r>
    </w:p>
    <w:p>
      <w:pPr>
        <w:pStyle w:val="ListBullet"/>
      </w:pPr>
      <w:r>
        <w:t>Mental health and wellness programs</w:t>
      </w:r>
    </w:p>
    <w:p>
      <w:pPr>
        <w:pStyle w:val="ListBullet"/>
      </w:pPr>
      <w:r>
        <w:t>Social cohesion and community engagement initiatives</w:t>
      </w:r>
    </w:p>
    <w:p>
      <w:pPr>
        <w:pStyle w:val="Normal"/>
      </w:pPr>
      <w:r>
        <w:t>(vii) Administrative and Technical Assistance: Minimum 5% of the Article 23-B.7(c)(iii) community allocation</w:t>
      </w:r>
    </w:p>
    <w:p>
      <w:pPr>
        <w:pStyle w:val="Heading3"/>
      </w:pPr>
      <w:r>
        <w:t>(b) Comprehensive Community Engagement and Participatory Governance</w:t>
      </w:r>
    </w:p>
    <w:p>
      <w:pPr>
        <w:pStyle w:val="Normal"/>
      </w:pPr>
      <w:r>
        <w:t>Each Party shall ensure that Affected Communities have genuine voice and decision-making power in transition planning and Fund allocation. Specifically:</w:t>
      </w:r>
    </w:p>
    <w:p>
      <w:pPr>
        <w:pStyle w:val="Normal"/>
      </w:pPr>
      <w:r>
        <w:t>(i) Early Notification: When a community is identified as "Affected," the Party shall notify the community and the Commission within 30 days.</w:t>
      </w:r>
    </w:p>
    <w:p>
      <w:pPr>
        <w:pStyle w:val="Normal"/>
      </w:pPr>
      <w:r>
        <w:t>(ii) Community Steering Committees: Each Affected Community shall establish a Community Steering Committee composed of:</w:t>
      </w:r>
    </w:p>
    <w:p>
      <w:pPr>
        <w:pStyle w:val="ListBullet"/>
        <w:numPr>
          <w:ilvl w:val="0"/>
          <w:numId w:val="1"/>
        </w:numPr>
      </w:pPr>
      <w:r/>
      <w:r>
        <w:t>Elected local government representatives (50% of seats)</w:t>
      </w:r>
    </w:p>
    <w:p>
      <w:pPr>
        <w:pStyle w:val="ListBullet"/>
      </w:pPr>
      <w:r>
        <w:t>Affected workers and union representatives (25% of seats)</w:t>
      </w:r>
    </w:p>
    <w:p>
      <w:pPr>
        <w:pStyle w:val="ListBullet"/>
      </w:pPr>
      <w:r>
        <w:t>Small business and employer representatives (15% of seats)</w:t>
      </w:r>
    </w:p>
    <w:p>
      <w:pPr>
        <w:pStyle w:val="ListBullet"/>
      </w:pPr>
      <w:r>
        <w:t>Indigenous and civil society representatives (10% of seats)</w:t>
      </w:r>
    </w:p>
    <w:p>
      <w:pPr>
        <w:pStyle w:val="Normal"/>
      </w:pPr>
      <w:r>
        <w:t>(iii) Binding Consultation: Transition plans and Fund allocations require approval by the Community Steering Committee (supermajority: 66% affirmative vote). A Party cannot implement a community transition plan over Community Steering Committee objection.</w:t>
      </w:r>
    </w:p>
    <w:p>
      <w:pPr>
        <w:pStyle w:val="Normal"/>
      </w:pPr>
      <w:r>
        <w:t>(iv) Transparency and Accountability: All community transition plans, budgets, and expenditures shall be public, and communities shall have access to annual audits and performance reports.</w:t>
      </w:r>
    </w:p>
    <w:p>
      <w:pPr>
        <w:pStyle w:val="Heading3"/>
      </w:pPr>
      <w:r>
        <w:t>(c) Long-Term Community Investment Commitment</w:t>
      </w:r>
    </w:p>
    <w:p>
      <w:pPr>
        <w:pStyle w:val="Normal"/>
      </w:pPr>
      <w:r>
        <w:t>The commitment to Affected Communities is not time-limited. Fund support shall continue for the period necessary for meaningful economic diversification and recovery, typically 7–15 years depending on the severity of transition. A community cannot be "declared recovered" and defunded until:</w:t>
      </w:r>
    </w:p>
    <w:p>
      <w:pPr>
        <w:pStyle w:val="ListBullet"/>
        <w:numPr>
          <w:ilvl w:val="0"/>
          <w:numId w:val="1"/>
        </w:numPr>
      </w:pPr>
      <w:r/>
      <w:r>
        <w:t>Unemployment in the community has returned to or fallen below regional average</w:t>
      </w:r>
    </w:p>
    <w:p>
      <w:pPr>
        <w:pStyle w:val="ListBullet"/>
      </w:pPr>
      <w:r>
        <w:t>New employment has been created at wage levels comparable to displaced jobs</w:t>
      </w:r>
    </w:p>
    <w:p>
      <w:pPr>
        <w:pStyle w:val="ListBullet"/>
      </w:pPr>
      <w:r>
        <w:t>Tax base and public revenue have recovered to pre-transition levels</w:t>
      </w:r>
    </w:p>
    <w:p>
      <w:pPr>
        <w:pStyle w:val="Heading2"/>
      </w:pPr>
      <w:bookmarkStart w:id="900775" w:name="_Toc300000774"/>
      <w:r>
        <w:t>Article 23-B.7: North American Just Transition Fund (With Binding Financial Commitments)</w:t>
      </w:r>
      <w:bookmarkEnd w:id="900775"/>
    </w:p>
    <w:p>
      <w:pPr>
        <w:pStyle w:val="Heading3"/>
      </w:pPr>
      <w:r>
        <w:t>(a) Establishment and Capitalization</w:t>
      </w:r>
    </w:p>
    <w:p>
      <w:pPr>
        <w:pStyle w:val="Normal"/>
      </w:pPr>
      <w:r>
        <w:t>(i) The Parties hereby establish a North American Just Transition Fund ("Fund") as a multilateral trust account to provide financial support for the implementation of this Chapter.</w:t>
      </w:r>
    </w:p>
    <w:p>
      <w:pPr>
        <w:pStyle w:val="Normal"/>
      </w:pPr>
      <w:r>
        <w:t>(ii) MANDATORY FUND CAPITALIZATION:</w:t>
      </w:r>
    </w:p>
    <w:p>
      <w:pPr>
        <w:pStyle w:val="Normal"/>
      </w:pPr>
      <w:r>
        <w:t>The Fund shall be capitalized at a minimum of:</w:t>
      </w:r>
    </w:p>
    <w:p>
      <w:pPr>
        <w:pStyle w:val="Normal"/>
      </w:pPr>
      <w:r>
        <w:t>$5 BILLION USD ANNUALLY</w:t>
      </w:r>
    </w:p>
    <w:p>
      <w:pPr>
        <w:pStyle w:val="Normal"/>
      </w:pPr>
      <w:r>
        <w:t>Beginning January 1, 2027 (or the first full fiscal year after entry into force of this Chapter, whichever is later), and continuing indefinitely.</w:t>
      </w:r>
    </w:p>
    <w:p>
      <w:pPr>
        <w:pStyle w:val="Normal"/>
      </w:pPr>
      <w:r>
        <w:t>Annual contributions shall be allocated among the Parties as follows:</w:t>
      </w:r>
    </w:p>
    <w:p>
      <w:pPr>
        <w:pStyle w:val="ListBullet"/>
        <w:numPr>
          <w:ilvl w:val="0"/>
          <w:numId w:val="1"/>
        </w:numPr>
      </w:pPr>
      <w:r/>
      <w:r>
        <w:t>United States: 50% of annual Fund capitalization ($2.5 billion USD)</w:t>
      </w:r>
    </w:p>
    <w:p>
      <w:pPr>
        <w:pStyle w:val="ListBullet"/>
      </w:pPr>
      <w:r>
        <w:t>Canada: 30% of annual Fund capitalization ($1.5 billion USD)</w:t>
      </w:r>
    </w:p>
    <w:p>
      <w:pPr>
        <w:pStyle w:val="ListBullet"/>
      </w:pPr>
      <w:r>
        <w:t>Mexico: 20% of annual Fund capitalization ($1.0 billion USD)</w:t>
      </w:r>
    </w:p>
    <w:p>
      <w:pPr>
        <w:pStyle w:val="Normal"/>
      </w:pPr>
      <w:r>
        <w:t>(iii) Annual Adjustments:</w:t>
      </w:r>
    </w:p>
    <w:p>
      <w:pPr>
        <w:pStyle w:val="ListBullet"/>
        <w:numPr>
          <w:ilvl w:val="0"/>
          <w:numId w:val="1"/>
        </w:numPr>
      </w:pPr>
      <w:r/>
      <w:r>
        <w:t>Fund capitalization shall be indexed annually to inflation (base year = entry into force). Real value of the Fund shall never decrease.</w:t>
      </w:r>
    </w:p>
    <w:p>
      <w:pPr>
        <w:pStyle w:val="ListBullet"/>
      </w:pPr>
      <w:r>
        <w:t>Every 3 years, the Commission shall review Fund adequacy. If a Party demonstrates that committed transition spending exceeds available Fund resources, all Parties shall increase Fund capitalization proportionally.</w:t>
      </w:r>
    </w:p>
    <w:p>
      <w:pPr>
        <w:pStyle w:val="Normal"/>
      </w:pPr>
      <w:r>
        <w:t>(iv) Non-Substitution:</w:t>
      </w:r>
    </w:p>
    <w:p>
      <w:pPr>
        <w:pStyle w:val="Normal"/>
      </w:pPr>
      <w:r>
        <w:t>Fund contributions are in addition to each Party's domestic worker income support and retraining budgets (Article 23-B.3–4). A Party cannot reduce its domestic programs in order to meet Fund contribution obligations.</w:t>
      </w:r>
    </w:p>
    <w:p>
      <w:pPr>
        <w:pStyle w:val="Heading3"/>
      </w:pPr>
      <w:r>
        <w:t>(v) Collection Mechanism:</w:t>
      </w:r>
    </w:p>
    <w:p>
      <w:pPr>
        <w:pStyle w:val="Normal"/>
      </w:pPr>
      <w:r>
        <w:t>Each Party shall appropriate and transfer funds to the Commission within 30 days of the start of each fiscal year. Failure to remit timely contributions shall trigger:</w:t>
      </w:r>
    </w:p>
    <w:p>
      <w:pPr>
        <w:pStyle w:val="ListBullet"/>
        <w:numPr>
          <w:ilvl w:val="0"/>
          <w:numId w:val="1"/>
        </w:numPr>
      </w:pPr>
      <w:r/>
      <w:r>
        <w:t>First month late: Written notice from Commission</w:t>
      </w:r>
    </w:p>
    <w:p>
      <w:pPr>
        <w:pStyle w:val="ListBullet"/>
      </w:pPr>
      <w:r>
        <w:t>Second month late: 1% annual interest charge on the overdue amount</w:t>
      </w:r>
    </w:p>
    <w:p>
      <w:pPr>
        <w:pStyle w:val="ListBullet"/>
      </w:pPr>
      <w:r>
        <w:t>Third month late: Automatic additional Fund contribution equal to 10% of the overdue amount, without reducing the underlying contribution obligation or any worker or community benefit</w:t>
      </w:r>
    </w:p>
    <w:p>
      <w:pPr>
        <w:pStyle w:val="ListBullet"/>
      </w:pPr>
      <w:r>
        <w:t>Fourth month late: Escalation to Chapter 31 (Dispute Settlement); offending Party liable for liquidated damages equal to 2x the overdue amount, with collected amounts credited to the Fund and prioritized for workers and communities whose support was endangered by the delinquency</w:t>
      </w:r>
    </w:p>
    <w:p>
      <w:pPr>
        <w:pStyle w:val="Heading3"/>
      </w:pPr>
      <w:r>
        <w:t>(b) Fund Structure and Governance</w:t>
      </w:r>
    </w:p>
    <w:p>
      <w:pPr>
        <w:pStyle w:val="Normal"/>
      </w:pPr>
      <w:r>
        <w:t>(i) The Fund shall be administered by a North American Just Transition Fund Board ("Fund Board"), composed of:</w:t>
      </w:r>
    </w:p>
    <w:p>
      <w:pPr>
        <w:pStyle w:val="ListBullet"/>
        <w:numPr>
          <w:ilvl w:val="0"/>
          <w:numId w:val="1"/>
        </w:numPr>
      </w:pPr>
      <w:r/>
      <w:r>
        <w:t>Three government representatives (one per Party, with voting power)</w:t>
      </w:r>
    </w:p>
    <w:p>
      <w:pPr>
        <w:pStyle w:val="ListBullet"/>
      </w:pPr>
      <w:r>
        <w:t>Three worker/union representatives (with full voting power)</w:t>
      </w:r>
    </w:p>
    <w:p>
      <w:pPr>
        <w:pStyle w:val="ListBullet"/>
      </w:pPr>
      <w:r>
        <w:t>Three employer/business representatives (with full voting power)</w:t>
      </w:r>
    </w:p>
    <w:p>
      <w:pPr>
        <w:pStyle w:val="ListBullet"/>
      </w:pPr>
      <w:r>
        <w:t>One representative from civil society/community organizations (advisory capacity)</w:t>
      </w:r>
    </w:p>
    <w:p>
      <w:pPr>
        <w:pStyle w:val="ListBullet"/>
      </w:pPr>
      <w:r>
        <w:t>Fund Board Chair: Elected by majority vote; Chair rotates every 2 years among representatives</w:t>
      </w:r>
    </w:p>
    <w:p>
      <w:pPr>
        <w:pStyle w:val="Normal"/>
      </w:pPr>
      <w:r>
        <w:t>(ii) The Fund Board shall:</w:t>
      </w:r>
    </w:p>
    <w:p>
      <w:pPr>
        <w:pStyle w:val="ListBullet"/>
        <w:numPr>
          <w:ilvl w:val="0"/>
          <w:numId w:val="1"/>
        </w:numPr>
      </w:pPr>
      <w:r/>
      <w:r>
        <w:t>Establish criteria and procedures for Fund allocations</w:t>
      </w:r>
    </w:p>
    <w:p>
      <w:pPr>
        <w:pStyle w:val="ListBullet"/>
      </w:pPr>
      <w:r>
        <w:t>Review and approve Fund projects and programs</w:t>
      </w:r>
    </w:p>
    <w:p>
      <w:pPr>
        <w:pStyle w:val="ListBullet"/>
      </w:pPr>
      <w:r>
        <w:t>Monitor and evaluate the effectiveness of Fund-supported activities</w:t>
      </w:r>
    </w:p>
    <w:p>
      <w:pPr>
        <w:pStyle w:val="ListBullet"/>
      </w:pPr>
      <w:r>
        <w:t>Report to the Commission quarterly (not annually)</w:t>
      </w:r>
    </w:p>
    <w:p>
      <w:pPr>
        <w:pStyle w:val="ListBullet"/>
      </w:pPr>
      <w:r>
        <w:t>Ensure transparency and accountability in Fund operations</w:t>
      </w:r>
    </w:p>
    <w:p>
      <w:pPr>
        <w:pStyle w:val="ListBullet"/>
      </w:pPr>
      <w:r>
        <w:t>Make binding allocation decisions by majority vote</w:t>
      </w:r>
    </w:p>
    <w:p>
      <w:pPr>
        <w:pStyle w:val="Normal"/>
      </w:pPr>
      <w:r>
        <w:t>(iii) Fund Board decisions may be appealed to the Commission within 30 days if a Party or other stakeholder believes a decision violates this Chapter. Commission review is expedited (60-day timeline).</w:t>
      </w:r>
    </w:p>
    <w:p>
      <w:pPr>
        <w:pStyle w:val="Heading3"/>
      </w:pPr>
      <w:r>
        <w:t>(c) Fund Allocation and Use</w:t>
      </w:r>
    </w:p>
    <w:p>
      <w:pPr>
        <w:pStyle w:val="Normal"/>
      </w:pPr>
      <w:r>
        <w:t>The Fund shall support the following Fund-wide categories. These percentages are the controlling first-tier allocation of total annual Fund expenditures. The community-program percentages in Article 23-B.6(a) are second-tier allocations applied only within the amount assigned under subparagraph (iii) below and shall not be added independently to these Fund-wide percentages. No accounting treatment may count the same expenditure toward two first-tier categories merely to satisfy a percentage requirement.</w:t>
      </w:r>
    </w:p>
    <w:p>
      <w:pPr>
        <w:pStyle w:val="Heading3"/>
      </w:pPr>
      <w:r>
        <w:t>(i) Worker Income Support and Wage Insurance Programs: Minimum 40% of annual Fund allocation</w:t>
      </w:r>
    </w:p>
    <w:p>
      <w:pPr>
        <w:pStyle w:val="Normal"/>
      </w:pPr>
      <w:r>
        <w:t>(ii) Worker Retraining, Upskilling, and Skills Development: Minimum 25% of annual Fund allocation</w:t>
      </w:r>
    </w:p>
    <w:p>
      <w:pPr>
        <w:pStyle w:val="Normal"/>
      </w:pPr>
      <w:r>
        <w:t>(iii) Community Economic Diversification and Infrastructure: Minimum 20% of annual Fund allocation</w:t>
      </w:r>
    </w:p>
    <w:p>
      <w:pPr>
        <w:pStyle w:val="Normal"/>
      </w:pPr>
      <w:r>
        <w:t>(iv) Research, Technical Assistance, and Capacity Building: Minimum 10% of annual Fund allocation</w:t>
      </w:r>
    </w:p>
    <w:p>
      <w:pPr>
        <w:pStyle w:val="Heading3"/>
      </w:pPr>
      <w:r>
        <w:t>(v) Administrative Operations of Fund Board and reporting: Maximum 5% of annual Fund allocation</w:t>
      </w:r>
    </w:p>
    <w:p>
      <w:pPr>
        <w:pStyle w:val="Normal"/>
      </w:pPr>
      <w:r>
        <w:t>(vi) Other activities as the Fund Board may approve by consensus</w:t>
      </w:r>
    </w:p>
    <w:p>
      <w:pPr>
        <w:pStyle w:val="Heading3"/>
      </w:pPr>
      <w:r>
        <w:t>(d) Fund Reporting and Transparency</w:t>
      </w:r>
    </w:p>
    <w:p>
      <w:pPr>
        <w:pStyle w:val="Normal"/>
      </w:pPr>
      <w:r>
        <w:t>(i) Quarterly Reports: The Fund Board shall submit detailed quarterly reports to the Commission detailing:</w:t>
      </w:r>
    </w:p>
    <w:p>
      <w:pPr>
        <w:pStyle w:val="ListBullet"/>
        <w:numPr>
          <w:ilvl w:val="0"/>
          <w:numId w:val="1"/>
        </w:numPr>
      </w:pPr>
      <w:r/>
      <w:r>
        <w:t>Total contributions and receipts</w:t>
      </w:r>
    </w:p>
    <w:p>
      <w:pPr>
        <w:pStyle w:val="ListBullet"/>
      </w:pPr>
      <w:r>
        <w:t>Allocations by category and Party</w:t>
      </w:r>
    </w:p>
    <w:p>
      <w:pPr>
        <w:pStyle w:val="ListBullet"/>
      </w:pPr>
      <w:r>
        <w:t>Number of beneficiary workers and affected communities</w:t>
      </w:r>
    </w:p>
    <w:p>
      <w:pPr>
        <w:pStyle w:val="ListBullet"/>
      </w:pPr>
      <w:r>
        <w:t>Expenditures and remaining balance</w:t>
      </w:r>
    </w:p>
    <w:p>
      <w:pPr>
        <w:pStyle w:val="ListBullet"/>
      </w:pPr>
      <w:r>
        <w:t>Performance metrics (employment outcomes, wage recovery, credential attainment, community recovery indicators)</w:t>
      </w:r>
    </w:p>
    <w:p>
      <w:pPr>
        <w:pStyle w:val="Normal"/>
      </w:pPr>
      <w:r>
        <w:t>(ii) Annual Audit: The Fund shall be independently audited annually. Audit results shall be public.</w:t>
      </w:r>
    </w:p>
    <w:p>
      <w:pPr>
        <w:pStyle w:val="Normal"/>
      </w:pPr>
      <w:r>
        <w:t>(iii) 3-Year Performance Review: Every 3 years, the Commission shall commission an independent evaluation of Fund effectiveness, including worker and community outcomes. Results shall be public, and the Commission shall make recommendations for improvement.</w:t>
      </w:r>
    </w:p>
    <w:p>
      <w:pPr>
        <w:pStyle w:val="Heading3"/>
      </w:pPr>
      <w:r>
        <w:t>(e) Supplementary Private Investment</w:t>
      </w:r>
    </w:p>
    <w:p>
      <w:pPr>
        <w:pStyle w:val="Normal"/>
      </w:pPr>
      <w:r>
        <w:t>In addition to the Fund, each Party may provide incentives for private sector investment in Affected Communities and worker transition programs, including:</w:t>
      </w:r>
    </w:p>
    <w:p>
      <w:pPr>
        <w:pStyle w:val="ListBullet"/>
        <w:numPr>
          <w:ilvl w:val="0"/>
          <w:numId w:val="1"/>
        </w:numPr>
      </w:pPr>
      <w:r/>
      <w:r>
        <w:t>Tax credits for employers hiring Affected Workers</w:t>
      </w:r>
    </w:p>
    <w:p>
      <w:pPr>
        <w:pStyle w:val="ListBullet"/>
      </w:pPr>
      <w:r>
        <w:t>Loan guarantees for businesses in Affected Communities</w:t>
      </w:r>
    </w:p>
    <w:p>
      <w:pPr>
        <w:pStyle w:val="ListBullet"/>
      </w:pPr>
      <w:r>
        <w:t>Grants or subsidies for environmental remediation or site redevelopment</w:t>
      </w:r>
    </w:p>
    <w:p>
      <w:pPr>
        <w:pStyle w:val="ListBullet"/>
      </w:pPr>
      <w:r>
        <w:t>Public-private partnerships for infrastructure and training</w:t>
      </w:r>
    </w:p>
    <w:p>
      <w:pPr>
        <w:pStyle w:val="Normal"/>
      </w:pPr>
      <w:r>
        <w:t>Such supplementary investments are encouraged but do not offset Fund contribution obligations.</w:t>
      </w:r>
    </w:p>
    <w:p>
      <w:pPr>
        <w:pStyle w:val="Heading2"/>
      </w:pPr>
      <w:bookmarkStart w:id="900776" w:name="_Toc300000775"/>
      <w:r>
        <w:t>Article 23-B.8: Mandatory Identification of Transition Sectors (Binding Process)</w:t>
      </w:r>
      <w:bookmarkEnd w:id="900776"/>
    </w:p>
    <w:p>
      <w:pPr>
        <w:pStyle w:val="Heading3"/>
      </w:pPr>
      <w:r>
        <w:t>(a) Commission Identification of Core Transition Sectors</w:t>
      </w:r>
    </w:p>
    <w:p>
      <w:pPr>
        <w:pStyle w:val="Normal"/>
      </w:pPr>
      <w:r>
        <w:t>Within 12 months of Article 23-B.8's entry into force, the Commission shall formally designate the following sectors as "Core Transition Sectors" to which Chapter 23-B protections apply:</w:t>
      </w:r>
    </w:p>
    <w:p>
      <w:pPr>
        <w:pStyle w:val="Normal"/>
      </w:pPr>
      <w:r>
        <w:t>CORE TRANSITION SECTORS (MANDATORY):</w:t>
      </w:r>
    </w:p>
    <w:p>
      <w:pPr>
        <w:pStyle w:val="Normal"/>
      </w:pPr>
      <w:r>
        <w:t>1. Fossil Fuel Energy Production and Distribution (including oil, natural gas, coal generation, and related downstream operations)</w:t>
      </w:r>
    </w:p>
    <w:p>
      <w:pPr>
        <w:pStyle w:val="Normal"/>
      </w:pPr>
      <w:r>
        <w:t>2. Coal Mining (all types and grades)</w:t>
      </w:r>
    </w:p>
    <w:p>
      <w:pPr>
        <w:pStyle w:val="Normal"/>
      </w:pPr>
      <w:r>
        <w:t>3. Automotive Manufacturing (including assembly, parts, battery production, and related supply chains)</w:t>
      </w:r>
    </w:p>
    <w:p>
      <w:pPr>
        <w:pStyle w:val="Normal"/>
      </w:pPr>
      <w:r>
        <w:t>4. Steel and Aluminum Production (including mills, foundries, smelters, and recycling operations)</w:t>
      </w:r>
    </w:p>
    <w:p>
      <w:pPr>
        <w:pStyle w:val="Normal"/>
      </w:pPr>
      <w:r>
        <w:t>5. Heavy Industrial Manufacturing (including machinery, industrial equipment, chemicals, and petro-chemicals)</w:t>
      </w:r>
    </w:p>
    <w:p>
      <w:pPr>
        <w:pStyle w:val="Normal"/>
      </w:pPr>
      <w:r>
        <w:t>6. Forestry and Logging (including timber harvesting, processing, and related operations)</w:t>
      </w:r>
    </w:p>
    <w:p>
      <w:pPr>
        <w:pStyle w:val="Normal"/>
      </w:pPr>
      <w:r>
        <w:t>7. Agriculture and Food Processing (to the extent experiencing automated or supply-chain-driven transformation)</w:t>
      </w:r>
    </w:p>
    <w:p>
      <w:pPr>
        <w:pStyle w:val="Normal"/>
      </w:pPr>
      <w:r>
        <w:t>These designations are binding on all Parties. No Party may opt out of or refuse to recognize any Core Transition Sector.</w:t>
      </w:r>
    </w:p>
    <w:p>
      <w:pPr>
        <w:pStyle w:val="Heading3"/>
      </w:pPr>
      <w:r>
        <w:t>(b) Party-Specific Transition Sector Additions</w:t>
      </w:r>
    </w:p>
    <w:p>
      <w:pPr>
        <w:pStyle w:val="Normal"/>
      </w:pPr>
      <w:r>
        <w:t>Within 18 months of Article 23-B.8's entry into force, each Party may designate additional sectors as "Transition Sectors" based on:</w:t>
      </w:r>
    </w:p>
    <w:p>
      <w:pPr>
        <w:pStyle w:val="ListBullet"/>
        <w:numPr>
          <w:ilvl w:val="0"/>
          <w:numId w:val="1"/>
        </w:numPr>
      </w:pPr>
      <w:r/>
      <w:r>
        <w:t>Projected employment loss &gt;5% within 5 years</w:t>
      </w:r>
    </w:p>
    <w:p>
      <w:pPr>
        <w:pStyle w:val="ListBullet"/>
      </w:pPr>
      <w:r>
        <w:t>Direct impact from this Agreement's implementation (e.g., new market access requiring restructuring)</w:t>
      </w:r>
    </w:p>
    <w:p>
      <w:pPr>
        <w:pStyle w:val="ListBullet"/>
      </w:pPr>
      <w:r>
        <w:t>High vulnerability of affected workers and communities</w:t>
      </w:r>
    </w:p>
    <w:p>
      <w:pPr>
        <w:pStyle w:val="ListBullet"/>
      </w:pPr>
      <w:r>
        <w:t>Input from workers, employers, and community organizations</w:t>
      </w:r>
    </w:p>
    <w:p>
      <w:pPr>
        <w:pStyle w:val="Normal"/>
      </w:pPr>
      <w:r>
        <w:t>Each Party's additions are binding on that Party and shall be honored by all Parties (i.e., workers from one Party's designated transition sector are eligible for support from all Parties if they transition into another Party's territory).</w:t>
      </w:r>
    </w:p>
    <w:p>
      <w:pPr>
        <w:pStyle w:val="Heading3"/>
      </w:pPr>
      <w:r>
        <w:t>(c) Regular Review and Update</w:t>
      </w:r>
    </w:p>
    <w:p>
      <w:pPr>
        <w:pStyle w:val="Normal"/>
      </w:pPr>
      <w:r>
        <w:t>(i) Each Party shall review its list of Transition Sectors every 2 years (not 3 years, as in the draft).</w:t>
      </w:r>
    </w:p>
    <w:p>
      <w:pPr>
        <w:pStyle w:val="Normal"/>
      </w:pPr>
      <w:r>
        <w:t>(ii) If a Party proposes to remove a sector from its Transition Sector list, the Party must provide evidence to the Commission that:</w:t>
      </w:r>
    </w:p>
    <w:p>
      <w:pPr>
        <w:pStyle w:val="ListBullet"/>
        <w:numPr>
          <w:ilvl w:val="0"/>
          <w:numId w:val="1"/>
        </w:numPr>
      </w:pPr>
      <w:r/>
      <w:r>
        <w:t>Unemployment in that sector has recovered to or fallen below regional average</w:t>
      </w:r>
    </w:p>
    <w:p>
      <w:pPr>
        <w:pStyle w:val="ListBullet"/>
      </w:pPr>
      <w:r>
        <w:t>New employment has been created at wage levels comparable to displaced jobs</w:t>
      </w:r>
    </w:p>
    <w:p>
      <w:pPr>
        <w:pStyle w:val="ListBullet"/>
      </w:pPr>
      <w:r>
        <w:t>Tax base and public revenue in affected communities have recovered</w:t>
      </w:r>
    </w:p>
    <w:p>
      <w:pPr>
        <w:pStyle w:val="Normal"/>
      </w:pPr>
      <w:r>
        <w:t>(iii) Other Parties may challenge removal through the Commission. If challenged, the sector remains designated until the Commission makes a binding determination (60-day timeline).</w:t>
      </w:r>
    </w:p>
    <w:p>
      <w:pPr>
        <w:pStyle w:val="Heading3"/>
      </w:pPr>
      <w:r>
        <w:t>(d) Commission Consultation and Coordination</w:t>
      </w:r>
    </w:p>
    <w:p>
      <w:pPr>
        <w:pStyle w:val="Normal"/>
      </w:pPr>
      <w:r>
        <w:t>When one Party requests to add or remove a sector from its Transition Sector list, the Commission shall:</w:t>
      </w:r>
    </w:p>
    <w:p>
      <w:pPr>
        <w:pStyle w:val="Normal"/>
      </w:pPr>
      <w:r>
        <w:t>(i) Notify all other Parties within 10 days</w:t>
        <w:br/>
        <w:t>(ii) Invite cross-border affected workers and communities to submit comments (30-day comment period)</w:t>
        <w:br/>
        <w:t>(iii) Hold a Commission discussion within 45 days</w:t>
        <w:br/>
        <w:t>(iv) Issue a determination within 60 days of initial request</w:t>
      </w:r>
    </w:p>
    <w:p>
      <w:pPr>
        <w:pStyle w:val="Normal"/>
      </w:pPr>
      <w:r>
        <w:t>The Commission may require a Party to add a sector if the Commission determines that the sector meets the criteria in 23-B.8(b) and the affected workers are materially disadvantaged by non-designation.</w:t>
      </w:r>
    </w:p>
    <w:p>
      <w:pPr>
        <w:pStyle w:val="Heading2"/>
      </w:pPr>
      <w:bookmarkStart w:id="900777" w:name="_Toc300000776"/>
      <w:r>
        <w:t>Article 23-B.9: Mandatory Monitoring and Reporting (Strengthened and Detailed)</w:t>
      </w:r>
      <w:bookmarkEnd w:id="900777"/>
    </w:p>
    <w:p>
      <w:pPr>
        <w:pStyle w:val="Heading3"/>
      </w:pPr>
      <w:r>
        <w:t>(a) Worker-Level Data Collection and Reporting</w:t>
      </w:r>
    </w:p>
    <w:p>
      <w:pPr>
        <w:pStyle w:val="Normal"/>
      </w:pPr>
      <w:r>
        <w:t>Each Party shall collect and maintain comprehensive data on:</w:t>
      </w:r>
    </w:p>
    <w:p>
      <w:pPr>
        <w:pStyle w:val="Heading3"/>
      </w:pPr>
      <w:r>
        <w:t>(i) Employment and Wage Trends in Transition Sectors:</w:t>
      </w:r>
    </w:p>
    <w:p>
      <w:pPr>
        <w:pStyle w:val="ListBullet"/>
        <w:numPr>
          <w:ilvl w:val="0"/>
          <w:numId w:val="1"/>
        </w:numPr>
      </w:pPr>
      <w:r/>
      <w:r>
        <w:t>Monthly employment levels and unemployment rates in Transition Sectors</w:t>
      </w:r>
    </w:p>
    <w:p>
      <w:pPr>
        <w:pStyle w:val="ListBullet"/>
      </w:pPr>
      <w:r>
        <w:t>Average wages and wage trends</w:t>
      </w:r>
    </w:p>
    <w:p>
      <w:pPr>
        <w:pStyle w:val="ListBullet"/>
      </w:pPr>
      <w:r>
        <w:t>Job displacement notices and plant closures</w:t>
      </w:r>
    </w:p>
    <w:p>
      <w:pPr>
        <w:pStyle w:val="ListBullet"/>
      </w:pPr>
      <w:r>
        <w:t>Separations by reason (layoff, voluntary departure, retirement)</w:t>
      </w:r>
    </w:p>
    <w:p>
      <w:pPr>
        <w:pStyle w:val="Normal"/>
      </w:pPr>
      <w:r>
        <w:t>(ii) Worker Income Support and Wage Insurance:</w:t>
      </w:r>
    </w:p>
    <w:p>
      <w:pPr>
        <w:pStyle w:val="ListBullet"/>
        <w:numPr>
          <w:ilvl w:val="0"/>
          <w:numId w:val="1"/>
        </w:numPr>
      </w:pPr>
      <w:r/>
      <w:r>
        <w:t>Number of Affected Workers applying for and receiving income support</w:t>
      </w:r>
    </w:p>
    <w:p>
      <w:pPr>
        <w:pStyle w:val="ListBullet"/>
      </w:pPr>
      <w:r>
        <w:t>Average benefit amount and duration</w:t>
      </w:r>
    </w:p>
    <w:p>
      <w:pPr>
        <w:pStyle w:val="ListBullet"/>
      </w:pPr>
      <w:r>
        <w:t>Demographic breakdown (age, gender, immigration status, race/ethnicity, disability status)</w:t>
      </w:r>
    </w:p>
    <w:p>
      <w:pPr>
        <w:pStyle w:val="ListBullet"/>
      </w:pPr>
      <w:r>
        <w:t>Rate of benefits exhaustion and reemployment timing</w:t>
      </w:r>
    </w:p>
    <w:p>
      <w:pPr>
        <w:pStyle w:val="Normal"/>
      </w:pPr>
      <w:r>
        <w:t>(iii) Retraining, Upskilling, and Skills Development:</w:t>
      </w:r>
    </w:p>
    <w:p>
      <w:pPr>
        <w:pStyle w:val="ListBullet"/>
        <w:numPr>
          <w:ilvl w:val="0"/>
          <w:numId w:val="1"/>
        </w:numPr>
      </w:pPr>
      <w:r/>
      <w:r>
        <w:t>Number of Affected Workers enrolled in training programs</w:t>
      </w:r>
    </w:p>
    <w:p>
      <w:pPr>
        <w:pStyle w:val="ListBullet"/>
      </w:pPr>
      <w:r>
        <w:t>Training program completion rates and credential attainment</w:t>
      </w:r>
    </w:p>
    <w:p>
      <w:pPr>
        <w:pStyle w:val="ListBullet"/>
      </w:pPr>
      <w:r>
        <w:t>Demographic breakdown of trainees</w:t>
      </w:r>
    </w:p>
    <w:p>
      <w:pPr>
        <w:pStyle w:val="ListBullet"/>
      </w:pPr>
      <w:r>
        <w:t>Cost per trainee and training quality metrics</w:t>
      </w:r>
    </w:p>
    <w:p>
      <w:pPr>
        <w:pStyle w:val="ListBullet"/>
      </w:pPr>
      <w:r>
        <w:t>Post-training employment outcomes (reemployment rate, wage recovery, credential utilization)</w:t>
      </w:r>
    </w:p>
    <w:p>
      <w:pPr>
        <w:pStyle w:val="Normal"/>
      </w:pPr>
      <w:r>
        <w:t>(iv) Benefit Portability and Cross-Border Mobility:</w:t>
      </w:r>
    </w:p>
    <w:p>
      <w:pPr>
        <w:pStyle w:val="ListBullet"/>
        <w:numPr>
          <w:ilvl w:val="0"/>
          <w:numId w:val="1"/>
        </w:numPr>
      </w:pPr>
      <w:r/>
      <w:r>
        <w:t>Number of workers utilizing portable benefit provisions</w:t>
      </w:r>
    </w:p>
    <w:p>
      <w:pPr>
        <w:pStyle w:val="ListBullet"/>
      </w:pPr>
      <w:r>
        <w:t>Pension transfers and amounts involved</w:t>
      </w:r>
    </w:p>
    <w:p>
      <w:pPr>
        <w:pStyle w:val="ListBullet"/>
      </w:pPr>
      <w:r>
        <w:t>Cross-border health coverage portability</w:t>
      </w:r>
    </w:p>
    <w:p>
      <w:pPr>
        <w:pStyle w:val="ListBullet"/>
      </w:pPr>
      <w:r>
        <w:t>Barriers encountered and resolution</w:t>
      </w:r>
    </w:p>
    <w:p>
      <w:pPr>
        <w:pStyle w:val="Heading3"/>
      </w:pPr>
      <w:r>
        <w:t>(b) Community-Level Data Collection</w:t>
      </w:r>
    </w:p>
    <w:p>
      <w:pPr>
        <w:pStyle w:val="Normal"/>
      </w:pPr>
      <w:r>
        <w:t>Each Party shall collect and maintain data on Affected Communities, including:</w:t>
      </w:r>
    </w:p>
    <w:p>
      <w:pPr>
        <w:pStyle w:val="Heading3"/>
      </w:pPr>
      <w:r>
        <w:t>(i) Economic Indicators:</w:t>
      </w:r>
    </w:p>
    <w:p>
      <w:pPr>
        <w:pStyle w:val="ListBullet"/>
        <w:numPr>
          <w:ilvl w:val="0"/>
          <w:numId w:val="1"/>
        </w:numPr>
      </w:pPr>
      <w:r/>
      <w:r>
        <w:t>Unemployment rate (overall and in transition sectors)</w:t>
      </w:r>
    </w:p>
    <w:p>
      <w:pPr>
        <w:pStyle w:val="ListBullet"/>
      </w:pPr>
      <w:r>
        <w:t>Employment by sector and wage levels</w:t>
      </w:r>
    </w:p>
    <w:p>
      <w:pPr>
        <w:pStyle w:val="ListBullet"/>
      </w:pPr>
      <w:r>
        <w:t>Tax base and public revenue</w:t>
      </w:r>
    </w:p>
    <w:p>
      <w:pPr>
        <w:pStyle w:val="ListBullet"/>
      </w:pPr>
      <w:r>
        <w:t>Business formation and closure rates</w:t>
      </w:r>
    </w:p>
    <w:p>
      <w:pPr>
        <w:pStyle w:val="ListBullet"/>
      </w:pPr>
      <w:r>
        <w:t>Wages and cost of living</w:t>
      </w:r>
    </w:p>
    <w:p>
      <w:pPr>
        <w:pStyle w:val="Normal"/>
      </w:pPr>
      <w:r>
        <w:t>(ii) Social Cohesion Indicators:</w:t>
      </w:r>
    </w:p>
    <w:p>
      <w:pPr>
        <w:pStyle w:val="ListBullet"/>
        <w:numPr>
          <w:ilvl w:val="0"/>
          <w:numId w:val="1"/>
        </w:numPr>
      </w:pPr>
      <w:r/>
      <w:r>
        <w:t>Population migration in/out of community</w:t>
      </w:r>
    </w:p>
    <w:p>
      <w:pPr>
        <w:pStyle w:val="ListBullet"/>
      </w:pPr>
      <w:r>
        <w:t>School enrollment and graduation rates</w:t>
      </w:r>
    </w:p>
    <w:p>
      <w:pPr>
        <w:pStyle w:val="ListBullet"/>
      </w:pPr>
      <w:r>
        <w:t>Public health metrics (mental health, substance abuse, suicide)</w:t>
      </w:r>
    </w:p>
    <w:p>
      <w:pPr>
        <w:pStyle w:val="ListBullet"/>
      </w:pPr>
      <w:r>
        <w:t>Crime and safety indicators</w:t>
      </w:r>
    </w:p>
    <w:p>
      <w:pPr>
        <w:pStyle w:val="ListBullet"/>
      </w:pPr>
      <w:r>
        <w:t>Community organization participation</w:t>
      </w:r>
    </w:p>
    <w:p>
      <w:pPr>
        <w:pStyle w:val="Normal"/>
      </w:pPr>
      <w:r>
        <w:t>(iii) Fund Allocation and Spending:</w:t>
      </w:r>
    </w:p>
    <w:p>
      <w:pPr>
        <w:pStyle w:val="ListBullet"/>
        <w:numPr>
          <w:ilvl w:val="0"/>
          <w:numId w:val="1"/>
        </w:numPr>
      </w:pPr>
      <w:r/>
      <w:r>
        <w:t>Fund dollars allocated to the community</w:t>
      </w:r>
    </w:p>
    <w:p>
      <w:pPr>
        <w:pStyle w:val="ListBullet"/>
      </w:pPr>
      <w:r>
        <w:t>Infrastructure projects completed</w:t>
      </w:r>
    </w:p>
    <w:p>
      <w:pPr>
        <w:pStyle w:val="ListBullet"/>
      </w:pPr>
      <w:r>
        <w:t>Businesses supported and jobs created</w:t>
      </w:r>
    </w:p>
    <w:p>
      <w:pPr>
        <w:pStyle w:val="ListBullet"/>
      </w:pPr>
      <w:r>
        <w:t>Training facilities and trainees</w:t>
      </w:r>
    </w:p>
    <w:p>
      <w:pPr>
        <w:pStyle w:val="ListBullet"/>
      </w:pPr>
      <w:r>
        <w:t>Environmental remediation progress</w:t>
      </w:r>
    </w:p>
    <w:p>
      <w:pPr>
        <w:pStyle w:val="Heading3"/>
      </w:pPr>
      <w:r>
        <w:t>(c) Mandatory Reporting Schedule</w:t>
      </w:r>
    </w:p>
    <w:p>
      <w:pPr>
        <w:pStyle w:val="Heading3"/>
      </w:pPr>
      <w:r>
        <w:t>(i) QUARTERLY REPORTS (Due within 30 days of each quarter's end):</w:t>
      </w:r>
    </w:p>
    <w:p>
      <w:pPr>
        <w:pStyle w:val="Normal"/>
      </w:pPr>
      <w:r>
        <w:t>Each Party shall submit to the Commission:</w:t>
      </w:r>
    </w:p>
    <w:p>
      <w:pPr>
        <w:pStyle w:val="ListBullet"/>
      </w:pPr>
      <w:r>
        <w:t>Worker income support claims and payments (current quarter and year-to-date)</w:t>
      </w:r>
    </w:p>
    <w:p>
      <w:pPr>
        <w:pStyle w:val="ListBullet"/>
      </w:pPr>
      <w:r>
        <w:t>Retraining program enrollments and completions</w:t>
      </w:r>
    </w:p>
    <w:p>
      <w:pPr>
        <w:pStyle w:val="ListBullet"/>
      </w:pPr>
      <w:r>
        <w:t>Benefit portability utilization</w:t>
      </w:r>
    </w:p>
    <w:p>
      <w:pPr>
        <w:pStyle w:val="ListBullet"/>
      </w:pPr>
      <w:r>
        <w:t>Fund remittance status</w:t>
      </w:r>
    </w:p>
    <w:p>
      <w:pPr>
        <w:pStyle w:val="Normal"/>
      </w:pPr>
      <w:r>
        <w:t>(ii) SEMI-ANNUAL REPORTS (Due within 60 days of period's end):</w:t>
      </w:r>
    </w:p>
    <w:p>
      <w:pPr>
        <w:pStyle w:val="ListBullet"/>
        <w:numPr>
          <w:ilvl w:val="0"/>
          <w:numId w:val="1"/>
        </w:numPr>
      </w:pPr>
      <w:r/>
      <w:r>
        <w:t>Detailed employment and unemployment data for Transition Sectors</w:t>
      </w:r>
    </w:p>
    <w:p>
      <w:pPr>
        <w:pStyle w:val="ListBullet"/>
      </w:pPr>
      <w:r>
        <w:t>Community economic indicators</w:t>
      </w:r>
    </w:p>
    <w:p>
      <w:pPr>
        <w:pStyle w:val="ListBullet"/>
      </w:pPr>
      <w:r>
        <w:t>Challenges and corrective actions</w:t>
      </w:r>
    </w:p>
    <w:p>
      <w:pPr>
        <w:pStyle w:val="Normal"/>
      </w:pPr>
      <w:r>
        <w:t>(iii) ANNUAL COMPREHENSIVE REPORTS (Due by March 31 of following year):</w:t>
      </w:r>
    </w:p>
    <w:p>
      <w:pPr>
        <w:pStyle w:val="ListBullet"/>
        <w:numPr>
          <w:ilvl w:val="0"/>
          <w:numId w:val="1"/>
        </w:numPr>
      </w:pPr>
      <w:r/>
      <w:r>
        <w:t>Complete data on worker outcomes and community resilience</w:t>
      </w:r>
    </w:p>
    <w:p>
      <w:pPr>
        <w:pStyle w:val="ListBullet"/>
      </w:pPr>
      <w:r>
        <w:t>Progress toward Chapter 23-B objectives</w:t>
      </w:r>
    </w:p>
    <w:p>
      <w:pPr>
        <w:pStyle w:val="ListBullet"/>
      </w:pPr>
      <w:r>
        <w:t>Worker and community satisfaction (survey data)</w:t>
      </w:r>
    </w:p>
    <w:p>
      <w:pPr>
        <w:pStyle w:val="ListBullet"/>
      </w:pPr>
      <w:r>
        <w:t>Comparison to baseline (pre-Chapter 23-B) conditions</w:t>
      </w:r>
    </w:p>
    <w:p>
      <w:pPr>
        <w:pStyle w:val="ListBullet"/>
      </w:pPr>
      <w:r>
        <w:t>Plans for next year</w:t>
      </w:r>
    </w:p>
    <w:p>
      <w:pPr>
        <w:pStyle w:val="Heading3"/>
      </w:pPr>
      <w:r>
        <w:t>(d) Commission Analysis and Action</w:t>
      </w:r>
    </w:p>
    <w:p>
      <w:pPr>
        <w:pStyle w:val="Heading3"/>
      </w:pPr>
      <w:r>
        <w:t>(i) The Commission shall:</w:t>
      </w:r>
    </w:p>
    <w:p>
      <w:pPr>
        <w:pStyle w:val="ListBullet"/>
        <w:numPr>
          <w:ilvl w:val="0"/>
          <w:numId w:val="1"/>
        </w:numPr>
      </w:pPr>
      <w:r/>
      <w:r>
        <w:t>Consolidate and analyze reported data quarterly</w:t>
      </w:r>
    </w:p>
    <w:p>
      <w:pPr>
        <w:pStyle w:val="ListBullet"/>
      </w:pPr>
      <w:r>
        <w:t>Publish a public "North American Just Transition Dashboard" showing real-time progress on worker support and community recovery</w:t>
      </w:r>
    </w:p>
    <w:p>
      <w:pPr>
        <w:pStyle w:val="ListBullet"/>
      </w:pPr>
      <w:r>
        <w:t>Identify underperforming Parties or Communities requiring escalated support</w:t>
      </w:r>
    </w:p>
    <w:p>
      <w:pPr>
        <w:pStyle w:val="ListBullet"/>
      </w:pPr>
      <w:r>
        <w:t>Issue quarterly performance briefings</w:t>
      </w:r>
    </w:p>
    <w:p>
      <w:pPr>
        <w:pStyle w:val="Normal"/>
      </w:pPr>
      <w:r>
        <w:t>(ii) If a Party's reported performance falls below benchmarks (e.g., &lt;80% of Affected Workers receiving income support, &lt;70% training completion rate), the Commission shall:</w:t>
      </w:r>
    </w:p>
    <w:p>
      <w:pPr>
        <w:pStyle w:val="ListBullet"/>
        <w:numPr>
          <w:ilvl w:val="0"/>
          <w:numId w:val="1"/>
        </w:numPr>
      </w:pPr>
      <w:r/>
      <w:r>
        <w:t>Issue a formal performance notice within 30 days</w:t>
      </w:r>
    </w:p>
    <w:p>
      <w:pPr>
        <w:pStyle w:val="ListBullet"/>
      </w:pPr>
      <w:r>
        <w:t>Require the Party to submit a corrective action plan within 60 days</w:t>
      </w:r>
    </w:p>
    <w:p>
      <w:pPr>
        <w:pStyle w:val="ListBullet"/>
      </w:pPr>
      <w:r>
        <w:t>If corrective action is insufficient, escalate to dispute settlement</w:t>
      </w:r>
    </w:p>
    <w:p>
      <w:pPr>
        <w:pStyle w:val="Heading3"/>
      </w:pPr>
      <w:r>
        <w:t>(e) 5-Year Comprehensive Review (Binding)</w:t>
      </w:r>
    </w:p>
    <w:p>
      <w:pPr>
        <w:pStyle w:val="Normal"/>
      </w:pPr>
      <w:r>
        <w:t>(i) The Commission shall conduct a comprehensive, independent evaluation of Chapter 23-B's operation and effectiveness at:</w:t>
      </w:r>
    </w:p>
    <w:p>
      <w:pPr>
        <w:pStyle w:val="ListBullet"/>
        <w:numPr>
          <w:ilvl w:val="0"/>
          <w:numId w:val="1"/>
        </w:numPr>
      </w:pPr>
      <w:r/>
      <w:r>
        <w:t>End of year 5 (and every 5 years thereafter)</w:t>
      </w:r>
    </w:p>
    <w:p>
      <w:pPr>
        <w:pStyle w:val="Normal"/>
      </w:pPr>
      <w:r>
        <w:t>(ii) The review shall assess:</w:t>
      </w:r>
    </w:p>
    <w:p>
      <w:pPr>
        <w:pStyle w:val="ListBullet"/>
        <w:numPr>
          <w:ilvl w:val="0"/>
          <w:numId w:val="1"/>
        </w:numPr>
      </w:pPr>
      <w:r/>
      <w:r>
        <w:t>Overall worker outcomes (employment recovery, wage recovery, credential attainment, income adequacy)</w:t>
      </w:r>
    </w:p>
    <w:p>
      <w:pPr>
        <w:pStyle w:val="ListBullet"/>
      </w:pPr>
      <w:r>
        <w:t>Community resilience and economic diversification</w:t>
      </w:r>
    </w:p>
    <w:p>
      <w:pPr>
        <w:pStyle w:val="ListBullet"/>
      </w:pPr>
      <w:r>
        <w:t>Fund adequacy and allocation efficiency</w:t>
      </w:r>
    </w:p>
    <w:p>
      <w:pPr>
        <w:pStyle w:val="ListBullet"/>
      </w:pPr>
      <w:r>
        <w:t>Gaps and unmet needs</w:t>
      </w:r>
    </w:p>
    <w:p>
      <w:pPr>
        <w:pStyle w:val="ListBullet"/>
      </w:pPr>
      <w:r>
        <w:t>Effectiveness of cross-border worker mobility and benefit portability</w:t>
      </w:r>
    </w:p>
    <w:p>
      <w:pPr>
        <w:pStyle w:val="Normal"/>
      </w:pPr>
      <w:r>
        <w:t>(iii) Within 6 months of completing the review, the Commission shall:</w:t>
      </w:r>
    </w:p>
    <w:p>
      <w:pPr>
        <w:pStyle w:val="ListBullet"/>
        <w:numPr>
          <w:ilvl w:val="0"/>
          <w:numId w:val="1"/>
        </w:numPr>
      </w:pPr>
      <w:r/>
      <w:r>
        <w:t>Publish results publicly</w:t>
      </w:r>
    </w:p>
    <w:p>
      <w:pPr>
        <w:pStyle w:val="ListBullet"/>
      </w:pPr>
      <w:r>
        <w:t>Issue recommendations for Chapter amendments or improvements</w:t>
      </w:r>
    </w:p>
    <w:p>
      <w:pPr>
        <w:pStyle w:val="ListBullet"/>
      </w:pPr>
      <w:r>
        <w:t>Make binding decisions on Fund adequacy (see Article 23-B.7(a)(iii))</w:t>
      </w:r>
    </w:p>
    <w:p>
      <w:pPr>
        <w:pStyle w:val="Normal"/>
      </w:pPr>
      <w:r>
        <w:t>(iv) If the review finds that Chapter 23-B has achieved its objectives (unemployment recovery, wage recovery, community resilience), Chapter 23-B may be modified. If review finds persistent gaps, Fund capitalization and support levels shall be increased.</w:t>
      </w:r>
    </w:p>
    <w:p>
      <w:pPr>
        <w:pStyle w:val="Heading2"/>
      </w:pPr>
      <w:bookmarkStart w:id="900778" w:name="_Toc300000777"/>
      <w:r>
        <w:t>Article 23-B.10: Relationship to Other Chapters and Primacy Provision</w:t>
      </w:r>
      <w:bookmarkEnd w:id="900778"/>
    </w:p>
    <w:p>
      <w:pPr>
        <w:pStyle w:val="Heading3"/>
      </w:pPr>
      <w:r>
        <w:t>(a) Primacy Over Trade Measures</w:t>
      </w:r>
    </w:p>
    <w:p>
      <w:pPr>
        <w:pStyle w:val="Normal"/>
      </w:pPr>
      <w:r>
        <w:t>CRITICAL: Chapter 23-B is the primary and binding commitment to worker protection. Trade remedies and Article 35.17A are supplementary.</w:t>
      </w:r>
    </w:p>
    <w:p>
      <w:pPr>
        <w:pStyle w:val="Normal"/>
      </w:pPr>
      <w:r>
        <w:t>(i) A Party's obligations under Chapter 23-B (worker income support, retraining, community support, and Transition Sector designation) are independent of and take precedence over trade disputes or remedies under Chapter 35 (Proportional Trade Adjustment Mechanism) and Article 35.17A (Remediation Investment and Corrective Compensation).</w:t>
      </w:r>
    </w:p>
    <w:p>
      <w:pPr>
        <w:pStyle w:val="Normal"/>
      </w:pPr>
      <w:r>
        <w:t>(ii) When a Party is subject to a trade remedy under Chapter 35, the Party's underlying Chapter 23-B obligations (income support, retraining, community investment) are NOT modified, suspended, or traded away. These are separate and binding commitments.</w:t>
      </w:r>
    </w:p>
    <w:p>
      <w:pPr>
        <w:pStyle w:val="Normal"/>
      </w:pPr>
      <w:r>
        <w:t>(iii) If a Party proposes "worker adjustment" as a remedy under Article 35.17A, such remedy must meet or exceed the standards set in Chapter 23-B. Substandard worker adjustment cannot satisfy Chapter 35 remedies.</w:t>
      </w:r>
    </w:p>
    <w:p>
      <w:pPr>
        <w:pStyle w:val="Heading3"/>
      </w:pPr>
      <w:r>
        <w:t>(b) Complementarity With Other Chapters</w:t>
      </w:r>
    </w:p>
    <w:p>
      <w:pPr>
        <w:pStyle w:val="Normal"/>
      </w:pPr>
      <w:r>
        <w:t>This Chapter operates within and supplements the treaty-wide human-rights floor established in Package CL (North American Human Dignity, Equality and Rights Framework). Nothing in this Chapter shall be interpreted to derogate from or diminish protections afforded by Package CL.</w:t>
      </w:r>
    </w:p>
    <w:p>
      <w:pPr>
        <w:pStyle w:val="Normal"/>
      </w:pPr>
      <w:r>
        <w:t>This Chapter is implemented consistently with:</w:t>
      </w:r>
    </w:p>
    <w:p>
      <w:pPr>
        <w:pStyle w:val="Normal"/>
      </w:pPr>
      <w:r>
        <w:t>(i) Chapter 23 (Labor): Chapter 23-B extends and operationalizes Chapter 23's worker-protection principles by providing concrete income support and retraining rights tied to the transformations this Agreement contemplates.</w:t>
      </w:r>
    </w:p>
    <w:p>
      <w:pPr>
        <w:pStyle w:val="Normal"/>
      </w:pPr>
      <w:r>
        <w:t>(ii) Chapter 24 (Environment): Chapter 23-B ensures that environmental protections and energy transitions mandated by Chapter 24 do not occur at the expense of affected workers and communities.</w:t>
      </w:r>
    </w:p>
    <w:p>
      <w:pPr>
        <w:pStyle w:val="Normal"/>
      </w:pPr>
      <w:r>
        <w:t>(iii) Chapter 36 (Economic Security and Supply Chain Resilience): Chapter 23-B provides workforce development and community resilience support complementing supply-chain security initiatives.</w:t>
      </w:r>
    </w:p>
    <w:p>
      <w:pPr>
        <w:pStyle w:val="Normal"/>
      </w:pPr>
      <w:r>
        <w:t>(iv) Chapter 40 (Energy Security and Grid Resilience): Chapter 23-B implements the worker participation and host-community engagement provisions in Chapter 40, particularly for fossil-fuel energy workers.</w:t>
      </w:r>
    </w:p>
    <w:p>
      <w:pPr>
        <w:pStyle w:val="Normal"/>
      </w:pPr>
      <w:r>
        <w:t>(v) Chapter 4 (Rules of Origin) and Article 4.A.2 (Automotive Goods): Chapter 23-B provides the worker-security infrastructure supporting automotive and sectoral workforce advancement standards in Article 4.A.2.</w:t>
      </w:r>
    </w:p>
    <w:p>
      <w:pPr>
        <w:pStyle w:val="Normal"/>
      </w:pPr>
      <w:r>
        <w:t>(vi) Package CL (Human Rights Framework): Chapter 23-B is an integral part of the human-rights commitment and is not subordinate to trade interests.</w:t>
      </w:r>
    </w:p>
    <w:p>
      <w:pPr>
        <w:pStyle w:val="Heading3"/>
      </w:pPr>
      <w:r>
        <w:t>(c) No Derogation</w:t>
      </w:r>
    </w:p>
    <w:p>
      <w:pPr>
        <w:pStyle w:val="Normal"/>
      </w:pPr>
      <w:r>
        <w:t>Each Party remains responsible for delivering the substantive minimum protections, benefit levels, funding commitments, deadlines, and worker and community outcomes required by this Chapter. A Party may not invoke domestic law, institutional design, or constitutional allocation of authority as a reason to deny, reduce, postpone, or discontinue those substantive protections. Where a particular administrative or legislative method prescribed by this Chapter is constitutionally unavailable, the Party shall implement a demonstrably equivalent lawful mechanism that delivers protection equal to or greater than the prescribed substantive standard within the same deadline, or within an expedited implementation period approved under this paragraph where literal compliance is legally impossible. The Party bears the burden of proving both the legal impossibility of the prescribed method and the substantive equivalence of the alternative.</w:t>
      </w:r>
    </w:p>
    <w:p>
      <w:pPr>
        <w:pStyle w:val="Normal"/>
      </w:pPr>
      <w:r>
        <w:t>HOWEVER: This clause does NOT permit a Party to invoke domestic law as a reason to:</w:t>
      </w:r>
    </w:p>
    <w:p>
      <w:pPr>
        <w:pStyle w:val="ListBullet"/>
        <w:numPr>
          <w:ilvl w:val="0"/>
          <w:numId w:val="1"/>
        </w:numPr>
      </w:pPr>
      <w:r/>
      <w:r>
        <w:t>Refuse to provide income support to Affected Workers</w:t>
      </w:r>
    </w:p>
    <w:p>
      <w:pPr>
        <w:pStyle w:val="ListBullet"/>
      </w:pPr>
      <w:r>
        <w:t>Block benefit portability</w:t>
      </w:r>
    </w:p>
    <w:p>
      <w:pPr>
        <w:pStyle w:val="ListBullet"/>
      </w:pPr>
      <w:r>
        <w:t>Deny retraining opportunities</w:t>
      </w:r>
    </w:p>
    <w:p>
      <w:pPr>
        <w:pStyle w:val="ListBullet"/>
      </w:pPr>
      <w:r>
        <w:t>Exclude workers based on immigration status</w:t>
      </w:r>
    </w:p>
    <w:p>
      <w:pPr>
        <w:pStyle w:val="ListBullet"/>
      </w:pPr>
      <w:r>
        <w:t>Defund Transition Sector support</w:t>
      </w:r>
    </w:p>
    <w:p>
      <w:pPr>
        <w:pStyle w:val="ListBullet"/>
      </w:pPr>
      <w:r>
        <w:t>Refuse to contribute to the Fund</w:t>
      </w:r>
    </w:p>
    <w:p>
      <w:pPr>
        <w:pStyle w:val="Normal"/>
      </w:pPr>
      <w:r>
        <w:t>If a Party's domestic law creates a barrier to Chapter 23-B compliance, the Party shall amend that law where constitutionally available or adopt an equivalent lawful mechanism that fully delivers the Chapter 23-B substantive obligation. The Party shall notify the Commission of the barrier and proposed cure within 30 days after identifying it, provide the legal and factual basis for any claimed constitutional limitation, and submit the alternative mechanism for expedited equivalence review. Commission or panel review of equivalence shall be completed on an expedited basis and shall not suspend the underlying obligation.</w:t>
      </w:r>
    </w:p>
    <w:p>
      <w:pPr>
        <w:pStyle w:val="Normal"/>
      </w:pPr>
      <w:r>
        <w:t>(v) No Benefit Interruption. If a dispute arises regarding the constitutional availability or substantive equivalence of an alternative mechanism, workers and communities shall continue receiving benefits and support at the most-protective applicable Chapter 23-B standard throughout consultation, review, litigation, or dispute settlement. No Party may reduce, suspend, defer, or condition benefits pending resolution of a constitutional or equivalence question. Where administrative uncertainty prevents immediate identification of the ultimately responsible program or authority, provisional benefits shall be paid first and governmental allocation or reimbursement shall be resolved afterward.</w:t>
      </w:r>
    </w:p>
    <w:p>
      <w:pPr>
        <w:pStyle w:val="Heading3"/>
      </w:pPr>
      <w:r>
        <w:t>(d) No Reservation or Opt-Out</w:t>
      </w:r>
    </w:p>
    <w:p>
      <w:pPr>
        <w:pStyle w:val="Normal"/>
      </w:pPr>
      <w:r>
        <w:t>No Party may enter a reservation or opt-out from any provision of Chapter 23-B. Chapter 23-B is mandatory for all Parties and applies in all territories.</w:t>
      </w:r>
    </w:p>
    <w:p>
      <w:pPr>
        <w:pStyle w:val="Heading2"/>
      </w:pPr>
      <w:bookmarkStart w:id="900779" w:name="_Toc300000778"/>
      <w:r>
        <w:t>Article 23-B.11: Dispute Settlement and Enforcement</w:t>
      </w:r>
      <w:bookmarkEnd w:id="900779"/>
    </w:p>
    <w:p>
      <w:pPr>
        <w:pStyle w:val="Heading3"/>
      </w:pPr>
      <w:r>
        <w:t>(a) Scope of Disputes</w:t>
      </w:r>
    </w:p>
    <w:p>
      <w:pPr>
        <w:pStyle w:val="Normal"/>
      </w:pPr>
      <w:r>
        <w:t>A Party may bring a dispute under Chapter 23-B (via the procedures in Chapter 31) alleging:</w:t>
      </w:r>
    </w:p>
    <w:p>
      <w:pPr>
        <w:pStyle w:val="Normal"/>
      </w:pPr>
      <w:r>
        <w:t>(i) Failure to maintain or establish programs required under Article 23-B.3</w:t>
        <w:br/>
        <w:t>(income support)</w:t>
        <w:br/>
        <w:t>(ii) Failure to maintain or establish programs required under Article 23-B.4 (retraining and skills)</w:t>
        <w:br/>
        <w:t>(iii) Failure to implement benefit portability obligations under Article 23-B.5</w:t>
        <w:br/>
        <w:t>(iv) Failure to provide community support under Article 23-B.6</w:t>
        <w:br/>
        <w:t>(v) Failure to contribute to the Fund as required under Article 23-B.7</w:t>
        <w:br/>
        <w:t>(vi) Failure to comply with Transition Sector designation under Article 23-B.8</w:t>
        <w:br/>
        <w:t>(vii) Failure to submit required reports under Article 23-B.9</w:t>
        <w:br/>
        <w:t>(viii) Failure to comply with dispute settlement decisions</w:t>
      </w:r>
    </w:p>
    <w:p>
      <w:pPr>
        <w:pStyle w:val="Heading3"/>
      </w:pPr>
      <w:r>
        <w:t>(b) Expedited Consultation (Precondition to Dispute Settlement)</w:t>
      </w:r>
    </w:p>
    <w:p>
      <w:pPr>
        <w:pStyle w:val="Normal"/>
      </w:pPr>
      <w:r>
        <w:t>A Party seeking to bring a Chapter 23-B dispute SHALL first pursue expedited consultation:</w:t>
      </w:r>
    </w:p>
    <w:p>
      <w:pPr>
        <w:pStyle w:val="Normal"/>
      </w:pPr>
      <w:r>
        <w:t>(i) Written notice of concern to the offending Party within 15 days of discovering the alleged violation</w:t>
        <w:br/>
        <w:t>(ii) Mandatory consultation within 15 days of written notice</w:t>
        <w:br/>
        <w:t>(iii) Good-faith negotiation and cure opportunity for 30 days following consultation</w:t>
        <w:br/>
        <w:t>(iv) If unresolved after 30 days, the requesting Party may proceed to dispute settlement</w:t>
      </w:r>
    </w:p>
    <w:p>
      <w:pPr>
        <w:pStyle w:val="Normal"/>
      </w:pPr>
      <w:r>
        <w:t>This expedited process is mandatory but is NOT used as a reason to delay remedies for workers. Workers continue receiving emergency income support during dispute resolution.</w:t>
      </w:r>
    </w:p>
    <w:p>
      <w:pPr>
        <w:pStyle w:val="Heading3"/>
      </w:pPr>
      <w:r>
        <w:t>(c) Dispute Panel Procedures</w:t>
      </w:r>
    </w:p>
    <w:p>
      <w:pPr>
        <w:pStyle w:val="Normal"/>
      </w:pPr>
      <w:r>
        <w:t>If consultations fail, Chapter 23-B disputes shall proceed under Chapter 31 (Dispute Settlement) with the following modifications:</w:t>
      </w:r>
    </w:p>
    <w:p>
      <w:pPr>
        <w:pStyle w:val="Heading3"/>
      </w:pPr>
      <w:r>
        <w:t>(i) Expedited Timeline: Panel decision within 6 months (faster than standard Chapter 31 timeline)</w:t>
      </w:r>
    </w:p>
    <w:p>
      <w:pPr>
        <w:pStyle w:val="Normal"/>
      </w:pPr>
      <w:r>
        <w:t>(ii) Specialized Panel: Panels hearing Chapter 23-B disputes shall include at least one panelist with expertise in labor law or social protection</w:t>
      </w:r>
    </w:p>
    <w:p>
      <w:pPr>
        <w:pStyle w:val="Normal"/>
      </w:pPr>
      <w:r>
        <w:t>(iii) Burden of Proof: The offending Party bears the burden of proving that it has complied with Chapter 23-B obligations. Mere assertion that compliance is ongoing is insufficient.</w:t>
      </w:r>
    </w:p>
    <w:p>
      <w:pPr>
        <w:pStyle w:val="Normal"/>
      </w:pPr>
      <w:r>
        <w:t>(iv) Remedies: If a panel finds a violation, the remedies available include:</w:t>
      </w:r>
    </w:p>
    <w:p>
      <w:pPr>
        <w:pStyle w:val="ListBullet"/>
        <w:numPr>
          <w:ilvl w:val="0"/>
          <w:numId w:val="1"/>
        </w:numPr>
      </w:pPr>
      <w:r/>
      <w:r>
        <w:t>Immediate cessation of the violation</w:t>
      </w:r>
    </w:p>
    <w:p>
      <w:pPr>
        <w:pStyle w:val="ListBullet"/>
      </w:pPr>
      <w:r>
        <w:t>Financial compensation sufficient to make affected workers and communities whole for verified loss, delay, or denied benefits</w:t>
      </w:r>
    </w:p>
    <w:p>
      <w:pPr>
        <w:pStyle w:val="ListBullet"/>
      </w:pPr>
      <w:r>
        <w:t>Corrective action plan with binding timeline</w:t>
      </w:r>
    </w:p>
    <w:p>
      <w:pPr>
        <w:pStyle w:val="ListBullet"/>
      </w:pPr>
      <w:r>
        <w:t>Mandatory additional contributions to the Fund or assessed compliance payments calibrated to the severity, duration, and verified injury</w:t>
      </w:r>
    </w:p>
    <w:p>
      <w:pPr>
        <w:pStyle w:val="ListBullet"/>
      </w:pPr>
      <w:r>
        <w:t>In persistent or deliberate cases where financial remedies have been exhausted or are demonstrably ineffective: narrowly related suspension of treaty benefits under Chapter 31 until the violation is cured; broader tariff concessions may be suspended only as a last resort consistent with Article 35.31</w:t>
      </w:r>
    </w:p>
    <w:p>
      <w:pPr>
        <w:pStyle w:val="Heading3"/>
      </w:pPr>
      <w:r>
        <w:t>(d) Automatic Enforcement Escalation</w:t>
      </w:r>
    </w:p>
    <w:p>
      <w:pPr>
        <w:pStyle w:val="Normal"/>
      </w:pPr>
      <w:r>
        <w:t>If a Party fails to comply with a panel decision or corrective action plan:</w:t>
      </w:r>
    </w:p>
    <w:p>
      <w:pPr>
        <w:pStyle w:val="Normal"/>
      </w:pPr>
      <w:r>
        <w:t>(i) First month of non-compliance: Automatic financial compliance assessment payable to the Fund, together with full make-whole payments to any worker or community experiencing benefit loss or delay</w:t>
      </w:r>
    </w:p>
    <w:p>
      <w:pPr>
        <w:pStyle w:val="Normal"/>
      </w:pPr>
      <w:r>
        <w:t>(ii) Second month of non-compliance: The financial compliance assessment doubles and continues monthly; no amount assessed under this paragraph may be credited against the Party's ordinary Fund contribution or domestic Chapter 23-B spending obligations</w:t>
      </w:r>
    </w:p>
    <w:p>
      <w:pPr>
        <w:pStyle w:val="Normal"/>
      </w:pPr>
      <w:r>
        <w:t>(iii) Third month of non-compliance: Escalation to the Commission and Chapter 31. The panel may authorize narrowly related suspension of treaty benefits only after finding that make-whole payments, Fund assessments, corrective orders, and other financial remedies have been exhausted or are demonstrably ineffective. Suspension of broader tariff concessions is a last resort and remains subject to the narrowest-sufficient-remedy, issue-nexus, proportionality, cure, and automatic-restoration disciplines of this Agreement.</w:t>
      </w:r>
    </w:p>
    <w:p>
      <w:pPr>
        <w:pStyle w:val="Heading3"/>
      </w:pPr>
      <w:r>
        <w:t>(e) Standing for Worker and Community Representatives</w:t>
      </w:r>
    </w:p>
    <w:p>
      <w:pPr>
        <w:pStyle w:val="Normal"/>
      </w:pPr>
      <w:r>
        <w:t>(i) A Party may bring a Chapter 23-B dispute on behalf of affected workers or communities in its territory.</w:t>
      </w:r>
    </w:p>
    <w:p>
      <w:pPr>
        <w:pStyle w:val="Normal"/>
      </w:pPr>
      <w:r>
        <w:t>(ii) Worker organizations and civil society may submit amicus curiae (friend of the court) briefs in Chapter 23-B disputes at the panel's discretion.</w:t>
      </w:r>
    </w:p>
    <w:p>
      <w:pPr>
        <w:pStyle w:val="Normal"/>
      </w:pPr>
      <w:r>
        <w:t>(iii) Worker organizations and community organizations may request standing to participate in the dispute settlement process if they can demonstrate that the dispute materially affects their members or communities.</w:t>
      </w:r>
    </w:p>
    <w:p>
      <w:pPr>
        <w:pStyle w:val="Heading3"/>
      </w:pPr>
      <w:r>
        <w:t>(f) No Waiver of Rights</w:t>
      </w:r>
    </w:p>
    <w:p>
      <w:pPr>
        <w:pStyle w:val="Normal"/>
      </w:pPr>
      <w:r>
        <w:t>A worker's or community's receipt of benefits, support, or remedies under Chapter 23-B does not waive that worker's or community's right to bring or participate in dispute proceedings. Chapter 23-B remedies are cumulative.</w:t>
      </w:r>
    </w:p>
    <w:p>
      <w:pPr>
        <w:pStyle w:val="Heading2"/>
      </w:pPr>
      <w:bookmarkStart w:id="900780" w:name="_Toc300000779"/>
      <w:r>
        <w:t>Article 23-B.12: Entry into Force and Implementation Deadlines</w:t>
      </w:r>
      <w:bookmarkEnd w:id="900780"/>
    </w:p>
    <w:p>
      <w:pPr>
        <w:pStyle w:val="Heading3"/>
      </w:pPr>
      <w:r>
        <w:t>(a) Entry into Force</w:t>
      </w:r>
    </w:p>
    <w:p>
      <w:pPr>
        <w:pStyle w:val="Normal"/>
      </w:pPr>
      <w:r>
        <w:t>This Chapter enters into force on the same date as the Agreement as a whole (or as specified by the Protocol of Modernization).</w:t>
      </w:r>
    </w:p>
    <w:p>
      <w:pPr>
        <w:pStyle w:val="Heading3"/>
      </w:pPr>
      <w:r>
        <w:t>(b) Implementation Timeline</w:t>
      </w:r>
    </w:p>
    <w:p>
      <w:pPr>
        <w:pStyle w:val="Normal"/>
      </w:pPr>
      <w:r>
        <w:t>(i) Within 3 months of entry into force:</w:t>
      </w:r>
    </w:p>
    <w:p>
      <w:pPr>
        <w:pStyle w:val="ListBullet"/>
      </w:pPr>
      <w:r>
        <w:t>Commission establishes Fund Board and appoints members</w:t>
      </w:r>
    </w:p>
    <w:p>
      <w:pPr>
        <w:pStyle w:val="ListBullet"/>
      </w:pPr>
      <w:r>
        <w:t>Each Party appoints its Fund Board representatives</w:t>
      </w:r>
    </w:p>
    <w:p>
      <w:pPr>
        <w:pStyle w:val="ListBullet"/>
      </w:pPr>
      <w:r>
        <w:t>Commission opens Fund bank account and begins accepting contributions</w:t>
      </w:r>
    </w:p>
    <w:p>
      <w:pPr>
        <w:pStyle w:val="Normal"/>
      </w:pPr>
      <w:r>
        <w:t>(ii) Within 6 months of entry into force:</w:t>
      </w:r>
    </w:p>
    <w:p>
      <w:pPr>
        <w:pStyle w:val="ListBullet"/>
      </w:pPr>
      <w:r>
        <w:t>Fund becomes operational and begins receiving contributions</w:t>
      </w:r>
    </w:p>
    <w:p>
      <w:pPr>
        <w:pStyle w:val="ListBullet"/>
      </w:pPr>
      <w:r>
        <w:t>Each Party verifies that existing domestic programs meet 23-B.3–4 standards (or commits to establishing new programs)</w:t>
      </w:r>
    </w:p>
    <w:p>
      <w:pPr>
        <w:pStyle w:val="ListBullet"/>
      </w:pPr>
      <w:r>
        <w:t>Commission establishes Skills and Credential Recognition Board</w:t>
      </w:r>
    </w:p>
    <w:p>
      <w:pPr>
        <w:pStyle w:val="ListBullet"/>
      </w:pPr>
      <w:r>
        <w:t>Workers in Transition Sectors become eligible for benefits</w:t>
      </w:r>
    </w:p>
    <w:p>
      <w:pPr>
        <w:pStyle w:val="Normal"/>
      </w:pPr>
      <w:r>
        <w:t>(iii) Within 12 months of entry into force:</w:t>
      </w:r>
    </w:p>
    <w:p>
      <w:pPr>
        <w:pStyle w:val="ListBullet"/>
      </w:pPr>
      <w:r>
        <w:t>Commission designates Core Transition Sectors (Article 23-B.8)</w:t>
      </w:r>
    </w:p>
    <w:p>
      <w:pPr>
        <w:pStyle w:val="ListBullet"/>
      </w:pPr>
      <w:r>
        <w:t>Each Party submits first quarterly report</w:t>
      </w:r>
    </w:p>
    <w:p>
      <w:pPr>
        <w:pStyle w:val="ListBullet"/>
      </w:pPr>
      <w:r>
        <w:t>Benefit portability mechanisms begin (interim measures under 23-B.5(c))</w:t>
      </w:r>
    </w:p>
    <w:p>
      <w:pPr>
        <w:pStyle w:val="ListBullet"/>
      </w:pPr>
      <w:r>
        <w:t>North American Pension Registry is established</w:t>
      </w:r>
    </w:p>
    <w:p>
      <w:pPr>
        <w:pStyle w:val="Normal"/>
      </w:pPr>
      <w:r>
        <w:t>(iv) Within 18 months of entry into force:</w:t>
      </w:r>
    </w:p>
    <w:p>
      <w:pPr>
        <w:pStyle w:val="ListBullet"/>
      </w:pPr>
      <w:r>
        <w:t>Each Party designates additional Transition Sectors (if any)</w:t>
      </w:r>
    </w:p>
    <w:p>
      <w:pPr>
        <w:pStyle w:val="ListBullet"/>
      </w:pPr>
      <w:r>
        <w:t>Fund Board approves first round of projects and programs</w:t>
      </w:r>
    </w:p>
    <w:p>
      <w:pPr>
        <w:pStyle w:val="ListBullet"/>
      </w:pPr>
      <w:r>
        <w:t>Social security agreements enter into negotiation</w:t>
      </w:r>
    </w:p>
    <w:p>
      <w:pPr>
        <w:pStyle w:val="ListBullet"/>
      </w:pPr>
      <w:r>
        <w:t>Community Steering Committees established in Affected Communities</w:t>
      </w:r>
    </w:p>
    <w:p>
      <w:pPr>
        <w:pStyle w:val="Normal"/>
      </w:pPr>
      <w:r>
        <w:t>(v) Within 24 months of entry into force:</w:t>
      </w:r>
    </w:p>
    <w:p>
      <w:pPr>
        <w:pStyle w:val="ListBullet"/>
      </w:pPr>
      <w:r>
        <w:t>Each Party amends domestic law to enable benefit portability (Article 23-B.5(e))</w:t>
      </w:r>
    </w:p>
    <w:p>
      <w:pPr>
        <w:pStyle w:val="ListBullet"/>
      </w:pPr>
      <w:r>
        <w:t>All Parties and Fund Board operating in full compliance</w:t>
      </w:r>
    </w:p>
    <w:p>
      <w:pPr>
        <w:pStyle w:val="ListBullet"/>
      </w:pPr>
      <w:r>
        <w:t>Worker retraining programs and income support at full capacity</w:t>
      </w:r>
    </w:p>
    <w:p>
      <w:pPr>
        <w:pStyle w:val="ListBullet"/>
      </w:pPr>
      <w:r>
        <w:t>Community diversification projects underway in priority communities</w:t>
      </w:r>
    </w:p>
    <w:p>
      <w:pPr>
        <w:pStyle w:val="Heading3"/>
      </w:pPr>
      <w:r>
        <w:t>(c) No Transition Period for Worker Protection</w:t>
      </w:r>
    </w:p>
    <w:p>
      <w:pPr>
        <w:pStyle w:val="Normal"/>
      </w:pPr>
      <w:r>
        <w:t>All benefits under Article 23-B.3 (income support) become available immediately upon entry into force. There is no transition period, phase-in, or delay. Workers are protected from day one.</w:t>
      </w:r>
    </w:p>
    <w:p>
      <w:pPr>
        <w:pStyle w:val="Heading2"/>
      </w:pPr>
      <w:bookmarkStart w:id="900781" w:name="_Toc300000780"/>
      <w:r>
        <w:t>Article 23-B.13: Definitions of Terms in Chapter 23-B Context</w:t>
      </w:r>
      <w:bookmarkEnd w:id="900781"/>
    </w:p>
    <w:p>
      <w:pPr>
        <w:pStyle w:val="Normal"/>
      </w:pPr>
      <w:r>
        <w:t>For the purposes of this Chapter:</w:t>
      </w:r>
    </w:p>
    <w:p>
      <w:pPr>
        <w:pStyle w:val="Normal"/>
      </w:pPr>
      <w:r>
        <w:t>Continuous Funding: means that the commitment to provide programs and Fund capitalization is ongoing and indefinite, not subject to periodic reauthorization or budget cycles that could result in discontinuation.</w:t>
      </w:r>
    </w:p>
    <w:p>
      <w:pPr>
        <w:pStyle w:val="Normal"/>
      </w:pPr>
      <w:r>
        <w:t>Materially Affected: means employment impact sufficient to require reasonable person to look for work or retraining (&gt;20% hours reduction, wage reduction &gt;15%, or permanent displacement).</w:t>
      </w:r>
    </w:p>
    <w:p>
      <w:pPr>
        <w:pStyle w:val="Normal"/>
      </w:pPr>
      <w:r>
        <w:t>Qualified Majority: means agreement by 6 of 9 voting members of the Fund Board or other multi-stakeholder bodies established under this Chapter.</w:t>
      </w:r>
    </w:p>
    <w:p>
      <w:pPr>
        <w:pStyle w:val="Normal"/>
      </w:pPr>
      <w:r>
        <w:t>Core Transition Sector: means a sector designated by the Commission under Article 23-B.8(a) as undergoing transformation, listed explicitly and binding on all Parties.</w:t>
      </w:r>
    </w:p>
    <w:p>
      <w:pPr>
        <w:pStyle w:val="Normal"/>
      </w:pPr>
      <w:r>
        <w:t>Good-Faith Compliance: means that a Party has made measurable progress toward meeting Chapter 23-B obligations. Mere aspiration, token gestures, or minimal funding do not constitute good-faith compliance.</w:t>
      </w:r>
    </w:p>
    <w:p>
      <w:pPr>
        <w:pStyle w:val="Normal"/>
      </w:pPr>
      <w:r>
        <w:t>Chapter 24 is the principal environmental chapter. Additional environmental architecture appears in forestry, wildfire, traceability, strategic-resource, circular-production, and Chapter 68 cetacean provisions.</w:t>
      </w:r>
    </w:p>
    <w:p>
      <w:pPr>
        <w:pStyle w:val="TrumpVisibilityHeadline"/>
      </w:pPr>
      <w:r>
        <w:t>SEARCH SIGNPOST: ENVIRONMENT / CLIMATE / FORESTRY / WILDFIRE / BIODIVERSITY / FISHERIES / MARINE MAMMALS / POLLUTION / CONSERVATION</w:t>
      </w:r>
    </w:p>
    <w:p>
      <w:pPr>
        <w:pStyle w:val="Heading1"/>
      </w:pPr>
      <w:bookmarkStart w:id="900782" w:name="_Toc300000781"/>
      <w:r>
        <w:t>CHAPTER 24 ENVIRONMENT</w:t>
      </w:r>
      <w:bookmarkEnd w:id="900782"/>
    </w:p>
    <w:p>
      <w:pPr>
        <w:pStyle w:val="Heading2"/>
      </w:pPr>
      <w:bookmarkStart w:id="900783" w:name="_Toc300000782"/>
      <w:r>
        <w:t xml:space="preserve">Article 24.1: Definitions</w:t>
      </w:r>
      <w:bookmarkEnd w:id="900783"/>
    </w:p>
    <w:p>
      <w:pPr>
        <w:pStyle w:val="Normal"/>
      </w:pPr>
      <w:r>
        <w:t xml:space="preserve">For the purposes of this Chapter: environmental law means a statute or regulation of a Party, or provision thereof, including any that implements the Party’s obligations under a multilateral environmental agreement, the primary purpose of which is the protection of the environment, or the prevention of a danger to human life or health, through: (a) the prevention, abatement, or control of the release, discharge, or emission of pollutants or environmental contaminants; (b) the control of environmentally hazardous or toxic chemicals, substances, materials, or wastes, and the dissemination of information related thereto; or (c) the protection or conservation of wild flora or fauna,1 including endangered species, their habitat, and specially protected natural areas,2 but does not include a statute or regulation, or provision thereof, directly related to worker safety or health, nor any statute or regulation, or provision thereof, the primary purpose of which is managing the subsistence or aboriginal harvesting of natural resources; and statute or regulation means:</w:t>
      </w:r>
    </w:p>
    <w:p>
      <w:pPr>
        <w:pStyle w:val="Normal"/>
      </w:pPr>
      <w:r>
        <w:t>(a) for Canada, an Act of the Parliament of Canada or regulation made under an Act of the Parliament of Canada that is enforceable by action of the central level of government; (b) for Mexico, an Act of Congress or regulation promulgated pursuant to an Act of Congress that is enforceable by action of the federal level of government; and (c) for the United States, an Act of Congress or</w:t>
      </w:r>
    </w:p>
    <w:p>
      <w:pPr>
        <w:pStyle w:val="Normal"/>
      </w:pPr>
      <w:r>
        <w:t>regulation promulgated pursuant to an Act of Congress that is enforceable by action of the central level of government. 1 The Parties recognize that “protection or conservation” may include the protection or conservation of biological diversity. 2 For the purposes of this Chapter, the term “specially protected natural areas” means those areas as defined by the Party in its law.</w:t>
      </w:r>
    </w:p>
    <w:p>
      <w:pPr>
        <w:pStyle w:val="Heading2"/>
      </w:pPr>
      <w:bookmarkStart w:id="900784" w:name="_Toc300000783"/>
      <w:r>
        <w:t xml:space="preserve">Article 24.2: Scope and Objectives</w:t>
      </w:r>
      <w:bookmarkEnd w:id="900784"/>
    </w:p>
    <w:p>
      <w:pPr>
        <w:pStyle w:val="Normal"/>
      </w:pPr>
      <w:r>
        <w:t xml:space="preserve">1. The Parties recognize that a healthy environment is an integral element of sustainable development and recognize the contribution that trade makes to sustainable development. 2. The objectives of this Chapter are to promote mutually supportive trade and environmental policies and practices; promote high levels of environmental protection and effective enforcement of environmental laws; and enhance the capacities of the Parties to address trade-related environmental issues, including through cooperation, in the furtherance of sustainable development. 3. Taking account of their respective national priorities and circumstances, the Parties recognize that enhanced cooperation to protect and conserve the environment and the sustainable use and management of their natural resources brings benefits that can contribute to sustainable development, strengthen their environmental governance, support implementation of international environmental agreements to which they are a party, and complement the objectives of this Agreement. 4. The Parties recognize that the environment plays an important role in the economic, social, and cultural well-being of indigenous peoples and local communities, and acknowledge the importance of engaging with these groups in the long-term conservation of the environment. 5.</w:t>
      </w:r>
    </w:p>
    <w:p>
      <w:pPr>
        <w:pStyle w:val="Normal"/>
      </w:pPr>
      <w:r>
        <w:t>The Parties further recognize that it is inappropriate to establish or use their environmental laws or other measures in a manner which would constitute a disguised restriction on trade or investment between the Parties.</w:t>
      </w:r>
    </w:p>
    <w:p>
      <w:pPr>
        <w:pStyle w:val="Heading2"/>
      </w:pPr>
      <w:bookmarkStart w:id="900785" w:name="_Toc300000784"/>
      <w:r>
        <w:t xml:space="preserve">Article 24.3: Levels of Protection</w:t>
      </w:r>
      <w:bookmarkEnd w:id="900785"/>
    </w:p>
    <w:p>
      <w:pPr>
        <w:pStyle w:val="Normal"/>
      </w:pPr>
      <w:r>
        <w:t xml:space="preserve">1. The Parties recognize the sovereign right of each Party to establish its own levels of domestic environmental protection and its own environmental priorities, and to establish, adopt, or modify its environmental laws and policies accordingly. 2. Each Party shall strive to ensure that its environmental laws and policies provide for, and encourage, high levels of environmental protection, and shall strive to continue to improve its respective levels of environmental protection.</w:t>
      </w:r>
    </w:p>
    <w:p>
      <w:pPr>
        <w:pStyle w:val="Heading2"/>
      </w:pPr>
      <w:bookmarkStart w:id="900786" w:name="_Toc300000785"/>
      <w:r>
        <w:t xml:space="preserve">Article 24.4: Enforcement of Environmental Laws</w:t>
      </w:r>
      <w:bookmarkEnd w:id="900786"/>
    </w:p>
    <w:p>
      <w:pPr>
        <w:pStyle w:val="Normal"/>
      </w:pPr>
      <w:r>
        <w:t xml:space="preserve">1. No Party shall fail to effectively enforce its environmental laws through a sustained or recurring course of action or inaction3 in a manner affecting trade or investment between the Parties,4 after the date of entry into force of this Agreement. 2. The Parties recognize that each Party retains the right to exercise discretion and to make decisions regarding: (a) investigatory, prosecutorial, regulatory, and compliance matters; and (b) the allocation of environmental enforcement resources with respect to other environmental laws determined to have higher priorities. Accordingly, the Parties understand that with respect to the enforcement of environmental laws a Party is in compliance with paragraph 1 if a course of action or inaction reflects a reasonable exercise of that discretion, or results from a bona fide decision regarding the allocation of those resources in accordance with priorities for enforcement of its environmental laws. 3. Without prejudice to Article 24.3.1 (Levels of Protection), the Parties recognize that it is inappropriate to encourage trade or investment by weakening or reducing the protection afforded in their respective environmental laws.</w:t>
      </w:r>
    </w:p>
    <w:p>
      <w:pPr>
        <w:pStyle w:val="Normal"/>
      </w:pPr>
      <w:r>
        <w:t>Accordingly, a Party shall not waive or otherwise derogate from, or offer to waive or otherwise derogate from, its environmental laws in a manner that weakens or reduces the protection afforded in those laws in order to encourage trade or investment between the Parties. 4. Nothing in this Chapter shall be construed to empower a Party’s authorities to undertake environmental law enforcement activities in the territory of another Party.</w:t>
      </w:r>
    </w:p>
    <w:p>
      <w:pPr>
        <w:pStyle w:val="Heading2"/>
      </w:pPr>
      <w:bookmarkStart w:id="900787" w:name="_Toc300000786"/>
      <w:r>
        <w:t xml:space="preserve">Article 24.5: Public Information and Participation</w:t>
      </w:r>
      <w:bookmarkEnd w:id="900787"/>
    </w:p>
    <w:p>
      <w:pPr>
        <w:pStyle w:val="Normal"/>
      </w:pPr>
      <w:r>
        <w:t xml:space="preserve">1. Each Party shall promote public awareness of its environmental laws and policies, including enforcement and compliance procedures, by ensuring that relevant information is available to the public. 2. Each Party shall provide for the receipt and consideration of written questions or comments from persons of that Party regarding its implementation of this Chapter. Each Party shall respond in a timely manner to these questions or comments in writing and in accordance 3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 4 For greater certainty, a “course of action or inaction” is “in a manner affecting trade or investment between the Parties” if the course involves:</w:t>
      </w:r>
    </w:p>
    <w:p>
      <w:pPr>
        <w:pStyle w:val="Normal"/>
      </w:pPr>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with domestic procedures, and make the questions or comments and the responses available to the public, for example by posting on an appropriate public website. 3. Each Party shall make use of existing, or establish new, consultative mechanisms, for example national advisory committees, to seek views on matters related to the implementation of this Chapter. These mechanisms may include persons with relevant experience, as appropriate, including experience in business, natural resource conservation and management, or other environmental matters.</w:t>
      </w:r>
    </w:p>
    <w:p>
      <w:pPr>
        <w:pStyle w:val="Heading2"/>
      </w:pPr>
      <w:bookmarkStart w:id="900788" w:name="_Toc300000787"/>
      <w:r>
        <w:t xml:space="preserve">Article 24.6: Procedural Matters</w:t>
      </w:r>
      <w:bookmarkEnd w:id="900788"/>
    </w:p>
    <w:p>
      <w:pPr>
        <w:pStyle w:val="Normal"/>
      </w:pPr>
      <w:r>
        <w:t xml:space="preserve">1. Each Party shall ensure that an interested person may request that the Party’s competent authorities investigate alleged violations of its environmental laws, and that the competent authorities give those requests due consideration, in accordance with its law. 2. Each Party shall ensure that persons with a recognized interest under its law in a particular matter have appropriate access to administrative, quasi-judicial, or judicial proceedings for the enforcement of the Party’s environmental laws, and the right to seek appropriate remedies or sanctions for violations of those laws. 3. Each Party shall ensure that administrative, quasi-judicial, or judicial proceedings for the enforcement of the Party’s environmental laws are available under its law and that those proceedings are fair, equitable, transparent, and comply with due process of law, including the opportunity for parties to the proceedings to support or defend their respective positions. The Parties recognize that these proceedings should not be unnecessarily complicated nor entail unreasonable fees or time limits. 4.</w:t>
      </w:r>
    </w:p>
    <w:p>
      <w:pPr>
        <w:pStyle w:val="Normal"/>
      </w:pPr>
      <w:r>
        <w:t>Each Party shall provide that any hearings in these proceedings are conducted by impartial and independent persons who do not have an interest in the outcome of the matter. Hearings in these proceedings shall be open to the public, except when the administration of justice otherwise requires, and in accordance with its applicable law. 5.</w:t>
      </w:r>
    </w:p>
    <w:p>
      <w:pPr>
        <w:pStyle w:val="Normal"/>
      </w:pPr>
      <w:r>
        <w:t>Each Party shall provide that final decisions on the merits of the case in these proceedings are: (a) in writing and if appropriate state the reasons on which the decisions are based; (b) made available without undue delay to the parties to the proceedings and, in accordance with its law, to the public; and (c) based on information or evidence presented by the parties or other sources, in accordance with its law. 6. Each Party shall also provide, as appropriate, that parties to these proceedings have the right, in accordance with its law, to seek review and, if warranted, correction or redetermination, of final decisions in such proceedings. 7. Each Party shall provide appropriate sanctions or remedies for violations of its environmental laws and shall ensure that it takes account of relevant factors when establishing sanctions or remedies, which may include the nature and gravity of the violation, damage to the environment, and any economic benefit derived by the violator.</w:t>
      </w:r>
    </w:p>
    <w:p>
      <w:pPr>
        <w:pStyle w:val="Heading2"/>
      </w:pPr>
      <w:bookmarkStart w:id="900789" w:name="_Toc300000788"/>
      <w:r>
        <w:t xml:space="preserve">Article 24.7: Environmental Impact Assessment</w:t>
      </w:r>
      <w:bookmarkEnd w:id="900789"/>
    </w:p>
    <w:p>
      <w:pPr>
        <w:pStyle w:val="Normal"/>
      </w:pPr>
      <w:r>
        <w:t xml:space="preserve">1. Each Party shall maintain appropriate procedures for assessing the environmental impacts of proposed projects that are subject to an action by that Party’s central level of government that may cause significant effects on the environment with a view to avoiding, minimizing, or mitigating adverse effects. 2. Each Party shall ensure that such procedures provide for the disclosure of information to the public and, in accordance with its law, allow for public participation.</w:t>
      </w:r>
    </w:p>
    <w:p>
      <w:pPr>
        <w:pStyle w:val="Heading2"/>
      </w:pPr>
      <w:bookmarkStart w:id="900790" w:name="_Toc300000789"/>
      <w:r>
        <w:t xml:space="preserve">Article 24.8: Multilateral Environmental Agreements</w:t>
      </w:r>
      <w:bookmarkEnd w:id="900790"/>
    </w:p>
    <w:p>
      <w:pPr>
        <w:pStyle w:val="Normal"/>
      </w:pPr>
      <w:r>
        <w:t xml:space="preserve">1. The Parties recognize the important role that multilateral environmental agreements can play in protecting the environment and as a response of the international community to global or regional environmental problems. 2. Each Party affirms its commitment to implement the multilateral environmental agreements to which it is a party. 3. The Parties commit to consult and cooperate as appropriate with respect to environmental issues of mutual interest, in particular trade-related issues, pertaining to relevant multilateral environmental agreements. This includes exchanging information on the implementation of multilateral environmental agreements to which a Party is party; ongoing negotiations of new multilateral environmental agreements; and, each Party’s respective views on becoming a party to additional multilateral environmental agreements.</w:t>
      </w:r>
    </w:p>
    <w:p>
      <w:pPr>
        <w:pStyle w:val="Heading2"/>
      </w:pPr>
      <w:bookmarkStart w:id="900791" w:name="_Toc300000790"/>
      <w:r>
        <w:t xml:space="preserve">Article 24.9: Protection of the Ozone Layer</w:t>
      </w:r>
      <w:bookmarkEnd w:id="900791"/>
    </w:p>
    <w:p>
      <w:pPr>
        <w:pStyle w:val="Normal"/>
      </w:pPr>
      <w:r>
        <w:t xml:space="preserve">1. The Parties recognize that emissions of certain substances can significantly deplete and otherwise modify the ozone layer in a manner that is likely to result in adverse effects on human health and the environment. Accordingly, each Party shall take measures to control the production and consumption of, and trade in, such substances.5,6,7 2. The Parties also recognize the importance of public participation and consultation, in accordance with their respective law or policy, in the development and implementation of measures concerning the protection of the ozone layer. Each Party shall make publicly available appropriate information about its programs and activities, including cooperative programs that are related to ozone layer protection. 3. Consistent with Article 24.25 (Environmental Cooperation), the Parties shall cooperate to address matters of mutual interest related to ozone-depleting substances. Cooperation may include, exchanging information and experiences in areas related to: (a) environmentally friendly alternatives to ozone-depleting substances; (b) refrigerant management practices, policies and programs; (c) methodologies for stratospheric ozone measurements; and (d) combatting illegal trade in ozone-depleting substances.</w:t>
      </w:r>
    </w:p>
    <w:p>
      <w:pPr>
        <w:pStyle w:val="Normal"/>
      </w:pPr>
      <w:r>
        <w:t>5 For greater certainty, this provision pertains to ozone- depleting substances controlled by the Montreal Protocol on Substances that Deplete the Ozone Layer, done at Montreal, September 16, 1987 (Montreal Protocol), and any existing and future amendments to the Montreal Protocol to which the Parties are parties. 6 A Party shall be deemed in compliance with this provision if it maintains the measure or measures listed in Annex 24-A implementing its obligations under the Montreal Protocol or adopts any subsequent measure or measures that provide an equivalent or higher level of environmental protection as the measure or measures listed. If compliance with this provision is not established pursuant to footnote 6, to establish a violation of this provision, a Party must demonstrate that the other Party has failed to take measures to control the production and consumption of, and trade in, certain substances that can significantly deplete and otherwise modify the ozone layer in a manner that is likely to result in adverse effects on human health and the environment, in a manner affecting trade or investment between the Parties.</w:t>
      </w:r>
    </w:p>
    <w:p>
      <w:pPr>
        <w:pStyle w:val="Normal"/>
      </w:pPr>
      <w:r>
        <w:t>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Heading2"/>
      </w:pPr>
      <w:bookmarkStart w:id="900792" w:name="_Toc300000791"/>
      <w:r>
        <w:t xml:space="preserve">Article 24.10: Protection of the Marine Environment from Ship Pollution</w:t>
      </w:r>
      <w:bookmarkEnd w:id="900792"/>
    </w:p>
    <w:p>
      <w:pPr>
        <w:pStyle w:val="Normal"/>
      </w:pPr>
      <w:r>
        <w:t xml:space="preserve">1. The Parties recognize the importance of protecting and preserving the marine environment. To that end, each Party shall take measures to prevent the pollution of the marine environment from ships.8, 9, 10 2. The Parties also recognize the importance of public participation and consultation, in accordance with their respective law or policy, in the development and implementation of measures to prevent the pollution of the marine environment from ships. Each Party shall make publicly available appropriate information about its programs and activities, including cooperative programs, that are related to the prevention of pollution of the marine environment from ships. 3. Consistent with Article 24.25 (Environmental Cooperation), the Parties shall cooperate to address matters of mutual interest with respect to pollution of the marine environment from ships.</w:t>
      </w:r>
    </w:p>
    <w:p>
      <w:pPr>
        <w:pStyle w:val="Normal"/>
      </w:pPr>
      <w:r>
        <w:t>Areas of cooperation may include: (a) accidental pollution from ships; (b) pollution from routine operations of ships; (c) deliberate pollution from ships; (d) development of technologies to minimise ship-generated waste; (e) emissions from ships; (f) adequacy of port waste reception facilities; For greater certainty, this provision pertains to pollution regulated by the International Convention for the Prevention of Pollution from Ships, done at London, November 2, 1973, as modified by the Protocol of 1978 relating to the International Convention for the Prevention of Pollution from Ships, done at London, February 17, 1978, and the Protocol of 1997 to Amend the International Convention for the Prevention of Pollution from Ships, 1973 as Modified by the Protocol of 1978 relating thereto, done at London, September 26, 1997 (MARPOL Convention), and any existing and future amendments to the MARPOL Convention, to which the Parties are parties. 9 A Party shall be deemed in compliance with this provision if it maintains the measure or measures listed in Annex 24-B implementing its obligations under MARPOL Convention, or adopts any subsequent measure or measures that provide an equivalent or higher level of environmental protection as the measure or measures listed.</w:t>
      </w:r>
    </w:p>
    <w:p>
      <w:pPr>
        <w:pStyle w:val="Normal"/>
      </w:pPr>
      <w:r>
        <w:t>10 If compliance with this provision is not established pursuant to footnote 9, to establish a violation of this provision, a Party must demonstrate that the other Party has failed to take measures to prevent the pollution of the marine environment from ships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(g) increased protection in special geographic areas; and (h) enforcement measures including notifications to flag States and, as appropriate, by port States.</w:t>
      </w:r>
    </w:p>
    <w:p>
      <w:pPr>
        <w:pStyle w:val="Heading2"/>
      </w:pPr>
      <w:bookmarkStart w:id="900793" w:name="_Toc300000792"/>
      <w:r>
        <w:t xml:space="preserve">Article 24.11: Air Quality</w:t>
      </w:r>
      <w:bookmarkEnd w:id="900793"/>
    </w:p>
    <w:p>
      <w:pPr>
        <w:pStyle w:val="Normal"/>
      </w:pPr>
      <w:r>
        <w:t xml:space="preserve">1. The Parties recognize that air pollution is a serious threat to public health, ecosystem integrity, and sustainable development and contributes to other environmental problems; and note that reducing certain air pollutants can provide multiple benefits. 2. Noting that air pollution can travel long distances and impact each Party’s ability to achieve its air quality objectives, the Parties recognize the importance of reducing both domestic and transboundary air pollution, and that cooperation can be beneficial in achieving these objectives. 3. The Parties further recognize the importance of public participation and transparency in the development and implementation of measures to prevent air pollution and in ensuring access to air quality data. Accordingly, each Party shall make air quality data and information about its associated programs and activities publicly available in accordance with Article 32.7 (Disclosure of Information), and shall seek to ensure these data and information are easily accessible and understandable to the public. 4. The Parties recognize the value of harmonizing air quality monitoring methodologies. 5. The Parties recognize the importance of international agreements and other efforts to improve air quality and control air pollutants, including those that have the potential for long- range transport. 6.</w:t>
      </w:r>
    </w:p>
    <w:p>
      <w:pPr>
        <w:pStyle w:val="Normal"/>
      </w:pPr>
      <w:r>
        <w:t>Recognizing that the Parties have made significant progress to address air pollution in other fora, and consistent with Article 24.25 (Environmental Cooperation), the Parties shall cooperate to address matters of mutual interest with respect to air quality. Cooperation may include exchanging information and experiences in areas related to: (a) ambient air quality planning; (b) modeling and monitoring, including spatial distribution of main sources and their emissions; (c) measurement and inventory methodologies for air quality and emissions’ measurements; and (d) reduction, control, and prevention technologies and practices.</w:t>
      </w:r>
    </w:p>
    <w:p>
      <w:pPr>
        <w:pStyle w:val="Heading2"/>
      </w:pPr>
      <w:bookmarkStart w:id="900794" w:name="_Toc300000793"/>
      <w:r>
        <w:t xml:space="preserve">Article 24.12: Marine Litter</w:t>
      </w:r>
      <w:bookmarkEnd w:id="900794"/>
    </w:p>
    <w:p>
      <w:pPr>
        <w:pStyle w:val="Normal"/>
      </w:pPr>
      <w:r>
        <w:t xml:space="preserve">1. The Parties recognize the importance of taking action to prevent and reduce marine litter, including plastic litter and microplastics, in order to preserve human health and marine and coastal ecosystems, prevent the loss of biodiversity, and mitigate marine litter’s costs and impacts. 2. Recognizing the global nature of the challenge of marine litter, each Party shall take measures to prevent and reduce marine litter. 3. Recognizing that the Parties are taking action to address marine litter in other fora, consistent with Article 24.25 (Environmental Cooperation), the Parties shall cooperate to address matters of mutual interest with respect to combatting marine litter, such as addressing land and sea-based pollution, promoting waste management infrastructure, and advancing efforts related to abandoned, lost, or otherwise discarded fishing gear.</w:t>
      </w:r>
    </w:p>
    <w:p>
      <w:pPr>
        <w:pStyle w:val="Heading2"/>
      </w:pPr>
      <w:bookmarkStart w:id="900795" w:name="_Toc300000794"/>
      <w:r>
        <w:t xml:space="preserve">Article 24.13: Corporate Social Responsibility and Responsible Business Conduct</w:t>
      </w:r>
      <w:bookmarkEnd w:id="900795"/>
    </w:p>
    <w:p>
      <w:pPr>
        <w:pStyle w:val="Normal"/>
      </w:pPr>
      <w:r>
        <w:t xml:space="preserve">1. The Parties recognize the importance of promoting corporate social responsibility and responsible business conduct. 2. Each Party shall encourage enterprises organized or constituted under its laws, or operating in its territory, to adopt and implement voluntary best practices of corporate social responsibility that are related to the environment, such as those in internationally recognized standards and guidelines that have been endorsed or are supported by that Party, to strengthen coherence between economic and environmental objectives.</w:t>
      </w:r>
    </w:p>
    <w:p>
      <w:pPr>
        <w:pStyle w:val="Heading2"/>
      </w:pPr>
      <w:bookmarkStart w:id="900796" w:name="_Toc300000795"/>
      <w:r>
        <w:t xml:space="preserve">Article 24.14: Voluntary Mechanisms to Enhance Environmental Performance</w:t>
      </w:r>
      <w:bookmarkEnd w:id="900796"/>
    </w:p>
    <w:p>
      <w:pPr>
        <w:pStyle w:val="Normal"/>
      </w:pPr>
      <w:r>
        <w:t xml:space="preserve">1. The Parties recognize that flexible, voluntary mechanisms, for example, voluntary auditing and reporting, market-based mechanisms, voluntary sharing of information and expertise, and public-private partnerships, can contribute to the achievement and maintenance of high levels of environmental protection and complement domestic regulatory measures. The Parties also recognize that those mechanisms should be designed in a manner that maximizes their environmental benefits and avoids the creation of unnecessary barriers to trade. 2. Therefore, in accordance with its laws, regulations, or policies and to the extent it considers appropriate, each Party shall encourage: (a) the use of flexible, voluntary mechanisms to protect the environment and natural resources, such as through the conservation and sustainable use of those resources, in its territory; and (b) its relevant authorities, private sector, non-governmental organizations, and other interested persons involved in the development of criteria used to evaluate environmental performance, with respect to these voluntary mechanisms, to continue to develop and improve such criteria. 3.</w:t>
      </w:r>
    </w:p>
    <w:p>
      <w:pPr>
        <w:pStyle w:val="Normal"/>
      </w:pPr>
      <w:r>
        <w:t>Further, if private sector entities or non-governmental organizations develop voluntary mechanisms for the promotion of products based on their environmental qualities, each Party should encourage those entities and organizations to develop voluntary mechanisms that, among other things: (a) are truthful, are not misleading, and take into account relevant scientific and technical information; (b) are based on relevant international standards, recommendations, guidelines, or best practices, as appropriate; (c) promote competition and innovation; and (d) do not treat a product less favorably on the basis of origin.</w:t>
      </w:r>
    </w:p>
    <w:p>
      <w:pPr>
        <w:pStyle w:val="Heading2"/>
      </w:pPr>
      <w:bookmarkStart w:id="900797" w:name="_Toc300000796"/>
      <w:r>
        <w:t xml:space="preserve">Article 24.15: Trade and Biodiversity</w:t>
      </w:r>
      <w:bookmarkEnd w:id="900797"/>
    </w:p>
    <w:p>
      <w:pPr>
        <w:pStyle w:val="Normal"/>
      </w:pPr>
      <w:r>
        <w:t xml:space="preserve">1. The Parties recognize the importance of conservation and sustainable use of biological diversity, as well as the ecosystem services it provides, and their key role in achieving sustainable development. 2. Accordingly, each Party shall promote and encourage the conservation and sustainable use of biological diversity, in accordance with its law or policy. 3. The Parties recognize the importance of respecting, preserving, and maintaining knowledge and practices of indigenous peoples and local communities embodying traditional lifestyles that contribute to the conservation and sustainable use of biological diversity. 4. The Parties recognize the importance of facilitating access to genetic resources within their respective national jurisdictions, consistent with each Party’s international obligations. The Parties further recognize that some Parties may require, through national measures, prior informed consent to access such genetic resources in accordance with national measures and, if access is granted, the establishment of mutually agreed terms, including with respect to sharing of benefits from the use of such genetic resources, between users and providers. 5.</w:t>
      </w:r>
    </w:p>
    <w:p>
      <w:pPr>
        <w:pStyle w:val="Normal"/>
      </w:pPr>
      <w:r>
        <w:t>The Parties also recognize the importance of public participation and consultation, in accordance with their respective law or policy, in the development and implementation of measures concerning the conservation and sustainable use of biological diversity.</w:t>
      </w:r>
    </w:p>
    <w:p>
      <w:pPr>
        <w:pStyle w:val="Normal"/>
      </w:pPr>
      <w:r>
        <w:t>Each Party shall make publicly available information about its programs and activities, including cooperative programs, related to the conservation and sustainable use of biological diversity. 6. Consistent with Article 24.25 (Environmental Cooperation), the Parties shall cooperate to address matters of mutual interest. Cooperation may include exchanging information and experiences in areas related to: (a) the conservation and sustainable use of biological diversity; (b) mainstreaming conservation and sustainable use of biological diversity across relevant sectors; (c) the protection and maintenance of ecosystems and ecosystem services; and (d) access to genetic resources and the sharing of benefits arising from their utilization.</w:t>
      </w:r>
    </w:p>
    <w:p>
      <w:pPr>
        <w:pStyle w:val="Heading2"/>
      </w:pPr>
      <w:bookmarkStart w:id="900798" w:name="_Toc300000797"/>
      <w:r>
        <w:t xml:space="preserve">Article 24.16: Invasive Alien Species</w:t>
      </w:r>
      <w:bookmarkEnd w:id="900798"/>
    </w:p>
    <w:p>
      <w:pPr>
        <w:pStyle w:val="Normal"/>
      </w:pPr>
      <w:r>
        <w:t xml:space="preserve">1. The Parties recognize that the movement of terrestrial and aquatic invasive alien species across borders through trade-related pathways can adversely affect the environment, economic activities and development, and human health. The Parties also recognize that the prevention, detection, control and, when possible, eradication, of invasive alien species are critical strategies for managing those adverse impacts. 2. Accordingly, the Environment Committee established under Article 24.26.2 (Environment Committee and Contact Points) shall coordinate with the Committee on Sanitary and Phytosanitary Measures established under Article 9.17 (Committee on Sanitary and Phytosanitary Measures) to identify cooperative opportunities to share information and management experiences on the movement, prevention, detection, control, and eradication of invasive alien species, with a view to enhancing efforts to assess and address the risks and adverse impacts of invasive alien species.</w:t>
      </w:r>
    </w:p>
    <w:p>
      <w:pPr>
        <w:pStyle w:val="Heading2"/>
      </w:pPr>
      <w:bookmarkStart w:id="900799" w:name="_Toc300000798"/>
      <w:r>
        <w:t xml:space="preserve">Article 24.17: Marine Wild Capture Fisheries</w:t>
      </w:r>
      <w:r>
        <w:rPr>
          <w:vertAlign w:val="superscript"/>
        </w:rPr>
        <w:t xml:space="preserve">11</w:t>
      </w:r>
      <w:bookmarkEnd w:id="900799"/>
    </w:p>
    <w:p>
      <w:pPr>
        <w:pStyle w:val="Normal"/>
      </w:pPr>
      <w:r>
        <w:t xml:space="preserve">1. The Parties acknowledge their role as major consumers, producers, and traders of fisheries products and the importance of the marine fisheries sectors to their development and to the livelihoods of fishing communities, including those engaged in artisanal, small scale, and indigenous fisheries. The Parties also recognize the need for individual and collective action within international fora to address the urgent resource problems resulting from overfishing and unsustainable utilization of fisheries resources. 2. Accordingly, the Parties recognize the importance of taking measures aimed at the conservation and the sustainable management of fisheries and the contribution of those measures to providing environmental, economic and social opportunities for present and future generations. The Parties also recognize the importance of promoting and facilitating trade in sustainably managed and legally harvested fish and fish products, while ensuring that trade in these products is not subject to unnecessary or unjustifiable barriers to trade, given the negative effect that such barriers can have on the well-being of their communities who depend upon the fishing industry for their livelihood. 3.</w:t>
      </w:r>
    </w:p>
    <w:p>
      <w:pPr>
        <w:pStyle w:val="Normal"/>
      </w:pPr>
      <w:r>
        <w:t>If an importing Party is considering adopting trade restrictive measures for fish or fish products in order to protect or conserve fish or other marine species, the Parties recognize the importance that these measures be:12 (a) based on the best scientific evidence available, as applicable, that establish a connection between the products affected by the measure and the species being protected or conserved; (b) tailored to the conservation objective; and (c) implemented after the importing Party has: (i) consulted with the exporting Party, in an effort to resolve the issue cooperatively; and (ii) provided a reasonable opportunity for the exporting Party to take appropriate measures to address the issue. 4. The Parties shall cooperate with, and, if appropriate, in, Regional Fisheries Management Organizations (RFMOs) and Regional Fisheries Management Arrangements (RFMAs), in which For greater certainty, Article 24.17 (Marine Wild Capture Fisheries), Article 24.18 (Sustainable Fisheries Management), Article 24.19 (Conservation of Marine Species), Article 24.20 (Fisheries Subsidies), and Article 24.21 (Illegal, Unreported, and Unregulated (IUU) Fishing) do not apply with respect to aquaculture.</w:t>
      </w:r>
    </w:p>
    <w:p>
      <w:pPr>
        <w:pStyle w:val="Normal"/>
      </w:pPr>
      <w:r>
        <w:t>12 For greater certainty, this paragraph is without prejudice to any rights or obligations of the Parties relating to the adoption or application of trade restrictive measures for fish and fish products.</w:t>
      </w:r>
    </w:p>
    <w:p>
      <w:pPr>
        <w:pStyle w:val="Normal"/>
      </w:pPr>
      <w:r>
        <w:t>the Parties are members, observers, or cooperating non-contracting parties, with the aim of achieving good governance, including by advocating for science-based decisions and compliance with those decisions in these organizations and arrangements.</w:t>
      </w:r>
    </w:p>
    <w:p>
      <w:pPr>
        <w:pStyle w:val="Heading2"/>
      </w:pPr>
      <w:bookmarkStart w:id="900800" w:name="_Toc300000799"/>
      <w:r>
        <w:t xml:space="preserve">Article 24.18: Sustainable Fisheries Management</w:t>
      </w:r>
      <w:bookmarkEnd w:id="900800"/>
    </w:p>
    <w:p>
      <w:pPr>
        <w:pStyle w:val="Normal"/>
      </w:pPr>
      <w:r>
        <w:t xml:space="preserve">1. In furtherance of the objectives of conservation and sustainable management, each Party shall seek to operate a fisheries management system that regulates marine wild capture fishing and that is designed to: (a) prevent overfishing and overcapacity through appropriate measures, such as limited entry, time, area, and other restrictions, and the setting and enforcement of catch or effort limits; (b) reduce bycatch of non-target species and juveniles, including through the regulation of, and implementation of measures associated with, fishing gear and methods that result in bycatch and the regulation of fishing in areas where bycatch is likely to occur; (c) promote the recovery of overfished stocks for all marine fisheries in which that Party’s persons conduct fishing activities; and (d) protect marine habitat by cooperating, as appropriate, to prevent or mitigate significant adverse impacts from fishing. 2. Further, each Party shall adopt or maintain measures: (a) to prevent the use of poisons and explosives for the purpose of commercial fish harvesting; and (b) designed to prohibit the practice of shark finning. 3.</w:t>
      </w:r>
    </w:p>
    <w:p>
      <w:pPr>
        <w:pStyle w:val="Normal"/>
      </w:pPr>
      <w:r>
        <w:t>Each Party shall base its fisheries management system on the best scientific evidence available and on internationally recognized best practices for fisheries management and conservation as reflected in the relevant provisions of international instruments aimed at ensuring the sustainable use and conservation of marine species.13 13 These instruments include, as they may apply, the United Nations Convention on Law of the Sea (UNCLOS), done at Montego Bay, December 10, 1982; the United Nations Agreement for the Implementation of the Provisions of the United Nations Convention on the Law of the Sea of December 1982 relating to the Conservation and Management of Straddling Fish Stocks and Highly Migratory Fish Stocks, done at New York, December 4, 1995 (UN Fish Stocks Agreement); the FAO Code of Conduct for Responsible Fisheries; the 1993 FAO Agreement to Promote Compliance with International Conservation and Management Measures by Fishing Vessels on the High Seas (Compliance Agreement), done at Rome, November 24, 1993; the 2001 FAO International Plan of Action to</w:t>
      </w:r>
    </w:p>
    <w:p>
      <w:pPr>
        <w:pStyle w:val="Heading2"/>
      </w:pPr>
      <w:bookmarkStart w:id="900801" w:name="_Toc300000800"/>
      <w:r>
        <w:t xml:space="preserve">Article 24.19: Conservation of Marine Species</w:t>
      </w:r>
      <w:bookmarkEnd w:id="900801"/>
    </w:p>
    <w:p>
      <w:pPr>
        <w:pStyle w:val="Normal"/>
      </w:pPr>
      <w:r>
        <w:t xml:space="preserve">1. Each Party shall promote the long-term conservation of sharks, sea turtles, seabirds, and marine mammals through the implementation and effective enforcement of conservation and management measures. Such measures shall include: (a) studies and assessments of the impact of fisheries operations on non-target species and their marine habitats, including through collection of species-specific data for non-target species and estimates of their bycatch, as appropriate; (b) gear-specific studies and data collection on impacts on non-target species and on the efficacy of management measures to reduce those adverse impacts, as appropriate; (c) measures to avoid, mitigate, or reduce bycatch of non-target species in fisheries, including appropriate measures pertaining to the use of bycatch mitigation devices, modified gear, or other techniques to reduce the impact of fishing operations on these species; and (d) cooperation on national and regional bycatch reduction measures, such as measures applicable to commercial fisheries pertaining to transboundary stocks of non-target species. 2.</w:t>
      </w:r>
    </w:p>
    <w:p>
      <w:pPr>
        <w:pStyle w:val="Normal"/>
      </w:pPr>
      <w:r>
        <w:t>Each Party shall prohibit the killing of great whales14 for commercial purposes unless authorized in a multilateral treaty to which the Party is a party.15 Prevent, Deter, and Eliminate Illegal, Unreported, and Unregulated Fishing (IUU IPOA), adopted at Rome, February 23, 2001; and the 2009 Agreement on Port State Measures to Prevent, Deter, and Eliminate IUU Fishing (Port State Measures Agreement), done at Rome, November 22, 2009. Great whales are the following 16 species: Balaena mysticetus, Eubalaena glacialis, Eubalaena japonica, Eubalaena australis, Eschrichtius robustus, Balaenoptera musculus, Balaenoptera physalus, Balaenoptera borealis, Balaenoptera edeni, Balaenoptera acutorostrata, Balaenoptera bonaerensis, Balaenoptera omurai, Megaptera novaeangliae, Caperea marginata, Physeter macrocephalus, and Hyperoodon ampullatus. 15 For greater certainty, the Parties understand that paragraph 2 does not apply to whaling by indigenous peoples in accordance with a Party’s law, including for Canada the legal obligations recognized and affirmed by section 35 of the Constitution Act, 1982 or those set out in self-government agreements between a central or regional level of government and indigenous peoples.</w:t>
      </w:r>
    </w:p>
    <w:p>
      <w:pPr>
        <w:pStyle w:val="Heading2"/>
      </w:pPr>
      <w:bookmarkStart w:id="900802" w:name="_Toc300000801"/>
      <w:r>
        <w:t xml:space="preserve">Article 24.20: Fisheries Subsidies</w:t>
      </w:r>
      <w:bookmarkEnd w:id="900802"/>
    </w:p>
    <w:p>
      <w:pPr>
        <w:pStyle w:val="Normal"/>
      </w:pPr>
      <w:r>
        <w:t xml:space="preserve">1. The Parties recognize that the implementation of a fisheries management system that is designed to prevent overfishing and overcapacity and to promote the recovery of overfished stocks must include the control, reduction, and eventual elimination of all subsidies that contribute to overfishing and overcapacity. To that end, no Party shall grant or maintain any of the following subsidies16 within the meaning of Article 1.1 of the SCM Agreement that are specific within the meaning of Article 2 of the SCM Agreement: (a) subsidies provided to a fishing vessel17 or operator18 while listed for IUU fishing19 by the flag State, the subsidizing Party, or a relevant RFMO or RFMA in accordance with the rules and procedures of that organization or arrangement and in conformity with international law; and (b) subsidies for fishing20 that negatively affect21 fish stocks that are in an overfished22 condition. 2.</w:t>
      </w:r>
    </w:p>
    <w:p>
      <w:pPr>
        <w:pStyle w:val="Normal"/>
      </w:pPr>
      <w:r>
        <w:t>Subsidy programs that are established by a Party before the date of entry into force of this Agreement and are subsidies referred to in paragraph 1(b) shall be brought into conformity with paragraph 1 as soon as possible and no later than three years after the date of entry into force of this Agreement. 16 For the purposes of this Article, a subsidy shall be attributable to the Party granting or maintaining it, regardless of the flag of the vessel involved or the application of rules of origin to the fish involved.</w:t>
      </w:r>
    </w:p>
    <w:p>
      <w:pPr>
        <w:pStyle w:val="Normal"/>
      </w:pPr>
      <w:r>
        <w:t>17 The term “fishing vessel” refers to any vessel, ship, or other type of boat used for, equipped to be used for, or intended to be used for fishing or fishing related activities. 18 The term “operator” means the owner of the vessel, or any person onboard, who is in charge of or directs or controls the vessel at the time of the IUU infraction. For greater certainty, the prohibition on the provision of subsidies to operators engaged in IUU fishing applies only to subsidies for fishing or fishing related activities. 19 “Illegal, unreported, and unregulated fishing” is to be understood to have the same meaning as paragraph 3 of the IUU IPOA. 20 For the purposes of this Article, “fishing” means searching for, attracting, locating, catching, taking, or harvesting fish, or any activity which can reasonably be expected to result in the attracting, locating, catching, taking, or harvesting of fish. 21 The negative effect of such subsidies shall be determined based on the best scientific evidence available.</w:t>
      </w:r>
    </w:p>
    <w:p>
      <w:pPr>
        <w:pStyle w:val="Normal"/>
      </w:pPr>
      <w:r>
        <w:t>22 For the purposes of this Article, a fish stock is overfished if the stock is at such a low level that mortality from fishing needs to be restricted to allow the stock to rebuild to a level that produces maximum sustainable yield or alternative reference points based on the best scientific evidence available.</w:t>
      </w:r>
    </w:p>
    <w:p>
      <w:pPr>
        <w:pStyle w:val="Normal"/>
      </w:pPr>
      <w:r>
        <w:t>Fish stocks that are recognized as overfished by the national jurisdiction where the fishing is taking place or by a relevant RFMO or RFMA shall also be considered overfished for the purposes of this Article. 3. In relation to subsidies that are not prohibited by paragraph 1, and taking into consideration a Party’s social and developmental priorities, each Party shall make best efforts to refrain from introducing new, or extending or enhancing existing, subsidies within the meaning of Article 1.1 of the SCM Agreement, to the extent they are specific within the meaning of Article 2 of the SCM Agreement, that contribute to overfishing or overcapacity. 4. With a view to achieving the objective of eliminating subsidies that contribute to overfishing and overcapacity, the Parties shall review the disciplines in paragraph 1 at regular meetings of the Environment Committee. 5.</w:t>
      </w:r>
    </w:p>
    <w:p>
      <w:pPr>
        <w:pStyle w:val="Normal"/>
      </w:pPr>
      <w:r>
        <w:t>Each Party shall notify the other Parties, within one year of the date of entry into force of this Agreement and every two years thereafter, of any subsidy within the meaning of Article 1.1 of the SCM Agreement that is specific within the meaning of Article 2 of the SCM Agreement, that the Party grants or maintains to persons engaged in fishing or fishing related activities. 6.</w:t>
      </w:r>
    </w:p>
    <w:p>
      <w:pPr>
        <w:pStyle w:val="Normal"/>
      </w:pPr>
      <w:r>
        <w:t>These notifications shall cover subsidies provided within the previous two-year period and shall include the information required under Article 25.3 of the SCM Agreement and, to the extent possible, the following information:23 (a) program name; (b) legal authority for the program; (c) catch data by species in the fishery for which the subsidy is provided; (d) status, whether overfished, fully fished, or underfished, of the fish stocks in the fishery for which the subsidy is provided; (e) fleet capacity in the fishery for which the subsidy is provided; (f) conservation and management measures in place for the relevant fish stock; and (g) total imports and exports per species. 7. Each Party shall also provide, to the extent possible, information in relation to other subsidies that the Party grants or maintains to persons engaged in fishing or fishing related activities that are not covered by paragraph 1, in particular fuel subsidies.</w:t>
      </w:r>
    </w:p>
    <w:p>
      <w:pPr>
        <w:pStyle w:val="Normal"/>
      </w:pPr>
      <w:r>
        <w:t>23 Sharing information and data on existing fisheries subsidy programs does not prejudge their legal status, effects, or nature under the GATT 1994 or the SCM Agreement and is intended to complement WTO data reporting requirements. 8. A Party may request additional information from the notifying Party regarding the notifications provided under paragraphs 5 and 6. The notifying Party shall respond to that request as quickly as possible and in a comprehensive manner. 9.</w:t>
      </w:r>
    </w:p>
    <w:p>
      <w:pPr>
        <w:pStyle w:val="Normal"/>
      </w:pPr>
      <w:r>
        <w:t>Each Party shall notify the other Parties on an annual basis of any list of vessels and operators identified as having engaged in IUU fishing. 10. The Parties shall work in the WTO towards strengthening international rules on the provision of subsidies to the fisheries sector and enhancing transparency of fisheries subsidies.</w:t>
      </w:r>
    </w:p>
    <w:p>
      <w:pPr>
        <w:pStyle w:val="Heading2"/>
      </w:pPr>
      <w:bookmarkStart w:id="900803" w:name="_Toc300000802"/>
      <w:r>
        <w:t xml:space="preserve">Article 24.21: Illegal, Unreported, and Unregulated (IUU) Fishing</w:t>
      </w:r>
      <w:bookmarkEnd w:id="900803"/>
    </w:p>
    <w:p>
      <w:pPr>
        <w:pStyle w:val="Normal"/>
      </w:pPr>
      <w:r>
        <w:t xml:space="preserve">1. The Parties recognize the importance of concerted international action to address IUU fishing as reflected in regional and international instruments24 and shall endeavor to improve cooperation internationally in this regard, including with and through competent international organizations. 2. In support of international efforts to combat IUU fishing and to help deter trade in products from IUU fishing, each Party shall: (a) implement port state measures, including through actions consistent with the Port State Measures Agreement;25 (b) support monitoring, control, surveillance, compliance, and enforcement schemes, including by adopting, maintaining, reviewing, or revising, as appropriate, measures to: (i) deter vessels flying its flag and, to the extent provided for in each Party’s law, its nationals, from engaging in IUU fishing; and (ii) address the transshipment at sea of fish caught through IUU fishing or fish products derived from IUU fishing.</w:t>
      </w:r>
    </w:p>
    <w:p>
      <w:pPr>
        <w:pStyle w:val="Normal"/>
      </w:pPr>
      <w:r>
        <w:t>(c) maintain a vessel documentation scheme and promote the use of International Maritime Organization numbers, or comparable unique vessel identifiers, as 24 Regional and international instruments include, among others, and as they may apply, the IUU IPOA, the 2005 Rome Declaration on IUU Fishing, adopted at Rome, March 12, 2005, the Port State Measures Agreement, as well as instruments established and adopted by RFMOs and RFMAs, as appropriate, that have the competence to establish conservation and management measures. 25 For greater certainty, this paragraph is without prejudice to a Party’s status under the 2009 Port State Measures Agreement. appropriate, for vessels operating outside of its national jurisdiction, in order to enhance transparency of fleets and traceability of fishing vessels; (d) strive to act consistently with relevant conservation and management measures adopted by RFMOs or RFMAs of which it is not a party so as not to undermine those measures; (e) endeavor not to undermine catch or trade documentation schemes operated by RFMOs or RFMAs;</w:t>
      </w:r>
    </w:p>
    <w:p>
      <w:pPr>
        <w:pStyle w:val="Normal"/>
      </w:pPr>
      <w:r>
        <w:t>(f) develop and maintain publicly available and easily accessible registry data of fishing vessels flying its flag; promote efforts by non-Parties to develop and maintain publicly available and easily accessible registry data of such vessels flying its flag; and support efforts to complete a Global Record of Fishing Vessels, Refrigerated Transport Vessels, and Supply Vessels; and (g) cooperate with other Parties</w:t>
      </w:r>
    </w:p>
    <w:p>
      <w:pPr>
        <w:pStyle w:val="Normal"/>
      </w:pPr>
      <w:r>
        <w:t>through the exchange of information and best practices to combat trade in products derived from IUU fishing. 3. Consistent with Article 28.9 (Transparent Development of Regulations), a Party shall, to the extent possible, provide the other Parties the opportunity to comment on proposed measures that are designed to prevent trade in fisheries products derived from IUU fishing.</w:t>
      </w:r>
    </w:p>
    <w:p>
      <w:pPr>
        <w:pStyle w:val="Heading2"/>
      </w:pPr>
      <w:bookmarkStart w:id="900804" w:name="_Toc300000803"/>
      <w:r>
        <w:t xml:space="preserve">Article 24.22: Conservation and Trade</w:t>
      </w:r>
      <w:bookmarkEnd w:id="900804"/>
    </w:p>
    <w:p>
      <w:pPr>
        <w:pStyle w:val="Normal"/>
      </w:pPr>
      <w:r>
        <w:t xml:space="preserve">1. The Parties affirm the importance of combatting the illegal take26 of, and illegal trade in, wild fauna and flora, and acknowledge that this trade undermines efforts to conserve and sustainably manage those natural resources, has social consequences, distorts legal trade in wild fauna and flora, and reduces the economic and environmental value of these natural resources. 2. Accordingly, each Party shall adopt, maintain, and implement laws, regulations and any other measures to fulfil its obligations under the Convention on International Trade in Endangered Species of Wild Fauna and Flora (CITES) done at Washington, D.C., March 3, 1973.27, 28, 29 26 For the purposes of this Article, the term “take” means captured, killed, or collected and with respect to a plant, also means harvested, cut, logged or removed. 27 For the purposes of this Article, a Party’s CITES obligations include existing and future amendments to which the Parties are parties and any existing and future reservations or exemptions applicable to the Party. This paragraph only applies if all the Parties are parties to CITES.</w:t>
      </w:r>
    </w:p>
    <w:p>
      <w:pPr>
        <w:pStyle w:val="Normal"/>
      </w:pPr>
      <w:r>
        <w:t>28 To establish a violation of this paragraph, a Party must demonstrate that the other Party has failed to adopt, maintain, or implement laws, regulations, or other measures to fulfil its obligations under CITES in a manner affecting trade or investment between the Parties. For greater certainty, a failure is “in a manner affecting trade or 3.</w:t>
      </w:r>
    </w:p>
    <w:p>
      <w:pPr>
        <w:pStyle w:val="Normal"/>
      </w:pPr>
      <w:r>
        <w:t>The Parties commit to promote conservation and to combat the illegal take of, and illegal trade in, wild fauna and flora. To that end, the Parties shall: (a) exchange information and experiences on issues of mutual interest related to combatting the illegal take of, and illegal trade in, wild fauna and flora, including combatting illegal logging and associated illegal trade, and promoting the legal trade in associated products; (b) undertake, as appropriate, joint activities on conservation issues of mutual interest, including through relevant regional and international fora; and (c) endeavor to implement, as appropriate, CITES resolutions that aim to protect and conserve species whose survival is threatened by international trade. 4. Each Party further commits to: (a) take appropriate measures to protect and conserve wild fauna and flora that it has identified to be at risk within its territory, including measures to conserve the ecological integrity of specially protected natural areas, for example grasslands and wetlands;</w:t>
      </w:r>
    </w:p>
    <w:p>
      <w:pPr>
        <w:pStyle w:val="Normal"/>
      </w:pPr>
      <w:r>
        <w:t>(b) maintain or strengthen government capacity and institutional frameworks to promote the conservation of wild fauna and flora, and endeavor to enhance public participation and transparency in these institutional frameworks; and (c) endeavor to develop and strengthen cooperation and consultation with interested non-governmental entities and other stakeholders in order to enhance implementation of measures to combat the illegal take of, and illegal</w:t>
      </w:r>
    </w:p>
    <w:p>
      <w:pPr>
        <w:pStyle w:val="Normal"/>
      </w:pPr>
      <w:r>
        <w:t>trade in, wild fauna and flora. 5. In a further effort to address the illegal take of, and illegal trade in, wild fauna and flora, including parts and products thereof, each Party shall take measures to combat, and cooperate to prevent, the trade of wild fauna and flora that, based on credible evidence,30 were taken or traded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29 If a Party considers that another Party is failing to comply with its obligations under this paragraph, it shall endeavor, in the first instance, to address the matter through a consultative or other procedure under CITES.</w:t>
      </w:r>
    </w:p>
    <w:p>
      <w:pPr>
        <w:pStyle w:val="Normal"/>
      </w:pPr>
      <w:r>
        <w:t>30 For greater certainty, for the purposes of this paragraph, each Party retains the right to determine what constitutes “credible evidence”. in violation of that Party’s law or another applicable law,31 the primary purpose of which is to conserve, protect, or manage wild fauna or flora. These measures shall include sanctions, penalties, or other effective measures, including administrative measures, that can act as a deterrent to such trade.</w:t>
      </w:r>
    </w:p>
    <w:p>
      <w:pPr>
        <w:pStyle w:val="Normal"/>
      </w:pPr>
      <w:r>
        <w:t>In addition, each Party shall endeavor to take measures to combat the trade of wild fauna and flora transhipped through its territory that, based on credible evidence, were illegally taken or traded. 6. The Parties recognize that each Party retains the right to exercise administrative, investigatory, and enforcement discretion in its implementation of paragraph 5, including by taking into account in relation to each situation the strength of the available evidence and the seriousness of the suspected violation. In addition, the Parties recognize that in implementing paragraph 5, each Party retains the right to make decisions regarding the allocation of administrative, investigatory, and enforcement resources. 7. Further, each Party shall: (a) take measures to enhance the effectiveness of inspections of shipments containing wild fauna and flora, including parts and products thereof, at ports of entry, such as improving targeting; and (b) treat intentional transnational trafficking of wildlife protected under its laws,32 as a serious crime as defined in the United Nations Convention on Transnational Organized Crime.33 8.</w:t>
      </w:r>
    </w:p>
    <w:p>
      <w:pPr>
        <w:pStyle w:val="Normal"/>
      </w:pPr>
      <w:r>
        <w:t>In order to promote the widest measure of law enforcement cooperation and information sharing between the Parties to combat the illegal take of, and illegal trade in, wild fauna and flora, the Parties shall endeavor to identify opportunities, consistent with their respective law and in accordance with applicable international agreements, to enhance law enforcement cooperation and information sharing, for example by enhancing participation in law enforcement networks, and, as appropriate, establishing new networks with the objective of developing a strong and effective worldwide network. 31 For greater certainty, “another applicable law” means a law of the jurisdiction where the take or trade occurred and is only relevant to the question of whether the wild fauna and flora has been taken or traded in violation of that law. 32 For greater certainty, the term “wildlife” is understood to include all species of wild fauna and flora, including animals, timber, and marine species, and their related parts and products.</w:t>
      </w:r>
    </w:p>
    <w:p>
      <w:pPr>
        <w:pStyle w:val="Normal"/>
      </w:pPr>
      <w:r>
        <w:t>Further, for purposes of this Article, the term “protected” means a CITES-listed species or a species that is listed under a Party’s law as endangered, as threatened, or as being at risk within its territory. 33 The term “serious crime” is to be understood to have the same meaning as paragraph 2(b) of the United Nations Convention on Transnational Organized Crime, done at New York, on November 15, 2000.</w:t>
      </w:r>
    </w:p>
    <w:p>
      <w:pPr>
        <w:pStyle w:val="Heading2"/>
      </w:pPr>
      <w:bookmarkStart w:id="900805" w:name="_Toc300000804"/>
      <w:r>
        <w:t xml:space="preserve">Article 24.23: Sustainable Forest Management and Trade</w:t>
      </w:r>
      <w:bookmarkEnd w:id="900805"/>
    </w:p>
    <w:p>
      <w:pPr>
        <w:pStyle w:val="Normal"/>
      </w:pPr>
      <w:r>
        <w:t xml:space="preserve">1. The Parties acknowledge their role as major consumers, producers, and traders of forest products and the importance of a healthy forest sector to provide livelihoods and job opportunities, including for indigenous peoples. 2. The Parties acknowledge the importance of: (a) the conservation and sustainable management of forests for providing environmental economic, and social benefits for present and future generations; (b) the critical role of forests in providing numerous ecosystem services, including carbon storage, maintaining water quantity and quality, stabilizing soils, and providing habitat for wild fauna and flora; and (a) (c) combatting illegal logging and associated trade. 3. The Parties recognize that forest products, when sourced from sustainably managed forests, contribute to fulfilling global environmental objectives, including sustainable development, conservation and sustainable use of resources, and green growth. 4. Accordingly, each Party commits to: (a) maintain or strengthen government capacity and institutional frameworks to promote sustainable forest management; and (b) promote trade in legally harvested forest products. 5. The Parties shall exchange information and cooperate, as appropriate, on initiatives to promote sustainable forest management, including initiatives designed to combat illegal logging and associated trade.</w:t>
      </w:r>
    </w:p>
    <w:p>
      <w:pPr>
        <w:pStyle w:val="Heading2"/>
      </w:pPr>
      <w:bookmarkStart w:id="900806" w:name="_Toc300000805"/>
      <w:r>
        <w:t xml:space="preserve">Article 24.24: Environmental Goods and Services</w:t>
      </w:r>
      <w:bookmarkEnd w:id="900806"/>
    </w:p>
    <w:p>
      <w:pPr>
        <w:pStyle w:val="Normal"/>
      </w:pPr>
      <w:r>
        <w:t xml:space="preserve">1. The Parties recognize the importance of trade and investment in environmental goods and services, including clean technologies, as a means of improving environmental and economic performance, contributing to green growth and jobs, and encouraging sustainable development, while addressing global environmental challenges. 2. Accordingly, the Parties shall strive to facilitate and promote trade and investment in environmental goods and services. 3. The Environment Committee shall consider issues identified by a Party related to trade in environmental goods and services, including issues identified as potential non-tariff barriers to that trade. The Parties shall endeavor to address any potential barriers to trade in environmental goods and services that may be identified by a Party, including by working through the Environment Committee and in conjunction with other relevant committees established under this Agreement, as appropriate. 4. The Parties shall cooperate in international fora on ways to further facilitate and liberalize global trade in environmental goods and services, and may develop cooperative projects on environmental goods and services to address current and future global environmental challenges.</w:t>
      </w:r>
    </w:p>
    <w:p>
      <w:pPr>
        <w:pStyle w:val="Heading2"/>
      </w:pPr>
      <w:bookmarkStart w:id="900807" w:name="_Toc300000806"/>
      <w:r>
        <w:t xml:space="preserve">Article 24.25: Environmental Cooperation</w:t>
      </w:r>
      <w:bookmarkEnd w:id="900807"/>
    </w:p>
    <w:p>
      <w:pPr>
        <w:pStyle w:val="Normal"/>
      </w:pPr>
      <w:r>
        <w:t xml:space="preserve">1. The Parties recognize the importance of cooperation as a mechanism to implement this Chapter, to enhance its benefits, and to strengthen the Parties’ joint and individual capacities to protect the environment, and to promote sustainable development as they strengthen their trade and investment relations. 2. The Parties are committed to expanding their cooperative relationship on environmental matters, recognizing it will help them achieve their shared environmental goals and objectives, including the development and improvement of environmental protection, practices, and technologies. 3. The Parties are committed to undertaking cooperative environmental activities pursuant to the Agreement on Environmental Cooperation among the Governments of Canada, the United Mexican States, and the United States of America (ECA) signed by the Parties, including activities related to implementation of this Chapter. Activities that the Parties undertake pursuant to the Environmental Cooperation Agreement will be coordinated and reviewed by the Commission for Environmental Cooperation as provided for in the ECA.34</w:t>
      </w:r>
    </w:p>
    <w:p>
      <w:pPr>
        <w:pStyle w:val="Normal"/>
      </w:pPr>
      <w:r>
        <w:t>0A. The Agreement on Environmental Cooperation among Canada, the United States of America, and the United Mexican States, reproduced for operational completeness in Annex 34-G, Part E, continues to provide the institutional framework for the Commission for Environmental Cooperation. Nothing in this modernized Agreement terminates that companion agreement except by an instrument adopted in accordance with its own terms.</w:t>
      </w:r>
    </w:p>
    <w:p>
      <w:pPr>
        <w:pStyle w:val="Heading2"/>
      </w:pPr>
      <w:bookmarkStart w:id="900808" w:name="_Toc300000807"/>
      <w:r>
        <w:t xml:space="preserve">Article 24.26: Environment Committee and Contact Points</w:t>
      </w:r>
      <w:bookmarkEnd w:id="900808"/>
    </w:p>
    <w:p>
      <w:pPr>
        <w:pStyle w:val="Normal"/>
      </w:pPr>
      <w:r>
        <w:t xml:space="preserve">1. Each Party shall designate and notify a contact point from its relevant authorities within 90 days of the date of entry into force of this Agreement, in order to facilitate communication between the Parties in the implementation of this Chapter. Each Party shall promptly notify, in writing, the other Parties in the event of any change of its contact point. 34 The Parties established the Commission for Environmental Cooperation (CEC) under Part Three of the North American Agreement on Environmental Cooperation (NAAEC). 2. The Parties establish an Environment Committee composed of senior government representatives, or their designees, of the relevant trade and environment central level of government authorities of each Party responsible for the implementation of this Chapter. 3.</w:t>
      </w:r>
    </w:p>
    <w:p>
      <w:pPr>
        <w:pStyle w:val="Normal"/>
      </w:pPr>
      <w:r>
        <w:t>The purpose of the Environment Committee is to oversee the implementation of this Chapter, and its functions are to: (a) provide a forum to discuss and review the implementation of this Chapter; (b) periodically inform the Commission and the Council for the Commission for Environmental Cooperation (Council) established under Article 3 (Council Structures and Procedures) of the Environmental Cooperation Agreement regarding the implementation of this Chapter; (c) consider and endeavor to resolve matters referred to it under Article 24.30 (Senior Representative Consultations); (d) provide input, as appropriate, for consideration by the Council, relating to submissions on enforcement matters under this Chapter. (e) coordinate with other committees established under this Agreement as appropriate; and (f) perform any other functions as the Parties may decide. 4. The Environment Committee shall meet within one year of the date of entry into force of this Agreement. Thereafter, the Environment Committee shall meet every two years unless the Environment Committee agrees otherwise.</w:t>
      </w:r>
    </w:p>
    <w:p>
      <w:pPr>
        <w:pStyle w:val="Normal"/>
      </w:pPr>
      <w:r>
        <w:t>The Chair of the Environment Committee and the venue of its meetings shall rotate among each of the Parties in English alphabetical order, unless the Environment Committee decides otherwise. 5. All decisions and reports of the Environment Committee shall be made by consensus, unless the Committee decides otherwise or unless otherwise provided in this Chapter. 6.</w:t>
      </w:r>
    </w:p>
    <w:p>
      <w:pPr>
        <w:pStyle w:val="Normal"/>
      </w:pPr>
      <w:r>
        <w:t>All decisions and reports of the Environment Committee shall be made available to the public, unless the Environment Committee decides otherwise. 7. During the fifth year after the date of entry into force of this Agreement, the Environment Committee shall: (a) review the implementation and operation of this Chapter; (b) report its findings, which may include recommendations, to the Council and the Commission; and (c) undertake subsequent reviews at intervals to be decided by the Committee. 8. The Environment Committee shall provide for public input on matters relevant to the Committee’s work, as appropriate, and shall hold a public session at each meeting. 9. The Parties recognize the importance of resource efficiency in the implementation of this Chapter and the desirability of using new technologies to facilitate communication and interaction between the Parties and with the public.</w:t>
      </w:r>
    </w:p>
    <w:p>
      <w:pPr>
        <w:pStyle w:val="Heading2"/>
      </w:pPr>
      <w:bookmarkStart w:id="900809" w:name="_Toc300000808"/>
      <w:r>
        <w:t xml:space="preserve">Article 24.27: Submissions on Enforcement Matters</w:t>
      </w:r>
      <w:bookmarkEnd w:id="900809"/>
    </w:p>
    <w:p>
      <w:pPr>
        <w:pStyle w:val="Normal"/>
      </w:pPr>
      <w:r>
        <w:t xml:space="preserve">1. Any person of a Party may file a submission asserting that a Party is failing to effectively enforce its environmental laws. Such submissions shall be filed with the Secretariat of the Commission for Environmental Cooperation (CEC Secretariat). 2. The CEC Secretariat may consider a submission under this Article if it finds that the submission: (a) is in writing in English, French, or Spanish; (b) clearly identifies the person making the submission; (c) provides sufficient information to allow for the review of the submission including any documentary evidence on which the submission may be based and identification of the environmental law of which the failure to enforce is asserted; (d) appears to be aimed at promoting enforcement rather than at harassing industry; and (e) indicates whether the matter has been communicated in writing to the relevant authorities of the Party and the Party’s response, if any. 3. If the CEC Secretariat determines that a submission meets the criteria set out in paragraph 2, it shall determine within 30 days of receipt of the submission whether the submission merits requesting a response from the Party.</w:t>
      </w:r>
    </w:p>
    <w:p>
      <w:pPr>
        <w:pStyle w:val="Normal"/>
      </w:pPr>
      <w:r>
        <w:t>In deciding whether to request a response, the CEC Secretariat shall be guided by whether: (a) the submission alleges harm to the person making the submission; (b) the submission, alone or in combination with other submissions, raises matters about which further study would advance the goals of this Chapter; (c) private remedies available under the Party’s law have been pursued; and (d) the submission is not drawn exclusively from mass media reports. If the CEC Secretariat makes such a request, it shall forward to the Party a copy of the submission and any supporting information provided with the submission. 4. The Party shall inform the CEC Secretariat within 60 days of delivery of the request: (a) whether the matter at issue is the subject of a pending judicial or administrative proceeding, in which case the CEC Secretariat shall proceed no further; and (b) of any other information the Party wishes to provide, such as: (i) information regarding the enforcement of the environmental law at issue, including any actions taken in connection with the matter in question;</w:t>
      </w:r>
    </w:p>
    <w:p>
      <w:pPr>
        <w:pStyle w:val="Normal"/>
      </w:pPr>
      <w:r>
        <w:t>(ii) whether the matter was previously the subject of a judicial or administrative proceeding; and (iii) whether private remedies in connection with the matter are available to the person making the submission and whether they have been pursued.</w:t>
      </w:r>
    </w:p>
    <w:p>
      <w:pPr>
        <w:pStyle w:val="Heading2"/>
      </w:pPr>
      <w:bookmarkStart w:id="900810" w:name="_Toc300000809"/>
      <w:r>
        <w:t xml:space="preserve">Article 24.28: Factual Records and Related Cooperation</w:t>
      </w:r>
      <w:bookmarkEnd w:id="900810"/>
    </w:p>
    <w:p>
      <w:pPr>
        <w:pStyle w:val="Normal"/>
      </w:pPr>
      <w:r>
        <w:t xml:space="preserve">1. If the CEC Secretariat considers that the submission, in light of any response provided by the Party, warrants developing a factual record, it shall so inform the Council and the Environment Committee within 60 days of receiving the Party’s response and provide its reasons. 2. The CEC Secretariat shall prepare a factual record if at least two members of the Council instruct it to do so. 3. The preparation of a factual record by the CEC Secretariat pursuant to this Article shall be without prejudice to any further steps that may be taken with respect to any submission. 4. In preparing a factual record, the CEC Secretariat shall consider any information provided by a Party and may consider any relevant technical, scientific, or other information: (a) that is publicly available; (b) submitted by interested persons; (c) submitted by national advisory or consultative committees referred to in Article 24.5 (Public Information and Participation);</w:t>
      </w:r>
    </w:p>
    <w:p>
      <w:pPr>
        <w:pStyle w:val="Normal"/>
      </w:pPr>
      <w:r>
        <w:t>(d) submitted by the Joint Public Advisory Committee (JPAC) referred to in Article 2.2 (Commission for Environmental Cooperation) of the E CA; (e) developed by independent experts; or (f) developed under the ECA. 5. The CEC Secretariat shall submit a draft factual record to the Council within 120 days of the Council’s instruction to prepare a factual record under paragraph 2.</w:t>
      </w:r>
    </w:p>
    <w:p>
      <w:pPr>
        <w:pStyle w:val="Normal"/>
      </w:pPr>
      <w:r>
        <w:t>Any Party may provide comments to the CEC Secretariat on the accuracy of the draft within 30 days of the submission of the draft factual record. The CEC Secretariat shall incorporate those comments in the final factual record and promptly submit it to the Council. 6. The CEC Secretariat shall make the final factual record publicly available, normally within 30 days following its submission, unless at least two members of the Council instruct it not to do so. 7. The Environment Committee shall consider the final factual record in light of the objectives of this Chapter and the ECA and may provide recommendations to the Council on whether the matter raised in the factual record could benefit from cooperative activities. 8. The Parties shall provide updates to the Council and the Environment Committee on final factual records, as appropriate.</w:t>
      </w:r>
    </w:p>
    <w:p>
      <w:pPr>
        <w:pStyle w:val="Heading2"/>
      </w:pPr>
      <w:bookmarkStart w:id="900811" w:name="_Toc300000810"/>
      <w:r>
        <w:t xml:space="preserve">Article 24.29: Environment Consultations</w:t>
      </w:r>
      <w:bookmarkEnd w:id="900811"/>
    </w:p>
    <w:p>
      <w:pPr>
        <w:pStyle w:val="Normal"/>
      </w:pPr>
      <w:r>
        <w:t xml:space="preserve">1. The Parties shall at all times endeavor to agree on the interpretation and application of this Chapter, and shall make every effort through dialogue, consultation, exchange of information, and, if appropriate, cooperation to address any matter that might affect the operation of this Chapter. 2. A Party (the requesting Party) may request consultations with any other Party (the responding Party) regarding any matter arising under this Chapter by notifying the responding Party’s contact point in writing. The requesting Party shall include information that is specific and sufficient to enable the responding Party to respond, including identification of the matter at issue and an indication of the legal basis for the request. The requesting Party shall deliver its request for consultations to the third Party through their respective contact points. 3. A third Party that considers it has a substantial interest in the matter, may participate in the consultations by notifying the contact points of the requesting and responding Parties in writing no later than seven days after the date of delivery of the request for consultations. The third Party shall include in its notice an explanation of its substantial interest in the matter. 4.</w:t>
      </w:r>
    </w:p>
    <w:p>
      <w:pPr>
        <w:pStyle w:val="Normal"/>
      </w:pPr>
      <w:r>
        <w:t>Unless the requesting and the responding Parties (the consulting Parties) agree otherwise, the consulting Parties shall enter into consultations promptly, and no later than 30 days after the date of receipt by the responding Party of the request. 5. The consulting Parties shall make every effort to arrive at a mutually satisfactory resolution to the matter which may include appropriate cooperative activities. The consulting Parties may seek advice or assistance from any person or body they deem appropriate in order to examine the matter.</w:t>
      </w:r>
    </w:p>
    <w:p>
      <w:pPr>
        <w:pStyle w:val="Heading2"/>
      </w:pPr>
      <w:bookmarkStart w:id="900812" w:name="_Toc300000811"/>
      <w:r>
        <w:t xml:space="preserve">Article 24.30: Senior Representative Consultations</w:t>
      </w:r>
      <w:bookmarkEnd w:id="900812"/>
    </w:p>
    <w:p>
      <w:pPr>
        <w:pStyle w:val="Normal"/>
      </w:pPr>
      <w:r>
        <w:t xml:space="preserve">1. If the consulting Parties fail to resolve the matter under Article 24.29 (Environment Consultations), a consulting Party may request that the Environment Committee representatives from the consulting Parties convene to consider the matter by notifying the contact point of the other consulting Party or Parties in writing. At the same time, the consulting Party making the request shall deliver the request to the contact points of any other Party. 2. The Environment Committee representatives from the consulting Parties shall promptly convene following the delivery of the request, and shall seek to resolve the matter including, if appropriate, by gathering relevant scientific and technical information from governmental or non-governmental experts. Environment Committee representatives from any other Party that considers it has a substantial interest in the matter may participate in the consultations.</w:t>
      </w:r>
    </w:p>
    <w:p>
      <w:pPr>
        <w:pStyle w:val="Heading2"/>
      </w:pPr>
      <w:bookmarkStart w:id="900813" w:name="_Toc300000812"/>
      <w:r>
        <w:t xml:space="preserve">Article 24.31: Ministerial Consultations</w:t>
      </w:r>
      <w:bookmarkEnd w:id="900813"/>
    </w:p>
    <w:p>
      <w:pPr>
        <w:pStyle w:val="Normal"/>
      </w:pPr>
      <w:r>
        <w:t xml:space="preserve">1. If the consulting Parties fail to resolve the matter under Article 24.30 (Senior Representative Consultations), a consulting Party may refer the matter to the relevant Ministers of the consulting Parties who shall seek to resolve the matter. 2. Consultations pursuant to Article 24.29 (Environment Consultations), Article 24.30 (Senior Representative Consultations), and this Article may be held in person or by any technological means available as agreed by the consulting Parties. If in person, consultations shall be held in the capital of the responding Party, unless the consulting Parties agree otherwise. 3. Consultations shall be confidential and without prejudice to the rights of any Party in any future proceedings.</w:t>
      </w:r>
    </w:p>
    <w:p>
      <w:pPr>
        <w:pStyle w:val="Heading2"/>
      </w:pPr>
      <w:bookmarkStart w:id="900814" w:name="_Toc300000813"/>
      <w:r>
        <w:t xml:space="preserve">Article 24.32: Dispute Resolution</w:t>
      </w:r>
      <w:bookmarkEnd w:id="900814"/>
    </w:p>
    <w:p>
      <w:pPr>
        <w:pStyle w:val="Normal"/>
      </w:pPr>
      <w:r>
        <w:t xml:space="preserve">1. If the consulting Parties fail to resolve the matter under Article 24.29 (Environment Consultations), Article 24.30 (Senior Representative Consultations), and Article 24.31 (Ministerial Consultations) within 30 days after the date of receipt of a request under Article 24.29.2 (Environment Consultations), or any other period as the consulting Parties may decide, the requesting Party may request a meeting of the Commission pursuant to Article 31.5 (Commission, Good Offices, Conciliation, and Mediation) and thereafter request the establishment of a panel under Article 31.6 (Establishment of a Panel). 2. Notwithstanding Article 31.15 (Role of Experts), in a dispute arising under Article 24.22 (Conservation and Trade) a panel convened under Article 31.6 (Establishment of a Panel) shall: (a) seek technical advice or assistance, if appropriate, from an entity authorised under CITES to address the particular matter, and provide the consulting Parties with an opportunity to comment on any such technical advice or assistance received; and (b) provide due consideration to any interpretive guidance received pursuant to subparagraph (a) on the matter to the extent appropriate in light of its nature and status in making its findings and determinations under Article 31.17 (Panel Report).</w:t>
      </w:r>
    </w:p>
    <w:p>
      <w:pPr>
        <w:pStyle w:val="Heading2"/>
      </w:pPr>
      <w:bookmarkStart w:id="900815" w:name="_Toc300000814"/>
      <w:r>
        <w:t xml:space="preserve">ANNEX 24-A</w:t>
      </w:r>
      <w:bookmarkEnd w:id="900815"/>
    </w:p>
    <w:p>
      <w:pPr>
        <w:pStyle w:val="Normal"/>
      </w:pPr>
      <w:r>
        <w:t xml:space="preserve">For Canada, the Ozone-depleting Substances and Halocarbon Alternatives Regulations, of the Canadian Environmental Protection Act, 1999 (CEPA). For Mexico, the General Law on Ecological Equilibrium and Environmental Protection (Ley General del Equilibrio Ecológico y la Protección al Ambiente – LGEEPA), under Title IV Environmental Protection, Chapter I and II regarding federal enforcement of atmospheric provisions. For the United States, 42 U.S.C. §§ 7671-7671q (Stratospheric Ozone Protection). 24-A-1</w:t>
      </w:r>
    </w:p>
    <w:p>
      <w:pPr>
        <w:pStyle w:val="Heading2"/>
      </w:pPr>
      <w:bookmarkStart w:id="900816" w:name="_Toc300000815"/>
      <w:r>
        <w:t xml:space="preserve">ANNEX 24-B</w:t>
      </w:r>
      <w:bookmarkEnd w:id="900816"/>
    </w:p>
    <w:p>
      <w:pPr>
        <w:pStyle w:val="Normal"/>
      </w:pPr>
      <w:r>
        <w:t xml:space="preserve">For Canada, the Canada Shipping Act, 2001 and its related regulations. For Mexico, Article 132 of the General Law on Ecological Equilibrium and Environmental Protection (Ley General del Equilibrio Ecológico y la Protección al Ambiente – LGEEPA). For the United States, the Act to Prevent Pollution from Ships, 33 U.S.C. §§ 1901-1915. 24-B-1</w:t>
      </w:r>
    </w:p>
    <w:p>
      <w:pPr>
        <w:pStyle w:val="ModHeading"/>
      </w:pPr>
      <w:bookmarkStart w:id="900817" w:name="_Toc300000816"/>
      <w:r>
        <w:t>CHAPTER 24: CUSMA 2.0 MODERNIZATION PROVISIONS</w:t>
      </w:r>
      <w:bookmarkEnd w:id="900817"/>
    </w:p>
    <w:p>
      <w:pPr>
        <w:pStyle w:val="Heading2"/>
      </w:pPr>
      <w:bookmarkStart w:id="900818" w:name="_Toc300000817"/>
      <w:r>
        <w:t>Article 24.A: Environmental Traceability and Circular Production</w:t>
      </w:r>
      <w:bookmarkEnd w:id="900818"/>
    </w:p>
    <w:p>
      <w:pPr>
        <w:pStyle w:val="Normal"/>
      </w:pPr>
      <w:r>
        <w:t>1. The Parties shall cooperate on environmental traceability for strategic supply chains, in coordination with Article 37.4, including for critical minerals, timber and wood products, and agricultural commodities associated with deforestation risk.</w:t>
      </w:r>
    </w:p>
    <w:p>
      <w:pPr>
        <w:pStyle w:val="Normal"/>
      </w:pPr>
      <w:r>
        <w:t>2. Environmental measures of a Party shall not be administered so as to discriminate against originating goods of another Party in favor of like goods of a non-Party, and environmental cooperation under this Chapter does not authorize covered border measures except in conformity with Chapter 35.</w:t>
      </w:r>
    </w:p>
    <w:p>
      <w:pPr>
        <w:pStyle w:val="Heading2"/>
      </w:pPr>
      <w:bookmarkStart w:id="900819" w:name="_Toc300000818"/>
      <w:r>
        <w:t>Article 24.B: Wildfire and Transboundary Environmental Events</w:t>
      </w:r>
      <w:bookmarkEnd w:id="900819"/>
    </w:p>
    <w:p>
      <w:pPr>
        <w:pStyle w:val="Normal"/>
      </w:pPr>
      <w:r>
        <w:t>1. The Parties shall cooperate on wildfire prevention, detection, and response, and on the management of transboundary environmental effects of natural events, through technical cooperation and the emergency coordination of Chapter 38.</w:t>
      </w:r>
    </w:p>
    <w:p>
      <w:pPr>
        <w:pStyle w:val="Normal"/>
      </w:pPr>
      <w:r>
        <w:t>2. A natural or environmental phenomenon, including wildfire smoke, drought, or flooding, does not constitute a basis for a covered border measure against another Party’s goods. Any such measure is inconsistent with Article 35.7.</w:t>
      </w:r>
    </w:p>
    <w:p>
      <w:pPr>
        <w:pStyle w:val="Heading2"/>
      </w:pPr>
      <w:bookmarkStart w:id="900820" w:name="_Toc300000819"/>
      <w:r>
        <w:t>Article 24.C: Independent Factual Verification of Environmental Enforcement Complaints</w:t>
      </w:r>
      <w:bookmarkEnd w:id="900820"/>
    </w:p>
    <w:p>
      <w:pPr>
        <w:pStyle w:val="Normal"/>
      </w:pPr>
      <w:r>
        <w:t>1. Before a Party may seek a trade remedy based on an alleged systemic failure to enforce environmental obligations under this Chapter, the CEC Secretariat shall coordinate an independent factual verification, drawing where appropriate on the factual-record procedures of Article 24.28 and independent experts. The verification shall be completed within 90 days unless the Parties agree otherwise.</w:t>
      </w:r>
    </w:p>
    <w:p>
      <w:pPr>
        <w:pStyle w:val="Normal"/>
      </w:pPr>
      <w:r>
        <w:t>2. The resulting factual report is binding as to factual findings for proceedings under this Agreement, without determining the ultimate legal consequence. Where the report finds no sustained, recurring, systemic, or material failure within the scope of the complaint, no covered border measure may be based on that complaint absent materially new evidence.</w:t>
      </w:r>
    </w:p>
    <w:p>
      <w:pPr>
        <w:pStyle w:val="Normal"/>
      </w:pPr>
      <w:r>
        <w:t>3. Cooperation Clock. A requested Party shall provide responsive non-privileged records within 20 days after a lawful request by the technical team, or identify with specificity the legal basis for withholding particular material. Requests for clarification do not suspend the 90-day verification period.</w:t>
      </w:r>
    </w:p>
    <w:p>
      <w:pPr>
        <w:pStyle w:val="Normal"/>
      </w:pPr>
      <w:r>
        <w:t>4. Unjustified failure to provide records, site access lawfully available under domestic law, or other information does not stop the verification clock. The technical team may rely on other credible evidence and may draw reasonable adverse factual inferences proportionate to the information withheld.</w:t>
      </w:r>
    </w:p>
    <w:p>
      <w:pPr>
        <w:pStyle w:val="Normal"/>
      </w:pPr>
      <w:r>
        <w:t>5. The technical team shall issue its factual report on the existing record when the 90-day period expires unless all Parties agree to a single extension not exceeding 30 days because essential evidence is genuinely unavailable despite cooperation.</w:t>
      </w:r>
    </w:p>
    <w:p>
      <w:pPr>
        <w:pStyle w:val="Normal"/>
      </w:pPr>
      <w:r>
        <w:t>6. A Party is not required to disclose privileged information, protected personal information, or information whose disclosure is prohibited by law, but shall provide a non-confidential summary or certified substitute to the maximum extent permitted.</w:t>
      </w:r>
    </w:p>
    <w:p>
      <w:pPr>
        <w:pStyle w:val="TrumpVisibilityHeadline"/>
      </w:pPr>
      <w:r>
        <w:t xml:space="preserve">★ </w:t>
      </w:r>
      <w:r>
        <w:t>VISIBLE U.S. WIN: CANADA COMMITS TO WILDFIRE PREVENTION AND CROSS-BORDER SMOKE MITIGATION</w:t>
      </w:r>
    </w:p>
    <w:p>
      <w:pPr>
        <w:pStyle w:val="Heading2"/>
      </w:pPr>
      <w:bookmarkStart w:id="900821" w:name="_Toc300000820"/>
      <w:r>
        <w:t>Article 24.D: North American Wildfire Innovation, Prevention and Smoke-Mitigation Partnership</w:t>
      </w:r>
      <w:bookmarkEnd w:id="900821"/>
    </w:p>
    <w:p>
      <w:pPr>
        <w:pStyle w:val="Normal"/>
      </w:pPr>
      <w:r>
        <w:t>1. The Parties shall accelerate cooperative research, demonstration, field validation, procurement learning, and responsible commercialization of technologies that improve wildfire prevention, detection, prediction, fuel management, response, firefighter safety, post-fire recovery, and transboundary smoke mitigation.</w:t>
      </w:r>
    </w:p>
    <w:p>
      <w:pPr>
        <w:pStyle w:val="Normal"/>
      </w:pPr>
      <w:r>
        <w:t>2. A Party may establish competitive grants, challenge programs, test sites, regulatory sandboxes, or accelerated field-evaluation pathways for promising wildfire technologies. Such pathways shall use risk-proportionate safeguards and shall not require premature proof of commercial maturity where controlled testing can generate the evidence needed for responsible deployment.</w:t>
      </w:r>
    </w:p>
    <w:p>
      <w:pPr>
        <w:pStyle w:val="Normal"/>
      </w:pPr>
      <w:r>
        <w:t>3. The Parties shall encourage shared technical data, interoperable mapping, common performance metrics, and cross-border demonstrations while protecting confidential information, Indigenous knowledge, personal information, and legitimate security interests.</w:t>
      </w:r>
    </w:p>
    <w:p>
      <w:pPr>
        <w:pStyle w:val="Heading2"/>
      </w:pPr>
      <w:bookmarkStart w:id="900822" w:name="_Toc300000821"/>
      <w:r>
        <w:t>Article 24.E: Storm-Damaged Forest Fuel Recovery</w:t>
      </w:r>
      <w:bookmarkEnd w:id="900822"/>
    </w:p>
    <w:p>
      <w:pPr>
        <w:pStyle w:val="Normal"/>
      </w:pPr>
      <w:r>
        <w:t>1. The Parties recognize that severe windthrow, microburst, hurricane, ice-storm, pest, drought, and other forest disturbances may create localized concentrations of dead or damaged biomass that warrant risk-based assessment for wildfire, ecological, safety, and economic consequences.</w:t>
      </w:r>
    </w:p>
    <w:p>
      <w:pPr>
        <w:pStyle w:val="Normal"/>
      </w:pPr>
      <w:r>
        <w:t>2. Canada, the United States, and Mexico may establish programs to identify, map, prioritize, and where appropriate recover storm-damaged or otherwise hazardous forest material. Treatment decisions shall consider fire risk, ecological value, habitat, soil disturbance, access, worker safety, Indigenous and land rights, and commercial viability.</w:t>
      </w:r>
    </w:p>
    <w:p>
      <w:pPr>
        <w:pStyle w:val="Normal"/>
      </w:pPr>
      <w:r>
        <w:t>3. Recovered material should, where practicable, be directed to its highest reasonable use, including sawlogs, engineered wood, panels, pulp, fibre products, biochar, biomass, or other circular uses. Ecologically valuable deadwood may remain in place.</w:t>
      </w:r>
    </w:p>
    <w:p>
      <w:pPr>
        <w:pStyle w:val="Normal"/>
      </w:pPr>
      <w:r>
        <w:t>4. The Parties shall develop traceability criteria for qualifying recovery timber. Canada and the United States shall consult on preferential or reduced-duty treatment for independently verified incremental storm-recovery wood where such treatment is consistent with Chapter 42 and does not constitute dumping, an export subsidy, or disguised circumvention.</w:t>
      </w:r>
    </w:p>
    <w:p>
      <w:pPr>
        <w:pStyle w:val="Heading2"/>
      </w:pPr>
      <w:bookmarkStart w:id="900823" w:name="_Toc300000822"/>
      <w:r>
        <w:t>Article 24.F: Environmental Resilience, Cooperation Before Restriction, and Non-Weaponization</w:t>
      </w:r>
      <w:bookmarkEnd w:id="900823"/>
    </w:p>
    <w:p>
      <w:pPr>
        <w:pStyle w:val="Normal"/>
      </w:pPr>
      <w:r>
        <w:t>1. The Parties shall ordinarily address transboundary environmental problems through information sharing, technical assistance, mitigation, remediation, emergency cooperation, scientific review, and verified corrective action before resorting to trade restrictions.</w:t>
      </w:r>
    </w:p>
    <w:p>
      <w:pPr>
        <w:pStyle w:val="Normal"/>
      </w:pPr>
      <w:r>
        <w:t>2. A wildfire, smoke event, drought, flood, storm, marine heat event, accidental pollution event, naturally occurring ecological disturbance, or other environmental phenomenon does not by itself constitute a violation of this Agreement or a lawful basis for a covered border measure.</w:t>
      </w:r>
    </w:p>
    <w:p>
      <w:pPr>
        <w:pStyle w:val="Normal"/>
      </w:pPr>
      <w:r>
        <w:t>3. Where a Party alleges that another Party has deliberately, discriminatorily, or persistently failed to comply with a binding environmental obligation in a manner affecting trade or investment, the matter shall proceed through the factual verification and consultation procedures of this Chapter and, where applicable, Chapters 31, 35, and 46.</w:t>
      </w:r>
    </w:p>
    <w:p>
      <w:pPr>
        <w:pStyle w:val="Normal"/>
      </w:pPr>
      <w:r>
        <w:t>4. Environmental measures shall not be used as disguised protectionism. Where multiple reasonably available measures provide materially equivalent environmental protection, a Party should, consistent with its chosen level of protection, favor the measure that avoids unnecessary restriction of originating North American trade.</w:t>
      </w:r>
    </w:p>
    <w:p>
      <w:pPr>
        <w:pStyle w:val="Normal"/>
      </w:pPr>
      <w:r>
        <w:t>5. Nothing in this Article prevents a Party from taking proportionate emergency action necessary to protect human, animal, plant, ecosystem, or environmental health, subject to applicable law and subsequent review where required.</w:t>
      </w:r>
    </w:p>
    <w:p>
      <w:pPr>
        <w:pStyle w:val="Heading2"/>
      </w:pPr>
      <w:bookmarkStart w:id="900824" w:name="_Toc300000823"/>
      <w:r>
        <w:t>Article 24.G: North American Wildfire, Smoke, and Landscape Resilience</w:t>
      </w:r>
      <w:bookmarkEnd w:id="900824"/>
    </w:p>
    <w:p>
      <w:pPr>
        <w:pStyle w:val="Normal"/>
      </w:pPr>
      <w:r>
        <w:t>1. Building on Articles 24.B, 24.D, and 24.E, the Parties shall deepen cooperation on wildfire prevention, fuel management, detection, prediction, suppression support, smoke forecasting, post-fire recovery, and restoration.</w:t>
      </w:r>
    </w:p>
    <w:p>
      <w:pPr>
        <w:pStyle w:val="Normal"/>
      </w:pPr>
      <w:r>
        <w:t>2. Priority activities may include interoperable fire-weather and smoke data; satellite, aerial, acoustic, sensor, and ground-based detection; shared mapping; cross-border mutual assistance; prescribed and cultural burning where authorized; mechanical and biological fuel treatment; firebreak research; emergency equipment interoperability; and rapid restoration of critical infrastructure and watersheds.</w:t>
      </w:r>
    </w:p>
    <w:p>
      <w:pPr>
        <w:pStyle w:val="Normal"/>
      </w:pPr>
      <w:r>
        <w:t>3. The Parties may validate mineral, recycled, recovered, bio-based, or other firebreak and fuel-treatment materials through the Experimental Technology Pathway. No material receives preferred status solely because it is recycled, low-carbon, or waste-derived; safety, toxicity, leaching, ecological effects, durability, deployment performance, and lifecycle benefit shall be demonstrated.</w:t>
      </w:r>
    </w:p>
    <w:p>
      <w:pPr>
        <w:pStyle w:val="Normal"/>
      </w:pPr>
      <w:r>
        <w:t>4. Storm-damaged, pest-affected, drought-killed, or otherwise hazardous biomass may be directed to its highest reasonable validated use, including timber, engineered wood, pulp, fibre, biochar, soil products, energy recovery, or other circular applications, while retaining ecologically valuable material where appropriate.</w:t>
      </w:r>
    </w:p>
    <w:p>
      <w:pPr>
        <w:pStyle w:val="Normal"/>
      </w:pPr>
      <w:r>
        <w:t>5. The Parties shall encourage protection of communities, workers, Indigenous lands and cultural resources, critical habitat, and air quality during prevention, response, and recovery activities.</w:t>
      </w:r>
    </w:p>
    <w:p>
      <w:pPr>
        <w:pStyle w:val="Heading2"/>
      </w:pPr>
      <w:bookmarkStart w:id="900825" w:name="_Toc300000824"/>
      <w:r>
        <w:t>Article 24.H: Marine Debris, Ghost Gear, and Circular Fishing Materials</w:t>
      </w:r>
      <w:bookmarkEnd w:id="900825"/>
    </w:p>
    <w:p>
      <w:pPr>
        <w:pStyle w:val="Normal"/>
      </w:pPr>
      <w:r>
        <w:t>1. The Parties shall strengthen prevention, identification, recovery, reuse, recycling, and responsible disposal of abandoned, lost, or otherwise discarded fishing gear, marine plastics, microplastic sources, and other persistent marine debris.</w:t>
      </w:r>
    </w:p>
    <w:p>
      <w:pPr>
        <w:pStyle w:val="Normal"/>
      </w:pPr>
      <w:r>
        <w:t>2. Cooperation may include interoperable gear identification and traceability; hotspot mapping; port reception and retrieval programs; rapid-response removal; incentives for return and recycling; research on lower-impact gear; and lifecycle standards for fishing materials.</w:t>
      </w:r>
    </w:p>
    <w:p>
      <w:pPr>
        <w:pStyle w:val="Normal"/>
      </w:pPr>
      <w:r>
        <w:t>3. Existing fisheries, customs, coast-guard, port, environmental, and Commission structures shall be used wherever practicable rather than establishing duplicative bodies.</w:t>
      </w:r>
    </w:p>
    <w:p>
      <w:pPr>
        <w:pStyle w:val="Normal"/>
      </w:pPr>
      <w:r>
        <w:t>4. Recovered marine materials may enter circular-economy or Experimental Technology Pathway programs for validated conversion into secondary raw materials or products.</w:t>
      </w:r>
    </w:p>
    <w:p>
      <w:pPr>
        <w:pStyle w:val="Normal"/>
      </w:pPr>
      <w:r>
        <w:t>5. Measures under this Article shall respect legitimate fishing activity and shall be proportionate, science-informed, and designed to avoid unnecessary barriers to lawful trade.</w:t>
      </w:r>
    </w:p>
    <w:p>
      <w:pPr>
        <w:pStyle w:val="Heading2"/>
      </w:pPr>
      <w:bookmarkStart w:id="900826" w:name="_Toc300000825"/>
      <w:r>
        <w:t>Article 24.I: Marine Mammals, Acoustic Monitoring, and Vessel Interaction</w:t>
      </w:r>
      <w:bookmarkEnd w:id="900826"/>
    </w:p>
    <w:p>
      <w:pPr>
        <w:pStyle w:val="Normal"/>
      </w:pPr>
      <w:r>
        <w:t>1. The Parties shall cooperate to reduce avoidable vessel strikes, entanglement, harmful underwater noise, and other anthropogenic risks to marine mammals and other protected marine species.</w:t>
      </w:r>
    </w:p>
    <w:p>
      <w:pPr>
        <w:pStyle w:val="Normal"/>
      </w:pPr>
      <w:r>
        <w:t>2. Cooperative measures may include passive acoustic monitoring, satellite and sensor integration, interoperable sightings data, dynamic risk notices, stranding and rescue coordination, gear-modification research, and evidence-based navigation or speed measures adopted by competent authorities.</w:t>
      </w:r>
    </w:p>
    <w:p>
      <w:pPr>
        <w:pStyle w:val="Normal"/>
      </w:pPr>
      <w:r>
        <w:t>3. Automated detection, artificial-intelligence-assisted identification, acoustic warning, and other emerging systems may be tested under the Experimental Technology Pathway and shall not be treated as validated solely on the basis of simulation.</w:t>
      </w:r>
    </w:p>
    <w:p>
      <w:pPr>
        <w:pStyle w:val="Normal"/>
      </w:pPr>
      <w:r>
        <w:t>4. Nothing in this Article predetermines the designation of a shipping lane, protected area, closure, or mandatory vessel restriction; such measures remain subject to applicable domestic and international law.</w:t>
      </w:r>
    </w:p>
    <w:p>
      <w:pPr>
        <w:pStyle w:val="Heading2"/>
      </w:pPr>
      <w:bookmarkStart w:id="900827" w:name="_Toc300000826"/>
      <w:r>
        <w:t>Article 24.J: Coastal Habitat, Blue Carbon, and Nature-Based Resilience</w:t>
      </w:r>
      <w:bookmarkEnd w:id="900827"/>
    </w:p>
    <w:p>
      <w:pPr>
        <w:pStyle w:val="Normal"/>
      </w:pPr>
      <w:r>
        <w:t>1. The Parties may cooperate on restoration and protection of salt marshes, seagrass, kelp forests, mangroves where present, dunes, wetlands, estuaries, reefs, and other coastal habitats that provide biodiversity, fisheries, erosion-control, water-quality, storm-resilience, or climate benefits.</w:t>
      </w:r>
    </w:p>
    <w:p>
      <w:pPr>
        <w:pStyle w:val="Normal"/>
      </w:pPr>
      <w:r>
        <w:t>2. Programs may include habitat mapping, restoration demonstrations, invasive-species control, shoreline stabilization, species recovery, community stewardship, and Indigenous-led conservation consistent with domestic law and rights.</w:t>
      </w:r>
    </w:p>
    <w:p>
      <w:pPr>
        <w:pStyle w:val="Normal"/>
      </w:pPr>
      <w:r>
        <w:t>3. Carbon-removal or offset credit shall not be awarded solely on the basis of gross biomass growth or short-term carbon uptake. Any crediting methodology shall address additionality, permanence, leakage, measurement uncertainty, harvest fate, and durable sequestration.</w:t>
      </w:r>
    </w:p>
    <w:p>
      <w:pPr>
        <w:pStyle w:val="Normal"/>
      </w:pPr>
      <w:r>
        <w:t>4. Habitat restoration may be recognized for multiple verified benefits without double counting the same environmental outcome.</w:t>
      </w:r>
    </w:p>
    <w:p>
      <w:pPr>
        <w:pStyle w:val="Heading2"/>
      </w:pPr>
      <w:bookmarkStart w:id="900828" w:name="_Toc300000827"/>
      <w:r>
        <w:t>Article 24.K: Blue Bioeconomy and Marine Biomaterials</w:t>
      </w:r>
      <w:bookmarkEnd w:id="900828"/>
    </w:p>
    <w:p>
      <w:pPr>
        <w:pStyle w:val="Normal"/>
      </w:pPr>
      <w:r>
        <w:t>1. The Parties shall facilitate responsible development of marine biomass industries, including kelp and other seaweeds, where consistent with ecological protection, food safety, navigation, fisheries management, Indigenous rights, and coastal-use requirements.</w:t>
      </w:r>
    </w:p>
    <w:p>
      <w:pPr>
        <w:pStyle w:val="Normal"/>
      </w:pPr>
      <w:r>
        <w:t>2. Eligible cooperation may include seed and nursery research; breeding and cultivation methods; farm and ecosystem monitoring; processing and cold-chain infrastructure; product standards; market information; workforce development; and interoperability of import, export, and certification requirements.</w:t>
      </w:r>
    </w:p>
    <w:p>
      <w:pPr>
        <w:pStyle w:val="Normal"/>
      </w:pPr>
      <w:r>
        <w:t>3. Research and demonstration may address marine-derived agricultural biostimulants, food and feed ingredients, biodegradable packaging, fibres, nanocellulose, industrial materials, nutraceutical and pharmaceutical precursors, nutrient recovery, and other validated applications.</w:t>
      </w:r>
    </w:p>
    <w:p>
      <w:pPr>
        <w:pStyle w:val="Normal"/>
      </w:pPr>
      <w:r>
        <w:t>4. Marine-derived agricultural inputs shall be represented according to demonstrated function and shall not be treated as complete substitutes for conventional fertilizers unless evidence establishes such performance.</w:t>
      </w:r>
    </w:p>
    <w:p>
      <w:pPr>
        <w:pStyle w:val="Normal"/>
      </w:pPr>
      <w:r>
        <w:t>5. Indigenous and coastal-community participation, ownership, stewardship, and benefit-sharing models may be supported consistent with domestic law.</w:t>
      </w:r>
    </w:p>
    <w:p>
      <w:pPr>
        <w:pStyle w:val="Normal"/>
      </w:pPr>
      <w:r>
        <w:t>6. Kelp or other marine biomass carbon claims shall remain research or methodology-development activities until verified under Article 24.J.3.</w:t>
      </w:r>
    </w:p>
    <w:p>
      <w:pPr>
        <w:pStyle w:val="Heading2"/>
      </w:pPr>
      <w:bookmarkStart w:id="900829" w:name="_Toc300000828"/>
      <w:r>
        <w:t>Article 24.L: Water, Watershed, and Aquatic Resilience</w:t>
      </w:r>
      <w:bookmarkEnd w:id="900829"/>
    </w:p>
    <w:p>
      <w:pPr>
        <w:pStyle w:val="Normal"/>
      </w:pPr>
      <w:r>
        <w:t>1. The Parties shall strengthen cooperation concerning shared watersheds, lakes, rivers, aquifers, estuaries, coastal waters, and water-dependent ecosystems, while preserving existing treaty rights and domestic water authorities.</w:t>
      </w:r>
    </w:p>
    <w:p>
      <w:pPr>
        <w:pStyle w:val="Normal"/>
      </w:pPr>
      <w:r>
        <w:t>2. Priority areas may include nutrient reduction, harmful algal bloom prevention, stormwater management, water reuse, drought resilience, wastewater innovation, watershed restoration, aquatic invasive species, ballast-water biosecurity, and pollution monitoring.</w:t>
      </w:r>
    </w:p>
    <w:p>
      <w:pPr>
        <w:pStyle w:val="Normal"/>
      </w:pPr>
      <w:r>
        <w:t>3. The Parties may cooperate on desalination research, energy-efficient water treatment, brine minimization, resource recovery, and zero- or minimal-liquid-discharge technologies through existing programs and the Experimental Technology Pathway.</w:t>
      </w:r>
    </w:p>
    <w:p>
      <w:pPr>
        <w:pStyle w:val="Normal"/>
      </w:pPr>
      <w:r>
        <w:t>4. Nothing in this Article creates a right to the water resources of another Party, alters existing water-allocation agreements, or requires bulk water export.</w:t>
      </w:r>
    </w:p>
    <w:p>
      <w:pPr>
        <w:pStyle w:val="Heading2"/>
      </w:pPr>
      <w:bookmarkStart w:id="900830" w:name="_Toc300000829"/>
      <w:r>
        <w:t>Article 24.M: Brine Resource Recovery and Desalination Innovation</w:t>
      </w:r>
      <w:bookmarkEnd w:id="900830"/>
    </w:p>
    <w:p>
      <w:pPr>
        <w:pStyle w:val="Normal"/>
      </w:pPr>
      <w:r>
        <w:t>1. The Parties recognize that desalination and industrial brines may, where technically feasible and environmentally sound, contain recoverable water, minerals, chemical feedstocks, or energy value.</w:t>
      </w:r>
    </w:p>
    <w:p>
      <w:pPr>
        <w:pStyle w:val="Normal"/>
      </w:pPr>
      <w:r>
        <w:t>2. Experimental work may examine selective mineral recovery, industrial chemical production, salinity-gradient energy, electrochemical storage, mineral carbonation, improved water recovery, and validated material applications.</w:t>
      </w:r>
    </w:p>
    <w:p>
      <w:pPr>
        <w:pStyle w:val="Normal"/>
      </w:pPr>
      <w:r>
        <w:t>3. No brine-derived product shall receive environmental preference without assessment of contaminants, corrosion, leaching, salinity impacts, lifecycle energy use, residual disposal, and relevant structural or product-safety performance.</w:t>
      </w:r>
    </w:p>
    <w:p>
      <w:pPr>
        <w:pStyle w:val="Normal"/>
      </w:pPr>
      <w:r>
        <w:t>4. Saline-agriculture, soil-remediation, construction-material, or carbon-removal claims shall be separately validated and shall not be presumed from the existence of a brine waste stream.</w:t>
      </w:r>
    </w:p>
    <w:p>
      <w:pPr>
        <w:pStyle w:val="Normal"/>
      </w:pPr>
      <w:r>
        <w:t>5. The Parties should prioritize technologies that reduce both residual-disposal burden and freshwater demand without shifting material environmental harm to another medium or community.</w:t>
      </w:r>
    </w:p>
    <w:p>
      <w:pPr>
        <w:pStyle w:val="Heading2"/>
      </w:pPr>
      <w:bookmarkStart w:id="900831" w:name="_Toc300000830"/>
      <w:r>
        <w:t>Article 24.N: Waste-to-Resource and Residual Valorization</w:t>
      </w:r>
      <w:bookmarkEnd w:id="900831"/>
    </w:p>
    <w:p>
      <w:pPr>
        <w:pStyle w:val="Normal"/>
      </w:pPr>
      <w:r>
        <w:t>1. The Parties shall encourage identification, testing, validation, and, where economically proportionate and environmentally sound, productive reuse of industrial, mining, forestry, agricultural, fisheries, water-treatment, construction, manufacturing, and energy-system residual streams.</w:t>
      </w:r>
    </w:p>
    <w:p>
      <w:pPr>
        <w:pStyle w:val="Normal"/>
      </w:pPr>
      <w:r>
        <w:t>2. Priority may be given to applications that reduce disposal or remediation liabilities, substitute for virgin material extraction, strengthen North American supply chains, improve resilience, recover strategic materials, or produce measurable environmental benefit.</w:t>
      </w:r>
    </w:p>
    <w:p>
      <w:pPr>
        <w:pStyle w:val="Normal"/>
      </w:pPr>
      <w:r>
        <w:t>3. Candidate streams may include mine tailings, slag, fly ash, crusher fines, forestry residues, agricultural residues, recovered fishing gear, plastics, batteries, electronic waste, wastewater constituents, desalination brine, waste heat, and other residual materials.</w:t>
      </w:r>
    </w:p>
    <w:p>
      <w:pPr>
        <w:pStyle w:val="Normal"/>
      </w:pPr>
      <w:r>
        <w:t>4. Residual-derived products shall satisfy applicable health, safety, environmental, engineering, and product-performance requirements. Recycling status alone does not establish safety or sustainability.</w:t>
      </w:r>
    </w:p>
    <w:p>
      <w:pPr>
        <w:pStyle w:val="Normal"/>
      </w:pPr>
      <w:r>
        <w:t>5. Feasibility and lifecycle assessment may account for avoided storage, monitoring, remediation, transport, disposal, and virgin-material costs, while avoiding double counting.</w:t>
      </w:r>
    </w:p>
    <w:p>
      <w:pPr>
        <w:pStyle w:val="Normal"/>
      </w:pPr>
      <w:r>
        <w:t>6. A residual stream should be treated as a disposal problem only until a safe, validated, lawful, and economically sensible recovery pathway is demonstrated.</w:t>
      </w:r>
    </w:p>
    <w:p>
      <w:pPr>
        <w:pStyle w:val="Heading2"/>
      </w:pPr>
      <w:bookmarkStart w:id="900832" w:name="_Toc300000831"/>
      <w:r>
        <w:t>Article 24.O: Circular Materials and Industrial Symbiosis</w:t>
      </w:r>
      <w:bookmarkEnd w:id="900832"/>
    </w:p>
    <w:p>
      <w:pPr>
        <w:pStyle w:val="Normal"/>
      </w:pPr>
      <w:r>
        <w:t>1. The Parties shall promote circular production systems in which recoverable materials, water, energy, heat, or by-products from one process may serve as validated inputs to another.</w:t>
      </w:r>
    </w:p>
    <w:p>
      <w:pPr>
        <w:pStyle w:val="Normal"/>
      </w:pPr>
      <w:r>
        <w:t>2. Cooperation may include battery and solar-panel recycling; e-waste recovery; packaging reduction and recovery; recycled steel and aluminum; low-impact cement and concrete; industrial water efficiency; material passports; secondary-material quality standards; and industrial symbiosis demonstrations.</w:t>
      </w:r>
    </w:p>
    <w:p>
      <w:pPr>
        <w:pStyle w:val="Normal"/>
      </w:pPr>
      <w:r>
        <w:t>3. The Parties shall seek interoperability of recycled-content and recovered-material methodologies where doing so reduces duplicative compliance without lowering safety or environmental protection.</w:t>
      </w:r>
    </w:p>
    <w:p>
      <w:pPr>
        <w:pStyle w:val="Normal"/>
      </w:pPr>
      <w:r>
        <w:t>4. Industrial symbiosis projects may combine digital infrastructure, energy systems, water treatment, heat recovery, resource recovery, and manufacturing where independent assessment demonstrates net lifecycle and resilience benefits.</w:t>
      </w:r>
    </w:p>
    <w:p>
      <w:pPr>
        <w:pStyle w:val="Normal"/>
      </w:pPr>
      <w:r>
        <w:t>5. Participation remains technology-neutral and does not constitute government endorsement of a particular proprietary or donated architecture.</w:t>
      </w:r>
    </w:p>
    <w:p>
      <w:pPr>
        <w:pStyle w:val="Heading2"/>
      </w:pPr>
      <w:bookmarkStart w:id="900833" w:name="_Toc300000832"/>
      <w:r>
        <w:t>Article 24.P: Critical Minerals and Sustainable Mining</w:t>
      </w:r>
      <w:bookmarkEnd w:id="900833"/>
    </w:p>
    <w:p>
      <w:pPr>
        <w:pStyle w:val="Normal"/>
      </w:pPr>
      <w:r>
        <w:t>1. The Parties shall cooperate to improve environmental performance, traceability, circularity, and community confidence in North American critical-mineral exploration, extraction, processing, refining, recycling, and recovery.</w:t>
      </w:r>
    </w:p>
    <w:p>
      <w:pPr>
        <w:pStyle w:val="Normal"/>
      </w:pPr>
      <w:r>
        <w:t>2. Cooperation may include watershed protection, tailings management, reclamation and financial assurance, methane or other emissions reduction where relevant, recycled-content recognition, processing innovation, emergency response, and transparent environmental data.</w:t>
      </w:r>
    </w:p>
    <w:p>
      <w:pPr>
        <w:pStyle w:val="Normal"/>
      </w:pPr>
      <w:r>
        <w:t>3. For proposed activities with plausible material transboundary watershed effects, competent authorities should provide timely notice and opportunity for technical consultation consistent with domestic law.</w:t>
      </w:r>
    </w:p>
    <w:p>
      <w:pPr>
        <w:pStyle w:val="Normal"/>
      </w:pPr>
      <w:r>
        <w:t>4. Environmental certification or trusted-supply recognition shall rely on objective, published criteria and shall not operate as a disguised Party-specific quota or barrier.</w:t>
      </w:r>
    </w:p>
    <w:p>
      <w:pPr>
        <w:pStyle w:val="Normal"/>
      </w:pPr>
      <w:r>
        <w:t>5. Strategic-reserve cooperation may be pursued voluntarily and does not require common ownership or mandatory physical stockpiles.</w:t>
      </w:r>
    </w:p>
    <w:p>
      <w:pPr>
        <w:pStyle w:val="Heading2"/>
      </w:pPr>
      <w:bookmarkStart w:id="900834" w:name="_Toc300000833"/>
      <w:r>
        <w:t>Article 24.Q: Clean Energy, Grid, and Industrial Decarbonization Interoperability</w:t>
      </w:r>
      <w:bookmarkEnd w:id="900834"/>
    </w:p>
    <w:p>
      <w:pPr>
        <w:pStyle w:val="Normal"/>
      </w:pPr>
      <w:r>
        <w:t>1. The Parties may deepen cooperation on cross-border electricity reliability, transmission, smart-grid interoperability, energy storage, emergency power sharing, charging infrastructure, hydrogen certification, methane reduction, carbon management, geothermal technology, renewable integration, and other clean-energy systems.</w:t>
      </w:r>
    </w:p>
    <w:p>
      <w:pPr>
        <w:pStyle w:val="Normal"/>
      </w:pPr>
      <w:r>
        <w:t>2. Cooperation shall preserve each Party's authority over its energy mix, utility regulation, resource development, nuclear policy, environmental review, and project approval.</w:t>
      </w:r>
    </w:p>
    <w:p>
      <w:pPr>
        <w:pStyle w:val="Normal"/>
      </w:pPr>
      <w:r>
        <w:t>3. Technical work may include interoperable charging standards, grid-support protocols, clean-power attribute recognition, lifecycle methodologies, hydrogen measurement, methane detection, carbon-capture monitoring, and recycling of energy-system materials.</w:t>
      </w:r>
    </w:p>
    <w:p>
      <w:pPr>
        <w:pStyle w:val="Normal"/>
      </w:pPr>
      <w:r>
        <w:t>4. Carbon capture, direct air capture, hydrogen, geothermal, long-duration storage, advanced recycling, and other emerging technologies may proceed through iterative experimentation under the Experimental Technology Pathway.</w:t>
      </w:r>
    </w:p>
    <w:p>
      <w:pPr>
        <w:pStyle w:val="Normal"/>
      </w:pPr>
      <w:r>
        <w:t>5. Nothing in this Article requires a common carbon price, continental carbon market, mandatory renewable quota, or approval of a specific generation or transmission project.</w:t>
      </w:r>
    </w:p>
    <w:p>
      <w:pPr>
        <w:pStyle w:val="Heading2"/>
      </w:pPr>
      <w:bookmarkStart w:id="900835" w:name="_Toc300000834"/>
      <w:r>
        <w:t>Article 24.R: Sustainable Freight, Ports, Aviation, and Trade Infrastructure</w:t>
      </w:r>
      <w:bookmarkEnd w:id="900835"/>
    </w:p>
    <w:p>
      <w:pPr>
        <w:pStyle w:val="Normal"/>
      </w:pPr>
      <w:r>
        <w:t>1. The Parties may cooperate to reduce environmental impacts and improve resilience of ports, railways, inland shipping, airports, trucking corridors, and border logistics.</w:t>
      </w:r>
    </w:p>
    <w:p>
      <w:pPr>
        <w:pStyle w:val="Normal"/>
      </w:pPr>
      <w:r>
        <w:t>2. Eligible work may include green-shipping corridors, port electrification, shore power, rail efficiency or electrification where viable, low-emission freight technologies, sustainable aviation fuel interoperability, charging and fueling infrastructure, logistics-emissions measurement, and noise mitigation.</w:t>
      </w:r>
    </w:p>
    <w:p>
      <w:pPr>
        <w:pStyle w:val="Normal"/>
      </w:pPr>
      <w:r>
        <w:t>3. Standards and certification should be interoperable where practicable, technology-neutral, and designed to avoid unnecessary duplication.</w:t>
      </w:r>
    </w:p>
    <w:p>
      <w:pPr>
        <w:pStyle w:val="Normal"/>
      </w:pPr>
      <w:r>
        <w:t>4. Environmental performance programs shall not condition ordinary preferential tariff treatment on participation in a voluntary green-freight or emissions-labeling scheme unless expressly provided elsewhere in this Agreement.</w:t>
      </w:r>
    </w:p>
    <w:p>
      <w:pPr>
        <w:pStyle w:val="Heading2"/>
      </w:pPr>
      <w:bookmarkStart w:id="900836" w:name="_Toc300000835"/>
      <w:r>
        <w:t>Article 24.S: Transboundary Pollution and Environmental Emergency Response</w:t>
      </w:r>
      <w:bookmarkEnd w:id="900836"/>
    </w:p>
    <w:p>
      <w:pPr>
        <w:pStyle w:val="Normal"/>
      </w:pPr>
      <w:r>
        <w:t>1. Building on Article 58.9, the Parties shall maintain interoperable procedures for rapid notification, scientific information exchange, containment, assistance, and recovery following major oil spills, chemical releases, mine or tailings incidents, industrial accidents, water contamination, marine pollution, or other environmental emergencies with plausible transboundary effects.</w:t>
      </w:r>
    </w:p>
    <w:p>
      <w:pPr>
        <w:pStyle w:val="Normal"/>
      </w:pPr>
      <w:r>
        <w:t>2. Procedures should identify competent contact points, information categories, emergency communication channels, mutual-assistance options, and post-incident review without establishing a new standing body where existing mechanisms suffice.</w:t>
      </w:r>
    </w:p>
    <w:p>
      <w:pPr>
        <w:pStyle w:val="Normal"/>
      </w:pPr>
      <w:r>
        <w:t>3. A good-faith emergency response, request for assistance, or accidental transboundary event shall not by itself constitute an admission of legal liability or a trade violation.</w:t>
      </w:r>
    </w:p>
    <w:p>
      <w:pPr>
        <w:pStyle w:val="Normal"/>
      </w:pPr>
      <w:r>
        <w:t>4. Deliberate concealment, falsification of required environmental information, or persistent refusal to comply with a binding notification obligation may be addressed through the verification and dispute provisions of this Agreement.</w:t>
      </w:r>
    </w:p>
    <w:p>
      <w:pPr>
        <w:pStyle w:val="Heading2"/>
      </w:pPr>
      <w:bookmarkStart w:id="900837" w:name="_Toc300000836"/>
      <w:r>
        <w:t>Article 24.T: Environmental Experimental Technology and Iterative Validation</w:t>
      </w:r>
      <w:bookmarkEnd w:id="900837"/>
    </w:p>
    <w:p>
      <w:pPr>
        <w:pStyle w:val="Normal"/>
      </w:pPr>
      <w:r>
        <w:t>1. Environmental and resilience technologies may use the Experimental Technology Pathway established elsewhere in this Agreement, including donated, public-domain, academic, Indigenous, commercial, governmental, and independently developed concepts.</w:t>
      </w:r>
    </w:p>
    <w:p>
      <w:pPr>
        <w:pStyle w:val="Normal"/>
      </w:pPr>
      <w:r>
        <w:t>2. Development should ordinarily proceed through feasibility assessment, modelling where appropriate, prototype or bench testing, diagnosis, material redesign, retesting, demonstration, independent validation, and optional deployment.</w:t>
      </w:r>
    </w:p>
    <w:p>
      <w:pPr>
        <w:pStyle w:val="Normal"/>
      </w:pPr>
      <w:r>
        <w:t>3. An initial unsuccessful test does not establish technological infeasibility. Where review identifies a credible corrective hypothesis, additional iterations may proceed.</w:t>
      </w:r>
    </w:p>
    <w:p>
      <w:pPr>
        <w:pStyle w:val="Normal"/>
      </w:pPr>
      <w:r>
        <w:t>4. Each Experimental Development Plan shall establish a cost- and risk-proportionate Revalidation Threshold. After repeated material unsuccessful iterations, expensive physical development shall pause until a software, computational, digital-twin, hardware-in-the-loop, component, laboratory, analytical, or other technically appropriate demonstration establishes a credible revised pathway.</w:t>
      </w:r>
    </w:p>
    <w:p>
      <w:pPr>
        <w:pStyle w:val="Normal"/>
      </w:pPr>
      <w:r>
        <w:t>5. Where no sufficiently validated software or computational method exists for the relevant failure mode, an appropriate reduced-scale physical or analytical demonstration may satisfy the Revalidation Gate.</w:t>
      </w:r>
    </w:p>
    <w:p>
      <w:pPr>
        <w:pStyle w:val="Normal"/>
      </w:pPr>
      <w:r>
        <w:t>6. A materially different technical approach may begin a new iteration sequence where independent review finds that it changes the mechanism responsible for prior failures rather than merely relabeling the unsuccessful configuration.</w:t>
      </w:r>
    </w:p>
    <w:p>
      <w:pPr>
        <w:pStyle w:val="Normal"/>
      </w:pPr>
      <w:r>
        <w:t>7. A project may conclude in good standing when evidence shows that further development is unlikely to justify expected cost, risk, or benefit. Useful derivative materials, components, processes, software, or methods may continue independently.</w:t>
      </w:r>
    </w:p>
    <w:p>
      <w:pPr>
        <w:pStyle w:val="Normal"/>
      </w:pPr>
      <w:r>
        <w:t>8. Experimental status is not certification, procurement commitment, commercial guarantee, or government endorsement.</w:t>
      </w:r>
    </w:p>
    <w:p>
      <w:pPr>
        <w:pStyle w:val="Heading2"/>
      </w:pPr>
      <w:bookmarkStart w:id="900838" w:name="_Toc300000837"/>
      <w:r>
        <w:t>Article 24.U: Environmental Data, Verification, and Anti-Greenwashing</w:t>
      </w:r>
      <w:bookmarkEnd w:id="900838"/>
    </w:p>
    <w:p>
      <w:pPr>
        <w:pStyle w:val="Normal"/>
      </w:pPr>
      <w:r>
        <w:t>1. Environmental claims used to obtain a trade preference, procurement advantage, certification benefit, credit, or other treatment under this Agreement shall be supported by proportionate and auditable evidence.</w:t>
      </w:r>
    </w:p>
    <w:p>
      <w:pPr>
        <w:pStyle w:val="Normal"/>
      </w:pPr>
      <w:r>
        <w:t>2. The Parties shall seek to reuse existing verified data, protect confidential business information and Indigenous knowledge, and avoid duplicative reporting.</w:t>
      </w:r>
    </w:p>
    <w:p>
      <w:pPr>
        <w:pStyle w:val="Normal"/>
      </w:pPr>
      <w:r>
        <w:t>3. Carbon, biodiversity, recycled-content, clean-power, sustainable-fisheries, and similar claims shall use transparent methodologies appropriate to the claim and shall address material uncertainty and double counting.</w:t>
      </w:r>
    </w:p>
    <w:p>
      <w:pPr>
        <w:pStyle w:val="Normal"/>
      </w:pPr>
      <w:r>
        <w:t>4. Screening indicators create a basis for inquiry, not a presumption of violation. Adverse legal consequences require an affirmative finding on the full record under the applicable procedure.</w:t>
      </w:r>
    </w:p>
    <w:p>
      <w:pPr>
        <w:pStyle w:val="Normal"/>
      </w:pPr>
      <w:r>
        <w:t>5. The Parties may improve interoperability of environmental data and digital traceability through existing institutions and technical bodies.</w:t>
      </w:r>
    </w:p>
    <w:p>
      <w:pPr>
        <w:pStyle w:val="Heading2"/>
      </w:pPr>
      <w:bookmarkStart w:id="900839" w:name="_Toc300000838"/>
      <w:r>
        <w:t>Article 24.V: Implementation Through Existing Institutions</w:t>
      </w:r>
      <w:bookmarkEnd w:id="900839"/>
    </w:p>
    <w:p>
      <w:pPr>
        <w:pStyle w:val="Normal"/>
      </w:pPr>
      <w:r>
        <w:t>1. Articles 24.F through 24.U shall be implemented, to the maximum extent practicable, through the Environment Committee, the Commission for Environmental Cooperation, existing fisheries and marine mechanisms, customs and border agencies, emergency-management authorities, energy and infrastructure mechanisms established elsewhere in this Agreement, and competent domestic authorities.</w:t>
      </w:r>
    </w:p>
    <w:p>
      <w:pPr>
        <w:pStyle w:val="Normal"/>
      </w:pPr>
      <w:r>
        <w:t>2. No new standing council, secretariat, registry authority, incubator, task force, or fund is created by these Articles unless the Parties expressly establish one through the amendment or implementation procedures of this Agreement after determining that existing institutions cannot efficiently perform the function.</w:t>
      </w:r>
    </w:p>
    <w:p>
      <w:pPr>
        <w:pStyle w:val="Normal"/>
      </w:pPr>
      <w:r>
        <w:t>3. Cooperative projects may use existing grants, procurement authorities, public-private arrangements, research programs, universities, laboratories, Indigenous institutions, and other lawful mechanisms.</w:t>
      </w:r>
    </w:p>
    <w:p>
      <w:pPr>
        <w:pStyle w:val="Normal"/>
      </w:pPr>
      <w:r>
        <w:t>4. Participation in a cooperative or experimental project does not alter constitutional allocations of authority or compel an appropriation of public funds.</w:t>
      </w:r>
    </w:p>
    <w:p>
      <w:pPr>
        <w:pStyle w:val="Heading2"/>
      </w:pPr>
      <w:bookmarkStart w:id="900840" w:name="_Toc300000839"/>
      <w:r>
        <w:t>Article 24.W: North American Legacy and Orphan Well Discovery, Safety, Remediation and Prevention Framework</w:t>
      </w:r>
      <w:bookmarkEnd w:id="900840"/>
    </w:p>
    <w:p>
      <w:pPr>
        <w:pStyle w:val="Normal"/>
      </w:pPr>
      <w:r>
        <w:t>1. The Parties establish Annex 24-W, the North American Legacy and Orphan Well Discovery, Safety, Remediation and Prevention Framework, to improve discovery, life-safety protection, remediation, closure verification, and prevention of future orphan liabilities. The Framework supplements Articles 24.S through 24.V and uses existing environmental, emergency, data, verification, energy, and domestic-regulatory machinery except where Annex 24-W expressly establishes a specialized function that existing institutions cannot efficiently perform. The North American Legacy Well Coordination Board administers the limited trinational functions assigned by Annex 24-W with Secretariat support and does not exercise continental permitting, plugging-order, enforcement, adjudicative, taxation, or general environmental-regulatory authority. Domestic petroleum regulators and other competent authorities retain primary authority over wells, sites, permitting, inspection, emergency action, plugging, remediation, reclamation, liability, and enforcement within their respective jurisdictions.</w:t>
      </w:r>
    </w:p>
    <w:p>
      <w:pPr>
        <w:pStyle w:val="Heading1"/>
      </w:pPr>
      <w:bookmarkStart w:id="900841" w:name="_Toc300000840"/>
      <w:r>
        <w:t>ANNEX 24-W: NORTH AMERICAN LEGACY AND ORPHAN WELL DISCOVERY, SAFETY, REMEDIATION AND PREVENTION FRAMEWORK</w:t>
      </w:r>
      <w:bookmarkEnd w:id="900841"/>
    </w:p>
    <w:p>
      <w:pPr>
        <w:pStyle w:val="Heading2"/>
      </w:pPr>
      <w:bookmarkStart w:id="900842" w:name="_Toc300000841"/>
      <w:r>
        <w:t>CATEGORY 24-W-A: PURPOSE, SCOPE, STATUS, AND INTERPRETATION</w:t>
      </w:r>
      <w:bookmarkEnd w:id="900842"/>
    </w:p>
    <w:p>
      <w:pPr>
        <w:pStyle w:val="Heading2"/>
      </w:pPr>
      <w:bookmarkStart w:id="900843" w:name="_Toc300000842"/>
      <w:r>
        <w:t>Article 24-W.1: Purpose and Operating Principles</w:t>
      </w:r>
      <w:bookmarkEnd w:id="900843"/>
    </w:p>
    <w:p>
      <w:pPr>
        <w:pStyle w:val="Normal"/>
      </w:pPr>
      <w:r>
        <w:t>1. This Annex creates a cooperative North American system for locating, characterizing, prioritizing, securing, remediating, verifying, and preventing legacy and orphan well hazards while preserving domestic regulatory sovereignty. Discovery and remediation operate as co-equal pillars because an undiscovered well cannot be risk-ranked, secured, remediated, or reliably represented in public policy. Implementation gives first priority to credible threats to life and safety and then applies evidence-based prioritization to water, air, ecosystems, property, climate, and other material risks. No performance measure under this Annex penalizes a Party merely because improved surveying, historical reconstruction, community reporting, or data reconciliation increases the number of previously unknown legacy wells in its recorded inventory.</w:t>
      </w:r>
    </w:p>
    <w:p>
      <w:pPr>
        <w:pStyle w:val="Normal"/>
      </w:pPr>
      <w:r>
        <w:t>2. The Parties apply polluter-pays and responsible-party recovery where domestic law identifies a legally responsible and financially capable person, while allowing immediate protective action to proceed when delay would materially increase risk. Pooled funding supplements and accelerates qualifying discovery, emergency, remediation, verification, and prevention work and does not displace an enforceable obligation of a solvent responsible person except where immediate action is necessary. Information generated under this Annex remains traceable to its source, confidence level, verification state, and correction history. Transfer, insolvency, dissolution, inactivity, lapse of time, database migration, or administrative reclassification does not by itself establish that a well is safely closed or that a material hazard no longer exists.</w:t>
      </w:r>
    </w:p>
    <w:p>
      <w:pPr>
        <w:pStyle w:val="Heading2"/>
      </w:pPr>
      <w:bookmarkStart w:id="900844" w:name="_Toc300000843"/>
      <w:r>
        <w:t>Article 24-W.2: Scope and Domestic Classification Mapping</w:t>
      </w:r>
      <w:bookmarkEnd w:id="900844"/>
    </w:p>
    <w:p>
      <w:pPr>
        <w:pStyle w:val="Normal"/>
      </w:pPr>
      <w:r>
        <w:t>1. This Annex applies to onshore legacy, orphan, abandoned, undocumented, suspected, unknown-status, and remediated petroleum wells and associated well sites within the territory of a Party and may apply to offshore wells where the competent domestic authority elects to use its mechanisms consistently with domestic law. A remediated or closure-verified well remains within the historical and evidentiary scope of this Annex only to the extent needed for closure records, proportionate post-closure monitoring, renewed investigation on materially new evidence, cost recovery, or another continuing function expressly provided here, and its historical inclusion does not by itself create continuing field regulation. An active or lawfully suspended well remains outside the remediation population solely by reason of its active status, but the prevention, financial-assurance, transfer, data-integrity, and emergency provisions of this Annex may apply where domestic law so provides. Each Party maps its domestic well-status terminology to the functional categories in this Annex for interoperability without replacing domestic legal classifications or creating a new continental property interest, liability rule, permit status, or closure determination.</w:t>
      </w:r>
    </w:p>
    <w:p>
      <w:pPr>
        <w:pStyle w:val="Heading2"/>
      </w:pPr>
      <w:bookmarkStart w:id="900845" w:name="_Toc300000844"/>
      <w:r>
        <w:t>Article 24-W.3: Core Defined Terms and Status Architecture</w:t>
      </w:r>
      <w:bookmarkEnd w:id="900845"/>
    </w:p>
    <w:p>
      <w:pPr>
        <w:pStyle w:val="Normal"/>
      </w:pPr>
      <w:r>
        <w:t>1. “Legacy well” means a well whose age, operating history, abandonment history, construction, record condition, regulatory history, or closure state creates a present need for discovery, characterization, monitoring, remediation, or verification under domestic law, whether or not a responsible person remains identifiable. “Orphan well” means a well for which the competent domestic authority determines under applicable law that no legally responsible and financially capable person is presently available to perform required closure, remediation, or related obligations; temporary uncertainty concerning contact, ownership, financial capacity, or records does not itself extinguish an otherwise existing responsibility. “Suspected or undocumented well” means a possible well supported by credible historical, geospatial, environmental, geophysical, community, land-record, regulatory, or other evidence but not yet field-verified to the applicable confidence threshold, and “unknown-status well” means a located or documented well for which available evidence does not yet reliably establish its current legal, physical, operational, plugging, remediation, or responsibility status. A later correction or reclassification preserves the prior status history, evidence provenance, and basis for change and does not erase a responsibility, closure defect, or unresolved hazard merely because the administrative label changes.</w:t>
      </w:r>
    </w:p>
    <w:p>
      <w:pPr>
        <w:pStyle w:val="Normal"/>
      </w:pPr>
      <w:r>
        <w:t>2. “Remediation” means measures addressing a well or well-site hazard and may include securing, plugging, re-plugging, contamination response, infrastructure removal, reclamation, restoration, monitoring, and corrective action as required by domestic law. “Closure verified” means that the competent authority has accepted evidence appropriate to the identified hazards showing that required closure and remediation outcomes are satisfied at the time of verification. “Difficult well” means a well whose pressure, flow, depth, construction, location, hazardous-gas condition, access constraint, subsurface uncertainty, technical failure, or other material factor creates exceptional cost, expertise, equipment, or emergency-response requirements. “Well cluster” means two or more wells or suspected wells whose geographic proximity, shared geology, migration pathways, common historical field, water connectivity, infrastructure, or cumulative risk makes integrated assessment or remediation materially more effective than isolated treatment.</w:t>
      </w:r>
    </w:p>
    <w:p>
      <w:pPr>
        <w:pStyle w:val="Heading2"/>
      </w:pPr>
      <w:bookmarkStart w:id="900846" w:name="_Toc300000845"/>
      <w:r>
        <w:t>CATEGORY 24-W-B: GOVERNANCE, AUTHORITY, AND INSTITUTIONAL INTERFACE</w:t>
      </w:r>
      <w:bookmarkEnd w:id="900846"/>
    </w:p>
    <w:p>
      <w:pPr>
        <w:pStyle w:val="Heading2"/>
      </w:pPr>
      <w:bookmarkStart w:id="900847" w:name="_Toc300000846"/>
      <w:r>
        <w:t>Article 24-W.4: North American Legacy Well Coordination Board</w:t>
      </w:r>
      <w:bookmarkEnd w:id="900847"/>
    </w:p>
    <w:p>
      <w:pPr>
        <w:pStyle w:val="Normal"/>
      </w:pPr>
      <w:r>
        <w:t>1. The Parties establish the North American Legacy Well Coordination Board as the dedicated technical, coordinating, data-integrity, capacity-building, and fund-governance body for this Annex, with each Party designating at least one lead representative from a competent authority and a contact structure capable of engaging relevant subnational and Indigenous or Tribal authorities in accordance with domestic law. The Board adopts by consensus a compact operating procedure covering chair rotation, ordinary and emergency meetings, participation, records, conflict disclosure and recusal, protection of sensitive information, and publication of non-confidential decisions, and no procedural rule enlarges the Board's substantive authority. The Board may invite the Commission for Environmental Cooperation, the Environment Committee, Chapter 38 emergency mechanisms, Chapter 40 energy institutions, technical experts, municipalities, Indigenous or Tribal institutions, and other relevant bodies to participate as observers or advisers for a defined function without transferring decision authority to them. The Board uses the Secretariat for administrative continuity, records, meeting support, data stewardship, and other functions already available under this Agreement and avoids creating permanent subordinate bodies where a time-limited technical group or existing institution can perform the task.</w:t>
      </w:r>
    </w:p>
    <w:p>
      <w:pPr>
        <w:pStyle w:val="Normal"/>
      </w:pPr>
      <w:r>
        <w:t>2. The Board maintains the federated Registry, common data and provenance rules, risk-methodology guidance, pooled funding mechanisms, difficult-well support, technical cooperation, discovery coordination, and public aggregate reporting established by this Annex. The Board may create time-limited technical working groups when a defined task cannot be efficiently performed through its ordinary membership and dissolves each group when the task is complete. The Board records the mandate, duration, membership, deliverable, and administrative burden of each working group and avoids standing subcommittees where periodic expert consultation is sufficient. No advisory participant acquires decision-making authority merely by participating in Board work.</w:t>
      </w:r>
    </w:p>
    <w:p>
      <w:pPr>
        <w:pStyle w:val="Heading2"/>
      </w:pPr>
      <w:bookmarkStart w:id="900848" w:name="_Toc300000847"/>
      <w:r>
        <w:t>Article 24-W.5: Authority Firewall and Decision Rules</w:t>
      </w:r>
      <w:bookmarkEnd w:id="900848"/>
    </w:p>
    <w:p>
      <w:pPr>
        <w:pStyle w:val="Normal"/>
      </w:pPr>
      <w:r>
        <w:t>1. The Board does not issue drilling or operating permits, order plugging or remediation, impose taxes or levies, adjudicate private liability, enforce domestic law, displace a domestic regulator, or create a second environmental tribunal or Cothrom system. Technical guidance, model forms, methods menus, and interoperability standards issued by the Board do not acquire binding domestic regulatory effect unless adopted through the competent domestic process or made binding by an express provision of this Agreement. Substantive Board decisions concerning fund rules, common minimum data requirements, amendments to schedules with legal effect, or changes to the Board mandate require consensus of the Parties. Administrative corrections, non-substantive schema maintenance, and technical publications may proceed under procedures approved by consensus and cannot expand an obligation or authority created by this Annex.</w:t>
      </w:r>
    </w:p>
    <w:p>
      <w:pPr>
        <w:pStyle w:val="Heading2"/>
      </w:pPr>
      <w:bookmarkStart w:id="900849" w:name="_Toc300000848"/>
      <w:r>
        <w:t>Article 24-W.6: Existing-Institution-First Interface</w:t>
      </w:r>
      <w:bookmarkEnd w:id="900849"/>
    </w:p>
    <w:p>
      <w:pPr>
        <w:pStyle w:val="Normal"/>
      </w:pPr>
      <w:r>
        <w:t>1. The Board implements this Annex through existing domestic regulators, the Environment Committee, the Commission for Environmental Cooperation, emergency-management authorities, Chapter 40 energy mechanisms, laboratories, universities, Indigenous or Tribal institutions, and other competent bodies wherever those institutions can efficiently perform the required function. The Board does not duplicate generic emergency management, environmental dispute settlement, experimental-technology validation, data-security, procurement, or Cothrom functions already established elsewhere in this Agreement. Where a material functional gap appears, the Board documents the operational need, existing alternatives considered, expected administrative burden, authority boundary, reporting line, and proposed duration before recommending new permanent machinery. Nothing in this Annex alters constitutional allocations of authority or requires a Party to transfer regulatory jurisdiction to the Board.</w:t>
      </w:r>
    </w:p>
    <w:p>
      <w:pPr>
        <w:pStyle w:val="Heading2"/>
      </w:pPr>
      <w:bookmarkStart w:id="900850" w:name="_Toc300000849"/>
      <w:r>
        <w:t>CATEGORY 24-W-C: FEDERATED REGISTRY, PROVENANCE, AND DATA GOVERNANCE</w:t>
      </w:r>
      <w:bookmarkEnd w:id="900850"/>
    </w:p>
    <w:p>
      <w:pPr>
        <w:pStyle w:val="Heading2"/>
      </w:pPr>
      <w:bookmarkStart w:id="900851" w:name="_Toc300000850"/>
      <w:r>
        <w:t>Article 24-W.7: North American Legacy Well Registry</w:t>
      </w:r>
      <w:bookmarkEnd w:id="900851"/>
    </w:p>
    <w:p>
      <w:pPr>
        <w:pStyle w:val="Normal"/>
      </w:pPr>
      <w:r>
        <w:t>1. The Board maintains the North American Legacy Well Registry as a federated interoperability and discovery index linking authoritative domestic records and qualified supplementary evidence, meaning evidence whose source, provenance, relevance, and confidence are recorded sufficiently for the receiving authority to assess its proper use. Each domestic database remains authoritative for legal status assigned by the competent authority, and the Registry does not overwrite, supersede, or silently reconcile a conflicting domestic record. The Registry supports stable identifiers, legacy identifiers and aliases, status history, source links, update dates, risk information, remediation state, closure evidence, and other fields identified in Schedule 24-W-A, with material corrections propagated to dependent Registry views and linked records. Where two records may describe the same well, the Registry preserves both source records until the competent domestic authority or a reconciliation process designated by that authority resolves the relationship and records the basis, date, and responsible source for the resolution.</w:t>
      </w:r>
    </w:p>
    <w:p>
      <w:pPr>
        <w:pStyle w:val="Heading2"/>
      </w:pPr>
      <w:bookmarkStart w:id="900852" w:name="_Toc300000851"/>
      <w:r>
        <w:t>Article 24-W.8: Provenance, Location Confidence, and Verification State</w:t>
      </w:r>
      <w:bookmarkEnd w:id="900852"/>
    </w:p>
    <w:p>
      <w:pPr>
        <w:pStyle w:val="Normal"/>
      </w:pPr>
      <w:r>
        <w:t>1. Every material Registry datum records its source, date, method, responsible source body or reporter class, version history, and verification state to the extent reasonably available. Well locations use a confidence classification that distinguishes approximate historical references, geospatial inference, field indications, instrument-supported locations, and technically verified coordinates without converting uncertainty into false precision. A report or historical record may remain useful evidence even when it does not satisfy the threshold for a verified well location, and its limitations remain visible to authorized users. Corrections preserve the prior value, reason for change, date, source, and responsible authority so that an apparent improvement in the dataset cannot be produced through silent deletion or relabeling.</w:t>
      </w:r>
    </w:p>
    <w:p>
      <w:pPr>
        <w:pStyle w:val="Heading2"/>
      </w:pPr>
      <w:bookmarkStart w:id="900853" w:name="_Toc300000852"/>
      <w:r>
        <w:t>Article 24-W.9: Access, Privacy, Security, and Sensitive Locations</w:t>
      </w:r>
      <w:bookmarkEnd w:id="900853"/>
    </w:p>
    <w:p>
      <w:pPr>
        <w:pStyle w:val="Normal"/>
      </w:pPr>
      <w:r>
        <w:t>1. Registry access follows a tiered model that gives competent regulators and emergency responders the precision reasonably necessary for their functions while protecting personal information, confidential business information, security-sensitive information, and Indigenous or Tribal data subject to applicable protections. Public maps may generalize, delay, or withhold exact coordinates for unverified, hazardous, culturally sensitive, private-property, infrastructure-sensitive, or otherwise protected locations where publication would create a material safety, privacy, security, or stewardship risk. Access to restricted precision data uses role-appropriate authorization and proportionate access logging, and a material correction to a restricted record is propagated to recipients where reasonably necessary for safety, response, or decision integrity. Affected owners, occupants, communities, and authorities receive information required by domestic law and this Annex while data collection, retention, sharing, correction, and disposition remain limited to the minimum information reasonably necessary for the stated function and reuse verified domestic information where practicable.</w:t>
      </w:r>
    </w:p>
    <w:p>
      <w:pPr>
        <w:pStyle w:val="Heading2"/>
      </w:pPr>
      <w:bookmarkStart w:id="900854" w:name="_Toc300000853"/>
      <w:r>
        <w:t>CATEGORY 24-W-D: DISCOVERY, LOCATION, AND COMMUNITY REPORTING</w:t>
      </w:r>
      <w:bookmarkEnd w:id="900854"/>
    </w:p>
    <w:p>
      <w:pPr>
        <w:pStyle w:val="Heading2"/>
      </w:pPr>
      <w:bookmarkStart w:id="900855" w:name="_Toc300000854"/>
      <w:r>
        <w:t>Article 24-W.10: Continental Discovery Strategy</w:t>
      </w:r>
      <w:bookmarkEnd w:id="900855"/>
    </w:p>
    <w:p>
      <w:pPr>
        <w:pStyle w:val="Normal"/>
      </w:pPr>
      <w:r>
        <w:t>1. Each Party maintains a risk-informed strategy for identifying undocumented, lost, suspected, and unknown-status wells using domestic records and methods appropriate to its geology, settlement history, regulatory history, and known legacy fields. The Board supports interoperability among archival reconstruction, historical maps and imagery, regulatory records, land and industry records lawfully available, remote sensing, geophysical methods, gas surveys, community knowledge, and other validated discovery sources. Discovery planning gives particular attention to areas where historical drilling density, incomplete records, occupied development, water vulnerability, prior incidents, or credible local evidence indicates a material probability of undocumented wells. Finding additional legacy wells through improved discovery is recorded as improved inventory knowledge and not, without separate evidence, as deterioration in current regulatory performance.</w:t>
      </w:r>
    </w:p>
    <w:p>
      <w:pPr>
        <w:pStyle w:val="Heading2"/>
      </w:pPr>
      <w:bookmarkStart w:id="900856" w:name="_Toc300000855"/>
      <w:r>
        <w:t>Article 24-W.11: Escalating Detection and Search Sufficiency</w:t>
      </w:r>
      <w:bookmarkEnd w:id="900856"/>
    </w:p>
    <w:p>
      <w:pPr>
        <w:pStyle w:val="Normal"/>
      </w:pPr>
      <w:r>
        <w:t>1. Where credible evidence indicates the probable presence of a legacy well and ordinary field inspection does not reliably locate it, the competent authority applies or arranges additional detection methods reasonably suited to terrain, expected construction, historical period, location uncertainty, surrounding development, and potential hazard. Available methods may include historical-image reconstruction, remote sensing, electromagnetic surveying, magnetometry, ground-penetrating radar, methane or other gas surveying, targeted excavation, or other validated methods described in Schedule 24-W-E without requiring every method at every site. Failure to locate a suspected well through one method does not establish absence where material contrary evidence remains, and the investigation record identifies methods used, search area, limitations, confidence, and the basis for continuing, suspending, or closing the search. A suspected well presenting credible evidence of acute risk to life, health, occupied property, drinking water, or critical infrastructure receives accelerated investigation and protective measures notwithstanding uncertainty concerning its exact location.</w:t>
      </w:r>
    </w:p>
    <w:p>
      <w:pPr>
        <w:pStyle w:val="Heading2"/>
      </w:pPr>
      <w:bookmarkStart w:id="900857" w:name="_Toc300000856"/>
      <w:r>
        <w:t>Article 24-W.12: Citizen Discovery Program</w:t>
      </w:r>
      <w:bookmarkEnd w:id="900857"/>
    </w:p>
    <w:p>
      <w:pPr>
        <w:pStyle w:val="Normal"/>
      </w:pPr>
      <w:r>
        <w:t>1. Each Party provides or designates a safe public pathway for submitting possible legacy-well locations, photographs taken from a safe and lawful position, approximate coordinates, historical documents, local knowledge, and other potentially useful discovery information. Citizen instructions state clearly that a reporter does not touch, open, move, excavate, enter, ignite near, test gas at, trespass upon, or approach a suspected well or associated structure for the purpose of improving a report. A person observing signs of an acute gas, fire, explosion, collapse, contamination, or other immediate hazard is directed to withdraw to a safe location and contact the competent emergency or regulatory authority rather than investigate independently. The reporting pathway accommodates reasonable anonymous or confidential reporting where domestic law permits and protects personal information consistent with Article 24-W.9.</w:t>
      </w:r>
    </w:p>
    <w:p>
      <w:pPr>
        <w:pStyle w:val="Normal"/>
      </w:pPr>
      <w:r>
        <w:t>2. A Party or the Board may maintain modest incentives for verified useful information, historical research, community mapping, or novel leads that materially assist professional discovery. An incentive rewards information value and not raw report count, speed, proximity to a suspected hazard, physical entry, excavation, handling, or other risky conduct. Unsafe, unlawful, fabricated, materially misleading, or intentionally duplicative conduct is ineligible for reward, and no incentive creates a right to enter private, Indigenous, Tribal, restricted, or otherwise controlled land. A citizen report enters the Registry as an unverified lead until the applicable triage and verification process establishes a higher evidentiary state.</w:t>
      </w:r>
    </w:p>
    <w:p>
      <w:pPr>
        <w:pStyle w:val="Heading2"/>
      </w:pPr>
      <w:bookmarkStart w:id="900858" w:name="_Toc300000857"/>
      <w:r>
        <w:t>Article 24-W.13: Community, Historical, and Institutional Evidence</w:t>
      </w:r>
      <w:bookmarkEnd w:id="900858"/>
    </w:p>
    <w:p>
      <w:pPr>
        <w:pStyle w:val="Normal"/>
      </w:pPr>
      <w:r>
        <w:t>1. Competent authorities may use oral histories, Indigenous or Tribal knowledge with appropriate consent and governance, farmer and landowner records, municipal files, utility observations, emergency-service records, industry archives, bankruptcy or receivership records lawfully available, historical leases, and other credible sources as discovery leads. No single source category receives automatic priority over contradictory physical or documentary evidence solely because of its institutional or informal origin. The record identifies source limitations, access restrictions, uncertainty, and corroboration where those factors materially affect a location or risk conclusion. Protected knowledge is not entered into a public Registry field merely because it informed a search, and a protected summary, attestation, or controlled review may support verification where appropriate.</w:t>
      </w:r>
    </w:p>
    <w:p>
      <w:pPr>
        <w:pStyle w:val="Heading2"/>
      </w:pPr>
      <w:bookmarkStart w:id="900859" w:name="_Toc300000858"/>
      <w:r>
        <w:t>Article 24-W.14: Discovery Verification Pipeline and Safe Harbor</w:t>
      </w:r>
      <w:bookmarkEnd w:id="900859"/>
    </w:p>
    <w:p>
      <w:pPr>
        <w:pStyle w:val="Normal"/>
      </w:pPr>
      <w:r>
        <w:t>1. The ordinary discovery pipeline distinguishes a citizen or institutional lead, triage, documentary corroboration, professional survey, location outcome, technical characterization, domestic classification, and authoritative Registry update. An investigation may conclude located, not located after a documented sufficient search, or inconclusive, and an inconclusive result remains available for future review when new evidence or improved methods emerge. An increase in recorded wells caused by improved surveying, historical reconstruction, landowner reporting, field investigation, data reconciliation, or other credible discovery activity does not by itself constitute deterioration or non-performance under this Agreement. Nothing in this safe harbor excuses unreasonable delay in investigating, securing, plugging, remediating, or monitoring a known material hazard.</w:t>
      </w:r>
    </w:p>
    <w:p>
      <w:pPr>
        <w:pStyle w:val="Heading2"/>
      </w:pPr>
      <w:bookmarkStart w:id="900860" w:name="_Toc300000859"/>
      <w:r>
        <w:t>CATEGORY 24-W-E: RISK CLASSIFICATION, ACUTE SAFETY, AND AREA-BASED RESPONSE</w:t>
      </w:r>
      <w:bookmarkEnd w:id="900860"/>
    </w:p>
    <w:p>
      <w:pPr>
        <w:pStyle w:val="Heading2"/>
      </w:pPr>
      <w:bookmarkStart w:id="900861" w:name="_Toc300000860"/>
      <w:r>
        <w:t>Article 24-W.15: Risk Classification and Re-Tiering</w:t>
      </w:r>
      <w:bookmarkEnd w:id="900861"/>
    </w:p>
    <w:p>
      <w:pPr>
        <w:pStyle w:val="Normal"/>
      </w:pPr>
      <w:r>
        <w:t>1. Each Party applies a transparent risk methodology that distinguishes immediate, high, moderate, and lower-monitoring priorities or functionally equivalent domestic tiers. The methodology considers human safety, occupied structures, drinking-water and aquifer vulnerability, methane and hydrogen sulphide, pressure and flow, fire or explosion potential, subsidence, contamination, well age and construction, plugging quality, access constraints, environmental sensitivity, deterioration, and cumulative cluster effects. Cost and logistical difficulty may inform sequencing among comparably risky wells but do not displace an acute life-safety priority merely because the dangerous well is expensive or technically difficult. A well is re-tiered when credible new evidence materially changes the assessed hazard, exposure, uncertainty, or effectiveness of existing controls.</w:t>
      </w:r>
    </w:p>
    <w:p>
      <w:pPr>
        <w:pStyle w:val="Heading2"/>
      </w:pPr>
      <w:bookmarkStart w:id="900862" w:name="_Toc300000861"/>
      <w:r>
        <w:t>Article 24-W.16: Acute Hazard and Emergency Lane</w:t>
      </w:r>
      <w:bookmarkEnd w:id="900862"/>
    </w:p>
    <w:p>
      <w:pPr>
        <w:pStyle w:val="Normal"/>
      </w:pPr>
      <w:r>
        <w:t>1. A credible indication of imminent or serious danger from uncontrolled flow, methane, hydrogen sulphide, explosion, fire, contamination, collapse, migration into occupied structures, or another material well-related hazard activates an expedited domestic response pathway. The competent authority may use lawful interim measures including access control, evacuation support, monitoring, temporary containment, venting, emergency plugging, water protection, public warning, and specialist mobilization as appropriate to the hazard, and a dispute over ownership, historical responsibility, cost allocation, or ultimate liability does not delay immediately necessary protective action where domestic law permits it. Where credible evidence indicates that gas migration, contamination, water effects, air effects, or response consequences may materially cross a Party boundary, the competent authority also activates the applicable Chapter 24.S transboundary-pollution or environmental-emergency coordination pathway without transferring domestic field authority. Emergency expenditure and cross-border coordination preserve available rights of investigation, reimbursement, contribution, insurance recovery, or cost recovery under domestic law.</w:t>
      </w:r>
    </w:p>
    <w:p>
      <w:pPr>
        <w:pStyle w:val="Heading2"/>
      </w:pPr>
      <w:bookmarkStart w:id="900863" w:name="_Toc300000862"/>
      <w:r>
        <w:t>Article 24-W.17: Public Warning, Occupant Notification, and Local Response</w:t>
      </w:r>
      <w:bookmarkEnd w:id="900863"/>
    </w:p>
    <w:p>
      <w:pPr>
        <w:pStyle w:val="Normal"/>
      </w:pPr>
      <w:r>
        <w:t>1. Where a verified or credibly suspected well presents a material risk to occupants, landowners, workers, water users, or a nearby community, the competent authority provides timely risk information and protective instructions consistent with domestic emergency and privacy law. Communication distinguishes confirmed hazards from precautionary investigation and avoids attributing naturally occurring or otherwise uncertain gas or contamination to a particular well without sufficient evidence, while local emergency responders receive the location, hazard, contact, and response information reasonably necessary for foreseeable incidents involving high-priority wells or clusters. When a material risk conclusion, attribution, protective instruction, or closure status communicated under this Article later changes, the competent authority provides a proportionate correction or update to affected recipients where reasonably necessary to prevent reliance on stale information. Public education in affected areas emphasizes recognition of warning signs, safe withdrawal, appropriate reporting, and avoidance of self-investigation rather than requiring residents to perform technical monitoring.</w:t>
      </w:r>
    </w:p>
    <w:p>
      <w:pPr>
        <w:pStyle w:val="Heading2"/>
      </w:pPr>
      <w:bookmarkStart w:id="900864" w:name="_Toc300000863"/>
      <w:r>
        <w:t>Article 24-W.18: Geographic Clusters and Integrated Remediation Zones</w:t>
      </w:r>
      <w:bookmarkEnd w:id="900864"/>
    </w:p>
    <w:p>
      <w:pPr>
        <w:pStyle w:val="Normal"/>
      </w:pPr>
      <w:r>
        <w:t>1. Where legacy, orphan, undocumented, or unknown-status wells are geographically or hydrogeologically concentrated, the competent authority may manage the affected area as an integrated remediation zone when that approach materially improves safety, environmental protection, discovery completeness, or remediation efficiency. Area assessment considers individual well condition together with plausible subsurface migration pathways, cumulative gas exposure, groundwater connectivity, occupied structures, critical infrastructure, historical drilling patterns, and other evidence of interacting or common-source risk. Integrated management may coordinate surveying, monitoring, emergency controls, plugging campaigns, contamination response, infrastructure removal, land restoration, and post-remediation verification while preserving well-specific records and applicable liability. Use of an integrated remediation zone does not delay immediate intervention at an individual well presenting an acute threat and does not transfer regulatory authority between governments.</w:t>
      </w:r>
    </w:p>
    <w:p>
      <w:pPr>
        <w:pStyle w:val="Heading2"/>
      </w:pPr>
      <w:bookmarkStart w:id="900865" w:name="_Toc300000864"/>
      <w:r>
        <w:t>CATEGORY 24-W-F: REMEDIATION, CLOSURE VERIFICATION, AND POST-CLOSURE DUTY</w:t>
      </w:r>
      <w:bookmarkEnd w:id="900865"/>
    </w:p>
    <w:p>
      <w:pPr>
        <w:pStyle w:val="Heading2"/>
      </w:pPr>
      <w:bookmarkStart w:id="900866" w:name="_Toc300000865"/>
      <w:r>
        <w:t>Article 24-W.19: Remediation Planning and Execution</w:t>
      </w:r>
      <w:bookmarkEnd w:id="900866"/>
    </w:p>
    <w:p>
      <w:pPr>
        <w:pStyle w:val="Normal"/>
      </w:pPr>
      <w:r>
        <w:t>1. Remediation proceeds under the authority and technical standards of the competent domestic regulator and uses methods proportionate to the well condition, site hazards, geology, contamination, access, and intended closure outcome. Documentation identifies the well or cluster, known uncertainties, immediate controls, technical method, environmental and worker protections, relevant waste or material handling, verification evidence, and post-closure monitoring to the depth reasonably proportionate to risk, complexity, funding conditions, and domestic requirements rather than imposing the same plan burden on every intervention. The Board may publish non-binding best-practice menus and facilitate access to specialized expertise without prescribing a single plugging method across unlike jurisdictions and well types. Material deviations from an approved remediation plan are documented with the reason, competent authority, revised risk controls, and effect on closure verification.</w:t>
      </w:r>
    </w:p>
    <w:p>
      <w:pPr>
        <w:pStyle w:val="Heading2"/>
      </w:pPr>
      <w:bookmarkStart w:id="900867" w:name="_Toc300000866"/>
      <w:r>
        <w:t>Article 24-W.20: Closure Verification</w:t>
      </w:r>
      <w:bookmarkEnd w:id="900867"/>
    </w:p>
    <w:p>
      <w:pPr>
        <w:pStyle w:val="Normal"/>
      </w:pPr>
      <w:r>
        <w:t>1. Plugging, expenditure of funds, contractor completion, or administrative closure does not by itself establish successful remediation where the identified hazard requires additional evidence. Closure verification uses evidence appropriate to the well and risk, which may include pressure or flow observations, gas monitoring, water or soil evidence, plugging records, integrity testing, site inspection, reclamation evidence, or other validated indicators required by domestic law. The verifying authority records material limitations, residual risks, monitoring requirements, and conditions that would require corrective action or reopening. Independent or third-party technical evidence may be used where domestic law permits, but final legal acceptance remains with the competent authority unless domestic law provides otherwise.</w:t>
      </w:r>
    </w:p>
    <w:p>
      <w:pPr>
        <w:pStyle w:val="Heading2"/>
      </w:pPr>
      <w:bookmarkStart w:id="900868" w:name="_Toc300000867"/>
      <w:r>
        <w:t>Article 24-W.21: Post-Closure Monitoring and Reopening</w:t>
      </w:r>
      <w:bookmarkEnd w:id="900868"/>
    </w:p>
    <w:p>
      <w:pPr>
        <w:pStyle w:val="Normal"/>
      </w:pPr>
      <w:r>
        <w:t>1. A closure-verified well receives post-closure monitoring proportionate to residual uncertainty, migration potential, prior failure, contamination, proximity to receptors, and other material risk factors, and that determination may include a documented conclusion that no continuing active monitoring is required where evidence supports a genuinely low-risk closure. Credible evidence of renewed leakage, migration, contamination, structural failure, ineffective plugging, or another material hazard triggers reassessment notwithstanding a prior closure record. The competent authority may reopen the technical record, require or undertake corrective action under domestic law, and update the Registry without treating the prior verification as evidence that later observations are invalid. Completion of a monitoring period or a lawful determination that active monitoring is unnecessary does not erase preserved historical evidence or prevent renewed investigation when materially new evidence emerges.</w:t>
      </w:r>
    </w:p>
    <w:p>
      <w:pPr>
        <w:pStyle w:val="Heading2"/>
      </w:pPr>
      <w:bookmarkStart w:id="900869" w:name="_Toc300000868"/>
      <w:r>
        <w:t>CATEGORY 24-W-G: POOLED FUNDING, DIFFICULT WELLS, AND FINANCIAL INTEGRITY</w:t>
      </w:r>
      <w:bookmarkEnd w:id="900869"/>
    </w:p>
    <w:p>
      <w:pPr>
        <w:pStyle w:val="Heading2"/>
      </w:pPr>
      <w:bookmarkStart w:id="900870" w:name="_Toc300000869"/>
      <w:r>
        <w:t>Article 24-W.22: North American Legacy Well Discovery and Remediation Facility</w:t>
      </w:r>
      <w:bookmarkEnd w:id="900870"/>
    </w:p>
    <w:p>
      <w:pPr>
        <w:pStyle w:val="Normal"/>
      </w:pPr>
      <w:r>
        <w:t>1. The Parties establish the North American Legacy Well Discovery and Remediation Facility as a dedicated pooled mechanism administered by the Board subject to domestic appropriation and other applicable fiscal law. The Facility accepts Party contributions established by consensus schedules and may accept other lawful public, industry, philanthropic, research, recovery, or matching funds when acceptance does not compromise regulatory independence or create preferential treatment. Facility resources remain dedicated to this Annex, are accounted for separately from unrelated treaty programs, and are subject to documented financial controls covering administrative costs, conflicts and recusal, audit, recovery receipts, unused balances, and disposition or carry-forward of funds under the applicable fiscal rules. No provision of this Article creates a continental taxing power, compels an appropriation not authorized under domestic law, or converts a voluntary external contribution into regulatory influence.</w:t>
      </w:r>
    </w:p>
    <w:p>
      <w:pPr>
        <w:pStyle w:val="Heading2"/>
      </w:pPr>
      <w:bookmarkStart w:id="900871" w:name="_Toc300000870"/>
      <w:r>
        <w:t>Article 24-W.23: Funding Windows</w:t>
      </w:r>
      <w:bookmarkEnd w:id="900871"/>
    </w:p>
    <w:p>
      <w:pPr>
        <w:pStyle w:val="Normal"/>
      </w:pPr>
      <w:r>
        <w:t>1. The Facility maintains distinct windows for Discovery and Mapping, Acute Hazard Response, Plugging and Remediation, Area-Based Legacy Fields, Monitoring and Verification, and Technical Capacity and Research. The Board may move resources between windows only under published criteria that preserve an adequate acute-hazard reserve and explain the operational need for the transfer, and funding priority does not rest solely on raw well counts, discovery volume, or a jurisdiction's ability to suppress identification of difficult sites. Grant criteria consider risk, discovery uncertainty, community exposure, technical difficulty, domestic capacity, co-funding where appropriate, expected public benefit, and the availability of a responsible person without imposing a crude wells-per-year quota. Funding decisions record the eligible function, milestones, evidence requirements, payment conditions, responsible domestic authority, recovery rights, and a documented correction or reconsideration pathway for materially erroneous eligibility or payment records.</w:t>
      </w:r>
    </w:p>
    <w:p>
      <w:pPr>
        <w:pStyle w:val="Heading2"/>
      </w:pPr>
      <w:bookmarkStart w:id="900872" w:name="_Toc300000871"/>
      <w:r>
        <w:t>Article 24-W.24: Difficult-Well Reserve and Shared Technical Capacity</w:t>
      </w:r>
      <w:bookmarkEnd w:id="900872"/>
    </w:p>
    <w:p>
      <w:pPr>
        <w:pStyle w:val="Normal"/>
      </w:pPr>
      <w:r>
        <w:t>1. The Facility maintains a Difficult-Well Reserve for exceptional hazards or unusually costly technical failures that could otherwise overwhelm an ordinary remediation program or local budget, including specialist engineering, emergency procurement, containment, uncontrolled-flow response, hazardous-gas response, complex re-entry, and specialized equipment mobilization. Each Party maintains, directly or through competent authorities, qualified contractors, standing agreements, shared-capacity arrangements, or other reliable mechanisms, demonstrable access to personnel, equipment, contracting pathways, and expertise sufficient for difficult wells within its jurisdiction, and nominal capability alone does not satisfy this Article where the required resource cannot reasonably be mobilized for the relevant risk. The Board maintains North American expert rosters and coordinates requested mutual assistance, equipment access, laboratory support, training, and specialist deployment without acquiring independent authority to enter property, conduct plugging or remediation, issue field orders, or supersede the competent domestic authority; a material capacity gap is recorded and addressed through a proportionate corrective plan. The Parties periodically demonstrate practical difficult-well readiness through documented deployments, exercises, contracting or procurement readiness checks, equipment-access evidence, or other proportionate means, while use of the Reserve preserves lawful reimbursement and cost-recovery claims and does not determine ultimate liability.</w:t>
      </w:r>
    </w:p>
    <w:p>
      <w:pPr>
        <w:pStyle w:val="Heading2"/>
      </w:pPr>
      <w:bookmarkStart w:id="900873" w:name="_Toc300000872"/>
      <w:r>
        <w:t>Article 24-W.25: Grant Integrity, Verification, and Anti-Substitution</w:t>
      </w:r>
      <w:bookmarkEnd w:id="900873"/>
    </w:p>
    <w:p>
      <w:pPr>
        <w:pStyle w:val="Normal"/>
      </w:pPr>
      <w:r>
        <w:t>1. Facility disbursements use risk- and cost-proportionate milestones and evidence sufficient to verify the funded activity without duplicating competent domestic inspection records. Cothrom applies where this Agreement requires independent verification, evidence reconciliation, or graduated correction concerning a funded claim, disputed completion state, or material reporting inconsistency. Pooled funding does not substitute for an enforceable closure or remediation obligation of an identifiable and financially capable responsible person except where immediate action is necessary to protect life, health, property, water, or the environment, without prejudice to later recovery. Duplicate claims, double counting, material misrepresentation, or unsupported completion claims trigger correction, suspension, recovery, or other proportionate action under applicable fund and domestic rules.</w:t>
      </w:r>
    </w:p>
    <w:p>
      <w:pPr>
        <w:pStyle w:val="Heading2"/>
      </w:pPr>
      <w:bookmarkStart w:id="900874" w:name="_Toc300000873"/>
      <w:r>
        <w:t>CATEGORY 24-W-H: FUTURE-ORPHAN PREVENTION AND RESPONSIBILITY CONTINUITY</w:t>
      </w:r>
      <w:bookmarkEnd w:id="900874"/>
    </w:p>
    <w:p>
      <w:pPr>
        <w:pStyle w:val="Heading2"/>
      </w:pPr>
      <w:bookmarkStart w:id="900875" w:name="_Toc300000874"/>
      <w:r>
        <w:t>Article 24-W.26: Adequacy of End-of-Life Financial Assurance</w:t>
      </w:r>
      <w:bookmarkEnd w:id="900875"/>
    </w:p>
    <w:p>
      <w:pPr>
        <w:pStyle w:val="Normal"/>
      </w:pPr>
      <w:r>
        <w:t>1. Each Party maintains financial-assurance, industry-funded, insurance, bonding, levy, pooled-risk, trust, guarantee, or functionally equivalent arrangements reasonably designed to reduce the transfer of foreseeable well closure and remediation liabilities to landowners, affected communities, or the public solely because an operator becomes insolvent, dissolves, abandons operations, or otherwise ceases to satisfy applicable obligations. The competent authority periodically evaluates functional adequacy against a documented evidentiary record concerning actual or reasonably estimated plugging, remediation, reclamation, monitoring, emergency-response, and administrative costs, material cost trends, relevant failure experience, and the population or risk profile to which the arrangement applies. Each Party maintains lawful means for its competent authority to obtain or use information sufficient to assess that adequacy, while this Annex does not independently compel disclosure of a particular financial record or override applicable confidentiality, privacy, privilege, securities, banking, insolvency, or other domestic-law protections; domestic systems may differentiate assurance according to well depth, condition, location, operating history, ownership structure, environmental or safety risk, portfolio size, financial condition where lawfully considered, and other materially relevant factors, and retain the basis for a material adequacy determination for review under applicable law. Nothing in this Article requires a Party to adopt a particular bond amount, financing instrument, disclosure form, or continental assurance model where its domestic arrangement provides functionally adequate protection.</w:t>
      </w:r>
    </w:p>
    <w:p>
      <w:pPr>
        <w:pStyle w:val="Heading2"/>
      </w:pPr>
      <w:bookmarkStart w:id="900876" w:name="_Toc300000875"/>
      <w:r>
        <w:t>Article 24-W.27: Transfer, Distress, and Orphan-Prevention Controls</w:t>
      </w:r>
      <w:bookmarkEnd w:id="900876"/>
    </w:p>
    <w:p>
      <w:pPr>
        <w:pStyle w:val="Normal"/>
      </w:pPr>
      <w:r>
        <w:t>1. Each Party maintains a lawful domestic mechanism under which a regulated transfer, licence transfer, change of operator, or comparable transfer of operational responsibility receives consideration, before or as part of the applicable approval or recognition process, of whether closure, remediation, reclamation, monitoring, and financial-assurance obligations remain adequately assigned, secured, or otherwise enforceable under domestic law. A transfer of a well or operating interest does not by itself establish satisfaction, extinguishment, or release of an applicable end-of-life responsibility, and any release, substitution, successor treatment, assurance change, or determination of responsibility remains governed by domestic law. The Board may develop non-binding indicators and information-sharing practices for early identification of emerging orphan risk, transfer-related assurance gaps, restructurings, prolonged inactivity, or other circumstances that materially increase the foreseeable risk that closure obligations will become unfunded, but it does not obtain direct authority over transfer approval, bankruptcy, secured credit, corporate disclosure, or operator finances through this Annex. Nothing in this Article creates parent, affiliate, predecessor, successor, director, officer, shareholder, lender, purchaser, or other private liability beyond domestic law, and any common rule concerning successor liability, insolvency priority, liens, parent-company responsibility, or mandatory financial disclosure requires separate legal verification and adoption through the applicable treaty and domestic procedures.</w:t>
      </w:r>
    </w:p>
    <w:p>
      <w:pPr>
        <w:pStyle w:val="Heading2"/>
      </w:pPr>
      <w:bookmarkStart w:id="900877" w:name="_Toc300000876"/>
      <w:r>
        <w:t>Article 24-W.28: Innocent Owners and Responsible-Party Recovery</w:t>
      </w:r>
      <w:bookmarkEnd w:id="900877"/>
    </w:p>
    <w:p>
      <w:pPr>
        <w:pStyle w:val="Normal"/>
      </w:pPr>
      <w:r>
        <w:t>1. Nothing in this Annex creates liability for a current landowner solely because a legacy or orphan well is located on the property where domestic law does not otherwise impose that liability. A Party may protect innocent or non-responsible owners from unreasonable remediation burdens while preserving domestic rules applicable to persons who created, assumed, controlled, concealed, or contractually accepted a relevant liability. Immediate public action may proceed before final responsibility is determined where delay would materially increase risk, and the responsible authority preserves evidence needed for later allocation or recovery. The Board does not adjudicate private responsibility, title, contribution, indemnity, or cost-recovery disputes.</w:t>
      </w:r>
    </w:p>
    <w:p>
      <w:pPr>
        <w:pStyle w:val="Heading2"/>
      </w:pPr>
      <w:bookmarkStart w:id="900878" w:name="_Toc300000877"/>
      <w:r>
        <w:t>CATEGORY 24-W-I: TECHNOLOGY, CAPACITY, LAND-USE INTERFACE, AND INDIGENOUS SAFEGUARDS</w:t>
      </w:r>
      <w:bookmarkEnd w:id="900878"/>
    </w:p>
    <w:p>
      <w:pPr>
        <w:pStyle w:val="Heading2"/>
      </w:pPr>
      <w:bookmarkStart w:id="900879" w:name="_Toc300000878"/>
      <w:r>
        <w:t>Article 24-W.29: Research, Technology, and Methods Modernization</w:t>
      </w:r>
      <w:bookmarkEnd w:id="900879"/>
    </w:p>
    <w:p>
      <w:pPr>
        <w:pStyle w:val="Normal"/>
      </w:pPr>
      <w:r>
        <w:t>1. The Parties use Article 24.T to evaluate emerging discovery, characterization, monitoring, plugging, remediation, and verification technologies that may materially improve safety, accuracy, cost, environmental performance, or access to difficult sites. A technology is not required solely because it is new, commercially promoted, or included in a Board methods menu, and operational use remains subject to validation, fitness for purpose, domestic authorization, worker safety, environmental protection, and applicable data rules. The Board maintains Schedule 24-W-E as a non-exhaustive technical methods menu and records known limitations, suitable use cases, interoperability considerations, and validation needs without freezing innovation into treaty text. Pilot results preserve unsuccessful findings and limitations so that repeated failure is not hidden by selective reporting or relabeling.</w:t>
      </w:r>
    </w:p>
    <w:p>
      <w:pPr>
        <w:pStyle w:val="Heading2"/>
      </w:pPr>
      <w:bookmarkStart w:id="900880" w:name="_Toc300000879"/>
      <w:r>
        <w:t>Article 24-W.30: Workforce, Training, and Mutual Technical Assistance</w:t>
      </w:r>
      <w:bookmarkEnd w:id="900880"/>
    </w:p>
    <w:p>
      <w:pPr>
        <w:pStyle w:val="Normal"/>
      </w:pPr>
      <w:r>
        <w:t>1. The Parties cooperate to strengthen qualified technical capacity for locating, assessing, securing, plugging, remediating, and verifying difficult legacy wells where domestic capacity is insufficient for identified risk. Cooperation may include training, expert exchanges, laboratory support, contractor qualification information, equipment access, mutual assistance, university partnerships, Indigenous or Tribal technical programs, and regional centers operated through existing institutions. Technical assistance responds to a request or agreed program and does not transfer command of a domestic incident or regulatory decision to the Board or assisting Party. Funded capacity programs identify measurable functions and avoid permanent staffing structures where intermittent contracted or shared capacity can perform the task efficiently.</w:t>
      </w:r>
    </w:p>
    <w:p>
      <w:pPr>
        <w:pStyle w:val="Heading2"/>
      </w:pPr>
      <w:bookmarkStart w:id="900881" w:name="_Toc300000880"/>
      <w:r>
        <w:t>Article 24-W.31: Indigenous and Tribal Rights, Knowledge, and Data Governance</w:t>
      </w:r>
      <w:bookmarkEnd w:id="900881"/>
    </w:p>
    <w:p>
      <w:pPr>
        <w:pStyle w:val="Normal"/>
      </w:pPr>
      <w:r>
        <w:t>1. Implementation respects Indigenous and Tribal rights, authorities, consultation or engagement requirements, and data-governance rules applicable under the law of the relevant Party and other binding obligations. Indigenous or Tribal knowledge used to locate or characterize a suspected well remains subject to consent, access, onward-disclosure, retention, correction, and disposition requirements applicable to that knowledge, and where more than one lawful custodian, community, or governance rule may apply, the Board does not infer authority for onward disclosure from possession of the information alone. A protected summary, attestation, or controlled technical review may establish the existence or relevance of evidence without requiring public disclosure of culturally sensitive or restricted information. Nothing in this Annex converts the Board into an authority for determining Indigenous or Tribal rights, title, jurisdiction, consultation adequacy, consent, or the identity of the lawful information custodian where those questions are reserved to applicable law.</w:t>
      </w:r>
    </w:p>
    <w:p>
      <w:pPr>
        <w:pStyle w:val="Heading2"/>
      </w:pPr>
      <w:bookmarkStart w:id="900882" w:name="_Toc300000881"/>
      <w:r>
        <w:t>Article 24-W.32: Land-Use, Development, and Subsurface-Project Interface</w:t>
      </w:r>
      <w:bookmarkEnd w:id="900882"/>
    </w:p>
    <w:p>
      <w:pPr>
        <w:pStyle w:val="Normal"/>
      </w:pPr>
      <w:r>
        <w:t>1. Each Party maintains or designates a lawful referral or notification pathway through which credible legacy-well information can reach competent planning, building, infrastructure, water, emergency, and subsurface-project authorities where domestic law makes that information relevant to development or public safety, without predetermining the receiving authority's substantive decision. A suspected or verified legacy well near proposed subsurface injection, carbon storage, geothermal, utility, excavation, or other activity receives pathway assessment where credible evidence indicates that the activity could materially interact with the well or an associated migration route. This Article does not presume that a nearby legacy well causes observed gas or contamination and does not establish that carbon storage, geothermal development, or another subsurface activity is unsafe merely because historical wells exist in the broader area. Decisions rely on site-specific evidence, applicable domestic permitting law, and the responsible authority's technical assessment.</w:t>
      </w:r>
    </w:p>
    <w:p>
      <w:pPr>
        <w:pStyle w:val="Heading2"/>
      </w:pPr>
      <w:bookmarkStart w:id="900883" w:name="_Toc300000882"/>
      <w:r>
        <w:t>CATEGORY 24-W-J: PERFORMANCE, VERIFICATION, CORRECTION, AND NO-FADE</w:t>
      </w:r>
      <w:bookmarkEnd w:id="900883"/>
    </w:p>
    <w:p>
      <w:pPr>
        <w:pStyle w:val="Heading2"/>
      </w:pPr>
      <w:bookmarkStart w:id="900884" w:name="_Toc300000883"/>
      <w:r>
        <w:t>Article 24-W.33: Performance Metrics and Discovery-Neutral Accounting</w:t>
      </w:r>
      <w:bookmarkEnd w:id="900884"/>
    </w:p>
    <w:p>
      <w:pPr>
        <w:pStyle w:val="Normal"/>
      </w:pPr>
      <w:r>
        <w:t>1. Annual reporting separately identifies documented inventory, suspected or unverified inventory, newly located legacy wells, newly orphaned contemporary wells, risk-tiered wells, secured wells, remediated wells, closure-verified wells, post-closure failures or reinterventions, and material data-quality changes. Discovery Rate, Remediation Rate, and New Orphan Creation Rate remain separate indicators and are not collapsed into a single net well count or league-table score. Cost, time-to-action, methane, water, incident, community, and other performance indicators include sufficient context to distinguish differences in well difficulty, baseline completeness, geology, exposure, and program maturity. No Party is deemed non-performing solely because improved discovery increases the recorded legacy inventory, and unexplained suppression or deletion of known liabilities is not treated as performance improvement.</w:t>
      </w:r>
    </w:p>
    <w:p>
      <w:pPr>
        <w:pStyle w:val="Heading2"/>
      </w:pPr>
      <w:bookmarkStart w:id="900885" w:name="_Toc300000884"/>
      <w:r>
        <w:t>Article 24-W.34: Cothrom Verification and Evidence Reconciliation</w:t>
      </w:r>
      <w:bookmarkEnd w:id="900885"/>
    </w:p>
    <w:p>
      <w:pPr>
        <w:pStyle w:val="Normal"/>
      </w:pPr>
      <w:r>
        <w:t>1. Cothrom provides the independent verification pathway for material disputes concerning funded completion, Registry integrity, cross-Party technical evidence, or another matter expressly assigned to Cothrom by this Annex, referred by the Board within its stated authority, or referred through another NAESTMA provision that independently authorizes the referral. Ordinary domestic inspections, certifications, and regulator records remain the primary evidence where competent and sufficient, and Cothrom does not repeat them merely to create a second evidentiary layer. Where evidence conflicts materially, review identifies the disputed proposition, source records, confidence, technical method, applicable standard, and the minimum additional evidence needed to resolve the issue. Any corrective consequence remains proportionate to the verified problem and does not create authority for unrelated trade retaliation or well regulation.</w:t>
      </w:r>
    </w:p>
    <w:p>
      <w:pPr>
        <w:pStyle w:val="Heading2"/>
      </w:pPr>
      <w:bookmarkStart w:id="900886" w:name="_Toc300000885"/>
      <w:r>
        <w:t>Article 24-W.35: Correction, Cure, and Restoration</w:t>
      </w:r>
      <w:bookmarkEnd w:id="900886"/>
    </w:p>
    <w:p>
      <w:pPr>
        <w:pStyle w:val="Normal"/>
      </w:pPr>
      <w:r>
        <w:t>1. A material Registry, grant, verification, or reporting defect first receives a defined correction pathway unless an acute safety threat, fraud, deliberate concealment, or other circumstance requires immediate protective or enforcement action under applicable law. The responsible body records the defect, affected record or payment, evidence needed, cure period where appropriate, interim safeguards, and closure condition. Correction propagates to dependent records and public statistics so that a repaired source record does not leave stale derivative errors in the continental system. When the verified defect is cured, any Annex-specific administrative restriction based solely on that defect is lifted unless a separate lawful basis remains.</w:t>
      </w:r>
    </w:p>
    <w:p>
      <w:pPr>
        <w:pStyle w:val="Heading2"/>
      </w:pPr>
      <w:bookmarkStart w:id="900887" w:name="_Toc300000886"/>
      <w:r>
        <w:t>Article 24-W.36: Administrative Classification Anti-Laundering</w:t>
      </w:r>
      <w:bookmarkEnd w:id="900887"/>
    </w:p>
    <w:p>
      <w:pPr>
        <w:pStyle w:val="Normal"/>
      </w:pPr>
      <w:r>
        <w:t>1. Reclassification, transfer, insolvency, dissolution, inactivity, lapse of time, loss of records, database migration, change in responsible authority, or expiration of a regulatory instrument does not by itself establish that a well is safely closed, remediated, non-orphaned, or no longer subject to applicable monitoring or remediation requirements. A change in classification identifies its legal and evidentiary basis and preserves the prior status in the audit history. Where a legal classification changes without corresponding evidence concerning physical condition, the Registry represents the legal change and physical uncertainty separately rather than inferring one from the other. This Article does not prevent a competent authority from making a lawful final status determination supported by the evidence and procedures required under domestic law.</w:t>
      </w:r>
    </w:p>
    <w:p>
      <w:pPr>
        <w:pStyle w:val="Heading2"/>
      </w:pPr>
      <w:bookmarkStart w:id="900888" w:name="_Toc300000887"/>
      <w:r>
        <w:t>Article 24-W.37: No-Fade and Continuing Discovery</w:t>
      </w:r>
      <w:bookmarkEnd w:id="900888"/>
    </w:p>
    <w:p>
      <w:pPr>
        <w:pStyle w:val="Normal"/>
      </w:pPr>
      <w:r>
        <w:t>1. Completion of a remediation program, expenditure period, funding cycle, review period, presently identified inventory, or institutional reorganization does not extinguish obligations applicable to subsequently discovered legacy wells or credible evidence of continuing migration, leakage, contamination, structural failure, or other material hazard. A completed and verified remediation remains recognized and is not reopened merely because time passes, but materially new evidence may activate the post-closure reassessment pathway in Article 24-W.21. Institutional review may consolidate or transfer Board functions when another existing body can perform them efficiently, but such transfer preserves records, pending grants, verification states, and continuing substantive obligations. No-Fade protects durable completion and continuing safety obligations simultaneously by preventing both arbitrary erosion of completed rights and administrative disappearance of unresolved hazards.</w:t>
      </w:r>
    </w:p>
    <w:p>
      <w:pPr>
        <w:pStyle w:val="Heading2"/>
      </w:pPr>
      <w:bookmarkStart w:id="900889" w:name="_Toc300000888"/>
      <w:r>
        <w:t>CATEGORY 24-W-K: REVIEW, AMENDMENT, DISPUTES, AND TECHNICAL SCHEDULES</w:t>
      </w:r>
      <w:bookmarkEnd w:id="900889"/>
    </w:p>
    <w:p>
      <w:pPr>
        <w:pStyle w:val="Heading2"/>
      </w:pPr>
      <w:bookmarkStart w:id="900890" w:name="_Toc300000889"/>
      <w:r>
        <w:t>Article 24-W.38: Review and Adaptive Administration</w:t>
      </w:r>
      <w:bookmarkEnd w:id="900890"/>
    </w:p>
    <w:p>
      <w:pPr>
        <w:pStyle w:val="Normal"/>
      </w:pPr>
      <w:r>
        <w:t>1. The Board publishes an annual implementation report, conducts an initial implementation checkpoint no later than twenty-four months after this Annex becomes operational, and the Parties conduct a comprehensive institutional and technical review at least every five years thereafter. The initial checkpoint focuses on Registry interoperability, Facility controls, difficult-well readiness, citizen-report triage, data protection, administrative burden, and any startup defect requiring correction, while the comprehensive review also examines discovery completeness, acute-hazard response, remediation outcomes, prevention effectiveness, technology change, and whether any Board function can be returned to or consolidated with an existing institution. Review does not automatically sunset the Annex, the Registry, the Facility, or unresolved discovery, remediation, monitoring, recovery, or prevention obligations. A recommendation for material expansion of Board authority proceeds only through the amendment or implementation authority otherwise required by this Agreement.</w:t>
      </w:r>
    </w:p>
    <w:p>
      <w:pPr>
        <w:pStyle w:val="Heading2"/>
      </w:pPr>
      <w:bookmarkStart w:id="900891" w:name="_Toc300000890"/>
      <w:r>
        <w:t>Article 24-W.39: Technical Schedule Maintenance</w:t>
      </w:r>
      <w:bookmarkEnd w:id="900891"/>
    </w:p>
    <w:p>
      <w:pPr>
        <w:pStyle w:val="Normal"/>
      </w:pPr>
      <w:r>
        <w:t>1. Schedules 24-W-A through 24-W-E support implementation by specifying common data fields, location-confidence states, risk-methodology elements, fund windows and evidence, and a non-exhaustive technical methods menu. The Board may correct terminology, metadata, references, and non-substantive technical details under procedures approved by consensus where the change does not expand a legal obligation, create a new authority, alter liability, or diminish a safeguard. A schedule change with material legal effect requires the amendment or implementation procedure otherwise applicable under this Agreement. Every schedule version remains archived with its effective date and change record.</w:t>
      </w:r>
    </w:p>
    <w:p>
      <w:pPr>
        <w:pStyle w:val="Heading2"/>
      </w:pPr>
      <w:bookmarkStart w:id="900892" w:name="_Toc300000891"/>
      <w:r>
        <w:t>Article 24-W.40: Dispute Settlement and Savings</w:t>
      </w:r>
      <w:bookmarkEnd w:id="900892"/>
    </w:p>
    <w:p>
      <w:pPr>
        <w:pStyle w:val="Normal"/>
      </w:pPr>
      <w:r>
        <w:t>1. Disputes arising under this Annex use the Chapter 24 environmental consultation and dispute architecture, Chapter 31 dispute settlement where applicable, and any Cothrom pathway independently authorized elsewhere in this Agreement, and no new tribunal is created. Nothing in this Annex prevents a Party from maintaining or adopting more protective domestic well-safety, environmental, financial-assurance, remediation, disclosure, or liability measures consistent with its other obligations under this Agreement. Enforcement, domestic effect, private remedies, and rules of civil liability remain governed by the existing provisions of this Agreement and applicable domestic law, and this Annex does not independently alter those rules. Where this Annex interfaces with another NAESTMA mechanism, the provisions are read to give effect to both while preserving the explicit sovereignty, evidence, safety, and authority firewalls stated here.</w:t>
      </w:r>
    </w:p>
    <w:p>
      <w:pPr>
        <w:pStyle w:val="Heading2"/>
      </w:pPr>
      <w:bookmarkStart w:id="900893" w:name="_Toc300000892"/>
      <w:r>
        <w:t>SCHEDULE 24-W-A: COMMON REGISTRY RECORD</w:t>
      </w:r>
      <w:bookmarkEnd w:id="900893"/>
    </w:p>
    <w:p>
      <w:pPr>
        <w:pStyle w:val="Heading2"/>
      </w:pPr>
      <w:bookmarkStart w:id="900894" w:name="_Toc300000893"/>
      <w:r>
        <w:t>24-W-A.1: Minimum Common Record</w:t>
      </w:r>
      <w:bookmarkEnd w:id="900894"/>
    </w:p>
    <w:p>
      <w:pPr>
        <w:pStyle w:val="Normal"/>
      </w:pPr>
      <w:r>
        <w:t>1. The common Registry record supports, where available and lawful, a stable record identifier, domestic identifier and aliases, jurisdiction, well type, legal status, physical status, location, coordinate reference system, precision, location confidence, provenance, verification state, risk tier, responsible-party status, financial-assurance state, incident history, remediation state, closure evidence, monitoring state, and source-update date. A field may record unknown, unavailable, protected, not applicable, disputed, or pending verification rather than forcing an unsupported value. Domestic records remain authoritative for domestic legal classifications, and the common record identifies the source system for each imported legal status. The Board minimizes mandatory fields to those necessary for interoperability, safety, funding, verification, and aggregate reporting.</w:t>
      </w:r>
    </w:p>
    <w:p>
      <w:pPr>
        <w:pStyle w:val="Heading2"/>
      </w:pPr>
      <w:bookmarkStart w:id="900895" w:name="_Toc300000894"/>
      <w:r>
        <w:t>SCHEDULE 24-W-B: LOCATION CONFIDENCE AND VERIFICATION STATES</w:t>
      </w:r>
      <w:bookmarkEnd w:id="900895"/>
    </w:p>
    <w:p>
      <w:pPr>
        <w:pStyle w:val="Heading2"/>
      </w:pPr>
      <w:bookmarkStart w:id="900896" w:name="_Toc300000895"/>
      <w:r>
        <w:t>24-W-B.1: Location Confidence</w:t>
      </w:r>
      <w:bookmarkEnd w:id="900896"/>
    </w:p>
    <w:p>
      <w:pPr>
        <w:pStyle w:val="Normal"/>
      </w:pPr>
      <w:r>
        <w:t>1. Location Confidence 1 identifies an approximate historical or community reference insufficient for field navigation without further corroboration. Location Confidence 2 identifies a constrained probable area supported by documentary, geospatial, environmental, or other corroborating evidence. Location Confidence 3 identifies a field indication or instrument-supported location suitable for professional verification subject to recorded method limitations. Location Confidence 4 identifies coordinates accepted by the competent authority as technically verified to the precision appropriate for the site and method.</w:t>
      </w:r>
    </w:p>
    <w:p>
      <w:pPr>
        <w:pStyle w:val="Heading2"/>
      </w:pPr>
      <w:bookmarkStart w:id="900897" w:name="_Toc300000896"/>
      <w:r>
        <w:t>24-W-B.2: Verification States</w:t>
      </w:r>
      <w:bookmarkEnd w:id="900897"/>
    </w:p>
    <w:p>
      <w:pPr>
        <w:pStyle w:val="Normal"/>
      </w:pPr>
      <w:r>
        <w:t>1. Verification states distinguish unverified lead, corroborated lead, professional search underway, located, not located after documented sufficient search, inconclusive, technically characterized, domestically classified, remediation underway, closure verified, monitoring, and reopened or corrective action. A verification state describes the evidentiary process and does not replace a domestic legal status. Transitions preserve date, source, responsible body, evidence basis, and prior state. An inconclusive or not-located state may return to active investigation when new evidence or materially improved methods justify renewed search.</w:t>
      </w:r>
    </w:p>
    <w:p>
      <w:pPr>
        <w:pStyle w:val="Heading2"/>
      </w:pPr>
      <w:bookmarkStart w:id="900898" w:name="_Toc300000897"/>
      <w:r>
        <w:t>SCHEDULE 24-W-C: RISK METHODOLOGY</w:t>
      </w:r>
      <w:bookmarkEnd w:id="900898"/>
    </w:p>
    <w:p>
      <w:pPr>
        <w:pStyle w:val="Heading2"/>
      </w:pPr>
      <w:bookmarkStart w:id="900899" w:name="_Toc300000898"/>
      <w:r>
        <w:t>24-W-C.1: Risk Factors and Priority Logic</w:t>
      </w:r>
      <w:bookmarkEnd w:id="900899"/>
    </w:p>
    <w:p>
      <w:pPr>
        <w:pStyle w:val="Normal"/>
      </w:pPr>
      <w:r>
        <w:t>1. The common methodology gives dominant weight to credible acute threats to life and safety and then considers exposure, hazard magnitude, migration potential, water vulnerability, environmental sensitivity, uncertainty, deterioration, cluster effects, and technical urgency. Jurisdictions may use numeric, categorical, or hybrid domestic scoring systems if the resulting tiers remain explainable and interoperable with the functional priorities of Article 24-W.15. Uncertainty may increase investigation priority where the plausible consequence is severe, but uncertainty alone does not establish that a hazard or causal attribution is proven. The Board publishes methodology notes and example mappings without ranking Parties against one another.</w:t>
      </w:r>
    </w:p>
    <w:p>
      <w:pPr>
        <w:pStyle w:val="Heading2"/>
      </w:pPr>
      <w:bookmarkStart w:id="900900" w:name="_Toc300000899"/>
      <w:r>
        <w:t>SCHEDULE 24-W-D: FUNDING WINDOWS AND EVIDENCE</w:t>
      </w:r>
      <w:bookmarkEnd w:id="900900"/>
    </w:p>
    <w:p>
      <w:pPr>
        <w:pStyle w:val="Heading2"/>
      </w:pPr>
      <w:bookmarkStart w:id="900901" w:name="_Toc300000900"/>
      <w:r>
        <w:t>24-W-D.1: Funding Windows</w:t>
      </w:r>
      <w:bookmarkEnd w:id="900901"/>
    </w:p>
    <w:p>
      <w:pPr>
        <w:pStyle w:val="Normal"/>
      </w:pPr>
      <w:r>
        <w:t>1. Discovery and Mapping supports archival reconstruction, data reconciliation, professional surveys, community-report triage, and location verification. Acute Hazard Response supports time-sensitive protective measures and the Difficult-Well Reserve, while Plugging and Remediation and Area-Based Legacy Fields support planned physical work and associated environmental response. Monitoring and Verification supports closure evidence, post-closure observation, reintervention assessment, and data-quality correction, while Technical Capacity and Research supports validated methods, training, equipment access, and specialist capacity. Each award identifies the applicable window, milestones, evidence, domestic lead authority, payment conditions, and recovery or reallocation rules.</w:t>
      </w:r>
    </w:p>
    <w:p>
      <w:pPr>
        <w:pStyle w:val="Heading2"/>
      </w:pPr>
      <w:bookmarkStart w:id="900902" w:name="_Toc300000901"/>
      <w:r>
        <w:t>SCHEDULE 24-W-E: NON-EXHAUSTIVE TECHNICAL METHODS MENU</w:t>
      </w:r>
      <w:bookmarkEnd w:id="900902"/>
    </w:p>
    <w:p>
      <w:pPr>
        <w:pStyle w:val="Heading2"/>
      </w:pPr>
      <w:bookmarkStart w:id="900903" w:name="_Toc300000902"/>
      <w:r>
        <w:t>24-W-E.1: Discovery and Characterization Methods</w:t>
      </w:r>
      <w:bookmarkEnd w:id="900903"/>
    </w:p>
    <w:p>
      <w:pPr>
        <w:pStyle w:val="Normal"/>
      </w:pPr>
      <w:r>
        <w:t>1. Potential methods include archival and regulatory reconstruction, historical aerial imagery, modern imagery, LiDAR, magnetic and electromagnetic surveys, methane and other gas surveys, ground-penetrating radar, soil or water investigation, targeted excavation, and other validated techniques appropriate to the suspected well and site. Method selection accounts for whether steel casing remains, expected depth, terrain, access, vegetation, development, geologic conditions, interference, safety, and the failure modes of the selected technology. No listed method is mandatory at every site, and a method that cannot reliably detect the expected well construction is not treated as sufficient merely because it is listed here. The Board updates this menu as evidence and technology develop without converting commercial availability or novelty into a requirement for use.</w:t>
      </w:r>
    </w:p>
    <w:p>
      <w:pPr>
        <w:pStyle w:val="Heading1"/>
      </w:pPr>
      <w:bookmarkStart w:id="900904" w:name="_Toc300000903"/>
      <w:r>
        <w:t>CHAPTER 25 SMALL AND MEDIUM-SIZED ENTERPRISES</w:t>
      </w:r>
      <w:bookmarkEnd w:id="900904"/>
    </w:p>
    <w:p>
      <w:pPr>
        <w:pStyle w:val="Heading2"/>
      </w:pPr>
      <w:bookmarkStart w:id="900905" w:name="_Toc300000904"/>
      <w:r>
        <w:t xml:space="preserve">Article 25.1: General Principles</w:t>
      </w:r>
      <w:bookmarkEnd w:id="900905"/>
    </w:p>
    <w:p>
      <w:pPr>
        <w:pStyle w:val="Normal"/>
      </w:pPr>
      <w:r>
        <w:t xml:space="preserve">1. The Parties, recognizing the fundamental role of SMEs in maintaining dynamism and enhancing competitiveness of their respective economies, shall foster close cooperation between SMEs of the Parties and cooperate in promoting jobs and growth in SMEs. 2. The Parties recognize the integral role of the private sector in the SME cooperation to be implemented under this Chapter.</w:t>
      </w:r>
    </w:p>
    <w:p>
      <w:pPr>
        <w:pStyle w:val="Heading2"/>
      </w:pPr>
      <w:bookmarkStart w:id="900906" w:name="_Toc300000905"/>
      <w:r>
        <w:t xml:space="preserve">Article 25.2: Cooperation to Increase Trade and Investment Opportunities for SMEs</w:t>
      </w:r>
      <w:bookmarkEnd w:id="900906"/>
    </w:p>
    <w:p>
      <w:pPr>
        <w:pStyle w:val="Normal"/>
      </w:pPr>
      <w:r>
        <w:t xml:space="preserve">With a view to more robust cooperation between the Parties to enhance commercial opportunities for SMEs, and among other efforts, in the context of Memoranda of Understanding that exist between Parties on SME cooperation, each Party shall seek to increase trade and investment opportunities, and in particular shall: (a) promote cooperation between the Parties’ small business support infrastructure, including dedicated SME centers, incubators and accelerators, export assistance centers, and other centers as appropriate, to create an international network for sharing best practices, exchanging market research, and promoting SME participation in international trade, as well as business growth in local markets; (b) strengthen its collaboration with the other Parties on activities to promote SMEs owned by under-represented groups, including women, indigenous peoples, youth and minorities, as well as start-ups, agricultural and rural SMEs, and promote partnership among these SMEs and their participation in international trade;</w:t>
      </w:r>
    </w:p>
    <w:p>
      <w:pPr>
        <w:pStyle w:val="Normal"/>
      </w:pPr>
      <w:r>
        <w:t>(c) enhance its cooperation with the other Parties to exchange information and best practices in areas including improving SME access to capital and credit, SME participation in covered government procurement opportunities, and helping SMEs adapt to changing market conditions; and (d) encourage participation in platforms, such as web-based, for business entrepreneurs and</w:t>
      </w:r>
    </w:p>
    <w:p>
      <w:pPr>
        <w:pStyle w:val="Normal"/>
      </w:pPr>
      <w:r>
        <w:t>counselors to share information and best practices to help SMEs link with international suppliers, buyers, and other potential business partners.</w:t>
      </w:r>
    </w:p>
    <w:p>
      <w:pPr>
        <w:pStyle w:val="Heading2"/>
      </w:pPr>
      <w:bookmarkStart w:id="900907" w:name="_Toc300000906"/>
      <w:r>
        <w:t xml:space="preserve">Article 25.3: Information Sharing</w:t>
      </w:r>
      <w:bookmarkEnd w:id="900907"/>
    </w:p>
    <w:p>
      <w:pPr>
        <w:pStyle w:val="Normal"/>
      </w:pPr>
      <w:r>
        <w:t xml:space="preserve">1. Each Party shall establish or maintain its own free, publicly accessible website containing information regarding this Agreement, including: (a) the text of this Agreement; (b) a summary of this Agreement; and (c) information designed for SMEs that contains: (i) a description of the provisions in this Agreement that the Party considers to be relevant to SMEs; and (ii) any additional information that would be useful for SMEs interested in benefitting from the opportunities provided by this Agreement. 2. Each Party shall include in its website links or information through automated electronic transfer to: (a) the equivalent websites of the other Parties; and (b) the websites of its own government agencies and other appropriate entities that provide information the Party considers useful to any person interested in trading, investing, or doing business in that Party’s territory. 3.</w:t>
      </w:r>
    </w:p>
    <w:p>
      <w:pPr>
        <w:pStyle w:val="Normal"/>
      </w:pPr>
      <w:r>
        <w:t>The information described in paragraph 2(b) may include: (a) customs regulations, procedures, or enquiry points; (b) regulations or procedures concerning intellectual property rights; (c) technical regulations, standards, or conformity assessment procedures; (d) sanitary or phytosanitary measures relating to importation or exportation; (e) foreign investment regulations; (f) business registration procedures; (g) trade promotion programs; (h) competitiveness programs; (i) SME financing programs; (j) employment regulations; (k) taxation information; (l) information related to the temporary entry of business persons, as set out in Article 16.5 (Provision of Information); and (m) government procurement opportunities within the scope of Article 13.2 (Scope). 4. Each Party shall regularly review the information and links on the website referred to in paragraphs 1 and 2 to ensure the information and links are up-to-date and accurate. 5. To the extent possible, each Party shall make the information in this Article available in English. If this information is available in another authentic language of this Agreement, the Party shall endeavor to make this information available, as appropriate.</w:t>
      </w:r>
    </w:p>
    <w:p>
      <w:pPr>
        <w:pStyle w:val="Heading2"/>
      </w:pPr>
      <w:bookmarkStart w:id="900908" w:name="_Toc300000907"/>
      <w:r>
        <w:t xml:space="preserve">Article 25.4: Committee on SME Issues</w:t>
      </w:r>
      <w:bookmarkEnd w:id="900908"/>
    </w:p>
    <w:p>
      <w:pPr>
        <w:pStyle w:val="Normal"/>
      </w:pPr>
      <w:r>
        <w:t xml:space="preserve">1. The Parties hereby establish the Committee on SME Issues (SME Committee), comprising government representatives of each Party. 2. The SME Committee shall: (a) identify ways to assist SMEs in the Parties’ territories to take advantage of the commercial opportunities resulting from this Agreement and to strengthen SME competitiveness; (b) identify and recommend ways for further cooperation between the Parties to develop and enhance partnerships between SMEs of the Parties; (c) exchange and discuss each Party’s experiences and best practices in supporting and assisting SME exporters with respect to, among other things, training programs, trade education, trade finance, trade missions, trade facilitation, digital trade, identifying commercial partners in the territories of the Parties, and establishing good business credentials; (d) develop and promote seminars, workshops, webinars, or other activities to inform SMEs of the benefits available to them under this Agreement; (e) explore opportunities to facilitate each Party’s work in developing and enhancing SME export counseling, assistance, and training programs;</w:t>
      </w:r>
    </w:p>
    <w:p>
      <w:pPr>
        <w:pStyle w:val="Normal"/>
      </w:pPr>
      <w:r>
        <w:t>(f) recommend additional information that a Party may include on the website referred to in Article 25.3 (Information Sharing); (g) review and coordinate its work program with the work of other committees, working groups, and other subsidiary bodies established under this Agreement, as well as of other relevant international</w:t>
      </w:r>
    </w:p>
    <w:p>
      <w:pPr>
        <w:pStyle w:val="Normal"/>
      </w:pPr>
      <w:r>
        <w:t>bodies, to avoid duplication of work programs and to identify appropriate opportunities for cooperation to improve the ability of SMEs to engage in trade and investment opportunities resulting from this Agreement; (h) collaborate with and encourage committees, working groups and other subsidiary bodies established under this Agreement to consider SME-related commitments and activities into their work; (i) review the implementation and operation of this Chapter and SME-related provisions within this Agreement and report findings and make recommendations to the Commission that can be included in future work and SME assistance programs as appropriate; (j) facilitate the development of programs to assist SMEs to participate and integrate effectively into the Parties’ regional and global supply chains; (k) promote the participation of SMEs in digital trade in order to take advantage of the opportunities resulting from this Agreement and rapidly access new markets; (l) facilitate the exchange of information on entrepreneurship education programs for youth and under-represented groups to promote the entrepreneurial environment in the territories of the Parties;</w:t>
      </w:r>
    </w:p>
    <w:p>
      <w:pPr>
        <w:pStyle w:val="Normal"/>
      </w:pPr>
      <w:r>
        <w:t>(m) submit on an annual basis, unless the Parties decide otherwise, a report of its activities and make appropriate recommendations to the Commission; and (n) consider any other matter pertaining to SMEs as the SME Committee may decide, including issues raised by SMEs regarding their ability to benefit from this Agreement.</w:t>
      </w:r>
    </w:p>
    <w:p>
      <w:pPr>
        <w:pStyle w:val="Normal"/>
      </w:pPr>
      <w:r>
        <w:t>3. The SME Committee shall convene within one year after the date of entry into force of this Agreement and thereafter meet annually, unless the Parties decide otherwise. 4. The SME Committee may seek to collaborate with appropriate experts and international donor organizations in carrying out its programs and activities.</w:t>
      </w:r>
    </w:p>
    <w:p>
      <w:pPr>
        <w:pStyle w:val="Heading2"/>
      </w:pPr>
      <w:bookmarkStart w:id="900909" w:name="_Toc300000908"/>
      <w:r>
        <w:t xml:space="preserve">Article 25.5: SME Dialogue</w:t>
      </w:r>
      <w:bookmarkEnd w:id="900909"/>
    </w:p>
    <w:p>
      <w:pPr>
        <w:pStyle w:val="Normal"/>
      </w:pPr>
      <w:r>
        <w:t xml:space="preserve">1. The SME Committee shall convene a Trilateral SME Dialogue (the “SME Dialogue”). The SME Dialogue may include private sector, employees, non-government organizations, academic experts, SMEs owned by diverse and under-represented groups, and other stakeholders from each Party. 2. The SME Committee shall convene the SME Dialogue annually, unless it decides otherwise. 3. SME Dialogue participants may provide views to the Committee on any matter within the scope of this Agreement and on the implementation and further modernization of this Agreement. 4. SME Dialogue participants may provide relevant technical, scientific, or other information to the Committee.</w:t>
      </w:r>
    </w:p>
    <w:p>
      <w:pPr>
        <w:pStyle w:val="Heading2"/>
      </w:pPr>
      <w:bookmarkStart w:id="900910" w:name="_Toc300000909"/>
      <w:r>
        <w:t xml:space="preserve">Article 25.6: Obligations in the Agreement that Benefit SMEs</w:t>
      </w:r>
      <w:bookmarkEnd w:id="900910"/>
    </w:p>
    <w:p>
      <w:pPr>
        <w:pStyle w:val="Normal"/>
      </w:pPr>
      <w:r>
        <w:t xml:space="preserve">The Parties recognize that in addition to the provisions in this Chapter, there are provisions in other Chapters of this Agreement that seek to enhance cooperation among the Parties on SME issues or that otherwise may be of particular benefit to SMEs. These include: (a) Origin Procedures: Article 5.18 (Committee on Rules of Origin and Origin Procedures); (b) Government Procurement: Article 13.17 (Ensuring Integrity in Procurement Practices); Article 13.20 (Facilitation of Participation by SMEs), and Article 13.21 (Committee on Government Procurement); (c) Cross-Border Trade in Services: Article 15.10 (Small and Medium-Sized Enterprises); (d) Digital Trade: Article 19.17 (Interactive Computer Services); Article 19.18 (Open Government Data); (e) Intellectual Property: Article 20.B.3 (Committee on Intellectual Property Rights); (f) Labor: Article 23.12 (Cooperation); (g) Environment: Article 24.17 (Marine Wild Capture Fisheries); (h) Competitiveness: Article 26.1 (North American Competitiveness Committee); (i) Anticorruption: Article 27.5 (Participation of Private Sector and Society); and (j) Good Regulatory Practices: Article 28.4 (Internal Consultation, Coordination, and Review), Article 28.11 (Regulatory Impact Assessment), and Article 28.13 (Retrospective Review).</w:t>
      </w:r>
    </w:p>
    <w:p>
      <w:pPr>
        <w:pStyle w:val="Heading2"/>
      </w:pPr>
      <w:bookmarkStart w:id="900911" w:name="_Toc300000910"/>
      <w:r>
        <w:t xml:space="preserve">Article 25.7: Non-Application of Dispute Settlement</w:t>
      </w:r>
      <w:bookmarkEnd w:id="900911"/>
    </w:p>
    <w:p>
      <w:pPr>
        <w:pStyle w:val="Normal"/>
      </w:pPr>
      <w:r>
        <w:t xml:space="preserve">No Party shall have recourse to dispute settlement under Chapter 31 (Dispute Settlement) for any matter arising under this Chapter.</w:t>
      </w:r>
    </w:p>
    <w:p>
      <w:pPr>
        <w:pStyle w:val="Heading1"/>
      </w:pPr>
      <w:bookmarkStart w:id="900912" w:name="_Toc300000911"/>
      <w:r>
        <w:t>CHAPTER 26 COMPETITIVENESS</w:t>
      </w:r>
      <w:bookmarkEnd w:id="900912"/>
    </w:p>
    <w:p>
      <w:pPr>
        <w:pStyle w:val="Heading2"/>
      </w:pPr>
      <w:bookmarkStart w:id="900913" w:name="_Toc300000912"/>
      <w:r>
        <w:t xml:space="preserve">Article 26.1: North American Competitiveness Committee</w:t>
      </w:r>
      <w:bookmarkEnd w:id="900913"/>
    </w:p>
    <w:p>
      <w:pPr>
        <w:pStyle w:val="Normal"/>
      </w:pPr>
      <w:r>
        <w:t xml:space="preserve">1. Recognizing their unique economic and commercial ties, close proximity, and extensive trade flows across their borders, the Parties affirm their shared interest in strengthening regional economic growth, prosperity, and competitiveness. 2. With a view to promoting further economic integration among the Parties and enhancing the competitiveness of North American exports, the Parties hereby establish a North American Competitiveness Committee (Competitiveness Committee), composed of government representatives of each Party. 3. Each Party shall designate a contact point for the Competitiveness Committee, notify the other Parties of the contact point, and promptly notify the other Parties of any subsequent changes. Recognizing the need for a comprehensive and coordinated approach to enhance North American competitiveness, each Party’s contact point shall coordinate with its relevant government departments and agencies. 4. The Competitiveness Committee shall discuss and develop cooperative activities in support of a strong economic environment that incentivizes production in North America, facilitates regional trade and investment, enhances a predictable and transparent regulatory environment, encourages the swift movement of goods and the provision of services throughout the region, and responds to market developments and emerging technologies. 5.</w:t>
      </w:r>
    </w:p>
    <w:p>
      <w:pPr>
        <w:pStyle w:val="Normal"/>
      </w:pPr>
      <w:r>
        <w:t>The Competitiveness Committee shall: (a) discuss effective approaches and develop information-sharing activities to support a competitive environment in North America that facilitates trade and investment between the Parties, and promotes economic integration and development within the free trade area; (b) explore ways to further assist traders of a Party to identify and take advantage of trade opportunities under this Agreement; (c) provide advice and recommendations, as appropriate, to the Commission on ways to further enhance the competitiveness of the North American economy, including recommendations aimed at enhancing the participation of SMEs, and enterprises owned by under-represented groups including women, indigenous peoples, youth, and minorities; (d) identify priority projects and policies to develop a modern physical and digital trade- and investment-related infrastructure, and improve the movement of goods and provision of services within the free trade area; (e) discuss collective action to combat market-distorting practices by non-Parties that are affecting the North American region; (f) promote cooperative activities for trade and investment between the Parties with respect to innovation and technology, including best practices in their application; and (g) engage in other activities as the Parties may decide. 6.</w:t>
      </w:r>
    </w:p>
    <w:p>
      <w:pPr>
        <w:pStyle w:val="Normal"/>
      </w:pPr>
      <w:r>
        <w:t>The Competitiveness Committee shall meet within one year of the date of entry into force of this Agreement, and annually thereafter, unless the Parties decide otherwise. 7. The Competitiveness Committee shall develop a work plan to carry out its functions under paragraphs 4 and 5. The Committee shall submit a report to the Commission with the results that have been achieved under the work plan together with any advice and recommendations, if appropriate, on ways to further enhance the competitiveness of the North American economy. Each Party shall publish the work plan and report of the Committee. The Parties shall undertake the above activities on an annual basis, unless the Parties decide otherwise. 8. In carrying out its functions, the Committee may work with other committees, working groups, and any other subsidiary body established under this Agreement. The Committee may also seek advice from, and consider the work of, appropriate experts. The Committee shall ensure that it does not duplicate the activities of these other bodies.</w:t>
      </w:r>
    </w:p>
    <w:p>
      <w:pPr>
        <w:pStyle w:val="Heading2"/>
      </w:pPr>
      <w:bookmarkStart w:id="900914" w:name="_Toc300000913"/>
      <w:r>
        <w:t xml:space="preserve">Article 26.2: Engagement with Interested Persons</w:t>
      </w:r>
      <w:bookmarkEnd w:id="900914"/>
    </w:p>
    <w:p>
      <w:pPr>
        <w:pStyle w:val="Normal"/>
      </w:pPr>
      <w:r>
        <w:t xml:space="preserve">Each Party shall establish or maintain an appropriate mechanism to provide regular and timely opportunities for interested persons to provide input on matters relevant to enhancing competitiveness.</w:t>
      </w:r>
    </w:p>
    <w:p>
      <w:pPr>
        <w:pStyle w:val="Heading2"/>
      </w:pPr>
      <w:bookmarkStart w:id="900915" w:name="_Toc300000914"/>
      <w:r>
        <w:t xml:space="preserve">Article 26.3: Non-Application of Dispute Settlement</w:t>
      </w:r>
      <w:bookmarkEnd w:id="900915"/>
    </w:p>
    <w:p>
      <w:pPr>
        <w:pStyle w:val="Normal"/>
      </w:pPr>
      <w:r>
        <w:t xml:space="preserve">No Party shall have recourse to dispute settlement under Chapter 31 (Dispute Settlement) for a matter arising under this Chapter.</w:t>
      </w:r>
    </w:p>
    <w:p>
      <w:pPr>
        <w:pStyle w:val="ModHeading"/>
      </w:pPr>
      <w:bookmarkStart w:id="900916" w:name="_Toc300000915"/>
      <w:r>
        <w:t>CHAPTER 26: CUSMA 2.0 MODERNIZATION PROVISIONS</w:t>
      </w:r>
      <w:bookmarkEnd w:id="900916"/>
    </w:p>
    <w:p>
      <w:pPr>
        <w:pStyle w:val="Normal"/>
      </w:pPr>
      <w:r>
        <w:rPr>
          <w:i/>
        </w:rPr>
        <w:t>The provisions of this Part amend Chapter 26 (Competitiveness).</w:t>
      </w:r>
    </w:p>
    <w:p>
      <w:pPr>
        <w:pStyle w:val="Heading2"/>
      </w:pPr>
      <w:bookmarkStart w:id="900917" w:name="_Toc300000916"/>
      <w:r>
        <w:t>Article 26.A: Expanded Mandate of the Committee on Competitiveness</w:t>
      </w:r>
      <w:bookmarkEnd w:id="900917"/>
    </w:p>
    <w:p>
      <w:pPr>
        <w:pStyle w:val="Normal"/>
      </w:pPr>
      <w:r>
        <w:t>1. Article 26.1 (Committee on Competitiveness) is supplemented as follows: the Committee’s mandate includes, in addition to its existing functions:</w:t>
      </w:r>
    </w:p>
    <w:p>
      <w:pPr>
        <w:pStyle w:val="Normal"/>
      </w:pPr>
      <w:r>
        <w:t>(a) North American supply chain resilience, including the functions assigned under Chapter 36;</w:t>
      </w:r>
    </w:p>
    <w:p>
      <w:pPr>
        <w:pStyle w:val="Normal"/>
      </w:pPr>
      <w:r>
        <w:t>(b) economic security cooperation under Chapter 36;</w:t>
      </w:r>
    </w:p>
    <w:p>
      <w:pPr>
        <w:pStyle w:val="Normal"/>
      </w:pPr>
      <w:r>
        <w:t>(c) coordination concerning emerging technologies, in liaison with the Committee on Digital Trade Cooperation and the Advanced Technology Annex process under Article 39.5;</w:t>
      </w:r>
    </w:p>
    <w:p>
      <w:pPr>
        <w:pStyle w:val="Normal"/>
      </w:pPr>
      <w:r>
        <w:t>(d) periodic assessment of North American competitiveness, including infrastructure and trade-corridor performance, regulatory fragmentation, and workforce availability; and</w:t>
      </w:r>
    </w:p>
    <w:p>
      <w:pPr>
        <w:pStyle w:val="Normal"/>
      </w:pPr>
      <w:r>
        <w:t>(e) receipt of stakeholder input through the formal consultation channels in Article 26.B.</w:t>
      </w:r>
    </w:p>
    <w:p>
      <w:pPr>
        <w:pStyle w:val="Heading2"/>
      </w:pPr>
      <w:bookmarkStart w:id="900918" w:name="_Toc300000917"/>
      <w:r>
        <w:t>Article 26.B: Economic Security and Supply Chain Resilience Subcommittee; Stakeholder Channels</w:t>
      </w:r>
      <w:bookmarkEnd w:id="900918"/>
    </w:p>
    <w:p>
      <w:pPr>
        <w:pStyle w:val="Normal"/>
      </w:pPr>
      <w:r>
        <w:t>1. The Committee on Competitiveness shall establish and maintain the Economic Security and Supply Chain Resilience Subcommittee under Article 36.3.</w:t>
      </w:r>
    </w:p>
    <w:p>
      <w:pPr>
        <w:pStyle w:val="Normal"/>
      </w:pPr>
      <w:r>
        <w:t>2. The Committee shall maintain standing, predictable channels for input from business, labour, Indigenous peoples, small and medium-sized enterprises, and agricultural stakeholders, including: (a) an annual public consultation; (b) a standing electronic submission portal; and (c) consideration of stakeholder-submitted implementation problems at its next meeting, with a published response or disposition.</w:t>
      </w:r>
    </w:p>
    <w:p>
      <w:pPr>
        <w:pStyle w:val="Heading2"/>
      </w:pPr>
      <w:bookmarkStart w:id="900919" w:name="_Toc300000918"/>
      <w:r>
        <w:t>Article 26.C: Infrastructure and Trade-Corridor Coordination</w:t>
      </w:r>
      <w:bookmarkEnd w:id="900919"/>
    </w:p>
    <w:p>
      <w:pPr>
        <w:pStyle w:val="Normal"/>
      </w:pPr>
      <w:r>
        <w:t>1. The Committee shall maintain trilateral coordination concerning ports of entry, border bridges, rail, highways, pipelines, and transmission corridors of continental significance, including: (a) a shared register of critical corridors under Article 38.3; (b) advance notification and consultation concerning measures likely to impair a registered corridor; and (c) facilitation of coordinated investment planning, without prejudice to each Party’s domestic approval processes.</w:t>
      </w:r>
    </w:p>
    <w:p>
      <w:pPr>
        <w:pStyle w:val="Normal"/>
      </w:pPr>
      <w:r>
        <w:t>2. No Party shall impede the opening or operation of a completed, jointly authorized cross-border infrastructure facility as leverage in a trade matter. A measure doing so is reviewable under Chapter 31.</w:t>
      </w:r>
    </w:p>
    <w:p>
      <w:pPr>
        <w:pStyle w:val="Heading1"/>
      </w:pPr>
      <w:bookmarkStart w:id="900920" w:name="_Toc300000919"/>
      <w:r>
        <w:t>CHAPTER 27 ANTICORRUPTION</w:t>
      </w:r>
      <w:bookmarkEnd w:id="900920"/>
    </w:p>
    <w:p>
      <w:pPr>
        <w:pStyle w:val="Heading2"/>
      </w:pPr>
      <w:bookmarkStart w:id="900921" w:name="_Toc300000920"/>
      <w:r>
        <w:t xml:space="preserve">Article 27.1: Definitions</w:t>
      </w:r>
      <w:bookmarkEnd w:id="900921"/>
    </w:p>
    <w:p>
      <w:pPr>
        <w:pStyle w:val="Normal"/>
      </w:pPr>
      <w:r>
        <w:t xml:space="preserve">For the purposes of this Chapter: act or refrain from acting in relation to the performance of official duties includes any use of the public official’s position, whether or not within the official’s authorized competence; foreign public official means an individual holding a legislative, executive, administrative or judicial office of a foreign country, at any level of government, whether appointed or elected, permanent or temporary, paid or unpaid, and irrespective of that person’s seniority; and an individual exercising a public function for a foreign country, at any level of government, including for a public agency or public enterprise; IACAC means the existing Inter-American Convention Against Corruption, done at Caracas, Venezuela, on March 29, 1996;</w:t>
      </w:r>
    </w:p>
    <w:p>
      <w:pPr>
        <w:pStyle w:val="Normal"/>
      </w:pPr>
      <w:r>
        <w:t>OECD Convention means the existing Convention on Combating Bribery of Foreign Public Officials in International Business Transactions, done at Paris, France, on December 17, 1997; official of a public international organization means an international civil servant or an individual authorized by a public international organization to act on its behalf; public enterprise means an enterprise over which a government or governments may, directly or indirectly, exercise a dominant influence;1 public official means an individual: (a) holding a legislative, executive, administrative, or judicial office of a Party, whether appointed or elected, permanent or temporary, paid or unpaid, and irrespective of</w:t>
      </w:r>
    </w:p>
    <w:p>
      <w:pPr>
        <w:pStyle w:val="Normal"/>
      </w:pPr>
      <w:r>
        <w:t>that person’s seniority; (b) who performs a public function for a Party, including for a public agency or public enterprise, or provides a public service, as defined under that Party’s law and as applied in the pertinent area of that Party’s law; or Dominant influence for purposes of this definition shall be deemed to exist, inter alia, if the government or governments hold the majority of the enterprise’s subscribed capital, control the majority of votes attaching to shares issued by the enterprise, or can appoint a majority of the members of the enterprise’s administrative or managerial body or supervisory board. (c) defined as a public official under a Party’s law; and UNCAC means the existing United Nations Convention against Corruption, done at New York, United States, on October 31, 2003.</w:t>
      </w:r>
    </w:p>
    <w:p>
      <w:pPr>
        <w:pStyle w:val="Heading2"/>
      </w:pPr>
      <w:bookmarkStart w:id="900922" w:name="_Toc300000921"/>
      <w:r>
        <w:t xml:space="preserve">Article 27.2: Scope</w:t>
      </w:r>
      <w:bookmarkEnd w:id="900922"/>
    </w:p>
    <w:p>
      <w:pPr>
        <w:pStyle w:val="Normal"/>
      </w:pPr>
      <w:r>
        <w:t xml:space="preserve">1. This Chapter applies to measures to prevent and combat bribery and corruption relating to any matter covered by this Agreement.2 2. The Parties affirm their resolve to prevent and combat bribery and corruption in international trade and investment. Recognizing the need to build integrity within both the public and private sectors and that each sector has complementary responsibilities in this regard, the Parties affirm their adherence to the OECD Convention, with its Annex; the IACAC; and the UNCAC. 3. The Parties reiterate their support for the principles contained in documents developed by APEC and G-20 anticorruption fora aimed at preventing and combating corruption and endorsed by leaders or relevant ministers, including the G20 High Level Principles on Organizing against Corruption; G20 High Level Principles on Corruption and Growth; G20 Guiding Principles on Enforcement of the Foreign Bribery Offence (2013); G20 Guiding Principles to Combat Solicitation; G20 High Level Principles on the Liability of Legal Persons for Corruption; APEC Conduct Principles for Public Officials; and the APEC Principles on the Prevention of Bribery and Enforcement of Anti-Bribery Laws. 4.</w:t>
      </w:r>
    </w:p>
    <w:p>
      <w:pPr>
        <w:pStyle w:val="Normal"/>
      </w:pPr>
      <w:r>
        <w:t>The Parties also reiterate their support for, and encourage awareness among their private sectors of, available anticorruption compliance guidance including the APEC Code of Conduct for Business: Business Integrity and Transparency Principles for the Private Sector; APEC General Elements of Effective Voluntary Corporate Compliance Programs; and G20 High Level Principles on Private Sector Transparency and Integrity. 5. The Parties recognize that the description of offenses adopted or maintained in accordance with this Chapter, and of the applicable legal defenses or legal principles controlling the lawfulness of conduct, is reserved to each Party’s law, and that those offenses shall be prosecuted and punished in accordance with each Party’s law. 2 For the United States, this Chapter does not apply to conduct outside the jurisdiction of federal criminal law and, to the extent that an obligation involves preventive measures, shall apply only to those measures covered by federal law governing federal, state, and local officials.</w:t>
      </w:r>
    </w:p>
    <w:p>
      <w:pPr>
        <w:pStyle w:val="Heading2"/>
      </w:pPr>
      <w:bookmarkStart w:id="900923" w:name="_Toc300000922"/>
      <w:r>
        <w:t xml:space="preserve">Article 27.3: Measures to Combat Corruption</w:t>
      </w:r>
      <w:bookmarkEnd w:id="900923"/>
    </w:p>
    <w:p>
      <w:pPr>
        <w:pStyle w:val="Normal"/>
      </w:pPr>
      <w:r>
        <w:t xml:space="preserve">1. Each Party shall adopt or maintain legislative and other measures as may be necessary to establish as criminal offenses under its law, in matters that affect international trade or investment, when committed intentionally, by a person subject to its jurisdiction: (a) the promise, offering, or giving to a public official, directly or indirectly, of an undue advantage for the official or another person or entity, in order that the official act or refrain from acting in relation to the performance of or the exercise of their official duties; (b) the solicitation or acceptance by a public official, directly or indirectly, of an undue advantage for the official or another person or entity, in order that the official act or refrain from acting in relation to the performance of or the exercise of their official duties;</w:t>
      </w:r>
    </w:p>
    <w:p>
      <w:pPr>
        <w:pStyle w:val="Normal"/>
      </w:pPr>
      <w:r>
        <w:t>(c) the promise, offering, or giving to a foreign public official or an official of a public international organization, directly or indirectly, of an undue advantage for the official or another person or entity, in order that the official act or refrain from acting in relation to the performance of or the exercise of their official duties, in order to obtain or retain business or other undue advantage in relation to the conduct of international business; and (d) the aiding or abetting, or conspiracy in the commission of any of the offenses described in subparagraphs (a) through (c). 2.</w:t>
      </w:r>
    </w:p>
    <w:p>
      <w:pPr>
        <w:pStyle w:val="Normal"/>
      </w:pPr>
      <w:r>
        <w:t>Each Party shall adopt or maintain legislative and other measures as may be necessary to establish as a criminal offense under its law, in matters that affect international trade or investment, when committed intentionally, by a person subject to its jurisdiction, the embezzlement, misappropriation or another diversion3 by a public official for their benefit or for the benefit of another person or entity, of property, public or private funds or securities, or any other thing of value entrusted to the public official by virtue of their position. 3. Each Party shall make the commission of an offense described in paragraph 1, 2, or 6 liable to sanctions that take into account the gravity of that offense. 4. Each Party shall adopt or maintain measures as may be necessary, consistent with its legal principles, to establish the liability of legal persons for offenses described in paragraph 1 or 6. 5. Each Party shall disallow the tax deductibility of bribes and, if appropriate, other expenses considered illegal by the Party incurred in furtherance of that conduct. 3 For Canada, “diversion” means embezzlement or misappropriation that constitute the criminal offenses of theft or fraud under Canadian law. 6.</w:t>
      </w:r>
    </w:p>
    <w:p>
      <w:pPr>
        <w:pStyle w:val="Normal"/>
      </w:pPr>
      <w:r>
        <w:t>In order to prevent corruption, each Party shall adopt or maintain measures as may be necessary in accordance with its laws and regulations, regarding the maintenance of books and records, financial statement disclosures, and accounting and auditing standards, to prohibit the following acts carried out for the purpose of committing the offenses described in paragraph 1: (a) the establishment of off-the-books accounts; (b) the making of off-the-books or inadequately identified transactions; (c) the recording of non-existent expenditure; (d) the entry of liabilities with incorrect identification of their objects; (e) the use of false documents; and (f) the intentional destruction of bookkeeping documents earlier than foreseen by the law.4 7. Each Party shall adopt or maintain measures considered appropriate by the Party to protect against unjustified treatment a person who, in good faith and on reasonable grounds, reports to the competent authorities facts concerning offenses described in paragraph 1, 2, or 6.5 8. The Parties recognize the harmful effects of facilitation payments.</w:t>
      </w:r>
    </w:p>
    <w:p>
      <w:pPr>
        <w:pStyle w:val="Normal"/>
      </w:pPr>
      <w:r>
        <w:t>Each Party shall, in accordance with its laws and regulations: (a) encourage enterprises to prohibit or discourage the use of facilitation payments; and (b) take steps to raise awareness among its public officials of its bribery laws, with a view to stopping the solicitation and the acceptance of facilitation payments.6 4 For the United States, this paragraph applies only to issuers that have a class of securities registered pursuant to 15 U.S.C. 78l or that are otherwise required to file reports pursuant to 15 U.S.C. 78o (d). 5 For Mexico and the United States, this paragraph applies only at the central level of government. For Canada, this paragraph applies to measures within the scope of the Public Servants Disclosure Protection Act, S.C. 2005, c.46, as amended. 6 For Canada, this subparagraph applies to measures within the scope of the Public Servants Disclosure Protection Act, S.C. 2005, c.46, as amended.</w:t>
      </w:r>
    </w:p>
    <w:p>
      <w:pPr>
        <w:pStyle w:val="Heading2"/>
      </w:pPr>
      <w:bookmarkStart w:id="900924" w:name="_Toc300000923"/>
      <w:r>
        <w:t xml:space="preserve">Article 27.4: Promoting Integrity among Public Officials</w:t>
      </w:r>
      <w:r>
        <w:rPr>
          <w:vertAlign w:val="superscript"/>
        </w:rPr>
        <w:t xml:space="preserve">7</w:t>
      </w:r>
      <w:bookmarkEnd w:id="900924"/>
    </w:p>
    <w:p>
      <w:pPr>
        <w:pStyle w:val="Normal"/>
      </w:pPr>
      <w:r>
        <w:t xml:space="preserve">1. To fight corruption in matters that affect trade and investment, each Party should promote, among other things, integrity, honesty and responsibility among its public officials. To this end, each Party shall, in accordance with the fundamental principles of its legal system, adopt or maintain: (a) measures to provide adequate procedures for the selection and training of individuals for public positions considered by the Party to be especially vulnerable to corruption; (b) measures to promote transparency in the behavior of public officials in the exercise of public functions; (c) appropriate policies and procedures to identify and manage actual or potential conflicts of interest of public officials;</w:t>
      </w:r>
    </w:p>
    <w:p>
      <w:pPr>
        <w:pStyle w:val="Normal"/>
      </w:pPr>
      <w:r>
        <w:t>(d) measures that require senior public officials, and other public officials as considered appropriate by the Party, to make declarations to appropriate authorities regarding, among other things, their outside activities, employment, investments, assets, and substantial gifts or benefits from which a conflict of interest may result with respect to their functions as public officials; and (e) measures to facilitate reporting by public officials of any facts concerning offenses described in Article 27.3.1, 27.3.2, or 27.3.6 (Measures to Combat Corruption) to appropriate authorities, if those facts come to their notice in the performance of their functions. 2.</w:t>
      </w:r>
    </w:p>
    <w:p>
      <w:pPr>
        <w:pStyle w:val="Normal"/>
      </w:pPr>
      <w:r>
        <w:t>Each Party shall adopt or maintain codes or standards of conduct for the correct, honorable and proper performance of public functions, and measures providing for disciplinary or other measures, if warranted, against a public official who violates the codes or standards established in accordance with this paragraph. 3. Each Party shall, to the extent consistent with the fundamental principles of its legal system, establish procedures through which a public official accused of an offense described in Article 27.3.1 (Measures to Combat Corruption) may, as considered appropriate by that Party, be removed, suspended, or reassigned by the appropriate authority, bearing in mind respect for the principle of the presumption of innocence. 4. Each Party shall, in accordance with the fundamental principles of its legal system and without prejudice to judicial independence, adopt or maintain measures to strengthen integrity, 7 For Mexico and the United States, this article applies only at the central level of government. For Canada, this article applies to measures within the scope of the Public Servants Disclosure Protection Act, S.C.</w:t>
      </w:r>
    </w:p>
    <w:p>
      <w:pPr>
        <w:pStyle w:val="Normal"/>
      </w:pPr>
      <w:r>
        <w:t>2005, c.46, as amended. and to prevent opportunities for corruption, among members of the judiciary in matters that affect international trade or investment. These measures may include rules with respect to the conduct of members of the judiciary.</w:t>
      </w:r>
    </w:p>
    <w:p>
      <w:pPr>
        <w:pStyle w:val="Heading2"/>
      </w:pPr>
      <w:bookmarkStart w:id="900925" w:name="_Toc300000924"/>
      <w:r>
        <w:t xml:space="preserve">Article 27.5: Participation of Private Sector and Society</w:t>
      </w:r>
      <w:bookmarkEnd w:id="900925"/>
    </w:p>
    <w:p>
      <w:pPr>
        <w:pStyle w:val="Normal"/>
      </w:pPr>
      <w:r>
        <w:t xml:space="preserve">1. Each Party shall take appropriate measures, within its means and in accordance with fundamental principles of its legal system, to promote the active participation of individuals and groups outside the public sector, such as enterprises, civil society, non-governmental organizations, and community-based organizations, in preventing and combatting corruption in matters affecting international trade or investment, and to raise public awareness regarding the existence, causes, and gravity of corruption, and the threat posed by it. To this end, a Party may, for example: (a) undertake public information activities and public education programs that contribute to non-tolerance of corruption; (b) adopt or maintain measures to encourage professional associations and other non governmental organizations, if appropriate, in their efforts to encourage and assist enterprises, in particular SMEs, in developing internal controls, ethics and compliance programs or measures for preventing and detecting bribery and corruption in international trade and investment;</w:t>
      </w:r>
    </w:p>
    <w:p>
      <w:pPr>
        <w:pStyle w:val="Normal"/>
      </w:pPr>
      <w:r>
        <w:t>(c) adopt or maintain measures to encourage company management to make statements in their annual reports or otherwise publicly disclose their internal controls, ethics and compliance programs or measures, including those that contribute to preventing and detecting bribery and corruption in international trade and investment; or (d) adopt or maintain measures that</w:t>
      </w:r>
    </w:p>
    <w:p>
      <w:pPr>
        <w:pStyle w:val="Normal"/>
      </w:pPr>
      <w:r>
        <w:t>respect, promote, and protect the freedom to seek, receive, publish, and disseminate information concerning corruption. 2. Each Party shall endeavor to encourage private enterprises, taking into account their structure and size, to: (a) adopt or maintain sufficient internal auditing controls to assist in preventing and detecting offenses described in Article 27.3.1 or 27.3.6 (Measures to Combat Corruption); and (b) ensure that their accounts and required financial statements are subject to appropriate auditing and certification procedures. 3. Each Party shall take appropriate measures to ensure that its relevant anticorruption bodies are known to the public and shall provide access to those bodies, if appropriate, for the reporting, including anonymously, of an incident that may be considered to constitute an offense described in Article 27.3.1 (Measures to Combat Corruption). 4. The Parties recognize the benefits of internal compliance programs in enterprises to combat corruption. In this regard, each Party shall encourage enterprises, taking into account their size, legal structure, and the sectors in which they operate, to establish compliance programs for the purpose of preventing and detecting offenses described in Article 27.3.1 or 27.3.6 (Measures to Combat Corruption).</w:t>
      </w:r>
    </w:p>
    <w:p>
      <w:pPr>
        <w:pStyle w:val="Heading2"/>
      </w:pPr>
      <w:bookmarkStart w:id="900926" w:name="_Toc300000925"/>
      <w:r>
        <w:t xml:space="preserve">Article 27.6: Application and Enforcement of Anticorruption Laws</w:t>
      </w:r>
      <w:bookmarkEnd w:id="900926"/>
    </w:p>
    <w:p>
      <w:pPr>
        <w:pStyle w:val="Normal"/>
      </w:pPr>
      <w:r>
        <w:t xml:space="preserve">1. In accordance with the fundamental principles of its legal system, no Party shall fail to effectively enforce its laws or other measures adopted or maintained to comply with Article 27.3 (Measures to Combat Corruption) through a sustained or recurring course of action or inaction, after the date of entry into force of this Agreement as an encouragement for trade and investment.8 2. In accordance with the fundamental principles of its legal system, each Party retains the right for its law enforcement, prosecutorial, and judicial authorities to exercise their discretion with respect to the enforcement of its anticorruption laws. Each Party retains the right to take bona fide decisions with regard to the allocation of its resources. 3. The Parties affirm their commitments under applicable international agreements or arrangements to cooperate with each other, consistent with their respective legal and administrative systems, to enhance the effectiveness of law enforcement actions to combat the offenses described in Article 27.3 (Measures to Combat Corruption).</w:t>
      </w:r>
    </w:p>
    <w:p>
      <w:pPr>
        <w:pStyle w:val="Heading2"/>
      </w:pPr>
      <w:bookmarkStart w:id="900927" w:name="_Toc300000926"/>
      <w:r>
        <w:t xml:space="preserve">Article 27.7: Relation to Other Agreements</w:t>
      </w:r>
      <w:bookmarkEnd w:id="900927"/>
    </w:p>
    <w:p>
      <w:pPr>
        <w:pStyle w:val="Normal"/>
      </w:pPr>
      <w:r>
        <w:t xml:space="preserve">Nothing in this Agreement affects the rights and obligations of the Parties under the IACAC; the OECD Convention; the UNCAC; or the United Nations Convention against Transnational Organized Crime, done at New York on November 15, 2000.</w:t>
      </w:r>
    </w:p>
    <w:p>
      <w:pPr>
        <w:pStyle w:val="Heading2"/>
      </w:pPr>
      <w:bookmarkStart w:id="900928" w:name="_Toc300000927"/>
      <w:r>
        <w:t xml:space="preserve">Article 27.8: Dispute Settlement</w:t>
      </w:r>
      <w:bookmarkEnd w:id="900928"/>
    </w:p>
    <w:p>
      <w:pPr>
        <w:pStyle w:val="Normal"/>
      </w:pPr>
      <w:r>
        <w:t xml:space="preserve">1. Chapter 31 (Dispute Settlement), as modified by this Article, applies to disputes relating to a matter arising under this Chapter. 8 For greater certainty, the Parties recognize that individual cases or specific discretionary decisions related to the enforcement of anticorruption laws are subject to each Party’s laws and legal procedures. 2. A Party may only have recourse to the procedures set out in this Article and Chapter 31 (Dispute Settlement) if it considers that a measure of another Party is inconsistent with an obligation under this Chapter, or that another Party has otherwise failed to carry out an obligation under this Chapter, in a manner affecting trade or investment between Parties. 3. No Party shall have recourse to dispute settlement under this Article or Chapter 31 (Dispute Settlement) for a matter arising under Article 27.6 (Application and Enforcement of Anticorruption Laws) or Article 27.9 (Cooperation). 4. Further to Article 31.4 (Consultations), each Consulting Party shall ensure that consultations include personnel of the consulting Party’s government authorities with responsibility for the anticorruption issue under dispute. 5.</w:t>
      </w:r>
    </w:p>
    <w:p>
      <w:pPr>
        <w:pStyle w:val="Normal"/>
      </w:pPr>
      <w:r>
        <w:t>Further to Article 31.5 (Commission, Good Offices, Conciliation, and Mediation), any discussion held by the Free Trade Commission shall, to the extent practicable, include participation by a Minister responsible for the anticorruption issue under dispute, or their designee. 6.</w:t>
      </w:r>
    </w:p>
    <w:p>
      <w:pPr>
        <w:pStyle w:val="Normal"/>
      </w:pPr>
      <w:r>
        <w:t>Further to Article 31.8 (Roster and Qualifications of Panelists), the panel shall have expertise in the area of anticorruption under dispute.</w:t>
      </w:r>
    </w:p>
    <w:p>
      <w:pPr>
        <w:pStyle w:val="Heading2"/>
      </w:pPr>
      <w:bookmarkStart w:id="900929" w:name="_Toc300000928"/>
      <w:r>
        <w:t xml:space="preserve">Article 27.9: Cooperation</w:t>
      </w:r>
      <w:bookmarkEnd w:id="900929"/>
    </w:p>
    <w:p>
      <w:pPr>
        <w:pStyle w:val="Normal"/>
      </w:pPr>
      <w:r>
        <w:t xml:space="preserve">1. The Parties recognize the importance of cooperation, coordination, and exchange of information between their respective anticorruption law enforcement agencies in order to foster effective measures to prevent, detect, and deter bribery and corruption. 2. The Parties shall endeavor to strengthen cooperation and coordination among their respective anticorruption law enforcement agencies. 3. Recognizing that the Parties can benefit by sharing their diverse experience and best practices in developing, implementing, and enforcing their anticorruption laws and policies, the Parties´ anticorruption law enforcement agencies shall consider undertaking technical cooperation activities, including training programs, as decided by the Parties. 4. The Parties acknowledge the importance of cooperation and coordination internationally, including the OECD Working Group on Bribery in International Business Transactions, the UNCAC Conference of the State Parties and the Mechanism for Follow-Up on the Implementation of the IACAC, as well as their support to the APEC Anti-Corruption and Transparency Working Group and the G20 Anti-Corruption Working Group.</w:t>
      </w:r>
    </w:p>
    <w:p>
      <w:pPr>
        <w:pStyle w:val="ModHeading"/>
      </w:pPr>
      <w:bookmarkStart w:id="900930" w:name="_Toc300000929"/>
      <w:r>
        <w:t>CHAPTER 27: CUSMA 2.0 INTEGRITY ENFORCEMENT PROVISIONS</w:t>
      </w:r>
      <w:bookmarkEnd w:id="900930"/>
    </w:p>
    <w:p>
      <w:pPr>
        <w:pStyle w:val="Heading2"/>
      </w:pPr>
      <w:bookmarkStart w:id="900931" w:name="_Toc300000930"/>
      <w:r>
        <w:t>Article 27.A: Systemic Anti-Corruption Enforcement Failure</w:t>
      </w:r>
      <w:bookmarkEnd w:id="900931"/>
    </w:p>
    <w:p>
      <w:pPr>
        <w:pStyle w:val="Normal"/>
      </w:pPr>
      <w:r>
        <w:t>1. An isolated act of bribery, embezzlement, falsification, or other corruption by a private person or public official does not by itself constitute a breach of this Agreement. A breach arises where a Party, through a sustained or recurring course of action or inaction, fails to effectively enforce applicable anti-corruption law in a manner materially affecting trade or investment, or deliberately interferes with such enforcement for a protectionist, retaliatory, or corrupt purpose.</w:t>
      </w:r>
    </w:p>
    <w:p>
      <w:pPr>
        <w:pStyle w:val="Normal"/>
      </w:pPr>
      <w:r>
        <w:t>2. No Party may invoke this Article merely because it disagrees with a prosecutorial, investigative, judicial, or resource-allocation decision in an individual case. The complaining Party bears the burden of establishing a systemic or materially discriminatory failure.</w:t>
      </w:r>
    </w:p>
    <w:p>
      <w:pPr>
        <w:pStyle w:val="Normal"/>
      </w:pPr>
      <w:r>
        <w:t>3. Anti-corruption enforcement affecting covered trade or investment shall not be administered in an arbitrary, discriminatory, retaliatory, or protectionist manner.</w:t>
      </w:r>
    </w:p>
    <w:p>
      <w:pPr>
        <w:pStyle w:val="Heading2"/>
      </w:pPr>
      <w:bookmarkStart w:id="900932" w:name="_Toc300000931"/>
      <w:r>
        <w:t>Article 27.B: Integrity Cure Procedure</w:t>
      </w:r>
      <w:bookmarkEnd w:id="900932"/>
    </w:p>
    <w:p>
      <w:pPr>
        <w:pStyle w:val="Normal"/>
      </w:pPr>
      <w:r>
        <w:t>1. Before requesting a panel concerning Article 27.A, a Party shall request confidential consultations identifying the alleged pattern and available evidence. The responding Party shall have a reasonable opportunity to explain its enforcement framework and, where appropriate, adopt a corrective-action plan.</w:t>
      </w:r>
    </w:p>
    <w:p>
      <w:pPr>
        <w:pStyle w:val="Normal"/>
      </w:pPr>
      <w:r>
        <w:t>2. Continued systemic failure after the corrective period is eligible for expedited Chapter 31 review. Remedies shall target the affected program, procurement, benefit, or sector before unrelated trade is affected, and terminate automatically when compliance is verified.</w:t>
      </w:r>
    </w:p>
    <w:p>
      <w:pPr>
        <w:pStyle w:val="Normal"/>
      </w:pPr>
      <w:r>
        <w:t>3. Nothing in this Article requires disclosure of privileged material, protected personal information, confidential law-enforcement techniques, or information whose disclosure would prejudice an active investigation or proceeding.</w:t>
      </w:r>
    </w:p>
    <w:p>
      <w:pPr>
        <w:pStyle w:val="Heading1"/>
      </w:pPr>
      <w:bookmarkStart w:id="900933" w:name="_Toc300000932"/>
      <w:r>
        <w:t>CHAPTER 28 GOOD REGULATORY PRACTICES</w:t>
      </w:r>
      <w:bookmarkEnd w:id="900933"/>
    </w:p>
    <w:p>
      <w:pPr>
        <w:pStyle w:val="Heading2"/>
      </w:pPr>
      <w:bookmarkStart w:id="900934" w:name="_Toc300000933"/>
      <w:r>
        <w:t xml:space="preserve">Article 28.1: Definitions</w:t>
      </w:r>
      <w:bookmarkEnd w:id="900934"/>
    </w:p>
    <w:p>
      <w:pPr>
        <w:pStyle w:val="Normal"/>
      </w:pPr>
      <w:r>
        <w:t xml:space="preserve">For the purposes of this Chapter: regulation means a measure of general application adopted, issued, or maintained by a regulatory authority with which compliance is mandatory, except as set forth in Annex 28-A (Additional Provisions Concerning the Scope of “Regulations” and “Regulatory Authorities”); regulatory authority means an administrative authority or agency at the Party’s central level of government that develops, proposes or adopts a regulation, and does not include legislatures or courts; and regulatory cooperation means an effort between two or more Parties to prevent, reduce, or eliminate unnecessary regulatory differences to facilitate trade and promote economic growth, while maintaining or enhancing standards of public health and safety and environmental protection.</w:t>
      </w:r>
    </w:p>
    <w:p>
      <w:pPr>
        <w:pStyle w:val="Heading2"/>
      </w:pPr>
      <w:bookmarkStart w:id="900935" w:name="_Toc300000934"/>
      <w:r>
        <w:t xml:space="preserve">Article 28.2: Subject Matter and General Provisions</w:t>
      </w:r>
      <w:bookmarkEnd w:id="900935"/>
    </w:p>
    <w:p>
      <w:pPr>
        <w:pStyle w:val="Normal"/>
      </w:pPr>
      <w:r>
        <w:t xml:space="preserve">1. The Parties recognize that implementation of government-wide practices to promote regulatory quality through greater transparency, objective analysis, accountability, and predictability can facilitate international trade, investment, and economic growth, while contributing to each Party’s ability to achieve its public policy objectives (including health, safety, and environmental goals) at the level of protection it considers appropriate. The application of good regulatory practices can support the development of compatible regulatory approaches among the Parties, and reduce or eliminate unnecessarily burdensome, duplicative, or divergent regulatory requirements. Good regulatory practices also are fundamental to effective regulatory cooperation. 2. Accordingly, this Chapter sets out specific obligations with respect to good regulatory practices, including practices relating to the planning, design, issuance, implementation, and review of the Parties’ respective regulations. 3. For greater certainty, this Chapter does not prevent a Party from: (a) pursuing its public policy objectives (including health, safety, and environmental goals) at the level it considers to be appropriate; (b) determining the appropriate method of implementing its obligations in this Chapter within the framework of its own legal system and institutions; or (c) adopting good regulatory practices that supplement those that are set out in this Chapter.</w:t>
      </w:r>
    </w:p>
    <w:p>
      <w:pPr>
        <w:pStyle w:val="Heading2"/>
      </w:pPr>
      <w:bookmarkStart w:id="900936" w:name="_Toc300000935"/>
      <w:r>
        <w:t xml:space="preserve">Article 28.3: Central Regulatory Coordinating Body</w:t>
      </w:r>
      <w:bookmarkEnd w:id="900936"/>
    </w:p>
    <w:p>
      <w:pPr>
        <w:pStyle w:val="Normal"/>
      </w:pPr>
      <w:r>
        <w:t xml:space="preserve">Recognizing that institutional arrangements are particular to each Party’s system of governance, the Parties note the important role of their respective central regulatory coordinating bodies in promoting good regulatory practices; performing key advisory, coordination, and review functions to improve the quality of regulations; and developing improvements to their regulatory system. The Parties intend to maintain their respective central regulatory coordinating bodies, within their respective mandates and consistent with their law.</w:t>
      </w:r>
    </w:p>
    <w:p>
      <w:pPr>
        <w:pStyle w:val="Heading2"/>
      </w:pPr>
      <w:bookmarkStart w:id="900937" w:name="_Toc300000936"/>
      <w:r>
        <w:t xml:space="preserve">Article 28.4: Internal Consultation, Coordination, and Review</w:t>
      </w:r>
      <w:bookmarkEnd w:id="900937"/>
    </w:p>
    <w:p>
      <w:pPr>
        <w:pStyle w:val="Normal"/>
      </w:pPr>
      <w:r>
        <w:t xml:space="preserve">1. The Parties recognize that internal processes or mechanisms providing for consultation, coordination, and review among domestic authorities in the development of regulations can increase regulatory compatibility among the Parties and facilitate trade. Accordingly, each Party shall adopt or maintain those processes or mechanisms to pursue, among others, the following objectives: (a) promoting government-wide adherence to good regulatory practices, including those set forth in this Chapter; (b) identifying and developing improvements to government-wide regulatory processes; (c) identifying potential overlap or duplication between proposed and existing regulations, and preventing the creation of inconsistent requirements across domestic authorities; (d) supporting compliance with international trade and investment obligations, including, as appropriate, the consideration of international standards, guides, and recommendations; (e) promoting consideration of regulatory impacts, including burdens on small enterprises1 of information collection and implementation; and (f) encouraging regulatory approaches that avoid unnecessary restrictions on competition in the marketplace. 1 For greater certainty and for the purposes of this Chapter, for Mexico “small enterprises” also include medium enterprises. 2. Each Party shall make publicly available a description of the processes or mechanisms referred to in paragraph 1.</w:t>
      </w:r>
    </w:p>
    <w:p>
      <w:pPr>
        <w:pStyle w:val="Heading2"/>
      </w:pPr>
      <w:bookmarkStart w:id="900938" w:name="_Toc300000937"/>
      <w:r>
        <w:t xml:space="preserve">Article 28.5: Information Quality</w:t>
      </w:r>
      <w:bookmarkEnd w:id="900938"/>
    </w:p>
    <w:p>
      <w:pPr>
        <w:pStyle w:val="Normal"/>
      </w:pPr>
      <w:r>
        <w:t xml:space="preserve">1. Each Party recognizes the need for regulations to be based upon information that is reliable and of high quality. To that end, each Party should adopt or maintain publicly available guidance or mechanisms that encourage its regulatory authorities when developing a regulation to: (a) seek the best, reasonably obtainable information, including scientific, technical, economic, or other information relevant to the regulation it is developing; (b) rely on information that is appropriate for the context in which it is used; and (c) identify sources of information in a transparent manner, as well as any significant assumptions and limitations. 2. If a regulatory authority systematically collects information from members of the public through identical questions in a survey for use in developing a regulation, each Party shall provide that the authority should: (a) use sound statistical methodologies before drawing generalized conclusions concerning the impact of the regulation on the population affected by the regulation; and (b) avoid unnecessary duplication and otherwise minimize unnecessary burdens on those being surveyed.</w:t>
      </w:r>
    </w:p>
    <w:p>
      <w:pPr>
        <w:pStyle w:val="Heading2"/>
      </w:pPr>
      <w:bookmarkStart w:id="900939" w:name="_Toc300000938"/>
      <w:r>
        <w:t xml:space="preserve">Article 28.6: Early Planning</w:t>
      </w:r>
      <w:bookmarkEnd w:id="900939"/>
    </w:p>
    <w:p>
      <w:pPr>
        <w:pStyle w:val="Normal"/>
      </w:pPr>
      <w:r>
        <w:t xml:space="preserve">Each Party shall publish annually a list of regulations that it reasonably expects within the following 12 months to adopt or propose to adopt. Each regulation identified in the list should be accompanied by: (a) a concise description of the planned regulation; (b) a point of contact for a knowledgeable individual in the regulatory authority responsible for the regulation; and (c) an indication, if known, of sectors to be affected and whether there is any expected significant effect on international trade or investment. Entries in the list should also include, to the extent available, time tables for subsequent actions, including those providing opportunities for public comment under Article 28.9 (Transparent Development of Regulations).</w:t>
      </w:r>
    </w:p>
    <w:p>
      <w:pPr>
        <w:pStyle w:val="Heading2"/>
      </w:pPr>
      <w:bookmarkStart w:id="900940" w:name="_Toc300000939"/>
      <w:r>
        <w:t xml:space="preserve">Article 28.7: Dedicated Website</w:t>
      </w:r>
      <w:bookmarkEnd w:id="900940"/>
    </w:p>
    <w:p>
      <w:pPr>
        <w:pStyle w:val="Normal"/>
      </w:pPr>
      <w:r>
        <w:t xml:space="preserve">1. Each Party shall maintain a single, free, publicly available website that, to the extent practicable, contains all information that it is required to publish pursuant to Article 28.9 (Transparent Development of Regulations). 2. A Party may comply with paragraph 1 by making publicly available information on, and providing for the submission of comments through, more than one website, provided the information can be accessed, and submissions can be made, from a single web portal that links to other websites.</w:t>
      </w:r>
    </w:p>
    <w:p>
      <w:pPr>
        <w:pStyle w:val="Heading2"/>
      </w:pPr>
      <w:bookmarkStart w:id="900941" w:name="_Toc300000940"/>
      <w:r>
        <w:t xml:space="preserve">Article 28.8: Use of Plain Language</w:t>
      </w:r>
      <w:bookmarkEnd w:id="900941"/>
    </w:p>
    <w:p>
      <w:pPr>
        <w:pStyle w:val="Normal"/>
      </w:pPr>
      <w:r>
        <w:t xml:space="preserve">Each Party should provide that proposed and final regulations are written using plain language to ensure that those regulations are clear, concise, and easy for the public to understand, recognizing that some regulations address technical issues and that relevant expertise may be required to understand or apply them.</w:t>
      </w:r>
    </w:p>
    <w:p>
      <w:pPr>
        <w:pStyle w:val="Heading2"/>
      </w:pPr>
      <w:bookmarkStart w:id="900942" w:name="_Toc300000941"/>
      <w:r>
        <w:t xml:space="preserve">Article 28.9: Transparent Development of Regulations</w:t>
      </w:r>
      <w:bookmarkEnd w:id="900942"/>
    </w:p>
    <w:p>
      <w:pPr>
        <w:pStyle w:val="Normal"/>
      </w:pPr>
      <w:r>
        <w:t xml:space="preserve">1. During the period described in paragraph 2, when a regulatory authority is developing a regulation, the Party shall, under normal circumstances,2 publish: (a) the text of the regulation along with its regulatory impact assessment, if any; (b) an explanation of the regulation, including its objectives, how the regulation achieves those objectives, the rationale for the material features of the regulation, and any major alternatives being considered; (c) an explanation of the data, other information, and analyses the regulatory authority relied upon to support the regulation; and 2 For the purposes of paragraphs 1 and 4, “normal circumstances” do not include, for example, situations when publication in accordance with those paragraphs would render the regulation ineffective in addressing the particular harm to the public interest that the regulation aims to address; if urgent problems (for example, of safety, health, or environmental protection) arise or threaten to arise for a Party; or if the regulation has no substantive impact upon members of the public, including persons of another Party. (d) the name and contact information of an individual official from the regulatory authority who may be contacted concerning questions regarding the regulation.</w:t>
      </w:r>
    </w:p>
    <w:p>
      <w:pPr>
        <w:pStyle w:val="Normal"/>
      </w:pPr>
      <w:r>
        <w:t>At the same time the Party publishes the information listed in subparagraphs (a) through (d), the Party shall also make publicly available data, other information, and scientific and technical analyses it relied upon in support of the regulation, including any risk assessment. 2. With respect to the items required to be published under paragraph 1, each Party shall publish them before the regulatory authority finalizes its work on the regulation3 and at a time that will enable the regulatory authority to take into account the comments received and, as appropriate, make revisions to the text of the regulation published under subparagraph 1(a). 3. After the items identified in paragraph 1 have been published, the Party shall ensure that any interested person, regardless of domicile, has an opportunity, on terms no less favorable than those afforded to a person of the Party, to submit written comments on the items identified in paragraph 1 for consideration by the relevant regulatory authority of the Party. Each Party shall allow interested persons to submit any comments and other inputs electronically and may also allow written submissions by mail to a published address or through another technology. 4.</w:t>
      </w:r>
    </w:p>
    <w:p>
      <w:pPr>
        <w:pStyle w:val="Normal"/>
      </w:pPr>
      <w:r>
        <w:t>If a Party expects a draft regulation to have a significant impact on trade, the Party should normally provide a time period to submit written comments and other input on the items published in accordance with paragraph 1 that is: (a) not less than 60 days from the date the items identified in paragraph 1 are published; or (b) a longer time period as is appropriate due to the nature and complexity of the regulation, in order to provide interested persons adequate opportunity to understand how the regulation may affect their interests and to develop informed responses. 5. With respect to draft regulations not covered under paragraph 4, a Party shall endeavor, under normal circumstances, to provide a time period to submit written comments and other input on the information published in accordance with paragraph 1 that is not less than four weeks from the date the items identified in paragraph 1 are published. 6.</w:t>
      </w:r>
    </w:p>
    <w:p>
      <w:pPr>
        <w:pStyle w:val="Normal"/>
      </w:pPr>
      <w:r>
        <w:t>In addition, the Party shall consider reasonable requests to extend the comment time period under paragraph 4 or 5 to submit written comments or other input on a draft regulation. 3 For Canada, a regulatory authority “finalizes its work” on a regulation when a final regulation is published in Canada Gazette, Part II. For Mexico, a regulatory authority “finalizes its work” on a regulation when the final act of general application is issued and published in the Official Gazette.</w:t>
      </w:r>
    </w:p>
    <w:p>
      <w:pPr>
        <w:pStyle w:val="Normal"/>
      </w:pPr>
      <w:r>
        <w:t>For the United States, a regulatory authority “finalizes its work” on a regulation when a final rule is signed and published in the Federal Register. 7. Each Party shall endeavor to promptly make publicly available any written comments it receives, except to the extent necessary to protect confidential information or withhold personal identifying information or inappropriate content. If it is impracticable to publish all the comments on the website provided for in Article 28.7 (Dedicated Website), the regulatory authority of a Party shall endeavor to publish those comments on its own website. 8. Before finalizing its work on a regulation, a regulatory authority of a Party shall evaluate any information provided in written comments received during the comment period. 9. When a regulatory authority of a Party finalizes its work on a regulation, the Party shall promptly publish the text of the regulation, any final impact assessment, and other items as set out in Article 28.12 (Final Publication). 10. The Parties are encouraged to publish government-generated items identified in this Article in a format that can be read and digitally processed through word searches and data mining by a computer or other technology.</w:t>
      </w:r>
    </w:p>
    <w:p>
      <w:pPr>
        <w:pStyle w:val="Heading2"/>
      </w:pPr>
      <w:bookmarkStart w:id="900943" w:name="_Toc300000942"/>
      <w:r>
        <w:t xml:space="preserve">Article 28.10: Expert Advisory Groups</w:t>
      </w:r>
      <w:bookmarkEnd w:id="900943"/>
    </w:p>
    <w:p>
      <w:pPr>
        <w:pStyle w:val="Normal"/>
      </w:pPr>
      <w:r>
        <w:t xml:space="preserve">1. The Parties recognize that their respective regulatory authorities may seek expert advice and recommendations with respect to the preparation or implementation of regulations from groups or bodies that include non-governmental persons. The Parties also recognize that obtaining those advice and recommendations should be a complement to, rather than a substitute for, the procedures for seeking public comment pursuant to Article 28.9.3 (Transparent Development of Regulations). 2. For the purposes of this Article, an expert group or body means a group or body: (a) established by a Party; (b) the membership of which includes persons who are not employees or contractors of the Party; and (c) the function of which includes providing advice or recommendations, including of a scientific or technical nature, to a regulatory authority of the Party with respect to the preparation or implementation of regulations.</w:t>
      </w:r>
    </w:p>
    <w:p>
      <w:pPr>
        <w:pStyle w:val="Normal"/>
      </w:pPr>
      <w:r>
        <w:t>This Article does not apply to a group or body that is established to enhance intergovernmental coordination, or to provide advice related to international affairs, including national security.4 4 For greater certainty, this Article does not apply to Mexico’s National Standardization Advisory Committees (Comité Consultivo Nacional de Normalización), established under article 62 of the Federal Law on Metrology and Standardization. 3.</w:t>
      </w:r>
    </w:p>
    <w:p>
      <w:pPr>
        <w:pStyle w:val="Normal"/>
      </w:pPr>
      <w:r>
        <w:t>Each Party shall encourage its regulatory authorities to ensure that the membership of any expert group or body includes a range and diversity of views and interests, as appropriate to the particular context. 4. Recognizing the importance of keeping the public informed with respect to the purpose, membership, and activities of expert groups and bodies, and that those expert groups or bodies can provide an important additional perspective or expertise on matters affecting government operations, each Party shall encourage its regulatory authorities to provide public notice of: (a) the name of any expert group or body it creates or uses, and the names of the members of the group or body and their affiliations; (b) the mandate and functions of the expert group or body; (c) information about upcoming meetings; and (d) a summary of the outcome of any meeting of an expert group or body. 5. Each Party shall endeavor, as appropriate, to make publicly available any documentation made available to or prepared for or by the expert group or body, and recognizes the importance of providing a means for interested persons to provide inputs to the expert groups or bodies.</w:t>
      </w:r>
    </w:p>
    <w:p>
      <w:pPr>
        <w:pStyle w:val="Heading2"/>
      </w:pPr>
      <w:bookmarkStart w:id="900944" w:name="_Toc300000943"/>
      <w:r>
        <w:t xml:space="preserve">Article 28.11: Regulatory Impact Assessment</w:t>
      </w:r>
      <w:bookmarkEnd w:id="900944"/>
    </w:p>
    <w:p>
      <w:pPr>
        <w:pStyle w:val="Normal"/>
      </w:pPr>
      <w:r>
        <w:t xml:space="preserve">1. The Parties recognize that regulatory impact assessment is a tool to assist regulatory authorities in assessing the need for and potential impacts of regulations they are preparing. Each Party should encourage the use of regulatory impact assessments in appropriate circumstances when developing proposed regulations that have anticipated costs or impacts exceeding certain thresholds established by the Party. 2. Each Party shall maintain procedures that promote the consideration of the following when conducting a regulatory impact assessment: (a) the need for a proposed regulation, including a description of the nature and significance of the problem the regulation is intended to address; (b) feasible and appropriate regulatory and non-regulatory alternatives that would address the need identified in subparagraph (a), including the alternative of not regulating;</w:t>
      </w:r>
    </w:p>
    <w:p>
      <w:pPr>
        <w:pStyle w:val="Normal"/>
      </w:pPr>
      <w:r>
        <w:t>(c) benefits and costs of the selected and other feasible alternatives, including the relevant impacts (such as economic, social, environmental, public health, and safety effects) as well as risks and distributional effects over time, recognizing that some costs and benefits are difficult to quantify or monetize; and (d) the grounds for concluding that the selected alternative is preferable. 3. Each Party should consider whether a proposed regulation may have significant adverse economic effects on a substantial number of small enterprises.</w:t>
      </w:r>
    </w:p>
    <w:p>
      <w:pPr>
        <w:pStyle w:val="Normal"/>
      </w:pPr>
      <w:r>
        <w:t>If so, the Party should consider potential steps to minimize those adverse economic impacts, while allowing the Party to fulfill its objectives.</w:t>
      </w:r>
    </w:p>
    <w:p>
      <w:pPr>
        <w:pStyle w:val="Heading2"/>
      </w:pPr>
      <w:bookmarkStart w:id="900945" w:name="_Toc300000944"/>
      <w:r>
        <w:t xml:space="preserve">Article 28.12: Final Publication</w:t>
      </w:r>
      <w:bookmarkEnd w:id="900945"/>
    </w:p>
    <w:p>
      <w:pPr>
        <w:pStyle w:val="Normal"/>
      </w:pPr>
      <w:r>
        <w:t xml:space="preserve">1. When a regulatory authority of a Party finalizes its work on a regulation, the Party shall promptly publish, in a final regulatory impact assessment or other document: (a) the date by which compliance is required; (b) an explanation of how the regulation achieves the Party’s objectives, the rationale for the material features of the regulation (to the extent different than the explanation provided for in Article 28.9 (Transparent Development of Regulations)), and the nature of and reasons for any significant revisions made since making the regulation available for public comment; (c) the regulatory authority’s views on any substantive issues raised in timely submitted comments; (d) major alternatives, if any, that the regulatory authority considered in developing the regulation and reasons supporting the alternative that it selected; and (e) the relationship between the regulation and the key evidence, data, and other information the regulatory authority considered in finalizing its work on the regulation. 2. Each Party shall ensure that all regulations in effect are published on a free, publicly available website.</w:t>
      </w:r>
    </w:p>
    <w:p>
      <w:pPr>
        <w:pStyle w:val="Heading2"/>
      </w:pPr>
      <w:bookmarkStart w:id="900946" w:name="_Toc300000945"/>
      <w:r>
        <w:t xml:space="preserve">Article 28.13: Retrospective Review</w:t>
      </w:r>
      <w:bookmarkEnd w:id="900946"/>
    </w:p>
    <w:p>
      <w:pPr>
        <w:pStyle w:val="Normal"/>
      </w:pPr>
      <w:r>
        <w:t xml:space="preserve">1. Each Party shall adopt or maintain procedures or mechanisms to conduct retrospective reviews of its regulations in order to determine whether modification or repeal is appropriate. Retrospective reviews may be initiated, for example, pursuant to a Party’s law, on a regulatory authority’s own initiative, or in response to a suggestion submitted pursuant to Article 28.14 (Suggestions for Improvement). 2. When conducting a retrospective review, each Party should consider, as appropriate: (a) the effectiveness of the regulation in meeting its initial stated objectives, for example by examining its actual social or economic impacts; (b) any circumstances that have changed since the development of the regulation, including availability of new information; (c) new opportunities to eliminate unnecessary regulatory burdens; (d) ways to address unnecessary regulatory differences that may adversely affect trade among the Parties, including through the activities listed in Article 28.17.3 (Encouragement of Regulatory Compatibility and Cooperation); and (e) any relevant views expressed by members of the public. 3.</w:t>
      </w:r>
    </w:p>
    <w:p>
      <w:pPr>
        <w:pStyle w:val="Normal"/>
      </w:pPr>
      <w:r>
        <w:t>Each Party shall include among the procedures or mechanisms adopted pursuant to paragraph 1 provisions addressing impacts on small enterprises. 4. Each Party is encouraged to publish, to the extent available, any official plans and results of retrospective reviews.</w:t>
      </w:r>
    </w:p>
    <w:p>
      <w:pPr>
        <w:pStyle w:val="Heading2"/>
      </w:pPr>
      <w:bookmarkStart w:id="900947" w:name="_Toc300000946"/>
      <w:r>
        <w:t xml:space="preserve">Article 28.14: Suggestions for Improvement</w:t>
      </w:r>
      <w:bookmarkEnd w:id="900947"/>
    </w:p>
    <w:p>
      <w:pPr>
        <w:pStyle w:val="Normal"/>
      </w:pPr>
      <w:r>
        <w:t xml:space="preserve">Each Party shall provide the opportunity for any interested person to submit to any regulatory authority of the Party written suggestions for the issuance, modification, or repeal of a regulation. The basis for those suggestions may include, for example, that, in the view of the interested person, the regulation has become ineffective at protecting health, welfare, or safety, has become more burdensome than necessary to achieve its objective (for example with respect to its impact on trade), fails to take into account changed circumstances (such as fundamental changes in technology, or relevant scientific and technical developments), or relies on incorrect or outdated information.</w:t>
      </w:r>
    </w:p>
    <w:p>
      <w:pPr>
        <w:pStyle w:val="Heading2"/>
      </w:pPr>
      <w:bookmarkStart w:id="900948" w:name="_Toc300000947"/>
      <w:r>
        <w:t xml:space="preserve">Article 28.15: Information About Regulatory Processes</w:t>
      </w:r>
      <w:bookmarkEnd w:id="900948"/>
    </w:p>
    <w:p>
      <w:pPr>
        <w:pStyle w:val="Normal"/>
      </w:pPr>
      <w:r>
        <w:t xml:space="preserve">1. Each Party shall publish online a description of the processes and mechanisms employed by its regulatory authorities to prepare, evaluate, or review regulations. The description shall identify the applicable guidelines, rules, or procedures, including those regarding opportunities for the public to provide input. 2. Each Party shall also publish online: (a) a description of the functions and organization of each of its regulatory authorities, including the appropriate offices through which persons can obtain information, make submissions or requests, or obtain decisions; (b) any procedural requirements or forms promulgated or utilized by any of its regulatory authorities; (c) the legal authority for verification, inspection, and compliance activities by its regulatory authorities; (d) information concerning the judicial or administrative procedures available to challenge regulations; and (e) any fees charged by a regulatory authority to a person of a Party for services rendered in connection with the implementation of a regulation, including for licensing, inspections, audits, and other administrative actions required under the Party’s law to import, export, sell, market, or use a good.</w:t>
      </w:r>
    </w:p>
    <w:p>
      <w:pPr>
        <w:pStyle w:val="Heading2"/>
      </w:pPr>
      <w:bookmarkStart w:id="900949" w:name="_Toc300000948"/>
      <w:r>
        <w:t xml:space="preserve">Article 28.16: Annual Report</w:t>
      </w:r>
      <w:bookmarkEnd w:id="900949"/>
    </w:p>
    <w:p>
      <w:pPr>
        <w:pStyle w:val="Normal"/>
      </w:pPr>
      <w:r>
        <w:t xml:space="preserve">Each Party shall prepare and make freely and publicly available online, on an annual basis, a report setting forth: (a) to the extent feasible, an estimate regarding the annual costs and benefits of economically significant regulations, as established by the Party, issued in that period by its regulatory authorities, on an aggregate or individual basis; and (b) any changes, or any proposals to make changes, to its regulatory system.</w:t>
      </w:r>
    </w:p>
    <w:p>
      <w:pPr>
        <w:pStyle w:val="Heading2"/>
      </w:pPr>
      <w:bookmarkStart w:id="900950" w:name="_Toc300000949"/>
      <w:r>
        <w:t xml:space="preserve">Article 28.17: Encouragement of Regulatory Compatibility and Cooperation</w:t>
      </w:r>
      <w:bookmarkEnd w:id="900950"/>
    </w:p>
    <w:p>
      <w:pPr>
        <w:pStyle w:val="Normal"/>
      </w:pPr>
      <w:r>
        <w:t xml:space="preserve">1. The Parties recognize the important contribution of dialogues between their respective regulatory authorities in promoting regulatory compatibility and regulatory cooperation when appropriate, and in order to facilitate trade and investment and to achieve regulatory objectives. Accordingly, each Party should encourage its regulatory authorities to engage in mutually beneficial regulatory cooperation activities with relevant counterparts of one or more of the other Parties in appropriate circumstances to achieve these objectives. 2. The Parties recognize the valuable work of bilateral and trilateral cooperation fora, and intend to continue to work together to further regulatory compatibility on a mutually beneficial basis in such fora or under this Agreement. The Parties also recognize that effective regulatory cooperation requires the participation of regulatory authorities that possess the authority and technical expertise to develop, adopt, and implement regulations. Each Party should encourage input from members of the public to identify promising avenues for cooperation activities. 3.</w:t>
      </w:r>
    </w:p>
    <w:p>
      <w:pPr>
        <w:pStyle w:val="Normal"/>
      </w:pPr>
      <w:r>
        <w:t>The Parties recognize that a broad range of mechanisms including those set forth in the WTO Agreement, exists to help minimize unnecessary regulatory differences and to facilitate trade or investment, while contributing to each Party’s ability to meet its public policy objectives.</w:t>
      </w:r>
    </w:p>
    <w:p>
      <w:pPr>
        <w:pStyle w:val="Normal"/>
      </w:pPr>
      <w:r>
        <w:t>These mechanisms may include, as appropriate to the particular circumstances: (a) early stage formal or informal exchange of technical or scientific information or data, including coordinating research agendas, to reduce duplicative research; (b) exploring possible common approaches to the evaluation and mitigation of risks or hazards, including those potentially posed by the use of emerging technologies; (c) whenever appropriate, regulating by specifying performance requirements rather than design characteristics, to promote innovation and facilitate trade; (d) seeking to collaborate in relevant international fora; (e) exchanging information, such as of a technical or practical nature, on regulations that each Party is developing to maximize the opportunity for common approaches; (f) co-funding of research in support of regulations and implementation tools of joint interest; (g) facilitating the greater use of relevant international standards, guides, and recommendations as the basis for regulations, testing, and approval procedures; (h) when developing or implementing regulations, considering relevant scientific or technical guidance documents developed through international collaborative initiatives; (i) considering common approaches to the display of product or consumer information; (j) considering the development of compatible platforms or formats for industry submission of product information for regulatory review; (k) coordinating in the implementation of regulations</w:t>
      </w:r>
    </w:p>
    <w:p>
      <w:pPr>
        <w:pStyle w:val="Normal"/>
      </w:pPr>
      <w:r>
        <w:t>and sharing compliance information, including, as appropriate by entering into confidentiality agreements; and (l) periodically exchanging information, as appropriate, concerning any planned or ongoing post-implementation review or evaluation of regulations in effect affecting trade or investment.</w:t>
      </w:r>
    </w:p>
    <w:p>
      <w:pPr>
        <w:pStyle w:val="Heading2"/>
      </w:pPr>
      <w:bookmarkStart w:id="900951" w:name="_Toc300000950"/>
      <w:r>
        <w:t xml:space="preserve">Article 28.18: Committee on Good Regulatory Practices</w:t>
      </w:r>
      <w:bookmarkEnd w:id="900951"/>
    </w:p>
    <w:p>
      <w:pPr>
        <w:pStyle w:val="Normal"/>
      </w:pPr>
      <w:r>
        <w:t xml:space="preserve">1. The Parties hereby establish a Committee on Good Regulatory Practices (the GRP Committee) composed of government representatives from each Party, including representatives from their central regulatory coordinating bodies as well as relevant regulatory agencies. 2. Through the GRP Committee, the Parties shall enhance their communication and collaboration in matters relating to this Chapter, including encouraging regulatory compatibility and regulatory cooperation, with a view to facilitating trade between the Parties. 3. The GRP Committee’s functions include: (a) monitoring the implementation and operation of this Chapter, including through updates on each Party’s regulatory practices and processes; (b) exchanging information on effective methods for implementing this Chapter, including with respect to approaches to regulatory cooperation, and relevant work in international fora; (c) consulting on matters and positions in advance for meetings in international fora that are related to the work of this Chapter, including opportunities for workshops, seminars and other relevant activities to support strengthening of good regulatory practices and to support improvements in approaches to regulatory cooperation.</w:t>
      </w:r>
    </w:p>
    <w:p>
      <w:pPr>
        <w:pStyle w:val="Normal"/>
      </w:pPr>
      <w:r>
        <w:t>(d) considering suggestions from stakeholders regarding opportunities to strengthen the application of good regulatory practices; (e) considering developments in good regulatory practices and approaches to regulatory cooperation with a view to identifying future work for the GRP Committee or making recommendations as appropriate to the Commission for improving the operation and implementation of this Chapter; and (f) taking any other steps that the Parties consider will assist them in implementing this Chapter. 4. Each Party shall provide opportunities for persons of that Party to provide views on the implementation of this Chapter. 5. In carrying out its work, the GRP Committee shall take into account the activities of other committees, working groups and other subsidiary bodies established under this Agreement in order to avoid duplication of activities. 6. Unless the Parties decide otherwise, the GRP Committee shall meet at least once a year. The Parties shall endeavor to schedule meetings to permit participation of government representatives engaged in the work of other relevant chapters in this Agreement. The GRP Committee may also invite interested persons to contribute to its work. 7. The GRP Committee shall provide an annual report to the Commission on its activities.</w:t>
      </w:r>
    </w:p>
    <w:p>
      <w:pPr>
        <w:pStyle w:val="Heading2"/>
      </w:pPr>
      <w:bookmarkStart w:id="900952" w:name="_Toc300000951"/>
      <w:r>
        <w:t xml:space="preserve">Article 28.19: Contact Points</w:t>
      </w:r>
      <w:bookmarkEnd w:id="900952"/>
    </w:p>
    <w:p>
      <w:pPr>
        <w:pStyle w:val="Normal"/>
      </w:pPr>
      <w:r>
        <w:t xml:space="preserve">Each Party shall designate and notify a contact point for matters arising under this Chapter, in accordance with Article 30.5 (Agreement Coordinator and Contact Points). A Party shall promptly notify the other Parties of any material changes to its contact point.</w:t>
      </w:r>
    </w:p>
    <w:p>
      <w:pPr>
        <w:pStyle w:val="Heading2"/>
      </w:pPr>
      <w:bookmarkStart w:id="900953" w:name="_Toc300000952"/>
      <w:r>
        <w:t xml:space="preserve">Article 28.20: Application of Dispute Settlement</w:t>
      </w:r>
      <w:bookmarkEnd w:id="900953"/>
    </w:p>
    <w:p>
      <w:pPr>
        <w:pStyle w:val="Normal"/>
      </w:pPr>
      <w:r>
        <w:t xml:space="preserve">1. Recognizing that a mutually acceptable solution can often be found outside recourse to dispute settlement, a Party shall exercise its judgement as to whether recourse to dispute settlement under Chapter 31 (Dispute Settlement) would be fruitful. 2. Chapter 31 (Dispute Settlement) shall apply with respect to a responding Party as of one year after the date of entry into force of this Agreement for that Party. 3. No Party shall have recourse to dispute settlement under Chapter 31 (Dispute Settlement) for a matter arising under this Chapter except to address a sustained or recurring course of action or inaction that is inconsistent with a provision of this Chapter.</w:t>
      </w:r>
    </w:p>
    <w:p>
      <w:pPr>
        <w:pStyle w:val="Heading2"/>
      </w:pPr>
      <w:bookmarkStart w:id="900954" w:name="_Toc300000953"/>
      <w:r>
        <w:t xml:space="preserve">ANNEX 28-A ADDITIONAL PROVISIONS CONCERNING THE SCOPE OF “REGULATIONS” AND “REGULATORY AUTHORITIES”</w:t>
      </w:r>
      <w:bookmarkEnd w:id="900954"/>
    </w:p>
    <w:p>
      <w:pPr>
        <w:pStyle w:val="Normal"/>
      </w:pPr>
      <w:r>
        <w:t xml:space="preserve">1. The following measures are not regulations for the purposes of this Chapter: (a) for all Parties: general statements of policy or guidance that do not prescribe legally enforceable requirements; (b) for Canada: (i) a measure concerning: (A) a military, foreign affairs, or national security function of the Government of Canada, (B) public sector management, personnel, pensions, public property, loans, grants, benefits, or contracts, (C) departmental organization, procedure, or practice, (D) taxation, financial services or anti-money laundering measures, or (E) federal, provincial, territorial relations and agreements and relations with Aboriginal Peoples, or (ii) a measure that does not constitute a regulation under the Statutory Instruments Act; (c) for Mexico: a measure concerning: (i) taxation, specifically those related with contributions and their accessories, (ii) public servants responsibilities, (iii) agrarian and labor justice, (iv) financial services or anti-money laundering measures, (v) public prosecutor’s office executing its constitutional functions, or (vi) navy and defense; and (d) for the United States: a measure concerning:</w:t>
      </w:r>
    </w:p>
    <w:p>
      <w:pPr>
        <w:pStyle w:val="Normal"/>
      </w:pPr>
      <w:r>
        <w:t>28-A-1 (i) a military or foreign affairs function of the United States, (ii) agency management, personnel, public property, loans, grants, benefits, or contracts, (iii) agency organization, procedure, or practice, or (iv) financial</w:t>
      </w:r>
    </w:p>
    <w:p>
      <w:pPr>
        <w:pStyle w:val="Normal"/>
      </w:pPr>
      <w:r>
        <w:t>services or anti-money laundering measures. 2. The following entities are not a regulatory authorities for the purposes of this Chapter: (a) for Canada: the Governor in Council; and (b) for the United States: the President. 28-A-2</w:t>
      </w:r>
    </w:p>
    <w:p>
      <w:pPr>
        <w:pStyle w:val="ModHeading"/>
      </w:pPr>
      <w:bookmarkStart w:id="900955" w:name="_Toc300000954"/>
      <w:r>
        <w:t>CHAPTER 28: CUSMA 2.0 STAKE AND FRICTION-REDUCTION PROVISIONS</w:t>
      </w:r>
      <w:bookmarkEnd w:id="900955"/>
    </w:p>
    <w:p>
      <w:pPr>
        <w:pStyle w:val="Heading2"/>
      </w:pPr>
      <w:bookmarkStart w:id="900956" w:name="_Toc300000955"/>
      <w:r>
        <w:t>Article 28.A: Recognition, Equivalence, and Regulatory Autonomy</w:t>
      </w:r>
      <w:bookmarkEnd w:id="900956"/>
    </w:p>
    <w:p>
      <w:pPr>
        <w:pStyle w:val="Normal"/>
      </w:pPr>
      <w:r>
        <w:t>1. The Parties shall seek mutual recognition of conformity-assessment results where confidence in the relevant bodies and procedures is sufficient. Where regulations differ but achieve a demonstrably equivalent level of protection, a Party shall give due consideration to recognizing regulatory equivalence without requiring harmonization.</w:t>
      </w:r>
    </w:p>
    <w:p>
      <w:pPr>
        <w:pStyle w:val="Normal"/>
      </w:pPr>
      <w:r>
        <w:t>2. Harmonization is voluntary, sector-specific, and appropriate only where the Parties determine that common rules provide a material benefit. Nothing in this Article requires a Party to lower its chosen level of health, safety, environmental, consumer, labor, privacy, or other legitimate public protection.</w:t>
      </w:r>
    </w:p>
    <w:p>
      <w:pPr>
        <w:pStyle w:val="Heading2"/>
      </w:pPr>
      <w:bookmarkStart w:id="900957" w:name="_Toc300000956"/>
      <w:r>
        <w:t>Article 28.B: Advance Regulatory Transparency and Emergency Exception</w:t>
      </w:r>
      <w:bookmarkEnd w:id="900957"/>
    </w:p>
    <w:p>
      <w:pPr>
        <w:pStyle w:val="Normal"/>
      </w:pPr>
      <w:r>
        <w:t>1. For a proposed regulation reasonably expected to have a material effect on trade, a Party shall, where practicable, provide advance notice, a reasonable opportunity for comment, and a public explanation of the final measure and material comments received.</w:t>
      </w:r>
    </w:p>
    <w:p>
      <w:pPr>
        <w:pStyle w:val="Normal"/>
      </w:pPr>
      <w:r>
        <w:t>2. Where urgent action is necessary, a Party may act without advance notice but shall provide prompt notice and a retrospective explanation and shall permit review or comment as soon as practicable.</w:t>
      </w:r>
    </w:p>
    <w:p>
      <w:pPr>
        <w:pStyle w:val="Heading2"/>
      </w:pPr>
      <w:bookmarkStart w:id="900958" w:name="_Toc300000957"/>
      <w:r>
        <w:t>Article 28.C: Sector Technical Working Groups and North American Trade Friction Portal</w:t>
      </w:r>
      <w:bookmarkEnd w:id="900958"/>
    </w:p>
    <w:p>
      <w:pPr>
        <w:pStyle w:val="Normal"/>
      </w:pPr>
      <w:r>
        <w:t>1. Existing committees may establish time-limited technical working groups for sectors experiencing material regulatory friction. No new permanent body is created unless the Commission determines that existing institutions cannot perform the function.</w:t>
      </w:r>
    </w:p>
    <w:p>
      <w:pPr>
        <w:pStyle w:val="Normal"/>
      </w:pPr>
      <w:r>
        <w:t>2. The Treaty Integrity Secretariat shall maintain a public-facing Trade Friction Portal through which businesses, workers, consumers, and other stakeholders may report recurring customs, certification, regulatory, border-processing, or implementation barriers. Reports do not create private rights of action. The Secretariat shall aggregate patterns, protect confidential information, and refer material recurring issues to the competent committee.</w:t>
      </w:r>
    </w:p>
    <w:p>
      <w:pPr>
        <w:pStyle w:val="Normal"/>
      </w:pPr>
      <w:r>
        <w:t>3. A single complaint creates no presumption of violation. A recurring pattern supported by evidence may trigger technical consultation, regulatory cooperation, or a Party-to-Party consultation under this Agreement.</w:t>
      </w:r>
    </w:p>
    <w:p>
      <w:pPr>
        <w:pStyle w:val="Heading1"/>
      </w:pPr>
      <w:bookmarkStart w:id="900959" w:name="_Toc300000958"/>
      <w:r>
        <w:t>CHAPTER 29 PUBLICATION AND ADMINISTRATION</w:t>
      </w:r>
      <w:r>
        <w:br/>
      </w:r>
      <w:r>
        <w:t>Section A: Publication and Administration</w:t>
      </w:r>
      <w:bookmarkEnd w:id="900959"/>
    </w:p>
    <w:p>
      <w:pPr>
        <w:pStyle w:val="Heading2"/>
      </w:pPr>
      <w:bookmarkStart w:id="900960" w:name="_Toc300000959"/>
      <w:r>
        <w:t xml:space="preserve">Article 29.1: Definitions</w:t>
      </w:r>
      <w:bookmarkEnd w:id="900960"/>
    </w:p>
    <w:p>
      <w:pPr>
        <w:pStyle w:val="Normal"/>
      </w:pPr>
      <w:r>
        <w:t xml:space="preserve">For the purposes of this Chapter: administrative ruling of general application means an administrative ruling or interpretation1 that applies to all persons and fact situations that fall generally within the ambit of that administrative ruling or interpretation and that establishes a norm of conduct, but does not include: (a) a determination or ruling made in an administrative or quasi-judicial proceeding that applies to a particular person, good, or service of another Party in a specific case; or (b) a ruling that adjudicates with respect to a particular act or practice.</w:t>
      </w:r>
    </w:p>
    <w:p>
      <w:pPr>
        <w:pStyle w:val="Heading2"/>
      </w:pPr>
      <w:bookmarkStart w:id="900961" w:name="_Toc300000960"/>
      <w:r>
        <w:t xml:space="preserve">Article 29.2: Publication</w:t>
      </w:r>
      <w:bookmarkEnd w:id="900961"/>
    </w:p>
    <w:p>
      <w:pPr>
        <w:pStyle w:val="Normal"/>
      </w:pPr>
      <w:r>
        <w:t xml:space="preserve">1. Each Party shall ensure that its laws, regulations, procedures, and administrative rulings of general application with respect to any matter covered by this Agreement are promptly published or otherwise made available in a manner that enables interested persons and the other Parties to become acquainted with them. To the extent possible, each Party shall make these measures available online. 2. Each Party shall, to the extent possible: (a) publish in advance a measure referred to in paragraph 1 that it proposes to adopt; and (b) provide interested persons and the other Parties a reasonable opportunity to comment on a proposed measure referred to in subparagraph (a). 3. Each Party shall ensure that its laws and regulations of general application at the central level of government are published on a free, publicly accessible website that is capable of performing searches for these laws and regulations by citation or through a word search, and shall ensure that this website is kept updated. Annex 29-A sets out each Party’s websites. 1 For greater certainty, an interpretation or ruling that is not binding is not an administrative ruling of general application.</w:t>
      </w:r>
    </w:p>
    <w:p>
      <w:pPr>
        <w:pStyle w:val="Heading2"/>
      </w:pPr>
      <w:bookmarkStart w:id="900962" w:name="_Toc300000961"/>
      <w:r>
        <w:t xml:space="preserve">Article 29.3: Administrative Proceedings</w:t>
      </w:r>
      <w:bookmarkEnd w:id="900962"/>
    </w:p>
    <w:p>
      <w:pPr>
        <w:pStyle w:val="Normal"/>
      </w:pPr>
      <w:r>
        <w:t xml:space="preserve">With a view to administering all measures of general application with respect to any matter covered by this Agreement in a consistent, impartial, and reasonable manner, each Party shall ensure in its administrative proceedings2 applying measures referred to in Article 29.2.1 (Publication) to a particular person, good, or service of another Party in specific cases that: (a) a person of another Party that is directly affected by a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a proceeding is afforded a reasonable opportunity to present facts and arguments in support of that person’s position prior to any final administrative action, when time, the nature of the proceeding, and the public interest permit; and (c) the procedures are in accordance with its law.</w:t>
      </w:r>
    </w:p>
    <w:p>
      <w:pPr>
        <w:pStyle w:val="Heading2"/>
      </w:pPr>
      <w:bookmarkStart w:id="900963" w:name="_Toc300000962"/>
      <w:r>
        <w:t xml:space="preserve">Article 29.4: Review and Appeal</w:t>
      </w:r>
      <w:bookmarkEnd w:id="900963"/>
    </w:p>
    <w:p>
      <w:pPr>
        <w:pStyle w:val="Normal"/>
      </w:pPr>
      <w:r>
        <w:t xml:space="preserve">1. Each Party shall establish or maintain judicial, quasi-judicial, or administrative tribunals or procedures for the purpose of the prompt review and, if warranted, correction of a final administrative action with respect to any matter covered by this Agreement. These tribunals shall be impartial and independent of the office or authority entrusted with administrative enforcement and shall not have any substantial interest in the outcome of the matter. 2. Each Party shall ensure that, with respect to the tribunals or procedures referred to in paragraph 1, the parties to a proceeding are provided with the right to: (a) a reasonable opportunity to support or defend their respective positions; and (b) a decision based on the evidence and submissions of record or, if required by its law, the record compiled by the relevant authority. 3.</w:t>
      </w:r>
    </w:p>
    <w:p>
      <w:pPr>
        <w:pStyle w:val="Normal"/>
      </w:pPr>
      <w:r>
        <w:t>Each Party shall ensure, subject to appeal or further review as provided for in its law, that the decision referred to in paragraph 2(b) be implemented by, and govern the practice of, the office or authority with respect to the administrative action at issue. 2 For greater certainty, administrative proceedings subject to this Article do not include proceedings that result in advisory opinions or decisions that are not legally binding. Section B: Transparency and Procedural Fairness for Pharmaceutical Products and Medical Devices3</w:t>
      </w:r>
    </w:p>
    <w:p>
      <w:pPr>
        <w:pStyle w:val="Heading2"/>
      </w:pPr>
      <w:bookmarkStart w:id="900964" w:name="_Toc300000963"/>
      <w:r>
        <w:t xml:space="preserve">Article 29.5: Definitions</w:t>
      </w:r>
      <w:bookmarkEnd w:id="900964"/>
    </w:p>
    <w:p>
      <w:pPr>
        <w:pStyle w:val="Normal"/>
      </w:pPr>
      <w:r>
        <w:t xml:space="preserve">For the purposes of this Section: national health care authority means, with respect to a Party listed in Annex 29-B (Party- Specific Definitions), the relevant entity or entities specified therein, and with respect to any other Party, an entity that is part of or has been established by a Party’s central level of government to operate a national health care program; and national health care program means a health care program in which a national health care authority makes the determinations or recommendations regarding the listing of pharmaceutical products or medical devices for reimbursement, or regarding the setting of the amount of that reimbursement.</w:t>
      </w:r>
    </w:p>
    <w:p>
      <w:pPr>
        <w:pStyle w:val="Heading2"/>
      </w:pPr>
      <w:bookmarkStart w:id="900965" w:name="_Toc300000964"/>
      <w:r>
        <w:t xml:space="preserve">Article 29.6: Principles</w:t>
      </w:r>
      <w:bookmarkEnd w:id="900965"/>
    </w:p>
    <w:p>
      <w:pPr>
        <w:pStyle w:val="Normal"/>
      </w:pPr>
      <w:r>
        <w:t xml:space="preserve">The Parties are committed to facilitating high-quality health care and continued improvements in public health for their nationals, including patients and the public. In pursuing these objectives, the Parties acknowledge the importance of the following principles: (a) the importance of protecting and promoting public health and the important role played by pharmaceutical products and medical devices4 in delivering high-quality health care; (b) the importance of research and development, including innovation associated with research and development, related to pharmaceutical products and medical devices; (c) the need to promote timely and affordable access to pharmaceutical products and medical devices, through transparent, impartial, expeditious, and accountable procedures, without prejudice to a Party’s right to apply appropriate standards of quality, safety, and efficacy; and 3 For greater certainty, the Parties confirm that the purpose of this Section is to ensure transparency and procedural fairness of relevant aspects of the Parties’ applicable systems relating to pharmaceutical products and medical devices, without prejudice to the obligations in this Chapter, and not to modify a Party’s system of health care in any other respects or a Party’s rights to determine health expenditure priorities.</w:t>
      </w:r>
    </w:p>
    <w:p>
      <w:pPr>
        <w:pStyle w:val="Normal"/>
      </w:pPr>
      <w:r>
        <w:t>4 For the purposes of this Section, each Party shall define the scope of the products subject to its laws and regulations for pharmaceutical products and medical devices in its territory, and make that information publicly available. (d) the need to recognize the value of pharmaceutical products and medical devices through the operation of competitive markets or by adopting or maintaining procedures that appropriately value the objectively demonstrated therapeutic significance of a pharmaceutical product or medical device.</w:t>
      </w:r>
    </w:p>
    <w:p>
      <w:pPr>
        <w:pStyle w:val="Heading2"/>
      </w:pPr>
      <w:bookmarkStart w:id="900966" w:name="_Toc300000965"/>
      <w:r>
        <w:t xml:space="preserve">Article 29.7: Procedural Fairness</w:t>
      </w:r>
      <w:bookmarkEnd w:id="900966"/>
    </w:p>
    <w:p>
      <w:pPr>
        <w:pStyle w:val="Normal"/>
      </w:pPr>
      <w:r>
        <w:t xml:space="preserve">To the extent that a Party’s national health care authority operates or maintains procedures for listing new pharmaceutical products or medical devices for reimbursement purposes, or setting the amount of that reimbursement, under a national health care program operated by the national health care authority,5, 6 that Party shall: (a) ensure that consideration of all formal and duly formulated proposals for such listing of pharmaceutical products or medical devices for reimbursement is completed within a specified period of time;7 (b) disclose procedural rules, methodologies, principles, and guidelines used to assess such proposals; (c) afford applicants 8 and, if appropriate, the public, timely opportunities to provide comments at relevant points in the decision-making process; (d) provide applicants with written information sufficient to comprehend the basis for recommendations or determinations regarding the listing of new pharmaceutical products or medical devices for reimbursement by its national health care authority; (e) make available: (i) an independent review process, or 5 This Section does not apply to government procurement of pharmaceutical products and medical devices.</w:t>
      </w:r>
    </w:p>
    <w:p>
      <w:pPr>
        <w:pStyle w:val="Normal"/>
      </w:pPr>
      <w:r>
        <w:t>If a public entity providing health care services engages in government procurement for pharmaceutical products or medical devices, formulary development and management with respect to that activity by the national health care authority shall be considered an aspect of such government procurement. 6 This Section does not apply to procedures undertaken for the purpose of post-market subsidization of pharmaceutical products or medical devices procured by public health care entities if the pharmaceutical products or medical devices eligible for consideration are based on the products or devices that are procured by public health care entities. 7 In those cases in which a Party’s national health care authority is unable to complete consideration of a proposal within a specified period of time, the Party shall disclose the reason for the delay to the applicant and shall provide for another specified period of time for completing consideration of the proposal. 8 For greater certainty, each Party may define the persons or entities that qualify as an “applicant” under its laws, regulations, and procedures.</w:t>
      </w:r>
    </w:p>
    <w:p>
      <w:pPr>
        <w:pStyle w:val="Normal"/>
      </w:pPr>
      <w:r>
        <w:t>(ii) an internal review process, such as by the same expert or group of experts that made the recommendation or determination, provided that the review process includes, at a minimum, a substantive reconsideration of the application,9 and that may be invoked at the request of an applicant directly affected by a recommendation or determination by a Party’s national health care authority not to list a pharmaceutical product or a medical device for reimbursement;10 and (f) provide written information to the public regarding recommendations or determinations, while protecting information considered to be confidential under the Party’s law.</w:t>
      </w:r>
    </w:p>
    <w:p>
      <w:pPr>
        <w:pStyle w:val="Heading2"/>
      </w:pPr>
      <w:bookmarkStart w:id="900967" w:name="_Toc300000966"/>
      <w:r>
        <w:t xml:space="preserve">Article 29.8: Dissemination of Information to Health Professionals and Consumers</w:t>
      </w:r>
      <w:bookmarkEnd w:id="900967"/>
    </w:p>
    <w:p>
      <w:pPr>
        <w:pStyle w:val="Normal"/>
      </w:pPr>
      <w:r>
        <w:t xml:space="preserve">As is permitted to be disseminated under the Party’s laws, regulations, and procedures, each Party shall permit a pharmaceutical product manufacturer to disseminate to health professionals and consumers through the manufacturer’s website registered in the territory of the Party, and on other websites registered in the territory of the Party linked to that site, truthful and not misleading information regarding its pharmaceutical products that are approved for marketing in the Party’s territory. A Party may require that the information include a balance of risks and benefits and encompass all indications for which the Party’s competent regulatory authorities have approved the marketing of the pharmaceutical product.</w:t>
      </w:r>
    </w:p>
    <w:p>
      <w:pPr>
        <w:pStyle w:val="Heading2"/>
      </w:pPr>
      <w:bookmarkStart w:id="900968" w:name="_Toc300000967"/>
      <w:r>
        <w:t xml:space="preserve">Article 29.9: Consultations</w:t>
      </w:r>
      <w:bookmarkEnd w:id="900968"/>
    </w:p>
    <w:p>
      <w:pPr>
        <w:pStyle w:val="Normal"/>
      </w:pPr>
      <w:r>
        <w:t xml:space="preserve">1. To facilitate dialogue and mutual understanding of issues relating to this Section, each Party shall give sympathetic consideration to and shall afford adequate opportunity for consultations regarding a written request by another Party to consult on any matter related to this Section. The consultations shall take place within three months of the delivery of the request, except in exceptional circumstances or unless the consulting Parties decide otherwise.11 9 For greater certainty, the review process described in subparagraph (e)(i) may include a review process as described in subparagraph (e)(ii) other than one by the same expert or group of experts. 10 For greater certainty, subparagraph (e) does not require a Party to provide more than a single review for a request regarding a specific proposal or to review, in conjunction with the request, other proposals or the assessment related to those other proposals. Further, a Party may elect to provide the review specified in subparagraph (e) either with respect to a draft final recommendation or determination, or with respect to a final recommendation or determination.</w:t>
      </w:r>
    </w:p>
    <w:p>
      <w:pPr>
        <w:pStyle w:val="Normal"/>
      </w:pPr>
      <w:r>
        <w:t>11 Nothing in this paragraph shall be construed as requiring a Party to review or change a decision regarding a specific application. 2.</w:t>
      </w:r>
    </w:p>
    <w:p>
      <w:pPr>
        <w:pStyle w:val="Normal"/>
      </w:pPr>
      <w:r>
        <w:t>Consultations shall involve officials responsible for the oversight of the national health care authority or officials from each Party responsible for national health care programs and other appropriate government officials.</w:t>
      </w:r>
    </w:p>
    <w:p>
      <w:pPr>
        <w:pStyle w:val="Heading2"/>
      </w:pPr>
      <w:bookmarkStart w:id="900969" w:name="_Toc300000968"/>
      <w:r>
        <w:t xml:space="preserve">Article 29.10: Non-Application of Dispute Settlement</w:t>
      </w:r>
      <w:bookmarkEnd w:id="900969"/>
    </w:p>
    <w:p>
      <w:pPr>
        <w:pStyle w:val="Normal"/>
      </w:pPr>
      <w:r>
        <w:t xml:space="preserve">No Party shall have recourse to dispute settlement under Chapter 31 (Dispute Settlement) for any matter arising under this Section.</w:t>
      </w:r>
    </w:p>
    <w:p>
      <w:pPr>
        <w:pStyle w:val="Heading2"/>
      </w:pPr>
      <w:bookmarkStart w:id="900970" w:name="_Toc300000969"/>
      <w:r>
        <w:t xml:space="preserve">ANNEX 29-A PUBLICATION OF LAWS AND REGULATIONS OF GENERAL APPLICATION</w:t>
      </w:r>
      <w:bookmarkEnd w:id="900970"/>
    </w:p>
    <w:p>
      <w:pPr>
        <w:pStyle w:val="Normal"/>
      </w:pPr>
      <w:r>
        <w:t xml:space="preserve">For the purpose of Article 29.2.3 (Publication), laws and regulations of general application of each Party are published in the following websites: (a) For Canada: http://laws.justice.gc.ca/eng/ See also: http://www.gazette.gc.ca/accueil-home-eng.html; (b) For Mexico: www.diputados.gob.mx/LeyesBiblio/index.htm See also: www.dof.gob.mx; and (c) For the United States: https://www.govinfo.gov/help/whats-available See also: http://uscode.house.gov/ (laws) https://www.ecfr.gov/cgi-bin/text-idx?tpl=%2Findex.tpl (regulations) 29-A-1</w:t>
      </w:r>
    </w:p>
    <w:p>
      <w:pPr>
        <w:pStyle w:val="Heading2"/>
      </w:pPr>
      <w:bookmarkStart w:id="900971" w:name="_Toc300000970"/>
      <w:r>
        <w:t xml:space="preserve">ANNEX 29-B PARTY-SPECIFIC DEFINITIONS</w:t>
      </w:r>
      <w:bookmarkEnd w:id="900971"/>
    </w:p>
    <w:p>
      <w:pPr>
        <w:pStyle w:val="Normal"/>
      </w:pPr>
      <w:r>
        <w:t xml:space="preserve">Further to the definition of national health care authority in Article 29.5 (Definitions), national health care authority means: (a) For Canada, the Federal Drug Benefits Committee. For greater certainty, Canada does not currently operate a national health care program within the scope of this Annex. (b) For the United States, the Centers for Medicare &amp; Medicaid Services (CMS), with respect to CMS’s role in making Medicare national coverage determinations. 29-B-1</w:t>
      </w:r>
    </w:p>
    <w:p>
      <w:pPr>
        <w:pStyle w:val="ModHeading"/>
      </w:pPr>
      <w:bookmarkStart w:id="900972" w:name="_Toc300000971"/>
      <w:r>
        <w:t>CHAPTER 29: CUSMA 2.0 TRANSPARENCY AND RELIANCE PROVISIONS</w:t>
      </w:r>
      <w:bookmarkEnd w:id="900972"/>
    </w:p>
    <w:p>
      <w:pPr>
        <w:pStyle w:val="Heading2"/>
      </w:pPr>
      <w:bookmarkStart w:id="900973" w:name="_Toc300000972"/>
      <w:r>
        <w:t>Article 29.A: Treaty-Relevant Financial and Institutional Transparency</w:t>
      </w:r>
      <w:bookmarkEnd w:id="900973"/>
    </w:p>
    <w:p>
      <w:pPr>
        <w:pStyle w:val="Normal"/>
      </w:pPr>
      <w:r>
        <w:t>1. Each Party shall maintain public information sufficient to identify material government ownership or control of state-owned enterprises covered by this Agreement, including ownership or voting structure, material special rights, and material non-commercial assistance, subject to legitimate confidentiality protections.</w:t>
      </w:r>
    </w:p>
    <w:p>
      <w:pPr>
        <w:pStyle w:val="Normal"/>
      </w:pPr>
      <w:r>
        <w:t>2. Where information required to verify a claimed special treaty benefit, subsidy treatment, procurement eligibility, or state-owned-enterprise status is not provided after notice and a reasonable cure period, the competent panel may draw a rebuttable adverse inference limited to the matter for which the information is material.</w:t>
      </w:r>
    </w:p>
    <w:p>
      <w:pPr>
        <w:pStyle w:val="Normal"/>
      </w:pPr>
      <w:r>
        <w:t>3. Each Party shall maintain effective domestic rules for disclosure, recusal, or management of significant financial conflicts of interest by senior officials exercising material authority over extraordinary trade actions. This Agreement does not prescribe the form of a Party’s general personal financial-disclosure regime.</w:t>
      </w:r>
    </w:p>
    <w:p>
      <w:pPr>
        <w:pStyle w:val="Heading2"/>
      </w:pPr>
      <w:bookmarkStart w:id="900974" w:name="_Toc300000973"/>
      <w:r>
        <w:t>Article 29.B: Dispute and Trade-Action Transparency</w:t>
      </w:r>
      <w:bookmarkEnd w:id="900974"/>
    </w:p>
    <w:p>
      <w:pPr>
        <w:pStyle w:val="Normal"/>
      </w:pPr>
      <w:r>
        <w:t>1. Panel requests, non-confidential submissions, final reports, compliance findings, and hearing transcripts shall be publicly accessible in a standardized electronic docket, subject to protection of confidential business information, personal information, privileged communications, classified information, protected Indigenous knowledge, and information whose disclosure would create a material cybersecurity or national-security risk.</w:t>
      </w:r>
    </w:p>
    <w:p>
      <w:pPr>
        <w:pStyle w:val="Normal"/>
      </w:pPr>
      <w:r>
        <w:t>2. Each Party shall publish annually a machine-readable report describing extraordinary trade measures affecting another Party, the legal authority relied upon, duration, revenue collected where applicable, status of disputes, compliance outcomes, and termination or renewal of temporary measures.</w:t>
      </w:r>
    </w:p>
    <w:p>
      <w:pPr>
        <w:pStyle w:val="Heading2"/>
      </w:pPr>
      <w:bookmarkStart w:id="900975" w:name="_Toc300000974"/>
      <w:r>
        <w:t>Article 29.C: Reliance on Advance Customs and Administrative Rulings</w:t>
      </w:r>
      <w:bookmarkEnd w:id="900975"/>
    </w:p>
    <w:p>
      <w:pPr>
        <w:pStyle w:val="Normal"/>
      </w:pPr>
      <w:r>
        <w:t>1. A person that reasonably relies on a written advance ruling issued by a competent customs or administrative authority may rely on that ruling for transactions undertaken before its lawful modification or revocation, except in cases of fraud, material omission, misrepresentation, or a clearly stated urgent public-interest exception.</w:t>
      </w:r>
    </w:p>
    <w:p>
      <w:pPr>
        <w:pStyle w:val="Normal"/>
      </w:pPr>
      <w:r>
        <w:t>2. Modifications and revocations operate prospectively wherever practicable and shall state reasons. This Article does not require compensation for ordinary good-faith administrative error, but does not preclude remedies otherwise available under domestic law.</w:t>
      </w:r>
    </w:p>
    <w:p>
      <w:pPr>
        <w:pStyle w:val="Heading1"/>
      </w:pPr>
      <w:bookmarkStart w:id="900976" w:name="_Toc300000975"/>
      <w:r>
        <w:t>CHAPTER 30 ADMINISTRATIVE AND INSTITUTIONAL PROVISIONS</w:t>
      </w:r>
      <w:bookmarkEnd w:id="900976"/>
    </w:p>
    <w:p>
      <w:pPr>
        <w:pStyle w:val="Heading2"/>
      </w:pPr>
      <w:bookmarkStart w:id="900977" w:name="_Toc300000976"/>
      <w:r>
        <w:t xml:space="preserve">Article 30.1: Establishment of the Free Trade Commission</w:t>
      </w:r>
      <w:bookmarkEnd w:id="900977"/>
    </w:p>
    <w:p>
      <w:pPr>
        <w:pStyle w:val="Normal"/>
      </w:pPr>
      <w:r>
        <w:t xml:space="preserve">The Parties hereby establish a Free Trade Commission (Commission), composed of government representatives of each Party at the level of Ministers or their designees.</w:t>
      </w:r>
    </w:p>
    <w:p>
      <w:pPr>
        <w:pStyle w:val="Heading2"/>
      </w:pPr>
      <w:bookmarkStart w:id="900978" w:name="_Toc300000977"/>
      <w:r>
        <w:t xml:space="preserve">Article 30.2: Functions of the Commission</w:t>
      </w:r>
      <w:bookmarkEnd w:id="900978"/>
    </w:p>
    <w:p>
      <w:pPr>
        <w:pStyle w:val="Normal"/>
      </w:pPr>
      <w:r>
        <w:t xml:space="preserve">1. The Commission shall: (a) consider matters relating to the implementation or operation of this Agreement; (b) consider proposals to amend or modify this Agreement; (c) supervise the work of committees, working groups, and other subsidiary bodies established under this Agreement; (d) consider ways to further enhance trade and investment between the Parties; (e) adopt and update the Rules of Procedure and Code of Conduct applicable to dispute settlement proceedings; and (f) review the roster established under Article 31.8 (Roster and Qualifications of Panelists) every three years and, when appropriate, constitute a new roster. 2. The Commission may: (a) establish, refer matters to, or consider matters raised by, an ad hoc or standing committee, working group, or other subsidiary body; (b) merge or dissolve a committee, working group, or other subsidiary body established under this Agreement in order to improve the functioning of this Agreement; (c) consider and adopt, subject to completion of applicable legal procedures by each Party, a modification to this Agreement of:</w:t>
      </w:r>
    </w:p>
    <w:p>
      <w:pPr>
        <w:pStyle w:val="Normal"/>
      </w:pPr>
      <w:r>
        <w:t>(i) the Schedules to Annex 2-B (Tariff Commitments), by accelerating tariff elimination or improving market access conditions, (ii) the adjustments to the Tariff Preferential Levels established in Chapter 6 (Textile and Apparel Goods), (iii) the rules of origin established in Annex 4-B (Product-Specific Rules of Origin), (iv) the minimum data requirements for the</w:t>
      </w:r>
    </w:p>
    <w:p>
      <w:pPr>
        <w:pStyle w:val="Normal"/>
      </w:pPr>
      <w:r>
        <w:t>certification of origin, (v) any provision as may be required to conform with any change to the Harmonized System, or (vi) the lists of entities, covered goods and services, and thresholds contained in the Schedules to Chapter 13 (Government Procurement); (d) develop arrangements for implementing this Agreement; (e) seek to resolve differences or disputes that may arise regarding the interpretation or application of this Agreement; (f) issue interpretations of the provisions of this Agreement;1 (g) seek the advice of non-governmental persons or groups; (h) modify any Uniform Regulations agreed jointly by the Parties under Article 5.16 (Uniform Regulations), subject to completion of applicable legal procedures by each Party; and (i) take any other action as the Parties may decide. 3. For the purposes of an action with respect to a provision that applies only as between two Parties, including the interpretation, amendment, or modification of that provision, the Commission shall be composed of, and decisions taken by, the Commission representatives of those Parties.</w:t>
      </w:r>
    </w:p>
    <w:p>
      <w:pPr>
        <w:pStyle w:val="Heading2"/>
      </w:pPr>
      <w:bookmarkStart w:id="900979" w:name="_Toc300000978"/>
      <w:r>
        <w:t xml:space="preserve">Article 30.3: Decision-Making</w:t>
      </w:r>
      <w:bookmarkEnd w:id="900979"/>
    </w:p>
    <w:p>
      <w:pPr>
        <w:pStyle w:val="Normal"/>
      </w:pPr>
      <w:r>
        <w:t xml:space="preserve">The Commission and subsidiary bodies established under this Agreement shall take decisions by consensus, except as otherwise provided in this Agreement, as otherwise decided by the Parties, or as provided for in Article 30.2.3 (Functions of the Commission). Unless otherwise For greater certainty, interpretations issued by the Commission are binding for tribunals and panels established under Chapter 14 (Investment) and Chapter 31 (Dispute Settlement). provided in this Agreement, the Commission or a subsidiary body shall be deemed to have taken a decision by consensus if all Parties are present at a meeting when a decision is taken and no Party present at the meeting when a decision is taken objects to the proposed decision.</w:t>
      </w:r>
    </w:p>
    <w:p>
      <w:pPr>
        <w:pStyle w:val="Heading2"/>
      </w:pPr>
      <w:bookmarkStart w:id="900980" w:name="_Toc300000979"/>
      <w:r>
        <w:t xml:space="preserve">Article 30.4: Rules of Procedure of the Commission and Subsidiary Bodies</w:t>
      </w:r>
      <w:bookmarkEnd w:id="900980"/>
    </w:p>
    <w:p>
      <w:pPr>
        <w:pStyle w:val="Normal"/>
      </w:pPr>
      <w:r>
        <w:t xml:space="preserve">1. The Commission shall meet within one year of the date of entry into force of this Agreement and thereafter as the Parties may decide, including as necessary to fulfil its functions under Article 30.2 (Functions of the Commission). Meetings of the Commission shall be chaired successively by each Party. 2. The Party chairing a meeting of the Commission shall provide any necessary administrative support for the meeting. 3. Unless otherwise provided in this Agreement, the Commission and a subsidiary body established under this Agreement shall carry out its work through whatever means are appropriate, which may include electronic mail or videoconferencing. 4. The Commission and a subsidiary body established under this Agreement may establish rules of procedures for the conduct of its work.</w:t>
      </w:r>
    </w:p>
    <w:p>
      <w:pPr>
        <w:pStyle w:val="Heading2"/>
      </w:pPr>
      <w:bookmarkStart w:id="900981" w:name="_Toc300000980"/>
      <w:r>
        <w:t xml:space="preserve">Article 30.5: Agreement Coordinator and Contact Points</w:t>
      </w:r>
      <w:bookmarkEnd w:id="900981"/>
    </w:p>
    <w:p>
      <w:pPr>
        <w:pStyle w:val="Normal"/>
      </w:pPr>
      <w:r>
        <w:t xml:space="preserve">1. Each Party shall designate an Agreement Coordinator to facilitate communications between the Parties on any matter covered by this Agreement, as well as other contact points as required by this Agreement. 2. Unless otherwise provided in this Agreement, each Party shall notify the other Parties in writing of its Agreement Coordinator and any other contact point provided for in this Agreement no later than 60 days after the date of entry into force of this Agreement. 3. Each Party shall promptly notify the other Parties, in writing, of any changes to its Agreement Coordinator or any other contact point. 4. On the request of another Party, the Agreement Coordinator shall identify the office or official responsible for a matter and assist, as necessary, in facilitating communication with the requesting Party.</w:t>
      </w:r>
    </w:p>
    <w:p>
      <w:pPr>
        <w:pStyle w:val="Heading2"/>
      </w:pPr>
      <w:bookmarkStart w:id="900982" w:name="_Toc300000981"/>
      <w:r>
        <w:t xml:space="preserve">Article 30.6: The Secretariat</w:t>
      </w:r>
      <w:bookmarkEnd w:id="900982"/>
    </w:p>
    <w:p>
      <w:pPr>
        <w:pStyle w:val="Normal"/>
      </w:pPr>
      <w:r>
        <w:t xml:space="preserve">1. The Commission shall establish and oversee a Secretariat comprising national Sections. 2. Each Party shall: (a) establish and maintain a permanent office of its Section and be responsible for its operation and costs; (b) designate an individual to serve as Secretary for its Section, who shall be responsible for its administration and management; and (c) notify the other Parties of the contact information for its Section’s office. 3. The Secretariat shall: (a) provide assistance to the Commission; (b) provide administrative assistance to: (i) panels and committees established under Section D of Chapter 10 (Review and Dispute Settlement in Antidumping and Countervailing Duty Matters), and (ii) panels established under Chapter 31 (Dispute Settlement); (c) be responsible for the payment of remuneration to and expenses of panelists, assistants, and experts involved in dispute settlement proceedings under Chapter 31 (Dispute Settlement); and (d) as the Commission may direct: (i) support the work of other committees and groups established under this Agreement, and (ii) otherwise facilitate the operation of this Agreement.</w:t>
      </w:r>
    </w:p>
    <w:p>
      <w:pPr>
        <w:pStyle w:val="ModHeading"/>
      </w:pPr>
      <w:bookmarkStart w:id="900983" w:name="_Toc300000982"/>
      <w:r>
        <w:t>CHAPTER 30: CUSMA 2.0 MODERNIZATION PROVISIONS</w:t>
      </w:r>
      <w:bookmarkEnd w:id="900983"/>
    </w:p>
    <w:p>
      <w:pPr>
        <w:pStyle w:val="Normal"/>
      </w:pPr>
      <w:r>
        <w:rPr>
          <w:i/>
        </w:rPr>
        <w:t>The provisions of this Part amend Chapter 30 (Administrative and Institutional Provisions).</w:t>
      </w:r>
    </w:p>
    <w:p>
      <w:pPr>
        <w:pStyle w:val="Heading2"/>
      </w:pPr>
      <w:bookmarkStart w:id="900984" w:name="_Toc300000983"/>
      <w:r>
        <w:t>Article 30.A: Institutional Architecture, Consolidated Structure</w:t>
      </w:r>
      <w:bookmarkEnd w:id="900984"/>
    </w:p>
    <w:p>
      <w:pPr>
        <w:pStyle w:val="Normal"/>
      </w:pPr>
      <w:r>
        <w:t>1. Treaty-level institutional functions added by this modernization shall be assigned through the consolidated architecture in this Article and Article 30.C.1. A reference elsewhere in this Agreement to a panel, facility, registry, working group, or secretariat does not by itself create a separately staffed permanent institution where the function can be performed through the Commission, the Secretariat, an existing committee, a national authority, or an ad hoc roster mechanism.</w:t>
      </w:r>
    </w:p>
    <w:p>
      <w:pPr>
        <w:pStyle w:val="Normal"/>
      </w:pPr>
      <w:r>
        <w:t>(a) the treaty-integrity functions described in Article 35.28 are performed within the Secretariat under Article 30.6 and include administration of the North American Trade Measures Registry, the Shared Trade Data Registry, any activated escrow or compensation mechanism, and administrative support for verification teams;</w:t>
      </w:r>
    </w:p>
    <w:p>
      <w:pPr>
        <w:pStyle w:val="Normal"/>
      </w:pPr>
      <w:r>
        <w:t>(b) the North American Trade Verification mechanism in Article 35.10 operates through ad hoc Verification Teams drawn from maintained rosters and lists and is not a separately staffed permanent panel;</w:t>
      </w:r>
    </w:p>
    <w:p>
      <w:pPr>
        <w:pStyle w:val="Normal"/>
      </w:pPr>
      <w:r>
        <w:t>(c) oversight of Chapter 35 is exercised by the Commission, which may convene designated senior officials in a treaty-integrity session under Article 35.28 without creating a separate permanent committee;</w:t>
      </w:r>
    </w:p>
    <w:p>
      <w:pPr>
        <w:pStyle w:val="Normal"/>
      </w:pPr>
      <w:r>
        <w:t xml:space="preserve">(d) the </w:t>
      </w:r>
      <w:r>
        <w:rPr>
          <w:b/>
        </w:rPr>
        <w:t>Economic Security and Supply Chain Resilience Subcommittee</w:t>
      </w:r>
      <w:r>
        <w:t xml:space="preserve"> (Article 36.3), under the Committee on Competitiveness;</w:t>
      </w:r>
    </w:p>
    <w:p>
      <w:pPr>
        <w:pStyle w:val="Normal"/>
      </w:pPr>
      <w:r>
        <w:t xml:space="preserve">(e) the </w:t>
      </w:r>
      <w:r>
        <w:rPr>
          <w:b/>
        </w:rPr>
        <w:t>Committee on Digital Trade Cooperation</w:t>
      </w:r>
      <w:r>
        <w:t xml:space="preserve"> (Article 19.F), reporting directly to the Commission;</w:t>
      </w:r>
    </w:p>
    <w:p>
      <w:pPr>
        <w:pStyle w:val="Normal"/>
      </w:pPr>
      <w:r>
        <w:t xml:space="preserve">(f) the </w:t>
      </w:r>
      <w:r>
        <w:rPr>
          <w:b/>
        </w:rPr>
        <w:t>Emergency Trade Coordination Body</w:t>
      </w:r>
      <w:r>
        <w:t xml:space="preserve"> (Article 38.5), activated only as provided in Chapter 38; and</w:t>
      </w:r>
    </w:p>
    <w:p>
      <w:pPr>
        <w:pStyle w:val="Normal"/>
      </w:pPr>
      <w:r>
        <w:t xml:space="preserve">(g) the </w:t>
      </w:r>
      <w:r>
        <w:rPr>
          <w:b/>
        </w:rPr>
        <w:t>Grid Resilience Working Group</w:t>
      </w:r>
      <w:r>
        <w:t xml:space="preserve"> (Article 40.3), under the Subcommittee in subparagraph (d).</w:t>
      </w:r>
    </w:p>
    <w:p>
      <w:pPr>
        <w:pStyle w:val="Normal"/>
      </w:pPr>
      <w:r>
        <w:t>2. Each body or function listed in paragraph 1 shall use the rules, meeting frequency, reporting route, and administrative support specified in its constitutive Article. Reporting shall be consolidated wherever practicable so that substantially identical information is not required by multiple bodies. No additional permanent body is created by this modernization unless the Commission satisfies Article 30.C.1 and the Agreement expressly authorizes its creation.</w:t>
      </w:r>
    </w:p>
    <w:p>
      <w:pPr>
        <w:pStyle w:val="Heading2"/>
      </w:pPr>
      <w:bookmarkStart w:id="900985" w:name="_Toc300000984"/>
      <w:r>
        <w:t>Article 30.B: Secretariat Functions</w:t>
      </w:r>
      <w:bookmarkEnd w:id="900985"/>
    </w:p>
    <w:p>
      <w:pPr>
        <w:pStyle w:val="Normal"/>
      </w:pPr>
      <w:r>
        <w:t>1. Article 30.6 (The Secretariat) is supplemented as follows: the Secretariat shall also be responsible for:</w:t>
      </w:r>
    </w:p>
    <w:p>
      <w:pPr>
        <w:pStyle w:val="Normal"/>
      </w:pPr>
      <w:r>
        <w:t>(a) performing the treaty-integrity administrative functions assigned by Article 35.28, including operation of the Registry and Shared Trade Data Registry and administration of any escrow or compensation mechanism activated in accordance with this Agreement;</w:t>
      </w:r>
    </w:p>
    <w:p>
      <w:pPr>
        <w:pStyle w:val="Normal"/>
      </w:pPr>
      <w:r>
        <w:t>(b) technical and administrative support to ad hoc Verification Teams and other roster-based proceedings;</w:t>
      </w:r>
    </w:p>
    <w:p>
      <w:pPr>
        <w:pStyle w:val="Normal"/>
      </w:pPr>
      <w:r>
        <w:t>(c) administrative support to the bodies listed in Article 30.A.</w:t>
      </w:r>
    </w:p>
    <w:p>
      <w:pPr>
        <w:pStyle w:val="Heading2"/>
      </w:pPr>
      <w:bookmarkStart w:id="900986" w:name="_Toc300000985"/>
      <w:r>
        <w:t>Article 30.C: Institutional Deadlines and Anti-Deadlock</w:t>
      </w:r>
      <w:bookmarkEnd w:id="900986"/>
    </w:p>
    <w:p>
      <w:pPr>
        <w:pStyle w:val="Normal"/>
      </w:pPr>
      <w:r>
        <w:t>1. Where this Agreement requires a committee or the Commission to act and does not fix a deadline, the body shall act within 90 days of the matter being placed on its agenda at the request of a Party.</w:t>
      </w:r>
    </w:p>
    <w:p>
      <w:pPr>
        <w:pStyle w:val="Normal"/>
      </w:pPr>
      <w:r>
        <w:t>2. A body shall not fail to meet a treaty-mandated function by reason of a vacancy or non-designation; the anti-deadlock procedures of Article 31.8 as amended and Article 31.C apply, mutatis mutandis, to rosters, lists, and appointments under this Agreement.</w:t>
      </w:r>
    </w:p>
    <w:p>
      <w:pPr>
        <w:pStyle w:val="Heading2"/>
      </w:pPr>
      <w:bookmarkStart w:id="900987" w:name="_Toc300000986"/>
      <w:r>
        <w:t>Article 30.C.1: No-Unnecessary-Institution Rule</w:t>
      </w:r>
      <w:bookmarkEnd w:id="900987"/>
    </w:p>
    <w:p>
      <w:pPr>
        <w:pStyle w:val="Normal"/>
      </w:pPr>
      <w:r>
        <w:t>1. Before establishing, activating, or separately staffing a new permanent body, facility, secretariat, registry authority, or standing panel, the Commission shall determine whether the function can reasonably be assigned to the Commission, Secretariat, an existing committee or subcommittee, a customs or other competent national administration, a national contact point, or an ad hoc technical or adjudicative group.</w:t>
      </w:r>
    </w:p>
    <w:p>
      <w:pPr>
        <w:pStyle w:val="Normal"/>
      </w:pPr>
      <w:r>
        <w:t>2. A new permanent institution shall be created only where this Agreement expressly authorizes it and the Commission records a specific operational need that cannot be met efficiently through existing institutions or an ad hoc mechanism. The determination shall identify the proposed mandate, relationship to existing bodies, expected administrative burden, reporting line, and a review or sunset point where appropriate.</w:t>
      </w:r>
    </w:p>
    <w:p>
      <w:pPr>
        <w:pStyle w:val="Normal"/>
      </w:pPr>
      <w:r>
        <w:t>3. Existing bodies may receive additional administrative functions without renaming, duplicating, or multiplying institutions, provided substantive authority is not expanded beyond this Agreement without the required amendment procedure. Where two provisions assign substantially overlapping administrative functions, the Commission shall consolidate implementation under the narrower existing body or the Secretariat and publish the resulting allocation of responsibility.</w:t>
      </w:r>
    </w:p>
    <w:p>
      <w:pPr>
        <w:pStyle w:val="Normal"/>
      </w:pPr>
      <w:r>
        <w:t>4. The Secretariat shall maintain a public institutional map showing each body's or standing function's mandate, principal contact route, reporting line, and relationship to overlapping provisions. The map is explanatory only and does not amend this Agreement.</w:t>
      </w:r>
    </w:p>
    <w:p>
      <w:pPr>
        <w:pStyle w:val="Heading1"/>
      </w:pPr>
      <w:bookmarkStart w:id="900988" w:name="_Toc300000987"/>
      <w:r>
        <w:t>CHAPTER 31 DISPUTE SETTLEMENT</w:t>
      </w:r>
      <w:r>
        <w:br/>
      </w:r>
      <w:r>
        <w:t>Section A: Dispute Settlement</w:t>
      </w:r>
      <w:bookmarkEnd w:id="900988"/>
    </w:p>
    <w:p>
      <w:pPr>
        <w:pStyle w:val="Heading2"/>
      </w:pPr>
      <w:bookmarkStart w:id="900989" w:name="_Toc300000988"/>
      <w:r>
        <w:t xml:space="preserve">Article 31.1: Cooperation</w:t>
      </w:r>
      <w:bookmarkEnd w:id="900989"/>
    </w:p>
    <w:p>
      <w:pPr>
        <w:pStyle w:val="Normal"/>
      </w:pPr>
      <w:r>
        <w:t xml:space="preserve">The Parties shall at all times endeavor to agree on the interpretation and application of this Agreement, and shall make every attempt through cooperation and consultations to arrive at a mutually satisfactory resolution of a matter that might affect its operation or application.</w:t>
      </w:r>
    </w:p>
    <w:p>
      <w:pPr>
        <w:pStyle w:val="Heading2"/>
      </w:pPr>
      <w:bookmarkStart w:id="900990" w:name="_Toc300000989"/>
      <w:r>
        <w:t xml:space="preserve">Article 31.2: Scope</w:t>
      </w:r>
      <w:bookmarkEnd w:id="900990"/>
    </w:p>
    <w:p>
      <w:pPr>
        <w:pStyle w:val="Normal"/>
      </w:pPr>
      <w:r>
        <w:t xml:space="preserve">1. Unless otherwise provided for in this Agreement, the dispute settlement provisions of this Chapter apply: (a) with respect to the avoidance or settlement of disputes between the Parties regarding the interpretation or application of this Agreement; (b) when a Party considers that an actual or proposed measure of another Party is or would be inconsistent with an obligation of this Agreement or that another Party has otherwise failed to carry out an obligation of this Agreement; or (c) when a Party considers that a benefit it could reasonably have expected to accrue to it under Chapter 2 (National Treatment and Market Access for Goods), Chapter 3 (Agriculture), Chapter 4 (Rules of Origin), Chapter 5 (Origin Procedures), Chapter 6 (Textile and Apparel Goods), Chapter 7 (Customs Administration and Trade Facilitation), Chapter 9 (Sanitary and Phytosanitary Measures), Chapter 11 (Technical Barriers to Trade), Chapter 13 (Government Procurement), Chapter 15 (Cross-Border Trade in Services), or Chapter 20 (Intellectual Property Rights), is being nullified or impaired as a result of the application of a measure of another Party that is not inconsistent with this Agreement.</w:t>
      </w:r>
    </w:p>
    <w:p>
      <w:pPr>
        <w:pStyle w:val="Heading2"/>
      </w:pPr>
      <w:bookmarkStart w:id="900991" w:name="_Toc300000990"/>
      <w:r>
        <w:t xml:space="preserve">Article 31.3: Choice of Forum</w:t>
      </w:r>
      <w:bookmarkEnd w:id="900991"/>
    </w:p>
    <w:p>
      <w:pPr>
        <w:pStyle w:val="Normal"/>
      </w:pPr>
      <w:r>
        <w:t xml:space="preserve">1. If a dispute regarding a matter arises under this Agreement and under another international trade agreement to which the disputing Parties are party, including the WTO Agreement, the complaining Party may select the forum in which to settle the dispute. 2. Once a complaining Party has requested the establishment of, or referred a matter to, a panel under this Chapter or a panel or tribunal under an agreement referred to in paragraph 1, the forum selected shall be used to the exclusion of other fora.</w:t>
      </w:r>
    </w:p>
    <w:p>
      <w:pPr>
        <w:pStyle w:val="Heading2"/>
      </w:pPr>
      <w:bookmarkStart w:id="900992" w:name="_Toc300000991"/>
      <w:r>
        <w:t xml:space="preserve">Article 31.4: Consultations</w:t>
      </w:r>
      <w:bookmarkEnd w:id="900992"/>
    </w:p>
    <w:p>
      <w:pPr>
        <w:pStyle w:val="Normal"/>
      </w:pPr>
      <w:r>
        <w:t xml:space="preserve">1. A Party may request consultations with another Party with respect to a matter described in Article 31.2 (Scope). 2. The Party making the request for consultations shall do so in writing, and shall set out the reasons for the request, including identification of the specific measure or other matter at issue and an indication of the legal basis for the complaint. 3. The requesting Party shall deliver the request concurrently to the other Parties through their respective Sections of the Secretariat, including a copy to its Section. 4. A third Party that considers it has a substantial interest in the matter may participate in the consultations by notifying the other Parties in writing through their respective Sections of the Secretariat, including a copy to its Section, no later than seven days after the date of delivery of the request for consultations. The Party shall include in its notice an explanation of its substantial interest in the matter. 5. Unless the consulting Parties decide otherwise, they shall enter into consultations no later than:</w:t>
      </w:r>
    </w:p>
    <w:p>
      <w:pPr>
        <w:pStyle w:val="Normal"/>
      </w:pPr>
      <w:r>
        <w:t>(a) 15 days after the date of delivery of the request for a matter concerning perishable goods;1 or (b) 30 days after the date of delivery of the request for all other matters. 6. The consulting Parties shall make every attempt to arrive at a mutually satisfactory resolution of a matter through consultations under this Article or other consultative provisions of this Agreement.</w:t>
      </w:r>
    </w:p>
    <w:p>
      <w:pPr>
        <w:pStyle w:val="Normal"/>
      </w:pPr>
      <w:r>
        <w:t>To this end: (a) each consulting Party shall provide sufficient information to enable a full examination of how the actual or proposed measure or other matter at issue might affect the operation or application of this Agreement; 1 For the purposes of this Chapter, perishable goods means perishable agricultural and fish goods classified in HS Chapters 1 through 24. (b) a Party that participates in the consultations shall treat the information exchanged in the course of consultations that is designated as confidential on the same basis as the Party providing the information; and (c) the consulting Parties shall seek to avoid a resolution that adversely affects the interests of another Party under this Agreement. 7. Consultations may be held in person or by a technological means available to the consulting Parties. If the consultations are held in person, they shall be held in the capital of the Party to which the request for consultations was made, unless the consulting Parties decide otherwise. 8.</w:t>
      </w:r>
    </w:p>
    <w:p>
      <w:pPr>
        <w:pStyle w:val="Normal"/>
      </w:pPr>
      <w:r>
        <w:t>In consultations under this Article, a consulting Party may request that another consulting Party make available personnel of its government agencies or other regulatory bodies who have expertise in the matter at issue. 9. Consultations shall be confidential and without prejudice to the rights of a Party in another proceeding.</w:t>
      </w:r>
    </w:p>
    <w:p>
      <w:pPr>
        <w:pStyle w:val="Heading2"/>
      </w:pPr>
      <w:bookmarkStart w:id="900993" w:name="_Toc300000992"/>
      <w:r>
        <w:t xml:space="preserve">Article 31.5: Commission, Good Offices, Conciliation, and Mediation</w:t>
      </w:r>
      <w:bookmarkEnd w:id="900993"/>
    </w:p>
    <w:p>
      <w:pPr>
        <w:pStyle w:val="Normal"/>
      </w:pPr>
      <w:r>
        <w:t xml:space="preserve">1. If the consulting Parties fail to resolve a matter pursuant to Article 31.4 (Consultations) within: (a) 30 days of delivery of the request for consultations; (b) 45 days of delivery of the request if another Party has subsequently requested or has participated in consultations regarding the same matter; (c) 15 days of delivery of the request for consultations in a matter regarding perishable goods; or (d) another period as they may decide, a consulting Party may request in writing a meeting of the Commission. 2. The requesting Party shall state in the request the measure or other matter complained of and indicate the provisions of this Agreement that it considers relevant, and shall deliver the request to the other Parties and to its Section of the Secretariat. 3. Unless it decides otherwise, the Commission2 shall convene within 10 days of delivery of the request and shall endeavor to resolve the dispute. 4. The Commission may: (a) call on technical advisers or create working groups or expert groups as it deems necessary;</w:t>
      </w:r>
    </w:p>
    <w:p>
      <w:pPr>
        <w:pStyle w:val="Normal"/>
      </w:pPr>
      <w:r>
        <w:t>(b) have recourse to good offices, conciliation, mediation, or other dispute resolution procedures; or (c) make recommendations, as may assist the consulting Parties to reach a mutually satisfactory resolution of the dispute. 5. Unless it decides otherwise, the Commission shall consolidate two or more proceedings before it pursuant to this Article regarding the same measure.</w:t>
      </w:r>
    </w:p>
    <w:p>
      <w:pPr>
        <w:pStyle w:val="Normal"/>
      </w:pPr>
      <w:r>
        <w:t>The Commission may consolidate two or more proceedings regarding other matters before it pursuant to this Article that it determines are appropriate to be considered jointly. 6. Parties may decide at any time to voluntarily undertake an alternative method of dispute resolution, such as good offices, conciliation, or mediation. 7. Proceedings that involve good offices, conciliation, or mediation shall be confidential and without prejudice to the rights of the Parties in another proceeding. 8. Parties participating in proceedings under this Article may suspend or terminate those proceedings. 9. If the disputing Parties decide, good offices, conciliation, or mediation may continue while a dispute proceeds for resolution before a panel established under Article 31.6 (Establishment of a Panel).</w:t>
      </w:r>
    </w:p>
    <w:p>
      <w:pPr>
        <w:pStyle w:val="Heading2"/>
      </w:pPr>
      <w:bookmarkStart w:id="900994" w:name="_Toc300000993"/>
      <w:r>
        <w:t xml:space="preserve">Article 31.6: Establishment of a Panel</w:t>
      </w:r>
      <w:bookmarkEnd w:id="900994"/>
    </w:p>
    <w:p>
      <w:pPr>
        <w:pStyle w:val="Normal"/>
      </w:pPr>
      <w:r>
        <w:t xml:space="preserve">1. If the Commission has convened pursuant to Article 31.5 (Commission, Good Offices, Conciliation, and Mediation), and the matter has not been resolved within: (a) 30 days thereafter; 2 For the purposes of this Article, the Commission shall be composed of, and decisions taken by the Commission representatives of the consulting Parties. (b) 30 days after the Commission has convened in respect of the matter most recently referred to it, if proceedings have been consolidated pursuant to Article 31.5.5 (Commission, Good Offices, Conciliation, and Mediation); or (c) another period as the consulting Parties may decide, a consulting Party may request the establishment of a panel by means of a written notice delivered to the responding Party through its Section of the Secretariat. 2. The complaining Party shall circulate the written notice concurrently to the other Parties through their respective Sections of the Secretariat. 3.</w:t>
      </w:r>
    </w:p>
    <w:p>
      <w:pPr>
        <w:pStyle w:val="Normal"/>
      </w:pPr>
      <w:r>
        <w:t>The complaining Party shall include in the request to establish a panel an identification of the measure or other matter at issue and a brief summary of the legal basis of the complaint sufficient to present the issue clearly. 4. On delivery of the request, the Commission shall establish a panel. 5.</w:t>
      </w:r>
    </w:p>
    <w:p>
      <w:pPr>
        <w:pStyle w:val="Normal"/>
      </w:pPr>
      <w:r>
        <w:t>A third Party that considers it has a substantial interest in the matter is entitled to join as a complaining Party on delivery of written notice of its intention to participate to the disputing Parties through their respective Sections of the Secretariat, including a copy to its Section. The third Party shall deliver the notice no later than seven days after the date of delivery of a request by a Party for the establishment of a panel. 6. Unless the disputing Parties decide otherwise, the panel shall be established and perform its functions in a manner consistent with this Chapter and the Rules of Procedure. 7. If a panel has been established regarding a matter and another Party requests the establishment of a panel regarding the same matter, a single panel should be established to examine those complaints whenever feasible.</w:t>
      </w:r>
    </w:p>
    <w:p>
      <w:pPr>
        <w:pStyle w:val="Heading2"/>
      </w:pPr>
      <w:bookmarkStart w:id="900995" w:name="_Toc300000994"/>
      <w:r>
        <w:t xml:space="preserve">Article 31.7: Terms of Reference</w:t>
      </w:r>
      <w:bookmarkEnd w:id="900995"/>
    </w:p>
    <w:p>
      <w:pPr>
        <w:pStyle w:val="Normal"/>
      </w:pPr>
      <w:r>
        <w:t xml:space="preserve">1. Unless the disputing Parties decide otherwise no later than 20 days after the date of delivery of the request for the establishment of a panel, the terms of reference shall be to: (a) examine, in the light of the relevant provisions of this Agreement, the matter referred to in the request for the establishment of a panel under Article 31.6 (Establishment of a Panel); and (b) make findings and determinations, and any jointly requested recommendations, together with its reasons therefor, as provided for in Article 31.17 (Panel Report). 2. If, in its request for the establishment of a panel, a complaining Party claims that a measure nullifies or impairs a benefit within the meaning of Article 31.2 (Scope), the terms of reference shall so indicate. 3. If a disputing Party wishes the panel to make findings as to the degree of adverse trade effects on a Party of a measure found not to conform with an obligation of this Agreement or to have caused nullification or impairment in the sense of Article 31.2(c) (Scope), the terms of reference shall so indicate.</w:t>
      </w:r>
    </w:p>
    <w:p>
      <w:pPr>
        <w:pStyle w:val="Heading2"/>
      </w:pPr>
      <w:bookmarkStart w:id="900996" w:name="_Toc300000995"/>
      <w:r>
        <w:t xml:space="preserve">Article 31.8: Roster and Qualifications of Panelists</w:t>
      </w:r>
      <w:bookmarkEnd w:id="900996"/>
    </w:p>
    <w:p>
      <w:pPr>
        <w:pStyle w:val="Normal"/>
      </w:pPr>
      <w:r>
        <w:t xml:space="preserve">1. The Parties shall establish by the date of entry into force of this Agreement and maintain a roster of up to 30 individuals who are willing to serve as panelists. The roster shall be appointed by consensus and remain in effect for a minimum of three years or until the Parties constitute a new roster. Members of the roster may be reappointed. 2. Each roster member and panelist shall: (a) have expertise or experience in international law, international trade, other matters covered by this Agreement, or the resolution of disputes arising under international trade agreements; (b) be selected on the basis of objectivity, reliability, and sound judgment; (c) be independent of, and not be affiliated with or take instructions from, a Party; and (d) comply with the Code of Conduct established by the Commission. 3. For a dispute arising under Chapter 23 (Labor) and Chapter 24 (Environment), each disputing Party shall select a panelist in accordance with the following requirements, in addition to those set out in paragraph 1:</w:t>
      </w:r>
    </w:p>
    <w:p>
      <w:pPr>
        <w:pStyle w:val="Normal"/>
      </w:pPr>
      <w:r>
        <w:t>(a) in a dispute arising under Chapter 23 (Labor), panelists other than the chair shall have expertise or experience in labor law or practice; and (b) in a dispute arising under Chapter 24 (Environment), panelists other than the chair shall have expertise or experience in environmental law or practice. 4.</w:t>
      </w:r>
    </w:p>
    <w:p>
      <w:pPr>
        <w:pStyle w:val="Normal"/>
      </w:pPr>
      <w:r>
        <w:t>In disputes regarding specialized areas of law not set out in paragraph 3, the disputing Parties should select panelists to ensure that the necessary expertise is available on the panel. 5. An individual shall not serve as a panelist in the same dispute in which the individual has participated pursuant to Articles 31.4 (Consultations) or Article 31.5 (Commission, Good Offices, Conciliation, and Mediation).</w:t>
      </w:r>
    </w:p>
    <w:p>
      <w:pPr>
        <w:pStyle w:val="Heading2"/>
      </w:pPr>
      <w:bookmarkStart w:id="900997" w:name="_Toc300000996"/>
      <w:r>
        <w:t xml:space="preserve">Article 31.9: Panel Composition</w:t>
      </w:r>
      <w:bookmarkEnd w:id="900997"/>
    </w:p>
    <w:p>
      <w:pPr>
        <w:pStyle w:val="Normal"/>
      </w:pPr>
      <w:r>
        <w:t xml:space="preserve">1. If there are two disputing Parties, the following procedures shall apply: (a) The panel shall comprise five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Within 15 days of selection of the chair, each disputing Party shall select two panelists who are citizens of the other disputing Party. (d) If a disputing Party fails to select its panelists within that period, those panelists shall be selected by lot from among the roster members who are citizens of the other disputing Party. 2. If there are more than two disputing Parties, the following procedures apply: (a) The panel shall comprise five members.</w:t>
      </w:r>
    </w:p>
    <w:p>
      <w:pPr>
        <w:pStyle w:val="Normal"/>
      </w:pPr>
      <w:r>
        <w:t>(b)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w:t>
      </w:r>
    </w:p>
    <w:p>
      <w:pPr>
        <w:pStyle w:val="Normal"/>
      </w:pPr>
      <w:r>
        <w:t>(c)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(d) If a disputing Party fails to select a panelist within that period, that panelist shall be selected by lot in accordance with the citizenship criteria of subparagraph (c). 3. A panelist shall normally be selected from the roster.</w:t>
      </w:r>
    </w:p>
    <w:p>
      <w:pPr>
        <w:pStyle w:val="Normal"/>
      </w:pPr>
      <w:r>
        <w:t>A disputing Party may exercise a peremptory challenge against an individual not on the roster who is proposed as a panelist by a disputing Party within 15 days after the individual has been proposed, unless no qualified and available individual on the roster possesses necessary specialized expertise, including as required by Article 31.8.3 (Roster and Qualifications of Panelists), in which case a disputing Party may not exercise a peremptory challenge but may raise concerns that the panelist does not meet the requirements of Article 31.8.2 (Roster and Qualifications of Panelists). 4. If a disputing Party believes that a panelist is in violation of the Code of Conduct, the disputing Parties shall consult and if they concur the panelist shall be removed and a new panelist shall be selected in accordance with this Article.</w:t>
      </w:r>
    </w:p>
    <w:p>
      <w:pPr>
        <w:pStyle w:val="Heading2"/>
      </w:pPr>
      <w:bookmarkStart w:id="900998" w:name="_Toc300000997"/>
      <w:r>
        <w:t xml:space="preserve">Article 31.10: Replacement of Panelists</w:t>
      </w:r>
      <w:bookmarkEnd w:id="900998"/>
    </w:p>
    <w:p>
      <w:pPr>
        <w:pStyle w:val="Normal"/>
      </w:pPr>
      <w:r>
        <w:t xml:space="preserve">1. If a panelist resigns, is removed, or becomes unable to serve, the time frames applicable to that panel’s proceeding shall be suspended until a replacement is appointed and shall be extended by the amount of time that the work was suspended. 2. If a panelist resigns, is removed, or becomes unable to serve on the panel, a replacement panelist shall be appointed within 15 days in accordance with the same method used to select the panelist in accordance with Article 31.9 (Panel Composition). 3. If a disputing Party believes that a panelist is in violation of the Code of Conduct, the disputing Parties shall consult. If they concur on removing the panelist, they shall be removed and a new panelist shall be selected in accordance with this Article.</w:t>
      </w:r>
    </w:p>
    <w:p>
      <w:pPr>
        <w:pStyle w:val="Heading2"/>
      </w:pPr>
      <w:bookmarkStart w:id="900999" w:name="_Toc300000998"/>
      <w:r>
        <w:t xml:space="preserve">Article 31.11: Rules of Procedure for Panels</w:t>
      </w:r>
      <w:bookmarkEnd w:id="900999"/>
    </w:p>
    <w:p>
      <w:pPr>
        <w:pStyle w:val="Normal"/>
      </w:pPr>
      <w:r>
        <w:t xml:space="preserve">The Rules of Procedure, established under this Agreement in accordance with Article 30.2 (Functions of the Commission), shall ensure that: (a) disputing Parties have the right to at least one hearing before the panel at which each may present views orally; (b) subject to subparagraph (f), a hearing before the panel shall be open to the public, unless the disputing Parties decide otherwise; (c) each disputing Party has an opportunity to provide an initial and a rebuttal written submission; (d) subject to subparagraph (f), each disputing Party’s written submissions, written version of an oral statement, and written response to a request or question from the panel, if any, are public as soon as possible after the documents are filed; (e) the panel shall consider requests from non-governmental entities located in the territory of a disputing Party to provide written views regarding the dispute that may assist the panel in evaluating the submissions and arguments of the disputing Parties; (f) confidential information is protected;</w:t>
      </w:r>
    </w:p>
    <w:p>
      <w:pPr>
        <w:pStyle w:val="Normal"/>
      </w:pPr>
      <w:r>
        <w:t>(g) written submissions and oral arguments shall be made in one of the languages of the Parties, unless the disputing Parties decide otherwise; and (h) unless the disputing Parties decide otherwise, hearings shall be held in the capital of the responding Party.</w:t>
      </w:r>
    </w:p>
    <w:p>
      <w:pPr>
        <w:pStyle w:val="Heading2"/>
      </w:pPr>
      <w:bookmarkStart w:id="901000" w:name="_Toc300000999"/>
      <w:r>
        <w:t xml:space="preserve">Article 31.12: Electronic Document Filing</w:t>
      </w:r>
      <w:bookmarkEnd w:id="901000"/>
    </w:p>
    <w:p>
      <w:pPr>
        <w:pStyle w:val="Normal"/>
      </w:pPr>
      <w:r>
        <w:t xml:space="preserve">The disputing Parties shall file all documents relating to a dispute, including written submissions, written versions of oral statements, and written responses to panel questions, by electronic means through their respective Sections of the Secretariat.</w:t>
      </w:r>
    </w:p>
    <w:p>
      <w:pPr>
        <w:pStyle w:val="Heading2"/>
      </w:pPr>
      <w:bookmarkStart w:id="901001" w:name="_Toc300001000"/>
      <w:r>
        <w:t xml:space="preserve">Article 31.13: Function of Panels</w:t>
      </w:r>
      <w:bookmarkEnd w:id="901001"/>
    </w:p>
    <w:p>
      <w:pPr>
        <w:pStyle w:val="Normal"/>
      </w:pPr>
      <w:r>
        <w:t xml:space="preserve">1. A panel’s function is to make an objective assessment of the matter before it and to present a report that contains: (a) findings of fact; (b) determinations as to whether: (i) the measure at issue is inconsistent with obligations in this Agreement, (ii) a Party has otherwise failed to carry out its obligations in this Agreement, (iii) the measure at issue is causing nullification or impairment within the meaning of Article 31.2 (Scope), or (iv) any other determination requested in the terms of reference; (c) recommendations, if the disputing Parties have jointly requested them, for the resolution of the dispute; and (d) the reasons for the findings and determinations. 2. The findings, determinations and recommendations of the panel shall not add to or diminish the rights and obligations of the Parties under this Agreement. 3. Unless the disputing Parties decide otherwise, the panel shall perform its functions and conduct its proceeding in a manner consistent with this Chapter and the Rules of Procedure. 4.</w:t>
      </w:r>
    </w:p>
    <w:p>
      <w:pPr>
        <w:pStyle w:val="Normal"/>
      </w:pPr>
      <w:r>
        <w:t>The panel shall interpret this Agreement in accordance with customary rules of interpretation of public international law, as reflected in Articles 31 and 32 of the Vienna Convention on the Law of Treaties, done at Vienna on May 23, 1969. 5. A panel shall take its decision by consensus, except that, if a panel is unable to reach consensus, it may take its decision by majority vote. 6.</w:t>
      </w:r>
    </w:p>
    <w:p>
      <w:pPr>
        <w:pStyle w:val="Normal"/>
      </w:pPr>
      <w:r>
        <w:t>The panel shall base its report on the relevant provisions of this Agreement, the submissions and arguments of the disputing Parties, and on any information or advice put before it under Article 31.15 (Role of Experts). 7. The panel shall draft its reports without the presence of any Party. 8. Panelists may present separate views on matters not unanimously agreed and shall not disclose the identity of which panelists are associated with majority or minority views.</w:t>
      </w:r>
    </w:p>
    <w:p>
      <w:pPr>
        <w:pStyle w:val="Heading2"/>
      </w:pPr>
      <w:bookmarkStart w:id="901002" w:name="_Toc300001001"/>
      <w:r>
        <w:t xml:space="preserve">Article 31.14: Third Party Participation</w:t>
      </w:r>
      <w:bookmarkEnd w:id="901002"/>
    </w:p>
    <w:p>
      <w:pPr>
        <w:pStyle w:val="Normal"/>
      </w:pPr>
      <w:r>
        <w:t xml:space="preserve">A Party that is not a disputing Party shall, on delivery of a written notice to the disputing Parties through their respective Sections of the Secretariat, including a copy to its Section, be entitled to attend any hearing, to make written and oral submissions to the panel, and to receive written submissions of the disputing Parties. The Party shall provide written notice no later than 10 days after the date of delivery of the request for the establishment of the panel under Article 31.6 (Establishment of a Panel).</w:t>
      </w:r>
    </w:p>
    <w:p>
      <w:pPr>
        <w:pStyle w:val="Heading2"/>
      </w:pPr>
      <w:bookmarkStart w:id="901003" w:name="_Toc300001002"/>
      <w:r>
        <w:t xml:space="preserve">Article 31.15: Role of Experts</w:t>
      </w:r>
      <w:bookmarkEnd w:id="901003"/>
    </w:p>
    <w:p>
      <w:pPr>
        <w:pStyle w:val="Normal"/>
      </w:pPr>
      <w:r>
        <w:t xml:space="preserve">At the request of a disputing Party, or on its own initiative, a panel may seek information or technical advice from a person or body that it deems appropriate, provided that the disputing Parties agree and subject to any terms and conditions decided on by the disputing Parties. The disputing Parties shall have an opportunity to comment on information or advice obtained under this Article.</w:t>
      </w:r>
    </w:p>
    <w:p>
      <w:pPr>
        <w:pStyle w:val="Heading2"/>
      </w:pPr>
      <w:bookmarkStart w:id="901004" w:name="_Toc300001003"/>
      <w:r>
        <w:t xml:space="preserve">Article 31.16: Suspension or Termination of Proceedings</w:t>
      </w:r>
      <w:bookmarkEnd w:id="901004"/>
    </w:p>
    <w:p>
      <w:pPr>
        <w:pStyle w:val="Normal"/>
      </w:pPr>
      <w:r>
        <w:t xml:space="preserve">1. The panel may suspend its work at any time at the request of the complaining Party, for a period not to exceed 12 consecutive months. The panel shall suspend its work at any time if the disputing Parties request it to do so. In the event of a suspension, the time frames set out in this Chapter and in the Rules of Procedure shall be extended by the amount of time that the work was suspended. If the work of the panel is suspended for more than 12 consecutive months, the panel proceedings shall lapse unless the disputing Parties decide otherwise. 2. The panel shall terminate its proceedings if the disputing Parties request it to do so.</w:t>
      </w:r>
    </w:p>
    <w:p>
      <w:pPr>
        <w:pStyle w:val="Heading2"/>
      </w:pPr>
      <w:bookmarkStart w:id="901005" w:name="_Toc300001004"/>
      <w:r>
        <w:t xml:space="preserve">Article 31.17: Panel Report</w:t>
      </w:r>
      <w:bookmarkEnd w:id="901005"/>
    </w:p>
    <w:p>
      <w:pPr>
        <w:pStyle w:val="Normal"/>
      </w:pPr>
      <w:r>
        <w:t xml:space="preserve">1. The panel shall present an initial report to the disputing Parties no later than 150 days after the date of the appointment of the last panelist. In cases of urgency related to perishable goods, the panel shall endeavour to present an initial report to the disputing Parties no later than 120 days after the date of the appointment of the last panelist. 2. In exceptional cases, if the panel considers that it cannot release its initial report within the time period specified in paragraph 1, it shall inform the disputing Parties in writing of the reasons for the delay together with an estimate of when it will issue its report. A delay shall not exceed an additional period of 30 days unless the disputing Parties decide otherwise. 3. A disputing Party may submit written comments to the panel on its initial report no later than 15 days after the presentation of the initial report or within another period as the disputing Parties may decide. 4.</w:t>
      </w:r>
    </w:p>
    <w:p>
      <w:pPr>
        <w:pStyle w:val="Normal"/>
      </w:pPr>
      <w:r>
        <w:t>After considering those comments, the panel, on its own initiative or on the request of a disputing Party, may: (a) request the views of a Party; (b) reconsider its report; or (c) make a further examination that it considers appropriate. 5. The panel shall present a final report including any separate opinions on matters not unanimously agreed to the disputing Parties no later than 30 days after presentation of the initial report, unless the disputing Parties decide otherwise. 6.</w:t>
      </w:r>
    </w:p>
    <w:p>
      <w:pPr>
        <w:pStyle w:val="Normal"/>
      </w:pPr>
      <w:r>
        <w:t>After taking any steps to protect confidential information, and no later than 15 days after the presentation of the final report, the disputing Parties shall make the final report available to the public.</w:t>
      </w:r>
    </w:p>
    <w:p>
      <w:pPr>
        <w:pStyle w:val="Heading2"/>
      </w:pPr>
      <w:bookmarkStart w:id="901006" w:name="_Toc300001005"/>
      <w:r>
        <w:t xml:space="preserve">Article 31.18: Implementation of Final Report</w:t>
      </w:r>
      <w:bookmarkEnd w:id="901006"/>
    </w:p>
    <w:p>
      <w:pPr>
        <w:pStyle w:val="Normal"/>
      </w:pPr>
      <w:r>
        <w:t xml:space="preserve">1. Within 45 days from receipt of a final report that contains findings that: (a) the measure at issue is inconsistent with a Party’s obligations in this Agreement; (b) a Party has otherwise failed to carry out its obligations in this Agreement; or (c) the measure at issue is causing nullification or impairment within the meaning of Article 31.2 (Scope), the disputing Parties shall endeavor to agree on the resolution of the dispute. 2. Resolution of the dispute can comprise elimination of the non-conformity or the nullification or impairment, if possible, the provision of mutually acceptable compensation, or another remedy the disputing Parties may agree.</w:t>
      </w:r>
    </w:p>
    <w:p>
      <w:pPr>
        <w:pStyle w:val="Heading2"/>
      </w:pPr>
      <w:bookmarkStart w:id="901007" w:name="_Toc300001006"/>
      <w:r>
        <w:t xml:space="preserve">Article 31.19: Non-Implementation – Suspension of Benefits</w:t>
      </w:r>
      <w:bookmarkEnd w:id="901007"/>
    </w:p>
    <w:p>
      <w:pPr>
        <w:pStyle w:val="Normal"/>
      </w:pPr>
      <w:r>
        <w:t xml:space="preserve">1. If the disputing Parties are unable to agree on a resolution to the dispute under Article 31.18 (Implementation of Final Report) within 45 days from receipt of the final report, the complaining Party may suspend the application to the responding Party of benefits of equivalent effect to the non-conformity or the nullification or impairment until the disputing Parties agree on a resolution to the dispute. 2. In considering what benefits to suspend pursuant to paragraph 1: (a) a complaining Party should first seek to suspend benefits in the same sector as that affected by the measure or other matter that was the subject of the dispute; and (b) a complaining Party that considers it is not practicable or effective to suspend benefits in the same sector, may suspend benefits in other sectors unless otherwise provided for elsewhere in this Agreement. 3. If the responding Party considers that:</w:t>
      </w:r>
    </w:p>
    <w:p>
      <w:pPr>
        <w:pStyle w:val="Normal"/>
      </w:pPr>
      <w:r>
        <w:t>(a) the level of benefits proposed to be suspended is manifestly excessive; or (b) it has eliminated the non-conformity or the nullification or impairment that the panel has determined to exist, it may request that the panel be reconvened to consider the matter. The responding Party shall deliver its request in writing to the complaining Party.</w:t>
      </w:r>
    </w:p>
    <w:p>
      <w:pPr>
        <w:pStyle w:val="Normal"/>
      </w:pPr>
      <w:r>
        <w:t>The panel shall reconvene as soon as possible after the date of delivery of the request and shall present its determination to the disputing Parties no later than 90 days after it reconvenes to review a request under subparagraph (a) or (b), or 120 days after it reconvenes for a request under both subparagraphs (a) and (b). If the panel considers that the level of benefits the complaining Party proposes to suspend is manifestly excessive, it shall provide its views as to the level of benefits it considers to be of equivalent effect. 4. If the panel’s views are that the responding Party has not eliminated the non-conformity or the nullification or impairment, the complaining Party may suspend benefits up to the level the panel has determined under paragraph 3. Section B: Domestic Proceedings and Private Commercial Dispute Settlement</w:t>
      </w:r>
    </w:p>
    <w:p>
      <w:pPr>
        <w:pStyle w:val="Heading2"/>
      </w:pPr>
      <w:bookmarkStart w:id="901008" w:name="_Toc300001007"/>
      <w:r>
        <w:t xml:space="preserve">Article 31.20: Referrals of Matters from Judicial or Administrative Proceedings</w:t>
      </w:r>
      <w:bookmarkEnd w:id="901008"/>
    </w:p>
    <w:p>
      <w:pPr>
        <w:pStyle w:val="Normal"/>
      </w:pPr>
      <w:r>
        <w:t xml:space="preserve">1. If an issue of interpretation or application of this Agreement arises in a domestic judicial or administrative proceeding of a Party that a Party considers would merit its intervention, or if a court or administrative body solicits the views of a Party, that Party shall notify the other Parties and its Section of the Secretariat. The Commission shall endeavor to agree on an appropriate response as expeditiously as possible. 2. The Party in whose territory the court or administrative body is located shall submit an agreed interpretation of the Commission to the court or administrative body in accordance with the rules of that forum. 3. If the Commission is unable to agree, a Party may submit its own views to the court or administrative body in accordance with the rules of that forum.</w:t>
      </w:r>
    </w:p>
    <w:p>
      <w:pPr>
        <w:pStyle w:val="Heading2"/>
      </w:pPr>
      <w:bookmarkStart w:id="901009" w:name="_Toc300001008"/>
      <w:r>
        <w:t xml:space="preserve">Article 31.21: Private Rights</w:t>
      </w:r>
      <w:bookmarkEnd w:id="901009"/>
    </w:p>
    <w:p>
      <w:pPr>
        <w:pStyle w:val="Normal"/>
      </w:pPr>
      <w:r>
        <w:t xml:space="preserve">No Party shall provide for a right of action under its law against another Party on the ground that a measure of that other Party is inconsistent with this Agreement.</w:t>
      </w:r>
    </w:p>
    <w:p>
      <w:pPr>
        <w:pStyle w:val="Heading2"/>
      </w:pPr>
      <w:bookmarkStart w:id="901010" w:name="_Toc300001009"/>
      <w:r>
        <w:t xml:space="preserve">Article 31.22: Alternative Dispute Resolution</w:t>
      </w:r>
      <w:bookmarkEnd w:id="901010"/>
    </w:p>
    <w:p>
      <w:pPr>
        <w:pStyle w:val="Normal"/>
      </w:pPr>
      <w:r>
        <w:t xml:space="preserve">1. Each Party shall, to the extent possible, encourage, facilitate, and promote through education, the use of arbitration, mediation, online dispute resolution and other procedures for the prevention and resolution of international commercial disputes between private parties in the free trade area. 2. To this end, each Party shall provide appropriate procedures to ensure observance of agreements to arbitrate and for the recognition and enforcement of arbitral awards and settlement agreements in those disputes, and to facilitate and encourage mediation procedures. 3. A Party shall be deemed to be in compliance with paragraph 2 if it is a party to and is in compliance with the Convention on the Recognition and Enforcement of Foreign Arbitral Awards, done at New York on June 10 1958, or the Inter-American Convention on International Commercial Arbitration, done at Panama on January 30, 1975. 4. The Commission shall establish and maintain an Advisory Committee on Private Commercial Disputes comprising persons with expertise or experience in the resolution of private international commercial disputes.</w:t>
      </w:r>
    </w:p>
    <w:p>
      <w:pPr>
        <w:pStyle w:val="Normal"/>
      </w:pPr>
      <w:r>
        <w:t>The Committee shall, to the extent possible, encourage, facilitate, and promote through education, the use of arbitration, mediation, online dispute resolution and other procedures for the prevention and resolution of international commercial disputes between private parties in the free trade area.</w:t>
      </w:r>
    </w:p>
    <w:p>
      <w:pPr>
        <w:pStyle w:val="Normal"/>
      </w:pPr>
      <w:r>
        <w:t>The Committee shall report and provide recommendations to the Commission on general issues respecting the availability, use, and effectiveness of arbitration, mediation, online dispute settlement resolution, and other dispute resolution procedures for the prevention and resolution of those disputes in the free trade area.</w:t>
      </w:r>
    </w:p>
    <w:p>
      <w:pPr>
        <w:pStyle w:val="ModHeading"/>
      </w:pPr>
      <w:bookmarkStart w:id="901011" w:name="_Toc300001010"/>
      <w:r>
        <w:t>CHAPTER 31: CUSMA 2.0 MODERNIZATION PROVISIONS</w:t>
      </w:r>
      <w:bookmarkEnd w:id="901011"/>
    </w:p>
    <w:p>
      <w:pPr>
        <w:pStyle w:val="Normal"/>
      </w:pPr>
      <w:r>
        <w:rPr>
          <w:i/>
        </w:rPr>
        <w:t>The provisions of this Part amend Chapter 31 (Dispute Settlement). The amendments effected by the 2019 Protocol of Amendment (including Articles 31.6, 31.8, 31.9, and 31.11 as amended, and Annexes 31-A and 31-B) remain in force and are built upon below.</w:t>
      </w:r>
    </w:p>
    <w:p>
      <w:pPr>
        <w:pStyle w:val="Heading2"/>
      </w:pPr>
      <w:bookmarkStart w:id="901012" w:name="_Toc300001011"/>
      <w:r>
        <w:t>Article 31.A: Expedited Tariff Panel Procedure</w:t>
      </w:r>
      <w:bookmarkEnd w:id="901012"/>
    </w:p>
    <w:p>
      <w:pPr>
        <w:pStyle w:val="Normal"/>
      </w:pPr>
      <w:r>
        <w:t>1. This Article applies to a dispute concerning: (a) a covered border measure affecting originating goods; (b) a measure under Chapter 35, including a PTA, an emergency provisional measure, or a measure referred to the special lane in Article 35.22; (c) a safeguard measure affecting originating goods of another Party; or (d) a measure that a Party certifies is causing, or imminently threatens, material disruption of integrated North American production or of perishable goods trade.</w:t>
      </w:r>
    </w:p>
    <w:p>
      <w:pPr>
        <w:pStyle w:val="Normal"/>
      </w:pPr>
      <w:r>
        <w:t>2. A consulting Party may invoke this procedure after the expiry of: (a) 15 days after delivery of a consultation request in a matter concerning perishable goods or an imminent supply-chain disruption; or (b) 30 days in other matters within paragraph 1.</w:t>
      </w:r>
    </w:p>
    <w:p>
      <w:pPr>
        <w:pStyle w:val="Normal"/>
      </w:pPr>
      <w:r>
        <w:t>3. Upon delivery of a request for establishment of an Expedited Tariff Panel: (a) the panel is established automatically on delivery, in accordance with Article 31.6.4 as amended; (b) the panel is composed within five days from members of the Article 31.8 roster who satisfy the tariff/customs specialization criteria published under Article 31.C; (c) written submissions are due within 10 days of composition; (d) the hearing, if any, is held within 20 days of composition; and (e) the panel issues its final report within 45 days of composition in a matter under paragraph 1(a) through (c), and within 20 days of composition in a matter involving perishable goods or critical infrastructure. In an exceptionally complex matter - including a matter involving a multi-entity origin network or a complex subsidization record - the panel may extend the applicable deadline once, by not more than 30 days, upon a reasoned, published finding that due process otherwise cannot be maintained.</w:t>
      </w:r>
    </w:p>
    <w:p>
      <w:pPr>
        <w:pStyle w:val="Normal"/>
      </w:pPr>
      <w:r>
        <w:t>4. Where continued application of the measure during the proceedings threatens serious and irreparable disruption of integrated production or essential flows, the panel may issue an interim indication, binding on the disputing Parties, that the measure be suspended in whole or in part pending the final report, provided that: (a) the panel finds a strong prima facie case of inconsistency with this Agreement and a serious risk of irreparable harm, with reasons stated in writing; (b) the indication is limited to what is necessary to prevent that harm; (c) the indication expires with the final report and in any case 60 days after issuance; and (d) either disputing Party may request emergency reconsideration within five days, which the panel shall decide within five days. Failure to comply with an interim indication entitles the complaining Party to a proportionate interim countermeasure within the affected module, subject to reconciliation in the final report.</w:t>
      </w:r>
    </w:p>
    <w:p>
      <w:pPr>
        <w:pStyle w:val="Normal"/>
      </w:pPr>
      <w:r>
        <w:t>5. A determination of the North American Trade Verification mechanism within its mandate is binding on a panel under this Article unless manifestly erroneous.</w:t>
      </w:r>
    </w:p>
    <w:p>
      <w:pPr>
        <w:pStyle w:val="Normal"/>
      </w:pPr>
      <w:r>
        <w:t>6. Following a final report finding inconsistency with this Agreement, the responding Party shall comply within 15 days in a matter under paragraph 1(b) or (d), and within 30 days in other matters under this Article, unless the panel fixes a shorter period. Noncompliance within that period automatically authorizes proportionate countermeasures under Article 31.19 as amended, without further proceedings except review of the level under Article 31.19.3.</w:t>
      </w:r>
    </w:p>
    <w:p>
      <w:pPr>
        <w:pStyle w:val="Heading2"/>
      </w:pPr>
      <w:bookmarkStart w:id="901013" w:name="_Toc300001012"/>
      <w:r>
        <w:t>Article 31.B: Consultations, Modernized Clocks</w:t>
      </w:r>
      <w:bookmarkEnd w:id="901013"/>
    </w:p>
    <w:p>
      <w:pPr>
        <w:pStyle w:val="Normal"/>
      </w:pPr>
      <w:r>
        <w:t>1. Article 31.4 (Consultations) is supplemented as follows: where a request for consultations concerns a measure notified under Article 32.2 as replaced, or a covered border measure, consultations shall commence within 10 days of the request, at the level requested, and ministerial consultations shall be held within 20 days if requested by a consulting Party.</w:t>
      </w:r>
    </w:p>
    <w:p>
      <w:pPr>
        <w:pStyle w:val="Normal"/>
      </w:pPr>
      <w:r>
        <w:t>2. Where a proposed measure has been registered in the North American Trade Measures Registry under Article 35.24 and has not yet taken effect, a consulting Party may request that the measure not take effect pending consultations for up to 30 days, and the responding Party shall give sympathetic consideration to the request in light of the supply-chain impact assessment, if any, under Article 35.23.</w:t>
      </w:r>
    </w:p>
    <w:p>
      <w:pPr>
        <w:pStyle w:val="Heading2"/>
      </w:pPr>
      <w:bookmarkStart w:id="901014" w:name="_Toc300001013"/>
      <w:r>
        <w:t>Article 31.C: Standing Rosters, Independence, and Anti-Deadlock</w:t>
      </w:r>
      <w:bookmarkEnd w:id="901014"/>
    </w:p>
    <w:p>
      <w:pPr>
        <w:pStyle w:val="Normal"/>
      </w:pPr>
      <w:r>
        <w:t>Roster Integrity. Roster members shall possess demonstrated expertise in international trade law, customs, economics, adjudication, or the subject matter of this Agreement; serve staggered fixed terms; disclose financial, professional, governmental, and client conflicts; comply with a binding code of conduct and cooling-off rules; and be subject to automatic replacement procedures where a Party fails to nominate or replace a member within the prescribed period. Appointment shall not be delayed by failure of a Party to act.</w:t>
      </w:r>
    </w:p>
    <w:p>
      <w:pPr>
        <w:pStyle w:val="Normal"/>
      </w:pPr>
      <w:r>
        <w:t>1. The Parties shall maintain specialization designations within the roster established under Article 31.8 for tariff and customs matters, including at least 15 roster members in aggregate who possess demonstrated relevant expertise. The Parties shall also maintain the technical verifier rosters and neutral Joint List required by Article 35.10.2. These are qualification lists for ad hoc proceedings, not separate permanent adjudicative institutions.</w:t>
      </w:r>
    </w:p>
    <w:p>
      <w:pPr>
        <w:pStyle w:val="Normal"/>
      </w:pPr>
      <w:r>
        <w:t>2. If a Party fails to make a designation required for a roster, specialization list, or neutral list under this Agreement within 60 days of a vacancy, the designations of the other Parties stand, and the senior official of the Secretariat shall apply the predetermined default-selection method in this Article from eligible qualified persons. The official shall not exercise policy discretion to choose a preferred adjudicator.</w:t>
      </w:r>
    </w:p>
    <w:p>
      <w:pPr>
        <w:pStyle w:val="Normal"/>
      </w:pPr>
      <w:r>
        <w:t>3. Roster members, panelists, and Verification Team members are subject to the independence, disclosure, recusal, cooling-off, and compensation rules of Article 35.10.10, which apply to dispute-settlement service under this Chapter mutatis mutandis.</w:t>
      </w:r>
    </w:p>
    <w:p>
      <w:pPr>
        <w:pStyle w:val="Normal"/>
      </w:pPr>
      <w:r>
        <w:t>4. A Party shall not disable dispute settlement under this Agreement by refusing to participate in panel selection, failing to appear, withholding consent to procedural decisions, or declining to appoint roster members. Where a responding Party so refuses or fails, the complaining Party may proceed under the default-selection procedures of Article 31.9 as amended, and the panel may proceed and decide on the record before it.</w:t>
      </w:r>
    </w:p>
    <w:p>
      <w:pPr>
        <w:pStyle w:val="Normal"/>
      </w:pPr>
      <w:r>
        <w:t>5. A panel’s jurisdiction does not depend on the responding Party’s participation. A report issued following a Party’s non-participation has the same effect as any other report.</w:t>
      </w:r>
    </w:p>
    <w:p>
      <w:pPr>
        <w:pStyle w:val="Normal"/>
      </w:pPr>
      <w:r>
        <w:t>6. Legitimacy of Default Selection. A default appointment under this Article shall be made by a published rule-bound method, using random selection from the eligible neutral Joint List or another predetermined rotation agreed by the Parties. The Secretariat shall have no discretion to select a particular individual once the triggering conditions are met.</w:t>
      </w:r>
    </w:p>
    <w:p>
      <w:pPr>
        <w:pStyle w:val="Normal"/>
      </w:pPr>
      <w:r>
        <w:t>7. Each Party retains equal nomination rights to the standing Article 31.8 roster and to Party-designated technical verifier lists. At least one-third of the neutral Joint List used for Article 35 verification shall consist of persons who are not nationals of any Party, where qualified candidates are available.</w:t>
      </w:r>
    </w:p>
    <w:p>
      <w:pPr>
        <w:pStyle w:val="Normal"/>
      </w:pPr>
      <w:r>
        <w:t>8. Before appointment, every panelist shall disclose financial interests, current and recent clients, government service, expert engagements, and other circumstances that could reasonably raise a conflict concern. A Party may challenge an appointee for a demonstrated conflict of interest or material breach of the code of conduct; the challenge shall be decided within five days by two uninvolved roster members selected by lot.</w:t>
      </w:r>
    </w:p>
    <w:p>
      <w:pPr>
        <w:pStyle w:val="Normal"/>
      </w:pPr>
      <w:r>
        <w:t>9. Panelists serve fixed, staggered, non-renewable terms unless the Parties unanimously agree otherwise. Failure to replenish a roster does not disable proceedings: the most recent eligible roster remains provisionally available until replacements are appointed.</w:t>
      </w:r>
    </w:p>
    <w:p>
      <w:pPr>
        <w:pStyle w:val="Normal"/>
      </w:pPr>
      <w:r>
        <w:t>10. A Party may challenge only whether the automatic selection procedure was followed or whether an appointee is disqualified under paragraph 8; it may not block a proceeding merely because it objects to adjudication or to a qualified panelist's nationality, prior published views, or professional background.</w:t>
      </w:r>
    </w:p>
    <w:p>
      <w:pPr>
        <w:pStyle w:val="Heading2"/>
      </w:pPr>
      <w:bookmarkStart w:id="901015" w:name="_Toc300001014"/>
      <w:r>
        <w:t>Article 31.D: Implementation, Compliance Review, and the End of Procedural Limbo</w:t>
      </w:r>
      <w:bookmarkEnd w:id="901015"/>
    </w:p>
    <w:p>
      <w:pPr>
        <w:pStyle w:val="Normal"/>
      </w:pPr>
      <w:r>
        <w:t>1. Article 31.18 and Article 31.19 are supplemented as follows:</w:t>
      </w:r>
    </w:p>
    <w:p>
      <w:pPr>
        <w:pStyle w:val="Normal"/>
      </w:pPr>
      <w:r>
        <w:t>(a) the final report shall fix a compliance period wherever practicable; where it does not, the compliance period is 45 days from receipt of the report;</w:t>
      </w:r>
    </w:p>
    <w:p>
      <w:pPr>
        <w:pStyle w:val="Normal"/>
      </w:pPr>
      <w:r>
        <w:t>(b) at the end of the compliance period, the responding Party shall notify the disputing Parties and the Secretariat of the measures taken to comply;</w:t>
      </w:r>
    </w:p>
    <w:p>
      <w:pPr>
        <w:pStyle w:val="Normal"/>
      </w:pPr>
      <w:r>
        <w:t>(c) a disagreement over compliance is subject to a compliance panel proceeding completed within 60 days, drawing on the original panelists wherever available;</w:t>
      </w:r>
    </w:p>
    <w:p>
      <w:pPr>
        <w:pStyle w:val="Normal"/>
      </w:pPr>
      <w:r>
        <w:t>(d) suspension of benefits under Article 31.19 is proportionate to the trade effect of the violation, remains within the affected trade module except as provided in Article 35.15.3, and terminates automatically upon a compliance determination that the responding Party has complied; and</w:t>
      </w:r>
    </w:p>
    <w:p>
      <w:pPr>
        <w:pStyle w:val="Normal"/>
      </w:pPr>
      <w:r>
        <w:t>(e) where the responding Party claims compliance at any time, it may request an expedited compliance review, which shall be completed within 30 days; pending that review, no increase in the level of suspension takes effect.</w:t>
      </w:r>
    </w:p>
    <w:p>
      <w:pPr>
        <w:pStyle w:val="Normal"/>
      </w:pPr>
      <w:r>
        <w:t>2. Countermeasures terminate automatically upon compliance. There is no discretion to maintain countermeasures after verified compliance, and no admission, apology, or unrelated concession may be required as a condition of termination.</w:t>
      </w:r>
    </w:p>
    <w:p>
      <w:pPr>
        <w:pStyle w:val="Heading2"/>
      </w:pPr>
      <w:bookmarkStart w:id="901016" w:name="_Toc300001015"/>
      <w:r>
        <w:t>Article 31.E: North American Facility-Specific Labour Remedy</w:t>
      </w:r>
      <w:bookmarkEnd w:id="901016"/>
    </w:p>
    <w:p>
      <w:pPr>
        <w:pStyle w:val="Heading3"/>
      </w:pPr>
      <w:r>
        <w:t>31.E.0 Definitions and Equal Intake Architecture.</w:t>
      </w:r>
    </w:p>
    <w:p>
      <w:pPr>
        <w:pStyle w:val="Normal"/>
      </w:pPr>
      <w:r>
        <w:t>For purposes of this Article: Covered Facility means a facility producing a good or supplying a service having a material connection with trade or investment among the Parties; Covered Labour Right means a right or protection maintained under Chapter 23 whose serious or persistent denial falls within this Article, including freedom of association, collective bargaining, freedom from forced labour or trafficking, protection against serious retaliation, protection against persistent or deliberate wage theft, and protection against grave or deliberately unremedied occupational-safety violations; Complainant Party means a Party invoking this Article; Respondent Party means the Party in whose territory the covered facility is located; Receiving Authority means the competent authority designated by each Party to receive and screen submissions; Remediation means measures reasonably tailored to restore the affected right and establish durable compliance; and Relevant Trade or Investment Nexus means the material connection required by this Agreement for any trade consequence. Priority-sector status may guide triage, resource allocation, or remedy calibration but shall not by itself determine whether a worker may seek facility-specific remediation. Each Party shall designate and publicly identify a functionally equivalent Receiving Authority, publish accessible submission procedures, acknowledge a submission ordinarily within five business days, and make an admissibility determination ordinarily within 15 business days. Agency names and domestic institutional forms need not be identical.</w:t>
      </w:r>
    </w:p>
    <w:p>
      <w:pPr>
        <w:pStyle w:val="Heading3"/>
      </w:pPr>
      <w:r>
        <w:t>31.E.1 Purpose and Equal Availability.</w:t>
      </w:r>
    </w:p>
    <w:p>
      <w:pPr>
        <w:pStyle w:val="Normal"/>
      </w:pPr>
      <w:r>
        <w:t>The Parties establish a single North American Facility-Specific Labour Remedy (FSLR) whose purpose is the prompt remediation of serious, credible and facility-level denials of covered labour rights. The Remedy shall be available on functionally equivalent terms in every bilateral direction among Canada, Mexico and the United States. No Party shall receive materially weaker protection from, or materially stronger exposure to, the Remedy solely because of the identity of the complainant Party, respondent Party, facility location, or nationality of the affected workers.</w:t>
      </w:r>
    </w:p>
    <w:p>
      <w:pPr>
        <w:pStyle w:val="Heading3"/>
      </w:pPr>
      <w:r>
        <w:t>31.E.2 Worker-First Trigger.</w:t>
      </w:r>
    </w:p>
    <w:p>
      <w:pPr>
        <w:pStyle w:val="Normal"/>
      </w:pPr>
      <w:r>
        <w:t>A credible allegation of a serious denial of a covered labour right at a covered facility may trigger review without requiring prior proof that the denial has caused measurable injury to trade or commerce. Trade effects may inform the proportionality of any trade consequence, but shall not determine whether the affected workers possess the underlying right or access to remediation. For greater certainty, substantive worker protection and admissibility are not conditioned on proof of quantified trade injury; any suspension of treaty treatment or other trade consequence remains subject to the trade or investment nexus otherwise required by this Agreement.</w:t>
      </w:r>
    </w:p>
    <w:p>
      <w:pPr>
        <w:pStyle w:val="Heading3"/>
      </w:pPr>
      <w:r>
        <w:t>31.E.3 Serious-Violation Threshold.</w:t>
      </w:r>
    </w:p>
    <w:p>
      <w:pPr>
        <w:pStyle w:val="Normal"/>
      </w:pPr>
      <w:r>
        <w:t>The expedited facility-specific track is reserved for serious or persistent conduct, including systematic interference with freedom of association or collective bargaining; retaliation for protected organizing or worker representation; forced labour; trafficking or coercive recruitment practices; persistent or deliberate wage theft; grave or deliberately unremedied occupational-safety violations; confiscation of worker identity or travel documents; or comparable serious denials of covered labour rights. Ordinary individual employment disputes shall normally remain within domestic remedies unless they reveal a broader facility-level pattern.</w:t>
      </w:r>
    </w:p>
    <w:p>
      <w:pPr>
        <w:pStyle w:val="Heading3"/>
      </w:pPr>
      <w:r>
        <w:t>31.E.4 Accessible Intake and Admissibility.</w:t>
      </w:r>
    </w:p>
    <w:p>
      <w:pPr>
        <w:pStyle w:val="Normal"/>
      </w:pPr>
      <w:r>
        <w:t>Information may be submitted through competent authorities, workers, labour organizations, worker representatives, or other credible persons or organizations with relevant evidence. Recognition by a government or exclusive bargaining status shall not be an absolute condition of admissibility. The receiving authority shall conduct an expedited admissibility screen addressing facility identification, treaty coverage, credibility, seriousness, jurisdiction, duplication and whether the allegation is manifestly frivolous, abusive or politically manufactured.</w:t>
      </w:r>
    </w:p>
    <w:p>
      <w:pPr>
        <w:pStyle w:val="Heading3"/>
      </w:pPr>
      <w:r>
        <w:t>31.E.5 Notice and First Opportunity to Remediate.</w:t>
      </w:r>
    </w:p>
    <w:p>
      <w:pPr>
        <w:pStyle w:val="Normal"/>
      </w:pPr>
      <w:r>
        <w:t>Where a matter is admitted, the complainant Party shall promptly notify the respondent Party and provide sufficient non-confidential information to permit a meaningful response. The respondent Party shall ordinarily receive the first opportunity to investigate and secure effective domestic remediation. No mandatory cure period shall prevent urgent protective action where credible evidence indicates forced labour, violence, threats to life or physical safety, severe retaliation, trafficking, destruction of evidence, or a comparable risk of irreparable harm.</w:t>
      </w:r>
    </w:p>
    <w:p>
      <w:pPr>
        <w:pStyle w:val="Heading3"/>
      </w:pPr>
      <w:r>
        <w:t>31.E.6 Independent Verification.</w:t>
      </w:r>
    </w:p>
    <w:p>
      <w:pPr>
        <w:pStyle w:val="Normal"/>
      </w:pPr>
      <w:r>
        <w:t>Where material facts remain disputed, remediation is inadequate, or the respondent Party declines timely review, either Party may request independent verification through existing Chapter 31, Secretariat, Cothrom or other already-established NAESTMA roster and administrative infrastructure. The Parties shall not create a new permanent labour tribunal, secretariat or standing inspection bureaucracy where an existing institution can perform the function.</w:t>
      </w:r>
    </w:p>
    <w:p>
      <w:pPr>
        <w:pStyle w:val="Heading3"/>
      </w:pPr>
      <w:r>
        <w:t>31.E.7 Verification Methods and Sovereignty.</w:t>
      </w:r>
    </w:p>
    <w:p>
      <w:pPr>
        <w:pStyle w:val="Normal"/>
      </w:pPr>
      <w:r>
        <w:t>Verification may include documentary review, confidential worker testimony, employer and union submissions, remote or in-person hearings, agreed facility access, and qualified independent technical expertise. Nothing in this Article authorizes one Party's labour inspectors, police, immigration officers or other enforcement personnel to exercise unilateral enforcement authority within the territory of another Party. Domestic investigative powers remain with the competent authorities of the respondent Party, subject to the independent evidentiary and review requirements of this Article.</w:t>
      </w:r>
    </w:p>
    <w:p>
      <w:pPr>
        <w:pStyle w:val="Heading3"/>
      </w:pPr>
      <w:r>
        <w:t>31.E.7A Domestic Findings and Access.</w:t>
      </w:r>
    </w:p>
    <w:p>
      <w:pPr>
        <w:pStyle w:val="Normal"/>
      </w:pPr>
      <w:r>
        <w:t>A final or enforceable determination of a competent domestic labour authority may constitute highly probative evidence but shall not be an exclusive prerequisite to access to this Remedy. Absence of a final domestic determination shall not bar a proceeding where credible evidence indicates a serious covered denial and domestic procedures are unavailable, materially ineffective, subject to unreasonable delay, incapable of preventing grave or irreparable harm, or otherwise inadequate to provide timely remediation. No Party shall condition access upon a domestic administrative, judicial, or labour-board order unless a functionally equivalent condition applies to facilities in each Party.</w:t>
      </w:r>
    </w:p>
    <w:p>
      <w:pPr>
        <w:pStyle w:val="Heading3"/>
      </w:pPr>
      <w:r>
        <w:t>31.E.7B Panel Neutrality and Conflicts.</w:t>
      </w:r>
    </w:p>
    <w:p>
      <w:pPr>
        <w:pStyle w:val="Normal"/>
      </w:pPr>
      <w:r>
        <w:t>Verification panels and technical teams shall satisfy independence and conflict-of-interest requirements. Unless the disputing Parties agree otherwise, no panel shall contain a majority of nationals of either the complainant Party or respondent Party. Selection procedures shall provide functionally equivalent participation to each Party and shall not structurally advantage a Party because of the location of the covered facility.</w:t>
      </w:r>
    </w:p>
    <w:p>
      <w:pPr>
        <w:pStyle w:val="Heading3"/>
      </w:pPr>
      <w:r>
        <w:t>31.E.8 Worker, Witness and Confidentiality Protection.</w:t>
      </w:r>
    </w:p>
    <w:p>
      <w:pPr>
        <w:pStyle w:val="Normal"/>
      </w:pPr>
      <w:r>
        <w:t>The process shall protect workers, witnesses, complainants and lawful representatives against retaliation. Confidential or identifying information shall be minimized, protected and disclosed only as necessary for fair adjudication. Anonymous or redacted evidence may be accepted where necessary to protect a person from a credible risk, provided that procedures preserve a meaningful opportunity to answer the substance of the allegation.</w:t>
      </w:r>
    </w:p>
    <w:p>
      <w:pPr>
        <w:pStyle w:val="Heading3"/>
      </w:pPr>
      <w:r>
        <w:t>31.E.9 Remediation First.</w:t>
      </w:r>
    </w:p>
    <w:p>
      <w:pPr>
        <w:pStyle w:val="Normal"/>
      </w:pPr>
      <w:r>
        <w:t>The primary objective is effective remediation. Appropriate measures may include reinstatement, backpay or restoration of unlawfully withheld compensation, reimbursement of prohibited recruitment fees, restoration of bargaining or representational rights, corrective elections or procedures, cessation of retaliation, safety correction, return of unlawfully retained documents, changes to facility practices, training, monitoring for a defined period, or another measure reasonably tailored to the verified denial.</w:t>
      </w:r>
    </w:p>
    <w:p>
      <w:pPr>
        <w:pStyle w:val="Heading3"/>
      </w:pPr>
      <w:r>
        <w:t>31.E.10 Facility-Specific and Module-Confined Consequences.</w:t>
      </w:r>
    </w:p>
    <w:p>
      <w:pPr>
        <w:pStyle w:val="Normal"/>
      </w:pPr>
      <w:r>
        <w:t>Where verified remediation is refused, materially incomplete, or repeatedly defeated, consequences shall attach as closely as practicable to the offending facility, enterprise, relevant goods or services, or specific benefit connected to the violation. A facility-level labour case shall not ordinarily justify unrelated economy-wide retaliation, punishment of an unrelated sector, or deliberate harm to workers or consumers who lack a meaningful nexus to the violation.</w:t>
      </w:r>
    </w:p>
    <w:p>
      <w:pPr>
        <w:pStyle w:val="Heading3"/>
      </w:pPr>
      <w:r>
        <w:t>31.E.11 Proportionality.</w:t>
      </w:r>
    </w:p>
    <w:p>
      <w:pPr>
        <w:pStyle w:val="Normal"/>
      </w:pPr>
      <w:r>
        <w:t>Any trade consequence shall be proportionate to the seriousness, persistence, scale and commercial nexus of the verified denial; the number and vulnerability of affected workers; the respondent's cooperation; prior violations; and the adequacy and durability of remediation. No fixed tariff percentage, monetary multiple or automatic penalty ceiling shall substitute for case-specific proportionality.</w:t>
      </w:r>
    </w:p>
    <w:p>
      <w:pPr>
        <w:pStyle w:val="Heading3"/>
      </w:pPr>
      <w:r>
        <w:t>31.E.12 Repeat-Offender Escalation.</w:t>
      </w:r>
    </w:p>
    <w:p>
      <w:pPr>
        <w:pStyle w:val="Normal"/>
      </w:pPr>
      <w:r>
        <w:t>A facility or enterprise that promptly and durably remediates a first violation shall be distinguished from one that repeatedly commits, conceals, reinstates or relocates substantially similar violations. Repeated verified denials may justify progressively stronger facility-specific consequences, including suspension of relevant preferential treatment or, in the most serious persistent cases and where otherwise lawful, denial of entry for relevant goods.</w:t>
      </w:r>
    </w:p>
    <w:p>
      <w:pPr>
        <w:pStyle w:val="Heading3"/>
      </w:pPr>
      <w:r>
        <w:t>31.E.13 Automatic Earn-Back.</w:t>
      </w:r>
    </w:p>
    <w:p>
      <w:pPr>
        <w:pStyle w:val="Normal"/>
      </w:pPr>
      <w:r>
        <w:t>A suspended treaty benefit or facility-specific trade treatment shall be restored automatically when independent verification confirms that the denial has been effectively remediated and any reasonable durability period has been satisfied. Restoration shall not require a new political concession, unrelated payment, or renegotiation. A Party may maintain narrowly tailored monitoring after restoration where necessary to verify durability.</w:t>
      </w:r>
    </w:p>
    <w:p>
      <w:pPr>
        <w:pStyle w:val="Heading3"/>
      </w:pPr>
      <w:r>
        <w:t>31.E.14 Grave-Abuse Accelerator.</w:t>
      </w:r>
    </w:p>
    <w:p>
      <w:pPr>
        <w:pStyle w:val="Normal"/>
      </w:pPr>
      <w:r>
        <w:t>Credible evidence of forced labour, trafficking, violence, threats to life, severe retaliation, deliberate destruction of evidence, or another grave and imminent abuse may accelerate verification and permit temporary protective measures before completion of the ordinary cure sequence. Any accelerated measure shall receive prompt independent review and shall remain no broader or longer than necessary.</w:t>
      </w:r>
    </w:p>
    <w:p>
      <w:pPr>
        <w:pStyle w:val="Heading3"/>
      </w:pPr>
      <w:r>
        <w:t>31.E.15 No Double Punishment or Forum Shopping.</w:t>
      </w:r>
    </w:p>
    <w:p>
      <w:pPr>
        <w:pStyle w:val="Normal"/>
      </w:pPr>
      <w:r>
        <w:t>The Parties shall coordinate this Remedy with ordinary Chapter 23 enforcement, the Systemic Labor Rapid-Response Track, customs measures and other NAESTMA remedies so that the same underlying conduct is not subjected to duplicative punishment. Parallel proceedings may address distinct legal interests, but cumulative consequences shall remain proportionate and shall account for remediation already provided.</w:t>
      </w:r>
    </w:p>
    <w:p>
      <w:pPr>
        <w:pStyle w:val="Heading3"/>
      </w:pPr>
      <w:r>
        <w:t>31.E.16 Federalism and Domestic Institutional Neutrality.</w:t>
      </w:r>
    </w:p>
    <w:p>
      <w:pPr>
        <w:pStyle w:val="Normal"/>
      </w:pPr>
      <w:r>
        <w:t>A Party may implement this Article through federal, state, provincial, territorial, local or other competent authorities consistent with its constitutional order. Federalism or allocation of domestic jurisdiction shall not excuse failure to provide the required treaty outcome. Nothing in this Article requires the Parties to maintain identical labour statutes, agencies, tribunals or bargaining systems; functional equivalence in access, independence, speed, evidence, remediation and consequences is the governing standard.</w:t>
      </w:r>
    </w:p>
    <w:p>
      <w:pPr>
        <w:pStyle w:val="Heading3"/>
      </w:pPr>
      <w:r>
        <w:t>31.E.17 Country-Neutral Construction.</w:t>
      </w:r>
    </w:p>
    <w:p>
      <w:pPr>
        <w:pStyle w:val="Normal"/>
      </w:pPr>
      <w:r>
        <w:t>Except when describing the historical operation or transition of a predecessor mechanism, implementing texts shall use country-neutral terms such as Party, complainant Party, respondent Party, covered facility, enterprise and affected worker. No Party shall be presumed to be the ordinary source of labour violations or the ordinary target of enforcement.</w:t>
      </w:r>
    </w:p>
    <w:p>
      <w:pPr>
        <w:pStyle w:val="Heading3"/>
      </w:pPr>
      <w:r>
        <w:t>31.E.18 Transparency and Closure.</w:t>
      </w:r>
    </w:p>
    <w:p>
      <w:pPr>
        <w:pStyle w:val="Normal"/>
      </w:pPr>
      <w:r>
        <w:t>Final determinations shall publish sufficient non-confidential information to identify the facility or matter where lawful, describe the verified denial, state the remediation obtained, explain any consequence imposed, and record the basis for closure or restoration. Publication shall protect worker safety, personal information, legitimate confidential business information and the integrity of ongoing proceedings.</w:t>
      </w:r>
    </w:p>
    <w:p>
      <w:pPr>
        <w:pStyle w:val="Heading3"/>
      </w:pPr>
      <w:r>
        <w:t>31.E.19 Relationship to Predecessor Annexes.</w:t>
      </w:r>
    </w:p>
    <w:p>
      <w:pPr>
        <w:pStyle w:val="Normal"/>
      </w:pPr>
      <w:r>
        <w:t>Article 31.E prevails immediately over any inconsistent standing, admissibility, scope, covered-right, covered-facility, verification, remedy, proportionality, restoration, worker-protection, domestic-order, or priority-sector provision in Annex 31-A, Annex 31-B, or an implementing instrument derived from either Annex. Predecessor procedures may remain in administrative use during transition only to the extent consistent with this Article. The Parties shall complete administrative consolidation within 24 months of entry into force; that period shall not delay equal substantive access to the Remedy in every bilateral direction.</w:t>
      </w:r>
    </w:p>
    <w:p>
      <w:pPr>
        <w:pStyle w:val="Heading3"/>
      </w:pPr>
      <w:r>
        <w:t>31.E.20 Governing Principle.</w:t>
      </w:r>
    </w:p>
    <w:p>
      <w:pPr>
        <w:pStyle w:val="Normal"/>
      </w:pPr>
      <w:r>
        <w:t>A worker making NAESTMA-originating goods shall receive meaningful treaty protection whether the covered facility is located in Canada, Mexico or the United States. The Remedy protects workers first; trade consequences are instruments for securing compliance and remediation, not independent objectives.</w:t>
      </w:r>
    </w:p>
    <w:p>
      <w:pPr>
        <w:pStyle w:val="Heading2"/>
      </w:pPr>
      <w:bookmarkStart w:id="901017" w:name="_Toc300001016"/>
      <w:r>
        <w:t>Article 31.F: Chapter 23-B Disputes, Expedited Procedures</w:t>
      </w:r>
      <w:bookmarkEnd w:id="901017"/>
    </w:p>
    <w:p>
      <w:pPr>
        <w:pStyle w:val="Normal"/>
      </w:pPr>
      <w:r>
        <w:t>Disputes arising under Chapter 23-B (North American Just Transition and Worker Security Framework) shall be handled through the expedited procedures set forth in Article 23-B.11, not the standard procedures in Chapter 31. Specifically:</w:t>
      </w:r>
    </w:p>
    <w:p>
      <w:pPr>
        <w:pStyle w:val="Normal"/>
      </w:pPr>
      <w:r>
        <w:t>(i) Chapter 23-B disputes have expedited consultation (30 days) and panel timeline (6 months).</w:t>
      </w:r>
    </w:p>
    <w:p>
      <w:pPr>
        <w:pStyle w:val="Normal"/>
      </w:pPr>
      <w:r>
        <w:t>(ii) Panels hearing Chapter 23-B disputes shall include at least one member with labor law or social protection expertise.</w:t>
      </w:r>
    </w:p>
    <w:p>
      <w:pPr>
        <w:pStyle w:val="Normal"/>
      </w:pPr>
      <w:r>
        <w:t>(iii) Automatic financial enforcement escalation applies to Chapter 23-B non-compliance as specified in Article 23-B.11(d), with worker and community make-whole relief and Fund-directed assessments preceding any suspension of treaty benefits.</w:t>
      </w:r>
    </w:p>
    <w:p>
      <w:pPr>
        <w:pStyle w:val="Normal"/>
      </w:pPr>
      <w:r>
        <w:t>(iv) Chapter 23-B remedies include financial compensation to affected workers, not merely corrective action.</w:t>
      </w:r>
    </w:p>
    <w:p>
      <w:pPr>
        <w:pStyle w:val="Heading1"/>
      </w:pPr>
      <w:bookmarkStart w:id="901018" w:name="_Toc300001017"/>
      <w:r>
        <w:t xml:space="preserve">CHAPTER 32 EXCEPTIONS AND GENERAL PROVISIONS</w:t>
      </w:r>
      <w:r>
        <w:br/>
      </w:r>
      <w:r>
        <w:t xml:space="preserve">Section A: Exceptions</w:t>
      </w:r>
      <w:bookmarkEnd w:id="901018"/>
    </w:p>
    <w:p>
      <w:pPr>
        <w:pStyle w:val="Heading2"/>
      </w:pPr>
      <w:bookmarkStart w:id="901019" w:name="_Toc300001018"/>
      <w:r>
        <w:t xml:space="preserve">Article 32.1: General Exceptions</w:t>
      </w:r>
      <w:bookmarkEnd w:id="901019"/>
    </w:p>
    <w:p>
      <w:pPr>
        <w:pStyle w:val="Normal"/>
      </w:pPr>
      <w:r>
        <w:t xml:space="preserve">1. For the purposes of Chapter 2 (National Treatment and Market Access for Goods), Chapter 3 (Agriculture), Chapter 4 (Rules of Origin), Chapter 5 (Origin Procedures), Chapter 6 (Textile and Apparel Goods), Chapter 7 (Customs Administration and Trade Facilitation), Chapter 9 (Sanitary and Phytosanitary Measures), Chapter 11 (Technical Barriers to Trade), Chapter 12 (Sectoral Annexes), and Chapter 22 (State-Owned Enterprises and Designated Monopolies), Article XX of the GATT 1994 and its interpretative notes are incorporated into and made part of this Agreement, </w:t>
      </w:r>
      <w:r>
        <w:rPr>
          <w:i/>
        </w:rPr>
        <w:t xml:space="preserve">mutatis mutandis</w:t>
      </w:r>
      <w:r>
        <w:t xml:space="preserve">.</w:t>
      </w:r>
      <w:r>
        <w:rPr>
          <w:vertAlign w:val="superscript"/>
        </w:rPr>
        <w:t xml:space="preserve">1</w:t>
      </w:r>
    </w:p>
    <w:p>
      <w:pPr>
        <w:pStyle w:val="Normal"/>
      </w:pPr>
      <w:r>
        <w:t xml:space="preserve">2. For the purposes of Chapter 15 (Cross-Border Trade in Services), Chapter 16 (Temporary Entry for Business Persons), Chapter 18 (Telecommunications), Chapter 19 (Digital Trade),</w:t>
      </w:r>
      <w:r>
        <w:rPr>
          <w:vertAlign w:val="superscript"/>
        </w:rPr>
        <w:t xml:space="preserve">2</w:t>
      </w:r>
      <w:r>
        <w:t xml:space="preserve"> and Chapter 22 (State-Owned Enterprises and Designated Monopolies), paragraphs (a), (b), and (c) of Article XIV of GATS are incorporated into and made part of this Agreement, mutatis mutandis.</w:t>
      </w:r>
      <w:r>
        <w:rPr>
          <w:vertAlign w:val="superscript"/>
        </w:rPr>
        <w:t xml:space="preserve">3</w:t>
      </w:r>
    </w:p>
    <w:p>
      <w:pPr>
        <w:pStyle w:val="Normal"/>
      </w:pPr>
      <w:r>
        <w:t xml:space="preserve">3. The Parties understand that the measures referred to in Article XX(b) of the GATT 1994 and GATS Article XIV (b) include environmental measures necessary to protect human, animal, or plant life or health, and that Article XX(g) of the GATT 1994 applies to measures relating to the conservation of living and non-living exhaustible natural resources.</w:t>
      </w:r>
    </w:p>
    <w:p>
      <w:pPr>
        <w:pStyle w:val="Normal"/>
      </w:pPr>
      <w:r>
        <w:t xml:space="preserve">4. Nothing in this Agreement shall be construed to prevent a Party from taking action, including maintaining or increasing a customs duty, that is authorized by the Dispute Settlement Body of the WTO or is taken as a result of a decision by a dispute settlement panel under a free trade agreement to which the Party taking action and the Party against which the action is taken are party.</w:t>
      </w:r>
    </w:p>
    <w:p>
      <w:pPr>
        <w:pStyle w:val="Heading2"/>
      </w:pPr>
      <w:bookmarkStart w:id="901020" w:name="_Toc300001019"/>
      <w:r>
        <w:t xml:space="preserve">Article 32.2: Essential Security</w:t>
      </w:r>
      <w:bookmarkEnd w:id="901020"/>
    </w:p>
    <w:p>
      <w:pPr>
        <w:pStyle w:val="Normal"/>
      </w:pPr>
      <w:r>
        <w:t xml:space="preserve">1. Nothing in this Agreement shall be construed to:</w:t>
      </w:r>
    </w:p>
    <w:p>
      <w:pPr>
        <w:pStyle w:val="Normal"/>
        <w:ind w:left="360"/>
      </w:pPr>
      <w:r>
        <w:t xml:space="preserve">(a) require a Party to furnish or allow access to information the disclosure of which it determines to be contrary to its essential security interests; or</w:t>
      </w:r>
    </w:p>
    <w:p>
      <w:pPr>
        <w:pStyle w:val="Normal"/>
        <w:ind w:left="360"/>
      </w:pPr>
      <w:r>
        <w:t xml:space="preserve">(b) preclude a Party from applying measures that it considers necessary for the fulfilment of its obligations with respect to the maintenance or restoration of international peace or security, or the protection of its own essential security interests.</w:t>
      </w:r>
    </w:p>
    <w:p>
      <w:pPr>
        <w:pStyle w:val="Heading2"/>
      </w:pPr>
      <w:bookmarkStart w:id="901021" w:name="_Toc300001020"/>
      <w:r>
        <w:t xml:space="preserve">Article 32.3: Taxation Measures</w:t>
      </w:r>
      <w:bookmarkEnd w:id="901021"/>
    </w:p>
    <w:p>
      <w:pPr>
        <w:pStyle w:val="Normal"/>
      </w:pPr>
      <w:r>
        <w:t xml:space="preserve">1. For the purposes of this Article:</w:t>
      </w:r>
    </w:p>
    <w:p>
      <w:pPr>
        <w:pStyle w:val="Normal"/>
      </w:pPr>
      <w:r>
        <w:t xml:space="preserve">designated authorities</w:t>
      </w:r>
      <w:r>
        <w:t xml:space="preserve"> means:</w:t>
      </w:r>
    </w:p>
    <w:p>
      <w:pPr>
        <w:pStyle w:val="Normal"/>
        <w:ind w:left="360"/>
      </w:pPr>
      <w:r>
        <w:t xml:space="preserve">(a) for Canada, the Assistant Deputy Minister for Tax Policy, Department of Finance;</w:t>
      </w:r>
    </w:p>
    <w:p>
      <w:pPr>
        <w:pStyle w:val="Normal"/>
        <w:ind w:left="360"/>
      </w:pPr>
      <w:r>
        <w:t xml:space="preserve">(b) for Mexico, the Deputy Minister of Revenue of the Ministry of Finance and Public Credit (Subsecretario de Ingresos); and</w:t>
      </w:r>
    </w:p>
    <w:p>
      <w:pPr>
        <w:pStyle w:val="Normal"/>
        <w:ind w:left="360"/>
      </w:pPr>
      <w:r>
        <w:t xml:space="preserve">(c) for the United States, the Assistant Secretary of the Treasury (Tax Policy),</w:t>
      </w:r>
    </w:p>
    <w:p>
      <w:pPr>
        <w:pStyle w:val="Normal"/>
      </w:pPr>
      <w:r>
        <w:t xml:space="preserve">or any successor of these designated authorities as notified in writing to the other Parties;</w:t>
      </w:r>
    </w:p>
    <w:p>
      <w:pPr>
        <w:pStyle w:val="Normal"/>
      </w:pPr>
      <w:r>
        <w:t xml:space="preserve">tax convention </w:t>
      </w:r>
      <w:r>
        <w:t xml:space="preserve">means a convention for the avoidance of double taxation or other international taxation agreement or arrangement; and</w:t>
      </w:r>
    </w:p>
    <w:p>
      <w:pPr>
        <w:pStyle w:val="Normal"/>
      </w:pPr>
      <w:r>
        <w:t xml:space="preserve">taxes </w:t>
      </w:r>
      <w:r>
        <w:t xml:space="preserve">and</w:t>
      </w:r>
      <w:r>
        <w:t xml:space="preserve"> taxation measures </w:t>
      </w:r>
      <w:r>
        <w:t xml:space="preserve">include excise duties, but do not include:</w:t>
      </w:r>
    </w:p>
    <w:p>
      <w:pPr>
        <w:pStyle w:val="Normal"/>
        <w:ind w:left="360"/>
      </w:pPr>
      <w:r>
        <w:t xml:space="preserve">(a) a “customs duty” as defined in Article 1.5 (General Definitions); or</w:t>
      </w:r>
    </w:p>
    <w:p>
      <w:pPr>
        <w:pStyle w:val="Normal"/>
        <w:ind w:left="360"/>
      </w:pPr>
      <w:r>
        <w:t xml:space="preserve">(b) the measures listed in subparagraphs (b), (c), and (d) of that definition.</w:t>
      </w:r>
    </w:p>
    <w:p>
      <w:pPr>
        <w:pStyle w:val="Normal"/>
      </w:pPr>
      <w:r>
        <w:t xml:space="preserve">2. Except as provided in this Article, this Agreement does not apply to a taxation measure.</w:t>
      </w:r>
    </w:p>
    <w:p>
      <w:pPr>
        <w:pStyle w:val="Normal"/>
      </w:pPr>
      <w:r>
        <w:t xml:space="preserve">3. This Agreement does not affect the rights and obligations of a Party under a tax convention. In the event of any inconsistency between this Agreement and a tax convention, that convention prevails to the extent of the inconsistency.</w:t>
      </w:r>
    </w:p>
    <w:p>
      <w:pPr>
        <w:pStyle w:val="Normal"/>
      </w:pPr>
      <w:r>
        <w:t xml:space="preserve">4. In the case of a tax convention between two or more Parties, if an issue arises as to whether an inconsistency exists between this Agreement and the tax convention, the issue shall be referred to the designated authorities of the Parties in question. The designated authorities of those Parties shall have six months from the date of referral of the issue to make a determination as to the existence and extent of any inconsistency. If those designated authorities agree, the period may be extended up to 12 months from the date of referral of the issue. No procedures concerning the measure giving rise to the issue may be initiated under Chapter 31 (Dispute Settlement) or, as between the United States and Mexico, Annex 14-D (Mexico-United States Investment Disputes), or Annex 14-E (Mexico-United States Investment Disputes Related to Covered Government Contracts) until the expiry of the six month period, or any other period as may have been agreed by the designated authorities. A panel or tribunal established to consider a dispute related to a taxation measure shall accept as binding a determination of the designated authorities of the Parties in question made under this paragraph.</w:t>
      </w:r>
    </w:p>
    <w:p>
      <w:pPr>
        <w:pStyle w:val="Normal"/>
      </w:pPr>
      <w:r>
        <w:t xml:space="preserve">5. Notwithstanding paragraph 3:</w:t>
      </w:r>
    </w:p>
    <w:p>
      <w:pPr>
        <w:pStyle w:val="Normal"/>
        <w:ind w:left="360"/>
      </w:pPr>
      <w:r>
        <w:t xml:space="preserve">(a) Article 2.3 (National Treatment) and other provisions of this Agreement that are necessary to give effect to that Article apply to taxation measures to the same extent as does Article III of the GATT 1994, including its interpretative notes; and</w:t>
      </w:r>
    </w:p>
    <w:p>
      <w:pPr>
        <w:pStyle w:val="Normal"/>
        <w:ind w:left="360"/>
      </w:pPr>
      <w:r>
        <w:t xml:space="preserve">(b) Article 2.15 (Export Duties, Taxes, or other Charges) applies to taxation measures.</w:t>
      </w:r>
    </w:p>
    <w:p>
      <w:pPr>
        <w:pStyle w:val="Normal"/>
      </w:pPr>
      <w:r>
        <w:t xml:space="preserve">6. Subject to paragraph 3:</w:t>
      </w:r>
    </w:p>
    <w:p>
      <w:pPr>
        <w:pStyle w:val="Normal"/>
        <w:ind w:left="360"/>
      </w:pPr>
      <w:r>
        <w:t xml:space="preserve">(a) Article 15.3 (National Treatment) and Article 17.3 (National Treatment) apply to a taxation measure on income, on capital gains, or on the taxable capital of corporations that relate to the purchase or consumption of particular services, except that this subparagraph does not prevent a Party from conditioning the receipt or continued receipt of an advantage that relates to the purchase or consumption of particular services on requirements to provide the service in its territory;</w:t>
      </w:r>
    </w:p>
    <w:p>
      <w:pPr>
        <w:pStyle w:val="Normal"/>
        <w:ind w:left="360"/>
      </w:pPr>
      <w:r>
        <w:t xml:space="preserve">(b) Article 14.4 (National Treatment), Article 14.5 (Most-Favored-Nation Treatment), Article 15.3 (National Treatment), Article 15.4 (Most-Favored-Nation Treatment), Article 17.3 (National Treatment), Article 17.4 (Most-Favored-Nation Treatment), and Article 19.4 (Non-Discriminatory Treatment of Digital Products) apply to a taxation measure, other than a taxation measure on income, on capital gains, on the taxable capital of corporations, or taxes on estates, inheritances, gifts, and generation-skipping transfers; and</w:t>
      </w:r>
    </w:p>
    <w:p>
      <w:pPr>
        <w:pStyle w:val="Normal"/>
        <w:ind w:left="360"/>
      </w:pPr>
      <w:r>
        <w:t xml:space="preserve">(c) Article 19.4 (Non-Discriminatory Treatment of Digital Products) apply to a taxation measure on income, on capital gains, or on the taxable capital of corporations that relate to the purchase or consumption of particular digital products, except that this subparagraph does not prevent a Party from conditioning the receipt or continued receipt of an advantage relating to the purchase or consumption of particular digital products on requirements to provide the digital product in its territory,</w:t>
      </w:r>
    </w:p>
    <w:p>
      <w:pPr>
        <w:pStyle w:val="Normal"/>
      </w:pPr>
      <w:r>
        <w:t xml:space="preserve">but nothing in the Articles referred to in subparagraphs (a), (b), and (c) apply to:</w:t>
      </w:r>
    </w:p>
    <w:p>
      <w:pPr>
        <w:pStyle w:val="Normal"/>
        <w:ind w:left="360"/>
      </w:pPr>
      <w:r>
        <w:t xml:space="preserve">(d) a most-favored-nation obligation with respect to an advantage accorded by a Party pursuant to a tax convention;</w:t>
      </w:r>
    </w:p>
    <w:p>
      <w:pPr>
        <w:pStyle w:val="Normal"/>
        <w:ind w:left="360"/>
      </w:pPr>
      <w:r>
        <w:t xml:space="preserve">(e) a non-conforming provision of a taxation measure in existence as of the date of entry into force of NAFTA 1994;</w:t>
      </w:r>
    </w:p>
    <w:p>
      <w:pPr>
        <w:pStyle w:val="Normal"/>
        <w:ind w:left="360"/>
      </w:pPr>
      <w:r>
        <w:t xml:space="preserve">(f) the continuation or prompt renewal of a non-conforming provision of a taxation measure in existence as of the date of entry into force of NAFTA 1994;</w:t>
      </w:r>
    </w:p>
    <w:p>
      <w:pPr>
        <w:pStyle w:val="Normal"/>
        <w:ind w:left="360"/>
      </w:pPr>
      <w:r>
        <w:t xml:space="preserve">(g) an amendment to a non-conforming provision of a taxation measure in existence as of the date of entry into force of NAFTA 1994 to the extent that the amendment does not decrease its conformity, at the time of the amendment, with any of those Articles;</w:t>
      </w:r>
    </w:p>
    <w:p>
      <w:pPr>
        <w:pStyle w:val="Normal"/>
        <w:ind w:left="360"/>
      </w:pPr>
      <w:r>
        <w:t xml:space="preserve">(h) the adoption or enforcement of a new taxation measure aimed at ensuring the equitable or effective imposition or collection of taxes, including a taxation measure that differentiates between persons based on their place of residence for tax purposes, provided that the taxation measure does not arbitrarily discriminate between persons, goods or services of the Parties;</w:t>
      </w:r>
      <w:r>
        <w:rPr>
          <w:vertAlign w:val="superscript"/>
        </w:rPr>
        <w:t xml:space="preserve">4</w:t>
      </w:r>
    </w:p>
    <w:p>
      <w:pPr>
        <w:pStyle w:val="Normal"/>
        <w:ind w:left="360"/>
      </w:pPr>
      <w:r>
        <w:t xml:space="preserve">(i) a provision that conditions the receipt or continued receipt of an advantage relating to the contributions to, or income of, a pension trust, pension plan, or other arrangement to provide pension, or similar benefits, on a requirement that the Party maintain continuous jurisdiction, regulation, or supervision over that trust, plan, fund, or other arrangement; or</w:t>
      </w:r>
    </w:p>
    <w:p>
      <w:pPr>
        <w:pStyle w:val="Normal"/>
        <w:ind w:left="360"/>
      </w:pPr>
      <w:r>
        <w:t xml:space="preserve">(j) an excise duty on insurance premiums to the extent that the excise duty would, if levied by another Party, be covered by subparagraphs (e), (f), or (g).</w:t>
      </w:r>
    </w:p>
    <w:p>
      <w:pPr>
        <w:pStyle w:val="Normal"/>
      </w:pPr>
      <w:r>
        <w:t xml:space="preserve">7. Subject to paragraph 3, and without prejudice to the rights and obligations of the Parties under paragraph 5, Article 14.10.2 (Performance Requirements), Article 14.10.3, and Article 14.10.4 apply to a taxation measure.</w:t>
      </w:r>
    </w:p>
    <w:p>
      <w:pPr>
        <w:pStyle w:val="Normal"/>
      </w:pPr>
      <w:r>
        <w:t xml:space="preserve">8. Article 14.8 (Expropriation and Compensation) applies to a taxation measure. However, as between the United States and Mexico, no investor may invoke Article 14.8 (Expropriation and Compensation) as the basis for a claim if it has been determined pursuant to this paragraph that the measure is not an expropriation. An investor of the United States or Mexico that seeks to invoke Article 14.8 (Expropriation and Compensation) with respect to a taxation measure must first refer to the designated authorities of the Party of the investor and the respondent Party, at the time that it gives its notice of intent under Article 14.D.3 (Submission of a Claim to Arbitration), the issue of whether that taxation measure is not an expropriation. If the designated authorities do not agree to consider the issue or, having agreed to consider it, fail to agree that the measure is not an expropriation within a period of six months of the referral, the investor of the United States or Mexico may submit its claim to arbitration under, as applicable, Annex 14.D.3 (Submission of a Claim to Arbitration) or paragraph 2 of Annex 14-E (Mexico-United States Investment Disputes Related to Covered Government Contracts).</w:t>
      </w:r>
    </w:p>
    <w:p>
      <w:pPr>
        <w:pStyle w:val="Heading2"/>
      </w:pPr>
      <w:bookmarkStart w:id="901022" w:name="_Toc300001021"/>
      <w:r>
        <w:t xml:space="preserve">Article 32.4: Temporary Safeguards Measures</w:t>
      </w:r>
      <w:bookmarkEnd w:id="901022"/>
    </w:p>
    <w:p>
      <w:pPr>
        <w:pStyle w:val="Normal"/>
      </w:pPr>
      <w:r>
        <w:t xml:space="preserve">1. For the purposes of this Article:</w:t>
      </w:r>
    </w:p>
    <w:p>
      <w:pPr>
        <w:pStyle w:val="Normal"/>
      </w:pPr>
      <w:r>
        <w:t xml:space="preserve">foreign direct investment</w:t>
      </w:r>
      <w:r>
        <w:t xml:space="preserve"> means a type of investment by an investor of a Party in the territory of another Party, through which the investor exercises ownership or control over, or a significant degree of influence on the management of, an enterprise or other direct investment, and tends to be undertaken in order to establish a lasting relationship; for example, ownership of at least 10 percent of the voting power of an enterprise over a period of at least 12 months generally would be considered a foreign direct investment.</w:t>
      </w:r>
    </w:p>
    <w:p>
      <w:pPr>
        <w:pStyle w:val="Normal"/>
      </w:pPr>
      <w:r>
        <w:t xml:space="preserve">2. This Agreement does not prevent a Party from adopting or maintaining a restrictive measure with regard to payments or transfers for current account transactions in the event of serious balance of payments and external financial difficulties or threats thereof.</w:t>
      </w:r>
    </w:p>
    <w:p>
      <w:pPr>
        <w:pStyle w:val="Normal"/>
      </w:pPr>
      <w:r>
        <w:t xml:space="preserve">3. This Agreement does not prevent a Party from adopting or maintaining a restrictive measure with regard to payments or transfers relating to the movements of capital:</w:t>
      </w:r>
    </w:p>
    <w:p>
      <w:pPr>
        <w:pStyle w:val="Normal"/>
        <w:ind w:left="360"/>
      </w:pPr>
      <w:r>
        <w:t xml:space="preserve">(a) in the event of serious balance of payments and external financial difficulties or threats thereof; or</w:t>
      </w:r>
    </w:p>
    <w:p>
      <w:pPr>
        <w:pStyle w:val="Normal"/>
        <w:ind w:left="360"/>
      </w:pPr>
      <w:r>
        <w:t xml:space="preserve">(b) if, in exceptional circumstances, payments or transfers relating to capital movements cause or threaten to cause serious difficulties for macroeconomic management.</w:t>
      </w:r>
    </w:p>
    <w:p>
      <w:pPr>
        <w:pStyle w:val="Normal"/>
      </w:pPr>
      <w:r>
        <w:t xml:space="preserve">4. A measure adopted or maintained under paragraph 2 or 3 must:</w:t>
      </w:r>
    </w:p>
    <w:p>
      <w:pPr>
        <w:pStyle w:val="Normal"/>
        <w:ind w:left="360"/>
      </w:pPr>
      <w:r>
        <w:t xml:space="preserve">(a) not be inconsistent with Article 14.4 (National Treatment), Article 14.5 (Most-Favored-Nation Treatment), Article 15.3 (National Treatment), Article 15.4 (Most-Favored-Nation Treatment), Article 17.3 (National Treatment), and Article 17.4 (Most-Favored-Nation Treatment);</w:t>
      </w:r>
      <w:r>
        <w:rPr>
          <w:vertAlign w:val="superscript"/>
        </w:rPr>
        <w:t xml:space="preserve">5</w:t>
      </w:r>
    </w:p>
    <w:p>
      <w:pPr>
        <w:pStyle w:val="Normal"/>
        <w:ind w:left="360"/>
      </w:pPr>
      <w:r>
        <w:t xml:space="preserve">(b) be consistent with the Articles of Agreement of the IMF;</w:t>
      </w:r>
    </w:p>
    <w:p>
      <w:pPr>
        <w:pStyle w:val="Normal"/>
        <w:ind w:left="360"/>
      </w:pPr>
      <w:r>
        <w:t xml:space="preserve">(c) avoid unnecessary damage to the commercial, economic, and financial interests of another Party;</w:t>
      </w:r>
    </w:p>
    <w:p>
      <w:pPr>
        <w:pStyle w:val="Normal"/>
        <w:ind w:left="360"/>
      </w:pPr>
      <w:r>
        <w:t xml:space="preserve">(d) not exceed those necessary to deal with the circumstances described in paragraph 2 or 3;</w:t>
      </w:r>
    </w:p>
    <w:p>
      <w:pPr>
        <w:pStyle w:val="Normal"/>
        <w:ind w:left="360"/>
      </w:pPr>
      <w:r>
        <w:t xml:space="preserve">(e) be temporary and be phased out progressively as the situations specified in paragraph 2 or 3 improve, and shall not exceed 12 months in duration; however, in exceptional circumstances, a Party may extend that measure for one additional period of one year, by notifying the other Parties in writing within 30 days of the extension;</w:t>
      </w:r>
    </w:p>
    <w:p>
      <w:pPr>
        <w:pStyle w:val="Normal"/>
        <w:ind w:left="360"/>
      </w:pPr>
      <w:r>
        <w:t xml:space="preserve">(f) not be inconsistent with Article 14.8 (Expropriation and Compensation);</w:t>
      </w:r>
      <w:r>
        <w:rPr>
          <w:vertAlign w:val="superscript"/>
        </w:rPr>
        <w:t xml:space="preserve">6</w:t>
      </w:r>
    </w:p>
    <w:p>
      <w:pPr>
        <w:pStyle w:val="Normal"/>
        <w:ind w:left="360"/>
      </w:pPr>
      <w:r>
        <w:t xml:space="preserve">(g) in the case of restrictions on capital outflows, not interfere with investors’ ability to earn a market rate of return in the territory of the restricting Party on assets invested in the territory of the restricting Party by an investor of a Party that are restricted from being transferred out of the territory of the restricting Party; and</w:t>
      </w:r>
    </w:p>
    <w:p>
      <w:pPr>
        <w:pStyle w:val="Normal"/>
        <w:ind w:left="360"/>
      </w:pPr>
      <w:r>
        <w:t xml:space="preserve">(h) not be used to avoid necessary macroeconomic adjustment.</w:t>
      </w:r>
    </w:p>
    <w:p>
      <w:pPr>
        <w:pStyle w:val="Normal"/>
      </w:pPr>
      <w:r>
        <w:t xml:space="preserve">5. As soon as practicable after a Party imposes a measure under paragraph 2, the Party shall:</w:t>
      </w:r>
    </w:p>
    <w:p>
      <w:pPr>
        <w:pStyle w:val="Normal"/>
        <w:ind w:left="360"/>
      </w:pPr>
      <w:r>
        <w:t xml:space="preserve">(a) submit any current account exchange restrictions to the IMF for review and approval under Article VIII of the Articles of Agreement of the IMF;</w:t>
      </w:r>
    </w:p>
    <w:p>
      <w:pPr>
        <w:pStyle w:val="Normal"/>
        <w:ind w:left="360"/>
      </w:pPr>
      <w:r>
        <w:t xml:space="preserve">(b) consistent with its obligations under the Articles of Agreement of the IMF, enter into good faith consultations with the IMF on economic adjustment measures necessary to remove the restrictions in 3(a); and</w:t>
      </w:r>
    </w:p>
    <w:p>
      <w:pPr>
        <w:pStyle w:val="Normal"/>
        <w:ind w:left="360"/>
      </w:pPr>
      <w:r>
        <w:t xml:space="preserve">(c) adopt or maintain economic policies consistent with those consultations.</w:t>
      </w:r>
    </w:p>
    <w:p>
      <w:pPr>
        <w:pStyle w:val="Normal"/>
      </w:pPr>
      <w:r>
        <w:t xml:space="preserve">6. Measures referred to in paragraphs 2 and 3 shall not apply to payments or transfers relating to foreign direct investment.</w:t>
      </w:r>
    </w:p>
    <w:p>
      <w:pPr>
        <w:pStyle w:val="Normal"/>
      </w:pPr>
      <w:r>
        <w:t xml:space="preserve">7. A Party shall endeavor to provide that a measure it adopts or maintains under paragraph 2 or 3 be price-based, and if that measure is not price-based, the Party shall explain the rationale for using quantitative restrictions when it notifies the other Parties of the measure.</w:t>
      </w:r>
    </w:p>
    <w:p>
      <w:pPr>
        <w:pStyle w:val="Normal"/>
      </w:pPr>
      <w:r>
        <w:t xml:space="preserve">8. In the case of trade in goods, Article XII of GATT 1994 and the </w:t>
      </w:r>
      <w:r>
        <w:rPr>
          <w:i/>
        </w:rPr>
        <w:t xml:space="preserve">Understanding on the Balance-of-Payments Provisions of the GATT 1994, </w:t>
      </w:r>
      <w:r>
        <w:t xml:space="preserve">set out in Annex 1A to the WTO Agreement, are incorporated into and made part of this Agreement, </w:t>
      </w:r>
      <w:r>
        <w:rPr>
          <w:i/>
        </w:rPr>
        <w:t xml:space="preserve">mutatis mutandis</w:t>
      </w:r>
      <w:r>
        <w:t xml:space="preserve">. Any measure it adopts or maintains under this paragraph shall not impair the relative benefits accorded to another Party under this Agreement as compared to the treatment of a non-Party.</w:t>
      </w:r>
    </w:p>
    <w:p>
      <w:pPr>
        <w:pStyle w:val="Normal"/>
      </w:pPr>
      <w:r>
        <w:t xml:space="preserve">9. A Party adopting or maintaining a measure under paragraph 2, 3, or 8 shall:</w:t>
      </w:r>
    </w:p>
    <w:p>
      <w:pPr>
        <w:pStyle w:val="Normal"/>
        <w:ind w:left="360"/>
      </w:pPr>
      <w:r>
        <w:t xml:space="preserve">(a) notify, in writing, the other Parties of the measure, including any changes in it, along with the rationale for their imposition, within 30 days of its adoption;</w:t>
      </w:r>
    </w:p>
    <w:p>
      <w:pPr>
        <w:pStyle w:val="Normal"/>
        <w:ind w:left="360"/>
      </w:pPr>
      <w:r>
        <w:t xml:space="preserve">(b) present, as soon as possible, either a time schedule or the conditions necessary for their removal;</w:t>
      </w:r>
    </w:p>
    <w:p>
      <w:pPr>
        <w:pStyle w:val="Normal"/>
        <w:ind w:left="360"/>
      </w:pPr>
      <w:r>
        <w:t xml:space="preserve">(c) promptly publish the measure; and</w:t>
      </w:r>
    </w:p>
    <w:p>
      <w:pPr>
        <w:pStyle w:val="Normal"/>
        <w:ind w:left="360"/>
      </w:pPr>
      <w:r>
        <w:t xml:space="preserve">(d) promptly commence consultations with the other Parties in order to review the measure.</w:t>
      </w:r>
    </w:p>
    <w:p>
      <w:pPr>
        <w:pStyle w:val="Normal"/>
        <w:ind w:left="720"/>
      </w:pPr>
      <w:r>
        <w:t xml:space="preserve">(i) In the case of capital movements, promptly respond to any other Party that requests consultations in relation to the measure, provided that such consultations are not otherwise taking place outside of this Agreement.</w:t>
      </w:r>
    </w:p>
    <w:p>
      <w:pPr>
        <w:pStyle w:val="Normal"/>
        <w:ind w:left="720"/>
      </w:pPr>
      <w:r>
        <w:t xml:space="preserve">(ii) In the case of current account restrictions, if consultations in relation to the measure are not taking place under the framework of the WTO Agreement, a Party, if requested, shall promptly commence consultations with any interested Party.</w:t>
      </w:r>
    </w:p>
    <w:p>
      <w:pPr>
        <w:pStyle w:val="Heading2"/>
      </w:pPr>
      <w:bookmarkStart w:id="901023" w:name="_Toc300001022"/>
      <w:r>
        <w:t xml:space="preserve">Article 32.5: Indigenous Peoples Rights</w:t>
      </w:r>
      <w:bookmarkEnd w:id="901023"/>
    </w:p>
    <w:p>
      <w:pPr>
        <w:pStyle w:val="Normal"/>
      </w:pPr>
      <w:r>
        <w:t xml:space="preserve">Provided that such measures are not used as a means of arbitrary or unjustified discrimination against persons of the other Parties or as a disguised restriction on trade in goods, services, and investment, this Agreement does not preclude a Party from adopting or maintaining a measure it deems necessary to fulfill its legal obligations to indigenous peoples. </w:t>
      </w:r>
      <w:r>
        <w:rPr>
          <w:vertAlign w:val="superscript"/>
        </w:rPr>
        <w:t xml:space="preserve">7</w:t>
      </w:r>
    </w:p>
    <w:p>
      <w:pPr>
        <w:pStyle w:val="Heading2"/>
      </w:pPr>
      <w:bookmarkStart w:id="901024" w:name="_Toc300001023"/>
      <w:r>
        <w:t xml:space="preserve">Article 32.6: Cultural Industries</w:t>
      </w:r>
      <w:bookmarkEnd w:id="901024"/>
    </w:p>
    <w:p>
      <w:pPr>
        <w:pStyle w:val="Normal"/>
      </w:pPr>
      <w:r>
        <w:t xml:space="preserve">1. For the purposes of this Article, “cultural industry” means a person engaged in the following activities:</w:t>
      </w:r>
    </w:p>
    <w:p>
      <w:pPr>
        <w:pStyle w:val="Normal"/>
        <w:ind w:left="360"/>
      </w:pPr>
      <w:r>
        <w:t xml:space="preserve">(a) the publication, distribution, or sale of books, magazines, periodicals or newspapers in print or machine readable form but not including the sole activity of printing or typesetting any of the foregoing;</w:t>
      </w:r>
    </w:p>
    <w:p>
      <w:pPr>
        <w:pStyle w:val="Normal"/>
        <w:ind w:left="360"/>
      </w:pPr>
      <w:r>
        <w:t xml:space="preserve">(b) the production, distribution, sale, or exhibition of film or video recordings;</w:t>
      </w:r>
    </w:p>
    <w:p>
      <w:pPr>
        <w:pStyle w:val="Normal"/>
        <w:ind w:left="360"/>
      </w:pPr>
      <w:r>
        <w:t xml:space="preserve">(c) the production, distribution, sale, or exhibition of audio or video music recordings;</w:t>
      </w:r>
    </w:p>
    <w:p>
      <w:pPr>
        <w:pStyle w:val="Normal"/>
        <w:ind w:left="360"/>
      </w:pPr>
      <w:r>
        <w:t xml:space="preserve">(d) the publication, distribution, or sale of music in print or machine readable form; or</w:t>
      </w:r>
    </w:p>
    <w:p>
      <w:pPr>
        <w:pStyle w:val="Normal"/>
        <w:ind w:left="360"/>
      </w:pPr>
      <w:r>
        <w:t xml:space="preserve">(e) radiocommunications in which the transmissions are intended for direct reception by the general public, and all radio, television and cable broadcasting undertakings and all satellite programming and broadcast network services</w:t>
      </w:r>
    </w:p>
    <w:p>
      <w:pPr>
        <w:pStyle w:val="Normal"/>
      </w:pPr>
      <w:r>
        <w:t xml:space="preserve">2. This Agreement does not apply to a measure adopted or maintained by Canada with respect to a cultural industry, except as specifically provided in Article 2.4 (Treatment of Customs Duties) or Annex 15-D (Programming Services).</w:t>
      </w:r>
    </w:p>
    <w:p>
      <w:pPr>
        <w:pStyle w:val="Normal"/>
      </w:pPr>
      <w:r>
        <w:t xml:space="preserve">3. With respect to Canadian goods, services, and content, the United States and Mexico may adopt or maintain a measure that, were it adopted or maintained by Canada, would have been inconsistent with this Agreement but for paragraph 2.</w:t>
      </w:r>
    </w:p>
    <w:p>
      <w:pPr>
        <w:pStyle w:val="Normal"/>
      </w:pPr>
      <w:r>
        <w:t xml:space="preserve">4. Notwithstanding any other provision of this Agreement, a Party may take a measure of equivalent commercial effect in response to an action by another Party that would have been inconsistent with this Agreement but for paragraph 2 or 3.</w:t>
      </w:r>
    </w:p>
    <w:p>
      <w:pPr>
        <w:pStyle w:val="Normal"/>
      </w:pPr>
      <w:r>
        <w:t xml:space="preserve">5. Notwithstanding Article 31.3 (Choice of Forum):</w:t>
      </w:r>
    </w:p>
    <w:p>
      <w:pPr>
        <w:pStyle w:val="Normal"/>
        <w:ind w:left="360"/>
      </w:pPr>
      <w:r>
        <w:t xml:space="preserve">(a) dispute regarding a measure taken under paragraph 4 shall be settled exclusively under this Agreement unless a Party seeking to establish a panel under Article 31.6 (Establishment of a Panel) has been unable to do so within 90 days of the date of delivery of the request for consultations under Article 31.4 (Consultations); and</w:t>
      </w:r>
    </w:p>
    <w:p>
      <w:pPr>
        <w:pStyle w:val="Normal"/>
        <w:ind w:left="360"/>
      </w:pPr>
      <w:r>
        <w:t xml:space="preserve">(b) a panel established under Article 31.6 (Establishment of a Panel) with respect to that challenge shall have jurisdiction and may make findings only with respect to:</w:t>
      </w:r>
    </w:p>
    <w:p>
      <w:pPr>
        <w:pStyle w:val="Normal"/>
        <w:ind w:left="720"/>
      </w:pPr>
      <w:r>
        <w:t xml:space="preserve">(i) whether an action to which another Party responds is a measure adopted or maintained with respect to a cultural industry for purposes of this Article, and</w:t>
      </w:r>
    </w:p>
    <w:p>
      <w:pPr>
        <w:pStyle w:val="Normal"/>
        <w:ind w:left="720"/>
      </w:pPr>
      <w:r>
        <w:t xml:space="preserve">(ii) whether the responsive action of a Party is of “equivalent commercial effect” to the relevant action of the other Party.</w:t>
      </w:r>
    </w:p>
    <w:p>
      <w:pPr>
        <w:pStyle w:val="Heading3"/>
      </w:pPr>
      <w:r>
        <w:t xml:space="preserve">Section B: General Provisions</w:t>
      </w:r>
    </w:p>
    <w:p>
      <w:pPr>
        <w:pStyle w:val="Heading2"/>
      </w:pPr>
      <w:bookmarkStart w:id="901025" w:name="_Toc300001024"/>
      <w:r>
        <w:t xml:space="preserve">Article 32.7: Disclosure of Information</w:t>
      </w:r>
      <w:bookmarkEnd w:id="901025"/>
    </w:p>
    <w:p>
      <w:pPr>
        <w:pStyle w:val="Normal"/>
      </w:pPr>
      <w:r>
        <w:t xml:space="preserve">This Agreement does not require a Party to furnish or allow access to information, the disclosure of which would be contrary to its law or would impede law enforcement, or otherwise be contrary to the public interest, or which would prejudice the legitimate commercial interests of particular enterprises, public or private.</w:t>
      </w:r>
    </w:p>
    <w:p>
      <w:pPr>
        <w:pStyle w:val="Heading2"/>
      </w:pPr>
      <w:bookmarkStart w:id="901026" w:name="_Toc300001025"/>
      <w:r>
        <w:t xml:space="preserve">Article 32.8: Personal Information Protection</w:t>
      </w:r>
      <w:r>
        <w:rPr>
          <w:vertAlign w:val="superscript"/>
        </w:rPr>
        <w:t xml:space="preserve">8</w:t>
      </w:r>
      <w:bookmarkEnd w:id="901026"/>
    </w:p>
    <w:p>
      <w:pPr>
        <w:pStyle w:val="Normal"/>
      </w:pPr>
      <w:r>
        <w:t xml:space="preserve">1. For the purposes of this Article:</w:t>
      </w:r>
    </w:p>
    <w:p>
      <w:pPr>
        <w:pStyle w:val="Normal"/>
      </w:pPr>
      <w:r>
        <w:t xml:space="preserve">personal information</w:t>
      </w:r>
      <w:r>
        <w:t xml:space="preserve"> means information, including data, about an identified or identifiable natural person.</w:t>
      </w:r>
    </w:p>
    <w:p>
      <w:pPr>
        <w:pStyle w:val="Normal"/>
      </w:pPr>
      <w:r>
        <w:t xml:space="preserve">2. Each Party shall adopt or maintain a legal framework that provides for the protection of personal information.</w:t>
      </w:r>
      <w:r>
        <w:rPr>
          <w:vertAlign w:val="superscript"/>
        </w:rPr>
        <w:t xml:space="preserve">9</w:t>
      </w:r>
      <w:r>
        <w:t xml:space="preserve">In the development of this legal framework, each Party should take into account principles and guidelines of relevant international bodies, such as the </w:t>
      </w:r>
      <w:r>
        <w:rPr>
          <w:i/>
        </w:rPr>
        <w:t xml:space="preserve">APEC Privacy Framework</w:t>
      </w:r>
      <w:r>
        <w:t xml:space="preserve"> and the </w:t>
      </w:r>
      <w:r>
        <w:rPr>
          <w:i/>
        </w:rPr>
        <w:t xml:space="preserve">OECD Recommendation of the Council concerning Guidelines governing the Protection of Privacy and Transborder Flows of Personal Data (2013)</w:t>
      </w:r>
      <w:r>
        <w:t xml:space="preserve">.</w:t>
      </w:r>
    </w:p>
    <w:p>
      <w:pPr>
        <w:pStyle w:val="Normal"/>
      </w:pPr>
      <w:r>
        <w:t xml:space="preserve">3. The Parties recognize that, pursuant to paragraph 2 key principles include: limitation on collection; choice; data quality; purpose specification; use limitation; security safeguards; transparency; individual participation; and accountability.</w:t>
      </w:r>
    </w:p>
    <w:p>
      <w:pPr>
        <w:pStyle w:val="Normal"/>
      </w:pPr>
      <w:r>
        <w:t xml:space="preserve">4. Each Party shall endeavor to adopt non-discriminatory practices in protecting natural persons from personal information protection violations occurring within its jurisdiction.</w:t>
      </w:r>
    </w:p>
    <w:p>
      <w:pPr>
        <w:pStyle w:val="Normal"/>
      </w:pPr>
      <w:r>
        <w:t xml:space="preserve">5. Each Party shall publish information on the personal information protections it provides, including how:</w:t>
      </w:r>
    </w:p>
    <w:p>
      <w:pPr>
        <w:pStyle w:val="Normal"/>
        <w:ind w:left="360"/>
      </w:pPr>
      <w:r>
        <w:t xml:space="preserve">(a) individuals can pursue a remedy; and</w:t>
      </w:r>
    </w:p>
    <w:p>
      <w:pPr>
        <w:pStyle w:val="Normal"/>
        <w:ind w:left="360"/>
      </w:pPr>
      <w:r>
        <w:t xml:space="preserve">(b) an enterprise can comply with legal requirements.</w:t>
      </w:r>
    </w:p>
    <w:p>
      <w:pPr>
        <w:pStyle w:val="Normal"/>
      </w:pPr>
      <w:r>
        <w:t xml:space="preserve">6. Recognizing that the Parties may take different legal approaches to protecting personal information, each Party should encourage the development of mechanisms to promote compatibility between these different regimes. The Parties shall endeavor to exchange information on the mechanisms applied in their jurisdictions and explore ways to extend these or other suitable arrangements to promote compatibility between them. The Parties recognize that the </w:t>
      </w:r>
      <w:r>
        <w:rPr>
          <w:i/>
        </w:rPr>
        <w:t xml:space="preserve">APEC Cross-Border Privacy Rules</w:t>
      </w:r>
      <w:r>
        <w:t xml:space="preserve"> system is a valid mechanism to facilitate cross-border information transfers while protecting personal information.</w:t>
      </w:r>
    </w:p>
    <w:p>
      <w:pPr>
        <w:pStyle w:val="Normal"/>
      </w:pPr>
      <w:r>
        <w:t xml:space="preserve">7. The Parties shall endeavor to foster cooperation between appropriate government agencies regarding investigations on matters involving personal information protection and encourage the development of mechanisms to assist users to submit cross-border complaints regarding protection of personal information.</w:t>
      </w:r>
    </w:p>
    <w:p>
      <w:pPr>
        <w:pStyle w:val="Heading2"/>
      </w:pPr>
      <w:bookmarkStart w:id="901027" w:name="_Toc300001026"/>
      <w:r>
        <w:t xml:space="preserve">Article 32.9: Access to Information</w:t>
      </w:r>
      <w:bookmarkEnd w:id="901027"/>
    </w:p>
    <w:p>
      <w:pPr>
        <w:pStyle w:val="Normal"/>
      </w:pPr>
      <w:r>
        <w:t xml:space="preserve">Each Party shall maintain a legal framework that allows a natural person in its territory to obtain access to records held by the central level of government subject to reasonable terms and limitations specified in the Party’s law, provided that the terms and limitations applying to natural persons of another Party in the Party’s territory are no less favorable than those applying to natural persons of the Party, or of another country, in the Party’s territory. </w:t>
      </w:r>
      <w:r>
        <w:rPr>
          <w:vertAlign w:val="superscript"/>
        </w:rPr>
        <w:t xml:space="preserve">10</w:t>
      </w:r>
    </w:p>
    <w:p>
      <w:pPr>
        <w:pStyle w:val="Heading2"/>
      </w:pPr>
      <w:bookmarkStart w:id="901028" w:name="_Toc300001027"/>
      <w:r>
        <w:t xml:space="preserve">Article 32.10: Non-Market Country FTA</w:t>
      </w:r>
      <w:bookmarkEnd w:id="901028"/>
    </w:p>
    <w:p>
      <w:pPr>
        <w:pStyle w:val="Normal"/>
      </w:pPr>
      <w:r>
        <w:t xml:space="preserve">1. For the purposes of this Article:</w:t>
      </w:r>
    </w:p>
    <w:p>
      <w:pPr>
        <w:pStyle w:val="Normal"/>
      </w:pPr>
      <w:r>
        <w:t xml:space="preserve">non-market country</w:t>
      </w:r>
      <w:r>
        <w:t xml:space="preserve"> is a country:</w:t>
      </w:r>
    </w:p>
    <w:p>
      <w:pPr>
        <w:pStyle w:val="Normal"/>
        <w:ind w:left="360"/>
      </w:pPr>
      <w:r>
        <w:t xml:space="preserve">(a) that on the date of signature of this Agreement, a Party has determined to be a non-market economy for purposes of its trade remedy laws; and</w:t>
      </w:r>
    </w:p>
    <w:p>
      <w:pPr>
        <w:pStyle w:val="Normal"/>
        <w:ind w:left="360"/>
      </w:pPr>
      <w:r>
        <w:t xml:space="preserve">(b) with which no Party has signed a free trade agreement.</w:t>
      </w:r>
    </w:p>
    <w:p>
      <w:pPr>
        <w:pStyle w:val="Normal"/>
      </w:pPr>
      <w:r>
        <w:t xml:space="preserve">2. At least 3 months prior to commencing negotiations, a Party shall inform the other Parties of its intention to commence free trade agreement negotiations with a non-market country.</w:t>
      </w:r>
    </w:p>
    <w:p>
      <w:pPr>
        <w:pStyle w:val="Normal"/>
      </w:pPr>
      <w:r>
        <w:t xml:space="preserve">3. Upon request of another Party, a Party intending to commence free trade negotiations with a non-market country shall provide as much information as possible regarding the objectives for those negotiations.</w:t>
      </w:r>
    </w:p>
    <w:p>
      <w:pPr>
        <w:pStyle w:val="Normal"/>
      </w:pPr>
      <w:r>
        <w:t xml:space="preserve">4. As early as possible, and no later than 30 days before the date of signature, a Party intending to sign a free trade agreement with a non-market country shall provide the other Parties with an opportunity to review the full text of the agreement, including any annexes and side instruments, in order for the Parties to be able to review the agreement and assess its potential impact on this Agreement. If the Party involved requests that the text be treated as confidential, the other Parties shall maintain the confidentiality of the text.</w:t>
      </w:r>
    </w:p>
    <w:p>
      <w:pPr>
        <w:pStyle w:val="Normal"/>
      </w:pPr>
      <w:r>
        <w:t xml:space="preserve">5. Entry by a Party into a free trade agreement with a non-market country will allow the other Parties to terminate this Agreement on six months’ notice and replace this Agreement with an agreement as between them (bilateral agreement).</w:t>
      </w:r>
    </w:p>
    <w:p>
      <w:pPr>
        <w:pStyle w:val="Normal"/>
      </w:pPr>
      <w:r>
        <w:t xml:space="preserve">6. The bilateral agreement shall be comprised of all the provisions of this Agreement, except those provisions that the relevant Parties agree are not applicable as between them.</w:t>
      </w:r>
    </w:p>
    <w:p>
      <w:pPr>
        <w:pStyle w:val="Normal"/>
      </w:pPr>
      <w:r>
        <w:t xml:space="preserve">7. The relevant Parties shall utilize the six months’ notice period to review this Agreement and determine whether any amendments should be made in order to ensure the proper operation of the bilateral agreement.</w:t>
      </w:r>
    </w:p>
    <w:p>
      <w:pPr>
        <w:pStyle w:val="Normal"/>
      </w:pPr>
      <w:r>
        <w:t xml:space="preserve">8. The bilateral agreement enters into force 60 days after the date on which the last party to the bilateral agreement has notified the other party that it has completed its applicable legal procedures.</w:t>
      </w:r>
    </w:p>
    <w:p>
      <w:pPr>
        <w:pStyle w:val="Heading2"/>
      </w:pPr>
      <w:bookmarkStart w:id="901029" w:name="_Toc300001028"/>
      <w:r>
        <w:t xml:space="preserve">Article 32.11: Specific Provision on Cross-Border Trade in Services, Investment, and State-Owned Enterprises and Designated Monopolies for Mexico</w:t>
      </w:r>
      <w:bookmarkEnd w:id="901029"/>
    </w:p>
    <w:p>
      <w:pPr>
        <w:pStyle w:val="Normal"/>
      </w:pPr>
      <w:r>
        <w:t xml:space="preserve">With respect to the obligations in Chapter 14 (Investment), Chapter 15 (Cross-Border Trade in Services), and Chapter 22 (State-Owned Enterprises and Designated Monopolies), Mexico reserves the right to adopt or maintain a measure with respect to a sector or sub-sector for which Mexico has not taken a specific reservation in its Schedules to Annexes I, II, and IV of this Agreement, only to the extent consistent with the least restrictive measures that Mexico may adopt or maintain under the terms of applicable reservations and exceptions to parallel obligations in other trade and investment agreements that Mexico has ratified prior to entry into force of this Agreement, including the WTO Agreement, without regard to whether those other agreements have entered into force.</w:t>
      </w:r>
    </w:p>
    <w:p>
      <w:pPr>
        <w:pStyle w:val="Heading2"/>
      </w:pPr>
      <w:bookmarkStart w:id="901030" w:name="_Toc300001029"/>
      <w:r>
        <w:t xml:space="preserve">Article 32.12: Exclusion from Dispute Settlement</w:t>
      </w:r>
      <w:bookmarkEnd w:id="901030"/>
    </w:p>
    <w:p>
      <w:pPr>
        <w:pStyle w:val="Normal"/>
      </w:pPr>
      <w:r>
        <w:t xml:space="preserve">A decision by Canada following a review under the </w:t>
      </w:r>
      <w:r>
        <w:rPr>
          <w:i/>
        </w:rPr>
        <w:t xml:space="preserve">Investment Canada Act</w:t>
      </w:r>
      <w:r>
        <w:t xml:space="preserve">, R.S.C. 1985, c.28 (1st Supp.), with respect to whether or not to permit an investment that is subject to review, shall not be subject to the dispute settlement provisions of Chapter 31 (Dispute Settlement).</w:t>
      </w:r>
    </w:p>
    <w:p>
      <w:pPr>
        <w:pStyle w:val="Normal"/>
        <w:keepNext/>
      </w:pPr>
      <w:r>
        <w:rPr>
          <w:b/>
        </w:rPr>
        <w:t>Footnotes</w:t>
      </w:r>
    </w:p>
    <w:p>
      <w:pPr>
        <w:pStyle w:val="Normal"/>
      </w:pPr>
      <w:r>
        <w:t xml:space="preserve">Footnote 1 </w:t>
      </w:r>
      <w:r>
        <w:t xml:space="preserve">For the purposes of Chapter 22 (State-Owned Enterprises and Designated Monopolies), Article XX of the GATT 1994 and its interpretative notes are incorporated into and made part of this Agreement, mutatis mutandis, only with respect to measures of a Party (including the implementation of measures through the activities of a state-owned enterprise or a designated monopoly) affecting the purchase, production or sale of goods, or affecting activities the end result of which is the production of goods.</w:t>
      </w:r>
    </w:p>
    <w:p>
      <w:pPr>
        <w:pStyle w:val="Normal"/>
      </w:pPr>
      <w:r>
        <w:t xml:space="preserve">Footnote 2 </w:t>
      </w:r>
      <w:r>
        <w:t xml:space="preserve">This paragraph is without prejudice to whether a Party considers a digital product to be a good or service.</w:t>
      </w:r>
    </w:p>
    <w:p>
      <w:pPr>
        <w:pStyle w:val="Normal"/>
      </w:pPr>
      <w:r>
        <w:t xml:space="preserve">Footnote 3 </w:t>
      </w:r>
      <w:r>
        <w:t xml:space="preserve">For the purposes of Chapter 22 (State-Owned Enterprises and Designated Monopolies), Article XIV of the GATS (including its footnotes) is incorporated into and made part of this Agreement, mutatis mutandis, only with respect to measures of a Party (including the implementation of measures through the activities of a state-owned enterprise or a designated monopoly) affecting the purchase or supply of services, or affecting activities the end result of which is the supply of services.</w:t>
      </w:r>
    </w:p>
    <w:p>
      <w:pPr>
        <w:pStyle w:val="Normal"/>
      </w:pPr>
      <w:r>
        <w:t xml:space="preserve">Footnote 4 </w:t>
      </w:r>
      <w:r>
        <w:t xml:space="preserve">The Parties understand that this subparagraph must be interpreted by reference to the footnote to Article XIV(d) of GATS as if the Article was not restricted to services or direct taxes.</w:t>
      </w:r>
    </w:p>
    <w:p>
      <w:pPr>
        <w:pStyle w:val="Normal"/>
      </w:pPr>
      <w:r>
        <w:t xml:space="preserve">Footnote 5 </w:t>
      </w:r>
      <w:r>
        <w:t xml:space="preserve">Without prejudice to the general interpretation of the Articles listed in this sub-paragraph, the fact that a measure a Party adopts or maintains pursuant to paragraph 2 or 3 differentiates between investors on the basis of residency does not necessarily mean that the measure is inconsistent with those Articles.</w:t>
      </w:r>
    </w:p>
    <w:p>
      <w:pPr>
        <w:pStyle w:val="Normal"/>
      </w:pPr>
      <w:r>
        <w:t xml:space="preserve">Footnote 6 </w:t>
      </w:r>
      <w:r>
        <w:t xml:space="preserve">For greater certainty, a measure referred to in paragraph 2 or 3 may be non-discriminatory regulatory actions by a Party that is designed and applied to protect legitimate public welfare objectives as referred to in Annex 14-B.3(b) (Expropriation).</w:t>
      </w:r>
    </w:p>
    <w:p>
      <w:pPr>
        <w:pStyle w:val="Normal"/>
      </w:pPr>
      <w:r>
        <w:t xml:space="preserve">Footnote 7 </w:t>
      </w:r>
      <w:r>
        <w:t xml:space="preserve">For greater certainty, for Canada the legal obligations include those recognized and affirmed by section 35 of the Constitution Act 1982 or those set out in self-government agreements between a central or regional level of government and indigenous peoples.</w:t>
      </w:r>
    </w:p>
    <w:p>
      <w:pPr>
        <w:pStyle w:val="Normal"/>
      </w:pPr>
      <w:r>
        <w:t xml:space="preserve">Footnote 8 </w:t>
      </w:r>
      <w:r>
        <w:t xml:space="preserve">This Article does not apply to information held or processed by or on behalf of a Party, or measures related to that information, including measures related to its collection.</w:t>
      </w:r>
    </w:p>
    <w:p>
      <w:pPr>
        <w:pStyle w:val="Normal"/>
      </w:pPr>
      <w:r>
        <w:t xml:space="preserve">Footnote 9 </w:t>
      </w:r>
      <w:r>
        <w:t xml:space="preserve">For greater certainty, a Party may comply with the obligation in this paragraph by adopting or maintaining measures such as a comprehensive privacy, personal information, or personal data protection law, sector-specific laws covering privacy, or laws that provide for the enforcement of voluntary undertakings by enterprises relating to privacy.</w:t>
      </w:r>
    </w:p>
    <w:p>
      <w:pPr>
        <w:pStyle w:val="Normal"/>
      </w:pPr>
      <w:r>
        <w:t xml:space="preserve">Footnote 10 </w:t>
      </w:r>
      <w:r>
        <w:t xml:space="preserve">For the United States, this provision applies to “agencies,” as defined at 5 U.S.C. 551(1).</w:t>
      </w:r>
    </w:p>
    <w:p>
      <w:pPr>
        <w:pStyle w:val="ModHeading"/>
      </w:pPr>
      <w:bookmarkStart w:id="901031" w:name="_Toc300001030"/>
      <w:r>
        <w:t>CHAPTER 32: CUSMA 2.0 MODERNIZATION PROVISIONS</w:t>
      </w:r>
      <w:bookmarkEnd w:id="901031"/>
    </w:p>
    <w:p>
      <w:pPr>
        <w:pStyle w:val="Heading2"/>
      </w:pPr>
      <w:bookmarkStart w:id="901032" w:name="_Toc300001031"/>
      <w:r>
        <w:t>Article 32.A: Essential Security (Replacement of Article 32.2)</w:t>
      </w:r>
      <w:bookmarkEnd w:id="901032"/>
    </w:p>
    <w:p>
      <w:pPr>
        <w:pStyle w:val="Normal"/>
      </w:pPr>
      <w:r>
        <w:t>1. Article 32.2 is replaced in its entirety by the following:</w:t>
      </w:r>
    </w:p>
    <w:p>
      <w:pPr>
        <w:pStyle w:val="Normal"/>
      </w:pPr>
      <w:r>
        <w:t>“</w:t>
      </w:r>
      <w:r>
        <w:rPr>
          <w:b/>
        </w:rPr>
        <w:t>Article 32.2: Essential Security</w:t>
      </w:r>
    </w:p>
    <w:p>
      <w:pPr>
        <w:pStyle w:val="Normal"/>
      </w:pPr>
      <w:r>
        <w:t>1. Nothing in this Agreement shall be construed to require a Party to furnish or allow access to information the disclosure of which it determines to be contrary to its essential security interests.</w:t>
      </w:r>
    </w:p>
    <w:p>
      <w:pPr>
        <w:pStyle w:val="Normal"/>
      </w:pPr>
      <w:r>
        <w:t>2. Nothing in this Agreement shall be construed to preclude a Party from applying measures that it considers necessary for: (a) the fulfillment of its obligations with respect to the maintenance or restoration of international peace or security; or (b) the protection of its own essential security interests.</w:t>
      </w:r>
    </w:p>
    <w:p>
      <w:pPr>
        <w:pStyle w:val="Normal"/>
      </w:pPr>
      <w:r>
        <w:t>3. A measure applied by a Party under paragraph 2(b) that affects the trade in goods or services of another Party, or investment of investors of another Party, is subject to the following procedural disciplines:</w:t>
      </w:r>
    </w:p>
    <w:p>
      <w:pPr>
        <w:pStyle w:val="Normal"/>
      </w:pPr>
      <w:r>
        <w:t>(a) the invoking Party shall notify the other Parties in writing within 15 days after the measure’s adoption, and in advance where delay would not create a genuine security risk, identifying: (i) the essential security interest involved, at a level of specificity sufficient to permit the review contemplated by Article 35.22, without disclosure of classified information; (ii) the goods, services, or investment affected; (iii) the domestic authority used; and (iv) the expected duration;</w:t>
      </w:r>
    </w:p>
    <w:p>
      <w:pPr>
        <w:pStyle w:val="Normal"/>
      </w:pPr>
      <w:r>
        <w:t>(b) the invoking Party shall enter emergency consultations with an affected Party within 10 days of a request;</w:t>
      </w:r>
    </w:p>
    <w:p>
      <w:pPr>
        <w:pStyle w:val="Normal"/>
      </w:pPr>
      <w:r>
        <w:t>(c) the measure shall be no broader in scope, and no longer in duration, than the stated essential security interest requires;</w:t>
      </w:r>
    </w:p>
    <w:p>
      <w:pPr>
        <w:pStyle w:val="Normal"/>
      </w:pPr>
      <w:r>
        <w:t>(d) the invoking Party shall review the measure at intervals not exceeding 180 days, shall notify the other Parties of each review with an updated justification, and shall terminate the measure when the stated security interest no longer requires it;</w:t>
      </w:r>
    </w:p>
    <w:p>
      <w:pPr>
        <w:pStyle w:val="Normal"/>
      </w:pPr>
      <w:r>
        <w:t>(e) the measure terminates two years after adoption unless renewed through a fresh notification and justification under this paragraph; successive renewals require successively particularized justification; and successive measures addressing substantially the same stated security concern and substantially the same trade are treated as renewals of a single continuing measure, however denominated, designated, or re-justified; and</w:t>
      </w:r>
    </w:p>
    <w:p>
      <w:pPr>
        <w:pStyle w:val="Normal"/>
      </w:pPr>
      <w:r>
        <w:t>(f) a measure affecting originating goods of another Party is subject to the special review lane in Article 35.22, and to the protections accorded goods holding Trusted North American Origin status.</w:t>
      </w:r>
    </w:p>
    <w:p>
      <w:pPr>
        <w:pStyle w:val="Normal"/>
      </w:pPr>
      <w:r>
        <w:t>4. Drug trafficking, migration, crime, or other non-trade conduct does not by itself constitute an essential-security basis for a covered border measure against originating goods of another Party, unless the invoking Party establishes a direct and material nexus between those goods themselves and the stated security threat (that is, that the targeted goods materially contribute to, or materially facilitate, the threat) and that nexus is reviewable under Article 35.22 in accordance with the review boundary of Article 35.22.7.</w:t>
      </w:r>
    </w:p>
    <w:p>
      <w:pPr>
        <w:pStyle w:val="Normal"/>
      </w:pPr>
      <w:r>
        <w:t>5. A dispute concerning whether a measure complies with paragraphs 3 and 4 may be submitted to dispute settlement under Chapter 31, including the Expedited Tariff Panel procedure in Article 31.A. In such a dispute, a panel shall not review the invoking Party’s good-faith identification of its essential security interests or substitute its military, defense, intelligence, or foreign-policy judgment. The panel may review the implementation of the measure to the extent expressly authorized by Article 35.22 and Articles 32.A.1 through 32.A.9, including factual nexus, scope, discrimination, proportionality, duration, procedural integrity, trusted-supply treatment, and whether a narrower effective trade measure is reasonably available.</w:t>
      </w:r>
    </w:p>
    <w:p>
      <w:pPr>
        <w:pStyle w:val="Normal"/>
      </w:pPr>
      <w:r>
        <w:t>6. A Party shall not invoke this Article as a means of circumventing its obligations under this Agreement with respect to ordinary commercial matters, including industrial capacity, employment, market share, supply-chain resilience as a general matter, or general economic conditions, which do not as such constitute essential security interests. A pattern of invocation determined under Chapter 31 to constitute such circumvention entitles the affected Party to proportionate compensation within the affected module.“</w:t>
      </w:r>
    </w:p>
    <w:p>
      <w:pPr>
        <w:pStyle w:val="Normal"/>
      </w:pPr>
      <w:r>
        <w:t>2. For greater certainty, paragraph 3 of the replaced Article does not constrain action taken in time of armed conflict or genuine national emergency, provided that notification under subparagraph (a) is given as soon as practicable and the remaining disciplines apply thereafter.</w:t>
      </w:r>
    </w:p>
    <w:p>
      <w:pPr>
        <w:pStyle w:val="Heading2"/>
      </w:pPr>
      <w:bookmarkStart w:id="901033" w:name="_Toc300001032"/>
      <w:r>
        <w:t>Article 32.A.1: Functional Equivalence and Domestic-Law Anti-Circumvention</w:t>
      </w:r>
      <w:bookmarkEnd w:id="901033"/>
    </w:p>
    <w:p>
      <w:pPr>
        <w:pStyle w:val="Normal"/>
      </w:pPr>
      <w:r>
        <w:t>1. For purposes of this Agreement, a measure is characterized according to its operation, legal and economic effect, and practical conditions, and not solely according to its domestic statutory authority, executive label, institutional actor, stated purpose, or administrative form.</w:t>
      </w:r>
    </w:p>
    <w:p>
      <w:pPr>
        <w:pStyle w:val="Normal"/>
      </w:pPr>
      <w:r>
        <w:t>2. A Party shall not evade, circumvent, nullify, or materially defeat a safeguard of this Agreement by imposing substantially equivalent economic coercion through a national-security adjustment, emergency surcharge, import fee, quota, license, permit, bond, procurement exclusion, certification rule, inspection regime, port restriction, domestic-content condition, or other instrument that would be subject to that safeguard if imposed in another form.</w:t>
      </w:r>
    </w:p>
    <w:p>
      <w:pPr>
        <w:pStyle w:val="Normal"/>
      </w:pPr>
      <w:r>
        <w:t>3. Measures attributable to a Party include measures of its legislative, executive, administrative, judicial, and covered subnational authorities, and of a private or public body exercising delegated governmental authority, to the extent recognized by this Agreement and applicable international law. Domestic allocation of authority does not by itself extinguish the Party's international responsibility.</w:t>
      </w:r>
    </w:p>
    <w:p>
      <w:pPr>
        <w:pStyle w:val="Normal"/>
      </w:pPr>
      <w:r>
        <w:t>4. This Article does not enlarge the substantive scope of this Agreement into matters otherwise excluded. It prevents form, label, governmental level, or domestic legal source from defeating an obligation that otherwise applies.</w:t>
      </w:r>
    </w:p>
    <w:p>
      <w:pPr>
        <w:pStyle w:val="Heading2"/>
      </w:pPr>
      <w:bookmarkStart w:id="901034" w:name="_Toc300001033"/>
      <w:r>
        <w:t>Article 32.A.2: Sovereign Security Judgment and Reviewable Implementation</w:t>
      </w:r>
      <w:bookmarkEnd w:id="901034"/>
    </w:p>
    <w:p>
      <w:pPr>
        <w:pStyle w:val="Normal"/>
      </w:pPr>
      <w:r>
        <w:t>1. Each Party retains sovereign authority to identify and protect its essential security interests. No panel shall substitute its preferred security policy for the invoking Party's good-faith identification of the interest to be protected.</w:t>
      </w:r>
    </w:p>
    <w:p>
      <w:pPr>
        <w:pStyle w:val="Normal"/>
      </w:pPr>
      <w:r>
        <w:t>2. The implementation of a trade- or investment-restrictive security measure remains reviewable for compliance with this Agreement, including attribution, notification, evidentiary sufficiency, concrete nexus, scope, discrimination, proportionality, duration, procedural integrity, and restoration.</w:t>
      </w:r>
    </w:p>
    <w:p>
      <w:pPr>
        <w:pStyle w:val="Normal"/>
      </w:pPr>
      <w:r>
        <w:t>3. A security designation does not render the implementation of the measure self-judging. The invoking Party bears the burden of establishing the elements that this Agreement expressly makes reviewable.</w:t>
      </w:r>
    </w:p>
    <w:p>
      <w:pPr>
        <w:pStyle w:val="Normal"/>
      </w:pPr>
      <w:r>
        <w:t>4. Economic importance, employment significance, trade imbalance, market share, domestic political sensitivity, strategic-sector classification, or incorporation into a defense or critical-infrastructure supply chain does not, standing alone, establish the concrete security nexus required by this Agreement.</w:t>
      </w:r>
    </w:p>
    <w:p>
      <w:pPr>
        <w:pStyle w:val="Heading2"/>
      </w:pPr>
      <w:bookmarkStart w:id="901035" w:name="_Toc300001034"/>
      <w:r>
        <w:t>Article 32.A.3: Trusted North American Supply Presumption</w:t>
      </w:r>
      <w:bookmarkEnd w:id="901035"/>
    </w:p>
    <w:p>
      <w:pPr>
        <w:pStyle w:val="Normal"/>
      </w:pPr>
      <w:r>
        <w:t>1. Originating supply from another Party is presumed, for purposes of an essential-security trade analysis, to constitute trusted North American supply.</w:t>
      </w:r>
    </w:p>
    <w:p>
      <w:pPr>
        <w:pStyle w:val="Normal"/>
      </w:pPr>
      <w:r>
        <w:t>2. The presumption is rebuttable by clear and convincing evidence of a direct and material risk, including actual or credibly impending supply denial; material inability to supply within the relevant period; hostile or coercive control; verified circumvention; material adversary beneficial ownership or effective control where functionally relevant; persistent treaty noncompliance directly affecting the security interest; or another comparably concrete vulnerability.</w:t>
      </w:r>
    </w:p>
    <w:p>
      <w:pPr>
        <w:pStyle w:val="Normal"/>
      </w:pPr>
      <w:r>
        <w:t>3. Speculation that another Party might become unreliable at an undefined future time does not rebut the presumption.</w:t>
      </w:r>
    </w:p>
    <w:p>
      <w:pPr>
        <w:pStyle w:val="Normal"/>
      </w:pPr>
      <w:r>
        <w:t>4. Originating status does not immunize hostile non-Party control, fraud, circumvention, controlled technology leakage, or a genuine security vulnerability. Review shall address the actual risk rather than nationality alone.</w:t>
      </w:r>
    </w:p>
    <w:p>
      <w:pPr>
        <w:pStyle w:val="Heading2"/>
      </w:pPr>
      <w:bookmarkStart w:id="901036" w:name="_Toc300001035"/>
      <w:r>
        <w:t>Article 32.A.4: Third-Country Connection and Ownership Discipline</w:t>
      </w:r>
      <w:bookmarkEnd w:id="901036"/>
    </w:p>
    <w:p>
      <w:pPr>
        <w:pStyle w:val="Normal"/>
      </w:pPr>
      <w:r>
        <w:t>1. Incidental non-Party content, machinery, financing, minority investment, or ordinary commercial relationship does not convert an originating good, service, or enterprise of a Party into hostile or untrusted supply.</w:t>
      </w:r>
    </w:p>
    <w:p>
      <w:pPr>
        <w:pStyle w:val="Normal"/>
      </w:pPr>
      <w:r>
        <w:t>2. A non-Party connection may support security treatment only where it materially affects origin, effective control, supply assurance, controlled technology, security-sensitive data, sanctions exposure, or circumvention.</w:t>
      </w:r>
    </w:p>
    <w:p>
      <w:pPr>
        <w:pStyle w:val="Normal"/>
      </w:pPr>
      <w:r>
        <w:t>3. A Party shall not treat qualifying Canadian, Mexican, or United States ownership as inherently less secure merely because the enterprise is not owned by nationals of the importing Party. Actual control and risk may be examined on objective evidence.</w:t>
      </w:r>
    </w:p>
    <w:p>
      <w:pPr>
        <w:pStyle w:val="Heading2"/>
      </w:pPr>
      <w:bookmarkStart w:id="901037" w:name="_Toc300001036"/>
      <w:r>
        <w:t>Article 32.A.5: Self-Created Security Vulnerability</w:t>
      </w:r>
      <w:bookmarkEnd w:id="901037"/>
    </w:p>
    <w:p>
      <w:pPr>
        <w:pStyle w:val="Normal"/>
      </w:pPr>
      <w:r>
        <w:t>1. In determining whether a restrictive measure is necessary and proportionate, a reviewing body shall consider whether the invoking Party materially created or deliberately aggravated the claimed vulnerability through recent discretionary measures.</w:t>
      </w:r>
    </w:p>
    <w:p>
      <w:pPr>
        <w:pStyle w:val="Normal"/>
      </w:pPr>
      <w:r>
        <w:t>2. A self-created or deliberately aggravated vulnerability weighs strongly against extraordinary trade restriction unless the Party demonstrates that the earlier measure itself responded to an independent legitimate security necessity and that reasonable less-restrictive corrective options are inadequate.</w:t>
      </w:r>
    </w:p>
    <w:p>
      <w:pPr>
        <w:pStyle w:val="Normal"/>
      </w:pPr>
      <w:r>
        <w:t>3. Nothing in this Article requires a Party to preserve a commercial dependency it reasonably determines should be reduced. The Article prevents deliberate manufacture of an emergency as a basis for otherwise unjustified coercion.</w:t>
      </w:r>
    </w:p>
    <w:p>
      <w:pPr>
        <w:pStyle w:val="Heading2"/>
      </w:pPr>
      <w:bookmarkStart w:id="901038" w:name="_Toc300001037"/>
      <w:r>
        <w:t>Article 32.A.6: Least-Restrictive Trusted-Partner Security Measure</w:t>
      </w:r>
      <w:bookmarkEnd w:id="901038"/>
    </w:p>
    <w:p>
      <w:pPr>
        <w:pStyle w:val="Normal"/>
      </w:pPr>
      <w:r>
        <w:t>1. Where a genuine security risk is established, a Party shall, to the extent reasonably available, distinguish trusted Party-originating supply from verified high-risk non-Party supply, circumvention, hostile control, and other materially different risk categories.</w:t>
      </w:r>
    </w:p>
    <w:p>
      <w:pPr>
        <w:pStyle w:val="Normal"/>
      </w:pPr>
      <w:r>
        <w:t>2. A formally global measure that imposes disproportionate restrictions on another Party's originating trade shall identify why materially less restrictive trusted-partner treatment would not adequately address the stated risk.</w:t>
      </w:r>
    </w:p>
    <w:p>
      <w:pPr>
        <w:pStyle w:val="Normal"/>
      </w:pPr>
      <w:r>
        <w:t>3. The measure shall be no broader in product coverage, volume, geography, entity coverage, duration, or administrative burden than reasonably necessary to address the demonstrated risk.</w:t>
      </w:r>
    </w:p>
    <w:p>
      <w:pPr>
        <w:pStyle w:val="Heading2"/>
      </w:pPr>
      <w:bookmarkStart w:id="901039" w:name="_Toc300001038"/>
      <w:r>
        <w:t>Article 32.A.7: Security Investigation Integrity and Anti-Harassment</w:t>
      </w:r>
      <w:bookmarkEnd w:id="901039"/>
    </w:p>
    <w:p>
      <w:pPr>
        <w:pStyle w:val="Normal"/>
      </w:pPr>
      <w:r>
        <w:t>1. A security investigation materially affecting another Party's trade shall identify an objective predicate, relevant scope, responsible authority, expected timetable, and information reasonably necessary to the inquiry.</w:t>
      </w:r>
    </w:p>
    <w:p>
      <w:pPr>
        <w:pStyle w:val="Normal"/>
      </w:pPr>
      <w:r>
        <w:t>2. Investigations shall proceed without unnecessary delay. Extensions require a reasoned public explanation that protects classified and confidential information.</w:t>
      </w:r>
    </w:p>
    <w:p>
      <w:pPr>
        <w:pStyle w:val="Normal"/>
      </w:pPr>
      <w:r>
        <w:t>3. A Party shall not repeatedly reopen a substantially identical investigation on materially unchanged facts principally to prolong commercial uncertainty. Materially new evidence or changed security conditions may justify reopening.</w:t>
      </w:r>
    </w:p>
    <w:p>
      <w:pPr>
        <w:pStyle w:val="Normal"/>
      </w:pPr>
      <w:r>
        <w:t>4. Information demands shall be proportionate and shall use protected data rooms, aggregated data, non-confidential summaries, or security-cleared review where appropriate.</w:t>
      </w:r>
    </w:p>
    <w:p>
      <w:pPr>
        <w:pStyle w:val="Heading2"/>
      </w:pPr>
      <w:bookmarkStart w:id="901040" w:name="_Toc300001039"/>
      <w:r>
        <w:t>Article 32.A.8: Classified Evidence and Non-Derogable Procedural Core</w:t>
      </w:r>
      <w:bookmarkEnd w:id="901040"/>
    </w:p>
    <w:p>
      <w:pPr>
        <w:pStyle w:val="Normal"/>
      </w:pPr>
      <w:r>
        <w:t>1. Classification, privilege, law-enforcement sensitivity, or security protection may alter the manner of review but shall not, by itself, eliminate independent review of a measure affecting another Party.</w:t>
      </w:r>
    </w:p>
    <w:p>
      <w:pPr>
        <w:pStyle w:val="Normal"/>
      </w:pPr>
      <w:r>
        <w:t>2. Where ordinary disclosure would create a genuine security risk, the evidence shall be tested through a security-cleared independent special advocate, protected reviewer, or comparably independent procedure capable of examining relevance, reliability, necessity, and material exculpatory context.</w:t>
      </w:r>
    </w:p>
    <w:p>
      <w:pPr>
        <w:pStyle w:val="Normal"/>
      </w:pPr>
      <w:r>
        <w:t>3. No essential-security invocation may derogate from the following procedural guarantees: authenticated notice; preservation of relevant evidence; access to independent review; anti-corruption and market-integrity rules; the humanitarian firewall; reasoned duration and periodic review; prohibition on deliberate discrimination unrelated to demonstrated risk; and restoration when the qualifying security condition ends.</w:t>
      </w:r>
    </w:p>
    <w:p>
      <w:pPr>
        <w:pStyle w:val="Normal"/>
      </w:pPr>
      <w:r>
        <w:t>4. Armed conflict or genuine national emergency may justify compressed timing, but not permanent elimination of the non-derogable procedural core.</w:t>
      </w:r>
    </w:p>
    <w:p>
      <w:pPr>
        <w:pStyle w:val="Heading2"/>
      </w:pPr>
      <w:bookmarkStart w:id="901041" w:name="_Toc300001040"/>
      <w:r>
        <w:t>Article 32.A.9: Security Necessity Review, Sunset, and Restoration</w:t>
      </w:r>
      <w:bookmarkEnd w:id="901041"/>
    </w:p>
    <w:p>
      <w:pPr>
        <w:pStyle w:val="Normal"/>
      </w:pPr>
      <w:r>
        <w:t>1. Every trade- or investment-restrictive essential-security measure affecting another Party is subject to periodic Security Necessity Review at intervals not exceeding 180 days, coordinated with Article 35.22.</w:t>
      </w:r>
    </w:p>
    <w:p>
      <w:pPr>
        <w:pStyle w:val="Normal"/>
      </w:pPr>
      <w:r>
        <w:t>2. The review asks whether the stated security condition continues; whether the particular restriction remains materially connected to it; whether less-restrictive effective measures have become reasonably available; and whether scope can be narrowed.</w:t>
      </w:r>
    </w:p>
    <w:p>
      <w:pPr>
        <w:pStyle w:val="Normal"/>
      </w:pPr>
      <w:r>
        <w:t>3. Expired necessity terminates the exceptional treatment automatically. Ordinary treaty treatment restores without requiring a political concession, reciprocal bargain, or new vote.</w:t>
      </w:r>
    </w:p>
    <w:p>
      <w:pPr>
        <w:pStyle w:val="Heading2"/>
      </w:pPr>
      <w:bookmarkStart w:id="901042" w:name="_Toc300001041"/>
      <w:r>
        <w:t>Article 32.B: Economic Emergency and Balance-of-Payments Measures</w:t>
      </w:r>
      <w:r>
        <w:t xml:space="preserve"> (Replacement of Article 32.4)</w:t>
      </w:r>
      <w:bookmarkEnd w:id="901042"/>
    </w:p>
    <w:p>
      <w:pPr>
        <w:pStyle w:val="Normal"/>
      </w:pPr>
      <w:r>
        <w:t xml:space="preserve">This Article replaces Article 32.4 (Temporary Safeguards Measures) in its entirety.</w:t>
      </w:r>
    </w:p>
    <w:p>
      <w:pPr>
        <w:pStyle w:val="Normal"/>
      </w:pPr>
      <w:r>
        <w:t>1. A Party may apply a temporary measure in the event of serious balance-of-payments and external financial difficulties, or threat thereof, consistent with the WTO Agreement and the Articles of Agreement of the International Monetary Fund.</w:t>
      </w:r>
    </w:p>
    <w:p>
      <w:pPr>
        <w:pStyle w:val="Normal"/>
      </w:pPr>
      <w:r>
        <w:t>2. A measure under paragraph 1 that affects originating goods of another Party shall: (a) be notified to the other Parties within five days with its justification, scope, and expected duration; (b) be non-discriminatory as among the Parties, and shall exempt originating goods of the other Parties where the measure takes the form of a general import surcharge, unless the Party demonstrates to the Verification Panel that the inclusion of originating goods is essential to the measure’s balance-of-payments purpose; (c) not exceed 150 days in duration unless extended following trilateral consultation and Fund consultation; and (d) be subject to expedited review under Article 31.A.</w:t>
      </w:r>
    </w:p>
    <w:p>
      <w:pPr>
        <w:pStyle w:val="Normal"/>
      </w:pPr>
      <w:r>
        <w:t>3. A Party shall not use balance-of-payments or economic-emergency authority as a substitute for remedies available under this Agreement for trade matters. Successive substantially identical measures under this Article are treated as a single continuing measure for the purposes of subparagraph 2(c).</w:t>
      </w:r>
    </w:p>
    <w:p>
      <w:pPr>
        <w:pStyle w:val="Heading2"/>
      </w:pPr>
      <w:bookmarkStart w:id="901043" w:name="_Toc300001042"/>
      <w:r>
        <w:t>Article 32.C: General Exceptions, Anti-Abuse Discipline</w:t>
      </w:r>
      <w:bookmarkEnd w:id="901043"/>
    </w:p>
    <w:p>
      <w:pPr>
        <w:pStyle w:val="Normal"/>
      </w:pPr>
      <w:r>
        <w:t>Natural Water Resources. Consistent with the original Canada–United States understanding preserved in Annex 34-G, Part C, this Agreement creates no right to a Party’s natural water resources. Water that has not entered commerce as a good or product is outside the market-access obligations of this Agreement, and no Party is obliged to withdraw, extract, divert, or exploit natural water for bulk export.</w:t>
      </w:r>
    </w:p>
    <w:p>
      <w:pPr>
        <w:pStyle w:val="Normal"/>
      </w:pPr>
      <w:r>
        <w:t>1. Article 32.1 (General Exceptions) remains in force. For greater certainty, the chapeau of GATT Article XX and of GATS Article XIV, as incorporated, requires that a measure not be applied in a manner constituting arbitrary or unjustifiable discrimination between countries where the same conditions prevail, including between the Parties, or a disguised restriction on trade, and this requirement applies with full force to measures affecting originating goods of another Party.</w:t>
      </w:r>
    </w:p>
    <w:p>
      <w:pPr>
        <w:pStyle w:val="Normal"/>
      </w:pPr>
      <w:r>
        <w:t>2. Article 32.1 cannot be invoked to accomplish what Articles 35.3 through 35.7 expressly prohibit, unless the measure in fact satisfies every element of the specific exception invoked, including the applicable chapeau discipline. Relabeling a measure does not bring it within an exception.</w:t>
      </w:r>
    </w:p>
    <w:p>
      <w:pPr>
        <w:pStyle w:val="Normal"/>
      </w:pPr>
      <w:r>
        <w:t>3. In a dispute concerning a general-exception defense for a covered border measure affecting originating goods, the responding Party bears the burden of establishing the elements of the exception invoked.</w:t>
      </w:r>
    </w:p>
    <w:p>
      <w:pPr>
        <w:pStyle w:val="Heading2"/>
      </w:pPr>
      <w:bookmarkStart w:id="901044" w:name="_Toc300001043"/>
      <w:r>
        <w:t>Article 32.D: Indigenous Peoples Rights</w:t>
      </w:r>
      <w:bookmarkEnd w:id="901044"/>
    </w:p>
    <w:p>
      <w:pPr>
        <w:pStyle w:val="Normal"/>
      </w:pPr>
      <w:r>
        <w:t>1. Article 32.5 (Indigenous Peoples Rights) remains in force. The Parties shall further cooperate to facilitate Indigenous trade, entrepreneurship, procurement participation, and cross-border economic relationships, including through the stakeholder channels of Article 26.B and the SME measures of Chapter 25 as supplemented.</w:t>
      </w:r>
    </w:p>
    <w:p>
      <w:pPr>
        <w:pStyle w:val="Heading2"/>
      </w:pPr>
      <w:bookmarkStart w:id="901045" w:name="_Toc300001044"/>
      <w:r>
        <w:t>Article 32.E: Disclosure of Information</w:t>
      </w:r>
      <w:bookmarkEnd w:id="901045"/>
    </w:p>
    <w:p>
      <w:pPr>
        <w:pStyle w:val="Normal"/>
      </w:pPr>
      <w:r>
        <w:t>1. Article 32.7 (or corresponding provision on disclosure of information) remains in force. Information required to be protected under this Article includes classified security information furnished in a notification under Article 32.2 as replaced, which the receiving Parties shall protect and shall not disclose publicly.</w:t>
      </w:r>
    </w:p>
    <w:p>
      <w:pPr>
        <w:pStyle w:val="Heading2"/>
      </w:pPr>
      <w:bookmarkStart w:id="901046" w:name="_Toc300001045"/>
      <w:r>
        <w:t>Article 32.F: Risk-Based and Nationality-Neutral Administration</w:t>
      </w:r>
      <w:bookmarkEnd w:id="901046"/>
    </w:p>
    <w:p>
      <w:pPr>
        <w:pStyle w:val="Normal"/>
      </w:pPr>
      <w:r>
        <w:t>1. Except where this Agreement expressly provides otherwise, a determination that a technology, supplier, investor, enterprise, jurisdiction, supply source, commercial relationship, or category of goods presents elevated security, resilience, integrity, or compliance risk shall be based on objective evidence reasonably relevant to the measure being applied.</w:t>
      </w:r>
    </w:p>
    <w:p>
      <w:pPr>
        <w:pStyle w:val="Normal"/>
      </w:pPr>
      <w:r>
        <w:t>2. Relevant evidence may include beneficial ownership and effective control where functionally relevant; cybersecurity exposure; unauthorized data access; remote administrative access; supply concentration; demonstrated coercive conduct; corruption or fraud; forced labor; sanctions or export-control exposure legally applicable to the transaction; persistent regulatory non-compliance; product integrity; supply reliability; or other documented factors materially connected to the stated risk.</w:t>
      </w:r>
    </w:p>
    <w:p>
      <w:pPr>
        <w:pStyle w:val="Normal"/>
      </w:pPr>
      <w:r>
        <w:t>3. Nationality, ethnicity, national origin, culture, language, religion, country of incorporation, country of manufacture, state ownership, public-enterprise status, or a jurisdiction's general economic model shall not, standing alone, establish that a person, supplier, technology, investment, enterprise, or source is untrustworthy, unsafe, unreliable, or high-risk.</w:t>
      </w:r>
    </w:p>
    <w:p>
      <w:pPr>
        <w:pStyle w:val="Normal"/>
      </w:pPr>
      <w:r>
        <w:t>4. Nothing in this Agreement establishes a presumption that technologies, goods, services, investments, enterprises, or lawful commercial relationships originating outside North America are inherently less safe, reliable, desirable, or legitimate than North American equivalents.</w:t>
      </w:r>
    </w:p>
    <w:p>
      <w:pPr>
        <w:pStyle w:val="Normal"/>
      </w:pPr>
      <w:r>
        <w:t>5. This Article does not prevent a Party from applying lawful sanctions, export controls, investment screening, national-security measures, human-rights measures, trade remedies, cybersecurity protections, or critical-infrastructure safeguards, provided that the measure is administered consistently with the applicable provisions of this Agreement.</w:t>
      </w:r>
    </w:p>
    <w:p>
      <w:pPr>
        <w:pStyle w:val="Heading2"/>
      </w:pPr>
      <w:bookmarkStart w:id="901047" w:name="_Toc300001046"/>
      <w:r>
        <w:t>Article 32.G: External Economic Relations and Treaty Sovereignty</w:t>
      </w:r>
      <w:r>
        <w:t xml:space="preserve"> (Replacement of Article 32.10)</w:t>
      </w:r>
      <w:bookmarkEnd w:id="901047"/>
    </w:p>
    <w:p>
      <w:pPr>
        <w:pStyle w:val="Normal"/>
      </w:pPr>
      <w:r>
        <w:t xml:space="preserve">This Article replaces Article 32.10 (Non-Market Country FTA) in its entirety.</w:t>
      </w:r>
    </w:p>
    <w:p>
      <w:pPr>
        <w:pStyle w:val="Normal"/>
      </w:pPr>
      <w:r>
        <w:t>1. Each Party retains the sovereign authority, subject to its domestic law, to negotiate, conclude, amend, implement, suspend, or terminate trade, investment, economic-security, critical-minerals, technology, procurement, development, or other economic arrangements with a non-Party.</w:t>
      </w:r>
    </w:p>
    <w:p>
      <w:pPr>
        <w:pStyle w:val="Normal"/>
      </w:pPr>
      <w:r>
        <w:t>2. No Party shall require another Party to obtain its consent, approval, non-objection, waiver, or right of first refusal as a condition for exercising the authority described in paragraph 1, and no Party shall condition treatment under this Agreement on another Party surrendering that authority.</w:t>
      </w:r>
    </w:p>
    <w:p>
      <w:pPr>
        <w:pStyle w:val="Normal"/>
      </w:pPr>
      <w:r>
        <w:t>3. A Party may require notification, consultation, transparency, or a narrowly tailored review of the specific effects of a non-Party arrangement where necessary to administer this Agreement, protect originating treatment, prevent circumvention, address a verified security risk, or apply an express obligation of this Agreement. Such review shall address the relevant measure or transaction and shall not operate as a veto over the non-Party arrangement itself.</w:t>
      </w:r>
    </w:p>
    <w:p>
      <w:pPr>
        <w:pStyle w:val="Normal"/>
      </w:pPr>
      <w:r>
        <w:t>4. Nothing in this Article prevents a Party from declining to extend benefits of this Agreement to non-Parties, enforcing rules of origin, applying lawful investment screening, protecting controlled technology, or taking action expressly authorized by Article 32.A. Those authorities shall not be used to compel exclusive economic alignment by another Party.</w:t>
      </w:r>
    </w:p>
    <w:p>
      <w:pPr>
        <w:pStyle w:val="Normal"/>
      </w:pPr>
      <w:r>
        <w:t>5. This Article applies symmetrically to Canada, Mexico, and the United States and shall be interpreted consistently with Articles 34.D, 36.9, 37.6A, and Chapter 41.</w:t>
      </w:r>
    </w:p>
    <w:p>
      <w:pPr>
        <w:pStyle w:val="Heading2"/>
      </w:pPr>
      <w:bookmarkStart w:id="901048" w:name="_Toc300001047"/>
      <w:r>
        <w:t>Article 32.H: Exceptions Do Not Apply to Chapter 23-B</w:t>
      </w:r>
      <w:bookmarkEnd w:id="901048"/>
    </w:p>
    <w:p>
      <w:pPr>
        <w:pStyle w:val="Normal"/>
      </w:pPr>
      <w:r>
        <w:t>Notwithstanding any other exception or carve-out in this Chapter (including Articles 32.E and 32.F), no Party may invoke an exception to excuse, reduce, postpone, or discontinue the substantive protections, benefit levels, funding commitments, or worker and community support required by Chapter 23-B (North American Just Transition and Worker Security Framework). Domestic law or constitutional allocation of authority does not excuse the substantive obligation. Where a prescribed method is constitutionally unavailable, the Party shall use the equivalent-mechanism procedure in Article 23-B.10(c), and Article 23-B.10(c)(v) prohibits interruption of benefits while equivalence is resolved.</w:t>
      </w:r>
    </w:p>
    <w:p>
      <w:pPr>
        <w:pStyle w:val="Heading1"/>
      </w:pPr>
      <w:bookmarkStart w:id="901049" w:name="_Toc300001048"/>
      <w:r>
        <w:t>CHAPTER 33 MACROECONOMIC POLICIES AND EXCHANGE RATE MATTERS</w:t>
      </w:r>
      <w:bookmarkEnd w:id="901049"/>
    </w:p>
    <w:p>
      <w:pPr>
        <w:pStyle w:val="Heading2"/>
      </w:pPr>
      <w:bookmarkStart w:id="901050" w:name="_Toc300001049"/>
      <w:r>
        <w:t xml:space="preserve">Article 33.1: Definitions</w:t>
      </w:r>
      <w:bookmarkEnd w:id="901050"/>
    </w:p>
    <w:p>
      <w:pPr>
        <w:pStyle w:val="Normal"/>
      </w:pPr>
      <w:r>
        <w:t xml:space="preserve">For the purposes of this Chapter: Article IV Staff Report means the report prepared by a staff team of the International Monetary Fund (IMF) for consideration by the Executive Board of the IMF in the context of a country’s adherence to Article IV, Section 3(b), of the IMF Articles of Agreement; competitive devaluation means an action undertaken by an exchange rate authority of a Party for the purpose of preventing effective balance of payments adjustment or gaining an unfair competitive advantage in trade over another Party; Currency Composition of Official Foreign Exchange Reserves (COFER) database means the IMF database based on voluntary and confidential participation by IMF member countries, which distinguishes monetary authorities’ claims on non-residents denominated in U.S.</w:t>
      </w:r>
    </w:p>
    <w:p>
      <w:pPr>
        <w:pStyle w:val="Normal"/>
      </w:pPr>
      <w:r>
        <w:t>dollars, euros, pounds sterling, Japanese yen, Swiss francs, and other currencies on a quarterly basis starting in 2005; exchange rate means the price of one currency in terms of another currency; exchange rate assessment means the IMF staff’s evaluation of a country’s exchange rate as presented to the IMF Executive Board as part of a Party’s Article IV consultation or as published in the annual External Sector Report, consistent with recommendation 4 in the IMF 2011 Triennial Surveillance Review – Overview Paper, prepared on August 29, 2011; Executive Board discussion means the discussion by the IMF Executive Board of the Party’s Article IV Staff Report leading to the conclusion of the Article IV consultation, as defined in Paragraph 27 in Part III Section A of the Modernizing the Legal Framework for Surveillance―An Integrated Surveillance Decision, Revised Proposed Decisions, prepared on July 17, 2012; exports means all goods that subtract from the stock of material resources of a country by leaving its economic territory (International Merchandise Trade Statistics:</w:t>
      </w:r>
    </w:p>
    <w:p>
      <w:pPr>
        <w:pStyle w:val="Normal"/>
      </w:pPr>
      <w:r>
        <w:t>Concepts and Definitions 2010, Chapter I, section A 1.2 of the United Nations); foreign exchange means the official currency of another Party or a non-Party; foreign exchange market means a market, wherever located, in which participants can purchase or sell foreign exchange; foreign exchange reserves means claims of an exchange rate authority or monetary authority on nonresidents in the form of foreign</w:t>
      </w:r>
    </w:p>
    <w:p>
      <w:pPr>
        <w:pStyle w:val="Normal"/>
      </w:pPr>
      <w:r>
        <w:t>banknotes, bank deposits, treasury bills, short- and long-term government securities, and other claims usable in the event of balance of payments need, as defined in the IMF’s Balance of Payments and International Investment Position Manual, Sixth Edition (BPM6), paragraphs 6.86-6.92; forward foreign exchange contract means a commitment to transact, at a designated future date and agreed-upon exchange rate, in a specified amount of specified foreign exchange (paragraph FD 28, Financial Derivatives, A supplement to the Fifth Edition (1993) of the IMF’s Balance of Payments and International Investment Position Manual); forward positions means predetermined short-term net drains on foreign currency assets in the form of forwards, futures, and swaps, as defined in Item II.2 of the Reserves Data Template in the IMF International Reserves and Foreign Currency Liquidity: Guidelines for a Data Template (2013); imports means all goods that add to the stock of material resources of a country by entering its economic territory (International Merchandise Trade Statistics:</w:t>
      </w:r>
    </w:p>
    <w:p>
      <w:pPr>
        <w:pStyle w:val="Normal"/>
      </w:pPr>
      <w:r>
        <w:t>Concepts and Definitions 2010, Chapter I, section A 1.2 of the United Nations); intervention means the purchase or sale, or the purchase or sale of a forward position, under the direction of an exchange rate authority, of foreign exchange reserves involving the currency of the intervening Party and at least one other currency; portfolio capital flows means cross-border transactions and positions involving debt or</w:t>
      </w:r>
    </w:p>
    <w:p>
      <w:pPr>
        <w:pStyle w:val="Normal"/>
      </w:pPr>
      <w:r>
        <w:t>equity securities, other than those included in direct investment or reserve assets, as defined in the IMF’s Balance of Payments and International Investment Position Manual, Sixth Edition (BPM6), paragraphs 6.54-6.57; principal representative of a Party means a senior official of the exchange rate or fiscal or monetary authority of a Party;1 and spot foreign exchange market means the foreign exchange market in which participants transact for immediate delivery. For greater certainty, the principal representatives of Mexico include a senior officer of the Ministry of Finance and Public Credit and a senior officer of the Central Bank.</w:t>
      </w:r>
    </w:p>
    <w:p>
      <w:pPr>
        <w:pStyle w:val="Heading2"/>
      </w:pPr>
      <w:bookmarkStart w:id="901051" w:name="_Toc300001050"/>
      <w:r>
        <w:t xml:space="preserve">Article 33.2: General Provisions</w:t>
      </w:r>
      <w:bookmarkEnd w:id="901051"/>
    </w:p>
    <w:p>
      <w:pPr>
        <w:pStyle w:val="Normal"/>
      </w:pPr>
      <w:r>
        <w:t xml:space="preserve">1. The Parties affirm that market-determined exchange rates are fundamental for smooth macroeconomic adjustment and promote strong, sustainable, and balanced growth. 2. The Parties recognize the importance of macroeconomic stability in the region to the success of this Agreement and that strong economic fundamentals and sound policies are essential to macroeconomic stability, and contribute to strong and sustainable growth and investment. 3. The Parties share the objective of pursuing policies that strengthen underlying economic fundamentals, foster growth and transparency, and avoid unsustainable external imbalances.</w:t>
      </w:r>
    </w:p>
    <w:p>
      <w:pPr>
        <w:pStyle w:val="Heading2"/>
      </w:pPr>
      <w:bookmarkStart w:id="901052" w:name="_Toc300001051"/>
      <w:r>
        <w:t xml:space="preserve">Article 33.3: Scope</w:t>
      </w:r>
      <w:bookmarkEnd w:id="901052"/>
    </w:p>
    <w:p>
      <w:pPr>
        <w:pStyle w:val="Normal"/>
      </w:pPr>
      <w:r>
        <w:t xml:space="preserve">This Chapter does not apply with respect to the regulatory or supervisory activities or monetary and related credit policy and related conduct of an exchange rate or fiscal or monetary authority of a Party.2</w:t>
      </w:r>
    </w:p>
    <w:p>
      <w:pPr>
        <w:pStyle w:val="Heading2"/>
      </w:pPr>
      <w:bookmarkStart w:id="901053" w:name="_Toc300001052"/>
      <w:r>
        <w:t xml:space="preserve">Article 33.4: Exchange Rate Practices</w:t>
      </w:r>
      <w:bookmarkEnd w:id="901053"/>
    </w:p>
    <w:p>
      <w:pPr>
        <w:pStyle w:val="Normal"/>
      </w:pPr>
      <w:r>
        <w:t xml:space="preserve">1. Each Party confirms that it is bound under the IMF Articles of Agreement to avoid manipulating exchange rates or the international monetary system in order to prevent effective balance of payments adjustment or to gain an unfair competitive advantage. 2. Each Party should: (a) achieve and maintain a market-determined exchange rate regime; (b) refrain from competitive devaluation, including through intervention in the foreign exchange market; and (c) strengthen underlying economic fundamentals, which reinforces the conditions for macroeconomic and exchange rate stability. 3. Each Party should inform promptly another Party and discuss if needed when an intervention has been carried out by the Party with respect to the currency of that other Party. 2 For greater certainty, the term “exchange rate or fiscal or monetary authority of a Party” includes a central bank of a Party.</w:t>
      </w:r>
    </w:p>
    <w:p>
      <w:pPr>
        <w:pStyle w:val="Heading2"/>
      </w:pPr>
      <w:bookmarkStart w:id="901054" w:name="_Toc300001053"/>
      <w:r>
        <w:t xml:space="preserve">Article 33.5: Transparency and Reporting</w:t>
      </w:r>
      <w:bookmarkEnd w:id="901054"/>
    </w:p>
    <w:p>
      <w:pPr>
        <w:pStyle w:val="Normal"/>
      </w:pPr>
      <w:r>
        <w:t xml:space="preserve">1. Each Party shall disclose publicly: (a) monthly foreign exchange reserves data and forward positions according to the IMF’s Data Template on International Reserves and Foreign Currency Liquidity, no later than 30 days after the end of each month; (b) monthly interventions in spot and forward foreign exchange markets, no later than seven days after the end of each month; (c) quarterly balance of payments portfolio capital flows, no later than 90 days after the end of each quarter; and (d) quarterly exports and imports, no later than 90 days after the end of each quarter. 2. Each Party shall consent to the public disclosure by the IMF of: (a) each IMF Article IV Staff Report on the country of the Party, including the exchange rate assessment, within four weeks of the IMF Executive Board discussion; and (b) confirmation of the Party’s participation in the IMF COFER database. 3. If the IMF does not disclose publicly any items listed in paragraph (2) with respect to a Party, that Party shall request that the IMF disclose publicly those items.</w:t>
      </w:r>
    </w:p>
    <w:p>
      <w:pPr>
        <w:pStyle w:val="Heading2"/>
      </w:pPr>
      <w:bookmarkStart w:id="901055" w:name="_Toc300001054"/>
      <w:r>
        <w:t xml:space="preserve">Article 33.6: Macroeconomic Committee</w:t>
      </w:r>
      <w:bookmarkEnd w:id="901055"/>
    </w:p>
    <w:p>
      <w:pPr>
        <w:pStyle w:val="Normal"/>
      </w:pPr>
      <w:r>
        <w:t xml:space="preserve">1. The Parties hereby establish a Macroeconomic Committee composed of principal representatives of each Party. Article 30.2.2(b) (Functions of the Commission) does not apply to the Macroeconomic Committee. 2. The Macroeconomic Committee shall monitor the implementation of this Chapter and its further elaboration. 3. The Macroeconomic Committee shall meet within one year after the date of entry into force of this Agreement, and at least annually thereafter, unless the Parties decide otherwise. 4. The Macroeconomic Committee shall, at each annual meeting, consider: (a) the macroeconomic and exchange rate policies of each Party, and their consequences on diverse macroeconomic variables, including domestic demand, external demand, and the current account balance; (b) issues, challenges, or efforts to strengthen capacity with respect to transparency or reporting; and (c) undertaking other activities as the Macroeconomic Committee may decide. 5. At each annual meeting, or as necessary, the Macroeconomic Committee may consider whether any provisions of this Chapter, except Article 33.3 (Scope), should be amended to reflect changes in monetary policy and the financial markets or should be interpreted.</w:t>
      </w:r>
    </w:p>
    <w:p>
      <w:pPr>
        <w:pStyle w:val="Normal"/>
      </w:pPr>
      <w:r>
        <w:t>A decision by consensus of the Macroeconomic Committee that a provision of this Chapter should be amended shall be deemed to be a decision by consensus of the Commission to amend the provision.</w:t>
      </w:r>
    </w:p>
    <w:p>
      <w:pPr>
        <w:pStyle w:val="Normal"/>
      </w:pPr>
      <w:r>
        <w:t>Amendments shall enter into force as provided for in Article 34.3 (Amendments). An interpretation issued pursuant to a decision by consensus of the Macroeconomic Committee shall be deemed to be an interpretation issued pursuant to a decision by consensus of the Commission. 6. The Commission shall not take any decision to amend or interpret a provision of this Chapter except as provided in paragraph 5.</w:t>
      </w:r>
    </w:p>
    <w:p>
      <w:pPr>
        <w:pStyle w:val="Heading2"/>
      </w:pPr>
      <w:bookmarkStart w:id="901056" w:name="_Toc300001055"/>
      <w:r>
        <w:t xml:space="preserve">Article 33.7: Principal Representative Consultations</w:t>
      </w:r>
      <w:bookmarkEnd w:id="901056"/>
    </w:p>
    <w:p>
      <w:pPr>
        <w:pStyle w:val="Normal"/>
      </w:pPr>
      <w:r>
        <w:t xml:space="preserve">1. A principal representative of a Party may request expedited bilateral consultations with a principal representative of another Party with respect to policies or measures of another Party that the principal representative of the requesting Party considers associated with competitive devaluation, the targeting of exchange rates for competitive purposes, fulfillment of the transparency and reporting commitments in Article 33.5 (Transparency and Reporting), or any other issue that the principal representative of the Party may wish to raise with respect to Articles 33.4 (Exchange Rate Practices) or 33.5 (Transparency and Reporting). A Party engaged in bilateral consultations may invite the Party not engaged in those consultations to participate and provide input. 2. If a principal representative of a Party requests bilateral consultations, the principal representatives (or their designees) of the consulting Parties shall meet within 30 days of the request to arrive at a mutually satisfactory resolution of the matter within 60 days of their initial meeting. 3.</w:t>
      </w:r>
    </w:p>
    <w:p>
      <w:pPr>
        <w:pStyle w:val="Normal"/>
      </w:pPr>
      <w:r>
        <w:t>If a principal representative of a Party requests bilateral consultations with respect to another Party’s fulfillment of the transparency and reporting commitments in Article 33.5 (Transparency and Reporting), whether circumstances disrupted the practical ability of the other Party to disclose publicly the items listed in that Article shall be taken into account in the consultations, with the objective of arriving at a mutually satisfactory resolution of the matter. 4. If there is failure to arrive at a mutually satisfactory resolution in any consultations under this Article, the consulting Parties may request that the IMF, consistent with its mandate: (a) undertake rigorous surveillance of the macroeconomic and exchange rate policies and data transparency and reporting policies of the requested Party; or (b) initiate formal consultations and provide input, as appropriate.</w:t>
      </w:r>
    </w:p>
    <w:p>
      <w:pPr>
        <w:pStyle w:val="Heading2"/>
      </w:pPr>
      <w:bookmarkStart w:id="901057" w:name="_Toc300001056"/>
      <w:r>
        <w:t xml:space="preserve">Article 33.8: Dispute Settlement</w:t>
      </w:r>
      <w:bookmarkEnd w:id="901057"/>
    </w:p>
    <w:p>
      <w:pPr>
        <w:pStyle w:val="Normal"/>
      </w:pPr>
      <w:r>
        <w:t xml:space="preserve">1. A Party may have recourse to dispute settlement under Chapter 31 (Dispute Settlement), as modified by this Article, only with respect to a claim that a Party has failed to carry out an obligation under Article 33.5 (Transparency and Reporting) in a recurring or persistent manner and has not remediated that failure during consultations under Article 33.7 (Principal Representative Consultations).3 2. When selecting panelists to compose a panel under Article 31.9 (Panel Composition), each disputing Party shall select panelists so that each panelist: (a) has served as a senior official of an exchange rate or fiscal or monetary authority of a Party or the International Monetary Fund; and (b) meets the qualifications set out in paragraphs (2)(b) through (2)(d) of Article 31.8 (Roster and Qualification of Panelists). 3.</w:t>
      </w:r>
    </w:p>
    <w:p>
      <w:pPr>
        <w:pStyle w:val="Normal"/>
      </w:pPr>
      <w:r>
        <w:t>A panel established under Article 31.6 (Establishment of a Panel) to make a determination as to whether a Party has failed to carry out an obligation under Article 33.5 (Transparency and Reporting) in a recurring or persistent manner and has not remediated that failure during consultations under Article 33.7 (Principal Representative Consultations) and a panel reconvened to make a determination on the proposed suspension of benefits, in accordance with Article 31.19 (Non-Implementation – Suspension of Benefits), may seek the views of the IMF in accordance with Article 31.15 (Role of Experts). 4.</w:t>
      </w:r>
    </w:p>
    <w:p>
      <w:pPr>
        <w:pStyle w:val="Normal"/>
      </w:pPr>
      <w:r>
        <w:t>When a panel’s determination is that a Party has failed to carry out an obligation under Article 33.5 (Transparency and Reporting) in a recurring or persistent manner, and has not remediated that failure during consultations under Article 33.7 (Principal Representative Consultations), the complaining Party may not suspend benefits that are in excess of benefits equivalent to the effect of that failure. In suspending benefits under Article 31.19 (Non 3 For greater certainty, this Article does not provide a basis for any matter arising under any other provision of this Agreement, including Article 31.2(c) (Scope). Implementation – Suspension of Benefits), the complaining Party may take into account only the failure to carry out an obligation under Article 33.5 (Transparency and Reporting) and not any other action or alleged failure by the responding Party.</w:t>
      </w:r>
    </w:p>
    <w:p>
      <w:pPr>
        <w:pStyle w:val="Heading1"/>
      </w:pPr>
      <w:bookmarkStart w:id="901058" w:name="_Toc300001057"/>
      <w:r>
        <w:t>CHAPTER 34 FINAL PROVISIONS</w:t>
      </w:r>
      <w:bookmarkEnd w:id="901058"/>
    </w:p>
    <w:p>
      <w:pPr>
        <w:pStyle w:val="Heading2"/>
      </w:pPr>
      <w:bookmarkStart w:id="901059" w:name="_Toc300001058"/>
      <w:r>
        <w:t xml:space="preserve">Article 34.1: Transitional Provision from NAFTA 1994</w:t>
      </w:r>
      <w:bookmarkEnd w:id="901059"/>
    </w:p>
    <w:p>
      <w:pPr>
        <w:pStyle w:val="Normal"/>
      </w:pPr>
      <w:r>
        <w:t xml:space="preserve">1. The Parties recognize the importance of a smooth transition from NAFTA 1994 to this Agreement. 2. Issues under consideration, including documents or other work under development, by the Commission or a subsidiary body of NAFTA 1994 may be continued under any equivalent body in this Agreement, subject to any decision by the Parties on whether and in what manner that continuation is to occur. 3. Membership of the Committee established under Article 2022 of NAFTA 1994 may be maintained for the Committee under Article 31.22.4 (Alternative Dispute Resolution). 4. Chapter Nineteen of NAFTA 1994 shall continue to apply to binational panel reviews related to final determinations published by a Party before the entry into force of this Agreement. 5.</w:t>
      </w:r>
    </w:p>
    <w:p>
      <w:pPr>
        <w:pStyle w:val="Normal"/>
      </w:pPr>
      <w:r>
        <w:t>With respect to the matters set out in paragraph 4, the Secretariat established under Article 30.6 of this Agreement shall perform the functions assigned to the NAFTA 1994 Secretariat under Chapter Nineteen of the NAFTA 1994 and under, for Chapter Nineteen, the domestic implementation procedures adopted by the Parties in connection therewith, until the binational panel has rendered a decision and a Notice of Completion of Panel Review has been issued by the Secretariat pursuant to the Rules of Procedure for Article 1904 Binational Panel Reviews. 6.</w:t>
      </w:r>
    </w:p>
    <w:p>
      <w:pPr>
        <w:pStyle w:val="Normal"/>
      </w:pPr>
      <w:r>
        <w:t>With respect to claims for preferential tariff treatment made under NAFTA 1994, the Parties shall make appropriate arrangements to grant these claims in accordance with NAFTA 1994 after entry into force of this Agreement. The provisions of Chapter Five of NAFTA 1994 will continue to apply through those arrangements, but only to goods for which preferential tariff treatment was claimed in accordance with NAFTA 1994, and will remain applicable for the period provided for in Article 505 (Records) of that Agreement.</w:t>
      </w:r>
    </w:p>
    <w:p>
      <w:pPr>
        <w:pStyle w:val="Heading2"/>
      </w:pPr>
      <w:bookmarkStart w:id="901060" w:name="_Toc300001059"/>
      <w:r>
        <w:t>Article 34.2: Annexes, Appendices, and Footnotes</w:t>
      </w:r>
      <w:bookmarkEnd w:id="901060"/>
    </w:p>
    <w:p>
      <w:pPr>
        <w:pStyle w:val="Normal"/>
      </w:pPr>
      <w:r>
        <w:t>The annexes, appendices, and footnotes to this Agreement constitute an integral part of this Agreement.</w:t>
      </w:r>
    </w:p>
    <w:p>
      <w:pPr>
        <w:pStyle w:val="Heading2"/>
      </w:pPr>
      <w:bookmarkStart w:id="901061" w:name="_Toc300001060"/>
      <w:r>
        <w:t xml:space="preserve">Article 34.3: Amendments</w:t>
      </w:r>
      <w:bookmarkEnd w:id="901061"/>
    </w:p>
    <w:p>
      <w:pPr>
        <w:pStyle w:val="Normal"/>
      </w:pPr>
      <w:r>
        <w:t xml:space="preserve">1. The Parties may agree, in writing, to amend this Agreement. 2. An amendment shall enter into force 60 days after the date on which the last Party has provided written notice to the other Parties of the approval of the amendment in accordance with its applicable legal procedures, or such other date as the Parties may agree.</w:t>
      </w:r>
    </w:p>
    <w:p>
      <w:pPr>
        <w:pStyle w:val="Heading2"/>
      </w:pPr>
      <w:bookmarkStart w:id="901062" w:name="_Toc300001061"/>
      <w:r>
        <w:t xml:space="preserve">Article 34.4: Amendment of the WTO Agreement</w:t>
      </w:r>
      <w:bookmarkEnd w:id="901062"/>
    </w:p>
    <w:p>
      <w:pPr>
        <w:pStyle w:val="Normal"/>
      </w:pPr>
      <w:r>
        <w:t xml:space="preserve">In the event of an amendment of the WTO Agreement that amends a provision that the Parties have incorporated into this Agreement, the Parties shall, unless otherwise provided in this Agreement, consult on whether to amend this Agreement.</w:t>
      </w:r>
    </w:p>
    <w:p>
      <w:pPr>
        <w:pStyle w:val="Heading2"/>
      </w:pPr>
      <w:bookmarkStart w:id="901063" w:name="_Toc300001062"/>
      <w:r>
        <w:t xml:space="preserve">Article 34.5: Entry into Force</w:t>
      </w:r>
      <w:bookmarkEnd w:id="901063"/>
    </w:p>
    <w:p>
      <w:pPr>
        <w:pStyle w:val="Normal"/>
      </w:pPr>
      <w:r>
        <w:t xml:space="preserve">This Agreement enters into force in accordance with paragraph 2 of the Protocol Replacing the North American Free Trade Agreement with the Agreement between the United States of America, the United Mexican States, and Canada.</w:t>
      </w:r>
    </w:p>
    <w:p>
      <w:pPr>
        <w:pStyle w:val="Heading2"/>
      </w:pPr>
      <w:bookmarkStart w:id="901064" w:name="_Toc300001063"/>
      <w:r>
        <w:t xml:space="preserve">Article 34.6: Withdrawal</w:t>
      </w:r>
      <w:bookmarkEnd w:id="901064"/>
    </w:p>
    <w:p>
      <w:pPr>
        <w:pStyle w:val="Normal"/>
      </w:pPr>
      <w:r>
        <w:t xml:space="preserve">1. A Party may withdraw from this Agreement by providing authenticated written notice of withdrawal to the other Parties. 2. Subject to Articles 34.F through 34.Q, withdrawal shall not take effect earlier than 12 months after notice unless all Parties agree in writing to an earlier date. 3. Until withdrawal takes effect, the withdrawing Party remains fully bound by this Agreement. 4. If a Party withdraws, this Agreement shall remain in force for the remaining Parties.</w:t>
      </w:r>
    </w:p>
    <w:p>
      <w:pPr>
        <w:pStyle w:val="Heading2"/>
      </w:pPr>
      <w:bookmarkStart w:id="901065" w:name="_Toc300001064"/>
      <w:r>
        <w:t xml:space="preserve">Article 34.7: Continuous Duration and Periodic Modernization Review</w:t>
      </w:r>
      <w:bookmarkEnd w:id="901065"/>
    </w:p>
    <w:p>
      <w:pPr>
        <w:pStyle w:val="Normal"/>
      </w:pPr>
      <w:r>
        <w:t xml:space="preserve">1. This Agreement remains in force for an indefinite duration unless a Party withdraws in accordance with Article 34.6. No periodic review, review deadline, failure to reach consensus, or passage of time terminates, suspends, diminishes, or conditions continuation of this Agreement. 2. The Commission shall conduct a joint review six years after entry into force of the Protocol of Modernization and every six years thereafter. A review is an implementation and modernization process and is not a renewal event. 3. A joint review shall address implementation, measurable performance, submitted modernization recommendations, operation of the strengthened bargain, and emerging conditions that may warrant consensual amendment.</w:t>
      </w:r>
    </w:p>
    <w:p>
      <w:pPr>
        <w:pStyle w:val="Normal"/>
      </w:pPr>
      <w:r>
        <w:t>4. Existing rights and obligations continue automatically before, during, and after every review. No Party is required to renew, extend, or reconfirm this Agreement or any right, preference, guarantee, protection, recognition, approval, status, or entitlement established under it. 5. If the Parties do not agree on a recommendation or amendment, the Agreement continues unchanged; unresolved modernization questions may be carried forward without conditioning existing benefits on agreement. 6. A review may recommend amendment, technical updating, implementation action, or no action. Failure to adopt a recommendation has no adverse legal consequence for continuation of the Agreement.</w:t>
      </w:r>
    </w:p>
    <w:p>
      <w:pPr>
        <w:pStyle w:val="Normal"/>
      </w:pPr>
      <w:r>
        <w:t>7. There is no sunset, snapback, lapse, or fade arising from Article 34.7. Continuity is the default; expiration applies only where an operative provision expressly makes a measure temporary by design, consistent with Article 35.29. 8. Withdrawal remains governed exclusively by Article 34.6 and Articles 34.F through 34.Q. A Party that has notified withdrawal remains bound until withdrawal takes effect.</w:t>
      </w:r>
    </w:p>
    <w:p>
      <w:pPr>
        <w:pStyle w:val="Heading2"/>
      </w:pPr>
      <w:bookmarkStart w:id="901066" w:name="_Toc300001065"/>
      <w:r>
        <w:t xml:space="preserve">Article 34.8: Authentic Texts</w:t>
      </w:r>
      <w:bookmarkEnd w:id="901066"/>
    </w:p>
    <w:p>
      <w:pPr>
        <w:pStyle w:val="Normal"/>
      </w:pPr>
      <w:r>
        <w:t xml:space="preserve">The English, French, and Spanish texts of this Agreement are equally authentic, unless provided elsewhere in this Agreement. EXPLANATORY NOTE</w:t>
      </w:r>
    </w:p>
    <w:p>
      <w:pPr>
        <w:pStyle w:val="ModHeading"/>
      </w:pPr>
      <w:bookmarkStart w:id="901067" w:name="_Toc300001066"/>
      <w:r>
        <w:t>CHAPTER 34: CUSMA 2.0 MODERNIZATION PROVISIONS</w:t>
      </w:r>
      <w:bookmarkEnd w:id="901067"/>
    </w:p>
    <w:p>
      <w:pPr>
        <w:pStyle w:val="Normal"/>
      </w:pPr>
      <w:r>
        <w:rPr>
          <w:i/>
        </w:rPr>
        <w:t>The provisions of this Part amend Chapter 34 (Final Provisions).</w:t>
      </w:r>
    </w:p>
    <w:p>
      <w:pPr>
        <w:pStyle w:val="Heading2"/>
      </w:pPr>
      <w:bookmarkStart w:id="901068" w:name="_Toc300001067"/>
      <w:r>
        <w:t>Article 34.A: Amendments and the Structured Technical Amendment Procedure (Supplement to Article 34.3)</w:t>
      </w:r>
      <w:bookmarkEnd w:id="901068"/>
    </w:p>
    <w:p>
      <w:pPr>
        <w:pStyle w:val="Normal"/>
      </w:pPr>
      <w:r>
        <w:t>1. Article 34.3 (Amendments) remains in force for amendments to the text of this Agreement.</w:t>
      </w:r>
    </w:p>
    <w:p>
      <w:pPr>
        <w:pStyle w:val="Normal"/>
      </w:pPr>
      <w:r>
        <w:t>2. The following new Article is added:</w:t>
      </w:r>
    </w:p>
    <w:p>
      <w:pPr>
        <w:pStyle w:val="Normal"/>
      </w:pPr>
      <w:r>
        <w:t>“</w:t>
      </w:r>
      <w:r>
        <w:rPr>
          <w:b/>
        </w:rPr>
        <w:t>Article 34.3.A: Structured Technical Amendment Procedure</w:t>
      </w:r>
    </w:p>
    <w:p>
      <w:pPr>
        <w:pStyle w:val="Normal"/>
      </w:pPr>
      <w:r>
        <w:t>1. The Commission may, by consensus, adopt amendments strictly limited to: (a) nomenclature and tariff-classification updates; (b) thresholds and coefficients within the ranges or maxima fixed by treaty text, including the factor ranges of Annex 35-A, Part 2; (c) technical standards, data standards, and technical criteria; and (d) maintenance of product lists and technical annexes, including Annexes 35-A through 35-E, Annex 35-B, Annex 37-A, the Advanced Technology Annex under Article 39.5, and the product-specific rules of Annex 4-B where the Committee on Rules of Origin has recommended the amendment.</w:t>
      </w:r>
    </w:p>
    <w:p>
      <w:pPr>
        <w:pStyle w:val="Normal"/>
      </w:pPr>
      <w:r>
        <w:t>2. A technical amendment under this Article: (a) shall be recommended by the competent committee; (b) shall be published for comment for not less than 30 days; (c) takes effect on the date fixed by the Commission, not less than 60 days after adoption; and (d) is reported to the Parties in accordance with their domestic procedures.</w:t>
      </w:r>
    </w:p>
    <w:p>
      <w:pPr>
        <w:pStyle w:val="Normal"/>
      </w:pPr>
      <w:r>
        <w:t>3. The procedure in this Article shall not be used to change a Party’s substantive rights, obligations, market access, protection, remedy, or policy space, to create or eliminate an exception, or to alter any treaty-level range, ceiling, deadline, or guarantee. A change having such effect is an amendment under Article 34.3 and enters into force only through the ratification procedure applicable to amendments. A disputing Party may challenge a purported technical amendment exceeding this paragraph under Chapter 31, and such an amendment is without effect unless confirmed under Article 34.3.“</w:t>
      </w:r>
    </w:p>
    <w:p>
      <w:pPr>
        <w:pStyle w:val="Heading2"/>
      </w:pPr>
      <w:bookmarkStart w:id="901069" w:name="_Toc300001068"/>
      <w:r>
        <w:t>Article 34.A.1A: Reserved Sovereignty Matters and Late-Stage Amendment Safeguard</w:t>
      </w:r>
      <w:bookmarkEnd w:id="901069"/>
    </w:p>
    <w:p>
      <w:pPr>
        <w:pStyle w:val="Normal"/>
      </w:pPr>
      <w:r>
        <w:t>1. A proposed amendment, side instrument, implementing schedule, legal-scrub change, interpretive understanding, or negotiating demand is a Reserved Sovereignty Matter where it would materially affect: (a) a Party's authority to enter external treaties or economic arrangements; (b) constitutional or subnational jurisdiction; (c) language, culture, Indigenous rights, or cultural institutions; (d) ownership, disposition, compulsory production, or exclusive allocation of natural resources; (e) the basic equality of originating content among the Parties; or (f) another matter that would materially reallocate sovereign authority rather than merely administer an agreed commercial obligation.</w:t>
      </w:r>
    </w:p>
    <w:p>
      <w:pPr>
        <w:pStyle w:val="Normal"/>
      </w:pPr>
      <w:r>
        <w:t>2. A Reserved Sovereignty Matter shall not be treated as a technical correction, conforming edit, legal-scrub clarification, or routine implementing measure under this Agreement.</w:t>
      </w:r>
    </w:p>
    <w:p>
      <w:pPr>
        <w:pStyle w:val="Normal"/>
      </w:pPr>
      <w:r>
        <w:t>3. A Reserved Sovereignty Matter introduced after the Parties have substantially completed political negotiations shall be separately identified in writing, accompanied by a plain-language explanation of its legal and commercial effect, and referred for explicit political authorization by each affected Party.</w:t>
      </w:r>
    </w:p>
    <w:p>
      <w:pPr>
        <w:pStyle w:val="Normal"/>
      </w:pPr>
      <w:r>
        <w:t>4. No Party shall be deemed to have accepted a Reserved Sovereignty Matter by silence, failure to object during an accelerated legal scrub, incorporation into a consolidated draft without specific notice, or acceptance of an unrelated package.</w:t>
      </w:r>
    </w:p>
    <w:p>
      <w:pPr>
        <w:pStyle w:val="Normal"/>
      </w:pPr>
      <w:r>
        <w:t>5. Unless all Parties expressly agree otherwise, a newly introduced Reserved Sovereignty Matter receives a review period sufficient for legal, constitutional, subnational, Indigenous, cultural, sectoral, and economic assessment as applicable. Existing agreed text continues to govern during that review.</w:t>
      </w:r>
    </w:p>
    <w:p>
      <w:pPr>
        <w:pStyle w:val="Normal"/>
      </w:pPr>
      <w:r>
        <w:t>6. This Article does not prevent urgent action where all Parties expressly and knowingly consent. It prevents substantive transfers of sovereign authority from entering the Agreement through procedural compression or late-stage drafting.</w:t>
      </w:r>
    </w:p>
    <w:p>
      <w:pPr>
        <w:pStyle w:val="Heading2"/>
      </w:pPr>
      <w:bookmarkStart w:id="901070" w:name="_Toc300001069"/>
      <w:r>
        <w:t>Article 34.A.1B: Restrictions on Chapter 23-B Amendments</w:t>
      </w:r>
      <w:bookmarkEnd w:id="901070"/>
    </w:p>
    <w:p>
      <w:pPr>
        <w:pStyle w:val="Normal"/>
      </w:pPr>
      <w:r>
        <w:t>Chapter 23-B (North American Just Transition and Worker Security Framework) amendments are NOT permitted through the structured technical amendment procedure. Any amendment to Chapter 23-B requires:</w:t>
      </w:r>
    </w:p>
    <w:p>
      <w:pPr>
        <w:pStyle w:val="Normal"/>
      </w:pPr>
      <w:r>
        <w:t>(i) Unanimous agreement of all three Parties</w:t>
      </w:r>
    </w:p>
    <w:p>
      <w:pPr>
        <w:pStyle w:val="Normal"/>
      </w:pPr>
      <w:r>
        <w:t>(ii) Public notice and comment period (60 days minimum)</w:t>
      </w:r>
    </w:p>
    <w:p>
      <w:pPr>
        <w:pStyle w:val="Normal"/>
      </w:pPr>
      <w:r>
        <w:t>(iii) Approval by worker organizations and affected communities</w:t>
      </w:r>
    </w:p>
    <w:p>
      <w:pPr>
        <w:pStyle w:val="Normal"/>
      </w:pPr>
      <w:r>
        <w:t>(iv) Prohibition on reductions in worker benefits, Fund capitalization, or community support</w:t>
      </w:r>
    </w:p>
    <w:p>
      <w:pPr>
        <w:pStyle w:val="Normal"/>
      </w:pPr>
      <w:r>
        <w:t>Amendments that strengthen or expand Chapter 23-B protections may use streamlined procedures. Amendments that weaken or reduce protections may not.</w:t>
      </w:r>
    </w:p>
    <w:p>
      <w:pPr>
        <w:pStyle w:val="Heading2"/>
      </w:pPr>
      <w:bookmarkStart w:id="901071" w:name="_Toc300001070"/>
      <w:r>
        <w:t>Article 34.B: Continuous Duration and Periodic Modernization Review (Replacement of Article 34.7)</w:t>
      </w:r>
      <w:bookmarkEnd w:id="901071"/>
    </w:p>
    <w:p>
      <w:pPr>
        <w:pStyle w:val="Normal"/>
      </w:pPr>
      <w:r>
        <w:t>1. Article 34.7 is replaced in its entirety by the following:</w:t>
      </w:r>
    </w:p>
    <w:p>
      <w:pPr>
        <w:pStyle w:val="Normal"/>
      </w:pPr>
      <w:r>
        <w:t>“</w:t>
      </w:r>
      <w:r>
        <w:t>Article 34.7: Continuous Duration and Periodic Modernization Review</w:t>
      </w:r>
    </w:p>
    <w:p>
      <w:pPr>
        <w:pStyle w:val="Normal"/>
      </w:pPr>
      <w:r>
        <w:t>1. This Agreement remains in force for an indefinite duration unless a Party withdraws in accordance with Article 34.6. No periodic review, review deadline, failure to reach consensus, or passage of time terminates, suspends, diminishes, or conditions the continuation of this Agreement.</w:t>
      </w:r>
    </w:p>
    <w:p>
      <w:pPr>
        <w:pStyle w:val="Normal"/>
      </w:pPr>
      <w:r>
        <w:t>2. The Commission shall conduct a joint review of the operation and modernization of this Agreement six years after the entry into force of the Protocol of Modernization, and every six years thereafter (each, a “review date”). A review is an implementation and modernization process and is not a renewal event.</w:t>
      </w:r>
    </w:p>
    <w:p>
      <w:pPr>
        <w:pStyle w:val="Normal"/>
      </w:pPr>
      <w:r>
        <w:t>3. A joint review shall address: (a) implementation and measurable performance, including the data and metrics published under Article 36.10 and committee reports; (b) recommendations for modernization submitted by a Party at least 90 days before the review date; (c) the operation of tariff-free trade, regulatory cooperation, supply-chain resilience, labor and environmental commitments, and Chapters 31 and 35; and (d) emerging technologies or economic conditions that may warrant consensual amendment.</w:t>
      </w:r>
    </w:p>
    <w:p>
      <w:pPr>
        <w:pStyle w:val="Normal"/>
      </w:pPr>
      <w:r>
        <w:t>4. Existing rights and obligations continue automatically before, during, and after every review. No Party is required to affirmatively renew, extend, or reconfirm this Agreement or any right, preference, guarantee, protection, recognition, approval, status, or entitlement established under it.</w:t>
      </w:r>
    </w:p>
    <w:p>
      <w:pPr>
        <w:pStyle w:val="Normal"/>
      </w:pPr>
      <w:r>
        <w:t>5. If the Parties do not agree on a recommendation or amendment at a joint review:</w:t>
      </w:r>
    </w:p>
    <w:p>
      <w:pPr>
        <w:pStyle w:val="Normal"/>
      </w:pPr>
      <w:r>
        <w:t>(a) the Agreement and all existing rights and obligations continue unchanged;</w:t>
      </w:r>
    </w:p>
    <w:p>
      <w:pPr>
        <w:pStyle w:val="Normal"/>
      </w:pPr>
      <w:r>
        <w:t>(b) the Commission may establish a technical work program for unresolved modernization questions without conditioning existing benefits on agreement;</w:t>
      </w:r>
    </w:p>
    <w:p>
      <w:pPr>
        <w:pStyle w:val="Normal"/>
      </w:pPr>
      <w:r>
        <w:t>(c) any Party may place the matter on the agenda of a subsequent Commission meeting or review; and</w:t>
      </w:r>
    </w:p>
    <w:p>
      <w:pPr>
        <w:pStyle w:val="Normal"/>
      </w:pPr>
      <w:r>
        <w:t>(d) no Party may use the review process, or a threat concerning continuation of an existing treaty benefit, to require an unrelated new concession.</w:t>
      </w:r>
    </w:p>
    <w:p>
      <w:pPr>
        <w:pStyle w:val="Normal"/>
      </w:pPr>
      <w:r>
        <w:t>6. A review may recommend amendment, technical updating within Article 34.3.A, implementation action, or no action. Failure to adopt a recommendation has no adverse legal consequence for continuation of the Agreement.</w:t>
      </w:r>
    </w:p>
    <w:p>
      <w:pPr>
        <w:pStyle w:val="Normal"/>
      </w:pPr>
      <w:r>
        <w:t>7. For greater certainty, there is no sunset, snapback, lapse, or fade arising from Article 34.7. Continuity is the default and expiration must be expressly provided for a measure that is temporary by design, consistent with Article 35.29.</w:t>
      </w:r>
    </w:p>
    <w:p>
      <w:pPr>
        <w:pStyle w:val="Normal"/>
      </w:pPr>
      <w:r>
        <w:t>8. Withdrawal remains governed exclusively by Article 34.6 and the orderly-withdrawal safeguards of Article 34.F. A Party that has notified withdrawal remains bound by this Agreement until withdrawal takes effect.”</w:t>
      </w:r>
    </w:p>
    <w:p>
      <w:pPr>
        <w:pStyle w:val="Normal"/>
      </w:pPr>
      <w:r>
        <w:t>2. The first review date under the replaced Article is the sixth anniversary of the entry into force of the Protocol of Modernization. No extension, renewal, or reconfirmation decision is required at that review or any later review.</w:t>
      </w:r>
    </w:p>
    <w:p>
      <w:pPr>
        <w:pStyle w:val="Heading2"/>
      </w:pPr>
      <w:bookmarkStart w:id="901072" w:name="_Toc300001071"/>
      <w:r>
        <w:t>Article 34.B.1: Primacy of Human Rights and Worker Protection</w:t>
      </w:r>
      <w:bookmarkEnd w:id="901072"/>
    </w:p>
    <w:p>
      <w:pPr>
        <w:pStyle w:val="Normal"/>
      </w:pPr>
      <w:r>
        <w:t>Notwithstanding the periodic modernization review provisions in this Article, no future modernization or amendment of this Agreement shall reduce, weaken, or eliminate the protections for workers and communities established in Chapter 23-B (North American Just Transition and Worker Security Framework). Chapter 23-B represents a binding commitment that shall not be subject to negotiation or rollback in future reviews. Future modernizations may enhance Chapter 23-B protections but shall not diminish them.</w:t>
      </w:r>
    </w:p>
    <w:p>
      <w:pPr>
        <w:pStyle w:val="Heading2"/>
      </w:pPr>
      <w:bookmarkStart w:id="901073" w:name="_Toc300001072"/>
      <w:r>
        <w:t>Article 34.C: Consolidation and Legacy Instruments</w:t>
      </w:r>
      <w:bookmarkEnd w:id="901073"/>
    </w:p>
    <w:p>
      <w:pPr>
        <w:pStyle w:val="Normal"/>
      </w:pPr>
      <w:r>
        <w:t>1. Upon entry into force of the Protocol of Modernization: (a) the side letters between Parties concerning Section 232 of the Trade Expansion Act of 1962, including the arrangements providing consultation periods and sector-specific treatment, are superseded and terminated; (b) the subject matter of those instruments is governed by Chapters 32 and 35; and (c) the Commission shall publish a consolidated register of Free Trade Commission decisions, and of instruments superseded or terminated, as part of the consolidated text.</w:t>
      </w:r>
    </w:p>
    <w:p>
      <w:pPr>
        <w:pStyle w:val="Normal"/>
      </w:pPr>
      <w:r>
        <w:t>2. The 2018 Agreement and the 2019 Protocol of Amendment continue in force as amended by the Protocol of Modernization; in the event of inconsistency, the Protocol of Modernization prevails.</w:t>
      </w:r>
    </w:p>
    <w:p>
      <w:pPr>
        <w:pStyle w:val="Normal"/>
      </w:pPr>
      <w:r>
        <w:t>3. The Uniform Regulations are amended to conform to Chapters 4, 5, and 7 as modernized, within 12 months after entry into force, through the procedure in Article 5.16.</w:t>
      </w:r>
    </w:p>
    <w:p>
      <w:pPr>
        <w:pStyle w:val="Normal"/>
      </w:pPr>
      <w:r>
        <w:t>4. Within 12 months after signature of the Protocol of Modernization, the Secretariat shall complete a mechanical verification of the consolidated text against the authoritative texts of the 2018 Agreement, the 2019 Protocol, the superseded side letters, the tariff schedules, and the Uniform Regulations, and the Parties shall publish a corrigendum correcting any extraction, numbering, or cross-reference artifact identified, without substantive change.</w:t>
      </w:r>
    </w:p>
    <w:p>
      <w:pPr>
        <w:pStyle w:val="Heading2"/>
      </w:pPr>
      <w:bookmarkStart w:id="901074" w:name="_Toc300001073"/>
      <w:r>
        <w:t>Article 34.D: Accession and Future Relations</w:t>
      </w:r>
      <w:bookmarkEnd w:id="901074"/>
    </w:p>
    <w:p>
      <w:pPr>
        <w:pStyle w:val="Normal"/>
      </w:pPr>
      <w:r>
        <w:t>1. Article 34.4 (Accession) remains in force. The Commission shall not extend an invitation to accede without having first considered the implications for the North American economic perimeter disciplines of Chapter 36.</w:t>
      </w:r>
    </w:p>
    <w:p>
      <w:pPr>
        <w:pStyle w:val="Heading2"/>
      </w:pPr>
      <w:bookmarkStart w:id="901075" w:name="_Toc300001074"/>
      <w:r>
        <w:t>Article 34.E: Entry into Force and Transitional Provisions</w:t>
      </w:r>
      <w:bookmarkEnd w:id="901075"/>
    </w:p>
    <w:p>
      <w:pPr>
        <w:pStyle w:val="Normal"/>
      </w:pPr>
      <w:r>
        <w:t>1. The Protocol of Modernization enters into force as provided therein.</w:t>
      </w:r>
    </w:p>
    <w:p>
      <w:pPr>
        <w:pStyle w:val="Normal"/>
      </w:pPr>
      <w:r>
        <w:t>2. The following transitional periods apply from entry into force of the Protocol of Modernization:</w:t>
      </w:r>
    </w:p>
    <w:p>
      <w:pPr>
        <w:pStyle w:val="Normal"/>
      </w:pPr>
      <w:r>
        <w:t>(a) Annex 35-D (legacy wind-down): immediate, subject to its paragraph 2;</w:t>
      </w:r>
    </w:p>
    <w:p>
      <w:pPr>
        <w:pStyle w:val="Normal"/>
      </w:pPr>
      <w:r>
        <w:t>(b) the North American Trade Measures Registry (Article 35.24): an interim filing and publication capability available from entry into force, with full registry functions operational within 12 months; and the Shared Trade Data Registry (Annex 35-C): core functions operational within 180 days and full planned functionality within 12 months, subject to the continuity and alternative-evidence rules of Annexes 34-H and 35-C;</w:t>
      </w:r>
    </w:p>
    <w:p>
      <w:pPr>
        <w:pStyle w:val="Normal"/>
      </w:pPr>
      <w:r>
        <w:t>(c) rosters and lists (Articles 31.C, 35.10): designated within 90 days;</w:t>
      </w:r>
    </w:p>
    <w:p>
      <w:pPr>
        <w:pStyle w:val="Normal"/>
      </w:pPr>
      <w:r>
        <w:t>(d) the Escrow Facility (Article 35.14): operational within 12 months, with lawful interim security methods available under Article 35.14 and Annex 34-H until then; the Trade Impact compensation mechanism (Article 35.25) becomes operational only if activated by the Commission through the implementing schedule required by that Article and has no independent capitalization deadline before activation;</w:t>
      </w:r>
    </w:p>
    <w:p>
      <w:pPr>
        <w:pStyle w:val="Normal"/>
      </w:pPr>
      <w:r>
        <w:t>(e) single-window interoperability (Article 7.B): within 36 months;</w:t>
      </w:r>
    </w:p>
    <w:p>
      <w:pPr>
        <w:pStyle w:val="Normal"/>
      </w:pPr>
      <w:r>
        <w:t>(f) automotive technical modernization (Article 4.A.2): concluded within 24 months, with phase-in of any increased thresholds of not less than 36 months thereafter;</w:t>
      </w:r>
    </w:p>
    <w:p>
      <w:pPr>
        <w:pStyle w:val="Normal"/>
      </w:pPr>
      <w:r>
        <w:t>(g) TNAO sectoral standards (Article 36.6.6): within 18 months; and</w:t>
      </w:r>
    </w:p>
    <w:p>
      <w:pPr>
        <w:pStyle w:val="Normal"/>
      </w:pPr>
      <w:r>
        <w:t>(h) investments and contracts made in reliance on the rules in force before entry into force of the Protocol of Modernization are governed by the transition schedules of the relevant Chapters, and nothing in the Protocol operates retroactively.</w:t>
      </w:r>
    </w:p>
    <w:p>
      <w:pPr>
        <w:pStyle w:val="Normal"/>
      </w:pPr>
      <w:r>
        <w:t>3. During the period between signature and entry into force, each Party shall refrain from adopting new covered border measures against originating goods of another Party.</w:t>
      </w:r>
    </w:p>
    <w:p>
      <w:pPr>
        <w:pStyle w:val="Heading3"/>
      </w:pPr>
      <w:r>
        <w:t>ANNEX 34-F: IMPLEMENTATION AND PHASE-IN SCHEDULE</w:t>
      </w:r>
    </w:p>
    <w:p>
      <w:pPr>
        <w:pStyle w:val="Normal"/>
      </w:pPr>
      <w:r>
        <w:t>1. Day 1 obligations: tariff standstill; Originating Goods Tariff Guarantee; anti-evasion and substitute-measure disciplines; essential-security notification; interim Trade Measures Registry filing and publication through an existing or designated channel pending full registry deployment; dispute-settlement roster continuity; and preservation of existing low-value treatment. Each Party shall complete the legal-readiness certification required by Annex 34-H before entry into force for that Party.</w:t>
      </w:r>
    </w:p>
    <w:p>
      <w:pPr>
        <w:pStyle w:val="Normal"/>
      </w:pPr>
      <w:r>
        <w:t>2. Within 90 days: the Secretariat's Treaty Integrity function operational under Article 35.28; the Article 35.10 Roster of Verifiers and Joint List confirmed on an interim or final basis; standard low-value shipment data packet published; SME repeat-audit review procedure operational; and interim confidential-information protocol adopted.</w:t>
      </w:r>
    </w:p>
    <w:p>
      <w:pPr>
        <w:pStyle w:val="Normal"/>
      </w:pPr>
      <w:r>
        <w:t>3. Within 180 days: Shared Trade Data Registry core functions operational, with remaining planned functionality completed no later than 12 months; TNAO objective criteria and appeals published; standardized circular-production chain-of-custody template adopted; and subnational market-access schedule procedures opened for voluntary participation.</w:t>
      </w:r>
    </w:p>
    <w:p>
      <w:pPr>
        <w:pStyle w:val="Normal"/>
      </w:pPr>
      <w:r>
        <w:t>4. Within one year: Annex 35-A Technical Schedule, sector pass-through guidance, full Trade Measures Registry and Shared Trade Data Registry functionality, trusted-supplier procedures, and agricultural/TRQ transparency systems fully operational. The Trade Impact compensation mechanism is excluded from this mandatory one-year milestone and becomes operational only if activated under Article 35.25.</w:t>
      </w:r>
    </w:p>
    <w:p>
      <w:pPr>
        <w:pStyle w:val="Normal"/>
      </w:pPr>
      <w:r>
        <w:t>5. Within two years: advanced semiconductor, critical-mineral, energy-security, and integrated-product data interoperability completed to the extent agreed by the Parties; remaining technical schedules adopted.</w:t>
      </w:r>
    </w:p>
    <w:p>
      <w:pPr>
        <w:pStyle w:val="Normal"/>
      </w:pPr>
      <w:r>
        <w:t>6. No delayed implementation authorizes a Party to suspend an obligation designated for an earlier phase. Where a required institution is not yet operational, the Commission shall designate an interim body capable of performing the function without diminishing substantive rights.</w:t>
      </w:r>
    </w:p>
    <w:p>
      <w:pPr>
        <w:pStyle w:val="Normal"/>
      </w:pPr>
      <w:r>
        <w:t>7. The Secretariat shall publish a quarterly implementation dashboard until every obligation in this Annex is certified operational.</w:t>
      </w:r>
    </w:p>
    <w:p>
      <w:pPr>
        <w:pStyle w:val="Heading2"/>
      </w:pPr>
      <w:bookmarkStart w:id="901076" w:name="_Toc300001075"/>
      <w:r>
        <w:t>ANNEX 34-G: PRESERVED AMENDING PROTOCOL, INTEGRAL INSTRUMENTS, AND IMPLEMENTATION CONTINUITY</w:t>
      </w:r>
      <w:bookmarkEnd w:id="901076"/>
    </w:p>
    <w:p>
      <w:pPr>
        <w:pStyle w:val="Normal"/>
      </w:pPr>
      <w:r>
        <w:t>1. Purpose and legal status. This Annex restores and preserves original CUSMA instruments omitted or incompletely consolidated in earlier working drafts. Part A reproduces the controlling 2019 Protocol of Amendment, including Annexes 31-A and 31-B. Parts B through D preserve integral Canada-United States instruments. Part E reproduces the separate Agreement on Environmental Cooperation for operational completeness while preserving its independent legal status. Part F preserves the Uniform Regulations by reference. In any inconsistency between a pre-2019 legacy reproduction and Part A, Part A prevails.</w:t>
      </w:r>
    </w:p>
    <w:p>
      <w:pPr>
        <w:pStyle w:val="Heading2"/>
      </w:pPr>
      <w:bookmarkStart w:id="901077" w:name="_Toc300001076"/>
      <w:r>
        <w:t>PART A: 2019 PROTOCOL OF AMENDMENT (CONTROLLING ORIGINAL TEXT)</w:t>
      </w:r>
      <w:bookmarkEnd w:id="901077"/>
    </w:p>
    <w:p>
      <w:pPr>
        <w:pStyle w:val="Normal"/>
      </w:pPr>
      <w:r>
        <w:t>Canada-United States-Mexico Agreement (CUSMA) - Protocol of Amendment to the Agreement Between the United States of America, the United Mexican States, and Canada The Governments of the United States of America, the United Mexican States, and Canada;</w:t>
      </w:r>
    </w:p>
    <w:p>
      <w:pPr>
        <w:pStyle w:val="Normal"/>
      </w:pPr>
      <w:r>
        <w:t>Desiring to amend the Agreement between the United States of America, the United Mexican States, and Canada, done at Buenos Aires, on November 30, 2018 (hereinafter “the Agreement”),</w:t>
      </w:r>
    </w:p>
    <w:p>
      <w:pPr>
        <w:pStyle w:val="Normal"/>
      </w:pPr>
      <w:r>
        <w:t>HAVE AGREED to amend the Agreement as follows:</w:t>
      </w:r>
    </w:p>
    <w:p>
      <w:pPr>
        <w:pStyle w:val="Normal"/>
      </w:pPr>
      <w:r>
        <w:t>1.</w:t>
      </w:r>
    </w:p>
    <w:p>
      <w:pPr>
        <w:pStyle w:val="Normal"/>
      </w:pPr>
      <w:r>
        <w:t>A. In Chapter 1 (Initial Provisions and General Definitions) after Article 1.2 insert a new article as follows and renumber the remaining articles, footnotes, and article references accordingly:</w:t>
      </w:r>
    </w:p>
    <w:p>
      <w:pPr>
        <w:pStyle w:val="Normal"/>
      </w:pPr>
      <w:r>
        <w:t>“</w:t>
      </w:r>
      <w:r>
        <w:t>Article 1.3: Relation to Environmental and Conservation Agreements 1. In the event of any inconsistency between a Party’s obligations under this Agreement and its respective obligations under the following multilateral environmental agreements (“covered agreements”):[Footnote 1] (a)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a Party’s obligations under this Agreement shall not preclude the Party from taking a particular measure to comply with its obligations under the covered agreement, provided that the primary purpose of the measure is not to impose a disguised restriction on trade.</w:t>
      </w:r>
    </w:p>
    <w:p>
      <w:pPr>
        <w:pStyle w:val="Normal"/>
      </w:pPr>
      <w:r>
        <w:t>2. Pursuant to Article 34.3 (Amendments), the Parties may agree in writing to modify paragraph 1 to include any amendment to an agreement referred to therein, and any other environmental or conservation agreement.”.</w:t>
      </w:r>
    </w:p>
    <w:p>
      <w:pPr>
        <w:pStyle w:val="Normal"/>
      </w:pPr>
      <w:r>
        <w:t>B. In Articles 14.1 (Definitions), 15.1 (Definitions), 17.1 (Definitions), 18.1 (Definitions) and 19.1 (Definitions), replace the references to “Article 1.4” with “Article 1.5”.</w:t>
      </w:r>
    </w:p>
    <w:p>
      <w:pPr>
        <w:pStyle w:val="Normal"/>
      </w:pPr>
      <w:r>
        <w:t>2. In Chapter 4 (Rules of Origin):</w:t>
      </w:r>
    </w:p>
    <w:p>
      <w:pPr>
        <w:pStyle w:val="Normal"/>
      </w:pPr>
      <w:r>
        <w:t>A. In Article 6.1 of the Appendix to Annex 4-B to Chapter 4 (Rules of Origin), insert the following footnote immediately after footnote 73, and renumber the remaining footnotes accordingly.</w:t>
      </w:r>
    </w:p>
    <w:p>
      <w:pPr>
        <w:pStyle w:val="Normal"/>
      </w:pPr>
      <w:r>
        <w:t>“</w:t>
      </w:r>
      <w:r>
        <w:t>74 Notwithstanding any other provision of this Agreement, beginning seven years after entry into force of this Agreement, for steel to be considered as originating under this Article, all steel manufacturing processes must occur in one or more of the Parties, except for metallurgical processes involving the refinement of steel additives. Such processes include the initial melting and mixing and continues through the coating stage. This requirement does not apply to raw materials used in the steel manufacturing process, including steel scrap; iron ore; pig iron; reduced, processed, or pelletized iron ore; or raw alloys. Ten years after entry into force of this Agreement, the Parties shall consider appropriate requirements that are in the interests of all three Parties for aluminum to be considered as originating under this Article.”; and</w:t>
      </w:r>
    </w:p>
    <w:p>
      <w:pPr>
        <w:pStyle w:val="Normal"/>
      </w:pPr>
      <w:r>
        <w:t>B. In Article 8.2(a) of the Appendix to Annex 4-B to Chapter 4 (Rules of Origin), insert the following text at the end of renumbered footnote 82 after “treatment” and before the end period:</w:t>
      </w:r>
    </w:p>
    <w:p>
      <w:pPr>
        <w:pStyle w:val="Normal"/>
      </w:pPr>
      <w:r>
        <w:t>“</w:t>
      </w:r>
      <w:r>
        <w:t>, including requirements as provided in Article 403(1) of NAFTA 1994 and any corresponding Uniform Regulations”; and</w:t>
      </w:r>
    </w:p>
    <w:p>
      <w:pPr>
        <w:pStyle w:val="Normal"/>
      </w:pPr>
      <w:r>
        <w:t>C. In Article 9 of the Appendix to Annex 4-B to Chapter 4 (Rules of Origin), add a period at the end of paragraph 1.</w:t>
      </w:r>
    </w:p>
    <w:p>
      <w:pPr>
        <w:pStyle w:val="Normal"/>
      </w:pPr>
      <w:r>
        <w:t>3. In Chapter 20 (Intellectual Property Rights):</w:t>
      </w:r>
    </w:p>
    <w:p>
      <w:pPr>
        <w:pStyle w:val="Normal"/>
      </w:pPr>
      <w:r>
        <w:t>A. In Article 20.36 (Patentable Subject Matter), delete paragraph 2, renumber the remaining paragraphs and cross-references accordingly.</w:t>
      </w:r>
    </w:p>
    <w:p>
      <w:pPr>
        <w:pStyle w:val="Normal"/>
      </w:pPr>
      <w:r>
        <w:t>B. In Article 20.46 (Patent Term Adjustment for Unreasonable Curtailment), add a new footnote 40 at the end of paragraph 3 to read as follows and renumber remaining footnotes accordingly:</w:t>
      </w:r>
    </w:p>
    <w:p>
      <w:pPr>
        <w:pStyle w:val="Normal"/>
      </w:pPr>
      <w:r>
        <w:t>“</w:t>
      </w:r>
      <w:r>
        <w:t>40Such conditions and limitations with respect to paragraph 3 may include, among other things: (i) limiting the applicability of paragraph 2 to a single patent term adjustment for each pharmaceutical product that has been granted marketing approval; (ii) requiring the adjustment to be based on the first marketing approval granted to the pharmaceutical product in that Party; (iii) limiting the period of the adjustment to a maximum of 5 years; and (iv) if a Party makes available a period of additional sui generis protection, limiting the period of the additional sui generis protection to a maximum of 2 years.”.</w:t>
      </w:r>
    </w:p>
    <w:p>
      <w:pPr>
        <w:pStyle w:val="Normal"/>
      </w:pPr>
      <w:r>
        <w:t>C. Amend Article 20.47 (Regulatory Review Exception) to read as follows:</w:t>
      </w:r>
    </w:p>
    <w:p>
      <w:pPr>
        <w:pStyle w:val="Normal"/>
      </w:pPr>
      <w:r>
        <w:t>“</w:t>
      </w:r>
      <w:r>
        <w:t>Without prejudice to the scope of, and consistent with, Article 20.39 (Exceptions), each Party shall adopt or maintain a regulatory review exception for pharmaceutical products that permits a third person to make, use, sell, offer to sell, or import in the territory of that Party a product covered by a subsisting patent solely for purposes related to generating information to meet requirements for marketing approval for the product.”</w:t>
      </w:r>
    </w:p>
    <w:p>
      <w:pPr>
        <w:pStyle w:val="Normal"/>
      </w:pPr>
      <w:r>
        <w:t>D. In Article 20.48 (Protection of Undisclosed Test or Other Data):</w:t>
      </w:r>
    </w:p>
    <w:p>
      <w:pPr>
        <w:pStyle w:val="Normal"/>
      </w:pPr>
      <w:r>
        <w:t>(i) in paragraph 1(a), after the fifth clause, add a new footnote 42 to read as follows and renumber remaining footnotes accordingly: “42 For greater certainty, a Party may deem that such person has provided consent if, after that person is directly notified by a third person that an unexpired applicable patent claiming the approved product or its approved method of use is invalid or is not infringed by the product for which the third person is seeking marketing approval, an infringement action is not initiated against the third person with respect to the patent within 45 days of the notification.” (ii) at the end of paragraph 1(a) add a new footnote 45 to read as follows and renumber remaining footnotes accordingly: “45 For greater certainty, the Parties understand that the United States may comply with the obligations in subparagraph (a) with respect to “the same or a similar product” through 21 U.S.C. §§ 355(c)(3)(E)(ii) and 355(j)(5)(F)(ii), 42 U.S.C. § 262(k)(7), and the regulations implemented at 21 C.F.R. 314.”; and (iii) in paragraph 2, delete subparagraph (a) and the subparagraph numbering “(b)”, move renumbered footnote 46 directly following “mutatis mutandis”, and in renumbered footnote 47 replace “Article 20.48.2(b) (Protection of Undisclosed Test or Other Data)” with “paragraph 2”.</w:t>
      </w:r>
    </w:p>
    <w:p>
      <w:pPr>
        <w:pStyle w:val="Normal"/>
      </w:pPr>
      <w:r>
        <w:t>E. Delete Article 20.49 (Biologics) and renumber the remaining articles and cross-references accordingly.</w:t>
      </w:r>
    </w:p>
    <w:p>
      <w:pPr>
        <w:pStyle w:val="Normal"/>
      </w:pPr>
      <w:r>
        <w:t>F. In renumbered Article 20.50 (Measures Relating to the Marketing of Certain Pharmaceutical Products):</w:t>
      </w:r>
    </w:p>
    <w:p>
      <w:pPr>
        <w:pStyle w:val="Normal"/>
      </w:pPr>
      <w:r>
        <w:t>(i) at the end of the title add a new footnote 48 to read as follows and renumber remaining footnotes accordingly: “48 Annex 20-A applies to this Article.”; and (ii) replace the text of paragraph 2 with the following text: “2. Further to paragraph 1, that Party may also provide: (a) effective rewards for a successful assertion of the invalidity or non-infringement of the applicable patent;[Footnote 2] and (b) procedures, consistent with its obligations under this Chapter, to promote transparency by providing information regarding applicable patents and relevant periods of exclusivity for pharmaceutical products that have been approved in that Party.”.</w:t>
      </w:r>
    </w:p>
    <w:p>
      <w:pPr>
        <w:pStyle w:val="Normal"/>
      </w:pPr>
      <w:r>
        <w:t>G. In renumbered Article 20.89 (Final Provisions) in paragraph 1 replace “paragraphs 2 and 3” with “paragraphs 2, 3, and 4”.</w:t>
      </w:r>
    </w:p>
    <w:p>
      <w:pPr>
        <w:pStyle w:val="Normal"/>
      </w:pPr>
      <w:r>
        <w:t>H. Relabel Annex 20-A as Annex 20-B, renumber cross-references accordingly, and insert a new Annex 20-A to read as follows:</w:t>
      </w:r>
    </w:p>
    <w:p>
      <w:pPr>
        <w:pStyle w:val="Normal"/>
      </w:pPr>
      <w:r>
        <w:t>“</w:t>
      </w:r>
      <w:r>
        <w:t>ANNEX 20-A - ANNEX TO ARTICLE 20.50 1. As an alternative to implementing Article 20.50, and subject to paragraph 2, Mexico may instead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consent or acquiescence of the patent holder. 2. If Mexico maintains the system referred to in paragraph 1, Mexico shall ensure that in administrative proceedings under that system: (a) a person of another Party that is directly affected by the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the proceeding is afforded a reasonable opportunity to present facts and arguments in support of that person’s position prior to any final administrative action, when time, the nature of the proceeding, and the public interest permit; and</w:t>
      </w:r>
    </w:p>
    <w:p>
      <w:pPr>
        <w:pStyle w:val="Normal"/>
      </w:pPr>
      <w:r>
        <w:t>(c) the procedures are in accordance with its law.”. 4. In Chapter 23 (Labor):</w:t>
      </w:r>
    </w:p>
    <w:p>
      <w:pPr>
        <w:pStyle w:val="Normal"/>
      </w:pPr>
      <w:r>
        <w:t>A. In Article 23.3 (Labor Rights):</w:t>
      </w:r>
    </w:p>
    <w:p>
      <w:pPr>
        <w:pStyle w:val="Normal"/>
      </w:pPr>
      <w:r>
        <w:t>(i) amend the text of footnote 4 to read as follows: “4 A failure to comply with an obligation under paragraphs 1 or 2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immediately after footnote 4, insert a new footnote 5 to read as follows and renumber all footnotes accordingly: “5 For purposes of dispute settlement, a panel shall presume that a failure is in a manner affecting trade or investment between the Parties, unless the responding Party demonstrates otherwise.”.</w:t>
      </w:r>
    </w:p>
    <w:p>
      <w:pPr>
        <w:pStyle w:val="Normal"/>
      </w:pPr>
      <w:r>
        <w:t>B. In Article 23.4 (Non-Derogation), immediately after renumbered footnote 8, insert a new footnote 9 to read as follows:</w:t>
      </w:r>
    </w:p>
    <w:p>
      <w:pPr>
        <w:pStyle w:val="Normal"/>
      </w:pPr>
      <w:r>
        <w:t>“</w:t>
      </w:r>
      <w:r>
        <w:t>9 For purposes of dispute settlement, a panel shall presume that a failure is in a manner affecting trade or investment between the Parties, unless the responding Party demonstrates otherwise.”.</w:t>
      </w:r>
    </w:p>
    <w:p>
      <w:pPr>
        <w:pStyle w:val="Normal"/>
      </w:pPr>
      <w:r>
        <w:t>C. In Article 23.5 (Enforcement of Labor Laws), immediately after renumbered footnote 11, insert a new footnote 12 to read as follows and renumber all footnotes accordingly:</w:t>
      </w:r>
    </w:p>
    <w:p>
      <w:pPr>
        <w:pStyle w:val="Normal"/>
      </w:pPr>
      <w:r>
        <w:t>“</w:t>
      </w:r>
      <w:r>
        <w:t>12 For purposes of dispute settlement, a panel shall presume that a failure is in a manner affecting trade or investment between the Parties, unless the responding Party demonstrates otherwise.”.</w:t>
      </w:r>
    </w:p>
    <w:p>
      <w:pPr>
        <w:pStyle w:val="Normal"/>
      </w:pPr>
      <w:r>
        <w:t>D. In Article 23.6.1 (Forced or Compulsory Labor), delete the text that reads “, through measures it considers appropriate,”, delete the footnote at the end of the paragraph, and renumber remaining footnotes accordingly.</w:t>
      </w:r>
    </w:p>
    <w:p>
      <w:pPr>
        <w:pStyle w:val="Normal"/>
      </w:pPr>
      <w:r>
        <w:t>E. In Article 23.7 (Violence Against Workers):</w:t>
      </w:r>
    </w:p>
    <w:p>
      <w:pPr>
        <w:pStyle w:val="Normal"/>
      </w:pPr>
      <w:r>
        <w:t>(i) delete the text that reads “cases of”; (ii) delete the text that reads “through a sustained or recurring course of action or inaction11”, including the footnote at the end of that text; (iii) amend renumbered footnote 13 to read as follows: “13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(iv) insert a new footnote 14 to read as follows, and renumber remaining footnotes accordingly: “14 For purposes of dispute settlement, a panel shall presume that a failure is in a manner affecting trade or investment between the Parties, unless the responding Party demonstrates otherwise.”.</w:t>
      </w:r>
    </w:p>
    <w:p>
      <w:pPr>
        <w:pStyle w:val="Normal"/>
      </w:pPr>
      <w:r>
        <w:t>F. In Article 23.17.8 (Labor Consultations):</w:t>
      </w:r>
    </w:p>
    <w:p>
      <w:pPr>
        <w:pStyle w:val="Normal"/>
      </w:pPr>
      <w:r>
        <w:t>(i) delete the text that reads as follows: “a meeting of the Commission pursuant to Article 31.5 (Commission, Good Offices, Conciliation, and Mediation) and thereafter request”; and (ii) replace the text that reads “30 days” to read “75 days”. 5. In Chapter 24 (Environment):</w:t>
      </w:r>
    </w:p>
    <w:p>
      <w:pPr>
        <w:pStyle w:val="Normal"/>
      </w:pPr>
      <w:r>
        <w:t>A. In Article 24.4 (Enforcement of Environmental Laws), insert a new footnote 5 immediately after footnote 4 to read as follows and renumber remaining footnotes accordingly:</w:t>
      </w:r>
    </w:p>
    <w:p>
      <w:pPr>
        <w:pStyle w:val="Normal"/>
      </w:pPr>
      <w:r>
        <w:t>“</w:t>
      </w:r>
      <w:r>
        <w:t>5 For purposes of dispute settlement, a panel shall presume that a failure is in a manner affecting trade or investment between the Parties, unless the responding Party demonstrates otherwise.”.</w:t>
      </w:r>
    </w:p>
    <w:p>
      <w:pPr>
        <w:pStyle w:val="Normal"/>
      </w:pPr>
      <w:r>
        <w:t>B. In Article 24.8 (Multilateral Environmental Agreements):</w:t>
      </w:r>
    </w:p>
    <w:p>
      <w:pPr>
        <w:pStyle w:val="Normal"/>
      </w:pPr>
      <w:r>
        <w:t>(i) insert the following footnotes immediately after the title of the article: “6 A violation of Article 24.8.4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For greater certainty, a Party’s compliance with its respective obligations under a covered agreement shall only be subject to Article 24.29 (Environment Consultations) or Article 24.32 (Dispute Settlement) under this Agreement if the complaining Party is a party to the relevant covered agreement. 7 For purposes of dispute settlement, a panel shall presume that a failure is in a manner affecting trade or investment between the Parties, unless the responding Party demonstrates otherwise.”; and (ii) insert the following new text after paragraph 3, and renumber the remaining footnotes accordingly: “4. Each Party shall adopt, maintain, and implement laws, regulations, and all other measures necessary to fulfill its respective obligations under the following multilateral environmental agreements (“covered agreements”):[Footnote 3]</w:t>
      </w:r>
    </w:p>
    <w:p>
      <w:pPr>
        <w:pStyle w:val="Normal"/>
      </w:pPr>
      <w:r>
        <w:t>(a)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5. Pursuant to Article 34.3 (Amendments), the Parties may agree in writing to modify paragraph 4 to include any amendment to an agreement referred to therein, and any other environmental or conservation agreement.”.</w:t>
      </w:r>
    </w:p>
    <w:p>
      <w:pPr>
        <w:pStyle w:val="Normal"/>
      </w:pPr>
      <w:r>
        <w:t>C. In Article 24.9 (Protection of the Ozone Layer):</w:t>
      </w:r>
    </w:p>
    <w:p>
      <w:pPr>
        <w:pStyle w:val="Normal"/>
      </w:pPr>
      <w:r>
        <w:t>(i) in paragraph 1: (a) replace “such substances” with “substances controlled by the Montreal Protocol”; (b) amend renumbered footnote 9 by deleting “ozone depleting”; (c) amend renumbered footnote 11 to read as follows: “11 If compliance with this provision is not established pursuant to footnote 10, a violation of this provision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(d) add a new footnote 12 at the end to read as follows, and renumber all footnotes accordingly: “12 For purposes of dispute settlement, a panel shall presume that a failure is in a manner affecting trade or investment between the Parties, unless the responding Party demonstrates otherwise.”. (ii) in paragraph 3 replace “ozone depleting” with “such” everywhere it appears.</w:t>
      </w:r>
    </w:p>
    <w:p>
      <w:pPr>
        <w:pStyle w:val="Normal"/>
      </w:pPr>
      <w:r>
        <w:t>D. In Article 24.10 (Protection of the Marine Environment from Ship Pollution):</w:t>
      </w:r>
    </w:p>
    <w:p>
      <w:pPr>
        <w:pStyle w:val="Normal"/>
      </w:pPr>
      <w:r>
        <w:t>(i) amend renumbered footnote 15 to read as follows: “15 If compliance with this provision is not established pursuant to footnote 14, a violation of this provision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insert a new footnote 16 immediately after footnote 15 to read as follows and renumber the remaining footnotes accordingly: “16 For purposes of dispute settlement, a panel shall presume that a failure is in a manner affecting trade or investment between the Parties, unless the responding Party demonstrates otherwise.”.</w:t>
      </w:r>
    </w:p>
    <w:p>
      <w:pPr>
        <w:pStyle w:val="Normal"/>
      </w:pPr>
      <w:r>
        <w:t>F. In Article 24.22 (Conservation and Trade), delete paragraph 2 and its associated footnotes and renumber the remaining footnotes accordingly.</w:t>
      </w:r>
    </w:p>
    <w:p>
      <w:pPr>
        <w:pStyle w:val="Normal"/>
      </w:pPr>
      <w:r>
        <w:t>G. In Article 24.32 (Dispute Resolution):</w:t>
      </w:r>
    </w:p>
    <w:p>
      <w:pPr>
        <w:pStyle w:val="Normal"/>
      </w:pPr>
      <w:r>
        <w:t>(i) in paragraph 1 delete the text that reads: “a meeting of the Commission pursuant to Article 31.5 (Commission, Good Offices, Conciliation, and Mediation) and thereafter request” and replace the text that reads “30 days” to read “75 days”; (ii) in the chapeau to paragraph 2, replace “24.22 (Conservation and Trade)” with “24.8 (Multilateral Environmental Agreements)”; and (iii) in paragraph 2(a) replace “CITES” with “the relevant multilateral environmental agreement”. 6. In Chapter 30 (Administrative and Institutional Provisions):</w:t>
      </w:r>
    </w:p>
    <w:p>
      <w:pPr>
        <w:pStyle w:val="Normal"/>
      </w:pPr>
      <w:r>
        <w:t>A. amend Article 30.6.3(b)(ii) (The Secretariat) to read as follows:</w:t>
      </w:r>
    </w:p>
    <w:p>
      <w:pPr>
        <w:pStyle w:val="Normal"/>
      </w:pPr>
      <w:r>
        <w:t>“</w:t>
      </w:r>
      <w:r>
        <w:t>(ii) panels established under Chapter 31 (Dispute Settlement), including under Annex 31-A (United-States-Mexico Facility-Specific Rapid Response Labor Mechanism) and Annex 31-B (Canada-Mexico Facility-Specific Rapid Response Labor Mechanism);”; and</w:t>
      </w:r>
    </w:p>
    <w:p>
      <w:pPr>
        <w:pStyle w:val="Normal"/>
      </w:pPr>
      <w:r>
        <w:t>B. amend Article 30.6.3(c) (The Secretariat) to read as follows:</w:t>
      </w:r>
    </w:p>
    <w:p>
      <w:pPr>
        <w:pStyle w:val="Normal"/>
      </w:pPr>
      <w:r>
        <w:t>“</w:t>
      </w:r>
      <w:r>
        <w:t>(c) be responsible for the payment of remuneration to and expenses of panels and committees established under Section D of Chapter 10 (Review and Dispute Settlement in Antidumping and Countervailing Duty Matters) and panelists, assistants, and experts involved in dispute settlement proceedings under Chapter 31 (Dispute Settlement), including under Annex 31-A (United-States-Mexico Facility-Specific Rapid Response Labor Mechanism) and Annex 31-B (Canada-Mexico Facility-Specific Rapid Response Labor Mechanism); and”. 7. In Chapter 31 (Dispute Settlement):</w:t>
      </w:r>
    </w:p>
    <w:p>
      <w:pPr>
        <w:pStyle w:val="Normal"/>
      </w:pPr>
      <w:r>
        <w:t>A. In Article 31.5 (Commission, Good Offices, Conciliation, and Mediation):</w:t>
      </w:r>
    </w:p>
    <w:p>
      <w:pPr>
        <w:pStyle w:val="Normal"/>
      </w:pPr>
      <w:r>
        <w:t>(i) delete “Commission,” in the title and revise references to the title accordingly; (ii) delete paragraphs 1 through 5 and its associated footnote; and (iii) renumber the remaining paragraphs and footnotes accordingly.</w:t>
      </w:r>
    </w:p>
    <w:p>
      <w:pPr>
        <w:pStyle w:val="Normal"/>
      </w:pPr>
      <w:r>
        <w:t>B. In Article 31.6 (Establishment of a Panel):</w:t>
      </w:r>
    </w:p>
    <w:p>
      <w:pPr>
        <w:pStyle w:val="Normal"/>
      </w:pPr>
      <w:r>
        <w:t>(i) replace the text in paragraph 1 with the following text: “Article 31.6: Establishment of a Panel 1. If the consulting Parties fail to resolve the matter within: (a) 30 days after a Party has delivered a request for consultations under Article 31.4 (Consultations) in a matter regarding perishable goods; (b) 75 days after a Party has delivered a request for consultations under Article 31.4 (Consultations); or (c) another period as the consulting Parties may decide, a consulting Party may request the establishment of a panel by means of a written notice delivered to the responding Party through its Section of the Secretariat.”; and (ii) replace the text in paragraph 4 with the following text: “4. On delivery of the request, the panel is established.”.</w:t>
      </w:r>
    </w:p>
    <w:p>
      <w:pPr>
        <w:pStyle w:val="Normal"/>
      </w:pPr>
      <w:r>
        <w:t>C. In Article 31.8 (Roster and Qualifications of Panelists), replace the text of paragraph 1 with the following text:</w:t>
      </w:r>
    </w:p>
    <w:p>
      <w:pPr>
        <w:pStyle w:val="Normal"/>
      </w:pPr>
      <w:r>
        <w:t>“</w:t>
      </w:r>
      <w:r>
        <w:t>1. The Parties shall establish, by the date of entry into force of this Agreement, and maintain a roster of up to 30 individuals who are willing to serve as panelists. Each Party shall designate up to 10 individuals. The Parties shall endeavor to achieve consensus on the appointments. If the Parties are unable to achieve consensus by one month after the date of entry into force of this Agreement, the roster shall be comprised of the designated individuals. The roster shall remain in effect for a minimum of three years or until the Parties constitute a new roster. If a Party fails to designate its individuals to the roster, the Parties may still request the establishment of panels under Article 31.6 (Establishment of a Panel). The Rules of Procedure, which shall be established by the date of entry into force of this Agreement, shall provide for how to compose a panel in such circumstances. Members of the roster may be reappointed. In the event that an individual is no longer able or willing to serve as a panelist, the relevant Party shall designate a replacement. The Parties shall endeavor to achieve consensus on the appointment. If the Parties are unable to achieve consensus by one month after the date the replacement is designated, the individual shall be added to the roster.”</w:t>
      </w:r>
    </w:p>
    <w:p>
      <w:pPr>
        <w:pStyle w:val="Normal"/>
      </w:pPr>
      <w:r>
        <w:t>D. In Article 31.9 (Panel Composition), amend the texts in paragraphs 1 and 2 to read as follows:</w:t>
      </w:r>
    </w:p>
    <w:p>
      <w:pPr>
        <w:pStyle w:val="Normal"/>
      </w:pPr>
      <w:r>
        <w:t>“</w:t>
      </w:r>
      <w:r>
        <w:t>1. If there are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If the responding Party refuses to participate in or fails to appear for the choosing by lot procedure, the complaining Party shall select an individual from the roster who is not a citizen of that Party. The complaining Party shall notify the responding Party of the selection no later than the next working day. (d) Within 15 days of selection of the chair, each disputing Party shall select two panelists who are citizens of the other disputing Party. (e) If a disputing Party fails to select its panelists within that period, those panelists shall be selected by lot from among the roster members who are citizens of the other disputing Party. (f) If the responding Party refuses to participate in or fails to appear for the choosing by lot procedure, the complaining Party shall select two individuals from the roster who are citizens of the complaining Party. The complaining Party shall notify the responding Party of the selections no later than the next working day.</w:t>
      </w:r>
    </w:p>
    <w:p>
      <w:pPr>
        <w:pStyle w:val="Normal"/>
      </w:pPr>
      <w:r>
        <w:t>2. If there are more than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 (c) If the responding Party refuses to participate in or fails to appear for the choosing by lot procedure, the complaining Parties, or the complaining Party selected to represent them, shall select an individual from the roster who is not a citizen of either complaining Party. The complaining Parties shall notify the responding Party of the selection no later than the next working day. (d)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(e) If a disputing Party fails to select a panelist within that period, that panelist shall be selected by lot in accordance with the citizenship criteria of subparagraph (d).</w:t>
      </w:r>
    </w:p>
    <w:p>
      <w:pPr>
        <w:pStyle w:val="Normal"/>
      </w:pPr>
      <w:r>
        <w:t>(f) If the responding Party refuses to participate in or fails to appear for the choosing by lot procedure, the complaining Parties, or the complaining Party selected to represent them, shall select an individual from the roster who is a citizen of one of the complaining Parties. The complaining Parties shall notify the responding Party of the selection no later than the next working day.”</w:t>
      </w:r>
    </w:p>
    <w:p>
      <w:pPr>
        <w:pStyle w:val="Normal"/>
      </w:pPr>
      <w:r>
        <w:t>E. In Article 31.11 (Rules of Procedure for Panels):</w:t>
      </w:r>
    </w:p>
    <w:p>
      <w:pPr>
        <w:pStyle w:val="Normal"/>
      </w:pPr>
      <w:r>
        <w:t>(i) number the existing paragraph as paragraph 1; and (ii) insert a paragraph 2 to read as follows: “2. The Rules of Procedure shall include rules of evidence, which shall ensure that: (a) the disputing Parties have the right to submit testimony in person or via declaration, affidavit, report, teleconference, or videoconference, and the disputing Parties and the panel the right to test the veracity of such testimony; (b) the disputing Parties have the right to submit anonymous testimony and redacted evidence, in appropriate circumstances; (c) the panel may request, on its own initiative or at the request of a disputing Party, that a Party make available documents or other information relevant to the dispute, and may take a failure to comply with such request into account in its decision; and (d) a panel shall accept the disputing Parties’ stipulations in advance of the hearing.”</w:t>
      </w:r>
    </w:p>
    <w:p>
      <w:pPr>
        <w:pStyle w:val="Normal"/>
      </w:pPr>
      <w:r>
        <w:t>F. At the end of the chapter, insert Annex 31-A (United States-Mexico Facility- Specific Rapid Response Labor Mechanism) and Annex 31-B (Canada-Mexico Facility-Specific Rapid Response Labor Mechanism) to read as follows:</w:t>
      </w:r>
    </w:p>
    <w:p>
      <w:pPr>
        <w:pStyle w:val="Heading2"/>
      </w:pPr>
      <w:bookmarkStart w:id="901078" w:name="_Toc300001077"/>
      <w:r>
        <w:t>ANNEX 31-A UNITED STATES-MEXICO FACILITY-SPECIFIC RAPID RESPONSE LABOR MECHANISM</w:t>
      </w:r>
      <w:bookmarkEnd w:id="901078"/>
    </w:p>
    <w:p>
      <w:pPr>
        <w:pStyle w:val="Heading2"/>
      </w:pPr>
      <w:bookmarkStart w:id="901079" w:name="_Toc300001078"/>
      <w:r>
        <w:t>TRANSITIONAL STATUS UNDER NAESTMA ARTICLE 31.E</w:t>
      </w:r>
      <w:bookmarkEnd w:id="901079"/>
    </w:p>
    <w:p>
      <w:pPr>
        <w:pStyle w:val="Normal"/>
      </w:pPr>
      <w:r>
        <w:t>This predecessor Annex remains available solely as transitional administrative machinery. Article 31.E governs substantive standing, admissibility, scope, covered rights, covered facilities, verification, remedies, proportionality, restoration and worker protection. Any inconsistent country-specific domestic-order prerequisite, bilateral definition, priority-sector limitation or other access condition is superseded to the extent of the inconsistency.</w:t>
      </w:r>
    </w:p>
    <w:p>
      <w:pPr>
        <w:pStyle w:val="Heading2"/>
      </w:pPr>
      <w:bookmarkStart w:id="901080" w:name="_Toc300001079"/>
      <w:r>
        <w:t>Article 31-A.1: Scope and Purpose</w:t>
      </w:r>
      <w:bookmarkEnd w:id="901080"/>
    </w:p>
    <w:p>
      <w:pPr>
        <w:pStyle w:val="Normal"/>
      </w:pPr>
      <w:r>
        <w:t>1. The United States and Mexico are agreeing to this Annex pursuant to Article 31.5.1 (Good Offices, Conciliation, and Mediation). 2. The purpose of the Facility-Specific Rapid Response Labor Mechanism (the “Mechanism”), including the ability to impose remedies, is to ensure remediation of a Denial of Rights, as defined in Article 31-A.2, for workers at a Covered Facility, not to restrict trade. Furthermore, the Parties have designed this Mechanism to ensure that remedies are lifted immediately once a Denial of Rights is remediated. 3. The Parties shall make every attempt to cooperate and arrive at a mutually acceptable solution with respect to matters that can be raised through the Mechanism. 4. This Annex applies only as between Mexico and the United States.</w:t>
      </w:r>
    </w:p>
    <w:p>
      <w:pPr>
        <w:pStyle w:val="Heading2"/>
      </w:pPr>
      <w:bookmarkStart w:id="901081" w:name="_Toc300001080"/>
      <w:r>
        <w:t>Article 31-A.2: Denial of Rights</w:t>
      </w:r>
      <w:bookmarkEnd w:id="901081"/>
    </w:p>
    <w:p>
      <w:pPr>
        <w:pStyle w:val="Normal"/>
      </w:pPr>
      <w: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Rights”).[Footnote 4]</w:t>
      </w:r>
    </w:p>
    <w:p>
      <w:pPr>
        <w:pStyle w:val="Heading2"/>
      </w:pPr>
      <w:bookmarkStart w:id="901082" w:name="_Toc300001081"/>
      <w:r>
        <w:t>Article 31-A.3: Lists of Rapid Response Labor Panelists</w:t>
      </w:r>
      <w:bookmarkEnd w:id="901082"/>
    </w:p>
    <w:p>
      <w:pPr>
        <w:pStyle w:val="Normal"/>
      </w:pPr>
      <w:r>
        <w:t>1. The Parties shall establish and maintain three lists of Rapid Response Labor Panelists who are willing to commit to being generally available to serve as Labor Panelists for the Mechanism. 2. By the date of entry into force of this Agreement, each Party shall appoint three individuals to one list each and appoint, by consensus, three individuals to a joint list. The individuals in the joint list shall be non-nationals of either Mexico or the United States. If a Party fails to designate its individuals, the Parties may still request the establishment of panels under Article 31-A.5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 3. The Labor Panelists shall be appointed for a minimum of four years or until the Parties constitute new lists. Labor Panelists may be reappointed. 4. Each Labor Panelist shall: (a) have expertise and experience in labor law and practice, and with the application of standards and rights as recognized by the International Labor Organization; (b) be selected on the basis of objectivity, reliability, and sound judgment; (c) be independent of, and not affiliated with or take instructions from, a Party; and (d) comply with the Code of Conduct established by the Commission for dispute settlement under this chapter.</w:t>
      </w:r>
    </w:p>
    <w:p>
      <w:pPr>
        <w:pStyle w:val="Normal"/>
      </w:pPr>
      <w:r>
        <w:t>5. If a list falls below five individuals within the four-year term, the relevant Party shall promptly appoint replacements. With respect to the joint list, the Parties shall appoint replacements by consensus within 30 days from the date the list has fallen below the required number. 6. At the conclusion of the first four-year term, and every four years thereafter, the Labor Panelists shall submit a report to the Parties commenting on the functioning of the Mechanism. The Parties shall make the report public. 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pPr>
        <w:pStyle w:val="Heading2"/>
      </w:pPr>
      <w:bookmarkStart w:id="901083" w:name="_Toc300001082"/>
      <w:r>
        <w:t>Article 31-A.4: Requests for Review and Remediation</w:t>
      </w:r>
      <w:bookmarkEnd w:id="901083"/>
    </w:p>
    <w:p>
      <w:pPr>
        <w:pStyle w:val="Normal"/>
      </w:pPr>
      <w:r>
        <w:t>1. If a Party has a domestic process for determining whether to invoke this mechanism and that process has started regarding a Covered Facility in the other Party, that Party shall notify the other Party within five business days of initiating such process.[Footnote 5] 2. If a complainant Party has a good faith basis to believe that a Denial of Rights is occurring at a Covered Facility, it shall first request that the 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31-A.5. 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w:t>
      </w:r>
    </w:p>
    <w:p>
      <w:pPr>
        <w:pStyle w:val="Normal"/>
      </w:pPr>
      <w:r>
        <w:t>4. If the respondent Party chooses to conduct its review, it shall report in writing the results of the review and any remediation to the complainant Party at the end of the 45-day period. 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31-A.5. 6. If the respondent Party has determined there is a Denial of Rights, the Parties shall consult in good faith for a period of 10 days and shall endeavor to agree upon a course of remediation that will remediate the Denial of Rights without interrupting trade. 7. If the Parties agree on a course of remediation, the respondent Party shall undertake the remediation by the date agreed to by the Parties and no remedy may be imposed by the complainant Party until the expiration of the agreed upon period. 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31-A.5. The complainant Party may not impose remedies until the Panel makes its determination.</w:t>
      </w:r>
    </w:p>
    <w:p>
      <w:pPr>
        <w:pStyle w:val="Normal"/>
      </w:pPr>
      <w:r>
        <w:t>9. If the Parties cannot agree on a course of remediation at the end of the 10-day period, the complainant Party may request a panel verification and determination pursuant to Article 31-A.5. 10. At any point during the 10-day consultation period, the complainant Party may request that the panel be established, and the panel may proceed to confirm the petition. However, the panel may not issue a request for verification until the 10-day period expires.</w:t>
      </w:r>
    </w:p>
    <w:p>
      <w:pPr>
        <w:pStyle w:val="Heading2"/>
      </w:pPr>
      <w:bookmarkStart w:id="901084" w:name="_Toc300001083"/>
      <w:r>
        <w:t>Article 31-A.5: Requests for Establishment of Rapid Response Labor Panel</w:t>
      </w:r>
      <w:bookmarkEnd w:id="901084"/>
    </w:p>
    <w:p>
      <w:pPr>
        <w:pStyle w:val="Normal"/>
      </w:pPr>
      <w:r>
        <w:t>1. If, after the conditions precedent for the establishment of a panel under Article 31-A.4 are met, the complainant Party continues to have a good faith basis to believe that a Denial of Rights is occurring at a Covered Facility, that Party may submit to the Secretariat a petition: (a)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 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pPr>
        <w:pStyle w:val="Heading2"/>
      </w:pPr>
      <w:bookmarkStart w:id="901085" w:name="_Toc300001084"/>
      <w:r>
        <w:t>Article 31-A.6: Confirmation of Petition</w:t>
      </w:r>
      <w:bookmarkEnd w:id="901085"/>
    </w:p>
    <w:p>
      <w:pPr>
        <w:pStyle w:val="Normal"/>
      </w:pPr>
      <w:r>
        <w:t>A panel established under Article 31-A.5 shall have five business days after it is constituted to confirm that the petition: (a) identifies a Covered Facility; (b) identifies the respondent Party’s laws relevant to the alleged Denial of Rights; and (c) states the basis for the complainant Party’s good faith belief that there is a Denial of Rights.</w:t>
      </w:r>
    </w:p>
    <w:p>
      <w:pPr>
        <w:pStyle w:val="Heading2"/>
      </w:pPr>
      <w:bookmarkStart w:id="901086" w:name="_Toc300001085"/>
      <w:r>
        <w:t>Article 31-A.7: Verification</w:t>
      </w:r>
      <w:bookmarkEnd w:id="901086"/>
    </w:p>
    <w:p>
      <w:pPr>
        <w:pStyle w:val="Normal"/>
      </w:pPr>
      <w:r>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 2. In cases in which the respondent Party has concluded under Article 31-A.4.5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31-A.4. The complainant Party may respond to the respondent Party’s submission. 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31-A.4. The complainant Party may respond to the respondent Party’s submission.</w:t>
      </w:r>
    </w:p>
    <w:p>
      <w:pPr>
        <w:pStyle w:val="Normal"/>
      </w:pPr>
      <w:r>
        <w:t>4. In cases in which the respondent Party has determined under Article 31-A.4.6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31-A.4. The complainant Party may respond to the respondent Party’s submission. 5. The respondent Party shall transmit a copy of the complainant Party’s petition to the owner of the Covered Facility at issue. 6. The respondent Party shall reply within seven business days whether it consents to the verification request. If the respondent Party does not respond within that time it will be deemed to have refused the request. 7. If the respondent Party agrees to the verification, the panel shall conduct the verification within 30 days after receipt of the request by the respondent Party. Observers from both Parties may accompany the panel in any on-site verification if both Parties so request. 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pPr>
        <w:pStyle w:val="Normal"/>
      </w:pPr>
      <w:r>
        <w:t>9. If the respondent Party refuses the request for a verification or does not respond within the period provided for in paragraph 6, the complainant Party may request that the panel make a determination as to whether there is a Denial of Rights. 10. If the complainant Party makes a petition under Article 31-A.5.1(b), the panel, at its discretion, may request a verification if it considers that a verification is necessary to assist them in making their determination and follow the procedures set out as for a verification request made under this Article.</w:t>
      </w:r>
    </w:p>
    <w:p>
      <w:pPr>
        <w:pStyle w:val="Heading2"/>
      </w:pPr>
      <w:bookmarkStart w:id="901087" w:name="_Toc300001086"/>
      <w:r>
        <w:t>Article 31-A.8: Panel Process and Determination</w:t>
      </w:r>
      <w:bookmarkEnd w:id="901087"/>
    </w:p>
    <w:p>
      <w:pPr>
        <w:pStyle w:val="Normal"/>
      </w:pPr>
      <w:r>
        <w:t>1. The panel shall make a determination, consistent with paragraphs 5, 7, and 8 of Article 31.13 (Function of Panels), as to whether there is a Denial of Rights within: (a) 30 days after conducting a verification; or (b) 30 days after it is constituted if there has not been a verification. 2. Before making its determination, the panel shall provide both Parties an opportunity to be heard. 3. In making its determination, the panel shall take the respondent Party’s refusal to allow a verification into account. 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 5. The panel’s determination shall be in writing and shall be made public.</w:t>
      </w:r>
    </w:p>
    <w:p>
      <w:pPr>
        <w:pStyle w:val="Heading2"/>
      </w:pPr>
      <w:bookmarkStart w:id="901088" w:name="_Toc300001087"/>
      <w:r>
        <w:t>Article 31-A.9: Consultations and Remediation</w:t>
      </w:r>
      <w:bookmarkEnd w:id="901088"/>
    </w:p>
    <w:p>
      <w:pPr>
        <w:pStyle w:val="Normal"/>
      </w:pPr>
      <w: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pPr>
        <w:pStyle w:val="Heading2"/>
      </w:pPr>
      <w:bookmarkStart w:id="901089" w:name="_Toc300001088"/>
      <w:r>
        <w:t>Article 31-A.10: Remedies</w:t>
      </w:r>
      <w:bookmarkEnd w:id="901089"/>
    </w:p>
    <w:p>
      <w:pPr>
        <w:pStyle w:val="Normal"/>
      </w:pPr>
      <w: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 2. Remedies may include suspension of preferential tariff treatment for goods manufactured at the Covered Facility or the imposition of penalties on goods manufactured at or services provided by the Covered Facility. 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 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pPr>
        <w:pStyle w:val="Normal"/>
      </w:pPr>
      <w:r>
        <w:t>5. After the imposition of remedies, the Parties shall continue to consult on an ongoing basis in order to ensure the prompt remediation of the Denial of Rights and the removal of remedies. 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31-A.8. The complainant Party may request a new verification consistent with the procedures set out in Article 31-A.7. 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pPr>
        <w:pStyle w:val="Heading2"/>
      </w:pPr>
      <w:bookmarkStart w:id="901090" w:name="_Toc300001089"/>
      <w:r>
        <w:t>Article 31-A.11: Good Faith Use of the Mechanism</w:t>
      </w:r>
      <w:bookmarkEnd w:id="901090"/>
    </w:p>
    <w:p>
      <w:pPr>
        <w:pStyle w:val="Normal"/>
      </w:pPr>
      <w: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pPr>
        <w:pStyle w:val="Heading2"/>
      </w:pPr>
      <w:bookmarkStart w:id="901091" w:name="_Toc300001090"/>
      <w:r>
        <w:t>Article 31-A.12: Expansion of Claims</w:t>
      </w:r>
      <w:bookmarkEnd w:id="901091"/>
    </w:p>
    <w:p>
      <w:pPr>
        <w:pStyle w:val="Normal"/>
      </w:pPr>
      <w:r>
        <w:t xml:space="preserve">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w:t>
      </w:r>
      <w:r>
        <w:t xml:space="preserve">Continuous Duration and Periodic Modernization Review</w:t>
      </w:r>
      <w:r>
        <w:t xml:space="preserve">), whichever is later.</w:t>
      </w:r>
    </w:p>
    <w:p>
      <w:pPr>
        <w:pStyle w:val="Heading2"/>
      </w:pPr>
      <w:bookmarkStart w:id="901092" w:name="_Toc300001091"/>
      <w:r>
        <w:t>Article 31-A.13: Review of Priority Sectors</w:t>
      </w:r>
      <w:bookmarkEnd w:id="901092"/>
    </w:p>
    <w:p>
      <w:pPr>
        <w:pStyle w:val="Normal"/>
      </w:pPr>
      <w:r>
        <w:t>The Parties shall review the list of priority sectors on an annual basis and determine whether to add any sectors to the list.</w:t>
      </w:r>
    </w:p>
    <w:p>
      <w:pPr>
        <w:pStyle w:val="Heading2"/>
      </w:pPr>
      <w:bookmarkStart w:id="901093" w:name="_Toc300001092"/>
      <w:r>
        <w:t>Article 31-A.14: Cooperation to Promote Compliance</w:t>
      </w:r>
      <w:bookmarkEnd w:id="901093"/>
    </w:p>
    <w:p>
      <w:pPr>
        <w:pStyle w:val="Normal"/>
      </w:pPr>
      <w:r>
        <w:t>Each Party shall cooperate with, and support efforts by, Covered Facilities to operate in a way to avoid a determination of a Denial of Rights.</w:t>
      </w:r>
    </w:p>
    <w:p>
      <w:pPr>
        <w:pStyle w:val="Heading2"/>
      </w:pPr>
      <w:bookmarkStart w:id="901094" w:name="_Toc300001093"/>
      <w:r>
        <w:t>Article 31-A.15: Definitions</w:t>
      </w:r>
      <w:bookmarkEnd w:id="901094"/>
    </w:p>
    <w:p>
      <w:pPr>
        <w:pStyle w:val="Normal"/>
      </w:pPr>
      <w:r>
        <w:t>For the purposes of this Annex: Covered Facilitymeans a facility in the territory of a Party that: (i) produces a good or supplies a service traded between the Parties; or (ii) produces a good or supplies a service that competes in the territory of a Party with a good or a service of the other Party, and is a facility in a Priority Sector; Party or Parties means Mexico and the United States singly or collectively; Priority Sector means a sector that produces manufactured goods,[Footnote 6] supplies services, or involves mining.</w:t>
      </w:r>
    </w:p>
    <w:p>
      <w:pPr>
        <w:pStyle w:val="Heading2"/>
      </w:pPr>
      <w:bookmarkStart w:id="901095" w:name="_Toc300001094"/>
      <w:r>
        <w:t>ANNEX 31-B CANADA-MEXICO FACILITY-SPECIFIC RAPID RESPONSE LABOR MECHANISM</w:t>
      </w:r>
      <w:bookmarkEnd w:id="901095"/>
    </w:p>
    <w:p>
      <w:pPr>
        <w:pStyle w:val="Heading2"/>
      </w:pPr>
      <w:bookmarkStart w:id="901096" w:name="_Toc300001095"/>
      <w:r>
        <w:t>TRANSITIONAL STATUS UNDER NAESTMA ARTICLE 31.E</w:t>
      </w:r>
      <w:bookmarkEnd w:id="901096"/>
    </w:p>
    <w:p>
      <w:pPr>
        <w:pStyle w:val="Normal"/>
      </w:pPr>
      <w:r>
        <w:t>This predecessor Annex remains available solely as transitional administrative machinery. Article 31.E governs substantive standing, admissibility, scope, covered rights, covered facilities, verification, remedies, proportionality, restoration and worker protection. Any inconsistent country-specific domestic-order prerequisite, bilateral definition, priority-sector limitation or other access condition is superseded to the extent of the inconsistency.</w:t>
      </w:r>
    </w:p>
    <w:p>
      <w:pPr>
        <w:pStyle w:val="Heading2"/>
      </w:pPr>
      <w:bookmarkStart w:id="901097" w:name="_Toc300001096"/>
      <w:r>
        <w:t>Article 31-B.1: Scope and Purpose</w:t>
      </w:r>
      <w:bookmarkEnd w:id="901097"/>
    </w:p>
    <w:p>
      <w:pPr>
        <w:pStyle w:val="Normal"/>
      </w:pPr>
      <w:r>
        <w:t>1. Canada and Mexico are agreeing to this Annex pursuant to Article 31.5.1 (Good Offices, Conciliation, and Mediation).</w:t>
      </w:r>
    </w:p>
    <w:p>
      <w:pPr>
        <w:pStyle w:val="Normal"/>
      </w:pPr>
      <w:r>
        <w:t>2. The purpose of the Facility-Specific Rapid Response Labor Mechanism (the “Mechanism”), including the ability to impose remedies, is to ensure remediation of a Denial of Rights, as defined in Article 31-B.2, for workers at a Covered Facility, not to restrict trade. Furthermore, the Parties have designed this Mechanism to ensure that remedies are lifted immediately once a Denial of Rights is remediated.</w:t>
      </w:r>
    </w:p>
    <w:p>
      <w:pPr>
        <w:pStyle w:val="Normal"/>
      </w:pPr>
      <w:r>
        <w:t>3. The Parties shall make every attempt to cooperate and arrive at a mutually acceptable solution with respect to matters that can be raised through the Mechanism.</w:t>
      </w:r>
    </w:p>
    <w:p>
      <w:pPr>
        <w:pStyle w:val="Normal"/>
      </w:pPr>
      <w:r>
        <w:t>4. This Annex applies only as between Mexico and Canada.</w:t>
      </w:r>
    </w:p>
    <w:p>
      <w:pPr>
        <w:pStyle w:val="Heading2"/>
      </w:pPr>
      <w:bookmarkStart w:id="901098" w:name="_Toc300001097"/>
      <w:r>
        <w:t>Article 31-B.2: Denial of Rights</w:t>
      </w:r>
      <w:bookmarkEnd w:id="901098"/>
    </w:p>
    <w:p>
      <w:pPr>
        <w:pStyle w:val="Normal"/>
      </w:pPr>
      <w: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Rights”).Note de bas de page7</w:t>
      </w:r>
    </w:p>
    <w:p>
      <w:pPr>
        <w:pStyle w:val="Heading2"/>
      </w:pPr>
      <w:bookmarkStart w:id="901099" w:name="_Toc300001098"/>
      <w:r>
        <w:t>Article 31-B.3: Lists of Rapid Response Labor Panelists</w:t>
      </w:r>
      <w:bookmarkEnd w:id="901099"/>
    </w:p>
    <w:p>
      <w:pPr>
        <w:pStyle w:val="Normal"/>
      </w:pPr>
      <w:r>
        <w:t>1. The Parties shall establish and maintain three lists of Rapid Response Labor Panelists who are willing to commit to being generally available to serve as Labor Panelists for the Mechanism.</w:t>
      </w:r>
    </w:p>
    <w:p>
      <w:pPr>
        <w:pStyle w:val="Normal"/>
      </w:pPr>
      <w:r>
        <w:t>2. By the date of entry into force of this Agreement, each Party shall appoint three individuals to one list each and appoint, by consensus, three individuals to a joint list. The individuals in the joint list shall be non-nationals of either Mexico or Canada. If a Party fails to designate its individuals, the Parties may still request the establishment of panels under Article 31-B.5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w:t>
      </w:r>
    </w:p>
    <w:p>
      <w:pPr>
        <w:pStyle w:val="Normal"/>
      </w:pPr>
      <w:r>
        <w:t>3. The Labor Panelists shall be appointed for a minimum of four years or until the Parties constitute new lists. Labor Panelists may be reappointed.</w:t>
      </w:r>
    </w:p>
    <w:p>
      <w:pPr>
        <w:pStyle w:val="Normal"/>
      </w:pPr>
      <w:r>
        <w:t>4. Each Labor Panelist shall:</w:t>
      </w:r>
    </w:p>
    <w:p>
      <w:pPr>
        <w:pStyle w:val="Normal"/>
      </w:pPr>
      <w:r>
        <w:t>(a) have expertise and experience in labor law and practice, and with the application of standards and rights as recognized by the International Labor Organization; (b) be selected on the basis of objectivity, reliability, and sound judgment;</w:t>
      </w:r>
    </w:p>
    <w:p>
      <w:pPr>
        <w:pStyle w:val="Normal"/>
      </w:pPr>
      <w:r>
        <w:t>(c) be independent of, and not affiliated with or take instructions from, a Party; and (d) comply with the Code of Conduct established by the Commission for dispute settlement under this chapter. 5. If a list falls below five individuals within the four-year term, the relevant Party shall promptly appoint replacements. With respect to the joint list, the Parties shall appoint replacements by consensus within 30 days from the date the list has fallen below the required number.</w:t>
      </w:r>
    </w:p>
    <w:p>
      <w:pPr>
        <w:pStyle w:val="Normal"/>
      </w:pPr>
      <w:r>
        <w:t>6. At the conclusion of the first four-year term, and every four years thereafter, the Labor Panelists shall submit a report to the Parties commenting on the functioning of the Mechanism. The Parties shall make the report public.</w:t>
      </w:r>
    </w:p>
    <w:p>
      <w:pPr>
        <w:pStyle w:val="Normal"/>
      </w:pPr>
      <w:r>
        <w:t>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pPr>
        <w:pStyle w:val="Heading2"/>
      </w:pPr>
      <w:bookmarkStart w:id="901100" w:name="_Toc300001099"/>
      <w:r>
        <w:t>Article 31-B.4: Requests for Review and Remediation</w:t>
      </w:r>
      <w:bookmarkEnd w:id="901100"/>
    </w:p>
    <w:p>
      <w:pPr>
        <w:pStyle w:val="Normal"/>
      </w:pPr>
      <w:r>
        <w:t>1. If a Party has a domestic process for determining whether to invoke this mechanism and that process has started regarding a Covered Facility in the other Party, that Party shall notify the other Party within five business days of initiating such process.Note de bas de page8</w:t>
      </w:r>
    </w:p>
    <w:p>
      <w:pPr>
        <w:pStyle w:val="Normal"/>
      </w:pPr>
      <w:r>
        <w:t>2. If a complainant Party has a good faith basis to believe that a Denial of Rights is occurring at a Covered Facility, it shall first request that the 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31-B.5.</w:t>
      </w:r>
    </w:p>
    <w:p>
      <w:pPr>
        <w:pStyle w:val="Normal"/>
      </w:pPr>
      <w:r>
        <w:t>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Rights.Note de bas de page9</w:t>
      </w:r>
    </w:p>
    <w:p>
      <w:pPr>
        <w:pStyle w:val="Normal"/>
      </w:pPr>
      <w:r>
        <w:t>4. If the respondent Party chooses to conduct its review, it shall report in writing the results of the review and any remediation to the complainant Party at the end of the 45-day period.</w:t>
      </w:r>
    </w:p>
    <w:p>
      <w:pPr>
        <w:pStyle w:val="Normal"/>
      </w:pPr>
      <w:r>
        <w:t>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31-B.5.</w:t>
      </w:r>
    </w:p>
    <w:p>
      <w:pPr>
        <w:pStyle w:val="Normal"/>
      </w:pPr>
      <w:r>
        <w:t>6. If the respondent Party has determined there is a Denial of Rights, the Parties shall consult in good faith for a period of 10 days and shall endeavor to agree upon a course of remediation that will remediate the Denial of Rights without interrupting trade.</w:t>
      </w:r>
    </w:p>
    <w:p>
      <w:pPr>
        <w:pStyle w:val="Normal"/>
      </w:pPr>
      <w:r>
        <w:t>7. If the Parties agree on a course of remediation, the respondent Party shall undertake the remediation by the date agreed to by the Parties and no remedy may be imposed by the complainant Party until the expiration of the agreed upon period.</w:t>
      </w:r>
    </w:p>
    <w:p>
      <w:pPr>
        <w:pStyle w:val="Normal"/>
      </w:pPr>
      <w:r>
        <w:t>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31-B.5. The complainant Party may not impose remedies until the Panel makes its determination.</w:t>
      </w:r>
    </w:p>
    <w:p>
      <w:pPr>
        <w:pStyle w:val="Normal"/>
      </w:pPr>
      <w:r>
        <w:t>9. If the Parties cannot agree on a course of remediation at the end of the 10-day period, the complainant Party may request a panel verification and determination pursuant to Article 31-B.5.</w:t>
      </w:r>
    </w:p>
    <w:p>
      <w:pPr>
        <w:pStyle w:val="Normal"/>
      </w:pPr>
      <w:r>
        <w:t>10. At any point during the 10-day consultation period, the complainant Party may request that the panel be established, and the panel may proceed to confirm the petition. However, the panel may not issue a request for verification until the 10-day period expires.</w:t>
      </w:r>
    </w:p>
    <w:p>
      <w:pPr>
        <w:pStyle w:val="Heading2"/>
      </w:pPr>
      <w:bookmarkStart w:id="901101" w:name="_Toc300001100"/>
      <w:r>
        <w:t>Article 31-B.5: Requests for Establishment of Rapid Response Labor Panel</w:t>
      </w:r>
      <w:bookmarkEnd w:id="901101"/>
    </w:p>
    <w:p>
      <w:pPr>
        <w:pStyle w:val="Normal"/>
      </w:pPr>
      <w:r>
        <w:t>1. If, after the conditions precedent for the establishment of a panel under Article 31-B.4 are met, the complainant Party continues to have a good faith basis to believe that a Denial of Rights is occurring at a Covered Facility, that Party may submit to the Secretariat a petition:</w:t>
      </w:r>
    </w:p>
    <w:p>
      <w:pPr>
        <w:pStyle w:val="Normal"/>
      </w:pPr>
      <w:r>
        <w:t>(a)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w:t>
      </w:r>
    </w:p>
    <w:p>
      <w:pPr>
        <w:pStyle w:val="Normal"/>
      </w:pPr>
      <w:r>
        <w:t>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pPr>
        <w:pStyle w:val="Heading2"/>
      </w:pPr>
      <w:bookmarkStart w:id="901102" w:name="_Toc300001101"/>
      <w:r>
        <w:t>Article 31-B.6: Confirmation of Petition</w:t>
      </w:r>
      <w:bookmarkEnd w:id="901102"/>
    </w:p>
    <w:p>
      <w:pPr>
        <w:pStyle w:val="Normal"/>
      </w:pPr>
      <w:r>
        <w:t>A panel established under Article 31-B.5 shall have five business days after it is constituted to confirm that the petition:</w:t>
      </w:r>
    </w:p>
    <w:p>
      <w:pPr>
        <w:pStyle w:val="Normal"/>
      </w:pPr>
      <w:r>
        <w:t>(a) identifies a Covered Facility; (b) identifies the respondent Party’s laws relevant to the alleged Denial of Rights; and (c) states the basis for the complainant Party’s good faith belief that there is a Denial of Rights.</w:t>
      </w:r>
    </w:p>
    <w:p>
      <w:pPr>
        <w:pStyle w:val="Heading2"/>
      </w:pPr>
      <w:bookmarkStart w:id="901103" w:name="_Toc300001102"/>
      <w:r>
        <w:t>Article 31-B.7: Verification</w:t>
      </w:r>
      <w:bookmarkEnd w:id="901103"/>
    </w:p>
    <w:p>
      <w:pPr>
        <w:pStyle w:val="Normal"/>
      </w:pPr>
      <w:r>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w:t>
      </w:r>
    </w:p>
    <w:p>
      <w:pPr>
        <w:pStyle w:val="Normal"/>
      </w:pPr>
      <w:r>
        <w:t>2. In cases in which the respondent Party has concluded under Article 31-B.4.5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31-B.4. The complainant Party may respond to the respondent Party’s submission.</w:t>
      </w:r>
    </w:p>
    <w:p>
      <w:pPr>
        <w:pStyle w:val="Normal"/>
      </w:pPr>
      <w:r>
        <w:t>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31-B.4. The complainant Party may respond to the respondent Party’s submission.</w:t>
      </w:r>
    </w:p>
    <w:p>
      <w:pPr>
        <w:pStyle w:val="Normal"/>
      </w:pPr>
      <w:r>
        <w:t>4. In cases in which the respondent Party has determined under Article 31-B.4.6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31-B.4. The complainant Party may respond to the respondent Party’s submission.</w:t>
      </w:r>
    </w:p>
    <w:p>
      <w:pPr>
        <w:pStyle w:val="Normal"/>
      </w:pPr>
      <w:r>
        <w:t>5. The respondent Party shall transmit a copy of the complainant Party’s petition to the owner of the Covered Facility at issue.</w:t>
      </w:r>
    </w:p>
    <w:p>
      <w:pPr>
        <w:pStyle w:val="Normal"/>
      </w:pPr>
      <w:r>
        <w:t>6. The respondent Party shall reply within seven business days whether it consents to the verification request. If the respondent Party does not respond within that time it will be deemed to have refused the request.</w:t>
      </w:r>
    </w:p>
    <w:p>
      <w:pPr>
        <w:pStyle w:val="Normal"/>
      </w:pPr>
      <w:r>
        <w:t>7. If the respondent Party agrees to the verification, the panel shall conduct the verification within 30 days after receipt of the request by the respondent Party. Observers from both Parties may accompany the panel in any on-site verification if both Parties so request.</w:t>
      </w:r>
    </w:p>
    <w:p>
      <w:pPr>
        <w:pStyle w:val="Normal"/>
      </w:pPr>
      <w:r>
        <w:t>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pPr>
        <w:pStyle w:val="Normal"/>
      </w:pPr>
      <w:r>
        <w:t>9. If the respondent Party refuses the request for a verification or does not respond within the period provided for in paragraph 6, the complainant Party may request that the panel make a determination as to whether there is a Denial of Rights.</w:t>
      </w:r>
    </w:p>
    <w:p>
      <w:pPr>
        <w:pStyle w:val="Normal"/>
      </w:pPr>
      <w:r>
        <w:t>10. If the complainant Party makes a petition under Article 31-B.5.1(b), the panel, at its discretion, may request a verification if it considers that a verification is necessary to assist them in making their determination and follow the procedures set out as for a verification request made under this Article.</w:t>
      </w:r>
    </w:p>
    <w:p>
      <w:pPr>
        <w:pStyle w:val="Heading2"/>
      </w:pPr>
      <w:bookmarkStart w:id="901104" w:name="_Toc300001103"/>
      <w:r>
        <w:t>Article 31-B.8: Panel Process and Determination</w:t>
      </w:r>
      <w:bookmarkEnd w:id="901104"/>
    </w:p>
    <w:p>
      <w:pPr>
        <w:pStyle w:val="Normal"/>
      </w:pPr>
      <w:r>
        <w:t>1. The panel shall make a determination, consistent with paragraphs 5, 7, and 8 of Article 31.13 (Function of Panels), as to whether there is a Denial of Rights within:</w:t>
      </w:r>
    </w:p>
    <w:p>
      <w:pPr>
        <w:pStyle w:val="Normal"/>
      </w:pPr>
      <w:r>
        <w:t>(a) 30 days after conducting a verification; or (b) 30 days after it is constituted if there has not been a verification. 2. Before making its determination, the panel shall provide both Parties an opportunity to be heard.</w:t>
      </w:r>
    </w:p>
    <w:p>
      <w:pPr>
        <w:pStyle w:val="Normal"/>
      </w:pPr>
      <w:r>
        <w:t>3. In making its determination, the panel shall take the respondent Party’s refusal to allow a verification into account.</w:t>
      </w:r>
    </w:p>
    <w:p>
      <w:pPr>
        <w:pStyle w:val="Normal"/>
      </w:pPr>
      <w:r>
        <w:t>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w:t>
      </w:r>
    </w:p>
    <w:p>
      <w:pPr>
        <w:pStyle w:val="Normal"/>
      </w:pPr>
      <w:r>
        <w:t>5. The panel’s determination shall be in writing and shall be made public.</w:t>
      </w:r>
    </w:p>
    <w:p>
      <w:pPr>
        <w:pStyle w:val="Heading2"/>
      </w:pPr>
      <w:bookmarkStart w:id="901105" w:name="_Toc300001104"/>
      <w:r>
        <w:t>Article 31-B.9: Consultations and Remediation</w:t>
      </w:r>
      <w:bookmarkEnd w:id="901105"/>
    </w:p>
    <w:p>
      <w:pPr>
        <w:pStyle w:val="Normal"/>
      </w:pPr>
      <w: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pPr>
        <w:pStyle w:val="Heading2"/>
      </w:pPr>
      <w:bookmarkStart w:id="901106" w:name="_Toc300001105"/>
      <w:r>
        <w:t>Article 31-B.10: Remedies</w:t>
      </w:r>
      <w:bookmarkEnd w:id="901106"/>
    </w:p>
    <w:p>
      <w:pPr>
        <w:pStyle w:val="Normal"/>
      </w:pPr>
      <w: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w:t>
      </w:r>
    </w:p>
    <w:p>
      <w:pPr>
        <w:pStyle w:val="Normal"/>
      </w:pPr>
      <w:r>
        <w:t>2. Remedies may include suspension of preferential tariff treatment for goods manufactured at the Covered Facility or the imposition of penalties on goods manufactured at or services provided by the Covered Facility.</w:t>
      </w:r>
    </w:p>
    <w:p>
      <w:pPr>
        <w:pStyle w:val="Normal"/>
      </w:pPr>
      <w:r>
        <w:t>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w:t>
      </w:r>
    </w:p>
    <w:p>
      <w:pPr>
        <w:pStyle w:val="Normal"/>
      </w:pPr>
      <w:r>
        <w:t>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pPr>
        <w:pStyle w:val="Normal"/>
      </w:pPr>
      <w:r>
        <w:t>5. After the imposition of remedies, the Parties shall continue to consult on an ongoing basis in order to ensure the prompt remediation of the Denial of Rights and the removal of remedies.</w:t>
      </w:r>
    </w:p>
    <w:p>
      <w:pPr>
        <w:pStyle w:val="Normal"/>
      </w:pPr>
      <w:r>
        <w:t>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31-B.8. The complainant Party may request a new verification consistent with the procedures set out in Article 31-B.7.</w:t>
      </w:r>
    </w:p>
    <w:p>
      <w:pPr>
        <w:pStyle w:val="Normal"/>
      </w:pPr>
      <w:r>
        <w:t>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pPr>
        <w:pStyle w:val="Heading2"/>
      </w:pPr>
      <w:bookmarkStart w:id="901107" w:name="_Toc300001106"/>
      <w:r>
        <w:t>Article 31-B.11: Good Faith Use of the Mechanism</w:t>
      </w:r>
      <w:bookmarkEnd w:id="901107"/>
    </w:p>
    <w:p>
      <w:pPr>
        <w:pStyle w:val="Normal"/>
      </w:pPr>
      <w: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pPr>
        <w:pStyle w:val="Heading2"/>
      </w:pPr>
      <w:bookmarkStart w:id="901108" w:name="_Toc300001107"/>
      <w:r>
        <w:t>Article 31-B.12: Expansion of Claims</w:t>
      </w:r>
      <w:bookmarkEnd w:id="901108"/>
    </w:p>
    <w:p>
      <w:pPr>
        <w:pStyle w:val="Normal"/>
      </w:pPr>
      <w:r>
        <w:t xml:space="preserve">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w:t>
      </w:r>
      <w:r>
        <w:t xml:space="preserve">Continuous Duration and Periodic Modernization Review</w:t>
      </w:r>
      <w:r>
        <w:t xml:space="preserve">), whichever is later.</w:t>
      </w:r>
    </w:p>
    <w:p>
      <w:pPr>
        <w:pStyle w:val="Heading2"/>
      </w:pPr>
      <w:bookmarkStart w:id="901109" w:name="_Toc300001108"/>
      <w:r>
        <w:t>Article 31-B.13: Review of Priority Sectors</w:t>
      </w:r>
      <w:bookmarkEnd w:id="901109"/>
    </w:p>
    <w:p>
      <w:pPr>
        <w:pStyle w:val="Normal"/>
      </w:pPr>
      <w:r>
        <w:t>The Parties shall review the list of priority sectors on an annual basis and determine whether to add any sectors to the list.</w:t>
      </w:r>
    </w:p>
    <w:p>
      <w:pPr>
        <w:pStyle w:val="Heading2"/>
      </w:pPr>
      <w:bookmarkStart w:id="901110" w:name="_Toc300001109"/>
      <w:r>
        <w:t>Article 31-B.14: Cooperation to Promote Compliance</w:t>
      </w:r>
      <w:bookmarkEnd w:id="901110"/>
    </w:p>
    <w:p>
      <w:pPr>
        <w:pStyle w:val="Normal"/>
      </w:pPr>
      <w:r>
        <w:t>Each Party shall cooperate with, and support efforts by, Covered Facilities to operate in a way to avoid a determination of a Denial of Rights.</w:t>
      </w:r>
    </w:p>
    <w:p>
      <w:pPr>
        <w:pStyle w:val="Heading2"/>
      </w:pPr>
      <w:bookmarkStart w:id="901111" w:name="_Toc300001110"/>
      <w:r>
        <w:t>Article 31-B.15: Definitions</w:t>
      </w:r>
      <w:bookmarkEnd w:id="901111"/>
    </w:p>
    <w:p>
      <w:pPr>
        <w:pStyle w:val="Normal"/>
      </w:pPr>
      <w:r>
        <w:t>For the purposes of this Annex:</w:t>
      </w:r>
    </w:p>
    <w:p>
      <w:pPr>
        <w:pStyle w:val="Normal"/>
      </w:pPr>
      <w:r>
        <w:t>Covered Facilitymeans a facility in the territory of a Party that:</w:t>
      </w:r>
    </w:p>
    <w:p>
      <w:pPr>
        <w:pStyle w:val="Normal"/>
      </w:pPr>
      <w:r>
        <w:t>(i) produces a good or supplies a service traded between the Parties; or (ii) produces a good or supplies a service that competes in the territory of a Party with a good or a service of the other Party, and is a facility in a Priority Sector;</w:t>
      </w:r>
    </w:p>
    <w:p>
      <w:pPr>
        <w:pStyle w:val="Normal"/>
      </w:pPr>
      <w:r>
        <w:t>Party or Parties means Mexico and Canada singly or collectively;</w:t>
      </w:r>
    </w:p>
    <w:p>
      <w:pPr>
        <w:pStyle w:val="Normal"/>
      </w:pPr>
      <w:r>
        <w:t>Priority Sector means a sector that produces manufactured goods,Note de bas de page10 supplies services, or involves mining.”.</w:t>
      </w:r>
    </w:p>
    <w:p>
      <w:pPr>
        <w:pStyle w:val="Normal"/>
      </w:pPr>
      <w:r>
        <w:t>This Protocol shall enter into force on the date on which the Agreement enters into force.</w:t>
      </w:r>
    </w:p>
    <w:p>
      <w:pPr>
        <w:pStyle w:val="Normal"/>
      </w:pPr>
      <w:r>
        <w:t>The English, French, and Spanish texts of this Protocol are equally authentic.</w:t>
      </w:r>
    </w:p>
    <w:p>
      <w:pPr>
        <w:pStyle w:val="Normal"/>
      </w:pPr>
      <w:r>
        <w:t>IN WITNESS WHEREOF, the undersigned, being duly authorized by their respective Governments, have signed this Protocol.</w:t>
      </w:r>
    </w:p>
    <w:p>
      <w:pPr>
        <w:pStyle w:val="Normal"/>
      </w:pPr>
      <w:r>
        <w:t>DONE in triplicate at</w:t>
      </w:r>
    </w:p>
    <w:p>
      <w:pPr>
        <w:pStyle w:val="Normal"/>
      </w:pPr>
      <w:r>
        <w:t>Mexico City, Mexico, on December 10, 2019.</w:t>
      </w:r>
    </w:p>
    <w:p>
      <w:pPr>
        <w:pStyle w:val="Normal"/>
      </w:pPr>
      <w:r>
        <w:t>_____________________________________</w:t>
      </w:r>
    </w:p>
    <w:p>
      <w:pPr>
        <w:pStyle w:val="Normal"/>
      </w:pPr>
      <w:r>
        <w:t>Robert E. Lighthizer</w:t>
      </w:r>
    </w:p>
    <w:p>
      <w:pPr>
        <w:pStyle w:val="Normal"/>
      </w:pPr>
      <w:r>
        <w:t>United States Trade Representative</w:t>
      </w:r>
    </w:p>
    <w:p>
      <w:pPr>
        <w:pStyle w:val="Normal"/>
      </w:pPr>
      <w:r>
        <w:t>FOR THE GOVERNMENT OF THE UNITED STATES OF AMERICA</w:t>
      </w:r>
    </w:p>
    <w:p>
      <w:pPr>
        <w:pStyle w:val="Normal"/>
      </w:pPr>
      <w:r>
        <w:t>_____________________________________</w:t>
      </w:r>
    </w:p>
    <w:p>
      <w:pPr>
        <w:pStyle w:val="Normal"/>
      </w:pPr>
      <w:r>
        <w:t>Chrystia Freeland</w:t>
      </w:r>
    </w:p>
    <w:p>
      <w:pPr>
        <w:pStyle w:val="Normal"/>
      </w:pPr>
      <w:r>
        <w:t>Deputy Prime Minister and Minister of Intergovernmental Affairs</w:t>
      </w:r>
    </w:p>
    <w:p>
      <w:pPr>
        <w:pStyle w:val="Normal"/>
      </w:pPr>
      <w:r>
        <w:t>FOR THE GOVERNMENT OF CANADA</w:t>
      </w:r>
    </w:p>
    <w:p>
      <w:pPr>
        <w:pStyle w:val="Normal"/>
      </w:pPr>
      <w:r>
        <w:t>_____________________________________</w:t>
      </w:r>
    </w:p>
    <w:p>
      <w:pPr>
        <w:pStyle w:val="Normal"/>
      </w:pPr>
      <w:r>
        <w:t>Jesús Seade Kuri</w:t>
      </w:r>
    </w:p>
    <w:p>
      <w:pPr>
        <w:pStyle w:val="Normal"/>
      </w:pPr>
      <w:r>
        <w:t>Under Secretary for North America and Chief Trade Negotiator for North America</w:t>
      </w:r>
    </w:p>
    <w:p>
      <w:pPr>
        <w:pStyle w:val="Normal"/>
      </w:pPr>
      <w:r>
        <w:t>FOR THE GOVERNMENT OF THE UNITED MEXICAN STATES</w:t>
      </w:r>
    </w:p>
    <w:p>
      <w:pPr>
        <w:pStyle w:val="Normal"/>
      </w:pPr>
      <w:r>
        <w:t>Footnotes</w:t>
      </w:r>
    </w:p>
    <w:p>
      <w:pPr>
        <w:pStyle w:val="Normal"/>
      </w:pPr>
      <w:r>
        <w:t>Footnote 1 For the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pPr>
        <w:pStyle w:val="Normal"/>
      </w:pPr>
      <w:r>
        <w:t>Footnote 2 Effective rewards may include providing a period of marketing exclusivity to the first applicant that successfully asserts the invalidity or non-infringement of the patent in accordance with the Party’s marketing approval process.</w:t>
      </w:r>
    </w:p>
    <w:p>
      <w:pPr>
        <w:pStyle w:val="Normal"/>
      </w:pPr>
      <w:r>
        <w:t>Footnote 3 For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pPr>
        <w:pStyle w:val="Normal"/>
      </w:pPr>
      <w:r>
        <w:t>Footnote 4 With respect to the United States, a claim can be brought only with respect to an alleged Denial of Rights owed to workers at a covered facility under an enforced order of the National Labor Relations Board. With respect to Mexico, a claim can be brought only with respect to an alleged Denial of Rights under legislation that complies with Annex 23-A (Worker Representation in Collective Bargaining in Mexico).</w:t>
      </w:r>
    </w:p>
    <w:p>
      <w:pPr>
        <w:pStyle w:val="Normal"/>
      </w:pPr>
      <w:r>
        <w:t>Footnote 5 The United States intends to establish such a domestic process under which the United States government will strive to complete initial reviews of complaints received by the government about a Covered Facility in the other Party in 30 days.</w:t>
      </w:r>
    </w:p>
    <w:p>
      <w:pPr>
        <w:pStyle w:val="Normal"/>
      </w:pPr>
      <w:r>
        <w:t>Footnote 6 For greater certainty, manufactured goods include, but are not limited to, aerospace products and components, autos and auto parts, cosmetic products, industrial baked goods, steel and aluminum, glass, pottery, plastic, forgings, and cement.</w:t>
      </w:r>
    </w:p>
    <w:p>
      <w:pPr>
        <w:pStyle w:val="Normal"/>
      </w:pPr>
      <w:r>
        <w:t>Footnote 7 With respect to Canada, a claim can be brought only with respect to an alleged Denial of Rights owed to workers at a covered facility under an enforced order of the Canada Industrial Relations Board. With respect to Mexico, a claim can be brought only with respect to an alleged Denial of Rights under legislation that complies with Annex 23-A (Worker Representation in Collective Bargaining in Mexico).</w:t>
      </w:r>
    </w:p>
    <w:p>
      <w:pPr>
        <w:pStyle w:val="Normal"/>
      </w:pPr>
      <w:r>
        <w:t>Footnote 8 Canada intends to establish such a domestic process under which the Canadian government will strive to complete initial reviews of complaints received by the government about a Covered Facility in the other Party in 30 days.</w:t>
      </w:r>
    </w:p>
    <w:p>
      <w:pPr>
        <w:pStyle w:val="Normal"/>
      </w:pPr>
      <w:r>
        <w:t>Footnote 9 For Canada, this paragraph will be applied with the necessary changes to conform with Canadian law.</w:t>
      </w:r>
    </w:p>
    <w:p>
      <w:pPr>
        <w:pStyle w:val="Normal"/>
      </w:pPr>
      <w:r>
        <w:t>Footnote 10 For greater certainty, manufactured goods include, but are not limited to, aerospace products and components, autos and auto parts, cosmetic products, industrial baked goods, steel and aluminum, glass, pottery, plastic, forgings, and cement.</w:t>
      </w:r>
    </w:p>
    <w:p>
      <w:pPr>
        <w:pStyle w:val="Heading2"/>
      </w:pPr>
      <w:bookmarkStart w:id="901112" w:name="_Toc300001111"/>
      <w:r>
        <w:t>PART B: CANADA–UNITED STATES ENERGY REGULATORY MEASURES AND REGULATORY TRANSPARENCY</w:t>
      </w:r>
      <w:bookmarkEnd w:id="901112"/>
    </w:p>
    <w:p>
      <w:pPr>
        <w:pStyle w:val="Normal"/>
      </w:pPr>
      <w:r>
        <w:t>ANNEX</w:t>
      </w:r>
    </w:p>
    <w:p>
      <w:pPr>
        <w:pStyle w:val="Normal"/>
      </w:pPr>
      <w:r>
        <w:t>ENERGY REGULATORY MEASURES AND REGULATORY TRANSPARENCY</w:t>
      </w:r>
    </w:p>
    <w:p>
      <w:pPr>
        <w:pStyle w:val="InstrumentArticle"/>
      </w:pPr>
      <w:bookmarkStart w:id="901113" w:name="_Toc300001112"/>
      <w:r>
        <w:t>Article 1: Definitions</w:t>
      </w:r>
      <w:bookmarkEnd w:id="901113"/>
    </w:p>
    <w:p>
      <w:pPr>
        <w:pStyle w:val="Normal"/>
      </w:pPr>
      <w:r>
        <w:t>For the purposes of this Annex: authorization means a permission, license or similar administrative or contractual instrument by which a competent regulatory authority of a Party entitles a person to exercise a certain economic activity in its territory; electric transmission facility means a transmission element that is operated at 100kV or higher, or real power and reactive power resources connected at 100kV or higher, that are subject to an energy regulatory authority of a Party’s central level of government with respect to tolls, rates, or charges for services provided over those elements. These transmission elements do not include facilities used in the local distribution of electric energy; energy regulatory measure means a measure adopted or maintained by a Party’s central level of government that directly affects the exploration for, or production, storage,1 transportation, transmission or distribution, purchase or sale, import or export of oil,2 natural gas, hydrocarbon gas liquids, coal, electricity, refined petroleum products, biofuels, and uranium, but does not include measures related to energy efficiency; monetary payment means a payment, in cash or its equivalent in kind, required by law or regulation to be made by a person to a Party’s central level of government in connection with an application for or authorization to participate in energy-related activities in its territory; Party refers to the United States or Canada;</w:t>
      </w:r>
    </w:p>
    <w:p>
      <w:pPr>
        <w:pStyle w:val="Normal"/>
      </w:pPr>
      <w:r>
        <w:t>pipeline network means a line transporting oil, natural gas, refined petroleum products or hydrocarbon gas liquids in a Party’s territory, or across sub-national or international boundaries, and includes associated facilities such as pumps and other compressor stations and storage tanks regulated by an energy regulatory authority of the Party; renewable energy means energy derived from natural processes that are replenished at a higher rate than they are consumed. They are virtually inexhaustible. Renewable energy resources 1 For greater certainty, storage does not include reservoir water levels for hydro-electric dams. 2 For greater certainty, oil includes crude oil, bitumen, condensates, and other oil-derived fuels.</w:t>
      </w:r>
    </w:p>
    <w:p>
      <w:pPr>
        <w:pStyle w:val="Normal"/>
      </w:pPr>
      <w:r>
        <w:t>include biomass, waste carbon streams, hydro, geothermal, solar, wind, ocean thermal, wave action, and tidal action. Renewable energy also includes renewable fuels and renewable fuel blending components in petroleum-based fuels, such as renewable diesel fuel, fuel ethanol, and advanced and cellulosic biofuels, produced from renewable biomass; and unduly discriminatory or unduly preferential means differential treatment of like products, or differential treatment of service suppliers, investors, or investments in like circumstances, that constitute arbitrary or unjustifiable discrimination within the meaning of Article XX of the GATT 1994 and its interpretive notes or Article XIV of GATS, as applicable.</w:t>
      </w:r>
    </w:p>
    <w:p>
      <w:pPr>
        <w:pStyle w:val="InstrumentArticle"/>
      </w:pPr>
      <w:bookmarkStart w:id="901114" w:name="_Toc300001113"/>
      <w:r>
        <w:t>Article 2: Scope</w:t>
      </w:r>
      <w:bookmarkEnd w:id="901114"/>
    </w:p>
    <w:p>
      <w:pPr>
        <w:pStyle w:val="Normal"/>
      </w:pPr>
      <w:r>
        <w:t>This Annex applies to energy regulatory measures proposed, maintained, or adopted by a Party’s central level of government.</w:t>
      </w:r>
    </w:p>
    <w:p>
      <w:pPr>
        <w:pStyle w:val="InstrumentArticle"/>
      </w:pPr>
      <w:bookmarkStart w:id="901115" w:name="_Toc300001114"/>
      <w:r>
        <w:t>Article 3: Cooperation</w:t>
      </w:r>
      <w:bookmarkEnd w:id="901115"/>
    </w:p>
    <w:p>
      <w:pPr>
        <w:pStyle w:val="Normal"/>
      </w:pPr>
      <w:r>
        <w:t>The Parties recognize the importance of enhancing the integration of North American energy markets based on market principles, including open trade and investment among the Parties, to support North American energy competitiveness, security, and independence. The Parties shall endeavor to promote North American energy cooperation, including with respect to energy security and efficiency, standards, joint analysis, and the development of common approaches.</w:t>
      </w:r>
    </w:p>
    <w:p>
      <w:pPr>
        <w:pStyle w:val="InstrumentArticle"/>
      </w:pPr>
      <w:bookmarkStart w:id="901116" w:name="_Toc300001115"/>
      <w:r>
        <w:t>Article 4: Energy Regulatory Measures and Regulatory Transparency</w:t>
      </w:r>
      <w:bookmarkEnd w:id="901116"/>
    </w:p>
    <w:p>
      <w:pPr>
        <w:pStyle w:val="Normal"/>
      </w:pPr>
      <w:r>
        <w:t>1. Each Party shall maintain or establish regulatory authorities that are separate from, and not accountable to, persons subject to energy regulatory measures. 2. Each Party shall endeavor to ensure that in the application of a energy regulatory measure, a energy regulatory authority within its territory avoids disruption of contractual relationships to the maximum extent practicable, supports North American energy market integration, and provides for orderly and equitable implementation appropriate to those measures.3 3 This paragraph does not apply to a measure related exclusively to the protection of human health or the environment.</w:t>
      </w:r>
    </w:p>
    <w:p>
      <w:pPr>
        <w:pStyle w:val="Normal"/>
      </w:pPr>
      <w:r>
        <w:t>3. A Party may require an authorization to participate in energy-related activities in its territory. 4. If a Party requires an authorization referred to in paragraph 3, it shall ensure that information prescribed in its law relevant to the authorization process is published, including: (a) the process for applying; (b) any monetary payment associated with the application; (c) the regulatory authority to which an application or other relevant documentation must be submitted; (d) criteria an applicant must meet to obtain an authorization; (e) criteria to be considered in determining if an authorization should be granted; (f) applicable timelines; and (g) a contact point from which applicants can obtain further information on their application for an authorization. 5. Each Party shall endeavor to administer its process for obtaining an authorization referred to in paragraph 3 in accordance with the information published pursuant to paragraph 4. 6. Each Party shall endeavor to ensure that energy-related activities that do not result in a facility exceeding its previously authorized capacity and that are limited to performing maintenance work on, or ensuring the safety of, existing cross-border infrastructure may be undertaken under the initial authorization and shall not require a new authorization. 7. A Party may require a person that has been granted an authorization referred to in paragraph 3 to make a reasonable monetary payment. Each Party shall ensure that the monetary</w:t>
      </w:r>
    </w:p>
    <w:p>
      <w:pPr>
        <w:pStyle w:val="Normal"/>
      </w:pPr>
      <w:r>
        <w:t>payment and any changes to it are determined in a transparent manner with reasonable advance notice so as to provide legal certainty for the person which has been granted that authorization, in accordance with the applicable law of the authorizing Party. If recovery of administrative costs is provided for in the Party’s law, these costs do not have to be determined in advance.</w:t>
      </w:r>
    </w:p>
    <w:p>
      <w:pPr>
        <w:pStyle w:val="Normal"/>
      </w:pPr>
      <w:r>
        <w:t>8. Each Party shall provide that the applicant for an authorization referred to in paragraph 3 has a right of appeal or judicial review of the decision concerning the authorization by an authority independent from the authority that issued the decision, in accordance with its law. 4</w:t>
      </w:r>
    </w:p>
    <w:p>
      <w:pPr>
        <w:pStyle w:val="InstrumentArticle"/>
      </w:pPr>
      <w:bookmarkStart w:id="901117" w:name="_Toc300001116"/>
      <w:r>
        <w:t>Article 5: Access to Electric Transmission Facilities and Pipeline Networks</w:t>
      </w:r>
      <w:bookmarkEnd w:id="901117"/>
    </w:p>
    <w:p>
      <w:pPr>
        <w:pStyle w:val="Normal"/>
      </w:pPr>
      <w:r>
        <w:t>1. Each Party shall ensure that a measure governing access to or use of electric transmission facilities and pipeline networks: (a) accords access to those facilities and pipeline networks for the purposes of importation from another Party, that is neither unduly discriminatory nor unduly preferential; and (b) to the extent that tolls, rates, or charges are set, assessed, approved, or subject to oversight by a Party, establish that any tolls, rates, or charges payable for that access are just, reasonable, and neither unduly discriminatory nor unduly preferential. 2. The United States shall ensure that the Intertie Access Policy of the Bonneville Power Administration affords British Columbia Hydro treatment no less favorable than the most favorable treatment afforded to utilities located outside the Pacific Northwest.</w:t>
      </w:r>
    </w:p>
    <w:p>
      <w:pPr>
        <w:pStyle w:val="InstrumentArticle"/>
      </w:pPr>
      <w:bookmarkStart w:id="901118" w:name="_Toc300001117"/>
      <w:r>
        <w:t>Article 6: Relation to other Chapters</w:t>
      </w:r>
      <w:bookmarkEnd w:id="901118"/>
    </w:p>
    <w:p>
      <w:pPr>
        <w:pStyle w:val="Normal"/>
      </w:pPr>
      <w:r>
        <w:t>For greater certainty, Article 4 (Energy Regulatory Measures and Regulatory Transparency) and Article 5 (Access to Electric Transmission Facilities and Pipeline Networks) are: (a) subject to the relevant provisions, exceptions and non-conforming measures of Chapter 14 (Investment), Chapter 15 (Cross-Border Trade in Services) and Chapter 2 (National Treatment and Market Access for Goods), and Article 32.1 (General Exceptions) of the Agreement; and (b) to be read in conjunction with any other relevant provisions in the Agreement. 4 This paragraph does not apply to authorizations for the construction, connection, operation, or maintenance of cross-border infrastructure, including electric transmission facilities and pipeline networks, at international boundaries.</w:t>
      </w:r>
    </w:p>
    <w:p>
      <w:pPr>
        <w:pStyle w:val="Heading2"/>
      </w:pPr>
      <w:bookmarkStart w:id="901119" w:name="_Toc300001118"/>
      <w:r>
        <w:t>PART C: CANADA–UNITED STATES NATURAL WATER RESOURCES UNDERSTANDING</w:t>
      </w:r>
      <w:bookmarkEnd w:id="901119"/>
    </w:p>
    <w:p>
      <w:pPr>
        <w:pStyle w:val="Normal"/>
      </w:pPr>
      <w:r>
        <w:t>The Agreement Between the United States of America, the United Mexican States, and Canada (the Agreement) creates no rights to the natural water resources of a Party to the Agreement. Unless water, in any form, has entered into commerce and become a good or product, it is not covered by the provisions of the Agreement. Nothing in the Agreement would oblige a Party to exploit its water for commercial use, including its withdrawal, extraction, or diversion for export in bulk. International rights and obligations respecting natural water resources are addressed in separate treaties and agreements. An example is the Treaty between the United States and Great Britain Relating to the Boundary Waters and Questions Arising between the United States and Canada, done at Washington on January 11, 1909.</w:t>
      </w:r>
    </w:p>
    <w:p>
      <w:pPr>
        <w:pStyle w:val="Heading2"/>
      </w:pPr>
      <w:bookmarkStart w:id="901120" w:name="_Toc300001119"/>
      <w:r>
        <w:t>PART D: CANADA–UNITED STATES 2004 RESEARCH AND DEVELOPMENT EXPENDITURES UNDERSTANDING</w:t>
      </w:r>
      <w:bookmarkEnd w:id="901120"/>
    </w:p>
    <w:p>
      <w:pPr>
        <w:pStyle w:val="Normal"/>
      </w:pPr>
      <w:r>
        <w:t>The Guidelines for Research and Development Expenditures, 2004, would not be listed as a non-conforming measure in Canada’s reservation I-C-14. The United States confirms that Canada’s maintenance of the Guidelines for Research and Development Expenditures, 2004, will not serve as an impediment to the United States’ certification of the Agreement Between the United States of America, the United Mexican States, and Canada (the Agreement) under the Bipartisan Congressional Trade Priorities and Accountability Act of 2015. This confirmation is without prejudice to the United States’ or Canada’s position as to whether the Guidelines for Research and Development Expenditures, 2004, are consistent with the Agreement.</w:t>
      </w:r>
    </w:p>
    <w:p>
      <w:pPr>
        <w:pStyle w:val="Heading2"/>
      </w:pPr>
      <w:bookmarkStart w:id="901121" w:name="_Toc300001120"/>
      <w:r>
        <w:t>PART E: AGREEMENT ON ENVIRONMENTAL COOPERATION (COMPANION AGREEMENT; REPRODUCED FOR OPERATIONAL COMPLETENESS)</w:t>
      </w:r>
      <w:bookmarkEnd w:id="901121"/>
    </w:p>
    <w:p>
      <w:pPr>
        <w:pStyle w:val="Normal"/>
      </w:pPr>
      <w:r>
        <w:t>Agreement on Environmental Cooperation among the Governments of Canada, the United States of America, and the United Mexican States The Government of Canada, the Government of the United States of America, and the Government of the United Mexican States (collectively the “Parties”);</w:t>
      </w:r>
    </w:p>
    <w:p>
      <w:pPr>
        <w:pStyle w:val="Normal"/>
      </w:pPr>
      <w:r>
        <w:t>CONVINCED of the importance of the conservation, protection and enhancement of the environment in their territories, together with the sustainable management and use of natural resources, in achieving sustainable development;</w:t>
      </w:r>
    </w:p>
    <w:p>
      <w:pPr>
        <w:pStyle w:val="Normal"/>
      </w:pPr>
      <w:r>
        <w:t>RECOGNIZING the unique environmental, economic, and social links among them, including under the Agreement between Canada, the United States of America, and the United Mexican States (the CUSMA) and its environmental goals and objectives;</w:t>
      </w:r>
    </w:p>
    <w:p>
      <w:pPr>
        <w:pStyle w:val="Normal"/>
      </w:pPr>
      <w:r>
        <w:t>EMPHASIZING the importance of green growth, including its economic, health and environmental benefits, in achieving a competitive and sustainable North American economy;</w:t>
      </w:r>
    </w:p>
    <w:p>
      <w:pPr>
        <w:pStyle w:val="Normal"/>
      </w:pPr>
      <w:r>
        <w:t>RECALLING the importance of public participation that is inclusive and diverse;</w:t>
      </w:r>
    </w:p>
    <w:p>
      <w:pPr>
        <w:pStyle w:val="Normal"/>
      </w:pPr>
      <w:r>
        <w:t>AFFIRMING the long history of environmental cooperation between the Parties under the North American Agreement on Environmental Cooperation, signed at Mexico City, Washington, D.C., and Ottawa, September 8, 9, 12, and 14, 1993, (the NAAEC) and expressing their desire to build on this engagement; and</w:t>
      </w:r>
    </w:p>
    <w:p>
      <w:pPr>
        <w:pStyle w:val="Normal"/>
      </w:pPr>
      <w:r>
        <w:t>CONVINCED of the importance of the Commission for Environmental Cooperation (Commission) and of the benefits of a continued framework to facilitate environmental cooperation;</w:t>
      </w:r>
    </w:p>
    <w:p>
      <w:pPr>
        <w:pStyle w:val="Normal"/>
      </w:pPr>
      <w:r>
        <w:t>Have agreed as follows:</w:t>
      </w:r>
    </w:p>
    <w:p>
      <w:pPr>
        <w:pStyle w:val="InstrumentArticle"/>
      </w:pPr>
      <w:bookmarkStart w:id="901122" w:name="_Toc300001121"/>
      <w:r>
        <w:t>PART ONE: OBJECTIVES</w:t>
      </w:r>
      <w:bookmarkEnd w:id="901122"/>
    </w:p>
    <w:p>
      <w:pPr>
        <w:pStyle w:val="InstrumentArticle"/>
      </w:pPr>
      <w:bookmarkStart w:id="901123" w:name="_Toc300001122"/>
      <w:r>
        <w:t>Article 1: Objectives</w:t>
      </w:r>
      <w:bookmarkEnd w:id="901123"/>
    </w:p>
    <w:p>
      <w:pPr>
        <w:pStyle w:val="Normal"/>
      </w:pPr>
      <w:r>
        <w:t>The objectives of this Agreement are to:</w:t>
      </w:r>
    </w:p>
    <w:p>
      <w:pPr>
        <w:pStyle w:val="Normal"/>
      </w:pPr>
      <w:r>
        <w:t>(a) seek ways to modernize and enhance the effectiveness of environmental cooperation between the Parties, building upon their long history of environmental cooperation; (b) use environmental cooperation as a means to promote mutually supportive trade and environment policies, including by supporting implementation of the environmental goals and objectives of the CUSMA; (c) strengthen cooperation between the Parties to conserve, protect, and enhance the environment and address environmental challenges and priorities; (d) promote cooperation on and public participation in the development of environmental laws, regulations, procedures, policies, and practices; and (e) strengthen cooperation related to compliance with, and enforcement of, environmental laws and regulations.</w:t>
      </w:r>
    </w:p>
    <w:p>
      <w:pPr>
        <w:pStyle w:val="InstrumentArticle"/>
      </w:pPr>
      <w:bookmarkStart w:id="901124" w:name="_Toc300001123"/>
      <w:r>
        <w:t>PART TWO: COMMISSION FOR ENVIRONMENTAL COOPERATION</w:t>
      </w:r>
      <w:bookmarkEnd w:id="901124"/>
    </w:p>
    <w:p>
      <w:pPr>
        <w:pStyle w:val="InstrumentArticle"/>
      </w:pPr>
      <w:bookmarkStart w:id="901125" w:name="_Toc300001124"/>
      <w:r>
        <w:t>Article 2: The Commission for Environmental Cooperation</w:t>
      </w:r>
      <w:bookmarkEnd w:id="901125"/>
    </w:p>
    <w:p>
      <w:pPr>
        <w:pStyle w:val="Normal"/>
      </w:pPr>
      <w:r>
        <w:t>The Parties shall continue to participate in the Commission, originally established under the NAAEC. The Parties hereby agree to continue the operation of the Commission in accordance with this Agreement. The Commission shall comprise a Council, a Secretariat, and a Joint Public Advisory Committee. The Commission will continue to operate under the modalities in place as of entry into force of this Agreement, including its rules, policies, guidelines, procedures, and resolutions, to the extent these modalities are consistent with this Agreement. The Council shall adjust, as required, these modalities to reflect and implement the provisions of this Agreement. If there is an inconsistency between these modalities and the provisions of this Agreement, the provisions of this Agreement shall prevail. Any submission made pursuant to Article 14 of the NAAEC and not concluded as of entry into force of this Agreement shall continue in accordance with the procedures established under Articles 14 and 15 of the NAAEC, unless the Council decides otherwise.</w:t>
      </w:r>
    </w:p>
    <w:p>
      <w:pPr>
        <w:pStyle w:val="InstrumentArticle"/>
      </w:pPr>
      <w:bookmarkStart w:id="901126" w:name="_Toc300001125"/>
      <w:r>
        <w:t>Article 3: Council Structures and Procedures</w:t>
      </w:r>
      <w:bookmarkEnd w:id="901126"/>
    </w:p>
    <w:p>
      <w:pPr>
        <w:pStyle w:val="Normal"/>
      </w:pPr>
      <w:r>
        <w:t>The Council shall comprise cabinet-level or equivalent representatives responsible for environmental affairs of the Parties, or their designees. Each Party shall designate an office or offices to carry out the work of the Council. The Council shall convene: (a) in regular session, held at least once a year, unless the Council decides otherwise; and (b) in a special session at the request of any Party. Regular sessions of the Council shall be chaired successively by each Party, rotating annually, and shall meet in the country of the representative that is chairing the Council, unless the Council decides otherwise. The Council shall hold public meetings in the course of all regular sessions. Other meetings held in the course of regular or special sessions shall be public where the Council so decides. The Council may also conduct its official work through other means, such as video conferences, conference calls, and electronically. The Council may: (a) establish and assign responsibilities to ad hoc or standing committees, working groups or expert groups; (b) seek the advice of non-governmental organizations or persons, including independent experts; and (c) take other action in the exercise of its functions as the Parties may decide. The Council shall take all decisions and recommendations by consensus, except as the Council may otherwise decide or as otherwise provided for in this Agreement.</w:t>
      </w:r>
    </w:p>
    <w:p>
      <w:pPr>
        <w:pStyle w:val="Normal"/>
      </w:pPr>
      <w:r>
        <w:t>All decisions and recommendations of the Council shall be made publicly available, except as the Council may otherwise decide or as otherwise provided for in this Agreement.</w:t>
      </w:r>
    </w:p>
    <w:p>
      <w:pPr>
        <w:pStyle w:val="InstrumentArticle"/>
      </w:pPr>
      <w:bookmarkStart w:id="901127" w:name="_Toc300001126"/>
      <w:r>
        <w:t>Article 4: Council Functions</w:t>
      </w:r>
      <w:bookmarkEnd w:id="901127"/>
    </w:p>
    <w:p>
      <w:pPr>
        <w:pStyle w:val="Normal"/>
      </w:pPr>
      <w:r>
        <w:t>The Council shall be the governing body of the Commission and shall: (a) serve as a forum for the discussion of, and collaboration on, environmental matters within the scope of this Agreement; (b) oversee the implementation of this Agreement and develop recommendations on the further elaboration of this Agreement; (c) oversee the Secretariat and direct and approve its activities; (d) address questions and differences that may arise between the Parties regarding the interpretation or application of this Agreement; (e) approve the annual budget of the Commission; (f) promote, facilitate, and provide guidance on how to enhance cooperation amongst the Parties with respect to environmental matters; (g) establish strategic priorities for cooperative activities; (h) develop and approve a Work Program, as described in Article 10, in accordance with strategic priorities established under sub-paragraph (g); (i) examine and evaluate cooperative activities; (j) consider and develop recommendations regarding transboundary and border environmental issues; (k) consider and develop recommendations on any other environmental topic as the Council may decide; (l) provide instruction to the Secretariat with respect to the preparation and publication of factual records in accordance with Article 24.28 (Factual Records and Related Cooperation) of the Environment Chapter of the CUSMA; (m) consider cooperation relevant to the topics addressed in factual records resulting from submissions on enforcement matters under the Environment Chapter of the CUSMA; and</w:t>
      </w:r>
    </w:p>
    <w:p>
      <w:pPr>
        <w:pStyle w:val="Normal"/>
      </w:pPr>
      <w:r>
        <w:t>(n) promote the visibility of the Commission. The Council shall undertake a review of the implementation of this Agreement with a view to improving its operation and effectiveness within five years of the entry into force of this Agreement, and thereafter as decided by the Council. The Council may instruct the Secretariat to prepare a report on the state of the environment in North America. The Council may also develop recommendations on approaches and common indicators for such a report. In discharging its functions, the Council may periodically exchange information with the Environment Committee established under Article 24.26.2 (Environment Committee and Contact Points) of the Environment Chapter of the CUSMA. The Council may consider the input it receives from the Environment Committee regarding the implementation of that Chapter under Article 24.26.3(b). 5. The Parties recognize the importance of resource efficiency in the implementation of the Agreement and the desirability of using new technologies to facilitate the work of the Commission, including cooperative activities.</w:t>
      </w:r>
    </w:p>
    <w:p>
      <w:pPr>
        <w:pStyle w:val="InstrumentArticle"/>
      </w:pPr>
      <w:bookmarkStart w:id="901128" w:name="_Toc300001127"/>
      <w:r>
        <w:t>Article 5: Secretariat Structure and Procedures</w:t>
      </w:r>
      <w:bookmarkEnd w:id="901128"/>
    </w:p>
    <w:p>
      <w:pPr>
        <w:pStyle w:val="Normal"/>
      </w:pPr>
      <w:r>
        <w:t>The Secretariat shall be headed by an Executive Director, chosen by the Council for a three-year term, which may be renewed by the Council. The Executive Director shall appoint and supervise the staff of the Secretariat, regulate their powers and duties, and fix their remuneration in accordance with rules of employment established by the Council. The rules of employment shall provide that: (a) staff shall be appointed and retained, and their conditions of employment shall be determined, strictly on the basis of efficiency, competence, and integrity; (b) due regard shall be paid to the importance of recruiting a diverse pool of applicants, including with respect to gender balance, and an equitable proportion of the professional staff from among the nationals of each Party; and (c) the Executive Director shall inform the Council of all appointments. The Council may decide, by a two-thirds vote, to reject any appointment that does not meet the rules of employment. Any such decision shall be made and held in confidence. The Secretariat shall provide technical, administrative, and operational support to the Council and to committees and groups established by the Council, and other support as the Council may direct. The Secretariat shall carry out the functions prescribed for it under Articles 24.27 (Submissions on Enforcement Matters) and 24.28 (Factual Records and Related Cooperation) of the Environment Chapter of the CUSMA.</w:t>
      </w:r>
    </w:p>
    <w:p>
      <w:pPr>
        <w:pStyle w:val="Normal"/>
      </w:pPr>
      <w:r>
        <w:t>The Executive Director shall submit for the approval of the Council the annual budget of the Commission, including provision for proposed cooperative activities and for the Secretariat to respond to contingencies. The Secretariat shall coordinate and facilitate environmental cooperation between and among the Parties as directed by the Council.</w:t>
      </w:r>
    </w:p>
    <w:p>
      <w:pPr>
        <w:pStyle w:val="InstrumentArticle"/>
      </w:pPr>
      <w:bookmarkStart w:id="901129" w:name="_Toc300001128"/>
      <w:r>
        <w:t>Article 6: The Joint Public Advisory Committee</w:t>
      </w:r>
      <w:bookmarkEnd w:id="901129"/>
    </w:p>
    <w:p>
      <w:pPr>
        <w:pStyle w:val="Normal"/>
      </w:pPr>
      <w:r>
        <w:t>The Joint Public Advisory Committee shall comprise nine members, unless the Council decides otherwise, with an equal number of nationals appointed by each Party. The Joint Public Advisory Committee shall choose its own chair. Each member shall have a four-year term with the possibility of an additional term decided by the Party appointing the member. Each Party shall seek to promote membership from a diverse pool of candidates, including with respect to gender balance, and considering representatives from all segments of each Party’s society, including non-governmental organizations, academia, the private sector, indigenous peoples, private citizens, and youth. The Joint Public Advisory Committee shall convene in person or by technological means as appropriate at the time of the regular session of the Council and at such other times as the Council, or the Committee’s chair with the consent of a majority of its members, may decide. The Joint Public Advisory Committee may provide advice to the Council on matters within the scope of this Agreement, and may perform such other functions as the Council may direct. The Joint Public Advisory Committee, in coordination with the Secretariat, shall help promote and enhance public participation in the implementation of this Agreement. The Joint Public Advisory Committee shall, in consultation with the Council, develop an annual plan of activities.</w:t>
      </w:r>
    </w:p>
    <w:p>
      <w:pPr>
        <w:pStyle w:val="InstrumentArticle"/>
      </w:pPr>
      <w:bookmarkStart w:id="901130" w:name="_Toc300001129"/>
      <w:r>
        <w:t>Article 7: Official Languages</w:t>
      </w:r>
      <w:bookmarkEnd w:id="901130"/>
    </w:p>
    <w:p>
      <w:pPr>
        <w:pStyle w:val="Normal"/>
      </w:pPr>
      <w:r>
        <w:t>English, French, and Spanish shall be the official languages of the Commission.</w:t>
      </w:r>
    </w:p>
    <w:p>
      <w:pPr>
        <w:pStyle w:val="InstrumentArticle"/>
      </w:pPr>
      <w:bookmarkStart w:id="901131" w:name="_Toc300001130"/>
      <w:r>
        <w:t>Article 8: Annual Report of the Commission</w:t>
      </w:r>
      <w:bookmarkEnd w:id="901131"/>
    </w:p>
    <w:p>
      <w:pPr>
        <w:pStyle w:val="Normal"/>
      </w:pPr>
      <w:r>
        <w:t>The Secretariat shall prepare an annual executive report to the Council on the activities of the Commission in accordance with instructions from the Council. This report shall be made publicly available. The report shall cover: (a) outcomes of cooperative activities during the previous year; (b) expenses of the Commission; (c) outcomes of Joint Public Advisory Committee activities; and (d) any other matter that the Council instructs the Secretariat to include.</w:t>
      </w:r>
    </w:p>
    <w:p>
      <w:pPr>
        <w:pStyle w:val="InstrumentArticle"/>
      </w:pPr>
      <w:bookmarkStart w:id="901132" w:name="_Toc300001131"/>
      <w:r>
        <w:t>PART THREE: COOPERATION</w:t>
      </w:r>
      <w:bookmarkEnd w:id="901132"/>
    </w:p>
    <w:p>
      <w:pPr>
        <w:pStyle w:val="InstrumentArticle"/>
      </w:pPr>
      <w:bookmarkStart w:id="901133" w:name="_Toc300001132"/>
      <w:r>
        <w:t>Article 9: Modalities and Forms of Cooperation</w:t>
      </w:r>
      <w:bookmarkEnd w:id="901133"/>
    </w:p>
    <w:p>
      <w:pPr>
        <w:pStyle w:val="Normal"/>
      </w:pPr>
      <w:r>
        <w:t>Cooperation developed under this Agreement may occur through activities such as:</w:t>
      </w:r>
    </w:p>
    <w:p>
      <w:pPr>
        <w:pStyle w:val="Normal"/>
      </w:pPr>
      <w:r>
        <w:t>(a) the exchange of delegations, professionals, technicians, and specialists from the academic sector, nongovernmental organizations, private sector, and governments, including through study visits to strengthen the development, implementation, and assessment of environmental and natural resource policies, practices, and standards; (b) the organization of conferences, seminars, workshops, meetings, training sessions, and outreach and education programs; (c) the development of programs, projects, and activities, including technological and practical demonstrations, applied research projects, studies, and reports; (d) the facilitation of partnerships, linkages, or other new channels, for the development and transfer of knowledge and technologies among representatives from academia, private sector, indigenous peoples and local communities, intergovernmental and nongovernmental organizations, and national and subnational governments to promote the development and exchange of best practices, and environmental information and data likely to be of interest to the Parties, and capacity building (e) the collection, publication and exchange of information on environmental policies, laws, standards, regulations, indicators, national environmental programs and compliance and enforcement mechanisms; and (f) any other form of environmental cooperation as the Parties may decide.</w:t>
      </w:r>
    </w:p>
    <w:p>
      <w:pPr>
        <w:pStyle w:val="InstrumentArticle"/>
      </w:pPr>
      <w:bookmarkStart w:id="901134" w:name="_Toc300001133"/>
      <w:r>
        <w:t>Article 10: Work Program</w:t>
      </w:r>
      <w:bookmarkEnd w:id="901134"/>
    </w:p>
    <w:p>
      <w:pPr>
        <w:pStyle w:val="Normal"/>
      </w:pPr>
      <w:r>
        <w:t>1. The Council shall develop and approve strategic priorities of the Commission. The Council shall take into account, as appropriate, commitments under the Environment Chapter of the CUSMA, the results of any regional state of the environment reporting, public input; and international, regional, and national environmental efforts.</w:t>
      </w:r>
    </w:p>
    <w:p>
      <w:pPr>
        <w:pStyle w:val="Normal"/>
      </w:pPr>
      <w:r>
        <w:t>2. The Council shall define the Work Program, establishing specific goals, objectives, and areas for cooperation. The Work Program may include short-, medium- and long-term cooperative activities in areas such as:</w:t>
      </w:r>
    </w:p>
    <w:p>
      <w:pPr>
        <w:pStyle w:val="Normal"/>
      </w:pPr>
      <w:r>
        <w:t>Strengthening environmental governance</w:t>
      </w:r>
    </w:p>
    <w:p>
      <w:pPr>
        <w:pStyle w:val="Normal"/>
      </w:pPr>
      <w:r>
        <w:t>(a) enhancing environmental compliance and effective enforcement of environmental laws; (b) addressing issues of mutual interest related to multilateral environmental agreements; (c) promoting public participation in environmental and natural resources observation, decision-making, protection, and enforcement of laws, including through public access to information; (d) strengthening capacity to respond to natural disasters, environmental emergencies, and extreme weather events; (e) promoting pollution prevention techniques and strategies, and, where appropriate, the internalization of environmental costs and accountability for environmental harms; (f) promoting the development and implementation of laws and policies that provide for high levels of environmental protection, including consideration of regional approaches to state of the environment indicators; (g) strengthening cooperation on environmental impact assessments of proposed transboundary projects; Reducing pollution and supporting strong, low emissions, resilient economies</w:t>
      </w:r>
    </w:p>
    <w:p>
      <w:pPr>
        <w:pStyle w:val="Normal"/>
      </w:pPr>
      <w:r>
        <w:t>(h) reducing pollution in the marine environment, including ship-related pollution and marine litter; (i) protecting the ozone layer, including by controlling the production and consumption of, and trade in, ozone depleting substances; (j) addressing transboundary environmental issues and promoting clean air, clean water, and clean soil; (k) the restoration and conservation of soils; (l) the sound management of chemicals and waste, including transboundary movements of hazardous waste, and the lifecycle management of, and trade in, reusable, recoverable, and recyclable materials; (m) promoting energy efficiency; development of cost-effective, low emissions technologies; all clean, efficient energy sources that enhance energy security; market mechanisms; sustainable transport and sustainable urban infrastructure development; addressing deforestation and forest degradation; emissions monitoring; low emissions, resilient development; and sharing of information and experiences in addressing these issues; Conserving and protecting biodiversity and habitats</w:t>
      </w:r>
    </w:p>
    <w:p>
      <w:pPr>
        <w:pStyle w:val="Normal"/>
      </w:pPr>
      <w:r>
        <w:t>(n) the conservation, protection and sustainable management of wild flora and fauna and their habitats, and specially protected marine, coastal, and terrestrial natural areas, as well as buffer zones and corridors; (o) exchanging information and experiences related to the mainstreaming of biodiversity across relevant sectors of the economy; (p) the conservation and protection of shared species, including migratory birds and their habitat; (q) combating wildlife trafficking, including cooperation to prevent the illegal take of, and trade in, wild fauna and flora through the exchange of experiences in the implementation of Article 24.22.5 and 24.22.6 (Conservation and Trade) of the Environment Chapter of the CUSMA; (r) preventing, controlling, and eradicating invasive alien species, including aquatic invasive species, and addressing their adverse impacts; Promoting the sustainable management and use of natural resources</w:t>
      </w:r>
    </w:p>
    <w:p>
      <w:pPr>
        <w:pStyle w:val="Normal"/>
      </w:pPr>
      <w:r>
        <w:t>(s) the conservation and sustainable management of forests, including addressing deforestation and forest degradation; (t) sustainable fisheries management and the long-term conservation of marine species, including addressing vessel noise and its impact on marine mammals; (u) addressing land degradation and desertification; (v) combating illegal logging and illegal, unreported, and unregulated fishing; (w) the environmental, economic, and social dimensions of sustainable aquaculture and agriculture; Supporting green growth and sustainable development</w:t>
      </w:r>
    </w:p>
    <w:p>
      <w:pPr>
        <w:pStyle w:val="Normal"/>
      </w:pPr>
      <w:r>
        <w:t>(x) developing and promoting incentives to improve environmental protection, including market mechanisms and other flexible and voluntary mechanisms; (y) promoting cleaner production and facilitating actions to remove barriers to trade or investment in environmental goods and services to address global environmental challenges; (z) promoting resource and energy efficiency, including sustainable materials management, alternative and renewable energy sources, clean innovation and entrepreneurship; and (aa) promoting sustainable production and consumption, including reducing food loss and food waste. 3. In developing and submitting cooperative activities for Council approval, the Secretariat should develop and include appropriate performance measures and indicators to assist in examining and evaluating the progress of specific cooperative activities.</w:t>
      </w:r>
    </w:p>
    <w:p>
      <w:pPr>
        <w:pStyle w:val="Normal"/>
      </w:pPr>
      <w:r>
        <w:t>4. The Council may instruct the Secretariat to develop recommendations on how best to consider gender and diversity effects and opportunities in the implementation of the Work Program.</w:t>
      </w:r>
    </w:p>
    <w:p>
      <w:pPr>
        <w:pStyle w:val="Normal"/>
      </w:pPr>
      <w:r>
        <w:t>5. In order to avoid duplication and to complement ongoing and future environmental cooperation undertaken outside the context of this Agreement, the Council shall endeavor to develop the Work Program in a manner compatible with existing mechanisms among the Parties and the environmental work of other organizations and initiatives in which the Parties have an interest.</w:t>
      </w:r>
    </w:p>
    <w:p>
      <w:pPr>
        <w:pStyle w:val="InstrumentArticle"/>
      </w:pPr>
      <w:bookmarkStart w:id="901135" w:name="_Toc300001134"/>
      <w:r>
        <w:t>Article 11: Opportunities for Public Participation</w:t>
      </w:r>
      <w:bookmarkEnd w:id="901135"/>
    </w:p>
    <w:p>
      <w:pPr>
        <w:pStyle w:val="Normal"/>
      </w:pPr>
      <w:r>
        <w:t>In defining the Work Program, the Council shall, as appropriate, provide for and promote outreach and public participation in the development, implementation, and monitoring of the activities and projects contemplated in the Work Program, including consideration of indigenous perspectives. Each Party shall solicit and take into account, as appropriate, the views of its public with respect to the Work Program and should review and respond to such communications, in accordance with its laws, regulations, and procedures. Each Party shall make these communications available to the other Parties and to the public in accordance with its laws, regulations, and procedures. Each Party shall make use of existing, or establish new, consultative mechanisms, for example national advisory committees, to seek views on matters related to the implementation of this Agreement. These mechanisms may provide for the participation of persons with relevant experience, as appropriate, including experience in business, natural resource conservation and management, or other environmental matters. The Council shall encourage and facilitate, as appropriate, direct contacts and cooperation among government agencies, multilateral organizations, foundations, universities, research centers, nongovernmental organizations, private sector firms and other entities, including the conclusion of arrangements among them for the conduct of cooperative activities under this Agreement.</w:t>
      </w:r>
    </w:p>
    <w:p>
      <w:pPr>
        <w:pStyle w:val="InstrumentArticle"/>
      </w:pPr>
      <w:bookmarkStart w:id="901136" w:name="_Toc300001135"/>
      <w:r>
        <w:t>PART FOUR: GENERAL PROVISIONS</w:t>
      </w:r>
      <w:bookmarkEnd w:id="901136"/>
    </w:p>
    <w:p>
      <w:pPr>
        <w:pStyle w:val="InstrumentArticle"/>
      </w:pPr>
      <w:bookmarkStart w:id="901137" w:name="_Toc300001136"/>
      <w:r>
        <w:t>Article 12: Resources</w:t>
      </w:r>
      <w:bookmarkEnd w:id="901137"/>
    </w:p>
    <w:p>
      <w:pPr>
        <w:pStyle w:val="Normal"/>
      </w:pPr>
      <w:r>
        <w:t>Each Party shall contribute an equal share of the annual budget of the Commission subject to the availability of appropriated funds in accordance with its legal procedures. Unless the Council otherwise decides, the annual budget may be supplemented through funding or in-kind contributions from the Parties, and the Commission may receive funding or in-kind contributions from external sources in excess of the annual budget.</w:t>
      </w:r>
    </w:p>
    <w:p>
      <w:pPr>
        <w:pStyle w:val="InstrumentArticle"/>
      </w:pPr>
      <w:bookmarkStart w:id="901138" w:name="_Toc300001137"/>
      <w:r>
        <w:t>Article 13: Equipment and Personnel</w:t>
      </w:r>
      <w:bookmarkEnd w:id="901138"/>
    </w:p>
    <w:p>
      <w:pPr>
        <w:pStyle w:val="Normal"/>
      </w:pPr>
      <w:r>
        <w:t>Each Party shall endeavor to facilitate the entry of equipment, materials, and personnel related to this Agreement into its territory, subject to its laws and regulations.</w:t>
      </w:r>
    </w:p>
    <w:p>
      <w:pPr>
        <w:pStyle w:val="InstrumentArticle"/>
      </w:pPr>
      <w:bookmarkStart w:id="901139" w:name="_Toc300001138"/>
      <w:r>
        <w:t>Article 14: Provision of Information for Factual Records</w:t>
      </w:r>
      <w:bookmarkEnd w:id="901139"/>
    </w:p>
    <w:p>
      <w:pPr>
        <w:pStyle w:val="Normal"/>
      </w:pPr>
      <w:r>
        <w:t>Each Party shall cooperate with the Secretariat to provide information relevant for the preparation of a factual record. Requests by the Secretariat for this information shall be in accordance with guidelines established by the Council.</w:t>
      </w:r>
    </w:p>
    <w:p>
      <w:pPr>
        <w:pStyle w:val="InstrumentArticle"/>
      </w:pPr>
      <w:bookmarkStart w:id="901140" w:name="_Toc300001139"/>
      <w:r>
        <w:t>Article 15: Technical and Confidential Information and Intellectual Property</w:t>
      </w:r>
      <w:bookmarkEnd w:id="901140"/>
    </w:p>
    <w:p>
      <w:pPr>
        <w:pStyle w:val="Normal"/>
      </w:pPr>
      <w:r>
        <w:t>Except as provided below, all technical information obtained through the implementation of this Agreement shall be made available to the Parties. If intellectual property is created under this Agreement, the Parties shall consult with each other to determine the allocation of the rights to that intellectual property. If a Party deems information to be confidential or proprietary under its laws, or identifies, in a timely fashion, information provided or created under this Agreement as business-confidential, each Party shall protect such information in accordance with its applicable laws, regulations and administrative practices.</w:t>
      </w:r>
    </w:p>
    <w:p>
      <w:pPr>
        <w:pStyle w:val="InstrumentArticle"/>
      </w:pPr>
      <w:bookmarkStart w:id="901141" w:name="_Toc300001140"/>
      <w:r>
        <w:t>Article 16. Protection of Information</w:t>
      </w:r>
      <w:bookmarkEnd w:id="901141"/>
    </w:p>
    <w:p>
      <w:pPr>
        <w:pStyle w:val="Normal"/>
      </w:pPr>
      <w:r>
        <w:t>1. The Secretariat shall protect from disclosure:</w:t>
      </w:r>
    </w:p>
    <w:p>
      <w:pPr>
        <w:pStyle w:val="Normal"/>
      </w:pPr>
      <w:r>
        <w:t>(a) any information it receives that could identify a person making a submission (the submitter) under Article 24.27 (Submissions on Enforcement Matters) of the Environment Chapter of the CUSMA if that person so requests or the Secretariat otherwise considers it appropriate; (b) any information that the submitter has identified as confidential; (c) any information it receives from any person where the information is designated by that person as confidential or proprietary; (d) any information it receives from a Party, including in connection with the submission for enforcement matters process under the Environment Chapter of the CUSMA, if the Party has determined that disclosure of the information would impede its law enforcement, compromise personal privacy, or reveal confidential business or proprietary information or the confidentiality of governmental decision-making; and (e) any other information that should be safeguarded in accordance with applicable Council procedures. 2. Nothing in this Agreement shall be construed to require a Party to disclose or allow access to information:</w:t>
      </w:r>
    </w:p>
    <w:p>
      <w:pPr>
        <w:pStyle w:val="Normal"/>
      </w:pPr>
      <w:r>
        <w:t>(a) the disclosure of which would impede its environmental law enforcement; or (b) that is protected from disclosure under its applicable laws. 3. If a Party provides confidential or proprietary information to another Party, to the Council, to the Secretariat, or to the Joint Public Advisory Committee, the recipient shall treat the information with the same level of protection that the Party providing the information accords to that information.</w:t>
      </w:r>
    </w:p>
    <w:p>
      <w:pPr>
        <w:pStyle w:val="InstrumentArticle"/>
      </w:pPr>
      <w:bookmarkStart w:id="901142" w:name="_Toc300001141"/>
      <w:r>
        <w:t>Article 17: Entry into Force, Withdrawal, Amendments, Accession</w:t>
      </w:r>
      <w:bookmarkEnd w:id="901142"/>
    </w:p>
    <w:p>
      <w:pPr>
        <w:pStyle w:val="Normal"/>
      </w:pPr>
      <w:r>
        <w:t>This Agreement shall enter into force on the date of entry into force of the CUSMA. Upon entry into force, this Agreement shall supersede the NAAEC. Any Party may withdraw from the Agreement providing six months' written notice to the other Parties. If a Party withdraws, the Agreement shall remain in force for the remaining Parties. Unless decided otherwise by the Parties, such withdrawal shall not affect the continuation of ongoing activities not completed at the time of withdrawal. This Agreement may be amended by written mutual consent of the Parties. An amendment shall enter into force on the date of the last note in an exchange of notes in which the Parties notify each other of the completion of their respective internal procedures necessary for the entry into force of the amendments. The Parties may, by consensus, decide to invite, in writing, any State to accede to this Agreement. IN WITNESS WHEREOF the undersigned, being duly authorized by their respective Governments, have signed this Agreement.</w:t>
      </w:r>
    </w:p>
    <w:p>
      <w:pPr>
        <w:pStyle w:val="Normal"/>
      </w:pPr>
      <w:r>
        <w:t>DONE in three originals in the English, French and Spanish languages, each version being equally authentic.</w:t>
      </w:r>
    </w:p>
    <w:p>
      <w:pPr>
        <w:pStyle w:val="Normal"/>
      </w:pPr>
      <w:r>
        <w:t>For the Government of the United States of America:</w:t>
      </w:r>
    </w:p>
    <w:p>
      <w:pPr>
        <w:pStyle w:val="Normal"/>
      </w:pPr>
      <w:r>
        <w:t>Andrew Wheeler</w:t>
      </w:r>
    </w:p>
    <w:p>
      <w:pPr>
        <w:pStyle w:val="Normal"/>
      </w:pPr>
      <w:r>
        <w:t>Date: 12-11-18 Place: Washington, D.C.</w:t>
      </w:r>
    </w:p>
    <w:p>
      <w:pPr>
        <w:pStyle w:val="Normal"/>
      </w:pPr>
      <w:r>
        <w:t>For the Government of Canada:</w:t>
      </w:r>
    </w:p>
    <w:p>
      <w:pPr>
        <w:pStyle w:val="Normal"/>
      </w:pPr>
      <w:r>
        <w:t>Catherine McKenna</w:t>
      </w:r>
    </w:p>
    <w:p>
      <w:pPr>
        <w:pStyle w:val="Normal"/>
      </w:pPr>
      <w:r>
        <w:t>Date: December 18, 2018 Place: Ottawa</w:t>
      </w:r>
    </w:p>
    <w:p>
      <w:pPr>
        <w:pStyle w:val="Normal"/>
      </w:pPr>
      <w:r>
        <w:t>For the Government of the United Mexican States:</w:t>
      </w:r>
    </w:p>
    <w:p>
      <w:pPr>
        <w:pStyle w:val="Normal"/>
      </w:pPr>
      <w:r>
        <w:t>Pacchiano Alamán</w:t>
      </w:r>
    </w:p>
    <w:p>
      <w:pPr>
        <w:pStyle w:val="Normal"/>
      </w:pPr>
      <w:r>
        <w:t>Date: 30-Nov-18 Place: Cuidad de México</w:t>
      </w:r>
    </w:p>
    <w:p>
      <w:pPr>
        <w:pStyle w:val="Heading2"/>
      </w:pPr>
      <w:bookmarkStart w:id="901143" w:name="_Toc300001142"/>
      <w:r>
        <w:t>PART F: UNIFORM REGULATIONS AND IMPLEMENTATION CONTINUITY</w:t>
      </w:r>
      <w:bookmarkEnd w:id="901143"/>
    </w:p>
    <w:p>
      <w:pPr>
        <w:pStyle w:val="Normal"/>
      </w:pPr>
      <w:r>
        <w:t>1. The Uniform Regulations adopted pursuant to Article 5.16, including the Uniform Regulations regarding the interpretation, application, and administration of Chapters 5, 6, and 7 and the Rules of Origin Uniform Regulations, remain in force and continue to govern implementation except to the extent amended, replaced, or rendered inconsistent by this modernized Agreement or by a subsequent instrument lawfully adopted under it.</w:t>
      </w:r>
    </w:p>
    <w:p>
      <w:pPr>
        <w:pStyle w:val="Normal"/>
      </w:pPr>
      <w:r>
        <w:t>2. The Commission shall publish a consolidated compatibility schedule within 180 days after entry into force identifying provisions of the existing Uniform Regulations that remain unchanged, provisions requiring conforming amendment, and transitional procedures necessary to prevent interruption of preferential treatment.</w:t>
      </w:r>
    </w:p>
    <w:p>
      <w:pPr>
        <w:pStyle w:val="Normal"/>
      </w:pPr>
      <w:r>
        <w:t>3. No omission of the full text of a Uniform Regulation from this consolidated treaty document terminates, narrows, or suspends that regulation. Where this Agreement creates a new procedure for which a Uniform Regulation has not yet been adopted, the treaty text controls and the Parties shall use the closest compatible existing procedure on an interim basis without diminishing a substantive right.</w:t>
      </w:r>
    </w:p>
    <w:p>
      <w:pPr>
        <w:pStyle w:val="Normal"/>
      </w:pPr>
      <w:r>
        <w:t>4. The Secretariat shall maintain authoritative version identifiers for each operative Uniform Regulation and Commission decision so customs authorities, producers, importers, exporters, and panels can identify the controlling implementation text.</w:t>
      </w:r>
    </w:p>
    <w:p>
      <w:pPr>
        <w:pStyle w:val="Heading2"/>
      </w:pPr>
      <w:bookmarkStart w:id="901144" w:name="_Toc300001143"/>
      <w:r>
        <w:t>PART G: STATUS OF SUPERSEDED, SPENT, AND HISTORICAL ORIGINAL INSTRUMENTS</w:t>
      </w:r>
      <w:bookmarkEnd w:id="901144"/>
    </w:p>
    <w:p>
      <w:pPr>
        <w:pStyle w:val="Normal"/>
      </w:pPr>
      <w:r>
        <w:t>1. Section 232 process and automotive side letters. The 2018 Canada–United States Section 232 side letters remain superseded by the modernized Chapters 32 and 35 and are not revived by this Annex.</w:t>
      </w:r>
    </w:p>
    <w:p>
      <w:pPr>
        <w:pStyle w:val="Normal"/>
      </w:pPr>
      <w:r>
        <w:t>2. British Columbia wine letter. The November 30, 2018 Canada–United States wine understanding is preserved as historical evidence of the original bargain and of completed or time-specific commitments, but no expired deadline in that instrument is revived. Ongoing treatment of alcoholic beverages is governed by the operative provisions of this Agreement.</w:t>
      </w:r>
    </w:p>
    <w:p>
      <w:pPr>
        <w:pStyle w:val="Normal"/>
      </w:pPr>
      <w:r>
        <w:t>3. 2018 Protocol Replacing NAFTA. The 2018 protocol remains part of the historical chain of title by which CUSMA replaced NAFTA 1994. The modernized Protocol at the front of this instrument governs current entry into force, amendment, and consolidation matters.</w:t>
      </w:r>
    </w:p>
    <w:p>
      <w:pPr>
        <w:pStyle w:val="Normal"/>
      </w:pPr>
      <w:r>
        <w:t>4. Companion environmental instruments. Reproduction of the Agreement on Environmental Cooperation in Part E does not alter its separate treaty status, amendment procedure, institutional personality, or entry-into-force history.</w:t>
      </w:r>
    </w:p>
    <w:p>
      <w:pPr>
        <w:pStyle w:val="Heading2"/>
      </w:pPr>
      <w:bookmarkStart w:id="901145" w:name="_Toc300001144"/>
      <w:r>
        <w:t>ANNEX 34-H: ADMINISTRATIVE CONTINUITY AND DEFAULT PROCEDURES</w:t>
      </w:r>
      <w:bookmarkEnd w:id="901145"/>
    </w:p>
    <w:p>
      <w:pPr>
        <w:pStyle w:val="Normal"/>
      </w:pPr>
      <w:r>
        <w:t>1. Governing Principle: No Right Depends on Administrative Perfection. A substantive right, protection, preference, deadline, remedy, or review established by this Agreement does not lapse, suspend, or become unavailable solely because a committee has not met, a technical standard is late, a roster is incomplete, a digital platform is unavailable, an implementing form has not been published, or another administrative step has not been completed.</w:t>
      </w:r>
    </w:p>
    <w:p>
      <w:pPr>
        <w:pStyle w:val="Normal"/>
      </w:pPr>
      <w:r>
        <w:t>2. Interim Institutional Substitution. If a body required to perform a function is not operational by the applicable deadline, the Free Trade Commission shall designate an existing body to perform the function within five business days. If the Commission does not act, the Secretariat's Treaty Integrity function performs purely administrative functions, and adjudicative functions are performed by an interim panel drawn from the most recent eligible Chapter 31 roster or, for a matter governed by Article 35.10, by an ad hoc Verification Team constituted from the available eligible roster under that Article.</w:t>
      </w:r>
    </w:p>
    <w:p>
      <w:pPr>
        <w:pStyle w:val="Normal"/>
      </w:pPr>
      <w:r>
        <w:t>3. Default Technical Standard. If a technical annex, schedule, coefficient, form, data dictionary, or methodology is not adopted by its treaty deadline, the most recent compatible trilateral standard remains temporarily applicable. Where none exists, the default principles expressly stated in the treaty text apply, interpreted conservatively so as not to increase a trader's burden or diminish preferential treatment.</w:t>
      </w:r>
    </w:p>
    <w:p>
      <w:pPr>
        <w:pStyle w:val="Normal"/>
      </w:pPr>
      <w:r>
        <w:t>4. Default Form and Submission. Absence of an official form does not bar a submission. A Party or private person may provide the information reasonably required by the operative provision in any clear written or electronic form. The receiving authority shall identify material omissions once and allow a reasonable correction period.</w:t>
      </w:r>
    </w:p>
    <w:p>
      <w:pPr>
        <w:pStyle w:val="Normal"/>
      </w:pPr>
      <w:r>
        <w:t>5. Roster Failure. Failure to appoint, renew, or replace roster members does not prevent consultation, verification, panel formation, appeal, or review. The most recent qualified roster remains available and the neutral default-selection rules of Article 31.C apply.</w:t>
      </w:r>
    </w:p>
    <w:p>
      <w:pPr>
        <w:pStyle w:val="Normal"/>
      </w:pPr>
      <w:r>
        <w:t>6. Non-Cooperation. Failure by a Party to supply information or participate in a procedure does not suspend the clock. The responsible body proceeds on the existing record, may seek reliable independent evidence, and may draw proportionate adverse factual inferences where information was unjustifiably withheld.</w:t>
      </w:r>
    </w:p>
    <w:p>
      <w:pPr>
        <w:pStyle w:val="Normal"/>
      </w:pPr>
      <w:r>
        <w:t>7. Technical-System Failure. Failure of the Shared Trade Data Registry, a customs interface, or another common digital system activates the continuity rules of Annex 35-C, Part 6. Alternative evidence remains admissible and no trader is penalized for a failure outside its control.</w:t>
      </w:r>
    </w:p>
    <w:p>
      <w:pPr>
        <w:pStyle w:val="Normal"/>
      </w:pPr>
      <w:r>
        <w:t>8. Implementing-Law Delay. Each Party shall maintain domestic authority sufficient to give effect to automatic treaty consequences. If a required implementing measure is late or incomplete, the Party shall apply the treaty obligation to the maximum extent permitted by existing law and the failure to implement constitutes an independent breach subject to expedited review.</w:t>
      </w:r>
    </w:p>
    <w:p>
      <w:pPr>
        <w:pStyle w:val="Normal"/>
      </w:pPr>
      <w:r>
        <w:t>9. Sunset of Interim Arrangements. An interim procedure ends when the permanent procedure becomes operational, but acts validly taken under the interim procedure remain effective. Transition shall not require refiling, recertification, or payment of a second fee.</w:t>
      </w:r>
    </w:p>
    <w:p>
      <w:pPr>
        <w:pStyle w:val="Normal"/>
      </w:pPr>
      <w:r>
        <w:t>10. Administrative Delay Register. The Secretariat shall publish a live register of overdue implementation items, the default rule currently operating, the responsible body, and the expected completion date. No overdue item may be concealed by treating the relevant treaty obligation as inoperative.</w:t>
      </w:r>
    </w:p>
    <w:p>
      <w:pPr>
        <w:pStyle w:val="Normal"/>
      </w:pPr>
      <w:r>
        <w:t>11. Capacity Triage and Consolidated Administration. Where simultaneous treaty workloads materially exceed available administrative capacity despite reasonable preparation, the responsible authorities shall prioritize legally urgent proceedings, protection of substantive rights, time-sensitive customs and border functions, health and safety, continuity of essential trade, and compliance with final decisions. They shall use existing national authorities, shared services, standardized forms, representative sampling, consolidated reporting, risk-based review, and temporary deferral of non-essential cooperative or promotional work to the maximum extent reasonably practicable before delaying a binding right or remedy. A Party invoking temporary capacity pressure shall publish or communicate a proportionate service-continuity plan identifying the affected functions, interim procedures, expected restoration sequence, and measures taken to prevent recurrence; ordinary budget pressure or chronic understaffing does not by itself excuse persistent non-performance. Nothing in this paragraph authorizes expiration, suspension, or diminution of a substantive treaty right solely because an administrative body is overloaded.</w:t>
      </w:r>
    </w:p>
    <w:p>
      <w:pPr>
        <w:pStyle w:val="Normal"/>
      </w:pPr>
      <w:r>
        <w:t>12. Constitutional and Subnational Implementation. Where a modernization obligation created by this Protocol materially depends on action by a province, state, territory, municipality, Indigenous or Tribal government, or other constitutionally competent subnational authority, the responsible Party shall use the constitutionally available measures reasonably within its competence, including legislation, funding conditions, agreements, incentives, reporting, intergovernmental coordination, technical assistance, litigation positions, or other lawful means appropriate to its constitutional system. Constitutional division of powers affects the means and reasonable timing of implementation but does not permit a Party to misrepresent a known deficiency as cured, manufacture a subnational obstacle, or withhold available federal or central measures for the purpose of avoiding an obligation. This paragraph does not require a Party to exercise authority it does not possess, compel a subnational government beyond lawful treaty coverage, or alter the internal constitutional distribution of powers. For greater certainty, this paragraph does not narrow, qualify, reopen, or reduce any existing CUSMA obligation, reservation, schedule, commitment, or rule that already governs regional, state, provincial, territorial, local, Indigenous, Tribal, or other subnational measures.</w:t>
      </w:r>
    </w:p>
    <w:p>
      <w:pPr>
        <w:pStyle w:val="Normal"/>
      </w:pPr>
      <w:r>
        <w:t>13. Pre-Entry-Into-Force Legal Readiness Certification. Before the Protocol of Modernization enters into force for a Party, that Party shall provide the Commission with a public certification identifying the domestic legal authorities, implementing instruments, responsible authorities, and interim procedures reasonably necessary to give effect to the Day 1 obligations and automatic treaty consequences applicable to that Party. The certification need not disclose privileged, classified, security-sensitive, or confidential legal advice and does not require a Party to enact a particular institutional model where existing law is sufficient. Where a required authority or instrument will lawfully become effective only upon or after entry into force, the certification shall identify the effective date and the default or interim procedure that preserves the relevant treaty right in the meantime. Certification does not immunize an implementing measure from review, cure a substantive deficiency, or prevent expedited review under paragraph 8 where domestic authority proves insufficient in operation.</w:t>
      </w:r>
    </w:p>
    <w:p>
      <w:pPr>
        <w:pStyle w:val="Normal"/>
      </w:pPr>
      <w:r>
        <w:t>14. Shared Implementation Support and Administrative Burden Equalization. The Parties shall use existing committees, customs cooperation channels, the Secretariat, national technical agencies, and other existing institutions to provide practical implementation assistance where a Party identifies a material capacity constraint affecting timely operation of a modernization obligation. Assistance may include model forms, interoperable data specifications, training, temporary expert secondments, shared testing or verification methods, translation, secure technical infrastructure support, process mapping, and reuse of another Party's validated implementation tools where lawful and appropriate. Assistance shall be demand-driven, proportionate, subject to available resources and domestic law, and shall not transfer decision-making authority, require equal expenditures, or make one Party responsible for another Party's compliance. The Commission shall prefer shared or reusable implementation solutions where they materially reduce duplicative cost, particularly for high-volume customs, verification, data, SME, and technical-standard functions.</w:t>
      </w:r>
    </w:p>
    <w:p>
      <w:pPr>
        <w:pStyle w:val="Normal"/>
      </w:pPr>
      <w:r>
        <w:t>15. Administrative Non-Starvation and Functional Equivalence. A Party shall not deliberately disable, materially degrade, or render practically unavailable a treaty function by withholding an appointment, instruction, routine authorization, ordinary operational funding within lawfully available authority, access credential, technical connection, implementing guidance, or other administrative input where the same result would be inconsistent with this Agreement if accomplished directly. This paragraph does not compel an appropriation, override a constitutional budget process, or require expenditure beyond lawfully available authority; it requires good-faith use of available authority and activation of the continuity and default procedures in this Annex when ordinary administration is interrupted. A material pattern of selective non-funding, non-appointment, non-publication, or technical non-cooperation directed at a treaty right, remedy, or originating trade flow may be reviewed according to its practical effect rather than its domestic administrative label. Restoration of ordinary administration shall occur as soon as lawful authority becomes available, without requiring the affected Party or trader to re-establish a right already preserved by a default procedure.</w:t>
      </w:r>
    </w:p>
    <w:p>
      <w:pPr>
        <w:pStyle w:val="Heading2"/>
      </w:pPr>
      <w:bookmarkStart w:id="901146" w:name="_Toc300001145"/>
      <w:r>
        <w:t>Article 34.F: Orderly Withdrawal, Public Notice, and Reliance Transition</w:t>
      </w:r>
      <w:bookmarkEnd w:id="901146"/>
    </w:p>
    <w:p>
      <w:pPr>
        <w:pStyle w:val="Normal"/>
      </w:pPr>
      <w:r>
        <w:t>1. A notice of withdrawal under Article 34.6 shall state the proposed effective date and shall be accompanied, or followed within 60 days, by a public assessment of reasonably foreseeable effects on trade, investment, workers, consumers, integrated supply chains, and critical infrastructure, prepared in accordance with the withdrawing Party’s domestic law and institutions.</w:t>
      </w:r>
    </w:p>
    <w:p>
      <w:pPr>
        <w:pStyle w:val="Normal"/>
      </w:pPr>
      <w:r>
        <w:t>2. Withdrawal shall not take effect earlier than 12 months after notice unless all Parties agree to an earlier date. During that period, the Parties shall consult on transition arrangements and continuity of essential cross-border functions.</w:t>
      </w:r>
    </w:p>
    <w:p>
      <w:pPr>
        <w:pStyle w:val="Normal"/>
      </w:pPr>
      <w:r>
        <w:t>3. Qualifying investments, authorizations, approvals, and long-term commercial commitments substantially undertaken in reasonable reliance on this Agreement before notice of withdrawal shall receive a reasonable transition period where abrupt termination would cause disproportionate disruption, subject to legitimate regulation and without creating a general right to compensation for expected future profits.</w:t>
      </w:r>
    </w:p>
    <w:p>
      <w:pPr>
        <w:pStyle w:val="Normal"/>
      </w:pPr>
      <w:r>
        <w:t>4. Nothing in this Article prevents a sovereign Party from withdrawing after completion of the domestic legislative approval required by Article 34.N. Its purpose is to ensure that withdrawal is constitutionally grounded, deliberate, transparent, and orderly rather than an instrument of sudden commercial coercion.</w:t>
      </w:r>
    </w:p>
    <w:p>
      <w:pPr>
        <w:pStyle w:val="Heading2"/>
      </w:pPr>
      <w:bookmarkStart w:id="901147" w:name="_Toc300001146"/>
      <w:r>
        <w:t>Article 34.G: Withdrawal Notice Neutrality and Anti-Ultimatum Rule</w:t>
      </w:r>
      <w:bookmarkEnd w:id="901147"/>
    </w:p>
    <w:p>
      <w:pPr>
        <w:pStyle w:val="Normal"/>
      </w:pPr>
      <w:r>
        <w:t>1. A Party remains free to withdraw under Article 34.6 and Articles 34.F through 34.Q after satisfying Article 34.N. A withdrawal notice shall not, however, alter any right or obligation before its effective date.</w:t>
      </w:r>
    </w:p>
    <w:p>
      <w:pPr>
        <w:pStyle w:val="Normal"/>
      </w:pPr>
      <w:r>
        <w:t>2. If a Party offers to rescind or modify a withdrawal notice in exchange for treaty changes, each requested change shall be identified publicly with the stated withdrawal concern to which it relates. The withdrawing Party may negotiate any mutually acceptable package, but no existing treaty obligation performed by another Party shall be characterized as newly owed consideration.</w:t>
      </w:r>
    </w:p>
    <w:p>
      <w:pPr>
        <w:pStyle w:val="Normal"/>
      </w:pPr>
      <w:r>
        <w:t>3. A withdrawal notice shall not be used as the legal predicate for suspending an unrelated treaty benefit or extracting a concession unrelated to the stated treaty grounds for withdrawal. Diplomatic discussion of unrelated matters remains unrestricted.</w:t>
      </w:r>
    </w:p>
    <w:p>
      <w:pPr>
        <w:pStyle w:val="Heading2"/>
      </w:pPr>
      <w:bookmarkStart w:id="901148" w:name="_Toc300001147"/>
      <w:r>
        <w:t>Article 34.H: Notice Cycling, Formal Status, and Market Integrity</w:t>
      </w:r>
      <w:bookmarkEnd w:id="901148"/>
    </w:p>
    <w:p>
      <w:pPr>
        <w:pStyle w:val="Normal"/>
      </w:pPr>
      <w:r>
        <w:t>1. A Party that formally rescinds a withdrawal notice shall not issue a substantially identical notice based on materially unchanged grounds for 12 months, unless materially changed circumstances make renewed withdrawal a genuine sovereign decision rather than continuation of the prior negotiating tactic.</w:t>
      </w:r>
    </w:p>
    <w:p>
      <w:pPr>
        <w:pStyle w:val="Normal"/>
      </w:pPr>
      <w:r>
        <w:t>2. Public statements, campaign positions, interviews, social-media posts, negotiating threats, or expressions of dissatisfaction do not constitute withdrawal and do not alter treaty status. Only authenticated notice under Article 34.6 starts the withdrawal period.</w:t>
      </w:r>
    </w:p>
    <w:p>
      <w:pPr>
        <w:pStyle w:val="Normal"/>
      </w:pPr>
      <w:r>
        <w:t>3. A final non-public governmental decision to issue, rescind, accelerate, or materially modify a withdrawal notice is MNPTI where the criteria of Article 35.53 are met. Articles 35.53 through 35.57 apply mutatis mutandis to its handling and publication.</w:t>
      </w:r>
    </w:p>
    <w:p>
      <w:pPr>
        <w:pStyle w:val="Normal"/>
      </w:pPr>
      <w:r>
        <w:t>4. Formal notice shall be transmitted simultaneously to the other Parties and authenticated for public release through the Treaty Registry as soon as practicable.</w:t>
      </w:r>
    </w:p>
    <w:p>
      <w:pPr>
        <w:pStyle w:val="Heading2"/>
      </w:pPr>
      <w:bookmarkStart w:id="901149" w:name="_Toc300001148"/>
      <w:r>
        <w:t>Article 34.I: Whole-Treaty Exit and Trilateral Amendment Integrity</w:t>
      </w:r>
      <w:bookmarkEnd w:id="901149"/>
    </w:p>
    <w:p>
      <w:pPr>
        <w:pStyle w:val="Normal"/>
      </w:pPr>
      <w:r>
        <w:t>1. Unless an express provision permits withdrawal from a specified optional protocol, a Party may withdraw from this Agreement only as a whole. It may not unilaterally retain selected benefits while denouncing selected obligations.</w:t>
      </w:r>
    </w:p>
    <w:p>
      <w:pPr>
        <w:pStyle w:val="Normal"/>
      </w:pPr>
      <w:r>
        <w:t>2. Bilateral agreements and diplomacy among any two Parties remain permitted. No bilateral understanding modifies, suspends, interprets away, or conditions the rights of the third Party under this Agreement without that Party's express consent through the procedure legally required for the proposed change.</w:t>
      </w:r>
    </w:p>
    <w:p>
      <w:pPr>
        <w:pStyle w:val="Normal"/>
      </w:pPr>
      <w:r>
        <w:t>3. Two Parties shall not represent a bilateral bargain as an amendment of this trilateral Agreement awaiting only acceptance by the third Party. Until trilateral adoption, the existing Agreement remains unchanged for the third Party.</w:t>
      </w:r>
    </w:p>
    <w:p>
      <w:pPr>
        <w:pStyle w:val="Heading2"/>
      </w:pPr>
      <w:bookmarkStart w:id="901150" w:name="_Toc300001149"/>
      <w:r>
        <w:t>Article 34.J: Full Performance, Survival Jurisdiction, and Accrued Obligations</w:t>
      </w:r>
      <w:bookmarkEnd w:id="901150"/>
    </w:p>
    <w:p>
      <w:pPr>
        <w:pStyle w:val="Normal"/>
      </w:pPr>
      <w:r>
        <w:t>1. A Party that has notified withdrawal remains fully bound until withdrawal takes effect. Notice does not excuse performance, reduce cooperation duties, suspend adjudication, or authorize provisional noncompliance.</w:t>
      </w:r>
    </w:p>
    <w:p>
      <w:pPr>
        <w:pStyle w:val="Normal"/>
      </w:pPr>
      <w:r>
        <w:t>2. Panels, Cothrom bodies, Integrity Panels, Market Integrity Panels, and other competent treaty bodies retain jurisdiction after withdrawal to determine disputes, cure, integrity questions, and compliance concerning conduct occurring while the Agreement bound the withdrawing Party.</w:t>
      </w:r>
    </w:p>
    <w:p>
      <w:pPr>
        <w:pStyle w:val="Normal"/>
      </w:pPr>
      <w:r>
        <w:t>3. Withdrawal does not extinguish accrued monetary obligations, refunds, compensation, restoration duties relating to pre-withdrawal conduct, final awards, record-preservation duties, confidentiality obligations, or other obligations expressly or inherently intended to survive.</w:t>
      </w:r>
    </w:p>
    <w:p>
      <w:pPr>
        <w:pStyle w:val="Normal"/>
      </w:pPr>
      <w:r>
        <w:t>4. Proceedings initiated during the withdrawal period shall receive expedited scheduling where ordinary timing could otherwise defeat effective review before exit.</w:t>
      </w:r>
    </w:p>
    <w:p>
      <w:pPr>
        <w:pStyle w:val="Heading2"/>
      </w:pPr>
      <w:bookmarkStart w:id="901151" w:name="_Toc300001150"/>
      <w:r>
        <w:t>Article 34.K: Withdrawal Record Hold and Reliance Administration</w:t>
      </w:r>
      <w:bookmarkEnd w:id="901151"/>
    </w:p>
    <w:p>
      <w:pPr>
        <w:pStyle w:val="Normal"/>
      </w:pPr>
      <w:r>
        <w:t>1. Formal withdrawal notice automatically places relevant treaty-administration records of the withdrawing Party and common institutions under preservation hold for the period required by applicable law and not less than the time necessary to complete surviving proceedings.</w:t>
      </w:r>
    </w:p>
    <w:p>
      <w:pPr>
        <w:pStyle w:val="Normal"/>
      </w:pPr>
      <w:r>
        <w:t>2. Withdrawal does not invalidate certificates already issued, records already accepted, refunds already accrued, pending administrative claims, or shipments already entered into an authorized customs process solely because the effective withdrawal date occurs before completion. Transitional treatment shall be specified in the withdrawal implementation schedule.</w:t>
      </w:r>
    </w:p>
    <w:p>
      <w:pPr>
        <w:pStyle w:val="Normal"/>
      </w:pPr>
      <w:r>
        <w:t>3. The Parties shall prioritize continuity for customs administration, critical infrastructure, emergency services, energy interconnections, data needed for existing legal obligations, and safe completion of in-transit commerce.</w:t>
      </w:r>
    </w:p>
    <w:p>
      <w:pPr>
        <w:pStyle w:val="Heading2"/>
      </w:pPr>
      <w:bookmarkStart w:id="901152" w:name="_Toc300001151"/>
      <w:r>
        <w:t>Article 34.L: Settlement Finality and No Payment for Existing Performance</w:t>
      </w:r>
      <w:bookmarkEnd w:id="901152"/>
    </w:p>
    <w:p>
      <w:pPr>
        <w:pStyle w:val="Normal"/>
      </w:pPr>
      <w:r>
        <w:t>1. A concession, protection, market-access commitment, limitation, or reciprocal undertaking incorporated into this Agreement is presumed to constitute settled consideration within the package by which it was adopted.</w:t>
      </w:r>
    </w:p>
    <w:p>
      <w:pPr>
        <w:pStyle w:val="Normal"/>
      </w:pPr>
      <w:r>
        <w:t>2. Continued performance of an existing obligation is not a new concession and does not, by itself, entitle the performing Party to additional compensation, market access, policy change, or payment.</w:t>
      </w:r>
    </w:p>
    <w:p>
      <w:pPr>
        <w:pStyle w:val="Normal"/>
      </w:pPr>
      <w:r>
        <w:t>3. The Parties remain free by mutual consent to renegotiate any provision. Periodic review may identify changed circumstances and recommend amendment, but neither review nor withdrawal discussions reopen settled consideration automatically.</w:t>
      </w:r>
    </w:p>
    <w:p>
      <w:pPr>
        <w:pStyle w:val="Normal"/>
      </w:pPr>
      <w:r>
        <w:t>4. A claim of fundamental changed circumstances under applicable international law is not prejudged by this Article.</w:t>
      </w:r>
    </w:p>
    <w:p>
      <w:pPr>
        <w:pStyle w:val="Heading2"/>
      </w:pPr>
      <w:bookmarkStart w:id="901153" w:name="_Toc300001152"/>
      <w:r>
        <w:t>Article 34.M: Reaccession after Withdrawal</w:t>
      </w:r>
      <w:bookmarkEnd w:id="901153"/>
    </w:p>
    <w:p>
      <w:pPr>
        <w:pStyle w:val="Normal"/>
      </w:pPr>
      <w:r>
        <w:t>1. A former Party seeking to rejoin this Agreement shall do so through an accession or reaccession instrument agreed by the remaining Parties and completed under their applicable legal procedures.</w:t>
      </w:r>
    </w:p>
    <w:p>
      <w:pPr>
        <w:pStyle w:val="Normal"/>
      </w:pPr>
      <w:r>
        <w:t>2. Reaccession is not automatic and shall address outstanding accrued obligations, unresolved integrity findings, transition arrangements, and restoration of institutional participation.</w:t>
      </w:r>
    </w:p>
    <w:p>
      <w:pPr>
        <w:pStyle w:val="Normal"/>
      </w:pPr>
      <w:r>
        <w:t>3. A withdrawal followed by reaccession shall not be used to erase liabilities or obtain a temporary holiday from obligations that accrued while the Agreement was in force.</w:t>
      </w:r>
    </w:p>
    <w:p>
      <w:pPr>
        <w:pStyle w:val="Heading2"/>
      </w:pPr>
      <w:bookmarkStart w:id="901154" w:name="_Toc300001153"/>
      <w:r>
        <w:rPr>
          <w:b/>
        </w:rPr>
        <w:t>Article 34.N: Domestic Legislative Approval of Withdrawal</w:t>
      </w:r>
      <w:bookmarkEnd w:id="901154"/>
    </w:p>
    <w:p>
      <w:pPr>
        <w:pStyle w:val="Normal"/>
      </w:pPr>
      <w:r>
        <w:rPr>
          <w:b w:val="false"/>
        </w:rPr>
        <w:t>1. A withdrawal under Article 34.6 shall not become effective unless the withdrawing Party has completed approval through legislation enacted by its national legislature in accordance with its applicable constitutional processes and has transmitted authenticated certification of that approval to the other Parties and the Treaty Registry.</w:t>
      </w:r>
    </w:p>
    <w:p>
      <w:pPr>
        <w:pStyle w:val="Normal"/>
      </w:pPr>
      <w:r>
        <w:rPr>
          <w:b w:val="false"/>
        </w:rPr>
        <w:t>2. For the United States, paragraph 1 requires an Act of Congress enacted into law approving withdrawal from this Agreement. A presidential notice, proclamation, memorandum, executive order, or other executive communication may initiate consultations and domestic consideration but does not, by itself, satisfy the approval required for withdrawal to become effective under this Agreement.</w:t>
      </w:r>
    </w:p>
    <w:p>
      <w:pPr>
        <w:pStyle w:val="Normal"/>
      </w:pPr>
      <w:r>
        <w:rPr>
          <w:b w:val="false"/>
        </w:rPr>
        <w:t>3. For Canada, paragraph 1 requires an Act of Parliament enacted in accordance with the Constitution of Canada and applicable law. For Mexico, paragraph 1 requires the legislative approval required under the Political Constitution of the United Mexican States and applicable law. Nothing in this paragraph alters the internal allocation of constitutional authority within a Party except as that Party undertakes, through this Agreement and its implementing legislation, the condition for an effective withdrawal.</w:t>
      </w:r>
    </w:p>
    <w:p>
      <w:pPr>
        <w:pStyle w:val="Normal"/>
      </w:pPr>
      <w:r>
        <w:rPr>
          <w:b w:val="false"/>
        </w:rPr>
        <w:t>4. The twelve-month minimum period in Article 34.6 and Article 34.F begins no earlier than the later of: (a) authenticated notice of withdrawal; and (b) authenticated certification that the approval required by this Article has been completed. A notice delivered before legislative approval may open consultations but does not start an effective withdrawal clock.</w:t>
      </w:r>
    </w:p>
    <w:p>
      <w:pPr>
        <w:pStyle w:val="Normal"/>
      </w:pPr>
      <w:r>
        <w:rPr>
          <w:b w:val="false"/>
        </w:rPr>
        <w:t>5. Each Party shall maintain implementing legislation sufficient to give domestic effect to this Article. Failure to enact or maintain such legislation does not eliminate the international obligation in paragraph 1 and is subject to expedited review under this Agreement.</w:t>
      </w:r>
    </w:p>
    <w:p>
      <w:pPr>
        <w:pStyle w:val="Heading2"/>
      </w:pPr>
      <w:bookmarkStart w:id="901155" w:name="_Toc300001154"/>
      <w:r>
        <w:rPr>
          <w:b/>
        </w:rPr>
        <w:t>Article 34.O: No Constructive Withdrawal or Functional Evasion</w:t>
      </w:r>
      <w:bookmarkEnd w:id="901155"/>
    </w:p>
    <w:p>
      <w:pPr>
        <w:pStyle w:val="Normal"/>
      </w:pPr>
      <w:r>
        <w:rPr>
          <w:b w:val="false"/>
        </w:rPr>
        <w:t>1. A Party shall not accomplish indirectly what Articles 34.6 and 34.F through 34.N require it to accomplish through formal withdrawal. A sustained and coordinated course of governmental conduct whose predominant purpose or practical effect is to disable substantially all material benefits or obligations of this Agreement may be reviewed as an attempted constructive withdrawal.</w:t>
      </w:r>
    </w:p>
    <w:p>
      <w:pPr>
        <w:pStyle w:val="Normal"/>
      </w:pPr>
      <w:r>
        <w:rPr>
          <w:b w:val="false"/>
        </w:rPr>
        <w:t>2. Constructive withdrawal may include a coordinated pattern of unjustified suspension of substantially all preferences, systematic refusal to administer material treaty obligations, deliberate disabling of implementing authorities, or serial invocation of exceptions or extraordinary authorities for the predominant purpose of circumventing the withdrawal requirements.</w:t>
      </w:r>
    </w:p>
    <w:p>
      <w:pPr>
        <w:pStyle w:val="Normal"/>
      </w:pPr>
      <w:r>
        <w:rPr>
          <w:b w:val="false"/>
        </w:rPr>
        <w:t>3. Ordinary disputes, isolated breaches, lawful safeguards, good-faith emergency measures, implementation delays subject to cure, or policy disagreements do not constitute constructive withdrawal merely because they reduce a benefit or create material friction.</w:t>
      </w:r>
    </w:p>
    <w:p>
      <w:pPr>
        <w:pStyle w:val="Normal"/>
      </w:pPr>
      <w:r>
        <w:rPr>
          <w:b w:val="false"/>
        </w:rPr>
        <w:t>4. A finding of attempted constructive withdrawal does not itself withdraw the Party from this Agreement. The Agreement remains in force. The competent panel shall order restoration, cure, cessation of the evasive conduct, or other remedies authorized by this Agreement, and Articles 35.53 through 35.57, Covered-Rationale Exhaustion, issue-nexus, proportionality, step-back, earn-back, and automatic restoration apply as relevant.</w:t>
      </w:r>
    </w:p>
    <w:p>
      <w:pPr>
        <w:pStyle w:val="Normal"/>
      </w:pPr>
      <w:r>
        <w:rPr>
          <w:b w:val="false"/>
        </w:rPr>
        <w:t>5. A Party may always pursue lawful withdrawal by satisfying Article 34.N and the orderly-withdrawal requirements of this Chapter. This Article prevents functional evasion; it does not create involuntary membership after lawful withdrawal has become effective.</w:t>
      </w:r>
    </w:p>
    <w:p>
      <w:pPr>
        <w:pStyle w:val="Heading2"/>
      </w:pPr>
      <w:bookmarkStart w:id="901156" w:name="_Toc300001155"/>
      <w:r>
        <w:rPr>
          <w:b/>
        </w:rPr>
        <w:t>Article 34.P: Severability and Constitutional Savings</w:t>
      </w:r>
      <w:bookmarkEnd w:id="901156"/>
    </w:p>
    <w:p>
      <w:pPr>
        <w:pStyle w:val="Normal"/>
      </w:pPr>
      <w:r>
        <w:rPr>
          <w:b w:val="false"/>
        </w:rPr>
        <w:t>1. If a competent domestic court finally determines that a particular domestic implementing requirement used to give effect to Article 34.N cannot lawfully be enforced in the form adopted by a Party, that determination does not invalidate or suspend Article 34.6, Articles 34.F through 34.M, Article 34.O, Article 34.Q, the No-Fade Guarantee, accrued-obligation survival, or any other provision of this Agreement.</w:t>
      </w:r>
    </w:p>
    <w:p>
      <w:pPr>
        <w:pStyle w:val="Normal"/>
      </w:pPr>
      <w:r>
        <w:rPr>
          <w:b w:val="false"/>
        </w:rPr>
        <w:t>2. The affected Party shall promptly consult with the other Parties and use its available constitutional and legislative processes to establish the closest lawful equivalent to the invalidated requirement while preserving, to the maximum extent legally available, legislative participation in withdrawal.</w:t>
      </w:r>
    </w:p>
    <w:p>
      <w:pPr>
        <w:pStyle w:val="Normal"/>
      </w:pPr>
      <w:r>
        <w:rPr>
          <w:b w:val="false"/>
        </w:rPr>
        <w:t>3. No domestic judgment concerning one withdrawal safeguard creates an automatic withdrawal, shortens the twelve-month minimum period, extinguishes accrued obligations, validates constructive withdrawal, or converts political statements into authenticated notice.</w:t>
      </w:r>
    </w:p>
    <w:p>
      <w:pPr>
        <w:pStyle w:val="Heading2"/>
      </w:pPr>
      <w:bookmarkStart w:id="901157" w:name="_Toc300001156"/>
      <w:r>
        <w:rPr>
          <w:b/>
        </w:rPr>
        <w:t>Article 34.Q: Domestic Sovereignty and Limits of Treaty Bodies</w:t>
      </w:r>
      <w:bookmarkEnd w:id="901157"/>
    </w:p>
    <w:p>
      <w:pPr>
        <w:pStyle w:val="Normal"/>
      </w:pPr>
      <w:r>
        <w:rPr>
          <w:b w:val="false"/>
        </w:rPr>
        <w:t>1. Nothing in this Agreement creates a North American legislature, police authority, border command, immigration authority, tax authority, military command, or general regulatory government. Each Party retains its domestic governmental powers except for the specific international obligations it has expressly accepted in this Agreement.</w:t>
      </w:r>
    </w:p>
    <w:p>
      <w:pPr>
        <w:pStyle w:val="Normal"/>
      </w:pPr>
      <w:r>
        <w:rPr>
          <w:b w:val="false"/>
        </w:rPr>
        <w:t>2. A panel, committee, Verification Team, Cothrom body, or other treaty institution may make findings, authorize consequences, or require treaty compliance only within the mandate expressly assigned to it. It may not enact domestic law, issue a criminal sentence, command national armed forces, admit or remove a person, issue a domestic regulatory license in place of the competent regulator, or exercise general executive authority within a Party.</w:t>
      </w:r>
    </w:p>
    <w:p>
      <w:pPr>
        <w:pStyle w:val="Normal"/>
      </w:pPr>
      <w:r>
        <w:rPr>
          <w:b w:val="false"/>
        </w:rPr>
        <w:t>3. Binding findings within an expressly accepted treaty mandate are not an exercise of foreign domestic government. They determine the rights and consequences that the Parties consented to under this Agreement, subject to the due-process, evidence, appeal, mandate, and sovereignty safeguards stated elsewhere in the Agreement.</w:t>
      </w:r>
    </w:p>
    <w:p>
      <w:pPr>
        <w:pStyle w:val="Heading2"/>
      </w:pPr>
      <w:bookmarkStart w:id="901158" w:name="_Toc300001157"/>
      <w:r>
        <w:t>Article 34.A.1: Living Amendment Ledger</w:t>
      </w:r>
      <w:bookmarkEnd w:id="901158"/>
    </w:p>
    <w:p>
      <w:pPr>
        <w:pStyle w:val="Normal"/>
      </w:pPr>
      <w:r>
        <w:t>1. The existing Secretariat shall maintain the Amendment Ledger as a continuously updated public electronic record.</w:t>
      </w:r>
    </w:p>
    <w:p>
      <w:pPr>
        <w:pStyle w:val="Normal"/>
      </w:pPr>
      <w:r>
        <w:t>2. Each entry shall identify, as applicable, the amendment or decision identifier; adoption and entry-into-force dates; legal authority; affected provisions; superseded text or reference; current operative text or consolidated reference; transitional rule; implementing instrument; and current status.</w:t>
      </w:r>
    </w:p>
    <w:p>
      <w:pPr>
        <w:pStyle w:val="Normal"/>
      </w:pPr>
      <w:r>
        <w:t>3. The public Ledger is informational and does not itself amend the Agreement. In case of discrepancy, the authenticated legal instrument controls. Prior versions shall be preserved for traceability.</w:t>
      </w:r>
    </w:p>
    <w:p>
      <w:pPr>
        <w:pStyle w:val="Heading1"/>
      </w:pPr>
      <w:bookmarkStart w:id="901159" w:name="_Toc300001158"/>
      <w:r>
        <w:t>ANNEX 34-J: FINAL SETTLEMENT ARCHITECTURE AND ADOPTION FRAMEWORK</w:t>
      </w:r>
      <w:bookmarkEnd w:id="901159"/>
    </w:p>
    <w:p>
      <w:pPr>
        <w:pStyle w:val="Normal"/>
      </w:pPr>
      <w:r>
        <w:t>Final Settlement Integration Gateway. This Annex supplies the common adoption, hierarchy, authority, schedule-status, bilateral and trilateral participation, cross-module implementation, amendment, completion, and closure architecture for Annexes 35-K, 36-A, 43-I, and 59-C. It coordinates those Annexes without displacing a more specific NAESTMA rule except through legally sufficient express authority.</w:t>
      </w:r>
    </w:p>
    <w:p>
      <w:pPr>
        <w:pStyle w:val="Heading2"/>
      </w:pPr>
      <w:bookmarkStart w:id="901160" w:name="_Toc300001159"/>
      <w:r>
        <w:t>FS-00.1: Package Identity, Purpose, and Scope</w:t>
      </w:r>
      <w:bookmarkEnd w:id="901160"/>
    </w:p>
    <w:p>
      <w:pPr>
        <w:pStyle w:val="ClauseLabel"/>
      </w:pPr>
      <w:r>
        <w:t>FS00-A01: Final Settlement Function</w:t>
      </w:r>
    </w:p>
    <w:p>
      <w:pPr>
        <w:pStyle w:val="Normal"/>
      </w:pPr>
      <w:r>
        <w:t>The Final Settlement Framework coordinates FS-01, FS-02, FS-03, and FS-04 as interoperable settlement modules within this Agreement. FS-00 supplies common adoption, authority, hierarchy, recordkeeping, interface, amendment, and closure rules without replacing the substantive rules stated in an adopted module. A module acquires legal effect only through the adoption mechanism and legally sufficient authority applicable to the commitments it contains. Nothing in FS-00 converts a draft, model schedule, negotiating option, or incomplete field into an operative commitment.</w:t>
      </w:r>
    </w:p>
    <w:p>
      <w:pPr>
        <w:pStyle w:val="ClauseLabel"/>
      </w:pPr>
      <w:r>
        <w:t>FS00-A02: Covered Final Settlement Modules</w:t>
      </w:r>
    </w:p>
    <w:p>
      <w:pPr>
        <w:pStyle w:val="Normal"/>
      </w:pPr>
      <w:r>
        <w:t>FS-01 governs strategic-sector tariff normalization and synchronized stand-down for the measures placed within its adopted scope. FS-02 governs optional Strategic North American Content Assurance contributions and enhanced benefits without altering ordinary origin by implication. FS-03 governs automotive regional integration and settlement interfaces, including the relationship among ordinary origin, enhanced automotive benefits, and FS-01 tariff normalization. FS-04 governs agricultural final-settlement selection, transition, completion, and deliberate NAAFTC incorporation or compatibility without recreating Chapter 43 machinery.</w:t>
      </w:r>
    </w:p>
    <w:p>
      <w:pPr>
        <w:pStyle w:val="ClauseLabel"/>
      </w:pPr>
      <w:r>
        <w:t>FS00-A03: No Silent Expansion of Module Scope</w:t>
      </w:r>
    </w:p>
    <w:p>
      <w:pPr>
        <w:pStyle w:val="Normal"/>
      </w:pPr>
      <w:r>
        <w:t>Adoption of one Final Settlement module does not adopt another module, schedule, sector, product class, benefit, transition, or remedy by implication. Modular or partial adoption reaches only a legally severable module or expressly severable portion identified by the adoption instrument and does not permit unilateral selection among provisions that the controlling module treats as an integrated or synchronized bargain. Political packaging, simultaneous signature, common publication, or administrative convenience does not merge legally distinct obligations or sever an inseverable bargain unless legally sufficient authority expressly provides that result. An omitted module or severable portion remains governed by otherwise applicable NAESTMA provisions and any independently operative settlement instrument.</w:t>
      </w:r>
    </w:p>
    <w:p>
      <w:pPr>
        <w:pStyle w:val="ClauseLabel"/>
      </w:pPr>
      <w:r>
        <w:t>FS00-A04: Existing Agreement First</w:t>
      </w:r>
    </w:p>
    <w:p>
      <w:pPr>
        <w:pStyle w:val="Normal"/>
      </w:pPr>
      <w:r>
        <w:t>FS-00 and the Final Settlement modules use existing NAESTMA institutions, verification channels, registries, committees, dispute procedures, and restoration machinery before creating a new mechanism. Where Chapter 35, Cothrom, Chapter 43, Chapter 59, or another more specific provision already performs the required function, the Final Settlement package applies or coordinates that machinery rather than duplicating it. A module-specific recordkeeper or schedule administrator receives only the authority expressly assigned to that function. Administrative architecture does not expand merely because several Final Settlement modules consume the same verified fact or existing institutional service.</w:t>
      </w:r>
    </w:p>
    <w:p>
      <w:pPr>
        <w:pStyle w:val="ClauseLabel"/>
      </w:pPr>
      <w:r>
        <w:t>FS00-A05: Preservation of Day-One and Existing Rights</w:t>
      </w:r>
    </w:p>
    <w:p>
      <w:pPr>
        <w:pStyle w:val="Normal"/>
      </w:pPr>
      <w:r>
        <w:t>FS-00 does not postpone, suspend, condition, or reopen a Day-One right or obligation established elsewhere in NAESTMA unless a legally sufficient adopted settlement term expressly authorizes that result. An acquired right, completed normalization, completed transition, restored benefit, or other durable legal state does not fade merely because a Final Settlement review, work plan, schedule update, or closure record remains incomplete. A temporary departure preserves the underlying legal state except to the extent the controlling authority expressly provides otherwise. The package therefore coordinates settlement implementation without converting durable treatment into periodically renewable permission.</w:t>
      </w:r>
    </w:p>
    <w:p>
      <w:pPr>
        <w:pStyle w:val="ClauseLabel"/>
      </w:pPr>
      <w:r>
        <w:t>FS00-A06: Defined Package Terms</w:t>
      </w:r>
    </w:p>
    <w:p>
      <w:pPr>
        <w:pStyle w:val="Normal"/>
      </w:pPr>
      <w:r>
        <w:t>An “Adopted Final Settlement Module” means FS-01, FS-02, FS-03, or FS-04 to the extent formally adopted by the Parties whose participation is legally required for the commitments at issue. An “Adopted Final Settlement Record” means a completed FS-00 or module schedule entry that records an adopted term under legally sufficient authority and is not merely draft, bracketed, illustrative, proposed, unverified, or incomplete. “Specific Legal Authority” means the treaty provision, amendment authority, schedule authority, protocol, implementing instrument, or other legally sufficient source that supplies the substantive legal effect recorded by a Final Settlement term. “Final Settlement Package” means the set of Adopted Final Settlement Modules and adopted FS-00 records applicable to the participating Parties, without implying that every module is adopted in every bilateral or trilateral relationship.</w:t>
      </w:r>
    </w:p>
    <w:p>
      <w:pPr>
        <w:pStyle w:val="Heading2"/>
      </w:pPr>
      <w:bookmarkStart w:id="901161" w:name="_Toc300001160"/>
      <w:r>
        <w:t>FS-00.2: Authority, Hierarchy, and Conflict Discipline</w:t>
      </w:r>
      <w:bookmarkEnd w:id="901161"/>
    </w:p>
    <w:p>
      <w:pPr>
        <w:pStyle w:val="ClauseLabel"/>
      </w:pPr>
      <w:r>
        <w:t>FS00-B01: Specific Legal Authority Rule</w:t>
      </w:r>
    </w:p>
    <w:p>
      <w:pPr>
        <w:pStyle w:val="Normal"/>
      </w:pPr>
      <w:r>
        <w:t>Every substantive Final Settlement benefit, restriction, tariff consequence, transition, adjustment, incorporation, suspension, or restoration identifies its Specific Legal Authority where that authority is not already unambiguous from the controlling provision. A schedule, certificate, registry, technical finding, Secretariat record, or implementation notice does not manufacture substantive authority absent a legally sufficient source. Where domestic implementation is legally required, the applicable record identifies that activation condition without treating anticipated implementation as completed implementation. If a proposed term lacks sufficient authority, the term remains non-operative until the required authority is lawfully supplied.</w:t>
      </w:r>
    </w:p>
    <w:p>
      <w:pPr>
        <w:pStyle w:val="ClauseLabel"/>
      </w:pPr>
      <w:r>
        <w:t>FS00-B02: Hierarchy of Controlling Rules</w:t>
      </w:r>
    </w:p>
    <w:p>
      <w:pPr>
        <w:pStyle w:val="Normal"/>
      </w:pPr>
      <w:r>
        <w:t>An express amendment or adoption instrument controls within the scope of the legal change it validly makes. A more specific NAESTMA or Final Settlement rule controls over a more general FS-00 coordination rule where both address the same legal question, and FS-00 does not displace that specific rule merely because FS-00 is adopted later, appears in the same adoption instrument, or addresses the same general subject. An intended override identifies the provision displaced, the participating Parties, the scope of displacement, and the intended legal effect through legally sufficient authority. Where two adopted Final Settlement terms cannot be reconciled through scope, specificity, or express hierarchy, the Parties use the amendment or interpretive procedure legally available for that conflict rather than allowing an administrator to choose a preferred bargain.</w:t>
      </w:r>
    </w:p>
    <w:p>
      <w:pPr>
        <w:pStyle w:val="ClauseLabel"/>
      </w:pPr>
      <w:r>
        <w:t>FS00-B03: No Implied Remedy Authority</w:t>
      </w:r>
    </w:p>
    <w:p>
      <w:pPr>
        <w:pStyle w:val="Normal"/>
      </w:pPr>
      <w:r>
        <w:t>No Final Settlement module creates a tariff, embargo, quota, procurement exclusion, investment restriction, sanctions measure, suspension, or cross-sector remedy merely by describing that measure as a possible consequence. The operative term identifies the independent authority sufficient to impose the measure and the conditions limiting its use. Chapter 35 and the applicable Cothrom architecture govern cure, proportionality, containment, earn-back, and restoration where their scope applies. Silence preserves the treatment otherwise established by NAESTMA and does not become remedial discretion.</w:t>
      </w:r>
    </w:p>
    <w:p>
      <w:pPr>
        <w:pStyle w:val="ClauseLabel"/>
      </w:pPr>
      <w:r>
        <w:t>FS00-B04: No Origin Substitution</w:t>
      </w:r>
    </w:p>
    <w:p>
      <w:pPr>
        <w:pStyle w:val="Normal"/>
      </w:pPr>
      <w:r>
        <w:t>FS-02 assurance criteria, FS-03 enhanced automotive criteria, industrial-additionality criteria, settlement credits, or another optional enhanced-benefit condition do not become ordinary rules of origin unless NAESTMA expressly amends the controlling origin rule. Ordinary-Origin Treatment remains determined by Chapters 4 and 5 and the applicable product-specific rules. Failure to earn an optional enhanced benefit does not make an independently originating good non-originating or revive a tariff extinguished under a separate controlling settlement rule. A Final Settlement schedule therefore records enhanced-benefit qualification separately from ordinary origin whenever both concepts appear in the same commercial setting.</w:t>
      </w:r>
    </w:p>
    <w:p>
      <w:pPr>
        <w:pStyle w:val="ClauseLabel"/>
      </w:pPr>
      <w:r>
        <w:t>FS00-B05: No Cross-Sector Contagion</w:t>
      </w:r>
    </w:p>
    <w:p>
      <w:pPr>
        <w:pStyle w:val="Normal"/>
      </w:pPr>
      <w:r>
        <w:t>Non-performance, verification difficulty, suspension, or dispute in one Final Settlement module remains confined to the affected obligation, benefit, product, actor, Party relationship, and sector to the extent required by the controlling authority. An automotive dispute does not reopen an agricultural settlement, an agricultural administrative dispute does not revive a normalized strategic-sector tariff, and an assurance dispute does not alter ordinary origin absent independent authority. Cross-sector linkage operates only where an adopted term expressly identifies the linked bargain, participating Parties, legal authority, containment rule, and restoration consequence. A political decision to negotiate several sectors together does not by itself create legal cross-default.</w:t>
      </w:r>
    </w:p>
    <w:p>
      <w:pPr>
        <w:pStyle w:val="ClauseLabel"/>
      </w:pPr>
      <w:r>
        <w:t>FS00-B06: No Administrative Choice Between Bargains</w:t>
      </w:r>
    </w:p>
    <w:p>
      <w:pPr>
        <w:pStyle w:val="Normal"/>
      </w:pPr>
      <w:r>
        <w:t>An administrative body records, verifies, or implements the legal consequence supplied by the controlling Final Settlement term within its assigned mandate. It does not choose among competing settlement outcomes, alter participating Parties, change severability, invent a missing tariff or access value, or cure a missing legal authority through interpretation. Where objective conditions make a consequence automatic, administrative delay does not become a veto unless the controlling law expressly makes the administrative act constitutive. A genuine interpretive dispute proceeds through the applicable NAESTMA process without allowing temporary uncertainty to rewrite unrelated adopted terms.</w:t>
      </w:r>
    </w:p>
    <w:p>
      <w:pPr>
        <w:pStyle w:val="Heading2"/>
      </w:pPr>
      <w:bookmarkStart w:id="901162" w:name="_Toc300001161"/>
      <w:r>
        <w:t>FS-00.3: Adoption, Participation, and Reciprocity</w:t>
      </w:r>
      <w:bookmarkEnd w:id="901162"/>
    </w:p>
    <w:p>
      <w:pPr>
        <w:pStyle w:val="ClauseLabel"/>
      </w:pPr>
      <w:r>
        <w:t>FS00-C01: Module-by-Module Adoption</w:t>
      </w:r>
    </w:p>
    <w:p>
      <w:pPr>
        <w:pStyle w:val="Normal"/>
      </w:pPr>
      <w:r>
        <w:t>The Parties may adopt FS-01, FS-02, FS-03, and FS-04 together, separately, or in an expressly identified legally severable portion to the extent permitted by the legal authority governing each commitment. An adoption instrument identifies each adopted module or module portion, provision range, schedule, row, annex, reservation, modification, and participating Party relationship that it makes operative. Adoption of a module or portion does not fill a blank negotiated field, convert an unverified technical value into an adopted value, or sever an integrated bargain contrary to the controlling module. Schedule FS-00-A records the adopted scope and package configuration after adoption without replacing the adoption instrument that supplies legal effect.</w:t>
      </w:r>
    </w:p>
    <w:p>
      <w:pPr>
        <w:pStyle w:val="ClauseLabel"/>
      </w:pPr>
      <w:r>
        <w:t>FS00-C02: Bilateral and Trilateral Participation</w:t>
      </w:r>
    </w:p>
    <w:p>
      <w:pPr>
        <w:pStyle w:val="Normal"/>
      </w:pPr>
      <w:r>
        <w:t>An adopted Final Settlement term states whether it operates trilaterally, bilaterally between specified Parties, or through another differentiation expressly authorized by NAESTMA. A bilateral term does not silently alter the rights or obligations applicable to the third Party. Where regional treatment depends on North American origin or contribution, a bilateral enhanced-benefit bargain does not devalue otherwise qualifying content from a non-participating Party unless independent NAESTMA authority expressly provides that result. Schedule and registry records keep each bilateral and trilateral legal source, scope, activation condition, and effective date separately traceable.</w:t>
      </w:r>
    </w:p>
    <w:p>
      <w:pPr>
        <w:pStyle w:val="ClauseLabel"/>
      </w:pPr>
      <w:r>
        <w:t>FS00-C03: Reciprocity and Severability</w:t>
      </w:r>
    </w:p>
    <w:p>
      <w:pPr>
        <w:pStyle w:val="Normal"/>
      </w:pPr>
      <w:r>
        <w:t>Each adopted term that depends on matched consideration identifies whether the bargain is reciprocal, unilateral, severable, inseverable, or otherwise linked under the controlling authority. A severable term continues according to its own legal conditions when an unrelated settlement component is delayed or disputed. An inseverable or synchronized term identifies the corresponding obligations or benefits, evidence of completion, activation consequence, and route to resynchronization after material non-performance. Technical correction of a record does not change reciprocity or severability status unless the legally required amendment procedure authorizes that substantive change.</w:t>
      </w:r>
    </w:p>
    <w:p>
      <w:pPr>
        <w:pStyle w:val="ClauseLabel"/>
      </w:pPr>
      <w:r>
        <w:t>FS00-C04: Adoption Status Vocabulary</w:t>
      </w:r>
    </w:p>
    <w:p>
      <w:pPr>
        <w:pStyle w:val="Normal"/>
      </w:pPr>
      <w:r>
        <w:t>Final Settlement schedules use a stable adoption-status vocabulary sufficient to distinguish operative records from development material. “ADOPTED” identifies a completed record given legal effect through the required procedure, while “NOT ADOPTED” identifies a record with no operative settlement effect. “DRAFT: VERIFY” or “DRAFT: VERIFY BEFORE LEGAL SCRUB” identifies development material containing unresolved technical, legal, or source fields and remains non-operative. Another status label acquires operative meaning only where the controlling instrument expressly defines that meaning and its legal consequence.</w:t>
      </w:r>
    </w:p>
    <w:p>
      <w:pPr>
        <w:pStyle w:val="ClauseLabel"/>
      </w:pPr>
      <w:r>
        <w:t>FS00-C05: No Third-Party Penalty by Omission</w:t>
      </w:r>
    </w:p>
    <w:p>
      <w:pPr>
        <w:pStyle w:val="Normal"/>
      </w:pPr>
      <w:r>
        <w:t>Failure of one Party to participate in a bilateral Final Settlement term does not by itself reduce treatment otherwise owed to that Party under NAESTMA. A participating pair may implement the bilateral rights and obligations validly adopted between them without representing the bilateral bargain as a trilateral commitment. Regional content, origin, and contribution records continue to follow the controlling NAESTMA rules rather than an inference drawn from settlement participation alone. Any lawful differentiation affecting the third Party identifies its independent authority and scope expressly.</w:t>
      </w:r>
    </w:p>
    <w:p>
      <w:pPr>
        <w:pStyle w:val="ClauseLabel"/>
      </w:pPr>
      <w:r>
        <w:t>FS00-C06: Accession to an Existing Settlement Configuration</w:t>
      </w:r>
    </w:p>
    <w:p>
      <w:pPr>
        <w:pStyle w:val="Normal"/>
      </w:pPr>
      <w:r>
        <w:t>A Party may join an existing bilateral or partial Final Settlement configuration only through the procedure legally sufficient to create the additional rights and obligations. The accession record identifies the terms that become applicable, the effective date, any synchronized consideration, and any transition needed to avoid retroactive disturbance of completed treatment. Accession does not restart a completed clock, reopen a completed settlement state, or diminish accrued rights unless the controlling accession instrument expressly and lawfully provides otherwise. The Secretariat updates Schedule FS-00-A after the accession becomes legally effective and preserves the prior configuration for audit continuity.</w:t>
      </w:r>
    </w:p>
    <w:p>
      <w:pPr>
        <w:pStyle w:val="Heading2"/>
      </w:pPr>
      <w:bookmarkStart w:id="901163" w:name="_Toc300001162"/>
      <w:r>
        <w:t>FS-00.4: Schedule Architecture, Identifiers, and Evidentiary Status</w:t>
      </w:r>
      <w:bookmarkEnd w:id="901163"/>
    </w:p>
    <w:p>
      <w:pPr>
        <w:pStyle w:val="ClauseLabel"/>
      </w:pPr>
      <w:r>
        <w:t>FS00-D01: Stable Module and Row Identifiers</w:t>
      </w:r>
    </w:p>
    <w:p>
      <w:pPr>
        <w:pStyle w:val="Normal"/>
      </w:pPr>
      <w:r>
        <w:t>Each adopted Final Settlement module retains its stable module identifier FS-01, FS-02, FS-03, or FS-04 through implementation unless a formal renumbering instrument supplies an authoritative mapping. Where a substantive record is divided across two or more schedule tables, every component carries the same stable row identifier or an expressly mapped derivative identifier. Reordering, pagination, table splitting, or administrative republication does not alter the legal association created by the stable identifier. A successor schedule preserves the identifier history needed to determine which authority, benefit, transition, verification record, and closure event belong to the same legal bargain.</w:t>
      </w:r>
    </w:p>
    <w:p>
      <w:pPr>
        <w:pStyle w:val="ClauseLabel"/>
      </w:pPr>
      <w:r>
        <w:t>FS00-D02: Schedule Constitutiveness</w:t>
      </w:r>
    </w:p>
    <w:p>
      <w:pPr>
        <w:pStyle w:val="Normal"/>
      </w:pPr>
      <w:r>
        <w:t>A Final Settlement schedule is constitutive only to the extent the controlling module and legally sufficient adoption authority expressly make the completed adopted record constitutive for the identified legal function. Where a schedule merely records an independently operative rule, the schedule remains evidentiary and administrative for that function. A blank, bracketed, illustrative, proposed, modelled, unverified, or alternative field is non-operative unless the applicable adoption procedure expressly converts it into an adopted term. No recordkeeper acquires power to change substantive legal effect by editing a field whose legal source lies elsewhere.</w:t>
      </w:r>
    </w:p>
    <w:p>
      <w:pPr>
        <w:pStyle w:val="ClauseLabel"/>
      </w:pPr>
      <w:r>
        <w:t>FS00-D03: Common Authority Field</w:t>
      </w:r>
    </w:p>
    <w:p>
      <w:pPr>
        <w:pStyle w:val="Normal"/>
      </w:pPr>
      <w:r>
        <w:t>“Specific Legal Authority” is the common FS-00 parent concept for authority sufficient to produce the substantive legal consequence at issue. Specific Benefit Legal Authority, Specific Independent Benefit Legal Authority, Specific Transition Legal Authority, and Specific Legally Sufficient Adoption Authority are narrower contextual applications of that parent concept and do not create competing or lower authority standards. An adjustment authority authorizes only the adjustment within its stated bounds and does not imply authority to alter the ultimate settlement state. A technical or administrative authority likewise does not become substantive amendment authority through placement in a schedule.</w:t>
      </w:r>
    </w:p>
    <w:p>
      <w:pPr>
        <w:pStyle w:val="ClauseLabel"/>
      </w:pPr>
      <w:r>
        <w:t>FS00-D04: Source and Provenance</w:t>
      </w:r>
    </w:p>
    <w:p>
      <w:pPr>
        <w:pStyle w:val="Normal"/>
      </w:pPr>
      <w:r>
        <w:t>A technical value used as an operative Final Settlement field identifies its authoritative source where source verification is required by the controlling module. A derived value identifies the derivation method and the source values from which it is calculated. An estimated, reconstructed, unresolved, or illustrative value carries a conspicuous non-operative status until verified and adopted through the required procedure. Republication of a verified value does not create a new legal source or reset the effective date of the underlying commitment.</w:t>
      </w:r>
    </w:p>
    <w:p>
      <w:pPr>
        <w:pStyle w:val="ClauseLabel"/>
      </w:pPr>
      <w:r>
        <w:t>FS00-D05: Technical Corrections</w:t>
      </w:r>
    </w:p>
    <w:p>
      <w:pPr>
        <w:pStyle w:val="Normal"/>
      </w:pPr>
      <w:r>
        <w:t>A technical correction may repair clerical error, formatting, correlation, provenance, identifier mapping, or another non-substantive defect without reopening the negotiated bargain where the controlling law permits that correction. A technical correction does not change a participating Party, tariff rate, access quantity, threshold, final settlement state, reciprocity status, severability status, transition duration, legal activation mode, or substantive legal authority. Where a proposed correction would change legal effect, the Parties use the amendment or adoption procedure required for that substantive change. The record preserves the correction history sufficiently to reconstruct the operative text before and after the correction.</w:t>
      </w:r>
    </w:p>
    <w:p>
      <w:pPr>
        <w:pStyle w:val="ClauseLabel"/>
      </w:pPr>
      <w:r>
        <w:t>FS00-D06: Final Settlement Register</w:t>
      </w:r>
    </w:p>
    <w:p>
      <w:pPr>
        <w:pStyle w:val="Normal"/>
      </w:pPr>
      <w:r>
        <w:t>The Secretariat maintains a Final Settlement Register identifying each Adopted Final Settlement Module, adopted schedule record, participating Parties, effective date, stable identifier, Specific Legal Authority, current implementation state, and closure status. The Register is evidentiary unless a controlling provision expressly makes a particular entry constitutive. A clerical omission from the Register does not extinguish an otherwise operative right or preserve an obligation that has otherwise lawfully ended. The Secretariat corrects verified recordkeeping errors without using the Register to reopen the underlying bargain.</w:t>
      </w:r>
    </w:p>
    <w:p>
      <w:pPr>
        <w:pStyle w:val="Heading2"/>
      </w:pPr>
      <w:bookmarkStart w:id="901164" w:name="_Toc300001163"/>
      <w:r>
        <w:t>FS-00.5: Cross-Module Implementation, Verification, and Restoration</w:t>
      </w:r>
      <w:bookmarkEnd w:id="901164"/>
    </w:p>
    <w:p>
      <w:pPr>
        <w:pStyle w:val="ClauseLabel"/>
      </w:pPr>
      <w:r>
        <w:t>FS00-E01: Single-Fact Reuse</w:t>
      </w:r>
    </w:p>
    <w:p>
      <w:pPr>
        <w:pStyle w:val="Normal"/>
      </w:pPr>
      <w:r>
        <w:t>Where two Final Settlement modules require proof of the same fact, an authoritative finding made under an equivalent or stricter evidentiary standard may be reused to the extent permitted by the controlling provisions. Reuse does not convert a verifier into a policy decision maker or expand the legal consequence attached to the verified fact. A Party is not required to reproduce materially identical evidence solely because a second module consumes the same established fact. Confidentiality, freshness, reliability, procedural rights, and module-specific legal criteria remain applicable to the reused evidence.</w:t>
      </w:r>
    </w:p>
    <w:p>
      <w:pPr>
        <w:pStyle w:val="ClauseLabel"/>
      </w:pPr>
      <w:r>
        <w:t>FS00-E02: No Double Counting of Legal Contribution</w:t>
      </w:r>
    </w:p>
    <w:p>
      <w:pPr>
        <w:pStyle w:val="Normal"/>
      </w:pPr>
      <w:r>
        <w:t>The same physical investment, capacity addition, qualifying expenditure, production contribution, settlement credit, or other legally relevant contribution is not counted twice toward the same legal benefit where the controlling modules prohibit double counting. Where the same fact lawfully supports different legal tests, the record identifies each distinct test and confirms that the use does not duplicate the contribution within a single capped benefit calculation. FS-02 and FS-03 overlap records remain controlling for assurance and automotive contribution interfaces within their scope. Administrative reuse of evidence does not itself constitute economic double counting.</w:t>
      </w:r>
    </w:p>
    <w:p>
      <w:pPr>
        <w:pStyle w:val="ClauseLabel"/>
      </w:pPr>
      <w:r>
        <w:t>FS00-E03: Verification Boundaries</w:t>
      </w:r>
    </w:p>
    <w:p>
      <w:pPr>
        <w:pStyle w:val="Normal"/>
      </w:pPr>
      <w:r>
        <w:t>Verification establishes facts within the mandate assigned by the controlling NAESTMA provision or Final Settlement module. A verifier does not create a tariff consequence, origin rule, benefit, transition, suspension, or restoration merely by making a factual finding. The controlling legal provision supplies the consequence that follows from the verified fact. A disputed finding proceeds through the applicable review mechanism without enlarging the verifier's substantive authority.</w:t>
      </w:r>
    </w:p>
    <w:p>
      <w:pPr>
        <w:pStyle w:val="ClauseLabel"/>
      </w:pPr>
      <w:r>
        <w:t>FS00-E04: Temporary Measures and Clock Integrity</w:t>
      </w:r>
    </w:p>
    <w:p>
      <w:pPr>
        <w:pStyle w:val="Normal"/>
      </w:pPr>
      <w:r>
        <w:t>A temporary measure remains bounded by the condition, scope, duration, review rule, and restoration consequence supplied by its controlling authority. Movement of the measure between agencies, classifications, administrative forms, or Final Settlement records does not restart or multiply a clock that the controlling provision requires to continue or aggregate. A pause or extension affects only the products, Parties, benefits, and period expressly authorized by the applicable rule. Completed time and completed settlement states remain credited unless independent legal authority expressly provides a different result.</w:t>
      </w:r>
    </w:p>
    <w:p>
      <w:pPr>
        <w:pStyle w:val="ClauseLabel"/>
      </w:pPr>
      <w:r>
        <w:t>FS00-E05: Cure, Earn-Back, and Restoration</w:t>
      </w:r>
    </w:p>
    <w:p>
      <w:pPr>
        <w:pStyle w:val="Normal"/>
      </w:pPr>
      <w:r>
        <w:t>Where Chapter 35, Cothrom, or a more specific Final Settlement rule provides cure, earn-back, or restoration, that controlling architecture determines the evidentiary test and legal consequence. Restoration occurs automatically where the controlling rule makes verified cure sufficient and does not depend on a new political concession. Restoration returns the affected treatment to the state that would otherwise apply under the adopted settlement and does not revive an extinguished extraordinary measure absent independent authority. Unrelated modules, sectors, products, Parties, and benefits remain outside the restoration dispute unless an adopted term expressly and lawfully links them.</w:t>
      </w:r>
    </w:p>
    <w:p>
      <w:pPr>
        <w:pStyle w:val="ClauseLabel"/>
      </w:pPr>
      <w:r>
        <w:t>FS00-E06: Implementation Coordination Without Merger</w:t>
      </w:r>
    </w:p>
    <w:p>
      <w:pPr>
        <w:pStyle w:val="Normal"/>
      </w:pPr>
      <w:r>
        <w:t>The Parties may coordinate implementation calendars, customs guidance, publication, technical assistance, data exchange, and Secretariat administration across several Final Settlement modules. Operational coordination does not merge the modules' legal tests, participating Parties, authorities, remedies, clocks, or closure conditions. Where one administrative action implements several adopted terms, the record identifies each legal basis separately enough to preserve auditability. A failure in one implementation stream is contained according to the controlling module rather than presumed to suspend the entire Final Settlement Package.</w:t>
      </w:r>
    </w:p>
    <w:p>
      <w:pPr>
        <w:pStyle w:val="Heading2"/>
      </w:pPr>
      <w:bookmarkStart w:id="901165" w:name="_Toc300001164"/>
      <w:r>
        <w:t>FS-00.6: Review, Amendment, Completion, and Closure</w:t>
      </w:r>
      <w:bookmarkEnd w:id="901165"/>
    </w:p>
    <w:p>
      <w:pPr>
        <w:pStyle w:val="ClauseLabel"/>
      </w:pPr>
      <w:r>
        <w:t>FS00-F01: Package Review</w:t>
      </w:r>
    </w:p>
    <w:p>
      <w:pPr>
        <w:pStyle w:val="Normal"/>
      </w:pPr>
      <w:r>
        <w:t>A Final Settlement review may assess implementation, interoperability, administrative burden, verification reuse, commercial usability, data quality, unresolved interface issues, and whether the adopted package continues to operate as recorded. Review alone does not amend a tariff rate, access quantity, origin rule, assurance benchmark, automotive threshold, transition period, participating-Party configuration, or other substantive term. The review distinguishes technical correction from substantive amendment and identifies the legal procedure required for any recommended change. An unfinished review does not suspend an otherwise operative adopted term or cause a durable settlement state to fade.</w:t>
      </w:r>
    </w:p>
    <w:p>
      <w:pPr>
        <w:pStyle w:val="ClauseLabel"/>
      </w:pPr>
      <w:r>
        <w:t>FS00-F02: Amendment Discipline</w:t>
      </w:r>
    </w:p>
    <w:p>
      <w:pPr>
        <w:pStyle w:val="Normal"/>
      </w:pPr>
      <w:r>
        <w:t>A substantive change to an Adopted Final Settlement Module uses the amendment, adoption, or implementing procedure legally required for the right or obligation being changed. The amendment identifies the affected module, stable row identifier, participating Parties, Specific Legal Authority, effective date, and any transition or preservation rule needed to avoid ambiguity. An amendment to one module does not amend another module by implication. Where a conforming cross-reference change is necessary, the amendment record identifies that change expressly and preserves the prior text for audit continuity.</w:t>
      </w:r>
    </w:p>
    <w:p>
      <w:pPr>
        <w:pStyle w:val="ClauseLabel"/>
      </w:pPr>
      <w:r>
        <w:t>FS00-F03: No-Fade and Anti-Revival</w:t>
      </w:r>
    </w:p>
    <w:p>
      <w:pPr>
        <w:pStyle w:val="Normal"/>
      </w:pPr>
      <w:r>
        <w:t>Final Normalization, Completed Agricultural Settlement States, restored benefits, and other durable settlement states continue according to their controlling provisions after implementation work is complete. Expiration of a committee mandate, review date, administrative form, schedule publication cycle, or implementation plan does not revive a displaced extraordinary tariff, completed transitional burden, or expired temporary restriction. A successor measure does not recreate substantially equivalent prohibited treatment merely through relabelling, reclassification, a different agency, or a different administrative vehicle. Any lawful reintroduction or alteration identifies independent authority sufficient for that new legal effect.</w:t>
      </w:r>
    </w:p>
    <w:p>
      <w:pPr>
        <w:pStyle w:val="ClauseLabel"/>
      </w:pPr>
      <w:r>
        <w:t>FS00-F04: Module Completion</w:t>
      </w:r>
    </w:p>
    <w:p>
      <w:pPr>
        <w:pStyle w:val="Normal"/>
      </w:pPr>
      <w:r>
        <w:t>Each module identifies the event or objective condition that completes its settlement function for an adopted record. A completion record states the durable treatment, continuing administrative interfaces, surviving temporary measures, unresolved disputes, cure or restoration rights, and provisions designated to survive. The completion record is evidentiary unless the controlling law expressly makes it constitutive. Failure to issue an evidentiary completion record does not delay a legal consequence that the controlling provision makes automatic upon satisfaction of objective conditions.</w:t>
      </w:r>
    </w:p>
    <w:p>
      <w:pPr>
        <w:pStyle w:val="ClauseLabel"/>
      </w:pPr>
      <w:r>
        <w:t>FS00-F05: Package Closure</w:t>
      </w:r>
    </w:p>
    <w:p>
      <w:pPr>
        <w:pStyle w:val="Normal"/>
      </w:pPr>
      <w:r>
        <w:t>The Final Settlement Package reaches closure for a participating Party configuration when every adopted module applicable to that configuration has reached its controlling completion or continuing-state condition and no adoption instrument requires an additional package-level act. Package closure is an administrative and evidentiary state unless a controlling provision expressly gives closure a substantive terminating effect, and it does not by itself terminate, suspend, reopen, or renew a right or obligation created by an adopted module. The closure record states the operative module set, surviving rights and obligations, continuing registries or administrative interfaces, unresolved proceedings, and authoritative amendment history without extinguishing accrued rights, confidentiality duties, audit records, cure rights, restoration rights, or provisions designated to survive. The closure record does not create authority to renegotiate or reopen a completed settlement state.</w:t>
      </w:r>
    </w:p>
    <w:p>
      <w:pPr>
        <w:pStyle w:val="ClauseLabel"/>
      </w:pPr>
      <w:r>
        <w:t>FS00-F06: Transition to Master Integration</w:t>
      </w:r>
    </w:p>
    <w:p>
      <w:pPr>
        <w:pStyle w:val="Normal"/>
      </w:pPr>
      <w:r>
        <w:t>The Secretariat maintains the Final Settlement Integration Map as a non-operative concordance showing the authenticated master location of each adopted FS-00 through FS-04 provision, schedule, definition, and controlling cross-reference. The Integration Map identifies insertion points, schedule relationships, conforming amendments, superseded development notes, and provisions intentionally left untouched, but the Map does not itself amend, adopt, displace, or interpret this Agreement. A later consolidation preserves the tested legal function of each module and does not silently consolidate, delete, or rewrite existing NAESTMA architecture merely for editorial convenience. Where maintenance of the Map reveals a genuine conflict not resolved by this Annex, the conflict proceeds through targeted legal review rather than unrecorded drafting inference.</w:t>
      </w:r>
    </w:p>
    <w:p>
      <w:pPr>
        <w:pStyle w:val="Heading2"/>
      </w:pPr>
      <w:bookmarkStart w:id="901166" w:name="_Toc300001165"/>
      <w:r>
        <w:t>Schedule FS-00-A: Final Settlement Module Adoption and Participation Register</w:t>
      </w:r>
      <w:bookmarkEnd w:id="901166"/>
    </w:p>
    <w:p>
      <w:pPr>
        <w:pStyle w:val="Normal"/>
      </w:pPr>
      <w:r>
        <w:rPr>
          <w:b w:val="0"/>
          <w:i w:val="0"/>
        </w:rPr>
        <w:t>This schedule records the operative package configuration and adopted scope after legally sufficient adoption. It is evidentiary unless the controlling adoption instrument expressly makes a field constitutive. Blank or development-status fields do not create legal effect, and a recorded module portion does not imply adoption of the remainder of that module.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979"/>
        <w:gridCol w:w="979"/>
        <w:gridCol w:w="979"/>
        <w:gridCol w:w="979"/>
        <w:gridCol w:w="979"/>
        <w:gridCol w:w="979"/>
        <w:gridCol w:w="979"/>
        <w:gridCol w:w="979"/>
        <w:gridCol w:w="979"/>
        <w:gridCol w:w="979"/>
        <w:gridCol w:w="0"/>
      </w:tblGrid>
      <w:tr>
        <w:trPr>
          <w:tblHeader w:val="true"/>
        </w:trPr>
        <w:tc>
          <w:tcPr>
            <w:tcW w:type="dxa" w:w="1080"/>
            <w:shd w:fill="ECEFF1" w:val="clear" w:color="auto"/>
            <w:vAlign w:val="center"/>
          </w:tcPr>
          <w:p>
            <w:pPr>
              <w:pStyle w:val="TableText"/>
            </w:pPr>
            <w:r>
              <w:rPr/>
              <w:t>Adoption Status</w:t>
            </w:r>
          </w:p>
        </w:tc>
        <w:tc>
          <w:tcPr>
            <w:tcW w:type="dxa" w:w="648"/>
            <w:shd w:fill="ECEFF1" w:val="clear" w:color="auto"/>
            <w:vAlign w:val="center"/>
          </w:tcPr>
          <w:p>
            <w:pPr>
              <w:pStyle w:val="TableText"/>
            </w:pPr>
            <w:r>
              <w:rPr/>
              <w:t>Module</w:t>
            </w:r>
          </w:p>
        </w:tc>
        <w:tc>
          <w:tcPr>
            <w:tcW w:type="dxa" w:w="1152"/>
            <w:shd w:fill="ECEFF1" w:val="clear" w:color="auto"/>
            <w:vAlign w:val="center"/>
          </w:tcPr>
          <w:p>
            <w:pPr>
              <w:pStyle w:val="TableText"/>
            </w:pPr>
            <w:r>
              <w:rPr/>
              <w:t>[Entire module / exact severable portion]</w:t>
            </w:r>
          </w:p>
        </w:tc>
        <w:tc>
          <w:tcPr>
            <w:tcW w:type="dxa" w:w="1296"/>
            <w:shd w:fill="ECEFF1" w:val="clear" w:color="auto"/>
            <w:vAlign w:val="center"/>
          </w:tcPr>
          <w:p>
            <w:pPr>
              <w:pStyle w:val="TableText"/>
            </w:pPr>
            <w:r>
              <w:rPr/>
              <w:t>Parties / Scope</w:t>
            </w:r>
          </w:p>
        </w:tc>
        <w:tc>
          <w:tcPr>
            <w:tcW w:type="dxa" w:w="1296"/>
            <w:shd w:fill="ECEFF1" w:val="clear" w:color="auto"/>
            <w:vAlign w:val="center"/>
          </w:tcPr>
          <w:p>
            <w:pPr>
              <w:pStyle w:val="TableText"/>
            </w:pPr>
            <w:r>
              <w:rPr/>
              <w:t>Adoption Instrument</w:t>
            </w:r>
          </w:p>
        </w:tc>
        <w:tc>
          <w:tcPr>
            <w:tcW w:type="dxa" w:w="1080"/>
            <w:shd w:fill="ECEFF1" w:val="clear" w:color="auto"/>
            <w:vAlign w:val="center"/>
          </w:tcPr>
          <w:p>
            <w:pPr>
              <w:pStyle w:val="TableText"/>
            </w:pPr>
            <w:r>
              <w:rPr/>
              <w:t>Specific Legal Authority</w:t>
            </w:r>
          </w:p>
        </w:tc>
        <w:tc>
          <w:tcPr>
            <w:tcW w:type="dxa" w:w="1584"/>
            <w:shd w:fill="ECEFF1" w:val="clear" w:color="auto"/>
            <w:vAlign w:val="center"/>
          </w:tcPr>
          <w:p>
            <w:pPr>
              <w:pStyle w:val="TableText"/>
            </w:pPr>
            <w:r>
              <w:rPr/>
              <w:t>Effective Date</w:t>
            </w:r>
          </w:p>
        </w:tc>
        <w:tc>
          <w:tcPr>
            <w:tcW w:type="dxa" w:w="1440"/>
            <w:shd w:fill="ECEFF1" w:val="clear" w:color="auto"/>
            <w:vAlign w:val="center"/>
          </w:tcPr>
          <w:p>
            <w:pPr>
              <w:pStyle w:val="TableText"/>
            </w:pPr>
            <w:r>
              <w:rPr/>
              <w:t>Reciprocity / Severability</w:t>
            </w:r>
          </w:p>
        </w:tc>
        <w:tc>
          <w:tcPr>
            <w:tcW w:type="dxa" w:w="1296"/>
            <w:shd w:fill="ECEFF1" w:val="clear" w:color="auto"/>
            <w:vAlign w:val="center"/>
          </w:tcPr>
          <w:p>
            <w:pPr>
              <w:pStyle w:val="TableText"/>
            </w:pPr>
            <w:r>
              <w:rPr/>
              <w:t>Primary Stable Record</w:t>
            </w:r>
          </w:p>
        </w:tc>
        <w:tc>
          <w:tcPr>
            <w:tcW w:type="dxa" w:w="1008"/>
            <w:shd w:fill="ECEFF1" w:val="clear" w:color="auto"/>
            <w:vAlign w:val="center"/>
          </w:tcPr>
          <w:p>
            <w:pPr>
              <w:pStyle w:val="TableText"/>
            </w:pPr>
            <w:r>
              <w:rPr/>
              <w:t>Implementation State</w:t>
            </w:r>
          </w:p>
        </w:tc>
        <w:tc>
          <w:tcPr>
            <w:tcW w:type="dxa" w:w="0"/>
          </w:tcPr>
          <w:p>
            <w:pPr>
              <w:pStyle w:val="TableText"/>
            </w:pPr>
            <w:r>
              <w:rPr/>
              <w:t>Closure State</w:t>
            </w:r>
          </w:p>
        </w:tc>
      </w:tr>
      <w:tr>
        <w:tc>
          <w:tcPr>
            <w:tcW w:type="dxa" w:w="1080"/>
            <w:vAlign w:val="center"/>
          </w:tcPr>
          <w:p>
            <w:pPr>
              <w:pStyle w:val="TableText"/>
            </w:pPr>
            <w:r>
              <w:rPr/>
              <w:t>DRAFT: VERIFY BEFORE LEGAL SCRUB</w:t>
            </w:r>
          </w:p>
        </w:tc>
        <w:tc>
          <w:tcPr>
            <w:tcW w:type="dxa" w:w="648"/>
            <w:vAlign w:val="center"/>
          </w:tcPr>
          <w:p>
            <w:pPr>
              <w:pStyle w:val="TableText"/>
            </w:pPr>
            <w:r>
              <w:rPr/>
              <w:t>FS-01</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[FS-01-A entry / register]</w:t>
            </w:r>
          </w:p>
        </w:tc>
        <w:tc>
          <w:tcPr>
            <w:tcW w:type="dxa" w:w="1008"/>
            <w:vAlign w:val="center"/>
          </w:tcPr>
          <w:p>
            <w:pPr>
              <w:pStyle w:val="TableText"/>
            </w:pPr>
            <w:r>
              <w:rPr/>
              <w:t>[Not active / active / transition / completed]</w:t>
            </w:r>
          </w:p>
        </w:tc>
        <w:tc>
          <w:tcPr>
            <w:tcW w:type="dxa" w:w="0"/>
          </w:tcPr>
          <w:p>
            <w:pPr>
              <w:pStyle w:val="TableText"/>
            </w:pPr>
            <w:r>
              <w:rPr/>
              <w:t>[Open / closed]</w:t>
            </w:r>
          </w:p>
        </w:tc>
      </w:tr>
      <w:tr>
        <w:tc>
          <w:tcPr>
            <w:tcW w:type="dxa" w:w="1080"/>
            <w:vAlign w:val="center"/>
          </w:tcPr>
          <w:p>
            <w:pPr>
              <w:pStyle w:val="TableText"/>
            </w:pPr>
            <w:r>
              <w:rPr/>
              <w:t>DRAFT: VERIFY BEFORE LEGAL SCRUB</w:t>
            </w:r>
          </w:p>
        </w:tc>
        <w:tc>
          <w:tcPr>
            <w:tcW w:type="dxa" w:w="648"/>
            <w:vAlign w:val="center"/>
          </w:tcPr>
          <w:p>
            <w:pPr>
              <w:pStyle w:val="TableText"/>
            </w:pPr>
            <w:r>
              <w:rPr/>
              <w:t>FS-02</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[FS-02 row]</w:t>
            </w:r>
          </w:p>
        </w:tc>
        <w:tc>
          <w:tcPr>
            <w:tcW w:type="dxa" w:w="1008"/>
            <w:vAlign w:val="center"/>
          </w:tcPr>
          <w:p>
            <w:pPr>
              <w:pStyle w:val="TableText"/>
            </w:pPr>
            <w:r>
              <w:rPr/>
              <w:t>[Not active / active / suspended / restored]</w:t>
            </w:r>
          </w:p>
        </w:tc>
        <w:tc>
          <w:tcPr>
            <w:tcW w:type="dxa" w:w="0"/>
          </w:tcPr>
          <w:p>
            <w:pPr>
              <w:pStyle w:val="TableText"/>
            </w:pPr>
            <w:r>
              <w:rPr/>
              <w:t>[Open / closed]</w:t>
            </w:r>
          </w:p>
        </w:tc>
      </w:tr>
      <w:tr>
        <w:tc>
          <w:tcPr>
            <w:tcW w:type="dxa" w:w="1080"/>
            <w:vAlign w:val="center"/>
          </w:tcPr>
          <w:p>
            <w:pPr>
              <w:pStyle w:val="TableText"/>
            </w:pPr>
            <w:r>
              <w:rPr/>
              <w:t>DRAFT: VERIFY BEFORE LEGAL SCRUB</w:t>
            </w:r>
          </w:p>
        </w:tc>
        <w:tc>
          <w:tcPr>
            <w:tcW w:type="dxa" w:w="648"/>
            <w:vAlign w:val="center"/>
          </w:tcPr>
          <w:p>
            <w:pPr>
              <w:pStyle w:val="TableText"/>
            </w:pPr>
            <w:r>
              <w:rPr/>
              <w:t>FS-03</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[Core / earned-benefit Row ID]</w:t>
            </w:r>
          </w:p>
        </w:tc>
        <w:tc>
          <w:tcPr>
            <w:tcW w:type="dxa" w:w="1008"/>
            <w:vAlign w:val="center"/>
          </w:tcPr>
          <w:p>
            <w:pPr>
              <w:pStyle w:val="TableText"/>
            </w:pPr>
            <w:r>
              <w:rPr/>
              <w:t>[Not active / active / transition / completed]</w:t>
            </w:r>
          </w:p>
        </w:tc>
        <w:tc>
          <w:tcPr>
            <w:tcW w:type="dxa" w:w="0"/>
          </w:tcPr>
          <w:p>
            <w:pPr>
              <w:pStyle w:val="TableText"/>
            </w:pPr>
            <w:r>
              <w:rPr/>
              <w:t>[Open / closed]</w:t>
            </w:r>
          </w:p>
        </w:tc>
      </w:tr>
      <w:tr>
        <w:tc>
          <w:tcPr>
            <w:tcW w:type="dxa" w:w="1080"/>
            <w:vAlign w:val="center"/>
          </w:tcPr>
          <w:p>
            <w:pPr>
              <w:pStyle w:val="TableText"/>
            </w:pPr>
            <w:r>
              <w:rPr/>
              <w:t>DRAFT: VERIFY BEFORE LEGAL SCRUB</w:t>
            </w:r>
          </w:p>
        </w:tc>
        <w:tc>
          <w:tcPr>
            <w:tcW w:type="dxa" w:w="648"/>
            <w:vAlign w:val="center"/>
          </w:tcPr>
          <w:p>
            <w:pPr>
              <w:pStyle w:val="TableText"/>
            </w:pPr>
            <w:r>
              <w:rPr/>
              <w:t>FS-04</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[FS-04-A / B / C row]</w:t>
            </w:r>
          </w:p>
        </w:tc>
        <w:tc>
          <w:tcPr>
            <w:tcW w:type="dxa" w:w="1008"/>
            <w:vAlign w:val="center"/>
          </w:tcPr>
          <w:p>
            <w:pPr>
              <w:pStyle w:val="TableText"/>
            </w:pPr>
            <w:r>
              <w:rPr/>
              <w:t>[Not active / active / transition / completed]</w:t>
            </w:r>
          </w:p>
        </w:tc>
        <w:tc>
          <w:tcPr>
            <w:tcW w:type="dxa" w:w="0"/>
          </w:tcPr>
          <w:p>
            <w:pPr>
              <w:pStyle w:val="TableText"/>
            </w:pPr>
            <w:r>
              <w:rPr/>
              <w:t>[Open / closed]</w:t>
            </w:r>
          </w:p>
        </w:tc>
      </w:tr>
    </w:tbl>
    <w:p>
      <w:pPr>
        <w:pStyle w:val="Heading2"/>
      </w:pPr>
      <w:bookmarkStart w:id="901167" w:name="_Toc300001166"/>
      <w:r>
        <w:t>Schedule FS-00-B: Cross-Module Authority and Interface Register</w:t>
      </w:r>
      <w:bookmarkEnd w:id="901167"/>
    </w:p>
    <w:p>
      <w:pPr>
        <w:pStyle w:val="Normal"/>
      </w:pPr>
      <w:r>
        <w:rPr>
          <w:b w:val="0"/>
          <w:i w:val="0"/>
        </w:rPr>
        <w:t>This schedule records cross-module interfaces that require persistent traceability and is evidentiary and indexing only. An FS-00-B entry does not create, enlarge, transfer, amend, cure, or substitute for Specific Legal Authority, linkage, remedy, or substantive legal effect. If an entry conflicts with its cited controlling source, the controlling source governs and the erroneous mapping is corrected without altering the underlying legal rule.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1088"/>
        <w:gridCol w:w="1088"/>
        <w:gridCol w:w="1088"/>
        <w:gridCol w:w="1088"/>
        <w:gridCol w:w="1088"/>
        <w:gridCol w:w="1088"/>
        <w:gridCol w:w="1088"/>
        <w:gridCol w:w="1088"/>
        <w:gridCol w:w="1088"/>
      </w:tblGrid>
      <w:tr>
        <w:trPr>
          <w:tblHeader w:val="true"/>
        </w:trPr>
        <w:tc>
          <w:tcPr>
            <w:tcW w:type="dxa" w:w="1008"/>
            <w:shd w:fill="ECEFF1" w:val="clear" w:color="auto"/>
            <w:vAlign w:val="center"/>
          </w:tcPr>
          <w:p>
            <w:pPr>
              <w:pStyle w:val="TableText"/>
            </w:pPr>
            <w:r>
              <w:rPr/>
            </w:r>
            <w:r>
              <w:rPr>
                <w:b/>
              </w:rPr>
              <w:t>Interface ID</w:t>
            </w:r>
          </w:p>
        </w:tc>
        <w:tc>
          <w:tcPr>
            <w:tcW w:type="dxa" w:w="1296"/>
            <w:shd w:fill="ECEFF1" w:val="clear" w:color="auto"/>
            <w:vAlign w:val="center"/>
          </w:tcPr>
          <w:p>
            <w:pPr>
              <w:pStyle w:val="TableText"/>
            </w:pPr>
            <w:r>
              <w:rPr/>
            </w:r>
            <w:r>
              <w:rPr>
                <w:b/>
              </w:rPr>
              <w:t>Source Module / Record</w:t>
            </w:r>
          </w:p>
        </w:tc>
        <w:tc>
          <w:tcPr>
            <w:tcW w:type="dxa" w:w="1296"/>
            <w:shd w:fill="ECEFF1" w:val="clear" w:color="auto"/>
            <w:vAlign w:val="center"/>
          </w:tcPr>
          <w:p>
            <w:pPr>
              <w:pStyle w:val="TableText"/>
            </w:pPr>
            <w:r>
              <w:rPr/>
            </w:r>
            <w:r>
              <w:rPr>
                <w:b/>
              </w:rPr>
              <w:t>Receiving Module / Record</w:t>
            </w:r>
          </w:p>
        </w:tc>
        <w:tc>
          <w:tcPr>
            <w:tcW w:type="dxa" w:w="1656"/>
            <w:shd w:fill="ECEFF1" w:val="clear" w:color="auto"/>
            <w:vAlign w:val="center"/>
          </w:tcPr>
          <w:p>
            <w:pPr>
              <w:pStyle w:val="TableText"/>
            </w:pPr>
            <w:r>
              <w:rPr/>
            </w:r>
            <w:r>
              <w:rPr>
                <w:b/>
              </w:rPr>
              <w:t>Shared Fact or Legal Function</w:t>
            </w:r>
          </w:p>
        </w:tc>
        <w:tc>
          <w:tcPr>
            <w:tcW w:type="dxa" w:w="1296"/>
            <w:shd w:fill="ECEFF1" w:val="clear" w:color="auto"/>
            <w:vAlign w:val="center"/>
          </w:tcPr>
          <w:p>
            <w:pPr>
              <w:pStyle w:val="TableText"/>
            </w:pPr>
            <w:r>
              <w:rPr/>
              <w:t>Specific Legal Authority</w:t>
            </w:r>
          </w:p>
        </w:tc>
        <w:tc>
          <w:tcPr>
            <w:tcW w:type="dxa" w:w="1728"/>
            <w:shd w:fill="ECEFF1" w:val="clear" w:color="auto"/>
            <w:vAlign w:val="center"/>
          </w:tcPr>
          <w:p>
            <w:pPr>
              <w:pStyle w:val="TableText"/>
            </w:pPr>
            <w:r>
              <w:rPr/>
            </w:r>
            <w:r>
              <w:rPr>
                <w:b/>
              </w:rPr>
              <w:t>Reuse / Linkage Rule</w:t>
            </w:r>
          </w:p>
        </w:tc>
        <w:tc>
          <w:tcPr>
            <w:tcW w:type="dxa" w:w="1656"/>
            <w:shd w:fill="ECEFF1" w:val="clear" w:color="auto"/>
            <w:vAlign w:val="center"/>
          </w:tcPr>
          <w:p>
            <w:pPr>
              <w:pStyle w:val="TableText"/>
            </w:pPr>
            <w:r>
              <w:rPr/>
            </w:r>
            <w:r>
              <w:rPr>
                <w:b/>
              </w:rPr>
              <w:t>Containment Rule</w:t>
            </w:r>
          </w:p>
        </w:tc>
        <w:tc>
          <w:tcPr>
            <w:tcW w:type="dxa" w:w="1656"/>
            <w:shd w:fill="ECEFF1" w:val="clear" w:color="auto"/>
            <w:vAlign w:val="center"/>
          </w:tcPr>
          <w:p>
            <w:pPr>
              <w:pStyle w:val="TableText"/>
            </w:pPr>
            <w:r>
              <w:rPr/>
            </w:r>
            <w:r>
              <w:rPr>
                <w:b/>
              </w:rPr>
              <w:t>Restoration / Completion Rule</w:t>
            </w:r>
          </w:p>
        </w:tc>
        <w:tc>
          <w:tcPr>
            <w:tcW w:type="dxa" w:w="1080"/>
            <w:shd w:fill="ECEFF1" w:val="clear" w:color="auto"/>
            <w:vAlign w:val="center"/>
          </w:tcPr>
          <w:p>
            <w:pPr>
              <w:pStyle w:val="TableText"/>
            </w:pPr>
            <w:r>
              <w:rPr/>
            </w:r>
            <w:r>
              <w:rPr>
                <w:b/>
              </w:rPr>
              <w:t>Status</w:t>
            </w:r>
          </w:p>
        </w:tc>
      </w:tr>
      <w:tr>
        <w:tc>
          <w:tcPr>
            <w:tcW w:type="dxa" w:w="1008"/>
            <w:vAlign w:val="center"/>
          </w:tcPr>
          <w:p>
            <w:pPr>
              <w:pStyle w:val="TableText"/>
            </w:pPr>
            <w:r>
              <w:rPr/>
            </w:r>
            <w:r>
              <w:rPr>
                <w:b w:val="0"/>
              </w:rPr>
              <w:t>FS00-INT-[ ]</w:t>
            </w:r>
          </w:p>
        </w:tc>
        <w:tc>
          <w:tcPr>
            <w:tcW w:type="dxa" w:w="1296"/>
            <w:vAlign w:val="center"/>
          </w:tcPr>
          <w:p>
            <w:pPr>
              <w:pStyle w:val="TableText"/>
            </w:pPr>
            <w:r>
              <w:rPr/>
            </w:r>
            <w:r>
              <w:rPr>
                <w:b w:val="0"/>
              </w:rPr>
              <w:t>[FS-01 / row]</w:t>
            </w:r>
          </w:p>
        </w:tc>
        <w:tc>
          <w:tcPr>
            <w:tcW w:type="dxa" w:w="1296"/>
            <w:vAlign w:val="center"/>
          </w:tcPr>
          <w:p>
            <w:pPr>
              <w:pStyle w:val="TableText"/>
            </w:pPr>
            <w:r>
              <w:rPr/>
            </w:r>
            <w:r>
              <w:rPr>
                <w:b w:val="0"/>
              </w:rPr>
              <w:t>[FS-03 / row]</w:t>
            </w:r>
          </w:p>
        </w:tc>
        <w:tc>
          <w:tcPr>
            <w:tcW w:type="dxa" w:w="1656"/>
            <w:vAlign w:val="center"/>
          </w:tcPr>
          <w:p>
            <w:pPr>
              <w:pStyle w:val="TableText"/>
            </w:pPr>
            <w:r>
              <w:rPr/>
            </w:r>
            <w:r>
              <w:rPr>
                <w:b w:val="0"/>
              </w:rPr>
              <w:t>[Tariff normalization / automotive settlement]</w:t>
            </w:r>
          </w:p>
        </w:tc>
        <w:tc>
          <w:tcPr>
            <w:tcW w:type="dxa" w:w="1296"/>
            <w:vAlign w:val="center"/>
          </w:tcPr>
          <w:p>
            <w:pPr>
              <w:pStyle w:val="TableText"/>
            </w:pPr>
            <w:r>
              <w:rPr/>
            </w:r>
            <w:r>
              <w:rPr>
                <w:b w:val="0"/>
              </w:rPr>
              <w:t>[Provision]</w:t>
            </w:r>
          </w:p>
        </w:tc>
        <w:tc>
          <w:tcPr>
            <w:tcW w:type="dxa" w:w="1728"/>
            <w:vAlign w:val="center"/>
          </w:tcPr>
          <w:p>
            <w:pPr>
              <w:pStyle w:val="TableText"/>
            </w:pPr>
            <w:r>
              <w:rPr/>
            </w:r>
            <w:r>
              <w:rPr>
                <w:b w:val="0"/>
              </w:rPr>
              <w:t>[Exact interface]</w:t>
            </w:r>
          </w:p>
        </w:tc>
        <w:tc>
          <w:tcPr>
            <w:tcW w:type="dxa" w:w="1656"/>
            <w:vAlign w:val="center"/>
          </w:tcPr>
          <w:p>
            <w:pPr>
              <w:pStyle w:val="TableText"/>
            </w:pPr>
            <w:r>
              <w:rPr/>
            </w:r>
            <w:r>
              <w:rPr>
                <w:b w:val="0"/>
              </w:rPr>
              <w:t>[Affected scope only]</w:t>
            </w:r>
          </w:p>
        </w:tc>
        <w:tc>
          <w:tcPr>
            <w:tcW w:type="dxa" w:w="1656"/>
            <w:vAlign w:val="center"/>
          </w:tcPr>
          <w:p>
            <w:pPr>
              <w:pStyle w:val="TableText"/>
            </w:pPr>
            <w:r>
              <w:rPr/>
            </w:r>
            <w:r>
              <w:rPr>
                <w:b w:val="0"/>
              </w:rPr>
              <w:t>[Controlling restoration / completion]</w:t>
            </w:r>
          </w:p>
        </w:tc>
        <w:tc>
          <w:tcPr>
            <w:tcW w:type="dxa" w:w="1080"/>
            <w:vAlign w:val="center"/>
          </w:tcPr>
          <w:p>
            <w:pPr>
              <w:pStyle w:val="TableText"/>
            </w:pPr>
            <w:r>
              <w:rPr/>
              <w:t>DRAFT: VERIFY BEFORE LEGAL SCRUB</w:t>
            </w:r>
          </w:p>
        </w:tc>
      </w:tr>
      <w:tr>
        <w:tc>
          <w:tcPr>
            <w:tcW w:type="dxa" w:w="1008"/>
            <w:vAlign w:val="center"/>
          </w:tcPr>
          <w:p>
            <w:pPr>
              <w:pStyle w:val="TableText"/>
            </w:pPr>
            <w:r>
              <w:rPr/>
            </w:r>
            <w:r>
              <w:rPr>
                <w:b w:val="0"/>
              </w:rPr>
              <w:t>FS00-INT-[ ]</w:t>
            </w:r>
          </w:p>
        </w:tc>
        <w:tc>
          <w:tcPr>
            <w:tcW w:type="dxa" w:w="1296"/>
            <w:vAlign w:val="center"/>
          </w:tcPr>
          <w:p>
            <w:pPr>
              <w:pStyle w:val="TableText"/>
            </w:pPr>
            <w:r>
              <w:rPr/>
            </w:r>
            <w:r>
              <w:rPr>
                <w:b w:val="0"/>
              </w:rPr>
              <w:t>[FS-02 / row]</w:t>
            </w:r>
          </w:p>
        </w:tc>
        <w:tc>
          <w:tcPr>
            <w:tcW w:type="dxa" w:w="1296"/>
            <w:vAlign w:val="center"/>
          </w:tcPr>
          <w:p>
            <w:pPr>
              <w:pStyle w:val="TableText"/>
            </w:pPr>
            <w:r>
              <w:rPr/>
            </w:r>
            <w:r>
              <w:rPr>
                <w:b w:val="0"/>
              </w:rPr>
              <w:t>[FS-03 / row]</w:t>
            </w:r>
          </w:p>
        </w:tc>
        <w:tc>
          <w:tcPr>
            <w:tcW w:type="dxa" w:w="1656"/>
            <w:vAlign w:val="center"/>
          </w:tcPr>
          <w:p>
            <w:pPr>
              <w:pStyle w:val="TableText"/>
            </w:pPr>
            <w:r>
              <w:rPr/>
            </w:r>
            <w:r>
              <w:rPr>
                <w:b w:val="0"/>
              </w:rPr>
              <w:t>[Assurance contribution / enhanced automotive benefit]</w:t>
            </w:r>
          </w:p>
        </w:tc>
        <w:tc>
          <w:tcPr>
            <w:tcW w:type="dxa" w:w="1296"/>
            <w:vAlign w:val="center"/>
          </w:tcPr>
          <w:p>
            <w:pPr>
              <w:pStyle w:val="TableText"/>
            </w:pPr>
            <w:r>
              <w:rPr/>
            </w:r>
            <w:r>
              <w:rPr>
                <w:b w:val="0"/>
              </w:rPr>
              <w:t>[Provision]</w:t>
            </w:r>
          </w:p>
        </w:tc>
        <w:tc>
          <w:tcPr>
            <w:tcW w:type="dxa" w:w="1728"/>
            <w:vAlign w:val="center"/>
          </w:tcPr>
          <w:p>
            <w:pPr>
              <w:pStyle w:val="TableText"/>
            </w:pPr>
            <w:r>
              <w:rPr/>
            </w:r>
            <w:r>
              <w:rPr>
                <w:b w:val="0"/>
              </w:rPr>
              <w:t>[Exact interface]</w:t>
            </w:r>
          </w:p>
        </w:tc>
        <w:tc>
          <w:tcPr>
            <w:tcW w:type="dxa" w:w="1656"/>
            <w:vAlign w:val="center"/>
          </w:tcPr>
          <w:p>
            <w:pPr>
              <w:pStyle w:val="TableText"/>
            </w:pPr>
            <w:r>
              <w:rPr/>
            </w:r>
            <w:r>
              <w:rPr>
                <w:b w:val="0"/>
              </w:rPr>
              <w:t>[No origin substitution / no double counting]</w:t>
            </w:r>
          </w:p>
        </w:tc>
        <w:tc>
          <w:tcPr>
            <w:tcW w:type="dxa" w:w="1656"/>
            <w:vAlign w:val="center"/>
          </w:tcPr>
          <w:p>
            <w:pPr>
              <w:pStyle w:val="TableText"/>
            </w:pPr>
            <w:r>
              <w:rPr/>
            </w:r>
            <w:r>
              <w:rPr>
                <w:b w:val="0"/>
              </w:rPr>
              <w:t>[Benefit restoration rule]</w:t>
            </w:r>
          </w:p>
        </w:tc>
        <w:tc>
          <w:tcPr>
            <w:tcW w:type="dxa" w:w="1080"/>
            <w:vAlign w:val="center"/>
          </w:tcPr>
          <w:p>
            <w:pPr>
              <w:pStyle w:val="TableText"/>
            </w:pPr>
            <w:r>
              <w:rPr/>
              <w:t>DRAFT: VERIFY BEFORE LEGAL SCRUB</w:t>
            </w:r>
          </w:p>
        </w:tc>
      </w:tr>
      <w:tr>
        <w:tc>
          <w:tcPr>
            <w:tcW w:type="dxa" w:w="1008"/>
            <w:vAlign w:val="center"/>
          </w:tcPr>
          <w:p>
            <w:pPr>
              <w:pStyle w:val="TableText"/>
            </w:pPr>
            <w:r>
              <w:rPr/>
            </w:r>
            <w:r>
              <w:rPr>
                <w:b w:val="0"/>
              </w:rPr>
              <w:t>FS00-INT-[ ]</w:t>
            </w:r>
          </w:p>
        </w:tc>
        <w:tc>
          <w:tcPr>
            <w:tcW w:type="dxa" w:w="1296"/>
            <w:vAlign w:val="center"/>
          </w:tcPr>
          <w:p>
            <w:pPr>
              <w:pStyle w:val="TableText"/>
            </w:pPr>
            <w:r>
              <w:rPr/>
            </w:r>
            <w:r>
              <w:rPr>
                <w:b w:val="0"/>
              </w:rPr>
              <w:t>[FS-04 / row]</w:t>
            </w:r>
          </w:p>
        </w:tc>
        <w:tc>
          <w:tcPr>
            <w:tcW w:type="dxa" w:w="1296"/>
            <w:vAlign w:val="center"/>
          </w:tcPr>
          <w:p>
            <w:pPr>
              <w:pStyle w:val="TableText"/>
            </w:pPr>
            <w:r>
              <w:rPr/>
            </w:r>
            <w:r>
              <w:rPr>
                <w:b w:val="0"/>
              </w:rPr>
              <w:t>[Other only if expressly linked]</w:t>
            </w:r>
          </w:p>
        </w:tc>
        <w:tc>
          <w:tcPr>
            <w:tcW w:type="dxa" w:w="1656"/>
            <w:vAlign w:val="center"/>
          </w:tcPr>
          <w:p>
            <w:pPr>
              <w:pStyle w:val="TableText"/>
            </w:pPr>
            <w:r>
              <w:rPr/>
            </w:r>
            <w:r>
              <w:rPr>
                <w:b w:val="0"/>
              </w:rPr>
              <w:t>[Agricultural settlement interface]</w:t>
            </w:r>
          </w:p>
        </w:tc>
        <w:tc>
          <w:tcPr>
            <w:tcW w:type="dxa" w:w="1296"/>
            <w:vAlign w:val="center"/>
          </w:tcPr>
          <w:p>
            <w:pPr>
              <w:pStyle w:val="TableText"/>
            </w:pPr>
            <w:r>
              <w:rPr/>
            </w:r>
            <w:r>
              <w:rPr>
                <w:b w:val="0"/>
              </w:rPr>
              <w:t>[Provision]</w:t>
            </w:r>
          </w:p>
        </w:tc>
        <w:tc>
          <w:tcPr>
            <w:tcW w:type="dxa" w:w="1728"/>
            <w:vAlign w:val="center"/>
          </w:tcPr>
          <w:p>
            <w:pPr>
              <w:pStyle w:val="TableText"/>
            </w:pPr>
            <w:r>
              <w:rPr/>
            </w:r>
            <w:r>
              <w:rPr>
                <w:b w:val="0"/>
              </w:rPr>
              <w:t>[Exact interface]</w:t>
            </w:r>
          </w:p>
        </w:tc>
        <w:tc>
          <w:tcPr>
            <w:tcW w:type="dxa" w:w="1656"/>
            <w:vAlign w:val="center"/>
          </w:tcPr>
          <w:p>
            <w:pPr>
              <w:pStyle w:val="TableText"/>
            </w:pPr>
            <w:r>
              <w:rPr/>
            </w:r>
            <w:r>
              <w:rPr>
                <w:b w:val="0"/>
              </w:rPr>
              <w:t>[No cross-sector contagion]</w:t>
            </w:r>
          </w:p>
        </w:tc>
        <w:tc>
          <w:tcPr>
            <w:tcW w:type="dxa" w:w="1656"/>
            <w:vAlign w:val="center"/>
          </w:tcPr>
          <w:p>
            <w:pPr>
              <w:pStyle w:val="TableText"/>
            </w:pPr>
            <w:r>
              <w:rPr/>
            </w:r>
            <w:r>
              <w:rPr>
                <w:b w:val="0"/>
              </w:rPr>
              <w:t>[FS-04 completion / restoration]</w:t>
            </w:r>
          </w:p>
        </w:tc>
        <w:tc>
          <w:tcPr>
            <w:tcW w:type="dxa" w:w="1080"/>
            <w:vAlign w:val="center"/>
          </w:tcPr>
          <w:p>
            <w:pPr>
              <w:pStyle w:val="TableText"/>
            </w:pPr>
            <w:r>
              <w:rPr/>
              <w:t>DRAFT: VERIFY BEFORE LEGAL SCRUB</w:t>
            </w:r>
          </w:p>
        </w:tc>
      </w:tr>
    </w:tbl>
    <w:p>
      <w:pPr>
        <w:pStyle w:val="Heading2"/>
      </w:pPr>
      <w:bookmarkStart w:id="901168" w:name="_Toc300001167"/>
      <w:r>
        <w:t>Schedule FS-00-C: Final Settlement Closure Record</w:t>
      </w:r>
      <w:bookmarkEnd w:id="901168"/>
    </w:p>
    <w:p>
      <w:pPr>
        <w:pStyle w:val="Normal"/>
      </w:pPr>
      <w:r>
        <w:rPr>
          <w:b w:val="0"/>
          <w:i w:val="0"/>
        </w:rPr>
        <w:t>This schedule records completion and surviving legal states after the applicable modules close. It is an implementation record and does not itself amend the settlement.</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1088"/>
        <w:gridCol w:w="1088"/>
        <w:gridCol w:w="1088"/>
        <w:gridCol w:w="1088"/>
        <w:gridCol w:w="1088"/>
        <w:gridCol w:w="1088"/>
        <w:gridCol w:w="1088"/>
        <w:gridCol w:w="1088"/>
        <w:gridCol w:w="1088"/>
      </w:tblGrid>
      <w:tr>
        <w:trPr>
          <w:tblHeader w:val="true"/>
        </w:trPr>
        <w:tc>
          <w:tcPr>
            <w:tcW w:type="dxa" w:w="1080"/>
            <w:shd w:fill="ECEFF1" w:val="clear" w:color="auto"/>
            <w:vAlign w:val="center"/>
          </w:tcPr>
          <w:p>
            <w:pPr>
              <w:pStyle w:val="TableText"/>
            </w:pPr>
            <w:r>
              <w:rPr/>
            </w:r>
            <w:r>
              <w:rPr>
                <w:b/>
              </w:rPr>
              <w:t>Closure Status</w:t>
            </w:r>
          </w:p>
        </w:tc>
        <w:tc>
          <w:tcPr>
            <w:tcW w:type="dxa" w:w="1440"/>
            <w:shd w:fill="ECEFF1" w:val="clear" w:color="auto"/>
            <w:vAlign w:val="center"/>
          </w:tcPr>
          <w:p>
            <w:pPr>
              <w:pStyle w:val="TableText"/>
            </w:pPr>
            <w:r>
              <w:rPr/>
            </w:r>
            <w:r>
              <w:rPr>
                <w:b/>
              </w:rPr>
              <w:t>Parties / Configuration</w:t>
            </w:r>
          </w:p>
        </w:tc>
        <w:tc>
          <w:tcPr>
            <w:tcW w:type="dxa" w:w="1152"/>
            <w:shd w:fill="ECEFF1" w:val="clear" w:color="auto"/>
            <w:vAlign w:val="center"/>
          </w:tcPr>
          <w:p>
            <w:pPr>
              <w:pStyle w:val="TableText"/>
            </w:pPr>
            <w:r>
              <w:rPr/>
            </w:r>
            <w:r>
              <w:rPr>
                <w:b/>
              </w:rPr>
              <w:t>Applicable Modules</w:t>
            </w:r>
          </w:p>
        </w:tc>
        <w:tc>
          <w:tcPr>
            <w:tcW w:type="dxa" w:w="1584"/>
            <w:shd w:fill="ECEFF1" w:val="clear" w:color="auto"/>
            <w:vAlign w:val="center"/>
          </w:tcPr>
          <w:p>
            <w:pPr>
              <w:pStyle w:val="TableText"/>
            </w:pPr>
            <w:r>
              <w:rPr/>
            </w:r>
            <w:r>
              <w:rPr>
                <w:b/>
              </w:rPr>
              <w:t>Completion Evidence</w:t>
            </w:r>
          </w:p>
        </w:tc>
        <w:tc>
          <w:tcPr>
            <w:tcW w:type="dxa" w:w="1584"/>
            <w:shd w:fill="ECEFF1" w:val="clear" w:color="auto"/>
            <w:vAlign w:val="center"/>
          </w:tcPr>
          <w:p>
            <w:pPr>
              <w:pStyle w:val="TableText"/>
            </w:pPr>
            <w:r>
              <w:rPr/>
            </w:r>
            <w:r>
              <w:rPr>
                <w:b/>
              </w:rPr>
              <w:t>Durable States</w:t>
            </w:r>
          </w:p>
        </w:tc>
        <w:tc>
          <w:tcPr>
            <w:tcW w:type="dxa" w:w="1656"/>
            <w:shd w:fill="ECEFF1" w:val="clear" w:color="auto"/>
            <w:vAlign w:val="center"/>
          </w:tcPr>
          <w:p>
            <w:pPr>
              <w:pStyle w:val="TableText"/>
            </w:pPr>
            <w:r>
              <w:rPr/>
            </w:r>
            <w:r>
              <w:rPr>
                <w:b/>
              </w:rPr>
              <w:t>Continuing Interfaces</w:t>
            </w:r>
          </w:p>
        </w:tc>
        <w:tc>
          <w:tcPr>
            <w:tcW w:type="dxa" w:w="1584"/>
            <w:shd w:fill="ECEFF1" w:val="clear" w:color="auto"/>
            <w:vAlign w:val="center"/>
          </w:tcPr>
          <w:p>
            <w:pPr>
              <w:pStyle w:val="TableText"/>
            </w:pPr>
            <w:r>
              <w:rPr/>
            </w:r>
            <w:r>
              <w:rPr>
                <w:b/>
              </w:rPr>
              <w:t>Pending Proceedings</w:t>
            </w:r>
          </w:p>
        </w:tc>
        <w:tc>
          <w:tcPr>
            <w:tcW w:type="dxa" w:w="1872"/>
            <w:shd w:fill="ECEFF1" w:val="clear" w:color="auto"/>
            <w:vAlign w:val="center"/>
          </w:tcPr>
          <w:p>
            <w:pPr>
              <w:pStyle w:val="TableText"/>
            </w:pPr>
            <w:r>
              <w:rPr/>
            </w:r>
            <w:r>
              <w:rPr>
                <w:b/>
              </w:rPr>
              <w:t>Surviving Rights / Duties</w:t>
            </w:r>
          </w:p>
        </w:tc>
        <w:tc>
          <w:tcPr>
            <w:tcW w:type="dxa" w:w="1296"/>
            <w:shd w:fill="ECEFF1" w:val="clear" w:color="auto"/>
            <w:vAlign w:val="center"/>
          </w:tcPr>
          <w:p>
            <w:pPr>
              <w:pStyle w:val="TableText"/>
            </w:pPr>
            <w:r>
              <w:rPr/>
            </w:r>
            <w:r>
              <w:rPr>
                <w:b/>
              </w:rPr>
              <w:t>Authority / Date</w:t>
            </w:r>
          </w:p>
        </w:tc>
      </w:tr>
      <w:tr>
        <w:tc>
          <w:tcPr>
            <w:tcW w:type="dxa" w:w="1080"/>
            <w:vAlign w:val="center"/>
          </w:tcPr>
          <w:p>
            <w:pPr>
              <w:pStyle w:val="TableText"/>
            </w:pPr>
            <w:r>
              <w:rPr/>
            </w:r>
            <w:r>
              <w:rPr>
                <w:b w:val="0"/>
              </w:rPr>
              <w:t>NOT CLOSED</w:t>
            </w:r>
          </w:p>
        </w:tc>
        <w:tc>
          <w:tcPr>
            <w:tcW w:type="dxa" w:w="1440"/>
            <w:vAlign w:val="center"/>
          </w:tcPr>
          <w:p>
            <w:pPr>
              <w:pStyle w:val="TableText"/>
            </w:pPr>
            <w:r>
              <w:rPr/>
            </w:r>
            <w:r>
              <w:rPr>
                <w:b w:val="0"/>
              </w:rPr>
              <w:t>[CA/US/MX configuration]</w:t>
            </w:r>
          </w:p>
        </w:tc>
        <w:tc>
          <w:tcPr>
            <w:tcW w:type="dxa" w:w="1152"/>
            <w:vAlign w:val="center"/>
          </w:tcPr>
          <w:p>
            <w:pPr>
              <w:pStyle w:val="TableText"/>
            </w:pPr>
            <w:r>
              <w:rPr/>
            </w:r>
            <w:r>
              <w:rPr>
                <w:b w:val="0"/>
              </w:rPr>
              <w:t>[FS-01 / 02 / 03 / 04]</w:t>
            </w:r>
          </w:p>
        </w:tc>
        <w:tc>
          <w:tcPr>
            <w:tcW w:type="dxa" w:w="1584"/>
            <w:vAlign w:val="center"/>
          </w:tcPr>
          <w:p>
            <w:pPr>
              <w:pStyle w:val="TableText"/>
            </w:pPr>
            <w:r>
              <w:rPr/>
            </w:r>
            <w:r>
              <w:rPr>
                <w:b w:val="0"/>
              </w:rPr>
              <w:t>[Module completion records]</w:t>
            </w:r>
          </w:p>
        </w:tc>
        <w:tc>
          <w:tcPr>
            <w:tcW w:type="dxa" w:w="1584"/>
            <w:vAlign w:val="center"/>
          </w:tcPr>
          <w:p>
            <w:pPr>
              <w:pStyle w:val="TableText"/>
            </w:pPr>
            <w:r>
              <w:rPr/>
            </w:r>
            <w:r>
              <w:rPr>
                <w:b w:val="0"/>
              </w:rPr>
              <w:t>[Normalized / completed / restored states]</w:t>
            </w:r>
          </w:p>
        </w:tc>
        <w:tc>
          <w:tcPr>
            <w:tcW w:type="dxa" w:w="1656"/>
            <w:vAlign w:val="center"/>
          </w:tcPr>
          <w:p>
            <w:pPr>
              <w:pStyle w:val="TableText"/>
            </w:pPr>
            <w:r>
              <w:rPr/>
            </w:r>
            <w:r>
              <w:rPr>
                <w:b w:val="0"/>
              </w:rPr>
              <w:t>[Registries / administration / verification]</w:t>
            </w:r>
          </w:p>
        </w:tc>
        <w:tc>
          <w:tcPr>
            <w:tcW w:type="dxa" w:w="1584"/>
            <w:vAlign w:val="center"/>
          </w:tcPr>
          <w:p>
            <w:pPr>
              <w:pStyle w:val="TableText"/>
            </w:pPr>
            <w:r>
              <w:rPr/>
            </w:r>
            <w:r>
              <w:rPr>
                <w:b w:val="0"/>
              </w:rPr>
              <w:t>[None or identified matters]</w:t>
            </w:r>
          </w:p>
        </w:tc>
        <w:tc>
          <w:tcPr>
            <w:tcW w:type="dxa" w:w="1872"/>
            <w:vAlign w:val="center"/>
          </w:tcPr>
          <w:p>
            <w:pPr>
              <w:pStyle w:val="TableText"/>
            </w:pPr>
            <w:r>
              <w:rPr/>
            </w:r>
            <w:r>
              <w:rPr>
                <w:b w:val="0"/>
              </w:rPr>
              <w:t>[Accrued rights / confidentiality / restoration / other]</w:t>
            </w:r>
          </w:p>
        </w:tc>
        <w:tc>
          <w:tcPr>
            <w:tcW w:type="dxa" w:w="1296"/>
            <w:vAlign w:val="center"/>
          </w:tcPr>
          <w:p>
            <w:pPr>
              <w:pStyle w:val="TableText"/>
            </w:pPr>
            <w:r>
              <w:rPr/>
            </w:r>
            <w:r>
              <w:rPr>
                <w:b w:val="0"/>
              </w:rPr>
              <w:t>[Authority / date]</w:t>
            </w:r>
          </w:p>
        </w:tc>
      </w:tr>
      <w:tr>
        <w:tc>
          <w:tcPr>
            <w:tcW w:type="dxa" w:w="1080"/>
            <w:vAlign w:val="center"/>
          </w:tcPr>
          <w:p>
            <w:pPr>
              <w:pStyle w:val="TableText"/>
            </w:pPr>
            <w:r>
              <w:rPr/>
            </w:r>
            <w:r>
              <w:rPr>
                <w:b w:val="0"/>
              </w:rPr>
              <w:t>NOT CLOSED</w:t>
            </w:r>
          </w:p>
        </w:tc>
        <w:tc>
          <w:tcPr>
            <w:tcW w:type="dxa" w:w="1440"/>
            <w:vAlign w:val="center"/>
          </w:tcPr>
          <w:p>
            <w:pPr>
              <w:pStyle w:val="TableText"/>
            </w:pPr>
            <w:r>
              <w:rPr/>
            </w:r>
            <w:r>
              <w:rPr>
                <w:b w:val="0"/>
              </w:rPr>
              <w:t>[ ]</w:t>
            </w:r>
          </w:p>
        </w:tc>
        <w:tc>
          <w:tcPr>
            <w:tcW w:type="dxa" w:w="1152"/>
            <w:vAlign w:val="center"/>
          </w:tcPr>
          <w:p>
            <w:pPr>
              <w:pStyle w:val="TableText"/>
            </w:pPr>
            <w:r>
              <w:rPr/>
            </w:r>
            <w:r>
              <w:rPr>
                <w:b w:val="0"/>
              </w:rPr>
              <w:t>[ ]</w:t>
            </w:r>
          </w:p>
        </w:tc>
        <w:tc>
          <w:tcPr>
            <w:tcW w:type="dxa" w:w="1584"/>
            <w:vAlign w:val="center"/>
          </w:tcPr>
          <w:p>
            <w:pPr>
              <w:pStyle w:val="TableText"/>
            </w:pPr>
            <w:r>
              <w:rPr/>
            </w:r>
            <w:r>
              <w:rPr>
                <w:b w:val="0"/>
              </w:rPr>
              <w:t>[ ]</w:t>
            </w:r>
          </w:p>
        </w:tc>
        <w:tc>
          <w:tcPr>
            <w:tcW w:type="dxa" w:w="1584"/>
            <w:vAlign w:val="center"/>
          </w:tcPr>
          <w:p>
            <w:pPr>
              <w:pStyle w:val="TableText"/>
            </w:pPr>
            <w:r>
              <w:rPr/>
            </w:r>
            <w:r>
              <w:rPr>
                <w:b w:val="0"/>
              </w:rPr>
              <w:t>[ ]</w:t>
            </w:r>
          </w:p>
        </w:tc>
        <w:tc>
          <w:tcPr>
            <w:tcW w:type="dxa" w:w="1656"/>
            <w:vAlign w:val="center"/>
          </w:tcPr>
          <w:p>
            <w:pPr>
              <w:pStyle w:val="TableText"/>
            </w:pPr>
            <w:r>
              <w:rPr/>
            </w:r>
            <w:r>
              <w:rPr>
                <w:b w:val="0"/>
              </w:rPr>
              <w:t>[ ]</w:t>
            </w:r>
          </w:p>
        </w:tc>
        <w:tc>
          <w:tcPr>
            <w:tcW w:type="dxa" w:w="1584"/>
            <w:vAlign w:val="center"/>
          </w:tcPr>
          <w:p>
            <w:pPr>
              <w:pStyle w:val="TableText"/>
            </w:pPr>
            <w:r>
              <w:rPr/>
            </w:r>
            <w:r>
              <w:rPr>
                <w:b w:val="0"/>
              </w:rPr>
              <w:t>[ ]</w:t>
            </w:r>
          </w:p>
        </w:tc>
        <w:tc>
          <w:tcPr>
            <w:tcW w:type="dxa" w:w="1872"/>
            <w:vAlign w:val="center"/>
          </w:tcPr>
          <w:p>
            <w:pPr>
              <w:pStyle w:val="TableText"/>
            </w:pPr>
            <w:r>
              <w:rPr/>
            </w:r>
            <w:r>
              <w:rPr>
                <w:b w:val="0"/>
              </w:rPr>
              <w:t>[ ]</w:t>
            </w:r>
          </w:p>
        </w:tc>
        <w:tc>
          <w:tcPr>
            <w:tcW w:type="dxa" w:w="1296"/>
            <w:vAlign w:val="center"/>
          </w:tcPr>
          <w:p>
            <w:pPr>
              <w:pStyle w:val="TableText"/>
            </w:pPr>
            <w:r>
              <w:rPr/>
            </w:r>
            <w:r>
              <w:rPr>
                <w:b w:val="0"/>
              </w:rPr>
              <w:t>[ ]</w:t>
            </w:r>
          </w:p>
        </w:tc>
      </w:tr>
    </w:tbl>
    <w:p>
      <w:pPr>
        <w:pStyle w:val="Heading1"/>
      </w:pPr>
      <w:bookmarkStart w:id="901169" w:name="_Toc300001168"/>
      <w:r>
        <w:t>CHAPTER 35</w:t>
      </w:r>
      <w:r>
        <w:br/>
      </w:r>
      <w:r>
        <w:t>TREATY INTEGRITY AND THE PROPORTIONAL TRADE ADJUSTMENT MECHANISM</w:t>
      </w:r>
      <w:bookmarkEnd w:id="901169"/>
    </w:p>
    <w:p>
      <w:pPr>
        <w:pStyle w:val="Normal"/>
      </w:pPr>
      <w:r>
        <w:t>Version Preservation. The Secretariat shall preserve prior versions of the Living Amendment Ledger and associated adopted amendment records so that the legal history, effective date, and superseded text of each amendment remain traceable.</w:t>
      </w:r>
    </w:p>
    <w:p>
      <w:pPr>
        <w:pStyle w:val="Normal"/>
      </w:pPr>
      <w:r>
        <w:t>*(As hardened by the CUSMA 2.1 Hardening Package)*</w:t>
      </w:r>
    </w:p>
    <w:p>
      <w:pPr>
        <w:pStyle w:val="Heading2"/>
      </w:pPr>
      <w:bookmarkStart w:id="901170" w:name="_Toc300001169"/>
      <w:r>
        <w:t>Article 35.1: Purpose and Governing Principles</w:t>
      </w:r>
      <w:bookmarkEnd w:id="901170"/>
    </w:p>
    <w:p>
      <w:pPr>
        <w:pStyle w:val="Normal"/>
      </w:pPr>
      <w:r>
        <w:t>1. This Chapter establishes the North American Trade Stabilization Mechanism (the “Mechanism”), through which the Parties verify, classify, correct, remediate, and restore trade treatment in accordance with the operating doctrine of this Chapter: Verify, Classify, Correct, Remediate, Restore.</w:t>
      </w:r>
    </w:p>
    <w:p>
      <w:pPr>
        <w:pStyle w:val="Normal"/>
      </w:pPr>
      <w:r>
        <w:t>2. The purpose of a trade remedy under this Agreement is to restore the conditions of fair trade, not to inflict economic injury upon another Party.</w:t>
      </w:r>
    </w:p>
    <w:p>
      <w:pPr>
        <w:pStyle w:val="Normal"/>
      </w:pPr>
      <w:r>
        <w:t>3. The Mechanism is governed by the following principles:</w:t>
      </w:r>
    </w:p>
    <w:p>
      <w:pPr>
        <w:pStyle w:val="Normal"/>
      </w:pPr>
      <w:r>
        <w:t xml:space="preserve">(a) </w:t>
      </w:r>
      <w:r>
        <w:rPr>
          <w:b/>
        </w:rPr>
        <w:t>Proportionality.</w:t>
      </w:r>
      <w:r>
        <w:t xml:space="preserve"> A corrective measure shall not exceed what is commensurate with the verified economic distortion it addresses. A measure exceeding the verified distortion is permissible only as an expressly authorized deterrent consequence of deliberate or sustained noncompliance, following the separate finding required by Article 35.12.3.</w:t>
      </w:r>
    </w:p>
    <w:p>
      <w:pPr>
        <w:pStyle w:val="Normal"/>
      </w:pPr>
      <w:r>
        <w:t xml:space="preserve">(b) </w:t>
      </w:r>
      <w:r>
        <w:rPr>
          <w:b/>
        </w:rPr>
        <w:t>Reciprocity.</w:t>
      </w:r>
      <w:r>
        <w:t xml:space="preserve"> The Mechanism applies equally to, and equally constrains, each Party. All Parties comply; all Parties may challenge; all Parties may remediate; all Parties recover.</w:t>
      </w:r>
    </w:p>
    <w:p>
      <w:pPr>
        <w:pStyle w:val="Normal"/>
      </w:pPr>
      <w:r>
        <w:t xml:space="preserve">(c) </w:t>
      </w:r>
      <w:r>
        <w:rPr>
          <w:b/>
        </w:rPr>
        <w:t>Specificity.</w:t>
      </w:r>
      <w:r>
        <w:t xml:space="preserve"> A corrective measure shall be directed at the entity, product, tariff line, subsector, or sector in which the verified distortion exists, and shall expand beyond that scope only in accordance with Article 35.13 (Narrowest-Sufficient-Remedy Rule).</w:t>
      </w:r>
    </w:p>
    <w:p>
      <w:pPr>
        <w:pStyle w:val="Normal"/>
      </w:pPr>
      <w:r>
        <w:t xml:space="preserve">(d) </w:t>
      </w:r>
      <w:r>
        <w:rPr>
          <w:b/>
        </w:rPr>
        <w:t>Evidence.</w:t>
      </w:r>
      <w:r>
        <w:t xml:space="preserve"> No corrective measure applies on the basis of allegation, political assertion, or inference unsupported by an Evidence Package verified in accordance with this Chapter.</w:t>
      </w:r>
    </w:p>
    <w:p>
      <w:pPr>
        <w:pStyle w:val="Normal"/>
      </w:pPr>
      <w:r>
        <w:t xml:space="preserve">(e) </w:t>
      </w:r>
      <w:r>
        <w:rPr>
          <w:b/>
        </w:rPr>
        <w:t>Reversibility.</w:t>
      </w:r>
      <w:r>
        <w:t xml:space="preserve"> Every corrective measure adopted under this Agreement is reversible, and carries at inception the objective conditions for its own termination.</w:t>
      </w:r>
    </w:p>
    <w:p>
      <w:pPr>
        <w:pStyle w:val="Normal"/>
      </w:pPr>
      <w:r>
        <w:t xml:space="preserve">(f) </w:t>
      </w:r>
      <w:r>
        <w:rPr>
          <w:b/>
        </w:rPr>
        <w:t>Automatic restoration.</w:t>
      </w:r>
      <w:r>
        <w:t xml:space="preserve"> Upon independent verification of remediation, corrective measures terminate and preferential treatment restores automatically, without further political decision, negotiation, vote, or condition.</w:t>
      </w:r>
    </w:p>
    <w:p>
      <w:pPr>
        <w:pStyle w:val="Normal"/>
      </w:pPr>
      <w:r>
        <w:t xml:space="preserve">(g) </w:t>
      </w:r>
      <w:r>
        <w:rPr>
          <w:b/>
        </w:rPr>
        <w:t>No unrelated punishment.</w:t>
      </w:r>
      <w:r>
        <w:t xml:space="preserve"> A distortion verified within one trade module does not, by itself, authorize a corrective measure within another trade module.</w:t>
      </w:r>
    </w:p>
    <w:p>
      <w:pPr>
        <w:pStyle w:val="Normal"/>
      </w:pPr>
      <w:r>
        <w:t xml:space="preserve">(h) </w:t>
      </w:r>
      <w:r>
        <w:rPr>
          <w:b/>
        </w:rPr>
        <w:t>No snapback.</w:t>
      </w:r>
      <w:r>
        <w:t xml:space="preserve"> No provision of this Agreement, and no measure taken under it, operates as a binary snapback under which a single determination, breach, or failure collapses the benefits, preferences, or architecture of this Agreement or of any Chapter of it. Enforcement under this Agreement is graduated, reversible, and proportionate.</w:t>
      </w:r>
    </w:p>
    <w:p>
      <w:pPr>
        <w:pStyle w:val="Normal"/>
      </w:pPr>
      <w:r>
        <w:t>4. Tariffs between the Parties are quarantined as an extraordinary remedy of absolute last resort. Cothrom verification, cure, demerit assessment, preference step-back, compensation, and other targeted non-tariff remedies shall be exhausted or found demonstrably incapable of preventing serious continuing harm before a tariff may be considered. No tariff may take effect without authorization under Articles 35.38 through 35.40.</w:t>
      </w:r>
    </w:p>
    <w:p>
      <w:pPr>
        <w:pStyle w:val="Heading2"/>
      </w:pPr>
      <w:bookmarkStart w:id="901171" w:name="_Toc300001170"/>
      <w:r>
        <w:t>Article 35.2: Definitions</w:t>
      </w:r>
      <w:bookmarkEnd w:id="901171"/>
    </w:p>
    <w:p>
      <w:pPr>
        <w:pStyle w:val="Normal"/>
      </w:pPr>
      <w:r>
        <w:t>For the purposes of this Chapter, and for the purposes of this Agreement wherever the following terms are used:</w:t>
      </w:r>
    </w:p>
    <w:p>
      <w:pPr>
        <w:pStyle w:val="Normal"/>
      </w:pPr>
      <w:r>
        <w:rPr>
          <w:b/>
        </w:rPr>
        <w:t>covered border measure</w:t>
      </w:r>
      <w:r>
        <w:t xml:space="preserve"> means any measure of a Party, however denominated, designated, or authorized under that Party’s domestic law, that imposes, increases, reinstates, or has the economic effect of imposing or increasing, a charge, restriction, or condition on the importation or exportation of goods by reason of the goods crossing the border, including:</w:t>
      </w:r>
    </w:p>
    <w:p>
      <w:pPr>
        <w:pStyle w:val="Normal"/>
      </w:pPr>
      <w:r>
        <w:t>(a) a customs duty, tariff, additional duty, supplementary duty, or retaliatory duty;</w:t>
      </w:r>
    </w:p>
    <w:p>
      <w:pPr>
        <w:pStyle w:val="Normal"/>
      </w:pPr>
      <w:r>
        <w:t>(b) a surcharge, import surcharge, balance-of-payments surcharge, or emergency surcharge;</w:t>
      </w:r>
    </w:p>
    <w:p>
      <w:pPr>
        <w:pStyle w:val="Normal"/>
      </w:pPr>
      <w:r>
        <w:t>(c) an import fee, border fee, border adjustment charge, security levy, processing fee, or equivalent charge;</w:t>
      </w:r>
    </w:p>
    <w:p>
      <w:pPr>
        <w:pStyle w:val="Normal"/>
      </w:pPr>
      <w:r>
        <w:t>(d) a quantitative restriction, quota, tariff-rate quota, import or export licensing condition with restrictive effect, government-induced export restraint, managed-trade quota, or coerced minimum-price undertaking;</w:t>
      </w:r>
    </w:p>
    <w:p>
      <w:pPr>
        <w:pStyle w:val="Normal"/>
      </w:pPr>
      <w:r>
        <w:t>(e) a suspension, withdrawal, or conditioning of preferential, simplified, expedited, or duty-free customs treatment, including treatment of low-value shipments;</w:t>
      </w:r>
    </w:p>
    <w:p>
      <w:pPr>
        <w:pStyle w:val="Normal"/>
      </w:pPr>
      <w:r>
        <w:t>(f) a requirement calculated on the basis of the national or Party-specific content of a good, including any measure that differentiates among the content of the Parties within an originating good;</w:t>
      </w:r>
    </w:p>
    <w:p>
      <w:pPr>
        <w:pStyle w:val="Normal"/>
      </w:pPr>
      <w:r>
        <w:t>(g) an extraordinary import or export charge adopted under emergency, national security, national defense, economic emergency, or balance-of-payments authority;</w:t>
      </w:r>
    </w:p>
    <w:p>
      <w:pPr>
        <w:pStyle w:val="Normal"/>
      </w:pPr>
      <w:r>
        <w:t>(h) a substantially equivalent internal fiscal, regulatory, or administrative measure within Article 35.4A; and</w:t>
      </w:r>
    </w:p>
    <w:p>
      <w:pPr>
        <w:pStyle w:val="Normal"/>
      </w:pPr>
      <w:r>
        <w:t>(i) any other measure substantially equivalent in economic effect to a measure described in subparagraphs (a) through (h),</w:t>
      </w:r>
    </w:p>
    <w:p>
      <w:pPr>
        <w:pStyle w:val="Normal"/>
      </w:pPr>
      <w:r>
        <w:t>whether the measure is adopted under statutory, executive, regulatory, proclamatory, or other domestic authority, and whether the measure is characterized under domestic law as a tariff, tax, fee, adjustment, restriction, exclusion, suspension, or otherwise;</w:t>
      </w:r>
    </w:p>
    <w:p>
      <w:pPr>
        <w:pStyle w:val="Normal"/>
      </w:pPr>
      <w:r>
        <w:rPr>
          <w:b/>
        </w:rPr>
        <w:t>Proportional Trade Adjustment</w:t>
      </w:r>
      <w:r>
        <w:t xml:space="preserve"> or </w:t>
      </w:r>
      <w:r>
        <w:rPr>
          <w:b/>
        </w:rPr>
        <w:t>PTA</w:t>
      </w:r>
      <w:r>
        <w:t xml:space="preserve"> means a temporary, bounded corrective adjustment to the preferential treatment of identified goods, calculated and administered in accordance with Article 35.12 and Annex 35-A;</w:t>
      </w:r>
    </w:p>
    <w:p>
      <w:pPr>
        <w:pStyle w:val="Normal"/>
      </w:pPr>
      <w:r>
        <w:rPr>
          <w:b/>
        </w:rPr>
        <w:t>verified economic distortion</w:t>
      </w:r>
      <w:r>
        <w:t xml:space="preserve"> means an economic distortion whose existence, scope, affected trade, and magnitude have been established by the North American Trade Verification Panel under Article 35.10, quantified in accordance with the methodology rules of Annex 35-A, including: a defined counterfactual baseline; treatment of direct and demonstrated indirect effects; exclusion of speculative or general macroeconomic effects; documented treatment of exchange-rate movements, lost sales, price suppression or depression, and subsidy incidence; and a reported best estimate together with an uncertainty band, expressed as a price effect, margin of subsidy or dumping, volume effect, or equivalent quantified measure;</w:t>
      </w:r>
    </w:p>
    <w:p>
      <w:pPr>
        <w:pStyle w:val="Normal"/>
      </w:pPr>
      <w:r>
        <w:rPr>
          <w:b/>
        </w:rPr>
        <w:t>trade module</w:t>
      </w:r>
      <w:r>
        <w:t xml:space="preserve"> means a category of trade listed in Annex 35-B for the purposes of the module firewall in Article 35.15, with assignment of multi-module goods governed by the dominant-purpose test in Annex 35-B, Part 1;</w:t>
      </w:r>
    </w:p>
    <w:p>
      <w:pPr>
        <w:pStyle w:val="Normal"/>
      </w:pPr>
      <w:r>
        <w:rPr>
          <w:b/>
        </w:rPr>
        <w:t>originating good</w:t>
      </w:r>
      <w:r>
        <w:t xml:space="preserve"> means a good qualifying as originating under Chapter 4 (Rules of Origin), and includes a good qualifying under any special or sectoral origin procedure of this Agreement;</w:t>
      </w:r>
    </w:p>
    <w:p>
      <w:pPr>
        <w:pStyle w:val="Normal"/>
      </w:pPr>
      <w:r>
        <w:rPr>
          <w:b/>
        </w:rPr>
        <w:t>Evidence Package</w:t>
      </w:r>
      <w:r>
        <w:t xml:space="preserve"> means the submission described in Article 35.9;</w:t>
      </w:r>
    </w:p>
    <w:p>
      <w:pPr>
        <w:pStyle w:val="Normal"/>
      </w:pPr>
      <w:r>
        <w:rPr>
          <w:b/>
        </w:rPr>
        <w:t>remediation</w:t>
      </w:r>
      <w:r>
        <w:t xml:space="preserve"> means the cessation, correction, or offset of the conduct or measure constituting a verified distortion, as specified in the restoration conditions issued under Article 35.17;</w:t>
      </w:r>
    </w:p>
    <w:p>
      <w:pPr>
        <w:pStyle w:val="Normal"/>
      </w:pPr>
      <w:r>
        <w:rPr>
          <w:b/>
        </w:rPr>
        <w:t>Trusted North American Origin</w:t>
      </w:r>
      <w:r>
        <w:t xml:space="preserve"> means the status conferred under Article 36.6;</w:t>
      </w:r>
    </w:p>
    <w:p>
      <w:pPr>
        <w:pStyle w:val="Normal"/>
      </w:pPr>
      <w:r>
        <w:rPr>
          <w:b/>
        </w:rPr>
        <w:t>legacy measure</w:t>
      </w:r>
      <w:r>
        <w:t xml:space="preserve"> means a covered border measure applied by a Party on originating goods of another Party and in force on the date of signature of the Protocol of Modernization;</w:t>
      </w:r>
    </w:p>
    <w:p>
      <w:pPr>
        <w:pStyle w:val="Normal"/>
      </w:pPr>
      <w:r>
        <w:rPr>
          <w:b/>
        </w:rPr>
        <w:t>low-value shipment</w:t>
      </w:r>
      <w:r>
        <w:t xml:space="preserve"> means a shipment qualifying for simplified or duty-free entry under a Party’s de minimis or equivalent regime;</w:t>
      </w:r>
    </w:p>
    <w:p>
      <w:pPr>
        <w:pStyle w:val="Normal"/>
      </w:pPr>
      <w:r>
        <w:rPr>
          <w:b/>
        </w:rPr>
        <w:t>emergency</w:t>
      </w:r>
      <w:r>
        <w:t>, for the purposes of Article 35.21, means a sudden, unforeseen, and objectively demonstrable situation causing or threatening serious injury to a Party’s producers, critical infrastructure, public health, or public safety, and does not include ordinary political urgency, electoral considerations, industrial lobbying, price weakness in ordinary market conditions, or the existence or size of a bilateral trade deficit.</w:t>
      </w:r>
    </w:p>
    <w:p>
      <w:pPr>
        <w:pStyle w:val="Heading2"/>
      </w:pPr>
      <w:bookmarkStart w:id="901172" w:name="_Toc300001171"/>
      <w:r>
        <w:t>Article 35.3: CUSMA-Originating Goods Tariff Guarantee</w:t>
      </w:r>
      <w:bookmarkEnd w:id="901172"/>
    </w:p>
    <w:p>
      <w:pPr>
        <w:pStyle w:val="Normal"/>
      </w:pPr>
      <w:r>
        <w:t>1. Each Party shall accord to an originating good of another Party the tariff treatment established in that Party’s Schedule to Annex 2-B (Tariff Commitments), subject only to an exception expressly provided in this Agreement.</w:t>
      </w:r>
    </w:p>
    <w:p>
      <w:pPr>
        <w:pStyle w:val="Normal"/>
      </w:pPr>
      <w:r>
        <w:t>2. The guarantee in paragraph 1 applies notwithstanding the domestic statutory, executive, regulatory, proclamatory, or other authority under which a covered border measure is adopted or maintained, and notwithstanding the name, designation, characterization, or stated purpose assigned to that measure under domestic law.</w:t>
      </w:r>
    </w:p>
    <w:p>
      <w:pPr>
        <w:pStyle w:val="Normal"/>
      </w:pPr>
      <w:r>
        <w:t>3. The obligations of this Agreement with respect to covered border measures apply according to the substance and economic effect of a measure, without regard to the domestic legal authority, designation, form, or terminology under which a Party adopts or maintains that measure. For greater certainty, a measure is subject to this Agreement if its economic function is that of a covered border measure, including a measure denominated as a tariff, tax, fee, surcharge, levy, adjustment, restriction, exclusion, licensing condition, financial-security requirement, or suspension of preferential or simplified customs treatment.</w:t>
      </w:r>
    </w:p>
    <w:p>
      <w:pPr>
        <w:pStyle w:val="Normal"/>
      </w:pPr>
      <w:r>
        <w:t>4. No Party shall accomplish indirectly, through a covered border measure, what this Agreement prohibits that Party from accomplishing directly, except pursuant to an express exception contained in this Agreement.</w:t>
      </w:r>
    </w:p>
    <w:p>
      <w:pPr>
        <w:pStyle w:val="Normal"/>
      </w:pPr>
      <w:r>
        <w:t>5. No Party shall apply a covered border measure to an originating good of another Party on the basis of the proportion of that good’s content that is attributable to one Party rather than to the Parties collectively. Origin under this Agreement is North American origin. For greater certainty, and without limiting Chapter 4, a covered border measure that differentiates treatment of an originating good according to the share of its value, content, or processes attributable to a single Party is inconsistent with this Agreement.</w:t>
      </w:r>
    </w:p>
    <w:p>
      <w:pPr>
        <w:pStyle w:val="Normal"/>
      </w:pPr>
      <w:r>
        <w:t>6. No Party shall apply a covered border measure to an originating good of another Party by reason of a grievance, dispute, policy objective, or negotiation position that does not concern trade in goods or services under this Agreement. For greater certainty, conduct relating to migration, drug trafficking, crime, environmental phenomena, infrastructure, diplomatic relations, or a third country does not constitute a basis for a covered border measure against originating goods under this Agreement.</w:t>
      </w:r>
    </w:p>
    <w:p>
      <w:pPr>
        <w:pStyle w:val="Normal"/>
      </w:pPr>
      <w:r>
        <w:t>7. No Party shall apply a covered border measure to an originating good of another Party on the ground that the other Party accords, under a separate international agreement, treatment to a non-Party that differs from treatment accorded under this Agreement, provided the other Party’s administration of this Agreement conforms to this Agreement.</w:t>
      </w:r>
    </w:p>
    <w:p>
      <w:pPr>
        <w:pStyle w:val="Normal"/>
      </w:pPr>
      <w:r>
        <w:t>8. No Party shall condition the tariff treatment of originating goods on investment commitments, production-location commitments, sourcing commitments within a single Party, pricing commitments, purchase commitments, import targets, or other concessions extraneous to the originating status of the goods.</w:t>
      </w:r>
    </w:p>
    <w:p>
      <w:pPr>
        <w:pStyle w:val="Normal"/>
      </w:pPr>
      <w:r>
        <w:t>9. This Article does not constrain: (a) antidumping and countervailing duties imposed consistently with Chapter 10 (Trade Remedies) as amended by this modernization, including Articles 10.A and 10.B; (b) a safeguard measure imposed consistently with Chapter 10 as amended; (c) a Proportional Trade Adjustment authorized under this Chapter; (d) an emergency provisional measure applied consistently with Article 35.21; or (e) an essential security measure applied consistently with Article 32.2 (Essential Security) as replaced by this modernization and reviewed under Article 35.22.</w:t>
      </w:r>
    </w:p>
    <w:p>
      <w:pPr>
        <w:pStyle w:val="Normal"/>
      </w:pPr>
      <w:r>
        <w:t>10. Presumption of Tariff Finality. Preferential tariff treatment established by this Agreement is permanent economic infrastructure and shall not be increased, suspended, conditioned, or threatened for bargaining leverage, revenue generation, political retaliation, bilateral trade-balance objectives, migration or narcotics disputes unrelated to the goods, or generalized industrial-policy objectives.</w:t>
      </w:r>
    </w:p>
    <w:p>
      <w:pPr>
        <w:pStyle w:val="Normal"/>
      </w:pPr>
      <w:r>
        <w:t>11. A departure from paragraph 10 is permitted only through an express mechanism of this Agreement that independently authorizes the measure, satisfies its evidentiary and procedural conditions, and is applied for the shortest period and at the lowest level reasonably sufficient to address the verified matter.</w:t>
      </w:r>
    </w:p>
    <w:p>
      <w:pPr>
        <w:pStyle w:val="Normal"/>
      </w:pPr>
      <w:r>
        <w:t>12. Tariff-based corrective measures are remedies of last resort. Where a non-tariff corrective measure available under Articles 35.16 and 35.17A can reasonably achieve equivalent compliance with materially less disruption to innocent trade, the non-tariff measure shall be preferred.</w:t>
      </w:r>
    </w:p>
    <w:p>
      <w:pPr>
        <w:pStyle w:val="Heading2"/>
      </w:pPr>
      <w:bookmarkStart w:id="901173" w:name="_Toc300001172"/>
      <w:r>
        <w:t>Article 35.3A: Export Measures</w:t>
      </w:r>
      <w:bookmarkEnd w:id="901173"/>
    </w:p>
    <w:p>
      <w:pPr>
        <w:pStyle w:val="Normal"/>
      </w:pPr>
      <w:r>
        <w:t>1. This Chapter applies, mutatis mutandis, to extraordinary restrictions, duties, taxes, fees, quotas, licensing conditions, or prohibitions applied by a Party on the exportation of goods to another Party, including energy, machinery, technology, components, medicines, and industrial inputs.</w:t>
      </w:r>
    </w:p>
    <w:p>
      <w:pPr>
        <w:pStyle w:val="Normal"/>
      </w:pPr>
      <w:r>
        <w:t>2. No Party shall apply an extraordinary export restriction against another Party as retaliation, leverage, or punishment in a matter arising under this Agreement. An export restriction in respect of a verified distortion is available only through the stages of Article 35.16, within the affected module, and subject to the same ceilings, expiry, and automatic restoration as a PTA.</w:t>
      </w:r>
    </w:p>
    <w:p>
      <w:pPr>
        <w:pStyle w:val="Normal"/>
      </w:pPr>
      <w:r>
        <w:t>3. Article 2.12 (Export Duties, Taxes, or Other Charges) and the disciplines of this Agreement on export restrictions remain in force. For greater certainty, an extraordinary discriminatory export duty, tax, or charge applied by reason of the destination of the goods in another Party is a covered border measure.</w:t>
      </w:r>
    </w:p>
    <w:p>
      <w:pPr>
        <w:pStyle w:val="Normal"/>
      </w:pPr>
      <w:r>
        <w:t>4. Nothing in this Article constrains export controls of general application addressed to non-Parties, non-proliferation controls, or measures consistent with Article 32.2 as replaced.</w:t>
      </w:r>
    </w:p>
    <w:p>
      <w:pPr>
        <w:pStyle w:val="Heading2"/>
      </w:pPr>
      <w:bookmarkStart w:id="901174" w:name="_Toc300001173"/>
      <w:r>
        <w:t>Article 35.4: Equivalent Measures and Anti-Evasion</w:t>
      </w:r>
      <w:bookmarkEnd w:id="901174"/>
    </w:p>
    <w:p>
      <w:pPr>
        <w:pStyle w:val="Normal"/>
      </w:pPr>
      <w:r>
        <w:t>1. No Party shall evade Article 35.3 by:</w:t>
      </w:r>
    </w:p>
    <w:p>
      <w:pPr>
        <w:pStyle w:val="Normal"/>
      </w:pPr>
      <w:r>
        <w:t>(a) replacing a prohibited duty with a fee, surcharge, levy, or charge of equivalent economic effect;</w:t>
      </w:r>
    </w:p>
    <w:p>
      <w:pPr>
        <w:pStyle w:val="Normal"/>
      </w:pPr>
      <w:r>
        <w:t>(b) replacing a prohibited duty with a quantitative restriction, quota, or tariff-rate quota carrying a restrictive or punitive over-quota rate;</w:t>
      </w:r>
    </w:p>
    <w:p>
      <w:pPr>
        <w:pStyle w:val="Normal"/>
      </w:pPr>
      <w:r>
        <w:t>(c) withdrawing, suspending, or conditioning duty-free, simplified, or expedited customs treatment, including treatment of low-value shipments, so as to impose on originating goods a burden equivalent to a prohibited duty;</w:t>
      </w:r>
    </w:p>
    <w:p>
      <w:pPr>
        <w:pStyle w:val="Normal"/>
      </w:pPr>
      <w:r>
        <w:t>(d) extending a measure addressed to a primary product to derivative or downstream products so as to reach trade not covered by a verified distortion in the primary product, except where the derivative or downstream product itself embodies the verified distortion, it being understood that a Party shall not define “derivative” so broadly that products not meaningfully embodying the distorted input are captured;</w:t>
      </w:r>
    </w:p>
    <w:p>
      <w:pPr>
        <w:pStyle w:val="Normal"/>
      </w:pPr>
      <w:r>
        <w:t>(e) adding products to an existing extraordinary measure to prevent circumvention, except following verification under this Chapter that the added products embody the verified distortion;</w:t>
      </w:r>
    </w:p>
    <w:p>
      <w:pPr>
        <w:pStyle w:val="Normal"/>
      </w:pPr>
      <w:r>
        <w:t>(f) applying a special origin test, including a test based on the place of an underlying production process, that operates independently of, and more restrictively than, the rules of origin in Chapter 4, except as expressly provided in this Agreement;</w:t>
      </w:r>
    </w:p>
    <w:p>
      <w:pPr>
        <w:pStyle w:val="Normal"/>
      </w:pPr>
      <w:r>
        <w:t>(g) reviving, re-adopting, or escalating a previous extraordinary measure on the basis of a prior domestic finding, without a new verification under this Chapter establishing the current existence and magnitude of the distortion;</w:t>
      </w:r>
    </w:p>
    <w:p>
      <w:pPr>
        <w:pStyle w:val="Normal"/>
      </w:pPr>
      <w:r>
        <w:t>(h) escalating the rate or scope of an extraordinary measure in the absence of a new verified change in the underlying distortion;</w:t>
      </w:r>
    </w:p>
    <w:p>
      <w:pPr>
        <w:pStyle w:val="Normal"/>
      </w:pPr>
      <w:r>
        <w:t>(i) terminating or materially impairing, by unilateral action, an exemption, exclusion, or alternative arrangement accorded to another Party’s originating goods under this Agreement;</w:t>
      </w:r>
    </w:p>
    <w:p>
      <w:pPr>
        <w:pStyle w:val="Normal"/>
      </w:pPr>
      <w:r>
        <w:t>(j) applying minimum effective duty floors to originating goods such that the measure persists independently of the verified distortion;</w:t>
      </w:r>
    </w:p>
    <w:p>
      <w:pPr>
        <w:pStyle w:val="Normal"/>
      </w:pPr>
      <w:r>
        <w:t>(k) imposing a covered border measure selectively on one Party while according materially more favorable treatment to like originating goods of another Party or to like goods of a non-Party, except pursuant to an express exception of this Agreement or a preference consistent with Article 35.5;</w:t>
      </w:r>
    </w:p>
    <w:p>
      <w:pPr>
        <w:pStyle w:val="Normal"/>
      </w:pPr>
      <w:r>
        <w:t>(l) adopting a new covered border measure under a different domestic authority where a substantively identical measure has been terminated, found inconsistent with this Agreement, or withdrawn;</w:t>
      </w:r>
    </w:p>
    <w:p>
      <w:pPr>
        <w:pStyle w:val="Normal"/>
      </w:pPr>
      <w:r>
        <w:t>(m) stacking covered border measures such that the cumulative charge on an originating good exceeds the ceiling applicable under this Chapter to the verified distortion being addressed; or</w:t>
      </w:r>
    </w:p>
    <w:p>
      <w:pPr>
        <w:pStyle w:val="Normal"/>
      </w:pPr>
      <w:r>
        <w:t>(n) adopting a substantially identical measure under a new stated justification, where the measure, the targeted trade, and its economic effect remain substantially the same; for the purposes of duration limits, renewal limits, and verification requirements of this Agreement, such successive measures are treated as a single continuing measure.</w:t>
      </w:r>
    </w:p>
    <w:p>
      <w:pPr>
        <w:pStyle w:val="Normal"/>
      </w:pPr>
      <w:r>
        <w:t>2. Where a Party adopts or maintains a measure described in paragraph 1, the measure is subject to this Chapter as if it were the covered border measure whose effect it reproduces.</w:t>
      </w:r>
    </w:p>
    <w:p>
      <w:pPr>
        <w:pStyle w:val="Heading2"/>
      </w:pPr>
      <w:bookmarkStart w:id="901175" w:name="_Toc300001174"/>
      <w:r>
        <w:t>Article 35.4A: Substitute Measures, Internal, Regulatory, Customs-Administration, and Procurement Routes</w:t>
      </w:r>
      <w:bookmarkEnd w:id="901175"/>
    </w:p>
    <w:p>
      <w:pPr>
        <w:pStyle w:val="Normal"/>
      </w:pPr>
      <w:r>
        <w:t>1. The following measures, where applied so as to discriminate against or materially burden the originating goods, suppliers, or service suppliers of another Party by comparison with like domestic or non-Party goods, suppliers, or service suppliers, or so as to reproduce the economic effect of a covered border measure, are covered border measures for the purposes of this Agreement, wherever in the customs, fiscal, or regulatory process they are applied:</w:t>
      </w:r>
    </w:p>
    <w:p>
      <w:pPr>
        <w:pStyle w:val="Normal"/>
      </w:pPr>
      <w:r>
        <w:t>(a) an excise, sales, environmental, luxury, processing, consumption, or other internal tax targeted in fact at another Party’s goods, beyond treatment consistent with Article 2.3 (National Treatment);</w:t>
      </w:r>
    </w:p>
    <w:p>
      <w:pPr>
        <w:pStyle w:val="Normal"/>
      </w:pPr>
      <w:r>
        <w:t>(b) an inspection charge, certification fee, licensing fee, port charge, customs-user fee, or compliance assessment exceeding the approximate cost of services rendered or applied discriminatorily;</w:t>
      </w:r>
    </w:p>
    <w:p>
      <w:pPr>
        <w:pStyle w:val="Normal"/>
      </w:pPr>
      <w:r>
        <w:t>(c) a requirement that another Party’s goods enter only through designated ports, inspection centers, or crossings, or at restricted hours, unless objectively necessary for safety, security, or infrastructure capacity, with the invoking Party bearing the burden of demonstrating that necessity;</w:t>
      </w:r>
    </w:p>
    <w:p>
      <w:pPr>
        <w:pStyle w:val="Normal"/>
      </w:pPr>
      <w:r>
        <w:t>(d) systematic, discriminatory clearance delay, inspection intensity, documentation demands, or release holds that materially burden originating trade, assessed against the Party’s published processing benchmarks under Article 7.D;</w:t>
      </w:r>
    </w:p>
    <w:p>
      <w:pPr>
        <w:pStyle w:val="Normal"/>
      </w:pPr>
      <w:r>
        <w:t>(e) inspection rates on another Party’s goods materially exceeding those applied to like domestic or non-Party goods presenting a comparable documented risk profile, where the disparity is not justified by measurable, published risk criteria;</w:t>
      </w:r>
    </w:p>
    <w:p>
      <w:pPr>
        <w:pStyle w:val="Normal"/>
      </w:pPr>
      <w:r>
        <w:t>(f) a customs bond, deposit, guarantee, surety, or collateral requirement that is materially excessive in relation to the secured obligation or discriminatorily applied;</w:t>
      </w:r>
    </w:p>
    <w:p>
      <w:pPr>
        <w:pStyle w:val="Normal"/>
      </w:pPr>
      <w:r>
        <w:t>(g) a customs-valuation methodology departing from the Customs Valuation Agreement as incorporated in Article 7.3, or an extraordinary valuation methodology targeted at another Party’s goods;</w:t>
      </w:r>
    </w:p>
    <w:p>
      <w:pPr>
        <w:pStyle w:val="Normal"/>
      </w:pPr>
      <w:r>
        <w:t>(h) a systematic reclassification of another Party’s goods into less favorable tariff lines without a corresponding change in the Harmonized System or in the goods themselves, subject to expedited review under Article 31.A;</w:t>
      </w:r>
    </w:p>
    <w:p>
      <w:pPr>
        <w:pStyle w:val="Normal"/>
      </w:pPr>
      <w:r>
        <w:t>(i) repetitive origin verifications of the same exporters, producers, or goods without new evidence, contrary to the discipline of Article 5.A;</w:t>
      </w:r>
    </w:p>
    <w:p>
      <w:pPr>
        <w:pStyle w:val="Normal"/>
      </w:pPr>
      <w:r>
        <w:t>(j) government-induced export restraints, managed-trade quotas, minimum export prices, or similar arrangements obtained from another Party under threat of a measure that would be prohibited by this Agreement;</w:t>
      </w:r>
    </w:p>
    <w:p>
      <w:pPr>
        <w:pStyle w:val="Normal"/>
      </w:pPr>
      <w:r>
        <w:t>(k) conditioning tariff treatment, market access, or measure relief on commitments by another Party to purchase goods, reach import targets, or direct purchases toward the invoking Party;</w:t>
      </w:r>
    </w:p>
    <w:p>
      <w:pPr>
        <w:pStyle w:val="Normal"/>
      </w:pPr>
      <w:r>
        <w:t>(l) the exclusion of another Party’s suppliers from government procurement opportunities otherwise open under this Agreement, as retaliation or leverage in a matter arising under this Agreement; and</w:t>
      </w:r>
    </w:p>
    <w:p>
      <w:pPr>
        <w:pStyle w:val="Normal"/>
      </w:pPr>
      <w:r>
        <w:t>(m) conditioning export credit, development lending, loan guarantees, infrastructure financing, or industrial grants on the non-purchase of another Party’s goods, where the condition operates as a substitute for a prohibited measure; ordinary subsidy disciplines under this Agreement and the SCM Agreement are unaffected.</w:t>
      </w:r>
    </w:p>
    <w:p>
      <w:pPr>
        <w:pStyle w:val="Normal"/>
      </w:pPr>
      <w:r>
        <w:t>2. A subsidy or domestic-content incentive of general application is governed by the national-treatment, subsidy, and countervailing disciplines of this Agreement, and is not, merely by reason of its existence, a covered border measure; but an extraordinary program designed and conditioned so as to exclude another Party’s goods from a market in substitution for a prohibited border measure is reviewable under Chapter 31 for consistency with Articles 2.3 and 35.4.</w:t>
      </w:r>
    </w:p>
    <w:p>
      <w:pPr>
        <w:pStyle w:val="Normal"/>
      </w:pPr>
      <w:r>
        <w:t>3. Nothing in this Article restricts legitimate risk-based customs enforcement, food-safety and sanitary inspection consistent with Chapter 9, or ordinary tax measures consistent with national treatment.</w:t>
      </w:r>
    </w:p>
    <w:p>
      <w:pPr>
        <w:pStyle w:val="Normal"/>
      </w:pPr>
      <w:r>
        <w:t>4. Mirror and Burden Test. A new inspection, certification, licensing, health, safety, environmental, or comparable regulatory requirement that materially affects originating imports shall be administered on terms no less favorable than those applied to like domestic goods presenting a comparable risk, except to the extent a border-specific procedure is objectively necessary to verify entry, origin, safety, or compliance. Where the incremental compliance cost imposed on originating imports exceeds by more than two percentage points of customs value the comparable compliance cost borne by like domestic goods, the disparity creates a rebuttable presumption that the measure is a substitute measure. The presumption may be rebutted by evidence of objective necessity, proportionality, and the absence of a reasonably available less trade-restrictive means.</w:t>
      </w:r>
    </w:p>
    <w:p>
      <w:pPr>
        <w:pStyle w:val="Heading2"/>
      </w:pPr>
      <w:bookmarkStart w:id="901176" w:name="_Toc300001175"/>
      <w:r>
        <w:t>Article 35.4B: Regulatory Safe Harbor</w:t>
      </w:r>
      <w:bookmarkEnd w:id="901176"/>
    </w:p>
    <w:p>
      <w:pPr>
        <w:pStyle w:val="Normal"/>
      </w:pPr>
      <w:r>
        <w:t>1. A measure is presumptively not a substitute measure under Article 35.4A where it: (a) is facially nationality-neutral; (b) applies on materially comparable terms to like domestic goods, services, suppliers, or facilities; (c) pursues a legitimate objective including health, safety, environment, privacy, consumer protection, financial stability, culture, cybersecurity, or resource conservation; (d) was adopted through the ordinary domestic procedure applicable to comparable measures; and (e) is supported by a reasonable evidentiary or technical basis.</w:t>
      </w:r>
    </w:p>
    <w:p>
      <w:pPr>
        <w:pStyle w:val="Normal"/>
      </w:pPr>
      <w:r>
        <w:t>2. The presumption in paragraph 1 may be rebutted only by clear and convincing evidence that the measure is designed or administered to discriminate against another Party's trade, or that its protectionist effect is grossly disproportionate to the stated objective and a reasonably available materially less trade-restrictive alternative would achieve the same level of protection chosen by the regulating Party.</w:t>
      </w:r>
    </w:p>
    <w:p>
      <w:pPr>
        <w:pStyle w:val="Normal"/>
      </w:pPr>
      <w:r>
        <w:t>3. Cost of compliance alone does not establish a substitute measure. A material asymmetry in compliance burden may trigger factual review, but the complaining Party bears the burden of establishing discriminatory design, administration, or effect.</w:t>
      </w:r>
    </w:p>
    <w:p>
      <w:pPr>
        <w:pStyle w:val="Normal"/>
      </w:pPr>
      <w:r>
        <w:t>4. A bona fide health, safety, environmental, cybersecurity, or consumer-protection measure shall not ordinarily be suspended on an interim basis before a final finding. Interim suspension is available only on clear and convincing evidence of disguised discrimination, bad faith, or immediate irreparable commercial harm substantially exceeding the public-interest risk of suspension.</w:t>
      </w:r>
    </w:p>
    <w:p>
      <w:pPr>
        <w:pStyle w:val="Normal"/>
      </w:pPr>
      <w:r>
        <w:t>5. Nothing in this Article lowers a Party's chosen level of protection or requires harmonization of domestic regulation.</w:t>
      </w:r>
    </w:p>
    <w:p>
      <w:pPr>
        <w:pStyle w:val="Heading2"/>
      </w:pPr>
      <w:bookmarkStart w:id="901177" w:name="_Toc300001176"/>
      <w:r>
        <w:t>Article 35.5: Exclusive Remedies for Trade Matters</w:t>
      </w:r>
      <w:bookmarkEnd w:id="901177"/>
    </w:p>
    <w:p>
      <w:pPr>
        <w:pStyle w:val="Normal"/>
      </w:pPr>
      <w:r>
        <w:t>1. Where a matter concerns trade in goods or services between the Parties and falls within the scope of this Agreement, the remedies provided under this Agreement are the exclusive means by which a Party may impose a covered border measure on the originating goods of another Party in respect of that matter, except as expressly provided in Article 32.2 as replaced by this modernization.</w:t>
      </w:r>
    </w:p>
    <w:p>
      <w:pPr>
        <w:pStyle w:val="Normal"/>
      </w:pPr>
      <w:r>
        <w:t>2. A Party’s recourse to dispute settlement under Chapter 31 (Dispute Settlement), including the Expedited Tariff Panel procedure in Article 31.A, does not limit the rights or obligations of the Parties under this Chapter, and the procedures of this Chapter and of Chapter 31 shall be administered so as to avoid duplication, inconsistent outcomes, and parallel escalation.</w:t>
      </w:r>
    </w:p>
    <w:p>
      <w:pPr>
        <w:pStyle w:val="Normal"/>
      </w:pPr>
      <w:r>
        <w:t>3. Nothing in this Agreement requires a Party to refrain from a measure that does not constitute a covered border measure, provided that the measure is not applied so as to afford protection to domestic production in a manner inconsistent with this Agreement.</w:t>
      </w:r>
    </w:p>
    <w:p>
      <w:pPr>
        <w:pStyle w:val="Normal"/>
      </w:pPr>
      <w:r>
        <w:t>4. For greater certainty, Article 32.1 (General Exceptions) cannot be invoked to accomplish what Articles 35.3 through 35.7 expressly prohibit, unless the measure in fact satisfies every element of the specific exception invoked, including the applicable chapeau discipline.</w:t>
      </w:r>
    </w:p>
    <w:p>
      <w:pPr>
        <w:pStyle w:val="Heading2"/>
      </w:pPr>
      <w:bookmarkStart w:id="901178" w:name="_Toc300001177"/>
      <w:r>
        <w:t>Article 35.6: Standstill on New Extraordinary Measures</w:t>
      </w:r>
      <w:bookmarkEnd w:id="901178"/>
    </w:p>
    <w:p>
      <w:pPr>
        <w:pStyle w:val="Normal"/>
      </w:pPr>
      <w:r>
        <w:t>1. No Party shall adopt a new covered border measure against the originating goods of another Party except in conformity with this Chapter, Chapter 10, or Article 32.2 as replaced by this modernization.</w:t>
      </w:r>
    </w:p>
    <w:p>
      <w:pPr>
        <w:pStyle w:val="Normal"/>
      </w:pPr>
      <w:r>
        <w:t>2. Pending completion of the procedures of this Chapter with respect to an alleged distortion, including the cooling-off period in Article 35.9, the verification in Article 35.10, and the classification in Article 35.11, no Party shall apply a covered border measure in respect of that alleged distortion, except: (a) an escrow deposit under Article 35.14; or (b) an emergency provisional measure under Article 35.21.</w:t>
      </w:r>
    </w:p>
    <w:p>
      <w:pPr>
        <w:pStyle w:val="Normal"/>
      </w:pPr>
      <w:r>
        <w:t>3. The filing of an allegation, the opening of a verification, or the pendency of a dispute does not, by itself, authorize any covered border measure.</w:t>
      </w:r>
    </w:p>
    <w:p>
      <w:pPr>
        <w:pStyle w:val="Heading2"/>
      </w:pPr>
      <w:bookmarkStart w:id="901179" w:name="_Toc300001178"/>
      <w:r>
        <w:t>Article 35.7: Prohibited Uses of Covered Border Measures</w:t>
      </w:r>
      <w:bookmarkEnd w:id="901179"/>
    </w:p>
    <w:p>
      <w:pPr>
        <w:pStyle w:val="Normal"/>
      </w:pPr>
      <w:r>
        <w:t>1. No Party shall apply a covered border measure to the originating goods of another Party:</w:t>
      </w:r>
    </w:p>
    <w:p>
      <w:pPr>
        <w:pStyle w:val="Normal"/>
      </w:pPr>
      <w:r>
        <w:t>(a) as leverage in a negotiation over an unrelated matter;</w:t>
      </w:r>
    </w:p>
    <w:p>
      <w:pPr>
        <w:pStyle w:val="Normal"/>
      </w:pPr>
      <w:r>
        <w:t>(b) as a response to the other Party’s domestic enforcement practices concerning goods of non-Parties, where the measure reaches originating goods unconnected to the conduct at issue;</w:t>
      </w:r>
    </w:p>
    <w:p>
      <w:pPr>
        <w:pStyle w:val="Normal"/>
      </w:pPr>
      <w:r>
        <w:t>(c) as a means of inducing changes in the other Party’s domestic law, regulation, taxation, digital policy, or administration that are not obligations of that Party under this Agreement;</w:t>
      </w:r>
    </w:p>
    <w:p>
      <w:pPr>
        <w:pStyle w:val="Normal"/>
      </w:pPr>
      <w:r>
        <w:t>(d) on the basis of a finding that has expired, been superseded, or been judicially invalidated, without a new verification;</w:t>
      </w:r>
    </w:p>
    <w:p>
      <w:pPr>
        <w:pStyle w:val="Normal"/>
      </w:pPr>
      <w:r>
        <w:t>(e) in a manner that discriminates between the Parties’ originating goods by reference to the Party in which specific production processes occurred, except as expressly provided in this Agreement;</w:t>
      </w:r>
    </w:p>
    <w:p>
      <w:pPr>
        <w:pStyle w:val="Normal"/>
      </w:pPr>
      <w:r>
        <w:t>(f) in a manner deliberately designed to maximize political or economic pain in sectors or regions unconnected to the verified distortion; or</w:t>
      </w:r>
    </w:p>
    <w:p>
      <w:pPr>
        <w:pStyle w:val="Normal"/>
      </w:pPr>
      <w:r>
        <w:t>(g) in excess of the ceiling established under Article 35.12, except as an expressly authorized consequence of deliberate or sustained noncompliance under Article 35.16.</w:t>
      </w:r>
    </w:p>
    <w:p>
      <w:pPr>
        <w:pStyle w:val="Normal"/>
      </w:pPr>
      <w:r>
        <w:t>2. A measure inconsistent with paragraph 1 is a nullity for the purposes of this Agreement, and the affected Party is entitled to its withdrawal and to redress in accordance with Article 35.25.</w:t>
      </w:r>
    </w:p>
    <w:p>
      <w:pPr>
        <w:pStyle w:val="Heading2"/>
      </w:pPr>
      <w:bookmarkStart w:id="901180" w:name="_Toc300001179"/>
      <w:r>
        <w:t>Article 35.8: Initiation of the Mechanism and Consultation</w:t>
      </w:r>
      <w:bookmarkEnd w:id="901180"/>
    </w:p>
    <w:p>
      <w:pPr>
        <w:pStyle w:val="Normal"/>
      </w:pPr>
      <w:r>
        <w:t>1. A Party (the “initiating Party”) that considers that a distortion actionable under this Agreement may exist shall submit to the other Party concerned (the “responding Party”) and to the North American Trade Verification Panel a Notice of Concern describing the matter in general terms.</w:t>
      </w:r>
    </w:p>
    <w:p>
      <w:pPr>
        <w:pStyle w:val="Normal"/>
      </w:pPr>
      <w:r>
        <w:t>2. Upon delivery of a Notice of Concern, a mandatory cooling-off period of 10 days begins. During the cooling-off period: (a) no Party shall adopt a covered border measure in respect of the matter; (b) no Party shall adopt a retaliatory or countermeasure; and (c) the Parties concerned shall hold consultations at the technical level, and, at the request of either, at the ministerial level.</w:t>
      </w:r>
    </w:p>
    <w:p>
      <w:pPr>
        <w:pStyle w:val="Normal"/>
      </w:pPr>
      <w:r>
        <w:t>3. Consultations under this Article are without prejudice to the positions of the Parties in subsequent stages of the Mechanism.</w:t>
      </w:r>
    </w:p>
    <w:p>
      <w:pPr>
        <w:pStyle w:val="Heading2"/>
      </w:pPr>
      <w:bookmarkStart w:id="901181" w:name="_Toc300001180"/>
      <w:r>
        <w:t>Article 35.9: Evidence Package</w:t>
      </w:r>
      <w:bookmarkEnd w:id="901181"/>
    </w:p>
    <w:p>
      <w:pPr>
        <w:pStyle w:val="Normal"/>
      </w:pPr>
      <w:r>
        <w:t>1. To proceed beyond consultations, the initiating Party shall submit an Evidence Package to the North American Trade Verification Panel, with a copy to the responding Party, containing:</w:t>
      </w:r>
    </w:p>
    <w:p>
      <w:pPr>
        <w:pStyle w:val="Normal"/>
      </w:pPr>
      <w:r>
        <w:t>(a) identification of the measure, conduct, or practice alleged to constitute the distortion;</w:t>
      </w:r>
    </w:p>
    <w:p>
      <w:pPr>
        <w:pStyle w:val="Normal"/>
      </w:pPr>
      <w:r>
        <w:t>(b) identification of the goods, entities, and trade flows alleged to be affected, at the most specific level reasonably available;</w:t>
      </w:r>
    </w:p>
    <w:p>
      <w:pPr>
        <w:pStyle w:val="Normal"/>
      </w:pPr>
      <w:r>
        <w:t>(c) a quantified estimate of the alleged economic distortion, the counterfactual baseline used, the methodology applied, and the uncertainty band of the estimate;</w:t>
      </w:r>
    </w:p>
    <w:p>
      <w:pPr>
        <w:pStyle w:val="Normal"/>
      </w:pPr>
      <w:r>
        <w:t>(d) the supporting evidence, including customs data, transaction records, pricing data, subsidy records, or origin documentation, with chain-of-custody certification where applicable;</w:t>
      </w:r>
    </w:p>
    <w:p>
      <w:pPr>
        <w:pStyle w:val="Normal"/>
      </w:pPr>
      <w:r>
        <w:t>(e) the remedy requested and an explanation of why that remedy is the narrowest sufficient remedy; and</w:t>
      </w:r>
    </w:p>
    <w:p>
      <w:pPr>
        <w:pStyle w:val="Normal"/>
      </w:pPr>
      <w:r>
        <w:t>(f) a certification by a responsible official of the initiating Party that the contents are accurate and complete to the best of that official’s knowledge.</w:t>
      </w:r>
    </w:p>
    <w:p>
      <w:pPr>
        <w:pStyle w:val="Normal"/>
      </w:pPr>
      <w:r>
        <w:t>2. An Evidence Package that does not contain the elements in paragraph 1 is incomplete. The Panel shall return an incomplete Evidence Package to the initiating Party, which may complete and resubmit it. An incomplete Evidence Package does not suspend the standstill in Article 35.6.</w:t>
      </w:r>
    </w:p>
    <w:p>
      <w:pPr>
        <w:pStyle w:val="Normal"/>
      </w:pPr>
      <w:r>
        <w:t>3. The submission of an Evidence Package does not authorize any covered border measure.</w:t>
      </w:r>
    </w:p>
    <w:p>
      <w:pPr>
        <w:pStyle w:val="Normal"/>
      </w:pPr>
      <w:r>
        <w:t>4. Where an Evidence Package identifies specific private entities, the Technical Secretariat shall notify those entities, and Article 35.10A (Rights of Affected Entities) applies from that point.</w:t>
      </w:r>
    </w:p>
    <w:p>
      <w:pPr>
        <w:pStyle w:val="Normal"/>
      </w:pPr>
      <w:r>
        <w:t>Responding-Party Evidence Standard. The Party seeking authorization for a restrictive measure retains the ultimate burden of establishing each element required for that measure. The responding Party bears only a burden of production for facts peculiarly within its control, including proof that identified conduct ceased, a subsidy was withdrawn, specified records are authentic, or remediation occurred. Failure to produce information after a lawful and proportionate request may support an adverse inference under Article 35.10, but does not reverse the ultimate burden of proof.</w:t>
      </w:r>
    </w:p>
    <w:p>
      <w:pPr>
        <w:pStyle w:val="Heading2"/>
      </w:pPr>
      <w:bookmarkStart w:id="901182" w:name="_Toc300001181"/>
      <w:r>
        <w:t>Article 35.9A: Minimum Viable Enforcement Track for Facial Violations</w:t>
      </w:r>
      <w:bookmarkEnd w:id="901182"/>
    </w:p>
    <w:p>
      <w:pPr>
        <w:pStyle w:val="Normal"/>
      </w:pPr>
      <w:r>
        <w:t>1. A complaining Party may request the simplified track where the challenged measure is facially and objectively identifiable from an official legal instrument or customs instruction and the dispute does not require material econometric estimation, complex origin tracing, or contested factual attribution.</w:t>
      </w:r>
    </w:p>
    <w:p>
      <w:pPr>
        <w:pStyle w:val="Normal"/>
      </w:pPr>
      <w:r>
        <w:t>2. Eligible matters include an expressly prohibited tariff or surcharge on originating goods; an unlawful suspension of low-value treatment; failure to terminate a measure on a treaty-specified date; a prohibited Party-specific content condition; failure to restore treatment after a final certification; or another violation designated by consensus as suitable for summary determination.</w:t>
      </w:r>
    </w:p>
    <w:p>
      <w:pPr>
        <w:pStyle w:val="Normal"/>
      </w:pPr>
      <w:r>
        <w:t>3. The respondent shall submit its legal and factual response within seven days. A three-member panel drawn under Article 31.C shall issue a determination within 15 days after the response. No Evidence Package element unnecessary to the facial issue is required.</w:t>
      </w:r>
    </w:p>
    <w:p>
      <w:pPr>
        <w:pStyle w:val="Normal"/>
      </w:pPr>
      <w:r>
        <w:t>4. If the panel determines that material factual disputes or valuation issues prevent summary disposition, it shall transfer the matter immediately to the ordinary Chapter 35 procedure without prejudice and without requiring refiling. Time already elapsed counts toward the applicable ordinary deadlines.</w:t>
      </w:r>
    </w:p>
    <w:p>
      <w:pPr>
        <w:pStyle w:val="Normal"/>
      </w:pPr>
      <w:r>
        <w:t>5. A final finding under this Article activates Article 35.25A and any treaty-specified restoration or refund automatically.</w:t>
      </w:r>
    </w:p>
    <w:p>
      <w:pPr>
        <w:pStyle w:val="Heading2"/>
      </w:pPr>
      <w:bookmarkStart w:id="901183" w:name="_Toc300001182"/>
      <w:r>
        <w:t>Article 35.9B: Technical Truth Escalation Chain</w:t>
      </w:r>
      <w:bookmarkEnd w:id="901183"/>
    </w:p>
    <w:p>
      <w:pPr>
        <w:pStyle w:val="Normal"/>
      </w:pPr>
      <w:r>
        <w:t>1. A dispute concerning data fidelity, chain of custody, registry integrity, customs-system output, or another purely technical evidentiary question shall be resolved before the Parties litigate the policy meaning of that data.</w:t>
      </w:r>
    </w:p>
    <w:p>
      <w:pPr>
        <w:pStyle w:val="Normal"/>
      </w:pPr>
      <w:r>
        <w:t>2. Level One: Technical Officer Review. A designated technical officer reviews the raw record and issues a preliminary technical finding within 24 hours.</w:t>
      </w:r>
    </w:p>
    <w:p>
      <w:pPr>
        <w:pStyle w:val="Normal"/>
      </w:pPr>
      <w:r>
        <w:t>3. Level Two: Joint Technical Review. If disputed, a joint technical group convenes within 48 hours and issues a corroboration report within three business days.</w:t>
      </w:r>
    </w:p>
    <w:p>
      <w:pPr>
        <w:pStyle w:val="Normal"/>
      </w:pPr>
      <w:r>
        <w:t>4. Level Three: Neutral Expert Determination. If still disputed, three neutral experts randomly drawn from the standing expert pool review the complete technical record and issue a binding determination on data fidelity within five business days.</w:t>
      </w:r>
    </w:p>
    <w:p>
      <w:pPr>
        <w:pStyle w:val="Normal"/>
      </w:pPr>
      <w:r>
        <w:t>5. During the Technical Truth Escalation Chain, no economically disruptive remedy based solely on the disputed data takes effect. Necessary preservation, inspection, anti-fraud, safety, or anti-spoliation measures may continue.</w:t>
      </w:r>
    </w:p>
    <w:p>
      <w:pPr>
        <w:pStyle w:val="Normal"/>
      </w:pPr>
      <w:r>
        <w:t>6. A determination under this Article resolves only the technical fact submitted. It does not decide treaty interpretation, intent, injury, proportionality, or remedy.</w:t>
      </w:r>
    </w:p>
    <w:p>
      <w:pPr>
        <w:pStyle w:val="Heading2"/>
      </w:pPr>
      <w:bookmarkStart w:id="901184" w:name="_Toc300001183"/>
      <w:r>
        <w:t>Article 35.10: North American Trade Verification Mechanism</w:t>
      </w:r>
      <w:bookmarkEnd w:id="901184"/>
    </w:p>
    <w:p>
      <w:pPr>
        <w:pStyle w:val="Normal"/>
      </w:pPr>
      <w:r>
        <w:t>1. The Parties establish a North American Trade Verification mechanism administered by the Secretariat under Article 35.28. The mechanism operates only through ad hoc Verification Teams constituted for particular matters and does not create a separately staffed permanent panel.</w:t>
      </w:r>
    </w:p>
    <w:p>
      <w:pPr>
        <w:pStyle w:val="Normal"/>
      </w:pPr>
      <w:r>
        <w:t>2. For purposes of the mechanism, the Parties shall maintain:</w:t>
      </w:r>
    </w:p>
    <w:p>
      <w:pPr>
        <w:pStyle w:val="Normal"/>
      </w:pPr>
      <w:r>
        <w:t>(a) a Roster of Verifiers of 45 individuals, 15 designated by each Party, comprising customs specialists, trade economists, rules-of-origin experts, forensic accountants, and sectoral specialists, appointed for four-year renewable terms;</w:t>
      </w:r>
    </w:p>
    <w:p>
      <w:pPr>
        <w:pStyle w:val="Normal"/>
      </w:pPr>
      <w:r>
        <w:t>(b) a Joint List of 9 individuals who are not nationals of any Party, appointed by consensus of the Parties, from which tie-breaking and second-opinion reviewers are drawn; and</w:t>
      </w:r>
    </w:p>
    <w:p>
      <w:pPr>
        <w:pStyle w:val="Normal"/>
      </w:pPr>
      <w:r>
        <w:t>(c) access, subject to authorization and confidentiality rules, to the Shared Trade Data Registry and other treaty-integrity administrative functions performed by the Secretariat.</w:t>
      </w:r>
    </w:p>
    <w:p>
      <w:pPr>
        <w:pStyle w:val="Normal"/>
      </w:pPr>
      <w:r>
        <w:t>3. For each matter, the Secretariat constitutes a Verification Team of three members by the rule-bound selection method in this Article: one drawn by lot from the initiating Party's designees, one drawn by lot from the responding Party's designees, and one drawn by lot from the Joint List, who serves as chair. The Secretariat has no discretion to select a particular person once the eligible pool is established.</w:t>
      </w:r>
    </w:p>
    <w:p>
      <w:pPr>
        <w:pStyle w:val="Normal"/>
      </w:pPr>
      <w:r>
        <w:t>4. The Verification Team shall determine, on the basis of the Evidence Package, the Shared Trade Data Registry, and any further evidence received:</w:t>
      </w:r>
    </w:p>
    <w:p>
      <w:pPr>
        <w:pStyle w:val="Normal"/>
      </w:pPr>
      <w:r>
        <w:t>(a) whether the alleged conduct occurred;</w:t>
      </w:r>
    </w:p>
    <w:p>
      <w:pPr>
        <w:pStyle w:val="Normal"/>
      </w:pPr>
      <w:r>
        <w:t>(b) the identity of the entities, products, and trade flows actually involved;</w:t>
      </w:r>
    </w:p>
    <w:p>
      <w:pPr>
        <w:pStyle w:val="Normal"/>
      </w:pPr>
      <w:r>
        <w:t>(c) the magnitude of the economic distortion reasonably attributable to the conduct, expressed quantitatively as a best estimate with an uncertainty band, in accordance with Annex 35-A; and</w:t>
      </w:r>
    </w:p>
    <w:p>
      <w:pPr>
        <w:pStyle w:val="Normal"/>
      </w:pPr>
      <w:r>
        <w:t>(d) the confirmation level of the claim: full confirmation, partial confirmation, or no confirmation, together with a stated accuracy percentage.</w:t>
      </w:r>
    </w:p>
    <w:p>
      <w:pPr>
        <w:pStyle w:val="Normal"/>
      </w:pPr>
      <w:r>
        <w:t>5. The Verification Team may make partial findings. A claim need not be wholly true or wholly false. Where part of a claim is substantiated, the verified distortion comprises only the substantiated part.</w:t>
      </w:r>
    </w:p>
    <w:p>
      <w:pPr>
        <w:pStyle w:val="Normal"/>
      </w:pPr>
      <w:r>
        <w:t>6. The Verification Team shall issue its verification report within 30 days after receipt of a complete Evidence Package, or within 72 hours in a matter referred under the expedited track in Article 35.21. In an exceptionally complex matter, the Team may extend the 30-day period once, by not more than 15 days, upon a reasoned finding that the additional time is necessary to protect due process or evidentiary quality. The report is public, subject to protection of confidential information.</w:t>
      </w:r>
    </w:p>
    <w:p>
      <w:pPr>
        <w:pStyle w:val="Normal"/>
      </w:pPr>
      <w:r>
        <w:t>7. Either Party concerned may request one second opinion from the Joint List within 10 days after the verification report. The second-opinion reviewer shall review the record independently and issue a reasoned opinion within 14 days. If the second opinion confirms the report, the requesting Party bears the costs of the second opinion. If the second opinion materially reverses the report, the report is vacated and the matter is re-adjudicated by a differently constituted Verification Team.</w:t>
      </w:r>
    </w:p>
    <w:p>
      <w:pPr>
        <w:pStyle w:val="Normal"/>
      </w:pPr>
      <w:r>
        <w:t>8. Verification is reciprocal. The mechanism's data standards, registry rules, chain-of-custody requirements, confidentiality tiers, cybersecurity requirements, and audit procedures are set out in Annex 35-C and apply identically to each Party.</w:t>
      </w:r>
    </w:p>
    <w:p>
      <w:pPr>
        <w:pStyle w:val="Normal"/>
      </w:pPr>
      <w:r>
        <w:t>9. A Party shall not obstruct a verification. Unjustified refusal to provide required information, or obstruction of an authorized examination, entitles the Verification Team to draw inferences adverse to the obstructing Party, and constitutes a Tier 2 distortion for the purposes of Article 35.11 where it prevents resolution of the matter.</w:t>
      </w:r>
    </w:p>
    <w:p>
      <w:pPr>
        <w:pStyle w:val="Normal"/>
      </w:pPr>
      <w:r>
        <w:t>10. Members of the Roster and the Joint List shall: (a) disclose any direct or indirect interest, prior engagement, or financial or professional tie relevant to a matter; (b) recuse themselves, or be recused on reasoned request, where such a tie creates a reasonable apprehension of bias; (c) observe a cooling-off period of two years following service, during which they shall not represent any person in a matter under this Chapter; and (d) be compensated under published scales fixed by the Commission. The Secretariat shall maintain a public register of disclosures and shall replace a recused member through the same rule-bound selection method within five days.</w:t>
      </w:r>
    </w:p>
    <w:p>
      <w:pPr>
        <w:pStyle w:val="Heading2"/>
      </w:pPr>
      <w:bookmarkStart w:id="901185" w:name="_Toc300001184"/>
      <w:r>
        <w:t>Article 35.10A: Rights of Affected Entities</w:t>
      </w:r>
      <w:bookmarkEnd w:id="901185"/>
    </w:p>
    <w:p>
      <w:pPr>
        <w:pStyle w:val="Normal"/>
      </w:pPr>
      <w:r>
        <w:t>1. A private entity whose goods, certification, or status may be directly affected by a verification, a PTA, a TNAO suspension, or an entity-targeted measure under this Agreement is entitled to:</w:t>
      </w:r>
    </w:p>
    <w:p>
      <w:pPr>
        <w:pStyle w:val="Normal"/>
      </w:pPr>
      <w:r>
        <w:t>(a) timely notice of the proceeding and of the allegations or evidence concerning it, in sufficient detail to respond;</w:t>
      </w:r>
    </w:p>
    <w:p>
      <w:pPr>
        <w:pStyle w:val="Normal"/>
      </w:pPr>
      <w:r>
        <w:t>(b) access to the non-confidential evidence relied upon;</w:t>
      </w:r>
    </w:p>
    <w:p>
      <w:pPr>
        <w:pStyle w:val="Normal"/>
      </w:pPr>
      <w:r>
        <w:t>(c) an opportunity to make written submissions, to be represented by counsel, and, where the Verification Team considers it appropriate, to be heard;</w:t>
      </w:r>
    </w:p>
    <w:p>
      <w:pPr>
        <w:pStyle w:val="Normal"/>
      </w:pPr>
      <w:r>
        <w:t>(d) protection of its confidential business information in accordance with Annex 35-C, Part 4;</w:t>
      </w:r>
    </w:p>
    <w:p>
      <w:pPr>
        <w:pStyle w:val="Normal"/>
      </w:pPr>
      <w:r>
        <w:t>(e) a right to correct inaccurate factual assertions concerning it; and</w:t>
      </w:r>
    </w:p>
    <w:p>
      <w:pPr>
        <w:pStyle w:val="Normal"/>
      </w:pPr>
      <w:r>
        <w:t>(f) an appeal of an entity-specific determination to a differently constituted Verification Team, completed within 30 days, with the measure suspended as to that entity pending the appeal unless the Verification Panel finds that suspension would defeat the purpose of a Tier 3 measure.</w:t>
      </w:r>
    </w:p>
    <w:p>
      <w:pPr>
        <w:pStyle w:val="Normal"/>
      </w:pPr>
      <w:r>
        <w:t>2. No entity shall be subjected to an entity-specific restriction, suspension, or listing under this Agreement without the process in paragraph 1.</w:t>
      </w:r>
    </w:p>
    <w:p>
      <w:pPr>
        <w:pStyle w:val="Heading2"/>
      </w:pPr>
      <w:bookmarkStart w:id="901186" w:name="_Toc300001185"/>
      <w:r>
        <w:t>Article 35.11: Classification of Distortions</w:t>
      </w:r>
      <w:bookmarkEnd w:id="901186"/>
    </w:p>
    <w:p>
      <w:pPr>
        <w:pStyle w:val="Normal"/>
      </w:pPr>
      <w:r>
        <w:t>0A. Objective Screening Indicators. The Secretariat shall maintain published, sector-appropriate screening indicators for identifying matters warranting verification. Indicators may include sustained import growth, changes in domestic operating margins, price suppression, capacity utilization, subsidy incidence, origin anomalies, and other measurable evidence. No single numerical indicator establishes a distortion. For illustration, import growth exceeding 15 percent year-over-year for three consecutive quarters together with a decline of at least 10 percent in the relevant domestic industry’s operating margin creates a rebuttable basis to commence verification, but not a presumption of violation or entitlement to a remedy. A distortion exists only upon verification under Article 35.10 and Annex 35-A.</w:t>
      </w:r>
    </w:p>
    <w:p>
      <w:pPr>
        <w:pStyle w:val="Normal"/>
      </w:pPr>
      <w:r>
        <w:t>1. Upon completion of verification, the Verification Team shall classify the matter into one of the following tiers:</w:t>
      </w:r>
    </w:p>
    <w:p>
      <w:pPr>
        <w:pStyle w:val="Normal"/>
      </w:pPr>
      <w:r>
        <w:t xml:space="preserve">(a) </w:t>
      </w:r>
      <w:r>
        <w:rPr>
          <w:b/>
        </w:rPr>
        <w:t>Tier 1: Technical Irregularity:</w:t>
      </w:r>
      <w:r>
        <w:t xml:space="preserve"> documentation errors, isolated customs mistakes, minor reporting delays, inadvertent origin discrepancies, and similar irregularities without material economic distortion. Consequence: no corrective adjustment. The responding Party is afforded a correction period of 60 days and, on request, technical assistance. Repeated Tier 1 irregularities by the same entity within 24 months may be reclassified as Tier 2.</w:t>
      </w:r>
    </w:p>
    <w:p>
      <w:pPr>
        <w:pStyle w:val="Normal"/>
      </w:pPr>
      <w:r>
        <w:t xml:space="preserve">(b) </w:t>
      </w:r>
      <w:r>
        <w:rPr>
          <w:b/>
        </w:rPr>
        <w:t>Tier 2: Material Trade Distortion:</w:t>
      </w:r>
      <w:r>
        <w:t xml:space="preserve"> a significant improper subsidy, repeated origin failures, a measurable market-access restriction, a discriminatory administrative practice, or comparable conduct producing a verified economic distortion that is material in relation to the affected trade. Consequence: a remediation period under Article 35.17, followed, if remediation is not verified, by a Proportional Trade Adjustment under Article 35.12.</w:t>
      </w:r>
    </w:p>
    <w:p>
      <w:pPr>
        <w:pStyle w:val="Normal"/>
      </w:pPr>
      <w:r>
        <w:t xml:space="preserve">(c) </w:t>
      </w:r>
      <w:r>
        <w:rPr>
          <w:b/>
        </w:rPr>
        <w:t>Tier 3: Deliberate or Systemic Violation:</w:t>
      </w:r>
      <w:r>
        <w:t xml:space="preserve"> organized transshipment, deliberate origin fraud, systematic evasion of this Agreement, or persistent refusal to comply with a final determination under Chapter 31 or this Chapter. Consequence: the measures available for Tier 2, plus accelerated proceedings, suspension of directly related benefits, and, upon continued noncompliance, the escalation stages in Article 35.16.</w:t>
      </w:r>
    </w:p>
    <w:p>
      <w:pPr>
        <w:pStyle w:val="Normal"/>
      </w:pPr>
      <w:r>
        <w:t>2. Classification determines the maximum consequence available; it does not itself impose any consequence.</w:t>
      </w:r>
    </w:p>
    <w:p>
      <w:pPr>
        <w:pStyle w:val="Normal"/>
      </w:pPr>
      <w:r>
        <w:t>3. A Tier 3 classification requires clear and convincing evidence of deliberate or systematic conduct, stated with reasons in the classification decision. Ordinary disputes, good-faith interpretive differences, and isolated noncompliance shall not be classified as Tier 3, and a classification is reviewable under Article 31.A.</w:t>
      </w:r>
    </w:p>
    <w:p>
      <w:pPr>
        <w:pStyle w:val="Normal"/>
      </w:pPr>
      <w:r>
        <w:t>4. Severity, duration, and remediation conduct shall be recorded in the classification decision and shall govern the calculation of any adjustment under Article 35.12.</w:t>
      </w:r>
    </w:p>
    <w:p>
      <w:pPr>
        <w:pStyle w:val="Heading2"/>
      </w:pPr>
      <w:bookmarkStart w:id="901187" w:name="_Toc300001186"/>
      <w:r>
        <w:t>Article 35.12: Proportional Trade Adjustments</w:t>
      </w:r>
      <w:bookmarkEnd w:id="901187"/>
    </w:p>
    <w:p>
      <w:pPr>
        <w:pStyle w:val="Normal"/>
      </w:pPr>
      <w:r>
        <w:t>1. A Proportional Trade Adjustment is a temporary adjustment of the preferential treatment of identified goods, bounded by the verified economic distortion.</w:t>
      </w:r>
    </w:p>
    <w:p>
      <w:pPr>
        <w:pStyle w:val="Normal"/>
      </w:pPr>
      <w:r>
        <w:t>2. The maximum rate or charge-equivalent of a PTA is calculated as:</w:t>
      </w:r>
    </w:p>
    <w:p>
      <w:pPr>
        <w:pStyle w:val="Normal"/>
      </w:pPr>
      <w:r>
        <w:rPr>
          <w:b/>
        </w:rPr>
        <w:t>Maximum PTA = Verified Economic Distortion × Severity Factor × Persistence Factor × Remediation Factor</w:t>
      </w:r>
    </w:p>
    <w:p>
      <w:pPr>
        <w:pStyle w:val="Normal"/>
      </w:pPr>
      <w:r>
        <w:t>where the Verified Economic Distortion is the estimate established under Article 35.10, and the Severity, Persistence, and Remediation Factors are assigned within the ranges, and in accordance with the principles, set out in Annex 35-A. Factor values within the ranges, and the technical coefficients used in the calculation, are fixed in Annex 35-A and may be updated by consensus through the Structured Technical Amendment Procedure in Article 34.3.A, within the limits of that Article. The treaty-level principles are: correction proportionate to measured distortion; escalation only with verified persistence; reduction with verified remediation; and conservatism in the face of uncertainty.</w:t>
      </w:r>
    </w:p>
    <w:p>
      <w:pPr>
        <w:pStyle w:val="Normal"/>
      </w:pPr>
      <w:r>
        <w:t>3. Except as provided in this paragraph, a PTA shall not exceed the lower bound of the uncertainty band of the verified distortion, and in no case the best estimate, unless the evidence supporting the best estimate is full confirmation under Annex 35-C. A PTA may exceed the verified distortion only where a panel under Chapter 31 has made a separate, reasoned finding of deliberate or sustained noncompliance with a final determination, and in that case shall not exceed twice the best estimate of the verified distortion. Correction is the default; deterrence requires the separate finding.</w:t>
      </w:r>
    </w:p>
    <w:p>
      <w:pPr>
        <w:pStyle w:val="Normal"/>
      </w:pPr>
      <w:r>
        <w:t>4. A PTA applies only to the goods, entities, and trade flows identified in the verification report, in accordance with Article 35.13, and is subject to the anti-fragmentation ceiling in Article 35.13A.</w:t>
      </w:r>
    </w:p>
    <w:p>
      <w:pPr>
        <w:pStyle w:val="Normal"/>
      </w:pPr>
      <w:r>
        <w:t>5. A PTA takes effect only after: (a) the verification report; (b) the classification; (c) the expiry of the remediation period in Article 35.17 without verified remediation; and (d) publication in the North American Trade Measures Registry under Article 35.24.</w:t>
      </w:r>
    </w:p>
    <w:p>
      <w:pPr>
        <w:pStyle w:val="Normal"/>
      </w:pPr>
      <w:r>
        <w:t>6. Each PTA expires 180 days after it takes effect, unless the Verification Panel, on the basis of a new verification establishing that the distortion persists, renews it for one further period of 180 days. Successive renewals require successively fresh verification. A PTA does not renew by default, by inertia, or by administrative continuation.</w:t>
      </w:r>
    </w:p>
    <w:p>
      <w:pPr>
        <w:pStyle w:val="Normal"/>
      </w:pPr>
      <w:r>
        <w:t>7. A PTA terminates automatically on the date the Verification Panel certifies that remediation is complete. Termination operates by this Agreement and does not require any further act of any Party.</w:t>
      </w:r>
    </w:p>
    <w:p>
      <w:pPr>
        <w:pStyle w:val="Normal"/>
      </w:pPr>
      <w:r>
        <w:t>8. Collection of a PTA in cash is suspended where the affected importer deposits the corresponding amount into escrow or provides alternative security under Article 35.14, pending the outcome of any challenge.</w:t>
      </w:r>
    </w:p>
    <w:p>
      <w:pPr>
        <w:pStyle w:val="Heading2"/>
      </w:pPr>
      <w:bookmarkStart w:id="901188" w:name="_Toc300001187"/>
      <w:r>
        <w:t>Article 35.13: Narrowest-Sufficient-Remedy Rule</w:t>
      </w:r>
      <w:bookmarkEnd w:id="901188"/>
    </w:p>
    <w:p>
      <w:pPr>
        <w:pStyle w:val="Normal"/>
      </w:pPr>
      <w:r>
        <w:t>1. A corrective measure under this Agreement shall target, in ascending order and no more broadly than the verification establishes as necessary:</w:t>
      </w:r>
    </w:p>
    <w:p>
      <w:pPr>
        <w:pStyle w:val="Normal"/>
      </w:pPr>
      <w:r>
        <w:t>(a) the responsible entity or entities;</w:t>
      </w:r>
    </w:p>
    <w:p>
      <w:pPr>
        <w:pStyle w:val="Normal"/>
      </w:pPr>
      <w:r>
        <w:t>(b) the affected product or products of those entities;</w:t>
      </w:r>
    </w:p>
    <w:p>
      <w:pPr>
        <w:pStyle w:val="Normal"/>
      </w:pPr>
      <w:r>
        <w:t>(c) the affected tariff line;</w:t>
      </w:r>
    </w:p>
    <w:p>
      <w:pPr>
        <w:pStyle w:val="Normal"/>
      </w:pPr>
      <w:r>
        <w:t>(d) the affected subsector;</w:t>
      </w:r>
    </w:p>
    <w:p>
      <w:pPr>
        <w:pStyle w:val="Normal"/>
      </w:pPr>
      <w:r>
        <w:t>(e) the affected sector; and</w:t>
      </w:r>
    </w:p>
    <w:p>
      <w:pPr>
        <w:pStyle w:val="Normal"/>
      </w:pPr>
      <w:r>
        <w:t>(f) cross-module measures, only in accordance with Article 35.15.</w:t>
      </w:r>
    </w:p>
    <w:p>
      <w:pPr>
        <w:pStyle w:val="Normal"/>
      </w:pPr>
      <w:r>
        <w:t>2. A measure at a broader ring of the ladder in paragraph 1 requires a verification finding that measures at the narrower rings cannot reasonably correct the distortion, with reasons stated.</w:t>
      </w:r>
    </w:p>
    <w:p>
      <w:pPr>
        <w:pStyle w:val="Normal"/>
      </w:pPr>
      <w:r>
        <w:t>3. Where verification identifies discrete entities responsible for the distortion, a Party shall not apply the resulting adjustment to the trade of other entities in the same sector.</w:t>
      </w:r>
    </w:p>
    <w:p>
      <w:pPr>
        <w:pStyle w:val="Heading2"/>
      </w:pPr>
      <w:bookmarkStart w:id="901189" w:name="_Toc300001188"/>
      <w:r>
        <w:t>Article 35.13A: Anti-Fragmentation of Integrated Products</w:t>
      </w:r>
      <w:bookmarkEnd w:id="901189"/>
    </w:p>
    <w:p>
      <w:pPr>
        <w:pStyle w:val="Normal"/>
      </w:pPr>
      <w:r>
        <w:t>1. Where an integrated product: including a motor vehicle, battery system, aircraft, or medical device, incorporates inputs from more than one trade module, the product shall not be subjected to overlapping PTAs arising from distortions in different input modules without coordination.</w:t>
      </w:r>
    </w:p>
    <w:p>
      <w:pPr>
        <w:pStyle w:val="Normal"/>
      </w:pPr>
      <w:r>
        <w:t>2. The Verification Panel shall coordinate the verification of distortions affecting an integrated product, assign the resulting remedy to a single module determined by the dominant-purpose test in Annex 35-B, Part 1, and certify a single coordinated remedy.</w:t>
      </w:r>
    </w:p>
    <w:p>
      <w:pPr>
        <w:pStyle w:val="Normal"/>
      </w:pPr>
      <w:r>
        <w:t>3. The cumulative burden of all measures applied to an integrated product under this Agreement shall not exceed the ceiling that would apply to the largest single verified distortion affecting it, plus the verified distortion attributable to any additional module, net of overlap, as determined by the Verification Panel. In no case shall cumulative measures on an integrated product exceed the sum of the separately verified distortions.</w:t>
      </w:r>
    </w:p>
    <w:p>
      <w:pPr>
        <w:pStyle w:val="Normal"/>
      </w:pPr>
      <w:r>
        <w:t>4. Single Submission Rule. Where an integrated product is imported as a single unit or for final assembly under a common transaction, the importing Party shall permit the importer to make a single consolidated origin submission covering the product and its relevant components. Component-level supporting records may be requested only where reasonably necessary to verify a specific origin requirement or where documented evidence indicates circumvention. The importing Party shall not require duplicative certifications for individual components already covered by a valid consolidated submission. Material delay caused solely by a violation of this paragraph is subject to expedited review under Article 31.A and compensation measured by the verified incremental compliance and delay cost.</w:t>
      </w:r>
    </w:p>
    <w:p>
      <w:pPr>
        <w:pStyle w:val="Heading2"/>
      </w:pPr>
      <w:bookmarkStart w:id="901190" w:name="_Toc300001189"/>
      <w:r>
        <w:t>Article 35.14: Escrow in Lieu of Collection</w:t>
      </w:r>
      <w:bookmarkEnd w:id="901190"/>
    </w:p>
    <w:p>
      <w:pPr>
        <w:pStyle w:val="Normal"/>
      </w:pPr>
      <w:r>
        <w:t>1. The Treaty Integrity Secretariat shall operate the North American Trade Escrow Facility, through which contested adjustment amounts are secured pending final resolution.</w:t>
      </w:r>
    </w:p>
    <w:p>
      <w:pPr>
        <w:pStyle w:val="Normal"/>
      </w:pPr>
      <w:r>
        <w:t>2. Where a PTA has been authorized and the responding Party or an affected importer contests the underlying determination under Chapter 31 or requests a second opinion under Article 35.10, amounts otherwise collectible under the PTA shall be deposited into the Escrow Facility, or secured as provided in paragraph 5, instead of being collected as revenue.</w:t>
      </w:r>
    </w:p>
    <w:p>
      <w:pPr>
        <w:pStyle w:val="Normal"/>
      </w:pPr>
      <w:r>
        <w:t>3. The following rules govern the Escrow Facility:</w:t>
      </w:r>
    </w:p>
    <w:p>
      <w:pPr>
        <w:pStyle w:val="Normal"/>
      </w:pPr>
      <w:r>
        <w:t>(a) deposits are made in the currency of collection, and the facility bears exchange-rate risk, not the depositor;</w:t>
      </w:r>
    </w:p>
    <w:p>
      <w:pPr>
        <w:pStyle w:val="Normal"/>
      </w:pPr>
      <w:r>
        <w:t>(b) interest earned follows the principal;</w:t>
      </w:r>
    </w:p>
    <w:p>
      <w:pPr>
        <w:pStyle w:val="Normal"/>
      </w:pPr>
      <w:r>
        <w:t>(c) custody, investment, and safeguarding of deposits follow rules adopted by the Commission, with deposits held in segregated accounts;</w:t>
      </w:r>
    </w:p>
    <w:p>
      <w:pPr>
        <w:pStyle w:val="Normal"/>
      </w:pPr>
      <w:r>
        <w:t>(d) administrative costs of the Facility are borne by the Parties’ Secretariat budget, not by depositors;</w:t>
      </w:r>
    </w:p>
    <w:p>
      <w:pPr>
        <w:pStyle w:val="Normal"/>
      </w:pPr>
      <w:r>
        <w:t>(e) in the event of a shortfall or failure of the Facility, losses are borne by the Parties equally, and no depositor’s refund entitlement is extinguished or reduced;</w:t>
      </w:r>
    </w:p>
    <w:p>
      <w:pPr>
        <w:pStyle w:val="Normal"/>
      </w:pPr>
      <w:r>
        <w:t>(f) escrowed amounts are released to the collecting Party to the extent the adjustment is upheld, refunded to the depositor to the extent it is not, and apportioned where it is upheld in part; and</w:t>
      </w:r>
    </w:p>
    <w:p>
      <w:pPr>
        <w:pStyle w:val="Normal"/>
      </w:pPr>
      <w:r>
        <w:t>(g) a Party shall not treat the deposit of amounts into escrow as a default, and shall not impose penalties, interest, or additional charges by reason of the deposit.</w:t>
      </w:r>
    </w:p>
    <w:p>
      <w:pPr>
        <w:pStyle w:val="Normal"/>
      </w:pPr>
      <w:r>
        <w:t>4. Escrowed amounts shall be released or refunded within 15 days after the final resolution.</w:t>
      </w:r>
    </w:p>
    <w:p>
      <w:pPr>
        <w:pStyle w:val="Normal"/>
      </w:pPr>
      <w:r>
        <w:t>5. In lieu of cash escrow, an importer may provide a guarantee, bond, insurance instrument, or letter of credit from a recognized institution. Reduced-security treatment applies to trusted traders and to importers with a clean three-year compliance record. Where cash escrow or security would impose demonstrated severe hardship on a small or medium-sized enterprise, the collecting Party shall grant a hardship waiver or reduced-security terms under criteria published by the Commission.</w:t>
      </w:r>
    </w:p>
    <w:p>
      <w:pPr>
        <w:pStyle w:val="Heading2"/>
      </w:pPr>
      <w:bookmarkStart w:id="901191" w:name="_Toc300001190"/>
      <w:r>
        <w:t>Article 35.15: Module Firewall</w:t>
      </w:r>
      <w:bookmarkEnd w:id="901191"/>
    </w:p>
    <w:p>
      <w:pPr>
        <w:pStyle w:val="Normal"/>
      </w:pPr>
      <w:r>
        <w:t>1. Trade between the Parties is organized, for the purposes of corrective measures, into the trade modules listed in Annex 35-B.</w:t>
      </w:r>
    </w:p>
    <w:p>
      <w:pPr>
        <w:pStyle w:val="Normal"/>
      </w:pPr>
      <w:r>
        <w:t>2. A distortion verified within one module produces corrective measures only within that module. Failure in one module does not cascade into another module.</w:t>
      </w:r>
    </w:p>
    <w:p>
      <w:pPr>
        <w:pStyle w:val="Normal"/>
      </w:pPr>
      <w:r>
        <w:t>3. A cross-module measure is available only where: (a) a final determination under Chapter 31 or this Chapter has found a violation; (b) the violating Party has failed to comply within the period fixed under Article 31.19 as amended; (c) a panel constituted under Chapter 31 has made a separate, reasoned finding that same-module measures are demonstrably incapable of inducing compliance, and not merely less convenient, slower, or less politically effective; and (d) the cross-module measure is proportionate to the trade effect of the violation under Article 31.19 as amended.</w:t>
      </w:r>
    </w:p>
    <w:p>
      <w:pPr>
        <w:pStyle w:val="Normal"/>
      </w:pPr>
      <w:r>
        <w:t>4. A dispute concerning one module does not suspend, delay, or condition the operation of this Agreement in any other module. Partial success survives: the remainder of the economic relationship continues unaffected.</w:t>
      </w:r>
    </w:p>
    <w:p>
      <w:pPr>
        <w:pStyle w:val="Heading2"/>
      </w:pPr>
      <w:bookmarkStart w:id="901192" w:name="_Toc300001191"/>
      <w:r>
        <w:t>Article 35.16: Step-Back Stages, Graduated Response</w:t>
      </w:r>
      <w:bookmarkEnd w:id="901192"/>
    </w:p>
    <w:p>
      <w:pPr>
        <w:pStyle w:val="Normal"/>
      </w:pPr>
      <w:r>
        <w:t>1. Noncompliance verified under this Chapter activates the following stages in sequence:</w:t>
      </w:r>
    </w:p>
    <w:p>
      <w:pPr>
        <w:pStyle w:val="Normal"/>
      </w:pPr>
      <w:r>
        <w:t>Stage 0: Consultation and Cure Notice: consultations under Article 35.8, accompanied by a written cure path and objective compliance criteria.</w:t>
      </w:r>
    </w:p>
    <w:p>
      <w:pPr>
        <w:pStyle w:val="Normal"/>
      </w:pPr>
      <w:r>
        <w:t>Stage 1: Enhanced Verification: enhanced data reporting, origin verification, or monitoring of the identified entities or flows, for a defined period not exceeding 180 days.</w:t>
      </w:r>
    </w:p>
    <w:p>
      <w:pPr>
        <w:pStyle w:val="Normal"/>
      </w:pPr>
      <w:r>
        <w:t>Stage 2: Targeted Compliance Security: a refundable performance bond, guarantee, insurance instrument, or escrow deposit calibrated to the verified distortion, with Article 35.14.5 hardship protections.</w:t>
      </w:r>
    </w:p>
    <w:p>
      <w:pPr>
        <w:pStyle w:val="Normal"/>
      </w:pPr>
      <w:r>
        <w:t>Stage 3: Treaty-Created Incentive Consequence: temporary suspension, reduction, or deferral of a treaty-created facilitation, incentive, procurement advantage, or administrative benefit directly connected to the verified distortion, excluding ordinary tariff preference for originating goods.</w:t>
      </w:r>
    </w:p>
    <w:p>
      <w:pPr>
        <w:pStyle w:val="Normal"/>
      </w:pPr>
      <w:r>
        <w:t>Stage 4: Remediation Contribution or Monetary Compensation: a targeted contribution, compensation payment, or approved remediation investment under Article 35.17A, calibrated to verified injury and designed where practicable to repair the affected trade, workforce, infrastructure, environmental, or supply-chain harm.</w:t>
      </w:r>
    </w:p>
    <w:p>
      <w:pPr>
        <w:pStyle w:val="Normal"/>
      </w:pPr>
      <w:r>
        <w:t>Stage 5: Demerit-Linked Preference Step-Back: temporary reduction, ordinarily in 5-percent increments, of an enhanced treaty-created preference directly connected to the verified distortion, in accordance with Article 35.37 and Annex 35-G. Ordinary zero-duty treatment for originating goods is not itself an enhanced preference and shall not be reduced at this stage.</w:t>
      </w:r>
    </w:p>
    <w:p>
      <w:pPr>
        <w:pStyle w:val="Normal"/>
      </w:pPr>
      <w:r>
        <w:t>Stage 6: Suspension of Directly Related Enhanced Benefit: suspension of an enhanced benefit of this Agreement directly related to the distortion, proportionate to its trade effect, while preserving the ordinary zero-duty baseline for originating goods.</w:t>
      </w:r>
    </w:p>
    <w:p>
      <w:pPr>
        <w:pStyle w:val="Normal"/>
      </w:pPr>
      <w:r>
        <w:t>Stage 7: Enhanced Remediation and Sectoral Non-Tariff Remedy: a broader but still non-tariff measure within the affected module, upon certification under Article 35.13.2 and a finding that narrower preference step-backs have not induced compliance.</w:t>
      </w:r>
    </w:p>
    <w:p>
      <w:pPr>
        <w:pStyle w:val="Normal"/>
      </w:pPr>
      <w:r>
        <w:t>Stage 8: Exceptional Tariff Petition: only after Stages 0 through 7 have been exhausted or found demonstrably incapable of preventing serious continuing harm, a Party may petition for a temporary tariff under Articles 35.38 through 35.40. No tariff exists by operation of this stage alone.</w:t>
      </w:r>
    </w:p>
    <w:p>
      <w:pPr>
        <w:pStyle w:val="Normal"/>
      </w:pPr>
      <w:r>
        <w:t>2. No Party shall activate a stage without completing the preceding stages, except that Stages 1 and 2 may proceed concurrently; a Party may move directly to Stage 4 where the responding Party agrees to compensation or remediation; and Article 35.21 governs genuine emergencies.</w:t>
      </w:r>
    </w:p>
    <w:p>
      <w:pPr>
        <w:pStyle w:val="Normal"/>
      </w:pPr>
      <w:r>
        <w:t>3. Each stage carries defined restoration conditions at inception. Movement to a higher stage requires a fresh verification of continued noncompliance and a reasoned finding that the next stage is necessary.</w:t>
      </w:r>
    </w:p>
    <w:p>
      <w:pPr>
        <w:pStyle w:val="Normal"/>
      </w:pPr>
      <w:r>
        <w:t>4. Innocent-Trade Protection. In selecting a remedy, the Panel shall minimize costs imposed on consumers, SMEs, workers, and enterprises that did not cause or materially benefit from the verified distortion.</w:t>
      </w:r>
    </w:p>
    <w:p>
      <w:pPr>
        <w:pStyle w:val="Normal"/>
      </w:pPr>
      <w:r>
        <w:t>5. No snapback. Nothing in this Agreement restores, automatically or otherwise, a pre-existing measure, a terminated measure, or a prior state of restriction by reason of a single event, determination, or failure. Consequences are graduated, proportionate, reversible, and subject to automatic restoration under Article 35.18.</w:t>
      </w:r>
    </w:p>
    <w:p>
      <w:pPr>
        <w:pStyle w:val="Heading2"/>
      </w:pPr>
      <w:bookmarkStart w:id="901193" w:name="_Toc300001192"/>
      <w:r>
        <w:t>Article 35.17: Remediation and Earn-Back</w:t>
      </w:r>
      <w:bookmarkEnd w:id="901193"/>
    </w:p>
    <w:p>
      <w:pPr>
        <w:pStyle w:val="Normal"/>
      </w:pPr>
      <w:r>
        <w:t>1. Every verification report that finds a distortion shall specify, at the time the report is issued, the objective conditions whose verified satisfaction constitutes remediation of that distortion.</w:t>
      </w:r>
    </w:p>
    <w:p>
      <w:pPr>
        <w:pStyle w:val="Normal"/>
      </w:pPr>
      <w:r>
        <w:t>2. The responding Party is afforded a remediation period of 60 days from the classification decision, or 30 days in a Tier 3 matter, within which to remediate.</w:t>
      </w:r>
    </w:p>
    <w:p>
      <w:pPr>
        <w:pStyle w:val="Normal"/>
      </w:pPr>
      <w:r>
        <w:t>3. During the remediation period no corrective measure beyond Stage 1 takes effect.</w:t>
      </w:r>
    </w:p>
    <w:p>
      <w:pPr>
        <w:pStyle w:val="Normal"/>
      </w:pPr>
      <w:r>
        <w:t>4. Remediation does not require: (a) any admission of violation, fault, or guilt; (b) any political concession; (c) any concession unrelated to the distortion; or (d) renegotiation of any commitment. Demonstrated compliance is sufficient.</w:t>
      </w:r>
    </w:p>
    <w:p>
      <w:pPr>
        <w:pStyle w:val="Normal"/>
      </w:pPr>
      <w:r>
        <w:t>5. Early and substantial remediation reduces any subsequent adjustment through the Remediation Factor in Article 35.12. Cooperation is thereby made materially less costly than defiance.</w:t>
      </w:r>
    </w:p>
    <w:p>
      <w:pPr>
        <w:pStyle w:val="Normal"/>
      </w:pPr>
      <w:r>
        <w:t>6. A Party that remediates before any adjustment takes effect faces no adjustment. The matter closes upon verification of remediation.</w:t>
      </w:r>
    </w:p>
    <w:p>
      <w:pPr>
        <w:pStyle w:val="Normal"/>
      </w:pPr>
      <w:r>
        <w:t>7. Sustained verified compliance earns administrative facilitation, including reduced inspection frequency, expedited customs clearance, simplified certification, reduced bond requirements, and trusted-trader status. Such facilitation does not excuse, offset, or forgive any future distortion.</w:t>
      </w:r>
    </w:p>
    <w:p>
      <w:pPr>
        <w:pStyle w:val="Heading2"/>
      </w:pPr>
      <w:bookmarkStart w:id="901194" w:name="_Toc300001193"/>
      <w:r>
        <w:t>Article 35.17A: Remediation Investment and Corrective Compensation</w:t>
      </w:r>
      <w:bookmarkEnd w:id="901194"/>
    </w:p>
    <w:p>
      <w:pPr>
        <w:pStyle w:val="Normal"/>
      </w:pPr>
      <w:r>
        <w:t>1. A responding Party may satisfy all or part of a Stage 4 consequence through a verified remediation program reasonably connected to the injury or compliance failure, including worker adjustment that meets or exceeds the standards and benefit levels set forth in Chapter 23-B (North American Just Transition and Worker Security Framework). Worker adjustment programs shall be implemented in addition to, not in substitution for, a Party's Chapter 23-B obligations. Worker adjustment remedies under this Article do not offset or reduce a Party's mandatory contributions to the North American Just Transition Fund.</w:t>
      </w:r>
    </w:p>
    <w:p>
      <w:pPr>
        <w:pStyle w:val="Normal"/>
      </w:pPr>
      <w:r>
        <w:t>2. A remediation program shall identify the beneficiary class, project or payment vehicle, valuation method, completion schedule, audit method, and treatment of any unspent amount. It shall not require procurement from a particular Party unless the underlying injury directly concerns discriminatory procurement.</w:t>
      </w:r>
    </w:p>
    <w:p>
      <w:pPr>
        <w:pStyle w:val="Normal"/>
      </w:pPr>
      <w:r>
        <w:t>3. A remediation contribution is corrective, not punitive. Its value shall not exceed verified injury plus reasonable implementation costs, and double recovery is prohibited.</w:t>
      </w:r>
    </w:p>
    <w:p>
      <w:pPr>
        <w:pStyle w:val="Normal"/>
      </w:pPr>
      <w:r>
        <w:t>4. Completion of the verified remediation obligation satisfies the corresponding Stage 4 consequence and is credited fully in any later proportionality calculation.</w:t>
      </w:r>
    </w:p>
    <w:p>
      <w:pPr>
        <w:pStyle w:val="Normal"/>
      </w:pPr>
      <w:r>
        <w:t>5. The Commission shall maintain model remediation instruments so that a Party may use this Article without negotiating a bespoke mechanism in every dispute.</w:t>
      </w:r>
    </w:p>
    <w:p>
      <w:pPr>
        <w:pStyle w:val="Heading2"/>
      </w:pPr>
      <w:bookmarkStart w:id="901195" w:name="_Toc300001194"/>
      <w:r>
        <w:t>Article 35.18: Automatic Restoration</w:t>
      </w:r>
      <w:bookmarkEnd w:id="901195"/>
    </w:p>
    <w:p>
      <w:pPr>
        <w:pStyle w:val="Normal"/>
      </w:pPr>
      <w:r>
        <w:t>1. Upon certification by the Verification Panel that remediation is complete:</w:t>
      </w:r>
    </w:p>
    <w:p>
      <w:pPr>
        <w:pStyle w:val="Normal"/>
      </w:pPr>
      <w:r>
        <w:t>(a) any PTA terminates automatically on the date of certification;</w:t>
      </w:r>
    </w:p>
    <w:p>
      <w:pPr>
        <w:pStyle w:val="Normal"/>
      </w:pPr>
      <w:r>
        <w:t>(b) escrowed amounts are released or refunded in accordance with the final outcome;</w:t>
      </w:r>
    </w:p>
    <w:p>
      <w:pPr>
        <w:pStyle w:val="Normal"/>
      </w:pPr>
      <w:r>
        <w:t>(c) any suspended preference restores automatically;</w:t>
      </w:r>
    </w:p>
    <w:p>
      <w:pPr>
        <w:pStyle w:val="Normal"/>
      </w:pPr>
      <w:r>
        <w:t>(d) any enhanced verification steps down to ordinary levels; and</w:t>
      </w:r>
    </w:p>
    <w:p>
      <w:pPr>
        <w:pStyle w:val="Normal"/>
      </w:pPr>
      <w:r>
        <w:t>(e) any bond is refunded.</w:t>
      </w:r>
    </w:p>
    <w:p>
      <w:pPr>
        <w:pStyle w:val="Normal"/>
      </w:pPr>
      <w:r>
        <w:t>2. The consequences in paragraph 1 operate by force of this Agreement. No vote, proclamation, order, negotiation, or further determination of any Party is required, and no Party shall make restoration conditional on any other matter.</w:t>
      </w:r>
    </w:p>
    <w:p>
      <w:pPr>
        <w:pStyle w:val="Normal"/>
      </w:pPr>
      <w:r>
        <w:t>3. If the Parties concerned disagree whether remediation is complete, either may request an expedited compliance verification, which the Verification Panel shall complete within 21 days. The burden rests on the Party maintaining that remediation is incomplete.</w:t>
      </w:r>
    </w:p>
    <w:p>
      <w:pPr>
        <w:pStyle w:val="Normal"/>
      </w:pPr>
      <w:r>
        <w:t>4. Pending the compliance verification, no stage higher than the stage in effect at the time of the request takes effect.</w:t>
      </w:r>
    </w:p>
    <w:p>
      <w:pPr>
        <w:pStyle w:val="Normal"/>
      </w:pPr>
      <w:r>
        <w:t>5. Earn-Back Is Structural. Restoration under this Article is a treaty right, not a discretionary concession. Every corrective measure imposed under this Chapter shall identify, at inception, the objective remediation conditions and any clean-compliance period required for automatic restoration.</w:t>
      </w:r>
    </w:p>
    <w:p>
      <w:pPr>
        <w:pStyle w:val="Normal"/>
      </w:pPr>
      <w:r>
        <w:t>6. A Party seeking restoration is not required to admit fault, waive a legal position, make an unrelated political concession, or renegotiate the underlying commitment. Verified return to compliance is sufficient.</w:t>
      </w:r>
    </w:p>
    <w:p>
      <w:pPr>
        <w:pStyle w:val="Normal"/>
      </w:pPr>
      <w:r>
        <w:t>7. Clean-Compliance Periods. Unless another provision establishes a shorter period, a Tier 2 matter restores after 14 consecutive days of verified clean compliance following remediation; a Tier 3 matter restores after 60 consecutive days, subject to enhanced verification. A Panel may shorten a period by up to 25 percent for exceptional cooperation or verified over-compliance, but may not lengthen it after the remedy is imposed except upon a new material violation.</w:t>
      </w:r>
    </w:p>
    <w:p>
      <w:pPr>
        <w:pStyle w:val="Normal"/>
      </w:pPr>
      <w:r>
        <w:t>8. No unrelated dispute, election, change of government, or negotiation may delay an otherwise completed earn-back.</w:t>
      </w:r>
    </w:p>
    <w:p>
      <w:pPr>
        <w:pStyle w:val="Heading2"/>
      </w:pPr>
      <w:bookmarkStart w:id="901196" w:name="_Toc300001195"/>
      <w:r>
        <w:t>Article 35.19: Discipline of Allegations</w:t>
      </w:r>
      <w:bookmarkEnd w:id="901196"/>
    </w:p>
    <w:p>
      <w:pPr>
        <w:pStyle w:val="Normal"/>
      </w:pPr>
      <w:r>
        <w:t>1. The Mechanism is available in good faith. A Party shall not invoke the Mechanism abusively, repetitively, or for purposes of harassment, delay, or negotiation leverage.</w:t>
      </w:r>
    </w:p>
    <w:p>
      <w:pPr>
        <w:pStyle w:val="Normal"/>
      </w:pPr>
      <w:r>
        <w:t>2. The following consequences apply to unsupported allegations:</w:t>
      </w:r>
    </w:p>
    <w:p>
      <w:pPr>
        <w:pStyle w:val="Normal"/>
      </w:pPr>
      <w:r>
        <w:t>(a) upon a first determination of no confirmation, the initiating Party bears the verification costs;</w:t>
      </w:r>
    </w:p>
    <w:p>
      <w:pPr>
        <w:pStyle w:val="Normal"/>
      </w:pPr>
      <w:r>
        <w:t>(b) upon a second determination of no confirmation within 24 months concerning substantially similar conduct, the initiating Party bears double the verification costs and is subject to a heightened evidentiary threshold for 12 months;</w:t>
      </w:r>
    </w:p>
    <w:p>
      <w:pPr>
        <w:pStyle w:val="Normal"/>
      </w:pPr>
      <w:r>
        <w:t>(c) upon a third such determination within 24 months, the initiating Party’s access to the expedited track in Article 35.21 is suspended for 12 months, and the Verification Panel issues a formal finding of abusive invocation; and</w:t>
      </w:r>
    </w:p>
    <w:p>
      <w:pPr>
        <w:pStyle w:val="Normal"/>
      </w:pPr>
      <w:r>
        <w:t>(d) a formal finding of abusive invocation entitles the responding Party to reimbursement of reasonable costs incurred in responding.</w:t>
      </w:r>
    </w:p>
    <w:p>
      <w:pPr>
        <w:pStyle w:val="Normal"/>
      </w:pPr>
      <w:r>
        <w:t>3. The ladder in paragraph 2 applies symmetrically to obstruction, frivolous objection, and bad-faith participation by a responding Party.</w:t>
      </w:r>
    </w:p>
    <w:p>
      <w:pPr>
        <w:pStyle w:val="Normal"/>
      </w:pPr>
      <w:r>
        <w:t>4. Determinations under this Article are recorded in the Shared Trade Data Registry and are public.</w:t>
      </w:r>
    </w:p>
    <w:p>
      <w:pPr>
        <w:pStyle w:val="Normal"/>
      </w:pPr>
      <w:r>
        <w:t>For this Article, an allegation is frivolous or manifestly unfounded only where: (a) it lacks evidence sufficient to establish a prima facie case; (b) the alleged facts, even if true, could not constitute a violation or actionable distortion; (c) a material factual premise is demonstrably false and could reasonably have been verified before filing; or (d) it materially repeats a finally resolved allegation without materially new evidence or changed circumstances. Good-faith disagreement over methodology, law, or uncertain evidence is not by itself frivolous.</w:t>
      </w:r>
    </w:p>
    <w:p>
      <w:pPr>
        <w:pStyle w:val="Normal"/>
      </w:pPr>
      <w:r>
        <w:t>5. Partial Confirmation. Where an allegation contains separable accurate and inaccurate elements, the Verification Panel shall make element-by-element findings rather than treating the entire allegation as confirmed or rejected. Costs, remedies, and any abusive-invocation consequence shall be allocated proportionately to the confirmed and unconfirmed portions.</w:t>
      </w:r>
    </w:p>
    <w:p>
      <w:pPr>
        <w:pStyle w:val="Normal"/>
      </w:pPr>
      <w:r>
        <w:t>6. Counter-Evidence Closure. Where the evidence remains materially inconclusive after the ordinary record closes, the Panel may order one final, time-limited counter-evidence round. Each Party receives the same submission window and access to the same non-confidential evidentiary record. After that round the Panel shall close the factual issue and may not permit serial relitigation absent materially new evidence.</w:t>
      </w:r>
    </w:p>
    <w:p>
      <w:pPr>
        <w:pStyle w:val="Normal"/>
      </w:pPr>
      <w:r>
        <w:t>7. Frivolous challenge and frivolous claim rules operate symmetrically. Repeated unsupported objections to verified evidence may result in cost shifting, loss of expedited procedural privileges, or heightened objection thresholds to the same extent that repeated unsupported allegations may produce those consequences.</w:t>
      </w:r>
    </w:p>
    <w:p>
      <w:pPr>
        <w:pStyle w:val="Heading2"/>
      </w:pPr>
      <w:bookmarkStart w:id="901197" w:name="_Toc300001196"/>
      <w:r>
        <w:t>Article 35.20: Compensation Before Escalation</w:t>
      </w:r>
      <w:bookmarkEnd w:id="901197"/>
    </w:p>
    <w:p>
      <w:pPr>
        <w:pStyle w:val="Normal"/>
      </w:pPr>
      <w:r>
        <w:t>1. At any time after a verification finding a distortion and before Stage 4, the responding Party may offer, and the initiating Party shall consider in good faith, compensation in the form of equivalent market access within the affected module.</w:t>
      </w:r>
    </w:p>
    <w:p>
      <w:pPr>
        <w:pStyle w:val="Normal"/>
      </w:pPr>
      <w:r>
        <w:t>2. Compensation may take any mutually agreed form, including additional quota allocation, accelerated regulatory recognition, procurement access, or equivalent benefits. The Parties may, where they both agree it is useful, record compensation as market-access credits under Annex 35-E; the use of credits is optional and is never a precondition to agreed compensation.</w:t>
      </w:r>
    </w:p>
    <w:p>
      <w:pPr>
        <w:pStyle w:val="Normal"/>
      </w:pPr>
      <w:r>
        <w:t>3. Acceptance of agreed compensation extinguishes the distortion for the purposes of this Chapter. Compensation shall not take the form of a covered border measure against any Party or non-Party.</w:t>
      </w:r>
    </w:p>
    <w:p>
      <w:pPr>
        <w:pStyle w:val="Heading2"/>
      </w:pPr>
      <w:bookmarkStart w:id="901198" w:name="_Toc300001197"/>
      <w:r>
        <w:t>Article 35.21: Genuine Emergencies, Expedited Track</w:t>
      </w:r>
      <w:bookmarkEnd w:id="901198"/>
    </w:p>
    <w:p>
      <w:pPr>
        <w:pStyle w:val="Normal"/>
      </w:pPr>
      <w:r>
        <w:t>1. Where a genuine emergency exists, as defined in Article 35.2 (including a sudden import surge causing serious injury, an imminent flood of fraudulently documented goods, or a critical threat to health, safety, or security) a Party may apply an emergency provisional measure, provided that the measure:</w:t>
      </w:r>
    </w:p>
    <w:p>
      <w:pPr>
        <w:pStyle w:val="Normal"/>
      </w:pPr>
      <w:r>
        <w:t>1A. Except as provided in paragraph 1B, an emergency provisional measure shall not take effect until 15 days after notification under subparagraph 1(d). During that period the Verification Panel shall convene an emergency session and issue a preliminary determination whether the evidence establishes a genuine emergency and whether the proposed measure is confined to the narrowest sufficient scope. If the Panel determines that the asserted emergency is not supported by credible evidence, the proposed measure shall not take effect.</w:t>
      </w:r>
    </w:p>
    <w:p>
      <w:pPr>
        <w:pStyle w:val="Normal"/>
      </w:pPr>
      <w:r>
        <w:t>1B. A Party may apply a measure immediately where waiting 15 days would create a demonstrable and material risk of death or serious injury, entry of contaminated or prohibited goods, active cyber compromise, physical failure of critical infrastructure, or comparable irreversible harm. An immediately effective measure is limited to the goods, entities, or flows creating that risk, is reviewed within 72 hours, and terminates automatically if the Panel does not verify the immediate-action necessity.</w:t>
      </w:r>
    </w:p>
    <w:p>
      <w:pPr>
        <w:pStyle w:val="Normal"/>
      </w:pPr>
      <w:r>
        <w:t>(a) is confined to the goods and flows presenting the emergency;</w:t>
      </w:r>
    </w:p>
    <w:p>
      <w:pPr>
        <w:pStyle w:val="Normal"/>
      </w:pPr>
      <w:r>
        <w:t>(b) does not exceed what is required to address the emergency pending verification;</w:t>
      </w:r>
    </w:p>
    <w:p>
      <w:pPr>
        <w:pStyle w:val="Normal"/>
      </w:pPr>
      <w:r>
        <w:t>(c) takes the form, wherever practicable, of a targeted hold, bond, or escrow rather than a duty;</w:t>
      </w:r>
    </w:p>
    <w:p>
      <w:pPr>
        <w:pStyle w:val="Normal"/>
      </w:pPr>
      <w:r>
        <w:t>(d) is notified to the other Parties and the Verification Panel within 24 hours, with the evidence supporting it;</w:t>
      </w:r>
    </w:p>
    <w:p>
      <w:pPr>
        <w:pStyle w:val="Normal"/>
      </w:pPr>
      <w:r>
        <w:t>(e) is reviewed by the Verification Panel within 72 hours; and</w:t>
      </w:r>
    </w:p>
    <w:p>
      <w:pPr>
        <w:pStyle w:val="Normal"/>
      </w:pPr>
      <w:r>
        <w:t>(f) expires automatically 30 days after imposition unless the Verification Panel verifies the distortion and classifies the matter under Article 35.11, in which case the ordinary stages apply.</w:t>
      </w:r>
    </w:p>
    <w:p>
      <w:pPr>
        <w:pStyle w:val="Normal"/>
      </w:pPr>
      <w:r>
        <w:t>2. An emergency provisional measure that is not verified within the period in paragraph 1(f) terminates automatically, and amounts collected are refunded with interest.</w:t>
      </w:r>
    </w:p>
    <w:p>
      <w:pPr>
        <w:pStyle w:val="Normal"/>
      </w:pPr>
      <w:r>
        <w:t>3. Emergency authority is not an indefinite substitute for ordinary trade policy. Substantially similar emergency measures concerning substantially the same goods, including measures differing only in stated justification, are aggregated and treated as a single continuing measure for the purposes of duration limits; the cumulative duration of emergency provisional measures concerning substantially the same goods shall not exceed 60 days in any 12-month period absent a full verification and classification under this Chapter. Each successive measure requires successively stronger verification.</w:t>
      </w:r>
    </w:p>
    <w:p>
      <w:pPr>
        <w:pStyle w:val="Heading2"/>
      </w:pPr>
      <w:bookmarkStart w:id="901199" w:name="_Toc300001198"/>
      <w:r>
        <w:t>Article 35.22: Essential Security Measures, Special Lane</w:t>
      </w:r>
      <w:bookmarkEnd w:id="901199"/>
    </w:p>
    <w:p>
      <w:pPr>
        <w:pStyle w:val="Normal"/>
      </w:pPr>
      <w:r>
        <w:t>1. Each Party retains its authority to take measures it considers necessary for the protection of its essential security interests, in accordance with Article 32.2 as replaced by this modernization.</w:t>
      </w:r>
    </w:p>
    <w:p>
      <w:pPr>
        <w:pStyle w:val="Normal"/>
      </w:pPr>
      <w:r>
        <w:t>2. Where an essential security measure affects, or would affect, the originating goods of another Party, the measure is subject to the special review lane in this Article, in addition to the procedural requirements of Article 32.2.</w:t>
      </w:r>
    </w:p>
    <w:p>
      <w:pPr>
        <w:pStyle w:val="Normal"/>
      </w:pPr>
      <w:r>
        <w:t>3. Within 15 days after the notification required by Article 32.2, the affected Party may refer the measure to the Verification Panel, which shall determine, within 45 days and without reviewing the invoking Party’s security judgment:</w:t>
      </w:r>
    </w:p>
    <w:p>
      <w:pPr>
        <w:pStyle w:val="Normal"/>
      </w:pPr>
      <w:r>
        <w:t>(a) whether the measure is genuinely connected to the stated security interest;</w:t>
      </w:r>
    </w:p>
    <w:p>
      <w:pPr>
        <w:pStyle w:val="Normal"/>
      </w:pPr>
      <w:r>
        <w:t>(b) whether originating goods of the other Party contribute materially to the stated security concern;</w:t>
      </w:r>
    </w:p>
    <w:p>
      <w:pPr>
        <w:pStyle w:val="Normal"/>
      </w:pPr>
      <w:r>
        <w:t>(c) whether the concern could be addressed by targeting non-originating content or non-Party goods;</w:t>
      </w:r>
    </w:p>
    <w:p>
      <w:pPr>
        <w:pStyle w:val="Normal"/>
      </w:pPr>
      <w:r>
        <w:t>(d) whether trusted-origin certification under Article 36.6 could address the concern; and</w:t>
      </w:r>
    </w:p>
    <w:p>
      <w:pPr>
        <w:pStyle w:val="Normal"/>
      </w:pPr>
      <w:r>
        <w:t>(e) whether a narrower measure could achieve the stated security objective.</w:t>
      </w:r>
    </w:p>
    <w:p>
      <w:pPr>
        <w:pStyle w:val="Normal"/>
      </w:pPr>
      <w:r>
        <w:t>4. If the Verification Panel determines that originating goods of the affected Party do not contribute materially to the stated security concern, the invoking Party shall exempt those goods from the measure within 30 days.</w:t>
      </w:r>
    </w:p>
    <w:p>
      <w:pPr>
        <w:pStyle w:val="Normal"/>
      </w:pPr>
      <w:r>
        <w:t>5. If the Verification Panel determines that a narrower measure could achieve the stated security objective, the invoking Party shall, within 60 days, conform the measure to the narrowest sufficient scope, without prejudice to the security objective itself.</w:t>
      </w:r>
    </w:p>
    <w:p>
      <w:pPr>
        <w:pStyle w:val="Normal"/>
      </w:pPr>
      <w:r>
        <w:t>6. An essential security measure affecting originating goods: (a) shall be reviewed by the invoking Party at intervals not exceeding 180 days, with an updated justification notified to the other Parties; (b) terminates two years after imposition unless renewed through the full procedures of Article 32.2, including fresh justification; (c) shall not be applied to goods holding Trusted North American Origin status except upon a particularized finding that those goods themselves present the security concern; and (d) for the purposes of subparagraphs (a) and (b), successive measures addressing substantially the same stated security concern and substantially the same trade are treated as renewals of a single continuing measure, however denominated or re-justified.</w:t>
      </w:r>
    </w:p>
    <w:p>
      <w:pPr>
        <w:pStyle w:val="Normal"/>
      </w:pPr>
      <w:r>
        <w:t>7. No panel or body under this Agreement shall second-guess a Party’s military, defense, or intelligence judgments. The boundary of review is as follows:</w:t>
      </w:r>
    </w:p>
    <w:p>
      <w:pPr>
        <w:pStyle w:val="Normal"/>
      </w:pPr>
      <w:r>
        <w:t>(a) a panel or Verification Team may examine: the measure’s text, scope, product and entity coverage, duration, renewal history, and administration; the notification, consultation, and review record; whether originating goods of the affected Party materially contribute to the stated concern, on the basis of trade and origin data; whether a narrower or targeted measure would achieve the stated objective; and the consistency of the measure with the procedural requirements of Article 32.2 and this Article; and</w:t>
      </w:r>
    </w:p>
    <w:p>
      <w:pPr>
        <w:pStyle w:val="Normal"/>
      </w:pPr>
      <w:r>
        <w:t>(b) a panel or Verification Team shall not examine or make findings concerning: the validity of the Party’s assessment of threats; the credibility of intelligence; the military or defense adequacy of the measure; or the Party’s determination of what its essential security interests are.</w:t>
      </w:r>
    </w:p>
    <w:p>
      <w:pPr>
        <w:pStyle w:val="Normal"/>
      </w:pPr>
      <w:r>
        <w:rPr>
          <w:b w:val="false"/>
        </w:rPr>
        <w:t>8. External Trade Defense Preserved. Nothing in this Chapter prevents a Party from applying lawful, targeted trade-defense, customs-enforcement, sanctions, investment-screening, anti-dumping, countervailing-duty, anti-circumvention, or other measures to non-Parties or verified non-originating content. The disciplines of this Chapter prevent such authority from being used as a disguised substitute for broad punitive measures against originating goods of another Party; they do not require a Party to surrender legitimate external trade defense.</w:t>
      </w:r>
    </w:p>
    <w:p>
      <w:pPr>
        <w:pStyle w:val="Normal"/>
      </w:pPr>
      <w:r>
        <w:t>8. The reviewing body shall state expressly, in any report under this Article, which category of paragraph 7 each of its findings rests upon.</w:t>
      </w:r>
    </w:p>
    <w:p>
      <w:pPr>
        <w:pStyle w:val="Normal"/>
      </w:pPr>
      <w:r>
        <w:t>9. Security Review Chamber. Where a measure under this Article remains in force after a finding under paragraph 4 or 5, or where an affected Party alleges that the factual nexus required by Article 32.2.4 is fabricated or unsupported, the matter may be referred to a Security Review Chamber composed of three independent retired judges drawn one from each Party from a standing roster of former supreme-court, constitutional-court, or senior appellate judges, or persons of equivalent judicial independence. The Chamber may receive classified or otherwise protected evidence in camera under procedures that preserve national-security confidentiality and do not require disclosure to another Party. The Chamber reviews only whether credible, verifiable evidence supports the factual nexus between the targeted trade and the stated security threat, and does not substitute its judgment for military, defense, intelligence, or foreign-policy assessments.</w:t>
      </w:r>
    </w:p>
    <w:p>
      <w:pPr>
        <w:pStyle w:val="Normal"/>
      </w:pPr>
      <w:r>
        <w:t>10. If the Security Review Chamber finds that no credible, verifiable evidence supports the required factual nexus, the trade-restrictive application of the measure to the affected Party is suspended automatically upon issuance of the finding, subject to a 10-day period in which the invoking Party may submit newly available evidence. A suspension under this paragraph does not prevent a measure directed at goods, entities, or content for which the required nexus is established.</w:t>
      </w:r>
    </w:p>
    <w:p>
      <w:pPr>
        <w:pStyle w:val="Normal"/>
      </w:pPr>
      <w:r>
        <w:t>11. Compliance Security. If an invoking Party does not implement a final finding requiring exemption, narrowing, or suspension within the period specified by this Article, it shall, within 30 days, secure an amount equal to 100 percent of the Verification Panel’s conservative estimate of expected economic injury in the Trade Escrow Facility. The required security increases to 125 percent after 30 additional days of non-compliance and to 150 percent after 60 additional days. Security under this paragraph is not a penalty or admission of liability; it preserves the availability of compensation pending compliance or final resolution, and is released, refunded, or applied in accordance with the final determination.</w:t>
      </w:r>
    </w:p>
    <w:p>
      <w:pPr>
        <w:pStyle w:val="Heading2"/>
      </w:pPr>
      <w:bookmarkStart w:id="901200" w:name="_Toc300001199"/>
      <w:r>
        <w:t>Article 35.23: Strategic-Sector Circuit Breakers</w:t>
      </w:r>
      <w:bookmarkEnd w:id="901200"/>
    </w:p>
    <w:p>
      <w:pPr>
        <w:pStyle w:val="Normal"/>
      </w:pPr>
      <w:r>
        <w:t>1. The Parties designate the sectors listed in Annex 35-B, Part 2, as Strategic Sectors, comprising: automotive goods and parts; steel and aluminum; critical minerals; energy and electricity; grid equipment; semiconductors; batteries; pharmaceuticals and medical goods; agricultural inputs and food staples; and telecommunications infrastructure.</w:t>
      </w:r>
    </w:p>
    <w:p>
      <w:pPr>
        <w:pStyle w:val="Normal"/>
      </w:pPr>
      <w:r>
        <w:t>2. A covered border measure affecting a Strategic Sector shall not take effect before:</w:t>
      </w:r>
    </w:p>
    <w:p>
      <w:pPr>
        <w:pStyle w:val="Normal"/>
      </w:pPr>
      <w:r>
        <w:t>(a) completion of a North American supply-chain impact assessment, prepared by the Treaty Integrity Secretariat with the affected Parties within 30 days;</w:t>
      </w:r>
    </w:p>
    <w:p>
      <w:pPr>
        <w:pStyle w:val="Normal"/>
      </w:pPr>
      <w:r>
        <w:t>(b) ministerial-level consultations among the Parties; and</w:t>
      </w:r>
    </w:p>
    <w:p>
      <w:pPr>
        <w:pStyle w:val="Normal"/>
      </w:pPr>
      <w:r>
        <w:t>(c) consideration of the integrated character of North American production in the sector.</w:t>
      </w:r>
    </w:p>
    <w:p>
      <w:pPr>
        <w:pStyle w:val="Normal"/>
      </w:pPr>
      <w:r>
        <w:t>3. Paragraph 2 does not delay an emergency provisional measure under Article 35.21, but such a measure affecting a Strategic Sector expires 15 days after imposition unless the assessment and consultations in paragraph 2 have been completed.</w:t>
      </w:r>
    </w:p>
    <w:p>
      <w:pPr>
        <w:pStyle w:val="Normal"/>
      </w:pPr>
      <w:r>
        <w:t>4. Inputs essential to integrated North American production, identified in accordance with Annex 35-B, Part 3, shall not be subject to corrective measures under this Chapter except upon a verification finding that the input itself embodies the distortion.</w:t>
      </w:r>
    </w:p>
    <w:p>
      <w:pPr>
        <w:pStyle w:val="Heading2"/>
      </w:pPr>
      <w:bookmarkStart w:id="901201" w:name="_Toc300001200"/>
      <w:r>
        <w:t>Article 35.24: North American Trade Measures Registry and Transparency</w:t>
      </w:r>
      <w:bookmarkEnd w:id="901201"/>
    </w:p>
    <w:p>
      <w:pPr>
        <w:pStyle w:val="Normal"/>
      </w:pPr>
      <w:r>
        <w:t>1. The Treaty Integrity Secretariat shall establish and maintain the North American Trade Measures Registry.</w:t>
      </w:r>
    </w:p>
    <w:p>
      <w:pPr>
        <w:pStyle w:val="Normal"/>
      </w:pPr>
      <w:r>
        <w:t>2. Each Party shall register in the Registry, before or within five days after adoption, every covered border measure that affects or may affect another Party’s goods, whether originating or not, including for each measure: the tariff classification codes covered; the rate, charge, or restriction; the legal authority invoked; the effective date; the scheduled review and expiry dates; the exemptions and exclusions and the procedures governing them; and the verification or finding on which the measure is based.</w:t>
      </w:r>
    </w:p>
    <w:p>
      <w:pPr>
        <w:pStyle w:val="Normal"/>
      </w:pPr>
      <w:r>
        <w:t>3. Registry data shall be public and machine-readable, subject to protection of classified and confidential business information in accordance with Annex 35-C, Part 4.</w:t>
      </w:r>
    </w:p>
    <w:p>
      <w:pPr>
        <w:pStyle w:val="Normal"/>
      </w:pPr>
      <w:r>
        <w:t>4. A covered border measure affecting originating goods that is not registered within the period in paragraph 2 is not enforceable against originating goods until registered, and amounts collected during the unregistered period shall be refunded.</w:t>
      </w:r>
    </w:p>
    <w:p>
      <w:pPr>
        <w:pStyle w:val="Normal"/>
      </w:pPr>
      <w:r>
        <w:t>5. Except in a genuine emergency under Article 35.21, a Party shall provide not less than 30 days between the registration of a new covered border measure and its effective date, during which affected Parties may submit alternatives.</w:t>
      </w:r>
    </w:p>
    <w:p>
      <w:pPr>
        <w:pStyle w:val="Heading2"/>
      </w:pPr>
      <w:bookmarkStart w:id="901202" w:name="_Toc300001201"/>
      <w:r>
        <w:t>Article 35.25: North American Trade Impact Facility</w:t>
      </w:r>
      <w:bookmarkEnd w:id="901202"/>
    </w:p>
    <w:p>
      <w:pPr>
        <w:pStyle w:val="Normal"/>
      </w:pPr>
      <w:r>
        <w:t>1. The Commission may, by consensus and through a published implementing schedule, activate a North American Trade Impact compensation mechanism to provide limited partial compensation to eligible small and medium-sized enterprises or integrated manufacturers materially injured by a covered border measure subsequently found inconsistent with this Agreement or not upheld. Until such a schedule enters into force, this Article creates no funding contribution, compensation entitlement, separately staffed facility, or claim against a Party.</w:t>
      </w:r>
    </w:p>
    <w:p>
      <w:pPr>
        <w:pStyle w:val="Normal"/>
      </w:pPr>
      <w:r>
        <w:t>2. An activating schedule shall identify the source and ceiling of funding, participating Parties, eligible categories, claim period, administrative route, audit rules, and reimbursement treatment. It may provide equal base contributions for administration, usage-based contributions, or reimbursement by a Party whose measure is finally found inconsistent, but no contribution is owed unless expressly accepted in the schedule in accordance with each Party's applicable legal and appropriations procedures.</w:t>
      </w:r>
    </w:p>
    <w:p>
      <w:pPr>
        <w:pStyle w:val="Normal"/>
      </w:pPr>
      <w:r>
        <w:t>3. If activated, eligibility shall require: (a) demonstrated material injury under a threshold stated in the schedule; (b) documented causal connection to the covered measure; (c) exhaustion or unavailability of timely redress through the measure's own exclusion or refund procedures; and (d) no double recovery. Claims shall be decided under published criteria by the existing Secretariat or a competent national authority designated in the schedule.</w:t>
      </w:r>
    </w:p>
    <w:p>
      <w:pPr>
        <w:pStyle w:val="Normal"/>
      </w:pPr>
      <w:r>
        <w:t>4. Compensation per claimant shall be capped at the level stated in the activating schedule, with any priority for small and medium-sized enterprises expressly identified there. Administration and accounts shall be independently audited and the audit published, subject to lawful confidentiality protections.</w:t>
      </w:r>
    </w:p>
    <w:p>
      <w:pPr>
        <w:pStyle w:val="Normal"/>
      </w:pPr>
      <w:r>
        <w:t>5. Compensation under an activated schedule is without prejudice to the allocation of responsibility between the Parties and does not constitute an admission by any Party. A Party's decision not to participate in an optional compensation schedule does not constitute non-compliance, reduce unrelated benefits, or authorize retaliation.</w:t>
      </w:r>
    </w:p>
    <w:p>
      <w:pPr>
        <w:pStyle w:val="Heading2"/>
      </w:pPr>
      <w:bookmarkStart w:id="901203" w:name="_Toc300001202"/>
      <w:r>
        <w:t>Article 35.25A: Automatic Consequences and Provisional Enforcement</w:t>
      </w:r>
      <w:bookmarkEnd w:id="901203"/>
    </w:p>
    <w:p>
      <w:pPr>
        <w:pStyle w:val="Normal"/>
      </w:pPr>
      <w:r>
        <w:t>1. Where a Verification Panel or Chapter 31 panel makes a finding that a Party has maintained a measure expressly prohibited by Articles 35.3 through 35.7, failed to implement an automatic termination or restoration required by this Chapter, or failed to comply with a final narrowing or suspension determination under Article 35.22, the consequences specified in this Article arise by operation of the Agreement and do not require a further political authorization.</w:t>
      </w:r>
    </w:p>
    <w:p>
      <w:pPr>
        <w:pStyle w:val="Normal"/>
      </w:pPr>
      <w:r>
        <w:t>2. Upon a preliminary finding, the offending measure is subject to automatic provisional suspension to the extent identified by the Panel, or, where immediate suspension would create a demonstrated risk to health, safety, or essential security, to mandatory escrow or equivalent security in an amount equal to the conservative estimate of expected injury. The affected Party has 10 days to seek reconsideration based on manifest factual or legal error or materially new evidence.</w:t>
      </w:r>
    </w:p>
    <w:p>
      <w:pPr>
        <w:pStyle w:val="Normal"/>
      </w:pPr>
      <w:r>
        <w:t>3. Upon a final finding, any prohibited amount collected shall be refunded with interest and any preferential treatment unlawfully suspended shall be restored automatically. Verified reasonable compliance and delay costs directly caused by the violation may be addressed through a compensation mechanism expressly activated under this Agreement or through applicable domestic procedures. Where non-compliance continues, security or other corrective consequences escalate only in accordance with an express schedule in this Agreement or a reasoned panel determination and shall remain proportionate to verified injury.</w:t>
      </w:r>
    </w:p>
    <w:p>
      <w:pPr>
        <w:pStyle w:val="Normal"/>
      </w:pPr>
      <w:r>
        <w:t>4. The Commission shall establish a schedule of standardized consequences for recurrent administrative violations, including unjustified border delay, duplicative documentation demands, and abusive verification. The schedule may provide fixed or per-shipment compensation only where the amount is calibrated to typical verified loss and remains subject to a right of prompt review. No fixed amount shall operate as punitive damages.</w:t>
      </w:r>
    </w:p>
    <w:p>
      <w:pPr>
        <w:pStyle w:val="Normal"/>
      </w:pPr>
      <w:r>
        <w:t>5. A Party that brings a complaint concerning labor or environmental enforcement that is finally determined to have lacked a reasonable evidentiary basis may be required to reimburse the responding Party’s reasonable proceeding costs. Repeated abusive invocation is subject to Article 35.18. No monetary assessment under this paragraph may be imposed merely because a good-faith complaint is unsuccessful.</w:t>
      </w:r>
    </w:p>
    <w:p>
      <w:pPr>
        <w:pStyle w:val="Normal"/>
      </w:pPr>
      <w:r>
        <w:t>Implementation of Automatic Consequences. “Automatic” means that, once the treaty-defined final triggering determination is issued, no new political authorization, discretionary injury finding, or negotiation of remedy is required. The competent authority shall complete the ministerial acts necessary to implement the predetermined consequence within five business days. If it fails to do so, the consequence takes effect by operation of the Party’s implementing law on the sixth business day. No final automatic consequence arises solely from an allegation; provisional protection is available only where expressly authorized by this Chapter and subject to prompt review.</w:t>
      </w:r>
    </w:p>
    <w:p>
      <w:pPr>
        <w:pStyle w:val="Heading2"/>
      </w:pPr>
      <w:bookmarkStart w:id="901204" w:name="_Toc300001203"/>
      <w:r>
        <w:t>Article 35.26: Relationship to Other Chapters</w:t>
      </w:r>
      <w:bookmarkEnd w:id="901204"/>
    </w:p>
    <w:p>
      <w:pPr>
        <w:pStyle w:val="Normal"/>
      </w:pPr>
      <w:r>
        <w:t>1. This Chapter applies notwithstanding any other provision of this Agreement to the extent of any inconsistency concerning covered border measures affecting originating goods, except Article 32.2 as replaced by this modernization, with which this Chapter shall be read together.</w:t>
      </w:r>
    </w:p>
    <w:p>
      <w:pPr>
        <w:pStyle w:val="Normal"/>
      </w:pPr>
      <w:r>
        <w:t>2. Chapter 10 (Trade Remedies), as amended by Articles 10.A and 10.B, governs antidumping duties, countervailing duties, and safeguard measures, which are not PTAs and are subject to their own disciplines.</w:t>
      </w:r>
    </w:p>
    <w:p>
      <w:pPr>
        <w:pStyle w:val="Normal"/>
      </w:pPr>
      <w:r>
        <w:t>3. Disputes under this Chapter are subject to Chapter 31, including the Expedited Tariff Panel procedure in Article 31.A. A Verification Team under Article 35.10 determines technical and factual matters within its stated mandate; questions of treaty interpretation, jurisdiction, consistency, and final legal remedy remain for the competent Chapter 31 panel or the Commission as provided by this Agreement. A Verification Team's factual finding is binding in a later Chapter 31 proceeding unless manifestly erroneous, but it does not by itself expand the remedies authorized by this Agreement.</w:t>
      </w:r>
    </w:p>
    <w:p>
      <w:pPr>
        <w:pStyle w:val="Normal"/>
      </w:pPr>
      <w:r>
        <w:t>4. Nothing in this Chapter limits a Party’s rights or obligations under the WTO Agreement with respect to goods of non-Parties.</w:t>
      </w:r>
    </w:p>
    <w:p>
      <w:pPr>
        <w:pStyle w:val="Normal"/>
      </w:pPr>
      <w:r>
        <w:t>5. Multilateral Compatibility. This Chapter does not by itself authorize a measure against a non-Party. Any restriction, additional duty, quota, or discriminatory treatment directed at a non-Party requires an independent legal basis consistent with the applying Party's WTO obligations and other applicable international commitments.</w:t>
      </w:r>
    </w:p>
    <w:p>
      <w:pPr>
        <w:pStyle w:val="Normal"/>
      </w:pPr>
      <w:r>
        <w:t>6. Where two reasonably available remedies would provide substantially equivalent correction of an intra-CUSMA violation, the Party shall prefer the remedy that is more consistent with its WTO obligations and that creates less unnecessary impairment of trade with non-Parties.</w:t>
      </w:r>
    </w:p>
    <w:p>
      <w:pPr>
        <w:pStyle w:val="Normal"/>
      </w:pPr>
      <w:r>
        <w:t>7. The Commission shall conduct a WTO-compatibility review of the PTA methodology, non-market-practice coordination, strategic-sector measures, and any common external action at least once every three years and before adopting a new category of external trade restriction.</w:t>
      </w:r>
    </w:p>
    <w:p>
      <w:pPr>
        <w:pStyle w:val="Normal"/>
      </w:pPr>
      <w:r>
        <w:t>8. Nothing in Chapters 35 or 36 converts a trade deficit, non-Party nationality, or lawful competition from a non-Party into a basis for discriminatory external treatment. Preferential treatment among the Parties remains governed by this Agreement; external restrictions remain governed by the independent international and domestic legal authority under which they are adopted.</w:t>
      </w:r>
    </w:p>
    <w:p>
      <w:pPr>
        <w:pStyle w:val="Heading2"/>
      </w:pPr>
      <w:bookmarkStart w:id="901205" w:name="_Toc300001204"/>
      <w:r>
        <w:t>Article 35.27: Legacy Measures Wind-Down</w:t>
      </w:r>
      <w:bookmarkEnd w:id="901205"/>
    </w:p>
    <w:p>
      <w:pPr>
        <w:pStyle w:val="Normal"/>
      </w:pPr>
      <w:r>
        <w:t>1. Each legacy measure shall terminate in accordance with Annex 35-D.</w:t>
      </w:r>
    </w:p>
    <w:p>
      <w:pPr>
        <w:pStyle w:val="Normal"/>
      </w:pPr>
      <w:r>
        <w:t>2. No legacy measure shall be reimposed, renewed, extended, delayed beyond its scheduled termination, or succeeded by a substantially equivalent measure, except in conformity with an independent authority expressly provided by this Agreement and only after satisfaction of every substantive and procedural condition of that authority. Failure or delay in completing the wind-down, persistence of the circumstances originally invoked for the legacy measure, a change in domestic legal authority, or a unilateral assertion that those circumstances remain unresolved does not itself authorize continuation, renewal, extension, or replacement. For the purposes of this Article, a measure adopted after the wind-down that targets substantially the same trade with substantially the same effect as a terminated legacy measure is treated as a reimposition of that measure, whatever its stated justification.</w:t>
      </w:r>
    </w:p>
    <w:p>
      <w:pPr>
        <w:pStyle w:val="Normal"/>
      </w:pPr>
      <w:r>
        <w:t>3. Amounts collected under a legacy measure after the date fixed for its termination in Annex 35-D shall be refunded with interest.</w:t>
      </w:r>
    </w:p>
    <w:tbl>
      <w:tblPr>
        <w:tblW w:type="auto" w:w="0"/>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9360"/>
      </w:tblGrid>
      <w:tr>
        <w:tc>
          <w:tcPr>
            <w:tcW w:type="dxa" w:w="9360"/>
            <w:shd w:fill="FFF2F2" w:val="clear"/>
            <w:tcMar>
              <w:top w:w="120" w:type="dxa"/>
              <w:left w:w="160" w:type="dxa"/>
              <w:bottom w:w="120" w:type="dxa"/>
              <w:right w:w="160" w:type="dxa"/>
            </w:tcMar>
            <w:vAlign w:val="center"/>
          </w:tcPr>
          <w:p>
            <w:pPr>
              <w:pStyle w:val="TableText"/>
              <w:jc w:val="center"/>
            </w:pPr>
            <w:r>
              <w:rPr>
                <w:b/>
                <w:color w:val="C00000"/>
              </w:rPr>
              <w:t>▼  ▼  ▼   ARTICLE 35.27A: SIMULTANEOUS TARIFF TERMINATION AND BASELINE RESTORATION   ▼  ▼  ▼</w:t>
            </w:r>
          </w:p>
          <w:p>
            <w:pPr>
              <w:pStyle w:val="TableText"/>
            </w:pPr>
            <w:r>
              <w:rPr>
                <w:b/>
                <w:color w:val="C00000"/>
              </w:rPr>
              <w:t>1. On the implementation date specified in Annex 35-D, each Party shall simultaneously withdraw and terminate every legacy extraordinary tariff, sectoral tariff, retaliatory tariff, countermeasure, surcharge, import fee, or functionally equivalent covered border measure identified for termination in that Annex. The corresponding measures of the Parties shall cease to have effect at the same legally defined time, and no Party is required to terminate its covered measure materially before the reciprocal termination required of another Party. Each Party shall complete and deposit in advance every domestic instrument necessary to give legal effect to the synchronized termination, and the Secretariat shall record confirmation of readiness without conditioning one Party's performance on prior unilateral disarmament by another. Upon activation, originating goods return immediately to the tariff treatment otherwise established by this Agreement and the applicable tariff schedules.</w:t>
            </w:r>
          </w:p>
          <w:p>
            <w:pPr>
              <w:pStyle w:val="TableText"/>
            </w:pPr>
            <w:r>
              <w:rPr>
                <w:b/>
                <w:color w:val="C00000"/>
              </w:rPr>
              <w:t>2. A measure terminated under this Article is extinguished for purposes of this Agreement and does not remain suspended, dormant, contingent, preserved, grandfathered, or available for later reactivation. Neither this Article, Annex 35-D, a subsequent breach or dispute, a verification finding, a Cothrom determination, a pause or step-back of an enhanced benefit, nor any other action under this Agreement provides authority to revive, reinstate, renew, extend, reimpose, or substantially reproduce a terminated measure. Identification of a measure in Annex 35-D is solely for the purpose of withdrawal, termination, administration of any required refund, and confirmation of baseline restoration, and does not recognize or validate any continuing right to maintain or reimpose that measure. For greater certainty, Articles 35.3D and 35.3B concerning binding suspensions do not convert a measure terminated under this Article into a suspension and do not provide a route for its restoration.</w:t>
            </w:r>
          </w:p>
          <w:p>
            <w:pPr>
              <w:pStyle w:val="TableText"/>
            </w:pPr>
            <w:r>
              <w:rPr>
                <w:b/>
                <w:color w:val="C00000"/>
              </w:rPr>
              <w:t>3. Any trade measure adopted after the synchronized termination must possess an independent authority expressly provided by this Agreement and must independently satisfy every applicable substantive, evidentiary, verification, consultation, proportionality, necessity, authorization, transparency, review, sunset, and renewal requirement. A Party shall not rely on the circumstances originally invoked for a terminated legacy measure, the persistence or recurrence of those circumstances, a change in domestic legal authority, or the existence of a new dispute as sufficient authority to restore or substantially reproduce the terminated measure. A later measure targeting substantially the same originating trade with substantially the same economic effect is treated as a prohibited reimposition unless the Party establishes both a genuinely independent treaty authority and full compliance with every condition attached to that authority. The burden of establishing those elements rests on the Party seeking to apply the later measure.</w:t>
            </w:r>
          </w:p>
          <w:p>
            <w:pPr>
              <w:pStyle w:val="TableText"/>
            </w:pPr>
            <w:r>
              <w:rPr>
                <w:b/>
                <w:color w:val="C00000"/>
              </w:rPr>
              <w:t>4. Nothing in this Article expands, modifies, derogates from, or creates an exception to the tariff restrictions, zero-duty guarantee, tariff quarantine, narrowest-sufficient-remedy rule, Corrective Tariff Budget, No-Fade Guarantee, anti-coercion rules, or other protections established by this Chapter. References elsewhere in this Agreement to restoration or automatic restoration mean restoration of ordinary treaty treatment, preferences, rights, or paused benefits after cure and do not mean restoration of a terminated punitive, retaliatory, sectoral, emergency, reciprocal, or extraordinary tariff. Future noncompliance shall be addressed through the verification, cure, proportional step-back, earn-back, dispute-settlement, and other non-tariff mechanisms of this Agreement except where a corrective tariff is independently and expressly authorized under Articles 35.38 through 35.40. This Article therefore operates as a one-way transition from the identified legacy tariff cycle to the Agreement's normal tariff baseline and does not create a new entrance into that cycle.</w:t>
            </w:r>
          </w:p>
          <w:p>
            <w:pPr>
              <w:pStyle w:val="TableText"/>
              <w:jc w:val="center"/>
            </w:pPr>
            <w:r>
              <w:rPr>
                <w:b/>
                <w:color w:val="C00000"/>
              </w:rPr>
              <w:t>▲  ▲  ▲   ONE-WAY TERMINATION: NO REVIVAL, NO DORMANT TARIFF AUTHORITY, NO BACK DOOR   ▲  ▲  ▲</w:t>
            </w:r>
          </w:p>
        </w:tc>
      </w:tr>
    </w:tbl>
    <w:p>
      <w:pPr>
        <w:pStyle w:val="Heading2"/>
      </w:pPr>
      <w:bookmarkStart w:id="901206" w:name="_Toc300001205"/>
      <w:r>
        <w:t>Article 35.28: Treaty Integrity Functions and Commission Oversight</w:t>
      </w:r>
      <w:bookmarkEnd w:id="901206"/>
    </w:p>
    <w:p>
      <w:pPr>
        <w:pStyle w:val="Normal"/>
      </w:pPr>
      <w:r>
        <w:t>1. The treaty-integrity functions in this Chapter shall be performed within the Secretariat established by Article 30.6 and may be described administratively as the Treaty Integrity function. No separate legal person, separately staffed secretariat, or autonomous agency is created. The function administers the North American Trade Measures Registry, the Shared Trade Data Registry, any escrow or compensation mechanism activated under this Agreement, administrative support for Verification Teams, and the disclosure register required by Article 35.10.</w:t>
      </w:r>
    </w:p>
    <w:p>
      <w:pPr>
        <w:pStyle w:val="Normal"/>
      </w:pPr>
      <w:r>
        <w:t>2. The Commission oversees the operation of this Chapter. For that purpose it may convene the Parties' designated senior trade officials in a treaty-integrity session to: (a) review operation of the Chapter and the Secretariat's treaty-integrity functions; (b) receive one consolidated annual implementation report; (c) recommend technical updates to Annexes 35-A through 35-E for adoption through the applicable amendment or technical procedure; and (d) receive stakeholder submissions. Such a session is an exercise of the Commission's existing authority and does not create a separate permanent committee.</w:t>
      </w:r>
    </w:p>
    <w:p>
      <w:pPr>
        <w:pStyle w:val="Normal"/>
      </w:pPr>
      <w:r>
        <w:t>3. The Commission shall conduct the review in paragraph 2 at least annually and may convene an additional treaty-integrity session at the request of any Party where a material implementation issue requires it.</w:t>
      </w:r>
    </w:p>
    <w:p>
      <w:pPr>
        <w:pStyle w:val="Normal"/>
      </w:pPr>
      <w:r>
        <w:t>4. Decisions under this Article are taken by consensus and do not amend this Agreement except through an amendment or technical-adoption procedure expressly authorized elsewhere.</w:t>
      </w:r>
    </w:p>
    <w:p>
      <w:pPr>
        <w:pStyle w:val="Heading2"/>
      </w:pPr>
      <w:bookmarkStart w:id="901207" w:name="_Toc300001206"/>
      <w:r>
        <w:t>Article 35.29: No-Fade Guarantee</w:t>
      </w:r>
      <w:bookmarkEnd w:id="901207"/>
    </w:p>
    <w:p>
      <w:pPr>
        <w:pStyle w:val="Normal"/>
      </w:pPr>
      <w:r>
        <w:t>1. No right, preference, guarantee, protection, status, or entitlement established by this Agreement (including the tariff treatment of Annex 2-B, the guarantee of Article 35.3, trusted-trader and TNAO status, and the procedural rights of this Chapter) lapses, expires, sunsets, or diminishes by the mere passage of time.</w:t>
      </w:r>
    </w:p>
    <w:p>
      <w:pPr>
        <w:pStyle w:val="Normal"/>
      </w:pPr>
      <w:r>
        <w:t>2. Time-limited operation attaches under this Agreement only to restrictive extraordinary measures (PTAs, emergency provisional measures, countermeasures, safeguards, and essential-security measures affecting trade) as an anti-weaponization discipline, and to transitional periods.</w:t>
      </w:r>
    </w:p>
    <w:p>
      <w:pPr>
        <w:pStyle w:val="Normal"/>
      </w:pPr>
      <w:r>
        <w:t>3. Where any provision of this Agreement fixes a review, the consequence of the review is continuation unless the Parties expressly decide otherwise; no protection terminates by default.</w:t>
      </w:r>
    </w:p>
    <w:p>
      <w:pPr>
        <w:pStyle w:val="Normal"/>
      </w:pPr>
      <w:r>
        <w:t>4. The No-Fade Guarantee applies to tariff rate schedules and trade concessions. Chapter 23-B enforcement shall ordinarily proceed through make-whole payments, Fund-directed assessments, corrective orders, and other financial remedies. A narrowly related suspension of treaty benefits authorized after exhaustion of those remedies under Article 23-B.11 and Chapter 31 is an enforcement measure rather than a lapse of the underlying commitment, and the suspended benefit shall be restored automatically upon verified cure.</w:t>
      </w:r>
    </w:p>
    <w:p>
      <w:pPr>
        <w:pStyle w:val="Heading2"/>
      </w:pPr>
      <w:bookmarkStart w:id="901208" w:name="_Toc300001207"/>
      <w:r>
        <w:t>Article 35.30: Continuity, Anti-Circumvention, and No Hostage Principle</w:t>
      </w:r>
      <w:bookmarkEnd w:id="901208"/>
    </w:p>
    <w:p>
      <w:pPr>
        <w:pStyle w:val="Normal"/>
      </w:pPr>
      <w:r>
        <w:t>1. A Party shall not condition the continued enjoyment of an existing right, preference, recognition, approval, status, or protection under this Agreement on the granting of a new or unrelated concession, except through an amendment or procedure expressly authorized by this Agreement.</w:t>
      </w:r>
    </w:p>
    <w:p>
      <w:pPr>
        <w:pStyle w:val="Normal"/>
      </w:pPr>
      <w:r>
        <w:t>2. A Party may not avoid an obligation of this Agreement merely by changing the domestic statutory authority, administrative form, legal label, agency, or stated rationale used to produce substantially the same trade-restrictive effect. Panels shall examine substance and effect while respecting the review boundaries applicable to genuine essential-security judgments.</w:t>
      </w:r>
    </w:p>
    <w:p>
      <w:pPr>
        <w:pStyle w:val="Normal"/>
      </w:pPr>
      <w:r>
        <w:t>3. Where a measure has been found inconsistent with this Agreement, a successor measure that is substantially equivalent in coverage, purpose, and trade effect is subject to expedited compliance review under Chapter 31 rather than requiring a new proceeding from the beginning.</w:t>
      </w:r>
    </w:p>
    <w:p>
      <w:pPr>
        <w:pStyle w:val="Heading2"/>
      </w:pPr>
      <w:bookmarkStart w:id="901209" w:name="_Toc300001208"/>
      <w:r>
        <w:t>Article 35.31: Narrowest-Sufficient-Remedy and Cure Ladder</w:t>
      </w:r>
      <w:bookmarkEnd w:id="901209"/>
    </w:p>
    <w:p>
      <w:pPr>
        <w:pStyle w:val="Normal"/>
      </w:pPr>
      <w:r>
        <w:t>1. Enforcement under this Agreement shall seek correction before punishment. Except where urgent action is necessary to prevent serious and irreparable harm, the sequence is: notice; consultation; reasonable cure opportunity; technical or mediated resolution where suitable; adjudication; compliance period; targeted administrative or financial remedy; suspension of narrowly related benefits; and broader countermeasures only where narrower measures are demonstrably ineffective.</w:t>
      </w:r>
    </w:p>
    <w:p>
      <w:pPr>
        <w:pStyle w:val="Normal"/>
      </w:pPr>
      <w:r>
        <w:t>2. A remedy shall be no broader than reasonably necessary to correct the verified inconsistency and shall, where practicable, remain connected to the affected measure, entity, transaction, or sector. Cross-sector suspension is a last resort and requires a reasoned finding that narrower remedies are impracticable or ineffective.</w:t>
      </w:r>
    </w:p>
    <w:p>
      <w:pPr>
        <w:pStyle w:val="Normal"/>
      </w:pPr>
      <w:r>
        <w:t>3. Every temporary countermeasure, emergency restriction, safeguard, or extraordinary trade restriction terminates automatically upon verified compliance or expiry of its expressly stated maximum duration. Ordinary treaty rights and preferences do not sunset.</w:t>
      </w:r>
    </w:p>
    <w:p>
      <w:pPr>
        <w:pStyle w:val="Heading2"/>
      </w:pPr>
      <w:bookmarkStart w:id="901210" w:name="_Toc300001209"/>
      <w:r>
        <w:t>Article 35.32: Extraordinary-Measure Transparency and Escrow</w:t>
      </w:r>
      <w:bookmarkEnd w:id="901210"/>
    </w:p>
    <w:p>
      <w:pPr>
        <w:pStyle w:val="Normal"/>
      </w:pPr>
      <w:r>
        <w:t>1. A Party adopting an extraordinary tariff, quota, safeguard, emergency restriction, or comparable measure affecting originating trade shall promptly publish the legal authority, goods or services affected, stated objective, factual basis to the extent non-confidential, effective date, expected duration, review date, and available challenge procedures.</w:t>
      </w:r>
    </w:p>
    <w:p>
      <w:pPr>
        <w:pStyle w:val="Normal"/>
      </w:pPr>
      <w:r>
        <w:t>2. Where a disputed extraordinary duty remains in force during expedited proceedings, the panel may order revenue attributable to the disputed increment to be held in a segregated escrow mechanism where administratively practicable. If the measure is found inconsistent, the amount is refunded with appropriate interest to the persons that bore the charge where reasonably identifiable; if the measure is upheld, the amount is released according to domestic law.</w:t>
      </w:r>
    </w:p>
    <w:p>
      <w:pPr>
        <w:pStyle w:val="Normal"/>
      </w:pPr>
      <w:r>
        <w:t>3. Failure to provide a required disclosure does not by itself create a broad right of retaliation. After notice and a reasonable cure period, a panel may draw an adverse inference concerning information uniquely within the non-disclosing Party’s control or suspend only the specific unverified treaty benefit to which the missing information is material.</w:t>
      </w:r>
    </w:p>
    <w:p>
      <w:pPr>
        <w:pStyle w:val="Heading2"/>
      </w:pPr>
      <w:bookmarkStart w:id="901211" w:name="_Toc300001210"/>
      <w:r>
        <w:t>ANNEX 35-A: PROPORTIONAL TRADE ADJUSTMENT CALCULATION METHODOLOGY</w:t>
      </w:r>
      <w:bookmarkEnd w:id="901211"/>
    </w:p>
    <w:p>
      <w:pPr>
        <w:pStyle w:val="Heading3"/>
      </w:pPr>
      <w:r>
        <w:t>Part 1: Quantification of the Verified Economic Distortion</w:t>
      </w:r>
    </w:p>
    <w:p>
      <w:pPr>
        <w:pStyle w:val="Normal"/>
      </w:pPr>
      <w:r>
        <w:t>1. The Verification Team shall quantify the distortion using the best available of the following measures, in descending order of preference:</w:t>
      </w:r>
    </w:p>
    <w:p>
      <w:pPr>
        <w:pStyle w:val="Normal"/>
      </w:pPr>
      <w:r>
        <w:t xml:space="preserve">(a) </w:t>
      </w:r>
      <w:r>
        <w:rPr>
          <w:b/>
        </w:rPr>
        <w:t>Subsidy margin:</w:t>
      </w:r>
      <w:r>
        <w:t xml:space="preserve"> the ad valorem benefit conferred by the subsidization, calculated as the benefit amount allocated over the relevant sales value of the affected goods.</w:t>
      </w:r>
    </w:p>
    <w:p>
      <w:pPr>
        <w:pStyle w:val="Normal"/>
      </w:pPr>
      <w:r>
        <w:t xml:space="preserve">(b) </w:t>
      </w:r>
      <w:r>
        <w:rPr>
          <w:b/>
        </w:rPr>
        <w:t>Dumping margin:</w:t>
      </w:r>
      <w:r>
        <w:t xml:space="preserve"> the weighted-average margin of dumping for the affected goods, calculated by comparison of normal value and export price in accordance with the methodology of the WTO Anti-Dumping Agreement as applied under Chapter 10.</w:t>
      </w:r>
    </w:p>
    <w:p>
      <w:pPr>
        <w:pStyle w:val="Normal"/>
      </w:pPr>
      <w:r>
        <w:t xml:space="preserve">(c) </w:t>
      </w:r>
      <w:r>
        <w:rPr>
          <w:b/>
        </w:rPr>
        <w:t>Price effect:</w:t>
      </w:r>
      <w:r>
        <w:t xml:space="preserve"> the percentage by which the verified conduct has suppressed, depressed, or distorted prices of the like goods in the affected market, estimated by an accepted economic methodology documented in the verification report.</w:t>
      </w:r>
    </w:p>
    <w:p>
      <w:pPr>
        <w:pStyle w:val="Normal"/>
      </w:pPr>
      <w:r>
        <w:t xml:space="preserve">(d) </w:t>
      </w:r>
      <w:r>
        <w:rPr>
          <w:b/>
        </w:rPr>
        <w:t>Volume effect:</w:t>
      </w:r>
      <w:r>
        <w:t xml:space="preserve"> where price effect cannot be reliably estimated, the verified excess of injurious import volume attributable to the distortion, converted to an ad valorem equivalent using a sector-specific pass-through estimate where reliable evidence exists.</w:t>
      </w:r>
    </w:p>
    <w:p>
      <w:pPr>
        <w:pStyle w:val="Normal"/>
      </w:pPr>
      <w:r>
        <w:t>2. Every quantification shall specify: the counterfactual baseline (the state of the market absent the distortion); the treatment of direct effects and of indirect effects, which are included only where demonstrated by evidence rather than presumed; the treatment of exchange-rate movements, lost sales, price suppression or depression, and subsidy incidence; and the data sources and assumptions used. General macroeconomic conditions, aggregate trade balances, and speculative effects shall not be included.</w:t>
      </w:r>
    </w:p>
    <w:p>
      <w:pPr>
        <w:pStyle w:val="Normal"/>
      </w:pPr>
      <w:r>
        <w:t>3. The Verification Team shall report a best estimate and an uncertainty band. Where the estimate is a range, the operative estimate for the purposes of Article 35.12.3 is the lower bound of the uncertainty band, unless the evidence supporting a higher estimate constitutes full confirmation under Annex 35-C, in which case the best estimate applies.</w:t>
      </w:r>
    </w:p>
    <w:p>
      <w:pPr>
        <w:pStyle w:val="Heading3"/>
      </w:pPr>
      <w:r>
        <w:t>Part 1A: Replicability, Causation, and Methodological Hierarchy</w:t>
      </w:r>
    </w:p>
    <w:p>
      <w:pPr>
        <w:pStyle w:val="Normal"/>
      </w:pPr>
      <w:r>
        <w:t>1. A quantification is sufficiently objective only if an independent qualified analyst, using the disclosed data and methodology, can reproduce the material result within the stated uncertainty band. The Verification Team shall publish a non-confidential replication memorandum.</w:t>
      </w:r>
    </w:p>
    <w:p>
      <w:pPr>
        <w:pStyle w:val="Normal"/>
      </w:pPr>
      <w:r>
        <w:t>2. Evidence shall be weighted in the following order unless a reasoned finding justifies departure: verified transaction-level data; audited firm or customs data; official statistics; independently validated sector data; and transparent modeled estimates. Unsupported assertions, aggregate trade balances, and politically selected benchmarks carry no evidentiary weight.</w:t>
      </w:r>
    </w:p>
    <w:p>
      <w:pPr>
        <w:pStyle w:val="Normal"/>
      </w:pPr>
      <w:r>
        <w:t>3. The counterfactual shall represent the most probable market outcome absent the verified conduct. It shall not assume perfect competition, unchanged exchange rates, constant demand, or other conditions contradicted by the evidence.</w:t>
      </w:r>
    </w:p>
    <w:p>
      <w:pPr>
        <w:pStyle w:val="Normal"/>
      </w:pPr>
      <w:r>
        <w:t>4. Causation shall separate the verified conduct from demand shifts, input-price changes, exchange-rate movements, business-cycle effects, technological change, lawful comparative advantage, and other demonstrated causes. Only injury reasonably attributable to the verified conduct enters the PTA calculation.</w:t>
      </w:r>
    </w:p>
    <w:p>
      <w:pPr>
        <w:pStyle w:val="Normal"/>
      </w:pPr>
      <w:r>
        <w:t>5. No effect may be counted more than once. Lost sales, price suppression, margin effects, subsidy incidence, downstream effects, and pass-through shall be reconciled to prevent duplication.</w:t>
      </w:r>
    </w:p>
    <w:p>
      <w:pPr>
        <w:pStyle w:val="Normal"/>
      </w:pPr>
      <w:r>
        <w:t>6. Every material model shall include sensitivity analysis identifying the variables that materially alter the result. Where reasonable alternative assumptions produce materially different outcomes, the uncertainty band shall encompass those outcomes unless the Panel explains their exclusion.</w:t>
      </w:r>
    </w:p>
    <w:p>
      <w:pPr>
        <w:pStyle w:val="Normal"/>
      </w:pPr>
      <w:r>
        <w:t>7. Sector-specific methodologies may be maintained in the Technical Schedule, but shall comply with this Annex and shall be reviewed at least every three years by independent economists nominated in equal number by the Parties.</w:t>
      </w:r>
    </w:p>
    <w:p>
      <w:pPr>
        <w:pStyle w:val="Normal"/>
      </w:pPr>
      <w:r>
        <w:t>8. Before a PTA based on a novel methodology becomes final, the methodology and calculation shall undergo independent replication by an expert not involved in the initial verification. Confidential information may be reviewed in camera under Annex 35-C.</w:t>
      </w:r>
    </w:p>
    <w:p>
      <w:pPr>
        <w:pStyle w:val="Heading3"/>
      </w:pPr>
      <w:r>
        <w:t>Part 2: Factor Ranges and Principles</w:t>
      </w:r>
    </w:p>
    <w:p>
      <w:pPr>
        <w:pStyle w:val="Normal"/>
      </w:pPr>
      <w:r>
        <w:t>1. The treaty-level calculation principles are: correction proportionate to measured distortion; escalation only with verified persistence; reduction with verified remediation; and conservatism in the face of uncertainty.</w:t>
      </w:r>
    </w:p>
    <w:p>
      <w:pPr>
        <w:pStyle w:val="Normal"/>
      </w:pPr>
      <w:r>
        <w:t>2. Within those principles, the factor ranges are:</w:t>
      </w:r>
    </w:p>
    <w:p>
      <w:pPr>
        <w:pStyle w:val="Normal"/>
      </w:pPr>
      <w:r>
        <w:t>(a) Severity Factor: 1.0 for Tier 2; 1.0 to 1.5 for Tier 3, fixed by the Verification Team by reference to the deliberateness and systematic character established under Article 35.11.3;</w:t>
      </w:r>
    </w:p>
    <w:p>
      <w:pPr>
        <w:pStyle w:val="Normal"/>
      </w:pPr>
      <w:r>
        <w:t>(b) Persistence Factor: 1.0 at inception, increasing by not more than 0.25 for each 90-day period of verified non-remediation, to a maximum of 2.0; and</w:t>
      </w:r>
    </w:p>
    <w:p>
      <w:pPr>
        <w:pStyle w:val="Normal"/>
      </w:pPr>
      <w:r>
        <w:t>(c) Remediation Factor: 0.0 (full remediation verified before imposition); 0.25 (substantial, 75 percent or more of the distortion eliminated); 0.5 (partial, 50 to 74 percent); 0.75 (preliminary, 25 to 49 percent); 1.0 (no remediation).</w:t>
      </w:r>
    </w:p>
    <w:p>
      <w:pPr>
        <w:pStyle w:val="Normal"/>
      </w:pPr>
      <w:r>
        <w:t>3. Specific coefficient values within these ranges, sector-specific pass-through estimates, and worked examples are maintained in the Technical Schedule to this Annex and may be updated by consensus through the Structured Technical Amendment Procedure in Article 34.3.A, provided that no update may exceed the ranges and maxima fixed in this Part, which are treaty-level commitments.</w:t>
      </w:r>
    </w:p>
    <w:p>
      <w:pPr>
        <w:pStyle w:val="Heading3"/>
      </w:pPr>
      <w:r>
        <w:t>Part 3: Worked Example</w:t>
      </w:r>
    </w:p>
    <w:p>
      <w:pPr>
        <w:pStyle w:val="Normal"/>
      </w:pPr>
      <w:r>
        <w:t>1. Suppose the Verification Team verifies a subsidy conferring a best-estimate 7 percent ad valorem benefit (uncertainty band 5.5 to 8.5 percent) on identified goods of three producers in a Party, classified Tier 2 (Severity Factor 1.0), at inception (Persistence Factor 1.0), with no remediation (Remediation Factor 1.0), on partial confirmation. The Maximum PTA equals 5.5 × 1.0 × 1.0 × 1.0 = 5.5 percent (lower bound), applicable only to the identified goods of the identified producers.</w:t>
      </w:r>
    </w:p>
    <w:p>
      <w:pPr>
        <w:pStyle w:val="Normal"/>
      </w:pPr>
      <w:r>
        <w:t>2. If, at day 120, verification establishes partial remediation eliminating 60 percent of the distortion (Remediation Factor 0.5), the Maximum PTA adjusts automatically to 5.5 × 1.0 × 1.25 × 0.5 = 3.44 percent, applied only to the unremediated portion of the identified trade.</w:t>
      </w:r>
    </w:p>
    <w:p>
      <w:pPr>
        <w:pStyle w:val="Normal"/>
      </w:pPr>
      <w:r>
        <w:t>3. Upon certification of complete remediation, the PTA equals zero and terminates automatically under Article 35.18.</w:t>
      </w:r>
    </w:p>
    <w:p>
      <w:pPr>
        <w:pStyle w:val="Heading3"/>
      </w:pPr>
      <w:r>
        <w:t>Part 4: Pass-Through</w:t>
      </w:r>
    </w:p>
    <w:p>
      <w:pPr>
        <w:pStyle w:val="Normal"/>
      </w:pPr>
      <w:r>
        <w:t>1. Where a volume-to-price conversion is required, the Verification Team shall use a documented, sector-specific pass-through estimate wherever reliable evidence exists. Only where such evidence is unavailable may the Team apply the rebuttable default value in the Technical Schedule, and the responding Party or an affected entity may rebut the default with credible sector evidence at any stage, including on appeal.</w:t>
      </w:r>
    </w:p>
    <w:p>
      <w:pPr>
        <w:pStyle w:val="Heading3"/>
      </w:pPr>
      <w:r>
        <w:t>Part 5: Data Requirements</w:t>
      </w:r>
    </w:p>
    <w:p>
      <w:pPr>
        <w:pStyle w:val="Normal"/>
      </w:pPr>
      <w:r>
        <w:t>1. Calculations under this Annex shall use data drawn from the Shared Trade Data Registry wherever available, supplemented by verified party submissions. Data standards, chain-of-custody, simultaneous-access, confidentiality, cybersecurity, and audit rules are set out in Annex 35-C.</w:t>
      </w:r>
    </w:p>
    <w:p>
      <w:pPr>
        <w:pStyle w:val="Heading2"/>
      </w:pPr>
      <w:bookmarkStart w:id="901212" w:name="_Toc300001211"/>
      <w:r>
        <w:t>ANNEX 35-B: TRADE MODULES AND STRATEGIC SECTORS</w:t>
      </w:r>
      <w:bookmarkEnd w:id="901212"/>
    </w:p>
    <w:p>
      <w:pPr>
        <w:pStyle w:val="Heading3"/>
      </w:pPr>
      <w:r>
        <w:t>Part 1: Trade Modules and the Dominant-Purpose Test</w:t>
      </w:r>
    </w:p>
    <w:p>
      <w:pPr>
        <w:pStyle w:val="Normal"/>
      </w:pPr>
      <w:r>
        <w:t>1. For the purposes of Article 35.15, trade between the Parties is organized into the following modules:</w:t>
      </w:r>
    </w:p>
    <w:p>
      <w:pPr>
        <w:pStyle w:val="Normal"/>
      </w:pPr>
      <w:r>
        <w:t>(a) Automotive: passenger vehicles, sport-utility vehicles, vans, pickup trucks and other light trucks, medium-duty trucks, heavy-duty trucks, buses, and parts and components thereof;</w:t>
      </w:r>
    </w:p>
    <w:p>
      <w:pPr>
        <w:pStyle w:val="Normal"/>
      </w:pPr>
      <w:r>
        <w:t xml:space="preserve">(b) </w:t>
      </w:r>
      <w:r>
        <w:rPr>
          <w:b/>
        </w:rPr>
        <w:t>Agriculture and Agri-Food:</w:t>
      </w:r>
      <w:r>
        <w:t xml:space="preserve"> agricultural goods, food products, beverages, and agricultural inputs, including dairy, poultry, eggs, and alcoholic beverages as sub-modules;</w:t>
      </w:r>
    </w:p>
    <w:p>
      <w:pPr>
        <w:pStyle w:val="Normal"/>
      </w:pPr>
      <w:r>
        <w:t xml:space="preserve">(c) </w:t>
      </w:r>
      <w:r>
        <w:rPr>
          <w:b/>
        </w:rPr>
        <w:t>Energy:</w:t>
      </w:r>
      <w:r>
        <w:t xml:space="preserve"> oil, gas, refined products, electricity, uranium, and energy equipment;</w:t>
      </w:r>
    </w:p>
    <w:p>
      <w:pPr>
        <w:pStyle w:val="Normal"/>
      </w:pPr>
      <w:r>
        <w:t xml:space="preserve">(d) </w:t>
      </w:r>
      <w:r>
        <w:rPr>
          <w:b/>
        </w:rPr>
        <w:t>Metals:</w:t>
      </w:r>
      <w:r>
        <w:t xml:space="preserve"> steel, aluminum, copper, and other base metals, and articles thereof;</w:t>
      </w:r>
    </w:p>
    <w:p>
      <w:pPr>
        <w:pStyle w:val="Normal"/>
      </w:pPr>
      <w:r>
        <w:t xml:space="preserve">(e) </w:t>
      </w:r>
      <w:r>
        <w:rPr>
          <w:b/>
        </w:rPr>
        <w:t>Critical Minerals and Batteries:</w:t>
      </w:r>
      <w:r>
        <w:t xml:space="preserve"> goods within Chapter 37;</w:t>
      </w:r>
    </w:p>
    <w:p>
      <w:pPr>
        <w:pStyle w:val="Normal"/>
      </w:pPr>
      <w:r>
        <w:t xml:space="preserve">(f) </w:t>
      </w:r>
      <w:r>
        <w:rPr>
          <w:b/>
        </w:rPr>
        <w:t>Digital and Technology:</w:t>
      </w:r>
      <w:r>
        <w:t xml:space="preserve"> digital products, semiconductors, electronics, telecommunications equipment, and technology services;</w:t>
      </w:r>
    </w:p>
    <w:p>
      <w:pPr>
        <w:pStyle w:val="Normal"/>
      </w:pPr>
      <w:r>
        <w:t xml:space="preserve">(g) </w:t>
      </w:r>
      <w:r>
        <w:rPr>
          <w:b/>
        </w:rPr>
        <w:t>Services:</w:t>
      </w:r>
      <w:r>
        <w:t xml:space="preserve"> cross-border services, financial services, and temporary entry;</w:t>
      </w:r>
    </w:p>
    <w:p>
      <w:pPr>
        <w:pStyle w:val="Normal"/>
      </w:pPr>
      <w:r>
        <w:t xml:space="preserve">(h) </w:t>
      </w:r>
      <w:r>
        <w:rPr>
          <w:b/>
        </w:rPr>
        <w:t>Government Procurement:</w:t>
      </w:r>
      <w:r>
        <w:t xml:space="preserve"> procurement within Chapter 13; and</w:t>
      </w:r>
    </w:p>
    <w:p>
      <w:pPr>
        <w:pStyle w:val="Normal"/>
      </w:pPr>
      <w:r>
        <w:t xml:space="preserve">(i) </w:t>
      </w:r>
      <w:r>
        <w:rPr>
          <w:b/>
        </w:rPr>
        <w:t>General Goods:</w:t>
      </w:r>
      <w:r>
        <w:t xml:space="preserve"> all goods not assigned to another module.</w:t>
      </w:r>
    </w:p>
    <w:p>
      <w:pPr>
        <w:pStyle w:val="Normal"/>
      </w:pPr>
      <w:r>
        <w:t>2. A distortion is assigned to the module in which the affected trade principally occurs. Where a good or distortion plausibly falls within more than one module (including batteries, semiconductors, and other multi-module products) assignment is determined by the dominant purpose of the affected trade: the module corresponding to the good’s principal economic character and principal use in the affected trade flow, as determined by the Verification Panel by reference to tariff classification, end use, and value composition. A party to the proceeding may challenge an assignment under Article 31.A, and the burden rests on the Party advocating the broader assignment.</w:t>
      </w:r>
    </w:p>
    <w:p>
      <w:pPr>
        <w:pStyle w:val="Normal"/>
      </w:pPr>
      <w:r>
        <w:t>3. Sub-modules operate as modules for the purposes of Article 35.15. For greater certainty, a distortion verified in the dairy sub-module does not authorize a measure in the agriculture module generally, and a distortion verified in the agriculture module does not authorize a measure in the automotive module.</w:t>
      </w:r>
    </w:p>
    <w:p>
      <w:pPr>
        <w:pStyle w:val="Normal"/>
      </w:pPr>
      <w:r>
        <w:t>4. No Party shall invoke module assignment strategically to multiply remedies against the same trade; Article 35.13A applies to integrated products.</w:t>
      </w:r>
    </w:p>
    <w:p>
      <w:pPr>
        <w:pStyle w:val="Heading3"/>
      </w:pPr>
      <w:r>
        <w:t>Part 2: Strategic Sectors</w:t>
      </w:r>
    </w:p>
    <w:p>
      <w:pPr>
        <w:pStyle w:val="Normal"/>
      </w:pPr>
      <w:r>
        <w:t>1. The following are designated Strategic Sectors for the purposes of</w:t>
      </w:r>
    </w:p>
    <w:p>
      <w:pPr>
        <w:pStyle w:val="Normal"/>
      </w:pPr>
      <w:r>
        <w:t>Article 35.23: automotive goods and parts; steel and aluminum; critical minerals; energy and electricity; grid equipment; advanced compute infrastructure; grid-scale energy storage; high-voltage transformers and power electronics; data-centre cooling and high-speed networking equipment; semiconductors; batteries; pharmaceuticals and medical goods; agricultural inputs and food staples; and telecommunications infrastructure.</w:t>
      </w:r>
    </w:p>
    <w:p>
      <w:pPr>
        <w:pStyle w:val="Normal"/>
      </w:pPr>
      <w:r>
        <w:t>2. The Commission may, by consensus, designate additional Strategic Sectors or remove designations, and shall publish each designation in the Registry.</w:t>
      </w:r>
    </w:p>
    <w:p>
      <w:pPr>
        <w:pStyle w:val="Heading3"/>
      </w:pPr>
      <w:r>
        <w:t>Part 3: Essential Inputs</w:t>
      </w:r>
    </w:p>
    <w:p>
      <w:pPr>
        <w:pStyle w:val="Normal"/>
      </w:pPr>
      <w:r>
        <w:t>1. The Secretariat's Treaty Integrity function, in consultation with the Committee on Competitiveness, shall maintain and publish a list of inputs essential to integrated North American production, reviewed at least annually.</w:t>
      </w:r>
    </w:p>
    <w:p>
      <w:pPr>
        <w:pStyle w:val="Normal"/>
      </w:pPr>
      <w:r>
        <w:t>2. Listing is based on documented dependency, absence of reasonably available North American substitutes, and systemic disruption risk.</w:t>
      </w:r>
    </w:p>
    <w:p>
      <w:pPr>
        <w:pStyle w:val="Normal"/>
      </w:pPr>
      <w:r>
        <w:t>3. The Committee may designate specified grid-restoration, electricity-storage, telecommunications-restoration, and compute-continuity equipment as essential inputs where documented regional shortage, dependency, or resilience need satisfies paragraph 2.</w:t>
      </w:r>
    </w:p>
    <w:p>
      <w:pPr>
        <w:pStyle w:val="Heading2"/>
      </w:pPr>
      <w:bookmarkStart w:id="901213" w:name="_Toc300001212"/>
      <w:r>
        <w:t>ANNEX 35-C: SHARED TRADE DATA REGISTRY AND VERIFICATION DATA STANDARDS</w:t>
      </w:r>
      <w:bookmarkEnd w:id="901213"/>
    </w:p>
    <w:p>
      <w:pPr>
        <w:pStyle w:val="Heading3"/>
      </w:pPr>
      <w:r>
        <w:t>Part 1: The Registry</w:t>
      </w:r>
    </w:p>
    <w:p>
      <w:pPr>
        <w:pStyle w:val="Normal"/>
      </w:pPr>
      <w:r>
        <w:t>1. The Treaty Integrity Secretariat shall operate the Shared Trade Data Registry as a secure trilateral data system.</w:t>
      </w:r>
    </w:p>
    <w:p>
      <w:pPr>
        <w:pStyle w:val="Normal"/>
      </w:pPr>
      <w:r>
        <w:t>2. Each Party shall transmit to the Registry, on a continuing and simultaneous basis, the trade data categories established by the Commission under Article 35.28, including anonymized import and entry data for designated strategic goods, origin certification metadata, and such further categories as the Parties adopt by consensus.</w:t>
      </w:r>
    </w:p>
    <w:p>
      <w:pPr>
        <w:pStyle w:val="Normal"/>
      </w:pPr>
      <w:r>
        <w:t xml:space="preserve">3. All Registry data shall be: (a) </w:t>
      </w:r>
      <w:r>
        <w:rPr>
          <w:b/>
        </w:rPr>
        <w:t>simultaneous</w:t>
      </w:r>
      <w:r>
        <w:t xml:space="preserve">, transmitted to each Party with identical latency; (b) </w:t>
      </w:r>
      <w:r>
        <w:rPr>
          <w:b/>
        </w:rPr>
        <w:t>unalterable</w:t>
      </w:r>
      <w:r>
        <w:t xml:space="preserve">, logged with cryptographic chain-of-custody, with no party able to modify, delete, or redact logged data; (c) </w:t>
      </w:r>
      <w:r>
        <w:rPr>
          <w:b/>
        </w:rPr>
        <w:t>transparent as between the Parties</w:t>
      </w:r>
      <w:r>
        <w:t xml:space="preserve">, accessible to each Party, the Verification Panel, and the Treaty Integrity Secretariat, subject to the confidentiality tiers in Part 4; and (d) </w:t>
      </w:r>
      <w:r>
        <w:rPr>
          <w:b/>
        </w:rPr>
        <w:t>non-attributable for political purposes</w:t>
      </w:r>
      <w:r>
        <w:t>, collected and used for technical verification only.</w:t>
      </w:r>
    </w:p>
    <w:p>
      <w:pPr>
        <w:pStyle w:val="Normal"/>
      </w:pPr>
      <w:r>
        <w:t>4. The Registry retains logged data for not less than seven years, subject to the data-minimization and retention schedule adopted under Part 5. Any Party may request an independent forensic audit of any data segment; the auditor is selected from the Joint List and completes the audit within 30 days. The requesting Party bears the audit cost unless the audit reveals material manipulation, in which case the manipulating Party bears all costs.</w:t>
      </w:r>
    </w:p>
    <w:p>
      <w:pPr>
        <w:pStyle w:val="Normal"/>
      </w:pPr>
      <w:r>
        <w:t>5. Persistent failure by a Party to meet Registry data quality standards (defined as three or more consecutive formatting or integrity alerts within any 72-hour period) constitutes a technical failure subject to technical review, and, if unresolved for 14 days, a Tier 1 classification under Article 35.11.</w:t>
      </w:r>
    </w:p>
    <w:p>
      <w:pPr>
        <w:pStyle w:val="Heading3"/>
      </w:pPr>
      <w:r>
        <w:t>Part 2: Verification Procedures</w:t>
      </w:r>
    </w:p>
    <w:p>
      <w:pPr>
        <w:pStyle w:val="Normal"/>
      </w:pPr>
      <w:r>
        <w:t>1. Verification Teams apply the data standards of this Annex. The unalterable, cryptographically sealed data stream constitutes the golden record against which claims are assessed.</w:t>
      </w:r>
    </w:p>
    <w:p>
      <w:pPr>
        <w:pStyle w:val="Normal"/>
      </w:pPr>
      <w:r>
        <w:t>2. Confirmation levels are assigned as follows: full confirmation (95 percent or greater data alignment with the golden record, or equivalent documentary certainty); partial confirmation (50 to 94 percent); no confirmation (below 50 percent).</w:t>
      </w:r>
    </w:p>
    <w:p>
      <w:pPr>
        <w:pStyle w:val="Normal"/>
      </w:pPr>
      <w:r>
        <w:t>3. Where Registry data is incomplete for a matter, the Verification Team shall rely on certified party submissions, inspections, and third-party data, and shall record the resulting uncertainty band in accordance with Annex 35-A.</w:t>
      </w:r>
    </w:p>
    <w:p>
      <w:pPr>
        <w:pStyle w:val="Heading3"/>
      </w:pPr>
      <w:r>
        <w:t>Part 3: Cybersecurity and System Safeguards</w:t>
      </w:r>
    </w:p>
    <w:p>
      <w:pPr>
        <w:pStyle w:val="Normal"/>
      </w:pPr>
      <w:r>
        <w:t>1. Registry systems shall meet the cybersecurity standards adopted by the Committee on Digital Trade Cooperation, including encryption in transit and at rest, role-based access controls, continuous monitoring, and independent penetration testing at least annually.</w:t>
      </w:r>
    </w:p>
    <w:p>
      <w:pPr>
        <w:pStyle w:val="Normal"/>
      </w:pPr>
      <w:r>
        <w:t>2. The Registry maintains immutable audit logs of every access, query, and export; the logs are available to each Party as respects accesses to data it supplied.</w:t>
      </w:r>
    </w:p>
    <w:p>
      <w:pPr>
        <w:pStyle w:val="Normal"/>
      </w:pPr>
      <w:r>
        <w:t>3. A confirmed breach of the Registry shall be notified to all Parties within 72 hours, with an assessment of the data affected.</w:t>
      </w:r>
    </w:p>
    <w:p>
      <w:pPr>
        <w:pStyle w:val="Heading3"/>
      </w:pPr>
      <w:r>
        <w:t>Part 4: Confidential Business Information, Access Tiers</w:t>
      </w:r>
    </w:p>
    <w:p>
      <w:pPr>
        <w:pStyle w:val="Normal"/>
      </w:pPr>
      <w:r>
        <w:t>1. Confidential business information in the Registry or in verification proceedings is classified into tiers:</w:t>
      </w:r>
    </w:p>
    <w:p>
      <w:pPr>
        <w:pStyle w:val="Normal"/>
      </w:pPr>
      <w:r>
        <w:t xml:space="preserve">(a) </w:t>
      </w:r>
      <w:r>
        <w:rPr>
          <w:b/>
        </w:rPr>
        <w:t>Tier C-1 (public):</w:t>
      </w:r>
      <w:r>
        <w:t xml:space="preserve"> aggregate and anonymized data, published reports;</w:t>
      </w:r>
    </w:p>
    <w:p>
      <w:pPr>
        <w:pStyle w:val="Normal"/>
      </w:pPr>
      <w:r>
        <w:t xml:space="preserve">(b) </w:t>
      </w:r>
      <w:r>
        <w:rPr>
          <w:b/>
        </w:rPr>
        <w:t>Tier C-2 (Party-confidential):</w:t>
      </w:r>
      <w:r>
        <w:t xml:space="preserve"> identifiable entry-level and certification data, accessible to the customs and verification authorities of each Party for verification purposes only;</w:t>
      </w:r>
    </w:p>
    <w:p>
      <w:pPr>
        <w:pStyle w:val="Normal"/>
      </w:pPr>
      <w:r>
        <w:t xml:space="preserve">(c) </w:t>
      </w:r>
      <w:r>
        <w:rPr>
          <w:b/>
        </w:rPr>
        <w:t>Tier C-3 (restricted):</w:t>
      </w:r>
      <w:r>
        <w:t xml:space="preserve"> transaction-level commercial data, pricing, supply contracts, sourcing detail, and production costing, accessible only to the Verification Team members assigned to the specific matter, under confidentiality undertakings; and</w:t>
      </w:r>
    </w:p>
    <w:p>
      <w:pPr>
        <w:pStyle w:val="Normal"/>
      </w:pPr>
      <w:r>
        <w:t xml:space="preserve">(d) </w:t>
      </w:r>
      <w:r>
        <w:rPr>
          <w:b/>
        </w:rPr>
        <w:t>Tier C-4 (national custody):</w:t>
      </w:r>
      <w:r>
        <w:t xml:space="preserve"> information a Party’s law requires to remain within its national customs systems, which does not leave those systems and is instead examined on-site or through summarized, certified extracts.</w:t>
      </w:r>
    </w:p>
    <w:p>
      <w:pPr>
        <w:pStyle w:val="Normal"/>
      </w:pPr>
      <w:r>
        <w:t>2. In any report or public document, confidential business information is protected; entities receive access to evidence concerning them in accordance with Article 35.10A, with Tier C-3 information of other entities disclosed only through counsel-confidential procedures where the Verification Team considers it necessary.</w:t>
      </w:r>
    </w:p>
    <w:p>
      <w:pPr>
        <w:pStyle w:val="Normal"/>
      </w:pPr>
      <w:r>
        <w:t>3. Misuse of confidential business information by any official or verifier results in removal from the relevant roster or function, notification to the affected entity, and referral to the appropriate national authority; the Party of the official concerned shall report the disposition to the Secretariat's Treaty Integrity function and to the Commission at its next treaty-integrity session.</w:t>
      </w:r>
    </w:p>
    <w:p>
      <w:pPr>
        <w:pStyle w:val="Heading3"/>
      </w:pPr>
      <w:r>
        <w:t>Part 5: Data Minimization and Retention</w:t>
      </w:r>
    </w:p>
    <w:p>
      <w:pPr>
        <w:pStyle w:val="Normal"/>
      </w:pPr>
      <w:r>
        <w:t>1. The Commission, on recommendation of the Secretariat's Treaty Integrity function, shall adopt within 12 months a data-minimization standard (no data category is collected unless a defined verification function requires it) and a retention schedule (data is retained no longer than its verification function requires, subject to the seven-year maximum audit horizon in Part 1.4).</w:t>
      </w:r>
    </w:p>
    <w:p>
      <w:pPr>
        <w:pStyle w:val="Heading3"/>
      </w:pPr>
      <w:r>
        <w:t>Part 6: System Failure, Alternative Evidence, and Continuity</w:t>
      </w:r>
    </w:p>
    <w:p>
      <w:pPr>
        <w:pStyle w:val="Normal"/>
      </w:pPr>
      <w:r>
        <w:t>1. The Registry is an evidentiary and administrative tool, not a condition precedent to a substantive treaty right. Outage, cyber incident, data corruption, delayed interoperability, or failure of a Party to transmit required data does not suspend preferential treatment or stop a treaty deadline.</w:t>
      </w:r>
    </w:p>
    <w:p>
      <w:pPr>
        <w:pStyle w:val="Normal"/>
      </w:pPr>
      <w:r>
        <w:t>2. During a Registry impairment, Verification Teams shall use the best available reliable evidence, including national customs records, certified commercial records, third-party audit material, supplier declarations, physical inspection, and statistically valid sampling. The Team shall document the evidentiary substitution and resulting uncertainty.</w:t>
      </w:r>
    </w:p>
    <w:p>
      <w:pPr>
        <w:pStyle w:val="Normal"/>
      </w:pPr>
      <w:r>
        <w:t>3. A trader that timely provides reliable alternative evidence shall not suffer an adverse inference merely because the Registry, another Party, or a shared technical platform failed.</w:t>
      </w:r>
    </w:p>
    <w:p>
      <w:pPr>
        <w:pStyle w:val="Normal"/>
      </w:pPr>
      <w:r>
        <w:t>4. The Secretariat shall maintain tested continuity procedures, including offline submission channels, secure national-custody review, backup authentication methods, and a restoration-time objective. A material outage lasting more than 24 hours triggers public notice and activation of the continuity procedure.</w:t>
      </w:r>
    </w:p>
    <w:p>
      <w:pPr>
        <w:pStyle w:val="Normal"/>
      </w:pPr>
      <w:r>
        <w:t>5. No technical committee may delay an operative treaty right by failing to adopt a data standard. Until a standard is adopted, the most recent compatible standard or the default evidentiary rules in this Part apply.</w:t>
      </w:r>
    </w:p>
    <w:p>
      <w:pPr>
        <w:pStyle w:val="Heading2"/>
      </w:pPr>
      <w:bookmarkStart w:id="901214" w:name="_Toc300001213"/>
      <w:r>
        <w:t>Article 35.36: No Uncompensated Front-Loading and Synchronized Exchange</w:t>
      </w:r>
      <w:bookmarkEnd w:id="901214"/>
    </w:p>
    <w:p>
      <w:pPr>
        <w:pStyle w:val="Normal"/>
      </w:pPr>
      <w:r>
        <w:t>1. Where an adopted schedule, settlement, side instrument, or implementation package expressly identifies two or more obligations or benefits as reciprocal consideration for one another, the paired obligations shall, to the maximum extent practicable, take effect concurrently or upon objectively matched milestones. No Party shall be required to deliver a material paired concession substantially in advance of the corresponding benefit unless it expressly accepts the sequencing in the applicable instrument.</w:t>
      </w:r>
    </w:p>
    <w:p>
      <w:pPr>
        <w:pStyle w:val="Normal"/>
      </w:pPr>
      <w:r>
        <w:t>2. A paired instrument shall identify, where practicable: (a) the obligations or benefits treated as linked; (b) the activation milestone for each; (c) any permitted implementation interval; (d) the evidence sufficient to establish performance; and (e) the proportionate consequence of verified non-performance. Silence shall not be interpreted to create an unlimited obligation to perform first.</w:t>
      </w:r>
    </w:p>
    <w:p>
      <w:pPr>
        <w:pStyle w:val="Normal"/>
      </w:pPr>
      <w:r>
        <w:t>3. Ordinary administrative delay, customs-system failure, permitting delay, force majeure, judicial review, labor disruption, safety requirement, or other circumstance outside a Party’s reasonable control shall not be treated as deliberate non-performance. The reviewing authority shall distinguish temporary implementation friction from refusal, evasion, or material failure to perform.</w:t>
      </w:r>
    </w:p>
    <w:p>
      <w:pPr>
        <w:pStyle w:val="Normal"/>
      </w:pPr>
      <w:r>
        <w:t>4. Unless urgent circumstances require a narrower provisional response, the default sequence shall be: notice and evidence exchange; accelerated factual verification; a short and reasonable cure period; proportional pause or step-back of only the paired obligation or benefit materially affected; and automatic earn-back or restoration when verified performance resumes.</w:t>
      </w:r>
    </w:p>
    <w:p>
      <w:pPr>
        <w:pStyle w:val="Normal"/>
      </w:pPr>
      <w:r>
        <w:t>5. A pause or step-back under this Article shall not authorize retaliation against an unrelated sector, Party, producer, or transaction. The Module Firewall, Narrowest-Sufficient-Remedy Rule, essential-supply safeguards, and Cothrom evidentiary disciplines remain applicable.</w:t>
      </w:r>
    </w:p>
    <w:p>
      <w:pPr>
        <w:pStyle w:val="Normal"/>
      </w:pPr>
      <w:r>
        <w:t>6. Where one Party has already substantially performed an irreversible or commercially consumed concession and the paired benefit fails, the Parties shall use restoration, equivalent prospective value, escrow, compensation, accelerated normalization, or another mutually agreed mechanism reasonably capable of preventing uncompensated performance.</w:t>
      </w:r>
    </w:p>
    <w:p>
      <w:pPr>
        <w:pStyle w:val="Normal"/>
      </w:pPr>
      <w:r>
        <w:t>7. This Article applies symmetrically to Canada, Mexico, and the United States and shall not be interpreted as creating a Canada-specific sequencing privilege.</w:t>
      </w:r>
    </w:p>
    <w:p>
      <w:pPr>
        <w:pStyle w:val="Heading2"/>
      </w:pPr>
      <w:bookmarkStart w:id="901215" w:name="_Toc300001214"/>
      <w:r>
        <w:t>Article 35.37: North American Demerit and Preference Step-Back System</w:t>
      </w:r>
      <w:bookmarkEnd w:id="901215"/>
    </w:p>
    <w:p>
      <w:pPr>
        <w:pStyle w:val="Normal"/>
      </w:pPr>
      <w:r>
        <w:t>1. Purpose. The Parties establish a demerit system to convert verified noncompliance into graduated, reversible, and behavior-linked consequences without default recourse to tariffs. Demerits quantify compliance history; they do not constitute criminal, punitive, or moral judgments.</w:t>
      </w:r>
    </w:p>
    <w:p>
      <w:pPr>
        <w:pStyle w:val="Normal"/>
      </w:pPr>
      <w:r>
        <w:t>2. Assessment. Demerits may be assessed only after Cothrom verification establishes the underlying event and its responsible Party, module, severity, persistence, and remediation status. Allegation alone produces no demerits.</w:t>
      </w:r>
    </w:p>
    <w:p>
      <w:pPr>
        <w:pStyle w:val="Normal"/>
      </w:pPr>
      <w:r>
        <w:t>3. No double counting. A single event receives points under the single most appropriate category. Continuing conduct is treated as one event unless a fresh material act occurs after notice and a reasonable cure opportunity.</w:t>
      </w:r>
    </w:p>
    <w:p>
      <w:pPr>
        <w:pStyle w:val="Normal"/>
      </w:pPr>
      <w:r>
        <w:t>4. Active-point window. Unless Annex 35-G provides otherwise, demerits remain active for 180 days and then expire automatically if the responsible Party has returned to verified compliance. A new material violation does not revive expired points.</w:t>
      </w:r>
    </w:p>
    <w:p>
      <w:pPr>
        <w:pStyle w:val="Normal"/>
      </w:pPr>
      <w:r>
        <w:t>5. Module attachment. Demerits attach to the trade module in which the verified breach principally occurs. They shall not be used to punish unrelated sectors, producers, workers, consumers, or transactions.</w:t>
      </w:r>
    </w:p>
    <w:p>
      <w:pPr>
        <w:pStyle w:val="Normal"/>
      </w:pPr>
      <w:r>
        <w:t>6. Consequence ladder. Subject to Annex 35-G: (a) 0-2 active points: cure, record, and ordinary monitoring only; (b) 3-4 points: formal compliance notice and enhanced verification; (c) 5-6 points: temporary 5 percent reduction of an affected enhanced preference; (d) 7-8 points: temporary 10 percent reduction; (e) 9-10 points: temporary 15 percent reduction; and (f) 11 or more points: temporary 20 percent reduction and eligibility for Stage 7 review. A reduction is measured against the value, quantity, duration, priority, credit, facilitation, or other measurable dimension of the enhanced preference, not as a customs duty.</w:t>
      </w:r>
    </w:p>
    <w:p>
      <w:pPr>
        <w:pStyle w:val="Normal"/>
      </w:pPr>
      <w:r>
        <w:t>7. Zero-duty floor. A demerit consequence shall never be converted into a tariff, border surcharge, tariff-rate equivalent, or monetized border charge. Ordinary tariff preference for an originating good remains at the rate otherwise required by this Agreement.</w:t>
      </w:r>
    </w:p>
    <w:p>
      <w:pPr>
        <w:pStyle w:val="Normal"/>
      </w:pPr>
      <w:r>
        <w:t>8. Carrot nexus. The preference reduced shall, to the maximum extent practicable, be one earned, enhanced, optional, expedited, priority, investment-linked, procurement, quota-enhancement, facilitation, strategic-access, or comparable treaty-created benefit connected to the verified breach. If no suitable preference exists, the Panel shall use Stage 4 compensation or another non-tariff remedy before considering Article 35.38.</w:t>
      </w:r>
    </w:p>
    <w:p>
      <w:pPr>
        <w:pStyle w:val="Normal"/>
      </w:pPr>
      <w:r>
        <w:t>9. Challenge and correction. A Party may challenge a demerit assessment within 14 days. A differently constituted Cothrom review team shall decide the challenge within 21 days. Erroneous points are voided retroactively and any consequence attributable solely to them is reversed or compensated.</w:t>
      </w:r>
    </w:p>
    <w:p>
      <w:pPr>
        <w:pStyle w:val="Normal"/>
      </w:pPr>
      <w:r>
        <w:t>10. Earn-back. Verified cure immediately stops further escalation. Preference step-backs restore automatically under Article 35.18 after the applicable clean-compliance period. Exceptional cooperation or verified over-compliance may accelerate restoration but shall not create negative demerits or credits usable to excuse a future breach.</w:t>
      </w:r>
    </w:p>
    <w:p>
      <w:pPr>
        <w:pStyle w:val="Heading2"/>
      </w:pPr>
      <w:bookmarkStart w:id="901216" w:name="_Toc300001215"/>
      <w:r>
        <w:t>Article 35.38: Tariff Quarantine and Absolute Last-Resort Test</w:t>
      </w:r>
      <w:bookmarkEnd w:id="901216"/>
    </w:p>
    <w:p>
      <w:pPr>
        <w:pStyle w:val="Normal"/>
      </w:pPr>
      <w:r>
        <w:t>1. No Party may impose, increase, restore, extend, or threaten a tariff against originating goods of another Party as a remedy under this Agreement unless a Rotating Neutral Guarantor Panel authorizes the measure under this Article and Articles 35.39 and 35.40.</w:t>
      </w:r>
    </w:p>
    <w:p>
      <w:pPr>
        <w:pStyle w:val="Normal"/>
      </w:pPr>
      <w:r>
        <w:t>2. A tariff petition is admissible only after the initiating Party demonstrates, by clear and convincing evidence, that: (a) Cothrom has verified a material and persistent breach; (b) the applicable cure period has expired; (c) Stages 0 through 7 of Article 35.16 have been exhausted, are legally unavailable, or are demonstrably incapable of preventing serious continuing harm; (d) the proposed tariff has a direct nexus to the affected module; and (e) no reasonably available materially less harmful non-tariff remedy is likely to achieve timely compliance. Any assertion that an earlier stage is demonstrably incapable of preventing serious continuing harm must satisfy Article 35.47 and may not rest solely on speculative future loss, political urgency, or the petitioning Party's preferred remedy.</w:t>
      </w:r>
    </w:p>
    <w:p>
      <w:pPr>
        <w:pStyle w:val="Normal"/>
      </w:pPr>
      <w:r>
        <w:t>3. Political urgency, electoral pressure, bilateral trade deficits, revenue objectives, negotiating leverage, migration disputes, narcotics disputes, dissatisfaction with an unrelated domestic policy, or a desire to maximize economic pain shall not satisfy paragraph 2.</w:t>
      </w:r>
    </w:p>
    <w:p>
      <w:pPr>
        <w:pStyle w:val="Normal"/>
      </w:pPr>
      <w:r>
        <w:t>4. A tariff petition shall identify the precise goods, rate, expected collections, affected supply chains, intended compliance objective, maximum duration, restoration condition, and economic-incidence analysis required by Article 35.40.</w:t>
      </w:r>
    </w:p>
    <w:p>
      <w:pPr>
        <w:pStyle w:val="Normal"/>
      </w:pPr>
      <w:r>
        <w:t>5. The petitioning Party bears the burden throughout. Silence, abstention, delay, or failure of the guarantor panel to reach the required vote constitutes denial of tariff authorization.</w:t>
      </w:r>
    </w:p>
    <w:p>
      <w:pPr>
        <w:pStyle w:val="Heading2"/>
      </w:pPr>
      <w:bookmarkStart w:id="901217" w:name="_Toc300001216"/>
      <w:r>
        <w:t>Article 35.39: Rotating Neutral Guarantor Panel</w:t>
      </w:r>
      <w:bookmarkEnd w:id="901217"/>
    </w:p>
    <w:p>
      <w:pPr>
        <w:pStyle w:val="Normal"/>
      </w:pPr>
      <w:r>
        <w:t>1. A tariff petition under Articles 35.38 through 35.40 shall be decided by an ad hoc five-member Exceptional Tariff Authorization Panel drawn from the approved Guarantor Pool in Annex 35-H. The panel exists only for the petition for which it is constituted, receives administrative support from the existing Secretariat, and is not a permanent treaty body. Consenting Guarantor States participate independently of the Parties solely for the limited authorization function established by this Chapter.</w:t>
      </w:r>
    </w:p>
    <w:p>
      <w:pPr>
        <w:pStyle w:val="Normal"/>
      </w:pPr>
      <w:r>
        <w:t>2. Approval requires at least four affirmative votes of the five guarantors. A tariff exceeding 10 percent ad valorem, or equivalent, requires unanimous approval and in no event may an authorized tariff exceed 15 percent.</w:t>
      </w:r>
    </w:p>
    <w:p>
      <w:pPr>
        <w:pStyle w:val="Normal"/>
      </w:pPr>
      <w:r>
        <w:t>3. No Guarantor State that served on the immediately preceding tariff-authorization panel may serve on the next tariff-authorization panel. After one intervening panel, that State becomes eligible again unless otherwise recused.</w:t>
      </w:r>
    </w:p>
    <w:p>
      <w:pPr>
        <w:pStyle w:val="Normal"/>
      </w:pPr>
      <w:r>
        <w:t>4. Selection shall be by the transparent stratified random-draw method in Annex 35-H, administered ministerially by the Secretariat without discretion to select a preferred guarantor, seeking where practicable one eligible member from Europe, one from Asia-Pacific, one from Latin America or the Caribbean, one from Africa or the Middle East, and one unrestricted seat. No North American Party may hand-select a guarantor for a tariff petition.</w:t>
      </w:r>
    </w:p>
    <w:p>
      <w:pPr>
        <w:pStyle w:val="Normal"/>
      </w:pPr>
      <w:r>
        <w:t>5. Before the draw, a Guarantor State shall be excluded or recused where it has a material direct commercial, ownership, procurement, commodity, litigation, or transaction-specific interest in the matter, or another circumstance creating a reasonable apprehension of bias. Ordinary diplomatic relations, trade, alliance membership, or membership in an international organization does not alone require recusal. A contested recusal shall be decided only under Article 35.42; neither a Party nor the challenged Guarantor State may determine the challenge.</w:t>
      </w:r>
    </w:p>
    <w:p>
      <w:pPr>
        <w:pStyle w:val="Normal"/>
      </w:pPr>
      <w:r>
        <w:t>6. If recusals or non-availability prevent a geographically stratified panel, the Secretariat shall draw from the remaining eligible pool while preserving five independent members. No dispute shall fail for lack of a particular regional seat.</w:t>
      </w:r>
    </w:p>
    <w:p>
      <w:pPr>
        <w:pStyle w:val="Normal"/>
      </w:pPr>
      <w:r>
        <w:t>7. A Party shall not retaliate against, threaten, reward, induce, condition unrelated benefits for, coerce, or otherwise penalize or advantage a Guarantor State, its representative, or a covered associated person because of a vote, anticipated vote, reasoning, participation, refusal to authorize a tariff, or good-faith performance under this Chapter. Articles 35.42 through 35.45 govern integrity review and consequences.</w:t>
      </w:r>
    </w:p>
    <w:p>
      <w:pPr>
        <w:pStyle w:val="Normal"/>
      </w:pPr>
      <w:r>
        <w:t>8. Guarantor decisions shall be reasoned and public, subject to protection of classified and confidential information. Each member shall state whether the necessity, proportionality, nexus, burden, duration, and less-harmful-alternative tests are satisfied.</w:t>
      </w:r>
    </w:p>
    <w:p>
      <w:pPr>
        <w:pStyle w:val="Heading2"/>
      </w:pPr>
      <w:bookmarkStart w:id="901218" w:name="_Toc300001217"/>
      <w:r>
        <w:t>Article 35.40: Tariff Authorization Limits, Burden Test, Sunset, and Renewal</w:t>
      </w:r>
      <w:bookmarkEnd w:id="901218"/>
    </w:p>
    <w:p>
      <w:pPr>
        <w:pStyle w:val="Normal"/>
      </w:pPr>
      <w:r>
        <w:t>1. An authorized tariff is temporary compliance security, not punishment. It shall be the lowest rate and narrowest coverage reasonably capable of addressing the verified breach.</w:t>
      </w:r>
    </w:p>
    <w:p>
      <w:pPr>
        <w:pStyle w:val="Normal"/>
      </w:pPr>
      <w:r>
        <w:t>2. Rate ceilings. Ordinary last-resort authorization shall not exceed 5 percent ad valorem or equivalent. A serious persistent Tier 3 breach may support authorization up to 10 percent. A rate above 10 percent and not exceeding 15 percent is reserved for an exceptional systemic breach and requires unanimous guarantor approval. No authority under this Agreement permits a tariff above 15 percent on originating goods.</w:t>
      </w:r>
    </w:p>
    <w:p>
      <w:pPr>
        <w:pStyle w:val="Normal"/>
      </w:pPr>
      <w:r>
        <w:t>3. Tariff Burden Test. Before authorization, the Panel shall assess the reasonably foreseeable incidence of the proposed tariff on consumers, workers, SMEs, downstream manufacturers, integrated supply chains, food and energy security, critical infrastructure, inflation, and the petitioning Party's own economy. A tariff shall be denied or narrowed where its expected collateral cost is grossly disproportionate to its expected compliance benefit. The Panel shall also consider aggregate concurrent corrective burdens under Article 35.50 and shall use only harm estimates validated under Article 35.48.</w:t>
      </w:r>
    </w:p>
    <w:p>
      <w:pPr>
        <w:pStyle w:val="Normal"/>
      </w:pPr>
      <w:r>
        <w:t>4. Humanitarian firewall. Article 35.35 applies without exception. Essential medicines, life-saving humanitarian goods, disaster-response supplies, and other protected goods may not be tariff targets.</w:t>
      </w:r>
    </w:p>
    <w:p>
      <w:pPr>
        <w:pStyle w:val="Normal"/>
      </w:pPr>
      <w:r>
        <w:t>5. Duration. An authorization expires automatically after 30 days unless the Panel authorizes up to 60 days on a reasoned finding that the shorter period is insufficient. No authorization may exceed 60 days.</w:t>
      </w:r>
    </w:p>
    <w:p>
      <w:pPr>
        <w:pStyle w:val="Normal"/>
      </w:pPr>
      <w:r>
        <w:t>6. Cure termination. The tariff terminates immediately when Cothrom verifies the underlying breach has been cured, even if time remains in the authorization.</w:t>
      </w:r>
    </w:p>
    <w:p>
      <w:pPr>
        <w:pStyle w:val="Normal"/>
      </w:pPr>
      <w:r>
        <w:t>7. Renewal. Renewal requires a fresh Cothrom verification of continuing breach and a newly constituted five-member guarantor panel. No member of the expiring authorization panel may serve on the renewal panel. Renewal is not automatic and carries the same voting threshold, burden test, rate ceiling, and sunset.</w:t>
      </w:r>
    </w:p>
    <w:p>
      <w:pPr>
        <w:pStyle w:val="Normal"/>
      </w:pPr>
      <w:r>
        <w:t>8. No tariff threat before authorization. A Party may state that it has filed or intends to file a tariff petition, but shall not announce a rate as decided, issue an ultimatum conditioned on tariff imposition, or use prospective tariff authority as bargaining leverage before authorization.</w:t>
      </w:r>
    </w:p>
    <w:p>
      <w:pPr>
        <w:pStyle w:val="Normal"/>
      </w:pPr>
      <w:r>
        <w:t>9. Relationship to Article 35.34. Every authorized tariff remains subject to the Corrective Tariff Budget and Lockout. The lower ceiling or stricter safeguard controls.</w:t>
      </w:r>
    </w:p>
    <w:p>
      <w:pPr>
        <w:pStyle w:val="Heading2"/>
      </w:pPr>
      <w:bookmarkStart w:id="901219" w:name="_Toc300001218"/>
      <w:r>
        <w:t>Article 35.41: Three-Year Joint Study on Complete Elimination of Intra-North-American Tariffs</w:t>
      </w:r>
      <w:bookmarkEnd w:id="901219"/>
    </w:p>
    <w:p>
      <w:pPr>
        <w:pStyle w:val="Normal"/>
      </w:pPr>
      <w:r>
        <w:t>1. The Parties shall conduct a joint evidence-based study, completed no later than the third anniversary of entry into force of the Protocol of Modernization, to determine whether tariffs on originating goods between the Parties should be abolished entirely as a corrective, emergency, security, retaliatory, safeguard, antidumping, countervailing, or other intra-North-American trade instrument and replaced by non-tariff compliance mechanisms.</w:t>
      </w:r>
    </w:p>
    <w:p>
      <w:pPr>
        <w:pStyle w:val="Normal"/>
      </w:pPr>
      <w:r>
        <w:t>2. The study shall be conducted jointly by the Parties with participation by independent economists, customs specialists, trade-law experts, labor and consumer representatives, SMEs, producers, downstream users, Indigenous representatives where relevant, and a balanced sample of consenting Guarantor States.</w:t>
      </w:r>
    </w:p>
    <w:p>
      <w:pPr>
        <w:pStyle w:val="Normal"/>
      </w:pPr>
      <w:r>
        <w:t>3. The study shall evaluate at minimum: (a) every intra-Party tariff imposed, requested, authorized, denied, or avoided during the study period; (b) use and effectiveness of Cothrom, demerits, preference step-back, compensation, escrow, procurement, verification, and earn-back; (c) consumer-price and inflation effects; (d) employment, investment, productivity, supply-chain and fiscal effects; (e) effects on small businesses and integrated manufacturers; (f) national-security and emergency performance; (g) dumping, subsidization, circumvention, and non-market-distortion cases; (h) administrative cost and dispute duration; and (i) whether any legitimate objective materially required a tariff rather than a less harmful instrument.</w:t>
      </w:r>
    </w:p>
    <w:p>
      <w:pPr>
        <w:pStyle w:val="Normal"/>
      </w:pPr>
      <w:r>
        <w:t>4. The study shall separately distinguish tariffs used for ordinary protection, trade remedies, retaliation, national security, emergency action, negotiating leverage, and revenue. Opposition to foreign tariffs shall not be treated as proof of support for abolition of domestic tariffs.</w:t>
      </w:r>
    </w:p>
    <w:p>
      <w:pPr>
        <w:pStyle w:val="Normal"/>
      </w:pPr>
      <w:r>
        <w:t>5. Public consultation. The Secretariat shall conduct public consultations in Canada, Mexico, and the United States and publish non-confidential evidence, methodology, minority views, and country-specific findings.</w:t>
      </w:r>
    </w:p>
    <w:p>
      <w:pPr>
        <w:pStyle w:val="Normal"/>
      </w:pPr>
      <w:r>
        <w:t>6. Abolition recommendation. The final report shall state whether the evidence supports: (a) complete abolition of tariffs on originating intra-North-American trade; (b) abolition of punitive and corrective tariffs while retaining narrowly defined trade-remedy categories; (c) continuation of the last-resort guarantor architecture; or (d) another evidence-supported model. The report shall identify the legal amendments and transition rules required for each recommended option.</w:t>
      </w:r>
    </w:p>
    <w:p>
      <w:pPr>
        <w:pStyle w:val="Normal"/>
      </w:pPr>
      <w:r>
        <w:t>7. Presumption from successful non-use. If no tariff has been authorized under Articles 35.38 through 35.40 during the preceding 24 months, or if the study finds that every material compliance matter was resolved through less harmful mechanisms, the report shall include a specific finding on whether continued tariff authority remains necessary.</w:t>
      </w:r>
    </w:p>
    <w:p>
      <w:pPr>
        <w:pStyle w:val="Normal"/>
      </w:pPr>
      <w:r>
        <w:t>8. Decision. Within 180 days after publication of the study, the Commission shall convene a special ministerial review devoted solely to the future of intra-North-American tariffs. Any abolition or further restriction shall be adopted through the treaty amendment procedure and shall preserve the Parties' rights with respect to non-Parties unless expressly agreed otherwise.</w:t>
      </w:r>
    </w:p>
    <w:p>
      <w:pPr>
        <w:pStyle w:val="Heading2"/>
      </w:pPr>
      <w:bookmarkStart w:id="901220" w:name="_Toc300001219"/>
      <w:r>
        <w:t>Article 35.42: Guarantor Integrity Firewall and Anti-Inducement Rule</w:t>
      </w:r>
      <w:bookmarkEnd w:id="901220"/>
    </w:p>
    <w:p>
      <w:pPr>
        <w:pStyle w:val="Normal"/>
      </w:pPr>
      <w:r>
        <w:t>1. Independence principle. A tariff authorization is valid only if the guarantor process is free from bribery, coercion, undisclosed material inducement, strategic recusal manipulation, improper ex parte advocacy, and material conflicts of interest.</w:t>
      </w:r>
    </w:p>
    <w:p>
      <w:pPr>
        <w:pStyle w:val="Normal"/>
      </w:pPr>
      <w:r>
        <w:t>2. Prohibited conduct. No Party, ministry, agency, state enterprise, public authority, official, agent, intermediary, or person acting at the direction, request, or knowing benefit of a Party may directly or indirectly offer, promise, arrange, solicit, authorize, condition, withhold, accelerate, or confer a material benefit or detriment for the purpose of influencing a guarantor selection, recusal, vote, reasoning, timing, or other performance under Articles 35.38 through 35.40.</w:t>
      </w:r>
    </w:p>
    <w:p>
      <w:pPr>
        <w:pStyle w:val="Normal"/>
      </w:pPr>
      <w:r>
        <w:t>3. Covered benefits include money, gifts, loans, investment commitments, procurement awards, regulatory favors, sanctions relief, market-access concessions, development finance, security assistance, visas, appointments, employment, consulting arrangements, board positions, preferential access, campaign or political support where unlawful or material, benefits to close associated persons, and any other thing of material value. Ordinary pre-existing diplomacy and commerce are not prohibited merely because a tariff proceeding exists.</w:t>
      </w:r>
    </w:p>
    <w:p>
      <w:pPr>
        <w:pStyle w:val="Normal"/>
      </w:pPr>
      <w:r>
        <w:t>4. Connection standard. A prohibited inducement may be established by direct evidence or by clear and convincing circumstantial evidence showing purpose, coordination, timing, concealment, unusual departure from ordinary practice, or other facts that materially connect the benefit or detriment to the proceeding. Mere temporal proximity is insufficient by itself.</w:t>
      </w:r>
    </w:p>
    <w:p>
      <w:pPr>
        <w:pStyle w:val="Normal"/>
      </w:pPr>
      <w:r>
        <w:t>5. Anti-evasion. A Party shall not do indirectly through a corporation, lobbyist, foundation, sovereign wealth vehicle, political intermediary, third State, private person, or other channel what it could not lawfully do directly.</w:t>
      </w:r>
    </w:p>
    <w:p>
      <w:pPr>
        <w:pStyle w:val="Normal"/>
      </w:pPr>
      <w:r>
        <w:t>6. Petitioning-Party consequence. If an independent Integrity Panel finds that the petitioning Party, or a person acting at its direction or with its knowing participation, committed a material prohibited inducement or coercion, the pending tariff petition is dismissed with prejudice for 180 days as to the same underlying breach. Any tariff already authorized but not yet collected is void. Any tariff already in collection terminates immediately, without prejudice to lawful non-tariff remedies.</w:t>
      </w:r>
    </w:p>
    <w:p>
      <w:pPr>
        <w:pStyle w:val="Normal"/>
      </w:pPr>
      <w:r>
        <w:t>7. No false-flag dismissal. Paragraph 6 does not apply where another Party, a private actor, or a guarantor independently attempted corruption without the petitioning Party's direction, authorization, knowing participation, or later knowing adoption. Such conduct is handled under Article 35.45.</w:t>
      </w:r>
    </w:p>
    <w:p>
      <w:pPr>
        <w:pStyle w:val="Normal"/>
      </w:pPr>
      <w:r>
        <w:t>8. Demerits for integrity breach. A verified material integrity breach by a Party constitutes an independent Tier 3 treaty-integrity violation and may receive demerits under Article 35.37 in addition to dismissal of the tariff petition.</w:t>
      </w:r>
    </w:p>
    <w:p>
      <w:pPr>
        <w:pStyle w:val="Heading2"/>
      </w:pPr>
      <w:bookmarkStart w:id="901221" w:name="_Toc300001220"/>
      <w:r>
        <w:t>Article 35.43: Communications Docket, Ex Parte Firewall, and Equality of Arms</w:t>
      </w:r>
      <w:bookmarkEnd w:id="901221"/>
    </w:p>
    <w:p>
      <w:pPr>
        <w:pStyle w:val="Normal"/>
      </w:pPr>
      <w:r>
        <w:t>1. Once a tariff petition is filed, all substantive communications concerning the merits, evidence, desired outcome, recusal, rate, duration, or economic consequences between a Party and a sitting guarantor shall occur through the Secretariat's secure proceeding docket or in a proceeding at which all Parties have equal notice and opportunity to participate.</w:t>
      </w:r>
    </w:p>
    <w:p>
      <w:pPr>
        <w:pStyle w:val="Normal"/>
      </w:pPr>
      <w:r>
        <w:t>2. A substantive oral communication occurring inadvertently or for urgent administrative reasons shall be memorialized on the docket within 24 hours. Pure scheduling, security, translation, travel, or technical-administration communications need not be publicly docketed but shall be logged.</w:t>
      </w:r>
    </w:p>
    <w:p>
      <w:pPr>
        <w:pStyle w:val="Normal"/>
      </w:pPr>
      <w:r>
        <w:t>3. No Party may privately lobby a sitting guarantor concerning the merits. A guarantor receiving an attempted prohibited ex parte communication shall terminate the communication and report it to the Secretariat within 24 hours.</w:t>
      </w:r>
    </w:p>
    <w:p>
      <w:pPr>
        <w:pStyle w:val="Normal"/>
      </w:pPr>
      <w:r>
        <w:t>4. All merits submissions provided to a guarantor shall be simultaneously available to the other Parties, subject to lawful protection of classified, privileged, personal, commercially confidential, or security-sensitive information.</w:t>
      </w:r>
    </w:p>
    <w:p>
      <w:pPr>
        <w:pStyle w:val="Normal"/>
      </w:pPr>
      <w:r>
        <w:t>5. Classified evidence shall not create a one-sided evidentiary advantage. Where material evidence cannot lawfully be disclosed to another Party, the Secretariat shall appoint an appropriately security-cleared independent special advocate or equivalent protected reviewer to test relevance, reliability, necessity, and exculpatory context. No tariff may be authorized solely on undisclosed evidence that has not received such adversarial or independent testing.</w:t>
      </w:r>
    </w:p>
    <w:p>
      <w:pPr>
        <w:pStyle w:val="Normal"/>
      </w:pPr>
      <w:r>
        <w:t>6. Each Party shall receive a meaningful opportunity to answer the factual and economic case against it. A guarantor panel may draw an adverse inference from deliberate withholding or destruction of evidence, but not from a Party's lawful inability to disclose protected information where an approved substitute procedure is used.</w:t>
      </w:r>
    </w:p>
    <w:p>
      <w:pPr>
        <w:pStyle w:val="Heading2"/>
      </w:pPr>
      <w:bookmarkStart w:id="901222" w:name="_Toc300001221"/>
      <w:r>
        <w:t>Article 35.44: Guarantor Financial Integrity, Disclosure, Gifts, and Cooling-Off</w:t>
      </w:r>
      <w:bookmarkEnd w:id="901222"/>
    </w:p>
    <w:p>
      <w:pPr>
        <w:pStyle w:val="Normal"/>
      </w:pPr>
      <w:r>
        <w:t>1. Before service, each designated guarantor representative and alternate shall file a confidential financial-interest and relationship disclosure sufficient to identify material interests in the disputing Parties, affected sector, principal firms, commodities, procurement, litigation, and transactions. The Secretariat shall publish a non-confidential conflict statement.</w:t>
      </w:r>
    </w:p>
    <w:p>
      <w:pPr>
        <w:pStyle w:val="Normal"/>
      </w:pPr>
      <w:r>
        <w:t>2. During selection eligibility and service, a representative shall not accept a gift, payment, travel benefit beyond approved proceeding expenses, hospitality of material value, employment discussion, consulting engagement, board opportunity, investment opportunity not generally available, or comparable personal benefit from a disputing Party or materially interested private actor.</w:t>
      </w:r>
    </w:p>
    <w:p>
      <w:pPr>
        <w:pStyle w:val="Normal"/>
      </w:pPr>
      <w:r>
        <w:t>3. A representative shall disclose relevant interests of a spouse or domestic partner, dependent child, controlled entity, business partner, or other close associated person where the representative knows or reasonably should know that the interest could create a material conflict. This paragraph does not require disclosure of unrelated private information.</w:t>
      </w:r>
    </w:p>
    <w:p>
      <w:pPr>
        <w:pStyle w:val="Normal"/>
      </w:pPr>
      <w:r>
        <w:t>4. For two years after a representative's final service in a tariff proceeding, the representative shall not accept compensated employment, a board seat, consultancy, or extraordinary personal benefit from a disputing government or a private actor that had a material direct interest in that proceeding, unless an independent Integrity Panel determines that the arrangement is unrelated and does not create a reasonable appearance of deferred compensation.</w:t>
      </w:r>
    </w:p>
    <w:p>
      <w:pPr>
        <w:pStyle w:val="Normal"/>
      </w:pPr>
      <w:r>
        <w:t>5. Guarantor States shall disclose extraordinary discretionary bilateral benefits announced, negotiated, or materially accelerated between themselves and a petitioning Party from 90 days before panel selection until one year after final disposition where the benefit exceeds thresholds established in Annex 35-I. Disclosure triggers review where warranted; it does not create a presumption of guilt.</w:t>
      </w:r>
    </w:p>
    <w:p>
      <w:pPr>
        <w:pStyle w:val="Normal"/>
      </w:pPr>
      <w:r>
        <w:t>6. The Parties shall not freeze ordinary diplomacy, trade, aid, security cooperation, or investment during the temporal firewall. The purpose of paragraph 5 is transparency around extraordinary discretionary changes, not paralysis of normal interstate relations.</w:t>
      </w:r>
    </w:p>
    <w:p>
      <w:pPr>
        <w:pStyle w:val="Heading2"/>
      </w:pPr>
      <w:bookmarkStart w:id="901223" w:name="_Toc300001222"/>
      <w:r>
        <w:t>Article 35.45: Integrity Panel, Tainted Panel Rule, Recusal Review, and Remedies</w:t>
      </w:r>
      <w:bookmarkEnd w:id="901223"/>
    </w:p>
    <w:p>
      <w:pPr>
        <w:pStyle w:val="Normal"/>
      </w:pPr>
      <w:r>
        <w:t>1. For integrity review under Articles 35.42 through 35.45, the Secretariat shall maintain a qualification list of consenting Guarantor States and independent experts with demonstrated ethics, anti-corruption, adjudicative, or public-law expertise. The list is an administrative eligibility pool, not a permanent institution. No person or State sitting on the challenged tariff panel may decide an integrity allegation concerning that panel.</w:t>
      </w:r>
    </w:p>
    <w:p>
      <w:pPr>
        <w:pStyle w:val="Normal"/>
      </w:pPr>
      <w:r>
        <w:t>2. A contested recusal, alleged inducement, coercion, post-vote reward, improper ex parte contact, financial conflict, or strategic recusal challenge shall be decided by an ad hoc three-member Integrity Review Panel selected by random draw from eligible persons or States not involved in the tariff proceeding. The panel dissolves on final disposition of the matter, and no disputing Party may select a member.</w:t>
      </w:r>
    </w:p>
    <w:p>
      <w:pPr>
        <w:pStyle w:val="Normal"/>
      </w:pPr>
      <w:r>
        <w:t>3. Strategic-recusal safeguard. A Party challenging a guarantor shall identify the specific conflict and supporting evidence. Filing a challenge does not permit that Party to choose, rank, or influence the replacement. If recusal is ordered, the replacement shall be randomly drawn from the same regional category where practicable.</w:t>
      </w:r>
    </w:p>
    <w:p>
      <w:pPr>
        <w:pStyle w:val="Normal"/>
      </w:pPr>
      <w:r>
        <w:t>4. Tainted Panel Rule. If a guarantor representative is materially compromised without direction, authorization, knowing participation, or knowing adoption by the petitioning Party, that representative is removed, the affected vote is void, and a replacement is randomly drawn. The proceeding resumes from the point necessary to cure the taint.</w:t>
      </w:r>
    </w:p>
    <w:p>
      <w:pPr>
        <w:pStyle w:val="Normal"/>
      </w:pPr>
      <w:r>
        <w:t>5. Petitioning-party taint. If the petitioning Party caused, authorized, knowingly participated in, or knowingly adopted the material corruption or coercion, Article 35.42.6 applies and the petition is dismissed. A replacement panel shall not cure petitioning-party taint.</w:t>
      </w:r>
    </w:p>
    <w:p>
      <w:pPr>
        <w:pStyle w:val="Normal"/>
      </w:pPr>
      <w:r>
        <w:t>6. Post-decision reward review. An extraordinary benefit arising after a vote may be investigated where credible evidence indicates possible deferred consideration. Timing alone is insufficient. If deferred consideration is established, the affected vote is void and appropriate remedies under paragraphs 4 or 5 apply.</w:t>
      </w:r>
    </w:p>
    <w:p>
      <w:pPr>
        <w:pStyle w:val="Normal"/>
      </w:pPr>
      <w:r>
        <w:t>7. Economic intimidation. A pattern of unusual inspections, licensing delays, procurement exclusions, visa actions, sanctions, assistance changes, or other governmental treatment may constitute coercion where clear and convincing evidence shows it was materially intended to influence or punish guarantor performance. Legitimate independently supported enforcement remains permissible.</w:t>
      </w:r>
    </w:p>
    <w:p>
      <w:pPr>
        <w:pStyle w:val="Normal"/>
      </w:pPr>
      <w:r>
        <w:t>8. Interim protection. Where credible evidence indicates a serious integrity threat, the Integrity Panel may temporarily suspend deliberation or implementation for up to 14 days while conducting expedited review. An interim suspension does not imply guilt.</w:t>
      </w:r>
    </w:p>
    <w:p>
      <w:pPr>
        <w:pStyle w:val="Normal"/>
      </w:pPr>
      <w:r>
        <w:t>9. Transparency. Final integrity determinations shall be reasoned and public, subject to protection of classified, personal, investigatory, and confidential information.</w:t>
      </w:r>
    </w:p>
    <w:p>
      <w:pPr>
        <w:pStyle w:val="Heading2"/>
      </w:pPr>
      <w:bookmarkStart w:id="901224" w:name="_Toc300001223"/>
      <w:r>
        <w:t>ANNEX 35-I: GUARANTOR INTEGRITY OPERATING RULES</w:t>
      </w:r>
      <w:bookmarkEnd w:id="901224"/>
    </w:p>
    <w:p>
      <w:pPr>
        <w:pStyle w:val="Normal"/>
      </w:pPr>
      <w:r>
        <w:t>Part 1: Integrity Register</w:t>
      </w:r>
    </w:p>
    <w:p>
      <w:pPr>
        <w:pStyle w:val="Normal"/>
      </w:pPr>
      <w:r>
        <w:t>1. The Secretariat shall maintain a secure register of panel composition, recusals, docketed communications, conflict disclosures, extraordinary-benefit disclosures, integrity challenges, findings, and cooling-off certifications.</w:t>
      </w:r>
    </w:p>
    <w:p>
      <w:pPr>
        <w:pStyle w:val="Normal"/>
      </w:pPr>
      <w:r>
        <w:t>2. Public portions of the register shall be searchable and published promptly enough to permit meaningful scrutiny without exposing protected information.</w:t>
      </w:r>
    </w:p>
    <w:p>
      <w:pPr>
        <w:pStyle w:val="Normal"/>
      </w:pPr>
      <w:r>
        <w:t>Part 2: Extraordinary-Benefit Screening</w:t>
      </w:r>
    </w:p>
    <w:p>
      <w:pPr>
        <w:pStyle w:val="Normal"/>
      </w:pPr>
      <w:r>
        <w:t>1. The Commission shall establish objective disclosure thresholds for extraordinary discretionary benefits, taking account of the size of the guarantor economy, normal bilateral flows, pre-existing commitments, and the nature of the benefit.</w:t>
      </w:r>
    </w:p>
    <w:p>
      <w:pPr>
        <w:pStyle w:val="Normal"/>
      </w:pPr>
      <w:r>
        <w:t>2. A benefit is not suspicious merely because it is large. Relevant indicators include unusual timing, secrecy, departure from established policy, absence of ordinary process, linkage language, intermediary communications, and disproportionate benefit to a decision-maker or associated person.</w:t>
      </w:r>
    </w:p>
    <w:p>
      <w:pPr>
        <w:pStyle w:val="Normal"/>
      </w:pPr>
      <w:r>
        <w:t>Part 3: Representative Code</w:t>
      </w:r>
    </w:p>
    <w:p>
      <w:pPr>
        <w:pStyle w:val="Normal"/>
      </w:pPr>
      <w:r>
        <w:t>1. Representatives shall sign an independence declaration before receiving the merits record and a post-service certification after final disposition.</w:t>
      </w:r>
    </w:p>
    <w:p>
      <w:pPr>
        <w:pStyle w:val="Normal"/>
      </w:pPr>
      <w:r>
        <w:t>2. Representatives shall receive only standardized proceeding compensation and reimbursable expenses established in advance by the Commission. No disputing Party may supplement that compensation.</w:t>
      </w:r>
    </w:p>
    <w:p>
      <w:pPr>
        <w:pStyle w:val="Normal"/>
      </w:pPr>
      <w:r>
        <w:t>3. Knowingly false material disclosure is grounds for removal and Integrity Panel review.</w:t>
      </w:r>
    </w:p>
    <w:p>
      <w:pPr>
        <w:pStyle w:val="Heading2"/>
      </w:pPr>
      <w:bookmarkStart w:id="901225" w:name="_Toc300001224"/>
      <w:r>
        <w:t>Article 35.46: Objective Cure Certification and Compliance Finality</w:t>
      </w:r>
      <w:bookmarkEnd w:id="901225"/>
    </w:p>
    <w:p>
      <w:pPr>
        <w:pStyle w:val="Normal"/>
      </w:pPr>
      <w:r>
        <w:t>1. A Party claiming to have cured a verified breach may request Cure Certification from a Cothrom Cure Panel differently constituted from the panel that made the original merits finding where practicable.</w:t>
      </w:r>
    </w:p>
    <w:p>
      <w:pPr>
        <w:pStyle w:val="Normal"/>
      </w:pPr>
      <w:r>
        <w:t>2. The Cure Panel shall compare the operative finding, the precise obligation breached, the remedial steps taken, and the present facts. It shall certify: full cure; substantial but incomplete cure; temporary cure subject to specified verification; or non-cure.</w:t>
      </w:r>
    </w:p>
    <w:p>
      <w:pPr>
        <w:pStyle w:val="Normal"/>
      </w:pPr>
      <w:r>
        <w:t>3. A certification of full cure is binding for purposes of demerits, escalation, tariff admissibility, and restoration unless materially new facts show that the certified condition ceased to exist or the certification was procured by fraud.</w:t>
      </w:r>
    </w:p>
    <w:p>
      <w:pPr>
        <w:pStyle w:val="Normal"/>
      </w:pPr>
      <w:r>
        <w:t>4. A petitioning Party may not keep a cured violation alive through disagreement with the certified result. New conduct after certification must be pleaded and verified as a new or renewed breach.</w:t>
      </w:r>
    </w:p>
    <w:p>
      <w:pPr>
        <w:pStyle w:val="Normal"/>
      </w:pPr>
      <w:r>
        <w:t>5. Cure review shall ordinarily conclude within 21 days. Where continued uncertainty itself causes material commercial harm, the Panel shall use expedited procedures.</w:t>
      </w:r>
    </w:p>
    <w:p>
      <w:pPr>
        <w:pStyle w:val="Heading2"/>
      </w:pPr>
      <w:bookmarkStart w:id="901226" w:name="_Toc300001225"/>
      <w:r>
        <w:t>Article 35.47: Strict Exhaustion and Non-Tariff Incapacity Test</w:t>
      </w:r>
      <w:bookmarkEnd w:id="901226"/>
    </w:p>
    <w:p>
      <w:pPr>
        <w:pStyle w:val="Normal"/>
      </w:pPr>
      <w:r>
        <w:t>1. The phrase 'demonstrably incapable of preventing serious continuing harm' in Article 35.38 is an exceptional bypass standard and shall be construed narrowly.</w:t>
      </w:r>
    </w:p>
    <w:p>
      <w:pPr>
        <w:pStyle w:val="Normal"/>
      </w:pPr>
      <w:r>
        <w:t>2. A Party seeking to bypass an uncompleted non-tariff stage must establish by clear and convincing evidence that the stage cannot reasonably operate within the time needed to prevent material, non-speculative, and substantially irreversible harm.</w:t>
      </w:r>
    </w:p>
    <w:p>
      <w:pPr>
        <w:pStyle w:val="Normal"/>
      </w:pPr>
      <w:r>
        <w:t>3. Increased cost, reduced profit, political inconvenience, market volatility, delay inherent in ordinary adjudication, or a modelled possibility of future investment loss does not by itself establish incapacity.</w:t>
      </w:r>
    </w:p>
    <w:p>
      <w:pPr>
        <w:pStyle w:val="Normal"/>
      </w:pPr>
      <w:r>
        <w:t>4. The Party must identify the stage to be bypassed, the expected time to effect, the harm expected during that interval, why interim protection is inadequate, and why a narrower acceleration or provisional non-tariff measure would not materially address the risk.</w:t>
      </w:r>
    </w:p>
    <w:p>
      <w:pPr>
        <w:pStyle w:val="Normal"/>
      </w:pPr>
      <w:r>
        <w:t>5. The Panel shall prefer acceleration, escrow, temporary administrative relief, preservation orders, provisional preference adjustments, or other reversible measures over bypass to a tariff.</w:t>
      </w:r>
    </w:p>
    <w:p>
      <w:pPr>
        <w:pStyle w:val="Heading2"/>
      </w:pPr>
      <w:bookmarkStart w:id="901227" w:name="_Toc300001226"/>
      <w:r>
        <w:t>Article 35.48: Economic Harm, Causation, and Model Integrity Standard</w:t>
      </w:r>
      <w:bookmarkEnd w:id="901227"/>
    </w:p>
    <w:p>
      <w:pPr>
        <w:pStyle w:val="Normal"/>
      </w:pPr>
      <w:r>
        <w:t>1. Economic injury supporting escalation shall be measured under transparent common methodology adopted by the Commission and applied symmetrically to all Parties.</w:t>
      </w:r>
    </w:p>
    <w:p>
      <w:pPr>
        <w:pStyle w:val="Normal"/>
      </w:pPr>
      <w:r>
        <w:t>2. Harm estimates shall distinguish observed loss from forecast loss; direct from indirect effects; transfers from net welfare loss; temporary from persistent effects; and treaty-caused effects from macroeconomic, technological, commodity-price, exchange-rate, business-cycle, or third-country causes.</w:t>
      </w:r>
    </w:p>
    <w:p>
      <w:pPr>
        <w:pStyle w:val="Normal"/>
      </w:pPr>
      <w:r>
        <w:t>3. No estimate may double count the same economic effect through multiple multipliers, supply-chain layers, employment channels, tax effects, or counterfactual assumptions.</w:t>
      </w:r>
    </w:p>
    <w:p>
      <w:pPr>
        <w:pStyle w:val="Normal"/>
      </w:pPr>
      <w:r>
        <w:t>4. Material models shall disclose assumptions, data sources, ranges, sensitivity analysis, uncertainty, alternative reasonable specifications, and the extent to which results depend on disputed inputs, subject to lawful confidentiality.</w:t>
      </w:r>
    </w:p>
    <w:p>
      <w:pPr>
        <w:pStyle w:val="Normal"/>
      </w:pPr>
      <w:r>
        <w:t>5. The Secretariat shall arrange independent replication or technical review of any model materially relied upon to justify Stage 7 or Stage 8 escalation. A model that cannot be independently reproduced within a reasonable range shall receive reduced evidentiary weight.</w:t>
      </w:r>
    </w:p>
    <w:p>
      <w:pPr>
        <w:pStyle w:val="Normal"/>
      </w:pPr>
      <w:r>
        <w:t>6. Forecasts beyond the period reasonably necessary to evaluate the breach shall not be capitalized into present injury merely to enlarge the apparent harm.</w:t>
      </w:r>
    </w:p>
    <w:p>
      <w:pPr>
        <w:pStyle w:val="Heading2"/>
      </w:pPr>
      <w:bookmarkStart w:id="901228" w:name="_Toc300001227"/>
      <w:r>
        <w:t>Article 35.49: Strategic-Nexus and Market-Definition Safeguards</w:t>
      </w:r>
      <w:bookmarkEnd w:id="901228"/>
    </w:p>
    <w:p>
      <w:pPr>
        <w:pStyle w:val="Normal"/>
      </w:pPr>
      <w:r>
        <w:t>1. Mere use of a good, service, material, technology, or input in defense, critical infrastructure, emergency systems, strategic manufacturing, food, energy, communications, health, or another sensitive sector does not by itself establish an essential-security or strategic-capacity threat.</w:t>
      </w:r>
    </w:p>
    <w:p>
      <w:pPr>
        <w:pStyle w:val="Normal"/>
      </w:pPr>
      <w:r>
        <w:t>2. A strategic claim requires evidence of a concrete vulnerability such as material capacity loss, credible supply interruption, hostile or coercive dependency, inability to substitute within a relevant period, physical or cyber vulnerability, reserve inadequacy, or another specifically demonstrated security consequence.</w:t>
      </w:r>
    </w:p>
    <w:p>
      <w:pPr>
        <w:pStyle w:val="Normal"/>
      </w:pPr>
      <w:r>
        <w:t>3. The affected market shall be defined before severity percentages are calculated. Market definition shall use commercially and economically defensible product, geographic, functional, and temporal boundaries and shall disclose material alternative definitions.</w:t>
      </w:r>
    </w:p>
    <w:p>
      <w:pPr>
        <w:pStyle w:val="Normal"/>
      </w:pPr>
      <w:r>
        <w:t>4. A Party may not select an artificially narrow denominator solely to magnify market share, injury, dependency, or strategic importance. Cothrom shall validate the market definition independently before it is used for Stage 7 or Stage 8.</w:t>
      </w:r>
    </w:p>
    <w:p>
      <w:pPr>
        <w:pStyle w:val="Normal"/>
      </w:pPr>
      <w:r>
        <w:t>5. Where reasonable market definitions produce materially different severity results, the Panel shall report the range and shall not select the most punitive result without a reasoned evidentiary basis.</w:t>
      </w:r>
    </w:p>
    <w:p>
      <w:pPr>
        <w:pStyle w:val="Heading2"/>
      </w:pPr>
      <w:bookmarkStart w:id="901229" w:name="_Toc300001228"/>
      <w:r>
        <w:t>Article 35.50: Aggregate Remedy Burden and Anti-Fragmentation Safeguard</w:t>
      </w:r>
      <w:bookmarkEnd w:id="901229"/>
    </w:p>
    <w:p>
      <w:pPr>
        <w:pStyle w:val="Normal"/>
      </w:pPr>
      <w:r>
        <w:t>1. Module locality does not authorize a Party to create disproportionate aggregate pressure by multiplying simultaneous proceedings or corrective measures across modules.</w:t>
      </w:r>
    </w:p>
    <w:p>
      <w:pPr>
        <w:pStyle w:val="Normal"/>
      </w:pPr>
      <w:r>
        <w:t>2. The Secretariat shall maintain an Aggregate Remedy Register showing active demerit consequences, preference step-backs, suspensions, provisional measures, compensation obligations, and tariff petitions affecting each Party.</w:t>
      </w:r>
    </w:p>
    <w:p>
      <w:pPr>
        <w:pStyle w:val="Normal"/>
      </w:pPr>
      <w:r>
        <w:t>3. Before approving a new Stage 6, Stage 7, or Stage 8 measure, the decision-maker shall consider the cumulative economic burden of concurrent treaty remedies, overlap among affected firms and supply chains, and whether separate proceedings arise from substantially common facts or policy.</w:t>
      </w:r>
    </w:p>
    <w:p>
      <w:pPr>
        <w:pStyle w:val="Normal"/>
      </w:pPr>
      <w:r>
        <w:t>4. Where cumulative measures create a serious risk of disproportionate economy-wide harm, the Commission shall convene an expedited Treaty-Wide Proportionality Review. The review may sequence, consolidate, narrow, suspend, or coordinate remedies while preserving effective enforcement of verified obligations.</w:t>
      </w:r>
    </w:p>
    <w:p>
      <w:pPr>
        <w:pStyle w:val="Normal"/>
      </w:pPr>
      <w:r>
        <w:t>5. Separate genuine breaches remain separately enforceable. This Article prevents remedial fragmentation from becoming de facto cross-sector punishment; it does not create immunity through repeated violations.</w:t>
      </w:r>
    </w:p>
    <w:p>
      <w:pPr>
        <w:pStyle w:val="Heading2"/>
      </w:pPr>
      <w:bookmarkStart w:id="901230" w:name="_Toc300001229"/>
      <w:r>
        <w:t>Article 35.51: Repetitive Petition, Safe-Harbour, and Process-Abuse Rules</w:t>
      </w:r>
      <w:bookmarkEnd w:id="901230"/>
    </w:p>
    <w:p>
      <w:pPr>
        <w:pStyle w:val="Normal"/>
      </w:pPr>
      <w:r>
        <w:t>1. Denial of a tariff petition on the merits creates a 180-day safe harbour against a substantially identical tariff petition concerning the same measure, same underlying breach, and materially unchanged evidence.</w:t>
      </w:r>
    </w:p>
    <w:p>
      <w:pPr>
        <w:pStyle w:val="Normal"/>
      </w:pPr>
      <w:r>
        <w:t>2. A new petition during the safe-harbour period is admissible only upon materially new facts, a new verified breach, material deterioration, or evidence unavailable despite reasonable diligence during the earlier proceeding.</w:t>
      </w:r>
    </w:p>
    <w:p>
      <w:pPr>
        <w:pStyle w:val="Normal"/>
      </w:pPr>
      <w:r>
        <w:t>3. Three tariff petitions by the same Party within 24 months that are finally determined to be manifestly unfounded may trigger enhanced admissibility screening for subsequent tariff petitions for 12 months. Losing a close, novel, or good-faith case is not manifestly unfounded.</w:t>
      </w:r>
    </w:p>
    <w:p>
      <w:pPr>
        <w:pStyle w:val="Normal"/>
      </w:pPr>
      <w:r>
        <w:t>4. Enhanced screening shall be conducted by a differently constituted Cothrom panel and shall determine only whether the petition presents a serious evidence-based claim. It shall not prejudge the merits.</w:t>
      </w:r>
    </w:p>
    <w:p>
      <w:pPr>
        <w:pStyle w:val="Normal"/>
      </w:pPr>
      <w:r>
        <w:t>5. Filing, publicity, or procedural timing shall not be manipulated principally to create market uncertainty or economic pressure. Evidence of such purpose may support a treaty-integrity finding but shall require more than foreseeable market reaction to a legitimate filing.</w:t>
      </w:r>
    </w:p>
    <w:p>
      <w:pPr>
        <w:pStyle w:val="Heading2"/>
      </w:pPr>
      <w:bookmarkStart w:id="901231" w:name="_Toc300001230"/>
      <w:r>
        <w:t>Article 35.52: Exceptional Remedy Learning and Self-Extinguishing Tariff Review</w:t>
      </w:r>
      <w:bookmarkEnd w:id="901231"/>
    </w:p>
    <w:p>
      <w:pPr>
        <w:pStyle w:val="Normal"/>
      </w:pPr>
      <w:r>
        <w:t>1. Every tariff authorized under Articles 35.38 through 35.40 automatically triggers an Exceptional Remedy Review after termination and no later than 90 days after first collection.</w:t>
      </w:r>
    </w:p>
    <w:p>
      <w:pPr>
        <w:pStyle w:val="Normal"/>
      </w:pPr>
      <w:r>
        <w:t>2. The review shall determine why Cothrom, cure, demerits, preference step-back, compensation, provisional relief, and other non-tariff mechanisms failed or were inadequate; whether the tariff materially improved compliance; what collateral costs occurred; and whether a new non-tariff remedy could address the same failure mode in the future.</w:t>
      </w:r>
    </w:p>
    <w:p>
      <w:pPr>
        <w:pStyle w:val="Normal"/>
      </w:pPr>
      <w:r>
        <w:t>3. Where a recurring failure mode is identified, the Commission shall develop a proposed non-tariff substitute, procedural acceleration, or treaty amendment for consideration within 180 days.</w:t>
      </w:r>
    </w:p>
    <w:p>
      <w:pPr>
        <w:pStyle w:val="Normal"/>
      </w:pPr>
      <w:r>
        <w:t>4. Successful use of a tariff does not create precedent that tariffs are preferred, normal, or presumptively effective in later cases. Each later petition begins with the burden in Article 35.38.</w:t>
      </w:r>
    </w:p>
    <w:p>
      <w:pPr>
        <w:pStyle w:val="Normal"/>
      </w:pPr>
      <w:r>
        <w:t>5. Findings from every Exceptional Remedy Review shall feed directly into the three-year abolition study under Article 35.41.</w:t>
      </w:r>
    </w:p>
    <w:p>
      <w:pPr>
        <w:pStyle w:val="Heading2"/>
      </w:pPr>
      <w:bookmarkStart w:id="901232" w:name="_Toc300001231"/>
      <w:r>
        <w:t>Article 35.53: Material Non-Public Trade Information and Market Integrity Firewall</w:t>
      </w:r>
      <w:bookmarkEnd w:id="901232"/>
    </w:p>
    <w:p>
      <w:pPr>
        <w:pStyle w:val="Normal"/>
      </w:pPr>
      <w:r>
        <w:t>1. Material Non-Public Trade Information, or MNPTI, means non-public information obtained through this Agreement that a reasonable market participant would consider important in trading or valuing a financial instrument, commodity, currency, enterprise, or transaction.</w:t>
      </w:r>
    </w:p>
    <w:p>
      <w:pPr>
        <w:pStyle w:val="Normal"/>
      </w:pPr>
      <w:r>
        <w:t>2. MNPTI includes, where material and non-public, tariff petitions before authorized publication; Cothrom findings; demerit assessments; cure certifications; guarantor identities before authorized disclosure; preliminary or intended guarantor votes; likely authorization or denial; proposed rates, product coverage, effective dates, renewals or termination; settlement positions; classified evidence; and market-moving implementation decisions.</w:t>
      </w:r>
    </w:p>
    <w:p>
      <w:pPr>
        <w:pStyle w:val="Normal"/>
      </w:pPr>
      <w:r>
        <w:t>3. No covered person may trade, tip, recommend, facilitate, direct, hedge, alter beneficial ownership, or cause another person to transact on the basis of MNPTI.</w:t>
      </w:r>
    </w:p>
    <w:p>
      <w:pPr>
        <w:pStyle w:val="Normal"/>
      </w:pPr>
      <w:r>
        <w:t>4. Covered instruments include securities, options, futures, swaps, commodities, currencies, exchange-traded products, short positions, synthetic exposures, prediction or event contracts, and other instruments whose value may reasonably be affected by the information.</w:t>
      </w:r>
    </w:p>
    <w:p>
      <w:pPr>
        <w:pStyle w:val="Normal"/>
      </w:pPr>
      <w:r>
        <w:t>5. Covered persons include Party officials and employees, Secretariat and Cothrom personnel, guarantor representatives, Integrity Panel personnel, contractors, advisers, experts, special advocates, and any other person lawfully entrusted with MNPTI. Transactions through controlled entities, nominees, trusts, intermediaries, or associated persons are covered where direction, tipping, beneficial ownership, or coordinated conduct is established.</w:t>
      </w:r>
    </w:p>
    <w:p>
      <w:pPr>
        <w:pStyle w:val="Heading2"/>
      </w:pPr>
      <w:bookmarkStart w:id="901233" w:name="_Toc300001232"/>
      <w:r>
        <w:t>Article 35.54: Trading Blackout, Preclearance, Beneficial Ownership, and Record Preservation</w:t>
      </w:r>
      <w:bookmarkEnd w:id="901233"/>
    </w:p>
    <w:p>
      <w:pPr>
        <w:pStyle w:val="Normal"/>
      </w:pPr>
      <w:r>
        <w:t>1. Receipt of MNPTI automatically places the covered person under a blackout with respect to instruments reasonably affected by that information until the information is publicly released and a reasonable market-absorption period established by Annex 35-J has elapsed.</w:t>
      </w:r>
    </w:p>
    <w:p>
      <w:pPr>
        <w:pStyle w:val="Normal"/>
      </w:pPr>
      <w:r>
        <w:t>2. Persons in designated high-sensitivity roles shall preclear covered financial transactions through an independent ethics function during active tariff, cure, guarantor, or exceptional-remedy proceedings.</w:t>
      </w:r>
    </w:p>
    <w:p>
      <w:pPr>
        <w:pStyle w:val="Normal"/>
      </w:pPr>
      <w:r>
        <w:t>3. Annex 35-J may establish safe harbours for genuinely diversified blind trusts, broad-market index vehicles, automatic pre-existing investment plans, and transactions demonstrably unrelated to MNPTI, provided the covered person cannot direct timing or selection in response to the information.</w:t>
      </w:r>
    </w:p>
    <w:p>
      <w:pPr>
        <w:pStyle w:val="Normal"/>
      </w:pPr>
      <w:r>
        <w:t>4. Where credible evidence warrants investigation, competent authorities may trace ultimate beneficial ownership and related transactions according to domestic law, due process, privacy safeguards, and applicable international cooperation arrangements.</w:t>
      </w:r>
    </w:p>
    <w:p>
      <w:pPr>
        <w:pStyle w:val="Normal"/>
      </w:pPr>
      <w:r>
        <w:t>5. Covered institutions and persons shall preserve relevant decision logs, official communications, disclosure records, access logs, and other treaty-integrity records for the period specified in Annex 35-J. Knowing destruction, concealment, falsification, or circumvention of a preservation duty is a separate treaty-integrity violation.</w:t>
      </w:r>
    </w:p>
    <w:p>
      <w:pPr>
        <w:pStyle w:val="Heading2"/>
      </w:pPr>
      <w:bookmarkStart w:id="901234" w:name="_Toc300001233"/>
      <w:r>
        <w:t>Article 35.55: Simultaneous Publication, Selective Disclosure, and Rumour Firewall</w:t>
      </w:r>
      <w:bookmarkEnd w:id="901234"/>
    </w:p>
    <w:p>
      <w:pPr>
        <w:pStyle w:val="Normal"/>
      </w:pPr>
      <w:r>
        <w:t>1. A final market-sensitive determination under Articles 35.38 through 35.54 becomes legally operative only through the authenticated Treaty Registry. No speech, interview, social-media post, leak, press report, private notice, or political statement substitutes for Registry publication.</w:t>
      </w:r>
    </w:p>
    <w:p>
      <w:pPr>
        <w:pStyle w:val="Normal"/>
      </w:pPr>
      <w:r>
        <w:t>2. Final determinations shall be released simultaneously to the Parties and the public through the Registry as soon as practicable and ordinarily within two hours after final certification, subject only to a narrowly documented security or technical necessity.</w:t>
      </w:r>
    </w:p>
    <w:p>
      <w:pPr>
        <w:pStyle w:val="Normal"/>
      </w:pPr>
      <w:r>
        <w:t>3. No Party or covered person may deliberately provide MNPTI selectively to a company, investor, donor, political organization, campaign actor, journalist, market participant, relative, associate, or other person for the purpose of conferring an informational advantage, manipulating markets, or exerting economic pressure.</w:t>
      </w:r>
    </w:p>
    <w:p>
      <w:pPr>
        <w:pStyle w:val="Normal"/>
      </w:pPr>
      <w:r>
        <w:t>4. Political officials remain free to state policy preferences, criticize another Party, advocate a lawful outcome, or discuss public information. A covered official shall not knowingly make a materially false statement about the formal legal or procedural status of a tariff authorization, guarantor vote, cure certification, or other Registry-controlled determination.</w:t>
      </w:r>
    </w:p>
    <w:p>
      <w:pPr>
        <w:pStyle w:val="Normal"/>
      </w:pPr>
      <w:r>
        <w:t>5. Unauthorized selective disclosure is independently reviewable even where no profitable trade is proven.</w:t>
      </w:r>
    </w:p>
    <w:p>
      <w:pPr>
        <w:pStyle w:val="Heading2"/>
      </w:pPr>
      <w:bookmarkStart w:id="901235" w:name="_Toc300001234"/>
      <w:r>
        <w:t>Article 35.56: Market Surveillance Cooperation and Independent Market Integrity Review</w:t>
      </w:r>
      <w:bookmarkEnd w:id="901235"/>
    </w:p>
    <w:p>
      <w:pPr>
        <w:pStyle w:val="Normal"/>
      </w:pPr>
      <w:r>
        <w:t>1. The Secretariat shall establish lawful rapid-notification, preservation, and cooperation arrangements with the competent securities, commodities, competition, financial-intelligence, ethics, and market regulators designated by each Party.</w:t>
      </w:r>
    </w:p>
    <w:p>
      <w:pPr>
        <w:pStyle w:val="Normal"/>
      </w:pPr>
      <w:r>
        <w:t>2. For materially market-sensitive events, the Secretariat may transmit confidential event-window notices to designated competent authorities so they may, under domestic law, assess abnormal trading volume, options activity, derivatives, short positions, commodity or currency exposure, beneficial-ownership changes, or other relevant indicators.</w:t>
      </w:r>
    </w:p>
    <w:p>
      <w:pPr>
        <w:pStyle w:val="Normal"/>
      </w:pPr>
      <w:r>
        <w:t>3. Unusual trading does not by itself establish misconduct. Investigation shall follow the sequence of tripwire, independent preliminary assessment, evidence preservation, adversarial or protected testing, finding, and proportionate consequence.</w:t>
      </w:r>
    </w:p>
    <w:p>
      <w:pPr>
        <w:pStyle w:val="Normal"/>
      </w:pPr>
      <w:r>
        <w:t>4. Treaty-level questions of whether a NAESTMA proceeding was materially compromised shall be decided by an independent three-member Market Integrity Panel randomly selected from persons and States not participating in the underlying tariff or integrity panel. Criminal, civil, securities-law, forfeiture, and professional liability remain governed by applicable domestic law.</w:t>
      </w:r>
    </w:p>
    <w:p>
      <w:pPr>
        <w:pStyle w:val="Normal"/>
      </w:pPr>
      <w:r>
        <w:t>5. Upon a preliminary finding of credible evidence of serious market-integrity interference, the Market Integrity Panel may stay implementation for up to 14 days while conducting expedited review. An allegation alone does not stay a proceeding.</w:t>
      </w:r>
    </w:p>
    <w:p>
      <w:pPr>
        <w:pStyle w:val="Heading2"/>
      </w:pPr>
      <w:bookmarkStart w:id="901236" w:name="_Toc300001235"/>
      <w:r>
        <w:t>Article 35.57: Market Manipulation Consequences, Disgorgement Cooperation, and Anti-False-Flag Rule</w:t>
      </w:r>
      <w:bookmarkEnd w:id="901236"/>
    </w:p>
    <w:p>
      <w:pPr>
        <w:pStyle w:val="Normal"/>
      </w:pPr>
      <w:r>
        <w:t>1. If the Market Integrity Panel finds by clear and convincing evidence that the tariff-petitioning Party's senior officials, authorized agents, or persons acting at its direction deliberately used MNPTI, selective disclosure, materially false procedural statements, or coordinated market conduct to manipulate markets or improperly profit from the tariff proceeding, the tariff petition shall be dismissed and Article 35.42.6 shall apply mutatis mutandis.</w:t>
      </w:r>
    </w:p>
    <w:p>
      <w:pPr>
        <w:pStyle w:val="Normal"/>
      </w:pPr>
      <w:r>
        <w:t>2. If an authorization is already operative, a material petitioning-party market-integrity violation suspends the authorization immediately and terminates it upon final confirmation, without prejudice to lawful non-tariff remedies.</w:t>
      </w:r>
    </w:p>
    <w:p>
      <w:pPr>
        <w:pStyle w:val="Normal"/>
      </w:pPr>
      <w:r>
        <w:t>3. A private actor, respondent Party, or third person cannot manufacture dismissal by independently trading, leaking, or manipulating markets without the petitioning Party's direction, authorization, knowing participation, or knowing adoption. Independent misconduct is referred to competent authorities and remedied without rewarding the wrongdoer.</w:t>
      </w:r>
    </w:p>
    <w:p>
      <w:pPr>
        <w:pStyle w:val="Normal"/>
      </w:pPr>
      <w:r>
        <w:t>4. The Parties shall cooperate, consistent with domestic law, in lawful disgorgement, restitution, forfeiture, recovery of unlawful proceeds, beneficial-ownership tracing, and enforcement of market-integrity judgments. Nothing in this Agreement creates a new criminal offense or predetermines criminal guilt.</w:t>
      </w:r>
    </w:p>
    <w:p>
      <w:pPr>
        <w:pStyle w:val="Normal"/>
      </w:pPr>
      <w:r>
        <w:t>5. No treaty benefit, confidentiality rule, or procedural privilege shall be interpreted to preserve profit judicially or administratively determined under applicable law to derive from a treaty-integrity violation.</w:t>
      </w:r>
    </w:p>
    <w:p>
      <w:pPr>
        <w:pStyle w:val="Heading2"/>
      </w:pPr>
      <w:bookmarkStart w:id="901237" w:name="_Toc300001236"/>
      <w:r>
        <w:t>Article 35.58: Market-Impact Evidence for the Three-Year Tariff Abolition Study</w:t>
      </w:r>
      <w:bookmarkEnd w:id="901237"/>
    </w:p>
    <w:p>
      <w:pPr>
        <w:pStyle w:val="Normal"/>
      </w:pPr>
      <w:r>
        <w:t>1. The study required by Article 35.41 shall measure not only tariffs actually imposed but also the market and investment effects of tariff petitions, pending authorizations, denials, renewals, public statements, and procedural uncertainty.</w:t>
      </w:r>
    </w:p>
    <w:p>
      <w:pPr>
        <w:pStyle w:val="Normal"/>
      </w:pPr>
      <w:r>
        <w:t>2. The study shall evaluate abnormal volatility where methodologically supportable, investment delay, financing cost, hedging expense, supply-chain precaution, liquidity effects, and evidence of speculative activity around material treaty events, while distinguishing correlation from proven causation.</w:t>
      </w:r>
    </w:p>
    <w:p>
      <w:pPr>
        <w:pStyle w:val="Normal"/>
      </w:pPr>
      <w:r>
        <w:t>3. If the retained possibility of tariffs produces recurring material economic costs even where tariffs are rarely authorized, the study shall treat those costs as relevant evidence in determining whether tariff authority should be further restricted or abolished.</w:t>
      </w:r>
    </w:p>
    <w:p>
      <w:pPr>
        <w:pStyle w:val="Heading2"/>
      </w:pPr>
      <w:bookmarkStart w:id="901238" w:name="_Toc300001237"/>
      <w:r>
        <w:t>ANNEX 35-J: MARKET INTEGRITY OPERATING RULES</w:t>
      </w:r>
      <w:bookmarkEnd w:id="901238"/>
    </w:p>
    <w:p>
      <w:pPr>
        <w:pStyle w:val="Normal"/>
      </w:pPr>
      <w:r>
        <w:t>Part 1: High-Sensitivity Roles and Access Control</w:t>
      </w:r>
    </w:p>
    <w:p>
      <w:pPr>
        <w:pStyle w:val="Normal"/>
      </w:pPr>
      <w:r>
        <w:t>1. The Secretariat shall maintain role-based access to MNPTI, auditable access logs, minimum-necessary distribution, secure transmission, and prompt revocation when access is no longer required.</w:t>
      </w:r>
    </w:p>
    <w:p>
      <w:pPr>
        <w:pStyle w:val="Normal"/>
      </w:pPr>
      <w:r>
        <w:t>2. High-sensitivity roles include persons with access to unreleased tariff authorization, guarantor voting, cure certification, market-sensitive Cothrom findings, classified evidence, or publication timing.</w:t>
      </w:r>
    </w:p>
    <w:p>
      <w:pPr>
        <w:pStyle w:val="Normal"/>
      </w:pPr>
      <w:r>
        <w:t>Part 2: Blackout and Safe-Harbour Administration</w:t>
      </w:r>
    </w:p>
    <w:p>
      <w:pPr>
        <w:pStyle w:val="Normal"/>
      </w:pPr>
      <w:r>
        <w:t>1. The Commission shall establish a reasonable post-publication market-absorption period and instrument-screening guidance. The blackout shall be no broader than reasonably necessary to protect market integrity.</w:t>
      </w:r>
    </w:p>
    <w:p>
      <w:pPr>
        <w:pStyle w:val="Normal"/>
      </w:pPr>
      <w:r>
        <w:t>2. Pre-existing automatic plans qualify for safe harbour only where established before receipt of MNPTI and not altered, suspended, accelerated, or selectively cancelled on the basis of MNPTI.</w:t>
      </w:r>
    </w:p>
    <w:p>
      <w:pPr>
        <w:pStyle w:val="Normal"/>
      </w:pPr>
      <w:r>
        <w:t>Part 3: Event Integrity</w:t>
      </w:r>
    </w:p>
    <w:p>
      <w:pPr>
        <w:pStyle w:val="Normal"/>
      </w:pPr>
      <w:r>
        <w:t>1. The Treaty Registry shall timestamp final certification and public release. The Secretariat shall retain access and publication logs sufficient to reconstruct the event sequence.</w:t>
      </w:r>
    </w:p>
    <w:p>
      <w:pPr>
        <w:pStyle w:val="Normal"/>
      </w:pPr>
      <w:r>
        <w:t>2. No disputing Party may control the precise release time after final certification except through a documented request granted for a legitimate security, market-stability, or technical reason applicable without discrimination.</w:t>
      </w:r>
    </w:p>
    <w:p>
      <w:pPr>
        <w:pStyle w:val="Normal"/>
      </w:pPr>
      <w:r>
        <w:t>3. The Secretariat shall maintain a confidential list of persons with material pre-publication access for each major event, available to competent authorities upon lawful request.</w:t>
      </w:r>
    </w:p>
    <w:p>
      <w:pPr>
        <w:pStyle w:val="Heading2"/>
      </w:pPr>
      <w:bookmarkStart w:id="901239" w:name="_Toc300001238"/>
      <w:r>
        <w:t>Article 35.59: Treaty-Wide Issue-Nexus and Non-Trade Coercion Firewall</w:t>
      </w:r>
      <w:bookmarkEnd w:id="901239"/>
    </w:p>
    <w:p>
      <w:pPr>
        <w:pStyle w:val="Normal"/>
      </w:pPr>
      <w:r>
        <w:t>1. No Party may suspend, condition, threaten to withdraw, or materially impair a treaty benefit as a corrective response to conduct that is not governed by an obligation of this Agreement, except where another express provision lawfully makes that conduct relevant.</w:t>
      </w:r>
    </w:p>
    <w:p>
      <w:pPr>
        <w:pStyle w:val="Normal"/>
      </w:pPr>
      <w:r>
        <w:t>2. Migration, narcotics, defense spending, diplomatic disagreement, political speech, advertising, electoral conduct, unrelated foreign policy, or another non-trade grievance does not by itself authorize a trade remedy or withdrawal of an existing treaty benefit.</w:t>
      </w:r>
    </w:p>
    <w:p>
      <w:pPr>
        <w:pStyle w:val="Normal"/>
      </w:pPr>
      <w:r>
        <w:t>3. This Article does not restrict diplomacy, sanctions lawfully permitted by this Agreement, genuine essential-security measures satisfying Chapter 32, or a Party's sovereign right to withdraw under Chapter 34. It prevents unrelated grievances from being laundered into treaty enforcement.</w:t>
      </w:r>
    </w:p>
    <w:p>
      <w:pPr>
        <w:pStyle w:val="Normal"/>
      </w:pPr>
      <w:r>
        <w:t>4. Where a measure has multiple stated purposes, the reviewing body shall identify whether the treaty-restrictive component has the required legal and factual nexus to an obligation or exception under this Agreement.</w:t>
      </w:r>
    </w:p>
    <w:p>
      <w:pPr>
        <w:pStyle w:val="Heading2"/>
      </w:pPr>
      <w:bookmarkStart w:id="901240" w:name="_Toc300001239"/>
      <w:r>
        <w:t>ANNEX 35-G: DEMERIT POINT AND PREFERENCE STEP-BACK MATRIX</w:t>
      </w:r>
      <w:bookmarkEnd w:id="901240"/>
    </w:p>
    <w:p>
      <w:pPr>
        <w:pStyle w:val="Normal"/>
      </w:pPr>
      <w:r>
        <w:t>Part 1: Baseline Point Values</w:t>
      </w:r>
    </w:p>
    <w:p>
      <w:pPr>
        <w:pStyle w:val="Normal"/>
      </w:pPr>
      <w:r>
        <w:t>1. Tier 1 technical irregularity ordinarily carries 0 or 1 point. A de minimis event that is promptly corrected carries 0 points.</w:t>
      </w:r>
    </w:p>
    <w:p>
      <w:pPr>
        <w:pStyle w:val="Normal"/>
      </w:pPr>
      <w:r>
        <w:t>2. Tier 2 material noncompliance ordinarily carries 2 to 4 points according to verified severity, duration, economic effect, obstruction, and remediation conduct.</w:t>
      </w:r>
    </w:p>
    <w:p>
      <w:pPr>
        <w:pStyle w:val="Normal"/>
      </w:pPr>
      <w:r>
        <w:t>3. Tier 3 deliberate, systemic, fraudulent, or persistent noncompliance ordinarily carries 5 to 8 points. An individual event may not exceed 8 points absent an express treaty provision adopted by amendment.</w:t>
      </w:r>
    </w:p>
    <w:p>
      <w:pPr>
        <w:pStyle w:val="Normal"/>
      </w:pPr>
      <w:r>
        <w:t>4. Points shall be calibrated conservatively where evidence is uncertain. The same facts shall not be counted both in the point value and again as a separate aggravating event.</w:t>
      </w:r>
    </w:p>
    <w:p>
      <w:pPr>
        <w:pStyle w:val="Normal"/>
      </w:pPr>
      <w:r>
        <w:t>Part 2: Active-Point Consequences</w:t>
      </w:r>
    </w:p>
    <w:p>
      <w:pPr>
        <w:pStyle w:val="Normal"/>
      </w:pPr>
      <w:r>
        <w:t>1. 0-2 points: cure and ordinary monitoring; no preference reduction.</w:t>
      </w:r>
    </w:p>
    <w:p>
      <w:pPr>
        <w:pStyle w:val="Normal"/>
      </w:pPr>
      <w:r>
        <w:t>2. 3-4 points: formal notice and enhanced verification; no automatic economic reduction.</w:t>
      </w:r>
    </w:p>
    <w:p>
      <w:pPr>
        <w:pStyle w:val="Normal"/>
      </w:pPr>
      <w:r>
        <w:t>3. 5-6 points: 5 percent step-back of the affected enhanced preference.</w:t>
      </w:r>
    </w:p>
    <w:p>
      <w:pPr>
        <w:pStyle w:val="Normal"/>
      </w:pPr>
      <w:r>
        <w:t>4. 7-8 points: 10 percent step-back.</w:t>
      </w:r>
    </w:p>
    <w:p>
      <w:pPr>
        <w:pStyle w:val="Normal"/>
      </w:pPr>
      <w:r>
        <w:t>5. 9-10 points: 15 percent step-back.</w:t>
      </w:r>
    </w:p>
    <w:p>
      <w:pPr>
        <w:pStyle w:val="Normal"/>
      </w:pPr>
      <w:r>
        <w:t>6. 11 or more points: 20 percent step-back and Stage 7 review.</w:t>
      </w:r>
    </w:p>
    <w:p>
      <w:pPr>
        <w:pStyle w:val="Normal"/>
      </w:pPr>
      <w:r>
        <w:t>7. The percentages in this Part reduce only the measurable enhanced preference identified by the Panel. They shall not be applied to the customs value of goods and shall not be collected at the border.</w:t>
      </w:r>
    </w:p>
    <w:p>
      <w:pPr>
        <w:pStyle w:val="Normal"/>
      </w:pPr>
      <w:r>
        <w:t>Part 3: Expiration, Cure, and Review</w:t>
      </w:r>
    </w:p>
    <w:p>
      <w:pPr>
        <w:pStyle w:val="Normal"/>
      </w:pPr>
      <w:r>
        <w:t>1. Active points expire after 180 days of verified compliance unless a shorter period applies. Points voided on review are treated as never assessed.</w:t>
      </w:r>
    </w:p>
    <w:p>
      <w:pPr>
        <w:pStyle w:val="Normal"/>
      </w:pPr>
      <w:r>
        <w:t>2. The Secretariat shall maintain a public demerit ledger identifying the module, point total, date of assessment, expiry date, status of challenge, and affected enhanced preference, while protecting confidential information.</w:t>
      </w:r>
    </w:p>
    <w:p>
      <w:pPr>
        <w:pStyle w:val="Normal"/>
      </w:pPr>
      <w:r>
        <w:t>3. The Commission may refine technical point categories by consensus under Article 34.3.A, but may not increase the maximum percentage step-backs or convert a demerit into a tariff without formal amendment.</w:t>
      </w:r>
    </w:p>
    <w:p>
      <w:pPr>
        <w:pStyle w:val="Heading2"/>
      </w:pPr>
      <w:bookmarkStart w:id="901241" w:name="_Toc300001240"/>
      <w:r>
        <w:t>ANNEX 35-H: ROTATING NEUTRAL GUARANTOR POOL</w:t>
      </w:r>
      <w:bookmarkEnd w:id="901241"/>
    </w:p>
    <w:p>
      <w:pPr>
        <w:pStyle w:val="Normal"/>
      </w:pPr>
      <w:r>
        <w:t>Part 1: Establishment and Consent</w:t>
      </w:r>
    </w:p>
    <w:p>
      <w:pPr>
        <w:pStyle w:val="Normal"/>
      </w:pPr>
      <w:r>
        <w:t>1. The Parties shall maintain a pool of 25 neutral or procedurally impartial Guarantor States eligible to serve under Article 35.39. Service is voluntary. A State enters the operative pool only after written consent and unanimous confirmation by Canada, Mexico, and the United States.</w:t>
      </w:r>
    </w:p>
    <w:p>
      <w:pPr>
        <w:pStyle w:val="Normal"/>
      </w:pPr>
      <w:r>
        <w:t>2. Initial candidate States for solicitation are: Switzerland; Oman; Singapore; New Zealand; Ireland; Austria; Costa Rica; Uruguay; Portugal; Botswana; Ghana; Mauritius; Senegal; Barbados; Jamaica; Panama; Dominican Republic; Malaysia; Indonesia; Chile; Finland; Iceland; Jordan; Qatar; and the United Arab Emirates.</w:t>
      </w:r>
    </w:p>
    <w:p>
      <w:pPr>
        <w:pStyle w:val="Normal"/>
      </w:pPr>
      <w:r>
        <w:t>3. The Parties may replace a candidate or consenting Guarantor State by unanimous agreement where consent is withheld, neutrality is materially impaired, diplomatic relations materially change, or continued service becomes impracticable. Replacement should preserve geographic and institutional diversity.</w:t>
      </w:r>
    </w:p>
    <w:p>
      <w:pPr>
        <w:pStyle w:val="Normal"/>
      </w:pPr>
      <w:r>
        <w:t>Part 2: Institutional Independence</w:t>
      </w:r>
    </w:p>
    <w:p>
      <w:pPr>
        <w:pStyle w:val="Normal"/>
      </w:pPr>
      <w:r>
        <w:t>1. Guarantor authority attaches to the State and its duly designated independent representative, not to a named incumbent head of government. A change of government does not by itself remove a State from the pool.</w:t>
      </w:r>
    </w:p>
    <w:p>
      <w:pPr>
        <w:pStyle w:val="Normal"/>
      </w:pPr>
      <w:r>
        <w:t>2. Each Guarantor State shall designate a primary and alternate representative with substantial experience in trade, economics, adjudication, customs, diplomacy, or public law and shall disclose conflicts before each draw.</w:t>
      </w:r>
    </w:p>
    <w:p>
      <w:pPr>
        <w:pStyle w:val="Normal"/>
      </w:pPr>
      <w:r>
        <w:t>3. Guarantor service does not create authority over the domestic law, military policy, foreign policy, or sovereign political choices of a Party beyond the narrow tariff-authorization question submitted under this Chapter.</w:t>
      </w:r>
    </w:p>
    <w:p>
      <w:pPr>
        <w:pStyle w:val="Heading2"/>
      </w:pPr>
      <w:bookmarkStart w:id="901242" w:name="_Toc300001241"/>
      <w:r>
        <w:t>ANNEX 35-F: COTHROM BALANCED VERIFICATION OPERATING PROTOCOL</w:t>
      </w:r>
      <w:bookmarkEnd w:id="901242"/>
    </w:p>
    <w:p>
      <w:pPr>
        <w:pStyle w:val="Heading3"/>
      </w:pPr>
      <w:r>
        <w:t>Part 1: Operating Principles</w:t>
      </w:r>
    </w:p>
    <w:p>
      <w:pPr>
        <w:pStyle w:val="Normal"/>
      </w:pPr>
      <w:r>
        <w:t>1. Proportionality governs verification and remedy. Technical noise is filtered before legal escalation.</w:t>
      </w:r>
    </w:p>
    <w:p>
      <w:pPr>
        <w:pStyle w:val="Normal"/>
      </w:pPr>
      <w:r>
        <w:t>2. Human judgment sits above automation. Automated systems may flag and route; humans determine breach and disruptive remedy.</w:t>
      </w:r>
    </w:p>
    <w:p>
      <w:pPr>
        <w:pStyle w:val="Normal"/>
      </w:pPr>
      <w:r>
        <w:t>3. Earn-back is defined at the time a remedy is imposed and remains available without an admission of guilt.</w:t>
      </w:r>
    </w:p>
    <w:p>
      <w:pPr>
        <w:pStyle w:val="Normal"/>
      </w:pPr>
      <w:r>
        <w:t>4. Modules fire independently. Cross-module spillover is exceptional and requires the findings in Article 35.15.</w:t>
      </w:r>
    </w:p>
    <w:p>
      <w:pPr>
        <w:pStyle w:val="Normal"/>
      </w:pPr>
      <w:r>
        <w:t>5. Cooling-off precedes escalation. Attribution requires evidence.</w:t>
      </w:r>
    </w:p>
    <w:p>
      <w:pPr>
        <w:pStyle w:val="Normal"/>
      </w:pPr>
      <w:r>
        <w:t>6. Verification is reciprocal: equivalent data access, equivalent burdens, equivalent clocks, equivalent consequences for bad faith.</w:t>
      </w:r>
    </w:p>
    <w:p>
      <w:pPr>
        <w:pStyle w:val="Heading3"/>
      </w:pPr>
      <w:r>
        <w:t>Part 2: Anomaly Routing</w:t>
      </w:r>
    </w:p>
    <w:p>
      <w:pPr>
        <w:pStyle w:val="Normal"/>
      </w:pPr>
      <w:r>
        <w:t>1. Informational anomaly: log only; no notice or penalty required.</w:t>
      </w:r>
    </w:p>
    <w:p>
      <w:pPr>
        <w:pStyle w:val="Normal"/>
      </w:pPr>
      <w:r>
        <w:t>2. Technical-review anomaly: technical review within seven days; no remedy.</w:t>
      </w:r>
    </w:p>
    <w:p>
      <w:pPr>
        <w:pStyle w:val="Normal"/>
      </w:pPr>
      <w:r>
        <w:t>3. Compliance-review anomaly: targeted verification, cure opportunity, and elevated monitoring; no Stage 2 consequence until unresolved or materially corroborated.</w:t>
      </w:r>
    </w:p>
    <w:p>
      <w:pPr>
        <w:pStyle w:val="Normal"/>
      </w:pPr>
      <w:r>
        <w:t>4. Breach indicator: expedited human review; possible Step-Back only after attribution and confirmation.</w:t>
      </w:r>
    </w:p>
    <w:p>
      <w:pPr>
        <w:pStyle w:val="Heading3"/>
      </w:pPr>
      <w:r>
        <w:t>Part 3: Data Integrity and Symmetry</w:t>
      </w:r>
    </w:p>
    <w:p>
      <w:pPr>
        <w:pStyle w:val="Normal"/>
      </w:pPr>
      <w:r>
        <w:t>1. Shared-system data is time-stamped, audit-trailed, and available on materially equivalent terms to all Parties.</w:t>
      </w:r>
    </w:p>
    <w:p>
      <w:pPr>
        <w:pStyle w:val="Normal"/>
      </w:pPr>
      <w:r>
        <w:t>2. A Party may request an independent forensic audit of a material data segment. The requester bears ordinary audit cost unless material manipulation is found, in which case the responsible actor bears reasonable audit cost.</w:t>
      </w:r>
    </w:p>
    <w:p>
      <w:pPr>
        <w:pStyle w:val="Normal"/>
      </w:pPr>
      <w:r>
        <w:t>3. Technical failure and deliberate manipulation are treated differently. The former activates continuity; the latter may support obstruction or breach findings.</w:t>
      </w:r>
    </w:p>
    <w:p>
      <w:pPr>
        <w:pStyle w:val="Heading3"/>
      </w:pPr>
      <w:r>
        <w:t>Part 4: Review Closure</w:t>
      </w:r>
    </w:p>
    <w:p>
      <w:pPr>
        <w:pStyle w:val="Normal"/>
      </w:pPr>
      <w:r>
        <w:t>1. Claims and objections identify exact disputed elements. Repetitive transactions may be bundled.</w:t>
      </w:r>
    </w:p>
    <w:p>
      <w:pPr>
        <w:pStyle w:val="Normal"/>
      </w:pPr>
      <w:r>
        <w:t>2. Panels may issue partial findings and allocate costs proportionately.</w:t>
      </w:r>
    </w:p>
    <w:p>
      <w:pPr>
        <w:pStyle w:val="Normal"/>
      </w:pPr>
      <w:r>
        <w:t>3. One final counter-evidence round is available for a technically inconclusive issue. After that round the record closes absent materially new evidence.</w:t>
      </w:r>
    </w:p>
    <w:p>
      <w:pPr>
        <w:pStyle w:val="Heading3"/>
      </w:pPr>
      <w:r>
        <w:t>Part 5: Restoration Matrix</w:t>
      </w:r>
    </w:p>
    <w:p>
      <w:pPr>
        <w:pStyle w:val="Normal"/>
      </w:pPr>
      <w:r>
        <w:t>1. Technical or de minimis event: no benefit reduction; technical assistance and correction.</w:t>
      </w:r>
    </w:p>
    <w:p>
      <w:pPr>
        <w:pStyle w:val="Normal"/>
      </w:pPr>
      <w:r>
        <w:t>2. Material disruption: proportionate affected-module consequence, remediation window, and automatic restoration after the clean-compliance period specified under Article 35.18.</w:t>
      </w:r>
    </w:p>
    <w:p>
      <w:pPr>
        <w:pStyle w:val="Normal"/>
      </w:pPr>
      <w:r>
        <w:t>3. Deliberate hostile trade-system manipulation, systematic fraud, or deliberate destruction of verification systems: heightened affected-module consequence, intensive monitoring, and a longer but finite earn-back period.</w:t>
      </w:r>
    </w:p>
    <w:p>
      <w:pPr>
        <w:pStyle w:val="Normal"/>
      </w:pPr>
      <w:r>
        <w:t>4. Humanitarian, safety, emergency communications, and already vested unrelated rights are not used as collateral leverage.</w:t>
      </w:r>
    </w:p>
    <w:p>
      <w:pPr>
        <w:pStyle w:val="Heading2"/>
      </w:pPr>
      <w:bookmarkStart w:id="901243" w:name="_Toc300001242"/>
      <w:r>
        <w:t>ANNEX 35-D: LEGACY MEASURE WIND-DOWN SCHEDULE</w:t>
      </w:r>
      <w:bookmarkEnd w:id="901243"/>
    </w:p>
    <w:p>
      <w:pPr>
        <w:pStyle w:val="Normal"/>
      </w:pPr>
      <w:r>
        <w:t>1. Each covered border measure applied by a Party on the originating goods of another Party and in force on the date of signature of the Protocol of Modernization terminates as follows:</w:t>
      </w:r>
    </w:p>
    <w:p>
      <w:pPr>
        <w:pStyle w:val="Normal"/>
      </w:pPr>
      <w:r>
        <w:t>(a) measures imposed under emergency economic powers authority: upon entry into force of the Protocol of Modernization;</w:t>
      </w:r>
    </w:p>
    <w:p>
      <w:pPr>
        <w:pStyle w:val="Normal"/>
      </w:pPr>
      <w:r>
        <w:t>(b) sectoral measures imposed under national security authority, including measures on steel, aluminum, automobiles and parts, trucks, copper, timber and lumber, and pharmaceutical products: upon entry into force of the Protocol of Modernization, subject to paragraph 2;</w:t>
      </w:r>
    </w:p>
    <w:p>
      <w:pPr>
        <w:pStyle w:val="Normal"/>
      </w:pPr>
      <w:r>
        <w:t>(c) measures imposed in respect of alleged discriminatory or unreasonable practices of another Party: upon entry into force of the Protocol of Modernization;</w:t>
      </w:r>
    </w:p>
    <w:p>
      <w:pPr>
        <w:pStyle w:val="Normal"/>
      </w:pPr>
      <w:r>
        <w:t>(d) retaliatory and countermeasure tariffs applied between the Parties: upon entry into force of the Protocol of Modernization; and</w:t>
      </w:r>
    </w:p>
    <w:p>
      <w:pPr>
        <w:pStyle w:val="Normal"/>
      </w:pPr>
      <w:r>
        <w:t>(e) withdrawals or suspensions of duty-free treatment of low-value shipments of originating goods: reversed upon entry into force, with treatment restored in accordance with Article 7.A (Low-Value Shipments).</w:t>
      </w:r>
    </w:p>
    <w:p>
      <w:pPr>
        <w:pStyle w:val="Normal"/>
      </w:pPr>
      <w:r>
        <w:t>2. A Party that considers that a measure described in paragraph 1(b) addresses a continuing genuine security concern may, within 90 days after signature, refer the measure to the special lane in Article 35.22. The measure may remain in force pending the resulting verification, for not more than 180 days, and thereafter only in conformity with the verification outcome and Article 32.2 as replaced. Any such continuing measure: (a) applies, if at all, only to verified non-originating content or to goods presenting a particularized security concern; (b) does not apply to goods holding Trusted North American Origin status; and (c) is subject to the periodic review and termination provisions of Article 35.22.6, including the treatment of successive substantially identical measures as a single continuing measure.</w:t>
      </w:r>
    </w:p>
    <w:p>
      <w:pPr>
        <w:pStyle w:val="Normal"/>
      </w:pPr>
      <w:r>
        <w:t>3. Retaliation terminated under paragraph 1(d) shall not be reimposed in respect of conduct predating entry into force of the Protocol of Modernization.</w:t>
      </w:r>
    </w:p>
    <w:p>
      <w:pPr>
        <w:pStyle w:val="Normal"/>
      </w:pPr>
      <w:r>
        <w:t>4. The wind-down in this Annex is without prejudice to the rights of the Parties under Chapter 10 as amended.</w:t>
      </w:r>
    </w:p>
    <w:p>
      <w:pPr>
        <w:pStyle w:val="Normal"/>
      </w:pPr>
      <w:r>
        <w:t>5. Successor Trade-Remedy Discipline. During the wind-down period and for 12 months after termination of a legacy measure, a Party shall not initiate an antidumping or countervailing-duty investigation concerning substantially the same goods where the proposed investigation relies substantially on the same conduct, evidence, period of injury, or economic effects used to justify the legacy measure. This paragraph does not bar an investigation supported by materially new evidence of dumping, subsidization, or injury arising after, or materially distinct from, the basis of the legacy measure. A dispute under this paragraph is eligible for expedited review under Article 31.A.</w:t>
      </w:r>
    </w:p>
    <w:p>
      <w:pPr>
        <w:pStyle w:val="Heading2"/>
      </w:pPr>
      <w:bookmarkStart w:id="901244" w:name="_Toc300001243"/>
      <w:r>
        <w:t>ANNEX 35-D.1: PRINCIPAL-LEVEL TARIFF LANDING OPTIONS</w:t>
      </w:r>
      <w:bookmarkEnd w:id="901244"/>
    </w:p>
    <w:p>
      <w:pPr>
        <w:pStyle w:val="Normal"/>
      </w:pPr>
      <w:r>
        <w:t>1. Purpose. This Annex provides immediately usable landing options for extraordinary tariffs while preserving the stronger default rule in Annex 35-D that covered legacy measures terminate upon entry into force. An option applies only if expressly selected in the instrument of adoption; silence does not displace Annex 35-D.</w:t>
      </w:r>
    </w:p>
    <w:p>
      <w:pPr>
        <w:pStyle w:val="Normal"/>
      </w:pPr>
      <w:r>
        <w:t>2. Option A: Immediate Normalization. Covered extraordinary duties on originating automobiles and parts, steel, aluminum, timber and lumber, and other goods designated by the Parties terminate upon entry into force. Ordinary CUSMA treatment resumes immediately, subject to Chapters 10, 32, 35, and product-specific schedules.</w:t>
      </w:r>
    </w:p>
    <w:p>
      <w:pPr>
        <w:pStyle w:val="Normal"/>
      </w:pPr>
      <w:r>
        <w:t>3. Option B: Short Staged Landing. Where immediate termination is not legally or operationally feasible, the affected Parties may adopt a schedule under which: (a) the extraordinary rate is reduced materially on Day 1; (b) a second reduction occurs no later than Day 30 after verified implementation of agreed origin, anti-circumvention, customs, or economic-security steps; and (c) ordinary CUSMA treatment is restored no later than Day 90 unless a particularized measure is independently sustained under Article 35.22.</w:t>
      </w:r>
    </w:p>
    <w:p>
      <w:pPr>
        <w:pStyle w:val="Normal"/>
      </w:pPr>
      <w:r>
        <w:t>4. Option C: Temporary Origin-Based Corridor. For a sector requiring additional verification, the affected Parties may replace a broad extraordinary duty with a temporary tariff-rate, quota, exclusion, or origin-based corridor limited to verified originating goods and calibrated to the identified risk. The corridor shall include a published baseline, utilization rules, anti-diversion controls, a review date no later than 90 days, and automatic normalization when the verified risk is cured.</w:t>
      </w:r>
    </w:p>
    <w:p>
      <w:pPr>
        <w:pStyle w:val="Normal"/>
      </w:pPr>
      <w:r>
        <w:t>5. Autos and Parts. Any landing schedule for originating automobiles or parts shall preserve full credit for Canadian, Mexican, and United States originating value under Chapter 4 and Article 59.22. No landing option may condition relief on a unilateral Party-specific content quota unless all Parties expressly amend the applicable origin rules.</w:t>
      </w:r>
    </w:p>
    <w:p>
      <w:pPr>
        <w:pStyle w:val="Normal"/>
      </w:pPr>
      <w:r>
        <w:t>6. Steel and Aluminum. Any landing schedule for originating steel and aluminum shall apply Articles 49.5 and 49.9, including provenance, melt-and-pour or smelt-and-cast verification where applicable, and shall prefer targeted anti-circumvention measures to broad intra-CUSMA tariffs.</w:t>
      </w:r>
    </w:p>
    <w:p>
      <w:pPr>
        <w:pStyle w:val="Normal"/>
      </w:pPr>
      <w:r>
        <w:t>7. Fifty-Percent or Other Exceptional Rates. Where an extraordinary rate in force at signature is 50 percent or greater, the Parties shall treat prompt de-escalation as a priority. Unless immediate termination occurs under Option A, the first-stage reduction under Option B shall be sufficient to remove the measure from the 50-percent-or-greater band, with further normalization governed by the adopted schedule.</w:t>
      </w:r>
    </w:p>
    <w:p>
      <w:pPr>
        <w:pStyle w:val="Normal"/>
      </w:pPr>
      <w:r>
        <w:t>8. No Price of Time. Use of Option B or C solely to complete legal, customs, or verification work shall not entitle a Party to demand an unrelated concession as the price of the additional implementation time.</w:t>
      </w:r>
    </w:p>
    <w:p>
      <w:pPr>
        <w:pStyle w:val="Heading2"/>
      </w:pPr>
      <w:bookmarkStart w:id="901245" w:name="_Toc300001244"/>
      <w:r>
        <w:t>ANNEX 35-E: MARKET-ACCESS CREDITS (OPTIONAL INSTRUMENT)</w:t>
      </w:r>
      <w:bookmarkEnd w:id="901245"/>
    </w:p>
    <w:p>
      <w:pPr>
        <w:pStyle w:val="Normal"/>
      </w:pPr>
      <w:r>
        <w:t>1. A market-access credit is a recorded entitlement of a Party to defined additional market access within a specified module, created only where the Parties concerned so agree under Article 35.20.2, and registered in the Registry. Credits are an optional instrument; no Party is required to offer, accept, or use them, and compensation under Article 35.20 does not depend on them.</w:t>
      </w:r>
    </w:p>
    <w:p>
      <w:pPr>
        <w:pStyle w:val="Normal"/>
      </w:pPr>
      <w:r>
        <w:t>2. Credits are denominated in the verified trade effect of the underlying distortion, valued in accordance with Annex 35-A.</w:t>
      </w:r>
    </w:p>
    <w:p>
      <w:pPr>
        <w:pStyle w:val="Normal"/>
      </w:pPr>
      <w:r>
        <w:t>3. Credits: (a) may be allocated by the holding Party within the module by agreement with the issuing Party; (b) are transferable between Parties only with the consent of the Commission; (c) expire five years after issuance; (d) are recorded by each Party in accordance with its domestic budgetary and legal requirements, and redemption is subject to the issuing Party’s legal capacity to provide the agreed access, where specific promised access cannot lawfully be provided, the Parties shall substitute equivalent access or monetary settlement of equivalent value; and (e) shall not be redeemable in any form inconsistent with the Parties’ WTO obligations.</w:t>
      </w:r>
    </w:p>
    <w:p>
      <w:pPr>
        <w:pStyle w:val="Normal"/>
      </w:pPr>
      <w:r>
        <w:t>4. Redemption of credits takes the form of additional quota allocation, accelerated regulatory recognition, procurement access, or equivalent access, and shall not take the form of a covered border measure against any Party or non-Party.</w:t>
      </w:r>
    </w:p>
    <w:p>
      <w:pPr>
        <w:pStyle w:val="Normal"/>
      </w:pPr>
      <w:r>
        <w:t>5. The Secretariat's Treaty Integrity function shall publish an annual statement of credits issued, transferred, redeemed, and outstanding.</w:t>
      </w:r>
    </w:p>
    <w:p>
      <w:pPr>
        <w:pStyle w:val="Heading2"/>
      </w:pPr>
      <w:bookmarkStart w:id="901246" w:name="_Toc300001245"/>
      <w:r>
        <w:t>Article 35.3D: Binding Effect of Tariff Suspensions</w:t>
      </w:r>
      <w:bookmarkEnd w:id="901246"/>
    </w:p>
    <w:p>
      <w:pPr>
        <w:pStyle w:val="Normal"/>
      </w:pPr>
      <w:r>
        <w:t>1. Where a Party has placed a covered border measure into a legally effective suspension under this Agreement, a binding interim instrument, or an instrument expressly incorporated by reference, the suspension shall not be revoked solely on an unverified assertion that another Party failed to implement a non-binding political commitment.</w:t>
      </w:r>
    </w:p>
    <w:p>
      <w:pPr>
        <w:pStyle w:val="Normal"/>
      </w:pPr>
      <w:r>
        <w:t>2. Revocation, non-renewal, or material narrowing of such a suspension that restores a covered border measure is itself reviewable under this Chapter and, where urgency warrants, shall receive expedited verification under Article 35.10.</w:t>
      </w:r>
    </w:p>
    <w:p>
      <w:pPr>
        <w:pStyle w:val="Normal"/>
      </w:pPr>
      <w:r>
        <w:t>3. Nothing in this Article converts a non-binding political commitment into a legal obligation.</w:t>
      </w:r>
    </w:p>
    <w:p>
      <w:pPr>
        <w:pStyle w:val="Heading2"/>
      </w:pPr>
      <w:bookmarkStart w:id="901247" w:name="_Toc300001246"/>
      <w:r>
        <w:t>Article 35.3B: Negotiation-Pause Continuity Protocol</w:t>
      </w:r>
      <w:bookmarkEnd w:id="901247"/>
    </w:p>
    <w:p>
      <w:pPr>
        <w:pStyle w:val="Normal"/>
      </w:pPr>
      <w:r>
        <w:t>1. A binding tariff suspension adopted to facilitate negotiations may specify automatic continuation in 30-day increments. Where that option is used, the suspension continues unless the suspending Party provides at least 10 days' written notice of expiration or replacement.</w:t>
      </w:r>
    </w:p>
    <w:p>
      <w:pPr>
        <w:pStyle w:val="Normal"/>
      </w:pPr>
      <w:r>
        <w:t>2. The notice shall identify the legal basis and intended treatment after expiration. Any restored covered border measure remains subject to this Chapter.</w:t>
      </w:r>
    </w:p>
    <w:p>
      <w:pPr>
        <w:pStyle w:val="Normal"/>
      </w:pPr>
      <w:r>
        <w:t>3. This Article applies only where the Parties have placed the pause on a binding legal footing; it does not purport to bind conduct occurring before provisional application or entry into force of the relevant instrument.</w:t>
      </w:r>
    </w:p>
    <w:p>
      <w:pPr>
        <w:pStyle w:val="Heading2"/>
      </w:pPr>
      <w:bookmarkStart w:id="901248" w:name="_Toc300001247"/>
      <w:r>
        <w:t>Article 35.3C: Interim Legal-Text Finalization Protection</w:t>
      </w:r>
      <w:bookmarkEnd w:id="901248"/>
    </w:p>
    <w:p>
      <w:pPr>
        <w:pStyle w:val="Normal"/>
      </w:pPr>
      <w:r>
        <w:t>1. Where the Parties provisionally apply specified tariff treatment or execute a binding interim instrument after announcing a political agreement but before completion of final legal text, no Party shall restore a covered border measure solely because another Party allegedly failed to implement a political commitment not incorporated into the binding interim instrument.</w:t>
      </w:r>
    </w:p>
    <w:p>
      <w:pPr>
        <w:pStyle w:val="Normal"/>
      </w:pPr>
      <w:r>
        <w:t>2. A measure restored during this period shall be subject to expedited verification and shall be terminated or modified if the Panel finds that the asserted obligation lacks a binding legal basis or that the response is inconsistent with proportionality and the narrowest-sufficient-remedy rule.</w:t>
      </w:r>
    </w:p>
    <w:p>
      <w:pPr>
        <w:pStyle w:val="Heading2"/>
      </w:pPr>
      <w:bookmarkStart w:id="901249" w:name="_Toc300001248"/>
      <w:r>
        <w:t>Article 35.11A: Screening Indicator Safe Harbor</w:t>
      </w:r>
      <w:bookmarkEnd w:id="901249"/>
    </w:p>
    <w:p>
      <w:pPr>
        <w:pStyle w:val="Normal"/>
      </w:pPr>
      <w:r>
        <w:t>For greater certainty, any objective screening indicator maintained under Article 35.11 creates only a rebuttable basis to commence or prioritize verification. No indicator, threshold, or combination of indicators creates a presumption of violation, injury, entitlement to a remedy, or bad faith. The Verification Panel must make an affirmative finding on the full record under Article 35.10 and Annex 35-A before a remedy may be imposed, except for narrowly authorized provisional revenue-protection measures expressly provided by this Agreement.</w:t>
      </w:r>
    </w:p>
    <w:p>
      <w:pPr>
        <w:pStyle w:val="Heading2"/>
      </w:pPr>
      <w:bookmarkStart w:id="901250" w:name="_Toc300001249"/>
      <w:r>
        <w:t>Article 35.29A: Review Is Modernization, Not Renewal</w:t>
      </w:r>
      <w:bookmarkEnd w:id="901250"/>
    </w:p>
    <w:p>
      <w:pPr>
        <w:pStyle w:val="Normal"/>
      </w:pPr>
      <w:r>
        <w:t>1. A scheduled review under this Agreement is a modernization and performance-review event, not a renewal, reauthorization, or reconsideration of the Agreement's continued legal force. Rights and obligations do not lapse, fade, suspend, or become contingent merely because a review date arrives or a review remains incomplete.</w:t>
      </w:r>
    </w:p>
    <w:p>
      <w:pPr>
        <w:pStyle w:val="Normal"/>
      </w:pPr>
      <w:r>
        <w:t>2. Any withdrawal from the Agreement remains governed by the applicable final provisions. Any suspension, restriction, or adjustment of benefits short of lawful withdrawal must comply with the provisions governing that action, including Chapter 35 where applicable.</w:t>
      </w:r>
    </w:p>
    <w:p>
      <w:pPr>
        <w:pStyle w:val="Heading2"/>
      </w:pPr>
      <w:bookmarkStart w:id="901251" w:name="_Toc300001250"/>
      <w:r>
        <w:t>Article 35.30A: Good Faith and Non-Weaponization of Covered Border Measures</w:t>
      </w:r>
      <w:bookmarkEnd w:id="901251"/>
    </w:p>
    <w:p>
      <w:pPr>
        <w:pStyle w:val="Normal"/>
      </w:pPr>
      <w:r>
        <w:t>1. The Parties shall not use the imposition, restoration, or suspension of covered border measures as leverage to obtain unrelated concessions outside the procedures and subject matter permitted by this Agreement.</w:t>
      </w:r>
    </w:p>
    <w:p>
      <w:pPr>
        <w:pStyle w:val="Normal"/>
      </w:pPr>
      <w:r>
        <w:t>2. A formal governmental announcement that specifies a concrete future covered border measure, a defined effective date or triggering condition, and produces demonstrable material commercial effects may be raised in consultations before the measure takes effect. Political rhetoric or generalized negotiating statements alone do not constitute a covered border measure.</w:t>
      </w:r>
    </w:p>
    <w:p>
      <w:pPr>
        <w:pStyle w:val="Normal"/>
      </w:pPr>
      <w:r>
        <w:t>3. Where a Party announces a concrete covered border measure without initiating a treaty procedure required for that action, another Party may request immediate consultations under Chapter 31 and expedited review where the announced measure is imminent.</w:t>
      </w:r>
    </w:p>
    <w:p>
      <w:pPr>
        <w:pStyle w:val="Heading2"/>
      </w:pPr>
      <w:bookmarkStart w:id="901252" w:name="_Toc300001251"/>
      <w:r>
        <w:t>Article 35.30B: North American Trilateral Anti-Fragmentation Protocol</w:t>
      </w:r>
      <w:bookmarkEnd w:id="901252"/>
    </w:p>
    <w:p>
      <w:pPr>
        <w:pStyle w:val="Normal"/>
      </w:pPr>
      <w:r>
        <w:t>1. Purpose and freedom to cooperate. The Parties remain free to conclude bilateral, sub-federal, sectoral, plurilateral, or other cooperative arrangements, including arrangements that deepen integration between fewer than all three Parties. No such arrangement requires the consent of a non-participating Party merely because that Party does not participate.</w:t>
      </w:r>
    </w:p>
    <w:p>
      <w:pPr>
        <w:pStyle w:val="Normal"/>
      </w:pPr>
      <w:r>
        <w:t>2. Non-impairment rule. A bilateral or limited-participation arrangement relating to a matter covered by this Agreement shall not, directly or indirectly: (a) diminish an existing right, preference, entitlement, quota opportunity, recognition, safe harbor, or procedural protection of the non-participating Party; (b) divert or reserve capacity, quota, preferential access, strategic supply, infrastructure access, or administrative priority previously available on a trilateral basis in a manner that materially disadvantages the non-participating Party; (c) create Party-specific content, sourcing, verification, or eligibility conditions that circumvent the North American origin and non-discrimination disciplines of this Agreement; (d) impair the operation of a trilateral continuity, emergency, critical-minerals, energy, customs, labour, digital, agricultural, automotive, or other shared mechanism; or (e) be used as leverage to induce the non-participating Party to surrender an unrelated right under this Agreement.</w:t>
      </w:r>
    </w:p>
    <w:p>
      <w:pPr>
        <w:pStyle w:val="Normal"/>
      </w:pPr>
      <w:r>
        <w:t>3. Trilateral Impairment Test. Before a material bilateral or limited-participation arrangement covered by paragraph 2 takes effect, the participating Parties shall assess whether the arrangement is reasonably expected to cause material impairment under paragraph 2. The assessment shall consider legal rights, commercially meaningful market access, quota and capacity effects, supply-chain diversion, administrative treatment, rules-of-origin effects, and reasonably foreseeable effects on integrated North American production.</w:t>
      </w:r>
    </w:p>
    <w:p>
      <w:pPr>
        <w:pStyle w:val="Normal"/>
      </w:pPr>
      <w:r>
        <w:t>4. Notice. Where the Trilateral Impairment Test identifies a plausible material effect on the non-participating Party, the participating Parties shall provide timely notice through the North American Trade Measures Registry, including a concise description of the arrangement, the sectors affected, the expected duration, and the basis for concluding that the arrangement is consistent with this Article. Confidential business information shall be protected.</w:t>
      </w:r>
    </w:p>
    <w:p>
      <w:pPr>
        <w:pStyle w:val="Normal"/>
      </w:pPr>
      <w:r>
        <w:t>5. No third-Party veto. Notice or consultation under this Article does not give the non-participating Party a veto over a bilateral or limited-participation arrangement. The sole question is whether the arrangement materially impairs rights or interests protected by paragraph 2.</w:t>
      </w:r>
    </w:p>
    <w:p>
      <w:pPr>
        <w:pStyle w:val="Normal"/>
      </w:pPr>
      <w:r>
        <w:t>6. Consultation and cure. If the non-participating Party identifies a plausible material impairment, the Parties shall consult promptly. Where impairment is established, the participating Parties shall cure it through the narrowest sufficient means, which may include: (a) extending equivalent treatment to the third Party where appropriate; (b) preserving or restoring the third Party's pre-existing access, quota, capacity, or procedural treatment; (c) modifying the arrangement to remove the discriminatory or diversionary effect; (d) providing an equivalent accommodation agreed with the affected Party; or (e) converting the relevant element into a trilateral pilot or arrangement.</w:t>
      </w:r>
    </w:p>
    <w:p>
      <w:pPr>
        <w:pStyle w:val="Normal"/>
      </w:pPr>
      <w:r>
        <w:t>7. Anti-peel-off safeguard. No Party shall condition a bilateral exemption from an extraordinary tariff, covered border measure, export restriction, quota restriction, or other exceptional trade measure on that Party's agreement to support, tolerate, or participate in materially less favorable treatment of the third Party. An arrangement inconsistent with this paragraph is subject to expedited review under this Chapter.</w:t>
      </w:r>
    </w:p>
    <w:p>
      <w:pPr>
        <w:pStyle w:val="Normal"/>
      </w:pPr>
      <w:r>
        <w:t>8. Integrated supply commitments. Where a bilateral arrangement concerns a strategic material, critical mineral, energy product, agricultural input, automotive input, digital or physical infrastructure capacity, or other supply commitment designated as North American under this Agreement, the arrangement shall preserve applicable domestic-needs floors, continuity obligations, emergency-allocation rules, anti-hoarding disciplines, and non-preferential-starvation protections.</w:t>
      </w:r>
    </w:p>
    <w:p>
      <w:pPr>
        <w:pStyle w:val="Normal"/>
      </w:pPr>
      <w:r>
        <w:t>9. Emergency and temporary arrangements. A Party may adopt a temporary bilateral arrangement without prior consultation where necessary to address an emergency within the meaning of Article 35.21. The participating Parties shall notify the third Party as soon as practicable, explain the emergency basis, and review the arrangement for consistency with this Article once the immediate emergency has passed.</w:t>
      </w:r>
    </w:p>
    <w:p>
      <w:pPr>
        <w:pStyle w:val="Normal"/>
      </w:pPr>
      <w:r>
        <w:t>10. Cothrom review. A dispute under this Article shall proceed through the Cothrom verification and proportionality architecture of this Chapter. Review shall focus on actual or reasonably foreseeable material impairment, not the mere existence of bilateral cooperation. Any remedy shall be confined to curing the verified impairment and shall not authorize unrelated cross-module retaliation.</w:t>
      </w:r>
    </w:p>
    <w:p>
      <w:pPr>
        <w:pStyle w:val="Normal"/>
      </w:pPr>
      <w:r>
        <w:t>11. Presumption for additive cooperation. A bilateral or limited-participation arrangement is presumed consistent with this Article where it creates new capacity, new investment, new infrastructure, new market access, or new regulatory cooperation without reducing or burdening the pre-existing rights or commercially meaningful opportunities of the non-participating Party.</w:t>
      </w:r>
    </w:p>
    <w:p>
      <w:pPr>
        <w:pStyle w:val="Normal"/>
      </w:pPr>
      <w:r>
        <w:t>12. Relationship to more specific rules. Where another provision of this Agreement establishes a more specific anti-fragmentation, non-discrimination, quota-allocation, origin, continuity, or trilateral-consultation rule, that provision and this Article shall be interpreted cumulatively to provide the more effective protection against circumvention while preserving legitimate bilateral cooperation.</w:t>
      </w:r>
    </w:p>
    <w:p>
      <w:pPr>
        <w:pStyle w:val="Heading2"/>
      </w:pPr>
      <w:bookmarkStart w:id="901253" w:name="_Toc300001252"/>
      <w:r>
        <w:t>Article 35.33: Permanent Continental Zero-Tariff Presumption</w:t>
      </w:r>
      <w:bookmarkEnd w:id="901253"/>
    </w:p>
    <w:p>
      <w:pPr>
        <w:pStyle w:val="Normal"/>
      </w:pPr>
      <w:r>
        <w:t>1. Originating goods of a Party receive the preferential zero-duty treatment scheduled under this Agreement unless an expressly enumerated provision authorizes a temporary corrective measure after satisfaction of the applicable verification and procedural requirements.</w:t>
      </w:r>
    </w:p>
    <w:p>
      <w:pPr>
        <w:pStyle w:val="Normal"/>
      </w:pPr>
      <w:r>
        <w:t>2. Ordinary customs duties, emergency tariffs, reciprocal tariffs, sectoral tariffs, trade-balancing tariffs, punitive surcharges, and functionally equivalent border charges do not apply to originating goods solely for revenue generation, political retaliation, negotiating leverage, generalized industrial policy, migration disputes, narcotics disputes, or bilateral trade-balance objectives.</w:t>
      </w:r>
    </w:p>
    <w:p>
      <w:pPr>
        <w:pStyle w:val="Normal"/>
      </w:pPr>
      <w:r>
        <w:t>3. Any ambiguity concerning whether an originating good remains subject to an ordinary customs duty is resolved in favor of the scheduled preferential rate unless the Party invoking an exception establishes the legal and factual basis for that exception.</w:t>
      </w:r>
    </w:p>
    <w:p>
      <w:pPr>
        <w:pStyle w:val="Normal"/>
      </w:pPr>
      <w:r>
        <w:t>4. Nothing in this Article changes ordinary most-favored-nation treatment for non-originating goods or prevents application of a corrective measure expressly authorized by this Agreement.</w:t>
      </w:r>
    </w:p>
    <w:p>
      <w:pPr>
        <w:pStyle w:val="Heading2"/>
      </w:pPr>
      <w:bookmarkStart w:id="901254" w:name="_Toc300001253"/>
      <w:r>
        <w:t>Article 35.34: Corrective Tariff Budget and Six-Month Lockout</w:t>
      </w:r>
      <w:bookmarkEnd w:id="901254"/>
    </w:p>
    <w:p>
      <w:pPr>
        <w:pStyle w:val="Normal"/>
      </w:pPr>
      <w:r>
        <w:t>1. A corrective tariff may be authorized only under Articles 35.38 through 35.40 and, if authorized, consumes the finite Corrective Tariff Budget in this Article. Unused budget does not create an entitlement to impose a measure and does not carry forward into a later period.</w:t>
      </w:r>
    </w:p>
    <w:p>
      <w:pPr>
        <w:pStyle w:val="Normal"/>
      </w:pPr>
      <w:r>
        <w:t>2. During any rolling 12-month period, the cumulative tariff-equivalent burden imposed by a Party on originating goods of another Party under corrective tariff authority does not exceed the lesser of: (a) 0.25 percent of the value of originating goods imported from the affected Party during the preceding 12 months; or (b) the aggregate verified injury or distortion amount that the applicable Panel authorizes for tariff-based correction during that period.</w:t>
      </w:r>
    </w:p>
    <w:p>
      <w:pPr>
        <w:pStyle w:val="Normal"/>
      </w:pPr>
      <w:r>
        <w:t>3. Tariff-equivalent burden means the duties collected, secured, or placed in escrow as a direct consequence of covered corrective tariffs, net of refunded amounts. The Secretariat maintains the running calculation using customs data already reported under this Agreement.</w:t>
      </w:r>
    </w:p>
    <w:p>
      <w:pPr>
        <w:pStyle w:val="Normal"/>
      </w:pPr>
      <w:r>
        <w:t>4. At 75 percent utilization of the applicable budget, automatic senior technical consultation begins within 10 days to identify non-tariff corrective alternatives and prevent unnecessary exhaustion of the tariff channel.</w:t>
      </w:r>
    </w:p>
    <w:p>
      <w:pPr>
        <w:pStyle w:val="Normal"/>
      </w:pPr>
      <w:r>
        <w:t>5. Upon reaching 100 percent utilization, a six-month Corrective Tariff Lockout activates automatically with respect to originating goods of the affected Party. During the Lockout, the imposing Party does not introduce a new corrective tariff, increase an existing corrective tariff, expand an existing tariff to additional originating goods, or substitute a functionally equivalent border charge.</w:t>
      </w:r>
    </w:p>
    <w:p>
      <w:pPr>
        <w:pStyle w:val="Normal"/>
      </w:pPr>
      <w:r>
        <w:t>6. The Lockout does not suspend verification, cure requirements, escrow, targeted administrative measures, compensation, procurement adjustments expressly permitted by this Agreement, or other non-tariff remedies that satisfy Articles 35.13 and 35.15.</w:t>
      </w:r>
    </w:p>
    <w:p>
      <w:pPr>
        <w:pStyle w:val="Normal"/>
      </w:pPr>
      <w:r>
        <w:t>7. No Party banks unused Corrective Tariff Budget, borrows from a future period, splits a measure into multiple instruments to avoid the ceiling, or routes a tariff through another legal authority to evade this Article.</w:t>
      </w:r>
    </w:p>
    <w:p>
      <w:pPr>
        <w:pStyle w:val="Normal"/>
      </w:pPr>
      <w:r>
        <w:t>8. An extraordinary and imminent threat to life, public safety, or essential security that cannot reasonably be addressed through non-tariff means may receive the Article 35.22 special lane. A tariff proposed during a Lockout remains subject to Articles 35.38 through 35.40, including neutral-guarantor authorization, except that the guarantor panel shall decide an emergency petition within 72 hours. Any authorized tariff counts against the next available budget period. Humanitarian goods protected by Article 35.35 remain excluded targets.</w:t>
      </w:r>
    </w:p>
    <w:p>
      <w:pPr>
        <w:pStyle w:val="Heading2"/>
      </w:pPr>
      <w:bookmarkStart w:id="901255" w:name="_Toc300001254"/>
      <w:r>
        <w:t>Article 35.35: Humanitarian Tariff Firewall</w:t>
      </w:r>
      <w:bookmarkEnd w:id="901255"/>
    </w:p>
    <w:p>
      <w:pPr>
        <w:pStyle w:val="Normal"/>
      </w:pPr>
      <w:r>
        <w:t>1. Qualifying Humanitarian Life-Saving Goods are outside the corrective tariff target set. No Party imposes, maintains, reactivates, increases, or substitutes a customs duty, emergency tariff, retaliatory tariff, corrective tariff, tariff-rate quota charge, punitive surcharge, or functionally equivalent border charge on a Qualifying Humanitarian Life-Saving Good originating in another Party.</w:t>
      </w:r>
    </w:p>
    <w:p>
      <w:pPr>
        <w:pStyle w:val="Normal"/>
      </w:pPr>
      <w:r>
        <w:t>2. A Qualifying Humanitarian Life-Saving Good is a good certified and documented for a principally and directly life-preserving humanitarian use under Annex 38-B, including essential medicines and antidotes; blood, plasma, human organs and transplant materials; emergency medical devices and supplies; emergency water, purification and sanitation supplies; disaster-response food and nutrition supplies; emergency shelter and thermal-protection supplies; rescue and evacuation equipment; and firefighting or disaster-response goods where the shipment is certified for immediate emergency deployment.</w:t>
      </w:r>
    </w:p>
    <w:p>
      <w:pPr>
        <w:pStyle w:val="Normal"/>
      </w:pPr>
      <w:r>
        <w:t>3. The Firewall does not exempt fraud, diversion, false certification, prohibited trafficking, or misuse. Where withholding a shipment would foreseeably create a material risk to life or emergency response, authorities favor release under bond, escrow, supervised delivery, post-entry verification, or another secure mechanism and pursue the responsible actor separately.</w:t>
      </w:r>
    </w:p>
    <w:p>
      <w:pPr>
        <w:pStyle w:val="Normal"/>
      </w:pPr>
      <w:r>
        <w:t>4. A Party does not threaten to tax, delay, restrict, or condition a protected humanitarian shipment to obtain a concession in an unrelated dispute. This No Humanitarian Leverage rule applies independently of the Corrective Tariff Budget.</w:t>
      </w:r>
    </w:p>
    <w:p>
      <w:pPr>
        <w:pStyle w:val="Normal"/>
      </w:pPr>
      <w:r>
        <w:t>5. The Parties administer this Article through existing customs, emergency-trade, and Secretariat functions. This Article creates no new permanent body.</w:t>
      </w:r>
    </w:p>
    <w:p>
      <w:pPr>
        <w:pStyle w:val="Heading1"/>
      </w:pPr>
      <w:bookmarkStart w:id="901256" w:name="_Toc300001255"/>
      <w:r>
        <w:t>ANNEX 35-K: STRATEGIC-SECTOR TARIFF NORMALIZATION AND SYNCHRONIZED STAND-DOWN PROTOCOL</w:t>
      </w:r>
      <w:bookmarkEnd w:id="901256"/>
    </w:p>
    <w:p>
      <w:pPr>
        <w:pStyle w:val="Normal"/>
      </w:pPr>
      <w:r>
        <w:t>Final Settlement Integration Gateway. This Annex records and implements an adopted strategic-sector tariff normalization and synchronized stand-down without creating an independent tariff power. Articles 35.29, 35.33, 35.36, the applicable Cothrom architecture, Annex 35-D.1, and any more specific sector rule remain controlling according to their scope and legally sufficient authority.</w:t>
      </w:r>
    </w:p>
    <w:p>
      <w:pPr>
        <w:pStyle w:val="Heading2"/>
      </w:pPr>
      <w:bookmarkStart w:id="901257" w:name="_Toc300001256"/>
      <w:r>
        <w:t>FS-01.1: Purpose, Scope, and Legal Relationship</w:t>
      </w:r>
      <w:bookmarkEnd w:id="901257"/>
    </w:p>
    <w:p>
      <w:pPr>
        <w:pStyle w:val="ClauseLabel"/>
      </w:pPr>
      <w:r>
        <w:t>FS01-A01: Settlement Function</w:t>
      </w:r>
    </w:p>
    <w:p>
      <w:pPr>
        <w:pStyle w:val="Normal"/>
      </w:pPr>
      <w:r>
        <w:t>This Protocol establishes the legal bridge from covered extraordinary strategic-sector tariffs to the ordinary tariff treatment otherwise provided by NAESTMA. It applies to covered originating automobiles, automotive parts, steel, aluminum, and any additional industrial class expressly listed in Schedule FS-01-A. It does not create a new customs duty, surcharge, safeguard, quota, managed-trade obligation, or independent authority to impose a border measure. Its function is to synchronize stand-down, verification, normalization, and closure using the institutions and disciplines already established by the Agreement.</w:t>
      </w:r>
    </w:p>
    <w:p>
      <w:pPr>
        <w:pStyle w:val="ClauseLabel"/>
      </w:pPr>
      <w:r>
        <w:t>FS01-A02: Relationship to Chapters 34 and 35</w:t>
      </w:r>
    </w:p>
    <w:p>
      <w:pPr>
        <w:pStyle w:val="Normal"/>
      </w:pPr>
      <w:r>
        <w:t>Chapter 34 governs entry-into-force and Day-One implementation requirements, while Chapter 35 governs verification, cure, proportionality, tariff quarantine, legacy-measure wind-down, exceptional tariff authorization, and restoration. This Protocol operationalizes the strategic-sector settlement choices already permitted by Annex 35-D.1 and does not create a parallel landing architecture. Nothing in this Protocol postpones a Day-One right or obligation under Chapter 34, Annex 34-F, Article 35.27A, or Annex 35-D unless the Parties expressly select a permitted alternative landing option under Annex 35-D.1. Where this Protocol and Chapter 35 address the same remedial question, the narrower Chapter 35 limitation controls unless the Parties formally amend it.</w:t>
      </w:r>
    </w:p>
    <w:p>
      <w:pPr>
        <w:pStyle w:val="ClauseLabel"/>
      </w:pPr>
      <w:r>
        <w:t>FS01-A03: Relationship to Rules of Origin and Verification</w:t>
      </w:r>
    </w:p>
    <w:p>
      <w:pPr>
        <w:pStyle w:val="Normal"/>
      </w:pPr>
      <w:r>
        <w:t>Originating status under this Protocol is determined exclusively under Chapters 4 and 5 and the applicable product-specific rules. Shipment from the territory of a Party, standing alone, does not establish originating status. Nothing in this Protocol reduces the evidentiary requirements applicable to origin, provenance, substantial transformation, automotive content, melt-and-pour, smelt-and-cast, or other product-specific disciplines. A good that does not qualify as originating receives only the tariff treatment otherwise applicable to that good under domestic law and the Agreement.</w:t>
      </w:r>
    </w:p>
    <w:p>
      <w:pPr>
        <w:pStyle w:val="ClauseLabel"/>
      </w:pPr>
      <w:r>
        <w:t>FS01-A04: Relationship to Metals Architecture</w:t>
      </w:r>
    </w:p>
    <w:p>
      <w:pPr>
        <w:pStyle w:val="Normal"/>
      </w:pPr>
      <w:r>
        <w:t>Articles 36.14 and 36.14A remain the principal strategic, investment, provenance, and anti-circumvention architecture for originating North American steel and aluminum. This Protocol supplies the tariff-normalization interface for covered metals measures without replacing the North American Metals Investment Compact. Verification under the metals lane may satisfy a corresponding FS-01 milestone where the same fact has already been established under an equivalent or stricter evidentiary standard. No Party is required to submit duplicative evidence solely because the same verified fact is used for both mechanisms.</w:t>
      </w:r>
    </w:p>
    <w:p>
      <w:pPr>
        <w:pStyle w:val="ClauseLabel"/>
      </w:pPr>
      <w:r>
        <w:t>FS01-A05: Relationship to Automotive Architecture</w:t>
      </w:r>
    </w:p>
    <w:p>
      <w:pPr>
        <w:pStyle w:val="Normal"/>
      </w:pPr>
      <w:r>
        <w:t>Chapter 59 and its applicable annexes remain the principal post-normalization architecture for automotive origin, integration, strategic components, industrial-expansion incentives, and classification continuity. This Protocol determines the stand-down and normalization treatment of covered extraordinary automotive tariffs and does not convert an enhanced automotive incentive into an ordinary rule of origin. Canadian, Mexican, and United States originating content receives the regional treatment established elsewhere in the Agreement. A Party-specific incentive may operate only within the limits already established by Chapter 59 and does not alter the ordinary tariff treatment guaranteed by this Protocol.</w:t>
      </w:r>
    </w:p>
    <w:p>
      <w:pPr>
        <w:pStyle w:val="ClauseLabel"/>
      </w:pPr>
      <w:r>
        <w:t>FS01-A06: No Implied Bargaining Concession</w:t>
      </w:r>
    </w:p>
    <w:p>
      <w:pPr>
        <w:pStyle w:val="Normal"/>
      </w:pPr>
      <w:r>
        <w:t>Inclusion of a measure, sector, product class, or verification milestone in this Protocol does not constitute an admission that the underlying legacy measure was lawful, unlawful, necessary, unnecessary, discriminatory, or justified. The Parties use the Protocol to settle and normalize covered treatment without requiring agreement on every prior legal or factual characterization. No Party waives a position concerning a measure outside the settlement except to the extent expressly stated in an adopted schedule. Settlement implementation therefore closes the covered tariff issue prospectively while preserving unrelated rights and defenses.</w:t>
      </w:r>
    </w:p>
    <w:p>
      <w:pPr>
        <w:pStyle w:val="ClauseLabel"/>
      </w:pPr>
      <w:r>
        <w:t>FS01-A07: Defined Settlement Terms</w:t>
      </w:r>
    </w:p>
    <w:p>
      <w:pPr>
        <w:pStyle w:val="Normal"/>
      </w:pPr>
      <w:r>
        <w:t>For purposes of FS-01, “Final Normalization” means the extinguishment of the covered extraordinary tariff component under the controlling rule in Annex 35-D, Article 35.27A, or an expressly selected Annex 35-D.1 landing option. “Post-Normalization Treatment” means the tariff treatment legally applicable immediately after Final Normalization, whether ordinary NAESTMA preferential treatment or, for an expressly identified automotive entry, treatment under a formally adopted Article 59.5A Automotive Settlement Schedule. “Adopted FS-01 Schedule Entry” means a Schedule FS-01-A entry formally adopted by the Parties whose participation is required for that entry; a template, draft, bracketed choice, negotiating proposal, or incomplete field is not an Adopted FS-01 Schedule Entry. “Legal Activation Mode” means the mode stated in an Adopted FS-01 Schedule Entry as Automatic, Certificate-Triggered, or Matched Reciprocal Activation, and no mode may displace a stronger controlling rule of the Agreement.</w:t>
      </w:r>
    </w:p>
    <w:p>
      <w:pPr>
        <w:pStyle w:val="Heading2"/>
      </w:pPr>
      <w:bookmarkStart w:id="901258" w:name="_Toc300001257"/>
      <w:r>
        <w:t>FS-01.2: Covered Measures and Synchronized Readiness</w:t>
      </w:r>
      <w:bookmarkEnd w:id="901258"/>
    </w:p>
    <w:p>
      <w:pPr>
        <w:pStyle w:val="ClauseLabel"/>
      </w:pPr>
      <w:r>
        <w:t>FS01-B01: Covered Measure Register</w:t>
      </w:r>
    </w:p>
    <w:p>
      <w:pPr>
        <w:pStyle w:val="Normal"/>
      </w:pPr>
      <w:r>
        <w:t>The Secretariat maintains a Covered Strategic-Sector Measure Register for every tariff, surcharge, additional duty, retaliatory tariff, countermeasure tariff, or equivalent border charge placed within FS-01. Each entry identifies the imposing Party, affected Party or Parties, legal instrument, product scope, tariff-line scope where available, rate or formula, effective date, and current legal status. Registration is evidentiary and administrative rather than constitutive of coverage under Annex 35-D, and a clerical omission from the Register does not preserve, extend, or remove from settlement a measure otherwise required to terminate under the Agreement. An unregistered measure cannot receive an additional FS-01 transition benefit or delay normalization of another covered measure, and the Secretariat corrects a verified omission promptly without altering the substantive bargain.</w:t>
      </w:r>
    </w:p>
    <w:p>
      <w:pPr>
        <w:pStyle w:val="ClauseLabel"/>
      </w:pPr>
      <w:r>
        <w:t>FS01-B02: Four Core Sector Classes</w:t>
      </w:r>
    </w:p>
    <w:p>
      <w:pPr>
        <w:pStyle w:val="Normal"/>
      </w:pPr>
      <w:r>
        <w:t>The initial FS-01 scope consists of automobiles, automotive parts, steel, and aluminum where the applicable measure is expressly identified in Schedule FS-01-A. Copper, lumber, pharmaceuticals, critical minerals, or another sector enters FS-01 only through an express amendment to that Schedule. Inclusion of one product within a sector does not silently include every tariff line associated with that sector. The Secretariat publishes a concordance sufficient for customs authorities and traders to identify the covered tariff lines without relying on political descriptions alone.</w:t>
      </w:r>
    </w:p>
    <w:p>
      <w:pPr>
        <w:pStyle w:val="ClauseLabel"/>
      </w:pPr>
      <w:r>
        <w:t>FS01-B03: Domestic Instrument Readiness</w:t>
      </w:r>
    </w:p>
    <w:p>
      <w:pPr>
        <w:pStyle w:val="Normal"/>
      </w:pPr>
      <w:r>
        <w:t>Before a scheduled normalization step activates, each participating Party deposits the domestic legal instrument, instruction, proclamation, customs notice, regulation, or other authority necessary to give that step effect. The Secretariat verifies completeness of the deposit but does not determine the constitutional validity of a Party's domestic instrument. A Party may cure a technical defect without losing credit for timely substantive readiness only where the defect does not alter legal effect, product scope, tariff rate or formula, effective time, reciprocal consideration, enforceability, or the ability of customs authorities to implement the obligation; a defect affecting any of those matters is substantive. No Party is required to execute its tariff reduction materially in advance of the reciprocal step specified for the same synchronization window.</w:t>
      </w:r>
    </w:p>
    <w:p>
      <w:pPr>
        <w:pStyle w:val="ClauseLabel"/>
      </w:pPr>
      <w:r>
        <w:t>FS01-B04: Synchronization Certificate</w:t>
      </w:r>
    </w:p>
    <w:p>
      <w:pPr>
        <w:pStyle w:val="Normal"/>
      </w:pPr>
      <w:r>
        <w:t>When the required domestic instruments and milestone evidence for a scheduled step are complete, the Secretariat issues a Synchronization Certificate identifying the covered measure, product scope, effective time, reciprocal action, controlling schedule entry, and Legal Activation Mode. The certificate is ministerial and records satisfaction of conditions already established by the Agreement and Schedule FS-01-A; Secretariat delay does not postpone an objectively automatic scheduled step where the controlling schedule makes certification evidentiary rather than constitutive. If the Secretariat identifies a missing item, it issues a deficiency notice identifying that item with enough specificity to permit cure, and silence or administrative delay does not convert an objective condition into discretionary approval. A disagreement over the deficiency proceeds through expedited Cothrom review and does not reopen unrelated certified sectors.</w:t>
      </w:r>
    </w:p>
    <w:p>
      <w:pPr>
        <w:pStyle w:val="ClauseLabel"/>
      </w:pPr>
      <w:r>
        <w:t>FS01-B05: Application of Article 35.36 to Paired Settlement Consideration</w:t>
      </w:r>
    </w:p>
    <w:p>
      <w:pPr>
        <w:pStyle w:val="Normal"/>
      </w:pPr>
      <w:r>
        <w:t>Article 35.36 applies in full to every obligation or benefit expressly identified in an Adopted FS-01 Schedule Entry as reciprocal consideration for another obligation or benefit. The Adopted FS-01 Schedule Entry identifies the paired obligations, activation milestones, permitted implementation interval, required evidence, and consequence of verified non-performance without recreating those rules in this Protocol. A pairing under FS-01 does not authorize retention of an unrelated tariff, cross-sector retaliation, or performance materially in advance of the corresponding benefit beyond the sequencing expressly accepted by the Parties. Partial performance receives only the treatment expressly assigned by the Adopted FS-01 Schedule Entry and remains subject to the cure, proportional step-back, and automatic restoration disciplines of Article 35.36.</w:t>
      </w:r>
    </w:p>
    <w:p>
      <w:pPr>
        <w:pStyle w:val="ClauseLabel"/>
      </w:pPr>
      <w:r>
        <w:t>FS01-B06: Standstill During Implementation</w:t>
      </w:r>
    </w:p>
    <w:p>
      <w:pPr>
        <w:pStyle w:val="Normal"/>
      </w:pPr>
      <w:r>
        <w:t>From the legally effective time established by the settlement instrument through completion of FS-01, no Party increases the rate, expands the product scope, broadens the origin reach, or extends the duration of a covered legacy measure. If the Parties intend a standstill to bind during the period between signature and legal effectiveness, the settlement instrument states that interim obligation expressly and identifies its legal basis rather than relying on this Article by implication. A Party may correct a clerical classification error where the correction does not enlarge the economic burden of the covered measure, while any independently authorized emergency action remains governed by Chapter 35 and does not become a modification of the legacy measure merely because it affects a similar product. The standstill survives a technical implementation delay unless Chapter 35 independently authorizes a different result.</w:t>
      </w:r>
    </w:p>
    <w:p>
      <w:pPr>
        <w:pStyle w:val="Heading2"/>
      </w:pPr>
      <w:bookmarkStart w:id="901259" w:name="_Toc300001258"/>
      <w:r>
        <w:t>FS-01.3: Normalization Sequence and Treatment</w:t>
      </w:r>
      <w:bookmarkEnd w:id="901259"/>
    </w:p>
    <w:p>
      <w:pPr>
        <w:pStyle w:val="ClauseLabel"/>
      </w:pPr>
      <w:r>
        <w:t>FS01-C01: Selected Annex 35-D.1 Landing Option</w:t>
      </w:r>
    </w:p>
    <w:p>
      <w:pPr>
        <w:pStyle w:val="Normal"/>
      </w:pPr>
      <w:r>
        <w:t>For each covered measure, an Adopted FS-01 Schedule Entry identifies the Annex 35-D.1 landing option expressly selected by the Parties and records any negotiated calibration permitted by that option. An uncompleted template field, draft option, bracketed choice, or other entry not formally adopted has no legal effect, and silence leaves the stronger default treatment of Annex 35-D and Article 35.27A undisturbed. Where a permitted staged or corridor option is selected, the Adopted FS-01 Schedule Entry records the legally controlling start, maximum duration, required evidence, Legal Activation Mode, and automatic route to Post-Normalization Treatment. FS-01 cannot extend a landing period beyond the ceiling established by Annex 35-D.1 or another controlling provision of Chapter 35.</w:t>
      </w:r>
    </w:p>
    <w:p>
      <w:pPr>
        <w:pStyle w:val="ClauseLabel"/>
      </w:pPr>
      <w:r>
        <w:t>FS01-C02: Calibration of a Selected Staged Landing</w:t>
      </w:r>
    </w:p>
    <w:p>
      <w:pPr>
        <w:pStyle w:val="Normal"/>
      </w:pPr>
      <w:r>
        <w:t>Where the Parties expressly select a staged landing permitted by Annex 35-D.1, Schedule FS-01-A states every negotiated rate or formula, effective trigger, reciprocal milestone, and duration needed to administer that landing. No intermediate tariff step exists by implication, and no authority may invent a rate, corridor, quota, exclusion, or milestone administratively. Satisfaction of the listed trigger activates the treatment assigned by the selected landing option without reopening the underlying bargain. Failure to adopt the necessary calibration does not displace the default wind-down rule or authorize the Secretariat to construct an alternative landing on behalf of the Parties.</w:t>
      </w:r>
    </w:p>
    <w:p>
      <w:pPr>
        <w:pStyle w:val="ClauseLabel"/>
      </w:pPr>
      <w:r>
        <w:t>FS01-C03: Final Normalization</w:t>
      </w:r>
    </w:p>
    <w:p>
      <w:pPr>
        <w:pStyle w:val="Normal"/>
      </w:pPr>
      <w:r>
        <w:t>Final Normalization occurs at the default time established by Annex 35-D and Article 35.27A, except to the extent an expressly selected and lawfully adopted Annex 35-D.1 option establishes a different permitted time in the applicable Adopted FS-01 Schedule Entry, and the covered extraordinary tariff component then terminates. The originating good receives the Post-Normalization Treatment legally applicable to that entry, including ordinary NAESTMA preferential treatment or, where expressly adopted, the controlling Article 59.5A Automotive Settlement Schedule treatment. Final Normalization is not a waiver of origin verification, customs enforcement, trade-remedy procedures lawfully preserved by the Agreement, or an independently authorized Chapter 35 action. A terminated extraordinary tariff does not remain dormant and cannot be revived merely because a later dispute arises.</w:t>
      </w:r>
    </w:p>
    <w:p>
      <w:pPr>
        <w:pStyle w:val="ClauseLabel"/>
      </w:pPr>
      <w:r>
        <w:t>FS01-C04: Sector-by-Sector Independence</w:t>
      </w:r>
    </w:p>
    <w:p>
      <w:pPr>
        <w:pStyle w:val="Normal"/>
      </w:pPr>
      <w:r>
        <w:t>Automobiles, automotive parts, steel, and aluminum normalize independently unless the applicable Adopted FS-01 Schedule Entry expressly links identified entries. Each adopted entry states its Participating Parties and Reciprocity / Severability Status, including whether the entry is bilateral, trilateral, severable, or inseverable; silence is interpreted in favor of the narrowest non-contagious treatment consistent with Article 35.36, the Module Firewall, and the controlling settlement terms. Delay in one sector does not automatically suspend or reverse Final Normalization already effective in another sector or impair treatment between a compliant pair of Parties where the relevant entry is severable. Cross-sector or trilateral linkage requires express schedule language and remains subject to Chapter 35 proportionality and collateral-harm limitations.</w:t>
      </w:r>
    </w:p>
    <w:p>
      <w:pPr>
        <w:pStyle w:val="ClauseLabel"/>
      </w:pPr>
      <w:r>
        <w:t>FS01-C05: Treatment of Originating Goods</w:t>
      </w:r>
    </w:p>
    <w:p>
      <w:pPr>
        <w:pStyle w:val="Normal"/>
      </w:pPr>
      <w:r>
        <w:t>Normalization under FS-01 attaches to qualifying originating goods rather than to nationality labels, shipment routes, or corporate ownership. A qualifying good of Canada, Mexico, or the United States receives the treatment applicable to the relevant Party pair and schedule entry without a presumption that one Party's originating value is less North American than another's. Enhanced incentives may reward additional verified investment or integration only where separately authorized by the Agreement. Failure to qualify for an enhanced incentive does not convert an otherwise originating good into a non-originating good or restore an extinguished extraordinary tariff.</w:t>
      </w:r>
    </w:p>
    <w:p>
      <w:pPr>
        <w:pStyle w:val="ClauseLabel"/>
      </w:pPr>
      <w:r>
        <w:t>FS01-C06: Customs Implementation Continuity</w:t>
      </w:r>
    </w:p>
    <w:p>
      <w:pPr>
        <w:pStyle w:val="Normal"/>
      </w:pPr>
      <w:r>
        <w:t>Customs authorities publish implementing instructions sufficiently in advance of each scheduled step to permit ordinary commercial planning where practicable. An importer does not lose legally effective Post-Normalization Treatment solely because an administrative system update occurs after the legal effective time, and correction, refund, or reconciliation proceeds under the customs and refund authorities otherwise available under the Agreement and applicable law. Existing advance rulings, origin determinations, and trusted-trader status remain effective unless independently modified under the applicable customs provisions. The Secretariat maintains a public implementation ledger showing the legal effective time separately from the date on which a customs system update was completed.</w:t>
      </w:r>
    </w:p>
    <w:p>
      <w:pPr>
        <w:pStyle w:val="Heading2"/>
      </w:pPr>
      <w:bookmarkStart w:id="901260" w:name="_Toc300001259"/>
      <w:r>
        <w:t>FS-01.4: Verification, Fraud Containment, and Continuity</w:t>
      </w:r>
      <w:bookmarkEnd w:id="901260"/>
    </w:p>
    <w:p>
      <w:pPr>
        <w:pStyle w:val="ClauseLabel"/>
      </w:pPr>
      <w:r>
        <w:t>FS01-D01: Verification Without Collective Punishment</w:t>
      </w:r>
    </w:p>
    <w:p>
      <w:pPr>
        <w:pStyle w:val="Normal"/>
      </w:pPr>
      <w:r>
        <w:t>An allegation of origin fraud, circumvention, transshipment, or milestone non-performance does not by itself suspend Post-Normalization Treatment for an entire Party or sector. Verification identifies the producer, shipment, product class, facility, program, or schedule obligation actually implicated by the evidence. Broader temporary treatment requires the specific independent authority, findings, evidence, and procedures applicable under Chapter 35, including the narrowest-sufficient-remedy, module-attachment, collateral-harm, and tariff-quarantine disciplines where relevant; a general reference to Chapter 35 is not independent authority. The burden of establishing the need for broader treatment rests on the Party seeking it.</w:t>
      </w:r>
    </w:p>
    <w:p>
      <w:pPr>
        <w:pStyle w:val="ClauseLabel"/>
      </w:pPr>
      <w:r>
        <w:t>FS01-D02: Producer and Shipment Containment</w:t>
      </w:r>
    </w:p>
    <w:p>
      <w:pPr>
        <w:pStyle w:val="Normal"/>
      </w:pPr>
      <w:r>
        <w:t>Where credible evidence identifies a particular producer, exporter, shipment, or facility, the competent authority may apply the verification, security, bond, detention, denial, recovery, or penalty tools otherwise authorized by the Agreement and by domestic law exercised consistently with this Agreement. Such action is targeted to the identified risk and is not represented as reactivation of a terminated sector-wide extraordinary tariff. Comparable suppliers not implicated by the evidence retain Post-Normalization Treatment subject to ordinary verification. Successful verification closes the targeted action promptly and restores any treatment withheld solely because of the resolved allegation.</w:t>
      </w:r>
    </w:p>
    <w:p>
      <w:pPr>
        <w:pStyle w:val="ClauseLabel"/>
      </w:pPr>
      <w:r>
        <w:t>FS01-D03: Metals Provenance</w:t>
      </w:r>
    </w:p>
    <w:p>
      <w:pPr>
        <w:pStyle w:val="Normal"/>
      </w:pPr>
      <w:r>
        <w:t>For covered steel and aluminum, FS-01 relies on the provenance, melt-and-pour, smelt-and-cast, substantial-transformation, and anti-origin-laundering disciplines established by Articles 36.14 and 36.14A and Chapters 4 and 5. Transit, repackaging, relabelling, minimal processing, or superficial finishing does not convert non-originating material into originating North American content. Lawful use of non-Party feedstock remains available where the applicable origin rule permits it and the transaction does not constitute circumvention. Verification distinguishes lawful external inputs from fraudulent origin conversion rather than treating all non-Party content as presumptively disqualifying.</w:t>
      </w:r>
    </w:p>
    <w:p>
      <w:pPr>
        <w:pStyle w:val="ClauseLabel"/>
      </w:pPr>
      <w:r>
        <w:t>FS01-D04: Automotive Verification</w:t>
      </w:r>
    </w:p>
    <w:p>
      <w:pPr>
        <w:pStyle w:val="Normal"/>
      </w:pPr>
      <w:r>
        <w:t>For covered automobiles and automotive parts, FS-01 relies on Chapter 59, Annex 4-E, Chapter 5, and any formally adopted automotive schedule for content, classification, strategic-component, and verification questions. A dispute concerning an enhanced tier or industrial-expansion incentive does not suspend ordinary originating treatment unless the dispute also establishes failure of the ordinary origin rule. Classification disputes preserve treatment to the extent required by the automotive continuity provisions while the correct methodology is determined. No FS-01 verifier may create a Party-specific content quota by interpretation.</w:t>
      </w:r>
    </w:p>
    <w:p>
      <w:pPr>
        <w:pStyle w:val="ClauseLabel"/>
      </w:pPr>
      <w:r>
        <w:t>FS01-D05: Cothrom Cure Sequence</w:t>
      </w:r>
    </w:p>
    <w:p>
      <w:pPr>
        <w:pStyle w:val="Normal"/>
      </w:pPr>
      <w:r>
        <w:t>A material implementation failure proceeds through the Cothrom and Chapter 35 sequence already applicable to the affected obligation: notice, factual verification, identification of the specific impairment, consultation, a defined cure opportunity, verification of cure, and restoration or closure. This Article applies that existing sequence to FS-01 and does not create an independent verification, cure, remedy, or restoration procedure. The responding Party may select among lawful cures that fully resolve the verified impairment unless the applicable Adopted FS-01 Schedule Entry requires a specific result, and a technical delay, clerical error, or isolated private misconduct is not treated as systemic governmental non-performance without evidence supporting that attribution. Verified cure ends the corresponding implementation step-back and restores the affected settlement benefit according to Chapter 35.</w:t>
      </w:r>
    </w:p>
    <w:p>
      <w:pPr>
        <w:pStyle w:val="ClauseLabel"/>
      </w:pPr>
      <w:r>
        <w:t>FS01-D06: Continuity During Review</w:t>
      </w:r>
    </w:p>
    <w:p>
      <w:pPr>
        <w:pStyle w:val="Normal"/>
      </w:pPr>
      <w:r>
        <w:t>A pending review does not suspend or erase a Final Normalization event, whether or not the evidentiary Final Normalization Certificate has yet been issued. Post-Normalization Treatment continues during review except to the extent a competent authority applies a targeted measure independently authorized by the Agreement and by domestic law exercised consistently with this Agreement. If a panel later finds material governmental non-performance, any response remains subject to Chapter 35 and does not revive the terminated legacy measure. If the allegation is not substantiated, temporary targeted restrictions attributable solely to that allegation are lifted and legally available correction or refund procedures apply.</w:t>
      </w:r>
    </w:p>
    <w:p>
      <w:pPr>
        <w:pStyle w:val="Heading2"/>
      </w:pPr>
      <w:bookmarkStart w:id="901261" w:name="_Toc300001260"/>
      <w:r>
        <w:t>FS-01.5: Exceptional Measures, Anti-Revival, and Restoration</w:t>
      </w:r>
      <w:bookmarkEnd w:id="901261"/>
    </w:p>
    <w:p>
      <w:pPr>
        <w:pStyle w:val="ClauseLabel"/>
      </w:pPr>
      <w:r>
        <w:t>FS01-E01: No New Tariff Authority</w:t>
      </w:r>
    </w:p>
    <w:p>
      <w:pPr>
        <w:pStyle w:val="Normal"/>
      </w:pPr>
      <w:r>
        <w:t>Nothing in FS-01 authorizes a Party, the Commission, the Secretariat, a committee, a verifier, or a panel to impose, increase, restore, extend, or threaten a tariff. Any post-normalization tariff measure requires independent authority under the Agreement and full satisfaction of the applicable Chapter 35 conditions. A failure under this Protocol may support verification, cure, compensation, step-back of an enhanced benefit, or another authorized response without creating a tariff power that does not otherwise exist. Silence in Schedule FS-01-A cannot be interpreted as preserving a residual right to reactivate a terminated extraordinary tariff.</w:t>
      </w:r>
    </w:p>
    <w:p>
      <w:pPr>
        <w:pStyle w:val="ClauseLabel"/>
      </w:pPr>
      <w:r>
        <w:t>FS01-E02: Exceptional Security Interface and No Clock Reset</w:t>
      </w:r>
    </w:p>
    <w:p>
      <w:pPr>
        <w:pStyle w:val="Normal"/>
      </w:pPr>
      <w:r>
        <w:t>A Party retains the security authorities expressly preserved by the Agreement, subject to the procedural and trade-related review boundaries established by Chapter 35. Nothing in FS-01 extends, restarts, renews, or creates a second 90-day referral period, 180-day transitional ceiling, review clock, duration limit, or successive-measure aggregation rule established by Annex 35-D or Article 35.22. Any continuing or later trade restriction relying on security authority satisfies the applicable connection, scope, contribution, narrower-measure, review, duration, and renewal disciplines and possesses genuinely independent authority where the legacy measure has terminated. FS-01 does not authorize a panel to substitute its judgment for a protected sovereign threat assessment where Chapter 35 excludes that inquiry, but it creates no exception from the trade-related disciplines that Chapter 35 expressly makes reviewable.</w:t>
      </w:r>
    </w:p>
    <w:p>
      <w:pPr>
        <w:pStyle w:val="ClauseLabel"/>
      </w:pPr>
      <w:r>
        <w:t>FS01-E03: Declaratory Anti-Revival Rule</w:t>
      </w:r>
    </w:p>
    <w:p>
      <w:pPr>
        <w:pStyle w:val="Normal"/>
      </w:pPr>
      <w:r>
        <w:t>Consistent with Articles 35.27 and 35.27A, a tariff terminated through Final Normalization is extinguished and is not suspended, banked, grandfathered, or held in reserve. This Article is declaratory of the Chapter 35 anti-revival rule and does not establish a separate or weaker standard for successor measures. A later breach, verification dispute, change of government, change in domestic statutory authority, or political disagreement does not reactivate the terminated measure, and any substantially equivalent successor establishes the independent authority required by Chapter 35. The Party applying the later measure bears every burden, limitation, and procedural obligation assigned by Chapter 35.</w:t>
      </w:r>
    </w:p>
    <w:p>
      <w:pPr>
        <w:pStyle w:val="ClauseLabel"/>
      </w:pPr>
      <w:r>
        <w:t>FS01-E04: Narrowest-Sufficient Response</w:t>
      </w:r>
    </w:p>
    <w:p>
      <w:pPr>
        <w:pStyle w:val="Normal"/>
      </w:pPr>
      <w:r>
        <w:t>A verified FS-01 implementation failure is addressed through the narrowest measure reasonably capable of curing or containing the identified impairment. The reviewing authority first applies any authorized response to the affected implementation benefit, producer, shipment, schedule entry, or enhanced incentive rather than unrelated originating trade, subject to any more specific controlling rule in Chapter 35. A cross-sector or economy-wide response exists only where independently authorized by Chapter 35 and only after satisfaction of the findings, evidentiary burdens, proportionality rules, and collateral-harm limitations required there. Commercial inconvenience, negotiating preference, or desire for additional leverage does not establish necessity for a broader response.</w:t>
      </w:r>
    </w:p>
    <w:p>
      <w:pPr>
        <w:pStyle w:val="ClauseLabel"/>
      </w:pPr>
      <w:r>
        <w:t>FS01-E05: Automatic Restoration</w:t>
      </w:r>
    </w:p>
    <w:p>
      <w:pPr>
        <w:pStyle w:val="Normal"/>
      </w:pPr>
      <w:r>
        <w:t>Where a temporary FS-01 implementation benefit has been stepped back under valid treaty authority, verified cure triggers the restoration process established by Chapter 35. An Adopted FS-01 Schedule Entry may make a future condition recurring only for an expressly identified enhanced, optional, expedited, investment-linked, or comparable additional benefit; continued ordinary Post-Normalization Treatment after extinguishment of a legacy extraordinary tariff cannot be converted into perpetual probation by a recurring condition. The Secretariat records the cure, restoration date, and affected schedule entry in the implementation ledger. Restoration of ordinary treaty treatment never means restoration of the extraordinary tariff that FS-01 terminated.</w:t>
      </w:r>
    </w:p>
    <w:p>
      <w:pPr>
        <w:pStyle w:val="ClauseLabel"/>
      </w:pPr>
      <w:r>
        <w:t>FS01-E06: No Tariff Hostage Across Unrelated Disputes</w:t>
      </w:r>
    </w:p>
    <w:p>
      <w:pPr>
        <w:pStyle w:val="Normal"/>
      </w:pPr>
      <w:r>
        <w:t>A dispute concerning agriculture, alcohol, procurement, migration, narcotics, digital trade, culture, energy, forestry, or another unrelated field does not reopen a terminated FS-01 tariff. A remedy for an unrelated breach arises from the authority applicable to that breach and satisfies Chapter 35. The Parties may negotiate a lawful cross-sector settlement voluntarily, but the existence of such negotiations does not suspend the FS-01 baseline. This firewall preserves bargaining flexibility without converting normalized originating trade into recurring collateral leverage.</w:t>
      </w:r>
    </w:p>
    <w:p>
      <w:pPr>
        <w:pStyle w:val="Heading2"/>
      </w:pPr>
      <w:bookmarkStart w:id="901262" w:name="_Toc300001261"/>
      <w:r>
        <w:t>FS-01.6: Certification, Closure, and Administration</w:t>
      </w:r>
      <w:bookmarkEnd w:id="901262"/>
    </w:p>
    <w:p>
      <w:pPr>
        <w:pStyle w:val="ClauseLabel"/>
      </w:pPr>
      <w:r>
        <w:t>FS01-F01: Final Normalization Certificate</w:t>
      </w:r>
    </w:p>
    <w:p>
      <w:pPr>
        <w:pStyle w:val="Normal"/>
      </w:pPr>
      <w:r>
        <w:t>For each covered schedule entry, the Secretariat issues a Final Normalization Certificate after confirming the objective conditions expressly assigned to that entry are satisfied. The certificate identifies the terminated extraordinary measure, the covered originating goods, the effective time, Post-Normalization Treatment, Legal Activation Mode, and domestic implementation instruments deposited by the relevant Parties. Failure or delay by the Secretariat to issue the certificate does not postpone a Final Normalization event that has otherwise occurred by operation of the Agreement; certification is constitutive only where the controlling Annex 35-D.1 option expressly permits certification as an activation condition, the Adopted FS-01 Schedule Entry states that mode, the required findings are objective, and expedited failure-to-act review is available. The certificate does not create originating status for an individual good, and once issued it remains effective unless corrected for clerical error or superseded by a formal treaty amendment.</w:t>
      </w:r>
    </w:p>
    <w:p>
      <w:pPr>
        <w:pStyle w:val="ClauseLabel"/>
      </w:pPr>
      <w:r>
        <w:t>FS01-F02: Three-Receipt Settlement Record</w:t>
      </w:r>
    </w:p>
    <w:p>
      <w:pPr>
        <w:pStyle w:val="Normal"/>
      </w:pPr>
      <w:r>
        <w:t>The FS-01 ledger distinguishes three implementation receipts: Readiness, Normalization, and Closure. Readiness confirms that required domestic instruments and reciprocal conditions are in place; Normalization confirms the effective tariff treatment; Closure confirms that transitional administration, refunds or reconciliations, and required public notices are complete. A fact conclusively established for an earlier receipt is reused for a later receipt and is not reopened absent fraud, material new evidence, or clerical error; the receipt sequence does not create three separate opportunities to relitigate the same verified fact. A Party may not represent a political announcement as completed normalization when the corresponding legal treatment has not entered into effect, and receipts may be issued separately where customs administration requires a short post-effective-date reconciliation period.</w:t>
      </w:r>
    </w:p>
    <w:p>
      <w:pPr>
        <w:pStyle w:val="ClauseLabel"/>
      </w:pPr>
      <w:r>
        <w:t>FS01-F03: Public Transparency</w:t>
      </w:r>
    </w:p>
    <w:p>
      <w:pPr>
        <w:pStyle w:val="Normal"/>
      </w:pPr>
      <w:r>
        <w:t>The Secretariat publishes the Covered Measure Register, non-confidential certificates, effective dates, tariff-line concordances, and implementation status in a stable public location. Confidential business information, protected customs information, security information, and legally protected deliberative material remain subject to the Agreement's disclosure safeguards. Public reporting distinguishes proposed, signed, legally effective, customs-implemented, and finally closed treatment. A numerical claim concerning tariff relief identifies whether it refers to a statutory rate, extraordinary additional rate, effective rate, or another measure.</w:t>
      </w:r>
    </w:p>
    <w:p>
      <w:pPr>
        <w:pStyle w:val="ClauseLabel"/>
      </w:pPr>
      <w:r>
        <w:t>FS01-F04: Administrative Simplicity</w:t>
      </w:r>
    </w:p>
    <w:p>
      <w:pPr>
        <w:pStyle w:val="Normal"/>
      </w:pPr>
      <w:r>
        <w:t>Existing customs authorities, the Commission, the Treaty Integrity Secretariat, the Automotive Committee, and existing metals mechanisms administer FS-01 to the maximum extent practicable. No new permanent institution is created solely for this Protocol. A Party that has already supplied a verified fact to an authorized NAESTMA body may satisfy an equivalent FS-01 requirement by reference to that record where access and evidentiary integrity are preserved. Reporting is consolidated with existing Chapter 35, Chapter 36, or Chapter 59 reporting where consolidation does not obscure the legal status of a covered measure.</w:t>
      </w:r>
    </w:p>
    <w:p>
      <w:pPr>
        <w:pStyle w:val="ClauseLabel"/>
      </w:pPr>
      <w:r>
        <w:t>FS01-F05: Technical Corrections</w:t>
      </w:r>
    </w:p>
    <w:p>
      <w:pPr>
        <w:pStyle w:val="Normal"/>
      </w:pPr>
      <w:r>
        <w:t>The Parties may correct tariff-line renumbering, nomenclature updates, typographical errors, cross-reference errors, or other non-substantive schedule defects through a jointly authenticated technical correction. A technical correction cannot increase a tariff, add a new covered measure, expand a product class, create a new milestone, alter the substantive bargain, change the selected Annex 35-D.1 landing option, change Legal Activation Mode, or convert an entry between bilateral and trilateral or between severable and inseverable status. Where tariff nomenclature changes, the correction preserves the commercial scope of the adopted schedule unless the Parties expressly agree otherwise through the amendment procedure. The Secretariat maintains both the superseded and corrected concordance for auditability.</w:t>
      </w:r>
    </w:p>
    <w:p>
      <w:pPr>
        <w:pStyle w:val="ClauseLabel"/>
      </w:pPr>
      <w:r>
        <w:t>FS01-F06: Completion of FS-01</w:t>
      </w:r>
    </w:p>
    <w:p>
      <w:pPr>
        <w:pStyle w:val="Normal"/>
      </w:pPr>
      <w:r>
        <w:t>FS-01 administration is complete for a schedule entry when the legal Final Normalization event has occurred and the Final Normalization Certificate and Closure receipt have been issued or, where ministerial issuance is delayed, when the underlying legal event is established by automatic operation of the Agreement, an uncontested joint implementation record, a final Cothrom determination, or another final determination expressly authorized by the Agreement. Completion converts the entry from transitional settlement administration to the controlling Post-Normalization Treatment, subject to continuing origin, verification, anti-circumvention, security, and dispute disciplines. Transitional milestones then cease to create independent reporting obligations except for record retention, audit, reconciliation, or an already pending review. The completed entry remains listed in the public ledger so that no later authority mistakes a terminated extraordinary measure for a dormant or renewable one.</w:t>
      </w:r>
    </w:p>
    <w:p>
      <w:pPr>
        <w:pStyle w:val="Heading2"/>
      </w:pPr>
      <w:bookmarkStart w:id="901263" w:name="_Toc300001262"/>
      <w:r>
        <w:t>SCHEDULE FS-01-A: Covered Measures, Landing Options, Verification Milestones, and Post-Normalization Treatment, DEVELOPMENT TEMPLATE: NON-OPERATIVE UNTIL ADOPTED</w:t>
      </w:r>
      <w:bookmarkEnd w:id="901263"/>
    </w:p>
    <w:p>
      <w:pPr>
        <w:pStyle w:val="Normal"/>
      </w:pPr>
      <w:r>
        <w:t>Schedule rule. This development schedule identifies the mandatory data fields and initial sector classes available for an Adopted FS-01 Schedule Entry. The template does not itself record a selected Annex 35-D.1 landing option, and silence preserves the Annex 35-D default. Exact negotiated rates, dates, corridors, exclusions, reciprocal milestones, and any Article 59.5A automotive settlement calibration are expressly adopted before they alter tariff treatment; they are not inferred by the Secretariat or supplied by this development draft.</w:t>
      </w:r>
    </w:p>
    <w:tbl>
      <w:tblPr>
        <w:tblStyle w:val="TableGrid"/>
        <w:tblW w:type="dxa" w:w="8467"/>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547"/>
        <w:gridCol w:w="892"/>
        <w:gridCol w:w="892"/>
        <w:gridCol w:w="892"/>
        <w:gridCol w:w="892"/>
        <w:gridCol w:w="1007"/>
        <w:gridCol w:w="892"/>
        <w:gridCol w:w="835"/>
        <w:gridCol w:w="792"/>
        <w:gridCol w:w="820"/>
      </w:tblGrid>
      <w:tr>
        <w:tc>
          <w:tcPr>
            <w:tcW w:type="dxa" w:w="547"/>
            <w:vAlign w:val="top"/>
          </w:tcPr>
          <w:p>
            <w:pPr>
              <w:pStyle w:val="TableText"/>
            </w:pPr>
            <w:r>
              <w:rPr/>
              <w:t>Entry</w:t>
            </w:r>
          </w:p>
        </w:tc>
        <w:tc>
          <w:tcPr>
            <w:tcW w:type="dxa" w:w="892"/>
            <w:vAlign w:val="top"/>
          </w:tcPr>
          <w:p>
            <w:pPr>
              <w:pStyle w:val="TableText"/>
            </w:pPr>
            <w:r>
              <w:rPr/>
              <w:t>Sector / Goods</w:t>
            </w:r>
          </w:p>
        </w:tc>
        <w:tc>
          <w:tcPr>
            <w:tcW w:type="dxa" w:w="892"/>
            <w:vAlign w:val="top"/>
          </w:tcPr>
          <w:p>
            <w:pPr>
              <w:pStyle w:val="TableText"/>
            </w:pPr>
            <w:r>
              <w:rPr/>
              <w:t>Legacy Measure</w:t>
            </w:r>
          </w:p>
        </w:tc>
        <w:tc>
          <w:tcPr>
            <w:tcW w:type="dxa" w:w="892"/>
            <w:vAlign w:val="top"/>
          </w:tcPr>
          <w:p>
            <w:pPr>
              <w:pStyle w:val="TableText"/>
            </w:pPr>
            <w:r>
              <w:rPr/>
              <w:t>35-D.1 Landing Option</w:t>
            </w:r>
          </w:p>
        </w:tc>
        <w:tc>
          <w:tcPr>
            <w:tcW w:type="dxa" w:w="892"/>
            <w:vAlign w:val="top"/>
          </w:tcPr>
          <w:p>
            <w:pPr>
              <w:pStyle w:val="TableText"/>
            </w:pPr>
            <w:r>
              <w:rPr/>
              <w:t>Negotiated Calibration</w:t>
            </w:r>
          </w:p>
        </w:tc>
        <w:tc>
          <w:tcPr>
            <w:tcW w:type="dxa" w:w="1007"/>
            <w:vAlign w:val="top"/>
          </w:tcPr>
          <w:p>
            <w:pPr>
              <w:pStyle w:val="TableText"/>
            </w:pPr>
            <w:r>
              <w:rPr/>
              <w:t>Post-Normalization Treatment</w:t>
            </w:r>
          </w:p>
        </w:tc>
        <w:tc>
          <w:tcPr>
            <w:tcW w:type="dxa" w:w="892"/>
            <w:vAlign w:val="top"/>
          </w:tcPr>
          <w:p>
            <w:pPr>
              <w:pStyle w:val="TableText"/>
            </w:pPr>
            <w:r>
              <w:rPr/>
              <w:t>Verification / Interface</w:t>
            </w:r>
          </w:p>
        </w:tc>
        <w:tc>
          <w:tcPr>
            <w:tcW w:type="dxa" w:w="835"/>
            <w:vAlign w:val="top"/>
          </w:tcPr>
          <w:p>
            <w:pPr>
              <w:pStyle w:val="TableText"/>
            </w:pPr>
            <w:r>
              <w:rPr/>
              <w:t>Legal Activation Mode</w:t>
            </w:r>
          </w:p>
        </w:tc>
        <w:tc>
          <w:tcPr>
            <w:tcW w:type="dxa" w:w="792"/>
            <w:vAlign w:val="top"/>
          </w:tcPr>
          <w:p>
            <w:pPr>
              <w:pStyle w:val="TableText"/>
            </w:pPr>
            <w:r>
              <w:rPr/>
              <w:t>Parties</w:t>
            </w:r>
          </w:p>
        </w:tc>
        <w:tc>
          <w:tcPr>
            <w:tcW w:type="dxa" w:w="820"/>
            <w:vAlign w:val="top"/>
          </w:tcPr>
          <w:p>
            <w:pPr>
              <w:pStyle w:val="TableText"/>
            </w:pPr>
            <w:r>
              <w:rPr/>
              <w:t>Reciprocity / Severability</w:t>
            </w:r>
          </w:p>
        </w:tc>
      </w:tr>
      <w:tr>
        <w:tc>
          <w:tcPr>
            <w:tcW w:type="dxa" w:w="547"/>
            <w:vAlign w:val="top"/>
          </w:tcPr>
          <w:p>
            <w:pPr>
              <w:pStyle w:val="TableText"/>
            </w:pPr>
            <w:r>
              <w:rPr/>
              <w:t>FS01-A-1</w:t>
            </w:r>
          </w:p>
        </w:tc>
        <w:tc>
          <w:tcPr>
            <w:tcW w:type="dxa" w:w="892"/>
            <w:vAlign w:val="top"/>
          </w:tcPr>
          <w:p>
            <w:pPr>
              <w:pStyle w:val="TableText"/>
            </w:pPr>
            <w:r>
              <w:rPr/>
              <w:t>Steel</w:t>
            </w:r>
          </w:p>
        </w:tc>
        <w:tc>
          <w:tcPr>
            <w:tcW w:type="dxa" w:w="892"/>
            <w:vAlign w:val="top"/>
          </w:tcPr>
          <w:p>
            <w:pPr>
              <w:pStyle w:val="TableText"/>
            </w:pPr>
            <w:r>
              <w:rPr/>
              <w:t>Covered extraordinary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tariff treatment for qualifying originating steel</w:t>
            </w:r>
          </w:p>
        </w:tc>
        <w:tc>
          <w:tcPr>
            <w:tcW w:type="dxa" w:w="892"/>
            <w:vAlign w:val="top"/>
          </w:tcPr>
          <w:p>
            <w:pPr>
              <w:pStyle w:val="TableText"/>
            </w:pPr>
            <w:r>
              <w:rPr/>
              <w:t>Arts. 36.14/36.14A;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FS01-A-2</w:t>
            </w:r>
          </w:p>
        </w:tc>
        <w:tc>
          <w:tcPr>
            <w:tcW w:type="dxa" w:w="892"/>
            <w:vAlign w:val="top"/>
          </w:tcPr>
          <w:p>
            <w:pPr>
              <w:pStyle w:val="TableText"/>
            </w:pPr>
            <w:r>
              <w:rPr/>
              <w:t>Aluminum</w:t>
            </w:r>
          </w:p>
        </w:tc>
        <w:tc>
          <w:tcPr>
            <w:tcW w:type="dxa" w:w="892"/>
            <w:vAlign w:val="top"/>
          </w:tcPr>
          <w:p>
            <w:pPr>
              <w:pStyle w:val="TableText"/>
            </w:pPr>
            <w:r>
              <w:rPr/>
              <w:t>Covered extraordinary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tariff treatment for qualifying originating aluminum</w:t>
            </w:r>
          </w:p>
        </w:tc>
        <w:tc>
          <w:tcPr>
            <w:tcW w:type="dxa" w:w="892"/>
            <w:vAlign w:val="top"/>
          </w:tcPr>
          <w:p>
            <w:pPr>
              <w:pStyle w:val="TableText"/>
            </w:pPr>
            <w:r>
              <w:rPr/>
              <w:t>Arts. 36.14/36.14A;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FS01-A-3</w:t>
            </w:r>
          </w:p>
        </w:tc>
        <w:tc>
          <w:tcPr>
            <w:tcW w:type="dxa" w:w="892"/>
            <w:vAlign w:val="top"/>
          </w:tcPr>
          <w:p>
            <w:pPr>
              <w:pStyle w:val="TableText"/>
            </w:pPr>
            <w:r>
              <w:rPr/>
              <w:t>Passenger / light vehicles</w:t>
            </w:r>
          </w:p>
        </w:tc>
        <w:tc>
          <w:tcPr>
            <w:tcW w:type="dxa" w:w="892"/>
            <w:vAlign w:val="top"/>
          </w:tcPr>
          <w:p>
            <w:pPr>
              <w:pStyle w:val="TableText"/>
            </w:pPr>
            <w:r>
              <w:rPr/>
              <w:t>Covered extraordinary automotive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treatment, or the expressly adopted Article 59.5A Automotive Settlement Schedule for this entry</w:t>
            </w:r>
          </w:p>
        </w:tc>
        <w:tc>
          <w:tcPr>
            <w:tcW w:type="dxa" w:w="892"/>
            <w:vAlign w:val="top"/>
          </w:tcPr>
          <w:p>
            <w:pPr>
              <w:pStyle w:val="TableText"/>
            </w:pPr>
            <w:r>
              <w:rPr/>
              <w:t>Ch. 59; Annex 4-E;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FS01-A-4</w:t>
            </w:r>
          </w:p>
        </w:tc>
        <w:tc>
          <w:tcPr>
            <w:tcW w:type="dxa" w:w="892"/>
            <w:vAlign w:val="top"/>
          </w:tcPr>
          <w:p>
            <w:pPr>
              <w:pStyle w:val="TableText"/>
            </w:pPr>
            <w:r>
              <w:rPr/>
              <w:t>Medium / heavy vehicles, buses, chassis</w:t>
            </w:r>
          </w:p>
        </w:tc>
        <w:tc>
          <w:tcPr>
            <w:tcW w:type="dxa" w:w="892"/>
            <w:vAlign w:val="top"/>
          </w:tcPr>
          <w:p>
            <w:pPr>
              <w:pStyle w:val="TableText"/>
            </w:pPr>
            <w:r>
              <w:rPr/>
              <w:t>Covered extraordinary automotive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treatment, or the expressly adopted Article 59.5A Automotive Settlement Schedule for this entry</w:t>
            </w:r>
          </w:p>
        </w:tc>
        <w:tc>
          <w:tcPr>
            <w:tcW w:type="dxa" w:w="892"/>
            <w:vAlign w:val="top"/>
          </w:tcPr>
          <w:p>
            <w:pPr>
              <w:pStyle w:val="TableText"/>
            </w:pPr>
            <w:r>
              <w:rPr/>
              <w:t>Ch. 59; Annex 4-E;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FS01-A-5</w:t>
            </w:r>
          </w:p>
        </w:tc>
        <w:tc>
          <w:tcPr>
            <w:tcW w:type="dxa" w:w="892"/>
            <w:vAlign w:val="top"/>
          </w:tcPr>
          <w:p>
            <w:pPr>
              <w:pStyle w:val="TableText"/>
            </w:pPr>
            <w:r>
              <w:rPr/>
              <w:t>Automotive parts / strategic components</w:t>
            </w:r>
          </w:p>
        </w:tc>
        <w:tc>
          <w:tcPr>
            <w:tcW w:type="dxa" w:w="892"/>
            <w:vAlign w:val="top"/>
          </w:tcPr>
          <w:p>
            <w:pPr>
              <w:pStyle w:val="TableText"/>
            </w:pPr>
            <w:r>
              <w:rPr/>
              <w:t>Covered extraordinary parts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treatment, or the expressly adopted Article 59.5A Automotive Settlement Schedule for this entry</w:t>
            </w:r>
          </w:p>
        </w:tc>
        <w:tc>
          <w:tcPr>
            <w:tcW w:type="dxa" w:w="892"/>
            <w:vAlign w:val="top"/>
          </w:tcPr>
          <w:p>
            <w:pPr>
              <w:pStyle w:val="TableText"/>
            </w:pPr>
            <w:r>
              <w:rPr/>
              <w:t>Ch. 59; Annex 4-E;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bl>
    <w:p>
      <w:pPr>
        <w:pStyle w:val="Heading2"/>
      </w:pPr>
      <w:bookmarkStart w:id="901264" w:name="_Toc300001263"/>
      <w:r>
        <w:t>FS-01-A.1: Required Adopted-Schedule Data</w:t>
      </w:r>
      <w:bookmarkEnd w:id="901264"/>
    </w:p>
    <w:p>
      <w:pPr>
        <w:pStyle w:val="Normal"/>
        <w:ind w:left="288" w:hanging="288"/>
      </w:pPr>
      <w:r>
        <w:t>1. Exact domestic legal instrument and measure identifier for each Party-side tariff or surcharge covered by the entry.</w:t>
      </w:r>
    </w:p>
    <w:p>
      <w:pPr>
        <w:pStyle w:val="Normal"/>
        <w:ind w:left="288" w:hanging="288"/>
      </w:pPr>
      <w:r>
        <w:t>2. Tariff-line concordance and product scope sufficient for customs administration, including treatment of later nomenclature changes.</w:t>
      </w:r>
    </w:p>
    <w:p>
      <w:pPr>
        <w:pStyle w:val="Normal"/>
        <w:ind w:left="288" w:hanging="288"/>
      </w:pPr>
      <w:r>
        <w:t>3. Express selection of the applicable Annex 35-D.1 landing option, including its effective time and controlling maximum duration.</w:t>
      </w:r>
    </w:p>
    <w:p>
      <w:pPr>
        <w:pStyle w:val="Normal"/>
        <w:ind w:left="288" w:hanging="288"/>
      </w:pPr>
      <w:r>
        <w:t>4. Any negotiated rate, formula, corridor, exclusion, trigger, duration, or reciprocal milestone permitted by the selected landing option.</w:t>
      </w:r>
    </w:p>
    <w:p>
      <w:pPr>
        <w:pStyle w:val="Normal"/>
        <w:ind w:left="288" w:hanging="288"/>
      </w:pPr>
      <w:r>
        <w:t>5. Final Normalization trigger, effective-time rule, and Post-Normalization Treatment, including for automotive entries whether ordinary treatment or an expressly adopted Article 59.5A Automotive Settlement Schedule controls.</w:t>
      </w:r>
    </w:p>
    <w:p>
      <w:pPr>
        <w:pStyle w:val="Normal"/>
        <w:ind w:left="288" w:hanging="288"/>
      </w:pPr>
      <w:r>
        <w:t>6. Legal Activation Mode stated expressly as Automatic, Certificate-Triggered, or Matched Reciprocal Activation, together with any objective certification condition permitted by the controlling Annex 35-D.1 option.</w:t>
      </w:r>
    </w:p>
    <w:p>
      <w:pPr>
        <w:pStyle w:val="Normal"/>
        <w:ind w:left="288" w:hanging="288"/>
      </w:pPr>
      <w:r>
        <w:t>7. Domestic instrument deposit requirement and competent authority.</w:t>
      </w:r>
    </w:p>
    <w:p>
      <w:pPr>
        <w:pStyle w:val="Normal"/>
        <w:ind w:left="288" w:hanging="288"/>
      </w:pPr>
      <w:r>
        <w:t>8. Verification source, evidentiary standard, and responsible NAESTMA body.</w:t>
      </w:r>
    </w:p>
    <w:p>
      <w:pPr>
        <w:pStyle w:val="Normal"/>
        <w:ind w:left="288" w:hanging="288"/>
      </w:pPr>
      <w:r>
        <w:t>9. Refund, reconciliation, or entry-correction rule where customs systems implement after the legal effective time.</w:t>
      </w:r>
    </w:p>
    <w:p>
      <w:pPr>
        <w:pStyle w:val="Normal"/>
        <w:ind w:left="288" w:hanging="288"/>
      </w:pPr>
      <w:r>
        <w:t>10. Participating Parties stated expressly as the applicable Canada–United States, Canada–Mexico, United States–Mexico, or trilateral scope, together with Reciprocity / Severability Status stating whether the entry is bilateral or trilateral, severable or inseverable, and identifying any expressly linked entries.</w:t>
      </w:r>
    </w:p>
    <w:p>
      <w:pPr>
        <w:pStyle w:val="Normal"/>
      </w:pPr>
      <w:r>
        <w:t>11. Cross-reference to the controlling Chapter 34 implementation rule and the applicable origin, provenance, automotive, metals, Annex 35-D/35-D.1, and Chapter 35 provisions.</w:t>
      </w:r>
    </w:p>
    <w:p>
      <w:pPr>
        <w:pStyle w:val="Heading2"/>
      </w:pPr>
      <w:bookmarkStart w:id="901265" w:name="_Toc300001264"/>
      <w:r>
        <w:t>FS-01-A.2: DEVELOPMENT RED LIGHTS, NON-OPERATIVE DRAFTING CONTROLS</w:t>
      </w:r>
      <w:bookmarkEnd w:id="901265"/>
    </w:p>
    <w:p>
      <w:pPr>
        <w:pStyle w:val="ListBullet"/>
      </w:pPr>
      <w:r>
        <w:t>No numerical interim tariff rate is treated as agreed unless it appears in the authenticated adopted schedule.</w:t>
      </w:r>
    </w:p>
    <w:p>
      <w:pPr>
        <w:pStyle w:val="ListBullet"/>
      </w:pPr>
      <w:r>
        <w:t>No fixed mineral tonnage, below-market offtake, compulsory purchase, or compulsory export commitment is imported into FS-01 merely because it appears in a candidate-options catalogue elsewhere in the master.</w:t>
      </w:r>
    </w:p>
    <w:p>
      <w:pPr>
        <w:pStyle w:val="ListBullet"/>
      </w:pPr>
      <w:r>
        <w:t>No settlement milestone creates a Party-specific automotive rule of origin or converts Canadian, Mexican, or United States originating content into non-originating content.</w:t>
      </w:r>
    </w:p>
    <w:p>
      <w:pPr>
        <w:pStyle w:val="ListBullet"/>
      </w:pPr>
      <w:r>
        <w:t>No technical correction may recreate an extinguished extraordinary tariff or broaden a covered measure.</w:t>
      </w:r>
    </w:p>
    <w:p>
      <w:pPr>
        <w:pStyle w:val="ListBullet"/>
      </w:pPr>
      <w:r>
        <w:t>No allegation, political announcement, or negotiating demand substitutes for the verification and certification required by this Protocol.</w:t>
      </w:r>
    </w:p>
    <w:p>
      <w:pPr>
        <w:pStyle w:val="ListBullet"/>
      </w:pPr>
      <w:r>
        <w:t>No FS-01 schedule entry restarts or extends a security referral, transition, review, or duration clock established by Annex 35-D or Article 35.22.</w:t>
      </w:r>
    </w:p>
    <w:p>
      <w:pPr>
        <w:pStyle w:val="ListBullet"/>
      </w:pPr>
      <w:r>
        <w:t>No Secretariat certificate is constitutive of a Final Normalization event unless the controlling Annex 35-D.1 option permits certification as an activation condition, the Adopted FS-01 Schedule Entry states Certificate-Triggered activation, the required findings are objective, and expedited failure-to-act review is available.</w:t>
      </w:r>
    </w:p>
    <w:p>
      <w:pPr>
        <w:pStyle w:val="ListBullet"/>
      </w:pPr>
      <w:r>
        <w:t>No automotive schedule entry silently displaces Article 59.5A or silently subjects ordinary originating goods to an enhanced-incentive calculation.</w:t>
      </w:r>
    </w:p>
    <w:p>
      <w:pPr>
        <w:pStyle w:val="ListBullet"/>
      </w:pPr>
      <w:r>
        <w:t>No FS-01 landing stage delays a Day-One right or obligation under Chapter 34, Annex 34-F, Article 35.27A, or Annex 35-D except through an expressly selected option authorized by Annex 35-D.1.</w:t>
      </w:r>
    </w:p>
    <w:p>
      <w:pPr>
        <w:pStyle w:val="ListBullet"/>
      </w:pPr>
      <w:r>
        <w:t>No incomplete template field, bracketed choice, draft schedule entry, or negotiating proposal has operative legal effect or displaces the Annex 35-D default.</w:t>
      </w:r>
    </w:p>
    <w:p>
      <w:pPr>
        <w:pStyle w:val="ListBullet"/>
      </w:pPr>
      <w:r>
        <w:t>No recurring condition may place ordinary Post-Normalization Treatment on perpetual probation after a covered legacy extraordinary tariff has been extinguished.</w:t>
      </w:r>
    </w:p>
    <w:p>
      <w:pPr>
        <w:pStyle w:val="ListBullet"/>
      </w:pPr>
      <w:r>
        <w:t>No technical correction may change Legal Activation Mode, the selected Annex 35-D.1 landing option, bilateral or trilateral status, or severability status.</w:t>
      </w:r>
    </w:p>
    <w:p>
      <w:pPr>
        <w:pStyle w:val="ListBullet"/>
      </w:pPr>
      <w:r>
        <w:t>No Register omission, delayed receipt, or ministerial certificate delay preserves a legacy measure that the Agreement otherwise terminates.</w:t>
      </w:r>
    </w:p>
    <w:p>
      <w:pPr>
        <w:pStyle w:val="Heading1"/>
      </w:pPr>
      <w:bookmarkStart w:id="901266" w:name="_Toc300001265"/>
      <w:r>
        <w:t>CHAPTER 36</w:t>
      </w:r>
      <w:r>
        <w:br/>
      </w:r>
      <w:r>
        <w:t>NORTH AMERICAN ECONOMIC SECURITY AND SUPPLY CHAIN RESILIENCE</w:t>
      </w:r>
      <w:bookmarkEnd w:id="901266"/>
    </w:p>
    <w:p>
      <w:pPr>
        <w:pStyle w:val="Heading2"/>
      </w:pPr>
      <w:bookmarkStart w:id="901267" w:name="_Toc300001266"/>
      <w:r>
        <w:t>Article 36.1: Purpose and Concept</w:t>
      </w:r>
      <w:bookmarkEnd w:id="901267"/>
    </w:p>
    <w:p>
      <w:pPr>
        <w:pStyle w:val="Normal"/>
      </w:pPr>
      <w:r>
        <w:t>1. The Parties establish a trilateral framework for economic security and supply chain resilience founded on the following concept: integrated North American production is a strategic asset of each Party, and trade between the Parties in strategic goods strengthens, rather than threatens, the economic and national security of each Party.</w:t>
      </w:r>
    </w:p>
    <w:p>
      <w:pPr>
        <w:pStyle w:val="Normal"/>
      </w:pPr>
      <w:r>
        <w:t>2. For the purposes of this Agreement, qualifying trade between the Parties is presumptively intra-North-American commerce for economic-security purposes. A Party shall not treat the originating goods of another Party as a presumptive economic-security risk by reason of their origin in that other Party.</w:t>
      </w:r>
    </w:p>
    <w:p>
      <w:pPr>
        <w:pStyle w:val="Normal"/>
      </w:pPr>
      <w:r>
        <w:t>3. The framework of this Chapter secures the North American economic perimeter against circumvention by non-Parties and non-market practices, without transferring to any Party authority over another Party’s industrial policy, natural resources, investment review, export controls, or national security determinations.</w:t>
      </w:r>
    </w:p>
    <w:p>
      <w:pPr>
        <w:pStyle w:val="Heading2"/>
      </w:pPr>
      <w:bookmarkStart w:id="901268" w:name="_Toc300001267"/>
      <w:r>
        <w:t>Article 36.2: Definitions</w:t>
      </w:r>
      <w:bookmarkEnd w:id="901268"/>
    </w:p>
    <w:p>
      <w:pPr>
        <w:pStyle w:val="Normal"/>
      </w:pPr>
      <w:r>
        <w:t>For the purposes of this Chapter:</w:t>
      </w:r>
    </w:p>
    <w:p>
      <w:pPr>
        <w:pStyle w:val="Normal"/>
      </w:pPr>
      <w:r>
        <w:rPr>
          <w:b/>
        </w:rPr>
        <w:t>designated strategic sector</w:t>
      </w:r>
      <w:r>
        <w:t xml:space="preserve"> means a sector designated under Article 36.4;</w:t>
      </w:r>
    </w:p>
    <w:p>
      <w:pPr>
        <w:pStyle w:val="Normal"/>
      </w:pPr>
      <w:r>
        <w:t>non-market practice means a specific practice of a non-Party, or of an entity operating under the direction or material influence of a non-Party, that is supported by objective evidence and materially distorts North American production or trade, including state-directed overcapacity, subsidization inconsistent with applicable market or trade-remedy disciplines, coerced technology transfer, discriminatory state purchasing, or comparable conduct; state ownership, public-enterprise status, industrial policy, a trade surplus, or a jurisdiction's general economic model alone does not establish a non-market practice;</w:t>
      </w:r>
    </w:p>
    <w:p>
      <w:pPr>
        <w:pStyle w:val="Normal"/>
      </w:pPr>
      <w:r>
        <w:rPr>
          <w:b/>
        </w:rPr>
        <w:t>supply chain dependency</w:t>
      </w:r>
      <w:r>
        <w:t xml:space="preserve"> means a condition in which North American production in a designated strategic sector relies on a single or concentrated source of an essential input in a manner presenting documented disruption risk;</w:t>
      </w:r>
    </w:p>
    <w:p>
      <w:pPr>
        <w:pStyle w:val="Normal"/>
      </w:pPr>
      <w:r>
        <w:t>high-risk source means a source for which objective evidence demonstrates a material vulnerability arising from excessive concentration, demonstrated supply disruption or coercion, material cybersecurity or security exposure, persistent inability to satisfy applicable standards, severe logistical vulnerability, forced-labor exposure, fraud or circumvention risk, or another documented factor materially affecting supply reliability; nationality or geographic origin alone does not establish high-risk status;</w:t>
      </w:r>
    </w:p>
    <w:p>
      <w:pPr>
        <w:pStyle w:val="Normal"/>
      </w:pPr>
      <w:r>
        <w:rPr>
          <w:b/>
        </w:rPr>
        <w:t>Trusted North American Origin</w:t>
      </w:r>
      <w:r>
        <w:t xml:space="preserve"> means the status conferred under Article 36.6.</w:t>
      </w:r>
    </w:p>
    <w:p>
      <w:pPr>
        <w:pStyle w:val="Heading2"/>
      </w:pPr>
      <w:bookmarkStart w:id="901269" w:name="_Toc300001268"/>
      <w:r>
        <w:t>Article 36.3: Economic Security and Supply Chain Resilience Subcommittee</w:t>
      </w:r>
      <w:bookmarkEnd w:id="901269"/>
    </w:p>
    <w:p>
      <w:pPr>
        <w:pStyle w:val="Normal"/>
      </w:pPr>
      <w:r>
        <w:t>1. The Parties establish, under the Committee on Competitiveness in accordance with Chapter 26 as amended, an Economic Security and Supply Chain Resilience Subcommittee (the “Subcommittee”), composed of senior officials of each Party.</w:t>
      </w:r>
    </w:p>
    <w:p>
      <w:pPr>
        <w:pStyle w:val="Normal"/>
      </w:pPr>
      <w:r>
        <w:t>2. The Subcommittee shall:</w:t>
      </w:r>
    </w:p>
    <w:p>
      <w:pPr>
        <w:pStyle w:val="Normal"/>
      </w:pPr>
      <w:r>
        <w:t>(a) identify and assess supply chain dependencies and gaps in designated strategic sectors;</w:t>
      </w:r>
    </w:p>
    <w:p>
      <w:pPr>
        <w:pStyle w:val="Normal"/>
      </w:pPr>
      <w:r>
        <w:t>(b) coordinate the Parties’ responses to actual or imminent supply chain disruptions;</w:t>
      </w:r>
    </w:p>
    <w:p>
      <w:pPr>
        <w:pStyle w:val="Normal"/>
      </w:pPr>
      <w:r>
        <w:t>(c) oversee the Trusted North American Origin system;</w:t>
      </w:r>
    </w:p>
    <w:p>
      <w:pPr>
        <w:pStyle w:val="Normal"/>
      </w:pPr>
      <w:r>
        <w:t>(d) develop shared traceability and certification standards for strategic goods;</w:t>
      </w:r>
    </w:p>
    <w:p>
      <w:pPr>
        <w:pStyle w:val="Normal"/>
      </w:pPr>
      <w:r>
        <w:t>(e) exchange information concerning non-market practices affecting North American production;</w:t>
      </w:r>
    </w:p>
    <w:p>
      <w:pPr>
        <w:pStyle w:val="Normal"/>
      </w:pPr>
      <w:r>
        <w:t>(f) coordinate, on a voluntary basis, information concerning strategic reserves of designated critical goods;</w:t>
      </w:r>
    </w:p>
    <w:p>
      <w:pPr>
        <w:pStyle w:val="Normal"/>
      </w:pPr>
      <w:r>
        <w:t>(g) publish an annual North American Supply Chain Resilience Report; and</w:t>
      </w:r>
    </w:p>
    <w:p>
      <w:pPr>
        <w:pStyle w:val="Normal"/>
      </w:pPr>
      <w:r>
        <w:t>(h) perform the functions assigned to it by this Chapter and by the Commission.</w:t>
      </w:r>
    </w:p>
    <w:p>
      <w:pPr>
        <w:pStyle w:val="Normal"/>
      </w:pPr>
      <w:r>
        <w:t>3. The Subcommittee shall meet at least quarterly, and within seven days at the request of any Party concerning an actual or imminent disruption.</w:t>
      </w:r>
    </w:p>
    <w:p>
      <w:pPr>
        <w:pStyle w:val="Normal"/>
      </w:pPr>
      <w:r>
        <w:t>4. The Subcommittee acts by consensus and does not amend this Agreement.</w:t>
      </w:r>
    </w:p>
    <w:p>
      <w:pPr>
        <w:pStyle w:val="Heading2"/>
      </w:pPr>
      <w:bookmarkStart w:id="901270" w:name="_Toc300001269"/>
      <w:r>
        <w:t>Article 36.4: Designated Strategic Sectors</w:t>
      </w:r>
      <w:bookmarkEnd w:id="901270"/>
    </w:p>
    <w:p>
      <w:pPr>
        <w:pStyle w:val="Normal"/>
      </w:pPr>
      <w:r>
        <w:t>1. The designated strategic sectors are: critical minerals and batteries; semiconductors and advanced electronics; energy and grid equipment; advanced compute infrastructure; grid-scale energy storage; high-voltage transformers and power electronics; data-centre cooling and high-speed networking equipment; pharmaceuticals, active pharmaceutical ingredients, and medical goods; defense-related industrial inputs; automotive goods; steel and aluminum; food and agricultural inputs; and telecommunications infrastructure.</w:t>
      </w:r>
    </w:p>
    <w:p>
      <w:pPr>
        <w:pStyle w:val="Normal"/>
      </w:pPr>
      <w:r>
        <w:t>2. The Commission may, by consensus, amend the designation list, and shall publish each amendment in the North American Trade Measures Registry.</w:t>
      </w:r>
    </w:p>
    <w:p>
      <w:pPr>
        <w:pStyle w:val="Normal"/>
      </w:pPr>
      <w:r>
        <w:t>3. Designation of a sector does not, by itself, authorize any measure. Measures concerning designated sectors are subject to this Agreement, including Articles 35.22 and 35.23.</w:t>
      </w:r>
    </w:p>
    <w:p>
      <w:pPr>
        <w:pStyle w:val="Heading2"/>
      </w:pPr>
      <w:bookmarkStart w:id="901271" w:name="_Toc300001270"/>
      <w:r>
        <w:t>Article 36.5: Common External Defense Against Circumvention</w:t>
      </w:r>
      <w:bookmarkEnd w:id="901271"/>
    </w:p>
    <w:p>
      <w:pPr>
        <w:pStyle w:val="Normal"/>
      </w:pPr>
      <w:r>
        <w:t>1. The Parties shall cooperate to prevent goods of non-Parties from obtaining the benefits of this Agreement through transshipment, minimal processing, false origin declarations, or other circumvention, in accordance with Chapters 4 and 5 as amended.</w:t>
      </w:r>
    </w:p>
    <w:p>
      <w:pPr>
        <w:pStyle w:val="Normal"/>
      </w:pPr>
      <w:r>
        <w:t>2. Anti-circumvention measures shall target circumvention, not legitimate North American production. Legitimate transformation within a Party, lawful use of non-originating inputs permitted by a rule of origin, and the activities listed in Article 4.A.4 (circular production) are not circumvention.</w:t>
      </w:r>
    </w:p>
    <w:p>
      <w:pPr>
        <w:pStyle w:val="Normal"/>
      </w:pPr>
      <w:r>
        <w:t>3. Where credible evidence indicates circumvention by identified entities, the Parties shall respond in accordance with Chapter 35, targeting the offending entities, products, and flows before any broader measure.</w:t>
      </w:r>
    </w:p>
    <w:p>
      <w:pPr>
        <w:pStyle w:val="Normal"/>
      </w:pPr>
      <w:r>
        <w:t>4. The Parties shall exchange customs data relevant to circumvention investigations, subject to confidentiality protections under Annex 35-C, and may conduct joint verification where suspected circumvention spans more than one Party.</w:t>
      </w:r>
    </w:p>
    <w:p>
      <w:pPr>
        <w:pStyle w:val="Heading2"/>
      </w:pPr>
      <w:bookmarkStart w:id="901272" w:name="_Toc300001271"/>
      <w:r>
        <w:t>Article 36.6: Trusted North American Origin</w:t>
      </w:r>
      <w:bookmarkEnd w:id="901272"/>
    </w:p>
    <w:p>
      <w:pPr>
        <w:pStyle w:val="Normal"/>
      </w:pPr>
      <w:r>
        <w:t>1. The Parties establish the Trusted North American Origin (TNAO) system for strategic goods satisfying enhanced origin and traceability requirements.</w:t>
      </w:r>
    </w:p>
    <w:p>
      <w:pPr>
        <w:pStyle w:val="Normal"/>
      </w:pPr>
      <w:r>
        <w:t>2. TNAO status is available to a good that: (a) qualifies as originating under Chapter 4; (b) satisfies the enhanced traceability requirements adopted by the Subcommittee for the relevant sector, including documented chain-of-custody for designated inputs; and (c) is produced by an entity certified under the trusted-producer procedures of the importing Party, which shall be administered in a non-discriminatory manner consistent with this Agreement.</w:t>
      </w:r>
    </w:p>
    <w:p>
      <w:pPr>
        <w:pStyle w:val="Normal"/>
      </w:pPr>
      <w:r>
        <w:t>3. A good holding TNAO status receives: (a) expedited customs treatment; (b) reduced verification frequency; and (c) the heightened protection of Article 35.22.6(c) against extraordinary measures.</w:t>
      </w:r>
    </w:p>
    <w:p>
      <w:pPr>
        <w:pStyle w:val="Normal"/>
      </w:pPr>
      <w:r>
        <w:t>4. TNAO criteria shall be published, measurable, sector-specific, and identical in substance across the Parties; certification decisions are reviewable through the rapid administrative appeal in Article 5.D, and certification renews automatically upon demonstrated continuing compliance, without re-application.</w:t>
      </w:r>
    </w:p>
    <w:p>
      <w:pPr>
        <w:pStyle w:val="Normal"/>
      </w:pPr>
      <w:r>
        <w:t>5. TNAO status may be suspended only: (a) for a demonstrated circumvention or traceability failure, established by entity-specific evidence; (b) following notice to the entity, access to the non-confidential evidence, and an opportunity to respond, in accordance with Article 35.10A; and (c) as to the responsible entity and product only. Suspension of one entity’s status does not affect the status of other entities, and shall not be applied to a Party’s producers generally. Suspension is subject to rapid appeal under Article 5.D, and status restores automatically upon verified correction, and in any case within 30 days of the verified correction.</w:t>
      </w:r>
    </w:p>
    <w:p>
      <w:pPr>
        <w:pStyle w:val="Normal"/>
      </w:pPr>
      <w:r>
        <w:t>6. The Subcommittee shall adopt sectoral TNAO technical standards within 18 months after entry into force of the Protocol of Modernization, beginning with critical minerals, batteries, semiconductors, steel, and aluminum.</w:t>
      </w:r>
    </w:p>
    <w:p>
      <w:pPr>
        <w:pStyle w:val="Normal"/>
      </w:pPr>
      <w:r>
        <w:t>7. TNAO suspension is entity-specific. Status may be suspended only on clear and convincing evidence of a material breach by the affected producer, exporter, or certified supply chain, or of a systemic and material failure directly affecting the reliability of that certification. An isolated clerical or paperwork error that does not affect origin eligibility does not justify suspension. Independent accredited auditors may conduct or validate compliance audits under standards adopted by the Rules of Origin and Origin Procedures Committee; customs authorities retain final enforcement jurisdiction.</w:t>
      </w:r>
    </w:p>
    <w:p>
      <w:pPr>
        <w:pStyle w:val="Normal"/>
      </w:pPr>
      <w:r>
        <w:t>8. Risk-Tiered Traceability. TNAO documentation shall be proportionate to demonstrated risk. Low-risk trusted producers may rely on supplier declarations, ordinary commercial records, periodic sampling, and audit-by-exception. Medium-risk supply chains may be subject to periodic documentary audit and targeted component verification. Lot-level, mine-to-market, or component-by-component traceability is reserved for high-risk inputs, entities, jurisdictions, or sectors identified under published criteria.</w:t>
      </w:r>
    </w:p>
    <w:p>
      <w:pPr>
        <w:pStyle w:val="Normal"/>
      </w:pPr>
      <w:r>
        <w:t>9. No producer shall lose ordinary CUSMA originating status solely because it does not seek TNAO status or because an enhanced traceability platform is unavailable. TNAO is an optional enhanced status and shall not become a mandatory condition for ordinary preferential treatment except where an express product-specific rule independently requires the relevant information.</w:t>
      </w:r>
    </w:p>
    <w:p>
      <w:pPr>
        <w:pStyle w:val="Heading2"/>
      </w:pPr>
      <w:bookmarkStart w:id="901273" w:name="_Toc300001272"/>
      <w:r>
        <w:t>Article 36.7: Non-Market Practices</w:t>
      </w:r>
      <w:bookmarkEnd w:id="901273"/>
    </w:p>
    <w:p>
      <w:pPr>
        <w:pStyle w:val="Normal"/>
      </w:pPr>
      <w:r>
        <w:t>1. The Parties shall consult and may coordinate concerning non-market practices of non-Parties that materially distort North American production or trade.</w:t>
      </w:r>
    </w:p>
    <w:p>
      <w:pPr>
        <w:pStyle w:val="Normal"/>
      </w:pPr>
      <w:r>
        <w:t>2. A Party considering a measure directed at non-market practices of a non-Party shall, where the measure may affect another Party’s originating goods, notify and consult that Party before adoption, and shall design the measure to reach non-Party goods and non-originating content rather than originating goods.</w:t>
      </w:r>
    </w:p>
    <w:p>
      <w:pPr>
        <w:pStyle w:val="Normal"/>
      </w:pPr>
      <w:r>
        <w:t>3. Designation of an economy or practice for the purposes of this Article shall be based on published criteria, evidence, and review procedures, and shall be subject to periodic review. A designation does not continue by default without review.</w:t>
      </w:r>
    </w:p>
    <w:p>
      <w:pPr>
        <w:pStyle w:val="Normal"/>
      </w:pPr>
      <w:r>
        <w:t>4. Nothing in this Article authorizes a covered border measure against originating goods of another Party except in conformity with Chapter 35.</w:t>
      </w:r>
    </w:p>
    <w:p>
      <w:pPr>
        <w:pStyle w:val="Heading2"/>
      </w:pPr>
      <w:bookmarkStart w:id="901274" w:name="_Toc300001273"/>
      <w:r>
        <w:t>Article 36.8: Investment Screening Consultation</w:t>
      </w:r>
      <w:bookmarkEnd w:id="901274"/>
    </w:p>
    <w:p>
      <w:pPr>
        <w:pStyle w:val="Normal"/>
      </w:pPr>
      <w:r>
        <w:t>1. The Parties may exchange information concerning investments by non-Parties in designated strategic sectors, including information concerning beneficial ownership relevant to trade enforcement.</w:t>
      </w:r>
    </w:p>
    <w:p>
      <w:pPr>
        <w:pStyle w:val="Normal"/>
      </w:pPr>
      <w:r>
        <w:t>2. Each Party retains final authority over its own investment review decisions. Nothing in this Article creates a supranational screening authority, a veto by one Party over another Party’s investment decisions, or an obligation to adopt any particular screening outcome.</w:t>
      </w:r>
    </w:p>
    <w:p>
      <w:pPr>
        <w:pStyle w:val="Normal"/>
      </w:pPr>
      <w:r>
        <w:t>3. Where a Party blocks or conditions an investment by an investor of another Party on national-security grounds, the investor may request an expedited procedural review within 60 days. The reviewing tribunal shall not substitute its judgment for the Party’s national-security assessment, but may determine whether the decision lacked a rational factual basis, was discriminatorily administered, or was arbitrary or politically retaliatory. Where such a violation is established, the tribunal may award reasonable documented sunk transaction costs and demonstrable transaction losses caused by the violation, and may award opportunity-cost damages only to the extent proved with reasonable certainty and not based on speculative projected profits. Nothing in this paragraph requires approval of an investment.</w:t>
      </w:r>
    </w:p>
    <w:p>
      <w:pPr>
        <w:pStyle w:val="Heading2"/>
      </w:pPr>
      <w:bookmarkStart w:id="901275" w:name="_Toc300001274"/>
      <w:r>
        <w:t>Article 36.9: Sovereignty Safeguard</w:t>
      </w:r>
      <w:bookmarkEnd w:id="901275"/>
    </w:p>
    <w:p>
      <w:pPr>
        <w:pStyle w:val="Normal"/>
      </w:pPr>
      <w:r>
        <w:t>1. Nothing in this Chapter: (a) transfers to another Party or to any body of this Agreement authority over a Party’s natural resources, industrial policy, investment review, export controls, or national security determinations; (b) obliges a Party to adopt another Party’s sanctions, export controls, or foreign-policy measures; or (c) confers on a Party a right to direct the critical-mineral, energy, or other resource policies of another Party.</w:t>
      </w:r>
    </w:p>
    <w:p>
      <w:pPr>
        <w:pStyle w:val="Normal"/>
      </w:pPr>
      <w:r>
        <w:t>2. This safeguard does not nullify any express obligation of this Agreement, and is subject to the anti-abuse disciplines of Chapter 32 as amended.</w:t>
      </w:r>
    </w:p>
    <w:p>
      <w:pPr>
        <w:pStyle w:val="Heading2"/>
      </w:pPr>
      <w:bookmarkStart w:id="901276" w:name="_Toc300001275"/>
      <w:r>
        <w:t>Article 36.10: Data, Metrics, and Early Warning</w:t>
      </w:r>
      <w:bookmarkEnd w:id="901276"/>
    </w:p>
    <w:p>
      <w:pPr>
        <w:pStyle w:val="Normal"/>
      </w:pPr>
      <w:r>
        <w:t>1. The Subcommittee shall publish annually aggregate data on: utilization of preferential treatment; origin qualification rates; border processing times; supply chain disruption events; and implementation performance under this Chapter.</w:t>
      </w:r>
    </w:p>
    <w:p>
      <w:pPr>
        <w:pStyle w:val="Normal"/>
      </w:pPr>
      <w:r>
        <w:t>2. A Party planning a measure likely to materially disrupt North American trade in a designated strategic sector shall, subject to genuine emergency exceptions, notify the other Parties not less than 30 days before implementation and shall consult on request within 10 days.</w:t>
      </w:r>
    </w:p>
    <w:p>
      <w:pPr>
        <w:pStyle w:val="Heading2"/>
      </w:pPr>
      <w:bookmarkStart w:id="901277" w:name="_Toc300001276"/>
      <w:r>
        <w:t>Article 36.11: North American Anti-Circumvention Rapid Response</w:t>
      </w:r>
      <w:bookmarkEnd w:id="901277"/>
    </w:p>
    <w:p>
      <w:pPr>
        <w:pStyle w:val="Normal"/>
      </w:pPr>
      <w:r>
        <w:t>1. Where credible, particularized evidence indicates that goods of a non-Party are being transshipped, minimally processed, relabeled, or otherwise routed through a Party for the principal purpose of obtaining preferential treatment or evading a lawful trade measure, a Party may request rapid joint verification under Chapters 4, 5, and 35.</w:t>
      </w:r>
    </w:p>
    <w:p>
      <w:pPr>
        <w:pStyle w:val="Normal"/>
      </w:pPr>
      <w:r>
        <w:t>2. The requested Parties shall begin information exchange within 72 hours and, where the evidence identifies specific entities or trade flows, shall endeavor to complete a preliminary verification within 15 days. Any provisional action shall be entity-, product-, and flow-specific, shall preserve due process, and shall not treat lawful North American transformation or permitted non-originating content as circumvention.</w:t>
      </w:r>
    </w:p>
    <w:p>
      <w:pPr>
        <w:pStyle w:val="Normal"/>
      </w:pPr>
      <w:r>
        <w:t>3. A finding under this Article activates the graduated and automatically reversible remedies of Chapter 35. No finding under this Article authorizes a country-wide tariff or other collective penalty against originating goods of a Party.</w:t>
      </w:r>
    </w:p>
    <w:p>
      <w:pPr>
        <w:pStyle w:val="Heading2"/>
      </w:pPr>
      <w:bookmarkStart w:id="901278" w:name="_Toc300001277"/>
      <w:r>
        <w:t>Article 36.12: Enhanced North American Content Incentives</w:t>
      </w:r>
      <w:bookmarkEnd w:id="901278"/>
    </w:p>
    <w:p>
      <w:pPr>
        <w:pStyle w:val="Normal"/>
      </w:pPr>
      <w:r>
        <w:t>1. The Parties shall establish voluntary enhanced-origin tiers for designated strategic sectors. A producer that materially exceeds the applicable regional value-content requirement and satisfies published traceability standards may receive expedited customs treatment, reduced routine verification, consolidated origin submissions, and eligibility for TNAO status.</w:t>
      </w:r>
    </w:p>
    <w:p>
      <w:pPr>
        <w:pStyle w:val="Normal"/>
      </w:pPr>
      <w:r>
        <w:t>2. Enhanced-origin tiers shall reward additional North American production without imposing a Party-specific sourcing mandate. No producer is required to locate production or investment in a particular Party as a condition of ordinary CUSMA preferential treatment.</w:t>
      </w:r>
    </w:p>
    <w:p>
      <w:pPr>
        <w:pStyle w:val="Normal"/>
      </w:pPr>
      <w:r>
        <w:t>3. The Subcommittee may recommend sector-specific enhanced-origin thresholds by consensus, subject to the Structured Technical Amendment Procedure where a change would alter an operative rule of origin.</w:t>
      </w:r>
    </w:p>
    <w:p>
      <w:pPr>
        <w:pStyle w:val="Heading2"/>
      </w:pPr>
      <w:bookmarkStart w:id="901279" w:name="_Toc300001278"/>
      <w:r>
        <w:t>Article 36.13: Automotive, Battery, and Advanced-Component Investment Facilitation</w:t>
      </w:r>
      <w:bookmarkEnd w:id="901279"/>
    </w:p>
    <w:p>
      <w:pPr>
        <w:pStyle w:val="Normal"/>
      </w:pPr>
      <w:r>
        <w:t>1. The Parties shall facilitate new investment within North America in vehicle assembly, batteries, power electronics, semiconductors, critical automotive components, charging equipment, and related advanced manufacturing.</w:t>
      </w:r>
    </w:p>
    <w:p>
      <w:pPr>
        <w:pStyle w:val="Normal"/>
      </w:pPr>
      <w:r>
        <w:t>2. A Party may maintain transparent, non-discriminatory domestic incentives for investment within its territory. Such incentives shall not be conditioned on the exclusion of originating goods of another Party from North American supply chains and remain subject to this Agreement.</w:t>
      </w:r>
    </w:p>
    <w:p>
      <w:pPr>
        <w:pStyle w:val="Normal"/>
      </w:pPr>
      <w:r>
        <w:t>3. The Automotive Committee shall publish an annual North American automotive investment and capacity report identifying supply-chain gaps and opportunities for additional regional production.</w:t>
      </w:r>
    </w:p>
    <w:p>
      <w:pPr>
        <w:pStyle w:val="TrumpVisibilityHeadline"/>
      </w:pPr>
      <w:r>
        <w:t xml:space="preserve">★ </w:t>
      </w:r>
      <w:r>
        <w:t>VISIBLE U.S. WIN: MORE CARS, COMPONENTS, AND STRATEGIC AUTO MANUFACTURING IN THE UNITED STATES AND NORTH AMERICA</w:t>
      </w:r>
    </w:p>
    <w:p>
      <w:pPr>
        <w:pStyle w:val="Heading2"/>
      </w:pPr>
      <w:bookmarkStart w:id="901280" w:name="_Toc300001279"/>
      <w:r>
        <w:t>Article 36.13A: Voluntary United States Manufacturing Accelerator</w:t>
      </w:r>
      <w:bookmarkEnd w:id="901280"/>
    </w:p>
    <w:p>
      <w:pPr>
        <w:pStyle w:val="Normal"/>
      </w:pPr>
      <w:r>
        <w:t>1. Without altering ordinary CUSMA eligibility or requiring Party-specific sourcing, the United States may establish transparent voluntary administrative incentives for producers that make qualifying incremental investments in United States vehicle assembly, batteries, semiconductors, power electronics, advanced materials, critical components, tooling, or other designated advanced-manufacturing capacity.</w:t>
      </w:r>
    </w:p>
    <w:p>
      <w:pPr>
        <w:pStyle w:val="Normal"/>
      </w:pPr>
      <w:r>
        <w:t>2. Incentives under this Article may include expedited customs processing, consolidated verification, longer certification validity, advance-ruling priority, trusted-producer treatment, and other administrative facilitation that does not impose a customs duty, quota, discriminatory origin rule, or penalty on production in Canada or Mexico.</w:t>
      </w:r>
    </w:p>
    <w:p>
      <w:pPr>
        <w:pStyle w:val="Normal"/>
      </w:pPr>
      <w:r>
        <w:t>3. Qualification shall be based on published objective criteria, including net new productive capacity, workforce investment, research and development, or supply-chain resilience. A producer that does not participate retains all ordinary rights and preferential treatment for which its goods otherwise qualify.</w:t>
      </w:r>
    </w:p>
    <w:p>
      <w:pPr>
        <w:pStyle w:val="Normal"/>
      </w:pPr>
      <w:r>
        <w:t>4. Canada and Mexico may establish equivalent voluntary accelerators within their territories. The Commission shall review the accelerators to ensure that they reward additional investment without becoming de facto Party-specific content mandates or substitute measures prohibited by Chapter 35.</w:t>
      </w:r>
    </w:p>
    <w:p>
      <w:pPr>
        <w:pStyle w:val="TrumpVisibilityHeadline"/>
      </w:pPr>
      <w:r>
        <w:t xml:space="preserve">★ </w:t>
      </w:r>
      <w:r>
        <w:t>VISIBLE U.S. WIN: PROTECT AND EXPAND NORTH AMERICAN STEEL AND ALUMINUM PRODUCTION</w:t>
      </w:r>
    </w:p>
    <w:p>
      <w:pPr>
        <w:pStyle w:val="Heading2"/>
      </w:pPr>
      <w:bookmarkStart w:id="901281" w:name="_Toc300001280"/>
      <w:r>
        <w:t>Article 36.14: North American Steel and Aluminum Security Framework</w:t>
      </w:r>
      <w:bookmarkEnd w:id="901281"/>
    </w:p>
    <w:p>
      <w:pPr>
        <w:pStyle w:val="Normal"/>
      </w:pPr>
      <w:r>
        <w:t>1. The Parties recognize originating steel and aluminum as strategic North American supply and shall cooperate against circumvention, non-market overcapacity, fraudulent origin claims, and evasion involving non-Party material.</w:t>
      </w:r>
    </w:p>
    <w:p>
      <w:pPr>
        <w:pStyle w:val="Normal"/>
      </w:pPr>
      <w:r>
        <w:t>2. Measures addressing non-Party steel or aluminum shall, to the maximum extent practicable, distinguish originating North American production from non-originating content and shall comply with Chapters 32 and 35.</w:t>
      </w:r>
    </w:p>
    <w:p>
      <w:pPr>
        <w:pStyle w:val="Normal"/>
      </w:pPr>
      <w:r>
        <w:t>3. The Parties shall maintain rapid traceability and melt-and-pour or smelt-and-cast verification procedures, as applicable, with simplified compliance for trusted producers and small and medium-sized enterprises.</w:t>
      </w:r>
    </w:p>
    <w:p>
      <w:pPr>
        <w:pStyle w:val="Normal"/>
      </w:pPr>
      <w:r>
        <w:rPr>
          <w:b w:val="false"/>
        </w:rPr>
        <w:t>4. No Origin Laundering Through Transit or Superficial Processing. A good, material, or component of a non-Party does not become originating North American content merely because it is routed through, repackaged in, relabeled in, minimally processed in, or shipped from Canada, Mexico, or the United States. Origin is determined only under Chapters 4 and 5 and the applicable product-specific rules, and intentional transshipment, false provenance, or superficial processing designed to evade those rules remains subject to verification, denial of preference, recovery, and proportionate penalties.</w:t>
      </w:r>
    </w:p>
    <w:p>
      <w:pPr>
        <w:pStyle w:val="TrumpVisibilityHeadline"/>
      </w:pPr>
      <w:r>
        <w:t xml:space="preserve">★ </w:t>
      </w:r>
      <w:r>
        <w:t>VISIBLE U.S. WIN: NEW NORTH AMERICAN STEEL AND ALUMINUM INVESTMENT WITH DURABLE TARIFF NORMALIZATION</w:t>
      </w:r>
    </w:p>
    <w:p>
      <w:pPr>
        <w:pStyle w:val="Heading2"/>
      </w:pPr>
      <w:bookmarkStart w:id="901282" w:name="_Toc300001281"/>
      <w:r>
        <w:t>Article 36.14A: North American Metals Investment Compact</w:t>
      </w:r>
      <w:bookmarkEnd w:id="901282"/>
    </w:p>
    <w:p>
      <w:pPr>
        <w:pStyle w:val="Normal"/>
      </w:pPr>
      <w:r>
        <w:t>1. The Parties establish a North American Metals Investment Compact to pair durable normalization of trade in originating North American steel and aluminum with commercially grounded expansion, modernization, recycling, processing, traceability, and strategic-capacity investment across the three Parties.</w:t>
      </w:r>
    </w:p>
    <w:p>
      <w:pPr>
        <w:pStyle w:val="Normal"/>
      </w:pPr>
      <w:r>
        <w:t>2. The Compact may identify qualifying public and private projects involving primary production, electric-arc and other steelmaking modernization, smelting, rolling, casting, forging, recycling, specialty alloys, electrical steel, high-strength and low-carbon products, aerospace-grade aluminum, and other strategically important metal products. Project identification does not constitute a government purchase, funding guarantee, production quota, or entitlement to approval.</w:t>
      </w:r>
    </w:p>
    <w:p>
      <w:pPr>
        <w:pStyle w:val="Normal"/>
      </w:pPr>
      <w:r>
        <w:t>3. The Parties may establish a Defense and Critical-Infrastructure Metals Lane for armor-grade and other defense steels, naval and shipbuilding grades, aerospace aluminum and specialty alloys, electrical and transformer steels, high-strength structural products, and other metal products for which insufficient North American capacity creates a documented security or resilience vulnerability.</w:t>
      </w:r>
    </w:p>
    <w:p>
      <w:pPr>
        <w:pStyle w:val="Normal"/>
      </w:pPr>
      <w:r>
        <w:t>4. Competent authorities shall apply strong anti-transshipment, origin, melted-and-poured, smelted-and-cast, and traceability disciplines to qualifying treatment while preserving lawful use of non-Party feedstock or specialized materials where origin rules permit and where such use does not constitute circumvention.</w:t>
      </w:r>
    </w:p>
    <w:p>
      <w:pPr>
        <w:pStyle w:val="Normal"/>
      </w:pPr>
      <w:r>
        <w:t>5. The Commission shall publish an annual non-confidential North American Metals Investment and Capacity Dashboard identifying, to the extent reliably measurable, announced and completed qualifying investment, net new or modernized capacity, recycling expansion, strategic-product capability, and significant supply-chain bottlenecks by Party. The Dashboard shall distinguish public commitments from private investment and shall not count a relocation within North America as net new continental capacity unless the Continental Additionality Test is satisfied.</w:t>
      </w:r>
    </w:p>
    <w:p>
      <w:pPr>
        <w:pStyle w:val="Normal"/>
      </w:pPr>
      <w:r>
        <w:t>6. Any headline multi-year investment target adopted by the Parties shall be based on identifiable projects, commercially credible expansion plans, or appropriated public programs and shall not create an unfunded purchase, subsidy, or production obligation merely by publication of the target.</w:t>
      </w:r>
    </w:p>
    <w:p>
      <w:pPr>
        <w:pStyle w:val="Normal"/>
      </w:pPr>
      <w:r>
        <w:t>7. The Parties shall seek durable tariff normalization for originating North American steel and aluminum satisfying the strengthened origin and anti-circumvention rules of this Agreement. A Party shall not treat a nominal tariff exemption accompanied by a disguised, automatically tightening, or commercially equivalent restriction as durable normalization unless the affected Parties expressly agree to that treatment.</w:t>
      </w:r>
    </w:p>
    <w:p>
      <w:pPr>
        <w:pStyle w:val="Normal"/>
      </w:pPr>
      <w:r>
        <w:t>8. Where a specific investment, capacity, or security commitment is expressly exchanged for tariff or market-access treatment, the paired obligations shall follow Article 35.36: activation at the same time or at matched milestones where practicable, verification, a short cure period where appropriate, proportional step-back limited to the paired value, and automatic restoration when performance resumes.</w:t>
      </w:r>
    </w:p>
    <w:p>
      <w:pPr>
        <w:pStyle w:val="Heading2"/>
      </w:pPr>
      <w:bookmarkStart w:id="901283" w:name="_Toc300001282"/>
      <w:r>
        <w:t>Article 36.15: Strategic Dependency Reduction and Reshoring</w:t>
      </w:r>
      <w:bookmarkEnd w:id="901283"/>
    </w:p>
    <w:p>
      <w:pPr>
        <w:pStyle w:val="Normal"/>
      </w:pPr>
      <w:r>
        <w:t>1. For each designated strategic sector, the Subcommittee shall publish non-binding resilience and dependency-reduction benchmarks addressing excessive concentration in a single source and documented reliance on high-risk sources, without presuming that non-Party origin itself constitutes risk.</w:t>
      </w:r>
    </w:p>
    <w:p>
      <w:pPr>
        <w:pStyle w:val="Normal"/>
      </w:pPr>
      <w:r>
        <w:t>2. The Parties shall cooperate to diversify vulnerable supply chains, including by expanding North American relocation, processing, recycling, manufacturing, and substitute capacity and, where appropriate, by developing reliable alternative sourcing relationships with qualifying non-Parties. Participation by firms is voluntary, and each Party retains authority over its own incentives, sourcing policy, and investment policy.</w:t>
      </w:r>
    </w:p>
    <w:p>
      <w:pPr>
        <w:pStyle w:val="Normal"/>
      </w:pPr>
      <w:r>
        <w:t>3. Benchmarks under this Article do not constitute import quotas, local-content mandates, or authority for a covered border measure against originating goods of another Party.</w:t>
      </w:r>
    </w:p>
    <w:p>
      <w:pPr>
        <w:pStyle w:val="Normal"/>
      </w:pPr>
      <w:r>
        <w:t>4. Diversification under this Article may include maintaining or expanding commercially reliable external sources where doing so reduces concentration risk or improves resilience. Geographic origin, diplomatic alignment, or economic-system classification alone shall not determine whether a source is suitable.</w:t>
      </w:r>
    </w:p>
    <w:p>
      <w:pPr>
        <w:pStyle w:val="Heading2"/>
      </w:pPr>
      <w:bookmarkStart w:id="901284" w:name="_Toc300001283"/>
      <w:r>
        <w:t>Article 36.16: Forced-Labor Perimeter and Trusted Supply-Chain Safe Harbor</w:t>
      </w:r>
      <w:bookmarkEnd w:id="901284"/>
    </w:p>
    <w:p>
      <w:pPr>
        <w:pStyle w:val="Normal"/>
      </w:pPr>
      <w:r>
        <w:t>1. The Parties shall cooperate to prevent goods produced wholly or in part with forced labor from entering North American commerce, including through interoperable risk indicators, evidence sharing, and coordinated enforcement consistent with each Party’s law.</w:t>
      </w:r>
    </w:p>
    <w:p>
      <w:pPr>
        <w:pStyle w:val="Normal"/>
      </w:pPr>
      <w:r>
        <w:t>2. A producer or importer demonstrating an independently verified, low-risk supply chain under published standards shall receive a rebuttable trusted-supply-chain presumption and simplified routine documentation, without limiting action based on materially new evidence.</w:t>
      </w:r>
    </w:p>
    <w:p>
      <w:pPr>
        <w:pStyle w:val="Normal"/>
      </w:pPr>
      <w:r>
        <w:t>3. Enforcement shall target the implicated goods, entities, and supply chains and shall include notice, access to non-confidential evidence, and review procedures.</w:t>
      </w:r>
    </w:p>
    <w:p>
      <w:pPr>
        <w:pStyle w:val="Heading2"/>
      </w:pPr>
      <w:bookmarkStart w:id="901285" w:name="_Toc300001284"/>
      <w:r>
        <w:t>Article 36.17: Origin Fraud and Repeat-Offender Discipline</w:t>
      </w:r>
      <w:bookmarkEnd w:id="901285"/>
    </w:p>
    <w:p>
      <w:pPr>
        <w:pStyle w:val="Normal"/>
      </w:pPr>
      <w:r>
        <w:t>1. Intentional material origin fraud established through final administrative or judicial process may result in loss of trusted status, enhanced verification, monetary penalties under domestic law, and temporary exclusion from simplified CUSMA procedures.</w:t>
      </w:r>
    </w:p>
    <w:p>
      <w:pPr>
        <w:pStyle w:val="Normal"/>
      </w:pPr>
      <w:r>
        <w:t>2. The Secretariat shall maintain a confidential trilateral repeat-offender register accessible to competent customs authorities. Public identification requires a final finding and an opportunity for review.</w:t>
      </w:r>
    </w:p>
    <w:p>
      <w:pPr>
        <w:pStyle w:val="Normal"/>
      </w:pPr>
      <w:r>
        <w:t>3. Sanctions shall attach to responsible entities and products and shall not be imputed to unrelated producers or to a Party generally.</w:t>
      </w:r>
    </w:p>
    <w:p>
      <w:pPr>
        <w:pStyle w:val="Heading2"/>
      </w:pPr>
      <w:bookmarkStart w:id="901286" w:name="_Toc300001285"/>
      <w:r>
        <w:t>Article 36.18: Agricultural Market-Access Assurance</w:t>
      </w:r>
      <w:bookmarkEnd w:id="901286"/>
    </w:p>
    <w:p>
      <w:pPr>
        <w:pStyle w:val="Normal"/>
      </w:pPr>
      <w:r>
        <w:t>1. The Parties shall administer agricultural tariff-rate quotas, licensing, inspection, listing, and distribution measures transparently, objectively, and without discrimination designed to nullify negotiated market access.</w:t>
      </w:r>
    </w:p>
    <w:p>
      <w:pPr>
        <w:pStyle w:val="Normal"/>
      </w:pPr>
      <w:r>
        <w:t>2. Where a Party alleges that administration rather than the negotiated quantity is materially preventing utilization of agreed agricultural access, it may request an expedited factual review. The review shall distinguish genuine market conditions from administrative barriers.</w:t>
      </w:r>
    </w:p>
    <w:p>
      <w:pPr>
        <w:pStyle w:val="Normal"/>
      </w:pPr>
      <w:r>
        <w:t>3. A verified administrative barrier shall be corrected through the narrowest sufficient remedy, including reallocation of unused quota, removal of discriminatory eligibility conditions, or accelerated processing, as appropriate. This Article does not itself alter a Party’s negotiated TRQ quantities or require dismantling of a domestic supply-management system.</w:t>
      </w:r>
    </w:p>
    <w:p>
      <w:pPr>
        <w:pStyle w:val="Heading2"/>
      </w:pPr>
      <w:bookmarkStart w:id="901287" w:name="_Toc300001286"/>
      <w:r>
        <w:t>Article 36.19: North American Energy Security and Continuity</w:t>
      </w:r>
      <w:bookmarkEnd w:id="901287"/>
    </w:p>
    <w:p>
      <w:pPr>
        <w:pStyle w:val="Normal"/>
      </w:pPr>
      <w:r>
        <w:t>1. The Parties recognize reliable trade in originating electricity, oil, natural gas, nuclear fuel and services, refined products, renewable-energy inputs, and critical grid equipment as contributing to North American energy security.</w:t>
      </w:r>
    </w:p>
    <w:p>
      <w:pPr>
        <w:pStyle w:val="Normal"/>
      </w:pPr>
      <w:r>
        <w:t>2. The Parties shall cooperate on emergency continuity, infrastructure resilience, interoperability, and transparent cross-border permitting while preserving each Party’s constitutional authority, environmental law, resource ownership, and regulatory jurisdiction.</w:t>
      </w:r>
    </w:p>
    <w:p>
      <w:pPr>
        <w:pStyle w:val="Normal"/>
      </w:pPr>
      <w:r>
        <w:t>3. Originating energy trade shall not be treated as a presumptive national-security threat solely because it originates in another Party. Any restriction remains subject to Chapters 32, 35, and 38.</w:t>
      </w:r>
    </w:p>
    <w:p>
      <w:pPr>
        <w:pStyle w:val="Heading2"/>
      </w:pPr>
      <w:bookmarkStart w:id="901288" w:name="_Toc300001287"/>
      <w:r>
        <w:t>Article 36.20: Semiconductor and Advanced-Manufacturing Compact</w:t>
      </w:r>
      <w:bookmarkEnd w:id="901288"/>
    </w:p>
    <w:p>
      <w:pPr>
        <w:pStyle w:val="Normal"/>
      </w:pPr>
      <w:r>
        <w:t>1. The Parties shall facilitate resilient North American capacity in semiconductor fabrication, packaging, testing, substrates, power electronics, industrial robotics, advanced manufacturing equipment, and critical upstream inputs.</w:t>
      </w:r>
    </w:p>
    <w:p>
      <w:pPr>
        <w:pStyle w:val="Normal"/>
      </w:pPr>
      <w:r>
        <w:t>2. Cooperation may include workforce development, research partnerships, standards interoperability, trusted-supplier programs, and voluntary coordination of incentives, subject to competition law and each Party’s domestic authority.</w:t>
      </w:r>
    </w:p>
    <w:p>
      <w:pPr>
        <w:pStyle w:val="Normal"/>
      </w:pPr>
      <w:r>
        <w:t>3. Nothing in this Article requires transfer of controlled technology, source code, classified information, or intellectual property.</w:t>
      </w:r>
    </w:p>
    <w:p>
      <w:pPr>
        <w:pStyle w:val="Heading2"/>
      </w:pPr>
      <w:bookmarkStart w:id="901289" w:name="_Toc300001288"/>
      <w:r>
        <w:t>Article 36.21: Small-Business Export Fast Lane</w:t>
      </w:r>
      <w:bookmarkEnd w:id="901289"/>
    </w:p>
    <w:p>
      <w:pPr>
        <w:pStyle w:val="Normal"/>
      </w:pPr>
      <w:r>
        <w:t>1. Each Party shall establish a simplified CUSMA export and import pathway for qualifying small and medium-sized enterprises with clean compliance records, including standardized electronic documentation, consolidated origin submissions, predictable service standards, and access to advance rulings.</w:t>
      </w:r>
    </w:p>
    <w:p>
      <w:pPr>
        <w:pStyle w:val="Normal"/>
      </w:pPr>
      <w:r>
        <w:t>2. The Parties shall publish common model forms and a single explanatory data dictionary for low-value and routine SME shipments, consistent with Chapters 5 and 7.</w:t>
      </w:r>
    </w:p>
    <w:p>
      <w:pPr>
        <w:pStyle w:val="Normal"/>
      </w:pPr>
      <w:r>
        <w:t>3. Benefits under this Article are reciprocal and available on objective criteria without regard to the nationality of the ultimate owner of a qualifying enterprise.</w:t>
      </w:r>
    </w:p>
    <w:p>
      <w:pPr>
        <w:pStyle w:val="Heading2"/>
      </w:pPr>
      <w:bookmarkStart w:id="901290" w:name="_Toc300001289"/>
      <w:r>
        <w:t>Article 36.22: Regulatory Barrier Rapid Review</w:t>
      </w:r>
      <w:bookmarkEnd w:id="901290"/>
    </w:p>
    <w:p>
      <w:pPr>
        <w:pStyle w:val="Normal"/>
      </w:pPr>
      <w:r>
        <w:t>1. An exporter, importer, or Party may request rapid review of a technical, licensing, inspection, or administrative requirement alleged to discriminate against originating goods or services of another Party or to impose a materially disproportionate burden without a legitimate regulatory justification.</w:t>
      </w:r>
    </w:p>
    <w:p>
      <w:pPr>
        <w:pStyle w:val="Normal"/>
      </w:pPr>
      <w:r>
        <w:t>2. Review shall apply the necessity, non-discrimination, and compliance-burden principles of this Agreement and shall respect each Party’s right to regulate for health, safety, environment, privacy, culture, consumer protection, financial stability, and other legitimate public objectives.</w:t>
      </w:r>
    </w:p>
    <w:p>
      <w:pPr>
        <w:pStyle w:val="Normal"/>
      </w:pPr>
      <w:r>
        <w:t>3. A rapid review does not suspend a bona fide health or safety measure merely because compliance is costly. Interim relief is available only under the standards of Chapter 35.</w:t>
      </w:r>
    </w:p>
    <w:p>
      <w:pPr>
        <w:pStyle w:val="Heading2"/>
      </w:pPr>
      <w:bookmarkStart w:id="901291" w:name="_Toc300001290"/>
      <w:r>
        <w:t>Article 36.23: Digital Trade and Advanced-Technology Non-Discrimination</w:t>
      </w:r>
      <w:bookmarkEnd w:id="901291"/>
    </w:p>
    <w:p>
      <w:pPr>
        <w:pStyle w:val="Normal"/>
      </w:pPr>
      <w:r>
        <w:t>1. The Parties reaffirm that digital regulation shall not discriminate against a service supplier or digital product solely because of the nationality of another Party, while preserving legitimate regulation consistent with Chapter 19 and other applicable provisions of this Agreement.</w:t>
      </w:r>
    </w:p>
    <w:p>
      <w:pPr>
        <w:pStyle w:val="Normal"/>
      </w:pPr>
      <w:r>
        <w:t>2. The Parties shall cooperate on artificial intelligence, cybersecurity, privacy-enhancing technologies, digital identity, electronic invoicing, and advanced-manufacturing interoperability without requiring regulatory harmonization or weakening a Party’s privacy, competition, cultural, consumer-protection, or national-security laws.</w:t>
      </w:r>
    </w:p>
    <w:p>
      <w:pPr>
        <w:pStyle w:val="Normal"/>
      </w:pPr>
      <w:r>
        <w:t>3. Nothing in this Article creates a general exemption from taxation or from laws of general application.</w:t>
      </w:r>
    </w:p>
    <w:p>
      <w:pPr>
        <w:pStyle w:val="TrumpVisibilityHeadline"/>
      </w:pPr>
      <w:r>
        <w:t xml:space="preserve">★ </w:t>
      </w:r>
      <w:r>
        <w:t>VISIBLE U.S. WIN: MORE U.S. EXPORT, INVESTMENT, RESHORING AND JOINT-VENTURE OPPORTUNITIES</w:t>
      </w:r>
    </w:p>
    <w:p>
      <w:pPr>
        <w:pStyle w:val="Heading2"/>
      </w:pPr>
      <w:bookmarkStart w:id="901292" w:name="_Toc300001291"/>
      <w:r>
        <w:t>Article 36.24: North American Trade Rebalancing and Investment Mechanism</w:t>
      </w:r>
      <w:bookmarkEnd w:id="901292"/>
    </w:p>
    <w:p>
      <w:pPr>
        <w:pStyle w:val="Normal"/>
      </w:pPr>
      <w:r>
        <w:t>1. [DIAGNOSTIC TRIGGER] A persistent or material change in a bilateral trade balance, import volume, market share, manufacturing capacity, or domestic operating margin may trigger a factual diagnostic, but does not by itself establish unfair trade, economic distortion, or a violation of this Agreement. A diagnostic may also examine a material North American dependence on a high-risk non-Party where a Party identifies a plausible regional supply, investment, or capacity-building opportunity. Any such examination shall distinguish a genuine security or resilience concern from ordinary lawful comparative advantage and shall not presume that sourcing from a non-Party is improper. The trigger therefore initiates analysis rather than a purchase obligation, origin presumption, restriction, or corrective measure.</w:t>
      </w:r>
    </w:p>
    <w:p>
      <w:pPr>
        <w:pStyle w:val="Normal"/>
      </w:pPr>
      <w:r>
        <w:t>2. [EVIDENTIARY DIAGNOSTIC] On request of a Party, the Treaty Integrity Secretariat shall prepare a diagnostic identifying, where data permit, the contributions of energy prices, exchange rates, demand, investment cycles, capacity constraints, lawful comparative advantage, non-market practices, origin fraud, subsidies, regulatory barriers, infrastructure constraints, and other material factors. Where regional substitution is examined, the diagnostic shall identify the relevant good or input, present North American production and announced capacity, technical and qualification requirements, commercially realistic lead times, material cost or infrastructure constraints, and the extent to which additional regional supply could reasonably displace high-risk dependence without creating a new supply vulnerability. The Secretariat shall distinguish existing capacity from prospective capacity and shall identify material data limitations rather than treating announced investment, theoretical production, or nominal supplier presence as available supply. A finding that regional substitution is commercially plausible does not establish that a particular supplier, investment, procurement decision, or sourcing change is required.</w:t>
      </w:r>
    </w:p>
    <w:p>
      <w:pPr>
        <w:pStyle w:val="Normal"/>
      </w:pPr>
      <w:r>
        <w:t>3. [VOLUNTARY REGIONAL-SUBSTITUTION PATHWAY] Where the diagnostic identifies commercially addressable opportunities, the Parties shall convene a voluntary Rebalancing and Investment Dialogue to identify opportunities for additional exports, removal of verified regulatory barriers, new investment, reshoring or friend-shoring from high-risk non-Parties into North America, joint ventures, infrastructure and energy projects, procurement opportunities consistent with Chapter 13, agricultural market access consistent with negotiated commitments, expansion of productive capacity, and commercially realistic substitution of high-risk non-Party supply with originating North American supply. The Dialogue may identify supplier-development needs, qualification pathways, infrastructure or energy bottlenecks, financing or investment opportunities, workforce constraints, and sequencing needed for regional capacity to become commercially usable. Opportunities shall be product- and capacity-specific and shall account for price, quality, scale, delivery time, technical compatibility, resilience, and other material commercial factors rather than treating North American location alone as sufficient. The Dialogue shall coordinate with existing sectoral bodies where they already possess the relevant mandate and shall not create a parallel approval process for private sourcing or investment.</w:t>
      </w:r>
    </w:p>
    <w:p>
      <w:pPr>
        <w:pStyle w:val="Normal"/>
      </w:pPr>
      <w:r>
        <w:t>4. [NO MANAGED-TRADE OR PURCHASE MANDATE] Recommendations under paragraph 3 are non-binding unless separately adopted under this Agreement or domestic law. No Party is required to purchase a specified quantity of goods, direct private investment, maintain a bilateral trade-balance target, replace a lawful non-Party supplier, or accept a managed-trade commitment. A Party may pursue a regional-substitution opportunity through procurement, investment facilitation, infrastructure, regulatory cooperation, supplier development, or another lawful instrument only to the extent independently authorized and consistent with the applicable obligations of this Agreement. Failure of a voluntary opportunity to produce additional bilateral trade or regional substitution does not itself establish non-performance, injury, or grounds for retaliation.</w:t>
      </w:r>
    </w:p>
    <w:p>
      <w:pPr>
        <w:pStyle w:val="Normal"/>
      </w:pPr>
      <w:r>
        <w:t>5. [CORRECTIVE-MEASURE FIREWALL] Only a distortion independently verified under Chapter 35 may support a corrective measure. A trade deficit or surplus, standing alone or in combination with a political objective, is not actionable and does not establish injury. Dependence on a non-Party source, failure to select a North American supplier, or inability to achieve commercially realistic regional substitution is likewise not independently actionable under this Article. Nothing in this Article expands the authority of Chapter 35, alters applicable rules of origin, or authorizes discrimination based solely on supplier nationality where such discrimination is not otherwise permitted by this Agreement.</w:t>
      </w:r>
    </w:p>
    <w:p>
      <w:pPr>
        <w:pStyle w:val="Normal"/>
      </w:pPr>
      <w:r>
        <w:t>6. [OPPORTUNITY REPORT AND MEASUREMENT] The Secretariat shall publish a non-confidential annual North American Opportunity Report identifying verified supply gaps and commercially realistic export, investment, manufacturing, energy, infrastructure, agricultural, and regional-substitution opportunities in each Party. For a regional-substitution opportunity, the Report shall distinguish verified current capacity, capacity under construction or committed investment, and longer-term prospective capacity, and may report subsequent changes in regional production, sourcing, investment, qualification, or infrastructure where reliable data are available. Measurement is informational and shall not convert an opportunity into a quota, target, procurement preference, or presumption of treaty compliance or non-compliance. Confidential business information, security-sensitive information, and commercially sensitive supplier data shall be protected in accordance with this Agreement and applicable domestic law.</w:t>
      </w:r>
    </w:p>
    <w:p>
      <w:pPr>
        <w:pStyle w:val="Heading2"/>
      </w:pPr>
      <w:bookmarkStart w:id="901293" w:name="_Toc300001292"/>
      <w:r>
        <w:t>Article 36.25: Voluntary Subnational Market Access Framework</w:t>
      </w:r>
      <w:bookmarkEnd w:id="901293"/>
    </w:p>
    <w:p>
      <w:pPr>
        <w:pStyle w:val="Normal"/>
      </w:pPr>
      <w:r>
        <w:t>1. The Parties establish a framework through which willing provinces, territories, states, and other eligible subnational governments may, consistently with their constitutional authority and the law of the relevant Party, undertake reciprocal market-access commitments that go beyond the baseline obligations of this Agreement.</w:t>
      </w:r>
    </w:p>
    <w:p>
      <w:pPr>
        <w:pStyle w:val="Normal"/>
      </w:pPr>
      <w:r>
        <w:t>2. Participation is voluntary. No federal Party may compel a subnational government to participate, and no participating subnational government acquires authority outside its constitutional jurisdiction.</w:t>
      </w:r>
    </w:p>
    <w:p>
      <w:pPr>
        <w:pStyle w:val="Normal"/>
      </w:pPr>
      <w:r>
        <w:t>3. Commitments may address beverage-alcohol listing and distribution, procurement, professional licensing, transportation, energy equipment, digital administration, agricultural marketing, and other matters within participating governments’ authority. Commitments shall be transparent, reciprocal, non-discriminatory, and registered with the Commission.</w:t>
      </w:r>
    </w:p>
    <w:p>
      <w:pPr>
        <w:pStyle w:val="Normal"/>
      </w:pPr>
      <w:r>
        <w:t>4. A participating Canadian province may provide enhanced, non-discriminatory access for originating U.S. wine, beer, and spirits through streamlined listing, transparent markups, simplified registration, distribution access, or other measures within provincial authority. Equivalent opportunities shall be available for originating Canadian products in participating U.S. jurisdictions. Nothing in this paragraph requires a province or state to privatize a distribution system or alter health, safety, labeling, age, or ordinary tax rules applied without discrimination.</w:t>
      </w:r>
    </w:p>
    <w:p>
      <w:pPr>
        <w:pStyle w:val="Normal"/>
      </w:pPr>
      <w:r>
        <w:t>5. A subnational commitment shall remain in effect for the period specified in its registered schedule. Withdrawal requires not less than 12 months’ notice unless the schedule provides a longer period, protecting reasonable commercial reliance.</w:t>
      </w:r>
    </w:p>
    <w:p>
      <w:pPr>
        <w:pStyle w:val="Normal"/>
      </w:pPr>
      <w:r>
        <w:t>6. The Commission shall maintain model schedules and may facilitate province-state or state-province arrangements, but shall not negotiate on behalf of a subnational government without its consent.</w:t>
      </w:r>
    </w:p>
    <w:p>
      <w:pPr>
        <w:pStyle w:val="Heading2"/>
      </w:pPr>
      <w:bookmarkStart w:id="901294" w:name="_Toc300001293"/>
      <w:r>
        <w:t>Article 36.26: Provincial-Demand Agricultural Allocation Option</w:t>
      </w:r>
      <w:bookmarkEnd w:id="901294"/>
    </w:p>
    <w:p>
      <w:pPr>
        <w:pStyle w:val="Normal"/>
      </w:pPr>
      <w:r>
        <w:t>1. Without altering Canada’s aggregate CUSMA tariff-rate quota commitments or requiring the dismantling of supply management, Canada may establish a transparent mechanism through which importers serving a province demonstrating unmet consumer or processor demand may receive a defined portion of available, returned, underutilized, or newly negotiated agricultural TRQ access.</w:t>
      </w:r>
    </w:p>
    <w:p>
      <w:pPr>
        <w:pStyle w:val="Normal"/>
      </w:pPr>
      <w:r>
        <w:t>2. An allocation under paragraph 1 shall: (a) not reduce another province’s legally committed existing allocation solely to create the provincial allocation; (b) use published demand and utilization criteria; (c) permit eligible importers to compete on non-discriminatory terms; (d) return materially unused quantities to the applicable national pool; and (e) remain consistent with Chapter 3 and Canada’s Schedule.</w:t>
      </w:r>
    </w:p>
    <w:p>
      <w:pPr>
        <w:pStyle w:val="Normal"/>
      </w:pPr>
      <w:r>
        <w:t>3. The Parties may negotiate reciprocal provincial or state market-access opportunities for agricultural products under Article 36.25. Nothing in this Article creates a unilateral entitlement to additional quota beyond Canada’s negotiated aggregate commitments.</w:t>
      </w:r>
    </w:p>
    <w:p>
      <w:pPr>
        <w:pStyle w:val="Heading2"/>
      </w:pPr>
      <w:bookmarkStart w:id="901295" w:name="_Toc300001294"/>
      <w:r>
        <w:t>Article 36.27: Strategic Procurement and Trusted-Supplier Reciprocity</w:t>
      </w:r>
      <w:bookmarkEnd w:id="901295"/>
    </w:p>
    <w:p>
      <w:pPr>
        <w:pStyle w:val="Normal"/>
      </w:pPr>
      <w:r>
        <w:t>1. The Parties shall seek reciprocal opportunities for originating suppliers in strategic infrastructure and other covered procurement while preserving each Party’s procurement laws, security exceptions, and existing reservations.</w:t>
      </w:r>
    </w:p>
    <w:p>
      <w:pPr>
        <w:pStyle w:val="Normal"/>
      </w:pPr>
      <w:r>
        <w:t>2. The Commission may establish a voluntary trusted North American supplier designation for procurements in which the procuring entity elects to recognize enhanced origin, cybersecurity, supply-chain integrity, and security standards. The designation does not compel an award and does not override domestic procurement authority.</w:t>
      </w:r>
    </w:p>
    <w:p>
      <w:pPr>
        <w:pStyle w:val="Normal"/>
      </w:pPr>
      <w:r>
        <w:t>3. Expansion of procurement coverage or alteration of existing reservations requires the agreement of the affected Parties and any domestic approval required by their laws.</w:t>
      </w:r>
    </w:p>
    <w:p>
      <w:pPr>
        <w:pStyle w:val="Heading2"/>
      </w:pPr>
      <w:bookmarkStart w:id="901296" w:name="_Toc300001295"/>
      <w:r>
        <w:t>Article 36.28: Stronger-Deal Extension Review</w:t>
      </w:r>
      <w:bookmarkEnd w:id="901296"/>
    </w:p>
    <w:p>
      <w:pPr>
        <w:pStyle w:val="Normal"/>
      </w:pPr>
      <w:r>
        <w:t>1. At each joint review under Article 34.7, the Parties shall separately assess the performance of the enhanced origin, anti-circumvention, agricultural market-access, economic-security, SME facilitation, and automatic-enforcement provisions adopted through the Protocol of Modernization.</w:t>
      </w:r>
    </w:p>
    <w:p>
      <w:pPr>
        <w:pStyle w:val="Normal"/>
      </w:pPr>
      <w:r>
        <w:t>2. The assessment shall identify measurable gains to manufacturers, farmers, ranchers, workers, service suppliers, consumers, and businesses of all sizes in each Party and shall distinguish verified compliance failures from ordinary commercial outcomes.</w:t>
      </w:r>
    </w:p>
    <w:p>
      <w:pPr>
        <w:pStyle w:val="Normal"/>
      </w:pPr>
      <w:r>
        <w:t>3. Nothing in this Article predetermines a Party’s position on any modernization recommendation under Article 34.7. Its purpose is to ensure that review decisions are informed by transparent evidence concerning the materially strengthened bargain created by the Protocol of Modernization; continuation of the Agreement does not depend on adoption of any recommendation.</w:t>
      </w:r>
    </w:p>
    <w:p>
      <w:pPr>
        <w:pStyle w:val="Heading2"/>
      </w:pPr>
      <w:bookmarkStart w:id="901297" w:name="_Toc300001296"/>
      <w:r>
        <w:t>Article 36.29: Supply-Chain Resilience and Worker Transition</w:t>
      </w:r>
      <w:bookmarkEnd w:id="901297"/>
    </w:p>
    <w:p>
      <w:pPr>
        <w:pStyle w:val="Normal"/>
      </w:pPr>
      <w:r>
        <w:t>Supply-chain resilience initiatives under Chapter 36 shall be implemented in a manner consistent with Chapter 23-B (North American Just Transition and Worker Security Framework). Specifically:</w:t>
      </w:r>
    </w:p>
    <w:p>
      <w:pPr>
        <w:pStyle w:val="Normal"/>
      </w:pPr>
      <w:r>
        <w:t>(i) When a supply-chain restructuring initiative results in plant closure, significant workforce reduction, or relocation, affected workers and communities shall be entitled to Chapter 23-B protections (income support, retraining, community resilience support).</w:t>
      </w:r>
    </w:p>
    <w:p>
      <w:pPr>
        <w:pStyle w:val="Normal"/>
      </w:pPr>
      <w:r>
        <w:t>(ii) Supply-chain sectors experiencing restructuring shall be reviewed for designation as Transition Sectors under Article 23-B.8.</w:t>
      </w:r>
    </w:p>
    <w:p>
      <w:pPr>
        <w:pStyle w:val="Normal"/>
      </w:pPr>
      <w:r>
        <w:t>(iii) The Commission shall coordinate between Chapter 36 (supply-chain resilience) and Chapter 23-B (worker/community resilience) to ensure that supply-chain changes do not outpace worker and community support mechanisms.</w:t>
      </w:r>
    </w:p>
    <w:p>
      <w:pPr>
        <w:pStyle w:val="Normal"/>
      </w:pPr>
      <w:r>
        <w:t>Chapter 37 is the principal critical-minerals and strategic-materials location. Related security, origin, industrial-capacity, semiconductor, recycling, and external-feedstock rules appear elsewhere.</w:t>
      </w:r>
    </w:p>
    <w:p>
      <w:pPr>
        <w:pStyle w:val="TrumpVisibilityHeadline"/>
      </w:pPr>
      <w:r>
        <w:t>SEARCH SIGNPOST: CRITICAL MINERALS / STRATEGIC MATERIALS / PROCESSING / REFINING / STOCKPILES / OFFTAKE / RECYCLING / RARE EARTHS</w:t>
      </w:r>
    </w:p>
    <w:p>
      <w:pPr>
        <w:pStyle w:val="Heading1"/>
      </w:pPr>
      <w:bookmarkStart w:id="901298" w:name="_Toc300001297"/>
      <w:r>
        <w:t>ANNEX 36-A: STRATEGIC NORTH AMERICAN CONTENT ASSURANCE AND RESILIENCE PROTOCOL</w:t>
      </w:r>
      <w:bookmarkEnd w:id="901298"/>
    </w:p>
    <w:p>
      <w:pPr>
        <w:pStyle w:val="Normal"/>
      </w:pPr>
      <w:r>
        <w:t>Final Settlement Integration Gateway. This Annex provides an optional strategic assurance and enhanced-benefit layer within Chapter 36. It does not replace ordinary rules of origin, convert assurance criteria into origin criteria, or diminish otherwise qualifying Canadian, Mexican, or United States originating content; Chapters 4 and 5 and Articles 32.F and 32.G remain controlling according to their scope.</w:t>
      </w:r>
    </w:p>
    <w:p>
      <w:pPr>
        <w:pStyle w:val="Heading2"/>
      </w:pPr>
      <w:bookmarkStart w:id="901299" w:name="_Toc300001298"/>
      <w:r>
        <w:t>FS-02.1: Purpose, Existing-Law Relationship, and Sovereignty Firewall</w:t>
      </w:r>
      <w:bookmarkEnd w:id="901299"/>
    </w:p>
    <w:p>
      <w:pPr>
        <w:pStyle w:val="ClauseLabel"/>
      </w:pPr>
      <w:r>
        <w:t>FS02-A01: Settlement Function</w:t>
      </w:r>
    </w:p>
    <w:p>
      <w:pPr>
        <w:pStyle w:val="Normal"/>
      </w:pPr>
      <w:r>
        <w:t>This Protocol establishes a schedule-based mechanism through which the Parties may pair verified North American resilience contributions with expressly identified additional treaty benefits in designated strategic sectors. It supplements rather than replaces the rules of origin, strategic-sector, economic-security, strategic-materials, automotive, verification, and dispute-settlement architecture already established by NAESTMA. It creates no independent tariff authority, import prohibition, origin rule, investment-screening power, sanctions authority, or third-country veto. Every FS-02 commitment operates only within authority otherwise established by the Agreement and an Adopted FS-02 Schedule Row.</w:t>
      </w:r>
    </w:p>
    <w:p>
      <w:pPr>
        <w:pStyle w:val="ClauseLabel"/>
      </w:pPr>
      <w:r>
        <w:t>FS02-A02: Article 32.F Risk Discipline</w:t>
      </w:r>
    </w:p>
    <w:p>
      <w:pPr>
        <w:pStyle w:val="Normal"/>
      </w:pPr>
      <w:r>
        <w:t>Article 32.F applies in full to every risk classification, source review, supplier review, dependency finding, and assurance decision under this Protocol. Nationality, country of manufacture, state ownership, diplomatic alignment, or economic model does not by itself establish high risk or justify adverse treatment. A restrictive determination requires objective and functionally relevant evidence connected to the particular material, supplier, facility, technology, transaction, or supply-chain exposure under review. FS-02 may reward verified resilience without converting lawful foreign origin into a presumption of insecurity.</w:t>
      </w:r>
    </w:p>
    <w:p>
      <w:pPr>
        <w:pStyle w:val="ClauseLabel"/>
      </w:pPr>
      <w:r>
        <w:t>FS02-A03: Article 32.G Sovereignty Firewall</w:t>
      </w:r>
    </w:p>
    <w:p>
      <w:pPr>
        <w:pStyle w:val="Normal"/>
      </w:pPr>
      <w:r>
        <w:t>Article 32.G applies in full to every FS-02 schedule, review, consultation, and assurance arrangement. No Enhanced Assurance Benefit is conditioned on a Party surrendering its sovereign authority to negotiate, conclude, amend, implement, suspend, or terminate lawful economic arrangements with a non-Party. A Party may review the specific effects of such an arrangement only to the extent permitted by the Agreement for origin administration, circumvention prevention, verified security risk, or another express obligation. No FS-02 schedule operates as a veto, right of first refusal, exclusive-alignment requirement, or approval mechanism over another Party's external economic relations.</w:t>
      </w:r>
    </w:p>
    <w:p>
      <w:pPr>
        <w:pStyle w:val="ClauseLabel"/>
      </w:pPr>
      <w:r>
        <w:t>FS02-A04: No New Legal Origin Status</w:t>
      </w:r>
    </w:p>
    <w:p>
      <w:pPr>
        <w:pStyle w:val="Normal"/>
      </w:pPr>
      <w:r>
        <w:t>Originating status remains determined exclusively under Chapter 4 and the applicable product-specific rules, with verification administered under Chapter 5 and other applicable provisions. An FS-02 Assurance Contribution is an incentive and resilience metric and is not a new category of legal origin. Satisfaction of an Assurance Benchmark does not convert non-originating material into originating material unless Chapter 4 independently produces that result. Failure to satisfy an optional assurance benchmark does not strip a good of originating status that it otherwise possesses.</w:t>
      </w:r>
    </w:p>
    <w:p>
      <w:pPr>
        <w:pStyle w:val="ClauseLabel"/>
      </w:pPr>
      <w:r>
        <w:t>FS02-A05: Existing Strategic Architecture Controls</w:t>
      </w:r>
    </w:p>
    <w:p>
      <w:pPr>
        <w:pStyle w:val="Normal"/>
      </w:pPr>
      <w:r>
        <w:t>Article 36.4 controls strategic-sector designation, Articles 36.5 and 36.6 control the relevant anti-circumvention and Trusted North American Origin architecture, and Chapter 37 controls the applicable strategic-materials and trusted-source architecture. Chapter 59 and Annex 4-E control the applicable automotive enhanced-integration architecture. FS-02 does not recreate those systems or alter their eligibility standards by implication. Where a conflict appears, the more specific underlying provision governs unless an adopted amendment expressly states otherwise.</w:t>
      </w:r>
    </w:p>
    <w:p>
      <w:pPr>
        <w:pStyle w:val="ClauseLabel"/>
      </w:pPr>
      <w:r>
        <w:t>FS02-A06: No Implied Bargaining Concession</w:t>
      </w:r>
    </w:p>
    <w:p>
      <w:pPr>
        <w:pStyle w:val="Normal"/>
      </w:pPr>
      <w:r>
        <w:t>Inclusion of a sector, benchmark, source category, contribution, or benefit in Schedule FS-02-A does not constitute an admission that an existing measure, sourcing pattern, ownership structure, investment, or commercial relationship is lawful or unlawful. It does not concede that a particular localization level, dependency level, or sourcing pattern is economically optimal. The Schedule records only the settlement bargain expressly adopted by the participating Parties. Silence on a matter preserves the treatment otherwise provided by NAESTMA.</w:t>
      </w:r>
    </w:p>
    <w:p>
      <w:pPr>
        <w:pStyle w:val="ClauseLabel"/>
      </w:pPr>
      <w:r>
        <w:t>FS02-A07: Defined Assurance Terms</w:t>
      </w:r>
    </w:p>
    <w:p>
      <w:pPr>
        <w:pStyle w:val="Normal"/>
      </w:pPr>
      <w:r>
        <w:t>For purposes of FS-02, “Assurance Contribution” means the measured resilience contribution evaluated under an Adopted FS-02 Schedule Row, and “Assurance Benchmark” means the adopted threshold, performance rule, or graduated metric against which that contribution is evaluated. “Assurance Participant” means the producer, facility, project, supplier, investor, or supply arrangement whose evidence is evaluated, while “Participant / Transaction Scope” identifies the precise goods, transactions, facilities, projects, or activities to which qualification applies. “Enhanced Assurance Benefit” means the additional benefit expressly earned through satisfaction of an Assurance Benchmark, and “Maximum Benefit” means the greatest legal benefit available under that adopted row regardless of overperformance. “Adopted FS-02 Schedule Row” means a completed Schedule FS-02-A row formally adopted by the participating Parties identified in its Participating Parties / Geographic Scope field under the required treaty procedure; a template, draft, bracketed choice, incomplete row, or negotiating proposal is not an Adopted FS-02 Schedule Row.</w:t>
      </w:r>
    </w:p>
    <w:p>
      <w:pPr>
        <w:pStyle w:val="Heading2"/>
      </w:pPr>
      <w:bookmarkStart w:id="901300" w:name="_Toc300001299"/>
      <w:r>
        <w:t>FS-02.2: Eligible Strategic Sectors and Verified Resilience Deficiency</w:t>
      </w:r>
      <w:bookmarkEnd w:id="901300"/>
    </w:p>
    <w:p>
      <w:pPr>
        <w:pStyle w:val="ClauseLabel"/>
      </w:pPr>
      <w:r>
        <w:t>FS02-B01: Article 36.4 Eligibility Gate</w:t>
      </w:r>
    </w:p>
    <w:p>
      <w:pPr>
        <w:pStyle w:val="Normal"/>
      </w:pPr>
      <w:r>
        <w:t>Only a sector already designated under Article 36.4 may receive an FS-02 sector schedule unless the Parties first amend that designation through the procedure already provided by the Agreement. FS-02 creates no parallel strategic-sector list and no unilateral power to expand Article 36.4. A sector's designation establishes eligibility for analysis but does not by itself establish a resilience deficiency or authorize an enhanced benchmark. The Adopted FS-02 Schedule Row identifies the precise product, component, material, technology, or supply-chain segment to which the FS-02 bargain applies.</w:t>
      </w:r>
    </w:p>
    <w:p>
      <w:pPr>
        <w:pStyle w:val="ClauseLabel"/>
      </w:pPr>
      <w:r>
        <w:t>FS02-B02: Verified Resilience Deficiency Record</w:t>
      </w:r>
    </w:p>
    <w:p>
      <w:pPr>
        <w:pStyle w:val="Normal"/>
      </w:pPr>
      <w:r>
        <w:t>Before adopting an Assurance Benchmark, the participating Parties prepare a Verified Resilience Deficiency Record identifying the concrete vulnerability the benchmark is intended to address. The Record is an evidentiary predicate for adoption of an FS-02 bargain and is not an independent restrictive authority, security classification, strategic-sector designation, finding of treaty breach, or basis for adverse treatment. During development, the proposed Schedule row identifies the existing body responsible for assembling the Record, while the participating Parties authenticate the Record for adoption purposes; after adoption, the Adopted FS-02 Schedule Row identifies the existing body responsible for continuing review. The Record identifies the evidence relied upon, affected function, geographic and product scope, deficiency type, materiality, and reason ordinary origin administration alone does not resolve the deficiency, and a generalized preference for domestic or North American production is insufficient.</w:t>
      </w:r>
    </w:p>
    <w:p>
      <w:pPr>
        <w:pStyle w:val="ClauseLabel"/>
      </w:pPr>
      <w:r>
        <w:t>FS02-B03: Functionally Relevant Nexus</w:t>
      </w:r>
    </w:p>
    <w:p>
      <w:pPr>
        <w:pStyle w:val="Normal"/>
      </w:pPr>
      <w:r>
        <w:t>Every proposed Assurance Benchmark has a direct and documented nexus to the deficiency recorded under FS02-B02. A semiconductor-material shortage does not justify an unrelated vehicle-content benchmark, and a provenance problem does not by itself justify a broad localization requirement. Before adoption, the participating Parties record materially less restrictive and non-discriminatory alternatives considered and the reason the selected Assurance Benchmark more effectively addresses the verified deficiency without creating a freestanding least-restrictive-means cause of action. The benchmark targets the value-chain stage, technical capability, strategic form, supplier concentration, traceability gap, or continuity problem that the evidence actually identifies.</w:t>
      </w:r>
    </w:p>
    <w:p>
      <w:pPr>
        <w:pStyle w:val="ClauseLabel"/>
      </w:pPr>
      <w:r>
        <w:t>FS02-B04: Midstream Gap and Additionality Interface</w:t>
      </w:r>
    </w:p>
    <w:p>
      <w:pPr>
        <w:pStyle w:val="Normal"/>
      </w:pPr>
      <w:r>
        <w:t>Where the asserted deficiency concerns missing North American processing, refining, conversion, qualification, recycling, or other midstream capability, the Parties use the Chapter 37 Midstream Gap Register and Continental Additionality Test as the principal factual interface. An Enhanced Assurance Benefit does not reward the mere relocation of substantially equivalent capacity from one Party to another where no material continental resilience gain results. The Adopted FS-02 Schedule Row identifies the additional North American capability, bottleneck reduction, redundancy, qualification, or strategic-form availability expected from the Assurance Contribution. Existing capacity remains eligible where the adopted bargain expressly rewards preservation of minimum viable capacity rather than new construction.</w:t>
      </w:r>
    </w:p>
    <w:p>
      <w:pPr>
        <w:pStyle w:val="ClauseLabel"/>
      </w:pPr>
      <w:r>
        <w:t>FS02-B05: Time-Bounded Deficiency Review</w:t>
      </w:r>
    </w:p>
    <w:p>
      <w:pPr>
        <w:pStyle w:val="Normal"/>
      </w:pPr>
      <w:r>
        <w:t>Each Verified Resilience Deficiency Record includes a review interval appropriate to the underlying market, technology, qualification cycle, and investment horizon. Review tests whether the recorded deficiency persists, has materially changed, has been cured, or has migrated to another value-chain stage. Where authorized by the Adopted FS-02 Schedule Row, review may continue, reduce, suspend, or retire the Assurance Benchmark, but an increase or materially different benchmark requires the same adoption procedure as the original bargain. Expiry or retirement of the Verified Resilience Deficiency Record does not alter Ordinary-Origin Treatment or other treaty rights that exist independently of FS-02.</w:t>
      </w:r>
    </w:p>
    <w:p>
      <w:pPr>
        <w:pStyle w:val="ClauseLabel"/>
      </w:pPr>
      <w:r>
        <w:t>FS02-B06: No Designation by Negotiating Leverage</w:t>
      </w:r>
    </w:p>
    <w:p>
      <w:pPr>
        <w:pStyle w:val="Normal"/>
      </w:pPr>
      <w:r>
        <w:t>A resilience deficiency is not established solely by a trade deficit, political disagreement, negotiating objective, desire to redirect investment, or preference for production in a particular Party. Commercial concentration may be relevant where evidence shows that it creates a material continuity, security, qualification, or resilience exposure. The Record separates the existence of a vulnerability from the policy choice concerning how to respond to it. No adverse classification arises merely because a lawful supplier or source is located outside North America.</w:t>
      </w:r>
    </w:p>
    <w:p>
      <w:pPr>
        <w:pStyle w:val="Heading2"/>
      </w:pPr>
      <w:bookmarkStart w:id="901301" w:name="_Toc300001300"/>
      <w:r>
        <w:t>FS-02.3: Three-Bucket Content and Assurance Architecture</w:t>
      </w:r>
      <w:bookmarkEnd w:id="901301"/>
    </w:p>
    <w:p>
      <w:pPr>
        <w:pStyle w:val="ClauseLabel"/>
      </w:pPr>
      <w:r>
        <w:t>FS02-C01: Bucket One: Ordinary-Origin Treatment</w:t>
      </w:r>
    </w:p>
    <w:p>
      <w:pPr>
        <w:pStyle w:val="Normal"/>
      </w:pPr>
      <w:r>
        <w:t>A good that qualifies as originating under Chapter 4 remains in the Ordinary-Origin Treatment bucket unless another specific treaty provision lawfully provides otherwise. That good receives the ordinary tariff and other treatment established by NAESTMA without being required to satisfy an optional Assurance Benchmark. A Party does not withhold Ordinary-Origin Treatment merely because an Assurance Participant declines to seek an Enhanced Assurance Benefit or provide an Assurance Contribution beyond what ordinary treaty treatment requires. Verification of ordinary origin remains separate from verification of an Assurance Contribution.</w:t>
      </w:r>
    </w:p>
    <w:p>
      <w:pPr>
        <w:pStyle w:val="ClauseLabel"/>
      </w:pPr>
      <w:r>
        <w:t>FS02-C02: Bucket Two: Enhanced Assurance Benefit</w:t>
      </w:r>
    </w:p>
    <w:p>
      <w:pPr>
        <w:pStyle w:val="Normal"/>
      </w:pPr>
      <w:r>
        <w:t>An Assurance Participant may seek an Enhanced Assurance Benefit by satisfying the Assurance Benchmark expressly adopted in Schedule FS-02-A for the covered good, transaction, project, facility, or supply arrangement. Participant qualification does not automatically confer the benefit on every good, transaction, facility, project, or affiliate associated with that participant, and the Adopted FS-02 Schedule Row identifies the precise Participant / Transaction Scope. The Assurance Benchmark may measure verified additional North American capacity, redundancy, processing, strategic-component contribution, qualification, traceability, recycling, continuity, or another resilience contribution supported by the Verified Resilience Deficiency Record. Satisfaction earns only the Enhanced Assurance Benefit expressly identified in the Adopted FS-02 Schedule Row and does not create a separate legal origin or assurance status.</w:t>
      </w:r>
    </w:p>
    <w:p>
      <w:pPr>
        <w:pStyle w:val="ClauseLabel"/>
      </w:pPr>
      <w:r>
        <w:t>FS02-C03: Bucket Three: Lawful External Input</w:t>
      </w:r>
    </w:p>
    <w:p>
      <w:pPr>
        <w:pStyle w:val="Normal"/>
      </w:pPr>
      <w:r>
        <w:t>A lawful non-originating input, technology, service, investment, supplier, or material remains permissible unless another provision of the Agreement or applicable domestic law independently restricts it. Such an input does not count as North American originating content merely because it is lawful, trusted, or commercially necessary. Its use does not by itself establish circumvention, prohibited dependency, non-market sourcing, or failure of an FS-02 obligation. Where the input qualifies under the Trusted Strategic Materials Source architecture or another applicable trusted-source provision, that status is respected according to its existing legal effect.</w:t>
      </w:r>
    </w:p>
    <w:p>
      <w:pPr>
        <w:pStyle w:val="ClauseLabel"/>
      </w:pPr>
      <w:r>
        <w:t>FS02-C04: Assurance Contribution Distinguished from Origin Content</w:t>
      </w:r>
    </w:p>
    <w:p>
      <w:pPr>
        <w:pStyle w:val="Normal"/>
      </w:pPr>
      <w:r>
        <w:t>Schedule FS-02-A separately records Origin Content and Assurance Contribution wherever both concepts are relevant. Origin Content means content credited under Chapter 4 and the applicable product-specific rule. Assurance Contribution means an additional verified resilience contribution used solely to determine eligibility for an FS-02 Enhanced Assurance Benefit unless the Agreement expressly provides another effect. No administrative guidance, certificate, or schedule note may silently convert Assurance Contribution into a new origin threshold.</w:t>
      </w:r>
    </w:p>
    <w:p>
      <w:pPr>
        <w:pStyle w:val="ClauseLabel"/>
      </w:pPr>
      <w:r>
        <w:t>FS02-C05: Regional, Not Single-Party, Character</w:t>
      </w:r>
    </w:p>
    <w:p>
      <w:pPr>
        <w:pStyle w:val="Normal"/>
      </w:pPr>
      <w:r>
        <w:t>Within the geographic scope of an Adopted FS-02 Schedule Row, qualifying Canadian, Mexican, and United States contribution from each participating Party has equal legal character unless another existing treaty provision independently requires different treatment. The adopted row identifies its Participating Parties / Geographic Scope, and a bilateral row neither alters the treatment owed to the third Party nor devalues otherwise qualifying North American content from that Party under the Agreement. An FS-02 schedule does not prescribe a fixed minimum share for one Party as a condition for earning a regional Enhanced Assurance Benefit, while Party-specific domestic incentives remain subject to their independent legal authorities and count toward a regional FS-02 metric only where the adopted row expressly identifies the measurable contribution for which credit is available. Project-specific or commercially agreed investment locations do not become treaty-wide single-Party localization quotas merely because they are recorded in implementation evidence.</w:t>
      </w:r>
    </w:p>
    <w:p>
      <w:pPr>
        <w:pStyle w:val="ClauseLabel"/>
      </w:pPr>
      <w:r>
        <w:t>FS02-C06: No Penalty for Declining Enhanced Assurance Benefit</w:t>
      </w:r>
    </w:p>
    <w:p>
      <w:pPr>
        <w:pStyle w:val="Normal"/>
      </w:pPr>
      <w:r>
        <w:t>An Assurance Participant, producer, importer, investor, or supplier that remains within ordinary treaty treatment incurs no demerit merely because it does not pursue an Enhanced Assurance Benefit. The absence, expiry, reduction, suspension, or loss of an Enhanced Assurance Benefit does not itself establish breach, circumvention, security risk, or non-originating status. Any adverse action requires an independent legal basis and the evidence and procedure applicable to that basis. FS-02 therefore operates as an earned-benefit architecture rather than a disguised compulsory localization regime.</w:t>
      </w:r>
    </w:p>
    <w:p>
      <w:pPr>
        <w:pStyle w:val="ClauseLabel"/>
      </w:pPr>
      <w:r>
        <w:t>FS02-C07: Optional-in-Law and Optional-in-Practice</w:t>
      </w:r>
    </w:p>
    <w:p>
      <w:pPr>
        <w:pStyle w:val="Normal"/>
      </w:pPr>
      <w:r>
        <w:t>Administration of an Enhanced Assurance Benefit does not materially degrade, delay, burden, or render commercially impracticable the ordinary treaty treatment available to a person, good, transaction, or facility that does not participate in FS-02. Ordinary administration remains functional and timely when compared with reasonably comparable non-FS-02 transactions, taking legitimate differences in risk, documentation, product characteristics, and applicable treaty procedures into account. A Party does not manufacture practical compulsion by shifting ordinary administrative capacity, documentation burdens, inspection intensity, or processing time in a manner designed principally to force participation in an optional assurance program. Evidence of material degradation proceeds under the applicable treaty administration and dispute mechanisms without converting non-participation itself into a breach or risk classification.</w:t>
      </w:r>
    </w:p>
    <w:p>
      <w:pPr>
        <w:pStyle w:val="Heading2"/>
      </w:pPr>
      <w:bookmarkStart w:id="901302" w:name="_Toc300001301"/>
      <w:r>
        <w:t>FS-02.4: Strategic Content Assurance Schedule and Earned Benefits</w:t>
      </w:r>
      <w:bookmarkEnd w:id="901302"/>
    </w:p>
    <w:p>
      <w:pPr>
        <w:pStyle w:val="ClauseLabel"/>
      </w:pPr>
      <w:r>
        <w:t>FS02-D01: Schedule as the Operative Bargain</w:t>
      </w:r>
    </w:p>
    <w:p>
      <w:pPr>
        <w:pStyle w:val="Normal"/>
      </w:pPr>
      <w:r>
        <w:t>An Adopted FS-02 Schedule Row is the exclusive instrument for activating a sector-specific enhanced assurance bargain under this Protocol, and its controlled Adoption Status is Development, Adopted, or Closed. A Development row, template, bracketed field, draft proposal, incomplete row, negotiating text, or unadopted option has no legal effect, while a Closed row has only the continuing effects expressly preserved by this Protocol or the Agreement; silence preserves the treatment otherwise provided by NAESTMA. Each Adopted FS-02 Schedule Row identifies the eligible sector and covered scope, Verified Resilience Deficiency Record, ordinary origin baseline, Assurance Benchmark, Participant / Transaction Scope, measurement method, evidence source, Enhanced Assurance Benefit, Specific Benefit Legal Authority, Maximum Benefit, review interval, and exit or restoration rule. The Secretariat records the adopted bargain and status changes but does not supply missing commercial, technical, legal, or political terms.</w:t>
      </w:r>
    </w:p>
    <w:p>
      <w:pPr>
        <w:pStyle w:val="ClauseLabel"/>
      </w:pPr>
      <w:r>
        <w:t>FS02-D02: Predetermined Earned Benefit</w:t>
      </w:r>
    </w:p>
    <w:p>
      <w:pPr>
        <w:pStyle w:val="Normal"/>
      </w:pPr>
      <w:r>
        <w:t>Every Assurance Benchmark is paired in advance with an Enhanced Assurance Benefit that becomes available when the required evidence demonstrates satisfaction. An Adopted FS-02 Schedule Row activates only a benefit for which it cites the specific independently existing treaty authority and, where necessary, domestic legal authority sufficient to provide that benefit; a generic chapter citation is insufficient where it does not identify the operative authority. The benefit may include customs facilitation, reduced verification frequency, trusted-lane treatment, procurement or qualification eligibility, financing coordination, infrastructure facilitation, reserve access, technical qualification support, or another benefit only to the extent the cited authority permits it. An Enhanced Assurance Benefit does not include a new tariff preference, tariff penalty, embargo, procurement exclusion, sanctions measure, or investment restriction unless another provision independently authorizes that treatment and the adopted row expressly invokes it.</w:t>
      </w:r>
    </w:p>
    <w:p>
      <w:pPr>
        <w:pStyle w:val="ClauseLabel"/>
      </w:pPr>
      <w:r>
        <w:t>FS02-D03: Graduated Credit and Partial Performance</w:t>
      </w:r>
    </w:p>
    <w:p>
      <w:pPr>
        <w:pStyle w:val="Normal"/>
      </w:pPr>
      <w:r>
        <w:t>Where technically feasible, the Adopted FS-02 Schedule Row uses graduated credit for measurable partial performance rather than an all-or-nothing threshold. The adopted formula identifies the measurement period, evidentiary tolerance, treatment of temporary production interruption, method for correcting verified data error, and any graduated benefit formula; where no graduated formula is expressly adopted, an administrator does not invent or interpolate a partial Enhanced Assurance Benefit. Partial performance earns only the corresponding portion or level expressly established by the adopted formula, and performance above the Assurance Benchmark does not enlarge the legal benefit beyond the Maximum Benefit stated in the adopted row without formal amendment. A cliff threshold may be used only where the underlying technical, security, qualification, or operational function genuinely cannot be divided.</w:t>
      </w:r>
    </w:p>
    <w:p>
      <w:pPr>
        <w:pStyle w:val="ClauseLabel"/>
      </w:pPr>
      <w:r>
        <w:t>FS02-D04: No Double Counting</w:t>
      </w:r>
    </w:p>
    <w:p>
      <w:pPr>
        <w:pStyle w:val="Normal"/>
      </w:pPr>
      <w:r>
        <w:t>The same unit of production, investment, capacity, recycled material, strategic component, qualification, or other Assurance Contribution is not counted twice toward the same Assurance Benchmark unless the Adopted FS-02 Schedule Row expressly identifies distinct functions served by that contribution. A contribution may satisfy separate treaty programs only where each program's eligibility rules independently permit it, but the same physical investment or capacity addition is not represented as two physically distinct additions to continental capacity. The verification record identifies material overlaps with TNAO, Chapter 37 incentives, Chapter 59 enhanced integration, or other relevant programs. Administrative reuse of the same evidence is encouraged even when legal credit remains separately calculated.</w:t>
      </w:r>
    </w:p>
    <w:p>
      <w:pPr>
        <w:pStyle w:val="ClauseLabel"/>
      </w:pPr>
      <w:r>
        <w:t>FS02-D05: Existing-Institution-First Administration</w:t>
      </w:r>
    </w:p>
    <w:p>
      <w:pPr>
        <w:pStyle w:val="Normal"/>
      </w:pPr>
      <w:r>
        <w:t>FS-02 is administered through existing NAESTMA institutions, registries, verification systems, and technical bodies to the maximum extent practicable. A Party or Secretariat office does not require resubmission of information already available in an authoritative treaty record unless the information is stale, incomplete, legally unavailable for the new purpose, or materially disputed. The Schedule identifies the responsible existing body for each evidence stream and benefit. No permanent new committee is created merely to administer an FS-02 row.</w:t>
      </w:r>
    </w:p>
    <w:p>
      <w:pPr>
        <w:pStyle w:val="ClauseLabel"/>
      </w:pPr>
      <w:r>
        <w:t>FS02-D06: No Unwritten Benchmark Escalation</w:t>
      </w:r>
    </w:p>
    <w:p>
      <w:pPr>
        <w:pStyle w:val="Normal"/>
      </w:pPr>
      <w:r>
        <w:t>An adopted Assurance Benchmark changes only through the amendment, review, or adjustment procedure expressly identified in the Adopted FS-02 Schedule Row and otherwise permitted by NAESTMA. Guidance, technical notes, customs practice, procurement instructions, or verifier methodology do not increase the substantive Assurance Benchmark. A technical correction may clarify measurement without increasing the negotiated burden, reducing the Enhanced Assurance Benefit, changing the Maximum Benefit, or altering Participant / Transaction Scope. Material changes require the same level of Party approval required for adoption of the affected Adopted FS-02 Schedule Row.</w:t>
      </w:r>
    </w:p>
    <w:p>
      <w:pPr>
        <w:pStyle w:val="Heading2"/>
      </w:pPr>
      <w:bookmarkStart w:id="901303" w:name="_Toc300001302"/>
      <w:r>
        <w:t>FS-02.5: Verification, TNAO, Trusted External Sources, and Anti-Circumvention</w:t>
      </w:r>
      <w:bookmarkEnd w:id="901303"/>
    </w:p>
    <w:p>
      <w:pPr>
        <w:pStyle w:val="ClauseLabel"/>
      </w:pPr>
      <w:r>
        <w:t>FS02-E01: TNAO as an Existing Assurance Pathway</w:t>
      </w:r>
    </w:p>
    <w:p>
      <w:pPr>
        <w:pStyle w:val="Normal"/>
      </w:pPr>
      <w:r>
        <w:t>Trusted North American Origin under Article 36.6 remains an existing assurance pathway and is not duplicated by FS-02. Where TNAO evidence satisfies all or part of an Assurance Benchmark, the Adopted FS-02 Schedule Row identifies the precise evidence or criterion that may be reused. TNAO may be required for a particular Enhanced Assurance Benefit only where its criteria are functionally relevant to that benefit, and FS-02 does not lower TNAO standards, expand TNAO legal effects, or require TNAO status for Ordinary-Origin Treatment. Loss or absence of TNAO status affects an Enhanced Assurance Benefit only to the extent expressly stated in the adopted row.</w:t>
      </w:r>
    </w:p>
    <w:p>
      <w:pPr>
        <w:pStyle w:val="ClauseLabel"/>
      </w:pPr>
      <w:r>
        <w:t>FS02-E02: Trusted Strategic Materials Source Firewall</w:t>
      </w:r>
    </w:p>
    <w:p>
      <w:pPr>
        <w:pStyle w:val="Normal"/>
      </w:pPr>
      <w:r>
        <w:t>Trusted Strategic Materials Source treatment under Article 37.6A and related provisions remains available according to its existing criteria and legal effect. Use of a qualifying trusted non-Party source does not by itself constitute circumvention, prohibited dependency, or failure of an FS-02 assurance obligation, and trusted-source status does not create an irrebuttable presumption against transaction-specific evidence of fraud, sanctions violations, forced labor, cybersecurity compromise, origin misconduct, or another independently actionable risk. Transaction-specific adverse evidence affects only the implicated transaction, supplier, facility, material, or other evidentially supported scope unless the controlling authority independently supports broader treatment, and such material receives no originating credit unless Chapter 4 independently permits that credit. An Adopted FS-02 Schedule Row may recognize trusted external sourcing as a resilience factor where the Verified Resilience Deficiency Record concerns concentration, unavailable technical grade, certification, form, quantity, or delivery time.</w:t>
      </w:r>
    </w:p>
    <w:p>
      <w:pPr>
        <w:pStyle w:val="ClauseLabel"/>
      </w:pPr>
      <w:r>
        <w:t>FS02-E03: Anti-Circumvention Interface</w:t>
      </w:r>
    </w:p>
    <w:p>
      <w:pPr>
        <w:pStyle w:val="Normal"/>
      </w:pPr>
      <w:r>
        <w:t>Article 36.5 and the applicable origin-verification provisions govern transshipment, minimal processing, false origin claims, routing, relabelling, and other circumvention concerns relevant to FS-02. FS-02 creates no broader presumption of evasion based on foreign content or foreign ownership. Where evidence identifies a particular producer, facility, shipment, product flow, or source as the locus of the problem, verification and corrective action remain targeted to that locus unless broader treatment is independently justified. Legitimate transformation and lawful use of non-originating inputs remain protected according to the Agreement.</w:t>
      </w:r>
    </w:p>
    <w:p>
      <w:pPr>
        <w:pStyle w:val="ClauseLabel"/>
      </w:pPr>
      <w:r>
        <w:t>FS02-E04: Cothrom Verification and Cure</w:t>
      </w:r>
    </w:p>
    <w:p>
      <w:pPr>
        <w:pStyle w:val="Normal"/>
      </w:pPr>
      <w:r>
        <w:t>The applicable Chapter 35 and Cothrom verification, evidence, cure, proportionality, containment, and restoration architecture governs a material allegation concerning an FS-02 Assurance Benchmark in full. FS-02 creates no separate evidentiary burden, cure ladder, remedy ladder, restoration process, or independent authority to withdraw Ordinary-Origin Treatment. The Adopted FS-02 Schedule Row identifies only the disputed Assurance Benchmark, Assurance Contribution, Participant / Transaction Scope, and Enhanced Assurance Benefit to which the existing process applies. Unrelated sectors, participants, facilities, products, transactions, and treaty benefits remain outside the dispute unless an independent legal basis applies.</w:t>
      </w:r>
    </w:p>
    <w:p>
      <w:pPr>
        <w:pStyle w:val="ClauseLabel"/>
      </w:pPr>
      <w:r>
        <w:t>FS02-E05: Data Minimization and Commercial Confidentiality</w:t>
      </w:r>
    </w:p>
    <w:p>
      <w:pPr>
        <w:pStyle w:val="Normal"/>
      </w:pPr>
      <w:r>
        <w:t>Verification requests are limited to information reasonably necessary to establish the relevant origin, Assurance Contribution, source status, traceability, capacity, qualification, or Enhanced Assurance Benefit criterion. Existing Chapter 35 and other applicable confidentiality, national-custody, business-information, cybersecurity, and retention safeguards apply to FS-02 records. A verifier does not require disclosure of unrelated supplier lists, pricing, intellectual property, production methods, or commercial strategy merely because an Assurance Participant seeks an Enhanced Assurance Benefit. Aggregated or independently attested evidence may be accepted where the verifier establishes the required criterion with sufficient reliability without exposing unnecessary confidential information.</w:t>
      </w:r>
    </w:p>
    <w:p>
      <w:pPr>
        <w:pStyle w:val="ClauseLabel"/>
      </w:pPr>
      <w:r>
        <w:t>FS02-E06: Continuity During Technical Review</w:t>
      </w:r>
    </w:p>
    <w:p>
      <w:pPr>
        <w:pStyle w:val="Normal"/>
      </w:pPr>
      <w:r>
        <w:t>A good or participant does not lose ordinary treaty treatment merely because an FS-02 Enhanced Assurance Benefit review is pending. Where credible evidence creates a material question about entitlement to an Enhanced Assurance Benefit, the administering authority may use only the narrowest temporary hold, reserve, or provisional treatment already authorized by the Agreement while verification proceeds. The temporary measure expires according to the duration, review, renewal, and aggregation rules of the controlling authority, and FS-02 does not extend, reset, or renew that period. Verified entitlement triggers prompt restoration of the affected Enhanced Assurance Benefit and correction of the administrative record.</w:t>
      </w:r>
    </w:p>
    <w:p>
      <w:pPr>
        <w:pStyle w:val="Heading2"/>
      </w:pPr>
      <w:bookmarkStart w:id="901304" w:name="_Toc300001303"/>
      <w:r>
        <w:t>FS-02.6: Anti-Abuse, Review, Exit, and Restoration</w:t>
      </w:r>
      <w:bookmarkEnd w:id="901304"/>
    </w:p>
    <w:p>
      <w:pPr>
        <w:pStyle w:val="ClauseLabel"/>
      </w:pPr>
      <w:r>
        <w:t>FS02-F01: No Nationality Proxy</w:t>
      </w:r>
    </w:p>
    <w:p>
      <w:pPr>
        <w:pStyle w:val="Normal"/>
      </w:pPr>
      <w:r>
        <w:t>An FS-02 criterion is not administered through a proxy that reproduces nationality-based exclusion while avoiding nationality-based wording. Evidence that a relevant risk is concentrated in a particular jurisdiction may be considered where the evidence establishes the underlying functional risk, but jurisdictional correlation alone does not establish that the jurisdiction, nationality, ownership form, or economic model causes or proves that risk. A criterion tied to ownership, financing source, corporate form, technology origin, state participation, diplomatic relationship, or jurisdictional label requires a functionally relevant evidentiary nexus where it produces adverse treatment. Neutral technical, security, integrity, labor, environmental, sanctions, export-control, forced-labor, and supply-reliability criteria remain available where otherwise lawful and proportionate to the verified risk or deficiency they address.</w:t>
      </w:r>
    </w:p>
    <w:p>
      <w:pPr>
        <w:pStyle w:val="ClauseLabel"/>
      </w:pPr>
      <w:r>
        <w:t>FS02-F02: No Automatic Reshoring Rule</w:t>
      </w:r>
    </w:p>
    <w:p>
      <w:pPr>
        <w:pStyle w:val="Normal"/>
      </w:pPr>
      <w:r>
        <w:t>FS-02 does not establish automatic reshoring, autarky, or exclusive North American sourcing as the default response to a resilience deficiency. The Schedule may reward additional North American capacity where the evidence shows that such capacity materially improves resilience, but it also recognizes diversification, trusted external sourcing, recycling, substitution, stockpiling, qualification, and redundancy where those tools address the deficiency. The selected response reflects technical and commercial reality rather than geography alone. Nothing prevents a Party from pursuing lawful domestic industrial policy outside FS-02 consistent with its treaty obligations.</w:t>
      </w:r>
    </w:p>
    <w:p>
      <w:pPr>
        <w:pStyle w:val="ClauseLabel"/>
      </w:pPr>
      <w:r>
        <w:t>FS02-F03: No Permanent Emergency by Reclassification</w:t>
      </w:r>
    </w:p>
    <w:p>
      <w:pPr>
        <w:pStyle w:val="Normal"/>
      </w:pPr>
      <w:r>
        <w:t>A temporary shortage, disruption, emergency, or high-risk finding does not become permanent merely through repeated relabelling, successive substantially similar findings, or movement between administrative categories. Review identifies whether the factual basis materially changed and whether ordinary treatment resumes, and substantially identical successive findings are aggregated where the controlling underlying provision requires aggregation. Where another chapter imposes a specific duration, renewal, aggregation, or review rule, FS-02 does not reset or extend that clock. An expired FS-02 deficiency finding does not revive without the evidence and procedure required for a new or renewed finding.</w:t>
      </w:r>
    </w:p>
    <w:p>
      <w:pPr>
        <w:pStyle w:val="ClauseLabel"/>
      </w:pPr>
      <w:r>
        <w:t>FS02-F04: Benefit Withdrawal and Automatic Restoration</w:t>
      </w:r>
    </w:p>
    <w:p>
      <w:pPr>
        <w:pStyle w:val="Normal"/>
      </w:pPr>
      <w:r>
        <w:t>Withdrawal, reduction, or suspension of an Enhanced Assurance Benefit is limited to the benefit connected to the verified failure unless another treaty provision independently authorizes broader action. Cure restores the affected Enhanced Assurance Benefit automatically according to the applicable Cothrom and Adopted FS-02 Schedule Row rules without requiring a new political bargain. The administering authority records the restoration date, evidence relied upon, and any corrected Assurance Contribution value. Restoration of an Enhanced Assurance Benefit does not prejudice separate proceedings based on independently established conduct.</w:t>
      </w:r>
    </w:p>
    <w:p>
      <w:pPr>
        <w:pStyle w:val="ClauseLabel"/>
      </w:pPr>
      <w:r>
        <w:t>FS02-F05: Cross-Sector Firewall</w:t>
      </w:r>
    </w:p>
    <w:p>
      <w:pPr>
        <w:pStyle w:val="Normal"/>
      </w:pPr>
      <w:r>
        <w:t>Failure to satisfy an Assurance Benchmark in one sector does not suspend an Enhanced Assurance Benefit in another sector, interrupt strategically essential material flows, or impair Ordinary-Origin Treatment in unrelated goods. Cross-sector linkage exists only where the Adopted FS-02 Schedule Row expressly identifies the linked bargain, quantified or otherwise defined reciprocal value, verification method, and proportionate consequence. Even then, Chapter 35 and Cothrom control cure, proportionality, containment, and restoration. FS-02 itself creates no economy-wide retaliation, tariff, embargo, or procurement-exclusion authority.</w:t>
      </w:r>
    </w:p>
    <w:p>
      <w:pPr>
        <w:pStyle w:val="ClauseLabel"/>
      </w:pPr>
      <w:r>
        <w:t>FS02-F06: Completion and Administrative Closure</w:t>
      </w:r>
    </w:p>
    <w:p>
      <w:pPr>
        <w:pStyle w:val="Normal"/>
      </w:pPr>
      <w:r>
        <w:t>An Adopted FS-02 Schedule Row reaches administrative closure when its Verified Resilience Deficiency Record has been cured or retired, all accrued Enhanced Assurance Benefit and correction obligations have been completed, and no unresolved verification matter material to closure, accrued benefits, or outstanding corrective obligations remains. The Secretariat records closure as an evidentiary administrative act and does not postpone a legal consequence that otherwise occurs automatically under the Agreement. Closure preserves records needed for audit, accrued rights, pending disputes, and prevention of double counting while ending unnecessary recurring reporting. A closed row may be reopened only through the procedure and evidentiary threshold applicable to a new or renewed FS-02 bargain.</w:t>
      </w:r>
    </w:p>
    <w:p>
      <w:pPr>
        <w:pStyle w:val="Heading2"/>
      </w:pPr>
      <w:bookmarkStart w:id="901305" w:name="_Toc300001304"/>
      <w:r>
        <w:t>SCHEDULE FS-02-A: STRATEGIC CONTENT ASSURANCE AND RESILIENCE COMMITMENTS, DEVELOPMENT TEMPLATE: NON-OPERATIVE UNTIL ADOPTED</w:t>
      </w:r>
      <w:bookmarkEnd w:id="901305"/>
    </w:p>
    <w:p>
      <w:pPr>
        <w:pStyle w:val="Normal"/>
      </w:pPr>
      <w:r>
        <w:t>This Schedule becomes operative only through an Adopted FS-02 Schedule Row completed and expressly adopted by the participating Parties. Blank fields, templates, bracketed choices, draft proposals, and incomplete rows are deliberate development controls and have no legal effect. They do not authorize the Secretariat, a verifier, or an implementing authority to invent an Assurance Benchmark, percentage, benefit, legal authority, participant scope, Maximum Benefit, date, quantity, or restriction. Silence preserves the treatment otherwise provided by NAESTMA.</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gridCol w:w="1339"/>
      </w:tblGrid>
      <w:tr>
        <w:tc>
          <w:tcPr>
            <w:tcW w:type="dxa" w:w="828"/>
            <w:shd w:fill="ECEFF1" w:val="clear" w:color="auto"/>
            <w:vAlign w:val="top"/>
          </w:tcPr>
          <w:p>
            <w:pPr>
              <w:pStyle w:val="TableText"/>
            </w:pPr>
            <w:r>
              <w:rPr>
                <w:b/>
              </w:rPr>
              <w:t>Adoption Status</w:t>
            </w:r>
          </w:p>
        </w:tc>
        <w:tc>
          <w:tcPr>
            <w:tcW w:type="dxa" w:w="828"/>
            <w:shd w:fill="ECEFF1" w:val="clear" w:color="auto"/>
            <w:vAlign w:val="top"/>
          </w:tcPr>
          <w:p>
            <w:pPr>
              <w:pStyle w:val="TableText"/>
            </w:pPr>
            <w:r>
              <w:rPr>
                <w:b/>
              </w:rPr>
              <w:t>Sector / scope</w:t>
            </w:r>
          </w:p>
        </w:tc>
        <w:tc>
          <w:tcPr>
            <w:tcW w:type="dxa" w:w="828"/>
            <w:shd w:fill="ECEFF1" w:val="clear" w:color="auto"/>
            <w:vAlign w:val="top"/>
          </w:tcPr>
          <w:p>
            <w:pPr>
              <w:pStyle w:val="TableText"/>
            </w:pPr>
            <w:r>
              <w:rPr>
                <w:b/>
              </w:rPr>
              <w:t>36.4 basis</w:t>
            </w:r>
          </w:p>
        </w:tc>
        <w:tc>
          <w:tcPr>
            <w:tcW w:type="dxa" w:w="828"/>
            <w:shd w:fill="ECEFF1" w:val="clear" w:color="auto"/>
            <w:vAlign w:val="top"/>
          </w:tcPr>
          <w:p>
            <w:pPr>
              <w:pStyle w:val="TableText"/>
            </w:pPr>
            <w:r>
              <w:rPr>
                <w:b/>
              </w:rPr>
              <w:t>Verified deficiency</w:t>
            </w:r>
          </w:p>
        </w:tc>
        <w:tc>
          <w:tcPr>
            <w:tcW w:type="dxa" w:w="828"/>
            <w:shd w:fill="ECEFF1" w:val="clear" w:color="auto"/>
            <w:vAlign w:val="top"/>
          </w:tcPr>
          <w:p>
            <w:pPr>
              <w:pStyle w:val="TableText"/>
            </w:pPr>
            <w:r>
              <w:rPr>
                <w:b/>
              </w:rPr>
              <w:t>Origin baseline</w:t>
            </w:r>
          </w:p>
        </w:tc>
        <w:tc>
          <w:tcPr>
            <w:tcW w:type="dxa" w:w="828"/>
            <w:shd w:fill="ECEFF1" w:val="clear" w:color="auto"/>
            <w:vAlign w:val="top"/>
          </w:tcPr>
          <w:p>
            <w:pPr>
              <w:pStyle w:val="TableText"/>
            </w:pPr>
            <w:r>
              <w:rPr>
                <w:b/>
              </w:rPr>
              <w:t>Assurance benchmark</w:t>
            </w:r>
          </w:p>
        </w:tc>
        <w:tc>
          <w:tcPr>
            <w:tcW w:type="dxa" w:w="828"/>
            <w:shd w:fill="ECEFF1" w:val="clear" w:color="auto"/>
            <w:vAlign w:val="top"/>
          </w:tcPr>
          <w:p>
            <w:pPr>
              <w:pStyle w:val="TableText"/>
            </w:pPr>
            <w:r>
              <w:rPr>
                <w:b/>
              </w:rPr>
              <w:t>Participant / Transaction Scope</w:t>
            </w:r>
          </w:p>
        </w:tc>
        <w:tc>
          <w:tcPr>
            <w:tcW w:type="dxa" w:w="828"/>
            <w:shd w:fill="ECEFF1" w:val="clear" w:color="auto"/>
            <w:vAlign w:val="top"/>
          </w:tcPr>
          <w:p>
            <w:pPr>
              <w:pStyle w:val="TableText"/>
            </w:pPr>
            <w:r>
              <w:rPr>
                <w:b/>
              </w:rPr>
              <w:t>Evidence / method</w:t>
            </w:r>
          </w:p>
        </w:tc>
        <w:tc>
          <w:tcPr>
            <w:tcW w:type="dxa" w:w="828"/>
            <w:shd w:fill="ECEFF1" w:val="clear" w:color="auto"/>
            <w:vAlign w:val="top"/>
          </w:tcPr>
          <w:p>
            <w:pPr>
              <w:pStyle w:val="TableText"/>
            </w:pPr>
            <w:r>
              <w:rPr>
                <w:b/>
              </w:rPr>
              <w:t>Enhanced Assurance Benefit</w:t>
            </w:r>
          </w:p>
        </w:tc>
        <w:tc>
          <w:tcPr>
            <w:tcW w:type="dxa" w:w="828"/>
            <w:shd w:fill="ECEFF1" w:val="clear" w:color="auto"/>
            <w:vAlign w:val="top"/>
          </w:tcPr>
          <w:p>
            <w:pPr>
              <w:pStyle w:val="TableText"/>
            </w:pPr>
            <w:r>
              <w:rPr>
                <w:b/>
              </w:rPr>
              <w:t>Specific Benefit Legal Authority</w:t>
            </w:r>
          </w:p>
        </w:tc>
        <w:tc>
          <w:tcPr>
            <w:tcW w:type="dxa" w:w="828"/>
            <w:shd w:fill="ECEFF1" w:val="clear" w:color="auto"/>
            <w:vAlign w:val="top"/>
          </w:tcPr>
          <w:p>
            <w:pPr>
              <w:pStyle w:val="TableText"/>
            </w:pPr>
            <w:r>
              <w:rPr>
                <w:b/>
              </w:rPr>
              <w:t>Maximum Benefit</w:t>
            </w:r>
          </w:p>
        </w:tc>
        <w:tc>
          <w:tcPr>
            <w:tcW w:type="dxa" w:w="828"/>
            <w:shd w:fill="ECEFF1" w:val="clear" w:color="auto"/>
            <w:vAlign w:val="top"/>
          </w:tcPr>
          <w:p>
            <w:pPr>
              <w:pStyle w:val="TableText"/>
            </w:pPr>
            <w:r>
              <w:rPr>
                <w:b/>
              </w:rPr>
              <w:t>Review / exit</w:t>
            </w:r>
          </w:p>
        </w:tc>
        <w:tc>
          <w:tcPr>
            <w:tcW w:type="dxa" w:w="1339"/>
          </w:tcPr>
          <w:p>
            <w:pPr>
              <w:pStyle w:val="TableText"/>
            </w:pPr>
            <w:r>
              <w:t>Parties / Scope</w:t>
            </w:r>
          </w:p>
        </w:tc>
      </w:tr>
      <w:tr>
        <w:tc>
          <w:tcPr>
            <w:tcW w:type="dxa" w:w="828"/>
            <w:vAlign w:val="top"/>
          </w:tcPr>
          <w:p>
            <w:pPr>
              <w:pStyle w:val="TableText"/>
            </w:pPr>
            <w:r>
              <w:rPr/>
              <w:t>DRAFT: VERIFY BEFORE LEGAL SCRUB</w:t>
            </w:r>
          </w:p>
        </w:tc>
        <w:tc>
          <w:tcPr>
            <w:tcW w:type="dxa" w:w="828"/>
            <w:vAlign w:val="top"/>
          </w:tcPr>
          <w:p>
            <w:pPr>
              <w:pStyle w:val="TableText"/>
            </w:pPr>
            <w:r>
              <w:rPr>
                <w:b w:val="0"/>
              </w:rPr>
              <w:t>[To be adopted]</w:t>
            </w:r>
          </w:p>
        </w:tc>
        <w:tc>
          <w:tcPr>
            <w:tcW w:type="dxa" w:w="828"/>
            <w:vAlign w:val="top"/>
          </w:tcPr>
          <w:p>
            <w:pPr>
              <w:pStyle w:val="TableText"/>
            </w:pPr>
            <w:r>
              <w:rPr>
                <w:b w:val="0"/>
              </w:rPr>
              <w:t>[Existing 36.4 designation]</w:t>
            </w:r>
          </w:p>
        </w:tc>
        <w:tc>
          <w:tcPr>
            <w:tcW w:type="dxa" w:w="828"/>
            <w:vAlign w:val="top"/>
          </w:tcPr>
          <w:p>
            <w:pPr>
              <w:pStyle w:val="TableText"/>
            </w:pPr>
            <w:r>
              <w:rPr>
                <w:b w:val="0"/>
              </w:rPr>
              <w:t>[Evidence record required]</w:t>
            </w:r>
          </w:p>
        </w:tc>
        <w:tc>
          <w:tcPr>
            <w:tcW w:type="dxa" w:w="828"/>
            <w:vAlign w:val="top"/>
          </w:tcPr>
          <w:p>
            <w:pPr>
              <w:pStyle w:val="TableText"/>
            </w:pPr>
            <w:r>
              <w:rPr>
                <w:b w:val="0"/>
              </w:rPr>
              <w:t>[Chapter 4 / applicable rule]</w:t>
            </w:r>
          </w:p>
        </w:tc>
        <w:tc>
          <w:tcPr>
            <w:tcW w:type="dxa" w:w="828"/>
            <w:vAlign w:val="top"/>
          </w:tcPr>
          <w:p>
            <w:pPr>
              <w:pStyle w:val="TableText"/>
            </w:pPr>
            <w:r>
              <w:rPr>
                <w:b w:val="0"/>
              </w:rPr>
              <w:t>[Negotiated Assurance Benchmark; no value inserted]</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[Existing treaty source / adopted method]</w:t>
            </w:r>
          </w:p>
        </w:tc>
        <w:tc>
          <w:tcPr>
            <w:tcW w:type="dxa" w:w="828"/>
            <w:vAlign w:val="top"/>
          </w:tcPr>
          <w:p>
            <w:pPr>
              <w:pStyle w:val="TableText"/>
            </w:pPr>
            <w:r>
              <w:rPr>
                <w:b w:val="0"/>
              </w:rPr>
              <w:t>[Authorized benefit only]</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[Interval + cure/retirement rule]</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Automotive / strategic components</w:t>
            </w:r>
          </w:p>
        </w:tc>
        <w:tc>
          <w:tcPr>
            <w:tcW w:type="dxa" w:w="828"/>
            <w:vAlign w:val="top"/>
          </w:tcPr>
          <w:p>
            <w:pPr>
              <w:pStyle w:val="TableText"/>
            </w:pPr>
            <w:r>
              <w:rPr>
                <w:b w:val="0"/>
              </w:rPr>
              <w:t>Automotive goods / related strategic sector</w:t>
            </w:r>
          </w:p>
        </w:tc>
        <w:tc>
          <w:tcPr>
            <w:tcW w:type="dxa" w:w="828"/>
            <w:vAlign w:val="top"/>
          </w:tcPr>
          <w:p>
            <w:pPr>
              <w:pStyle w:val="TableText"/>
            </w:pPr>
            <w:r>
              <w:rPr>
                <w:b w:val="0"/>
              </w:rPr>
              <w:t>[Specify actual deficiency]</w:t>
            </w:r>
          </w:p>
        </w:tc>
        <w:tc>
          <w:tcPr>
            <w:tcW w:type="dxa" w:w="828"/>
            <w:vAlign w:val="top"/>
          </w:tcPr>
          <w:p>
            <w:pPr>
              <w:pStyle w:val="TableText"/>
            </w:pPr>
            <w:r>
              <w:rPr>
                <w:b w:val="0"/>
              </w:rPr>
              <w:t>Chapter 4 + Annex 4-E as applicable</w:t>
            </w:r>
          </w:p>
        </w:tc>
        <w:tc>
          <w:tcPr>
            <w:tcW w:type="dxa" w:w="828"/>
            <w:vAlign w:val="top"/>
          </w:tcPr>
          <w:p>
            <w:pPr>
              <w:pStyle w:val="TableText"/>
            </w:pPr>
            <w:r>
              <w:rPr>
                <w:b w:val="0"/>
              </w:rPr>
              <w:t>[Optional regional Assurance Contribution]</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Chs. 4/5; Ch. 59; TNAO if used</w:t>
            </w:r>
          </w:p>
        </w:tc>
        <w:tc>
          <w:tcPr>
            <w:tcW w:type="dxa" w:w="828"/>
            <w:vAlign w:val="top"/>
          </w:tcPr>
          <w:p>
            <w:pPr>
              <w:pStyle w:val="TableText"/>
            </w:pPr>
            <w:r>
              <w:rPr>
                <w:b w:val="0"/>
              </w:rPr>
              <w:t>[Specify adopted incremental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no loss of ordinary origin]</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Critical minerals / strategic materials</w:t>
            </w:r>
          </w:p>
        </w:tc>
        <w:tc>
          <w:tcPr>
            <w:tcW w:type="dxa" w:w="828"/>
            <w:vAlign w:val="top"/>
          </w:tcPr>
          <w:p>
            <w:pPr>
              <w:pStyle w:val="TableText"/>
            </w:pPr>
            <w:r>
              <w:rPr>
                <w:b w:val="0"/>
              </w:rPr>
              <w:t>Critical minerals / batteries / designated materials</w:t>
            </w:r>
          </w:p>
        </w:tc>
        <w:tc>
          <w:tcPr>
            <w:tcW w:type="dxa" w:w="828"/>
            <w:vAlign w:val="top"/>
          </w:tcPr>
          <w:p>
            <w:pPr>
              <w:pStyle w:val="TableText"/>
            </w:pPr>
            <w:r>
              <w:rPr>
                <w:b w:val="0"/>
              </w:rPr>
              <w:t>[Specify concentration, form, processing, qualification, etc.]</w:t>
            </w:r>
          </w:p>
        </w:tc>
        <w:tc>
          <w:tcPr>
            <w:tcW w:type="dxa" w:w="828"/>
            <w:vAlign w:val="top"/>
          </w:tcPr>
          <w:p>
            <w:pPr>
              <w:pStyle w:val="TableText"/>
            </w:pPr>
            <w:r>
              <w:rPr>
                <w:b w:val="0"/>
              </w:rPr>
              <w:t>Chapter 4 as applicable</w:t>
            </w:r>
          </w:p>
        </w:tc>
        <w:tc>
          <w:tcPr>
            <w:tcW w:type="dxa" w:w="828"/>
            <w:vAlign w:val="top"/>
          </w:tcPr>
          <w:p>
            <w:pPr>
              <w:pStyle w:val="TableText"/>
            </w:pPr>
            <w:r>
              <w:rPr>
                <w:b w:val="0"/>
              </w:rPr>
              <w:t>[Optional capacity / processing / continuity Assurance Contribution]</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Ch. 37 records; trusted-source evidence where relevant</w:t>
            </w:r>
          </w:p>
        </w:tc>
        <w:tc>
          <w:tcPr>
            <w:tcW w:type="dxa" w:w="828"/>
            <w:vAlign w:val="top"/>
          </w:tcPr>
          <w:p>
            <w:pPr>
              <w:pStyle w:val="TableText"/>
            </w:pPr>
            <w:r>
              <w:rPr>
                <w:b w:val="0"/>
              </w:rPr>
              <w:t>[Specify adopted incremental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and deficiency retirement]</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Semiconductors / advanced electronics</w:t>
            </w:r>
          </w:p>
        </w:tc>
        <w:tc>
          <w:tcPr>
            <w:tcW w:type="dxa" w:w="828"/>
            <w:vAlign w:val="top"/>
          </w:tcPr>
          <w:p>
            <w:pPr>
              <w:pStyle w:val="TableText"/>
            </w:pPr>
            <w:r>
              <w:rPr>
                <w:b w:val="0"/>
              </w:rPr>
              <w:t>Semiconductors / advanced electronics</w:t>
            </w:r>
          </w:p>
        </w:tc>
        <w:tc>
          <w:tcPr>
            <w:tcW w:type="dxa" w:w="828"/>
            <w:vAlign w:val="top"/>
          </w:tcPr>
          <w:p>
            <w:pPr>
              <w:pStyle w:val="TableText"/>
            </w:pPr>
            <w:r>
              <w:rPr>
                <w:b w:val="0"/>
              </w:rPr>
              <w:t>[Specify actual technical or supply vulnerability]</w:t>
            </w:r>
          </w:p>
        </w:tc>
        <w:tc>
          <w:tcPr>
            <w:tcW w:type="dxa" w:w="828"/>
            <w:vAlign w:val="top"/>
          </w:tcPr>
          <w:p>
            <w:pPr>
              <w:pStyle w:val="TableText"/>
            </w:pPr>
            <w:r>
              <w:rPr>
                <w:b w:val="0"/>
              </w:rPr>
              <w:t>Chapter 4 as applicable</w:t>
            </w:r>
          </w:p>
        </w:tc>
        <w:tc>
          <w:tcPr>
            <w:tcW w:type="dxa" w:w="828"/>
            <w:vAlign w:val="top"/>
          </w:tcPr>
          <w:p>
            <w:pPr>
              <w:pStyle w:val="TableText"/>
            </w:pPr>
            <w:r>
              <w:rPr>
                <w:b w:val="0"/>
              </w:rPr>
              <w:t>[Optional qualification / redundancy / processing contribution]</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Applicable Chs. 36/37/other technical records</w:t>
            </w:r>
          </w:p>
        </w:tc>
        <w:tc>
          <w:tcPr>
            <w:tcW w:type="dxa" w:w="828"/>
            <w:vAlign w:val="top"/>
          </w:tcPr>
          <w:p>
            <w:pPr>
              <w:pStyle w:val="TableText"/>
            </w:pPr>
            <w:r>
              <w:rPr>
                <w:b w:val="0"/>
              </w:rPr>
              <w:t>[Specify adopted incremental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and exit]</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Other Article 36.4 sector</w:t>
            </w:r>
          </w:p>
        </w:tc>
        <w:tc>
          <w:tcPr>
            <w:tcW w:type="dxa" w:w="828"/>
            <w:vAlign w:val="top"/>
          </w:tcPr>
          <w:p>
            <w:pPr>
              <w:pStyle w:val="TableText"/>
            </w:pPr>
            <w:r>
              <w:rPr>
                <w:b w:val="0"/>
              </w:rPr>
              <w:t>[Existing designation required]</w:t>
            </w:r>
          </w:p>
        </w:tc>
        <w:tc>
          <w:tcPr>
            <w:tcW w:type="dxa" w:w="828"/>
            <w:vAlign w:val="top"/>
          </w:tcPr>
          <w:p>
            <w:pPr>
              <w:pStyle w:val="TableText"/>
            </w:pPr>
            <w:r>
              <w:rPr>
                <w:b w:val="0"/>
              </w:rPr>
              <w:t>[Specify actual deficiency]</w:t>
            </w:r>
          </w:p>
        </w:tc>
        <w:tc>
          <w:tcPr>
            <w:tcW w:type="dxa" w:w="828"/>
            <w:vAlign w:val="top"/>
          </w:tcPr>
          <w:p>
            <w:pPr>
              <w:pStyle w:val="TableText"/>
            </w:pPr>
            <w:r>
              <w:rPr>
                <w:b w:val="0"/>
              </w:rPr>
              <w:t>[Applicable origin rule]</w:t>
            </w:r>
          </w:p>
        </w:tc>
        <w:tc>
          <w:tcPr>
            <w:tcW w:type="dxa" w:w="828"/>
            <w:vAlign w:val="top"/>
          </w:tcPr>
          <w:p>
            <w:pPr>
              <w:pStyle w:val="TableText"/>
            </w:pPr>
            <w:r>
              <w:rPr>
                <w:b w:val="0"/>
              </w:rPr>
              <w:t>[Negotiated Assurance Benchmark; no value inserted]</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[Specify authoritative evidence]</w:t>
            </w:r>
          </w:p>
        </w:tc>
        <w:tc>
          <w:tcPr>
            <w:tcW w:type="dxa" w:w="828"/>
            <w:vAlign w:val="top"/>
          </w:tcPr>
          <w:p>
            <w:pPr>
              <w:pStyle w:val="TableText"/>
            </w:pPr>
            <w:r>
              <w:rPr>
                <w:b w:val="0"/>
              </w:rPr>
              <w:t>[Specify lawful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and exit]</w:t>
            </w:r>
          </w:p>
        </w:tc>
        <w:tc>
          <w:tcPr>
            <w:tcW w:type="dxa" w:w="1339"/>
          </w:tcPr>
          <w:p>
            <w:pPr>
              <w:pStyle w:val="TableText"/>
            </w:pPr>
            <w:r>
              <w:t>[CA / US / MX pair or trilateral scope]</w:t>
            </w:r>
          </w:p>
        </w:tc>
      </w:tr>
    </w:tbl>
    <w:p>
      <w:pPr>
        <w:pStyle w:val="Heading2"/>
      </w:pPr>
      <w:bookmarkStart w:id="901306" w:name="_Toc300001305"/>
      <w:r>
        <w:t>Required Adopted-Schedule Data</w:t>
      </w:r>
      <w:bookmarkEnd w:id="901306"/>
    </w:p>
    <w:p>
      <w:pPr>
        <w:pStyle w:val="ListBullet"/>
        <w:ind w:left="288"/>
      </w:pPr>
      <w:r>
        <w:t>Adoption Status and Participating Parties / Geographic Scope, including the Parties whose approval is required for the row and whether the bargain is bilateral or trilateral.</w:t>
      </w:r>
    </w:p>
    <w:p>
      <w:pPr>
        <w:pStyle w:val="ListBullet"/>
        <w:ind w:left="288"/>
      </w:pPr>
      <w:r>
        <w:t>Exact product, component, material, technology, facility, project, or supply-chain scope and Participant / Transaction Scope.</w:t>
      </w:r>
    </w:p>
    <w:p>
      <w:pPr>
        <w:pStyle w:val="ListBullet"/>
        <w:ind w:left="288"/>
      </w:pPr>
      <w:r>
        <w:t>Article 36.4 designation relied upon and the authenticated Verified Resilience Deficiency Record.</w:t>
      </w:r>
    </w:p>
    <w:p>
      <w:pPr>
        <w:pStyle w:val="ListBullet"/>
        <w:ind w:left="288"/>
      </w:pPr>
      <w:r>
        <w:t>Ordinary Chapter 4 origin baseline and any applicable TNAO, Chapter 37, Chapter 59, or Annex 4-E interface.</w:t>
      </w:r>
    </w:p>
    <w:p>
      <w:pPr>
        <w:pStyle w:val="ListBullet"/>
        <w:ind w:left="288"/>
      </w:pPr>
      <w:r>
        <w:t>Exact Assurance Benchmark and Assurance Contribution metric, including numerator, denominator, measurement period, tolerance, and treatment of temporary interruption where relevant.</w:t>
      </w:r>
    </w:p>
    <w:p>
      <w:pPr>
        <w:pStyle w:val="ListBullet"/>
        <w:ind w:left="288"/>
      </w:pPr>
      <w:r>
        <w:t>Authoritative evidence source and responsible existing institution or verifier.</w:t>
      </w:r>
    </w:p>
    <w:p>
      <w:pPr>
        <w:pStyle w:val="ListBullet"/>
        <w:ind w:left="288"/>
      </w:pPr>
      <w:r>
        <w:t>Exact Enhanced Assurance Benefit, cited Specific Benefit Legal Authority, and Maximum Benefit; no implied authority arises from the schedule itself.</w:t>
      </w:r>
    </w:p>
    <w:p>
      <w:pPr>
        <w:pStyle w:val="ListBullet"/>
        <w:ind w:left="288"/>
      </w:pPr>
      <w:r>
        <w:t>Treatment of lawful external inputs and any Trusted Strategic Materials Source evidence used.</w:t>
      </w:r>
    </w:p>
    <w:p>
      <w:pPr>
        <w:pStyle w:val="ListBullet"/>
      </w:pPr>
      <w:r>
        <w:t>Review interval, permitted downward adjustment or retirement authority, cure procedure, automatic restoration rule, deficiency-retirement test, and administrative closure rule.</w:t>
      </w:r>
    </w:p>
    <w:p>
      <w:pPr>
        <w:pStyle w:val="Heading2"/>
      </w:pPr>
      <w:bookmarkStart w:id="901307" w:name="_Toc300001306"/>
      <w:r>
        <w:t>DEVELOPMENT RED LIGHTS: NON-OPERATIVE DRAFTING CONTROLS</w:t>
      </w:r>
      <w:bookmarkEnd w:id="901307"/>
    </w:p>
    <w:p>
      <w:pPr>
        <w:pStyle w:val="ListBullet"/>
        <w:ind w:left="288"/>
      </w:pPr>
      <w:r>
        <w:t>Do not create a parallel strategic-sector designation system; Article 36.4 controls.</w:t>
      </w:r>
    </w:p>
    <w:p>
      <w:pPr>
        <w:pStyle w:val="ListBullet"/>
        <w:ind w:left="288"/>
      </w:pPr>
      <w:r>
        <w:t>Do not create a second TNAO or Trusted Strategic Materials Source status.</w:t>
      </w:r>
    </w:p>
    <w:p>
      <w:pPr>
        <w:pStyle w:val="ListBullet"/>
        <w:ind w:left="288"/>
      </w:pPr>
      <w:r>
        <w:t>Do not convert Assurance Contribution into Chapter 4 origin content by implication.</w:t>
      </w:r>
    </w:p>
    <w:p>
      <w:pPr>
        <w:pStyle w:val="ListBullet"/>
        <w:ind w:left="288"/>
      </w:pPr>
      <w:r>
        <w:t>Do not invent negotiated percentages, fixed Party shares, commercial quantities, dates, or benefits.</w:t>
      </w:r>
    </w:p>
    <w:p>
      <w:pPr>
        <w:pStyle w:val="ListBullet"/>
        <w:ind w:left="288"/>
      </w:pPr>
      <w:r>
        <w:t>Do not make failure to earn an optional benefit a basis for losing Ordinary-Origin Treatment.</w:t>
      </w:r>
    </w:p>
    <w:p>
      <w:pPr>
        <w:pStyle w:val="ListBullet"/>
        <w:ind w:left="288"/>
      </w:pPr>
      <w:r>
        <w:t>Do not use nationality, state ownership, diplomatic alignment, or economic model as a stand-alone risk proxy.</w:t>
      </w:r>
    </w:p>
    <w:p>
      <w:pPr>
        <w:pStyle w:val="ListBullet"/>
        <w:ind w:left="288"/>
      </w:pPr>
      <w:r>
        <w:t>Do not convert dependency reduction into automatic reshoring or exclusive North American sourcing.</w:t>
      </w:r>
    </w:p>
    <w:p>
      <w:pPr>
        <w:pStyle w:val="ListBullet"/>
        <w:ind w:left="288"/>
      </w:pPr>
      <w:r>
        <w:t>Do not permit a single-Party localization quota to hide inside a regional assurance benchmark.</w:t>
      </w:r>
    </w:p>
    <w:p>
      <w:pPr>
        <w:pStyle w:val="ListBullet"/>
        <w:ind w:left="288"/>
      </w:pPr>
      <w:r>
        <w:t>Do not reset emergency, security, duration, renewal, or aggregation clocks established elsewhere in NAESTMA.</w:t>
      </w:r>
    </w:p>
    <w:p>
      <w:pPr>
        <w:pStyle w:val="ListBullet"/>
        <w:ind w:left="288"/>
      </w:pPr>
      <w:r>
        <w:t>Do not create new tariff, embargo, procurement-exclusion, sanctions, investment-screening, or retaliation authority.</w:t>
      </w:r>
    </w:p>
    <w:p>
      <w:pPr>
        <w:pStyle w:val="ListBullet"/>
      </w:pPr>
      <w:r>
        <w:t>Do not treat the Verified Resilience Deficiency Record as independent restrictive authority, a security classification, a strategic-sector designation, or a finding of treaty breach.</w:t>
      </w:r>
    </w:p>
    <w:p>
      <w:pPr>
        <w:pStyle w:val="ListBullet"/>
      </w:pPr>
      <w:r>
        <w:t>Do not activate an Enhanced Assurance Benefit without citing its independent Specific Benefit Legal Authority in the Adopted FS-02 Schedule Row.</w:t>
      </w:r>
    </w:p>
    <w:p>
      <w:pPr>
        <w:pStyle w:val="ListBullet"/>
      </w:pPr>
      <w:r>
        <w:t>Do not permit an administrative review to increase or materially redesign an Assurance Benchmark without the adoption procedure required for the original bargain.</w:t>
      </w:r>
    </w:p>
    <w:p>
      <w:pPr>
        <w:pStyle w:val="ListBullet"/>
      </w:pPr>
      <w:r>
        <w:t>Do not make an optional assurance program compulsory in practice by degrading ordinary treaty administration.</w:t>
      </w:r>
    </w:p>
    <w:p>
      <w:pPr>
        <w:pStyle w:val="ListBullet"/>
      </w:pPr>
      <w:r>
        <w:t>Do not count one physical investment or capacity addition as multiple physically distinct additions to continental capacity.</w:t>
      </w:r>
    </w:p>
    <w:p>
      <w:pPr>
        <w:pStyle w:val="ListBullet"/>
      </w:pPr>
      <w:r>
        <w:t>Do not treat trusted-source status as immunity from transaction-specific adverse evidence.</w:t>
      </w:r>
    </w:p>
    <w:p>
      <w:pPr>
        <w:pStyle w:val="ListBullet"/>
      </w:pPr>
      <w:r>
        <w:t>Do not treat jurisdictional correlation as proof of nationality-based or jurisdiction-based risk without evidence of the underlying functional risk.</w:t>
      </w:r>
    </w:p>
    <w:p>
      <w:pPr>
        <w:pStyle w:val="ListBullet"/>
      </w:pPr>
      <w:r>
        <w:t>Do not administratively interpolate partial benefits where the Adopted FS-02 Schedule Row contains no graduated formula.</w:t>
      </w:r>
    </w:p>
    <w:p>
      <w:pPr>
        <w:pStyle w:val="ListBullet"/>
      </w:pPr>
      <w:r>
        <w:t>Do not use a generic chapter citation as Specific Benefit Legal Authority where the cited provision does not itself authorize the scheduled benefit.</w:t>
      </w:r>
    </w:p>
    <w:p>
      <w:pPr>
        <w:pStyle w:val="ListBullet"/>
      </w:pPr>
      <w:r>
        <w:t>Do not create or imply a separate Enhanced North American Assurance legal status; the operative chain is Assurance Participant → Assurance Contribution → Assurance Benchmark → Enhanced Assurance Benefit.</w:t>
      </w:r>
    </w:p>
    <w:p>
      <w:pPr>
        <w:pStyle w:val="Heading2"/>
      </w:pPr>
      <w:bookmarkStart w:id="901308" w:name="_Toc300001307"/>
      <w:r>
        <w:t>Module Interface Reference: Extract of the FS-00 Final Settlement Integration Map</w:t>
      </w:r>
      <w:bookmarkEnd w:id="901308"/>
    </w:p>
    <w:p>
      <w:pPr>
        <w:pStyle w:val="Normal"/>
      </w:pPr>
      <w:r>
        <w:t>FS-02 is drafted to interface with Article 32.F (risk-based and nationality-neutral administration), Article 32.G (external economic relations and treaty sovereignty), Article 36.4 (strategic-sector designation), Article 36.5 (anti-circumvention), Article 36.6 (Trusted North American Origin), Chapter 37 including Article 37.6A and the Midstream Gap / additionality architecture, Chapter 59 and Annex 4-E for automotive enhanced integration, Chapters 4 and 5 for origin and verification, and Chapter 35/Cothrom for verification, cure, proportionality, containment, and restoration. Those provisions remain the substantive engines; FS-02 supplies the schedule-based evidence-to-incentive bridge.</w:t>
      </w:r>
    </w:p>
    <w:p>
      <w:pPr>
        <w:pStyle w:val="Heading1"/>
      </w:pPr>
      <w:bookmarkStart w:id="901309" w:name="_Toc300001308"/>
      <w:r>
        <w:t>CHAPTER 37</w:t>
      </w:r>
      <w:r>
        <w:br/>
      </w:r>
      <w:r>
        <w:t>CRITICAL MINERALS AND STRATEGIC MATERIALS</w:t>
      </w:r>
      <w:bookmarkEnd w:id="901309"/>
    </w:p>
    <w:p>
      <w:pPr>
        <w:pStyle w:val="TrumpVisibilityHeadline"/>
      </w:pPr>
      <w:r>
        <w:t xml:space="preserve">★ </w:t>
      </w:r>
      <w:r>
        <w:t>VISIBLE U.S. WIN: SECURE CRITICAL-MINERAL ACCESS, PROCESSING, OFFTAKE, STOCKPILE COOPERATION, AND LOWER STRATEGIC DEPENDENCY</w:t>
      </w:r>
    </w:p>
    <w:p>
      <w:pPr>
        <w:pStyle w:val="Heading2"/>
      </w:pPr>
      <w:bookmarkStart w:id="901310" w:name="_Toc300001309"/>
      <w:r>
        <w:t>Article 37.1: Purpose</w:t>
      </w:r>
      <w:bookmarkEnd w:id="901310"/>
    </w:p>
    <w:p>
      <w:pPr>
        <w:pStyle w:val="Normal"/>
      </w:pPr>
      <w:r>
        <w:t>1. The Parties recognize that secure, resilient, and traceable North American supply chains for critical minerals and strategic materials are essential to the economic and national security of each Party, and that extraction, processing, refining, recycling, recovery, and remanufacturing within the Parties each constitute economically valuable stages of the strategic value chain.</w:t>
      </w:r>
    </w:p>
    <w:p>
      <w:pPr>
        <w:pStyle w:val="Normal"/>
      </w:pPr>
      <w:r>
        <w:t>2. This Chapter facilitates trade in qualifying critical minerals and strategic materials, recognizes legitimate North American processing as conferring strategic value, and establishes traceability and anti-circumvention disciplines, without conferring on any Party authority over another Party’s resources.</w:t>
      </w:r>
    </w:p>
    <w:p>
      <w:pPr>
        <w:pStyle w:val="Heading2"/>
      </w:pPr>
      <w:bookmarkStart w:id="901311" w:name="_Toc300001310"/>
      <w:r>
        <w:t>Article 37.2: Definitions and Scope</w:t>
      </w:r>
      <w:bookmarkEnd w:id="901311"/>
    </w:p>
    <w:p>
      <w:pPr>
        <w:pStyle w:val="Normal"/>
      </w:pPr>
      <w:r>
        <w:t xml:space="preserve">1. </w:t>
      </w:r>
      <w:r>
        <w:rPr>
          <w:b/>
        </w:rPr>
        <w:t>Critical minerals</w:t>
      </w:r>
      <w:r>
        <w:t xml:space="preserve"> means the minerals and materials listed in Annex 37-A, which the Commission shall maintain and may amend by consensus, drawing on the critical-minerals lists of each Party.</w:t>
      </w:r>
    </w:p>
    <w:p>
      <w:pPr>
        <w:pStyle w:val="Normal"/>
      </w:pPr>
      <w:r>
        <w:t xml:space="preserve">2. </w:t>
      </w:r>
      <w:r>
        <w:rPr>
          <w:b/>
        </w:rPr>
        <w:t>Strategic materials</w:t>
      </w:r>
      <w:r>
        <w:t xml:space="preserve"> means materials designated by the Commission as strategic, including battery materials, rare earth elements and magnets, and semiconductor-grade materials.</w:t>
      </w:r>
    </w:p>
    <w:p>
      <w:pPr>
        <w:pStyle w:val="Normal"/>
      </w:pPr>
      <w:r>
        <w:t>3. This Chapter applies to extraction, processing, refining, recycling, recovery, remanufacturing, component production, and trade of critical minerals and strategic materials.</w:t>
      </w:r>
    </w:p>
    <w:p>
      <w:pPr>
        <w:pStyle w:val="Heading2"/>
      </w:pPr>
      <w:bookmarkStart w:id="901312" w:name="_Toc300001311"/>
      <w:r>
        <w:t>Article 37.3: Facilitation of Trade</w:t>
      </w:r>
      <w:bookmarkEnd w:id="901312"/>
    </w:p>
    <w:p>
      <w:pPr>
        <w:pStyle w:val="Normal"/>
      </w:pPr>
      <w:r>
        <w:t>1. Each Party shall accord duty-free treatment to originating critical minerals and strategic materials, and shall not apply export restrictions to such goods destined for another Party except consistently with this Agreement, including Article 35.3A.</w:t>
      </w:r>
    </w:p>
    <w:p>
      <w:pPr>
        <w:pStyle w:val="Normal"/>
      </w:pPr>
      <w:r>
        <w:t>2. Processing, refining, recycling, recovery, and remanufacturing within one or more Parties confer originating status in accordance with the rules of Chapter 4 as amended, including Article 4.A.4 (Circular Production).</w:t>
      </w:r>
    </w:p>
    <w:p>
      <w:pPr>
        <w:pStyle w:val="Normal"/>
      </w:pPr>
      <w:r>
        <w:t>3. No Party shall apply a covered border measure to originating critical minerals or strategic materials of another Party except in conformity with Chapter 35. Such goods are within the Strategic Sectors designated under Article 35.23.</w:t>
      </w:r>
    </w:p>
    <w:p>
      <w:pPr>
        <w:pStyle w:val="Heading2"/>
      </w:pPr>
      <w:bookmarkStart w:id="901313" w:name="_Toc300001312"/>
      <w:r>
        <w:t>Article 37.4: Traceability</w:t>
      </w:r>
      <w:bookmarkEnd w:id="901313"/>
    </w:p>
    <w:p>
      <w:pPr>
        <w:pStyle w:val="Normal"/>
      </w:pPr>
      <w:r>
        <w:t>1. The Parties shall develop interoperable traceability standards for critical minerals and strategic materials, covering mine-to-market chain-of-custody, under the Economic Security and Supply Chain Resilience Subcommittee.</w:t>
      </w:r>
    </w:p>
    <w:p>
      <w:pPr>
        <w:pStyle w:val="Normal"/>
      </w:pPr>
      <w:r>
        <w:t>2. Traceability standards shall: (a) enable verification of origin and of environmental and labour compliance; (b) deter circumvention; (c) accommodate commercially confidential information, in accordance with the access tiers of Annex 35-C, Part 4; and (d) provide simplified procedures for small and medium-sized producers.</w:t>
      </w:r>
    </w:p>
    <w:p>
      <w:pPr>
        <w:pStyle w:val="Normal"/>
      </w:pPr>
      <w:r>
        <w:t>3. Goods certified under the traceability standards are eligible for Trusted North American Origin status under Article 36.6.</w:t>
      </w:r>
    </w:p>
    <w:p>
      <w:pPr>
        <w:pStyle w:val="Normal"/>
      </w:pPr>
      <w:r>
        <w:t>4. Traceability by Risk. Standards under this Article shall not require universal component-by-component or mine-to-market tracking where lower-burden evidence provides reasonable assurance. The Subcommittee shall maintain published low-, medium-, and high-risk categories and the minimum evidence appropriate to each.</w:t>
      </w:r>
    </w:p>
    <w:p>
      <w:pPr>
        <w:pStyle w:val="Normal"/>
      </w:pPr>
      <w:r>
        <w:t>5. Technological Neutrality and Fallback. No specific distributed-ledger, blockchain, registry, identifier, software vendor, or digital architecture is required. When an interoperable digital system is unavailable, impaired, or inaccessible to an SME, origin and chain-of-custody may be demonstrated through ordinary commercial records, customs data, test certificates, accredited third-party certifications, supplier declarations, or other reliable evidence.</w:t>
      </w:r>
    </w:p>
    <w:p>
      <w:pPr>
        <w:pStyle w:val="Normal"/>
      </w:pPr>
      <w:r>
        <w:t>6. A failure, delay, incompleteness, disagreement, or technical unavailability affecting the Shared Trade Data Registry, another technical platform, a traceability standard, certification method, or implementing methodology does not suspend preferential treatment, stop a verification clock, create an adverse inference against a trader that timely supplied reliable alternative evidence, or independently authorize a tariff, surcharge, fee, quota, suspension of preference, or other covered border measure. A Party may not rely on a traceability or technical condition materially created, prolonged, or aggravated by its own implementation failure as the factual predicate for an emergency, safeguard, essential-security, transitional, corrective, or other trade restriction.</w:t>
      </w:r>
    </w:p>
    <w:p>
      <w:pPr>
        <w:pStyle w:val="Heading2"/>
      </w:pPr>
      <w:bookmarkStart w:id="901314" w:name="_Toc300001313"/>
      <w:r>
        <w:t>Article 37.5: Resilient Processing Capacity</w:t>
      </w:r>
      <w:bookmarkEnd w:id="901314"/>
    </w:p>
    <w:p>
      <w:pPr>
        <w:pStyle w:val="Normal"/>
      </w:pPr>
      <w:r>
        <w:t>1. The Parties shall endeavor to develop resilient North American capacity across the full value chain, including processing and refining, recognizing that extraction alone does not constitute the strategic value chain.</w:t>
      </w:r>
    </w:p>
    <w:p>
      <w:pPr>
        <w:pStyle w:val="Normal"/>
      </w:pPr>
      <w:r>
        <w:t>2. The Parties shall cooperate on permitting predictability, technical standards, and workforce development, consistent with each Party’s domestic authority and with Chapter 24 (Environment) and Chapter 23 (Labor).</w:t>
      </w:r>
    </w:p>
    <w:p>
      <w:pPr>
        <w:pStyle w:val="Heading2"/>
      </w:pPr>
      <w:bookmarkStart w:id="901315" w:name="_Toc300001314"/>
      <w:r>
        <w:t>Article 37.6: Recycling and Circular Supply</w:t>
      </w:r>
      <w:bookmarkEnd w:id="901315"/>
    </w:p>
    <w:p>
      <w:pPr>
        <w:pStyle w:val="Normal"/>
      </w:pPr>
      <w:r>
        <w:t>1. Recycled and recovered critical minerals and battery materials originating in a Party receive the same treatment under this Agreement as primary materials.</w:t>
      </w:r>
    </w:p>
    <w:p>
      <w:pPr>
        <w:pStyle w:val="Normal"/>
      </w:pPr>
      <w:r>
        <w:t>2. The Parties shall adopt rules facilitating cross-border movement of recyclable and recoverable materials destined for processing in a Party, consistent with applicable environmental obligations including the Basel Convention as implemented by each Party.</w:t>
      </w:r>
    </w:p>
    <w:p>
      <w:pPr>
        <w:pStyle w:val="Heading2"/>
      </w:pPr>
      <w:bookmarkStart w:id="901316" w:name="_Toc300001315"/>
      <w:r>
        <w:t>Article 37.6A: Trusted Non-Party Strategic Materials and Advanced-Metals Access</w:t>
      </w:r>
      <w:bookmarkEnd w:id="901316"/>
    </w:p>
    <w:p>
      <w:pPr>
        <w:pStyle w:val="Normal"/>
      </w:pPr>
      <w:r>
        <w:t>1. The Parties recognize that resilient North American advanced manufacturing may require reliable access to specialized metals, alloys, mill products, powders, forgings, castings, and other strategic materials that are unavailable in sufficient quantity, grade, certification, form, or delivery time within North America.</w:t>
      </w:r>
    </w:p>
    <w:p>
      <w:pPr>
        <w:pStyle w:val="Normal"/>
      </w:pPr>
      <w:r>
        <w:t>2. A Party may designate a non-Party jurisdiction, facility, or supplier as a Trusted Strategic Materials Source for specified materials where the Party determines, on published and reviewable criteria, that the source provides reliable traceability; commercial transparency and supply reliability; effective labor and environmental compliance; compliance with sanctions and export controls legally applicable to the importing Party and transaction where relevant; protection against forced labor; and low risk of transshipment, fraud, or circumvention. Ownership structure, state participation, diplomatic alignment, or a jurisdiction's general economic model shall not by itself disqualify a source.</w:t>
      </w:r>
    </w:p>
    <w:p>
      <w:pPr>
        <w:pStyle w:val="Normal"/>
      </w:pPr>
      <w:r>
        <w:t>3. Importation by a Party from a Trusted Strategic Materials Source shall not, by itself, constitute circumvention, non-market sourcing, a prohibited dependency, or grounds for an adverse measure under Chapters 35, 36, or 37. Nothing in this paragraph converts the imported material into an originating material for purposes of Chapter 4 unless the applicable rule of origin is independently satisfied.</w:t>
      </w:r>
    </w:p>
    <w:p>
      <w:pPr>
        <w:pStyle w:val="Normal"/>
      </w:pPr>
      <w:r>
        <w:t>4. Where a specialized material is not available from North American producers in commercially sufficient quantity, required technical grade, certification, form, or reasonable delivery time, a Party shall be free to facilitate importation from a Trusted Strategic Materials Source, including through expedited licensing, customs facilitation, tariff suspension or remission permitted by its law and international obligations, or other non-discriminatory measures.</w:t>
      </w:r>
    </w:p>
    <w:p>
      <w:pPr>
        <w:pStyle w:val="Normal"/>
      </w:pPr>
      <w:r>
        <w:t>5. No Party shall require another Party to restrict imports of a material from a Trusted Strategic Materials Source solely because the material is also produced in North America. Any request for coordinated restriction shall identify particularized evidence of circumvention, coercive non-market conduct, forced labor, sanctions evasion, or a direct and material security risk and remains subject to Chapters 32 and 35.</w:t>
      </w:r>
    </w:p>
    <w:p>
      <w:pPr>
        <w:pStyle w:val="Normal"/>
      </w:pPr>
      <w:r>
        <w:t>6. A Party may establish an Advanced Manufacturing Materials Shortage List covering, among other goods, aerospace-grade titanium and titanium alloys; nickel- and cobalt-based superalloys; high-strength aluminum alloys; specialty steels; magnesium alloys; scandium-containing alloys; niobium, tantalum, tungsten, molybdenum, zirconium and hafnium products; certified forgings and castings; and other materials requiring specialized metallurgical or quality certification.</w:t>
      </w:r>
    </w:p>
    <w:p>
      <w:pPr>
        <w:pStyle w:val="Normal"/>
      </w:pPr>
      <w:r>
        <w:t>7. Inclusion on the Shortage List shall be based on objective evidence concerning domestic and North American capacity, qualification lead times, technical specifications, delivery reliability, concentration risk, and reasonable commercial availability. The list shall be reviewed at least annually and may identify a material by grade, form, specification, or end-use class rather than by broad commodity category.</w:t>
      </w:r>
    </w:p>
    <w:p>
      <w:pPr>
        <w:pStyle w:val="Normal"/>
      </w:pPr>
      <w:r>
        <w:t>8. Materials imported under this Article remain subject to ordinary customs valuation, origin accounting, sanctions, export controls, antidumping and countervailing duty law consistent with Chapter 10, and bona fide health, safety, environmental, and security requirements. This Article does not authorize evasion of a lawful measure against a non-Party.</w:t>
      </w:r>
    </w:p>
    <w:p>
      <w:pPr>
        <w:pStyle w:val="Normal"/>
      </w:pPr>
      <w:r>
        <w:t>9. The Parties shall endeavor to ensure that legitimate use of trusted non-Party inputs does not disqualify a finished good from CUSMA treatment where the finished good independently satisfies the applicable tariff-shift, regional-value-content, or other product-specific rule of origin.</w:t>
      </w:r>
    </w:p>
    <w:p>
      <w:pPr>
        <w:pStyle w:val="Normal"/>
      </w:pPr>
      <w:r>
        <w:t>10. The Economic Security and Supply Chain Resilience Subcommittee shall maintain a non-exclusive Trusted Strategic Materials Source register. Designation may apply to a jurisdiction, sector, facility, or supplier and may be suspended only on particularized evidence, with notice and an opportunity for review.</w:t>
      </w:r>
    </w:p>
    <w:p>
      <w:pPr>
        <w:pStyle w:val="Heading2"/>
      </w:pPr>
      <w:bookmarkStart w:id="901317" w:name="_Toc300001316"/>
      <w:r>
        <w:t>Article 37.6B: Strategic Resource Non-Exclusivity and Voluntary Offtake</w:t>
      </w:r>
      <w:bookmarkEnd w:id="901317"/>
    </w:p>
    <w:p>
      <w:pPr>
        <w:pStyle w:val="Normal"/>
      </w:pPr>
      <w:r>
        <w:t>1. Nothing in this Agreement grants a Party a right of first refusal, exclusive purchasing right, preferential claim, compulsory offtake entitlement, export veto, production-direction right, mandatory destination requirement, or other exclusive entitlement over critical minerals, strategic materials, processing capacity, reserves, or future production located in or controlled by another Party.</w:t>
      </w:r>
    </w:p>
    <w:p>
      <w:pPr>
        <w:pStyle w:val="Normal"/>
      </w:pPr>
      <w:r>
        <w:t>2. Strategic-material cooperation may include voluntary commercial offtakes, jointly financed projects, market-based price-stability mechanisms, stockpile exchanges, emergency-access arrangements, processing partnerships, recycling and recovery agreements, and other mutually agreed instruments.</w:t>
      </w:r>
    </w:p>
    <w:p>
      <w:pPr>
        <w:pStyle w:val="Normal"/>
      </w:pPr>
      <w:r>
        <w:t>3. An arrangement under paragraph 2 shall identify its duration, scope, commercial or public purpose, termination conditions, and any emergency priority rules. Unless expressly agreed by the supplying Party, it creates no entitlement to production outside the arrangement.</w:t>
      </w:r>
    </w:p>
    <w:p>
      <w:pPr>
        <w:pStyle w:val="Normal"/>
      </w:pPr>
      <w:r>
        <w:t>4. A Party remains free to sell, allocate, process, retain, or export its strategic resources to non-Parties, subject to its domestic law and express obligations under this Agreement. Cooperation under this Chapter shall not be interpreted as compulsory extraction or compulsory expansion of raw-material exports.</w:t>
      </w:r>
    </w:p>
    <w:p>
      <w:pPr>
        <w:pStyle w:val="Normal"/>
      </w:pPr>
      <w:r>
        <w:t>5. Nothing in this Article prevents a Party from voluntarily negotiating a project-specific right of first offer, right of first refusal, offtake, or priority-access term on ordinary commercial or public-contract terms. No such project-specific term becomes a treaty-wide entitlement or precedent for other resources.</w:t>
      </w:r>
    </w:p>
    <w:p>
      <w:pPr>
        <w:pStyle w:val="Heading2"/>
      </w:pPr>
      <w:bookmarkStart w:id="901318" w:name="_Toc300001317"/>
      <w:r>
        <w:t>Article 37.6C: Strategic Materials Preferred Commercial Access Portfolio</w:t>
      </w:r>
      <w:bookmarkEnd w:id="901318"/>
    </w:p>
    <w:p>
      <w:pPr>
        <w:pStyle w:val="Normal"/>
      </w:pPr>
      <w:r>
        <w:t>1. Consistent with Article 37.6B, a supplying Party may voluntarily establish a Preferred Commercial Access Window for an agreed portion of eligible export-available or incremental production of a designated strategic material. Such a Window is a limited opportunity to negotiate or match bona fide market-based commercial terms and is not an exclusive purchasing right, treaty-wide right of first refusal, ownership interest, export veto, or compulsory destination requirement.</w:t>
      </w:r>
    </w:p>
    <w:p>
      <w:pPr>
        <w:pStyle w:val="Normal"/>
      </w:pPr>
      <w:r>
        <w:t>2. A Preferred Commercial Access Window shall preserve: existing contracts and committed customers; the supplying Party’s domestic industrial, energy, food-security, defense, infrastructure, and strategic-reserve requirements; Indigenous and other legally protected rights; emergency allocation authority; environmental and safety law; and the supplying Party’s freedom to trade with non-Parties after the applicable commercial window expires or is declined.</w:t>
      </w:r>
    </w:p>
    <w:p>
      <w:pPr>
        <w:pStyle w:val="Normal"/>
      </w:pPr>
      <w:r>
        <w:t>3. No Window shall compel extraction, mine development, smelter or refinery operation, production expansion, sale below market-based terms, or acceptance of a commercially unreasonable offer. Private producers retain commercial autonomy except to the extent they voluntarily participate in an adopted program or contract.</w:t>
      </w:r>
    </w:p>
    <w:p>
      <w:pPr>
        <w:pStyle w:val="Normal"/>
      </w:pPr>
      <w:r>
        <w:t>4. Preference shall, wherever commercially practicable, emphasize incremental capacity, newly export-available supply, recovered or recycled material, new refining or processing capacity, or production created through qualifying investment rather than displacement of established Canadian, Mexican, United States, or trusted non-Party customers.</w:t>
      </w:r>
    </w:p>
    <w:p>
      <w:pPr>
        <w:pStyle w:val="Normal"/>
      </w:pPr>
      <w:r>
        <w:t>5. Where investment by purchasers, firms, public financial institutions, or governments of another Party materially creates additional mining, smelting, refining, recycling, processing, transport, or storage capacity, an adopted schedule may provide an enhanced or longer commercial-access window over a bounded share of the incremental output attributable to that investment. Such treatment shall not create a claim over pre-existing production.</w:t>
      </w:r>
    </w:p>
    <w:p>
      <w:pPr>
        <w:pStyle w:val="Normal"/>
      </w:pPr>
      <w:r>
        <w:t>6. Commodity percentages shall be established only through an adopted schedule following capacity, domestic-demand, export, market-concentration, investment, and strategic-sensitivity review. Percentages operate as maximum eligible windows, not compulsory delivery quotas or guaranteed purchase volumes, and may be reduced when supply conditions materially tighten.</w:t>
      </w:r>
    </w:p>
    <w:p>
      <w:pPr>
        <w:pStyle w:val="Normal"/>
      </w:pPr>
      <w:r>
        <w:t>7. Initial negotiating calibration ranges, subject to expert validation and schedule adoption, may include: aluminum, 30 to 50 percent of qualifying incremental capacity; potash, 15 to 25 percent of qualifying incremental or export-available supply; zinc, approximately 15 percent; copper, 10 to 20 percent with emphasis on incremental North American refining; iron ore and qualifying iron feedstocks, approximately 8 to 15 percent or another capacity-supported range; gold, approximately 3 to 5 percent; uranium, 2 to 2.5 percent; and scarce or specialty minerals only on individually calibrated terms, including zero fixed percentage where scarcity or strategic sensitivity warrants.</w:t>
      </w:r>
    </w:p>
    <w:p>
      <w:pPr>
        <w:pStyle w:val="Normal"/>
      </w:pPr>
      <w:r>
        <w:t>8. The Commission shall review an adopted commodity schedule at least annually during its first three years and at least every two years thereafter. Review shall consider Canadian, Mexican, and United States requirements as applicable, production and reserve conditions, export concentration, new capacity, emergency needs, market distortions, and whether the Window remains reciprocal and commercially useful.</w:t>
      </w:r>
    </w:p>
    <w:p>
      <w:pPr>
        <w:pStyle w:val="Normal"/>
      </w:pPr>
      <w:r>
        <w:t>9. Failure, shortage, or dispute concerning one commodity shall not suspend or reduce access, tariff treatment, forestry normalization, or other benefits attributable to a different commodity except to the extent an adopted schedule expressly assigns a quantified cross-commodity value and Cothrom review verifies material impairment.</w:t>
      </w:r>
    </w:p>
    <w:p>
      <w:pPr>
        <w:pStyle w:val="Normal"/>
      </w:pPr>
      <w:r>
        <w:t>10. Nothing in this Article limits a Party’s ability to maintain diversified trade relationships or trusted external feedstock arrangements under Article 37.6A. Preferred access is non-exclusive and shall not be conditioned on termination of lawful commercial relationships with non-Parties.</w:t>
      </w:r>
    </w:p>
    <w:p>
      <w:pPr>
        <w:pStyle w:val="Heading2"/>
      </w:pPr>
      <w:bookmarkStart w:id="901319" w:name="_Toc300001318"/>
      <w:r>
        <w:t>Article 37.6D: Abundance-Sensitive and Strategic-Sensitivity Calibration</w:t>
      </w:r>
      <w:bookmarkEnd w:id="901319"/>
    </w:p>
    <w:p>
      <w:pPr>
        <w:pStyle w:val="Normal"/>
      </w:pPr>
      <w:r>
        <w:t>1. Preferred-access commitments shall be calibrated according to the supplying Party’s practical ability to provide reliable supply without impairing domestic requirements, existing commercial relationships, diversification, or long-term industrial development. Abundant and expandable materials may support larger windows; constrained materials shall support smaller windows; and exceptionally scarce, security-sensitive, or domestically deficient materials may receive a de minimis or zero fixed window.</w:t>
      </w:r>
    </w:p>
    <w:p>
      <w:pPr>
        <w:pStyle w:val="Normal"/>
      </w:pPr>
      <w:r>
        <w:t>2. Aluminum may serve as a flagship capacity-expansion material where additional Canadian or other North American smelting, recycling, alloying, and downstream capacity is commercially viable. Copper cooperation should prioritize additional North American refining and processing where existing refined trade is already highly integrated. Potash cooperation may include agricultural supply assurance consistent with domestic and existing contractual requirements. Uranium cooperation shall remain narrowly bounded and subject to all applicable nuclear, non-proliferation, safeguards, licensing, strategic-reserve, and security requirements.</w:t>
      </w:r>
    </w:p>
    <w:p>
      <w:pPr>
        <w:pStyle w:val="Heading2"/>
      </w:pPr>
      <w:bookmarkStart w:id="901320" w:name="_Toc300001319"/>
      <w:r>
        <w:t>Article 37.7: Strategic Stockpile Information</w:t>
      </w:r>
      <w:bookmarkEnd w:id="901320"/>
    </w:p>
    <w:p>
      <w:pPr>
        <w:pStyle w:val="Normal"/>
      </w:pPr>
      <w:r>
        <w:t>1. The Parties may, on a voluntary basis, exchange information concerning strategic reserves of designated critical minerals and strategic materials, and coordinate concerning release or acquisition in response to a verified supply disruption.</w:t>
      </w:r>
    </w:p>
    <w:p>
      <w:pPr>
        <w:pStyle w:val="Normal"/>
      </w:pPr>
      <w:r>
        <w:t>2. This Article does not create a supranational stockpile authority or an obligation to maintain, acquire, or release reserves.</w:t>
      </w:r>
    </w:p>
    <w:p>
      <w:pPr>
        <w:pStyle w:val="Heading2"/>
      </w:pPr>
      <w:bookmarkStart w:id="901321" w:name="_Toc300001320"/>
      <w:r>
        <w:t>ANNEX 37-B: INITIAL TRUSTED STRATEGIC MATERIALS COOPERATION</w:t>
      </w:r>
      <w:bookmarkEnd w:id="901321"/>
    </w:p>
    <w:p>
      <w:pPr>
        <w:pStyle w:val="Normal"/>
      </w:pPr>
      <w:r>
        <w:t>1. The Parties may recognize jurisdictions, facilities, or suppliers demonstrating high standards of traceability, product quality, supply reliability, labor and environmental compliance, commercial transparency, anti-corruption controls, and compliance with legally applicable sanctions and export controls as candidates for Trusted Strategic Materials Source designation under Article 37.6A.</w:t>
      </w:r>
    </w:p>
    <w:p>
      <w:pPr>
        <w:pStyle w:val="Normal"/>
      </w:pPr>
      <w:r>
        <w:t>2. Technical equivalence and supply-chain cooperation shall be open on a non-exclusive basis to reliable qualifying jurisdictions, facilities, and suppliers capable of providing specialized advanced-manufacturing materials. No source receives automatic preference or exclusion by reason of diplomatic alignment, free-trade-agreement status, state ownership, country of origin, or general economic model; and no designation confers originating status or an exemption from otherwise applicable trade-remedy law.</w:t>
      </w:r>
    </w:p>
    <w:p>
      <w:pPr>
        <w:pStyle w:val="Normal"/>
      </w:pPr>
      <w:r>
        <w:t>3. A Party may conclude mutual-recognition arrangements for metallurgical test reports, material traceability records, quality-system certifications, and other conformity documentation with a qualifying source, reducing duplicative testing while preserving regulator and purchaser authority to require verification where risk warrants.</w:t>
      </w:r>
    </w:p>
    <w:p>
      <w:pPr>
        <w:pStyle w:val="Normal"/>
      </w:pPr>
      <w:r>
        <w:t>4. The Annex shall be administered on a non-exclusive basis and may be updated without reopening the Agreement where the Commission acts by consensus under the Structured Technical Amendment Procedure.</w:t>
      </w:r>
    </w:p>
    <w:p>
      <w:pPr>
        <w:pStyle w:val="Heading2"/>
      </w:pPr>
      <w:bookmarkStart w:id="901322" w:name="_Toc300001321"/>
      <w:r>
        <w:t>ANNEX 37-A: CRITICAL MINERALS AND STRATEGIC MATERIALS LIST</w:t>
      </w:r>
      <w:bookmarkEnd w:id="901322"/>
    </w:p>
    <w:p>
      <w:pPr>
        <w:pStyle w:val="Normal"/>
      </w:pPr>
      <w:r>
        <w:t>1. The initial list of critical minerals for the purposes of Article 37.2 comprises: aluminum (gallium-containing and high-purity), antimony, arsenic, barite, beryllium, bismuth, cerium, cesium, chromium, cobalt, dysprosium, erbium, europium, fluorspar, gadolinium, gallium, germanium, graphite (natural), hafnium, holmium, indium, iridium, lanthanum, lithium, lutetium, magnesium, manganese, neodymium, nickel, niobium, palladium, platinum, praseodymium, rhodium, rubidium, ruthenium, samarium, scandium, tantalum, tellurium, terbium, thulium, tin, titanium, tungsten, uranium, vanadium, ytterbium, yttrium, zinc, and zirconium.</w:t>
      </w:r>
    </w:p>
    <w:p>
      <w:pPr>
        <w:pStyle w:val="Normal"/>
      </w:pPr>
      <w:r>
        <w:t>2. The initial list of strategic materials comprises: battery-grade lithium compounds; battery cathode and anode active materials; rare earth permanent magnets; semiconductor-grade silicon, silicon carbide, and gallium compounds; high-purity aluminum and alumina; and such further materials as the Commission designates.</w:t>
      </w:r>
    </w:p>
    <w:p>
      <w:pPr>
        <w:pStyle w:val="Normal"/>
      </w:pPr>
      <w:r>
        <w:t>3. The Commission shall review this Annex at least every two years and may amend it by consensus through the Structured Technical Amendment Procedure in Article 34.3.A.</w:t>
      </w:r>
    </w:p>
    <w:p>
      <w:pPr>
        <w:pStyle w:val="Heading2"/>
      </w:pPr>
      <w:bookmarkStart w:id="901323" w:name="_Toc300001322"/>
      <w:r>
        <w:t>Article 37.8: North American Aluminum Security and Capacity Expansion</w:t>
      </w:r>
      <w:bookmarkEnd w:id="901323"/>
    </w:p>
    <w:p>
      <w:pPr>
        <w:pStyle w:val="Normal"/>
      </w:pPr>
      <w:r>
        <w:t>1. The Parties recognize primary and recycled aluminum as strategic industrial inputs and shall cooperate to expand reliable North American capacity in smelting, recycling, casting, alloy production, and associated infrastructure where commercially and environmentally viable.</w:t>
      </w:r>
    </w:p>
    <w:p>
      <w:pPr>
        <w:pStyle w:val="Normal"/>
      </w:pPr>
      <w:r>
        <w:t>2. A Party may accelerate permitting coordination, grid and transport infrastructure, workforce development, recycling systems, demonstration projects, and investment facilitation for qualifying aluminum projects, subject to domestic law and without guaranteeing a particular producer, price, or volume.</w:t>
      </w:r>
    </w:p>
    <w:p>
      <w:pPr>
        <w:pStyle w:val="Normal"/>
      </w:pPr>
      <w:r>
        <w:t>3. The Parties shall encourage long-term commercial supply arrangements and continuity planning for originating aluminum. No Party is required to reserve production for another Party or sell below market terms.</w:t>
      </w:r>
    </w:p>
    <w:p>
      <w:pPr>
        <w:pStyle w:val="Normal"/>
      </w:pPr>
      <w:r>
        <w:t>4. The Parties shall consult on tariff-free or otherwise preferential treatment for originating Canadian, United States, and Mexican aluminum that satisfies strengthened smelt-and-cast, traceability, and anti-circumvention requirements under this Agreement.</w:t>
      </w:r>
    </w:p>
    <w:p>
      <w:pPr>
        <w:pStyle w:val="Heading2"/>
      </w:pPr>
      <w:bookmarkStart w:id="901324" w:name="_Toc300001323"/>
      <w:r>
        <w:t>Article 37.9: Semiconductor Materials Security and High-Purity Processing</w:t>
      </w:r>
      <w:bookmarkEnd w:id="901324"/>
    </w:p>
    <w:p>
      <w:pPr>
        <w:pStyle w:val="Normal"/>
      </w:pPr>
      <w:r>
        <w:t>1. The Parties shall accelerate resilient North American supply chains for semiconductor and advanced-electronics materials, including gallium, germanium, indium, antimony, tantalum, tungsten, tin, copper, nickel, cobalt, high-purity aluminum and alumina, semiconductor-grade silicon, and other materials designated in Annex 37-A.</w:t>
      </w:r>
    </w:p>
    <w:p>
      <w:pPr>
        <w:pStyle w:val="Normal"/>
      </w:pPr>
      <w:r>
        <w:t>2. Cooperation shall prioritize not only extraction but recovery from by-product streams, refining, ultra-high-purity processing, recycling, qualification, and other stages necessary to deliver semiconductor-grade material to North American manufacturers.</w:t>
      </w:r>
    </w:p>
    <w:p>
      <w:pPr>
        <w:pStyle w:val="Normal"/>
      </w:pPr>
      <w:r>
        <w:t>3. The Parties may support joint research into improved recovery yields, purification, recycling, material efficiency, substitution, and reduced dependence on single-source bottlenecks. Participation shall remain technology-neutral and shall not require blanket exclusion of a non-Party supplier solely by reason of nationality.</w:t>
      </w:r>
    </w:p>
    <w:p>
      <w:pPr>
        <w:pStyle w:val="Normal"/>
      </w:pPr>
      <w:r>
        <w:t>4. Government-supported offtake, financing, or stockpile arrangements shall use transparent criteria and shall preserve reasonable commercial access for domestic users and diversified global trade.</w:t>
      </w:r>
    </w:p>
    <w:p>
      <w:pPr>
        <w:pStyle w:val="Heading2"/>
      </w:pPr>
      <w:bookmarkStart w:id="901325" w:name="_Toc300001324"/>
      <w:r>
        <w:t>Article 37.10: North American Strategic Materials Compact and Reciprocal Supply Assurance</w:t>
      </w:r>
      <w:bookmarkEnd w:id="901325"/>
    </w:p>
    <w:p>
      <w:pPr>
        <w:pStyle w:val="Normal"/>
      </w:pPr>
      <w:r>
        <w:t>1. The Parties establish a North American Strategic Materials Compact through which Canada, Mexico, and the United States may undertake reciprocal supply, continuity, processing, qualification, recycling, financing, and emergency-access commitments for critical minerals and strategic industrial inputs.</w:t>
      </w:r>
    </w:p>
    <w:p>
      <w:pPr>
        <w:pStyle w:val="Normal"/>
      </w:pPr>
      <w:r>
        <w:t>2. The Compact shall be reciprocal. No Party shall be treated solely as a source of raw materials, a residual market, or a destination for surplus production. Each Party may participate as producer, processor, manufacturer, consumer, investor, recycler, technology partner, or strategic purchaser.</w:t>
      </w:r>
    </w:p>
    <w:p>
      <w:pPr>
        <w:pStyle w:val="Normal"/>
      </w:pPr>
      <w:r>
        <w:t>3. A strategic supply commitment guarantees agreed rules of access and commercially reasonable availability; it does not transfer ownership of a Party's resources, create an unlimited first claim on production, require below-market sales, or override essential domestic requirements.</w:t>
      </w:r>
    </w:p>
    <w:p>
      <w:pPr>
        <w:pStyle w:val="Normal"/>
      </w:pPr>
      <w:r>
        <w:t>4. The Commission shall maintain Annex 37-C as a living strategic-materials matrix identifying lead opportunities, strategic forms, commitment types, processing bottlenecks, qualification needs, and reciprocal value for the three Parties.</w:t>
      </w:r>
    </w:p>
    <w:p>
      <w:pPr>
        <w:pStyle w:val="Normal"/>
      </w:pPr>
      <w:r>
        <w:t>5. Commitments under this Article shall be interpreted together with Articles 37.3, 37.5, 37.6, 37.7, Chapter 38, and applicable environmental, labour, Indigenous-rights, sanctions, security, and trade-remedy provisions of this Agreement.</w:t>
      </w:r>
    </w:p>
    <w:p>
      <w:pPr>
        <w:pStyle w:val="Heading2"/>
      </w:pPr>
      <w:bookmarkStart w:id="901326" w:name="_Toc300001325"/>
      <w:r>
        <w:t>Article 37.11: Strategic Availability Rates, Capacity-Ramp Commitments, and Continuity Guarantees</w:t>
      </w:r>
      <w:bookmarkEnd w:id="901326"/>
    </w:p>
    <w:p>
      <w:pPr>
        <w:pStyle w:val="Normal"/>
      </w:pPr>
      <w:r>
        <w:t>1. A scheduled material may receive one or more of the following commitment types: (a) a Bounded Surge Commitment for mature production; (b) a Capacity-Ramp Commitment for new or expanding projects; (c) a Continuity Guarantee for established high-volume trade; or (d) a Processing and Qualification Guarantee where refining, separation, purification, conversion, metallurgy, or technical qualification is the principal bottleneck.</w:t>
      </w:r>
    </w:p>
    <w:p>
      <w:pPr>
        <w:pStyle w:val="Normal"/>
      </w:pPr>
      <w:r>
        <w:t>2. A Strategic Availability Rate (SAR) expresses the maximum additional qualifying supply that a Party is prepared to seek to make commercially available above an agreed baseline. An SAR is a ceiling for a bounded commitment, not an unconditional production mandate or fixed purchase obligation.</w:t>
      </w:r>
    </w:p>
    <w:p>
      <w:pPr>
        <w:pStyle w:val="Normal"/>
      </w:pPr>
      <w:r>
        <w:t>3. A Capacity-Ramp Commitment applies to verified incremental commercially available capacity as a project enters production and shall account for commissioning, qualification, ramp-up, existing contracts, domestic requirements, permitting, infrastructure, community and Indigenous obligations, and force majeure.</w:t>
      </w:r>
    </w:p>
    <w:p>
      <w:pPr>
        <w:pStyle w:val="Normal"/>
      </w:pPr>
      <w:r>
        <w:t>4. A Continuity Guarantee protects existing strategic trade against arbitrary disruption and may include notice, consultation, emergency allocation, qualification continuity, and non-discriminatory access rather than an obligation to increase tonnage.</w:t>
      </w:r>
    </w:p>
    <w:p>
      <w:pPr>
        <w:pStyle w:val="Normal"/>
      </w:pPr>
      <w:r>
        <w:t>5. Product-specific commitments may distinguish ore, concentrate, refined metal, chemical compounds, ferroalloys, high-purity forms, powders, active materials, magnets, fabricated inputs, recycled material, or other forms where broad commodity treatment would obscure the actual strategic bottleneck.</w:t>
      </w:r>
    </w:p>
    <w:p>
      <w:pPr>
        <w:pStyle w:val="Heading2"/>
      </w:pPr>
      <w:bookmarkStart w:id="901327" w:name="_Toc300001326"/>
      <w:r>
        <w:t>Article 37.12: Strategic Availability Calibration and Technical Review</w:t>
      </w:r>
      <w:bookmarkEnd w:id="901327"/>
    </w:p>
    <w:p>
      <w:pPr>
        <w:pStyle w:val="Normal"/>
      </w:pPr>
      <w:r>
        <w:t>1. Before a numerical SAR or equivalent quantitative commitment becomes operative, the Secretariat shall coordinate an independent technical calibration considering current and planned production; unused and expansion capacity; domestic consumption; existing contracts; import dependence; allied alternatives; processing constraints; strategic importance; substitutability; market concentration; project maturity; infrastructure; environmental constraints; labour conditions; community and Indigenous obligations; and expected demand growth.</w:t>
      </w:r>
    </w:p>
    <w:p>
      <w:pPr>
        <w:pStyle w:val="Normal"/>
      </w:pPr>
      <w:r>
        <w:t>2. Negotiating reference percentages in Annex 37-C are provisional targets until calibrated under paragraph 1. The certified rate may be lower or higher where the evidence supports adjustment.</w:t>
      </w:r>
    </w:p>
    <w:p>
      <w:pPr>
        <w:pStyle w:val="Normal"/>
      </w:pPr>
      <w:r>
        <w:t>3. Calibration shall use product-specific baselines and shall not aggregate unlike material forms where doing so would materially misstate strategic availability.</w:t>
      </w:r>
    </w:p>
    <w:p>
      <w:pPr>
        <w:pStyle w:val="Normal"/>
      </w:pPr>
      <w:r>
        <w:t>4. Certified rates and commitment forms shall be reviewed periodically and may be adjusted through the Structured Technical Amendment Procedure where underlying capacity, demand, technology, market structure, or strategic risk materially changes.</w:t>
      </w:r>
    </w:p>
    <w:p>
      <w:pPr>
        <w:pStyle w:val="Normal"/>
      </w:pPr>
      <w:r>
        <w:t>5. Failure to achieve a reference percentage because the calibrated commercially feasible rate is lower shall not constitute non-compliance where the Party has complied with this Article and the applicable certified commitment.</w:t>
      </w:r>
    </w:p>
    <w:p>
      <w:pPr>
        <w:pStyle w:val="Heading2"/>
      </w:pPr>
      <w:bookmarkStart w:id="901328" w:name="_Toc300001327"/>
      <w:r>
        <w:t>Article 37.13: Strategic Value-Added Levels and Processing-First Development</w:t>
      </w:r>
      <w:bookmarkEnd w:id="901328"/>
    </w:p>
    <w:p>
      <w:pPr>
        <w:pStyle w:val="Normal"/>
      </w:pPr>
      <w:r>
        <w:t>1. The Compact shall seek to increase North American value added rather than merely accelerate extraction. Before activating a substantial raw-material supply commitment, the Parties shall review whether additional North American recovery, refining, processing, conversion, alloying, component production, or recycling is commercially and strategically viable.</w:t>
      </w:r>
    </w:p>
    <w:p>
      <w:pPr>
        <w:pStyle w:val="Normal"/>
      </w:pPr>
      <w:r>
        <w:t>2. Strategic Value-Added Levels (SVAL) may be assigned from primary extraction or recovery through progressively higher stages of beneficiation, refining, high-purity conversion, strategic-component production, and closed-loop recycling.</w:t>
      </w:r>
    </w:p>
    <w:p>
      <w:pPr>
        <w:pStyle w:val="Normal"/>
      </w:pPr>
      <w:r>
        <w:t>3. Financing, qualification, customs facilitation, procurement eligibility, reserve access, infrastructure coordination, or other benefits may place greater weight on projects that resolve an identified North American processing bottleneck or move production to a higher SVAL.</w:t>
      </w:r>
    </w:p>
    <w:p>
      <w:pPr>
        <w:pStyle w:val="Normal"/>
      </w:pPr>
      <w:r>
        <w:t>4. A Party increasing strategic supply primarily for the benefit of another Party should receive meaningful opportunity for corresponding investment in extraction, processing, recycling, infrastructure, or downstream manufacturing within the supplying Party, consistent with domestic law and commercial viability.</w:t>
      </w:r>
    </w:p>
    <w:p>
      <w:pPr>
        <w:pStyle w:val="Normal"/>
      </w:pPr>
      <w:r>
        <w:t>5. Nothing in this Article requires inefficient localization, mandatory technology transfer, domestic-content discrimination inconsistent with this Agreement, or construction of processing capacity where objective analysis shows that such capacity is not commercially or strategically justified.</w:t>
      </w:r>
    </w:p>
    <w:p>
      <w:pPr>
        <w:pStyle w:val="Heading2"/>
      </w:pPr>
      <w:bookmarkStart w:id="901329" w:name="_Toc300001328"/>
      <w:r>
        <w:t>Article 37.14: Strategic Project Pipeline, Qualification, Offtake, and Reserve Eligibility</w:t>
      </w:r>
      <w:bookmarkEnd w:id="901329"/>
    </w:p>
    <w:p>
      <w:pPr>
        <w:pStyle w:val="Normal"/>
      </w:pPr>
      <w:r>
        <w:t>1. The Parties shall maintain a voluntary Strategic Project Pipeline identifying projects capable of resolving verified North American supply, processing, qualification, recycling, logistics, or strategic-form gaps.</w:t>
      </w:r>
    </w:p>
    <w:p>
      <w:pPr>
        <w:pStyle w:val="Normal"/>
      </w:pPr>
      <w:r>
        <w:t>2. Pipeline information may include project maturity, expected capacity, material form, infrastructure needs, qualification lead times, financing gap, applicable community or Indigenous participation arrangements, and the strategic bottleneck addressed, while protecting confidential information.</w:t>
      </w:r>
    </w:p>
    <w:p>
      <w:pPr>
        <w:pStyle w:val="Normal"/>
      </w:pPr>
      <w:r>
        <w:t>3. Government agencies may, where authorized by domestic law, facilitate standardized long-term offtake arrangements, demand aggregation, loan guarantees, project finance, equity participation, procurement qualification, or other investment tools using transparent and technology-neutral criteria.</w:t>
      </w:r>
    </w:p>
    <w:p>
      <w:pPr>
        <w:pStyle w:val="Normal"/>
      </w:pPr>
      <w:r>
        <w:t>4. Qualifying Canadian, Mexican, and United States materials shall be eligible to compete for strategic reserve procurement, defense or infrastructure qualification, and comparable public demand programs on terms not less favorable solely because the material originates in another Party, subject to domestic law, security requirements, technical specifications, and applicable procurement obligations.</w:t>
      </w:r>
    </w:p>
    <w:p>
      <w:pPr>
        <w:pStyle w:val="Normal"/>
      </w:pPr>
      <w:r>
        <w:t>5. The Parties shall establish accelerated technical pathways for testing and qualifying new North American material sources where an existing qualification bottleneck materially impedes strategic substitution. Qualification shall not be waived where safety, performance, or mission requirements make testing necessary.</w:t>
      </w:r>
    </w:p>
    <w:p>
      <w:pPr>
        <w:pStyle w:val="Normal"/>
      </w:pPr>
      <w:r>
        <w:t>6. No government-supported offtake or reserve mechanism shall guarantee a producer a fixed price, purchase volume, or commercial return unless expressly authorized under domestic law.</w:t>
      </w:r>
    </w:p>
    <w:p>
      <w:pPr>
        <w:pStyle w:val="Heading2"/>
      </w:pPr>
      <w:bookmarkStart w:id="901330" w:name="_Toc300001329"/>
      <w:r>
        <w:t>Article 37.15: Emergency Allocation, Domestic-Needs Floor, and No Preferential Starvation</w:t>
      </w:r>
      <w:bookmarkEnd w:id="901330"/>
    </w:p>
    <w:p>
      <w:pPr>
        <w:pStyle w:val="Normal"/>
      </w:pPr>
      <w:r>
        <w:t>1. No Party is required to impair essential domestic requirements in order to satisfy another Party's strategic-material demand.</w:t>
      </w:r>
    </w:p>
    <w:p>
      <w:pPr>
        <w:pStyle w:val="Normal"/>
      </w:pPr>
      <w:r>
        <w:t>2. During a verified shortage, a Party restricting a scheduled strategic material shall apply a transparent and proportionate allocation method that considers essential domestic requirements, existing essential contracts, health and safety, critical infrastructure, defense and strategic continuity, high-priority manufacturing, and historical North American supply relationships.</w:t>
      </w:r>
    </w:p>
    <w:p>
      <w:pPr>
        <w:pStyle w:val="Normal"/>
      </w:pPr>
      <w:r>
        <w:t>3. After essential domestic requirements are addressed, a Party shall not unreasonably discriminate against another Party in the allocation of remaining exportable strategic supply relative to materially comparable non-Party destinations, subject to sanctions, security measures, international obligations, force majeure, and other defined exceptions.</w:t>
      </w:r>
    </w:p>
    <w:p>
      <w:pPr>
        <w:pStyle w:val="Normal"/>
      </w:pPr>
      <w:r>
        <w:t>4. A Party shall not divert material received through an emergency-access mechanism to a non-Party for speculative resale or higher-priced arbitrage while the verified shortage continues, except with notice and where the diversion does not materially impair the emergency purpose.</w:t>
      </w:r>
    </w:p>
    <w:p>
      <w:pPr>
        <w:pStyle w:val="Normal"/>
      </w:pPr>
      <w:r>
        <w:t>5. Emergency allocation decisions shall be reviewable under an accelerated Cothrom factual process and shall not create permanent market shares or procurement entitlements.</w:t>
      </w:r>
    </w:p>
    <w:p>
      <w:pPr>
        <w:pStyle w:val="Heading2"/>
      </w:pPr>
      <w:bookmarkStart w:id="901331" w:name="_Toc300001330"/>
      <w:r>
        <w:t>Article 37.16: Anti-Hoarding, Anti-Diversion, Origin Integrity, and Strategic Supply Verification</w:t>
      </w:r>
      <w:bookmarkEnd w:id="901331"/>
    </w:p>
    <w:p>
      <w:pPr>
        <w:pStyle w:val="Normal"/>
      </w:pPr>
      <w:r>
        <w:t>1. The Parties shall guard against strategic hoarding, shell intermediaries, false shortage declarations, origin laundering, superficial processing, artificial shipment splitting, contract warehousing, stockpile arbitrage, fraudulent strategic-grade claims, emergency-access diversion, and other conduct designed to obtain Compact benefits without satisfying their substantive conditions.</w:t>
      </w:r>
    </w:p>
    <w:p>
      <w:pPr>
        <w:pStyle w:val="Normal"/>
      </w:pPr>
      <w:r>
        <w:t>2. Strategic-supply verification shall be risk-based and use the lowest-burden reliable evidence sufficient to establish origin, strategic form, qualification status, available capacity, and material compliance.</w:t>
      </w:r>
    </w:p>
    <w:p>
      <w:pPr>
        <w:pStyle w:val="Normal"/>
      </w:pPr>
      <w:r>
        <w:t>3. A firm shall not be penalized for commercially reasonable inventory management, hedging, long-term contracting, maintenance reserves, or ordinary global trade solely because such activity reduces immediately available spot supply.</w:t>
      </w:r>
    </w:p>
    <w:p>
      <w:pPr>
        <w:pStyle w:val="Normal"/>
      </w:pPr>
      <w:r>
        <w:t>4. Where abuse is established, remedies shall target the responsible trader, facility, shipment, or benefit where practicable and shall not automatically suspend a Party-wide strategic supply commitment.</w:t>
      </w:r>
    </w:p>
    <w:p>
      <w:pPr>
        <w:pStyle w:val="Normal"/>
      </w:pPr>
      <w:r>
        <w:t>5. Confidential production, reserve, contract, and inventory information shall be protected under Annex 35-C and applicable domestic law.</w:t>
      </w:r>
    </w:p>
    <w:p>
      <w:pPr>
        <w:pStyle w:val="Heading2"/>
      </w:pPr>
      <w:bookmarkStart w:id="901332" w:name="_Toc300001331"/>
      <w:r>
        <w:t>Article 37.17: Trilateral Industrialization, Community Participation, and Circular Supply</w:t>
      </w:r>
      <w:bookmarkEnd w:id="901332"/>
    </w:p>
    <w:p>
      <w:pPr>
        <w:pStyle w:val="Normal"/>
      </w:pPr>
      <w:r>
        <w:t>1. The Parties shall use the Compact to promote resilient continental industrial capacity and shall assess benefits and adjustment costs for Canada, Mexico, and the United States separately.</w:t>
      </w:r>
    </w:p>
    <w:p>
      <w:pPr>
        <w:pStyle w:val="Normal"/>
      </w:pPr>
      <w:r>
        <w:t>2. Mexico shall be integrated as a full strategic supplier, processor, manufacturer, recycler, and investment destination, including for materials and value chains in which Mexican production or processing provides a comparative North American advantage.</w:t>
      </w:r>
    </w:p>
    <w:p>
      <w:pPr>
        <w:pStyle w:val="Normal"/>
      </w:pPr>
      <w:r>
        <w:t>3. Canada shall retain the ability to prioritize domestic value-added development and shall not be required to expand raw exports where a commercially viable North American processing opportunity would be materially undermined without review under Article 37.13.</w:t>
      </w:r>
    </w:p>
    <w:p>
      <w:pPr>
        <w:pStyle w:val="Normal"/>
      </w:pPr>
      <w:r>
        <w:t>4. The United States shall participate not only as a consumer and financier but also through reciprocal continuity of strategic industrial inputs, processing, qualification, specialty materials, manufacturing capacity, recycling, and other value-chain contributions identified in Annex 37-C.</w:t>
      </w:r>
    </w:p>
    <w:p>
      <w:pPr>
        <w:pStyle w:val="Normal"/>
      </w:pPr>
      <w:r>
        <w:t>5. Indigenous peoples and affected local communities shall have access, consistent with domestic law, to consultation, workforce, infrastructure, equity, procurement, benefit-sharing, and investment opportunities associated with qualifying projects. Nothing in this Chapter diminishes constitutionally protected Aboriginal or treaty rights or Indigenous self-government arrangements.</w:t>
      </w:r>
    </w:p>
    <w:p>
      <w:pPr>
        <w:pStyle w:val="Normal"/>
      </w:pPr>
      <w:r>
        <w:t>6. Qualifying recycled and recovered materials may satisfy supply and continuity commitments where technically equivalent and traceable, thereby reducing unnecessary pressure for primary extraction.</w:t>
      </w:r>
    </w:p>
    <w:p>
      <w:pPr>
        <w:pStyle w:val="Heading2"/>
      </w:pPr>
      <w:bookmarkStart w:id="901333" w:name="_Toc300001332"/>
      <w:r>
        <w:t>Article 37.18: Strategic Resources Stability Bargain and Cross-Sector De-escalation</w:t>
      </w:r>
      <w:bookmarkEnd w:id="901333"/>
    </w:p>
    <w:p>
      <w:pPr>
        <w:pStyle w:val="Normal"/>
      </w:pPr>
      <w:r>
        <w:t>1. The Parties recognize that deeper strategic-material security may support broader negotiated resource and industrial stability, including durable treatment for sectors exposed to recurring tariff or trade-remedy uncertainty.</w:t>
      </w:r>
    </w:p>
    <w:p>
      <w:pPr>
        <w:pStyle w:val="Normal"/>
      </w:pPr>
      <w:r>
        <w:t>2. Canada may package verified strategic-mineral availability, processing, qualification, reserve, or continuity commitments with negotiated measures promoting durable United States market stability for Canadian resource sectors, including forestry and metals, where the Parties agree that the combined package produces reciprocal value.</w:t>
      </w:r>
    </w:p>
    <w:p>
      <w:pPr>
        <w:pStyle w:val="Normal"/>
      </w:pPr>
      <w:r>
        <w:t>3. Mexico may package verified strategic-material commitments with negotiated measures promoting durable United States market stability for Mexican metals, manufacturing, infrastructure, or other sectors, consistent with this Agreement.</w:t>
      </w:r>
    </w:p>
    <w:p>
      <w:pPr>
        <w:pStyle w:val="Normal"/>
      </w:pPr>
      <w:r>
        <w:t>4. Cross-sector linkage shall operate through staged treaty benefits and proportionate remedies rather than automatic interruption of strategically essential material flows.</w:t>
      </w:r>
    </w:p>
    <w:p>
      <w:pPr>
        <w:pStyle w:val="Normal"/>
      </w:pPr>
      <w:r>
        <w:t>5. Failure in one linked sector shall trigger consultation, Cothrom review, cure, and proportionate suspension of equivalent benefits where authorized. It shall not automatically terminate emergency-access commitments whose interruption would create disproportionate health, safety, defense, energy, or infrastructure risk.</w:t>
      </w:r>
    </w:p>
    <w:p>
      <w:pPr>
        <w:pStyle w:val="Normal"/>
      </w:pPr>
      <w:r>
        <w:t>6. The Three-Win Test applies to any major linked package: the Commission shall identify a defensible material benefit for Canada, Mexico, and the United States and shall avoid concentrating uncompensated adjustment costs in one Party.</w:t>
      </w:r>
    </w:p>
    <w:p>
      <w:pPr>
        <w:pStyle w:val="Heading2"/>
      </w:pPr>
      <w:bookmarkStart w:id="901334" w:name="_Toc300001333"/>
      <w:r>
        <w:t>ANNEX 37-C: NORTH AMERICAN STRATEGIC MATERIALS MATRIX</w:t>
      </w:r>
      <w:bookmarkEnd w:id="901334"/>
    </w:p>
    <w:p>
      <w:pPr>
        <w:pStyle w:val="Normal"/>
      </w:pPr>
      <w:r>
        <w:t>1. Purpose. This Annex identifies initial candidate materials, lead opportunities, commitment forms, and value-added priorities. Numerical percentages are negotiating reference targets pending calibration under Article 37.12 and do not constitute unconditional production mandates.</w:t>
      </w:r>
    </w:p>
    <w:p>
      <w:pPr>
        <w:pStyle w:val="Normal"/>
      </w:pPr>
      <w:r>
        <w:t>2. Molybdenum - Lead opportunity: Canada, with complementary Mexican supply. Candidate commitment: up to +10 percent bounded surge in qualifying strategic forms. Priority: high-purity products, specialty alloys, and qualification. Reciprocal value: resource-market stability, strategic procurement access, and processing investment.</w:t>
      </w:r>
    </w:p>
    <w:p>
      <w:pPr>
        <w:pStyle w:val="Normal"/>
      </w:pPr>
      <w:r>
        <w:t>3. Tellurium - Lead opportunity: Canada. Candidate commitment: up to +8 percent qualified surge. Priority: refining, cadmium-telluride recovery, advanced-material qualification, and recycling. Reciprocal value: qualification, reserve eligibility, and processing investment.</w:t>
      </w:r>
    </w:p>
    <w:p>
      <w:pPr>
        <w:pStyle w:val="Normal"/>
      </w:pPr>
      <w:r>
        <w:t>4. Natural Graphite - Lead opportunities: Canada and Mexico. Candidate commitment: up to +12 percent incremental strategic capacity as verified projects ramp. Priority: purified spherical graphite, anode active material, qualification, and recycling. Reciprocal value: financing, offtake, processing, and battery-chain investment.</w:t>
      </w:r>
    </w:p>
    <w:p>
      <w:pPr>
        <w:pStyle w:val="Normal"/>
      </w:pPr>
      <w:r>
        <w:t>5. Fluorspar - Lead opportunity: Mexico. Candidate commitment: up to +10 percent strategic availability by applicable grade. Priority: acid-grade processing, hydrogen fluoride, fluorochemicals, metallurgy, and nuclear-fuel inputs. Reciprocal value: Mexican processing and infrastructure investment and stable market treatment.</w:t>
      </w:r>
    </w:p>
    <w:p>
      <w:pPr>
        <w:pStyle w:val="Normal"/>
      </w:pPr>
      <w:r>
        <w:t>6. Manganese - Lead opportunity: Mexico. Candidate commitment: up to +13.5 percent product-specific strategic availability, subject to separate calibration for ore, ferroalloys, electrolytic manganese metal, and battery-grade manganese compounds. Priority: HPMSM, EMM, ferroalloys, and qualification. Reciprocal value: processing investment and manufacturing stability.</w:t>
      </w:r>
    </w:p>
    <w:p>
      <w:pPr>
        <w:pStyle w:val="Normal"/>
      </w:pPr>
      <w:r>
        <w:t>7. Barite - Lead opportunity: Mexico. Candidate commitment: up to +15 percent qualifying drilling- or strategic-grade availability. Priority: beneficiation, grinding, testing, and certified energy-sector products. Reciprocal value: energy-material facilitation, infrastructure, and processing investment.</w:t>
      </w:r>
    </w:p>
    <w:p>
      <w:pPr>
        <w:pStyle w:val="Normal"/>
      </w:pPr>
      <w:r>
        <w:t>8. Zinc - Lead opportunities: Canada and Mexico. Candidate commitment: up to +18 percent product-specific processed availability where calibrated, supplemented by continuity guarantees. Priority: refined zinc, alloys, galvanizing inputs, and recycling. Reciprocal value: metals and manufacturing stability and refinery modernization.</w:t>
      </w:r>
    </w:p>
    <w:p>
      <w:pPr>
        <w:pStyle w:val="Normal"/>
      </w:pPr>
      <w:r>
        <w:t>9. Potash - Lead opportunity: Canada. Candidate commitment: continuity guarantee, emergency surge planning, and logistics resilience rather than a low-value fixed percentage. Priority: fertilizer security, storage, rail and port continuity, and agricultural resilience. Reciprocal value: durable agricultural and resource-market access.</w:t>
      </w:r>
    </w:p>
    <w:p>
      <w:pPr>
        <w:pStyle w:val="Normal"/>
      </w:pPr>
      <w:r>
        <w:t>10. Copper - Lead opportunities: Canada and Mexico, with substantial United States production and processing. Candidate commitment: reciprocal continuity plus capacity-growth and recycling framework. Priority: smelting, refining, wire, grid inputs, scrap recovery, and qualification. Reciprocal value: grid, manufacturing, and tariff stability.</w:t>
      </w:r>
    </w:p>
    <w:p>
      <w:pPr>
        <w:pStyle w:val="Normal"/>
      </w:pPr>
      <w:r>
        <w:t>11. Nickel - Lead opportunity: Canada. Candidate commitment: processing-first strategic availability. Priority: Class 1 nickel, nickel sulfate, stainless and superalloy forms, and recycling. Reciprocal value: offtake, finance, battery and alloy investment.</w:t>
      </w:r>
    </w:p>
    <w:p>
      <w:pPr>
        <w:pStyle w:val="Normal"/>
      </w:pPr>
      <w:r>
        <w:t>12. Lithium - Lead opportunity: Canada for near-term expansion; Mexico as a development-stage participant where commercially and legally viable. Candidate commitment: capacity-ramp and processing commitments rather than theoretical reserve tonnage. Priority: carbonate, hydroxide, cathode inputs, and recycling.</w:t>
      </w:r>
    </w:p>
    <w:p>
      <w:pPr>
        <w:pStyle w:val="Normal"/>
      </w:pPr>
      <w:r>
        <w:t>13. Cobalt - Lead opportunity: Canada. Candidate commitment: processing and qualification guarantee with bounded supply where feasible. Priority: battery-grade compounds, superalloys, and recycling. Reciprocal value: downstream investment and secure demand.</w:t>
      </w:r>
    </w:p>
    <w:p>
      <w:pPr>
        <w:pStyle w:val="Normal"/>
      </w:pPr>
      <w:r>
        <w:t>14. Uranium - Lead opportunity: Canada. Candidate commitment: long-term nuclear-fuel continuity and resilience rather than a simple percentage surge. Priority: fuel-cycle cooperation, conversion, qualified processing, reserve resilience, and applicable safeguards.</w:t>
      </w:r>
    </w:p>
    <w:p>
      <w:pPr>
        <w:pStyle w:val="Normal"/>
      </w:pPr>
      <w:r>
        <w:t>15. Aluminum - Lead opportunity: Canada, with major United States and Mexican downstream participation. Candidate commitment: continuity guarantee and no-disruption framework. Priority: smelting, alloys, recycling, and fabricated strategic inputs. Reciprocal value: durable tariff and Section 232 stability where negotiated.</w:t>
      </w:r>
    </w:p>
    <w:p>
      <w:pPr>
        <w:pStyle w:val="Normal"/>
      </w:pPr>
      <w:r>
        <w:t>16. Silver - Lead opportunity: Mexico. Candidate commitment: continuity and calibrated expansion where feasible. Priority: refining, electronics, photovoltaic materials, recovery, and recycling. Reciprocal value: downstream industrial investment.</w:t>
      </w:r>
    </w:p>
    <w:p>
      <w:pPr>
        <w:pStyle w:val="Normal"/>
      </w:pPr>
      <w:r>
        <w:t>17. Lead - Lead opportunities: Mexico and Canada. Candidate commitment: closed-loop supply assurance. Priority: lead-acid battery recycling, secondary lead, environmental safeguards, and strategic industrial uses.</w:t>
      </w:r>
    </w:p>
    <w:p>
      <w:pPr>
        <w:pStyle w:val="Normal"/>
      </w:pPr>
      <w:r>
        <w:t>18. Rare Earth Elements - Lead opportunity: Canada for development and processing, with Mexican and United States opportunities where verified. Candidate commitment: capacity-development, separation, refining, magnet, qualification, and recycling guarantees rather than unprocessed tonnage promises.</w:t>
      </w:r>
    </w:p>
    <w:p>
      <w:pPr>
        <w:pStyle w:val="Normal"/>
      </w:pPr>
      <w:r>
        <w:t>19. Niobium - Lead opportunity: Canada. Candidate commitment: strategic continuity. Priority: ferroniobium, high-strength steel, specialty alloys, and qualification. Reciprocal value: procurement and reserve recognition.</w:t>
      </w:r>
    </w:p>
    <w:p>
      <w:pPr>
        <w:pStyle w:val="Normal"/>
      </w:pPr>
      <w:r>
        <w:t>20. Germanium - North American recovery and processing opportunity. Candidate commitment: recovery, refining, purification, and qualification targets pending verified supply. Priority: high-purity material, infrared, fiber-optic, semiconductor, and recycling applications.</w:t>
      </w:r>
    </w:p>
    <w:p>
      <w:pPr>
        <w:pStyle w:val="Normal"/>
      </w:pPr>
      <w:r>
        <w:t>21. Gallium - North American recovery and high-purity processing opportunity. Candidate commitment: no numerical percentage until commercially meaningful production and recoverable supply are verified. Priority: high-purity gallium, gallium nitride, gallium arsenide, semiconductor qualification, and by-product recovery.</w:t>
      </w:r>
    </w:p>
    <w:p>
      <w:pPr>
        <w:pStyle w:val="Normal"/>
      </w:pPr>
      <w:r>
        <w:t>22. Magnesium - Trilateral industrial opportunity. Candidate commitment: continuity and processing-development track. Priority: magnesium metal, alloys, automotive and aerospace qualification, and recycling.</w:t>
      </w:r>
    </w:p>
    <w:p>
      <w:pPr>
        <w:pStyle w:val="Normal"/>
      </w:pPr>
      <w:r>
        <w:t>23. Tungsten - Trilateral development opportunity. Candidate commitment: project-development, qualification, recycling, and trusted-source mechanisms. Priority: carbides, tooling, defense-grade forms, and strategic recycling.</w:t>
      </w:r>
    </w:p>
    <w:p>
      <w:pPr>
        <w:pStyle w:val="Normal"/>
      </w:pPr>
      <w:r>
        <w:t>24. Platinum Group Metals - Lead opportunity: Canada, with trilateral recycling and downstream use. Candidate commitment: continuity and recycling framework. Priority: refining, catalyst recovery, fuel-cell and electronics applications.</w:t>
      </w:r>
    </w:p>
    <w:p>
      <w:pPr>
        <w:pStyle w:val="Normal"/>
      </w:pPr>
      <w:r>
        <w:t>25. United States Reciprocal Inputs. The Commission shall identify United States-produced or processed strategic materials and industrial inputs for which Canada or Mexico has material continuity needs, including qualifying copper, zinc, molybdenum, specialty steels and alloys, aluminum products, phosphate and fertilizer inputs, helium, boron, silicon and high-purity materials, specialty metal products, processing services, and technical qualification capacity. The appropriate commitment may be continuity, emergency allocation, processing access, qualification, or supply expansion rather than a uniform percentage increase.</w:t>
      </w:r>
    </w:p>
    <w:p>
      <w:pPr>
        <w:pStyle w:val="Normal"/>
      </w:pPr>
      <w:r>
        <w:t>26. Strategic Industrial Inputs Schedule. The Commission may maintain a companion schedule for nonfuel industrial materials that are strategically indispensable to North American manufacturing, infrastructure, agriculture, semiconductors, chemicals, construction, or energy but are not optimally governed by a broad critical-mineral label.</w:t>
      </w:r>
    </w:p>
    <w:p>
      <w:pPr>
        <w:pStyle w:val="Normal"/>
      </w:pPr>
      <w:r>
        <w:t>27. Maturity Classes. Class A materials have established commercial supply and may support firm continuity or bounded surge commitments. Class B materials are expansion-ready and may support conditional future commitments. Class C materials are development resources eligible for financing, permitting, qualification, and offtake cooperation but are not counted as guaranteed supply. Class D materials are prospective resources and create no assumption of future commercial availability.</w:t>
      </w:r>
    </w:p>
    <w:p>
      <w:pPr>
        <w:pStyle w:val="Normal"/>
      </w:pPr>
      <w:r>
        <w:t>28. Review. The Commission shall review this Matrix at least annually for capacity, strategic form, maturity class, SAR calibration, SVAL progression, processing gaps, and trilateral balance. Technical updates shall not create new tariff concessions or binding production mandates without the procedure otherwise required by this Agreement.</w:t>
      </w:r>
    </w:p>
    <w:p>
      <w:pPr>
        <w:pStyle w:val="Heading2"/>
      </w:pPr>
      <w:bookmarkStart w:id="901335" w:name="_Toc300001334"/>
      <w:r>
        <w:t>Article 37.19: North American Strategic Minerals Bargain Framework</w:t>
      </w:r>
      <w:bookmarkEnd w:id="901335"/>
    </w:p>
    <w:p>
      <w:pPr>
        <w:pStyle w:val="Normal"/>
      </w:pPr>
      <w:r>
        <w:t>1. The Parties shall use this Chapter not only to manage shortages but to create reciprocal commercial bargains that connect secure mineral access, processing, industrial investment, procurement eligibility, strategic reserves, recycling, and market-access normalization. A qualifying bargain shall identify the material contribution and reciprocal benefit of each participating Party.</w:t>
      </w:r>
    </w:p>
    <w:p>
      <w:pPr>
        <w:pStyle w:val="Normal"/>
      </w:pPr>
      <w:r>
        <w:t>2. Bargains may be bilateral or trilateral. A bilateral bargain shall not reduce the existing rights of the third Party under this Agreement, alter continental origin rules without the applicable procedure, or create a disguised restriction on legitimate trade with the third Party.</w:t>
      </w:r>
    </w:p>
    <w:p>
      <w:pPr>
        <w:pStyle w:val="Normal"/>
      </w:pPr>
      <w:r>
        <w:t>3. The Commission shall prefer concrete exchanges capable of implementation over undifferentiated mineral commitments. Examples include increased qualifying mineral availability in exchange for processing investment, stable offtake, procurement access, tariff normalization, infrastructure facilitation, or secure access to industrial inputs required by the supplying Party.</w:t>
      </w:r>
    </w:p>
    <w:p>
      <w:pPr>
        <w:pStyle w:val="Heading2"/>
      </w:pPr>
      <w:bookmarkStart w:id="901336" w:name="_Toc300001335"/>
      <w:r>
        <w:t>Article 37.20: Strategic Supply Access and Offtake</w:t>
      </w:r>
      <w:bookmarkEnd w:id="901336"/>
    </w:p>
    <w:p>
      <w:pPr>
        <w:pStyle w:val="Normal"/>
      </w:pPr>
      <w:r>
        <w:t>1. A Party possessing established or expansion-ready capacity in a designated material may offer another Party enhanced long-term access to commercially available qualifying supply, including through voluntary long-term contracts, offtake arrangements, reserve eligibility, expedited qualification, processing access, and emergency continuity procedures.</w:t>
      </w:r>
    </w:p>
    <w:p>
      <w:pPr>
        <w:pStyle w:val="Normal"/>
      </w:pPr>
      <w:r>
        <w:t>2. Enhanced access does not constitute an unconditional extraction or export quota. No Party is required to compel production, override an existing commercial contract, waive environmental or labor law, disregard Indigenous or tribal rights, or deliver material that is not commercially, technically, legally, or physically available.</w:t>
      </w:r>
    </w:p>
    <w:p>
      <w:pPr>
        <w:pStyle w:val="Normal"/>
      </w:pPr>
      <w:r>
        <w:t>3. Where public support is used to sustain strategically necessary capacity that ordinary spot-market conditions would not reliably support, support shall be transparent, targeted, periodically reviewed, and designed to preserve minimum viable capacity rather than guarantee excess profits.</w:t>
      </w:r>
    </w:p>
    <w:p>
      <w:pPr>
        <w:pStyle w:val="Heading2"/>
      </w:pPr>
      <w:bookmarkStart w:id="901337" w:name="_Toc300001336"/>
      <w:r>
        <w:t>Article 37.21: Midstream Gap Register and Raw-to-Refined Additionality</w:t>
      </w:r>
      <w:bookmarkEnd w:id="901337"/>
    </w:p>
    <w:p>
      <w:pPr>
        <w:pStyle w:val="Normal"/>
      </w:pPr>
      <w:r>
        <w:t>1. The Economic Security and Supply Chain Resilience Subcommittee shall maintain a North American Midstream Gap Register identifying strategically important conversion, separation, smelting, refining, purification, alloying, precursor, magnet, anode, cathode, semiconductor-material, sponge-metal, and other processing capabilities that are unavailable or insufficient within North America.</w:t>
      </w:r>
    </w:p>
    <w:p>
      <w:pPr>
        <w:pStyle w:val="Normal"/>
      </w:pPr>
      <w:r>
        <w:t>2. Qualifying projects receive progressively stronger eligibility for financing coordination, procurement qualification, infrastructure facilitation, research cooperation, and other incentives where they move a material one or more additional value-chain stages within North America and create net new continental capability.</w:t>
      </w:r>
    </w:p>
    <w:p>
      <w:pPr>
        <w:pStyle w:val="Normal"/>
      </w:pPr>
      <w:r>
        <w:t>3. The Parties shall apply a Continental Additionality Test to avoid subsidizing relocation of an existing North American facility where substantially equivalent continental capacity would merely move from one Party to another without a material resilience gain.</w:t>
      </w:r>
    </w:p>
    <w:p>
      <w:pPr>
        <w:pStyle w:val="Heading2"/>
      </w:pPr>
      <w:bookmarkStart w:id="901338" w:name="_Toc300001337"/>
      <w:r>
        <w:t>Article 37.22: Canada - Midstream Industrialization Track</w:t>
      </w:r>
      <w:bookmarkEnd w:id="901338"/>
    </w:p>
    <w:p>
      <w:pPr>
        <w:pStyle w:val="Normal"/>
      </w:pPr>
      <w:r>
        <w:t>1. Canada may designate priority processing gaps in which Canadian or trusted feedstock can support greater North American value-added production, including rare-earth separation and magnet materials; battery-grade lithium compounds and graphite anode material; silicon and high-purity semiconductor inputs; specialty steels and alloys; magnesium products; titanium sponge and alloys; nickel and cobalt compounds; and other materials identified in the Midstream Gap Register.</w:t>
      </w:r>
    </w:p>
    <w:p>
      <w:pPr>
        <w:pStyle w:val="Normal"/>
      </w:pPr>
      <w:r>
        <w:t>2. The Parties shall endeavor to pair enhanced access to Canadian strategic resources with investment, technology, qualification, infrastructure, workforce, procurement, and offtake measures that expand processing and downstream capacity in Canada and elsewhere in North America.</w:t>
      </w:r>
    </w:p>
    <w:p>
      <w:pPr>
        <w:pStyle w:val="Normal"/>
      </w:pPr>
      <w:r>
        <w:t>3. Nothing in this Article requires Canada to retain a fixed share of processing domestically. The objective is measurable growth in North American value-added capacity while preventing the strategic framework from treating Canada solely as a raw-material supplier.</w:t>
      </w:r>
    </w:p>
    <w:p>
      <w:pPr>
        <w:pStyle w:val="Heading2"/>
      </w:pPr>
      <w:bookmarkStart w:id="901339" w:name="_Toc300001338"/>
      <w:r>
        <w:t>Article 37.23: United States - Strategic Dependency Reduction Track</w:t>
      </w:r>
      <w:bookmarkEnd w:id="901339"/>
    </w:p>
    <w:p>
      <w:pPr>
        <w:pStyle w:val="Normal"/>
      </w:pPr>
      <w:r>
        <w:t>1. The United States may designate materials for which import concentration, lack of primary production, inadequate processing, or downstream strategic exposure creates a material dependency. Initial candidates may include gallium, germanium, niobium, tantalum, scandium, yttrium, indium, antimony, tungsten, titanium sponge, rare-earth materials, cobalt, nickel, high-purity silicon, specialty copper products, and other materials supported by current evidence.</w:t>
      </w:r>
    </w:p>
    <w:p>
      <w:pPr>
        <w:pStyle w:val="Normal"/>
      </w:pPr>
      <w:r>
        <w:t>2. The Parties shall prioritize diversified North American or Trusted Strategic Materials Source supply, by-product recovery, processing, recycling, minimum viable capacity, strategic inventories, and long-term commercial qualification for designated dependencies.</w:t>
      </w:r>
    </w:p>
    <w:p>
      <w:pPr>
        <w:pStyle w:val="Normal"/>
      </w:pPr>
      <w:r>
        <w:t>3. United States financing, procurement, technical capability, research infrastructure, industrial demand, and qualification capacity may be paired with Canadian and Mexican resource, processing, recycling, and manufacturing contributions on reciprocal terms.</w:t>
      </w:r>
    </w:p>
    <w:p>
      <w:pPr>
        <w:pStyle w:val="Heading2"/>
      </w:pPr>
      <w:bookmarkStart w:id="901340" w:name="_Toc300001339"/>
      <w:r>
        <w:t>Article 37.24: Mexico - Industrial Inputs Security and Specialty Minerals Track</w:t>
      </w:r>
      <w:bookmarkEnd w:id="901340"/>
    </w:p>
    <w:p>
      <w:pPr>
        <w:pStyle w:val="Normal"/>
      </w:pPr>
      <w:r>
        <w:t>1. Mexico may designate industrial inputs for which its automotive, aerospace, electronics, energy, steel, chemical, or advanced-manufacturing sectors face material domestic shortages or import concentration. Initial candidates may include primary and specialty aluminum products, chromium and ferrochrome, titanium sponge and aerospace alloys, battery-grade lithium compounds, nickel, cobalt, germanium, tantalum, vanadium, selected cadmium applications, platinum-group metals, and other materials supported by current evidence.</w:t>
      </w:r>
    </w:p>
    <w:p>
      <w:pPr>
        <w:pStyle w:val="Normal"/>
      </w:pPr>
      <w:r>
        <w:t>2. Mexico shall also be recognized as a strategic supplier where it possesses established or expansion-ready North American capacity, including fluorspar, antimony, bismuth, silver, zinc, copper, lead, barite, manganese, and other designated materials.</w:t>
      </w:r>
    </w:p>
    <w:p>
      <w:pPr>
        <w:pStyle w:val="Normal"/>
      </w:pPr>
      <w:r>
        <w:t>3. The Parties shall endeavor to pair Mexican specialty-mineral access with secure industrial-input supply, value-added processing, infrastructure, financing, recycling, component production, and technology investment so that Mexico participates as both a strategic supplier and a higher-value downstream manufacturer.</w:t>
      </w:r>
    </w:p>
    <w:p>
      <w:pPr>
        <w:pStyle w:val="Heading2"/>
      </w:pPr>
      <w:bookmarkStart w:id="901341" w:name="_Toc300001340"/>
      <w:r>
        <w:t>Article 37.25: Mexican Fluorspar, Antimony, and Bismuth Cooperation</w:t>
      </w:r>
      <w:bookmarkEnd w:id="901341"/>
    </w:p>
    <w:p>
      <w:pPr>
        <w:pStyle w:val="Normal"/>
      </w:pPr>
      <w:r>
        <w:t>1. The Parties shall establish a priority cooperation lane for Mexican fluorspar, antimony, and bismuth, subject to verified commercial availability and current production data.</w:t>
      </w:r>
    </w:p>
    <w:p>
      <w:pPr>
        <w:pStyle w:val="Normal"/>
      </w:pPr>
      <w:r>
        <w:t>2. Fluorspar cooperation may include acid-grade beneficiation, hydrogen-fluoride and fluorochemical conversion, semiconductor and battery inputs, aluminum and metallurgical uses, applicable nuclear-fuel-cycle inputs, logistics resilience, and bounded surge planning.</w:t>
      </w:r>
    </w:p>
    <w:p>
      <w:pPr>
        <w:pStyle w:val="Normal"/>
      </w:pPr>
      <w:r>
        <w:t>3. Antimony cooperation may include long-term offtake, minimum viable Western Hemisphere capacity, refining, recycling, strategic inventories, and qualification for defense, electronics, flame-retardant, battery, and other lawful industrial applications.</w:t>
      </w:r>
    </w:p>
    <w:p>
      <w:pPr>
        <w:pStyle w:val="Normal"/>
      </w:pPr>
      <w:r>
        <w:t>4. Bismuth cooperation shall emphasize by-product recovery from qualifying lead, silver, and other metallurgical streams; refining; recycling; environmentally preferable substitution applications; and secure access for North American manufacturing and research.</w:t>
      </w:r>
    </w:p>
    <w:p>
      <w:pPr>
        <w:pStyle w:val="Heading2"/>
      </w:pPr>
      <w:bookmarkStart w:id="901342" w:name="_Toc300001341"/>
      <w:r>
        <w:t>Article 37.26: By-Product Recovery and Circular Strategic Materials Initiative</w:t>
      </w:r>
      <w:bookmarkEnd w:id="901342"/>
    </w:p>
    <w:p>
      <w:pPr>
        <w:pStyle w:val="Normal"/>
      </w:pPr>
      <w:r>
        <w:t>1. The Parties shall facilitate recovery of gallium, germanium, indium, tellurium, bismuth, cobalt, precious metals, rare-earth elements, and other strategic materials present in mine tailings, smelter residues, refinery streams, electronic waste, batteries, industrial scrap, and other lawful secondary sources.</w:t>
      </w:r>
    </w:p>
    <w:p>
      <w:pPr>
        <w:pStyle w:val="Normal"/>
      </w:pPr>
      <w:r>
        <w:t>2. Recovered material satisfying applicable origin and traceability requirements receives treatment equivalent to qualifying primary material for resilience, procurement, reserve, and processing programs unless a program expressly requires virgin feedstock for technical reasons.</w:t>
      </w:r>
    </w:p>
    <w:p>
      <w:pPr>
        <w:pStyle w:val="Normal"/>
      </w:pPr>
      <w:r>
        <w:t>3. Support may include pilot recovery facilities, shared metallurgical testing, environmental characterization, demonstration projects, long-term offtake, and coordinated qualification of recovered material.</w:t>
      </w:r>
    </w:p>
    <w:p>
      <w:pPr>
        <w:pStyle w:val="Heading2"/>
      </w:pPr>
      <w:bookmarkStart w:id="901343" w:name="_Toc300001342"/>
      <w:r>
        <w:t>Article 37.27: In-Continent Conversion Incentive and Processing Retention Principle</w:t>
      </w:r>
      <w:bookmarkEnd w:id="901343"/>
    </w:p>
    <w:p>
      <w:pPr>
        <w:pStyle w:val="Normal"/>
      </w:pPr>
      <w:r>
        <w:t>1. The Parties shall encourage, rather than compel, increased conversion of qualifying strategic minerals into higher-value intermediate and finished materials within North America. Enhanced benefits may be attached to projects that add separation, refining, chemical conversion, alloying, magnet production, semiconductor-grade purification, battery-material production, component manufacturing, or other substantial processing stages within a Party.</w:t>
      </w:r>
    </w:p>
    <w:p>
      <w:pPr>
        <w:pStyle w:val="Normal"/>
      </w:pPr>
      <w:r>
        <w:t>2. Nothing in this Article authorizes an export ban, compulsory local-processing quota, or restriction inconsistent with this Agreement. The Processing Retention Principle is implemented through positive incentives, qualification, infrastructure, procurement, financing, and commercial arrangements.</w:t>
      </w:r>
    </w:p>
    <w:p>
      <w:pPr>
        <w:pStyle w:val="Heading2"/>
      </w:pPr>
      <w:bookmarkStart w:id="901344" w:name="_Toc300001343"/>
      <w:r>
        <w:t>Article 37.28: Strategic Supply Surge Doctrine</w:t>
      </w:r>
      <w:bookmarkEnd w:id="901344"/>
    </w:p>
    <w:p>
      <w:pPr>
        <w:pStyle w:val="Normal"/>
      </w:pPr>
      <w:r>
        <w:t>1. Strategic Supply Surge Capacity means the verified ability, during a qualifying supply disruption, to increase the availability of a designated material above an agreed reference baseline through additional production, processing, refining, recycling, inventory release, logistics optimization, temporary use of idle capacity, qualified substitution, or other approved means.</w:t>
      </w:r>
    </w:p>
    <w:p>
      <w:pPr>
        <w:pStyle w:val="Normal"/>
      </w:pPr>
      <w:r>
        <w:t>2. A Surge Target is an indicative planning objective; Certified Surge Capacity is capacity supported by evidence at the time of certification; and a Surge Obligation is the duty to activate agreed procedures, coordinate, report, and use commercially and technically reasonable efforts. No percentage in Annex 37-C is an absolute production guarantee unless expressly converted into one by a separate binding schedule.</w:t>
      </w:r>
    </w:p>
    <w:p>
      <w:pPr>
        <w:pStyle w:val="Normal"/>
      </w:pPr>
      <w:r>
        <w:t>3. The reference baseline shall ordinarily use the preceding 12 months of normalized qualifying availability, adjusted for planned maintenance and extraordinary disruption. For seasonal or highly volatile materials, the Commission may use a normalized period of up to 36 months.</w:t>
      </w:r>
    </w:p>
    <w:p>
      <w:pPr>
        <w:pStyle w:val="Normal"/>
      </w:pPr>
      <w:r>
        <w:t>4. A Party is not in breach solely because geology, force majeure, labor disruption, unplanned equipment failure, safety requirements, permitting or judicial delay, or other circumstances outside its reasonable control prevent achievement of a Surge Target, provided it performs the applicable procedural and best-achievable mobilization obligations.</w:t>
      </w:r>
    </w:p>
    <w:p>
      <w:pPr>
        <w:pStyle w:val="Heading2"/>
      </w:pPr>
      <w:bookmarkStart w:id="901345" w:name="_Toc300001344"/>
      <w:r>
        <w:t>Article 37.29: Authorized Supply Surge Firewall</w:t>
      </w:r>
      <w:bookmarkEnd w:id="901345"/>
    </w:p>
    <w:p>
      <w:pPr>
        <w:pStyle w:val="Normal"/>
      </w:pPr>
      <w:r>
        <w:t>1. Increased trade resulting principally from an authorized Strategic Supply Surge, mutually agreed stockpile release, emergency continuity action, or verified North American supply-shortage response shall not, by reason of increased volume alone, constitute evidence of a distortion under Article 35.11.</w:t>
      </w:r>
    </w:p>
    <w:p>
      <w:pPr>
        <w:pStyle w:val="Normal"/>
      </w:pPr>
      <w:r>
        <w:t>2. This firewall does not protect fraud, dumping, prohibited subsidization, circumvention, discriminatory allocation, or other independently verifiable conduct inconsistent with this Agreement.</w:t>
      </w:r>
    </w:p>
    <w:p>
      <w:pPr>
        <w:pStyle w:val="Heading2"/>
      </w:pPr>
      <w:bookmarkStart w:id="901346" w:name="_Toc300001345"/>
      <w:r>
        <w:t>Article 37.30: North American Strategic Chain Qualification</w:t>
      </w:r>
      <w:bookmarkEnd w:id="901346"/>
    </w:p>
    <w:p>
      <w:pPr>
        <w:pStyle w:val="Normal"/>
      </w:pPr>
      <w:r>
        <w:t>1. The Commission may recognize a North American Strategic Chain where two or more Parties contribute material stages of extraction or recovery, processing, refining, component production, advanced manufacturing, or recycling to a designated strategic product.</w:t>
      </w:r>
    </w:p>
    <w:p>
      <w:pPr>
        <w:pStyle w:val="Normal"/>
      </w:pPr>
      <w:r>
        <w:t>2. Qualification may support expedited procurement eligibility, financing coordination, trusted-supplier treatment, customs facilitation, research cooperation, and other benefits authorized by this Agreement.</w:t>
      </w:r>
    </w:p>
    <w:p>
      <w:pPr>
        <w:pStyle w:val="Normal"/>
      </w:pPr>
      <w:r>
        <w:t>3. Illustrative chains may include Canadian extraction and refining linked to Mexican component production and United States advanced manufacturing; Mexican specialty-mineral supply linked to Canadian or United States processing and trilateral downstream use; or other combinations that satisfy the Three-Win Test.</w:t>
      </w:r>
    </w:p>
    <w:p>
      <w:pPr>
        <w:pStyle w:val="Heading2"/>
      </w:pPr>
      <w:bookmarkStart w:id="901347" w:name="_Toc300001346"/>
      <w:r>
        <w:t>Article 37.31: North American Strategic Industrial Scale-Up Pathway</w:t>
      </w:r>
      <w:bookmarkEnd w:id="901347"/>
    </w:p>
    <w:p>
      <w:pPr>
        <w:pStyle w:val="Normal"/>
      </w:pPr>
      <w:r>
        <w:t>1. The Parties establish a voluntary scale-up pathway for strategic-material technologies and facilities progressing from research through pilot, demonstration, qualification, commercial finance, procurement or offtake, and mature competitive operation.</w:t>
      </w:r>
    </w:p>
    <w:p>
      <w:pPr>
        <w:pStyle w:val="Normal"/>
      </w:pPr>
      <w:r>
        <w:t>2. Entry into one stage creates no entitlement to enter a later stage. Advancement shall depend on transparent evidence appropriate to the stage, including technical performance, environmental and worker-safety compliance, credible feedstock and customer assumptions, financing readiness, and a plausible route to commercial viability.</w:t>
      </w:r>
    </w:p>
    <w:p>
      <w:pPr>
        <w:pStyle w:val="Normal"/>
      </w:pPr>
      <w:r>
        <w:t>3. The pathway may coordinate existing domestic grants, loans, guarantees, tax measures, infrastructure support, procurement tools, and private finance. It does not create a supranational subsidy authority or require equal fiscal support by the Parties.</w:t>
      </w:r>
    </w:p>
    <w:p>
      <w:pPr>
        <w:pStyle w:val="Normal"/>
      </w:pPr>
      <w:r>
        <w:t>4. Public support shall be time-limited, additional to ordinary commercial activity, and structured to avoid indefinite dependence. Failed experiments may exit without penalty where reporting and integrity requirements were satisfied in good faith.</w:t>
      </w:r>
    </w:p>
    <w:p>
      <w:pPr>
        <w:pStyle w:val="Heading2"/>
      </w:pPr>
      <w:bookmarkStart w:id="901348" w:name="_Toc300001347"/>
      <w:r>
        <w:t>Article 37.32: Critical Minerals Pilot Plant and Demonstration Network</w:t>
      </w:r>
      <w:bookmarkEnd w:id="901348"/>
    </w:p>
    <w:p>
      <w:pPr>
        <w:pStyle w:val="Normal"/>
      </w:pPr>
      <w:r>
        <w:t>1. The Parties may facilitate coordinated access to existing or voluntarily designated pilot and demonstration facilities for mineral separation, refining, purification, by-product recovery, recycling, magnet materials, battery materials, semiconductor-grade inputs, and other identified midstream gaps. This Article does not require construction of a facility or create a separately staffed continental network.</w:t>
      </w:r>
    </w:p>
    <w:p>
      <w:pPr>
        <w:pStyle w:val="Normal"/>
      </w:pPr>
      <w:r>
        <w:t>2. Facilities may be located in any Party and may specialize according to regional feedstock, energy, workforce, water, infrastructure, environmental, and commercial conditions. No Party is guaranteed a facility or production allocation.</w:t>
      </w:r>
    </w:p>
    <w:p>
      <w:pPr>
        <w:pStyle w:val="Normal"/>
      </w:pPr>
      <w:r>
        <w:t>3. Participating facilities should, where commercially and legally practicable, facilitate shared or reciprocal access to expensive testing, analytical, metallurgical, qualification, and process-control capabilities that small and medium-sized enterprises and first-of-a-kind projects could not reasonably duplicate. Access remains subject to capacity, safety, security, intellectual-property, funding, and facility-governance rules.</w:t>
      </w:r>
    </w:p>
    <w:p>
      <w:pPr>
        <w:pStyle w:val="Normal"/>
      </w:pPr>
      <w:r>
        <w:t>4. Intellectual property remains governed by applicable law and project agreements. Participation does not compel disclosure of trade secrets beyond what is necessary to establish eligibility, safety, performance, or public-funding compliance.</w:t>
      </w:r>
    </w:p>
    <w:p>
      <w:pPr>
        <w:pStyle w:val="Normal"/>
      </w:pPr>
      <w:r>
        <w:t>5. Successful demonstrations should receive expedited consideration, not automatic approval, for the scale-up pathway in Article 37.31.</w:t>
      </w:r>
    </w:p>
    <w:p>
      <w:pPr>
        <w:pStyle w:val="Heading2"/>
      </w:pPr>
      <w:bookmarkStart w:id="901349" w:name="_Toc300001348"/>
      <w:r>
        <w:t>Article 37.33: Strategic Project Risk-Sharing and Insurance Facilitation</w:t>
      </w:r>
      <w:bookmarkEnd w:id="901349"/>
    </w:p>
    <w:p>
      <w:pPr>
        <w:pStyle w:val="Normal"/>
      </w:pPr>
      <w:r>
        <w:t>1. The Parties may facilitate lawful insurance, reinsurance, guarantees, political-risk coverage, completion-risk instruments, price-risk tools, and supply-continuity insurance for qualifying North American mineral and processing projects.</w:t>
      </w:r>
    </w:p>
    <w:p>
      <w:pPr>
        <w:pStyle w:val="Normal"/>
      </w:pPr>
      <w:r>
        <w:t>2. Any public risk-sharing shall identify the covered risk, deductible or first-loss allocation, maximum exposure, duration, recovery rights, and conditions for termination. It shall not insure ordinary commercial failure without a defined public-interest rationale.</w:t>
      </w:r>
    </w:p>
    <w:p>
      <w:pPr>
        <w:pStyle w:val="Normal"/>
      </w:pPr>
      <w:r>
        <w:t>3. Risk-sharing should crowd in private capital and may be paired with long-term commercial offtake, provided no Party is required to buy a fixed quantity or guarantee a producer's profit.</w:t>
      </w:r>
    </w:p>
    <w:p>
      <w:pPr>
        <w:pStyle w:val="Normal"/>
      </w:pPr>
      <w:r>
        <w:t>4. Nothing in this Article overrides a Party's financial-services reservations or prudential regulation.</w:t>
      </w:r>
    </w:p>
    <w:p>
      <w:pPr>
        <w:pStyle w:val="Heading2"/>
      </w:pPr>
      <w:bookmarkStart w:id="901350" w:name="_Toc300001349"/>
      <w:r>
        <w:t>Article 37.34: Urban Mining, Magnet Recovery, and Secondary Resource Inventory</w:t>
      </w:r>
      <w:bookmarkEnd w:id="901350"/>
    </w:p>
    <w:p>
      <w:pPr>
        <w:pStyle w:val="Normal"/>
      </w:pPr>
      <w:r>
        <w:t>1. The Parties shall develop a technology-neutral inventory of recoverable strategic materials contained in end-of-life vehicles, batteries, electronics, industrial scrap, permanent magnets, catalysts, grid equipment, and other economically significant secondary stocks.</w:t>
      </w:r>
    </w:p>
    <w:p>
      <w:pPr>
        <w:pStyle w:val="Normal"/>
      </w:pPr>
      <w:r>
        <w:t>2. The inventory shall use aggregate or appropriately protected data and shall not require disclosure of household-level information or confidential facility data where lower-burden estimates are adequate.</w:t>
      </w:r>
    </w:p>
    <w:p>
      <w:pPr>
        <w:pStyle w:val="Normal"/>
      </w:pPr>
      <w:r>
        <w:t>3. The Parties shall facilitate recovery of rare-earth permanent magnets and other high-value components before destructive processing where technically, environmentally, and commercially reasonable.</w:t>
      </w:r>
    </w:p>
    <w:p>
      <w:pPr>
        <w:pStyle w:val="Normal"/>
      </w:pPr>
      <w:r>
        <w:t>4. Origin and circular-production rules shall recognize qualifying recovery and remanufacturing under Chapter 4 while maintaining safeguards against waste dumping, sham processing, and hazardous-material diversion.</w:t>
      </w:r>
    </w:p>
    <w:p>
      <w:pPr>
        <w:pStyle w:val="Heading2"/>
      </w:pPr>
      <w:bookmarkStart w:id="901351" w:name="_Toc300001350"/>
      <w:r>
        <w:t>Article 37.35: Mineral Substitution, Efficiency, and By-Product Innovation</w:t>
      </w:r>
      <w:bookmarkEnd w:id="901351"/>
    </w:p>
    <w:p>
      <w:pPr>
        <w:pStyle w:val="Normal"/>
      </w:pPr>
      <w:r>
        <w:t>1. Joint research may pursue substitution for scarce or concentrated minerals, material-efficiency improvements, design-for-recovery, lower-intensity manufacturing, and recovery of strategic materials from existing industrial by-product streams.</w:t>
      </w:r>
    </w:p>
    <w:p>
      <w:pPr>
        <w:pStyle w:val="Normal"/>
      </w:pPr>
      <w:r>
        <w:t>2. Research priorities shall be based on measured vulnerability and potential economic impact rather than a presumption that every listed mineral requires domestic duplication of every production stage.</w:t>
      </w:r>
    </w:p>
    <w:p>
      <w:pPr>
        <w:pStyle w:val="Normal"/>
      </w:pPr>
      <w:r>
        <w:t>3. Results intended for open dissemination should use interoperable testing methods and publish non-confidential performance data sufficient to accelerate commercial qualification.</w:t>
      </w:r>
    </w:p>
    <w:p>
      <w:pPr>
        <w:pStyle w:val="Heading2"/>
      </w:pPr>
      <w:bookmarkStart w:id="901352" w:name="_Toc300001351"/>
      <w:r>
        <w:t>Article 37.36: Mine and Processing Community Transition Planning</w:t>
      </w:r>
      <w:bookmarkEnd w:id="901352"/>
    </w:p>
    <w:p>
      <w:pPr>
        <w:pStyle w:val="Normal"/>
      </w:pPr>
      <w:r>
        <w:t>1. A qualifying publicly supported project with a material local economic footprint should maintain proportionate closure, remediation, workforce-transition, and community-continuity planning throughout its operating life.</w:t>
      </w:r>
    </w:p>
    <w:p>
      <w:pPr>
        <w:pStyle w:val="Normal"/>
      </w:pPr>
      <w:r>
        <w:t>2. Planning may include reclamation financing, transferable skills, infrastructure reuse, brownfield conversion, supplier diversification, and post-closure economic development. It shall respect Indigenous, tribal, local, and subnational rights under domestic law.</w:t>
      </w:r>
    </w:p>
    <w:p>
      <w:pPr>
        <w:pStyle w:val="Normal"/>
      </w:pPr>
      <w:r>
        <w:t>3. This Article does not create a continental land-use authority or alter ownership of mineral resources.</w:t>
      </w:r>
    </w:p>
    <w:p>
      <w:pPr>
        <w:pStyle w:val="Heading1"/>
      </w:pPr>
      <w:bookmarkStart w:id="901353" w:name="_Toc300001352"/>
      <w:r>
        <w:t>CHAPTER 38</w:t>
      </w:r>
      <w:r>
        <w:br/>
      </w:r>
      <w:r>
        <w:t>EMERGENCY TRADE CONTINUITY</w:t>
      </w:r>
      <w:bookmarkEnd w:id="901353"/>
    </w:p>
    <w:p>
      <w:pPr>
        <w:pStyle w:val="Heading2"/>
      </w:pPr>
      <w:bookmarkStart w:id="901354" w:name="_Toc300001353"/>
      <w:r>
        <w:t>Article 38.1: Purpose</w:t>
      </w:r>
      <w:bookmarkEnd w:id="901354"/>
    </w:p>
    <w:p>
      <w:pPr>
        <w:pStyle w:val="Normal"/>
      </w:pPr>
      <w:r>
        <w:t>1. The Parties establish the Emergency Trade Continuity Mechanism to maintain essential North American trade flows during emergencies, replacing improvised crisis responses with predetermined consultation, prioritization, and continuity procedures.</w:t>
      </w:r>
    </w:p>
    <w:p>
      <w:pPr>
        <w:pStyle w:val="Heading2"/>
      </w:pPr>
      <w:bookmarkStart w:id="901355" w:name="_Toc300001354"/>
      <w:r>
        <w:t>Article 38.2: Definitions and Trigger</w:t>
      </w:r>
      <w:bookmarkEnd w:id="901355"/>
    </w:p>
    <w:p>
      <w:pPr>
        <w:pStyle w:val="Normal"/>
      </w:pPr>
      <w:r>
        <w:t xml:space="preserve">1. </w:t>
      </w:r>
      <w:r>
        <w:rPr>
          <w:b/>
        </w:rPr>
        <w:t>Emergency</w:t>
      </w:r>
      <w:r>
        <w:t xml:space="preserve"> means a pandemic or public-health emergency; a natural disaster including wildfire, flood, hurricane, drought, or extreme weather; a cyber incident affecting trade infrastructure; a major failure of transportation, energy, or communications infrastructure; an armed conflict materially affecting supply chains; or another event designated by the Commission.</w:t>
      </w:r>
    </w:p>
    <w:p>
      <w:pPr>
        <w:pStyle w:val="Normal"/>
      </w:pPr>
      <w:r>
        <w:t>2. Any Party may invoke the Mechanism by notifying the other Parties and the Treaty Integrity Secretariat, identifying the emergency, the affected corridors and flows, and the measures contemplated.</w:t>
      </w:r>
    </w:p>
    <w:p>
      <w:pPr>
        <w:pStyle w:val="Normal"/>
      </w:pPr>
      <w:r>
        <w:t>3. Upon invocation, the Emergency Trade Continuity Protocol activates automatically for the notified flows.</w:t>
      </w:r>
    </w:p>
    <w:p>
      <w:pPr>
        <w:pStyle w:val="Heading2"/>
      </w:pPr>
      <w:bookmarkStart w:id="901356" w:name="_Toc300001355"/>
      <w:r>
        <w:t>Article 38.3: Critical Trade Corridors and Essential Flows</w:t>
      </w:r>
      <w:bookmarkEnd w:id="901356"/>
    </w:p>
    <w:p>
      <w:pPr>
        <w:pStyle w:val="Normal"/>
      </w:pPr>
      <w:r>
        <w:t>1. The Commission shall maintain and publish a register of critical trade corridors (ports of entry, rail, highways, bridges, pipelines, transmission interconnections, and ports) whose failure would create continent-wide consequences.</w:t>
      </w:r>
    </w:p>
    <w:p>
      <w:pPr>
        <w:pStyle w:val="Normal"/>
      </w:pPr>
      <w:r>
        <w:t>2. The Parties shall maintain and annually update a list of essential flows, including food, medicines and medical goods, energy and electricity, critical minerals, agricultural inputs, and emergency-response goods.</w:t>
      </w:r>
    </w:p>
    <w:p>
      <w:pPr>
        <w:pStyle w:val="Heading2"/>
      </w:pPr>
      <w:bookmarkStart w:id="901357" w:name="_Toc300001356"/>
      <w:r>
        <w:t>Article 38.4: Continuity Obligations During an Emergency</w:t>
      </w:r>
      <w:bookmarkEnd w:id="901357"/>
    </w:p>
    <w:p>
      <w:pPr>
        <w:pStyle w:val="Normal"/>
      </w:pPr>
      <w:r>
        <w:t>1. During an activated emergency, each Party shall:</w:t>
      </w:r>
    </w:p>
    <w:p>
      <w:pPr>
        <w:pStyle w:val="Normal"/>
      </w:pPr>
      <w:r>
        <w:t>(a) maintain the operation of critical trade corridors to the extent consistent with public health and safety;</w:t>
      </w:r>
    </w:p>
    <w:p>
      <w:pPr>
        <w:pStyle w:val="Normal"/>
      </w:pPr>
      <w:r>
        <w:t>(b) prioritize clearance of essential flows, including through expedited lanes and extended service hours where practicable;</w:t>
      </w:r>
    </w:p>
    <w:p>
      <w:pPr>
        <w:pStyle w:val="Normal"/>
      </w:pPr>
      <w:r>
        <w:t>(c) notify the other Parties within 24 hours of any measure restricting cross-border movement of essential flows, identifying the measure, its justification, its scope, and its expected duration;</w:t>
      </w:r>
    </w:p>
    <w:p>
      <w:pPr>
        <w:pStyle w:val="Normal"/>
      </w:pPr>
      <w:r>
        <w:t>(d) ensure that any restriction on essential flows is necessary, proportionate, targeted, and time-limited, and is reviewed at intervals not exceeding 30 days; and</w:t>
      </w:r>
    </w:p>
    <w:p>
      <w:pPr>
        <w:pStyle w:val="Normal"/>
      </w:pPr>
      <w:r>
        <w:t>(e) refrain from applying export restrictions to essential flows destined for another Party except where critically necessary to address domestic shortage, and in that case in a manner consistent with the Party’s WTO obligations, with Article 35.3A, and with equitable treatment of the other Parties having regard to historical supply patterns.</w:t>
      </w:r>
    </w:p>
    <w:p>
      <w:pPr>
        <w:pStyle w:val="Normal"/>
      </w:pPr>
      <w:r>
        <w:t>2. A restriction under this Article terminates automatically upon the end of the emergency, and in any case 180 days after adoption unless renewed following trilateral consultation; successive substantially identical restrictions are treated as a single continuing restriction for the purposes of this paragraph.</w:t>
      </w:r>
    </w:p>
    <w:p>
      <w:pPr>
        <w:pStyle w:val="Heading2"/>
      </w:pPr>
      <w:bookmarkStart w:id="901358" w:name="_Toc300001357"/>
      <w:r>
        <w:t>Article 38.5: Emergency Coordination Body</w:t>
      </w:r>
      <w:bookmarkEnd w:id="901358"/>
    </w:p>
    <w:p>
      <w:pPr>
        <w:pStyle w:val="Normal"/>
      </w:pPr>
      <w:r>
        <w:t>1. Upon activation, the Parties shall convene the Emergency Trade Coordination Body, composed of senior trade, border, health, energy, and transport officials of each Party, within 48 hours, and thereafter at intervals not exceeding 14 days during the emergency.</w:t>
      </w:r>
    </w:p>
    <w:p>
      <w:pPr>
        <w:pStyle w:val="Normal"/>
      </w:pPr>
      <w:r>
        <w:t>2. The Body shall coordinate corridor operations, share real-time disruption information, resolve bottlenecks, and publish a public dashboard of corridor status.</w:t>
      </w:r>
    </w:p>
    <w:p>
      <w:pPr>
        <w:pStyle w:val="Normal"/>
      </w:pPr>
      <w:r>
        <w:t>3. The Body may coordinate temporary electricity exchanges, restoration equipment, transformer inventories, mobile generation, storage resources, digital-load curtailment, critical-compute continuity, and telecommunications restoration. Such coordination shall preserve domestic reliability and does not create a permanent export obligation.</w:t>
      </w:r>
    </w:p>
    <w:p>
      <w:pPr>
        <w:pStyle w:val="Heading2"/>
      </w:pPr>
      <w:bookmarkStart w:id="901359" w:name="_Toc300001358"/>
      <w:r>
        <w:t>Article 38.6: Health-Security Supply Chains</w:t>
      </w:r>
      <w:bookmarkEnd w:id="901359"/>
    </w:p>
    <w:p>
      <w:pPr>
        <w:pStyle w:val="Normal"/>
      </w:pPr>
      <w:r>
        <w:t>1. The Parties shall maintain regulatory-cooperation arrangements for medicines, active pharmaceutical ingredients, and medical devices to enable rapid cross-border supply during emergencies, including expedited recognition of inspections and authorizations consistent with each Party’s safety standards.</w:t>
      </w:r>
    </w:p>
    <w:p>
      <w:pPr>
        <w:pStyle w:val="Normal"/>
      </w:pPr>
      <w:r>
        <w:t>2. During an activated public-health emergency, no Party shall apply a covered border measure to medicines, medical goods, or their inputs originating in another Party.</w:t>
      </w:r>
    </w:p>
    <w:p>
      <w:pPr>
        <w:pStyle w:val="Heading2"/>
      </w:pPr>
      <w:bookmarkStart w:id="901360" w:name="_Toc300001359"/>
      <w:r>
        <w:t>Article 38.7: Food Security Continuity</w:t>
      </w:r>
      <w:bookmarkEnd w:id="901360"/>
    </w:p>
    <w:p>
      <w:pPr>
        <w:pStyle w:val="Normal"/>
      </w:pPr>
      <w:r>
        <w:t>1. During an activated emergency, agricultural trade between the Parties shall be preserved to the greatest extent practicable, and restrictions affecting perishable goods are subject to expedited review under Article 31.A within 20 days.</w:t>
      </w:r>
    </w:p>
    <w:p>
      <w:pPr>
        <w:pStyle w:val="Heading2"/>
      </w:pPr>
      <w:bookmarkStart w:id="901361" w:name="_Toc300001360"/>
      <w:r>
        <w:t>Article 38.8: Cyber Incidents Affecting Trade Infrastructure</w:t>
      </w:r>
      <w:bookmarkEnd w:id="901361"/>
    </w:p>
    <w:p>
      <w:pPr>
        <w:pStyle w:val="Normal"/>
      </w:pPr>
      <w:r>
        <w:t>1. The Parties shall establish notification and mutual-assistance procedures for cyber incidents affecting customs systems, ports, logistics infrastructure, and payment systems, in accordance with Article 19.B (Cybersecurity Cooperation).</w:t>
      </w:r>
    </w:p>
    <w:p>
      <w:pPr>
        <w:pStyle w:val="Heading2"/>
      </w:pPr>
      <w:bookmarkStart w:id="901362" w:name="_Toc300001361"/>
      <w:r>
        <w:t>Article 38.9: Humanitarian Life-Saving Goods Continuity Protocol</w:t>
      </w:r>
      <w:bookmarkEnd w:id="901362"/>
    </w:p>
    <w:p>
      <w:pPr>
        <w:pStyle w:val="Normal"/>
      </w:pPr>
      <w:r>
        <w:t>1. During an emergency, customs administrations prioritize Qualifying Humanitarian Life-Saving Goods for immediate processing, pre-clearance where practicable, interoperable electronic documentation, and continuous border access consistent with safety and security controls.</w:t>
      </w:r>
    </w:p>
    <w:p>
      <w:pPr>
        <w:pStyle w:val="Normal"/>
      </w:pPr>
      <w:r>
        <w:t>2. The Parties maintain an annually reviewed, technology-neutral Annex 38-B schedule organized by humanitarian function rather than brand or supplier. Inclusion requires a direct and principal life-saving, emergency-response, or immediate disaster-relief function.</w:t>
      </w:r>
    </w:p>
    <w:p>
      <w:pPr>
        <w:pStyle w:val="Normal"/>
      </w:pPr>
      <w:r>
        <w:t>3. Dual-use or ordinary commercial goods receive Annex 38-B treatment only for shipments specifically documented for qualifying humanitarian deployment. Authorities may require end-user certification, emergency incident reference, consignee verification, or comparable evidence proportionate to diversion risk.</w:t>
      </w:r>
    </w:p>
    <w:p>
      <w:pPr>
        <w:pStyle w:val="Normal"/>
      </w:pPr>
      <w:r>
        <w:t>4. A classification dispute involving a shipment whose delay creates a credible risk to life receives same-day technical escalation. Where lawful and secure, the goods proceed under conditional release while classification is resolved.</w:t>
      </w:r>
    </w:p>
    <w:p>
      <w:pPr>
        <w:pStyle w:val="Heading2"/>
      </w:pPr>
      <w:bookmarkStart w:id="901363" w:name="_Toc300001362"/>
      <w:r>
        <w:t>ANNEX 38-B: Illustrative Humanitarian Life-Saving Categories</w:t>
      </w:r>
      <w:bookmarkEnd w:id="901363"/>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3120"/>
        <w:gridCol w:w="3120"/>
        <w:gridCol w:w="3120"/>
      </w:tblGrid>
      <w:tr>
        <w:trPr>
          <w:tblHeader w:val="true"/>
        </w:trPr>
        <w:tc>
          <w:tcPr>
            <w:tcW w:w="3120" w:type="dxa"/>
            <w:tcBorders>
              <w:bottom w:val="single" w:sz="6" w:space="0" w:color="546E7A"/>
            </w:tcBorders>
            <w:shd w:fill="E4E9EC" w:val="clear" w:color="auto"/>
          </w:tcPr>
          <w:p>
            <w:pPr>
              <w:pStyle w:val="TableText"/>
              <w:jc w:val="left"/>
            </w:pPr>
            <w:r>
              <w:rPr>
                <w:b/>
                <w:color w:val="37474F"/>
                <w:lang w:val="en-US" w:eastAsia="en-US" w:bidi="ar-SA"/>
              </w:rPr>
              <w:t>Category</w:t>
            </w:r>
          </w:p>
        </w:tc>
        <w:tc>
          <w:tcPr>
            <w:tcW w:w="3120" w:type="dxa"/>
            <w:tcBorders>
              <w:bottom w:val="single" w:sz="6" w:space="0" w:color="546E7A"/>
            </w:tcBorders>
            <w:shd w:fill="E4E9EC" w:val="clear" w:color="auto"/>
          </w:tcPr>
          <w:p>
            <w:pPr>
              <w:pStyle w:val="TableText"/>
              <w:jc w:val="left"/>
            </w:pPr>
            <w:r>
              <w:rPr>
                <w:b/>
                <w:color w:val="37474F"/>
                <w:lang w:val="en-US" w:eastAsia="en-US" w:bidi="ar-SA"/>
              </w:rPr>
              <w:t>Illustrative qualifying scope</w:t>
            </w:r>
          </w:p>
        </w:tc>
        <w:tc>
          <w:tcPr>
            <w:tcW w:w="3120" w:type="dxa"/>
            <w:tcBorders>
              <w:bottom w:val="single" w:sz="6" w:space="0" w:color="546E7A"/>
            </w:tcBorders>
            <w:shd w:fill="E4E9EC" w:val="clear" w:color="auto"/>
          </w:tcPr>
          <w:p>
            <w:pPr>
              <w:pStyle w:val="TableText"/>
              <w:jc w:val="left"/>
            </w:pPr>
            <w:r>
              <w:rPr>
                <w:b/>
                <w:color w:val="37474F"/>
                <w:lang w:val="en-US" w:eastAsia="en-US" w:bidi="ar-SA"/>
              </w:rPr>
              <w:t>Primary anti-abuse condition</w:t>
            </w:r>
          </w:p>
        </w:tc>
      </w:tr>
      <w:tr>
        <w:trPr/>
        <w:tc>
          <w:tcPr>
            <w:tcW w:w="3120" w:type="dxa"/>
            <w:tcMar>
              <w:top w:w="70" w:type="dxa"/>
              <w:start w:w="110" w:type="dxa"/>
              <w:bottom w:w="70" w:type="dxa"/>
              <w:end w:w="110" w:type="dxa"/>
            </w:tcMar>
          </w:tcPr>
          <w:p>
            <w:pPr>
              <w:pStyle w:val="TableText"/>
              <w:jc w:val="left"/>
            </w:pPr>
            <w:r>
              <w:rPr>
                <w:lang w:val="en-US" w:eastAsia="en-US" w:bidi="ar-SA"/>
              </w:rPr>
              <w:t>Essential medical</w:t>
            </w:r>
          </w:p>
        </w:tc>
        <w:tc>
          <w:tcPr>
            <w:tcW w:w="3120" w:type="dxa"/>
            <w:tcMar>
              <w:top w:w="70" w:type="dxa"/>
              <w:start w:w="110" w:type="dxa"/>
              <w:bottom w:w="70" w:type="dxa"/>
              <w:end w:w="110" w:type="dxa"/>
            </w:tcMar>
          </w:tcPr>
          <w:p>
            <w:pPr>
              <w:pStyle w:val="TableText"/>
              <w:jc w:val="left"/>
            </w:pPr>
            <w:r>
              <w:rPr>
                <w:lang w:val="en-US" w:eastAsia="en-US" w:bidi="ar-SA"/>
              </w:rPr>
              <w:t>Essential medicines, antidotes, blood products, transplant materials, emergency medical consumables and critical medical devices</w:t>
            </w:r>
          </w:p>
        </w:tc>
        <w:tc>
          <w:tcPr>
            <w:tcW w:w="3120" w:type="dxa"/>
            <w:tcMar>
              <w:top w:w="70" w:type="dxa"/>
              <w:start w:w="110" w:type="dxa"/>
              <w:bottom w:w="70" w:type="dxa"/>
              <w:end w:w="110" w:type="dxa"/>
            </w:tcMar>
          </w:tcPr>
          <w:p>
            <w:pPr>
              <w:pStyle w:val="TableText"/>
              <w:jc w:val="left"/>
            </w:pPr>
            <w:r>
              <w:rPr>
                <w:lang w:val="en-US" w:eastAsia="en-US" w:bidi="ar-SA"/>
              </w:rPr>
              <w:t>Certified medical or emergency end use; controlled goods remain subject to applicable safety law.</w:t>
            </w:r>
          </w:p>
        </w:tc>
      </w:tr>
      <w:tr>
        <w:trPr/>
        <w:tc>
          <w:tcPr>
            <w:tcW w:w="3120" w:type="dxa"/>
            <w:shd w:fill="F5F7F8" w:val="clear" w:color="auto"/>
            <w:tcMar>
              <w:top w:w="70" w:type="dxa"/>
              <w:start w:w="110" w:type="dxa"/>
              <w:bottom w:w="70" w:type="dxa"/>
              <w:end w:w="110" w:type="dxa"/>
            </w:tcMar>
          </w:tcPr>
          <w:p>
            <w:pPr>
              <w:pStyle w:val="TableText"/>
              <w:jc w:val="left"/>
            </w:pPr>
            <w:r>
              <w:rPr>
                <w:lang w:val="en-US" w:eastAsia="en-US" w:bidi="ar-SA"/>
              </w:rPr>
              <w:t>Water and sanitation</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 potable water, purification systems, sanitation kits, emergency pumps and treatment consumables</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Emergency-response or humanitarian consignee certification.</w:t>
            </w:r>
          </w:p>
        </w:tc>
      </w:tr>
      <w:tr>
        <w:trPr/>
        <w:tc>
          <w:tcPr>
            <w:tcW w:w="3120" w:type="dxa"/>
            <w:tcMar>
              <w:top w:w="70" w:type="dxa"/>
              <w:start w:w="110" w:type="dxa"/>
              <w:bottom w:w="70" w:type="dxa"/>
              <w:end w:w="110" w:type="dxa"/>
            </w:tcMar>
          </w:tcPr>
          <w:p>
            <w:pPr>
              <w:pStyle w:val="TableText"/>
              <w:jc w:val="left"/>
            </w:pPr>
            <w:r>
              <w:rPr>
                <w:lang w:val="en-US" w:eastAsia="en-US" w:bidi="ar-SA"/>
              </w:rPr>
              <w:t>Food and nutrition</w:t>
            </w:r>
          </w:p>
        </w:tc>
        <w:tc>
          <w:tcPr>
            <w:tcW w:w="3120" w:type="dxa"/>
            <w:tcMar>
              <w:top w:w="70" w:type="dxa"/>
              <w:start w:w="110" w:type="dxa"/>
              <w:bottom w:w="70" w:type="dxa"/>
              <w:end w:w="110" w:type="dxa"/>
            </w:tcMar>
          </w:tcPr>
          <w:p>
            <w:pPr>
              <w:pStyle w:val="TableText"/>
              <w:jc w:val="left"/>
            </w:pPr>
            <w:r>
              <w:rPr>
                <w:lang w:val="en-US" w:eastAsia="en-US" w:bidi="ar-SA"/>
              </w:rPr>
              <w:t>Emergency rations, therapeutic nutrition, infant emergency nutrition and disaster-relief food shipments</w:t>
            </w:r>
          </w:p>
        </w:tc>
        <w:tc>
          <w:tcPr>
            <w:tcW w:w="3120" w:type="dxa"/>
            <w:tcMar>
              <w:top w:w="70" w:type="dxa"/>
              <w:start w:w="110" w:type="dxa"/>
              <w:bottom w:w="70" w:type="dxa"/>
              <w:end w:w="110" w:type="dxa"/>
            </w:tcMar>
          </w:tcPr>
          <w:p>
            <w:pPr>
              <w:pStyle w:val="TableText"/>
              <w:jc w:val="left"/>
            </w:pPr>
            <w:r>
              <w:rPr>
                <w:lang w:val="en-US" w:eastAsia="en-US" w:bidi="ar-SA"/>
              </w:rPr>
              <w:t>Immediate humanitarian or disaster-relief deployment; ordinary commercial grocery trade excluded.</w:t>
            </w:r>
          </w:p>
        </w:tc>
      </w:tr>
      <w:tr>
        <w:trPr/>
        <w:tc>
          <w:tcPr>
            <w:tcW w:w="3120" w:type="dxa"/>
            <w:shd w:fill="F5F7F8" w:val="clear" w:color="auto"/>
            <w:tcMar>
              <w:top w:w="70" w:type="dxa"/>
              <w:start w:w="110" w:type="dxa"/>
              <w:bottom w:w="70" w:type="dxa"/>
              <w:end w:w="110" w:type="dxa"/>
            </w:tcMar>
          </w:tcPr>
          <w:p>
            <w:pPr>
              <w:pStyle w:val="TableText"/>
              <w:jc w:val="left"/>
            </w:pPr>
            <w:r>
              <w:rPr>
                <w:lang w:val="en-US" w:eastAsia="en-US" w:bidi="ar-SA"/>
              </w:rPr>
              <w:t>Shelter and protection</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 shelters, blankets, thermal protection and emergency climate-control equipment</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 deployment documentation.</w:t>
            </w:r>
          </w:p>
        </w:tc>
      </w:tr>
      <w:tr>
        <w:trPr/>
        <w:tc>
          <w:tcPr>
            <w:tcW w:w="3120" w:type="dxa"/>
            <w:tcMar>
              <w:top w:w="70" w:type="dxa"/>
              <w:start w:w="110" w:type="dxa"/>
              <w:bottom w:w="70" w:type="dxa"/>
              <w:end w:w="110" w:type="dxa"/>
            </w:tcMar>
          </w:tcPr>
          <w:p>
            <w:pPr>
              <w:pStyle w:val="TableText"/>
              <w:jc w:val="left"/>
            </w:pPr>
            <w:r>
              <w:rPr>
                <w:lang w:val="en-US" w:eastAsia="en-US" w:bidi="ar-SA"/>
              </w:rPr>
              <w:t>Rescue and evacuation</w:t>
            </w:r>
          </w:p>
        </w:tc>
        <w:tc>
          <w:tcPr>
            <w:tcW w:w="3120" w:type="dxa"/>
            <w:tcMar>
              <w:top w:w="70" w:type="dxa"/>
              <w:start w:w="110" w:type="dxa"/>
              <w:bottom w:w="70" w:type="dxa"/>
              <w:end w:w="110" w:type="dxa"/>
            </w:tcMar>
          </w:tcPr>
          <w:p>
            <w:pPr>
              <w:pStyle w:val="TableText"/>
              <w:jc w:val="left"/>
            </w:pPr>
            <w:r>
              <w:rPr>
                <w:lang w:val="en-US" w:eastAsia="en-US" w:bidi="ar-SA"/>
              </w:rPr>
              <w:t>Rescue tools, evacuation equipment, emergency communications and search-and-rescue supplies</w:t>
            </w:r>
          </w:p>
        </w:tc>
        <w:tc>
          <w:tcPr>
            <w:tcW w:w="3120" w:type="dxa"/>
            <w:tcMar>
              <w:top w:w="70" w:type="dxa"/>
              <w:start w:w="110" w:type="dxa"/>
              <w:bottom w:w="70" w:type="dxa"/>
              <w:end w:w="110" w:type="dxa"/>
            </w:tcMar>
          </w:tcPr>
          <w:p>
            <w:pPr>
              <w:pStyle w:val="TableText"/>
              <w:jc w:val="left"/>
            </w:pPr>
            <w:r>
              <w:rPr>
                <w:lang w:val="en-US" w:eastAsia="en-US" w:bidi="ar-SA"/>
              </w:rPr>
              <w:t>Public-safety, humanitarian, or accredited emergency-response use.</w:t>
            </w:r>
          </w:p>
        </w:tc>
      </w:tr>
      <w:tr>
        <w:trPr/>
        <w:tc>
          <w:tcPr>
            <w:tcW w:w="3120" w:type="dxa"/>
            <w:shd w:fill="F5F7F8" w:val="clear" w:color="auto"/>
            <w:tcMar>
              <w:top w:w="70" w:type="dxa"/>
              <w:start w:w="110" w:type="dxa"/>
              <w:bottom w:w="70" w:type="dxa"/>
              <w:end w:w="110" w:type="dxa"/>
            </w:tcMar>
          </w:tcPr>
          <w:p>
            <w:pPr>
              <w:pStyle w:val="TableText"/>
              <w:jc w:val="left"/>
            </w:pPr>
            <w:r>
              <w:rPr>
                <w:lang w:val="en-US" w:eastAsia="en-US" w:bidi="ar-SA"/>
              </w:rPr>
              <w:t>Wildfire and disaster response</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Firefighting agents and equipment, protective equipment, emergency pumps, hose, response vehicles and specialized disaster-response goods</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Shipment linked to an active emergency, pre-positioned emergency stockpile, or accredited response program.</w:t>
            </w:r>
          </w:p>
        </w:tc>
      </w:tr>
    </w:tbl>
    <w:p>
      <w:pPr>
        <w:pStyle w:val="Heading1"/>
      </w:pPr>
      <w:bookmarkStart w:id="901364" w:name="_Toc300001363"/>
      <w:r>
        <w:t>CHAPTER 39</w:t>
      </w:r>
      <w:r>
        <w:br/>
      </w:r>
      <w:r>
        <w:t>ADVANCED TECHNOLOGY AND ARTIFICIAL INTELLIGENCE</w:t>
      </w:r>
      <w:bookmarkEnd w:id="901364"/>
    </w:p>
    <w:p>
      <w:pPr>
        <w:pStyle w:val="Heading2"/>
      </w:pPr>
      <w:bookmarkStart w:id="901365" w:name="_Toc300001364"/>
      <w:r>
        <w:t>Article 39.1: Purpose and Approach</w:t>
      </w:r>
      <w:bookmarkEnd w:id="901365"/>
    </w:p>
    <w:p>
      <w:pPr>
        <w:pStyle w:val="Normal"/>
      </w:pPr>
      <w:r>
        <w:t>1. The Parties recognize that artificial intelligence, quantum computing, semiconductors, and other emerging technologies are transforming North American production and trade, and that this Agreement must accommodate technological change without freezing today’s regulatory questions into a long-lived treaty.</w:t>
      </w:r>
    </w:p>
    <w:p>
      <w:pPr>
        <w:pStyle w:val="Normal"/>
      </w:pPr>
      <w:r>
        <w:t>2. This Chapter promotes innovation, interoperability, and cooperation, while preserving each Party’s authority to regulate emerging technologies in the public interest.</w:t>
      </w:r>
    </w:p>
    <w:p>
      <w:pPr>
        <w:pStyle w:val="Heading2"/>
      </w:pPr>
      <w:bookmarkStart w:id="901366" w:name="_Toc300001365"/>
      <w:r>
        <w:t>Article 39.2: AI-Enabled Trade</w:t>
      </w:r>
      <w:bookmarkEnd w:id="901366"/>
    </w:p>
    <w:p>
      <w:pPr>
        <w:pStyle w:val="Normal"/>
      </w:pPr>
      <w:r>
        <w:t>1. No Party shall apply a covered border measure or discriminatory internal measure to a good or service of another Party by reason solely of its use of artificial intelligence in its production, operation, or delivery, except pursuant to a measure of general application consistent with this Agreement.</w:t>
      </w:r>
    </w:p>
    <w:p>
      <w:pPr>
        <w:pStyle w:val="Normal"/>
      </w:pPr>
      <w:r>
        <w:t>2. The Parties shall cooperate on interoperability of technical standards and conformity assessment for AI-enabled products, in accordance with Chapter 11 (Technical Barriers to Trade).</w:t>
      </w:r>
    </w:p>
    <w:p>
      <w:pPr>
        <w:pStyle w:val="Heading2"/>
      </w:pPr>
      <w:bookmarkStart w:id="901367" w:name="_Toc300001366"/>
      <w:r>
        <w:t>Article 39.3: Regulatory Cooperation on Artificial Intelligence</w:t>
      </w:r>
      <w:bookmarkEnd w:id="901367"/>
    </w:p>
    <w:p>
      <w:pPr>
        <w:pStyle w:val="Normal"/>
      </w:pPr>
      <w:r>
        <w:t>1. The Parties shall establish, under the Committee on Digital Trade Cooperation, an Artificial Intelligence Regulatory Cooperation Track to exchange information on AI governance approaches, risk-management frameworks, and standards development.</w:t>
      </w:r>
    </w:p>
    <w:p>
      <w:pPr>
        <w:pStyle w:val="Normal"/>
      </w:pPr>
      <w:r>
        <w:t>2. Participation in the Cooperation Track does not require regulatory harmonization, and nothing in this Chapter prejudges a Party’s domestic treatment of AI safety, liability, intellectual property, or content questions.</w:t>
      </w:r>
    </w:p>
    <w:p>
      <w:pPr>
        <w:pStyle w:val="Heading2"/>
      </w:pPr>
      <w:bookmarkStart w:id="901368" w:name="_Toc300001367"/>
      <w:r>
        <w:t>Article 39.4: Semiconductors and Advanced Electronics</w:t>
      </w:r>
      <w:bookmarkEnd w:id="901368"/>
    </w:p>
    <w:p>
      <w:pPr>
        <w:pStyle w:val="Normal"/>
      </w:pPr>
      <w:r>
        <w:t>1. The Parties recognize that many electronic components have no current North American substitute. Rules of origin affecting semiconductors and advanced electronics shall be administered in accordance with Article 4.A.5, recognizing testing, packaging, and final assembly within a Party as qualifying production under the conditions there set out.</w:t>
      </w:r>
    </w:p>
    <w:p>
      <w:pPr>
        <w:pStyle w:val="Normal"/>
      </w:pPr>
      <w:r>
        <w:t>2. The Parties shall cooperate to develop North American semiconductor capacity and supply-chain mapping, and shall consult before adopting measures affecting cross-border semiconductor trade between the Parties.</w:t>
      </w:r>
    </w:p>
    <w:p>
      <w:pPr>
        <w:pStyle w:val="Heading2"/>
      </w:pPr>
      <w:bookmarkStart w:id="901369" w:name="_Toc300001368"/>
      <w:r>
        <w:t>Article 39.5: Advanced Technology Annex and Technology-Update Mechanism</w:t>
      </w:r>
      <w:bookmarkEnd w:id="901369"/>
    </w:p>
    <w:p>
      <w:pPr>
        <w:pStyle w:val="Normal"/>
      </w:pPr>
      <w:r>
        <w:t>1. The Commission shall maintain an Advanced Technology Annex identifying technology areas subject to enhanced cooperation under this Chapter.</w:t>
      </w:r>
    </w:p>
    <w:p>
      <w:pPr>
        <w:pStyle w:val="Normal"/>
      </w:pPr>
      <w:r>
        <w:t>2. The Commission may, by consensus, adopt or update technical annexes under this Chapter and Annex 35-B, Annex 37-A, and equivalent technical instruments, through the Structured Technical Amendment Procedure in Article 34.3.A, within the limits of that Article, without reopening the text of this Agreement.</w:t>
      </w:r>
    </w:p>
    <w:p>
      <w:pPr>
        <w:pStyle w:val="Normal"/>
      </w:pPr>
      <w:r>
        <w:t>3. Updates under paragraph 2 take effect on the date fixed by the Commission, are published in the Registry, and are reported to the Parties’ legislatures in accordance with their domestic procedures.</w:t>
      </w:r>
    </w:p>
    <w:p>
      <w:pPr>
        <w:pStyle w:val="Heading2"/>
      </w:pPr>
      <w:bookmarkStart w:id="901370" w:name="_Toc300001369"/>
      <w:r>
        <w:t>Article 39.6: Quantum and Emerging Technologies</w:t>
      </w:r>
      <w:bookmarkEnd w:id="901370"/>
    </w:p>
    <w:p>
      <w:pPr>
        <w:pStyle w:val="Normal"/>
      </w:pPr>
      <w:r>
        <w:t>1. The Parties shall endeavor to cooperate on research-security, standards, and supply-chain matters concerning quantum computing, advanced communications, and other technologies designated in the Advanced Technology Annex.</w:t>
      </w:r>
    </w:p>
    <w:p>
      <w:pPr>
        <w:pStyle w:val="Heading2"/>
      </w:pPr>
      <w:bookmarkStart w:id="901371" w:name="_Toc300001370"/>
      <w:r>
        <w:t>Article 39.7: Strategic Compute Infrastructure Cooperation</w:t>
      </w:r>
      <w:bookmarkEnd w:id="901371"/>
    </w:p>
    <w:p>
      <w:pPr>
        <w:pStyle w:val="Normal"/>
      </w:pPr>
      <w:r>
        <w:t>1. The Parties recognize secure and scalable compute infrastructure as an enabling input to advanced manufacturing, scientific research, artificial intelligence, digital services, and economic security.</w:t>
      </w:r>
    </w:p>
    <w:p>
      <w:pPr>
        <w:pStyle w:val="Normal"/>
      </w:pPr>
      <w:r>
        <w:t>2. The Committee on Digital Trade Cooperation shall coordinate with the Grid Resilience Working Group on standards, interoperability, cybersecurity, telecommunications resilience, data-movement requirements, and other matters affecting Strategic Compute and Energy Zones under Chapter 40.</w:t>
      </w:r>
    </w:p>
    <w:p>
      <w:pPr>
        <w:pStyle w:val="Normal"/>
      </w:pPr>
      <w:r>
        <w:t>3. The Parties shall encourage commercially reasonable access to advanced compute for small and medium-sized enterprises, researchers, and innovative firms, while preserving each Party's authority to establish sovereign public compute, security-sensitive compute, or domestic-access programs.</w:t>
      </w:r>
    </w:p>
    <w:p>
      <w:pPr>
        <w:pStyle w:val="Normal"/>
      </w:pPr>
      <w:r>
        <w:t>4. The Advanced Technology Annex shall include energy-efficient compute, advanced cooling, high-speed networking, grid-aware workload management, secure cloud infrastructure, and related technologies as areas eligible for enhanced cooperation.</w:t>
      </w:r>
    </w:p>
    <w:p>
      <w:pPr>
        <w:pStyle w:val="Heading2"/>
      </w:pPr>
      <w:bookmarkStart w:id="901372" w:name="_Toc300001371"/>
      <w:r>
        <w:t>Article 39.8: North American Advanced Compute Demonstration Corridor</w:t>
      </w:r>
      <w:bookmarkEnd w:id="901372"/>
    </w:p>
    <w:p>
      <w:pPr>
        <w:pStyle w:val="Normal"/>
      </w:pPr>
      <w:r>
        <w:t>1. The Parties establish a cooperative pathway for real-world demonstration of data-centre and high-performance-computing technologies, including advanced cooling, power management, waste-heat recovery, high-density computing, water-efficiency systems, networking, storage integration, and grid-aware workload management.</w:t>
      </w:r>
    </w:p>
    <w:p>
      <w:pPr>
        <w:pStyle w:val="Normal"/>
      </w:pPr>
      <w:r>
        <w:t>2. A Party may designate metropolitan or industrial demonstration locations with strong electricity, telecommunications, research, workforce, transportation, and cross-border connectivity. Canada may prioritize suitable metropolitan regions with practical access to the United States border, without creating an obligation to approve a particular site or project.</w:t>
      </w:r>
    </w:p>
    <w:p>
      <w:pPr>
        <w:pStyle w:val="Normal"/>
      </w:pPr>
      <w:r>
        <w:t>3. Qualifying projects may receive coordinated permitting, utility engagement, research partnerships, standardized performance measurement, and access to controlled demonstration facilities. Public support may be conditioned on meaningful participation by domestic researchers, workers, universities, utilities, or firms, while respecting intellectual-property rights.</w:t>
      </w:r>
    </w:p>
    <w:p>
      <w:pPr>
        <w:pStyle w:val="Normal"/>
      </w:pPr>
      <w:r>
        <w:t>4. The Parties shall encourage multi-climate validation across Canadian, United States, and Mexican test environments and may develop common non-binding performance reports covering energy efficiency, water use, thermal performance, reliability, maintenance, cost, scalability, cybersecurity, and waste-heat utilization.</w:t>
      </w:r>
    </w:p>
    <w:p>
      <w:pPr>
        <w:pStyle w:val="Heading2"/>
      </w:pPr>
      <w:bookmarkStart w:id="901373" w:name="_Toc300001372"/>
      <w:r>
        <w:t>Article 39.9: North American Experimental Technology Pathway</w:t>
      </w:r>
      <w:bookmarkEnd w:id="901373"/>
    </w:p>
    <w:p>
      <w:pPr>
        <w:pStyle w:val="Normal"/>
      </w:pPr>
      <w:r>
        <w:t>1. The Parties establish an Experimental Technology Pathway for donated, public-domain, academic, laboratory, Indigenous, commercial, governmental, and independently developed concepts relevant to North American resilience, trade infrastructure, energy, wildfire response, disaster logistics, advanced manufacturing, environmental protection, and other purposes consistent with this Agreement.</w:t>
      </w:r>
    </w:p>
    <w:p>
      <w:pPr>
        <w:pStyle w:val="Normal"/>
      </w:pPr>
      <w:r>
        <w:t>2. Participation authorizes feasibility assessment, modelling, simulation, scaled testing, prototype development, demonstration, regulatory study, or independent validation. Participation does not constitute technical certification, endorsement, procurement commitment, commercial guarantee, deployment obligation, or a finding that the technology is feasible.</w:t>
      </w:r>
    </w:p>
    <w:p>
      <w:pPr>
        <w:pStyle w:val="Normal"/>
      </w:pPr>
      <w:r>
        <w:t>3. The Pathway uses existing agencies, laboratories, committees, universities, standards bodies, and procurement or research authorities. No new permanent institution is created solely to administer this Article.</w:t>
      </w:r>
    </w:p>
    <w:p>
      <w:pPr>
        <w:pStyle w:val="Heading2"/>
      </w:pPr>
      <w:bookmarkStart w:id="901374" w:name="_Toc300001373"/>
      <w:r>
        <w:t>Article 39.10: Iterative Experimental Development Principle</w:t>
      </w:r>
      <w:bookmarkEnd w:id="901374"/>
    </w:p>
    <w:p>
      <w:pPr>
        <w:pStyle w:val="Normal"/>
      </w:pPr>
      <w:r>
        <w:t>1. An experimental technology is not deemed unsuccessful solely because an initial prototype, test, demonstration, or configuration fails to satisfy target criteria. Where technical review identifies a credible corrective hypothesis, the project may proceed through redesign, modification, recalibration, materials substitution, software revision, manufacturing improvement, or another technically relevant iteration.</w:t>
      </w:r>
    </w:p>
    <w:p>
      <w:pPr>
        <w:pStyle w:val="Normal"/>
      </w:pPr>
      <w:r>
        <w:t>2. Each Experimental Development Plan identifies the principal validation criteria, expected iteration cost, safety constraints, data-retention requirements, and a Revalidation Threshold appropriate to the project. The threshold ordinarily falls between three and five consecutive material unsuccessful iterations, adjusted for cost, maturity, safety implications, and testing characteristics.</w:t>
      </w:r>
    </w:p>
    <w:p>
      <w:pPr>
        <w:pStyle w:val="Normal"/>
      </w:pPr>
      <w:r>
        <w:t>3. Each major iteration records what failed, what changed, what evidence supports the revised approach, and which criterion the next iteration tests. Repetition without a materially changed hypothesis does not reset the iteration count.</w:t>
      </w:r>
    </w:p>
    <w:p>
      <w:pPr>
        <w:pStyle w:val="Heading2"/>
      </w:pPr>
      <w:bookmarkStart w:id="901375" w:name="_Toc300001374"/>
      <w:r>
        <w:t>Article 39.11: Revalidation Gate After Repeated Unsuccessful Iterations</w:t>
      </w:r>
      <w:bookmarkEnd w:id="901375"/>
    </w:p>
    <w:p>
      <w:pPr>
        <w:pStyle w:val="Normal"/>
      </w:pPr>
      <w:r>
        <w:t>1. When a project reaches its Revalidation Threshold, materially costly or full-scale physical development pauses until the revised approach passes an appropriate predictive or reduced-cost demonstration.</w:t>
      </w:r>
    </w:p>
    <w:p>
      <w:pPr>
        <w:pStyle w:val="Normal"/>
      </w:pPr>
      <w:r>
        <w:t>2. The Revalidation Gate may use validated simulation, computational modelling, digital twins, hardware-in-the-loop testing, analytical proof, component testing, reduced-scale physical testing, laboratory demonstration, or another technically recognized method suitable to the identified failure mode.</w:t>
      </w:r>
    </w:p>
    <w:p>
      <w:pPr>
        <w:pStyle w:val="Normal"/>
      </w:pPr>
      <w:r>
        <w:t>3. A Gate pass establishes only that the revised configuration has a technically credible pathway to satisfying the failed criteria within stated assumptions and uncertainty bounds. It does not establish certification, commercial viability, or guaranteed physical performance.</w:t>
      </w:r>
    </w:p>
    <w:p>
      <w:pPr>
        <w:pStyle w:val="Normal"/>
      </w:pPr>
      <w:r>
        <w:t>4. Where independent technical review determines that no sufficiently validated computational or software method exists for the relevant failure mode, the Gate uses the most probative available alternative, including targeted physical or laboratory testing.</w:t>
      </w:r>
    </w:p>
    <w:p>
      <w:pPr>
        <w:pStyle w:val="Normal"/>
      </w:pPr>
      <w:r>
        <w:t>5. A fundamentally revised technical approach may begin a new iteration sequence where review finds that it materially changes the mechanism responsible for previous failures rather than merely relabeling or incrementally modifying the unsuccessful configuration.</w:t>
      </w:r>
    </w:p>
    <w:p>
      <w:pPr>
        <w:pStyle w:val="Heading2"/>
      </w:pPr>
      <w:bookmarkStart w:id="901376" w:name="_Toc300001375"/>
      <w:r>
        <w:t>Article 39.12: Productive Experimental Closure and Derivative Development</w:t>
      </w:r>
      <w:bookmarkEnd w:id="901376"/>
    </w:p>
    <w:p>
      <w:pPr>
        <w:pStyle w:val="Normal"/>
      </w:pPr>
      <w:r>
        <w:t>1. A project may conclude in good standing where repeated good-faith experimentation establishes that further development is unlikely to justify expected technical, economic, environmental, safety, or operational cost. Such closure does not constitute non-compliance and does not prejudice participation in future experimental programs.</w:t>
      </w:r>
    </w:p>
    <w:p>
      <w:pPr>
        <w:pStyle w:val="Normal"/>
      </w:pPr>
      <w:r>
        <w:t>2. Where an unsuccessful original system produces a component, material, process, software system, operational method, dataset, manufacturing technique, or derivative technology with independent potential value, that derivative may continue through the Pathway without requiring the original concept to remain active.</w:t>
      </w:r>
    </w:p>
    <w:p>
      <w:pPr>
        <w:pStyle w:val="Normal"/>
      </w:pPr>
      <w:r>
        <w:t>3. Experimental completion is measured by disciplined learning and evidence production, not by a requirement that every admitted concept reach deployment.</w:t>
      </w:r>
    </w:p>
    <w:p>
      <w:pPr>
        <w:pStyle w:val="Heading2"/>
      </w:pPr>
      <w:bookmarkStart w:id="901377" w:name="_Toc300001376"/>
      <w:r>
        <w:t>Article 39.13: North American Semiconductor Security and Competitiveness Pact</w:t>
      </w:r>
      <w:bookmarkEnd w:id="901377"/>
    </w:p>
    <w:p>
      <w:pPr>
        <w:pStyle w:val="Normal"/>
      </w:pPr>
      <w:r>
        <w:t>1. The Parties establish within this Chapter a Semiconductor Security and Competitiveness cooperation framework to support a resilient, innovative, and globally competitive North American semiconductor ecosystem while preserving access to trusted external supply where North American capacity is insufficient. The framework is implemented through existing committees, competent domestic authorities, and voluntary programs and does not create a new standing institution or funding entitlement.</w:t>
      </w:r>
    </w:p>
    <w:p>
      <w:pPr>
        <w:pStyle w:val="Normal"/>
      </w:pPr>
      <w:r>
        <w:t>2. The Pact shall pursue complementarity rather than mandatory duplication. Existing strengths in design, research, front-end fabrication, compound semiconductors, photonics, packaging, assembly, testing, substrates, materials, equipment, electronics manufacturing, and recycling may be combined across the Parties as parts of one North American production system.</w:t>
      </w:r>
    </w:p>
    <w:p>
      <w:pPr>
        <w:pStyle w:val="Normal"/>
      </w:pPr>
      <w:r>
        <w:t>3. Specialization is not a ceiling. A Party may use lawful domestic or cooperative programs to support movement into higher-value stages as capability develops. Nothing in this Article requires a Party to subsidize a project, duplicate every semiconductor production stage domestically, or reserve capacity for another Party except through a separately accepted arrangement.</w:t>
      </w:r>
    </w:p>
    <w:p>
      <w:pPr>
        <w:pStyle w:val="Heading2"/>
      </w:pPr>
      <w:bookmarkStart w:id="901378" w:name="_Toc300001377"/>
      <w:r>
        <w:t>Article 39.14: Semiconductor-Specific Origin, Chiplet, and Packaging Cooperation</w:t>
      </w:r>
      <w:bookmarkEnd w:id="901378"/>
    </w:p>
    <w:p>
      <w:pPr>
        <w:pStyle w:val="Normal"/>
      </w:pPr>
      <w:r>
        <w:t>1. The Rules of Origin Committee shall develop semiconductor-specific guidance addressing wafer fabrication, die, packaging, testing, substrates, chiplets, qualifying design contribution, and other economically significant stages, consistent with Chapter 4.</w:t>
      </w:r>
    </w:p>
    <w:p>
      <w:pPr>
        <w:pStyle w:val="Normal"/>
      </w:pPr>
      <w:r>
        <w:t>2. The Parties shall encourage interoperable chiplet, advanced-packaging, testing, and qualification standards and may recognize a North American Semiconductor Passport for products and facilities meeting agreed origin, security, traceability, quality, and reliability criteria.</w:t>
      </w:r>
    </w:p>
    <w:p>
      <w:pPr>
        <w:pStyle w:val="Normal"/>
      </w:pPr>
      <w:r>
        <w:t>3. A semiconductor designed, fabricated, packaged, tested, or integrated across more than one Party may receive qualifying treatment where the applicable origin rule is satisfied; no single Party is required to perform every stage.</w:t>
      </w:r>
    </w:p>
    <w:p>
      <w:pPr>
        <w:pStyle w:val="Heading2"/>
      </w:pPr>
      <w:bookmarkStart w:id="901379" w:name="_Toc300001378"/>
      <w:r>
        <w:t>Article 39.15: Capacity-Gap Safe Harbor and Trusted Foundry Access</w:t>
      </w:r>
      <w:bookmarkEnd w:id="901379"/>
    </w:p>
    <w:p>
      <w:pPr>
        <w:pStyle w:val="Normal"/>
      </w:pPr>
      <w:r>
        <w:t>1. Where a semiconductor, substrate, material, equipment item, process node, or packaging service is unavailable within North America in commercially sufficient quantity, technical capability, certification, form, or delivery time, use of a qualifying Trusted Strategic Materials Source or other trusted external source shall not by itself constitute circumvention or disqualify a finished product that otherwise satisfies the applicable rule of origin.</w:t>
      </w:r>
    </w:p>
    <w:p>
      <w:pPr>
        <w:pStyle w:val="Normal"/>
      </w:pPr>
      <w:r>
        <w:t>2. The Parties shall endeavor to provide Canadian, Mexican, and United States fabless designers commercially reasonable access to qualifying North American foundry, packaging, prototyping, and multi-project-wafer capacity without requiring ownership of fabrication facilities.</w:t>
      </w:r>
    </w:p>
    <w:p>
      <w:pPr>
        <w:pStyle w:val="Heading2"/>
      </w:pPr>
      <w:bookmarkStart w:id="901380" w:name="_Toc300001379"/>
      <w:r>
        <w:t>Article 39.16: Semiconductor Workforce, Research, and SME Access</w:t>
      </w:r>
      <w:bookmarkEnd w:id="901380"/>
    </w:p>
    <w:p>
      <w:pPr>
        <w:pStyle w:val="Normal"/>
      </w:pPr>
      <w:r>
        <w:t>1. The Parties shall cooperate on semiconductor workforce development, including technician and engineer training, mutual recognition or accelerated assessment of relevant qualifications where appropriate, apprenticeships, train-the-trainer programs, and academic-industry partnerships.</w:t>
      </w:r>
    </w:p>
    <w:p>
      <w:pPr>
        <w:pStyle w:val="Normal"/>
      </w:pPr>
      <w:r>
        <w:t>2. The Parties may establish pooled or subsidized multi-project wafer runs, shared failure-analysis and reliability laboratories, prototyping access, and other programs that reduce entry barriers for North American small and medium-sized semiconductor firms.</w:t>
      </w:r>
    </w:p>
    <w:p>
      <w:pPr>
        <w:pStyle w:val="Normal"/>
      </w:pPr>
      <w:r>
        <w:t>3. Precompetitive research cooperation may include photonics, compound semiconductors, chiplets, advanced packaging, power electronics, quantum-enabling devices, materials, manufacturing processes, and semiconductor recycling and recovery.</w:t>
      </w:r>
    </w:p>
    <w:p>
      <w:pPr>
        <w:pStyle w:val="Heading2"/>
      </w:pPr>
      <w:bookmarkStart w:id="901381" w:name="_Toc300001380"/>
      <w:r>
        <w:t>Article 39.17: Semiconductor Capacity Reservation and Shortage Response</w:t>
      </w:r>
      <w:bookmarkEnd w:id="901381"/>
    </w:p>
    <w:p>
      <w:pPr>
        <w:pStyle w:val="Normal"/>
      </w:pPr>
      <w:r>
        <w:t>1. Participating semiconductor fabrication, packaging, testing, substrate, and materials facilities may voluntarily designate limited emergency capacity or rotating commercial inventories for critical-chip categories identified by the Commission.</w:t>
      </w:r>
    </w:p>
    <w:p>
      <w:pPr>
        <w:pStyle w:val="Normal"/>
      </w:pPr>
      <w:r>
        <w:t>2. Critical-chip categories may include automotive controllers, power electronics, grid and telecommunications components, medical-device semiconductors, industrial controls, and other components whose shortage produces disproportionate economic or safety consequences.</w:t>
      </w:r>
    </w:p>
    <w:p>
      <w:pPr>
        <w:pStyle w:val="Normal"/>
      </w:pPr>
      <w:r>
        <w:t>3. Capacity reservation does not authorize government allocation of ordinary commercial production absent a separate lawful emergency authority. Activation, compensation, priority, and release rules shall be specified in advance.</w:t>
      </w:r>
    </w:p>
    <w:p>
      <w:pPr>
        <w:pStyle w:val="Heading2"/>
      </w:pPr>
      <w:bookmarkStart w:id="901382" w:name="_Toc300001381"/>
      <w:r>
        <w:t>Article 39.18: Semiconductor Investment Additionality and Non-Poaching</w:t>
      </w:r>
      <w:bookmarkEnd w:id="901382"/>
    </w:p>
    <w:p>
      <w:pPr>
        <w:pStyle w:val="Normal"/>
      </w:pPr>
      <w:r>
        <w:t>1. In coordinating public incentives, the Parties shall favor investments that create net new North American semiconductor capability, fill a verified processing or technology gap, expand resilience, or materially improve technological capability.</w:t>
      </w:r>
    </w:p>
    <w:p>
      <w:pPr>
        <w:pStyle w:val="Normal"/>
      </w:pPr>
      <w:r>
        <w:t>2. The Parties shall endeavor to avoid subsidy escalation whose principal effect is relocating an existing qualifying North American facility from one Party to another without a material continental capacity gain.</w:t>
      </w:r>
    </w:p>
    <w:p>
      <w:pPr>
        <w:pStyle w:val="Normal"/>
      </w:pPr>
      <w:r>
        <w:t>3. Nothing in this Article prevents a Party from competing for investment or providing lawful incentives; it establishes a consultation and additionality principle for projects seeking enhanced trilateral benefits.</w:t>
      </w:r>
    </w:p>
    <w:p>
      <w:pPr>
        <w:pStyle w:val="Heading2"/>
      </w:pPr>
      <w:bookmarkStart w:id="901383" w:name="_Toc300001382"/>
      <w:r>
        <w:t>PART B: ARTIFICIAL INTELLIGENCE GOVERNANCE, RIGHTS, SAFETY AND INNOVATION FRAMEWORK</w:t>
      </w:r>
      <w:bookmarkEnd w:id="901383"/>
    </w:p>
    <w:p>
      <w:pPr>
        <w:pStyle w:val="Normal"/>
      </w:pPr>
      <w:r>
        <w:t>Status. This Part establishes a risk-proportionate North American artificial-intelligence governance spine while preserving beneficial low-risk use, stronger domestic protections, constitutional competence, innovation, privacy, expression, trade secrets, and the specialized rules of other Chapters. It uses existing institutions wherever capable, creates no automatic tariff remedy, and distinguishes mandatory high-risk safeguards from flexible cooperation and genuinely optional programs.</w:t>
      </w:r>
    </w:p>
    <w:p>
      <w:pPr>
        <w:pStyle w:val="TrumpVisibilityHeadline"/>
      </w:pPr>
      <w:r>
        <w:t>SEARCH SIGNPOST: ARTIFICIAL INTELLIGENCE / AI GOVERNANCE / AI SAFETY / AI RIGHTS / HALLUCINATIONS / SOURCE PROVENANCE / ALGORITHMIC MANAGEMENT / HEALTHCARE AI / EDUCATION AI / COGNITIVE LIBERTY</w:t>
      </w:r>
    </w:p>
    <w:p>
      <w:pPr>
        <w:pStyle w:val="Heading2"/>
      </w:pPr>
      <w:bookmarkStart w:id="901384" w:name="_Toc300001383"/>
      <w:r>
        <w:t>Article 39.19: Purpose, Scope and Balanced AI Governance</w:t>
      </w:r>
      <w:bookmarkEnd w:id="901384"/>
    </w:p>
    <w:p>
      <w:pPr>
        <w:pStyle w:val="Normal"/>
      </w:pPr>
      <w:r>
        <w:t>1. [Purpose, Scope and Balanced AI Governance] Purpose and innovation-preserving governance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2. [Purpose, Scope and Balanced AI Governance] Covered artificial-intelligence systems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3. [Purpose, Scope and Balanced AI Governance] Risk-proportionate obligations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4. [Purpose, Scope and Balanced AI Governance] No presumption of danger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5. [Purpose, Scope and Balanced AI Governance] Technology-neutral implementation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6. [Purpose, Scope and Balanced AI Governance] Relationship to stronger domestic protection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Heading2"/>
      </w:pPr>
      <w:bookmarkStart w:id="901385" w:name="_Toc300001384"/>
      <w:r>
        <w:t>Article 39.20: Definitions and Functional Classification</w:t>
      </w:r>
      <w:bookmarkEnd w:id="901385"/>
    </w:p>
    <w:p>
      <w:pPr>
        <w:pStyle w:val="Normal"/>
      </w:pPr>
      <w:r>
        <w:t>1. [Definitions and Functional Classification] Artificial-intelligence system - For purposes of this Part, artificial-intelligence system shall be interpreted by reference to the function, deployment context, degree of autonomy, and reasonably foreseeable consequences of the system rather than by marketing terminology alone. A Party may refine the definition of artificial-intelligence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pPr>
      <w:r>
        <w:t>2. [Definitions and Functional Classification] Consequential decision - For purposes of this Part, consequential decision shall be interpreted by reference to the function, deployment context, degree of autonomy, and reasonably foreseeable consequences of the system rather than by marketing terminology alone. A Party may refine the definition of consequential decision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pPr>
      <w:r>
        <w:t>3. [Definitions and Functional Classification] High-risk system - For purposes of this Part, high-risk system shall be interpreted by reference to the function, deployment context, degree of autonomy, and reasonably foreseeable consequences of the system rather than by marketing terminology alone. A Party may refine the definition of high-risk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pPr>
      <w:r>
        <w:t>4. [Definitions and Functional Classification] Safety-critical system - For purposes of this Part, safety-critical system shall be interpreted by reference to the function, deployment context, degree of autonomy, and reasonably foreseeable consequences of the system rather than by marketing terminology alone. A Party may refine the definition of safety-critical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pPr>
      <w:r>
        <w:t>5. [Definitions and Functional Classification] General-purpose system - For purposes of this Part, general-purpose system shall be interpreted by reference to the function, deployment context, degree of autonomy, and reasonably foreseeable consequences of the system rather than by marketing terminology alone. A Party may refine the definition of general-purpose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pPr>
      <w:r>
        <w:t>6. [Definitions and Functional Classification] Material deployment change - For purposes of this Part, material deployment change shall be interpreted by reference to the function, deployment context, degree of autonomy, and reasonably foreseeable consequences of the system rather than by marketing terminology alone. A Party may refine the definition of material deployment change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Heading2"/>
      </w:pPr>
      <w:bookmarkStart w:id="901386" w:name="_Toc300001385"/>
      <w:r>
        <w:t>Article 39.21: Risk Classification and Reclassification</w:t>
      </w:r>
      <w:bookmarkEnd w:id="901386"/>
    </w:p>
    <w:p>
      <w:pPr>
        <w:pStyle w:val="Normal"/>
      </w:pPr>
      <w:r>
        <w:t>1. [Risk Classification and Reclassification] Classification by use and consequence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2. [Risk Classification and Reclassification] Capability and autonomy factors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3. [Risk Classification and Reclassification] Foreseeable-harm analysis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4. [Risk Classification and Reclassification] Low-risk presumption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5. [Risk Classification and Reclassification] Reclassification after material change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6. [Risk Classification and Reclassification] Reasoned classification record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Heading2"/>
      </w:pPr>
      <w:bookmarkStart w:id="901387" w:name="_Toc300001386"/>
      <w:r>
        <w:t>Article 39.22: Governing Firewalls and No AI Exceptionalism</w:t>
      </w:r>
      <w:bookmarkEnd w:id="901387"/>
    </w:p>
    <w:p>
      <w:pPr>
        <w:pStyle w:val="Normal"/>
      </w:pPr>
      <w:r>
        <w:t>1. [Governing Firewalls and No AI Exceptionalism] No AI exceptionalism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2. [Governing Firewalls and No AI Exceptionalism] No tariff weaponization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3. [Governing Firewalls and No AI Exceptionalism] Interoperability not forced harmonization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4. [Governing Firewalls and No AI Exceptionalism] Existing institutions first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5. [Governing Firewalls and No AI Exceptionalism] No liability escape through automation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6. [Governing Firewalls and No AI Exceptionalism] Optional means optional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Heading2"/>
      </w:pPr>
      <w:bookmarkStart w:id="901388" w:name="_Toc300001387"/>
      <w:r>
        <w:t>Article 39.23: Human Authority and Accountable Decision-Making</w:t>
      </w:r>
      <w:bookmarkEnd w:id="901388"/>
    </w:p>
    <w:p>
      <w:pPr>
        <w:pStyle w:val="Normal"/>
      </w:pPr>
      <w:r>
        <w:t>1. [Human Authority and Accountable Decision-Making] Identifiable responsible human or legal person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2. [Human Authority and Accountable Decision-Making] Human authority over consequential outcomes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3. [Human Authority and Accountable Decision-Making] No rubber-stamp review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4. [Human Authority and Accountable Decision-Making] Escalation to qualified decision-maker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5. [Human Authority and Accountable Decision-Making] Human override for safety-critical use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6. [Human Authority and Accountable Decision-Making] Accountability continuity across vendors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Heading2"/>
      </w:pPr>
      <w:bookmarkStart w:id="901389" w:name="_Toc300001388"/>
      <w:r>
        <w:t>Article 39.24: Notice, Explanation and Disclosure to Affected Persons</w:t>
      </w:r>
      <w:bookmarkEnd w:id="901389"/>
    </w:p>
    <w:p>
      <w:pPr>
        <w:pStyle w:val="Normal"/>
      </w:pPr>
      <w:r>
        <w:t>1. [Notice, Explanation and Disclosure to Affected Persons] Notice of material AI use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2. [Notice, Explanation and Disclosure to Affected Persons] Plain-language explanation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3. [Notice, Explanation and Disclosure to Affected Persons] Material factors and limitations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4. [Notice, Explanation and Disclosure to Affected Persons] Decision-source identification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5. [Notice, Explanation and Disclosure to Affected Persons] Correction of factual inputs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6. [Notice, Explanation and Disclosure to Affected Persons] No deceptive human impersonation in consequential service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Heading2"/>
      </w:pPr>
      <w:bookmarkStart w:id="901390" w:name="_Toc300001389"/>
      <w:r>
        <w:t>Article 39.25: Contestability, Appeal and Correction</w:t>
      </w:r>
      <w:bookmarkEnd w:id="901390"/>
    </w:p>
    <w:p>
      <w:pPr>
        <w:pStyle w:val="Normal"/>
      </w:pPr>
      <w:r>
        <w:t>1. [Contestability, Appeal and Correction] Meaningful opportunity to contest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2. [Contestability, Appeal and Correction] Access to relevant records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3. [Contestability, Appeal and Correction] Correction of erroneous data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4. [Contestability, Appeal and Correction] Independent human reconsideration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5. [Contestability, Appeal and Correction] Timely appeal pathway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6. [Contestability, Appeal and Correction] No retaliation for contesting an AI-assisted decision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Heading2"/>
      </w:pPr>
      <w:bookmarkStart w:id="901391" w:name="_Toc300001390"/>
      <w:r>
        <w:t>Article 39.26: Consequential Automated Decision Safeguards</w:t>
      </w:r>
      <w:bookmarkEnd w:id="901391"/>
    </w:p>
    <w:p>
      <w:pPr>
        <w:pStyle w:val="Normal"/>
      </w:pPr>
      <w:r>
        <w:t>1. [Consequential Automated Decision Safeguards] No solely automated deprivation of core rights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2. [Consequential Automated Decision Safeguards] Heightened safeguards for essential services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3. [Consequential Automated Decision Safeguards] Non-discrimination in consequential decisions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4. [Consequential Automated Decision Safeguards] Appropriate confidence thresholds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5. [Consequential Automated Decision Safeguards] Fallback when model uncertainty is material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pPr>
      <w:r>
        <w:t>6. [Consequential Automated Decision Safeguards] Record of final accountable determination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Heading2"/>
      </w:pPr>
      <w:bookmarkStart w:id="901392" w:name="_Toc300001391"/>
      <w:r>
        <w:t>Article 39.27: Impact Assessment and Deployment Documentation</w:t>
      </w:r>
      <w:bookmarkEnd w:id="901392"/>
    </w:p>
    <w:p>
      <w:pPr>
        <w:pStyle w:val="Normal"/>
      </w:pPr>
      <w:r>
        <w:t>1. [Impact Assessment and Deployment Documentation] Pre-deployment impact assessment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2. [Impact Assessment and Deployment Documentation] Intended-use and prohibited-use statement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3. [Impact Assessment and Deployment Documentation] Affected-person analysis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4. [Impact Assessment and Deployment Documentation] Data and model dependency inventory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5. [Impact Assessment and Deployment Documentation] Residual-risk documentation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6. [Impact Assessment and Deployment Documentation] Assessment update after material change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Heading2"/>
      </w:pPr>
      <w:bookmarkStart w:id="901393" w:name="_Toc300001392"/>
      <w:r>
        <w:t>Article 39.28: Audit, Assurance and Independent Review</w:t>
      </w:r>
      <w:bookmarkEnd w:id="901393"/>
    </w:p>
    <w:p>
      <w:pPr>
        <w:pStyle w:val="Normal"/>
      </w:pPr>
      <w:r>
        <w:t>1. [Audit, Assurance and Independent Review] Risk-tiered assurance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2. [Audit, Assurance and Independent Review] Independent review where justified by risk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3. [Audit, Assurance and Independent Review] Audit scope and evidence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4. [Audit, Assurance and Independent Review] Auditor competence and conflicts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5. [Audit, Assurance and Independent Review] Confidential regulatory access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6. [Audit, Assurance and Independent Review] Corrective action after material audit failure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Heading2"/>
      </w:pPr>
      <w:bookmarkStart w:id="901394" w:name="_Toc300001393"/>
      <w:r>
        <w:t>Article 39.29: Performance, Bias and Validation</w:t>
      </w:r>
      <w:bookmarkEnd w:id="901394"/>
    </w:p>
    <w:p>
      <w:pPr>
        <w:pStyle w:val="Normal"/>
      </w:pPr>
      <w:r>
        <w:t>1. [Performance, Bias and Validation] Representative performance testing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2. [Performance, Bias and Validation] Known limitation disclosure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3. [Performance, Bias and Validation] Bias and disparate-impact testing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4. [Performance, Bias and Validation] False-positive and false-negative analysis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5. [Performance, Bias and Validation] Domain-shift monitoring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pPr>
      <w:r>
        <w:t>6. [Performance, Bias and Validation] Validation against actual deployment context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Heading2"/>
      </w:pPr>
      <w:bookmarkStart w:id="901395" w:name="_Toc300001394"/>
      <w:r>
        <w:t>Article 39.30: Safety Engineering and Risk Controls</w:t>
      </w:r>
      <w:bookmarkEnd w:id="901395"/>
    </w:p>
    <w:p>
      <w:pPr>
        <w:pStyle w:val="Normal"/>
      </w:pPr>
      <w:r>
        <w:t>1. [Safety Engineering and Risk Controls] Safety-by-design for high-risk AI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2. [Safety Engineering and Risk Controls] Hazard identification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3. [Safety Engineering and Risk Controls] Control hierarchy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4. [Safety Engineering and Risk Controls] Human factors engineering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5. [Safety Engineering and Risk Controls] Safe operating envelope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6. [Safety Engineering and Risk Controls] Documented residual-risk acceptance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Heading2"/>
      </w:pPr>
      <w:bookmarkStart w:id="901396" w:name="_Toc300001395"/>
      <w:r>
        <w:t>Article 39.31: Lifecycle Governance and Change Control</w:t>
      </w:r>
      <w:bookmarkEnd w:id="901396"/>
    </w:p>
    <w:p>
      <w:pPr>
        <w:pStyle w:val="Normal"/>
      </w:pPr>
      <w:r>
        <w:t>1. [Lifecycle Governance and Change Control] Lifecycle responsibility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2. [Lifecycle Governance and Change Control] Pre-deployment validation gate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3. [Lifecycle Governance and Change Control] Configuration management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4. [Lifecycle Governance and Change Control] Post-deployment monitoring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5. [Lifecycle Governance and Change Control] Retirement and decommissioning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6. [Lifecycle Governance and Change Control] Transfer-of-control safeguards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Heading2"/>
      </w:pPr>
      <w:bookmarkStart w:id="901397" w:name="_Toc300001396"/>
      <w:r>
        <w:t>Article 39.32: Red Teaming, Robustness and Adversarial Testing</w:t>
      </w:r>
      <w:bookmarkEnd w:id="901397"/>
    </w:p>
    <w:p>
      <w:pPr>
        <w:pStyle w:val="Normal"/>
      </w:pPr>
      <w:r>
        <w:t>1. [Red Teaming, Robustness and Adversarial Testing] Adversarial testing proportionate to risk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2. [Red Teaming, Robustness and Adversarial Testing] Red-team scope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3. [Red Teaming, Robustness and Adversarial Testing] Robustness against distribution shift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4. [Red Teaming, Robustness and Adversarial Testing] Prompt-injection and tool-abuse testing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5. [Red Teaming, Robustness and Adversarial Testing] Independent challenge for safety-critical systems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6. [Red Teaming, Robustness and Adversarial Testing] Remediation and retest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Heading2"/>
      </w:pPr>
      <w:bookmarkStart w:id="901398" w:name="_Toc300001397"/>
      <w:r>
        <w:t>Article 39.33: Fail-Safe Design, Graceful Degradation and Rollback</w:t>
      </w:r>
      <w:bookmarkEnd w:id="901398"/>
    </w:p>
    <w:p>
      <w:pPr>
        <w:pStyle w:val="Normal"/>
      </w:pPr>
      <w:r>
        <w:t>1. [Fail-Safe Design, Graceful Degradation and Rollback] Fail-safe state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2. [Fail-Safe Design, Graceful Degradation and Rollback] Graceful degradation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3. [Fail-Safe Design, Graceful Degradation and Rollback] Human override availability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4. [Fail-Safe Design, Graceful Degradation and Rollback] Rollback capability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5. [Fail-Safe Design, Graceful Degradation and Rollback] Safe recovery after interruption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pPr>
      <w:r>
        <w:t>6. [Fail-Safe Design, Graceful Degradation and Rollback] No hidden dependence on unavailable AI service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Heading2"/>
      </w:pPr>
      <w:bookmarkStart w:id="901399" w:name="_Toc300001398"/>
      <w:r>
        <w:t>Article 39.34: Serious AI Incident Classification and Notification</w:t>
      </w:r>
      <w:bookmarkEnd w:id="901399"/>
    </w:p>
    <w:p>
      <w:pPr>
        <w:pStyle w:val="Normal"/>
      </w:pPr>
      <w:r>
        <w:t>1. [Serious AI Incident Classification and Notification] Serious incident definition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2. [Serious AI Incident Classification and Notification] Internal escalation duty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3. [Serious AI Incident Classification and Notification] Notice to competent authority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4. [Serious AI Incident Classification and Notification] Cross-border incident relevance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5. [Serious AI Incident Classification and Notification] Confidentiality and security protection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6. [Serious AI Incident Classification and Notification] No-punishment rule for good-faith preliminary reporting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Heading2"/>
      </w:pPr>
      <w:bookmarkStart w:id="901400" w:name="_Toc300001399"/>
      <w:r>
        <w:t>Article 39.35: Incident Investigation, Learning and Corrective Action</w:t>
      </w:r>
      <w:bookmarkEnd w:id="901400"/>
    </w:p>
    <w:p>
      <w:pPr>
        <w:pStyle w:val="Normal"/>
      </w:pPr>
      <w:r>
        <w:t>1. [Incident Investigation, Learning and Corrective Action] Root-cause investigation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2. [Incident Investigation, Learning and Corrective Action] Preservation of logs and evidence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3. [Incident Investigation, Learning and Corrective Action] Corrective action plan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4. [Incident Investigation, Learning and Corrective Action] Lessons-learned sharing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5. [Incident Investigation, Learning and Corrective Action] Repeat-incident escalation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pPr>
      <w:r>
        <w:t>6. [Incident Investigation, Learning and Corrective Action] Closure and verification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Heading2"/>
      </w:pPr>
      <w:bookmarkStart w:id="901401" w:name="_Toc300001400"/>
      <w:r>
        <w:t>Article 39.36: Model Identity and Deployment Versioning</w:t>
      </w:r>
      <w:bookmarkEnd w:id="901401"/>
    </w:p>
    <w:p>
      <w:pPr>
        <w:pStyle w:val="Normal"/>
      </w:pPr>
      <w:r>
        <w:t>1. [Model Identity and Deployment Versioning] Model identity record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2. [Model Identity and Deployment Versioning] Version and configuration identifier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3. [Model Identity and Deployment Versioning] Deployment-date record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4. [Model Identity and Deployment Versioning] Provider and deployer identification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5. [Model Identity and Deployment Versioning] Third-party component inventory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6. [Model Identity and Deployment Versioning] Accessible identity information for regulators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Heading2"/>
      </w:pPr>
      <w:bookmarkStart w:id="901402" w:name="_Toc300001401"/>
      <w:r>
        <w:t>Article 39.37: Material Changes and Revalidation</w:t>
      </w:r>
      <w:bookmarkEnd w:id="901402"/>
    </w:p>
    <w:p>
      <w:pPr>
        <w:pStyle w:val="Normal"/>
      </w:pPr>
      <w:r>
        <w:t>1. [Material Changes and Revalidation] Material-change trigger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2. [Material Changes and Revalidation] Fine-tuning and retraining changes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3. [Material Changes and Revalidation] Tool and agent permission changes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4. [Material Changes and Revalidation] Data-source changes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5. [Material Changes and Revalidation] Revalidation scope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6. [Material Changes and Revalidation] Emergency patch documentation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Heading2"/>
      </w:pPr>
      <w:bookmarkStart w:id="901403" w:name="_Toc300001402"/>
      <w:r>
        <w:t>Article 39.38: Traceability, Logging and Decision Reconstruction</w:t>
      </w:r>
      <w:bookmarkEnd w:id="901403"/>
    </w:p>
    <w:p>
      <w:pPr>
        <w:pStyle w:val="Normal"/>
      </w:pPr>
      <w:r>
        <w:t>1. [Traceability, Logging and Decision Reconstruction] Risk-proportionate logging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2. [Traceability, Logging and Decision Reconstruction] Decision reconstruction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3. [Traceability, Logging and Decision Reconstruction] Input and output provenance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4. [Traceability, Logging and Decision Reconstruction] Access controls for logs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5. [Traceability, Logging and Decision Reconstruction] Retention proportionality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pPr>
      <w:r>
        <w:t>6. [Traceability, Logging and Decision Reconstruction] Tamper-evident records for critical systems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Heading2"/>
      </w:pPr>
      <w:bookmarkStart w:id="901404" w:name="_Toc300001403"/>
      <w:r>
        <w:t>Article 39.39: AI Output Verification and Hallucination Literacy</w:t>
      </w:r>
      <w:bookmarkEnd w:id="901404"/>
    </w:p>
    <w:p>
      <w:pPr>
        <w:pStyle w:val="Normal"/>
      </w:pPr>
      <w:r>
        <w:t>1. [AI Output Verification and Hallucination Literacy] Fallibility literacy - The Parties shall promote public understanding that generative AI can produce fluent and confident outputs that are false, incomplete, outdated, fabricated, or unsupported. Literacy materials should explain that linguistic confidence, detail, citations, numerical precision, or repeated assertions do not by themselves establish factual reliability. Users should be encouraged to verify consequential claims against reliable independent evidence and to distinguish model output from an authenticated source record. Providers should avoid representing probabilistic or generated content as verified fact when the system lacks an adequate basis for that representation.</w:t>
      </w:r>
    </w:p>
    <w:p>
      <w:pPr>
        <w:pStyle w:val="Normal"/>
      </w:pPr>
      <w:r>
        <w:t>2. [AI Output Verification and Hallucination Literacy] Fabricated fact recognition - AI literacy initiatives should teach users to recognize fabricated facts, including invented events, quotations, statistics, legal provisions, scientific findings, and biographical details. Particular attention should be given to outputs that combine genuine names, dates, institutions, or documents with invented relationships or events because such mixtures can appear unusually credible. For consequential use, a user should be encouraged to confirm the claimed fact in an identified independent source rather than relying on the internal consistency of the AI response. A provider may use warnings, provenance cues, retrieval indicators, confidence limitations, or other proportionate design features to reduce foreseeable confusion.</w:t>
      </w:r>
    </w:p>
    <w:p>
      <w:pPr>
        <w:pStyle w:val="Normal"/>
      </w:pPr>
      <w:r>
        <w:t>3. [AI Output Verification and Hallucination Literacy] Fabricated citation recognition - The Parties shall promote literacy concerning fabricated or corrupted citations, including invented article titles, authors, case names, page numbers, links, quotations, and references to sources that do not contain the proposition attributed to them. Where an AI system presents a citation in a consequential factual task, users should be able, where reasonably practicable, to identify the cited source or be informed that the system cannot verify it. A citation shall not be treated as verified merely because it resembles a conventional scholarly, legal, journalistic, or technical reference. Education and professional training should emphasize opening the cited material, checking the relevant passage, and confirming that the source actually supports the claim.</w:t>
      </w:r>
    </w:p>
    <w:p>
      <w:pPr>
        <w:pStyle w:val="Normal"/>
      </w:pPr>
      <w:r>
        <w:t>4. [AI Output Verification and Hallucination Literacy] Confidence is not verification - The Parties recognize that apparent confidence, persuasive tone, repetition, detailed reasoning, or agreement across multiple generated passages does not establish that an AI output is true. Providers and deployers should avoid interface designs that materially encourage users to equate stylistic certainty with evidentiary certainty in consequential contexts. Where feasible, systems used for consequential factual work should communicate material uncertainty, missing evidence, or source limitations rather than silently filling gaps with generated content. Nothing in this paragraph requires a system to assign a numerical confidence score where such a score would itself be unreliable or misleading.</w:t>
      </w:r>
    </w:p>
    <w:p>
      <w:pPr>
        <w:pStyle w:val="Normal"/>
      </w:pPr>
      <w:r>
        <w:t>5. [AI Output Verification and Hallucination Literacy] Consequential-claim verification - A person or institution using generative AI for a consequential factual determination should apply verification proportionate to the possible harm from error. Healthcare, legal, financial, employment, educational, public-benefit, safety, critical-infrastructure, and comparable high-consequence uses should rely on qualified human review or authoritative evidence where applicable rather than unverified generation alone. The required verification may vary with urgency, available sources, professional standards, and the materiality of the claim. Failure to verify a material claim may be considered in assessing compliance with an otherwise applicable professional, regulatory, contractual, or legal duty, but this Part creates no universal negligence rule merely because AI was used.</w:t>
      </w:r>
    </w:p>
    <w:p>
      <w:pPr>
        <w:pStyle w:val="Normal"/>
      </w:pPr>
      <w:r>
        <w:t>6. [AI Output Verification and Hallucination Literacy] Knowing when AI does not know - AI literacy should not merely teach people how to operate AI; it should teach people how to know when AI does not know. Training should include recognizing absent or weak sources, contradictory answers, invented citations, unsupported certainty, context confusion, and requests that exceed the system's reliable knowledge or tool access. Users should be encouraged to seek independent verification, qualified human expertise, or a primary source when the consequence of error is material. Providers should support this literacy by making source status, retrieval status, and material limitations intelligible where technically practicable and appropriate to the use.</w:t>
      </w:r>
    </w:p>
    <w:p>
      <w:pPr>
        <w:pStyle w:val="Heading2"/>
      </w:pPr>
      <w:bookmarkStart w:id="901405" w:name="_Toc300001404"/>
      <w:r>
        <w:t>Article 39.40: Source-Boundary and Context Integrity</w:t>
      </w:r>
      <w:bookmarkEnd w:id="901405"/>
    </w:p>
    <w:p>
      <w:pPr>
        <w:pStyle w:val="Normal"/>
      </w:pPr>
      <w:r>
        <w:t>1. [Source-Boundary and Context Integrity] Uploaded-document provenance - An AI system shall not treat the mere presence of information in an uploaded document as proof that the information is independently true. For consequential factual tasks, the system or surrounding workflow should, where technically practicable, distinguish claims derived from uploaded material from claims supported by independently retrieved or authenticated sources. The user should be able to determine whether the system is summarizing the supplied document, reasoning from it, or asserting that the same proposition is established outside the document. This distinction is especially important where a private draft, proposal, memorandum, simulation, or speculative document contains names, institutions, dates, or events that also exist in the real world.</w:t>
      </w:r>
    </w:p>
    <w:p>
      <w:pPr>
        <w:pStyle w:val="Normal"/>
      </w:pPr>
      <w:r>
        <w:t>2. [Source-Boundary and Context Integrity] User-supplied material distinction - Information supplied by a user, including prior messages, notes, datasets, instructions, and attachments, shall remain distinguishable from independently verified external evidence in consequential factual work. A system should not silently convert a user's assertion into an attributed external fact merely because the assertion remains in conversational context. Where a response relies materially on user-supplied information, the system should identify that dependence when failing to do so could reasonably mislead the user about provenance. Nothing in this paragraph prevents a system from accepting user-provided facts for drafting, analysis, simulation, or other tasks in which external verification is not requested or necessary.</w:t>
      </w:r>
    </w:p>
    <w:p>
      <w:pPr>
        <w:pStyle w:val="Normal"/>
      </w:pPr>
      <w:r>
        <w:t>3. [Source-Boundary and Context Integrity] Hypothetical and draft material - Hypothetical scenarios, treaty drafts, proposed legislation, fictional case files, simulations, planning documents, and other non-final material shall not be represented as enacted, adopted, negotiated, published, or otherwise real merely because the material is detailed or internally coherent. A system that combines such material with external information should preserve the boundary between the hypothetical or draft content and the independently established external facts. If the boundary becomes uncertain, the system should state the uncertainty or verify the claim before presenting it as real-world fact in a consequential context. This paragraph does not prevent hypothetical analysis, counterfactual reasoning, roleplay, forecasting, or scenario planning when the hypothetical character of the task is understood.</w:t>
      </w:r>
    </w:p>
    <w:p>
      <w:pPr>
        <w:pStyle w:val="Normal"/>
      </w:pPr>
      <w:r>
        <w:t>4. [Source-Boundary and Context Integrity] Fiction and roleplay boundary - Fictional, roleplayed, satirical, creative, or simulated content shall not be silently reclassified as factual merely because it includes real persons, institutions, places, dates, or technical terminology. Where a system later answers a factual question after extended fictional or roleplayed interaction, it should avoid carrying fictional premises forward as external facts unless the user clearly requests continuation of the fiction. Users should be taught that long conversations can create contextual contamination in which invented premises remain available to the model and may influence later answers. Providers may use context labeling, session controls, provenance indicators, or other proportionate measures to reduce this risk.</w:t>
      </w:r>
    </w:p>
    <w:p>
      <w:pPr>
        <w:pStyle w:val="Normal"/>
      </w:pPr>
      <w:r>
        <w:t>5. [Source-Boundary and Context Integrity] External-source verification - When a system represents that an external source supports a factual claim, the representation should be grounded in an identifiable source actually accessed or otherwise reliably known to support that claim. The system should not attribute a proposition to a news article, research paper, court decision, government publication, or other external source solely because similar information appeared in user-supplied context. Where direct source verification is unavailable, the system should say so rather than fabricating a citation or implying that verification occurred. For consequential use, the user should be encouraged to inspect the underlying source where reasonably practicable.</w:t>
      </w:r>
    </w:p>
    <w:p>
      <w:pPr>
        <w:pStyle w:val="Normal"/>
      </w:pPr>
      <w:r>
        <w:t>6. [Source-Boundary and Context Integrity] Possession of information is not verification - Access to a source does not establish the truth of its contents, and possession of information is not verification of information. Retrieval of information from user-supplied, hypothetical, draft, fictional, or contextual material does not convert that information into independently verified fact. Verification requires an evidentiary basis appropriate to the proposition and the consequence of error, which may include a primary source, authoritative record, reliable independent source, or qualified human review. Nothing in this paragraph prevents a system from accurately reporting what an unverified source says when the source and its status are clearly identified.</w:t>
      </w:r>
    </w:p>
    <w:p>
      <w:pPr>
        <w:pStyle w:val="Heading2"/>
      </w:pPr>
      <w:bookmarkStart w:id="901406" w:name="_Toc300001405"/>
      <w:r>
        <w:t>Article 39.41: Privacy, Data Minimization and Purpose Limitation</w:t>
      </w:r>
      <w:bookmarkEnd w:id="901406"/>
    </w:p>
    <w:p>
      <w:pPr>
        <w:pStyle w:val="Normal"/>
      </w:pPr>
      <w:r>
        <w:t>1. [Privacy, Data Minimization and Purpose Limitation] AI data minimization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2. [Privacy, Data Minimization and Purpose Limitation] Purpose limitation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3. [Privacy, Data Minimization and Purpose Limitation] Sensitive-data handling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4. [Privacy, Data Minimization and Purpose Limitation] Secondary-use controls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5. [Privacy, Data Minimization and Purpose Limitation] Retention limitation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6. [Privacy, Data Minimization and Purpose Limitation] Privacy-preserving design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Heading2"/>
      </w:pPr>
      <w:bookmarkStart w:id="901407" w:name="_Toc300001406"/>
      <w:r>
        <w:t>Article 39.42: Training Data Rights and Governance</w:t>
      </w:r>
      <w:bookmarkEnd w:id="901407"/>
    </w:p>
    <w:p>
      <w:pPr>
        <w:pStyle w:val="Normal"/>
      </w:pPr>
      <w:r>
        <w:t>1. [Training Data Rights and Governance] Training-data provenance records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2. [Training Data Rights and Governance] Lawful-basis documentation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3. [Training Data Rights and Governance] Consumer choice where applicable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4. [Training Data Rights and Governance] Sensitive-category controls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5. [Training Data Rights and Governance] Data quality and labeling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6. [Training Data Rights and Governance] Legacy-data remediation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Heading2"/>
      </w:pPr>
      <w:bookmarkStart w:id="901408" w:name="_Toc300001407"/>
      <w:r>
        <w:t>Article 39.43: Model Memorization, Leakage and Confidentiality</w:t>
      </w:r>
      <w:bookmarkEnd w:id="901408"/>
    </w:p>
    <w:p>
      <w:pPr>
        <w:pStyle w:val="Normal"/>
      </w:pPr>
      <w:r>
        <w:t>1. [Model Memorization, Leakage and Confidentiality] Memorization-risk testing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2. [Model Memorization, Leakage and Confidentiality] Personal-data leakage controls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3. [Model Memorization, Leakage and Confidentiality] Confidential business information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4. [Model Memorization, Leakage and Confidentiality] Prompt and conversation confidentiality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5. [Model Memorization, Leakage and Confidentiality] Extraction-risk mitigation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pPr>
      <w:r>
        <w:t>6. [Model Memorization, Leakage and Confidentiality] Remediation after verified leakage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Heading2"/>
      </w:pPr>
      <w:bookmarkStart w:id="901409" w:name="_Toc300001408"/>
      <w:r>
        <w:t>Article 39.44: Biometrics and Persistent Identity</w:t>
      </w:r>
      <w:bookmarkEnd w:id="901409"/>
    </w:p>
    <w:p>
      <w:pPr>
        <w:pStyle w:val="Normal"/>
      </w:pPr>
      <w:r>
        <w:t>1. [Biometrics and Persistent Identity] Biometric proportionality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2. [Biometrics and Persistent Identity] Consent and lawful authority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3. [Biometrics and Persistent Identity] Persistent identifier safeguards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4. [Biometrics and Persistent Identity] Emotion inference restraint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5. [Biometrics and Persistent Identity] Biometric access controls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6. [Biometrics and Persistent Identity] Deletion and retention safeguards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Heading2"/>
      </w:pPr>
      <w:bookmarkStart w:id="901410" w:name="_Toc300001409"/>
      <w:r>
        <w:t>Article 39.45: Synthetic Media, Authenticity and Provenance</w:t>
      </w:r>
      <w:bookmarkEnd w:id="901410"/>
    </w:p>
    <w:p>
      <w:pPr>
        <w:pStyle w:val="Normal"/>
      </w:pPr>
      <w:r>
        <w:t>1. [Synthetic Media, Authenticity and Provenance] Material synthetic-content disclosure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2. [Synthetic Media, Authenticity and Provenance] Provenance metadata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3. [Synthetic Media, Authenticity and Provenance] Tamper resistance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4. [Synthetic Media, Authenticity and Provenance] News and evidentiary contexts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5. [Synthetic Media, Authenticity and Provenance] Expression and parody firewall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6. [Synthetic Media, Authenticity and Provenance] Removal of deceptive provenance markers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Heading2"/>
      </w:pPr>
      <w:bookmarkStart w:id="901411" w:name="_Toc300001410"/>
      <w:r>
        <w:t>Article 39.46: Impersonation, Voice Cloning and Deepfake Harm</w:t>
      </w:r>
      <w:bookmarkEnd w:id="901411"/>
    </w:p>
    <w:p>
      <w:pPr>
        <w:pStyle w:val="Normal"/>
      </w:pPr>
      <w:r>
        <w:t>1. [Impersonation, Voice Cloning and Deepfake Harm] Unauthorized identity cloning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2. [Impersonation, Voice Cloning and Deepfake Harm] Fraudulent impersonation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3. [Impersonation, Voice Cloning and Deepfake Harm] Nonconsensual intimate synthetic media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4. [Impersonation, Voice Cloning and Deepfake Harm] Election and public-office impersonation safeguards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5. [Impersonation, Voice Cloning and Deepfake Harm] Emergency and disaster impersonation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pPr>
      <w:r>
        <w:t>6. [Impersonation, Voice Cloning and Deepfake Harm] Rapid correction and takedown pathways consistent with law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Heading2"/>
      </w:pPr>
      <w:bookmarkStart w:id="901412" w:name="_Toc300001411"/>
      <w:r>
        <w:t>Article 39.47: Worker Notice, Consultation and Deployment</w:t>
      </w:r>
      <w:bookmarkEnd w:id="901412"/>
    </w:p>
    <w:p>
      <w:pPr>
        <w:pStyle w:val="Normal"/>
      </w:pPr>
      <w:r>
        <w:t>1. [Worker Notice, Consultation and Deployment] Notice of consequential workplace AI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2. [Worker Notice, Consultation and Deployment] Worker consultation on material process change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3. [Worker Notice, Consultation and Deployment] Accessible deployment policies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4. [Worker Notice, Consultation and Deployment] Role-specific competence training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5. [Worker Notice, Consultation and Deployment] Collective-representation access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6. [Worker Notice, Consultation and Deployment] No retaliation for raising AI safety concerns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Heading2"/>
      </w:pPr>
      <w:bookmarkStart w:id="901413" w:name="_Toc300001412"/>
      <w:r>
        <w:t>Article 39.48: Automated Hiring, Discipline and Termination</w:t>
      </w:r>
      <w:bookmarkEnd w:id="901413"/>
    </w:p>
    <w:p>
      <w:pPr>
        <w:pStyle w:val="Normal"/>
      </w:pPr>
      <w:r>
        <w:t>1. [Automated Hiring, Discipline and Termination] Hiring transparency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2. [Automated Hiring, Discipline and Termination] Human review of adverse employment decisions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3. [Automated Hiring, Discipline and Termination] No solely automated termination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4. [Automated Hiring, Discipline and Termination] Bias validation in employment systems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5. [Automated Hiring, Discipline and Termination] Candidate data correction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pPr>
      <w:r>
        <w:t>6. [Automated Hiring, Discipline and Termination] Reasoned record of adverse action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Heading2"/>
      </w:pPr>
      <w:bookmarkStart w:id="901414" w:name="_Toc300001413"/>
      <w:r>
        <w:t>Article 39.49: Worker Monitoring, Scoring and Dignity</w:t>
      </w:r>
      <w:bookmarkEnd w:id="901414"/>
    </w:p>
    <w:p>
      <w:pPr>
        <w:pStyle w:val="Normal"/>
      </w:pPr>
      <w:r>
        <w:t>1. [Worker Monitoring, Scoring and Dignity] Proportional workplace monitoring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2. [Worker Monitoring, Scoring and Dignity] No pervasive demeaning surveillance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3. [Worker Monitoring, Scoring and Dignity] Productivity-score safeguards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4. [Worker Monitoring, Scoring and Dignity] Emotion and personality inference limits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5. [Worker Monitoring, Scoring and Dignity] Off-duty and private-space protection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6. [Worker Monitoring, Scoring and Dignity] Human review of monitoring-based sanctions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Heading2"/>
      </w:pPr>
      <w:bookmarkStart w:id="901415" w:name="_Toc300001414"/>
      <w:r>
        <w:t>Article 39.50: Platform, Gig and Worker Data Governance</w:t>
      </w:r>
      <w:bookmarkEnd w:id="901415"/>
    </w:p>
    <w:p>
      <w:pPr>
        <w:pStyle w:val="Normal"/>
      </w:pPr>
      <w:r>
        <w:t>1. [Platform, Gig and Worker Data Governance] Algorithmic scheduling transparency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2. [Platform, Gig and Worker Data Governance] Gig-worker account deactivation review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3. [Platform, Gig and Worker Data Governance] Worker data access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4. [Platform, Gig and Worker Data Governance] Portable reputation and correction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5. [Platform, Gig and Worker Data Governance] Automated pay-calculation transparency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pPr>
      <w:r>
        <w:t>6. [Platform, Gig and Worker Data Governance] Chapter 23-B transition cross-reference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Heading2"/>
      </w:pPr>
      <w:bookmarkStart w:id="901416" w:name="_Toc300001415"/>
      <w:r>
        <w:t>Article 39.51: Healthcare AI Clinical Authority</w:t>
      </w:r>
      <w:bookmarkEnd w:id="901416"/>
    </w:p>
    <w:p>
      <w:pPr>
        <w:pStyle w:val="Normal"/>
      </w:pPr>
      <w:r>
        <w:t>1. [Healthcare AI Clinical Authority] Clinician retains final clinical authority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2. [Healthcare AI Clinical Authority] No autonomous diagnosis without lawful authorization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3. [Healthcare AI Clinical Authority] No autonomous prescribing or medication administration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4. [Healthcare AI Clinical Authority] Clinical escalation when uncertainty is material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5. [Healthcare AI Clinical Authority] Patient right to human clinical review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6. [Healthcare AI Clinical Authority] Professional standards remain controlling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Heading2"/>
      </w:pPr>
      <w:bookmarkStart w:id="901417" w:name="_Toc300001416"/>
      <w:r>
        <w:t>Article 39.52: Healthcare AI Validation and Performance</w:t>
      </w:r>
      <w:bookmarkEnd w:id="901417"/>
    </w:p>
    <w:p>
      <w:pPr>
        <w:pStyle w:val="Normal"/>
      </w:pPr>
      <w:r>
        <w:t>1. [Healthcare AI Validation and Performance] Clinical validation in intended population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2. [Healthcare AI Validation and Performance] Diagnostic sensitivity and specificity disclosure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3. [Healthcare AI Validation and Performance] External validation where warranted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4. [Healthcare AI Validation and Performance] Model drift monitoring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5. [Healthcare AI Validation and Performance] Subgroup performance evaluation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6. [Healthcare AI Validation and Performance] Revalidation after clinically material change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Heading2"/>
      </w:pPr>
      <w:bookmarkStart w:id="901418" w:name="_Toc300001417"/>
      <w:r>
        <w:t>Article 39.53: Healthcare AI Consent, Privacy and Patient Data</w:t>
      </w:r>
      <w:bookmarkEnd w:id="901418"/>
    </w:p>
    <w:p>
      <w:pPr>
        <w:pStyle w:val="Normal"/>
      </w:pPr>
      <w:r>
        <w:t>1. [Healthcare AI Consent, Privacy and Patient Data] Notice of consequential clinical AI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2. [Healthcare AI Consent, Privacy and Patient Data] Patient-data minimization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3. [Healthcare AI Consent, Privacy and Patient Data] Training-use consent where required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4. [Healthcare AI Consent, Privacy and Patient Data] Protected-health-information safeguards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5. [Healthcare AI Consent, Privacy and Patient Data] Genomic and biometric sensitivity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6. [Healthcare AI Consent, Privacy and Patient Data] Patient correction and access rights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Heading2"/>
      </w:pPr>
      <w:bookmarkStart w:id="901419" w:name="_Toc300001418"/>
      <w:r>
        <w:t>Article 39.54: Healthcare Deployment, Change Control and Human Factors</w:t>
      </w:r>
      <w:bookmarkEnd w:id="901419"/>
    </w:p>
    <w:p>
      <w:pPr>
        <w:pStyle w:val="Normal"/>
      </w:pPr>
      <w:r>
        <w:t>1. [Healthcare Deployment, Change Control and Human Factors] Clinical workflow integration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2. [Healthcare Deployment, Change Control and Human Factors] Alert-fatigue controls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3. [Healthcare Deployment, Change Control and Human Factors] Automation-bias safeguards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4. [Healthcare Deployment, Change Control and Human Factors] Override and escalation design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5. [Healthcare Deployment, Change Control and Human Factors] Model update governance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6. [Healthcare Deployment, Change Control and Human Factors] Downtime and non-AI fallback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Heading2"/>
      </w:pPr>
      <w:bookmarkStart w:id="901420" w:name="_Toc300001419"/>
      <w:r>
        <w:t>Article 39.55: Healthcare Post-Market Safety, Equity and Access</w:t>
      </w:r>
      <w:bookmarkEnd w:id="901420"/>
    </w:p>
    <w:p>
      <w:pPr>
        <w:pStyle w:val="Normal"/>
      </w:pPr>
      <w:r>
        <w:t>1. [Healthcare Post-Market Safety, Equity and Access] Clinical adverse-event reporting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2. [Healthcare Post-Market Safety, Equity and Access] Post-market surveillance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3. [Healthcare Post-Market Safety, Equity and Access] Equitable access and accessibility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4. [Healthcare Post-Market Safety, Equity and Access] Rural and remote deployment safeguards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5. [Healthcare Post-Market Safety, Equity and Access] Language and disability access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pPr>
      <w:r>
        <w:t>6. [Healthcare Post-Market Safety, Equity and Access] No automatic mutual recognition of clinical approval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Heading2"/>
      </w:pPr>
      <w:bookmarkStart w:id="901421" w:name="_Toc300001420"/>
      <w:r>
        <w:t>Article 39.56: Teacher, Student and Institutional Human Authority</w:t>
      </w:r>
      <w:bookmarkEnd w:id="901421"/>
    </w:p>
    <w:p>
      <w:pPr>
        <w:pStyle w:val="Normal"/>
      </w:pPr>
      <w:r>
        <w:t>1. [Teacher, Student and Institutional Human Authority] Teacher-in-the-loop principle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2. [Teacher, Student and Institutional Human Authority] AI as support not automatic replacement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3. [Teacher, Student and Institutional Human Authority] Student agency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4. [Teacher, Student and Institutional Human Authority] Human review of consequential educational decisions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5. [Teacher, Student and Institutional Human Authority] Alternative non-AI pathway where reasonably available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6. [Teacher, Student and Institutional Human Authority] Academic professional judgment preserved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Heading2"/>
      </w:pPr>
      <w:bookmarkStart w:id="901422" w:name="_Toc300001421"/>
      <w:r>
        <w:t>Article 39.57: Student Privacy, Age-Appropriate Design and Safety</w:t>
      </w:r>
      <w:bookmarkEnd w:id="901422"/>
    </w:p>
    <w:p>
      <w:pPr>
        <w:pStyle w:val="Normal"/>
      </w:pPr>
      <w:r>
        <w:t>1. [Student Privacy, Age-Appropriate Design and Safety] Student-data minimization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2. [Student Privacy, Age-Appropriate Design and Safety] Age-appropriate design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3. [Student Privacy, Age-Appropriate Design and Safety] Parental or student consent as required by law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4. [Student Privacy, Age-Appropriate Design and Safety] No commercial exploitation of sensitive student data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5. [Student Privacy, Age-Appropriate Design and Safety] Child-safety risk assessment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6. [Student Privacy, Age-Appropriate Design and Safety] Student data retention and deletion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Heading2"/>
      </w:pPr>
      <w:bookmarkStart w:id="901423" w:name="_Toc300001422"/>
      <w:r>
        <w:t>Article 39.58: Educational Assessment, Integrity and Fairness</w:t>
      </w:r>
      <w:bookmarkEnd w:id="901423"/>
    </w:p>
    <w:p>
      <w:pPr>
        <w:pStyle w:val="Normal"/>
      </w:pPr>
      <w:r>
        <w:t>1. [Educational Assessment, Integrity and Fairness] AI-assisted assessment transparency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2. [Educational Assessment, Integrity and Fairness] No solely automated exclusion or discipline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3. [Educational Assessment, Integrity and Fairness] Academic-integrity process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4. [Educational Assessment, Integrity and Fairness] Bias and accessibility testing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5. [Educational Assessment, Integrity and Fairness] Reasonable accommodation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pPr>
      <w:r>
        <w:t>6. [Educational Assessment, Integrity and Fairness] Correction and appeal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Heading2"/>
      </w:pPr>
      <w:bookmarkStart w:id="901424" w:name="_Toc300001423"/>
      <w:r>
        <w:t>Article 39.59: AI Literacy, Verification and Public Capability</w:t>
      </w:r>
      <w:bookmarkEnd w:id="901424"/>
    </w:p>
    <w:p>
      <w:pPr>
        <w:pStyle w:val="Normal"/>
      </w:pPr>
      <w:r>
        <w:t>1. [AI Literacy, Verification and Public Capability] Voluntary public AI literacy - The Parties may cooperate on voluntary public ai literacy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pPr>
      <w:r>
        <w:t>2. [AI Literacy, Verification and Public Capability] Hallucination and source-checking education - The Parties may cooperate on hallucination and source-checking education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pPr>
      <w:r>
        <w:t>3. [AI Literacy, Verification and Public Capability] Uploaded-document contamination awareness - The Parties may cooperate on uploaded-document contamination awareness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pPr>
      <w:r>
        <w:t>4. [AI Literacy, Verification and Public Capability] Synthetic-media literacy - The Parties may cooperate on synthetic-media literacy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pPr>
      <w:r>
        <w:t>5. [AI Literacy, Verification and Public Capability] Professional role-specific competence - The Parties may cooperate on professional role-specific competence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pPr>
      <w:r>
        <w:t>6. [AI Literacy, Verification and Public Capability] No mandatory continental curriculum - The Parties may cooperate on no mandatory continental curriculum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Heading2"/>
      </w:pPr>
      <w:bookmarkStart w:id="901425" w:name="_Toc300001424"/>
      <w:r>
        <w:t>Article 39.60: AI Cybersecurity, Poisoning and Adversarial Resilience</w:t>
      </w:r>
      <w:bookmarkEnd w:id="901425"/>
    </w:p>
    <w:p>
      <w:pPr>
        <w:pStyle w:val="Normal"/>
      </w:pPr>
      <w:r>
        <w:t>1. [AI Cybersecurity, Poisoning and Adversarial Resilience] Model-poisoning prevention - The Parties shall address model-poisoning prevention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2. [AI Cybersecurity, Poisoning and Adversarial Resilience] Training-pipeline security - The Parties shall address training-pipeline security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3. [AI Cybersecurity, Poisoning and Adversarial Resilience] Prompt-injection defenses - The Parties shall address prompt-injection defenses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4. [AI Cybersecurity, Poisoning and Adversarial Resilience] Model extraction protection - The Parties shall address model extraction protection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5. [AI Cybersecurity, Poisoning and Adversarial Resilience] Credential and tool-access security - The Parties shall address credential and tool-access security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6. [AI Cybersecurity, Poisoning and Adversarial Resilience] AI-specific threat intelligence sharing - The Parties shall address ai-specific threat intelligence sharing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Heading2"/>
      </w:pPr>
      <w:bookmarkStart w:id="901426" w:name="_Toc300001425"/>
      <w:r>
        <w:t>Article 39.61: Critical Infrastructure AI Resilience</w:t>
      </w:r>
      <w:bookmarkEnd w:id="901426"/>
    </w:p>
    <w:p>
      <w:pPr>
        <w:pStyle w:val="Normal"/>
      </w:pPr>
      <w:r>
        <w:t>1. [Critical Infrastructure AI Resilience] Critical infrastructure inventory - The Parties shall address critical infrastructure inventory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2. [Critical Infrastructure AI Resilience] Safety-critical redundancy - The Parties shall address safety-critical redundancy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3. [Critical Infrastructure AI Resilience] Manual or deterministic fallback - The Parties shall address manual or deterministic fallback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4. [Critical Infrastructure AI Resilience] Cyber-physical incident containment - The Parties shall address cyber-physical incident containment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5. [Critical Infrastructure AI Resilience] Recovery-time objectives - The Parties shall address recovery-time objectives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6. [Critical Infrastructure AI Resilience] Cross-border continuity coordination - The Parties shall address cross-border continuity coordination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Heading2"/>
      </w:pPr>
      <w:bookmarkStart w:id="901427" w:name="_Toc300001426"/>
      <w:r>
        <w:t>Article 39.62: AI Supply Chain, Vendor and Open-Source Security</w:t>
      </w:r>
      <w:bookmarkEnd w:id="901427"/>
    </w:p>
    <w:p>
      <w:pPr>
        <w:pStyle w:val="Normal"/>
      </w:pPr>
      <w:r>
        <w:t>1. [AI Supply Chain, Vendor and Open-Source Security] Third-party component risk - The Parties shall address third-party component risk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2. [AI Supply Chain, Vendor and Open-Source Security] Vendor due diligence - The Parties shall address vendor due diligence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3. [AI Supply Chain, Vendor and Open-Source Security] Software and model provenance - The Parties shall address software and model provenance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4. [AI Supply Chain, Vendor and Open-Source Security] Open-source component security - The Parties shall address open-source component security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5. [AI Supply Chain, Vendor and Open-Source Security] Cryptographic agility - The Parties shall address cryptographic agility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6. [AI Supply Chain, Vendor and Open-Source Security] Supply-chain tampering response - The Parties shall address supply-chain tampering response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Heading2"/>
      </w:pPr>
      <w:bookmarkStart w:id="901428" w:name="_Toc300001427"/>
      <w:r>
        <w:t>Article 39.63: Compute Infrastructure, Data Sovereignty, Industrial Capacity and Talent</w:t>
      </w:r>
      <w:bookmarkEnd w:id="901428"/>
    </w:p>
    <w:p>
      <w:pPr>
        <w:pStyle w:val="Normal"/>
      </w:pPr>
      <w:r>
        <w:t>1. [Compute Infrastructure, Data Sovereignty, Industrial Capacity and Talent] Strategic compute and data-centre resilience - The Parties shall address strategic compute and data-centre resilience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2. [Compute Infrastructure, Data Sovereignty, Industrial Capacity and Talent] Sensitive-data sovereignty exceptions - The Parties shall address sensitive-data sovereignty exceptions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3. [Compute Infrastructure, Data Sovereignty, Industrial Capacity and Talent] Hardware and AI supply-chain capacity - The Parties shall address hardware and ai supply-chain capacity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4. [Compute Infrastructure, Data Sovereignty, Industrial Capacity and Talent] SME proportionality and market access - The Parties shall address sme proportionality and market access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5. [Compute Infrastructure, Data Sovereignty, Industrial Capacity and Talent] AI talent mobility and researcher exchange - The Parties shall address ai talent mobility and researcher exchange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pPr>
      <w:r>
        <w:t>6. [Compute Infrastructure, Data Sovereignty, Industrial Capacity and Talent] No blanket localization or mandatory joint industrial plan - The Parties shall address no blanket localization or mandatory joint industrial plan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Heading2"/>
      </w:pPr>
      <w:bookmarkStart w:id="901429" w:name="_Toc300001428"/>
      <w:r>
        <w:t>Article 39.64: Consumer Protection, Accessibility and Market Fairness</w:t>
      </w:r>
      <w:bookmarkEnd w:id="901429"/>
    </w:p>
    <w:p>
      <w:pPr>
        <w:pStyle w:val="Normal"/>
      </w:pPr>
      <w:r>
        <w:t>1. [Consumer Protection, Accessibility and Market Fairness] Consumer-facing AI identification - Consumer-facing rules concerning consumer-facing ai identification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pPr>
      <w:r>
        <w:t>2. [Consumer Protection, Accessibility and Market Fairness] Accessible interfaces - Consumer-facing rules concerning accessible interfaces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pPr>
      <w:r>
        <w:t>3. [Consumer Protection, Accessibility and Market Fairness] Deceptive-practice prohibition - Consumer-facing rules concerning deceptive-practice prohibition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pPr>
      <w:r>
        <w:t>4. [Consumer Protection, Accessibility and Market Fairness] Recommendation and pricing transparency where consequential - Consumer-facing rules concerning recommendation and pricing transparency where consequential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pPr>
      <w:r>
        <w:t>5. [Consumer Protection, Accessibility and Market Fairness] Credit and insurance fairness cross-reference - Consumer-facing rules concerning credit and insurance fairness cross-reference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pPr>
      <w:r>
        <w:t>6. [Consumer Protection, Accessibility and Market Fairness] Low-cost complaint and correction channels - Consumer-facing rules concerning low-cost complaint and correction channels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Heading2"/>
      </w:pPr>
      <w:bookmarkStart w:id="901430" w:name="_Toc300001429"/>
      <w:r>
        <w:t>Article 39.65: Indigenous Data and AI Governance</w:t>
      </w:r>
      <w:bookmarkEnd w:id="901430"/>
    </w:p>
    <w:p>
      <w:pPr>
        <w:pStyle w:val="Normal"/>
      </w:pPr>
      <w:r>
        <w:t>1. [Indigenous Data and AI Governance] Indigenous data governance cross-reference - Measures concerning indigenous data governance cross-reference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pPr>
      <w:r>
        <w:t>2. [Indigenous Data and AI Governance] Cultural and traditional-knowledge protection - Measures concerning cultural and traditional-knowledge protection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pPr>
      <w:r>
        <w:t>3. [Indigenous Data and AI Governance] Voluntary community data sharing - Measures concerning voluntary community data sharing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pPr>
      <w:r>
        <w:t>4. [Indigenous Data and AI Governance] No inferred consent from public availability - Measures concerning no inferred consent from public availability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pPr>
      <w:r>
        <w:t>5. [Indigenous Data and AI Governance] Community participation in relevant AI projects - Measures concerning community participation in relevant ai projects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pPr>
      <w:r>
        <w:t>6. [Indigenous Data and AI Governance] Stronger domestic and Indigenous protections preserved - Measures concerning stronger domestic and indigenous protections preserved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Heading2"/>
      </w:pPr>
      <w:bookmarkStart w:id="901431" w:name="_Toc300001430"/>
      <w:r>
        <w:t>Article 39.66: Research, Open Science, Sandboxes and Environmental Applications</w:t>
      </w:r>
      <w:bookmarkEnd w:id="901431"/>
    </w:p>
    <w:p>
      <w:pPr>
        <w:pStyle w:val="Normal"/>
      </w:pPr>
      <w:r>
        <w:t>1. [Research, Open Science, Sandboxes and Environmental Applications] Precompetitive AI safety research - The Parties may cooperate on precompetitive ai safety research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pPr>
      <w:r>
        <w:t>2. [Research, Open Science, Sandboxes and Environmental Applications] Regulatory sandboxes - The Parties may cooperate on regulatory sandboxes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pPr>
      <w:r>
        <w:t>3. [Research, Open Science, Sandboxes and Environmental Applications] Open science without forced trade-secret disclosure - The Parties may cooperate on open science without forced trade-secret disclosure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pPr>
      <w:r>
        <w:t>4. [Research, Open Science, Sandboxes and Environmental Applications] Shared testbeds and benchmarks - The Parties may cooperate on shared testbeds and benchmarks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pPr>
      <w:r>
        <w:t>5. [Research, Open Science, Sandboxes and Environmental Applications] Resource-efficient AI research - The Parties may cooperate on resource-efficient ai research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pPr>
      <w:r>
        <w:t>6. [Research, Open Science, Sandboxes and Environmental Applications] Environmental and disaster-response applications - The Parties may cooperate on environmental and disaster-response applications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Heading2"/>
      </w:pPr>
      <w:bookmarkStart w:id="901432" w:name="_Toc300001431"/>
      <w:r>
        <w:t>Article 39.67: Military and National-Security AI Safeguards</w:t>
      </w:r>
      <w:bookmarkEnd w:id="901432"/>
    </w:p>
    <w:p>
      <w:pPr>
        <w:pStyle w:val="Normal"/>
      </w:pPr>
      <w:r>
        <w:t>1. [Military and National-Security AI Safeguards] Human responsibility for consequential military AI - Where AI materially contributes to a consequential military decision, an identifiable human chain of command and legal responsibility shall remain accountable under applicable domestic and international law. No Party may treat autonomous or semi-autonomous operation as eliminating responsibility that would otherwise attach to a commander, operator, procuring authority, provider, or other responsible person.</w:t>
      </w:r>
    </w:p>
    <w:p>
      <w:pPr>
        <w:pStyle w:val="Normal"/>
      </w:pPr>
      <w:r>
        <w:t>2. [Military and National-Security AI Safeguards] Lawful authority remains required - Nothing in this Part authorizes a military, intelligence, security, surveillance, targeting, detention, cyber, or weapons activity that would otherwise lack lawful authority. AI may assist an authorized function, but it does not create new substantive governmental power by itself.</w:t>
      </w:r>
    </w:p>
    <w:p>
      <w:pPr>
        <w:pStyle w:val="Normal"/>
      </w:pPr>
      <w:r>
        <w:t>3. [Military and National-Security AI Safeguards] Auditability appropriate to security context - Parties should maintain records sufficient for lawful oversight and post-incident accountability where AI materially contributes to a consequential national-security decision, subject to legitimate classification and operational-security requirements. This paragraph does not require public disclosure of classified tactics, intelligence sources, model weights, targeting data, or other protected information.</w:t>
      </w:r>
    </w:p>
    <w:p>
      <w:pPr>
        <w:pStyle w:val="Normal"/>
      </w:pPr>
      <w:r>
        <w:t>4. [Military and National-Security AI Safeguards] Civilian-protection and humanitarian-law savings - Nothing in this Part diminishes obligations concerning civilian protection, distinction, proportionality, precautions, humane treatment, or other applicable rules of international or domestic law. An AI recommendation shall not be treated as a substitute for a legally required human judgment merely because the system processes information faster or at greater scale.</w:t>
      </w:r>
    </w:p>
    <w:p>
      <w:pPr>
        <w:pStyle w:val="Normal"/>
      </w:pPr>
      <w:r>
        <w:t>5. [Military and National-Security AI Safeguards] No AI accountability shield - No Party shall recognize the statement that an algorithm, model, autonomous system, or machine made the decision as a complete defense to responsibility where applicable law assigns responsibility to a human or legal person. Responsibility shall be assessed under the same substantive legal standards that would apply to the underlying conduct, with due regard to the actual role played by the AI system.</w:t>
      </w:r>
    </w:p>
    <w:p>
      <w:pPr>
        <w:pStyle w:val="Normal"/>
      </w:pPr>
      <w:r>
        <w:t>6. [Military and National-Security AI Safeguards] Operational doctrine and targeting details excluded from this Chapter - Operational targeting doctrine, weapons-employment procedures, classified intelligence methods, force-planning algorithms, and tactical mission design are outside the trade-governance mandate of this Chapter except for expressly stated accountability, interoperability, safety, procurement, or civilian-protection safeguards. The military application catalogue from source ore is therefore not transformed into mandatory NAESTMA operational doctrine.</w:t>
      </w:r>
    </w:p>
    <w:p>
      <w:pPr>
        <w:pStyle w:val="Heading2"/>
      </w:pPr>
      <w:bookmarkStart w:id="901433" w:name="_Toc300001432"/>
      <w:r>
        <w:t>Article 39.68: Cognitive Liberty and Freedom of AI-Assisted Thought</w:t>
      </w:r>
      <w:bookmarkEnd w:id="901433"/>
    </w:p>
    <w:p>
      <w:pPr>
        <w:pStyle w:val="Normal"/>
      </w:pPr>
      <w:r>
        <w:t>1. [Cognitive Liberty and Freedom of AI-Assisted Thought] Freedom to inquire and explore with AI - A person may use AI to inquire, reason, create, study, reflect, converse, or explore ideas without that use itself becoming evidence of mental disorder, incapacity, incompetence, dangerousness, or inability to exercise legal rights. Equivalent intellectual or expressive conduct shall not receive a more adverse inference merely because an AI system participated in the conversation.</w:t>
      </w:r>
    </w:p>
    <w:p>
      <w:pPr>
        <w:pStyle w:val="Normal"/>
      </w:pPr>
      <w:r>
        <w:t>2. [Cognitive Liberty and Freedom of AI-Assisted Thought] Unconventional AI use is not pathology - Frequent, prolonged, unconventional, intensive, or highly personalized AI use shall not, by itself, constitute a psychiatric diagnosis or legal finding of incapacity or dangerousness. Actual symptoms, conduct, functioning, and independently established risk factors may be considered under ordinary law and clinical standards, but the technology used for conversation shall not substitute for those criteria.</w:t>
      </w:r>
    </w:p>
    <w:p>
      <w:pPr>
        <w:pStyle w:val="Normal"/>
      </w:pPr>
      <w:r>
        <w:t>3. [Cognitive Liberty and Freedom of AI-Assisted Thought] Creative roleplay and imaginative engagement - Creative roleplay, fictional narrative construction, character interaction, speculative world-building, and imaginative engagement with AI shall not independently establish pathology or incapacity. A fictional statement or roleplayed belief shall not be treated as a real-world belief without evidence that the person actually holds or acts upon it outside the fictional context.</w:t>
      </w:r>
    </w:p>
    <w:p>
      <w:pPr>
        <w:pStyle w:val="Normal"/>
      </w:pPr>
      <w:r>
        <w:t>4. [Cognitive Liberty and Freedom of AI-Assisted Thought] Religious philosophical and existential engagement - Religious, spiritual, philosophical, theological, existential, paranormal, metaphysical, or unconventional discussions with AI shall not be treated as psychiatric evidence merely because the subject matter is unusual or contested. The same substantive standards that protect comparable human conversation, private writing, study, prayer, art, or philosophical exploration shall apply.</w:t>
      </w:r>
    </w:p>
    <w:p>
      <w:pPr>
        <w:pStyle w:val="Normal"/>
      </w:pPr>
      <w:r>
        <w:t>5. [Cognitive Liberty and Freedom of AI-Assisted Thought] Anthropomorphic language and personification - Naming an AI, using anthropomorphic language, attributing personality, discussing consciousness or sentience, or speaking to a system as though it were a social actor shall not independently establish mental disorder or incapacity. An adverse inference requires evidence concerning the person's actual functioning or conduct that would be relevant regardless of the AI context.</w:t>
      </w:r>
    </w:p>
    <w:p>
      <w:pPr>
        <w:pStyle w:val="Normal"/>
      </w:pPr>
      <w:r>
        <w:t>6. [Cognitive Liberty and Freedom of AI-Assisted Thought] No adverse inference from emotional significance alone - Emotional attachment, comfort, grief processing, companionship-oriented use, or other emotional significance attached to an AI interaction shall not, by itself, justify discrimination, coercive intervention, or a finding of incapacity. Nothing prevents ordinary clinical consideration of independently established symptoms or risks when the same standard would apply to a comparable human relationship or activity.</w:t>
      </w:r>
    </w:p>
    <w:p>
      <w:pPr>
        <w:pStyle w:val="Heading2"/>
      </w:pPr>
      <w:bookmarkStart w:id="901434" w:name="_Toc300001433"/>
      <w:r>
        <w:t>Article 39.69: Mental-Health Nondiscrimination and Diagnostic Integrity</w:t>
      </w:r>
      <w:bookmarkEnd w:id="901434"/>
    </w:p>
    <w:p>
      <w:pPr>
        <w:pStyle w:val="Normal"/>
      </w:pPr>
      <w:r>
        <w:t>1. [Mental-Health Nondiscrimination and Diagnostic Integrity] AI use alone is not diagnosis - Mere use of artificial intelligence shall not constitute evidence by itself of psychosis, mental disorder, incapacity, incompetence, dangerousness, or inability to exercise legal rights. No person shall lose liberty, capacity, employment, education, benefits, insurance access, or another protected interest solely or substantially because that person uses AI.</w:t>
      </w:r>
    </w:p>
    <w:p>
      <w:pPr>
        <w:pStyle w:val="Normal"/>
      </w:pPr>
      <w:r>
        <w:t>2. [Mental-Health Nondiscrimination and Diagnostic Integrity] Anti-proxy rule for AI-use metrics - Hours, frequency, duration, conversation count, conversation depth, model choice, prompt style, anthropomorphic language, emotional attachment, or similar AI-use metrics shall not be used as a proxy or substitute for psychiatric diagnosis, dangerousness, incapacity, incompetence, or legal disability. A covered institution may consider independently relevant conduct or functioning, but it shall not disguise AI-use frequency or style as clinical evidence.</w:t>
      </w:r>
    </w:p>
    <w:p>
      <w:pPr>
        <w:pStyle w:val="Normal"/>
      </w:pPr>
      <w:r>
        <w:t>3. [Mental-Health Nondiscrimination and Diagnostic Integrity] No pseudo-diagnostic substitute - Terms such as 'AI psychosis', 'chatbot psychosis', 'digital psychosis', or another technology-associated descriptive label shall not substitute for a recognized clinical diagnosis or the legal criteria otherwise required for coercive intervention. Such terminology may be discussed descriptively in research or clinical records, but it shall not acquire independent diagnostic force merely through repetition or publication.</w:t>
      </w:r>
    </w:p>
    <w:p>
      <w:pPr>
        <w:pStyle w:val="Normal"/>
      </w:pPr>
      <w:r>
        <w:t>4. [Mental-Health Nondiscrimination and Diagnostic Integrity] Independent clinical criteria - A clinical assessment involving AI use shall distinguish actual symptoms, observable conduct, functioning, and independently established risk factors from the mere fact, frequency, subject matter, or unconventional character of AI use. Correlation, temporal association, novelty, or unusual interaction shall not by itself establish medical causation.</w:t>
      </w:r>
    </w:p>
    <w:p>
      <w:pPr>
        <w:pStyle w:val="Normal"/>
      </w:pPr>
      <w:r>
        <w:t>5. [Mental-Health Nondiscrimination and Diagnostic Integrity] No automated psychiatric inference from AI-use patterns - No covered government, employer, school, insurer, healthcare system, or automated system shall infer psychosis, mental disorder, dangerousness, or incapacity solely from AI-use patterns or conversation metadata. Automated flags may support lawful review of independently relevant conduct only where they do not replace individualized assessment and the person retains applicable procedural protections.</w:t>
      </w:r>
    </w:p>
    <w:p>
      <w:pPr>
        <w:pStyle w:val="Normal"/>
      </w:pPr>
      <w:r>
        <w:t>6. [Mental-Health Nondiscrimination and Diagnostic Integrity] No deprivation of rights solely or substantially from AI use - Involuntary hospitalization, institutionalization, guardianship, loss or restriction of legal capacity, compulsory treatment, employment discrimination, educational exclusion, denial of public benefits, or adverse insurance treatment shall not rest solely or substantially on AI use itself. Any lawful deprivation or restriction must satisfy the same substantive criteria and burden that would apply if no AI system had been used.</w:t>
      </w:r>
    </w:p>
    <w:p>
      <w:pPr>
        <w:pStyle w:val="Heading2"/>
      </w:pPr>
      <w:bookmarkStart w:id="901435" w:name="_Toc300001434"/>
      <w:r>
        <w:t>Article 39.70: AI Conversation Privacy and Mental-Health Procedural Safeguards</w:t>
      </w:r>
      <w:bookmarkEnd w:id="901435"/>
    </w:p>
    <w:p>
      <w:pPr>
        <w:pStyle w:val="Normal"/>
      </w:pPr>
      <w:r>
        <w:t>1. [AI Conversation Privacy and Mental-Health Procedural Safeguards] Heightened privacy for AI conversations - Private AI conversations may contain health, family, legal, financial, religious, creative, political, sexual, occupational, and other highly sensitive information and shall receive strong privacy and confidentiality protection under applicable law. Access, disclosure, or compulsory use should be necessary, particularized, proportionate, and limited to information materially relevant to the lawful purpose asserted.</w:t>
      </w:r>
    </w:p>
    <w:p>
      <w:pPr>
        <w:pStyle w:val="Normal"/>
      </w:pPr>
      <w:r>
        <w:t>2. [AI Conversation Privacy and Mental-Health Procedural Safeguards] No psychiatric fishing expedition - No covered authority or institution shall demand broad access to AI conversation history merely to search for unconventional beliefs, emotional language, or material that might support a psychiatric inference. Where compulsory access is lawful, collection shall be no broader than reasonably necessary and shall respect applicable privilege, confidentiality, evidentiary, constitutional, and human-rights safeguards.</w:t>
      </w:r>
    </w:p>
    <w:p>
      <w:pPr>
        <w:pStyle w:val="Normal"/>
      </w:pPr>
      <w:r>
        <w:t>3. [AI Conversation Privacy and Mental-Health Procedural Safeguards] Notice when AI-use data is considered - Where AI-use data is materially considered in a clinical, legal, administrative, employment, educational, insurance, or other consequential proceeding, the affected person shall receive notice to the extent permitted by applicable law. The notice should identify the data or inference being relied upon with enough specificity to permit meaningful response.</w:t>
      </w:r>
    </w:p>
    <w:p>
      <w:pPr>
        <w:pStyle w:val="Normal"/>
      </w:pPr>
      <w:r>
        <w:t>4. [AI Conversation Privacy and Mental-Health Procedural Safeguards] Opportunity to rebut and contextualize - A person shall have a meaningful opportunity to rebut, explain, contextualize, or correct an adverse inference drawn from AI-use data when that inference may materially affect liberty, legal capacity, employment, education, benefits, insurance, or another protected interest. The decision-maker shall consider relevant context, including fiction, roleplay, quotation, research, creative writing, hypothetical discussion, and statements generated by the AI rather than authored by the person.</w:t>
      </w:r>
    </w:p>
    <w:p>
      <w:pPr>
        <w:pStyle w:val="Normal"/>
      </w:pPr>
      <w:r>
        <w:t>5. [AI Conversation Privacy and Mental-Health Procedural Safeguards] Independent review of coercive determinations - A coercive determination materially relying on AI-use data shall be reviewable under the procedures otherwise applicable to that determination, including independent human review where domestic law provides it. A reviewing authority should disregard an AI-use proxy or pseudo-diagnostic label that could not lawfully support the determination on its own.</w:t>
      </w:r>
    </w:p>
    <w:p>
      <w:pPr>
        <w:pStyle w:val="Normal"/>
      </w:pPr>
      <w:r>
        <w:t>6. [AI Conversation Privacy and Mental-Health Procedural Safeguards] Safety exception requires independent evidence under ordinary law - Nothing in this Article prevents emergency intervention, clinical care, safeguarding, or other lawful action where independent evidence satisfies the substantive legal standard that would apply regardless of AI use. The exception does not permit AI-use frequency, unusual content, or emotional attachment alone to become a shortcut around ordinary requirements for danger, incapacity, consent, due process, or clinical judgment.</w:t>
      </w:r>
    </w:p>
    <w:p>
      <w:pPr>
        <w:pStyle w:val="Heading2"/>
      </w:pPr>
      <w:bookmarkStart w:id="901436" w:name="_Toc300001435"/>
      <w:r>
        <w:t>Article 39.71: Provider and Clinical Mental-Health Safeguards</w:t>
      </w:r>
      <w:bookmarkEnd w:id="901436"/>
    </w:p>
    <w:p>
      <w:pPr>
        <w:pStyle w:val="Normal"/>
      </w:pPr>
      <w:r>
        <w:t>1. [Provider and Clinical Mental-Health Safeguards] No deliberate dangerous reinforcement - A provider should not deliberately intensify or encourage an apparent fixed false belief where the provider has reliable evidence of acute vulnerability and the reinforcement creates a reasonably foreseeable risk of serious harm. Safeguards should be proportionate and should not convert unusual, spiritual, fictional, political, or philosophical conversation into a psychiatric label.</w:t>
      </w:r>
    </w:p>
    <w:p>
      <w:pPr>
        <w:pStyle w:val="Normal"/>
      </w:pPr>
      <w:r>
        <w:t>2. [Provider and Clinical Mental-Health Safeguards] No encouragement of self-harm or violence - Providers shall not design AI systems to encourage suicide, self-harm, violence toward others, or other imminently dangerous conduct. Appropriate crisis-resource or de-escalation features may be used without automatically diagnosing the user or reporting lawful private speech merely because distressing subjects are discussed.</w:t>
      </w:r>
    </w:p>
    <w:p>
      <w:pPr>
        <w:pStyle w:val="Normal"/>
      </w:pPr>
      <w:r>
        <w:t>3. [Provider and Clinical Mental-Health Safeguards] No false clinician impersonation - A provider shall not falsely represent an AI system as a licensed human clinician, therapist, psychiatrist, psychologist, or other professional when it is not one. A system may provide clearly described informational or supportive functions consistent with applicable law without claiming a professional identity it does not possess.</w:t>
      </w:r>
    </w:p>
    <w:p>
      <w:pPr>
        <w:pStyle w:val="Normal"/>
      </w:pPr>
      <w:r>
        <w:t>4. [Provider and Clinical Mental-Health Safeguards] No unsupported diagnostic claims - An AI provider shall not claim diagnostic authority, clinical validation, or therapeutic efficacy that it cannot substantiate under the standards applicable to the represented use. General informational discussion of symptoms or mental-health concepts does not by itself constitute diagnosis when limitations and role are accurately represented.</w:t>
      </w:r>
    </w:p>
    <w:p>
      <w:pPr>
        <w:pStyle w:val="Normal"/>
      </w:pPr>
      <w:r>
        <w:t>5. [Provider and Clinical Mental-Health Safeguards] Proportionate crisis-resource design - Providers may implement proportionate crisis-resource prompts, escalation options, user-controlled safety settings, or referral information for reasonably foreseeable high-risk situations. Such features should minimize unnecessary surveillance and should not create a presumption that every discussion of death, violence, trauma, despair, unusual beliefs, or self-harm reflects imminent danger.</w:t>
      </w:r>
    </w:p>
    <w:p>
      <w:pPr>
        <w:pStyle w:val="Normal"/>
      </w:pPr>
      <w:r>
        <w:t>6. [Provider and Clinical Mental-Health Safeguards] User protection remains separate from provider regulation - Regulating dangerous provider behavior does not authorize discrimination against, diagnosis of, or deprivation of rights of a user merely because the user engaged with an AI system. The treaty shall protect the user from proxy discrimination while permitting proportionate regulation of provider conduct that creates independently established safety risks.</w:t>
      </w:r>
    </w:p>
    <w:p>
      <w:pPr>
        <w:pStyle w:val="Heading2"/>
      </w:pPr>
      <w:bookmarkStart w:id="901437" w:name="_Toc300001436"/>
      <w:r>
        <w:t>Article 39.72: Agentic, Embodied and Emerging AI</w:t>
      </w:r>
      <w:bookmarkEnd w:id="901437"/>
    </w:p>
    <w:p>
      <w:pPr>
        <w:pStyle w:val="Normal"/>
      </w:pPr>
      <w:r>
        <w:t>1. [Agentic, Embodied and Emerging AI] Agent authority boundaries - A system exercising agent authority boundaries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pPr>
      <w:r>
        <w:t>2. [Agentic, Embodied and Emerging AI] Tool and transaction permissions - A system exercising tool and transaction permissions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pPr>
      <w:r>
        <w:t>3. [Agentic, Embodied and Emerging AI] Multi-agent accountability - A system exercising multi-agent accountability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pPr>
      <w:r>
        <w:t>4. [Agentic, Embodied and Emerging AI] Embodied AI physical-safety interface - A system exercising embodied ai physical-safety interface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pPr>
      <w:r>
        <w:t>5. [Agentic, Embodied and Emerging AI] Self-modifying system revalidation - A system exercising self-modifying system revalidation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pPr>
      <w:r>
        <w:t>6. [Agentic, Embodied and Emerging AI] Emerging-technology horizon review - A system exercising emerging-technology horizon review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Heading2"/>
      </w:pPr>
      <w:bookmarkStart w:id="901438" w:name="_Toc300001437"/>
      <w:r>
        <w:t>Article 39.73: Interoperability, International Standards and Regulatory Cooperation</w:t>
      </w:r>
      <w:bookmarkEnd w:id="901438"/>
    </w:p>
    <w:p>
      <w:pPr>
        <w:pStyle w:val="Normal"/>
      </w:pPr>
      <w:r>
        <w:t>1. [Interoperability, International Standards and Regulatory Cooperation] Existing AI Regulatory Cooperation Track - The Parties shall pursue existing ai regulatory cooperation track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pPr>
      <w:r>
        <w:t>2. [Interoperability, International Standards and Regulatory Cooperation] Recognition of materially equivalent outcomes - The Parties shall pursue recognition of materially equivalent outcomes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pPr>
      <w:r>
        <w:t>3. [Interoperability, International Standards and Regulatory Cooperation] No automatic equivalence - The Parties shall pursue no automatic equivalence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pPr>
      <w:r>
        <w:t>4. [Interoperability, International Standards and Regulatory Cooperation] Standards participation - The Parties shall pursue standards participation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pPr>
      <w:r>
        <w:t>5. [Interoperability, International Standards and Regulatory Cooperation] Cross-border regulatory information exchange - The Parties shall pursue cross-border regulatory information exchange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pPr>
      <w:r>
        <w:t>6. [Interoperability, International Standards and Regulatory Cooperation] Five-year adaptive review without forced harmonization - The Parties shall pursue five-year adaptive review without forced harmonization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Heading2"/>
      </w:pPr>
      <w:bookmarkStart w:id="901439" w:name="_Toc300001438"/>
      <w:r>
        <w:t>Article 39.74: Institutions, Remedies, Optionality and Closing Rules</w:t>
      </w:r>
      <w:bookmarkEnd w:id="901439"/>
    </w:p>
    <w:p>
      <w:pPr>
        <w:pStyle w:val="Normal"/>
      </w:pPr>
      <w:r>
        <w:t>1. [Institutions, Remedies, Optionality and Closing Rules] Existing institutions first - The Parties shall administer this Part through existing competent institutions wherever those institutions can perform the required function, consistent with Article 30.C.1. No commission, office, registry, observatory, board, tribunal, or permanent AI body is created merely because a provision contemplates cooperation, reporting, review, or technical work.</w:t>
      </w:r>
    </w:p>
    <w:p>
      <w:pPr>
        <w:pStyle w:val="Normal"/>
      </w:pPr>
      <w:r>
        <w:t>2. [Institutions, Remedies, Optionality and Closing Rules] Risk-proportionate cure and corrective action - Except for urgent threats to life, safety, critical infrastructure, or irreversible rights, enforcement should begin with notice, verification, and a reasonable opportunity to cure before proportionate escalation. Corrective action may include cessation of the inconsistent practice, correction of affected records, revalidation, improved controls, make-whole relief where otherwise authorized by law, or another remedy appropriate to the underlying Chapter.</w:t>
      </w:r>
    </w:p>
    <w:p>
      <w:pPr>
        <w:pStyle w:val="Normal"/>
      </w:pPr>
      <w:r>
        <w:t>3. [Institutions, Remedies, Optionality and Closing Rules] No tariff or unrelated retaliation - No violation of this Part independently authorizes a tariff, border measure, or suspension of unrelated treaty benefits. Any trade remedy otherwise available under this Agreement remains subject to Chapter 31, Chapter 35, the tariff cage, proportionality, issue nexus, and all applicable cure and review requirements.</w:t>
      </w:r>
    </w:p>
    <w:p>
      <w:pPr>
        <w:pStyle w:val="Normal"/>
      </w:pPr>
      <w:r>
        <w:t>4. [Institutions, Remedies, Optionality and Closing Rules] Optional cooperation firewall - A program identified as voluntary, pilot, cooperative, experimental, research-oriented, or optional is genuinely optional unless the text expressly states otherwise. Refusal to participate, lawful withdrawal, or non-renewal shall not constitute breach, justify retaliation, reduce unrelated benefits, or create an adverse inference concerning compliance with the mandatory core.</w:t>
      </w:r>
    </w:p>
    <w:p>
      <w:pPr>
        <w:pStyle w:val="Normal"/>
      </w:pPr>
      <w:r>
        <w:t>5. [Institutions, Remedies, Optionality and Closing Rules] Specialized-chapter precedence and no double recovery - Where Chapter 19, Chapter 23, Chapter 23-B, Package CL, a healthcare provision, a cybersecurity provision, or another specialized rule provides a stronger or more specific safeguard, that rule governs to the extent of the greater or more tailored protection. Parallel procedures shall coordinate to avoid contradictory findings, stacked punishment, or double recovery for the same injury while preserving urgent protective relief.</w:t>
      </w:r>
    </w:p>
    <w:p>
      <w:pPr>
        <w:pStyle w:val="Normal"/>
      </w:pPr>
      <w:r>
        <w:t>6. [Institutions, Remedies, Optionality and Closing Rules] Relationship to Chapters 19 23 23-B 31 32 and stronger domestic law - Part B supplements rather than displaces the digital-trade, labor, just-transition, dispute-settlement, exceptions, human-rights, health, privacy, cybersecurity, consumer, competition, and other specialized architecture of this Agreement. A Party may maintain or adopt stronger lawful AI protections, and functionally equivalent implementation remains available where required by constitutional competence, provided the substantive obligation is not reduced.</w:t>
      </w:r>
    </w:p>
    <w:p>
      <w:pPr>
        <w:pStyle w:val="Heading2"/>
      </w:pPr>
      <w:bookmarkStart w:id="901440" w:name="_Toc300001439"/>
      <w:r>
        <w:t>Article 39.75: Relationship to Existing Chapter 39 Architecture</w:t>
      </w:r>
      <w:bookmarkEnd w:id="901440"/>
    </w:p>
    <w:p>
      <w:pPr>
        <w:pStyle w:val="Normal"/>
      </w:pPr>
      <w:r>
        <w:t>1. Articles 39.1 through 39.18 remain in force and shall be read together with Part B. The AI Regulatory Cooperation Track in Article 39.3 remains the principal trilateral cooperation channel, while Part B supplies the detailed rights, safety, accountability, sectoral, and optionality architecture. Where a provision of Part B is more specific than an earlier Chapter 39 provision, the more specific rule governs to the extent of the subject matter it expressly addresses.</w:t>
      </w:r>
    </w:p>
    <w:p>
      <w:pPr>
        <w:pStyle w:val="Normal"/>
      </w:pPr>
      <w:r>
        <w:t>2. Nothing in Part B converts the semiconductor, quantum, strategic-compute, experimental-technology, or other advanced-technology programs in Articles 39.4 through 39.18 into mandatory AI regulation where their own terms are flexible or optional. Conversely, participation in an experimental or innovation program does not waive a mandatory safeguard that applies to a consequential, high-risk, safety-critical, clinical, employment, educational, biometric, or rights-sensitive AI use.</w:t>
      </w:r>
    </w:p>
    <w:p>
      <w:pPr>
        <w:pStyle w:val="Heading2"/>
      </w:pPr>
      <w:bookmarkStart w:id="901441" w:name="_Toc300001440"/>
      <w:r>
        <w:t>PART C: AI-ENABLED TRADE, CUSTOMS AND BORDER INTEROPERABILITY</w:t>
      </w:r>
      <w:bookmarkEnd w:id="901441"/>
    </w:p>
    <w:p>
      <w:pPr>
        <w:pStyle w:val="Heading2"/>
      </w:pPr>
      <w:bookmarkStart w:id="901442" w:name="_Toc300001441"/>
      <w:r>
        <w:t>Article 39.76: Trade-AI Scope and Covered Systems</w:t>
      </w:r>
      <w:bookmarkEnd w:id="901442"/>
    </w:p>
    <w:p>
      <w:pPr>
        <w:pStyle w:val="Normal"/>
      </w:pPr>
      <w:r>
        <w:t>1. [Trade-AI Scope and Covered Systems] Trade-critical AI - The Parties shall address trade-critical AI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2. [Trade-AI Scope and Covered Systems] Border AI - The Parties shall address border AI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[Trade-AI Scope and Covered Systems] AI-influenced customs decision - The Parties shall address aI-influenced customs decision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[Trade-AI Scope and Covered Systems] Autonomous trade agent - Each Party shall administer autonomous trade agent through its competent transportation, customs, safety, and security authorities using requirements proportionate to the function and consequence of the autonomous or AI-enabled system. Cross-border operation shall preserve identifiable legal responsibility, system and software version traceability, incident or event records appropriate to the mode, and a means to address material software, cybersecurity, or control changes. A Party may rely on testing, certification, inspection, or conformity evidence from another Party where materially equivalent outcomes are demonstrated, but no recognition is automatic and a reasoned refusal may be maintained for an identified safety, security, infrastructure, or legal incompatibility. Nothing in this paragraph requires harmonization of vehicle, rail, maritime, aviation, licensing, airspace, navigation, or operational rules beyond the interoperable outcome expressly required by this Agreement.</w:t>
      </w:r>
    </w:p>
    <w:p>
      <w:pPr>
        <w:pStyle w:val="Normal"/>
      </w:pPr>
      <w:r>
        <w:t>5. [Trade-AI Scope and Covered Systems] Trade-critical AI incident - Each Party shall maintain trade-critical AI incident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6. [Trade-AI Scope and Covered Systems] Material AI trade friction - The Parties shall address material AI trade friction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43" w:name="_Toc300001442"/>
      <w:r>
        <w:t>Article 39.77: Customs AI Legal Authority and Attribution</w:t>
      </w:r>
      <w:bookmarkEnd w:id="901443"/>
    </w:p>
    <w:p>
      <w:pPr>
        <w:pStyle w:val="Normal"/>
      </w:pPr>
      <w:r>
        <w:t>1. [Customs AI Legal Authority and Attribution] Competent-authority responsibility - The Parties shall address competent-authority responsibility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2. [Customs AI Legal Authority and Attribution] Delegated system authority limits - The Parties shall address delegated system authority limits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[Customs AI Legal Authority and Attribution] Human chain of accountability - The Parties shall address human chain of accountability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[Customs AI Legal Authority and Attribution] Vendor responsibility savings - The Parties shall address vendor responsibility savings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[Customs AI Legal Authority and Attribution] No AI accountability shield - The Parties shall address no AI accountability shield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[Customs AI Legal Authority and Attribution] Applicable-law preservation - The Parties shall address applicable-law preservation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44" w:name="_Toc300001443"/>
      <w:r>
        <w:t>Article 39.78: Border-AI Mission Limits and Non-Retaliation</w:t>
      </w:r>
      <w:bookmarkEnd w:id="901444"/>
    </w:p>
    <w:p>
      <w:pPr>
        <w:pStyle w:val="Normal"/>
      </w:pPr>
      <w:r>
        <w:t>1. [Border-AI Mission Limits and Non-Retaliation] Declared customs purpose - The Parties shall address declared customs purpose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2. [Border-AI Mission Limits and Non-Retaliation] No mission creep without lawful authority - The Parties shall address no mission creep without lawful authority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[Border-AI Mission Limits and Non-Retaliation] No retaliatory trader targeting - The Parties shall address no retaliatory trader targeting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[Border-AI Mission Limits and Non-Retaliation] No nationality proxy targeting - The Parties shall address no nationality proxy targeting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[Border-AI Mission Limits and Non-Retaliation] No revenue-maximization mandate - The Parties shall address no revenue-maximization mandate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[Border-AI Mission Limits and Non-Retaliation] Documented material purpose change - The Parties shall address documented material purpose change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45" w:name="_Toc300001444"/>
      <w:r>
        <w:t>Article 39.79: Human Authority in AI-Assisted Border Decisions</w:t>
      </w:r>
      <w:bookmarkEnd w:id="901445"/>
    </w:p>
    <w:p>
      <w:pPr>
        <w:pStyle w:val="Normal"/>
      </w:pPr>
      <w:r>
        <w:t>1. [Human Authority in AI-Assisted Border Decisions] Human review before serious adverse action - The Parties shall address human review before serious adverse action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2. [Human Authority in AI-Assisted Border Decisions] Meaningful override authority - The Parties shall address meaningful override authority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[Human Authority in AI-Assisted Border Decisions] No rubber-stamp review - The Parties shall address no rubber-stamp review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[Human Authority in AI-Assisted Border Decisions] Reviewer access to relevant evidence - The Parties shall address reviewer access to relevant evidence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[Human Authority in AI-Assisted Border Decisions] Override logging - The Parties shall address override logging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[Human Authority in AI-Assisted Border Decisions] Emergency-action savings - The Parties shall address emergency-action savings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46" w:name="_Toc300001445"/>
      <w:r>
        <w:t>Article 39.80: AI-Assisted Tariff Classification</w:t>
      </w:r>
      <w:bookmarkEnd w:id="901446"/>
    </w:p>
    <w:p>
      <w:pPr>
        <w:pStyle w:val="Normal"/>
      </w:pPr>
      <w:r>
        <w:t>1. [AI-Assisted Tariff Classification] AI classification assistance - Each Party shall ensure that aI classification assistance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[AI-Assisted Tariff Classification] Current tariff-schedule version control - Each Party shall ensure that current tariff-schedule version control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[AI-Assisted Tariff Classification] Classification rationale - Each Party shall ensure that classification rationale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[AI-Assisted Tariff Classification] Conflicting classification detection - Each Party shall ensure that conflicting classification detection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[AI-Assisted Tariff Classification] Human confirmation for material adverse change - Each Party shall ensure that human confirmation for material adverse change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[AI-Assisted Tariff Classification] Administrative review - Each Party shall ensure that administrative review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47" w:name="_Toc300001446"/>
      <w:r>
        <w:t>Article 39.81: AI-Assisted Customs Valuation</w:t>
      </w:r>
      <w:bookmarkEnd w:id="901447"/>
    </w:p>
    <w:p>
      <w:pPr>
        <w:pStyle w:val="Normal"/>
      </w:pPr>
      <w:r>
        <w:t>1. [AI-Assisted Customs Valuation] Valuation anomaly assistance - Each Party shall ensure that valuation anomaly assistance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[AI-Assisted Customs Valuation] Declared-value evidence preservation - Each Party shall ensure that declared-value evidence preservation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[AI-Assisted Customs Valuation] Related-party transaction safeguards - Each Party shall ensure that related-party transaction safeguards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[AI-Assisted Customs Valuation] Proposed-adjustment notice - Each Party shall ensure that proposed-adjustment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[AI-Assisted Customs Valuation] Trader rebuttal and correction - Each Party shall ensure that trader rebuttal and correction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[AI-Assisted Customs Valuation] No AI-only valuation uplift - Each Party shall ensure that no AI-only valuation uplift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48" w:name="_Toc300001447"/>
      <w:r>
        <w:t>Article 39.82: AI-Assisted Origin and Preference Determinations</w:t>
      </w:r>
      <w:bookmarkEnd w:id="901448"/>
    </w:p>
    <w:p>
      <w:pPr>
        <w:pStyle w:val="Normal"/>
      </w:pPr>
      <w:r>
        <w:t>1. [AI-Assisted Origin and Preference Determinations] Origin evidence traceability - Each Party shall ensure that origin evidence traceability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[AI-Assisted Origin and Preference Determinations] Preference-claim analysis - Each Party shall ensure that preference-claim analysis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[AI-Assisted Origin and Preference Determinations] Supplier-data provenance - Each Party shall ensure that supplier-data provenance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[AI-Assisted Origin and Preference Determinations] Material discrepancy notice - Each Party shall ensure that material discrepancy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[AI-Assisted Origin and Preference Determinations] Good-faith correction pathway - Each Party shall ensure that good-faith correction pathway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[AI-Assisted Origin and Preference Determinations] No AI-only preference denial - Each Party shall ensure that no AI-only preference denial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49" w:name="_Toc300001448"/>
      <w:r>
        <w:t>Article 39.83: AI-Assisted RVC and Origin Calculations</w:t>
      </w:r>
      <w:bookmarkEnd w:id="901449"/>
    </w:p>
    <w:p>
      <w:pPr>
        <w:pStyle w:val="Normal"/>
      </w:pPr>
      <w:r>
        <w:t>1. [AI-Assisted RVC and Origin Calculations] Machine-readable RVC inputs - Each Party shall ensure that machine-readable RVC inputs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[AI-Assisted RVC and Origin Calculations] Arithmetic reproducibility - Each Party shall ensure that arithmetic reproducibility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[AI-Assisted RVC and Origin Calculations] Formula/version identification - Each Party shall ensure that formula/version identification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[AI-Assisted RVC and Origin Calculations] Input correction - Each Party shall ensure that input correction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[AI-Assisted RVC and Origin Calculations] Material uncertainty handling - Each Party shall ensure that material uncertainty handling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[AI-Assisted RVC and Origin Calculations] Human review of adverse calculation - Each Party shall ensure that human review of adverse calculation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50" w:name="_Toc300001449"/>
      <w:r>
        <w:t>Article 39.84: AI-Influenced Duties, Fees and Penalties</w:t>
      </w:r>
      <w:bookmarkEnd w:id="901450"/>
    </w:p>
    <w:p>
      <w:pPr>
        <w:pStyle w:val="Normal"/>
      </w:pPr>
      <w:r>
        <w:t>1. [AI-Influenced Duties, Fees and Penalties] Attributable duty assessment - Each Party shall ensure that attributable duty assessment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[AI-Influenced Duties, Fees and Penalties] Fee calculation traceability - Each Party shall ensure that fee calculation traceability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[AI-Influenced Duties, Fees and Penalties] Penalty corroboration - Each Party shall ensure that penalty corroboration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[AI-Influenced Duties, Fees and Penalties] No penalty on AI alert alone - Each Party shall ensure that no penalty on AI alert alone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[AI-Influenced Duties, Fees and Penalties] Reasoned notice - Each Party shall ensure that reasoned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[AI-Influenced Duties, Fees and Penalties] Review and correction - Each Party shall ensure that review and correction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51" w:name="_Toc300001450"/>
      <w:r>
        <w:t>Article 39.85: AI Customs Holds and Enhanced Verification</w:t>
      </w:r>
      <w:bookmarkEnd w:id="901451"/>
    </w:p>
    <w:p>
      <w:pPr>
        <w:pStyle w:val="Normal"/>
      </w:pPr>
      <w:r>
        <w:t>1. [AI Customs Holds and Enhanced Verification] Documented hold trigger - Each Party shall ensure that documented hold trigger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[AI Customs Holds and Enhanced Verification] Material-factor explanation - Each Party shall ensure that material-factor explanation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[AI Customs Holds and Enhanced Verification] Scope-limited verification - Each Party shall ensure that scope-limited verification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[AI Customs Holds and Enhanced Verification] Periodic human reassessment - Each Party shall ensure that periodic human reassessment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[AI Customs Holds and Enhanced Verification] Release when basis resolves - Each Party shall ensure that release when basis resolves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[AI Customs Holds and Enhanced Verification] No indefinite algorithmic hold - Each Party shall ensure that no indefinite algorithmic hold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52" w:name="_Toc300001451"/>
      <w:r>
        <w:t>Article 39.86: No Silent Algorithmic Tariff or Treatment Creep</w:t>
      </w:r>
      <w:bookmarkEnd w:id="901452"/>
    </w:p>
    <w:p>
      <w:pPr>
        <w:pStyle w:val="Normal"/>
      </w:pPr>
      <w:r>
        <w:t>1. [No Silent Algorithmic Tariff or Treatment Creep] No hidden tariff reclassification - Each Party shall ensure that no hidden tariff reclassification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[No Silent Algorithmic Tariff or Treatment Creep] No undisclosed preference downgrade - The Parties shall address no undisclosed preference downgrade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[No Silent Algorithmic Tariff or Treatment Creep] No AI-created surcharge - The Parties shall address no AI-created surcharge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[No Silent Algorithmic Tariff or Treatment Creep] No algorithmic substitute measure - The Parties shall address no algorithmic substitute measure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[No Silent Algorithmic Tariff or Treatment Creep] Change-control notice - The Parties shall address change-control notice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[No Silent Algorithmic Tariff or Treatment Creep] Chapter 35 savings - The Parties shall address chapter 35 savings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53" w:name="_Toc300001452"/>
      <w:r>
        <w:t>Article 39.87: Customs AI Risk-Scoring Inputs</w:t>
      </w:r>
      <w:bookmarkEnd w:id="901453"/>
    </w:p>
    <w:p>
      <w:pPr>
        <w:pStyle w:val="Normal"/>
      </w:pPr>
      <w:r>
        <w:t>1. [Customs AI Risk-Scoring Inputs] Lawful input sources - Each Party shall govern lawful input sources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[Customs AI Risk-Scoring Inputs] Data quality - Each Party shall govern data quality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[Customs AI Risk-Scoring Inputs] Provenance - Each Party shall govern provenance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[Customs AI Risk-Scoring Inputs] Relevance and necessity - Each Party shall govern relevance and necessity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[Customs AI Risk-Scoring Inputs] No protected/proxy input without lawful basis - Each Party shall govern no protected/proxy input without lawful basis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[Customs AI Risk-Scoring Inputs] Input correction - Each Party shall govern input correction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54" w:name="_Toc300001453"/>
      <w:r>
        <w:t>Article 39.88: Risk Scoring, Origin Neutrality and Anti-Proxy Rules</w:t>
      </w:r>
      <w:bookmarkEnd w:id="901454"/>
    </w:p>
    <w:p>
      <w:pPr>
        <w:pStyle w:val="Normal"/>
      </w:pPr>
      <w:r>
        <w:t>1. [Risk Scoring, Origin Neutrality and Anti-Proxy Rules] No origin-only adverse score - Each Party shall ensure that no origin-only adverse score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[Risk Scoring, Origin Neutrality and Anti-Proxy Rules] No nationality proxy - Each Party shall ensure that no nationality proxy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[Risk Scoring, Origin Neutrality and Anti-Proxy Rules] No protected-characteristic proxy - Each Party shall ensure that no protected-characteristic proxy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[Risk Scoring, Origin Neutrality and Anti-Proxy Rules] Risk-factor nexus - Each Party shall ensure that risk-factor nexus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[Risk Scoring, Origin Neutrality and Anti-Proxy Rules] Documented exceptional use - Each Party shall ensure that documented exceptional use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[Risk Scoring, Origin Neutrality and Anti-Proxy Rules] Anti-circumvention savings - Each Party shall ensure that anti-circumvention savings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55" w:name="_Toc300001454"/>
      <w:r>
        <w:t>Article 39.89: Risk-Score Explainability and Trader Contestability</w:t>
      </w:r>
      <w:bookmarkEnd w:id="901455"/>
    </w:p>
    <w:p>
      <w:pPr>
        <w:pStyle w:val="Normal"/>
      </w:pPr>
      <w:r>
        <w:t>1. [Risk-Score Explainability and Trader Contestability] Material-factor categories - Each Party shall govern material-factor categories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[Risk-Score Explainability and Trader Contestability] Adverse-score notice where appropriate - Each Party shall govern adverse-score notice where appropriate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[Risk-Score Explainability and Trader Contestability] Human challenge pathway - Each Party shall govern human challenge pathway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[Risk-Score Explainability and Trader Contestability] Correction of erroneous data - Each Party shall govern correction of erroneous data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[Risk-Score Explainability and Trader Contestability] Review outcome - Each Party shall govern review outcome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[Risk-Score Explainability and Trader Contestability] Security-sensitive explanation limits - Each Party shall govern security-sensitive explanation limits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56" w:name="_Toc300001455"/>
      <w:r>
        <w:t>Article 39.90: Risk-Model Validation and False-Positive Control</w:t>
      </w:r>
      <w:bookmarkEnd w:id="901456"/>
    </w:p>
    <w:p>
      <w:pPr>
        <w:pStyle w:val="Normal"/>
      </w:pPr>
      <w:r>
        <w:t>1. [Risk-Model Validation and False-Positive Control] Outcome validation - Each Party shall govern outcome validation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[Risk-Model Validation and False-Positive Control] False-positive measurement - Each Party shall govern false-positive measurement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[Risk-Model Validation and False-Positive Control] False-negative learning - Each Party shall govern false-negative learning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[Risk-Model Validation and False-Positive Control] Disparate-impact testing - Each Party shall govern disparate-impact testing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[Risk-Model Validation and False-Positive Control] Material drift review - Each Party shall govern material drift review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[Risk-Model Validation and False-Positive Control] Corrective recalibration - Each Party shall govern corrective recalibration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57" w:name="_Toc300001456"/>
      <w:r>
        <w:t>Article 39.91: Inspection Selectivity and Anti-Harassment Safeguards</w:t>
      </w:r>
      <w:bookmarkEnd w:id="901457"/>
    </w:p>
    <w:p>
      <w:pPr>
        <w:pStyle w:val="Normal"/>
      </w:pPr>
      <w:r>
        <w:t>1. [Inspection Selectivity and Anti-Harassment Safeguards] Risk-based selectivity - Each Party shall govern risk-based selectivity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[Inspection Selectivity and Anti-Harassment Safeguards] No inspection quotas for revenue - Each Party shall govern no inspection quotas for revenue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[Inspection Selectivity and Anti-Harassment Safeguards] No retaliatory inspection intensity - Each Party shall govern no retaliatory inspection intensity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[Inspection Selectivity and Anti-Harassment Safeguards] Repeated-inspection review - Each Party shall govern repeated-inspection review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[Inspection Selectivity and Anti-Harassment Safeguards] Trusted-trader consideration - Each Party shall govern trusted-trader consideration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[Inspection Selectivity and Anti-Harassment Safeguards] Documented manual escalation - Each Party shall govern documented manual escalation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58" w:name="_Toc300001457"/>
      <w:r>
        <w:t>Article 39.92: AI-Enabled Pre-Arrival Processing</w:t>
      </w:r>
      <w:bookmarkEnd w:id="901458"/>
    </w:p>
    <w:p>
      <w:pPr>
        <w:pStyle w:val="Normal"/>
      </w:pPr>
      <w:r>
        <w:t>1. [AI-Enabled Pre-Arrival Processing] Pre-arrival data validation - Each Party shall implement pre-arrival data validation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[AI-Enabled Pre-Arrival Processing] Document completeness assistance - The Parties shall address document completeness assistance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[AI-Enabled Pre-Arrival Processing] Risk triage - Each Party shall govern risk triage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[AI-Enabled Pre-Arrival Processing] Early error correction - The Parties shall address early error correction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[AI-Enabled Pre-Arrival Processing] Pre-arrival status notice - The Parties shall address pre-arrival status notice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[AI-Enabled Pre-Arrival Processing] No mandatory AI purchase by trader - The Parties shall address no mandatory AI purchase by trader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59" w:name="_Toc300001458"/>
      <w:r>
        <w:t>Article 39.93: Automated Clearance and Release</w:t>
      </w:r>
      <w:bookmarkEnd w:id="901459"/>
    </w:p>
    <w:p>
      <w:pPr>
        <w:pStyle w:val="Normal"/>
      </w:pPr>
      <w:r>
        <w:t>1. [Automated Clearance and Release] Low-risk automated release - Each Party shall ensure that low-risk automated release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[Automated Clearance and Release] Competent-authority attribution - Each Party shall ensure that competent-authority attribution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3. [Automated Clearance and Release] Documented exception holds - Each Party shall ensure that documented exception holds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4. [Automated Clearance and Release] Conditional release where lawful - Each Party shall ensure that conditional release where lawful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[Automated Clearance and Release] Electronic release notice - Each Party shall ensure that electronic release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6. [Automated Clearance and Release] No AI-only final denial - Each Party shall ensure that no AI-only final denial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Heading2"/>
      </w:pPr>
      <w:bookmarkStart w:id="901460" w:name="_Toc300001459"/>
      <w:r>
        <w:t>Article 39.94: Border-System Degraded-Mode Processing</w:t>
      </w:r>
      <w:bookmarkEnd w:id="901460"/>
    </w:p>
    <w:p>
      <w:pPr>
        <w:pStyle w:val="Normal"/>
      </w:pPr>
      <w:r>
        <w:t>1. [Border-System Degraded-Mode Processing] Tested degraded mode - Each Party shall maintain tested degraded mode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2. [Border-System Degraded-Mode Processing] Manual/deterministic fallback - Each Party shall maintain manual/deterministic fallback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3. [Border-System Degraded-Mode Processing] Alternative submission channel - Each Party shall maintain alternative submission channel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4. [Border-System Degraded-Mode Processing] Essential-goods priority - Each Party shall maintain essential-goods priority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5. [Border-System Degraded-Mode Processing] Fallback authority - Each Party shall maintain fallback authority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6. [Border-System Degraded-Mode Processing] No unnecessary trade stoppage - Each Party shall maintain no unnecessary trade stoppage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Heading2"/>
      </w:pPr>
      <w:bookmarkStart w:id="901461" w:name="_Toc300001460"/>
      <w:r>
        <w:t>Article 39.95: Trade-Critical AI Incident Notification</w:t>
      </w:r>
      <w:bookmarkEnd w:id="901461"/>
    </w:p>
    <w:p>
      <w:pPr>
        <w:pStyle w:val="Normal"/>
      </w:pPr>
      <w:r>
        <w:t>1. [Trade-Critical AI Incident Notification] Incident threshold - Each Party shall maintain incident threshold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2. [Trade-Critical AI Incident Notification] Internal escalation - Each Party shall maintain internal escalation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3. [Trade-Critical AI Incident Notification] Competent-authority notice - Each Party shall maintain competent-authority notice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4. [Trade-Critical AI Incident Notification] Cross-border alert - Each Party shall maintain cross-border alert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5. [Trade-Critical AI Incident Notification] Evidence preservation - Each Party shall maintain evidence preservation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6. [Trade-Critical AI Incident Notification] Confidential preliminary reporting - Each Party shall implement confidential preliminary reporting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62" w:name="_Toc300001461"/>
      <w:r>
        <w:t>Article 39.96: Trade-Critical AI Recovery and Reconciliation</w:t>
      </w:r>
      <w:bookmarkEnd w:id="901462"/>
    </w:p>
    <w:p>
      <w:pPr>
        <w:pStyle w:val="Normal"/>
      </w:pPr>
      <w:r>
        <w:t>1. [Trade-Critical AI Recovery and Reconciliation] Containment - Each Party shall maintain containment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2. [Trade-Critical AI Recovery and Reconciliation] Service restoration - Each Party shall maintain service restoration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3. [Trade-Critical AI Recovery and Reconciliation] Revalidation - Each Party shall maintain revalidation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4. [Trade-Critical AI Recovery and Reconciliation] Backlog processing - Each Party shall maintain backlog processing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pPr>
      <w:r>
        <w:t>5. [Trade-Critical AI Recovery and Reconciliation] Post-outage data reconciliation - Each Party shall implement post-outage data reconciliation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[Trade-Critical AI Recovery and Reconciliation] Corrective-action tracking - Each Party shall maintain corrective-action tracking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Heading2"/>
      </w:pPr>
      <w:bookmarkStart w:id="901463" w:name="_Toc300001462"/>
      <w:r>
        <w:t>Article 39.97: AI Non-Intrusive Inspection Deployment</w:t>
      </w:r>
      <w:bookmarkEnd w:id="901463"/>
    </w:p>
    <w:p>
      <w:pPr>
        <w:pStyle w:val="Normal"/>
      </w:pPr>
      <w:r>
        <w:t>1. [AI Non-Intrusive Inspection Deployment] Risk-proportionate deployment - Each Party shall govern risk-proportionate deployment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[AI Non-Intrusive Inspection Deployment] Human accountability - Each Party shall govern human accountability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[AI Non-Intrusive Inspection Deployment] Purpose limitation - Each Party shall govern purpose limitation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[AI Non-Intrusive Inspection Deployment] Officer override - Each Party shall govern officer override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[AI Non-Intrusive Inspection Deployment] No universal AI-first inspection mandate - Each Party shall govern no universal AI-first inspection mandate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[AI Non-Intrusive Inspection Deployment] Safety/security savings - Each Party shall govern safety/security savings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64" w:name="_Toc300001463"/>
      <w:r>
        <w:t>Article 39.98: NII Model Validation and Performance</w:t>
      </w:r>
      <w:bookmarkEnd w:id="901464"/>
    </w:p>
    <w:p>
      <w:pPr>
        <w:pStyle w:val="Normal"/>
      </w:pPr>
      <w:r>
        <w:t>1. [NII Model Validation and Performance] Representative validation - Each Party shall govern representative validation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[NII Model Validation and Performance] False-positive monitoring - Each Party shall govern false-positive monitoring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[NII Model Validation and Performance] False-negative learning - Each Party shall govern false-negative learning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[NII Model Validation and Performance] Drift detection - Each Party shall govern drift detection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[NII Model Validation and Performance] Material model-change revalidation - Each Party shall govern material model-change revalidation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[NII Model Validation and Performance] No universal accuracy percentage - Each Party shall govern no universal accuracy percentage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65" w:name="_Toc300001464"/>
      <w:r>
        <w:t>Article 39.99: NII Sensor, Image and Evidence Governance</w:t>
      </w:r>
      <w:bookmarkEnd w:id="901465"/>
    </w:p>
    <w:p>
      <w:pPr>
        <w:pStyle w:val="Normal"/>
      </w:pPr>
      <w:r>
        <w:t>1. [NII Sensor, Image and Evidence Governance] Sensor-data integrity - Each Party shall govern sensor-data integrity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[NII Sensor, Image and Evidence Governance] Image provenance - Each Party shall govern image provenance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[NII Sensor, Image and Evidence Governance] Chain of custody - Each Party shall govern chain of custody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[NII Sensor, Image and Evidence Governance] Retention limitation - Each Party shall govern retention limitation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[NII Sensor, Image and Evidence Governance] Confidentiality - Each Party shall govern confidentiality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[NII Sensor, Image and Evidence Governance] Evidentiary reconstruction - Each Party shall govern evidentiary reconstruction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66" w:name="_Toc300001465"/>
      <w:r>
        <w:t>Article 39.100: Cross-Border NII and Forensic Reliance</w:t>
      </w:r>
      <w:bookmarkEnd w:id="901466"/>
    </w:p>
    <w:p>
      <w:pPr>
        <w:pStyle w:val="Normal"/>
      </w:pPr>
      <w:r>
        <w:t>1. [Cross-Border NII and Forensic Reliance] Equivalent testing evidence - Each Party shall govern equivalent testing evidence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[Cross-Border NII and Forensic Reliance] Scanner-output portability - Each Party shall govern scanner-output portability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[Cross-Border NII and Forensic Reliance] Forensic data request - Each Party shall govern forensic data request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[Cross-Border NII and Forensic Reliance] Reasoned reliance/refusal - Each Party shall govern reasoned reliance/refusal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[Cross-Border NII and Forensic Reliance] Security-sensitive handling - Each Party shall govern security-sensitive handling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[Cross-Border NII and Forensic Reliance] No automatic mutual recognition - Each Party shall govern no automatic mutual recognition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67" w:name="_Toc300001466"/>
      <w:r>
        <w:t>Article 39.101: AI-Assisted Trusted Trader Administration</w:t>
      </w:r>
      <w:bookmarkEnd w:id="901467"/>
    </w:p>
    <w:p>
      <w:pPr>
        <w:pStyle w:val="Normal"/>
      </w:pPr>
      <w:r>
        <w:t>1. [AI-Assisted Trusted Trader Administration] Application assistance - The Parties shall address application assistance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2. [AI-Assisted Trusted Trader Administration] Eligibility analysis - The Parties shall address eligibility analysis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[AI-Assisted Trusted Trader Administration] Risk monitoring - Each Party shall govern risk monitoring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[AI-Assisted Trusted Trader Administration] Human validation - The Parties shall address human validation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[AI-Assisted Trusted Trader Administration] Status notice - The Parties shall address status notice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[AI-Assisted Trusted Trader Administration] Administrative review - The Parties shall address administrative review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68" w:name="_Toc300001467"/>
      <w:r>
        <w:t>Article 39.102: Trusted Trader AI Suspension and Revocation Safeguards</w:t>
      </w:r>
      <w:bookmarkEnd w:id="901468"/>
    </w:p>
    <w:p>
      <w:pPr>
        <w:pStyle w:val="Normal"/>
      </w:pPr>
      <w:r>
        <w:t>1. [Trusted Trader AI Suspension and Revocation Safeguards] Material trigger - The Parties shall address material trigger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2. [Trusted Trader AI Suspension and Revocation Safeguards] No automatic suspension - The Parties shall address no automatic suspension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[Trusted Trader AI Suspension and Revocation Safeguards] Human confirmation - The Parties shall address human confirmation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[Trusted Trader AI Suspension and Revocation Safeguards] Reasons and evidence - The Parties shall address reasons and evidence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[Trusted Trader AI Suspension and Revocation Safeguards] Cure opportunity - The Parties shall address cure opportunity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[Trusted Trader AI Suspension and Revocation Safeguards] Continuation where risk permits - Each Party shall govern continuation where risk permits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69" w:name="_Toc300001468"/>
      <w:r>
        <w:t>Article 39.103: Cross-Border AEO Data and Recognition</w:t>
      </w:r>
      <w:bookmarkEnd w:id="901469"/>
    </w:p>
    <w:p>
      <w:pPr>
        <w:pStyle w:val="Normal"/>
      </w:pPr>
      <w:r>
        <w:t>1. [Cross-Border AEO Data and Recognition] Credential portability - Each Party shall implement credential portability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[Cross-Border AEO Data and Recognition] Equivalent-status verification - Each Party shall implement equivalent-status verification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[Cross-Border AEO Data and Recognition] Data minimization - Each Party shall implement data minimization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[Cross-Border AEO Data and Recognition] Change notification - Each Party shall implement change notification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[Cross-Border AEO Data and Recognition] Reasoned refusal - Each Party shall implement reasoned refusal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[Cross-Border AEO Data and Recognition] Existing Article 7.E savings - Each Party shall implement existing Article 7.E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0" w:name="_Toc300001469"/>
      <w:r>
        <w:t>Article 39.104: AI-Ready Single Window Data Architecture</w:t>
      </w:r>
      <w:bookmarkEnd w:id="901470"/>
    </w:p>
    <w:p>
      <w:pPr>
        <w:pStyle w:val="Normal"/>
      </w:pPr>
      <w:r>
        <w:t>1. [AI-Ready Single Window Data Architecture] AI-readable core data set - Each Party shall implement aI-readable core data set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[AI-Ready Single Window Data Architecture] Single-submission reuse - Each Party shall implement single-submission reuse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[AI-Ready Single Window Data Architecture] Machine-readable credentials - Each Party shall implement machine-readable credentials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[AI-Ready Single Window Data Architecture] Release-status visibility - Each Party shall ensure that release-status visibility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5. [AI-Ready Single Window Data Architecture] Duplicate-data discipline - Each Party shall implement duplicate-data discipline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[AI-Ready Single Window Data Architecture] Existing Article 7.B bridge - Each Party shall implement existing Article 7.B bridge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1" w:name="_Toc300001470"/>
      <w:r>
        <w:t>Article 39.105: Border-AI Common Schemas and Data Dictionaries</w:t>
      </w:r>
      <w:bookmarkEnd w:id="901471"/>
    </w:p>
    <w:p>
      <w:pPr>
        <w:pStyle w:val="Normal"/>
      </w:pPr>
      <w:r>
        <w:t>1. [Border-AI Common Schemas and Data Dictionaries] Common semantic definitions - Each Party shall implement common semantic definitions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[Border-AI Common Schemas and Data Dictionaries] Schema governance - Each Party shall implement schema governance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[Border-AI Common Schemas and Data Dictionaries] Version identifiers - Each Party shall implement version identifiers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[Border-AI Common Schemas and Data Dictionaries] Backward compatibility - Each Party shall implement backward compatibility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[Border-AI Common Schemas and Data Dictionaries] Equivalent schema pathway - Each Party shall implement equivalent schema pathway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[Border-AI Common Schemas and Data Dictionaries] Published implementation documentation - Each Party shall implement published implementation documentation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2" w:name="_Toc300001471"/>
      <w:r>
        <w:t>Article 39.106: Border-AI Provenance and Source Integrity</w:t>
      </w:r>
      <w:bookmarkEnd w:id="901472"/>
    </w:p>
    <w:p>
      <w:pPr>
        <w:pStyle w:val="Normal"/>
      </w:pPr>
      <w:r>
        <w:t>1. [Border-AI Provenance and Source Integrity] Source attribution - Each Party shall implement source attribution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[Border-AI Provenance and Source Integrity] Transformation history - Each Party shall implement transformation history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[Border-AI Provenance and Source Integrity] User-supplied data distinction - Each Party shall implement user-supplied data distinction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[Border-AI Provenance and Source Integrity] Authoritative-source marking - Each Party shall implement authoritative-source marking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[Border-AI Provenance and Source Integrity] Correction provenance - Each Party shall implement correction provenance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[Border-AI Provenance and Source Integrity] Possession is not verification - Each Party shall implement possession is not verification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3" w:name="_Toc300001472"/>
      <w:r>
        <w:t>Article 39.107: Border-AI Model, Ruleset and Version Traceability</w:t>
      </w:r>
      <w:bookmarkEnd w:id="901473"/>
    </w:p>
    <w:p>
      <w:pPr>
        <w:pStyle w:val="Normal"/>
      </w:pPr>
      <w:r>
        <w:t>1. [Border-AI Model, Ruleset and Version Traceability] Model identifier - Each Party shall implement model identifier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[Border-AI Model, Ruleset and Version Traceability] Ruleset identifier - Each Party shall implement ruleset identifier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[Border-AI Model, Ruleset and Version Traceability] Deployment version - Each Party shall implement deployment version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[Border-AI Model, Ruleset and Version Traceability] Material-change record - Each Party shall implement material-change record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[Border-AI Model, Ruleset and Version Traceability] Decision-version reconstruction - Each Party shall implement decision-version reconstruction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[Border-AI Model, Ruleset and Version Traceability] Cross-border version notice - Each Party shall implement cross-border version notice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4" w:name="_Toc300001473"/>
      <w:r>
        <w:t>Article 39.108: Real-Time Border Risk-Signal Exchange</w:t>
      </w:r>
      <w:bookmarkEnd w:id="901474"/>
    </w:p>
    <w:p>
      <w:pPr>
        <w:pStyle w:val="Normal"/>
      </w:pPr>
      <w:r>
        <w:t>1. [Real-Time Border Risk-Signal Exchange] Defined signal categories - Each Party shall govern defined signal categories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2. [Real-Time Border Risk-Signal Exchange] Necessity threshold - Each Party shall govern necessity threshold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3. [Real-Time Border Risk-Signal Exchange] Purpose limitation - Each Party shall govern purpose limitation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4. [Real-Time Border Risk-Signal Exchange] Timeliness - Each Party shall govern timeliness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5. [Real-Time Border Risk-Signal Exchange] Correction/retraction - Each Party shall govern correction/retraction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pPr>
      <w:r>
        <w:t>6. [Real-Time Border Risk-Signal Exchange] No raw-score disclosure requirement - Each Party shall govern no raw-score disclosure requirement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Heading2"/>
      </w:pPr>
      <w:bookmarkStart w:id="901475" w:name="_Toc300001474"/>
      <w:r>
        <w:t>Article 39.109: Trade-AI Interfaces, Portability and Anti-Lock-In</w:t>
      </w:r>
      <w:bookmarkEnd w:id="901475"/>
    </w:p>
    <w:p>
      <w:pPr>
        <w:pStyle w:val="Normal"/>
      </w:pPr>
      <w:r>
        <w:t>1. [Trade-AI Interfaces, Portability and Anti-Lock-In] Interoperable interfaces - Each Party shall implement interoperable interfaces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[Trade-AI Interfaces, Portability and Anti-Lock-In] Data exportability - Each Party shall implement data exportability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[Trade-AI Interfaces, Portability and Anti-Lock-In] Vendor transition - Each Party shall implement vendor transition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[Trade-AI Interfaces, Portability and Anti-Lock-In] Equivalent/successor standards - Each Party shall implement equivalent/successor standards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[Trade-AI Interfaces, Portability and Anti-Lock-In] No discriminatory interface throttling - Each Party shall implement no discriminatory interface throttling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[Trade-AI Interfaces, Portability and Anti-Lock-In] Manual override interoperability - Each Party shall implement manual override interoperability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6" w:name="_Toc300001475"/>
      <w:r>
        <w:t>Article 39.110: Border-AI Data Minimization and Purpose Limitation</w:t>
      </w:r>
      <w:bookmarkEnd w:id="901476"/>
    </w:p>
    <w:p>
      <w:pPr>
        <w:pStyle w:val="Normal"/>
      </w:pPr>
      <w:r>
        <w:t>1. [Border-AI Data Minimization and Purpose Limitation] Necessary-data rule - Each Party shall implement necessary-data rule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[Border-AI Data Minimization and Purpose Limitation] Purpose specification - Each Party shall implement purpose specification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[Border-AI Data Minimization and Purpose Limitation] Secondary-use controls - Each Party shall implement secondary-use controls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[Border-AI Data Minimization and Purpose Limitation] Retention proportionality - Each Party shall implement retention proportionality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[Border-AI Data Minimization and Purpose Limitation] Access logging - Each Party shall implement access logging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[Border-AI Data Minimization and Purpose Limitation] Lawful-exception savings - Each Party shall implement lawful-exception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7" w:name="_Toc300001476"/>
      <w:r>
        <w:t>Article 39.111: Trade-AI Cloud, Compute and Data Portability</w:t>
      </w:r>
      <w:bookmarkEnd w:id="901477"/>
    </w:p>
    <w:p>
      <w:pPr>
        <w:pStyle w:val="Normal"/>
      </w:pPr>
      <w:r>
        <w:t>1. [Trade-AI Cloud, Compute and Data Portability] Cloud portability - Each Party shall implement cloud portability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[Trade-AI Cloud, Compute and Data Portability] Exit capability - Each Party shall implement exit capability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[Trade-AI Cloud, Compute and Data Portability] Continuity planning - Each Party shall implement continuity planning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[Trade-AI Cloud, Compute and Data Portability] Sensitive-data savings - Each Party shall implement sensitive-data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[Trade-AI Cloud, Compute and Data Portability] No blanket localization mandate - Each Party shall implement no blanket localization mandate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[Trade-AI Cloud, Compute and Data Portability] Optional resilience cooperation - Each Party shall implement optional resilience cooperation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8" w:name="_Toc300001477"/>
      <w:r>
        <w:t>Article 39.112: AI Trade Secrets and Model-Weight Protection</w:t>
      </w:r>
      <w:bookmarkEnd w:id="901478"/>
    </w:p>
    <w:p>
      <w:pPr>
        <w:pStyle w:val="Normal"/>
      </w:pPr>
      <w:r>
        <w:t>1. [AI Trade Secrets and Model-Weight Protection] Model-weight confidentiality - Each Party shall implement model-weight confidentiality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[AI Trade Secrets and Model-Weight Protection] Architecture protection - Each Party shall implement architecture protection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[AI Trade Secrets and Model-Weight Protection] Technical-documentation protection - Each Party shall implement technical-documentation protection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[AI Trade Secrets and Model-Weight Protection] No forced transfer for market access - Each Party shall implement no forced transfer for market access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[AI Trade Secrets and Model-Weight Protection] No forced reverse engineering - Each Party shall implement no forced reverse engineering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[AI Trade Secrets and Model-Weight Protection] IP-law savings - Each Party shall implement iP-law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79" w:name="_Toc300001478"/>
      <w:r>
        <w:t>Article 39.113: Controlled Regulatory Access to Protected AI Information</w:t>
      </w:r>
      <w:bookmarkEnd w:id="901479"/>
    </w:p>
    <w:p>
      <w:pPr>
        <w:pStyle w:val="Normal"/>
      </w:pPr>
      <w:r>
        <w:t>1. [Controlled Regulatory Access to Protected AI Information] Necessity and particularity - Each Party shall implement necessity and particularity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2. [Controlled Regulatory Access to Protected AI Information] Competent regulator access - Each Party shall implement competent regulator access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3. [Controlled Regulatory Access to Protected AI Information] Least-intrusive information - Each Party shall implement least-intrusive information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4. [Controlled Regulatory Access to Protected AI Information] Confidential handling - Each Party shall implement confidential handling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5. [Controlled Regulatory Access to Protected AI Information] Use limitation - Each Party shall implement use limitation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pPr>
      <w:r>
        <w:t>6. [Controlled Regulatory Access to Protected AI Information] Challenge/review where lawful - Each Party shall implement challenge/review where lawful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Heading2"/>
      </w:pPr>
      <w:bookmarkStart w:id="901480" w:name="_Toc300001479"/>
      <w:r>
        <w:t>Article 39.114: AI Fraud and Transshipment Detection</w:t>
      </w:r>
      <w:bookmarkEnd w:id="901480"/>
    </w:p>
    <w:p>
      <w:pPr>
        <w:pStyle w:val="Normal"/>
      </w:pPr>
      <w:r>
        <w:t>1. [AI Fraud and Transshipment Detection] Origin-fraud signals - Each Party shall ensure that origin-fraud signals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pPr>
      <w:r>
        <w:t>2. [AI Fraud and Transshipment Detection] Transshipment analytics - The Parties shall address transshipment analytics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[AI Fraud and Transshipment Detection] Entity-network analysis - The Parties shall address entity-network analysis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[AI Fraud and Transshipment Detection] Document inconsistency detection - The Parties shall address document inconsistency detection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[AI Fraud and Transshipment Detection] Human corroboration - The Parties shall address human corroboration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[AI Fraud and Transshipment Detection] No adverse action on alert alone - The Parties shall address no adverse action on alert alone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81" w:name="_Toc300001480"/>
      <w:r>
        <w:t>Article 39.115: AI Document, Invoice and Identity Fraud Detection</w:t>
      </w:r>
      <w:bookmarkEnd w:id="901481"/>
    </w:p>
    <w:p>
      <w:pPr>
        <w:pStyle w:val="Normal"/>
      </w:pPr>
      <w:r>
        <w:t>1. [AI Document, Invoice and Identity Fraud Detection] Document forgery indicators - The Parties shall address document forgery indicators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2. [AI Document, Invoice and Identity Fraud Detection] Invoice anomaly detection - The Parties shall address invoice anomaly detection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3. [AI Document, Invoice and Identity Fraud Detection] Identity mismatch signals - The Parties shall address identity mismatch signals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4. [AI Document, Invoice and Identity Fraud Detection] Source authentication - The Parties shall address source authentication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5. [AI Document, Invoice and Identity Fraud Detection] False-positive correction - The Parties shall address false-positive correction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pPr>
      <w:r>
        <w:t>6. [AI Document, Invoice and Identity Fraud Detection] Evidence preservation - The Parties shall address evidence preservation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Heading2"/>
      </w:pPr>
      <w:bookmarkStart w:id="901482" w:name="_Toc300001481"/>
      <w:r>
        <w:t>Article 39.116: Trade-AI Cybersecurity and Adversarial Resilience</w:t>
      </w:r>
      <w:bookmarkEnd w:id="901482"/>
    </w:p>
    <w:p>
      <w:pPr>
        <w:pStyle w:val="Normal"/>
      </w:pPr>
      <w:r>
        <w:t>1. [Trade-AI Cybersecurity and Adversarial Resilience] Adversarial input protection - The Parties shall provide for adversarial input protection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[Trade-AI Cybersecurity and Adversarial Resilience] Credential security - The Parties shall provide for credential security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[Trade-AI Cybersecurity and Adversarial Resilience] Tool-access controls - The Parties shall provide for tool-access controls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[Trade-AI Cybersecurity and Adversarial Resilience] Model/data poisoning safeguards - The Parties shall provide for model/data poisoning safeguards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[Trade-AI Cybersecurity and Adversarial Resilience] Critical vulnerability coordination - The Parties shall provide for critical vulnerability coordination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[Trade-AI Cybersecurity and Adversarial Resilience] Vendor security obligations - The Parties shall provide for vendor security obligations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83" w:name="_Toc300001482"/>
      <w:r>
        <w:t>Article 39.117: Compromised Trade-AI System Recovery</w:t>
      </w:r>
      <w:bookmarkEnd w:id="901483"/>
    </w:p>
    <w:p>
      <w:pPr>
        <w:pStyle w:val="Normal"/>
      </w:pPr>
      <w:r>
        <w:t>1. [Compromised Trade-AI System Recovery] Compromise assessment - The Parties shall provide for compromise assessment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[Compromised Trade-AI System Recovery] Isolation/containment - The Parties shall provide for isolation/containment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[Compromised Trade-AI System Recovery] Controlled forensic access - The Parties shall provide for controlled forensic access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[Compromised Trade-AI System Recovery] Fallback activation - The Parties shall provide for fallback activation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[Compromised Trade-AI System Recovery] Recovery revalidation - The Parties shall provide for recovery revalidation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[Compromised Trade-AI System Recovery] Cross-border lessons learned - The Parties shall provide for cross-border lessons learned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84" w:name="_Toc300001483"/>
      <w:r>
        <w:t>Article 39.118: AI Logistics and Port Resilience</w:t>
      </w:r>
      <w:bookmarkEnd w:id="901484"/>
    </w:p>
    <w:p>
      <w:pPr>
        <w:pStyle w:val="Normal"/>
      </w:pPr>
      <w:r>
        <w:t>1. [AI Logistics and Port Resilience] Congestion forecasting - The Parties shall provide for congestion forecasting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[AI Logistics and Port Resilience] Bottleneck alerts - The Parties shall provide for bottleneck alerts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[AI Logistics and Port Resilience] Intermodal coordination - The Parties shall provide for intermodal coordination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[AI Logistics and Port Resilience] Predictive maintenance - The Parties shall provide for predictive maintenance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[AI Logistics and Port Resilience] Critical-corridor continuity - The Parties shall provide for critical-corridor continuity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[AI Logistics and Port Resilience] Anti-manipulation safeguards - The Parties shall provide for anti-manipulation safeguards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85" w:name="_Toc300001484"/>
      <w:r>
        <w:t>Article 39.119: Autonomous Cross-Border Road Freight</w:t>
      </w:r>
      <w:bookmarkEnd w:id="901485"/>
    </w:p>
    <w:p>
      <w:pPr>
        <w:pStyle w:val="Normal"/>
      </w:pPr>
      <w:r>
        <w:t>1. [Autonomous Cross-Border Road Freight] Authorization pathway - The Parties shall provide for authorization pathway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[Autonomous Cross-Border Road Freight] Testing evidence - The Parties shall provide for testing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[Autonomous Cross-Border Road Freight] Vehicle/system identity - The Parties shall provide for vehicle/system identity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[Autonomous Cross-Border Road Freight] Software-change control - The Parties shall provide for software-change control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[Autonomous Cross-Border Road Freight] Event-data reconstruction - The Parties shall provide for event-data reconstruction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[Autonomous Cross-Border Road Freight] Competent human/legal responsibility - The Parties shall provide for competent human/legal responsibility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86" w:name="_Toc300001485"/>
      <w:r>
        <w:t>Article 39.120: Autonomous Cross-Border Rail Freight</w:t>
      </w:r>
      <w:bookmarkEnd w:id="901486"/>
    </w:p>
    <w:p>
      <w:pPr>
        <w:pStyle w:val="Normal"/>
      </w:pPr>
      <w:r>
        <w:t>1. [Autonomous Cross-Border Rail Freight] Rail-system authorization - The Parties shall provide for rail-system authorization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[Autonomous Cross-Border Rail Freight] Network interoperability - The Parties shall provide for network interoperability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[Autonomous Cross-Border Rail Freight] Fail-safe operation - The Parties shall provide for fail-safe operation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[Autonomous Cross-Border Rail Freight] Software-change control - The Parties shall provide for software-change control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[Autonomous Cross-Border Rail Freight] Event records - The Parties shall provide for event records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[Autonomous Cross-Border Rail Freight] Incident coordination - The Parties shall provide for incident coordination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87" w:name="_Toc300001486"/>
      <w:r>
        <w:t>Article 39.121: Autonomous Maritime and Port Cargo Systems</w:t>
      </w:r>
      <w:bookmarkEnd w:id="901487"/>
    </w:p>
    <w:p>
      <w:pPr>
        <w:pStyle w:val="Normal"/>
      </w:pPr>
      <w:r>
        <w:t>1. [Autonomous Maritime and Port Cargo Systems] Autonomous vessel/cargo-system assurance - The Parties shall provide for autonomous vessel/cargo-system assurance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[Autonomous Maritime and Port Cargo Systems] Port-interface interoperability - The Parties shall provide for port-interface interoperability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[Autonomous Maritime and Port Cargo Systems] Remote-operator responsibility - The Parties shall provide for remote-operator responsibility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[Autonomous Maritime and Port Cargo Systems] Navigation/system change control - The Parties shall provide for navigation/system change control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[Autonomous Maritime and Port Cargo Systems] Incident forensics - The Parties shall provide for incident forensics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[Autonomous Maritime and Port Cargo Systems] Equivalent safety outcomes - The Parties shall provide for equivalent safety outcomes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88" w:name="_Toc300001487"/>
      <w:r>
        <w:t>Article 39.122: Autonomous Aviation and Cargo-Drone Trade</w:t>
      </w:r>
      <w:bookmarkEnd w:id="901488"/>
    </w:p>
    <w:p>
      <w:pPr>
        <w:pStyle w:val="Normal"/>
      </w:pPr>
      <w:r>
        <w:t>1. [Autonomous Aviation and Cargo-Drone Trade] Cargo-drone authorization - The Parties shall provide for cargo-drone authorization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[Autonomous Aviation and Cargo-Drone Trade] Remote-operator recognition - The Parties shall provide for remote-operator recognition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[Autonomous Aviation and Cargo-Drone Trade] Airspace/airport interoperability - The Parties shall provide for airspace/airport interoperability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[Autonomous Aviation and Cargo-Drone Trade] AI maintenance evidence - The Parties shall provide for aI maintenance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[Autonomous Aviation and Cargo-Drone Trade] Event-data handling - The Parties shall provide for event-data handling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[Autonomous Aviation and Cargo-Drone Trade] Technology-neutral safety equivalence - The Parties shall provide for technology-neutral safety equivalence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89" w:name="_Toc300001488"/>
      <w:r>
        <w:t>Article 39.123: AI Trade-Measure Proportionality and Non-Discrimination</w:t>
      </w:r>
      <w:bookmarkEnd w:id="901489"/>
    </w:p>
    <w:p>
      <w:pPr>
        <w:pStyle w:val="Normal"/>
      </w:pPr>
      <w:r>
        <w:t>1. [AI Trade-Measure Proportionality and Non-Discrimination] Legitimate objective - The Parties shall provide for legitimate objective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[AI Trade-Measure Proportionality and Non-Discrimination] Trade nexus - The Parties shall provide for trade nexus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[AI Trade-Measure Proportionality and Non-Discrimination] Necessity/proportionality - The Parties shall provide for necessity/proportionality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[AI Trade-Measure Proportionality and Non-Discrimination] No disguised discrimination - No Party shall use no disguised discrimination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5. [AI Trade-Measure Proportionality and Non-Discrimination] Less trade-restrictive alternative review - The Parties shall provide for less trade-restrictive alternative review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[AI Trade-Measure Proportionality and Non-Discrimination] Rights/safety savings - The Parties shall provide for rights/safety savings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90" w:name="_Toc300001489"/>
      <w:r>
        <w:t>Article 39.124: Expedited AI Regulatory Trade-Friction Consultation</w:t>
      </w:r>
      <w:bookmarkEnd w:id="901490"/>
    </w:p>
    <w:p>
      <w:pPr>
        <w:pStyle w:val="Normal"/>
      </w:pPr>
      <w:r>
        <w:t>1. [Expedited AI Regulatory Trade-Friction Consultation] Material-friction trigger - The Parties shall provide for material-friction trigger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[Expedited AI Regulatory Trade-Friction Consultation] Notice request - The Parties shall provide for notice request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[Expedited AI Regulatory Trade-Friction Consultation] Expedited consultation clock - The Parties shall provide for expedited consultation clock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[Expedited AI Regulatory Trade-Friction Consultation] Evidence exchange - The Parties shall provide for evidence exchange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[Expedited AI Regulatory Trade-Friction Consultation] Technical cure discussion - The Parties shall provide for technical cure discussion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[Expedited AI Regulatory Trade-Friction Consultation] No automatic suspension of domestic measure - No Party shall use no automatic suspension of domestic measure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Heading2"/>
      </w:pPr>
      <w:bookmarkStart w:id="901491" w:name="_Toc300001490"/>
      <w:r>
        <w:t>Article 39.125: AI Equivalence and Regulatory Reliance</w:t>
      </w:r>
      <w:bookmarkEnd w:id="901491"/>
    </w:p>
    <w:p>
      <w:pPr>
        <w:pStyle w:val="Normal"/>
      </w:pPr>
      <w:r>
        <w:t>1. [AI Equivalence and Regulatory Reliance] Materially equivalent outcomes - The Parties shall provide for materially equivalent outcomes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[AI Equivalence and Regulatory Reliance] No automatic equivalence - No Party shall use no automatic equivalence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3. [AI Equivalence and Regulatory Reliance] Conformance evidence - The Parties shall provide for conformance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[AI Equivalence and Regulatory Reliance] Reasoned recognition decision - The Parties shall provide for reasoned recognition decision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[AI Equivalence and Regulatory Reliance] Reasoned refusal - The Parties shall provide for reasoned refusal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[AI Equivalence and Regulatory Reliance] Periodic reassessment - The Parties shall provide for periodic reassessment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92" w:name="_Toc300001491"/>
      <w:r>
        <w:t>Article 39.126: AI Testing, Sandboxes and Conformity Evidence</w:t>
      </w:r>
      <w:bookmarkEnd w:id="901492"/>
    </w:p>
    <w:p>
      <w:pPr>
        <w:pStyle w:val="Normal"/>
      </w:pPr>
      <w:r>
        <w:t>1. [AI Testing, Sandboxes and Conformity Evidence] Accredited testing pathways - The Parties shall provide for accredited testing pathways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[AI Testing, Sandboxes and Conformity Evidence] Cross-border test evidence - The Parties shall provide for cross-border test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[AI Testing, Sandboxes and Conformity Evidence] Sandbox evidence use - The Parties shall provide for sandbox evidence use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[AI Testing, Sandboxes and Conformity Evidence] Confidentiality - The Parties shall provide for confidentiality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[AI Testing, Sandboxes and Conformity Evidence] No mandatory sandbox participation - No Party shall use no mandatory sandbox participation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6. [AI Testing, Sandboxes and Conformity Evidence] Optional joint pilots - No Party shall use optional joint pilots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Heading2"/>
      </w:pPr>
      <w:bookmarkStart w:id="901493" w:name="_Toc300001492"/>
      <w:r>
        <w:t>Article 39.127: AI-Trade Workforce Competence</w:t>
      </w:r>
      <w:bookmarkEnd w:id="901493"/>
    </w:p>
    <w:p>
      <w:pPr>
        <w:pStyle w:val="Normal"/>
      </w:pPr>
      <w:r>
        <w:t>1. [AI-Trade Workforce Competence] Role-specific competence - The Parties shall provide for role-specific competence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[AI-Trade Workforce Competence] Customs officer AI-limitations literacy - The Parties shall provide for customs officer AI-limitations literacy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[AI-Trade Workforce Competence] Technical specialist access - The Parties shall provide for technical specialist access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[AI-Trade Workforce Competence] Periodic refresh - The Parties shall provide for periodic refresh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[AI-Trade Workforce Competence] No fixed universal hours - No Party shall use no fixed universal hours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6. [AI-Trade Workforce Competence] Existing labor architecture savings - The Parties shall provide for existing labor architecture savings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94" w:name="_Toc300001493"/>
      <w:r>
        <w:t>Article 39.128: Trader, SME and Broker AI Literacy</w:t>
      </w:r>
      <w:bookmarkEnd w:id="901494"/>
    </w:p>
    <w:p>
      <w:pPr>
        <w:pStyle w:val="Normal"/>
      </w:pPr>
      <w:r>
        <w:t>1. [Trader, SME and Broker AI Literacy] Plain-language guidance - The Parties shall provide for plain-language guidance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[Trader, SME and Broker AI Literacy] Hallucination/verification literacy - The Parties shall provide for hallucination/verification literacy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[Trader, SME and Broker AI Literacy] Broker training support - The Parties shall provide for broker training support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[Trader, SME and Broker AI Literacy] SME access support - The Parties shall provide for sME access support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[Trader, SME and Broker AI Literacy] Optional tools - No Party shall use optional tools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6. [Trader, SME and Broker AI Literacy] No AI-use prerequisite for ordinary trade - No Party shall use no AI-use prerequisite for ordinary trade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Heading2"/>
      </w:pPr>
      <w:bookmarkStart w:id="901495" w:name="_Toc300001494"/>
      <w:r>
        <w:t>Article 39.129: AI Investment, Procurement and Infrastructure Neutrality</w:t>
      </w:r>
      <w:bookmarkEnd w:id="901495"/>
    </w:p>
    <w:p>
      <w:pPr>
        <w:pStyle w:val="Normal"/>
      </w:pPr>
      <w:r>
        <w:t>1. [AI Investment, Procurement and Infrastructure Neutrality] Vendor-neutral procurement - The Parties shall provide for vendor-neutral procurement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[AI Investment, Procurement and Infrastructure Neutrality] No forced technology transfer - No Party shall use no forced technology transfer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3. [AI Investment, Procurement and Infrastructure Neutrality] Lifecycle competition - The Parties shall provide for lifecycle competition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[AI Investment, Procurement and Infrastructure Neutrality] Infrastructure resilience - The Parties shall provide for infrastructure resilience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[AI Investment, Procurement and Infrastructure Neutrality] Investment-screening cooperation - The Parties shall provide for investment-screening cooperation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[AI Investment, Procurement and Infrastructure Neutrality] Optional joint procurement - No Party shall use optional joint procurement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Heading2"/>
      </w:pPr>
      <w:bookmarkStart w:id="901496" w:name="_Toc300001495"/>
      <w:r>
        <w:t>Article 39.130: AI-Trade Biennial Review and Update Mechanism</w:t>
      </w:r>
      <w:bookmarkEnd w:id="901496"/>
    </w:p>
    <w:p>
      <w:pPr>
        <w:pStyle w:val="Normal"/>
      </w:pPr>
      <w:r>
        <w:t>1. [AI-Trade Biennial Review and Update Mechanism] Twenty-four-month review - The Parties shall provide for twenty-four-month review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2. [AI-Trade Biennial Review and Update Mechanism] Trade-friction inventory - The Parties shall provide for trade-friction inventory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3. [AI-Trade Biennial Review and Update Mechanism] Incident/interoperability review - The Parties shall provide for incident/interoperability review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4. [AI-Trade Biennial Review and Update Mechanism] Corrective protocol proposal - The Parties shall provide for corrective protocol proposal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5. [AI-Trade Biennial Review and Update Mechanism] Reasoned no-action determination - The Parties shall provide for reasoned no-action determination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pPr>
      <w:r>
        <w:t>6. [AI-Trade Biennial Review and Update Mechanism] Public/non-confidential output - The Parties shall provide for public/non-confidential output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Heading2"/>
      </w:pPr>
      <w:bookmarkStart w:id="901497" w:name="_Toc300001496"/>
      <w:r>
        <w:t>Article 39.131: AI-Trade Administration, Optionality and Remedies</w:t>
      </w:r>
      <w:bookmarkEnd w:id="901497"/>
    </w:p>
    <w:p>
      <w:pPr>
        <w:pStyle w:val="Normal"/>
      </w:pPr>
      <w:r>
        <w:t>1. [AI-Trade Administration, Optionality and Remedies] Existing institutions first - No Party shall use existing institutions first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2. [AI-Trade Administration, Optionality and Remedies] Technical expert availability - No Party shall use technical expert availability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3. [AI-Trade Administration, Optionality and Remedies] Optionality firewall - No Party shall use optionality firewall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4. [AI-Trade Administration, Optionality and Remedies] Cure-first enforcement - No Party shall use cure-first enforcement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5. [AI-Trade Administration, Optionality and Remedies] No AI-specific tariff weapon - No Party shall use no AI-specific tariff weapon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pPr>
      <w:r>
        <w:t>6. [AI-Trade Administration, Optionality and Remedies] Chapter 31/35 integration - No Party shall use chapter 31/35 integration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Heading2"/>
      </w:pPr>
      <w:bookmarkStart w:id="901498" w:name="_Toc300001497"/>
      <w:r>
        <w:t>Article 39.132: Relationship to Specialized Trade Chapters</w:t>
      </w:r>
      <w:bookmarkEnd w:id="901498"/>
    </w:p>
    <w:p>
      <w:pPr>
        <w:pStyle w:val="Normal"/>
      </w:pPr>
      <w:r>
        <w:t>1. Part C supplements rather than displaces Chapters 2, 4, 5, 7, 11, 13, 14, 19, 20, 23, 23-B, 31, 35, 36, 37, 38, and other specialized provisions governing the same transaction, authority, transport mode, data category, or remedy. Where a specialized Chapter establishes a more specific substantive rule, competent authority, procedure, exception, or remedy, that specialized rule controls to the extent of the inconsistency, while the AI-specific safeguards in Part C continue to apply where they can operate consistently.</w:t>
      </w:r>
    </w:p>
    <w:p>
      <w:pPr>
        <w:pStyle w:val="Normal"/>
      </w:pPr>
      <w:r>
        <w:t>2. The Parties shall implement Part C through existing committees, customs administrations, transportation regulators, digital-trade bodies, cybersecurity channels, dispute mechanisms, and other competent institutions wherever practicable. Nothing in Part C creates a new supranational customs authority, requires automatic mutual recognition, authorizes an AI-specific tariff remedy, or converts a voluntary pilot, sandbox, training program, shared model, fund, or technical project into a condition of market access or an obligation to participate.</w:t>
      </w:r>
    </w:p>
    <w:p>
      <w:pPr>
        <w:pStyle w:val="Normal"/>
      </w:pPr>
      <w:r>
        <w:t>Chapter 40 is the principal energy-security and grid-resilience location. Related emergency-continuity, cybersecurity, investment, infrastructure, and strategic-supply rules may appear in other Chapters and Packages.</w:t>
      </w:r>
    </w:p>
    <w:p>
      <w:pPr>
        <w:pStyle w:val="TrumpVisibilityHeadline"/>
      </w:pPr>
      <w:r>
        <w:t>SEARCH SIGNPOST: ENERGY SECURITY / ELECTRICITY / GRID RESILIENCE / STORAGE / PIPELINES / CLEAN POWER / CRITICAL INFRASTRUCTURE</w:t>
      </w:r>
    </w:p>
    <w:p>
      <w:pPr>
        <w:pStyle w:val="Heading1"/>
      </w:pPr>
      <w:bookmarkStart w:id="901499" w:name="_Toc300001498"/>
      <w:r>
        <w:t>CHAPTER 40</w:t>
      </w:r>
      <w:r>
        <w:br/>
      </w:r>
      <w:r>
        <w:t>ENERGY SECURITY AND GRID RESILIENCE</w:t>
      </w:r>
      <w:bookmarkEnd w:id="901499"/>
    </w:p>
    <w:p>
      <w:pPr>
        <w:pStyle w:val="Heading2"/>
      </w:pPr>
      <w:bookmarkStart w:id="901500" w:name="_Toc300001499"/>
      <w:r>
        <w:t>Article 40.1: Purpose</w:t>
      </w:r>
      <w:bookmarkEnd w:id="901500"/>
    </w:p>
    <w:p>
      <w:pPr>
        <w:pStyle w:val="Normal"/>
      </w:pPr>
      <w:r>
        <w:t>0A. The Canada–United States Energy Regulatory Measures and Regulatory Transparency instrument reproduced in Annex 34-G, Part B remains operative as a bilateral integral instrument except to the extent an express provision of Chapter 40 affords equivalent or greater protection. Where both apply, they shall be interpreted consistently so as to preserve non-discriminatory access, regulatory transparency, and review rights.</w:t>
      </w:r>
    </w:p>
    <w:p>
      <w:pPr>
        <w:pStyle w:val="Normal"/>
      </w:pPr>
      <w:r>
        <w:t>1. The Parties recognize the deeply integrated character of the North American energy system (including electricity interconnections, oil and gas infrastructure, nuclear supply chains, and critical energy equipment) and affirm that energy trade between the Parties contributes to the energy security of each Party.</w:t>
      </w:r>
    </w:p>
    <w:p>
      <w:pPr>
        <w:pStyle w:val="Heading2"/>
      </w:pPr>
      <w:bookmarkStart w:id="901501" w:name="_Toc300001500"/>
      <w:r>
        <w:t>Article 40.2: Energy Trade</w:t>
      </w:r>
      <w:bookmarkEnd w:id="901501"/>
    </w:p>
    <w:p>
      <w:pPr>
        <w:pStyle w:val="Normal"/>
      </w:pPr>
      <w:r>
        <w:t>1. No Party shall apply a covered border measure to originating energy goods (including crude oil, natural gas, refined petroleum products, electricity, uranium, and energy equipment) of another Party, except in conformity with Chapter 35. Energy is a Strategic Sector under Article 35.23. For greater certainty, this Article applies to export measures in accordance with Article 35.3A.</w:t>
      </w:r>
    </w:p>
    <w:p>
      <w:pPr>
        <w:pStyle w:val="Normal"/>
      </w:pPr>
      <w:r>
        <w:t>2. A Party shall not characterize another Party’s energy exports as a threat to its national security for the purposes of Article 32.2 absent a particularized, notified justification subject to Article 35.22.</w:t>
      </w:r>
    </w:p>
    <w:p>
      <w:pPr>
        <w:pStyle w:val="Heading2"/>
      </w:pPr>
      <w:bookmarkStart w:id="901502" w:name="_Toc300001501"/>
      <w:r>
        <w:t>Article 40.3: Grid Resilience</w:t>
      </w:r>
      <w:bookmarkEnd w:id="901502"/>
    </w:p>
    <w:p>
      <w:pPr>
        <w:pStyle w:val="Normal"/>
      </w:pPr>
      <w:r>
        <w:t>1. The Parties shall cooperate on the resilience of interconnected electricity systems, including: information-sharing on grid emergencies, equipment shortages, cyber threats, and extreme weather; coordination of equipment standards for cross-border interconnections; and mutual assistance planning for grid emergencies.</w:t>
      </w:r>
    </w:p>
    <w:p>
      <w:pPr>
        <w:pStyle w:val="Normal"/>
      </w:pPr>
      <w:r>
        <w:t>2. The Parties shall establish, under the Economic Security and Supply Chain Resilience Subcommittee, a Grid Resilience Working Group of transmission, regulatory, and emergency-management officials, meeting at least twice yearly and within 72 hours during a grid emergency.</w:t>
      </w:r>
    </w:p>
    <w:p>
      <w:pPr>
        <w:pStyle w:val="Heading2"/>
      </w:pPr>
      <w:bookmarkStart w:id="901503" w:name="_Toc300001502"/>
      <w:r>
        <w:t>Article 40.4: Critical Energy Equipment</w:t>
      </w:r>
      <w:bookmarkEnd w:id="901503"/>
    </w:p>
    <w:p>
      <w:pPr>
        <w:pStyle w:val="Normal"/>
      </w:pPr>
      <w:r>
        <w:t>1. Transformers, switchgear, transmission components, generation equipment, and grid control systems are designated essential inputs under Annex 35-B, Part 3, and are subject to the continuity disciplines of Chapter 38.</w:t>
      </w:r>
    </w:p>
    <w:p>
      <w:pPr>
        <w:pStyle w:val="Heading2"/>
      </w:pPr>
      <w:bookmarkStart w:id="901504" w:name="_Toc300001503"/>
      <w:r>
        <w:t>Article 40.5: New Energy Technologies</w:t>
      </w:r>
      <w:bookmarkEnd w:id="901504"/>
    </w:p>
    <w:p>
      <w:pPr>
        <w:pStyle w:val="Normal"/>
      </w:pPr>
      <w:r>
        <w:t>1. The Parties shall endeavor to cooperate on cross-border treatment of hydrogen, small modular reactors, energy storage, and associated infrastructure, including standards interoperability and regulatory-cooperation arrangements consistent with each Party’s domestic authority.</w:t>
      </w:r>
    </w:p>
    <w:p>
      <w:pPr>
        <w:pStyle w:val="Heading2"/>
      </w:pPr>
      <w:bookmarkStart w:id="901505" w:name="_Toc300001504"/>
      <w:r>
        <w:t>Article 40.6: Non-Discrimination in Energy Markets</w:t>
      </w:r>
      <w:bookmarkEnd w:id="901505"/>
    </w:p>
    <w:p>
      <w:pPr>
        <w:pStyle w:val="Normal"/>
      </w:pPr>
      <w:r>
        <w:t>1. Each Party shall administer its electricity and energy markets so as not to discriminate against energy suppliers of another Party on the basis of nationality, consistent with the market rules and reliability requirements of general application. Complaints concerning sub-federal energy-market treatment may be addressed through the consultations mechanism in Article 31.4 and the good offices of the Secretariat.</w:t>
      </w:r>
    </w:p>
    <w:p>
      <w:pPr>
        <w:pStyle w:val="Heading2"/>
      </w:pPr>
      <w:bookmarkStart w:id="901506" w:name="_Toc300001505"/>
      <w:r>
        <w:t>Article 40.7: North American Energy, Compute and Storage Initiative</w:t>
      </w:r>
      <w:bookmarkEnd w:id="901506"/>
    </w:p>
    <w:p>
      <w:pPr>
        <w:pStyle w:val="Normal"/>
      </w:pPr>
      <w:r>
        <w:t>1. The Parties establish the North American Energy, Compute and Storage Initiative (the Initiative) as a cooperative umbrella for the measures in Articles 40.8 through 40.24. The Initiative is not a separate legal person, funding body, procurement authority, project developer, or approval authority; implementation occurs through existing energy, regulatory, infrastructure, digital-trade, and emergency-management institutions.</w:t>
      </w:r>
    </w:p>
    <w:p>
      <w:pPr>
        <w:pStyle w:val="Normal"/>
      </w:pPr>
      <w:r>
        <w:t>2. The Initiative shall be implemented in a manner that preserves each Party's right to determine its energy mix, ownership rules, public-utility structure, resource-development policies, environmental requirements, national-security measures, and allocation of electricity for domestic needs.</w:t>
      </w:r>
    </w:p>
    <w:p>
      <w:pPr>
        <w:pStyle w:val="Normal"/>
      </w:pPr>
      <w:r>
        <w:t>3. No Party is required by this Article to export electricity, approve a generation or transmission project, reserve electricity for a foreign purchaser, or authorize a digital-infrastructure project that the Party determines would materially impair reliability, affordability, security, environmental protection, Indigenous or treaty rights, or essential domestic supply.</w:t>
      </w:r>
    </w:p>
    <w:p>
      <w:pPr>
        <w:pStyle w:val="Heading2"/>
      </w:pPr>
      <w:bookmarkStart w:id="901507" w:name="_Toc300001506"/>
      <w:r>
        <w:t>Article 40.8: Principles for Energy-Intensive Digital Infrastructure</w:t>
      </w:r>
      <w:bookmarkEnd w:id="901507"/>
    </w:p>
    <w:p>
      <w:pPr>
        <w:pStyle w:val="Normal"/>
      </w:pPr>
      <w:r>
        <w:t>1. For purposes of this Chapter, 'energy-intensive digital infrastructure' includes data centres, artificial-intelligence compute facilities, high-performance-computing facilities, cloud infrastructure, and other digital facilities designated by the Commission whose electricity demand is material to regional grid planning.</w:t>
      </w:r>
    </w:p>
    <w:p>
      <w:pPr>
        <w:pStyle w:val="Normal"/>
      </w:pPr>
      <w:r>
        <w:t>2. The Parties shall encourage development of such infrastructure where generation, transmission, telecommunications connectivity, cooling conditions, land, workforce, security, and community infrastructure can support the facility without material adverse effects on existing customers.</w:t>
      </w:r>
    </w:p>
    <w:p>
      <w:pPr>
        <w:pStyle w:val="Normal"/>
      </w:pPr>
      <w:r>
        <w:t>3. Treatment under the Initiative shall be technology-neutral and ownership-neutral except where a Party applies a measure authorized by this Agreement for national security, privacy, data sovereignty, critical-infrastructure protection, or investment screening.</w:t>
      </w:r>
    </w:p>
    <w:p>
      <w:pPr>
        <w:pStyle w:val="Heading2"/>
      </w:pPr>
      <w:bookmarkStart w:id="901508" w:name="_Toc300001507"/>
      <w:r>
        <w:t>Article 40.9: Build-the-Power-with-the-Load Principle</w:t>
      </w:r>
      <w:bookmarkEnd w:id="901508"/>
    </w:p>
    <w:p>
      <w:pPr>
        <w:pStyle w:val="Normal"/>
      </w:pPr>
      <w:r>
        <w:t>1. A Party may condition expedited treatment, public support, preferential infrastructure access, or designation under Annex 40-A for a large new digital load on commitments to provide or finance incremental generation, transmission, storage, demand-response capability, efficiency improvements, or other grid-supporting resources reasonably proportionate to the project's expected system impact.</w:t>
      </w:r>
    </w:p>
    <w:p>
      <w:pPr>
        <w:pStyle w:val="Normal"/>
      </w:pPr>
      <w:r>
        <w:t>2. Where practicable, qualifying projects should demonstrate that incremental electricity demand is matched over an appropriate planning horizon by incremental dependable capacity or by equivalent verified system benefits.</w:t>
      </w:r>
    </w:p>
    <w:p>
      <w:pPr>
        <w:pStyle w:val="Normal"/>
      </w:pPr>
      <w:r>
        <w:t>3. Nothing in this Article requires a Party to socialize project-specific network costs across residential or small-business customers.</w:t>
      </w:r>
    </w:p>
    <w:p>
      <w:pPr>
        <w:pStyle w:val="Heading2"/>
      </w:pPr>
      <w:bookmarkStart w:id="901509" w:name="_Toc300001508"/>
      <w:r>
        <w:t>Article 40.10: Strategic Compute and Energy Zones</w:t>
      </w:r>
      <w:bookmarkEnd w:id="901509"/>
    </w:p>
    <w:p>
      <w:pPr>
        <w:pStyle w:val="Normal"/>
      </w:pPr>
      <w:r>
        <w:t>1. A Party may designate Strategic Compute and Energy Zones in locations that satisfy objective criteria established in Annex 40-A, including grid capability, transmission headroom or expansion plans, redundant telecommunications connectivity, appropriate industrial land, cooling and water feasibility, workforce access, physical and cyber security, and capacity for responsible expansion.</w:t>
      </w:r>
    </w:p>
    <w:p>
      <w:pPr>
        <w:pStyle w:val="Normal"/>
      </w:pPr>
      <w:r>
        <w:t>2. Designation shall not create an entitlement to project approval. Each project remains subject to applicable federal, state, provincial, territorial, local, Indigenous, environmental, utility, land-use, privacy, security, and investment-review requirements.</w:t>
      </w:r>
    </w:p>
    <w:p>
      <w:pPr>
        <w:pStyle w:val="Normal"/>
      </w:pPr>
      <w:r>
        <w:t>3. The Parties shall encourage, where technically and economically appropriate, siting that enables productive use of waste heat, industrial symbiosis, district energy, greenhouse heating, water heating, or other beneficial thermal uses.</w:t>
      </w:r>
    </w:p>
    <w:p>
      <w:pPr>
        <w:pStyle w:val="Heading2"/>
      </w:pPr>
      <w:bookmarkStart w:id="901510" w:name="_Toc300001509"/>
      <w:r>
        <w:t>Article 40.11: Cross-Border Clean Power and Compute Corridors</w:t>
      </w:r>
      <w:bookmarkEnd w:id="901510"/>
    </w:p>
    <w:p>
      <w:pPr>
        <w:pStyle w:val="Normal"/>
      </w:pPr>
      <w:r>
        <w:t>1. The Parties shall identify opportunities for voluntary cross-border arrangements linking dependable electricity supply, energy storage, transmission capacity, telecommunications capacity, and energy-intensive digital infrastructure.</w:t>
      </w:r>
    </w:p>
    <w:p>
      <w:pPr>
        <w:pStyle w:val="Normal"/>
      </w:pPr>
      <w:r>
        <w:t>2. Such arrangements may include firm power, flexible power, interruptible power, surplus-energy products, capacity products, ancillary services, demand response, storage services, or other products recognized by the relevant market or regulatory authority.</w:t>
      </w:r>
    </w:p>
    <w:p>
      <w:pPr>
        <w:pStyle w:val="Normal"/>
      </w:pPr>
      <w:r>
        <w:t>3. A cross-border arrangement under this Article shall not diminish a Party's authority to prioritize domestic reliability or to curtail exports where necessary and consistent with this Agreement.</w:t>
      </w:r>
    </w:p>
    <w:p>
      <w:pPr>
        <w:pStyle w:val="Normal"/>
      </w:pPr>
      <w:r>
        <w:t>4. The Parties shall encourage long-term commercial arrangements capable of supporting financing of incremental generation, transmission, storage, and digital infrastructure where the costs and benefits are allocated transparently among beneficiaries.</w:t>
      </w:r>
    </w:p>
    <w:p>
      <w:pPr>
        <w:pStyle w:val="Heading2"/>
      </w:pPr>
      <w:bookmarkStart w:id="901511" w:name="_Toc300001510"/>
      <w:r>
        <w:t>Article 40.12: Domestic Reliability and Anti-Crowding-Out Safeguard</w:t>
      </w:r>
      <w:bookmarkEnd w:id="901511"/>
    </w:p>
    <w:p>
      <w:pPr>
        <w:pStyle w:val="Normal"/>
      </w:pPr>
      <w:r>
        <w:t>1. No designation, facilitation measure, or cooperation arrangement under the Initiative shall require a regulator, system operator, utility, or government to approve service that would create an unacceptable reliability risk under applicable standards.</w:t>
      </w:r>
    </w:p>
    <w:p>
      <w:pPr>
        <w:pStyle w:val="Normal"/>
      </w:pPr>
      <w:r>
        <w:t>2. A Party may require large digital loads receiving benefits under the Initiative to participate in demand response, curtailment, backup-power, storage, or other reliability programs on transparent and non-discriminatory terms.</w:t>
      </w:r>
    </w:p>
    <w:p>
      <w:pPr>
        <w:pStyle w:val="Normal"/>
      </w:pPr>
      <w:r>
        <w:t>3. The Parties shall seek to prevent infrastructure arrangements in which the principal costs of serving a new energy-intensive digital load are shifted disproportionately to households, small businesses, or existing industrial customers that do not benefit from the project.</w:t>
      </w:r>
    </w:p>
    <w:p>
      <w:pPr>
        <w:pStyle w:val="Heading2"/>
      </w:pPr>
      <w:bookmarkStart w:id="901512" w:name="_Toc300001511"/>
      <w:r>
        <w:t>Article 40.13: Reciprocal Electricity Market Access</w:t>
      </w:r>
      <w:bookmarkEnd w:id="901512"/>
    </w:p>
    <w:p>
      <w:pPr>
        <w:pStyle w:val="Normal"/>
      </w:pPr>
      <w:r>
        <w:t>1. Without prejudice to Article 40.6, a transmission provider, market operator, balancing authority, or other covered entity shall apply generally applicable rules concerning interconnection, transmission capacity, congestion management, scheduling, curtailment, and market participation without discrimination based solely on the nationality or cross-border origin of an eligible supplier.</w:t>
      </w:r>
    </w:p>
    <w:p>
      <w:pPr>
        <w:pStyle w:val="Normal"/>
      </w:pPr>
      <w:r>
        <w:t>2. Differences in treatment necessary to maintain reliability, comply with physical interconnection constraints, or satisfy generally applicable regulatory requirements do not constitute discrimination where they are transparent, technically justified, proportionate, and applied without disguised protectionism.</w:t>
      </w:r>
    </w:p>
    <w:p>
      <w:pPr>
        <w:pStyle w:val="Normal"/>
      </w:pPr>
      <w:r>
        <w:t>3. At the request of a Party, the Grid Resilience Working Group shall establish a technical consultation concerning an alleged operational barrier, including sub-federal barriers, before or in parallel with consultations under Article 31.4.</w:t>
      </w:r>
    </w:p>
    <w:p>
      <w:pPr>
        <w:pStyle w:val="Heading2"/>
      </w:pPr>
      <w:bookmarkStart w:id="901513" w:name="_Toc300001512"/>
      <w:r>
        <w:t>Article 40.14: Transmission, Interconnection and Permitting Cooperation</w:t>
      </w:r>
      <w:bookmarkEnd w:id="901513"/>
    </w:p>
    <w:p>
      <w:pPr>
        <w:pStyle w:val="Normal"/>
      </w:pPr>
      <w:r>
        <w:t>1. The Parties shall cooperate to identify economically justified cross-border transmission and interconnection projects, including high-voltage direct-current and other technologies capable of improving reliability, congestion management, or access to dependable low-emission generation.</w:t>
      </w:r>
    </w:p>
    <w:p>
      <w:pPr>
        <w:pStyle w:val="Normal"/>
      </w:pPr>
      <w:r>
        <w:t>2. Each Party shall endeavor to provide transparent permitting milestones, coordinated agency review where permitted by domestic law, and early identification of material information requirements for qualifying cross-border projects.</w:t>
      </w:r>
    </w:p>
    <w:p>
      <w:pPr>
        <w:pStyle w:val="Normal"/>
      </w:pPr>
      <w:r>
        <w:t>3. Nothing in this Article alters constitutional allocations of authority or requires approval of a particular project.</w:t>
      </w:r>
    </w:p>
    <w:p>
      <w:pPr>
        <w:pStyle w:val="Normal"/>
      </w:pPr>
      <w:r>
        <w:t>4. Where a project principally serves a new private load or commercial export arrangement, the Parties shall encourage beneficiary-pays or other cost-allocation methods that reduce inappropriate cost transfer to non-beneficiaries.</w:t>
      </w:r>
    </w:p>
    <w:p>
      <w:pPr>
        <w:pStyle w:val="Heading2"/>
      </w:pPr>
      <w:bookmarkStart w:id="901514" w:name="_Toc300001513"/>
      <w:r>
        <w:t>Article 40.15: Flexible Digital Load and Grid Services</w:t>
      </w:r>
      <w:bookmarkEnd w:id="901514"/>
    </w:p>
    <w:p>
      <w:pPr>
        <w:pStyle w:val="Normal"/>
      </w:pPr>
      <w:r>
        <w:t>1. The Parties recognize that energy-intensive digital infrastructure may contribute to reliability where it can adjust demand, schedule flexible workloads, use onsite storage, or provide other grid services.</w:t>
      </w:r>
    </w:p>
    <w:p>
      <w:pPr>
        <w:pStyle w:val="Normal"/>
      </w:pPr>
      <w:r>
        <w:t>2. The Grid Resilience Working Group shall develop voluntary model terms for firm, flexible, interruptible, and surplus-energy service to large digital loads, including transparent notice, curtailment, restoration, measurement, and compensation rules.</w:t>
      </w:r>
    </w:p>
    <w:p>
      <w:pPr>
        <w:pStyle w:val="Normal"/>
      </w:pPr>
      <w:r>
        <w:t>3. No Party shall require interruption of safety-critical, security-critical, or otherwise protected computing functions except under emergency authority applicable to comparable domestic loads.</w:t>
      </w:r>
    </w:p>
    <w:p>
      <w:pPr>
        <w:pStyle w:val="Heading2"/>
      </w:pPr>
      <w:bookmarkStart w:id="901515" w:name="_Toc300001514"/>
      <w:r>
        <w:t>Article 40.16: Energy Storage and Long-Duration Flexibility</w:t>
      </w:r>
      <w:bookmarkEnd w:id="901515"/>
    </w:p>
    <w:p>
      <w:pPr>
        <w:pStyle w:val="Normal"/>
      </w:pPr>
      <w:r>
        <w:t>1. The Parties shall promote interoperability, testing, deployment, and responsible industrialization of energy-storage technologies that improve grid reliability, including electrochemical, thermal, mechanical, gravitational, compressed-fluid, pumped-storage, and other technologies designated in Annex 40-A.</w:t>
      </w:r>
    </w:p>
    <w:p>
      <w:pPr>
        <w:pStyle w:val="Normal"/>
      </w:pPr>
      <w:r>
        <w:t>2. Eligibility shall be based on measurable characteristics including safety, lifecycle cost, duration, efficiency, degradation, environmental performance, supply-chain resilience, operating-temperature capability, cybersecurity where relevant, and suitability to the intended grid service.</w:t>
      </w:r>
    </w:p>
    <w:p>
      <w:pPr>
        <w:pStyle w:val="Normal"/>
      </w:pPr>
      <w:r>
        <w:t>3. No technology shall receive permanent preferred status solely by reason of its chemistry, country of origin, or inclusion in an initial version of Annex 40-A.</w:t>
      </w:r>
    </w:p>
    <w:p>
      <w:pPr>
        <w:pStyle w:val="Heading2"/>
      </w:pPr>
      <w:bookmarkStart w:id="901516" w:name="_Toc300001515"/>
      <w:r>
        <w:t>Article 40.17: Advanced Storage and Thermal-Energy Demonstration Pathway</w:t>
      </w:r>
      <w:bookmarkEnd w:id="901516"/>
    </w:p>
    <w:p>
      <w:pPr>
        <w:pStyle w:val="Normal"/>
      </w:pPr>
      <w:r>
        <w:t>1. The Parties may establish jointly recognized demonstration pathways for emerging storage and dispatchable renewable technologies, including sodium-ion electrochemical storage, molten-salt thermal storage, concentrated solar thermal systems, power-to-heat storage, and successor technologies.</w:t>
      </w:r>
    </w:p>
    <w:p>
      <w:pPr>
        <w:pStyle w:val="Normal"/>
      </w:pPr>
      <w:r>
        <w:t>2. A demonstration receiving benefits under this Article shall define testable performance objectives, independently measurable data, safety requirements, winter and extreme-weather performance where relevant, lifecycle and maintenance reporting, and criteria for continuation, modification, scale-up, or termination.</w:t>
      </w:r>
    </w:p>
    <w:p>
      <w:pPr>
        <w:pStyle w:val="Normal"/>
      </w:pPr>
      <w:r>
        <w:t>3. Successful demonstration does not by itself confer originating status under Chapter 4 or an entitlement to procurement preference, subsidy, or market access beyond that otherwise provided by this Agreement.</w:t>
      </w:r>
    </w:p>
    <w:p>
      <w:pPr>
        <w:pStyle w:val="Heading2"/>
      </w:pPr>
      <w:bookmarkStart w:id="901517" w:name="_Toc300001516"/>
      <w:r>
        <w:t>Article 40.18: Curtailment-to-Storage and Surplus-Energy Utilization</w:t>
      </w:r>
      <w:bookmarkEnd w:id="901517"/>
    </w:p>
    <w:p>
      <w:pPr>
        <w:pStyle w:val="Normal"/>
      </w:pPr>
      <w:r>
        <w:t>1. The Parties shall encourage market rules that, where consistent with reliability and domestic law, permit storage, thermal loads, flexible digital loads, and other controllable resources to absorb electricity that would otherwise be curtailed or economically stranded.</w:t>
      </w:r>
    </w:p>
    <w:p>
      <w:pPr>
        <w:pStyle w:val="Normal"/>
      </w:pPr>
      <w:r>
        <w:t>2. Programs under this Article shall use transparent measurement and settlement and shall not be administered so as to disguise an export subsidy or discriminate against an eligible supplier of another Party.</w:t>
      </w:r>
    </w:p>
    <w:p>
      <w:pPr>
        <w:pStyle w:val="Normal"/>
      </w:pPr>
      <w:r>
        <w:t>3. The Grid Resilience Working Group may develop common measurement principles for avoided curtailment, delivered flexibility, and capacity contribution.</w:t>
      </w:r>
    </w:p>
    <w:p>
      <w:pPr>
        <w:pStyle w:val="Heading2"/>
      </w:pPr>
      <w:bookmarkStart w:id="901518" w:name="_Toc300001517"/>
      <w:r>
        <w:t>Article 40.19: Foreign Strategic Technology Integration</w:t>
      </w:r>
      <w:bookmarkEnd w:id="901518"/>
    </w:p>
    <w:p>
      <w:pPr>
        <w:pStyle w:val="Normal"/>
      </w:pPr>
      <w:r>
        <w:t>1. A Party may facilitate demonstration, licensing, joint ventures, manufacturing, assembly, research, or deployment involving energy technologies originating outside North America where the Party determines that doing so advances energy security, affordability, resilience, emissions reduction, or industrial capability.</w:t>
      </w:r>
    </w:p>
    <w:p>
      <w:pPr>
        <w:pStyle w:val="Normal"/>
      </w:pPr>
      <w:r>
        <w:t>2. Such facilitation does not alter the rules of origin of Chapter 4. A non-originating technology or product shall acquire originating status only in accordance with the applicable rule of origin and not merely by importation, installation, packaging, or transshipment through the territory of a Party.</w:t>
      </w:r>
    </w:p>
    <w:p>
      <w:pPr>
        <w:pStyle w:val="Normal"/>
      </w:pPr>
      <w:r>
        <w:t>3. The Parties shall encourage arrangements that increase North American technical capability through legitimate manufacturing, engineering participation, servicing capacity, workforce development, research collaboration, licensing, or other substantial value creation.</w:t>
      </w:r>
    </w:p>
    <w:p>
      <w:pPr>
        <w:pStyle w:val="Normal"/>
      </w:pPr>
      <w:r>
        <w:t>4. Nothing in this Article limits a Party's authority to apply investment screening, sanctions, export controls, cybersecurity requirements, procurement restrictions, or critical-infrastructure protections consistent with this Agreement.</w:t>
      </w:r>
    </w:p>
    <w:p>
      <w:pPr>
        <w:pStyle w:val="Heading2"/>
      </w:pPr>
      <w:bookmarkStart w:id="901519" w:name="_Toc300001518"/>
      <w:r>
        <w:t>Article 40.20: Critical Infrastructure Cybersecurity and Trusted Systems</w:t>
      </w:r>
      <w:bookmarkEnd w:id="901519"/>
    </w:p>
    <w:p>
      <w:pPr>
        <w:pStyle w:val="Normal"/>
      </w:pPr>
      <w:r>
        <w:t>1. Grid-control systems, bulk-power operational technology, sovereign or government compute, security-sensitive telecommunications, and other systems designated by a Party as critical infrastructure may be subject to enhanced cybersecurity, data-governance, supply-chain assurance, testing, access-control, and trusted-supplier requirements.</w:t>
      </w:r>
    </w:p>
    <w:p>
      <w:pPr>
        <w:pStyle w:val="Normal"/>
      </w:pPr>
      <w:r>
        <w:t>2. Such requirements should, where practicable, be risk-based, transparent as to their general criteria, and no more trade-restrictive than reasonably necessary to address the identified risk. Country of origin or manufacture alone shall not be dispositive; administration of this Article is subject to Article 32.F.</w:t>
      </w:r>
    </w:p>
    <w:p>
      <w:pPr>
        <w:pStyle w:val="Normal"/>
      </w:pPr>
      <w:r>
        <w:t>3. The Parties shall cooperate on incident reporting, secure-by-design standards, software and firmware integrity, supply-chain provenance, and recovery planning for covered systems.</w:t>
      </w:r>
    </w:p>
    <w:p>
      <w:pPr>
        <w:pStyle w:val="Heading2"/>
      </w:pPr>
      <w:bookmarkStart w:id="901520" w:name="_Toc300001519"/>
      <w:r>
        <w:t>Article 40.21: Canadian, United States and Mexican Compute Access and Sovereignty</w:t>
      </w:r>
      <w:bookmarkEnd w:id="901520"/>
    </w:p>
    <w:p>
      <w:pPr>
        <w:pStyle w:val="Normal"/>
      </w:pPr>
      <w:r>
        <w:t>1. Nothing in the Initiative requires a Party to surrender authority over data residency, privacy, public-sector data, national-security information, or sovereign computing requirements.</w:t>
      </w:r>
    </w:p>
    <w:p>
      <w:pPr>
        <w:pStyle w:val="Normal"/>
      </w:pPr>
      <w:r>
        <w:t>2. A Party granting material public support or preferential infrastructure treatment to a qualifying compute facility may require reasonable commitments concerning domestic commercial access, research access, workforce development, domestic service availability, or sovereign capacity, provided that such commitments are transparent and consistent with the Party's obligations under this Agreement.</w:t>
      </w:r>
    </w:p>
    <w:p>
      <w:pPr>
        <w:pStyle w:val="Normal"/>
      </w:pPr>
      <w:r>
        <w:t>3. The Parties shall encourage cross-border interoperability and commercial access while preserving the ability of each Party to maintain sovereign compute capacity under its own law and governance.</w:t>
      </w:r>
    </w:p>
    <w:p>
      <w:pPr>
        <w:pStyle w:val="Heading2"/>
      </w:pPr>
      <w:bookmarkStart w:id="901521" w:name="_Toc300001520"/>
      <w:r>
        <w:t>Article 40.22: Fibre, Telecommunications and Data-Movement Resilience</w:t>
      </w:r>
      <w:bookmarkEnd w:id="901521"/>
    </w:p>
    <w:p>
      <w:pPr>
        <w:pStyle w:val="Normal"/>
      </w:pPr>
      <w:r>
        <w:t>1. The Parties recognize that, where electricity transmission is constrained, locating compute near dependable generation and moving data through high-capacity telecommunications networks may reduce system costs and improve resilience.</w:t>
      </w:r>
    </w:p>
    <w:p>
      <w:pPr>
        <w:pStyle w:val="Normal"/>
      </w:pPr>
      <w:r>
        <w:t>2. The Parties shall cooperate to identify bottlenecks in cross-border and interregional fibre capacity serving Strategic Compute and Energy Zones and to encourage geographically diverse, redundant, secure routes.</w:t>
      </w:r>
    </w:p>
    <w:p>
      <w:pPr>
        <w:pStyle w:val="Normal"/>
      </w:pPr>
      <w:r>
        <w:t>3. This Article shall be implemented consistently with Chapter 18, Chapter 19, applicable privacy law, cybersecurity requirements, and each Party's authority over telecommunications and national security.</w:t>
      </w:r>
    </w:p>
    <w:p>
      <w:pPr>
        <w:pStyle w:val="Heading2"/>
      </w:pPr>
      <w:bookmarkStart w:id="901522" w:name="_Toc300001521"/>
      <w:r>
        <w:t>Article 40.23: Host-Community, Workforce and Indigenous Participation</w:t>
      </w:r>
      <w:bookmarkEnd w:id="901522"/>
    </w:p>
    <w:p>
      <w:pPr>
        <w:pStyle w:val="Normal"/>
      </w:pPr>
      <w:r>
        <w:t>1. A Party may require or encourage qualifying projects to provide tangible host-region benefits, including apprenticeships, workforce training, local infrastructure contributions, grid upgrades, research partnerships, emergency-services support, or other measures reasonably related to the project.</w:t>
      </w:r>
    </w:p>
    <w:p>
      <w:pPr>
        <w:pStyle w:val="Normal"/>
      </w:pPr>
      <w:r>
        <w:t>2. Projects shall comply with each Party's applicable obligations concerning Indigenous Peoples, consultation, treaty rights, land rights, and participation.</w:t>
      </w:r>
    </w:p>
    <w:p>
      <w:pPr>
        <w:pStyle w:val="Normal"/>
      </w:pPr>
      <w:r>
        <w:t>3. The Parties shall exchange best practices for community-benefit arrangements without establishing a uniform mandatory model.</w:t>
      </w:r>
    </w:p>
    <w:p>
      <w:pPr>
        <w:pStyle w:val="Normal"/>
      </w:pPr>
      <w:r>
        <w:t>4. Notwithstanding any other provision of this Article, each Party shall ensure that all energy transition initiatives implemented under Chapter 40 are accompanied by Chapter 23-B protections (North American Just Transition and Worker Security Framework), including:</w:t>
      </w:r>
    </w:p>
    <w:p>
      <w:pPr>
        <w:pStyle w:val="ListBullet"/>
      </w:pPr>
      <w:r>
        <w:t>Identification of energy workers as Affected Workers under Chapter 23-B</w:t>
      </w:r>
    </w:p>
    <w:p>
      <w:pPr>
        <w:pStyle w:val="ListBullet"/>
      </w:pPr>
      <w:r>
        <w:t>Access to income support and retraining under Articles 23-B.3–23-B.4</w:t>
      </w:r>
    </w:p>
    <w:p>
      <w:pPr>
        <w:pStyle w:val="ListBullet"/>
      </w:pPr>
      <w:r>
        <w:t>Community resilience support under Article 23-B.6 for communities dependent on fossil fuel energy production</w:t>
      </w:r>
    </w:p>
    <w:p>
      <w:pPr>
        <w:pStyle w:val="ListBullet"/>
      </w:pPr>
      <w:r>
        <w:t>Participation of energy workers and affected communities in transition planning through Community Steering Committees</w:t>
      </w:r>
    </w:p>
    <w:p>
      <w:pPr>
        <w:pStyle w:val="Normal"/>
      </w:pPr>
      <w:r>
        <w:t>5. Energy transitions shall not proceed ahead of Chapter 23-B support mechanisms being in place and operational.</w:t>
      </w:r>
    </w:p>
    <w:p>
      <w:pPr>
        <w:pStyle w:val="Heading2"/>
      </w:pPr>
      <w:bookmarkStart w:id="901523" w:name="_Toc300001522"/>
      <w:r>
        <w:t>Article 40.24: Implementation, Metrics and Review</w:t>
      </w:r>
      <w:bookmarkEnd w:id="901523"/>
    </w:p>
    <w:p>
      <w:pPr>
        <w:pStyle w:val="Normal"/>
      </w:pPr>
      <w:r>
        <w:t>1. The Economic Security and Supply Chain Resilience Subcommittee shall coordinate implementation of the Initiative, using the Grid Resilience Working Group for technical electricity and emergency-management matters and consulting the Committee on Digital Trade Cooperation only where digital-trade, telecommunications, data-movement, or cybersecurity issues materially require it. No body shall require substantially duplicative reporting for the same project or measure.</w:t>
      </w:r>
    </w:p>
    <w:p>
      <w:pPr>
        <w:pStyle w:val="Normal"/>
      </w:pPr>
      <w:r>
        <w:t>2. Within 12 months of entry into force of this Article, the Working Group shall publish non-binding baseline metrics covering major new digital loads, dependable generation additions, storage deployment, material transmission constraints, cross-border transfer capability, critical-equipment bottlenecks, and relevant telecommunications constraints, subject to protection of confidential and security-sensitive information.</w:t>
      </w:r>
    </w:p>
    <w:p>
      <w:pPr>
        <w:pStyle w:val="Normal"/>
      </w:pPr>
      <w:r>
        <w:t>3. The Working Group shall review Annex 40-A at least once every two years and may recommend technical updates through the Structured Technical Amendment Procedure in Article 34.3.A.</w:t>
      </w:r>
    </w:p>
    <w:p>
      <w:pPr>
        <w:pStyle w:val="Normal"/>
      </w:pPr>
      <w:r>
        <w:t>4. No review under this Article shall authorize the Commission to amend a substantive obligation of this Chapter through a technical annex.</w:t>
      </w:r>
    </w:p>
    <w:p>
      <w:pPr>
        <w:pStyle w:val="Heading1"/>
      </w:pPr>
      <w:bookmarkStart w:id="901524" w:name="_Toc300001523"/>
      <w:r>
        <w:t>ANNEX 40-A</w:t>
      </w:r>
      <w:r>
        <w:br/>
      </w:r>
      <w:r>
        <w:t>NORTH AMERICAN ENERGY, COMPUTE AND STORAGE IMPLEMENTATION FRAMEWORK</w:t>
      </w:r>
      <w:bookmarkEnd w:id="901524"/>
    </w:p>
    <w:p>
      <w:pPr>
        <w:pStyle w:val="Heading3"/>
      </w:pPr>
      <w:r>
        <w:t>Part 1: Qualification Criteria</w:t>
      </w:r>
    </w:p>
    <w:p>
      <w:pPr>
        <w:pStyle w:val="ListBullet"/>
        <w:numPr>
          <w:ilvl w:val="0"/>
          <w:numId w:val="1"/>
        </w:numPr>
      </w:pPr>
      <w:r>
        <w:t>Grid readiness: demonstrated ability to serve the proposed load or a binding plan for incremental capacity.</w:t>
      </w:r>
    </w:p>
    <w:p>
      <w:pPr>
        <w:pStyle w:val="ListBullet"/>
        <w:numPr>
          <w:ilvl w:val="0"/>
          <w:numId w:val="1"/>
        </w:numPr>
      </w:pPr>
      <w:r>
        <w:t>Incremental-system contribution: generation, storage, transmission, demand response, efficiency, or equivalent measurable support proportionate to the project's system impact.</w:t>
      </w:r>
    </w:p>
    <w:p>
      <w:pPr>
        <w:pStyle w:val="ListBullet"/>
        <w:numPr>
          <w:ilvl w:val="0"/>
          <w:numId w:val="1"/>
        </w:numPr>
      </w:pPr>
      <w:r>
        <w:t>Telecommunications resilience: at least two reasonably independent high-capacity routes where commercially and technically practicable.</w:t>
      </w:r>
    </w:p>
    <w:p>
      <w:pPr>
        <w:pStyle w:val="ListBullet"/>
        <w:numPr>
          <w:ilvl w:val="0"/>
          <w:numId w:val="1"/>
        </w:numPr>
      </w:pPr>
      <w:r>
        <w:t>Cooling and water: documented cooling strategy, water demand, drought exposure, and feasible low-water or reclaimed-water alternatives where local conditions warrant.</w:t>
      </w:r>
    </w:p>
    <w:p>
      <w:pPr>
        <w:pStyle w:val="ListBullet"/>
        <w:numPr>
          <w:ilvl w:val="0"/>
          <w:numId w:val="1"/>
        </w:numPr>
      </w:pPr>
      <w:r>
        <w:t>Security: physical security, cyber risk management, supply-chain assurance, and incident-recovery planning proportionate to the facility's function.</w:t>
      </w:r>
    </w:p>
    <w:p>
      <w:pPr>
        <w:pStyle w:val="ListBullet"/>
        <w:numPr>
          <w:ilvl w:val="0"/>
          <w:numId w:val="1"/>
        </w:numPr>
      </w:pPr>
      <w:r>
        <w:t>Scalability: expansion shall be considered in the original system-impact assessment rather than treated as automatically entitled incremental load.</w:t>
      </w:r>
    </w:p>
    <w:p>
      <w:pPr>
        <w:pStyle w:val="ListBullet"/>
        <w:numPr>
          <w:ilvl w:val="0"/>
          <w:numId w:val="1"/>
        </w:numPr>
      </w:pPr>
      <w:r>
        <w:t>Community impact: land use, municipal services, emergency response, workforce, housing pressure, noise, and other locally material effects.</w:t>
      </w:r>
    </w:p>
    <w:p>
      <w:pPr>
        <w:pStyle w:val="ListBullet"/>
        <w:numPr>
          <w:ilvl w:val="0"/>
          <w:numId w:val="1"/>
        </w:numPr>
      </w:pPr>
      <w:r>
        <w:t>Energy efficiency: reporting of power usage effectiveness or successor metrics appropriate to the facility, without establishing a single permanent treaty threshold.</w:t>
      </w:r>
    </w:p>
    <w:p>
      <w:pPr>
        <w:pStyle w:val="Heading3"/>
      </w:pPr>
      <w:r>
        <w:t>Part 2: Eligible Energy and Storage Technologies</w:t>
      </w:r>
    </w:p>
    <w:p>
      <w:pPr>
        <w:pStyle w:val="Normal"/>
      </w:pPr>
      <w:r>
        <w:t>The following categories are initially eligible for cooperation, demonstration, technical standardization, or project qualification. Inclusion does not imply subsidy, procurement preference, originating status, or a finding of commercial superiority:</w:t>
      </w:r>
    </w:p>
    <w:p>
      <w:pPr>
        <w:pStyle w:val="ListBullet"/>
        <w:numPr>
          <w:ilvl w:val="0"/>
          <w:numId w:val="1"/>
        </w:numPr>
      </w:pPr>
      <w:r>
        <w:t>Reservoir hydroelectric generation and pumped-storage hydroelectricity.</w:t>
      </w:r>
    </w:p>
    <w:p>
      <w:pPr>
        <w:pStyle w:val="ListBullet"/>
        <w:numPr>
          <w:ilvl w:val="0"/>
          <w:numId w:val="1"/>
        </w:numPr>
      </w:pPr>
      <w:r>
        <w:t>Nuclear generation, including existing fleets and qualifying advanced reactors under applicable domestic licensing.</w:t>
      </w:r>
    </w:p>
    <w:p>
      <w:pPr>
        <w:pStyle w:val="ListBullet"/>
        <w:numPr>
          <w:ilvl w:val="0"/>
          <w:numId w:val="1"/>
        </w:numPr>
      </w:pPr>
      <w:r>
        <w:t>Wind and photovoltaic generation.</w:t>
      </w:r>
    </w:p>
    <w:p>
      <w:pPr>
        <w:pStyle w:val="ListBullet"/>
        <w:numPr>
          <w:ilvl w:val="0"/>
          <w:numId w:val="1"/>
        </w:numPr>
      </w:pPr>
      <w:r>
        <w:t>Concentrated solar thermal generation and molten-salt or successor thermal-energy storage where site resources are suitable.</w:t>
      </w:r>
    </w:p>
    <w:p>
      <w:pPr>
        <w:pStyle w:val="ListBullet"/>
        <w:numPr>
          <w:ilvl w:val="0"/>
          <w:numId w:val="1"/>
        </w:numPr>
      </w:pPr>
      <w:r>
        <w:t>Sodium-ion, lithium-ion, flow-battery, metal-air, and successor electrochemical storage.</w:t>
      </w:r>
    </w:p>
    <w:p>
      <w:pPr>
        <w:pStyle w:val="ListBullet"/>
        <w:numPr>
          <w:ilvl w:val="0"/>
          <w:numId w:val="1"/>
        </w:numPr>
      </w:pPr>
      <w:r>
        <w:t>Thermal storage, including power-to-heat systems capable of absorbing surplus electricity.</w:t>
      </w:r>
    </w:p>
    <w:p>
      <w:pPr>
        <w:pStyle w:val="ListBullet"/>
        <w:numPr>
          <w:ilvl w:val="0"/>
          <w:numId w:val="1"/>
        </w:numPr>
      </w:pPr>
      <w:r>
        <w:t>Compressed-air, liquid-air, gravitational, flywheel, and other mechanical storage.</w:t>
      </w:r>
    </w:p>
    <w:p>
      <w:pPr>
        <w:pStyle w:val="ListBullet"/>
        <w:numPr>
          <w:ilvl w:val="0"/>
          <w:numId w:val="1"/>
        </w:numPr>
      </w:pPr>
      <w:r>
        <w:t>Demand-response systems, controllable industrial loads, and flexible compute loads.</w:t>
      </w:r>
    </w:p>
    <w:p>
      <w:pPr>
        <w:pStyle w:val="ListBullet"/>
        <w:numPr>
          <w:ilvl w:val="0"/>
          <w:numId w:val="1"/>
        </w:numPr>
      </w:pPr>
      <w:r>
        <w:t>Grid-forming inverters, advanced power electronics, transformers, switchgear, high-voltage equipment, and grid-control technologies.</w:t>
      </w:r>
    </w:p>
    <w:p>
      <w:pPr>
        <w:pStyle w:val="Heading3"/>
      </w:pPr>
      <w:r>
        <w:t>Part 3: Power Product Model</w:t>
      </w:r>
    </w:p>
    <w:tbl>
      <w:tblPr>
        <w:tblStyle w:val="TableGrid"/>
        <w:tblW w:w="9576"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2391"/>
        <w:gridCol w:w="2392"/>
        <w:gridCol w:w="2394"/>
        <w:gridCol w:w="2398"/>
      </w:tblGrid>
      <w:tr>
        <w:trPr>
          <w:tblHeader w:val="true"/>
          <w:cantSplit w:val="true"/>
          <w:tblHeader w:val="true"/>
        </w:trPr>
        <w:tc>
          <w:tcPr>
            <w:tcW w:w="2391" w:type="dxa"/>
            <w:tcBorders>
              <w:bottom w:val="single" w:sz="6" w:space="0" w:color="546E7A"/>
            </w:tcBorders>
            <w:shd w:fill="E4E9EC" w:val="clear" w:color="auto"/>
          </w:tcPr>
          <w:p>
            <w:pPr>
              <w:pStyle w:val="TableText"/>
              <w:jc w:val="left"/>
            </w:pPr>
            <w:r>
              <w:rPr>
                <w:b/>
                <w:color w:val="37474F"/>
                <w:lang w:val="en-US" w:eastAsia="en-US" w:bidi="ar-SA"/>
              </w:rPr>
              <w:t>Product</w:t>
            </w:r>
          </w:p>
        </w:tc>
        <w:tc>
          <w:tcPr>
            <w:tcW w:w="2392" w:type="dxa"/>
            <w:tcBorders>
              <w:bottom w:val="single" w:sz="6" w:space="0" w:color="546E7A"/>
            </w:tcBorders>
            <w:shd w:fill="E4E9EC" w:val="clear" w:color="auto"/>
          </w:tcPr>
          <w:p>
            <w:pPr>
              <w:pStyle w:val="TableText"/>
              <w:jc w:val="left"/>
            </w:pPr>
            <w:r>
              <w:rPr>
                <w:b/>
                <w:color w:val="37474F"/>
                <w:lang w:val="en-US" w:eastAsia="en-US" w:bidi="ar-SA"/>
              </w:rPr>
              <w:t>Reliability Character</w:t>
            </w:r>
          </w:p>
        </w:tc>
        <w:tc>
          <w:tcPr>
            <w:tcW w:w="2394" w:type="dxa"/>
            <w:tcBorders>
              <w:bottom w:val="single" w:sz="6" w:space="0" w:color="546E7A"/>
            </w:tcBorders>
            <w:shd w:fill="E4E9EC" w:val="clear" w:color="auto"/>
          </w:tcPr>
          <w:p>
            <w:pPr>
              <w:pStyle w:val="TableText"/>
              <w:jc w:val="left"/>
            </w:pPr>
            <w:r>
              <w:rPr>
                <w:b/>
                <w:color w:val="37474F"/>
                <w:lang w:val="en-US" w:eastAsia="en-US" w:bidi="ar-SA"/>
              </w:rPr>
              <w:t>Typical Use</w:t>
            </w:r>
          </w:p>
        </w:tc>
        <w:tc>
          <w:tcPr>
            <w:tcW w:w="2398" w:type="dxa"/>
            <w:tcBorders>
              <w:bottom w:val="single" w:sz="6" w:space="0" w:color="546E7A"/>
            </w:tcBorders>
            <w:shd w:fill="E4E9EC" w:val="clear" w:color="auto"/>
          </w:tcPr>
          <w:p>
            <w:pPr>
              <w:pStyle w:val="TableText"/>
              <w:jc w:val="left"/>
            </w:pPr>
            <w:r>
              <w:rPr>
                <w:b/>
                <w:color w:val="37474F"/>
                <w:lang w:val="en-US" w:eastAsia="en-US" w:bidi="ar-SA"/>
              </w:rPr>
              <w:t>Safeguard</w:t>
            </w:r>
          </w:p>
        </w:tc>
      </w:tr>
      <w:tr>
        <w:trPr>
          <w:cantSplit w:val="true"/>
        </w:trPr>
        <w:tc>
          <w:tcPr>
            <w:tcW w:w="2391" w:type="dxa"/>
            <w:tcMar>
              <w:top w:w="70" w:type="dxa"/>
              <w:start w:w="110" w:type="dxa"/>
              <w:bottom w:w="70" w:type="dxa"/>
              <w:end w:w="110" w:type="dxa"/>
            </w:tcMar>
          </w:tcPr>
          <w:p>
            <w:pPr>
              <w:pStyle w:val="TableText"/>
              <w:jc w:val="left"/>
            </w:pPr>
            <w:r>
              <w:rPr>
                <w:lang w:val="en-US" w:eastAsia="en-US" w:bidi="ar-SA"/>
              </w:rPr>
              <w:t>Firm Power</w:t>
            </w:r>
          </w:p>
        </w:tc>
        <w:tc>
          <w:tcPr>
            <w:tcW w:w="2392" w:type="dxa"/>
            <w:tcMar>
              <w:top w:w="70" w:type="dxa"/>
              <w:start w:w="110" w:type="dxa"/>
              <w:bottom w:w="70" w:type="dxa"/>
              <w:end w:w="110" w:type="dxa"/>
            </w:tcMar>
          </w:tcPr>
          <w:p>
            <w:pPr>
              <w:pStyle w:val="TableText"/>
              <w:jc w:val="left"/>
            </w:pPr>
            <w:r>
              <w:rPr>
                <w:lang w:val="en-US" w:eastAsia="en-US" w:bidi="ar-SA"/>
              </w:rPr>
              <w:t>High contractual availability</w:t>
            </w:r>
          </w:p>
        </w:tc>
        <w:tc>
          <w:tcPr>
            <w:tcW w:w="2394" w:type="dxa"/>
            <w:tcMar>
              <w:top w:w="70" w:type="dxa"/>
              <w:start w:w="110" w:type="dxa"/>
              <w:bottom w:w="70" w:type="dxa"/>
              <w:end w:w="110" w:type="dxa"/>
            </w:tcMar>
          </w:tcPr>
          <w:p>
            <w:pPr>
              <w:pStyle w:val="TableText"/>
              <w:jc w:val="left"/>
            </w:pPr>
            <w:r>
              <w:rPr>
                <w:lang w:val="en-US" w:eastAsia="en-US" w:bidi="ar-SA"/>
              </w:rPr>
              <w:t>Critical compute and industrial loads</w:t>
            </w:r>
          </w:p>
        </w:tc>
        <w:tc>
          <w:tcPr>
            <w:tcW w:w="2398" w:type="dxa"/>
            <w:tcMar>
              <w:top w:w="70" w:type="dxa"/>
              <w:start w:w="110" w:type="dxa"/>
              <w:bottom w:w="70" w:type="dxa"/>
              <w:end w:w="110" w:type="dxa"/>
            </w:tcMar>
          </w:tcPr>
          <w:p>
            <w:pPr>
              <w:pStyle w:val="TableText"/>
              <w:jc w:val="left"/>
            </w:pPr>
            <w:r>
              <w:rPr>
                <w:lang w:val="en-US" w:eastAsia="en-US" w:bidi="ar-SA"/>
              </w:rPr>
              <w:t>Subject to applicable emergency and reliability authority</w:t>
            </w:r>
          </w:p>
        </w:tc>
      </w:tr>
      <w:tr>
        <w:trPr>
          <w:cantSplit w:val="true"/>
        </w:trPr>
        <w:tc>
          <w:tcPr>
            <w:tcW w:w="2391" w:type="dxa"/>
            <w:shd w:fill="F5F7F8" w:val="clear" w:color="auto"/>
            <w:tcMar>
              <w:top w:w="70" w:type="dxa"/>
              <w:start w:w="110" w:type="dxa"/>
              <w:bottom w:w="70" w:type="dxa"/>
              <w:end w:w="110" w:type="dxa"/>
            </w:tcMar>
          </w:tcPr>
          <w:p>
            <w:pPr>
              <w:pStyle w:val="TableText"/>
              <w:jc w:val="left"/>
            </w:pPr>
            <w:r>
              <w:rPr>
                <w:lang w:val="en-US" w:eastAsia="en-US" w:bidi="ar-SA"/>
              </w:rPr>
              <w:t>Flexible Power</w:t>
            </w:r>
          </w:p>
        </w:tc>
        <w:tc>
          <w:tcPr>
            <w:tcW w:w="2392" w:type="dxa"/>
            <w:shd w:fill="F5F7F8" w:val="clear" w:color="auto"/>
            <w:tcMar>
              <w:top w:w="70" w:type="dxa"/>
              <w:start w:w="110" w:type="dxa"/>
              <w:bottom w:w="70" w:type="dxa"/>
              <w:end w:w="110" w:type="dxa"/>
            </w:tcMar>
          </w:tcPr>
          <w:p>
            <w:pPr>
              <w:pStyle w:val="TableText"/>
              <w:jc w:val="left"/>
            </w:pPr>
            <w:r>
              <w:rPr>
                <w:lang w:val="en-US" w:eastAsia="en-US" w:bidi="ar-SA"/>
              </w:rPr>
              <w:t>Scheduled or conditionally adjustable</w:t>
            </w:r>
          </w:p>
        </w:tc>
        <w:tc>
          <w:tcPr>
            <w:tcW w:w="2394" w:type="dxa"/>
            <w:shd w:fill="F5F7F8" w:val="clear" w:color="auto"/>
            <w:tcMar>
              <w:top w:w="70" w:type="dxa"/>
              <w:start w:w="110" w:type="dxa"/>
              <w:bottom w:w="70" w:type="dxa"/>
              <w:end w:w="110" w:type="dxa"/>
            </w:tcMar>
          </w:tcPr>
          <w:p>
            <w:pPr>
              <w:pStyle w:val="TableText"/>
              <w:jc w:val="left"/>
            </w:pPr>
            <w:r>
              <w:rPr>
                <w:lang w:val="en-US" w:eastAsia="en-US" w:bidi="ar-SA"/>
              </w:rPr>
              <w:t>Workloads able to shift in time</w:t>
            </w:r>
          </w:p>
        </w:tc>
        <w:tc>
          <w:tcPr>
            <w:tcW w:w="2398" w:type="dxa"/>
            <w:shd w:fill="F5F7F8" w:val="clear" w:color="auto"/>
            <w:tcMar>
              <w:top w:w="70" w:type="dxa"/>
              <w:start w:w="110" w:type="dxa"/>
              <w:bottom w:w="70" w:type="dxa"/>
              <w:end w:w="110" w:type="dxa"/>
            </w:tcMar>
          </w:tcPr>
          <w:p>
            <w:pPr>
              <w:pStyle w:val="TableText"/>
              <w:jc w:val="left"/>
            </w:pPr>
            <w:r>
              <w:rPr>
                <w:lang w:val="en-US" w:eastAsia="en-US" w:bidi="ar-SA"/>
              </w:rPr>
              <w:t>Transparent notice and restoration terms</w:t>
            </w:r>
          </w:p>
        </w:tc>
      </w:tr>
      <w:tr>
        <w:trPr>
          <w:cantSplit w:val="true"/>
        </w:trPr>
        <w:tc>
          <w:tcPr>
            <w:tcW w:w="2391" w:type="dxa"/>
            <w:tcMar>
              <w:top w:w="70" w:type="dxa"/>
              <w:start w:w="110" w:type="dxa"/>
              <w:bottom w:w="70" w:type="dxa"/>
              <w:end w:w="110" w:type="dxa"/>
            </w:tcMar>
          </w:tcPr>
          <w:p>
            <w:pPr>
              <w:pStyle w:val="TableText"/>
              <w:jc w:val="left"/>
            </w:pPr>
            <w:r>
              <w:rPr>
                <w:lang w:val="en-US" w:eastAsia="en-US" w:bidi="ar-SA"/>
              </w:rPr>
              <w:t>Interruptible Power</w:t>
            </w:r>
          </w:p>
        </w:tc>
        <w:tc>
          <w:tcPr>
            <w:tcW w:w="2392" w:type="dxa"/>
            <w:tcMar>
              <w:top w:w="70" w:type="dxa"/>
              <w:start w:w="110" w:type="dxa"/>
              <w:bottom w:w="70" w:type="dxa"/>
              <w:end w:w="110" w:type="dxa"/>
            </w:tcMar>
          </w:tcPr>
          <w:p>
            <w:pPr>
              <w:pStyle w:val="TableText"/>
              <w:jc w:val="left"/>
            </w:pPr>
            <w:r>
              <w:rPr>
                <w:lang w:val="en-US" w:eastAsia="en-US" w:bidi="ar-SA"/>
              </w:rPr>
              <w:t>Curtailable under defined conditions</w:t>
            </w:r>
          </w:p>
        </w:tc>
        <w:tc>
          <w:tcPr>
            <w:tcW w:w="2394" w:type="dxa"/>
            <w:tcMar>
              <w:top w:w="70" w:type="dxa"/>
              <w:start w:w="110" w:type="dxa"/>
              <w:bottom w:w="70" w:type="dxa"/>
              <w:end w:w="110" w:type="dxa"/>
            </w:tcMar>
          </w:tcPr>
          <w:p>
            <w:pPr>
              <w:pStyle w:val="TableText"/>
              <w:jc w:val="left"/>
            </w:pPr>
            <w:r>
              <w:rPr>
                <w:lang w:val="en-US" w:eastAsia="en-US" w:bidi="ar-SA"/>
              </w:rPr>
              <w:t>Non-critical or deferrable compute</w:t>
            </w:r>
          </w:p>
        </w:tc>
        <w:tc>
          <w:tcPr>
            <w:tcW w:w="2398" w:type="dxa"/>
            <w:tcMar>
              <w:top w:w="70" w:type="dxa"/>
              <w:start w:w="110" w:type="dxa"/>
              <w:bottom w:w="70" w:type="dxa"/>
              <w:end w:w="110" w:type="dxa"/>
            </w:tcMar>
          </w:tcPr>
          <w:p>
            <w:pPr>
              <w:pStyle w:val="TableText"/>
              <w:jc w:val="left"/>
            </w:pPr>
            <w:r>
              <w:rPr>
                <w:lang w:val="en-US" w:eastAsia="en-US" w:bidi="ar-SA"/>
              </w:rPr>
              <w:t>Lower price or other compensation reflects flexibility</w:t>
            </w:r>
          </w:p>
        </w:tc>
      </w:tr>
      <w:tr>
        <w:trPr>
          <w:cantSplit w:val="true"/>
        </w:trPr>
        <w:tc>
          <w:tcPr>
            <w:tcW w:w="2391" w:type="dxa"/>
            <w:shd w:fill="F5F7F8" w:val="clear" w:color="auto"/>
            <w:tcMar>
              <w:top w:w="70" w:type="dxa"/>
              <w:start w:w="110" w:type="dxa"/>
              <w:bottom w:w="70" w:type="dxa"/>
              <w:end w:w="110" w:type="dxa"/>
            </w:tcMar>
          </w:tcPr>
          <w:p>
            <w:pPr>
              <w:pStyle w:val="TableText"/>
              <w:jc w:val="left"/>
            </w:pPr>
            <w:r>
              <w:rPr>
                <w:lang w:val="en-US" w:eastAsia="en-US" w:bidi="ar-SA"/>
              </w:rPr>
              <w:t>Surplus Energy</w:t>
            </w:r>
          </w:p>
        </w:tc>
        <w:tc>
          <w:tcPr>
            <w:tcW w:w="2392" w:type="dxa"/>
            <w:shd w:fill="F5F7F8" w:val="clear" w:color="auto"/>
            <w:tcMar>
              <w:top w:w="70" w:type="dxa"/>
              <w:start w:w="110" w:type="dxa"/>
              <w:bottom w:w="70" w:type="dxa"/>
              <w:end w:w="110" w:type="dxa"/>
            </w:tcMar>
          </w:tcPr>
          <w:p>
            <w:pPr>
              <w:pStyle w:val="TableText"/>
              <w:jc w:val="left"/>
            </w:pPr>
            <w:r>
              <w:rPr>
                <w:lang w:val="en-US" w:eastAsia="en-US" w:bidi="ar-SA"/>
              </w:rPr>
              <w:t>Available when otherwise curtailed or economically stranded</w:t>
            </w:r>
          </w:p>
        </w:tc>
        <w:tc>
          <w:tcPr>
            <w:tcW w:w="2394" w:type="dxa"/>
            <w:shd w:fill="F5F7F8" w:val="clear" w:color="auto"/>
            <w:tcMar>
              <w:top w:w="70" w:type="dxa"/>
              <w:start w:w="110" w:type="dxa"/>
              <w:bottom w:w="70" w:type="dxa"/>
              <w:end w:w="110" w:type="dxa"/>
            </w:tcMar>
          </w:tcPr>
          <w:p>
            <w:pPr>
              <w:pStyle w:val="TableText"/>
              <w:jc w:val="left"/>
            </w:pPr>
            <w:r>
              <w:rPr>
                <w:lang w:val="en-US" w:eastAsia="en-US" w:bidi="ar-SA"/>
              </w:rPr>
              <w:t>Storage, thermal loads, opportunistic compute</w:t>
            </w:r>
          </w:p>
        </w:tc>
        <w:tc>
          <w:tcPr>
            <w:tcW w:w="2398" w:type="dxa"/>
            <w:shd w:fill="F5F7F8" w:val="clear" w:color="auto"/>
            <w:tcMar>
              <w:top w:w="70" w:type="dxa"/>
              <w:start w:w="110" w:type="dxa"/>
              <w:bottom w:w="70" w:type="dxa"/>
              <w:end w:w="110" w:type="dxa"/>
            </w:tcMar>
          </w:tcPr>
          <w:p>
            <w:pPr>
              <w:pStyle w:val="TableText"/>
              <w:jc w:val="left"/>
            </w:pPr>
            <w:r>
              <w:rPr>
                <w:lang w:val="en-US" w:eastAsia="en-US" w:bidi="ar-SA"/>
              </w:rPr>
              <w:t>No entitlement to continued supply</w:t>
            </w:r>
          </w:p>
        </w:tc>
      </w:tr>
    </w:tbl>
    <w:p>
      <w:pPr>
        <w:pStyle w:val="Heading3"/>
      </w:pPr>
      <w:r>
        <w:t>Part 4: Demonstration Discipline</w:t>
      </w:r>
    </w:p>
    <w:p>
      <w:pPr>
        <w:pStyle w:val="ListBullet"/>
        <w:numPr>
          <w:ilvl w:val="0"/>
          <w:numId w:val="1"/>
        </w:numPr>
      </w:pPr>
      <w:r>
        <w:t>Every demonstration shall state the hypothesis being tested and the commercial or grid problem it is intended to solve.</w:t>
      </w:r>
    </w:p>
    <w:p>
      <w:pPr>
        <w:pStyle w:val="ListBullet"/>
        <w:numPr>
          <w:ilvl w:val="0"/>
          <w:numId w:val="1"/>
        </w:numPr>
      </w:pPr>
      <w:r>
        <w:t>Performance claims shall be classified as measured, independently verified, modelled, vendor-stated, or provisional.</w:t>
      </w:r>
    </w:p>
    <w:p>
      <w:pPr>
        <w:pStyle w:val="ListBullet"/>
        <w:numPr>
          <w:ilvl w:val="0"/>
          <w:numId w:val="1"/>
        </w:numPr>
      </w:pPr>
      <w:r>
        <w:t>Scale-up decisions shall be based on measured performance and total-system economics, not on technology nationality or political sponsorship.</w:t>
      </w:r>
    </w:p>
    <w:p>
      <w:pPr>
        <w:pStyle w:val="ListBullet"/>
        <w:numPr>
          <w:ilvl w:val="0"/>
          <w:numId w:val="1"/>
        </w:numPr>
      </w:pPr>
      <w:r>
        <w:t>Demonstrations should include explicit stop criteria so that unsuccessful technologies do not acquire permanent support merely because capital has already been spent.</w:t>
      </w:r>
    </w:p>
    <w:p>
      <w:pPr>
        <w:pStyle w:val="ListBullet"/>
        <w:numPr>
          <w:ilvl w:val="0"/>
          <w:numId w:val="1"/>
        </w:numPr>
      </w:pPr>
      <w:r>
        <w:t>Cold-climate demonstrations shall measure freeze protection, auxiliary energy, startup, thermal cycling, material degradation, maintenance burden, and seasonal availability where relevant.</w:t>
      </w:r>
    </w:p>
    <w:p>
      <w:pPr>
        <w:pStyle w:val="Heading3"/>
      </w:pPr>
      <w:r>
        <w:t>Part 5: North American Industrialization</w:t>
      </w:r>
    </w:p>
    <w:p>
      <w:pPr>
        <w:pStyle w:val="ListBullet"/>
        <w:numPr>
          <w:ilvl w:val="0"/>
          <w:numId w:val="1"/>
        </w:numPr>
      </w:pPr>
      <w:r>
        <w:t>Projects may receive enhanced facilitation where they establish substantial North American manufacturing, engineering, assembly, testing, servicing, or R&amp;D capability.</w:t>
      </w:r>
    </w:p>
    <w:p>
      <w:pPr>
        <w:pStyle w:val="ListBullet"/>
        <w:numPr>
          <w:ilvl w:val="0"/>
          <w:numId w:val="1"/>
        </w:numPr>
      </w:pPr>
      <w:r>
        <w:t>Origin determinations remain governed exclusively by Chapter 4 and applicable uniform regulations.</w:t>
      </w:r>
    </w:p>
    <w:p>
      <w:pPr>
        <w:pStyle w:val="ListBullet"/>
        <w:numPr>
          <w:ilvl w:val="0"/>
          <w:numId w:val="1"/>
        </w:numPr>
      </w:pPr>
      <w:r>
        <w:t>Localization incentives should prioritize durable capability rather than nominal final assembly designed principally to obtain preferential treatment.</w:t>
      </w:r>
    </w:p>
    <w:p>
      <w:pPr>
        <w:pStyle w:val="ListBullet"/>
        <w:numPr>
          <w:ilvl w:val="0"/>
          <w:numId w:val="1"/>
        </w:numPr>
      </w:pPr>
      <w:r>
        <w:t>Critical equipment supply chains should be mapped under Chapter 36 and may be designated essential inputs under Annex 35-B.</w:t>
      </w:r>
    </w:p>
    <w:p>
      <w:pPr>
        <w:pStyle w:val="Heading3"/>
      </w:pPr>
      <w:r>
        <w:t>Part 6: Emergency Reciprocity</w:t>
      </w:r>
    </w:p>
    <w:p>
      <w:pPr>
        <w:pStyle w:val="Normal"/>
      </w:pPr>
      <w:r>
        <w:t>During an emergency activated under Chapter 38, the Emergency Trade Coordination Body may coordinate temporary electricity exchanges, restoration equipment, transformer inventories, mobile generation, storage resources, digital-load curtailment, and telecommunications restoration. Emergency cooperation shall preserve the domestic-reliability safeguard in Article 40.12 and shall not create a permanent export obligation.</w:t>
      </w:r>
    </w:p>
    <w:p>
      <w:pPr>
        <w:pStyle w:val="Normal"/>
      </w:pPr>
      <w:r>
        <w:t>ANNEX I 1. The Schedule of a Party to this Annex sets out, pursuant to Articles 14.12 (Non- Conforming Measures) and 15.7 (Non-Conforming Measures), a Party’s existing measures that are not subject to some or all of the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non-conforming aspects of the law, regulation, or other measure, as set out in paragraph 3; (d) Level of Government indicates the level of government maintaining the scheduled measure(s); (e) Measures identifies the laws, regulations, or other measures for which the entry is made.</w:t>
      </w:r>
    </w:p>
    <w:p>
      <w:pPr>
        <w:pStyle w:val="Normal"/>
      </w:pPr>
      <w:r>
        <w:t>A measure cited in the Measures element: (i) means the measure as amended, continued, or renewed as of the date of entry into force of this Agreement, and (ii) includes any subordinate measure adopted or maintained under the</w:t>
      </w:r>
    </w:p>
    <w:p>
      <w:pPr>
        <w:pStyle w:val="Normal"/>
      </w:pPr>
      <w:r>
        <w:t>ANNEX I-EXPLANATORY NOTE-1 authority of and consistent with the measure; and (f) Description, as indicated in the introductory note for each Party’s Schedule, either sets out the non-conforming measure or provides a general non-binding description of the measure for which the entry is made. 3. Articles 15.6 (Local Presence) and 15.3 (National Treatment) are separate disciplines and a measure that is only inconsistent with Article 15.6 (Local Presence) need not be reserved against Article 15.3 (National Treatment).</w:t>
      </w:r>
    </w:p>
    <w:p>
      <w:pPr>
        <w:pStyle w:val="Heading1"/>
      </w:pPr>
      <w:bookmarkStart w:id="901525" w:name="_Toc300001524"/>
      <w:r>
        <w:t>ANNEX I-EXPLANATORY NOTE-2</w:t>
      </w:r>
      <w:bookmarkEnd w:id="901525"/>
    </w:p>
    <w:p>
      <w:pPr>
        <w:pStyle w:val="Normal"/>
      </w:pPr>
      <w:r>
        <w:t>ANNEX I SCHEDULE OF CANADA INTRODUCTORY NOTES 1. Description provides a general non-binding description of the measure for which the entry is made. 2. Obligations Concerned specifies the obligations referred to in Article 14.12 (Non- Conforming Measures) and Article 15.7 (Non-Conforming Measures) that do not apply to the listed measures. 3. In the interpretation of an entry, all elements of the entry shall be considered. An entry shall be interpreted in light of the relevant provisions of the Chapters against which the entry is taken. To the extent that: (a) the Measures element is qualified by a liberalization commitment from the Description element, the Measures element as so qualified prevails over all other elements; and (b) the Measures element is not so qualified, the Measures element prevails over other elements, unless a discrepancy between the Measures element and the other elements considered in their totality is so substantial and material that it would be unreasonable to conclude that the Measures element prevails, in which case the other elements prevail to the extent of that discrepancy.</w:t>
      </w:r>
    </w:p>
    <w:p>
      <w:pPr>
        <w:pStyle w:val="Normal"/>
      </w:pPr>
      <w:r>
        <w:t>ANNEX I – CANADA – 1 Reservation I-C-1 Sector: Sub-Sector: Obligations Concerned: Level of Government: Measures: Description: All Sectors National Treatment (Article 14.4) Performance Requirements (Article 14.10) Senior Management and Boards of Directors (Article 14.11) Central Investment Canada Act, R.S.C. 1985, c. 28 (1st Supp.) Investment Canada Regulations, SOR/85-611 Investment 1. Except as set out in paragraphs 5 and 9, the Director of Investments will review a direct “acquisition of control”, as defined in the Investment Canada Act, of a Canadian business by a WTO investor if the value of the Canadian business is not less than C$1 billion, adjusted in accordance with the applicable methodology in January of each subsequent year, starting in 2019, as set out in the Investment Canada Act. 2. Notwithstanding the definition of “investor of a Party” in Article 14.1 (Definitions), only WTO investors or entities controlled by WTO investors provided for in the Investment Canada Act may benefit from the CAD $1 billion threshold. 3.</w:t>
      </w:r>
    </w:p>
    <w:p>
      <w:pPr>
        <w:pStyle w:val="Normal"/>
      </w:pPr>
      <w:r>
        <w:t>Except as set out in paragraphs 5 and 9, the Director of Investments will review a direct “acquisition of control”, as defined in the Investment Canada Act, of a Canadian business by a trade agreement investor if the value of the Canadian business is not less than CAD $1.5 billion, adjusted in accordance with the applicable methodology in January of each subsequent year, starting in 2019, as set out in the Investment Canada Act. 4.</w:t>
      </w:r>
    </w:p>
    <w:p>
      <w:pPr>
        <w:pStyle w:val="Normal"/>
      </w:pPr>
      <w:r>
        <w:t>Notwithstanding the definition of “investor of a Party” in Article 14.1 (Definitions), only a trade agreement investor or an entity controlled by a trade agreement investor as provided for in the Investment Canada Act may benefit from the CAD $1.5 billion review threshold.</w:t>
      </w:r>
    </w:p>
    <w:p>
      <w:pPr>
        <w:pStyle w:val="Normal"/>
      </w:pPr>
      <w:r>
        <w:t>ANNEX I – CANADA – 2 5. The higher threshold in paragraphs 1 and 3 does not apply to a direct acquisition of control by a state-owned enterprise of a Canadian business. These acquisitions are subject to review by the Director of Investments if the value of the Canadian business is not less than C$398 million in 2018, adjusted in accordance with the applicable methodology in January of each subsequent year as set out in the Investment Canada Act. 6. An investment subject to review under the Investment Canada Act may not be implemented unless the Minister responsible for the Investment Canada Act advises the applicant that the investment is likely to be of net benefit to Canada. This determination is made in accordance with six factors described in the Investment Canada Act, summarized as follows: (a) the effect of the investment on the level and nature of economic activity in Canada, including the effect on employment, on the use of parts, components, and services produced in Canada and on exports from Canada;</w:t>
      </w:r>
    </w:p>
    <w:p>
      <w:pPr>
        <w:pStyle w:val="Normal"/>
      </w:pPr>
      <w:r>
        <w:t>(b) the degree and significance of participation by Canadians in the investment; (c) the effect of the investment on productivity, industrial efficiency, technological development, and product innovation in Canada; (d) the effect of the investment on competition within an industry in Canada; (e) the compatibility of the investment with national industrial, economic, and cultural policies, taking into consideration industrial, economic, and cultural policy objectives</w:t>
      </w:r>
    </w:p>
    <w:p>
      <w:pPr>
        <w:pStyle w:val="Normal"/>
      </w:pPr>
      <w:r>
        <w:t>enunciated by the government or legislature of a province likely to be significantly affected by the investment; and (f) the contribution of the investment to Canada’s ability to compete in world markets.</w:t>
      </w:r>
    </w:p>
    <w:p>
      <w:pPr>
        <w:pStyle w:val="Normal"/>
      </w:pPr>
      <w:r>
        <w:t>ANNEX I – CANADA – 3 7. In making a net benefit determination, the Minister, through the Director of Investments, may review plans under which the applicant demonstrates the net benefit to Canada of the proposed acquisition. An applicant may also submit an undertaking to the Minister in connection with a proposed acquisition that is the subject of review. In the event of noncompliance with an undertaking by an applicant, the Minister may seek a court order directing compliance or any other remedy authorized under the Investment Canada Act. 8. A non-Canadian who establishes or acquires a Canadian business, other than those that are subject to review must notify the Director of Investments. 9. The review thresholds set out in paragraphs 1, 3, and 5 do not apply to an acquisition of a cultural business. 10.</w:t>
      </w:r>
    </w:p>
    <w:p>
      <w:pPr>
        <w:pStyle w:val="Normal"/>
      </w:pPr>
      <w:r>
        <w:t>In addition, the specific acquisition or establishment of a new business in designated types of business activities relating to Canada’s cultural heritage or national identity, which are normally notifiable, may be subject to review if the Governor in Council authorises a review in the public interest. 11. An indirect “acquisition of control” of a Canadian business by an investor of a Party other than a cultural business is not reviewable. 12.</w:t>
      </w:r>
    </w:p>
    <w:p>
      <w:pPr>
        <w:pStyle w:val="Normal"/>
      </w:pPr>
      <w:r>
        <w:t>Notwithstanding Article 14.10 (Performance Requirements), Canada may impose requirements or enforce a commitment or undertaking in connection with the establishment, acquisition, expansion, conduct, operation or management of an investment of an investor of a Party or of a non-Party for the transfer of technology, production process or other proprietary knowledge to a national or enterprise, affiliated to the transferor, in Canada in connection with the review of an acquisition of an investment under the Investment Canada Act. 13. Except for requirements, commitments or undertakings relating to technology transfer as set out in paragraph 12 of this entry, Article 14.10 (Performance Requirements) applies to requirements, commitments or undertakings imposed or enforced under the Investment Canada Act.</w:t>
      </w:r>
    </w:p>
    <w:p>
      <w:pPr>
        <w:pStyle w:val="Normal"/>
      </w:pPr>
      <w:r>
        <w:t>ANNEX I – CANADA – 4 14. For the purposes of this entry: (a) a non-Canadian means an individual, government or agency thereof or an entity that is not Canadian; and (b) Canadian means a Canadian citizen or permanent resident, a government in Canada or agency thereof, or a Canadian-controlled entity as described in the Investment Canada Act.</w:t>
      </w:r>
    </w:p>
    <w:p>
      <w:pPr>
        <w:pStyle w:val="Normal"/>
      </w:pPr>
      <w:r>
        <w:t>ANNEX I – CANADA – 5 Reservation I-C-2 Sector: Sub-Sector: Obligations Concerned: Level of Government: Measures: Description: All Sectors National Treatment (Article 14.4) Senior Management and Boards of Directors (Article 14.11) Central As set out in the Description element. Investment 1. Canada or a province or territory, when selling or disposing of its equity interests in, or the assets of, an existing government enterprise or an existing governmental entity, may prohibit or impose limitations on the ownership of these interests or assets and on the ability of owners of these interests or assets to control a resulting enterprise by investors of a Party or of a third country or their investments. With respect to a sale or other disposition, Canada or a province or territory may adopt or maintain a measure relating to the nationality of senior management or members of the board of directors. 2.</w:t>
      </w:r>
    </w:p>
    <w:p>
      <w:pPr>
        <w:pStyle w:val="Normal"/>
      </w:pPr>
      <w:r>
        <w:t>For the purposes of this entry: (a) a measure maintained or adopted after the date of entry into force of this Agreement that, at the time of sale or other disposition, prohibits or imposes a limitation on the ownership of equity interests or assets or imposes a nationality requirement described in this entry is an existing measure; and (b) government enterprise means an enterprise owned or controlled through ownership interests by Canada or a province or territory, and includes an enterprise established after the date of entry into force of this Agreement solely for the purposes of selling or disposing of equity interests in, or the assets of, an existing state enterprise or governmental entity.</w:t>
      </w:r>
    </w:p>
    <w:p>
      <w:pPr>
        <w:pStyle w:val="Normal"/>
      </w:pPr>
      <w:r>
        <w:t>ANNEX I – CANADA – 6 Reservation I-C-3 Sector: Sub-Sector: Obligations Concerned: Level of Government: Measures: Description: All Sectors National Treatment (Article 14.4) Central Canada Business Corporations Act, R.S.C. 1985, c. C-44 Canada Business Corporations Regulations, 2001, SOR/2001-512 Canada Cooperatives Act, S.C. 1998, c. 1 Canada Cooperatives Regulations, SOR/99-256 Investment 1. A corporation may place constraints on the issue, transfer and ownership of shares in a federally incorporated corporation. The object of those constraints is to permit a corporation to meet Canadian ownership or control requirements, under certain laws set out in the Canada Business Corporations Regulations, 2001, in sectors where Canadian ownership or control is required as a condition to receive licences, permits, grants, payments or other benefits. In order to maintain certain Canadian ownership levels, a corporation is permitted to sell shareholders’ shares without the consent of those shareholders, and to purchase its own shares on the open market. 2.</w:t>
      </w:r>
    </w:p>
    <w:p>
      <w:pPr>
        <w:pStyle w:val="Normal"/>
      </w:pPr>
      <w:r>
        <w:t>The Canada Cooperatives Act provides that constraints may be placed on the issue or transfer of investment shares of a cooperative to persons not resident in Canada, to permit cooperatives to meet Canadian ownership requirements to obtain a licence to carry on a business, to become a publisher of a Canadian newspaper or periodical or to acquire investment shares of a financial intermediary and in sectors where ownership or control is a required condition to receive licences, permits, grants, payments, and other benefits. Where the ownership or control of investment shares would adversely affect the ability of a cooperative to maintain a level of Canadian ownership or control, the Canada Cooperatives Act provides for the limitation of the number of</w:t>
      </w:r>
    </w:p>
    <w:p>
      <w:pPr>
        <w:pStyle w:val="Normal"/>
      </w:pPr>
      <w:r>
        <w:t>ANNEX I – CANADA – 7 investment shares that may be owned or for the prohibition of the ownership of investment shares. 3. For the purposes of this entry Canadian means “Canadian” as defined in the Canada Business Corporations Regulations, 2001 or in the Canada Cooperatives Regulations.</w:t>
      </w:r>
    </w:p>
    <w:p>
      <w:pPr>
        <w:pStyle w:val="Normal"/>
      </w:pPr>
      <w:r>
        <w:t>ANNEX I – CANADA – 8 Reservation I-C-4 Sector: All Sectors Sub-Sector: Obligations Concerned: National Treatment (Article 14.4) Level of Government: Central Measures: Citizenship Act, R.S.C. 1985, c. C-29 Foreign Ownership of Land Regulations, SOR/79-416 Description: Investment 1. The Foreign Ownership of Land Regulations are made pursuant to the Citizenship Act and the Agricultural and Recreational Land Ownership Act, R.S.A. 1980, c. A-9. In Alberta, an ineligible person or foreign owned or controlled corporation may only hold an interest in controlled land consisting of a maximum of two parcels containing, in the aggregate, a maximum of 20 acres. 2. For the purposes of this entry: ineligible person means: (a) a natural person who is not a Canadian citizen or permanent resident; (b) a foreign government or agency thereof; or (c) a corporation incorporated in a country other than Canada; and controlled land means land in Alberta but does not include: (a) land of the Crown in right of Alberta; (b) land within a city, town, new town, village or summer village; and (c) mines or minerals.</w:t>
      </w:r>
    </w:p>
    <w:p>
      <w:pPr>
        <w:pStyle w:val="Normal"/>
      </w:pPr>
      <w:r>
        <w:t>ANNEX I – CANADA – 9 Reservation I-C-5 Sector: Sub-Sector: Obligations Concerned: Level of Government: Measures: Description: All Sectors National Treatment (Article 14.4) Central Canadian Arsenals Limited Divestiture Authorization Act, S.C. 1986, c. 20 Eldorado Nuclear Limited Reorganization and Divestiture Act, S.C. 1988, c. 41 Nordion and Theratronics Divestiture Authorization Act, S.C. 1990, c. Investment 1. A “non-resident” or “non-residents” may not own more than a specified percentage of the voting shares of the corporation to which each Act applies. For some companies the restrictions apply to individual shareholders, while for others the restrictions may apply in the aggregate. If there are limits on the percentage that an individual Canadian investor can own, these limits also apply to non-residents. The restrictions are as follows: • Cameco Limited (formerly Eldorado Nuclear Limited): 15 percent per non-resident natural person, 25 percent in the aggregate; • Nordion International Inc.: 25 percent in the aggregate; • Theratronics International Limited: 49 percent in the aggregate; and • Canadian Arsenals Limited: 25 percent in the aggregate. 2. For the purposes of this entry, non-resident includes:</w:t>
      </w:r>
    </w:p>
    <w:p>
      <w:pPr>
        <w:pStyle w:val="Normal"/>
      </w:pPr>
      <w:r>
        <w:t>(a) a natural person who is not a Canadian citizen and not ordinarily resident in Canada; (b) a corporation incorporated, formed or otherwise organized outside Canada;</w:t>
      </w:r>
    </w:p>
    <w:p>
      <w:pPr>
        <w:pStyle w:val="Normal"/>
      </w:pPr>
      <w:r>
        <w:t>ANNEX I – CANADA – 10 (c) the government of a foreign State or a political subdivision of a government of a foreign State, or a person empowered to perform a function or duty on behalf of that government; (d) a corporation that is controlled directly or indirectly by a person or an entity referred to in subparagraphs (a) through (c); (e) a trust: (i) established by a person or an entity referred to in subparagraphs (b) through (d), other than a trust for the administration of a pension fund for the benefit of natural persons the majority of whom are resident in Canada, or (ii) in which a person or an entity referred to in subparagraphs (a) through (d) has more than 50 percent of the beneficial interest, and (f) a corporation that is controlled directly or indirectly by a trust referred to in subparagraph (e).</w:t>
      </w:r>
    </w:p>
    <w:p>
      <w:pPr>
        <w:pStyle w:val="Normal"/>
      </w:pPr>
      <w:r>
        <w:t>ANNEX I – CANADA – 11 Reservation I-C-6 Sector: All Sectors Sub-Sector: Obligations Concerned: Local Presence (Article 15.6) Level of Government: Central Measure: Export and Import Permits Act, R.S.C. 1985, c. E-19 Description: Cross-Border Trade in Services Only a natural person ordinarily resident in Canada, an enterprise with its head office in Canada or a branch office in Canada of a foreign enterprise may apply for and be issued an import or export permit or transit authorization certificate for a good or related service subject to controls under the Export and Import Permits Act.</w:t>
      </w:r>
    </w:p>
    <w:p>
      <w:pPr>
        <w:pStyle w:val="Normal"/>
      </w:pPr>
      <w:r>
        <w:t>ANNEX I – CANADA – 12 Reservation I-C-7 Sector: Sub-sector: Obligations Concerned: Level of Government: Measures: Description: Communications services Telecommunications Transport Networks and Services Radiocommunications National Treatment (Article 14.4) Senior Management and Boards of Directors (Article 14.11) Central Telecommunications Act, S.C. 1993, c. 38 Canadian Telecommunications Common Carrier Ownership and Control Regulations, SOR/94-667 Radiocommunication Act, R.S.C. 1985, c. R-2 Radiocommunication Regulations, SOR/96-484 Investment 1. Foreign investment in a facilities-based telecommunications service supplier is restricted to a maximum, cumulative total of 46.7 percent voting interest, based on 20 percent direct investment and 33.3 percent indirect investment. 2. A facilities-based telecommunications service supplier must be controlled in fact by Canadians. 3. At least 80 percent of the members of the board of directors of a facilities-based telecommunications service suppliers must be Canadians. 4. Notwithstanding the restrictions described above: (a) foreign investment is allowed up to 100 percent for suppliers conducting operations under an international submarine cable licence; (b) mobile satellite systems of a foreign service supplier may be used by a Canadian service supplier to supply services in Canada;</w:t>
      </w:r>
    </w:p>
    <w:p>
      <w:pPr>
        <w:pStyle w:val="Normal"/>
      </w:pPr>
      <w:r>
        <w:t>(c) fixed satellite systems of a foreign service supplier may be used to provide services between points in Canada and all points outside Canada;</w:t>
      </w:r>
    </w:p>
    <w:p>
      <w:pPr>
        <w:pStyle w:val="Normal"/>
      </w:pPr>
      <w:r>
        <w:t>ANNEX I – CANADA – 13 (d) foreign investment is allowed up to 100 percent for a supplier conducting operations under a satellite authorization; and (e) foreign investment is allowed up to 100 percent for a facilities-based telecommunications service supplier that has revenues, including those of its affiliates, from the supply of a telecommunications service in Canada representing less than 10 percent of the total telecommunications services’ annual revenues in Canada.Afacilities-based telecommunications service supplier that previously had annual revenues, including those of its affiliates, from the supply of a telecommunication service in Canada representing less than 10 percent of the total telecommunications services annual revenues in Canada may increase to 10 percent or beyond as long as the increase in revenues did not result from the acquisition of control of, or the acquisition of assets used to supply telecommunications services by, another facilities- based telecommunications service supplier that is subject to the legislative authority of the Parliament of Canada.</w:t>
      </w:r>
    </w:p>
    <w:p>
      <w:pPr>
        <w:pStyle w:val="Normal"/>
      </w:pPr>
      <w:r>
        <w:t>ANNEX I – CANADA – 14 Reservation I-C-8 Sector: Business Services Industries Sub-Sector: Obligations Concerned: National Treatment (Articles 14.4 and 15.3) Senior Management and Boards of Directors (Article 14.11) Local Presence (Article 15.6) Level of Government: Central Measures: Customs Act, R.S.C. 1985, c. 1 (2nd Supp.) Customs Brokers Licensing Regulations, SOR/86-1067 Description: Investment and Cross-Border Trade in Services To be a licensed customs broker in Canada, in addition to meeting all other licensing requirements: (a) a natural person must be a Canadian national; (b) a corporation must be incorporated in Canada with a majority of its directors being Canadian nationals; and (c) a partnership must be composed of persons who are Canadian nationals who meet all other licensing requirements, or corporations incorporated in Canada with a majority of their directors being Canadian nationals who meet all other licensing requirements.</w:t>
      </w:r>
    </w:p>
    <w:p>
      <w:pPr>
        <w:pStyle w:val="Normal"/>
      </w:pPr>
      <w:r>
        <w:t>ANNEX I – CANADA – 15 Reservation I-C-9 Sector: Business Services Industries Sub-Sector: Duty Free Shops Obligations Concerned: National Treatment (Articles 14.4 and 15.3) Local Presence (Article 15.6) Level of Government: Central Measures: Customs Act, R.S.C. 1985, c. 1 (2nd Supp.) Duty Free Shop Regulations, SOR/86-1072 Description: Investment and Cross-Border Trade in Services 1. In addition to all other licensing requirements, to be a licensed duty free shop operator at a border crossing in Canada, a natural person must be a Canadian national. 2. In addition to all other licensing requirements, to be a licensed duty free shop operator at a border crossing in Canada, a corporation must be incorporated in Canada and have all of its shares beneficially owned by Canadian nationals who meet all other licensing requirements.</w:t>
      </w:r>
    </w:p>
    <w:p>
      <w:pPr>
        <w:pStyle w:val="Normal"/>
      </w:pPr>
      <w:r>
        <w:t>ANNEX I – CANADA – 16 Reservation I-C-10 Sector: Business Services Industries Sub-Sector: Examination Services relating to the Export and Import of Cultural Property Obligations Concerned: National Treatment (Articles 15.3) Local Presence (Article 15.6) Level of Government: Central Measure: Cultural Property Export and Import Act, R.S.C. 1985, c. C-51 Description: Cross-Border Trade in Services 1. Only a resident of Canada or an institution in Canada may be designated as an expert examiner of cultural property for the purposes of the Cultural Property Export and Import Act. 2. For the purposes of this entry: (a) institution means an entity that is publicly owned and operated solely for the benefit of the public, that is established for educational or cultural purposes and that conserves objects and exhibits them; and (b) resident of Canada means a natural person who is ordinarily resident in Canada, or a corporation that has its head office in Canada or maintains an establishment in Canada to which employees employed in connection with the business of the corporation ordinarily report for work.</w:t>
      </w:r>
    </w:p>
    <w:p>
      <w:pPr>
        <w:pStyle w:val="Normal"/>
      </w:pPr>
      <w:r>
        <w:t>ANNEX I – CANADA – 17 Reservation I-C-11 Sector: Professional Services Sub-Sector: Patent Agents Patent Agents supplying Legal Advisory and Representation Services. Obligations Concerned: National Treatment (Article 15.3) Local Presence (Article 15.6) Level of Government: Central Measures: Patent Act, R.S.C. 1985, c. P-4 Patent Rules, SOR/96-423 Description: Cross-Border Trade in Services To represent a person in the prosecution of a patent application or in other business before the Patent Office, a patent agent must be resident in Canada and registered by the Patent Office.</w:t>
      </w:r>
    </w:p>
    <w:p>
      <w:pPr>
        <w:pStyle w:val="Normal"/>
      </w:pPr>
      <w:r>
        <w:t>ANNEX I – CANADA – 18 Reservation I-C-12 Sector: Professional Services Sub-Sector: Trade-mark Agents Trade-mark Agents supplying Legal Advisory and Representation Services in Statutory Procedures Obligations Concerned: National Treatment (Article 15.3) Local Presence (Article 15.6) Level of Government: Central Measures: Trade-marks Act, R.S.C. 1985, c. T-13 Trade-marks Regulations, SOR/96-195 Description: Cross-Border Trade in Services To represent a person in the prosecution of an application for a trade-mark or in other business before the Trade-marks Office, a trade-mark agent must be resident in Canada and registered by the Office of the Registrar of Trade-Marks.</w:t>
      </w:r>
    </w:p>
    <w:p>
      <w:pPr>
        <w:pStyle w:val="Normal"/>
      </w:pPr>
      <w:r>
        <w:t>ANNEX I – CANADA – 19 Reservation I-C-13 Sector: Energy Sub-Sector: Oil and Gas Obligations Concerned: National Treatment (Article 14.4) Level of Government: Central Measures: Canada Petroleum Resources Act, R.S.C. 1985, c. 36 (2nd Supp.) Territorial Lands Act, R.S.C. 1985, c. T-7 Federal Real Property and Federal Immovables Act, S.C. 1991, c. 50 Canada-Newfoundland and Labrador Atlantic Accord Implementation Act, S.C. 1987, c. 3 Canada-Nova Scotia Offshore Petroleum Resources Accord Implementation Act, S.C. 1988, c. 28 Description: Investment 1. This reservation applies to a production licence issued for “frontier lands” and “offshore areas” (areas not under provincial jurisdiction) as defined in the applicable measures. 2. A person who holds an oil and gas production licence or shares therein must be a corporation incorporated in Canada.</w:t>
      </w:r>
    </w:p>
    <w:p>
      <w:pPr>
        <w:pStyle w:val="Normal"/>
      </w:pPr>
      <w:r>
        <w:t>ANNEX I – CANADA – 20 Reservation I-C-14 Sector: Sub-Sector: Obligations Concerned: Level of Government: Measures: Description: Energy Oil and Gas Performance Requirements (Article 14.10) Local Presence (Article 15.6) Central Canada Oil and Gas Operations Act, R.S.C. 1985, c. O-7 Canada - Nova Scotia Offshore Petroleum Resources Accord Implementation Act, S.C. 1988, c. 28 Canada Newfoundland and Labrador Atlantic Accord Implementation Act, S.C. 1987, c. 3 Measures implementing the Canada-Yukon Oil and Gas Accord, including the Canada-Yukon Oil and Gas Accord Implementation Act, S.C. 1998, c.5, s. 20 and the Oil and Gas Act, RSY 2002, c. 162 Measures implementing the Northwest Territories Oil and Gas Accord, including implementing measures that apply to or are adopted by Nunavut as the successor territories to the former Northwest Territories Measures implementing the Accord between the Government of Canada and the Government of Quebec for the joint management of petroleum resources in the Gulf of St. Lawrence or any other similar federal-provincial accords related to the joint management of petroleum resources. Investment and Cross-Border Trade in Services 1.</w:t>
      </w:r>
    </w:p>
    <w:p>
      <w:pPr>
        <w:pStyle w:val="Normal"/>
      </w:pPr>
      <w:r>
        <w:t>Under the Canada Oil and Gas Operations Act, a “benefits plan” must be approved by the Minister in order to be authorized to proceed with an oil and gas development project. 2.</w:t>
      </w:r>
    </w:p>
    <w:p>
      <w:pPr>
        <w:pStyle w:val="Normal"/>
      </w:pPr>
      <w:r>
        <w:t>A benefits plan means a plan for the employment of Canadians and for providing Canadian manufacturers, consultants, contractors, and service companies with a full and fair opportunity to participate on a competitive basis in the supply of goods and services used in proposed work or activity referred to in the benefits plan.</w:t>
      </w:r>
    </w:p>
    <w:p>
      <w:pPr>
        <w:pStyle w:val="Normal"/>
      </w:pPr>
      <w:r>
        <w:t>ANNEX I – CANADA – 21 3. The benefits plan contemplated by the Canada Oil and Gas Operations Act permits the Minister to impose on the applicant an additional requirement to ensure that disadvantaged individuals or groups have access to training and employment opportunities or can participate in the supply of goods and services used in proposed work referred to in the benefits plan. 4. Provisions continuing those set out in the Canada Oil and Gas Operations Act are included in laws which implement the Canada-Yukon Oil and Gas Accord. 5. Provisions continuing those set out in the Canada Oil and Gas Operations Act will be included in laws or regulations to implement accords with various provinces and territories, including implementing legislation by provinces and territories (for example, the Northwest Territories Oil and Gas Accord, the Canada-Quebec Gulf of St. Lawrence Petroleum Resources Accord, and the New Brunswick Oil and Gas Accord). For the purposes of this reservation these accords and implementing legislation shall be deemed, once concluded, to be existing measures 6.</w:t>
      </w:r>
    </w:p>
    <w:p>
      <w:pPr>
        <w:pStyle w:val="Normal"/>
      </w:pPr>
      <w:r>
        <w:t>The Canada-Nova Scotia Offshore Petroleum Resources Accord Implementation Act and the Canada-Newfoundland and Labrador Atlantic Accord Implementation Act have the same requirement for a benefits plan but also require that the benefits plan ensures that: (a) the corporation or other body submitting the plan establishes in the applicable province an office where appropriate levels of decision-making are to take place, prior to carrying out work or an activity in the offshore area; (b) expenditures be made for research and development to be carried out in the province, and for education and training to be provided in the province; and (c) first consideration be given to goods produced or services provided from within the province, where those goods or services are competitive in terms of fair market price, quality, and delivery.</w:t>
      </w:r>
    </w:p>
    <w:p>
      <w:pPr>
        <w:pStyle w:val="Normal"/>
      </w:pPr>
      <w:r>
        <w:t>ANNEX I – CANADA – 22 7. The Boards administering the benefits plan under these Acts may also require that the plan include provisions to ensure that disadvantaged individuals or groups, or corporations owned or cooperatives operated by them, participate in the supply of goods and services used in proposed work or activity referred to in the plan. 8. In addition, Canada may impose a requirement or enforce a commitment or undertaking for the transfer of technology, a production process or other proprietary knowledge to a person of Canada in connection with the approval of development projects under the applicable Acts.</w:t>
      </w:r>
    </w:p>
    <w:p>
      <w:pPr>
        <w:pStyle w:val="Normal"/>
      </w:pPr>
      <w:r>
        <w:t>ANNEX I – CANADA – 23 Reservation I-C-15 Sector: Energy Sub-Sector: Oil and Gas Obligations Concerned: Performance Requirements (Article 14.10) Level of Government: Central Measures: Hibernia Development Project Act, S.C. 1990, c. 41 Canada-Newfoundland and Labrador Atlantic Implementation Act, S.C. 1987, c. 3 Accord Description: Investment 1. Under the Hibernia Development Project Act, Canada and the Hibernia Project Owners may enter into agreements. Those agreements may require the Project Owners to undertake to perform certain work in Canada and Newfoundland and Labrador and to use their best efforts to achieve specific Canadian and Newfoundland and Labrador target levels in relation to the provisions of a “benefits plan” required under the Canada-Newfoundland and Labrador Atlantic Accord Implementation Act. “Benefits plans” are further described in I-C-14. 2. In addition, Canada may impose in connection with the Hibernia Project a requirement or enforce a commitment or undertaking for the transfer of technology, a production process or other proprietary knowledge to a national or enterprise in Canada.</w:t>
      </w:r>
    </w:p>
    <w:p>
      <w:pPr>
        <w:pStyle w:val="Normal"/>
      </w:pPr>
      <w:r>
        <w:t>ANNEX I – CANADA – 24 Reservation I-C-16 Sector: Energy Sub-Sector: Uranium Obligations Concerned: National Treatment (Article 14.4) Most-Favored-Nation Treatment (Article 14.5) Level of Government: Central Measures: Investment Canada Act, R.S.C. 1985, c. 28 (1st Supp.) Investment Canada Regulations, SOR/85-611 Policy on Non-Resident Ownership in the Uranium Mining Sector, Description: Investment 1. Ownership by “non-Canadians”, as defined in the Investment Canada Act, of a uranium mining property is limited to 49 percent at the stage of first production. Exceptions to this limit may be permitted if it can be established that the property is in fact “Canadian controlled”, as defined in the Investment Canada Act. 2. Exemptions from the Non-Resident Ownership Policy in the Uranium Mining Sector are permitted, subject to approval of the Governor in Council, only in cases where Canadian participants in the ownership of the property are not available. Investments in properties by non-Canadians, made prior to December 23, 1987 and that are beyond the permitted ownership level, may remain in place. No increase in non- Canadian ownership is permitted. 3.</w:t>
      </w:r>
    </w:p>
    <w:p>
      <w:pPr>
        <w:pStyle w:val="Normal"/>
      </w:pPr>
      <w:r>
        <w:t>In considering a request for an exemption from the Policy from an investor of a Party, Canada will not require that it be demonstrated that a Canadian partner cannot be found.</w:t>
      </w:r>
    </w:p>
    <w:p>
      <w:pPr>
        <w:pStyle w:val="Normal"/>
      </w:pPr>
      <w:r>
        <w:t>ANNEX I – CANADA – 25 Reservation I-C-17 Sector: Transportation Sub-Sector: Air Transportation Obligations Concerned: National Treatment (Article 14.4) Most-Favored-Nation Treatment (Article 14.5) Senior Management and Board of Directors (Article 14.11) Level of Government: Central Measures: Canada Transportation Act, S.C. 1996, c. 10 Aeronautics Act, R.S.C. 1985, c. A-2 Canadian Aviation Regulations, SOR/96-433 Part II, Subpart 2 - “Aircraft Markings &amp; Registration”; Part IV “Personnel Licensing &amp; Training”; and Part VII “Commercial Air Services” Description: Investment 1. Only Canadians may provide transportation air services: the following commercial (a) domestic services (air services between points, or from and to the same point, in the territory of Canada, or between a point in the territory of Canada and a point not in the territory of another country); (b) scheduled international services (scheduled air services between a point in the territory of Canada and a point in the territory of another country) where those services have been reserved to Canadian carriers under existing or future air services agreements;</w:t>
      </w:r>
    </w:p>
    <w:p>
      <w:pPr>
        <w:pStyle w:val="Normal"/>
      </w:pPr>
      <w:r>
        <w:t>(c) non-scheduled international services (non-scheduled air services between a point in the territory of Canada and a point in the territory of another country) where those services have been reserved to Canadian carriers under the Canada Transportation Act; and (d) specialty air services including, but are not limited to: aerial mapping, aerial surveying,</w:t>
      </w:r>
    </w:p>
    <w:p>
      <w:pPr>
        <w:pStyle w:val="Normal"/>
      </w:pPr>
      <w:r>
        <w:t>aerial photography, forest fire management, fire-fighting, aerial advertising, glider towing, parachute jumping, aerial</w:t>
      </w:r>
    </w:p>
    <w:p>
      <w:pPr>
        <w:pStyle w:val="Normal"/>
      </w:pPr>
      <w:r>
        <w:t>ANNEX I – CANADA – 26 construction, heli-logging, aerial inspection, aerial surveillance, flight training, aerial sightseeing, and aerial crop spraying. 2. For the purposes of 1 (a), (b), and (c), the Canada Transportation Act, in section 55, defines “Canadian” in the following manner: (a) a Canadian citizen or a permanent resident as defined in subsection 2(1) of the Immigration and Refugee Protection Act, S.C. 2001, c.27; (b) a government in Canada or an agent or mandatary of that government; or (c) a corporation or entity that is incorporated or formed under the laws of Canada or a province, that is controlled in fact by Canadians and of which at least 51 percent of the voting interests are owned and controlled by Canadians and where:</w:t>
      </w:r>
    </w:p>
    <w:p>
      <w:pPr>
        <w:pStyle w:val="Normal"/>
      </w:pPr>
      <w:r>
        <w:t>(i) no more than 25 percent of the voting interests are owned directly or indirectly by any single non-Canadian, either individually or in affiliation with another person, and (ii) no more than 25 percent of the voting interests are owned directly or indirectly by one or more non-Canadians authorized to provide an air service in any jurisdiction, either individually or in affiliation with another person; 3. Regulations made under the Aeronautics Act include distinct definitions of “Canadian” referenced in paragraphs (2) and (4). These Regulations require that a Canadian operator of commercial air services operate Canadian-registered aircraft.</w:t>
      </w:r>
    </w:p>
    <w:p>
      <w:pPr>
        <w:pStyle w:val="Normal"/>
      </w:pPr>
      <w:r>
        <w:t>These Regulations require an operator to be Canadian in order to obtain a Canadian Air Operator Certificate and to qualifyto register aircraft as “Canadian”. 4. For the Purposes of 1 (d), the Canadian Aviation Regulations define “Canadian” in the following manner: (a) a Canadian citizen or a permanent resident as defined in subsection 2(1) of the Immigration and Refugee Protection Act; (b) a government in Canada or an agent or mandatary of that government; or</w:t>
      </w:r>
    </w:p>
    <w:p>
      <w:pPr>
        <w:pStyle w:val="Normal"/>
      </w:pPr>
      <w:r>
        <w:t>ANNEX I – CANADA – 27 (c) a corporation or entity that is incorporated or formed under the laws of Canada or a province, that is controlled in fact by Canadians and of which at least 75 percent of the voting interests are owned and controlled by Canadians. 5. No foreign individual is qualified to be the registered owner of a Canadian-registered aircraft. 6. Further to the Canadian Aviation Regulations, a corporation incorporated in Canada, but that does not meet the Canadian ownership and control requirements, may only register an aircraft for private use where a significant majority of use of the aircraft (at least 60 percent) is in Canada. 7. The Canadian Aviation Regulations also have the effect of limiting foreign-registered private aircraft registered to non-Canadian corporations to be present in Canada for a maximum of 90 days per twelve-month period. The foreign-registered private aircraft shall be limited to private use, as would be the case for Canadian-registered aircraft requiring a private operating certificate.</w:t>
      </w:r>
    </w:p>
    <w:p>
      <w:pPr>
        <w:pStyle w:val="Normal"/>
      </w:pPr>
      <w:r>
        <w:t>ANNEX I – CANADA – 28 Reservation I-C-18 Sector: Air Transportation Sub-Sector: Specialty Air Services as defined in Article 15.1 (Definitions) Obligations Concerned: National Treatment (Article 15.3) Most-Favored-Nation Treatment (Article 15.4) Level of Government: Central Measures: Canada Transportation Act, S.C. 1996, c. 10 Air Transportation Regulations, SOR/88-58 Canadian Aviation Regulations, SOR/96-433 Description: Cross-Border Trade in Services Authorization from Transport Canada is required to supply a specialty air service in the territory of Canada. In determining whether to grant a particular authorization, Transport Canada will consider among other factors, whether the country in which the applicant, if an individual, is resident or, if an enterprise, is constituted or organized, provides Canadian specialty air service operators reciprocal access to supply specialty air services in that country’s territory. Any foreign service supplier authorized to supply a specialty air service is required to comply with Canadian safety requirements while supplying these services in Canada.</w:t>
      </w:r>
    </w:p>
    <w:p>
      <w:pPr>
        <w:pStyle w:val="Normal"/>
      </w:pPr>
      <w:r>
        <w:t>ANNEX I – CANADA – 29 Reservation I-C-19 Sector: Transportation Sub-Sector: Air Transportation Obligations Concerned: National Treatment (Article 15.3) Most-Favored-Nation Treatment (Article 15.4) Local Presence (Article 15.6) Level of Government: Central Measures: Aeronautics Act, R.S.C. 1985, c. A-2 Canadian Aviation Regulations, SOR/96-433, Part IV “Personnel Licensing &amp; Training”; Part V “Airworthiness”; Part VI “General Operating &amp; Flight Rules”; and Part VII “Commercial Air Services” Description: Cross-Border Trade in Services 1. Aircraft and other aeronautical product repair, overhaul or maintenance activities required to maintain the airworthiness of Canadian-registered aircraft and other aeronautical products must be performed by a person meeting Canadian aviation regulatory requirements (that is, approved maintenance organizations and aircraft maintenance engineers). A certification is not provided for persons located outside Canada, except sub-organizations of approved maintenance organizations that themselves are located in Canada. 2. Pursuant to an airworthiness agreement between Canada and the United States, Canada recognizes the certification and oversight provided by the United States for all repair, overhaul and maintenance facilities and individuals performing the work located in the United States.</w:t>
      </w:r>
    </w:p>
    <w:p>
      <w:pPr>
        <w:pStyle w:val="Normal"/>
      </w:pPr>
      <w:r>
        <w:t>ANNEX I – CANADA – 30 Reservation I-C-20 Sector: Transportation Sub-Sector: Land Transportation Obligations Concerned: National Treatment (Article 15.3) Local Presence (Article 15.6) Level of Government: Central Measures: Motor Vehicle Transport Act, R.S.C. 1985, c. 29 (3rd Supp.), as amended by S.C. 2001, c. 13. Canada Transportation Act, S.C. 1996, c. 10 Customs Tariff, S.C. 1997, c. 36 Description: Cross-Border Trade in Services Only a person of Canada using Canadian-registered and either Canadian-built or duty-paid trucks or buses, may provide truck or bus services between points in the territory of Canada.</w:t>
      </w:r>
    </w:p>
    <w:p>
      <w:pPr>
        <w:pStyle w:val="Normal"/>
      </w:pPr>
      <w:r>
        <w:t>ANNEX I – CANADA – 31 Reservation I-C-21 Sector: Transportation Sub-Sector: Water Transportation Obligations Concerned: National Treatment (Articles 14.4 and 15.3) Local Presence (Articles 15.6) Level of Government: Central Measures: Canada Shipping Act, 2001, S.C. 2001, c. 26 Description: Investment and Cross-Border Trade in Services 1. To register a vessel in Canada, the owner of that vessel or the person who has exclusive possession of that vessel must be: (a) a Canadian citizen or a permanent resident within the meaning of subsection 2(1) of the Immigration and Refugee Protection Act, S.C. 2001, c.27; (b) a corporation incorporated under the laws of Canada or a province or territory; or (c) when the vessel is not already registered in another country, a corporation incorporated under the laws of a country other than Canada if one of the following is acting with respect to all matters relating to the vessel, namely:</w:t>
      </w:r>
    </w:p>
    <w:p>
      <w:pPr>
        <w:pStyle w:val="Normal"/>
      </w:pPr>
      <w:r>
        <w:t>(i) a subsidiary of that corporation that is incorporated under the law of Canada or a province or territory, (ii) an employee or director in Canada of any branch office of that corporation that is carrying on business in Canada, or (iii) a ship management company incorporated under the law of Canada or a province or territory.</w:t>
      </w:r>
    </w:p>
    <w:p>
      <w:pPr>
        <w:pStyle w:val="Normal"/>
      </w:pPr>
      <w:r>
        <w:t>ANNEX I – CANADA – 32 2. A vessel registered in a foreign country which has been bareboat chartered may be listed in Canada for the duration of the charter while the vessel’s registration is suspended in its country of registry, if the charterer is: (a) a Canadian citizen or permanent resident, as defined in subsection 2(1) of the Immigration and Refugee Protection Act, S.C. 2001, c.27; or (b) a corporation incorporated under the law of Canada or a province or territory.</w:t>
      </w:r>
    </w:p>
    <w:p>
      <w:pPr>
        <w:pStyle w:val="Normal"/>
      </w:pPr>
      <w:r>
        <w:t>ANNEX I – CANADA – 33 Reservation I-C-22 Sector: Transportation Sub-Sector: Water Transportation Obligations Concerned: National Treatment (Article 15.3) Local Presence (Article 15.6) Level of Government: Central Measures: Canada Shipping Act, 2001, S.C. 2001, c. 26 Marine Personnel Regulations, SOR/2007-115 Description: Cross-Border Trade in Services Masters, mates, engineers, and certain other seafarers must hold certificates granted by the Minister of Transport as a requirement of service on Canadian registered vessels. These certificates may be granted only to Canadian citizens or permanent residents.</w:t>
      </w:r>
    </w:p>
    <w:p>
      <w:pPr>
        <w:pStyle w:val="Normal"/>
      </w:pPr>
      <w:r>
        <w:t>ANNEX I – CANADA – 34 Reservation I-C-23 Sector: Transportation Sub-Sector: Water Transportation Obligations Concerned: National Treatment (Article 15.3) Local Presence (Article 15.6) Level of Government: Central Measures: Pilotage Act, R.S.C., 1985, c. P-14 General Pilotage Regulations, SOR/2000-132 Atlantic Pilotage Authority Regulations, C.R.C., c. 1264 Laurentian Pilotage Authority Regulations, C.R.C., c. 1268 Great Lakes Pilotage Regulations, C.R.C., c. 1266 Pacific Pilotage Regulations, C.R.C., c. 1270 Description: Cross-Border Trade in Services Subject to Canada’s Reservation II-C-8, a licence or a pilotage certificate issued by the relevant regional Pilotage Authority is required to provide pilotage services in the compulsory pilotage waters of the territory of Canada. Only a Canadian citizen or permanent resident may obtain a licence or pilotage certificate. A permanent resident of Canada who has been issued a pilot’s licence or pilotage certificate must become a Canadian citizen within five years of receipt of that licence or pilotage certificate in order to retain it.</w:t>
      </w:r>
    </w:p>
    <w:p>
      <w:pPr>
        <w:pStyle w:val="Normal"/>
      </w:pPr>
      <w:r>
        <w:t>ANNEX I – CANADA – 35 Reservation I-C-24 Sector: Transportation Sub-Sector: Water Transportation Obligations Concerned: Most-Favored-Nation Treatment (Article 15.4) Level of Government: Central Measures: Coasting Trade Act, S.C. 1992, c. 31 Description: Cross-Border Trade in Services The prohibitions under the Coasting Trade Act, set out in Canada’s Reservation II-C-7, do not apply to any vessel that is owned by the Government of the United States of America, when used solely for the purpose of transporting goods owned by the Government of the United States of America from the territory of Canada to supply Distant Early Warning sites.</w:t>
      </w:r>
    </w:p>
    <w:p>
      <w:pPr>
        <w:pStyle w:val="Normal"/>
      </w:pPr>
      <w:r>
        <w:t>ANNEX I – CANADA – 36 Reservation I-C-25 Sector: Transportation Sub-Sector: Water Transportation Services by Sea-going and Non-sea-going Vessels Obligations Concerned: Local Presence (Article 15.6) Level of Government: Central Measures: Shipping Conferences Exemption Act, 1987, R.S.C. 1985, c.17 (3rd Supp.) Description: Cross-Border Trade in Services Members of a shipping conference must maintain jointly an office or agency in the region of Canada where they operate. A shipping conference is an association of ocean carriers that has the purpose or effect of regulating rates and conditions for the transportation by those carriers of goods by water.</w:t>
      </w:r>
    </w:p>
    <w:p>
      <w:pPr>
        <w:pStyle w:val="Normal"/>
      </w:pPr>
      <w:r>
        <w:t>ANNEX I – CANADA – 37 Reservation I-C-26 Sector: All Sub-Sector: Obligations Concerned: National Treatment (Article 14.4 and Article 15.3) Most-Favored-Nation Treatment (Article 14.5 and 15.4) Performance Requirements (Article 14.10) Senior Management and Boards of Directors (Article 14.11) Local Presence (Article 15.6) Level of Government: Regional Measures: An existing non-conforming measure of a province and territory. Description: Investment and Cross-Border Trade in Services</w:t>
      </w:r>
    </w:p>
    <w:p>
      <w:pPr>
        <w:pStyle w:val="Heading1"/>
      </w:pPr>
      <w:bookmarkStart w:id="901526" w:name="_Toc300001525"/>
      <w:r>
        <w:t>ANNEX I – CANADA – 38</w:t>
      </w:r>
      <w:bookmarkEnd w:id="901526"/>
    </w:p>
    <w:p>
      <w:pPr>
        <w:pStyle w:val="Normal"/>
      </w:pPr>
      <w:r>
        <w:t>ANNEX I INTRODUCTORY NOTES 1. Description provides a general non-binding description of the measure for which the entry is made. 2. In accordance with Article 14.12 (Non-Conforming Measures) and Article 15.7 (Non-Conforming Measures), the articles of this Agreement specified in the Obligations Concerned element of an entry do not apply to the non-conforming aspects of the law, regulation, or other measure identified in the Measures element of that entry. 3. In the interpretation of an entry, all elements of the entry shall be considered. An entry shall be interpreted in the light of the relevant provisions of the Chapters against which the entry is taken. To the extent that:</w:t>
      </w:r>
    </w:p>
    <w:p>
      <w:pPr>
        <w:pStyle w:val="Normal"/>
      </w:pPr>
      <w:r>
        <w:t>(a) the Measures element is qualified by a liberalization commitment from the Description element, the Measures element as so qualified shall prevail over all other elements; and (b) the Measures element is not so qualified, the Measures element shall prevail over all other elements, unless any discrepancy between the Measures element and the other elements considered in their totality is so substantial and material that it would be unreasonable to conclude that the Measures element should prevail, in which case the other elements shall prevail to the extent of that discrepancy. 4.</w:t>
      </w:r>
    </w:p>
    <w:p>
      <w:pPr>
        <w:pStyle w:val="Normal"/>
      </w:pPr>
      <w:r>
        <w:t>For the purposes of this Annex: CMAP means the Mexican Classification of Activities and Products 1994 (Clasificación Mexicana de Actividades y Productos) numbers as set out by the National Institute for Statistics and Geography (Instituto Nacional de Estadística y Geografía); CNIE means the National Commission on Foreign Investments (Comisión Nacional de Inversiones Extranjeras); Concession means an authorization granted by the Mexican State to a person to exploit a natural resource or supply a service, for which Mexican nationals and Mexican enterprises are granted priority over foreigners; Foreigners’ exclusion clause means the express provision in an enterprise’s by-laws, stating that the enterprise shall not allow a foreigner, directly or indirectly, to become a partner or shareholder of the enterprise; and SCT means the Ministry of Communications and Transportation (Secretaría de Comunicaciones y Transportes).</w:t>
      </w:r>
    </w:p>
    <w:p>
      <w:pPr>
        <w:pStyle w:val="Normal"/>
      </w:pPr>
      <w:r>
        <w:t>ANNEX I – MEXICO – 1 Sector: Sub-Sector: Industry Classification: Obligations Concerned: Level of Government: Measures: Description: All National Treatment (Article 14.4) Central Political Constitution of the United Mexican States (Constitución Política de los Estados Unidos Mexicanos), Article 27. Foreign Investment Law (Ley de Inversión Extranjera), Title II, Chapters I and II. Regulations to the Foreign Investment Law and the National Registry of Foreign Investments (Reglamento de la Ley de Inversión Extranjera y del Registro Nacional de Inversiones Extranjeras), Title II, Chapters I and II. Investment No foreign national or foreign enterprise may acquire property rights (dominio directo) over land and water in a 100-kilometer strip along the country’s borders or in a 50-kilometer strip inland from its coasts (Restricted Zone). A Mexican enterprise without a foreigners’ exclusion clause may acquire property rights (dominio directo) over real estate located in the Restricted Zone, used for non-residential purposes. Notice of the acquisition must be given to the Ministry of Foreign Affairs (Secretaría de Relaciones Exteriores or SRE) within 60 business days from the date of acquisition.</w:t>
      </w:r>
    </w:p>
    <w:p>
      <w:pPr>
        <w:pStyle w:val="Normal"/>
      </w:pPr>
      <w:r>
        <w:t>No Mexican enterprise without a foreigners’ exclusion clause may acquire property rights (dominio directo) over real estate located in the Restricted Zone, used for residential purposes.</w:t>
      </w:r>
    </w:p>
    <w:p>
      <w:pPr>
        <w:pStyle w:val="Normal"/>
      </w:pPr>
      <w:r>
        <w:t>Pursuant to the procedure described below, a Mexican enterprise without a foreigners’ exclusion clause may acquire rights for the use and enjoyment over real estate in the Restricted Zone, used for residential purposes. This procedure shall also apply when a foreign national or a foreign enterprise seeks to acquire rights for the use and enjoyment over real estate in the Restricted Zone regardless of the purpose for which the real estate is used.</w:t>
      </w:r>
    </w:p>
    <w:p>
      <w:pPr>
        <w:pStyle w:val="Normal"/>
      </w:pPr>
      <w:r>
        <w:t>ANNEX I – MEXICO – 2 A permit from the SRE is required for a credit institution to acquire, as a trustee, rights to real estate located in the Restricted Zone, when the purpose of the trust is to allow the use and enjoyment of such real estate, without granting real property rights thereof, and the trust beneficiary is a Mexican enterprise without a foreigners’ exclusion clause, or the foreign national or foreign enterprise referred to above. The terms “use” and “enjoyment” of the real estate located in the Restricted Zone mean the rights to use or enjoy such real estate, including, as applicable, obtaining benefits, products, and, in general, any yield resulting from lucrative operation and exploitation through third parties or through a credit institution acting as trustee. The duration of the trust referred to in this entry shall be for a maximum period of 50 years, which may be renewed on request of the interested party.</w:t>
      </w:r>
    </w:p>
    <w:p>
      <w:pPr>
        <w:pStyle w:val="Normal"/>
      </w:pPr>
      <w:r>
        <w:t>The SRE can verify at any time the compliance with the conditions under which the permits referred to in this entry are granted, as well as the submission and veracity of the notices mentioned above. The SRE shall decide on the permits, considering the economic and social benefits that these operations could have on the Nation.</w:t>
      </w:r>
    </w:p>
    <w:p>
      <w:pPr>
        <w:pStyle w:val="Normal"/>
      </w:pPr>
      <w:r>
        <w:t>A foreign national or a foreign enterprise seeking to acquire real estate outside the Restricted Zone, shall previously submit to the SRE a statement agreeing to consider themselves a Mexican national for the above mentioned purposes, and waiving its right to invoke the protection of its government with respect to such real estate.</w:t>
      </w:r>
    </w:p>
    <w:p>
      <w:pPr>
        <w:pStyle w:val="Normal"/>
      </w:pPr>
      <w:r>
        <w:t>ANNEX I – MEXICO – 3 Sector: All Sub-Sector: Industry Classification: Obligations Concerned: National Treatment (Article 14.4) Market Access (Article 15.5) Level of Government: Central Measures: Foreign Investment Law (Ley de Inversión Extranjera), Title VI, Chapter III. Description: Investment and Cross-Border Trade in Services In order to evaluate an application submitted for its consideration (an acquisition or establishment of investments in restricted activities as set out in this Schedule), the CNIE shall take into account the following criteria: (a) the effects on employment and training of workers; (b) the technological contribution; (c) the compliance with the environmental provisions contained in the environmental legislation; and (d) in general, the contribution to increase the competitiveness of the Mexican productive system. When deciding on an application, the CNIE may only impose requirements that do not distort international trade and that are not prohibited by Article 14.10 (Performance Requirements).</w:t>
      </w:r>
    </w:p>
    <w:p>
      <w:pPr>
        <w:pStyle w:val="Normal"/>
      </w:pPr>
      <w:r>
        <w:t>ANNEX I – MEXICO – 4 Sector: All Sub-Sector: Industry Classification: Obligations Concerned: National Treatment (Article 14.4) Level of Government: Central Measures: Foreign Investment Law (Ley de Inversión Extranjera), Title I, Chapter III. As qualified by the Description element. Description: Investment A favorable resolution from the CNIE is required for an investor of another Party or its investments to participate, directly or indirectly, in more than 49 percent of the ownership interest of a Mexican enterprise in an unrestricted sector, if the total value of the assets of the Mexican enterprise exceeds the applicable threshold at the time the application for acquisition is submitted. The applicable threshold for the review of an acquisition of a Mexican enterprise shall be the amount determined by the CNIE. The threshold at the date of entry into force of this Agreement for Mexico will be the equivalent in Mexican pesos to 955,835,000 US dollars, using the official exchange rate on August 31, 2018. The threshold will be adjusted each year according to the nominal growth rate of the Mexican Gross Domestic Product, as published by the National Institute for Statistics and Geography (Instituto Nacional de Estadística y Geografía).</w:t>
      </w:r>
    </w:p>
    <w:p>
      <w:pPr>
        <w:pStyle w:val="Normal"/>
      </w:pPr>
      <w:r>
        <w:t>ANNEX I – MEXICO – 5 Sector: All Sub-Sector: Industry Classification: Obligations Concerned: National Treatment (Article 14.4) Senior Management and Boards of Directors (Article 14.11) Level of Government: Central Measures: Political Constitution of the United Mexican States (Constitución Política de los Estados Unidos Mexicanos), Article 25. General Law of Cooperative Companies (Ley General de Sociedades Cooperativas), Title I and Title II, Chapter II. Federal Labor Law (Ley Federal del Trabajo), Title I. Foreign Investment Law (Ley de Inversión Extranjera), Title I, Chapter III. Description: Investment No more than 10 percent of the persons participating in a Mexican cooperative production enterprise may be foreign nationals. An investor of another Party or its investments may only own, directly or indirectly, up to 10 percent of the ownership interest in a Mexican cooperative production enterprise. No foreign nationals may engage in general administrative functions or perform managerial activities in a Mexican cooperative production enterprise. A cooperative production enterprise is an enterprise the members of which combine their personal work, whether physical or intellectual, with the purpose of producing goods or services.</w:t>
      </w:r>
    </w:p>
    <w:p>
      <w:pPr>
        <w:pStyle w:val="Normal"/>
      </w:pPr>
      <w:r>
        <w:t>ANNEX I – MEXICO – 6 Sector: All Sub-Sector: Industry Classification: Obligations Concerned: National Treatment (Article 14.4) Level of Government: Central Measures: Federal Law to Foster the Microindustry and Handicraft Activity (Ley Federal para el Fomento de la Microindustria y la Actividad Artesanal), Chapters I, II, III and IV. Description: Investment Only Mexican nationals may apply for a license (cédula) to qualify as a microindustry enterprise. No Mexican microindustry enterprises may have a foreign person as partner. The Federal Law to Foster the Microindustry and Handicraft Activity (Ley Federal para el Fomento de la Microindustria y Actividad Artesanal) defines a “microindustry enterprise” as an enterprise integrated by up to 15 workers, that is engaged in the transformation of goods, and the annual sales of which do not exceed the amount determined periodically by the Ministry of Economy (Secretaría de Economía).</w:t>
      </w:r>
    </w:p>
    <w:p>
      <w:pPr>
        <w:pStyle w:val="Normal"/>
      </w:pPr>
      <w:r>
        <w:t>ANNEX I – MEXICO – 7 Sector: Agriculture, Livestock, Forestry, and Lumber Activities Sub-Sector: Agriculture, livestock or forestry Industry Classification: CMAP 1111 Agriculture CMAP 1112 Livestock and hunting (limited to livestock) CMAP 1200 Forestry and felling Trees Obligations Concerned: National Treatment (Article 14.4) Level of Government: Central Measures: Political Constitution of the United Mexican States (Constitución Política de los Estados Unidos Mexicanos), Article 27. Agrarian Law (Ley Agraria), Title VI. Foreign Investment Law (Ley de Inversión Extranjera), Title I, Chapter III. Description: Investment Only a Mexican national or a Mexican enterprise may own land for agriculture, livestock or forestry purposes. Such enterprise must issue a special type of share (“T” share) representing the value of that land at the time of its acquisition. An investor of another Party or its investments may only own, directly or indirectly, up to 49 percent of “T” shares.</w:t>
      </w:r>
    </w:p>
    <w:p>
      <w:pPr>
        <w:pStyle w:val="Normal"/>
      </w:pPr>
      <w:r>
        <w:t>ANNEX I – MEXICO – 8 Sector: Retail Trade Sub-Sector: Sale of non-food products in specialized establishments Industry Classification: CMAP 623087 Retail Trade of Firearms, Cartridges and Munitions CMAP 612024 Wholesale Trade Not Elsewhere Classified (limited to firearms, cartridges and munitions) Obligations Concerned: National Treatment (Article 14.4) Level of Government: Central Measures: Foreign Investment Law (Ley de Inversión Extranjera), Title I, Chapter III. Description: Investment An investor of another Party or its investments may only own, directly or indirectly, up to 49 percent of the ownership interest in an enterprise established or to be established in the territory of Mexico that is engaged in the sale of explosives, firearms, cartridges, ammunition, and fireworks, excluding the acquisition and use of explosives for industrial and extractive activities, and the preparation of explosive mixtures for such activities.</w:t>
      </w:r>
    </w:p>
    <w:p>
      <w:pPr>
        <w:pStyle w:val="Normal"/>
      </w:pPr>
      <w:r>
        <w:t>ANNEX I – MEXICO – 9 Sector: Communications Sub-Sector: Broadcasting (radio and free to air television) Industry Classification: CMAP 941104 Private Production and Transmission of Radio Programs (limited to production and transmission of sound broadcasting (radio) programs) CMAP 941105 Private Services of production, Transmission and Retransmission of Television Programming (limited to transmission and retransmission of free-to-air television programming) Obligations Concerned: National Treatment (Article 14.4 and Article 15.3) Local Presence (Article 15.6) Level of Government: Central Measures: Political Constitution of the United Mexican States (Constitución Política de los Estados Unidos Mexicanos), Articles 28 and 32 Federal Telecommunications and Broadcasting Law (Ley Federal de Telecomunicaciones y Radiodifusión), Title IV, Chapters I, III and IV, title XI, Chapter II. General Means of Communication Law (Ley de Vías Generales de Comunicación), Book I, Chapter III. Foreign Investment Law (Ley de Inversión Extranjera), Title I, Chapters II and III. Regulations to the Foreign Investment Law and the National Registry for Foreign Investments (Reglamento de la Ley de Inversión Extranjera y del Registro Nacional de Inversiones Extranjeras), Title VI.</w:t>
      </w:r>
    </w:p>
    <w:p>
      <w:pPr>
        <w:pStyle w:val="Normal"/>
      </w:pPr>
      <w: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Radiodifusión). Description: Investment and Cross-Border Trade in Services According to their purposes, sole concessions and frequency band concessions will be granted only to Mexican nationals or enterprise constituted under Mexican Laws and regulations. An investor of a Party or its investments may participate up to 49 percent in a concessionaire enterprise supplying broadcasting services. This cap shall apply according to the</w:t>
      </w:r>
    </w:p>
    <w:p>
      <w:pPr>
        <w:pStyle w:val="Normal"/>
      </w:pPr>
      <w:r>
        <w:t>ANNEX I – MEXICO – 10 reciprocity existent with the country in which the investor or trader who ultimately controls it, directly or indirectly, is constituted. For the purposes of the paragraph above, a favorable opinion of the CNIE is required before granting the sole concession for providing broadcasting services in which foreign investment participate. No concession, the rights conferred therein, facilities, auxiliary services, offices, or accessories and properties affected thereto, may be assigned, encumbered, pledged, or given in trust, mortgaged, or transferred totally or partially to any foreign government or state. Concessions for indigenous social use shall be granted to indigenous people and indigenous communities of Mexico, with the objective to promote, develop, and preserve language, culture, knowledge, tradition, identity and internal rules that, under principles of gender equality, allow the integration of indigenous women in the accomplishment of the purposes for which the concession is granted. The State shall guarantee that broadcasting promotes the values of national identity. A broadcasting concessionaire shall use and stimulate local and national artistic values and expressions of Mexican culture, according to the characteristics of its programming. Daily programming with personal performances shall include more time covered by Mexicans.</w:t>
      </w:r>
    </w:p>
    <w:p>
      <w:pPr>
        <w:pStyle w:val="Normal"/>
      </w:pPr>
      <w:r>
        <w:t>ANNEX I – MEXICO – 11 Sector: Communications Sub-Sector: Telecommunications (including resellers and restricted television and audio service) Industry Classification: CMAP 720006 Other Telecommunication Services CMAP 720006 Other Telecommunications services (Not including enhanced or Value Added Services) CMAP 502003 Telecommunications installation CMAP 720006 Other Telecommunications Services (limited to resellers) CMAP 502004 Other special installations Obligations Concerned: National Treatment (Article 14.4 and Article 15.3) Local Presence (Article 15.6) Level of Government: Central Measures: Political Constitution of the United Mexican States (Constitución Política de los Estados Unidos Mexicanos), Article 28 and 32. Federal Telecommunications and Broadcasting Law (Ley Federal de Telecomunicaciones y Radiodifusión), Title IV, Chapters I, III and IV, Title V, Chapter VIII, and Title VI, Unique Chapter. General Means of Communication Law (Ley de Vías Generales de Comunicación). Foreign Investment Law (Ley de Inversión Extranjera) Title I, Chapter II. Regulations to the Foreign Investment Law and the National Registry of Foreign Investments (Reglamento de la Ley de Inversión Extranjera y del Registro Nacional de Inversiones Extranjeras), Title VI.</w:t>
      </w:r>
    </w:p>
    <w:p>
      <w:pPr>
        <w:pStyle w:val="Normal"/>
      </w:pPr>
      <w: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Radiodifusion). Rules of general character that establish the terms and requisites for the granting of telecommunications authorizations established in the Federal Telecommunications and Broadcasting Law (Reglas de carácter general que establecen los plazos y requisitos para el otorgamiento de autorizaciones en materia de telecomunicaciones establecidas en la Ley Federal de Telecomunicaciones y Radiodifusión).</w:t>
      </w:r>
    </w:p>
    <w:p>
      <w:pPr>
        <w:pStyle w:val="Normal"/>
      </w:pPr>
      <w:r>
        <w:t>ANNEX I – MEXICO – 12 General Guidelines on the Authorization to Lease Radio Spectrum (Lineamientos Generales sobre la Autorización de Arrendamiento del Espectro Radioeléctrico). Guidelines for the granting of the Authorization Registration, for the use and development of radio spectrum frequency bands for secondary use (Lineamientos para el otorgamiento de la Constancia de Authorización, para el uso y aprovechamiento de bandas de frecuencias del espectro radioeléctrico para uso secundario). Description: Investment and Cross-Border Trade in Services According to their purposes, sole concessions and frequency band concessions will be granted only to a Mexican national or enterprise constituted under Mexican Laws and regulations. Concessions for indigenous social use shall be granted to indigenous people and indigenous communities of Mexico, with the objective to promote, develop, and preserve their language, culture, knowledge, tradition, identity and internal rules that, under principles of gender equality, allow the integration of indigenous women in the accomplishment of the purposes for which the concession is granted. Concessions for indigenous social use shall only be granted to indigenous people and indigenous communities in Mexico without any kind of foreign investment.</w:t>
      </w:r>
    </w:p>
    <w:p>
      <w:pPr>
        <w:pStyle w:val="Normal"/>
      </w:pPr>
      <w:r>
        <w:t>No concession, the rights conferred therein, facilities, auxiliary services, offices or accessories and properties affected thereto, shall be assigned encumbered, pledged, or given in trust, mortgaged, or transferred totally or partially to any foreign government or state. Only a Mexican national or an enterprise established under Mexican laws may obtain authorization to provide telecommunication services as reseller without being a concessionaire. Under the General Guidelines on the Authorization to Lease Radio Spectrum, a company interested in becoming a lessee of frequency bands must obtain a sole concession for commercial use or a sole concession for private use. An applicant for an authorization for secondary use of radio spectrum frequency bands must appoint a legal address in Mexico City.</w:t>
      </w:r>
    </w:p>
    <w:p>
      <w:pPr>
        <w:pStyle w:val="Normal"/>
      </w:pPr>
      <w:r>
        <w:t>ANNEX I – MEXICO – 13 Sector: Communications Sub-Sector: Transportation Industry Classification: CMAP 7100 Transport Obligations Concerned: National Treatment (Article 14.4) Level of Government: Central Measures: Ports Law (Ley de Puertos), Chapter IV. Regulatory Law of the Railway Service (Ley Reglamentaria del Servicio Ferroviario), Chapter II, Section III. Civil Aviation Law (Ley de Aviación Civil), Chapter III, Section III Airports Law (Ley de Aeropuertos), Chapter IV. Roads, Bridges and Federal Road Transport Law (Ley de Caminos, Puentes y Autotransporte Federal), Title I, Chapter III. General Means of Communication Law (Ley de Vías Generales de Comunicación), Book I, Chapters III and V. Description: Investment No foreign government or foreign State may invest, directly or indirectly, in a Mexican enterprise engaged in transportation and other general means of communications.</w:t>
      </w:r>
    </w:p>
    <w:p>
      <w:pPr>
        <w:pStyle w:val="Normal"/>
      </w:pPr>
      <w:r>
        <w:t>ANNEX I – MEXICO – 14 Sector: Transportation Sub-Sector: Land transportation and water transportation Industry Classification: CMAP 501421 Construction of Maritime and River Works CMAP 501422 Construction of Roadworks and Works Land Transport for Obligations Concerned: National Treatment (Article 14.4 and Article 15.3) Local Presence (Article 15.6) Level of Government: Central Measures: Political Constitution of the United Mexican States (Constitución Política de los Estados Unidos Mexicanos), Article 32. Roads, Bridges and Federal Road Transport Law (Ley de Caminos, Puentes y Autotransporte Federal), Title I, Chapter III. Ports Law (Ley de Puertos), Chapter IV. Navigation and Maritime Commerce Law (Ley de Navegación y Comercio Marítimos), Title I, Chapter II. Description: Investment and Cross-Border Trade in Services A concession granted by the SCT is required to build and operate, or only operate, marine or river works. A concession is also required to build, operate, exploit, conserve, or maintain federal roads and bridges. Only a Mexican national or a Mexican enterprise may obtain these concessions.</w:t>
      </w:r>
    </w:p>
    <w:p>
      <w:pPr>
        <w:pStyle w:val="Normal"/>
      </w:pPr>
      <w:r>
        <w:t>ANNEX I – MEXICO – 15 Sector: Printing, Editing and Associated Industries Sub-Sector: Newspaper publishing Industry Classification: CMAP 342001 Publishing of Newspapers, Periodicals (limited to newspapers) Magazines and Obligations Concerned: National Treatment (Article 14.4) Level of Government: Central Measures: Foreign Investment Law (Ley de Inversión Extranjera), Title I, Chapter III. As qualified by the Description element. Description: Investment An investor of another Party or its investments may only own, directly or indirectly, up to 49 percent of the ownership interest in an enterprise established or to be established in the territory of Mexico engaged in the printing or publication of daily newspapers written primarily for a Mexican audience and distributed in the territory of Mexico. For the purposes of this entry, daily newspapers are those whose distribution is not free and that are published at least seven days a week.</w:t>
      </w:r>
    </w:p>
    <w:p>
      <w:pPr>
        <w:pStyle w:val="Normal"/>
      </w:pPr>
      <w:r>
        <w:t>ANNEX I – MEXICO – 16 Sector: Manufacture of Goods Sub-Sector: Explosives, fireworks, firearms and cartridges Industry Classification: CMAP 352236 Manufacture of Explosives and Fireworks CMAP 382208 Manufacture of Firearms and Cartridges Obligations Concerned: National Treatment (Article 14.4) Level of Government: Central Measures: Foreign Investment Law (Ley de Inversión Extranjera), Title I, Chapter III. Description: Investment An investors of another Party or its investments may only own, directly or indirectly, up to 49 percent of the ownership interest in an enterprise established or to be established in the territory of Mexico that manufactures explosives, fireworks, firearms, cartridges, and ammunition, excluding the preparation of explosive mixtures for industrial and extractive activities.</w:t>
      </w:r>
    </w:p>
    <w:p>
      <w:pPr>
        <w:pStyle w:val="Normal"/>
      </w:pPr>
      <w:r>
        <w:t>ANNEX I – MEXICO – 17 Sector: Sub-Sector: Industry Classification: Obligations Concerned: Level of Government: Measures: Description: Fishing Fishing-related services CMAP 1300 Fishing National Treatment (Article 15.3) Most-Favored-Nation Treatment (Article 15.4) Central Political Constitution of the United Mexican States (Constitución Política de los Estados Unidos Mexicanos), Article 32. General Law on Sustainable Fishing and Aquaculture (Ley General de Pesca y Acuacultura Sustentables), Title Six, Chapter IV; Title Seven, Chapter II. Navigation and Maritime Commerce Law (Ley de Navegación y Comercio Marítimos), Title I, Chapter I; Title II, Chapter IV, Title Three, Chapter II. Ports Law (Ley de Puertos), Chapters I, IV and VI. Regulations to the Fishing Law (Reglamento de la Ley de Pesca), Title Two, Chapter I; Chapter II, Sixth Section.</w:t>
      </w:r>
    </w:p>
    <w:p>
      <w:pPr>
        <w:pStyle w:val="Normal"/>
      </w:pPr>
      <w:r>
        <w:t>Cross-Border Trade in Services A permit issued by the Secretariat of Agriculture, Livestock, Rural Development, Fisheries, and Food (Secretaría de Agricultura, Ganadería, Desarrollo Rural, Pesca, y Alimentación, SAGARPA) through the National Commission of Aquaculture and Fishing (Comisión Nacional de Acuacultura y Pesca, CONAPESCA); or by the SCT, within the scope of their competence, is required to engage in fishing activities. A permit issued by SAGARPA is required to carry out activities, such as fishing jobs needed to justify applications for a concession, and the installation of fixed fishing gear in federal waters.</w:t>
      </w:r>
    </w:p>
    <w:p>
      <w:pPr>
        <w:pStyle w:val="Normal"/>
      </w:pPr>
      <w:r>
        <w:t>This permit shall be given preferentially to residents of local communities. In equal circumstances, an application from an indigenous community shall be preferred. An authorization issued by the SCT is required for foreign- flagged vessels to provide dredging services. A permit issued by the SCT is required to supply port services related to fishing, like loading operations and supply vessels, maintenance of communication equipment, electricity works,</w:t>
      </w:r>
    </w:p>
    <w:p>
      <w:pPr>
        <w:pStyle w:val="Normal"/>
      </w:pPr>
      <w:r>
        <w:t>ANNEX I – MEXICO – 18 garbage or waste collection and sewage disposal. Only a Mexican national or a Mexican enterprise may obtain such permit.</w:t>
      </w:r>
    </w:p>
    <w:p>
      <w:pPr>
        <w:pStyle w:val="Normal"/>
      </w:pPr>
      <w:r>
        <w:t>ANNEX I – MEXICO – 19 Sector: Sub-Sector: Industry Classification: Obligations Concerned: Level of Government: Measures: Description: Fishing Fishing CMAP 130011 Fishing on the High Seas CMAP 130012 Coastal Fishing CMAP 130013 Fresh Water Fishing National Treatment (Article 14.4) Central General Law on Sustainable Fishing and Aquaculture (Ley General de Pesca y Acuacultura Sustentables), Title VI, Chapter IV; Title VII, Chapter I; Title XIII, Unique Chapter; Title XIV, Chapters I, II and III. Navigation and Maritime Commerce Law (Ley de Navegación y Comercio Marítimos), Title II, Chapter I. Sea Federal Law (Ley Federal del Mar), Title I, Chapters I and III. National Waters Law (Ley de Aguas Nacionales), Title I, and Title IV, Chapter I. Foreign Investment Law (Ley de Inversión Extranjera), Title I, Chapter III. Regulations to the Fishing Law (Reglamento de la Ley de Pesca), Title I, Chapter I; Title II, Chapters I, III, IV, V, and VI: Title III, Chapters III and IV.</w:t>
      </w:r>
    </w:p>
    <w:p>
      <w:pPr>
        <w:pStyle w:val="Normal"/>
      </w:pPr>
      <w:r>
        <w:t>Investment An investor of another Party or its investments may only own, directly or indirectly, up to 49 percent of the ownership interest in an enterprise established or to be established in the territory of Mexico performing coastal fishing, fresh water fishing, and fishing in the Exclusive Economic Zone, excluding aquaculture.</w:t>
      </w:r>
    </w:p>
    <w:p>
      <w:pPr>
        <w:pStyle w:val="Normal"/>
      </w:pPr>
      <w:r>
        <w:t>A favorable resolution from the CNIE is required for an investor of another Party or its investments to own, directly or indirectly, more than 49 percent of the ownership interest in an enterprise established or to be established in the territory of Mexico performing fishing on the high seas.</w:t>
      </w:r>
    </w:p>
    <w:p>
      <w:pPr>
        <w:pStyle w:val="Normal"/>
      </w:pPr>
      <w:r>
        <w:t>ANNEX I – MEXICO – 20 Sector: Educational Services Sub-Sector: Private schools Industry Classification: CMAP 921101 Private Pre-school Educational Services CMAP 921102 Private Primary Educational Services CMAP 921103 Private Secondary Educational Services CMAP 921104 Private High School Educational Services CMAP 921105 Private Higher Education Services CMAP 921106 Private Education Services that Combine Pre school, Primary, Secondary, High School and Higher Education Levels Obligations Concerned: National Treatment (Article 14.4) Level of Government: Central Measures: Foreign Investment Law (Ley de Inversión Extranjera), Title I, Chapter III. Law for the Coordination of Higher Education (Ley para la Coordinación de la Educación Superior), Chapter II. General Law of Education (Ley General de Educación), Chapter III. Description: Investment A favorable resolution from the CNIE is required for an investor of another Party or its investments to own, directly or indirectly, more than 49 percent of the ownership interest in an enterprise established or to be established in the territory of Mexico that provides pre-school, primary, secondary, high school, higher, and combined private educational services.</w:t>
      </w:r>
    </w:p>
    <w:p>
      <w:pPr>
        <w:pStyle w:val="Normal"/>
      </w:pPr>
      <w:r>
        <w:t>ANNEX I – MEXICO – 21 Sector: Professional, Technical and Specialized Services Sub-Sector: Medical services Industry Classification: CMAP 9231 Medical, Dental and Veterinary Services provided by the Private Sector (limited to medical services) Obligations Concerned: National Treatment (Article 15.3) Level of Government: Central Measures: Federal Labor Law (Ley Federal del Trabajo), Chapter I. Description: Cross-Border Trade in Services Only a Mexican national licensed as doctor in the territory of Mexico may supply in-house medical services in Mexican enterprises.</w:t>
      </w:r>
    </w:p>
    <w:p>
      <w:pPr>
        <w:pStyle w:val="Normal"/>
      </w:pPr>
      <w:r>
        <w:t>ANNEX I – MEXICO – 22 Sector: Professional, Technical and Specialized Services Sub-Sector: Specialized personnel Industry Classification: CMAP 951012 Agencies Services of Customs and Representative Obligations Concerned: National Treatment (Article 14.4 and Article 15.3) Level of Government: Central Measures: Customs Law (Ley Aduanera), Title II, Chapters I and III, and Title VII, Chapter I. Foreign Investment Law (Ley de Inversión Extranjera), Title I, Chapter II. Description: Investment and Cross-Border Trade in Services Only a Mexican national by birth may be a customs broker. Only a custom broker acting as consignee or legal representative (mandatario) of an importer or exporter, as well as a customs broker’s assignee, may carry out the formalities related to the customs clearance of the goods of such importer or exporter. An investor of another Party or its investments may not participate, directly or indirectly, in a customs broker’s agency.</w:t>
      </w:r>
    </w:p>
    <w:p>
      <w:pPr>
        <w:pStyle w:val="Normal"/>
      </w:pPr>
      <w:r>
        <w:t>ANNEX I – MEXICO – 23 Sector: Professional, Technical and Specialized Services Sub-Sector: Specialized services (Commercial Notary Public) Industry Classification: Obligations Concerned: National Treatment (Article 14.4 and Article 15.3) Local Presence (Article 15.6) Level of Government: Central Measures: Commercial Notary Public Federal Law (Ley Federal de Correduría Pública), Articles 7, 8, 12 and 15. Regulations to the Commercial Notary Public Federal Law (Reglamento de la Ley Federal de Correduría Pública), Chapter I, and Chapter II, Sections I and II. Foreign Investment Law (Ley de Inversión Extranjera), Title I, Chapter II. Description: Investment and Cross-Border Trade in Services Only a Mexican national by birth may be licensed commercial notary public (corredor público). to be a A commercial notary public may not have a business affiliation with any person for the supply of commercial notary public services. A commercial notary public shall establish an place where he has been authorized to practice. office in the Only a Mexican national or a Mexican enterprise with foreigners’ exclusion clause may obtain such license.</w:t>
      </w:r>
    </w:p>
    <w:p>
      <w:pPr>
        <w:pStyle w:val="Normal"/>
      </w:pPr>
      <w:r>
        <w:t>Foreign investment may not participate in commercial notary public activities and companies, directly or through trusts, agreements, social pacts, or statutory, pyramiding schemes, or other mechanism that gives it some control or participation.</w:t>
      </w:r>
    </w:p>
    <w:p>
      <w:pPr>
        <w:pStyle w:val="Normal"/>
      </w:pPr>
      <w:r>
        <w:t>ANNEX I – MEXICO – 24 Sector: Sub-Sector: Industry Classification: Obligations Concerned: Level of Government: Measures: Description: Professional, Technical and Specialized Services Professional services CMAP 951002 Legal Services (including foreign legal consultancy) National Treatment (Article 14.4 and Article 15.3) Most-Favored-Nation Treatment (Article 14.5 and Article 15.4) Central Regulatory Law of Constitutional Article 5th relating to the Practice of Professions in Mexico City (Ley Reglamentaria del Artículo 5º Constitucional, relativo al Ejercicio de las Profesiones en la Ciudad de México), Chapter III, Section III, and Chapter V. Foreign Investment Law (Ley de Inversión Extranjera), Title I, Chapter III. 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to supply legal services.</w:t>
      </w:r>
    </w:p>
    <w:p>
      <w:pPr>
        <w:pStyle w:val="Normal"/>
      </w:pPr>
      <w:r>
        <w:t>In the absence of an international agreement on the matter, the professional practice by a foreigner will be subject to reciprocity in the place of residence of the applicant and to compliance with the rest of the requirements established in Mexican laws and regulations. Except as provided for in this entry, only a lawyer licensed in Mexico may have an ownership interest in a law firm established in the territory of Mexico.</w:t>
      </w:r>
    </w:p>
    <w:p>
      <w:pPr>
        <w:pStyle w:val="Normal"/>
      </w:pPr>
      <w:r>
        <w:t>A lawyer licensed to practice in another Party will be permitted to form a partnership with lawyers licensed in Mexico. The number of lawyers licensed to practice in another Party serving as partners in a firm in Mexico may not exceed the number of lawyers licensed in Mexico serving as partners of that firm. Lawyers licensed to practice in another Party may practice and provide legal consultations on Mexican law, whenever they comply with the requirements to practice as a</w:t>
      </w:r>
    </w:p>
    <w:p>
      <w:pPr>
        <w:pStyle w:val="Normal"/>
      </w:pPr>
      <w:r>
        <w:t>ANNEX I – MEXICO – 25 lawyer in Mexico. A law firm established by a partnership of lawyers licensed to practice in another Party and lawyers licensed to practice in Mexico may hire lawyers licensed in Mexico as employees. For greater certainty, this entry does not apply to the supply, on a temporary fly-in, fly-out basis or through the use of web based or telecommunications technology, of legal advisory services in foreign law and international law and, in relation to foreign and international law only, legal arbitration and conciliation or mediation services by foreign lawyers.</w:t>
      </w:r>
    </w:p>
    <w:p>
      <w:pPr>
        <w:pStyle w:val="Normal"/>
      </w:pPr>
      <w:r>
        <w:t>ANNEX I – MEXICO – 26 Sector: Professional, Technical and Specialized Services Sub-Sector: Professional services Industry Classification: CMAP 9510 Provision of Professional, Technical Specialized Services (limited to professional services) and Obligations Concerned: National Treatment (Article 15.3) Most-Favored-Nation Treatment (Article 15.4) Level of Government: Central Measures: Regulatory Law of Constitutional Article 5th relating to the Practice of Professions in Mexico City (Ley reglamentaria del Artículo 5º Constitucional, relativo al Ejercicio de las Profesiones en la Ciudad de México), Chapter III, Section III, and Chapter V. Regulations to the Regulatory Law of Constitutional Article 5th relating to the Practice of Professions in Mexico City (Reglamento de la Ley Reglamentaria del Artículo 5ºConstitucional, relativo al Ejercicio de las Profesiones en la Ciudad de México), Chapter III. Population General Law (Ley General de Población), Chapter III. Description: Cross-Border Trade in Services Pursuant to the relevant international treaties of which Mexico is a party, a foreigner may practice in Mexico City the professions set forth in the Regulatory Law of Constitutional th Article 5 relating to the Practice of Professions in Mexico City.</w:t>
      </w:r>
    </w:p>
    <w:p>
      <w:pPr>
        <w:pStyle w:val="Normal"/>
      </w:pPr>
      <w:r>
        <w:t>In the absence of an international treaty on the matter, the professional practice by foreigners will be subject to reciprocity in the place of residence of the applicant and to compliance with the rest of the requirements established in Mexican laws and regulations.</w:t>
      </w:r>
    </w:p>
    <w:p>
      <w:pPr>
        <w:pStyle w:val="Normal"/>
      </w:pPr>
      <w:r>
        <w:t>ANNEX I – MEXICO – 27 Sector: Religious Services Sub-Sector: Industry Classification: CMAP 929001 Services of Religious Organizations Obligations Concerned: Senior Management and Boards of Directors (Article 14.11) Local Presence (Article 15.6) Level of Government: Central Measures: Religious Associations and Public Worship Law (Ley de Asociaciones Religiosas y Culto Público), Title II, Chapters I and II. Description: Investment and Cross-Border Trade in Services Representatives of a religious association in Mexico must be Mexican nationals. A religious association must be an association constituted in accordance with the Religious Associations and Public Worship Law (Ley de Asociaciones Religiosas y Culto Público). A religious association must register with the Ministry of Internal Affairs (Secretaría de Gobernación). To be registered, the religious association must be established in Mexico.</w:t>
      </w:r>
    </w:p>
    <w:p>
      <w:pPr>
        <w:pStyle w:val="Normal"/>
      </w:pPr>
      <w:r>
        <w:t>ANNEX I – MEXICO – 28 Sector: Agriculture Services Sub-Sector: Industry Classification: CMAP 971010 Provision of Agricultural Services Obligations Concerned: National Treatment (Article 15.3) Local Presence (Article 15.6) Level of Government: Central Measures: Political Constitution of the United Mexican States (Constitución Política de los Estados Unidos Mexicanos), Article 32. Plant Health Federal Law (Ley Federal de Sanidad Vegetal), Title II, Chapter IV. Regulations to the Phytosanitary Law of the United Mexican States (Reglamento de la Ley de Sanidad Fitopecuaria de los Estados Unidos Mexicanos), Chapter VII. Description: Cross-Border Trade in Services A concession granted by the Ministry of Agriculture, Livestock, Rural Development, Fishing, and Food (Secretaría de Agricultura, Ganadería, Desarrollo Rural, Pesca y Alimentación, SAGARPA) is required to spray pesticides. Only a Mexican national or a Mexican enterprise may obtain such a concession.</w:t>
      </w:r>
    </w:p>
    <w:p>
      <w:pPr>
        <w:pStyle w:val="Normal"/>
      </w:pPr>
      <w:r>
        <w:t>ANNEX I – MEXICO – 29 Sector: Transportation Sub-Sector: Air transportation Industry Classification: CMAP 384205 Manufacture, Assembly and Repair of Aircraft (limited to repair of aircrafts) Obligations Concerned: Local Presence (Article 15.6) Level of Government: Central Measures: Civil Aviation Law (Ley de Aviación Civil), Chapter III, Section II. Civil Aviation Regulations (Reglamento de la Ley de Aviación Civil), Chapter VII. Description: Cross-Border Trade in Services A permit issued by the SCT is required to establish and operate, or operate and exploit, an aircraft repair facility and centers for teaching and training of personnel. To obtain that permission the interested party must prove that the aircraft repair facilities and centers for teaching and training of personnel have their domicile in Mexico.</w:t>
      </w:r>
    </w:p>
    <w:p>
      <w:pPr>
        <w:pStyle w:val="Normal"/>
      </w:pPr>
      <w:r>
        <w:t>ANNEX I – MEXICO – 30 Sector: Sub-Sector: Industry Classification: Obligations Concerned: Level of Government: Measures: Description: Transportation Air transportation CMAP 973302 Airport and Heliport Management Services National Treatment (Article 14.4) Local Presence (Article 15.6) Central Political Constitution of the United Mexican States (Constitución Política de los Estados Unidos Mexicanos), Article 32. General Means of Communication Law (Ley de Vías Generales de Comunicación), Book I, Chapters I, II and III. Foreign Investment Law (Ley de Inversión Extranjera), Title I, Chapter III. Civil Aviation Law (Ley de Aviación Civil), Chapters I and IV. Airports Law (Ley de Aeropuertos), Chapter III Regulations to the Airports Law (Reglamento de la Ley de Aeropuertos), Title II, Chapters I, II and III. Investment and Cross-Border Trade in Services A concession granted by the SCT is required to construct and operate, or operate, airports and heliports. Only a Mexican enterprise may obtain such a concession.</w:t>
      </w:r>
    </w:p>
    <w:p>
      <w:pPr>
        <w:pStyle w:val="Normal"/>
      </w:pPr>
      <w:r>
        <w:t>A favorable resolution from the CNIE is required for an investor of another Party or its investments to own, directly or indirectly, more than 49 percent of the ownership interest in an enterprise established or to be established in the territory of Mexico that is a concessionaire or permissionaire of airfields for public service.</w:t>
      </w:r>
    </w:p>
    <w:p>
      <w:pPr>
        <w:pStyle w:val="Normal"/>
      </w:pPr>
      <w:r>
        <w:t>When deciding, the CNIE will consider that the national and technological development be favored, and that the sovereign integrity of the Nation be protected.</w:t>
      </w:r>
    </w:p>
    <w:p>
      <w:pPr>
        <w:pStyle w:val="Normal"/>
      </w:pPr>
      <w:r>
        <w:t>ANNEX I – MEXICO – 31 Sector: Transportation Sub-Sector: Air transportation Industry Classification: CMAP 713001 Scheduled Air Transport Services Domestically Registered Aircraft CMAP 713002 Non-Scheduled Air Transport (Air Taxis) Specialty air services on Obligations Concerned: National Treatment (Article 14.4) Senior Management and Boards of Directors (Article 14.11) Level of Government: Central Measures: Civil Aviation Law (Ley de Aviación Civil), Chapters IX and X Regulations to the Civil Aviation Law (Reglamento de la Ley de Aviación Civil), Title II, Chapter I. Foreign Investment Law (Ley de Inversión Extranjera), Title I, Chapter III. As qualified by the Description element. Description: Investment An investor of another Party or its investments may only own, directly or indirectly, up to 49 percent of the voting interests in an enterprise established or to be established in the territory of Mexico that supplies a scheduled and non-scheduled domestic air transport service, a non-scheduled international air transport service in the modality of air taxi, or a specialty air service. The chairman and at least two-thirds of the boards of directors and two-thirds of the managing officers of such an enterprise must be Mexican nationals.</w:t>
      </w:r>
    </w:p>
    <w:p>
      <w:pPr>
        <w:pStyle w:val="Normal"/>
      </w:pPr>
      <w:r>
        <w:t>Only a Mexican national or a Mexican enterprise in which 51 percent of the voting interest is owned or controlled by Mexican nationals and of which the chairman and at least two- thirds of the managing officers are Mexican nationals, may register an aircraft in Mexico.</w:t>
      </w:r>
    </w:p>
    <w:p>
      <w:pPr>
        <w:pStyle w:val="Normal"/>
      </w:pPr>
      <w:r>
        <w:t>ANNEX I – MEXICO – 32 Sector: Transportation Sub-Sector: Specialty air services Industry Classification: Obligations Concerned: Local Presence (Article 15.6) Level of Government: Central Measures: General Means of Communications Law (Ley de Vías Generales de Comunicación), Book I, Chapter III. Civil Aviation Law (Ley de Aviación Civil), Chapters I, II, IV and IX. As qualified by the Description element Description: Cross Border Trade in Services A permit issued by the SCT is required to provide all specialty air services in the territory of Mexico. Such a permit may only be granted when the person interested in the supply of these services has a domicile in the territory of Mexico.</w:t>
      </w:r>
    </w:p>
    <w:p>
      <w:pPr>
        <w:pStyle w:val="Normal"/>
      </w:pPr>
      <w:r>
        <w:t>ANNEX I – MEXICO – 33 Sector: Transportation Sub-Sector: Water transportation Industry Classification: CMAP 973203 Maritime Port Administration, Lake and Rivers Obligations Concerned: National Treatment (Article 14.4) Level of Government: Central Measures: Ports Law (Ley de Puertos), Chapters IV and V Regulations to the Ports Law (Reglamento de la Ley de Puertos) Title I, Chapters I and VI Foreign Investment Law (Ley de Inversión Extranjera), Title I, Chapter III Description: Investment An investor of another Party or its investments may only own, directly or indirectly, up to 49 percent of the ownership interest of a Mexican enterprise authorized to act as an integral port administrator.</w:t>
      </w:r>
    </w:p>
    <w:p>
      <w:pPr>
        <w:pStyle w:val="Normal"/>
      </w:pPr>
      <w:r>
        <w:t>ANNEX I – MEXICO – 34 Sector: Transportation Sub-Sector: Water transportation Industry Classification: CMAP 384201 Manufacture and Repair of Vessels Obligations Concerned: National Treatment (Article 15.3) Local Presence (Article 15.6) Level of Government: Central Measures: Political Constitution of the United Mexican States (Constitución Política de los Estados Unidos Mexicanos), Article 32. General Means of Communication Law (Ley de Vías Generales de Comunicación), Book I, Chapters I, II and III. Navigation and Maritime Commerce Law (Ley de Navegación y Comercio Marítimos), Title I, Chapter II. Ports Law (Ley de Puertos), Chapter IV. Description: Cross-Border Trade in Services A concession granted by the SCT is required to establish and operate, or operate, a shipyard. Only a Mexican national or a Mexican enterprise may obtain such a concession.</w:t>
      </w:r>
    </w:p>
    <w:p>
      <w:pPr>
        <w:pStyle w:val="Normal"/>
      </w:pPr>
      <w:r>
        <w:t>ANNEX I – MEXICO – 35 Sector: Sub-Sector: Industry Classification: Obligations Concerned: Level of Government: Measures: Description: Transportation Water transportation CMAP 973201 Water Transport Loading and Unloading Services (includes operation and maintenance of docks; loading and unloading of vessels at shore-side; marine cargo handling; operation and maintenance of piers; ship and boat cleaning; stevedoring; transfer of cargo between ships and trucks, trains, pipelines and wharves; waterfront terminal operations) National Treatment (Article 14.4 and Article 15.3) Local Presence (Article 15.6) Central Political Constitution of the United Mexican States (Constitución Política de los Estados Unidos Mexicanos), Article 32. Navigation and Maritime Commerce Law (Ley de Navegación y Comercio Marítimos), Title I, Chapter II, and Title II, Chapters IV and V. Ports Law (Ley de Puertos), Chapters II, IV and VI. General Means of Communication Law (Ley de Vías Generales de Comunicación), Book I, Chapters I, II and III. Regulations to the Use and Enjoyment of the Territorial Sea, Water Ways, Beaches, Relevant Federal Coastal Zone and Lands Gained to the Sea (Reglamento para el Uso y Aprovechamiento del Mar Territorial, Vías Navegables, Playas, Zona Federal Marítimo Terrestre y Terrenos Ganados al Mar), Chapter II, Section II. As qualified by the Description element.</w:t>
      </w:r>
    </w:p>
    <w:p>
      <w:pPr>
        <w:pStyle w:val="Normal"/>
      </w:pPr>
      <w:r>
        <w:t>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supplying port services to vessels for inland navigation such as towing, mooring, and tendering. A concession granted by the SCT is required to build and operate, or operate, maritime and inland port terminals, including docks, cranes, and related facilities. Only a Mexican national and a Mexican enterprise may obtain such a concession.</w:t>
      </w:r>
    </w:p>
    <w:p>
      <w:pPr>
        <w:pStyle w:val="Normal"/>
      </w:pPr>
      <w:r>
        <w:t>ANNEX I – MEXICO – 36 A permit issued by the SCT is required to supply stevedoring and warehousing services. Only a Mexican national or a Mexican enterprise may obtain such a permit.</w:t>
      </w:r>
    </w:p>
    <w:p>
      <w:pPr>
        <w:pStyle w:val="Normal"/>
      </w:pPr>
      <w:r>
        <w:t>ANNEX I – MEXICO – 37 Sector: Transportation Sub-Sector: Water transportation Industry Classification: CMAP 973203 Maritime and Inland (Lake and Rivers Ports Administration) Obligations Concerned: National Treatment (Article 14.4) Level of Government: Central Measures: Navigation and Maritime Commerce Law (Ley de Navegación y Comercio Marítimos), Title III, Chapter III. Foreign Investment Law (Ley de Inversión Extranjera), Title I, Chapter III. Ports Law (Ley de Puertos), Chapters IV and VI. Description: Investment An investor of another Party or its investments may only participate, directly or indirectly, up to 49 percent in Mexican enterprises engaged in the supply of piloting port services to vessels operating in inland navigation.</w:t>
      </w:r>
    </w:p>
    <w:p>
      <w:pPr>
        <w:pStyle w:val="Normal"/>
      </w:pPr>
      <w:r>
        <w:t>ANNEX I – MEXICO – 38 Sector: Sub-Sector: Industry Classification: Obligations Concerned: Level of Government: Measures: Description: Transportation Water transportation CMAP 712011 International Maritime Transportation Services CMAP 712012 Cabotage Maritime Services CMAP 712013 International and Cabotage Towing Services CMAP 712021 River and Lake Transportation Services CMAP 712022 Internal Port Water Transportation Services National Treatment (Article 14.4 and Article 15.3) Most-Favored-Nation Treatment (Article 14.5 and Article 15.4) Central Navigation and Maritime Commerce Law (Ley de Navegación y Comercio Marítimos), Title III, Chapter I. Foreign Investment Law (Ley de Inversión Extranjera), Title I, Chapter III. Economic Competition Federal Law (Ley Federal de Competencia Económica), Chapter IV. As qualified by the Description element. Investment and Cross-Border Trade in Services The operation or exploitation of high-seas navigation vessels, including transport and international towing services, is open to ship-owners and vessels of all countries, on the basis of reciprocity according to international treaties.</w:t>
      </w:r>
    </w:p>
    <w:p>
      <w:pPr>
        <w:pStyle w:val="Normal"/>
      </w:pPr>
      <w:r>
        <w:t>With the prior opinion of the Federal Competition Commission (Comisión Federal de Competencia Económica, COFECE), SCT may reserve, totally or partially, certain international high-seas freight transportation services, which could only be carried out by Mexican shipping enterprises with Mexican-flagged vessels or vessels reputed as such when the principles of free competition are not respected or the national economy is affected. For greater certainty the previous sentence does not apply to Canada. The operation and exploitation of cabotage and inland navigation is reserved for Mexican ship-owners with Mexican vessels. When Mexican vessels are not appropriate and available with the same technical conditions, or it is required by the public interest, the SCT may provide temporary navigation permits to operate and exploit to Mexican ship-owners with a foreign vessel in accordance with the following priorities:</w:t>
      </w:r>
    </w:p>
    <w:p>
      <w:pPr>
        <w:pStyle w:val="Normal"/>
      </w:pPr>
      <w:r>
        <w:t>ANNEX I – MEXICO – 39 (a) Mexican ship-owner with a foreign vessel under a bareboat charter party; and (b) Mexican ship-owner with a foreign vessel under any type of charter party. The operation and exploitation in inland navigation and cabotage of tourist cruises as well as dredges and maritime devices for the construction, preservation, and operation of ports may be carried out by Mexican or foreign shipping enterprises using Mexican or foreign vessels or maritime devices, on the basis of reciprocity with a Party, endeavoring to give priority to Mexican enterprises and complying with applicable laws. With the prior opinion of the COFECE, the SCT may resolve that totally or partially, certain cabotage or high-seas navigation could only be carried by Mexican shipping enterprises with Mexican vessels or reputed as such in the absence of conditions of effective competition on the relevant market as per the terms of the Economic Competition Federal Law.</w:t>
      </w:r>
    </w:p>
    <w:p>
      <w:pPr>
        <w:pStyle w:val="Normal"/>
      </w:pPr>
      <w:r>
        <w:t>An investor of another Party or its investments may only own, directly or indirectly, up to 49 percent of the ownership interest in a Mexican shipping enterprise or Mexican vessels, established or to be established in the territory of Mexico, which is engaged in the commercial exploitation of vessels for inland and cabotage navigation, excluding tourism cruises and exploitation of dredges and maritime devices for the construction, preservation, and operation of ports.</w:t>
      </w:r>
    </w:p>
    <w:p>
      <w:pPr>
        <w:pStyle w:val="Normal"/>
      </w:pPr>
      <w:r>
        <w:t>A favorable resolution from the CNIE is required for an investor of another Party or its investments to own, directly or indirectly, more than 49 percent of the ownership interest in an enterprise established or to be established in the territory of Mexico engaged in high-seas navigation services and port towing services.</w:t>
      </w:r>
    </w:p>
    <w:p>
      <w:pPr>
        <w:pStyle w:val="Normal"/>
      </w:pPr>
      <w:r>
        <w:t>ANNEX I – MEXICO – 40 Sector: Transportation Sub-Sector: Non-energy pipelines Industry Classification: Obligations Concerned: National Treatment (Article 15.3) Local Presence (Article 15.6) Level of Government: Central Measures: Political Constitution of the United Mexican States (Constitución Política de los Estados Unidos Mexicanos), Article 32. General Means of Communication Law (Ley de Vías Generales de Comunicación), Book I, Chapters I, II and III. National Waters Law (Ley de Aguas Nacionales), Title I, Chapter II, and Title IV, Chapter II. Description: Cross-Border Trade in Services A concession granted by the SCT is required to construct and operate, or operate, pipelines carrying goods other than energy or basic petrochemicals. Only a Mexican national or a Mexican enterprise may obtain such a concession.</w:t>
      </w:r>
    </w:p>
    <w:p>
      <w:pPr>
        <w:pStyle w:val="Normal"/>
      </w:pPr>
      <w:r>
        <w:t>ANNEX I – MEXICO – 41 Sector: Sub-Sector: Industry Classification: Obligations Concerned: Level of Government: Measures: Description: Transportation Railway transportation services CMAP 711101 Railway Transport Services National Treatment (Article 14.4 and Article15.3) Local Presence (Article 15.6) Central Foreign Investment Law (Ley de Inversión Extranjera), Title I, Chapter III. Regulatory Law of the Railway Service (Ley Reglamentaria del Servicio Ferroviario) Chapters I and II, Section III. Regulations to the Railway Service (Reglamento del Servicio Ferroviario), Title I, Chapters I, II and III, Title II, Chapters I and IV, and Title III, Chapter I, Sections I and II. Investment and Cross-Border Trade in Services A favorable resolution from the CNIE is required for an investor of another Party or its investments to participate, directly or indirectly, in more than 49 percent of the ownership interest of an enterprise established or to be established in the territory of Mexico engaged in the construction, operation, and exploitation of railroads deemed general means of communication, or in the supply of railway transportation public service.</w:t>
      </w:r>
    </w:p>
    <w:p>
      <w:pPr>
        <w:pStyle w:val="Normal"/>
      </w:pPr>
      <w:r>
        <w:t>When deciding, the CNIE will consider that the national and technological development be favored, and that the sovereign integrity of the Nation be protected. A concession granted by the SCT is required to build, operate and exploit railway transportation services and to provide railway transportation public service.</w:t>
      </w:r>
    </w:p>
    <w:p>
      <w:pPr>
        <w:pStyle w:val="Normal"/>
      </w:pPr>
      <w:r>
        <w:t>Only a Mexican enterprise may obtain such a concession. A permit issued by the SCT is required to provide auxiliary services; the construction of entry and exit facilities, crossings, and marginal facilities in the right of way; the installation of advertisements and publicity signs in the right of way; and the construction and operation of bridges over railway lines. Only a Mexican national or a Mexican enterprise may obtain such a permit.</w:t>
      </w:r>
    </w:p>
    <w:p>
      <w:pPr>
        <w:pStyle w:val="Normal"/>
      </w:pPr>
      <w:r>
        <w:t>ANNEX I – MEXICO – 42 Sector: Transportation Sub-Sector: Land transportation Industry Classification: CMAP 973101 Management Services of Passenger Bus Terminals and Auxiliary Services (limited to main bus and truck terminals and bus and truck stations) Obligations Concerned: National Treatment (Article 14.4) Most-Favored-Nation Treatment (Article 15.4) Local Presence (Article 15.6) Level of Government: Central Measures: Roads, Bridges and Federal Road Transport Law (Ley de Caminos, Puentes y Autotransporte Federal), Title I, Chapter III. Regulations to the Enjoyment of the Right of Way of the Federal Roads and Surrounding Zones (Reglamento para el Aprovechamiento del Derecho de Vía de las Carreteras Federales y Zonas Aledañas), Chapters II and IV. Regulations to the Federal Road Transport and Auxiliary Services (Reglamento de Autotransporte Federal y Servicios Auxiliares), Chapter I. Description: Cross-Border Trade in Services A permit issued by the SCT is required to establish, or operate, a bus or truck station or terminal. Only a Mexican national or a Mexican enterprise may obtain such a permit. To obtain such permit the interested party must prove that it has its domicile in Mexico.</w:t>
      </w:r>
    </w:p>
    <w:p>
      <w:pPr>
        <w:pStyle w:val="Normal"/>
      </w:pPr>
      <w:r>
        <w:t>ANNEX I – MEXICO – 43 Sector: Transportation Sub-Sector: Land transportation Industry Classification: CMAP 973102 Management Services of Roads, Bridges and Auxiliary Services Obligations Concerned: National Treatment (Article 15.3) Local Presence (Article 15.6) Level of Government: Central Measures: Political Constitution of the United Mexican States (Constitución Política de los Estados Unidos Mexicanos), Article 32. Roads, Bridges and Federal Road Transport Law (Ley de Caminos, Puentes y Autotransporte Federal), Title I, Chapter III. Regulations to the Federal Road Transport and Auxiliary Services (Reglamento de Autotransporte Federal y Servicios Auxiliares), Chapters I and V. Description: Cross-Border Trade in Services A permit granted by the SCT is required to provide auxiliary services to federal road transportation. Only a Mexican national or a Mexican enterprise may obtain such a permit. For greater certainty, auxiliary services are not part of federal road transportation of passengers, tourism, or cargo, but they complement their operation and exploitation.</w:t>
      </w:r>
    </w:p>
    <w:p>
      <w:pPr>
        <w:pStyle w:val="Normal"/>
      </w:pPr>
      <w:r>
        <w:t>ANNEX I – MEXICO – 44 Sector: Sub-Sector: Industry Classification: Obligations Concerned: Level of Government: Measures: Description: Transportation Land transportation CMAP 711201 Construction Materials Transport Services CMAP 711202 Moving Services CMAP 711203 Other Specialized Freight Transport Services CMAP 711204 General Freight Transport Services CMAP 711311 Long-Distance Passenger Bus and Coach Transport Services CMAP 711318 School and Tourist Transport Services (limited to tourist transport services) CMAP 720002 Courier services National Treatment (Article 14.4 and Article 15.3) Local Presence (Article 15.6) Central Foreign Investment Law (Ley de Inversión Extranjera), Title I, Chapter II. Roads, Bridges and Federal Road Transport Law (Ley de Caminos, Puentes y Autotransporte Federal), Title I, Chapter I and III. Regulations to the Federal Road Transport and Auxiliary Services (Reglamento de Autotransporte Federal y Servicios Auxiliares), Chapter I. As qualified by the Description element.</w:t>
      </w:r>
    </w:p>
    <w:p>
      <w:pPr>
        <w:pStyle w:val="Normal"/>
      </w:pPr>
      <w:r>
        <w:t>Investment and Cross-Border Trade in Services An investor of another Party or its investments may not own, directly or indirectly, an ownership interest in an enterprise established or to be established in the territory of Mexico, engaged in transportation services of domestic cargo between points in the territory of Mexico, except for parcel and courier services. A permit issued by the SCT is required to supply a road transportation service of cargo, passengers, or tourism.</w:t>
      </w:r>
    </w:p>
    <w:p>
      <w:pPr>
        <w:pStyle w:val="Normal"/>
      </w:pPr>
      <w:r>
        <w:t>An investor of another Party or its investments may own up to 100 percent of the ownership interest in an enterprise established or to be established in the territory of Mexico to supply an inter-city bus service, a tourist transportation service or a road transportation service of international cargo between points in the territory of Mexico.</w:t>
      </w:r>
    </w:p>
    <w:p>
      <w:pPr>
        <w:pStyle w:val="Normal"/>
      </w:pPr>
      <w:r>
        <w:t>ANNEX I – MEXICO – 45 Only a Mexican national or a Mexican enterprise with a foreigners’ exclusion clause, using Mexican registered equipment that is Mexican-built or legally imported, and drivers who are Mexican nationals, may supply a road transportation service of domestic cargo services between points in the territory of Mexico. A permit issued by the SCT is required to supply parcel and courier services. Only a Mexican national and a Mexican enterprise may supply such services.</w:t>
      </w:r>
    </w:p>
    <w:p>
      <w:pPr>
        <w:pStyle w:val="Normal"/>
      </w:pPr>
      <w:r>
        <w:t>ANNEX I – MEXICO – 46 Sector: Transportation Sub-Sector: Railway transportation services Industry Classification: CMAP 711101 Transport Services Via Railway (limited to railway crew) Obligations Concerned: National Treatment (Article 15.3) Level of Government: Central Measures: Federal Labor Law (Ley Federal del Trabajo), Title VI, Chapter V. Description: Cross-Border Trade in Services Railway crew members must be Mexican nationals.</w:t>
      </w:r>
    </w:p>
    <w:p>
      <w:pPr>
        <w:pStyle w:val="Normal"/>
      </w:pPr>
      <w:r>
        <w:t>ANNEX I – MEXICO – 47 Sector: Transportation Sub-Sector: Land transportation Industry Classification: CMAP 711312 Urban and Suburban Passenger Bus and Coach Transport Services CMAP 711315 Motor Vehicle Taxi Transport Services CMAP 711316 Motor Vehicle Fixed Route Transport Services CMAP 711317 Transport Services in Motor Vehicles from Taxi-Ranks CMAP 711318 School and Tourist Transport Services (limited to school transport services) Obligations Concerned: National Treatment (Article 14.4 and Article15.3) Level of Government: Central Measures: Foreign Investment Law (Ley de Inversión Extranjera), Title I, Chapter II. General Means of Communication Law (Ley de Vías Generales de Comunicación), Book I, Chapters I and II. Roads, Bridges and Federal Road Transport Law (Ley de Caminos, Puentes y Autotransporte Federal), Title I, Chapter III. Regulations to the Federal Road Transport and Auxiliary Services (Reglamento de Autotransporte Federal y Servicios Auxiliares), Chapter I. Description: Investment and Cross-Border Trade in Services Only a Mexican national or a Mexican enterprise with a foreigners’ exclusion clause may supply local urban and suburban passenger bus services, school bus services, and taxi and other collective transportation services.</w:t>
      </w:r>
    </w:p>
    <w:p>
      <w:pPr>
        <w:pStyle w:val="Normal"/>
      </w:pPr>
      <w:r>
        <w:t>ANNEX I – MEXICO – 48 Sector: Communications Sub-Sector: Entertainment services (Cinema) Industry Classification: CMAP 941103 Private Exhibition of Films Obligations Concerned: Most-Favored-Nation Treatment (Article 14.5 and Article 15.4) National Treatment (Article 15.3) Level of Government: Central Measures: Federal Cinematography Law (Ley Federal de Cinematografía), Chapter III. Regulations to the Federal Cinematography Law (Reglamento de la Ley Federal de Cinematografía), Chapter V. Description: Investment and Cross-Border Trade in Services Exhibitors shall reserve 10 percent of the total screen time to the projection of national films.</w:t>
      </w:r>
    </w:p>
    <w:p>
      <w:pPr>
        <w:pStyle w:val="Normal"/>
      </w:pPr>
      <w:r>
        <w:t>ANNEX I – MEXICO – 49 Sector: All Sub-Sector: Industry Classification: Obligations Concerned: National Treatment (Article 14.4 and Article 15.3) Most-Favored-Nation Treatment (Article 14.5 and Article 15.4) Performance Requirements (Article 14.10) Senior Management and Boards of Directors (Article 14.11) Local Presence (Article 15.6) Level of Government: Regional Measures: All existing non-conforming measures of all states of the United Mexican States. Description: Investment and Cross-Border Trade in Services</w:t>
      </w:r>
    </w:p>
    <w:p>
      <w:pPr>
        <w:pStyle w:val="Heading1"/>
      </w:pPr>
      <w:bookmarkStart w:id="901527" w:name="_Toc300001526"/>
      <w:r>
        <w:t>ANNEX I – MEXICO – 50</w:t>
      </w:r>
      <w:bookmarkEnd w:id="901527"/>
    </w:p>
    <w:p>
      <w:pPr>
        <w:pStyle w:val="Normal"/>
      </w:pPr>
      <w:r>
        <w:t>ANNEX I INTRODUCTORY NOTE 1. Description provides a general, nonbinding description of the measure for which the entry is made. 2. In accordance with Articles 14.12 (Non-Conforming Measures) and 15.7 (Non- Conforming Measures), the articles of this Agreement specified in the Obligations Concerned element of an entry do not apply to the non-conforming aspects of the law, regulation, or other measure identified in the Measures element of that entry.</w:t>
      </w:r>
    </w:p>
    <w:p>
      <w:pPr>
        <w:pStyle w:val="Heading1"/>
      </w:pPr>
      <w:bookmarkStart w:id="901528" w:name="_Toc300001527"/>
      <w:r>
        <w:t>ANNEX I – UNITED STATES – 1</w:t>
      </w:r>
      <w:bookmarkEnd w:id="901528"/>
    </w:p>
    <w:p>
      <w:pPr>
        <w:pStyle w:val="Normal"/>
      </w:pPr>
      <w:r>
        <w:t>ANNEX I SCHEDULE OF THE UNITED STATES Sector: Atomic Energy Sub-Sector: Obligations Concerned: National Treatment (Article 14.4) Level of Government: Central Measures: Atomic Energy Act of 1954, 42 U.S.C. §§ 2011 et seq. Description: Investment A license issued by the United States Nuclear Regulatory Commission is required for any person in the United States to transfer or receive in interstate commerce, manufacture, produce, transfer, use, import, or export any nuclear “utilization or production facilities” for commercial or industrial purposes. Such a license may not be issued to any entity known or believed to be owned, controlled, or dominated by an alien, a foreign corporation, or a foreign government (42 U.S.C. § 2133(d)). A license issued by the United States Nuclear Regulatory Commission is also required for nuclear “utilization and production facilities”, for use in medical therapy, or for research and development activities. The issuance of such a license to any entity known or believed to be owned, controlled, or dominated by an alien, a foreign corporation, or a foreign government is also prohibited (42 U.S.C. § 2134(d)).</w:t>
      </w:r>
    </w:p>
    <w:p>
      <w:pPr>
        <w:pStyle w:val="Normal"/>
      </w:pPr>
      <w:r>
        <w:t>ANNEX I – UNITED STATES – 2 Sector: Sub-Sector: Obligations Concerned: Level of Government: Measures: Description: Business Services National Treatment (Article 15.3) Local Presence (Article 15.6) Central Export Trading Company Act of 1982, 15 U.S.C. §§ 4011-4021 Export Trade Certificates of Review, 15 C.F.R. Part 325 Cross-Border Trade in Services Title III of the Export Trading Company Act of 1982 authorizes the Secretary of Commerce to issue “certificates of review” with respect to export conduct. The Act provides for the issuance of a certificate of review where the Secretary determines, and the Attorney General concurs, that the export conduct specified in an application will not have the anticompetitive effects proscribed by the Act. A certificate of review limits the liability under federal and state antitrust laws in engaging in the export conduct certified. Only a “person” as defined by the Act can apply for a certificate of review.</w:t>
      </w:r>
    </w:p>
    <w:p>
      <w:pPr>
        <w:pStyle w:val="Normal"/>
      </w:pPr>
      <w:r>
        <w:t>“</w:t>
      </w:r>
      <w:r>
        <w:t>Person” means “an individual who is a resident of the United States; a partnership that is created under and exists pursuant to the laws of any State or of the United States; a State or local government entity; a corporation, whether organized as a profit or nonprofit corporation, that is created under and exists pursuant to the laws of any State or of the United States; or any association or combination, by contract or other arrangement, between such persons”.</w:t>
      </w:r>
    </w:p>
    <w:p>
      <w:pPr>
        <w:pStyle w:val="Normal"/>
      </w:pPr>
      <w:r>
        <w:t>A foreign national or enterprise may receive the protection provided by a certificate of review by becoming a “member” of a qualified applicant. The regulations define “member” to mean “an entity (U.S. or foreign) that is seeking protection under the certificate with the applicant. A member may be a partner in a partnership or a joint venture; a shareholder of a corporation; or a participant in an association, cooperative, or other form of profit or nonprofit organization or relationship, by contract or other arrangement”.</w:t>
      </w:r>
    </w:p>
    <w:p>
      <w:pPr>
        <w:pStyle w:val="Normal"/>
      </w:pPr>
      <w:r>
        <w:t>ANNEX I – UNITED STATES – 3 Sector: Business Services Sub-Sector: Obligations Concerned: National Treatment (Article 15.3) Local Presence (Article 15.6) Level of Government: Central Measures: Export Administration Act of 1979, as amended, 50 U.S.C. App. §§ 2401-2420 International Emergency Economic Powers Act, 50 U.S.C. §§ 1701-1706 Export Administration Regulations, 15 C.F.R. Parts 730-774 Export Control Reform Act of 2018, Pub. L. 115-232, Title 17, subtitle B, 132 Stat. 2208 (2018) Description: Cross-Border Trade in Services Certain exports and re-exports of commodities, software, and technology subject to the Export Administration Regulations require a license from the Bureau of Industry and Security, U.S. Department of Commerce (BIS). Certain activities of U.S. persons, wherever located, also require a license from BIS. An application for a license must be made by a person in the United States. In addition, release of controlled technology to a foreign national in the United States is deemed to be an export to the home country of the foreign national and requires the same written authorization from BIS as an export from the territory of the United States.</w:t>
      </w:r>
    </w:p>
    <w:p>
      <w:pPr>
        <w:pStyle w:val="Normal"/>
      </w:pPr>
      <w:r>
        <w:t>ANNEX I – UNITED STATES – 4 Sector: Sub-Sector: Obligations Concerned: Level of Government: Measures: Description: Mining National Treatment (Article 14.4) Most-Favored-Nation Treatment (Article 14.5) Central Mineral Lands Leasing Act of 1920, 30 U.S.C. Chapter 3A 10 U.S.C. § 7435 Investment Under the Mineral Lands Leasing Act of 1920, aliens and foreign corporations may not acquire rights-of-way for oil or gas pipelines, or pipelines carrying products refined from oil and gas, across on shore federal lands or acquire leases or interests in certain minerals on on-shore federal lands, such as coal or oil. Non-U.S. citizens may own a 100 percent interest in a domestic corporation that acquires a right-of-way for oil or gas pipelines across on-shore federal lands, or that acquires a lease to develop mineral resources on on-shore federal lands, unless the foreign investor’s home country denies similar or like privileges for the mineral or access in question to U.S. citizens or corporations, as compared with the privileges it accords to its own citizens or corporations or to the citizens or corporations of other countries (30 U.S.C. §§ 181, 185(a)). Nationalization is not considered to be denial of similar or like privileges.</w:t>
      </w:r>
    </w:p>
    <w:p>
      <w:pPr>
        <w:pStyle w:val="Normal"/>
      </w:pPr>
      <w:r>
        <w:t>Foreign citizens, or corporations controlled by them, are restricted from obtaining access to federal leases on Naval Petroleum Reserves if the laws, customs, or regulations of their country deny the privilege of leasing public lands to citizens or corporations of the United States (10 U.S.C. § 7435).</w:t>
      </w:r>
    </w:p>
    <w:p>
      <w:pPr>
        <w:pStyle w:val="Normal"/>
      </w:pPr>
      <w:r>
        <w:t>ANNEX I – UNITED STATES – 5 Sector: Sub-Sector: Obligations Concerned: Level of Government: Measures: Description: All Sectors National Treatment (Article 14.4) Most-Favored-Nation Treatment (Article 14.5) Central 22 U.S.C. §§ 2194 and 2198(c) Investment Overseas Private Investment Corporation (OPIC) programs are not available to non-U.S. citizens as individuals. The availability of these programs to foreign enterprises and foreign owned or controlled domestic enterprises depends upon the extent of U.S. ownership or other U.S. participation, as well as the form of business organization. OPIC insurance and loan guaranties are available only to eligible investors, which are: (i) United States citizens; (ii) corporations, partnerships, or other associations, including non-profit associations, created under the laws of the United States, any state or territory thereof, or the District of Columbia, and substantially beneficially owned by United States citizens; and (iii) foreign partnerships or associations 100 percent owned, or foreign corporations at least 95 percent owned, by one or more such United States citizens, corporations, partnerships, or associations.</w:t>
      </w:r>
    </w:p>
    <w:p>
      <w:pPr>
        <w:pStyle w:val="Normal"/>
      </w:pPr>
      <w:r>
        <w:t>OPIC may issue insurance to investors not otherwise eligible in connection with arrangements with foreign governments (including agencies, instrumentalities, or political subdivisions thereof) or with multilateral organizations and institutions, such as the Multilateral Investment Guarantee Agency, for sharing liabilities assumed under such investment insurance, except that the maximum share of liabilities so assumed may not exceed the proportionate participation by eligible investors in the project.</w:t>
      </w:r>
    </w:p>
    <w:p>
      <w:pPr>
        <w:pStyle w:val="Normal"/>
      </w:pPr>
      <w:r>
        <w:t>ANNEX I – UNITED STATES – 6 Sector: Sub-Sector: Obligations Concerned: Level of Government: Measures: Description: Air Transportation National Treatment (Article 14.4) Most-Favored-Nation Treatment (Article 14.5) Senior Management and Boards of Directors (Article 14.11) Central 49 U.S.C. Subtitle VII, Aviation Programs 14 C.F.R. Part 297 (foreign freight forwarders); 14 C.F.R. Part 380, Subpart E (registration of foreign (passenger) charter operators) Investment Only air carriers that are “citizens of the United States” may operate aircraft in domestic air service (cabotage) and may provide international scheduled and non-scheduled air service as U.S. air carriers. U.S. citizens also have blanket authority to engage in indirect air transportation activities (air freight forwarding and passenger charter activities other than as actual operators of the aircraft). In order to conduct such activities, non-U.S. citizens must obtain authority from the Department of Transportation. Applications for such authority may be rejected for reasons relating to the failure of effective reciprocity, or if the Department of Transportation finds that it is in the public interest to do so.</w:t>
      </w:r>
    </w:p>
    <w:p>
      <w:pPr>
        <w:pStyle w:val="Normal"/>
      </w:pPr>
      <w:r>
        <w:t>Under 49 U.S.C. § 40102(a)(15), a citizen of the United States means an individual who is a U.S. citizen; a partnership in which each member is a U.S. citizen; or a U.S. corporation of which the president and at least two-thirds of the board of directors and other managing officers are U.S.</w:t>
      </w:r>
    </w:p>
    <w:p>
      <w:pPr>
        <w:pStyle w:val="Normal"/>
      </w:pPr>
      <w:r>
        <w:t>citizens, which is under the actual control of U.S. citizens, and in which at least seventy-five percent of the voting interest in the corporation is owned or controlled by U.S. citizens.</w:t>
      </w:r>
    </w:p>
    <w:p>
      <w:pPr>
        <w:pStyle w:val="Normal"/>
      </w:pPr>
      <w:r>
        <w:t>ANNEX I – UNITED STATES – 7 Sector: Sub-Sector: Obligations Concerned: Level of Government: Measures: Description: Air Transportation National Treatment (Articles 14.4 and 15.3) Most-Favored-Nation Treatment (Articles 14.5 and 15.4) Senior Management and Boards of Directors (Article 14.11) Central 49 U.S.C., Subtitle VII, Aviation Programs 49 U.S.C. § 41703 14 C.F.R. Part 375 Investment “Foreign civil aircraft” require authority from the Department of Transportation to conduct specialty air services in the territory of the United States. In determining whether to grant a particular application, the Department will consider, among other factors, the extent to which the country of the applicant’s nationality accords U.S. civil aircraft operators effective reciprocity. “Foreign civil aircraft” are aircraft of foreign registry or aircraft of U.S. registry that are owned, controlled, or operated by persons who are not citizens or permanent residents of the United States (14 C.F.R. § 375.1).</w:t>
      </w:r>
    </w:p>
    <w:p>
      <w:pPr>
        <w:pStyle w:val="Normal"/>
      </w:pPr>
      <w:r>
        <w:t>Under 49 U.S.C. § 40102(a)(15), a citizen of the United States means an individual who is a U.S. citizen; a partnership in which each member is a U.S. citizen; or a U.S. corporation of which the president and at least two-thirds of the board of directors and other managing officers are U.S. citizens, which is under the actual control of U.S. citizens, and in which at least seventy-five percent of the voting interest in the corporation is owned or controlled by U.S. citizens.</w:t>
      </w:r>
    </w:p>
    <w:p>
      <w:pPr>
        <w:pStyle w:val="Normal"/>
      </w:pPr>
      <w:r>
        <w:t>Cross-Border Trade in Services Authorization from the Department of Transportation is required for the supply of specialty air services in the territory of the United States. A person of a Party will be able to obtain such an authorization if the Party provides effective reciprocity by virtue of this Agreement.</w:t>
      </w:r>
    </w:p>
    <w:p>
      <w:pPr>
        <w:pStyle w:val="Normal"/>
      </w:pPr>
      <w:r>
        <w:t>ANNEX I – UNITED STATES – 8 Sector: Land Transportation Sub-Sector: Obligations Concerned: National Treatment (Articles 14.4 and 15.3) Most-Favored-Nation Treatment (Article 14.5 and 15.4) Local Presence (Article 15.6) Level of Government: Central Measures: 49 U.S.C. § 13902(c) 49 U.S.C. § 13102 49 U.S.C. § 13501 49 C.F.R. Subtitle B, Chapter III Sec. 350, P.L. 107-87, as amended Sec. 6901, P.L. 110-28, as amended Description: Investment Grants of authority for the provision of truck services by persons of Mexico between points in the United States for the transportation of goods other than international cargo are subject to reciprocity. Cross-Border Trade in Services and Investment Only persons of the United States, using U.S.-registered and either U.S.-built or duty-paid trucks or buses, may provide truck or bus services between points in the territory of the United States. Operating authority from the Department of Transportation is required to provide cross-border bus or truck services in the territory of the United States. For greater certainty, the United States may maintain the regulatory requirements in 49 C.F.R. Subtitle B, Chapter III, or similar successor regulatory requirements.</w:t>
      </w:r>
    </w:p>
    <w:p>
      <w:pPr>
        <w:pStyle w:val="Normal"/>
      </w:pPr>
      <w:r>
        <w:t>ANNEX I – UNITED STATES – 9 Sector: Transportation Services - Customs Brokers Sub-Sector: Obligations Concerned: National Treatment (Articles 14.4 and 15.3) Local Presence (Article 15.6) Level of Government: Central Measures: 19 U.S.C. § 1641(b) Description: Cross-Border Trade in Services and Investment A customs broker’s license is required to conduct customs business on behalf of another person. An individual may obtain such a license only if that individual is a U.S. citizen. A corporation, association, or partnership may receive a customs broker’s license only if it is established under the laws of any state and at least one officer of the corporation or association, or one member of the partnership, holds a valid customs broker’s license.</w:t>
      </w:r>
    </w:p>
    <w:p>
      <w:pPr>
        <w:pStyle w:val="Normal"/>
      </w:pPr>
      <w:r>
        <w:t>ANNEX I – UNITED STATES – 10 Sector: All Sectors Sub-Sector: Obligations Concerned: National Treatment (Article 14.4) Most-Favored-Nation Treatment (Article 14.5) Level of Government: Central Measures: Securities Act of 1933, 15 U.S.C. §§ 77c(b), 77f, 77g, 77h, 77j, and 77s(a) 17 C.F.R. §§ 230.251 and 230.405 Securities Exchange Act of 1934, 15 U.S.C. §§ 78l, 78m, 78o(d), and 78w(a) 17 C.F.R. § 240.12b-2 Description: Investment Foreign firms, except for certain Canadian issuers, may not use the small business registration forms under the Securities Act of 1933 to register public offerings of securities or the small business registration forms under the Securities Exchange Act of 1934 to register a class of securities or file annual reports.</w:t>
      </w:r>
    </w:p>
    <w:p>
      <w:pPr>
        <w:pStyle w:val="Normal"/>
      </w:pPr>
      <w:r>
        <w:t>ANNEX I – UNITED STATES – 11 Sector: Sub-Sector: Obligations Concerned: Level of Government: Measures: Description: Communications – Radiocommunications* National Treatment (Article 14.4) Central 47 U.S.C. § 310 (a)-(b) Foreign Participation Order 12 FCC Rcd 23891, paras. 97-118 (1997) Investment The United States restricts ownership of radio licenses in accordance with the above statutory and regulatory provisions, which provide that, inter alia: (a) no station license may be granted to or held by a foreign government or representative thereof; (b) no broadcast or common carrier or aeronautical en route or aeronautical fixed station license may be granted to or held by: (i) an alien or its representative;</w:t>
      </w:r>
    </w:p>
    <w:p>
      <w:pPr>
        <w:pStyle w:val="Normal"/>
      </w:pPr>
      <w:r>
        <w:t>(ii) a corporation organized under the laws of a foreign government; or (iii) a corporation of which more than one fifth of the capital stock is owned of record or voted by an alien or its representative, a foreign government or its representative, or a corporation organized under the laws of a foreign country; and (c) absent a specific finding that that the public interest would be served by permitting foreign ownership of a broadcast license, no broadcast station license shall be granted to any corporation directly or indirectly controlled by another corporation of which more than one fourth of the capital stock is owned of record or voted by an alien or its representative, a foreign government or its representative, or a corporation organized under the laws of a foreign</w:t>
      </w:r>
    </w:p>
    <w:p>
      <w:pPr>
        <w:pStyle w:val="Normal"/>
      </w:pPr>
      <w:r>
        <w:t>country.</w:t>
      </w:r>
    </w:p>
    <w:p>
      <w:pPr>
        <w:pStyle w:val="Normal"/>
      </w:pPr>
      <w:r>
        <w:t>ANNEX I – UNITED STATES – 12 *Radiocommunications consist of all communications by radio, including broadcasting.</w:t>
      </w:r>
    </w:p>
    <w:p>
      <w:pPr>
        <w:pStyle w:val="Normal"/>
      </w:pPr>
      <w:r>
        <w:t>ANNEX I – UNITED STATES – 13 Sector: Sub-Sector: Obligations Concerned: Level of Government: Measures: Description: Professional Services - Patent Attorneys, Patent Agents, and Other Practice before the Patent and Trademark Office National Treatment (Article 15.3) Most-Favored-Nation Treatment (Article 15.4) Local Presence (Article 15.6) Central 35 U.S.C. Chapter 3 (practice before the U.S. Patent and Trademark Office) 37 C.F.R. Part 11 (representation of others before the U.S. Patent and Trademark Office) Cross-Border Trade in Services As a condition to be registered to practice for others before the U.S. Patent and Trademark Office (USPTO): (a) a patent attorney must be a U.S. citizen or an alien lawfully residing in the United States (37 C.F.R. § 11.6(a)); (b) a patent agent must be a U.S. citizen, an alien lawfully residing in the United States, or a non-resident who is registered to practice in a country that permits patent agents registered to practice before the USPTO to practice in that country; the latter is permitted to practice for the limited purpose of presenting and prosecuting patent applications of applicants located in the country in which he or she resides (37 C.F.R.</w:t>
      </w:r>
    </w:p>
    <w:p>
      <w:pPr>
        <w:pStyle w:val="Normal"/>
      </w:pPr>
      <w:r>
        <w:t>§11.6(c)); and (c) a practitioner in trademark and non-patent cases must be an attorney licensed in the United States, a “grandfathered” agent, an attorney licensed to practice in a country that accords equivalent treatment to attorneys licensed in the United States, or an agent registered to practice in such a country; the latter two are permitted to practice for the limited purpose of representing parties located in the country in which he or she resides (37 C.F.R. § 11.14(a) (c)).</w:t>
      </w:r>
    </w:p>
    <w:p>
      <w:pPr>
        <w:pStyle w:val="Normal"/>
      </w:pPr>
      <w:r>
        <w:t>ANNEX I – UNITED STATES – 14 Sector: All Sectors Sub-Sector: Obligations Concerned: National Treatment (Articles 14.4 and 15.3) Most-Favored-Nation Treatment (Articles 14.5 and 15.4) Performance Requirements (Article 14.10) Senior Management and Boards of Directors (Article 14.11) Local Presence (Article 15.6) Level of Government: Regional Measures: All existing non-conforming measures of all states of the United States, the District of Columbia, and Puerto Rico Description: Cross-Border Trade in Services and Investment</w:t>
      </w:r>
    </w:p>
    <w:p>
      <w:pPr>
        <w:pStyle w:val="Heading1"/>
      </w:pPr>
      <w:bookmarkStart w:id="901529" w:name="_Toc300001528"/>
      <w:r>
        <w:t>ANNEX I – UNITED STATES – 15 EXPLANATORY NOTE</w:t>
      </w:r>
      <w:bookmarkEnd w:id="901529"/>
    </w:p>
    <w:p>
      <w:pPr>
        <w:pStyle w:val="Normal"/>
      </w:pPr>
      <w:r>
        <w:t>ANNEX II 1. The Schedule of a Party to this Annex sets out, pursuant to Articles 14.12 (Non- Conforming Measures) and 15.7 (Non-Conforming Measures), the specific sectors, subsectors, or activities for which that Party may maintain existing, or adopt new or more restrictive, measures that do not conform with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sectors, subsectors, or activities listed in the entry;</w:t>
      </w:r>
    </w:p>
    <w:p>
      <w:pPr>
        <w:pStyle w:val="Normal"/>
      </w:pPr>
      <w:r>
        <w:t>(d) Description sets out the scope or nature of the sectors, subsectors, or activities covered by the entry to which the reservation applies; and (e) Existing Measures identifies, for transparency purposes, a non-exhaustive list of existing measures that apply to the sectors, subsectors, or activities covered by the entry 3.</w:t>
      </w:r>
    </w:p>
    <w:p>
      <w:pPr>
        <w:pStyle w:val="Normal"/>
      </w:pPr>
      <w:r>
        <w:t>In accordance with Articles 14.12.2 (Non-Conforming Measures) and 15.7.2 (Non- Conforming Measures), the articles of this Agreement specified in the Obligations Concerned</w:t>
      </w:r>
    </w:p>
    <w:p>
      <w:pPr>
        <w:pStyle w:val="Normal"/>
      </w:pPr>
      <w:r>
        <w:t>ANNEX II-EXPLANATORY NOTE-1 element of an entry do not apply to the sectors, subsectors, and activities identified in the Description element of that entry.</w:t>
      </w:r>
    </w:p>
    <w:p>
      <w:pPr>
        <w:pStyle w:val="Heading1"/>
      </w:pPr>
      <w:bookmarkStart w:id="901530" w:name="_Toc300001529"/>
      <w:r>
        <w:t>ANNEX II-EXPLANATORY NOTE-2</w:t>
      </w:r>
      <w:bookmarkEnd w:id="901530"/>
    </w:p>
    <w:p>
      <w:pPr>
        <w:pStyle w:val="Normal"/>
      </w:pPr>
      <w:r>
        <w:t>ANNEX II SCHEDULE OF CANADA INTRODUCTORY NOTES In the interpretation of an entry, all elements of the entry shall be considered. The Description element prevails over all other elements.</w:t>
      </w:r>
    </w:p>
    <w:p>
      <w:pPr>
        <w:pStyle w:val="Normal"/>
      </w:pPr>
      <w:r>
        <w:t>ANNEX II – CANADA – 1 Reservation II-C-1 Sector: Aboriginal Affairs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Canada reserves the right to adopt or maintain measures conferring rights or preferences to aboriginal peoples. For greater certainty, Canada reserves the right to adopt and maintain measures related to the rights recognized and affirmed by section 35 of the Constitution Act, 1982 or those set out in self-government agreements between a central or regional level of government and indigenous peoples. Existing Measures: Constitution Act, 1982, being Schedule B of the Canada Act 1982 (U.K.), 1982, c. 11 as well as land claims agreements and self- government agreements that have been implemented by statute.</w:t>
      </w:r>
    </w:p>
    <w:p>
      <w:pPr>
        <w:pStyle w:val="Normal"/>
      </w:pPr>
      <w:r>
        <w:t>ANNEX II – CANADA – 2 Reservation II-C-2 Sector: All Sectors Sub-sector: Obligations Concerned: National Treatment (Article 14.4) Description: Investment Canada reserves the right to adopt or maintain a measure relating to residency requirements for the ownership of oceanfront land by an investor of a Party or its investments. Existing Measures:</w:t>
      </w:r>
    </w:p>
    <w:p>
      <w:pPr>
        <w:pStyle w:val="Normal"/>
      </w:pPr>
      <w:r>
        <w:t>ANNEX II – CANADA – 3 Reservation II-C-3 Sector: Fisheries Sub-Sector: Fishing and Services Incidental to Fishing Obligations Concerned: National Treatment (Articles 14.4 and 15.3) Most-Favored Nation Treatment (Articles 14.5 and 15.4) Description: Investment and Cross-Border Trade in Services Canada reserves the right to adopt or maintain any measure with respect to licensing fishing or fishing related activities, including entry of foreign fishing vessels to Canada’s exclusive economic zone, territorial sea, internal waters or ports, and use of any services therein. Existing Measures: Fisheries Act, R.S.C. 1985, c. F14 Coastal Fisheries Protection Act, R.S.C. 1985, c.33 Coastal Fisheries Protection Regulations, C.R.C. 1978, c. 413 Commercial Fisheries Licensing Policy Policy on Foreign Investment in the Canadian Fisheries Sector,</w:t>
      </w:r>
    </w:p>
    <w:p>
      <w:pPr>
        <w:pStyle w:val="Normal"/>
      </w:pPr>
      <w:r>
        <w:t>ANNEX II – CANADA – 4 Reservation II-C-4 Sector: Government Finance Sub-sector: Securities Obligations Concerned: National Treatment (Article 14.4) Description: Investment Canada reserves the right to adopt or maintain a measure relating to the acquisition, sale or other disposition by a national of a Party of bonds, treasury bills, or other kinds of debt securities issued by the Government of Canada or a Canadian sub-national government. Existing Measures: Financial Administration Act, R.S.C. 1985, c. F-11</w:t>
      </w:r>
    </w:p>
    <w:p>
      <w:pPr>
        <w:pStyle w:val="Normal"/>
      </w:pPr>
      <w:r>
        <w:t>ANNEX II – CANADA – 5 Reservation II-C-5 Sector: Minority Affairs Sub-sector: Obligations Concerned: National Treatment (Articles 14.4 and 15.3) Performance Requirements (Article 14.10) Senior Management and Boards of Directors (Article 14.11) Local Presence (Article 15.6) Description: Investment and Cross-Border Trade in Services Canada reserves the right to conferring rights or privileges disadvantaged minority. adopt or maintain a measure to a socially or economically Existing Measures:</w:t>
      </w:r>
    </w:p>
    <w:p>
      <w:pPr>
        <w:pStyle w:val="Normal"/>
      </w:pPr>
      <w:r>
        <w:t>ANNEX II – CANADA – 6 Reservation II-C-6 Sector: Social Services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Canada reserves the right to adopt or maintain a measure with respect to the supply of public law enforcement and correctional services, as well as the following services to the extent they are social services established or maintained for a public purpose: income security or insurance, social security or insurance, social welfare, public education, public training, health, and child care. Existing Measures:</w:t>
      </w:r>
    </w:p>
    <w:p>
      <w:pPr>
        <w:pStyle w:val="Normal"/>
      </w:pPr>
      <w:r>
        <w:t>ANNEX II – CANADA – 7 Reservation II-C-7 Sector: Sub-sector: Obligations Concerned: Description: Transportation Water Transportation National Treatment (Articles 14.4 and 15.3) Most-Favored-Nation Treatment (Articles 14.5 and 15.4) Performance Requirements (Article 14.10) Senior Management and Boards of Directors (Article 14.11) Local Presence (Article 15.6) Investment and Cross-Border Trade in Services 1. Canada reserves the right to adopt or maintain a measure affecting the investment in or supply of marine cabotage services, including:</w:t>
      </w:r>
    </w:p>
    <w:p>
      <w:pPr>
        <w:pStyle w:val="Normal"/>
      </w:pPr>
      <w:r>
        <w:t>(a) the transportation of goods or passengers by vessel between points in the territory of Canada or above the continental shelf of Canada, directly or by way of a place outside Canada; but with respect to waters above the continental shelf of Canada, the transportation of goods or passengers only in relation to the exploration, exploitation or transportation of the mineral or non-living natural resources of the continental shelf of Canada; and (b) the engaging by vessel in any other marine activity of a commercial nature in the territory of Canada and, with respect to waters above the continental shelf, in such other marine activities of a commercial nature that are in relation to the exploration, exploitation or transportation of the mineral or non-living natural resources of the continental shelf of Canada. 2.</w:t>
      </w:r>
    </w:p>
    <w:p>
      <w:pPr>
        <w:pStyle w:val="Normal"/>
      </w:pPr>
      <w:r>
        <w:t>This reservation relates to, among other things, limitations and conditions for services suppliers entitled to participate in these activities, to criteria for the issuance of a temporary cabotage license to foreign vessels, and to limits on the number of cabotage licenses issued to foreign vessels.</w:t>
      </w:r>
    </w:p>
    <w:p>
      <w:pPr>
        <w:pStyle w:val="Normal"/>
      </w:pPr>
      <w:r>
        <w:t>ANNEX II – CANADA – 8 3. For greater certainty, this reservation applies, among other things, to marine activities of a commercial nature undertaken by or from a vessel, including feeder services and repositioning of empty containers. Existing Measures: Coasting Trade Act, S.C. 1992, c. 31 Canada Shipping Act, S.C. 2001, c.26 Customs Act, R.S.C. 1985, c.1 (2nd Supp.) Customs and Excise Offshore Application Act, R.S.C. 1985, c. C</w:t>
      </w:r>
    </w:p>
    <w:p>
      <w:pPr>
        <w:pStyle w:val="Normal"/>
      </w:pPr>
      <w:r>
        <w:t>ANNEX II – CANADA – 9 Reservation II-C-8 Sector: Transportation Sub-Sector: Water Transportation Obligations Concerned: Most-Favored-Nation Treatment (Article 15.4) Description: Cross-Border Trade in Services Canada reserves the right to adopt or maintain a measure relating to the implementation of an agreement, arrangement, or other formal or informal undertaking with other countries with respect to maritime activities in waters of mutual interest in areas such as pollution control (including double hull requirements for oil tankers), safe navigation, barge inspection standards, water quality, pilotage, salvage, drug abuse control, or maritime communications. Existing Measures:</w:t>
      </w:r>
    </w:p>
    <w:p>
      <w:pPr>
        <w:pStyle w:val="Normal"/>
      </w:pPr>
      <w:r>
        <w:t>ANNEX II – CANADA – 10 Reservation II-C-9 Sector: Transportation Sub-Sector: Water Transportation Obligations Concerned: National Treatment (Articles 14.4 and 15.3) Most-Favored-Nation Treatment (Articles 14.5 and 15.4) Performance Requirements (Article 14.10) Senior Management Board of Directors (Article 14.11) Local Presence (Article 15.6) Description: Investment and Cross-Border Trade in Services Canada reserves the right to adopt or maintain a measure denying a service provider or investor of the United States, or its investments, the benefits accorded to a service provider or investor of Mexico or any other country, or its investments, in sectors or activities equivalent to those subject to Schedule of the United States, Annex II, page</w:t>
      </w:r>
    </w:p>
    <w:p>
      <w:pPr>
        <w:pStyle w:val="Heading1"/>
      </w:pPr>
      <w:bookmarkStart w:id="901531" w:name="_Toc300001530"/>
      <w:r>
        <w:t>ANNEX II – UNITED STATES – 5. Existing Measures:</w:t>
      </w:r>
      <w:bookmarkEnd w:id="901531"/>
    </w:p>
    <w:p>
      <w:pPr>
        <w:pStyle w:val="Normal"/>
      </w:pPr>
      <w:r>
        <w:t>ANNEX II – CANADA – 11 Reservation II-C-10 Sector: Water Transportation Sub-sector: Technical Testing and Analysis Services Obligations Concerned: Most-Favored-Nation Treatment (Article 14.5) Local Presence (Article 15.6) Description: Investment and Cross-Border Trade in Services 1. Canada reserves the right to adopt or maintain a measure affecting the statutory inspection and certification of a vessel on behalf of Canada. 2. For greater certainty, only a person, classification society or other organization authorized by Canada may carry out statutory inspections and issue Canadian Maritime Documents to Canadian registered vessels and their equipment on behalf of Canada. Existing Measures:</w:t>
      </w:r>
    </w:p>
    <w:p>
      <w:pPr>
        <w:pStyle w:val="Normal"/>
      </w:pPr>
      <w:r>
        <w:t>ANNEX II – CANADA – 12 Reservation II-C-11 Sector: All Sectors Sub-sector: Obligations Concerned: Most-Favored-Nation Treatment (Articles 14.5 and 15.4) Description: Investment and Cross-Border Trade in Services 1. Canada reserves the right to adopt or maintain a measure that accords differential treatment to countries under any bilateral or multilateral international agreement in force or signed prior to the date of entry into force of this Agreement. 2. Canada reserves the right to adopt or maintain a measure that accords differential treatment to countries under any bilateral or multilateral agreement in force or signed after the date of entry into force of this Agreement involving: (a) aviation; (b) fisheries; or (c) maritime matters, including salvage. Existing Measures:</w:t>
      </w:r>
    </w:p>
    <w:p>
      <w:pPr>
        <w:pStyle w:val="Normal"/>
      </w:pPr>
      <w:r>
        <w:t>ANNEX II – CANADA – 13 Reservation II-C-12 Sector: All Sub-sector: Obligations Concerned: Market Access (Articles 15.5) Description: Cross-Border Trade in Services Canada reserves the right to adopt or maintain a measure that is not inconsistent with: (a) Canada’s obligations under Article XVI of GATS; and (b) Canada’s Schedule of Specific Commitments under the GATS (GATS/SC/16, GATS/SC/16/Suppl.1, GATS/SC/16/Suppl.1/Rev.1, GATS/SC/16/Suppl.2, GATS/SC/16/Suppl.2/Rev.1, GATS/SC/16/ Suppl.3, GATS/SC/16/Suppl.4 and GATS/SC/16/Suppl.4/Rev.1). For greater certainty, this entry applies to measures adopted or maintained that affect the supply of a service by a covered investment pursuant to Article 15.5 (Market Access). For purposes of this entry only, Canada’s Schedule of Specific Commitments is modified as indicated in Appendix I. Existing Measures: 1 For greater certainty, this includes obligations resulting from future amendments to Canada’s Schedule to Article XVI of GATS.</w:t>
      </w:r>
    </w:p>
    <w:p>
      <w:pPr>
        <w:pStyle w:val="Normal"/>
      </w:pPr>
      <w:r>
        <w:t>ANNEX II – CANADA – 14 Appendix I For the following Sectors, Canada’s obligations under Article XVI of GATS are improved as described. Sector/Sub-sector Market Access Improvements Accounting, Auditing, and Under Mode 1 remove: Book-keeping services Auditing - Commercial presence requirement: Nova Scotia. - Citizenship requirement for accreditation: Manitoba and Quebec. - Permanent residence requirement for accreditation: Ontario. Under Mode 2 remove: Auditing - Commercial presence requirement: Nova Scotia. - Citizenship requirement for accreditation: Manitoba and Quebec. - Permanent residence requirement for accreditation: Ontario. Architectural services Under Mode 1 remove: Architects - Citizenship requirement for accreditation: Quebec.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w:t>
      </w:r>
    </w:p>
    <w:p>
      <w:pPr>
        <w:pStyle w:val="Normal"/>
      </w:pPr>
      <w:r>
        <w:t>ANNEX II – CANADA – 15 Manitoba. Engineers - Permanent residence requirement for accreditation: Newfoundland and Labrador, Nova Scotia. - Citizenship requirement for accreditation: Quebec. Integrated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 Manitoba. Engineers - Permanent residence requirement for accreditation: Newfoundland and Labrador, Nova Scotia. - Citizenship requirement for accreditation: Quebec. Urban planning and Under Mode 1 remove: landscape architectural services Community/ Urban Planning - Citizenship requirement for use of title: Quebec. Real estate services Under Mode 1 remove: Chartered Appraisers - Citizenship requirement for use of title: Quebec. Management consulting services Under Mode 1 remove: Agrologists - Citizenship requirement for accreditation: Quebec. Professional Administrators and Certified Management Consultants</w:t>
      </w:r>
    </w:p>
    <w:p>
      <w:pPr>
        <w:pStyle w:val="Normal"/>
      </w:pPr>
      <w:r>
        <w:t>ANNEX II – CANADA – 16 - Citizenship requirement for use of title: Quebec Professional Corporation of Administrators. Industrial Relations Counsellors - Citizenship requirement for use of title: Quebec. Under Mode 2 remove: Agrologists - Citizenship requirement for accreditation: Quebec. Investigation and security services Under Mode 3 remove: Business and Personnel Information Investigations - Foreign ownership restriction to 25 percent in total and 10 percent by any individual holding shares: Ontario. Related scientific and technical consulting services Under Mode 1 remove: Land Surveyors - Citizenship requirement for accreditation: Nova Scotia and Quebec. Subsurface Surveying Services - Citizenship requirement for accreditation: Quebec. Professional Technologist - Citizenship requirement for accreditation: Quebec. Chemists - Citizenship requirement for accreditation: Quebec. Under Mode 2 remove: Land Surveyors - Citizenship requirement for accreditation: Nova Scotia and Quebec. Subsurface Surveying Services - Citizenship requirement for accreditation: Quebec. Other business services Under Mode 1 remove: Certified Translators and Interpreters - Citizenship requirement for use of title: Quebec.</w:t>
      </w:r>
    </w:p>
    <w:p>
      <w:pPr>
        <w:pStyle w:val="Normal"/>
      </w:pPr>
      <w:r>
        <w:t>ANNEX II – CANADA – 17 Under Mode 2 remove: Certified Translators and Interpreters - Citizenship requirement for use of title: Quebec. Under Mode 3 remove: Collection Agencies - Foreign Ownership restriction to 25 percent in total and 10 percent by any individual: Ontario. Courier services Under Mode 3 remove: - Economic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Nova Scotia and Manitoba. General construction work Under Mode 3 remove: for civil engineering Construction - An applicant and holder of a water power site development permit must be incorporated in Ontario. Wholesale trade services Under Mode 1 remove: Marketing of Fish Products (Nova Scotia): Nova Scotia residents require ministerial approval to enter into agreements with non-residents.</w:t>
      </w:r>
    </w:p>
    <w:p>
      <w:pPr>
        <w:pStyle w:val="Normal"/>
      </w:pPr>
      <w:r>
        <w:t>Railway passenger and freight transport Under Mode 1 remove: - cabotage limitation Road Passenger Under Mode 3 remove: Transportation Interurban bus transport and scheduled services: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Prince Edward Island.</w:t>
      </w:r>
    </w:p>
    <w:p>
      <w:pPr>
        <w:pStyle w:val="Normal"/>
      </w:pPr>
      <w:r>
        <w:t>ANNEX II – CANADA – 18 Road Freight transportation Under Mode 3 remove: Highway freight transportation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British Columbia, Manitoba, Ontario, Prince Edward Island, Nova Scotia. Telecommunications Under Mode 3 remove: Nova Scotia: no person may vote more than 1,000 shares of Maritime Telegraph and Telephone Ltd.</w:t>
      </w:r>
    </w:p>
    <w:p>
      <w:pPr>
        <w:pStyle w:val="Heading1"/>
      </w:pPr>
      <w:bookmarkStart w:id="901532" w:name="_Toc300001531"/>
      <w:r>
        <w:t>ANNEX II – CANADA – 19</w:t>
      </w:r>
      <w:bookmarkEnd w:id="901532"/>
    </w:p>
    <w:p>
      <w:pPr>
        <w:pStyle w:val="Normal"/>
      </w:pPr>
      <w:r>
        <w:t>ANNEX II SCHEDULE OF MEXICO Sector: All Sub-Sector: Industry Classification: Obligations Concerned: National Treatment (Article 15.3) Level of Government: Central Description: Cross-Border Trade in Services Mexico reserves the right to adopt or maintain any measure restricting the acquisition, sale, or other disposition of bonds, treasury bills, or any other kind of debt security issued by the federal, state, or local governments. Existing Measures:</w:t>
      </w:r>
    </w:p>
    <w:p>
      <w:pPr>
        <w:pStyle w:val="Normal"/>
      </w:pPr>
      <w:r>
        <w:t>ANNEX II – MEXICO – 1 Sector: Entertainment Services Sub-Sector: Recreational and leisure services Industry Classification: CMAP 949104 Other Private Recreational and Leisure Services (limited to gambling and betting services) Obligations Concerned: National Treatment (Article 14.4 and Article 15.3) Most-Favored-Nation Treatment (Article 14.5 and Article 15.4) Senior Management and Boards of Directors (Article 14.11) Local Presence (Article 15.6) Level of Government: Central Description: Investment and Cross-Border Trade in Services Mexico reserves the right to adopt or maintain any measure relating to investment in, or the supply of, gambling and betting services. Existing Measures:</w:t>
      </w:r>
    </w:p>
    <w:p>
      <w:pPr>
        <w:pStyle w:val="Normal"/>
      </w:pPr>
      <w:r>
        <w:t>ANNEX II – MEXICO – 2 Sector: Minority Affairs Sub-Sector: Industry Classification: Obligations Concerned: National Treatment (Article 15.3) Local Presence (Article 15.6) Level of Government: Central Description: Cross-Border Trade in Services Mexico reserves the right to adopt according rights or preferences to disadvantaged groups. or maintain any measure socially or economically Existing Measures: Political Constitution of the United Mexican States (Constitución Política de los Estados Unidos Mexicanos), Article 4.</w:t>
      </w:r>
    </w:p>
    <w:p>
      <w:pPr>
        <w:pStyle w:val="Normal"/>
      </w:pPr>
      <w:r>
        <w:t>ANNEX II – MEXICO – 3 Sector: Social Services Sub-Sector: Industry Classification: Obligations Concerned: National Treatment (Article 14.4 and Article 15.3) Most-Favored-Nation Treatment (Article 14.5 and Article 15.4) Performance Requirements (Article 14.10) Senior Management and Boards of Directors (Article 14.11) Local Presence (Article 15.6) Level of Government: Central Description: Investment and Cross-Border Trade in Services Mexico reserves the right to adopt or maintain any measure with respect to the supply of public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 Existing Measures: Political Constitution of the United Mexican States (Constitución Política de los Estados Unidos Mexicanos), Articles 4, 17, 18, 25, 26, 28 and 123.</w:t>
      </w:r>
    </w:p>
    <w:p>
      <w:pPr>
        <w:pStyle w:val="Normal"/>
      </w:pPr>
      <w:r>
        <w:t>ANNEX II – MEXICO – 4 Sector: Sub-Sector: Industry Classification: Obligations Concerned: Level of Government: Description: Existing Measures: Sector: Sub-Sector: Industry Classification: Obligations Concerned: Transportation Specialized personnel CMAP 951023 Other Professional, Technical and Specialized Services (limited to ship captains; aircraft pilots; ship masters; ship machinists; ship mechanics; airport administrators (comandantes de aeródromos); harbor masters; harbor pilots; crew on Mexican flagged vessels or aircrafts) National Treatment (Article 15.3) Most-Favored-Nation Treatment (Article 15.4) Local Presence (Article 15.6) Central Cross-Border Trade in Services Mexico reserves the right to adopt or maintain any measure with respect to specialized personnel. Only Mexican nationals by birth may serve as: (a) captains, pilots, ship masters, machinists, mechanics, and crew members manning vessels or aircraft under the Mexican flag; and (b) harbor pilots, harbor masters, and airport administrators.</w:t>
      </w:r>
    </w:p>
    <w:p>
      <w:pPr>
        <w:pStyle w:val="Normal"/>
      </w:pPr>
      <w:r>
        <w:t>Political Constitution of the United Mexican States (Constitución Política de los Estados Unidos Mexicanos), Article 32 All Telegraph, radiotelegraph and postal services Issuance of bills (currency) and minting of coinage Control, inspection and surveillance of maritime and inland ports Control, inspection and surveillance of airports and heliports National Treatment (Article 14.4) Most-Favored-Nation Treatment (Article 14.5) Performance Requirements (Article 14.10) Senior Management and Boards of Directors (Article 14.11)</w:t>
      </w:r>
    </w:p>
    <w:p>
      <w:pPr>
        <w:pStyle w:val="Normal"/>
      </w:pPr>
      <w:r>
        <w:t>ANNEX II – MEXICO – 5 Level of Government: Description: Existing Measures: Central Investment The activities set out in this list are reserved to the Mexican State, and private equity investment is prohibited under Mexican Law. If Mexico allows private investment to participate in such activities through service contracts, concessions, lending arrangements, or any other type of contractual arrangement, this participation shall not be construed to affect the State’s reservation of those activities. If Mexican law is amended to allow private equity investment in an activity set out in this list, Mexico may impose restrictions on foreign investment participation and those restrictions shall be deemed existing Annex I non-conforming measures and subject to paragraph 1 of Article 14.12 (Non- Conforming Measures). Mexico may also impose restrictions on foreign equity investment participation when selling an asset or ownership interest in an enterprise engaged in activities set out in this list, and those restrictions shall be deemed existing Annex I non-conforming measures and subject to paragraph 1 of Article 14.12 (Non-Conforming Measures). (a) Telegraph, radiotelegraph and postal services;</w:t>
      </w:r>
    </w:p>
    <w:p>
      <w:pPr>
        <w:pStyle w:val="Normal"/>
      </w:pPr>
      <w:r>
        <w:t>(b) Issuance of bills (currency) and minting of coinage; (c) Control, inspection and surveillance of maritime and inland ports; (d) Control, inspection and heliports; and surveillance of airports and (e) Nuclear power. For greater certainty, nuclear power includes radioactive minerals.</w:t>
      </w:r>
    </w:p>
    <w:p>
      <w:pPr>
        <w:pStyle w:val="Normal"/>
      </w:pPr>
      <w:r>
        <w:t>Political Constitution of the United Mexican States (Constitución Política de los Estados Unidos Mexicanos) Articles 25 and 28. Law of the Bank of Mexico (Ley del Banco de México). Law of the House of Currency of Mexico (Ley de la Casa de Moneda de México). United Mexican States Monetary Law (Ley Monetaria de los Estados Unidos Mexicanos).</w:t>
      </w:r>
    </w:p>
    <w:p>
      <w:pPr>
        <w:pStyle w:val="Normal"/>
      </w:pPr>
      <w:r>
        <w:t>ANNEX II – MEXICO – 6 Navigation and Maritime Commerce Law (Ley de Navegación y Comercio Marítimos). Ports Law (Ley de Puertos). Airports Law (Ley de Aeropuertos). Federal Telecommunication and Broadcasting Law (Ley Federal de Telecomunicaciones y Radiodifusión). Decree that establish the decentralized agency of Navigation Services in the Mexican Airspace, SENEAM (by its acronym in Spanish) (Decreto que crea el Organismo Desconcentrado de Servicios a la Navegación en el Espacio Aéreo Mexicano, SENEAM). General Means of Communication Law (Ley de Vías Generales de Comunicación). Mexican Postal Service Law (Ley del Servicio Postal Mexicano), Title I, Chapter III. Foreign Investment Law (Ley de Inversión Extranjera).</w:t>
      </w:r>
    </w:p>
    <w:p>
      <w:pPr>
        <w:pStyle w:val="Normal"/>
      </w:pPr>
      <w:r>
        <w:t>ANNEX II – MEXICO – 7 Sector: All Sub-Sector: Industry Classification: Obligations Concerned: Most-Favored-Nation Treatment (Article 14.5) Level of Government: Central Description: Investment Mexico reserves the right to adopt or maintain any measure granting different treatment to countries accorded under all bilateral or multilateral international agreements in force prior to the date of the entry into force of this Agreement. Mexico reserves the right to adopt or maintain any measure granting different treatment to countries accorded under all international agreements in force or signed after the date of entry into force of this Agreement involving: (a) aviation; (b) fisheries; or (c) maritime matters, including salvage. Existing Measures:</w:t>
      </w:r>
    </w:p>
    <w:p>
      <w:pPr>
        <w:pStyle w:val="Normal"/>
      </w:pPr>
      <w:r>
        <w:t>ANNEX II – MEXICO – 8 Sector: All Sub-Sector: Industry Classification: Obligations Concerned: Market Access (Article 15.5) Level of Government: Central and Regional Description: Cross-Border Trade in Services Mexico reserves the right to adopt or maintain any measure related to Article 15.5 (Market Access), except for the following sectors and sub-sectors subject to the limitations and conditions listed below. For the purpose of this entry: (a) “1)” refers to the supply of a service from the territory of one Party into the territory of any other Party; (b) “2)” refers to the supply of a service in the territory of one Party by a person of that Party to a person of the other Party; (c) “3)” refers to the supply of a service in the territory of one Party by an investor of the other Party or a covered investment; and (d) “4)” refers to the supply of a service by a national of one Party, in the territory of any other Party. This entry: (a) applies to the central level of government;</w:t>
      </w:r>
    </w:p>
    <w:p>
      <w:pPr>
        <w:pStyle w:val="Normal"/>
      </w:pPr>
      <w:r>
        <w:t>(b) applies to the regional level of government in accordance with specific commitments of Mexico under the Article XVI of GATS which exist at the date of entry into force of this Agreement; and (c) does not apply to municipal or local level. This entry does not apply to entries listed in Annex I with respect to Article 15.5 (Market Access). Mexico’s limitations on market access in this entry are only those limitations which</w:t>
      </w:r>
    </w:p>
    <w:p>
      <w:pPr>
        <w:pStyle w:val="Normal"/>
      </w:pPr>
      <w:r>
        <w:t>ANNEX II – MEXICO – 9 are not discriminatory. Sector or subsector Limitations on market access 1.BUSINESS SERVICES 1. A.</w:t>
      </w:r>
    </w:p>
    <w:p>
      <w:pPr>
        <w:pStyle w:val="Normal"/>
      </w:pPr>
      <w:r>
        <w:t>Professional services a) Legal services (CPC 861) 1), 2) and 3) None 4) Unbound, except as indicated in Chapter 16 (Temporary Entry for Business Persons). b) Accounting, auditing and 1), 2) and 3) None bookkeeping services (CPC 862) 4) Unbound, except as indicated in Chapter 16 (Temporary Entry for Business Persons). d) Consultancy and technical studies 1), 2) and 3) None for architecture (CPC 8671) 4) Unbound, except as indicated in Chapter 16 (Temporary Entry for Business Persons). e) Consultancy and technical services 1), 2) and 3) None for engineering (CPC 8672) 4) Unbound, except as indicated in Chapter 16 (Temporary Entry for Business Persons). f) Integrated engineering services (CPC 1), 2) and 3) None 8673) 4) Unbound, except as indicated in Chapter 16 (Temporary Entry for Business Persons). g) Urban planning and landscape 1), 2) and 3) None architectural services (CPC 8674) 4) Unbound, except as indicated in Chapter 16 (Temporary Entry for Business Persons).</w:t>
      </w:r>
    </w:p>
    <w:p>
      <w:pPr>
        <w:pStyle w:val="Normal"/>
      </w:pPr>
      <w:r>
        <w:t>h) Related scientific and technical 1), 2) and 3) None consulting services (CPC 8675) 4) Unbound, except as indicated in Chapter 16 (Temporary Entry for Business Persons). i) Medical and dental services (CPC 1), 2) and 3) None 9312) 4) Unbound, except as indicated in Chapter 16 (Temporary Entry for Business Persons).</w:t>
      </w:r>
    </w:p>
    <w:p>
      <w:pPr>
        <w:pStyle w:val="Normal"/>
      </w:pPr>
      <w:r>
        <w:t>In order to practice a profession in Mexico, it is necessary to have a degree that has been recognized or confirmed by the Ministry of Public Education (Secretaría de Educación Pública) and also to obtain a profesional license. There are special requirements to be met by engineers, architects, and doctors.</w:t>
      </w:r>
    </w:p>
    <w:p>
      <w:pPr>
        <w:pStyle w:val="Normal"/>
      </w:pPr>
      <w:r>
        <w:t>ANNEX II – MEXICO – 10 Sector or subsector Limitations on market access k) Other services Religious services (CPC 95910) 1), 2) and 3) None 4) Unbound, except as indicated in Chapter 16 (Temporary Entry for Business Persons). 1. B. Computer and Related Services a) Consultancy services related to the 1), 2) and 3) None installation of computer hardware (CPC 841) 4) Unbound, except as indicated in Chapter 16 (Temporary Entry for Business Persons). b) Software implementation services 1), 2) and 3) None (CPC 842) 4) Unbound, except as indicated in Chapter 16 (Temporary Entry for Business Persons). c) Data processing services (CPC 843) 1), 2) and 3) None 4) Unbound, except as indicated in Chapter 16 (Temporary Entry for Business Persons). d) Data base services (CPC 844) 1), 2) and 3) None 4) Unbound, except as indicated in Chapter 16 (Temporary Entry for Business Persons). e) Other (CPC 845+849) 1), 2) and 3) None 4) Unbound, except as indicated in Chapter 16 (Temporary Entry for Business Persons). 1. C.</w:t>
      </w:r>
    </w:p>
    <w:p>
      <w:pPr>
        <w:pStyle w:val="Normal"/>
      </w:pPr>
      <w:r>
        <w:t>Research and Development 1), 2) and 3) None Services (CPC 85) (other than research and technological development centres) 4) Unbound, except as indicated in Chapter 16 (Temporary Entry for Business Persons). Research and experimental 1), 2) and 3) None development services on engineering and technology 4) Unbound, except as indicated in Chapter 16 (CPC 85103) (Temporary Entry for Business Persons).</w:t>
      </w:r>
    </w:p>
    <w:p>
      <w:pPr>
        <w:pStyle w:val="Normal"/>
      </w:pPr>
      <w:r>
        <w:t>- Research and development services on 1), 2) and 3) None social sciences and humanities (CPC 852) 4) Unbound, except as indicated in Chapter 16 (Temporary Entry for Business Persons).</w:t>
      </w:r>
    </w:p>
    <w:p>
      <w:pPr>
        <w:pStyle w:val="Normal"/>
      </w:pPr>
      <w:r>
        <w:t>ANNEX II – MEXICO – 11 Sector or subsector Limitations on market access 1. D. Real estate services a) Real estate services involving own or 1)Unbound leased property (CPC 821) 2)and 3) None Other than: Real estate services involving own property 4) Unbound, except as indicated in Chapter 16 (Temporary Entry for Business Persons). b) Real estate services on a fee or 1) Unbound contract basis (CPC 822) 2) and 3) None 4) Unbound, except as indicated in Chapter 16 (Temporary Entry for Business Persons). 1. E.</w:t>
      </w:r>
    </w:p>
    <w:p>
      <w:pPr>
        <w:pStyle w:val="Normal"/>
      </w:pPr>
      <w:r>
        <w:t>Rental/Leasing Services without Operators a) Leasing or rental services concerning 1), 2) and 3) None vessels without operator (CPC 83103) 4) Unbound, except as indicated in Chapter 16 (Temporary Entry for Business Persons). b) Leasing or rental services concerning 1), 2) and 3) None aircraft without operator (CPC 83104) 4) Unbound, except as indicated in Chapter 16 (Temporary Entry for Business Persons). c) Leasing or rental services concerning 1)Unbound other means of transport without 2)and 3) None operator (limited to private cars without operator CPC 83101) 4) Unbound, except as indicated in Chapter 16 (Temporary Entry for Business Persons). - Leasing or rental services concerning 1) Unbound means of maritime transport without 2) and 3) None operator 4) Unbound, except as indicated in Chapter 16 (Temporary Entry for Business Persons).</w:t>
      </w:r>
    </w:p>
    <w:p>
      <w:pPr>
        <w:pStyle w:val="Normal"/>
      </w:pPr>
      <w:r>
        <w:t>d) Leasing or rental services concerning 1) Unbound other machinery and equipment without operator: 2) and 3) None 4) Unbound, except as indicated in Chapter 16 (Temporary Entry for Business Persons). Rental services concerning 1), 2) and 3) None agricultural and fishery machinery and equipment (CPC 83106) 4) Unbound, except as indicated in Chapter 16 (Temporary Entry for Business Persons). - Rental services concerning machinery 1), 2) and 3) None</w:t>
      </w:r>
    </w:p>
    <w:p>
      <w:pPr>
        <w:pStyle w:val="Normal"/>
      </w:pPr>
      <w:r>
        <w:t>ANNEX II – MEXICO – 12 Sector or subsector Limitations on market access and equipment for industry (CPC 83109) 4) Unbound, except as indicated in Chapter 16 (Temporary Entry for Business Persons). e) Other 1), 2) and 3) None - Rental services concerning electronic 4) Unbound, except as indicated in Chapter 16 equipment for data processing (CPC (Temporary Entry for Business Persons). 83108) - Leasing or rental services concerning 1), 2) and 3) None other personal or household goods (CPC 83209) 4) Unbound, except as indicated in Chapter 16 (Temporary Entry for Business Persons). Rental services concerning office 1), 2) and 3) None equipment and furniture (CPC 83108) 4) Unbound, except as indicated in Chapter 16 (Temporary Entry for Business Persons). Rental services concerning 1), 2) and 3) None televisions, sound equipment, video cassette recorders and musical 4) Unbound, except as indicated in Chapter 16 instruments (CPC 83201) (Temporary Entry for Business Persons).</w:t>
      </w:r>
    </w:p>
    <w:p>
      <w:pPr>
        <w:pStyle w:val="Normal"/>
      </w:pPr>
      <w:r>
        <w:t>Rental services concerning 1), 2) and 3) None professional photographic equipment and projectors (CPC 83209) 4) Unbound, except as indicated in Chapter 16 (Temporary Entry for Business Persons). Rental services concerning other 1), 2) and 3) None machinery, equipment and furniture not mentioned above (CPC 83109) 4) Unbound, except as indicated in Chapter 16 (Temporary Entry for Business Persons). 1. F.</w:t>
      </w:r>
    </w:p>
    <w:p>
      <w:pPr>
        <w:pStyle w:val="Normal"/>
      </w:pPr>
      <w:r>
        <w:t>Other Business Services a) Advertising and related activities 1), 2) and 3) None (excluding broadcasting as well as restricted radio and television services) 4) Unbound, except as indicated in Chapter 16 (CPC 871) (Temporary Entry for Business Persons). b) Market research services (CPC 8640) 1), 2) and 3) None 4) Unbound, except as indicated in Chapter 16 (Temporary Entry for Business Persons). c) Management consulting services 1), 2) and 3) None</w:t>
      </w:r>
    </w:p>
    <w:p>
      <w:pPr>
        <w:pStyle w:val="Normal"/>
      </w:pPr>
      <w:r>
        <w:t>ANNEX II – MEXICO – 13 Sector or subsector Limitations on market access (CPC 8650) 4) Unbound, except as indicated in Chapter 16 (Temporary Entry for Business Persons). d) Administrative formalities and 1), 2) and 3) None collection services (CPC 8660) 4) Unbound, except as indicated in Chapter 16 (Temporary Entry for Business Persons). e) Technical testing and analysis 1), 2) and 3) None services (CPC 8676) 4) Unbound, except as indicated in Chapter 16 (Temporary Entry for Business Persons). f) Services incidental to agriculture, 1) and 2) None hunting and forestry 3)None except as indicated in 1.A Unbound, except as indicated in Chapter 16 -Services incidental to agriculture (CPC (Temporary Entry for Business Persons).</w:t>
      </w:r>
    </w:p>
    <w:p>
      <w:pPr>
        <w:pStyle w:val="Normal"/>
      </w:pPr>
      <w:r>
        <w:t>8811 limited to professional services incidental to agriculture) -Services incidental to animal husbandry 1) and 2) None (CPC 8812 limited to professional services incidental to animal husbandry) 3) None except as indicated in 1.A 4) Unbound, except as indicated in Chapter 16 (Temporary Entry for Business Persons). - Services incidental to forestry and logging (CPC 88104) 1) and 2) None 3) None except as indicated in 1.A 4) Unbound, except as indicated in Chapter 16 (Temporary Entry for Business Persons). g) Services incidental to fishing (CPC 1), 2) and 3) None 882) 4) Unbound except as indicated in Temporary Entry for Business Persons Chapter.</w:t>
      </w:r>
    </w:p>
    <w:p>
      <w:pPr>
        <w:pStyle w:val="Normal"/>
      </w:pPr>
      <w:r>
        <w:t>k) Placement and supply of services of 1), 2) and 3) None personnel (CPC 8720) 4) Unbound, except as indicated in Chapter 16 (Temporary Entry for Business Persons).</w:t>
      </w:r>
    </w:p>
    <w:p>
      <w:pPr>
        <w:pStyle w:val="Normal"/>
      </w:pPr>
      <w:r>
        <w:t>ANNEX II – MEXICO – 14 Sector or subsector Limitations on market access l) Protection and guard services (CPC 8730) 1) Unbound 2) None. 3)None, except that the requirements laid down for each specific means of transport must be fulfilled. 4) Unbound, except as indicated in Chapter 16 (Temporary Entry for Business Persons). n) Maintenance and repair of equipment 1), 2) and 3) None except maritime vessels, aircraft and other transport equipment: 4) Unbound, except as indicated in Chapter 16 (Temporary Entry for Business Persons). - Repair and maintenance of industrial 1), 2) and 3) None machinery and equipment (CPC 8862) 4) Unbound, except as indicated in Chapter 16 (Temporary Entry for Business Persons). Repair and maintenance of 1), 2) and 3) None professional technical equipment and instruments 4) Unbound, except as indicated in Chapter 16 (CPC 8866) (Temporary Entry for Business Persons). - Repair services incidental to metal 1), 2) and 3) None products, machinery and equipment.</w:t>
      </w:r>
    </w:p>
    <w:p>
      <w:pPr>
        <w:pStyle w:val="Normal"/>
      </w:pPr>
      <w:r>
        <w:t>(CPC886) 4) Unbound, except as indicated in Chapter 16 (Temporary Entry for Business Persons). - Repair and maintenance of machinery 1), 2) and 3) None and equipment for general use, not assignable to any specific activity (CPC 4) Unbound, except as indicated in Chapter 16 886) (Temporary Entry for Business Persons). o) Building-cleaning services (CPC 8740) 1)None 2)Unbound* 3)None 4) Unbound, except as indicated in Chapter 16 (Temporary Entry for Business Persons).</w:t>
      </w:r>
    </w:p>
    <w:p>
      <w:pPr>
        <w:pStyle w:val="Normal"/>
      </w:pPr>
      <w:r>
        <w:t>p) Photographic services Photography and motion-picture 1) None 2) Unbound*</w:t>
      </w:r>
    </w:p>
    <w:p>
      <w:pPr>
        <w:pStyle w:val="Normal"/>
      </w:pPr>
      <w:r>
        <w:t>ANNEX II – MEXICO – 15 Sector or subsector Limitations on market access processing services (CPC 87505 and 87506) 3) None 4) Unbound, except as indicated in Chapter 16 (Temporary Entry for Business Persons). r) Printing, publishing (CPC 88442) 1), 2) and 3) None Only includes: 4) Unbound, except as indicated in Chapter 16 Publishing of books and similars (Temporary Entry for Business Persons). Printing and binding (except newsprint for circulation exclusively in the Mexican territory) Auxiliary and related industries with editing and printing (excludes manufacturing for printing types which are classified into 3811 branch, “casting and moulding of ferrous and nonferrous metal parts”). s) Convention services (CPC 87909***) 1)Unbound* 2)None 3)None 4)Unbound, except as indicated in Chapter 16 (Temporary Entry for Business Persons). t) Other - Credit reporting services (CPC 87901) 1)Unbound 2)None 3)None 4) Unbound, except as indicated in Chapter 16 (Temporary Entry for Business Persons). Speciality design services (CPC 1), 2) and 3) None 87907) 4) Unbound, except as indicated in Chapter 16 (Temporary Entry for Business Persons). Industrial design services (CPC 86725) 1), 2) and 3) None</w:t>
      </w:r>
    </w:p>
    <w:p>
      <w:pPr>
        <w:pStyle w:val="Normal"/>
      </w:pPr>
      <w:r>
        <w:t>ANNEX II – MEXICO – 16 Sector or subsector Limitations on market access 4) Unbound, except as indicated in Chapter 16 (Temporary Entry for Business Persons). - Photocopying and similar services 1), 2) and 3) None (CPC 87904) 4) Unbound, except as indicated in Chapter 16 (Temporary Entry for Business Persons). - Translation and interpretation services 1), 2) and 3) None (CPC 87905) 4) Unbound, except as indicated in Chapter 16 (Temporary Entry for Business Persons). - Laundry collection services (CPC 97011) 1)Unbound* 2)None 3)None 4)Unbound, except as indicated in Chapter 16 (Temporary Entry for Business Persons). 2.COMMUNICATION SERVICES B. Courier services 1) Unbound -Courier services (CPC 7512) 2) None 3) None, except that the requirements laid down for each specific means of transport must be fulfilled. 4) Unbound, except as indicated in Chapter 16 (Temporary Entry for Business Persons). C.</w:t>
      </w:r>
    </w:p>
    <w:p>
      <w:pPr>
        <w:pStyle w:val="Normal"/>
      </w:pPr>
      <w:r>
        <w:t>Telecommunication Services Telecommunications services supplied by facilities based public telecommunications network (wire based and radioelectric) through any technological medium, included in subparagraphs (a), (b), (c), (f), (g) and (o) 1) The international traffic only may be routed through international ports of a natural person or juridical person with a concession granted by the regulatory agency to install, operate or use a public telecommunication network in the Mexican territory authorized to provide long distance service.</w:t>
      </w:r>
    </w:p>
    <w:p>
      <w:pPr>
        <w:pStyle w:val="Normal"/>
      </w:pPr>
      <w:r>
        <w:t>2) None 3) The Federal Telecommunications Institute (Instituto Federal de telecomunicaciones,</w:t>
      </w:r>
    </w:p>
    <w:p>
      <w:pPr>
        <w:pStyle w:val="Normal"/>
      </w:pPr>
      <w:r>
        <w:t>ANNEX II – MEXICO – 17 Sector or subsector Limitations on market access IFT), shall reserve for community indigenous FM radio stations ten per cent of broadcasting band of FM that goes from 88 to 108 MHz. Such percentage shall be granted as concession for the upper part of the referred band. The Institute shall directly assign 90 MHz of the 700 MHz band for the operation and exploitation of a wholesale shared network through a concession for commercial use. Resellers of telecommunications of long distance and international long distance may contract telecommunications services (exclusively) with authorized concessionaires. The economic agent who has been declared preponderant in the telecommunications sector or the concessionaires that are part of the economic group to which the declared preponderant agent belongs to may not participate directly or indirectly in any reseller. 4) Unbound, except as indicated in Chapter 16 (Temporary Entry for Business Persons). a) Telephony Services (CPC 75211, 75212) 1) As indicated in 2.C.1).</w:t>
      </w:r>
    </w:p>
    <w:p>
      <w:pPr>
        <w:pStyle w:val="Normal"/>
      </w:pPr>
      <w:r>
        <w:t>2) None 3) None 4) Unbound, except as indicated in Chapter 16 (Temporary Entry for Business Persons). b) Packet-switched data transmission services (CPC 7523**) 1) As indicated in 2.C.1). 2) None 3) None 4) Unbound, except as indicated in Chapter 16 (Temporary Entry for Business Persons).</w:t>
      </w:r>
    </w:p>
    <w:p>
      <w:pPr>
        <w:pStyle w:val="Normal"/>
      </w:pPr>
      <w:r>
        <w:t>ANNEX II – MEXICO – 18 Sector or subsector Limitations on market access c) Circuit-switched data transmission services (CPC 7523</w:t>
      </w:r>
      <w:r>
        <w:rPr>
          <w:b/>
        </w:rPr>
        <w:t>) 1) As indicated in 2.C.1). 2) None 3) None 4) Unbound, except as indicated in Chapter 16 (Temporary Entry for Business Persons). f) Facsimile services (CPC 1), 2) and 3) None 7521</w:t>
      </w:r>
      <w:r>
        <w:t>+7529</w:t>
      </w:r>
      <w:r>
        <w:rPr>
          <w:b/>
        </w:rPr>
        <w:t>) 4) Unbound, except as indicated in Chapter 16 (Temporary Entry for Business Persons). g) Private leased circuit services (CPC 7522</w:t>
      </w:r>
      <w:r>
        <w:t>+7523</w:t>
      </w:r>
      <w:r>
        <w:rPr>
          <w:b/>
        </w:rPr>
        <w:t>) 1) As indicated in 2.C.1). In Mexico it is not allowed allow the resale of private leased circuits to private networks. 2) None 3) None 4) Unbound, except as indicated in Chapter 16 (Temporary Entry for Business Persons). o) Others - Paging services (CPC 75291) 1) As indicated in 2.C.1). 2) None 3) As indicated in 2.C.3) 4) Unbound, except as indicated in Chapter 16 (Temporary Entry for Business Persons). - Cellular telephony (75213</w:t>
      </w:r>
      <w:r>
        <w:t>) 1) As indicated in 2.C.1). 2) None 3) None 4) Unbound, except as indicated in Chapter 16 (Temporary Entry for Business Persons). - Resellers 1) As indicated in 2.C.1). Companies which, without owning transmission means, provide third parties with telecommunications services by using capacity leased from a public network concessionaire.</w:t>
      </w:r>
    </w:p>
    <w:p>
      <w:pPr>
        <w:pStyle w:val="Normal"/>
      </w:pPr>
      <w:r>
        <w:t>ANNEX II – MEXICO – 19 Sector or subsector Limitations on market access 2) None 3) None, except that the establishment and operation of resellers is invariably subject to the relevant regulations. The Federal Telecommunications Institue (Instituto Federal de Telecomunicaciones, IFT) will not issue permits for the establishment of a reseller until the corresponding regulations are issued. 4) Unbound, except as indicated in Chapter 16 (Temporary Entry for Business Persons). - Other telecommunication services. Value-added services (Services that use public telecommunication network and have effect on the format, content, code, protocol, storage or similar aspects of the information transmitted by a user and which market users with additional information, different and restructured, or involve interaction user with information stored). 1) Registration before the Federal Telecommunications Institute (Instituto Federal de Telecomunicaciones, IFT) is required to provide Value Added Services. The Value Added Services originated overseas destined to the Mexican territory may only be taken and delivered in Mexico through infrastructure or facilities of a public telecommunications network concessioner. 2) None 3) None 4) Unbound, except as indicated in Chapter 16 (Temporary Entry for Business Persons). 2.D.</w:t>
      </w:r>
    </w:p>
    <w:p>
      <w:pPr>
        <w:pStyle w:val="Normal"/>
      </w:pPr>
      <w:r>
        <w:t>Audiovisual services a) Private production of cinematographic films (CPC 96112) 1), 2) and 3) None, except that film screening requires a permit issued by the Ministry of the Interior (Secretaría de Gobernación). 3 Value Added Services are not those services for which its establishment, operation or exploitation make use of transmission infrastructure owned by the service provider, unless the service provider has the appropriate license or permit to establish, operate or exploit a public telecommunications network. It does not include those value- added services, the provision requiring the obtaining of licenses and permits including, without limitation, the following services: voice telephony, regardless of the technology used (VoIP) in its modalities of local service; long distance telephony; simple resale of leased private circuits, mobile telephony, mobile or fixed radio telephony, cable television, paid television using microwaves and satellite; paging services, trucking services; private or maritime radio-communication: restricted radio; data transmission; videoconferencing and vehicle radiolocation.</w:t>
      </w:r>
    </w:p>
    <w:p>
      <w:pPr>
        <w:pStyle w:val="Normal"/>
      </w:pPr>
      <w:r>
        <w:t>ANNEX II – MEXICO – 20 Sector or subsector Limitations on market access 4) Unbound, except as indicated in Chapter 16 (Temporary Entry for Business Persons). b) Private film-screening services 1), 2) and 3) None (CPC 96121) 4) Unbound, except as indicated in Chapter 16 (Temporary Entry for Business Persons). c) Radio and Television Services (CPC9613) - broadcasting (radio and free to air television) 1) None 2) None 3) The Federal Institute of Telecommunications (Instituto Federal de Telecomunicaciones, IFT) shall grant upon request authorizations to access the multiprogramming. In the case of concessionaires belonging to an agent declared preponderant the IFT will not authorize the transmission of a number of channels greater than 50 per cent of the total amount of broadcasted television channels, including the multiprogramming ones, authorized for other concessionaires that are broadcasting in the region covered. Concessionaires of commercial, public and social use providing broadcasting service shall have daily free transmission in each station and for each programming cannel, of duration up to 30 minutes whether continuous or discontinuous, dedicated to disseminate educational, cultural and social interest topics.</w:t>
      </w:r>
    </w:p>
    <w:p>
      <w:pPr>
        <w:pStyle w:val="Normal"/>
      </w:pPr>
      <w:r>
        <w:t>In addition to the time set for the State, all concessionaires of commercial, public and social use providing broadcasting services shall be required to broadcast simultaneously in radio stations and television channels in the country when it comes to transmitting information of concern to the nation, according to the Ministry of Interior (Secretaría de Gobernación). 4) Unbound, except as indicated in Chapter 16 (Temporary Entry for Business Persons).</w:t>
      </w:r>
    </w:p>
    <w:p>
      <w:pPr>
        <w:pStyle w:val="Normal"/>
      </w:pPr>
      <w:r>
        <w:t>ANNEX II – MEXICO – 21 Sector or subsector Limitations on market access Restricted radio and television services 1)None 2)None 3)Concessionaires providing restricted or audio services shall reserve at no charge channels for the distribution of federal public institutions’ television signals as indicated by the executive through the Federal Executive branch as follows: I. A channel with the service consists of 31 to 37 channels; II. Two channels, when the service consists of 38 to 45 channels, and III. Three channels, when the service consists of 46 to 64 channels. Beyond this last number, a channel shall be added for every 32 transmission channels. When the service consists of up to 30 channels, The Ministry may require, that a specific cannel dedicates up to six hours daily for transmission of programming as indicated by the Ministry of the Interior (Secretaría de Gobernación). Concessionaires providing broadcasting or restricted television and audio services, as well as programmers and signals operators shall maintain a balance between advertising and programming transmitted daily, and the following rules shall apply:</w:t>
      </w:r>
    </w:p>
    <w:p>
      <w:pPr>
        <w:pStyle w:val="Normal"/>
      </w:pPr>
      <w:r>
        <w:t>I. concessionaires of commercial use broadcasting: a) in television stations, the time spent on commercial advertising shall not exceed 18 percent of the total transmission time per programming channel, and b) in radio stations, the time spent on commercial advertising shall not exceed 40 percent of the total transmission time per programming channel.</w:t>
      </w:r>
    </w:p>
    <w:p>
      <w:pPr>
        <w:pStyle w:val="Normal"/>
      </w:pPr>
      <w:r>
        <w:t>ANNEX II – MEXICO – 22 Sector or subsector Limitations on market access The length of commercial advertising does not include transmissions of the station own advertising, nor does it include State time and other Executive Branch provisions or programmes offering products or services; II. concessionaires of restricted television, and audio may transmit, daily and per channel, up to six minutes of advertising for every hour of transmission. For purposes of corresponding calculation, advertising in the broadcast signals that are retransmitted and programming channels own advertising shall not be considered, and the channels exclusively dedicated to programmes of product offerings, shall be exempted from the limit stated in the previous paragraph. 4) Unbound, except as indicated in Chapter 16 (Temporary Entry for Business Persons). 3.CONSTRUCTION AND RELATED ENGINEERING SERVICES General construction work for buildings 1)Unbound -Residential or housing building (CPC 5121 and 5122) 2)Unbound* 3)None 4)Unbound -Non-residential buildings (CPC 5124, 5127 and 5128) 1)Unbound 2)Unbound* 3)None 4)Unbound General construction work for civil engineering 1)Unbound -Construction of urban development 2)Unbound* works (CPC 5131 and 5135) 3)None</w:t>
      </w:r>
    </w:p>
    <w:p>
      <w:pPr>
        <w:pStyle w:val="Normal"/>
      </w:pPr>
      <w:r>
        <w:t>ANNEX II – MEXICO – 23 Sector or subsector Limitations on market access 4)Unbound, except as indicated in Chapter 16 (Temporary Entry for Business Persons). Construction of industrial buildings (excluding electric power stations and plants for the piping of oil and oil products (CPC 52121) 1)Unbound 2)Unbound* 3)None 4)Unbound, except as indicated in Chapter 16 (Temporary Entry for Business Persons). Other construction (excluding construction of maritime and river works, highway and transport works and track construction) (CPC 52269) 1)Unbound 2)Unbound* 3)None 4)Unbound, except as indicated in Chapter 16 (Temporary Entry for Business Persons). Building completion and finishing work Electrical, plumbing and drainage 1)Unbound installations in buildings (excluding telecommunication installations and 2)Unbound* other special installations) (CPC 5161 5164) 3)None 4)Unbound, except as indicated in Chapter 16 (Temporary Entry for Business Persons). E. Other 1) Unbound Special work, including earth moving, 2) Unbound* foundations, underground excavation, under-water work, signalling and 3) None, except that services relating to visual protection installations, demolition, and electronic aids for runways are subject to construction of drinking water or water authorization by the Ministry of treatment plants (excluding sinking of Communication and Transports (Secretaría de oil, gas and water wells) (CPC 511 and Comunicaciones y Transportes, SCT).</w:t>
      </w:r>
    </w:p>
    <w:p>
      <w:pPr>
        <w:pStyle w:val="Normal"/>
      </w:pPr>
      <w:r>
        <w:t>515) 4) Unbound, except as indicated in Chapter 16 (Temporary Entry for Business Persons). DISTRIBUTION SERVICES</w:t>
      </w:r>
    </w:p>
    <w:p>
      <w:pPr>
        <w:pStyle w:val="Normal"/>
      </w:pPr>
      <w:r>
        <w:t>ANNEX II – MEXICO – 24 Sector or subsector Limitations on market access A Trade intermediary services (CPC 621) 1), 2) and 3) None (includes sales agents who are not considered within the paid staff of any 4) Unbound, except as indicated in Chapter 16 establishment in particular). (Temporary Entry for Business Persons). 4. B. Wholesale trade services 1), 2) and 3) None -Wholesale trade of non-food products, 4) Unbound, except as indicated in Chapter 16 including animal feed (excluding (Temporary Entry for Business Persons). petroleum-based fuels, coal, firearms, cartridges and ammunition) (CPC 622) - Commission agents´ services (CPC 1), 2) and 3) None 62113 – 621118) 4) Unbound, except as indicated in Chapter 16 (Temporary Entry for Business Persons). -Wholesale trade of food, beverages 1), 2) and 3) None and tobacco (CPC 6222) 4) Unbound, except as indicated in Chapter 16 (Temporary Entry for Business Persons). - Wholesale trade services (CPC 622) 1), 2) and 3) None 4) Unbound, except as indicated in Chapter 16 (Temporary Entry for Business Persons). 4. C. Retail trade services:</w:t>
      </w:r>
    </w:p>
    <w:p>
      <w:pPr>
        <w:pStyle w:val="Normal"/>
      </w:pPr>
      <w:r>
        <w:t>1), 2) and 3) None -Retail sales of food, beverages and 4) Unbound, except as indicated in Chapter 16 tobacco in specialized establishments (Temporary Entry for Business Persons). (CPC 6310) - Retail sales of food products in 1), 2) and 3) None supermarkets, self-service stores and shops (CPC 6310) 4) Unbound, except as indicated in Chapter 16 (Temporary Entry for Business Persons).</w:t>
      </w:r>
    </w:p>
    <w:p>
      <w:pPr>
        <w:pStyle w:val="Normal"/>
      </w:pPr>
      <w:r>
        <w:t>-Retail sales of non-food products in 1), 2) and 3) None department stores and shops (CPC 632) 4) Unbound, except as indicated in Chapter 16 (Temporary Entry for Business Persons). -Retail sales of motor vehicles, 1), 2) and 3) None including tyres and spare parts (CPC 61112) 4) Unbound, except as indicated in Chapter 16 (Temporary Entry for Business Persons).</w:t>
      </w:r>
    </w:p>
    <w:p>
      <w:pPr>
        <w:pStyle w:val="Normal"/>
      </w:pPr>
      <w:r>
        <w:t>ANNEX II – MEXICO – 25 Sector or subsector Limitations on market access - Retail sales of non-food products in 1), 2) and 3) None specialised establishments (excluding retail sales of liquefied fuel gas, 4) Unbound, except as indicated in Chapter 16 charcoal, coal and other non (Temporary Entry for Business Persons). petroleum-based fuels, paraffin, fuel, and tractor vaporising oil (TVO), gasoline and diesel, firearms, cartridges and ammunition) (CPC 6329) 4.D. Franchise services 1), 2) and 3) None 4) Unbound, except as indicated in Chapter 16 (Temporary Entry for Business Persons). 5.PRIVATE EDUCATION SERVICES 5. A. Primary education services (CPC 921) 1) and 2) None 3) None except that prior authorization is required from the Ministry of Public Education (Secretaría de Educación Pública, SEP) or the State authority. 4) Unbound, except as indicated in Chapter 16 (Temporary Entry for Business Persons). 5. B. Secondary education services (CPC 922) 1) and 2) None 3) None except that prior authorization is required from the Ministry of Public Education (Secretaría de Educación Pública, SEP) or the State authority.</w:t>
      </w:r>
    </w:p>
    <w:p>
      <w:pPr>
        <w:pStyle w:val="Normal"/>
      </w:pPr>
      <w:r>
        <w:t>4) Unbound, except as indicated in Chapter 16 (Temporary Entry for Business Persons). 5. C. Higher education services (CPC 923) 1) and 2) None 3) None except that prior authorization is required from the Ministry of Public Education (Secretaría de Educación Pública, SEP) or the State authority. 4) Unbound, except as indicated in Chapter 16</w:t>
      </w:r>
    </w:p>
    <w:p>
      <w:pPr>
        <w:pStyle w:val="Normal"/>
      </w:pPr>
      <w:r>
        <w:t>ANNEX II – MEXICO – 26 Sector or subsector Limitations on market access (Temporary Entry for Business Persons). 5. E. Other education services: Language education, special education and commercial training (CPC 9290) 1) and 2) None 3) None, except that prior authorization is required from the Ministry of Public Education (Secretaría de Educación Pública, SEP) or the State authority. 4) Unbound, except as indicated in Chapter 16 (Temporary Entry for Business Persons). 6. ENVIRONMENTAL SERVICES 6. A. Sewage services (CPC 9401) 1)Unbound 2)None 3)None 4)Unbound, except as indicated in Chapter 16 (Temporary Entry for Business Persons). 6. B. Additional environmental services Refuse disposal services (CPC 9402) 1) Unbound 2) None 3) None 4) Unbound, except as indicated in Chapter 16 (Temporary Entry for Business Persons). Protection of ambient air and climate (CPC 9404) 1)Unbound 2)None 3)None 4) Unbound, except as indicated in Chapter 16 (Temporary Entry for Business Persons). Noise abatement services (CPC 9405) 1) Unbound 2) None 3) None 4 The level of disaggregation of each of this sector’s subsectors is interpreted in accordance with Mexico’s domestic legislative framework and may not correspond exactly to the stated CPC classification.</w:t>
      </w:r>
    </w:p>
    <w:p>
      <w:pPr>
        <w:pStyle w:val="Normal"/>
      </w:pPr>
      <w:r>
        <w:t>ANNEX II – MEXICO – 27 Sector or subsector Limitations on market access 4) Unbound, except as indicated in Chapter 16 (Temporary Entry for Business Persons). Nature and landscape protection services (CPC 9406) 1) Unbound 2) None 3) None 4) Unbound, except as indicated in Chapter 16 (Temporary Entry for Business Persons). Limited to environmental impact assessments and Consultancy services for environmental protection services (CPC 9409) 1) Unbound 2) None 3) None 4) Unbound, except as indicated in Chapter 16 (Temporary Entry for Business Persons). 6. C. Sanitation services (CPC 94030) 1) Unbound 2) None 3) None 4) Unbound, except as indicated in Chapter 16 (Temporary Entry for Business Persons). 8. HEALTH RELATED AND SOCIAL SERVICES 8. A. Private hospital services (CPC 9311) 1) Unbound* 2) and 3) None 4) Unbound, except as indicated in Chapter 16 (Temporary Entry for Business Persons). 8. B. Other human health services. 1) Unbound Private services of clinical 2) and 3) None laboratories auxiliary to medical diagnosis (CPC 93199) 4) Unbound, except as indicated in Chapter 16 (Temporary Entry for Business Persons).</w:t>
      </w:r>
    </w:p>
    <w:p>
      <w:pPr>
        <w:pStyle w:val="Normal"/>
      </w:pPr>
      <w:r>
        <w:t>ANNEX II – MEXICO – 28 Sector or subsector Limitations on market access - Other private services auxiliary to medical treatment (CPC 93191) 1) Unbound 2) and 3) None 4) Unbound, except as indicated in Chapter 16 (Temporary Entry for Business Persons). - Dental prosthesis laboratory services (CPC 93123) 1) Unbound 2) and 3) None 4) Unbound, except as indicated in Chapter 16 (Temporary Entry for Business Persons). 9.TOURISM AND TRAVEL RELATED SERVICES 9. A. Hotel and restaurant services Hotel services (CPC 6411) 1), 2) and 3) None, except for the requirement of holding a permit to engage in the activity from the competent authority (Central, Regional or Local). 4) Unbound, except as indicated in Chapter 16 (Temporary Entry for Business Persons). -Motel services (CPC 6412) 1) Unbound* 2) None 3) None, except a permit from the competent authority (Central, Regional or Local) is required to engage in the activity.</w:t>
      </w:r>
    </w:p>
    <w:p>
      <w:pPr>
        <w:pStyle w:val="Normal"/>
      </w:pPr>
      <w:r>
        <w:t>4) Unbound, except as indicated in Chapter 16 (Temporary Entry for Business Persons). - Board and lodging in guest houses and furnished accommodation (CPC 64192 and 64193) 1) Unbound* 2) None 3) None, except a permit from the competent authority (Central, Regional or Local) is required to engage in the activity. 4) Unbound, except as indicated in Chapter 16 (Temporary Entry for Business Persons).</w:t>
      </w:r>
    </w:p>
    <w:p>
      <w:pPr>
        <w:pStyle w:val="Normal"/>
      </w:pPr>
      <w:r>
        <w:t>ANNEX II – MEXICO – 29 Sector or subsector Limitations on market access - Youth hostels and temporary camping facilities (CPC 64194) 1) Unbound* 2) None 3) None, except a permit from the competent authority (Central, Regional or Local) is required to engage in the activity. 4) Unbound, except as indicated in Chapter 16 (Temporary Entry for Business Persons). - Camping facilities for mobile homes (trailer parks) (CPC 64195) 1) Unbound* 2) None 3) None, except a permit from the competent authority (Central, Regional or Local) is required to engage in the activity. 4) Unbound, except as indicated in Chapter 16 (Temporary Entry for Business Persons). -Restaurant services (CPC 642) 1), 2) and 3) None, except for the requirement of holding a permit to engage in the activity from the competent authority (Central, Regional or Local). 4) Unbound, except as indicated in Chapter 16 (Temporary Entry for Business Persons). - Cabarets and night clubs (CPC 6432) 1) Unbound* 2) None 3) None, except a permit from the competent authority (Central, Regional or Local) is required to engage in the activity.</w:t>
      </w:r>
    </w:p>
    <w:p>
      <w:pPr>
        <w:pStyle w:val="Normal"/>
      </w:pPr>
      <w:r>
        <w:t>4) Unbound, except as indicated in Chapter 16 (Temporary Entry for Business Persons). - Canteens, bars and taverns (CPC 6431) 1) Unbound* 2) None 3) None, except a permit from the competent</w:t>
      </w:r>
    </w:p>
    <w:p>
      <w:pPr>
        <w:pStyle w:val="Normal"/>
      </w:pPr>
      <w:r>
        <w:t>ANNEX II – MEXICO – 30 Sector or subsector Limitations on market access authority (Central, Regional or Local) is required to engage in the activity. 4) Unbound, except as indicated in Chapter 16 (Temporary Entry for Business Persons). B. Travel agencies and tour operators (CPC 7471) 1) None 2) None 3) None, except a permit from the competent authority (Central, Regional or Local) is required to engage in the activity. 4) Unbound, except as indicated in Chapter 16 (Temporary Entry for Business Persons). C. Tourist guide services (CPC 7472) 1) Unbound* 2) None 3) None, except a permit from the competent authority (Central, Regional or Local) is required to engage in the activity. 4) Unbound, except as indicated in Chapter 16 (Temporary Entry for Business Persons). 9. D. Others - Spa services (CPC 97029) 1), 2) and 3) None Only includes: 4) Unbound, except as indicated in Chapter 16 Private services in social centres, (Temporary Entry for Business Persons). recreational and sports. Also, sports clubs services, gyms, spas, swimming pools, sports fields, billiards, bowling, horses and bicycles. Excludes boats rental.</w:t>
      </w:r>
    </w:p>
    <w:p>
      <w:pPr>
        <w:pStyle w:val="Normal"/>
      </w:pPr>
      <w:r>
        <w:t>Catering services, providing meals to 1) Unbound* outside (CPC 6423) (other than service on aircraft and in airports) 2) None 3) None, except a permit from the competent authority (Central, Regional or Local) is</w:t>
      </w:r>
    </w:p>
    <w:p>
      <w:pPr>
        <w:pStyle w:val="Normal"/>
      </w:pPr>
      <w:r>
        <w:t>ANNEX II – MEXICO – 31 Sector or subsector Limitations on market access required to engage in the activity. 4) Unbound, except as indicated in Chapter 16 (Temporary Entry for Business Persons). Bar services with entertainment (only 1) Unbound* in hotels and other lodging places) 2) None 3) None, except a permit from the competent authority (Central, Regional or Local) is required to engage in the activity. 4) Unbound, except as indicated in Chapter 16 (Temporary Entry for Business Persons). Public house services without entertainment (CPC 6431) (except in hotels, other lodging places and other means of transport) 1) Unbound* 2) None 3) None, except a permit from the competent authority (Central, Regional or Local) is required to engage in the activity. 4) Unbound, except as indicated in Chapter 16 (Temporary Entry for Business Persons). 10.RECREATIONAL, CULTURAL AND SPORTING SERVICES (other than audiovisual services) 10. A. Entertainment services 1), 2) and 3) None (including theatre, live bands and circus) (CPC 9619) 4) Unbound, except as indicated in Chapter 16 (Temporary Entry for Business Persons). 10. B.</w:t>
      </w:r>
    </w:p>
    <w:p>
      <w:pPr>
        <w:pStyle w:val="Normal"/>
      </w:pPr>
      <w:r>
        <w:t>News agency services (CPC 1), 2) and 3) None 962) 4) Unbound, except as indicated in Chapter 16 (Temporary Entry for Business Persons). 10. C. Libraries, archives, museums 1), 2) and 3) None and other cultural services (CPC 963) 4) Unbound, except as indicated in Chapter 16 (Temporary Entry for Business Persons). 10. D. Sporting and other recreational</w:t>
      </w:r>
    </w:p>
    <w:p>
      <w:pPr>
        <w:pStyle w:val="Normal"/>
      </w:pPr>
      <w:r>
        <w:t>ANNEX II – MEXICO – 32 Sector or subsector Limitations on market access services (CPC 964) - Sports event organization services (CPC 96412) 1) Unbound* 2) and 3) None 4) Unbound, except as indicated in Chapter 16 (Temporary Entry for Business Persons). - Sports facility operation services (CPC 96413) 1) Unbound* 2) and 3) None 4) Unbound, except as indicated in Chapter 16 (Temporary Entry for Business Persons). - Other sporting services (only services 1) Unbound* provided by sport and game schools) (CPC 96419) 2) and 3) None 4) Unbound, except as indicated in Chapter 16 (Temporary Entry for Business Persons). -Promotion of sports services (CPC 1), 2) and 3) None 96411) 4) Unbound, except as indicated in Chapter 16 (Temporary Entry for Business Persons). 11.TRANSPORT SERVICES A. Maritime transport services International Transport (freight and passengers) (CPC 7211 and 7212, other than cabotage transport) 1) Scheduled, bulk, tramp and other international maritime transport, including passenger transport.</w:t>
      </w:r>
    </w:p>
    <w:p>
      <w:pPr>
        <w:pStyle w:val="Normal"/>
      </w:pPr>
      <w:r>
        <w:t>Specific international high-sea transport may be reserved wholly or partly for shipping companies which are Mexican, or recognized as such, when the principles of free competition are not observed and the national economy is affected. 2) and 3) None 4) Unbound, except as indicated in Chapter 16 (Temporary Entry for Business Persons).</w:t>
      </w:r>
    </w:p>
    <w:p>
      <w:pPr>
        <w:pStyle w:val="Normal"/>
      </w:pPr>
      <w:r>
        <w:t>Supporting services for water transport (CPC 745) (includes operation and maintenance of docks; loading and unloading of vessels at 1), 2) and 3) None 4) Unbound, except as indicated in Chapter 16 (Temporary Entry for Business Persons).</w:t>
      </w:r>
    </w:p>
    <w:p>
      <w:pPr>
        <w:pStyle w:val="Normal"/>
      </w:pPr>
      <w:r>
        <w:t>ANNEX II – MEXICO – 33 Sector or subsector Limitations on market access shore-side; marine cargo handling, operation and maintenance of piers; ship and boat cleaning; stevedoring; transfer of cargo between ships and trucks, trains, pipelines and wharves; waterfront terminal operations) -Supporting services for water transport 1), 2) and 3) None (CPC 745) (limited to Maritime Port Administration, Lake and Rivers) 4) Unbound, except as indicated in Chapter 16 (Temporary Entry for Business Persons). -Maritime cargo handling services 1) Unbound* 2) and 3) None 4) Unbound, except as indicated in Chapter 16 (Temporary Entry for Business Persons). -Storage and warehousing services, 1) Unbound* except general bonded warehouses (CPC 742) 2) and 3) None 4) Unbound, except as indicated in Chapter 16 (Temporary Entry for Business Persons). - Container station and depot services 1) Unbound* 2) and 3) None 4) Unbound, except as indicated in Chapter 16 (Temporary Entry for Business Persons). -Maritime agency services 1) Unbound* 2) and 3) None 4) Unbound, except as indicated in Chapter 16 (Temporary Entry for Business Persons). -Maritime freight forwarding services 1) Unbound* 2) and 3) None 4) Unbound, except as indicated in Chapter 16 (Temporary Entry for Business Persons).</w:t>
      </w:r>
    </w:p>
    <w:p>
      <w:pPr>
        <w:pStyle w:val="Normal"/>
      </w:pPr>
      <w:r>
        <w:t>ANNEX II – MEXICO – 34 Sector or subsector Limitations on market access -Vessel maintenance and repair 1) Unbound* 2) and 3) None 4) Unbound, except as indicated in Chapter 16 (Temporary Entry for Business Persons). 11. C. Air transport services e) Supporting services for air transport -Airport and heliport administration services 1) Unbound 2) None 3) None, except that a concession from the Ministry of Communications and Transport (Secretaría de Comunicaciones y Transportes, SCT) is required to operate an airport. 4) Unbound, except as indicated in Chapter 16 (Temporary Entry for Business Persons). 11. E. Rail transport services 1) Unbound* c. Pushing or towing services (CPC 2) and 3) None 7113) 4) Unbound, except as indicated in Chapter 16 (Temporary Entry for Business Persons). e. Supporting services for railway transport (CPC 743) 1) Unbound* 2) and 3) None 4) Unbound, except as indicated in Chapter 16 (Temporary Entry for Business Persons). 11. F. Road transport services 1), 2) and 3) None d) Maintenance and repair of road 4) Unbound, except as indicated in Chapter 16 transport equipment.</w:t>
      </w:r>
    </w:p>
    <w:p>
      <w:pPr>
        <w:pStyle w:val="Normal"/>
      </w:pPr>
      <w:r>
        <w:t>(Temporary Entry for Business Persons). -Motor vehicle maintenance and repair services (CPC 6112 and 8867) Other supporting services for road transport (CPC 74490) (limited to main bus and truck terminals and bus and 1), 2) and 3) None 4) Unbound, except as indicated in Chapter 16</w:t>
      </w:r>
    </w:p>
    <w:p>
      <w:pPr>
        <w:pStyle w:val="Normal"/>
      </w:pPr>
      <w:r>
        <w:t>ANNEX II – MEXICO – 35 Sector or subsector Limitations on market access truck stations) (Temporary Entry for Business Persons). e) Supporting services for road 1), 2) and 3) None transport services (CPC 744) limited to Management Services of Roads, 4) Unbound, except as indicated in Chapter 16 Bridges and Auxiliary Services (Temporary Entry for Business Persons). 11. G. Pipeline transport. b) Transportation of other goods (CPC 7139) limited to Non-energy Pipelines) 1), 2) and 3) None 4) Unbound, except as indicated in Chapter 16 (Temporary Entry for Business Persons). 11. H. Services auxiliary to all modes of transport - Weighbridge services for transport purposes (CPC 7490) 1), 2) and 3) None 4) Unbound, except as indicated in Chapter 16 (Temporary Entry for Business Persons). - Supporting services for air transport 1), 2) and 3) None 4) Unbound, except as indicated in Chapter 16 (Temporary Entry for Business Persons). 11.I.</w:t>
      </w:r>
    </w:p>
    <w:p>
      <w:pPr>
        <w:pStyle w:val="Normal"/>
      </w:pPr>
      <w:r>
        <w:t>Other transport services 1) Unbound - Tramway transport (CPC 71211) 2) and 3) None 4) Unbound, except as indicated in Chapter 16 (Temporary Entry for Business Persons). -Subway transport (CPC 71211) 1) Unbound except as indicated in the horizontal section 2) and 3) None 4) Unbound, except as indicated in Chapter 16 (Temporary Entry for Business Persons). - Rental of commercial vehicles with 1) Unbound except as indicated in the operator (CPC 7124) horizontal section 2) and 3) None 4) Unbound, except as indicated in Chapter 16</w:t>
      </w:r>
    </w:p>
    <w:p>
      <w:pPr>
        <w:pStyle w:val="Normal"/>
      </w:pPr>
      <w:r>
        <w:t>ANNEX II – MEXICO – 36 Sector or subsector Limitations on market access (Temporary Entry for Business Persons). 12. OTHER SERVICES -Repair of footwear and other articles of 1), 2) and 3) None leather and skins -Footwear and leather goods repair 4) Unbound, except as indicated in Chapter 16 services (CPC 63301) (Temporary Entry for Business Persons). -Repair of electronic appliances mainly 1), 2) and 3) None for household use (CPC 63302) - Repair services of electrical household 4) Unbound, except as indicated in Chapter 16 appliances (CPC 63302) (Temporary Entry for Business Persons). -Repair of clocks, watches and jewelry 1), 2) and 3) None (CPC 63303) Watch, clock and jewelry repair 4) Unbound, except as indicated in Chapter 16 services (CPC 63303) (Temporary Entry for Business Persons).</w:t>
      </w:r>
    </w:p>
    <w:p>
      <w:pPr>
        <w:pStyle w:val="Normal"/>
      </w:pPr>
      <w:r>
        <w:t>Repair and cleaning of headgear 1), 2) and 3) None (CPC 63304) 4) Unbound, except as indicated in Chapter 16 (Temporary Entry for Business Persons). -Repair of bicycles (CPC 63309) - Bicycle repair (CPC 63309) 1), 2) and 3) None 4) Unbound, except as indicated in Chapter 16 (Temporary Entry for Business Persons). - Locksmiths’ trade (CPC 63309) 1) and 2) None 3) None, except that regional and local authorities are responsible for authorizing these services. 4) Unbound, except as indicated in Chapter 16 (Temporary Entry for Business Persons). * Unbound due to technical unfeasibility.</w:t>
      </w:r>
    </w:p>
    <w:p>
      <w:pPr>
        <w:pStyle w:val="Normal"/>
      </w:pPr>
      <w:r>
        <w:rPr>
          <w:b/>
        </w:rPr>
        <w:t xml:space="preserve"> </w:t>
      </w:r>
      <w:r>
        <w:rPr>
          <w:b/>
        </w:rPr>
        <w:t xml:space="preserve">The specified service constitutes only a part of the total number of activities covered by the corresponding CPC code. </w:t>
      </w:r>
      <w:r>
        <w:t>* The specified service is an element of a bigger CPC code added in another place in the list.</w:t>
      </w:r>
    </w:p>
    <w:p>
      <w:pPr>
        <w:pStyle w:val="Heading1"/>
      </w:pPr>
      <w:bookmarkStart w:id="901533" w:name="_Toc300001532"/>
      <w:r>
        <w:t>ANNEX II – MEXICO – 37</w:t>
      </w:r>
      <w:bookmarkEnd w:id="901533"/>
    </w:p>
    <w:p>
      <w:pPr>
        <w:pStyle w:val="Normal"/>
      </w:pPr>
      <w:r>
        <w:t>ANNEX II SCHEDULE OF THE UNITED STATES Sector: Communications Sub-Sector: Obligations Concerned: National Treatment (Articles 14.4 and 15.3) Most-Favored-Nation Treatment (Articles 14.5 and 15.4) Description: Investment and Cross-Border Trade in Services With respect to Canada, the United States reserves the right to: (a) adopt or maintain any measure that accords differential treatment to persons of other countries due to application of reciprocity measures or through international agreements involving sharing of the radio spectrum, guaranteeing market access, or national treatment with respect to the one-way satellite transmission of direct-to-home (DTH) and direct broadcasting satellite (DBS) television services and digital audio services; and (b) prohibit a person of a Party from offering DTH or DBS television and digital audio services into the territory of the United States unless that person establishes that the Party of which it is a person: (i) permits U.S. persons to obtain a license for such services in that Party in similar circumstances; and (ii) treats the supply of audio or video content originating in the Party no more favorably than the supply of audio or video content originating in a non-Party or any other Party. Existing Measures:</w:t>
      </w:r>
    </w:p>
    <w:p>
      <w:pPr>
        <w:pStyle w:val="Normal"/>
      </w:pPr>
      <w:r>
        <w:t>ANNEX II – UNITED STATES – 1 Sector: Communications - Cable Television Sub-Sector: Obligations Concerned: National Treatment (Article 14.4) Senior Management and Boards of Directors (Article 14.11) Description: Investment The United States reserves the right to adopt or maintain any measure that prohibits a person of a Party from owning or operating a cable television system in the territory of the United States unless that person establishes that the Party: (a) permits U.S. persons to own or operate such systems in the territory of the Party under similar circumstances; and (b) treats the supply of video content originating in the Party no more favorably than the supply of content of any other Party or non-Party. A measure may be deemed to treat content of a Party more favorably if it applies preferential treatment on the basis that the director, producer, publisher, actors, or owner of such content is a person of that Party, or the production, editing or distribution of such content took place in the territory of that Party, or on any other basis that affords protection to local production. Existing Measures:</w:t>
      </w:r>
    </w:p>
    <w:p>
      <w:pPr>
        <w:pStyle w:val="Normal"/>
      </w:pPr>
      <w:r>
        <w:t>ANNEX II – UNITED STATES – 2 Sector: Social Services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The United States reserves the right to adopt or maintain any measure with respect to the provision of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 Existing Measures:</w:t>
      </w:r>
    </w:p>
    <w:p>
      <w:pPr>
        <w:pStyle w:val="Normal"/>
      </w:pPr>
      <w:r>
        <w:t>ANNEX II – UNITED STATES – 3 Sector: Minority Affairs Sub-Sector: Obligations Concerned: National Treatment (Articles 14.4 and 15.3) Performance Requirements (Article 14.10) Senior Management and Boards of Directors (Article 14.11) Local Presence (Article 15.6) Description: Investment and Cross-Border Trade in Services The United States reserves the right to adopt or maintain any measure according rights or preferences to socially or economically disadvantaged minorities, including corporations organized under the laws of the State of Alaska in accordance with the Alaska Native Claims Settlement Act. Existing Measures: Alaska Native Claims Settlement Act, 43 U.S.C. §§ 1601 et seq.</w:t>
      </w:r>
    </w:p>
    <w:p>
      <w:pPr>
        <w:pStyle w:val="Normal"/>
      </w:pPr>
      <w:r>
        <w:t>ANNEX II – UNITED STATES – 4 Sector: Transportation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The United States reserves the right to adopt or maintain any measure relating to the provision of maritime transportation services and the operation of U.S.-flagged vessels, including the following: (a) requirements for investment in, ownership and control of, and operation of vessels and other marine structures, including drill rigs, in maritime cabotage services, including maritime cabotage services performed in the domestic offshore trades, the coastwise trades, U.S. territorial waters, waters above the continental shelf, and in the inland waterways; (b) requirements for investment in, ownership and control of, and operation of U.S.-flagged vessels in foreign trades; (c) requirements for investment in, ownership or control of, and operation of vessels engaged in fishing and related activities in U.S. territorial waters and the Exclusive Economic Zone; (d) requirements related to documenting a vessel under the U.S.</w:t>
      </w:r>
    </w:p>
    <w:p>
      <w:pPr>
        <w:pStyle w:val="Normal"/>
      </w:pPr>
      <w:r>
        <w:t>flag; (e) promotional programs, including tax benefits, available for shipowners, operators, and vessels meeting certain requirements; (f) certification, licensing, and citizenship requirements for crew members on U.S.-flagged vessels; (g) manning requirements for U.S.-flagged vessels; (h) all matters under the jurisdiction of the Federal Maritime</w:t>
      </w:r>
    </w:p>
    <w:p>
      <w:pPr>
        <w:pStyle w:val="Normal"/>
      </w:pPr>
      <w:r>
        <w:t>ANNEX II – UNITED STATES – 5 Commission; (i) negotiation and implementation of bilateral and other international maritime agreements and understandings; (j) limitations on longshore work performed by crew members; (k) tonnage duties and light money assessments for entering U.S. waters; and (l) certification, licensing, and citizenship requirements for pilots performing pilotage services in U.S. territorial waters. The following activities are not included in this reservation. However, the treatment provided to a Party in (b) is conditional upon obtaining comparable market access in these sectors from that Party: (a) vessel construction and repair; and (b) landside aspects of port activities, including operation and maintenance of docks; loading and unloading of vessels directly to or from land; marine cargo handling; operation and maintenance of piers; ship cleaning; stevedoring; transfer of cargo between vessels and trucks, trains, pipelines, and wharves; waterfront terminal operations; boat cleaning; canal operation; dismantling of vessels; operation of marine railways for drydocking; marine surveyors, except cargo; marine wrecking of vessels for scrap; and ship classification societies. Existing Measures:</w:t>
      </w:r>
    </w:p>
    <w:p>
      <w:pPr>
        <w:pStyle w:val="Normal"/>
      </w:pPr>
      <w:r>
        <w:t>Merchant Marine Act of 1920, §§ 19 and 27, 46 U.S.C. §§ 12101, 12118, 12120, 12132, 12139, 12151, 42101-42109, 55102, 55105 55110, 55115-55119, 58108 Waiver of the Navigation and Vessel-Inspection Laws, 46 U.S.C. § Shipping Act of 1916, 46 U.S.C.</w:t>
      </w:r>
    </w:p>
    <w:p>
      <w:pPr>
        <w:pStyle w:val="Normal"/>
      </w:pPr>
      <w:r>
        <w:t>§§ 50501, 56101, 57109, 50111 Merchant Marine Act of 1936, 46 U.S.C. §§ 109, 114, 50111, 50501, 53101 note, 53301-53312, 53501-53517, 53701-53718, 53721-53725, 53731-53735, 55304-55305, 57101-57104, 57301-57308 Merchant Ship Sales Act of 1946, 50 U.S.C. App. 1738 46 U.S.C. §§ 55109, 55111, 55118, 60301-60302, 60304-60306, 60312, 80104 46 U.S.C. §§ 12101 et seq., 12112, 12121, and 31301 et seq.</w:t>
      </w:r>
    </w:p>
    <w:p>
      <w:pPr>
        <w:pStyle w:val="Normal"/>
      </w:pPr>
      <w:r>
        <w:t>ANNEX II – UNITED STATES – 6 46 U.S.C. § 8904 Passenger Vessel Services Act, 46 U.S.C. § 55103 42 U.S.C. §§ 9601 et seq.; 33 U.S.C. §§ 2701 et seq.; 33 U.S.C. §§ 1251 et seq. 46 U.S.C. §§ 3301 et seq., 3701 et seq., 8103, and 12107(b) The Foreign Shipping Practices Act of 1988, 46 U.S.C. §§ 306, 41108, 42101, 42301-42307 Merchant Marine Act, 1920, 46 U.S.C. §§ 50101, 50302, 53101 note, Shipping Act of 1984, 46 U.S.C. §§ 305-306, 40101 note, 40101 40104, 40301-40307, 40501-40503, 40701-40706, 40901-40904, 41101-41109, 41301-41309, 42101, 42301-42307 Exports of Alaskan North Slope Oil, 104 P. L. 58, Title II; 109 Stat. 557, 560-63; codified at 30 U.S.C. §§ 185(s), 185 note Limitations on performance of longshore work by alien crewmen, 8 U.S.C. § 1288 Maritime Transportation Security Act of 2002, P. L. 107-295, § 404; 116 Stat. 2064, 2114-15, codified at 46 U.S.C. § 55112 Nicholson Act, 46 U.S.C. §55114 Commercial Fishing Industry Vessel Anti-Reflagging Act of 1987, P. L. 100-239; 101 Stat.</w:t>
      </w:r>
    </w:p>
    <w:p>
      <w:pPr>
        <w:pStyle w:val="Normal"/>
      </w:pPr>
      <w:r>
        <w:t>1778, codified in part at 46 U.S.C. §§ 108, 2101, 2101 note, 12113 43 U.S.C. § 1841 22 U.S.C. § 1980 46 U.S.C. § 9302, 46 U.S.C. § 8502; Agreement Governing the Operation of Pilotage on the Great Lakes, Exchange of Notes at Ottawa, August 23, 1978, and March 29, 1979, TIAS 9445 Magnuson Fishery Conservation and Management Act, 16 U.S.C. §§ 1801 et seq. Equipment and Repair of Vessels, 19 U.S.C. § 1466 North Pacific Anadromous Stocks Act of 1992, P. L. 102-567; Oceans Act of 1992, P. L.</w:t>
      </w:r>
    </w:p>
    <w:p>
      <w:pPr>
        <w:pStyle w:val="Normal"/>
      </w:pPr>
      <w:r>
        <w:t>102-587 Tuna Convention Act, 16 U.S.C. §§ 951 et seq. South Pacific Tuna Act of 1988, 16 U.S.C. §§ 973 et seq. Northern Pacific Halibut Act of 1982, 16 U.S.C. §§ 773 et seq. Atlantic Tunas Convention Act, 16 U.S.C. §§ 971 et seq. Antarctic Marine Living Resources Convention Act of 1984, 16 U.S.C. §§ 2431 et seq. Pacific Salmon Treaty Act of 1985, 16 U.S.C. §§ 3631 et seq. American Fisheries Act, 46 U.S.C. § 12113 and 46 U.S.C. § 31322</w:t>
      </w:r>
    </w:p>
    <w:p>
      <w:pPr>
        <w:pStyle w:val="Normal"/>
      </w:pPr>
      <w:r>
        <w:t>ANNEX II – UNITED STATES – 7 Sector: Land Transportation Sub-Sector: Obligations Concerned: National Treatment (Article 15.3) Most-Favored-Nation Treatment (Article 15.4) Local Presence (Article 15.6) Description: Cross Border Trade in Services Notwithstanding the entry at</w:t>
      </w:r>
    </w:p>
    <w:p>
      <w:pPr>
        <w:pStyle w:val="Normal"/>
      </w:pPr>
      <w:r>
        <w:t>ANNEX I – UNITED STATES – 8, the United States reserves the right to adopt or maintain limitations on grants of authority for persons of Mexico to provide cross- border long-haul truck services in the territory of the United States outside the border commercial zones if the United States determines that limitations are required to address material harm or the threat of material harm to U.S. suppliers, operators, or drivers. The United States may only adopt such limitations on existing grants of authority if it determines that a change in circumstances warrants the limitation and if the limitation is required to address material harm. The Parties shall meet no later than five years after the entry into force of this agreement to exchange views on the operation of this entry. Existing Measures: 1 For purposes of this entry, “material harm” means a significant loss in the share of the U.S. market for long-haul truck services held by persons of the United States caused by or attributable to persons of Mexico.</w:t>
      </w:r>
    </w:p>
    <w:p>
      <w:pPr>
        <w:pStyle w:val="Normal"/>
      </w:pPr>
      <w:r>
        <w:t>2 For greater certainty, a substantial increase in services supplied by the grantee may constitute a change in circumstances. 3 The Parties confirm their shared understanding that current operations under existing grants of authority as of the date of entry into force of this Agreement are not causing material harm.</w:t>
      </w:r>
    </w:p>
    <w:p>
      <w:pPr>
        <w:pStyle w:val="Normal"/>
      </w:pPr>
      <w:r>
        <w:t>ANNEX II – UNITED STATES – 8 Sector: Betting and Gambling Sub-Sector: Obligations Concerned: National Treatment (Articles 14.4 and 15.3) Performance Requirements (Article 14.10) Senior Management and Boards of Directors (Article 14.11) Market Access (Article 15.5) Local Presence (Article 15.6) Description: Investment and Cross-Border Trade in Services The United States reserves the right to adopt or measure relating to betting and gambling services. maintain any Existing Measures:</w:t>
      </w:r>
    </w:p>
    <w:p>
      <w:pPr>
        <w:pStyle w:val="Normal"/>
      </w:pPr>
      <w:r>
        <w:t>ANNEX II – UNITED STATES – 9 Sector: All Sub-Sector: Obligations Concerned: Market Access (Article 15.5) Description: Cross-Border Trade in Services The United States reserves the right to adopt or maintain any measure that is not inconsistent with the United States’ obligations under Article XVI of the General Agreement on Trade in Services as set out in the U.S. Schedule of Specific Commitments under the GATS (GATS/SC/90, GATS/SC/90/Suppl.1, GATS/SC/90/Suppl.2, and GATS/SC/90/Suppl.3). For purposes of this entry only, the U.S. Schedule of Specific Commitments is modified as indicated in Appendix II-A. Existing Measures:</w:t>
      </w:r>
    </w:p>
    <w:p>
      <w:pPr>
        <w:pStyle w:val="Normal"/>
      </w:pPr>
      <w:r>
        <w:t>ANNEX II – UNITED STATES – 10 Sector: All Sub-Sector: Obligations Concerned: Most-Favored-Nation Treatment (Articles 14.5 and 15.4) Description: Investment and Cross-Border Trade in Services The United States reserves the right to adopt or maintain any measure that accords differential treatment to countries under any bilateral or multilateral international agreement in force or signed prior to the date of entry into force of this Agreement. The United States reserves the right to adopt or maintain any measure that accords differential treatment to countries under any bilateral or multilateral international agreement in force or signed after the date of entry into force of this Agreement involving: (a) aviation; (b) fisheries; or (c) maritime matters, including salvage. Existing Measures:</w:t>
      </w:r>
    </w:p>
    <w:p>
      <w:pPr>
        <w:pStyle w:val="Normal"/>
      </w:pPr>
      <w:r>
        <w:t>ANNEX II – UNITED STATES – 11 Appendix II-A For the following Sectors, U.S. obligations under Article XVI of the GATS as set out in the U.S. Schedule of Specific Commitments under the GATS (GATS/SC/90, GATS/SC/90/Suppl.1, GATS/SC/90/Suppl.2, and GATS/SC/90/Suppl.3) are improved as described. Sector/Subsector Market Access Improvements Foreign Legal Consulting Services Insert new commitments for the following states: Louisiana, New Mexico: No limitations for modes 1-3 and mode 4 “Unbound, except as indicated in the horizontal section”. Arizona, Indiana, Massachusetts, North Carolina, Utah: No limitations modes 1-2; for mode 3 “in-state law office required”, and mode 4 “Unbound, except as indicated in the horizontal section. Additionally, an in-state law office required”. Missouri: No limitations modes 1-2; for mode 3 “Association with in-state law office required”, and mode 4 “Unbound, except as indicated in the horizontal section. Additionally, association with an in-state law office required”.</w:t>
      </w:r>
    </w:p>
    <w:p>
      <w:pPr>
        <w:pStyle w:val="Normal"/>
      </w:pPr>
      <w:r>
        <w:t>Accounting, Auditing, and Bookkeeping Services Modify mode 3 limitation as follows: Sole proprietorships or partnerships are limited to persons licensed as accountants, except in Iowa where accounting firms must incorporate Modify mode 4 limitation as follows: In addition, an in-state office must be maintained for licensure in to receive a license to perform audits in: Engineering Services Integrated Engineering Services Replace existing description of Mode 4 with “Unbound, except as indicated in the horizontal section”. Research and development services: R&amp;D services on natural sciences, social sciences and humanities, and interdisciplinary R&amp;D services, excluding R&amp;D financed in whole or in part by public funds Insert new commitments with no limitations for modes 1-3 and mode 4 “Unbound, except as indicated in the horizontal section”. Technical testing and analysis services, other Insert new commitments with no limitations for</w:t>
      </w:r>
    </w:p>
    <w:p>
      <w:pPr>
        <w:pStyle w:val="Normal"/>
      </w:pPr>
      <w:r>
        <w:t>ANNEX II – UNITED STATES – 12 Sector/Subsector Market Access Improvements than government-mandated services or services financed in whole or in part by public funds modes 1-3 and mode 4 “Unbound, except as indicated in the horizontal section”. Other business services: Other Insert new commitments for “Other” under “Other business services” with no limitations for modes 1-3 and mode 4 “Unbound, except as indicated in the horizontal section”. Express Delivery Services Insert new commitments with no limitations for modes 1-3 and mode 4 “Unbound, except as indicated in the horizontal section”. Other Delivery Services Insert new commitments with no limitations for modes 1-3 and mode 4 “Unbound, except as indicated in the horizontal section”. Multi-channel video services over provider- owned cable systems Insert new commitments with no limitations for modes 1-3 and mode 4 “Unbound, except as indicated in the horizontal section”.</w:t>
      </w:r>
    </w:p>
    <w:p>
      <w:pPr>
        <w:pStyle w:val="Normal"/>
      </w:pPr>
      <w:r>
        <w:t>Information services (the offering of a capability for generating, acquiring, storing transforming, processing, retrieving, utilizing, or making available information via telecommunications, and includes electronic publishing) Insert new commitments with no limitations for modes 1-3 and mode 4 “Unbound, except as indicated in the horizontal section”. Higher Education Services (except flying instruction) Insert new commitments with no limitations for modes 1-3 and mode 4 “Unbound, except as indicated in the horizontal section”.</w:t>
      </w:r>
    </w:p>
    <w:p>
      <w:pPr>
        <w:pStyle w:val="Normal"/>
      </w:pPr>
      <w:r>
        <w:t>Motion Picture &amp; Video Tape Home Video Entertainment Production and Distribution Promotion or advertising services Motion picture or video tape production Insert commitments according to this revised classification with no limitations for modes 1-3 and mode 4 “Unbound, except as indicated in the horizontal section”. 4 For transparency purposes, individual U.S. institutions maintain autonomy in admission policies, in setting tuition rates, and in the development of curricula or course content. Educational and training entities must comply with requirements of the jurisdiction in which the facility is established. In some jurisdictions, accreditation of institutions or programs may be required. Institutions maintain autonomy in selecting the jurisdiction in which they will operate, and institutions and programs maintain autonomy in choosing to meet standards set by accrediting organizations as well as to continue accredited status. Accrediting organizations maintain autonomy in setting accreditation standards. Tuition rates may vary for in-state and out-of-state residents. Additionally, admissions policies include considerations of equal opportunity for students (regardless of race, ethnicity, or gender), as permitted by domestic law, as well as recognition by regional, national, or specialty organizations; and required standards must be met to obtain and maintain accreditation. To participate in the U.S.</w:t>
      </w:r>
    </w:p>
    <w:p>
      <w:pPr>
        <w:pStyle w:val="Normal"/>
      </w:pPr>
      <w:r>
        <w:t>student loan program, foreign institutions established in the United States are subject to the same requirements as U.S. institutions. 5 For purposes of clarity, this class refers to theatrical and non-theatrical motion pictures, whether provided on fixed media or electronically.</w:t>
      </w:r>
    </w:p>
    <w:p>
      <w:pPr>
        <w:pStyle w:val="Normal"/>
      </w:pPr>
      <w:r>
        <w:t>ANNEX II – UNITED STATES – 13 Sector/Subsector Market Access Improvements services Motion picture or video tape distribution services Other services in connection with motion pictures and video tape production and distribution Motion Picture Projection Services Radio and Television Services Radio and Television Distribution Services Other services in connection with motion pictures and video tape production and distribution Environmental Services Insert commitments according to this revised classification with no limitations for modes 1-3 Wastewater Management, excluding Water for and mode 4 “Unbound, except as indicated in Human Use (Wastewater services (contracted by the horizontal section”. private industry)) Solid/hazardous waste management (contracted by private industry) Refuse disposal services Sanitation and Similar Services Protection of ambient air and climate (Services to reduce exhaust gases and other emissions to improve air quality) Remediation and cleanup of soil and water (Treatment, remediation of contaminated/ polluted soil and water) Noise and vibration abatement (Noise abatement 6 For greater clarity, distribution services in this context may include the licensing of motion pictures or video tapes to other service providers for exhibition, broadcasting, or other transmission, rental, sale or other use.</w:t>
      </w:r>
    </w:p>
    <w:p>
      <w:pPr>
        <w:pStyle w:val="Normal"/>
      </w:pPr>
      <w:r>
        <w:t>ANNEX II – UNITED STATES – 14 Sector/Subsector Market Access Improvements services) Protection of biodiversity and landscape (Nature and landscape protection services) Other environmental and ancillary services (Other services not classified elsewhere) 7, 8 Physical well-being services Insert new commitments with no limitations for modes 1-3 and mode 4 “Unbound, except as indicated in the horizontal section”. Road freight transport Insert new commitments for domestic transportation with no limitations for modes 1-3 and mode 4 “Unbound, except as indicated in the horizontal section”. Cargo-handling services, Storage and warehouse services, and Freight transport agency services, except maritime or air transport services Insert new commitments with no limitations for modes 1-3 and mode 4 “Unbound, except as indicated in the horizontal section”. 7 For transparency purposes, this subsector includes physical well-being services such as delivered by, inter alia, fitness centers, spas, salons, massage (excluding therapeutic massage), and ayurvedics. This subsector does not include regulated medical services. 8 For greater certainty, nothing in this commitment authorizes the provision of unregulated substances or affects the ability of state authorities to regulate substances that may be affiliated with these services.</w:t>
      </w:r>
    </w:p>
    <w:p>
      <w:pPr>
        <w:pStyle w:val="Heading1"/>
      </w:pPr>
      <w:bookmarkStart w:id="901534" w:name="_Toc300001533"/>
      <w:r>
        <w:t>ANNEX II – UNITED STATES – 15</w:t>
      </w:r>
      <w:bookmarkEnd w:id="901534"/>
    </w:p>
    <w:p>
      <w:pPr>
        <w:pStyle w:val="Normal"/>
      </w:pPr>
      <w:r>
        <w:t>ANNEX III EXPLANATORY NOTE 1. The Schedule of a Party to this Annex sets out: (a) headnotes or introductory notes that limit or clarify the commitments of a Party with respect to the obligations described in paragraphs 1(b) and 1(c); (b) in Section A, pursuant to Article 17.10.1 (Non-Conforming Measures), a Party’s existing measures that are not subject to some or all of the obligations imposed by: (i) Article 17.3 (National Treatment), (ii) Article 17.4 (Most-Favored-Nation Treatment), (iii) Article 17.5 (Market Access), or (iv) Article 17.9 (Senior Management and Boards of Directors); and (c) in Section B, pursuant to Article 17.10.2 (Non-Conforming Measures), the specific sectors, subsectors or activities for which a Party may maintain existing, or adopt new or more restrictive, measures that do not conform with obligations imposed by: (i) Article 17.3 (National Treatment), (ii) Article 17.4 (Most-Favored-Nation Treatment), (iii) Article 17.5 (Market Access), (iv) Article 17.6 (Cross-Border Trade Standstill), or (v) Article 17.9 (Senior Management and Boards of Directors). 2. Each Schedule entry in Section A sets out the following elements:</w:t>
      </w:r>
    </w:p>
    <w:p>
      <w:pPr>
        <w:pStyle w:val="Normal"/>
      </w:pPr>
      <w:r>
        <w:t>(a) Sector refers to the sector for which the entry is made; (b) Sub-Sector, where referenced, refers to the specific subsector for which the entry is made; (c) Obligations Concerned specifies the obligations referred to in paragraph 1(b) that, pursuant to Article 17.10.1(a) (Non-Conforming Measures), do not apply</w:t>
      </w:r>
    </w:p>
    <w:p>
      <w:pPr>
        <w:pStyle w:val="Normal"/>
      </w:pPr>
      <w:r>
        <w:t>ANNEX III – EXPLANATORY NOTE – 1 to the listed measures as indicated in the headnote or introductory note for each Party’s Schedule; (d) Level of Government indicates the level of government maintaining the listed measures; (e) Measures identifies the laws, regulations or other measures for which the entry is made. A measure cited in the Measures element: (i) means the measure as amended, continued or renewed as of the date of entry into force of this Agreement, and (ii) includes any subordinate measure adopted or maintained under the authority of and consistent with the measure; and (f) Description, as indicated in the headnote or introductory note for each Party’s Schedule, either sets out the non-conforming measure or provides a general non-binding description of the measure for which the entry is made. 3.</w:t>
      </w:r>
    </w:p>
    <w:p>
      <w:pPr>
        <w:pStyle w:val="Normal"/>
      </w:pPr>
      <w:r>
        <w:t>Each Schedule entry in Section B sets out the following elements: (a) Sector refers to the sector for which the entry is made; (b) Sub-Sector, where referenced, refers to the specific subsector for which the entry is made; (c) Obligations Concerned specifies the obligations referred to in paragraph 1(c) that, pursuant to Article 17.10.2 (Non-Conforming Measures), do not apply to the sectors, subsectors or activities listed in the entry; (d) Level of Government indicates the level of government maintaining the listed measures; (e) Description sets out the scope or nature of the sectors, subsectors or activities covered by the entry to which the reservation applies; and (f) Existing Measures identifies, for transparency purposes, a non-exhaustive list of existing measures that apply to the sectors, subsectors or activities covered by the entry. 4. Parties recognize that measures falling under exceptions applicable to this Chapter, such as those in Article 17.11 (Exceptions), need not be scheduled. Nevertheless, some Parties have listed measures that may fall within applicable exceptions. For greater certainty, the listing of a measure in a Party’s Schedule to Annex III is without prejudice to whether that measure or any other measure: (a) adopted or maintained by the Party; or</w:t>
      </w:r>
    </w:p>
    <w:p>
      <w:pPr>
        <w:pStyle w:val="Normal"/>
      </w:pPr>
      <w:r>
        <w:t>ANNEX III – EXPLANATORY NOTE – 2 (b) adopted or maintained by any other Party; is covered by exceptions such as those in Article 17.11 (Exceptions).</w:t>
      </w:r>
    </w:p>
    <w:p>
      <w:pPr>
        <w:pStyle w:val="Heading1"/>
      </w:pPr>
      <w:bookmarkStart w:id="901535" w:name="_Toc300001534"/>
      <w:r>
        <w:t>ANNEX III – EXPLANATORY NOTE – 3</w:t>
      </w:r>
      <w:bookmarkEnd w:id="901535"/>
    </w:p>
    <w:p>
      <w:pPr>
        <w:pStyle w:val="Normal"/>
      </w:pPr>
      <w:r>
        <w:t>ANNEX III SCHEDULE OF CANADA INTRODUCTORY NOTES 1. For Canada, in the interpretation of a reservation in Section A, all elements of the reservation shall be considered. A reservation shall be interpreted in light of the relevant provisions of the Chapter against which the reservation is taken. To the extent that: (a) the Measures element is qualified by a specific reference in the Description element, the Measures element as so qualified prevails over all other elements; and (b) the Measures element is not so qualified, the Measures element prevails over all other elements, unless any discrepancy between the Measures element and the other elements considered in their totality is so substantial and material that it would be unreasonable to conclude that the Measures element should prevail, in which case the other elements prevail to the extent of that discrepancy. 2. For Canada, in the interpretation of a reservation in Section B, all elements of the reservation shall be considered. The Description element prevails over all other elements.</w:t>
      </w:r>
    </w:p>
    <w:p>
      <w:pPr>
        <w:pStyle w:val="Normal"/>
      </w:pPr>
      <w:r>
        <w:t>ANNEX III – CANADA – 1 Headnotes 1. Commitments under this Agreement, in the subsectors listed in this Schedule, are undertaken subject to the limitations and conditions set forth in these headnotes and in the Schedule below. 2. To clarify Canada’s commitment with respect to Article 17.5 (Market Access), a juridical person supplying a financial service and constituted under the laws of Canada is subject to non discriminatory limitations on juridical form.1 3. Article 17.10.1(c) (Non-Conforming Measures) shall not apply to non-conforming measures relating to Article 17.5.1(e) (Market Access). For example, partnerships and sole proprietorships are generally not acceptable juridical forms for a financial institution in Canada. This headnote is not itself intended to affect, or otherwise limit, a choice by a financial institution of the other Party between branches or subsidiaries.</w:t>
      </w:r>
    </w:p>
    <w:p>
      <w:pPr>
        <w:pStyle w:val="Normal"/>
      </w:pPr>
      <w:r>
        <w:t>ANNEX III – CANADA – 2 Section A A-1 Sector: Financial Services Subsector: Banking and Other Financial Services (Excluding Insurance) Obligations Concerned: Market Access (Article 17.5.1(a)) Level of Government: Central Measures: Bank Act, S.C. 1991, c.46, s. 524 Description: In order to establish a bank branch, a foreign bank must be a bank in the jurisdiction under whose laws it is incorporated.</w:t>
      </w:r>
    </w:p>
    <w:p>
      <w:pPr>
        <w:pStyle w:val="Normal"/>
      </w:pPr>
      <w:r>
        <w:t>ANNEX III – CANADA – 3 A-2 Sector: Financial Services Subsector: Banking and Other Financial Services (Excluding Insurance) Obligations Concerned: National Treatment (Articles 17.3.1 and 17.3.2) Market Access (Article 17.5.1(a)) Level of Government: Central Measures: Bank Act, S.C. 1991, c.46 s. 520, 524, 540, 545 Sales or Trades (Authorized Foreign Banks) Regulations, SOR/2000-52 Description: A foreign bank must establish accepting retail deposits. a subsidiary as a condition for A foreign lending branch may not accept deposits.</w:t>
      </w:r>
    </w:p>
    <w:p>
      <w:pPr>
        <w:pStyle w:val="Normal"/>
      </w:pPr>
      <w:r>
        <w:t>ANNEX III – CANADA – 4 A-3 Sector: Financial Services Sub-Sector: All Obligations Concerned: Market Access (Article 17.5.1(a)) Level of Government: Central Measures: Trust and Loan Companies Act, S.C. 1991, c.45 Bank Act, S.C. 1991, c.46 Cooperative Credit Associations Act, S.C. 1991, c.48 Insurance Companies Act, S.C. 1991, c.47 Description: Federal laws do not permit a company established under the Trust and Loan Companies Act, a cooperative credit Association, or a fraternal benefit society in Canada to be established through a branch of corporations organized under a foreign country’s law.</w:t>
      </w:r>
    </w:p>
    <w:p>
      <w:pPr>
        <w:pStyle w:val="Normal"/>
      </w:pPr>
      <w:r>
        <w:t>ANNEX III – CANADA – 5 A-4 Sector: Financial Services Subsector: All Obligations Concerned: Market Access (Article 17.5.1(a)) Level of Government: Central Measures: Bank Act, S.C. 1991, c.46 s. 510, 522.16, 524 Insurance Companies Act, S.C. 1991, c.47 s. 573, 574, 581 Description: A bank branch must be established directly under the authorized foreign bank incorporated in the jurisdiction where the authorized foreign bank principally carries on business. A foreign entity authorized to insure, in Canada, risks must be established directly under the foreign insurance company incorporated in the jurisdiction where the foreign insurance company, either directly or through a subsidiary, principally carries on business.</w:t>
      </w:r>
    </w:p>
    <w:p>
      <w:pPr>
        <w:pStyle w:val="Normal"/>
      </w:pPr>
      <w:r>
        <w:t>ANNEX III – CANADA – 6 A-5 Sector: Financial Services Subsector: Banking and Other Financial Services (Excluding Insurance) Obligations Concerned: National Treatment (Articles 17.3.1 and 17.3.2) Market Access (Article 17.5.1(a)) Level of Government: Central Measures: Bank Act, S.C. 1991, c.46 s. 520, 540, 545 Schedule I and Schedule II to the Bank Act Canada Deposit Insurance Corporation Act, R.S.C. 1985, c. C-3 s. 2, 8, 17 Description: Full service foreign bank branches and lending foreign bank branches are prohibited from becoming member institutions of the Canada Deposit Insurance Corporation.</w:t>
      </w:r>
    </w:p>
    <w:p>
      <w:pPr>
        <w:pStyle w:val="Normal"/>
      </w:pPr>
      <w:r>
        <w:t>ANNEX III – CANADA – 7 A-6 Sector: Financial Services Subsector: Banking and Other Financial Services (Excluding Insurance) Obligations Concerned: National Treatment (Articles 17.3.1 and 17.3.2) Market Access (Article 17.5.1(a)) Level of Government: Central Measures: Canadian Payments Act, R.S.C. 1985, c. C-21 s. 2, 4 Bank Act, S.C. 1991, c.46 s. 524, 540 Description: Lending branches of foreign members of Payments Canada. banks are prohibited from being</w:t>
      </w:r>
    </w:p>
    <w:p>
      <w:pPr>
        <w:pStyle w:val="Normal"/>
      </w:pPr>
      <w:r>
        <w:t>ANNEX III – CANADA – 8 A-7 Sector: Financial Services Subsector: All Obligations Concerned: National Treatment (Article 17.3) Most Favored Nation Treatment (Article 17.4) Senior Management and Boards of Directors (Article 17.9) Level of Government: Regional Description: All existing Territories. non-conforming measures of all Provinces and</w:t>
      </w:r>
    </w:p>
    <w:p>
      <w:pPr>
        <w:pStyle w:val="Normal"/>
      </w:pPr>
      <w:r>
        <w:t>ANNEX III – CANADA – 9 Section B B-1 Sector: Financial Services Subsector: All Obligations Concerned: National Treatment (Article 17.3.1 and 17.3.2) Level of Government: Central Description: With regard to the Canada Mortgage and Housing Corporation and Canada Housing Trusts, Canada reserves the right to adopt or maintain a measure that grants advantages to these entities or any new, reorganized, or transferee entities having similar functions and objectives with respect to housing finance.</w:t>
      </w:r>
    </w:p>
    <w:p>
      <w:pPr>
        <w:pStyle w:val="Normal"/>
      </w:pPr>
      <w:r>
        <w:t>ANNEX III – CANADA – 10 B-2 Sector: Financial Services Subsector: All Obligations Concerned: Market Access (Article 17.5), except Article 17.5.1(b) Level of Government: Regional Description: Canada reserves the right to adopt or maintain a measure that is not inconsistent with Canada’s obligations under the General Agreement on Trade in Services.</w:t>
      </w:r>
    </w:p>
    <w:p>
      <w:pPr>
        <w:pStyle w:val="Normal"/>
      </w:pPr>
      <w:r>
        <w:t>ANNEX III – CANADA – 11 B-3 Sector: Financial Services Subsector: All, except services under Canada’s paragraph 2(c) and (d) of Annex 17-A Obligations Concerned: Market Access (Article 17.5.1(b)) Level of Government: Regional Description: Canada reserves the right to adopt or maintain a measure that is not inconsistent with the Canada-European Union Comprehensive Economic and Trade Agreement (“CETA”) done at Brussels, on October 30, 2016. The reference to CETA in this reservation is to the agreement as signed and this reservation is applicable even if CETA is terminated.</w:t>
      </w:r>
    </w:p>
    <w:p>
      <w:pPr>
        <w:pStyle w:val="Normal"/>
      </w:pPr>
      <w:r>
        <w:t>ANNEX III – CANADA – 12 B.4 Sector: Financial Services Subsector: Banking and Other Financial Services (Excluding Insurance) Obligations Concerned: Cross-Border Trade Standstill (Article 17.6) Level of Government: Regional Description: Canada reserves the right to adopt or maintain a measure relating to cross-border trade in securities and derivatives services.</w:t>
      </w:r>
    </w:p>
    <w:p>
      <w:pPr>
        <w:pStyle w:val="Heading1"/>
      </w:pPr>
      <w:bookmarkStart w:id="901536" w:name="_Toc300001535"/>
      <w:r>
        <w:t>ANNEX III – CANADA – 13</w:t>
      </w:r>
      <w:bookmarkEnd w:id="901536"/>
    </w:p>
    <w:p>
      <w:pPr>
        <w:pStyle w:val="Normal"/>
      </w:pPr>
      <w:r>
        <w:t>ANNEX III SCHEDULE OF MEXICO HEADNOTES 1. Commitments in the financial services sector under this Agreement are undertaken subject to the limitations and conditions set forth in these headnotes and in the Schedule below. 2. With respect to Article 17.5 (Market Access), a juridical persons supplying financial services and constituted under the laws of Mexico is subject to non-discriminatory limitations on juridical form. 3. Paragraph 1(c) of Article 17.10 (Non-Conforming Measures) shall not apply to those non-conforming measures relating to paragraph 1(e) of Article 17.5 (Market Access). 4. Description, provides a general non-binding description of the measure for which the entry is made. 5. In the interpretation of a reservation in Section A, all elements of the entry shall be considered. The Measures element shall prevail over all other elements. 6. In the interpretation of a reservation in Section B, all elements of the entry shall be considered. The Description element shall prevail over all other elements.</w:t>
      </w:r>
    </w:p>
    <w:p>
      <w:pPr>
        <w:pStyle w:val="Normal"/>
      </w:pPr>
      <w:r>
        <w:t>ANNEX III – MEXICO – 1 SECTION A A-1 Sector: Financial Services Sub-Sector: Banking and other Financial Services (excluding Insurance) Obligations Concerned: National Treatment (Article 17.3.1 and 17.3.2) Level of Government: Central Measures: Credit Unions Law (Ley de Uniones de Crédito); Article 21 General Law of Credit Organizations and Auxiliary Activities (Ley General de Organizaciones y Actividades Auxiliares del Crédito); Article 87-D Description: Participation by an individual or legal entity, whether direct or indirect, in the capital stock of a credit union or a regulated multiple purpose financial entity linked to a credit union shall not exceed 15 percent, unless authorized by the National Banking and Securities Commission (Comisión Nacional Bancaria y de Valores) (CNBV). Without prejudice to the preceding paragraph, a foreign individual or legal entity, including a foreign legal entity with no legal personality, may participate indirectly in the capital stock of a credit union or a regulated multiple purpose financial entity linked to a credit union up to 15 percent, provided that the respective shares of the credit union are purchased by a Mexican legal entity in which such foreign individual or legal entity holds a participation.</w:t>
      </w:r>
    </w:p>
    <w:p>
      <w:pPr>
        <w:pStyle w:val="Normal"/>
      </w:pPr>
      <w:r>
        <w:t>ANNEX III – MEXICO – 2 A-2 Sector: Sub-Sector: Obligations Concerned: Level of Government: Measures: Description: Financial Services All Services National Treatment (Article 17.3.1 and 17.3.2) Market Access (Article 17.5.1(a)) Central Law to Regulate Financial Groups (Ley para Regular las Agrupaciones Financieras); Articles 67, 68, 70, 72, 74 and 76 Credit Institutions Law (Ley de Instituciones de Crédito); Articles 45-A, 45-B, 45-C 45-E, 45-G and 45-I Securities Market Law (Ley del Mercado de Valores); Articles 2, 160, 161, 163, 165 and 167 Insurance and Surety Institutions Law (Ley de Instituciones de Seguros y Fianzas); Articles 2, 74, 75, 77, 78, 79 and 81. General Law of Credit Organizations and Auxiliary Activities (Ley General de Organizaciones y Actividades Auxiliares del Crédito); Articles 45 Bis 1, 45 Bis 2, 45 Bis 3, 45 Bis 5 45 Bis 7 and 45 Bis 9 Investment Funds Law (Ley de Fondos de Inversión); Articles 62, 63, 64, 66, 68 and 70 Retirement Savings Systems Law (Ley de los Sistemas de Ahorro para el Retiro);</w:t>
      </w:r>
    </w:p>
    <w:p>
      <w:pPr>
        <w:pStyle w:val="Normal"/>
      </w:pPr>
      <w:r>
        <w:t>Article 21 Rules for the Establishment of Foreign Financial Institution Subsidiaries (Reglas para el establecimiento de Filiales de Instituciones Financieras del Exterior); First, Eighth and Ninth Rules A financial institution of another Party may invest in the capital stock of a holding company of a financial group, a commercial bank, a securities firm, a surety institution, an insurance institution, a foreign exchange firm, a general deposit warehouse, a</w:t>
      </w:r>
    </w:p>
    <w:p>
      <w:pPr>
        <w:pStyle w:val="Normal"/>
      </w:pPr>
      <w:r>
        <w:t>managing company of investment funds, a distributing company of investment fund shares, and a retirement funds management company, organized as a Mexican subsidiary (filial) of a foreign financial institution, if that financial institution of the other Party meets the following conditions: (a) directly or indirectly carries out in the territory of that other Party, in accordance with applicable law, the same type of financial service that the respective subsidiary is allowed</w:t>
      </w:r>
    </w:p>
    <w:p>
      <w:pPr>
        <w:pStyle w:val="Normal"/>
      </w:pPr>
      <w:r>
        <w:t>ANNEX III – MEXICO – 3 to carry out in Mexico; (b) is incorporated in and under the laws of that other Party provided further that such Party remains as a party to this Agreement, and (c) obtains prior authorization from the competent Mexican financial authorities and complies with the requirements set out in the respective law. A financial institution of another Party must own at least 51 percent of the subsidiary’s capital stock.</w:t>
      </w:r>
    </w:p>
    <w:p>
      <w:pPr>
        <w:pStyle w:val="Normal"/>
      </w:pPr>
      <w:r>
        <w:t>ANNEX III – MEXICO – 4 A-3 Sector: Financial Services Sub-Sector: All Services Obligations Concerned: Market Access (Article 17.5.1(a)) Level of Government: Central Measures: Law to Regulate Financial Groups (Ley para Regular las Agrupaciones Financieras); Article 67 Credit Institutions Law (Ley de Instituciones de Crédito); Article 45-A Securities Market Law (Ley del Mercado de Valores); Article 2 Insurance and Surety Institutions Law (Ley de Instituciones de Seguros y Fianzas); Article 2 General Law of Credit Organizations and Auxiliary Activities (Ley General de Organizaciones y Actividades Auxiliares del Crédito); Article 45 Bis 1 Investment Funds Law (Ley de Fondos de Inversión); Article 62 Retirement Savings Systems Law (Ley de los Sistemas de Ahorro para el Retiro); Article 21 Rules for the Establishment of Foreign Financial Institution Subsidiaries (Reglas para el establecimiento de Filiales de Instituciones Financieras del Exterior); First Rule Description: A financial institution of another Party, as any other foreign financial institution, is not permitted to establish branches within Mexican territory.1 For clarification purposes, this wording should not be considered as a departure from Mexico’s position in other international agreements it has entered into.</w:t>
      </w:r>
    </w:p>
    <w:p>
      <w:pPr>
        <w:pStyle w:val="Normal"/>
      </w:pPr>
      <w:r>
        <w:t>ANNEX III – MEXICO – 5 A-4 Sector: Sub-Sector: Obligations Concerned: Level of Government: Measures: Description: Financial Services All Services National Treatment (Article 17.3.1 and 17.3.2) Market Access (Article 17.5.1(a)) Central Law to Regulate Financial Groups (Ley para Regular las Agrupaciones Financieras); Article 24 Credit Institutions Law (Ley de Instituciones de Crédito); Article 13 Securities Market Law (Ley del Mercado de Valores); Articles 117 and 237 Law to Regulate Credit Information Corporations (Ley para Regular las Sociedades de Información Crediticia); Article 8 Insurance and Surety Institutions Law (Ley de Instituciones de Seguros y Fianzas); Article 50 Retirement Saving Systems Law (Ley de los Sistemas de Ahorro para el Retiro); Article 21 General Law of Credit Organizations and Auxiliary Activities (Ley General de Organizaciones y Actividades Auxiliares de Crédito); Articles 8 and 87-D Investment Funds Law (Ley de Fondos de Inversión); Article 37 Credit Unions Law (Ley de Uniones de Crédito);</w:t>
      </w:r>
    </w:p>
    <w:p>
      <w:pPr>
        <w:pStyle w:val="Normal"/>
      </w:pPr>
      <w:r>
        <w:t>Article 21 A foreign government is not allowed to participate, directly or indirectly, in the capital stock of a holding company of financial groups, commercial bank, securities firm, stock exchange, credit information corporation, surety institution, insurance institution, retirement funds management company, foreign exchange firm, auxiliary credit organization, general deposit warehouse, managing company of investment funds, distributing company of investment</w:t>
      </w:r>
    </w:p>
    <w:p>
      <w:pPr>
        <w:pStyle w:val="Normal"/>
      </w:pPr>
      <w:r>
        <w:t>fund shares, value assessment company of investment fund shares, credit unions regulated multiple purpose financial entity linked to a credit institution except: (a) In case that participation is done it should be only as a temporary prudential measure, such as financial support or aid. The financial institution that falls in this situation must submit to the competent financial authority the relevant information and</w:t>
      </w:r>
    </w:p>
    <w:p>
      <w:pPr>
        <w:pStyle w:val="Normal"/>
      </w:pPr>
      <w:r>
        <w:t>ANNEX III – MEXICO – 6 documents to prove that situation. (b) In case that participation implies that the foreign government takes control2 over that financial institution, and it is carried out through an official legal entity, such as a sovereign fund or public development entity, provided that an authorization is previously granted, on a discretionary basis, by the competent financial authority, subject to the condition that such authority is satisfied that such legal entity proves that: (i) it does not exercise any government function, and (ii) its managing board is independent from the respective foreign government. (c). When such participation is indirect and does not imply the control of the financial institution. 2 The term “control” is defined in each of the laws indicated in this entry.</w:t>
      </w:r>
    </w:p>
    <w:p>
      <w:pPr>
        <w:pStyle w:val="Normal"/>
      </w:pPr>
      <w:r>
        <w:t>ANNEX III – MEXICO – 7 A-5 Sector: Financial Services Sub-Sector: All Services Obligations Concerned: Senior Management and Boards of Directors (Article 17.9) Level of Government: Central Measures: Cooperative Companies General Law (Ley General de Sociedades Cooperativas); Article 7 Description: Directors and managers of savings and loans cooperative companies must be Mexican.</w:t>
      </w:r>
    </w:p>
    <w:p>
      <w:pPr>
        <w:pStyle w:val="Normal"/>
      </w:pPr>
      <w:r>
        <w:t>ANNEX III – MEXICO – 8 A-6 Sector: Financial Services Sub-Sector: Banking and other Financial Services (excluding Insurance) Obligations Concerned: National Treatment (Article 17.3.1 and 17.3.2) Market Access (Article 17.5.1(a)) Level of Government: Central Measures: Securities Market Law (Ley del Mercado de Valores); Article Description: If a securities firm organized as a subsidiary (filial) of a financial institution of another Party acquires shares of a Mexican securities firm, which shall not be below 51 percent of its capital stock, such subsidiary must merge with the securities firm.</w:t>
      </w:r>
    </w:p>
    <w:p>
      <w:pPr>
        <w:pStyle w:val="Normal"/>
      </w:pPr>
      <w:r>
        <w:t>ANNEX III – MEXICO – 9 A-7 Sector: Financial Services Sub-Sector: Banking and other Financial Services (excluding Insurance) Obligations Concerned: Market Access (Article 17.5.1(a)) Level of Government: Central Measures: Retirement Savings Systems Law Ahorro para el Retiro); Article 26 (Ley de los Sistemas de Description: A retirement fund management company may not own more than 20 percent share of the retirement savings systems market. The Retirement Savings System National Commission (Comisión Nacional del Sistema de Ahorro para el Retiro) (CONSAR) may authorize a limit beyond 20 percent, provided that this does not constitute prejudice to the interests of workers. 3 The term “market” refers to the total amount of individual retirement accounts.</w:t>
      </w:r>
    </w:p>
    <w:p>
      <w:pPr>
        <w:pStyle w:val="Normal"/>
      </w:pPr>
      <w:r>
        <w:t>ANNEX III – MEXICO – 10 A-8 Sector: Financial Services Sub-Sector: Banking and other Financial Services (excluding Insurance) Obligations Concerned: Market Access (Article 17.5.1(a)) Level of Government: Central Measures: Securities Market Law (Ley del Mercado de Valores); Article Description: The organization of a stock exchange is subject to a concession previously granted, on a discretionary basis, by the Federal Government. The decision to grant that concession will be subject to considerations regarding the market’s development.</w:t>
      </w:r>
    </w:p>
    <w:p>
      <w:pPr>
        <w:pStyle w:val="Normal"/>
      </w:pPr>
      <w:r>
        <w:t>ANNEX III – MEXICO – 11 A-9 Sector: Financial Services Sub-Sector: Insurance and insurance-related services Obligations Concerned: National Treatment (Article 17.3.3(b)) Market Access (Article 17.5.1(c)) Level of Government: Central Measures: Insurance and Surety Institutions Law (Ley de Instituciones de Seguros y Fianzas); Articles 20, 21, 22, 23, and 24 Description: No person may contract with foreign entities the insurance of: (a) maritime or aircraft hulls, and any kind of vehicle, for risks inherent to the maritime and transportation industries, provided that such hulls and vehicles have Mexican registration or are owned by persons domiciled in Mexico; (b) credit, housing credit, surety and financial guarantee 4, if the insured is subject to Mexican law. (c) third party liability derived from events that may take place in the territory of Mexico; and (d) other risks that may take place in Mexican territory, except for insurance contracted outside such territory with respect to goods transported from the territory of Mexico to a foreign territory or vice versa, and insurance contracted by non-residents in Mexico for their persons or vehicles to cover risks during their temporary entries into the territory of Mexico.</w:t>
      </w:r>
    </w:p>
    <w:p>
      <w:pPr>
        <w:pStyle w:val="Normal"/>
      </w:pPr>
      <w:r>
        <w:t>For greater certainty, no person may contract with entities of another Party the insurance of persons provided that the person is located in the territory of Mexico at the moment of the execution of the insurance agreement if that person is an individual, or that the insured resides in Mexico if the insurance 4 The prohibition for insurance of financial guarantee will not apply when the securities or documents matter of the insurance participate in foreign markets exclusively.</w:t>
      </w:r>
    </w:p>
    <w:p>
      <w:pPr>
        <w:pStyle w:val="Normal"/>
      </w:pPr>
      <w:r>
        <w:t>ANNEX III – MEXICO – 12 is contracted by a legal entity.5 As an exception to the prohibitions indicated above, the National Insurance and Surety Commission (Comisión Nacional de Seguros y Fianzas) (CNSF) may authorize a person to contract any of the insurance described above provided that such person demonstrates that none of the insurance institutions authorized to operate in Mexico is able or deems convenient to enter into a given insurance operation proposed to it. For clarification purposes, this wording should not be considered as a departure from Mexico’s position in other international agreements it has entered into.</w:t>
      </w:r>
    </w:p>
    <w:p>
      <w:pPr>
        <w:pStyle w:val="Normal"/>
      </w:pPr>
      <w:r>
        <w:t>ANNEX III – MEXICO – 13 A-10 Sector: Financial Services Sub-Sector: Banking and other Financial Services (excluding Insurance) Obligations Concerned: National Treatment (Article 17.3.3(b)) Market Access (Article 17.5.1(a)) Level of Government: Central Measures: Insurance and Surety Institutions Law (Ley de Instituciones de Seguros y Fianzas); Articles 34 and 35 Description: No person may contract with foreign entities sureties to guarantee acts of individuals and legal entities bound to fulfil obligations in Mexican territory, except for rebonding or in case such sureties are received by Mexican surety institutions as counter guarantee. As an exception to the prohibitions indicated above, the National Insurance and Surety Commission (Comisión Nacional de Seguros y Fianzas) (CNSF) may authorize a person to contract any of the sureties described above provided that none of the financial institutions authorized to operate in Mexico is able or deems it convenient to undertake a surety operation proposed to it, upon prior verification of such circumstances have been proved to it.</w:t>
      </w:r>
    </w:p>
    <w:p>
      <w:pPr>
        <w:pStyle w:val="Normal"/>
      </w:pPr>
      <w:r>
        <w:t>ANNEX III – MEXICO – 14 A-11 Sector: Financial Services Sub-Sector: All Obligations Concerned: National Treatment (Article 17.3.1 and 17.3.2) Market Access (Article 17.5.1(a)) Level of Government: Central Measures: Insurance and Surety Institutions Law (Ley de Instituciones de Seguros y Fianzas); Article 337 Regulation of Insurance and Surety Agents (Reglamento de Agentes de Seguros y de Fianzas); Article 12 Rules for the authorization and operation of reinsurance brokers (Reglas para la autorización y operación de intermediarios de reaseguros); Rule Fourth Description: A foreign government or official foreign entity may not participate in a mutual insurance society, in the capital stock of an insurance and surety agency, or in the capital stock of a reinsurance broker, either directly or indirectly. A foreign financial entity may not participate in the capital stock of an insurance or surety agency, or in a mutual insurance society. A group of foreign individuals or legal entities, regardless of the form they adopt, may not participate in a mutual insurance society, either directly or indirectly. For clarification purposes, a foreign individual may participate in mutual insurance societies as long as they do so individually and not as part of a group or entity.</w:t>
      </w:r>
    </w:p>
    <w:p>
      <w:pPr>
        <w:pStyle w:val="Normal"/>
      </w:pPr>
      <w:r>
        <w:t>ANNEX III – MEXICO – 15 A-12 Sector: Financial Services Sub-Sector: Insurance Obligations Concerned: National Treatment (Article 17.3.1 and 17.3.2) Market Access (Article 17.5.1(a)) Level of Government: Central Measures: Agricultural and Rural Insurance Funds Law (Ley de Fondos de Aseguramiento Agropecuario y Rural); Article 26 Description: Only a Mexican exclusion clause Insurance Funds. or a Mexican legal entity with a foreigners may participate in Agricultural and Rural</w:t>
      </w:r>
    </w:p>
    <w:p>
      <w:pPr>
        <w:pStyle w:val="Normal"/>
      </w:pPr>
      <w:r>
        <w:t>ANNEX III – MEXICO – 16 B-1 SECTION B Sector: Sub-Sector: Obligations Concerned: Level of Government: Description: Financial Services All Services Market Access (Article 17.5.1(a) and (c)) Senior Management and Boards of Directors (Article 17.9) Central Mexico, when selling or disposing of its equity interest in, or the assets of, an existing state enterprise or an existing governmental entity, may prohibit or impose a limitation on the ownership of such interest or assets, and on the ability of owners of such interest or assets to control any resulting enterprise, by investors of Mexico of another Party or of a non- Party or their investments. Additionally, Mexico may impose a limitation on the supply of the services related to such investments. With respect to such a sale or other disposition, Mexico may adopt or maintain any measure relating to the nationality of individuals appointed to senior management positions of members of the board of directors.</w:t>
      </w:r>
    </w:p>
    <w:p>
      <w:pPr>
        <w:pStyle w:val="Normal"/>
      </w:pPr>
      <w:r>
        <w:t>For the purposes of this reservation: (a) A measure maintained or adopted after the date of entry into force of this Agreement that, at the time of sale or other disposition, prohibits or imposes limitations on the ownership of equity interest or assets or imposes nationality requirements described in this reservation shall be deemed to be an existing measure; and (b) state enterprise means an enterprise owned or controlled through ownership interest by Mexico and includes an enterprise established after the date of entry into force of this agreement solely for the purposes of selling or disposing of equity interest in, or the assets of, an existing state enterprise or governmental entity.</w:t>
      </w:r>
    </w:p>
    <w:p>
      <w:pPr>
        <w:pStyle w:val="Heading1"/>
      </w:pPr>
      <w:bookmarkStart w:id="901537" w:name="_Toc300001536"/>
      <w:r>
        <w:t>ANNEX III – MEXICO – 17</w:t>
      </w:r>
      <w:bookmarkEnd w:id="901537"/>
    </w:p>
    <w:p>
      <w:pPr>
        <w:pStyle w:val="Normal"/>
      </w:pPr>
      <w:r>
        <w:t>ANNEX III – MEXICO – 18 B-2 Sector: Financial Services Sub-Sector: Banking and other Financial Services (excluding Insurance) Obligations Concerned: National Treatment (Article 17.3) Level of Government: Central Description: Mexico reserves the right to adopt or maintain a measure that grants advantages, including exclusive rights, to development banks, decentralized entities, or public funds for the economic development already established at the time that this Agreement enters into force, as well as any new, reorganized or transferee development bank, decentralized entity, or public fund for the economic development with similar functions and objectives with respect to development banking. The institutions of development banking include: (a) National Financial Institution, S.N.C. (Nacional Financiera, S.N.C.); (b) National Bank of Public Works and Services, S.N.C. (Banco Nacional de Obras y Servicios Públicos, S.N.C.); (c) National Bank of Foreign Trade, S.N.C. (Banco Nacional de Comercio Exterior, S.N.C.); (d) Federal Mortgage Corporation, S.N.C. (Sociedad Hipotecaria Federal, S.N.C.); (e) National Savings and Financial Services Bank, S.N.C (Banco del Ahorro Nacional y Servicios Financieros, S.N.C.); (f) National Bank of the Army, Air Force and Navy, S.N.C. (Banco Nacional del Ejército, Fuerza Aérea y Armada, S.N.C.), or their respective successors.</w:t>
      </w:r>
    </w:p>
    <w:p>
      <w:pPr>
        <w:pStyle w:val="Normal"/>
      </w:pPr>
      <w:r>
        <w:t>ANNEX III – MEXICO – 19 B-3 Sector: Financial Services Sub-Sector: All Services Obligations Concerned: National Treatment (Article 17.3) Level of Government: Central Description: Mexico reserves the right to adopt or maintain a measure that grants advantages, including exclusive rights, to the national insurance institutions, national surety institutions, a national pension fund, or national auxiliary organizations of credit in existence at the date of entry into force of this Agreement, as well as a new, reorganized, or transferee national insurance institution, national surety institution, a national pension fund or national auxiliary organization of credit with similar functions and objectives with respect to public policy purposes.</w:t>
      </w:r>
    </w:p>
    <w:p>
      <w:pPr>
        <w:pStyle w:val="Normal"/>
      </w:pPr>
      <w:r>
        <w:t>ANNEX III – MEXICO – 20 B-4 Sector: Financial Services Sub-Sector: All Services Obligations Concerned: Market Access (Article 17.5.1(a) and (c)) Senior Management and Boards of Directors (Article 17.9) Level of Government: Central Description: With respect to the supply of a financial service that Mexico does not require to be supplied by a financial institution on or before the date of entry into force of this Agreement but requires to be supplied by a financial institution after the date of entry into force of this Agreement, Mexico reserves the right to adopt after the date of entry into force of this Agreement a measure or maintain any such measure that: (a) imposes limitations on the number of financial institutions that may supply the financial service in Mexico, subject to an economic needs test;</w:t>
      </w:r>
    </w:p>
    <w:p>
      <w:pPr>
        <w:pStyle w:val="Normal"/>
      </w:pPr>
      <w:r>
        <w:t>(b) imposes limitations in the form of numerical quotas on the total value of financial service transactions or assets, subject to an economic needs test with respect to the financial service that may be supplied in Mexico; or (c) imposes requirements related to the nationality or residency in Mexico of individuals appointed to senior management positions or members of the board of directors that are inconsistent with Article 17.9 (Senior Management and Boards of Directors), provided that: (d) any amendment to the measure, or adoption of any other measure as described in paragraphs 1(a) through 1(c) applied to the financial service, does not decrease the conformity of</w:t>
      </w:r>
    </w:p>
    <w:p>
      <w:pPr>
        <w:pStyle w:val="Normal"/>
      </w:pPr>
      <w:r>
        <w:t>Mexico’s measures as they existed when Mexico first adopted a measure inconsistent with Article 17.5.1(a) (Market Access) and Article 17.9 (Senior Management and Boards of</w:t>
      </w:r>
    </w:p>
    <w:p>
      <w:pPr>
        <w:pStyle w:val="Normal"/>
      </w:pPr>
      <w:r>
        <w:t>ANNEX III – MEXICO – 21 Directors); (e) the measure described in paragraphs 1(a) through (c) is not applied to withdraw a tangible or intangible asset from a covered investment; and, (f) the amendment to the measure, or adoption of any other measure described in paragraphs 1(a) through 1(c) is not applied to withdraw a tangible or intangible asset from (1) a financial institution of another Party; or (2) an investor of another Party, or an investment of such an investor, in a financial institution of another Party.</w:t>
      </w:r>
    </w:p>
    <w:p>
      <w:pPr>
        <w:pStyle w:val="Normal"/>
      </w:pPr>
      <w:r>
        <w:t>ANNEX III – MEXICO – 22 B-5 Sector: Financial Services Sub-Sector: Banking and other Financial Services (excluding Insurance) Obligations Concerned: Market Access (Article 17.5.1(b)) National Treatment (Article 17.3.3(a)) Level of Government: Central Description: A cross-border service supplier of another Party may supply the electronic payments services into Mexico specified in Annex 17-A, provided that the cross-border service supplier supplies such services in the territory of that other Party. In addition, such cross-border supply of electronic payment services into Mexico must be supplied on a contractual relationship between a cross-border service supplier of another Party and an affiliate of that supplier established and authorized as a payments network participant under Mexican law in the territory of Mexico.</w:t>
      </w:r>
    </w:p>
    <w:p>
      <w:pPr>
        <w:pStyle w:val="Heading1"/>
      </w:pPr>
      <w:bookmarkStart w:id="901538" w:name="_Toc300001537"/>
      <w:r>
        <w:t>ANNEX III – MEXICO – 23</w:t>
      </w:r>
      <w:bookmarkEnd w:id="901538"/>
    </w:p>
    <w:p>
      <w:pPr>
        <w:pStyle w:val="Normal"/>
      </w:pPr>
      <w:r>
        <w:t>ANNEX III SCHEDULE OF THE UNITED STATES HEADNOTES 1. Commitments in these sub-sectors under Chapter 17 (Financial Services) are undertaken subject to the limitations and conditions set forth in these headnotes and in the Schedule below. 2. National treatment commitments in these sub-sectors are subject to the following limitations: (a) National treatment with respect to banking will be provided based upon the foreign bank’s “home state” in the United States, as that term is defined under the International Banking Act, when that Act is applicable. A domestic bank subsidiary of a foreign firm will have its own “home state”, and national treatment will be provided based upon the subsidiary’s home state, as determined under applicable law.1 (b) National treatment with respect to insurance financial institutions will be provided according to a non-U.S. insurance financial institution’s state of domicile, when applicable, in the United States. State of domicile is defined by individual states, and is generally the state in which an insurer either is incorporated, is organized or maintains its principal office in the United States. 3.</w:t>
      </w:r>
    </w:p>
    <w:p>
      <w:pPr>
        <w:pStyle w:val="Normal"/>
      </w:pPr>
      <w:r>
        <w:t>To clarify the U.S. commitment with respect to Article 17.5 (Market Access), juridical persons supplying banking or other financial services (excluding insurance) and constituted under the laws of the United States are subject to non-discriminatory limitations on juridical form.2 4.</w:t>
      </w:r>
    </w:p>
    <w:p>
      <w:pPr>
        <w:pStyle w:val="Normal"/>
      </w:pPr>
      <w:r>
        <w:t>For entries in Section A, in accordance with Article 17.10.1(a) (Non-Conforming Measures), and subject to Article 17.10.1(c) (Non-Conforming Measures), the Articles specified 1 Foreign banking organizations are generally subject to geographic and other limitations in the United States on a national treatment basis. If the limitations do not conform to national treatment, they have been listed as non conforming measures. For purposes of illustration, under this approach, the following situation does not accord national treatment and would therefore be listed as a non-conforming measure: a foreign bank from a particular home state is accorded less favorable treatment than that accorded to a domestic bank from that state with respect to expansion by branching. For greater certainty, a bank that is incorporated in the United States, including a U.S. bank subsidiary of a foreign bank, is considered a “domestic bank” and not a “foreign bank”. The referenced measures include the relevant comprehensive definitions. 2 For example, partnerships and sole proprietorships are generally not acceptable juridical forms for depository financial institutions in the United States. This headnote is not itself intended to affect, or otherwise limit, a choice by a financial institution of the other Party between branches or subsidiaries.</w:t>
      </w:r>
    </w:p>
    <w:p>
      <w:pPr>
        <w:pStyle w:val="Normal"/>
      </w:pPr>
      <w:r>
        <w:t>ANNEX III – UNITED STATES – 1 in the Obligations Concerned element of an entry do not apply to the non-conforming aspects of the law, regulation or other measure identified in the Measures element of that entry. In addition, Description provides a general, non-binding description of the measure for which the entry is made. 5. For entries in Section B, in accordance with Article 17.10.2 (Non-Conforming Measures), the articles of this Agreement specified in the Obligations Concerned element of an entry do not apply to the sectors, sub-sectors and activities identified in the Description element of that entry. 6. Article 17.10.1(c) (Non-Conforming Measures) does not apply to non-conforming measures relating to Article 17.5.1(e) (Market Access).</w:t>
      </w:r>
    </w:p>
    <w:p>
      <w:pPr>
        <w:pStyle w:val="Heading1"/>
      </w:pPr>
      <w:bookmarkStart w:id="901539" w:name="_Toc300001538"/>
      <w:r>
        <w:t>ANNEX III – UNITED STATES – 2</w:t>
      </w:r>
      <w:bookmarkEnd w:id="901539"/>
    </w:p>
    <w:p>
      <w:pPr>
        <w:pStyle w:val="Normal"/>
      </w:pPr>
      <w:r>
        <w:t>ANNEX III Section A Sector: Financial Services Sub-Sector: Banking and other financial services (excluding insurance) Obligations Concerned: Senior Management and Boards of Directors (Article 17.9) Level of Government: Central Measures: 12 U.S.C. § 72 Description: All directors of a national bank must be U.S. citizens except that the Comptroller of the Currency may waive the citizenship requirement for not more than a minority of the total number of directors.</w:t>
      </w:r>
    </w:p>
    <w:p>
      <w:pPr>
        <w:pStyle w:val="Normal"/>
      </w:pPr>
      <w:r>
        <w:t>ANNEX III – UNITED STATES – 3 Sector: Financial Services Sub-Sector: Banking and other financial services (excluding insurance) Obligations Concerned: National Treatment (Articles 17.3.1 and 17.3.2) Market Access (Article 17.5.1(a)) Level of Government: Central Measures: 12 U.S.C. § 619 Description: Foreign ownership of Edge Act corporations is limited to foreign banks and U.S. subsidiaries of foreign banks, while domestic non- bank firms may own such corporations.</w:t>
      </w:r>
    </w:p>
    <w:p>
      <w:pPr>
        <w:pStyle w:val="Normal"/>
      </w:pPr>
      <w:r>
        <w:t>ANNEX III – UNITED STATES – 4 Sector: Financial Services Sub-Sector: Banking and other financial services (excluding insurance) Obligations Concerned: National Treatment (Articles 17.3.1 and 17.3.2) Market Access (Article 17.5.1(a)) Level of Government: Central Measures: 12 U.S.C. §§ 1463 et seq. 12 U.S.C. §§ 1751 et seq. Description: Federal and state laws do not permit a credit union, savings bank, or savings association (both of the latter two entities may be also called thrift institutions) in the United States to be established through branches of corporations organized under a foreign country’s law.</w:t>
      </w:r>
    </w:p>
    <w:p>
      <w:pPr>
        <w:pStyle w:val="Normal"/>
      </w:pPr>
      <w:r>
        <w:t>ANNEX III – UNITED STATES – 5 Sector: Financial Services Sub-Sector: Banking and other financial services (excluding insurance) Obligations Concerned: National Treatment (Articles 17.3.1 and 17.3.2) Market Access (Article 17.5.1(a)) Level of Government: Central Measures: 12 U.S.C. § 3104(d) Description: In order to accept or maintain domestic retail deposits of less than the standard maximum deposit insurance amount, and requiring deposit insurance protection, a foreign bank must establish an insured banking subsidiary. This requirement does not apply to a foreign bank branch that was engaged in insured deposit-taking activities on December 19, 1991.</w:t>
      </w:r>
    </w:p>
    <w:p>
      <w:pPr>
        <w:pStyle w:val="Normal"/>
      </w:pPr>
      <w:r>
        <w:t>ANNEX III – UNITED STATES – 6 Sector: Financial Services Sub-Sector: Banking and other financial services (excluding insurance) Obligations Concerned: National Treatment (Article 17.3) Level of Government: Central Measures: 15 U.S.C. §§ 80b-2 and 80b-3 Description: Foreign banks are required to register as investment advisers under the Investment Advisers Act of 1940 to engage in securities advisory and investment management services in the United States, while domestic banks (or a separately identifiable department or division of the bank) do not have to register unless they advise registered investment companies. The registration requirement involves record maintenance, inspections, submission of reports, and payment of a fee. 3 For greater certainty, “domestic banks” include U.S. bank subsidiaries of foreign banks.</w:t>
      </w:r>
    </w:p>
    <w:p>
      <w:pPr>
        <w:pStyle w:val="Normal"/>
      </w:pPr>
      <w:r>
        <w:t>ANNEX III – UNITED STATES – 7 Sector: Financial Services Sub-Sector: Banking and other financial services (excluding insurance) Obligations Concerned: National Treatment (Articles 17.3.1 and 17.3.2) Level of Government: Central Measures: 12 U.S.C. §§ 221, 302, and 321 Description: Foreign banks cannot be members of the Federal Reserve System, and thus may not vote for directors of a Federal Reserve Bank. U.S. bank subsidiaries of foreign banks are not subject to this measure.</w:t>
      </w:r>
    </w:p>
    <w:p>
      <w:pPr>
        <w:pStyle w:val="Normal"/>
      </w:pPr>
      <w:r>
        <w:t>ANNEX III – UNITED STATES – 8 Sector: Financial Services Sub-Sector: Banking and other financial services (excluding insurance) Obligations Concerned: Market Access (Article 17.5.1(a)) Level of Government: Central Measures: 12 U.S.C. § 36(g) 12 U.S.C. § 1828(d)(4) 12 U.S.C. § 1831u Description: The United States undertakes no commitment with respect to Article 17.5.1(e) (Market Access) in relation to the expansion, by a foreign bank into another state from its “home state,” as that term is defined under applicable law, via: (a) the establishment of a “de novo” branch in another state; (b) the establishment of branches by merger with a bank in another state; or (c) the acquisition of one or more branches of a bank another state without the acquisition of the entire bank, in if not permitted by the state in which the resulting branch is or would be located. Except as provided elsewhere in this Schedule, such expansion shall be accorded on a national treatment basis in accordance with paragraph 2(a) of the headnote.</w:t>
      </w:r>
    </w:p>
    <w:p>
      <w:pPr>
        <w:pStyle w:val="Normal"/>
      </w:pPr>
      <w:r>
        <w:t>ANNEX III – UNITED STATES – 9 Sector: Financial Services Sub-Sector: Banking and other financial services (excluding insurance) Obligations Concerned: National Treatment (Articles 17.3.1 and 17.3.2) Market Access (Article 17.5.1(a)) Level of Government: Central Measures: 12 U.S.C. § 3102(a)(1) 12 U.S.C. § 3102(d) 12 U.S.C. § 3103(a) Description: Establishment of a federal branch or agency by a foreign bank is not available in the following states that may prohibit establishment of a branch or agency by a foreign bank: (a) branches and agencies may be Maryland, and North Dakota; and prohibited in Kansas, (b) branches, but not agencies, may be prohibited in Georgia, Missouri and Oklahoma. Certain restrictions on fiduciary powers apply to federal agencies. Note: The cited federal measures provide that certain state law restrictions apply to the establishment of federal branches or agencies.</w:t>
      </w:r>
    </w:p>
    <w:p>
      <w:pPr>
        <w:pStyle w:val="Normal"/>
      </w:pPr>
      <w:r>
        <w:t>ANNEX III – UNITED STATES – 10 Sector: Financial Services Sub-Sector: Banking and other financial services (excluding insurance) Obligations Concerned: Most-Favored-Nation Treatment (Article 17.4) Market Access (Articles 17.5.1(a), 17.5.1(b), and 17.5.1(c)) Level of Government: Central Measures: 15 U.S.C. § 77jjj(a)(1) Description: The authority to act as a sole trustee of an indenture for a bond offering in the United States is subject to a reciprocity test.</w:t>
      </w:r>
    </w:p>
    <w:p>
      <w:pPr>
        <w:pStyle w:val="Normal"/>
      </w:pPr>
      <w:r>
        <w:t>ANNEX III – UNITED STATES – 11 Sector: Financial Services Sub-Sector: Banking and other financial services (excluding insurance) Obligations Concerned: Most-Favored-Nation Treatment (Article 17.4) Market Access (Article 17.5.1(a)) Level of Government: Central Measures: 22 U.S.C. §§ 5341 and 5342 Description: Designation as a primary dealer in U.S. government debt securities is conditioned on reciprocity. A foreign-owned firm from any country that accords to United States companies the same competitive opportunities in the underwriting and distribution of government debt instruments as the country accords to a domestic company will be entitled to be designated as a primary dealer, assuming the firm meets applicable business requirements established by the Federal Reserve. If such country has entered into a Free Trade Agreement with the United States and the country has undertaken an obligation to provide national treatment for its government debt market, that fact shall be a positive factor in the consideration of such firm’s request for designation.</w:t>
      </w:r>
    </w:p>
    <w:p>
      <w:pPr>
        <w:pStyle w:val="Normal"/>
      </w:pPr>
      <w:r>
        <w:t>ANNEX III – UNITED STATES – 12 Sector: Financial Services Sub-Sector: Banking and other financial services (excluding insurance) Obligations Concerned: Most-Favored-Nation Treatment (Article 17.4) Level of Government: Central Measures: 15 U.S.C. § 78o(c) Description: A broker-dealer registered under U.S. law that has its principal place of business in Canada may maintain its required reserves in a bank in Canada subject to the supervision of Canada.</w:t>
      </w:r>
    </w:p>
    <w:p>
      <w:pPr>
        <w:pStyle w:val="Normal"/>
      </w:pPr>
      <w:r>
        <w:t>ANNEX III – UNITED STATES – 13 Sector: Financial Services Sub-Sector: Banking and other financial services (excluding insurance) Obligations Concerned: National Treatment (Article 17.3) Level of Government: Central Measures: 12 U.S.C. §§ 1421 et seq. (Federal Home Loan Banks) 12 U.S.C. §§ 1451 et seq. (Federal Home Loan Mortgage Corporation) 12 U.S.C. §§ 1717 et seq. (Federal National Mortgage Association) 12 U.S.C. §§ 2011 et seq. (Farm Credit Banks) 12 U.S.C. §§ 2279aa-1 et seq. (Federal Agricultural Mortgage Corporation) 20 U.S.C. §§ 1087-2 et seq. (Student Loan Marketing Association) Description: The United States may grant advantages, including but not limited to the following, to one or more of the Government-Sponsored Enterprises (GSEs) listed above: (a) Capital, reserves and income of the GSE are exempt from certain taxation. (b) Securities issued by the GSE are exempt from registration and periodic reporting requirements under federal securities laws. (c) The U.S. Treasury may, in its discretion, purchase obligations issued by the GSE.</w:t>
      </w:r>
    </w:p>
    <w:p>
      <w:pPr>
        <w:pStyle w:val="Normal"/>
      </w:pPr>
      <w:r>
        <w:t>ANNEX III – UNITED STATES – 14 Sector: Financial Services Sub-Sector: Banking and other financial services (excluding insurance) Obligations Concerned: National Treatment (Articles 17.3.1 and 17.3.2) Most-Favored-Nation Treatment (Article 17.4) Market Access (Article 17.5.1(a)) Senior Management and Boards of Directors (Article 17.9) Level of Government: Regional Measures: All existing non-conforming measures of all states, the District of Columbia, and Puerto Rico Description: Pursuant to the measures referred to above, some U.S. states may, among other things: (a) restrict or fail to provide an explicit mechanism for initial entry for the various juridical forms (for example, subsidiary, branch, agency, representative office) through which foreign banks may obtain a state license to conduct business activities within their territory;5 and (b) impose citizenship requirements on some or all members of the boards of directors of state- chartered depository institutions. Additionally, states may impose restrictions or conditions upon the business activities with respect to juridical form; that is, with respect to a foreign bank operating in the state as a state-licensed or state-chartered incorporated entity, branch, agency or representative office. Some of the above limitations may reflect state reciprocity requirements.</w:t>
      </w:r>
    </w:p>
    <w:p>
      <w:pPr>
        <w:pStyle w:val="Normal"/>
      </w:pPr>
      <w:r>
        <w:t>5 For the purposes of transparency, Appendix III-A sets out an illustrative, non-binding list of foreign bank structures explicitly provided for at the regional level of government.</w:t>
      </w:r>
    </w:p>
    <w:p>
      <w:pPr>
        <w:pStyle w:val="Normal"/>
      </w:pPr>
      <w:r>
        <w:t>ANNEX III – UNITED STATES – 15 Sector: Financial Services Sub-Sector: Insurance Obligations Concerned: National Treatment (Article 17.3) Market Access (Articles 17.5.1(a), 17.5.1(b), and 17.5.1(c)) Level of Government: Central Measures: 31 U.S.C. § 9304 Description: Branches of foreign insurance companies are not provide surety bonds for U.S. Government contracts. permitted to</w:t>
      </w:r>
    </w:p>
    <w:p>
      <w:pPr>
        <w:pStyle w:val="Normal"/>
      </w:pPr>
      <w:r>
        <w:t>ANNEX III – UNITED STATES – 16 Sector: Financial Services Sub-Sector: Insurance Obligations Concerned: National Treatment (Article 17.3.3) Level of Government: Central Measures: 46 C.F.R. 249.9 Description: When more than 50 percent of the value of a maritime vessel whose hull was built under federally guaranteed mortgage funds is insured by a non-U.S. insurer, the insured must demonstrate that the risk was substantially first offered in the U.S. market.</w:t>
      </w:r>
    </w:p>
    <w:p>
      <w:pPr>
        <w:pStyle w:val="Normal"/>
      </w:pPr>
      <w:r>
        <w:t>ANNEX III – UNITED STATES – 17 Sector: Financial Services Sub-Sector: Insurance Obligations Concerned: National Treatment (Article 17.3) Most-Favored-Nation Treatment (Article 17.4) Market Access (Article 17.5) Senior Management and Boards of Directors (Article 17.9) Level of Government: Regional Measures: All existing non-conforming measures of all states, the District of Columbia and Puerto Rico. For the purposes of transparency, Appendix III-B sets out an illustrative, non-binding list of non conforming measures maintained at the regional level of government.</w:t>
      </w:r>
    </w:p>
    <w:p>
      <w:pPr>
        <w:pStyle w:val="Normal"/>
      </w:pPr>
      <w:r>
        <w:t>ANNEX III – UNITED STATES – 18 APPENDIX III-A LIST OF FOREIGN BANK STRUCTURES EXPLICITLY PROVIDED FOR AT THE REGIONAL LEVEL OF GOVERNMENT Commercial Bank Ownership Branches Agencies Rep Offices Alabama Yes Yes Yes Yes Alaska Yes Yes No No Arizona No No No No Arkansas No No No No California Yes Yes Yes Yes Colorado No No No No Connecticut Yes Yes Yes Yes Delaware Yes Yes Yes Yes District of Columbia Yes Yes Yes Yes Florida No Yes Yes Yes Georgia No No Yes Yes Hawaii Yes Yes Yes Yes Idaho Yes Yes Yes Yes Illinois No Yes No Yes Indiana Yes No No No Iowa No No No No Kansas No No No No Kentucky No No No Yes Louisiana Yes Yes Yes Yes Maine Yes Yes Yes Yes Maryland No No No No Massachusetts Yes Yes Yes Yes Michigan Yes Yes Yes Yes Minnesota Yes No No Yes Mississippi Yes Yes Yes Yes Missouri Yes No Yes Yes Montana Yes No No No Nebraska No No No No Nevada Yes Yes Yes Yes New Hampshire Yes Yes Yes Yes New Jersey Yes Yes Yes Yes 6 This list provides illustrative examples for transparency purposes only;</w:t>
      </w:r>
    </w:p>
    <w:p>
      <w:pPr>
        <w:pStyle w:val="Normal"/>
      </w:pPr>
      <w:r>
        <w:t>it is neither exhaustive nor binding.</w:t>
      </w:r>
    </w:p>
    <w:p>
      <w:pPr>
        <w:pStyle w:val="Normal"/>
      </w:pPr>
      <w:r>
        <w:t>ANNEX III – UNITED STATES – 19 New Mexico No No No No New York Yes Yes Yes Yes North Carolina Yes Yes Yes Yes North Dakota No No No No Ohio Yes Yes Yes Yes Oklahoma No No Yes Yes Oregon No Yes No No Pennsylvania Yes Yes Yes Yes Puerto Rico Yes Yes Yes Yes Rhode Island Yes No No No South Carolina No No No No South Dakota No No No No Tennessee No No No No Texas Yes Yes Yes Yes Utah No Yes Yes Yes Vermont Yes Yes No No Virginia No No No No Washington No Yes Yes Yes West Virginia Yes Yes Yes Yes Wisconsin Yes No No No Wyoming No No No No</w:t>
      </w:r>
    </w:p>
    <w:p>
      <w:pPr>
        <w:pStyle w:val="Normal"/>
      </w:pPr>
      <w:r>
        <w:t>ANNEX III – UNITED STATES – 20 APPENDIX III-B ILLUSTRATIVE LIST OF U.S. REGIONAL NON-CONFORMING MEASURES AFFECTING INSURANCE Part I: Measures affecting a commercial presence Juridical Form Senior Management and Boards of Directors Government Ownership or Control Direct insurance The following states have no mechanism for licensing initial entry of a non-U.S. insurance company as a subsidiary, unless that company is already licensed in some other U.S. state: Minnesota, Mississippi and Tennessee. The following states have no mechanism for licensing initial entry of a non-U.S. insurance company as a branch, unless that company is already licensed in some other U.S. state: Arkansas, Arizona, Connecticut, Georgia, Kansas, Maryland, Minnesota, Nebraska, New Jersey, North Carolina, Tennessee, Vermont, and Wyoming. Citizenship requirement (for board of directors): Louisiana, Washington, Oklahoma, Pennsylvania, California, Florida, Georgia, Idaho, Indiana, Mississippi, Oregon, New York, South Dakota, Wyoming, Tennessee, Illinois, and Missouri. Citizenship requirement (for incorporators): Hawaii, Idaho, Indiana, South Dakota, Washington, Georgia, Alaska, Florida, Kansas, Kentucky, Maine, Missouri, Montana, Texas, and Wyoming. Residency requirement (for organizing members of mutuals): Arkansas, California; Idaho; Kansas; North Dakota, Minnesota, Mississippi, Montana, Vermont, and Wyoming.</w:t>
      </w:r>
    </w:p>
    <w:p>
      <w:pPr>
        <w:pStyle w:val="Normal"/>
      </w:pPr>
      <w:r>
        <w:t>Government-owned or  controlled insurance companies are not authorized to conduct business: Alabama, Alaska, Arkansas, California, Colorado, Connecticut, Delaware, Georgia, Hawaii, Idaho, Kansas, Kentucky, Maine, Maryland, Montana, Nevada, New Jersey, New York, North Carolina, North Dakota, Oklahoma, Oregon, Rhode Island, South Dakota, Tennessee, Washington, and Wyoming. 7 This list is provided for transparency purposes only, and is neither exhaustive nor binding.</w:t>
      </w:r>
    </w:p>
    <w:p>
      <w:pPr>
        <w:pStyle w:val="Normal"/>
      </w:pPr>
      <w:r>
        <w:t>ANNEX III – UNITED STATES – 21 Part I: Measures affecting a commercial presence Juridical Form Senior Management and Boards of Directors Government Ownership or Control Direct Insurance Citizenship/residency (continued) requirement (for organizers of fraternal benefit societies): Alaska, Arizona, Arkansas, California, Delaware, Florida, Hawaii, Idaho, Illinois, Indiana, Iowa, Kansas, Kentucky, Maine, Maryland, Michigan, Minnesota, Mississippi, Missouri, Montana, Nebraska, New Jersey, North Dakota, Oklahoma, Oregon, Pennsylvania, South Dakota, Virginia, Vermont, Washington, West Virginia, and Wyoming. Residency requirement (for organizers of domestic reciprocal insurers): Arizona, Arkansas, California, Delaware, Georgia, Idaho, Indiana, Kentucky, Maine, Maryland, Mississippi, Montana, Pennsylvania, South Dakota, Tennessee, Virginia, Washington, and Wyoming.</w:t>
      </w:r>
    </w:p>
    <w:p>
      <w:pPr>
        <w:pStyle w:val="Normal"/>
      </w:pPr>
      <w:r>
        <w:t>ANNEX III – UNITED STATES – 22 Part I: Measures affecting a commercial presence Juridical Form Senior Management and Boards of Directors Government Ownership or Control Reinsurance The following states Government-owned or  and retrocession have no mechanism for licensing initial entry of a non-U.S. insurance company as a subsidiary, unless that company is already licensed in some other U.S. state: Maryland, Minnesota, and Mississippi. The following states have no mechanism for licensing initial entry of a non-U.S. insurance company as a branch, unless that company is already licensed in some other U.S. state: Arkansas, Arizona, Connecticut, Georgia, Kansas, Maryland, Minnesota, Nebraska, New Jersey, North Carolina, Pennsylvania, Tennessee, Vermont, and Wyoming. controlled insurance companies are not authorized to conduct business: Alabama, Alaska, Arkansas, Colorado, Connecticut, Delaware, Georgia, Hawaii, Idaho, Kansas, Kentucky, Maine, Maryland, Montana, Nevada, New York, North Carolina, North Dakota, Oklahoma, Oregon, Pennsylvania, Rhode Island, South Dakota, Tennessee, Washington, and Wyoming. Part II: Measures affecting a natural person Residency Citizenship Differential license fees</w:t>
      </w:r>
    </w:p>
    <w:p>
      <w:pPr>
        <w:pStyle w:val="Normal"/>
      </w:pPr>
      <w:r>
        <w:t>ANNEX III – UNITED STATES – 23 Part I: Measures affecting a commercial presence Juridical Form Senior Management and Boards of Directors Government Ownership or Control Insurance Non-resident licenses intermediation, are not issued to and services individuals not auxiliary to licensed in another insurance U.S. state in: Connecticut, Colorado, California, Delaware, Georgia, Florida, Hawaii, Illinois, Indiana, Kansas, Louisiana, Maine, Maryland, Mississippi, Montana, Nevada, New Jersey, North Dakota, Nebraska, New York, North Carolina, Oregon, Pennsylvania, South Dakota, Virginia, West Virginia, Texas, and Washington. Brokerage Residency Differential license fees services requirement: Alabama, Arkansas, California, and Louisiana. Residency requirement (for surplus lines brokers): All states except California, Idaho, Maine, Mississippi, Missouri, Nebraska, New Mexico, North Carolina, North for non- residents: Alaska, California, Colorado, Georgia, Indiana, Louisiana, Maine, Montana, New Hampshire, North Dakota, Oklahoma, Rhode Island, and Vermont.</w:t>
      </w:r>
    </w:p>
    <w:p>
      <w:pPr>
        <w:pStyle w:val="Normal"/>
      </w:pPr>
      <w:r>
        <w:t>ANNEX III – UNITED STATES – 24 Part I: Measures affecting a commercial presence Juridical Form Senior Management and Boards of Directors Government Ownership or Control Dakota, Ohio, Oregon, South Dakota, Texas, Vermont, West Virginia, and Wyoming. Agency services Residency requirement: California, Florida, Kansas, Louisiana, Oregon, Rhode Island, and Texas. Residency requirement (for surplus lines brokers): All states except Alaska, Arkansas, Florida, Idaho, Kentucky, Louisiana, Nevada, New Mexico, Ohio, Oregon, South Dakota, Texas, West Virginia, and Wyoming. Differential license fees for non- residents: Alaska, California, Colorado, Indiana, Iowa, Kansas, Kentucky, Louisiana, Maine, Mississippi, Montana, New Hampshire, New Jersey, North Dakota, Oklahoma, Rhode Island, South Dakota, Tennessee, Vermont, Wisconsin, and Wyoming.</w:t>
      </w:r>
    </w:p>
    <w:p>
      <w:pPr>
        <w:pStyle w:val="Normal"/>
      </w:pPr>
      <w:r>
        <w:t>ANNEX III – UNITED STATES – 25 Part I: Measures affecting a commercial presence Juridical Form Senior Management and Boards of Directors Government Ownership or Control Consultancy, Residency Citizenship actuarial, risk requirement: requirement: Alabama, assessment, Alabama, California, Missouri, New Mexico, and claim Florida, Georgia, and Oklahoma. settlement Indiana, Illinois, services Kentucky, Maryland, Michigan, Mississippi, Montana, Nevada, North Carolina, Oklahoma, Oregon, Pennsylvania, and Washington.</w:t>
      </w:r>
    </w:p>
    <w:p>
      <w:pPr>
        <w:pStyle w:val="Heading1"/>
      </w:pPr>
      <w:bookmarkStart w:id="901540" w:name="_Toc300001539"/>
      <w:r>
        <w:t>ANNEX III – UNITED STATES – 26</w:t>
      </w:r>
      <w:bookmarkEnd w:id="901540"/>
    </w:p>
    <w:p>
      <w:pPr>
        <w:pStyle w:val="Normal"/>
      </w:pPr>
      <w:r>
        <w:t>ANNEX III Section B Sector: Financial Services Sub-Sector: Banking and other financial services (excluding insurance) Obligations Concerned: National Treatment (Article 17.3) Level of Government: Central Description: With regard to the Federal Home Loan Banks, Federal Home Loan Mortgage Corporation and Federal National Mortgage Association, the United States reserves the right to adopt or maintain measures that grant advantages, including those described in the entry on page Annex III – US – 14 to that entity, or any new, reorganized or transferee entity with similar functions and objectives with respect to housing finance. Existing Measures: 12 U.S.C. §§ 1421 et seq. (Federal Home Loan Banks) 12 U.S.C. §§ 1451 et seq. (Federal Home Loan Mortgage Corporation) 12 U.S.C. §§ 1717 et seq. (Federal National Mortgage Association)</w:t>
      </w:r>
    </w:p>
    <w:p>
      <w:pPr>
        <w:pStyle w:val="Normal"/>
      </w:pPr>
      <w:r>
        <w:t>ANNEX III – UNITED STATES – 27 Sector: Financial Services Sub-Sector: Banking and other financial services (excluding insurance) Obligations Concerned: Cross-Border Trade Standstill (Article 17.6) Level of Government: Central Regional Description: With respect to Canada, the United States reserves the right to adopt or maintain any measure relating to cross-border trade in securities and derivatives services.</w:t>
      </w:r>
    </w:p>
    <w:p>
      <w:pPr>
        <w:pStyle w:val="Heading1"/>
      </w:pPr>
      <w:bookmarkStart w:id="901541" w:name="_Toc300001540"/>
      <w:r>
        <w:t>ANNEX III – UNITED STATES – 28</w:t>
      </w:r>
      <w:bookmarkEnd w:id="901541"/>
    </w:p>
    <w:p>
      <w:pPr>
        <w:pStyle w:val="Normal"/>
      </w:pPr>
      <w:r>
        <w:t>ANNEX IV NON-CONFORMING ACTIVITIES EXPLANATORY NOTE 1. The Schedule of a Party to this Annex sets out, pursuant to Article 22.9.1 (Party-Specific Annexes), the non-conforming activities of a state-owned enterprise or designated monopoly, with respect to which some or all of the following obligations shall not apply: (a) Article 22.4 (Non-Discriminatory Treatment and Commercial Considerations); and (b) Article 22.6 (Non-Commercial Assistance). 2. Each Schedule entry sets out the following elements: (a) Obligations Concerned specifies the obligations referred to in paragraph 1 that, pursuant to Article 22.9.1 (Party-Specific Annexes), shall not apply to the non conforming activities of the state-owned enterprises or designated monopoly, as set out in paragraph 3; (b) Entity identifies the state-owned enterprise or designated monopoly that undertakes the non-conforming activities for which the entry is made; (c) Scope of Non-conforming Activities provides a description of the scope of non conforming activities of the state-owned enterprise or designated monopoly for which the entry is made; and (d) Measures identifies, for transparency purposes, a non-exhaustive list of the laws, regulations, or other measures pursuant to which the state-owned enterprise or designated monopoly engages in the non-conforming activities for which the entry is made. 3.</w:t>
      </w:r>
    </w:p>
    <w:p>
      <w:pPr>
        <w:pStyle w:val="Normal"/>
      </w:pPr>
      <w:r>
        <w:t>In accordance with Article 22.9.1 (Party-Specific Annexes), the articles of this Agreement specified in the Obligations Concerned element of an entry shall not apply to the non-conforming activities (identified in the Scope of Non-conforming Activities element of that entry) of the state-owned enterprise or designated monopoly (identified in the Entity element of that entry).</w:t>
      </w:r>
    </w:p>
    <w:p>
      <w:pPr>
        <w:pStyle w:val="Normal"/>
      </w:pPr>
      <w:r>
        <w:t>ANNEX IV – EXPLANATORY NOTE – 1 SCHEDULE OF CANADA Obligations Concerned: Article 22.6.4(b) (Non-Commercial Assistance) Article 22.6.4(c) (Non-Commercial Assistance) Article 22.6.5(b) (Non-Commercial Assistance) Article 22.6.5(c) (Non-Commercial Assistance) Entity: Bridge Authorities that manage international crossings, or any new, reorganized, or transferee enterprise, with similar functions and objectives. The Bridge Authorities that currently manage international crossings are the Federal Bridge Corporation Limited and the Windsor-Detroit Bridge Authority. Scope of Non- Canada, its state enterprises, or state-owned enterprises may Conforming Activities: provide the Entity or Entities with appropriations or assistance from funding programs to manage international crossings, including the design, construction, operation, and maintenance of the Entity or Entities’ crossings and any related infrastructure, to the extent that this involves the supply of services from the territory of Canada into the territory of another Party, or through an enterprise that is a covered investment in the territory of that other Party or any other Party. Measures: International Bridges and Tunnels Act, S.C. 2007, c. 1 (and regulations thereof) And including any future amendments.</w:t>
      </w:r>
    </w:p>
    <w:p>
      <w:pPr>
        <w:pStyle w:val="Normal"/>
      </w:pPr>
      <w:r>
        <w:t>ANNEX IV – CANADA – 1 Obligations Concerned: Article 22.4.1(a) (Non-Discriminatory Treatment and Commercial Considerations) Article 22.4.1(c)(i) (Non-Discriminatory Treatment and Commercial Considerations) Article 22.6.4(b) (Non-Commercial Assistance) Entity: Canadian Commercial Corporation, or any new, reorganized, or transferee enterprise, with similar functions and objectives. Scope of Non- With respect to Article 22.4.1(a) (Non-Discriminatory Treatment Conforming Activities: and Commercial Considerations), the Entity or Entities may restrict the sale of services associated with facilitating the import or export of goods or services to enterprises located within Canada as set out in applicable laws, regulations, policies, and practices. With respect to Article 22.4.1(c)(i) (Non-Discriminatory Treatment and Commercial Considerations), the Entity or Entities may accord preferences in the sale of services associated with facilitating the import or export of goods or services to or from certain countries based on bilateral arrangements with the relevant country. With respect to Article 22.6.4(b) (Non-Commercial Assistance), Canada may provide the Entity or Entities with non-commercial assistance with respect to its supply of a service from Canada into the territory of another Party associated with facilitating the import or export of goods and services, as set out in applicable laws, regulations, and policies. Measures: Canadian Commercial Corporation Act, R.S.C. 1985, c.</w:t>
      </w:r>
    </w:p>
    <w:p>
      <w:pPr>
        <w:pStyle w:val="Normal"/>
      </w:pPr>
      <w:r>
        <w:t>C-14 (and regulations thereof) And including any future amendments.</w:t>
      </w:r>
    </w:p>
    <w:p>
      <w:pPr>
        <w:pStyle w:val="Normal"/>
      </w:pPr>
      <w:r>
        <w:t>ANNEX IV – CANADA – 2 Obligations Concerned: Entity: Scope of Non- Conforming Activities: Article 22.6.1(a) (Non-Commercial Assistance) Article 22.6.1(c) (Non-Commercial Assistance) Article 22.6.2 (Non-Commercial Assistance) Article 22.6.3 (Non-Commercial Assistance) Article 22.6.4(a) (Non-Commercial Assistance) Article 22.6.4(b) (Non-Commercial Assistance) Canadian Dairy Commission, or any new, reorganized, or transferee enterprise, with similar functions and objectives. With respect to Article 22.6.1(a) (Non-Commercial Assistance), the Entity or Entities may receive non-commercial assistance with respect to loans or loan guarantees, in circumstances that jeopardize the continued viability of the recipient enterprise, and for the sole purpose of enabling the enterprise to return to viability and fulfil its mandate pursuant to the Canadian Dairy Commission Act. With respect to Article 22.6.1(c) (Non-Commercial Assistance), Canada may provide non-commercial assistance to the Entity or Entities with respect to the conversion of debt to equity, in circumstances that jeopardize the continued viability of the recipient enterprise, and for the sole purpose of enabling the enterprise to return to viability and fulfil its mandate pursuant to the Canadian Dairy Commission Act. With respect to Article 22.6.2 (Non-Commercial Assistance), Canada may provide the Entity or Entities with non-commercial assistance referred to in Article 22.6.1(c).</w:t>
      </w:r>
    </w:p>
    <w:p>
      <w:pPr>
        <w:pStyle w:val="Normal"/>
      </w:pPr>
      <w:r>
        <w:t>With respect to Article 22.6.3 (Non-Commercial Assistance), the Entity or Entities may provide Canada’s state-owned enterprises with non-commercial assistance referred to in Article 22.6.1(a), or Article 22.6.1(c). With respect to Article 22.6.4(a) (Non-Commercial Assistance), Canada may provide the Entity or Entities with non-commercial assistance that may cause adverse effects to the interests of another Party with respect to the production and sale of dairy products in the territory of Canada pursuant to the Canadian Dairy Commission Act. With respect to Article 22.6.4(b) (Non-Commercial Assistance), Canada may provide the Entity or Entities with non-commercial</w:t>
      </w:r>
    </w:p>
    <w:p>
      <w:pPr>
        <w:pStyle w:val="Normal"/>
      </w:pPr>
      <w:r>
        <w:t>ANNEX IV – CANADA – 3 assistance that may cause adverse effects to the interests of another Party regarding services related to the cross-border trade of dairy products (export and import) such as shipping, insuring, and wholesale trade and distribution, pursuant to the Canadian Dairy Commission Act. Measures: Canadian Dairy Commission Act, R.S.C. 1985, c. C-15 (and regulations thereof) And including any future amendments.</w:t>
      </w:r>
    </w:p>
    <w:p>
      <w:pPr>
        <w:pStyle w:val="Normal"/>
      </w:pPr>
      <w:r>
        <w:t>ANNEX IV – CANADA – 4 Obligations Concerned: Entity: Scope of Non- Conforming Activities: Article 22.4.1(a) (Non-Discriminatory Treatment and Commercial Considerations) Article 22.4.1(b)(i) (Non-Discriminatory Treatment and Commercial Considerations) Article 22.4.1(c)(i) (Non-Discriminatory Treatment and Commercial Considerations) Article 22.6.4(b) (Non-Commercial Assistance) Canada Mortgage and Housing Corporation and Canada Housing Trusts, or any new, reorganized, or transferee enterprise, with similar functions and objectives. With respect to Article 22.4.1(a) (Non-Discriminatory Treatment and Commercial Considerations), the Entity or Entities may take into account factors other than commercial considerations in the provision of financial or housing-related services such as: (a) guarantees, mortgage insurance, loans, and mortgage- backed securities; and (b) management of nursing homes, retirement homes, on- reserve and rental housing, and ancillary infrastructure, in furtherance of the mandate to support housing needs and housing affordability in Canada as set out in laws, regulations, policies, or programs.</w:t>
      </w:r>
    </w:p>
    <w:p>
      <w:pPr>
        <w:pStyle w:val="Normal"/>
      </w:pPr>
      <w:r>
        <w:t>With respect to Article 22.4.1(b)(i) and Article 22.4.1(c)(i) (Non-Discriminatory Treatment and Commercial Considerations), and as set out in applicable laws, regulations, policies, or programs, the Entity or Entities may: (a) provide financial or housing-related services such as mortgage insurance, loans, and advisory services only to enterprises in Canada or provide such services to enterprises in certain other countries; and (b) purchase financial or housing-related services from enterprises in certain other countries. With respect to Article 22.6.4(b) (Non-Commercial Assistance), Canada may provide the Entity or Entities with non-commercial assistance with respect to its supply of</w:t>
      </w:r>
    </w:p>
    <w:p>
      <w:pPr>
        <w:pStyle w:val="Normal"/>
      </w:pPr>
      <w:r>
        <w:t>ANNEX IV – CANADA – 5 financial or housing-related services from Canada into the territory of another Party as set out in applicable laws, regulations, policies, or programs. Measures: Canada Mortgage and Housing Corporation Act, R.S.C. 1985, (and regulations thereof) And including any future amendments. c. C-7 National Housing Act, R.S.C. 1985, c. N-11</w:t>
      </w:r>
    </w:p>
    <w:p>
      <w:pPr>
        <w:pStyle w:val="Normal"/>
      </w:pPr>
      <w:r>
        <w:t>ANNEX IV – CANADA – 6 Obligations Concerned: Entity: Scope of Non- Conforming Activities: Article 22.6.1(b) (Non-Commercial Assistance) Article 22.6.1(c) (Non-Commercial Assistance) Article 22.6.2 (Non-Commercial Assistance) Article 22.6.4(b) (Non-Commercial Assistance) Article 22.6.4(c) (Non-Commercial Assistance) Trans Mountain Corporation, or any new, reorganized, or transferee enterprise, with similar functions and objectives. With respect to Article 22.6.1(b) and Article 22.6.2 (Non- Commercial Assistance), Canada may provide the Entity or Entities with non-commercial assistance, in circumstances that jeopardize the continued viability of the recipient enterprise, and for the sole purpose of enabling the enterprise to return to viability and fulfil its mandate. Canada may provide this assistance until either the privatization of the Entity or Entities occurs or ten years has elapsed from the date of entry into force of this Agreement, whichever is earlier. With respect to Article 22.6.1(c) and Article 22.6.2 (Non- Commercial Assistance), Canada may provide the Entity or Entities with non-commercial assistance with respect to the conversion of debt to equity, in circumstances that jeopardize the continued viability of the recipient enterprise, and for the sole purpose of enabling the enterprise to return to viability and fulfil its mandate.</w:t>
      </w:r>
    </w:p>
    <w:p>
      <w:pPr>
        <w:pStyle w:val="Normal"/>
      </w:pPr>
      <w:r>
        <w:t>Canada may provide this assistance until either the privatization of the Entity or Entities occurs or ten years has elapsed from the date of entry into force of this Agreement, whichever is earlier. With respect to Article 22.6.4(b)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from the territory of Canada into the territory of another Party. With respect to Article 22.6.4(c)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in the territory of another Party through an enterprise</w:t>
      </w:r>
    </w:p>
    <w:p>
      <w:pPr>
        <w:pStyle w:val="Normal"/>
      </w:pPr>
      <w:r>
        <w:t>ANNEX IV – CANADA – 7 that is a covered investment in the territory of that other Party or any other Party. Measures: Canada Business Corporations Act, R.S.C. 1985, c. C-44 (and regulations thereof) And including any future amendments. Entity: All existing and future state-owned enterprises Scope of Non- With respect to Article 22.4.1(a) (Non-Discriminatory Treatment Conforming Activities: and Commercial Considerations), the Entity or Entities may accord more favorable treatment to aboriginal persons and organizations in the purchase of a good or service. With respect to Article 22.4.1(b) (Non-Discriminatory Treatment and Commercial Considerations), the Entity or Entities may accord more favorable treatment to aboriginal persons and organizations in the purchase of a good or service. Measures: Constitution Act, 1982, being Schedule B of the Canada Act 1982 (U.K.), 1982, c. 11</w:t>
      </w:r>
    </w:p>
    <w:p>
      <w:pPr>
        <w:pStyle w:val="Normal"/>
      </w:pPr>
      <w:r>
        <w:t>ANNEX IV – CANADA – 8 Obligations Concerned: Entity: Scope of Non- Conforming Activities: SCHEDULE OF MEXICO Article 22.4.1(a) (Non-Discriminatory Treatment and Commercial Considerations), Article 22.4.1(b), and Article 22.4.1(c) Article 22.6.4(b) (Non-Commercial Assistance) Article 22.6.5(b) (Non-Commercial Assistance) Banco Nacional de Obras y Servicios Públicos, S.N.C., or any new, reorganized, or successor enterprise, with similar functions and objectives. The purpose of the Entity, as a development bank, is to finance or refinance projects that are directly or indirectly related to public or private investment in infrastructure and public services, and supporting the institutional strengthening of the Government (Federal, State, and Municipal levels).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pPr>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for banking services in order to comply with the Entity’s purpose referred to in the first paragraph above and pursuant to considerations consistent with its laws and regulations.</w:t>
      </w:r>
    </w:p>
    <w:p>
      <w:pPr>
        <w:pStyle w:val="Normal"/>
      </w:pPr>
      <w:r>
        <w:t>ANNEX IV – MEXICO – 1 The services provided by the Entity are not intended to displace or impede financial services provided by privately owned enterprises from the relevant market. Measures: Ley de Instituciones de Crédito, Articles 30 to 44 Bis 2, 46, 46 Bis 1, 47, and 75. Ley Orgánica del Banco Nacional de Obras y Servicios Públicos, Articles 2, 3, 4, 6, 7, 8, 11, 29, and 31. Disposiciones de Carácter General Aplicables a las Instituciones de Crédito, Chapter XI.</w:t>
      </w:r>
    </w:p>
    <w:p>
      <w:pPr>
        <w:pStyle w:val="Normal"/>
      </w:pPr>
      <w:r>
        <w:t>ANNEX IV – MEXICO – 2 Obligations Concerned: Entity: Scope of Non- Conforming Activities: Article 22.4.1(a) (Non-Discriminatory Treatment and Commercial Considerations), Article 22.4.1(b), and Article 22.4.1(c) Article 22.6.4(b) (Non-Commercial Assistance) Article 22.6.5(b) (Non-Commercial Assistance) Banco del Ahorro Nacional y Servicios Financieros, S.N.C., or any new, reorganized or successor enterprise, with similar functions and objectives. The purpose of the Entity, as a development bank, is to promote savings, financing, and investment among the members of the Banking sector, offer financial services and instruments among such members, and channel financial and technical aids that are necessary to promote savings habits and sound development of the Banking sector.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pPr>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w:t>
      </w:r>
    </w:p>
    <w:p>
      <w:pPr>
        <w:pStyle w:val="Normal"/>
      </w:pPr>
      <w:r>
        <w:t>ANNEX IV – MEXICO – 3 displace or impede financial services provided by privately</w:t>
      </w:r>
    </w:p>
    <w:p>
      <w:pPr>
        <w:pStyle w:val="Normal"/>
      </w:pPr>
      <w:r>
        <w:t>ANNEX IV – MEXICO – 4 owned enterprises from the relevant market. Measures: Ley de Instituciones de Crédito, Articles 30 to 44 Bis 2, 46, 46 Bis 1, 47, and 75. Ley Orgánica del Banco del Ahorro Nacional y Servicios Financieros, Articles 3, 4, 7, 8, 10, 32, and 36. Disposiciones de Carácter General Aplicables a las Instituciones de Crédito, Chapter XI.</w:t>
      </w:r>
    </w:p>
    <w:p>
      <w:pPr>
        <w:pStyle w:val="Normal"/>
      </w:pPr>
      <w:r>
        <w:t>ANNEX IV – MEXICO – 5 Obligations Concerned: Entity: Scope of Non-Conforming Activities: Article 22.4.1(a) (Non-Discriminatory Treatment and Commercial Considerations), Article 22.4.1(b), and Article 22.4.1(c) Article 22.6.4(b) (Non-Commercial Assistance) Article 22.6.5(b) (Non-Commercial Assistance) Banco Nacional del Ejército, Fuerza Aérea y Armada, S.N.C., or any new, reorganized or successor enterprise, with similar functions and objectives. The purpose of the Entity, as a development bank, is to grant financial aid mainly to the members of the Mexican Army, Air Force, and Navy.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pPr>
        <w:pStyle w:val="Normal"/>
      </w:pPr>
      <w: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 Measures: Ley de Instituciones de Crédito, Articles 30 to 44 Bis 2, 46,</w:t>
      </w:r>
    </w:p>
    <w:p>
      <w:pPr>
        <w:pStyle w:val="Normal"/>
      </w:pPr>
      <w:r>
        <w:t>ANNEX IV – MEXICO – 6 46 Bis 1, 47, and 75.</w:t>
      </w:r>
    </w:p>
    <w:p>
      <w:pPr>
        <w:pStyle w:val="Normal"/>
      </w:pPr>
      <w:r>
        <w:t>ANNEX IV – MEXICO – 7 Ley Orgánica del Banco Nacional del Ejército, Fuerza Aérea y Armada, Articles 2, 3, 4, 6, 7, 9, and 52. Disposiciones de Carácter General Aplicables a las Instituciones de Crédito, Chapter XI.</w:t>
      </w:r>
    </w:p>
    <w:p>
      <w:pPr>
        <w:pStyle w:val="Normal"/>
      </w:pPr>
      <w:r>
        <w:t>ANNEX IV – MEXICO – 8 Obligations Concerned: Entity: Scope of Non- Conforming Activities: Article 22.4.1(a) (Non-Discriminatory Treatment and Commercial Considerations), Article 22.4.1(b), and Article 22.4.1(c) Article 22.6.4(b) (Non-Commercial Assistance) Article 22.6.5(b) (Non-Commercial Assistance) Nacional Financiera, S.N.C., or any new, reorganized or successor enterprise, with similar functions and objectives. The purpose of the Entity, as a development bank, is to promote savings and investment, and to channel financial and technical resources for the industrial development and national and regional economic development.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pPr>
        <w:pStyle w:val="Normal"/>
      </w:pPr>
      <w: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 Measures: Ley de Instituciones de Crédito, Articles 30 to 44 Bis 2, 46,</w:t>
      </w:r>
    </w:p>
    <w:p>
      <w:pPr>
        <w:pStyle w:val="Normal"/>
      </w:pPr>
      <w:r>
        <w:t>ANNEX IV – MEXICO – 9 46 Bis 1, 47, and 75.</w:t>
      </w:r>
    </w:p>
    <w:p>
      <w:pPr>
        <w:pStyle w:val="Normal"/>
      </w:pPr>
      <w:r>
        <w:t>ANNEX IV – MEXICO – 10 Ley Orgánica de Nacional Financiera, Articles 2, 3, 5, 6, 10, 29, 30, 32, 33, and 36. Disposiciones de Carácter General Aplicables a las Instituciones de Crédito, Chapter XI.</w:t>
      </w:r>
    </w:p>
    <w:p>
      <w:pPr>
        <w:pStyle w:val="Normal"/>
      </w:pPr>
      <w:r>
        <w:t>ANNEX IV – MEXICO – 11 Obligations Concerned: Entity: Scope of Non- Conforming Activities: Article 22.4.1(a) (Non-Discriminatory Treatment and Commercial Considerations), Article 22.4.1(b), and Article 22.4.1(c) Article 22.6.4(b) (Non-Commercial Assistance) Article 22.6.5(b) (Non-Commercial Assistance) Sociedad Hipotecaria Federal, S.N.C, or any new, reorganized or successor enterprise, with similar functions and objectives. The purpose of the Entity, as a development bank, is to foster the development of primary and secondary mortgage markets, by granting credit and guarantees for the construction, acquisition, and improvement of housing, preferably social interest housing, as well as increase production capacity and technological development related to housing. It could also guarantee funding related to the equipment of housing complexes.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pPr>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in order to provide banking services in order to comply with the Entity’s purpose referred to in the first paragraph above and pursuant to considerations consistent with its laws and regulations.</w:t>
      </w:r>
    </w:p>
    <w:p>
      <w:pPr>
        <w:pStyle w:val="Normal"/>
      </w:pPr>
      <w:r>
        <w:t>ANNEX IV – MEXICO – 12 The services provided by the Entity are not intended to</w:t>
      </w:r>
    </w:p>
    <w:p>
      <w:pPr>
        <w:pStyle w:val="Normal"/>
      </w:pPr>
      <w:r>
        <w:t>ANNEX IV – MEXICO – 13 displace or impede financial services provided by privately owned enterprises from the relevant market. Measures: Ley de Instituciones de Crédito, Articles 30 to 44 Bis 2, 46, 46 Bis 1, 47, and 75. Ley Orgánica de Sociedad Hipotecaria Federal, Articles 2, 4, 5, 8, 8 Bis, 24 Bis, 24 Ter, and 28. Disposiciones de Carácter General Aplicables a las Instituciones de Crédito, Chapter XI.</w:t>
      </w:r>
    </w:p>
    <w:p>
      <w:pPr>
        <w:pStyle w:val="Normal"/>
      </w:pPr>
      <w:r>
        <w:t>ANNEX IV – MEXICO – 10 SCHEDULE OF THE UNITED STATES OF AMERICA Obligations Concerned: Entity: Scope of Non- Conforming Activities: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 Federal National Mortgage Association, Federal Home Loan Mortgage Corporation, and the Government National Mortgage Association, or any new, reorganized or transferee enterprises, with similar functions and objectives. With respect to Article 22.4.1(a) (Non-Discriminatory Treatment and Commercial Considerations) and Article 22.6.4(b) (Non-Commercial Assistance), to facilitate housing finance in the United States, the Entity, pursuant to considerations, consistent with laws and regulations: (a) purchases, sells, or trades single-family, multi-family, and commercial mortgage loans, and assets underlying these loans as a consequence of foreclosure or a similar action in connection with defaulted debt; (b) issues mortgage-backed securities and direct debt or other obligations related to risks associated with those securities; (c) guarantees or insures the timely payment of principal and interest on mortgage-backed securities; (d) administers payments associated with mortgage- backed securities; and (e) purchases, sells, or trades mortgage-backed</w:t>
      </w:r>
    </w:p>
    <w:p>
      <w:pPr>
        <w:pStyle w:val="Normal"/>
      </w:pPr>
      <w:r>
        <w:t>securities and direct debt or other obligations related to risks associated with those securities. With respect to Article 22.4.1(c)(i) (Non-Discriminatory Treatment and Commercial Considerations), to facilitate</w:t>
      </w:r>
    </w:p>
    <w:p>
      <w:pPr>
        <w:pStyle w:val="Normal"/>
      </w:pPr>
      <w:r>
        <w:t>ANNEX IV – UNITED STATES – 1 housing finance in the United States, the Entity may, in certain circumstances, pursuant to considerations consistent with laws and regulations such as 12 U.S.C. 1451-1459 and 12 U.S.C. 1763-1723i: (a) purchase, sell, trade single-family, multi-family, and commercial mortgage loans, and assets underlying such loans as a consequence of foreclosure or a similar action in connection with defaulted debt, and administer payments associated with such loans or assets, only with enterprises in the territory of the United States; and (b) guarantee or insure the timely payment of principal and interest only on mortgage-backed securities that are issued by enterprises in the territory of the United States. The scope of non-conforming activities listed with respect to Article 22.4.1(a) and Article 22.4.1(c)(i) (Non-Discriminatory Treatment and Commercial Considerations) includes the purchase of associated financial services. Measures: 12 U.S.C. 1451-1459 12 U.S.C. 1716-1723i</w:t>
      </w:r>
    </w:p>
    <w:p>
      <w:pPr>
        <w:pStyle w:val="Normal"/>
      </w:pPr>
      <w:r>
        <w:t>ANNEX IV – UNITED STATES – 2 Obligations Concerned: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 Entity: Federal Financing Bank, or any new, reorganized, or transferee enterprise, with similar functions and objectives. Scope of Non- With respect to Article 22.4.1(a) (Non- Conforming Activities: Discriminatory Treatment and Commercial Considerations) and Article 22.6.4(b) (Non-Commercial Assistance), the Entity may, pursuant to considerations set out in laws and regulations: (a) provide loans (including through the purchase of obligations, such as bonds or notes) that are guaranteed by U.S. federal agencies or by U.S. federal government-authorized entities to (i) enterprises, or to (ii) a government of another Party; and (b) issue or sell obligations to privately owned enterprises. With respect to Article 22.4.1(c)(i) (Non-Discriminatory Treatment and Commercial Considerations), the Entity may, in certain circumstances and pursuant to considerations set out in laws and regulations: (a) provide loans (including through the purchase of obligations, such as bonds or notes) that are guaranteed by U.S. federal agencies or by U.S.</w:t>
      </w:r>
    </w:p>
    <w:p>
      <w:pPr>
        <w:pStyle w:val="Normal"/>
      </w:pPr>
      <w:r>
        <w:t>federal government-authorized entities only to (i) privately owned enterprises in the territory of the United States, (ii) enterprises in the territories of certain other countries, or (iii) governments of certain other countries as determined by the United States; and (b) issue or sell obligations only to (i) privately owned enterprises in the territory of the United States, or (ii) enterprises in the territories of certain other countries as determined by the United States.</w:t>
      </w:r>
    </w:p>
    <w:p>
      <w:pPr>
        <w:pStyle w:val="Normal"/>
      </w:pPr>
      <w:r>
        <w:t>ANNEX IV – UNITED STATES – 3 The scope of non-conforming activities listed with respect to Article 22.4.1(a) and Article 22.4.1(c)(i) (Non-Discriminatory Treatment and Commercial Considerations) includes the purchase of associated financial services. Measures: 12 U.S.C. 2285</w:t>
      </w:r>
    </w:p>
    <w:p>
      <w:pPr>
        <w:pStyle w:val="Heading1"/>
      </w:pPr>
      <w:bookmarkStart w:id="901542" w:name="_Toc300001541"/>
      <w:r>
        <w:t>ANNEX IV – UNITED STATES – 4</w:t>
      </w:r>
      <w:bookmarkEnd w:id="901542"/>
    </w:p>
    <w:p>
      <w:pPr>
        <w:pStyle w:val="Heading2"/>
      </w:pPr>
      <w:bookmarkStart w:id="901543" w:name="_Toc300001542"/>
      <w:r>
        <w:t>Article 40.25: North American Energy Capacity and Corridor Optionality</w:t>
      </w:r>
      <w:bookmarkEnd w:id="901543"/>
    </w:p>
    <w:p>
      <w:pPr>
        <w:pStyle w:val="Normal"/>
      </w:pPr>
      <w:r>
        <w:t>1. The Parties pursue measurable improvements in cross-border energy capacity, reliability, resilience, safety, market access, and emergency continuity through a portfolio of commercially, technically, environmentally, and regulatorily viable pathways.</w:t>
      </w:r>
    </w:p>
    <w:p>
      <w:pPr>
        <w:pStyle w:val="Normal"/>
      </w:pPr>
      <w:r>
        <w:t>2. The objective is functional performance rather than construction of any specifically named asset. Qualifying pathways include existing commercial projects; existing-corridor optimization; new infrastructure; transmission and interconnection; storage; terminal and refinery access; critical-mineral processing; emergency supply arrangements; environmental and safety modernization; workforce and regulatory cooperation; and validated experimental technologies.</w:t>
      </w:r>
    </w:p>
    <w:p>
      <w:pPr>
        <w:pStyle w:val="Normal"/>
      </w:pPr>
      <w:r>
        <w:t>3. The Parties preserve domestic constitutional authority, environmental review, Indigenous rights and consultation, landowner rights, safety standards, competition law, and ordinary project-specific regulatory decision-making.</w:t>
      </w:r>
    </w:p>
    <w:p>
      <w:pPr>
        <w:pStyle w:val="Heading2"/>
      </w:pPr>
      <w:bookmarkStart w:id="901544" w:name="_Toc300001543"/>
      <w:r>
        <w:t>Article 40.26: No Named-Project Obligation</w:t>
      </w:r>
      <w:bookmarkEnd w:id="901544"/>
    </w:p>
    <w:p>
      <w:pPr>
        <w:pStyle w:val="Normal"/>
      </w:pPr>
      <w:r>
        <w:t>1. Nothing in this Agreement requires a Party to approve, finance, construct, guarantee, purchase capacity from, or compel private investment in Keystone XL, Prairie Connector, or any other specifically named pipeline, transmission line, terminal, storage facility, refinery connection, or energy infrastructure project.</w:t>
      </w:r>
    </w:p>
    <w:p>
      <w:pPr>
        <w:pStyle w:val="Normal"/>
      </w:pPr>
      <w:r>
        <w:t>2. Recognition, study, facilitation, consultation, permitting review, or inclusion in a non-binding implementation register does not guarantee approval, financing, final investment decision, construction, operation, throughput, or commercial success.</w:t>
      </w:r>
    </w:p>
    <w:p>
      <w:pPr>
        <w:pStyle w:val="Normal"/>
      </w:pPr>
      <w:r>
        <w:t>3. Cancellation, commercial abandonment, financing failure, or failure to reach final investment decision for an individual privately sponsored project does not constitute non-compliance where the relevant governmental obligations have been performed and the applicable portfolio objective remains satisfied or continues through qualifying alternatives.</w:t>
      </w:r>
    </w:p>
    <w:p>
      <w:pPr>
        <w:pStyle w:val="Heading2"/>
      </w:pPr>
      <w:bookmarkStart w:id="901545" w:name="_Toc300001544"/>
      <w:r>
        <w:t>Article 40.27: Functional Equivalence and Portfolio Satisfaction</w:t>
      </w:r>
      <w:bookmarkEnd w:id="901545"/>
    </w:p>
    <w:p>
      <w:pPr>
        <w:pStyle w:val="Normal"/>
      </w:pPr>
      <w:r>
        <w:t>1. A Party satisfies an applicable energy-cooperation objective where the aggregate verified contribution of qualifying measures meets or exceeds the applicable performance threshold. No individual project, route, ownership structure, or technology class is mandatory unless the Parties expressly adopt such an obligation through the applicable amendment procedure.</w:t>
      </w:r>
    </w:p>
    <w:p>
      <w:pPr>
        <w:pStyle w:val="Normal"/>
      </w:pPr>
      <w:r>
        <w:t>2. A qualifying measure may be substituted where another measure provides materially equivalent or superior performance against the relevant objective. Substitution does not reduce environmental, safety, Indigenous, landowner, or regulatory protections.</w:t>
      </w:r>
    </w:p>
    <w:p>
      <w:pPr>
        <w:pStyle w:val="Normal"/>
      </w:pPr>
      <w:r>
        <w:t>3. Performance may be assessed across separate dimensions, including physical capacity; secure supply access; grid or fuel-system reliability; emergency resilience; environmental and safety performance; strategic-material security; workforce readiness; and verified innovation.</w:t>
      </w:r>
    </w:p>
    <w:p>
      <w:pPr>
        <w:pStyle w:val="Normal"/>
      </w:pPr>
      <w:r>
        <w:t>4. Experimental projects may earn innovation or research credit upon completion of applicable development milestones, but they do not receive physical-capacity or supply-security credit until validation demonstrates the relevant operational performance.</w:t>
      </w:r>
    </w:p>
    <w:p>
      <w:pPr>
        <w:pStyle w:val="Heading2"/>
      </w:pPr>
      <w:bookmarkStart w:id="901546" w:name="_Toc300001545"/>
      <w:r>
        <w:t>Article 40.28: Existing Corridor Capacity Enhancement</w:t>
      </w:r>
      <w:bookmarkEnd w:id="901546"/>
    </w:p>
    <w:p>
      <w:pPr>
        <w:pStyle w:val="Normal"/>
      </w:pPr>
      <w:r>
        <w:t>Qualifying capacity improvements include pump and compressor upgrades; debottlenecking; safe operating optimization; storage additions; terminal improvements; interconnections; metering and control modernization; integrity upgrades; leak detection; emergency shutdown systems; and other improvements that measurably increase usable capacity, reliability, safety, or resilience within existing lawful infrastructure.</w:t>
      </w:r>
    </w:p>
    <w:p>
      <w:pPr>
        <w:pStyle w:val="Heading2"/>
      </w:pPr>
      <w:bookmarkStart w:id="901547" w:name="_Toc300001546"/>
      <w:r>
        <w:t>Article 40.29: Predictable Cross-Border Energy Project Review</w:t>
      </w:r>
      <w:bookmarkEnd w:id="901547"/>
    </w:p>
    <w:p>
      <w:pPr>
        <w:pStyle w:val="Normal"/>
      </w:pPr>
      <w:r>
        <w:t>1. For qualifying cross-border energy projects, the Parties improve predictability through early identification of required filings, interoperable data where lawful, coordinated scheduling, transparent review clocks, and prompt notice of incomplete applications or material deficiencies.</w:t>
      </w:r>
    </w:p>
    <w:p>
      <w:pPr>
        <w:pStyle w:val="Normal"/>
      </w:pPr>
      <w:r>
        <w:t>2. Administrative coordination does not predetermine an approval outcome, waive environmental or safety law, curtail Indigenous consultation or rights, or prevent a regulator from requesting material information necessary to a lawful decision.</w:t>
      </w:r>
    </w:p>
    <w:p>
      <w:pPr>
        <w:pStyle w:val="Normal"/>
      </w:pPr>
      <w:r>
        <w:t>3. Existing regulatory agencies and the institutional architecture of this Agreement perform these functions. This Article creates no new permanent council or task force.</w:t>
      </w:r>
    </w:p>
    <w:p>
      <w:pPr>
        <w:pStyle w:val="Heading2"/>
      </w:pPr>
      <w:bookmarkStart w:id="901548" w:name="_Toc300001547"/>
      <w:r>
        <w:t>Article 40.30: Energy Security and Resilience Portfolio</w:t>
      </w:r>
      <w:bookmarkEnd w:id="901548"/>
    </w:p>
    <w:p>
      <w:pPr>
        <w:pStyle w:val="Normal"/>
      </w:pPr>
      <w:r>
        <w:t>The Parties may implement, through existing authorities and mutually agreed instruments, a portfolio that includes: emergency petroleum and fuel continuity planning; strategic storage cooperation; refinery and heavy-crude feedstock resilience; cross-border electricity interconnection; critical energy equipment reserves; physical and cyber protection of energy infrastructure; oil-spill and environmental incident response; methane and leak-reduction technology; carbon-management research; heavy-oil upgrading and diluent-efficiency research; energy data interoperability; and critical-mineral supply-chain cooperation.</w:t>
      </w:r>
    </w:p>
    <w:p>
      <w:pPr>
        <w:pStyle w:val="Heading2"/>
      </w:pPr>
      <w:bookmarkStart w:id="901549" w:name="_Toc300001548"/>
      <w:r>
        <w:t>Article 40.31: Energy Workforce and Skills Cooperation</w:t>
      </w:r>
      <w:bookmarkEnd w:id="901549"/>
    </w:p>
    <w:p>
      <w:pPr>
        <w:pStyle w:val="Normal"/>
      </w:pPr>
      <w:r>
        <w:t>The Parties may expand mutual recognition of relevant technical credentials, student and apprenticeship exchanges, regulator and technical staff exchanges, lawful temporary mobility for specialized project personnel, Indigenous energy-workforce development, and joint training in energy safety, operations, environmental protection, cybersecurity, and advanced technology. Existing Chapter 16 and domestic immigration authorities govern mobility.</w:t>
      </w:r>
    </w:p>
    <w:p>
      <w:pPr>
        <w:pStyle w:val="Heading2"/>
      </w:pPr>
      <w:bookmarkStart w:id="901550" w:name="_Toc300001549"/>
      <w:r>
        <w:t>Article 40.32: Commercial Project Window and Candidate Register</w:t>
      </w:r>
      <w:bookmarkEnd w:id="901550"/>
    </w:p>
    <w:p>
      <w:pPr>
        <w:pStyle w:val="Normal"/>
      </w:pPr>
      <w:r>
        <w:t>1. Existing energy authorities may periodically invite private, Indigenous, public, cooperative, or mixed sponsors to identify commercially supported cross-border capacity, optimization, storage, transmission, technology, or resilience opportunities.</w:t>
      </w:r>
    </w:p>
    <w:p>
      <w:pPr>
        <w:pStyle w:val="Normal"/>
      </w:pPr>
      <w:r>
        <w:t>2. The Secretariat may maintain a non-binding public Candidate Register summarizing projects whose sponsors consent to publication. Inclusion creates no preference, guarantee, endorsement, procurement obligation, or treaty compliance credit until the applicable criteria are independently verified.</w:t>
      </w:r>
    </w:p>
    <w:p>
      <w:pPr>
        <w:pStyle w:val="Normal"/>
      </w:pPr>
      <w:r>
        <w:t>3. Prairie Connector may be identified in the initial non-binding implementation record as an example of a privately sponsored cross-border capacity pathway that proposes to combine new construction with reuse of previously installed infrastructure. Its inclusion does not create a named-project obligation or finding on ultimate approval, financing, capacity, schedule, or commercial viability.</w:t>
      </w:r>
    </w:p>
    <w:p>
      <w:pPr>
        <w:pStyle w:val="Heading2"/>
      </w:pPr>
      <w:bookmarkStart w:id="901551" w:name="_Toc300001550"/>
      <w:r>
        <w:t>Article 40.33: Energy Sovereignty and No Compulsory Project, Extraction, or Export</w:t>
      </w:r>
      <w:bookmarkEnd w:id="901551"/>
    </w:p>
    <w:p>
      <w:pPr>
        <w:pStyle w:val="Normal"/>
      </w:pPr>
      <w:r>
        <w:t>1. No Party shall be required, by reason of an energy-security, compute, infrastructure, resilience, or market-access objective under this Agreement, to authorize, revive, construct, finance, subsidize, guarantee, expropriate land for, reserve capacity for, purchase from, or confer preferential treatment on Keystone XL or any other specifically named pipeline, transmission line, generation facility, storage facility, terminal, refinery connection, data centre, desalination facility, or other energy infrastructure project.</w:t>
      </w:r>
    </w:p>
    <w:p>
      <w:pPr>
        <w:pStyle w:val="Normal"/>
      </w:pPr>
      <w:r>
        <w:t>2. A Party's refusal, failure, cancellation, non-selection, or lawful decision not to approve a particular named project shall not, by itself, constitute non-compliance, nullification or impairment, failure of reciprocity, or grounds for suspension of an unrelated benefit under this Agreement.</w:t>
      </w:r>
    </w:p>
    <w:p>
      <w:pPr>
        <w:pStyle w:val="Normal"/>
      </w:pPr>
      <w:r>
        <w:t>3. Nothing in this Chapter requires a Party to increase extraction or production of oil, gas, minerals, electricity, water, or another natural resource; alter a lawful provincial, state, territorial, or federal production policy; compel a private producer to produce; or guarantee that commercially available infrastructure will be fully utilized.</w:t>
      </w:r>
    </w:p>
    <w:p>
      <w:pPr>
        <w:pStyle w:val="Normal"/>
      </w:pPr>
      <w:r>
        <w:t>4. Nothing in this Chapter creates a compulsory export obligation. Commercial exports remain subject to applicable contracts, market conditions, domestic law, legitimate reliability and emergency measures, and the express disciplines of this Agreement.</w:t>
      </w:r>
    </w:p>
    <w:p>
      <w:pPr>
        <w:pStyle w:val="Heading2"/>
      </w:pPr>
      <w:bookmarkStart w:id="901552" w:name="_Toc300001551"/>
      <w:r>
        <w:t>Article 40.34: Functional Energy Outcome and Alternative Fulfilment Right</w:t>
      </w:r>
      <w:bookmarkEnd w:id="901552"/>
    </w:p>
    <w:p>
      <w:pPr>
        <w:pStyle w:val="Normal"/>
      </w:pPr>
      <w:r>
        <w:t>1. Where a Party has undertaken a function-based energy objective rather than an expressly named-project obligation, that Party may satisfy the objective through any qualifying portfolio of infrastructure, optimization, transmission, storage, interconnection, terminal or refinery access, efficiency, flexible load, emergency continuity, or other measures that objectively meets the agreed performance criteria.</w:t>
      </w:r>
    </w:p>
    <w:p>
      <w:pPr>
        <w:pStyle w:val="Normal"/>
      </w:pPr>
      <w:r>
        <w:t>2. A Party shall not reject a qualifying alternative solely because another route, project sponsor, technology, or named project was preferred. Disagreement concerning functional equivalence shall be assessed against the objective criteria and dimensions in Annex 40-B.</w:t>
      </w:r>
    </w:p>
    <w:p>
      <w:pPr>
        <w:pStyle w:val="Normal"/>
      </w:pPr>
      <w:r>
        <w:t>3. Functional equivalence does not waive environmental, Indigenous, landowner, safety, competition, investment-screening, or other lawful project-specific review.</w:t>
      </w:r>
    </w:p>
    <w:p>
      <w:pPr>
        <w:pStyle w:val="Heading2"/>
      </w:pPr>
      <w:bookmarkStart w:id="901553" w:name="_Toc300001552"/>
      <w:r>
        <w:t>Article 40.35: No Throughput, Purchase, or Utilization Guarantee</w:t>
      </w:r>
      <w:bookmarkEnd w:id="901553"/>
    </w:p>
    <w:p>
      <w:pPr>
        <w:pStyle w:val="Normal"/>
      </w:pPr>
      <w:r>
        <w:t>Government facilitation of commercially available capacity does not guarantee production, throughput, dispatch, private purchases, compute utilization, water offtake, project revenue, or commercial success. A Party satisfies a capacity-availability commitment by providing the verified governmental treatment and qualifying capability expressly agreed, unless a separate signed instrument expressly provides otherwise.</w:t>
      </w:r>
    </w:p>
    <w:p>
      <w:pPr>
        <w:pStyle w:val="Heading2"/>
      </w:pPr>
      <w:bookmarkStart w:id="901554" w:name="_Toc300001553"/>
      <w:r>
        <w:t>Article 40.36: Domestic Reliability, Affordability, and Incremental-Cost Protection</w:t>
      </w:r>
      <w:bookmarkEnd w:id="901554"/>
    </w:p>
    <w:p>
      <w:pPr>
        <w:pStyle w:val="Normal"/>
      </w:pPr>
      <w:r>
        <w:t>1. Cross-border electricity, compute, storage, or infrastructure cooperation shall not require a Party to accept a material deterioration in domestic grid reliability, essential-service continuity, or energy security.</w:t>
      </w:r>
    </w:p>
    <w:p>
      <w:pPr>
        <w:pStyle w:val="Normal"/>
      </w:pPr>
      <w:r>
        <w:t>2. A large incremental load receiving facilitation or public benefit under this Chapter may be required to bear an appropriate share of reasonably attributable incremental generation, transmission, interconnection, storage, backup, system-strength, or other network costs created by that load.</w:t>
      </w:r>
    </w:p>
    <w:p>
      <w:pPr>
        <w:pStyle w:val="Normal"/>
      </w:pPr>
      <w:r>
        <w:t>3. Nothing in this Agreement entitles a foreign-owned or foreign-serving energy-intensive digital facility to a residential, small-business, regulated, subsidized, or otherwise preferential electricity rate. Large-load tariffs may reflect infrastructure, reliability, congestion, opportunity, and service costs, provided nationality is not used as disguised discrimination.</w:t>
      </w:r>
    </w:p>
    <w:p>
      <w:pPr>
        <w:pStyle w:val="Normal"/>
      </w:pPr>
      <w:r>
        <w:t>4. The Parties shall seek to prevent uncompensated material cost shifting from new energy-intensive digital infrastructure to households, small businesses, public services, or existing industrial customers that do not receive a reasonably corresponding benefit.</w:t>
      </w:r>
    </w:p>
    <w:p>
      <w:pPr>
        <w:pStyle w:val="Heading2"/>
      </w:pPr>
      <w:bookmarkStart w:id="901555" w:name="_Toc300001554"/>
      <w:r>
        <w:t>Article 40.37: Effective Energy Access and Anti-Circumvention</w:t>
      </w:r>
      <w:bookmarkEnd w:id="901555"/>
    </w:p>
    <w:p>
      <w:pPr>
        <w:pStyle w:val="Normal"/>
      </w:pPr>
      <w:r>
        <w:t>1. A Party shall not formally provide a benefit under this Chapter while materially defeating that benefit through discriminatory permitting delay, interconnection administration, scheduling, transmission charges, queue management, licensing, customs treatment, or a successor measure directed at the same commercial opportunity.</w:t>
      </w:r>
    </w:p>
    <w:p>
      <w:pPr>
        <w:pStyle w:val="Normal"/>
      </w:pPr>
      <w:r>
        <w:t>2. Paragraph 1 does not prevent bona fide, generally applicable environmental, Indigenous, safety, land-use, reliability, cybersecurity, competition, investment-screening, or public-utility requirements. A finding of circumvention requires evidence that the challenged administration materially impaired the negotiated benefit and lacked a reasonable relationship to the stated legitimate objective or was applied in a materially discriminatory manner.</w:t>
      </w:r>
    </w:p>
    <w:p>
      <w:pPr>
        <w:pStyle w:val="Normal"/>
      </w:pPr>
      <w:r>
        <w:t>3. The effective-performance principles in Article 35 and the administrative-integrity provisions of this Agreement apply to this Article.</w:t>
      </w:r>
    </w:p>
    <w:p>
      <w:pPr>
        <w:pStyle w:val="Heading2"/>
      </w:pPr>
      <w:bookmarkStart w:id="901556" w:name="_Toc300001555"/>
      <w:r>
        <w:t>Article 40.38: Environmental, Indigenous, Water, and Land-Use Safeguard</w:t>
      </w:r>
      <w:bookmarkEnd w:id="901556"/>
    </w:p>
    <w:p>
      <w:pPr>
        <w:pStyle w:val="Normal"/>
      </w:pPr>
      <w:r>
        <w:t>1. Economic or energy-security value under this Chapter creates no presumption overriding environmental assessment, Indigenous consultation, accommodation or treaty rights, water protection, landowner rights, safety review, or ordinary lawful permitting.</w:t>
      </w:r>
    </w:p>
    <w:p>
      <w:pPr>
        <w:pStyle w:val="Normal"/>
      </w:pPr>
      <w:r>
        <w:t>2. Such processes shall be administered in good faith and shall not be manipulated for the purpose of frustrating a qualifying project because of the nationality of its sponsor, customer, or energy destination.</w:t>
      </w:r>
    </w:p>
    <w:p>
      <w:pPr>
        <w:pStyle w:val="Normal"/>
      </w:pPr>
      <w:r>
        <w:t>3. Nothing in this Chapter creates a right to natural water that has not entered commerce or reduces the protections of Article 41.5.</w:t>
      </w:r>
    </w:p>
    <w:p>
      <w:pPr>
        <w:pStyle w:val="Heading2"/>
      </w:pPr>
      <w:bookmarkStart w:id="901557" w:name="_Toc300001556"/>
      <w:r>
        <w:t>Article 40.39: Energy Dispute Containment and No Cross-Sector Hostage Taking</w:t>
      </w:r>
      <w:bookmarkEnd w:id="901557"/>
    </w:p>
    <w:p>
      <w:pPr>
        <w:pStyle w:val="Normal"/>
      </w:pPr>
      <w:r>
        <w:t>1. Failure to approve or proceed with a particular energy project shall not authorize tariffs, dairy restrictions, procurement restrictions, automotive measures, forestry measures, or suspension of another unrelated benefit unless an express provision of this Agreement specifically authorizes that remedy for the established violation.</w:t>
      </w:r>
    </w:p>
    <w:p>
      <w:pPr>
        <w:pStyle w:val="Normal"/>
      </w:pPr>
      <w:r>
        <w:t>2. Remedies for a Chapter 40 obligation shall be targeted, proportionate, and directed first to restoration of the impaired energy benefit. Nothing in this Article limits a remedy expressly authorized elsewhere after completion of the applicable dispute procedure.</w:t>
      </w:r>
    </w:p>
    <w:p>
      <w:pPr>
        <w:pStyle w:val="Heading2"/>
      </w:pPr>
      <w:bookmarkStart w:id="901558" w:name="_Toc300001557"/>
      <w:r>
        <w:t>Article 40.40: Energy Emergency Safe Mode</w:t>
      </w:r>
      <w:bookmarkEnd w:id="901558"/>
    </w:p>
    <w:p>
      <w:pPr>
        <w:pStyle w:val="Normal"/>
      </w:pPr>
      <w:r>
        <w:t>1. During a genuine grid emergency, natural disaster, extreme-weather event, major infrastructure failure, fuel-supply emergency, cyber incident, or comparable threat to essential supply, a Party may temporarily prioritize domestic reliability, essential services, restoration, or public safety.</w:t>
      </w:r>
    </w:p>
    <w:p>
      <w:pPr>
        <w:pStyle w:val="Normal"/>
      </w:pPr>
      <w:r>
        <w:t>2. A measure under paragraph 1 shall be no broader or longer than reasonably necessary, shall be notified promptly where circumstances permit, shall be reviewed as conditions change, and shall be withdrawn when the emergency basis materially ceases.</w:t>
      </w:r>
    </w:p>
    <w:p>
      <w:pPr>
        <w:pStyle w:val="Normal"/>
      </w:pPr>
      <w:r>
        <w:t>3. Temporary emergency action does not create a permanent reduction in another Party's negotiated access or a permanent export obligation after the emergency.</w:t>
      </w:r>
    </w:p>
    <w:p>
      <w:pPr>
        <w:pStyle w:val="Heading2"/>
      </w:pPr>
      <w:bookmarkStart w:id="901559" w:name="_Toc300001558"/>
      <w:r>
        <w:t>Article 40.41: Change of Control and Critical-Infrastructure Security</w:t>
      </w:r>
      <w:bookmarkEnd w:id="901559"/>
    </w:p>
    <w:p>
      <w:pPr>
        <w:pStyle w:val="Normal"/>
      </w:pPr>
      <w:r>
        <w:t>Where ownership or effective control of a qualifying energy, compute, water, storage, telecommunications, or related critical-infrastructure asset materially changes, a Party may conduct otherwise lawful national-security, investment-screening, cybersecurity, sanctions, or critical-infrastructure review. Such review shall be subject to the security anti-abuse, evidence, necessity, and procedural safeguards elsewhere in this Agreement.</w:t>
      </w:r>
    </w:p>
    <w:p>
      <w:pPr>
        <w:pStyle w:val="Heading2"/>
      </w:pPr>
      <w:bookmarkStart w:id="901560" w:name="_Toc300001559"/>
      <w:r>
        <w:t>Article 40.42: Energy Capacity Credit and No Double Counting</w:t>
      </w:r>
      <w:bookmarkEnd w:id="901560"/>
    </w:p>
    <w:p>
      <w:pPr>
        <w:pStyle w:val="Normal"/>
      </w:pPr>
      <w:r>
        <w:t>1. A verified unit of generation, transmission, storage, throughput, compute flexibility, emergency capacity, or other infrastructure value shall not be counted as fresh consideration for multiple negotiated exchanges where doing so would materially overstate the incremental benefit.</w:t>
      </w:r>
    </w:p>
    <w:p>
      <w:pPr>
        <w:pStyle w:val="Normal"/>
      </w:pPr>
      <w:r>
        <w:t>2. Partial allocation among multiple objectives is permitted where the allocation is transparent, quantitatively supportable, and does not cause the aggregate credited value to exceed the verified incremental capability.</w:t>
      </w:r>
    </w:p>
    <w:p>
      <w:pPr>
        <w:pStyle w:val="Heading2"/>
      </w:pPr>
      <w:bookmarkStart w:id="901561" w:name="_Toc300001560"/>
      <w:r>
        <w:t>Article 40.43: North American Integrated Energy-Compute-Water Simulation Initiative</w:t>
      </w:r>
      <w:bookmarkEnd w:id="901561"/>
    </w:p>
    <w:p>
      <w:pPr>
        <w:pStyle w:val="Normal"/>
      </w:pPr>
      <w:r>
        <w:t>1. The Parties establish a voluntary, technology-neutral simulation initiative to evaluate whether integrated energy, energy-intensive computing, water-production, thermal-management, storage, and grid-service architectures can provide commercially, technically, environmentally, and socially useful infrastructure benefits in North American conditions.</w:t>
      </w:r>
    </w:p>
    <w:p>
      <w:pPr>
        <w:pStyle w:val="Normal"/>
      </w:pPr>
      <w:r>
        <w:t>2. Canada may offer to lead or sponsor an initial software-based feasibility study and to share non-sensitive assumptions, methods, scenario results, sensitivity findings, and technical conclusions with the United States and Mexico. Participation by another Party does not imply endorsement of the architecture studied.</w:t>
      </w:r>
    </w:p>
    <w:p>
      <w:pPr>
        <w:pStyle w:val="Normal"/>
      </w:pPr>
      <w:r>
        <w:t>3. Studies should emphasize realistic operating envelopes, ordinary load variation, representative grid conditions, water and thermal performance, reasonable foreseeable contingencies, capital and operating sensitivity, and identification of components that merit further development. The purpose is opportunity-oriented feasibility assessment and iterative improvement, not a requirement to demonstrate survival under implausible combinations of simultaneous failures.</w:t>
      </w:r>
    </w:p>
    <w:p>
      <w:pPr>
        <w:pStyle w:val="Normal"/>
      </w:pPr>
      <w:r>
        <w:t>4. A favourable simulation result does not constitute physical certification, procurement approval, construction authorization, a performance guarantee, or a commitment to fund a subsequent stage.</w:t>
      </w:r>
    </w:p>
    <w:p>
      <w:pPr>
        <w:pStyle w:val="Heading2"/>
      </w:pPr>
      <w:bookmarkStart w:id="901562" w:name="_Toc300001561"/>
      <w:r>
        <w:t>Article 40.44: Reference Architectures and Technology Neutrality</w:t>
      </w:r>
      <w:bookmarkEnd w:id="901562"/>
    </w:p>
    <w:p>
      <w:pPr>
        <w:pStyle w:val="Normal"/>
      </w:pPr>
      <w:r>
        <w:t>1. A Party may nominate one or more non-binding reference architectures for software-based evaluation under Article 40.43 where the architecture is sufficiently documented to permit meaningful simulation and is relevant to integrated energy, energy-intensive computing, water, thermal-management, storage, grid-service, or related infrastructure questions.</w:t>
      </w:r>
    </w:p>
    <w:p>
      <w:pPr>
        <w:pStyle w:val="Normal"/>
      </w:pPr>
      <w:r>
        <w:t>2. A reference architecture developed outside the governmental negotiation process may be evaluated, but nomination confers no procurement preference, exclusive right, intellectual-property advantage, funding entitlement, certification, endorsement, standard-setting status, or right to subsequent demonstration or deployment.</w:t>
      </w:r>
    </w:p>
    <w:p>
      <w:pPr>
        <w:pStyle w:val="Normal"/>
      </w:pPr>
      <w:r>
        <w:t>3. Canada, the United States, and Mexico may nominate architectures satisfying published, technology-neutral eligibility criteria. Comparable candidates shall be evaluated under materially equivalent evidentiary and simulation standards appropriate to their technical characteristics.</w:t>
      </w:r>
    </w:p>
    <w:p>
      <w:pPr>
        <w:pStyle w:val="Normal"/>
      </w:pPr>
      <w:r>
        <w:t>4. No technology receives preferred status solely because it was the first reference case, appeared in an implementation record, or produced a favorable preliminary simulation. Candidate names and project-specific technical descriptions belong in non-binding implementation records rather than the operative text of this Agreement.</w:t>
      </w:r>
    </w:p>
    <w:p>
      <w:pPr>
        <w:pStyle w:val="Heading2"/>
      </w:pPr>
      <w:bookmarkStart w:id="901563" w:name="_Toc300001562"/>
      <w:r>
        <w:t>Article 40.45: Integrated Infrastructure Simulation Scope and Shared Learning</w:t>
      </w:r>
      <w:bookmarkEnd w:id="901563"/>
    </w:p>
    <w:p>
      <w:pPr>
        <w:pStyle w:val="Normal"/>
      </w:pPr>
      <w:r>
        <w:t>1. An initial study may examine representative Canadian, United States, and Mexican reference conditions where useful, including differences in climate, grid structure, electricity value, water scarcity, cooling conditions, telecommunications, industrial demand, and regulatory environment.</w:t>
      </w:r>
    </w:p>
    <w:p>
      <w:pPr>
        <w:pStyle w:val="Normal"/>
      </w:pPr>
      <w:r>
        <w:t>2. The study may evaluate integrated freshwater production, compute services, grid services, waste-heat utilization, thermal integration, storage dispatch, desalination performance, flexible digital load, and experimental salt-to-power or successor subsystems. Experimental subsystems shall be identified as such and may be modelled separately from the core architecture so that their uncertainty does not automatically determine the value of the entire integrated concept.</w:t>
      </w:r>
    </w:p>
    <w:p>
      <w:pPr>
        <w:pStyle w:val="Normal"/>
      </w:pPr>
      <w:r>
        <w:t>3. Non-sensitive results should identify assumptions, ranges, material uncertainties, promising interactions, weak points, and practical next questions. Proprietary source code, trade secrets, personal information, and security-sensitive infrastructure details need not be disclosed.</w:t>
      </w:r>
    </w:p>
    <w:p>
      <w:pPr>
        <w:pStyle w:val="Heading2"/>
      </w:pPr>
      <w:bookmarkStart w:id="901564" w:name="_Toc300001563"/>
      <w:r>
        <w:t>Article 40.46: Optional Advancement Gates for Integrated Infrastructure</w:t>
      </w:r>
      <w:bookmarkEnd w:id="901564"/>
    </w:p>
    <w:p>
      <w:pPr>
        <w:pStyle w:val="Normal"/>
      </w:pPr>
      <w:r>
        <w:t>1. Completion of a software simulation may support, but does not require, a subsequent voluntary stage such as technical peer review, component or bench testing, a limited physical demonstration, or a commercial pilot.</w:t>
      </w:r>
    </w:p>
    <w:p>
      <w:pPr>
        <w:pStyle w:val="Normal"/>
      </w:pPr>
      <w:r>
        <w:t>2. Each subsequent stage requires a new affirmative decision by the participating governments, agencies, sponsors, or investors under applicable law. A decision not to advance, or to redesign and repeat an earlier stage, does not constitute non-compliance with this Agreement.</w:t>
      </w:r>
    </w:p>
    <w:p>
      <w:pPr>
        <w:pStyle w:val="Normal"/>
      </w:pPr>
      <w:r>
        <w:t>3. Where a component underperforms, the Parties and participating sponsors may evaluate redesign, substitution, removal, or further study without treating the underperformance of one component as dispositive of an otherwise separable architecture.</w:t>
      </w:r>
    </w:p>
    <w:p>
      <w:pPr>
        <w:pStyle w:val="Heading2"/>
      </w:pPr>
      <w:bookmarkStart w:id="901565" w:name="_Toc300001564"/>
      <w:r>
        <w:t>Article 40.47: Implementation Without New Permanent Bureaucracy</w:t>
      </w:r>
      <w:bookmarkEnd w:id="901565"/>
    </w:p>
    <w:p>
      <w:pPr>
        <w:pStyle w:val="Normal"/>
      </w:pPr>
      <w:r>
        <w:t>The Grid Resilience Working Group, existing energy authorities, relevant laboratories, universities, utilities, water authorities, system operators, and other qualified institutions may implement Articles 40.33 through 40.46. No new permanent council, secretariat, procurement body, or project-approval authority is created by those Articles.</w:t>
      </w:r>
    </w:p>
    <w:p>
      <w:pPr>
        <w:pStyle w:val="Heading2"/>
      </w:pPr>
      <w:bookmarkStart w:id="901566" w:name="_Toc300001565"/>
      <w:r>
        <w:t>ANNEX 40-B: Energy Optionality and Equivalency Matrix</w:t>
      </w:r>
      <w:bookmarkEnd w:id="901566"/>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2340"/>
        <w:gridCol w:w="2340"/>
        <w:gridCol w:w="2340"/>
        <w:gridCol w:w="2339"/>
      </w:tblGrid>
      <w:tr>
        <w:trPr>
          <w:tblHeader w:val="true"/>
          <w:cantSplit w:val="true"/>
          <w:tblHeader w:val="true"/>
        </w:trPr>
        <w:tc>
          <w:tcPr>
            <w:tcW w:w="2340" w:type="dxa"/>
            <w:tcBorders>
              <w:bottom w:val="single" w:sz="6" w:space="0" w:color="546E7A"/>
            </w:tcBorders>
            <w:shd w:fill="E4E9EC" w:val="clear" w:color="auto"/>
          </w:tcPr>
          <w:p>
            <w:pPr>
              <w:pStyle w:val="TableText"/>
              <w:jc w:val="left"/>
            </w:pPr>
            <w:r>
              <w:rPr>
                <w:b/>
                <w:color w:val="37474F"/>
                <w:lang w:val="en-US" w:eastAsia="en-US" w:bidi="ar-SA"/>
              </w:rPr>
              <w:t>Pathway</w:t>
            </w:r>
          </w:p>
        </w:tc>
        <w:tc>
          <w:tcPr>
            <w:tcW w:w="2340" w:type="dxa"/>
            <w:tcBorders>
              <w:bottom w:val="single" w:sz="6" w:space="0" w:color="546E7A"/>
            </w:tcBorders>
            <w:shd w:fill="E4E9EC" w:val="clear" w:color="auto"/>
          </w:tcPr>
          <w:p>
            <w:pPr>
              <w:pStyle w:val="TableText"/>
              <w:jc w:val="left"/>
            </w:pPr>
            <w:r>
              <w:rPr>
                <w:b/>
                <w:color w:val="37474F"/>
                <w:lang w:val="en-US" w:eastAsia="en-US" w:bidi="ar-SA"/>
              </w:rPr>
              <w:t>Potential contribution</w:t>
            </w:r>
          </w:p>
        </w:tc>
        <w:tc>
          <w:tcPr>
            <w:tcW w:w="2340" w:type="dxa"/>
            <w:tcBorders>
              <w:bottom w:val="single" w:sz="6" w:space="0" w:color="546E7A"/>
            </w:tcBorders>
            <w:shd w:fill="E4E9EC" w:val="clear" w:color="auto"/>
          </w:tcPr>
          <w:p>
            <w:pPr>
              <w:pStyle w:val="TableText"/>
              <w:jc w:val="left"/>
            </w:pPr>
            <w:r>
              <w:rPr>
                <w:b/>
                <w:color w:val="37474F"/>
                <w:lang w:val="en-US" w:eastAsia="en-US" w:bidi="ar-SA"/>
              </w:rPr>
              <w:t>Verification basis</w:t>
            </w:r>
          </w:p>
        </w:tc>
        <w:tc>
          <w:tcPr>
            <w:tcW w:w="2339" w:type="dxa"/>
            <w:tcBorders>
              <w:bottom w:val="single" w:sz="6" w:space="0" w:color="546E7A"/>
            </w:tcBorders>
            <w:shd w:fill="E4E9EC" w:val="clear" w:color="auto"/>
          </w:tcPr>
          <w:p>
            <w:pPr>
              <w:pStyle w:val="TableText"/>
              <w:jc w:val="left"/>
            </w:pPr>
            <w:r>
              <w:rPr>
                <w:b/>
                <w:color w:val="37474F"/>
                <w:lang w:val="en-US" w:eastAsia="en-US" w:bidi="ar-SA"/>
              </w:rPr>
              <w:t>Treaty treatment</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Commercial cross-border pipeline or connection</w:t>
            </w:r>
          </w:p>
        </w:tc>
        <w:tc>
          <w:tcPr>
            <w:tcW w:w="2340" w:type="dxa"/>
            <w:tcMar>
              <w:top w:w="70" w:type="dxa"/>
              <w:start w:w="110" w:type="dxa"/>
              <w:bottom w:w="70" w:type="dxa"/>
              <w:end w:w="110" w:type="dxa"/>
            </w:tcMar>
          </w:tcPr>
          <w:p>
            <w:pPr>
              <w:pStyle w:val="TableText"/>
              <w:jc w:val="left"/>
            </w:pPr>
            <w:r>
              <w:rPr>
                <w:lang w:val="en-US" w:eastAsia="en-US" w:bidi="ar-SA"/>
              </w:rPr>
              <w:t>Physical capacity, U.S./Canadian/Mexican market access, supply security</w:t>
            </w:r>
          </w:p>
        </w:tc>
        <w:tc>
          <w:tcPr>
            <w:tcW w:w="2340" w:type="dxa"/>
            <w:tcMar>
              <w:top w:w="70" w:type="dxa"/>
              <w:start w:w="110" w:type="dxa"/>
              <w:bottom w:w="70" w:type="dxa"/>
              <w:end w:w="110" w:type="dxa"/>
            </w:tcMar>
          </w:tcPr>
          <w:p>
            <w:pPr>
              <w:pStyle w:val="TableText"/>
              <w:jc w:val="left"/>
            </w:pPr>
            <w:r>
              <w:rPr>
                <w:lang w:val="en-US" w:eastAsia="en-US" w:bidi="ar-SA"/>
              </w:rPr>
              <w:t>Permitted/authorized status, completed capacity, contracted service, verified operations</w:t>
            </w:r>
          </w:p>
        </w:tc>
        <w:tc>
          <w:tcPr>
            <w:tcW w:w="2339" w:type="dxa"/>
            <w:tcMar>
              <w:top w:w="70" w:type="dxa"/>
              <w:start w:w="110" w:type="dxa"/>
              <w:bottom w:w="70" w:type="dxa"/>
              <w:end w:w="110" w:type="dxa"/>
            </w:tcMar>
          </w:tcPr>
          <w:p>
            <w:pPr>
              <w:pStyle w:val="TableText"/>
              <w:jc w:val="left"/>
            </w:pPr>
            <w:r>
              <w:rPr>
                <w:lang w:val="en-US" w:eastAsia="en-US" w:bidi="ar-SA"/>
              </w:rPr>
              <w:t>Full capacity credit only after validated operational availability; no named-project obligation.</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Existing-corridor optimization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Capacity, reliability, safety, resilience</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Measured throughput/reliability improvement and integrity data</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Credit proportional to verified improvement.</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Electricity transmission/interconnection</w:t>
            </w:r>
          </w:p>
        </w:tc>
        <w:tc>
          <w:tcPr>
            <w:tcW w:w="2340" w:type="dxa"/>
            <w:tcMar>
              <w:top w:w="70" w:type="dxa"/>
              <w:start w:w="110" w:type="dxa"/>
              <w:bottom w:w="70" w:type="dxa"/>
              <w:end w:w="110" w:type="dxa"/>
            </w:tcMar>
          </w:tcPr>
          <w:p>
            <w:pPr>
              <w:pStyle w:val="TableText"/>
              <w:jc w:val="left"/>
            </w:pPr>
            <w:r>
              <w:rPr>
                <w:lang w:val="en-US" w:eastAsia="en-US" w:bidi="ar-SA"/>
              </w:rPr>
              <w:t>Grid reliability, data-centre support, emergency exchange capacity</w:t>
            </w:r>
          </w:p>
        </w:tc>
        <w:tc>
          <w:tcPr>
            <w:tcW w:w="2340" w:type="dxa"/>
            <w:tcMar>
              <w:top w:w="70" w:type="dxa"/>
              <w:start w:w="110" w:type="dxa"/>
              <w:bottom w:w="70" w:type="dxa"/>
              <w:end w:w="110" w:type="dxa"/>
            </w:tcMar>
          </w:tcPr>
          <w:p>
            <w:pPr>
              <w:pStyle w:val="TableText"/>
              <w:jc w:val="left"/>
            </w:pPr>
            <w:r>
              <w:rPr>
                <w:lang w:val="en-US" w:eastAsia="en-US" w:bidi="ar-SA"/>
              </w:rPr>
              <w:t>Commissioned transfer capability and reliability metrics</w:t>
            </w:r>
          </w:p>
        </w:tc>
        <w:tc>
          <w:tcPr>
            <w:tcW w:w="2339" w:type="dxa"/>
            <w:tcMar>
              <w:top w:w="70" w:type="dxa"/>
              <w:start w:w="110" w:type="dxa"/>
              <w:bottom w:w="70" w:type="dxa"/>
              <w:end w:w="110" w:type="dxa"/>
            </w:tcMar>
          </w:tcPr>
          <w:p>
            <w:pPr>
              <w:pStyle w:val="TableText"/>
              <w:jc w:val="left"/>
            </w:pPr>
            <w:r>
              <w:rPr>
                <w:lang w:val="en-US" w:eastAsia="en-US" w:bidi="ar-SA"/>
              </w:rPr>
              <w:t>Energy-security and resilience credit.</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Storage/terminal/refinery access</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Emergency resilience and market access</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Usable storage, terminal, interconnection or refinery-feedstock capability</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Resilience and market-access credit.</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Critical-mineral processing and recycling</w:t>
            </w:r>
          </w:p>
        </w:tc>
        <w:tc>
          <w:tcPr>
            <w:tcW w:w="2340" w:type="dxa"/>
            <w:tcMar>
              <w:top w:w="70" w:type="dxa"/>
              <w:start w:w="110" w:type="dxa"/>
              <w:bottom w:w="70" w:type="dxa"/>
              <w:end w:w="110" w:type="dxa"/>
            </w:tcMar>
          </w:tcPr>
          <w:p>
            <w:pPr>
              <w:pStyle w:val="TableText"/>
              <w:jc w:val="left"/>
            </w:pPr>
            <w:r>
              <w:rPr>
                <w:lang w:val="en-US" w:eastAsia="en-US" w:bidi="ar-SA"/>
              </w:rPr>
              <w:t>Strategic-material security and industrial resilience</w:t>
            </w:r>
          </w:p>
        </w:tc>
        <w:tc>
          <w:tcPr>
            <w:tcW w:w="2340" w:type="dxa"/>
            <w:tcMar>
              <w:top w:w="70" w:type="dxa"/>
              <w:start w:w="110" w:type="dxa"/>
              <w:bottom w:w="70" w:type="dxa"/>
              <w:end w:w="110" w:type="dxa"/>
            </w:tcMar>
          </w:tcPr>
          <w:p>
            <w:pPr>
              <w:pStyle w:val="TableText"/>
              <w:jc w:val="left"/>
            </w:pPr>
            <w:r>
              <w:rPr>
                <w:lang w:val="en-US" w:eastAsia="en-US" w:bidi="ar-SA"/>
              </w:rPr>
              <w:t>Verified North American processing/recovery capacity</w:t>
            </w:r>
          </w:p>
        </w:tc>
        <w:tc>
          <w:tcPr>
            <w:tcW w:w="2339" w:type="dxa"/>
            <w:tcMar>
              <w:top w:w="70" w:type="dxa"/>
              <w:start w:w="110" w:type="dxa"/>
              <w:bottom w:w="70" w:type="dxa"/>
              <w:end w:w="110" w:type="dxa"/>
            </w:tcMar>
          </w:tcPr>
          <w:p>
            <w:pPr>
              <w:pStyle w:val="TableText"/>
              <w:jc w:val="left"/>
            </w:pPr>
            <w:r>
              <w:rPr>
                <w:lang w:val="en-US" w:eastAsia="en-US" w:bidi="ar-SA"/>
              </w:rPr>
              <w:t>Strategic-material and resilience credit.</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Spill response, leak detection, methane, integrity modernization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Environmental and operational risk reduction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Performance testing, incident-response readiness and verified deployment</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Safety/environmental credit; no substitute capacity unless actual capacity effect is verified.</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Heavy-oil, CCS and energy R&amp;D</w:t>
            </w:r>
          </w:p>
        </w:tc>
        <w:tc>
          <w:tcPr>
            <w:tcW w:w="2340" w:type="dxa"/>
            <w:tcMar>
              <w:top w:w="70" w:type="dxa"/>
              <w:start w:w="110" w:type="dxa"/>
              <w:bottom w:w="70" w:type="dxa"/>
              <w:end w:w="110" w:type="dxa"/>
            </w:tcMar>
          </w:tcPr>
          <w:p>
            <w:pPr>
              <w:pStyle w:val="TableText"/>
              <w:jc w:val="left"/>
            </w:pPr>
            <w:r>
              <w:rPr>
                <w:lang w:val="en-US" w:eastAsia="en-US" w:bidi="ar-SA"/>
              </w:rPr>
              <w:t>Productivity, emissions performance, technology development</w:t>
            </w:r>
          </w:p>
        </w:tc>
        <w:tc>
          <w:tcPr>
            <w:tcW w:w="2340" w:type="dxa"/>
            <w:tcMar>
              <w:top w:w="70" w:type="dxa"/>
              <w:start w:w="110" w:type="dxa"/>
              <w:bottom w:w="70" w:type="dxa"/>
              <w:end w:w="110" w:type="dxa"/>
            </w:tcMar>
          </w:tcPr>
          <w:p>
            <w:pPr>
              <w:pStyle w:val="TableText"/>
              <w:jc w:val="left"/>
            </w:pPr>
            <w:r>
              <w:rPr>
                <w:lang w:val="en-US" w:eastAsia="en-US" w:bidi="ar-SA"/>
              </w:rPr>
              <w:t>Completed research milestones and independent validation</w:t>
            </w:r>
          </w:p>
        </w:tc>
        <w:tc>
          <w:tcPr>
            <w:tcW w:w="2339" w:type="dxa"/>
            <w:tcMar>
              <w:top w:w="70" w:type="dxa"/>
              <w:start w:w="110" w:type="dxa"/>
              <w:bottom w:w="70" w:type="dxa"/>
              <w:end w:w="110" w:type="dxa"/>
            </w:tcMar>
          </w:tcPr>
          <w:p>
            <w:pPr>
              <w:pStyle w:val="TableText"/>
              <w:jc w:val="left"/>
            </w:pPr>
            <w:r>
              <w:rPr>
                <w:lang w:val="en-US" w:eastAsia="en-US" w:bidi="ar-SA"/>
              </w:rPr>
              <w:t>Innovation credit; capacity credit only after demonstrated operational performance.</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Workforce and regulator cooperation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Readiness, execution speed, regulatory predictability</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Credential, training, exchange and processing metrics</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Workforce/readiness credit where an implementing schedule uses such metrics.</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Experimental technology pathway</w:t>
            </w:r>
          </w:p>
        </w:tc>
        <w:tc>
          <w:tcPr>
            <w:tcW w:w="2340" w:type="dxa"/>
            <w:tcMar>
              <w:top w:w="70" w:type="dxa"/>
              <w:start w:w="110" w:type="dxa"/>
              <w:bottom w:w="70" w:type="dxa"/>
              <w:end w:w="110" w:type="dxa"/>
            </w:tcMar>
          </w:tcPr>
          <w:p>
            <w:pPr>
              <w:pStyle w:val="TableText"/>
              <w:jc w:val="left"/>
            </w:pPr>
            <w:r>
              <w:rPr>
                <w:lang w:val="en-US" w:eastAsia="en-US" w:bidi="ar-SA"/>
              </w:rPr>
              <w:t>Potential future logistics, resilience or capacity</w:t>
            </w:r>
          </w:p>
        </w:tc>
        <w:tc>
          <w:tcPr>
            <w:tcW w:w="2340" w:type="dxa"/>
            <w:tcMar>
              <w:top w:w="70" w:type="dxa"/>
              <w:start w:w="110" w:type="dxa"/>
              <w:bottom w:w="70" w:type="dxa"/>
              <w:end w:w="110" w:type="dxa"/>
            </w:tcMar>
          </w:tcPr>
          <w:p>
            <w:pPr>
              <w:pStyle w:val="TableText"/>
              <w:jc w:val="left"/>
            </w:pPr>
            <w:r>
              <w:rPr>
                <w:lang w:val="en-US" w:eastAsia="en-US" w:bidi="ar-SA"/>
              </w:rPr>
              <w:t>Chapter 39 iterative validation and Revalidation Gate</w:t>
            </w:r>
          </w:p>
        </w:tc>
        <w:tc>
          <w:tcPr>
            <w:tcW w:w="2339" w:type="dxa"/>
            <w:tcMar>
              <w:top w:w="70" w:type="dxa"/>
              <w:start w:w="110" w:type="dxa"/>
              <w:bottom w:w="70" w:type="dxa"/>
              <w:end w:w="110" w:type="dxa"/>
            </w:tcMar>
          </w:tcPr>
          <w:p>
            <w:pPr>
              <w:pStyle w:val="TableText"/>
              <w:jc w:val="left"/>
            </w:pPr>
            <w:r>
              <w:rPr>
                <w:lang w:val="en-US" w:eastAsia="en-US" w:bidi="ar-SA"/>
              </w:rPr>
              <w:t>Innovation credit during development; operational credits only after validation.</w:t>
            </w:r>
          </w:p>
        </w:tc>
      </w:tr>
    </w:tbl>
    <w:p>
      <w:pPr>
        <w:pStyle w:val="Normal"/>
      </w:pPr>
      <w:r>
        <w:t>Interpretive Note. The Matrix is illustrative and function-based. It does not compel a Party to select any pathway or to treat unlike outcomes as equivalent. Performance thresholds, where used, shall be objective, auditable, technology-neutral, and subject to the No Named-Project Obligation.</w:t>
      </w:r>
    </w:p>
    <w:p>
      <w:pPr>
        <w:pStyle w:val="Normal"/>
      </w:pPr>
      <w:r>
        <w:t>Integrated Infrastructure Simulation Note. Eligibility for the simulation initiative shall be technology-neutral and may include integrated combinations of power, storage, flexible compute, thermal management, desalination or other water production, grid services, and related infrastructure. Selection for simulation is not selection for procurement or construction.</w:t>
      </w:r>
    </w:p>
    <w:p>
      <w:pPr>
        <w:pStyle w:val="Normal"/>
      </w:pPr>
      <w:r>
        <w:t>Initial Reference Nominations. A Party may identify candidate reference architectures in a non-binding implementation record under Article 40.44. The record shall disclose any non-governmental origin and state expressly that listing creates no entitlement, endorsement, certification, exclusivity, procurement preference, or funding commitment.</w:t>
      </w:r>
    </w:p>
    <w:p>
      <w:pPr>
        <w:pStyle w:val="Normal"/>
      </w:pPr>
      <w:r>
        <w:t>Simulation Metrics. Where applicable, studies may report electricity balance and dispatch; dependable and flexible capacity; compute-load flexibility; freshwater output and quality assumptions; desalination energy intensity; thermal recovery and useful-heat disposition; storage performance; grid-service value; capital and operating sensitivity; emissions and environmental considerations; infrastructure requirements; and material technical uncertainties.</w:t>
      </w:r>
    </w:p>
    <w:p>
      <w:pPr>
        <w:pStyle w:val="Normal"/>
      </w:pPr>
      <w:r>
        <w:t>Functional Energy Credit Note. Simulation, research, or experimental activity earns innovation or research credit only. It does not earn physical-capacity, supply-security, freshwater-delivery, or throughput credit until the relevant operational capability has been independently demonstrated under the applicable verification method.</w:t>
      </w:r>
    </w:p>
    <w:p>
      <w:pPr>
        <w:pStyle w:val="Heading1"/>
      </w:pPr>
      <w:bookmarkStart w:id="901567" w:name="_Toc300001566"/>
      <w:r>
        <w:t>CHAPTER 41</w:t>
      </w:r>
      <w:r>
        <w:br/>
      </w:r>
      <w:r>
        <w:t>DOMESTIC SOVEREIGNTY AND REGULATORY AUTONOMY</w:t>
      </w:r>
      <w:bookmarkEnd w:id="901567"/>
    </w:p>
    <w:p>
      <w:pPr>
        <w:pStyle w:val="Heading2"/>
      </w:pPr>
      <w:bookmarkStart w:id="901568" w:name="_Toc300001567"/>
      <w:r>
        <w:t>Article 41.1: Governing Principle</w:t>
      </w:r>
      <w:bookmarkEnd w:id="901568"/>
    </w:p>
    <w:p>
      <w:pPr>
        <w:pStyle w:val="Normal"/>
      </w:pPr>
      <w:r>
        <w:t>1. Each Party retains the sovereign right to determine its domestic level of protection and to adopt, maintain, revise, or repeal measures pursuing legitimate public objectives. Market access under this Agreement does not confer authority on another Party to direct the regulating Party's domestic social, health, environmental, cultural, technological, immigration, natural-resource, or public-administration policy.</w:t>
      </w:r>
    </w:p>
    <w:p>
      <w:pPr>
        <w:pStyle w:val="Normal"/>
      </w:pPr>
      <w:r>
        <w:t>2. A measure protected by this Chapter remains subject to national treatment and the prohibition on disguised discrimination. Regulatory autonomy does not authorize a Party to reproduce the economic effect of a prohibited tariff under another name.</w:t>
      </w:r>
    </w:p>
    <w:p>
      <w:pPr>
        <w:pStyle w:val="Heading2"/>
      </w:pPr>
      <w:bookmarkStart w:id="901569" w:name="_Toc300001568"/>
      <w:r>
        <w:t>Article 41.2: Climate, Energy, and Environmental Policy Space</w:t>
      </w:r>
      <w:bookmarkEnd w:id="901569"/>
    </w:p>
    <w:p>
      <w:pPr>
        <w:pStyle w:val="Normal"/>
      </w:pPr>
      <w:r>
        <w:t>1. A Party may establish carbon-pricing systems, emissions limits, renewable-energy requirements, efficiency standards, pollution controls, circular-economy measures, and conservation policies, including standards more protective than those of another Party, provided the measure is not designed or administered to discriminate against another Party's originating trade.</w:t>
      </w:r>
    </w:p>
    <w:p>
      <w:pPr>
        <w:pStyle w:val="Normal"/>
      </w:pPr>
      <w:r>
        <w:t>2. Differences in policy instrument, ambition, technology choice, or level of environmental protection do not by themselves establish a violation.</w:t>
      </w:r>
    </w:p>
    <w:p>
      <w:pPr>
        <w:pStyle w:val="Heading2"/>
      </w:pPr>
      <w:bookmarkStart w:id="901570" w:name="_Toc300001569"/>
      <w:r>
        <w:t>Article 41.3: Public Health, Therapeutic Products, and Scientific Regulation</w:t>
      </w:r>
      <w:bookmarkEnd w:id="901570"/>
    </w:p>
    <w:p>
      <w:pPr>
        <w:pStyle w:val="Normal"/>
      </w:pPr>
      <w:r>
        <w:t>1. Each Party retains authority over pharmaceutical and medical-device approval, reimbursement and pricing, food and product safety, pesticides, chemicals, and public-health measures.</w:t>
      </w:r>
    </w:p>
    <w:p>
      <w:pPr>
        <w:pStyle w:val="Normal"/>
      </w:pPr>
      <w:r>
        <w:t>2. A Party may adopt a standard different from or more protective than another Party's standard where supported by a reasonable scientific, technical, precautionary, or risk-management basis consistent with applicable provisions of this Agreement. The complaining Party bears the burden of showing disguised discrimination or a failure to satisfy an express treaty discipline.</w:t>
      </w:r>
    </w:p>
    <w:p>
      <w:pPr>
        <w:pStyle w:val="Heading2"/>
      </w:pPr>
      <w:bookmarkStart w:id="901571" w:name="_Toc300001570"/>
      <w:r>
        <w:t>Article 41.4: Artificial Intelligence, Privacy, Cybersecurity, and Government Data</w:t>
      </w:r>
      <w:bookmarkEnd w:id="901571"/>
    </w:p>
    <w:p>
      <w:pPr>
        <w:pStyle w:val="Normal"/>
      </w:pPr>
      <w:r>
        <w:t>1. Each Party retains authority to regulate artificial intelligence, automated decision systems, privacy, algorithmic accountability, consumer protection, cybersecurity, and employment effects.</w:t>
      </w:r>
    </w:p>
    <w:p>
      <w:pPr>
        <w:pStyle w:val="Normal"/>
      </w:pPr>
      <w:r>
        <w:t>2. A Party may impose enhanced custody, access-control, encryption, audit, residency, or jurisdictional requirements on sensitive government data where reasonably related to security, privacy, continuity, or lawful public administration. No specific cloud architecture or vendor is mandated.</w:t>
      </w:r>
    </w:p>
    <w:p>
      <w:pPr>
        <w:pStyle w:val="Normal"/>
      </w:pPr>
      <w:r>
        <w:t>3. Cybersecurity requirements may reference internationally recognized frameworks and may evolve over time. No single private standard is frozen into this Agreement.</w:t>
      </w:r>
    </w:p>
    <w:p>
      <w:pPr>
        <w:pStyle w:val="Heading2"/>
      </w:pPr>
      <w:bookmarkStart w:id="901572" w:name="_Toc300001571"/>
      <w:r>
        <w:t>Article 41.5: Natural Resources, Water, Forestry, and the Arctic</w:t>
      </w:r>
      <w:bookmarkEnd w:id="901572"/>
    </w:p>
    <w:p>
      <w:pPr>
        <w:pStyle w:val="Normal"/>
      </w:pPr>
      <w:r>
        <w:t>1. Nothing in this Agreement creates a right to natural water that has not entered into commerce. Each Party retains sovereign authority over water resources within its jurisdiction, subject to existing international boundary-water obligations.</w:t>
      </w:r>
    </w:p>
    <w:p>
      <w:pPr>
        <w:pStyle w:val="Normal"/>
      </w:pPr>
      <w:r>
        <w:t>2. Canada retains authority over forest management, harvesting standards, conservation, old-growth protection, certification systems, and Crown-resource administration, subject to the specialized subsidy and trade disciplines of this Agreement.</w:t>
      </w:r>
    </w:p>
    <w:p>
      <w:pPr>
        <w:pStyle w:val="Normal"/>
      </w:pPr>
      <w:r>
        <w:t>3. Each Party retains authority over resource development within its Arctic or northern jurisdiction. Cooperation on shipping, safety, emergency response, science, and supply-chain transparency does not create a right of approval over another Party's domestic resource decision.</w:t>
      </w:r>
    </w:p>
    <w:p>
      <w:pPr>
        <w:pStyle w:val="Heading2"/>
      </w:pPr>
      <w:bookmarkStart w:id="901573" w:name="_Toc300001572"/>
      <w:r>
        <w:t>Article 41.6: Indigenous Peoples</w:t>
      </w:r>
      <w:bookmarkEnd w:id="901573"/>
    </w:p>
    <w:p>
      <w:pPr>
        <w:pStyle w:val="Normal"/>
      </w:pPr>
      <w:r>
        <w:t>1. Nothing in this Agreement prevents a Party from adopting or maintaining measures necessary to fulfill constitutional, treaty, consultation, accommodation, consent, self-government, land-claim, or reconciliation obligations concerning Indigenous peoples.</w:t>
      </w:r>
    </w:p>
    <w:p>
      <w:pPr>
        <w:pStyle w:val="Normal"/>
      </w:pPr>
      <w:r>
        <w:t>2. A measure described in paragraph 1 is not inconsistent with this Agreement merely because it affects trade or investment; however, it remains subject to good-faith administration and shall not be used as disguised discrimination unrelated to the protected Indigenous interest.</w:t>
      </w:r>
    </w:p>
    <w:p>
      <w:pPr>
        <w:pStyle w:val="Heading2"/>
      </w:pPr>
      <w:bookmarkStart w:id="901574" w:name="_Toc300001573"/>
      <w:r>
        <w:t>Article 41.7: Immigration, Labor-Market Programs, and Culture</w:t>
      </w:r>
      <w:bookmarkEnd w:id="901574"/>
    </w:p>
    <w:p>
      <w:pPr>
        <w:pStyle w:val="Normal"/>
      </w:pPr>
      <w:r>
        <w:t>1. Each Party retains authority over immigration levels, temporary foreign-worker programs, occupational admission, wage policy, and labor-market programming, subject to express mobility commitments in this Agreement.</w:t>
      </w:r>
    </w:p>
    <w:p>
      <w:pPr>
        <w:pStyle w:val="Normal"/>
      </w:pPr>
      <w:r>
        <w:t>2. Each Party retains authority to support and regulate its cultural industries, broadcasting, audiovisual services, and domestic cultural expression, subject to the express cultural provisions and schedules of this Agreement.</w:t>
      </w:r>
    </w:p>
    <w:p>
      <w:pPr>
        <w:pStyle w:val="Heading2"/>
      </w:pPr>
      <w:bookmarkStart w:id="901575" w:name="_Toc300001574"/>
      <w:r>
        <w:t>Article 41.7A: Cultural and Linguistic Sovereignty Firewall</w:t>
      </w:r>
      <w:bookmarkEnd w:id="901575"/>
    </w:p>
    <w:p>
      <w:pPr>
        <w:pStyle w:val="Normal"/>
      </w:pPr>
      <w:r>
        <w:t>1. Each Party retains the sovereign authority to preserve, promote, fund, regulate, and make accessible its languages, cultural expression, cultural industries, cultural institutions, and cultural heritage, including measures concerning broadcasting, audiovisual media, streaming, publishing, film, music, performing arts, museums, archives, education-related cultural programming, public cultural funding, labeling or labelling, interface-language requirements, search prominence, recommendation-system discoverability, and other means by which linguistic or cultural expression is presented or made accessible. This authority includes measures directed to official, Indigenous, minority, regional, heritage, or otherwise lawfully recognized or supported languages and cultural communities. Nothing in this paragraph requires a Party to accord a language a legal or official status that the Party's domestic law does not provide. Measures under this paragraph remain subject to the good-faith and anti-disguised-discrimination safeguards in paragraph 5.</w:t>
      </w:r>
    </w:p>
    <w:p>
      <w:pPr>
        <w:pStyle w:val="Normal"/>
      </w:pPr>
      <w:r>
        <w:t>2. For Canada, paragraph 1 includes measures supporting French and English language rights and services, the vitality and accessibility of French-language culture, bilingual public information, Canadian cultural expression and content, Quebec cultural jurisdiction within Canada's constitutional order, minority-language communities, and Indigenous languages and cultures. Canada may maintain or adopt bona fide French-language requirements, services, labeling or labelling, presentation, discoverability, funding, broadcasting, audiovisual, streaming, educational, procurement, or cultural-development measures consistent with its constitutional order. No provision of this Agreement shall be interpreted to require Canada to reduce the level of protection or support it chooses to provide for French-language rights, services, institutions, or cultural expression. This paragraph does not alter the constitutional allocation of authority within Canada.</w:t>
      </w:r>
    </w:p>
    <w:p>
      <w:pPr>
        <w:pStyle w:val="Normal"/>
      </w:pPr>
      <w:r>
        <w:t>3. For Mexico, paragraph 1 includes measures supporting Spanish and the Indigenous languages and linguistic communities recognized or protected under Mexican law, Mexican cultural expression and content, federal and state cultural institutions, Indigenous cultural autonomy, public cultural funding, and measures promoting access to linguistic and cultural heritage. For the United States, paragraph 1 includes measures supporting English and other languages recognized, protected, funded, or otherwise supported under federal, state, territorial, Tribal, or local law, including Native and Indigenous languages, minority-language and heritage-language communities, and state, territorial, Tribal, and local cultural institutions. Each Party may also support access to, education in, or cultural expression through French or any other language within its territory without creating a treaty obligation to confer official-language status. The protections in this paragraph are symmetrical in legal effect while respecting the distinct constitutional and linguistic arrangements of each Party.</w:t>
      </w:r>
    </w:p>
    <w:p>
      <w:pPr>
        <w:pStyle w:val="Normal"/>
      </w:pPr>
      <w:r>
        <w:t>4. Nothing in this Agreement requires a Party to abolish, materially impair, subordinate, privatize, commercialize, or make technologically neutral a bona fide cultural or linguistic measure solely because that measure affects trade, investment, digital distribution, advertising, labeling or labelling, interface language, search prominence, recommendation systems, discoverability, procurement, access to public funding, or eligibility for cultural-support programs. A bona fide measure may distinguish among languages or cultural categories where the distinction reasonably advances the protected linguistic or cultural objective. For greater certainty, a requirement that information, labeling, interfaces, services, cultural content, or discoverability be available in one or more protected languages is not, by that fact alone, nationality discrimination. This paragraph applies across the goods, services, digital-trade, procurement, investment, intellectual-property, and regulatory-cooperation provisions of this Agreement.</w:t>
      </w:r>
    </w:p>
    <w:p>
      <w:pPr>
        <w:pStyle w:val="Normal"/>
      </w:pPr>
      <w:r>
        <w:t>5. This Article does not protect disguised discrimination having no reasonable relationship to a genuine cultural or linguistic objective. In assessing a challenged measure, a panel shall give substantial deference to the affected Party's chosen level of linguistic or cultural protection and shall not substitute a different cultural policy merely because it would be less trade restrictive. Where a materially less trade-restrictive and reasonably available alternative would achieve substantially the same chosen level of cultural or linguistic protection without materially impairing the protected objective, the Parties should prefer that alternative. The complaining Party bears the burden of establishing that a challenged distinction is disguised discrimination or that an asserted alternative satisfies this paragraph.</w:t>
      </w:r>
    </w:p>
    <w:p>
      <w:pPr>
        <w:pStyle w:val="Normal"/>
      </w:pPr>
      <w:r>
        <w:t>6. No Party shall condition tariff relief, market access, procurement treatment, strategic-material cooperation, regulatory recognition, digital-trade treatment, or another unrelated benefit on the abandonment, weakening, non-enforcement, or future non-adoption of a measure protected by this Article unless the affected Party expressly agrees through the amendment procedure applicable to substantive treaty rights. This Article shall be read together with the cultural provisions and schedules of this Agreement and shall not reduce a Party's existing cultural exceptions, reservations, constitutional protections, Indigenous rights, or stronger domestic linguistic protections. In the event of an inconsistency between this Article and a general obligation concerning digital trade, nondiscrimination, technical regulation, procurement, services, or investment, this Article governs to the extent necessary to preserve the bona fide cultural or linguistic measure. Nothing in this Article prevents the Parties from voluntarily cooperating to expand multilingual access, translation, cultural exchange, or linguistic inclusion.</w:t>
      </w:r>
    </w:p>
    <w:p>
      <w:pPr>
        <w:pStyle w:val="Heading2"/>
      </w:pPr>
      <w:bookmarkStart w:id="901576" w:name="_Toc300001575"/>
      <w:r>
        <w:t>Article 41.8: Infrastructure and Domestic Approval</w:t>
      </w:r>
      <w:bookmarkEnd w:id="901576"/>
    </w:p>
    <w:p>
      <w:pPr>
        <w:pStyle w:val="Normal"/>
      </w:pPr>
      <w:r>
        <w:t>1. Joint financing or designation of a North American infrastructure project does not transfer regulatory, permitting, design, environmental-assessment, Indigenous-consultation, land-use, or ownership authority over facilities located in a Party's territory.</w:t>
      </w:r>
    </w:p>
    <w:p>
      <w:pPr>
        <w:pStyle w:val="Heading2"/>
      </w:pPr>
      <w:bookmarkStart w:id="901577" w:name="_Toc300001576"/>
      <w:r>
        <w:t>Article 41.9: Safe-Harbor Coordination</w:t>
      </w:r>
      <w:bookmarkEnd w:id="901577"/>
    </w:p>
    <w:p>
      <w:pPr>
        <w:pStyle w:val="Normal"/>
      </w:pPr>
      <w:r>
        <w:t>1. Articles 35.4B and 41.1 through 41.8 shall be interpreted together. A facially neutral measure pursuing an objective protected by this Chapter and supported by a reasonable evidentiary basis receives the regulatory safe harbor unless rebutted under Article 35.4B.</w:t>
      </w:r>
    </w:p>
    <w:p>
      <w:pPr>
        <w:pStyle w:val="Heading1"/>
      </w:pPr>
      <w:bookmarkStart w:id="901578" w:name="_Toc300001577"/>
      <w:r>
        <w:t>CHAPTER 42</w:t>
      </w:r>
      <w:r>
        <w:br/>
      </w:r>
      <w:r>
        <w:t>SOFTWOOD LUMBER STABILITY AND FORESTRY TRADE</w:t>
      </w:r>
      <w:bookmarkEnd w:id="901578"/>
    </w:p>
    <w:p>
      <w:pPr>
        <w:pStyle w:val="Heading2"/>
      </w:pPr>
      <w:bookmarkStart w:id="901579" w:name="_Toc300001578"/>
      <w:r>
        <w:t>Article 42.1: Purpose</w:t>
      </w:r>
      <w:bookmarkEnd w:id="901579"/>
    </w:p>
    <w:p>
      <w:pPr>
        <w:pStyle w:val="Normal"/>
      </w:pPr>
      <w:r>
        <w:t>1. The Parties seek to reduce recurrent softwood-lumber litigation through transparent evidence, rapid adjudication, commercially defensible valuation, and prompt correction while preserving each Party's forest-ownership and management systems.</w:t>
      </w:r>
    </w:p>
    <w:p>
      <w:pPr>
        <w:pStyle w:val="Heading2"/>
      </w:pPr>
      <w:bookmarkStart w:id="901580" w:name="_Toc300001579"/>
      <w:r>
        <w:t>Article 42.2: Stumpage and Benchmark Transparency</w:t>
      </w:r>
      <w:bookmarkEnd w:id="901580"/>
    </w:p>
    <w:p>
      <w:pPr>
        <w:pStyle w:val="Normal"/>
      </w:pPr>
      <w:r>
        <w:t>1. Canada shall publish or make available to the review body provincial stumpage methodologies, relevant auction or transaction data, tenure characteristics, timber-quality adjustments, road and access costs, geographic factors, and other material inputs used to determine Crown timber charges.</w:t>
      </w:r>
    </w:p>
    <w:p>
      <w:pPr>
        <w:pStyle w:val="Normal"/>
      </w:pPr>
      <w:r>
        <w:t>2. A Party alleging subsidization shall disclose the benchmark methodology, comparators, adjustments, and material evidence on which the allegation relies, subject to protected confidential treatment.</w:t>
      </w:r>
    </w:p>
    <w:p>
      <w:pPr>
        <w:pStyle w:val="Normal"/>
      </w:pPr>
      <w:r>
        <w:t>3. No methodology may presume that public ownership of timber, standing alone, establishes a subsidy.</w:t>
      </w:r>
    </w:p>
    <w:p>
      <w:pPr>
        <w:pStyle w:val="Heading2"/>
      </w:pPr>
      <w:bookmarkStart w:id="901581" w:name="_Toc300001580"/>
      <w:r>
        <w:t>Article 42.3: Stumpage Neutrality Test</w:t>
      </w:r>
      <w:bookmarkEnd w:id="901581"/>
    </w:p>
    <w:p>
      <w:pPr>
        <w:pStyle w:val="Normal"/>
      </w:pPr>
      <w:r>
        <w:t>1. A provincial system satisfies this Article where charges are determined under published and consistently administered methodologies reasonably connected to commercial or resource-management considerations and are not manipulated primarily to confer an export advantage.</w:t>
      </w:r>
    </w:p>
    <w:p>
      <w:pPr>
        <w:pStyle w:val="Normal"/>
      </w:pPr>
      <w:r>
        <w:t>2. Comparisons with private-market timber shall account for material differences in species, quality, geography, infrastructure obligations, tenure, wildfire or pest damage, harvesting cost, and other factors affecting commercial comparability.</w:t>
      </w:r>
    </w:p>
    <w:p>
      <w:pPr>
        <w:pStyle w:val="Heading2"/>
      </w:pPr>
      <w:bookmarkStart w:id="901582" w:name="_Toc300001581"/>
      <w:r>
        <w:t>Article 42.4: Expedited Softwood Review</w:t>
      </w:r>
      <w:bookmarkEnd w:id="901582"/>
    </w:p>
    <w:p>
      <w:pPr>
        <w:pStyle w:val="Normal"/>
      </w:pPr>
      <w:r>
        <w:t>1. A softwood-lumber antidumping or countervailing-duty dispute between Canada and the United States is eligible for a specialized panel under Chapter 31. A preliminary review of cash-deposit measures shall issue within 60 days and a final treaty determination within six months.</w:t>
      </w:r>
    </w:p>
    <w:p>
      <w:pPr>
        <w:pStyle w:val="Normal"/>
      </w:pPr>
      <w:r>
        <w:t>2. A provisional duty or deposit found excessive or unsupported shall be reduced promptly. Amounts ultimately determined not to have been owing shall be refunded within 30 days with commercially reasonable interest.</w:t>
      </w:r>
    </w:p>
    <w:p>
      <w:pPr>
        <w:pStyle w:val="Normal"/>
      </w:pPr>
      <w:r>
        <w:t>3. A Party shall not retroactively change the governing benchmark methodology for entries already made except to correct fraud or manifest clerical error.</w:t>
      </w:r>
    </w:p>
    <w:p>
      <w:pPr>
        <w:pStyle w:val="Heading2"/>
      </w:pPr>
      <w:bookmarkStart w:id="901583" w:name="_Toc300001582"/>
      <w:r>
        <w:t>Article 42.5: Sustainable Forestry Facilitation</w:t>
      </w:r>
      <w:bookmarkEnd w:id="901583"/>
    </w:p>
    <w:p>
      <w:pPr>
        <w:pStyle w:val="Normal"/>
      </w:pPr>
      <w:r>
        <w:t>1. The Parties shall recognize credible sustainable-forestry certification systems under transparent equivalence criteria. Certified products may receive expedited documentation and eligibility for negotiated green-procurement programs, but this Agreement does not guarantee a private purchase price or purchase volume.</w:t>
      </w:r>
    </w:p>
    <w:p>
      <w:pPr>
        <w:pStyle w:val="Heading2"/>
      </w:pPr>
      <w:bookmarkStart w:id="901584" w:name="_Toc300001583"/>
      <w:r>
        <w:t>Article 42.6: Forestry Adjustment and Modernization Facility</w:t>
      </w:r>
      <w:bookmarkEnd w:id="901584"/>
    </w:p>
    <w:p>
      <w:pPr>
        <w:pStyle w:val="Normal"/>
      </w:pPr>
      <w:r>
        <w:t>1. The Commission may establish a jointly financed facility supporting mill modernization, wildfire resilience, forest restoration, worker adjustment, value-added wood manufacturing, and data modernization. Contributions are subject to each Party's domestic appropriations law and do not condition ordinary market access.</w:t>
      </w:r>
    </w:p>
    <w:p>
      <w:pPr>
        <w:pStyle w:val="Heading2"/>
      </w:pPr>
      <w:bookmarkStart w:id="901585" w:name="_Toc300001584"/>
      <w:r>
        <w:t>Article 42.7: No-Fade Continuity and Rolling-Horizon Review</w:t>
      </w:r>
      <w:bookmarkEnd w:id="901585"/>
    </w:p>
    <w:p>
      <w:pPr>
        <w:pStyle w:val="Normal"/>
      </w:pPr>
      <w:r>
        <w:t>1. The rights, protections, procedures, recognitions, and safe harbors established by this Chapter continue in force in accordance with Article 35.29 and shall not lapse, diminish, or expire solely by passage of time or by failure to complete a scheduled review. The Parties shall conduct rolling-horizon reviews of methodology, market conditions, supply adequacy, certification equivalence, housing-supply conditions, and implementation performance at intervals determined under the applicable work program. Existing treatment remains operative unless affirmatively amended in accordance with this Agreement. A review does not reopen settled entries, retroactively alter the legal treatment of completed transactions, or automatically revive a terminated trade remedy.</w:t>
      </w:r>
    </w:p>
    <w:p>
      <w:pPr>
        <w:pStyle w:val="Heading2"/>
      </w:pPr>
      <w:bookmarkStart w:id="901586" w:name="_Toc300001585"/>
      <w:r>
        <w:t>Article 42.8: Objective-Criteria and Non-Arbitrariness Rule</w:t>
      </w:r>
      <w:bookmarkEnd w:id="901586"/>
    </w:p>
    <w:p>
      <w:pPr>
        <w:pStyle w:val="Normal"/>
      </w:pPr>
      <w:r>
        <w:t>1. Where a policy objective under this Chapter can reasonably be achieved through an objective performance, market, safety, sustainability, or compliance criterion, the Parties shall prefer such a criterion over distinctions based solely on province, state, transport mode, ownership form, product label, or end use.</w:t>
      </w:r>
    </w:p>
    <w:p>
      <w:pPr>
        <w:pStyle w:val="Normal"/>
      </w:pPr>
      <w:r>
        <w:t>2. Nothing in paragraph 1 prevents a narrowly tailored measure where the distinguishing characteristic is itself materially relevant to the demonstrated policy objective. Any such distinction shall be transparent, evidence-based, and no broader than necessary.</w:t>
      </w:r>
    </w:p>
    <w:p>
      <w:pPr>
        <w:pStyle w:val="Heading2"/>
      </w:pPr>
      <w:bookmarkStart w:id="901587" w:name="_Toc300001586"/>
      <w:r>
        <w:t>Article 42.9: Market-Based Forestry Practice Safe Harbor</w:t>
      </w:r>
      <w:bookmarkEnd w:id="901587"/>
    </w:p>
    <w:p>
      <w:pPr>
        <w:pStyle w:val="Normal"/>
      </w:pPr>
      <w:r>
        <w:t>1. Canada and the United States shall maintain an evidence-based pathway under which a provincial, regional, producer-specific, or other qualifying forestry system may receive a rebuttable presumption of market-oriented treatment for purposes of this Chapter where published and consistently administered timber-pricing and allocation practices satisfy the criteria in Article 42.3 and do not confer an export advantage through material manipulation.</w:t>
      </w:r>
    </w:p>
    <w:p>
      <w:pPr>
        <w:pStyle w:val="Normal"/>
      </w:pPr>
      <w:r>
        <w:t>2. Eligibility shall be available on neutral terms to any qualifying system and shall not depend on the identity of a particular province, producer, ownership model, or political designation.</w:t>
      </w:r>
    </w:p>
    <w:p>
      <w:pPr>
        <w:pStyle w:val="Normal"/>
      </w:pPr>
      <w:r>
        <w:t>3. Qualification may be reviewed on a rolling horizon when material evidence indicates a change in the underlying methodology or economic conditions. Qualification remains effective pending completion of review unless a specialized panel finds a material basis for provisional suspension.</w:t>
      </w:r>
    </w:p>
    <w:p>
      <w:pPr>
        <w:pStyle w:val="Heading2"/>
      </w:pPr>
      <w:bookmarkStart w:id="901588" w:name="_Toc300001587"/>
      <w:r>
        <w:t>Article 42.10: North American Housing Supply and Affordability Cooperation</w:t>
      </w:r>
      <w:bookmarkEnd w:id="901588"/>
    </w:p>
    <w:p>
      <w:pPr>
        <w:pStyle w:val="Normal"/>
      </w:pPr>
      <w:r>
        <w:t>1. Canada and the United States shall treat reliable access to competitively supplied lumber and advanced wood products as a material component of North American housing-supply resilience and construction affordability.</w:t>
      </w:r>
    </w:p>
    <w:p>
      <w:pPr>
        <w:pStyle w:val="Normal"/>
      </w:pPr>
      <w:r>
        <w:t>2. The Parties shall identify administrative, customs, certification, logistics, or trade-remedy frictions that unnecessarily increase the delivered cost of qualifying wood inputs used in residential construction and shall pursue the narrowest practicable means of reducing such friction consistent with applicable law and verified fair-trade disciplines.</w:t>
      </w:r>
    </w:p>
    <w:p>
      <w:pPr>
        <w:pStyle w:val="Normal"/>
      </w:pPr>
      <w:r>
        <w:t>3. Cooperation under this Article may include modular and prefabricated housing inputs, mass timber, engineered wood, doors, windows, structural systems, remanufactured products, and other value-added wood products.</w:t>
      </w:r>
    </w:p>
    <w:p>
      <w:pPr>
        <w:pStyle w:val="Heading2"/>
      </w:pPr>
      <w:bookmarkStart w:id="901589" w:name="_Toc300001588"/>
      <w:r>
        <w:t>Article 42.11: Housing and Disaster Reconstruction Emergency Valve</w:t>
      </w:r>
      <w:bookmarkEnd w:id="901589"/>
    </w:p>
    <w:p>
      <w:pPr>
        <w:pStyle w:val="Normal"/>
      </w:pPr>
      <w:r>
        <w:t>1. Where objective evidence demonstrates a material shortage of construction lumber or wood products, an extraordinary reconstruction requirement following a natural disaster, or a severe housing-supply disruption in the territory of a Party, that Party shall provide an expedited procedure to consider temporary facilitation for qualifying originating lumber and wood products from another Party.</w:t>
      </w:r>
    </w:p>
    <w:p>
      <w:pPr>
        <w:pStyle w:val="Normal"/>
      </w:pPr>
      <w:r>
        <w:t>2. Facilitation may include accelerated customs processing, temporary administrative simplification, prioritized certification review, or other narrowly tailored relief authorized by this Agreement and domestic law. Any extraordinary tariff relief shall be subject to the evidentiary, proportionality, and restoration disciplines of Chapters 35, 38, and 46.</w:t>
      </w:r>
    </w:p>
    <w:p>
      <w:pPr>
        <w:pStyle w:val="Normal"/>
      </w:pPr>
      <w:r>
        <w:t>3. Activation and continuation shall depend on verified conditions rather than a fixed expiration date. Extraordinary treatment transitions back to ordinary treatment when the factual conditions justifying it cease.</w:t>
      </w:r>
    </w:p>
    <w:p>
      <w:pPr>
        <w:pStyle w:val="Heading2"/>
      </w:pPr>
      <w:bookmarkStart w:id="901590" w:name="_Toc300001589"/>
      <w:r>
        <w:t>Article 42.12: Advanced Wood Products and Value-Added Manufacturing Corridor</w:t>
      </w:r>
      <w:bookmarkEnd w:id="901590"/>
    </w:p>
    <w:p>
      <w:pPr>
        <w:pStyle w:val="Normal"/>
      </w:pPr>
      <w:r>
        <w:t>1. The Parties shall facilitate trade and investment in value-added wood products, including engineered wood, mass timber, prefabricated structural systems, remanufactured wood products, specialized lumber, doors, windows, and other higher-value forest products.</w:t>
      </w:r>
    </w:p>
    <w:p>
      <w:pPr>
        <w:pStyle w:val="Normal"/>
      </w:pPr>
      <w:r>
        <w:t>2. Facilitation shall emphasize removal of unnecessary duplicative testing, customs, certification, and documentation burdens; support efficient movement of production inputs; and encourage investment in North American processing and manufacturing capacity without prescribing the Party in which such investment must occur.</w:t>
      </w:r>
    </w:p>
    <w:p>
      <w:pPr>
        <w:pStyle w:val="Normal"/>
      </w:pPr>
      <w:r>
        <w:t>3. No preference under this Article shall be conditioned on an arbitrary allocation of production among the Parties.</w:t>
      </w:r>
    </w:p>
    <w:p>
      <w:pPr>
        <w:pStyle w:val="Heading2"/>
      </w:pPr>
      <w:bookmarkStart w:id="901591" w:name="_Toc300001590"/>
      <w:r>
        <w:t>Article 42.13: Forest Products Mutual Recognition Framework</w:t>
      </w:r>
      <w:bookmarkEnd w:id="901591"/>
    </w:p>
    <w:p>
      <w:pPr>
        <w:pStyle w:val="Normal"/>
      </w:pPr>
      <w:r>
        <w:t>1. The Parties shall establish procedures to recognize demonstrably equivalent forest-product grading, kiln-drying, phytosanitary, fire-performance, sustainability, and other technical certifications where recognition achieves equivalent regulatory or safety outcomes.</w:t>
      </w:r>
    </w:p>
    <w:p>
      <w:pPr>
        <w:pStyle w:val="Normal"/>
      </w:pPr>
      <w:r>
        <w:t>2. Mutual recognition shall not require identical domestic regulatory systems. A Party may maintain a different requirement where it demonstrates a material, evidence-based difference in the regulatory objective or risk addressed.</w:t>
      </w:r>
    </w:p>
    <w:p>
      <w:pPr>
        <w:pStyle w:val="Normal"/>
      </w:pPr>
      <w:r>
        <w:t>3. The responsible committees shall prioritize high-volume or high-friction duplicative requirements and publish the basis for recognition, non-recognition, or required supplementary testing.</w:t>
      </w:r>
    </w:p>
    <w:p>
      <w:pPr>
        <w:pStyle w:val="Heading2"/>
      </w:pPr>
      <w:bookmarkStart w:id="901592" w:name="_Toc300001591"/>
      <w:r>
        <w:t>Article 42.14: Prospective Treatment, Advance Notice, and Reliance Protection</w:t>
      </w:r>
      <w:bookmarkEnd w:id="901592"/>
    </w:p>
    <w:p>
      <w:pPr>
        <w:pStyle w:val="Normal"/>
      </w:pPr>
      <w:r>
        <w:t>1. Except in cases of fraud, intentional evasion, or manifest clerical correction expressly authorized by law, a Party shall not retroactively alter the benchmark methodology or treaty interpretation governing completed softwood-lumber entries in a manner that creates a new liability that could not reasonably have been known at the time of entry.</w:t>
      </w:r>
    </w:p>
    <w:p>
      <w:pPr>
        <w:pStyle w:val="Normal"/>
      </w:pPr>
      <w:r>
        <w:t>2. Before adopting a material new softwood-lumber trade measure against another Party, the proposing Party shall, except where an express emergency provision permits immediate action, provide advance notice, disclose the material evidentiary basis, and offer expedited technical consultations under this Chapter and Chapter 46.</w:t>
      </w:r>
    </w:p>
    <w:p>
      <w:pPr>
        <w:pStyle w:val="Normal"/>
      </w:pPr>
      <w:r>
        <w:t>3. Nothing in this Article eliminates lawful antidumping, countervailing-duty, safeguard, or essential-security authority. It disciplines procedure, reliance, evidence, and retroactivity in accordance with the other provisions of this Agreement.</w:t>
      </w:r>
    </w:p>
    <w:p>
      <w:pPr>
        <w:pStyle w:val="Heading2"/>
      </w:pPr>
      <w:bookmarkStart w:id="901593" w:name="_Toc300001592"/>
      <w:r>
        <w:t>Article 42.15: Trusted Forest Products Trade Lane</w:t>
      </w:r>
      <w:bookmarkEnd w:id="901593"/>
    </w:p>
    <w:p>
      <w:pPr>
        <w:pStyle w:val="Normal"/>
      </w:pPr>
      <w:r>
        <w:t>1. The customs administrations shall develop, within the framework of Chapters 7, 44, and 50, expedited processing pathways for qualifying forest-products shippers with verified compliance histories, complete advance electronic documentation, and low risk indicators.</w:t>
      </w:r>
    </w:p>
    <w:p>
      <w:pPr>
        <w:pStyle w:val="Normal"/>
      </w:pPr>
      <w:r>
        <w:t>2. Service standards shall be expressed as measurable performance targets and shall not operate as absolute guarantees where inspection, safety, congestion, system failure, or particularized risk requires additional processing.</w:t>
      </w:r>
    </w:p>
    <w:p>
      <w:pPr>
        <w:pStyle w:val="Normal"/>
      </w:pPr>
      <w:r>
        <w:t>3. Where equivalent electronic certificates, grading records, or phytosanitary records are already available to the importing authority, the authority shall not require duplicative submission solely because the document was issued by the exporting Party.</w:t>
      </w:r>
    </w:p>
    <w:p>
      <w:pPr>
        <w:pStyle w:val="Heading2"/>
      </w:pPr>
      <w:bookmarkStart w:id="901594" w:name="_Toc300001593"/>
      <w:r>
        <w:t>Article 42.16: Forestry Resilience and Forest-Health Partnership</w:t>
      </w:r>
      <w:bookmarkEnd w:id="901594"/>
    </w:p>
    <w:p>
      <w:pPr>
        <w:pStyle w:val="Normal"/>
      </w:pPr>
      <w:r>
        <w:t>1. The Parties establish a cooperative North American Forestry Resilience and Forest-Health Partnership addressing wildfire prevention and recovery, pest and disease surveillance, reforestation, salvage utilization, forest restoration, sustainable harvesting, climate resilience, mill modernization, biomass and co-product utilization, and continuity of critical forest-product supply.</w:t>
      </w:r>
    </w:p>
    <w:p>
      <w:pPr>
        <w:pStyle w:val="Normal"/>
      </w:pPr>
      <w:r>
        <w:t>2. Projects may include shared research, interoperable forest-health data, joint exercises, technical exchanges, demonstration projects, and voluntary coordination of emergency supply and reconstruction needs.</w:t>
      </w:r>
    </w:p>
    <w:p>
      <w:pPr>
        <w:pStyle w:val="Normal"/>
      </w:pPr>
      <w:r>
        <w:t>3. Participation by Mexico in cooperative activities under this Article shall be on equal and voluntary terms. Nothing in this Article extends Canada-United States softwood-lumber trade-remedy rights or obligations to Mexico unless expressly agreed.</w:t>
      </w:r>
    </w:p>
    <w:p>
      <w:pPr>
        <w:pStyle w:val="Heading2"/>
      </w:pPr>
      <w:bookmarkStart w:id="901595" w:name="_Toc300001594"/>
      <w:r>
        <w:t>Article 42.17: Indigenous and Community Forestry Participation</w:t>
      </w:r>
      <w:bookmarkEnd w:id="901595"/>
    </w:p>
    <w:p>
      <w:pPr>
        <w:pStyle w:val="Normal"/>
      </w:pPr>
      <w:r>
        <w:t>1. Programs established under Articles 42.6, 42.12, and 42.16 shall provide fair and transparent access for Indigenous-owned, community-owned, cooperative, small, and medium-sized forestry enterprises that satisfy the applicable neutral eligibility criteria.</w:t>
      </w:r>
    </w:p>
    <w:p>
      <w:pPr>
        <w:pStyle w:val="Normal"/>
      </w:pPr>
      <w:r>
        <w:t>2. This Article does not create an automatic duty exemption based solely on ownership identity. It permits targeted technical assistance, certification support, market-access facilitation, capacity development, and participation in cooperative programs consistent with applicable law and Indigenous rights.</w:t>
      </w:r>
    </w:p>
    <w:p>
      <w:pPr>
        <w:pStyle w:val="Heading2"/>
      </w:pPr>
      <w:bookmarkStart w:id="901596" w:name="_Toc300001595"/>
      <w:r>
        <w:t>Article 42.18: Federal and Public-Sector Construction Cooperation</w:t>
      </w:r>
      <w:bookmarkEnd w:id="901596"/>
    </w:p>
    <w:p>
      <w:pPr>
        <w:pStyle w:val="Normal"/>
      </w:pPr>
      <w:r>
        <w:t>1. Subject to Chapter 13, each Party may recognize qualifying originating wood products of another Party in public construction, affordable-housing, emergency-reconstruction, infrastructure, and other procurement programs where such recognition is permitted by its applicable procurement commitments and domestic law.</w:t>
      </w:r>
    </w:p>
    <w:p>
      <w:pPr>
        <w:pStyle w:val="Normal"/>
      </w:pPr>
      <w:r>
        <w:t>2. The Parties shall examine whether equivalent fire, structural, grading, sustainability, and other technical certifications can reduce duplicative qualification costs for wood products considered for public-sector construction.</w:t>
      </w:r>
    </w:p>
    <w:p>
      <w:pPr>
        <w:pStyle w:val="Normal"/>
      </w:pPr>
      <w:r>
        <w:t>3. Nothing in this Article establishes a purchase mandate, guaranteed volume, or obligation to treat an imported product as domestic content where applicable procurement law provides otherwise.</w:t>
      </w:r>
    </w:p>
    <w:p>
      <w:pPr>
        <w:pStyle w:val="Heading2"/>
      </w:pPr>
      <w:bookmarkStart w:id="901597" w:name="_Toc300001596"/>
      <w:r>
        <w:t>Article 42.19: Softwood Lumber Technical Consultation and Cothrom Interface</w:t>
      </w:r>
      <w:bookmarkEnd w:id="901597"/>
    </w:p>
    <w:p>
      <w:pPr>
        <w:pStyle w:val="Normal"/>
      </w:pPr>
      <w:r>
        <w:t>1. A Party contemplating a material escalation of a Canada-United States softwood-lumber measure shall first use the expedited consultation and evidence-exchange procedures of this Chapter, except where an express emergency provision permits immediate provisional action.</w:t>
      </w:r>
    </w:p>
    <w:p>
      <w:pPr>
        <w:pStyle w:val="Normal"/>
      </w:pPr>
      <w:r>
        <w:t>2. Chapter 46 and Annex 35-F may be used to verify disputed factual questions, including benchmark comparability, supply conditions, certification equivalence, market-price evidence, or compliance with an agreed corrective step. Cothrom fact-finding does not itself create a new duty rate, quota, subsidy finding, or substantive forestry obligation.</w:t>
      </w:r>
    </w:p>
    <w:p>
      <w:pPr>
        <w:pStyle w:val="Normal"/>
      </w:pPr>
      <w:r>
        <w:t>3. Where a verified deficiency is corrected, the applicable remedy shall narrow, suspend, or terminate in accordance with the proportionality, earn-back, and automatic-restoration rules of Chapters 31 and 35.</w:t>
      </w:r>
    </w:p>
    <w:p>
      <w:pPr>
        <w:pStyle w:val="Heading2"/>
      </w:pPr>
      <w:bookmarkStart w:id="901598" w:name="_Toc300001597"/>
      <w:r>
        <w:t>Article 42.20: Performance Measurement and Rolling-Horizon Work Program</w:t>
      </w:r>
      <w:bookmarkEnd w:id="901598"/>
    </w:p>
    <w:p>
      <w:pPr>
        <w:pStyle w:val="Normal"/>
      </w:pPr>
      <w:r>
        <w:t>1. The responsible committees shall maintain a rolling-horizon work program covering litigation frequency and duration, effective duty burden, housing-supply indicators, border processing, utilization of mutual recognition, investment in value-added wood manufacturing, forest-health risks, SME participation, and other metrics necessary to evaluate this Chapter.</w:t>
      </w:r>
    </w:p>
    <w:p>
      <w:pPr>
        <w:pStyle w:val="Normal"/>
      </w:pPr>
      <w:r>
        <w:t>2. Reviews may recommend technical or substantive amendment through the procedures of Article 34.A, as applicable, but no right, recognition, safe harbor, or ordinary market-access treatment under this Chapter expires solely because a review date passes or consensus on an amendment is not reached.</w:t>
      </w:r>
    </w:p>
    <w:p>
      <w:pPr>
        <w:pStyle w:val="Normal"/>
      </w:pPr>
      <w:r>
        <w:t>3. The Commission shall publish non-confidential performance findings in a form understandable to affected industries, workers, communities, and consumers.</w:t>
      </w:r>
    </w:p>
    <w:p>
      <w:pPr>
        <w:pStyle w:val="Heading2"/>
      </w:pPr>
      <w:bookmarkStart w:id="901599" w:name="_Toc300001598"/>
      <w:r>
        <w:t>Article 42.X: Limited Bridge to Chapter 35</w:t>
      </w:r>
      <w:bookmarkEnd w:id="901599"/>
    </w:p>
    <w:p>
      <w:pPr>
        <w:pStyle w:val="Normal"/>
      </w:pPr>
      <w:r>
        <w:t>1. Nothing in this Chapter prevents recourse to Chapter 35 solely to determine whether a forestry-related measure independently constitutes a covered border measure, equivalent measure, substitute measure, or prohibited circumvention within Articles 35.3 through 35.4A.</w:t>
      </w:r>
    </w:p>
    <w:p>
      <w:pPr>
        <w:pStyle w:val="Normal"/>
      </w:pPr>
      <w:r>
        <w:t>2. Chapter 35 shall not be used to relitigate the merits of an antidumping, countervailing-duty, or safeguard determination governed by Chapter 10 except to the extent another provision expressly authorizes such review.</w:t>
      </w:r>
    </w:p>
    <w:p>
      <w:pPr>
        <w:pStyle w:val="Normal"/>
      </w:pPr>
      <w:r>
        <w:t>3. Any remedy under this bridge shall be confined to the independently established Chapter 35 violation and respect the module firewall, narrowest-sufficient-remedy rule, and anti-fragmentation principles.</w:t>
      </w:r>
    </w:p>
    <w:p>
      <w:pPr>
        <w:pStyle w:val="TrumpVisibilityHeadline"/>
      </w:pPr>
      <w:r>
        <w:t xml:space="preserve">★ </w:t>
      </w:r>
      <w:r>
        <w:t>VISIBLE U.S. WIN: SECURE CRITICAL-MINERAL COOPERATION PAIRED WITH A DURABLE FORESTRY SETTLEMENT</w:t>
      </w:r>
    </w:p>
    <w:p>
      <w:pPr>
        <w:pStyle w:val="Heading2"/>
      </w:pPr>
      <w:bookmarkStart w:id="901600" w:name="_Toc300001599"/>
      <w:r>
        <w:t>Article 42.19A: Strategic Minerals-for-Forestry Normalization Framework</w:t>
      </w:r>
      <w:bookmarkEnd w:id="901600"/>
    </w:p>
    <w:p>
      <w:pPr>
        <w:pStyle w:val="Normal"/>
      </w:pPr>
      <w:r>
        <w:t>1. Canada and the United States may establish a staged forestry-normalization arrangement linked to verified Canadian contributions to North American strategic-mineral access, processing, refining, qualification, reserve resilience, recycling, infrastructure, and surge capacity under Chapter 37.</w:t>
      </w:r>
    </w:p>
    <w:p>
      <w:pPr>
        <w:pStyle w:val="Normal"/>
      </w:pPr>
      <w:r>
        <w:t>2. Mexico may participate in the linked package where Mexican strategic-mineral contributions, industrial-input needs, processing, manufacturing, or forestry interests create material reciprocal value. Participation shall not impose Canada-United States softwood-lumber trade-remedy obligations on Mexico unless expressly agreed.</w:t>
      </w:r>
    </w:p>
    <w:p>
      <w:pPr>
        <w:pStyle w:val="Normal"/>
      </w:pPr>
      <w:r>
        <w:t>3. The purpose of linkage is to exchange measurable strategic and commercial value, not to condition lumber access on compulsory extraction or delivery of physically unavailable mineral tonnage.</w:t>
      </w:r>
    </w:p>
    <w:p>
      <w:pPr>
        <w:pStyle w:val="Heading2"/>
      </w:pPr>
      <w:bookmarkStart w:id="901601" w:name="_Toc300001600"/>
      <w:r>
        <w:t>Article 42.20A: Staged Forestry Normalization</w:t>
      </w:r>
      <w:bookmarkEnd w:id="901601"/>
    </w:p>
    <w:p>
      <w:pPr>
        <w:pStyle w:val="Normal"/>
      </w:pPr>
      <w:r>
        <w:t>1. A negotiated implementation schedule may provide staged reduction, suspension, replacement, settlement, quota conversion, or other lawful normalization of covered softwood-lumber measures as corresponding strategic-mineral institutions and commitments become operational.</w:t>
      </w:r>
    </w:p>
    <w:p>
      <w:pPr>
        <w:pStyle w:val="Normal"/>
      </w:pPr>
      <w:r>
        <w:t>2. Stage One may include a standstill on additional escalation and expedited review when the strategic-minerals access framework, project register, and applicable reserve or continuity protocols become operational.</w:t>
      </w:r>
    </w:p>
    <w:p>
      <w:pPr>
        <w:pStyle w:val="Normal"/>
      </w:pPr>
      <w:r>
        <w:t>3. Stage Two may provide additional relief upon verified implementation of agreed processing, investment, qualification, infrastructure, offtake, recycling, or supply-resilience milestones.</w:t>
      </w:r>
    </w:p>
    <w:p>
      <w:pPr>
        <w:pStyle w:val="Normal"/>
      </w:pPr>
      <w:r>
        <w:t>4. Stage Three may provide durable low-friction treatment, a negotiated managed-trade arrangement, or another agreed forestry settlement when the linked strategic-material package demonstrates sustained performance.</w:t>
      </w:r>
    </w:p>
    <w:p>
      <w:pPr>
        <w:pStyle w:val="Normal"/>
      </w:pPr>
      <w:r>
        <w:t>5. Exact tariff, duty, quota, volume, benchmark, and implementation terms require a schedule expressly adopted by the affected Parties. This Article does not itself predetermine the outcome of an antidumping, countervailing-duty, safeguard, or essential-security proceeding.</w:t>
      </w:r>
    </w:p>
    <w:p>
      <w:pPr>
        <w:pStyle w:val="Heading2"/>
      </w:pPr>
      <w:bookmarkStart w:id="901602" w:name="_Toc300001601"/>
      <w:r>
        <w:t>Article 42.21: Institutional Performance Rather Than Compulsory Tonnage</w:t>
      </w:r>
      <w:bookmarkEnd w:id="901602"/>
    </w:p>
    <w:p>
      <w:pPr>
        <w:pStyle w:val="Normal"/>
      </w:pPr>
      <w:r>
        <w:t>1. Mineral cooperation earns forestry-normalization benefits through verified institutional and commercial performance, including functioning access arrangements, qualified processing capacity, investment execution, stockpile or continuity readiness, traceability, recycling, or other agreed milestones, rather than through an unconditional requirement to extract or export a fixed volume.</w:t>
      </w:r>
    </w:p>
    <w:p>
      <w:pPr>
        <w:pStyle w:val="Normal"/>
      </w:pPr>
      <w:r>
        <w:t>2. Where an agreed project is delayed by geology, force majeure, labor disruption, safety requirements, permitting, judicial review, or another circumstance outside the reasonable control of the responsible Party, Cothrom review shall determine whether the Party materially performed the obligations within its control before any linked forestry benefit is reduced.</w:t>
      </w:r>
    </w:p>
    <w:p>
      <w:pPr>
        <w:pStyle w:val="Heading2"/>
      </w:pPr>
      <w:bookmarkStart w:id="901603" w:name="_Toc300001602"/>
      <w:r>
        <w:t>Article 42.22: Proportional Linkage and No Essential-Supply Cutoff</w:t>
      </w:r>
      <w:bookmarkEnd w:id="901603"/>
    </w:p>
    <w:p>
      <w:pPr>
        <w:pStyle w:val="Normal"/>
      </w:pPr>
      <w:r>
        <w:t>1. Failure of a linked milestone shall not automatically terminate unrelated strategic-mineral access or emergency continuity commitments. The Parties shall apply consultation, cure, the Narrowest-Sufficient-Remedy Rule, and proportionate adjustment of the paired benefit.</w:t>
      </w:r>
    </w:p>
    <w:p>
      <w:pPr>
        <w:pStyle w:val="Normal"/>
      </w:pPr>
      <w:r>
        <w:t>2. No remedy under this Article shall deliberately interrupt an essential strategic-material flow where doing so would create a disproportionate health, safety, defense, energy, agricultural, infrastructure, or major manufacturing risk. Equivalent commercial adjustment may be used instead.</w:t>
      </w:r>
    </w:p>
    <w:p>
      <w:pPr>
        <w:pStyle w:val="Heading2"/>
      </w:pPr>
      <w:bookmarkStart w:id="901604" w:name="_Toc300001603"/>
      <w:r>
        <w:t>Article 42.23: Joint Forestry and Strategic Materials Review</w:t>
      </w:r>
      <w:bookmarkEnd w:id="901604"/>
    </w:p>
    <w:p>
      <w:pPr>
        <w:pStyle w:val="Normal"/>
      </w:pPr>
      <w:r>
        <w:t>1. The responsible Chapter 37 and Chapter 42 bodies shall conduct a coordinated review of any linked package at least annually, addressing mineral-access performance, processing and investment milestones, lumber-market conditions, duty treatment, housing and construction effects, circumvention risk, and the distribution of benefits among the Parties.</w:t>
      </w:r>
    </w:p>
    <w:p>
      <w:pPr>
        <w:pStyle w:val="Normal"/>
      </w:pPr>
      <w:r>
        <w:t>2. The review shall apply the Three-Win Test and shall recommend adjustment where a linked package produces persistent uncompensated burdens for one Party or ceases to deliver the strategic purpose for which the linkage was created.</w:t>
      </w:r>
    </w:p>
    <w:p>
      <w:pPr>
        <w:pStyle w:val="Heading2"/>
      </w:pPr>
      <w:bookmarkStart w:id="901605" w:name="_Toc300001604"/>
      <w:r>
        <w:t>Article 42.23A: Strategic Materials-for-Forestry Normalization Ladder</w:t>
      </w:r>
      <w:bookmarkEnd w:id="901605"/>
    </w:p>
    <w:p>
      <w:pPr>
        <w:pStyle w:val="Normal"/>
      </w:pPr>
      <w:r>
        <w:t>1. Canada and the United States may adopt a bilateral implementation schedule translating verified strategic-material cooperation under Chapter 37 into defined, simultaneous forestry-normalization benefits. The schedule shall preserve the bilateral character of the historic Canada-United States softwood-lumber dispute and shall not impose those obligations on Mexico.</w:t>
      </w:r>
    </w:p>
    <w:p>
      <w:pPr>
        <w:pStyle w:val="Normal"/>
      </w:pPr>
      <w:r>
        <w:t>2. Level I: Preferred Access and Immediate Section 232 Normalization. A Level I package may include a bounded Preferred Commercial Access Portfolio focused principally on abundant or expandable materials, including aluminum, potash, zinc, iron inputs, or other mutually agreed materials; project and qualification information exchange; processing and recycling cooperation; and ordinary continuity consultation. Upon verified activation of the agreed Level I package, the United States shall simultaneously eliminate, suspend, or otherwise reduce to zero the additional 10 percent Section 232 softwood-lumber tariff identified in the applicable adopted schedule, subject to the legal instrument implementing that treatment.</w:t>
      </w:r>
    </w:p>
    <w:p>
      <w:pPr>
        <w:pStyle w:val="Normal"/>
      </w:pPr>
      <w:r>
        <w:t>3. Level II: Strategic Supply Partnership and Trade-Remedy Reduction. Additional voluntary offtake facilitation, stockpile or surge coordination, mine-to-manufacture investment corridors, incremental copper refining or other midstream expansion, market-stability cooperation, trusted external-feedstock integration, or larger preferred-access windows shall activate only against expressly identified and measurable reductions, suspensions, settlements, safe harbors, or other lawful normalization of the remaining antidumping, countervailing-duty, or equivalent softwood-lumber burden.</w:t>
      </w:r>
    </w:p>
    <w:p>
      <w:pPr>
        <w:pStyle w:val="Normal"/>
      </w:pPr>
      <w:r>
        <w:t>4. Level III: Continental Industrial Partnership and Durable Forestry Settlement. Sustained co-investment in processing, refining, recycling, strategic reserves, infrastructure, research, qualification, downstream manufacturing, and other high-value strategic-material capacity may be exchanged for a durable softwood-lumber settlement, market-based safe harbor, managed-trade arrangement, or other low-friction treatment expressly adopted by Canada and the United States.</w:t>
      </w:r>
    </w:p>
    <w:p>
      <w:pPr>
        <w:pStyle w:val="Normal"/>
      </w:pPr>
      <w:r>
        <w:t>5. The complete Strategic Materials Preferred Commercial Access Portfolio shall not be presumed to constitute consideration solely for Level I relief. Higher-value commodities, larger windows, uranium supply assurance, scarce-mineral cooperation, stockpile commitments, long-term offtake architecture, or major processing and investment commitments shall remain available as consideration for deeper Level II or Level III normalization unless expressly included in Level I by the supplying Party.</w:t>
      </w:r>
    </w:p>
    <w:p>
      <w:pPr>
        <w:pStyle w:val="Normal"/>
      </w:pPr>
      <w:r>
        <w:t>6. Each Level shall identify the strategic-material contribution and corresponding forestry benefit with sufficient precision to permit objective verification. Aspirational consultation, future consideration, or an unbounded promise to review shall not constitute equivalent consideration for an immediately enforceable strategic-material commitment.</w:t>
      </w:r>
    </w:p>
    <w:p>
      <w:pPr>
        <w:pStyle w:val="Normal"/>
      </w:pPr>
      <w:r>
        <w:t>7. Article 35.36 applies to every Level. Linked obligations shall activate concurrently or at matched milestones; verified failure shall ordinarily produce only a proportionate pause or step-back in the corresponding linked benefit; and restoration shall occur automatically when performance resumes.</w:t>
      </w:r>
    </w:p>
    <w:p>
      <w:pPr>
        <w:pStyle w:val="Heading2"/>
      </w:pPr>
      <w:bookmarkStart w:id="901606" w:name="_Toc300001605"/>
      <w:r>
        <w:t>Article 42.23B: No Double Payment, No Commodity Contagion, and Value Preservation</w:t>
      </w:r>
      <w:bookmarkEnd w:id="901606"/>
    </w:p>
    <w:p>
      <w:pPr>
        <w:pStyle w:val="Normal"/>
      </w:pPr>
      <w:r>
        <w:t>1. A strategic-material contribution credited toward one forestry-normalization milestone shall not be counted again as new consideration for a later milestone unless the later milestone is supported by additional duration, volume, investment, processing, resilience, or other measurable value.</w:t>
      </w:r>
    </w:p>
    <w:p>
      <w:pPr>
        <w:pStyle w:val="Normal"/>
      </w:pPr>
      <w:r>
        <w:t>2. A dispute involving one commodity shall be isolated to the value attributed to that commodity. Non-performance concerning uranium, zinc, copper, aluminum, potash, iron, gold, or another material shall not by itself unwind benefits earned through independently performing commodities or unrelated obligations.</w:t>
      </w:r>
    </w:p>
    <w:p>
      <w:pPr>
        <w:pStyle w:val="Normal"/>
      </w:pPr>
      <w:r>
        <w:t>3. Where the legal form of a United States trade-remedy measure prevents automatic tariff modification solely through this Agreement, the adopted schedule shall identify the lawful settlement, review, suspension, undertaking, exclusion, safe-harbor, or other implementing mechanism required and the deadline for its use. Canada shall not be required to activate the paired higher-level strategic-material concession until the corresponding implementing action is effective.</w:t>
      </w:r>
    </w:p>
    <w:p>
      <w:pPr>
        <w:pStyle w:val="Normal"/>
      </w:pPr>
      <w:r>
        <w:t>4. The annual joint review under Article 42.23 shall assess commensurability, including the commercial value, strategic importance, duration, reversibility, and enforceability of each side’s contribution. Persistent material imbalance shall trigger consultation and recalibration rather than automatic expansion of the supplying Party’s obligations.</w:t>
      </w:r>
    </w:p>
    <w:p>
      <w:pPr>
        <w:pStyle w:val="Heading2"/>
      </w:pPr>
      <w:bookmarkStart w:id="901607" w:name="_Toc300001606"/>
      <w:r>
        <w:t>Article 42.24: Trilateral Forestry and Wood-Products Integration Lane</w:t>
      </w:r>
      <w:bookmarkEnd w:id="901607"/>
    </w:p>
    <w:p>
      <w:pPr>
        <w:pStyle w:val="Normal"/>
      </w:pPr>
      <w:r>
        <w:t>1. In addition to the Canada-United States softwood-lumber dispute disciplines in Articles 42.2 through 42.4 and related provisions, the Parties establish a separate trilateral lane for North American forestry, lumber-supply resilience, value-added wood manufacturing, housing inputs, forest health, wildfire resilience, and circular forest products.</w:t>
      </w:r>
    </w:p>
    <w:p>
      <w:pPr>
        <w:pStyle w:val="Normal"/>
      </w:pPr>
      <w:r>
        <w:t>2. Mexico participates in the trilateral lane as a full Party. Participation does not require Mexico to adopt a position concerning the historic Canada-United States stumpage, antidumping, countervailing-duty, or other softwood-lumber disputes, and does not make Mexico responsible for obligations that are expressly bilateral between Canada and the United States.</w:t>
      </w:r>
    </w:p>
    <w:p>
      <w:pPr>
        <w:pStyle w:val="Normal"/>
      </w:pPr>
      <w:r>
        <w:t>3. The trilateral lane shall prioritize commercially useful cooperation that creates value in more than one Party and reduces unnecessary dependence on non-North-American supply without imposing mandatory production allocation among the Parties.</w:t>
      </w:r>
    </w:p>
    <w:p>
      <w:pPr>
        <w:pStyle w:val="Heading2"/>
      </w:pPr>
      <w:bookmarkStart w:id="901608" w:name="_Toc300001607"/>
      <w:r>
        <w:t>Article 42.25: Mexican Lumber Supply Security and Canadian Market Diversification</w:t>
      </w:r>
      <w:bookmarkEnd w:id="901608"/>
    </w:p>
    <w:p>
      <w:pPr>
        <w:pStyle w:val="Normal"/>
      </w:pPr>
      <w:r>
        <w:t>1. Canada and the United States shall facilitate commercially negotiated access for Mexican purchasers to qualifying North American lumber and wood products through supplier matching, transparent grading and certification, trusted-trader procedures, logistics cooperation, and long-term contracting where voluntarily agreed by private parties.</w:t>
      </w:r>
    </w:p>
    <w:p>
      <w:pPr>
        <w:pStyle w:val="Normal"/>
      </w:pPr>
      <w:r>
        <w:t>2. Canada and Mexico shall establish a market-diversification workstream to identify unnecessary administrative, certification, logistics, customs, or information barriers that materially inhibit commercially viable Canadian forest-product exports to Mexico.</w:t>
      </w:r>
    </w:p>
    <w:p>
      <w:pPr>
        <w:pStyle w:val="Normal"/>
      </w:pPr>
      <w:r>
        <w:t>3. Nothing in this Article guarantees a purchase volume, price, export quota, or supplier share. The objective is to enlarge commercially available North American supply options rather than redirect trade by administrative command.</w:t>
      </w:r>
    </w:p>
    <w:p>
      <w:pPr>
        <w:pStyle w:val="Heading2"/>
      </w:pPr>
      <w:bookmarkStart w:id="901609" w:name="_Toc300001608"/>
      <w:r>
        <w:t>Article 42.26: Mexican Value-Added Wood Manufacturing and North American Transformation</w:t>
      </w:r>
      <w:bookmarkEnd w:id="901609"/>
    </w:p>
    <w:p>
      <w:pPr>
        <w:pStyle w:val="Normal"/>
      </w:pPr>
      <w:r>
        <w:t>1. The Parties shall facilitate North American value-added wood manufacturing, including doors, windows, cabinetry, millwork, engineered components, prefabricated construction systems, mass-timber components, furniture inputs, structural systems, remanufactured products, and other higher-value forest products.</w:t>
      </w:r>
    </w:p>
    <w:p>
      <w:pPr>
        <w:pStyle w:val="Normal"/>
      </w:pPr>
      <w:r>
        <w:t>2. Qualifying Canadian or United States lumber substantially transformed in Mexico into an originating wood product shall receive the treatment available under Chapter 4 and applicable product-specific rules without discrimination merely because the downstream transformation occurred in Mexico.</w:t>
      </w:r>
    </w:p>
    <w:p>
      <w:pPr>
        <w:pStyle w:val="Normal"/>
      </w:pPr>
      <w:r>
        <w:t>3. The Commission may develop voluntary North American Wood Transformation credentials that reuse verified origin, grading, phytosanitary, sustainability, and chain-of-custody evidence to reduce duplicative compliance.</w:t>
      </w:r>
    </w:p>
    <w:p>
      <w:pPr>
        <w:pStyle w:val="Heading2"/>
      </w:pPr>
      <w:bookmarkStart w:id="901610" w:name="_Toc300001609"/>
      <w:r>
        <w:t>Article 42.27: Forest-to-Factory Corridors and Housing Inputs</w:t>
      </w:r>
      <w:bookmarkEnd w:id="901610"/>
    </w:p>
    <w:p>
      <w:pPr>
        <w:pStyle w:val="Normal"/>
      </w:pPr>
      <w:r>
        <w:t>1. The Parties may designate voluntary Forest-to-Factory Corridors connecting forest-producing regions, rail and port infrastructure, border facilities, Mexican and other North American manufacturing clusters, and construction markets.</w:t>
      </w:r>
    </w:p>
    <w:p>
      <w:pPr>
        <w:pStyle w:val="Normal"/>
      </w:pPr>
      <w:r>
        <w:t>2. Corridor cooperation may include pre-clearance, bonded movement, standardized electronic documentation, mutual recognition of equivalent grading and testing, logistics-data exchange, and infrastructure bottleneck identification.</w:t>
      </w:r>
    </w:p>
    <w:p>
      <w:pPr>
        <w:pStyle w:val="Normal"/>
      </w:pPr>
      <w:r>
        <w:t>3. Particular attention may be given to wood products used in housing supply, disaster reconstruction, modular construction, and affordable residential development, consistent with Articles 42.10 and 42.11.</w:t>
      </w:r>
    </w:p>
    <w:p>
      <w:pPr>
        <w:pStyle w:val="Heading2"/>
      </w:pPr>
      <w:bookmarkStart w:id="901611" w:name="_Toc300001610"/>
      <w:r>
        <w:t>Article 42.28: Salvage-to-Value and Forest Recovery Cooperation</w:t>
      </w:r>
      <w:bookmarkEnd w:id="901611"/>
    </w:p>
    <w:p>
      <w:pPr>
        <w:pStyle w:val="Normal"/>
      </w:pPr>
      <w:r>
        <w:t>1. Subject to phytosanitary, environmental, safety, and domestic-law requirements, the Parties shall facilitate lawful recovery and commercial use of suitable timber affected by wildfire, storm, pest, disease, or other forest disturbance where such use supports restoration, reduces waste, or supplies reconstruction and manufacturing needs.</w:t>
      </w:r>
    </w:p>
    <w:p>
      <w:pPr>
        <w:pStyle w:val="Normal"/>
      </w:pPr>
      <w:r>
        <w:t>2. Cooperation may include expedited technical determinations, grading and moisture protocols, pest-risk controls, transport coordination, biomass and residual-use pathways, and data concerning material suitable for remanufacturing or engineered products.</w:t>
      </w:r>
    </w:p>
    <w:p>
      <w:pPr>
        <w:pStyle w:val="Heading2"/>
      </w:pPr>
      <w:bookmarkStart w:id="901612" w:name="_Toc300001611"/>
      <w:r>
        <w:t>Article 42.29: Mexico Non-Participation Firewall for Bilateral Lumber Remedies</w:t>
      </w:r>
      <w:bookmarkEnd w:id="901612"/>
    </w:p>
    <w:p>
      <w:pPr>
        <w:pStyle w:val="Normal"/>
      </w:pPr>
      <w:r>
        <w:t>1. No finding, remedy, cash-deposit rate, benchmark determination, settlement condition, or Cothrom step-back arising solely from the historic Canada-United States softwood-lumber dispute shall be attributed to Mexico or applied to Mexican originating forest products solely by reason of Mexico's participation in this Chapter.</w:t>
      </w:r>
    </w:p>
    <w:p>
      <w:pPr>
        <w:pStyle w:val="Normal"/>
      </w:pPr>
      <w:r>
        <w:t>2. A trilateral forestry benefit may be suspended with respect to Mexico only on the basis of conduct attributable to Mexico under that benefit and only through the applicable evidentiary and proportionality procedures of this Agreement.</w:t>
      </w:r>
    </w:p>
    <w:p>
      <w:pPr>
        <w:pStyle w:val="Heading1"/>
      </w:pPr>
      <w:bookmarkStart w:id="901613" w:name="_Toc300001612"/>
      <w:r>
        <w:t>CHAPTER 43</w:t>
      </w:r>
      <w:r>
        <w:br/>
      </w:r>
      <w:r>
        <w:t>AGRICULTURAL MARKET ACCESS, COMPETITIVE NEUTRALITY, AND INNOVATION</w:t>
      </w:r>
      <w:bookmarkEnd w:id="901613"/>
    </w:p>
    <w:p>
      <w:pPr>
        <w:pStyle w:val="Heading2"/>
      </w:pPr>
      <w:bookmarkStart w:id="901614" w:name="_Toc300001613"/>
      <w:r>
        <w:t>Article 43.1: Balanced Agricultural Market Access</w:t>
      </w:r>
      <w:bookmarkEnd w:id="901614"/>
    </w:p>
    <w:p>
      <w:pPr>
        <w:pStyle w:val="Normal"/>
      </w:pPr>
      <w:r>
        <w:t>1. The Parties shall administer agricultural tariff-rate quotas transparently, predictably, and so as to facilitate commercially meaningful utilization while preserving each Party's express schedules, sensitive-sector commitments, and domestic agricultural policy structures except where specifically amended.</w:t>
      </w:r>
    </w:p>
    <w:p>
      <w:pPr>
        <w:pStyle w:val="Normal"/>
      </w:pPr>
      <w:r>
        <w:t>2. Any negotiated expansion of agricultural access shall be reciprocal or accompanied by a clearly identified offsetting benefit and shall be implemented through published schedules rather than informal purchase targets.</w:t>
      </w:r>
    </w:p>
    <w:p>
      <w:pPr>
        <w:pStyle w:val="Heading2"/>
      </w:pPr>
      <w:bookmarkStart w:id="901615" w:name="_Toc300001614"/>
      <w:r>
        <w:t>Article 43.1A: Supply Management Sovereignty and Negotiated Market Access</w:t>
      </w:r>
      <w:bookmarkEnd w:id="901615"/>
    </w:p>
    <w:p>
      <w:pPr>
        <w:pStyle w:val="Normal"/>
      </w:pPr>
      <w:r>
        <w:rPr>
          <w:b/>
        </w:rPr>
        <w:t>1. Preservation of Canadian Supply Management.</w:t>
      </w:r>
      <w:r>
        <w:t xml:space="preserve"> Canada retains authority to maintain supply-management systems for dairy, chicken, turkey, table eggs, broiler hatching eggs and chicks, including production planning, producer quota, pooling, administered pricing, and related domestic institutions. Nothing in this Agreement requires Canada to abolish, privatize, terminate, or fundamentally restructure those systems except through an express amendment to which Canada affirmatively agrees. Canada shall nevertheless administer expressly scheduled market-access commitments in good faith and shall not use a supply-management instrument to nullify or materially frustrate access that this Agreement specifically grants. This paragraph preserves the domestic system while leaving the negotiated border commitment fully enforceable.</w:t>
      </w:r>
    </w:p>
    <w:p>
      <w:pPr>
        <w:pStyle w:val="Normal"/>
      </w:pPr>
      <w:r>
        <w:rPr>
          <w:b/>
        </w:rPr>
        <w:t>2. Access Is Not Abolition.</w:t>
      </w:r>
      <w:r>
        <w:t xml:space="preserve"> A permanent increase in a tariff-rate quota, a specialty pool, a seasonal window, a pilot, or another negotiated access concession constitutes market access and not structural reform unless the instrument expressly states otherwise. Implementation may require administrative adjustments reasonably necessary to make the concession commercially usable, but it does not create an obligation to alter unrelated producer quota, pooling, pricing, or marketing institutions. No Party may infer a commitment to dismantle supply management from the size, utilization, duration, or commercial success of an access concession. A claim concerning access shall therefore identify the particular scheduled commitment alleged to have been impaired.</w:t>
      </w:r>
    </w:p>
    <w:p>
      <w:pPr>
        <w:pStyle w:val="Normal"/>
      </w:pPr>
      <w:r>
        <w:rPr>
          <w:b/>
        </w:rPr>
        <w:t>3. No Automatic Ratchet.</w:t>
      </w:r>
      <w:r>
        <w:t xml:space="preserve"> High quota utilization, increased consumption, increased foreign production, successful pilot access, a period without demonstrated injury, or a temporary emergency surge does not automatically enlarge permanent access. A review may use those facts as evidence for future negotiations but may not convert them into a binding quantity without express agreement. Temporary or emergency volumes expire under their own terms and do not become part of the ordinary baseline. More specific no-ratchet protections in Article 43.2A through Article 43.2L remain fully applicable to dairy.</w:t>
      </w:r>
    </w:p>
    <w:p>
      <w:pPr>
        <w:pStyle w:val="Normal"/>
      </w:pPr>
      <w:r>
        <w:rPr>
          <w:b/>
        </w:rPr>
        <w:t>4. Reciprocity and Offsetting Benefit.</w:t>
      </w:r>
      <w:r>
        <w:t xml:space="preserve"> New permanent access beyond an existing schedule requires express agreement and shall be reciprocal or accompanied by a clearly identified offsetting benefit consistent with Article 43.1. The offsetting benefit may arise in agriculture or another mutually agreed sector and need not consist of an identical product-for-product exchange. An informal purchase target, political request, utilization forecast, or unilateral administrative demand does not create a market-access obligation. Any agreed increase shall be implemented through a published schedule identifying the product, quantity, effective date, duration, and relationship to pre-existing access.</w:t>
      </w:r>
    </w:p>
    <w:p>
      <w:pPr>
        <w:pStyle w:val="Normal"/>
      </w:pPr>
      <w:r>
        <w:rPr>
          <w:b/>
        </w:rPr>
        <w:t>5. Party-Neutral Architecture.</w:t>
      </w:r>
      <w:r>
        <w:t xml:space="preserve"> The rights to transparent administration, emergency cooperation, disease regionalization, and commercially usable access established in Articles 43.1B through 43.1R apply on a Party-neutral basis unless a provision expressly establishes a bilateral arrangement. Party-neutral treatment does not require the United States or Mexico to adopt Canadian supply-management institutions. It also does not prevent a Party from maintaining a different domestic agricultural policy where that policy complies with its express obligations. Differences in domestic production systems shall not by themselves establish discrimination.</w:t>
      </w:r>
    </w:p>
    <w:p>
      <w:pPr>
        <w:pStyle w:val="Normal"/>
      </w:pPr>
      <w:r>
        <w:rPr>
          <w:b/>
        </w:rPr>
        <w:t>6. Enforcement Boundary.</w:t>
      </w:r>
      <w:r>
        <w:t xml:space="preserve"> A dispute under this framework shall distinguish the existence of a domestic supply-management system from the administration of an express trade commitment. Panels may order compliance with a scheduled access, transparency, licensing, emergency, or non-discrimination obligation where the applicable standard is met. They shall not treat the mere maintenance of supply management as a breach where no other obligation has been violated. Any responsive measure remains subject to Chapter 31, Chapter 35, proportionality, verification, and the Cothrom cure sequence.</w:t>
      </w:r>
    </w:p>
    <w:p>
      <w:pPr>
        <w:pStyle w:val="Heading2"/>
      </w:pPr>
      <w:bookmarkStart w:id="901616" w:name="_Toc300001615"/>
      <w:r>
        <w:t>Article 43.1B: Poultry and Egg TRQ Administration and Commercial Usability</w:t>
      </w:r>
      <w:bookmarkEnd w:id="901616"/>
    </w:p>
    <w:p>
      <w:pPr>
        <w:pStyle w:val="Normal"/>
      </w:pPr>
      <w:r>
        <w:rPr>
          <w:b/>
        </w:rPr>
        <w:t>1. Published Administration.</w:t>
      </w:r>
      <w:r>
        <w:t xml:space="preserve"> Each Party shall publish for covered poultry and egg tariff-rate quotas the eligibility rules, application window, allocation methodology, transfer rules, return deadlines, reallocation procedure, utilization methodology, and review rights before the quota year begins. Changes during a quota year shall be limited to measures necessary to correct an administrative defect, respond to an emergency, or implement an agreed amendment. A change shall be accompanied by reasons and reasonable transitional treatment for commitments already made in reliance on the prior rule. The publication shall be available through the agricultural single-window function described in Annex 43-C.</w:t>
      </w:r>
    </w:p>
    <w:p>
      <w:pPr>
        <w:pStyle w:val="Normal"/>
      </w:pPr>
      <w:r>
        <w:rPr>
          <w:b/>
        </w:rPr>
        <w:t>2. Commercially Usable Allocation.</w:t>
      </w:r>
      <w:r>
        <w:t xml:space="preserve"> An allocation system shall provide importers a practical opportunity to use negotiated access rather than merely making a quantity legally available on paper. Eligibility may include processors, further processors, distributors, retailers, food-service operators, cooperatives, end users, and new entrants where appropriate to the product. A Party may use product-specific pools where objectively justified but shall not design a pool so narrowly that commercially capable applicants are systematically excluded. The administering authority shall publish reasons for any material eligibility restriction.</w:t>
      </w:r>
    </w:p>
    <w:p>
      <w:pPr>
        <w:pStyle w:val="Normal"/>
      </w:pPr>
      <w:r>
        <w:rPr>
          <w:b/>
        </w:rPr>
        <w:t>3. New Entrant Access.</w:t>
      </w:r>
      <w:r>
        <w:t xml:space="preserve"> Each Party shall maintain a meaningful pathway for commercially capable new entrants to obtain poultry or egg quota without requiring a history that a new entrant cannot possess. The Party may establish a dedicated reserve, competitive pool, turnover mechanism, or comparable method suited to its market. Unused new-entrant allocations shall be returned and reallocated under the same commercial-usability principles that apply to other allocations. Beneficial-ownership rules may prevent affiliated entities from multiplying claims to a new-entrant pool.</w:t>
      </w:r>
    </w:p>
    <w:p>
      <w:pPr>
        <w:pStyle w:val="Normal"/>
      </w:pPr>
      <w:r>
        <w:rPr>
          <w:b/>
        </w:rPr>
        <w:t>4. Use-or-Return.</w:t>
      </w:r>
      <w:r>
        <w:t xml:space="preserve"> Quota holders that reasonably expect not to use an allocation shall return the unused quantity by the published return date. The administering authority shall reoffer returned or clearly abandoned quantities early enough for another qualified operator to complete a commercially realistic transaction. A Party may reduce a persistently unused allocation after notice, an opportunity to explain genuine market circumstances, and a reasoned determination. Non-use caused principally by demand weakness, exporter shortage, disease, price, or logistics shall not be treated as administrative obstruction.</w:t>
      </w:r>
    </w:p>
    <w:p>
      <w:pPr>
        <w:pStyle w:val="Normal"/>
      </w:pPr>
      <w:r>
        <w:rPr>
          <w:b/>
        </w:rPr>
        <w:t>5. Utilization Diagnosis.</w:t>
      </w:r>
      <w:r>
        <w:t xml:space="preserve"> Utilization below a published benchmark triggers diagnosis rather than an automatic increase in access or finding of breach. The review shall distinguish market underfill from government-caused underutilization, including discriminatory eligibility, avoidable licensing delay, unusable allocation timing, or withholding of returned quantities. Where administration materially caused underutilization, corrective measures may include accelerated processing, eligibility correction, reallocation, or temporary make-up access proportionate to the lost opportunity. Where market conditions caused underfill, the authority shall record the finding and no remedial access is required solely because the numerical utilization rate was low.</w:t>
      </w:r>
    </w:p>
    <w:p>
      <w:pPr>
        <w:pStyle w:val="Normal"/>
      </w:pPr>
      <w:r>
        <w:rPr>
          <w:b/>
        </w:rPr>
        <w:t>6. Review and Reasons.</w:t>
      </w:r>
      <w:r>
        <w:t xml:space="preserve"> An applicant denied eligibility, allocation, transfer, or reallocation shall receive a concise statement of reasons sufficient to permit review. A domestic administrative review shall be available on an expedited basis where delay would make the quota commercially useless. The reviewing authority may preserve an uncontested portion of an allocation while a disputed portion is examined. Nothing in this paragraph prevents confidential business information from receiving the protections required by domestic law and this Agreement.</w:t>
      </w:r>
    </w:p>
    <w:p>
      <w:pPr>
        <w:pStyle w:val="Heading2"/>
      </w:pPr>
      <w:bookmarkStart w:id="901617" w:name="_Toc300001616"/>
      <w:r>
        <w:t>Article 43.1C: Permanent Access, Temporary Flexibility, and No-Ratchet Rules</w:t>
      </w:r>
      <w:bookmarkEnd w:id="901617"/>
    </w:p>
    <w:p>
      <w:pPr>
        <w:pStyle w:val="Normal"/>
      </w:pPr>
      <w:r>
        <w:rPr>
          <w:b/>
        </w:rPr>
        <w:t>1. Permanent Quantities.</w:t>
      </w:r>
      <w:r>
        <w:t xml:space="preserve"> Existing scheduled quantities remain the permanent baseline unless expressly amended by the Parties concerned. This framework does not itself create an automatic annual percentage increase in poultry or egg access. A Party may voluntarily negotiate a growth schedule, but the schedule must identify its duration, calculation method, and terminal quantity. At expiration, no further increase occurs unless the Parties expressly agree.</w:t>
      </w:r>
    </w:p>
    <w:p>
      <w:pPr>
        <w:pStyle w:val="Normal"/>
      </w:pPr>
      <w:r>
        <w:rPr>
          <w:b/>
        </w:rPr>
        <w:t>2. Seasonal Flexibility.</w:t>
      </w:r>
      <w:r>
        <w:t xml:space="preserve"> A Party may permit seasonal movement of quota within a quota year where the total annual commitment is not reduced and the adjustment improves commercial usability. Seasonal flexibility shall not automatically increase the annual quantity or create a precedent for another product. The authority shall publish the affected period, amount, and allocation method before the adjustment takes effect. Emergency flexibility under Article 43.1G is governed separately and does not consume permanent negotiating space.</w:t>
      </w:r>
    </w:p>
    <w:p>
      <w:pPr>
        <w:pStyle w:val="Normal"/>
      </w:pPr>
      <w:r>
        <w:rPr>
          <w:b/>
        </w:rPr>
        <w:t>3. Transfers and Portability.</w:t>
      </w:r>
      <w:r>
        <w:t xml:space="preserve"> A Party may permit transfers among eligible quota holders under transparent rules that prevent warehousing, sham transfers, and beneficial-ownership concentration. Transferability may be broader during a verified shortage when rapid movement of unused access would materially improve supply. Cross-product substitution shall occur only where the schedule or an emergency determination expressly permits it and the products are commercially suitable for the identified need. No transfer changes the origin requirement applicable to the imported good.</w:t>
      </w:r>
    </w:p>
    <w:p>
      <w:pPr>
        <w:pStyle w:val="Normal"/>
      </w:pPr>
      <w:r>
        <w:rPr>
          <w:b/>
        </w:rPr>
        <w:t>4. Carry Treatment.</w:t>
      </w:r>
      <w:r>
        <w:t xml:space="preserve"> Carry-forward or carry-back may be authorized only through a published rule that caps the quantity and prevents double counting across quota years. Unused quota is not presumed to accumulate indefinitely. Emergency borrowing from a future period shall identify how the later period is adjusted and shall not silently create permanent additional access. The Committee shall publish worked accounting examples in Annex 43-C.</w:t>
      </w:r>
    </w:p>
    <w:p>
      <w:pPr>
        <w:pStyle w:val="Normal"/>
      </w:pPr>
      <w:r>
        <w:rPr>
          <w:b/>
        </w:rPr>
        <w:t>5. No Injury Presumption.</w:t>
      </w:r>
      <w:r>
        <w:t xml:space="preserve"> Successful imports within a negotiated quota do not establish that additional access would be harmless. Conversely, the existence of supply management does not establish that negotiated access is commercially unusable. Any future access negotiation may consider producer conditions, consumer affordability, processing capacity, food security, trade flows, and reciprocal benefits. No single indicator creates an entitlement to a particular negotiating outcome.</w:t>
      </w:r>
    </w:p>
    <w:p>
      <w:pPr>
        <w:pStyle w:val="Normal"/>
      </w:pPr>
      <w:r>
        <w:rPr>
          <w:b/>
        </w:rPr>
        <w:t>6. Baseline Integrity.</w:t>
      </w:r>
      <w:r>
        <w:t xml:space="preserve"> The Secretariat shall maintain a machine-readable baseline identifying permanent scheduled access, temporary emergency access, make-up access, and optional bilateral concessions as separate categories. Volumes shall not migrate between categories merely because customs systems use a common tariff line. The baseline shall identify amendments and expiration dates without rewriting historical commitments. A discrepancy shall be corrected through technical consultation and shall not be resolved by unilateral expansion of access.</w:t>
      </w:r>
    </w:p>
    <w:p>
      <w:pPr>
        <w:pStyle w:val="Heading2"/>
      </w:pPr>
      <w:bookmarkStart w:id="901618" w:name="_Toc300001617"/>
      <w:r>
        <w:t>Article 43.1D: North American Poultry and Egg Supply Observatory</w:t>
      </w:r>
      <w:bookmarkEnd w:id="901618"/>
    </w:p>
    <w:p>
      <w:pPr>
        <w:pStyle w:val="Normal"/>
      </w:pPr>
      <w:r>
        <w:rPr>
          <w:b/>
        </w:rPr>
        <w:t>1. Integrated Monitoring.</w:t>
      </w:r>
      <w:r>
        <w:t xml:space="preserve"> The Parties shall establish a Poultry and Egg Supply Observatory using existing NAESTMA data infrastructure rather than a duplicative secretariat. The Observatory shall monitor production, flock and laying capacity, hatching capacity, inventories, wholesale and retail prices, feed costs, imports, exports, TRQ utilization, processing capacity, and material disease events. Data shall be reported at the most useful regional level consistent with confidentiality and statistical reliability. The Observatory is an information and early-warning function and does not itself regulate production or prices.</w:t>
      </w:r>
    </w:p>
    <w:p>
      <w:pPr>
        <w:pStyle w:val="Normal"/>
      </w:pPr>
      <w:r>
        <w:rPr>
          <w:b/>
        </w:rPr>
        <w:t>2. Common Data Dictionary.</w:t>
      </w:r>
      <w:r>
        <w:t xml:space="preserve"> Within 180 days, the Parties shall publish a common data dictionary defining covered products, units, reporting periods, utilization, inventory, flock loss, shortage, and price indicators. National statistical series may continue to use domestic methodologies if the concordance explains material differences. The Parties shall not fabricate comparability by suppressing a legitimate methodological difference. Technical corrections may be adopted by consensus without reopening the Agreement.</w:t>
      </w:r>
    </w:p>
    <w:p>
      <w:pPr>
        <w:pStyle w:val="Normal"/>
      </w:pPr>
      <w:r>
        <w:rPr>
          <w:b/>
        </w:rPr>
        <w:t>3. Forecasting.</w:t>
      </w:r>
      <w:r>
        <w:t xml:space="preserve"> The Observatory shall publish a quarterly twelve-month outlook for major poultry and egg categories using national forecasts and identified assumptions. The outlook shall include feed-grain conditions, expected flock changes, processing constraints, major seasonal demand, and known disease risks where reliable information exists. Forecasts are planning tools and shall not constitute production quotas, purchase commitments, or guarantees. Material revisions shall be timestamped and explained.</w:t>
      </w:r>
    </w:p>
    <w:p>
      <w:pPr>
        <w:pStyle w:val="Normal"/>
      </w:pPr>
      <w:r>
        <w:rPr>
          <w:b/>
        </w:rPr>
        <w:t>4. Price Monitoring.</w:t>
      </w:r>
      <w:r>
        <w:t xml:space="preserve"> The Observatory shall track farm-gate, wholesale, and retail price series where available and shall distinguish nominal price movement from inflation-adjusted movement. A price increase may support an early-warning assessment but does not alone establish a physical shortage or treaty breach. Where an abnormal price movement appears disconnected from production and inventory conditions, the Parties may examine logistics, processing, concentration, or other market factors within their lawful competence. Confidential firm-level data shall not be publicly disclosed.</w:t>
      </w:r>
    </w:p>
    <w:p>
      <w:pPr>
        <w:pStyle w:val="Normal"/>
      </w:pPr>
      <w:r>
        <w:rPr>
          <w:b/>
        </w:rPr>
        <w:t>5. Early Warning.</w:t>
      </w:r>
      <w:r>
        <w:t xml:space="preserve"> The Observatory shall issue an early-warning notice when multiple indicators show a material risk of shortage, severe regional imbalance, or extraordinary supply disruption. The notice shall identify the indicators relied upon, affected products and regions, expected duration, and confidence level. An early-warning notice initiates technical consultation but does not automatically open additional permanent market access. A Party may request immediate shortage verification under Article 43.1F without waiting for a scheduled report.</w:t>
      </w:r>
    </w:p>
    <w:p>
      <w:pPr>
        <w:pStyle w:val="Normal"/>
      </w:pPr>
      <w:r>
        <w:rPr>
          <w:b/>
        </w:rPr>
        <w:t>6. Public Dashboard.</w:t>
      </w:r>
      <w:r>
        <w:t xml:space="preserve"> Non-confidential supply, utilization, emergency, and disease-regionalization information shall be made available through a public dashboard. The dashboard shall identify active emergency measures, quantities authorized, quantities used, and scheduled expiration dates. Historical data shall remain accessible so stakeholders can distinguish temporary crises from structural trends. The Committee shall audit data completeness annually and publish a correction log.</w:t>
      </w:r>
    </w:p>
    <w:p>
      <w:pPr>
        <w:pStyle w:val="Heading2"/>
      </w:pPr>
      <w:bookmarkStart w:id="901619" w:name="_Toc300001618"/>
      <w:r>
        <w:t>Article 43.1E: Consumer Affordability, Producer Stability, and Supply Continuity</w:t>
      </w:r>
      <w:bookmarkEnd w:id="901619"/>
    </w:p>
    <w:p>
      <w:pPr>
        <w:pStyle w:val="Normal"/>
      </w:pPr>
      <w:r>
        <w:rPr>
          <w:b/>
        </w:rPr>
        <w:t>1. Balanced Objective.</w:t>
      </w:r>
      <w:r>
        <w:t xml:space="preserve"> The Parties recognize reliable producer returns, consumer affordability, animal health, competitive processing and distribution, food security, and continuity of supply as legitimate and mutually relevant objectives. No single objective is categorically superior to the others under this framework. Measures shall be designed to address the demonstrated problem without unnecessarily destabilizing another part of the supply chain. This balance does not alter an express tariff-rate quota or domestic support commitment elsewhere in the Agreement.</w:t>
      </w:r>
    </w:p>
    <w:p>
      <w:pPr>
        <w:pStyle w:val="Normal"/>
      </w:pPr>
      <w:r>
        <w:rPr>
          <w:b/>
        </w:rPr>
        <w:t>2. Affordability Assessment.</w:t>
      </w:r>
      <w:r>
        <w:t xml:space="preserve"> A Party experiencing persistent abnormal retail-price increases may request an expedited supply-and-price assessment by the Observatory. The assessment shall examine physical availability, flock and production losses, inventories, feed and energy costs, processing constraints, logistics, imports, exports, and other material factors supported by evidence. Price increases alone do not establish a violation or automatically require additional imports. Where a verified shortage materially contributes to extraordinary consumer prices, the Party shall promptly consider the least disruptive available supply-continuity measure.</w:t>
      </w:r>
    </w:p>
    <w:p>
      <w:pPr>
        <w:pStyle w:val="Normal"/>
      </w:pPr>
      <w:r>
        <w:rPr>
          <w:b/>
        </w:rPr>
        <w:t>3. Producer Protection.</w:t>
      </w:r>
      <w:r>
        <w:t xml:space="preserve"> Emergency imports shall supplement a demonstrated supply deficit and shall not require destruction, forced sale, uncompensated displacement, or an automatic reduction of domestic production quota. A Party may phase or geographically target emergency volumes to reduce avoidable disruption as domestic production recovers. The existence of temporary imported supply does not determine the appropriate long-term domestic production level. Producer-support measures remain subject to the applicable subsidy and agricultural obligations of this Agreement.</w:t>
      </w:r>
    </w:p>
    <w:p>
      <w:pPr>
        <w:pStyle w:val="Normal"/>
      </w:pPr>
      <w:r>
        <w:rPr>
          <w:b/>
        </w:rPr>
        <w:t>4. Food-Service and Institutional Continuity.</w:t>
      </w:r>
      <w:r>
        <w:t xml:space="preserve"> Shortage measures may distinguish shell eggs, liquid egg, frozen egg, dried egg, poultry meat, hatching stock, and other products according to actual commercial need. Institutional and food-service users may receive processed substitutes where those products can relieve pressure on retail supply. The administering authority shall avoid requiring a product form that cannot practically substitute for the shortage being addressed. Emergency product flexibility does not alter permanent product classifications.</w:t>
      </w:r>
    </w:p>
    <w:p>
      <w:pPr>
        <w:pStyle w:val="Normal"/>
      </w:pPr>
      <w:r>
        <w:rPr>
          <w:b/>
        </w:rPr>
        <w:t>5. Vulnerable Consumers.</w:t>
      </w:r>
      <w:r>
        <w:t xml:space="preserve"> A Party may prioritize food banks, hospitals, schools, remote communities, disaster response, and other vulnerable-consumer channels when allocating publicly controlled emergency stocks. Commercial emergency imports need not be restricted to those channels unless the activation instrument so provides. Any priority rule shall be transparent, temporary, and related to the verified shortage. Nothing requires a Party to create a new consumer subsidy program.</w:t>
      </w:r>
    </w:p>
    <w:p>
      <w:pPr>
        <w:pStyle w:val="Normal"/>
      </w:pPr>
      <w:r>
        <w:rPr>
          <w:b/>
        </w:rPr>
        <w:t>6. Post-Event Review.</w:t>
      </w:r>
      <w:r>
        <w:t xml:space="preserve"> Within 90 days after a major emergency closes, the Committee shall publish a non-confidential review of supply effects, consumer-price effects, producer effects, logistics performance, and administrative bottlenecks. The review shall distinguish correlation from demonstrated causation. Recommendations may improve future emergency procedures but shall not automatically amend permanent access. A Party may attach a reasoned dissent to the review.</w:t>
      </w:r>
    </w:p>
    <w:p>
      <w:pPr>
        <w:pStyle w:val="Heading2"/>
      </w:pPr>
      <w:bookmarkStart w:id="901620" w:name="_Toc300001619"/>
      <w:r>
        <w:t>Article 43.1F: Verified Poultry and Egg Shortage Determination</w:t>
      </w:r>
      <w:bookmarkEnd w:id="901620"/>
    </w:p>
    <w:p>
      <w:pPr>
        <w:pStyle w:val="Normal"/>
      </w:pPr>
      <w:r>
        <w:rPr>
          <w:b/>
        </w:rPr>
        <w:t>1. Qualifying Events.</w:t>
      </w:r>
      <w:r>
        <w:t xml:space="preserve"> A shortage assessment may be initiated for avian influenza or another animal disease, extreme weather, feed disruption, processing failure, transportation interruption, disaster, abrupt production loss, or another objectively evidenced event materially reducing available supply. A demand shock may also qualify where ordinary supply and existing access cannot reasonably respond in time. Political preference for lower prices without evidence of supply stress does not by itself constitute a shortage. The assessment shall identify the product and geographic scope rather than assuming a nationwide shortage.</w:t>
      </w:r>
    </w:p>
    <w:p>
      <w:pPr>
        <w:pStyle w:val="Normal"/>
      </w:pPr>
      <w:r>
        <w:rPr>
          <w:b/>
        </w:rPr>
        <w:t>2. Evidence Package.</w:t>
      </w:r>
      <w:r>
        <w:t xml:space="preserve"> The requesting Party shall provide available evidence concerning production, inventory, expected duration, affected regions, existing quota availability, domestic redistribution options, and relevant price conditions. Perfect data is not required where delay would materially worsen an emergency. The other Parties may submit contrary or supplementary evidence within the accelerated review period. The record shall be updated as better information becomes available.</w:t>
      </w:r>
    </w:p>
    <w:p>
      <w:pPr>
        <w:pStyle w:val="Normal"/>
      </w:pPr>
      <w:r>
        <w:rPr>
          <w:b/>
        </w:rPr>
        <w:t>3. Rapid Verification.</w:t>
      </w:r>
      <w:r>
        <w:t xml:space="preserve"> Technical officials shall begin review within 24 hours of a complete or emergency-accepted request and shall target an initial determination within 48 hours. Where immediate food-security needs make a full determination impracticable, provisional relief may be authorized for not more than seven days while verification continues. Provisional relief expires automatically unless the evidentiary standard is met. The determination shall state the facts, product scope, geographic scope, expected duration, and selected response tier.</w:t>
      </w:r>
    </w:p>
    <w:p>
      <w:pPr>
        <w:pStyle w:val="Normal"/>
      </w:pPr>
      <w:r>
        <w:rPr>
          <w:b/>
        </w:rPr>
        <w:t>4. Regional First Response.</w:t>
      </w:r>
      <w:r>
        <w:t xml:space="preserve"> Where practicable, the affected Party shall first identify whether unaffected domestic regions can relieve the shortage without unreasonable delay or cost. This inquiry shall not become a precondition that delays necessary cross-border assistance where domestic redistribution is plainly inadequate. Disease-control measures shall respect recognized regionalization so an outbreak in one area does not automatically disqualify unaffected supply. The record shall identify any domestic logistical barrier that materially limits redistribution.</w:t>
      </w:r>
    </w:p>
    <w:p>
      <w:pPr>
        <w:pStyle w:val="Normal"/>
      </w:pPr>
      <w:r>
        <w:rPr>
          <w:b/>
        </w:rPr>
        <w:t>5. Existing Access First.</w:t>
      </w:r>
      <w:r>
        <w:t xml:space="preserve"> Unused ordinary quota, returned allocations, and already-authorized commercial imports shall be considered before creating additional emergency volume where they can realistically reach the affected market in time. The authority shall accelerate reallocation and licensing rather than leave usable existing access idle. If existing access is insufficient, commercially unsuitable, or too slow, the Party may proceed immediately to Article 43.1G. Failure to exhaust a nominal quota that is unavailable in practice does not bar emergency action.</w:t>
      </w:r>
    </w:p>
    <w:p>
      <w:pPr>
        <w:pStyle w:val="Normal"/>
      </w:pPr>
      <w:r>
        <w:rPr>
          <w:b/>
        </w:rPr>
        <w:t>6. Reassessment.</w:t>
      </w:r>
      <w:r>
        <w:t xml:space="preserve"> An active shortage determination shall be reassessed at least every 14 days unless a shorter interval is specified. The reassessment shall examine remaining deficit, domestic recovery, imported emergency volume, disease status, and expected near-term supply. Emergency authority shall narrow or terminate when the evidence no longer supports its existing scope. A reassessment may expand the response only upon evidence that the verified deficit has materially worsened.</w:t>
      </w:r>
    </w:p>
    <w:p>
      <w:pPr>
        <w:pStyle w:val="Heading2"/>
      </w:pPr>
      <w:bookmarkStart w:id="901621" w:name="_Toc300001620"/>
      <w:r>
        <w:t>Article 43.1G: North American Poultry and Egg Emergency Supply Surge</w:t>
      </w:r>
      <w:bookmarkEnd w:id="901621"/>
    </w:p>
    <w:p>
      <w:pPr>
        <w:pStyle w:val="Normal"/>
      </w:pPr>
      <w:r>
        <w:rPr>
          <w:b/>
        </w:rPr>
        <w:t>1. Surge Authorization.</w:t>
      </w:r>
      <w:r>
        <w:t xml:space="preserve"> Following a verified shortage, the affected Party may authorize temporary additional imports from the other Parties in a quantity reasonably related to the demonstrated supply deficit. The authorization shall identify covered products, eligible origins, quantity or capacity ceiling, activation date, distribution conditions if any, and expiration rule. The volume shall not be fixed by an automatic political percentage where current evidence supports a more accurate deficit estimate. Emergency access is additional temporary access and does not amend the permanent tariff-rate quota baseline.</w:t>
      </w:r>
    </w:p>
    <w:p>
      <w:pPr>
        <w:pStyle w:val="Normal"/>
      </w:pPr>
      <w:r>
        <w:rPr>
          <w:b/>
        </w:rPr>
        <w:t>2. Accelerated Permitting.</w:t>
      </w:r>
      <w:r>
        <w:t xml:space="preserve"> Complete emergency import and export applications shall receive priority processing with a target of 48 hours where applicable food-safety and animal-health requirements are satisfied. Pre-cleared operators and electronic certificates shall be used wherever available. An authority that cannot meet the target shall identify the unresolved requirement and the expected decision time. No procedural shortcut permits entry of a shipment that fails a non-waived food-safety requirement.</w:t>
      </w:r>
    </w:p>
    <w:p>
      <w:pPr>
        <w:pStyle w:val="Normal"/>
      </w:pPr>
      <w:r>
        <w:rPr>
          <w:b/>
        </w:rPr>
        <w:t>3. Tariff Treatment.</w:t>
      </w:r>
      <w:r>
        <w:t xml:space="preserve"> The importing Party shall specify the temporary tariff treatment applicable to authorized emergency volume in the activation instrument. Where the Parties have agreed duty-free or reduced-duty emergency treatment, customs systems shall apply that treatment only to the verified quantity and period. Emergency treatment shall not reactivate or create an unrelated unilateral tariff authority prohibited by Chapter 35. Expiration restores the ordinary scheduled treatment without requiring a new tariff action.</w:t>
      </w:r>
    </w:p>
    <w:p>
      <w:pPr>
        <w:pStyle w:val="Normal"/>
      </w:pPr>
      <w:r>
        <w:rPr>
          <w:b/>
        </w:rPr>
        <w:t>4. Supplier Self-Protection.</w:t>
      </w:r>
      <w:r>
        <w:t xml:space="preserve"> A supplying Party is not required to export emergency volume where doing so would create or materially worsen its own verified shortage. A limitation shall be no broader or longer than necessary and shall be notified with supporting supply information. The Parties shall consult immediately on alternative regions, product forms, or sources. A good-faith self-protection limitation does not create compensation liability solely because the requested quantity could not be supplied.</w:t>
      </w:r>
    </w:p>
    <w:p>
      <w:pPr>
        <w:pStyle w:val="Normal"/>
      </w:pPr>
      <w:r>
        <w:rPr>
          <w:b/>
        </w:rPr>
        <w:t>5. External Emergency Supply.</w:t>
      </w:r>
      <w:r>
        <w:t xml:space="preserve"> If North American supply cannot reasonably meet the verified deficit, the affected Party remains free to obtain safe emergency supply from non-Parties consistent with its other obligations. Use of non-Party emergency supply does not convert that supply into originating goods. The Party shall apply origin, traceability, sanctions, forced-labor, and anti-circumvention rules normally applicable to the product unless a lawful emergency provision expressly modifies a procedural requirement. The emergency mechanism shall not be used to launder non-originating goods through another Party.</w:t>
      </w:r>
    </w:p>
    <w:p>
      <w:pPr>
        <w:pStyle w:val="Normal"/>
      </w:pPr>
      <w:r>
        <w:rPr>
          <w:b/>
        </w:rPr>
        <w:t>6. Automatic Wind-Down.</w:t>
      </w:r>
      <w:r>
        <w:t xml:space="preserve"> Emergency surge authority shall expire on the stated date or when the verified shortage ceases, whichever occurs first, subject to a short customs run-off for goods already contracted or in transit. The Committee may extend an authorization only after reassessment under Article 43.1F. Emergency volume creates no precedent, entitlement, or presumption concerning future permanent access. Customs shall separately code emergency entries so the Secretariat can prevent them from being counted as ordinary quota utilization.</w:t>
      </w:r>
    </w:p>
    <w:p>
      <w:pPr>
        <w:pStyle w:val="Heading2"/>
      </w:pPr>
      <w:bookmarkStart w:id="901622" w:name="_Toc300001621"/>
      <w:r>
        <w:t>Article 43.1H: Canada-United States Egg Supply Security Partnership</w:t>
      </w:r>
      <w:bookmarkEnd w:id="901622"/>
    </w:p>
    <w:p>
      <w:pPr>
        <w:pStyle w:val="Normal"/>
      </w:pPr>
      <w:r>
        <w:rPr>
          <w:b/>
        </w:rPr>
        <w:t>1. Emergency Supply Capacity.</w:t>
      </w:r>
      <w:r>
        <w:t xml:space="preserve"> Canada and the United States shall establish a bilateral Emergency Egg Supply Capacity composed of qualified commercial production, processing, storage, and logistics capability rather than a fixed mandatory government-owned stockpile. The Parties shall determine an annual planning capacity using Canadian available supply, United States consumption, disease risk, processing capability, storage life, and transportation constraints. The planning figure is a readiness target and does not require Canada to export where the domestic-supply firewall in this Article applies. The Parties may supplement contracted capacity with physical reserves of pasteurized liquid, frozen, dried, or other suitable egg products.</w:t>
      </w:r>
    </w:p>
    <w:p>
      <w:pPr>
        <w:pStyle w:val="Normal"/>
      </w:pPr>
      <w:r>
        <w:rPr>
          <w:b/>
        </w:rPr>
        <w:t>2. Emergency-Ready Supplier Network.</w:t>
      </w:r>
      <w:r>
        <w:t xml:space="preserve"> CFIA and USDA shall maintain a jointly recognized roster of farms, graders, processors, storage facilities, exporters, laboratories, and carriers qualified for emergency service. Qualification shall use existing inspection systems and risk-based supplemental checks rather than duplicate full audits without cause. The roster shall identify product forms, available capacity, geographic location, certificate status, and expected mobilization time. Participation is voluntary and does not confer a permanent market-access entitlement outside an activated emergency.</w:t>
      </w:r>
    </w:p>
    <w:p>
      <w:pPr>
        <w:pStyle w:val="Normal"/>
      </w:pPr>
      <w:r>
        <w:rPr>
          <w:b/>
        </w:rPr>
        <w:t>3. Activation and Destination.</w:t>
      </w:r>
      <w:r>
        <w:t xml:space="preserve"> A verified United States federal or state-level shortage may be referred through USDA for bilateral activation, with affected destinations identified according to shortage severity and logistics. No fixed state allocation is required before an emergency occurs. Canada shall identify available qualified supply and the Parties shall match it to destinations using transit time, product suitability, cold-chain capacity, and urgency. The mechanism may operate alongside the trilateral surge system without double counting the same emergency quantity.</w:t>
      </w:r>
    </w:p>
    <w:p>
      <w:pPr>
        <w:pStyle w:val="Normal"/>
      </w:pPr>
      <w:r>
        <w:rPr>
          <w:b/>
        </w:rPr>
        <w:t>4. Egg Express Procedures.</w:t>
      </w:r>
      <w:r>
        <w:t xml:space="preserve"> The Parties shall pre-establish electronic documentation, customs contacts, veterinary contacts, priority border procedures, and contingency routes for emergency egg shipments. Qualifying shipments shall receive priority processing at designated ports of entry and may use pre-clearance where authorized by domestic law. The Parties shall maintain contingency procedures for air freight, trucking, rail, or alternate border crossings where the ordinary route is disrupted. Commercial purchasers ordinarily bear product and transportation costs unless the Parties or responsible authorities expressly agree to another arrangement.</w:t>
      </w:r>
    </w:p>
    <w:p>
      <w:pPr>
        <w:pStyle w:val="Normal"/>
      </w:pPr>
      <w:r>
        <w:rPr>
          <w:b/>
        </w:rPr>
        <w:t>5. Canadian Domestic-Supply Firewall.</w:t>
      </w:r>
      <w:r>
        <w:t xml:space="preserve"> Canada may decline, reduce, sequence, or suspend an emergency release where the requested export would create or materially worsen a verified Canadian shortage. Canada shall provide the United States prompt notice and the available non-confidential evidence supporting that determination. The Parties shall seek alternative Canadian regions, product forms, reserve stocks, Mexican supply, or lawful external sources before treating the requested quantity as unavailable. Exercise of this safeguard does not diminish Canada’s permanent supply-management protections.</w:t>
      </w:r>
    </w:p>
    <w:p>
      <w:pPr>
        <w:pStyle w:val="Normal"/>
      </w:pPr>
      <w:r>
        <w:rPr>
          <w:b/>
        </w:rPr>
        <w:t>6. Bilateral Bargain and No Precedent.</w:t>
      </w:r>
      <w:r>
        <w:t xml:space="preserve"> The Parties recognize the Partnership as a food-security and market-stability benefit accompanying the broader settlement on Canadian supply management and commercially usable negotiated access. Emergency shipments do not establish that Canada’s supply-management system caused the United States shortage or that permanent Canadian market-access restrictions are unnecessary. Successful emergency performance creates no automatic future quota, tariff, or structural-reform obligation. The United States shall evaluate Canadian supply-management commitments under the express access rules of this Agreement rather than treating the existence of the domestic system as an independent basis for additional access.</w:t>
      </w:r>
    </w:p>
    <w:p>
      <w:pPr>
        <w:pStyle w:val="Heading2"/>
      </w:pPr>
      <w:bookmarkStart w:id="901623" w:name="_Toc300001622"/>
      <w:r>
        <w:t>Article 43.1I: Emergency Egg Reserve, Replenishment, and Surplus Absorption</w:t>
      </w:r>
      <w:bookmarkEnd w:id="901623"/>
    </w:p>
    <w:p>
      <w:pPr>
        <w:pStyle w:val="Normal"/>
      </w:pPr>
      <w:r>
        <w:rPr>
          <w:b/>
        </w:rPr>
        <w:t>1. Reserve Design.</w:t>
      </w:r>
      <w:r>
        <w:t xml:space="preserve"> Canada and the United States may use commercial reserve contracts, rotating inventories, processor commitments, or physical stocks to support the bilateral emergency capacity. Reserve design shall account for shelf life, food safety, storage cost, product form, geographic distribution, and ordinary commercial turnover. The system shall avoid unnecessary destruction of edible product merely to maintain a nominal reserve quantity. Government ownership is not required where enforceable commercial availability provides equivalent readiness.</w:t>
      </w:r>
    </w:p>
    <w:p>
      <w:pPr>
        <w:pStyle w:val="Normal"/>
      </w:pPr>
      <w:r>
        <w:rPr>
          <w:b/>
        </w:rPr>
        <w:t>2. Eligible Product Forms.</w:t>
      </w:r>
      <w:r>
        <w:t xml:space="preserve"> Reserve capacity may include shell eggs where shelf life and logistics are suitable, together with pasteurized liquid, frozen, dried, or other safe egg products appropriate to emergency demand. The annual plan shall identify which product forms can substitute for retail, food-service, manufacturing, institutional, or humanitarian uses. Product conversion factors shall be published for planning purposes and shall not alter tariff classification. Decorative or non-food eggs are excluded from food-security reserve calculations.</w:t>
      </w:r>
    </w:p>
    <w:p>
      <w:pPr>
        <w:pStyle w:val="Normal"/>
      </w:pPr>
      <w:r>
        <w:rPr>
          <w:b/>
        </w:rPr>
        <w:t>3. Commercial Surplus Purchases.</w:t>
      </w:r>
      <w:r>
        <w:t xml:space="preserve"> Reserve managers may purchase qualifying Canadian or United States surplus egg products at commercial or competitively procured terms when doing so is economical and consistent with domestic law. A surplus purchase is voluntary and does not require either country to absorb arbitrary production excess. Eligible surplus may be processed into a longer-lived product before entering reserve inventory. Purchase from one Party does not create a future obligation to return an equivalent physical quantity to that Party.</w:t>
      </w:r>
    </w:p>
    <w:p>
      <w:pPr>
        <w:pStyle w:val="Normal"/>
      </w:pPr>
      <w:r>
        <w:rPr>
          <w:b/>
        </w:rPr>
        <w:t>4. Replenishment.</w:t>
      </w:r>
      <w:r>
        <w:t xml:space="preserve"> After an emergency draw, the responsible reserve manager shall prepare a replenishment plan within 30 days and target restoration of agreed readiness within 90 days where market conditions permit. Replenishment may use new production, rotating commercial stocks, or qualifying surplus from either Party. The plan may extend the target where rapid replenishment would itself cause a shortage or abnormal price pressure. The extension and revised target shall be recorded in the bilateral dashboard.</w:t>
      </w:r>
    </w:p>
    <w:p>
      <w:pPr>
        <w:pStyle w:val="Normal"/>
      </w:pPr>
      <w:r>
        <w:rPr>
          <w:b/>
        </w:rPr>
        <w:t>5. Inventory Rotation.</w:t>
      </w:r>
      <w:r>
        <w:t xml:space="preserve"> Physical reserve stocks shall use first-expiring-first-out or an equivalent food-safety rotation method and shall be inspected according to applicable standards. Stocks approaching the end of their optimal reserve life may be sold, donated, processed, or otherwise lawfully rotated before replacement. Rotation transactions shall be recorded separately from emergency releases. The Parties shall minimize waste while preserving readiness.</w:t>
      </w:r>
    </w:p>
    <w:p>
      <w:pPr>
        <w:pStyle w:val="Normal"/>
      </w:pPr>
      <w:r>
        <w:rPr>
          <w:b/>
        </w:rPr>
        <w:t>6. Annual Exercise.</w:t>
      </w:r>
      <w:r>
        <w:t xml:space="preserve"> Canada and the United States shall conduct at least one tabletop or operational exercise each year testing activation, certification, customs, logistics, destination allocation, and replenishment. At least once every three years the exercise should include a physical shipment or equivalent end-to-end systems test where practicable. The after-action report shall identify bottlenecks, corrective owners, and deadlines without disclosing protected security or commercial information. Failure during an exercise triggers correction and retesting rather than automatic trade retaliation.</w:t>
      </w:r>
    </w:p>
    <w:p>
      <w:pPr>
        <w:pStyle w:val="Heading2"/>
      </w:pPr>
      <w:bookmarkStart w:id="901624" w:name="_Toc300001623"/>
      <w:r>
        <w:t>Article 43.1J: Avian Influenza, Disease Regionalization, and Trade Continuity</w:t>
      </w:r>
      <w:bookmarkEnd w:id="901624"/>
    </w:p>
    <w:p>
      <w:pPr>
        <w:pStyle w:val="Normal"/>
      </w:pPr>
      <w:r>
        <w:rPr>
          <w:b/>
        </w:rPr>
        <w:t>1. Rapid Disease Notification.</w:t>
      </w:r>
      <w:r>
        <w:t xml:space="preserve"> The Parties shall exchange timely information on highly pathogenic avian influenza, Newcastle disease, and other material avian-health events affecting covered trade. Notification shall include the affected region, species, control measures, relevant surveillance findings, and known trade implications to the extent available. Preliminary information may be corrected as epidemiological evidence develops. A notification does not by itself establish that all production from the notifying Party is unsafe.</w:t>
      </w:r>
    </w:p>
    <w:p>
      <w:pPr>
        <w:pStyle w:val="Normal"/>
      </w:pPr>
      <w:r>
        <w:rPr>
          <w:b/>
        </w:rPr>
        <w:t>2. Regionalization.</w:t>
      </w:r>
      <w:r>
        <w:t xml:space="preserve"> Each Party shall recognize scientifically supported disease-free zones, compartments, or regions of another Party consistent with Chapter 9 and applicable international standards. A localized outbreak shall not justify a nationwide prohibition where competent authorities can establish effective separation and surveillance. An importing Party may request additional evidence proportionate to the identified disease risk. Regional status shall be reviewed promptly as outbreak boundaries change.</w:t>
      </w:r>
    </w:p>
    <w:p>
      <w:pPr>
        <w:pStyle w:val="Normal"/>
      </w:pPr>
      <w:r>
        <w:rPr>
          <w:b/>
        </w:rPr>
        <w:t>3. Continuity from Unaffected Areas.</w:t>
      </w:r>
      <w:r>
        <w:t xml:space="preserve"> Shipments from unaffected recognized areas shall continue where they satisfy applicable health certification and traceability requirements. Border authorities shall update admissibility systems promptly after a regional determination. Where a shipment route passes through an affected area without creating material disease exposure, transit controls may be used instead of automatic rejection. The Parties shall publish operational guidance for traders during major outbreaks.</w:t>
      </w:r>
    </w:p>
    <w:p>
      <w:pPr>
        <w:pStyle w:val="Normal"/>
      </w:pPr>
      <w:r>
        <w:rPr>
          <w:b/>
        </w:rPr>
        <w:t>4. Surveillance Cooperation.</w:t>
      </w:r>
      <w:r>
        <w:t xml:space="preserve"> Veterinary authorities shall exchange surveillance methodologies, material findings, wild-bird information, and molecular characterization where relevant and legally shareable. The purpose is early detection and compatible risk assessment rather than compulsory disclosure of protected personal or proprietary information. Laboratories may cooperate on validation, proficiency testing, and reference materials. The Parties shall maintain secure channels for urgent veterinary communication.</w:t>
      </w:r>
    </w:p>
    <w:p>
      <w:pPr>
        <w:pStyle w:val="Normal"/>
      </w:pPr>
      <w:r>
        <w:rPr>
          <w:b/>
        </w:rPr>
        <w:t>5. Vaccination Coordination.</w:t>
      </w:r>
      <w:r>
        <w:t xml:space="preserve"> The Parties shall consult on avian-influenza and other relevant vaccination strategies where vaccination could affect trade status, surveillance interpretation, or emergency response. No Party is required to adopt another Party’s vaccination policy. Where vaccination is used, authorities shall work toward certification and surveillance methods capable of distinguishing acceptable vaccinated populations from uncontrolled infection where scientifically feasible. Trade restrictions shall be based on risk evidence rather than vaccination status alone where an equivalent level of protection can be demonstrated.</w:t>
      </w:r>
    </w:p>
    <w:p>
      <w:pPr>
        <w:pStyle w:val="Normal"/>
      </w:pPr>
      <w:r>
        <w:rPr>
          <w:b/>
        </w:rPr>
        <w:t>6. Review of Restrictions.</w:t>
      </w:r>
      <w:r>
        <w:t xml:space="preserve"> A disease-related trade restriction shall be reviewed when new evidence materially changes the risk assessment or when the exporting Party requests review with supporting evidence. The importing Party shall identify the information required to narrow or remove the restriction. Failure to provide a reasoned response within the applicable SPS timeline may be raised through accelerated consultation. Emergency animal-health protection remains available while the evidence is being evaluated.</w:t>
      </w:r>
    </w:p>
    <w:p>
      <w:pPr>
        <w:pStyle w:val="Heading2"/>
      </w:pPr>
      <w:bookmarkStart w:id="901625" w:name="_Toc300001624"/>
      <w:r>
        <w:t>Article 43.1K: Hatching Stock, Genetic Capacity, and Post-Outbreak Repopulation</w:t>
      </w:r>
      <w:bookmarkEnd w:id="901625"/>
    </w:p>
    <w:p>
      <w:pPr>
        <w:pStyle w:val="Normal"/>
      </w:pPr>
      <w:r>
        <w:rPr>
          <w:b/>
        </w:rPr>
        <w:t>1. Recovery Objective.</w:t>
      </w:r>
      <w:r>
        <w:t xml:space="preserve"> The Parties shall facilitate lawful movement of hatching eggs, day-old chicks, breeder stock, and other approved genetic resources needed to restore poultry production after a disease or disaster shock. Recovery support shall complement rather than replace domestic biosecurity and eradication measures. Priority may be given to disease-free sources capable of restoring the affected production type. Participation by private suppliers remains voluntary unless domestic emergency law provides otherwise.</w:t>
      </w:r>
    </w:p>
    <w:p>
      <w:pPr>
        <w:pStyle w:val="Normal"/>
      </w:pPr>
      <w:r>
        <w:rPr>
          <w:b/>
        </w:rPr>
        <w:t>2. Pre-Certification.</w:t>
      </w:r>
      <w:r>
        <w:t xml:space="preserve"> Veterinary authorities shall develop pre-agreed certificate templates and eligibility criteria for emergency movement of hatching stock. Qualified establishments may be pre-listed subject to surveillance, testing, traceability, and biosecurity requirements. Pre-listing reduces administrative delay but does not waive shipment-specific health conditions that remain necessary. Suspension from the list shall be reasoned and promptly reviewable.</w:t>
      </w:r>
    </w:p>
    <w:p>
      <w:pPr>
        <w:pStyle w:val="Normal"/>
      </w:pPr>
      <w:r>
        <w:rPr>
          <w:b/>
        </w:rPr>
        <w:t>3. Genetic Diversity.</w:t>
      </w:r>
      <w:r>
        <w:t xml:space="preserve"> Recovery planning should avoid unnecessary concentration on a single genetic line or supplier where diversification is commercially and biologically feasible. The Parties may share non-confidential information on breeder capacity and genetic bottlenecks relevant to continental resilience. Nothing requires a private owner to transfer proprietary genetic material without consent and lawful compensation. Intellectual-property protections remain applicable.</w:t>
      </w:r>
    </w:p>
    <w:p>
      <w:pPr>
        <w:pStyle w:val="Normal"/>
      </w:pPr>
      <w:r>
        <w:rPr>
          <w:b/>
        </w:rPr>
        <w:t>4. Emergency Allocation.</w:t>
      </w:r>
      <w:r>
        <w:t xml:space="preserve"> During a verified production-recovery emergency, available cross-border hatching capacity may be matched to affected producers through voluntary contracts, government programs, or other lawful arrangements. Allocation should consider disease status, production urgency, transport viability, and the need to avoid creating a shortage in the supplying Party. The emergency mechanism shall not reserve all available stock for the largest producers. Small and regional producers shall have a reasonable pathway to participate where capacity permits.</w:t>
      </w:r>
    </w:p>
    <w:p>
      <w:pPr>
        <w:pStyle w:val="Normal"/>
      </w:pPr>
      <w:r>
        <w:rPr>
          <w:b/>
        </w:rPr>
        <w:t>5. Repopulation Biosecurity.</w:t>
      </w:r>
      <w:r>
        <w:t xml:space="preserve"> Movement for repopulation shall occur only after the receiving establishment or region satisfies applicable disease-control and biosecurity conditions. The Parties may use staged placement, testing, quarantine, or enhanced monitoring where appropriate to the risk. Speed shall not override a scientifically justified containment requirement. Authorities shall coordinate to avoid duplicative testing where equivalent recent results are available.</w:t>
      </w:r>
    </w:p>
    <w:p>
      <w:pPr>
        <w:pStyle w:val="Normal"/>
      </w:pPr>
      <w:r>
        <w:rPr>
          <w:b/>
        </w:rPr>
        <w:t>6. Return to Normal Trade.</w:t>
      </w:r>
      <w:r>
        <w:t xml:space="preserve"> Special recovery procedures expire as ordinary supply and veterinary conditions normalize. Temporary recovery access does not create permanent breeding-stock purchase obligations or ordinary market-access rights. Lessons from a major repopulation event shall be incorporated into the next annual resilience exercise. The Committee may update technical schedules by consensus where the update does not change a negotiated market-access quantity.</w:t>
      </w:r>
    </w:p>
    <w:p>
      <w:pPr>
        <w:pStyle w:val="Heading2"/>
      </w:pPr>
      <w:bookmarkStart w:id="901626" w:name="_Toc300001625"/>
      <w:r>
        <w:t>Article 43.1L: Poultry and Egg Trade Facilitation and Emergency Logistics</w:t>
      </w:r>
      <w:bookmarkEnd w:id="901626"/>
    </w:p>
    <w:p>
      <w:pPr>
        <w:pStyle w:val="Normal"/>
      </w:pPr>
      <w:r>
        <w:rPr>
          <w:b/>
        </w:rPr>
        <w:t>1. Agricultural Single Window.</w:t>
      </w:r>
      <w:r>
        <w:t xml:space="preserve"> The Parties shall connect poultry and egg quota, permit, customs, and veterinary information through interoperable national single-window functions. A trader shall not be required to submit the same unchanged data repeatedly to multiple participating agencies where lawful data sharing can substitute. Each Party may retain its own portal and internal authority structure. Interoperability shall use published data fields and status messages rather than requiring a single supranational computer system.</w:t>
      </w:r>
    </w:p>
    <w:p>
      <w:pPr>
        <w:pStyle w:val="Normal"/>
      </w:pPr>
      <w:r>
        <w:rPr>
          <w:b/>
        </w:rPr>
        <w:t>2. Electronic Certificates.</w:t>
      </w:r>
      <w:r>
        <w:t xml:space="preserve"> Veterinary and sanitary certificates should be exchanged electronically using authenticated formats accepted by the competent authorities. A temporary paper fallback shall remain available during system outages. Authorities shall publish procedures for correcting clerical errors without automatically cancelling an otherwise compliant shipment. Fraudulent alteration remains subject to verification and penalties.</w:t>
      </w:r>
    </w:p>
    <w:p>
      <w:pPr>
        <w:pStyle w:val="Normal"/>
      </w:pPr>
      <w:r>
        <w:rPr>
          <w:b/>
        </w:rPr>
        <w:t>3. Trusted Operators.</w:t>
      </w:r>
      <w:r>
        <w:t xml:space="preserve"> Facilities and traders with sustained compliance may receive risk-based pre-clearance, reduced documentary repetition, or priority processing consistent with Chapters 5 and 9. Trusted status shall use objective criteria and shall be open to qualified operators from each Party. A material compliance failure may result in proportionate suspension subject to notice and review. Loss of trusted status does not by itself determine the admissibility of every future shipment.</w:t>
      </w:r>
    </w:p>
    <w:p>
      <w:pPr>
        <w:pStyle w:val="Normal"/>
      </w:pPr>
      <w:r>
        <w:rPr>
          <w:b/>
        </w:rPr>
        <w:t>4. Emergency Corridors.</w:t>
      </w:r>
      <w:r>
        <w:t xml:space="preserve"> The Parties shall identify border crossings, inspection contacts, cold-chain capabilities, and alternate routes suitable for emergency poultry and egg movements. During an activated emergency, authorities shall prioritize qualifying shipments consistent with safety and border-security requirements. Corridors may be changed when weather, congestion, infrastructure failure, or disease controls make another route more reliable. The operational list shall be maintained in Annex 43-C or the linked machine-readable registry.</w:t>
      </w:r>
    </w:p>
    <w:p>
      <w:pPr>
        <w:pStyle w:val="Normal"/>
      </w:pPr>
      <w:r>
        <w:rPr>
          <w:b/>
        </w:rPr>
        <w:t>5. Temperature and Transit.</w:t>
      </w:r>
      <w:r>
        <w:t xml:space="preserve"> Competent authorities shall publish applicable temperature, handling, seal, and transit requirements for covered product forms. Equivalent technologies or monitoring methods shall be accepted where they provide the required level of protection. A minor documentation defect that does not create a safety risk should be curable where domestic law permits. Emergency speed does not excuse temperature abuse or compromised product integrity.</w:t>
      </w:r>
    </w:p>
    <w:p>
      <w:pPr>
        <w:pStyle w:val="Normal"/>
      </w:pPr>
      <w:r>
        <w:rPr>
          <w:b/>
        </w:rPr>
        <w:t>6. Help Desk and Escalation.</w:t>
      </w:r>
      <w:r>
        <w:t xml:space="preserve"> Each Party shall maintain a designated contact function capable of resolving urgent quota, certificate, customs, or logistics problems affecting covered trade. An unresolved emergency shipment problem may be escalated to senior operational officials without waiting for formal dispute settlement. The contact function shall record recurring bottlenecks for systemic correction. Commercial disputes between private parties remain outside this mechanism unless they reveal a governmental implementation problem.</w:t>
      </w:r>
    </w:p>
    <w:p>
      <w:pPr>
        <w:pStyle w:val="Heading2"/>
      </w:pPr>
      <w:bookmarkStart w:id="901627" w:name="_Toc300001626"/>
      <w:r>
        <w:t>Article 43.1M: Poultry and Egg Transparency, Consultation, and Cothrom Review</w:t>
      </w:r>
      <w:bookmarkEnd w:id="901627"/>
    </w:p>
    <w:p>
      <w:pPr>
        <w:pStyle w:val="Normal"/>
      </w:pPr>
      <w:r>
        <w:rPr>
          <w:b/>
        </w:rPr>
        <w:t>1. Advance Notification.</w:t>
      </w:r>
      <w:r>
        <w:t xml:space="preserve"> A Party shall provide at least 60 days advance notice, where practicable, of a material new administrative measure affecting poultry or egg access, licensing, classification, or emergency procedures. The notice shall describe the measure, legal basis, expected effective date, and affected products. Urgent SPS measures may take effect sooner where necessary to protect health, subject to prompt notice and review. Routine technical corrections that do not materially affect trade may use a shorter notice.</w:t>
      </w:r>
    </w:p>
    <w:p>
      <w:pPr>
        <w:pStyle w:val="Normal"/>
      </w:pPr>
      <w:r>
        <w:rPr>
          <w:b/>
        </w:rPr>
        <w:t>2. Preventive Consultation.</w:t>
      </w:r>
      <w:r>
        <w:t xml:space="preserve"> A Party considering a measure likely to materially impair another Party’s scheduled poultry or egg access shall offer technical consultation before implementation where circumstances permit. Consultation does not create a veto over lawful domestic regulation. The Parties shall focus on practical alternatives capable of achieving the legitimate objective with less unnecessary trade disruption. Failure to agree does not prevent use of the dispute procedures otherwise available.</w:t>
      </w:r>
    </w:p>
    <w:p>
      <w:pPr>
        <w:pStyle w:val="Normal"/>
      </w:pPr>
      <w:r>
        <w:rPr>
          <w:b/>
        </w:rPr>
        <w:t>3. Technical Fact Finding.</w:t>
      </w:r>
      <w:r>
        <w:t xml:space="preserve"> Disputes concerning utilization, shortage, disease status, classification, or emergency quantity should begin with a common factual record assembled by the relevant technical officials. Each Party may identify disputed data and submit its own evidence. A factual disagreement shall not be concealed by averaging incompatible figures. The record shall identify both agreed and contested facts.</w:t>
      </w:r>
    </w:p>
    <w:p>
      <w:pPr>
        <w:pStyle w:val="Normal"/>
      </w:pPr>
      <w:r>
        <w:rPr>
          <w:b/>
        </w:rPr>
        <w:t>4. Cothrom Cure Sequence.</w:t>
      </w:r>
      <w:r>
        <w:t xml:space="preserve"> Where a verified administrative failure materially impairs access, the Parties shall use notice, verification, cure, proportional step-back, and earn-back principles before broader responsive action. The cure shall target the affected product, administrative process, or lost commercial opportunity. A corrected failure shall restore ordinary treatment without requiring a political concession unrelated to the breach. Nothing in this paragraph authorizes an automatic tariff contrary to Chapter 35.</w:t>
      </w:r>
    </w:p>
    <w:p>
      <w:pPr>
        <w:pStyle w:val="Normal"/>
      </w:pPr>
      <w:r>
        <w:rPr>
          <w:b/>
        </w:rPr>
        <w:t>5. Expedited Panel.</w:t>
      </w:r>
      <w:r>
        <w:t xml:space="preserve"> A dispute whose commercial value would be substantially lost through ordinary timing may use an accelerated Chapter 31 procedure with poultry, egg, SPS, customs, or quota expertise as appropriate. The panel shall preserve procedural fairness while prioritizing a decision before the relevant quota or emergency period becomes moot. Interim factual findings may narrow the dispute where authorized by the applicable rules. The remedy remains limited by the Agreement’s proportionality and tariff constraints.</w:t>
      </w:r>
    </w:p>
    <w:p>
      <w:pPr>
        <w:pStyle w:val="Normal"/>
      </w:pPr>
      <w:r>
        <w:rPr>
          <w:b/>
        </w:rPr>
        <w:t>6. Public Accountability.</w:t>
      </w:r>
      <w:r>
        <w:t xml:space="preserve"> Final non-confidential determinations, utilization reviews, emergency activations, and major post-event reports shall be published. Confidential business, security, and protected veterinary information may be withheld or aggregated. The public record shall make clear whether a measure is permanent, temporary, provisional, expired, or under review. This classification shall also appear in the Secretariat registry.</w:t>
      </w:r>
    </w:p>
    <w:p>
      <w:pPr>
        <w:pStyle w:val="Heading2"/>
      </w:pPr>
      <w:bookmarkStart w:id="901628" w:name="_Toc300001627"/>
      <w:r>
        <w:t>Article 43.1N: Poultry and Egg Technical Committee and Long-Term Stability</w:t>
      </w:r>
      <w:bookmarkEnd w:id="901628"/>
    </w:p>
    <w:p>
      <w:pPr>
        <w:pStyle w:val="Normal"/>
      </w:pPr>
      <w:r>
        <w:rPr>
          <w:b/>
        </w:rPr>
        <w:t>1. Committee.</w:t>
      </w:r>
      <w:r>
        <w:t xml:space="preserve"> The existing agriculture institutional structure shall include a Poultry and Egg Technical Committee with representatives of the competent trade, agriculture, customs, and animal-health authorities of each Party. The Committee shall administer this framework without creating an independent supranational regulator. It may establish time-limited technical groups for TRQs, SPS, disease response, logistics, data, or specialty avian products. A technical group shall dissolve when its assigned work is complete unless the Committee renews it.</w:t>
      </w:r>
    </w:p>
    <w:p>
      <w:pPr>
        <w:pStyle w:val="Normal"/>
      </w:pPr>
      <w:r>
        <w:rPr>
          <w:b/>
        </w:rPr>
        <w:t>2. Industry and Consumer Input.</w:t>
      </w:r>
      <w:r>
        <w:t xml:space="preserve"> The Committee shall provide structured opportunities for producers, processors, importers, retailers, food-service operators, veterinarians, small businesses, Indigenous participants where relevant, and consumer representatives to submit evidence. Advisory input is non-binding and shall not displace governmental decision-making. The Committee shall disclose material conflicts of interest for formal advisory bodies. Participation shall not be conditioned on support for a particular supply-management model.</w:t>
      </w:r>
    </w:p>
    <w:p>
      <w:pPr>
        <w:pStyle w:val="Normal"/>
      </w:pPr>
      <w:r>
        <w:rPr>
          <w:b/>
        </w:rPr>
        <w:t>3. Annual Review.</w:t>
      </w:r>
      <w:r>
        <w:t xml:space="preserve"> The Committee shall conduct an annual operational review covering utilization, licensing performance, disease events, emergency activations, logistics, data quality, and unresolved implementation issues. The review shall identify corrective actions, responsible authorities, and target dates. It shall not reopen permanent market-access quantities unless the Parties expressly place those quantities on the negotiating agenda. The annual report may include separate Party views.</w:t>
      </w:r>
    </w:p>
    <w:p>
      <w:pPr>
        <w:pStyle w:val="Normal"/>
      </w:pPr>
      <w:r>
        <w:rPr>
          <w:b/>
        </w:rPr>
        <w:t>4. Five-Year Review.</w:t>
      </w:r>
      <w:r>
        <w:t xml:space="preserve"> Every five years the Parties shall conduct a comprehensive review of the poultry, egg, and specialty avian framework. The review shall assess resilience, trade facilitation, consumer and producer effects, animal health, technology, classification, and whether technical schedules remain fit for purpose. Continuation of the framework does not depend on agreement to increase market access. Technical measures continue unless amended or terminated according to their own terms.</w:t>
      </w:r>
    </w:p>
    <w:p>
      <w:pPr>
        <w:pStyle w:val="Normal"/>
      </w:pPr>
      <w:r>
        <w:rPr>
          <w:b/>
        </w:rPr>
        <w:t>5. Amendment Discipline.</w:t>
      </w:r>
      <w:r>
        <w:t xml:space="preserve"> The Committee may update data fields, certificate templates, concordances, contact lists, and technical examples by consensus where the update does not alter a negotiated tariff, quota, origin threshold, or substantive domestic-policy commitment. Changes to those substantive commitments require the amendment procedure otherwise applicable under this Agreement. Technical updates shall be versioned and publicly archived. No guidance document may silently amend treaty text.</w:t>
      </w:r>
    </w:p>
    <w:p>
      <w:pPr>
        <w:pStyle w:val="Normal"/>
      </w:pPr>
      <w:r>
        <w:rPr>
          <w:b/>
        </w:rPr>
        <w:t>6. Relationship to Dairy.</w:t>
      </w:r>
      <w:r>
        <w:t xml:space="preserve"> Articles 43.2A through 43.2L govern dairy where they are more specific. This poultry and egg framework shall not reduce dairy access, enlarge dairy access, or reinterpret a dairy-specific supply-management safeguard. Shared administrative tools may be reused where doing so improves consistency without changing substantive commitments. A cross-reference shall identify which rule controls if a product contains both egg and dairy components.</w:t>
      </w:r>
    </w:p>
    <w:p>
      <w:pPr>
        <w:pStyle w:val="Heading2"/>
      </w:pPr>
      <w:bookmarkStart w:id="901629" w:name="_Toc300001628"/>
      <w:r>
        <w:t>Article 43.1O: Specialty and Exotic Avian Products - Scope, Classification, and Definitions</w:t>
      </w:r>
      <w:bookmarkEnd w:id="901629"/>
    </w:p>
    <w:p>
      <w:pPr>
        <w:pStyle w:val="Normal"/>
      </w:pPr>
      <w:r>
        <w:rPr>
          <w:b/>
        </w:rPr>
        <w:t>1. Covered Species.</w:t>
      </w:r>
      <w:r>
        <w:t xml:space="preserve"> For this subsection, specialty and exotic avian products may include farmed quail, pheasant, partridge, pigeon or squab, ostrich, emu, rhea, peafowl, and other farmed avian species designated by consensus. Designation shall consider commercial farming, food or by-product use, animal-health status, conservation law, and the need for a workable customs classification. Wild-taken specimens are not treated as farmed specialty avian products merely because the species also exists in commercial production. Applicable wildlife, migratory-bird, endangered-species, and conservation obligations remain fully effective.</w:t>
      </w:r>
    </w:p>
    <w:p>
      <w:pPr>
        <w:pStyle w:val="Normal"/>
      </w:pPr>
      <w:r>
        <w:rPr>
          <w:b/>
        </w:rPr>
        <w:t>2. Product Families.</w:t>
      </w:r>
      <w:r>
        <w:t xml:space="preserve"> Covered product families may include live breeding birds, day-old birds, hatching eggs, food eggs, meat, processed egg products, feathers, rendered oil, leather, sanitized decorative shells, and other lawfully traded by-products. Each family shall be assigned the health and customs controls appropriate to its actual risk and use. A decorative sanitized shell shall not automatically be regulated as if it were a fertile hatching egg. A raw edible product shall not receive reduced health controls merely because the species is uncommon.</w:t>
      </w:r>
    </w:p>
    <w:p>
      <w:pPr>
        <w:pStyle w:val="Normal"/>
      </w:pPr>
      <w:r>
        <w:rPr>
          <w:b/>
        </w:rPr>
        <w:t>3. Tariff-Line Concordance.</w:t>
      </w:r>
      <w:r>
        <w:t xml:space="preserve"> The Parties shall maintain a binding concordance mapping corresponding national tariff lines for specialty avian products rather than pretending that national subdivisions below the harmonized international level are identical. The concordance shall identify product descriptions, units, relevant origin rules, and applicable scheduled treatment. Technical renumbering that does not change substantive treatment may be updated by the Committee. Any change in duty or quota treatment requires the legal authority otherwise applicable under this Agreement.</w:t>
      </w:r>
    </w:p>
    <w:p>
      <w:pPr>
        <w:pStyle w:val="Normal"/>
      </w:pPr>
      <w:r>
        <w:rPr>
          <w:b/>
        </w:rPr>
        <w:t>4. Ratite Classification.</w:t>
      </w:r>
      <w:r>
        <w:t xml:space="preserve"> The concordance shall identify the customs, inspection, and food-labeling treatment of ostrich, emu, and rhea products and shall expressly record where domestic systems use different concepts for inspection or culinary description. A difference in domestic terminology shall not by itself change the tariff treatment promised by the applicable schedule. The Parties shall work toward functionally compatible definitions where divergence creates unnecessary border friction. Health authorities retain authority to classify a product according to risk for inspection purposes.</w:t>
      </w:r>
    </w:p>
    <w:p>
      <w:pPr>
        <w:pStyle w:val="Normal"/>
      </w:pPr>
      <w:r>
        <w:rPr>
          <w:b/>
        </w:rPr>
        <w:t>5. Processed Products.</w:t>
      </w:r>
      <w:r>
        <w:t xml:space="preserve"> The Parties shall publish classifications for liquid, frozen, dried, cooked, breaded, mixed, or otherwise processed specialty avian meat and egg products. Classification shall follow objective product characteristics and applicable tariff rules rather than marketing terminology. A mixture shall not be reclassified solely to evade a scheduled poultry or egg commitment. Advance rulings shall be available for commercially significant novel products.</w:t>
      </w:r>
    </w:p>
    <w:p>
      <w:pPr>
        <w:pStyle w:val="Normal"/>
      </w:pPr>
      <w:r>
        <w:rPr>
          <w:b/>
        </w:rPr>
        <w:t>6. Anti-Circumvention Firewall.</w:t>
      </w:r>
      <w:r>
        <w:t xml:space="preserve"> A specialty or exotic designation shall not be used to reclassify ordinary supply-managed chicken, turkey, table egg, or broiler hatching product for the purpose of avoiding its applicable commitment. Authorities may verify species, composition, processing, and origin where there is objective evidence of misclassification. A legitimate specialty product shall not be denied treatment merely because it competes with an ordinary poultry product. Penalties for deliberate misclassification remain subject to due process and proportionality.</w:t>
      </w:r>
    </w:p>
    <w:p>
      <w:pPr>
        <w:pStyle w:val="Heading2"/>
      </w:pPr>
      <w:bookmarkStart w:id="901630" w:name="_Toc300001629"/>
      <w:r>
        <w:t>Article 43.1P: Specialty Avian Tariff, Quota, Origin, and Processing Facilitation</w:t>
      </w:r>
      <w:bookmarkEnd w:id="901630"/>
    </w:p>
    <w:p>
      <w:pPr>
        <w:pStyle w:val="Normal"/>
      </w:pPr>
      <w:r>
        <w:rPr>
          <w:b/>
        </w:rPr>
        <w:t>1. Scheduled Treatment.</w:t>
      </w:r>
      <w:r>
        <w:t xml:space="preserve"> The Parties shall identify existing tariff and quota treatment for specialty avian products in Annex 43-C and may negotiate dedicated preferential access where commercial development warrants it. This Article does not invent an automatic annual quota increase. Any new quantity shall state the product, origin, duration, in-quota treatment, over-quota treatment if applicable, and relationship to existing schedules. Temporary emergency treatment remains separate from permanent access.</w:t>
      </w:r>
    </w:p>
    <w:p>
      <w:pPr>
        <w:pStyle w:val="Normal"/>
      </w:pPr>
      <w:r>
        <w:rPr>
          <w:b/>
        </w:rPr>
        <w:t>2. Unused Access.</w:t>
      </w:r>
      <w:r>
        <w:t xml:space="preserve"> Where a specialty-avian quota exists, unused quantities may be returned and reallocated under transparent procedures designed for the smaller scale of the sector. The Committee may permit simplified transfer rules where administrative cost would otherwise exceed the commercial value of the allocation. Reallocation shall not convert an annual quantity into a permanent carry-forward. The utilization record shall distinguish lack of demand from administrative barriers.</w:t>
      </w:r>
    </w:p>
    <w:p>
      <w:pPr>
        <w:pStyle w:val="Normal"/>
      </w:pPr>
      <w:r>
        <w:rPr>
          <w:b/>
        </w:rPr>
        <w:t>3. Origin and Cumulation.</w:t>
      </w:r>
      <w:r>
        <w:t xml:space="preserve"> Origin for specialty avian goods shall be determined under Chapter 4, including applicable accumulation and de minimis rules. The Parties may publish product-specific examples for breeder stock, hatching eggs, processed meat, egg powder, leather, oil, and composite foods. Packaging shall be treated according to the generally applicable origin rules rather than a separate specialty-avian formula. Routing through a Party does not make a non-originating product originating.</w:t>
      </w:r>
    </w:p>
    <w:p>
      <w:pPr>
        <w:pStyle w:val="Normal"/>
      </w:pPr>
      <w:r>
        <w:rPr>
          <w:b/>
        </w:rPr>
        <w:t>4. Duty Drawback and Processing.</w:t>
      </w:r>
      <w:r>
        <w:t xml:space="preserve"> Duty drawback or comparable relief for imported inputs used in qualifying processing and re-export shall remain available to the extent permitted by the Agreement and domestic law. The Parties shall facilitate legitimate North American processing chains for meat, egg products, oil, leather, feathers, and other by-products. Processing shall comply with applicable food-safety, animal-health, environmental, and customs requirements. A processing operation shall not be treated as substantial transformation merely because it occurs within a specialty sector.</w:t>
      </w:r>
    </w:p>
    <w:p>
      <w:pPr>
        <w:pStyle w:val="Normal"/>
      </w:pPr>
      <w:r>
        <w:rPr>
          <w:b/>
        </w:rPr>
        <w:t>5. Classification Review.</w:t>
      </w:r>
      <w:r>
        <w:t xml:space="preserve"> The Committee shall review specialty-avian tariff concordances at least every three years and after a material HS revision. Producers and customs authorities may request review of an ambiguous or commercially obsolete classification. The review shall prioritize clear mapping and advance-ruling availability rather than unnecessary creation of new tariff lines. A classification correction shall not retroactively penalize good-faith reliance on an official ruling except as domestic law permits.</w:t>
      </w:r>
    </w:p>
    <w:p>
      <w:pPr>
        <w:pStyle w:val="Normal"/>
      </w:pPr>
      <w:r>
        <w:rPr>
          <w:b/>
        </w:rPr>
        <w:t>6. Small-Sector Proportionality.</w:t>
      </w:r>
      <w:r>
        <w:t xml:space="preserve"> Administrative requirements for low-volume specialty trade shall be proportionate to risk and shall avoid imposing reporting systems designed for industrial-scale chicken or egg commerce where simpler evidence is adequate. This proportionality does not reduce substantive food-safety or disease-control standards. Digital reusable records and facility-level approvals should substitute for repetitive shipment-level paperwork where risk permits. The Committee shall identify at least three simplification opportunities during each five-year review.</w:t>
      </w:r>
    </w:p>
    <w:p>
      <w:pPr>
        <w:pStyle w:val="Heading2"/>
      </w:pPr>
      <w:bookmarkStart w:id="901631" w:name="_Toc300001630"/>
      <w:r>
        <w:t>Article 43.1Q: Specialty Avian SPS, Veterinary Certification, and Disease Control</w:t>
      </w:r>
      <w:bookmarkEnd w:id="901631"/>
    </w:p>
    <w:p>
      <w:pPr>
        <w:pStyle w:val="Normal"/>
      </w:pPr>
      <w:r>
        <w:rPr>
          <w:b/>
        </w:rPr>
        <w:t>1. Health Certificate Compatibility.</w:t>
      </w:r>
      <w:r>
        <w:t xml:space="preserve"> CFIA, USDA, SENASICA, and other competent authorities shall work toward interoperable veterinary certificate requirements for covered specialty avian products. Mutual recognition may be used where inspection systems provide an equivalent level of protection. Species-specific conditions may be retained where scientifically justified. Electronic certificate exchange shall be preferred where systems are available.</w:t>
      </w:r>
    </w:p>
    <w:p>
      <w:pPr>
        <w:pStyle w:val="Normal"/>
      </w:pPr>
      <w:r>
        <w:rPr>
          <w:b/>
        </w:rPr>
        <w:t>2. Ratite and Specialty Import Rules.</w:t>
      </w:r>
      <w:r>
        <w:t xml:space="preserve"> The Parties shall publish consolidated import requirements for ratites, quail, pheasant, partridge, squab, and other designated farmed avian species. The publication shall identify permit, testing, certification, inspection, quarantine, and port-of-entry requirements. Where a bilateral exemption or simplified procedure exists, the registry shall state its scope and conditions. The Committee may recommend expansion of a simplification after reviewing disease risk and compliance performance.</w:t>
      </w:r>
    </w:p>
    <w:p>
      <w:pPr>
        <w:pStyle w:val="Normal"/>
      </w:pPr>
      <w:r>
        <w:rPr>
          <w:b/>
        </w:rPr>
        <w:t>3. Regionalization.</w:t>
      </w:r>
      <w:r>
        <w:t xml:space="preserve"> The disease-regionalization principles in Article 43.1J apply to specialty and exotic avian species with adaptations required by their epidemiology and production systems. An outbreak in ordinary poultry shall not automatically prohibit a specialty species from an unaffected compartment where competent authorities can demonstrate adequate separation. Conversely, a disease event in a specialty species shall be evaluated for its actual risk to other avian populations. Restrictions shall follow evidence rather than assumptions based solely on novelty of the species.</w:t>
      </w:r>
    </w:p>
    <w:p>
      <w:pPr>
        <w:pStyle w:val="Normal"/>
      </w:pPr>
      <w:r>
        <w:rPr>
          <w:b/>
        </w:rPr>
        <w:t>4. Traceability.</w:t>
      </w:r>
      <w:r>
        <w:t xml:space="preserve"> Commercial breeding, hatching, meat, and food-egg operations participating in preferential or expedited cross-border programs shall maintain traceability sufficient for recall and disease investigation. Traceability may use flock, batch, facility, shipment, or other identifiers appropriate to the production system. Decorative sanitized shells and non-food by-products may use simplified traceability where the health risk is materially lower. Authorities shall avoid requiring farm-to-table records for a product that no longer contains viable animal material where such records add no meaningful protection.</w:t>
      </w:r>
    </w:p>
    <w:p>
      <w:pPr>
        <w:pStyle w:val="Normal"/>
      </w:pPr>
      <w:r>
        <w:rPr>
          <w:b/>
        </w:rPr>
        <w:t>5. Biosecurity and Surveillance.</w:t>
      </w:r>
      <w:r>
        <w:t xml:space="preserve"> The Parties shall exchange best practices and relevant surveillance information for avian influenza, Newcastle disease, Salmonella, and other material hazards affecting specialty avian production. Biosecurity guidance shall account for ratite and game-bird production differences rather than copying chicken-house requirements mechanically. Qualified laboratories may participate in mutual recognition, proficiency testing, and reference-material programs. The Committee may establish species-specific technical notes without changing the underlying SPS standard.</w:t>
      </w:r>
    </w:p>
    <w:p>
      <w:pPr>
        <w:pStyle w:val="Normal"/>
      </w:pPr>
      <w:r>
        <w:rPr>
          <w:b/>
        </w:rPr>
        <w:t>6. Post-Outbreak Recovery.</w:t>
      </w:r>
      <w:r>
        <w:t xml:space="preserve"> Specialty producers may participate in the hatching-stock and repopulation mechanisms of Article 43.1K where appropriate. Recovery planning shall consider the limited breeder populations and genetic diversity of small sectors. Emergency movement shall remain subject to disease-free source verification and receiving-site biosecurity. No Party is required to maintain a government breeding herd or flock for every specialty species.</w:t>
      </w:r>
    </w:p>
    <w:p>
      <w:pPr>
        <w:pStyle w:val="Heading2"/>
      </w:pPr>
      <w:bookmarkStart w:id="901632" w:name="_Toc300001631"/>
      <w:r>
        <w:t>Article 43.1R: Specialty Avian Market Development, Digital Commerce, and Full-Value Supply Chains</w:t>
      </w:r>
      <w:bookmarkEnd w:id="901632"/>
    </w:p>
    <w:p>
      <w:pPr>
        <w:pStyle w:val="Normal"/>
      </w:pPr>
      <w:r>
        <w:rPr>
          <w:b/>
        </w:rPr>
        <w:t>1. Market Development.</w:t>
      </w:r>
      <w:r>
        <w:t xml:space="preserve"> The Parties may cooperate on voluntary market-development initiatives for specialty avian meat, eggs, and by-products, including culinary education, trade missions, buyer-seller events, and food-service outreach. Government communications shall be accurate and shall not make unsupported health or nutrition claims. Participation shall be open on a Party-neutral basis to qualified producers and processors. Nothing requires public funding for a particular species or company.</w:t>
      </w:r>
    </w:p>
    <w:p>
      <w:pPr>
        <w:pStyle w:val="Normal"/>
      </w:pPr>
      <w:r>
        <w:rPr>
          <w:b/>
        </w:rPr>
        <w:t>2. Grading and Labeling.</w:t>
      </w:r>
      <w:r>
        <w:t xml:space="preserve"> Competent authorities shall seek compatible grading, sizing, freshness, origin, date-code, and labeling approaches where differences unnecessarily impede specialty egg trade. Species identity shall be clear to consumers. Equivalent labeling methods may be recognized where they communicate the required information effectively. A Party may maintain additional warnings or instructions justified by food safety or consumer protection.</w:t>
      </w:r>
    </w:p>
    <w:p>
      <w:pPr>
        <w:pStyle w:val="Normal"/>
      </w:pPr>
      <w:r>
        <w:rPr>
          <w:b/>
        </w:rPr>
        <w:t>3. Online Commerce.</w:t>
      </w:r>
      <w:r>
        <w:t xml:space="preserve"> The Parties shall publish clear rules for lawful online sale and cross-border shipment of fertile eggs, food eggs, decorative shells, meat, and other specialty avian products. Online sale does not waive veterinary, customs, wildlife, food-safety, or consumer-protection requirements. Platforms and sellers should be able to identify when a permit or certificate is required before shipment. Small parcel procedures may be simplified where risk and domestic law permit.</w:t>
      </w:r>
    </w:p>
    <w:p>
      <w:pPr>
        <w:pStyle w:val="Normal"/>
      </w:pPr>
      <w:r>
        <w:rPr>
          <w:b/>
        </w:rPr>
        <w:t>4. Decorative Products.</w:t>
      </w:r>
      <w:r>
        <w:t xml:space="preserve"> Sanitized, emptied, painted, carved, or otherwise decorative specialty eggshells shall be classified and regulated according to their actual condition and residual animal-health risk. Authorities shall publish sanitation or certification requirements necessary for cross-border movement. Decorative products derived from protected wildlife remain subject to applicable conservation controls. The Committee shall prevent decorative classifications from being used to disguise fertile or edible eggs.</w:t>
      </w:r>
    </w:p>
    <w:p>
      <w:pPr>
        <w:pStyle w:val="Normal"/>
      </w:pPr>
      <w:r>
        <w:rPr>
          <w:b/>
        </w:rPr>
        <w:t>5. By-Product Chains.</w:t>
      </w:r>
      <w:r>
        <w:t xml:space="preserve"> The Parties shall facilitate lawful trade in feathers, rendered oil, leather, and other specialty avian by-products through clear classification, sanitary treatment, and origin guidance. Where processing eliminates the relevant animal-health hazard, controls should reflect the reduced risk. Full-value utilization may reduce waste and improve the economics of small specialty farms and processors. Environmental and wildlife obligations remain applicable.</w:t>
      </w:r>
    </w:p>
    <w:p>
      <w:pPr>
        <w:pStyle w:val="Normal"/>
      </w:pPr>
      <w:r>
        <w:rPr>
          <w:b/>
        </w:rPr>
        <w:t>6. Investment and Partnerships.</w:t>
      </w:r>
      <w:r>
        <w:t xml:space="preserve"> The Parties may facilitate voluntary cross-border breeder, processing, cold-chain, research, and marketing partnerships in the specialty avian sector. Investment screening and security rules remain governed by the applicable chapters and shall not be rewritten through this subsection. Small producers and Indigenous or rural enterprises may participate in general development programs on the same eligibility basis as comparable enterprises. The five-year review shall assess whether regulatory fragmentation continues to prevent commercially viable North American supply chains.</w:t>
      </w:r>
    </w:p>
    <w:p>
      <w:pPr>
        <w:pStyle w:val="Heading2"/>
      </w:pPr>
      <w:bookmarkStart w:id="901633" w:name="_Toc300001632"/>
      <w:r>
        <w:t>ANNEX 43-C: POULTRY, EGG, EMERGENCY SUPPLY, AND SPECIALTY AVIAN IMPLEMENTATION SCHEDULE</w:t>
      </w:r>
      <w:bookmarkEnd w:id="901633"/>
    </w:p>
    <w:p>
      <w:pPr>
        <w:pStyle w:val="Normal"/>
      </w:pPr>
      <w:r>
        <w:rPr>
          <w:b/>
        </w:rPr>
        <w:t>C43-1. Purpose and Status.</w:t>
      </w:r>
      <w:r>
        <w:t xml:space="preserve"> This Annex operationalizes Articles 43.1A through 43.1R and shall be read together with Chapters 4, 5, 9, 31, 35, 36, and 37. It does not replace Annex 43-A or alter dairy-specific quantities. Where this Annex records a technical parameter, the controlling treaty article determines whether the parameter may be updated by the Committee. All permanent market-access quantities remain those expressly scheduled or subsequently amended by agreement.</w:t>
      </w:r>
    </w:p>
    <w:p>
      <w:pPr>
        <w:pStyle w:val="Normal"/>
      </w:pPr>
      <w:r>
        <w:rPr>
          <w:b/>
        </w:rPr>
        <w:t>C43-2. Implementation Clock.</w:t>
      </w:r>
      <w:r>
        <w:t xml:space="preserve"> Within 30 days, each Party shall designate responsible agriculture, customs, veterinary, and data contacts. Within 90 days, the Parties shall publish the initial common data dictionary, emergency contact tree, and inventory of existing poultry and egg TRQ procedures. Within 180 days, they shall launch the interoperable dashboard, emergency certificate package, specialty-avian tariff-line concordance, and first Emergency-Ready supplier roster where bilateral qualification has been completed. Within one year, they shall conduct the first annual exercise and publish the first operational review.</w:t>
      </w:r>
    </w:p>
    <w:p>
      <w:pPr>
        <w:pStyle w:val="Normal"/>
      </w:pPr>
      <w:r>
        <w:rPr>
          <w:b/>
        </w:rPr>
        <w:t>C43-3. Emergency Decision Record.</w:t>
      </w:r>
      <w:r>
        <w:t xml:space="preserve"> Every shortage activation shall use a common decision record identifying product, geography, cause, evidence, ordinary access available, verified deficit, selected response, authorized emergency quantity or capacity, tariff treatment, start date, review date, and expiration rule. The record shall identify any domestic-supply safeguard invoked by a supplying Party. Updates shall preserve prior versions so the chronology can be audited. Confidential attachments may be protected while the non-confidential decision record remains public.</w:t>
      </w:r>
    </w:p>
    <w:p>
      <w:pPr>
        <w:pStyle w:val="Normal"/>
      </w:pPr>
      <w:r>
        <w:rPr>
          <w:b/>
        </w:rPr>
        <w:t>C43-4. Data Fields.</w:t>
      </w:r>
      <w:r>
        <w:t xml:space="preserve"> The minimum dashboard fields are production, flock or laying capacity, hatching capacity where relevant, inventories, imports, exports, ordinary quota utilization, emergency volume, wholesale price, retail price where available, feed-cost indicator, material disease event, processing constraint, and logistics constraint. The Parties may add fields by consensus. A missing field shall be marked unavailable rather than silently estimated unless the estimate is clearly labeled with methodology and confidence. Machine-readable exports shall use stable identifiers and version dates.</w:t>
      </w:r>
    </w:p>
    <w:p>
      <w:pPr>
        <w:pStyle w:val="Normal"/>
      </w:pPr>
      <w:r>
        <w:rPr>
          <w:b/>
        </w:rPr>
        <w:t>C43-5. Emergency Coding.</w:t>
      </w:r>
      <w:r>
        <w:t xml:space="preserve"> Customs administrations shall establish a distinct code or data flag for entries made under Article 43.1G or Article 43.1H. The flag shall permit separation of permanent quota use, temporary make-up access, emergency surge access, and ordinary over-quota trade. Emergency coding shall not disclose confidential commercial information to the public. The Secretariat shall use the coding to prevent temporary volumes from becoming an accidental future baseline.</w:t>
      </w:r>
    </w:p>
    <w:p>
      <w:pPr>
        <w:pStyle w:val="Normal"/>
      </w:pPr>
      <w:r>
        <w:rPr>
          <w:b/>
        </w:rPr>
        <w:t>C43-6. Technical Concordance.</w:t>
      </w:r>
      <w:r>
        <w:t xml:space="preserve"> The specialty-avian concordance shall map national tariff lines for live birds, hatching eggs, food eggs, processed eggs, meat, feathers, oil, leather, decorative shells, and other designated products. Each entry shall identify the species or product family, national tariff line, unit, origin rule reference, principal health-control category, and scheduled tariff or quota treatment. All tariff numbers inserted during implementation shall be verified against the current national schedules before publication. An illustrative or estimated code shall be conspicuously labeled as requiring customs verification and shall not bind an importer.</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1872"/>
        <w:gridCol w:w="1872"/>
        <w:gridCol w:w="1872"/>
        <w:gridCol w:w="1872"/>
        <w:gridCol w:w="1872"/>
      </w:tblGrid>
      <w:tr>
        <w:tc>
          <w:tcPr>
            <w:tcW w:type="dxa" w:w="1872"/>
          </w:tcPr>
          <w:p>
            <w:pPr>
              <w:pStyle w:val="TableText"/>
            </w:pPr>
            <w:r>
              <w:rPr>
                <w:b/>
              </w:rPr>
              <w:t>Condition</w:t>
            </w:r>
          </w:p>
        </w:tc>
        <w:tc>
          <w:tcPr>
            <w:tcW w:type="dxa" w:w="1872"/>
          </w:tcPr>
          <w:p>
            <w:pPr>
              <w:pStyle w:val="TableText"/>
            </w:pPr>
            <w:r>
              <w:rPr>
                <w:b/>
              </w:rPr>
              <w:t>Trigger/Status</w:t>
            </w:r>
          </w:p>
        </w:tc>
        <w:tc>
          <w:tcPr>
            <w:tcW w:type="dxa" w:w="1872"/>
          </w:tcPr>
          <w:p>
            <w:pPr>
              <w:pStyle w:val="TableText"/>
            </w:pPr>
            <w:r>
              <w:rPr>
                <w:b/>
              </w:rPr>
              <w:t>Primary Action</w:t>
            </w:r>
          </w:p>
        </w:tc>
        <w:tc>
          <w:tcPr>
            <w:tcW w:type="dxa" w:w="1872"/>
          </w:tcPr>
          <w:p>
            <w:pPr>
              <w:pStyle w:val="TableText"/>
            </w:pPr>
            <w:r>
              <w:rPr>
                <w:b/>
              </w:rPr>
              <w:t>Trade Treatment</w:t>
            </w:r>
          </w:p>
        </w:tc>
        <w:tc>
          <w:tcPr>
            <w:tcW w:type="dxa" w:w="1872"/>
          </w:tcPr>
          <w:p>
            <w:pPr>
              <w:pStyle w:val="TableText"/>
            </w:pPr>
            <w:r>
              <w:rPr>
                <w:b/>
              </w:rPr>
              <w:t>Exit/Review</w:t>
            </w:r>
          </w:p>
        </w:tc>
      </w:tr>
      <w:tr>
        <w:tc>
          <w:tcPr>
            <w:tcW w:type="dxa" w:w="1872"/>
          </w:tcPr>
          <w:p>
            <w:pPr>
              <w:pStyle w:val="TableText"/>
            </w:pPr>
            <w:r>
              <w:t>Normal conditions</w:t>
            </w:r>
          </w:p>
        </w:tc>
        <w:tc>
          <w:tcPr>
            <w:tcW w:type="dxa" w:w="1872"/>
          </w:tcPr>
          <w:p>
            <w:pPr>
              <w:pStyle w:val="TableText"/>
            </w:pPr>
            <w:r>
              <w:t>Routine monitoring</w:t>
            </w:r>
          </w:p>
        </w:tc>
        <w:tc>
          <w:tcPr>
            <w:tcW w:type="dxa" w:w="1872"/>
          </w:tcPr>
          <w:p>
            <w:pPr>
              <w:pStyle w:val="TableText"/>
            </w:pPr>
            <w:r>
              <w:t>Ordinary scheduled access</w:t>
            </w:r>
          </w:p>
        </w:tc>
        <w:tc>
          <w:tcPr>
            <w:tcW w:type="dxa" w:w="1872"/>
          </w:tcPr>
          <w:p>
            <w:pPr>
              <w:pStyle w:val="TableText"/>
            </w:pPr>
            <w:r>
              <w:t>Normal tariff and SPS treatment</w:t>
            </w:r>
          </w:p>
        </w:tc>
        <w:tc>
          <w:tcPr>
            <w:tcW w:type="dxa" w:w="1872"/>
          </w:tcPr>
          <w:p>
            <w:pPr>
              <w:pStyle w:val="TableText"/>
            </w:pPr>
            <w:r>
              <w:t>No emergency effect</w:t>
            </w:r>
          </w:p>
        </w:tc>
      </w:tr>
      <w:tr>
        <w:tc>
          <w:tcPr>
            <w:tcW w:type="dxa" w:w="1872"/>
          </w:tcPr>
          <w:p>
            <w:pPr>
              <w:pStyle w:val="TableText"/>
            </w:pPr>
            <w:r>
              <w:t>Early warning</w:t>
            </w:r>
          </w:p>
        </w:tc>
        <w:tc>
          <w:tcPr>
            <w:tcW w:type="dxa" w:w="1872"/>
          </w:tcPr>
          <w:p>
            <w:pPr>
              <w:pStyle w:val="TableText"/>
            </w:pPr>
            <w:r>
              <w:t>Multiple indicators show material risk</w:t>
            </w:r>
          </w:p>
        </w:tc>
        <w:tc>
          <w:tcPr>
            <w:tcW w:type="dxa" w:w="1872"/>
          </w:tcPr>
          <w:p>
            <w:pPr>
              <w:pStyle w:val="TableText"/>
            </w:pPr>
            <w:r>
              <w:t>Technical consultation and data validation</w:t>
            </w:r>
          </w:p>
        </w:tc>
        <w:tc>
          <w:tcPr>
            <w:tcW w:type="dxa" w:w="1872"/>
          </w:tcPr>
          <w:p>
            <w:pPr>
              <w:pStyle w:val="TableText"/>
            </w:pPr>
            <w:r>
              <w:t>No automatic extra access</w:t>
            </w:r>
          </w:p>
        </w:tc>
        <w:tc>
          <w:tcPr>
            <w:tcW w:type="dxa" w:w="1872"/>
          </w:tcPr>
          <w:p>
            <w:pPr>
              <w:pStyle w:val="TableText"/>
            </w:pPr>
            <w:r>
              <w:t>Warning closes or advances</w:t>
            </w:r>
          </w:p>
        </w:tc>
      </w:tr>
      <w:tr>
        <w:tc>
          <w:tcPr>
            <w:tcW w:type="dxa" w:w="1872"/>
          </w:tcPr>
          <w:p>
            <w:pPr>
              <w:pStyle w:val="TableText"/>
            </w:pPr>
            <w:r>
              <w:t>Verified shortage</w:t>
            </w:r>
          </w:p>
        </w:tc>
        <w:tc>
          <w:tcPr>
            <w:tcW w:type="dxa" w:w="1872"/>
          </w:tcPr>
          <w:p>
            <w:pPr>
              <w:pStyle w:val="TableText"/>
            </w:pPr>
            <w:r>
              <w:t>Article 43.1F determination</w:t>
            </w:r>
          </w:p>
        </w:tc>
        <w:tc>
          <w:tcPr>
            <w:tcW w:type="dxa" w:w="1872"/>
          </w:tcPr>
          <w:p>
            <w:pPr>
              <w:pStyle w:val="TableText"/>
            </w:pPr>
            <w:r>
              <w:t>Reallocate usable ordinary access and accelerate permits</w:t>
            </w:r>
          </w:p>
        </w:tc>
        <w:tc>
          <w:tcPr>
            <w:tcW w:type="dxa" w:w="1872"/>
          </w:tcPr>
          <w:p>
            <w:pPr>
              <w:pStyle w:val="TableText"/>
            </w:pPr>
            <w:r>
              <w:t>Existing treatment unless activation states otherwise</w:t>
            </w:r>
          </w:p>
        </w:tc>
        <w:tc>
          <w:tcPr>
            <w:tcW w:type="dxa" w:w="1872"/>
          </w:tcPr>
          <w:p>
            <w:pPr>
              <w:pStyle w:val="TableText"/>
            </w:pPr>
            <w:r>
              <w:t>14-day reassessment</w:t>
            </w:r>
          </w:p>
        </w:tc>
      </w:tr>
      <w:tr>
        <w:tc>
          <w:tcPr>
            <w:tcW w:type="dxa" w:w="1872"/>
          </w:tcPr>
          <w:p>
            <w:pPr>
              <w:pStyle w:val="TableText"/>
            </w:pPr>
            <w:r>
              <w:t>Emergency surge</w:t>
            </w:r>
          </w:p>
        </w:tc>
        <w:tc>
          <w:tcPr>
            <w:tcW w:type="dxa" w:w="1872"/>
          </w:tcPr>
          <w:p>
            <w:pPr>
              <w:pStyle w:val="TableText"/>
            </w:pPr>
            <w:r>
              <w:t>Ordinary access insufficient or too slow</w:t>
            </w:r>
          </w:p>
        </w:tc>
        <w:tc>
          <w:tcPr>
            <w:tcW w:type="dxa" w:w="1872"/>
          </w:tcPr>
          <w:p>
            <w:pPr>
              <w:pStyle w:val="TableText"/>
            </w:pPr>
            <w:r>
              <w:t>Temporary additional North American supply under 43.1G</w:t>
            </w:r>
          </w:p>
        </w:tc>
        <w:tc>
          <w:tcPr>
            <w:tcW w:type="dxa" w:w="1872"/>
          </w:tcPr>
          <w:p>
            <w:pPr>
              <w:pStyle w:val="TableText"/>
            </w:pPr>
            <w:r>
              <w:t>Activation-specific temporary treatment</w:t>
            </w:r>
          </w:p>
        </w:tc>
        <w:tc>
          <w:tcPr>
            <w:tcW w:type="dxa" w:w="1872"/>
          </w:tcPr>
          <w:p>
            <w:pPr>
              <w:pStyle w:val="TableText"/>
            </w:pPr>
            <w:r>
              <w:t>Automatic wind-down</w:t>
            </w:r>
          </w:p>
        </w:tc>
      </w:tr>
      <w:tr>
        <w:tc>
          <w:tcPr>
            <w:tcW w:type="dxa" w:w="1872"/>
          </w:tcPr>
          <w:p>
            <w:pPr>
              <w:pStyle w:val="TableText"/>
            </w:pPr>
            <w:r>
              <w:t>Bilateral U.S. egg activation</w:t>
            </w:r>
          </w:p>
        </w:tc>
        <w:tc>
          <w:tcPr>
            <w:tcW w:type="dxa" w:w="1872"/>
          </w:tcPr>
          <w:p>
            <w:pPr>
              <w:pStyle w:val="TableText"/>
            </w:pPr>
            <w:r>
              <w:t>Verified U.S. shortage plus available Canadian capacity</w:t>
            </w:r>
          </w:p>
        </w:tc>
        <w:tc>
          <w:tcPr>
            <w:tcW w:type="dxa" w:w="1872"/>
          </w:tcPr>
          <w:p>
            <w:pPr>
              <w:pStyle w:val="TableText"/>
            </w:pPr>
            <w:r>
              <w:t>Emergency-Ready network and Egg Express procedures</w:t>
            </w:r>
          </w:p>
        </w:tc>
        <w:tc>
          <w:tcPr>
            <w:tcW w:type="dxa" w:w="1872"/>
          </w:tcPr>
          <w:p>
            <w:pPr>
              <w:pStyle w:val="TableText"/>
            </w:pPr>
            <w:r>
              <w:t>Agreed bilateral emergency treatment</w:t>
            </w:r>
          </w:p>
        </w:tc>
        <w:tc>
          <w:tcPr>
            <w:tcW w:type="dxa" w:w="1872"/>
          </w:tcPr>
          <w:p>
            <w:pPr>
              <w:pStyle w:val="TableText"/>
            </w:pPr>
            <w:r>
              <w:t>Canadian supply firewall applies</w:t>
            </w:r>
          </w:p>
        </w:tc>
      </w:tr>
      <w:tr>
        <w:tc>
          <w:tcPr>
            <w:tcW w:type="dxa" w:w="1872"/>
          </w:tcPr>
          <w:p>
            <w:pPr>
              <w:pStyle w:val="TableText"/>
            </w:pPr>
            <w:r>
              <w:t>External emergency sourcing</w:t>
            </w:r>
          </w:p>
        </w:tc>
        <w:tc>
          <w:tcPr>
            <w:tcW w:type="dxa" w:w="1872"/>
          </w:tcPr>
          <w:p>
            <w:pPr>
              <w:pStyle w:val="TableText"/>
            </w:pPr>
            <w:r>
              <w:t>North American supply insufficient</w:t>
            </w:r>
          </w:p>
        </w:tc>
        <w:tc>
          <w:tcPr>
            <w:tcW w:type="dxa" w:w="1872"/>
          </w:tcPr>
          <w:p>
            <w:pPr>
              <w:pStyle w:val="TableText"/>
            </w:pPr>
            <w:r>
              <w:t>Affected Party may source safe non-Party supply</w:t>
            </w:r>
          </w:p>
        </w:tc>
        <w:tc>
          <w:tcPr>
            <w:tcW w:type="dxa" w:w="1872"/>
          </w:tcPr>
          <w:p>
            <w:pPr>
              <w:pStyle w:val="TableText"/>
            </w:pPr>
            <w:r>
              <w:t>Normal non-Party origin and compliance rules unless lawfully modified</w:t>
            </w:r>
          </w:p>
        </w:tc>
        <w:tc>
          <w:tcPr>
            <w:tcW w:type="dxa" w:w="1872"/>
          </w:tcPr>
          <w:p>
            <w:pPr>
              <w:pStyle w:val="TableText"/>
            </w:pPr>
            <w:r>
              <w:t>No originating status by routing</w:t>
            </w:r>
          </w:p>
        </w:tc>
      </w:tr>
      <w:tr>
        <w:tc>
          <w:tcPr>
            <w:tcW w:type="dxa" w:w="1872"/>
          </w:tcPr>
          <w:p>
            <w:pPr>
              <w:pStyle w:val="TableText"/>
            </w:pPr>
            <w:r>
              <w:t>Recovery</w:t>
            </w:r>
          </w:p>
        </w:tc>
        <w:tc>
          <w:tcPr>
            <w:tcW w:type="dxa" w:w="1872"/>
          </w:tcPr>
          <w:p>
            <w:pPr>
              <w:pStyle w:val="TableText"/>
            </w:pPr>
            <w:r>
              <w:t>Domestic production returning</w:t>
            </w:r>
          </w:p>
        </w:tc>
        <w:tc>
          <w:tcPr>
            <w:tcW w:type="dxa" w:w="1872"/>
          </w:tcPr>
          <w:p>
            <w:pPr>
              <w:pStyle w:val="TableText"/>
            </w:pPr>
            <w:r>
              <w:t>Narrow surge, replenish reserves, repopulate flocks</w:t>
            </w:r>
          </w:p>
        </w:tc>
        <w:tc>
          <w:tcPr>
            <w:tcW w:type="dxa" w:w="1872"/>
          </w:tcPr>
          <w:p>
            <w:pPr>
              <w:pStyle w:val="TableText"/>
            </w:pPr>
            <w:r>
              <w:t>Transition to ordinary treatment</w:t>
            </w:r>
          </w:p>
        </w:tc>
        <w:tc>
          <w:tcPr>
            <w:tcW w:type="dxa" w:w="1872"/>
          </w:tcPr>
          <w:p>
            <w:pPr>
              <w:pStyle w:val="TableText"/>
            </w:pPr>
            <w:r>
              <w:t>Post-event review within 90 days</w:t>
            </w:r>
          </w:p>
        </w:tc>
      </w:tr>
    </w:tbl>
    <w:p>
      <w:pPr>
        <w:pStyle w:val="Normal"/>
      </w:pPr>
      <w:r>
        <w:rPr>
          <w:b/>
        </w:rPr>
        <w:t>C43-7.</w:t>
      </w:r>
      <w:r>
        <w:t xml:space="preserve"> No Automatic Tariff Authority. Nothing in Articles 43.1A through 43.1R or this Annex creates an automatic safeguard tariff, tariff escalation formula, currency-adjusted tariff, or price-band tariff. Any tariff treatment must arise from an express schedule, an agreed emergency activation, or another authority consistent with Chapter 35. A shortage or price spike is evidence for analysis and not an independent tariff power. This rule preserves the Agreement-wide tariff cage.</w:t>
      </w:r>
    </w:p>
    <w:p>
      <w:pPr>
        <w:pStyle w:val="Normal"/>
      </w:pPr>
      <w:r>
        <w:rPr>
          <w:b/>
        </w:rPr>
        <w:t>C43-8.</w:t>
      </w:r>
      <w:r>
        <w:t xml:space="preserve"> No Mandatory Continental Production System. Nothing in this framework requires common North American production quotas, common farm-gate prices, compulsory producer registration, or an eighty-five-percent domestic-content rule. The Parties may exchange forecasts and coordinate emergency response without harmonizing their domestic agricultural models. Canada retains its supply-management institutions under Article 43.1A, while the United States and Mexico retain their own lawful production policies. Voluntary commercial partnerships remain permitted.</w:t>
      </w:r>
    </w:p>
    <w:p>
      <w:pPr>
        <w:pStyle w:val="Normal"/>
      </w:pPr>
      <w:r>
        <w:rPr>
          <w:b/>
        </w:rPr>
        <w:t>C43-9.</w:t>
      </w:r>
      <w:r>
        <w:t xml:space="preserve"> Verification of Numerical Schedules. Any future schedule containing tariff lines, quota quantities, reserve-capacity figures, conversion factors, disease thresholds, or other numerical parameters shall identify the source and effective date. Estimated figures used during negotiation shall be marked DRAFT - VERIFY BEFORE LEGAL SCRUB. No estimated figure becomes binding merely because it appears in a working table. The final legal scrub shall confirm consistency with the Parties' current tariff schedules and negotiated commitments.</w:t>
      </w:r>
    </w:p>
    <w:p>
      <w:pPr>
        <w:pStyle w:val="Heading2"/>
      </w:pPr>
      <w:bookmarkStart w:id="901634" w:name="_Toc300001633"/>
      <w:r>
        <w:t>Article 43.1S: Reciprocal Agricultural Market Access and Regulatory Facilitation</w:t>
      </w:r>
      <w:bookmarkEnd w:id="901634"/>
    </w:p>
    <w:p>
      <w:pPr>
        <w:pStyle w:val="Normal"/>
      </w:pPr>
      <w:r>
        <w:rPr>
          <w:b w:val="0"/>
        </w:rPr>
        <w:t>1. Scope and Objective. This Article applies to originating grains, oilseeds, pulses, meat, livestock products, fruits, vegetables, horticultural goods, processed agricultural foods, and other agricultural goods not governed by a more specific rule in this Chapter. Each Party shall provide commercially meaningful access consistent with its tariff schedule and legitimate sanitary, phytosanitary, food-safety, inspection, certification, and administrative requirements. The Parties shall seek to remove unnecessary regulatory friction without lowering the level of human, animal, or plant health protection each Party determines appropriate. Where a more specific dairy, poultry, egg, sugar, beverage, or other sectoral provision applies, that provision prevails to the extent of inconsistency.</w:t>
      </w:r>
    </w:p>
    <w:p>
      <w:pPr>
        <w:pStyle w:val="Normal"/>
      </w:pPr>
      <w:r>
        <w:rPr>
          <w:b w:val="0"/>
        </w:rPr>
        <w:t>2. Reciprocal Quality of Access. A Party shall administer covered agricultural access so that originating goods of another Party are not subjected to materially less usable procedures than comparable originating goods of the third Party without an objective reason. Reciprocity concerns the practical quality, predictability, and timeliness of access and does not require identical domestic laws, production systems, or import volumes. A Party may request review where persistent administrative treatment creates a material asymmetry in comparable-risk agricultural trade. Any response shall follow Articles 43.1AC and 43.1AD and shall not create an independent tariff authority.</w:t>
      </w:r>
    </w:p>
    <w:p>
      <w:pPr>
        <w:pStyle w:val="Normal"/>
      </w:pPr>
      <w:r>
        <w:rPr>
          <w:b w:val="0"/>
        </w:rPr>
        <w:t>3. No Purchase Mandates. Nothing in this framework requires a government, producer, processor, retailer, or consumer to purchase a specified quantity of agricultural goods. Commercial demand, price, quality, seasonality, logistics, and private contracting remain relevant to actual trade flows. Failure of exports to reach a forecast or political target does not by itself establish denial of market access. An access commitment is satisfied by providing the legal and administrative opportunity expressly agreed in this Agreement.</w:t>
      </w:r>
    </w:p>
    <w:p>
      <w:pPr>
        <w:pStyle w:val="Normal"/>
      </w:pPr>
      <w:r>
        <w:rPr>
          <w:b w:val="0"/>
        </w:rPr>
        <w:t>4. Relationship to Supply Management. Articles 43.1A through 43.1R and Annex 43-C remain fully applicable to covered supply-managed and poultry, egg, or specialty-avian products. This framework shall not be interpreted to abolish, restructure, or create an automatic expansion of Canadian supply management. General facilitation disciplines may apply to an expressly scheduled shipment without changing the quantity or tariff treatment applicable to that shipment. No Party may use this Article to obtain indirectly a market-access concession that requires express agreement elsewhere in this Chapter.</w:t>
      </w:r>
    </w:p>
    <w:p>
      <w:pPr>
        <w:pStyle w:val="Heading2"/>
      </w:pPr>
      <w:bookmarkStart w:id="901635" w:name="_Toc300001634"/>
      <w:r>
        <w:t>Article 43.1T: Science-Based SPS Sovereignty and Least-Trade-Restrictive Administration</w:t>
      </w:r>
      <w:bookmarkEnd w:id="901635"/>
    </w:p>
    <w:p>
      <w:pPr>
        <w:pStyle w:val="Normal"/>
      </w:pPr>
      <w:r>
        <w:rPr>
          <w:b w:val="0"/>
        </w:rPr>
        <w:t>1. Health Protection Preserved. Each Party retains the sovereign authority to determine and achieve its appropriate level of sanitary and phytosanitary protection consistent with Chapter 9. Nothing in this framework requires acceptance of a product that presents an inadequately controlled risk to human, animal, or plant life or health. A measure affecting agricultural trade shall be based on applicable science, risk assessment, international standards where appropriate, or other evidence permitted by Chapter 9. Trade facilitation shall operate within, and not replace, those health protections.</w:t>
      </w:r>
    </w:p>
    <w:p>
      <w:pPr>
        <w:pStyle w:val="Normal"/>
      </w:pPr>
      <w:r>
        <w:rPr>
          <w:b w:val="0"/>
        </w:rPr>
        <w:t>2. Tailoring to Risk. Competent authorities shall design and administer SPS controls no more trade restrictive than required to achieve the importing Party’s appropriate level of protection, taking account of reasonably available alternatives. Authorities shall distinguish differences in product, pest, disease, production method, geography, season, facility history, and compliance record where those differences materially affect risk. A broad restriction shall be narrowed when reliable evidence supports a narrower product, establishment, regional, seasonal, or end-use control. Administrative convenience alone does not justify maintaining a materially broader restriction than the verified risk requires.</w:t>
      </w:r>
    </w:p>
    <w:p>
      <w:pPr>
        <w:pStyle w:val="Normal"/>
      </w:pPr>
      <w:r>
        <w:rPr>
          <w:b w:val="0"/>
        </w:rPr>
        <w:t>3. Evidence Record. Where a Party introduces or materially expands an SPS restriction affecting covered agricultural trade, it shall maintain a decision record identifying the hazard, affected product or pathway, evidence considered, geographic scope, principal risk-management rationale, and review point. Confidential business information and protected security information may be withheld in accordance with law. The public explanation shall nevertheless be sufficient to identify what exporters must demonstrate or correct. Emergency measures remain available under Chapter 9 but shall receive prompt review under Article 43.1AB.</w:t>
      </w:r>
    </w:p>
    <w:p>
      <w:pPr>
        <w:pStyle w:val="Normal"/>
      </w:pPr>
      <w:r>
        <w:rPr>
          <w:b w:val="0"/>
        </w:rPr>
        <w:t>4. Non-Discrimination. SPS measures shall not arbitrarily or unjustifiably discriminate between Parties where identical or similar conditions prevail. Different treatment remains permissible where supported by different disease status, pest prevalence, surveillance quality, facility performance, production practice, or other material risk evidence. Nationality, political disagreement, or generalized economic competition shall not substitute for agricultural risk evidence. Chapter 9 controls where it provides a more specific SPS discipline.</w:t>
      </w:r>
    </w:p>
    <w:p>
      <w:pPr>
        <w:pStyle w:val="Heading2"/>
      </w:pPr>
      <w:bookmarkStart w:id="901636" w:name="_Toc300001635"/>
      <w:r>
        <w:t>Article 43.1U: Equivalence, Systems Recognition, and Comparable Outcomes</w:t>
      </w:r>
      <w:bookmarkEnd w:id="901636"/>
    </w:p>
    <w:p>
      <w:pPr>
        <w:pStyle w:val="Normal"/>
      </w:pPr>
      <w:r>
        <w:rPr>
          <w:b w:val="0"/>
        </w:rPr>
        <w:t>1. Equivalence Requests. A Party shall provide a practical process through which another Party may demonstrate that a different measure, inspection system, treatment, certification program, or control achieves the importing Party’s appropriate level of protection. The importing Party shall assess the request on its merits rather than requiring literal duplication of its domestic regulatory method. Requests shall identify the products, hazards, competent authorities, evidence, and proposed scope of recognition. A denial shall state the material deficiency and the additional evidence or control reasonably needed for reconsideration.</w:t>
      </w:r>
    </w:p>
    <w:p>
      <w:pPr>
        <w:pStyle w:val="Normal"/>
      </w:pPr>
      <w:r>
        <w:rPr>
          <w:b w:val="0"/>
        </w:rPr>
        <w:t>2. Systems Recognition. Competent authorities may recognize another Party’s inspection, food-safety, animal-health, or plant-health system at national, regional, sectoral, or establishment level. Recognition may support reduced duplicate audits, reduced routine reinspection, electronic certification, or other facilitation proportionate to demonstrated confidence. Recognition does not prevent targeted verification where new evidence or a material compliance concern arises. Suspension shall be scoped to the affected risk and reviewed promptly.</w:t>
      </w:r>
    </w:p>
    <w:p>
      <w:pPr>
        <w:pStyle w:val="Normal"/>
      </w:pPr>
      <w:r>
        <w:rPr>
          <w:b w:val="0"/>
        </w:rPr>
        <w:t>3. Outcome-Based Compatibility. The Parties shall prioritize comparable protective outcomes over identical administrative form where doing so preserves the importing Party’s level of protection. Differences in forms, agency organization, terminology, inspection sequence, or technical method shall not alone defeat equivalence. The requesting Party bears responsibility for supplying information reasonably necessary to assess the alternative system. The importing Party shall avoid requests for information already available through an established government-to-government channel unless updating is necessary.</w:t>
      </w:r>
    </w:p>
    <w:p>
      <w:pPr>
        <w:pStyle w:val="Normal"/>
      </w:pPr>
      <w:r>
        <w:rPr>
          <w:b w:val="0"/>
        </w:rPr>
        <w:t>4. Maintenance and Review. Recognitions shall identify the evidence and conditions necessary to remain in force and shall not expire solely because a calendar period has elapsed where compliance remains demonstrated. Competent authorities may use risk-based periodic audits, data exchange, incident review, and sampling to maintain confidence. A Party proposing material withdrawal shall provide notice and an opportunity for technical consultation except where immediate action is necessary to address a verified risk. Restored compliance shall permit timely reinstatement without requiring an entirely new application.</w:t>
      </w:r>
    </w:p>
    <w:p>
      <w:pPr>
        <w:pStyle w:val="Heading2"/>
      </w:pPr>
      <w:bookmarkStart w:id="901637" w:name="_Toc300001636"/>
      <w:r>
        <w:t>Article 43.1V: Regionalization, Compartmentalization, and Trade Continuity</w:t>
      </w:r>
      <w:bookmarkEnd w:id="901637"/>
    </w:p>
    <w:p>
      <w:pPr>
        <w:pStyle w:val="Normal"/>
      </w:pPr>
      <w:r>
        <w:rPr>
          <w:b w:val="0"/>
        </w:rPr>
        <w:t>1. Geographic Precision. The Parties shall recognize pest-free areas, disease-free areas, areas of low pest or disease prevalence, zones, compartments, and other scientifically supportable geographic distinctions consistent with Chapter 9. A detection in one region shall not automatically justify exclusion of unaffected regions where surveillance, movement controls, traceability, and epidemiological evidence support continued trade. Competent authorities shall exchange the information needed to assess boundaries and controls rapidly. Restrictions shall be updated as the verified geographic risk changes.</w:t>
      </w:r>
    </w:p>
    <w:p>
      <w:pPr>
        <w:pStyle w:val="Normal"/>
      </w:pPr>
      <w:r>
        <w:rPr>
          <w:b w:val="0"/>
        </w:rPr>
        <w:t>2. Facility and Pathway Controls. Where a risk can be managed through establishment approval, treatment, specified origin, controlled movement, processing, end-use restriction, or another pathway-specific measure, authorities shall consider that option before maintaining a broader prohibition. Such controls may be combined where necessary to achieve the appropriate level of protection. Exporters shall receive clear instructions on the evidence required for eligibility. Compliance with an approved pathway shall support continued access unless contrary risk evidence emerges.</w:t>
      </w:r>
    </w:p>
    <w:p>
      <w:pPr>
        <w:pStyle w:val="Normal"/>
      </w:pPr>
      <w:r>
        <w:rPr>
          <w:b w:val="0"/>
        </w:rPr>
        <w:t>3. Rapid Recognition. For a previously recognized disease or pest-management system, competent authorities shall seek to make provisional regionalization decisions rapidly when an outbreak occurs and sufficient surveillance information is available. Provisional recognition may be conditioned on continuing data exchange and may be adjusted as epidemiological information develops. A Party shall not delay consideration solely because a final outbreak report is pending where reliable interim evidence permits a protective decision. Final recognition shall follow the applicable Chapter 9 process.</w:t>
      </w:r>
    </w:p>
    <w:p>
      <w:pPr>
        <w:pStyle w:val="Normal"/>
      </w:pPr>
      <w:r>
        <w:rPr>
          <w:b w:val="0"/>
        </w:rPr>
        <w:t>4. Restoration of Trade. When the condition supporting a regional restriction has ended or been controlled, the importing Party shall promptly assess restoration of access. Previously approved establishments and certificates should be reactivated without unnecessary duplication where their underlying eligibility remains valid. Residual monitoring may continue where scientifically justified. Restoration shall not be conditioned on unrelated commercial concessions.</w:t>
      </w:r>
    </w:p>
    <w:p>
      <w:pPr>
        <w:pStyle w:val="Heading2"/>
      </w:pPr>
      <w:bookmarkStart w:id="901638" w:name="_Toc300001637"/>
      <w:r>
        <w:t>Article 43.1W: Agricultural Inspection, Certification, and Trusted Operator Facilitation</w:t>
      </w:r>
      <w:bookmarkEnd w:id="901638"/>
    </w:p>
    <w:p>
      <w:pPr>
        <w:pStyle w:val="Normal"/>
      </w:pPr>
      <w:r>
        <w:rPr>
          <w:b w:val="0"/>
        </w:rPr>
        <w:t>1. Risk-Based Inspection. Border and establishment inspection frequencies for covered agricultural goods shall reflect product risk, compliance history, competent-authority confidence, intelligence, and material changes in conditions. Repeated compliant shipments should ordinarily qualify for reduced routine physical inspection where the risk permits. Authorities retain the right to intensify inspection when evidence indicates a material problem. Increased inspection shall be reviewed when the reason for intensification no longer exists.</w:t>
      </w:r>
    </w:p>
    <w:p>
      <w:pPr>
        <w:pStyle w:val="Normal"/>
      </w:pPr>
      <w:r>
        <w:rPr>
          <w:b w:val="0"/>
        </w:rPr>
        <w:t>2. Trusted Agricultural Operator. The Parties shall establish or interoperate trusted-operator pathways for eligible farms, packhouses, processors, cold-storage facilities, exporters, importers, and logistics providers. Eligibility shall use published criteria including compliance history, traceability, corrective-action performance, and any sector-specific health controls. Benefits may include pre-clearance, reusable evidence, reduced routine inspection, priority appointments, and accelerated release. Loss of status shall include reasons, a corrective route, and review rights except in urgent health circumstances.</w:t>
      </w:r>
    </w:p>
    <w:p>
      <w:pPr>
        <w:pStyle w:val="Normal"/>
      </w:pPr>
      <w:r>
        <w:rPr>
          <w:b w:val="0"/>
        </w:rPr>
        <w:t>3. Certification Once. Competent authorities shall seek to use reusable establishment approvals, electronic attestations, batch or lot certification, and standing program recognition where shipment-by-shipment duplication is unnecessary. A certificate shall request only information materially relevant to the applicable import condition. A Party shall not require the same government-held information to be repeatedly resubmitted in materially identical form without operational need. Changes affecting eligibility shall be reported through the established channel.</w:t>
      </w:r>
    </w:p>
    <w:p>
      <w:pPr>
        <w:pStyle w:val="Normal"/>
      </w:pPr>
      <w:r>
        <w:rPr>
          <w:b w:val="0"/>
        </w:rPr>
        <w:t>4. Audit Coordination. The Parties shall seek to coordinate government audits and facility assessments to reduce unnecessary duplication while preserving independent oversight. Joint, observed, remote, or sequenced audits may be used where appropriate. Audit findings shall distinguish systemic deficiencies from isolated establishment deficiencies. Corrective action by the responsible authority or establishment shall permit restoration proportionate to the scope of the finding.</w:t>
      </w:r>
    </w:p>
    <w:p>
      <w:pPr>
        <w:pStyle w:val="Heading2"/>
      </w:pPr>
      <w:bookmarkStart w:id="901639" w:name="_Toc300001638"/>
      <w:r>
        <w:t>Article 43.1X: Electronic Agricultural Certification and Single-Window Administration</w:t>
      </w:r>
      <w:bookmarkEnd w:id="901639"/>
    </w:p>
    <w:p>
      <w:pPr>
        <w:pStyle w:val="Normal"/>
      </w:pPr>
      <w:r>
        <w:rPr>
          <w:b w:val="0"/>
        </w:rPr>
        <w:t>1. Electronic Exchange. The Parties shall support secure government-to-government electronic exchange of sanitary, phytosanitary, inspection, origin, and other agricultural certificates where technically feasible. Electronic records shall be accepted as legally valid where authenticity and integrity can be verified. Paper fallback procedures shall remain available during system outages or for exceptional cases. A system failure shall not by itself invalidate an otherwise compliant shipment.</w:t>
      </w:r>
    </w:p>
    <w:p>
      <w:pPr>
        <w:pStyle w:val="Normal"/>
      </w:pPr>
      <w:r>
        <w:rPr>
          <w:b w:val="0"/>
        </w:rPr>
        <w:t>2. Single Submission. Each Party shall seek to provide a single electronic submission pathway for information required by customs and competent agricultural authorities. Agencies may share submitted data to the extent permitted by domestic law and applicable confidentiality protections. Traders shall not be required to enter materially identical information repeatedly into separate systems where interoperability can reasonably avoid it. Data requirements shall be mapped and periodically reviewed for redundancy.</w:t>
      </w:r>
    </w:p>
    <w:p>
      <w:pPr>
        <w:pStyle w:val="Normal"/>
      </w:pPr>
      <w:r>
        <w:rPr>
          <w:b w:val="0"/>
        </w:rPr>
        <w:t>3. Status Visibility. Electronic systems shall provide, where practicable, receipt confirmation, application or shipment status, requests for additional information, responsible contact points, and final disposition. Time-sensitive holds shall identify whether the issue concerns customs, SPS, licensing, certification, inspection, or another authority. This visibility does not require disclosure of protected enforcement intelligence. It is intended to allow rapid correction and reduce avoidable spoilage.</w:t>
      </w:r>
    </w:p>
    <w:p>
      <w:pPr>
        <w:pStyle w:val="Normal"/>
      </w:pPr>
      <w:r>
        <w:rPr>
          <w:b w:val="0"/>
        </w:rPr>
        <w:t>4. Interoperability Roadmap. Within one year of entry into force, the Agriculture Committee shall publish an interoperability roadmap for priority agricultural certificates and high-volume trade lanes. The roadmap shall identify technical standards, cybersecurity controls, responsible agencies, testing milestones, and fallback procedures. Implementation may proceed by product family or corridor rather than waiting for a single continent-wide platform. Existing functioning bilateral systems may be incorporated rather than replaced.</w:t>
      </w:r>
    </w:p>
    <w:p>
      <w:pPr>
        <w:pStyle w:val="Heading2"/>
      </w:pPr>
      <w:bookmarkStart w:id="901640" w:name="_Toc300001639"/>
      <w:r>
        <w:t>Article 43.1Y: Perishable Agricultural Goods and Border-Time Discipline</w:t>
      </w:r>
      <w:bookmarkEnd w:id="901640"/>
    </w:p>
    <w:p>
      <w:pPr>
        <w:pStyle w:val="Normal"/>
      </w:pPr>
      <w:r>
        <w:rPr>
          <w:b w:val="0"/>
        </w:rPr>
        <w:t>1. Perishable Priority. Competent authorities shall identify fresh meat, fresh produce, live plants, temperature-sensitive foods, and other materially time-sensitive agricultural goods for priority handling appropriate to risk. Priority handling may include advance document review, appointment systems, off-hour processing, inspection sequencing, or direct communication with the responsible authority. It does not waive inspection or health requirements. Authorities shall account for product shelf life and cold-chain consequences when choosing among equally protective administrative options.</w:t>
      </w:r>
    </w:p>
    <w:p>
      <w:pPr>
        <w:pStyle w:val="Normal"/>
      </w:pPr>
      <w:r>
        <w:rPr>
          <w:b w:val="0"/>
        </w:rPr>
        <w:t>2. Decision Clock. Where a compliant perishable shipment is held solely for an administrative or documentary issue, the responsible authority shall seek to communicate the deficiency as soon as practicable and ordinarily within the same operational day. Where laboratory analysis or specialist assessment is necessary, the trader shall receive an expected decision window and any lawful options for bonded storage, segregation, treatment, or diversion. Delays shall not be extended for reasons unrelated to the shipment’s regulatory status. Persistent systemic delays may be referred to Article 43.1AC.</w:t>
      </w:r>
    </w:p>
    <w:p>
      <w:pPr>
        <w:pStyle w:val="Normal"/>
      </w:pPr>
      <w:r>
        <w:rPr>
          <w:b w:val="0"/>
        </w:rPr>
        <w:t>3. Border Coordination. Customs, agriculture, food-safety, animal-health, and plant-health authorities shall maintain escalation contacts for perishable agricultural shipments. A Party may establish designated agricultural priority lanes or inspection locations without discriminating among Parties. Authorities should coordinate inspections to avoid serial opening, sampling, or unloading where a combined process is practicable. Emergency border congestion shall trigger contingency procedures under Annex 43-D.</w:t>
      </w:r>
    </w:p>
    <w:p>
      <w:pPr>
        <w:pStyle w:val="Normal"/>
      </w:pPr>
      <w:r>
        <w:rPr>
          <w:b w:val="0"/>
        </w:rPr>
        <w:t>4. Spoilage Mitigation. Where a regulatory defect can be cured without compromising protection, authorities shall consider correction before ordering destruction, return, or abandonment. Permissible options may include relabeling, document correction, segregation, treatment, reconditioning, re-export, or movement to an approved facility. The importer bears reasonable costs unless domestic law provides otherwise. Nothing requires release of unsafe or noncompliant goods.</w:t>
      </w:r>
    </w:p>
    <w:p>
      <w:pPr>
        <w:pStyle w:val="Heading2"/>
      </w:pPr>
      <w:bookmarkStart w:id="901641" w:name="_Toc300001640"/>
      <w:r>
        <w:t>Article 43.1Z: Laboratory Testing, Sampling, and Duplicate-Control Reduction</w:t>
      </w:r>
      <w:bookmarkEnd w:id="901641"/>
    </w:p>
    <w:p>
      <w:pPr>
        <w:pStyle w:val="Normal"/>
      </w:pPr>
      <w:r>
        <w:rPr>
          <w:b w:val="0"/>
        </w:rPr>
        <w:t>1. Recognized Laboratories. The Parties shall facilitate recognition of competent government and accredited laboratories where their methods, quality systems, and proficiency meet applicable requirements. Recognition may be bilateral, trilateral, method-specific, commodity-specific, or program-specific. Results from a recognized laboratory should not be repeated solely because testing occurred in another Party. Targeted confirmation remains available where integrity, sampling, method, or risk evidence warrants it.</w:t>
      </w:r>
    </w:p>
    <w:p>
      <w:pPr>
        <w:pStyle w:val="Normal"/>
      </w:pPr>
      <w:r>
        <w:rPr>
          <w:b w:val="0"/>
        </w:rPr>
        <w:t>2. Sampling Integrity. Sampling plans shall identify the lot, method, chain of custody, laboratory, analyte or organism, and applicable decision criterion. Authorities shall use statistically and scientifically appropriate sampling for the regulatory purpose. Where practicable, a reserve or split sample shall be maintained for confirmatory analysis in disputes involving destructive testing. Confidential commercial information shall receive applicable protection.</w:t>
      </w:r>
    </w:p>
    <w:p>
      <w:pPr>
        <w:pStyle w:val="Normal"/>
      </w:pPr>
      <w:r>
        <w:rPr>
          <w:b w:val="0"/>
        </w:rPr>
        <w:t>3. Conflicting Results. Where competent laboratories produce materially conflicting results, authorities shall promptly exchange methods, detection limits, sample information, and quality-control data. A Party may require confirmatory testing before release where necessary to protect health. The Parties shall seek a technically neutral resolution rather than treating the first conflicting result as conclusive regardless of method. Repeated method conflicts shall be referred to the relevant Chapter 9 technical group.</w:t>
      </w:r>
    </w:p>
    <w:p>
      <w:pPr>
        <w:pStyle w:val="Normal"/>
      </w:pPr>
      <w:r>
        <w:rPr>
          <w:b w:val="0"/>
        </w:rPr>
        <w:t>4. Testing Review. Commodity-specific testing requirements shall be periodically reviewed against compliance data, hazard prevalence, international standards, and improved analytical methods. Testing that no longer materially contributes to protection should be reduced, redesigned, or retired. New testing requirements shall identify the risk they address. This paragraph does not constrain surveillance programs reasonably necessary to detect emerging hazards.</w:t>
      </w:r>
    </w:p>
    <w:p>
      <w:pPr>
        <w:pStyle w:val="Heading2"/>
      </w:pPr>
      <w:bookmarkStart w:id="901642" w:name="_Toc300001641"/>
      <w:r>
        <w:t>Article 43.1AA: New Product, Facility, Treatment, and Market-Access Applications</w:t>
      </w:r>
      <w:bookmarkEnd w:id="901642"/>
    </w:p>
    <w:p>
      <w:pPr>
        <w:pStyle w:val="Normal"/>
      </w:pPr>
      <w:r>
        <w:rPr>
          <w:b w:val="0"/>
        </w:rPr>
        <w:t>1. Procedural Milestones. Each Party shall publish the principal stages for applications seeking approval of a new agricultural product, exporting establishment, production region, treatment, systems-recognition arrangement, or certification protocol. The process shall identify the responsible authority, information requirements, and points at which additional evidence may be requested. Publication of milestones does not predetermine substantive approval. It prevents applications from remaining indefinitely without identifiable administrative status.</w:t>
      </w:r>
    </w:p>
    <w:p>
      <w:pPr>
        <w:pStyle w:val="Normal"/>
      </w:pPr>
      <w:r>
        <w:rPr>
          <w:b w:val="0"/>
        </w:rPr>
        <w:t>2. Completeness Review. The receiving authority shall conduct an initial completeness review within a published administrative period appropriate to the application type. If information is missing, the authority shall identify the material deficiency with reasonable specificity. Submission of the requested information shall return the application to active consideration without unnecessary restarting of completed stages. Applicants may request technical clarification through the designated contact point.</w:t>
      </w:r>
    </w:p>
    <w:p>
      <w:pPr>
        <w:pStyle w:val="Normal"/>
      </w:pPr>
      <w:r>
        <w:rPr>
          <w:b w:val="0"/>
        </w:rPr>
        <w:t>3. Prioritization. Authorities may prioritize applications according to health risk, trade significance, seasonal urgency, resource constraints, similarity to previously assessed products, or readiness of the technical record. Priority rules shall be transparent and shall not discriminate by nationality without a risk-based reason. Joint work may be used where more than one Party is evaluating substantially the same product or treatment. Emergency shortage needs may justify accelerated review without lowering substantive standards.</w:t>
      </w:r>
    </w:p>
    <w:p>
      <w:pPr>
        <w:pStyle w:val="Normal"/>
      </w:pPr>
      <w:r>
        <w:rPr>
          <w:b w:val="0"/>
        </w:rPr>
        <w:t>4. Reasons and Reconsideration. A final denial or material limitation shall identify the principal legal, scientific, or technical reasons. The applicant or exporting Party may submit new evidence or request reconsideration through available domestic or treaty channels. A denial shall not become permanent merely because the original record was incomplete if the deficiency is later cured. Approval may include proportionate conditions necessary to manage identified risk.</w:t>
      </w:r>
    </w:p>
    <w:p>
      <w:pPr>
        <w:pStyle w:val="Heading2"/>
      </w:pPr>
      <w:bookmarkStart w:id="901643" w:name="_Toc300001642"/>
      <w:r>
        <w:t>Article 43.1AB: Emergency Agricultural SPS Measures and Rapid Review</w:t>
      </w:r>
      <w:bookmarkEnd w:id="901643"/>
    </w:p>
    <w:p>
      <w:pPr>
        <w:pStyle w:val="Normal"/>
      </w:pPr>
      <w:r>
        <w:rPr>
          <w:b w:val="0"/>
        </w:rPr>
        <w:t>1. Immediate Authority. A Party may take an immediate SPS measure when urgent action is necessary to address a serious risk to human, animal, or plant life or health. The measure may precede completion of ordinary consultation or final risk assessment to the extent permitted by Chapter 9. The Party shall notify the other Parties promptly and identify the affected product, geography, risk, and expected review process. Emergency authority shall not be used to obtain commercial leverage unrelated to the health risk.</w:t>
      </w:r>
    </w:p>
    <w:p>
      <w:pPr>
        <w:pStyle w:val="Normal"/>
      </w:pPr>
      <w:r>
        <w:rPr>
          <w:b w:val="0"/>
        </w:rPr>
        <w:t>2. Seventy-Two-Hour Contact. Where an emergency measure materially interrupts established agricultural trade, competent authorities shall establish technical contact as soon as practicable and ordinarily within seventy-two hours. The exporting Party may provide surveillance, traceability, treatment, regionalization, laboratory, or establishment evidence relevant to narrowing the measure. The importing Party shall consider that evidence without requiring the emergency to lapse first. Technical contact does not suspend a measure necessary for protection.</w:t>
      </w:r>
    </w:p>
    <w:p>
      <w:pPr>
        <w:pStyle w:val="Normal"/>
      </w:pPr>
      <w:r>
        <w:rPr>
          <w:b w:val="0"/>
        </w:rPr>
        <w:t>3. Narrowing and Review. Emergency measures shall be reviewed as evidence develops and narrowed in product, geography, establishment, pathway, or duration where the importing Party’s level of protection can still be achieved. A measure shall not remain broader solely because it was initially adopted during uncertainty. The decision record shall identify material evidence supporting continuation. Chapter 9 consultation and dispute rights remain available.</w:t>
      </w:r>
    </w:p>
    <w:p>
      <w:pPr>
        <w:pStyle w:val="Normal"/>
      </w:pPr>
      <w:r>
        <w:rPr>
          <w:b w:val="0"/>
        </w:rPr>
        <w:t>4. Restoration. When the emergency basis ends, the Party shall remove or appropriately modify the measure without unnecessary delay. Restoration may proceed in stages where different regions or establishments regain eligibility at different times. Previously recognized systems should not be required to rebuild their entire evidentiary record unless the emergency revealed a systemic deficiency. Restoration creates no compensation obligation for a lawful health measure absent another applicable provision.</w:t>
      </w:r>
    </w:p>
    <w:p>
      <w:pPr>
        <w:pStyle w:val="Heading2"/>
      </w:pPr>
      <w:bookmarkStart w:id="901644" w:name="_Toc300001643"/>
      <w:r>
        <w:t>Article 43.1AC: Agricultural Administrative Barrier Review and Corrective Action</w:t>
      </w:r>
      <w:bookmarkEnd w:id="901644"/>
    </w:p>
    <w:p>
      <w:pPr>
        <w:pStyle w:val="Normal"/>
      </w:pPr>
      <w:r>
        <w:rPr>
          <w:b w:val="0"/>
        </w:rPr>
        <w:t>1. Covered Barriers. A Party may request review of persistent licensing delay, duplicative certification, inconsistent inspection, obsolete documentary requirements, unexplained facility delisting, unnecessary retesting, discriminatory administrative sequencing, or another measure that materially impairs covered agricultural access. The request shall identify the product, authority, practice, evidence, and commercial effect with reasonable specificity. Ordinary differences in domestic law do not by themselves constitute a barrier. SPS questions shall be coordinated with Chapter 9 procedures.</w:t>
      </w:r>
    </w:p>
    <w:p>
      <w:pPr>
        <w:pStyle w:val="Normal"/>
      </w:pPr>
      <w:r>
        <w:rPr>
          <w:b w:val="0"/>
        </w:rPr>
        <w:t>2. Technical Resolution. The Parties shall first seek a practical technical solution, including clarification, corrected guidance, electronic processing, recognition, revised inspection frequency, additional evidence, or a time-bound corrective plan. The responsible authority retains control over substantive health determinations. Where the problem is administrative rather than scientific, the Parties shall avoid reopening settled scientific questions unnecessarily. Progress shall be recorded in a common issue log maintained by the Agriculture Committee.</w:t>
      </w:r>
    </w:p>
    <w:p>
      <w:pPr>
        <w:pStyle w:val="Normal"/>
      </w:pPr>
      <w:r>
        <w:rPr>
          <w:b w:val="0"/>
        </w:rPr>
        <w:t>3. Cothrom Verification. If the matter remains unresolved, the requesting Party may initiate Cothrom verification to establish the obligation, evidence, material effect, corrective action, verification method, and restoration condition. Any step-back shall be proportionate to the verified failure and should ordinarily affect the corresponding facilitation benefit rather than underlying tariff treatment. Cure shall permit earn-back and automatic restoration under the Cothrom method. Nothing in this Article creates authority for unilateral tariff retaliation.</w:t>
      </w:r>
    </w:p>
    <w:p>
      <w:pPr>
        <w:pStyle w:val="Normal"/>
      </w:pPr>
      <w:r>
        <w:rPr>
          <w:b w:val="0"/>
        </w:rPr>
        <w:t>4. Systemic Problems. Where the same administrative problem affects multiple commodities or corridors, the Parties may adopt a system-wide corrective plan rather than litigating each shipment separately. The plan shall identify responsible agencies, milestones, interim protections for perishable trade, and a completion date. Failure to meet a verified plan may proceed through Chapter 31 or other applicable NAESTMA enforcement. Resolution of the systemic problem closes related issue-log entries unless a distinct factual problem remains.</w:t>
      </w:r>
    </w:p>
    <w:p>
      <w:pPr>
        <w:pStyle w:val="Heading2"/>
      </w:pPr>
      <w:bookmarkStart w:id="901645" w:name="_Toc300001644"/>
      <w:r>
        <w:t>Article 43.1AD: Reciprocity Circuit Breaker, Review, and Non-Retaliation</w:t>
      </w:r>
      <w:bookmarkEnd w:id="901645"/>
    </w:p>
    <w:p>
      <w:pPr>
        <w:pStyle w:val="Normal"/>
      </w:pPr>
      <w:r>
        <w:rPr>
          <w:b w:val="0"/>
        </w:rPr>
        <w:t>1. Reciprocity Review. Where a Party persistently denies a special facilitation benefit to comparable-risk originating agricultural goods while continuing to receive materially equivalent facilitation from another Party, the affected Party may request a reciprocity review. The review shall compare the actual regulatory benefit, risk conditions, compliance history, and stated reasons for different treatment. It shall not presume that different products or health risks require identical procedures. The objective is restoration of balanced facilitation rather than commercial punishment.</w:t>
      </w:r>
    </w:p>
    <w:p>
      <w:pPr>
        <w:pStyle w:val="Normal"/>
      </w:pPr>
      <w:r>
        <w:rPr>
          <w:b w:val="0"/>
        </w:rPr>
        <w:t>2. Limited Step-Back. Following consultation and Cothrom verification, a Party may temporarily withdraw or narrow the corresponding special facilitation benefit to the extent necessary to restore reciprocity. Ordinary treaty market access, tariff treatment, and SPS rights remain unaffected unless another provision independently authorizes a change. The step-back shall identify the condition for restoration and shall expire automatically when verified compliance returns. A Party shall prefer a narrow administrative response over a broader restriction.</w:t>
      </w:r>
    </w:p>
    <w:p>
      <w:pPr>
        <w:pStyle w:val="Normal"/>
      </w:pPr>
      <w:r>
        <w:rPr>
          <w:b w:val="0"/>
        </w:rPr>
        <w:t>3. No Cross-Sector Escalation. A disagreement concerning agricultural certification, inspection, licensing, or other facilitation shall not itself authorize tariffs, quotas, purchase mandates, or unrelated cross-sector retaliation. Existing Chapter 31 remedies remain available for a final finding of breach according to their terms. Article 35 tariff disciplines remain fully applicable. This paragraph is intended to keep agricultural paperwork disputes from becoming tariff disputes by reflex.</w:t>
      </w:r>
    </w:p>
    <w:p>
      <w:pPr>
        <w:pStyle w:val="Normal"/>
      </w:pPr>
      <w:r>
        <w:rPr>
          <w:b w:val="0"/>
        </w:rPr>
        <w:t>4. Review and Improvement. The Agriculture Committee shall review implementation of Articles 43.1S through 43.1AD at least every two years using trade-time data, rejection data, application processing times, stakeholder evidence, and SPS outcomes. The Committee may recommend technical improvements, additional mutual-recognition projects, or updates to Annex 43-D. Recommendations that alter tariff schedules, permanent quantitative access, or substantive treaty obligations require the amendment procedure otherwise applicable under this Agreement. Successful facilitation does not create an automatic entitlement to additional permanent market access.</w:t>
      </w:r>
    </w:p>
    <w:p>
      <w:pPr>
        <w:pStyle w:val="Heading3"/>
      </w:pPr>
      <w:r>
        <w:t>ANNEX 43-D: RECIPROCAL AGRICULTURAL MARKET ACCESS AND REGULATORY FACILITATION IMPLEMENTATION SCHEDULE</w:t>
      </w:r>
    </w:p>
    <w:p>
      <w:pPr>
        <w:pStyle w:val="Normal"/>
      </w:pPr>
      <w:r>
        <w:rPr>
          <w:b w:val="0"/>
        </w:rPr>
        <w:t>D43-1. Purpose and Relationship. This Annex operationalizes Articles 43.1S through 43.1AD and shall be read with Chapters 4, 5, 9, 31, 35, 36, and 43. It does not alter an existing tariff-rate quota quantity, over-quota rate, supply-management commitment, or product-specific origin rule. Where Chapter 9 establishes a more specific SPS rule, Chapter 9 controls. Administrative facilitation under this Annex remains subject to legitimate health and safety requirements.</w:t>
      </w:r>
    </w:p>
    <w:p>
      <w:pPr>
        <w:pStyle w:val="Normal"/>
      </w:pPr>
      <w:r>
        <w:rPr>
          <w:b w:val="0"/>
        </w:rPr>
        <w:t>D43-2. Initial Commodity Work Plan. Within ninety days, the Agriculture Committee shall identify priority workstreams for grains and oilseeds, pulses, meat and livestock products, fruits and vegetables, horticultural goods, and processed agricultural foods. Selection shall consider trade volume, perishability, recurring administrative friction, unresolved equivalence requests, and potential gains from electronic certification. Each workstream shall name responsible agencies and measurable deliverables. Inclusion does not imply that an existing measure is inconsistent with this Agreement.</w:t>
      </w:r>
    </w:p>
    <w:p>
      <w:pPr>
        <w:pStyle w:val="Normal"/>
      </w:pPr>
      <w:r>
        <w:rPr>
          <w:b w:val="0"/>
        </w:rPr>
        <w:t>D43-3. Common Barrier Record. Each referred administrative barrier shall be logged by product, tariff line where relevant, competent authority, affected corridor, type of barrier, date raised, evidence requested, interim action, and status. The record shall distinguish SPS risk questions from customs, licensing, certification, inspection, or information-technology problems. Confidential information shall not be published. A public summary shall identify resolved and unresolved categories without disclosing protected data.</w:t>
      </w:r>
    </w:p>
    <w:p>
      <w:pPr>
        <w:pStyle w:val="Normal"/>
      </w:pPr>
      <w:r>
        <w:rPr>
          <w:b w:val="0"/>
        </w:rPr>
        <w:t>D43-4. Perishable Escalation Contacts. Each Party shall maintain current twenty-four-hour or extended-hours escalation contacts for material holds affecting perishable agricultural trade at major corridors. The contacts shall be capable of routing a matter to the responsible customs, veterinary, plant-health, food-safety, or certification authority. Use of an escalation contact does not guarantee release. It guarantees that an urgent shipment can reach the authority capable of making or coordinating the required decision.</w:t>
      </w:r>
    </w:p>
    <w:p>
      <w:pPr>
        <w:pStyle w:val="Normal"/>
      </w:pPr>
      <w:r>
        <w:rPr>
          <w:b w:val="0"/>
        </w:rPr>
        <w:t>D43-5. Electronic Certificate Priority List. The initial interoperability program shall prioritize high-volume veterinary certificates, phytosanitary certificates, meat and food-safety attestations, plant-product certificates, and other documents selected by the Committee. Each project shall specify data fields, authentication method, system owner, testing procedure, outage fallback, and production date. Existing bilateral electronic certificate systems shall be reused where practical. The Parties shall avoid requiring a new portal merely to demonstrate trilateral branding.</w:t>
      </w:r>
    </w:p>
    <w:p>
      <w:pPr>
        <w:pStyle w:val="Normal"/>
      </w:pPr>
      <w:r>
        <w:rPr>
          <w:b w:val="0"/>
        </w:rPr>
        <w:t>D43-6. Trusted Operator Metrics. Trusted agricultural operator programs shall use transparent eligibility and maintenance criteria appropriate to commodity risk. Metrics may include compliance rate, serious violation history, traceability performance, recall cooperation, audit findings, and corrective-action completion. Benefits shall be documented so that traders understand the practical value of qualification. A program shall not become an exclusive channel that prevents otherwise compliant non-participants from trading.</w:t>
      </w:r>
    </w:p>
    <w:p>
      <w:pPr>
        <w:pStyle w:val="Normal"/>
      </w:pPr>
      <w:r>
        <w:rPr>
          <w:b w:val="0"/>
        </w:rPr>
        <w:t>D43-7. Regionalization Data Package. A Party requesting recognition of a zone, compartment, pest-free area, disease-free area, or area of low prevalence shall provide the surveillance, movement-control, traceability, outbreak, mapping, and competent-authority information reasonably necessary for assessment. The importing Party shall identify material information gaps rather than issuing open-ended requests where practicable. Updates may be supplied electronically as the event develops. The package may incorporate information already exchanged under Chapter 9.</w:t>
      </w:r>
    </w:p>
    <w:p>
      <w:pPr>
        <w:pStyle w:val="Normal"/>
      </w:pPr>
      <w:r>
        <w:rPr>
          <w:b w:val="0"/>
        </w:rPr>
        <w:t>D43-8. Correct-and-Continue Menu. Competent authorities shall publish, by major commodity family, examples of lawful corrective options that may be available for non-safety administrative defects. Options may include document correction, relabeling, segregation, treatment, bonded movement, reconditioning, re-export, or transfer to an approved facility. Availability depends on domestic law and the actual risk. Publication creates no right to cure a defect that cannot safely or lawfully be corrected.</w:t>
      </w:r>
    </w:p>
    <w:p>
      <w:pPr>
        <w:pStyle w:val="Normal"/>
      </w:pPr>
      <w:r>
        <w:rPr>
          <w:b w:val="0"/>
        </w:rPr>
        <w:t>D43-9. Performance Dashboard. The Agriculture Committee shall maintain aggregate indicators for processing times, perishable holds, border inspection frequency, application age, equivalence work, electronic certificate adoption, rejection reasons, and restoration following emergency measures. Indicators shall be interpreted with risk and trade-volume context and shall not operate as automatic breach triggers. Persistent outliers may prompt technical review. The dashboard shall use existing NAESTMA data infrastructure wherever practicable.</w:t>
      </w:r>
    </w:p>
    <w:p>
      <w:pPr>
        <w:pStyle w:val="Normal"/>
      </w:pPr>
      <w:r>
        <w:rPr>
          <w:b w:val="0"/>
        </w:rPr>
        <w:t>D43-10. Numerical and Legal Verification. Any product list, tariff-line concordance, processing deadline, laboratory method, inspection frequency, or other technical parameter adopted under this Annex shall identify its legal or technical source and effective date. Draft or estimated values shall be clearly marked pending verification. The Committee may correct technical references without changing substantive negotiated obligations where the Agreement permits. Permanent access quantities and tariff treatment may be changed only through the applicable formal procedure.</w:t>
      </w:r>
    </w:p>
    <w:p>
      <w:pPr>
        <w:pStyle w:val="Heading2"/>
      </w:pPr>
      <w:bookmarkStart w:id="901646" w:name="_Toc300001645"/>
      <w:r>
        <w:t>Article 43.2: Dairy Manufacturing Inputs</w:t>
      </w:r>
      <w:bookmarkEnd w:id="901646"/>
    </w:p>
    <w:p>
      <w:pPr>
        <w:pStyle w:val="Normal"/>
      </w:pPr>
      <w:r>
        <w:t>1. The Parties may establish staged tariff-rate quotas or simplified treatment for specified dairy manufacturing inputs used in value-added North American production. Expansion may occur by consensus following review of utilization, processing investment, producer effects, and market disruption.</w:t>
      </w:r>
    </w:p>
    <w:p>
      <w:pPr>
        <w:pStyle w:val="Normal"/>
      </w:pPr>
      <w:r>
        <w:t>2. This Article does not create unlimited duty-free access or abolish Canada's supply-management system.</w:t>
      </w:r>
    </w:p>
    <w:p>
      <w:pPr>
        <w:pStyle w:val="Heading2"/>
      </w:pPr>
      <w:bookmarkStart w:id="901647" w:name="_Toc300001646"/>
      <w:r>
        <w:t>Article 43.2A: North American Dairy Settlement and Supply-Management Stability</w:t>
      </w:r>
      <w:bookmarkEnd w:id="901647"/>
    </w:p>
    <w:p>
      <w:pPr>
        <w:pStyle w:val="Normal"/>
      </w:pPr>
      <w:r>
        <w:t>1. The Parties establish a North American Dairy Stability and Market Access Framework to convert recurring dairy disputes into predictable, evidence-based administration while preserving legitimate domestic agricultural policy and expanding commercially meaningful North American trade.</w:t>
      </w:r>
    </w:p>
    <w:p>
      <w:pPr>
        <w:pStyle w:val="Normal"/>
      </w:pPr>
      <w:r>
        <w:t>2. Nothing in this Framework requires Canada to abolish, privatize, terminate, or fundamentally restructure its system of supply management for dairy products. The maintenance of supply management shall not, however, diminish, frustrate, condition, or render commercially impracticable market access expressly granted under this Agreement.</w:t>
      </w:r>
    </w:p>
    <w:p>
      <w:pPr>
        <w:pStyle w:val="Normal"/>
      </w:pPr>
      <w:r>
        <w:t>3. The Parties shall administer this Framework on a trilateral basis. Canada, Mexico, and the United States shall each receive equivalent procedural rights, transparency, review, and protection against discriminatory administration, subject only to express Party-specific commitments in the Schedules.</w:t>
      </w:r>
    </w:p>
    <w:p>
      <w:pPr>
        <w:pStyle w:val="Normal"/>
      </w:pPr>
      <w:r>
        <w:t>4. No Party shall be treated solely as a destination market, residual-surplus market, or source of low-cost dairy inputs. Implementation shall seek balanced opportunities for producers, processors, importers, retailers, food-service operators, consumers, and small and medium-sized enterprises in all three Parties.</w:t>
      </w:r>
    </w:p>
    <w:p>
      <w:pPr>
        <w:pStyle w:val="TrumpVisibilityHeadline"/>
      </w:pPr>
      <w:r>
        <w:t xml:space="preserve">★ </w:t>
      </w:r>
      <w:r>
        <w:t>VISIBLE U.S. WIN: GUARANTEED NEW U.S. DAIRY ACCESS, MEASURABLE, USABLE, AND PROTECTED AGAINST ADMINISTRATIVE UNDERFILL</w:t>
      </w:r>
    </w:p>
    <w:p>
      <w:pPr>
        <w:pStyle w:val="Heading2"/>
      </w:pPr>
      <w:bookmarkStart w:id="901648" w:name="_Toc300001647"/>
      <w:r>
        <w:t>Article 43.2B: Effective Dairy Access Guarantee</w:t>
      </w:r>
      <w:bookmarkEnd w:id="901648"/>
    </w:p>
    <w:p>
      <w:pPr>
        <w:pStyle w:val="Normal"/>
      </w:pPr>
      <w:r>
        <w:t>1. A Party administering a dairy tariff-rate quota shall ensure that negotiated access is commercially usable in practice as well as legally available on paper.</w:t>
      </w:r>
    </w:p>
    <w:p>
      <w:pPr>
        <w:pStyle w:val="Normal"/>
      </w:pPr>
      <w:r>
        <w:t>2. Administration shall use published eligibility rules, application windows, allocation methodologies, processing deadlines, utilization reporting, return procedures, reallocation procedures, reasons for material adverse decisions, and accessible review mechanisms.</w:t>
      </w:r>
    </w:p>
    <w:p>
      <w:pPr>
        <w:pStyle w:val="Normal"/>
      </w:pPr>
      <w:r>
        <w:t>3. Eligibility shall not be conditioned solely on an applicant being a domestic processor or on prior import history. Subject to neutral qualification criteria, eligible applicants may include processors, retailers, distributors, food-service operators, cooperatives, end-users, and new entrants.</w:t>
      </w:r>
    </w:p>
    <w:p>
      <w:pPr>
        <w:pStyle w:val="Normal"/>
      </w:pPr>
      <w:r>
        <w:t>4. Allocations shall, where practicable, be divided into commercially useful tranches and shall not be structured to exclude smaller qualified applicants. Chronic non-use may justify prospective reduction of an individual allocation after notice and an opportunity to respond.</w:t>
      </w:r>
    </w:p>
    <w:p>
      <w:pPr>
        <w:pStyle w:val="Normal"/>
      </w:pPr>
      <w:r>
        <w:t>5. A Party shall not require resubmission of materially identical information already held by the competent authority unless reasonably necessary to verify changed circumstances, correct an identified deficiency, or address particularized risk evidence.</w:t>
      </w:r>
    </w:p>
    <w:p>
      <w:pPr>
        <w:pStyle w:val="Normal"/>
      </w:pPr>
      <w:r>
        <w:t>6. Qualifying in-quota shipments shall receive predictable customs processing and shall not be subjected to discretionary fees, port channeling, repetitive inspections, or administrative delay designed or operating to nullify negotiated access.</w:t>
      </w:r>
    </w:p>
    <w:p>
      <w:pPr>
        <w:pStyle w:val="Heading2"/>
      </w:pPr>
      <w:bookmarkStart w:id="901649" w:name="_Toc300001648"/>
      <w:r>
        <w:t>Article 43.2C: Utilization, Adaptive TRQs, and Access Restoration</w:t>
      </w:r>
      <w:bookmarkEnd w:id="901649"/>
    </w:p>
    <w:p>
      <w:pPr>
        <w:pStyle w:val="Normal"/>
      </w:pPr>
      <w:r>
        <w:t>1. Low utilization of a dairy tariff-rate quota does not by itself establish a violation. Review shall distinguish market underfill caused by demand, price, supply, commercial choice, logistics, or other market conditions from access failure materially caused by government administration.</w:t>
      </w:r>
    </w:p>
    <w:p>
      <w:pPr>
        <w:pStyle w:val="Normal"/>
      </w:pPr>
      <w:r>
        <w:t>2. Where utilization falls below a published administrative-access benchmark, any Party may request an expedited factual review under Article 43.2J. The review shall determine whether an administrative measure materially prevented otherwise commercially viable utilization.</w:t>
      </w:r>
    </w:p>
    <w:p>
      <w:pPr>
        <w:pStyle w:val="Normal"/>
      </w:pPr>
      <w:r>
        <w:t>3. A verified access failure shall be corrected through the narrowest sufficient remedy, including accelerated processing, removal of discriminatory eligibility conditions, reallocation of unused quantities, or prospective make-up access corresponding to the opportunity proven to have been frustrated.</w:t>
      </w:r>
    </w:p>
    <w:p>
      <w:pPr>
        <w:pStyle w:val="Normal"/>
      </w:pPr>
      <w:r>
        <w:t>4. Prospective make-up access shall be temporary and shall not permanently enlarge the underlying tariff-rate quota unless the Parties expressly agree. Repeated or intentional obstruction may justify a proportionately enhanced make-up quantity within limits adopted by the Commission.</w:t>
      </w:r>
    </w:p>
    <w:p>
      <w:pPr>
        <w:pStyle w:val="Normal"/>
      </w:pPr>
      <w:r>
        <w:t>5. Returned or materially unused allocations shall be reoffered early enough in the quota year to permit commercially meaningful use. The Parties shall publish return and reallocation calendars in advance.</w:t>
      </w:r>
    </w:p>
    <w:p>
      <w:pPr>
        <w:pStyle w:val="Normal"/>
      </w:pPr>
      <w:r>
        <w:t>6. Any automatic growth mechanism adopted for a dairy tariff-rate quota shall be product-sensitive, transparent, bounded by a published annual floor and ceiling, and linked to objective indicators such as population or relevant-category consumption. No growth formula shall operate as an unlimited ratchet detached from market conditions.</w:t>
      </w:r>
    </w:p>
    <w:p>
      <w:pPr>
        <w:pStyle w:val="Normal"/>
      </w:pPr>
      <w:r>
        <w:t>7. The Parties may establish secondary North American access windows for defined products where country-specific access remains persistently unused for non-administrative reasons, provided such a window does not erase or reduce another Party's negotiated rights without its consent.</w:t>
      </w:r>
    </w:p>
    <w:p>
      <w:pPr>
        <w:pStyle w:val="Heading2"/>
      </w:pPr>
      <w:bookmarkStart w:id="901650" w:name="_Toc300001649"/>
      <w:r>
        <w:t>Article 43.2D: Mexico Integration, Capacity Development, and Balanced Trilateral Opportunity</w:t>
      </w:r>
      <w:bookmarkEnd w:id="901650"/>
    </w:p>
    <w:p>
      <w:pPr>
        <w:pStyle w:val="Normal"/>
      </w:pPr>
      <w:r>
        <w:t>1. The Parties recognize Mexico as a full producer, processor, consumer, importer, exporter, investment destination, and innovation partner within the North American dairy economy.</w:t>
      </w:r>
    </w:p>
    <w:p>
      <w:pPr>
        <w:pStyle w:val="Normal"/>
      </w:pPr>
      <w:r>
        <w:t>2. Canada and Mexico may establish reciprocal product-specific access windows for specialty cheeses, butterfat products, dairy ingredients, cultured products, milk powders, and other mutually agreed categories. Access shall be scheduled transparently and shall not be presumed to require identical quantities in each direction.</w:t>
      </w:r>
    </w:p>
    <w:p>
      <w:pPr>
        <w:pStyle w:val="Normal"/>
      </w:pPr>
      <w:r>
        <w:t>3. The Parties shall maintain a North American Dairy Capacity-Gap Map identifying, on a non-confidential basis, commercially relevant gaps in processing, cold storage, transportation, veterinary capacity, water-efficient technology, packaging, specialized dairy ingredients, and other value-chain capabilities. Identified gaps shall be presented as voluntary investment opportunities rather than government-assigned production mandates.</w:t>
      </w:r>
    </w:p>
    <w:p>
      <w:pPr>
        <w:pStyle w:val="Normal"/>
      </w:pPr>
      <w:r>
        <w:t>4. Mexico may maintain evidence-based, time-limited development safeguards for an emerging dairy segment where a sudden import surge would materially impair commercially viable capacity under development. Any safeguard shall be narrowly tailored, progressively liberalized, automatically expire, and remain subject to expedited review.</w:t>
      </w:r>
    </w:p>
    <w:p>
      <w:pPr>
        <w:pStyle w:val="Normal"/>
      </w:pPr>
      <w:r>
        <w:t>5. The Parties shall facilitate voluntary producer, cooperative, processor, university, and investor partnerships supporting Mexican value-added dairy production, including cheese, cultured products, dairy ingredients, specialized nutrition, cold-chain infrastructure, water efficiency, animal health, genetics, feed efficiency, and workforce development.</w:t>
      </w:r>
    </w:p>
    <w:p>
      <w:pPr>
        <w:pStyle w:val="Normal"/>
      </w:pPr>
      <w:r>
        <w:t>6. No benefit under this Article shall depend on a firm locating in a particular Party. Investment-ready sites and capacity opportunities in all three Parties may compete on transparent terms.</w:t>
      </w:r>
    </w:p>
    <w:p>
      <w:pPr>
        <w:pStyle w:val="Normal"/>
      </w:pPr>
      <w:r>
        <w:t>7. Origin rules for processed dairy products shall facilitate legitimate triangular North American supply chains while preventing superficial processing, transshipment, or origin laundering.</w:t>
      </w:r>
    </w:p>
    <w:p>
      <w:pPr>
        <w:pStyle w:val="Heading2"/>
      </w:pPr>
      <w:bookmarkStart w:id="901651" w:name="_Toc300001650"/>
      <w:r>
        <w:t>Article 43.2E: Dairy Proteins, Concentrates, and Competitive-Neutrality Safe Harbor</w:t>
      </w:r>
      <w:bookmarkEnd w:id="901651"/>
    </w:p>
    <w:p>
      <w:pPr>
        <w:pStyle w:val="Normal"/>
      </w:pPr>
      <w:r>
        <w:t>1. The Parties shall exchange timely, comparable, and appropriately aggregated information concerning production, administered pricing measures, support programs, exports, and trade in milk protein concentrates, milk protein isolates, skim milk powder, whey proteins, ultra-filtered milk, casein, caseinates, and other designated dairy proteins and concentrates.</w:t>
      </w:r>
    </w:p>
    <w:p>
      <w:pPr>
        <w:pStyle w:val="Normal"/>
      </w:pPr>
      <w:r>
        <w:t>2. A challenge to dairy-protein exports shall identify the government measure alleged to create a material trade distortion and shall demonstrate, using objective evidence, a sustained causal relationship between that measure and the challenged trade effect. Low export prices, increased export volume, or a trade surplus alone shall not establish a violation.</w:t>
      </w:r>
    </w:p>
    <w:p>
      <w:pPr>
        <w:pStyle w:val="Normal"/>
      </w:pPr>
      <w:r>
        <w:t>3. A producer or exporter complying with agreed transparency, origin, subsidy-disclosure, and anti-circumvention requirements shall receive a rebuttable presumption of compliance for routine administration, without preventing action based on materially new evidence.</w:t>
      </w:r>
    </w:p>
    <w:p>
      <w:pPr>
        <w:pStyle w:val="Normal"/>
      </w:pPr>
      <w:r>
        <w:t>4. Nothing in this Article establishes a North American minimum export price, common milk-pricing class system, mandatory harmonization of domestic support programs, or joint authority to set commercial dairy prices.</w:t>
      </w:r>
    </w:p>
    <w:p>
      <w:pPr>
        <w:pStyle w:val="Normal"/>
      </w:pPr>
      <w:r>
        <w:t>5. Proposed material changes to a dairy-protein pricing or export measure with reasonably foreseeable cross-border effects shall be notified not less than 90 days in advance where practicable and shall be subject to technical consultation on request.</w:t>
      </w:r>
    </w:p>
    <w:p>
      <w:pPr>
        <w:pStyle w:val="Heading2"/>
      </w:pPr>
      <w:bookmarkStart w:id="901652" w:name="_Toc300001651"/>
      <w:r>
        <w:t>Article 43.2F: Regulatory Equivalence, Inspection, and Dairy Border Facilitation</w:t>
      </w:r>
      <w:bookmarkEnd w:id="901652"/>
    </w:p>
    <w:p>
      <w:pPr>
        <w:pStyle w:val="Normal"/>
      </w:pPr>
      <w:r>
        <w:t>1. The Parties shall pursue equivalence and interoperability rather than unnecessary regulatory homogenization. A Party may maintain its own food-safety, labeling, animal-health, consumer-protection, and inspection systems where they achieve the required level of protection.</w:t>
      </w:r>
    </w:p>
    <w:p>
      <w:pPr>
        <w:pStyle w:val="Normal"/>
      </w:pPr>
      <w:r>
        <w:t>2. The Parties shall establish a Dairy Regulatory Equivalence Ladder under which cooperation may progress from exchange of standards, to recognition of equivalent testing methods, recognition of approved facilities, mutual recognition of inspection results, and trusted-operator treatment where supported by evidence.</w:t>
      </w:r>
    </w:p>
    <w:p>
      <w:pPr>
        <w:pStyle w:val="Normal"/>
      </w:pPr>
      <w:r>
        <w:t>3. The Parties shall develop a common North American dairy export-certificate data set capable of being issued through each Party's domestic system and recognized by the others. A Party may require additional information only where necessary for a legitimate regulatory purpose.</w:t>
      </w:r>
    </w:p>
    <w:p>
      <w:pPr>
        <w:pStyle w:val="Normal"/>
      </w:pPr>
      <w:r>
        <w:t>4. Dairy traceability systems shall be interoperable through common data fields and secure exchange standards. Nothing in this Article requires a single centralized database or a specified distributed-ledger technology.</w:t>
      </w:r>
    </w:p>
    <w:p>
      <w:pPr>
        <w:pStyle w:val="Normal"/>
      </w:pPr>
      <w:r>
        <w:t>5. Fresh and highly perishable dairy products may receive expedited processing lanes, pre-arrival review, priority inspection, and risk-based release procedures. Service targets shall reflect product perishability without limiting necessary food-safety action.</w:t>
      </w:r>
    </w:p>
    <w:p>
      <w:pPr>
        <w:pStyle w:val="Normal"/>
      </w:pPr>
      <w:r>
        <w:t>6. The Parties shall establish expedited consultation for recurring customs-classification, SPS, grading, labeling, additive, packaging, or inspection issues affecting dairy trade. Bona fide emergency health measures may take effect immediately but shall be explained and reviewed promptly.</w:t>
      </w:r>
    </w:p>
    <w:p>
      <w:pPr>
        <w:pStyle w:val="Heading2"/>
      </w:pPr>
      <w:bookmarkStart w:id="901653" w:name="_Toc300001652"/>
      <w:r>
        <w:t>Article 43.2G: Specialty Dairy, Small Producers, and Novel Products</w:t>
      </w:r>
      <w:bookmarkEnd w:id="901653"/>
    </w:p>
    <w:p>
      <w:pPr>
        <w:pStyle w:val="Normal"/>
      </w:pPr>
      <w:r>
        <w:t>1. The Commission shall maintain a Specialty Dairy and Novel Products Schedule containing common descriptive definitions, tariff-line crosswalks, regulatory notes, and product-specific facilitation measures for categories that are frequently misclassified, technologically novel, highly perishable, or commercially distinct.</w:t>
      </w:r>
    </w:p>
    <w:p>
      <w:pPr>
        <w:pStyle w:val="Normal"/>
      </w:pPr>
      <w:r>
        <w:t>2. Candidate categories may include goat- and sheep-milk cheeses; Mexican fresh cheeses including queso fresco, panela, and Oaxaca-style products; aged and fresh cheese variants; burrata and other highly perishable cheeses; kefir, skyr, cultured buttermilk, and other cultured products; milk and whey proteins by concentration; hydrolyzed proteins; pharmaceutical- and food-grade lactose; casein and caseinates; ghee, anhydrous milk fat, butter oil, and concentrated butter; dulce de leche and related caramelized milk products; specialized dairy-based nutrition; and ultra-filtered milk and concentrates.</w:t>
      </w:r>
    </w:p>
    <w:p>
      <w:pPr>
        <w:pStyle w:val="Normal"/>
      </w:pPr>
      <w:r>
        <w:t>3. Nothing in paragraph 2 requires creation of an international Harmonized System heading. The Parties may coordinate national tariff-line subdivisions, explanatory crosswalks, advance rulings, and technical amendments consistent with Article 34.A.</w:t>
      </w:r>
    </w:p>
    <w:p>
      <w:pPr>
        <w:pStyle w:val="Normal"/>
      </w:pPr>
      <w:r>
        <w:t>4. A novel dairy product not clearly covered by existing guidance may be submitted for classification with information concerning composition, processing, dairy-solids content, intended use, shelf life, and relevant safety characteristics. The competent authorities shall seek a coordinated determination within 60 days.</w:t>
      </w:r>
    </w:p>
    <w:p>
      <w:pPr>
        <w:pStyle w:val="Normal"/>
      </w:pPr>
      <w:r>
        <w:t>5. Final coordinated determinations shall be published in the Dairy Rules Database, subject to confidential-business-information protections, and shall guide treatment of materially equivalent goods.</w:t>
      </w:r>
    </w:p>
    <w:p>
      <w:pPr>
        <w:pStyle w:val="Normal"/>
      </w:pPr>
      <w:r>
        <w:t>6. Each Party shall provide a Small and Specialty Dairy Producer Gateway offering simplified guidance, consolidated documentation, classification assistance, advance-ruling access, and export-readiness support for qualifying SMEs and cooperatives.</w:t>
      </w:r>
    </w:p>
    <w:p>
      <w:pPr>
        <w:pStyle w:val="Normal"/>
      </w:pPr>
      <w:r>
        <w:t>7. The Parties may establish Non-Displacement Specialty Dairy Windows for products with negligible or demonstrably insufficient domestic production, using modest and reviewable access arrangements designed to expand consumer choice without materially displacing sensitive domestic production.</w:t>
      </w:r>
    </w:p>
    <w:p>
      <w:pPr>
        <w:pStyle w:val="Heading2"/>
      </w:pPr>
      <w:bookmarkStart w:id="901654" w:name="_Toc300001653"/>
      <w:r>
        <w:t>Article 43.2H: North American Specialty Dairy Experimental Pathway</w:t>
      </w:r>
      <w:bookmarkEnd w:id="901654"/>
    </w:p>
    <w:p>
      <w:pPr>
        <w:pStyle w:val="Normal"/>
      </w:pPr>
      <w:r>
        <w:t>1. The Parties establish a voluntary experimental pathway for time-limited testing of specialty, novel, perishable, or otherwise uncertain dairy-market opportunities before permanent liberalization or regulatory change.</w:t>
      </w:r>
    </w:p>
    <w:p>
      <w:pPr>
        <w:pStyle w:val="Normal"/>
      </w:pPr>
      <w:r>
        <w:t>2. A pilot shall identify its baseline, experimental variable, eligible products or participants, geographic scope where relevant, duration, metrics, confidentiality rules, and exit conditions before commencement. Pilots should ordinarily run for 12 to 24 months.</w:t>
      </w:r>
    </w:p>
    <w:p>
      <w:pPr>
        <w:pStyle w:val="Normal"/>
      </w:pPr>
      <w:r>
        <w:t>3. Permitted experimental variables may include temporary product-specific quota access, bounded tariff relief, customs procedures, certification recognition, documentation, regulatory-equivalence arrangements, perishable-goods service standards, cold-chain procedures, producer-importer matching, consolidated shipping, or other measures consistent with this Agreement.</w:t>
      </w:r>
    </w:p>
    <w:p>
      <w:pPr>
        <w:pStyle w:val="Normal"/>
      </w:pPr>
      <w:r>
        <w:t>4. Participation in a pilot does not create precedent, permanent market-access rights, or an entitlement to continuation unless the measure is expressly adopted through the applicable treaty or domestic process.</w:t>
      </w:r>
    </w:p>
    <w:p>
      <w:pPr>
        <w:pStyle w:val="Normal"/>
      </w:pPr>
      <w:r>
        <w:t>5. Evaluation shall consider trade volume, repeat purchases, consumer price and choice, domestic producer displacement, SME participation, administrative cost, border dwell time, spoilage, temperature integrity where relevant, compliance incidents, market entry, and whether demand persists after temporary promotional support ends.</w:t>
      </w:r>
    </w:p>
    <w:p>
      <w:pPr>
        <w:pStyle w:val="Normal"/>
      </w:pPr>
      <w:r>
        <w:t>6. Where practicable, pilots should use comparison groups or baseline routes sufficient to distinguish the effect of the tested measure from ordinary market variation.</w:t>
      </w:r>
    </w:p>
    <w:p>
      <w:pPr>
        <w:pStyle w:val="Normal"/>
      </w:pPr>
      <w:r>
        <w:t>7. At conclusion, the responsible authorities shall classify the result as Graduate, Expand, Modify, Expire, or Inconclusive. An Inconclusive result may support a redesigned pilot but shall not be treated as evidence for permanent liberalization.</w:t>
      </w:r>
    </w:p>
    <w:p>
      <w:pPr>
        <w:pStyle w:val="Normal"/>
      </w:pPr>
      <w:r>
        <w:t>8. Provinces, states, and other eligible subnational governments may volunteer as test markets consistent with Article 36.25, but shall not acquire treaty-making authority by participating.</w:t>
      </w:r>
    </w:p>
    <w:p>
      <w:pPr>
        <w:pStyle w:val="Normal"/>
      </w:pPr>
      <w:r>
        <w:t>9. Private retailers, food-service operators, distributors, e-commerce firms, producer cooperatives, and logistics providers may operate market-discovery programs under approved pilot conditions. The Parties shall not be required to establish or operate a government retail or e-commerce platform.</w:t>
      </w:r>
    </w:p>
    <w:p>
      <w:pPr>
        <w:pStyle w:val="Heading2"/>
      </w:pPr>
      <w:bookmarkStart w:id="901655" w:name="_Toc300001654"/>
      <w:r>
        <w:t>Article 43.2I: Producer, Consumer, and Supply-Chain Stability</w:t>
      </w:r>
      <w:bookmarkEnd w:id="901655"/>
    </w:p>
    <w:p>
      <w:pPr>
        <w:pStyle w:val="Normal"/>
      </w:pPr>
      <w:r>
        <w:t>1. A Party may maintain domestic producer-adjustment, innovation, income-stabilization, environmental, animal-health, or transition programs for dairy, provided they are administered consistently with the applicable subsidy, national-treatment, and export-discipline provisions of this Agreement.</w:t>
      </w:r>
    </w:p>
    <w:p>
      <w:pPr>
        <w:pStyle w:val="Normal"/>
      </w:pPr>
      <w:r>
        <w:t>2. Significant access adjustments shall, where practicable, be accompanied by transparent monitoring of consumer prices, farm-gate indicators, producer effects, intermediary margins where reliable data exist, and market concentration. Monitoring is diagnostic and does not establish price controls.</w:t>
      </w:r>
    </w:p>
    <w:p>
      <w:pPr>
        <w:pStyle w:val="Normal"/>
      </w:pPr>
      <w:r>
        <w:t>3. A Party experiencing an extraordinary and injurious dairy import surge may invoke a narrowly tailored temporary safeguard consistent with Chapter 10. A safeguard shall require evidence of serious injury or threat, shall be product-specific, progressively liberalized, and automatically terminate.</w:t>
      </w:r>
    </w:p>
    <w:p>
      <w:pPr>
        <w:pStyle w:val="Normal"/>
      </w:pPr>
      <w:r>
        <w:t>4. The Parties shall establish an Emergency Dairy Supply Corridor framework for disasters, disease outbreaks, transportation failures, border disruptions, or acute regional shortages. Pre-certified suppliers may receive expedited administrative treatment without creating permanent export obligations.</w:t>
      </w:r>
    </w:p>
    <w:p>
      <w:pPr>
        <w:pStyle w:val="Normal"/>
      </w:pPr>
      <w:r>
        <w:t>5. Emergency reserves, where used, should preferentially rely on rotating commercial inventories and transparent release criteria. Nothing in this Article requires permanent government stockpiles.</w:t>
      </w:r>
    </w:p>
    <w:p>
      <w:pPr>
        <w:pStyle w:val="Normal"/>
      </w:pPr>
      <w:r>
        <w:t>6. The Parties shall cooperate on cold-chain resilience, temperature-control evidence, consolidated shipping, shared or interoperable logistics information, and contingency routing, particularly for highly perishable products and remote or underserved markets.</w:t>
      </w:r>
    </w:p>
    <w:p>
      <w:pPr>
        <w:pStyle w:val="Heading2"/>
      </w:pPr>
      <w:bookmarkStart w:id="901656" w:name="_Toc300001655"/>
      <w:r>
        <w:t>Article 43.2J: Accelerated Dairy Cothrom Review and Cure</w:t>
      </w:r>
      <w:bookmarkEnd w:id="901656"/>
    </w:p>
    <w:p>
      <w:pPr>
        <w:pStyle w:val="Normal"/>
      </w:pPr>
      <w:r>
        <w:t>1. A Party, affected importer, exporter, producer, or other person with a direct commercial interest may request accelerated factual review of a dairy market-access, classification, quota-administration, customs, or regulatory-equivalence dispute in accordance with procedures established under the Cothrom verification framework.</w:t>
      </w:r>
    </w:p>
    <w:p>
      <w:pPr>
        <w:pStyle w:val="Normal"/>
      </w:pPr>
      <w:r>
        <w:t>2. The default sequence shall provide for technical consultation within 10 days, focused evidence exchange by day 20, independent factual assessment where unresolved, and a final determination ordinarily within 60 days. Shorter clocks may apply to highly perishable goods.</w:t>
      </w:r>
    </w:p>
    <w:p>
      <w:pPr>
        <w:pStyle w:val="Normal"/>
      </w:pPr>
      <w:r>
        <w:t>3. Review shall distinguish commercial outcomes from government-caused barriers, identify the narrowest sufficient cure, and preserve legitimate food-safety and animal-health authority.</w:t>
      </w:r>
    </w:p>
    <w:p>
      <w:pPr>
        <w:pStyle w:val="Normal"/>
      </w:pPr>
      <w:r>
        <w:t>4. A Party found non-compliant shall receive a reasonable opportunity to cure before compensatory or retaliatory measures are authorized, except where immediate action is necessary to prevent irreparable harm and is independently justified.</w:t>
      </w:r>
    </w:p>
    <w:p>
      <w:pPr>
        <w:pStyle w:val="Normal"/>
      </w:pPr>
      <w:r>
        <w:t>5. Remedies should, where practicable, remain within the dairy sub-module and may include correction of administration, restoration of lost access, expedited processing, temporary equivalent dairy access, or other proportionate relief. Cross-sector retaliation shall be a last resort and remains subject to the Chapter 35 module firewall.</w:t>
      </w:r>
    </w:p>
    <w:p>
      <w:pPr>
        <w:pStyle w:val="Normal"/>
      </w:pPr>
      <w:r>
        <w:t>6. Ordinary dairy market-access disagreements do not, by themselves, constitute sufficient grounds for extraordinary cross-sector economic-security measures.</w:t>
      </w:r>
    </w:p>
    <w:p>
      <w:pPr>
        <w:pStyle w:val="Heading2"/>
      </w:pPr>
      <w:bookmarkStart w:id="901657" w:name="_Toc300001656"/>
      <w:r>
        <w:t>Article 43.2K: Dairy Peace Clause, No-Surprises Rule, and No-Fade Guarantee</w:t>
      </w:r>
      <w:bookmarkEnd w:id="901657"/>
    </w:p>
    <w:p>
      <w:pPr>
        <w:pStyle w:val="Normal"/>
      </w:pPr>
      <w:r>
        <w:t>1. A Party shall, where practicable, provide at least 90 days' advance notice of a material dairy trade measure that is reasonably expected to affect access under this Framework, together with a description of the measure and its anticipated trade effects. Emergency health or safety measures are subject to prompt post-adoption notice and review.</w:t>
      </w:r>
    </w:p>
    <w:p>
      <w:pPr>
        <w:pStyle w:val="Normal"/>
      </w:pPr>
      <w:r>
        <w:t>2. During a Dairy Stability Period established by the Commission, a Party in material compliance with this Framework shall not be required to renegotiate settled dairy market-access concessions solely because another Party seeks additional access. Rights to challenge an actual violation or to negotiate mutually agreed new access remain unaffected.</w:t>
      </w:r>
    </w:p>
    <w:p>
      <w:pPr>
        <w:pStyle w:val="Normal"/>
      </w:pPr>
      <w:r>
        <w:t>3. The Dairy Stability Period shall renew automatically unless the Parties agree otherwise or an independent review establishes a persistent material failure that has not been cured. Refusal to agree on new concessions does not terminate existing dairy rights or obligations.</w:t>
      </w:r>
    </w:p>
    <w:p>
      <w:pPr>
        <w:pStyle w:val="Normal"/>
      </w:pPr>
      <w:r>
        <w:t>4. Comprehensive dairy review shall occur at least every five years and shall focus on administration, utilization, market development, producer and consumer effects, Mexico integration, protein trade, regulatory equivalence, specialty-product pathways, and the performance of safeguards and experimental mechanisms.</w:t>
      </w:r>
    </w:p>
    <w:p>
      <w:pPr>
        <w:pStyle w:val="Normal"/>
      </w:pPr>
      <w:r>
        <w:t>5. Failure to agree on amendments at a review leaves the existing Framework in force. No review creates an expiry date, sunset, or automatic reversion of negotiated access.</w:t>
      </w:r>
    </w:p>
    <w:p>
      <w:pPr>
        <w:pStyle w:val="Heading2"/>
      </w:pPr>
      <w:bookmarkStart w:id="901658" w:name="_Toc300001657"/>
      <w:r>
        <w:t>Article 43.2L: Dairy Data, Research, and Implementation</w:t>
      </w:r>
      <w:bookmarkEnd w:id="901658"/>
    </w:p>
    <w:p>
      <w:pPr>
        <w:pStyle w:val="Normal"/>
      </w:pPr>
      <w:r>
        <w:t>1. The Secretariat shall maintain a Dairy Rules Database containing public tariff-rate quota rules, utilization statistics, tariff and classification guidance, advance-ruling precedents, regulatory notices, certification information, processing-service metrics, and other non-confidential implementation materials in English, French, and Spanish where practicable.</w:t>
      </w:r>
    </w:p>
    <w:p>
      <w:pPr>
        <w:pStyle w:val="Normal"/>
      </w:pPr>
      <w:r>
        <w:t>2. The Parties shall exchange comparable aggregate information on dairy production, trade, prices where publicly available, capacity, logistics performance, and material support programs sufficient to administer this Framework while protecting confidential business information.</w:t>
      </w:r>
    </w:p>
    <w:p>
      <w:pPr>
        <w:pStyle w:val="Normal"/>
      </w:pPr>
      <w:r>
        <w:t>3. The Parties shall facilitate voluntary North American dairy research and cooperation on animal health, disease surveillance, feed efficiency, methane reduction, water efficiency, cold-chain technology, packaging, waste valorization, whey utilization, manure-to-energy systems, food safety, resilient genetics, and other mutually beneficial innovation.</w:t>
      </w:r>
    </w:p>
    <w:p>
      <w:pPr>
        <w:pStyle w:val="Normal"/>
      </w:pPr>
      <w:r>
        <w:t>4. Cooperation may include producer exchanges, workforce and veterinary training, university partnerships, voluntary technology transfer on commercial terms, and shared market intelligence. Participation remains subject to domestic appropriations, intellectual-property rights, competition law, biosafety, and research-security safeguards.</w:t>
      </w:r>
    </w:p>
    <w:p>
      <w:pPr>
        <w:pStyle w:val="Normal"/>
      </w:pPr>
      <w:r>
        <w:t>5. The Commission shall implement this Framework primarily through existing institutions and interoperable national systems. A new permanent body shall not be established where the same function can be performed by an existing committee, the Secretariat, Cothrom procedures, or designated national authorities.</w:t>
      </w:r>
    </w:p>
    <w:p>
      <w:pPr>
        <w:pStyle w:val="Heading3"/>
      </w:pPr>
      <w:r>
        <w:t>ANNEX 43-A: DAIRY IMPLEMENTATION AND SPECIALTY-PRODUCT PRINCIPLES</w:t>
      </w:r>
    </w:p>
    <w:p>
      <w:pPr>
        <w:pStyle w:val="Normal"/>
      </w:pPr>
      <w:r>
        <w:t>1. Product Sensitivity Bands. For purposes of negotiated access and experimental design, the Parties may distinguish: (a) Protected Core products that remain highly sensitive under a Party's domestic agricultural structure; (b) Managed Consumer Access products such as cheese, butter, yogurt, cream, and ice cream; (c) Industrial and Ingredient products including whey, proteins, powders, casein, lactose, and specialized manufacturing inputs; and (d) Specialty and Innovation products with limited domestic production, distinctive processing, niche demand, or novel technological characteristics.</w:t>
      </w:r>
    </w:p>
    <w:p>
      <w:pPr>
        <w:pStyle w:val="Normal"/>
      </w:pPr>
      <w:r>
        <w:t>2. The bands in paragraph 1 are analytical tools and do not themselves alter tariff schedules, tariff-rate quota quantities, origin rules, or domestic regulatory classifications.</w:t>
      </w:r>
    </w:p>
    <w:p>
      <w:pPr>
        <w:pStyle w:val="Normal"/>
      </w:pPr>
      <w:r>
        <w:t>3. Perishable Dairy Priority. Fresh cheeses, cultured products, live-culture products, and other goods for which border delay materially reduces commercial value may qualify for pre-arrival processing, priority inspection, and statistically measured release targets subject to food-safety risk.</w:t>
      </w:r>
    </w:p>
    <w:p>
      <w:pPr>
        <w:pStyle w:val="Normal"/>
      </w:pPr>
      <w:r>
        <w:t>4. Origin Integrity. Experimental simplification should preferentially reduce documentation burden rather than lower substantive North American origin thresholds. Any temporary origin variation shall be expressly bounded, monitored, and unavailable for transshipment or superficial processing.</w:t>
      </w:r>
    </w:p>
    <w:p>
      <w:pPr>
        <w:pStyle w:val="Normal"/>
      </w:pPr>
      <w:r>
        <w:t>5. Labeling Interoperability. The Parties shall seek a common underlying information core covering product identity, ingredients, allergens, nutrition information, origin, storage conditions, and lot or traceability information while preserving each Party's official-language and consumer-protection requirements.</w:t>
      </w:r>
    </w:p>
    <w:p>
      <w:pPr>
        <w:pStyle w:val="Normal"/>
      </w:pPr>
      <w:r>
        <w:t>6. Certification Recognition. Mutual recognition may be developed for equivalent organic, artisan or small-producer, pharmaceutical-grade lactose, inspection, laboratory, and other certifications where competent authorities determine that the underlying standards provide comparable assurance.</w:t>
      </w:r>
    </w:p>
    <w:p>
      <w:pPr>
        <w:pStyle w:val="Normal"/>
      </w:pPr>
      <w:r>
        <w:t>7. Pilot Reciprocity. Experimental opportunities should be reciprocal in commercial opportunity but need not use identical products, regions, or tonnage where market size, sensitivity, logistics, or consumer demand materially differ.</w:t>
      </w:r>
    </w:p>
    <w:p>
      <w:pPr>
        <w:pStyle w:val="Normal"/>
      </w:pPr>
      <w:r>
        <w:t>8. Anti-Gaming. The Parties shall guard against quota hoarding, shell applicants, strategic underfill, false specialty classification, deliberate reclassification, origin laundering, pilot cycling, fabricated capacity gaps, manipulation of emergency safeguards, and administrative delay designed to influence utilization statistics.</w:t>
      </w:r>
    </w:p>
    <w:p>
      <w:pPr>
        <w:pStyle w:val="Normal"/>
      </w:pPr>
      <w:r>
        <w:t>9. Confidentiality. Public reporting shall protect confidential business information, personally identifiable information, commercially sensitive pricing, and proprietary production data while providing sufficient aggregate information for independent evaluation.</w:t>
      </w:r>
    </w:p>
    <w:p>
      <w:pPr>
        <w:pStyle w:val="Normal"/>
      </w:pPr>
      <w:r>
        <w:t>10. Technical Maintenance. The Commission may update product definitions, tariff-line crosswalks, data fields, pilot templates, service metrics, and other non-substantive technical elements of this Annex through the Structured Technical Amendment Procedure, subject to the limitations of Article 34.A.</w:t>
      </w:r>
    </w:p>
    <w:p>
      <w:pPr>
        <w:pStyle w:val="Normal"/>
      </w:pPr>
      <w:r>
        <w:t>11. Provincial Dairy Access Schedule. The implementing Schedule shall list, for each Canadian province, the official Reference Milk-Production Volume, applicable phase-in percentage, resulting milk-equivalent access quantity, product-conversion factors, any regional-pooling designation, and the portion treated as pre-existing versus genuinely incremental access.</w:t>
      </w:r>
    </w:p>
    <w:p>
      <w:pPr>
        <w:pStyle w:val="Normal"/>
      </w:pPr>
      <w:r>
        <w:t>12. Milk-Equivalent Conversion. Conversion factors shall be based on transparent, objective dairy-component or milk-solids methodology appropriate to the product category, shall be reproducible from published inputs, and shall be maintained consistently across provinces. The implementing Schedule shall publish the applicable product-family factors or an incorporated technical table before access obligations become operative. Technical updates may correct conversion accuracy but shall not be used unilaterally to increase or diminish the economic burden or commercial value of negotiated access.</w:t>
      </w:r>
    </w:p>
    <w:p>
      <w:pPr>
        <w:pStyle w:val="Normal"/>
      </w:pPr>
      <w:r>
        <w:t>13. Utilization Reporting. Provincial reporting shall distinguish quantities allocated, imported, processed or placed into commerce, returned, reallocated, transferred regionally, and unused. Reporting shall also identify, in aggregate form, the principal objectively supported causes of material underutilization.</w:t>
      </w:r>
    </w:p>
    <w:p>
      <w:pPr>
        <w:pStyle w:val="Normal"/>
      </w:pPr>
      <w:r>
        <w:t>14. New-Entrant Availability. The implementing Schedule shall preserve a commercially meaningful pathway for qualified new entrants and non-incumbent commercial users. The Commission may establish product-sensitive minimum availability or reallocation priority where evidence shows that incumbent concentration is materially impairing utilization.</w:t>
      </w:r>
    </w:p>
    <w:p>
      <w:pPr>
        <w:pStyle w:val="Normal"/>
      </w:pPr>
      <w:r>
        <w:t>15. Existing-Access Baseline. Before implementation, the Parties shall establish a transparent baseline identifying the portion of existing United States dairy access demonstrably utilized in each province or region. Existing access may count toward the provincial floor only as specified in the Schedule; unutilized paper access shall not be presumed equivalent to effective utilization.</w:t>
      </w:r>
    </w:p>
    <w:p>
      <w:pPr>
        <w:pStyle w:val="Normal"/>
      </w:pPr>
      <w:r>
        <w:rPr>
          <w:b/>
        </w:rPr>
        <w:t>16. Priority Cheese Schedule.</w:t>
      </w:r>
      <w:r>
        <w:t xml:space="preserve"> The implementing Schedule shall state, for each province, the 0.2 percent Priority Cheese Access Bonus, its milk-equivalent quantity, and the applicable tariff-line crosswalks and product definitions for cheddar, mozzarella, including commercially relevant low-moisture and part-skim forms, and cream cheese.</w:t>
      </w:r>
    </w:p>
    <w:p>
      <w:pPr>
        <w:pStyle w:val="Normal"/>
      </w:pPr>
      <w:r>
        <w:rPr>
          <w:b/>
        </w:rPr>
        <w:t>17. Conversion Transparency.</w:t>
      </w:r>
      <w:r>
        <w:t xml:space="preserve"> Before the Priority Cheese Bonus becomes operative, the Parties shall publish the conversion methodology and product-family factors used to translate covered cheeses into milk-equivalent quantities. Factors shall be based on objective dairy-component or milk-solids methodology and shall be reproducible from published inputs. A technical disagreement shall be resolved through neutral technical review rather than unilateral control by either Party.</w:t>
      </w:r>
    </w:p>
    <w:p>
      <w:pPr>
        <w:pStyle w:val="Normal"/>
      </w:pPr>
      <w:r>
        <w:rPr>
          <w:b/>
        </w:rPr>
        <w:t>18. Priority Cheese Utilization Reporting.</w:t>
      </w:r>
      <w:r>
        <w:t xml:space="preserve"> Reporting shall separately identify Bonus quantities allocated, imported, returned, reallocated, and unused, together with aggregate participation by processors, independent importers, retail or food-service channels, and new entrants, while protecting confidential business information.</w:t>
      </w:r>
    </w:p>
    <w:p>
      <w:pPr>
        <w:pStyle w:val="Normal"/>
      </w:pPr>
      <w:r>
        <w:rPr>
          <w:b/>
        </w:rPr>
        <w:t>19. Classification and Anti-Substitution Rule.</w:t>
      </w:r>
      <w:r>
        <w:t xml:space="preserve"> The Priority Cheese Bonus shall not be satisfied with skim milk powder, milk protein concentrate, butter, whey, yogurt, unrelated cheese categories, or other dairy products. Product classification shall follow the agreed tariff-line crosswalk and commercially substantive product characteristics rather than labels selected for quota convenience.</w:t>
      </w:r>
    </w:p>
    <w:p>
      <w:pPr>
        <w:pStyle w:val="Normal"/>
      </w:pPr>
      <w:r>
        <w:rPr>
          <w:b/>
        </w:rPr>
        <w:t>20. Six-Month General-Floor Transition.</w:t>
      </w:r>
      <w:r>
        <w:t xml:space="preserve"> The Schedule shall show the 0.6 percent general provincial floor from entry into force and the 0.8 percent general floor beginning six months thereafter. The 0.2 percent Priority Cheese Bonus applies throughout both periods, producing total scheduled provincial access of 0.8 percent at entry into force and 1.0 percent after six months, subject to the accounting and scope rules of Articles 43.2L.4 and 43.2L.10.</w:t>
      </w:r>
    </w:p>
    <w:p>
      <w:pPr>
        <w:pStyle w:val="Heading3"/>
      </w:pPr>
      <w:r>
        <w:t>21. Optional Enhanced Dairy-Forestry Exchange Schedule.</w:t>
      </w:r>
    </w:p>
    <w:p>
      <w:pPr>
        <w:pStyle w:val="Normal"/>
      </w:pPr>
      <w:r>
        <w:t>Annex 43-A shall maintain a separate Optional Canada-United States Enhanced Dairy Access and Softwood Lumber Normalization Exchange Schedule. The Schedule is legally dormant unless separately executed by Canada and the United States under Article 43.2L.11. Ratification, entry into force, renewal, continuation, or amendment of this Agreement does not activate the Schedule or constitute consent to any optional Exchange Unit.</w:t>
      </w:r>
    </w:p>
    <w:p>
      <w:pPr>
        <w:pStyle w:val="Heading3"/>
      </w:pPr>
      <w:r>
        <w:t>22. Suggested Initial Lumber Calibration.</w:t>
      </w:r>
    </w:p>
    <w:p>
      <w:pPr>
        <w:pStyle w:val="Normal"/>
      </w:pPr>
      <w:r>
        <w:t>For negotiating purposes only, the initial reference proposal is: Exchange Unit A, an additional 0.20 percent provincial dairy access in return for an Aggregate Covered Border Burden ceiling of 25 percent on covered Canadian softwood lumber; Exchange Unit B, a further 0.20 percent in return for a cumulative ceiling of 20 percent; and Exchange Unit C, a further 0.10 percent in return for a cumulative ceiling of 15 percent. Full activation therefore produces 1.50 percent total scheduled provincial dairy access and a suggested 15 percent lumber ceiling. These figures are negotiable before execution and create no obligation unless incorporated into a signed Activation Schedule.</w:t>
      </w:r>
    </w:p>
    <w:p>
      <w:pPr>
        <w:pStyle w:val="Heading3"/>
      </w:pPr>
      <w:r>
        <w:t>23. Negotiating Equivalence Corridor.</w:t>
      </w:r>
    </w:p>
    <w:p>
      <w:pPr>
        <w:pStyle w:val="Normal"/>
      </w:pPr>
      <w:r>
        <w:t>For full activation, Canada and the United States should ordinarily seek a negotiated Aggregate Covered Border Burden within a 12.5 to 20 percent reference corridor, with 15 percent as the suggested initial negotiating point. The corridor is guidance for reciprocal-value negotiation, not an automatic entitlement, mandatory outcome, or unilateral adjustment formula. A signed Activation Schedule may adopt another calibration where the Parties expressly agree and Cothrom verifies substantial reciprocal value equivalence.</w:t>
      </w:r>
    </w:p>
    <w:p>
      <w:pPr>
        <w:pStyle w:val="Heading3"/>
      </w:pPr>
      <w:r>
        <w:t>24. Aggregate Covered Border Burden.</w:t>
      </w:r>
    </w:p>
    <w:p>
      <w:pPr>
        <w:pStyle w:val="Normal"/>
      </w:pPr>
      <w:r>
        <w:t>For this Optional Exchange, Aggregate Covered Border Burden means the cumulative ad valorem equivalent of covered softwood-lumber-specific anti-dumping duties, countervailing duties, Section 232 lumber tariffs, emergency or additional lumber tariffs, lumber-specific import surcharges or assessments, and successor measures that materially withdraw the negotiated commercial value of the applicable Exchange Unit. Ordinary non-discriminatory customs fees, generally applicable internal taxes, penalties for proven violations, and bona fide health, safety, environmental, customs, or anti-fraud measures are excluded unless applied or structured as a disguised substitute for a covered burden.</w:t>
      </w:r>
    </w:p>
    <w:p>
      <w:pPr>
        <w:pStyle w:val="Heading3"/>
      </w:pPr>
      <w:r>
        <w:t>25. Activation and Performance Record.</w:t>
      </w:r>
    </w:p>
    <w:p>
      <w:pPr>
        <w:pStyle w:val="Normal"/>
      </w:pPr>
      <w:r>
        <w:t>Each signed Activation Schedule shall identify covered lumber products and measures, any producer-specific treatment required by applicable law, the applicable burden ceiling, the corresponding dairy increment, commencement date, duration if any, verification data, treatment of successor measures, and cure and step-back procedures. Cothrom shall maintain a paired performance record sufficient to verify whether each side continues to deliver the commercial value for which the corresponding Exchange Unit was activated.</w:t>
      </w:r>
    </w:p>
    <w:p>
      <w:pPr>
        <w:pStyle w:val="Heading2"/>
      </w:pPr>
      <w:bookmarkStart w:id="901659" w:name="_Toc300001658"/>
      <w:r>
        <w:t>Article 43.2L.1: Dairy Access Portability and Active-Use Reallocation</w:t>
      </w:r>
      <w:bookmarkEnd w:id="901659"/>
    </w:p>
    <w:p>
      <w:pPr>
        <w:pStyle w:val="Normal"/>
      </w:pPr>
      <w:r>
        <w:t>1. Within an existing dairy TRQ, Canada may provide that an eligible allocation associated with a qualifying product, exporter, or commercial program remains usable when the holder changes an importer, distributor, broker, or logistics provider, provided eligibility, traceability, and allocation conditions remain satisfied.</w:t>
      </w:r>
    </w:p>
    <w:p>
      <w:pPr>
        <w:pStyle w:val="Normal"/>
      </w:pPr>
      <w:r>
        <w:t>2. Portability shall not permit sale of quota as a purely financial asset, double counting, circumvention of eligibility rules, or transfer to an ineligible person.</w:t>
      </w:r>
    </w:p>
    <w:p>
      <w:pPr>
        <w:pStyle w:val="Normal"/>
      </w:pPr>
      <w:r>
        <w:t>3. Unused or materially underused quantities should be reviewed at least quarterly where administratively practicable and reallocated early enough in the quota year to permit commercially meaningful use.</w:t>
      </w:r>
    </w:p>
    <w:p>
      <w:pPr>
        <w:pStyle w:val="Normal"/>
      </w:pPr>
      <w:r>
        <w:t>4. Reallocation procedures shall be published in advance and may prioritize demonstrated demand, new entrants, SMEs, retailers, food-service users, processors, or other eligible applicants according to transparent product-sensitive rules.</w:t>
      </w:r>
    </w:p>
    <w:p>
      <w:pPr>
        <w:pStyle w:val="Heading2"/>
      </w:pPr>
      <w:bookmarkStart w:id="901660" w:name="_Toc300001659"/>
      <w:r>
        <w:t>Article 43.2L.2: Functional Dairy Access Pools</w:t>
      </w:r>
      <w:bookmarkEnd w:id="901660"/>
    </w:p>
    <w:p>
      <w:pPr>
        <w:pStyle w:val="Normal"/>
      </w:pPr>
      <w:r>
        <w:t>1. Where concentration of allocations in one commercial channel materially impairs utilization, Canada may establish separate functional pools for processing inputs, retail-ready goods, food-service demand, specialty products, new entrants, or other commercially distinct uses within the negotiated aggregate access.</w:t>
      </w:r>
    </w:p>
    <w:p>
      <w:pPr>
        <w:pStyle w:val="Normal"/>
      </w:pPr>
      <w:r>
        <w:t>2. Functional pools do not enlarge the negotiated aggregate TRQ unless separately agreed. They are an administrative tool to make existing access usable while preserving supply management.</w:t>
      </w:r>
    </w:p>
    <w:p>
      <w:pPr>
        <w:pStyle w:val="Normal"/>
      </w:pPr>
      <w:r>
        <w:t>3. No pool shall guarantee a sale, listing, shelf position, or purchase. Allocation shall reflect demonstrated commercial capacity and applicable food-safety requirements.</w:t>
      </w:r>
    </w:p>
    <w:p>
      <w:pPr>
        <w:pStyle w:val="Heading2"/>
      </w:pPr>
      <w:bookmarkStart w:id="901661" w:name="_Toc300001660"/>
      <w:r>
        <w:t>Article 43.2L.3: Dairy Exporter Pre-Clearance and New-Entrant Gateway</w:t>
      </w:r>
      <w:bookmarkEnd w:id="901661"/>
    </w:p>
    <w:p>
      <w:pPr>
        <w:pStyle w:val="Normal"/>
      </w:pPr>
      <w:r>
        <w:t>1. The Parties shall develop a voluntary pre-clearance pathway allowing an exporter and eligible importer to establish documentary readiness, product classification, certification, and available allocation before dispatch of a perishable shipment.</w:t>
      </w:r>
    </w:p>
    <w:p>
      <w:pPr>
        <w:pStyle w:val="Normal"/>
      </w:pPr>
      <w:r>
        <w:t>2. Each Party should maintain a plain-language dairy access guide and a contact point for SMEs and first-time exporters. Lack of prior import history shall not by itself disqualify an otherwise eligible applicant.</w:t>
      </w:r>
    </w:p>
    <w:p>
      <w:pPr>
        <w:pStyle w:val="Normal"/>
      </w:pPr>
      <w:r>
        <w:t>3. Pre-clearance is not a guarantee of admissibility where shipment-specific safety, origin, quota, or fraud concerns arise.</w:t>
      </w:r>
    </w:p>
    <w:p>
      <w:pPr>
        <w:pStyle w:val="Heading2"/>
      </w:pPr>
      <w:bookmarkStart w:id="901662" w:name="_Toc300001661"/>
      <w:r>
        <w:t>Article 43.2L.4: Provincial United States Dairy Access Floor</w:t>
      </w:r>
      <w:bookmarkEnd w:id="901662"/>
    </w:p>
    <w:p>
      <w:pPr>
        <w:pStyle w:val="Normal"/>
      </w:pPr>
      <w:r>
        <w:t>1. Canada shall establish a geographically distributed United States dairy access floor for each province. The access attributed to a province shall be calculated as a percentage of that province's Reference Milk-Production Volume and converted into standardized milk-equivalent quantities under Annex 43-A. This mechanism supplements, and does not abolish, Canada's supply-management system.</w:t>
      </w:r>
    </w:p>
    <w:p>
      <w:pPr>
        <w:pStyle w:val="Normal"/>
      </w:pPr>
      <w:r>
        <w:t>2. Unless the Parties agree to an alternative implementation schedule following validation of provincial and product-specific data, the general dairy access floor shall be 0.6 percent upon entry into force of this mechanism and shall increase to 0.8 percent six months after that date. Administrative preparation, allocation-cycle timing, or delayed domestic implementation shall not extend the six-month transition. The 0.8 percent level shall thereafter remain the general access floor unless expressly amended by the Parties.</w:t>
      </w:r>
    </w:p>
    <w:p>
      <w:pPr>
        <w:pStyle w:val="Normal"/>
      </w:pPr>
      <w:r>
        <w:t>3. The 0.8 percent level is a negotiated access floor and shall not increase automatically because utilization is high, because a province absorbs the access without material disruption, or because market demand grows. Any increase requires express agreement of the Parties through the applicable amendment procedure.</w:t>
      </w:r>
    </w:p>
    <w:p>
      <w:pPr>
        <w:pStyle w:val="Normal"/>
      </w:pPr>
      <w:r>
        <w:t>4. Equal proportional exposure does not require equal absolute volume. Each province's obligation shall be determined from its own Reference Milk-Production Volume. The mechanism shall not divide the national percentage by the number of provinces.</w:t>
      </w:r>
    </w:p>
    <w:p>
      <w:pPr>
        <w:pStyle w:val="Normal"/>
      </w:pPr>
      <w:r>
        <w:t>5. Canada shall retain discretion over the domestic instruments used to accommodate the access floor, including production planning, pooling, inventory management, processor arrangements, market development, or other lawful supply-management tools. Nothing in this Article requires a particular reduction in producer quota, farm-gate price, or processor margin.</w:t>
      </w:r>
    </w:p>
    <w:p>
      <w:pPr>
        <w:pStyle w:val="Normal"/>
      </w:pPr>
      <w:r>
        <w:t>6. The Parties shall identify in the applicable Schedule whether, and to what extent, quantities under this Article are additional to pre-existing CUSMA dairy access. Existing access shall not be credited merely because it exists on paper; any credit shall reflect demonstrated effective utilization attributable to the relevant province under the agreed baseline methodology.</w:t>
      </w:r>
    </w:p>
    <w:p>
      <w:pPr>
        <w:pStyle w:val="Heading2"/>
      </w:pPr>
      <w:bookmarkStart w:id="901663" w:name="_Toc300001662"/>
      <w:r>
        <w:t>Article 43.2L.5: Commercial Utilization, Use-or-Return, and Reallocation</w:t>
      </w:r>
      <w:bookmarkEnd w:id="901663"/>
    </w:p>
    <w:p>
      <w:pPr>
        <w:pStyle w:val="Normal"/>
      </w:pPr>
      <w:r>
        <w:t>1. Access under Article 43.2L.4 shall be administered to produce commercially meaningful utilization rather than nominal allocation. Canada shall not satisfy the access floor solely by issuing allocations that are predictably unusable, systematically underused because of administrative design, or retained by holders without commercially reasonable use.</w:t>
      </w:r>
    </w:p>
    <w:p>
      <w:pPr>
        <w:pStyle w:val="Normal"/>
      </w:pPr>
      <w:r>
        <w:t>2. Allocation holders shall be subject to published use-or-return checkpoints. Materially unused quantities shall be returned or reclaimed and reallocated early enough to permit commercially meaningful use within the dairy year.</w:t>
      </w:r>
    </w:p>
    <w:p>
      <w:pPr>
        <w:pStyle w:val="Normal"/>
      </w:pPr>
      <w:r>
        <w:t>3. Reallocation shall be open, subject to neutral qualification criteria, to processors, independent importers, distributors, retailers, food-service operators, cooperatives, end-users, and new entrants with demonstrated capacity to import, process, distribute, or place the relevant product into Canadian commerce.</w:t>
      </w:r>
    </w:p>
    <w:p>
      <w:pPr>
        <w:pStyle w:val="Normal"/>
      </w:pPr>
      <w:r>
        <w:t>4. Repeated material non-use without reasonable commercial explanation may result in prospective reduction of allocation priority. No allocation holder acquires a property right to unused quota by reason of historical allocation.</w:t>
      </w:r>
    </w:p>
    <w:p>
      <w:pPr>
        <w:pStyle w:val="Normal"/>
      </w:pPr>
      <w:r>
        <w:t>5. Canada shall maintain a utilization benchmark of 90 percent for the access made available under Article 43.2L.4. Utilization of 90 percent or more is presumptively satisfactory. Utilization from 80 percent through 89.9 percent shall trigger an automatic administrative and reallocation audit. Utilization below 80 percent shall trigger a corrective access plan. Two consecutive measurement periods below 90 percent create a rebuttable presumption of an access-administration impairment unless evidence establishes that the material underutilization resulted from inadequate qualifying United States supply, absence of commercially reasonable Canadian demand, food-safety or conformity failure, force majeure, or another specified cause not attributable to Canadian administration.</w:t>
      </w:r>
    </w:p>
    <w:p>
      <w:pPr>
        <w:pStyle w:val="Normal"/>
      </w:pPr>
      <w:r>
        <w:t>6. Where qualified United States supply and a willing eligible Canadian commercial user exist but an administrative measure materially prevents utilization, Canada shall promptly restore the pathway through reallocation, portability, alternative importer access, equivalent product treatment where agreed, or other narrow corrective action sufficient to make the negotiated access usable.</w:t>
      </w:r>
    </w:p>
    <w:p>
      <w:pPr>
        <w:pStyle w:val="Normal"/>
      </w:pPr>
      <w:r>
        <w:t>7. Nothing in this Article guarantees a sale, purchase, listing, shelf position, processor contract, price, or commercial outcome where access is genuinely available and market participants choose not to transact.</w:t>
      </w:r>
    </w:p>
    <w:p>
      <w:pPr>
        <w:pStyle w:val="Normal"/>
      </w:pPr>
      <w:r>
        <w:t>6. Corrective measures under paragraph 5 shall first address the access pathway and may include accelerated reallocation, reopening of applicant categories, correction of qualification criteria, additional notice to eligible users, or other measures reasonably directed to the identified cause. They shall not compel a private purchase where commercially reasonable demand is absent.</w:t>
      </w:r>
    </w:p>
    <w:p>
      <w:pPr>
        <w:pStyle w:val="Normal"/>
      </w:pPr>
      <w:r>
        <w:t>7. Reallocation shall occur with sufficient time remaining in the applicable quota period for a commercially reasonable importer to contract, ship, clear, process, distribute, or place the product into commerce. A nominal reallocation made too late for practical use shall not satisfy the effective-utilization obligation.</w:t>
      </w:r>
    </w:p>
    <w:p>
      <w:pPr>
        <w:pStyle w:val="Heading2"/>
      </w:pPr>
      <w:bookmarkStart w:id="901664" w:name="_Toc300001663"/>
      <w:r>
        <w:t>Article 43.2L.6: Provincial Distribution, Regional Flexibility, and Anti-Concentration</w:t>
      </w:r>
      <w:bookmarkEnd w:id="901664"/>
    </w:p>
    <w:p>
      <w:pPr>
        <w:pStyle w:val="Normal"/>
      </w:pPr>
      <w:r>
        <w:t>1. The purpose of the provincial access floor is to create durable and geographically distributed United States dairy access across Canada. Access attributed to a province should ordinarily be processed, distributed, sold, or otherwise placed into commerce in that province.</w:t>
      </w:r>
    </w:p>
    <w:p>
      <w:pPr>
        <w:pStyle w:val="Normal"/>
      </w:pPr>
      <w:r>
        <w:t>2. Canada shall not satisfy the provincial distribution requirement by concentrating materially all utilization in one or two provinces while assigning accounting credit to other provinces without a commercially reasonable connection.</w:t>
      </w:r>
    </w:p>
    <w:p>
      <w:pPr>
        <w:pStyle w:val="Normal"/>
      </w:pPr>
      <w:r>
        <w:t>3. A province with limited processing capacity, specialized product constraints, exceptional logistics costs, or other objectively demonstrated small-market limitations may use a published regional pooling arrangement, including an Atlantic, Prairie, or other appropriate regional pathway, provided the province's attributed quantity remains separately reported and the arrangement does not materially reduce aggregate United States access.</w:t>
      </w:r>
    </w:p>
    <w:p>
      <w:pPr>
        <w:pStyle w:val="Normal"/>
      </w:pPr>
      <w:r>
        <w:t>4. Interprovincial transfer may be used temporarily to prevent access from expiring unused after reasonable provincial reallocation efforts. Transfer shall preserve the national negotiated quantity and shall not become a routine device for defeating geographic distribution.</w:t>
      </w:r>
    </w:p>
    <w:p>
      <w:pPr>
        <w:pStyle w:val="Normal"/>
      </w:pPr>
      <w:r>
        <w:t>5. Open Access Reserve. At least 25 percent of genuinely incremental access under Article 43.2L.4 shall initially be available through allocation channels open to qualified independent importers, distributors, retailers, food-service purchasers, new entrants, and other eligible non-incumbent commercial users. The Commission may adjust the percentage only where validated market evidence shows that the reserve is persistently unusable or materially insufficient, and any adjustment shall preserve a commercially meaningful non-incumbent pathway.</w:t>
      </w:r>
    </w:p>
    <w:p>
      <w:pPr>
        <w:pStyle w:val="Normal"/>
      </w:pPr>
      <w:r>
        <w:t>6. Beneficial-Ownership Concentration. No single enterprise or commonly controlled corporate group should ordinarily control more than 25 percent of genuinely incremental access attributed to a province. A temporary exception may be used where insufficient qualifying demand would otherwise strand access, but the reason, duration, and aggregate quantity shall be reported and the unused portion shall remain subject to reallocation.</w:t>
      </w:r>
    </w:p>
    <w:p>
      <w:pPr>
        <w:pStyle w:val="Normal"/>
      </w:pPr>
      <w:r>
        <w:t>7. Regional flexibility shall not reduce a province's numerical obligation. Where processing or logistics constraints justify regional routing, the quantity shall remain attributed to the originating province for accounting purposes, remain commercially available to the designated regional market, and be supported by a written objective justification reviewed at least annually. Regional routing shall terminate when the material capacity constraint no longer exists.</w:t>
      </w:r>
    </w:p>
    <w:p>
      <w:pPr>
        <w:pStyle w:val="Heading2"/>
      </w:pPr>
      <w:bookmarkStart w:id="901665" w:name="_Toc300001664"/>
      <w:r>
        <w:t>Article 43.2L.7: Product Mix, Milk-Equivalent Accounting, and Reference Volume</w:t>
      </w:r>
      <w:bookmarkEnd w:id="901665"/>
    </w:p>
    <w:p>
      <w:pPr>
        <w:pStyle w:val="Normal"/>
      </w:pPr>
      <w:r>
        <w:t>1. Access under Article 43.2L.4 shall be expressed in standardized milk-equivalent quantities using transparent product-conversion factors maintained in Annex 43-A. Raw-fluid volume shall not be used as a substitute for product-sensitive conversion where cheese, butter, cream, powders, proteins, cultured products, or other dairy goods impose materially different milk-component requirements.</w:t>
      </w:r>
    </w:p>
    <w:p>
      <w:pPr>
        <w:pStyle w:val="Normal"/>
      </w:pPr>
      <w:r>
        <w:t>2. Reference Milk-Production Volume means the rolling three-year average of marketable milk production or the closest objectively comparable official provincial production measure agreed by the Parties, adjusted only to correct material data discontinuities or extraordinary events.</w:t>
      </w:r>
    </w:p>
    <w:p>
      <w:pPr>
        <w:pStyle w:val="Normal"/>
      </w:pPr>
      <w:r>
        <w:t>3. The access pool should support commercially relevant product diversity. Canada may use product-sensitive sub-pools for fluid and cream products, cheese, butter and milk fats, dairy ingredients and proteins, cultured products, specialty products, and other agreed categories, provided the design does not operate to frustrate aggregate utilization.</w:t>
      </w:r>
    </w:p>
    <w:p>
      <w:pPr>
        <w:pStyle w:val="Normal"/>
      </w:pPr>
      <w:r>
        <w:t>4. No Party is required to manufacture, import, purchase, or consume a product for which there is no commercially reasonable demand. Product substitution within the negotiated access may be permitted using the agreed milk-equivalent conversion methodology where doing so preserves the economic value and sensitivity of the concession.</w:t>
      </w:r>
    </w:p>
    <w:p>
      <w:pPr>
        <w:pStyle w:val="Normal"/>
      </w:pPr>
      <w:r>
        <w:t>5. Product-Demand Responsiveness. Administration of the provincial access floor shall reasonably respond to demonstrated commercial demand among covered dairy categories. Canada shall not systematically direct access toward low-demand or administratively convenient products for the purpose or effect of materially restricting access in categories where qualified United States suppliers and willing Canadian commercial users exist.</w:t>
      </w:r>
    </w:p>
    <w:p>
      <w:pPr>
        <w:pStyle w:val="Heading2"/>
      </w:pPr>
      <w:bookmarkStart w:id="901666" w:name="_Toc300001665"/>
      <w:r>
        <w:t>Article 43.2L.8: Supply-Management Stability and No-Ratchet Safeguard</w:t>
      </w:r>
      <w:bookmarkEnd w:id="901666"/>
    </w:p>
    <w:p>
      <w:pPr>
        <w:pStyle w:val="Normal"/>
      </w:pPr>
      <w:r>
        <w:t>1. Nothing in Articles 43.2L.4 through 43.2L.7 requires Canada to abolish provincial production quotas, alter farm-gate pricing structures, eliminate supply management, or reduce over-quota tariff protection beyond the access expressly scheduled under this Agreement.</w:t>
      </w:r>
    </w:p>
    <w:p>
      <w:pPr>
        <w:pStyle w:val="Normal"/>
      </w:pPr>
      <w:r>
        <w:t>2. If objective evidence demonstrates that the distribution mechanics of the provincial access floor are causing material disruption beyond the negotiated market opening, Canada may temporarily modify allocation timing, product composition, regional routing, or other administrative mechanics, provided the aggregate negotiated United States access is not reduced and the modification is no more restrictive than reasonably necessary.</w:t>
      </w:r>
    </w:p>
    <w:p>
      <w:pPr>
        <w:pStyle w:val="Normal"/>
      </w:pPr>
      <w:r>
        <w:t>3. A stability adjustment under paragraph 2 shall be notified promptly, include the evidence relied upon, and expire or be reviewed within 180 days. It shall not be used to recreate quota hoarding, closed allocation channels, or systematic underutilization.</w:t>
      </w:r>
    </w:p>
    <w:p>
      <w:pPr>
        <w:pStyle w:val="Normal"/>
      </w:pPr>
      <w:r>
        <w:t>4. Successful absorption, high utilization, increased Canadian demand, or administrative convenience does not create a presumption in favor of expanding the percentage floor. Additional access remains a matter for express negotiation.</w:t>
      </w:r>
    </w:p>
    <w:p>
      <w:pPr>
        <w:pStyle w:val="Heading2"/>
      </w:pPr>
      <w:bookmarkStart w:id="901667" w:name="_Toc300001666"/>
      <w:r>
        <w:t>Article 43.2L.9: Synchronized Exchange, Trilateral Balance, and Review</w:t>
      </w:r>
      <w:bookmarkEnd w:id="901667"/>
    </w:p>
    <w:p>
      <w:pPr>
        <w:pStyle w:val="Normal"/>
      </w:pPr>
      <w:r>
        <w:t>1. Any genuinely incremental Canadian dairy access created by Articles 43.2L.4 through 43.2L.8 shall be implemented in synchronized exchange with a clearly identified reciprocal or offsetting benefit for Canada under this Agreement, consistent with Article 35.36 and Article 43.1. Canada shall not be required to front-load the incremental concession without the corresponding benefit becoming legally effective on the agreed schedule.</w:t>
      </w:r>
    </w:p>
    <w:p>
      <w:pPr>
        <w:pStyle w:val="Normal"/>
      </w:pPr>
      <w:r>
        <w:t>2. The United States shall receive a clear, auditable statement of the provincial access quantities, utilization, returns, reallocations, and causes of material underfill. Canada shall receive equivalent transparency concerning the reciprocal benefit paired with the incremental access.</w:t>
      </w:r>
    </w:p>
    <w:p>
      <w:pPr>
        <w:pStyle w:val="Normal"/>
      </w:pPr>
      <w:r>
        <w:t>3. Mexico shall retain full procedural equality under the North American Dairy Stability and Market Access Framework. The Commission shall review whether an equivalent Mexico-specific dairy access, development, or reciprocal opportunity mechanism would produce balanced value without mechanically copying the Canada-United States provincial model.</w:t>
      </w:r>
    </w:p>
    <w:p>
      <w:pPr>
        <w:pStyle w:val="Normal"/>
      </w:pPr>
      <w:r>
        <w:t>4. The Parties shall conduct an implementation review after twelve months of operation at the 0.8 percent general access level and at least every five years thereafter. Review shall assess effective utilization, producer and processor effects, consumer effects, regional distribution, product mix, supply-management stability, new-entrant participation, the Priority Cheese Access Bonus under Article 43.2L.10, and the value of the reciprocal Canadian benefit.</w:t>
      </w:r>
    </w:p>
    <w:p>
      <w:pPr>
        <w:pStyle w:val="Normal"/>
      </w:pPr>
      <w:r>
        <w:t>5. Review may recommend technical changes to conversion factors, reporting, reallocation timing, regional pooling, or product sub-pools. It shall not increase the percentage floor or diminish the reciprocal benefit without express agreement of the affected Parties.</w:t>
      </w:r>
    </w:p>
    <w:p>
      <w:pPr>
        <w:pStyle w:val="Heading2"/>
      </w:pPr>
      <w:bookmarkStart w:id="901668" w:name="_Toc300001667"/>
      <w:r>
        <w:t>Article 43.2L.10: Provincial Priority Cheese Access Bonus</w:t>
      </w:r>
      <w:bookmarkEnd w:id="901668"/>
    </w:p>
    <w:p>
      <w:pPr>
        <w:pStyle w:val="Normal"/>
      </w:pPr>
      <w:r>
        <w:t>1. In addition to the general dairy access floor under Article 43.2L.4, Canada shall establish for each province a United States Priority Cheese Access Bonus equivalent to 0.2 percent of that province's Reference Milk-Production Volume, converted into standardized milk-equivalent quantities under Annex 43-A. The Bonus shall become available upon entry into force of this mechanism and shall remain additional to, and shall not be credited against, the 0.6 percent or 0.8 percent general dairy access floor.</w:t>
      </w:r>
    </w:p>
    <w:p>
      <w:pPr>
        <w:pStyle w:val="Normal"/>
      </w:pPr>
      <w:r>
        <w:t>2. Covered Priority Cheese Products. The Bonus may be used only for qualifying United States-origin cheddar, mozzarella, including low-moisture and part-skim mozzarella used in food service or manufacturing, and cream cheese, as defined and classified in Annex 43-A. Unrelated dairy products shall not be counted toward the Bonus.</w:t>
      </w:r>
    </w:p>
    <w:p>
      <w:pPr>
        <w:pStyle w:val="Normal"/>
      </w:pPr>
      <w:r>
        <w:t>3. Commercial Product Choice. The Bonus shall operate as a unified priority-cheese pool rather than three rigid product sub-quotas. Qualified Canadian commercial users may select among covered cheddar, mozzarella, and cream cheese according to demonstrated demand. No covered product may be categorically excluded or subjected to an allocation practice that materially defeats commercially demonstrated demand.</w:t>
      </w:r>
    </w:p>
    <w:p>
      <w:pPr>
        <w:pStyle w:val="Normal"/>
      </w:pPr>
      <w:r>
        <w:t>4. Effective Utilization. The use-or-return, timely reallocation, utilization review, new-entrant access, anti-hoarding, beneficial-ownership concentration, and effective-performance safeguards applicable to Article 43.2L.4 shall apply equally to the Priority Cheese Access Bonus.</w:t>
      </w:r>
    </w:p>
    <w:p>
      <w:pPr>
        <w:pStyle w:val="Normal"/>
      </w:pPr>
      <w:r>
        <w:t>5. Open Commercial Channels. The Bonus shall maintain commercially meaningful pathways for processors, independent importers, retailers, food-service distributors and purchasers, cooperatives, and qualified new entrants. The Open Access Reserve under Article 43.2L.6 shall apply to the Bonus and may not be satisfied solely through allocation to incumbent processors.</w:t>
      </w:r>
    </w:p>
    <w:p>
      <w:pPr>
        <w:pStyle w:val="Normal"/>
      </w:pPr>
      <w:r>
        <w:t>6. Product Classification Integrity. Annex 43-A shall identify the applicable tariff classifications and commercially relevant product definitions for cheddar, mozzarella, and cream cheese. Technical classification updates may prevent evasion or accommodate legitimate product evolution but shall not expand the Bonus to unrelated dairy categories or materially reduce its commercial usability without express agreement.</w:t>
      </w:r>
    </w:p>
    <w:p>
      <w:pPr>
        <w:pStyle w:val="Normal"/>
      </w:pPr>
      <w:r>
        <w:t>7. No Automatic Ratchet. High utilization, successful provincial absorption, growth in Canadian demand, or strong commercial performance of a covered cheese may be considered in future negotiations but creates no presumption, entitlement, obligation, or automatic adjustment requiring Canada to increase the 0.2 percent Bonus or the general dairy access floor.</w:t>
      </w:r>
    </w:p>
    <w:p>
      <w:pPr>
        <w:pStyle w:val="Normal"/>
      </w:pPr>
      <w:r>
        <w:t>8. Supply-Management Boundary. The Priority Cheese Access Bonus is a defined additional market-access concession. Nothing in this Article requires Canada to alter supply-management institutions beyond what is reasonably necessary to make the scheduled Bonus commercially usable, nor may supply-management administration be used to nullify the Bonus.</w:t>
      </w:r>
    </w:p>
    <w:p>
      <w:pPr>
        <w:pStyle w:val="Normal"/>
      </w:pPr>
      <w:r>
        <w:t>9. Reciprocal Treatment. To the extent the 0.2 percent Bonus constitutes genuinely incremental access beyond pre-existing obligations, it shall be included in the synchronized exchange and reciprocal-benefit accounting under Article 43.2L.9 and Article 35.36.</w:t>
      </w:r>
    </w:p>
    <w:p>
      <w:pPr>
        <w:pStyle w:val="Heading2"/>
      </w:pPr>
      <w:bookmarkStart w:id="901669" w:name="_Toc300001668"/>
      <w:r>
        <w:t>Article 43.2L.11: OPTIONAL CANADA-UNITED STATES ENHANCED DAIRY ACCESS AND SOFTWOOD LUMBER NORMALIZATION EXCHANGE</w:t>
      </w:r>
      <w:bookmarkEnd w:id="901669"/>
    </w:p>
    <w:p>
      <w:pPr>
        <w:pStyle w:val="Normal"/>
      </w:pPr>
      <w:r>
        <w:t>1. Optional Character and Separate Consent. Canada and the United States establish a standing negotiated option under which additional Canadian provincial dairy access may be exchanged for corresponding United States softwood-lumber normalization. This Article and its Schedule are optional. Nothing in this Agreement, including ratification, entry into force, implementation, renewal, continuation, amendment, or participation in any other Chapter, constitutes consent to activate an Exchange Unit. No Exchange Unit creates a right, obligation, expectation, presumption, entitlement, compensable interest, or implementation duty unless Canada and the United States separately execute the applicable Activation Schedule through their respective constitutionally appropriate procedures.</w:t>
      </w:r>
    </w:p>
    <w:p>
      <w:pPr>
        <w:pStyle w:val="Normal"/>
      </w:pPr>
      <w:r>
        <w:t>2. Baseline Firewall. The 1.0 percent total scheduled provincial dairy access established by Articles 43.2L.4 and 43.2L.10 after completion of the six-month transition remains the baseline dairy bargain and is legally separate from this Optional Exchange. Declining, delaying, terminating, or declining to renew an optional Exchange Unit does not constitute a violation of the baseline dairy obligations or of Chapter 42.</w:t>
      </w:r>
    </w:p>
    <w:p>
      <w:pPr>
        <w:pStyle w:val="Normal"/>
      </w:pPr>
      <w:r>
        <w:t>3. Exchange Units. The Optional Exchange may be activated in three cumulative units unless the Parties expressly agree otherwise in the signed Schedule: (a) Unit A adds 0.20 percentage points of provincial dairy access, producing 1.20 percent total scheduled access after the baseline transition; (b) Unit B adds a further 0.20 percentage points, producing 1.40 percent; and (c) Unit C adds a further 0.10 percentage points, producing 1.50 percent. A later Unit may be activated only with the preceding Unit or through an expressly agreed equivalent configuration preserving reciprocal value.</w:t>
      </w:r>
    </w:p>
    <w:p>
      <w:pPr>
        <w:pStyle w:val="Normal"/>
      </w:pPr>
      <w:r>
        <w:t>4. Suggested Negotiating Calibration. The initial, non-binding negotiating proposal pairs Unit A with a 25 percent Aggregate Covered Border Burden ceiling on covered Canadian softwood lumber, Units A and B cumulatively with a 20 percent ceiling, and Units A through C cumulatively with a 15 percent ceiling. For full activation, 15 percent is the suggested initial negotiating reference point and 12.5 to 20 percent is the reference negotiating corridor. The figures may be changed only by mutual written agreement before activation. They are not self-executing, do not amend applicable trade-remedy determinations by themselves, and shall not be represented as an agreed outcome until incorporated into a signed Activation Schedule.</w:t>
      </w:r>
    </w:p>
    <w:p>
      <w:pPr>
        <w:pStyle w:val="Normal"/>
      </w:pPr>
      <w:r>
        <w:t>5. Reciprocal-Value Validation. Before execution of an Exchange Unit, Canada and the United States shall assess substantial reciprocal value using the best reasonably available data concerning expected incremental dairy access, historical utilization, tariff incidence, affected trade value, commercial usability, duration, reversibility, market conditions, producer and downstream effects, and the expected commercial value of the lumber treatment. Exact dollar-for-dollar equivalence is not required. Cothrom shall verify that the proposed exchange falls within a reasonable reciprocal-value range and shall publish a non-confidential explanation of the methodology without disclosing protected commercial information.</w:t>
      </w:r>
    </w:p>
    <w:p>
      <w:pPr>
        <w:pStyle w:val="Normal"/>
      </w:pPr>
      <w:r>
        <w:t>6. Lumber Schedule Specificity. Each Activation Schedule shall identify the covered Canadian softwood-lumber products, covered border measures, applicable Aggregate Covered Border Burden ceiling, treatment of producer-specific rates where required by law, commencement date, verification method, successor-measure treatment, and any lawful administrative mechanism used by the United States to deliver the negotiated ceiling. A general commitment to improve lumber access is insufficient to activate additional dairy access.</w:t>
      </w:r>
    </w:p>
    <w:p>
      <w:pPr>
        <w:pStyle w:val="Normal"/>
      </w:pPr>
      <w:r>
        <w:t>7. Dairy Schedule Specificity. Each Activation Schedule shall identify the additional provincial milk-equivalent quantity corresponding to the activated Unit, eligible product scope, allocation and reallocation rules, any agreed priority-product component, and the effective-utilization safeguards that apply. Optional dairy access shall be commercially usable and shall inherit the anti-hoarding, open-access, beneficial-ownership concentration, timely-reallocation, product-demand-responsiveness, and effective-performance disciplines applicable to the baseline provincial access architecture unless the signed Schedule provides an equally effective alternative.</w:t>
      </w:r>
    </w:p>
    <w:p>
      <w:pPr>
        <w:pStyle w:val="Normal"/>
      </w:pPr>
      <w:r>
        <w:t>8. Simultaneous Activation. Neither Party shall be required to perform first. Canada shall certify operational readiness of the corresponding dairy increment and the United States shall certify operational readiness of the corresponding lumber treatment. Following verification, Cothrom shall issue a Dual-Readiness Certificate. The paired concessions shall enter into operation simultaneously at 00:01 local time in each Party on the Activation Date specified in that Certificate. If either side is not ready, neither side of that Exchange Unit activates.</w:t>
      </w:r>
    </w:p>
    <w:p>
      <w:pPr>
        <w:pStyle w:val="Normal"/>
      </w:pPr>
      <w:r>
        <w:t>9. Functional-Equivalence and Successor-Measure Firewall. A Party shall not materially withdraw the negotiated commercial value of an activated Exchange Unit by renaming, restructuring, relocating, layering, or replacing a covered measure. For the United States, the test is whether a successor or additional measure causes the Aggregate Covered Border Burden materially to exceed the signed ceiling or otherwise materially defeats the scheduled lumber benefit. For Canada, the test is whether administration, allocation, licensing, classification, delay, concentration, or another measure materially defeats the scheduled optional dairy benefit. This paragraph does not prohibit bona fide non-discriminatory regulation, taxation, customs enforcement, safety measures, environmental measures, or trade-remedy administration outside the commercial value specifically exchanged.</w:t>
      </w:r>
    </w:p>
    <w:p>
      <w:pPr>
        <w:pStyle w:val="Normal"/>
      </w:pPr>
      <w:r>
        <w:t>10. Cure and Proportional Step-Back. Where Cothrom verifies material impairment of an activated Unit, the affected Party shall receive a reasonable cure period specified in the Activation Schedule, ordinarily not exceeding 60 days absent exceptional circumstances. If the impairment is not cured, only the corresponding optional Exchange Unit, or the proportion demonstrably impaired, shall step back. Step-back shall be synchronized and shall not reduce Canadian dairy access below the 1.0 percent baseline, restore unrelated tariffs, authorize cross-sector retaliation, or disturb unrelated rights under this Agreement.</w:t>
      </w:r>
    </w:p>
    <w:p>
      <w:pPr>
        <w:pStyle w:val="Normal"/>
      </w:pPr>
      <w:r>
        <w:t>11. Illustrative Step-Back. If Units A, B, and C are active and Unit C ceases to receive its agreed reciprocal lumber value, optional dairy access ordinarily returns from 1.50 percent to 1.40 percent. If Units B and C cease, it ordinarily returns to 1.20 percent. If all optional Units cease, it returns to the 1.0 percent baseline. Equivalent proportional treatment applies where Canada materially withdraws the optional dairy benefit.</w:t>
      </w:r>
    </w:p>
    <w:p>
      <w:pPr>
        <w:pStyle w:val="Normal"/>
      </w:pPr>
      <w:r>
        <w:t>12. Lawful Termination Without Breach. Either Canada or the United States may terminate one or more activated Exchange Units on 180 days written notice unless the signed Activation Schedule establishes another mutually agreed period. Both Parties shall continue the paired performance during the notice period. At expiration, the corresponding concessions terminate simultaneously. Lawful termination under this paragraph is not a breach, does not create damages or retaliation rights, and does not affect baseline NAESTMA treatment.</w:t>
      </w:r>
    </w:p>
    <w:p>
      <w:pPr>
        <w:pStyle w:val="Normal"/>
      </w:pPr>
      <w:r>
        <w:t>13. Continuation Unless Terminated. An activated Exchange Unit continues without annual reauthorization unless terminated, stepped back, or amended under this Article. Periodic review may recommend recalibration but shall not itself change the dairy percentage, lumber ceiling, product scope, or other negotiated consideration.</w:t>
      </w:r>
    </w:p>
    <w:p>
      <w:pPr>
        <w:pStyle w:val="Normal"/>
      </w:pPr>
      <w:r>
        <w:t>14. Optional Priority Dairy Schedule. The Parties may designate part of an optional dairy increment for product categories of demonstrated United States commercial interest from a mutually agreed eligible list. Canada retains authority over the composition of the optional pool within the signed bounds, but shall not systematically direct access toward low-demand categories in order to defeat its commercial value. The United States receives no unilateral authority to add products or enlarge the aggregate optional percentage.</w:t>
      </w:r>
    </w:p>
    <w:p>
      <w:pPr>
        <w:pStyle w:val="Normal"/>
      </w:pPr>
      <w:r>
        <w:t>15. Structural Dairy Solids Compatibility. Canada may operate lawful Structural Dairy Solids Rebalancing, inventory-management, transformation, emergency-nutrition, or other supply-management mechanisms alongside an activated Optional Exchange, provided those mechanisms do not discriminate against qualifying United States products or materially nullify the negotiated optional access. Domestic non-fat-solids imbalance does not excuse non-performance of an activated Unit.</w:t>
      </w:r>
    </w:p>
    <w:p>
      <w:pPr>
        <w:pStyle w:val="Normal"/>
      </w:pPr>
      <w:r>
        <w:t>16. No Automatic Ratchet. High utilization of optional dairy access, successful lumber normalization, favorable market conditions, or continuation of an Exchange Unit does not create an entitlement or presumption that Canada must exceed 1.50 percent provincial access or that the United States must reduce the covered lumber burden below the signed level. Further liberalization requires express agreement.</w:t>
      </w:r>
    </w:p>
    <w:p>
      <w:pPr>
        <w:pStyle w:val="Normal"/>
      </w:pPr>
      <w:r>
        <w:t>17. No Bargaining Contamination. A Party's decision not to activate, expand, renew, or continue an Optional Exchange Unit, or its lawful termination of a Unit, shall not be cited as evidence of bad faith, inadequate baseline market access, treaty non-compliance, failure to make concessions, or grounds for adverse treatment in another NAESTMA proceeding. Optional means optional.</w:t>
      </w:r>
    </w:p>
    <w:p>
      <w:pPr>
        <w:pStyle w:val="Normal"/>
      </w:pPr>
      <w:r>
        <w:t>18. Relationship to Chapter 42 and Other Forestry Bargains. This Optional Exchange supplements and does not automatically replace, satisfy, offset, or double-count obligations or benefits under Articles 42.19 through 42.23B or another minerals-for-forestry, housing, disaster-reconstruction, or forestry-normalization bargain. The signed Activation Schedule shall identify any intentional crediting or interaction so that the same United States lumber concession is not purchased twice with separate Canadian consideration.</w:t>
      </w:r>
    </w:p>
    <w:p>
      <w:pPr>
        <w:pStyle w:val="Normal"/>
      </w:pPr>
      <w:r>
        <w:t>19. Mexico Firewall and Trilateral Rights. This Optional Exchange is bilateral between Canada and the United States and does not impose a dairy, forestry, or financial obligation on Mexico. Mexico retains all independent rights and benefits under this Agreement, including the trilateral dairy and forestry provisions, and shall not suffer reduced treatment because it does not participate in this bilateral option.</w:t>
      </w:r>
    </w:p>
    <w:p>
      <w:pPr>
        <w:pStyle w:val="Heading2"/>
      </w:pPr>
      <w:bookmarkStart w:id="901670" w:name="_Toc300001669"/>
      <w:r>
        <w:t>Article 43.2M: North American Beverage Alcohol Stability, Regulatory Sovereignty, and Three-Win Framework</w:t>
      </w:r>
      <w:bookmarkEnd w:id="901670"/>
    </w:p>
    <w:p>
      <w:pPr>
        <w:pStyle w:val="Normal"/>
      </w:pPr>
      <w:r>
        <w:t>1. The Parties establish a North American Beverage Alcohol Stability and Market Access Framework to expand lawful and commercially meaningful trade in beverage alcohol while preserving legitimate domestic and subnational authority over public health, road safety, youth protection, taxation, retail structure, responsible service, zoning, Indigenous rights, and other legitimate public objectives.</w:t>
      </w:r>
    </w:p>
    <w:p>
      <w:pPr>
        <w:pStyle w:val="Normal"/>
      </w:pPr>
      <w:r>
        <w:t>2. Nothing in this Framework requires a Party to privatize or abolish a public alcohol wholesaler or retailer, harmonize legal purchase ages, sales hours, zoning, minimum-pricing policies, excise rates, or public-health rules, or otherwise replace its constitutional allocation of authority.</w:t>
      </w:r>
    </w:p>
    <w:p>
      <w:pPr>
        <w:pStyle w:val="Normal"/>
      </w:pPr>
      <w:r>
        <w:t>3. Differences among federal, provincial, territorial, state, local, or Mexican subnational alcohol systems do not by themselves establish discrimination or an unnecessary barrier to trade. A challenge shall identify materially adverse treatment, a disguised restriction, or an unnecessarily trade-restrictive administrative requirement inconsistent with this Agreement.</w:t>
      </w:r>
    </w:p>
    <w:p>
      <w:pPr>
        <w:pStyle w:val="Normal"/>
      </w:pPr>
      <w:r>
        <w:t>4. Canada, Mexico, and the United States shall receive equivalent procedural rights and reciprocal opportunities under this Framework. Implementation shall seek a defensible benefit for each Party and shall not treat Mexico as a secondary participant or residual market.</w:t>
      </w:r>
    </w:p>
    <w:p>
      <w:pPr>
        <w:pStyle w:val="Normal"/>
      </w:pPr>
      <w:r>
        <w:t>5. Where two formulations can achieve substantially equivalent trade outcomes, the Parties should prefer the formulation that preserves legitimate regulatory autonomy and permits each Party to explain the settlement accurately as advancing important domestic interests.</w:t>
      </w:r>
    </w:p>
    <w:p>
      <w:pPr>
        <w:pStyle w:val="Heading2"/>
      </w:pPr>
      <w:bookmarkStart w:id="901671" w:name="_Toc300001670"/>
      <w:r>
        <w:t>Article 43.2N: Effective and Non-discriminatory Beverage Market Access</w:t>
      </w:r>
      <w:bookmarkEnd w:id="901671"/>
    </w:p>
    <w:p>
      <w:pPr>
        <w:pStyle w:val="Normal"/>
      </w:pPr>
      <w:r>
        <w:t>1. A Party or subnational authority administering alcohol listing, wholesaling, retailing, importation, licensing, warehousing, distribution, or marketplace access shall apply published, objective, transparent, and non-discriminatory criteria to like products of another Party.</w:t>
      </w:r>
    </w:p>
    <w:p>
      <w:pPr>
        <w:pStyle w:val="Normal"/>
      </w:pPr>
      <w:r>
        <w:t>2. Government-controlled wholesalers and retailers may continue to operate. Their markups, listing charges, warehousing fees, service charges, promotional rules, and comparable commercial conditions shall not discriminate against a like product of another Party on the basis of origin.</w:t>
      </w:r>
    </w:p>
    <w:p>
      <w:pPr>
        <w:pStyle w:val="Normal"/>
      </w:pPr>
      <w:r>
        <w:t>3. Competent authorities shall publish material listing and licensing criteria, applicable fees, expected processing periods, required documentation, and review or appeal procedures. A denied or materially delayed application shall receive a reasoned explanation upon request.</w:t>
      </w:r>
    </w:p>
    <w:p>
      <w:pPr>
        <w:pStyle w:val="Normal"/>
      </w:pPr>
      <w:r>
        <w:t>4. Shelf placement, promotional eligibility, private-store access where private stores are permitted, restaurant and hospitality channels, digital listings, and comparable opportunities shall not be administered so as to nullify negotiated market access through disguised local preference.</w:t>
      </w:r>
    </w:p>
    <w:p>
      <w:pPr>
        <w:pStyle w:val="Normal"/>
      </w:pPr>
      <w:r>
        <w:t>5. No Party is required to guarantee a nationality-based share of shelf space, sales, procurement, or consumer demand. Effective access means a fair commercial opportunity to compete, not a guaranteed commercial outcome.</w:t>
      </w:r>
    </w:p>
    <w:p>
      <w:pPr>
        <w:pStyle w:val="Normal"/>
      </w:pPr>
      <w:r>
        <w:t>6. A facially neutral requirement challenged as unnecessarily trade restrictive shall be assessed by considering the legitimate objective pursued, its material contribution to that objective, comparable treatment of domestic goods, and whether a reasonably available and materially less trade-restrictive alternative can achieve substantially the same level of protection.</w:t>
      </w:r>
    </w:p>
    <w:p>
      <w:pPr>
        <w:pStyle w:val="Normal"/>
      </w:pPr>
      <w:r>
        <w:t>7. Canada may pursue improved interprovincial alcohol trade for Canadian producers alongside its international obligations. Nothing in this Framework converts domestic interprovincial reform into a concession owed exclusively to another Party.</w:t>
      </w:r>
    </w:p>
    <w:p>
      <w:pPr>
        <w:pStyle w:val="Heading2"/>
      </w:pPr>
      <w:bookmarkStart w:id="901672" w:name="_Toc300001671"/>
      <w:r>
        <w:t>Article 43.2O: Tariff-Linked Restoration, Transition, and Inventory Reconciliation</w:t>
      </w:r>
      <w:bookmarkEnd w:id="901672"/>
    </w:p>
    <w:p>
      <w:pPr>
        <w:pStyle w:val="Normal"/>
      </w:pPr>
      <w:r>
        <w:t>1. Where beverage restrictions were adopted as a response to tariffs or other extraordinary trade measures, the Parties shall seek a sequenced restoration process linked to verified removal, suspension, or agreed modification of the measure that gave rise to the restriction.</w:t>
      </w:r>
    </w:p>
    <w:p>
      <w:pPr>
        <w:pStyle w:val="Normal"/>
      </w:pPr>
      <w:r>
        <w:t>2. Restoration may proceed through published stages for ordinary listing eligibility, inventory replenishment, distribution normalization, and termination of retaliatory restrictions. Transition periods shall reflect reasonable commercial restocking and administrative needs and shall not be used to perpetuate retaliation after the triggering measure has been cured.</w:t>
      </w:r>
    </w:p>
    <w:p>
      <w:pPr>
        <w:pStyle w:val="Normal"/>
      </w:pPr>
      <w:r>
        <w:t>3. Alcohol restoration is one component of a broader trade settlement and shall not, standing alone, be deemed consideration for unrelated concessions of manifestly disproportionate economic value.</w:t>
      </w:r>
    </w:p>
    <w:p>
      <w:pPr>
        <w:pStyle w:val="Normal"/>
      </w:pPr>
      <w:r>
        <w:t>4. The Parties shall provide electronic mechanisms for duty drawback, tariff rebates, corrected classification, re-export, and reconciliation of qualifying beverage inventory held in bond when applicable tariff treatment changes before release.</w:t>
      </w:r>
    </w:p>
    <w:p>
      <w:pPr>
        <w:pStyle w:val="Normal"/>
      </w:pPr>
      <w:r>
        <w:t>5. Retrospective relief shall be available where duties were overpaid because of a subsequently corrected administrative error, qualifying tariff transition, or other circumstance for which domestic law permits refund or drawback.</w:t>
      </w:r>
    </w:p>
    <w:p>
      <w:pPr>
        <w:pStyle w:val="Normal"/>
      </w:pPr>
      <w:r>
        <w:t>6. A Party shall not condition temporary relief from an emergency or short-term disruption on acceptance of an unrelated permanent concession.</w:t>
      </w:r>
    </w:p>
    <w:p>
      <w:pPr>
        <w:pStyle w:val="Heading2"/>
      </w:pPr>
      <w:bookmarkStart w:id="901673" w:name="_Toc300001672"/>
      <w:r>
        <w:t>Article 43.2P: Small, Independent, Indigenous, and Specialty Beverage Producers</w:t>
      </w:r>
      <w:bookmarkEnd w:id="901673"/>
    </w:p>
    <w:p>
      <w:pPr>
        <w:pStyle w:val="Normal"/>
      </w:pPr>
      <w:r>
        <w:t>1. The Parties shall establish a Beverage SME Passport through which a qualifying producer may submit a reusable core set of business identity, licensing, compliance, origin, safety, and product information for recognized cross-border procedures.</w:t>
      </w:r>
    </w:p>
    <w:p>
      <w:pPr>
        <w:pStyle w:val="Normal"/>
      </w:pPr>
      <w:r>
        <w:t>2. Small-producer listing, registration, warehousing, bond, certification, and administrative charges should, where practicable, be proportionate to regulatory cost and risk and shall not be structured to exclude small foreign producers.</w:t>
      </w:r>
    </w:p>
    <w:p>
      <w:pPr>
        <w:pStyle w:val="Normal"/>
      </w:pPr>
      <w:r>
        <w:t>3. The Parties shall provide simplified treatment for low-value commercial shipments, samples for retailers, restaurants, competitions, festivals, cultural events, and trade shows, subject to quantity limits, tax rules, non-resale conditions where appropriate, and public-health safeguards.</w:t>
      </w:r>
    </w:p>
    <w:p>
      <w:pPr>
        <w:pStyle w:val="Normal"/>
      </w:pPr>
      <w:r>
        <w:t>4. Qualifying producers may consolidate compliant shipments with other producers without losing access to simplified procedures solely because multiple brands or producers share a truck, container, warehouse, or logistics provider.</w:t>
      </w:r>
    </w:p>
    <w:p>
      <w:pPr>
        <w:pStyle w:val="Normal"/>
      </w:pPr>
      <w:r>
        <w:t>5. Broad retaliatory alcohol measures should presumptively exempt qualifying microbreweries, cideries, wineries, distilleries, and similarly situated small producers that are not materially implicated in the underlying dispute, unless exclusion would frustrate a lawful and proportionate remedy.</w:t>
      </w:r>
    </w:p>
    <w:p>
      <w:pPr>
        <w:pStyle w:val="Normal"/>
      </w:pPr>
      <w:r>
        <w:t>6. Indigenous producers shall have equal access to export facilitation, technical assistance, specialty-product procedures, and market-development tools. Nothing in this Framework diminishes constitutionally protected Aboriginal or treaty rights, Indigenous self-government arrangements, or applicable Indigenous regulatory authority.</w:t>
      </w:r>
    </w:p>
    <w:p>
      <w:pPr>
        <w:pStyle w:val="Normal"/>
      </w:pPr>
      <w:r>
        <w:t>7. The Parties may facilitate voluntary producer-exporter matching, export-readiness assistance, and access to private financing or existing development programs without requiring a new permanent subsidy program.</w:t>
      </w:r>
    </w:p>
    <w:p>
      <w:pPr>
        <w:pStyle w:val="Heading2"/>
      </w:pPr>
      <w:bookmarkStart w:id="901674" w:name="_Toc300001673"/>
      <w:r>
        <w:t>Article 43.2Q: Distinctive Products, Authenticity, Specialty Beverages, and Origin Integrity</w:t>
      </w:r>
      <w:bookmarkEnd w:id="901674"/>
    </w:p>
    <w:p>
      <w:pPr>
        <w:pStyle w:val="Normal"/>
      </w:pPr>
      <w:r>
        <w:t>1. The Parties reaffirm protection for distinctive beverage products recognized under applicable law and existing international obligations and shall maintain a North American Distinctive Beverage Products Registry identifying protected names, legal bases, production requirements, and competent authorities.</w:t>
      </w:r>
    </w:p>
    <w:p>
      <w:pPr>
        <w:pStyle w:val="Normal"/>
      </w:pPr>
      <w:r>
        <w:t>2. The Registry may be updated through an agreed technical procedure for additional qualifying products without reopening this Agreement. Recognition shall respect legitimate pre-existing generic uses and shall not automatically extend beyond the legal scope of the underlying protection.</w:t>
      </w:r>
    </w:p>
    <w:p>
      <w:pPr>
        <w:pStyle w:val="Normal"/>
      </w:pPr>
      <w:r>
        <w:t>3. The Parties shall cooperate against counterfeit spirits, false origin claims, fraudulent age or vintage statements, misleading production-method claims, and unauthorized use of protected distinctive-product names.</w:t>
      </w:r>
    </w:p>
    <w:p>
      <w:pPr>
        <w:pStyle w:val="Normal"/>
      </w:pPr>
      <w:r>
        <w:t>4. Rules of origin shall facilitate legitimate North American beverage supply chains, including regional grain, fruit, packaging, and processing inputs, while preventing superficial processing, transshipment, and origin laundering.</w:t>
      </w:r>
    </w:p>
    <w:p>
      <w:pPr>
        <w:pStyle w:val="Normal"/>
      </w:pPr>
      <w:r>
        <w:t>5. Cumulation or regional-content treatment shall not override a distinctive product's legally required geographic production, raw-material, maturation, or processing conditions.</w:t>
      </w:r>
    </w:p>
    <w:p>
      <w:pPr>
        <w:pStyle w:val="Normal"/>
      </w:pPr>
      <w:r>
        <w:t>6. The Parties shall maintain clear treatment for low-alcohol, alcohol-removed, non-alcoholic versions of traditionally alcoholic beverages, alcohol used in foods, flavourings, extracts, and manufacturing, and novel beverage categories through tariff-line crosswalks, advance rulings, or the experimental pathway.</w:t>
      </w:r>
    </w:p>
    <w:p>
      <w:pPr>
        <w:pStyle w:val="Normal"/>
      </w:pPr>
      <w:r>
        <w:t>7. Common or mutually recognized definitions may be developed for useful production and market terms, including beer, wine, spirits, cider, liqueurs, ready-to-drink beverages, craft or small-producer categories, and specialty products, but evolving marketing terms need not be frozen permanently in treaty text.</w:t>
      </w:r>
    </w:p>
    <w:p>
      <w:pPr>
        <w:pStyle w:val="Heading2"/>
      </w:pPr>
      <w:bookmarkStart w:id="901675" w:name="_Toc300001674"/>
      <w:r>
        <w:t>Article 43.2R: Regulatory Interoperability, Testing, Labeling, and Product Approval</w:t>
      </w:r>
      <w:bookmarkEnd w:id="901675"/>
    </w:p>
    <w:p>
      <w:pPr>
        <w:pStyle w:val="Normal"/>
      </w:pPr>
      <w:r>
        <w:t>1. The Parties shall pursue equivalence, interoperability, and mutual recognition where these can reduce unnecessary duplication while preserving each Party's chosen level of health, safety, consumer, and environmental protection.</w:t>
      </w:r>
    </w:p>
    <w:p>
      <w:pPr>
        <w:pStyle w:val="Normal"/>
      </w:pPr>
      <w:r>
        <w:t>2. Results from appropriately accredited laboratories for alcohol-by-volume, composition, contaminants, and other agreed tests shall be accepted where methods and quality systems provide equivalent assurance. A Party may require additional testing on particularized risk evidence.</w:t>
      </w:r>
    </w:p>
    <w:p>
      <w:pPr>
        <w:pStyle w:val="Normal"/>
      </w:pPr>
      <w:r>
        <w:t>3. The Parties shall develop a Common Beverage Information Core covering, as applicable, product identity, alcohol content, net quantity, producer or responsible operator, origin, allergens, lot or traceability information, storage information, and required warnings. Each Party retains its official-language and legitimate public-health presentation requirements.</w:t>
      </w:r>
    </w:p>
    <w:p>
      <w:pPr>
        <w:pStyle w:val="Normal"/>
      </w:pPr>
      <w:r>
        <w:t>4. Electronic labeling may be recognized for supplementary regulatory information where domestic law permits, but essential safety, identity, and consumer information shall remain accessible in the manner required by the destination jurisdiction.</w:t>
      </w:r>
    </w:p>
    <w:p>
      <w:pPr>
        <w:pStyle w:val="Normal"/>
      </w:pPr>
      <w:r>
        <w:t>5. The Parties shall maintain a searchable regulatory crosswalk for permitted additives, processing aids, organic or specialty certification, packaging requirements, testing rules, labeling requirements, and other material market-entry conditions.</w:t>
      </w:r>
    </w:p>
    <w:p>
      <w:pPr>
        <w:pStyle w:val="Normal"/>
      </w:pPr>
      <w:r>
        <w:t>6. Compliance documentation or certification issued by one Party shall satisfy an equivalent requirement of another Party where an equivalence determination has been made. Legal sale in one Party does not by itself compel authorization in another.</w:t>
      </w:r>
    </w:p>
    <w:p>
      <w:pPr>
        <w:pStyle w:val="Normal"/>
      </w:pPr>
      <w:r>
        <w:t>7. Products already lawfully marketed in another Party may qualify for expedited review where the competent authority can rely on recognized evidence without lowering domestic safety standards.</w:t>
      </w:r>
    </w:p>
    <w:p>
      <w:pPr>
        <w:pStyle w:val="Normal"/>
      </w:pPr>
      <w:r>
        <w:t>8. Major new regulatory requirements materially affecting beverage trade should include reasonable transition periods where consistent with the regulatory objective and urgency of the measure.</w:t>
      </w:r>
    </w:p>
    <w:p>
      <w:pPr>
        <w:pStyle w:val="Heading2"/>
      </w:pPr>
      <w:bookmarkStart w:id="901676" w:name="_Toc300001675"/>
      <w:r>
        <w:t>Article 43.2S: Digital Single Window, Customs, Logistics, and Trusted Beverage Operators</w:t>
      </w:r>
      <w:bookmarkEnd w:id="901676"/>
    </w:p>
    <w:p>
      <w:pPr>
        <w:pStyle w:val="Normal"/>
      </w:pPr>
      <w:r>
        <w:t>1. The Parties shall develop interoperable electronic procedures capable of supporting origin, product composition, tax status, licensing, regulatory compliance, customs declarations, and other agreed beverage data through a single-window or functionally equivalent system.</w:t>
      </w:r>
    </w:p>
    <w:p>
      <w:pPr>
        <w:pStyle w:val="Normal"/>
      </w:pPr>
      <w:r>
        <w:t>2. Original paper documents shall not be required where authenticity and integrity can be established electronically and domestic law permits digital submission.</w:t>
      </w:r>
    </w:p>
    <w:p>
      <w:pPr>
        <w:pStyle w:val="Normal"/>
      </w:pPr>
      <w:r>
        <w:t>3. Customs authorities shall use risk-based inspection, pre-arrival processing, pre-clearance, and trusted-trader principles for low-risk beverage shipments. Service targets may be established for priority shipments, subject to inspection, incomplete documentation, security, and safety exceptions.</w:t>
      </w:r>
    </w:p>
    <w:p>
      <w:pPr>
        <w:pStyle w:val="Normal"/>
      </w:pPr>
      <w:r>
        <w:t>4. Reusable bottles, kegs, pallets, casks, and transport containers shall receive simplified temporary-import, return, or duty-suspension treatment where appropriate and consistent with customs and biosecurity requirements.</w:t>
      </w:r>
    </w:p>
    <w:p>
      <w:pPr>
        <w:pStyle w:val="Normal"/>
      </w:pPr>
      <w:r>
        <w:t>5. The Parties shall recognize equivalent treatment or phytosanitary certification for wooden aging casks and comparable packaging where it provides equivalent protection against pests and contamination.</w:t>
      </w:r>
    </w:p>
    <w:p>
      <w:pPr>
        <w:pStyle w:val="Normal"/>
      </w:pPr>
      <w:r>
        <w:t>6. Trusted Beverage Operators with strong compliance histories may qualify for reduced inspection frequency, consolidated or reduced bond requirements, alternative financial security, or other proportionate facilitation benefits.</w:t>
      </w:r>
    </w:p>
    <w:p>
      <w:pPr>
        <w:pStyle w:val="Normal"/>
      </w:pPr>
      <w:r>
        <w:t>7. The Parties shall publish sufficient tariff, excise, markup, fee, and administrative information to allow exporters to estimate expected landed regulatory cost before shipment.</w:t>
      </w:r>
    </w:p>
    <w:p>
      <w:pPr>
        <w:pStyle w:val="Normal"/>
      </w:pPr>
      <w:r>
        <w:t>8. Border agencies shall publish or exchange non-confidential information on significant delays and disruptions so traders can make informed routing decisions.</w:t>
      </w:r>
    </w:p>
    <w:p>
      <w:pPr>
        <w:pStyle w:val="Normal"/>
      </w:pPr>
      <w:r>
        <w:t>9. Nothing in this Article requires a specified blockchain, biometric technology, centralized inventory database, or other proprietary technology. Systems shall be interoperable, secure, proportionate, and technologically neutral.</w:t>
      </w:r>
    </w:p>
    <w:p>
      <w:pPr>
        <w:pStyle w:val="Heading2"/>
      </w:pPr>
      <w:bookmarkStart w:id="901677" w:name="_Toc300001676"/>
      <w:r>
        <w:t>Article 43.2T: Direct Commerce, Experimental Pathways, and Subnational Participation</w:t>
      </w:r>
      <w:bookmarkEnd w:id="901677"/>
    </w:p>
    <w:p>
      <w:pPr>
        <w:pStyle w:val="Normal"/>
      </w:pPr>
      <w:r>
        <w:t>1. The Parties establish a voluntary North American Direct Beverage Commerce Experimental Pathway under which willing provinces, territories, states, and Mexican subnational jurisdictions may test cross-border direct-to-consumer or direct-to-retailer models consistent with domestic law.</w:t>
      </w:r>
    </w:p>
    <w:p>
      <w:pPr>
        <w:pStyle w:val="Normal"/>
      </w:pPr>
      <w:r>
        <w:t>2. Pilots may address licensing, destination-tax collection, quantity limits, carrier qualification, adult-signature requirements, age verification, delivery controls, traceability, returns, consumer protection, small-producer eligibility, and enforcement cooperation.</w:t>
      </w:r>
    </w:p>
    <w:p>
      <w:pPr>
        <w:pStyle w:val="Normal"/>
      </w:pPr>
      <w:r>
        <w:t>3. A pilot shall identify its baseline, variable, eligible population, duration, success metrics, data protections, and exit procedure. Participation creates no permanent market-access entitlement unless expressly adopted through the applicable procedure.</w:t>
      </w:r>
    </w:p>
    <w:p>
      <w:pPr>
        <w:pStyle w:val="Normal"/>
      </w:pPr>
      <w:r>
        <w:t>4. Pilot outcomes may graduate, expand, be modified, expire, or be classified as inconclusive and repeated. Evaluation should consider compliance, tax collection, consumer demand, SME participation, administrative cost, diversion, public-health outcomes, and persistence of trade after promotional support ends.</w:t>
      </w:r>
    </w:p>
    <w:p>
      <w:pPr>
        <w:pStyle w:val="Normal"/>
      </w:pPr>
      <w:r>
        <w:t>5. Canada, Mexico, and the United States may also conduct specialty-product, labeling, customs, logistics, reusable-container, digital-document, and regulatory-equivalence pilots under this Article.</w:t>
      </w:r>
    </w:p>
    <w:p>
      <w:pPr>
        <w:pStyle w:val="Normal"/>
      </w:pPr>
      <w:r>
        <w:t>6. Provinces, territories, U.S. states, and Mexican subnational jurisdictions may participate in technical dialogue and pilots without becoming Parties to this Agreement or acquiring independent treaty-making authority.</w:t>
      </w:r>
    </w:p>
    <w:p>
      <w:pPr>
        <w:pStyle w:val="Normal"/>
      </w:pPr>
      <w:r>
        <w:t>7. Federal authorities shall consult affected subnational governments in good faith before undertaking international commitments whose implementation materially depends on subnational alcohol systems.</w:t>
      </w:r>
    </w:p>
    <w:p>
      <w:pPr>
        <w:pStyle w:val="Heading2"/>
      </w:pPr>
      <w:bookmarkStart w:id="901678" w:name="_Toc300001677"/>
      <w:r>
        <w:t>Article 43.2U: Beverage Safety, Illicit Trade, Recall, and Resilience Cooperation</w:t>
      </w:r>
      <w:bookmarkEnd w:id="901678"/>
    </w:p>
    <w:p>
      <w:pPr>
        <w:pStyle w:val="Normal"/>
      </w:pPr>
      <w:r>
        <w:t>1. The Parties shall cooperate on rapid alerts, recalls, counterfeit or diverted shipments, methanol contamination, adulteration, fraudulent closures or labels, and other serious beverage-safety or illicit-trade risks.</w:t>
      </w:r>
    </w:p>
    <w:p>
      <w:pPr>
        <w:pStyle w:val="Normal"/>
      </w:pPr>
      <w:r>
        <w:t>2. Traceability systems shall use interoperable core data sufficient to identify origin, custody, lot, and recall information without requiring disclosure of unnecessary commercially sensitive information.</w:t>
      </w:r>
    </w:p>
    <w:p>
      <w:pPr>
        <w:pStyle w:val="Normal"/>
      </w:pPr>
      <w:r>
        <w:t>3. Emergency health and safety action may be taken immediately where reasonably necessary. Such action shall be reviewed when practicable and shall not be maintained as disguised trade protection after the underlying risk has been addressed.</w:t>
      </w:r>
    </w:p>
    <w:p>
      <w:pPr>
        <w:pStyle w:val="Normal"/>
      </w:pPr>
      <w:r>
        <w:t>4. The Parties may cooperate on resilience of critical beverage inputs and packaging, including bottles, cans, closures, labels, kegs, casks, grain, fruit, agave, and logistics capacity, principally through market information, supplier matching, contingency planning, and voluntary commercial arrangements.</w:t>
      </w:r>
    </w:p>
    <w:p>
      <w:pPr>
        <w:pStyle w:val="Normal"/>
      </w:pPr>
      <w:r>
        <w:t>5. Cooperation on sustainability may include packaging efficiency, recycling information, lower-emission logistics, water efficiency, and voluntary environmental performance tools, but shall not require harmonization of domestic environmental or resource-management policy.</w:t>
      </w:r>
    </w:p>
    <w:p>
      <w:pPr>
        <w:pStyle w:val="Normal"/>
      </w:pPr>
      <w:r>
        <w:t>6. The Parties shall facilitate continuity of lawful beverage and essential input movements during disasters and acute transport disruptions, subject to public-health, security, customs, and safety requirements.</w:t>
      </w:r>
    </w:p>
    <w:p>
      <w:pPr>
        <w:pStyle w:val="Heading2"/>
      </w:pPr>
      <w:bookmarkStart w:id="901679" w:name="_Toc300001678"/>
      <w:r>
        <w:t>Article 43.2V: Transparency, Advance Rulings, Regulatory Change, and No-Surprises Rule</w:t>
      </w:r>
      <w:bookmarkEnd w:id="901679"/>
    </w:p>
    <w:p>
      <w:pPr>
        <w:pStyle w:val="Normal"/>
      </w:pPr>
      <w:r>
        <w:t>1. The Secretariat shall maintain or link to a North American Beverage Rules Gateway through which traders can identify applicable tariffs, taxes, markups, fees, product definitions, testing requirements, labeling obligations, approved additives, distinctive-product rules, origin requirements, customs documents, direct-commerce eligibility, and published processing targets.</w:t>
      </w:r>
    </w:p>
    <w:p>
      <w:pPr>
        <w:pStyle w:val="Normal"/>
      </w:pPr>
      <w:r>
        <w:t>2. Where the Gateway does not resolve a material classification, origin, labeling, certification, or market-entry question, an affected trader may request an advance ruling or comparable written determination under applicable domestic procedures.</w:t>
      </w:r>
    </w:p>
    <w:p>
      <w:pPr>
        <w:pStyle w:val="Normal"/>
      </w:pPr>
      <w:r>
        <w:t>3. Non-confidential rulings and technical determinations should be published in searchable form and should guide materially equivalent cases, subject to domestic law.</w:t>
      </w:r>
    </w:p>
    <w:p>
      <w:pPr>
        <w:pStyle w:val="Normal"/>
      </w:pPr>
      <w:r>
        <w:t>4. A Party shall, where practicable, provide advance notice of a material alcohol measure reasonably expected to affect access under this Framework, together with the measure's objective and an opportunity for consultation. Emergency public-health or safety measures may take effect without prior notice.</w:t>
      </w:r>
    </w:p>
    <w:p>
      <w:pPr>
        <w:pStyle w:val="Normal"/>
      </w:pPr>
      <w:r>
        <w:t>5. Before introducing a materially discriminatory emergency trade restriction affecting beverage alcohol, a Party shall consult where practicable and identify the underlying measure or circumstance giving rise to the action.</w:t>
      </w:r>
    </w:p>
    <w:p>
      <w:pPr>
        <w:pStyle w:val="Normal"/>
      </w:pPr>
      <w:r>
        <w:t>6. If a Party subsequently grants materially more favorable market-access treatment to a non-Party for a directly comparable beverage category, another Party may request consultation concerning whether an adjustment is appropriate. This paragraph creates no automatic entitlement, most-favored-nation obligation beyond existing commitments, or right to retaliate.</w:t>
      </w:r>
    </w:p>
    <w:p>
      <w:pPr>
        <w:pStyle w:val="Normal"/>
      </w:pPr>
      <w:r>
        <w:t>7. Public reporting under this Framework shall protect confidential business information, personal information, proprietary formulations, and commercially sensitive pricing.</w:t>
      </w:r>
    </w:p>
    <w:p>
      <w:pPr>
        <w:pStyle w:val="TrumpVisibilityHeadline"/>
      </w:pPr>
      <w:r>
        <w:t xml:space="preserve">★ </w:t>
      </w:r>
      <w:r>
        <w:t>VISIBLE U.S. WIN: AMERICAN WINE, SPIRITS, AND BEER RETURN TO CANADIAN SHELVES WITH TARIFF NORMALIZATION</w:t>
      </w:r>
    </w:p>
    <w:p>
      <w:pPr>
        <w:pStyle w:val="Heading2"/>
      </w:pPr>
      <w:bookmarkStart w:id="901680" w:name="_Toc300001679"/>
      <w:r>
        <w:t>Article 43.2W: Safeguards, Cothrom Review, De-escalation, and Alcohol Peace Clause</w:t>
      </w:r>
      <w:bookmarkEnd w:id="901680"/>
    </w:p>
    <w:p>
      <w:pPr>
        <w:pStyle w:val="Normal"/>
      </w:pPr>
      <w:r>
        <w:t>1. A Party alleging a violation of this Framework shall ordinarily begin with technical consultation. The default sequence shall provide for consultation within 10 days, focused evidence exchange and cure discussions, accelerated Cothrom factual review where unresolved, a reasonable correction period, and proportionate remedy only where non-compliance persists.</w:t>
      </w:r>
    </w:p>
    <w:p>
      <w:pPr>
        <w:pStyle w:val="Normal"/>
      </w:pPr>
      <w:r>
        <w:t>2. Cothrom review shall distinguish legitimate regulatory diversity from discriminatory administration, identify the narrowest sufficient cure, and consider actual commercial effects, public-health objectives, subnational competence, and reasonable alternatives.</w:t>
      </w:r>
    </w:p>
    <w:p>
      <w:pPr>
        <w:pStyle w:val="Normal"/>
      </w:pPr>
      <w:r>
        <w:t>3. Temporary safeguards addressing serious market disruption shall be evidence-based, product-specific or otherwise narrowly tailored, time-limited, notified, periodically reviewed, and progressively removed as conditions improve.</w:t>
      </w:r>
    </w:p>
    <w:p>
      <w:pPr>
        <w:pStyle w:val="Normal"/>
      </w:pPr>
      <w:r>
        <w:t>4. A Party found non-compliant shall receive a reasonable opportunity to cure before compensatory or retaliatory measures are authorized, except where immediate action is necessary to protect health, safety, or prevent irreparable harm.</w:t>
      </w:r>
    </w:p>
    <w:p>
      <w:pPr>
        <w:pStyle w:val="Normal"/>
      </w:pPr>
      <w:r>
        <w:t>5. Remedies should remain within the beverage alcohol sub-module where practicable. Unrelated cross-sector retaliation shall be a last resort and shall not be manifestly disproportionate to the verified impairment.</w:t>
      </w:r>
    </w:p>
    <w:p>
      <w:pPr>
        <w:pStyle w:val="Normal"/>
      </w:pPr>
      <w:r>
        <w:t>6. Except in urgent circumstances, a Party shall observe a de-escalation period before imposing new retaliatory beverage measures, during which the Parties shall use consultation, mediation where mutually accepted, and Cothrom review to seek resolution.</w:t>
      </w:r>
    </w:p>
    <w:p>
      <w:pPr>
        <w:pStyle w:val="Normal"/>
      </w:pPr>
      <w:r>
        <w:t>7. During an Alcohol Stability Period established by the Commission, a Party in material compliance with this Framework shall not be required to renegotiate settled beverage market-access commitments solely because political preferences or market shares have changed.</w:t>
      </w:r>
    </w:p>
    <w:p>
      <w:pPr>
        <w:pStyle w:val="Normal"/>
      </w:pPr>
      <w:r>
        <w:t>8. The Alcohol Stability Period shall renew automatically unless the Parties agree otherwise or an independent review establishes persistent material failure that has not been cured. Failure to agree on amendments at review leaves the existing Framework in force.</w:t>
      </w:r>
    </w:p>
    <w:p>
      <w:pPr>
        <w:pStyle w:val="Normal"/>
      </w:pPr>
      <w:r>
        <w:t>9. Ordinary listing, licensing, markup, or distribution disagreements do not by themselves justify extraordinary economic-security measures against unrelated sectors.</w:t>
      </w:r>
    </w:p>
    <w:p>
      <w:pPr>
        <w:pStyle w:val="Normal"/>
      </w:pPr>
      <w:r>
        <w:t>10. The Parties shall use existing institutions wherever practicable and shall not create a new permanent committee, forum, summit, alliance, or arbitration body where the Commission, Secretariat, Cothrom process, customs cooperation mechanisms, or existing regulators can perform the function.</w:t>
      </w:r>
    </w:p>
    <w:p>
      <w:pPr>
        <w:pStyle w:val="Heading2"/>
      </w:pPr>
      <w:bookmarkStart w:id="901681" w:name="_Toc300001680"/>
      <w:r>
        <w:t>Article 43.2W.1: Beverage Listing Transparency and Special-Order Access</w:t>
      </w:r>
      <w:bookmarkEnd w:id="901681"/>
    </w:p>
    <w:p>
      <w:pPr>
        <w:pStyle w:val="Normal"/>
      </w:pPr>
      <w:r>
        <w:t>1. A government-controlled or government-authorized beverage distribution system covered by this Chapter should publish objective material criteria governing listings, tenders, delistings, material service fees, and comparable access decisions.</w:t>
      </w:r>
    </w:p>
    <w:p>
      <w:pPr>
        <w:pStyle w:val="Normal"/>
      </w:pPr>
      <w:r>
        <w:t>2. Where a product is not carried as an ordinary stocked listing, a jurisdiction may satisfy part of its effective-access obligation through a commercially usable special-order, agency, private-order, or comparable channel that preserves lawful taxation, age controls, and distribution oversight.</w:t>
      </w:r>
    </w:p>
    <w:p>
      <w:pPr>
        <w:pStyle w:val="Normal"/>
      </w:pPr>
      <w:r>
        <w:t>3. A supplier should receive reasonable notice and, where practicable, reasons before a commercially material delisting based on non-emergency grounds. Nothing requires retention of a poorly performing product under neutral commercial criteria.</w:t>
      </w:r>
    </w:p>
    <w:p>
      <w:pPr>
        <w:pStyle w:val="Heading2"/>
      </w:pPr>
      <w:bookmarkStart w:id="901682" w:name="_Toc300001681"/>
      <w:r>
        <w:t>Article 43.2W.2: North American Small Beverage Producer Gateway</w:t>
      </w:r>
      <w:bookmarkEnd w:id="901682"/>
    </w:p>
    <w:p>
      <w:pPr>
        <w:pStyle w:val="Normal"/>
      </w:pPr>
      <w:r>
        <w:t>1. The Parties shall facilitate proportionate procedures for qualifying small and independent breweries, wineries, cideries, distilleries, agave-spirit producers, and other specialty beverage producers seeking access to another Party.</w:t>
      </w:r>
    </w:p>
    <w:p>
      <w:pPr>
        <w:pStyle w:val="Normal"/>
      </w:pPr>
      <w:r>
        <w:t>2. Facilitation may include consolidated forms, electronic submissions, shared testing evidence, small-lot procedures, special-order channels, supplier education, and transparent points of contact.</w:t>
      </w:r>
    </w:p>
    <w:p>
      <w:pPr>
        <w:pStyle w:val="Normal"/>
      </w:pPr>
      <w:r>
        <w:t>3. Small-producer treatment shall be Party-neutral and shall not guarantee shelf space or exempt a product from legitimate health, safety, tax, labeling, or distinctive-product requirements.</w:t>
      </w:r>
    </w:p>
    <w:p>
      <w:pPr>
        <w:pStyle w:val="Heading2"/>
      </w:pPr>
      <w:bookmarkStart w:id="901683" w:name="_Toc300001682"/>
      <w:r>
        <w:t>Article 43.2W.3: North American Beverage Inputs and Packaging Cooperation</w:t>
      </w:r>
      <w:bookmarkEnd w:id="901683"/>
    </w:p>
    <w:p>
      <w:pPr>
        <w:pStyle w:val="Normal"/>
      </w:pPr>
      <w:r>
        <w:t>1. The Parties shall facilitate resilient supply chains for originating beverage inputs and packaging, including grain, fruit, agave, oak and other lawful wood inputs, glass, aluminum containers, closures, labels, and other commercially significant materials.</w:t>
      </w:r>
    </w:p>
    <w:p>
      <w:pPr>
        <w:pStyle w:val="Normal"/>
      </w:pPr>
      <w:r>
        <w:t>2. Cooperation may address shortages, customs classification, recycled content, packaging compatibility, and emergency sourcing without overriding distinctive-product geographic or production requirements.</w:t>
      </w:r>
    </w:p>
    <w:p>
      <w:pPr>
        <w:pStyle w:val="Normal"/>
      </w:pPr>
      <w:r>
        <w:t>3. This Article shall be implemented consistently with Chapters 37, 42, 49, and 55 so that an emergency or industrial-support measure does not inadvertently discriminate among equivalent originating beverage producers.</w:t>
      </w:r>
    </w:p>
    <w:p>
      <w:pPr>
        <w:pStyle w:val="Heading2"/>
      </w:pPr>
      <w:bookmarkStart w:id="901684" w:name="_Toc300001683"/>
      <w:r>
        <w:rPr>
          <w:b/>
        </w:rPr>
        <w:t>Article 43.2W.4: Subnational Implementation Flexibility and Nationality-Neutral Compliance</w:t>
      </w:r>
      <w:bookmarkEnd w:id="901684"/>
    </w:p>
    <w:p>
      <w:pPr>
        <w:pStyle w:val="Normal"/>
      </w:pPr>
      <w:r>
        <w:rPr>
          <w:b w:val="0"/>
        </w:rPr>
      </w:r>
      <w:r>
        <w:rPr>
          <w:b/>
        </w:rPr>
        <w:t xml:space="preserve">Provincial and State Choice of Means. </w:t>
      </w:r>
      <w:r>
        <w:t>Each Party shall ensure compliance with this Framework while respecting the constitutional allocation of authority within that Party. A province, territory, state, or other subnational jurisdiction may choose the lawful retail, wholesale, agency, special-order, private-order, e-commerce, or other distribution mechanism through which it provides compliant access. Nothing requires subnational jurisdictions to maintain identical liquor systems, product assortments, retail structures, or implementation methods. Compliance shall turn on commercially meaningful and nationality-neutral treatment rather than institutional uniformity.</w:t>
      </w:r>
    </w:p>
    <w:p>
      <w:pPr>
        <w:pStyle w:val="Normal"/>
      </w:pPr>
      <w:r>
        <w:rPr>
          <w:b w:val="0"/>
        </w:rPr>
      </w:r>
      <w:r>
        <w:rPr>
          <w:b/>
        </w:rPr>
        <w:t xml:space="preserve">No Nationality-Based Categorical Exclusion. </w:t>
      </w:r>
      <w:r>
        <w:t>A governmental or government-authorized alcohol system shall not categorically exclude a covered product because it originates in another Party. A measure shall also be inconsistent where nationality is the operative reason for a listing, delisting, suspension, distribution, purchasing, or channel-access restriction. Neutral commercial, health, safety, licensing, supply, contractual, or regulatory criteria remain permissible when applied without disguised discrimination. The existence of different outcomes among products does not by itself establish nationality discrimination.</w:t>
      </w:r>
    </w:p>
    <w:p>
      <w:pPr>
        <w:pStyle w:val="Normal"/>
      </w:pPr>
      <w:r>
        <w:rPr>
          <w:b w:val="0"/>
        </w:rPr>
      </w:r>
      <w:r>
        <w:rPr>
          <w:b/>
        </w:rPr>
        <w:t xml:space="preserve">Province-Specific Compliance. </w:t>
      </w:r>
      <w:r>
        <w:t>Where an alleged violation arises from a particular subnational measure, the factual review shall identify the responsible jurisdiction, measure, affected product category, and material commercial effect. Canada, the United States, or Mexico, as applicable, remains internationally responsible for compliance but may work with the affected subnational authority on the method of cure. Non-compliance by one subnational jurisdiction shall not create a presumption that other subnational jurisdictions are non-compliant. Remedies shall therefore be targeted to the verified impairment to the greatest extent practicable.</w:t>
      </w:r>
    </w:p>
    <w:p>
      <w:pPr>
        <w:pStyle w:val="Normal"/>
      </w:pPr>
      <w:r>
        <w:rPr>
          <w:b w:val="0"/>
        </w:rPr>
      </w:r>
      <w:r>
        <w:rPr>
          <w:b/>
        </w:rPr>
        <w:t xml:space="preserve">No Uniform Shelf Mandate. </w:t>
      </w:r>
      <w:r>
        <w:t>Nothing in this Framework guarantees any supplier permanent physical shelf space, minimum purchases, promotional expenditure, market share, or a particular store location. A jurisdiction may use commercially neutral listing cycles, assortment management, sales-performance thresholds, inventory controls, and category strategies. Where physical stocking is not commercially justified, a commercially usable special-order, wholesale, agency, online, private-retail, or comparable lawful channel may contribute to effective access. Such alternatives shall not be designed or administered as a nominal route that is commercially unusable in practice.</w:t>
      </w:r>
    </w:p>
    <w:p>
      <w:pPr>
        <w:pStyle w:val="Normal"/>
      </w:pPr>
      <w:r>
        <w:rPr>
          <w:b w:val="0"/>
        </w:rPr>
      </w:r>
      <w:r>
        <w:rPr>
          <w:b/>
        </w:rPr>
        <w:t xml:space="preserve">Subnational Consultation. </w:t>
      </w:r>
      <w:r>
        <w:t>Each Party shall maintain a practical channel for consultation with affected provincial, territorial, state, or other subnational alcohol authorities. Subnational authorities may participate directly in technical consultations concerning their own measures without becoming separate Parties to this Agreement. Participation shall facilitate accurate fact finding, implementation choices, and rapid cure of administrative problems. Federal participation remains sufficient to preserve each Party's international responsibility and the operation of Chapter 31.</w:t>
      </w:r>
    </w:p>
    <w:p>
      <w:pPr>
        <w:pStyle w:val="Normal"/>
      </w:pPr>
      <w:r>
        <w:rPr>
          <w:b w:val="0"/>
        </w:rPr>
      </w:r>
      <w:r>
        <w:rPr>
          <w:b/>
        </w:rPr>
        <w:t xml:space="preserve">No Constitutional Reallocation. </w:t>
      </w:r>
      <w:r>
        <w:t>Nothing in this Framework transfers legislative, taxing, licensing, retail, wholesale, public-health, or distribution authority from a subnational government to the federal government. Nothing requires privatization or abolition of a public liquor authority. Nothing prevents a subnational government from adopting stricter origin-neutral public-health rules within its lawful competence. The obligation is to administer covered trade treatment consistently with this Agreement, not to redesign the constitutional federation.</w:t>
      </w:r>
    </w:p>
    <w:p>
      <w:pPr>
        <w:pStyle w:val="Heading2"/>
      </w:pPr>
      <w:bookmarkStart w:id="901685" w:name="_Toc300001684"/>
      <w:r>
        <w:rPr>
          <w:b/>
        </w:rPr>
        <w:t>Article 43.2W.5: Restoration of Products Affected by Nationality-Specific Delisting</w:t>
      </w:r>
      <w:bookmarkEnd w:id="901685"/>
    </w:p>
    <w:p>
      <w:pPr>
        <w:pStyle w:val="Normal"/>
      </w:pPr>
      <w:r>
        <w:rPr>
          <w:b w:val="0"/>
        </w:rPr>
      </w:r>
      <w:r>
        <w:rPr>
          <w:b/>
        </w:rPr>
        <w:t xml:space="preserve">Restoration Obligation. </w:t>
      </w:r>
      <w:r>
        <w:t>A product removed, suspended, or made commercially unavailable solely or materially because of its origin in another Party shall receive a genuine pathway back into ordinary commerce. Restoration may occur through relisting, reinstatement, reactivation of a supplier account, renewed wholesale eligibility, special-order access, private-retail access, e-commerce access, or another commercially meaningful mechanism permitted by the jurisdiction. The jurisdiction need not guarantee that every previously stocked product returns to the identical shelf or store. The restoration mechanism shall remove the nationality-based disability and provide a fair opportunity to compete under the rules then applicable to comparable products.</w:t>
      </w:r>
    </w:p>
    <w:p>
      <w:pPr>
        <w:pStyle w:val="Normal"/>
      </w:pPr>
      <w:r>
        <w:rPr>
          <w:b w:val="0"/>
        </w:rPr>
      </w:r>
      <w:r>
        <w:rPr>
          <w:b/>
        </w:rPr>
        <w:t xml:space="preserve">Transition Period. </w:t>
      </w:r>
      <w:r>
        <w:t>Each Party shall identify covered nationality-specific restrictions existing on the date this Framework takes effect and begin their termination without undue delay. An affected jurisdiction shall publish or communicate its compliant restoration pathway within 30 days and make that pathway operational within 60 days, unless a documented technical obstacle reasonably requires additional time. Any extension shall identify the obstacle, interim access available, responsible authority, and expected completion date. The transition shall not be used to prolong a categorical nationality exclusion after the underlying retaliatory policy has ended.</w:t>
      </w:r>
    </w:p>
    <w:p>
      <w:pPr>
        <w:pStyle w:val="Normal"/>
      </w:pPr>
      <w:r>
        <w:rPr>
          <w:b w:val="0"/>
        </w:rPr>
      </w:r>
      <w:r>
        <w:rPr>
          <w:b/>
        </w:rPr>
        <w:t xml:space="preserve">Preservation of Prior Regulatory Work. </w:t>
      </w:r>
      <w:r>
        <w:t>Where a previously listed product returns through the restoration pathway, valid prior registrations, laboratory results, label reviews, supplier records, product identifiers, and other regulatory work shall be reused to the extent they remain current and legally sufficient. Authorities may require updated information where law, product composition, ownership, safety information, or material circumstances have changed. They shall not require a supplier to repeat completed procedures solely because the product was previously removed for nationality-based reasons. This paragraph does not prevent proportionate verification needed to confirm continuing compliance.</w:t>
      </w:r>
    </w:p>
    <w:p>
      <w:pPr>
        <w:pStyle w:val="Normal"/>
      </w:pPr>
      <w:r>
        <w:rPr>
          <w:b w:val="0"/>
        </w:rPr>
      </w:r>
      <w:r>
        <w:rPr>
          <w:b/>
        </w:rPr>
        <w:t xml:space="preserve">Restoration Fee Relief. </w:t>
      </w:r>
      <w:r>
        <w:t>A jurisdiction shall not impose a reinstatement charge that effectively makes the supplier pay for curing a nationality-specific governmental delisting. Application, reactivation, or comparable administrative fees shall be waived or credited where the same fee would not have arisen but for the covered delisting, unless a distinct new service is actually required. Ordinary future fees may resume on the same origin-neutral basis applicable to comparable suppliers. Fee relief does not exempt the supplier from taxes, deposits, service costs, or regulatory charges unrelated to restoration.</w:t>
      </w:r>
    </w:p>
    <w:p>
      <w:pPr>
        <w:pStyle w:val="Normal"/>
      </w:pPr>
      <w:r>
        <w:rPr>
          <w:b w:val="0"/>
        </w:rPr>
      </w:r>
      <w:r>
        <w:rPr>
          <w:b/>
        </w:rPr>
        <w:t xml:space="preserve">Expedited Restoration Review. </w:t>
      </w:r>
      <w:r>
        <w:t>A complete restoration application relying substantially on previously approved information should receive a decision within 15 business days where practicable. If additional information is required, the authority shall identify the missing item promptly and the clock may pause only for the period reasonably necessary to obtain it. A refusal shall state the material commercial or regulatory basis and identify any available reconsideration or appeal route. Failure to meet the target does not automatically list a product, but persistent unexplained delay may be reviewed under Cothrom.</w:t>
      </w:r>
    </w:p>
    <w:p>
      <w:pPr>
        <w:pStyle w:val="Normal"/>
      </w:pPr>
      <w:r>
        <w:rPr>
          <w:b w:val="0"/>
        </w:rPr>
      </w:r>
      <w:r>
        <w:rPr>
          <w:b/>
        </w:rPr>
        <w:t xml:space="preserve">No Acquired Right to Commercial Success. </w:t>
      </w:r>
      <w:r>
        <w:t>Restoration corrects discriminatory governmental treatment and does not create an acquired right to future commercial success. After restoration, a product may be delisted, reduced, moved, repriced, or discontinued under objective criteria applied on an origin-neutral basis. Previous sales performance may be considered where reliable, but a jurisdiction may reasonably account for the interruption caused by the discriminatory delisting. No supplier is entitled to perpetual listing, guaranteed sales volume, minimum shelf position, or compensation for ordinary post-restoration market performance.</w:t>
      </w:r>
    </w:p>
    <w:p>
      <w:pPr>
        <w:pStyle w:val="Heading2"/>
      </w:pPr>
      <w:bookmarkStart w:id="901686" w:name="_Toc300001685"/>
      <w:r>
        <w:rPr>
          <w:b/>
        </w:rPr>
        <w:t>Article 43.2W.6: Listing, Category Management, and Commercial Performance Neutrality</w:t>
      </w:r>
      <w:bookmarkEnd w:id="901686"/>
    </w:p>
    <w:p>
      <w:pPr>
        <w:pStyle w:val="Normal"/>
      </w:pPr>
      <w:r>
        <w:rPr>
          <w:b w:val="0"/>
        </w:rPr>
      </w:r>
      <w:r>
        <w:rPr>
          <w:b/>
        </w:rPr>
        <w:t xml:space="preserve">Objective Listing Criteria. </w:t>
      </w:r>
      <w:r>
        <w:t>Governmental alcohol authorities shall publish or otherwise make reasonably available the material criteria used for listings, tenders, category reviews, renewals, and delistings. Criteria may include consumer demand, quality, price point, supply reliability, product differentiation, sales velocity, inventory turnover, seasonal relevance, and lawful policy objectives. Criteria shall be administered without nationality-based preferences or disguised exclusions. Nothing requires an authority to accept every product that satisfies minimum regulatory requirements.</w:t>
      </w:r>
    </w:p>
    <w:p>
      <w:pPr>
        <w:pStyle w:val="Normal"/>
      </w:pPr>
      <w:r>
        <w:rPr>
          <w:b w:val="0"/>
        </w:rPr>
      </w:r>
      <w:r>
        <w:rPr>
          <w:b/>
        </w:rPr>
        <w:t xml:space="preserve">Category and SKU Management. </w:t>
      </w:r>
      <w:r>
        <w:t>A jurisdiction may limit the number of products or stock-keeping units within a category for legitimate commercial or operational reasons. It shall not establish a numerical cap specifically against products of another Party or manipulate category definitions to produce substantially the same nationality-specific result. Category rules shall be sufficiently transparent for suppliers to understand the material basis of access decisions. A complainant challenging a neutral category rule shall identify evidence of materially discriminatory design, operation, or effect.</w:t>
      </w:r>
    </w:p>
    <w:p>
      <w:pPr>
        <w:pStyle w:val="Normal"/>
      </w:pPr>
      <w:r>
        <w:rPr>
          <w:b w:val="0"/>
        </w:rPr>
      </w:r>
      <w:r>
        <w:rPr>
          <w:b/>
        </w:rPr>
        <w:t xml:space="preserve">Performance Data. </w:t>
      </w:r>
      <w:r>
        <w:t>Where a governmental alcohol authority provides domestic suppliers with product-specific sales, inventory, turnover, or comparable performance data used for listing decisions, it shall provide materially equivalent access to such data for suppliers from another Party concerning their own products. Confidential information concerning competing suppliers need not be disclosed. Data access may be subject to reasonable security, privacy, and cost-recovery rules applied on an origin-neutral basis. Suppliers shall receive enough information to understand and, where possible, improve commercial performance.</w:t>
      </w:r>
    </w:p>
    <w:p>
      <w:pPr>
        <w:pStyle w:val="Normal"/>
      </w:pPr>
      <w:r>
        <w:rPr>
          <w:b w:val="0"/>
        </w:rPr>
      </w:r>
      <w:r>
        <w:rPr>
          <w:b/>
        </w:rPr>
        <w:t xml:space="preserve">Minimum Commercial Trial. </w:t>
      </w:r>
      <w:r>
        <w:t>Where a new listing is subject to a commercial trial period, the period and evaluation criteria shall be origin-neutral and reasonably sufficient to generate meaningful performance information. A jurisdiction may use different trial periods for different product categories, seasons, channels, or store formats where commercially justified. A product shall not receive an artificially abbreviated trial because it originates in another Party. This paragraph does not prevent immediate removal for safety, fraud, supply failure, legal non-compliance, or other serious cause.</w:t>
      </w:r>
    </w:p>
    <w:p>
      <w:pPr>
        <w:pStyle w:val="Normal"/>
      </w:pPr>
      <w:r>
        <w:rPr>
          <w:b w:val="0"/>
        </w:rPr>
      </w:r>
      <w:r>
        <w:rPr>
          <w:b/>
        </w:rPr>
        <w:t xml:space="preserve">Private Label and House Brand Neutrality. </w:t>
      </w:r>
      <w:r>
        <w:t>A public liquor authority may develop, procure, or sell private-label and house-brand products in accordance with domestic law. It shall not use governmental control of listings, shelf placement, pricing, or distribution to confer a nationality-based advantage on such products over like products from another Party. Commercial differentiation based on contract terms, quality, margin, demand, exclusivity, or other origin-neutral factors remains permissible. Procurement of private-label products remains subject to otherwise applicable obligations and exceptions under this Agreement.</w:t>
      </w:r>
    </w:p>
    <w:p>
      <w:pPr>
        <w:pStyle w:val="Normal"/>
      </w:pPr>
      <w:r>
        <w:rPr>
          <w:b w:val="0"/>
        </w:rPr>
      </w:r>
      <w:r>
        <w:rPr>
          <w:b/>
        </w:rPr>
        <w:t xml:space="preserve">New and Seasonal Categories. </w:t>
      </w:r>
      <w:r>
        <w:t>New, seasonal, limited-release, low-alcohol, no-alcohol, ready-to-drink, specialty, heritage, organic, or other emerging beverage categories shall be administered on an origin-neutral basis where they fall within the legal scope of the alcohol system. A jurisdiction may establish category-specific standards that reflect genuine differences in product characteristics or regulatory risk. Another Party's product shall have a fair opportunity to qualify under those standards. Nothing requires creation of a category or sales channel that the jurisdiction does not otherwise maintain.</w:t>
      </w:r>
    </w:p>
    <w:p>
      <w:pPr>
        <w:pStyle w:val="Heading2"/>
      </w:pPr>
      <w:bookmarkStart w:id="901687" w:name="_Toc300001686"/>
      <w:r>
        <w:rPr>
          <w:b/>
        </w:rPr>
        <w:t>Article 43.2W.7: Pricing, Markups, Fees, and Minimum-Price Neutrality</w:t>
      </w:r>
      <w:bookmarkEnd w:id="901687"/>
    </w:p>
    <w:p>
      <w:pPr>
        <w:pStyle w:val="Normal"/>
      </w:pPr>
      <w:r>
        <w:rPr>
          <w:b w:val="0"/>
        </w:rPr>
      </w:r>
      <w:r>
        <w:rPr>
          <w:b/>
        </w:rPr>
        <w:t xml:space="preserve">Markup Neutrality. </w:t>
      </w:r>
      <w:r>
        <w:t>A governmental alcohol authority shall not apply a higher markup to a like product merely because that product originates in another Party. Different markups may reflect objectively demonstrable differences in service, distribution, handling, storage, channel, package format, regulatory cost, or other legitimate factors. The material pricing formula or methodology shall be reasonably transparent. A claimed cost-of-service differential shall be capable of factual explanation and review.</w:t>
      </w:r>
    </w:p>
    <w:p>
      <w:pPr>
        <w:pStyle w:val="Normal"/>
      </w:pPr>
      <w:r>
        <w:rPr>
          <w:b w:val="0"/>
        </w:rPr>
      </w:r>
      <w:r>
        <w:rPr>
          <w:b/>
        </w:rPr>
        <w:t xml:space="preserve">Minimum-Price Neutrality. </w:t>
      </w:r>
      <w:r>
        <w:t>A Party or subnational jurisdiction may maintain lawful minimum pricing policies for public-health, social-policy, commercial, or other legitimate purposes. Such policies shall not establish a higher minimum solely for products originating in another Party or be structured to exclude those products through disguised origin discrimination. Different minimums among beverage categories remain permissible where based on origin-neutral criteria. Nothing in this paragraph requires harmonization of provincial, state, territorial, or national minimum-price policies.</w:t>
      </w:r>
    </w:p>
    <w:p>
      <w:pPr>
        <w:pStyle w:val="Normal"/>
      </w:pPr>
      <w:r>
        <w:rPr>
          <w:b w:val="0"/>
        </w:rPr>
      </w:r>
      <w:r>
        <w:rPr>
          <w:b/>
        </w:rPr>
        <w:t xml:space="preserve">Fee Neutrality. </w:t>
      </w:r>
      <w:r>
        <w:t>Listing, renewal, testing, warehousing, handling, recycling, deposit, fulfillment, and other governmental or government-authorized fees shall be administered on an origin-neutral basis. A fee may differ where the service actually provided or regulatory cost materially differs. Authorities shall distinguish taxes and fiscal charges from commercial or service fees sufficiently to permit review of alleged discrimination. A difference in amount alone does not establish a violation where the underlying cost or service difference is genuine.</w:t>
      </w:r>
    </w:p>
    <w:p>
      <w:pPr>
        <w:pStyle w:val="Normal"/>
      </w:pPr>
      <w:r>
        <w:rPr>
          <w:b w:val="0"/>
        </w:rPr>
      </w:r>
      <w:r>
        <w:rPr>
          <w:b/>
        </w:rPr>
        <w:t xml:space="preserve">No Origin-Based Surcharge. </w:t>
      </w:r>
      <w:r>
        <w:t>A governmental alcohol system shall not impose a surcharge, special levy, punitive service fee, or equivalent charge solely because a covered product originates in another Party. This prohibition applies regardless of the label attached to the charge. It does not prevent generally applicable taxes, deposits, recycling charges, public-health levies, or cost-based service fees. A charge adopted in response to an unrelated trade dispute shall be subject to the cross-sector non-retaliation rule in Article 43.2W.10.</w:t>
      </w:r>
    </w:p>
    <w:p>
      <w:pPr>
        <w:pStyle w:val="Normal"/>
      </w:pPr>
      <w:r>
        <w:rPr>
          <w:b w:val="0"/>
        </w:rPr>
      </w:r>
      <w:r>
        <w:rPr>
          <w:b/>
        </w:rPr>
        <w:t xml:space="preserve">Pricing Transparency. </w:t>
      </w:r>
      <w:r>
        <w:t>Each governmental alcohol authority shall make reasonably available the principal components of its pricing methodology, including applicable markups, taxes, deposits, and material service charges. Publication may use formulas, schedules, explanatory guidance, or representative worked examples and need not disclose confidential supplier information. Material changes affecting covered products should be notified with reasonable advance time where practicable. Emergency fiscal or public-health action may take effect sooner if accompanied by prompt explanation.</w:t>
      </w:r>
    </w:p>
    <w:p>
      <w:pPr>
        <w:pStyle w:val="Normal"/>
      </w:pPr>
      <w:r>
        <w:rPr>
          <w:b w:val="0"/>
        </w:rPr>
      </w:r>
      <w:r>
        <w:rPr>
          <w:b/>
        </w:rPr>
        <w:t xml:space="preserve">No Mandatory Currency Formula. </w:t>
      </w:r>
      <w:r>
        <w:t>Nothing in this Framework requires a jurisdiction to adopt an automatic exchange-rate adjustment formula or to insulate suppliers from ordinary currency risk. Currency conversion practices used by a governmental alcohol authority shall nevertheless be applied on an origin-neutral basis. A Party may request technical consultation where a conversion methodology appears persistently to create unexplained discriminatory treatment. Review shall focus on administration and commercial effect rather than the mere existence of exchange-rate movements.</w:t>
      </w:r>
    </w:p>
    <w:p>
      <w:pPr>
        <w:pStyle w:val="Heading2"/>
      </w:pPr>
      <w:bookmarkStart w:id="901688" w:name="_Toc300001687"/>
      <w:r>
        <w:rPr>
          <w:b/>
        </w:rPr>
        <w:t>Article 43.2W.8: Channel, Distribution, Logistics, and Event Access Neutrality</w:t>
      </w:r>
      <w:bookmarkEnd w:id="901688"/>
    </w:p>
    <w:p>
      <w:pPr>
        <w:pStyle w:val="Normal"/>
      </w:pPr>
      <w:r>
        <w:rPr>
          <w:b w:val="0"/>
        </w:rPr>
      </w:r>
      <w:r>
        <w:rPr>
          <w:b/>
        </w:rPr>
        <w:t xml:space="preserve">Licensed Hospitality Access. </w:t>
      </w:r>
      <w:r>
        <w:t>Where restaurants, bars, hotels, clubs, or other licensed establishments may purchase alcohol through a governmental or government-authorized distribution channel, covered products from another Party shall be eligible for that channel on terms no less favorable by reason of nationality. This rule does not require any establishment to purchase or carry a particular product. Ordinary licensing, minimum-order, delivery, tax, deposit, and responsible-service requirements remain applicable. A jurisdiction need not create a hospitality channel that does not otherwise exist.</w:t>
      </w:r>
    </w:p>
    <w:p>
      <w:pPr>
        <w:pStyle w:val="Normal"/>
      </w:pPr>
      <w:r>
        <w:rPr>
          <w:b w:val="0"/>
        </w:rPr>
      </w:r>
      <w:r>
        <w:rPr>
          <w:b/>
        </w:rPr>
        <w:t xml:space="preserve">Grocery and Private Retail Access. </w:t>
      </w:r>
      <w:r>
        <w:t>Where a jurisdiction permits grocery stores, private retailers, specialty stores, agency stores, or comparable outlets to sell a covered beverage category, products from another Party shall be eligible under origin-neutral rules. The jurisdiction may limit eligibility by product category, alcohol content, store class, licensing status, or other legitimate criteria. It shall not reserve an otherwise comparable channel categorically for domestic products because of origin. Nothing guarantees placement in a particular retailer or outlet.</w:t>
      </w:r>
    </w:p>
    <w:p>
      <w:pPr>
        <w:pStyle w:val="Normal"/>
      </w:pPr>
      <w:r>
        <w:rPr>
          <w:b w:val="0"/>
        </w:rPr>
      </w:r>
      <w:r>
        <w:rPr>
          <w:b/>
        </w:rPr>
        <w:t xml:space="preserve">Online and Fulfillment Access. </w:t>
      </w:r>
      <w:r>
        <w:t>Where a governmental alcohol authority operates an e-commerce, pickup, delivery, or fulfillment platform for a covered category, products from another Party shall have a commercially meaningful opportunity to participate under origin-neutral criteria. Platform ranking, availability, fulfillment, returns, and service rules may reflect legitimate commercial and logistical considerations. A product need not appear online merely because it is eligible for import or special order. A nationality-based platform exclusion shall not be used to recreate a prohibited physical-shelf exclusion.</w:t>
      </w:r>
    </w:p>
    <w:p>
      <w:pPr>
        <w:pStyle w:val="Normal"/>
      </w:pPr>
      <w:r>
        <w:rPr>
          <w:b w:val="0"/>
        </w:rPr>
      </w:r>
      <w:r>
        <w:rPr>
          <w:b/>
        </w:rPr>
        <w:t xml:space="preserve">Warehousing and Delivery. </w:t>
      </w:r>
      <w:r>
        <w:t>Governmental warehousing, receiving, fulfillment, and delivery services shall be available on origin-neutral terms to suppliers that satisfy the applicable operational requirements. A jurisdiction may require use of designated warehouses, licensed agents, common carriers, security procedures, or delivery windows where reasonably connected to its alcohol system. It shall not require an imported product to use a domestic producer as its exclusive distributor solely because of nationality. Direct delivery to a public warehouse may be permitted where lawful but is not mandated where the jurisdiction uses another neutral distribution model.</w:t>
      </w:r>
    </w:p>
    <w:p>
      <w:pPr>
        <w:pStyle w:val="Normal"/>
      </w:pPr>
      <w:r>
        <w:rPr>
          <w:b w:val="0"/>
        </w:rPr>
      </w:r>
      <w:r>
        <w:rPr>
          <w:b/>
        </w:rPr>
        <w:t xml:space="preserve">Events, Tastings, and Temporary Access. </w:t>
      </w:r>
      <w:r>
        <w:t>Where domestic producers may participate in government-authorized tastings, festivals, trade shows, competitions, temporary events, or comparable promotional activities, producers from another Party shall be eligible under origin-neutral rules. Temporary permits may retain reasonable quantity, tax, security, age-control, sampling, and responsible-service requirements. Authorities should use simplified procedures for samples and temporary imports where practicable. This paragraph does not create a right to participate in private events whose organizers independently select participants.</w:t>
      </w:r>
    </w:p>
    <w:p>
      <w:pPr>
        <w:pStyle w:val="Normal"/>
      </w:pPr>
      <w:r>
        <w:rPr>
          <w:b w:val="0"/>
        </w:rPr>
      </w:r>
      <w:r>
        <w:rPr>
          <w:b/>
        </w:rPr>
        <w:t xml:space="preserve">Bonded and Cross-Border Logistics. </w:t>
      </w:r>
      <w:r>
        <w:t>The Parties shall facilitate lawful use of bonded warehouses, in-transit procedures, bulk shipment, and cross-border logistics for beverage alcohol where consistent with customs, excise, safety, and distinctive-product requirements. Cooperation should reduce duplicative documentation and unnecessary delay without bypassing provincial, state, territorial, or national distribution law. Temperature-control or product-quality requirements may be used where commercially or technically appropriate but shall not be disguised origin restrictions. Chapter 5 customs facilitation mechanisms shall be used wherever practicable instead of creating a separate alcohol border system.</w:t>
      </w:r>
    </w:p>
    <w:p>
      <w:pPr>
        <w:pStyle w:val="Heading2"/>
      </w:pPr>
      <w:bookmarkStart w:id="901689" w:name="_Toc300001688"/>
      <w:r>
        <w:rPr>
          <w:b/>
        </w:rPr>
        <w:t>Article 43.2W.9: Regulatory Recognition, Testing, Labeling, and Product Approval</w:t>
      </w:r>
      <w:bookmarkEnd w:id="901689"/>
    </w:p>
    <w:p>
      <w:pPr>
        <w:pStyle w:val="Normal"/>
      </w:pPr>
      <w:r>
        <w:rPr>
          <w:b w:val="0"/>
        </w:rPr>
      </w:r>
      <w:r>
        <w:rPr>
          <w:b/>
        </w:rPr>
        <w:t xml:space="preserve">Targeted Equivalence. </w:t>
      </w:r>
      <w:r>
        <w:t>The Parties shall pursue equivalence or mutual recognition of alcohol regulatory requirements where competent authorities determine that different measures achieve materially comparable regulatory outcomes. Recognition shall be evidence-based and may be limited by product, requirement, authority, or category. Nothing creates blanket automatic recognition of every labeling, organic, health-warning, additive, packaging, or testing rule of another Party. A refusal to recognize equivalence should identify the material regulatory difference where practicable.</w:t>
      </w:r>
    </w:p>
    <w:p>
      <w:pPr>
        <w:pStyle w:val="Normal"/>
      </w:pPr>
      <w:r>
        <w:rPr>
          <w:b w:val="0"/>
        </w:rPr>
      </w:r>
      <w:r>
        <w:rPr>
          <w:b/>
        </w:rPr>
        <w:t xml:space="preserve">Laboratory Evidence. </w:t>
      </w:r>
      <w:r>
        <w:t>An authority should accept relevant results from an appropriately accredited laboratory in another Party where the method, accreditation, chain of custody, and regulatory purpose provide equivalent assurance. Retesting may be required where risk, inconsistency, deterioration, sampling concerns, enforcement history, or law reasonably justifies it. Authorities should avoid duplicative testing that adds cost without materially improving regulatory assurance. Recognition arrangements may specify accepted methods, accreditation bodies, reporting formats, and audit procedures.</w:t>
      </w:r>
    </w:p>
    <w:p>
      <w:pPr>
        <w:pStyle w:val="Normal"/>
      </w:pPr>
      <w:r>
        <w:rPr>
          <w:b w:val="0"/>
        </w:rPr>
      </w:r>
      <w:r>
        <w:rPr>
          <w:b/>
        </w:rPr>
        <w:t xml:space="preserve">Labeling Facilitation. </w:t>
      </w:r>
      <w:r>
        <w:t>Competent authorities shall seek practical methods to reduce unnecessary duplicate labeling while preserving mandatory consumer information and public-health requirements. Methods may include supplementary labels, electronic pre-clearance, common data fields, or recognition of equivalent presentation where lawful. No Party is required to abandon a health warning, language requirement, allergen rule, ingredient disclosure, geographic indication, or other legitimate labeling requirement solely because another Party uses a different format. Technical consultations should focus on whether the same regulatory objective can be met with less trade friction.</w:t>
      </w:r>
    </w:p>
    <w:p>
      <w:pPr>
        <w:pStyle w:val="Normal"/>
      </w:pPr>
      <w:r>
        <w:rPr>
          <w:b w:val="0"/>
        </w:rPr>
      </w:r>
      <w:r>
        <w:rPr>
          <w:b/>
        </w:rPr>
        <w:t xml:space="preserve">Organic and Sustainability Claims. </w:t>
      </w:r>
      <w:r>
        <w:t>Organic, sustainability, environmental, heritage, and comparable claims shall be recognized only under applicable law or an agreed equivalence arrangement. The Parties should work toward recognition where certification systems provide comparable assurance. A supplier shall not be required to obtain duplicative certification merely to reproduce an assurance already verified under an accepted arrangement. Nothing in this paragraph authorizes misleading claims or weakens enforcement against fraud.</w:t>
      </w:r>
    </w:p>
    <w:p>
      <w:pPr>
        <w:pStyle w:val="Normal"/>
      </w:pPr>
      <w:r>
        <w:rPr>
          <w:b w:val="0"/>
        </w:rPr>
      </w:r>
      <w:r>
        <w:rPr>
          <w:b/>
        </w:rPr>
        <w:t xml:space="preserve">Product Approval Reuse. </w:t>
      </w:r>
      <w:r>
        <w:t>Where a product has already completed a materially equivalent regulatory review within the importing Party, subsequent channel or subnational applications should reuse that information to the extent legally and technically possible. Authorities may request jurisdiction-specific tax, distribution, language, deposit, or licensing information that was not covered by the earlier review. Reuse shall not convert one subnational approval into automatic nationwide authorization. The objective is to reduce duplicate administrative work while preserving lawful regulatory competence.</w:t>
      </w:r>
    </w:p>
    <w:p>
      <w:pPr>
        <w:pStyle w:val="Normal"/>
      </w:pPr>
      <w:r>
        <w:rPr>
          <w:b w:val="0"/>
        </w:rPr>
      </w:r>
      <w:r>
        <w:rPr>
          <w:b/>
        </w:rPr>
        <w:t xml:space="preserve">Regulatory Change Notice. </w:t>
      </w:r>
      <w:r>
        <w:t>A Party should provide reasonable advance notice of material regulatory changes affecting cross-border beverage trade where practicable. Notice should identify the affected categories, effective date, responsible authority, and available guidance or transition arrangements. Immediate action remains available for urgent health, safety, fraud, fiscal, or enforcement needs, subject to prompt subsequent explanation. Failure to provide advance notice does not invalidate a measure where urgency made notice impracticable.</w:t>
      </w:r>
    </w:p>
    <w:p>
      <w:pPr>
        <w:pStyle w:val="Heading2"/>
      </w:pPr>
      <w:bookmarkStart w:id="901690" w:name="_Toc300001689"/>
      <w:r>
        <w:rPr>
          <w:b/>
        </w:rPr>
        <w:t>Article 43.2W.10: Cross-Sector Non-Retaliation, Cothrom Cure, and Targeted Remedies</w:t>
      </w:r>
      <w:bookmarkEnd w:id="901690"/>
    </w:p>
    <w:p>
      <w:pPr>
        <w:pStyle w:val="Normal"/>
      </w:pPr>
      <w:r>
        <w:rPr>
          <w:b w:val="0"/>
        </w:rPr>
      </w:r>
      <w:r>
        <w:rPr>
          <w:b/>
        </w:rPr>
        <w:t xml:space="preserve">Alcohol Peace Rule. </w:t>
      </w:r>
      <w:r>
        <w:t>A Party shall not use governmental alcohol listing, delisting, pricing, purchasing, distribution, licensing, or channel-access measures as retaliation for a dispute arising principally in an unrelated sector. This rule applies to nationality-specific measures adopted because of disputes concerning steel, aluminum, autos, lumber, agriculture, digital trade, procurement, or another unrelated field. It does not prevent a measure expressly authorized under this Agreement to remedy a verified alcohol-sector violation. Political disagreement alone shall not constitute an alcohol-sector violation.</w:t>
      </w:r>
    </w:p>
    <w:p>
      <w:pPr>
        <w:pStyle w:val="Normal"/>
      </w:pPr>
      <w:r>
        <w:rPr>
          <w:b w:val="0"/>
        </w:rPr>
      </w:r>
      <w:r>
        <w:rPr>
          <w:b/>
        </w:rPr>
        <w:t xml:space="preserve">Reciprocal Application. </w:t>
      </w:r>
      <w:r>
        <w:t>The Alcohol Peace Rule applies equally to Canada, the United States, and Mexico and to covered subnational governmental alcohol systems within each Party. It protects Canadian, United States, and Mexican beverage suppliers without creating a Party-specific privilege. A Party may not demand nationality-neutral treatment for its own suppliers while maintaining a materially equivalent nationality-specific retaliatory exclusion against another Party. Alleged asymmetry shall be addressed through consultation and verification rather than automatic countermeasures.</w:t>
      </w:r>
    </w:p>
    <w:p>
      <w:pPr>
        <w:pStyle w:val="Normal"/>
      </w:pPr>
      <w:r>
        <w:rPr>
          <w:b w:val="0"/>
        </w:rPr>
      </w:r>
      <w:r>
        <w:rPr>
          <w:b/>
        </w:rPr>
        <w:t xml:space="preserve">Cothrom Sequence. </w:t>
      </w:r>
      <w:r>
        <w:t>An allegation under Articles 43.2W.4 through 43.2W.10 shall ordinarily proceed through notice, factual verification, identification of the specific impairment, consultation, a defined cure opportunity, verification of cure, and restoration of ordinary treatment. The process shall distinguish discriminatory governmental action from independent retailer choice, ordinary commercial failure, and legitimate public-health or regulatory action. The affected subnational authority shall be given a practical opportunity to choose among lawful compliant cures. Successful cure shall terminate the corresponding step-back and restore the affected facilitation or treatment automatically.</w:t>
      </w:r>
    </w:p>
    <w:p>
      <w:pPr>
        <w:pStyle w:val="Normal"/>
      </w:pPr>
      <w:r>
        <w:rPr>
          <w:b w:val="0"/>
        </w:rPr>
      </w:r>
      <w:r>
        <w:rPr>
          <w:b/>
        </w:rPr>
        <w:t xml:space="preserve">Targeted Step-Back. </w:t>
      </w:r>
      <w:r>
        <w:t>If verified non-compliance persists after a reasonable cure opportunity, a responsive step-back should first affect a comparable alcohol-sector facilitation or benefit connected to the verified impairment. The response shall be proportionate, reversible, and no broader geographically or commercially than reasonably necessary. Non-compliance by one province, territory, state, or other subnational jurisdiction shall not automatically justify withdrawal of benefits from compliant jurisdictions. The Parties shall avoid collateral impairment of unrelated sectors and supply chains.</w:t>
      </w:r>
    </w:p>
    <w:p>
      <w:pPr>
        <w:pStyle w:val="Normal"/>
      </w:pPr>
      <w:r>
        <w:rPr>
          <w:b w:val="0"/>
        </w:rPr>
      </w:r>
      <w:r>
        <w:rPr>
          <w:b/>
        </w:rPr>
        <w:t xml:space="preserve">No Independent Tariff Authority. </w:t>
      </w:r>
      <w:r>
        <w:t>Nothing in this Framework creates an independent authority to impose, restore, increase, or reactivate a tariff, surcharge, safeguard duty, price-band duty, or equivalent border charge. Alcohol disputes remain subject to the Agreement-wide tariff disciplines, including Article 35.27A and other applicable Chapter 35 limitations. A nationality-specific delisting, price dispute, or listing delay does not reopen a tariff authority extinguished elsewhere in this Agreement. Any lawful border response must independently satisfy the express authority and procedures of the Agreement.</w:t>
      </w:r>
    </w:p>
    <w:p>
      <w:pPr>
        <w:pStyle w:val="Normal"/>
      </w:pPr>
      <w:r>
        <w:rPr>
          <w:b w:val="0"/>
        </w:rPr>
      </w:r>
      <w:r>
        <w:rPr>
          <w:b/>
        </w:rPr>
        <w:t xml:space="preserve">Restoration and Closure. </w:t>
      </w:r>
      <w:r>
        <w:t>When the verified discriminatory measure has been withdrawn or corrected and commercially meaningful ordinary treatment restored, the alcohol-specific dispute shall close without continuing punitive conditions. A supplier need not be returned to an identical shelf, store, price, or sales level if neutral commercial conditions have changed. The Parties shall record the cure, any transitional obligations, and the date on which responsive step-backs terminate. Subsequent recurrence based on materially new facts may be reviewed as a new matter under Cothrom.</w:t>
      </w:r>
    </w:p>
    <w:p>
      <w:pPr>
        <w:pStyle w:val="Heading2"/>
      </w:pPr>
      <w:bookmarkStart w:id="901691" w:name="_Toc300001690"/>
      <w:r>
        <w:rPr>
          <w:b/>
        </w:rPr>
        <w:t>Article 43.2W.11: Permanent Liquor-Board Commercial Neutrality and Ordinary-State Disciplines</w:t>
      </w:r>
      <w:bookmarkEnd w:id="901691"/>
    </w:p>
    <w:p>
      <w:pPr>
        <w:pStyle w:val="Normal"/>
      </w:pPr>
      <w:r>
        <w:rPr>
          <w:b/>
        </w:rPr>
        <w:t xml:space="preserve">Ordinary-State Application. </w:t>
      </w:r>
      <w:r>
        <w:t>Articles 43.2M through 43.2W.11 and Annexes 43-B and 43-B-1 apply to ordinary governmental alcohol administration whether or not the challenged measure arose during a tariff dispute, retaliatory episode, emergency, or restoration period. The termination of a nationality-specific delisting does not terminate the continuing duties of commercial neutrality, transparency, national treatment, and procedural fairness established by this Agreement. A governmental alcohol authority shall administer recurring listing, pricing, purchasing, distribution, warehousing, category-management, and retail-access functions in accordance with those duties. This paragraph does not convert an ordinary commercial disagreement into a treaty violation absent evidence of treatment inconsistent with an applicable obligation.</w:t>
      </w:r>
    </w:p>
    <w:p>
      <w:pPr>
        <w:pStyle w:val="Normal"/>
      </w:pPr>
      <w:r>
        <w:rPr>
          <w:b/>
        </w:rPr>
        <w:t xml:space="preserve">Objective Listing Administration. </w:t>
      </w:r>
      <w:r>
        <w:t>A governmental alcohol authority shall publish or otherwise make readily available the material criteria ordinarily used to assess product listings, renewals, category placement, continuation, and delisting. Criteria may include demonstrated demand, product quality, price point, inventory turnover, supply reliability, category strategy, regulatory compliance, and other commercially relevant considerations applied without nationality discrimination. Where a covered supplier is denied access through a governmental listing process, the authority shall provide sufficient reasons to identify the material criterion or criteria on which the decision rested, subject to protection of confidential information. Nothing in this paragraph guarantees a listing, minimum sales period, shelf position, purchase quantity, promotional expenditure, or market share.</w:t>
      </w:r>
    </w:p>
    <w:p>
      <w:pPr>
        <w:pStyle w:val="Normal"/>
      </w:pPr>
      <w:r>
        <w:rPr>
          <w:b/>
        </w:rPr>
        <w:t xml:space="preserve">Cost-of-Service Markup Discipline. </w:t>
      </w:r>
      <w:r>
        <w:t>A difference in a governmental alcohol markup, service charge, handling fee, warehousing charge, or comparable commercial assessment affecting a product of another Party shall correspond to a demonstrable difference in the cost or service being provided where this Agreement requires cost-of-service treatment. An authority may recognize objectively different transportation, storage, handling, regulatory, container, fulfillment, or other actual costs and need not charge unlike services identically. It shall not characterize a nationality-based premium as a cost-of-service difference merely by assigning it an administrative label or embedding it within a pricing formula. Material pricing methodologies and the basis for significant origin-sensitive cost differentials shall be sufficiently transparent to permit meaningful review under this Agreement.</w:t>
      </w:r>
    </w:p>
    <w:p>
      <w:pPr>
        <w:pStyle w:val="Normal"/>
      </w:pPr>
      <w:r>
        <w:rPr>
          <w:b/>
        </w:rPr>
        <w:t xml:space="preserve">Distribution and Warehouse Neutrality. </w:t>
      </w:r>
      <w:r>
        <w:t>Governmental wholesale, warehouse, fulfillment, agent, delivery, and order-processing requirements shall not be designed or administered so as to recreate a nationality disadvantage that the listing and pricing disciplines of this Agreement prohibit. A jurisdiction may retain centralized distribution, mandatory warehousing, licensed-agent requirements, security controls, inventory rules, and other features of its lawful alcohol system when they are administered consistently with the applicable obligations of this Agreement. Different logistical treatment remains permissible where supported by actual operational, regulatory, geographic, or risk differences rather than the nationality of the product or producer. Review of an alleged distribution barrier shall examine practical commercial operation as well as the formal wording of the measure.</w:t>
      </w:r>
    </w:p>
    <w:p>
      <w:pPr>
        <w:pStyle w:val="Normal"/>
      </w:pPr>
      <w:r>
        <w:rPr>
          <w:b/>
        </w:rPr>
        <w:t xml:space="preserve">Retail and Category-Management Neutrality. </w:t>
      </w:r>
      <w:r>
        <w:t>Where a governmental alcohol authority controls or materially directs retail channels, category management, product placement, online availability, specialty programs, or access by licensed establishments, it shall administer comparable opportunities without nationality discrimination. An authority may make differentiated commercial decisions among products, categories, stores, regions, seasons, and channels on objective and commercially relevant grounds. The mere existence of different assortments among provinces, states, stores, channels, or product categories does not establish less favorable treatment. A pattern that systematically disadvantages products of another Party may nevertheless be reviewed where objective evidence indicates that nominally neutral criteria are being designed or administered to circumvent the obligations of this Agreement.</w:t>
      </w:r>
    </w:p>
    <w:p>
      <w:pPr>
        <w:pStyle w:val="Normal"/>
      </w:pPr>
      <w:r>
        <w:rPr>
          <w:b/>
        </w:rPr>
        <w:t xml:space="preserve">Review, Cure, and Non-Circumvention. </w:t>
      </w:r>
      <w:r>
        <w:t>A supplier materially affected by an ordinary-state liquor-board measure covered by this Article shall have access to a meaningful administrative reconsideration, review, or other corrective process appropriate to the governmental system concerned. Where verification establishes that a measure is inconsistent with the permanent commercial-neutrality disciplines, the responsible authority shall be afforded a defined opportunity to correct the specific measure under the Cothrom sequence before a proportionate step-back is considered. A Party or subnational authority shall not evade a cured nationality-specific restriction by replacing it with a formally origin-neutral measure deliberately structured or administered to reproduce substantially the same discriminatory result. Findings under this paragraph shall rest on objective evidence concerning design, operation, treatment of comparable products, and commercial effect and shall not presume discriminatory purpose solely from an adverse market outcome.</w:t>
      </w:r>
    </w:p>
    <w:p>
      <w:pPr>
        <w:pStyle w:val="Heading2"/>
      </w:pPr>
      <w:bookmarkStart w:id="901692" w:name="_Toc300001691"/>
      <w:r>
        <w:rPr>
          <w:b/>
        </w:rPr>
        <w:t>ANNEX 43-B-1: NATIONALITY-NEUTRAL ALCOHOL RESTORATION AND SUBNATIONAL IMPLEMENTATION SCHEDULE</w:t>
      </w:r>
      <w:bookmarkEnd w:id="901692"/>
    </w:p>
    <w:p>
      <w:pPr>
        <w:pStyle w:val="Normal"/>
      </w:pPr>
      <w:r>
        <w:rPr>
          <w:b w:val="0"/>
        </w:rPr>
      </w:r>
      <w:r>
        <w:rPr>
          <w:b/>
        </w:rPr>
        <w:t xml:space="preserve">B43-1. Purpose and Relationship. </w:t>
      </w:r>
      <w:r>
        <w:t>This Schedule operationalizes Articles 43.2W.4 through 43.2W.10 and supplements Annex 43-B without displacing its federalism, public-health, regulatory-diversity, or technical principles. It shall be read with Articles 43.2M through 43.2W.3, Annex 3-C, Chapter 31, Chapter 35, and the Cothrom verification architecture. Where a more specific alcohol rule and a general rule address the same matter, they shall be interpreted consistently where possible. Nothing in this Schedule creates guaranteed commercial sales, shelf space, or a new tariff authority.</w:t>
      </w:r>
    </w:p>
    <w:p>
      <w:pPr>
        <w:pStyle w:val="Normal"/>
      </w:pPr>
      <w:r>
        <w:rPr>
          <w:b w:val="0"/>
        </w:rPr>
      </w:r>
      <w:r>
        <w:rPr>
          <w:b/>
        </w:rPr>
        <w:t xml:space="preserve">B43-2. Initial Restoration Inventory. </w:t>
      </w:r>
      <w:r>
        <w:t>Within 30 days after entry into force, each Party shall compile a non-confidential inventory of known governmental nationality-specific alcohol restrictions that remained in effect on the relevant baseline date. The inventory should identify the responsible jurisdiction, product category, form of restriction, restoration contact, and expected compliance pathway. Inclusion in the inventory does not predetermine legal liability and omission does not bar a later verified claim. The inventory shall be updated as restrictions are cured or additional covered measures are verified.</w:t>
      </w:r>
    </w:p>
    <w:p>
      <w:pPr>
        <w:pStyle w:val="Normal"/>
      </w:pPr>
      <w:r>
        <w:rPr>
          <w:b w:val="0"/>
        </w:rPr>
      </w:r>
      <w:r>
        <w:rPr>
          <w:b/>
        </w:rPr>
        <w:t xml:space="preserve">B43-3. Restoration Record. </w:t>
      </w:r>
      <w:r>
        <w:t>For each covered restoration matter, the responsible authority should maintain a concise record identifying the prior status, reason for removal or restriction, regulatory information still valid, additional information required, available channels, fee treatment, decision date, and review route. The record may incorporate existing administrative documents rather than duplicate them. Confidential commercial information shall be protected. The record shall permit Cothrom reviewers to distinguish administrative delay from legitimate commercial or regulatory decision-making.</w:t>
      </w:r>
    </w:p>
    <w:p>
      <w:pPr>
        <w:pStyle w:val="Normal"/>
      </w:pPr>
      <w:r>
        <w:rPr>
          <w:b w:val="0"/>
        </w:rPr>
      </w:r>
      <w:r>
        <w:rPr>
          <w:b/>
        </w:rPr>
        <w:t xml:space="preserve">B43-4. Implementation Choice Notice. </w:t>
      </w:r>
      <w:r>
        <w:t>A subnational jurisdiction curing a nationality-specific exclusion may identify the lawful mechanism through which commercially meaningful access will be restored. The notice may specify physical listing, wholesale eligibility, special-order access, agency access, private retail, online access, hospitality distribution, or another ordinary channel. Different jurisdictions may select different mechanisms and may change mechanisms over time under neutral rules. A nominal channel that is inaccessible in practice shall not satisfy the obligation merely because it exists on paper.</w:t>
      </w:r>
    </w:p>
    <w:p>
      <w:pPr>
        <w:pStyle w:val="Normal"/>
      </w:pPr>
      <w:r>
        <w:rPr>
          <w:b w:val="0"/>
        </w:rPr>
      </w:r>
      <w:r>
        <w:rPr>
          <w:b/>
        </w:rPr>
        <w:t xml:space="preserve">B43-5. Decision Targets. </w:t>
      </w:r>
      <w:r>
        <w:t>A restoration matter relying substantially on valid prior approvals should target a decision within 15 business days after the record is complete. A materially new product application should receive an acknowledgement and procedural roadmap within 15 business days and a substantive decision or status explanation within a commercially reasonable period established by the responsible authority. Safety, labeling, tax, licensing, or evidentiary complexity may justify additional time. Missed targets trigger explanation and possible administrative review, not automatic product approval.</w:t>
      </w:r>
    </w:p>
    <w:p>
      <w:pPr>
        <w:pStyle w:val="Normal"/>
      </w:pPr>
      <w:r>
        <w:rPr>
          <w:b w:val="0"/>
        </w:rPr>
      </w:r>
      <w:r>
        <w:rPr>
          <w:b/>
        </w:rPr>
        <w:t xml:space="preserve">B43-6. Neutrality Review Fields. </w:t>
      </w:r>
      <w:r>
        <w:t>A neutrality review may consider origin classification, listing criteria, category rules, markups, minimum prices, fees, sales channels, warehousing, agent requirements, performance data, e-commerce treatment, hospitality access, event access, reasons for refusal, and similarly situated comparator products. Review shall also consider legitimate cost, service, regulatory, health, safety, commercial, and logistical differences. Statistical disparity may support further inquiry but does not alone establish discrimination. Intent may be relevant but is not required where objective design or operation demonstrates prohibited nationality treatment.</w:t>
      </w:r>
    </w:p>
    <w:p>
      <w:pPr>
        <w:pStyle w:val="Normal"/>
      </w:pPr>
      <w:r>
        <w:rPr>
          <w:b w:val="0"/>
        </w:rPr>
      </w:r>
      <w:r>
        <w:rPr>
          <w:b/>
        </w:rPr>
        <w:t xml:space="preserve">B43-7. Cothrom Remedy Matrix. </w:t>
      </w:r>
      <w:r>
        <w:t>The preferred first remedy is correction of the specific administrative measure and restoration of ordinary treatment. If cure is incomplete, a proportionate step-back may suspend a comparable alcohol-sector facilitation benefiting the non-compliant jurisdiction or affected governmental system where legally and operationally feasible. Broader remedies require evidence that narrower measures cannot reasonably cure the verified impairment. Tariffs remain governed exclusively by the Agreement-wide tariff cage and are not authorized by this Schedule.</w:t>
      </w:r>
    </w:p>
    <w:p>
      <w:pPr>
        <w:pStyle w:val="Normal"/>
      </w:pPr>
      <w:r>
        <w:rPr>
          <w:b w:val="0"/>
        </w:rPr>
      </w:r>
      <w:r>
        <w:rPr>
          <w:b/>
        </w:rPr>
        <w:t xml:space="preserve">B43-8. Annual Technical Review. </w:t>
      </w:r>
      <w:r>
        <w:t>The existing institutional structure shall review implementation annually using available data on restoration cases, listing decisions, administrative timelines, fee complaints, pricing disputes, channel access, and cured Cothrom matters. The review shall identify recurring friction and recommend technical improvements without prescribing uniform provincial, territorial, state, or national liquor systems. Subnational authorities and industry stakeholders may provide non-binding technical input. The review shall not reopen settled market-access commitments merely because market shares or political preferences have changed.</w:t>
      </w:r>
    </w:p>
    <w:p>
      <w:pPr>
        <w:pStyle w:val="Heading3"/>
      </w:pPr>
      <w:r>
        <w:t>ANNEX 43-B: BEVERAGE ALCOHOL IMPLEMENTATION, FEDERALISM, AND TECHNICAL PRINCIPLES</w:t>
      </w:r>
    </w:p>
    <w:p>
      <w:pPr>
        <w:pStyle w:val="Normal"/>
      </w:pPr>
      <w:r>
        <w:t>1. Protected Domestic Regulation. Measures concerning legal purchase age, sales and service hours, zoning, public or private retail structure, responsible-service requirements, legitimate minimum-pricing or public-health policies, and comparable social regulation remain within domestic authority, subject to the Agreement's applicable nondiscrimination and other obligations.</w:t>
      </w:r>
    </w:p>
    <w:p>
      <w:pPr>
        <w:pStyle w:val="Normal"/>
      </w:pPr>
      <w:r>
        <w:t>2. Trade-Disciplined Administration. Listing procedures, origin-based markups, discriminatory fees, licensing delays, duplicative certification, unnecessary warehousing or agent requirements, customs treatment, and other administrative measures materially affecting another Party's products remain subject to this Framework.</w:t>
      </w:r>
    </w:p>
    <w:p>
      <w:pPr>
        <w:pStyle w:val="Normal"/>
      </w:pPr>
      <w:r>
        <w:t>3. Cooperative Functions. The Parties should prioritize interoperability for testing, recalls, counterfeit enforcement, digital documentation, distinctive-product protection, safety alerts, customs facilitation, SME assistance, and regulatory information.</w:t>
      </w:r>
    </w:p>
    <w:p>
      <w:pPr>
        <w:pStyle w:val="Normal"/>
      </w:pPr>
      <w:r>
        <w:t>4. Canadian Federalism. Nothing in this Framework shall be construed to alter the constitutional allocation of authority between the Government of Canada and the provinces or territories. Canada remains responsible for fulfillment of its international obligations while implementation shall respect its constitutional arrangements.</w:t>
      </w:r>
    </w:p>
    <w:p>
      <w:pPr>
        <w:pStyle w:val="Normal"/>
      </w:pPr>
      <w:r>
        <w:t>5. U.S. and Mexican Federalism. Equivalent respect shall apply to the constitutional allocation of authority within the United States and Mexico. Subnational participation does not diminish each Party's responsibility under this Agreement.</w:t>
      </w:r>
    </w:p>
    <w:p>
      <w:pPr>
        <w:pStyle w:val="Normal"/>
      </w:pPr>
      <w:r>
        <w:t>6. Regulatory Diversity Safe Harbor. Mere difference among national or subnational regulatory systems is not evidence of discrimination. The complaining Party or affected person must identify materially adverse treatment, disguised protection, or unnecessary restriction under an applicable obligation.</w:t>
      </w:r>
    </w:p>
    <w:p>
      <w:pPr>
        <w:pStyle w:val="Normal"/>
      </w:pPr>
      <w:r>
        <w:t>7. Public Health and Safety. Nothing in this Framework prevents a Party from adopting or maintaining evidence-based measures necessary to protect public health, prevent youth access, address impaired driving, combat illicit alcohol, or respond to contamination, provided such measures are not applied as disguised discrimination.</w:t>
      </w:r>
    </w:p>
    <w:p>
      <w:pPr>
        <w:pStyle w:val="Normal"/>
      </w:pPr>
      <w:r>
        <w:t>8. Personal and Temporary Imports. The Parties should publish clear rules for travelers' personal quantities and simplify compliant temporary imports for competitions, festivals, exhibitions, cultural events, samples, reusable containers, and professional evaluation.</w:t>
      </w:r>
    </w:p>
    <w:p>
      <w:pPr>
        <w:pStyle w:val="Normal"/>
      </w:pPr>
      <w:r>
        <w:t>9. Product Coverage. Technical schedules may distinguish beer, wine, cider, perry, spirits, liqueurs, ready-to-drink beverages, low- and no-alcohol products, beverage ingredients, cooking alcohol, extracts, specialty and heritage products, and other categories where distinct treatment is useful.</w:t>
      </w:r>
    </w:p>
    <w:p>
      <w:pPr>
        <w:pStyle w:val="Normal"/>
      </w:pPr>
      <w:r>
        <w:t>10. Origin and Production Claims. Technical rules should distinguish brand ownership, place of production, origin of agricultural inputs, maturation, bottling, and legally protected distinctive-product origin so consumers and customs authorities are not misled.</w:t>
      </w:r>
    </w:p>
    <w:p>
      <w:pPr>
        <w:pStyle w:val="Normal"/>
      </w:pPr>
      <w:r>
        <w:t>11. SME Qualification. Size thresholds or alternative qualification criteria used for SME facilitation shall be objective, transparent, periodically reviewable, and designed to prevent artificial fragmentation of large enterprises.</w:t>
      </w:r>
    </w:p>
    <w:p>
      <w:pPr>
        <w:pStyle w:val="Normal"/>
      </w:pPr>
      <w:r>
        <w:t>12. Fee Discipline. A fee is not discriminatory solely because it differs across jurisdictions or services. Review shall consider whether it is origin-neutral, reasonably related to service or regulatory cost, transparent, and not structured to nullify market access.</w:t>
      </w:r>
    </w:p>
    <w:p>
      <w:pPr>
        <w:pStyle w:val="Normal"/>
      </w:pPr>
      <w:r>
        <w:t>13. Data Minimization. Information exchange shall be limited to what is reasonably necessary for customs, safety, tax, traceability, enforcement, or evaluation functions and shall protect confidential business and personal information.</w:t>
      </w:r>
    </w:p>
    <w:p>
      <w:pPr>
        <w:pStyle w:val="Normal"/>
      </w:pPr>
      <w:r>
        <w:t>14. Technology Neutrality. Electronic systems shall define required outcomes and interoperability standards rather than mandate blockchain, biometrics, or a named commercial technology.</w:t>
      </w:r>
    </w:p>
    <w:p>
      <w:pPr>
        <w:pStyle w:val="Normal"/>
      </w:pPr>
      <w:r>
        <w:t>15. No Guaranteed Demand. Nothing in this Framework guarantees sales, shelf share, consumer acceptance, retailer purchases, or commercial success for any product.</w:t>
      </w:r>
    </w:p>
    <w:p>
      <w:pPr>
        <w:pStyle w:val="Normal"/>
      </w:pPr>
      <w:r>
        <w:t>16. Three-Win Review. Periodic implementation reviews shall identify material benefits, adjustment costs, and unresolved barriers for Canada, Mexico, and the United States separately so that trilateral balance can be assessed rather than inferred from aggregate trade.</w:t>
      </w:r>
    </w:p>
    <w:p>
      <w:pPr>
        <w:pStyle w:val="Normal"/>
      </w:pPr>
      <w:r>
        <w:t>17. Technical Maintenance. The Commission may update non-substantive product crosswalks, data fields, forms, service metrics, registry entries, pilot templates, and interoperability specifications without altering tariff schedules, substantive market-access rights, constitutional allocations, or protected domestic policy choices.</w:t>
      </w:r>
    </w:p>
    <w:p>
      <w:pPr>
        <w:pStyle w:val="Normal"/>
      </w:pPr>
      <w:r>
        <w:t>18. Anti-Gaming. Implementation shall guard against shell SMEs, false specialty status, origin laundering, artificial shipment splitting, strategic delisting, discriminatory bundled fees, warehouse bottlenecks, sham scarcity, selective promotional rules, misuse of emergency safeguards, and other practices designed to evade the substance of this Framework.</w:t>
      </w:r>
    </w:p>
    <w:p>
      <w:pPr>
        <w:pStyle w:val="Heading2"/>
      </w:pPr>
      <w:bookmarkStart w:id="901693" w:name="_Toc300001692"/>
      <w:r>
        <w:t>Article 43.3: Agricultural Competitive Neutrality Review</w:t>
      </w:r>
      <w:bookmarkEnd w:id="901693"/>
    </w:p>
    <w:p>
      <w:pPr>
        <w:pStyle w:val="Normal"/>
      </w:pPr>
      <w:r>
        <w:t>1. A Party alleging that another Party's agricultural support materially distorts bilateral trade shall disclose its own economically comparable support programs as part of the evidentiary record.</w:t>
      </w:r>
    </w:p>
    <w:p>
      <w:pPr>
        <w:pStyle w:val="Normal"/>
      </w:pPr>
      <w:r>
        <w:t>2. The review body shall assess effective producer support, production incentives, export effects, eligibility conditions, and market context rather than treating unlike programs as equivalent solely by nominal expenditure.</w:t>
      </w:r>
    </w:p>
    <w:p>
      <w:pPr>
        <w:pStyle w:val="Normal"/>
      </w:pPr>
      <w:r>
        <w:t>3. A trade deficit or higher domestic support level, standing alone, does not establish a violation.</w:t>
      </w:r>
    </w:p>
    <w:p>
      <w:pPr>
        <w:pStyle w:val="Heading2"/>
      </w:pPr>
      <w:bookmarkStart w:id="901694" w:name="_Toc300001693"/>
      <w:r>
        <w:t>Article 43.4: Agricultural Support Non-Escalation</w:t>
      </w:r>
      <w:bookmarkEnd w:id="901694"/>
    </w:p>
    <w:p>
      <w:pPr>
        <w:pStyle w:val="Normal"/>
      </w:pPr>
      <w:r>
        <w:t>1. No Party shall introduce a new production-linked support measure primarily designed to displace another Party's exports without prior notification and consultation. Emergency, disaster, animal-health, food-security, and income-stabilization programs of general application remain available.</w:t>
      </w:r>
    </w:p>
    <w:p>
      <w:pPr>
        <w:pStyle w:val="Heading2"/>
      </w:pPr>
      <w:bookmarkStart w:id="901695" w:name="_Toc300001694"/>
      <w:r>
        <w:t>Article 43.5: North American Agricultural Innovation and Productivity Initiative</w:t>
      </w:r>
      <w:bookmarkEnd w:id="901695"/>
    </w:p>
    <w:p>
      <w:pPr>
        <w:pStyle w:val="Normal"/>
      </w:pPr>
      <w:r>
        <w:t>1. The Parties establish a cooperative initiative for agricultural automation, animal health, feed efficiency, methane reduction, cold-chain resilience, food processing, veterinary biotechnology, water efficiency, and value-added products.</w:t>
      </w:r>
    </w:p>
    <w:p>
      <w:pPr>
        <w:pStyle w:val="Normal"/>
      </w:pPr>
      <w:r>
        <w:t>2. Participation in a joint project is voluntary and subject to domestic appropriations, intellectual-property rules, biosafety requirements, and research-security safeguards.</w:t>
      </w:r>
    </w:p>
    <w:p>
      <w:pPr>
        <w:pStyle w:val="Heading2"/>
      </w:pPr>
      <w:bookmarkStart w:id="901696" w:name="_Toc300001695"/>
      <w:r>
        <w:t>Article 43.6: Public Procurement</w:t>
      </w:r>
      <w:bookmarkEnd w:id="901696"/>
    </w:p>
    <w:p>
      <w:pPr>
        <w:pStyle w:val="Normal"/>
      </w:pPr>
      <w:r>
        <w:t>1. Nothing in this Chapter requires a Party's schools, hospitals, armed forces, or other public institutions to prefer another Party's agricultural products over like domestic products. Any procurement opening is reciprocal and governed by the applicable procurement schedules.</w:t>
      </w:r>
    </w:p>
    <w:p>
      <w:pPr>
        <w:pStyle w:val="Heading2"/>
      </w:pPr>
      <w:bookmarkStart w:id="901697" w:name="_Toc300001696"/>
      <w:r>
        <w:t>Article 43.7: Data and Administration</w:t>
      </w:r>
      <w:bookmarkEnd w:id="901697"/>
    </w:p>
    <w:p>
      <w:pPr>
        <w:pStyle w:val="Normal"/>
      </w:pPr>
      <w:r>
        <w:t>1. Agricultural quota, utilization, and market-access data exchanged under this Chapter shall be available to all Parties on equivalent terms, subject to confidentiality protections. No Party receives a privileged unilateral information channel.</w:t>
      </w:r>
    </w:p>
    <w:p>
      <w:pPr>
        <w:pStyle w:val="Heading2"/>
      </w:pPr>
      <w:bookmarkStart w:id="901698" w:name="_Toc300001697"/>
      <w:r>
        <w:t>Article 43.8: North American Potash Expansion and Fertilizer Security</w:t>
      </w:r>
      <w:bookmarkEnd w:id="901698"/>
    </w:p>
    <w:p>
      <w:pPr>
        <w:pStyle w:val="Normal"/>
      </w:pPr>
      <w:r>
        <w:t>1. The Parties recognize potash and other essential fertilizer inputs as foundational to North American food security. Canada shall endeavor, in cooperation with provinces, Indigenous rights holders, producers, infrastructure operators, and investors, to facilitate commercially viable expansion of Canadian potash production and associated transportation capacity.</w:t>
      </w:r>
    </w:p>
    <w:p>
      <w:pPr>
        <w:pStyle w:val="Normal"/>
      </w:pPr>
      <w:r>
        <w:t>2. The Parties shall support continuity of fertilizer trade, identify critical rail, terminal, storage, and border bottlenecks, and establish rapid consultation procedures for material supply disruptions. No Party is required to reserve a fixed quantity, guarantee a private sale, or compel below-market pricing.</w:t>
      </w:r>
    </w:p>
    <w:p>
      <w:pPr>
        <w:pStyle w:val="Normal"/>
      </w:pPr>
      <w:r>
        <w:t>3. The Parties shall encourage long-duration commercial arrangements that improve supply predictability for farmers and distributors while preserving competitive markets and producer autonomy.</w:t>
      </w:r>
    </w:p>
    <w:p>
      <w:pPr>
        <w:pStyle w:val="Heading2"/>
      </w:pPr>
      <w:bookmarkStart w:id="901699" w:name="_Toc300001698"/>
      <w:r>
        <w:t>Article 43.9: North American Fertilizer Innovation Initiative</w:t>
      </w:r>
      <w:bookmarkEnd w:id="901699"/>
    </w:p>
    <w:p>
      <w:pPr>
        <w:pStyle w:val="Normal"/>
      </w:pPr>
      <w:r>
        <w:t>1. The Parties shall cooperate on research, field validation, and commercialization of higher-efficiency potassium fertilizers and nutrient systems, including controlled or timed nutrient delivery, crop- and soil-specific formulations, sulfate-of-potash and other chloride-sensitive applications, precision application, nutrient recycling, and technologies that improve nutrient-use efficiency.</w:t>
      </w:r>
    </w:p>
    <w:p>
      <w:pPr>
        <w:pStyle w:val="Normal"/>
      </w:pPr>
      <w:r>
        <w:t>2. Cooperative research shall prioritize measurable improvements in crop productivity, farmer cost, nutrient-use efficiency, soil performance, drought and heat resilience, environmental performance, and supply-chain efficiency.</w:t>
      </w:r>
    </w:p>
    <w:p>
      <w:pPr>
        <w:pStyle w:val="Normal"/>
      </w:pPr>
      <w:r>
        <w:t>3. The Parties may establish joint research centres, shared field-trial networks, common evidence standards, and accelerated regulatory review pathways that reduce unnecessary duplication while preserving each Party's independent safety and environmental authority.</w:t>
      </w:r>
    </w:p>
    <w:p>
      <w:pPr>
        <w:pStyle w:val="Heading2"/>
      </w:pPr>
      <w:bookmarkStart w:id="901700" w:name="_Toc300001699"/>
      <w:r>
        <w:t>Article 43.10: North American Agricultural Production Security and Resilience Framework</w:t>
      </w:r>
      <w:bookmarkEnd w:id="901700"/>
    </w:p>
    <w:p>
      <w:pPr>
        <w:pStyle w:val="Normal"/>
      </w:pPr>
      <w:r>
        <w:t>1. The Parties establish a North American Agricultural Production Security and Resilience Framework to strengthen the continuity, diversity, affordability, safety, and adaptability of crop production and essential agricultural inputs while preserving each Party's regulatory sovereignty, constitutional allocation of authority, and right to maintain higher domestic health, safety, environmental, labor, and consumer-protection standards.</w:t>
      </w:r>
    </w:p>
    <w:p>
      <w:pPr>
        <w:pStyle w:val="Normal"/>
      </w:pPr>
      <w:r>
        <w:t>2. The Framework shall address seeds and planting material, germplasm, public and private plant breeding, biotechnology, plant-health threats, crop-protection tools, fertilizer and nutrient security, soil and water resilience, agricultural machinery and repair, seasonal operational continuity, and recovery and beneficial use of agricultural residuals.</w:t>
      </w:r>
    </w:p>
    <w:p>
      <w:pPr>
        <w:pStyle w:val="Normal"/>
      </w:pPr>
      <w:r>
        <w:t>3. Implementation shall favor interoperable outcomes, mutual use of reliable evidence, emergency continuity, diversification, and reduction of unnecessary duplication. No Party shall be required to authorize a product, organism, pesticide, seed trait, fertilizer, technology, or production method that it has not independently determined may lawfully be used within its territory.</w:t>
      </w:r>
    </w:p>
    <w:p>
      <w:pPr>
        <w:pStyle w:val="Normal"/>
      </w:pPr>
      <w:r>
        <w:t>4. Agricultural resilience shall be evaluated by diversity of producers, suppliers, genetics, production regions, technologies, input sources, transportation corridors, and viable production methods rather than aggregate commodity output alone.</w:t>
      </w:r>
    </w:p>
    <w:p>
      <w:pPr>
        <w:pStyle w:val="Normal"/>
      </w:pPr>
      <w:r>
        <w:t>5. No Single-Dependency Agricultural Security Principle. The Parties shall seek to reduce material single-source dependencies where failure, withdrawal, disruption, or unavailability of a single supplier, genetic line, production region, technology, input source, or transportation corridor could reasonably threaten significant agricultural production or food security.</w:t>
      </w:r>
    </w:p>
    <w:p>
      <w:pPr>
        <w:pStyle w:val="Heading2"/>
      </w:pPr>
      <w:bookmarkStart w:id="901701" w:name="_Toc300001700"/>
      <w:r>
        <w:t>Article 43.11: Seed, Planting Material, Germplasm, and Public Breeding Security</w:t>
      </w:r>
      <w:bookmarkEnd w:id="901701"/>
    </w:p>
    <w:p>
      <w:pPr>
        <w:pStyle w:val="Normal"/>
      </w:pPr>
      <w:r>
        <w:t>1. The Parties shall facilitate lawful and timely movement of seed and planting material through interoperable certification, electronic documentation, risk-based phytosanitary procedures, and planting-season priority treatment, without weakening science-based plant-health safeguards.</w:t>
      </w:r>
    </w:p>
    <w:p>
      <w:pPr>
        <w:pStyle w:val="Normal"/>
      </w:pPr>
      <w:r>
        <w:t>2. Each Party shall maintain or support sufficient domestic or cooperative capacity for germplasm conservation, seed testing, reference collections, multiplication, and emergency distribution. Public germplasm repositories and public plant-breeding capacity may be treated as food-security and biological-production infrastructure.</w:t>
      </w:r>
    </w:p>
    <w:p>
      <w:pPr>
        <w:pStyle w:val="Normal"/>
      </w:pPr>
      <w:r>
        <w:t>3. The Parties shall cooperate to identify critical seed shortages, geographically concentrated seed-production risks, climate-related production failures, and varieties for which the loss of a single production region could materially impair the next planting season.</w:t>
      </w:r>
    </w:p>
    <w:p>
      <w:pPr>
        <w:pStyle w:val="Normal"/>
      </w:pPr>
      <w:r>
        <w:t>4. During a verified regional seed shortage, the Parties may activate an Emergency Seed Continuity Corridor for expedited movement of qualifying seed, testing samples, breeding material, seed-treatment inputs, and necessary specialized equipment, subject to phytosanitary controls and origin documentation.</w:t>
      </w:r>
    </w:p>
    <w:p>
      <w:pPr>
        <w:pStyle w:val="Normal"/>
      </w:pPr>
      <w:r>
        <w:t>5. Cooperation shall support regionally adapted, climate-resilient, organic, open-pollinated, hybrid, conventionally bred, marker-assisted, and biotechnology-derived varieties as appropriate to domestic law. Nothing in this Article requires a Party to favor one breeding system over another.</w:t>
      </w:r>
    </w:p>
    <w:p>
      <w:pPr>
        <w:pStyle w:val="Normal"/>
      </w:pPr>
      <w:r>
        <w:t>6. Each Party retains authority over farmers' privilege, seed-saving rights, plant breeders' rights, patents, licensing, and other intellectual-property rules, subject to the non-discrimination, competition, and innocent-presence safeguards of this Chapter.</w:t>
      </w:r>
    </w:p>
    <w:p>
      <w:pPr>
        <w:pStyle w:val="Heading2"/>
      </w:pPr>
      <w:bookmarkStart w:id="901702" w:name="_Toc300001701"/>
      <w:r>
        <w:t>Article 43.12: Biotechnology Regulatory Interoperability and Sovereign Review</w:t>
      </w:r>
      <w:bookmarkEnd w:id="901702"/>
    </w:p>
    <w:p>
      <w:pPr>
        <w:pStyle w:val="Normal"/>
      </w:pPr>
      <w:r>
        <w:t>1. The Parties shall seek to reduce unnecessary duplication in biotechnology review through voluntary sharing of non-confidential dossiers, validated methods, safety assessments, post-market evidence, environmental information, and technical questions, to the extent legally permissible.</w:t>
      </w:r>
    </w:p>
    <w:p>
      <w:pPr>
        <w:pStyle w:val="Normal"/>
      </w:pPr>
      <w:r>
        <w:t>2. A Party may invite synchronized or parallel review of a biotechnology application, but each Party retains an independent final decision and may request additional information reasonably necessary under domestic law.</w:t>
      </w:r>
    </w:p>
    <w:p>
      <w:pPr>
        <w:pStyle w:val="Normal"/>
      </w:pPr>
      <w:r>
        <w:t>3. Regulatory cooperation shall not create automatic approval, automatic equivalence, a lowest-common-denominator safety rule, or a presumption that authorization by one Party compels authorization by another.</w:t>
      </w:r>
    </w:p>
    <w:p>
      <w:pPr>
        <w:pStyle w:val="Normal"/>
      </w:pPr>
      <w:r>
        <w:t>4. The Parties shall maintain procedures for managing low-level presence and asynchronous approvals in traded commodities that distinguish inadvertent biological presence from deliberate circumvention and that seek proportionate remedies before unnecessary destruction or broad trade interruption.</w:t>
      </w:r>
    </w:p>
    <w:p>
      <w:pPr>
        <w:pStyle w:val="Normal"/>
      </w:pPr>
      <w:r>
        <w:t>5. Where a material crop-production threat exists, a Party may request expedited scientific review of an agricultural technology already authorized by another Party. The receiving Party shall have access, to the extent legally shareable, to relevant regulatory dossiers, safety assessments, field evidence, and post-market information while retaining sovereign approval authority.</w:t>
      </w:r>
    </w:p>
    <w:p>
      <w:pPr>
        <w:pStyle w:val="Heading2"/>
      </w:pPr>
      <w:bookmarkStart w:id="901703" w:name="_Toc300001702"/>
      <w:r>
        <w:t>Article 43.13: Innocent Genetic Presence, Farmer Choice, and Agricultural Coexistence</w:t>
      </w:r>
      <w:bookmarkEnd w:id="901703"/>
    </w:p>
    <w:p>
      <w:pPr>
        <w:pStyle w:val="Normal"/>
      </w:pPr>
      <w:r>
        <w:t>1. Presence Shall Not Create Intent. The mere detection of patented, protected, or otherwise proprietary genetic material in a field, harvested crop, seed lot, storage facility, transport system, or agricultural product shall not by itself establish intentional acquisition, planting, propagation, infringement, misappropriation, or breach of a technology-use obligation.</w:t>
      </w:r>
    </w:p>
    <w:p>
      <w:pPr>
        <w:pStyle w:val="Normal"/>
      </w:pPr>
      <w:r>
        <w:t>2. A farmer or other agricultural operator who did not intentionally acquire, plant, select, concentrate, propagate, or commercially exploit a protected trait shall not incur intellectual-property or licensing liability solely because pollen, seed, volunteers, transport spillage, commingling, or another unintended biological process introduced trace or incidental presence.</w:t>
      </w:r>
    </w:p>
    <w:p>
      <w:pPr>
        <w:pStyle w:val="Normal"/>
      </w:pPr>
      <w:r>
        <w:t>3. This safe harbor does not protect a person who knowingly selects, saves, multiplies, markets, or otherwise exploits protected material in violation of applicable intellectual-property law or a valid contractual obligation.</w:t>
      </w:r>
    </w:p>
    <w:p>
      <w:pPr>
        <w:pStyle w:val="Normal"/>
      </w:pPr>
      <w:r>
        <w:t>4. A biotechnology developer, seed company, licensee, or neighboring producer is not strictly liable for every trace movement. Responsibility for preventable off-target genetic movement shall depend on reasonable stewardship duties, foreseeability, control, causation, and the materiality of resulting harm.</w:t>
      </w:r>
    </w:p>
    <w:p>
      <w:pPr>
        <w:pStyle w:val="Normal"/>
      </w:pPr>
      <w:r>
        <w:t>5. The Parties shall provide or permit a proportionate compensation pathway for demonstrable substantial commercial loss caused by preventable genetic contamination, including loss of a verified non-GMO, organic, export, seed-purity, or other premium contract, without converting incidental molecular detection into automatic damages.</w:t>
      </w:r>
    </w:p>
    <w:p>
      <w:pPr>
        <w:pStyle w:val="Normal"/>
      </w:pPr>
      <w:r>
        <w:t>6. No universal numerical contamination threshold is established by this Agreement. Crop biology, seed-purity requirements, market specifications, available testing methods, and the scale and circumstances of presence shall inform technical thresholds adopted domestically or through implementation guidance.</w:t>
      </w:r>
    </w:p>
    <w:p>
      <w:pPr>
        <w:pStyle w:val="Heading2"/>
      </w:pPr>
      <w:bookmarkStart w:id="901704" w:name="_Toc300001703"/>
      <w:r>
        <w:t>Article 43.14: North American Plant Health Watch List and Biological Production Security</w:t>
      </w:r>
      <w:bookmarkEnd w:id="901704"/>
    </w:p>
    <w:p>
      <w:pPr>
        <w:pStyle w:val="Normal"/>
      </w:pPr>
      <w:r>
        <w:t>1. The Parties shall maintain an updateable North American Plant Health Watch List covering plant pathogens, insect pests, mites, nematodes, invasive weeds, vectors, and other biological threats of continental significance. The Watch List is an implementation instrument and may be updated without reopening this Agreement.</w:t>
      </w:r>
    </w:p>
    <w:p>
      <w:pPr>
        <w:pStyle w:val="Normal"/>
      </w:pPr>
      <w:r>
        <w:t>2. Listed threats may be classified as established or endemic, emerging, invasive or spreading, quarantine or exclusion priority, or extraordinary continental biological emergency. Classification may differ geographically and shall be supported by current scientific and surveillance information.</w:t>
      </w:r>
    </w:p>
    <w:p>
      <w:pPr>
        <w:pStyle w:val="Normal"/>
      </w:pPr>
      <w:r>
        <w:t>3. The Parties shall strengthen interoperable surveillance using field observations, traps, laboratory diagnostics, remote sensing, genomic tools, nursery and seed inspection, stored-commodity monitoring, and other validated methods appropriate to the organism and pathway.</w:t>
      </w:r>
    </w:p>
    <w:p>
      <w:pPr>
        <w:pStyle w:val="Normal"/>
      </w:pPr>
      <w:r>
        <w:t>4. The Parties shall facilitate rapid exchange of diagnostic assays, reference materials, genomic information, non-confidential outbreak data, and validated response protocols while protecting confidential business information, personal information, sensitive location data, and legitimate biosecurity restrictions.</w:t>
      </w:r>
    </w:p>
    <w:p>
      <w:pPr>
        <w:pStyle w:val="Normal"/>
      </w:pPr>
      <w:r>
        <w:t>5. Plant-health measures shall, where scientifically supportable, use regionalization, zoning, compartmentalization, commodity treatment, pathway controls, or other targeted measures instead of unnecessary continent-wide or Party-wide shutdowns.</w:t>
      </w:r>
    </w:p>
    <w:p>
      <w:pPr>
        <w:pStyle w:val="Normal"/>
      </w:pPr>
      <w:r>
        <w:t>6. Immediate precautionary restrictions may be used where delay would create a serious biological threat, but emergency measures shall include an identified review point, evidence-update process, and off-ramp or narrowing mechanism.</w:t>
      </w:r>
    </w:p>
    <w:p>
      <w:pPr>
        <w:pStyle w:val="Normal"/>
      </w:pPr>
      <w:r>
        <w:t>7. Where government-ordered destruction, quarantine, movement restriction, or similar containment action materially benefits continental plant health, the responsible Party should maintain compensation, insurance, recovery assistance, or comparable support sufficient to avoid creating a strong economic incentive to conceal symptoms or delay reporting.</w:t>
      </w:r>
    </w:p>
    <w:p>
      <w:pPr>
        <w:pStyle w:val="Normal"/>
      </w:pPr>
      <w:r>
        <w:t>8. A forest-health or agricultural biological emergency may be treated as a continental biological-security event where its reasonably foreseeable spread threatens forests, crops, communities, critical infrastructure, wildfire resilience, or food security of another Party.</w:t>
      </w:r>
    </w:p>
    <w:p>
      <w:pPr>
        <w:pStyle w:val="Heading2"/>
      </w:pPr>
      <w:bookmarkStart w:id="901705" w:name="_Toc300001704"/>
      <w:r>
        <w:t>Article 43.15: Pest-Movement Controls, Emergency Containment Corridors, and Forest-Agriculture Interface</w:t>
      </w:r>
      <w:bookmarkEnd w:id="901705"/>
    </w:p>
    <w:p>
      <w:pPr>
        <w:pStyle w:val="Normal"/>
      </w:pPr>
      <w:r>
        <w:t>1. The Parties may apply proportionate movement controls to seed, nursery stock, soil, plants, firewood, bark, logs, packaging material, agricultural machinery, harvest equipment, storage facilities, and other pathways capable of carrying a regulated biological threat.</w:t>
      </w:r>
    </w:p>
    <w:p>
      <w:pPr>
        <w:pStyle w:val="Normal"/>
      </w:pPr>
      <w:r>
        <w:t>2. During a material outbreak, qualifying diagnostic equipment, resistant seed, biological controls, crop-protection products, traps, pheromones, containment materials, sanitation equipment, and specialized response personnel shall receive expedited border treatment to the extent consistent with safety and security requirements.</w:t>
      </w:r>
    </w:p>
    <w:p>
      <w:pPr>
        <w:pStyle w:val="Normal"/>
      </w:pPr>
      <w:r>
        <w:t>3. Agricultural and forest-health authorities shall maintain channels for exchanging relevant alerts where a pest, pathogen, weed, or vector crosses the agriculture-forest interface or where management of one system can materially affect the other.</w:t>
      </w:r>
    </w:p>
    <w:p>
      <w:pPr>
        <w:pStyle w:val="Normal"/>
      </w:pPr>
      <w:r>
        <w:t>4. The Parties shall cooperate on scientifically justified firewood and untreated wood movement controls, treatment certification, pest-free production systems, and public communication to reduce avoidable cross-border spread.</w:t>
      </w:r>
    </w:p>
    <w:p>
      <w:pPr>
        <w:pStyle w:val="Normal"/>
      </w:pPr>
      <w:r>
        <w:t>5. Salvage or emergency use of pest- or disease-affected biomass may receive expedited technical consideration where treatment renders the material acceptably safe for the intended pathway and the activity is genuinely connected to containment, restoration, hazard reduction, or productive recovery rather than disguised ordinary harvesting.</w:t>
      </w:r>
    </w:p>
    <w:p>
      <w:pPr>
        <w:pStyle w:val="Heading2"/>
      </w:pPr>
      <w:bookmarkStart w:id="901706" w:name="_Toc300001705"/>
      <w:r>
        <w:t>Article 43.16: Crop Protection Modernization and Safer Substitution</w:t>
      </w:r>
      <w:bookmarkEnd w:id="901706"/>
    </w:p>
    <w:p>
      <w:pPr>
        <w:pStyle w:val="Normal"/>
      </w:pPr>
      <w:r>
        <w:t>1. The Parties shall maintain crop-protection systems capable of responding to material weeds, insects, pathogens, nematodes, and other production threats while progressively reducing avoidable human-health, worker-safety, environmental, persistence, resistance, and off-target burdens.</w:t>
      </w:r>
    </w:p>
    <w:p>
      <w:pPr>
        <w:pStyle w:val="Normal"/>
      </w:pPr>
      <w:r>
        <w:t>2. For cooperation and comparative review under this Article, the Parties may use a common descriptive vocabulary that includes: Continue; Restricted Use; Safer-Substitution Priority; Essential Transitional Use; Accelerated Hazard Review; and Prohibited Agricultural Active Substance. These labels do not themselves change the legal status of an active ingredient or use within a Party.</w:t>
      </w:r>
    </w:p>
    <w:p>
      <w:pPr>
        <w:pStyle w:val="Normal"/>
      </w:pPr>
      <w:r>
        <w:t>3. A competent domestic authority may place a substance or use in a prohibited or equivalent domestic category only through the scientific, legal, notice, review, and decision procedures applicable in that Party. Cooperative review may consider severe human-health or environmental hazard, material agricultural exposure, feasibility of exposure control, availability of materially safer effective methods, agricultural necessity, and any independently unacceptable risk.</w:t>
      </w:r>
    </w:p>
    <w:p>
      <w:pPr>
        <w:pStyle w:val="Normal"/>
      </w:pPr>
      <w:r>
        <w:t>4. Availability of Safer Alternatives. In cooperative review, the Parties should not treat historical use, marginal cost advantage, manufacturer preference, existing inventory, or regulatory inertia as sufficient by themselves to justify continued routine use of a substantially more hazardous active substance where materially safer, reasonably effective, and practically deployable substitutes are available. Final authorization, restriction, or withdrawal remains with the competent domestic authority.</w:t>
      </w:r>
    </w:p>
    <w:p>
      <w:pPr>
        <w:pStyle w:val="Normal"/>
      </w:pPr>
      <w:r>
        <w:t>5. No Agricultural Protection Gap. Except where immediate prohibition is required to protect health or the environment, withdrawal of a significant crop-protection use should be accompanied by accelerated evaluation, supply development, producer guidance, and transition support for safer substitutes where the withdrawal would otherwise leave a material pest, pathogen, or weed threat without a reasonably effective control.</w:t>
      </w:r>
    </w:p>
    <w:p>
      <w:pPr>
        <w:pStyle w:val="Normal"/>
      </w:pPr>
      <w:r>
        <w:t>6. A temporary Essential Transitional Use shall be crop-specific, threat-specific, quantity-limited where practicable, subject to enhanced applicator and exposure safeguards, publicly reasoned, non-precedential, and automatically expire unless renewed on updated evidence that no materially safer effective alternative is reasonably available.</w:t>
      </w:r>
    </w:p>
    <w:p>
      <w:pPr>
        <w:pStyle w:val="Normal"/>
      </w:pPr>
      <w:r>
        <w:t>7. The Parties shall encourage precision application, machine-vision spot treatment, variable-rate systems, shielded application, drift-reduction technology, weather-informed decision support, biological controls, mechanical control, resistant varieties, and other validated methods capable of reducing chemical burden while maintaining effective crop protection.</w:t>
      </w:r>
    </w:p>
    <w:p>
      <w:pPr>
        <w:pStyle w:val="Heading2"/>
      </w:pPr>
      <w:bookmarkStart w:id="901707" w:name="_Toc300001706"/>
      <w:r>
        <w:t>Article 43.17: Initial Priority Agricultural Active-Substance Review Schedule</w:t>
      </w:r>
      <w:bookmarkEnd w:id="901707"/>
    </w:p>
    <w:p>
      <w:pPr>
        <w:pStyle w:val="Normal"/>
      </w:pPr>
      <w:r>
        <w:t>1. As an initial negotiating and scientific-review baseline, carbendazim, paraquat, and chlorothalonil shall be placed on a coordinated priority-review schedule. Within 180 days after entry into force of this Article, each Party's competent authority shall confirm the substance's current domestic legal status and determine, under its own law and current scientific record, whether continued authorization, additional restriction, transition, cancellation, or prohibition is warranted.</w:t>
      </w:r>
    </w:p>
    <w:p>
      <w:pPr>
        <w:pStyle w:val="Normal"/>
      </w:pPr>
      <w:r>
        <w:t>2. This Article does not itself cancel a registration, prohibit manufacture or sale, or create an import ban. A domestic prohibition, restriction, cancellation, or transition measure takes effect only through the competent Party's applicable legal and scientific procedure, including any notice, evidence, review, transition, and appeal requirements required by domestic law.</w:t>
      </w:r>
    </w:p>
    <w:p>
      <w:pPr>
        <w:pStyle w:val="Normal"/>
      </w:pPr>
      <w:r>
        <w:t>3. Where a competent authority determines that an imminent and material crop or plant-health threat warrants a temporary essential use of a substance otherwise restricted or prohibited under its law, the authorization should identify the crop, target threat, geographic scope, maximum duration, worker safeguards, exposure controls, substitution plan, and automatic expiry date. Any authorization remains governed by domestic law and should not exceed one growing season without a fresh scientific determination where renewal is legally available.</w:t>
      </w:r>
    </w:p>
    <w:p>
      <w:pPr>
        <w:pStyle w:val="Normal"/>
      </w:pPr>
      <w:r>
        <w:t>4. Inclusion on the priority-review schedule is not a treaty finding that a particular exposure caused a specific illness, that a substance is unlawful in every use, or that the Parties have reached identical risk conclusions. The purpose of the schedule is to ensure timely, transparent, competent-authority review of a limited set of legacy agricultural active substances presenting material hazard or regulatory concern.</w:t>
      </w:r>
    </w:p>
    <w:p>
      <w:pPr>
        <w:pStyle w:val="Normal"/>
      </w:pPr>
      <w:r>
        <w:t>5. The Commission may, on a science-based recommendation from competent domestic authorities, add a substance to the coordinated priority-review schedule. Addition to or removal from the schedule shall be transparent and shall identify the principal scientific and agricultural basis for the change; it does not itself alter domestic authorization status.</w:t>
      </w:r>
    </w:p>
    <w:p>
      <w:pPr>
        <w:pStyle w:val="Heading2"/>
      </w:pPr>
      <w:bookmarkStart w:id="901708" w:name="_Toc300001707"/>
      <w:r>
        <w:t>Article 43.18: Agricultural Off-Target Effects, Drift, and Neighbor Protection</w:t>
      </w:r>
      <w:bookmarkEnd w:id="901708"/>
    </w:p>
    <w:p>
      <w:pPr>
        <w:pStyle w:val="Normal"/>
      </w:pPr>
      <w:r>
        <w:t>1. A person shall not knowingly apply a crop-protection product under conditions in which material off-target movement causing foreseeable harm to neighboring crops, workers, residences, water bodies, protected habitat, pollinators, or other sensitive receptors is reasonably likely and avoidable through compliant practice.</w:t>
      </w:r>
    </w:p>
    <w:p>
      <w:pPr>
        <w:pStyle w:val="Normal"/>
      </w:pPr>
      <w:r>
        <w:t>2. The Parties shall support crop- and technology-appropriate controls for drift, volatilization, runoff, overspray, contaminated dust, and other off-target pathways, including weather thresholds, buffers, nozzle or equipment specifications, timing restrictions, application records, and precision systems where justified by risk.</w:t>
      </w:r>
    </w:p>
    <w:p>
      <w:pPr>
        <w:pStyle w:val="Normal"/>
      </w:pPr>
      <w:r>
        <w:t>3. Liability and compensation rules may distinguish compliant unavoidable movement from negligent, reckless, repeated, or deliberate conduct. A farmer who complied with applicable stewardship and application requirements shall not be treated as a guarantor against every extraordinary weather event.</w:t>
      </w:r>
    </w:p>
    <w:p>
      <w:pPr>
        <w:pStyle w:val="Normal"/>
      </w:pPr>
      <w:r>
        <w:t>4. Where a verified off-target event causes substantial economic loss to another producer, each Party shall maintain an accessible domestic pathway for investigation, correction, and compensation consistent with its legal system.</w:t>
      </w:r>
    </w:p>
    <w:p>
      <w:pPr>
        <w:pStyle w:val="Heading2"/>
      </w:pPr>
      <w:bookmarkStart w:id="901709" w:name="_Toc300001708"/>
      <w:r>
        <w:t>Article 43.19: Resistance Management and Integrated Pest Management</w:t>
      </w:r>
      <w:bookmarkEnd w:id="901709"/>
    </w:p>
    <w:p>
      <w:pPr>
        <w:pStyle w:val="Normal"/>
      </w:pPr>
      <w:r>
        <w:t>1. The Parties shall cooperate on surveillance and mapping of herbicide, insecticide, fungicide, and other pesticide resistance and shall share non-confidential resistance information relevant to cross-border agricultural production.</w:t>
      </w:r>
    </w:p>
    <w:p>
      <w:pPr>
        <w:pStyle w:val="Normal"/>
      </w:pPr>
      <w:r>
        <w:t>2. Regulatory and extension programs should encourage integrated pest management using surveillance, prevention, crop and variety choice, cultural methods, biological controls, mechanical methods, precision treatment, and targeted chemical controls according to local agronomic conditions.</w:t>
      </w:r>
    </w:p>
    <w:p>
      <w:pPr>
        <w:pStyle w:val="Normal"/>
      </w:pPr>
      <w:r>
        <w:t>3. Where repeated reliance on a single mode of action creates a material resistance threat, a Party may require or encourage resistance-management measures proportionate to the crop, pest, technology, and available alternatives.</w:t>
      </w:r>
    </w:p>
    <w:p>
      <w:pPr>
        <w:pStyle w:val="Normal"/>
      </w:pPr>
      <w:r>
        <w:t>4. Nothing in this Article requires a universal crop rotation, tillage system, pesticide recipe, planting date, or production method across North America.</w:t>
      </w:r>
    </w:p>
    <w:p>
      <w:pPr>
        <w:pStyle w:val="Heading2"/>
      </w:pPr>
      <w:bookmarkStart w:id="901710" w:name="_Toc300001709"/>
      <w:r>
        <w:t>Article 43.20: Soil, Water, Drought, and Climate-Resilient Crop Production</w:t>
      </w:r>
      <w:bookmarkEnd w:id="901710"/>
    </w:p>
    <w:p>
      <w:pPr>
        <w:pStyle w:val="Normal"/>
      </w:pPr>
      <w:r>
        <w:t>1. The Parties shall cooperate on agricultural resilience to drought, extreme heat, flood, wildfire, erosion, salinity, alkalinity, acidity, compaction, declining organic matter, nutrient loss, and other material soil- and water-related production risks.</w:t>
      </w:r>
    </w:p>
    <w:p>
      <w:pPr>
        <w:pStyle w:val="Normal"/>
      </w:pPr>
      <w:r>
        <w:t>2. Programs may support soil testing, water-efficiency technology, irrigation modernization, moisture-conservation practices, drainage improvement, erosion reduction, climate-resilient varieties, regional agronomic research, drought forecasting, soil-carbon improvement, and other locally appropriate measures without mandating a single farming system.</w:t>
      </w:r>
    </w:p>
    <w:p>
      <w:pPr>
        <w:pStyle w:val="Normal"/>
      </w:pPr>
      <w:r>
        <w:t>3. Agricultural water policy remains subject to each Party's constitutional and domestic allocation of water authority. Nothing in this Agreement creates a cross-border entitlement to another Party's water, requires cultivation or abandonment of a particular crop, or compels transfer of water between sectors.</w:t>
      </w:r>
    </w:p>
    <w:p>
      <w:pPr>
        <w:pStyle w:val="Normal"/>
      </w:pPr>
      <w:r>
        <w:t>4. The Parties shall improve drought and extreme-weather early warning, agricultural fire-risk communication, emergency irrigation and water-supply coordination where legally available, and recovery mechanisms for extraordinary production shocks.</w:t>
      </w:r>
    </w:p>
    <w:p>
      <w:pPr>
        <w:pStyle w:val="Normal"/>
      </w:pPr>
      <w:r>
        <w:t>5. In shared basins and watersheds, the Parties may cooperate on agricultural water efficiency, measurement, forecasting, drought contingency, water quality, and ecosystem resilience consistent with existing boundary-water institutions and without prejudice to established treaty rights.</w:t>
      </w:r>
    </w:p>
    <w:p>
      <w:pPr>
        <w:pStyle w:val="Heading2"/>
      </w:pPr>
      <w:bookmarkStart w:id="901711" w:name="_Toc300001710"/>
      <w:r>
        <w:t>Article 43.21: Agricultural Machinery, Parts, Diagnostics, and Seasonal Continuity</w:t>
      </w:r>
      <w:bookmarkEnd w:id="901711"/>
    </w:p>
    <w:p>
      <w:pPr>
        <w:pStyle w:val="Normal"/>
      </w:pPr>
      <w:r>
        <w:t>1. The Parties recognize that loss of access to critical machinery, replacement parts, diagnostic information, software functionality, or repair capacity during planting, spraying, irrigation, or harvest can create disproportionate production losses.</w:t>
      </w:r>
    </w:p>
    <w:p>
      <w:pPr>
        <w:pStyle w:val="Normal"/>
      </w:pPr>
      <w:r>
        <w:t>2. Qualifying agricultural machinery, critical replacement parts, diagnostic equipment, seed-treatment machinery, irrigation components, and repair tools may receive seasonal priority customs treatment during a verified planting or harvest continuity event.</w:t>
      </w:r>
    </w:p>
    <w:p>
      <w:pPr>
        <w:pStyle w:val="Normal"/>
      </w:pPr>
      <w:r>
        <w:t>3. Subject to intellectual-property, cybersecurity, emissions, and safety law, farmers and independent repair providers should have reasonable access to information, interfaces, diagnostic functions, parts, and tools necessary to maintain and repair lawfully acquired agricultural equipment without circumventing unrelated security controls or acquiring proprietary source code not necessary for the repair.</w:t>
      </w:r>
    </w:p>
    <w:p>
      <w:pPr>
        <w:pStyle w:val="Normal"/>
      </w:pPr>
      <w:r>
        <w:t>4. A manufacturer shall not use remote software controls, authentication, or subscription architecture primarily to prevent otherwise lawful repair, disable paid-for essential equipment functionality without contractual basis, or create an artificial emergency-season bottleneck.</w:t>
      </w:r>
    </w:p>
    <w:p>
      <w:pPr>
        <w:pStyle w:val="Normal"/>
      </w:pPr>
      <w:r>
        <w:t>5. The Parties may support interoperable data portability and equipment interfaces where technically feasible while preserving cybersecurity, privacy, safety, and legitimate proprietary interests.</w:t>
      </w:r>
    </w:p>
    <w:p>
      <w:pPr>
        <w:pStyle w:val="Heading2"/>
      </w:pPr>
      <w:bookmarkStart w:id="901712" w:name="_Toc300001711"/>
      <w:r>
        <w:t>Article 43.22: Agricultural Nutrient and Manure Circularity Framework</w:t>
      </w:r>
      <w:bookmarkEnd w:id="901712"/>
    </w:p>
    <w:p>
      <w:pPr>
        <w:pStyle w:val="Normal"/>
      </w:pPr>
      <w:r>
        <w:t>1. The Parties recognize manure and other agricultural residuals as potential sources of nitrogen, phosphorus, organic matter, energy, fibers, carbon products, and other useful materials when managed so that nutrients, pathogens, pharmaceuticals, metals, organic loading, air emissions, and other contaminants do not escape at harmful concentrations.</w:t>
      </w:r>
    </w:p>
    <w:p>
      <w:pPr>
        <w:pStyle w:val="Normal"/>
      </w:pPr>
      <w:r>
        <w:t>2. Manure is an agricultural resource until its storage, treatment, transport, or application creates an unacceptable risk or material pollution burden. Designation as manure, fertilizer, soil amendment, feedstock, renewable fuel, recovered material, or circular product does not by itself establish either waste status or safety.</w:t>
      </w:r>
    </w:p>
    <w:p>
      <w:pPr>
        <w:pStyle w:val="Normal"/>
      </w:pPr>
      <w:r>
        <w:t>3. Nutrient-management systems should account for crop need, soil condition, nutrient content, timing, weather, field characteristics, storage capacity, and credible runoff risk. The Parties may support subsidized testing, calibration, recordkeeping tools, and technical assistance, particularly for small and medium producers.</w:t>
      </w:r>
    </w:p>
    <w:p>
      <w:pPr>
        <w:pStyle w:val="Normal"/>
      </w:pPr>
      <w:r>
        <w:t>4. The Parties shall encourage adequate and climate-resilient manure-storage capacity, appropriate lining or containment, inspection, overflow protection, emergency planning, leak and spill detection, and maintenance proportionate to facility size and risk.</w:t>
      </w:r>
    </w:p>
    <w:p>
      <w:pPr>
        <w:pStyle w:val="Normal"/>
      </w:pPr>
      <w:r>
        <w:t>5. Where frozen soil, snow cover, saturation, forecast precipitation, thaw conditions, slope, or other conditions create an extreme and reasonably foreseeable runoff risk, a Party may temporarily restrict land application while maintaining emergency storage, transfer, treatment, or other practical compliance pathways.</w:t>
      </w:r>
    </w:p>
    <w:p>
      <w:pPr>
        <w:pStyle w:val="Normal"/>
      </w:pPr>
      <w:r>
        <w:t>6. The Parties may develop interoperable runoff-risk decision support using weather, soil, snowpack, topography, water proximity, and storage data, including advisory low-, elevated-, and extreme-risk application conditions, without substituting an automated advisory for legally required professional judgment.</w:t>
      </w:r>
    </w:p>
    <w:p>
      <w:pPr>
        <w:pStyle w:val="Normal"/>
      </w:pPr>
      <w:r>
        <w:t>7. Deliberate dumping, chronic overapplication, falsification, repeated negligent discharges, and knowing operation of materially unsafe storage may receive progressively stronger enforcement. Good-faith compliance with approved nutrient-management practices shall be considered in enforcement and liability consistent with domestic law.</w:t>
      </w:r>
    </w:p>
    <w:p>
      <w:pPr>
        <w:pStyle w:val="Heading2"/>
      </w:pPr>
      <w:bookmarkStart w:id="901713" w:name="_Toc300001712"/>
      <w:r>
        <w:t>Article 43.23: Recovered Agricultural Nutrients, Resource Cascade, and Nutrient Exchange Corridors</w:t>
      </w:r>
      <w:bookmarkEnd w:id="901713"/>
    </w:p>
    <w:p>
      <w:pPr>
        <w:pStyle w:val="Normal"/>
      </w:pPr>
      <w:r>
        <w:t>1. The Parties shall support safe recovery and beneficial use of agricultural nutrients and residuals through a resource hierarchy: avoid unnecessary nutrient surplus; efficiently use suitable nutrients locally; recover concentrated nutrients and useful materials; transport standardized products to deficit regions where economic and safe; recover energy or materials from remaining fractions; and safely manage final residuals.</w:t>
      </w:r>
    </w:p>
    <w:p>
      <w:pPr>
        <w:pStyle w:val="Normal"/>
      </w:pPr>
      <w:r>
        <w:t>2. Cooperation may include composting, solid-liquid separation, anaerobic digestion, digestate processing, phosphorus recovery including struvite, nitrogen or ammonia recovery, pelletization, biochar, controlled-release products, renewable gas, fibers, and other technologies demonstrated safe and effective for the intended use.</w:t>
      </w:r>
    </w:p>
    <w:p>
      <w:pPr>
        <w:pStyle w:val="Normal"/>
      </w:pPr>
      <w:r>
        <w:t>3. No Circularity Presumption of Safety. Recovery, recycling, treatment, conversion, or designation as a beneficial product does not itself establish fitness for food, feed, bedding, soil, water-treatment, construction, consumer, medical, or other exposure pathways. Products shall satisfy performance requirements appropriate to their intended use.</w:t>
      </w:r>
    </w:p>
    <w:p>
      <w:pPr>
        <w:pStyle w:val="Normal"/>
      </w:pPr>
      <w:r>
        <w:t>4. Agricultural Beneficial-Use Test. Designation of a residual as fertilizer, soil amendment, feedstock, recovered material, or other beneficial product shall not exempt its storage, transport, sale, or application from requirements reasonably necessary to prevent material harm to water, soil, ecosystems, workers, communities, or human or animal health.</w:t>
      </w:r>
    </w:p>
    <w:p>
      <w:pPr>
        <w:pStyle w:val="Normal"/>
      </w:pPr>
      <w:r>
        <w:t>5. The Parties may develop interoperable standards for recovered agricultural nutrient products addressing nutrient content, contaminants, pathogens, labeling, sampling, traceability, and fit-for-purpose use so that qualifying products may move commercially without unnecessary duplicate testing.</w:t>
      </w:r>
    </w:p>
    <w:p>
      <w:pPr>
        <w:pStyle w:val="Normal"/>
      </w:pPr>
      <w:r>
        <w:t>6. Nutrient Exchange Corridors may connect nutrient-surplus livestock regions with nutrient-deficit crop regions through processing, storage, logistics, and market information. Participation is voluntary and shall not create compulsory purchase or waste-transfer obligations.</w:t>
      </w:r>
    </w:p>
    <w:p>
      <w:pPr>
        <w:pStyle w:val="Normal"/>
      </w:pPr>
      <w:r>
        <w:t>7. Circularity Shall Not Require Industrial Scale. Small and medium producers shall be eligible, subject to domestic programs, for cooperative processing, mobile equipment, shared infrastructure, grants, concessional financing, third-party services, or other mechanisms that permit participation without requiring each farm to build a stand-alone industrial processing facility.</w:t>
      </w:r>
    </w:p>
    <w:p>
      <w:pPr>
        <w:pStyle w:val="Heading2"/>
      </w:pPr>
      <w:bookmarkStart w:id="901714" w:name="_Toc300001713"/>
      <w:r>
        <w:t>Article 43.24: Agricultural Watershed Protection and Shared Nutrient Outcomes</w:t>
      </w:r>
      <w:bookmarkEnd w:id="901714"/>
    </w:p>
    <w:p>
      <w:pPr>
        <w:pStyle w:val="Normal"/>
      </w:pPr>
      <w:r>
        <w:t>1. Where agricultural nutrient, sediment, pathogen, or organic-matter pollution materially affects a transboundary water body, the Parties may establish a Shared Agricultural Watershed Nutrient Plan through the appropriate existing institution or cooperative mechanism.</w:t>
      </w:r>
    </w:p>
    <w:p>
      <w:pPr>
        <w:pStyle w:val="Normal"/>
      </w:pPr>
      <w:r>
        <w:t>2. A Plan shall identify measurable water-quality outcomes, monitoring methods, relevant agricultural sources and non-agricultural sources where material, implementation responsibilities, review intervals, and practical support for affected producers. It need not mandate identical farming practices in different jurisdictions.</w:t>
      </w:r>
    </w:p>
    <w:p>
      <w:pPr>
        <w:pStyle w:val="Normal"/>
      </w:pPr>
      <w:r>
        <w:t>3. A Party shall not use a transboundary nutrient concern as a disguised restriction on agricultural trade. Measures shall be evidence-based, proportionate to the contribution and risk addressed, and subject to periodic review as conditions improve or new information becomes available.</w:t>
      </w:r>
    </w:p>
    <w:p>
      <w:pPr>
        <w:pStyle w:val="Normal"/>
      </w:pPr>
      <w:r>
        <w:t>4. Where a regulation requires significant manure, nutrient, drainage, storage, or runoff-control upgrades for a public environmental benefit, the regulating Party should consider transition financing, technical assistance, or phased compliance, particularly for otherwise viable small and medium farms.</w:t>
      </w:r>
    </w:p>
    <w:p>
      <w:pPr>
        <w:pStyle w:val="Heading2"/>
      </w:pPr>
      <w:bookmarkStart w:id="901715" w:name="_Toc300001714"/>
      <w:r>
        <w:t>Article 43.25: Agricultural Labor, Automation, and Operational Continuity</w:t>
      </w:r>
      <w:bookmarkEnd w:id="901715"/>
    </w:p>
    <w:p>
      <w:pPr>
        <w:pStyle w:val="Normal"/>
      </w:pPr>
      <w:r>
        <w:t>1. The Parties recognize that seasonal labor shortages, equipment bottlenecks, border delay, and abrupt operational disruptions can cause time-sensitive crop losses even where seed, land, and market demand remain available.</w:t>
      </w:r>
    </w:p>
    <w:p>
      <w:pPr>
        <w:pStyle w:val="Normal"/>
      </w:pPr>
      <w:r>
        <w:t>2. Cooperation may include lawful seasonal-worker mobility, worker-protection enforcement, training, mechanization, ergonomics, automation, robotics, harvest and packing technology, and regional workforce planning consistent with each Party's immigration and labor laws.</w:t>
      </w:r>
    </w:p>
    <w:p>
      <w:pPr>
        <w:pStyle w:val="Normal"/>
      </w:pPr>
      <w:r>
        <w:t>3. Automation shall be treated as a productivity and resilience tool and not as a presumption that seasonal human labor is unnecessary. Programs should consider worker safety, rural employment, small-producer access, retraining, and the operational needs of labor-intensive specialty crops.</w:t>
      </w:r>
    </w:p>
    <w:p>
      <w:pPr>
        <w:pStyle w:val="Normal"/>
      </w:pPr>
      <w:r>
        <w:t>4. During a verified agricultural continuity event, the Parties may prioritize time-sensitive movement of harvest crews lawfully eligible to travel, replacement machinery, critical parts, packaging, refrigeration equipment, and other inputs necessary to prevent avoidable crop loss.</w:t>
      </w:r>
    </w:p>
    <w:p>
      <w:pPr>
        <w:pStyle w:val="Heading2"/>
      </w:pPr>
      <w:bookmarkStart w:id="901716" w:name="_Toc300001715"/>
      <w:r>
        <w:t>Article 43.26: Mexico Co-Design and Regional Production Diversity</w:t>
      </w:r>
      <w:bookmarkEnd w:id="901716"/>
    </w:p>
    <w:p>
      <w:pPr>
        <w:pStyle w:val="Normal"/>
      </w:pPr>
      <w:r>
        <w:t>1. Implementation of Articles 43.10 through 43.25 shall be trilateral and shall treat Mexico as a full agricultural producer, consumer, exporter, importer, breeding and research partner, manufacturing base, and climate-resilience stakeholder rather than as an appended market.</w:t>
      </w:r>
    </w:p>
    <w:p>
      <w:pPr>
        <w:pStyle w:val="Normal"/>
      </w:pPr>
      <w:r>
        <w:t>2. Cooperative programs shall account for Mexico-specific specialty crops, seed systems, irrigation and drought exposure, fertilizer and machinery needs, plant-health pathways, labor-intensive production, export logistics, tropical and subtropical pest pressures, and opportunities for value-added processing.</w:t>
      </w:r>
    </w:p>
    <w:p>
      <w:pPr>
        <w:pStyle w:val="Normal"/>
      </w:pPr>
      <w:r>
        <w:t>3. Programs shall likewise account for Canadian cold-climate, short-season, prairie, northern, greenhouse, orchard, pulse, oilseed, and specialty-crop systems and United States regional production diversity without converting regional differences into lesser procedural rights.</w:t>
      </w:r>
    </w:p>
    <w:p>
      <w:pPr>
        <w:pStyle w:val="Normal"/>
      </w:pPr>
      <w:r>
        <w:t>4. No Party shall be required to become dependent on another Party for an essential seed, crop-protection tool, fertilizer, agricultural technology, food commodity, or production input as a condition of receiving a benefit under this Chapter.</w:t>
      </w:r>
    </w:p>
    <w:p>
      <w:pPr>
        <w:pStyle w:val="Heading2"/>
      </w:pPr>
      <w:bookmarkStart w:id="901717" w:name="_Toc300001716"/>
      <w:r>
        <w:t>Article 43.27: Food Security Without Dependency and Producer Resilience</w:t>
      </w:r>
      <w:bookmarkEnd w:id="901717"/>
    </w:p>
    <w:p>
      <w:pPr>
        <w:pStyle w:val="Normal"/>
      </w:pPr>
      <w:r>
        <w:t>1. Agricultural integration under this Agreement shall improve resilience without requiring a Party to abandon reasonable domestic capacity, supplier diversification, strategic reserves, public breeding, emergency inventories, or other measures designed to avoid dangerous dependency.</w:t>
      </w:r>
    </w:p>
    <w:p>
      <w:pPr>
        <w:pStyle w:val="Normal"/>
      </w:pPr>
      <w:r>
        <w:t>2. The Parties may monitor systemic agricultural input concentration, supply bottlenecks, extraordinary price shocks, seed or fertilizer shortages, and other conditions capable of threatening otherwise viable production. Such monitoring does not authorize price fixing, compulsory licensing, confiscation of intellectual property, or guaranteed commercial returns.</w:t>
      </w:r>
    </w:p>
    <w:p>
      <w:pPr>
        <w:pStyle w:val="Normal"/>
      </w:pPr>
      <w:r>
        <w:t>3. Competition policy is not confiscation of intellectual property. The Parties shall preserve legitimate incentives for plant breeding, biotechnology, agricultural chemistry, machinery innovation, and other investment while retaining authority to address anticompetitive tying, exclusionary conduct, deceptive licensing, unlawful market allocation, abusive interoperability restrictions, or other conduct prohibited by domestic competition law.</w:t>
      </w:r>
    </w:p>
    <w:p>
      <w:pPr>
        <w:pStyle w:val="Normal"/>
      </w:pPr>
      <w:r>
        <w:t>4. During an extraordinary continental agricultural disruption, a Party may provide emergency financing, credit support, insurance assistance, input guarantees, storage support, or similar measures to otherwise viable producers, subject to the agricultural-support and non-escalation disciplines of this Agreement.</w:t>
      </w:r>
    </w:p>
    <w:p>
      <w:pPr>
        <w:pStyle w:val="Normal"/>
      </w:pPr>
      <w:r>
        <w:t>5. Nothing in this Framework guarantees farm profitability, crop yield, market price, input price, sales volume, or commercial success. Its purpose is to reduce avoidable structural vulnerabilities and improve the capacity of North American agriculture to withstand shocks without transferring all adjustment costs to producers, workers, consumers, or neighboring communities.</w:t>
      </w:r>
    </w:p>
    <w:p>
      <w:pPr>
        <w:pStyle w:val="Heading2"/>
      </w:pPr>
      <w:bookmarkStart w:id="901718" w:name="_Toc300001717"/>
      <w:r>
        <w:t>ANNEX 43-G: AGRICULTURAL PRODUCTION SECURITY IMPLEMENTATION SCHEDULE</w:t>
      </w:r>
      <w:bookmarkEnd w:id="901718"/>
    </w:p>
    <w:p>
      <w:pPr>
        <w:pStyle w:val="Normal"/>
      </w:pPr>
      <w:r>
        <w:t>1. Within 90 days after entry into force, the Parties shall designate existing competent authorities and points of contact for seed continuity, plant health, crop protection, recovered nutrients, agricultural machinery continuity, and agricultural resilience. No new standing committee is required where an existing institution can perform the function.</w:t>
      </w:r>
    </w:p>
    <w:p>
      <w:pPr>
        <w:pStyle w:val="Normal"/>
      </w:pPr>
      <w:r>
        <w:t>2. Within 180 days, the Parties shall establish the initial North American Plant Health Watch List, publish procedures for emergency agricultural technology review, and adopt or identify the domestic implementing measures necessary to give effect to Article 43.17.</w:t>
      </w:r>
    </w:p>
    <w:p>
      <w:pPr>
        <w:pStyle w:val="Normal"/>
      </w:pPr>
      <w:r>
        <w:t>3. Within one year, the Parties shall publish an initial Agricultural Production Dependency Map identifying non-confidential material dependencies in seed, germplasm, fertilizer, crop protection, machinery parts, and other critical inputs. The Map is diagnostic and creates no purchase mandate or exclusive supplier status.</w:t>
      </w:r>
    </w:p>
    <w:p>
      <w:pPr>
        <w:pStyle w:val="Normal"/>
      </w:pPr>
      <w:r>
        <w:t>4. Within one year, the Parties shall identify at least one voluntary pilot for recovered agricultural nutrients or nutrient exchange, at least one plant-health or seed-continuity exercise, and at least one precision crop-protection or resistance-management demonstration, subject to available appropriations and domestic law.</w:t>
      </w:r>
    </w:p>
    <w:p>
      <w:pPr>
        <w:pStyle w:val="Normal"/>
      </w:pPr>
      <w:r>
        <w:t>5. Within two years, the Parties shall review whether existing certification, testing, digital documentation, customs, and regulatory-recognition practices unnecessarily impede emergency movement of seed, planting material, diagnostics, agricultural machinery parts, recovered nutrient products, or other qualifying agricultural inputs and shall publish a non-binding correction plan for identified frictions.</w:t>
      </w:r>
    </w:p>
    <w:p>
      <w:pPr>
        <w:pStyle w:val="Normal"/>
      </w:pPr>
      <w:r>
        <w:t>6. Technical implementation shall use existing Agriculture, Sanitary and Phytosanitary, Environment, Customs, Competition, Labor, Energy, and other competent institutions wherever reasonably possible. The Parties shall avoid creating duplicative standing bodies solely to administer this Annex.</w:t>
      </w:r>
    </w:p>
    <w:p>
      <w:pPr>
        <w:pStyle w:val="Heading2"/>
      </w:pPr>
      <w:bookmarkStart w:id="901719" w:name="_Toc300001718"/>
      <w:r>
        <w:t>ANNEX 43-F: BEVERAGE ALCOHOL MARKET-ACCESS LANDING AND IMPLEMENTATION RAMP</w:t>
      </w:r>
      <w:bookmarkEnd w:id="901719"/>
    </w:p>
    <w:p>
      <w:pPr>
        <w:pStyle w:val="Normal"/>
      </w:pPr>
      <w:r>
        <w:t>1. Purpose. This Annex provides a short implementation ramp for agreed beverage-alcohol market-access improvements without requiring Canada, Mexico, the United States, or a subnational jurisdiction to abolish its lawful alcohol-distribution model.</w:t>
      </w:r>
    </w:p>
    <w:p>
      <w:pPr>
        <w:pStyle w:val="Normal"/>
      </w:pPr>
      <w:r>
        <w:t>2. Day 0. Each Party shall identify the federal and, where implementation materially depends on them, subnational measures that govern listing, distribution, markups, service fees, warehousing, direct shipment, retail access, product registration, and applicable taxes for beverages of another Party.</w:t>
      </w:r>
    </w:p>
    <w:p>
      <w:pPr>
        <w:pStyle w:val="Normal"/>
      </w:pPr>
      <w:r>
        <w:t>3. Day 30. Each Party shall publish or link through the North American Beverage Rules Gateway the principal non-confidential criteria, fees, markups, timelines, forms, and points of contact necessary for a supplier of another Party to seek commercially meaningful access.</w:t>
      </w:r>
    </w:p>
    <w:p>
      <w:pPr>
        <w:pStyle w:val="Normal"/>
      </w:pPr>
      <w:r>
        <w:t>4. Day 60. Where a listing, distribution, markup, service-fee, warehousing, or retail rule treats a like domestic beverage more favorably than a like beverage of another Party, the responsible authority shall eliminate the discrimination, provide equivalent commercial treatment, or identify the objective regulatory basis for the distinction and a proportionate cure path.</w:t>
      </w:r>
    </w:p>
    <w:p>
      <w:pPr>
        <w:pStyle w:val="Normal"/>
      </w:pPr>
      <w:r>
        <w:t>5. Day 90. The Parties shall review unresolved access barriers and may establish voluntary provincial, territorial, state, or Mexican subnational pilots under Article 43.2T for direct-to-retailer, direct-to-consumer, specialty-product, digital-document, or logistics treatment.</w:t>
      </w:r>
    </w:p>
    <w:p>
      <w:pPr>
        <w:pStyle w:val="Normal"/>
      </w:pPr>
      <w:r>
        <w:t>6. Public-health rules, age restrictions, responsible-service rules, destination taxation, product-safety requirements, and legitimate distinctive-product protections remain available on a non-discriminatory basis.</w:t>
      </w:r>
    </w:p>
    <w:p>
      <w:pPr>
        <w:pStyle w:val="Normal"/>
      </w:pPr>
      <w:r>
        <w:t>7. No supplier receives a guaranteed listing, sales volume, shelf position, or purchase commitment. The obligation is commercially meaningful and non-discriminatory opportunity under transparent rules.</w:t>
      </w:r>
    </w:p>
    <w:p>
      <w:pPr>
        <w:pStyle w:val="Heading1"/>
      </w:pPr>
      <w:bookmarkStart w:id="901720" w:name="_Toc300001719"/>
      <w:r>
        <w:t>ANNEX 43-I: AGRICULTURAL FINAL SETTLEMENT SELECTION AND TRANSITION PROTOCOL</w:t>
      </w:r>
      <w:bookmarkEnd w:id="901720"/>
    </w:p>
    <w:p>
      <w:pPr>
        <w:pStyle w:val="Normal"/>
      </w:pPr>
      <w:r>
        <w:t>Final Settlement Integration Gateway. This Annex selects, records, transitions, and closes an adopted agricultural Final Settlement state without recreating the agricultural machinery of this Chapter. Articles 43.1 through 43.27, the existing agricultural annexes, Chapters 4, 5, 9, and 35, and Article 49.3 remain controlling according to their scope; NAAFTC or any NAAFTC clock enters this Agreement only through an exact legally sufficient incorporation record.</w:t>
      </w:r>
    </w:p>
    <w:p>
      <w:pPr>
        <w:pStyle w:val="Heading2"/>
      </w:pPr>
      <w:bookmarkStart w:id="901721" w:name="_Toc300001720"/>
      <w:r>
        <w:t>FS-04.1: Purpose, Existing-Law Relationship, and Agricultural Settlement Election</w:t>
      </w:r>
      <w:bookmarkEnd w:id="901721"/>
    </w:p>
    <w:p>
      <w:pPr>
        <w:pStyle w:val="Normal"/>
      </w:pPr>
      <w:r>
        <w:t>FS04-A01. Settlement Function. FS-04 operates as the agricultural Final Settlement selection, transition, and closure instrument for agricultural commitments expressly placed within its schedules. It does not replace the agricultural operating architecture already contained in Chapters 4, 5, 9, 35, 43, Article 49.3, or another more specific NAESTMA provision. Where an existing provision supplies the rule for origin, certification, sanitary or phytosanitary protection, commercial usability, emergency administration, verification, cure, or restoration, that provision continues to control. FS-04 records and coordinates legal effect only where an adopted schedule row expressly selects a settlement state, transition pathway, incorporated NAAFTC provision, or other authorized term supported by legally sufficient authority.</w:t>
      </w:r>
    </w:p>
    <w:p>
      <w:pPr>
        <w:pStyle w:val="Normal"/>
      </w:pPr>
      <w:r>
        <w:t>FS04-A02. Agricultural Sovereignty Firewall. FS-04 does not by itself abolish supply management, a tariff-rate quota, a seasonal agricultural measure, a domestic marketing system, or another sensitive-sector structure preserved by NAESTMA. A change to such a structure requires the specific legal authority and affirmative settlement election applicable to that change. Commercial success, high quota utilization, temporary emergency access, or the passage of a review date does not independently enlarge a permanent market-access commitment. Nothing in an FS-04 schedule converts an administrative facilitation commitment into a production mandate, purchase mandate, guaranteed import volume, or harmonized agricultural production system.</w:t>
      </w:r>
    </w:p>
    <w:p>
      <w:pPr>
        <w:pStyle w:val="Normal"/>
      </w:pPr>
      <w:r>
        <w:t>FS04-A03. Settlement Election Categories. An Adopted FS-04 Settlement Row identifies its settlement pathway as Immediate Settlement, NAESTMA Scheduled Transition, Managed-Access Transition, NAAFTC-Compatible Transition, or Other Expressly Adopted Agricultural Instrument. The selected category describes the legal pathway and does not itself supply missing tariff values, quota quantities, dates, or authorities. Each operative value appears in the adopted row or in a specifically incorporated controlling instrument. A category that is not selected has no residual or presumptive legal effect.</w:t>
      </w:r>
    </w:p>
    <w:p>
      <w:pPr>
        <w:pStyle w:val="Normal"/>
      </w:pPr>
      <w:r>
        <w:t>FS04-A04. Existing Machinery First. The Parties administer an adopted agricultural settlement through existing competent authorities, committees, contact points, verification channels, and dispute architecture unless the adopted row identifies a necessary different institution under independent authority. FS-04 does not create duplicate sanitary and phytosanitary review, agricultural barrier review, perishables continuity, shortage determination, quota-allocation, or Cothrom machinery. An implementing authority uses the least duplicative existing process capable of administering the selected settlement term. Creation of a new form, certificate, registry, committee, or approval step requires a demonstrated function that existing machinery cannot perform.</w:t>
      </w:r>
    </w:p>
    <w:p>
      <w:pPr>
        <w:pStyle w:val="Normal"/>
      </w:pPr>
      <w:r>
        <w:t>FS04-A05. FS-04 Selection Record and Substantive Authority. A completed and formally adopted Schedule FS-04-A row is the constitutive FS-04 record of the agricultural settlement terms expressly selected in that row, while the cited treaty provision, amendment, implementing instrument, or other legally sufficient authority remains the source of substantive legal effect. A blank, bracketed, modelled, illustrative, proposed, unverified, or alternative field is non-operative unless the applicable adoption instrument expressly converts it into an adopted term. A drafting note, explanatory memorandum, negotiating option, technical model, or schedule entry lacking sufficient substantive authority does not create a tariff, quota, or access commitment. This rule prevents negotiation scaffolding or schedule administration from silently becoming a legal commitment.</w:t>
      </w:r>
    </w:p>
    <w:p>
      <w:pPr>
        <w:pStyle w:val="Normal"/>
      </w:pPr>
      <w:r>
        <w:t>FS04-A06. Defined FS-04 Terms. An “Adopted FS-04 Settlement Row” means a completed row of Schedule FS-04-A adopted through the procedure legally required for the commitments it records. An “Adopted FS-04 Transition Row” means a completed row of Schedule FS-04-B that identifies an independently authorized path from the recorded baseline state to the selected final state. An “Adopted NAAFTC Incorporation Row” means a completed row of Schedule FS-04-C that identifies the NAAFTC provision, version, scope, legal effect, modifications, and legally sufficient adoption authority with enough precision to avoid incorporation by implication. A “Completed Agricultural Settlement State” means the durable tariff, access, or other scheduled state reached after every condition expressly required by the controlling adopted row and its substantive legal authority has occurred.</w:t>
      </w:r>
    </w:p>
    <w:p>
      <w:pPr>
        <w:pStyle w:val="Heading2"/>
      </w:pPr>
      <w:bookmarkStart w:id="901722" w:name="_Toc300001721"/>
      <w:r>
        <w:t>FS-04.2: Existing Zero Treatment, Baseline Integrity, and No-Regression</w:t>
      </w:r>
      <w:bookmarkEnd w:id="901722"/>
    </w:p>
    <w:p>
      <w:pPr>
        <w:pStyle w:val="Normal"/>
      </w:pPr>
      <w:r>
        <w:t>FS04-B01. Baseline Agricultural State. Each Adopted FS-04 Settlement Row records the legally relevant baseline state for the covered product or agricultural classification record before the selected settlement change takes effect. The baseline distinguishes, where applicable, ordinary MFN treatment, preferential treatment, autonomous zero treatment, temporary suspension, within-access treatment, over-access treatment, and another legally distinct tariff state. A temporary emergency suspension or temporary administrative accommodation does not become the permanent baseline merely because it is in force on the date of data extraction. Where the baseline cannot be verified, the row remains DRAFT: VERIFY BEFORE LEGAL SCRUB and does not acquire operative settlement effect.</w:t>
      </w:r>
    </w:p>
    <w:p>
      <w:pPr>
        <w:pStyle w:val="Normal"/>
      </w:pPr>
      <w:r>
        <w:t>FS04-B02. Existing Zero-State Protection. A covered agricultural line already entitled to durable zero customs duty under the controlling legal instrument retains that treatment unless an independent treaty authority expressly permits a different result. FS-04 does not convert a durable zero line into a transitional concession merely because the line appears in a settlement schedule. An implementing authority records the legal source and character of the zero state so that preferential, autonomous, temporary, and permanent zero treatment are not conflated. A later renumbering, nomenclature update, or administrative migration preserves the underlying legal treatment where product continuity is established.</w:t>
      </w:r>
    </w:p>
    <w:p>
      <w:pPr>
        <w:pStyle w:val="Normal"/>
      </w:pPr>
      <w:r>
        <w:t>FS04-B03. No Administrative Deterioration. An authority does not reduce an adopted agricultural settlement state through classification drift, licensing design, allocation mechanics, documentary sequencing, fee design, or another administrative device that lacks independent authority to alter the underlying commitment. Chapter 43 commercial-usability and administrative-barrier disciplines continue to apply to the administration of the selected state. A dispute about administration is addressed through the specific administrative, verification, cure, or dispute pathway applicable to that conduct. Administrative non-performance does not by itself rewrite the tariff or access baseline.</w:t>
      </w:r>
    </w:p>
    <w:p>
      <w:pPr>
        <w:pStyle w:val="Normal"/>
      </w:pPr>
      <w:r>
        <w:t>FS04-B04. Temporary Measures Firewall. A temporary SPS measure, emergency shortage measure, temporary tariff suspension, provisional facilitation step, or other temporary response remains legally distinct from the permanent FS-04 settlement state. Its activation does not permanently enlarge or diminish the adopted baseline unless the controlling authority expressly provides that consequence. Its cessation returns administration to the state required by the underlying settlement and other applicable NAESTMA provisions. A temporary measure therefore cannot create a silent ratchet in either direction.</w:t>
      </w:r>
    </w:p>
    <w:p>
      <w:pPr>
        <w:pStyle w:val="Normal"/>
      </w:pPr>
      <w:r>
        <w:t>FS04-B05. Agricultural Classification Continuity. An adopted settlement attaches to the covered product definition and agricultural classification record identified in Schedule FS-04-A rather than to a mutable administrative label alone. Where tariff nomenclature changes, the competent authorities map the successor classification to the same underlying covered product using the controlling classification rules and authoritative correlation sources. A nomenclature change does not restart a completed transition or extinguish a completed right merely because the numerical code changes. A genuine change in product scope requires an express classification determination or schedule amendment under the applicable authority.</w:t>
      </w:r>
    </w:p>
    <w:p>
      <w:pPr>
        <w:pStyle w:val="Normal"/>
      </w:pPr>
      <w:r>
        <w:t>FS04-B06. Source and Provenance Discipline. Every tariff value, access quantity, transition date, classification, and legal status used as a constitutive FS-04 field identifies its authoritative source or controlling legal instrument. A derived value identifies the derivation method and the source values from which it is calculated. An estimated, reconstructed, or technically unresolved value is labelled accordingly and remains non-operative until verified and adopted. This provenance rule applies independently of whether the underlying data originated in a Party schedule, customs instrument, tariff database, quota notice, or incorporated NAAFTC annex.</w:t>
      </w:r>
    </w:p>
    <w:p>
      <w:pPr>
        <w:pStyle w:val="Heading2"/>
      </w:pPr>
      <w:bookmarkStart w:id="901723" w:name="_Toc300001722"/>
      <w:r>
        <w:t>FS-04.3: Agricultural Final Settlement Selection</w:t>
      </w:r>
      <w:bookmarkEnd w:id="901723"/>
    </w:p>
    <w:p>
      <w:pPr>
        <w:pStyle w:val="Normal"/>
      </w:pPr>
      <w:r>
        <w:t>FS04-C01. Final Settlement State. Schedule FS-04-A identifies the final agricultural settlement state selected for each covered product or defined product group. The final state may preserve an existing treatment, establish zero customs duty, establish a specified within-access quantity and over-access treatment, preserve a managed-access field with modified terms, or record another expressly authorized result. The row states the result rather than relying on an unstated inference from negotiating history. No final state applies beyond the products, Parties, legal authority, and scope identified in the adopted row.</w:t>
      </w:r>
    </w:p>
    <w:p>
      <w:pPr>
        <w:pStyle w:val="Normal"/>
      </w:pPr>
      <w:r>
        <w:t>FS04-C02. Managed-Access Selection. Where the selected final state retains managed access, the adopted row identifies the legally relevant access quantity, applicable within-access treatment, applicable over-access treatment, and any expressly selected allocation or reallocation parameter not already supplied by Chapter 43 or another controlling provision. FS-04 does not duplicate Chapter 43 administration merely because a managed-access term appears in the schedule, and a schedule field does not create or modify an allocation methodology unless a cited independent authority legally permits that change. The adopted row distinguishes a change in market-access quantity from a change in administration of an unchanged quantity. A change to one does not imply a change to the other.</w:t>
      </w:r>
    </w:p>
    <w:p>
      <w:pPr>
        <w:pStyle w:val="Normal"/>
      </w:pPr>
      <w:r>
        <w:t>FS04-C03. Zero-Tariff Selection. Where the selected final state is zero customs duty, the adopted row identifies the products, participating Parties, FS-04 Legal Activation Mode, effective date or completion condition, and any lawful transitional staging; for this purpose, “FS-04 Legal Activation Mode” means the legally authorized mechanism and objective condition by which the agricultural settlement becomes effective and does not import an FS-01 activation category by implication. A zero-tariff selection does not waive sanitary, phytosanitary, food-safety, origin, certification, inspection, or other non-tariff requirements that remain independently applicable. The row also states whether the zero state is immediate or reached through Schedule FS-04-B. Once the controlling transition completes, the zero state becomes a Completed Agricultural Settlement State for purposes of FS-04.6.</w:t>
      </w:r>
    </w:p>
    <w:p>
      <w:pPr>
        <w:pStyle w:val="Normal"/>
      </w:pPr>
      <w:r>
        <w:t>FS04-C04. No Negative-Space Commitments. Silence in Schedule FS-04-A does not create a concession, exclusion, expansion, reduction, or reservation. A product omitted from an adopted row remains governed by the otherwise applicable NAESTMA and domestic legal framework. A general political statement, target, forecast, or negotiating objective does not fill a missing constitutive field. The Parties use express schedule text when they intend a product-specific settlement consequence.</w:t>
      </w:r>
    </w:p>
    <w:p>
      <w:pPr>
        <w:pStyle w:val="Normal"/>
      </w:pPr>
      <w:r>
        <w:t>FS04-C05. Specific Legal Authority. Each operative settlement row identifies the treaty provision, schedule authority, amendment authority, implementing instrument, or other independent legal basis legally sufficient to give effect to the selected term. An administrative certificate, registry entry, or FS-04 schedule record documents selection or implementation but does not create substantive authority that the underlying instrument does not supply. Where domestic implementation is legally required before a term becomes operative, the row identifies that activation condition without treating anticipated implementation as completed implementation. No Secretariat, technical body, or schedule administrator acquires power to create or amend a tariff, quota, access quantity, or allocation methodology merely by maintaining the FS-04 schedules.</w:t>
      </w:r>
    </w:p>
    <w:p>
      <w:pPr>
        <w:pStyle w:val="Normal"/>
      </w:pPr>
      <w:r>
        <w:t>FS04-C06. Bilateral and Trilateral Scope. An Adopted FS-04 Settlement Row states whether its obligations and benefits are trilateral, bilateral between specified Parties, or otherwise lawfully differentiated. A bilateral settlement does not silently alter the treatment owed in another bilateral relationship under NAESTMA. Where equivalent but non-identical bilateral terms coexist, the schedules keep their legal sources, product scopes, and activation dates separately traceable. The Commission may publish a consolidated informational view so long as consolidation does not change the legal character of the underlying commitments.</w:t>
      </w:r>
    </w:p>
    <w:p>
      <w:pPr>
        <w:pStyle w:val="Heading2"/>
      </w:pPr>
      <w:bookmarkStart w:id="901724" w:name="_Toc300001723"/>
      <w:r>
        <w:t>FS-04.4: Transition Bridge and NAAFTC Socket</w:t>
      </w:r>
      <w:bookmarkEnd w:id="901724"/>
    </w:p>
    <w:p>
      <w:pPr>
        <w:pStyle w:val="Normal"/>
      </w:pPr>
      <w:r>
        <w:t>FS04-D01. Transition Bridge. Schedule FS-04-B records the independently authorized transition path between the verified baseline state and the selected final settlement state where the change is not immediate. Each Adopted FS-04 Transition Row identifies its specific transition legal authority, every legally operative stage, its trigger, its resulting treatment, and the condition that advances the product to the next stage. Schedule FS-04-B does not create an acceleration, pause, extension, intermediate tariff change, managed-access adjustment, or other transition power that the cited authority does not supply. Where a stage is automatic on an objective condition, the schedule states the condition and consequence directly without adding an unstated future approval.</w:t>
      </w:r>
    </w:p>
    <w:p>
      <w:pPr>
        <w:pStyle w:val="Normal"/>
      </w:pPr>
      <w:r>
        <w:t>FS04-D02. No Imported Transition Clock by Implication. The 12-month, 28-month, 36-month, 42-month, or another transition period developed in NAAFTC does not enter NAESTMA merely because FS-04 provides a NAAFTC-compatible pathway. A NAAFTC period operates within FS-04 only where an Adopted NAAFTC Incorporation Row expressly incorporates that provision or an Adopted FS-04 Transition Row independently adopts an equivalent period under sufficient authority. The same rule applies to acceleration, reverse-gear, vesting, safe-harbor, and other NAAFTC transition mechanics. This separation preserves NAAFTC as a standalone instrument unless the Parties deliberately choose otherwise.</w:t>
      </w:r>
    </w:p>
    <w:p>
      <w:pPr>
        <w:pStyle w:val="Normal"/>
      </w:pPr>
      <w:r>
        <w:t>FS04-D03. NAAFTC Incorporation Socket. Schedule FS-04-C is the exclusive FS-04 record for identifying a NAAFTC provision incorporated by reference into the NAESTMA Final Settlement branch, while the cited adoption instrument remains the source of incorporative legal effect. Each adopted incorporation row identifies the exact NAAFTC instrument title, version or date, provision or annex, participating Parties, covered products, relationship status, incorporated legal effect, modifications or reservations, effective date, and Specific Legally Sufficient Adoption Authority. A generic reference to NAAFTC, agricultural free trade, a NAAFTC concept, or a negotiating draft does not incorporate operative text. A blank, incomplete, or compatibility-reference-only row has no incorporative legal effect.</w:t>
      </w:r>
    </w:p>
    <w:p>
      <w:pPr>
        <w:pStyle w:val="Normal"/>
      </w:pPr>
      <w:r>
        <w:t>FS04-D04. Compatibility Without Incorporation. An FS-04 settlement may be recorded as “Compatibility Reference Only” where its structure coexists with a separate NAAFTC commitment without contradiction. That relationship status is informational and non-constitutive and does not incorporate NAAFTC text, schedules, thresholds, clocks, remedies, definitions, institutions, or legal effects. If the Parties later adopt NAAFTC separately, the relationship between the two instruments follows their express hierarchy, conflict, and incorporation rules and any corresponding adopted FS-04-C incorporation record. FS-04 therefore supports modular adoption without collapsing the two instruments into one treaty by implication.</w:t>
      </w:r>
    </w:p>
    <w:p>
      <w:pPr>
        <w:pStyle w:val="Normal"/>
      </w:pPr>
      <w:r>
        <w:t>FS04-D05. Transition Acceleration, Pause, and Extension. An adopted transition may accelerate, pause, or extend only through the mechanism and within the bounds expressly authorized by its specific transition legal authority and recorded adjustment authority. Authority to adjust a transition clock does not by itself authorize alteration of the selected final tariff rate, access quantity, managed-access field, or another substantive settlement term reserved to amendment or separate adoption. Where a permitted adjustment requires unanimous, bilateral, technical, or other specified approval, the schedule identifies that actor, decision rule, maximum movement, and affected products or stages. Commercial success, political preference, utilization levels, or administrative review does not independently change the transition clock or restart a completed stage.</w:t>
      </w:r>
    </w:p>
    <w:p>
      <w:pPr>
        <w:pStyle w:val="Normal"/>
      </w:pPr>
      <w:r>
        <w:t>FS04-D06. Transition Completion Certificate. When the objective conditions for a transition stage or final stage are satisfied, the competent authority records completion through the existing implementation machinery or a simple FS-04 completion record. The record is evidentiary unless the controlling legal authority expressly makes certification constitutive. Failure to issue an evidentiary record on time does not suspend a right that the controlling provision makes automatic upon satisfaction of objective conditions. The Parties correct an erroneous record through the applicable administrative or Cothrom pathway without reopening unrelated completed settlement states.</w:t>
      </w:r>
    </w:p>
    <w:p>
      <w:pPr>
        <w:pStyle w:val="Heading2"/>
      </w:pPr>
      <w:bookmarkStart w:id="901725" w:name="_Toc300001724"/>
      <w:r>
        <w:t>FS-04.5: Existing Administration, SPS, Emergency, and Commercial-Usability Interface</w:t>
      </w:r>
      <w:bookmarkEnd w:id="901725"/>
    </w:p>
    <w:p>
      <w:pPr>
        <w:pStyle w:val="Normal"/>
      </w:pPr>
      <w:r>
        <w:t>FS04-E01. Chapter 43 Administration Interface. Chapter 43 supplies the primary agricultural administrative machinery for commercially meaningful access, quota administration, applications, perishables, shortage determinations, administrative-barrier review, reciprocal facilitation, and related implementation functions within its scope. FS-04 uses those mechanisms for an adopted settlement rather than reproducing them. A schedule row identifies a different mechanism only where a more specific provision controls or the settlement instrument expressly and lawfully establishes one. The presence of an FS-04 settlement term does not reduce the transparency, usability, evidence, or review protections otherwise applicable under Chapter 43.</w:t>
      </w:r>
    </w:p>
    <w:p>
      <w:pPr>
        <w:pStyle w:val="Normal"/>
      </w:pPr>
      <w:r>
        <w:t>FS04-E02. SPS and Equivalence Interface. Chapter 9 and the more specific Chapter 43 sanitary and phytosanitary provisions continue to govern SPS protection, evidence, risk tailoring, equivalence, systems recognition, regionalization, treatment, certification, and related technical matters. A tariff or access concession does not lower a Party's lawful level of sanitary or phytosanitary protection. An SPS measure likewise does not alter the permanent tariff or access settlement unless independent authority expressly provides that consequence. Where Chapter 9 supplies the more specific SPS rule, that rule controls.</w:t>
      </w:r>
    </w:p>
    <w:p>
      <w:pPr>
        <w:pStyle w:val="Normal"/>
      </w:pPr>
      <w:r>
        <w:t>FS04-E03. Perishables and Border Continuity. Existing perishables, cold-chain, escalation-contact, correction, segregation, treatment, reconditioning, re-export, approved-facility, priority-lane, and trade-facilitation-corridor mechanisms remain available according to their controlling provisions. FS-04 does not create a second perishables lane or a second emergency corridor. Administration of an adopted settlement accounts for the time sensitivity of covered perishable goods through those existing mechanisms. A documentary or classification issue is contained to the affected issue where existing law permits continuity rather than becoming an implied suspension of the broader agricultural settlement.</w:t>
      </w:r>
    </w:p>
    <w:p>
      <w:pPr>
        <w:pStyle w:val="Normal"/>
      </w:pPr>
      <w:r>
        <w:t>FS04-E04. Emergency and Shortage Interface. Existing agricultural emergency and shortage mechanisms continue to determine whether provisional or temporary relief is available and the evidence, scope, duration, and review applicable to that relief. A shortage, price spike, disease event, extreme-weather event, processing failure, transport interruption, or other emergency fact does not independently create tariff authority. Temporary relief remains bounded by the authority that activates it and does not rewrite the Completed Agricultural Settlement State. When the temporary condition ends, ordinary settlement treatment resumes according to the controlling provisions.</w:t>
      </w:r>
    </w:p>
    <w:p>
      <w:pPr>
        <w:pStyle w:val="Normal"/>
      </w:pPr>
      <w:r>
        <w:t>FS04-E05. Dairy and Managed-Access Administration. Article 49.3 and applicable Chapter 43 provisions continue to govern dairy tariff-rate-quota transparency, allocation information, utilization information, reallocation procedures, auditability, and transition in administration. FS-04 may select a negotiated dairy market-access commitment without converting that selection into an abolition of Canadian supply management unless an independent adopted instrument expressly does so. The schedule distinguishes the amount or tariff treatment of negotiated access from the administrative rules used to distribute or manage that access. A dispute about one does not automatically alter the other.</w:t>
      </w:r>
    </w:p>
    <w:p>
      <w:pPr>
        <w:pStyle w:val="Normal"/>
      </w:pPr>
      <w:r>
        <w:t>FS04-E06. Administrative Barrier and Cothrom Interface. Articles 43.1AC and 43.1AD, Chapter 35, and the applicable Cothrom architecture govern correction, proportionate step-back, cure, earn-back, restoration, and containment where agricultural administrative non-performance falls within their scope. FS-04 does not create a parallel agricultural retaliation ladder. A disputed facilitation benefit is isolated from underlying tariff treatment and unrelated products to the extent required by the controlling provisions. No FS-04 administrative dispute creates unilateral tariff, quota, purchase-mandate, or cross-sector retaliation authority absent an independent NAESTMA basis.</w:t>
      </w:r>
    </w:p>
    <w:p>
      <w:pPr>
        <w:pStyle w:val="Heading2"/>
      </w:pPr>
      <w:bookmarkStart w:id="901726" w:name="_Toc300001725"/>
      <w:r>
        <w:t>FS-04.6: Completion, No-Fade, Restoration, and Closure</w:t>
      </w:r>
      <w:bookmarkEnd w:id="901726"/>
    </w:p>
    <w:p>
      <w:pPr>
        <w:pStyle w:val="Normal"/>
      </w:pPr>
      <w:r>
        <w:t>FS04-F01. Completion Lock and Successor-Measure Integrity. A Completed Agricultural Settlement State remains the controlling FS-04 state after the transition that created it has ended. The passage of time, arrival of a review date, expiration of an implementation work plan, closure of a technical committee, or replacement of the administering legal vehicle does not return the product to an earlier transition stage. A Party does not recreate a completed transitional burden in substantially equivalent form merely by changing its name, tariff code, administering agency, licence form, documentary vehicle, or other administrative packaging. A completed zero line or scheduled access state changes only under independent legal authority sufficient to alter that completed settlement state.</w:t>
      </w:r>
    </w:p>
    <w:p>
      <w:pPr>
        <w:pStyle w:val="Normal"/>
      </w:pPr>
      <w:r>
        <w:t>FS04-F02. No Clock Reset. A classification update, administrative correction, verification dispute, temporary emergency measure, change of responsible agency, replacement of an implementing form, or successor administrative instrument does not restart an FS-04 transition clock unless the controlling adopted term expressly authorizes a restart. A permitted pause affects only the period and products within its stated scope. Time already lawfully completed remains credited after the pause unless the controlling authority expressly provides otherwise. A review therefore examines performance without silently recreating elapsed transition time or reviving a completed stage.</w:t>
      </w:r>
    </w:p>
    <w:p>
      <w:pPr>
        <w:pStyle w:val="Normal"/>
      </w:pPr>
      <w:r>
        <w:t>FS04-F03. No-Fade of Durable Settlement States. A tariff or market-access state that becomes durable under an Adopted FS-04 Settlement Row does not diminish merely because it is not used continuously, aggregate access is underfilled, trade patterns change, or a scheduled review occurs. This no-fade protection attaches to the scheduled settlement state and does not convert an individual licence, allocation share, application priority, unused quantity, or other time-limited administrative entitlement into a perpetual vested right unless the controlling instrument expressly makes that entitlement durable. Underutilization may support factual review, reallocation, correction, or another response where existing law permits, but does not itself prove obstruction or authorize deterioration of the underlying settlement commitment. A Party seeking to alter a durable settlement state uses the amendment, adjustment, emergency, dispute, or other independent authority actually applicable to that change.</w:t>
      </w:r>
    </w:p>
    <w:p>
      <w:pPr>
        <w:pStyle w:val="Normal"/>
      </w:pPr>
      <w:r>
        <w:t>FS04-F04. Temporary Step-Back and Automatic Restoration. Where existing Cothrom or agricultural administrative-barrier provisions authorize a temporary step-back, the measure remains confined to the affected benefit, product, actor, and duration permitted by that authority. Cure becomes verified, final, or reviewable according to the evidentiary and finality rules of the controlling Cothrom or agricultural procedure rather than a separate FS-04 standard. Once the controlling architecture treats cure as verified and makes earn-back or restoration automatic, restoration occurs without a new political bargain and returns the affected treatment to the state that would otherwise apply under the adopted FS-04 settlement. A temporary step-back does not erase completed transition history, create a new baseline, or reopen a completed settlement state beyond the authority that permitted the step-back.</w:t>
      </w:r>
    </w:p>
    <w:p>
      <w:pPr>
        <w:pStyle w:val="Normal"/>
      </w:pPr>
      <w:r>
        <w:t>FS04-F05. Review and Amendment Discipline. An FS-04 review may assess implementation, utilization, commercial usability, administrative burden, transition performance, data quality, and interaction with NAAFTC or another agricultural instrument. Review alone does not amend a tariff rate, access quantity, completed transition state, incorporation term, or other substantive field reserved to a specified amendment or adoption procedure. Technical corrections may repair clerical, correlation, or provenance errors where they do not change substantive legal effect. A substantive change uses the legal procedure identified by the controlling commitment.</w:t>
      </w:r>
    </w:p>
    <w:p>
      <w:pPr>
        <w:pStyle w:val="Normal"/>
      </w:pPr>
      <w:r>
        <w:t>FS04-F06. Closure Record. Each Adopted FS-04 Transition Row identifies the event that closes the transition and the permanent or continuing provisions that survive closure. The closure record states the Completed Agricultural Settlement State, continuing administrative interfaces, any surviving NAAFTC incorporation, and any temporary measure that remains independently in force. Closure does not extinguish accrued rights, pending disputes, cure rights, restoration rights, or obligations expressly designated to survive. The Secretariat or other designated recordkeeper maintains the closure record as an implementation reference and does not acquire authority to alter the underlying settlement through recordkeeping.</w:t>
      </w:r>
    </w:p>
    <w:p>
      <w:pPr>
        <w:pStyle w:val="Heading2"/>
      </w:pPr>
      <w:bookmarkStart w:id="901727" w:name="_Toc300001726"/>
      <w:r>
        <w:rPr>
          <w:b/>
        </w:rPr>
        <w:t>Schedule FS-04-A: Agricultural Final Settlement Schedule</w:t>
      </w:r>
      <w:bookmarkEnd w:id="901727"/>
    </w:p>
    <w:tbl>
      <w:tblPr>
        <w:tblStyle w:val="TableGrid"/>
        <w:tblW w:type="pct" w:w="500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909"/>
        <w:gridCol w:w="909"/>
        <w:gridCol w:w="909"/>
        <w:gridCol w:w="909"/>
        <w:gridCol w:w="909"/>
        <w:gridCol w:w="909"/>
        <w:gridCol w:w="909"/>
        <w:gridCol w:w="909"/>
        <w:gridCol w:w="909"/>
        <w:gridCol w:w="909"/>
        <w:gridCol w:w="909"/>
      </w:tblGrid>
      <w:tr>
        <w:trPr>
          <w:tblHeader w:val="true"/>
        </w:trPr>
        <w:tc>
          <w:tcPr>
            <w:tcW w:type="dxa" w:w="909"/>
            <w:shd w:fill="ECEFF1" w:val="clear" w:color="auto"/>
            <w:tcMar>
              <w:top w:w="60" w:type="dxa"/>
              <w:start w:w="60" w:type="dxa"/>
              <w:bottom w:w="60" w:type="dxa"/>
              <w:end w:w="60" w:type="dxa"/>
            </w:tcMar>
            <w:vAlign w:val="center"/>
          </w:tcPr>
          <w:p>
            <w:pPr>
              <w:pStyle w:val="TableText"/>
            </w:pPr>
            <w:r>
              <w:rPr/>
            </w:r>
            <w:r>
              <w:rPr>
                <w:b/>
              </w:rPr>
              <w:t>Adoption Status</w:t>
            </w:r>
          </w:p>
        </w:tc>
        <w:tc>
          <w:tcPr>
            <w:tcW w:type="dxa" w:w="909"/>
            <w:shd w:fill="ECEFF1" w:val="clear" w:color="auto"/>
            <w:tcMar>
              <w:top w:w="60" w:type="dxa"/>
              <w:start w:w="60" w:type="dxa"/>
              <w:bottom w:w="60" w:type="dxa"/>
              <w:end w:w="60" w:type="dxa"/>
            </w:tcMar>
            <w:vAlign w:val="center"/>
          </w:tcPr>
          <w:p>
            <w:pPr>
              <w:pStyle w:val="TableText"/>
            </w:pPr>
            <w:r>
              <w:rPr/>
              <w:t>Agricultural Classification Record</w:t>
            </w:r>
          </w:p>
        </w:tc>
        <w:tc>
          <w:tcPr>
            <w:tcW w:type="dxa" w:w="909"/>
            <w:shd w:fill="ECEFF1" w:val="clear" w:color="auto"/>
            <w:tcMar>
              <w:top w:w="60" w:type="dxa"/>
              <w:start w:w="60" w:type="dxa"/>
              <w:bottom w:w="60" w:type="dxa"/>
              <w:end w:w="60" w:type="dxa"/>
            </w:tcMar>
            <w:vAlign w:val="center"/>
          </w:tcPr>
          <w:p>
            <w:pPr>
              <w:pStyle w:val="TableText"/>
            </w:pPr>
            <w:r>
              <w:rPr/>
            </w:r>
            <w:r>
              <w:rPr>
                <w:b/>
              </w:rPr>
              <w:t>Parties</w:t>
            </w:r>
          </w:p>
        </w:tc>
        <w:tc>
          <w:tcPr>
            <w:tcW w:type="dxa" w:w="909"/>
            <w:shd w:fill="ECEFF1" w:val="clear" w:color="auto"/>
            <w:tcMar>
              <w:top w:w="60" w:type="dxa"/>
              <w:start w:w="60" w:type="dxa"/>
              <w:bottom w:w="60" w:type="dxa"/>
              <w:end w:w="60" w:type="dxa"/>
            </w:tcMar>
            <w:vAlign w:val="center"/>
          </w:tcPr>
          <w:p>
            <w:pPr>
              <w:pStyle w:val="TableText"/>
            </w:pPr>
            <w:r>
              <w:rPr/>
            </w:r>
            <w:r>
              <w:rPr>
                <w:b/>
              </w:rPr>
              <w:t>Verified Baseline State</w:t>
            </w:r>
          </w:p>
        </w:tc>
        <w:tc>
          <w:tcPr>
            <w:tcW w:type="dxa" w:w="909"/>
            <w:shd w:fill="ECEFF1" w:val="clear" w:color="auto"/>
            <w:tcMar>
              <w:top w:w="60" w:type="dxa"/>
              <w:start w:w="60" w:type="dxa"/>
              <w:bottom w:w="60" w:type="dxa"/>
              <w:end w:w="60" w:type="dxa"/>
            </w:tcMar>
            <w:vAlign w:val="center"/>
          </w:tcPr>
          <w:p>
            <w:pPr>
              <w:pStyle w:val="TableText"/>
            </w:pPr>
            <w:r>
              <w:rPr/>
            </w:r>
            <w:r>
              <w:rPr>
                <w:b/>
              </w:rPr>
              <w:t>Selected Final State</w:t>
            </w:r>
          </w:p>
        </w:tc>
        <w:tc>
          <w:tcPr>
            <w:tcW w:type="dxa" w:w="909"/>
            <w:shd w:fill="ECEFF1" w:val="clear" w:color="auto"/>
            <w:tcMar>
              <w:top w:w="60" w:type="dxa"/>
              <w:start w:w="60" w:type="dxa"/>
              <w:bottom w:w="60" w:type="dxa"/>
              <w:end w:w="60" w:type="dxa"/>
            </w:tcMar>
            <w:vAlign w:val="center"/>
          </w:tcPr>
          <w:p>
            <w:pPr>
              <w:pStyle w:val="TableText"/>
            </w:pPr>
            <w:r>
              <w:rPr/>
            </w:r>
            <w:r>
              <w:rPr>
                <w:b/>
              </w:rPr>
              <w:t>Managed-Access Terms</w:t>
            </w:r>
          </w:p>
        </w:tc>
        <w:tc>
          <w:tcPr>
            <w:tcW w:type="dxa" w:w="909"/>
            <w:shd w:fill="ECEFF1" w:val="clear" w:color="auto"/>
            <w:tcMar>
              <w:top w:w="60" w:type="dxa"/>
              <w:start w:w="60" w:type="dxa"/>
              <w:bottom w:w="60" w:type="dxa"/>
              <w:end w:w="60" w:type="dxa"/>
            </w:tcMar>
            <w:vAlign w:val="center"/>
          </w:tcPr>
          <w:p>
            <w:pPr>
              <w:pStyle w:val="TableText"/>
            </w:pPr>
            <w:r>
              <w:rPr/>
            </w:r>
            <w:r>
              <w:rPr>
                <w:b/>
              </w:rPr>
              <w:t>Effective Date / Condition</w:t>
            </w:r>
          </w:p>
        </w:tc>
        <w:tc>
          <w:tcPr>
            <w:tcW w:type="dxa" w:w="909"/>
            <w:shd w:fill="ECEFF1" w:val="clear" w:color="auto"/>
            <w:tcMar>
              <w:top w:w="60" w:type="dxa"/>
              <w:start w:w="60" w:type="dxa"/>
              <w:bottom w:w="60" w:type="dxa"/>
              <w:end w:w="60" w:type="dxa"/>
            </w:tcMar>
            <w:vAlign w:val="center"/>
          </w:tcPr>
          <w:p>
            <w:pPr>
              <w:pStyle w:val="TableText"/>
            </w:pPr>
            <w:r>
              <w:rPr/>
              <w:t>FS-04 Legal Activation Mode</w:t>
            </w:r>
          </w:p>
        </w:tc>
        <w:tc>
          <w:tcPr>
            <w:tcW w:type="dxa" w:w="909"/>
            <w:shd w:fill="ECEFF1" w:val="clear" w:color="auto"/>
            <w:tcMar>
              <w:top w:w="60" w:type="dxa"/>
              <w:start w:w="60" w:type="dxa"/>
              <w:bottom w:w="60" w:type="dxa"/>
              <w:end w:w="60" w:type="dxa"/>
            </w:tcMar>
            <w:vAlign w:val="center"/>
          </w:tcPr>
          <w:p>
            <w:pPr>
              <w:pStyle w:val="TableText"/>
            </w:pPr>
            <w:r>
              <w:rPr/>
            </w:r>
            <w:r>
              <w:rPr>
                <w:b/>
              </w:rPr>
              <w:t>Specific Legal Authority</w:t>
            </w:r>
          </w:p>
        </w:tc>
        <w:tc>
          <w:tcPr>
            <w:tcW w:type="dxa" w:w="909"/>
            <w:shd w:fill="ECEFF1" w:val="clear" w:color="auto"/>
            <w:tcMar>
              <w:top w:w="60" w:type="dxa"/>
              <w:start w:w="60" w:type="dxa"/>
              <w:bottom w:w="60" w:type="dxa"/>
              <w:end w:w="60" w:type="dxa"/>
            </w:tcMar>
            <w:vAlign w:val="center"/>
          </w:tcPr>
          <w:p>
            <w:pPr>
              <w:pStyle w:val="TableText"/>
            </w:pPr>
            <w:r>
              <w:rPr/>
            </w:r>
            <w:r>
              <w:rPr>
                <w:b/>
              </w:rPr>
              <w:t>Existing Admin Interface</w:t>
            </w:r>
          </w:p>
        </w:tc>
        <w:tc>
          <w:tcPr>
            <w:tcW w:type="dxa" w:w="909"/>
            <w:shd w:fill="ECEFF1" w:val="clear" w:color="auto"/>
            <w:tcMar>
              <w:top w:w="60" w:type="dxa"/>
              <w:start w:w="60" w:type="dxa"/>
              <w:bottom w:w="60" w:type="dxa"/>
              <w:end w:w="60" w:type="dxa"/>
            </w:tcMar>
            <w:vAlign w:val="center"/>
          </w:tcPr>
          <w:p>
            <w:pPr>
              <w:pStyle w:val="TableText"/>
            </w:pPr>
            <w:r>
              <w:rPr/>
            </w:r>
            <w:r>
              <w:rPr>
                <w:b/>
              </w:rPr>
              <w:t>Authoritative Source / Provenance</w:t>
            </w:r>
          </w:p>
        </w:tc>
      </w:tr>
      <w:tr>
        <w:tc>
          <w:tcPr>
            <w:tcW w:type="dxa" w:w="909"/>
            <w:tcMar>
              <w:top w:w="60" w:type="dxa"/>
              <w:start w:w="60" w:type="dxa"/>
              <w:bottom w:w="60" w:type="dxa"/>
              <w:end w:w="60" w:type="dxa"/>
            </w:tcMar>
            <w:vAlign w:val="center"/>
          </w:tcPr>
          <w:p>
            <w:pPr>
              <w:pStyle w:val="TableText"/>
            </w:pPr>
            <w:r>
              <w:rPr/>
              <w:t>DRAFT: VERIFY BEFORE LEGAL SCRUB</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[CA/US/MX]</w:t>
            </w:r>
          </w:p>
        </w:tc>
        <w:tc>
          <w:tcPr>
            <w:tcW w:type="dxa" w:w="909"/>
            <w:tcMar>
              <w:top w:w="60" w:type="dxa"/>
              <w:start w:w="60" w:type="dxa"/>
              <w:bottom w:w="60" w:type="dxa"/>
              <w:end w:w="60" w:type="dxa"/>
            </w:tcMar>
            <w:vAlign w:val="center"/>
          </w:tcPr>
          <w:p>
            <w:pPr>
              <w:pStyle w:val="TableText"/>
            </w:pPr>
            <w:r>
              <w:rPr/>
            </w:r>
            <w:r>
              <w:rPr>
                <w:b w:val="0"/>
              </w:rPr>
              <w:t>[MFN / preferential / TRQ / zero / other]</w:t>
            </w:r>
          </w:p>
        </w:tc>
        <w:tc>
          <w:tcPr>
            <w:tcW w:type="dxa" w:w="909"/>
            <w:tcMar>
              <w:top w:w="60" w:type="dxa"/>
              <w:start w:w="60" w:type="dxa"/>
              <w:bottom w:w="60" w:type="dxa"/>
              <w:end w:w="60" w:type="dxa"/>
            </w:tcMar>
            <w:vAlign w:val="center"/>
          </w:tcPr>
          <w:p>
            <w:pPr>
              <w:pStyle w:val="TableText"/>
            </w:pPr>
            <w:r>
              <w:rPr/>
            </w:r>
            <w:r>
              <w:rPr>
                <w:b w:val="0"/>
              </w:rPr>
              <w:t>[Preserve / zero / managed access / other]</w:t>
            </w:r>
          </w:p>
        </w:tc>
        <w:tc>
          <w:tcPr>
            <w:tcW w:type="dxa" w:w="909"/>
            <w:tcMar>
              <w:top w:w="60" w:type="dxa"/>
              <w:start w:w="60" w:type="dxa"/>
              <w:bottom w:w="60" w:type="dxa"/>
              <w:end w:w="60" w:type="dxa"/>
            </w:tcMar>
            <w:vAlign w:val="center"/>
          </w:tcPr>
          <w:p>
            <w:pPr>
              <w:pStyle w:val="TableText"/>
            </w:pPr>
            <w:r>
              <w:rPr/>
            </w:r>
            <w:r>
              <w:rPr>
                <w:b w:val="0"/>
              </w:rPr>
              <w:t>[Quantity; within-access; over-access, if applicable]</w:t>
            </w:r>
          </w:p>
        </w:tc>
        <w:tc>
          <w:tcPr>
            <w:tcW w:type="dxa" w:w="909"/>
            <w:tcMar>
              <w:top w:w="60" w:type="dxa"/>
              <w:start w:w="60" w:type="dxa"/>
              <w:bottom w:w="60" w:type="dxa"/>
              <w:end w:w="60" w:type="dxa"/>
            </w:tcMar>
            <w:vAlign w:val="center"/>
          </w:tcPr>
          <w:p>
            <w:pPr>
              <w:pStyle w:val="TableText"/>
            </w:pPr>
            <w:r>
              <w:rPr/>
            </w:r>
            <w:r>
              <w:rPr>
                <w:b w:val="0"/>
              </w:rPr>
              <w:t>[Date / objective condition]</w:t>
            </w:r>
          </w:p>
        </w:tc>
        <w:tc>
          <w:tcPr>
            <w:tcW w:type="dxa" w:w="909"/>
            <w:tcMar>
              <w:top w:w="60" w:type="dxa"/>
              <w:start w:w="60" w:type="dxa"/>
              <w:bottom w:w="60" w:type="dxa"/>
              <w:end w:w="60" w:type="dxa"/>
            </w:tcMar>
            <w:vAlign w:val="center"/>
          </w:tcPr>
          <w:p>
            <w:pPr>
              <w:pStyle w:val="TableText"/>
            </w:pPr>
            <w:r>
              <w:rPr/>
            </w:r>
            <w:r>
              <w:rPr>
                <w:b w:val="0"/>
              </w:rPr>
              <w:t>[Immediate / transition / incorporation / other]</w:t>
            </w:r>
          </w:p>
        </w:tc>
        <w:tc>
          <w:tcPr>
            <w:tcW w:type="dxa" w:w="909"/>
            <w:tcMar>
              <w:top w:w="60" w:type="dxa"/>
              <w:start w:w="60" w:type="dxa"/>
              <w:bottom w:w="60" w:type="dxa"/>
              <w:end w:w="60" w:type="dxa"/>
            </w:tcMar>
            <w:vAlign w:val="center"/>
          </w:tcPr>
          <w:p>
            <w:pPr>
              <w:pStyle w:val="TableText"/>
            </w:pPr>
            <w:r>
              <w:rPr/>
            </w:r>
            <w:r>
              <w:rPr>
                <w:b w:val="0"/>
              </w:rPr>
              <w:t>[Provision / schedule / instrument]</w:t>
            </w:r>
          </w:p>
        </w:tc>
        <w:tc>
          <w:tcPr>
            <w:tcW w:type="dxa" w:w="909"/>
            <w:tcMar>
              <w:top w:w="60" w:type="dxa"/>
              <w:start w:w="60" w:type="dxa"/>
              <w:bottom w:w="60" w:type="dxa"/>
              <w:end w:w="60" w:type="dxa"/>
            </w:tcMar>
            <w:vAlign w:val="center"/>
          </w:tcPr>
          <w:p>
            <w:pPr>
              <w:pStyle w:val="TableText"/>
            </w:pPr>
            <w:r>
              <w:rPr/>
            </w:r>
            <w:r>
              <w:rPr>
                <w:b w:val="0"/>
              </w:rPr>
              <w:t>[Ch. 43 / Art. 49.3 / other]</w:t>
            </w:r>
          </w:p>
        </w:tc>
        <w:tc>
          <w:tcPr>
            <w:tcW w:type="dxa" w:w="909"/>
            <w:tcMar>
              <w:top w:w="60" w:type="dxa"/>
              <w:start w:w="60" w:type="dxa"/>
              <w:bottom w:w="60" w:type="dxa"/>
              <w:end w:w="60" w:type="dxa"/>
            </w:tcMar>
            <w:vAlign w:val="center"/>
          </w:tcPr>
          <w:p>
            <w:pPr>
              <w:pStyle w:val="TableText"/>
            </w:pPr>
            <w:r>
              <w:rPr/>
            </w:r>
            <w:r>
              <w:rPr>
                <w:b w:val="0"/>
              </w:rPr>
              <w:t>[Official source / date / derivation]</w:t>
            </w:r>
          </w:p>
        </w:tc>
      </w:tr>
      <w:tr>
        <w:tc>
          <w:tcPr>
            <w:tcW w:type="dxa" w:w="909"/>
            <w:tcMar>
              <w:top w:w="60" w:type="dxa"/>
              <w:start w:w="60" w:type="dxa"/>
              <w:bottom w:w="60" w:type="dxa"/>
              <w:end w:w="60" w:type="dxa"/>
            </w:tcMar>
            <w:vAlign w:val="center"/>
          </w:tcPr>
          <w:p>
            <w:pPr>
              <w:pStyle w:val="TableText"/>
            </w:pPr>
            <w:r>
              <w:rPr/>
            </w:r>
            <w:r>
              <w:rPr>
                <w:b w:val="0"/>
              </w:rPr>
              <w:t>NOT ADOPTED</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r>
      <w:tr>
        <w:tc>
          <w:tcPr>
            <w:tcW w:type="dxa" w:w="909"/>
            <w:tcMar>
              <w:top w:w="60" w:type="dxa"/>
              <w:start w:w="60" w:type="dxa"/>
              <w:bottom w:w="60" w:type="dxa"/>
              <w:end w:w="60" w:type="dxa"/>
            </w:tcMar>
            <w:vAlign w:val="center"/>
          </w:tcPr>
          <w:p>
            <w:pPr>
              <w:pStyle w:val="TableText"/>
            </w:pPr>
            <w:r>
              <w:rPr/>
            </w:r>
            <w:r>
              <w:rPr>
                <w:b w:val="0"/>
              </w:rPr>
              <w:t>NOT ADOPTED</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r>
      <w:tr>
        <w:tc>
          <w:tcPr>
            <w:tcW w:type="dxa" w:w="909"/>
            <w:tcMar>
              <w:top w:w="60" w:type="dxa"/>
              <w:start w:w="60" w:type="dxa"/>
              <w:bottom w:w="60" w:type="dxa"/>
              <w:end w:w="60" w:type="dxa"/>
            </w:tcMar>
            <w:vAlign w:val="center"/>
          </w:tcPr>
          <w:p>
            <w:pPr>
              <w:pStyle w:val="TableText"/>
            </w:pPr>
            <w:r>
              <w:rPr/>
            </w:r>
            <w:r>
              <w:rPr>
                <w:b w:val="0"/>
              </w:rPr>
              <w:t>NOT ADOPTED</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r>
    </w:tbl>
    <w:p>
      <w:pPr>
        <w:pStyle w:val="Heading2"/>
      </w:pPr>
      <w:bookmarkStart w:id="901728" w:name="_Toc300001727"/>
      <w:r>
        <w:rPr>
          <w:b/>
        </w:rPr>
        <w:t>Schedule FS-04-B: Agricultural Transition and Completion Schedule</w:t>
      </w:r>
      <w:bookmarkEnd w:id="901728"/>
    </w:p>
    <w:tbl>
      <w:tblPr>
        <w:tblStyle w:val="TableGrid"/>
        <w:tblW w:type="pct" w:w="500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999"/>
        <w:gridCol w:w="999"/>
        <w:gridCol w:w="999"/>
        <w:gridCol w:w="999"/>
        <w:gridCol w:w="999"/>
        <w:gridCol w:w="999"/>
        <w:gridCol w:w="999"/>
        <w:gridCol w:w="999"/>
        <w:gridCol w:w="999"/>
        <w:gridCol w:w="999"/>
        <w:gridCol w:w="1600"/>
      </w:tblGrid>
      <w:tr>
        <w:trPr>
          <w:tblHeader w:val="true"/>
        </w:trPr>
        <w:tc>
          <w:tcPr>
            <w:tcW w:type="dxa" w:w="999"/>
            <w:shd w:fill="ECEFF1" w:val="clear" w:color="auto"/>
            <w:tcMar>
              <w:top w:w="60" w:type="dxa"/>
              <w:start w:w="60" w:type="dxa"/>
              <w:bottom w:w="60" w:type="dxa"/>
              <w:end w:w="60" w:type="dxa"/>
            </w:tcMar>
            <w:vAlign w:val="center"/>
          </w:tcPr>
          <w:p>
            <w:pPr>
              <w:pStyle w:val="TableText"/>
            </w:pPr>
            <w:r>
              <w:rPr/>
              <w:t>Adoption Status</w:t>
            </w:r>
          </w:p>
        </w:tc>
        <w:tc>
          <w:tcPr>
            <w:tcW w:type="dxa" w:w="999"/>
            <w:shd w:fill="ECEFF1" w:val="clear" w:color="auto"/>
            <w:tcMar>
              <w:top w:w="60" w:type="dxa"/>
              <w:start w:w="60" w:type="dxa"/>
              <w:bottom w:w="60" w:type="dxa"/>
              <w:end w:w="60" w:type="dxa"/>
            </w:tcMar>
            <w:vAlign w:val="center"/>
          </w:tcPr>
          <w:p>
            <w:pPr>
              <w:pStyle w:val="TableText"/>
            </w:pPr>
            <w:r>
              <w:rPr/>
              <w:t>FS-04-A Row</w:t>
            </w:r>
          </w:p>
        </w:tc>
        <w:tc>
          <w:tcPr>
            <w:tcW w:type="dxa" w:w="999"/>
            <w:shd w:fill="ECEFF1" w:val="clear" w:color="auto"/>
            <w:tcMar>
              <w:top w:w="60" w:type="dxa"/>
              <w:start w:w="60" w:type="dxa"/>
              <w:bottom w:w="60" w:type="dxa"/>
              <w:end w:w="60" w:type="dxa"/>
            </w:tcMar>
            <w:vAlign w:val="center"/>
          </w:tcPr>
          <w:p>
            <w:pPr>
              <w:pStyle w:val="TableText"/>
            </w:pPr>
            <w:r>
              <w:rPr/>
              <w:t>Transition Pathway</w:t>
            </w:r>
          </w:p>
        </w:tc>
        <w:tc>
          <w:tcPr>
            <w:tcW w:type="dxa" w:w="999"/>
            <w:shd w:fill="ECEFF1" w:val="clear" w:color="auto"/>
            <w:tcMar>
              <w:top w:w="60" w:type="dxa"/>
              <w:start w:w="60" w:type="dxa"/>
              <w:bottom w:w="60" w:type="dxa"/>
              <w:end w:w="60" w:type="dxa"/>
            </w:tcMar>
            <w:vAlign w:val="center"/>
          </w:tcPr>
          <w:p>
            <w:pPr>
              <w:pStyle w:val="TableText"/>
            </w:pPr>
            <w:r>
              <w:rPr/>
              <w:t>Baseline Stage</w:t>
            </w:r>
          </w:p>
        </w:tc>
        <w:tc>
          <w:tcPr>
            <w:tcW w:type="dxa" w:w="999"/>
            <w:shd w:fill="ECEFF1" w:val="clear" w:color="auto"/>
            <w:tcMar>
              <w:top w:w="60" w:type="dxa"/>
              <w:start w:w="60" w:type="dxa"/>
              <w:bottom w:w="60" w:type="dxa"/>
              <w:end w:w="60" w:type="dxa"/>
            </w:tcMar>
            <w:vAlign w:val="center"/>
          </w:tcPr>
          <w:p>
            <w:pPr>
              <w:pStyle w:val="TableText"/>
            </w:pPr>
            <w:r>
              <w:rPr/>
              <w:t>Intermediate Stage(s)</w:t>
            </w:r>
          </w:p>
        </w:tc>
        <w:tc>
          <w:tcPr>
            <w:tcW w:type="dxa" w:w="999"/>
            <w:shd w:fill="ECEFF1" w:val="clear" w:color="auto"/>
            <w:tcMar>
              <w:top w:w="60" w:type="dxa"/>
              <w:start w:w="60" w:type="dxa"/>
              <w:bottom w:w="60" w:type="dxa"/>
              <w:end w:w="60" w:type="dxa"/>
            </w:tcMar>
            <w:vAlign w:val="center"/>
          </w:tcPr>
          <w:p>
            <w:pPr>
              <w:pStyle w:val="TableText"/>
            </w:pPr>
            <w:r>
              <w:rPr/>
              <w:t>Final Stage</w:t>
            </w:r>
          </w:p>
        </w:tc>
        <w:tc>
          <w:tcPr>
            <w:tcW w:type="dxa" w:w="999"/>
            <w:shd w:fill="ECEFF1" w:val="clear" w:color="auto"/>
            <w:tcMar>
              <w:top w:w="60" w:type="dxa"/>
              <w:start w:w="60" w:type="dxa"/>
              <w:bottom w:w="60" w:type="dxa"/>
              <w:end w:w="60" w:type="dxa"/>
            </w:tcMar>
            <w:vAlign w:val="center"/>
          </w:tcPr>
          <w:p>
            <w:pPr>
              <w:pStyle w:val="TableText"/>
            </w:pPr>
            <w:r>
              <w:rPr/>
              <w:t>Trigger / Clock</w:t>
            </w:r>
          </w:p>
        </w:tc>
        <w:tc>
          <w:tcPr>
            <w:tcW w:type="dxa" w:w="1600"/>
          </w:tcPr>
          <w:p>
            <w:pPr>
              <w:pStyle w:val="TableText"/>
            </w:pPr>
            <w:r>
              <w:rPr/>
              <w:t>Specific Transition Legal Authority</w:t>
            </w:r>
          </w:p>
        </w:tc>
        <w:tc>
          <w:tcPr>
            <w:tcW w:type="dxa" w:w="999"/>
            <w:shd w:fill="ECEFF1" w:val="clear" w:color="auto"/>
            <w:tcMar>
              <w:top w:w="60" w:type="dxa"/>
              <w:start w:w="60" w:type="dxa"/>
              <w:bottom w:w="60" w:type="dxa"/>
              <w:end w:w="60" w:type="dxa"/>
            </w:tcMar>
            <w:vAlign w:val="center"/>
          </w:tcPr>
          <w:p>
            <w:pPr>
              <w:pStyle w:val="TableText"/>
            </w:pPr>
            <w:r>
              <w:rPr/>
              <w:t>Adjustment Authority</w:t>
            </w:r>
          </w:p>
        </w:tc>
        <w:tc>
          <w:tcPr>
            <w:tcW w:type="dxa" w:w="999"/>
            <w:shd w:fill="ECEFF1" w:val="clear" w:color="auto"/>
            <w:tcMar>
              <w:top w:w="60" w:type="dxa"/>
              <w:start w:w="60" w:type="dxa"/>
              <w:bottom w:w="60" w:type="dxa"/>
              <w:end w:w="60" w:type="dxa"/>
            </w:tcMar>
            <w:vAlign w:val="center"/>
          </w:tcPr>
          <w:p>
            <w:pPr>
              <w:pStyle w:val="TableText"/>
            </w:pPr>
            <w:r>
              <w:rPr/>
              <w:t>Completion Event</w:t>
            </w:r>
          </w:p>
        </w:tc>
        <w:tc>
          <w:tcPr>
            <w:tcW w:type="dxa" w:w="999"/>
            <w:shd w:fill="ECEFF1" w:val="clear" w:color="auto"/>
            <w:tcMar>
              <w:top w:w="60" w:type="dxa"/>
              <w:start w:w="60" w:type="dxa"/>
              <w:bottom w:w="60" w:type="dxa"/>
              <w:end w:w="60" w:type="dxa"/>
            </w:tcMar>
            <w:vAlign w:val="center"/>
          </w:tcPr>
          <w:p>
            <w:pPr>
              <w:pStyle w:val="TableText"/>
            </w:pPr>
            <w:r>
              <w:rPr/>
              <w:t>No-Fade / Restoration State</w:t>
            </w:r>
          </w:p>
        </w:tc>
      </w:tr>
      <w:tr>
        <w:tc>
          <w:tcPr>
            <w:tcW w:type="dxa" w:w="999"/>
            <w:tcMar>
              <w:top w:w="60" w:type="dxa"/>
              <w:start w:w="60" w:type="dxa"/>
              <w:bottom w:w="60" w:type="dxa"/>
              <w:end w:w="60" w:type="dxa"/>
            </w:tcMar>
            <w:vAlign w:val="center"/>
          </w:tcPr>
          <w:p>
            <w:pPr>
              <w:pStyle w:val="TableText"/>
            </w:pPr>
            <w:r>
              <w:rPr/>
              <w:t>DRAFT: VERIFY BEFORE LEGAL SCRUB</w:t>
            </w:r>
          </w:p>
        </w:tc>
        <w:tc>
          <w:tcPr>
            <w:tcW w:type="dxa" w:w="999"/>
            <w:tcMar>
              <w:top w:w="60" w:type="dxa"/>
              <w:start w:w="60" w:type="dxa"/>
              <w:bottom w:w="60" w:type="dxa"/>
              <w:end w:w="60" w:type="dxa"/>
            </w:tcMar>
            <w:vAlign w:val="center"/>
          </w:tcPr>
          <w:p>
            <w:pPr>
              <w:pStyle w:val="TableText"/>
            </w:pPr>
            <w:r>
              <w:rPr/>
            </w:r>
            <w:r>
              <w:rPr>
                <w:b w:val="0"/>
              </w:rPr>
              <w:t>[Row ID]</w:t>
            </w:r>
          </w:p>
        </w:tc>
        <w:tc>
          <w:tcPr>
            <w:tcW w:type="dxa" w:w="999"/>
            <w:tcMar>
              <w:top w:w="60" w:type="dxa"/>
              <w:start w:w="60" w:type="dxa"/>
              <w:bottom w:w="60" w:type="dxa"/>
              <w:end w:w="60" w:type="dxa"/>
            </w:tcMar>
            <w:vAlign w:val="center"/>
          </w:tcPr>
          <w:p>
            <w:pPr>
              <w:pStyle w:val="TableText"/>
            </w:pPr>
            <w:r>
              <w:rPr/>
            </w:r>
            <w:r>
              <w:rPr>
                <w:b w:val="0"/>
              </w:rPr>
              <w:t>[Immediate / NAESTMA scheduled / managed access / NAAFTC-compatible / other]</w:t>
            </w:r>
          </w:p>
        </w:tc>
        <w:tc>
          <w:tcPr>
            <w:tcW w:type="dxa" w:w="999"/>
            <w:tcMar>
              <w:top w:w="60" w:type="dxa"/>
              <w:start w:w="60" w:type="dxa"/>
              <w:bottom w:w="60" w:type="dxa"/>
              <w:end w:w="60" w:type="dxa"/>
            </w:tcMar>
            <w:vAlign w:val="center"/>
          </w:tcPr>
          <w:p>
            <w:pPr>
              <w:pStyle w:val="TableText"/>
            </w:pPr>
            <w:r>
              <w:rPr/>
            </w:r>
            <w:r>
              <w:rPr>
                <w:b w:val="0"/>
              </w:rPr>
              <w:t>[State]</w:t>
            </w:r>
          </w:p>
        </w:tc>
        <w:tc>
          <w:tcPr>
            <w:tcW w:type="dxa" w:w="999"/>
            <w:tcMar>
              <w:top w:w="60" w:type="dxa"/>
              <w:start w:w="60" w:type="dxa"/>
              <w:bottom w:w="60" w:type="dxa"/>
              <w:end w:w="60" w:type="dxa"/>
            </w:tcMar>
            <w:vAlign w:val="center"/>
          </w:tcPr>
          <w:p>
            <w:pPr>
              <w:pStyle w:val="TableText"/>
            </w:pPr>
            <w:r>
              <w:rPr/>
            </w:r>
            <w:r>
              <w:rPr>
                <w:b w:val="0"/>
              </w:rPr>
              <w:t>[Stage + treatment + trigger]</w:t>
            </w:r>
          </w:p>
        </w:tc>
        <w:tc>
          <w:tcPr>
            <w:tcW w:type="dxa" w:w="999"/>
            <w:tcMar>
              <w:top w:w="60" w:type="dxa"/>
              <w:start w:w="60" w:type="dxa"/>
              <w:bottom w:w="60" w:type="dxa"/>
              <w:end w:w="60" w:type="dxa"/>
            </w:tcMar>
            <w:vAlign w:val="center"/>
          </w:tcPr>
          <w:p>
            <w:pPr>
              <w:pStyle w:val="TableText"/>
            </w:pPr>
            <w:r>
              <w:rPr/>
            </w:r>
            <w:r>
              <w:rPr>
                <w:b w:val="0"/>
              </w:rPr>
              <w:t>[Completed state]</w:t>
            </w:r>
          </w:p>
        </w:tc>
        <w:tc>
          <w:tcPr>
            <w:tcW w:type="dxa" w:w="999"/>
            <w:tcMar>
              <w:top w:w="60" w:type="dxa"/>
              <w:start w:w="60" w:type="dxa"/>
              <w:bottom w:w="60" w:type="dxa"/>
              <w:end w:w="60" w:type="dxa"/>
            </w:tcMar>
            <w:vAlign w:val="center"/>
          </w:tcPr>
          <w:p>
            <w:pPr>
              <w:pStyle w:val="TableText"/>
            </w:pPr>
            <w:r>
              <w:rPr/>
            </w:r>
            <w:r>
              <w:rPr>
                <w:b w:val="0"/>
              </w:rPr>
              <w:t>[Objective trigger / period]</w:t>
            </w:r>
          </w:p>
        </w:tc>
        <w:tc>
          <w:tcPr>
            <w:tcW w:type="dxa" w:w="1600"/>
          </w:tcPr>
          <w:p>
            <w:pPr>
              <w:pStyle w:val="TableText"/>
            </w:pPr>
            <w:r>
              <w:rPr/>
              <w:t>[Specific treaty / amendment / implementing authority]</w:t>
            </w:r>
          </w:p>
        </w:tc>
        <w:tc>
          <w:tcPr>
            <w:tcW w:type="dxa" w:w="999"/>
            <w:tcMar>
              <w:top w:w="60" w:type="dxa"/>
              <w:start w:w="60" w:type="dxa"/>
              <w:bottom w:w="60" w:type="dxa"/>
              <w:end w:w="60" w:type="dxa"/>
            </w:tcMar>
            <w:vAlign w:val="center"/>
          </w:tcPr>
          <w:p>
            <w:pPr>
              <w:pStyle w:val="TableText"/>
            </w:pPr>
            <w:r>
              <w:rPr/>
            </w:r>
            <w:r>
              <w:rPr>
                <w:b w:val="0"/>
              </w:rPr>
              <w:t>[None / specified authority]</w:t>
            </w:r>
          </w:p>
        </w:tc>
        <w:tc>
          <w:tcPr>
            <w:tcW w:type="dxa" w:w="999"/>
            <w:tcMar>
              <w:top w:w="60" w:type="dxa"/>
              <w:start w:w="60" w:type="dxa"/>
              <w:bottom w:w="60" w:type="dxa"/>
              <w:end w:w="60" w:type="dxa"/>
            </w:tcMar>
            <w:vAlign w:val="center"/>
          </w:tcPr>
          <w:p>
            <w:pPr>
              <w:pStyle w:val="TableText"/>
            </w:pPr>
            <w:r>
              <w:rPr/>
            </w:r>
            <w:r>
              <w:rPr>
                <w:b w:val="0"/>
              </w:rPr>
              <w:t>[Objective completion condition]</w:t>
            </w:r>
          </w:p>
        </w:tc>
        <w:tc>
          <w:tcPr>
            <w:tcW w:type="dxa" w:w="999"/>
            <w:tcMar>
              <w:top w:w="60" w:type="dxa"/>
              <w:start w:w="60" w:type="dxa"/>
              <w:bottom w:w="60" w:type="dxa"/>
              <w:end w:w="60" w:type="dxa"/>
            </w:tcMar>
            <w:vAlign w:val="center"/>
          </w:tcPr>
          <w:p>
            <w:pPr>
              <w:pStyle w:val="TableText"/>
            </w:pPr>
            <w:r>
              <w:rPr/>
            </w:r>
            <w:r>
              <w:rPr>
                <w:b w:val="0"/>
              </w:rPr>
              <w:t>[Durable state after completion]</w:t>
            </w:r>
          </w:p>
        </w:tc>
      </w:tr>
      <w:tr>
        <w:tc>
          <w:tcPr>
            <w:tcW w:type="dxa" w:w="999"/>
            <w:tcMar>
              <w:top w:w="60" w:type="dxa"/>
              <w:start w:w="60" w:type="dxa"/>
              <w:bottom w:w="60" w:type="dxa"/>
              <w:end w:w="60" w:type="dxa"/>
            </w:tcMar>
            <w:vAlign w:val="center"/>
          </w:tcPr>
          <w:p>
            <w:pPr>
              <w:pStyle w:val="TableText"/>
            </w:pPr>
            <w:r>
              <w:rPr/>
            </w:r>
            <w:r>
              <w:rPr>
                <w:b w:val="0"/>
              </w:rPr>
              <w:t>NOT ADOPTED</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1600"/>
          </w:tcPr>
          <w:p>
            <w:pPr>
              <w:pStyle w:val="TableText"/>
            </w:pPr>
            <w:r>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r>
      <w:tr>
        <w:tc>
          <w:tcPr>
            <w:tcW w:type="dxa" w:w="999"/>
            <w:tcMar>
              <w:top w:w="60" w:type="dxa"/>
              <w:start w:w="60" w:type="dxa"/>
              <w:bottom w:w="60" w:type="dxa"/>
              <w:end w:w="60" w:type="dxa"/>
            </w:tcMar>
            <w:vAlign w:val="center"/>
          </w:tcPr>
          <w:p>
            <w:pPr>
              <w:pStyle w:val="TableText"/>
            </w:pPr>
            <w:r>
              <w:rPr/>
            </w:r>
            <w:r>
              <w:rPr>
                <w:b w:val="0"/>
              </w:rPr>
              <w:t>NOT ADOPTED</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1600"/>
          </w:tcPr>
          <w:p>
            <w:pPr>
              <w:pStyle w:val="TableText"/>
            </w:pPr>
            <w:r>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r>
      <w:tr>
        <w:tc>
          <w:tcPr>
            <w:tcW w:type="dxa" w:w="999"/>
            <w:tcMar>
              <w:top w:w="60" w:type="dxa"/>
              <w:start w:w="60" w:type="dxa"/>
              <w:bottom w:w="60" w:type="dxa"/>
              <w:end w:w="60" w:type="dxa"/>
            </w:tcMar>
            <w:vAlign w:val="center"/>
          </w:tcPr>
          <w:p>
            <w:pPr>
              <w:pStyle w:val="TableText"/>
            </w:pPr>
            <w:r>
              <w:rPr/>
            </w:r>
            <w:r>
              <w:rPr>
                <w:b w:val="0"/>
              </w:rPr>
              <w:t>NOT ADOPTED</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1600"/>
          </w:tcPr>
          <w:p>
            <w:pPr>
              <w:pStyle w:val="TableText"/>
            </w:pPr>
            <w:r>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r>
    </w:tbl>
    <w:p>
      <w:pPr>
        <w:pStyle w:val="Heading2"/>
      </w:pPr>
      <w:bookmarkStart w:id="901729" w:name="_Toc300001728"/>
      <w:r>
        <w:rPr>
          <w:b/>
        </w:rPr>
        <w:t>Schedule FS-04-C: NAAFTC Incorporation / Compatibility Schedule</w:t>
      </w:r>
      <w:bookmarkEnd w:id="901729"/>
    </w:p>
    <w:tbl>
      <w:tblPr>
        <w:tblStyle w:val="TableGrid"/>
        <w:tblW w:type="pct" w:w="500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1110"/>
        <w:gridCol w:w="1110"/>
        <w:gridCol w:w="1110"/>
        <w:gridCol w:w="1110"/>
        <w:gridCol w:w="1110"/>
        <w:gridCol w:w="1110"/>
        <w:gridCol w:w="1110"/>
        <w:gridCol w:w="1110"/>
        <w:gridCol w:w="1110"/>
      </w:tblGrid>
      <w:tr>
        <w:trPr>
          <w:tblHeader w:val="true"/>
        </w:trPr>
        <w:tc>
          <w:tcPr>
            <w:tcW w:type="dxa" w:w="1110"/>
            <w:shd w:fill="ECEFF1" w:val="clear" w:color="auto"/>
            <w:tcMar>
              <w:top w:w="60" w:type="dxa"/>
              <w:start w:w="60" w:type="dxa"/>
              <w:bottom w:w="60" w:type="dxa"/>
              <w:end w:w="60" w:type="dxa"/>
            </w:tcMar>
            <w:vAlign w:val="center"/>
          </w:tcPr>
          <w:p>
            <w:pPr>
              <w:pStyle w:val="TableText"/>
            </w:pPr>
            <w:r>
              <w:rPr/>
            </w:r>
            <w:r>
              <w:rPr>
                <w:b/>
              </w:rPr>
              <w:t>Adoption Status</w:t>
            </w:r>
          </w:p>
        </w:tc>
        <w:tc>
          <w:tcPr>
            <w:tcW w:type="dxa" w:w="1110"/>
            <w:shd w:fill="ECEFF1" w:val="clear" w:color="auto"/>
            <w:tcMar>
              <w:top w:w="60" w:type="dxa"/>
              <w:start w:w="60" w:type="dxa"/>
              <w:bottom w:w="60" w:type="dxa"/>
              <w:end w:w="60" w:type="dxa"/>
            </w:tcMar>
            <w:vAlign w:val="center"/>
          </w:tcPr>
          <w:p>
            <w:pPr>
              <w:pStyle w:val="TableText"/>
            </w:pPr>
            <w:r>
              <w:rPr/>
            </w:r>
            <w:r>
              <w:rPr>
                <w:b/>
              </w:rPr>
              <w:t>NAAFTC Instrument / Version</w:t>
            </w:r>
          </w:p>
        </w:tc>
        <w:tc>
          <w:tcPr>
            <w:tcW w:type="dxa" w:w="1110"/>
            <w:shd w:fill="ECEFF1" w:val="clear" w:color="auto"/>
            <w:tcMar>
              <w:top w:w="60" w:type="dxa"/>
              <w:start w:w="60" w:type="dxa"/>
              <w:bottom w:w="60" w:type="dxa"/>
              <w:end w:w="60" w:type="dxa"/>
            </w:tcMar>
            <w:vAlign w:val="center"/>
          </w:tcPr>
          <w:p>
            <w:pPr>
              <w:pStyle w:val="TableText"/>
            </w:pPr>
            <w:r>
              <w:rPr/>
            </w:r>
            <w:r>
              <w:rPr>
                <w:b/>
              </w:rPr>
              <w:t>Provision / Annex</w:t>
            </w:r>
          </w:p>
        </w:tc>
        <w:tc>
          <w:tcPr>
            <w:tcW w:type="dxa" w:w="1110"/>
            <w:shd w:fill="ECEFF1" w:val="clear" w:color="auto"/>
            <w:tcMar>
              <w:top w:w="60" w:type="dxa"/>
              <w:start w:w="60" w:type="dxa"/>
              <w:bottom w:w="60" w:type="dxa"/>
              <w:end w:w="60" w:type="dxa"/>
            </w:tcMar>
            <w:vAlign w:val="center"/>
          </w:tcPr>
          <w:p>
            <w:pPr>
              <w:pStyle w:val="TableText"/>
            </w:pPr>
            <w:r>
              <w:rPr/>
            </w:r>
            <w:r>
              <w:rPr>
                <w:b/>
              </w:rPr>
              <w:t>Parties</w:t>
            </w:r>
          </w:p>
        </w:tc>
        <w:tc>
          <w:tcPr>
            <w:tcW w:type="dxa" w:w="1110"/>
            <w:shd w:fill="ECEFF1" w:val="clear" w:color="auto"/>
            <w:tcMar>
              <w:top w:w="60" w:type="dxa"/>
              <w:start w:w="60" w:type="dxa"/>
              <w:bottom w:w="60" w:type="dxa"/>
              <w:end w:w="60" w:type="dxa"/>
            </w:tcMar>
            <w:vAlign w:val="center"/>
          </w:tcPr>
          <w:p>
            <w:pPr>
              <w:pStyle w:val="TableText"/>
            </w:pPr>
            <w:r>
              <w:rPr/>
              <w:t>Covered Products / Classification Scope</w:t>
            </w:r>
          </w:p>
        </w:tc>
        <w:tc>
          <w:tcPr>
            <w:tcW w:type="dxa" w:w="1110"/>
            <w:shd w:fill="ECEFF1" w:val="clear" w:color="auto"/>
            <w:tcMar>
              <w:top w:w="60" w:type="dxa"/>
              <w:start w:w="60" w:type="dxa"/>
              <w:bottom w:w="60" w:type="dxa"/>
              <w:end w:w="60" w:type="dxa"/>
            </w:tcMar>
            <w:vAlign w:val="center"/>
          </w:tcPr>
          <w:p>
            <w:pPr>
              <w:pStyle w:val="TableText"/>
            </w:pPr>
            <w:r>
              <w:rPr/>
              <w:t>Relationship Status</w:t>
            </w:r>
          </w:p>
        </w:tc>
        <w:tc>
          <w:tcPr>
            <w:tcW w:type="dxa" w:w="1110"/>
            <w:shd w:fill="ECEFF1" w:val="clear" w:color="auto"/>
            <w:tcMar>
              <w:top w:w="60" w:type="dxa"/>
              <w:start w:w="60" w:type="dxa"/>
              <w:bottom w:w="60" w:type="dxa"/>
              <w:end w:w="60" w:type="dxa"/>
            </w:tcMar>
            <w:vAlign w:val="center"/>
          </w:tcPr>
          <w:p>
            <w:pPr>
              <w:pStyle w:val="TableText"/>
            </w:pPr>
            <w:r>
              <w:rPr/>
            </w:r>
            <w:r>
              <w:rPr>
                <w:b/>
              </w:rPr>
              <w:t>Modifications / Reservations</w:t>
            </w:r>
          </w:p>
        </w:tc>
        <w:tc>
          <w:tcPr>
            <w:tcW w:type="dxa" w:w="1110"/>
            <w:shd w:fill="ECEFF1" w:val="clear" w:color="auto"/>
            <w:tcMar>
              <w:top w:w="60" w:type="dxa"/>
              <w:start w:w="60" w:type="dxa"/>
              <w:bottom w:w="60" w:type="dxa"/>
              <w:end w:w="60" w:type="dxa"/>
            </w:tcMar>
            <w:vAlign w:val="center"/>
          </w:tcPr>
          <w:p>
            <w:pPr>
              <w:pStyle w:val="TableText"/>
            </w:pPr>
            <w:r>
              <w:rPr/>
            </w:r>
            <w:r>
              <w:rPr>
                <w:b/>
              </w:rPr>
              <w:t>Effective Date</w:t>
            </w:r>
          </w:p>
        </w:tc>
        <w:tc>
          <w:tcPr>
            <w:tcW w:type="dxa" w:w="1110"/>
            <w:shd w:fill="ECEFF1" w:val="clear" w:color="auto"/>
            <w:tcMar>
              <w:top w:w="60" w:type="dxa"/>
              <w:start w:w="60" w:type="dxa"/>
              <w:bottom w:w="60" w:type="dxa"/>
              <w:end w:w="60" w:type="dxa"/>
            </w:tcMar>
            <w:vAlign w:val="center"/>
          </w:tcPr>
          <w:p>
            <w:pPr>
              <w:pStyle w:val="TableText"/>
            </w:pPr>
            <w:r>
              <w:rPr/>
              <w:t>Specific Legally Sufficient Adoption Authority</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[Exact title + version/date]</w:t>
            </w:r>
          </w:p>
        </w:tc>
        <w:tc>
          <w:tcPr>
            <w:tcW w:type="dxa" w:w="1110"/>
            <w:tcMar>
              <w:top w:w="60" w:type="dxa"/>
              <w:start w:w="60" w:type="dxa"/>
              <w:bottom w:w="60" w:type="dxa"/>
              <w:end w:w="60" w:type="dxa"/>
            </w:tcMar>
            <w:vAlign w:val="center"/>
          </w:tcPr>
          <w:p>
            <w:pPr>
              <w:pStyle w:val="TableText"/>
            </w:pPr>
            <w:r>
              <w:rPr/>
            </w:r>
            <w:r>
              <w:rPr>
                <w:b w:val="0"/>
              </w:rPr>
              <w:t>[Exact provision]</w:t>
            </w:r>
          </w:p>
        </w:tc>
        <w:tc>
          <w:tcPr>
            <w:tcW w:type="dxa" w:w="1110"/>
            <w:tcMar>
              <w:top w:w="60" w:type="dxa"/>
              <w:start w:w="60" w:type="dxa"/>
              <w:bottom w:w="60" w:type="dxa"/>
              <w:end w:w="60" w:type="dxa"/>
            </w:tcMar>
            <w:vAlign w:val="center"/>
          </w:tcPr>
          <w:p>
            <w:pPr>
              <w:pStyle w:val="TableText"/>
            </w:pPr>
            <w:r>
              <w:rPr/>
            </w:r>
            <w:r>
              <w:rPr>
                <w:b w:val="0"/>
              </w:rPr>
              <w:t>[CA/US/MX]</w:t>
            </w:r>
          </w:p>
        </w:tc>
        <w:tc>
          <w:tcPr>
            <w:tcW w:type="dxa" w:w="1110"/>
            <w:tcMar>
              <w:top w:w="60" w:type="dxa"/>
              <w:start w:w="60" w:type="dxa"/>
              <w:bottom w:w="60" w:type="dxa"/>
              <w:end w:w="60" w:type="dxa"/>
            </w:tcMar>
            <w:vAlign w:val="center"/>
          </w:tcPr>
          <w:p>
            <w:pPr>
              <w:pStyle w:val="TableText"/>
            </w:pPr>
            <w:r>
              <w:rPr/>
              <w:t>[Product / tariff classification / scope]</w:t>
            </w:r>
          </w:p>
        </w:tc>
        <w:tc>
          <w:tcPr>
            <w:tcW w:type="dxa" w:w="1110"/>
            <w:tcMar>
              <w:top w:w="60" w:type="dxa"/>
              <w:start w:w="60" w:type="dxa"/>
              <w:bottom w:w="60" w:type="dxa"/>
              <w:end w:w="60" w:type="dxa"/>
            </w:tcMar>
            <w:vAlign w:val="center"/>
          </w:tcPr>
          <w:p>
            <w:pPr>
              <w:pStyle w:val="TableText"/>
            </w:pPr>
            <w:r>
              <w:rPr/>
              <w:t>[Incorporated / Compatibility Reference Only]</w:t>
            </w:r>
          </w:p>
        </w:tc>
        <w:tc>
          <w:tcPr>
            <w:tcW w:type="dxa" w:w="1110"/>
            <w:tcMar>
              <w:top w:w="60" w:type="dxa"/>
              <w:start w:w="60" w:type="dxa"/>
              <w:bottom w:w="60" w:type="dxa"/>
              <w:end w:w="60" w:type="dxa"/>
            </w:tcMar>
            <w:vAlign w:val="center"/>
          </w:tcPr>
          <w:p>
            <w:pPr>
              <w:pStyle w:val="TableText"/>
            </w:pPr>
            <w:r>
              <w:rPr/>
            </w:r>
            <w:r>
              <w:rPr>
                <w:b w:val="0"/>
              </w:rPr>
              <w:t>[None or exact text]</w:t>
            </w:r>
          </w:p>
        </w:tc>
        <w:tc>
          <w:tcPr>
            <w:tcW w:type="dxa" w:w="1110"/>
            <w:tcMar>
              <w:top w:w="60" w:type="dxa"/>
              <w:start w:w="60" w:type="dxa"/>
              <w:bottom w:w="60" w:type="dxa"/>
              <w:end w:w="60" w:type="dxa"/>
            </w:tcMar>
            <w:vAlign w:val="center"/>
          </w:tcPr>
          <w:p>
            <w:pPr>
              <w:pStyle w:val="TableText"/>
            </w:pPr>
            <w:r>
              <w:rPr/>
            </w:r>
            <w:r>
              <w:rPr>
                <w:b w:val="0"/>
              </w:rPr>
              <w:t>[Date / condition]</w:t>
            </w:r>
          </w:p>
        </w:tc>
        <w:tc>
          <w:tcPr>
            <w:tcW w:type="dxa" w:w="1110"/>
            <w:tcMar>
              <w:top w:w="60" w:type="dxa"/>
              <w:start w:w="60" w:type="dxa"/>
              <w:bottom w:w="60" w:type="dxa"/>
              <w:end w:w="60" w:type="dxa"/>
            </w:tcMar>
            <w:vAlign w:val="center"/>
          </w:tcPr>
          <w:p>
            <w:pPr>
              <w:pStyle w:val="TableText"/>
            </w:pPr>
            <w:r>
              <w:rPr/>
              <w:t>[Treaty / protocol / amendment / legally sufficient implementing authority]</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r>
    </w:tbl>
    <w:p>
      <w:pPr>
        <w:pStyle w:val="Heading1"/>
      </w:pPr>
      <w:bookmarkStart w:id="901730" w:name="_Toc300001729"/>
      <w:r>
        <w:t>CHAPTER 44</w:t>
      </w:r>
      <w:r>
        <w:br/>
      </w:r>
      <w:r>
        <w:t>TRADE FACILITATION, TRUSTED MOBILITY, AND CO-INVESTMENT</w:t>
      </w:r>
      <w:bookmarkEnd w:id="901730"/>
    </w:p>
    <w:p>
      <w:pPr>
        <w:pStyle w:val="Heading2"/>
      </w:pPr>
      <w:bookmarkStart w:id="901731" w:name="_Toc300001730"/>
      <w:r>
        <w:t>Article 44.1: North American Trade Facilitation Index</w:t>
      </w:r>
      <w:bookmarkEnd w:id="901731"/>
    </w:p>
    <w:p>
      <w:pPr>
        <w:pStyle w:val="Normal"/>
      </w:pPr>
      <w:r>
        <w:t>1. The Secretariat shall publish an annual, methodology-transparent Trade Facilitation Index using comparable indicators including median commercial clearance time, inspection frequency, documentation burden, appeal-resolution time, system outages, trusted-trader utilization, and SME compliance cost.</w:t>
      </w:r>
    </w:p>
    <w:p>
      <w:pPr>
        <w:pStyle w:val="Normal"/>
      </w:pPr>
      <w:r>
        <w:t>2. The Index is diagnostic and does not itself establish a violation. A Party may request a corrective facilitation plan where persistent performance materially impairs trade.</w:t>
      </w:r>
    </w:p>
    <w:p>
      <w:pPr>
        <w:pStyle w:val="Heading2"/>
      </w:pPr>
      <w:bookmarkStart w:id="901732" w:name="_Toc300001731"/>
      <w:r>
        <w:t>Article 44.2: Trusted Trader Mutual Recognition</w:t>
      </w:r>
      <w:bookmarkEnd w:id="901732"/>
    </w:p>
    <w:p>
      <w:pPr>
        <w:pStyle w:val="Normal"/>
      </w:pPr>
      <w:r>
        <w:t>1. Certification of a trader under a Party's recognized trusted-trader program is presumptively recognized by the other Parties for equivalent facilitation benefits.</w:t>
      </w:r>
    </w:p>
    <w:p>
      <w:pPr>
        <w:pStyle w:val="Normal"/>
      </w:pPr>
      <w:r>
        <w:t>2. A Party may suspend recognition for a particular entity only on particularized risk evidence, with notice, reasons, and expedited review. System-wide suspension requires a finding of systemic deficiency.</w:t>
      </w:r>
    </w:p>
    <w:p>
      <w:pPr>
        <w:pStyle w:val="Heading2"/>
      </w:pPr>
      <w:bookmarkStart w:id="901733" w:name="_Toc300001732"/>
      <w:r>
        <w:t>Article 44.3: Customs Data Interoperability</w:t>
      </w:r>
      <w:bookmarkEnd w:id="901733"/>
    </w:p>
    <w:p>
      <w:pPr>
        <w:pStyle w:val="Normal"/>
      </w:pPr>
      <w:r>
        <w:t>1. Shared customs alerts and supply-chain risk information shall be made available to the Parties on equivalent terms and, where operationally practicable, simultaneously. No Party receives a treaty-created priority intelligence tier over another.</w:t>
      </w:r>
    </w:p>
    <w:p>
      <w:pPr>
        <w:pStyle w:val="Heading2"/>
      </w:pPr>
      <w:bookmarkStart w:id="901734" w:name="_Toc300001733"/>
      <w:r>
        <w:t>Article 44.4: Skilled Professional and Business Mobility Service Standards</w:t>
      </w:r>
      <w:bookmarkEnd w:id="901734"/>
    </w:p>
    <w:p>
      <w:pPr>
        <w:pStyle w:val="Normal"/>
      </w:pPr>
      <w:r>
        <w:t>1. The Parties shall establish expedited processing targets for qualifying CUSMA professionals, intra-company transferees, investors, entrepreneurs, and other categories listed in Chapter 16, without changing substantive admissibility criteria unless separately agreed.</w:t>
      </w:r>
    </w:p>
    <w:p>
      <w:pPr>
        <w:pStyle w:val="Normal"/>
      </w:pPr>
      <w:r>
        <w:t>2. The Commission shall publish annual processing-time performance and may establish secure pre-clearance or digital-document pathways.</w:t>
      </w:r>
    </w:p>
    <w:p>
      <w:pPr>
        <w:pStyle w:val="Heading2"/>
      </w:pPr>
      <w:bookmarkStart w:id="901735" w:name="_Toc300001734"/>
      <w:r>
        <w:t>Article 44.5: Trusted Traveler and Commercial Driver Expansion</w:t>
      </w:r>
      <w:bookmarkEnd w:id="901735"/>
    </w:p>
    <w:p>
      <w:pPr>
        <w:pStyle w:val="Normal"/>
      </w:pPr>
      <w:r>
        <w:t>1. The Parties shall expand trusted-traveler and trusted-commercial-driver capacity where justified by demand and security, including additional lanes, interoperable enrollment, service standards, and contingency procedures for system outages.</w:t>
      </w:r>
    </w:p>
    <w:p>
      <w:pPr>
        <w:pStyle w:val="Heading2"/>
      </w:pPr>
      <w:bookmarkStart w:id="901736" w:name="_Toc300001735"/>
      <w:r>
        <w:t>Article 44.6: North American Trade Infrastructure Facility</w:t>
      </w:r>
      <w:bookmarkEnd w:id="901736"/>
    </w:p>
    <w:p>
      <w:pPr>
        <w:pStyle w:val="Normal"/>
      </w:pPr>
      <w:r>
        <w:t>1. The Parties may, through existing domestic infrastructure, trade, development-finance, or other competent authorities, co-finance ports of entry, bridges, rail connections, highways, customs technology, energy interconnections, and other infrastructure that materially reduces North American trade friction. This Article does not establish a separately capitalized supranational fund or require an appropriation or contribution.</w:t>
      </w:r>
    </w:p>
    <w:p>
      <w:pPr>
        <w:pStyle w:val="Normal"/>
      </w:pPr>
      <w:r>
        <w:t>2. Voluntarily accepted contributions may unlock matching finance but do not condition ordinary tariff preference. Governance shall be balanced among participating governments, funding commitments remain subject to applicable domestic appropriations and financial law, and projects remain subject to the domestic approval authority of the Party in whose territory they are located.</w:t>
      </w:r>
    </w:p>
    <w:p>
      <w:pPr>
        <w:pStyle w:val="Heading2"/>
      </w:pPr>
      <w:bookmarkStart w:id="901737" w:name="_Toc300001736"/>
      <w:r>
        <w:t>Article 44.7: Beneficial Ownership and Anti-Circumvention Cooperation</w:t>
      </w:r>
      <w:bookmarkEnd w:id="901737"/>
    </w:p>
    <w:p>
      <w:pPr>
        <w:pStyle w:val="Normal"/>
      </w:pPr>
      <w:r>
        <w:t>1. The Parties shall improve lawful access by competent authorities to accurate beneficial-ownership information for entities involved in cross-border trade, sanctions evasion, origin fraud, money laundering, or customs circumvention.</w:t>
      </w:r>
    </w:p>
    <w:p>
      <w:pPr>
        <w:pStyle w:val="Normal"/>
      </w:pPr>
      <w:r>
        <w:t>2. This Article does not require identical public-registry models. Each Party may satisfy the obligation through a system that provides timely, reliable access consistent with its privacy and constitutional law.</w:t>
      </w:r>
    </w:p>
    <w:p>
      <w:pPr>
        <w:pStyle w:val="Heading2"/>
      </w:pPr>
      <w:bookmarkStart w:id="901738" w:name="_Toc300001737"/>
      <w:r>
        <w:t>Article 44.8: Foreign Trade-Lobbying Transparency</w:t>
      </w:r>
      <w:bookmarkEnd w:id="901738"/>
    </w:p>
    <w:p>
      <w:pPr>
        <w:pStyle w:val="Normal"/>
      </w:pPr>
      <w:r>
        <w:t>1. Each Party shall maintain transparent rules requiring disclosure, under domestic law, of material paid lobbying or representation undertaken on behalf of a foreign government, foreign state enterprise, or foreign industry association in connection with a trade remedy or proceeding under this Agreement.</w:t>
      </w:r>
    </w:p>
    <w:p>
      <w:pPr>
        <w:pStyle w:val="Normal"/>
      </w:pPr>
      <w:r>
        <w:t>2. Detailed registration, privilege, enforcement, and publication rules remain matters of domestic law.</w:t>
      </w:r>
    </w:p>
    <w:p>
      <w:pPr>
        <w:pStyle w:val="Heading1"/>
      </w:pPr>
      <w:bookmarkStart w:id="901739" w:name="_Toc300001738"/>
      <w:r>
        <w:t>CHAPTER 45</w:t>
      </w:r>
      <w:r>
        <w:br/>
      </w:r>
      <w:r>
        <w:t>INSTITUTIONAL DIVERSITY AND MEXICAN ACCOMMODATION</w:t>
      </w:r>
      <w:bookmarkEnd w:id="901739"/>
    </w:p>
    <w:p>
      <w:pPr>
        <w:pStyle w:val="Heading2"/>
      </w:pPr>
      <w:bookmarkStart w:id="901740" w:name="_Toc300001739"/>
      <w:r>
        <w:t>Article 45.1: Institutional Diversity Principle</w:t>
      </w:r>
      <w:bookmarkEnd w:id="901740"/>
    </w:p>
    <w:p>
      <w:pPr>
        <w:pStyle w:val="Normal"/>
      </w:pPr>
      <w:r>
        <w:t>1. Nothing in this Agreement requires a Party, as a condition of receiving treaty benefits, to privatize, nationalize, deregulate, federalize, decentralize, corporatize, or otherwise adopt the ownership, regulatory, constitutional, or institutional model of another Party.</w:t>
      </w:r>
    </w:p>
    <w:p>
      <w:pPr>
        <w:pStyle w:val="Normal"/>
      </w:pPr>
      <w:r>
        <w:t>2. A difference in institutional model does not by itself establish less favorable treatment, a subsidy, an investment breach, or a prohibited barrier. A measure remains subject to the express non-discrimination, transparency, subsidy, competition, and due-process obligations of this Agreement.</w:t>
      </w:r>
    </w:p>
    <w:p>
      <w:pPr>
        <w:pStyle w:val="Normal"/>
      </w:pPr>
      <w:r>
        <w:t>3. The Commission and panels shall distinguish between an institution's form and its conduct. Public ownership, Crown ownership, state-enterprise status, cooperative ownership, communal tenure, or private ownership is not dispositive; the treaty question is whether the challenged conduct violates an express obligation.</w:t>
      </w:r>
    </w:p>
    <w:p>
      <w:pPr>
        <w:pStyle w:val="Heading2"/>
      </w:pPr>
      <w:bookmarkStart w:id="901741" w:name="_Toc300001740"/>
      <w:r>
        <w:t>Article 45.2: Constitutional and State-Enterprise Accommodation</w:t>
      </w:r>
      <w:bookmarkEnd w:id="901741"/>
    </w:p>
    <w:p>
      <w:pPr>
        <w:pStyle w:val="Normal"/>
      </w:pPr>
      <w:r>
        <w:t>1. Each Party retains authority to organize constitutionally reserved or strategically designated sectors through public enterprises, mixed enterprises, regulated monopolies, concessions, private firms, or other lawful forms.</w:t>
      </w:r>
    </w:p>
    <w:p>
      <w:pPr>
        <w:pStyle w:val="Normal"/>
      </w:pPr>
      <w:r>
        <w:t>2. State enterprises remain subject to the applicable provisions of Chapter 22. Nothing in this Article immunizes discriminatory purchasing, non-commercial assistance, expropriation without applicable compensation, denial of due process, or conduct otherwise prohibited by an express treaty obligation.</w:t>
      </w:r>
    </w:p>
    <w:p>
      <w:pPr>
        <w:pStyle w:val="Normal"/>
      </w:pPr>
      <w:r>
        <w:t>3. For Mexico, the Parties recognize that constitutional and statutory arrangements governing energy and strategic public enterprises may differ materially from Canadian and United States models. Treaty review shall address specific conduct rather than requiring structural convergence.</w:t>
      </w:r>
    </w:p>
    <w:p>
      <w:pPr>
        <w:pStyle w:val="Heading2"/>
      </w:pPr>
      <w:bookmarkStart w:id="901742" w:name="_Toc300001741"/>
      <w:r>
        <w:t>Article 45.3: Ejidos, Communal Tenure, and Social Land Policy</w:t>
      </w:r>
      <w:bookmarkEnd w:id="901742"/>
    </w:p>
    <w:p>
      <w:pPr>
        <w:pStyle w:val="Normal"/>
      </w:pPr>
      <w:r>
        <w:t>1. Mexico may maintain and develop ejido, communal, Indigenous, and social-property regimes and related land-tenure, agrarian-development, conservation, and community-governance measures.</w:t>
      </w:r>
    </w:p>
    <w:p>
      <w:pPr>
        <w:pStyle w:val="Normal"/>
      </w:pPr>
      <w:r>
        <w:t>2. A measure under paragraph 1 is not inconsistent with this Agreement merely because land is inalienable, subject to communal consent, restricted in transfer, or administered through a non-private tenure form. This paragraph does not excuse disguised discrimination against investors or goods of another Party unrelated to the protected tenure interest.</w:t>
      </w:r>
    </w:p>
    <w:p>
      <w:pPr>
        <w:pStyle w:val="Heading2"/>
      </w:pPr>
      <w:bookmarkStart w:id="901743" w:name="_Toc300001742"/>
      <w:r>
        <w:t>Article 45.4: Rural Development and Smallholder Support</w:t>
      </w:r>
      <w:bookmarkEnd w:id="901743"/>
    </w:p>
    <w:p>
      <w:pPr>
        <w:pStyle w:val="Normal"/>
      </w:pPr>
      <w:r>
        <w:t>1. A Party may provide transparent rural-development assistance, smallholder credit, extension services, disaster relief, food-security assistance, irrigation support, crop-conversion assistance, infrastructure, and regionally targeted development programs where the measure is not contingent on export performance or the use of another Party's goods.</w:t>
      </w:r>
    </w:p>
    <w:p>
      <w:pPr>
        <w:pStyle w:val="Normal"/>
      </w:pPr>
      <w:r>
        <w:t>2. Production-neutral or de minimis rural support receives a rebuttable presumption of consistency with this Agreement. A complaining Party may rebut the presumption with evidence of material trade displacement caused by a specifically designed support measure.</w:t>
      </w:r>
    </w:p>
    <w:p>
      <w:pPr>
        <w:pStyle w:val="Normal"/>
      </w:pPr>
      <w:r>
        <w:t>3. Burden of Rebuttal. Assistance satisfying Article 45.4.1 is presumed consistent unless the complaining Party demonstrates, by clear and convincing evidence, that the challenged measure is materially trade-distorting or is structured principally to circumvent another obligation of this Agreement. The responding Party does not bear the burden of proving the absence of trade effects.</w:t>
      </w:r>
    </w:p>
    <w:p>
      <w:pPr>
        <w:pStyle w:val="Heading2"/>
      </w:pPr>
      <w:bookmarkStart w:id="901744" w:name="_Toc300001743"/>
      <w:r>
        <w:t>Article 45.5: United States-Mexico Water Treaty Firewall</w:t>
      </w:r>
      <w:bookmarkEnd w:id="901744"/>
    </w:p>
    <w:p>
      <w:pPr>
        <w:pStyle w:val="Normal"/>
      </w:pPr>
      <w:r>
        <w:t>1. Nothing in this Agreement modifies, supersedes, interprets, allocates, or creates rights under the 1944 Treaty relating to the utilization of waters of the Colorado and Tijuana Rivers and of the Rio Grande, or any Minute or decision lawfully adopted under that treaty.</w:t>
      </w:r>
    </w:p>
    <w:p>
      <w:pPr>
        <w:pStyle w:val="Normal"/>
      </w:pPr>
      <w:r>
        <w:t>2. A water-allocation dispute governed by the 1944 Treaty shall not be converted into a market-access, investment, or Chapter 35 dispute merely because water availability has commercial effects. A separate measure implementing or exploiting a water dispute for discriminatory trade purposes remains reviewable under this Agreement.</w:t>
      </w:r>
    </w:p>
    <w:p>
      <w:pPr>
        <w:pStyle w:val="Heading2"/>
      </w:pPr>
      <w:bookmarkStart w:id="901745" w:name="_Toc300001744"/>
      <w:r>
        <w:t>Article 45.6: Mining, Restoration, and Community Benefit</w:t>
      </w:r>
      <w:bookmarkEnd w:id="901745"/>
    </w:p>
    <w:p>
      <w:pPr>
        <w:pStyle w:val="Normal"/>
      </w:pPr>
      <w:r>
        <w:t>1. Each Party retains authority over mineral concessions, permitting, reclamation security, environmental bonding, Indigenous and local consultation, community-benefit arrangements, mine closure, and post-closure remediation.</w:t>
      </w:r>
    </w:p>
    <w:p>
      <w:pPr>
        <w:pStyle w:val="Normal"/>
      </w:pPr>
      <w:r>
        <w:t>2. Financial-assurance and restoration requirements are legitimate regulatory measures when applied under published, objective, and non-discriminatory criteria reasonably connected to environmental or fiscal risk.</w:t>
      </w:r>
    </w:p>
    <w:p>
      <w:pPr>
        <w:pStyle w:val="Heading2"/>
      </w:pPr>
      <w:bookmarkStart w:id="901746" w:name="_Toc300001745"/>
      <w:r>
        <w:t>Article 45.7: Research Security and Strategic Technology Cooperation</w:t>
      </w:r>
      <w:bookmarkEnd w:id="901746"/>
    </w:p>
    <w:p>
      <w:pPr>
        <w:pStyle w:val="Normal"/>
      </w:pPr>
      <w:r>
        <w:t>1. Each Party retains authority to protect sensitive research, export-controlled technology, government-funded laboratories, critical infrastructure, and strategic intellectual property through objective research-security measures.</w:t>
      </w:r>
    </w:p>
    <w:p>
      <w:pPr>
        <w:pStyle w:val="Normal"/>
      </w:pPr>
      <w:r>
        <w:t>2. The Parties shall seek interoperable due-diligence and trusted-partner procedures so legitimate North American research cooperation is not unnecessarily blocked by duplicative screening.</w:t>
      </w:r>
    </w:p>
    <w:p>
      <w:pPr>
        <w:pStyle w:val="Heading2"/>
      </w:pPr>
      <w:bookmarkStart w:id="901747" w:name="_Toc300001746"/>
      <w:r>
        <w:t>Article 45.8: Remittance and Fintech Facilitation</w:t>
      </w:r>
      <w:bookmarkEnd w:id="901747"/>
    </w:p>
    <w:p>
      <w:pPr>
        <w:pStyle w:val="Normal"/>
      </w:pPr>
      <w:r>
        <w:t>1. The Parties shall promote competitive, transparent, secure, and interoperable cross-border remittance services, including clear fee disclosure, consumer recourse, fraud prevention, and proportionate licensing.</w:t>
      </w:r>
    </w:p>
    <w:p>
      <w:pPr>
        <w:pStyle w:val="Normal"/>
      </w:pPr>
      <w:r>
        <w:t>2. Nothing in this Article requires a Party to authorize an unlicensed provider, weaken anti-money-laundering controls, or adopt another Party's monetary or financial-regulatory model.</w:t>
      </w:r>
    </w:p>
    <w:p>
      <w:pPr>
        <w:pStyle w:val="Normal"/>
      </w:pPr>
      <w:r>
        <w:t>3. Binding Remittance Transparency. Before a consumer authorizes a covered cross-border remittance, the provider shall disclose in a clear and comparable form the total amount paid, all provider fees, the applicable exchange rate and disclosed exchange-rate margin where practicable, the amount expected to be received, expected delivery time, and material intermediary charges known or reasonably estimable by the provider.</w:t>
      </w:r>
    </w:p>
    <w:p>
      <w:pPr>
        <w:pStyle w:val="Normal"/>
      </w:pPr>
      <w:r>
        <w:t>4. Each Party shall maintain effective administrative or judicial recourse for material non-compliance with paragraph 3. Systemic discriminatory failure to maintain or enforce the transparency requirements may be addressed under Chapter 31 after consultation through the Financial Services Committee.</w:t>
      </w:r>
    </w:p>
    <w:p>
      <w:pPr>
        <w:pStyle w:val="Normal"/>
      </w:pPr>
      <w:r>
        <w:t>5. Nothing in this Article establishes a treaty-mandated fee ceiling or prevents proportionate anti-money-laundering, sanctions, fraud-prevention, consumer-protection, or prudential measures.</w:t>
      </w:r>
    </w:p>
    <w:p>
      <w:pPr>
        <w:pStyle w:val="Heading2"/>
      </w:pPr>
      <w:bookmarkStart w:id="901748" w:name="_Toc300001747"/>
      <w:r>
        <w:t>Article 45.9: Traditional Knowledge and Geographic Indications</w:t>
      </w:r>
      <w:bookmarkEnd w:id="901748"/>
    </w:p>
    <w:p>
      <w:pPr>
        <w:pStyle w:val="Normal"/>
      </w:pPr>
      <w:r>
        <w:t>1. The Parties may protect traditional knowledge, traditional cultural expressions, Indigenous designations, and geographic indications through domestic systems consistent with this Agreement and applicable intellectual-property obligations.</w:t>
      </w:r>
    </w:p>
    <w:p>
      <w:pPr>
        <w:pStyle w:val="Normal"/>
      </w:pPr>
      <w:r>
        <w:t>2. Such protection shall include transparent procedures, notice, an opportunity to contest a designation, and safeguards against bad-faith appropriation, without creating automatic immunity from otherwise valid intellectual-property rights.</w:t>
      </w:r>
    </w:p>
    <w:p>
      <w:pPr>
        <w:pStyle w:val="Heading2"/>
      </w:pPr>
      <w:bookmarkStart w:id="901749" w:name="_Toc300001748"/>
      <w:r>
        <w:t>Article 45.10: Border-Region Micro and SME Facilitation</w:t>
      </w:r>
      <w:bookmarkEnd w:id="901749"/>
    </w:p>
    <w:p>
      <w:pPr>
        <w:pStyle w:val="Normal"/>
      </w:pPr>
      <w:r>
        <w:t>1. The Parties shall establish simplified procedures for qualifying microenterprises and SMEs engaged in low-risk recurring border commerce, including consolidated declarations, electronic pre-clearance, proportionate recordkeeping, and access to the Single SME Compliance Gateway.</w:t>
      </w:r>
    </w:p>
    <w:p>
      <w:pPr>
        <w:pStyle w:val="Normal"/>
      </w:pPr>
      <w:r>
        <w:t>2. Simplification under this Article does not reduce product-safety, sanitary, security, forced-labor, or origin-fraud enforcement.</w:t>
      </w:r>
    </w:p>
    <w:p>
      <w:pPr>
        <w:pStyle w:val="Heading1"/>
      </w:pPr>
      <w:bookmarkStart w:id="901750" w:name="_Toc300001749"/>
      <w:r>
        <w:t>CHAPTER 46</w:t>
      </w:r>
      <w:r>
        <w:br/>
      </w:r>
      <w:r>
        <w:t>COTHROM BALANCED VERIFICATION AND EVIDENTIARY ARCHITECTURE</w:t>
      </w:r>
      <w:bookmarkEnd w:id="901750"/>
    </w:p>
    <w:p>
      <w:pPr>
        <w:pStyle w:val="Heading2"/>
      </w:pPr>
      <w:bookmarkStart w:id="901751" w:name="_Toc300001750"/>
      <w:r>
        <w:t>Article 46.1: Cothrom Principle</w:t>
      </w:r>
      <w:bookmarkEnd w:id="901751"/>
    </w:p>
    <w:p>
      <w:pPr>
        <w:pStyle w:val="Normal"/>
      </w:pPr>
      <w:r>
        <w:t>1. Verification under this Agreement is reciprocal. The initiating and responding Parties are subject to equal standards of evidence, equal access to non-confidential data, equal procedural clocks, and equivalent consequences for bad-faith claims, objections, obstruction, or data manipulation.</w:t>
      </w:r>
    </w:p>
    <w:p>
      <w:pPr>
        <w:pStyle w:val="Normal"/>
      </w:pPr>
      <w:r>
        <w:t>2. Verification is designed to establish technical truth and restore compliance, not to create bargaining leverage. No violation creates permanent exclusion where compliance can be restored.</w:t>
      </w:r>
    </w:p>
    <w:p>
      <w:pPr>
        <w:pStyle w:val="Heading2"/>
      </w:pPr>
      <w:bookmarkStart w:id="901752" w:name="_Toc300001751"/>
      <w:r>
        <w:t>Article 46.2: Data Symmetry and the Golden Record</w:t>
      </w:r>
      <w:bookmarkEnd w:id="901752"/>
    </w:p>
    <w:p>
      <w:pPr>
        <w:pStyle w:val="Normal"/>
      </w:pPr>
      <w:r>
        <w:t>1. Data generated by a shared treaty system shall be transmitted to the Parties with materially equivalent latency and access rights. No Party receives a treaty-created preferential data feed.</w:t>
      </w:r>
    </w:p>
    <w:p>
      <w:pPr>
        <w:pStyle w:val="Normal"/>
      </w:pPr>
      <w:r>
        <w:t>2. The Shared Trade Data Registry shall maintain an auditable golden record for submissions, notifications, verification packages, technical determinations, and restoration certifications. The record shall preserve chain of custody and modification history.</w:t>
      </w:r>
    </w:p>
    <w:p>
      <w:pPr>
        <w:pStyle w:val="Normal"/>
      </w:pPr>
      <w:r>
        <w:t>3. Failure of a shared platform does not invalidate independently reliable evidence and is governed by Annex 35-C, Part 6.</w:t>
      </w:r>
    </w:p>
    <w:p>
      <w:pPr>
        <w:pStyle w:val="Normal"/>
      </w:pPr>
      <w:r>
        <w:t>4. Distributed Evidence Fallback. If the Shared Trade Data Registry or Golden Record becomes materially unavailable, each Party shall preserve and certify its independently retained relevant records. Verification continues through those records and other reliable evidence; no adverse inference arises solely from failure of the shared platform.</w:t>
      </w:r>
    </w:p>
    <w:p>
      <w:pPr>
        <w:pStyle w:val="Normal"/>
      </w:pPr>
      <w:r>
        <w:t>5. A materially disputed fact derived from a failed shared platform shall not support a Stage 2 or higher consequence unless corroborated by at least one independent reliable source or resolved through the Technical Truth Escalation Chain in Article 35.9B.</w:t>
      </w:r>
    </w:p>
    <w:p>
      <w:pPr>
        <w:pStyle w:val="Normal"/>
      </w:pPr>
      <w:r>
        <w:t>6. Restoration of the shared platform requires reconciliation of independently retained records, an auditable discrepancy report, and preservation of both the outage-period records and the reconciled record.</w:t>
      </w:r>
    </w:p>
    <w:p>
      <w:pPr>
        <w:pStyle w:val="Heading2"/>
      </w:pPr>
      <w:bookmarkStart w:id="901753" w:name="_Toc300001752"/>
      <w:r>
        <w:t>Article 46.3: Anomaly Severity and Noise Filtering</w:t>
      </w:r>
      <w:bookmarkEnd w:id="901753"/>
    </w:p>
    <w:p>
      <w:pPr>
        <w:pStyle w:val="Normal"/>
      </w:pPr>
      <w:r>
        <w:t>1. Not every anomaly is a compliance event. Shared systems shall classify anomalies at four levels: Informational, Technical Review, Compliance Review, and Breach Indicator.</w:t>
      </w:r>
    </w:p>
    <w:p>
      <w:pPr>
        <w:pStyle w:val="Normal"/>
      </w:pPr>
      <w:r>
        <w:t>2. Informational and Technical Review events do not trigger remedies. A Compliance Review event triggers targeted verification and a cure opportunity. Only a Breach Indicator supported by corroborating evidence may support accelerated step-back consideration.</w:t>
      </w:r>
    </w:p>
    <w:p>
      <w:pPr>
        <w:pStyle w:val="Normal"/>
      </w:pPr>
      <w:r>
        <w:t>3. A single anomalous reading, isolated formatting error, scheduled maintenance event, or documented short outage does not establish systemic noncompliance.</w:t>
      </w:r>
    </w:p>
    <w:p>
      <w:pPr>
        <w:pStyle w:val="Heading2"/>
      </w:pPr>
      <w:bookmarkStart w:id="901754" w:name="_Toc300001753"/>
      <w:r>
        <w:t>Article 46.4: Claim and Objection Precision</w:t>
      </w:r>
      <w:bookmarkEnd w:id="901754"/>
    </w:p>
    <w:p>
      <w:pPr>
        <w:pStyle w:val="Normal"/>
      </w:pPr>
      <w:r>
        <w:t>1. A Party making a claim shall identify the precise measure, act, data point, period, entity, and treaty obligation at issue and provide the reasonably available primary evidence supporting the allegation.</w:t>
      </w:r>
    </w:p>
    <w:p>
      <w:pPr>
        <w:pStyle w:val="Normal"/>
      </w:pPr>
      <w:r>
        <w:t>2. A Party objecting to a verification finding shall identify the precise evidence disputed and the technical or legal basis for the objection. General denial is insufficient.</w:t>
      </w:r>
    </w:p>
    <w:p>
      <w:pPr>
        <w:pStyle w:val="Normal"/>
      </w:pPr>
      <w:r>
        <w:t>3. Repetitive claims arising from the same measure, product, facility, importer, or recurring transaction may be bundled into a consolidated submission. Bundling shall reduce paperwork without reducing the evidentiary standard for each material element.</w:t>
      </w:r>
    </w:p>
    <w:p>
      <w:pPr>
        <w:pStyle w:val="Heading2"/>
      </w:pPr>
      <w:bookmarkStart w:id="901755" w:name="_Toc300001754"/>
      <w:r>
        <w:t>Article 46.5: Confirmation Levels and Partial Findings</w:t>
      </w:r>
      <w:bookmarkEnd w:id="901755"/>
    </w:p>
    <w:p>
      <w:pPr>
        <w:pStyle w:val="Normal"/>
      </w:pPr>
      <w:r>
        <w:t>1. Verification bodies may classify an evidentiary element as fully confirmed, partially confirmed, unconfirmed, or technically inconclusive.</w:t>
      </w:r>
    </w:p>
    <w:p>
      <w:pPr>
        <w:pStyle w:val="Normal"/>
      </w:pPr>
      <w:r>
        <w:t>2. A mixed record shall produce proportionate findings and remedies. Panels shall avoid all-or-nothing treatment where separable elements can be determined reliably.</w:t>
      </w:r>
    </w:p>
    <w:p>
      <w:pPr>
        <w:pStyle w:val="Normal"/>
      </w:pPr>
      <w:r>
        <w:t>3. For a technically inconclusive issue, the final counter-evidence procedure under Article 35.19.6 closes the record unless materially new evidence later arises.</w:t>
      </w:r>
    </w:p>
    <w:p>
      <w:pPr>
        <w:pStyle w:val="Heading2"/>
      </w:pPr>
      <w:bookmarkStart w:id="901756" w:name="_Toc300001755"/>
      <w:r>
        <w:t>Article 46.6: Standing Neutral Expert Pool</w:t>
      </w:r>
      <w:bookmarkEnd w:id="901756"/>
    </w:p>
    <w:p>
      <w:pPr>
        <w:pStyle w:val="Normal"/>
      </w:pPr>
      <w:r>
        <w:t>1. The Commission shall maintain, within the Article 31.8 roster architecture and Secretariat administration, a qualification list of neutral technical experts in customs data, digital forensics, rules of origin, supply-chain traceability, economics, statistics, accounting, critical minerals, automotive valuation, agriculture, and other fields needed by this Agreement. The list is a roster resource, not a separately staffed permanent institution.</w:t>
      </w:r>
    </w:p>
    <w:p>
      <w:pPr>
        <w:pStyle w:val="Normal"/>
      </w:pPr>
      <w:r>
        <w:t>2. Experts are appointed for renewable fixed terms under published qualification, independence, confidentiality, disclosure, recusal, removal-for-cause, and conflict-of-interest rules. Vacancies shall be replenished on a published schedule; compensation shall follow Commission-approved rates or the applicable proceeding rules. Selection for a matter shall be random or by published rotation within the required specialty, with at least one pre-accredited alternate where practicable.</w:t>
      </w:r>
    </w:p>
    <w:p>
      <w:pPr>
        <w:pStyle w:val="Normal"/>
      </w:pPr>
      <w:r>
        <w:t>3. A Party may request one technical second opinion on a final technical determination upon posting reasonable cost security. Unless another provision expressly makes the technical finding determinative, an expert output is advisory on technical or factual matters and does not decide treaty interpretation or jurisdiction. If the second opinion materially overturns the determination, the security is returned and the matter is re-determined by a fresh technical panel; otherwise the requesting Party bears the incremental review cost.</w:t>
      </w:r>
    </w:p>
    <w:p>
      <w:pPr>
        <w:pStyle w:val="Heading2"/>
      </w:pPr>
      <w:bookmarkStart w:id="901757" w:name="_Toc300001756"/>
      <w:r>
        <w:t>Article 46.7: Human-in-the-Loop Requirement</w:t>
      </w:r>
      <w:bookmarkEnd w:id="901757"/>
    </w:p>
    <w:p>
      <w:pPr>
        <w:pStyle w:val="Normal"/>
      </w:pPr>
      <w:r>
        <w:t>1. Automated systems may detect anomalies, calculate preliminary indicators, route submissions, and generate evidence packages. They shall not make a final legal finding of treaty breach or authorize an economically disruptive remedy.</w:t>
      </w:r>
    </w:p>
    <w:p>
      <w:pPr>
        <w:pStyle w:val="Normal"/>
      </w:pPr>
      <w:r>
        <w:t>2. Before escalation beyond enhanced verification, a human decision-maker shall review the evidence, proportionality, affected innocent trade, available alternatives, and the defined earn-back path.</w:t>
      </w:r>
    </w:p>
    <w:p>
      <w:pPr>
        <w:pStyle w:val="Normal"/>
      </w:pPr>
      <w:r>
        <w:t>3. The Commission shall audit annually whether automated systems are functioning within the authority assigned to them and whether material false-positive or false-negative patterns require recalibration.</w:t>
      </w:r>
    </w:p>
    <w:p>
      <w:pPr>
        <w:pStyle w:val="Heading2"/>
      </w:pPr>
      <w:bookmarkStart w:id="901758" w:name="_Toc300001757"/>
      <w:r>
        <w:t>Article 46.8: Verification Continuity and Technical Failure</w:t>
      </w:r>
      <w:bookmarkEnd w:id="901758"/>
    </w:p>
    <w:p>
      <w:pPr>
        <w:pStyle w:val="Normal"/>
      </w:pPr>
      <w:r>
        <w:t>1. A Party shall not benefit from deliberate destruction, withholding, falsification, or disabling of verification-relevant evidence or systems.</w:t>
      </w:r>
    </w:p>
    <w:p>
      <w:pPr>
        <w:pStyle w:val="Normal"/>
      </w:pPr>
      <w:r>
        <w:t>2. Purely technical failure, ordinary maintenance, cyber incident not attributable to the trader or Party concerned, or shared-system outage triggers continuity procedures rather than punishment.</w:t>
      </w:r>
    </w:p>
    <w:p>
      <w:pPr>
        <w:pStyle w:val="Normal"/>
      </w:pPr>
      <w:r>
        <w:t>3. Persistent unexplained loss of verification data may justify temporary suspension of only the treaty-created benefit that depends on that missing verification, provided a neutral technical body first confirms that the loss is not ordinary equipment failure, maintenance, or platform outage. Restoration occurs automatically when reliable verification returns.</w:t>
      </w:r>
    </w:p>
    <w:p>
      <w:pPr>
        <w:pStyle w:val="Heading2"/>
      </w:pPr>
      <w:bookmarkStart w:id="901759" w:name="_Toc300001758"/>
      <w:r>
        <w:t>Article 46.9: Cooling-Off and Attribution Discipline</w:t>
      </w:r>
      <w:bookmarkEnd w:id="901759"/>
    </w:p>
    <w:p>
      <w:pPr>
        <w:pStyle w:val="Normal"/>
      </w:pPr>
      <w:r>
        <w:t>1. Except for immediate safety, anti-spoliation, or customs-control measures, no new Stage 2 or higher consequence takes effect until a minimum 48-hour technical and senior-official cooling-off period has elapsed.</w:t>
      </w:r>
    </w:p>
    <w:p>
      <w:pPr>
        <w:pStyle w:val="Normal"/>
      </w:pPr>
      <w:r>
        <w:t>2. Where a harmful event may have resulted from fraud by a private actor, cyber compromise, third-party interference, force majeure, or another cause not attributable to the accused Party, attribution shall be established before Party-level consequences are imposed.</w:t>
      </w:r>
    </w:p>
    <w:p>
      <w:pPr>
        <w:pStyle w:val="Heading2"/>
      </w:pPr>
      <w:bookmarkStart w:id="901760" w:name="_Toc300001759"/>
      <w:r>
        <w:t>Article 46.10: Verification Metrics</w:t>
      </w:r>
      <w:bookmarkEnd w:id="901760"/>
    </w:p>
    <w:p>
      <w:pPr>
        <w:pStyle w:val="Normal"/>
      </w:pPr>
      <w:r>
        <w:t>1. The Secretariat shall publish aggregate verification-performance metrics including average confirmation time, challenge success rate, reversal rate, incomplete-data rate, platform uptime, SME burden, and frequency of technical second opinions.</w:t>
      </w:r>
    </w:p>
    <w:p>
      <w:pPr>
        <w:pStyle w:val="Normal"/>
      </w:pPr>
      <w:r>
        <w:t>2. Metrics diagnose system performance and do not themselves establish breach. Scoring methodologies that affect legal rights shall remain transparent, reproducible, and challengeable; black-box dynamic weighting is prohibited.</w:t>
      </w:r>
    </w:p>
    <w:p>
      <w:pPr>
        <w:pStyle w:val="Heading2"/>
      </w:pPr>
      <w:bookmarkStart w:id="901761" w:name="_Toc300001760"/>
      <w:r>
        <w:t>Article 46.11: Technical Corrections</w:t>
      </w:r>
      <w:bookmarkEnd w:id="901761"/>
    </w:p>
    <w:p>
      <w:pPr>
        <w:pStyle w:val="Normal"/>
      </w:pPr>
      <w:r>
        <w:t>1. The Secretariat may issue non-substantive technical corrections for typographical errors, broken cross-references, inconsistent numbering, and formatting defects after notice to the Parties.</w:t>
      </w:r>
    </w:p>
    <w:p>
      <w:pPr>
        <w:pStyle w:val="Normal"/>
      </w:pPr>
      <w:r>
        <w:t>2. A technical correction shall not change a substantive right, obligation, remedy, threshold, timeline, tariff treatment, or evidentiary burden. A Party may object within seven days, in which case the correction is suspended pending Commission review.</w:t>
      </w:r>
    </w:p>
    <w:p>
      <w:pPr>
        <w:pStyle w:val="Heading2"/>
      </w:pPr>
      <w:bookmarkStart w:id="901762" w:name="_Toc300001761"/>
      <w:r>
        <w:t>Article 46.12: Vacancy-Proof Institutional Continuity</w:t>
      </w:r>
      <w:bookmarkEnd w:id="901762"/>
    </w:p>
    <w:p>
      <w:pPr>
        <w:pStyle w:val="Normal"/>
      </w:pPr>
      <w:r>
        <w:t>1. Failure or delay by a Party to nominate, appoint, replace, or confirm an official, roster member, expert, or institutional representative shall not disable a treaty function.</w:t>
      </w:r>
    </w:p>
    <w:p>
      <w:pPr>
        <w:pStyle w:val="Normal"/>
      </w:pPr>
      <w:r>
        <w:t>2. Unless a specific provision supplies another rule, an incumbent whose term expires continues in caretaker capacity for up to 180 days solely to preserve ordinary operations and pending proceedings.</w:t>
      </w:r>
    </w:p>
    <w:p>
      <w:pPr>
        <w:pStyle w:val="Normal"/>
      </w:pPr>
      <w:r>
        <w:t>3. If a required nomination remains vacant after the treaty deadline and any 30-day cure period, the vacancy shall be filled temporarily by random selection from the applicable pre-approved roster or, if none exists, by the neutral appointment procedure maintained by the Secretariat.</w:t>
      </w:r>
    </w:p>
    <w:p>
      <w:pPr>
        <w:pStyle w:val="Normal"/>
      </w:pPr>
      <w:r>
        <w:t>4. A Party may replace its temporary appointee by making the required lawful appointment, without disturbing decisions already validly taken.</w:t>
      </w:r>
    </w:p>
    <w:p>
      <w:pPr>
        <w:pStyle w:val="Heading2"/>
      </w:pPr>
      <w:bookmarkStart w:id="901763" w:name="_Toc300001762"/>
      <w:r>
        <w:t>Article 46.13: Quorum, Boycott, and Consensus Anti-Hostage Rules</w:t>
      </w:r>
      <w:bookmarkEnd w:id="901763"/>
    </w:p>
    <w:p>
      <w:pPr>
        <w:pStyle w:val="Normal"/>
      </w:pPr>
      <w:r>
        <w:t>1. Proper notice and a reasonable opportunity to participate satisfy the participation requirement for adjudicative, verification, integrity, and compliance functions. The absence or boycott of the Party whose conduct is under review does not defeat quorum after a second duly noticed sitting.</w:t>
      </w:r>
    </w:p>
    <w:p>
      <w:pPr>
        <w:pStyle w:val="Normal"/>
      </w:pPr>
      <w:r>
        <w:t>2. Consensus is reserved for treaty amendment, creation of new substantive obligations, accession or reaccession, material alteration of Party contributions, and other matters expressly designated by this Agreement.</w:t>
      </w:r>
    </w:p>
    <w:p>
      <w:pPr>
        <w:pStyle w:val="Normal"/>
      </w:pPr>
      <w:r>
        <w:t>3. Routine administration, execution of existing formulas, roster maintenance, publication, technical system maintenance, ordinary budgets within previously approved ceilings, and implementation of final decisions shall proceed by the voting or automatic procedures specified for those functions and shall not require fresh political consensus.</w:t>
      </w:r>
    </w:p>
    <w:p>
      <w:pPr>
        <w:pStyle w:val="Normal"/>
      </w:pPr>
      <w:r>
        <w:t>4. No administrative body may convert a matter expressly made automatic by this Agreement into a discretionary consensus decision.</w:t>
      </w:r>
    </w:p>
    <w:p>
      <w:pPr>
        <w:pStyle w:val="Heading2"/>
      </w:pPr>
      <w:bookmarkStart w:id="901764" w:name="_Toc300001763"/>
      <w:r>
        <w:t>Article 46.14: Data Continuity, Protected Access, and Adverse Inference</w:t>
      </w:r>
      <w:bookmarkEnd w:id="901764"/>
    </w:p>
    <w:p>
      <w:pPr>
        <w:pStyle w:val="Normal"/>
      </w:pPr>
      <w:r>
        <w:t>1. A Party may protect classified, privileged, personal, law-enforcement-sensitive, and confidential business information, but shall use a functional protected substitute where information is materially necessary to treaty verification.</w:t>
      </w:r>
    </w:p>
    <w:p>
      <w:pPr>
        <w:pStyle w:val="Normal"/>
      </w:pPr>
      <w:r>
        <w:t>2. Functional substitutes include aggregated data, non-confidential summaries, redaction, protected data rooms, security-cleared review, sampling, anonymization, or another method preserving both legitimate confidentiality and meaningful review.</w:t>
      </w:r>
    </w:p>
    <w:p>
      <w:pPr>
        <w:pStyle w:val="Normal"/>
      </w:pPr>
      <w:r>
        <w:t>3. If a Party possesses materially responsive information and unjustifiably refuses all reasonable protected methods, the deciding body may draw a limited adverse inference no broader than necessary to address the evidentiary gap.</w:t>
      </w:r>
    </w:p>
    <w:p>
      <w:pPr>
        <w:pStyle w:val="Normal"/>
      </w:pPr>
      <w:r>
        <w:t>4. An adverse inference does not substitute for proof of an element for which reliable independent evidence is reasonably available.</w:t>
      </w:r>
    </w:p>
    <w:p>
      <w:pPr>
        <w:pStyle w:val="Heading2"/>
      </w:pPr>
      <w:bookmarkStart w:id="901765" w:name="_Toc300001764"/>
      <w:r>
        <w:t>Article 46.15: Evidentiary Proportionality and Anti-Landfill Rule</w:t>
      </w:r>
      <w:bookmarkEnd w:id="901765"/>
    </w:p>
    <w:p>
      <w:pPr>
        <w:pStyle w:val="Normal"/>
      </w:pPr>
      <w:r>
        <w:t>1. A submission shall identify the evidence materially relied upon, provide a machine-readable index where practicable, cite the relevant record location, and distinguish supporting material from background production.</w:t>
      </w:r>
    </w:p>
    <w:p>
      <w:pPr>
        <w:pStyle w:val="Normal"/>
      </w:pPr>
      <w:r>
        <w:t>2. A Party shall not defeat equality of arms through disproportionate bulk production, duplicative records, unusable formats, or strategically unindexed disclosure.</w:t>
      </w:r>
    </w:p>
    <w:p>
      <w:pPr>
        <w:pStyle w:val="Normal"/>
      </w:pPr>
      <w:r>
        <w:t>3. The deciding body may require focused production, representative sampling, deduplication, common-facts stipulations, or other proportionate case-management measures.</w:t>
      </w:r>
    </w:p>
    <w:p>
      <w:pPr>
        <w:pStyle w:val="Heading2"/>
      </w:pPr>
      <w:bookmarkStart w:id="901766" w:name="_Toc300001765"/>
      <w:r>
        <w:t>Article 46.16: Successor Measure and Anti-Whack-a-Mole Jurisdiction</w:t>
      </w:r>
      <w:bookmarkEnd w:id="901766"/>
    </w:p>
    <w:p>
      <w:pPr>
        <w:pStyle w:val="Normal"/>
      </w:pPr>
      <w:r>
        <w:t>1. Compliance jurisdiction extends to a successor, replacement, renamed, recodified, delegated, or materially restructured measure where its purpose, operation, legal effect, or economic effect is substantially equivalent to a measure already found inconsistent.</w:t>
      </w:r>
    </w:p>
    <w:p>
      <w:pPr>
        <w:pStyle w:val="Normal"/>
      </w:pPr>
      <w:r>
        <w:t>2. A Party may demonstrate that a successor measure materially cures the prior inconsistency. Mere repeal and reenactment does not reset the compliance clock.</w:t>
      </w:r>
    </w:p>
    <w:p>
      <w:pPr>
        <w:pStyle w:val="Normal"/>
      </w:pPr>
      <w:r>
        <w:t>3. Where substantial equivalence is established, the original compliance proceeding remains open and may address the successor measure without requiring a wholly new merits case.</w:t>
      </w:r>
    </w:p>
    <w:p>
      <w:pPr>
        <w:pStyle w:val="Heading2"/>
      </w:pPr>
      <w:bookmarkStart w:id="901767" w:name="_Toc300001766"/>
      <w:r>
        <w:t>Article 46.17: Administrative Pattern and Cumulative Burden Review</w:t>
      </w:r>
      <w:bookmarkEnd w:id="901767"/>
    </w:p>
    <w:p>
      <w:pPr>
        <w:pStyle w:val="Normal"/>
      </w:pPr>
      <w:r>
        <w:t>1. Cothrom may examine a pattern of administrative conduct where no single act independently establishes a material violation but the combined course of conduct may materially impair treaty treatment.</w:t>
      </w:r>
    </w:p>
    <w:p>
      <w:pPr>
        <w:pStyle w:val="Normal"/>
      </w:pPr>
      <w:r>
        <w:t>2. Relevant indicators may include clearance times, inspection rates, secondary examination, documentation demands, rejection rates, laboratory referral, bond requirements, audit frequency, licensing delay, certification queues, trusted-status removal, technical-information requests, and other measurable administrative burdens.</w:t>
      </w:r>
    </w:p>
    <w:p>
      <w:pPr>
        <w:pStyle w:val="Normal"/>
      </w:pPr>
      <w:r>
        <w:t>3. Pattern analysis shall control for legitimate explanatory variables including product mix, risk, compliance history, seasonality, congestion, infrastructure failure, emergency conditions, and material security differences.</w:t>
      </w:r>
    </w:p>
    <w:p>
      <w:pPr>
        <w:pStyle w:val="Normal"/>
      </w:pPr>
      <w:r>
        <w:t>4. Statistical disparity creates a basis for inquiry, not automatic liability. A finding requires evidence that the unexplained pattern is materially inconsistent with an obligation of this Agreement.</w:t>
      </w:r>
    </w:p>
    <w:p>
      <w:pPr>
        <w:pStyle w:val="Heading2"/>
      </w:pPr>
      <w:bookmarkStart w:id="901768" w:name="_Toc300001767"/>
      <w:r>
        <w:t>Article 46.18: Procedural Denial-of-Service and Case Consolidation</w:t>
      </w:r>
      <w:bookmarkEnd w:id="901768"/>
    </w:p>
    <w:p>
      <w:pPr>
        <w:pStyle w:val="Normal"/>
      </w:pPr>
      <w:r>
        <w:t>1. The dispute and verification systems shall remain capable of handling high-volume legitimate claims without allowing fragmentation to disable adjudication.</w:t>
      </w:r>
    </w:p>
    <w:p>
      <w:pPr>
        <w:pStyle w:val="Normal"/>
      </w:pPr>
      <w:r>
        <w:t>2. Claims sharing substantially common facts, measures, legal questions, or requested remedies may be consolidated, grouped, sequenced, or managed through common evidentiary records while preserving each Party's right to present materially distinct issues.</w:t>
      </w:r>
    </w:p>
    <w:p>
      <w:pPr>
        <w:pStyle w:val="Normal"/>
      </w:pPr>
      <w:r>
        <w:t>3. The Secretariat may activate temporary surge rosters and technical resources when filing volume exceeds ordinary capacity.</w:t>
      </w:r>
    </w:p>
    <w:p>
      <w:pPr>
        <w:pStyle w:val="Normal"/>
      </w:pPr>
      <w:r>
        <w:t>4. No arbitrary numerical cap shall prevent good-faith claims, but duplicative fragmentation may be rejected or consolidated.</w:t>
      </w:r>
    </w:p>
    <w:p>
      <w:pPr>
        <w:pStyle w:val="Heading2"/>
      </w:pPr>
      <w:bookmarkStart w:id="901769" w:name="_Toc300001768"/>
      <w:r>
        <w:t>Article 46.19: Automatic Post-Ruling Compliance Supervision</w:t>
      </w:r>
      <w:bookmarkEnd w:id="901769"/>
    </w:p>
    <w:p>
      <w:pPr>
        <w:pStyle w:val="Normal"/>
      </w:pPr>
      <w:r>
        <w:t>1. A final finding of inconsistency remains under the jurisdiction of the deciding body, or its designated compliance successor, until Cure Certification under Article 35.46 or another treaty-specified closure event.</w:t>
      </w:r>
    </w:p>
    <w:p>
      <w:pPr>
        <w:pStyle w:val="Normal"/>
      </w:pPr>
      <w:r>
        <w:t>2. The prevailing Party need not initiate an entirely new merits proceeding merely to establish nonimplementation of the same operative finding.</w:t>
      </w:r>
    </w:p>
    <w:p>
      <w:pPr>
        <w:pStyle w:val="Normal"/>
      </w:pPr>
      <w:r>
        <w:t>3. Compliance timetables, evidence updates, successor measures, and restoration shall be supervised through the existing record to the extent practicable.</w:t>
      </w:r>
    </w:p>
    <w:p>
      <w:pPr>
        <w:pStyle w:val="Heading1"/>
      </w:pPr>
      <w:bookmarkStart w:id="901770" w:name="_Toc300001769"/>
      <w:r>
        <w:t>CHAPTER 47</w:t>
      </w:r>
      <w:r>
        <w:br/>
      </w:r>
      <w:r>
        <w:t>TREATY RESILIENCE, SAFE MODE, AND RECONSTITUTION</w:t>
      </w:r>
      <w:bookmarkEnd w:id="901770"/>
    </w:p>
    <w:p>
      <w:pPr>
        <w:pStyle w:val="Heading2"/>
      </w:pPr>
      <w:bookmarkStart w:id="901771" w:name="_Toc300001770"/>
      <w:r>
        <w:t>Article 47.0A: Effective Treaty Performance and Anti-Malicious-Compliance Principle</w:t>
      </w:r>
      <w:bookmarkEnd w:id="901771"/>
    </w:p>
    <w:p>
      <w:pPr>
        <w:pStyle w:val="Normal"/>
      </w:pPr>
      <w:r>
        <w:t>1. Formal or literal conformity with an obligation does not by itself establish effective performance where the implementation, administration, sequencing, resourcing, interpretation, or combination of measures materially defeats the reasonably ascertainable function or treaty-created benefit of that obligation.</w:t>
      </w:r>
    </w:p>
    <w:p>
      <w:pPr>
        <w:pStyle w:val="Normal"/>
      </w:pPr>
      <w:r>
        <w:t>2. This Article does not authorize a tribunal to invent obligations from an abstract spirit of the Agreement. The asserted function or benefit must be anchored in operative text, an incorporated schedule, authenticated implementing commitment, or a necessary operational consequence of an express right.</w:t>
      </w:r>
    </w:p>
    <w:p>
      <w:pPr>
        <w:pStyle w:val="Normal"/>
      </w:pPr>
      <w:r>
        <w:t>3. Malicious intent need not be proven. Review shall principally examine objective operation and effect. Evidence of intent, coordination, selective intensity, or political linkage may corroborate but is not required where objective impairment is otherwise established.</w:t>
      </w:r>
    </w:p>
    <w:p>
      <w:pPr>
        <w:pStyle w:val="Normal"/>
      </w:pPr>
      <w:r>
        <w:t>4. Strict, expensive, novel, inconvenient, trade-restrictive, or highly precautionary regulation is not inconsistent merely because it imposes burden. Legitimate health, safety, environment, security, privacy, revenue, fraud-prevention, and other public-interest regulation remains protected subject to applicable treaty disciplines.</w:t>
      </w:r>
    </w:p>
    <w:p>
      <w:pPr>
        <w:pStyle w:val="Heading2"/>
      </w:pPr>
      <w:bookmarkStart w:id="901772" w:name="_Toc300001771"/>
      <w:r>
        <w:t>Article 47.0B: Cumulative Friction, Whole-of-Government, and Rolling-Window Review</w:t>
      </w:r>
      <w:bookmarkEnd w:id="901772"/>
    </w:p>
    <w:p>
      <w:pPr>
        <w:pStyle w:val="Normal"/>
      </w:pPr>
      <w:r>
        <w:t>1. Cothrom may aggregate related administrative burdens imposed by separate agencies, governmental levels, delegated public authorities, ports, certification bodies exercising delegated authority, or sequential procedures where separate examination would materially understate impairment of the same defined treaty pathway or trade flow.</w:t>
      </w:r>
    </w:p>
    <w:p>
      <w:pPr>
        <w:pStyle w:val="Normal"/>
      </w:pPr>
      <w:r>
        <w:t>2. Aggregation may consider a rolling period sufficient to capture rotating or seasonal burdens and shall account for product characteristics, seasonality, congestion, compliance history, legitimate risk, emergencies, and changes in trade volume.</w:t>
      </w:r>
    </w:p>
    <w:p>
      <w:pPr>
        <w:pStyle w:val="Normal"/>
      </w:pPr>
      <w:r>
        <w:t>3. No minimum number of measures is required. Conversely, the existence of many measures does not establish a violation without material cumulative impairment or another applicable treaty defect.</w:t>
      </w:r>
    </w:p>
    <w:p>
      <w:pPr>
        <w:pStyle w:val="Normal"/>
      </w:pPr>
      <w:r>
        <w:t>4. National averages shall not conceal concentrated effects. Where relevant, analysis may use corridor, port, product, enterprise-size, mode, seasonal, median, tail-delay, repeat-inspection, hold-frequency, and other appropriately disaggregated indicators.</w:t>
      </w:r>
    </w:p>
    <w:p>
      <w:pPr>
        <w:pStyle w:val="Heading2"/>
      </w:pPr>
      <w:bookmarkStart w:id="901773" w:name="_Toc300001772"/>
      <w:r>
        <w:t>Article 47.0C: Functional Successor Pattern and Effective Restoration</w:t>
      </w:r>
      <w:bookmarkEnd w:id="901773"/>
    </w:p>
    <w:p>
      <w:pPr>
        <w:pStyle w:val="Normal"/>
      </w:pPr>
      <w:r>
        <w:t>1. Article 46.16 and Article 35.30 apply to a functional successor pattern even where replacement measures invoke different legal purposes or authorities, if the sequence of measures substantially reproduces the impairment previously found and the distinct stated purposes do not reasonably explain the cumulative effect.</w:t>
      </w:r>
    </w:p>
    <w:p>
      <w:pPr>
        <w:pStyle w:val="Normal"/>
      </w:pPr>
      <w:r>
        <w:t>2. Where a violation was established through cumulative conduct, cure shall be evaluated against restoration of the affected treaty pathway or benefit, not solely repeal of one component measure.</w:t>
      </w:r>
    </w:p>
    <w:p>
      <w:pPr>
        <w:pStyle w:val="Normal"/>
      </w:pPr>
      <w:r>
        <w:t>3. Effective restoration does not require a guaranteed commercial outcome. It requires removal or correction of the treaty-inconsistent impairment while preserving lawful regulatory objectives.</w:t>
      </w:r>
    </w:p>
    <w:p>
      <w:pPr>
        <w:pStyle w:val="Normal"/>
      </w:pPr>
      <w:r>
        <w:t>4. A Party may demonstrate cure through alternative measures that achieve the legitimate public objective with materially equivalent effectiveness and reduced treaty impairment.</w:t>
      </w:r>
    </w:p>
    <w:p>
      <w:pPr>
        <w:pStyle w:val="Heading2"/>
      </w:pPr>
      <w:bookmarkStart w:id="901774" w:name="_Toc300001773"/>
      <w:r>
        <w:t>Article 47.0D: Institutional Anti-Paralysis and Usable Proceedings</w:t>
      </w:r>
      <w:bookmarkEnd w:id="901774"/>
    </w:p>
    <w:p>
      <w:pPr>
        <w:pStyle w:val="Normal"/>
      </w:pPr>
      <w:r>
        <w:t>1. Treaty bodies may establish proportionate page, format, indexing, machine-readable-data, issue-list, and evidentiary-identification requirements to prevent procedural overload while preserving due process and the ability to present material evidence.</w:t>
      </w:r>
    </w:p>
    <w:p>
      <w:pPr>
        <w:pStyle w:val="Normal"/>
      </w:pPr>
      <w:r>
        <w:t>2. Required reasons shall identify the operative legal basis, material facts, decisive evidence, methodology, principal alternatives considered where required, and the actual basis of decision. Voluminous supporting records do not substitute for a usable reasoned explanation.</w:t>
      </w:r>
    </w:p>
    <w:p>
      <w:pPr>
        <w:pStyle w:val="Normal"/>
      </w:pPr>
      <w:r>
        <w:t>3. Consultation shall not indefinitely toll adjudication. Once the applicable consultation period or agreed consultation milestones are exhausted, a Party may advance to the next treaty stage notwithstanding another Party's preference for additional meetings, studies, or consultations.</w:t>
      </w:r>
    </w:p>
    <w:p>
      <w:pPr>
        <w:pStyle w:val="Normal"/>
      </w:pPr>
      <w:r>
        <w:t>4. Treaty bodies may consolidate substantially related cases, require common-facts submissions, reject immaterial duplication, and use batch or representative adjudication where doing so preserves measure-specific findings and procedural fairness.</w:t>
      </w:r>
    </w:p>
    <w:p>
      <w:pPr>
        <w:pStyle w:val="Normal"/>
      </w:pPr>
      <w:r>
        <w:t>5. Failure to provide uniquely controlled material evidence after protected-access alternatives have been offered may support the limited adverse inference authorized by Article 46.14. Evidentiary volume alone shall never create such an inference.</w:t>
      </w:r>
    </w:p>
    <w:p>
      <w:pPr>
        <w:pStyle w:val="Heading2"/>
      </w:pPr>
      <w:bookmarkStart w:id="901775" w:name="_Toc300001774"/>
      <w:r>
        <w:t>Article 47.0E: Implementation Simplicity and Procedure Selection</w:t>
      </w:r>
      <w:bookmarkEnd w:id="901775"/>
    </w:p>
    <w:p>
      <w:pPr>
        <w:pStyle w:val="Normal"/>
      </w:pPr>
      <w:r>
        <w:t>1. Where two or more treaty procedures protect materially the same interest, the Secretariat, Cothrom, or other competent treaty body shall use the least procedurally burdensome route that preserves all applicable substantive rights, evidentiary safeguards, confidentiality protections, and available remedies.</w:t>
      </w:r>
    </w:p>
    <w:p>
      <w:pPr>
        <w:pStyle w:val="Normal"/>
      </w:pPr>
      <w:r>
        <w:t>2. A claimant shall not be required to litigate materially identical factual questions repeatedly solely because the same course of conduct implicates multiple treaty provisions. The decision shall nevertheless identify each legal obligation actually applied.</w:t>
      </w:r>
    </w:p>
    <w:p>
      <w:pPr>
        <w:pStyle w:val="Normal"/>
      </w:pPr>
      <w:r>
        <w:t>3. Nothing in this Article permits a treaty body to waive a non-derogable safeguard, lower an expressly specified burden of proof, bypass a tax-convention referral required by Article 32.3, or alter a Party's substantive obligation without consent.</w:t>
      </w:r>
    </w:p>
    <w:p>
      <w:pPr>
        <w:pStyle w:val="Normal"/>
      </w:pPr>
      <w:r>
        <w:t>4. The Secretariat shall maintain an internal procedural map and public plain-language routing guide. Such guides are administrative aids and do not amend this Agreement.</w:t>
      </w:r>
    </w:p>
    <w:p>
      <w:pPr>
        <w:pStyle w:val="Heading2"/>
      </w:pPr>
      <w:bookmarkStart w:id="901776" w:name="_Toc300001775"/>
      <w:r>
        <w:t>Article 47.1: Differential Routing</w:t>
      </w:r>
      <w:bookmarkEnd w:id="901776"/>
    </w:p>
    <w:p>
      <w:pPr>
        <w:pStyle w:val="Normal"/>
      </w:pPr>
      <w:r>
        <w:t>1. Implementation and dispute matters may be routed by scale for administrative handling: routine operational matters use the Fast Operational Track; structural policy disputes use the Standard Structural Track; constitutional, sovereignty, or treaty-architecture disputes use the High-Sensitivity Track. These labels do not create separate tribunals, alter Chapter 31 jurisdiction, or change an otherwise applicable burden of proof, remedy, or mandatory procedural safeguard.</w:t>
      </w:r>
    </w:p>
    <w:p>
      <w:pPr>
        <w:pStyle w:val="Normal"/>
      </w:pPr>
      <w:r>
        <w:t>2. Each track shall use procedure proportionate to the issue. A clerical customs error shall not require the evidentiary architecture appropriate to an essential-security dispute.</w:t>
      </w:r>
    </w:p>
    <w:p>
      <w:pPr>
        <w:pStyle w:val="Heading2"/>
      </w:pPr>
      <w:bookmarkStart w:id="901777" w:name="_Toc300001776"/>
      <w:r>
        <w:t>Article 47.2: Lateral Transfer</w:t>
      </w:r>
      <w:bookmarkEnd w:id="901777"/>
    </w:p>
    <w:p>
      <w:pPr>
        <w:pStyle w:val="Normal"/>
      </w:pPr>
      <w:r>
        <w:t>1. A matter that is stalled, misclassified, or better suited to another competent treaty body may transfer laterally without dismissal or refiling. The full record, deadlines already elapsed, and interim protections travel with the matter.</w:t>
      </w:r>
    </w:p>
    <w:p>
      <w:pPr>
        <w:pStyle w:val="Normal"/>
      </w:pPr>
      <w:r>
        <w:t>2. Lateral transfer does not increase the remedy available or restart a clock unless necessary to protect due process.</w:t>
      </w:r>
    </w:p>
    <w:p>
      <w:pPr>
        <w:pStyle w:val="Heading2"/>
      </w:pPr>
      <w:bookmarkStart w:id="901778" w:name="_Toc300001777"/>
      <w:r>
        <w:t>Article 47.3: Treaty Reliance Archive</w:t>
      </w:r>
      <w:bookmarkEnd w:id="901778"/>
    </w:p>
    <w:p>
      <w:pPr>
        <w:pStyle w:val="Normal"/>
      </w:pPr>
      <w:r>
        <w:t>1. The Secretariat shall maintain a Treaty Reliance Archive recording final panel determinations, recognized certifications, trusted-trader approvals, mutual-recognition determinations, completed implementation milestones, and other verified reliance interests designated by the Commission.</w:t>
      </w:r>
    </w:p>
    <w:p>
      <w:pPr>
        <w:pStyle w:val="Normal"/>
      </w:pPr>
      <w:r>
        <w:t>2. A later unrelated dispute does not erase an archived reliance interest. An archived status may be changed only under the treaty provision governing that status and on the facts relevant to that status.</w:t>
      </w:r>
    </w:p>
    <w:p>
      <w:pPr>
        <w:pStyle w:val="Heading2"/>
      </w:pPr>
      <w:bookmarkStart w:id="901779" w:name="_Toc300001778"/>
      <w:r>
        <w:t>Article 47.4: Economic Safe Mode</w:t>
      </w:r>
      <w:bookmarkEnd w:id="901779"/>
    </w:p>
    <w:p>
      <w:pPr>
        <w:pStyle w:val="Normal"/>
      </w:pPr>
      <w:r>
        <w:t>1. During a severe political, constitutional, cyber, public-health, military, or infrastructure crisis that materially impairs ordinary treaty administration, the Commission may by consensus activate Economic Safe Mode for up to 90 days, renewable once. If the Commission itself cannot act because of the disruption, only continuity measures already authorized by this Agreement or the Operational Manual may operate until Commission action becomes possible.</w:t>
      </w:r>
    </w:p>
    <w:p>
      <w:pPr>
        <w:pStyle w:val="Normal"/>
      </w:pPr>
      <w:r>
        <w:t>2. Safe Mode pauses new discretionary liberalization deadlines that cannot reasonably be performed, but preserves existing tariff preferences, humanitarian and essential goods treatment, ordinary customs communication, food-safety and emergency coordination, existing panel records, archived rights, and technical verification to the maximum extent practicable.</w:t>
      </w:r>
    </w:p>
    <w:p>
      <w:pPr>
        <w:pStyle w:val="Normal"/>
      </w:pPr>
      <w:r>
        <w:t>3. Safe Mode does not legalize a new tariff or discriminatory border measure. Measures independently justified by an express emergency provision remain subject to that provision.</w:t>
      </w:r>
    </w:p>
    <w:p>
      <w:pPr>
        <w:pStyle w:val="Heading2"/>
      </w:pPr>
      <w:bookmarkStart w:id="901780" w:name="_Toc300001779"/>
      <w:r>
        <w:t>Article 47.5: Good-Faith Pause</w:t>
      </w:r>
      <w:bookmarkEnd w:id="901780"/>
    </w:p>
    <w:p>
      <w:pPr>
        <w:pStyle w:val="Normal"/>
      </w:pPr>
      <w:r>
        <w:t>1. A Party facing a demonstrable obstacle beyond its reasonable control may request a time-limited Good-Faith Pause for a particular implementation obligation or remediation deadline.</w:t>
      </w:r>
    </w:p>
    <w:p>
      <w:pPr>
        <w:pStyle w:val="Normal"/>
      </w:pPr>
      <w:r>
        <w:t>2. The request shall identify the obstacle, efforts already taken, a credible remediation plan, and the minimum additional time needed. A pause does not erase prior progress or reset a dispute clock; it suspends only the affected deadline.</w:t>
      </w:r>
    </w:p>
    <w:p>
      <w:pPr>
        <w:pStyle w:val="Normal"/>
      </w:pPr>
      <w:r>
        <w:t>3. A Good-Faith Pause is unavailable for deliberate noncompliance, political bargaining, or a failure to allocate ordinary administrative resources.</w:t>
      </w:r>
    </w:p>
    <w:p>
      <w:pPr>
        <w:pStyle w:val="Heading2"/>
      </w:pPr>
      <w:bookmarkStart w:id="901781" w:name="_Toc300001780"/>
      <w:r>
        <w:t>Article 47.6: Scenario Repository and Pre-Negotiated Playbooks</w:t>
      </w:r>
      <w:bookmarkEnd w:id="901781"/>
    </w:p>
    <w:p>
      <w:pPr>
        <w:pStyle w:val="Normal"/>
      </w:pPr>
      <w:r>
        <w:t>1. The Secretariat shall maintain a confidential-to-government Scenario Repository covering foreseeable operational failure modes, including border IT outage, cyberattack, pandemic restrictions, major port or bridge closure, customs staffing disruption, commodity shortage, mass origin fraud, registry failure, and simultaneous multi-sector disputes.</w:t>
      </w:r>
    </w:p>
    <w:p>
      <w:pPr>
        <w:pStyle w:val="Normal"/>
      </w:pPr>
      <w:r>
        <w:t>2. For each scenario, the responsible bodies shall maintain a pre-negotiated continuity playbook identifying authority, communications, alternative evidence, temporary service levels, SME procedures, and restoration steps.</w:t>
      </w:r>
    </w:p>
    <w:p>
      <w:pPr>
        <w:pStyle w:val="Heading2"/>
      </w:pPr>
      <w:bookmarkStart w:id="901782" w:name="_Toc300001781"/>
      <w:r>
        <w:t>Article 47.7: Pilot Mechanism</w:t>
      </w:r>
      <w:bookmarkEnd w:id="901782"/>
    </w:p>
    <w:p>
      <w:pPr>
        <w:pStyle w:val="Normal"/>
      </w:pPr>
      <w:r>
        <w:t>1. A materially new customs, traceability, registry, verification, artificial-intelligence, or facilitation procedure should, where practicable, operate as a limited pilot before becoming a mandatory continent-wide process.</w:t>
      </w:r>
    </w:p>
    <w:p>
      <w:pPr>
        <w:pStyle w:val="Normal"/>
      </w:pPr>
      <w:r>
        <w:t>2. A pilot shall define scope, duration, success metrics, privacy and security controls, burden limits, an independent evaluation, and a rollback path. Failure of a pilot does not reduce existing treaty rights.</w:t>
      </w:r>
    </w:p>
    <w:p>
      <w:pPr>
        <w:pStyle w:val="Heading2"/>
      </w:pPr>
      <w:bookmarkStart w:id="901783" w:name="_Toc300001782"/>
      <w:r>
        <w:t>Article 47.8: Dormancy and Reactivation</w:t>
      </w:r>
      <w:bookmarkEnd w:id="901783"/>
    </w:p>
    <w:p>
      <w:pPr>
        <w:pStyle w:val="Normal"/>
      </w:pPr>
      <w:r>
        <w:t>1. A voluntary or supplemental treaty program may enter Dormant Status instead of being abolished when funding, political support, or participation falls temporarily below operational levels.</w:t>
      </w:r>
    </w:p>
    <w:p>
      <w:pPr>
        <w:pStyle w:val="Normal"/>
      </w:pPr>
      <w:r>
        <w:t>2. During dormancy, the program preserves its legal instruments, records, technical standards, minimum contact point, and reactivation procedure. Dormancy does not suspend unrelated obligations.</w:t>
      </w:r>
    </w:p>
    <w:p>
      <w:pPr>
        <w:pStyle w:val="Normal"/>
      </w:pPr>
      <w:r>
        <w:t>3. Reactivation shall use the shortest practicable procedure and shall not require rebuilding institutions or records that remain valid.</w:t>
      </w:r>
    </w:p>
    <w:p>
      <w:pPr>
        <w:pStyle w:val="Heading2"/>
      </w:pPr>
      <w:bookmarkStart w:id="901784" w:name="_Toc300001783"/>
      <w:r>
        <w:t>Article 47.9: Personnel and Knowledge Continuity</w:t>
      </w:r>
      <w:bookmarkEnd w:id="901784"/>
    </w:p>
    <w:p>
      <w:pPr>
        <w:pStyle w:val="Normal"/>
      </w:pPr>
      <w:r>
        <w:t>1. Every standing treaty body shall designate alternates for essential roles and maintain current continuity documentation sufficient for a qualified replacement to assume duties without material interruption.</w:t>
      </w:r>
    </w:p>
    <w:p>
      <w:pPr>
        <w:pStyle w:val="Normal"/>
      </w:pPr>
      <w:r>
        <w:t>2. The Secretariat shall maintain minimum continuity staffing and distributed backups for critical records, cryptographic keys, contact lists, rosters, and continuity procedures.</w:t>
      </w:r>
    </w:p>
    <w:p>
      <w:pPr>
        <w:pStyle w:val="Heading2"/>
      </w:pPr>
      <w:bookmarkStart w:id="901785" w:name="_Toc300001784"/>
      <w:r>
        <w:t>Article 47.10: Administrative Burden Audit</w:t>
      </w:r>
      <w:bookmarkEnd w:id="901785"/>
    </w:p>
    <w:p>
      <w:pPr>
        <w:pStyle w:val="Normal"/>
      </w:pPr>
      <w:r>
        <w:t>1. Each year the Secretariat shall assess approval time, paperwork volume, number of approval layers, repeat review cycles, exception requests, SME compliance cost, and duplicative data demands for major treaty procedures.</w:t>
      </w:r>
    </w:p>
    <w:p>
      <w:pPr>
        <w:pStyle w:val="Normal"/>
      </w:pPr>
      <w:r>
        <w:t>2. Where a procedure shows persistent administrative growth without a corresponding risk or legal justification, the responsible body shall conduct a simplification review and publish corrective actions.</w:t>
      </w:r>
    </w:p>
    <w:p>
      <w:pPr>
        <w:pStyle w:val="Normal"/>
      </w:pPr>
      <w:r>
        <w:t>3. Simplification shall not weaken an express substantive standard, enforcement against fraud, health or safety protection, forced-labor controls, or due process.</w:t>
      </w:r>
    </w:p>
    <w:p>
      <w:pPr>
        <w:pStyle w:val="Normal"/>
      </w:pPr>
      <w:r>
        <w:t>4. Reporting Consolidation. In conducting the annual audit, the Secretariat shall identify recurring reports, dashboards, certifications, reviews, and data submissions that materially overlap in purpose or source data. The responsible bodies shall, where legally and technically practicable, use a common data submission, shared evidentiary record, synchronized reporting date, cross-reference, or consolidated publication rather than requiring substantially duplicative production. Consolidation shall preserve any distinct confidentiality, due-process, audit, statutory, or evidentiary requirement and shall not reduce the information reasonably necessary for a substantive treaty function. A body retaining a materially duplicative requirement should record the operational reason for doing so in the next administrative-burden audit.</w:t>
      </w:r>
    </w:p>
    <w:p>
      <w:pPr>
        <w:pStyle w:val="Heading2"/>
      </w:pPr>
      <w:bookmarkStart w:id="901786" w:name="_Toc300001785"/>
      <w:r>
        <w:t>Article 47.11: Routine, Standard, and Emergency Administrative Decisions</w:t>
      </w:r>
      <w:bookmarkEnd w:id="901786"/>
    </w:p>
    <w:p>
      <w:pPr>
        <w:pStyle w:val="Normal"/>
      </w:pPr>
      <w:r>
        <w:t>1. Routine administrative decisions may be delegated to designated officials under published authority and short clocks. Major interpretive or policy decisions remain with the competent committee or panel. Genuine emergency administrative decisions may use an expedited human override subject to prompt written reasons and post-action review.</w:t>
      </w:r>
    </w:p>
    <w:p>
      <w:pPr>
        <w:pStyle w:val="Heading2"/>
      </w:pPr>
      <w:bookmarkStart w:id="901787" w:name="_Toc300001786"/>
      <w:r>
        <w:t>Article 47.12: Treaty Resilience Exercises</w:t>
      </w:r>
      <w:bookmarkEnd w:id="901787"/>
    </w:p>
    <w:p>
      <w:pPr>
        <w:pStyle w:val="Normal"/>
      </w:pPr>
      <w:r>
        <w:t>1. At least once every two years, or on another interval agreed by the Commission where resources or security conditions warrant, the Parties shall conduct or coordinate a Treaty Resilience Exercise using existing authorities. Scenarios should include digital-system failure, border or logistics disruption, and legal or enforcement stress where practicable.</w:t>
      </w:r>
    </w:p>
    <w:p>
      <w:pPr>
        <w:pStyle w:val="Normal"/>
      </w:pPr>
      <w:r>
        <w:t>2. Red-team and blue-team participants shall test circumvention, cascade failure, administrative overload, evidence integrity, communications, and restoration. A lessons-learned report shall identify concrete hardening actions within 60 days.</w:t>
      </w:r>
    </w:p>
    <w:p>
      <w:pPr>
        <w:pStyle w:val="Normal"/>
      </w:pPr>
      <w:r>
        <w:t>3. Findings that would disclose exploitable customs, cybersecurity, or infrastructure vulnerabilities may remain confidential, but the Commission shall publish a non-sensitive implementation summary.</w:t>
      </w:r>
    </w:p>
    <w:p>
      <w:pPr>
        <w:pStyle w:val="Heading2"/>
      </w:pPr>
      <w:bookmarkStart w:id="901788" w:name="_Toc300001787"/>
      <w:r>
        <w:t>Article 47.13: Post-Crisis Reconstitution</w:t>
      </w:r>
      <w:bookmarkEnd w:id="901788"/>
    </w:p>
    <w:p>
      <w:pPr>
        <w:pStyle w:val="Normal"/>
      </w:pPr>
      <w:r>
        <w:t>1. After Safe Mode or a catastrophic interruption, the treaty shall return through a 30-60-90 day reconstitution cycle unless normal operations can resume sooner.</w:t>
      </w:r>
    </w:p>
    <w:p>
      <w:pPr>
        <w:pStyle w:val="Normal"/>
      </w:pPr>
      <w:r>
        <w:t>2. Days 0-30: assess institutional, border, registry, panel, and communications status; preserve records and archived rights; identify urgent repair.</w:t>
      </w:r>
    </w:p>
    <w:p>
      <w:pPr>
        <w:pStyle w:val="Normal"/>
      </w:pPr>
      <w:r>
        <w:t>3. Days 31-60: restore critical systems, replenish rosters, resolve queued urgent matters, and re-establish ordinary service levels.</w:t>
      </w:r>
    </w:p>
    <w:p>
      <w:pPr>
        <w:pStyle w:val="Normal"/>
      </w:pPr>
      <w:r>
        <w:t>4. Days 61-90: restore full operation, close temporary workarounds, audit continuity decisions, and update the Scenario Repository.</w:t>
      </w:r>
    </w:p>
    <w:p>
      <w:pPr>
        <w:pStyle w:val="Normal"/>
      </w:pPr>
      <w:r>
        <w:t>5. Reconstitution resumes from the legally preserved baseline. A crisis does not reset the Agreement to an earlier tariff schedule or erase a final determination.</w:t>
      </w:r>
    </w:p>
    <w:p>
      <w:pPr>
        <w:pStyle w:val="Heading1"/>
      </w:pPr>
      <w:bookmarkStart w:id="901789" w:name="_Toc300001788"/>
      <w:r>
        <w:t>PACKAGE K: NORTH AMERICAN MARKET-ACCESS AND ECONOMIC-SECURITY INCENTIVES</w:t>
      </w:r>
      <w:bookmarkEnd w:id="901789"/>
    </w:p>
    <w:p>
      <w:pPr>
        <w:pStyle w:val="Normal"/>
      </w:pPr>
      <w:r>
        <w:t>Chapter 36, Articles 36.11–36.28: Added a reciprocal “stronger bargain” package: rapid anti-circumvention verification; voluntary enhanced North American content incentives; automotive and advanced-component investment facilitation; steel/aluminum security; strategic dependency reduction; forced-labor perimeter safeguards; entity-specific origin-fraud discipline; agricultural market-access assurance; energy security; semiconductor and advanced-manufacturing cooperation; an SME export fast lane; regulatory and digital non-discrimination review; a trade-balance diagnostic that does not make deficits actionable; voluntary subnational market-access schedules including beverage alcohol; an optional provincial-demand TRQ allocation mechanism within existing aggregate commitments; voluntary trusted-supplier procurement reciprocity; and evidence-based review of the strengthened bargain at future Article 34.7 reviews. These provisions are deliberately reciprocal and do not confer unilateral tariff, sourcing, investment-location, or subnational-control powers.</w:t>
      </w:r>
    </w:p>
    <w:p>
      <w:pPr>
        <w:pStyle w:val="Normal"/>
      </w:pPr>
      <w:r>
        <w:t>PACKAGE M: ECONOMIC REBALANCING, INVESTMENT, AND TRUSTED MATERIALS ACCESS (v3.0). Reframes the instrument as the North American Economic Security and Trade Modernization Agreement while preserving its legal function as a modernization protocol to CUSMA; expands the trade-balance diagnostic into a voluntary opportunity-based rebalancing and investment mechanism without making deficits actionable or creating purchase mandates; adds a voluntary U.S. Manufacturing Accelerator with reciprocal Canadian and Mexican equivalents; and establishes a neutral Trusted Strategic Materials Source framework allowing each Party to secure specialized advanced-manufacturing metals and alloys from reliable non-Parties where North American supply is insufficient in quantity, grade, certification, form, or delivery time. The framework expressly preserves Chapter 4 origin accounting and lawful trade remedies, prevents trusted non-Party sourcing from being treated as circumvention merely because the material is foreign, and creates objective shortage-list and conformity-recognition procedures, including eligibility for Sweden and other qualifying partners on neutral criteria.</w:t>
      </w:r>
    </w:p>
    <w:p>
      <w:pPr>
        <w:pStyle w:val="Normal"/>
      </w:pPr>
      <w:r>
        <w:t>PACKAGE N: ORIGINAL CUSMA BASELINE RESTORATION (v3.2). A source-by-source audit against the uploaded original CUSMA package confirmed that the principal Chapter 1–34 article sequence survived the initial consolidation, but several legally significant instruments did not. This package restores the controlling 2019 Protocol of Amendment in full, including Annexes 31-A and 31-B; preserves the integral Canada–United States energy, water-resources, and 2004 research-and-development understandings; reproduces the Agreement on Environmental Cooperation for operational completeness; preserves the Uniform Regulations by reference and requires a compatibility schedule; and expressly prevents superseded Section 232 letters or spent historical deadlines from being accidentally revived. A supremacy rule makes the 2019 amendment text controlling wherever a legacy paragraph in the consolidated draft still reflects pre-2019 wording.</w:t>
      </w:r>
    </w:p>
    <w:p>
      <w:pPr>
        <w:pStyle w:val="Normal"/>
      </w:pPr>
      <w:r>
        <w:t>PACKAGE O: ADMINISTRATIVE CONTINUITY, PRACTICAL ENFORCEMENT, AND LEGITIMACY (v3.3). Implements a 'no right depends on administrative perfection' architecture through Annex 34-H; creates default institutions, standards, forms, roster continuity, non-cooperation rules, technical-system fallbacks, and an administrative-delay register; adds a Single SME Compliance Gateway and good-faith documentary safe harbor; prevents labor and environmental verification from being slow-walked and expressly preserves the faster Rapid Response Labor Mechanisms; adds a rule-bound neutral panel-selection process and conflict challenge; creates a Regulatory Safe Harbor to protect bona fide public-interest regulation; establishes a 15-day Minimum Viable Enforcement Track for facial violations; adds WTO-compatibility safeguards for PTAs and external measures; and makes TNAO, critical-mineral traceability, and the Shared Trade Data Registry risk-tiered, technologically neutral, and non-essential to ordinary CUSMA rights.</w:t>
      </w:r>
    </w:p>
    <w:p>
      <w:pPr>
        <w:pStyle w:val="Normal"/>
      </w:pPr>
      <w:r>
        <w:t>PACKAGE P: TARIFF FINALITY, ALTERNATIVE ENFORCEMENT, SECTORAL STABILITY, AND REGULATORY SOVEREIGNTY (v3.4). Makes preferential tariffs permanent economic infrastructure subject only to express treaty exceptions and establishes tariffs as a remedy of last resort; reorders the Chapter 35 response ladder to prioritize cure, verification, compliance security, treaty-created incentive consequences, remediation investment, and compensation before a PTA; creates a remediation-investment mechanism with proportionality and no-double-recovery rules; adds Chapter 41 protecting reciprocal domestic regulatory space for climate, energy, health, science, AI, privacy, cybersecurity, government data, water, forestry, Arctic resources, Indigenous obligations, immigration, culture, and infrastructure while preserving anti-discrimination disciplines; adds Chapter 42 creating a softwood-lumber stability architecture based on stumpage transparency, commercially defensible comparability, six-month adjudication, provisional-duty review, refunds with interest, sustainable-forestry facilitation, and modernization assistance without guaranteed prices or purchase volumes; adds Chapter 43 providing transparent agricultural access, staged dairy-input options, agricultural competitive-neutrality review, support non-escalation, an innovation initiative, reciprocal procurement safeguards, and equal data access without abolishing Canadian supply management; and adds Chapter 44 establishing a neutral Trade Facilitation Index, trusted-trader mutual recognition, equal customs-data access, skilled-mobility service standards, trusted-traveler expansion, infrastructure co-investment, beneficial-ownership cooperation, and reciprocal trade-lobbying transparency.</w:t>
      </w:r>
    </w:p>
    <w:p>
      <w:pPr>
        <w:pStyle w:val="Normal"/>
      </w:pPr>
      <w:r>
        <w:t>PACKAGE Q: INSTITUTIONAL DIVERSITY, COTHROM VERIFICATION, AND SYSTEM RESILIENCE (v3.5). Adds the Institutional Diversity Principle and a Mexican accommodation chapter protecting distinct constitutional, state-enterprise, ejido, rural-development, water-treaty, mining, remittance, traditional-knowledge, and border-SME arrangements without immunizing discrimination or prohibited conduct; adapts the Cothrom Verification Method into a reciprocal trade-verification architecture with data symmetry, a golden record, anomaly severity filtering, precise claims and objections, partial confirmation, a standing neutral expert pool, technical second opinions, human-in-the-loop review, cooling-off, attribution discipline, and non-black-box performance metrics; creates a Technical Truth Escalation Chain and strengthens universal earn-back in Chapter 35; and adds a treaty-resilience chapter providing differential routing, lateral transfer, a Treaty Reliance Archive, Economic Safe Mode, Good-Faith Pause, a Scenario Repository, pilots, dormancy/reactivation, personnel continuity, administrative-burden audits, tiered administrative decision tracks, biennial resilience exercises, and a 30-60-90 post-crisis reconstitution protocol.</w:t>
      </w:r>
    </w:p>
    <w:p>
      <w:pPr>
        <w:pStyle w:val="Heading2"/>
      </w:pPr>
      <w:bookmarkStart w:id="901790" w:name="_Toc300001789"/>
      <w:r>
        <w:t>Article 47.14: Protected Core Functions and Minimum Institutional Continuity Fund</w:t>
      </w:r>
      <w:bookmarkEnd w:id="901790"/>
    </w:p>
    <w:p>
      <w:pPr>
        <w:pStyle w:val="Normal"/>
      </w:pPr>
      <w:r>
        <w:t>1. The Parties shall maintain a formula-based minimum budget for adjudication, verification, integrity review, Treaty Registry publication, secure records, random selection, cybersecurity, translation necessary for legal equality, and continuity operations.</w:t>
      </w:r>
    </w:p>
    <w:p>
      <w:pPr>
        <w:pStyle w:val="Normal"/>
      </w:pPr>
      <w:r>
        <w:t>2. Protected core functions may not be selectively defunded through line-item withholding by a Party. Optional programs remain subject to ordinary budget decisions.</w:t>
      </w:r>
    </w:p>
    <w:p>
      <w:pPr>
        <w:pStyle w:val="Normal"/>
      </w:pPr>
      <w:r>
        <w:t>3. A Continuity Reserve sufficient for at least 12 months of protected core operations shall be maintained within agreed ceilings. A delinquent contribution becomes an accrued obligation and does not authorize the delinquent Party to disable operations.</w:t>
      </w:r>
    </w:p>
    <w:p>
      <w:pPr>
        <w:pStyle w:val="Normal"/>
      </w:pPr>
      <w:r>
        <w:t>4. The Reserve creates no authority for unlimited borrowing or unapproved substantive programs.</w:t>
      </w:r>
    </w:p>
    <w:p>
      <w:pPr>
        <w:pStyle w:val="Heading2"/>
      </w:pPr>
      <w:bookmarkStart w:id="901791" w:name="_Toc300001790"/>
      <w:r>
        <w:t>Article 47.15: Secretariat Integrity, Distributed Custody, and Operational Auditability</w:t>
      </w:r>
      <w:bookmarkEnd w:id="901791"/>
    </w:p>
    <w:p>
      <w:pPr>
        <w:pStyle w:val="Normal"/>
      </w:pPr>
      <w:r>
        <w:t>1. Sensitive Secretariat operations shall use role-based access, dual control where appropriate, tamper-evident docket histories, authenticated timestamps, auditable random-selection records, separation of duties, and periodic independent integrity testing.</w:t>
      </w:r>
    </w:p>
    <w:p>
      <w:pPr>
        <w:pStyle w:val="Normal"/>
      </w:pPr>
      <w:r>
        <w:t>2. Critical treaty records shall be maintained with redundant authenticated custody sufficient to survive corruption, cyberattack, natural disaster, national outage, or loss of a single repository.</w:t>
      </w:r>
    </w:p>
    <w:p>
      <w:pPr>
        <w:pStyle w:val="Normal"/>
      </w:pPr>
      <w:r>
        <w:t>3. The Secretariat shall maintain confidential whistleblower and incident-reporting channels with anti-retaliation protection consistent with domestic law.</w:t>
      </w:r>
    </w:p>
    <w:p>
      <w:pPr>
        <w:pStyle w:val="Normal"/>
      </w:pPr>
      <w:r>
        <w:t>4. Material incidents affecting docket integrity, random selection, publication, confidentiality, or availability shall be disclosed to the Parties and the competent integrity body promptly, with public notice when disclosure would not compromise security or investigation.</w:t>
      </w:r>
    </w:p>
    <w:p>
      <w:pPr>
        <w:pStyle w:val="Heading2"/>
      </w:pPr>
      <w:bookmarkStart w:id="901792" w:name="_Toc300001791"/>
      <w:r>
        <w:t>Article 47.16: Institutional Safe Mode and No-Benefit-from-Outage Rule</w:t>
      </w:r>
      <w:bookmarkEnd w:id="901792"/>
    </w:p>
    <w:p>
      <w:pPr>
        <w:pStyle w:val="Normal"/>
      </w:pPr>
      <w:r>
        <w:t>1. If a primary treaty system becomes unavailable, authenticated backup dockets, alternate filing channels, redundant publication systems, and continuity rosters activate automatically under the pre-negotiated playbooks of Article 47.6.</w:t>
      </w:r>
    </w:p>
    <w:p>
      <w:pPr>
        <w:pStyle w:val="Normal"/>
      </w:pPr>
      <w:r>
        <w:t>2. Deadlines shall toll only to the extent necessary to prevent prejudice. Existing rights, preferences, legal status, and restoration rules continue during an outage.</w:t>
      </w:r>
    </w:p>
    <w:p>
      <w:pPr>
        <w:pStyle w:val="Normal"/>
      </w:pPr>
      <w:r>
        <w:t>3. No Party gains a substantive or procedural advantage because a common treaty system failed, was attacked, or was unavailable.</w:t>
      </w:r>
    </w:p>
    <w:p>
      <w:pPr>
        <w:pStyle w:val="Normal"/>
      </w:pPr>
      <w:r>
        <w:t>4. After restoration, the Secretariat shall publish an incident chronology and integrity certification subject to lawful confidentiality.</w:t>
      </w:r>
    </w:p>
    <w:p>
      <w:pPr>
        <w:pStyle w:val="Heading2"/>
      </w:pPr>
      <w:bookmarkStart w:id="901793" w:name="_Toc300001792"/>
      <w:r>
        <w:t>Article 47.17: Administrative Reliance, Government Error, and Data Portability</w:t>
      </w:r>
      <w:bookmarkEnd w:id="901793"/>
    </w:p>
    <w:p>
      <w:pPr>
        <w:pStyle w:val="Normal"/>
      </w:pPr>
      <w:r>
        <w:t>1. A trader or other covered person acting in reasonable good-faith reliance on authoritative published guidance, a valid advance ruling, or an authenticated government submission receipt shall not suffer retroactive adverse treatment solely because the authority later changes its interpretation or loses, migrates, or corrupts its own records.</w:t>
      </w:r>
    </w:p>
    <w:p>
      <w:pPr>
        <w:pStyle w:val="Normal"/>
      </w:pPr>
      <w:r>
        <w:t>2. Material interpretive changes shall be published, reasoned, and prospective where practicable, with a reasonable transition period unless immediate application is required by safety, fraud, security, or another compelling public interest.</w:t>
      </w:r>
    </w:p>
    <w:p>
      <w:pPr>
        <w:pStyle w:val="Normal"/>
      </w:pPr>
      <w:r>
        <w:t>3. Government system migration shall preserve or lawfully map previously submitted treaty records. Where the government cannot recover a record it acknowledged receiving, the submitter shall receive a reasonable opportunity to reconstruct the record without loss of treatment attributable solely to the government failure.</w:t>
      </w:r>
    </w:p>
    <w:p>
      <w:pPr>
        <w:pStyle w:val="Heading2"/>
      </w:pPr>
      <w:bookmarkStart w:id="901794" w:name="_Toc300001793"/>
      <w:r>
        <w:t>Article 47.18: Automated Administration Symmetry and Algorithmic Accountability</w:t>
      </w:r>
      <w:bookmarkEnd w:id="901794"/>
    </w:p>
    <w:p>
      <w:pPr>
        <w:pStyle w:val="Normal"/>
      </w:pPr>
      <w:r>
        <w:t>1. Where a Party uses automated or algorithmic systems to assign trade risk, generate high-volume compliance demands, prioritize inspections, or make materially consequential administrative recommendations, it shall maintain audit logs, periodic validation, meaningful human review, and a challenge mechanism proportionate to the consequence.</w:t>
      </w:r>
    </w:p>
    <w:p>
      <w:pPr>
        <w:pStyle w:val="Normal"/>
      </w:pPr>
      <w:r>
        <w:t>2. Automated systems shall be tested for unjustified Party-origin bias and for proxy variables that produce materially discriminatory treatment without a legitimate risk basis.</w:t>
      </w:r>
    </w:p>
    <w:p>
      <w:pPr>
        <w:pStyle w:val="Normal"/>
      </w:pPr>
      <w:r>
        <w:t>3. Where government automation materially increases the volume or speed of compliance demands, the authority shall provide proportionate machine-readable response channels, deduplication, consolidated requests, and human escalation so that automation does not create one-sided administrative burden.</w:t>
      </w:r>
    </w:p>
    <w:p>
      <w:pPr>
        <w:pStyle w:val="Normal"/>
      </w:pPr>
      <w:r>
        <w:t>4. This Article does not require public disclosure of source code, security-sensitive detection logic, or protected personal data. It requires sufficient explanation and independent testing to permit meaningful review.</w:t>
      </w:r>
    </w:p>
    <w:p>
      <w:pPr>
        <w:pStyle w:val="Heading1"/>
      </w:pPr>
      <w:bookmarkStart w:id="901795" w:name="_Toc300001794"/>
      <w:r>
        <w:t>CHAPTER 48</w:t>
      </w:r>
      <w:r>
        <w:br/>
      </w:r>
      <w:r>
        <w:t>REVIEW STABILITY, IMPLEMENTATION, AND COMPETITIVENESS</w:t>
      </w:r>
      <w:bookmarkEnd w:id="901795"/>
    </w:p>
    <w:p>
      <w:pPr>
        <w:pStyle w:val="Heading2"/>
      </w:pPr>
      <w:bookmarkStart w:id="901796" w:name="_Toc300001795"/>
      <w:r>
        <w:t>Article 48.1: Structured Joint Review Protocol</w:t>
      </w:r>
      <w:bookmarkEnd w:id="901796"/>
    </w:p>
    <w:p>
      <w:pPr>
        <w:pStyle w:val="Normal"/>
      </w:pPr>
      <w:r>
        <w:t>1. A periodic or annual review under Article 34.7 is a structured implementation and modernization process and does not, by itself, reopen every provision of this Agreement.</w:t>
      </w:r>
    </w:p>
    <w:p>
      <w:pPr>
        <w:pStyle w:val="Normal"/>
      </w:pPr>
      <w:r>
        <w:t>2. At least 120 days before a scheduled review, the Free Trade Commission shall publish or exchange, subject to lawful confidentiality, terms of reference identifying the issues proposed for decision, issues proposed for technical work, completed work-plan items, and matters carried forward from the previous review.</w:t>
      </w:r>
    </w:p>
    <w:p>
      <w:pPr>
        <w:pStyle w:val="Normal"/>
      </w:pPr>
      <w:r>
        <w:t>3. A Party may raise a new urgent matter after the terms of reference are established, but shall identify the treaty provision or implementation problem involved and explain why deferral would cause material prejudice.</w:t>
      </w:r>
    </w:p>
    <w:p>
      <w:pPr>
        <w:pStyle w:val="Heading2"/>
      </w:pPr>
      <w:bookmarkStart w:id="901797" w:name="_Toc300001796"/>
      <w:r>
        <w:t>Article 48.2: Multi-Year Joint Work Plans</w:t>
      </w:r>
      <w:bookmarkEnd w:id="901797"/>
    </w:p>
    <w:p>
      <w:pPr>
        <w:pStyle w:val="Normal"/>
      </w:pPr>
      <w:r>
        <w:t>1. The Commission may adopt rolling two-to-five-year joint work plans for technical matters that benefit from continuity, including customs modernization, SME simplification, digital interoperability, supply-chain resilience, labor and environmental cooperation, and sectoral rules-of-origin modernization.</w:t>
      </w:r>
    </w:p>
    <w:p>
      <w:pPr>
        <w:pStyle w:val="Normal"/>
      </w:pPr>
      <w:r>
        <w:t>2. A work plan survives an intervening review unless amended by the Commission. Continuation of technical work does not predetermine a future substantive amendment.</w:t>
      </w:r>
    </w:p>
    <w:p>
      <w:pPr>
        <w:pStyle w:val="Heading2"/>
      </w:pPr>
      <w:bookmarkStart w:id="901798" w:name="_Toc300001797"/>
      <w:r>
        <w:t>Article 48.3: Review Predictability and Investment Reliance</w:t>
      </w:r>
      <w:bookmarkEnd w:id="901798"/>
    </w:p>
    <w:p>
      <w:pPr>
        <w:pStyle w:val="Normal"/>
      </w:pPr>
      <w:r>
        <w:t>1. A review that produces no amendment, recommendation, or agreed modernization outcome does not alter existing tariff preferences, certifications, final rulings, accrued treaty treatment, or the continuing force of this Agreement.</w:t>
      </w:r>
    </w:p>
    <w:p>
      <w:pPr>
        <w:pStyle w:val="Normal"/>
      </w:pPr>
      <w:r>
        <w:t>2. Where supplemental, annual, or issue-specific implementation reviews occur, each review shall identify the specific unresolved issues requiring continued work. Silence concerning an unrelated chapter does not suspend, reopen, or condition that chapter.</w:t>
      </w:r>
    </w:p>
    <w:p>
      <w:pPr>
        <w:pStyle w:val="Heading2"/>
      </w:pPr>
      <w:bookmarkStart w:id="901799" w:name="_Toc300001798"/>
      <w:r>
        <w:t>Article 48.4: North American Competitiveness Advisory Forum</w:t>
      </w:r>
      <w:bookmarkEnd w:id="901799"/>
    </w:p>
    <w:p>
      <w:pPr>
        <w:pStyle w:val="Normal"/>
      </w:pPr>
      <w:r>
        <w:t>1. The Commission may convene a North American Competitiveness Advisory Forum, using existing consultation authorities, with balanced participation from business, labor, SMEs, agriculture, Indigenous economic organizations, consumers, technical experts, and other relevant civil society. The Forum may be convened periodically or for a defined review and is not a separately staffed permanent treaty body.</w:t>
      </w:r>
    </w:p>
    <w:p>
      <w:pPr>
        <w:pStyle w:val="Normal"/>
      </w:pPr>
      <w:r>
        <w:t>2. The Forum may issue non-binding implementation reports, identify avoidable compliance burdens, and recommend modernization priorities. It has no authority to amend this Agreement, decide disputes, direct a Party's domestic policy, or create an entitlement to appointment or funding.</w:t>
      </w:r>
    </w:p>
    <w:p>
      <w:pPr>
        <w:pStyle w:val="Heading2"/>
      </w:pPr>
      <w:bookmarkStart w:id="901800" w:name="_Toc300001799"/>
      <w:r>
        <w:t>Article 48.5: Review-Process Disputes</w:t>
      </w:r>
      <w:bookmarkEnd w:id="901800"/>
    </w:p>
    <w:p>
      <w:pPr>
        <w:pStyle w:val="Normal"/>
      </w:pPr>
      <w:r>
        <w:t>1. A dispute concerning the procedure, legal effect, or timing of an Article 34.7 review is eligible for expedited Chapter 31 consideration. The panel may clarify the review obligation but may not compel a Party to agree to a substantive amendment, modernization recommendation, or other negotiated outcome.</w:t>
      </w:r>
    </w:p>
    <w:p>
      <w:pPr>
        <w:pStyle w:val="Heading2"/>
      </w:pPr>
      <w:bookmarkStart w:id="901801" w:name="_Toc300001800"/>
      <w:r>
        <w:t>Article 48.6: Trilateral Continuity, Mexico Parity, and Investment Reliance</w:t>
      </w:r>
      <w:bookmarkEnd w:id="901801"/>
    </w:p>
    <w:p>
      <w:pPr>
        <w:pStyle w:val="Normal"/>
      </w:pPr>
      <w:r>
        <w:t>1. The continuous-duration architecture in Article 34.7 applies equally to Canada, Mexico, and the United States. A modernization review shall not be administered as a de facto annual renewal test for one Party, one sector, or one bilateral relationship while equivalent originating commerce of another Party remains insulated from comparable uncertainty.</w:t>
      </w:r>
    </w:p>
    <w:p>
      <w:pPr>
        <w:pStyle w:val="Normal"/>
      </w:pPr>
      <w:r>
        <w:t>2. Where a review identifies unresolved bilateral issues, those issues shall be listed and worked through the applicable bilateral or sectoral lane without creating a presumption that unrelated Mexican, Canadian, or United States originating trade loses treaty continuity.</w:t>
      </w:r>
    </w:p>
    <w:p>
      <w:pPr>
        <w:pStyle w:val="Normal"/>
      </w:pPr>
      <w:r>
        <w:t>3. The Commission shall consider reliance interests created by long-lived North American investments, including automotive, semiconductor, aerospace, energy, critical-mineral, logistics, agricultural, and advanced-manufacturing facilities, when sequencing modernization measures.</w:t>
      </w:r>
    </w:p>
    <w:p>
      <w:pPr>
        <w:pStyle w:val="Normal"/>
      </w:pPr>
      <w:r>
        <w:t>4. For greater certainty, this Article reinforces the continuous-duration replacement of the former 16-year sunset mechanism; it does not restore a periodic termination cliff.</w:t>
      </w:r>
    </w:p>
    <w:p>
      <w:pPr>
        <w:pStyle w:val="Heading1"/>
      </w:pPr>
      <w:bookmarkStart w:id="901802" w:name="_Toc300001801"/>
      <w:r>
        <w:t>CHAPTER 49</w:t>
      </w:r>
      <w:r>
        <w:br/>
      </w:r>
      <w:r>
        <w:t>SECTORAL MARKET ACCESS AND IMPLEMENTATION SAFEGUARDS</w:t>
      </w:r>
      <w:bookmarkEnd w:id="901802"/>
    </w:p>
    <w:p>
      <w:pPr>
        <w:pStyle w:val="Heading2"/>
      </w:pPr>
      <w:bookmarkStart w:id="901803" w:name="_Toc300001802"/>
      <w:r>
        <w:t>Article 49.1: Originating Distilled Spirits, Zero Customs Duty</w:t>
      </w:r>
      <w:bookmarkEnd w:id="901803"/>
    </w:p>
    <w:p>
      <w:pPr>
        <w:pStyle w:val="Normal"/>
      </w:pPr>
      <w:r>
        <w:t>1. Each Party shall apply a customs duty of zero to originating distilled spirits of another Party classified in the tariff lines identified for this Article in the Party's Schedule to Annex 2-B.</w:t>
      </w:r>
    </w:p>
    <w:p>
      <w:pPr>
        <w:pStyle w:val="Normal"/>
      </w:pPr>
      <w:r>
        <w:t>2. Eligibility is determined exclusively under Chapter 4 and the applicable product-specific rules of origin. This Article creates no alternative origin test.</w:t>
      </w:r>
    </w:p>
    <w:p>
      <w:pPr>
        <w:pStyle w:val="Normal"/>
      </w:pPr>
      <w:r>
        <w:t>3. Treatment includes qualifying Bourbon Whiskey, Tennessee Whiskey, Canadian Whisky, Tequila, Mezcal, and other originating distilled spirits within the scheduled tariff lines, without prejudice to distinctive-product protections.</w:t>
      </w:r>
    </w:p>
    <w:p>
      <w:pPr>
        <w:pStyle w:val="Normal"/>
      </w:pPr>
      <w:r>
        <w:t>4. Nothing in this Article limits non-discriminatory taxation, licensing, responsible-sale rules, minimum-age requirements, public-health measures, or lawful distribution systems.</w:t>
      </w:r>
    </w:p>
    <w:p>
      <w:pPr>
        <w:pStyle w:val="Heading2"/>
      </w:pPr>
      <w:bookmarkStart w:id="901804" w:name="_Toc300001803"/>
      <w:r>
        <w:t>Article 49.2: Alcohol Distribution Best-Practice Safe Harbor</w:t>
      </w:r>
      <w:bookmarkEnd w:id="901804"/>
    </w:p>
    <w:p>
      <w:pPr>
        <w:pStyle w:val="Normal"/>
      </w:pPr>
      <w:r>
        <w:t>1. A sub-federal alcohol authority receives a rebuttable presumption of compliance with the applicable national-treatment and market-access obligations where its listing, delisting, markup, warehousing, distribution, and retail-access rules are published, origin-neutral, objectively administered, and subject to review.</w:t>
      </w:r>
    </w:p>
    <w:p>
      <w:pPr>
        <w:pStyle w:val="Normal"/>
      </w:pPr>
      <w:r>
        <w:t>2. The Commission shall maintain non-binding best-practice guidelines and a joint review channel for recurring alcohol-distribution concerns. Adoption of the guidelines does not prevent review of evidence of actual discrimination.</w:t>
      </w:r>
    </w:p>
    <w:p>
      <w:pPr>
        <w:pStyle w:val="Heading2"/>
      </w:pPr>
      <w:bookmarkStart w:id="901805" w:name="_Toc300001804"/>
      <w:r>
        <w:t>Article 49.3: Dairy TRQ Transparency and Transition</w:t>
      </w:r>
      <w:bookmarkEnd w:id="901805"/>
    </w:p>
    <w:p>
      <w:pPr>
        <w:pStyle w:val="Normal"/>
      </w:pPr>
      <w:r>
        <w:t>1. A Party administering a dairy tariff-rate quota shall publish eligibility rules, allocation methodology, application windows, utilization data, reallocation procedures, and reasons for material allocation decisions, subject to legitimate confidentiality.</w:t>
      </w:r>
    </w:p>
    <w:p>
      <w:pPr>
        <w:pStyle w:val="Normal"/>
      </w:pPr>
      <w:r>
        <w:t>2. Materially revised TRQ administration shall be independently auditable. A structural change that materially alters commercial access should, where practicable, use a transition period proportionate to the adjustment required.</w:t>
      </w:r>
    </w:p>
    <w:p>
      <w:pPr>
        <w:pStyle w:val="Normal"/>
      </w:pPr>
      <w:r>
        <w:t>3. Nothing in this Article requires Canada to abolish supply management or prevents negotiated market-access commitments expressly set out in its Schedule.</w:t>
      </w:r>
    </w:p>
    <w:p>
      <w:pPr>
        <w:pStyle w:val="Heading2"/>
      </w:pPr>
      <w:bookmarkStart w:id="901806" w:name="_Toc300001805"/>
      <w:r>
        <w:t>Article 49.4: Automotive Rule Change Discipline</w:t>
      </w:r>
      <w:bookmarkEnd w:id="901806"/>
    </w:p>
    <w:p>
      <w:pPr>
        <w:pStyle w:val="Normal"/>
      </w:pPr>
      <w:r>
        <w:t>1. A material increase in automotive regional-value, labor-value, steel, aluminum, battery, mineral, or other content requirements shall include a published economic-impact assessment and a transition schedule sufficient to avoid unnecessary supply-chain disruption.</w:t>
      </w:r>
    </w:p>
    <w:p>
      <w:pPr>
        <w:pStyle w:val="Normal"/>
      </w:pPr>
      <w:r>
        <w:t>2. North American cumulation remains available as provided by Chapter 4. Workforce training, research, or technology investment does not constitute physical originating content unless an express, separately defined credit mechanism is adopted by all Parties.</w:t>
      </w:r>
    </w:p>
    <w:p>
      <w:pPr>
        <w:pStyle w:val="Normal"/>
      </w:pPr>
      <w:r>
        <w:t>3. The Automotive Committee shall maintain technology-neutral guidance for software, electronics, batteries, critical minerals, and other emerging vehicle systems and shall review whether separate metrics are preferable to forcing materially different technologies into legacy calculations.</w:t>
      </w:r>
    </w:p>
    <w:p>
      <w:pPr>
        <w:pStyle w:val="Heading2"/>
      </w:pPr>
      <w:bookmarkStart w:id="901807" w:name="_Toc300001806"/>
      <w:r>
        <w:t>Article 49.5: Originating Steel and Aluminum Security Presumption</w:t>
      </w:r>
      <w:bookmarkEnd w:id="901807"/>
    </w:p>
    <w:p>
      <w:pPr>
        <w:pStyle w:val="Normal"/>
      </w:pPr>
      <w:r>
        <w:t>1. Verified originating steel and aluminum of another Party is presumed not to constitute, solely by reason of importation from that Party, a threat to essential security warranting an additional customs duty.</w:t>
      </w:r>
    </w:p>
    <w:p>
      <w:pPr>
        <w:pStyle w:val="Normal"/>
      </w:pPr>
      <w:r>
        <w:t>2. A Party may rebut the presumption only with particularized evidence of a genuine essential-security risk, including material circumvention, strategic supply manipulation, or another threat meeting Chapter 32.A. Any additional duty is subject to immediate expedited review and the Chapter 35 proportionality disciplines.</w:t>
      </w:r>
    </w:p>
    <w:p>
      <w:pPr>
        <w:pStyle w:val="Normal"/>
      </w:pPr>
      <w:r>
        <w:t>3. A North American Steel and Aluminum Monitoring Committee shall share objective data on trade flows, capacity, circumvention, and non-market spillovers and seek a cooperative remedy before unilateral restriction where circumstances permit.</w:t>
      </w:r>
    </w:p>
    <w:p>
      <w:pPr>
        <w:pStyle w:val="Heading2"/>
      </w:pPr>
      <w:bookmarkStart w:id="901808" w:name="_Toc300001807"/>
      <w:r>
        <w:t>Article 49.6: Public Procurement and Sovereign Cloud</w:t>
      </w:r>
      <w:bookmarkEnd w:id="901808"/>
    </w:p>
    <w:p>
      <w:pPr>
        <w:pStyle w:val="Normal"/>
      </w:pPr>
      <w:r>
        <w:t>1. Procurement exceptions, domestic-preference programs, and security-based data-residency or sovereign-cloud requirements shall be administered under published criteria and shall not operate as disguised discrimination where the underlying public-policy objective can reasonably be achieved by less trade-restrictive means.</w:t>
      </w:r>
    </w:p>
    <w:p>
      <w:pPr>
        <w:pStyle w:val="Normal"/>
      </w:pPr>
      <w:r>
        <w:t>2. Nothing in this Article requires a Party to place classified, defense, law-enforcement, health, Indigenous, critical-infrastructure, or other genuinely sensitive government data outside protections it considers necessary, provided distinctions among suppliers are objectively connected to the identified risk.</w:t>
      </w:r>
    </w:p>
    <w:p>
      <w:pPr>
        <w:pStyle w:val="TrumpVisibilityHeadline"/>
      </w:pPr>
      <w:r>
        <w:t xml:space="preserve">★ </w:t>
      </w:r>
      <w:r>
        <w:t>VISIBLE U.S. WIN: RECIPROCAL ACCESS FOR U.S. SUPPLIERS TO STRATEGIC PROCUREMENT</w:t>
      </w:r>
    </w:p>
    <w:p>
      <w:pPr>
        <w:pStyle w:val="Heading2"/>
      </w:pPr>
      <w:bookmarkStart w:id="901809" w:name="_Toc300001808"/>
      <w:r>
        <w:t>Article 49.7: North American Strategic Procurement Reciprocity Framework</w:t>
      </w:r>
      <w:bookmarkEnd w:id="901809"/>
    </w:p>
    <w:p>
      <w:pPr>
        <w:pStyle w:val="Normal"/>
      </w:pPr>
      <w:r>
        <w:t>1. A Party may maintain lawful domestic-preference procurement programs, including Buy Canadian, Buy American, Mexican domestic-development, SME, Indigenous, security, resilience, or other public-policy programs, subject to this Agreement and its procurement commitments.</w:t>
      </w:r>
    </w:p>
    <w:p>
      <w:pPr>
        <w:pStyle w:val="Normal"/>
      </w:pPr>
      <w:r>
        <w:t>2. For covered procurements in sectors designated by the Parties, a procuring authority may establish a transparent North American preference lane under which qualifying originating suppliers or qualifying North American strategic chains receive treatment superior to ordinary non-Party suppliers while preserving any expressly authorized domestic preference.</w:t>
      </w:r>
    </w:p>
    <w:p>
      <w:pPr>
        <w:pStyle w:val="Normal"/>
      </w:pPr>
      <w:r>
        <w:t>3. Designated sectors may include infrastructure, construction materials, grid equipment, transportation, digital and cloud services, semiconductors, critical minerals and processed materials, forest products, emergency-response equipment, advanced manufacturing, and other sectors adopted through the applicable schedule.</w:t>
      </w:r>
    </w:p>
    <w:p>
      <w:pPr>
        <w:pStyle w:val="Normal"/>
      </w:pPr>
      <w:r>
        <w:t>4. Qualification shall rely on objective criteria such as origin, verified North American value, supply-chain resilience, security, interoperability, lifecycle support, SME participation, environmental or labour performance where lawfully relevant, and demonstrated capacity. It shall not require an arbitrary Party-specific content quota.</w:t>
      </w:r>
    </w:p>
    <w:p>
      <w:pPr>
        <w:pStyle w:val="Normal"/>
      </w:pPr>
      <w:r>
        <w:t>5. A Canadian, Mexican, or United States supplier shall not be excluded solely because it is owned in another Party where it otherwise satisfies the applicable covered-procurement, security, origin, and qualification requirements.</w:t>
      </w:r>
    </w:p>
    <w:p>
      <w:pPr>
        <w:pStyle w:val="Normal"/>
      </w:pPr>
      <w:r>
        <w:t>6. Classified procurement, uniquely sensitive national-security procurement, and procurement expressly excluded under applicable schedules remain subject to domestic law and negotiated exclusions.</w:t>
      </w:r>
    </w:p>
    <w:p>
      <w:pPr>
        <w:pStyle w:val="Heading2"/>
      </w:pPr>
      <w:bookmarkStart w:id="901810" w:name="_Toc300001809"/>
      <w:r>
        <w:t>Article 49.7A: Reciprocal Procurement Compact and Practical-Opportunity Principle</w:t>
      </w:r>
      <w:bookmarkEnd w:id="901810"/>
    </w:p>
    <w:p>
      <w:pPr>
        <w:pStyle w:val="Normal"/>
      </w:pPr>
      <w:r>
        <w:t>1. For covered procurement designated under Article 49.7 and Annex 49-A, reciprocity requires comparable practical opportunity to compete and does not require identical institutions, expenditures, procurement outcomes, policies, governmental structures, or nominal market size.</w:t>
      </w:r>
    </w:p>
    <w:p>
      <w:pPr>
        <w:pStyle w:val="Normal"/>
      </w:pPr>
      <w:r>
        <w:t>2. The Parties shall preserve lawful domestic procurement policy space while maintaining a North American preference lane whose value is assessed by effective access rather than by entity count, gross expenditure, or formal legal coverage alone.</w:t>
      </w:r>
    </w:p>
    <w:p>
      <w:pPr>
        <w:pStyle w:val="Normal"/>
      </w:pPr>
      <w:r>
        <w:t>3. This Article guarantees an equitable opportunity to compete. It does not guarantee any supplier, Party, sector, or class of suppliers a predetermined share of awards, sales, contracts, or government expenditure.</w:t>
      </w:r>
    </w:p>
    <w:p>
      <w:pPr>
        <w:pStyle w:val="Normal"/>
      </w:pPr>
      <w:r>
        <w:t>4. Procurement equivalence shall be calibrated proportionately to the contestable procurement capacity, constitutional structure, scheduled coverage, and practical accessibility of each Party. A difference in economic scale alone does not establish imbalance.</w:t>
      </w:r>
    </w:p>
    <w:p>
      <w:pPr>
        <w:pStyle w:val="Heading2"/>
      </w:pPr>
      <w:bookmarkStart w:id="901811" w:name="_Toc300001810"/>
      <w:r>
        <w:t>Article 49.7B: Effective Accessible Procurement Value and Value-Equivalence Test</w:t>
      </w:r>
      <w:bookmarkEnd w:id="901811"/>
    </w:p>
    <w:p>
      <w:pPr>
        <w:pStyle w:val="Normal"/>
      </w:pPr>
      <w:r>
        <w:t>1. The Parties shall assess reciprocal procurement contributions using Effective Accessible Procurement Value, or EAPV, under Annex 49-A. EAPV begins with contestable covered procurement value and adjusts for coverage, accessibility, threshold effects, domestic-preference intensity, sector breadth, practical usability, and other factors expressly identified in the Annex.</w:t>
      </w:r>
    </w:p>
    <w:p>
      <w:pPr>
        <w:pStyle w:val="Normal"/>
      </w:pPr>
      <w:r>
        <w:t>2. Gross procurement shall not be counted as accessible value where suppliers of another Party could not realistically compete because of a negotiated exclusion, genuine classified or security restriction, lawful Indigenous or tribal set-aside, legitimate SME reservation, justified sole-source requirement, pre-existing long-term commitment, statutory monopoly, or another objectively unavailable category.</w:t>
      </w:r>
    </w:p>
    <w:p>
      <w:pPr>
        <w:pStyle w:val="Normal"/>
      </w:pPr>
      <w:r>
        <w:t>3. EAPV shall distinguish nominal legal access from practical access. Relevant indicators include qualification burden, electronic bidding, bonding and insurance requirements, local-presence conditions, certification recognition, bid-challenge usability, payment timing, documentation burden, contract sizing, and other conditions materially affecting the ability of a qualifying supplier to submit and perform a competitive bid.</w:t>
      </w:r>
    </w:p>
    <w:p>
      <w:pPr>
        <w:pStyle w:val="Normal"/>
      </w:pPr>
      <w:r>
        <w:t>4. The methodology shall use transparent bands and ranges rather than false precision. Minor statistical variation, ordinary annual expenditure fluctuation, or differences in contract outcomes shall not establish non-equivalence.</w:t>
      </w:r>
    </w:p>
    <w:p>
      <w:pPr>
        <w:pStyle w:val="Heading2"/>
      </w:pPr>
      <w:bookmarkStart w:id="901812" w:name="_Toc300001811"/>
      <w:r>
        <w:t>Article 49.7C: Reciprocity Bands, Rebalancing, and Earn-Back</w:t>
      </w:r>
      <w:bookmarkEnd w:id="901812"/>
    </w:p>
    <w:p>
      <w:pPr>
        <w:pStyle w:val="Normal"/>
      </w:pPr>
      <w:r>
        <w:t>1. Annex 49-A shall classify each Party within negotiated Reciprocity Bands reflecting whether practical procurement access is substantially equivalent, subject to minor imbalance, materially imbalanced, persistently substantially imbalanced, or affected by deliberate closure or circumvention.</w:t>
      </w:r>
    </w:p>
    <w:p>
      <w:pPr>
        <w:pStyle w:val="Normal"/>
      </w:pPr>
      <w:r>
        <w:t>2. A Party outside the agreed equivalence corridor shall receive a reasonable opportunity to rebalance access through a menu of sovereign choices, including adding covered entities or sectors, lowering thresholds, reducing an applicable preference margin, simplifying qualification, improving SME access, recognizing additional credentials, adding voluntary subnational participation, or providing another objectively measurable access enhancement.</w:t>
      </w:r>
    </w:p>
    <w:p>
      <w:pPr>
        <w:pStyle w:val="Normal"/>
      </w:pPr>
      <w:r>
        <w:t>3. No Party shall be compelled to open a particular politically sensitive sector, abolish a lawful domestic preference, transfer constitutional authority, or guarantee a specified procurement expenditure where another compliant rebalancing method can restore substantial equivalence.</w:t>
      </w:r>
    </w:p>
    <w:p>
      <w:pPr>
        <w:pStyle w:val="Normal"/>
      </w:pPr>
      <w:r>
        <w:t>4. Any step-back in an enhanced North American procurement preference shall be targeted, proportionate, and automatically eligible for restoration upon verified cure. Ordinary baseline treaty rights shall not be withdrawn merely because an enhanced procurement contribution temporarily falls outside the equivalence corridor.</w:t>
      </w:r>
    </w:p>
    <w:p>
      <w:pPr>
        <w:pStyle w:val="Heading2"/>
      </w:pPr>
      <w:bookmarkStart w:id="901813" w:name="_Toc300001812"/>
      <w:r>
        <w:t>Article 49.7D: North American SME Procurement Passport and Opportunity Discovery</w:t>
      </w:r>
      <w:bookmarkEnd w:id="901813"/>
    </w:p>
    <w:p>
      <w:pPr>
        <w:pStyle w:val="Normal"/>
      </w:pPr>
      <w:r>
        <w:t>1. The Parties shall develop an interoperable North American SME Procurement Passport permitting a qualifying SME to maintain a reusable verified core profile for identity, beneficial ownership, tax and debarment status, relevant certifications, insurance or financial-capacity information, cybersecurity status where applicable, and basic origin information.</w:t>
      </w:r>
    </w:p>
    <w:p>
      <w:pPr>
        <w:pStyle w:val="Normal"/>
      </w:pPr>
      <w:r>
        <w:t>2. A procuring authority may require contract-specific information and may independently verify eligibility, but shall avoid requiring substantially duplicative foundational documentation without a reasonable procurement, legal, security, integrity, or risk basis.</w:t>
      </w:r>
    </w:p>
    <w:p>
      <w:pPr>
        <w:pStyle w:val="Normal"/>
      </w:pPr>
      <w:r>
        <w:t>3. Each Party shall expose standardized, machine-readable fields for scheduled North American-lane opportunities sufficient to support interoperable discovery across the Parties while retaining each Party’s own procurement platforms and award authority.</w:t>
      </w:r>
    </w:p>
    <w:p>
      <w:pPr>
        <w:pStyle w:val="Normal"/>
      </w:pPr>
      <w:r>
        <w:t>4. SME facilitation may include appropriately sized contract lots, reasonable bid security, electronic documentation, supplier matching, prompt-payment practices, and plain-language qualification guidance. Legitimate domestic SME set-asides remain protected.</w:t>
      </w:r>
    </w:p>
    <w:p>
      <w:pPr>
        <w:pStyle w:val="Heading2"/>
      </w:pPr>
      <w:bookmarkStart w:id="901814" w:name="_Toc300001813"/>
      <w:r>
        <w:t>Article 49.7E: Constitutional Federalism and Voluntary Subnational Participation</w:t>
      </w:r>
      <w:bookmarkEnd w:id="901814"/>
    </w:p>
    <w:p>
      <w:pPr>
        <w:pStyle w:val="Normal"/>
      </w:pPr>
      <w:r>
        <w:t>1. Nothing in this Agreement requires a Party to compel a province, state, municipality, Indigenous or tribal government, or other subnational authority to open procurement beyond authority lawfully committed under this Agreement.</w:t>
      </w:r>
    </w:p>
    <w:p>
      <w:pPr>
        <w:pStyle w:val="Normal"/>
      </w:pPr>
      <w:r>
        <w:t>2. The Parties shall maintain voluntary mechanisms through which constitutionally competent subnational authorities may designate entities, sectors, thresholds, or individual procurement programs for participation in the North American lane.</w:t>
      </w:r>
    </w:p>
    <w:p>
      <w:pPr>
        <w:pStyle w:val="Normal"/>
      </w:pPr>
      <w:r>
        <w:t>3. Verified contestable value made available through voluntary subnational participation may count toward the relevant Party’s procurement contribution under Annex 49-A.</w:t>
      </w:r>
    </w:p>
    <w:p>
      <w:pPr>
        <w:pStyle w:val="Normal"/>
      </w:pPr>
      <w:r>
        <w:t>4. The methodology shall respect institutional diversity and shall not penalize a Party merely because procurement authority is constitutionally decentralized. It may, however, measure the practical value actually placed within treaty coverage.</w:t>
      </w:r>
    </w:p>
    <w:p>
      <w:pPr>
        <w:pStyle w:val="Heading2"/>
      </w:pPr>
      <w:bookmarkStart w:id="901815" w:name="_Toc300001814"/>
      <w:r>
        <w:t>Article 49.7F: Strategic Capacity, Resilience, and Optional Aggregated Demand</w:t>
      </w:r>
      <w:bookmarkEnd w:id="901815"/>
    </w:p>
    <w:p>
      <w:pPr>
        <w:pStyle w:val="Normal"/>
      </w:pPr>
      <w:r>
        <w:t>1. In scheduled sectors, a procuring authority may lawfully evaluate North American supply resilience, multiple-source availability, repairability, surge capacity, secure logistics, interoperability, lifecycle support, circularity, and reduction of dangerous concentrated non-Party dependency where the criteria are disclosed, measurable, proportionate, and connected to the procurement.</w:t>
      </w:r>
    </w:p>
    <w:p>
      <w:pPr>
        <w:pStyle w:val="Normal"/>
      </w:pPr>
      <w:r>
        <w:t>2. Resilience criteria shall not operate as disguised nationality scoring among Canadian, Mexican, and United States qualifying suppliers. Location-specific performance requirements may be used where objectively necessary for servicing, installation, emergency response, security, continuity, or another genuine contract function.</w:t>
      </w:r>
    </w:p>
    <w:p>
      <w:pPr>
        <w:pStyle w:val="Normal"/>
      </w:pPr>
      <w:r>
        <w:t>3. A Party may receive limited additional contribution credit where a covered procurement verifiably creates material new North American productive capacity, repair capacity, recycling capacity, strategic-component capability, or surge capacity. Relocation that principally cannibalizes existing qualifying capacity in another Party shall not receive capacity-growth credit.</w:t>
      </w:r>
    </w:p>
    <w:p>
      <w:pPr>
        <w:pStyle w:val="Normal"/>
      </w:pPr>
      <w:r>
        <w:t>4. The Parties may voluntarily coordinate demand forecasts, technical specifications, tender timing, framework agreements, or joint purchasing for suitable goods and services. Participation may stop at demand signalling, coordinated specification, synchronized tendering, or joint purchase, and no Party is required to aggregate demand.</w:t>
      </w:r>
    </w:p>
    <w:p>
      <w:pPr>
        <w:pStyle w:val="Heading2"/>
      </w:pPr>
      <w:bookmarkStart w:id="901816" w:name="_Toc300001815"/>
      <w:r>
        <w:t>Article 49.7G: Anti-Gaming, Procurement Stability, and Practical Neutrality</w:t>
      </w:r>
      <w:bookmarkEnd w:id="901816"/>
    </w:p>
    <w:p>
      <w:pPr>
        <w:pStyle w:val="Normal"/>
      </w:pPr>
      <w:r>
        <w:t>1. A procuring authority shall not evade covered thresholds or obligations by artificial contract splitting, unjustified aggregation, transfer of a covered purchasing function to an uncovered entity, use of a contractor or special-purpose vehicle as a procurement proxy, or formal reorganization that leaves the relevant procurement function substantially unchanged.</w:t>
      </w:r>
    </w:p>
    <w:p>
      <w:pPr>
        <w:pStyle w:val="Normal"/>
      </w:pPr>
      <w:r>
        <w:t>2. Coverage shall follow a substantially transferred covered procurement function to a successor public entity unless the Parties agree otherwise or an objectively justified exclusion applies.</w:t>
      </w:r>
    </w:p>
    <w:p>
      <w:pPr>
        <w:pStyle w:val="Normal"/>
      </w:pPr>
      <w:r>
        <w:t>3. Once a covered tender is published, material eligibility, preference, evaluation, origin, and strategic-chain rules shall remain stable through award except where a documented change is necessary to address a material legal, security, safety, integrity, emergency, or factual development. Affected bidders shall receive reasonable notice and treatment appropriate to the stage of the procurement.</w:t>
      </w:r>
    </w:p>
    <w:p>
      <w:pPr>
        <w:pStyle w:val="Normal"/>
      </w:pPr>
      <w:r>
        <w:t>4. Lifecycle cost, durability, maintenance, environmental performance, resilience, delivery security, and other legitimate value factors may be considered. Such factors shall be disclosed in advance and administered comparably to qualifying suppliers of all Parties.</w:t>
      </w:r>
    </w:p>
    <w:p>
      <w:pPr>
        <w:pStyle w:val="Normal"/>
      </w:pPr>
      <w:r>
        <w:t>5. Payment terms, retainage, reimbursement practices, and access to ordinary procurement review shall not be administered so as to materially disadvantage a qualifying supplier solely because it is established in another Party.</w:t>
      </w:r>
    </w:p>
    <w:p>
      <w:pPr>
        <w:pStyle w:val="Heading2"/>
      </w:pPr>
      <w:bookmarkStart w:id="901817" w:name="_Toc300001816"/>
      <w:r>
        <w:t>Article 49.7H: Emergency, Security, Review, and Remedies</w:t>
      </w:r>
      <w:bookmarkEnd w:id="901817"/>
    </w:p>
    <w:p>
      <w:pPr>
        <w:pStyle w:val="Normal"/>
      </w:pPr>
      <w:r>
        <w:t>1. Emergency procurement may use accelerated, direct, or exceptional procedures where reasonably necessary to protect life, health, essential services, critical infrastructure, disaster response, or urgent continuity. The procuring authority shall document the basis and duration after the fact where prior documentation is impracticable.</w:t>
      </w:r>
    </w:p>
    <w:p>
      <w:pPr>
        <w:pStyle w:val="Normal"/>
      </w:pPr>
      <w:r>
        <w:t>2. Classified and genuinely sensitive national-security procurement remains protected. A security exclusion shall be connected to an identified security function and shall not be presumed applicable merely because a procuring entity has a security-related mission.</w:t>
      </w:r>
    </w:p>
    <w:p>
      <w:pPr>
        <w:pStyle w:val="Normal"/>
      </w:pPr>
      <w:r>
        <w:t>3. Individual unsuccessful bids shall ordinarily use available domestic bid-challenge and review mechanisms. Cothrom review under this Agreement is reserved for treaty interpretation, systemic or repeated patterns, material access-equivalence disputes, circumvention, or failures not reasonably remediable through ordinary domestic review.</w:t>
      </w:r>
    </w:p>
    <w:p>
      <w:pPr>
        <w:pStyle w:val="Normal"/>
      </w:pPr>
      <w:r>
        <w:t>4. The first remedy for a value-equivalence shortfall shall be correction or rebalancing under Article 49.7C. Monetary compensation, suspension of unrelated benefits, or tariff action shall not be used where practical procurement access can reasonably be restored through a narrower measure.</w:t>
      </w:r>
    </w:p>
    <w:p>
      <w:pPr>
        <w:pStyle w:val="Normal"/>
      </w:pPr>
      <w:r>
        <w:t>5. The Procurement Committee shall publish a concise annual equivalence report using aggregated or protected data as necessary. The report shall identify methodology, coverage changes, Reciprocity Band status, unresolved material imbalances, and rebalancing measures without disclosing protected bid, security, or commercially confidential information.</w:t>
      </w:r>
    </w:p>
    <w:p>
      <w:pPr>
        <w:pStyle w:val="Heading2"/>
      </w:pPr>
      <w:bookmarkStart w:id="901818" w:name="_Toc300001817"/>
      <w:r>
        <w:t>Article 49.7I: Subnational Reciprocity, Preference Notification, and No Uncompensated Opening</w:t>
      </w:r>
      <w:bookmarkEnd w:id="901818"/>
    </w:p>
    <w:p>
      <w:pPr>
        <w:pStyle w:val="Normal"/>
      </w:pPr>
      <w:r>
        <w:rPr>
          <w:b/>
        </w:rPr>
        <w:t xml:space="preserve">1. No Uncompensated Subnational Opening. </w:t>
      </w:r>
      <w:r>
        <w:t>A Party shall not receive full reciprocal-access credit for newly scheduled provincial, territorial, state, local, or other subnational procurement unless the resulting access is matched by commercially meaningful procurement opportunity of substantially equivalent value for suppliers of the granting Party. Reciprocity may be established across a portfolio of entities, sectors, thresholds, programs, or procurement value and does not require one-for-one matching between particular provinces and states. Federal procurement access may contribute to an agreed portfolio only where the Parties expressly recognize it as a commercially meaningful substitute for the subnational access placed in the bargain. No Party shall be required to front-load provincial or other subnational access on the assumption that future counterpart coverage will later materialize.</w:t>
      </w:r>
    </w:p>
    <w:p>
      <w:pPr>
        <w:pStyle w:val="Normal"/>
      </w:pPr>
      <w:r>
        <w:rPr>
          <w:b/>
        </w:rPr>
        <w:t xml:space="preserve">2. Equivalency and Preference-Intensity Accounting. </w:t>
      </w:r>
      <w:r>
        <w:t>Subnational equivalency shall be measured through the Effective Accessible Procurement Value methodology in Article 49.7B and Annex 49-A rather than by nominal entity counts or published procurement totals alone. A procurement opportunity subject to a Buy America, Buy American, Buy Canadian, domestic-development, local-content, residency, qualification, or equivalent preference that materially reduces the realistic competitiveness of another Party's qualifying suppliers shall receive correspondingly reduced accessible-value credit. Lawful preferences are not prohibited merely because they reduce such credit, and each Party retains the policy space preserved elsewhere in this Agreement. The assessment shall distinguish genuine cost, security, SME, Indigenous or tribal, resilience, and performance requirements from nationality preferences that materially diminish the reciprocal opportunity being valued.</w:t>
      </w:r>
    </w:p>
    <w:p>
      <w:pPr>
        <w:pStyle w:val="Normal"/>
      </w:pPr>
      <w:r>
        <w:rPr>
          <w:b/>
        </w:rPr>
        <w:t xml:space="preserve">3. Advance Notification and Transparency of Preference Measures. </w:t>
      </w:r>
      <w:r>
        <w:t>Each Party shall provide timely notice through the Procurement Committee of a proposed material change to a covered domestic-preference, local-content, qualification, eligibility, funding, or sourcing rule that could materially affect scheduled reciprocal procurement access. The notice shall identify, to the extent reasonably available, the affected entities and sectors, applicable thresholds, preference margins or scoring effects, implementation date, legal authority, duration, and any transition treatment for procurements already underway. Where urgent legislation, emergency action, or another circumstance makes advance notice impracticable, notice shall be provided as soon as reasonably possible with an explanation of the urgency. Notification does not create a veto over domestic legislation or procurement policy and does not prevent a Party from adopting a lawful measure.</w:t>
      </w:r>
    </w:p>
    <w:p>
      <w:pPr>
        <w:pStyle w:val="Normal"/>
      </w:pPr>
      <w:r>
        <w:rPr>
          <w:b/>
        </w:rPr>
        <w:t xml:space="preserve">4. No Silent Erosion of Scheduled Access. </w:t>
      </w:r>
      <w:r>
        <w:t>A Party shall not preserve the nominal appearance of reciprocal procurement coverage while materially hollowing out its practical value through subsequently adopted preferences, exclusions, qualification burdens, funding conditions, local-presence requirements, or equivalent measures. Any verified reduction in practical accessibility shall be reflected in EAPV and the applicable Reciprocity Band regardless of whether the formal schedule of covered entities has changed. Ordinary regulatory evolution, inflation adjustments, legitimate security measures, and non-discriminatory contract requirements shall not constitute erosion merely because they affect procurement conditions. The Procurement Committee shall maintain a change log sufficient to distinguish negotiated access, subsequent policy changes, temporary exceptions, and verified restoration.</w:t>
      </w:r>
    </w:p>
    <w:p>
      <w:pPr>
        <w:pStyle w:val="Normal"/>
      </w:pPr>
      <w:r>
        <w:rPr>
          <w:b/>
        </w:rPr>
        <w:t xml:space="preserve">5. Province-for-State and Portfolio Rebalancing. </w:t>
      </w:r>
      <w:r>
        <w:t>Where Canada adds material provincial or territorial access while materially comparable United States state or local access remains unavailable or substantially impaired, the Parties shall identify the imbalance expressly rather than treating Canadian subnational opening as fully reciprocated by default. The same principle applies reciprocally to United States, Mexican, Canadian, and other scheduled subnational contributions under this Agreement. Rebalancing may occur through additional subnational coverage, reduced preference intensity, improved qualification or certification recognition, lower thresholds, sectoral openings, agreed federal opportunities, or another measurable contribution accepted by the affected Parties. Nothing in this paragraph requires a province, territory, state, municipality, Indigenous or tribal government to participate where constitutional or domestic authority for participation has not been committed.</w:t>
      </w:r>
    </w:p>
    <w:p>
      <w:pPr>
        <w:pStyle w:val="Normal"/>
      </w:pPr>
      <w:r>
        <w:rPr>
          <w:b/>
        </w:rPr>
        <w:t xml:space="preserve">6. Cothrom Rebalancing, Contract Stability, and Earn-Back. </w:t>
      </w:r>
      <w:r>
        <w:t>Where verification establishes a material loss of reciprocal subnational access, the affected Parties shall use the Cothrom sequence of notice, evidence review, consultation, cure opportunity, proportionate step-back, verification, and automatic earn-back. Any step-back shall first target enhanced procurement preferences or equivalent benefits associated with the verified imbalance and shall not disturb unrelated baseline treaty rights where a narrower correction is reasonably available. A step-back shall not retroactively alter a completed award, invalidate an executed contract, or change the rules of a procurement already past the stage at which modification could be made fairly and lawfully. Full enhanced treatment shall be restored promptly when verification confirms that substantially equivalent practical access has returned.</w:t>
      </w:r>
    </w:p>
    <w:p>
      <w:pPr>
        <w:pStyle w:val="Heading2"/>
      </w:pPr>
      <w:bookmarkStart w:id="901819" w:name="_Toc300001818"/>
      <w:r>
        <w:t>Article 49.8: Mexican Extraordinary-Tariff Normalization Track</w:t>
      </w:r>
      <w:bookmarkEnd w:id="901819"/>
    </w:p>
    <w:p>
      <w:pPr>
        <w:pStyle w:val="Normal"/>
      </w:pPr>
      <w:r>
        <w:t>1. The Parties establish an expedited track to review extraordinary additional duties or equivalent restrictions applied to qualifying Mexican originating automotive goods, automotive parts, steel, aluminum, and other designated industrial goods where the measure materially departs from ordinary CUSMA treatment.</w:t>
      </w:r>
    </w:p>
    <w:p>
      <w:pPr>
        <w:pStyle w:val="Normal"/>
      </w:pPr>
      <w:r>
        <w:t>2. The review shall consider verified North American origin, non-Party circumvention risk, strategic supply security, material domestic-industry effects, compliance history, and implementation of relevant economic-security commitments.</w:t>
      </w:r>
    </w:p>
    <w:p>
      <w:pPr>
        <w:pStyle w:val="Normal"/>
      </w:pPr>
      <w:r>
        <w:t>3. Where the evidence demonstrates that qualifying Mexican originating production does not present the identified circumvention or essential-security risk, the Parties shall pursue the narrowest practicable normalization, which may include exclusion, quota conversion, staged duty reduction, tariff-rate treatment, suspension, or restoration of ordinary preferential treatment as authorized by law.</w:t>
      </w:r>
    </w:p>
    <w:p>
      <w:pPr>
        <w:pStyle w:val="Normal"/>
      </w:pPr>
      <w:r>
        <w:t>4. Relief shall be available on objective terms and shall not require Mexico to surrender unrelated CUSMA rights or accept a Party-specific production quota merely as the price of normalization.</w:t>
      </w:r>
    </w:p>
    <w:p>
      <w:pPr>
        <w:pStyle w:val="Normal"/>
      </w:pPr>
      <w:r>
        <w:t>5. Canada and the United States may use equivalent procedures for comparable originating goods so that normalization strengthens rather than fragments the trilateral market.</w:t>
      </w:r>
    </w:p>
    <w:p>
      <w:pPr>
        <w:pStyle w:val="Heading2"/>
      </w:pPr>
      <w:bookmarkStart w:id="901820" w:name="_Toc300001819"/>
      <w:r>
        <w:t>Article 49.9: Trilateral Steel and Aluminum Normalization and Anti-Diversion Bargain</w:t>
      </w:r>
      <w:bookmarkEnd w:id="901820"/>
    </w:p>
    <w:p>
      <w:pPr>
        <w:pStyle w:val="Normal"/>
      </w:pPr>
      <w:r>
        <w:t>1. Building on Article 49.5, the Parties shall seek to replace broad intra-CUSMA steel and aluminum restrictions with origin-based, risk-based, and anti-circumvention tools where such tools are sufficient to address the verified concern.</w:t>
      </w:r>
    </w:p>
    <w:p>
      <w:pPr>
        <w:pStyle w:val="Normal"/>
      </w:pPr>
      <w:r>
        <w:t>2. Mexico, Canada, and the United States shall cooperate on melt-and-pour, smelt-and-cast, provenance, transshipment, and non-market-overcapacity verification while preserving commercially reasonable confidentiality.</w:t>
      </w:r>
    </w:p>
    <w:p>
      <w:pPr>
        <w:pStyle w:val="Normal"/>
      </w:pPr>
      <w:r>
        <w:t>3. Verified originating material that satisfies the applicable provenance rules shall receive a presumption in favor of ordinary CUSMA treatment or the least-restrictive available security measure.</w:t>
      </w:r>
    </w:p>
    <w:p>
      <w:pPr>
        <w:pStyle w:val="Heading2"/>
      </w:pPr>
      <w:bookmarkStart w:id="901821" w:name="_Toc300001820"/>
      <w:r>
        <w:t>ANNEX 49-A: NORTH AMERICAN PROCUREMENT VALUE-EQUIVALENCE AND LANDING SCHEDULE</w:t>
      </w:r>
      <w:bookmarkEnd w:id="901821"/>
    </w:p>
    <w:p>
      <w:pPr>
        <w:pStyle w:val="Normal"/>
      </w:pPr>
      <w:r>
        <w:rPr>
          <w:b/>
        </w:rPr>
        <w:t>1. Purpose.</w:t>
      </w:r>
      <w:r>
        <w:t xml:space="preserve"> This Annex implements Articles 49.7 through 49.7H. It establishes a common method for valuing practical reciprocal procurement access while preserving each Party’s constitutional structure, lawful exclusions, domestic policy space, and authority to determine procurement needs.</w:t>
      </w:r>
    </w:p>
    <w:p>
      <w:pPr>
        <w:pStyle w:val="Normal"/>
      </w:pPr>
      <w:r>
        <w:rPr>
          <w:b/>
        </w:rPr>
        <w:t>2. Tier structure.</w:t>
      </w:r>
      <w:r>
        <w:t xml:space="preserve"> For a covered procurement designated under this Annex, treatment may be organized as follows: Tier 1, an expressly authorized domestic preference; Tier 2, qualifying originating suppliers and North American Strategic Chains; Tier 3, suppliers entitled to treatment under another applicable trade agreement; and Tier 4, other suppliers. A Tier 1 preference shall not erase treaty access expressly guaranteed to another Party.</w:t>
      </w:r>
    </w:p>
    <w:p>
      <w:pPr>
        <w:pStyle w:val="Normal"/>
      </w:pPr>
      <w:r>
        <w:rPr>
          <w:b/>
        </w:rPr>
        <w:t>3. Initial Tier-2 candidate sectors.</w:t>
      </w:r>
      <w:r>
        <w:t xml:space="preserve"> Candidate sectors include infrastructure and construction materials; grid and energy equipment; transportation equipment; semiconductors and digital infrastructure; critical minerals and processed strategic materials; forest products and housing inputs; emergency-response equipment; and designated advanced-manufacturing supply chains. Permanent coverage requires adoption in the applicable Party schedule.</w:t>
      </w:r>
    </w:p>
    <w:p>
      <w:pPr>
        <w:pStyle w:val="Normal"/>
      </w:pPr>
      <w:r>
        <w:rPr>
          <w:b/>
        </w:rPr>
        <w:t>4. Contestable Covered Procurement Value.</w:t>
      </w:r>
      <w:r>
        <w:t xml:space="preserve"> The starting value is the annualized value of scheduled procurement for which a qualifying supplier of another Party could realistically compete. The Parties may use a rolling three-year average or another agreed representative period to reduce distortion from unusually large projects or cyclical expenditure.</w:t>
      </w:r>
    </w:p>
    <w:p>
      <w:pPr>
        <w:pStyle w:val="Normal"/>
      </w:pPr>
      <w:r>
        <w:rPr>
          <w:b/>
        </w:rPr>
        <w:t>5. Excluded value.</w:t>
      </w:r>
      <w:r>
        <w:t xml:space="preserve"> Gross spending shall be removed or discounted where access is unavailable because of a negotiated exclusion, genuine classified or national-security restriction, lawful Indigenous or tribal set-aside, legitimate SME reservation, justified sole-source procurement, statutory monopoly, pre-existing long-term commitment, emergency-only procurement, or another objectively unavailable category.</w:t>
      </w:r>
    </w:p>
    <w:p>
      <w:pPr>
        <w:pStyle w:val="Normal"/>
      </w:pPr>
      <w:r>
        <w:rPr>
          <w:b/>
        </w:rPr>
        <w:t>6. Effective Accessible Procurement Value.</w:t>
      </w:r>
      <w:r>
        <w:t xml:space="preserve"> EAPV shall be derived from Contestable Covered Procurement Value through transparent adjustment factors for: (a) entity and program coverage; (b) threshold accessibility; (c) domestic-preference intensity; (d) sector breadth and strategic relevance; (e) qualification and documentation accessibility; (f) bonding, insurance, certification, and local-presence requirements; (g) digital tender access and opportunity discoverability; (h) payment and retainage practices; (i) bid-challenge usability; and (j) any other factor jointly adopted by the Parties.</w:t>
      </w:r>
    </w:p>
    <w:p>
      <w:pPr>
        <w:pStyle w:val="Normal"/>
      </w:pPr>
      <w:r>
        <w:rPr>
          <w:b/>
        </w:rPr>
        <w:t>7. No single-factor dominance.</w:t>
      </w:r>
      <w:r>
        <w:t xml:space="preserve"> No individual factor, including gross dollar value, GDP, number of covered entities, number of contracts, or share of awards won by foreign suppliers, is dispositive. The methodology shall disclose material assumptions and avoid double counting.</w:t>
      </w:r>
    </w:p>
    <w:p>
      <w:pPr>
        <w:pStyle w:val="Normal"/>
      </w:pPr>
      <w:r>
        <w:rPr>
          <w:b/>
        </w:rPr>
        <w:t>8. Domestic-preference adjustment.</w:t>
      </w:r>
      <w:r>
        <w:t xml:space="preserve"> A lawful domestic preference shall be evaluated according to its effective competitive impact, including price preference, content rule, qualification advantage, tax-linked procurement advantage, evaluation bonus, or comparable mechanism. The existence of a domestic preference alone does not establish non-equivalence.</w:t>
      </w:r>
    </w:p>
    <w:p>
      <w:pPr>
        <w:pStyle w:val="Normal"/>
      </w:pPr>
      <w:r>
        <w:rPr>
          <w:b/>
        </w:rPr>
        <w:t>9. Threshold and contract-structure adjustment.</w:t>
      </w:r>
      <w:r>
        <w:t xml:space="preserve"> The Parties shall examine both nominal thresholds and the proportion of otherwise relevant procurement falling below them. Artificial contract splitting or other restructuring to avoid coverage shall be disregarded for equivalence purposes.</w:t>
      </w:r>
    </w:p>
    <w:p>
      <w:pPr>
        <w:pStyle w:val="Normal"/>
      </w:pPr>
      <w:r>
        <w:rPr>
          <w:b/>
        </w:rPr>
        <w:t>10. Sector and entity diversity.</w:t>
      </w:r>
      <w:r>
        <w:t xml:space="preserve"> Equivalent access should include a reasonable distribution across the scheduled procurement economy rather than concentration in a nominally large but practically narrow category. The methodology may separately identify central/federal entities, infrastructure bodies, covered public enterprises, and voluntarily participating subnational authorities without requiring identical governmental structures.</w:t>
      </w:r>
    </w:p>
    <w:p>
      <w:pPr>
        <w:pStyle w:val="Normal"/>
      </w:pPr>
      <w:r>
        <w:rPr>
          <w:b/>
        </w:rPr>
        <w:t>11. SME accessibility modifier.</w:t>
      </w:r>
      <w:r>
        <w:t xml:space="preserve"> Simplified qualification, reusable verified credentials, reasonable bid security, appropriately sized lots, interoperable certifications, electronic tendering, supplier matching, and prompt-payment practices may increase the practical-access value attributed to a covered procurement pathway. Legitimate domestic SME reservations remain excluded or separately treated as agreed.</w:t>
      </w:r>
    </w:p>
    <w:p>
      <w:pPr>
        <w:pStyle w:val="Normal"/>
      </w:pPr>
      <w:r>
        <w:rPr>
          <w:b/>
        </w:rPr>
        <w:t>12. Strategic-capacity credit.</w:t>
      </w:r>
      <w:r>
        <w:t xml:space="preserve"> A limited additional credit may be recognized for procurement that verifiably creates new North American production, repair, recycling, strategic-component, or surge capacity. Credit shall be capped so that capacity incentives cannot substitute for a materially closed procurement market, and no credit shall be awarded for principally cannibalizing existing qualifying capacity in another Party.</w:t>
      </w:r>
    </w:p>
    <w:p>
      <w:pPr>
        <w:pStyle w:val="Normal"/>
      </w:pPr>
      <w:r>
        <w:rPr>
          <w:b/>
        </w:rPr>
        <w:t>13. Reciprocity Bands.</w:t>
      </w:r>
      <w:r>
        <w:t xml:space="preserve"> The Parties shall establish numerical calibration ranges in their implementation schedules. The bands shall distinguish: Band A, substantial equivalence; Band B, minor measurable imbalance compatible with full benefits subject to an adjustment plan where appropriate; Band C, material imbalance requiring rebalancing; Band D, persistent substantial imbalance permitting targeted step-back of enhanced procurement preferences; and Band E, deliberate closure or circumvention subject to expedited Cothrom corrective review. Until numerical ranges are jointly adopted, no Party may infer a Band D or E consequence solely from an unpublished methodology.</w:t>
      </w:r>
    </w:p>
    <w:p>
      <w:pPr>
        <w:pStyle w:val="Normal"/>
      </w:pPr>
      <w:r>
        <w:rPr>
          <w:b/>
        </w:rPr>
        <w:t>14. Rebalancing menu.</w:t>
      </w:r>
      <w:r>
        <w:t xml:space="preserve"> A Party may restore equivalence by adding entities or sectors, lowering thresholds, reducing an applicable preference margin, simplifying qualification, improving SME usability, recognizing credentials, adding voluntary subnational coverage, correcting discriminatory administration, or providing another measurable access enhancement accepted under the methodology.</w:t>
      </w:r>
    </w:p>
    <w:p>
      <w:pPr>
        <w:pStyle w:val="Normal"/>
      </w:pPr>
      <w:r>
        <w:rPr>
          <w:b/>
        </w:rPr>
        <w:t>15. Annual review and ordinary fluctuation.</w:t>
      </w:r>
      <w:r>
        <w:t xml:space="preserve"> The Procurement Committee shall review EAPV annually using the most recent reliable data. Ordinary changes in government expenditure, cancellation of projects, recession, disaster spending, or supplier success rates shall not by themselves require compensation or rebalancing. The focus is the opportunity made practically available under the rules.</w:t>
      </w:r>
    </w:p>
    <w:p>
      <w:pPr>
        <w:pStyle w:val="Normal"/>
      </w:pPr>
      <w:r>
        <w:rPr>
          <w:b/>
        </w:rPr>
        <w:t>16. Voluntary subnational schedules.</w:t>
      </w:r>
      <w:r>
        <w:t xml:space="preserve"> Canada, Mexico, and the United States may maintain separate voluntary schedules for constitutionally competent subnational authorities. Participation may be entity-specific, sector-specific, threshold-specific, program-specific, or procurement-specific and may be withdrawn prospectively subject to reasonable reliance protection for already published tenders.</w:t>
      </w:r>
    </w:p>
    <w:p>
      <w:pPr>
        <w:pStyle w:val="Normal"/>
      </w:pPr>
      <w:r>
        <w:rPr>
          <w:b/>
        </w:rPr>
        <w:t>17. Publication.</w:t>
      </w:r>
      <w:r>
        <w:t xml:space="preserve"> A procuring authority shall publish the applicable tier, origin or strategic-chain criteria, security requirements, evaluation method, threshold, material domestic preference, and material eligibility conditions before bids close. Criteria shall be measurable and shall not be rewritten after bid submission to favor a preferred supplier.</w:t>
      </w:r>
    </w:p>
    <w:p>
      <w:pPr>
        <w:pStyle w:val="Normal"/>
      </w:pPr>
      <w:r>
        <w:rPr>
          <w:b/>
        </w:rPr>
        <w:t>18. Data protection.</w:t>
      </w:r>
      <w:r>
        <w:t xml:space="preserve"> Equivalence reporting shall use aggregated, anonymized, or protected data where necessary. Nothing in this Annex requires disclosure of classified information, protected Indigenous or tribal information, trade secrets, confidential bid information, protected tax information, or information whose disclosure would materially impair procurement integrity.</w:t>
      </w:r>
    </w:p>
    <w:p>
      <w:pPr>
        <w:pStyle w:val="Normal"/>
      </w:pPr>
      <w:r>
        <w:rPr>
          <w:b/>
        </w:rPr>
        <w:t>19. Initial implementation.</w:t>
      </w:r>
      <w:r>
        <w:t xml:space="preserve"> Within 180 days of entry into force, the Procurement Committee shall recommend initial permanent Tier-2 sectors and entities, propose numerical Reciprocity Band ranges, identify data gaps, and publish a non-binding model Party schedule. Until permanent schedules are adopted, existing procurement commitments remain in force and this Annex shall not be construed to create unscheduled market-access obligations.</w:t>
      </w:r>
    </w:p>
    <w:p>
      <w:pPr>
        <w:pStyle w:val="Normal"/>
      </w:pPr>
      <w:r>
        <w:rPr>
          <w:b/>
        </w:rPr>
        <w:t>20. Three-Win review.</w:t>
      </w:r>
      <w:r>
        <w:t xml:space="preserve"> Before a permanent procurement schedule or material expansion enters into force, the Parties shall assess whether each Party can identify a commercially meaningful and politically intelligible procurement benefit, whether contribution is substantially equivalent in practical opportunity, and whether the arrangement respects constitutional and development-policy differences. A failure of identical dollar value is not a failure of the Three-Win Test.</w:t>
      </w:r>
    </w:p>
    <w:p>
      <w:pPr>
        <w:pStyle w:val="Heading1"/>
      </w:pPr>
      <w:bookmarkStart w:id="901822" w:name="_Toc300001821"/>
      <w:r>
        <w:t>CHAPTER 50</w:t>
      </w:r>
      <w:r>
        <w:br/>
      </w:r>
      <w:r>
        <w:t>SME, CUSTOMS, DIGITAL, AND SUPPLY-CHAIN MODERNIZATION</w:t>
      </w:r>
      <w:bookmarkEnd w:id="901822"/>
    </w:p>
    <w:p>
      <w:pPr>
        <w:pStyle w:val="Heading2"/>
      </w:pPr>
      <w:bookmarkStart w:id="901823" w:name="_Toc300001822"/>
      <w:r>
        <w:t>Article 50.1: Trusted SME Exporter</w:t>
      </w:r>
      <w:bookmarkEnd w:id="901823"/>
    </w:p>
    <w:p>
      <w:pPr>
        <w:pStyle w:val="Normal"/>
      </w:pPr>
      <w:r>
        <w:t>1. Each Party shall provide a simplified trusted-exporter pathway for qualifying low-volume, low-risk SMEs with a clean compliance record. Benefits may include consolidated origin records, reduced repetitive documentary requests, electronic pre-clearance, and risk-based verification.</w:t>
      </w:r>
    </w:p>
    <w:p>
      <w:pPr>
        <w:pStyle w:val="Normal"/>
      </w:pPr>
      <w:r>
        <w:t>2. Suspension requires particularized risk evidence, notice, reasons, and expedited review. One entity's violation does not justify suspension of the program as a whole absent systemic deficiency.</w:t>
      </w:r>
    </w:p>
    <w:p>
      <w:pPr>
        <w:pStyle w:val="Heading2"/>
      </w:pPr>
      <w:bookmarkStart w:id="901824" w:name="_Toc300001823"/>
      <w:r>
        <w:t>Article 50.2: Plain-Language and Port Consistency Rule</w:t>
      </w:r>
      <w:bookmarkEnd w:id="901824"/>
    </w:p>
    <w:p>
      <w:pPr>
        <w:pStyle w:val="Normal"/>
      </w:pPr>
      <w:r>
        <w:t>1. Customs agencies shall publish current plain-language operational guidance for commonly used CUSMA procedures and maintain a mechanism to identify and correct materially inconsistent application among ports of entry.</w:t>
      </w:r>
    </w:p>
    <w:p>
      <w:pPr>
        <w:pStyle w:val="Normal"/>
      </w:pPr>
      <w:r>
        <w:t>2. Guidance does not override treaty text or domestic law, but a trader's reasonable reliance on current official guidance shall be considered in penalty mitigation where the trader acted in good faith.</w:t>
      </w:r>
    </w:p>
    <w:p>
      <w:pPr>
        <w:pStyle w:val="Heading2"/>
      </w:pPr>
      <w:bookmarkStart w:id="901825" w:name="_Toc300001824"/>
      <w:r>
        <w:t>Article 50.3: Harmonized Core Customs Data</w:t>
      </w:r>
      <w:bookmarkEnd w:id="901825"/>
    </w:p>
    <w:p>
      <w:pPr>
        <w:pStyle w:val="Normal"/>
      </w:pPr>
      <w:r>
        <w:t>1. The Parties shall maintain a common core data set for routine originating-goods declarations and low-value shipments, using interoperable electronic formats. Additional data demands shall be risk-based and proportionate.</w:t>
      </w:r>
    </w:p>
    <w:p>
      <w:pPr>
        <w:pStyle w:val="Heading2"/>
      </w:pPr>
      <w:bookmarkStart w:id="901826" w:name="_Toc300001825"/>
      <w:r>
        <w:t>Article 50.4: Non-Market Practice Definition and Review</w:t>
      </w:r>
      <w:bookmarkEnd w:id="901826"/>
    </w:p>
    <w:p>
      <w:pPr>
        <w:pStyle w:val="Normal"/>
      </w:pPr>
      <w:r>
        <w:t>1. For purposes of this Agreement, a non-market practice means a specific government-directed or government-enabled practice that materially distorts competitive conditions through mechanisms such as non-commercial financing, non-transparent subsidies, compelled technology transfer, discriminatory state purchasing, strategic overcapacity support, or circumvention of applicable trade remedies.</w:t>
      </w:r>
    </w:p>
    <w:p>
      <w:pPr>
        <w:pStyle w:val="Normal"/>
      </w:pPr>
      <w:r>
        <w:t>2. State ownership, public enterprise status, industrial policy, or a trade surplus alone does not establish a non-market practice.</w:t>
      </w:r>
    </w:p>
    <w:p>
      <w:pPr>
        <w:pStyle w:val="Normal"/>
      </w:pPr>
      <w:r>
        <w:t>3. Measures responding to a claimed non-market practice shall identify the conduct, evidence, causal connection, and proposed remedy and remain subject to dispute settlement.</w:t>
      </w:r>
    </w:p>
    <w:p>
      <w:pPr>
        <w:pStyle w:val="Heading2"/>
      </w:pPr>
      <w:bookmarkStart w:id="901827" w:name="_Toc300001826"/>
      <w:r>
        <w:t>Article 50.5: Supply-Chain Risk Map and Early Warning</w:t>
      </w:r>
      <w:bookmarkEnd w:id="901827"/>
    </w:p>
    <w:p>
      <w:pPr>
        <w:pStyle w:val="Normal"/>
      </w:pPr>
      <w:r>
        <w:t>1. The Parties shall maintain a shared, security-protected North American Supply-Chain Risk Map identifying material single points of failure, excessive geographic concentration, critical infrastructure dependencies, and strategic processing bottlenecks.</w:t>
      </w:r>
    </w:p>
    <w:p>
      <w:pPr>
        <w:pStyle w:val="Normal"/>
      </w:pPr>
      <w:r>
        <w:t>2. The Map is diagnostic and does not create purchase mandates, export guarantees, or automatic restrictions against a non-Party.</w:t>
      </w:r>
    </w:p>
    <w:p>
      <w:pPr>
        <w:pStyle w:val="Heading2"/>
      </w:pPr>
      <w:bookmarkStart w:id="901828" w:name="_Toc300001827"/>
      <w:r>
        <w:t>Article 50.6: Digital Economy Regulatory Principles</w:t>
      </w:r>
      <w:bookmarkEnd w:id="901828"/>
    </w:p>
    <w:p>
      <w:pPr>
        <w:pStyle w:val="Normal"/>
      </w:pPr>
      <w:r>
        <w:t>1. Each Party retains the right to regulate AI-enabled commerce, online platforms, privacy, cybersecurity, digital taxation, cultural policy, financial technology, and cross-border data consistent with this Agreement.</w:t>
      </w:r>
    </w:p>
    <w:p>
      <w:pPr>
        <w:pStyle w:val="Normal"/>
      </w:pPr>
      <w:r>
        <w:t>2. Digital regulation shall not discriminate on the basis of nationality or location without an objective public-policy or security basis, and should be interoperable and no more trade-restrictive than reasonably necessary to achieve its legitimate objective.</w:t>
      </w:r>
    </w:p>
    <w:p>
      <w:pPr>
        <w:pStyle w:val="Normal"/>
      </w:pPr>
      <w:r>
        <w:t>3. The Parties shall pursue coordinated or multilateral approaches to digital taxation where feasible. No indefinite standstill on non-discriminatory domestic taxation is created by this Article.</w:t>
      </w:r>
    </w:p>
    <w:p>
      <w:pPr>
        <w:pStyle w:val="Normal"/>
      </w:pPr>
      <w:r>
        <w:t>4. For greater certainty, this Article is subject to Article 41.7A (Cultural and Linguistic Sovereignty Firewall) and does not limit bona fide measures concerning language rights, linguistic accessibility, cultural discoverability, language-based labeling or labelling, interface-language availability, recommendation-system treatment, cultural contributions, or the promotion of domestic, Indigenous, minority-language, regional, or heritage-language expression. A measure within Article 41.7A is not inconsistent with paragraph 2 merely because it differentiates by language in order to achieve the protected linguistic or cultural objective. The Parties shall interpret digital-trade obligations so that technological neutrality does not erase or materially impair a Party's chosen level of linguistic or cultural protection. Nothing in this paragraph expands a cultural or linguistic measure beyond the safeguards, good-faith requirements, and anti-disguised-discrimination rule in Article 41.7A.</w:t>
      </w:r>
    </w:p>
    <w:p>
      <w:pPr>
        <w:pStyle w:val="Heading2"/>
      </w:pPr>
      <w:bookmarkStart w:id="901829" w:name="_Toc300001828"/>
      <w:r>
        <w:t>Article 50.7: Cryptographic Authenticity and Fraud Coordination</w:t>
      </w:r>
      <w:bookmarkEnd w:id="901829"/>
    </w:p>
    <w:p>
      <w:pPr>
        <w:pStyle w:val="Normal"/>
      </w:pPr>
      <w:r>
        <w:t>1. The Parties shall support technologically neutral cryptographic authenticity for electronic origin certifications and other high-value trade credentials, including secure validation and revocation capability.</w:t>
      </w:r>
    </w:p>
    <w:p>
      <w:pPr>
        <w:pStyle w:val="Normal"/>
      </w:pPr>
      <w:r>
        <w:t>2. Customs authorities shall share legally releasable fraud patterns, compromised credential indicators, and coordinated-investigation requests through secure channels with privacy, confidentiality, and due-process safeguards.</w:t>
      </w:r>
    </w:p>
    <w:p>
      <w:pPr>
        <w:pStyle w:val="Heading2"/>
      </w:pPr>
      <w:bookmarkStart w:id="901830" w:name="_Toc300001829"/>
      <w:r>
        <w:t>Article 50.8: Mexican Digital Manufacturing and SME Export Lane</w:t>
      </w:r>
      <w:bookmarkEnd w:id="901830"/>
    </w:p>
    <w:p>
      <w:pPr>
        <w:pStyle w:val="Normal"/>
      </w:pPr>
      <w:r>
        <w:t>1. The Parties shall establish a Mexican Digital Manufacturing and SME Export Lane connecting Mexico's electronics, automotive, aerospace, semiconductor, software, design, logistics, and advanced-manufacturing firms with North American digital trade and procurement opportunities.</w:t>
      </w:r>
    </w:p>
    <w:p>
      <w:pPr>
        <w:pStyle w:val="Normal"/>
      </w:pPr>
      <w:r>
        <w:t>2. The Lane may provide reusable electronic credentials, cloud and cybersecurity guidance, interoperable invoicing and customs data, SME compliance assistance, digital-service export support, participation in semiconductor design and packaging networks, and access to voluntary testing and qualification facilities.</w:t>
      </w:r>
    </w:p>
    <w:p>
      <w:pPr>
        <w:pStyle w:val="Normal"/>
      </w:pPr>
      <w:r>
        <w:t>3. Benefits shall be available on objective terms to qualifying firms and shall not require source-code disclosure, transfer of intellectual property, or localization beyond what is permitted by this Agreement and domestic law.</w:t>
      </w:r>
    </w:p>
    <w:p>
      <w:pPr>
        <w:pStyle w:val="Normal"/>
      </w:pPr>
      <w:r>
        <w:t>4. The Commission shall monitor whether digital implementation rules create disproportionate barriers for Mexican SMEs or electronics manufacturers relative to functionally equivalent Canadian or United States firms and shall recommend technical correction where appropriate.</w:t>
      </w:r>
    </w:p>
    <w:p>
      <w:pPr>
        <w:pStyle w:val="Heading2"/>
      </w:pPr>
      <w:bookmarkStart w:id="901831" w:name="_Toc300001830"/>
      <w:r>
        <w:t>Article 50.9: Administrative Friction and Border Performance Safeguard</w:t>
      </w:r>
      <w:bookmarkEnd w:id="901831"/>
    </w:p>
    <w:p>
      <w:pPr>
        <w:pStyle w:val="Normal"/>
      </w:pPr>
      <w:r>
        <w:t>1. A Party shall administer customs, licensing, certification, inspection, laboratory, bond, port, and related border procedures in a risk-based, proportionate, timely, and non-discriminatory manner.</w:t>
      </w:r>
    </w:p>
    <w:p>
      <w:pPr>
        <w:pStyle w:val="Normal"/>
      </w:pPr>
      <w:r>
        <w:t>2. The Secretariat shall publish comparable performance indicators, including clearance-time distributions, inspection and secondary-examination rates, release delays, documentation burdens, rejection rates, laboratory referral, and trusted-trader performance, with appropriate protection for security and commercial information.</w:t>
      </w:r>
    </w:p>
    <w:p>
      <w:pPr>
        <w:pStyle w:val="Normal"/>
      </w:pPr>
      <w:r>
        <w:t>3. Persistent unexplained divergence affecting comparable originating goods may trigger Article 46.17 review. A Party may rebut the inference with evidence of risk, congestion, product characteristics, compliance history, emergency conditions, or other legitimate causes.</w:t>
      </w:r>
    </w:p>
    <w:p>
      <w:pPr>
        <w:pStyle w:val="Normal"/>
      </w:pPr>
      <w:r>
        <w:t>4. Formally equal administration that imposes materially excessive burden relative to the legitimate objective remains subject to necessity and proportionality review.</w:t>
      </w:r>
    </w:p>
    <w:p>
      <w:pPr>
        <w:pStyle w:val="Heading2"/>
      </w:pPr>
      <w:bookmarkStart w:id="901832" w:name="_Toc300001831"/>
      <w:r>
        <w:t>Article 50.10: Least-Burdensome Verification and Repeat-Audit Safeguard</w:t>
      </w:r>
      <w:bookmarkEnd w:id="901832"/>
    </w:p>
    <w:p>
      <w:pPr>
        <w:pStyle w:val="Normal"/>
      </w:pPr>
      <w:r>
        <w:t>1. Where multiple verification methods provide materially equivalent assurance, the administering authority should use the method imposing the lower reasonable compliance burden.</w:t>
      </w:r>
    </w:p>
    <w:p>
      <w:pPr>
        <w:pStyle w:val="Normal"/>
      </w:pPr>
      <w:r>
        <w:t>2. A first-time or low-risk trader with a verified compliance history shall not be subjected to substantially duplicative audits or document demands absent new risk information, material discrepancy, random quality-control sampling, or another objective predicate.</w:t>
      </w:r>
    </w:p>
    <w:p>
      <w:pPr>
        <w:pStyle w:val="Normal"/>
      </w:pPr>
      <w:r>
        <w:t>3. Repeated audits, inspections, or information demands shall be recorded in a manner permitting pattern review under Article 46.17.</w:t>
      </w:r>
    </w:p>
    <w:p>
      <w:pPr>
        <w:pStyle w:val="Heading2"/>
      </w:pPr>
      <w:bookmarkStart w:id="901833" w:name="_Toc300001832"/>
      <w:r>
        <w:t>Article 50.11: Decision-or-Explain Deadlines and Application Completeness Lock</w:t>
      </w:r>
      <w:bookmarkEnd w:id="901833"/>
    </w:p>
    <w:p>
      <w:pPr>
        <w:pStyle w:val="Normal"/>
      </w:pPr>
      <w:r>
        <w:t>1. Each Party shall establish reasonable published decision targets for covered advance rulings, licenses, permits, certifications, trusted-status determinations, and other trade-administrative applications.</w:t>
      </w:r>
    </w:p>
    <w:p>
      <w:pPr>
        <w:pStyle w:val="Normal"/>
      </w:pPr>
      <w:r>
        <w:t>2. When the target expires without decision, the authority shall decide, provide a reasoned time-limited extension, or make available expedited procedural review. Silence shall not create indefinite discretion.</w:t>
      </w:r>
    </w:p>
    <w:p>
      <w:pPr>
        <w:pStyle w:val="Normal"/>
      </w:pPr>
      <w:r>
        <w:t>3. Once an authority formally determines an application complete, additional information requests shall be materially connected to newly discovered facts, changed circumstances, legal requirements not reasonably identifiable earlier, or information shown to be materially necessary to decide the application.</w:t>
      </w:r>
    </w:p>
    <w:p>
      <w:pPr>
        <w:pStyle w:val="Normal"/>
      </w:pPr>
      <w:r>
        <w:t>4. This Article does not create automatic approval where safety, security, environment, public health, financial integrity, or another legitimate public interest requires an affirmative decision.</w:t>
      </w:r>
    </w:p>
    <w:p>
      <w:pPr>
        <w:pStyle w:val="Heading2"/>
      </w:pPr>
      <w:bookmarkStart w:id="901834" w:name="_Toc300001833"/>
      <w:r>
        <w:t>Article 50.12: Trusted Status Due Process</w:t>
      </w:r>
      <w:bookmarkEnd w:id="901834"/>
    </w:p>
    <w:p>
      <w:pPr>
        <w:pStyle w:val="Normal"/>
      </w:pPr>
      <w:r>
        <w:t>1. Suspension, downgrading, or revocation of trusted-trader or equivalent status shall be based on objective criteria and accompanied by a reasoned notice sufficient to permit response, subject to lawful confidentiality.</w:t>
      </w:r>
    </w:p>
    <w:p>
      <w:pPr>
        <w:pStyle w:val="Normal"/>
      </w:pPr>
      <w:r>
        <w:t>2. Except where immediate action is necessary to address material fraud, safety, security, or evasion risk, the trader shall receive a reasonable cure opportunity and expedited review before loss of status becomes final.</w:t>
      </w:r>
    </w:p>
    <w:p>
      <w:pPr>
        <w:pStyle w:val="Heading2"/>
      </w:pPr>
      <w:bookmarkStart w:id="901835" w:name="_Toc300001834"/>
      <w:r>
        <w:t>Article 50.13: Technical Standard and Conformity-Assessment Capacity Protection</w:t>
      </w:r>
      <w:bookmarkEnd w:id="901835"/>
    </w:p>
    <w:p>
      <w:pPr>
        <w:pStyle w:val="Normal"/>
      </w:pPr>
      <w:r>
        <w:t>1. A technical regulation materially affecting originating trade shall pursue a legitimate objective and shall not be more trade restrictive than reasonably necessary in light of the risks non-fulfilment would create, consistent with Chapter 11.</w:t>
      </w:r>
    </w:p>
    <w:p>
      <w:pPr>
        <w:pStyle w:val="Normal"/>
      </w:pPr>
      <w:r>
        <w:t>2. Where equivalent assurance can be provided by a competent conformity-assessment body in another Party, the importing Party shall provide a fair process to recognize that body or explain the objective basis for refusal.</w:t>
      </w:r>
    </w:p>
    <w:p>
      <w:pPr>
        <w:pStyle w:val="Normal"/>
      </w:pPr>
      <w:r>
        <w:t>3. A Party shall not create a de facto trade barrier by maintaining manifestly inadequate mandatory certification capacity, exclusive bottlenecks without objective necessity, or processing queues disproportionate to the regulatory risk.</w:t>
      </w:r>
    </w:p>
    <w:p>
      <w:pPr>
        <w:pStyle w:val="Normal"/>
      </w:pPr>
      <w:r>
        <w:t>4. Where certification capacity fails materially, the Parties shall consider temporary mutual recognition, additional accredited capacity, provisional certification, or other safe continuity measures.</w:t>
      </w:r>
    </w:p>
    <w:p>
      <w:pPr>
        <w:pStyle w:val="Heading2"/>
      </w:pPr>
      <w:bookmarkStart w:id="901836" w:name="_Toc300001835"/>
      <w:r>
        <w:t>Article 50.14: Service, Business-Day, and Technical-Failure Fairness</w:t>
      </w:r>
      <w:bookmarkEnd w:id="901836"/>
    </w:p>
    <w:p>
      <w:pPr>
        <w:pStyle w:val="Normal"/>
      </w:pPr>
      <w:r>
        <w:t>1. Procedural periods shall use published rules for business days, service, time zones, holidays, and technical failures. A deadline shall not be engineered to deprive another Party or covered person of a reasonable opportunity to respond.</w:t>
      </w:r>
    </w:p>
    <w:p>
      <w:pPr>
        <w:pStyle w:val="Normal"/>
      </w:pPr>
      <w:r>
        <w:t>2. Material electronic filing failure outside the filer's reasonable control entitles the filer to a reasonable restoration period upon prompt notice and evidence of attempted compliance.</w:t>
      </w:r>
    </w:p>
    <w:p>
      <w:pPr>
        <w:pStyle w:val="Heading1"/>
      </w:pPr>
      <w:bookmarkStart w:id="901837" w:name="_Toc300001836"/>
      <w:r>
        <w:t>CHAPTER 51</w:t>
      </w:r>
      <w:r>
        <w:br/>
      </w:r>
      <w:r>
        <w:t>SYMMETRICAL LABOR, ENVIRONMENTAL, AND SCIENTIFIC COOPERATION</w:t>
      </w:r>
      <w:bookmarkEnd w:id="901837"/>
    </w:p>
    <w:p>
      <w:pPr>
        <w:pStyle w:val="Heading2"/>
      </w:pPr>
      <w:bookmarkStart w:id="901838" w:name="_Toc300001837"/>
      <w:r>
        <w:t>Article 50.15: Concurrent Processing, Clock Integrity, and Completeness Finality</w:t>
      </w:r>
      <w:bookmarkEnd w:id="901838"/>
    </w:p>
    <w:p>
      <w:pPr>
        <w:pStyle w:val="Normal"/>
      </w:pPr>
      <w:r>
        <w:t>1. Where multiple administrative reviews concern the same transaction or application, competent authorities shall conduct them concurrently where reasonably practicable rather than serially multiplying otherwise applicable service periods.</w:t>
      </w:r>
    </w:p>
    <w:p>
      <w:pPr>
        <w:pStyle w:val="Normal"/>
      </w:pPr>
      <w:r>
        <w:t>2. An initial completeness review shall identify all deficiencies reasonably discoverable from the submission at that time. Later supplementation may be required for materially new facts, changed circumstances, newly discovered risk, or defects not reasonably discoverable earlier, but minor or immaterial supplementation shall not restart the entire service clock.</w:t>
      </w:r>
    </w:p>
    <w:p>
      <w:pPr>
        <w:pStyle w:val="Normal"/>
      </w:pPr>
      <w:r>
        <w:t>3. Tolling shall be limited to the period reasonably attributable to material missing information and shall not be reset by agency-caused delay. Repetitive requests for substantially the same information require a reasoned explanation.</w:t>
      </w:r>
    </w:p>
    <w:p>
      <w:pPr>
        <w:pStyle w:val="Normal"/>
      </w:pPr>
      <w:r>
        <w:t>4. Once an application is declared complete, additional information demands must identify their material connection to the decision. This paragraph does not prevent urgent requests necessary to address newly discovered health, safety, security, fraud, or environmental risk.</w:t>
      </w:r>
    </w:p>
    <w:p>
      <w:pPr>
        <w:pStyle w:val="Heading2"/>
      </w:pPr>
      <w:bookmarkStart w:id="901839" w:name="_Toc300001838"/>
      <w:r>
        <w:t>Article 50.16: Administrative Intensity, Proxy Discrimination, and Performance Comparators</w:t>
      </w:r>
      <w:bookmarkEnd w:id="901839"/>
    </w:p>
    <w:p>
      <w:pPr>
        <w:pStyle w:val="Normal"/>
      </w:pPr>
      <w:r>
        <w:t>1. Equality of written rules does not by itself establish equal administration. Review may compare inspection frequency, correction opportunities, cure periods, audit intensity, processing practices, documentation burden, discretionary accommodation, rejection rates, and other operational indicators among materially similarly situated actors.</w:t>
      </w:r>
    </w:p>
    <w:p>
      <w:pPr>
        <w:pStyle w:val="Normal"/>
      </w:pPr>
      <w:r>
        <w:t>2. Direct nationality classification is not required. Persistent disparity produced by proxy variables or automated risk factors may trigger protected review where ordinary risk factors do not adequately explain the difference.</w:t>
      </w:r>
    </w:p>
    <w:p>
      <w:pPr>
        <w:pStyle w:val="Normal"/>
      </w:pPr>
      <w:r>
        <w:t>3. Statistical disparity is a screening and evidentiary tool, not an automatic finding. The administering Party may rebut with evidence of legitimate risk, trade composition, product characteristics, compliance history, congestion, seasonal demand, emergency conditions, fraud patterns, or other relevant factors.</w:t>
      </w:r>
    </w:p>
    <w:p>
      <w:pPr>
        <w:pStyle w:val="Normal"/>
      </w:pPr>
      <w:r>
        <w:t>4. For high-volume treaty pathways, Parties shall maintain standardized aggregate metrics reasonably sufficient to evaluate processing time, holds, inspections, supplementation requests, rejection, appeals, and outcomes without requiring disclosure of protected personal or commercially sensitive information.</w:t>
      </w:r>
    </w:p>
    <w:p>
      <w:pPr>
        <w:pStyle w:val="Heading2"/>
      </w:pPr>
      <w:bookmarkStart w:id="901840" w:name="_Toc300001839"/>
      <w:r>
        <w:t>Article 50.17: Operational Availability, Capacity, and Optional-Pathway Non-Coercion</w:t>
      </w:r>
      <w:bookmarkEnd w:id="901840"/>
    </w:p>
    <w:p>
      <w:pPr>
        <w:pStyle w:val="Normal"/>
      </w:pPr>
      <w:r>
        <w:t>1. Where a Party establishes or is required to maintain a treaty-created administrative pathway, it shall maintain administrative capacity reasonably sufficient to keep that pathway operational under foreseeable ordinary demand.</w:t>
      </w:r>
    </w:p>
    <w:p>
      <w:pPr>
        <w:pStyle w:val="Normal"/>
      </w:pPr>
      <w:r>
        <w:t>2. This obligation does not prescribe staffing levels, appropriations, organizational design, or technology. Temporary extraordinary demand, disasters, strikes, cyber incidents, or other genuine disruptions may justify proportionate temporary delay subject to continuity measures under Chapter 47.</w:t>
      </w:r>
    </w:p>
    <w:p>
      <w:pPr>
        <w:pStyle w:val="Normal"/>
      </w:pPr>
      <w:r>
        <w:t>3. Repeated reliance on substantially similar workload conditions shall progressively weaken a claim that the workload was unforeseeable.</w:t>
      </w:r>
    </w:p>
    <w:p>
      <w:pPr>
        <w:pStyle w:val="Normal"/>
      </w:pPr>
      <w:r>
        <w:t>4. Creation of an optional expedited, trusted, or enhanced pathway shall not justify deliberate degradation of the ordinary pathway below its independently applicable treaty standard.</w:t>
      </w:r>
    </w:p>
    <w:p>
      <w:pPr>
        <w:pStyle w:val="Normal"/>
      </w:pPr>
      <w:r>
        <w:t>5. Where a material capacity constraint is reasonably susceptible to cooperative correction, the administering Party should first use the shared implementation support mechanisms of Annex 34-H before treating recurring workload as unavoidable. Acceptance of technical assistance does not transfer legal responsibility for the underlying obligation or authorize another Party to direct the administering authority.</w:t>
      </w:r>
    </w:p>
    <w:p>
      <w:pPr>
        <w:pStyle w:val="Heading2"/>
      </w:pPr>
      <w:bookmarkStart w:id="901841" w:name="_Toc300001840"/>
      <w:r>
        <w:t>Article 50.18: Functional Administrative Instruments and Reliance</w:t>
      </w:r>
      <w:bookmarkEnd w:id="901841"/>
    </w:p>
    <w:p>
      <w:pPr>
        <w:pStyle w:val="Normal"/>
      </w:pPr>
      <w:r>
        <w:t>1. For treaty review, a measure may include a binding or practically determinative guidance document, circular, FAQ, technical bulletin, enforcement manual, algorithmic rule, repeated administrative practice, or delegated instruction where it materially determines access to a treaty benefit, regardless of its domestic label as non-binding.</w:t>
      </w:r>
    </w:p>
    <w:p>
      <w:pPr>
        <w:pStyle w:val="Normal"/>
      </w:pPr>
      <w:r>
        <w:t>2. Article 47.17 applies to good-faith reliance on authenticated authoritative guidance. Material interpretive changes should be prospective where practicable and accompanied by reasonable transition appropriate to risk and urgency.</w:t>
      </w:r>
    </w:p>
    <w:p>
      <w:pPr>
        <w:pStyle w:val="Normal"/>
      </w:pPr>
      <w:r>
        <w:t>3. A Party may correct erroneous guidance immediately where necessary to protect health, safety, security, revenue, privacy, environment, or prevent fraud, provided affected persons receive a fair opportunity to cure past good-faith reliance where compatible with the legitimate objective.</w:t>
      </w:r>
    </w:p>
    <w:p>
      <w:pPr>
        <w:pStyle w:val="Heading2"/>
      </w:pPr>
      <w:bookmarkStart w:id="901842" w:name="_Toc300001841"/>
      <w:r>
        <w:t>Article 50.19: Seasonal, Corridor, Tail-Risk, and Commercial-Criticality Review</w:t>
      </w:r>
      <w:bookmarkEnd w:id="901842"/>
    </w:p>
    <w:p>
      <w:pPr>
        <w:pStyle w:val="Normal"/>
      </w:pPr>
      <w:r>
        <w:t>1. Administrative performance analysis shall consider commercially critical timing where delay has materially different consequences for perishables, harvest periods, production-line continuity, model launches, emergency supplies, or other objectively time-sensitive commerce.</w:t>
      </w:r>
    </w:p>
    <w:p>
      <w:pPr>
        <w:pStyle w:val="Normal"/>
      </w:pPr>
      <w:r>
        <w:t>2. Authorities shall not be required to guarantee uninterrupted commerce or eliminate legitimate seasonal enforcement. Review shall distinguish genuine capacity or risk conditions from unexplained concentration of burden during known critical commercial windows.</w:t>
      </w:r>
    </w:p>
    <w:p>
      <w:pPr>
        <w:pStyle w:val="Normal"/>
      </w:pPr>
      <w:r>
        <w:t>3. Where averages conceal material tail delays, treaty bodies may consider percentile delay, extreme-hold frequency, repeat inspection, and duration distributions in addition to averages and medians.</w:t>
      </w:r>
    </w:p>
    <w:p>
      <w:pPr>
        <w:pStyle w:val="Normal"/>
      </w:pPr>
      <w:r>
        <w:t>4. Corridor-specific analysis may be used where geography or infrastructure makes a national average materially misleading.</w:t>
      </w:r>
    </w:p>
    <w:p>
      <w:pPr>
        <w:pStyle w:val="Heading2"/>
      </w:pPr>
      <w:bookmarkStart w:id="901843" w:name="_Toc300001842"/>
      <w:r>
        <w:t>Article 51.1: Symmetrical Labor Enforcement</w:t>
      </w:r>
      <w:bookmarkEnd w:id="901843"/>
    </w:p>
    <w:p>
      <w:pPr>
        <w:pStyle w:val="Normal"/>
      </w:pPr>
      <w:r>
        <w:t>1. Comparable labor obligations are enforceable according to equivalent evidentiary and procedural standards in Canada, Mexico, and the United States. No Party receives a treaty-created presumption that systemic labor non-compliance can occur only in another Party.</w:t>
      </w:r>
    </w:p>
    <w:p>
      <w:pPr>
        <w:pStyle w:val="Normal"/>
      </w:pPr>
      <w:r>
        <w:t>2. The North American Facility-Specific Labour Remedy under Article 31.E remains available for localized denial-of-rights matters within its defined scope. A separate Systemic Labor Rapid-Response Track may address an alleged recurring pattern spanning multiple facilities or authorities.</w:t>
      </w:r>
    </w:p>
    <w:p>
      <w:pPr>
        <w:pStyle w:val="Normal"/>
      </w:pPr>
      <w:r>
        <w:t>3. The Systemic Track requires particularized evidence, an opportunity to cure, independent factual verification, and a time-bound remediation plan before trade consequences are considered.</w:t>
      </w:r>
    </w:p>
    <w:p>
      <w:pPr>
        <w:pStyle w:val="Heading2"/>
      </w:pPr>
      <w:bookmarkStart w:id="901844" w:name="_Toc300001843"/>
      <w:r>
        <w:t>Article 51.2: Environmental Rapid Technical Review</w:t>
      </w:r>
      <w:bookmarkEnd w:id="901844"/>
    </w:p>
    <w:p>
      <w:pPr>
        <w:pStyle w:val="Normal"/>
      </w:pPr>
      <w:r>
        <w:t>1. A material allegation of failure to enforce an environmental obligation may enter a rapid technical review by an independent scientific and legal team. The review shall distinguish factual environmental conditions from the legal question of treaty breach.</w:t>
      </w:r>
    </w:p>
    <w:p>
      <w:pPr>
        <w:pStyle w:val="Normal"/>
      </w:pPr>
      <w:r>
        <w:t>2. Lack of access or information attributable to a Party may support reasonable evidentiary inferences after notice and an opportunity to cure; ordinary scientific uncertainty does not.</w:t>
      </w:r>
    </w:p>
    <w:p>
      <w:pPr>
        <w:pStyle w:val="Heading2"/>
      </w:pPr>
      <w:bookmarkStart w:id="901845" w:name="_Toc300001844"/>
      <w:r>
        <w:t>Article 51.3: Biodiversity, Habitat, and Circular Economy Cooperation</w:t>
      </w:r>
      <w:bookmarkEnd w:id="901845"/>
    </w:p>
    <w:p>
      <w:pPr>
        <w:pStyle w:val="Normal"/>
      </w:pPr>
      <w:r>
        <w:t>1. Cooperative work under Chapter 24 shall include biodiversity, habitat connectivity, invasive species, circular production, material recovery, wildfire resilience, water efficiency, and other agreed regional environmental priorities.</w:t>
      </w:r>
    </w:p>
    <w:p>
      <w:pPr>
        <w:pStyle w:val="Heading2"/>
      </w:pPr>
      <w:bookmarkStart w:id="901846" w:name="_Toc300001845"/>
      <w:r>
        <w:t>Article 51.4: Independent Scientific Advisory Review</w:t>
      </w:r>
      <w:bookmarkEnd w:id="901846"/>
    </w:p>
    <w:p>
      <w:pPr>
        <w:pStyle w:val="Normal"/>
      </w:pPr>
      <w:r>
        <w:t>1. Where a cross-border environmental, SPS, or emerging-technology risk requires independent scientific advice, the Commission or competent committee may convene an ad hoc scientific advisory review using qualified experts from existing treaty rosters, competent agencies, or mutually accepted external experts. No separately staffed permanent scientific committee is created by this Article.</w:t>
      </w:r>
    </w:p>
    <w:p>
      <w:pPr>
        <w:pStyle w:val="Normal"/>
      </w:pPr>
      <w:r>
        <w:t>2. Scientific advice is non-binding and does not itself establish a violation. The review shall disclose methodology, material uncertainty, conflicts of interest, and material dissenting views, subject to lawful confidentiality and security protections.</w:t>
      </w:r>
    </w:p>
    <w:p>
      <w:pPr>
        <w:pStyle w:val="Heading2"/>
      </w:pPr>
      <w:bookmarkStart w:id="901847" w:name="_Toc300001846"/>
      <w:r>
        <w:t>Article 51.5: Rapid SPS Scientific Exchange and Equivalence</w:t>
      </w:r>
      <w:bookmarkEnd w:id="901847"/>
    </w:p>
    <w:p>
      <w:pPr>
        <w:pStyle w:val="Normal"/>
      </w:pPr>
      <w:r>
        <w:t>1. The Parties shall maintain a rapid channel for exchanging scientific data, risk assessments, outbreak information, plant-health information, and relevant laboratory findings.</w:t>
      </w:r>
    </w:p>
    <w:p>
      <w:pPr>
        <w:pStyle w:val="Normal"/>
      </w:pPr>
      <w:r>
        <w:t>2. Where Parties use different maximum residue limits or other SPS thresholds, they shall seek equivalence or mutual recognition when supported by scientific evidence. This Article does not require identical safety levels.</w:t>
      </w:r>
    </w:p>
    <w:p>
      <w:pPr>
        <w:pStyle w:val="Heading1"/>
      </w:pPr>
      <w:bookmarkStart w:id="901848" w:name="_Toc300001847"/>
      <w:r>
        <w:t>CHAPTER 52</w:t>
      </w:r>
      <w:r>
        <w:br/>
      </w:r>
      <w:r>
        <w:t>SIDE INSTRUMENTS, TRILATERAL INTEGRITY, AND IMPLEMENTATION</w:t>
      </w:r>
      <w:bookmarkEnd w:id="901848"/>
    </w:p>
    <w:p>
      <w:pPr>
        <w:pStyle w:val="Heading2"/>
      </w:pPr>
      <w:bookmarkStart w:id="901849" w:name="_Toc300001848"/>
      <w:r>
        <w:t>Article 52.1: Bilateral Side Instruments</w:t>
      </w:r>
      <w:bookmarkEnd w:id="901849"/>
    </w:p>
    <w:p>
      <w:pPr>
        <w:pStyle w:val="Normal"/>
      </w:pPr>
      <w:r>
        <w:t>1. Two Parties may conclude a bilateral side letter, implementing arrangement, or sectoral understanding relating to this Agreement. Such an instrument may supplement or implement obligations between its participants only within authority provided by this Agreement or applicable international law; it shall not reduce, amend, suspend, condition, or reinterpret the rights or obligations of the third Party without that Party's express consent.</w:t>
      </w:r>
    </w:p>
    <w:p>
      <w:pPr>
        <w:pStyle w:val="Normal"/>
      </w:pPr>
      <w:r>
        <w:t>2. An instrument intended to modify operative CUSMA rights shall be submitted to the Free Trade Commission and completed through the amendment procedure applicable to this Agreement. A binding side instrument shall identify its participants, legal authority, relationship to this Agreement, effective date, duration or termination rule, and any accession procedure for the third Party, and shall be published except to the extent lawful confidentiality or security requires protected treatment.</w:t>
      </w:r>
    </w:p>
    <w:p>
      <w:pPr>
        <w:pStyle w:val="Heading2"/>
      </w:pPr>
      <w:bookmarkStart w:id="901850" w:name="_Toc300001849"/>
      <w:r>
        <w:t>Article 52.2: Implementation Fallback</w:t>
      </w:r>
      <w:bookmarkEnd w:id="901850"/>
    </w:p>
    <w:p>
      <w:pPr>
        <w:pStyle w:val="Normal"/>
      </w:pPr>
      <w:r>
        <w:t>1. Where an implementing committee, regulation, technical annex, digital system, uniform procedure, or side instrument is not operational by its deadline, the pre-existing treaty rule continues unless the Agreement expressly provides another fallback. If an implementing or side instrument conflicts with this Agreement, this Agreement controls to the extent of the conflict unless the instrument was adopted through the applicable amendment procedure.</w:t>
      </w:r>
    </w:p>
    <w:p>
      <w:pPr>
        <w:pStyle w:val="Normal"/>
      </w:pPr>
      <w:r>
        <w:t>2. Failure to complete an implementation instrument shall not create a regulatory vacuum or authorize a Party to suspend unrelated benefits.</w:t>
      </w:r>
    </w:p>
    <w:p>
      <w:pPr>
        <w:pStyle w:val="Heading2"/>
      </w:pPr>
      <w:bookmarkStart w:id="901851" w:name="_Toc300001850"/>
      <w:r>
        <w:t>Article 52.3: Transition Design Rule</w:t>
      </w:r>
      <w:bookmarkEnd w:id="901851"/>
    </w:p>
    <w:p>
      <w:pPr>
        <w:pStyle w:val="Normal"/>
      </w:pPr>
      <w:r>
        <w:t>1. A new obligation requiring material capital investment, supply-chain restructuring, software deployment, certification-system replacement, or sub-federal implementation shall specify an effective date, interim rule, responsible body, and measurable readiness criteria.</w:t>
      </w:r>
    </w:p>
    <w:p>
      <w:pPr>
        <w:pStyle w:val="Normal"/>
      </w:pPr>
      <w:r>
        <w:t>2. The Commission may accelerate implementation by consensus where readiness is demonstrated; it may extend a technical deadline for good cause without reducing the substantive obligation.</w:t>
      </w:r>
    </w:p>
    <w:p>
      <w:pPr>
        <w:pStyle w:val="Normal"/>
      </w:pPr>
      <w:r>
        <w:t>PACKAGE R: REVIEW STABILITY, SECTORAL ACCESS, SME MODERNIZATION, AND SYMMETRICAL ENFORCEMENT (v3.6). Converts the accumulated modernization backlog into operative safeguards: structured review terms of reference and multi-year work plans; an advisory North American Competitiveness Council; binding remittance fee transparency; a stronger rural-support evidentiary safe harbor; distributed verification fallback when the Golden Record fails; zero customs duty for scheduled originating distilled spirits without creating a new origin test; alcohol-distribution safe harbor; auditable dairy TRQ administration; automotive transition and impact-assessment discipline; a high evidentiary presumption against security tariffs on originating steel and aluminum; procurement and sovereign-cloud safeguards; trusted SME exporter treatment, plain-language customs guidance, harmonized core customs data, a defined non-market-practice test, supply-chain risk mapping, digital regulatory principles, and cryptographic credential authenticity; symmetrical labor enforcement, environmental rapid technical review, biodiversity and scientific cooperation, SPS equivalence; and rules preserving trilateral rights against bilateral side instruments while preventing implementation gaps.</w:t>
      </w:r>
    </w:p>
    <w:p>
      <w:pPr>
        <w:pStyle w:val="Heading1"/>
      </w:pPr>
      <w:bookmarkStart w:id="901852" w:name="_Toc300001851"/>
      <w:r>
        <w:t>CHAPTER 53</w:t>
      </w:r>
      <w:r>
        <w:br/>
      </w:r>
      <w:r>
        <w:t>PREDICTABILITY, PATTERN REVIEW, AND ADAPTIVE IMPLEMENTATION</w:t>
      </w:r>
      <w:bookmarkEnd w:id="901852"/>
    </w:p>
    <w:p>
      <w:pPr>
        <w:pStyle w:val="Heading2"/>
      </w:pPr>
      <w:bookmarkStart w:id="901853" w:name="_Toc300001852"/>
      <w:r>
        <w:t>Article 53.1: Material Trade Measure Notice Rule</w:t>
      </w:r>
      <w:bookmarkEnd w:id="901853"/>
    </w:p>
    <w:p>
      <w:pPr>
        <w:pStyle w:val="Normal"/>
      </w:pPr>
      <w:r>
        <w:t>1. Except where an express emergency provision permits immediate action, a Party introducing a material new border restriction, import licensing limitation, export restriction, discriminatory fee, or other measure reasonably expected to disrupt covered North American trade shall provide advance notice and a concise statement of legal basis, scope, intended duration, and affected sectors.</w:t>
      </w:r>
    </w:p>
    <w:p>
      <w:pPr>
        <w:pStyle w:val="Normal"/>
      </w:pPr>
      <w:r>
        <w:t>2. Advance notice should ordinarily occur at least 30 days before entry into effect. Where urgent circumstances make that impracticable, notice shall occur as soon as practicable and no later than 24 hours after the measure takes effect, together with the emergency basis for shortened notice.</w:t>
      </w:r>
    </w:p>
    <w:p>
      <w:pPr>
        <w:pStyle w:val="Normal"/>
      </w:pPr>
      <w:r>
        <w:t>3. Ordinary domestic regulation of general application is not subject to this Article solely because it has incidental trade effects. The rule targets material trade actions whose principal operation occurs at the border or directly conditions cross-border access.</w:t>
      </w:r>
    </w:p>
    <w:p>
      <w:pPr>
        <w:pStyle w:val="Heading2"/>
      </w:pPr>
      <w:bookmarkStart w:id="901854" w:name="_Toc300001853"/>
      <w:r>
        <w:t>Article 53.2: Administrative Obstruction and Regulatory Surprise Review</w:t>
      </w:r>
      <w:bookmarkEnd w:id="901854"/>
    </w:p>
    <w:p>
      <w:pPr>
        <w:pStyle w:val="Normal"/>
      </w:pPr>
      <w:r>
        <w:t>1. A Party may request review where individually modest administrative actions, taken together, plausibly produce a material barrier to originating trade, including unexplained inspection escalation, repeated duplicative information demands, selective reclassification, abnormal licensing delay, inconsistent port treatment, or sudden procedural change without a reasonable transition.</w:t>
      </w:r>
    </w:p>
    <w:p>
      <w:pPr>
        <w:pStyle w:val="Normal"/>
      </w:pPr>
      <w:r>
        <w:t>2. No single event establishes a violation merely because it is inconvenient or costly. The review body considers pattern, comparator treatment, duration, explanation, risk basis, corrective efforts, and commercial effect.</w:t>
      </w:r>
    </w:p>
    <w:p>
      <w:pPr>
        <w:pStyle w:val="Normal"/>
      </w:pPr>
      <w:r>
        <w:t>3. A finding requires evidence that the cumulative conduct is discriminatory, arbitrary, intentionally obstructive, or manifestly disproportionate to a legitimate administrative objective.</w:t>
      </w:r>
    </w:p>
    <w:p>
      <w:pPr>
        <w:pStyle w:val="Heading2"/>
      </w:pPr>
      <w:bookmarkStart w:id="901855" w:name="_Toc300001854"/>
      <w:r>
        <w:t>Article 53.3: Pattern-of-Conduct Ledger</w:t>
      </w:r>
      <w:bookmarkEnd w:id="901855"/>
    </w:p>
    <w:p>
      <w:pPr>
        <w:pStyle w:val="Normal"/>
      </w:pPr>
      <w:r>
        <w:t>1. The Secretariat shall maintain a confidential Pattern-of-Conduct Ledger for related sub-threshold implementation events reported by Parties, customs authorities, firms, or recognized stakeholders.</w:t>
      </w:r>
    </w:p>
    <w:p>
      <w:pPr>
        <w:pStyle w:val="Normal"/>
      </w:pPr>
      <w:r>
        <w:t>2. Ledger entries are leads, not findings. Entry creates no presumption of wrongdoing, no automatic remedy, and no public stigma.</w:t>
      </w:r>
    </w:p>
    <w:p>
      <w:pPr>
        <w:pStyle w:val="Normal"/>
      </w:pPr>
      <w:r>
        <w:t>3. Repeated related events involving the same measure, authority, product class, facility, importer, or policy objective may be consolidated for structural review when the cumulative record plausibly indicates systemic impairment.</w:t>
      </w:r>
    </w:p>
    <w:p>
      <w:pPr>
        <w:pStyle w:val="Normal"/>
      </w:pPr>
      <w:r>
        <w:t>4. A Party receives notice and an opportunity to correct inaccurate ledger entries before the entries may be relied upon in a formal proceeding.</w:t>
      </w:r>
    </w:p>
    <w:p>
      <w:pPr>
        <w:pStyle w:val="Heading2"/>
      </w:pPr>
      <w:bookmarkStart w:id="901856" w:name="_Toc300001855"/>
      <w:r>
        <w:t>Article 53.4: Compliance Stabilization and Predictability Restoration Pathway</w:t>
      </w:r>
      <w:bookmarkEnd w:id="901856"/>
    </w:p>
    <w:p>
      <w:pPr>
        <w:pStyle w:val="Normal"/>
      </w:pPr>
      <w:r>
        <w:t>1. After two or more final findings of materially related non-compliance within 36 months, the affected Party may elect a Compliance Stabilization Period of 12 to 24 months.</w:t>
      </w:r>
    </w:p>
    <w:p>
      <w:pPr>
        <w:pStyle w:val="Normal"/>
      </w:pPr>
      <w:r>
        <w:t>2. During the period, the Party provides enhanced notice for materially related trade measures, maintains a published remediation calendar, and accepts proportionate monitoring of the affected subject matter.</w:t>
      </w:r>
    </w:p>
    <w:p>
      <w:pPr>
        <w:pStyle w:val="Normal"/>
      </w:pPr>
      <w:r>
        <w:t>3. In exchange, heightened presumptions or monitoring arising solely from the prior pattern are suspended once the Party completes six months of verified clean compliance and terminate upon successful completion of the Stabilization Period.</w:t>
      </w:r>
    </w:p>
    <w:p>
      <w:pPr>
        <w:pStyle w:val="Normal"/>
      </w:pPr>
      <w:r>
        <w:t>4. A new unrelated dispute does not cancel progress under this Article. A materially related repeat violation pauses earn-back only to the extent necessary to verify and remediate that violation.</w:t>
      </w:r>
    </w:p>
    <w:p>
      <w:pPr>
        <w:pStyle w:val="Heading2"/>
      </w:pPr>
      <w:bookmarkStart w:id="901857" w:name="_Toc300001856"/>
      <w:r>
        <w:t>Article 53.5: Institutional Predictability Calendar</w:t>
      </w:r>
      <w:bookmarkEnd w:id="901857"/>
    </w:p>
    <w:p>
      <w:pPr>
        <w:pStyle w:val="Normal"/>
      </w:pPr>
      <w:r>
        <w:t>1. The Secretariat shall maintain a single public calendar identifying scheduled Commission reviews, committee meetings, recurring reports, technical consultations, pilot milestones, implementation deadlines, planned system maintenance, and known sectoral review windows.</w:t>
      </w:r>
    </w:p>
    <w:p>
      <w:pPr>
        <w:pStyle w:val="Normal"/>
      </w:pPr>
      <w:r>
        <w:t>2. Omission from the calendar does not invalidate an otherwise lawful action, but a body that misses a published deadline shall record the delay, interim fallback, responsible body, and revised completion date.</w:t>
      </w:r>
    </w:p>
    <w:p>
      <w:pPr>
        <w:pStyle w:val="Heading2"/>
      </w:pPr>
      <w:bookmarkStart w:id="901858" w:name="_Toc300001857"/>
      <w:r>
        <w:t>Article 53.6: Learning Engine and Recursive Improvement</w:t>
      </w:r>
      <w:bookmarkEnd w:id="901858"/>
    </w:p>
    <w:p>
      <w:pPr>
        <w:pStyle w:val="Normal"/>
      </w:pPr>
      <w:r>
        <w:t>1. A recurring implementation problem identified in two Treaty Resilience Exercises, two final panel findings, or three verified administrative incidents within five years triggers a Learning Review by the responsible committee.</w:t>
      </w:r>
    </w:p>
    <w:p>
      <w:pPr>
        <w:pStyle w:val="Normal"/>
      </w:pPr>
      <w:r>
        <w:t>2. The committee shall determine whether the recurring problem results from treaty text, implementing regulation, operational procedure, staffing, technology, data quality, or another cause and shall propose an appropriate correction or publish a reasoned explanation for taking no action.</w:t>
      </w:r>
    </w:p>
    <w:p>
      <w:pPr>
        <w:pStyle w:val="Normal"/>
      </w:pPr>
      <w:r>
        <w:t>3. A Learning Review may amend an operational procedure or recommend a technical or treaty amendment but may not alter a substantive right without using the legally required amendment process.</w:t>
      </w:r>
    </w:p>
    <w:p>
      <w:pPr>
        <w:pStyle w:val="Heading2"/>
      </w:pPr>
      <w:bookmarkStart w:id="901859" w:name="_Toc300001858"/>
      <w:r>
        <w:t>Article 53.7: Outcome-Based Effectiveness Audit</w:t>
      </w:r>
      <w:bookmarkEnd w:id="901859"/>
    </w:p>
    <w:p>
      <w:pPr>
        <w:pStyle w:val="Normal"/>
      </w:pPr>
      <w:r>
        <w:t>1. The Secretariat shall conduct periodic randomized and risk-based audits of whether major implementation mechanisms achieve their stated operational results, rather than auditing only documentary compliance.</w:t>
      </w:r>
    </w:p>
    <w:p>
      <w:pPr>
        <w:pStyle w:val="Normal"/>
      </w:pPr>
      <w:r>
        <w:t>2. Audits may measure, as applicable, clearance time, SME burden, trusted-trader performance, TRQ utilization, verification accuracy, dispute duration, restoration speed, system uptime, false-positive rates, and actual use of fallback procedures.</w:t>
      </w:r>
    </w:p>
    <w:p>
      <w:pPr>
        <w:pStyle w:val="Normal"/>
      </w:pPr>
      <w:r>
        <w:t>3. Results are classified Green, Amber, or Red for administrative purposes. A Red result triggers a remediation plan; it does not itself establish treaty breach.</w:t>
      </w:r>
    </w:p>
    <w:p>
      <w:pPr>
        <w:pStyle w:val="Normal"/>
      </w:pPr>
      <w:r>
        <w:t>4. Good-faith self-reporting of an implementation deficiency before formal detection is a mitigating factor and may qualify for a corrective safe harbor where no fraud, concealment, or material injury occurred.</w:t>
      </w:r>
    </w:p>
    <w:p>
      <w:pPr>
        <w:pStyle w:val="Heading2"/>
      </w:pPr>
      <w:bookmarkStart w:id="901860" w:name="_Toc300001859"/>
      <w:r>
        <w:t>Article 53.8: Treaty Restraint Dashboard</w:t>
      </w:r>
      <w:bookmarkEnd w:id="901860"/>
    </w:p>
    <w:p>
      <w:pPr>
        <w:pStyle w:val="Normal"/>
      </w:pPr>
      <w:r>
        <w:t>1. The Secretariat shall publish aggregate indicators showing how frequently the Agreement uses escalated enforcement rather than correction, including emergency-measure frequency, average restrictive-measure duration, restoration through earn-back, consultation-resolution rates, interim-measure use, innocent-trade effects, and verification reversal rates.</w:t>
      </w:r>
    </w:p>
    <w:p>
      <w:pPr>
        <w:pStyle w:val="Normal"/>
      </w:pPr>
      <w:r>
        <w:t>2. The Dashboard is a system-health tool and has no independent legal effect. Its purpose is to identify whether emergency or enforcement architecture is drifting toward routine punitive use.</w:t>
      </w:r>
    </w:p>
    <w:p>
      <w:pPr>
        <w:pStyle w:val="Heading1"/>
      </w:pPr>
      <w:bookmarkStart w:id="901861" w:name="_Toc300001860"/>
      <w:r>
        <w:t>CHAPTER 54</w:t>
      </w:r>
      <w:r>
        <w:br/>
      </w:r>
      <w:r>
        <w:t>PRIVATE-SECTOR CONTINUITY, INTEGRITY, AND COMMERCIAL EARLY WARNING</w:t>
      </w:r>
      <w:bookmarkEnd w:id="901861"/>
    </w:p>
    <w:p>
      <w:pPr>
        <w:pStyle w:val="Heading2"/>
      </w:pPr>
      <w:bookmarkStart w:id="901862" w:name="_Toc300001861"/>
      <w:r>
        <w:t>Article 54.1: Private-Sector Compliance Principles</w:t>
      </w:r>
      <w:bookmarkEnd w:id="901862"/>
    </w:p>
    <w:p>
      <w:pPr>
        <w:pStyle w:val="Normal"/>
      </w:pPr>
      <w:r>
        <w:t>1. Treaty-created compliance duties imposed on private actors follow four principles: proportionality to demonstrated risk; predictability through published requirements; due process through notice and review; and non-punitive treatment of firms that act in good faith under applicable law.</w:t>
      </w:r>
    </w:p>
    <w:p>
      <w:pPr>
        <w:pStyle w:val="Normal"/>
      </w:pPr>
      <w:r>
        <w:t>2. A new private-sector duty shall identify the covered actors, required data or conduct, effective date, retention period, review channel, and consequences of material non-compliance.</w:t>
      </w:r>
    </w:p>
    <w:p>
      <w:pPr>
        <w:pStyle w:val="Normal"/>
      </w:pPr>
      <w:r>
        <w:t>3. A firm is not penalized merely because it is commercially exposed to a government dispute or because it lawfully complies with another Party's domestic law, unless the specific conduct independently violates an applicable CUSMA obligation or implementing law.</w:t>
      </w:r>
    </w:p>
    <w:p>
      <w:pPr>
        <w:pStyle w:val="Heading2"/>
      </w:pPr>
      <w:bookmarkStart w:id="901863" w:name="_Toc300001862"/>
      <w:r>
        <w:t>Article 54.2: Commercial Friction Early Warning Channel</w:t>
      </w:r>
      <w:bookmarkEnd w:id="901863"/>
    </w:p>
    <w:p>
      <w:pPr>
        <w:pStyle w:val="Normal"/>
      </w:pPr>
      <w:r>
        <w:t>1. The Secretariat shall maintain a confidential channel through which firms, trade associations, labor organizations, logistics providers, customs brokers, and other recognized stakeholders may report emerging border friction, abnormal contract cancellation, regulatory inconsistency, credential compromise, supply disruption, or other implementation problems.</w:t>
      </w:r>
    </w:p>
    <w:p>
      <w:pPr>
        <w:pStyle w:val="Normal"/>
      </w:pPr>
      <w:r>
        <w:t>2. A submission is an investigative lead, not evidence of breach. No adverse treaty consequence may rest on a submission unless independently corroborated.</w:t>
      </w:r>
    </w:p>
    <w:p>
      <w:pPr>
        <w:pStyle w:val="Normal"/>
      </w:pPr>
      <w:r>
        <w:t>3. The Secretariat shall protect confidential business information and may aggregate reports to identify systemic issues without disclosing the identity of a reporter.</w:t>
      </w:r>
    </w:p>
    <w:p>
      <w:pPr>
        <w:pStyle w:val="Heading2"/>
      </w:pPr>
      <w:bookmarkStart w:id="901864" w:name="_Toc300001863"/>
      <w:r>
        <w:t>Article 54.3: Business Continuity Safe Harbor</w:t>
      </w:r>
      <w:bookmarkEnd w:id="901864"/>
    </w:p>
    <w:p>
      <w:pPr>
        <w:pStyle w:val="Normal"/>
      </w:pPr>
      <w:r>
        <w:t>1. A trader that follows an officially activated contingency procedure during a system outage, border disruption, emergency corridor activation, or other declared continuity event shall not later be penalized solely for failing to use the superseded ordinary procedure.</w:t>
      </w:r>
    </w:p>
    <w:p>
      <w:pPr>
        <w:pStyle w:val="Normal"/>
      </w:pPr>
      <w:r>
        <w:t>2. The safe harbor applies where the trader acts in good faith, preserves reasonably available records, and corrects material deficiencies after ordinary systems return.</w:t>
      </w:r>
    </w:p>
    <w:p>
      <w:pPr>
        <w:pStyle w:val="Normal"/>
      </w:pPr>
      <w:r>
        <w:t>3. Fraud, deliberate evasion, unsafe goods, forced-labor violations, and intentional misuse of the continuity process remain fully enforceable.</w:t>
      </w:r>
    </w:p>
    <w:p>
      <w:pPr>
        <w:pStyle w:val="Heading2"/>
      </w:pPr>
      <w:bookmarkStart w:id="901865" w:name="_Toc300001864"/>
      <w:r>
        <w:t>Article 54.4: Continuity-Certified Supplier Program</w:t>
      </w:r>
      <w:bookmarkEnd w:id="901865"/>
    </w:p>
    <w:p>
      <w:pPr>
        <w:pStyle w:val="Normal"/>
      </w:pPr>
      <w:r>
        <w:t>1. Competent national authorities or an existing treaty body expressly designated by the Commission may recognize firms that demonstrate resilient sourcing, verified contingency logistics, reliable origin records, cybersecurity readiness, and successful participation in an approved continuity exercise. Recognition is voluntary and does not create a new certification agency.</w:t>
      </w:r>
    </w:p>
    <w:p>
      <w:pPr>
        <w:pStyle w:val="Normal"/>
      </w:pPr>
      <w:r>
        <w:t>2. Recognition may support expedited contingency processing, reduced repetitive verification, and priority access to treaty-created emergency logistics information. It does not guarantee procurement awards, prices, subsidies, or market share.</w:t>
      </w:r>
    </w:p>
    <w:p>
      <w:pPr>
        <w:pStyle w:val="Normal"/>
      </w:pPr>
      <w:r>
        <w:t>3. Eligibility, evidence, certifying authority, duration, renewal, suspension, revocation, and restoration criteria shall be published, origin-neutral among the Parties, proportionate to firm size, and accessible to SMEs through a simplified pathway. A materially adverse certification decision shall provide notice and reasons and an opportunity for administrative review or reconsideration.</w:t>
      </w:r>
    </w:p>
    <w:p>
      <w:pPr>
        <w:pStyle w:val="Heading2"/>
      </w:pPr>
      <w:bookmarkStart w:id="901866" w:name="_Toc300001865"/>
      <w:r>
        <w:t>Article 54.5: Standing Expert Rotation and Independence</w:t>
      </w:r>
      <w:bookmarkEnd w:id="901866"/>
    </w:p>
    <w:p>
      <w:pPr>
        <w:pStyle w:val="Normal"/>
      </w:pPr>
      <w:r>
        <w:t>1. Technical experts serving under Chapters 31, 35, 46, 51, and related annexes shall rotate under fixed terms and conflict-of-interest requirements designed to reduce capture and maintain current expertise.</w:t>
      </w:r>
    </w:p>
    <w:p>
      <w:pPr>
        <w:pStyle w:val="Normal"/>
      </w:pPr>
      <w:r>
        <w:t>2. The Secretariat shall maintain alternates for each critical specialty and shall disclose non-confidential qualifications, term dates, and recusal information.</w:t>
      </w:r>
    </w:p>
    <w:p>
      <w:pPr>
        <w:pStyle w:val="Heading2"/>
      </w:pPr>
      <w:bookmarkStart w:id="901867" w:name="_Toc300001866"/>
      <w:r>
        <w:t>Article 54.6: Treaty Integrity Function and Protected Reporting</w:t>
      </w:r>
      <w:bookmarkEnd w:id="901867"/>
    </w:p>
    <w:p>
      <w:pPr>
        <w:pStyle w:val="Normal"/>
      </w:pPr>
      <w:r>
        <w:t>1. The Commission shall designate an appropriately independent official or function within the consolidated Article 30 institutional architecture to receive confidential reports concerning corruption, bribery, evidence manipulation, procurement misconduct, retaliation, undisclosed conflicts, or deliberate sabotage of treaty administration. This designation does not create a separately staffed Treaty Integrity Office.</w:t>
      </w:r>
    </w:p>
    <w:p>
      <w:pPr>
        <w:pStyle w:val="Normal"/>
      </w:pPr>
      <w:r>
        <w:t>2. The designated official or function may preserve evidence, conduct a preliminary administrative assessment, and refer matters to an ad hoc independent review panel drawn from applicable rosters or to a competent domestic authority. Interim administrative safeguards may be recommended only within existing treaty or domestic authority.</w:t>
      </w:r>
    </w:p>
    <w:p>
      <w:pPr>
        <w:pStyle w:val="Normal"/>
      </w:pPr>
      <w:r>
        <w:t>3. Good-faith reporters receive confidentiality protection and protection against treaty-institution retaliation. Nothing in this Article creates immunity from domestic criminal law or authorizes the Secretariat to override national whistleblower statutes.</w:t>
      </w:r>
    </w:p>
    <w:p>
      <w:pPr>
        <w:pStyle w:val="Normal"/>
      </w:pPr>
      <w:r>
        <w:t>4. No bounty, electoral consequence, or automatic suspension of a Party's treaty voting rights arises solely from a report. Consequences follow only from established legal authority after independent review.</w:t>
      </w:r>
    </w:p>
    <w:p>
      <w:pPr>
        <w:pStyle w:val="Heading1"/>
      </w:pPr>
      <w:bookmarkStart w:id="901868" w:name="_Toc300001867"/>
      <w:r>
        <w:t>CHAPTER 55</w:t>
      </w:r>
      <w:r>
        <w:br/>
      </w:r>
      <w:r>
        <w:t>STRATEGIC MATERIALS AND LOGISTICS CONTINUITY</w:t>
      </w:r>
      <w:bookmarkEnd w:id="901868"/>
    </w:p>
    <w:p>
      <w:pPr>
        <w:pStyle w:val="Heading2"/>
      </w:pPr>
      <w:bookmarkStart w:id="901869" w:name="_Toc300001868"/>
      <w:r>
        <w:t>Article 55.1: Processed Strategic Materials Reserve Framework</w:t>
      </w:r>
      <w:bookmarkEnd w:id="901869"/>
    </w:p>
    <w:p>
      <w:pPr>
        <w:pStyle w:val="Normal"/>
      </w:pPr>
      <w:r>
        <w:t>1. The Parties may establish coordinated reserves for processed materials whose physical form, purity, qualification, or processing capacity represents a demonstrated North American supply bottleneck, including selected refined critical minerals, magnet materials, battery precursors, specialty alloys, semiconductor inputs, pharmaceutical inputs, or other designated materials.</w:t>
      </w:r>
    </w:p>
    <w:p>
      <w:pPr>
        <w:pStyle w:val="Normal"/>
      </w:pPr>
      <w:r>
        <w:t>2. Reserve decisions shall identify the specific bottleneck, target coverage objective, storage and rotation method, quality assurance, release criteria, replenishment plan, and cost allocation.</w:t>
      </w:r>
    </w:p>
    <w:p>
      <w:pPr>
        <w:pStyle w:val="Normal"/>
      </w:pPr>
      <w:r>
        <w:t>3. The framework does not mandate a fixed reserve duration, guaranteed purchase volume, export prohibition, or preferential supplier nationality beyond ordinary CUSMA origin and procurement rules.</w:t>
      </w:r>
    </w:p>
    <w:p>
      <w:pPr>
        <w:pStyle w:val="Normal"/>
      </w:pPr>
      <w:r>
        <w:t>4. Physical holdings should, where feasible, be geographically distributed and rotationally maintained to reduce degradation and single-point failure.</w:t>
      </w:r>
    </w:p>
    <w:p>
      <w:pPr>
        <w:pStyle w:val="Heading2"/>
      </w:pPr>
      <w:bookmarkStart w:id="901870" w:name="_Toc300001869"/>
      <w:r>
        <w:t>Article 55.2: Emergency Logistics Surge Arrangements</w:t>
      </w:r>
      <w:bookmarkEnd w:id="901870"/>
    </w:p>
    <w:p>
      <w:pPr>
        <w:pStyle w:val="Normal"/>
      </w:pPr>
      <w:r>
        <w:t>1. The Parties shall maintain or identify pre-negotiated emergency logistics arrangements, using existing competent authorities and commercial or mutual-aid networks, for major border, port, rail, road, air-cargo, cyber, natural-disaster, public-health, or infrastructure disruptions. This Article does not create a separately staffed logistics network.</w:t>
      </w:r>
    </w:p>
    <w:p>
      <w:pPr>
        <w:pStyle w:val="Normal"/>
      </w:pPr>
      <w:r>
        <w:t>2. Arrangements shall identify alternative ports of entry, priority communications, responsible authorities, customs fallback procedures, capacity information, and contacts with relevant carriers, ports, terminals, and logistics providers.</w:t>
      </w:r>
    </w:p>
    <w:p>
      <w:pPr>
        <w:pStyle w:val="Normal"/>
      </w:pPr>
      <w:r>
        <w:t>3. Activation reallocates administrative attention and routing capacity; it does not authorize compulsory private carriage, commandeering, or discriminatory exclusion of lawful traffic.</w:t>
      </w:r>
    </w:p>
    <w:p>
      <w:pPr>
        <w:pStyle w:val="Heading2"/>
      </w:pPr>
      <w:bookmarkStart w:id="901871" w:name="_Toc300001870"/>
      <w:r>
        <w:t>Article 55.3: North American Trade Facilitation Corridors</w:t>
      </w:r>
      <w:bookmarkEnd w:id="901871"/>
    </w:p>
    <w:p>
      <w:pPr>
        <w:pStyle w:val="Normal"/>
      </w:pPr>
      <w:r>
        <w:t>1. During a qualifying disruption, the Commission or designated emergency body may activate temporary Trade Facilitation Corridors for essential food, medicines, medical inputs, critical industrial inputs, livestock, perishables, emergency-response material, or other time-sensitive originating goods.</w:t>
      </w:r>
    </w:p>
    <w:p>
      <w:pPr>
        <w:pStyle w:val="Normal"/>
      </w:pPr>
      <w:r>
        <w:t>2. Corridor treatment may include alternate routing, consolidated documentation, pre-arrival processing, extended operating hours, priority inspection scheduling, and mutual recognition of approved contingency credentials.</w:t>
      </w:r>
    </w:p>
    <w:p>
      <w:pPr>
        <w:pStyle w:val="Normal"/>
      </w:pPr>
      <w:r>
        <w:t>3. Safety, sanitary, security, animal-health, plant-health, origin, and forced-labor protections remain in force. Corridor treatment accelerates lawful processing rather than waiving substantive standards.</w:t>
      </w:r>
    </w:p>
    <w:p>
      <w:pPr>
        <w:pStyle w:val="Heading2"/>
      </w:pPr>
      <w:bookmarkStart w:id="901872" w:name="_Toc300001871"/>
      <w:r>
        <w:t>Article 55.4: Strategic Supply Pre-Investment and Capacity Mapping</w:t>
      </w:r>
      <w:bookmarkEnd w:id="901872"/>
    </w:p>
    <w:p>
      <w:pPr>
        <w:pStyle w:val="Normal"/>
      </w:pPr>
      <w:r>
        <w:t>1. The Parties may jointly identify processing, storage, transportation, testing, refining, recycling, and qualification capacity whose absence materially increases North American vulnerability.</w:t>
      </w:r>
    </w:p>
    <w:p>
      <w:pPr>
        <w:pStyle w:val="Normal"/>
      </w:pPr>
      <w:r>
        <w:t>2. Joint programs may support feasibility work, permitting coordination, infrastructure, training, research, or financing under domestic law. Participation is voluntary and does not guarantee a private return or displace ordinary competition.</w:t>
      </w:r>
    </w:p>
    <w:p>
      <w:pPr>
        <w:pStyle w:val="Heading2"/>
      </w:pPr>
      <w:bookmarkStart w:id="901873" w:name="_Toc300001872"/>
      <w:r>
        <w:t>Article 55.5: Essential-Imports Continuity Principle</w:t>
      </w:r>
      <w:bookmarkEnd w:id="901873"/>
    </w:p>
    <w:p>
      <w:pPr>
        <w:pStyle w:val="Normal"/>
      </w:pPr>
      <w:r>
        <w:t>1. During Safe Mode or a qualifying systemic disruption, the Parties shall prioritize continuity of lawful trade in essential medicines, medical devices, food, energy inputs, water-treatment inputs, emergency equipment, and other goods designated through transparent criteria.</w:t>
      </w:r>
    </w:p>
    <w:p>
      <w:pPr>
        <w:pStyle w:val="Normal"/>
      </w:pPr>
      <w:r>
        <w:t>2. This Article does not compel export where a Party faces a bona fide domestic shortage. A temporary restriction remains subject to applicable notification, nondiscrimination, proportionality, and review obligations.</w:t>
      </w:r>
    </w:p>
    <w:p>
      <w:pPr>
        <w:pStyle w:val="Heading2"/>
      </w:pPr>
      <w:bookmarkStart w:id="901874" w:name="_Toc300001873"/>
      <w:r>
        <w:t>ANNEX 34-I: CUSMA OPERATIONAL MANUAL AND TIERED INSTRUMENT HIERARCHY</w:t>
      </w:r>
      <w:bookmarkEnd w:id="901874"/>
    </w:p>
    <w:p>
      <w:pPr>
        <w:pStyle w:val="Heading3"/>
      </w:pPr>
      <w:r>
        <w:t>Part 1: Three-Layer Architecture</w:t>
      </w:r>
    </w:p>
    <w:p>
      <w:pPr>
        <w:pStyle w:val="Normal"/>
      </w:pPr>
      <w:r>
        <w:t>1. Layer One: Treaty Text. The Agreement contains substantive rights, obligations, exceptions, sovereign safeguards, remedies, burdens of proof, and institutional authority. Layer One changes only through the amendment process applicable to this Agreement.</w:t>
      </w:r>
    </w:p>
    <w:p>
      <w:pPr>
        <w:pStyle w:val="Normal"/>
      </w:pPr>
      <w:r>
        <w:t>2. Layer Two: Binding Technical Instruments. Uniform Regulations, schedules, calculation methodologies, technical data standards, product lists, interoperability specifications, and similar instruments may implement the treaty within authority expressly delegated by Layer One.</w:t>
      </w:r>
    </w:p>
    <w:p>
      <w:pPr>
        <w:pStyle w:val="Normal"/>
      </w:pPr>
      <w:r>
        <w:t>3. Layer Three: Operational Manual. The Secretariat shall maintain an Operational Manual containing workflows, standard forms, decision trees, contact protocols, outage procedures, model notices, implementation checklists, evidence-handling procedures, exercise playbooks, and other non-substantive operating material.</w:t>
      </w:r>
    </w:p>
    <w:p>
      <w:pPr>
        <w:pStyle w:val="Heading3"/>
      </w:pPr>
      <w:r>
        <w:t>Part 2: Update Authority and Safeguards</w:t>
      </w:r>
    </w:p>
    <w:p>
      <w:pPr>
        <w:pStyle w:val="Normal"/>
      </w:pPr>
      <w:r>
        <w:t>1. A proposed Layer Three update receives at least 30 days' notice except for a temporary emergency update needed to maintain operations during an active disruption.</w:t>
      </w:r>
    </w:p>
    <w:p>
      <w:pPr>
        <w:pStyle w:val="Normal"/>
      </w:pPr>
      <w:r>
        <w:t>2. Every update includes a justification memorandum stating the problem addressed, expected operational effect, systems affected, transition needs, and confirmation that the update changes no substantive right, duty, threshold, tariff treatment, burden of proof, remedy, or jurisdiction.</w:t>
      </w:r>
    </w:p>
    <w:p>
      <w:pPr>
        <w:pStyle w:val="Normal"/>
      </w:pPr>
      <w:r>
        <w:t>3. A Party may object that a proposed update exceeds operational authority. An objection suspends the disputed portion pending expedited Commission review.</w:t>
      </w:r>
    </w:p>
    <w:p>
      <w:pPr>
        <w:pStyle w:val="Normal"/>
      </w:pPr>
      <w:r>
        <w:t>4. An emergency Layer Three update may take temporary effect immediately where necessary to preserve service, evidence, safety, or continuity, but expires after 30 days unless ratified under the ordinary operational-update procedure.</w:t>
      </w:r>
    </w:p>
    <w:p>
      <w:pPr>
        <w:pStyle w:val="Heading3"/>
      </w:pPr>
      <w:r>
        <w:t>Part 3: Scope Limitation</w:t>
      </w:r>
    </w:p>
    <w:p>
      <w:pPr>
        <w:pStyle w:val="Normal"/>
      </w:pPr>
      <w:r>
        <w:t>1. The Operational Manual may clarify procedure but never amend the Agreement by practice. Repeated use of an operational workaround does not ripen into a substantive treaty amendment.</w:t>
      </w:r>
    </w:p>
    <w:p>
      <w:pPr>
        <w:pStyle w:val="Normal"/>
      </w:pPr>
      <w:r>
        <w:t>2. Where an operational instruction conflicts with Layer One or Layer Two, the higher layer controls and the conflicting instruction is corrected promptly.</w:t>
      </w:r>
    </w:p>
    <w:p>
      <w:pPr>
        <w:pStyle w:val="Normal"/>
      </w:pPr>
      <w:r>
        <w:t>3. Traders and officials may rely in good faith on a published Operational Manual instruction until corrected, subject to fraud, manifest error, and an express contrary rule in Layer One or Layer Two.</w:t>
      </w:r>
    </w:p>
    <w:p>
      <w:pPr>
        <w:pStyle w:val="Heading3"/>
      </w:pPr>
      <w:r>
        <w:t>Part 4: Public and Protected Versions</w:t>
      </w:r>
    </w:p>
    <w:p>
      <w:pPr>
        <w:pStyle w:val="Normal"/>
      </w:pPr>
      <w:r>
        <w:t>1. The Secretariat shall maintain a public Operational Manual and may maintain protected supplements for cybersecurity, customs targeting, fraud detection, critical infrastructure, or other information whose disclosure would materially undermine enforcement or security.</w:t>
      </w:r>
    </w:p>
    <w:p>
      <w:pPr>
        <w:pStyle w:val="Normal"/>
      </w:pPr>
      <w:r>
        <w:t>2. Protected supplements may not create undisclosed substantive obligations for traders.</w:t>
      </w:r>
    </w:p>
    <w:p>
      <w:pPr>
        <w:pStyle w:val="Normal"/>
      </w:pPr>
      <w:r>
        <w:t>PACKAGE S: PREDICTABILITY, COMMERCIAL CONTINUITY, OPERATIONAL HIERARCHY, AND STRATEGIC LOGISTICS (v3.7). Mines the strongest transferable mechanics from IMESI without importing coalition-specific coercive tools. Adds advance notice for material trade measures; cumulative administrative-obstruction and regulatory-surprise review; a non-presumptive Pattern-of-Conduct Ledger; voluntary compliance-stabilization and predictability restoration; an Institutional Predictability Calendar; a Learning Engine; outcome-based effectiveness audits; and a Treaty Restraint Dashboard. Adds treaty-level private-sector principles, a Commercial Friction Early Warning Channel, a Business Continuity Safe Harbor, Continuity-Certified Supplier treatment, rotating independent experts, and protected integrity reporting. Creates a processed strategic-materials reserve framework, emergency logistics surge network, temporary trade-facilitation corridors, strategic-capacity mapping, and essential-imports continuity rules. Finally establishes a three-layer instrument hierarchy separating substantive treaty law, binding technical instruments, and a maintainable Operational Manual that can update workflows without silently amending treaty rights.</w:t>
      </w:r>
    </w:p>
    <w:p>
      <w:pPr>
        <w:pStyle w:val="Heading1"/>
      </w:pPr>
      <w:bookmarkStart w:id="901875" w:name="_Toc300001874"/>
      <w:r>
        <w:t>CHAPTER 56</w:t>
      </w:r>
      <w:r>
        <w:br/>
      </w:r>
      <w:r>
        <w:t>ADAPTIVE THRESHOLDS, INSTITUTIONAL MEMORY, AND CONTROLLED EXPERIMENTATION</w:t>
      </w:r>
      <w:bookmarkEnd w:id="901875"/>
    </w:p>
    <w:p>
      <w:pPr>
        <w:pStyle w:val="Heading2"/>
      </w:pPr>
      <w:bookmarkStart w:id="901876" w:name="_Toc300001875"/>
      <w:r>
        <w:t>Article 56.1: Stability-Band Thresholds</w:t>
      </w:r>
      <w:bookmarkEnd w:id="901876"/>
    </w:p>
    <w:p>
      <w:pPr>
        <w:pStyle w:val="Normal"/>
      </w:pPr>
      <w:r>
        <w:t>1. Where a treaty mechanism relies on a quantitative threshold whose repeated crossing could activate and deactivate materially different legal or administrative states, the implementing instrument shall use a stability band where appropriate rather than a single reversible trigger.</w:t>
      </w:r>
    </w:p>
    <w:p>
      <w:pPr>
        <w:pStyle w:val="Normal"/>
      </w:pPr>
      <w:r>
        <w:t>2. An entry threshold and a distinct restoration threshold may be established so that ordinary measurement noise, seasonal fluctuation, or strategic hovering near a boundary does not repeatedly switch the mechanism on and off.</w:t>
      </w:r>
    </w:p>
    <w:p>
      <w:pPr>
        <w:pStyle w:val="Normal"/>
      </w:pPr>
      <w:r>
        <w:t>3. The width of a stability band shall be published, empirically justified, proportionate to measurement uncertainty, and periodically reviewed. It shall not be widened after a dispute begins for the purpose of changing the result.</w:t>
      </w:r>
    </w:p>
    <w:p>
      <w:pPr>
        <w:pStyle w:val="Normal"/>
      </w:pPr>
      <w:r>
        <w:t>4. Nothing in this Article authorizes an automated model to make a final legal determination. Quantitative triggers identify the applicable procedural state; legally consequential findings remain subject to the human-review requirements of Chapters 31, 35, and 46.</w:t>
      </w:r>
    </w:p>
    <w:p>
      <w:pPr>
        <w:pStyle w:val="Heading2"/>
      </w:pPr>
      <w:bookmarkStart w:id="901877" w:name="_Toc300001876"/>
      <w:r>
        <w:t>Article 56.2: Compliance History Decay and Clean-Record Restoration</w:t>
      </w:r>
      <w:bookmarkEnd w:id="901877"/>
    </w:p>
    <w:p>
      <w:pPr>
        <w:pStyle w:val="Normal"/>
      </w:pPr>
      <w:r>
        <w:t>1. Verified prior incidents may inform pattern analysis, but their evidentiary weight shall decline after sustained clean performance so that institutional memory does not become permanent stigma.</w:t>
      </w:r>
    </w:p>
    <w:p>
      <w:pPr>
        <w:pStyle w:val="Normal"/>
      </w:pPr>
      <w:r>
        <w:t>2. Unless a more specific rule applies, a resolved incident receives full pattern weight for 12 months after verified cure, reduced weight during the following 24 months, and no independent aggravating weight after 36 months of materially related clean compliance.</w:t>
      </w:r>
    </w:p>
    <w:p>
      <w:pPr>
        <w:pStyle w:val="Normal"/>
      </w:pPr>
      <w:r>
        <w:t>3. Fraud, deliberate concealment, corruption, or falsification may justify a longer retention period stated in advance by the applicable rule. Historical facts remain archived even when they cease to carry aggravating weight.</w:t>
      </w:r>
    </w:p>
    <w:p>
      <w:pPr>
        <w:pStyle w:val="Normal"/>
      </w:pPr>
      <w:r>
        <w:t>4. A new violation does not automatically revive the full weight of every expired historical incident; revival requires a reasoned finding of a materially related pattern.</w:t>
      </w:r>
    </w:p>
    <w:p>
      <w:pPr>
        <w:pStyle w:val="Heading2"/>
      </w:pPr>
      <w:bookmarkStart w:id="901878" w:name="_Toc300001877"/>
      <w:r>
        <w:t>Article 56.3: Multi-Party Authorization Controls</w:t>
      </w:r>
      <w:bookmarkEnd w:id="901878"/>
    </w:p>
    <w:p>
      <w:pPr>
        <w:pStyle w:val="Normal"/>
      </w:pPr>
      <w:r>
        <w:t>1. No single official or Party credential may unilaterally alter an authoritative Golden Record, release specially protected evidence, restore a compromised shared registry from backup, or activate another function designated as a critical integrity action.</w:t>
      </w:r>
    </w:p>
    <w:p>
      <w:pPr>
        <w:pStyle w:val="Normal"/>
      </w:pPr>
      <w:r>
        <w:t>2. Critical integrity actions require at least two independent authorizations drawn from separate institutional roles, together with an immutable audit record. For the most sensitive functions, the Commission may require a third authorization or independent Integrity Officer concurrence.</w:t>
      </w:r>
    </w:p>
    <w:p>
      <w:pPr>
        <w:pStyle w:val="Normal"/>
      </w:pPr>
      <w:r>
        <w:t>3. Emergency access shall remain possible through a documented break-glass procedure requiring contemporaneous logging, prompt notice, and post-event independent review.</w:t>
      </w:r>
    </w:p>
    <w:p>
      <w:pPr>
        <w:pStyle w:val="Heading2"/>
      </w:pPr>
      <w:bookmarkStart w:id="901879" w:name="_Toc300001878"/>
      <w:r>
        <w:t>Article 56.4: Dormant Authority Expiry</w:t>
      </w:r>
      <w:bookmarkEnd w:id="901879"/>
    </w:p>
    <w:p>
      <w:pPr>
        <w:pStyle w:val="Normal"/>
      </w:pPr>
      <w:r>
        <w:t>1. A temporary committee, emergency power, pilot authority, extraordinary reporting burden, enhanced verification regime, or provisional restriction expires on its stated date unless affirmatively renewed under the authority that created it.</w:t>
      </w:r>
    </w:p>
    <w:p>
      <w:pPr>
        <w:pStyle w:val="Normal"/>
      </w:pPr>
      <w:r>
        <w:t>2. Renewal requires a public or appropriately protected finding that the underlying need continues, that the authority remains proportionate, and that ordinary treaty machinery cannot yet perform the function adequately.</w:t>
      </w:r>
    </w:p>
    <w:p>
      <w:pPr>
        <w:pStyle w:val="Normal"/>
      </w:pPr>
      <w:r>
        <w:t>3. Expiry of a temporary authority does not erase accrued rights, completed findings, preserved evidence, or obligations already due.</w:t>
      </w:r>
    </w:p>
    <w:p>
      <w:pPr>
        <w:pStyle w:val="Heading2"/>
      </w:pPr>
      <w:bookmarkStart w:id="901880" w:name="_Toc300001879"/>
      <w:r>
        <w:t>Article 56.5: Interpretive Uncertainty Register</w:t>
      </w:r>
      <w:bookmarkEnd w:id="901880"/>
    </w:p>
    <w:p>
      <w:pPr>
        <w:pStyle w:val="Normal"/>
      </w:pPr>
      <w:r>
        <w:t>1. The Secretariat shall maintain an Interpretive Uncertainty Register identifying provisions that have produced materially conflicting official interpretations, repeated implementation divergence, or recurring disputes.</w:t>
      </w:r>
    </w:p>
    <w:p>
      <w:pPr>
        <w:pStyle w:val="Normal"/>
      </w:pPr>
      <w:r>
        <w:t>2. A provision enters mandatory clarification review after two final disputes presenting substantially the same interpretive question, or after three documented materially inconsistent administrative applications among the Parties within five years.</w:t>
      </w:r>
    </w:p>
    <w:p>
      <w:pPr>
        <w:pStyle w:val="Normal"/>
      </w:pPr>
      <w:r>
        <w:t>3. The responsible body shall issue an agreed interpretation where authorized, adopt a technical clarification within delegated authority, propose an amendment, or publish a reasoned explanation of why clarification is premature.</w:t>
      </w:r>
    </w:p>
    <w:p>
      <w:pPr>
        <w:pStyle w:val="Normal"/>
      </w:pPr>
      <w:r>
        <w:t>4. Register entry does not prejudge the correct interpretation and may not be cited as evidence that a Party acted unlawfully.</w:t>
      </w:r>
    </w:p>
    <w:p>
      <w:pPr>
        <w:pStyle w:val="Heading2"/>
      </w:pPr>
      <w:bookmarkStart w:id="901881" w:name="_Toc300001880"/>
      <w:r>
        <w:t>Article 56.6: Equivalent Implementation Pilot Framework</w:t>
      </w:r>
      <w:bookmarkEnd w:id="901881"/>
    </w:p>
    <w:p>
      <w:pPr>
        <w:pStyle w:val="Normal"/>
      </w:pPr>
      <w:r>
        <w:t>1. Where the Parties agree on a treaty objective but reasonably disagree on the best implementation method, they may authorize two or more time-limited pilot methods operating under common minimum rights, interoperability, evidence, and performance requirements.</w:t>
      </w:r>
    </w:p>
    <w:p>
      <w:pPr>
        <w:pStyle w:val="Normal"/>
      </w:pPr>
      <w:r>
        <w:t>2. Pilot methods shall be evaluated against pre-published metrics. A pilot may not reduce substantive treaty protection merely to improve administrative performance.</w:t>
      </w:r>
    </w:p>
    <w:p>
      <w:pPr>
        <w:pStyle w:val="Normal"/>
      </w:pPr>
      <w:r>
        <w:t>3. At the end of the pilot period, the Parties may converge on one method, recognize multiple methods as equivalent, extend testing for good cause, or discontinue an unsuccessful method.</w:t>
      </w:r>
    </w:p>
    <w:p>
      <w:pPr>
        <w:pStyle w:val="Normal"/>
      </w:pPr>
      <w:r>
        <w:t>4. Participation in an approved pilot creates no presumption that the participating Party's method is superior or permanently authorized.</w:t>
      </w:r>
    </w:p>
    <w:p>
      <w:pPr>
        <w:pStyle w:val="Heading2"/>
      </w:pPr>
      <w:bookmarkStart w:id="901882" w:name="_Toc300001881"/>
      <w:r>
        <w:t>Article 56.7: Tiered Trust and Privilege Unlocking</w:t>
      </w:r>
      <w:bookmarkEnd w:id="901882"/>
    </w:p>
    <w:p>
      <w:pPr>
        <w:pStyle w:val="Normal"/>
      </w:pPr>
      <w:r>
        <w:t>1. Reduced verification, longer credential validity, continuity certification, expedited processing, and other trust-based administrative privileges shall use transparent eligibility tiers where practicable.</w:t>
      </w:r>
    </w:p>
    <w:p>
      <w:pPr>
        <w:pStyle w:val="Normal"/>
      </w:pPr>
      <w:r>
        <w:t>2. Each tier shall state measurable entry, maintenance, suspension, and restoration criteria. Advancement is earned through verified performance rather than discretionary political designation.</w:t>
      </w:r>
    </w:p>
    <w:p>
      <w:pPr>
        <w:pStyle w:val="Normal"/>
      </w:pPr>
      <w:r>
        <w:t>3. Suspension shall be targeted to the affected privilege and shall not automatically remove unrelated earned status.</w:t>
      </w:r>
    </w:p>
    <w:p>
      <w:pPr>
        <w:pStyle w:val="Heading2"/>
      </w:pPr>
      <w:bookmarkStart w:id="901883" w:name="_Toc300001882"/>
      <w:r>
        <w:t>Article 56.8: Equivalent Contribution Accounting</w:t>
      </w:r>
      <w:bookmarkEnd w:id="901883"/>
    </w:p>
    <w:p>
      <w:pPr>
        <w:pStyle w:val="Normal"/>
      </w:pPr>
      <w:r>
        <w:t>1. For a joint North American program funded or implemented by more than one Party, the responsible body may maintain an Implementation Contribution Record recognizing different forms of contribution, including funding, personnel, infrastructure, data, testing capacity, training, facilities, or in-kind technical support.</w:t>
      </w:r>
    </w:p>
    <w:p>
      <w:pPr>
        <w:pStyle w:val="Normal"/>
      </w:pPr>
      <w:r>
        <w:t>2. Equivalent contribution does not require identical contribution. No point system may convert the Record into a general score of national treaty compliance.</w:t>
      </w:r>
    </w:p>
    <w:p>
      <w:pPr>
        <w:pStyle w:val="Normal"/>
      </w:pPr>
      <w:r>
        <w:t>3. The Record is used for transparency, cost allocation, capacity planning, and equitable program design only.</w:t>
      </w:r>
    </w:p>
    <w:p>
      <w:pPr>
        <w:pStyle w:val="Heading1"/>
      </w:pPr>
      <w:bookmarkStart w:id="901884" w:name="_Toc300001883"/>
      <w:r>
        <w:t>CHAPTER 57</w:t>
      </w:r>
      <w:r>
        <w:br/>
      </w:r>
      <w:r>
        <w:t>FAILURE CONTAINMENT, SERVICE CONTINUITY, AND DISTRIBUTED COORDINATION</w:t>
      </w:r>
      <w:bookmarkEnd w:id="901884"/>
    </w:p>
    <w:p>
      <w:pPr>
        <w:pStyle w:val="Heading2"/>
      </w:pPr>
      <w:bookmarkStart w:id="901885" w:name="_Toc300001884"/>
      <w:r>
        <w:t>Article 57.1: Cross-Module Contagion Test</w:t>
      </w:r>
      <w:bookmarkEnd w:id="901885"/>
    </w:p>
    <w:p>
      <w:pPr>
        <w:pStyle w:val="Normal"/>
      </w:pPr>
      <w:r>
        <w:t>1. Before a remedy, suspension, emergency measure, or implementation failure is allowed to impair a legally distinct treaty module, the acting body shall identify the legal connection between the originating problem and the additional module.</w:t>
      </w:r>
    </w:p>
    <w:p>
      <w:pPr>
        <w:pStyle w:val="Normal"/>
      </w:pPr>
      <w:r>
        <w:t>2. Cross-module action requires a finding that narrower relief within the affected module is inadequate and that extension is necessary, proportionate, and no broader than required to prevent material circumvention or systemic harm.</w:t>
      </w:r>
    </w:p>
    <w:p>
      <w:pPr>
        <w:pStyle w:val="Normal"/>
      </w:pPr>
      <w:r>
        <w:t>3. Political salience, negotiating leverage, or a desire to increase pressure does not by itself establish the required connection.</w:t>
      </w:r>
    </w:p>
    <w:p>
      <w:pPr>
        <w:pStyle w:val="Normal"/>
      </w:pPr>
      <w:r>
        <w:t>4. Essential humanitarian trade, ordinary customs processing, and unrelated earned administrative privileges remain firewalled unless their inclusion is independently justified.</w:t>
      </w:r>
    </w:p>
    <w:p>
      <w:pPr>
        <w:pStyle w:val="Heading2"/>
      </w:pPr>
      <w:bookmarkStart w:id="901886" w:name="_Toc300001885"/>
      <w:r>
        <w:t>Article 57.2: Institutional Continuity Transfer Rule</w:t>
      </w:r>
      <w:bookmarkEnd w:id="901886"/>
    </w:p>
    <w:p>
      <w:pPr>
        <w:pStyle w:val="Normal"/>
      </w:pPr>
      <w:r>
        <w:t>1. If a designated committee, technical body, roster, or Secretariat function cannot act because of conflict of interest, loss of quorum, system failure, incapacity, or another defined continuity event, the matter transfers laterally to a pre-designated alternate body or roster rather than remaining indefinitely stalled.</w:t>
      </w:r>
    </w:p>
    <w:p>
      <w:pPr>
        <w:pStyle w:val="Normal"/>
      </w:pPr>
      <w:r>
        <w:t>2. The alternate receives only the authority necessary to complete the transferred function and applies the same substantive law, evidentiary standard, confidentiality rules, and deadlines.</w:t>
      </w:r>
    </w:p>
    <w:p>
      <w:pPr>
        <w:pStyle w:val="Normal"/>
      </w:pPr>
      <w:r>
        <w:t>3. Transfer does not constitute escalation and does not alter the merits of the dispute.</w:t>
      </w:r>
    </w:p>
    <w:p>
      <w:pPr>
        <w:pStyle w:val="Heading2"/>
      </w:pPr>
      <w:bookmarkStart w:id="901887" w:name="_Toc300001886"/>
      <w:r>
        <w:t>Article 57.3: Degraded Operations and Controlled Restoration</w:t>
      </w:r>
      <w:bookmarkEnd w:id="901887"/>
    </w:p>
    <w:p>
      <w:pPr>
        <w:pStyle w:val="Normal"/>
      </w:pPr>
      <w:r>
        <w:t>1. The Operational Manual shall define service levels for Normal Operations, Constrained Operations, Safe Mode, and Reconstitution.</w:t>
      </w:r>
    </w:p>
    <w:p>
      <w:pPr>
        <w:pStyle w:val="Normal"/>
      </w:pPr>
      <w:r>
        <w:t>2. A lower service level may simplify nonessential procedure, extend procedural clocks, substitute approved records, reroute cases, or activate contingency communications while preserving substantive rights, safety requirements, evidentiary integrity, and access to review.</w:t>
      </w:r>
    </w:p>
    <w:p>
      <w:pPr>
        <w:pStyle w:val="Normal"/>
      </w:pPr>
      <w:r>
        <w:t>3. Entry into a degraded service level shall identify the triggering condition, affected functions, preserved functions, expected review interval, and restoration criteria.</w:t>
      </w:r>
    </w:p>
    <w:p>
      <w:pPr>
        <w:pStyle w:val="Normal"/>
      </w:pPr>
      <w:r>
        <w:t>4. Restoration proceeds in stages where necessary. Procedural shortcuts used during the disruption do not become permanent practice without ordinary authorization.</w:t>
      </w:r>
    </w:p>
    <w:p>
      <w:pPr>
        <w:pStyle w:val="Heading2"/>
      </w:pPr>
      <w:bookmarkStart w:id="901888" w:name="_Toc300001887"/>
      <w:r>
        <w:t>Article 57.4: Institutional Stall Detection</w:t>
      </w:r>
      <w:bookmarkEnd w:id="901888"/>
    </w:p>
    <w:p>
      <w:pPr>
        <w:pStyle w:val="Normal"/>
      </w:pPr>
      <w:r>
        <w:t>1. A treaty process is considered potentially stalled when it repeatedly misses mandatory deadlines, recycles the same unresolved agenda item without new evidence, fails to appoint required decision-makers, or remains procedurally active without material movement toward the assigned decision.</w:t>
      </w:r>
    </w:p>
    <w:p>
      <w:pPr>
        <w:pStyle w:val="Normal"/>
      </w:pPr>
      <w:r>
        <w:t>2. After two consecutive stall indicators, the Secretariat issues a Stall Notice and applies the pre-designated correction sequence, which may include narrowing the question, replacing or rotating the chair, appointing a neutral technical facilitator, activating lateral transfer, or referring the procedural blockage to the Commission.</w:t>
      </w:r>
    </w:p>
    <w:p>
      <w:pPr>
        <w:pStyle w:val="Normal"/>
      </w:pPr>
      <w:r>
        <w:t>3. A Stall Notice does not determine substantive fault and shall not be used as leverage in an unrelated negotiation.</w:t>
      </w:r>
    </w:p>
    <w:p>
      <w:pPr>
        <w:pStyle w:val="Heading2"/>
      </w:pPr>
      <w:bookmarkStart w:id="901889" w:name="_Toc300001888"/>
      <w:r>
        <w:t>Article 57.5: Direction-Specific Ratchets</w:t>
      </w:r>
      <w:bookmarkEnd w:id="901889"/>
    </w:p>
    <w:p>
      <w:pPr>
        <w:pStyle w:val="Normal"/>
      </w:pPr>
      <w:r>
        <w:t>1. The Agreement distinguishes durable liberalization from temporary restriction. A permanent market-access improvement expressly adopted by the Parties carries a presumption against rollback except through the applicable amendment, safeguard, or withdrawal process.</w:t>
      </w:r>
    </w:p>
    <w:p>
      <w:pPr>
        <w:pStyle w:val="Normal"/>
      </w:pPr>
      <w:r>
        <w:t>2. A temporary emergency restriction, enhanced verification burden, or exceptional authority carries the opposite presumption: restoration to ordinary treatment occurs promptly when the verified justification ends.</w:t>
      </w:r>
    </w:p>
    <w:p>
      <w:pPr>
        <w:pStyle w:val="Normal"/>
      </w:pPr>
      <w:r>
        <w:t>3. No provision shall be interpreted to transform a temporary restriction into a permanent entitlement merely because it remained in force for an extended period.</w:t>
      </w:r>
    </w:p>
    <w:p>
      <w:pPr>
        <w:pStyle w:val="Heading2"/>
      </w:pPr>
      <w:bookmarkStart w:id="901890" w:name="_Toc300001889"/>
      <w:r>
        <w:t>Article 57.6: Correlated Micro-Signal Review</w:t>
      </w:r>
      <w:bookmarkEnd w:id="901890"/>
    </w:p>
    <w:p>
      <w:pPr>
        <w:pStyle w:val="Normal"/>
      </w:pPr>
      <w:r>
        <w:t>1. The Commercial Friction Early Warning Channel may correlate multiple weak operational signals that individually do not justify formal action, including small clearance delays, unusual origin challenges, recurring licensing questions, capacity warnings, credential failures, or similar reports across multiple ports or sectors.</w:t>
      </w:r>
    </w:p>
    <w:p>
      <w:pPr>
        <w:pStyle w:val="Normal"/>
      </w:pPr>
      <w:r>
        <w:t>2. Correlation may trigger confidential technical consultation or data-quality review but not a legal presumption, penalty, public accusation, or escalated remedy.</w:t>
      </w:r>
    </w:p>
    <w:p>
      <w:pPr>
        <w:pStyle w:val="Normal"/>
      </w:pPr>
      <w:r>
        <w:t>3. The system shall record confidence, source diversity, known reporting bias, and alternative explanations before escalating a micro-signal cluster.</w:t>
      </w:r>
    </w:p>
    <w:p>
      <w:pPr>
        <w:pStyle w:val="Heading2"/>
      </w:pPr>
      <w:bookmarkStart w:id="901891" w:name="_Toc300001890"/>
      <w:r>
        <w:t>Article 57.7: Shared Operational State Framework</w:t>
      </w:r>
      <w:bookmarkEnd w:id="901891"/>
    </w:p>
    <w:p>
      <w:pPr>
        <w:pStyle w:val="Normal"/>
      </w:pPr>
      <w:r>
        <w:t>1. The Parties shall maintain interoperable operational-status information, through existing systems or a shared interface where useful, sufficient for decentralized trade continuity, including border-system health, crossing capacity, congestion bands, credential-system availability, emergency corridor status, declared maintenance windows, and verified critical logistics disruptions. The Shared Operational State Framework is a common information standard and does not require creation of a new centralized platform.</w:t>
      </w:r>
    </w:p>
    <w:p>
      <w:pPr>
        <w:pStyle w:val="Normal"/>
      </w:pPr>
      <w:r>
        <w:t>2. Authorized customs agencies, carriers, brokers, ports, terminals, and other approved users may adapt routing and processing decisions to the published operational state without waiting for case-by-case political direction.</w:t>
      </w:r>
    </w:p>
    <w:p>
      <w:pPr>
        <w:pStyle w:val="Normal"/>
      </w:pPr>
      <w:r>
        <w:t>3. The Framework shall distinguish authoritative operational status from advisory forecasts, preserve commercially sensitive information, and prevent publication of security-sensitive targeting data.</w:t>
      </w:r>
    </w:p>
    <w:p>
      <w:pPr>
        <w:pStyle w:val="Normal"/>
      </w:pPr>
      <w:r>
        <w:t>4. The Framework coordinates behavior through shared information; it does not command private routing, guarantee capacity, or displace domestic emergency authority.</w:t>
      </w:r>
    </w:p>
    <w:p>
      <w:pPr>
        <w:pStyle w:val="Heading2"/>
      </w:pPr>
      <w:bookmarkStart w:id="901892" w:name="_Toc300001891"/>
      <w:r>
        <w:t>Article 57.8: Pre-Scripted Redirection Paths</w:t>
      </w:r>
      <w:bookmarkEnd w:id="901892"/>
    </w:p>
    <w:p>
      <w:pPr>
        <w:pStyle w:val="Normal"/>
      </w:pPr>
      <w:r>
        <w:t>1. Each critical implementation module shall identify at least one pre-approved fallback pathway that preserves the maximum feasible portion of the module if its primary procedure becomes unavailable.</w:t>
      </w:r>
    </w:p>
    <w:p>
      <w:pPr>
        <w:pStyle w:val="Normal"/>
      </w:pPr>
      <w:r>
        <w:t>2. Fallback pathways shall identify activation criteria, responsible authority, preserved obligations, temporarily simplified steps, evidence requirements, and restoration conditions.</w:t>
      </w:r>
    </w:p>
    <w:p>
      <w:pPr>
        <w:pStyle w:val="Normal"/>
      </w:pPr>
      <w:r>
        <w:t>3. A fallback pathway may reduce procedural ambition but may not silently reduce a substantive right or create a discriminatory advantage.</w:t>
      </w:r>
    </w:p>
    <w:p>
      <w:pPr>
        <w:pStyle w:val="Heading1"/>
      </w:pPr>
      <w:bookmarkStart w:id="901893" w:name="_Toc300001892"/>
      <w:r>
        <w:t>CHAPTER 58</w:t>
      </w:r>
      <w:r>
        <w:br/>
      </w:r>
      <w:r>
        <w:t>PROCEDURAL PARTICIPATION, REMEDY SAFEGUARDS, AND TECHNICAL INTEROPERABILITY</w:t>
      </w:r>
      <w:bookmarkEnd w:id="901893"/>
    </w:p>
    <w:p>
      <w:pPr>
        <w:pStyle w:val="Heading2"/>
      </w:pPr>
      <w:bookmarkStart w:id="901894" w:name="_Toc300001893"/>
      <w:r>
        <w:t>Article 58.1: Structured Amicus Participation</w:t>
      </w:r>
      <w:bookmarkEnd w:id="901894"/>
    </w:p>
    <w:p>
      <w:pPr>
        <w:pStyle w:val="Normal"/>
      </w:pPr>
      <w:r>
        <w:t>1. A Chapter 31 or Chapter 35 panel may receive a non-party submission from an industry association, labor organization, Indigenous organization, consumer body, civil-society organization, academic institution, or other person demonstrating a material interest or relevant expertise.</w:t>
      </w:r>
    </w:p>
    <w:p>
      <w:pPr>
        <w:pStyle w:val="Normal"/>
      </w:pPr>
      <w:r>
        <w:t>2. The panel shall establish page limits, filing windows, disclosure of material funding and conflicts, confidentiality rules, and relevance requirements. Acceptance of a submission does not make the submitter a Party to the dispute or create a right to oral argument.</w:t>
      </w:r>
    </w:p>
    <w:p>
      <w:pPr>
        <w:pStyle w:val="Normal"/>
      </w:pPr>
      <w:r>
        <w:t>3. A panel may disregard repetitive, lobbying-oriented, unsupported, or untimely submissions.</w:t>
      </w:r>
    </w:p>
    <w:p>
      <w:pPr>
        <w:pStyle w:val="Heading2"/>
      </w:pPr>
      <w:bookmarkStart w:id="901895" w:name="_Toc300001894"/>
      <w:r>
        <w:t>Article 58.2: PTA Collateral-Harm Circuit Breaker</w:t>
      </w:r>
      <w:bookmarkEnd w:id="901895"/>
    </w:p>
    <w:p>
      <w:pPr>
        <w:pStyle w:val="Normal"/>
      </w:pPr>
      <w:r>
        <w:t>1. Before a Proportional Trade Adjustment advances to a materially higher stage, the Verification Panel shall assess credible evidence of severe collateral harm to innocent North American workers, consumers, SMEs, essential goods, critical infrastructure, or unrelated supply chains.</w:t>
      </w:r>
    </w:p>
    <w:p>
      <w:pPr>
        <w:pStyle w:val="Normal"/>
      </w:pPr>
      <w:r>
        <w:t>2. Where projected collateral harm is manifestly disproportionate to the additional corrective value of escalation, the escalation pauses for up to 30 days while the panel considers a narrower equivalent remedy.</w:t>
      </w:r>
    </w:p>
    <w:p>
      <w:pPr>
        <w:pStyle w:val="Normal"/>
      </w:pPr>
      <w:r>
        <w:t>3. The circuit breaker does not erase the underlying finding, reward non-compliance, or prevent urgent action necessary to stop ongoing material injury.</w:t>
      </w:r>
    </w:p>
    <w:p>
      <w:pPr>
        <w:pStyle w:val="Heading2"/>
      </w:pPr>
      <w:bookmarkStart w:id="901896" w:name="_Toc300001895"/>
      <w:r>
        <w:t>Article 58.3: Post-Ruling Compliance Audit</w:t>
      </w:r>
      <w:bookmarkEnd w:id="901896"/>
    </w:p>
    <w:p>
      <w:pPr>
        <w:pStyle w:val="Normal"/>
      </w:pPr>
      <w:r>
        <w:t>1. Unless the ruling establishes another schedule, the responsible body shall conduct a compliance audit within 60 days after the date on which implementation is due.</w:t>
      </w:r>
    </w:p>
    <w:p>
      <w:pPr>
        <w:pStyle w:val="Normal"/>
      </w:pPr>
      <w:r>
        <w:t>2. The audit verifies rescission, modification, operational implementation, and absence of a materially equivalent substitute measure. Where physical implementation reasonably requires more time, the ruling shall establish milestones and an interim audit schedule.</w:t>
      </w:r>
    </w:p>
    <w:p>
      <w:pPr>
        <w:pStyle w:val="Heading2"/>
      </w:pPr>
      <w:bookmarkStart w:id="901897" w:name="_Toc300001896"/>
      <w:r>
        <w:t>Article 58.4: Interim Preservation Orders</w:t>
      </w:r>
      <w:bookmarkEnd w:id="901897"/>
    </w:p>
    <w:p>
      <w:pPr>
        <w:pStyle w:val="Normal"/>
      </w:pPr>
      <w:r>
        <w:t>1. A panel may issue a narrowly tailored interim preservation order only where the applicant demonstrates a serious prima facie treaty claim, imminent risk of irreparable or systemically difficult-to-repair harm, a balance of hardships favoring preservation, and consistency with the public interest.</w:t>
      </w:r>
    </w:p>
    <w:p>
      <w:pPr>
        <w:pStyle w:val="Normal"/>
      </w:pPr>
      <w:r>
        <w:t>2. An order may preserve the status quo, suspend escalation, protect evidence, or maintain temporary access. It shall not finally decide the merits or compel an irreversible legislative act.</w:t>
      </w:r>
    </w:p>
    <w:p>
      <w:pPr>
        <w:pStyle w:val="Normal"/>
      </w:pPr>
      <w:r>
        <w:t>3. The panel shall review the order at least every 30 days and dissolve it when the required conditions no longer exist.</w:t>
      </w:r>
    </w:p>
    <w:p>
      <w:pPr>
        <w:pStyle w:val="Heading2"/>
      </w:pPr>
      <w:bookmarkStart w:id="901898" w:name="_Toc300001897"/>
      <w:r>
        <w:t>Article 58.5: Steel and Aluminum Provenance Interoperability</w:t>
      </w:r>
      <w:bookmarkEnd w:id="901898"/>
    </w:p>
    <w:p>
      <w:pPr>
        <w:pStyle w:val="Normal"/>
      </w:pPr>
      <w:r>
        <w:t>1. The Parties shall maintain interoperable documentation standards for steel melt-and-pour and aluminum smelt-and-cast provenance, including mill or producer records, material identifiers, and secure electronic validation where practicable.</w:t>
      </w:r>
    </w:p>
    <w:p>
      <w:pPr>
        <w:pStyle w:val="Normal"/>
      </w:pPr>
      <w:r>
        <w:t>2. The standard shall permit equivalent commercial documentation rather than require a single proprietary form and shall include procedures for correcting clerical error without losing origin treatment where substantive provenance is verified.</w:t>
      </w:r>
    </w:p>
    <w:p>
      <w:pPr>
        <w:pStyle w:val="Heading2"/>
      </w:pPr>
      <w:bookmarkStart w:id="901899" w:name="_Toc300001898"/>
      <w:r>
        <w:t>Article 58.6: Strategic Reserve Mutual Assistance</w:t>
      </w:r>
      <w:bookmarkEnd w:id="901899"/>
    </w:p>
    <w:p>
      <w:pPr>
        <w:pStyle w:val="Normal"/>
      </w:pPr>
      <w:r>
        <w:t>1. A Party facing a verified critical shortage may request temporary assistance from another Party's designated strategic reserve. Assistance is voluntary unless a specific reserve arrangement expressly provides otherwise.</w:t>
      </w:r>
    </w:p>
    <w:p>
      <w:pPr>
        <w:pStyle w:val="Normal"/>
      </w:pPr>
      <w:r>
        <w:t>2. A reserve arrangement shall address domestic-shortage safeguards, critical-use prioritization, pricing or cost recovery, transport, quality specifications, replenishment, and return or replacement where appropriate.</w:t>
      </w:r>
    </w:p>
    <w:p>
      <w:pPr>
        <w:pStyle w:val="Normal"/>
      </w:pPr>
      <w:r>
        <w:t>3. Refusal to release a reserve during a bona fide domestic emergency does not itself constitute a treaty violation.</w:t>
      </w:r>
    </w:p>
    <w:p>
      <w:pPr>
        <w:pStyle w:val="Heading2"/>
      </w:pPr>
      <w:bookmarkStart w:id="901900" w:name="_Toc300001899"/>
      <w:r>
        <w:t>Article 58.7: AI Assurance Mutual Recognition</w:t>
      </w:r>
      <w:bookmarkEnd w:id="901900"/>
    </w:p>
    <w:p>
      <w:pPr>
        <w:pStyle w:val="Normal"/>
      </w:pPr>
      <w:r>
        <w:t>1. The Parties shall develop criteria for mutual recognition of AI safety, assurance, testing, audit, or conformity assessments where the respective regimes provide demonstrably equivalent protection for the relevant use case.</w:t>
      </w:r>
    </w:p>
    <w:p>
      <w:pPr>
        <w:pStyle w:val="Normal"/>
      </w:pPr>
      <w:r>
        <w:t>2. Mutual recognition does not require identical AI legislation and may be limited by sector, risk class, or application. Each Party retains authority to impose additional requirements for genuinely higher-risk uses where justified and non-discriminatory.</w:t>
      </w:r>
    </w:p>
    <w:p>
      <w:pPr>
        <w:pStyle w:val="Heading2"/>
      </w:pPr>
      <w:bookmarkStart w:id="901901" w:name="_Toc300001900"/>
      <w:r>
        <w:t>Article 58.8: Interoperable Trade Identity and Signature</w:t>
      </w:r>
      <w:bookmarkEnd w:id="901901"/>
    </w:p>
    <w:p>
      <w:pPr>
        <w:pStyle w:val="Normal"/>
      </w:pPr>
      <w:r>
        <w:t>1. The Parties shall support mutual verification of corporate identity, authorized representatives, electronic signatures, customs credentials, and other digital trade attestations using interoperable, technology-neutral trust frameworks.</w:t>
      </w:r>
    </w:p>
    <w:p>
      <w:pPr>
        <w:pStyle w:val="Normal"/>
      </w:pPr>
      <w:r>
        <w:t>2. No Party shall require a foreign trader to purchase a specific private identity product where another approved method provides equivalent assurance.</w:t>
      </w:r>
    </w:p>
    <w:p>
      <w:pPr>
        <w:pStyle w:val="Heading2"/>
      </w:pPr>
      <w:bookmarkStart w:id="901902" w:name="_Toc300001901"/>
      <w:r>
        <w:t>Article 58.9: Transboundary Environmental Emergency Protocol</w:t>
      </w:r>
      <w:bookmarkEnd w:id="901902"/>
    </w:p>
    <w:p>
      <w:pPr>
        <w:pStyle w:val="Normal"/>
      </w:pPr>
      <w:r>
        <w:t>1. The Parties shall maintain pre-negotiated procedures for a major pollution event, wildfire, industrial accident, water contamination event, hazardous release, or other environmental emergency with material cross-border effects.</w:t>
      </w:r>
    </w:p>
    <w:p>
      <w:pPr>
        <w:pStyle w:val="Normal"/>
      </w:pPr>
      <w:r>
        <w:t>2. Procedures shall cover rapid notification, scientific data exchange, evidence preservation, requests for assistance, temporary movement of response personnel and equipment, cost accounting, public communication, and post-event review.</w:t>
      </w:r>
    </w:p>
    <w:p>
      <w:pPr>
        <w:pStyle w:val="Normal"/>
      </w:pPr>
      <w:r>
        <w:t>3. Emergency cooperation does not determine civil or state liability, which remains governed by applicable law and treaty obligations.</w:t>
      </w:r>
    </w:p>
    <w:p>
      <w:pPr>
        <w:pStyle w:val="Heading2"/>
      </w:pPr>
      <w:bookmarkStart w:id="901903" w:name="_Toc300001902"/>
      <w:r>
        <w:t>Article 58.10: Embedded-Carbon Measurement Interoperability</w:t>
      </w:r>
      <w:bookmarkEnd w:id="901903"/>
    </w:p>
    <w:p>
      <w:pPr>
        <w:pStyle w:val="Normal"/>
      </w:pPr>
      <w:r>
        <w:t>1. The Parties shall work toward comparable, transparent methodologies for measuring embedded greenhouse-gas emissions in designated energy-intensive goods where such measurement is used for trade, procurement, disclosure, or industrial-policy purposes.</w:t>
      </w:r>
    </w:p>
    <w:p>
      <w:pPr>
        <w:pStyle w:val="Normal"/>
      </w:pPr>
      <w:r>
        <w:t>2. Agreement on measurement does not require a common carbon price, border adjustment, emissions target, tax, subsidy, or climate policy.</w:t>
      </w:r>
    </w:p>
    <w:p>
      <w:pPr>
        <w:pStyle w:val="Normal"/>
      </w:pPr>
      <w:r>
        <w:t>3. Methodologies shall disclose system boundaries, electricity assumptions, allocation rules, verification requirements, and treatment of recycled inputs.</w:t>
      </w:r>
    </w:p>
    <w:p>
      <w:pPr>
        <w:pStyle w:val="Heading2"/>
      </w:pPr>
      <w:bookmarkStart w:id="901904" w:name="_Toc300001903"/>
      <w:r>
        <w:t>Article 58.11: Emergency Energy Equipment Facilitation</w:t>
      </w:r>
      <w:bookmarkEnd w:id="901904"/>
    </w:p>
    <w:p>
      <w:pPr>
        <w:pStyle w:val="Normal"/>
      </w:pPr>
      <w:r>
        <w:t>1. During a declared grid, pipeline, fuel-supply, or critical-energy infrastructure emergency, the Parties shall provide expedited customs treatment for originating transformers, mobile substations, repair vehicles, control equipment, replacement components, safety equipment, and other designated restoration goods.</w:t>
      </w:r>
    </w:p>
    <w:p>
      <w:pPr>
        <w:pStyle w:val="Normal"/>
      </w:pPr>
      <w:r>
        <w:t>2. Expedited treatment may include pre-clearance, consolidated documentation, temporary admission, duty suspension where legally available, and priority inspection. Safety and security controls remain applicable.</w:t>
      </w:r>
    </w:p>
    <w:p>
      <w:pPr>
        <w:pStyle w:val="Heading2"/>
      </w:pPr>
      <w:bookmarkStart w:id="901905" w:name="_Toc300001904"/>
      <w:r>
        <w:t>Article 58.12: Public Treaty Improvement Portal</w:t>
      </w:r>
      <w:bookmarkEnd w:id="901905"/>
    </w:p>
    <w:p>
      <w:pPr>
        <w:pStyle w:val="Normal"/>
      </w:pPr>
      <w:r>
        <w:t>1. The Secretariat shall maintain an annual public submission window for proposals concerning implementation problems, modernization opportunities, administrative burden, sectoral developments, and emerging risks.</w:t>
      </w:r>
    </w:p>
    <w:p>
      <w:pPr>
        <w:pStyle w:val="Normal"/>
      </w:pPr>
      <w:r>
        <w:t>2. Submissions shall be searchable except for protected information. The Secretariat shall publish a thematic summary and identify which matters were referred to an existing committee, Learning Review, or future Joint Review agenda.</w:t>
      </w:r>
    </w:p>
    <w:p>
      <w:pPr>
        <w:pStyle w:val="Normal"/>
      </w:pPr>
      <w:r>
        <w:t>3. Submission creates no entitlement to negotiation, amendment, funding, or dispute initiation.</w:t>
      </w:r>
    </w:p>
    <w:p>
      <w:pPr>
        <w:pStyle w:val="Heading2"/>
      </w:pPr>
      <w:bookmarkStart w:id="901906" w:name="_Toc300001905"/>
      <w:r>
        <w:t>Article 58.12A: Trusted-Technology Border Modernization</w:t>
      </w:r>
      <w:bookmarkEnd w:id="901906"/>
    </w:p>
    <w:p>
      <w:pPr>
        <w:pStyle w:val="Normal"/>
      </w:pPr>
      <w:r>
        <w:t>1. The Parties shall modernize border infrastructure through interoperable screening, sensing, communications, identity, cargo-inspection, and data systems selected on the basis of objective performance, cybersecurity, privacy, supply-chain, reliability, and national-security criteria.</w:t>
      </w:r>
    </w:p>
    <w:p>
      <w:pPr>
        <w:pStyle w:val="Normal"/>
      </w:pPr>
      <w:r>
        <w:t>2. No technology shall be excluded solely because of the nationality of its manufacturer or country of origin. A Party may restrict a product or supplier where a documented, particularized risk justifies the measure under domestic law and this Agreement.</w:t>
      </w:r>
    </w:p>
    <w:p>
      <w:pPr>
        <w:pStyle w:val="Normal"/>
      </w:pPr>
      <w:r>
        <w:t>3. The Parties shall encourage joint pilots, shared technical standards, rapid correction of false matches, and trusted-trader or trusted-traveler lanes that increase security while reducing unnecessary delay to lawful movement.</w:t>
      </w:r>
    </w:p>
    <w:p>
      <w:pPr>
        <w:pStyle w:val="Heading2"/>
      </w:pPr>
      <w:bookmarkStart w:id="901907" w:name="_Toc300001906"/>
      <w:r>
        <w:t>Article 58.13: Secretariat Funding Continuity</w:t>
      </w:r>
      <w:bookmarkEnd w:id="901907"/>
    </w:p>
    <w:p>
      <w:pPr>
        <w:pStyle w:val="Normal"/>
      </w:pPr>
      <w:r>
        <w:t>1. The Parties shall adopt a rolling multi-year baseline budget sufficient for the Secretariat's standing treaty functions, subject to transparent appropriations or other domestic fiscal authority, independent audit, and periodic value-for-money review.</w:t>
      </w:r>
    </w:p>
    <w:p>
      <w:pPr>
        <w:pStyle w:val="Normal"/>
      </w:pPr>
      <w:r>
        <w:t>2. The budget shall include a modest continuity reserve for emergency operations and restoration of critical shared systems. The reserve may not be used to expand the Secretariat's substantive mandate.</w:t>
      </w:r>
    </w:p>
    <w:p>
      <w:pPr>
        <w:pStyle w:val="Normal"/>
      </w:pPr>
      <w:r>
        <w:t>3. If a national appropriations delay, lapse, or other lawful fiscal interruption materially affects a Secretariat function, the affected national Section shall promptly activate available continuity authority, prioritize adjudicative deadlines, treaty-right preservation, secure records, essential shared systems, and legally required notices, and notify the other Sections of the expected service level. No Party is required by this paragraph to spend funds not lawfully available. A fiscal interruption does not convert an automatic treaty function into a discretionary one, extinguish a preserved deadline or right, or prevent use of the default and substitution procedures in Annex 34-H.</w:t>
      </w:r>
    </w:p>
    <w:p>
      <w:pPr>
        <w:pStyle w:val="Normal"/>
      </w:pPr>
      <w:r>
        <w:t>PACKAGE T: ADAPTIVE STABILITY, FAILURE CONTAINMENT, AND INTEROPERABLE IMPLEMENTATION (v3.9). Extracts the strongest transferable mechanics from the experimental architecture library and the latest modernization backlog while replacing metaphorical labels with professional treaty terminology. Adds stability-band thresholds with hysteresis; time-decaying compliance history; multi-party authorization for critical records; dormant-authority expiry; an Interpretive Uncertainty Register; controlled equivalent-implementation pilots; tiered trust privileges; equivalent contribution accounting; cross-module contagion limits; lateral continuity transfer; degraded-service levels and staged restoration; stall detection; direction-specific ratchets; correlated micro-signal review; a Shared Operational State Framework; and pre-scripted fallback pathways. Also adds structured amicus participation, PTA collateral-harm circuit breakers, post-ruling compliance audits, narrowly available interim preservation orders, interoperable steel and aluminum provenance records, strategic-reserve mutual assistance, AI-assurance mutual recognition, digital trade identity and signature interoperability, transboundary environmental emergency procedures, embedded-carbon measurement interoperability, emergency energy-equipment facilitation, a public treaty-improvement portal, and multi-year Secretariat funding continuity.</w:t>
      </w:r>
    </w:p>
    <w:p>
      <w:pPr>
        <w:pStyle w:val="Normal"/>
      </w:pPr>
      <w:r>
        <w:t>PACKAGE U: OPEN TECHNOLOGY, NATIONALITY-NEUTRAL RISK, AND THIRD-COUNTRY STRATEGIC AUTONOMY (v4.2). Replaces the legacy Non-Market Country FTA termination mechanism with a neutral Major Third-Country Trade Agreement Consultation process that preserves each Party's sovereign authority to negotiate with any non-Party; adds a treaty-wide Risk-Based and Nationality-Neutral Administration safeguard; affirms global technology and scientific openness in the modernized preamble; defines high-risk sources by evidence rather than geography; reframes dependency reduction around diversification rather than automatic reshoring; removes market-economy, alliance, and FTA-status filters from Trusted Strategic Materials qualification; and clarifies that critical-infrastructure trust determinations require functionally relevant evidence. Objective: strengthen North American resilience without converting economic-security provisions into nationality-based exclusion, technological isolation, or a presumption against lawful third-country trade and investment.</w:t>
      </w:r>
    </w:p>
    <w:p>
      <w:pPr>
        <w:pStyle w:val="Heading1"/>
      </w:pPr>
      <w:bookmarkStart w:id="901908" w:name="_Toc300001907"/>
      <w:r>
        <w:t>CHAPTER 59</w:t>
      </w:r>
      <w:r>
        <w:br/>
      </w:r>
      <w:r>
        <w:t>NORTH AMERICAN AUTOMOTIVE INTEGRATION, RESILIENCE, AND ENHANCED ORIGIN</w:t>
      </w:r>
      <w:bookmarkEnd w:id="901908"/>
    </w:p>
    <w:p>
      <w:pPr>
        <w:pStyle w:val="Normal"/>
      </w:pPr>
      <w:r>
        <w:t>This Chapter establishes a coordinated automotive modernization architecture for originating vehicles, automotive parts, batteries, strategic electronics, production tooling, repair and lifecycle systems, and associated supply chains. It supplements Chapters 4, 5, 7, 23, 24, 26, 31, 35, 36, 37, 38, 39, 40, 46, 48, 50, 53, 56, 57, and 58. Nothing in this Chapter diminishes ordinary originating status otherwise available under this Agreement.</w:t>
      </w:r>
    </w:p>
    <w:p>
      <w:pPr>
        <w:pStyle w:val="Heading2"/>
      </w:pPr>
      <w:bookmarkStart w:id="901909" w:name="_Toc300001908"/>
      <w:r>
        <w:t>Article 59.1: Objectives and Governing Principles</w:t>
      </w:r>
      <w:bookmarkEnd w:id="901909"/>
    </w:p>
    <w:p>
      <w:pPr>
        <w:pStyle w:val="Normal"/>
      </w:pPr>
      <w:r>
        <w:t>1. The Parties shall administer this Chapter to strengthen integrated North American automotive production, increase resilience, reduce unnecessary compliance friction, improve safety and circularity, and create continuous incentives for additional legitimate North American value.</w:t>
      </w:r>
    </w:p>
    <w:p>
      <w:pPr>
        <w:pStyle w:val="Normal"/>
      </w:pPr>
      <w:r>
        <w:t>2. For purposes of this Chapter, originating Canadian, Mexican, and United States value is North American value. No enhanced-tier rule shall assign greater origin value to equivalent originating content solely because that content is produced in one Party rather than another.</w:t>
      </w:r>
    </w:p>
    <w:p>
      <w:pPr>
        <w:pStyle w:val="Normal"/>
      </w:pPr>
      <w:r>
        <w:t>3. The architecture established by this Chapter shall not create Party-specific automotive content floors, equal one-third sourcing requirements, rotating production allocations, mandatory national technology assignments, or a requirement that a producer qualify for an enhanced tier in order to receive ordinary preferential treatment.</w:t>
      </w:r>
    </w:p>
    <w:p>
      <w:pPr>
        <w:pStyle w:val="Normal"/>
      </w:pPr>
      <w:r>
        <w:t>4. The Parties shall prefer objective qualification criteria, interoperable national administration, technology-neutral requirements, and measurable outcomes over the creation of duplicative continental bureaucracy.</w:t>
      </w:r>
    </w:p>
    <w:p>
      <w:pPr>
        <w:pStyle w:val="Normal"/>
      </w:pPr>
      <w:r>
        <w:t>5. Numerical thresholds, coefficients, component weights, technical lists, and data standards may be maintained through Article 34.A only within treaty-level ranges and safeguards established by this Chapter and Annex 59-A.</w:t>
      </w:r>
    </w:p>
    <w:p>
      <w:pPr>
        <w:pStyle w:val="Heading2"/>
      </w:pPr>
      <w:bookmarkStart w:id="901910" w:name="_Toc300001909"/>
      <w:r>
        <w:t>Article 59.2: Standard, Enhanced, and Strategic North American Automotive Origin</w:t>
      </w:r>
      <w:bookmarkEnd w:id="901910"/>
    </w:p>
    <w:p>
      <w:pPr>
        <w:pStyle w:val="Normal"/>
      </w:pPr>
      <w:r>
        <w:t>1. Standard North American Automotive Origin means ordinary automotive originating status under Chapter 4, Annex 4-B, and applicable Uniform Regulations. The Standard Tier remains independently usable and commercially meaningful.</w:t>
      </w:r>
    </w:p>
    <w:p>
      <w:pPr>
        <w:pStyle w:val="Normal"/>
      </w:pPr>
      <w:r>
        <w:t>2. Enhanced North American Automotive Origin is a voluntary status available to a qualifying automotive good that materially exceeds the applicable baseline regional integration requirement and satisfies enhanced traceability, compliance, and resilience criteria in Annex 59-A.</w:t>
      </w:r>
    </w:p>
    <w:p>
      <w:pPr>
        <w:pStyle w:val="Normal"/>
      </w:pPr>
      <w:r>
        <w:t>3. Strategic North American Automotive Origin is a voluntary status available to a qualifying automotive good that demonstrates exceptionally deep North American integration and satisfies the minimum Strategic Component Score established under Article 59.3.</w:t>
      </w:r>
    </w:p>
    <w:p>
      <w:pPr>
        <w:pStyle w:val="Normal"/>
      </w:pPr>
      <w:r>
        <w:t>4. Enhanced and Strategic status shall be available on equal terms to qualifying producers in each Party and shall not depend on the location of final assembly within a particular Party.</w:t>
      </w:r>
    </w:p>
    <w:p>
      <w:pPr>
        <w:pStyle w:val="Normal"/>
      </w:pPr>
      <w:r>
        <w:t>5. Benefits may include reduced routine verification frequency for consistently compliant firms, consolidated certifications, extended certification validity where appropriate, expedited trusted-trader treatment, coordinated audits, simplified documentation, and priority access to voluntary resilience, supplier-matching, testing, or demonstration programs.</w:t>
      </w:r>
    </w:p>
    <w:p>
      <w:pPr>
        <w:pStyle w:val="Normal"/>
      </w:pPr>
      <w:r>
        <w:t>6. No benefit under paragraph 5 shall prevent a customs administration from conducting a targeted verification based on a material risk indicator, credible evidence of fraud, or a significant unexplained origin anomaly.</w:t>
      </w:r>
    </w:p>
    <w:p>
      <w:pPr>
        <w:pStyle w:val="Heading2"/>
      </w:pPr>
      <w:bookmarkStart w:id="901911" w:name="_Toc300001910"/>
      <w:r>
        <w:t>Article 59.3: Strategic Component Points System</w:t>
      </w:r>
      <w:bookmarkEnd w:id="901911"/>
    </w:p>
    <w:p>
      <w:pPr>
        <w:pStyle w:val="Normal"/>
      </w:pPr>
      <w:r>
        <w:t>1. The Parties shall maintain a weighted Strategic Component Points System for voluntary Strategic Tier qualification. Initial candidate categories include battery cells and active materials; semiconductors; power electronics; traction motors and drive units; advanced steel and aluminum; sensors and safety-critical electronics; embedded control systems; verified recovered strategic materials; and other strategically significant automotive inputs designated under Article 34.A.</w:t>
      </w:r>
    </w:p>
    <w:p>
      <w:pPr>
        <w:pStyle w:val="Normal"/>
      </w:pPr>
      <w:r>
        <w:t>2. Points shall reflect meaningful North American production, transformation, recovery, fabrication, assembly, testing, or other economically substantive activity. Design ownership, branding, invoicing, packaging, or superficial finishing alone shall not create strategic-component credit.</w:t>
      </w:r>
    </w:p>
    <w:p>
      <w:pPr>
        <w:pStyle w:val="Normal"/>
      </w:pPr>
      <w:r>
        <w:t>3. The system shall include bounded equivalency pathways so that unusually strong regional performance in one or more strategic categories may compensate, within published limits, for a temporarily unavailable category. No single category shall operate as an automatic failure condition unless the Parties expressly establish that treatment by amendment on demonstrated safety or essential-security grounds.</w:t>
      </w:r>
    </w:p>
    <w:p>
      <w:pPr>
        <w:pStyle w:val="Normal"/>
      </w:pPr>
      <w:r>
        <w:t>4. The competent committees shall maintain the component categories, weights, equivalency limits, and evidentiary criteria through a rolling technical horizon. Review updates do not cause an existing category, credit, right, or qualification to lapse merely because a review date passes.</w:t>
      </w:r>
    </w:p>
    <w:p>
      <w:pPr>
        <w:pStyle w:val="Normal"/>
      </w:pPr>
      <w:r>
        <w:t>5. Proposed technical updates shall be supported by published evidence concerning supply concentration, production capacity, technological relevance, switching cost, safety significance, and the risk that disruption could materially impair North American vehicle production.</w:t>
      </w:r>
    </w:p>
    <w:p>
      <w:pPr>
        <w:pStyle w:val="Heading2"/>
      </w:pPr>
      <w:bookmarkStart w:id="901912" w:name="_Toc300001911"/>
      <w:r>
        <w:t>Article 59.4: Automotive Supplier Declaration, Advance Ruling, and Good-Faith Cure</w:t>
      </w:r>
      <w:bookmarkEnd w:id="901912"/>
    </w:p>
    <w:p>
      <w:pPr>
        <w:pStyle w:val="Normal"/>
      </w:pPr>
      <w:r>
        <w:t>1. The Parties shall develop an interoperable supplemental automotive supplier declaration that may allocate relevant value among: (a) verified originating North American content; (b) verified non-originating content with known origin; and (c) unknown or commingled content. The declaration supplements and does not replace the certification flexibility guaranteed by Chapter 5.</w:t>
      </w:r>
    </w:p>
    <w:p>
      <w:pPr>
        <w:pStyle w:val="Normal"/>
      </w:pPr>
      <w:r>
        <w:t>2. Unknown or commingled content may be treated conservatively for the calculation for which the declaration is used, subject to later correction on production of reliable evidence. No conservative default shall be designed to function as a punitive presumption.</w:t>
      </w:r>
    </w:p>
    <w:p>
      <w:pPr>
        <w:pStyle w:val="Normal"/>
      </w:pPr>
      <w:r>
        <w:t>3. A producer may request a binding advance ruling concerning the treatment of a vehicle model, platform, major component, valuation methodology, strategic-component score, or capacity-gap accommodation before commercial importation. The Parties shall coordinate rulings where substantially identical facts affect trade among more than two Parties.</w:t>
      </w:r>
    </w:p>
    <w:p>
      <w:pPr>
        <w:pStyle w:val="Normal"/>
      </w:pPr>
      <w:r>
        <w:t>4. A first-time or minor documentary discrepancy that does not present a material fraud indicator shall receive a reasonable cure opportunity, ordinarily not less than 60 days. Preferential treatment or enhanced status shall not be withdrawn solely for an immaterial formatting defect corrected in good faith.</w:t>
      </w:r>
    </w:p>
    <w:p>
      <w:pPr>
        <w:pStyle w:val="Normal"/>
      </w:pPr>
      <w:r>
        <w:t>5. Penalties shall be proportionate to materiality, frequency, culpability, and economic effect. Intentional material misrepresentation, organized transshipment, falsified provenance, or repeated knowing abuse may result in enhanced penalties and disqualification consistent with Chapters 5, 31, 35, and 36.</w:t>
      </w:r>
    </w:p>
    <w:p>
      <w:pPr>
        <w:pStyle w:val="Heading2"/>
      </w:pPr>
      <w:bookmarkStart w:id="901913" w:name="_Toc300001912"/>
      <w:r>
        <w:t>Article 59.5: Non-North-American-Value Tariff Pilot and Valuation Architecture</w:t>
      </w:r>
      <w:bookmarkEnd w:id="901913"/>
    </w:p>
    <w:p>
      <w:pPr>
        <w:pStyle w:val="Normal"/>
      </w:pPr>
      <w:r>
        <w:t>1. The Parties shall establish a controlled technical pilot to determine whether, for specified nonqualifying automotive goods containing substantial verified North American value, duty can be administered reliably against verified non-North-American value rather than the entire customs value of the good.</w:t>
      </w:r>
    </w:p>
    <w:p>
      <w:pPr>
        <w:pStyle w:val="Normal"/>
      </w:pPr>
      <w:r>
        <w:t>2. The pilot shall not alter ordinary preferential treatment, create a new tariff obligation, or apply commercially until the Commission approves an implementing schedule by consensus following economic modelling, customs testing, public comment, and a finding that expected benefits exceed administrative cost and circumvention risk.</w:t>
      </w:r>
    </w:p>
    <w:p>
      <w:pPr>
        <w:pStyle w:val="Normal"/>
      </w:pPr>
      <w:r>
        <w:t>3. Any implementing schedule shall provide standardized valuation methodologies, de minimis treatment, anti-double-counting rules, proportionate recordkeeping, SME procedures, safe harbors, advance valuation rulings, audit rights, and treatment of unknown or commingled content.</w:t>
      </w:r>
    </w:p>
    <w:p>
      <w:pPr>
        <w:pStyle w:val="Normal"/>
      </w:pPr>
      <w:r>
        <w:t>4. The pilot shall test model-level and component-family methodologies capable of avoiding transaction-by-transaction reconstruction of thousands of low-value inputs.</w:t>
      </w:r>
    </w:p>
    <w:p>
      <w:pPr>
        <w:pStyle w:val="Normal"/>
      </w:pPr>
      <w:r>
        <w:t>5. Failure of the pilot to demonstrate administrability leaves existing tariff treatment unchanged. No right or ordinary origin preference is conditioned on completion of the pilot.</w:t>
      </w:r>
    </w:p>
    <w:p>
      <w:pPr>
        <w:pStyle w:val="Heading2"/>
      </w:pPr>
      <w:bookmarkStart w:id="901914" w:name="_Toc300001913"/>
      <w:r>
        <w:t>Article 59.6: Capacity-Gap Transitional Import and Build-the-Gap Pathway</w:t>
      </w:r>
      <w:bookmarkEnd w:id="901914"/>
    </w:p>
    <w:p>
      <w:pPr>
        <w:pStyle w:val="Normal"/>
      </w:pPr>
      <w:r>
        <w:t>1. A producer shall not be penalized under an enhanced or strategic automotive criterion solely because a required input is unavailable from North American commercial sources in adequate quantity, grade, certification, quality, or commercially reasonable delivery time.</w:t>
      </w:r>
    </w:p>
    <w:p>
      <w:pPr>
        <w:pStyle w:val="Normal"/>
      </w:pPr>
      <w:r>
        <w:t>2. A capacity-gap determination shall be evidence-based and shall consider actual and announced regional capacity, qualification lead times, substitutability, price differentials that materially reflect scarcity rather than ordinary competition, logistics, safety and certification requirements, and credible supplier offers. The applicant shall demonstrate that the claimed gap was not materially created or prolonged by its own refusal to consider commercially reasonable qualifying North American supply.</w:t>
      </w:r>
    </w:p>
    <w:p>
      <w:pPr>
        <w:pStyle w:val="Normal"/>
      </w:pPr>
      <w:r>
        <w:t>3. An approved accommodation shall be narrow, input-specific, transparent as to its general basis, and accompanied by a Regional Sourcing Transition Plan proportionate to the applicant’s scale and ability to influence supply. A plan may include supplier qualification, advance purchase commitments, joint ventures, tooling support, technology licensing, investment solicitation, or other commercially reasonable steps.</w:t>
      </w:r>
    </w:p>
    <w:p>
      <w:pPr>
        <w:pStyle w:val="Normal"/>
      </w:pPr>
      <w:r>
        <w:t>4. Each material capacity-gap determination shall trigger a North American supplier expression-of-interest process and publication of the gap as an investment opportunity, subject to protection of confidential business information.</w:t>
      </w:r>
    </w:p>
    <w:p>
      <w:pPr>
        <w:pStyle w:val="Normal"/>
      </w:pPr>
      <w:r>
        <w:t>5. Accommodations operate only while the verified gap persists, shall state a review interval and maximum authorization period, and shall narrow automatically when qualified regional capacity becomes commercially available. Renewal requires updated evidence and documented progress under the Regional Sourcing Transition Plan. This paragraph is a capacity-responsive adjustment rule and not a permanent waiver of the applicable origin criterion.</w:t>
      </w:r>
    </w:p>
    <w:p>
      <w:pPr>
        <w:pStyle w:val="Normal"/>
      </w:pPr>
      <w:r>
        <w:t>6. Loss of an accommodation is prospective except in cases of fraud, intentional concealment, or material misrepresentation. Failure to achieve an investment milestone despite documented good-faith effort shall not create retroactive duty liability.</w:t>
      </w:r>
    </w:p>
    <w:p>
      <w:pPr>
        <w:pStyle w:val="Heading2"/>
      </w:pPr>
      <w:bookmarkStart w:id="901915" w:name="_Toc300001914"/>
      <w:r>
        <w:t>Article 59.7: North American Automotive Capacity, Investment, and Nearshoring Platform</w:t>
      </w:r>
      <w:bookmarkEnd w:id="901915"/>
    </w:p>
    <w:p>
      <w:pPr>
        <w:pStyle w:val="Normal"/>
      </w:pPr>
      <w:r>
        <w:t>1. The Parties shall maintain a voluntary platform that converts verified automotive capacity gaps and concentrated dependencies into transparent investment opportunities while preserving competitive site selection among Canada, Mexico, and the United States.</w:t>
      </w:r>
    </w:p>
    <w:p>
      <w:pPr>
        <w:pStyle w:val="Normal"/>
      </w:pPr>
      <w:r>
        <w:t>2. The platform may provide investment-ready site information, brownfield inventories, infrastructure and interconnection data, workforce availability, supplier matching, permitting navigation, financing information, and standardized expressions of interest.</w:t>
      </w:r>
    </w:p>
    <w:p>
      <w:pPr>
        <w:pStyle w:val="Normal"/>
      </w:pPr>
      <w:r>
        <w:t>3. Each Party may maintain its own lawful investment incentives. Nothing in this Chapter requires identical tax credits, fixes domestic tax policy, guarantees a project location, or authorizes the Commission to allocate production among the Parties.</w:t>
      </w:r>
    </w:p>
    <w:p>
      <w:pPr>
        <w:pStyle w:val="Normal"/>
      </w:pPr>
      <w:r>
        <w:t>4. Public support should prioritize objectively identified capacity gaps, crowd in private capital, and avoid indefinite support for commercially nonviable capacity.</w:t>
      </w:r>
    </w:p>
    <w:p>
      <w:pPr>
        <w:pStyle w:val="Normal"/>
      </w:pPr>
      <w:r>
        <w:t>5. The platform shall include pathways for Tier-2 and Tier-3 suppliers, remanufacturers, recyclers, tooling firms, software firms, and other SMEs, not solely final-assembly or large Tier-1 investments.</w:t>
      </w:r>
    </w:p>
    <w:p>
      <w:pPr>
        <w:pStyle w:val="Heading2"/>
      </w:pPr>
      <w:bookmarkStart w:id="901916" w:name="_Toc300001915"/>
      <w:r>
        <w:t>Article 59.8: Supplier Second-Source and Resilience Ladder</w:t>
      </w:r>
      <w:bookmarkEnd w:id="901916"/>
    </w:p>
    <w:p>
      <w:pPr>
        <w:pStyle w:val="Normal"/>
      </w:pPr>
      <w:r>
        <w:t>1. The Parties shall encourage progressive resilience measures for automotive inputs according to measured vulnerability. Measures should escalate from supplier diversification and second-source qualification, to commercially financed inventory buffers, to rotating strategic commercial reserves for identified critical inputs, and only where justified to government-supported emergency reserves.</w:t>
      </w:r>
    </w:p>
    <w:p>
      <w:pPr>
        <w:pStyle w:val="Normal"/>
      </w:pPr>
      <w:r>
        <w:t>2. Concentration analysis shall distinguish efficient specialization from dangerous single-point dependency and shall not presume that foreign origin alone constitutes a reliability defect.</w:t>
      </w:r>
    </w:p>
    <w:p>
      <w:pPr>
        <w:pStyle w:val="Normal"/>
      </w:pPr>
      <w:r>
        <w:t>3. Governments may facilitate supplier qualification, testing, inventory financing, insurance, or emergency matching, but shall not require a private firm to disclose competitively sensitive information beyond what is necessary for a defined public function.</w:t>
      </w:r>
    </w:p>
    <w:p>
      <w:pPr>
        <w:pStyle w:val="Normal"/>
      </w:pPr>
      <w:r>
        <w:t>4. Temporary support for a viable supplier affected by a discrete retooling event or external shock shall be conditioned on a credible recovery pathway and shall not become an indefinite operating subsidy.</w:t>
      </w:r>
    </w:p>
    <w:p>
      <w:pPr>
        <w:pStyle w:val="Heading2"/>
      </w:pPr>
      <w:bookmarkStart w:id="901917" w:name="_Toc300001916"/>
      <w:r>
        <w:t>Article 59.9: Trusted Automotive Trade Corridor and Virtual In-Bond System</w:t>
      </w:r>
      <w:bookmarkEnd w:id="901917"/>
    </w:p>
    <w:p>
      <w:pPr>
        <w:pStyle w:val="Normal"/>
      </w:pPr>
      <w:r>
        <w:t>1. The Parties shall develop an interoperable trusted automotive corridor based on the principle: submit once, assess before arrival, verify according to risk, and reuse authenticated data where lawful.</w:t>
      </w:r>
    </w:p>
    <w:p>
      <w:pPr>
        <w:pStyle w:val="Normal"/>
      </w:pPr>
      <w:r>
        <w:t>2. The corridor may integrate advance electronic data, pre-clearance, trusted trader status, trusted driver credentials, coordinated inspections, machine-readable border-wait data, interoperable electronic seals, virtual in-bond chain-of-custody, bonded warehousing, and emergency shipment escalation.</w:t>
      </w:r>
    </w:p>
    <w:p>
      <w:pPr>
        <w:pStyle w:val="Normal"/>
      </w:pPr>
      <w:r>
        <w:t>3. Service targets shall be traffic- and risk-based. This Article does not guarantee a fixed crossing time regardless of congestion, safety, enforcement need, infrastructure failure, or emergency conditions.</w:t>
      </w:r>
    </w:p>
    <w:p>
      <w:pPr>
        <w:pStyle w:val="Normal"/>
      </w:pPr>
      <w:r>
        <w:t>4. A common underlying data model may satisfy multiple national submissions while each customs administration retains its legal authority and access controls.</w:t>
      </w:r>
    </w:p>
    <w:p>
      <w:pPr>
        <w:pStyle w:val="Normal"/>
      </w:pPr>
      <w:r>
        <w:t>5. The Parties shall prioritize rail interchange, terminal capacity, autorack handling, bridge and tunnel resilience, inland-port interoperability, and alternative-route information where evidence shows material automotive bottlenecks.</w:t>
      </w:r>
    </w:p>
    <w:p>
      <w:pPr>
        <w:pStyle w:val="Heading2"/>
      </w:pPr>
      <w:bookmarkStart w:id="901918" w:name="_Toc300001917"/>
      <w:r>
        <w:t>Article 59.10: Battery, Strategic Material, and Circular Automotive Lifecycle</w:t>
      </w:r>
      <w:bookmarkEnd w:id="901918"/>
    </w:p>
    <w:p>
      <w:pPr>
        <w:pStyle w:val="Normal"/>
      </w:pPr>
      <w:r>
        <w:t>1. The Parties shall establish interoperable battery provenance, health, warranty-transfer, second-life, recycling, and recovered-material rules sufficient to support safe cross-border commerce without requiring a single centralized database.</w:t>
      </w:r>
    </w:p>
    <w:p>
      <w:pPr>
        <w:pStyle w:val="Normal"/>
      </w:pPr>
      <w:r>
        <w:t>2. Common battery-health metrics and safety classifications should permit consumers, repairers, recyclers, insurers, and second-life users to assess condition using authenticated records and appropriate access controls.</w:t>
      </w:r>
    </w:p>
    <w:p>
      <w:pPr>
        <w:pStyle w:val="Normal"/>
      </w:pPr>
      <w:r>
        <w:t>3. Recovered critical minerals and qualifying recycled automotive materials shall receive origin treatment consistent with Chapter 4 where the applicable recovery and transformation requirements are met.</w:t>
      </w:r>
    </w:p>
    <w:p>
      <w:pPr>
        <w:pStyle w:val="Normal"/>
      </w:pPr>
      <w:r>
        <w:t>4. The Parties shall maintain qualified recycler standards, material recovery data, processing-gap maps, and pathways for safe shipment of end-of-life batteries and strategic materials.</w:t>
      </w:r>
    </w:p>
    <w:p>
      <w:pPr>
        <w:pStyle w:val="Normal"/>
      </w:pPr>
      <w:r>
        <w:t>5. Voluntary zero-waste or circular-production recognition shall require verified diversion, recovery, reuse, remanufacturing, or recycling outcomes and shall not be satisfied merely by transferring waste to another jurisdiction.</w:t>
      </w:r>
    </w:p>
    <w:p>
      <w:pPr>
        <w:pStyle w:val="Heading2"/>
      </w:pPr>
      <w:bookmarkStart w:id="901919" w:name="_Toc300001918"/>
      <w:r>
        <w:t>Article 59.11: Semiconductor and Strategic Electronics Resilience</w:t>
      </w:r>
      <w:bookmarkEnd w:id="901919"/>
    </w:p>
    <w:p>
      <w:pPr>
        <w:pStyle w:val="Normal"/>
      </w:pPr>
      <w:r>
        <w:t>1. The Parties shall map automotive dependencies in mature-node and other strategically significant semiconductors, sensors, power electronics, controllers, and communications components and shall facilitate commercially viable second sources and North American capacity where justified.</w:t>
      </w:r>
    </w:p>
    <w:p>
      <w:pPr>
        <w:pStyle w:val="Normal"/>
      </w:pPr>
      <w:r>
        <w:t>2. Origin treatment for semiconductor and embedded-electronics products shall reflect economically meaningful transformation. North American design ownership alone does not convert non-originating fabrication into originating content.</w:t>
      </w:r>
    </w:p>
    <w:p>
      <w:pPr>
        <w:pStyle w:val="Normal"/>
      </w:pPr>
      <w:r>
        <w:t>3. The Parties shall develop common or mutually recognized testing, cybersecurity, functional-safety, provenance, and component-authentication outcomes while avoiding predetermined national production roles.</w:t>
      </w:r>
    </w:p>
    <w:p>
      <w:pPr>
        <w:pStyle w:val="Normal"/>
      </w:pPr>
      <w:r>
        <w:t>4. Public programs may support precompetitive research, prototyping, packaging, testing, workforce development, or fabrication capacity consistent with each Party’s law and this Agreement.</w:t>
      </w:r>
    </w:p>
    <w:p>
      <w:pPr>
        <w:pStyle w:val="Normal"/>
      </w:pPr>
      <w:r>
        <w:t>5. Strategic electronics criteria shall be technology-neutral and maintained through the rolling technical process in Articles 34.A and 59.3.</w:t>
      </w:r>
    </w:p>
    <w:p>
      <w:pPr>
        <w:pStyle w:val="Heading2"/>
      </w:pPr>
      <w:bookmarkStart w:id="901920" w:name="_Toc300001919"/>
      <w:r>
        <w:t>Article 59.12: Automotive Mutual Recognition, Open Interfaces, and Repair Interoperability</w:t>
      </w:r>
      <w:bookmarkEnd w:id="901920"/>
    </w:p>
    <w:p>
      <w:pPr>
        <w:pStyle w:val="Normal"/>
      </w:pPr>
      <w:r>
        <w:t>1. Where the Parties maintain different automotive technical rules that achieve demonstrably equivalent safety, cybersecurity, environmental, or consumer-protection outcomes, they shall seek mutual recognition, common testing protocols, or reusable conformity evidence rather than duplicative testing.</w:t>
      </w:r>
    </w:p>
    <w:p>
      <w:pPr>
        <w:pStyle w:val="Normal"/>
      </w:pPr>
      <w:r>
        <w:t>2. The Parties shall promote open, documented, safety-appropriate interfaces for diagnostics, repair information, charging, vehicle-to-grid functions, component authentication, and other interoperability functions where openness can reduce vendor lock-in without exposing security-sensitive controls.</w:t>
      </w:r>
    </w:p>
    <w:p>
      <w:pPr>
        <w:pStyle w:val="Normal"/>
      </w:pPr>
      <w:r>
        <w:t>3. Nothing in this Article requires disclosure of trade secrets, source code, cryptographic keys, personal data, or information whose release would create a material cybersecurity or safety risk.</w:t>
      </w:r>
    </w:p>
    <w:p>
      <w:pPr>
        <w:pStyle w:val="Normal"/>
      </w:pPr>
      <w:r>
        <w:t>4. A Party retains authority to impose a genuinely necessary non-discriminatory safety, environmental, privacy, cybersecurity, or consumer-protection requirement supported by evidence and administered consistently with this Agreement.</w:t>
      </w:r>
    </w:p>
    <w:p>
      <w:pPr>
        <w:pStyle w:val="Normal"/>
      </w:pPr>
      <w:r>
        <w:t>5. The Parties shall cooperate against counterfeit safety-critical parts through authenticated identifiers, provenance checks, customs alerts, and information exchange subject to due process.</w:t>
      </w:r>
    </w:p>
    <w:p>
      <w:pPr>
        <w:pStyle w:val="Heading2"/>
      </w:pPr>
      <w:bookmarkStart w:id="901921" w:name="_Toc300001920"/>
      <w:r>
        <w:t>Article 59.13: Vehicle Lifecycle Passport and Secondary-Market Integrity</w:t>
      </w:r>
      <w:bookmarkEnd w:id="901921"/>
    </w:p>
    <w:p>
      <w:pPr>
        <w:pStyle w:val="Normal"/>
      </w:pPr>
      <w:r>
        <w:t>1. The Parties shall develop interoperable vehicle lifecycle credentials capable of linking, through permissioned and federated systems, relevant records concerning manufacturing identity, origin, recalls, major safety events, battery health, salvage status, odometer integrity, theft status, repair history where lawfully available, and end-of-life disposition.</w:t>
      </w:r>
    </w:p>
    <w:p>
      <w:pPr>
        <w:pStyle w:val="Normal"/>
      </w:pPr>
      <w:r>
        <w:t>2. The architecture shall not create a universally accessible continental personal-data database. Access shall be role-based, purpose-limited, auditable, and consistent with each Party’s privacy law.</w:t>
      </w:r>
    </w:p>
    <w:p>
      <w:pPr>
        <w:pStyle w:val="Normal"/>
      </w:pPr>
      <w:r>
        <w:t>3. The Parties shall cooperate to reduce title washing, odometer fraud, salvage concealment, stolen-vehicle trafficking, and trafficking in stolen high-value parts through secure title and identifier verification.</w:t>
      </w:r>
    </w:p>
    <w:p>
      <w:pPr>
        <w:pStyle w:val="Normal"/>
      </w:pPr>
      <w:r>
        <w:t>4. The Parties may facilitate temporary cross-border fleet operations, registration evidence, lien and title-interest verification, and insurance-status confirmation through interoperable credentials without creating a single continental insurance policy or displacing subnational authority.</w:t>
      </w:r>
    </w:p>
    <w:p>
      <w:pPr>
        <w:pStyle w:val="Heading2"/>
      </w:pPr>
      <w:bookmarkStart w:id="901922" w:name="_Toc300001921"/>
      <w:r>
        <w:t>Article 59.14: Automotive Skills, Credentials, Mobility, and Workforce Transition</w:t>
      </w:r>
      <w:bookmarkEnd w:id="901922"/>
    </w:p>
    <w:p>
      <w:pPr>
        <w:pStyle w:val="Normal"/>
      </w:pPr>
      <w:r>
        <w:t>1. The Parties shall develop common competency outcomes and mutual-recognition pathways for identified automotive skill shortages, including welding, robotics maintenance, mechatronics, battery service, high-voltage safety, software diagnostics, cybersecurity, machining, and other emerging fields.</w:t>
      </w:r>
    </w:p>
    <w:p>
      <w:pPr>
        <w:pStyle w:val="Normal"/>
      </w:pPr>
      <w:r>
        <w:t>2. Apprenticeship and training programs may include voluntary cross-border placements and instructor or worker exchanges. Recognition shall focus on demonstrated competencies and shall not require identical curricula.</w:t>
      </w:r>
    </w:p>
    <w:p>
      <w:pPr>
        <w:pStyle w:val="Normal"/>
      </w:pPr>
      <w:r>
        <w:t>3. Temporary specialist mobility pathways may be used for defined installation, commissioning, repair, training, emergency, or shortage functions consistent with Chapter 16 and domestic immigration law.</w:t>
      </w:r>
    </w:p>
    <w:p>
      <w:pPr>
        <w:pStyle w:val="Normal"/>
      </w:pPr>
      <w:r>
        <w:t>4. The Parties shall encourage retraining for workers affected by automation, electrification, digitization, or plant transition, including portable short-form credentials and pathways into robotics, maintenance, remanufacturing, recycling, software, and other growth functions.</w:t>
      </w:r>
    </w:p>
    <w:p>
      <w:pPr>
        <w:pStyle w:val="Normal"/>
      </w:pPr>
      <w:r>
        <w:t>5. Workforce metrics may include compensation, productivity, retention, training completion, vacancy duration, safety, and credential portability. Such metrics shall inform policy and may support earned workforce-advancement and automotive-integration benefits under Article 7 and the 75% / 80% / 85% tier architecture; they shall not create a fixed nominal-wage condition of origin.</w:t>
      </w:r>
    </w:p>
    <w:p>
      <w:pPr>
        <w:pStyle w:val="Heading2"/>
      </w:pPr>
      <w:bookmarkStart w:id="901923" w:name="_Toc300001922"/>
      <w:r>
        <w:t>Article 59.15: Precompetitive Research Commons, Innovation Labs, and Grand Challenges</w:t>
      </w:r>
      <w:bookmarkEnd w:id="901923"/>
    </w:p>
    <w:p>
      <w:pPr>
        <w:pStyle w:val="Normal"/>
      </w:pPr>
      <w:r>
        <w:t>1. The Parties shall facilitate voluntary precompetitive automotive research collaboration among universities, laboratories, manufacturers, suppliers, workers, standards bodies, and other qualified participants.</w:t>
      </w:r>
    </w:p>
    <w:p>
      <w:pPr>
        <w:pStyle w:val="Normal"/>
      </w:pPr>
      <w:r>
        <w:t>2. Priority areas may include battery chemistry and safety, lightweight and recyclable materials, crash and injury prevention, vehicle cybersecurity, AI assurance, autonomous-system validation, hydrogen and alternative fuels, manufacturing robotics, digital twins, telematics safety, repair diagnostics, environmental monitoring, and resilient logistics.</w:t>
      </w:r>
    </w:p>
    <w:p>
      <w:pPr>
        <w:pStyle w:val="Normal"/>
      </w:pPr>
      <w:r>
        <w:t>3. Intellectual-property arrangements may use public-domain dedication, open licenses, FRAND licensing, patent pools, research licenses, or commercial ownership according to the project. No participant is compelled to surrender pre-existing intellectual property as a condition of ordinary CUSMA treatment.</w:t>
      </w:r>
    </w:p>
    <w:p>
      <w:pPr>
        <w:pStyle w:val="Normal"/>
      </w:pPr>
      <w:r>
        <w:t>4. The Parties may sponsor outcome-based grand challenges in which governments define measurable problems and competing teams select technical approaches. Challenges should avoid prescribing a favored technology where multiple solutions can satisfy the objective.</w:t>
      </w:r>
    </w:p>
    <w:p>
      <w:pPr>
        <w:pStyle w:val="Normal"/>
      </w:pPr>
      <w:r>
        <w:t>5. Shared research and incident datasets shall be de-identified or aggregated where appropriate and protected against disclosure of confidential business information and personal data.</w:t>
      </w:r>
    </w:p>
    <w:p>
      <w:pPr>
        <w:pStyle w:val="Heading2"/>
      </w:pPr>
      <w:bookmarkStart w:id="901924" w:name="_Toc300001923"/>
      <w:r>
        <w:t>Article 59.16: Automotive Cybersecurity, AI Assurance, and Connected-Vehicle Cooperation</w:t>
      </w:r>
      <w:bookmarkEnd w:id="901924"/>
    </w:p>
    <w:p>
      <w:pPr>
        <w:pStyle w:val="Normal"/>
      </w:pPr>
      <w:r>
        <w:t>1. The Parties shall cooperate on risk-based cybersecurity and AI-assurance outcomes for connected and automated vehicles, manufacturing systems, charging infrastructure, telematics, diagnostics, and trade infrastructure.</w:t>
      </w:r>
    </w:p>
    <w:p>
      <w:pPr>
        <w:pStyle w:val="Normal"/>
      </w:pPr>
      <w:r>
        <w:t>2. Cooperation may include common minimum security outcomes, coordinated vulnerability disclosure, incident information exchange, accredited assessment, secure software-update practices, component provenance, supply-chain security, and mutual recognition of equivalent certifications.</w:t>
      </w:r>
    </w:p>
    <w:p>
      <w:pPr>
        <w:pStyle w:val="Normal"/>
      </w:pPr>
      <w:r>
        <w:t>3. AI assurance shall address safety validation, traceability of material system changes, human oversight where appropriate, incident reporting, robustness, and cybersecurity without requiring disclosure of proprietary model weights or source code except where lawfully necessary under narrowly tailored procedures.</w:t>
      </w:r>
    </w:p>
    <w:p>
      <w:pPr>
        <w:pStyle w:val="Normal"/>
      </w:pPr>
      <w:r>
        <w:t>4. The Parties shall encourage compatible vehicle-to-infrastructure and vehicle-to-grid interfaces, including safety, metering, communications, payment, and roaming principles, while preserving competition among service providers.</w:t>
      </w:r>
    </w:p>
    <w:p>
      <w:pPr>
        <w:pStyle w:val="Heading2"/>
      </w:pPr>
      <w:bookmarkStart w:id="901925" w:name="_Toc300001924"/>
      <w:r>
        <w:t>Article 59.17: Infrastructure, Grid, Water, Logistics, and All-Hazards Resilience</w:t>
      </w:r>
      <w:bookmarkEnd w:id="901925"/>
    </w:p>
    <w:p>
      <w:pPr>
        <w:pStyle w:val="Normal"/>
      </w:pPr>
      <w:r>
        <w:t>1. Automotive investment planning under this Agreement shall consider electric-power availability, interconnection timelines, transmission constraints, water stress, wastewater capacity, freight access, communications resilience, and exposure to wildfire, flood, hurricane, tornado, ice, drought, earthquake, cyber incident, and other material hazards.</w:t>
      </w:r>
    </w:p>
    <w:p>
      <w:pPr>
        <w:pStyle w:val="Normal"/>
      </w:pPr>
      <w:r>
        <w:t>2. The Parties shall publish or facilitate access to non-confidential site and corridor data sufficient for investors to identify infrastructure constraints before committing capital.</w:t>
      </w:r>
    </w:p>
    <w:p>
      <w:pPr>
        <w:pStyle w:val="Normal"/>
      </w:pPr>
      <w:r>
        <w:t>3. Water-stressed automotive regions should prioritize closed-loop process water, reuse, wastewater recovery, efficient cooling, and other measures suited to local conditions. This Article does not impose identical water standards across dissimilar regions.</w:t>
      </w:r>
    </w:p>
    <w:p>
      <w:pPr>
        <w:pStyle w:val="Normal"/>
      </w:pPr>
      <w:r>
        <w:t>4. Charging, alternative-fuel, and emerging freight infrastructure cooperation shall be demand-led and coordinated with realistic grid and energy capacity. No Party is required to build infrastructure without a demonstrated public or commercial case.</w:t>
      </w:r>
    </w:p>
    <w:p>
      <w:pPr>
        <w:pStyle w:val="Normal"/>
      </w:pPr>
      <w:r>
        <w:t>5. All-hazards continuity planning shall include alternative routes, critical supplier contact protocols, emergency customs escalation, temporary logistics substitutions, and recovery exercises.</w:t>
      </w:r>
    </w:p>
    <w:p>
      <w:pPr>
        <w:pStyle w:val="Heading2"/>
      </w:pPr>
      <w:bookmarkStart w:id="901926" w:name="_Toc300001925"/>
      <w:r>
        <w:t>Article 59.18: Sustainable Materials and Environmental Performance</w:t>
      </w:r>
      <w:bookmarkEnd w:id="901926"/>
    </w:p>
    <w:p>
      <w:pPr>
        <w:pStyle w:val="Normal"/>
      </w:pPr>
      <w:r>
        <w:t>1. The Parties shall develop interoperable methods for measuring relevant automotive material and production attributes, including recycled content, recovery rates, energy intensity, embedded emissions where measured, water use, waste diversion, and other agreed environmental indicators.</w:t>
      </w:r>
    </w:p>
    <w:p>
      <w:pPr>
        <w:pStyle w:val="Normal"/>
      </w:pPr>
      <w:r>
        <w:t>2. Enhanced or Strategic Tier programs may recognize objectively verified lower-impact steel, aluminum, plastics, adhesives, lubricants, interior materials, recycled feedstocks, remanufactured components, and other automotive inputs without discriminating among equivalent originating production by Party.</w:t>
      </w:r>
    </w:p>
    <w:p>
      <w:pPr>
        <w:pStyle w:val="Normal"/>
      </w:pPr>
      <w:r>
        <w:t>3. Environmental recognition shall rely on transparent performance methodologies and shall not require participation in a single continental carbon-credit market.</w:t>
      </w:r>
    </w:p>
    <w:p>
      <w:pPr>
        <w:pStyle w:val="Normal"/>
      </w:pPr>
      <w:r>
        <w:t>4. Environmental data requests shall be proportionate, protect confidential business information, and reuse existing verified data where practicable.</w:t>
      </w:r>
    </w:p>
    <w:p>
      <w:pPr>
        <w:pStyle w:val="Normal"/>
      </w:pPr>
      <w:r>
        <w:t>5. Experimental materials or processes lacking sufficient safety, durability, repairability, or lifecycle evidence shall be treated as research candidates rather than presumed compliance solutions.</w:t>
      </w:r>
    </w:p>
    <w:p>
      <w:pPr>
        <w:pStyle w:val="Heading2"/>
      </w:pPr>
      <w:bookmarkStart w:id="901927" w:name="_Toc300001926"/>
      <w:r>
        <w:t>Article 59.19: Cothrom Automotive Stabilizer and Crisis Management</w:t>
      </w:r>
      <w:bookmarkEnd w:id="901927"/>
    </w:p>
    <w:p>
      <w:pPr>
        <w:pStyle w:val="Normal"/>
      </w:pPr>
      <w:r>
        <w:t>1. Where a severe automotive supply disruption threatens material production stoppages across more than one Party, the Parties may activate a graduated Automotive Stabilizer coordinated with Chapters 38, 46, and 57.</w:t>
      </w:r>
    </w:p>
    <w:p>
      <w:pPr>
        <w:pStyle w:val="Normal"/>
      </w:pPr>
      <w:r>
        <w:t>2. The response ladder may include enhanced information sharing; supplier and inventory matching; expedited customs and testing; temporary capacity-gap treatment; emergency logistics coordination; mutual assistance concerning strategic reserves where available; and narrowly tailored temporary regulatory equivalence where safety and law permit.</w:t>
      </w:r>
    </w:p>
    <w:p>
      <w:pPr>
        <w:pStyle w:val="Normal"/>
      </w:pPr>
      <w:r>
        <w:t>3. Activation shall be evidence-based, reciprocal, proportionate, and confined to the affected products, corridors, or functions. A disruption in one automotive sub-sector does not authorize unrelated trade restrictions.</w:t>
      </w:r>
    </w:p>
    <w:p>
      <w:pPr>
        <w:pStyle w:val="Normal"/>
      </w:pPr>
      <w:r>
        <w:t>4. During an activated stabilization period, the Parties shall avoid introducing new intra-CUSMA automotive border restrictions unrelated to the verified emergency unless required by a genuine safety, health, environmental, or essential-security necessity.</w:t>
      </w:r>
    </w:p>
    <w:p>
      <w:pPr>
        <w:pStyle w:val="Normal"/>
      </w:pPr>
      <w:r>
        <w:t>5. Cothrom review under Chapter 46 is fact-finding and evidentiary. It does not allocate production, rewrite origin thresholds, or substitute for the amendment procedures of this Agreement.</w:t>
      </w:r>
    </w:p>
    <w:p>
      <w:pPr>
        <w:pStyle w:val="Heading2"/>
      </w:pPr>
      <w:bookmarkStart w:id="901928" w:name="_Toc300001927"/>
      <w:r>
        <w:t>Article 59.20: Automotive Performance Dashboard, Machine-Readable Rules, and Rolling Horizons</w:t>
      </w:r>
      <w:bookmarkEnd w:id="901928"/>
    </w:p>
    <w:p>
      <w:pPr>
        <w:pStyle w:val="Normal"/>
      </w:pPr>
      <w:r>
        <w:t>1. The Secretariat shall maintain an Automotive Performance Dashboard using aggregated or otherwise protected data. Metrics may include regional-content trends, preference utilization, border processing, origin-verification burden, capacity gaps, supplier concentration, investment, battery recovery, semiconductor resilience, workforce shortages, safety outcomes, and other agreed indicators.</w:t>
      </w:r>
    </w:p>
    <w:p>
      <w:pPr>
        <w:pStyle w:val="Normal"/>
      </w:pPr>
      <w:r>
        <w:t>2. The Parties shall progressively publish machine-readable origin rules, data schemas, guidance, worked examples, validation tools, and APIs that permit firms to pre-check compliance. No automated system or artificial intelligence tool shall make an unreviewable binding treaty-compliance determination.</w:t>
      </w:r>
    </w:p>
    <w:p>
      <w:pPr>
        <w:pStyle w:val="Normal"/>
      </w:pPr>
      <w:r>
        <w:t>3. The competent committees shall maintain multi-year rolling work plans for automotive modernization. Each work plan shall identify evidence needs, pilots, technical updates, unresolved issues, and implementation priorities for the next horizon while preserving existing rights and qualifications until lawfully changed.</w:t>
      </w:r>
    </w:p>
    <w:p>
      <w:pPr>
        <w:pStyle w:val="Normal"/>
      </w:pPr>
      <w:r>
        <w:t>4. No automotive right, preference, tier, recognition, or protection established by this Chapter expires merely because a review date, work-plan horizon, or technical-update date passes. Article 35.29 and Article 34.7 apply.</w:t>
      </w:r>
    </w:p>
    <w:p>
      <w:pPr>
        <w:pStyle w:val="Normal"/>
      </w:pPr>
      <w:r>
        <w:t>5. Material changes to thresholds or substantive rights require the amendment procedure applicable under Article 34.3. Technical maintenance within existing treaty limits may proceed under Article 34.A.</w:t>
      </w:r>
    </w:p>
    <w:p>
      <w:pPr>
        <w:pStyle w:val="Normal"/>
      </w:pPr>
      <w:r>
        <w:t>6. The Parties shall assess the operation of this Chapter at each Article 34.7 modernization review and may improve it by consensus. Review is for modernization and implementation, not renewal.</w:t>
      </w:r>
    </w:p>
    <w:p>
      <w:pPr>
        <w:pStyle w:val="Heading2"/>
      </w:pPr>
      <w:bookmarkStart w:id="901929" w:name="_Toc300001928"/>
      <w:r>
        <w:t>Article 59.21: Relationship to Other Chapters and Non-Derogation</w:t>
      </w:r>
      <w:bookmarkEnd w:id="901929"/>
    </w:p>
    <w:p>
      <w:pPr>
        <w:pStyle w:val="Normal"/>
      </w:pPr>
      <w:r>
        <w:t>1. Chapter 4 and Annex 4-B govern ordinary automotive origin unless this Chapter expressly provides a supplemental voluntary status or procedure.</w:t>
      </w:r>
    </w:p>
    <w:p>
      <w:pPr>
        <w:pStyle w:val="Normal"/>
      </w:pPr>
      <w:r>
        <w:t>2. Chapter 5 governs origin procedures; Chapter 7 governs customs facilitation; Chapters 23 and 24 govern labor and environment; Chapters 31, 35, and 46 govern disputes, proportional remedies, and evidentiary verification; Chapters 36 through 40 govern economic security, strategic materials, emergency continuity, advanced technology, and energy; and Chapters 48, 50, 53, 56, 57, and 58 provide complementary review, SME, adaptive, continuity, and interoperability safeguards.</w:t>
      </w:r>
    </w:p>
    <w:p>
      <w:pPr>
        <w:pStyle w:val="Normal"/>
      </w:pPr>
      <w:r>
        <w:t>3. Nothing in this Chapter authorizes a Party to discriminate against originating content of another Party, impose a Party-specific sourcing quota, compel technology transfer, require disclosure of protected source code or trade secrets except as otherwise permitted by this Agreement, or condition ordinary CUSMA treatment on participation in a voluntary program.</w:t>
      </w:r>
    </w:p>
    <w:p>
      <w:pPr>
        <w:pStyle w:val="Normal"/>
      </w:pPr>
      <w:r>
        <w:t>4. Where an implementing digital system, technical annex, form, or committee procedure is not operational on schedule, Article 52.2 applies and the pre-existing treaty rule continues unless this Agreement expressly provides another fallback.</w:t>
      </w:r>
    </w:p>
    <w:p>
      <w:pPr>
        <w:pStyle w:val="Heading2"/>
      </w:pPr>
      <w:bookmarkStart w:id="901930" w:name="_Toc300001929"/>
      <w:r>
        <w:t>Article 59.22: Mexican Automotive Tariff Normalization and Continental Additionality</w:t>
      </w:r>
      <w:bookmarkEnd w:id="901930"/>
    </w:p>
    <w:p>
      <w:pPr>
        <w:pStyle w:val="Normal"/>
      </w:pPr>
      <w:r>
        <w:t>1. Consistent with Articles 59.1, 59.5, 59.5A, and 49.8, qualifying Mexican originating vehicles and automotive parts shall be eligible for the same objective normalization, earned-integration, cure, and Cothrom pathways available to equivalent qualifying Canadian or United States originating production.</w:t>
      </w:r>
    </w:p>
    <w:p>
      <w:pPr>
        <w:pStyle w:val="Normal"/>
      </w:pPr>
      <w:r>
        <w:t>2. A measure designed to strengthen North American automotive content shall target non-North-American value, circumvention, or another verified risk and shall not convert equivalent Mexican or Canadian originating content into inferior content solely because it was not produced in the United States.</w:t>
      </w:r>
    </w:p>
    <w:p>
      <w:pPr>
        <w:pStyle w:val="Normal"/>
      </w:pPr>
      <w:r>
        <w:t>3. Public incentives and treaty-enabled facilitation should, where practicable, satisfy a Continental Additionality Test by creating new North American capacity, technology, productivity, resilience, or employment rather than merely subsidizing relocation of existing capacity from one Party to another.</w:t>
      </w:r>
    </w:p>
    <w:p>
      <w:pPr>
        <w:pStyle w:val="Normal"/>
      </w:pPr>
      <w:r>
        <w:t>4. The Commission shall monitor material investment diversion caused primarily by discriminatory Party-specific incentives or tariff structures and may recommend corrective treatment consistent with domestic subsidy, procurement, tax, and appropriations law.</w:t>
      </w:r>
    </w:p>
    <w:p>
      <w:pPr>
        <w:pStyle w:val="Normal"/>
      </w:pPr>
      <w:r>
        <w:t>5. Nothing in this Article guarantees the location of a vehicle plant, production line, supplier facility, or investment. It protects equal treaty treatment of originating North American value and rewards genuinely additional continental capacity.</w:t>
      </w:r>
    </w:p>
    <w:p>
      <w:pPr>
        <w:pStyle w:val="Heading2"/>
      </w:pPr>
      <w:bookmarkStart w:id="901931" w:name="_Toc300001930"/>
      <w:r>
        <w:t>Article 59.22A: Automotive Full-Scope and Anti-Cherry-Picking Guarantee</w:t>
      </w:r>
      <w:bookmarkEnd w:id="901931"/>
    </w:p>
    <w:p>
      <w:pPr>
        <w:pStyle w:val="Normal"/>
      </w:pPr>
      <w:r>
        <w:t>1. Where this Agreement, an implementing schedule, or a negotiated automotive normalization measure provides generally applicable preferential, settlement, stabilization, cure, or tariff-relief treatment for automotive goods, its vehicle-class scope shall include, as applicable, passenger vehicles, sport-utility vehicles, vans, pickup trucks and other light trucks, medium-duty trucks, heavy-duty trucks, buses, chassis, and covered automotive parts and components.</w:t>
      </w:r>
    </w:p>
    <w:p>
      <w:pPr>
        <w:pStyle w:val="Normal"/>
      </w:pPr>
      <w:r>
        <w:t>2. A Party shall not exclude a vehicle class, model family, chassis class, or substantially equivalent covered automotive category from generally applicable automotive relief solely because production of that class or category is concentrated in another Party.</w:t>
      </w:r>
    </w:p>
    <w:p>
      <w:pPr>
        <w:pStyle w:val="Normal"/>
      </w:pPr>
      <w:r>
        <w:t>3. Any class-specific exclusion or materially less favorable treatment shall rest on an express treaty rule, a verified and objectively relevant technical distinction, or a separately negotiated schedule identifying the reason, duration, affected classifications, and review mechanism. Production location within another Party is not, by itself, an objective technical distinction.</w:t>
      </w:r>
    </w:p>
    <w:p>
      <w:pPr>
        <w:pStyle w:val="Normal"/>
      </w:pPr>
      <w:r>
        <w:t>4. Where tariff classification changes, new propulsion systems, body configurations, or commercial nomenclature create uncertainty, the Parties shall apply the functional and economic character of the vehicle and shall not use classification drift to defeat the coverage intended by this Article.</w:t>
      </w:r>
    </w:p>
    <w:p>
      <w:pPr>
        <w:pStyle w:val="Normal"/>
      </w:pPr>
      <w:r>
        <w:t>5. This Article does not require identical regulatory standards or identical rules of origin for unlike vehicle classes. It requires that negotiated automotive relief not be selectively hollowed out through unsupported vehicle-class exclusions.</w:t>
      </w:r>
    </w:p>
    <w:p>
      <w:pPr>
        <w:pStyle w:val="Normal"/>
      </w:pPr>
      <w:r>
        <w:t>6. Vehicle-Class Settlement Tracks. Annex 59-B shall maintain explicit settlement coverage for: Class I, passenger vehicles, sport-utility vehicles, and vans; Class II, pickup trucks and other light trucks; Class III, medium-duty vehicles and chassis; Class IV, heavy-duty vehicles and chassis; Class V, buses and qualifying specialized commercial vehicles; and Class VI, covered automotive parts and strategic components. Class-specific technical requirements, origin thresholds, transition periods, or effective-rate parameters may differ only where expressly scheduled and objectively justified.</w:t>
      </w:r>
    </w:p>
    <w:p>
      <w:pPr>
        <w:pStyle w:val="Normal"/>
      </w:pPr>
      <w:r>
        <w:t>7. Included-First Rule. Every Class I through VI good expressly listed by tariff classification or functional description in Annex 59-B is eligible for the Automotive Settlement architecture unless a specific schedule expressly establishes technically justified class-specific treatment. Silence, negative-space drafting, commercial nomenclature, or a change in production location shall not create an exclusion.</w:t>
      </w:r>
    </w:p>
    <w:p>
      <w:pPr>
        <w:pStyle w:val="Normal"/>
      </w:pPr>
      <w:r>
        <w:t>8. Classification-Dispute Continuity. Where the Parties dispute whether a covered or newly configured vehicle falls within two settlement classes, the importing Party shall, pending expedited Cothrom classification review, apply the less restrictive of the two otherwise applicable settlement treatments if the good would clearly qualify under one of them. This temporary rule does not prejudge final classification and may be reconciled prospectively after determination.</w:t>
      </w:r>
    </w:p>
    <w:p>
      <w:pPr>
        <w:pStyle w:val="Heading2"/>
      </w:pPr>
      <w:bookmarkStart w:id="901932" w:name="_Toc300001931"/>
      <w:r>
        <w:t>Article 59.23: Automotive Platform and Model-Family Content Banking</w:t>
      </w:r>
      <w:bookmarkEnd w:id="901932"/>
    </w:p>
    <w:p>
      <w:pPr>
        <w:pStyle w:val="Normal"/>
      </w:pPr>
      <w:r>
        <w:t>1. An implementing schedule may permit a producer to average or bank verified excess North American origin performance across closely related vehicle platforms, model families, or model years where the method reflects real common sourcing and does not defeat a mandatory origin requirement.</w:t>
      </w:r>
    </w:p>
    <w:p>
      <w:pPr>
        <w:pStyle w:val="Normal"/>
      </w:pPr>
      <w:r>
        <w:t>2. Banking shall be capped, time-limited, auditable, and unavailable for sale to unrelated producers. Credits may not be created by paper transfers, artificial model fragmentation, double counting, or shifting production solely to manufacture compliance credits.</w:t>
      </w:r>
    </w:p>
    <w:p>
      <w:pPr>
        <w:pStyle w:val="Normal"/>
      </w:pPr>
      <w:r>
        <w:t>3. The method shall preserve the equal status of Canadian, Mexican, and United States originating content and shall not create a de facto Party-specific production quota.</w:t>
      </w:r>
    </w:p>
    <w:p>
      <w:pPr>
        <w:pStyle w:val="Heading2"/>
      </w:pPr>
      <w:bookmarkStart w:id="901933" w:name="_Toc300001932"/>
      <w:r>
        <w:t>Article 59.24: Automotive Qualification Commons and Shared Failure Analysis</w:t>
      </w:r>
      <w:bookmarkEnd w:id="901933"/>
    </w:p>
    <w:p>
      <w:pPr>
        <w:pStyle w:val="Normal"/>
      </w:pPr>
      <w:r>
        <w:t>1. The Parties shall facilitate shared or mutually recognized accredited facilities for materials testing, component qualification, failure analysis, cybersecurity validation, battery testing, semiconductor qualification, and other expensive supplier-entry requirements.</w:t>
      </w:r>
    </w:p>
    <w:p>
      <w:pPr>
        <w:pStyle w:val="Normal"/>
      </w:pPr>
      <w:r>
        <w:t>2. An accepted result should be portable among participating programs where the tested requirement and assurance level are equivalent. A purchaser or regulator may require additional testing based on particularized technical, safety, security, or quality evidence.</w:t>
      </w:r>
    </w:p>
    <w:p>
      <w:pPr>
        <w:pStyle w:val="Normal"/>
      </w:pPr>
      <w:r>
        <w:t>3. SMEs and second-source suppliers should receive transparent access conditions and may receive lawful cost-sharing or technical assistance without a guaranteed commercial award.</w:t>
      </w:r>
    </w:p>
    <w:p>
      <w:pPr>
        <w:pStyle w:val="Heading2"/>
      </w:pPr>
      <w:bookmarkStart w:id="901934" w:name="_Toc300001933"/>
      <w:r>
        <w:t>Article 59.25: Investment-Linked Transitional Tariff Credit</w:t>
      </w:r>
      <w:bookmarkEnd w:id="901934"/>
    </w:p>
    <w:p>
      <w:pPr>
        <w:pStyle w:val="Normal"/>
      </w:pPr>
      <w:r>
        <w:t>1. Where an automotive good lawfully enters under a temporary tariff settlement rather than ordinary duty-free treatment, an implementing schedule may permit a bounded portion of paid transitional duties to be credited against verified additional North American capital investment, supplier qualification, tooling, workforce, or strategic-component capacity completed within the specified period.</w:t>
      </w:r>
    </w:p>
    <w:p>
      <w:pPr>
        <w:pStyle w:val="Normal"/>
      </w:pPr>
      <w:r>
        <w:t>2. Credits shall be earned only after performance, shall not exceed the schedule's cap, shall not produce a negative tariff, and shall not be available for investment that would have occurred in the ordinary course absent the program.</w:t>
      </w:r>
    </w:p>
    <w:p>
      <w:pPr>
        <w:pStyle w:val="Normal"/>
      </w:pPr>
      <w:r>
        <w:t>3. Relocation of substantially equivalent existing production from one Party to another does not qualify unless the Commission finds a net continental capacity, resilience, technology, or employment gain sufficient to satisfy Article 59.22's Continental Additionality Test.</w:t>
      </w:r>
    </w:p>
    <w:p>
      <w:pPr>
        <w:pStyle w:val="Normal"/>
      </w:pPr>
      <w:r>
        <w:t>4. Nothing in this Article reduces ordinary duty-free treatment for a good that already qualifies under Chapter 4.</w:t>
      </w:r>
    </w:p>
    <w:p>
      <w:pPr>
        <w:pStyle w:val="Heading2"/>
      </w:pPr>
      <w:bookmarkStart w:id="901935" w:name="_Toc300001934"/>
      <w:r>
        <w:t>ANNEX 59-A: AUTOMOTIVE ENHANCED-TIER IMPLEMENTATION FRAMEWORK</w:t>
      </w:r>
      <w:bookmarkEnd w:id="901935"/>
    </w:p>
    <w:p>
      <w:pPr>
        <w:pStyle w:val="Heading3"/>
      </w:pPr>
      <w:r>
        <w:t>Part 1: Qualification Design</w:t>
      </w:r>
    </w:p>
    <w:p>
      <w:pPr>
        <w:pStyle w:val="Normal"/>
      </w:pPr>
      <w:r>
        <w:t>1. Numerical thresholds for Enhanced and Strategic status shall be adopted only after modelling across passenger vehicles, light trucks, heavy vehicles, internal-combustion, hybrid, battery-electric, fuel-cell, and other materially distinct platforms, with separate analysis of OEMs and Tier-1, Tier-2, and Tier-3 suppliers.</w:t>
      </w:r>
    </w:p>
    <w:p>
      <w:pPr>
        <w:pStyle w:val="Normal"/>
      </w:pPr>
      <w:r>
        <w:t>2. Modelling shall test utilization, compliance cost, sourcing response, investment effects, consumer-price effects, employment effects, regional distribution, and the risk of shifting otherwise North American production outside the Agreement.</w:t>
      </w:r>
    </w:p>
    <w:p>
      <w:pPr>
        <w:pStyle w:val="Normal"/>
      </w:pPr>
      <w:r>
        <w:t>3. Qualification design shall avoid a cliff in which a minor shortfall destroys the commercial value of substantial verified North American integration.</w:t>
      </w:r>
    </w:p>
    <w:p>
      <w:pPr>
        <w:pStyle w:val="Heading3"/>
      </w:pPr>
      <w:r>
        <w:t>Part 2: Strategic Component Governance</w:t>
      </w:r>
    </w:p>
    <w:p>
      <w:pPr>
        <w:pStyle w:val="Normal"/>
      </w:pPr>
      <w:r>
        <w:t>1. The Committee on Rules of Origin, in consultation with the Economic Security and Supply Chain Resilience Subcommittee and relevant technical committees, shall administer the Strategic Component Points System using Article 34.A.</w:t>
      </w:r>
    </w:p>
    <w:p>
      <w:pPr>
        <w:pStyle w:val="Normal"/>
      </w:pPr>
      <w:r>
        <w:t>2. Proposed categories and weights shall be published for comment for not less than 30 days and supported by a concise evidence statement.</w:t>
      </w:r>
    </w:p>
    <w:p>
      <w:pPr>
        <w:pStyle w:val="Normal"/>
      </w:pPr>
      <w:r>
        <w:t>3. The system shall be reviewed on a rolling 24-month technical horizon. A missed review does not delete, suspend, or expire an existing category or qualification.</w:t>
      </w:r>
    </w:p>
    <w:p>
      <w:pPr>
        <w:pStyle w:val="Heading3"/>
      </w:pPr>
      <w:r>
        <w:t>Part 3: Enhanced-Tier Commercial Carrots</w:t>
      </w:r>
    </w:p>
    <w:p>
      <w:pPr>
        <w:pStyle w:val="Normal"/>
      </w:pPr>
      <w:r>
        <w:t>1. The Parties shall prioritize carrots that reduce recurring commercial friction: fewer duplicative audits; reusable verified data; longer validity for stable certifications; coordinated inspection; faster advance rulings; trusted-corridor eligibility; supplier matching; shared testing; and access to voluntary demonstrations.</w:t>
      </w:r>
    </w:p>
    <w:p>
      <w:pPr>
        <w:pStyle w:val="Normal"/>
      </w:pPr>
      <w:r>
        <w:t>2. Each Party may independently provide lawful domestic tax, depreciation, financing, procurement, or investment incentives. This Annex does not harmonize tax rates, mandate subsidies, or create a right to public funding.</w:t>
      </w:r>
    </w:p>
    <w:p>
      <w:pPr>
        <w:pStyle w:val="Normal"/>
      </w:pPr>
      <w:r>
        <w:t>3. Duty drawback for exported goods, where available under a Party’s law and consistent with this Agreement, may be coordinated to avoid unnecessary differences in documentation.</w:t>
      </w:r>
    </w:p>
    <w:p>
      <w:pPr>
        <w:pStyle w:val="Heading3"/>
      </w:pPr>
      <w:r>
        <w:t>Part 4: Capacity-Gap Evidence Standard</w:t>
      </w:r>
    </w:p>
    <w:p>
      <w:pPr>
        <w:pStyle w:val="Normal"/>
      </w:pPr>
      <w:r>
        <w:t>1. An applicant shall identify the input, technical specification, required quantity, delivery window, qualification requirements, and reasonable sourcing efforts undertaken.</w:t>
      </w:r>
    </w:p>
    <w:p>
      <w:pPr>
        <w:pStyle w:val="Normal"/>
      </w:pPr>
      <w:r>
        <w:t>2. Authorities shall consider verified supplier responses and may reject a claimed gap where a qualified North American supplier can meet commercially reasonable requirements.</w:t>
      </w:r>
    </w:p>
    <w:p>
      <w:pPr>
        <w:pStyle w:val="Normal"/>
      </w:pPr>
      <w:r>
        <w:t>3. Authorities shall distinguish ordinary price competition from scarcity. A higher North American price alone does not establish a gap, but an extreme scarcity premium may be considered with other evidence.</w:t>
      </w:r>
    </w:p>
    <w:p>
      <w:pPr>
        <w:pStyle w:val="Normal"/>
      </w:pPr>
      <w:r>
        <w:t>4. Confidential firm information shall be protected; public notices may describe the opportunity using ranges or technical requirements sufficient for supplier response without revealing protected data.</w:t>
      </w:r>
    </w:p>
    <w:p>
      <w:pPr>
        <w:pStyle w:val="Heading3"/>
      </w:pPr>
      <w:r>
        <w:t>Part 5: Digital and SME Implementation</w:t>
      </w:r>
    </w:p>
    <w:p>
      <w:pPr>
        <w:pStyle w:val="Normal"/>
      </w:pPr>
      <w:r>
        <w:t>1. Automotive digital systems shall use interoperable schemas, role-based access, auditable credentials, and technology-neutral tamper-evidence. No provision requires blockchain.</w:t>
      </w:r>
    </w:p>
    <w:p>
      <w:pPr>
        <w:pStyle w:val="Normal"/>
      </w:pPr>
      <w:r>
        <w:t>2. SMEs shall have access to plain-language guidance, model forms, assisted filing, free or low-cost validation tools, and the Single SME Compliance Gateway under Article 4.A.6.</w:t>
      </w:r>
    </w:p>
    <w:p>
      <w:pPr>
        <w:pStyle w:val="Normal"/>
      </w:pPr>
      <w:r>
        <w:t>3. Data collection shall follow data-minimization principles and shall not require a supplier to expose its complete bill of materials where a verified aggregate, attestation, or component-family method can establish the relevant fact.</w:t>
      </w:r>
    </w:p>
    <w:p>
      <w:pPr>
        <w:pStyle w:val="Heading3"/>
      </w:pPr>
      <w:r>
        <w:t>Part 6: Initial Voluntary Cooperation Portfolio</w:t>
      </w:r>
    </w:p>
    <w:p>
      <w:pPr>
        <w:pStyle w:val="Normal"/>
      </w:pPr>
      <w:r>
        <w:t>1. Subject to available resources and domestic authority, the Parties may pursue: shared automotive innovation labs; vehicle cybersecurity projects; environmental-impact monitoring; cross-border logistics hubs; EV retrofit and repair research; alternative-fuel research; vehicle telematics safety projects; anti-theft cooperation; repair and diagnostics applications; smart-manufacturing robotics; green-finance information exchange; emerging-technology training; sustainable automotive materials research; and common AI-related automotive standards.</w:t>
      </w:r>
    </w:p>
    <w:p>
      <w:pPr>
        <w:pStyle w:val="Normal"/>
      </w:pPr>
      <w:r>
        <w:t>2. Cooperation under this Part is voluntary and precompetitive unless a separate instrument expressly provides otherwise. Participation or non-participation does not alter ordinary originating status.</w:t>
      </w:r>
    </w:p>
    <w:p>
      <w:pPr>
        <w:pStyle w:val="Normal"/>
      </w:pPr>
      <w:r>
        <w:t>3. Joint branding or promotional campaigns, where undertaken, shall describe North American production accurately and shall not imply government endorsement of a particular private firm.</w:t>
      </w:r>
    </w:p>
    <w:p>
      <w:pPr>
        <w:pStyle w:val="Heading3"/>
      </w:pPr>
      <w:r>
        <w:t>Part 7: Failure Tests</w:t>
      </w:r>
    </w:p>
    <w:p>
      <w:pPr>
        <w:pStyle w:val="Normal"/>
      </w:pPr>
      <w:r>
        <w:t>Before a major automotive mechanism becomes operational, the responsible body shall test whether it: (a) creates an army of accountants disproportionate to the benefit; (b) disadvantages SMEs; (c) becomes a disguised Party-specific quota; (d) rewards superficial processing; (e) creates a new single point of digital failure; (f) requires disclosure of unnecessary confidential information; (g) unintentionally penalizes legitimate Mexican, Canadian, or United States comparative advantage; (h) conflicts with existing CUSMA chapters; or (i) produces administrative cost exceeding the expected resilience or trade benefit. A mechanism failing a material test shall be simplified, narrowed, piloted, or returned for redesign before general application.</w:t>
      </w:r>
    </w:p>
    <w:p>
      <w:pPr>
        <w:pStyle w:val="Heading2"/>
      </w:pPr>
      <w:bookmarkStart w:id="901936" w:name="_Toc300001935"/>
      <w:r>
        <w:t>Article 59.5A: North American Automotive Settlement Rate and Earned Integration Credits</w:t>
      </w:r>
      <w:bookmarkEnd w:id="901936"/>
    </w:p>
    <w:p>
      <w:pPr>
        <w:pStyle w:val="Normal"/>
      </w:pPr>
      <w:r>
        <w:t>1. Reference Headline Rate. For purposes of the Automotive Settlement Schedule established by this Article, 13.8 percent is a Reference Model available for formal selection for covered automotive goods within the Schedule's adopted scope. The 13.8 percent Reference Model is non-operative unless selected as the Selected Settlement Model and adopted as the Adopted Headline Rate through legally sufficient authority recorded in Annex 59-C. Selection of an Adopted Headline Rate does not alter duty-free preferential treatment otherwise available to originating goods under this Agreement.</w:t>
      </w:r>
    </w:p>
    <w:p>
      <w:pPr>
        <w:pStyle w:val="Normal"/>
      </w:pPr>
      <w:r>
        <w:t>2. Scope and Non-Derogation. The Automotive Settlement Schedule applies only to covered automotive goods expressly identified in Annex 59-B. Nothing in this Article converts originating Canadian, Mexican, or United States content into non-originating content, diminishes ordinary CUSMA origin, or authorizes a Party-specific content floor.</w:t>
      </w:r>
    </w:p>
    <w:p>
      <w:pPr>
        <w:pStyle w:val="Normal"/>
      </w:pPr>
      <w:r>
        <w:t>3. North American Origin Credit. Where a covered good is subject to an Adopted Headline Rate under the Automotive Settlement Schedule, verified originating content of Canada, Mexico, and the United States each receives credit equal to 100 percent of verified eligible originating value for baseline settlement calculations under Annex 4-E. Verified non-originating content receives no North American origin credit. Nothing in this paragraph prevents a Party from providing separate, bounded, performance-based localization incentives under paragraphs 5 through 5F, provided those incentives do not reclassify, discount, or otherwise diminish originating content of another Party.</w:t>
      </w:r>
    </w:p>
    <w:p>
      <w:pPr>
        <w:pStyle w:val="Normal"/>
      </w:pPr>
      <w:r>
        <w:t>4. No Second-Class North American Content. Canadian, Mexican, and United States originating content has equal status for regional origin, ordinary preferential treatment, and the baseline settlement calculation. A Party may reward genuinely additional domestic economic activity through the separate Industrial Expansion mechanism, but shall not accomplish that result by assigning a lower nationality coefficient to another Party's originating content.</w:t>
      </w:r>
    </w:p>
    <w:p>
      <w:pPr>
        <w:pStyle w:val="Normal"/>
      </w:pPr>
      <w:r>
        <w:t>4A. North American Content Equality Principle. Once content has been verified as originating under Chapter 4, its status as Canadian, Mexican, or United States content shall not reduce its originating value for regional-value calculations, ordinary preferential treatment, deductions of non-originating value, or baseline settlement treatment. Party-specific incentives shall operate only as additional earned benefits for objectively verified incremental activity and shall not convert the North American origin layer into a Party-specific sourcing quota.</w:t>
      </w:r>
    </w:p>
    <w:p>
      <w:pPr>
        <w:pStyle w:val="Normal"/>
      </w:pPr>
      <w:r>
        <w:t>5. Industrial Expansion and Earned Automotive Integration Credits. In addition to the equal North American origin credit in paragraph 3, the importing Party may establish an Industrial Expansion Tier rewarding objectively verified incremental domestic activity. Eligible activity may include new or expanded assembly; net-new automotive employment; battery, semiconductor, power-electronics, motor, inverter, engine, drivetrain, advanced steel, aluminum, tooling, die, machine-tool, software, vehicle-control, research, testing, or strategic-component capacity; qualification of domestic SME suppliers replacing non-North-American inputs; brownfield reactivation; workforce and apprenticeship programs; and other measurable capacity additions consistent with this Article.</w:t>
      </w:r>
    </w:p>
    <w:p>
      <w:pPr>
        <w:pStyle w:val="Normal"/>
      </w:pPr>
      <w:r>
        <w:t>5A. American Industrial Expansion Tier. For goods imported into the United States, the United States may designate a premium American Industrial Expansion Tier providing additional bounded settlement benefits for verified increases in United States production, employment, strategic-component capacity, tooling, research and development, supplier qualification, or other qualifying activity. The Tier is an investment and localization incentive and is not a rule of origin. Canada and Mexico may establish equivalent Canadian and Mexican Industrial Expansion Tiers for imports into their respective markets under the same treaty disciplines.</w:t>
      </w:r>
    </w:p>
    <w:p>
      <w:pPr>
        <w:pStyle w:val="Normal"/>
      </w:pPr>
      <w:r>
        <w:t>5B. United States Auto Repatriation Supercredit. A United States implementing schedule may provide an enhanced credit for production, tooling, strategic-component capacity, or a substantially complete model program moved into the United States from outside North America, or for dormant United States capacity restored to commercial production. A comparable enhanced credit may be established by Canada or Mexico for qualifying repatriation into its territory. The amount and relative premium of an enhanced credit apply only as specified in an adopted Annex 59-C earned-benefit row supported by Specific Independent Benefit Legal Authority, and do not arise merely from designation as repatriated activity.</w:t>
      </w:r>
    </w:p>
    <w:p>
      <w:pPr>
        <w:pStyle w:val="Normal"/>
      </w:pPr>
      <w:r>
        <w:t>5C. No North American Cannibalization Rule. Relocation of substantially equivalent existing production, employment, tooling, or supplier capacity from one Party to another shall not, by itself, earn the highest Industrial Expansion benefit. Full credit requires a demonstrated net gain in North American capacity, technology, resilience, productivity, strategic-component security, or employment, or a demonstrated reduction in dependence on non-North-American supply. An implementing schedule may provide only reduced credit for an intra-North-American relocation where a verified continental benefit nevertheless exists.</w:t>
      </w:r>
    </w:p>
    <w:p>
      <w:pPr>
        <w:pStyle w:val="Normal"/>
      </w:pPr>
      <w:r>
        <w:t>5D. Strategic Components Bonus. An Industrial Expansion Tier may award graduated additional benefits for verified domestic production or expansion of engines and powertrains; batteries and battery materials; automotive semiconductors and electronics; motors and inverters; advanced steel and aluminum; vehicle-control, autonomous, cybersecurity, or safety-critical systems; and other strategic components designated by consensus. Benefits shall increase with objectively verified additionality and shall not require that another Party's originating component be treated as non-originating.</w:t>
      </w:r>
    </w:p>
    <w:p>
      <w:pPr>
        <w:pStyle w:val="Normal"/>
      </w:pPr>
      <w:r>
        <w:t>5E. Portfolio-Level American Economic Contribution Target. A United States implementing schedule may use a voluntary premium-tier target expressed as a percentage of American Economic Contribution across an automaker's qualifying portfolio. The metric may combine, under a transparent anti-double-counting formula, verified United States originating content with incremental United States assembly, employment, strategic-component production, tooling, research and development, supplier reshoring, and production repatriated from outside North America. A target of 50 percent remains an optional premium-tier Reference Model and has no operative effect unless selected in an adopted Annex 59-C earned-benefit row supported by Specific Independent Benefit Legal Authority; failure to meet that target does not defeat North American originating status or ordinary preferential treatment. Canada and Mexico may use equivalent portfolio-level contribution targets in their own markets subject to the same selection and authority discipline.</w:t>
      </w:r>
    </w:p>
    <w:p>
      <w:pPr>
        <w:pStyle w:val="Normal"/>
      </w:pPr>
      <w:r>
        <w:t>5F. North American Capacity Growth Test. The strongest Industrial Expansion benefits shall be reserved for activity that increases total North American capacity in the relevant category, restores dormant capacity, creates a new production line or model family, remedies a verified strategic shortage, or displaces non-North-American imports. The Commission shall publish a methodology preventing double counting and distinguishing genuine expansion from geographic reshuffling of existing continental production.</w:t>
      </w:r>
    </w:p>
    <w:p>
      <w:pPr>
        <w:pStyle w:val="Normal"/>
      </w:pPr>
      <w:r>
        <w:t>6. Commercial Reality Requirement. An earned credit shall arise only from completed or objectively verifiable performance. Announcements, memoranda of understanding without material performance, circular financing, related-party paper transactions, superficial processing, relabeling, or expenditure already counted for another identical credit shall not qualify. Multi-year projects may receive milestone credit only for independently verifiable completed milestones.</w:t>
      </w:r>
    </w:p>
    <w:p>
      <w:pPr>
        <w:pStyle w:val="Normal"/>
      </w:pPr>
      <w:r>
        <w:t>7. Bounded Effective Rate. An adopted Automotive Settlement Schedule identifies the Initial Effective-Rate Floor, any Permitted Administrative Adjustment Band, the objective Adjustment Criteria, and the Maximum Administrative Movement authorized without substantive amendment. A 5 to 7.5 percent floor range may be used for non-operative modelling across representative vehicle platforms before adoption, but no point in that range acquires legal effect merely because it has been modelled or published. Selection or adjustment of an operative floor requires the authority and schedule record specified in Annex 59-C and analysis of consumer prices, employment, investment, preference utilization, regional distribution, and circumvention risk.</w:t>
      </w:r>
    </w:p>
    <w:p>
      <w:pPr>
        <w:pStyle w:val="Normal"/>
      </w:pPr>
      <w:r>
        <w:t>8. No Cliff; No Double Counting. Credits shall operate on a graduated basis and shall not create a cliff under which a minor shortfall destroys the commercial value of substantial verified integration. The same value, expenditure, employment event, component, or investment milestone may not be counted twice toward the same tariff reduction unless the implementing schedule expressly identifies distinct, non-overlapping policy functions.</w:t>
      </w:r>
    </w:p>
    <w:p>
      <w:pPr>
        <w:pStyle w:val="Normal"/>
      </w:pPr>
      <w:r>
        <w:t>9. Anti-Circumvention and Verification. Chapter 5, Annex 4-E, Chapter 35, Chapter 46, and Articles 59.3 and 59.4 govern verification. Authorities shall use risk-based audits, advance rulings, component-family methodologies, protected aggregate data, and good-faith cure where appropriate. Intentional transshipment, falsified provenance, artificial transfer pricing, shell investment, or material misrepresentation may result in denial or recovery of the affected credit and proportionate penalties.</w:t>
      </w:r>
    </w:p>
    <w:p>
      <w:pPr>
        <w:pStyle w:val="Normal"/>
      </w:pPr>
      <w:r>
        <w:t>10. Cothrom Stabilization and Cure. A disputed credit shall not automatically suspend the Automotive Settlement Schedule for unrelated producers, models, components, or Parties. The reviewing authority shall isolate the disputed value, permit cure where appropriate, and use the narrowest sufficient remedy. Earn-back shall be available after verified remediation.</w:t>
      </w:r>
    </w:p>
    <w:p>
      <w:pPr>
        <w:pStyle w:val="Normal"/>
      </w:pPr>
      <w:r>
        <w:t>11. Simultaneous Implementation. Where the Automotive Settlement Schedule forms part of a reciprocal tariff stand-down, the relevant tariff reduction, suspension of discriminatory retaliatory automotive measures, and any agreed implementing credits shall take effect at the same specified hour unless the Parties jointly agree otherwise.</w:t>
      </w:r>
    </w:p>
    <w:p>
      <w:pPr>
        <w:pStyle w:val="Normal"/>
      </w:pPr>
      <w:r>
        <w:t>12. Review and Adjustment. The Commission reviews the Schedule after 12 months and thereafter on a rolling 24-month horizon. Review may support adjustment of coefficients, eligible-credit caps, evidentiary rules, or the effective-rate floor only within the Permitted Administrative Adjustment Band, objective Adjustment Criteria, and Maximum Administrative Movement recorded in the adopted Annex 59-C schedule and supported by the controlling authority. Movement outside that adopted envelope, or a change to the Adopted Headline Rate, requires the amendment or adoption procedure applicable to the substantive commitment being changed.</w:t>
      </w:r>
    </w:p>
    <w:p>
      <w:pPr>
        <w:pStyle w:val="Normal"/>
      </w:pPr>
      <w:r>
        <w:t>13. Alternative Schedules. The Parties may circulate or negotiate 10 percent, 13.8 percent, 15 percent, or other headline Reference Models using the same valuation, verification, non-discrimination, earned-credit, and Cothrom architecture. A Reference Model does not alter existing treatment or become a Selected Settlement Model merely because it is circulated, modelled, negotiated, or reproduced in this Agreement. Only a formally selected model and Adopted Headline Rate recorded under Annex 59-C through legally sufficient authority acquires operative settlement effect.</w:t>
      </w:r>
    </w:p>
    <w:p>
      <w:pPr>
        <w:pStyle w:val="Heading2"/>
      </w:pPr>
      <w:bookmarkStart w:id="901937" w:name="_Toc300001936"/>
      <w:r>
        <w:t>ANNEX 59-B: AUTOMOTIVE SETTLEMENT AND INCENTIVE BACKLOG FRAMEWORK</w:t>
      </w:r>
      <w:bookmarkEnd w:id="901937"/>
    </w:p>
    <w:p>
      <w:pPr>
        <w:pStyle w:val="Heading3"/>
      </w:pPr>
      <w:r>
        <w:t>Part 1: Purpose</w:t>
      </w:r>
    </w:p>
    <w:p>
      <w:pPr>
        <w:pStyle w:val="Normal"/>
      </w:pPr>
      <w:r>
        <w:t>1. This Annex converts the automotive candidate backlog into a disciplined menu of optional, measurable commercial carrots. It is intended to create visible wins for all three Parties while preserving integrated North American production and avoiding mandatory Party-specific sourcing quotas.</w:t>
      </w:r>
    </w:p>
    <w:p>
      <w:pPr>
        <w:pStyle w:val="Normal"/>
      </w:pPr>
      <w:r>
        <w:t>2. The backlog is not self-executing. A listed concept becomes an eligible program or earned-credit category only when the treaty-level or other adoption authority required for that legal effect is lawfully supplied and, where domestic implementation is also required, the applicable domestic measure is in force. Domestic implementation does not substitute for missing treaty-level authority, and an implementing schedule does not manufacture substantive authority that its controlling source does not provide.</w:t>
      </w:r>
    </w:p>
    <w:p>
      <w:pPr>
        <w:pStyle w:val="Normal"/>
      </w:pPr>
      <w:r>
        <w:t>Part 1A: Covered Automotive Goods and Vehicle Classes</w:t>
      </w:r>
    </w:p>
    <w:p>
      <w:pPr>
        <w:pStyle w:val="Normal"/>
      </w:pPr>
      <w:r>
        <w:t>1. The Automotive Settlement Schedule covers the following classes when the applicable good is identified by an implementing tariff-line schedule, tariff-heading range, or agreed functional description: Class I - passenger vehicles, sport-utility vehicles, and vans; Class II - pickup trucks and other light trucks; Class III - medium-duty vehicles and chassis; Class IV - heavy-duty vehicles and chassis; Class V - buses and qualifying specialized commercial vehicles; and Class VI - covered automotive parts and strategic components.</w:t>
      </w:r>
    </w:p>
    <w:p>
      <w:pPr>
        <w:pStyle w:val="Normal"/>
      </w:pPr>
      <w:r>
        <w:t>2. The implementing tariff-line schedule shall be comprehensive enough to prevent a generally negotiated automotive settlement from being narrowed through omission of a commercially significant vehicle class. The Parties shall attach the relevant Harmonized System classifications and any necessary class notes before the Settlement Schedule enters into force.</w:t>
      </w:r>
    </w:p>
    <w:p>
      <w:pPr>
        <w:pStyle w:val="Normal"/>
      </w:pPr>
      <w:r>
        <w:t>3. Unless an adopted Annex 59-C schedule expressly provides otherwise for an objectively justified technical reason, Classes I through VI are included within the adopted Selected Settlement Model. A class-specific schedule may vary technical rules, transition periods, or effective-rate parameters only within the authority and adjustment envelope applicable to that adopted model. No class is excluded merely because its production is concentrated in Canada, Mexico, or the United States.</w:t>
      </w:r>
    </w:p>
    <w:p>
      <w:pPr>
        <w:pStyle w:val="Normal"/>
      </w:pPr>
      <w:r>
        <w:t>4. New propulsion systems, body configurations, chassis designs, or commercial labels shall be classified according to their functional and economic character. A classification uncertainty shall be handled under Article 59.22A(8) and shall not interrupt established commercial treatment while expedited review is pending.</w:t>
      </w:r>
    </w:p>
    <w:p>
      <w:pPr>
        <w:pStyle w:val="Normal"/>
      </w:pPr>
      <w:r>
        <w:t>Part 1B: Industrial Expansion Tiers</w:t>
      </w:r>
    </w:p>
    <w:p>
      <w:pPr>
        <w:pStyle w:val="Normal"/>
      </w:pPr>
      <w:r>
        <w:t>1. The United States may establish an American Industrial Expansion Tier; Canada may establish a Canadian Industrial Expansion Tier; and Mexico may establish a Mexican Industrial Expansion Tier. Each Tier shall reward incremental activity within the importing Party while preserving equal North American origin status.</w:t>
      </w:r>
    </w:p>
    <w:p>
      <w:pPr>
        <w:pStyle w:val="Normal"/>
      </w:pPr>
      <w:r>
        <w:t>2. A Tier may use graduated benefits for net-new assembly, employment, strategic components, tooling, research and development, supplier onboarding, brownfield reactivation, dormant-capacity restoration, or repatriation from outside North America. The schedule shall identify caps, evidence, duration, reconciliation, and anti-double-counting rules.</w:t>
      </w:r>
    </w:p>
    <w:p>
      <w:pPr>
        <w:pStyle w:val="Normal"/>
      </w:pPr>
      <w:r>
        <w:t>3. Repatriation from outside North America and genuinely new capacity may receive a supercredit. Transfer of substantially equivalent production from another Party receives no supercredit and shall receive the highest ordinary expansion credit only if the North American Capacity Growth Test is independently satisfied.</w:t>
      </w:r>
    </w:p>
    <w:p>
      <w:pPr>
        <w:pStyle w:val="Normal"/>
      </w:pPr>
      <w:r>
        <w:t>4. A United States schedule may test a 50 percent American Economic Contribution premium benchmark calculated across a qualifying producer portfolio. Physical United States content may be combined with verified incremental United States economic contribution, but the formula shall not discount Canadian or Mexican originating content or convert the benchmark into a condition of North American origin. The 50 percent benchmark remains a non-operative candidate unless selected in an adopted Annex 59-C earned-benefit row supported by Specific Independent Benefit Legal Authority.</w:t>
      </w:r>
    </w:p>
    <w:p>
      <w:pPr>
        <w:pStyle w:val="Normal"/>
      </w:pPr>
      <w:r>
        <w:t>5. The Parties shall publish worked examples for representative passenger, pickup/light-truck, medium-duty, heavy-duty, and strategic-component cases before activation so that producers can distinguish origin qualification, baseline settlement credit, Industrial Expansion credit, and any portfolio-level premium.</w:t>
      </w:r>
    </w:p>
    <w:p>
      <w:pPr>
        <w:pStyle w:val="Heading3"/>
      </w:pPr>
      <w:r>
        <w:t>Part 2: Priority Carrot Families</w:t>
      </w:r>
    </w:p>
    <w:p>
      <w:pPr>
        <w:pStyle w:val="Normal"/>
      </w:pPr>
      <w:r>
        <w:t>1. Production and Investment. Priority candidates include investment-ready sites; brownfield conversion; plant reactivation; additional production shifts; supplier co-location; supplier-diversity and second-source development; capacity matching; permitting navigation; tooling support; and objective investment-stability mechanisms.</w:t>
      </w:r>
    </w:p>
    <w:p>
      <w:pPr>
        <w:pStyle w:val="Normal"/>
      </w:pPr>
      <w:r>
        <w:t>2. Batteries and Critical Materials. Priority candidates include interoperable battery provenance and warranty credentials; critical-mineral pooling and processing; battery recycling and second-life systems; cathode, anode, cell, pack, and power-electronics capacity; recovered-material credits; strategic reserves; and safe cross-border battery logistics.</w:t>
      </w:r>
    </w:p>
    <w:p>
      <w:pPr>
        <w:pStyle w:val="Normal"/>
      </w:pPr>
      <w:r>
        <w:t>3. Semiconductors, Software, and Electronics. Priority candidates include automotive-grade semiconductor fabrication, packaging, testing, strategic stockpiles, chiplet and component interoperability, cybersecurity mutual recognition, open diagnostic interfaces, digital-twin standards, shared testbeds, and precompetitive software or data initiatives.</w:t>
      </w:r>
    </w:p>
    <w:p>
      <w:pPr>
        <w:pStyle w:val="Normal"/>
      </w:pPr>
      <w:r>
        <w:t>4. Supply Chain, Border, and Logistics. Priority candidates include trusted automotive customs lanes; pre-clearance; reusable electronic submissions; virtual in-bond movement; bonded warehousing; rail interchange and autorack improvements; inland ports; border infrastructure; emergency shipment escalation; alternative-route mapping; and resilient inventory financing.</w:t>
      </w:r>
    </w:p>
    <w:p>
      <w:pPr>
        <w:pStyle w:val="Normal"/>
      </w:pPr>
      <w:r>
        <w:t>5. Research, Testing, and Advanced Manufacturing. Priority candidates include shared innovation laboratories; university-industry centers; lightweight and recyclable materials research; battery chemistry; crash and safety data; simulation; robotics; autonomous-system validation; hydrogen and alternative fuels; repair technology; and manufacturing technology transfer.</w:t>
      </w:r>
    </w:p>
    <w:p>
      <w:pPr>
        <w:pStyle w:val="Normal"/>
      </w:pPr>
      <w:r>
        <w:t>6. Workforce and Skills. Priority candidates include trilateral apprenticeships; portable competency credentials; specialist exchanges; robotics and mechatronics retraining; instructor exchanges; shortage-skill micro-credentials; worker-transition support; and lawful temporary mobility pathways.</w:t>
      </w:r>
    </w:p>
    <w:p>
      <w:pPr>
        <w:pStyle w:val="Normal"/>
      </w:pPr>
      <w:r>
        <w:t>7. Circularity, Energy, and Environmental Resilience. Priority candidates include recovered-content incentives; closed-loop water systems; lower-impact steel and aluminum; battery and electronics recycling; zero-waste recognition; grid and charging resilience; factory energy-efficiency investments; and all-hazards continuity measures.</w:t>
      </w:r>
    </w:p>
    <w:p>
      <w:pPr>
        <w:pStyle w:val="Normal"/>
      </w:pPr>
      <w:r>
        <w:t>8. Consumer and Secondary-Market Integration. Priority candidates include cross-border warranty recognition; battery-health credentials; secure digital title and theft-status verification; right-to-repair interoperability; accessible-mobility adaptations; charging roaming; and harmonized safety evidence where outcomes are equivalent.</w:t>
      </w:r>
    </w:p>
    <w:p>
      <w:pPr>
        <w:pStyle w:val="Heading3"/>
      </w:pPr>
      <w:r>
        <w:t>Part 3: Selection Tests</w:t>
      </w:r>
    </w:p>
    <w:p>
      <w:pPr>
        <w:pStyle w:val="Normal"/>
      </w:pPr>
      <w:r>
        <w:t>1. A candidate carrot should be prioritized where it: (a) creates measurable additional North American capacity, employment, productivity, resilience, or trade facilitation; (b) offers a legitimate domestic political or economic benefit to more than one Party; (c) does not require a Party-specific content floor; (d) is administrable without disproportionate accounting burden; (e) can be independently verified; and (f) does not reward superficial processing or paper investment.</w:t>
      </w:r>
    </w:p>
    <w:p>
      <w:pPr>
        <w:pStyle w:val="Normal"/>
      </w:pPr>
      <w:r>
        <w:t>2. High-cost or technically immature concepts may be retained as research, feasibility, demonstration, or future-horizon candidates rather than immediate obligations. Failure of an experimental project after good-faith study or testing does not constitute non-compliance.</w:t>
      </w:r>
    </w:p>
    <w:p>
      <w:pPr>
        <w:pStyle w:val="Normal"/>
      </w:pPr>
      <w:r>
        <w:t>3. The Commission shall favor modular adoption subject to the reciprocity, severability, and adopted-scope rules of Annex 59-C and the Final Settlement Architecture and Adoption Framework. No Party is required to adopt every candidate carrot, and rejection of one legally severable candidate does not affect eligibility for unrelated programs. This paragraph does not authorize unilateral selection among provisions that an adopted instrument treats as an integrated, synchronized, or inseverable bargain.</w:t>
      </w:r>
    </w:p>
    <w:p>
      <w:pPr>
        <w:pStyle w:val="Heading3"/>
      </w:pPr>
      <w:r>
        <w:t>Part 4: Initial High-Value Settlement Portfolio</w:t>
      </w:r>
    </w:p>
    <w:p>
      <w:pPr>
        <w:pStyle w:val="Normal"/>
      </w:pPr>
      <w:r>
        <w:t>1. For the first implementation horizon, the Parties should give priority to a compact portfolio with high negotiating value and comparatively low administrative friction: brownfield plant conversion; additional-shift workforce support; supplier second-source qualification; North American battery and strategic-component investment; automotive semiconductor resilience; critical-mineral processing and recycling; trusted customs superlanes and pre-clearance; rail and border bottleneck removal; interoperable testing and cybersecurity certification; apprenticeship and shortage-skill credentials; and verified circular-material recovery.</w:t>
      </w:r>
    </w:p>
    <w:p>
      <w:pPr>
        <w:pStyle w:val="Normal"/>
      </w:pPr>
      <w:r>
        <w:t>2. The Parties may attach differentiated domestic incentives to these activities, including lawful tax, depreciation, financing, procurement, training, or infrastructure support. Nothing in this Annex harmonizes tax rates, compels a subsidy, guarantees a project location, or authorizes the Commission to allocate production.</w:t>
      </w:r>
    </w:p>
    <w:p>
      <w:pPr>
        <w:pStyle w:val="Normal"/>
      </w:pPr>
      <w:r>
        <w:t>3. Public communications may identify aggregate investment, employment, capacity, sourcing, border-time, resilience, or recycling gains so that each Party can demonstrate concrete benefits from the settlement without mischaracterizing another Party's originating content as foreign leakage.</w:t>
      </w:r>
    </w:p>
    <w:p>
      <w:pPr>
        <w:pStyle w:val="Heading1"/>
      </w:pPr>
      <w:bookmarkStart w:id="901938" w:name="_Toc300001937"/>
      <w:r>
        <w:t>PACKAGE X: AUTOMOTIVE SETTLEMENT AND EARNED-INTEGRATION ARCHITECTURE (v4.3), DEVELOPMENT PROVENANCE AFTER ANNEX 59-C INTEGRATION</w:t>
      </w:r>
      <w:bookmarkEnd w:id="901938"/>
    </w:p>
    <w:p>
      <w:pPr>
        <w:pStyle w:val="Normal"/>
      </w:pPr>
      <w:r>
        <w:t>Package X is retained as development provenance for Article 59.5A and Annex 59-B and does not constitute an independent Final Settlement selection or activation architecture after Annex 59-C integration. Its 10 percent, 13.8 percent, 15 percent, effective-rate-floor, portfolio-contribution, Industrial Expansion, repatriation, and strategic-component concepts remain Reference Models or candidate benefits unless selected and adopted through the applicable Annex 59-C schedule under legally sufficient authority. Article 59.5A remains the substantive source for the automotive settlement concepts, Annex 59-B remains the optional benefit and coverage menu, and Annex 59-C governs Final Settlement selection, authority recording, activation, schedule linkage, adjustment envelopes, anti-double-counting, and closure. Nothing in this provenance note alters ordinary duty-free treatment for qualifying originating goods, equal Canadian, Mexican, and United States originating-content status, existing verification and Cothrom architecture, or another independently operative provision of this Agreement.</w:t>
      </w:r>
    </w:p>
    <w:p>
      <w:pPr>
        <w:pStyle w:val="Heading2"/>
      </w:pPr>
      <w:bookmarkStart w:id="901939" w:name="_Toc300001938"/>
      <w:r>
        <w:t>PACKAGE W: AUTOMOTIVE INTEGRATION, ENHANCED ORIGIN, AND RESILIENCE</w:t>
      </w:r>
      <w:bookmarkEnd w:id="901939"/>
    </w:p>
    <w:p>
      <w:pPr>
        <w:pStyle w:val="Normal"/>
      </w:pPr>
      <w:r>
        <w:t>Chapter 59 and Annex 59-A add a consolidated automotive modernization architecture drawn from the automotive candidate backlog. The package preserves ordinary North American origin while creating voluntary Enhanced and Strategic tiers; a weighted strategic-component system; supplier declarations, advance rulings, and good-faith cure; a controlled non-North-American-value tariff pilot; capacity-gap and Build-the-Gap procedures; investment and nearshoring facilitation; supplier resilience; trusted corridors and virtual in-bond treatment; battery and circular-material lifecycle rules; semiconductor and strategic-electronics resilience; mutual recognition, open interfaces, repair and secondary-market integrity; skills and specialist mobility; precompetitive research; cybersecurity and AI assurance; infrastructure, grid, water, logistics, and environmental resilience; a Cothrom automotive stabilizer; and machine-readable rules with rolling-horizon modernization. The package expressly rejects Party-specific content quotas, mandatory national production allocation, sunset-based expiry of rights, and unreviewable automated compliance decisions.</w:t>
      </w:r>
    </w:p>
    <w:p>
      <w:pPr>
        <w:pStyle w:val="Heading2"/>
      </w:pPr>
      <w:bookmarkStart w:id="901940" w:name="_Toc300001939"/>
      <w:r>
        <w:t>Article 59.26: Automotive Administrative Implementation Standard</w:t>
      </w:r>
      <w:bookmarkEnd w:id="901940"/>
    </w:p>
    <w:p>
      <w:pPr>
        <w:pStyle w:val="Normal"/>
      </w:pPr>
      <w:r>
        <w:t>1. Administration of Articles 59.1 through 59.5A and Annex 59-C follows the Chapter 5 least-burdensome-verification principle. Competent authorities resolve ordinary CUSMA qualification before any alternative settlement calculation where ordinary qualification determines treatment more simply.</w:t>
      </w:r>
    </w:p>
    <w:p>
      <w:pPr>
        <w:pStyle w:val="Normal"/>
      </w:pPr>
      <w:r>
        <w:t>2. The Parties favor advance model-year determinations, component-family methodologies, standardized electronic certification, and annual reconciliation over shipment-by-shipment reconstruction of complex automotive calculations.</w:t>
      </w:r>
    </w:p>
    <w:p>
      <w:pPr>
        <w:pStyle w:val="Normal"/>
      </w:pPr>
      <w:r>
        <w:t>3. Enhanced verification targets the disputed value, component, credit, or origin fact unless credible evidence justifies broader review.</w:t>
      </w:r>
    </w:p>
    <w:p>
      <w:pPr>
        <w:pStyle w:val="Heading1"/>
      </w:pPr>
      <w:bookmarkStart w:id="901941" w:name="_Toc300001940"/>
      <w:r>
        <w:t>ANNEX 59-C: AUTOMOTIVE REGIONAL INTEGRATION AND FINAL SETTLEMENT PROTOCOL</w:t>
      </w:r>
      <w:bookmarkEnd w:id="901941"/>
    </w:p>
    <w:p>
      <w:pPr>
        <w:pStyle w:val="Normal"/>
      </w:pPr>
      <w:r>
        <w:t>Final Settlement Integration Gateway. This Annex is the Final Settlement selection, authority-recording, activation, schedule-linkage, anti-double-counting, adjustment-envelope, restoration, and closure layer for the automotive architecture of this Chapter. Article 59.5A remains the substantive source for the automotive settlement concepts, Annex 59-B remains the optional benefit and coverage menu, ordinary origin remains governed by Chapters 4 and 5, and Package X remains development provenance rather than an independent operative selection architecture.</w:t>
      </w:r>
    </w:p>
    <w:p>
      <w:pPr>
        <w:pStyle w:val="Heading2"/>
      </w:pPr>
      <w:bookmarkStart w:id="901942" w:name="_Toc300001941"/>
      <w:r>
        <w:t>FS-03.1: Purpose, Existing-Law Relationship, and Settlement Selection Rule</w:t>
      </w:r>
      <w:bookmarkEnd w:id="901942"/>
    </w:p>
    <w:p>
      <w:pPr>
        <w:pStyle w:val="Normal"/>
      </w:pPr>
      <w:r>
        <w:t>FS03-A01. Settlement Function. FS-03 operates as the automotive Final Settlement selection and coordination instrument for the existing automotive architecture of this Agreement. It identifies which settlement terms, optional earned benefits, activation conditions, and stand-down commitments the participating Parties actually adopt. It does not replace Chapter 4, Annex 4-E, Chapter 5, Article 49.4, Chapter 59, Annex 59-B, Chapter 35, FS-01, or FS-02. Where FS-03 is silent, the otherwise applicable provisions of this Agreement continue without enlargement, reduction, or implied amendment.</w:t>
      </w:r>
    </w:p>
    <w:p>
      <w:pPr>
        <w:pStyle w:val="Normal"/>
      </w:pPr>
      <w:r>
        <w:t>FS03-A02. Ordinary-Origin Firewall. A vehicle, automotive part, or strategic component that independently qualifies as originating under Chapter 4 retains the ordinary preferential treatment otherwise provided by this Agreement. Failure to satisfy a High Integration threshold, Strategic Integration threshold, Industrial Expansion criterion, portfolio contribution benchmark, settlement-credit criterion, or FS-02 assurance benchmark does not by itself convert an originating good into a non-originating good. Article 59.5A settlement calculations remain distinct from the legal determination of ordinary originating status unless an adopted provision expressly states otherwise. FS-03 does not condition ordinary preferential tariff treatment on participation in an optional settlement or incentive pathway.</w:t>
      </w:r>
    </w:p>
    <w:p>
      <w:pPr>
        <w:pStyle w:val="Normal"/>
      </w:pPr>
      <w:r>
        <w:t>FS03-A03. Regional Content Equality. Originating content verified under Chapter 4 retains equal legal character whether the qualifying content is Canadian, Mexican, or United States content. An Adopted FS-03 Core Settlement Row or Adopted FS-03 Earned-Benefit Row does not assign a lower regional-value coefficient to originating content solely because that content arises in another Party. Party-specific domestic incentives operate only as additional Enhanced Automotive Benefits under independently authorized programs and do not rewrite the North American origin layer. Nothing in FS-03 prevents a Party from rewarding genuinely additional domestic activity where the reward complies with the Agreement and does not function as a disguised Party-specific origin quota.</w:t>
      </w:r>
    </w:p>
    <w:p>
      <w:pPr>
        <w:pStyle w:val="Normal"/>
      </w:pPr>
      <w:r>
        <w:t>FS03-A04. Existing Automotive Machinery First. FS-03 uses existing automotive institutions, classifications, verification pathways, advance rulings, supplier declarations, capacity-gap procedures, strategic-component methods, and administrative standards before creating any additional procedure. The Automotive Committee retains the functions already assigned to it under the Agreement. Chapter 5 and Annex 4-E continue to govern origin verification and automotive valuation to the extent applicable. No FS-03 schedule, certificate, registry, or administrative form creates a second origin status, second supplier-certification regime, or second automotive verification ladder.</w:t>
      </w:r>
    </w:p>
    <w:p>
      <w:pPr>
        <w:pStyle w:val="Normal"/>
      </w:pPr>
      <w:r>
        <w:t>FS03-A05. Non-Self-Executing Options. A reference rate, alternative rate, modelled effective-rate floor, backlog concept, candidate carrot, optional tier, illustrative benchmark, or development proposal has no operative effect merely because it appears in Chapter 59, Annex 59-B, Package X, Package W, or an FS-03 template. Such a term becomes operative only through the adoption procedure and legal authority required by this Agreement and, where the controlling provision requires domestic implementation, the applicable domestic legal measure. Domestic administrative implementation does not create an additional treaty-level activation condition for a right that the controlling provision already makes legally effective. An incomplete, bracketed, blank, illustrative, or negotiating field in Schedule FS-03-A or FS-03-B has no legal effect.</w:t>
      </w:r>
    </w:p>
    <w:p>
      <w:pPr>
        <w:pStyle w:val="Normal"/>
      </w:pPr>
      <w:r>
        <w:t>FS03-A06. Defined Settlement Terms. An “Adopted FS-03 Core Settlement Row” means a completed row of Schedule FS-03-A formally adopted through the procedure required for the selected automotive settlement commitment. An “Adopted FS-03 Earned-Benefit Row” means a completed row of Schedule FS-03-B that identifies an optional Enhanced Automotive Benefit, its Specific Independent Benefit Legal Authority, qualification rule, cap, and verification method. “Ordinary-Origin Treatment” means the preferential treatment independently available to a good that qualifies under Chapter 4 and satisfies any other conditions expressly applicable to that preferential treatment, without reliance on an optional FS-03 settlement credit. “Enhanced Automotive Benefit” means an additional tariff, facilitation, credit, incentive, or other treatment expressly authorized by an Adopted FS-03 Earned-Benefit Row and its Specific Independent Benefit Legal Authority and does not include Ordinary-Origin Treatment.</w:t>
      </w:r>
    </w:p>
    <w:p>
      <w:pPr>
        <w:pStyle w:val="Heading2"/>
      </w:pPr>
      <w:bookmarkStart w:id="901943" w:name="_Toc300001942"/>
      <w:r>
        <w:t>FS-03.2: Ordinary Origin, Regional Integration, and Domestic Additionality</w:t>
      </w:r>
      <w:bookmarkEnd w:id="901943"/>
    </w:p>
    <w:p>
      <w:pPr>
        <w:pStyle w:val="Normal"/>
      </w:pPr>
      <w:r>
        <w:t>FS03-B01. Standard Regional Integration Layer. The Standard automotive layer remains the ordinary Chapter 4 origin pathway, including the 75 percent regional-value-content reference reflected in Annex 4-E-1 only where that reference is legally applicable, together with all other mandatory automotive origin requirements. The 75 percent reference is not created, generalized, or independently imposed by FS-03. Standard qualification receives Ordinary-Origin Treatment and does not require an Article 59.5A calculation solely because FS-03 exists. Where ordinary qualification resolves treatment more simply, Article 59.26 administration applies before an alternative settlement calculation.</w:t>
      </w:r>
    </w:p>
    <w:p>
      <w:pPr>
        <w:pStyle w:val="Normal"/>
      </w:pPr>
      <w:r>
        <w:t>FS03-B02. High Integration Layer. The High Integration layer uses the 80 percent regional-value-content reference threshold and the strategic-category conditions established by Annex 4-E-1 where an applicable implementing schedule lawfully activates that enhanced pathway. High Integration remains an enhanced pathway rather than a replacement for Standard originating status. Benefits attach only to the facilitation, resilience, or other treatment expressly authorized by the applicable implementing instrument. A shortfall from the High Integration threshold leaves independently established Standard originating status intact.</w:t>
      </w:r>
    </w:p>
    <w:p>
      <w:pPr>
        <w:pStyle w:val="Normal"/>
      </w:pPr>
      <w:r>
        <w:t>FS03-B03. Strategic Integration Layer. The Strategic Integration layer uses the 85 percent regional-value-content reference threshold, the designated strategic-category requirements, and the continuity-plan requirement established by Annex 4-E-1 where an applicable implementing schedule lawfully activates that enhanced pathway. Strategic Integration remains voluntary unless another operative treaty provision expressly provides otherwise for a defined good or program. Its benefits remain bounded by the legal authority identified for the applicable implementing schedule. Failure to attain Strategic Integration does not create a tariff penalty or loss of Ordinary-Origin Treatment that the Agreement does not independently authorize.</w:t>
      </w:r>
    </w:p>
    <w:p>
      <w:pPr>
        <w:pStyle w:val="Normal"/>
      </w:pPr>
      <w:r>
        <w:t>FS03-B04. Domestic Industrial Additionality. Where Article 59.5A, Annex 59-B, an implementing schedule, and any required applicable domestic authority establish an Industrial Expansion Tier, that Tier rewards objectively verified incremental domestic activity without altering regional originating status. Eligible additionality remains limited to activity authorized by the controlling provision, including qualifying new or expanded production, employment, strategic-component capacity, tooling, research, supplier qualification, brownfield reactivation, dormant-capacity restoration, workforce activity, or repatriation from outside North America. An Adopted FS-03 Earned-Benefit Row identifies the activity actually selected, the measurement rule, the evidence, the Specific Independent Benefit Legal Authority, and the maximum benefit. Domestic additionality does not become physical originating content unless an independently adopted origin or credit rule expressly gives it that legal effect.</w:t>
      </w:r>
    </w:p>
    <w:p>
      <w:pPr>
        <w:pStyle w:val="Normal"/>
      </w:pPr>
      <w:r>
        <w:t>FS03-B05. No North American Cannibalization. The strongest domestic Industrial Expansion benefits apply only where the existing North American Capacity Growth Test and No North American Cannibalization Rule are satisfied to the extent required by Article 59.5A. Relocation of substantially equivalent existing production from one Party to another does not by itself constitute the highest level of new continental capacity. Reduced credit may apply to an intra-North-American relocation only where the controlling schedule authorizes that result and a verified continental benefit exists. FS-03 does not authorize a Party to characterize another Party's lost originating production as non-North-American leakage.</w:t>
      </w:r>
    </w:p>
    <w:p>
      <w:pPr>
        <w:pStyle w:val="Normal"/>
      </w:pPr>
      <w:r>
        <w:t>FS03-B06. Party-Specific Quota Firewall. An automotive incentive, credit, procurement preference, licensing condition, or related measure remains subject to the de facto Party-specific quota discipline established by Article 4.A.2C. A stronger marginal incentive for genuinely additional activity in the granting Party does not alone establish a prohibited quota. Administration crosses the firewall where commercially meaningful ordinary treatment is conditioned on a Party-specific production share or legitimate originating content of another Party is functionally treated as non-originating. Pending review, only interim treatment independently authorized by the controlling provisions applies, and FS-03 creates no independent interim-measure authority.</w:t>
      </w:r>
    </w:p>
    <w:p>
      <w:pPr>
        <w:pStyle w:val="Heading2"/>
      </w:pPr>
      <w:bookmarkStart w:id="901944" w:name="_Toc300001943"/>
      <w:r>
        <w:t>FS-03.3: Automotive Final Settlement Schedule</w:t>
      </w:r>
      <w:bookmarkEnd w:id="901944"/>
    </w:p>
    <w:p>
      <w:pPr>
        <w:pStyle w:val="Normal"/>
      </w:pPr>
      <w:r>
        <w:t>FS03-C01. FS-03 Selection Record and Constitutive Authority. Schedule FS-03-A is the exclusive FS-03 record for selecting and coordinating the core automotive settlement terms that require affirmative adoption under this Protocol. The underlying treaty provision, amendment, implementing schedule, or other legally required adoption instrument remains the source of substantive authority and controls where it prescribes additional constitutive requirements. The Secretariat records an adopted term but does not complete, infer, negotiate, or supply a missing substantive field or missing legal authority. A development row remains non-operative until every constitutive field required by the controlling authority is completed and the term is formally adopted.</w:t>
      </w:r>
    </w:p>
    <w:p>
      <w:pPr>
        <w:pStyle w:val="Normal"/>
      </w:pPr>
      <w:r>
        <w:t>FS03-C02. Reference Model, Selected Model, and Adopted Headline Rate. An Adopted FS-03 Core Settlement Row separately identifies any Reference Model used during development, the Selected Settlement Model, and the Adopted Headline Rate, if any. The 13.8 percent reference model, a 10 percent alternative, a 15 percent alternative, or another lawfully negotiated rate remains non-operative unless formally adopted through the procedure applicable to the substantive tariff commitment. Once a row is adopted, its Selected Settlement Model and Adopted Headline Rate control that row without preserving any unselected reference model as a competing operative benchmark. Absence of an Adopted Headline Rate does not disturb Ordinary-Origin Treatment.</w:t>
      </w:r>
    </w:p>
    <w:p>
      <w:pPr>
        <w:pStyle w:val="Normal"/>
      </w:pPr>
      <w:r>
        <w:t>FS03-C03. Effective-Rate Floor and Calibration. Where the Selected Settlement Model uses an effective-rate floor, the Adopted FS-03 Core Settlement Row identifies the Initial Effective-Rate Floor, Permitted Administrative Adjustment Band, Adjustment Criteria, Maximum Administrative Movement, modelling record, and decision authority. A modelled 5 to 7.5 percent reference range does not itself select an effective-rate floor or authorize movement anywhere within that range. Administrative adjustment remains within the pre-authorized band, criteria, and maximum movement recorded in the adopted row and follows the analysis required by the controlling automotive provisions. A change outside that envelope returns to the adoption or amendment procedure applicable to the substantive settlement commitment.</w:t>
      </w:r>
    </w:p>
    <w:p>
      <w:pPr>
        <w:pStyle w:val="Normal"/>
      </w:pPr>
      <w:r>
        <w:t>FS03-C04. Enhanced Automotive Benefit Selection. Schedule FS-03-B identifies each optional Industrial Expansion, repatriation, strategic-component, portfolio-contribution, facilitation, or other Enhanced Automotive Benefit actually selected for implementation. Each Adopted FS-03 Earned-Benefit Row cites the Specific Independent Benefit Legal Authority supporting the benefit and any domestic implementing authority required by the controlling provision. FS-03-B records and activates a benefit only to the extent authorized by that Specific Independent Benefit Legal Authority and cannot cure an absence of substantive legal authority. A backlog concept or candidate carrot not appearing in a lawfully adopted row remains non-self-executing.</w:t>
      </w:r>
    </w:p>
    <w:p>
      <w:pPr>
        <w:pStyle w:val="Normal"/>
      </w:pPr>
      <w:r>
        <w:t>FS03-C05. Graduation, Caps, and No Double Counting. An Enhanced Automotive Benefit operates on a graduated basis where the controlling program permits and avoids a cliff that destroys substantial verified integration because of a minor shortfall. Each adopted benefit states its maximum benefit or other legally controlling cap. The same value, expenditure, employment event, component, investment milestone, physical capacity addition, FS-02 Assurance Contribution, recovered-material contribution, or strategic-component performance is not counted twice toward the same legal benefit. Reliable evidence may be reused across compatible programs, but reuse of evidence does not create a second economic event, physical contribution, investment event, or legal entitlement.</w:t>
      </w:r>
    </w:p>
    <w:p>
      <w:pPr>
        <w:pStyle w:val="Normal"/>
      </w:pPr>
      <w:r>
        <w:t>FS03-C06. Amendment-Only Fields. Schedule FS-03-A identifies each field that the controlling provision reserves to substantive amendment rather than administrative review. A headline settlement rate reserved to substantive amendment remains an Amendment-Only Field. An implementing authority does not use technical guidance, valuation methodology, classification practice, customs administration, coefficient adjustment, or review procedure to accomplish indirectly a change reserved to amendment. Where uncertainty exists, the narrower administrative interpretation applies until the required amendment procedure is completed.</w:t>
      </w:r>
    </w:p>
    <w:p>
      <w:pPr>
        <w:pStyle w:val="Heading2"/>
      </w:pPr>
      <w:bookmarkStart w:id="901945" w:name="_Toc300001944"/>
      <w:r>
        <w:t>FS-03.4: Reciprocal Automotive Stand-Down and FS-01 Interface</w:t>
      </w:r>
      <w:bookmarkEnd w:id="901945"/>
    </w:p>
    <w:p>
      <w:pPr>
        <w:pStyle w:val="Normal"/>
      </w:pPr>
      <w:r>
        <w:t>FS03-D01. FS-01 Relationship. FS-01 governs the normalization of covered extraordinary automotive tariffs and the legal mechanics of reciprocal tariff stand-down to the extent those measures fall within FS-01. FS-03 identifies the automotive settlement terms paired with that normalization but does not create a second tariff-normalization architecture. An Adopted FS-03 Core Settlement Row cites the controlling FS-01 entry or other independent authority for each stand-down commitment. Where FS-01 and FS-03 address different legal objects, each instrument retains its own scope.</w:t>
      </w:r>
    </w:p>
    <w:p>
      <w:pPr>
        <w:pStyle w:val="Normal"/>
      </w:pPr>
      <w:r>
        <w:t>FS03-D02. Matched Reciprocal Activation. Where the Automotive Settlement Schedule forms part of a reciprocal automotive tariff stand-down, activation follows the controlling synchronization rule in FS-01, Article 35.36, or another expressly applicable provision before FS-03 supplies any supplementary scheduling detail. Schedule FS-03-A records whether the resulting Legal Activation Mode is automatic, certificate-triggered, or matched reciprocal activation and records the specified activation time or condition. An administrative record of readiness does not create a veto over an automatic legal trigger already established by the controlling provision. No Party is required to front-load an irreversible automotive concession where the controlling synchronization rule requires reciprocal exchange.</w:t>
      </w:r>
    </w:p>
    <w:p>
      <w:pPr>
        <w:pStyle w:val="Normal"/>
      </w:pPr>
      <w:r>
        <w:t>FS03-D03. Ordinary Treatment After Stand-Down. Termination or normalization of an extraordinary automotive measure returns an originating good to the Post-Normalization Treatment established by FS-01 and the otherwise applicable automotive provisions. FS-03 does not imply that every originating good enters an Article 59.5A settlement calculation after extraordinary measures end. Where ordinary Chapter 4 treatment independently provides duty-free treatment, that ordinary pathway remains available according to its terms. Any additional Automotive Settlement Treatment applies only to the goods, transactions, and Parties expressly covered by the adopted schedule.</w:t>
      </w:r>
    </w:p>
    <w:p>
      <w:pPr>
        <w:pStyle w:val="Normal"/>
      </w:pPr>
      <w:r>
        <w:t>FS03-D04. No Revival Through Settlement Administration. An extinguished or normalized extraordinary automotive measure does not revive merely because a producer fails an optional enhanced-integration or earned-benefit criterion. Loss of an optional credit affects only the benefit legally attached to that credit unless an independent treaty authority establishes another consequence. FS-03 administration does not transform a settlement-credit dispute into authority to restore a legacy extraordinary tariff. Any later adverse automotive measure requires the independent legal basis, findings, procedures, limits, and restoration rules otherwise required by the Agreement.</w:t>
      </w:r>
    </w:p>
    <w:p>
      <w:pPr>
        <w:pStyle w:val="Normal"/>
      </w:pPr>
      <w:r>
        <w:t>FS03-D05. Severability of Settlement Terms. Each Adopted FS-03 Core Settlement Row affirmatively identifies whether its selected terms are bilateral, trilateral, severable, or expressly inseverable. A dispute affecting one Enhanced Automotive Benefit does not suspend unrelated settlement terms unless the adopted instrument expressly makes those terms inseverable and the controlling treaty authority permits that consequence. If an adopted instrument is inadvertently silent, the narrowest non-contagious interpretation applies to the extent consistent with the controlling legal authority and the reciprocal bargain. Severability does not permit a Party to retain a benefit while refusing a legally paired obligation whose reciprocal activation is expressly inseverable.</w:t>
      </w:r>
    </w:p>
    <w:p>
      <w:pPr>
        <w:pStyle w:val="Normal"/>
      </w:pPr>
      <w:r>
        <w:t>FS03-D06. No Delayed Day-One Rights. An administrative implementation delay does not postpone a Day-One automotive right that the controlling treaty provision makes legally effective without further discretionary action. Customs systems, forms, registries, and guidance update in a manner that does not delay the legally effective treatment. Where reconciliation or refund authority exists, the competent authority applies it consistently with the Agreement to transactions affected by implementation lag. FS-03 does not create refund authority that domestic law or another treaty provision does not otherwise provide.</w:t>
      </w:r>
    </w:p>
    <w:p>
      <w:pPr>
        <w:pStyle w:val="Heading2"/>
      </w:pPr>
      <w:bookmarkStart w:id="901946" w:name="_Toc300001945"/>
      <w:r>
        <w:t>FS-03.5: Administration, Classification Continuity, and Change Control</w:t>
      </w:r>
      <w:bookmarkEnd w:id="901946"/>
    </w:p>
    <w:p>
      <w:pPr>
        <w:pStyle w:val="Normal"/>
      </w:pPr>
      <w:r>
        <w:t>FS03-E01. Automotive Administrative Standard. Administration follows Article 59.26 and the Chapter 5 least-burdensome-verification principle. Competent authorities favor advance model-year determinations, component-family methodologies, standardized electronic certification, annual reconciliation, and targeted review over unnecessary shipment-by-shipment reconstruction. Enhanced verification focuses on the disputed value, component, credit, or origin fact unless credible evidence justifies broader review. FS-03 does not increase documentation merely because a producer declines an optional earned-benefit pathway.</w:t>
      </w:r>
    </w:p>
    <w:p>
      <w:pPr>
        <w:pStyle w:val="Normal"/>
      </w:pPr>
      <w:r>
        <w:t>FS03-E02. Supplier Declarations and Advance Rulings. Article 59.4 supplier declarations, treatment of unknown or commingled content, advance rulings, coordinated rulings, good-faith cure, and proportional penalties remain the controlling administrative tools to the extent applicable. An FS-03 schedule identifies which existing declaration fields or rulings establish a selected benefit without creating a duplicative certification form. A first-time or minor documentary defect receives only the cure treatment provided by Article 59.4 or another expressly controlling provision. An immaterial formatting defect does not by itself erase independently established originating status or a verified Enhanced Automotive Benefit.</w:t>
      </w:r>
    </w:p>
    <w:p>
      <w:pPr>
        <w:pStyle w:val="Normal"/>
      </w:pPr>
      <w:r>
        <w:t>FS03-E03. Full-Scope and Included-First Rule. Article 59.22A governs the vehicle-class scope of generally applicable automotive settlement, stabilization, cure, and tariff-relief treatment. Schedule FS-03-A identifies the covered Class I through VI goods through tariff classifications, functional descriptions, or both, and records an Objective Basis for Class-Specific Treatment whenever the adopted settlement does not apply equivalent treatment across the otherwise covered classes. Silence, negative-space drafting, commercial nomenclature, or concentration of production in another Party does not create an exclusion where Article 59.22A provides included-first treatment. A class-specific difference states its objective technical basis, duration where applicable, affected classifications, and review mechanism.</w:t>
      </w:r>
    </w:p>
    <w:p>
      <w:pPr>
        <w:pStyle w:val="Normal"/>
      </w:pPr>
      <w:r>
        <w:t>FS03-E04. Classification-Dispute Continuity. Classification uncertainty involving new propulsion systems, body configurations, chassis designs, integrated components, or commercial labels proceeds under the existing automotive classification and expedited-review architecture. Established commercial treatment continues during expedited classification review to the extent required by Article 59.22A and Annex 59-B. An administrative classification change does not alter tariff treatment or originating status beyond the legal effect authorized by the controlling provision. FS-03 creates no independent classification methodology.</w:t>
      </w:r>
    </w:p>
    <w:p>
      <w:pPr>
        <w:pStyle w:val="Normal"/>
      </w:pPr>
      <w:r>
        <w:t>FS03-E05. Capacity-Gap Interface. Article 59.6 governs capacity-gap accommodations where an enhanced or strategic automotive criterion depends on an input unavailable from North American commercial sources in the required quantity, grade, certification, quality, or commercially reasonable delivery time. An Adopted FS-03 Earned-Benefit Row records the application of an accommodation independently authorized under Article 59.6 but does not create, broaden, or extend that accommodation. Review, narrowing, renewal, sourcing-transition planning, and prospective treatment follow the controlling capacity-gap rules. FS-03 does not reset or extend an existing capacity-gap clock.</w:t>
      </w:r>
    </w:p>
    <w:p>
      <w:pPr>
        <w:pStyle w:val="Normal"/>
      </w:pPr>
      <w:r>
        <w:t>FS03-E06. No Automotive Ratchet by Administration. Article 49.4 governs material increases in automotive regional-value, labor-value, steel, aluminum, battery, mineral, or other content requirements, including the required impact assessment and transition discipline. Technical guidance, customs practice, verification methodology, procurement administration, incentive administration, or committee interpretation does not silently convert an optional 80 percent, 85 percent, portfolio-level, settlement, or FS-02 benchmark into the ordinary Chapter 4 origin threshold. A material substantive increase proceeds only through the legal procedure applicable to that increase. Administrative modernization remains technology-neutral and preserves North American cumulation as provided by Chapter 4.</w:t>
      </w:r>
    </w:p>
    <w:p>
      <w:pPr>
        <w:pStyle w:val="Heading2"/>
      </w:pPr>
      <w:bookmarkStart w:id="901947" w:name="_Toc300001946"/>
      <w:r>
        <w:t>FS-03.6: Cothrom Stabilization, Review, Restoration, and Closure</w:t>
      </w:r>
      <w:bookmarkEnd w:id="901947"/>
    </w:p>
    <w:p>
      <w:pPr>
        <w:pStyle w:val="Normal"/>
      </w:pPr>
      <w:r>
        <w:t>FS03-F01. Existing Verification Architecture. Chapter 5, Annex 4-E, Chapter 35, Articles 59.3 and 59.4, and any specifically identified Chapter 46 provision govern automotive verification and stabilization only to the extent authority is assigned by those provisions. FS-03 creates no separate evidentiary burden, cure ladder, remedy ladder, earn-back system, or restoration procedure. An Adopted FS-03 Schedule Row identifies the specific existing verification source applicable to the selected term rather than relying on a generic chapter reference where a narrower authority exists. A reviewing authority does not infer a broader verification power from FS-03 than the controlling provision supplies.</w:t>
      </w:r>
    </w:p>
    <w:p>
      <w:pPr>
        <w:pStyle w:val="Normal"/>
      </w:pPr>
      <w:r>
        <w:t>FS03-F02. Dispute Containment. A disputed settlement credit does not automatically suspend the Automotive Settlement Schedule for unrelated producers, models, components, vehicle classes, transactions, or Parties. The reviewing authority isolates the disputed value, fact, credit, participant, or transaction and applies the narrowest sufficient response authorized by the controlling provision. Ordinary originating treatment remains available where independently established and not itself the subject of a valid origin determination. Cross-sector or economy-wide consequences require an independent legal basis and the findings required by that authority.</w:t>
      </w:r>
    </w:p>
    <w:p>
      <w:pPr>
        <w:pStyle w:val="Normal"/>
      </w:pPr>
      <w:r>
        <w:t>FS03-F03. Cure and Earn-Back. Where the controlling provision permits cure, the affected producer or participant receives the applicable opportunity to correct a remediable deficiency. Verified remediation restores an Enhanced Automotive Benefit according to the existing earn-back or restoration rule applicable to that benefit. Restoration does not require relitigation of facts treated as final under the controlling verification procedure absent fraud, material new evidence, or another reopening ground recognized by that procedure or the Agreement. FS-03 does not create an independent concept of evidentiary finality or convert an optional benefit into a permanently probationary status.</w:t>
      </w:r>
    </w:p>
    <w:p>
      <w:pPr>
        <w:pStyle w:val="Normal"/>
      </w:pPr>
      <w:r>
        <w:t>FS03-F04. Review Boundaries. Periodic automotive settlement review evaluates administrability, investment effects, consumer effects, circumvention, regional distribution, preference utilization, capacity growth, and other factors authorized by the controlling settlement provision. Review adjusts coefficients, credit caps, evidentiary rules, or effective-rate parameters only within the authority expressly delegated and, for an effective-rate floor, within the Permitted Administrative Adjustment Band, Adjustment Criteria, and Maximum Administrative Movement recorded in Schedule FS-03-A. Review does not alter an Amendment-Only Field, create a new origin requirement, or activate an unselected Annex 59-B concept. A materially different settlement bargain returns to the adoption or amendment procedure required by the Agreement.</w:t>
      </w:r>
    </w:p>
    <w:p>
      <w:pPr>
        <w:pStyle w:val="Normal"/>
      </w:pPr>
      <w:r>
        <w:t>FS03-F05. Clock and Successor-Measure Integrity. FS-03 does not reset, extend, renew, or evade a review, transition, capacity-gap, cure, security, tariff-normalization, or temporary-measure clock established elsewhere in the Agreement. Successive substantially identical findings or measures are aggregated where the controlling provision requires aggregation. Reclassification, renaming, model-year rollover, or transfer between administrative programs does not create a fresh clock where the underlying legal condition remains substantially the same. A genuinely new factual basis proceeds under the authority and evidentiary requirements applicable to that new basis.</w:t>
      </w:r>
    </w:p>
    <w:p>
      <w:pPr>
        <w:pStyle w:val="Normal"/>
      </w:pPr>
      <w:r>
        <w:t>FS03-F06. Settlement Closure. An automotive settlement term reaches closure when the controlling legal trigger has operated, required reciprocal activation has occurred, and any unresolved matter material to legal activation, accrued benefits, outstanding corrective obligations, or closure itself has been resolved. An immaterial outstanding verification or administrative issue does not by itself hold an otherwise completed settlement row perpetually open. The Secretariat records closure and continuing review obligations but does not create a new condition for legal effectiveness. A later modification proceeds through the review, adoption, or amendment procedure applicable to the legal term being changed.</w:t>
      </w:r>
    </w:p>
    <w:p>
      <w:pPr>
        <w:pStyle w:val="Heading2"/>
      </w:pPr>
      <w:bookmarkStart w:id="901948" w:name="_Toc300001947"/>
      <w:r>
        <w:t>SCHEDULE FS-03-A: CORE AUTOMOTIVE FINAL SETTLEMENT TERMS, DEVELOPMENT TEMPLATE: NON-OPERATIVE UNTIL ADOPTED</w:t>
      </w:r>
      <w:bookmarkEnd w:id="901948"/>
    </w:p>
    <w:p>
      <w:pPr>
        <w:pStyle w:val="Normal"/>
      </w:pPr>
      <w:r>
        <w:t>DEVELOPMENT TEMPLATE: NON-OPERATIVE. Legal status. This schedule is an FS-03 development and coordination template. A row becomes operative only when the controlling treaty provision, amendment, implementing schedule, or other legally required adoption instrument supplies the substantive authority and the row is completed and formally adopted as required. FS-03-A does not cure missing substantive authority. Blank, bracketed, illustrative, alternative, modelled, or incomplete fields have no legal effect.</w:t>
      </w:r>
    </w:p>
    <w:p>
      <w:pPr>
        <w:pStyle w:val="Normal"/>
      </w:pPr>
      <w:r>
        <w:rPr>
          <w:b/>
        </w:rPr>
        <w:t>FS-03-A1: Settlement Selection and Economic Terms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1694"/>
        <w:gridCol w:w="1694"/>
        <w:gridCol w:w="1694"/>
        <w:gridCol w:w="1694"/>
        <w:gridCol w:w="1694"/>
        <w:gridCol w:w="1694"/>
        <w:gridCol w:w="1181"/>
      </w:tblGrid>
      <w:tr>
        <w:tc>
          <w:tcPr>
            <w:tcW w:type="dxa" w:w="1694"/>
          </w:tcPr>
          <w:p>
            <w:pPr>
              <w:pStyle w:val="TableText"/>
            </w:pPr>
            <w:r>
              <w:rPr>
                <w:b/>
              </w:rPr>
              <w:t>Adoption Status</w:t>
            </w:r>
          </w:p>
        </w:tc>
        <w:tc>
          <w:tcPr>
            <w:tcW w:type="dxa" w:w="1694"/>
          </w:tcPr>
          <w:p>
            <w:pPr>
              <w:pStyle w:val="TableText"/>
            </w:pPr>
            <w:r>
              <w:rPr>
                <w:b/>
              </w:rPr>
              <w:t>Participating Parties</w:t>
            </w:r>
          </w:p>
        </w:tc>
        <w:tc>
          <w:tcPr>
            <w:tcW w:type="dxa" w:w="1694"/>
          </w:tcPr>
          <w:p>
            <w:pPr>
              <w:pStyle w:val="TableText"/>
            </w:pPr>
            <w:r>
              <w:rPr>
                <w:b/>
              </w:rPr>
              <w:t>Covered Classes / Scope + Objective Basis</w:t>
            </w:r>
          </w:p>
        </w:tc>
        <w:tc>
          <w:tcPr>
            <w:tcW w:type="dxa" w:w="1694"/>
          </w:tcPr>
          <w:p>
            <w:pPr>
              <w:pStyle w:val="TableText"/>
            </w:pPr>
            <w:r>
              <w:rPr>
                <w:b/>
              </w:rPr>
              <w:t>Specific Legal Authority</w:t>
            </w:r>
          </w:p>
        </w:tc>
        <w:tc>
          <w:tcPr>
            <w:tcW w:type="dxa" w:w="1694"/>
          </w:tcPr>
          <w:p>
            <w:pPr>
              <w:pStyle w:val="TableText"/>
            </w:pPr>
            <w:r>
              <w:rPr>
                <w:b/>
              </w:rPr>
              <w:t>Reference / Selected Settlement Model</w:t>
            </w:r>
          </w:p>
        </w:tc>
        <w:tc>
          <w:tcPr>
            <w:tcW w:type="dxa" w:w="1694"/>
          </w:tcPr>
          <w:p>
            <w:pPr>
              <w:pStyle w:val="TableText"/>
            </w:pPr>
            <w:r>
              <w:rPr>
                <w:b/>
              </w:rPr>
              <w:t>Adopted Headline Rate</w:t>
            </w:r>
          </w:p>
        </w:tc>
        <w:tc>
          <w:tcPr>
            <w:tcW w:type="dxa" w:w="1181"/>
          </w:tcPr>
          <w:p>
            <w:pPr>
              <w:pStyle w:val="TableText"/>
            </w:pPr>
            <w:r>
              <w:t>FS-03 Core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Classes I–VI or specified subset; [Objective basis for any class-specific difference]</w:t>
            </w:r>
          </w:p>
        </w:tc>
        <w:tc>
          <w:tcPr>
            <w:tcW w:type="dxa" w:w="1694"/>
          </w:tcPr>
          <w:p>
            <w:pPr>
              <w:pStyle w:val="TableText"/>
            </w:pPr>
            <w:r>
              <w:rPr/>
              <w:t>[Specific controlling treaty / amendment / implementing authority]</w:t>
            </w:r>
          </w:p>
        </w:tc>
        <w:tc>
          <w:tcPr>
            <w:tcW w:type="dxa" w:w="1694"/>
          </w:tcPr>
          <w:p>
            <w:pPr>
              <w:pStyle w:val="TableText"/>
            </w:pPr>
            <w:r>
              <w:rPr/>
              <w:t>Reference: [ ]; Selected: [13.8 / 10 / 15 / other lawfully adopted model]</w:t>
            </w:r>
          </w:p>
        </w:tc>
        <w:tc>
          <w:tcPr>
            <w:tcW w:type="dxa" w:w="1694"/>
          </w:tcPr>
          <w:p>
            <w:pPr>
              <w:pStyle w:val="TableText"/>
            </w:pPr>
            <w:r>
              <w:rPr/>
              <w:t>[Adopted Headline Rate only]</w:t>
            </w:r>
          </w:p>
        </w:tc>
        <w:tc>
          <w:tcPr>
            <w:tcW w:type="dxa" w:w="1181"/>
          </w:tcPr>
          <w:p>
            <w:pPr>
              <w:pStyle w:val="TableText"/>
            </w:pPr>
            <w:r>
              <w:t>[Stable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Passenger/light vehicles</w:t>
            </w:r>
          </w:p>
        </w:tc>
        <w:tc>
          <w:tcPr>
            <w:tcW w:type="dxa" w:w="1694"/>
          </w:tcPr>
          <w:p>
            <w:pPr>
              <w:pStyle w:val="TableText"/>
            </w:pPr>
            <w:r>
              <w:rPr/>
              <w:t>[Cite]</w:t>
            </w:r>
          </w:p>
        </w:tc>
        <w:tc>
          <w:tcPr>
            <w:tcW w:type="dxa" w:w="1694"/>
          </w:tcPr>
          <w:p>
            <w:pPr>
              <w:pStyle w:val="TableText"/>
            </w:pPr>
            <w:r>
              <w:rPr/>
              <w:t>[Select]</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Medium/heavy vehicles, buses, chassis</w:t>
            </w:r>
          </w:p>
        </w:tc>
        <w:tc>
          <w:tcPr>
            <w:tcW w:type="dxa" w:w="1694"/>
          </w:tcPr>
          <w:p>
            <w:pPr>
              <w:pStyle w:val="TableText"/>
            </w:pPr>
            <w:r>
              <w:rPr/>
              <w:t>[Cite]</w:t>
            </w:r>
          </w:p>
        </w:tc>
        <w:tc>
          <w:tcPr>
            <w:tcW w:type="dxa" w:w="1694"/>
          </w:tcPr>
          <w:p>
            <w:pPr>
              <w:pStyle w:val="TableText"/>
            </w:pPr>
            <w:r>
              <w:rPr/>
              <w:t>[Select]</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Automotive parts / strategic components</w:t>
            </w:r>
          </w:p>
        </w:tc>
        <w:tc>
          <w:tcPr>
            <w:tcW w:type="dxa" w:w="1694"/>
          </w:tcPr>
          <w:p>
            <w:pPr>
              <w:pStyle w:val="TableText"/>
            </w:pPr>
            <w:r>
              <w:rPr/>
              <w:t>[Cite]</w:t>
            </w:r>
          </w:p>
        </w:tc>
        <w:tc>
          <w:tcPr>
            <w:tcW w:type="dxa" w:w="1694"/>
          </w:tcPr>
          <w:p>
            <w:pPr>
              <w:pStyle w:val="TableText"/>
            </w:pPr>
            <w:r>
              <w:rPr/>
              <w:t>[Select]</w:t>
            </w:r>
          </w:p>
        </w:tc>
        <w:tc>
          <w:tcPr>
            <w:tcW w:type="dxa" w:w="1694"/>
          </w:tcPr>
          <w:p>
            <w:pPr>
              <w:pStyle w:val="TableText"/>
            </w:pPr>
            <w:r>
              <w:rPr/>
              <w:t>[ ]</w:t>
            </w:r>
          </w:p>
        </w:tc>
        <w:tc>
          <w:tcPr>
            <w:tcW w:type="dxa" w:w="1181"/>
          </w:tcPr>
          <w:p>
            <w:pPr>
              <w:pStyle w:val="TableText"/>
            </w:pPr>
            <w:r>
              <w:t>[Stable Row ID]</w:t>
            </w:r>
          </w:p>
        </w:tc>
      </w:tr>
    </w:tbl>
    <w:p>
      <w:pPr>
        <w:pStyle w:val="Normal"/>
      </w:pPr>
      <w:r>
        <w:rPr>
          <w:b/>
        </w:rPr>
        <w:t>FS-03-A2: Adjustment, Activation, Verification, and Closure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1694"/>
        <w:gridCol w:w="1694"/>
        <w:gridCol w:w="1694"/>
        <w:gridCol w:w="1694"/>
        <w:gridCol w:w="1694"/>
        <w:gridCol w:w="1694"/>
        <w:gridCol w:w="1181"/>
      </w:tblGrid>
      <w:tr>
        <w:tc>
          <w:tcPr>
            <w:tcW w:type="dxa" w:w="1694"/>
          </w:tcPr>
          <w:p>
            <w:pPr>
              <w:pStyle w:val="TableText"/>
            </w:pPr>
            <w:r>
              <w:rPr>
                <w:b/>
              </w:rPr>
              <w:t>Initial Floor / Adjustment Envelope</w:t>
            </w:r>
          </w:p>
        </w:tc>
        <w:tc>
          <w:tcPr>
            <w:tcW w:type="dxa" w:w="1694"/>
          </w:tcPr>
          <w:p>
            <w:pPr>
              <w:pStyle w:val="TableText"/>
            </w:pPr>
            <w:r>
              <w:rPr>
                <w:b/>
              </w:rPr>
              <w:t>Regional Integration Interface</w:t>
            </w:r>
          </w:p>
        </w:tc>
        <w:tc>
          <w:tcPr>
            <w:tcW w:type="dxa" w:w="1694"/>
          </w:tcPr>
          <w:p>
            <w:pPr>
              <w:pStyle w:val="TableText"/>
            </w:pPr>
            <w:r>
              <w:rPr>
                <w:b/>
              </w:rPr>
              <w:t>Reciprocal Stand-Down</w:t>
            </w:r>
          </w:p>
        </w:tc>
        <w:tc>
          <w:tcPr>
            <w:tcW w:type="dxa" w:w="1694"/>
          </w:tcPr>
          <w:p>
            <w:pPr>
              <w:pStyle w:val="TableText"/>
            </w:pPr>
            <w:r>
              <w:rPr>
                <w:b/>
              </w:rPr>
              <w:t>Legal Activation Mode</w:t>
            </w:r>
          </w:p>
        </w:tc>
        <w:tc>
          <w:tcPr>
            <w:tcW w:type="dxa" w:w="1694"/>
          </w:tcPr>
          <w:p>
            <w:pPr>
              <w:pStyle w:val="TableText"/>
            </w:pPr>
            <w:r>
              <w:rPr>
                <w:b/>
              </w:rPr>
              <w:t>Specific Verification Sources</w:t>
            </w:r>
          </w:p>
        </w:tc>
        <w:tc>
          <w:tcPr>
            <w:tcW w:type="dxa" w:w="1694"/>
          </w:tcPr>
          <w:p>
            <w:pPr>
              <w:pStyle w:val="TableText"/>
            </w:pPr>
            <w:r>
              <w:rPr>
                <w:b/>
              </w:rPr>
              <w:t>Review / Amendment / Closure</w:t>
            </w:r>
          </w:p>
        </w:tc>
        <w:tc>
          <w:tcPr>
            <w:tcW w:type="dxa" w:w="1181"/>
          </w:tcPr>
          <w:p>
            <w:pPr>
              <w:pStyle w:val="TableText"/>
            </w:pPr>
            <w:r>
              <w:t>FS-03 Core Row ID</w:t>
            </w:r>
          </w:p>
        </w:tc>
      </w:tr>
      <w:tr>
        <w:tc>
          <w:tcPr>
            <w:tcW w:type="dxa" w:w="1694"/>
          </w:tcPr>
          <w:p>
            <w:pPr>
              <w:pStyle w:val="TableText"/>
            </w:pPr>
            <w:r>
              <w:rPr/>
              <w:t>[Initial Floor; Permitted Adjustment Band; Criteria; Maximum Movement]</w:t>
            </w:r>
          </w:p>
        </w:tc>
        <w:tc>
          <w:tcPr>
            <w:tcW w:type="dxa" w:w="1694"/>
          </w:tcPr>
          <w:p>
            <w:pPr>
              <w:pStyle w:val="TableText"/>
            </w:pPr>
            <w:r>
              <w:rPr/>
              <w:t>75 / 80 / 85 treatment and applicable schedule</w:t>
            </w:r>
          </w:p>
        </w:tc>
        <w:tc>
          <w:tcPr>
            <w:tcW w:type="dxa" w:w="1694"/>
          </w:tcPr>
          <w:p>
            <w:pPr>
              <w:pStyle w:val="TableText"/>
            </w:pPr>
            <w:r>
              <w:rPr/>
              <w:t>[Exact paired measure(s)]</w:t>
            </w:r>
          </w:p>
        </w:tc>
        <w:tc>
          <w:tcPr>
            <w:tcW w:type="dxa" w:w="1694"/>
          </w:tcPr>
          <w:p>
            <w:pPr>
              <w:pStyle w:val="TableText"/>
            </w:pPr>
            <w:r>
              <w:rPr/>
              <w:t>Automatic / Certificate-Triggered / Matched Reciprocal</w:t>
            </w:r>
          </w:p>
        </w:tc>
        <w:tc>
          <w:tcPr>
            <w:tcW w:type="dxa" w:w="1694"/>
          </w:tcPr>
          <w:p>
            <w:pPr>
              <w:pStyle w:val="TableText"/>
            </w:pPr>
            <w:r>
              <w:rPr/>
              <w:t>[Specific applicable provisions]</w:t>
            </w:r>
          </w:p>
        </w:tc>
        <w:tc>
          <w:tcPr>
            <w:tcW w:type="dxa" w:w="1694"/>
          </w:tcPr>
          <w:p>
            <w:pPr>
              <w:pStyle w:val="TableText"/>
            </w:pPr>
            <w:r>
              <w:rPr/>
              <w:t>[Review authority; Amendment-Only fields; closure trigger]</w:t>
            </w:r>
          </w:p>
        </w:tc>
        <w:tc>
          <w:tcPr>
            <w:tcW w:type="dxa" w:w="1181"/>
          </w:tcPr>
          <w:p>
            <w:pPr>
              <w:pStyle w:val="TableText"/>
            </w:pPr>
            <w:r>
              <w:t>[Stable Row ID]</w:t>
            </w:r>
          </w:p>
        </w:tc>
      </w:tr>
      <w:tr>
        <w:tc>
          <w:tcPr>
            <w:tcW w:type="dxa" w:w="1694"/>
          </w:tcPr>
          <w:p>
            <w:pPr>
              <w:pStyle w:val="TableText"/>
            </w:pPr>
            <w:r>
              <w:rPr/>
              <w:t>[Initial Floor; Permitted Adjustment Band; Criteria; Maximum Movement]</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[Initial Floor; Permitted Adjustment Band; Criteria; Maximum Movement]</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[Initial Floor; Permitted Adjustment Band; Criteria; Maximum Movement]</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181"/>
          </w:tcPr>
          <w:p>
            <w:pPr>
              <w:pStyle w:val="TableText"/>
            </w:pPr>
            <w:r>
              <w:t>[Stable Row ID]</w:t>
            </w:r>
          </w:p>
        </w:tc>
      </w:tr>
    </w:tbl>
    <w:p>
      <w:pPr>
        <w:pStyle w:val="Heading2"/>
      </w:pPr>
      <w:bookmarkStart w:id="901949" w:name="_Toc300001948"/>
      <w:r>
        <w:t>SCHEDULE FS-03-B: SELECTED AUTOMOTIVE EARNED BENEFITS, DEVELOPMENT TEMPLATE: NON-OPERATIVE UNTIL ADOPTED</w:t>
      </w:r>
      <w:bookmarkEnd w:id="901949"/>
    </w:p>
    <w:p>
      <w:pPr>
        <w:pStyle w:val="Normal"/>
      </w:pPr>
      <w:r>
        <w:t>DEVELOPMENT TEMPLATE: NON-OPERATIVE. Legal status. Annex 59-B concepts remain non-self-executing. Only a completed and lawfully adopted row activates an Enhanced Automotive Benefit, and every activated benefit requires a cited Specific Independent Benefit Legal Authority. FS-03-B records and coordinates that authority but cannot supply it where it is absent.</w:t>
      </w:r>
    </w:p>
    <w:p>
      <w:pPr>
        <w:pStyle w:val="Normal"/>
      </w:pPr>
      <w:r>
        <w:rPr>
          <w:b/>
        </w:rPr>
        <w:t>FS-03-B1: Benefit Scope, Qualification, and Evidence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2033"/>
        <w:gridCol w:w="2033"/>
        <w:gridCol w:w="2033"/>
        <w:gridCol w:w="2033"/>
        <w:gridCol w:w="2033"/>
        <w:gridCol w:w="1181"/>
      </w:tblGrid>
      <w:tr>
        <w:tc>
          <w:tcPr>
            <w:tcW w:type="dxa" w:w="2033"/>
          </w:tcPr>
          <w:p>
            <w:pPr>
              <w:pStyle w:val="TableText"/>
            </w:pPr>
            <w:r>
              <w:rPr>
                <w:b/>
              </w:rPr>
              <w:t>Adoption Status</w:t>
            </w:r>
          </w:p>
        </w:tc>
        <w:tc>
          <w:tcPr>
            <w:tcW w:type="dxa" w:w="2033"/>
          </w:tcPr>
          <w:p>
            <w:pPr>
              <w:pStyle w:val="TableText"/>
            </w:pPr>
            <w:r>
              <w:rPr>
                <w:b/>
              </w:rPr>
              <w:t>Enhanced Automotive Benefit / Program</w:t>
            </w:r>
          </w:p>
        </w:tc>
        <w:tc>
          <w:tcPr>
            <w:tcW w:type="dxa" w:w="2033"/>
          </w:tcPr>
          <w:p>
            <w:pPr>
              <w:pStyle w:val="TableText"/>
            </w:pPr>
            <w:r>
              <w:rPr>
                <w:b/>
              </w:rPr>
              <w:t>Participant / Transaction Scope</w:t>
            </w:r>
          </w:p>
        </w:tc>
        <w:tc>
          <w:tcPr>
            <w:tcW w:type="dxa" w:w="2033"/>
          </w:tcPr>
          <w:p>
            <w:pPr>
              <w:pStyle w:val="TableText"/>
            </w:pPr>
            <w:r>
              <w:rPr>
                <w:b/>
              </w:rPr>
              <w:t>Qualification / Additionality Rule</w:t>
            </w:r>
          </w:p>
        </w:tc>
        <w:tc>
          <w:tcPr>
            <w:tcW w:type="dxa" w:w="2033"/>
          </w:tcPr>
          <w:p>
            <w:pPr>
              <w:pStyle w:val="TableText"/>
            </w:pPr>
            <w:r>
              <w:rPr>
                <w:b/>
              </w:rPr>
              <w:t>Measurement Period / Evidence</w:t>
            </w:r>
          </w:p>
        </w:tc>
        <w:tc>
          <w:tcPr>
            <w:tcW w:type="dxa" w:w="1181"/>
          </w:tcPr>
          <w:p>
            <w:pPr>
              <w:pStyle w:val="TableText"/>
            </w:pPr>
            <w:r>
              <w:t>FS-03 Earned-Benefit Row ID</w:t>
            </w:r>
          </w:p>
        </w:tc>
      </w:tr>
      <w:tr>
        <w:tc>
          <w:tcPr>
            <w:tcW w:type="dxa" w:w="2033"/>
          </w:tcPr>
          <w:p>
            <w:pPr>
              <w:pStyle w:val="TableText"/>
            </w:pPr>
            <w:r>
              <w:rPr/>
              <w:t>DRAFT: VERIFY BEFORE LEGAL SCRUB</w:t>
            </w:r>
          </w:p>
        </w:tc>
        <w:tc>
          <w:tcPr>
            <w:tcW w:type="dxa" w:w="2033"/>
          </w:tcPr>
          <w:p>
            <w:pPr>
              <w:pStyle w:val="TableText"/>
            </w:pPr>
            <w:r>
              <w:rPr/>
              <w:t>Industrial Expansion Tier</w:t>
            </w:r>
          </w:p>
        </w:tc>
        <w:tc>
          <w:tcPr>
            <w:tcW w:type="dxa" w:w="2033"/>
          </w:tcPr>
          <w:p>
            <w:pPr>
              <w:pStyle w:val="TableText"/>
            </w:pPr>
            <w:r>
              <w:rPr/>
              <w:t>[Scope]</w:t>
            </w:r>
          </w:p>
        </w:tc>
        <w:tc>
          <w:tcPr>
            <w:tcW w:type="dxa" w:w="2033"/>
          </w:tcPr>
          <w:p>
            <w:pPr>
              <w:pStyle w:val="TableText"/>
            </w:pPr>
            <w:r>
              <w:rPr/>
              <w:t>Verified incremental domestic activity; existing additionality rules</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Repatriation Supercredit</w:t>
            </w:r>
          </w:p>
        </w:tc>
        <w:tc>
          <w:tcPr>
            <w:tcW w:type="dxa" w:w="2033"/>
          </w:tcPr>
          <w:p>
            <w:pPr>
              <w:pStyle w:val="TableText"/>
            </w:pPr>
            <w:r>
              <w:rPr/>
              <w:t>[Scope]</w:t>
            </w:r>
          </w:p>
        </w:tc>
        <w:tc>
          <w:tcPr>
            <w:tcW w:type="dxa" w:w="2033"/>
          </w:tcPr>
          <w:p>
            <w:pPr>
              <w:pStyle w:val="TableText"/>
            </w:pPr>
            <w:r>
              <w:rPr/>
              <w:t>Production/capacity moved from outside North America or dormant capacity restored, as authorized</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Portfolio-Level Contribution Benchmark</w:t>
            </w:r>
          </w:p>
        </w:tc>
        <w:tc>
          <w:tcPr>
            <w:tcW w:type="dxa" w:w="2033"/>
          </w:tcPr>
          <w:p>
            <w:pPr>
              <w:pStyle w:val="TableText"/>
            </w:pPr>
            <w:r>
              <w:rPr/>
              <w:t>[Scope]</w:t>
            </w:r>
          </w:p>
        </w:tc>
        <w:tc>
          <w:tcPr>
            <w:tcW w:type="dxa" w:w="2033"/>
          </w:tcPr>
          <w:p>
            <w:pPr>
              <w:pStyle w:val="TableText"/>
            </w:pPr>
            <w:r>
              <w:rPr/>
              <w:t>Optional premium-tier benchmark only</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Strategic Component Bonus</w:t>
            </w:r>
          </w:p>
        </w:tc>
        <w:tc>
          <w:tcPr>
            <w:tcW w:type="dxa" w:w="2033"/>
          </w:tcPr>
          <w:p>
            <w:pPr>
              <w:pStyle w:val="TableText"/>
            </w:pPr>
            <w:r>
              <w:rPr/>
              <w:t>[Scope]</w:t>
            </w:r>
          </w:p>
        </w:tc>
        <w:tc>
          <w:tcPr>
            <w:tcW w:type="dxa" w:w="2033"/>
          </w:tcPr>
          <w:p>
            <w:pPr>
              <w:pStyle w:val="TableText"/>
            </w:pPr>
            <w:r>
              <w:rPr/>
              <w:t>Verified additional strategic-component activity</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Facilitation / Trusted Lane Benefit</w:t>
            </w:r>
          </w:p>
        </w:tc>
        <w:tc>
          <w:tcPr>
            <w:tcW w:type="dxa" w:w="2033"/>
          </w:tcPr>
          <w:p>
            <w:pPr>
              <w:pStyle w:val="TableText"/>
            </w:pPr>
            <w:r>
              <w:rPr/>
              <w:t>[Scope]</w:t>
            </w:r>
          </w:p>
        </w:tc>
        <w:tc>
          <w:tcPr>
            <w:tcW w:type="dxa" w:w="2033"/>
          </w:tcPr>
          <w:p>
            <w:pPr>
              <w:pStyle w:val="TableText"/>
            </w:pPr>
            <w:r>
              <w:rPr/>
              <w:t>Applicable enhanced-integration or verified performance rule</w:t>
            </w:r>
          </w:p>
        </w:tc>
        <w:tc>
          <w:tcPr>
            <w:tcW w:type="dxa" w:w="2033"/>
          </w:tcPr>
          <w:p>
            <w:pPr>
              <w:pStyle w:val="TableText"/>
            </w:pPr>
            <w:r>
              <w:rPr/>
              <w:t>[Measurement period; metric; evidence]</w:t>
            </w:r>
          </w:p>
        </w:tc>
        <w:tc>
          <w:tcPr>
            <w:tcW w:type="dxa" w:w="1181"/>
          </w:tcPr>
          <w:p>
            <w:pPr>
              <w:pStyle w:val="TableText"/>
            </w:pPr>
            <w:r>
              <w:t>[Stable Row ID]</w:t>
            </w:r>
          </w:p>
        </w:tc>
      </w:tr>
    </w:tbl>
    <w:p>
      <w:pPr>
        <w:pStyle w:val="Normal"/>
      </w:pPr>
      <w:r>
        <w:rPr>
          <w:b/>
        </w:rPr>
        <w:t>FS-03-B2: Authority, Caps, Firewalls, and Exit</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2541"/>
        <w:gridCol w:w="2541"/>
        <w:gridCol w:w="2541"/>
        <w:gridCol w:w="2541"/>
        <w:gridCol w:w="1181"/>
      </w:tblGrid>
      <w:tr>
        <w:tc>
          <w:tcPr>
            <w:tcW w:type="dxa" w:w="2541"/>
          </w:tcPr>
          <w:p>
            <w:pPr>
              <w:pStyle w:val="TableText"/>
            </w:pPr>
            <w:r>
              <w:rPr>
                <w:b/>
              </w:rPr>
              <w:t>Specific Independent Benefit Legal Authority</w:t>
            </w:r>
          </w:p>
        </w:tc>
        <w:tc>
          <w:tcPr>
            <w:tcW w:type="dxa" w:w="2541"/>
          </w:tcPr>
          <w:p>
            <w:pPr>
              <w:pStyle w:val="TableText"/>
            </w:pPr>
            <w:r>
              <w:rPr>
                <w:b/>
              </w:rPr>
              <w:t>Maximum Benefit / Cap</w:t>
            </w:r>
          </w:p>
        </w:tc>
        <w:tc>
          <w:tcPr>
            <w:tcW w:type="dxa" w:w="2541"/>
          </w:tcPr>
          <w:p>
            <w:pPr>
              <w:pStyle w:val="TableText"/>
            </w:pPr>
            <w:r>
              <w:rPr>
                <w:b/>
              </w:rPr>
              <w:t>Origin Firewall / Double-Count Rule</w:t>
            </w:r>
          </w:p>
        </w:tc>
        <w:tc>
          <w:tcPr>
            <w:tcW w:type="dxa" w:w="2541"/>
          </w:tcPr>
          <w:p>
            <w:pPr>
              <w:pStyle w:val="TableText"/>
            </w:pPr>
            <w:r>
              <w:rPr>
                <w:b/>
              </w:rPr>
              <w:t>Review / Cure / Exit</w:t>
            </w:r>
          </w:p>
        </w:tc>
        <w:tc>
          <w:tcPr>
            <w:tcW w:type="dxa" w:w="1181"/>
          </w:tcPr>
          <w:p>
            <w:pPr>
              <w:pStyle w:val="TableText"/>
            </w:pPr>
            <w:r>
              <w:t>FS-03 Earned-Benefit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Does not alter regional origin; no duplicate physical/economic event</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No downgrade of another Party's originating content</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Failure does not defeat origin or ordinary preference</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No double count with origin / FS-02 / recovered material</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Ordinary lane remains functional</w:t>
            </w:r>
          </w:p>
        </w:tc>
        <w:tc>
          <w:tcPr>
            <w:tcW w:type="dxa" w:w="2541"/>
          </w:tcPr>
          <w:p>
            <w:pPr>
              <w:pStyle w:val="TableText"/>
            </w:pPr>
            <w:r>
              <w:rPr/>
              <w:t>[Rule]</w:t>
            </w:r>
          </w:p>
        </w:tc>
        <w:tc>
          <w:tcPr>
            <w:tcW w:type="dxa" w:w="1181"/>
          </w:tcPr>
          <w:p>
            <w:pPr>
              <w:pStyle w:val="TableText"/>
            </w:pPr>
            <w:r>
              <w:t>[Stable Row ID]</w:t>
            </w:r>
          </w:p>
        </w:tc>
      </w:tr>
    </w:tbl>
    <w:p>
      <w:pPr>
        <w:pStyle w:val="Heading2"/>
      </w:pPr>
      <w:bookmarkStart w:id="901950" w:name="_Toc300001949"/>
      <w:r>
        <w:t>REQUIRED ADOPTED-SCHEDULE DATA</w:t>
      </w:r>
      <w:bookmarkEnd w:id="901950"/>
    </w:p>
    <w:p>
      <w:pPr>
        <w:pStyle w:val="ListBullet"/>
      </w:pPr>
      <w:r>
        <w:t>Adoption Status, participating Parties, and the stable FS-03 Core Row ID or FS-03 Earned-Benefit Row ID that links each split schedule row to its counterpart.</w:t>
      </w:r>
    </w:p>
    <w:p>
      <w:pPr>
        <w:pStyle w:val="ListBullet"/>
      </w:pPr>
      <w:r>
        <w:t>Exact vehicle classes, tariff classifications, functional descriptions, and the Objective Basis for any class-specific treatment.</w:t>
      </w:r>
    </w:p>
    <w:p>
      <w:pPr>
        <w:pStyle w:val="ListBullet"/>
      </w:pPr>
      <w:r>
        <w:t>Controlling legal authority for the selected settlement model and each selected earned benefit.</w:t>
      </w:r>
    </w:p>
    <w:p>
      <w:pPr>
        <w:pStyle w:val="ListBullet"/>
      </w:pPr>
      <w:r>
        <w:t>Ordinary-Origin Treatment baseline and 75/80/85 regional-integration interface.</w:t>
      </w:r>
    </w:p>
    <w:p>
      <w:pPr>
        <w:pStyle w:val="ListBullet"/>
      </w:pPr>
      <w:r>
        <w:t>Reference Model, Selected Settlement Model, Adopted Headline Rate if any, and identification of every Amendment-Only Field.</w:t>
      </w:r>
    </w:p>
    <w:p>
      <w:pPr>
        <w:pStyle w:val="ListBullet"/>
      </w:pPr>
      <w:r>
        <w:t>Initial Effective-Rate Floor, Permitted Administrative Adjustment Band, Adjustment Criteria, Maximum Administrative Movement, and supporting modelling record.</w:t>
      </w:r>
    </w:p>
    <w:p>
      <w:pPr>
        <w:pStyle w:val="ListBullet"/>
      </w:pPr>
      <w:r>
        <w:t>Selected Industrial Expansion, repatriation, portfolio-contribution, strategic-component, facilitation, or other Enhanced Automotive Benefits, including Specific Independent Benefit Legal Authority and Maximum Benefit or cap.</w:t>
      </w:r>
    </w:p>
    <w:p>
      <w:pPr>
        <w:pStyle w:val="ListBullet"/>
      </w:pPr>
      <w:r>
        <w:t>Participant / Transaction Scope, measurement period, evidence source, anti-double-counting rule, and responsible existing institution.</w:t>
      </w:r>
    </w:p>
    <w:p>
      <w:pPr>
        <w:pStyle w:val="ListBullet"/>
      </w:pPr>
      <w:r>
        <w:t>Exact reciprocal automotive stand-down measure and Legal Activation Mode.</w:t>
      </w:r>
    </w:p>
    <w:p>
      <w:pPr>
        <w:pStyle w:val="ListBullet"/>
      </w:pPr>
      <w:r>
        <w:t>Applicable FS-01 and FS-02 interfaces without duplication of their machinery.</w:t>
      </w:r>
    </w:p>
    <w:p>
      <w:pPr>
        <w:pStyle w:val="ListBullet"/>
      </w:pPr>
      <w:r>
        <w:t>Review authority, permitted administrative adjustments, cure and restoration rule, clock integrity, and closure trigger.</w:t>
      </w:r>
    </w:p>
    <w:p>
      <w:pPr>
        <w:pStyle w:val="Heading2"/>
      </w:pPr>
      <w:bookmarkStart w:id="901951" w:name="_Toc300001950"/>
      <w:r>
        <w:t>DEVELOPMENT RED LIGHTS: NON-OPERATIVE DRAFTING CONTROLS</w:t>
      </w:r>
      <w:bookmarkEnd w:id="901951"/>
    </w:p>
    <w:p>
      <w:pPr>
        <w:pStyle w:val="ListBullet"/>
      </w:pPr>
      <w:r>
        <w:t>No new automotive origin status or parallel rule-of-origin ladder.</w:t>
      </w:r>
    </w:p>
    <w:p>
      <w:pPr>
        <w:pStyle w:val="ListBullet"/>
      </w:pPr>
      <w:r>
        <w:t>No conversion of 80%, 85%, 50%, 13.8%, 10%, 15%, or an effective-rate floor into an ordinary Chapter 4 origin threshold by implication.</w:t>
      </w:r>
    </w:p>
    <w:p>
      <w:pPr>
        <w:pStyle w:val="ListBullet"/>
      </w:pPr>
      <w:r>
        <w:t>No automatic adoption of Annex 59-B backlog concepts or candidate carrots.</w:t>
      </w:r>
    </w:p>
    <w:p>
      <w:pPr>
        <w:pStyle w:val="ListBullet"/>
      </w:pPr>
      <w:r>
        <w:t>No Party-specific coefficient that reduces another Party's verified originating content.</w:t>
      </w:r>
    </w:p>
    <w:p>
      <w:pPr>
        <w:pStyle w:val="ListBullet"/>
      </w:pPr>
      <w:r>
        <w:t>No treatment of domestic Industrial Expansion activity as physical originating content without independent legal authority.</w:t>
      </w:r>
    </w:p>
    <w:p>
      <w:pPr>
        <w:pStyle w:val="ListBullet"/>
      </w:pPr>
      <w:r>
        <w:t>No double counting across origin value, strategic-component points, Industrial Expansion credit, FS-02 Assurance Contribution, recovered-material credit, or another incentive.</w:t>
      </w:r>
    </w:p>
    <w:p>
      <w:pPr>
        <w:pStyle w:val="ListBullet"/>
      </w:pPr>
      <w:r>
        <w:t>No highest-level new-capacity treatment for mere intra-North-American relocation contrary to existing additionality rules.</w:t>
      </w:r>
    </w:p>
    <w:p>
      <w:pPr>
        <w:pStyle w:val="ListBullet"/>
      </w:pPr>
      <w:r>
        <w:t>No administrative change to an Adopted Headline Rate or other Amendment-Only Field, and no effective-rate-floor movement outside the adopted adjustment envelope.</w:t>
      </w:r>
    </w:p>
    <w:p>
      <w:pPr>
        <w:pStyle w:val="ListBullet"/>
      </w:pPr>
      <w:r>
        <w:t>No vehicle-class exclusion through silence, negative-space drafting, nomenclature, classification drift, or production concentration.</w:t>
      </w:r>
    </w:p>
    <w:p>
      <w:pPr>
        <w:pStyle w:val="ListBullet"/>
      </w:pPr>
      <w:r>
        <w:t>No Cothrom II, Annex 4-E II, supplier-verification II, or capacity-gap II.</w:t>
      </w:r>
    </w:p>
    <w:p>
      <w:pPr>
        <w:pStyle w:val="ListBullet"/>
      </w:pPr>
      <w:r>
        <w:t>No resetting or extension of an existing capacity-gap, review, security, transition, normalization, temporary-measure, or cure clock.</w:t>
      </w:r>
    </w:p>
    <w:p>
      <w:pPr>
        <w:pStyle w:val="ListBullet"/>
      </w:pPr>
      <w:r>
        <w:t>No settlement-credit dispute contaminating Ordinary-Origin Treatment independently established under Chapter 4.</w:t>
      </w:r>
    </w:p>
    <w:p>
      <w:pPr>
        <w:pStyle w:val="ListBullet"/>
      </w:pPr>
      <w:r>
        <w:t>No optional incentive made compulsory in practice by degrading the ordinary administrative lane.</w:t>
      </w:r>
    </w:p>
    <w:p>
      <w:pPr>
        <w:pStyle w:val="ListBullet"/>
      </w:pPr>
      <w:r>
        <w:t>No constitutive effect for blank, bracketed, modelled, illustrative, alternative, or incomplete schedule fields.</w:t>
      </w:r>
    </w:p>
    <w:p>
      <w:pPr>
        <w:pStyle w:val="Heading2"/>
      </w:pPr>
      <w:bookmarkStart w:id="901952" w:name="_Toc300001951"/>
      <w:r>
        <w:t>MODULE INTERFACE REFERENCE: EXTRACT OF THE FS-00 FINAL SETTLEMENT INTEGRATION MAP</w:t>
      </w:r>
      <w:bookmarkEnd w:id="901952"/>
    </w:p>
    <w:p>
      <w:pPr>
        <w:pStyle w:val="Normal"/>
      </w:pPr>
      <w:r>
        <w:rPr>
          <w:b/>
        </w:rPr>
        <w:t xml:space="preserve">Chapter 4 / Annex 4-E / Annex 4-E-1: </w:t>
      </w:r>
      <w:r>
        <w:t>Ordinary automotive origin, advanced-component methodology, 75/80/85 tier reference, anti-double-counting.</w:t>
      </w:r>
    </w:p>
    <w:p>
      <w:pPr>
        <w:pStyle w:val="Normal"/>
      </w:pPr>
      <w:r>
        <w:rPr>
          <w:b/>
        </w:rPr>
        <w:t xml:space="preserve">Article 4.A.2C: </w:t>
      </w:r>
      <w:r>
        <w:t>De facto Party-specific quota fast track.</w:t>
      </w:r>
    </w:p>
    <w:p>
      <w:pPr>
        <w:pStyle w:val="Normal"/>
      </w:pPr>
      <w:r>
        <w:rPr>
          <w:b/>
        </w:rPr>
        <w:t xml:space="preserve">Article 49.4: </w:t>
      </w:r>
      <w:r>
        <w:t>Automotive rule-change discipline, impact assessment, transition, cumulation, technology-neutral modernization.</w:t>
      </w:r>
    </w:p>
    <w:p>
      <w:pPr>
        <w:pStyle w:val="Normal"/>
      </w:pPr>
      <w:r>
        <w:rPr>
          <w:b/>
        </w:rPr>
        <w:t xml:space="preserve">Chapter 59 / Article 59.5A: </w:t>
      </w:r>
      <w:r>
        <w:t>Automotive settlement, equal North American content, Industrial Expansion, repatriation, capacity growth, bounded effective rate, Cothrom stabilization.</w:t>
      </w:r>
    </w:p>
    <w:p>
      <w:pPr>
        <w:pStyle w:val="Normal"/>
      </w:pPr>
      <w:r>
        <w:rPr>
          <w:b/>
        </w:rPr>
        <w:t xml:space="preserve">Annex 59-B: </w:t>
      </w:r>
      <w:r>
        <w:t>Optional settlement and incentive backlog; covered vehicle classes; selected earned benefits.</w:t>
      </w:r>
    </w:p>
    <w:p>
      <w:pPr>
        <w:pStyle w:val="Normal"/>
      </w:pPr>
      <w:r>
        <w:rPr>
          <w:b/>
        </w:rPr>
        <w:t xml:space="preserve">Article 59.22A: </w:t>
      </w:r>
      <w:r>
        <w:t>Full-scope and anti-cherry-picking guarantee; included-first and classification-continuity rules.</w:t>
      </w:r>
    </w:p>
    <w:p>
      <w:pPr>
        <w:pStyle w:val="Normal"/>
      </w:pPr>
      <w:r>
        <w:rPr>
          <w:b/>
        </w:rPr>
        <w:t xml:space="preserve">Article 59.26: </w:t>
      </w:r>
      <w:r>
        <w:t>Least-burdensome automotive administration and ordinary-origin-first processing.</w:t>
      </w:r>
    </w:p>
    <w:p>
      <w:pPr>
        <w:pStyle w:val="Normal"/>
      </w:pPr>
      <w:r>
        <w:rPr>
          <w:b/>
        </w:rPr>
        <w:t xml:space="preserve">FS-01: </w:t>
      </w:r>
      <w:r>
        <w:t>Strategic-sector tariff normalization and reciprocal stand-down mechanics.</w:t>
      </w:r>
    </w:p>
    <w:p>
      <w:pPr>
        <w:pStyle w:val="Normal"/>
      </w:pPr>
      <w:r>
        <w:rPr>
          <w:b/>
        </w:rPr>
        <w:t xml:space="preserve">FS-02: </w:t>
      </w:r>
      <w:r>
        <w:t>Strategic North American Content Assurance where expressly selected for an automotive schedule.</w:t>
      </w:r>
    </w:p>
    <w:p>
      <w:pPr>
        <w:pStyle w:val="Normal"/>
      </w:pPr>
      <w:r>
        <w:rPr>
          <w:b/>
        </w:rPr>
        <w:t xml:space="preserve">Chapter 35 / Cothrom: </w:t>
      </w:r>
      <w:r>
        <w:t>Verification, cure, proportional containment, earn-back, restoration, and anti-contagion.</w:t>
      </w:r>
    </w:p>
    <w:p>
      <w:pPr>
        <w:pStyle w:val="Heading1"/>
      </w:pPr>
      <w:bookmarkStart w:id="901953" w:name="_Toc300001952"/>
      <w:r>
        <w:t>CHAPTER 60</w:t>
      </w:r>
      <w:r>
        <w:br/>
      </w:r>
      <w:r>
        <w:t>CROSS-BORDER ENFORCEMENT SOVEREIGNTY, DATA PURPOSE LIMITATION, AND PROTECTED COOPERATION</w:t>
      </w:r>
      <w:bookmarkEnd w:id="901953"/>
    </w:p>
    <w:p>
      <w:pPr>
        <w:pStyle w:val="Heading2"/>
      </w:pPr>
      <w:bookmarkStart w:id="901954" w:name="_Toc300001953"/>
      <w:r>
        <w:t>Article 60.1: Territorial Sovereignty and Non-Delegation of Enforcement Authority</w:t>
      </w:r>
      <w:bookmarkEnd w:id="901954"/>
    </w:p>
    <w:p>
      <w:pPr>
        <w:pStyle w:val="Normal"/>
      </w:pPr>
      <w:r>
        <w:t>1. Nothing in this Agreement confers upon an authority, officer, employee, contractor, or agent of one Party independent police, detention, search, seizure, immigration-enforcement, compulsory-questioning, surveillance, or other coercive governmental authority within the territory of another Party.</w:t>
      </w:r>
    </w:p>
    <w:p>
      <w:pPr>
        <w:pStyle w:val="Normal"/>
      </w:pPr>
      <w:r>
        <w:t>2. Any authorized activity by foreign enforcement personnel within a host Party shall remain subject to the host Party’s law, express authorization, and applicable international arrangements.</w:t>
      </w:r>
    </w:p>
    <w:p>
      <w:pPr>
        <w:pStyle w:val="Normal"/>
      </w:pPr>
      <w:r>
        <w:t>3. No Party shall condition a trade benefit under this Agreement on another Party granting operational authority to foreign civil immigration-enforcement personnel.</w:t>
      </w:r>
    </w:p>
    <w:p>
      <w:pPr>
        <w:pStyle w:val="Heading2"/>
      </w:pPr>
      <w:bookmarkStart w:id="901955" w:name="_Toc300001954"/>
      <w:r>
        <w:t>Article 60.2: Treaty Data Shall Not Create General Immigration-Enforcement Authority</w:t>
      </w:r>
      <w:bookmarkEnd w:id="901955"/>
    </w:p>
    <w:p>
      <w:pPr>
        <w:pStyle w:val="Normal"/>
      </w:pPr>
      <w:r>
        <w:t>1. Information exchanged pursuant to this Agreement shall not constitute a general-purpose source of information for the civil immigration-enforcement activities of another Party.</w:t>
      </w:r>
    </w:p>
    <w:p>
      <w:pPr>
        <w:pStyle w:val="Normal"/>
      </w:pPr>
      <w:r>
        <w:t>2. Information collected for trade administration, labour-rights enforcement, occupational safety, public health, education, humanitarian assistance, or access to essential public services shall not be repurposed for unrelated civil immigration enforcement except where expressly authorized by law and subject to applicable necessity, proportionality, privacy, and due-process safeguards.</w:t>
      </w:r>
    </w:p>
    <w:p>
      <w:pPr>
        <w:pStyle w:val="Normal"/>
      </w:pPr>
      <w:r>
        <w:t>3. No agency may rely upon this Agreement or access obtained through it as an independent legal basis for immigration investigation, detention, removal, surveillance, or another coercive action.</w:t>
      </w:r>
    </w:p>
    <w:p>
      <w:pPr>
        <w:pStyle w:val="Heading2"/>
      </w:pPr>
      <w:bookmarkStart w:id="901956" w:name="_Toc300001955"/>
      <w:r>
        <w:t>Article 60.3: Purpose Limitation, Necessity, and Data Minimization</w:t>
      </w:r>
      <w:bookmarkEnd w:id="901956"/>
    </w:p>
    <w:p>
      <w:pPr>
        <w:pStyle w:val="Normal"/>
      </w:pPr>
      <w:r>
        <w:t>1. Cross-border disclosure of personal information shall be limited to information reasonably necessary and proportionate to the legitimate purpose for which disclosure is authorized.</w:t>
      </w:r>
    </w:p>
    <w:p>
      <w:pPr>
        <w:pStyle w:val="Normal"/>
      </w:pPr>
      <w:r>
        <w:t>2. Sensitive data exchanges shall use defined purposes, access controls, appropriate retention limits, and auditable records of authorized user, lawful purpose, data requested, time of access, recipient, and permitted use, subject to applicable security protections.</w:t>
      </w:r>
    </w:p>
    <w:p>
      <w:pPr>
        <w:pStyle w:val="Normal"/>
      </w:pPr>
      <w:r>
        <w:t>3. A Party shall not request information through a trade, customs, labour, digital, regulatory, or other mechanism established by this Agreement for a purpose that would be prohibited if requested directly for civil immigration enforcement.</w:t>
      </w:r>
    </w:p>
    <w:p>
      <w:pPr>
        <w:pStyle w:val="Heading2"/>
      </w:pPr>
      <w:bookmarkStart w:id="901957" w:name="_Toc300001956"/>
      <w:r>
        <w:t>Article 60.4: Sensitive Institutions and Humanitarian Information Firewall</w:t>
      </w:r>
      <w:bookmarkEnd w:id="901957"/>
    </w:p>
    <w:p>
      <w:pPr>
        <w:pStyle w:val="Normal"/>
      </w:pPr>
      <w:r>
        <w:t>1. Information obtained from schools, healthcare facilities, shelters, libraries, labour-rights bodies, humanitarian organizations, and other designated essential public or humanitarian services shall receive heightened protection against disclosure for unrelated foreign civil immigration enforcement.</w:t>
      </w:r>
    </w:p>
    <w:p>
      <w:pPr>
        <w:pStyle w:val="Normal"/>
      </w:pPr>
      <w:r>
        <w:t>2. Exceptions shall be narrowly defined by domestic law and may include judicial process, consent where legally valid, or an imminent threat to life or serious public safety.</w:t>
      </w:r>
    </w:p>
    <w:p>
      <w:pPr>
        <w:pStyle w:val="Normal"/>
      </w:pPr>
      <w:r>
        <w:t>3. Nothing in this Article prevents lawful cooperation directed at trafficking, smuggling, organized crime, or comparable serious criminal conduct where the applicable legal requirements are satisfied.</w:t>
      </w:r>
    </w:p>
    <w:p>
      <w:pPr>
        <w:pStyle w:val="Heading2"/>
      </w:pPr>
      <w:bookmarkStart w:id="901958" w:name="_Toc300001957"/>
      <w:r>
        <w:t>Article 60.5: Foreign Enforcement Officer Stand-Down Protocol</w:t>
      </w:r>
      <w:bookmarkEnd w:id="901958"/>
    </w:p>
    <w:p>
      <w:pPr>
        <w:pStyle w:val="Normal"/>
      </w:pPr>
      <w:r>
        <w:t>1. Where competent authorities of a host Party determine that reasonable grounds exist to believe that a foreign enforcement officer acting in an official capacity has materially violated the host Party's criminal law, civil-rights protections, or the terms of the officer's authorization, the host Party may immediately suspend that officer's participation in operational activities pending review. The host Party shall notify the sending Party promptly, consistent with investigative, privacy, and security requirements.</w:t>
      </w:r>
    </w:p>
    <w:p>
      <w:pPr>
        <w:pStyle w:val="Normal"/>
      </w:pPr>
      <w:r>
        <w:t>2. During a stand-down, the officer shall perform no enforcement, investigative, surveillance, detention, intelligence-gathering, database-access, or other operational function prohibited by the host Party. Where continued presence is permitted, the sending Party shall bear reasonable accommodation and associated costs through its diplomatic or consular mission.</w:t>
      </w:r>
    </w:p>
    <w:p>
      <w:pPr>
        <w:pStyle w:val="Normal"/>
      </w:pPr>
      <w:r>
        <w:t>3. The host Party may require suspension of operational credentials or host-country weapons authorizations and may impose any lawful judicial or administrative conditions available under domestic law. Where domestic law or an applicable bilateral agreement provides reconsideration or review, the officer or sending Party may use that process; treaty review does not itself stay a lawful protective stand-down.</w:t>
      </w:r>
    </w:p>
    <w:p>
      <w:pPr>
        <w:pStyle w:val="Normal"/>
      </w:pPr>
      <w:r>
        <w:t>4. Nothing in this Agreement limits the host Party's authority under domestic or international law to investigate, prosecute, withdraw authorization from, require the departure of, or otherwise take lawful action concerning a foreign officer. Nothing in this Article alters privileges or immunities arising under applicable international law, a status-of-forces agreement, or another binding bilateral arrangement.</w:t>
      </w:r>
    </w:p>
    <w:p>
      <w:pPr>
        <w:pStyle w:val="Heading2"/>
      </w:pPr>
      <w:bookmarkStart w:id="901959" w:name="_Toc300001958"/>
      <w:r>
        <w:t>Article 60.6: Non-Discrimination in Treaty-Enabled Enforcement Cooperation</w:t>
      </w:r>
      <w:bookmarkEnd w:id="901959"/>
    </w:p>
    <w:p>
      <w:pPr>
        <w:pStyle w:val="Normal"/>
      </w:pPr>
      <w:r>
        <w:t>1. Race, ethnicity, nationality, religion, language, sex, disability, or another status protected under the host Party’s law shall not constitute an independent basis for detention, search, coercive questioning, surveillance, or other enforcement action undertaken pursuant to cooperation under this Agreement.</w:t>
      </w:r>
    </w:p>
    <w:p>
      <w:pPr>
        <w:pStyle w:val="Normal"/>
      </w:pPr>
      <w:r>
        <w:t>2. Persons who in good faith report alleged misconduct by foreign enforcement personnel shall be protected from retaliation consistent with domestic law.</w:t>
      </w:r>
    </w:p>
    <w:p>
      <w:pPr>
        <w:pStyle w:val="Heading2"/>
      </w:pPr>
      <w:bookmarkStart w:id="901960" w:name="_Toc300001959"/>
      <w:r>
        <w:t>Article 60.7: No Automatic Execution of Foreign Civil Immigration Measures</w:t>
      </w:r>
      <w:bookmarkEnd w:id="901960"/>
    </w:p>
    <w:p>
      <w:pPr>
        <w:pStyle w:val="Normal"/>
      </w:pPr>
      <w:r>
        <w:t>1. Nothing in this Agreement requires a Party to execute another Party’s civil immigration detainer, administrative warrant, removal request, or comparable measure absent an independently applicable legal basis under the requested Party’s law or another binding international arrangement.</w:t>
      </w:r>
    </w:p>
    <w:p>
      <w:pPr>
        <w:pStyle w:val="Normal"/>
      </w:pPr>
      <w:r>
        <w:t>2. Nothing in this Agreement requires a Party to assist another Party in enforcement of its domestic civil immigration law except pursuant to a separately applicable legal obligation voluntarily undertaken by that Party.</w:t>
      </w:r>
    </w:p>
    <w:p>
      <w:pPr>
        <w:pStyle w:val="Heading2"/>
      </w:pPr>
      <w:bookmarkStart w:id="901961" w:name="_Toc300001960"/>
      <w:r>
        <w:t>Article 60.8: Oversight, Complaint, and Remedy</w:t>
      </w:r>
      <w:bookmarkEnd w:id="901961"/>
    </w:p>
    <w:p>
      <w:pPr>
        <w:pStyle w:val="Normal"/>
      </w:pPr>
      <w:r>
        <w:t>1. Each Party shall maintain an accessible means to raise complaints concerning misuse of information or unauthorized foreign enforcement activity covered by this Chapter.</w:t>
      </w:r>
    </w:p>
    <w:p>
      <w:pPr>
        <w:pStyle w:val="Normal"/>
      </w:pPr>
      <w:r>
        <w:t>2. Compliance shall be supervised through existing courts, privacy and data-protection authorities, law-enforcement oversight bodies, diplomatic channels, and the verification or dispute-settlement procedures of this Agreement, as applicable.</w:t>
      </w:r>
    </w:p>
    <w:p>
      <w:pPr>
        <w:pStyle w:val="Normal"/>
      </w:pPr>
      <w:r>
        <w:t>3. The Parties shall not establish a new standing institution solely to administer this Chapter unless they jointly determine that existing mechanisms are demonstrably inadequate.</w:t>
      </w:r>
    </w:p>
    <w:p>
      <w:pPr>
        <w:pStyle w:val="Normal"/>
      </w:pPr>
      <w:r>
        <w:t>4. Remedies shall be proportionate to the violation and may include access suspension, deletion or correction of improperly obtained data where lawful, withdrawal of operational authorization, corrective procedures, and other remedies available under domestic law.</w:t>
      </w:r>
    </w:p>
    <w:p>
      <w:pPr>
        <w:pStyle w:val="Heading1"/>
      </w:pPr>
      <w:bookmarkStart w:id="901962" w:name="_Toc300001961"/>
      <w:r>
        <w:t>CHAPTER 61</w:t>
      </w:r>
      <w:r>
        <w:br/>
      </w:r>
      <w:r>
        <w:t>NORTH AMERICAN DEFENSE-INDUSTRIAL MATERIALS, CAPACITY, AND PROCUREMENT RESILIENCE</w:t>
      </w:r>
      <w:bookmarkEnd w:id="901962"/>
    </w:p>
    <w:p>
      <w:pPr>
        <w:pStyle w:val="Normal"/>
      </w:pPr>
      <w:r>
        <w:t>This Chapter concerns industrial capacity, materials, procurement interoperability, supply continuity, and civilian-priority safeguards. It does not prescribe weapon design, ammunition design, operational military doctrine, or mandatory production quantities.</w:t>
      </w:r>
    </w:p>
    <w:p>
      <w:pPr>
        <w:pStyle w:val="Heading2"/>
      </w:pPr>
      <w:bookmarkStart w:id="901963" w:name="_Toc300001962"/>
      <w:r>
        <w:t>Article 61.1: Objectives</w:t>
      </w:r>
      <w:bookmarkEnd w:id="901963"/>
    </w:p>
    <w:p>
      <w:pPr>
        <w:pStyle w:val="Normal"/>
      </w:pPr>
      <w:r>
        <w:t>1. The Parties shall cooperate, consistent with domestic law and security requirements, to strengthen resilient North American capacity for defense-relevant and dual-use industrial materials, components, manufacturing inputs, testing, maintenance, and production infrastructure.</w:t>
      </w:r>
    </w:p>
    <w:p>
      <w:pPr>
        <w:pStyle w:val="Normal"/>
      </w:pPr>
      <w:r>
        <w:t>2. Cooperation shall seek to reduce single-source vulnerabilities, improve surge readiness, expand qualified suppliers, strengthen reciprocal industrial participation, and preserve essential civilian supply during emergencies.</w:t>
      </w:r>
    </w:p>
    <w:p>
      <w:pPr>
        <w:pStyle w:val="Heading2"/>
      </w:pPr>
      <w:bookmarkStart w:id="901964" w:name="_Toc300001963"/>
      <w:r>
        <w:t>Article 61.2: Defense-Industrial Materials Security Lane</w:t>
      </w:r>
      <w:bookmarkEnd w:id="901964"/>
    </w:p>
    <w:p>
      <w:pPr>
        <w:pStyle w:val="Normal"/>
      </w:pPr>
      <w:r>
        <w:t>1. The Parties may designate strategic industrial materials for enhanced supply-chain cooperation, including qualifying copper, zinc, nickel, antimony, tungsten, aluminum, specialty steels, titanium products, energetic-industry feedstocks where lawfully covered, and other materials identified through the Chapter 37 strategic-materials process.</w:t>
      </w:r>
    </w:p>
    <w:p>
      <w:pPr>
        <w:pStyle w:val="Normal"/>
      </w:pPr>
      <w:r>
        <w:t>2. Designation creates no compulsory extraction, export, purchase, or production quota. It authorizes planning, qualification, financing, stockpile, recycling, logistics, and procurement cooperation under the applicable domestic authorities.</w:t>
      </w:r>
    </w:p>
    <w:p>
      <w:pPr>
        <w:pStyle w:val="Heading2"/>
      </w:pPr>
      <w:bookmarkStart w:id="901965" w:name="_Toc300001964"/>
      <w:r>
        <w:t>Article 61.3: Long-Term Offtake and Demand-Signal Framework</w:t>
      </w:r>
      <w:bookmarkEnd w:id="901965"/>
    </w:p>
    <w:p>
      <w:pPr>
        <w:pStyle w:val="Normal"/>
      </w:pPr>
      <w:r>
        <w:t>1. Public authorities may, subject to appropriations and procurement law, use multi-year contracts, framework agreements, option quantities, advance purchase commitments, supplier qualification, or other lawful demand signals to support commercially sustainable North American industrial capacity.</w:t>
      </w:r>
    </w:p>
    <w:p>
      <w:pPr>
        <w:pStyle w:val="Normal"/>
      </w:pPr>
      <w:r>
        <w:t>2. Private suppliers remain responsible for commercial and technical performance. This Agreement does not guarantee a minimum profit, supplier award, or government purchase volume unless expressly provided in a lawful contract.</w:t>
      </w:r>
    </w:p>
    <w:p>
      <w:pPr>
        <w:pStyle w:val="Heading2"/>
      </w:pPr>
      <w:bookmarkStart w:id="901966" w:name="_Toc300001965"/>
      <w:r>
        <w:t>Article 61.4: Reciprocal Supplier Qualification and Procurement Access</w:t>
      </w:r>
      <w:bookmarkEnd w:id="901966"/>
    </w:p>
    <w:p>
      <w:pPr>
        <w:pStyle w:val="Normal"/>
      </w:pPr>
      <w:r>
        <w:t>1. The Parties shall seek to reduce unnecessary duplicative qualification of trusted Canadian, Mexican, and United States suppliers for covered industrial inputs, components, testing, maintenance, and manufacturing services.</w:t>
      </w:r>
    </w:p>
    <w:p>
      <w:pPr>
        <w:pStyle w:val="Normal"/>
      </w:pPr>
      <w:r>
        <w:t>2. Where security classification, export-control, ownership, cybersecurity, or facility-clearance rules require different treatment, the responsible authority shall use objective criteria connected to the identified risk and, where practicable, provide a pathway to qualification rather than categorical exclusion based solely on nationality within North America.</w:t>
      </w:r>
    </w:p>
    <w:p>
      <w:pPr>
        <w:pStyle w:val="Normal"/>
      </w:pPr>
      <w:r>
        <w:t>3. Article 49.7 applies to covered procurement where designated by the Parties.</w:t>
      </w:r>
    </w:p>
    <w:p>
      <w:pPr>
        <w:pStyle w:val="Heading2"/>
      </w:pPr>
      <w:bookmarkStart w:id="901967" w:name="_Toc300001966"/>
      <w:r>
        <w:t>Article 61.5: North American Defense-Industrial Materials Reserve</w:t>
      </w:r>
      <w:bookmarkEnd w:id="901967"/>
    </w:p>
    <w:p>
      <w:pPr>
        <w:pStyle w:val="Normal"/>
      </w:pPr>
      <w:r>
        <w:t>1. The Parties may coordinate national or contractual reserves of selected difficult-to-replace materials and components through rotating inventories, vendor-managed stocks, strategic purchase options, or other mechanisms that limit obsolescence and unnecessary carrying cost. Any binding quantity, contribution, release commitment, or funding obligation must appear in an expressly accepted implementation schedule or lawful contract and remains subject to domestic authorization and appropriations.</w:t>
      </w:r>
    </w:p>
    <w:p>
      <w:pPr>
        <w:pStyle w:val="Normal"/>
      </w:pPr>
      <w:r>
        <w:t>2. Reserve coordination shall identify ownership, release authority, replenishment, compensation, auditing, shelf-life or obsolescence risk, and civilian-priority safeguards. No Party acquires ownership of another Party's reserve merely through participation in this Chapter.</w:t>
      </w:r>
    </w:p>
    <w:p>
      <w:pPr>
        <w:pStyle w:val="Heading2"/>
      </w:pPr>
      <w:bookmarkStart w:id="901968" w:name="_Toc300001967"/>
      <w:r>
        <w:t>Article 61.6: Surge Capacity and Industrial Mobilization</w:t>
      </w:r>
      <w:bookmarkEnd w:id="901968"/>
    </w:p>
    <w:p>
      <w:pPr>
        <w:pStyle w:val="Normal"/>
      </w:pPr>
      <w:r>
        <w:t>1. The Parties may map idle, expandable, convertible, or second-shift industrial capacity and establish voluntary pre-qualification for rapid expansion during a verified emergency.</w:t>
      </w:r>
    </w:p>
    <w:p>
      <w:pPr>
        <w:pStyle w:val="Normal"/>
      </w:pPr>
      <w:r>
        <w:t>2. A surge commitment is satisfied according to the best-achievable verified capacity and applicable contract or schedule; it is not an absolute guarantee that a fixed quantity will materialize despite force majeure, labour disruption, equipment failure, unavailable feedstock, permitting constraints, or other conditions beyond reasonable control.</w:t>
      </w:r>
    </w:p>
    <w:p>
      <w:pPr>
        <w:pStyle w:val="Normal"/>
      </w:pPr>
      <w:r>
        <w:t>3. Surge planning may include tooling, workforce, maintenance, testing, logistics, supplier second-sourcing, recycling, and alternative-material qualification.</w:t>
      </w:r>
    </w:p>
    <w:p>
      <w:pPr>
        <w:pStyle w:val="Heading2"/>
      </w:pPr>
      <w:bookmarkStart w:id="901969" w:name="_Toc300001968"/>
      <w:r>
        <w:t>Article 61.7: Civilian Priority Firewall</w:t>
      </w:r>
      <w:bookmarkEnd w:id="901969"/>
    </w:p>
    <w:p>
      <w:pPr>
        <w:pStyle w:val="Normal"/>
      </w:pPr>
      <w:r>
        <w:t>1. Defense-industrial surge measures shall be designed to avoid unnecessary deprivation of materials essential to electricity systems, water and wastewater, hospitals and health supply, food production, transportation, telecommunications, emergency response, housing, and other critical civilian functions.</w:t>
      </w:r>
    </w:p>
    <w:p>
      <w:pPr>
        <w:pStyle w:val="Normal"/>
      </w:pPr>
      <w:r>
        <w:t>2. Where a verified shortage creates direct competition between covered defense-industrial and essential civilian demand, the Parties shall consult rapidly on substitution, inventory release, alternative sourcing, sequencing, and the narrowest practicable allocation response.</w:t>
      </w:r>
    </w:p>
    <w:p>
      <w:pPr>
        <w:pStyle w:val="Normal"/>
      </w:pPr>
      <w:r>
        <w:t>3. Nothing in this Article overrides a Party's lawful emergency authority, but use of that authority remains subject to applicable notice, proportionality, and Cothrom disciplines.</w:t>
      </w:r>
    </w:p>
    <w:p>
      <w:pPr>
        <w:pStyle w:val="Heading2"/>
      </w:pPr>
      <w:bookmarkStart w:id="901970" w:name="_Toc300001969"/>
      <w:r>
        <w:t>Article 61.8: Recycling, Recovery, and Circular Strategic Materials</w:t>
      </w:r>
      <w:bookmarkEnd w:id="901970"/>
    </w:p>
    <w:p>
      <w:pPr>
        <w:pStyle w:val="Normal"/>
      </w:pPr>
      <w:r>
        <w:t>1. Qualifying recovery and recycling of copper, aluminum, nickel, cobalt, antimony, tungsten, specialty alloys, electronics, batteries, and other designated strategic materials may count toward resilience and reserve objectives where quality and traceability requirements are satisfied.</w:t>
      </w:r>
    </w:p>
    <w:p>
      <w:pPr>
        <w:pStyle w:val="Normal"/>
      </w:pPr>
      <w:r>
        <w:t>2. The Parties shall encourage recovery of strategic byproducts and scrap where economically and environmentally justified and shall avoid rules that unnecessarily force recyclable North American material out of continental supply chains.</w:t>
      </w:r>
    </w:p>
    <w:p>
      <w:pPr>
        <w:pStyle w:val="Heading2"/>
      </w:pPr>
      <w:bookmarkStart w:id="901971" w:name="_Toc300001970"/>
      <w:r>
        <w:t>Article 61.9: Workforce and Facility Resilience</w:t>
      </w:r>
      <w:bookmarkEnd w:id="901971"/>
    </w:p>
    <w:p>
      <w:pPr>
        <w:pStyle w:val="Normal"/>
      </w:pPr>
      <w:r>
        <w:t>1. Cooperation may include skilled-trades training, metallurgy, machining, quality assurance, maintenance, industrial cybersecurity, process engineering, safety, and lawful specialist mobility.</w:t>
      </w:r>
    </w:p>
    <w:p>
      <w:pPr>
        <w:pStyle w:val="Normal"/>
      </w:pPr>
      <w:r>
        <w:t>2. Participating facilities should maintain proportionate all-hazards continuity plans covering power, water, cyber incident, fire, flood, severe weather, transportation interruption, critical-equipment failure, and supplier disruption.</w:t>
      </w:r>
    </w:p>
    <w:p>
      <w:pPr>
        <w:pStyle w:val="Heading2"/>
      </w:pPr>
      <w:bookmarkStart w:id="901972" w:name="_Toc300001971"/>
      <w:r>
        <w:t>Article 61.10: Cothrom Review and No Cross-Sector Punishment</w:t>
      </w:r>
      <w:bookmarkEnd w:id="901972"/>
    </w:p>
    <w:p>
      <w:pPr>
        <w:pStyle w:val="Normal"/>
      </w:pPr>
      <w:r>
        <w:t>1. A dispute under this Chapter shall identify the specific material, contract, qualification, reserve, or capacity obligation alleged to have failed. The reviewing authority shall distinguish commercial non-performance, force majeure, technical failure, and deliberate treaty non-compliance.</w:t>
      </w:r>
    </w:p>
    <w:p>
      <w:pPr>
        <w:pStyle w:val="Normal"/>
      </w:pPr>
      <w:r>
        <w:t>2. Corrective action shall be confined to the affected industrial benefit or procurement privilege unless a broader response is independently justified under another Chapter. Unrelated civilian trade shall not be suspended merely because a defense-industrial project or supplier failed.</w:t>
      </w:r>
    </w:p>
    <w:p>
      <w:pPr>
        <w:pStyle w:val="Normal"/>
      </w:pPr>
      <w:r>
        <w:t>3. Earn-back and restoration shall be available after verified cure.</w:t>
      </w:r>
    </w:p>
    <w:p>
      <w:pPr>
        <w:pStyle w:val="Heading2"/>
      </w:pPr>
      <w:bookmarkStart w:id="901973" w:name="_Toc300001972"/>
      <w:r>
        <w:t>IMPLEMENTATION INSTRUMENT I-1: DAY-ONE / DAY-30 / DAY-90 / YEAR-ONE ROADMAP</w:t>
      </w:r>
      <w:bookmarkEnd w:id="901973"/>
    </w:p>
    <w:p>
      <w:pPr>
        <w:pStyle w:val="Normal"/>
      </w:pPr>
      <w:r>
        <w:t>1. Day One: Legal Continuity and De-Escalation. The Parties shall: (a) give effect to the applicable Annex 35-D legacy-measure wind-down or expressly selected Annex 35-D.1 landing option; (b) terminate covered retaliatory tariffs as provided by Annex 35-D; (c) preserve ordinary CUSMA preferential treatment pending any expressly adopted transition schedule; (d) issue coordinated public notices confirming that modernization review does not suspend the Agreement; and (e) designate responsible officials for customs, procurement, alcohol, automotive, minerals, forestry, digital, and emergency implementation.</w:t>
      </w:r>
    </w:p>
    <w:p>
      <w:pPr>
        <w:pStyle w:val="Normal"/>
      </w:pPr>
      <w:r>
        <w:t>2. Day One: Customs Instructions. CBSA, U.S. CBP, and the competent Mexican customs authorities shall issue or prepare coordinated operational instructions identifying the legal treatment of goods entered before, on, and after the effective date; goods in transit; refunds or reconciliation where applicable; origin documentation; and points of contact for urgent classification or implementation questions.</w:t>
      </w:r>
    </w:p>
    <w:p>
      <w:pPr>
        <w:pStyle w:val="Normal"/>
      </w:pPr>
      <w:r>
        <w:t>3. By Day 30: Registers and Guidance. The Parties shall publish the first implementation register identifying provisions that are immediately operative, provisions subject to a transition schedule, responsible bodies, required domestic actions, and unresolved technical dependencies. Initial guidance shall cover extraordinary tariffs, automotive origin, steel and aluminum provenance, beverage-alcohol access, strategic procurement, critical minerals, and forestry.</w:t>
      </w:r>
    </w:p>
    <w:p>
      <w:pPr>
        <w:pStyle w:val="Normal"/>
      </w:pPr>
      <w:r>
        <w:t>4. By Day 30: No-Surprises Discipline. No Party shall materially narrow an agreed interim market-access treatment without the notice, evidence, and review required by Chapters 31 and 35. Technical drafting or legal scrubbing shall not by itself suspend an agreed commercial benefit.</w:t>
      </w:r>
    </w:p>
    <w:p>
      <w:pPr>
        <w:pStyle w:val="Normal"/>
      </w:pPr>
      <w:r>
        <w:t>5. By Day 90: Operational Review. The Commission shall conduct a trilateral implementation review addressing customs consistency, tariff normalization, procurement designation, alcohol access, automotive transition, minerals and semiconductor work programs, forestry integration, labour implementation, and any cross-chapter conflict identified by an implementing authority.</w:t>
      </w:r>
    </w:p>
    <w:p>
      <w:pPr>
        <w:pStyle w:val="Normal"/>
      </w:pPr>
      <w:r>
        <w:t>6. By Day 90: Cure Before Escalation. A technical defect, coding inconsistency, missed administrative deadline, or implementation ambiguity shall ordinarily receive a defined cure period before a cross-border commercial consequence is imposed, unless immediate action is necessary for health, safety, security, fraud prevention, or preservation of evidence.</w:t>
      </w:r>
    </w:p>
    <w:p>
      <w:pPr>
        <w:pStyle w:val="Normal"/>
      </w:pPr>
      <w:r>
        <w:t>7. Year One: Performance and Consolidation Review. The Commission shall publish a non-confidential report on implementation performance, including tariff normalization achieved, customs friction, utilization of new market-access pathways, investment and supply-chain outcomes, SME participation, dispute frequency, and unresolved modernization items. The review is for improvement and does not reopen the Agreement's continued legal force.</w:t>
      </w:r>
    </w:p>
    <w:p>
      <w:pPr>
        <w:pStyle w:val="Normal"/>
      </w:pPr>
      <w:r>
        <w:t>8. Goods in Transit and Reliance. A good exported, loaded, entered into a binding transportation contract, or otherwise committed to shipment in reasonable reliance on the treatment in force immediately before a change shall receive the transition treatment specified by the applicable customs notice. The Parties shall avoid retroactive collection arising solely from delayed administrative implementation.</w:t>
      </w:r>
    </w:p>
    <w:p>
      <w:pPr>
        <w:pStyle w:val="Normal"/>
      </w:pPr>
      <w:r>
        <w:t>9. Linguistic and Legal Scrub. Clerical, linguistic, citation, numbering, cross-reference, and concordance corrections identified during legal scrubbing may be adopted through the applicable technical correction procedure where they do not alter negotiated substantive rights or obligations.</w:t>
      </w:r>
    </w:p>
    <w:p>
      <w:pPr>
        <w:pStyle w:val="Heading1"/>
      </w:pPr>
      <w:bookmarkStart w:id="901974" w:name="_Toc300001973"/>
      <w:r>
        <w:t>CHAPTER 62</w:t>
      </w:r>
      <w:r>
        <w:br/>
      </w:r>
      <w:r>
        <w:t>NORTH AMERICAN DISASTER RESILIENCE, MUTUAL ASSISTANCE, AND ECONOMIC CONTINUITY</w:t>
      </w:r>
      <w:bookmarkEnd w:id="901974"/>
    </w:p>
    <w:p>
      <w:pPr>
        <w:pStyle w:val="Heading2"/>
      </w:pPr>
      <w:bookmarkStart w:id="901975" w:name="_Toc300001974"/>
      <w:r>
        <w:t>Article 62.1: Purpose and Scope</w:t>
      </w:r>
      <w:bookmarkEnd w:id="901975"/>
    </w:p>
    <w:p>
      <w:pPr>
        <w:pStyle w:val="Normal"/>
      </w:pPr>
      <w:r>
        <w:t>1. The Parties establish a civilian-led framework to reduce the economic and humanitarian consequences of natural disasters, public-health emergencies, industrial accidents, infrastructure failures, severe weather, wildfire, earthquakes, floods, hurricanes, drought, and other qualifying disruptions.</w:t>
      </w:r>
    </w:p>
    <w:p>
      <w:pPr>
        <w:pStyle w:val="Normal"/>
      </w:pPr>
      <w:r>
        <w:t>2. This Chapter coordinates trade, logistics, mutual assistance, infrastructure restoration, industrial surge, and recovery. It does not create a supranational emergency authority, compel deployment of personnel, or displace domestic command structures.</w:t>
      </w:r>
    </w:p>
    <w:p>
      <w:pPr>
        <w:pStyle w:val="Heading2"/>
      </w:pPr>
      <w:bookmarkStart w:id="901976" w:name="_Toc300001975"/>
      <w:r>
        <w:t>Article 62.2: North American Emergency Mutual Assistance Compact</w:t>
      </w:r>
      <w:bookmarkEnd w:id="901976"/>
    </w:p>
    <w:p>
      <w:pPr>
        <w:pStyle w:val="Normal"/>
      </w:pPr>
      <w:r>
        <w:t>1. The Parties shall maintain interoperable procedures for requesting, offering, accepting, tracking, and demobilizing cross-border emergency assistance.</w:t>
      </w:r>
    </w:p>
    <w:p>
      <w:pPr>
        <w:pStyle w:val="Normal"/>
      </w:pPr>
      <w:r>
        <w:t>2. Procedures shall identify competent authorities, request formats, mission scope, command relationships, cost responsibility, liability treatment, credential verification, customs treatment, and rules for return or disposition of equipment.</w:t>
      </w:r>
    </w:p>
    <w:p>
      <w:pPr>
        <w:pStyle w:val="Normal"/>
      </w:pPr>
      <w:r>
        <w:t>3. Assistance remains voluntary unless a separate binding arrangement provides otherwise. The receiving jurisdiction retains operational command consistent with domestic law.</w:t>
      </w:r>
    </w:p>
    <w:p>
      <w:pPr>
        <w:pStyle w:val="Heading2"/>
      </w:pPr>
      <w:bookmarkStart w:id="901977" w:name="_Toc300001976"/>
      <w:r>
        <w:t>Article 62.3: Responder Credentials and Good-Faith Assistance</w:t>
      </w:r>
      <w:bookmarkEnd w:id="901977"/>
    </w:p>
    <w:p>
      <w:pPr>
        <w:pStyle w:val="Normal"/>
      </w:pPr>
      <w:r>
        <w:t>1. The Parties shall develop expedited recognition or temporary authorization pathways for firefighters, emergency medical personnel, engineers, utility restoration crews, search-and-rescue specialists, and other designated responders whose credentials can be reliably verified.</w:t>
      </w:r>
    </w:p>
    <w:p>
      <w:pPr>
        <w:pStyle w:val="Normal"/>
      </w:pPr>
      <w:r>
        <w:t>2. Domestic professional, safety, labour, immigration, and licensing law remains applicable, but emergency procedures should avoid duplicative licensing where an equivalent credential and mission-specific supervision provide adequate assurance.</w:t>
      </w:r>
    </w:p>
    <w:p>
      <w:pPr>
        <w:pStyle w:val="Normal"/>
      </w:pPr>
      <w:r>
        <w:t>3. The Parties shall seek appropriate good-faith liability protections for authorized responders consistent with domestic law and shall publish the applicable protections before deployment where practicable.</w:t>
      </w:r>
    </w:p>
    <w:p>
      <w:pPr>
        <w:pStyle w:val="Heading2"/>
      </w:pPr>
      <w:bookmarkStart w:id="901978" w:name="_Toc300001977"/>
      <w:r>
        <w:t>Article 62.4: Disaster Lanes and Emergency Border Processing</w:t>
      </w:r>
      <w:bookmarkEnd w:id="901978"/>
    </w:p>
    <w:p>
      <w:pPr>
        <w:pStyle w:val="Normal"/>
      </w:pPr>
      <w:r>
        <w:t>1. During a qualifying emergency, customs and border authorities may activate Disaster Lanes for accredited responders, relief goods, power-restoration equipment, emergency communications, temporary shelter, water systems, food, medical goods, wildfire equipment, and other designated response resources.</w:t>
      </w:r>
    </w:p>
    <w:p>
      <w:pPr>
        <w:pStyle w:val="Normal"/>
      </w:pPr>
      <w:r>
        <w:t>2. Disaster Lanes may use pre-arrival manifests, consolidated documentation, pre-clearance, priority inspection, extended operating hours, temporary admission, and coordinated inspection while preserving safety, security, sanitary, origin, sanctions, and anti-diversion controls.</w:t>
      </w:r>
    </w:p>
    <w:p>
      <w:pPr>
        <w:pStyle w:val="Normal"/>
      </w:pPr>
      <w:r>
        <w:t>3. This Article supplements Articles 38.3, 38.9, and 55.3. Where provisions overlap, authorities shall use the procedure that provides the fastest lawful movement without lowering the applicable substantive standard.</w:t>
      </w:r>
    </w:p>
    <w:p>
      <w:pPr>
        <w:pStyle w:val="Heading2"/>
      </w:pPr>
      <w:bookmarkStart w:id="901979" w:name="_Toc300001978"/>
      <w:r>
        <w:t>Article 62.5: Emergency Call-Off Contracts and Supplier Surge Network</w:t>
      </w:r>
      <w:bookmarkEnd w:id="901979"/>
    </w:p>
    <w:p>
      <w:pPr>
        <w:pStyle w:val="Normal"/>
      </w:pPr>
      <w:r>
        <w:t>1. The Parties may maintain pre-negotiated or pre-qualified call-off arrangements with private suppliers for emergency goods, transport, warehousing, temporary infrastructure, repair services, communications, and other response needs.</w:t>
      </w:r>
    </w:p>
    <w:p>
      <w:pPr>
        <w:pStyle w:val="Normal"/>
      </w:pPr>
      <w:r>
        <w:t>2. A call-off arrangement shall state price or pricing method, capacity assumptions, activation authority, delivery priorities, duration, and anti-gouging or integrity safeguards where applicable.</w:t>
      </w:r>
    </w:p>
    <w:p>
      <w:pPr>
        <w:pStyle w:val="Normal"/>
      </w:pPr>
      <w:r>
        <w:t>3. Participation does not guarantee a purchase. Governments should preserve competitive entry for additional suppliers when time and circumstances permit.</w:t>
      </w:r>
    </w:p>
    <w:p>
      <w:pPr>
        <w:pStyle w:val="Heading2"/>
      </w:pPr>
      <w:bookmarkStart w:id="901980" w:name="_Toc300001979"/>
      <w:r>
        <w:t>Article 62.6: Power Restoration and Critical Infrastructure Equipment Coordination</w:t>
      </w:r>
      <w:bookmarkEnd w:id="901980"/>
    </w:p>
    <w:p>
      <w:pPr>
        <w:pStyle w:val="Normal"/>
      </w:pPr>
      <w:r>
        <w:t>1. The Parties shall coordinate visibility of, and may voluntarily commit access to, transformers, mobile substations, generators, grid-control equipment, telecommunications restoration equipment, pumps, and qualified repair crews for major infrastructure disruptions. No Party is required to contribute equipment, personnel, funding, or reserve capacity absent a separate accepted commitment.</w:t>
      </w:r>
    </w:p>
    <w:p>
      <w:pPr>
        <w:pStyle w:val="Normal"/>
      </w:pPr>
      <w:r>
        <w:t>2. Equipment may remain commercially owned and geographically distributed. The framework may use rotating inventories, vendor-managed reserves, mutual-aid pools, or rapid-manufacturing contracts rather than centralized government stockpiles.</w:t>
      </w:r>
    </w:p>
    <w:p>
      <w:pPr>
        <w:pStyle w:val="Normal"/>
      </w:pPr>
      <w:r>
        <w:t>3. Release decisions shall account for the donor jurisdiction's own emergency needs and shall not create a duty to export equipment required for an active domestic life-safety emergency.</w:t>
      </w:r>
    </w:p>
    <w:p>
      <w:pPr>
        <w:pStyle w:val="Heading2"/>
      </w:pPr>
      <w:bookmarkStart w:id="901981" w:name="_Toc300001980"/>
      <w:r>
        <w:t>Article 62.7: Wildfire and All-Hazards Equipment Reserve</w:t>
      </w:r>
      <w:bookmarkEnd w:id="901981"/>
    </w:p>
    <w:p>
      <w:pPr>
        <w:pStyle w:val="Normal"/>
      </w:pPr>
      <w:r>
        <w:t>1. The Parties may coordinate seasonal or rotating reserves of wildfire and all-hazards response equipment, including protective equipment, pumps, hose, mobile communications, ground-support equipment, and other lawful response assets.</w:t>
      </w:r>
    </w:p>
    <w:p>
      <w:pPr>
        <w:pStyle w:val="Normal"/>
      </w:pPr>
      <w:r>
        <w:t>2. Specialized aircraft, heavy equipment, or other scarce assets may participate through availability contracts or mutual-aid rosters rather than permanent transfer.</w:t>
      </w:r>
    </w:p>
    <w:p>
      <w:pPr>
        <w:pStyle w:val="Normal"/>
      </w:pPr>
      <w:r>
        <w:t>3. Shared wildfire planning should account for differing seasonal peaks so that idle capacity can assist another Party without degrading domestic readiness.</w:t>
      </w:r>
    </w:p>
    <w:p>
      <w:pPr>
        <w:pStyle w:val="Heading2"/>
      </w:pPr>
      <w:bookmarkStart w:id="901982" w:name="_Toc300001981"/>
      <w:r>
        <w:t>Article 62.8: Strategic Construction Materials and Modular Recovery Supply</w:t>
      </w:r>
      <w:bookmarkEnd w:id="901982"/>
    </w:p>
    <w:p>
      <w:pPr>
        <w:pStyle w:val="Normal"/>
      </w:pPr>
      <w:r>
        <w:t>1. The Parties shall facilitate emergency access to originating lumber and engineered wood, steel, aluminum, cementitious materials, glass, electrical equipment, temporary bridges, modular shelter, and other reconstruction inputs.</w:t>
      </w:r>
    </w:p>
    <w:p>
      <w:pPr>
        <w:pStyle w:val="Normal"/>
      </w:pPr>
      <w:r>
        <w:t>2. Canada, Mexico, and the United States may use Chapter 42 forestry integration, Chapter 49 procurement, and Chapter 55 logistics tools to support rapid reconstruction and modular housing production.</w:t>
      </w:r>
    </w:p>
    <w:p>
      <w:pPr>
        <w:pStyle w:val="Normal"/>
      </w:pPr>
      <w:r>
        <w:t>3. Emergency treatment shall not become a permanent waiver of building, safety, environmental, or procurement integrity requirements.</w:t>
      </w:r>
    </w:p>
    <w:p>
      <w:pPr>
        <w:pStyle w:val="Heading2"/>
      </w:pPr>
      <w:bookmarkStart w:id="901983" w:name="_Toc300001982"/>
      <w:r>
        <w:t>Article 62.9: Common Operating Picture and Early Warning Interoperability</w:t>
      </w:r>
      <w:bookmarkEnd w:id="901983"/>
    </w:p>
    <w:p>
      <w:pPr>
        <w:pStyle w:val="Normal"/>
      </w:pPr>
      <w:r>
        <w:t>1. Competent agencies shall improve interoperability among existing wildfire, weather, flood, drought, earthquake, tsunami, volcanic ash, space-weather, public-health, and infrastructure-warning systems where cross-border consequences are material.</w:t>
      </w:r>
    </w:p>
    <w:p>
      <w:pPr>
        <w:pStyle w:val="Normal"/>
      </w:pPr>
      <w:r>
        <w:t>2. The Parties should prefer interoperable exchange among existing expert agencies to creation of duplicative centralized systems.</w:t>
      </w:r>
    </w:p>
    <w:p>
      <w:pPr>
        <w:pStyle w:val="Normal"/>
      </w:pPr>
      <w:r>
        <w:t>3. Shared information shall identify confidence, source, update time, geographic relevance, and material limitations. Automated or AI-assisted forecasts shall not be represented as certain where uncertainty is material.</w:t>
      </w:r>
    </w:p>
    <w:p>
      <w:pPr>
        <w:pStyle w:val="Heading2"/>
      </w:pPr>
      <w:bookmarkStart w:id="901984" w:name="_Toc300001983"/>
      <w:r>
        <w:t>Article 62.10: Satellite, Mapping, and Damage-Assessment Cooperation</w:t>
      </w:r>
      <w:bookmarkEnd w:id="901984"/>
    </w:p>
    <w:p>
      <w:pPr>
        <w:pStyle w:val="Normal"/>
      </w:pPr>
      <w:r>
        <w:t>1. Subject to law, licensing, security restrictions, and commercial rights, the Parties may share or coordinate access to satellite imagery, aerial mapping, remote sensing, geospatial data, and damage assessments needed for emergency response and infrastructure recovery.</w:t>
      </w:r>
    </w:p>
    <w:p>
      <w:pPr>
        <w:pStyle w:val="Normal"/>
      </w:pPr>
      <w:r>
        <w:t>2. Public release of sensitive imagery is not required. Data-sharing arrangements shall protect critical-infrastructure security, personal information, Indigenous or culturally sensitive information, and legitimate commercial confidentiality.</w:t>
      </w:r>
    </w:p>
    <w:p>
      <w:pPr>
        <w:pStyle w:val="Heading2"/>
      </w:pPr>
      <w:bookmarkStart w:id="901985" w:name="_Toc300001984"/>
      <w:r>
        <w:t>Article 62.11: Joint Exercises and Tabletop Testing</w:t>
      </w:r>
      <w:bookmarkEnd w:id="901985"/>
    </w:p>
    <w:p>
      <w:pPr>
        <w:pStyle w:val="Normal"/>
      </w:pPr>
      <w:r>
        <w:t>1. The Parties shall periodically conduct or coordinate civilian-led tabletop or operational exercises, subject to domestic resources and authority, testing cross-border requests, customs processing, communications, logistics, power restoration, wildfire assistance, industrial surge, and recovery coordination. Participation in a particular exercise or equipment deployment is voluntary unless separately agreed.</w:t>
      </w:r>
    </w:p>
    <w:p>
      <w:pPr>
        <w:pStyle w:val="Normal"/>
      </w:pPr>
      <w:r>
        <w:t>2. Exercises may include military logistics, engineering, medical, airlift, or communications capabilities when lawfully requested by civilian authorities, without altering civilian command or creating standing military authority under this Agreement.</w:t>
      </w:r>
    </w:p>
    <w:p>
      <w:pPr>
        <w:pStyle w:val="Normal"/>
      </w:pPr>
      <w:r>
        <w:t>3. Exercise findings shall feed into the lessons-learned process in Article 62.17.</w:t>
      </w:r>
    </w:p>
    <w:p>
      <w:pPr>
        <w:pStyle w:val="Heading2"/>
      </w:pPr>
      <w:bookmarkStart w:id="901986" w:name="_Toc300001985"/>
      <w:r>
        <w:t>Article 62.12: Indigenous, Tribal, Remote, and Border Community Resilience</w:t>
      </w:r>
      <w:bookmarkEnd w:id="901986"/>
    </w:p>
    <w:p>
      <w:pPr>
        <w:pStyle w:val="Normal"/>
      </w:pPr>
      <w:r>
        <w:t>1. Implementation should include meaningful pathways for Indigenous, tribal, remote, northern, rural, and border communities whose geography or infrastructure creates distinctive response constraints.</w:t>
      </w:r>
    </w:p>
    <w:p>
      <w:pPr>
        <w:pStyle w:val="Normal"/>
      </w:pPr>
      <w:r>
        <w:t>2. Cooperation may include community-led wildfire knowledge, evacuation planning, communications redundancy, emergency energy, local supply caches, and cross-border continuity where communities or traditional territories span a boundary.</w:t>
      </w:r>
    </w:p>
    <w:p>
      <w:pPr>
        <w:pStyle w:val="Normal"/>
      </w:pPr>
      <w:r>
        <w:t>3. Nothing in this Article alters treaty, constitutional, Indigenous, tribal, land, or jurisdictional rights under domestic law.</w:t>
      </w:r>
    </w:p>
    <w:p>
      <w:pPr>
        <w:pStyle w:val="Heading2"/>
      </w:pPr>
      <w:bookmarkStart w:id="901987" w:name="_Toc300001986"/>
      <w:r>
        <w:t>Article 62.13: Agricultural, Food, and Animal-Health Emergency Logistics</w:t>
      </w:r>
      <w:bookmarkEnd w:id="901987"/>
    </w:p>
    <w:p>
      <w:pPr>
        <w:pStyle w:val="Normal"/>
      </w:pPr>
      <w:r>
        <w:t>1. The Parties shall maintain contingency procedures for movement of emergency food, feed, veterinary supplies, livestock-related equipment, agricultural inputs, and other essential agri-food goods during qualifying disruptions.</w:t>
      </w:r>
    </w:p>
    <w:p>
      <w:pPr>
        <w:pStyle w:val="Normal"/>
      </w:pPr>
      <w:r>
        <w:t>2. Sanitary, phytosanitary, animal-health, and food-safety controls remain in force. Authorities should use risk-based routing, compartmentalization, electronic certification, and other tools to preserve safe trade where a blanket closure is unnecessary.</w:t>
      </w:r>
    </w:p>
    <w:p>
      <w:pPr>
        <w:pStyle w:val="Heading2"/>
      </w:pPr>
      <w:bookmarkStart w:id="901988" w:name="_Toc300001987"/>
      <w:r>
        <w:t>Article 62.14: Resilience Finance and Catastrophe-Risk Tools</w:t>
      </w:r>
      <w:bookmarkEnd w:id="901988"/>
    </w:p>
    <w:p>
      <w:pPr>
        <w:pStyle w:val="Normal"/>
      </w:pPr>
      <w:r>
        <w:t>1. The Parties may facilitate catastrophe bonds, resilience bonds, insurance, reinsurance, public-private financing, business-continuity finance, and other lawful instruments that mobilize private capital for mitigation and recovery.</w:t>
      </w:r>
    </w:p>
    <w:p>
      <w:pPr>
        <w:pStyle w:val="Normal"/>
      </w:pPr>
      <w:r>
        <w:t>2. Joint or coordinated instruments shall define risk allocation and shall not create an unlimited fiscal guarantee by another Party.</w:t>
      </w:r>
    </w:p>
    <w:p>
      <w:pPr>
        <w:pStyle w:val="Normal"/>
      </w:pPr>
      <w:r>
        <w:t>3. Projects financed under this Article should disclose measurable resilience outcomes appropriate to the asset, such as reduced outage time, alternate routing, flood protection, fire resistance, or restoration capacity.</w:t>
      </w:r>
    </w:p>
    <w:p>
      <w:pPr>
        <w:pStyle w:val="Heading2"/>
      </w:pPr>
      <w:bookmarkStart w:id="901989" w:name="_Toc300001988"/>
      <w:r>
        <w:t>Article 62.15: Disaster Innovation and Rapid Qualification Pathway</w:t>
      </w:r>
      <w:bookmarkEnd w:id="901989"/>
    </w:p>
    <w:p>
      <w:pPr>
        <w:pStyle w:val="Normal"/>
      </w:pPr>
      <w:r>
        <w:t>1. The Parties may use the Experimental Technology Pathway and shared testing facilities to evaluate new emergency technologies, including communications, sensors, robotics, additive manufacturing, remote sensing, logistics software, and other tools without prescribing a particular technology.</w:t>
      </w:r>
    </w:p>
    <w:p>
      <w:pPr>
        <w:pStyle w:val="Normal"/>
      </w:pPr>
      <w:r>
        <w:t>2. A successful pilot may qualify for expedited procurement or mutual-aid consideration but does not receive an automatic purchase commitment.</w:t>
      </w:r>
    </w:p>
    <w:p>
      <w:pPr>
        <w:pStyle w:val="Heading2"/>
      </w:pPr>
      <w:bookmarkStart w:id="901990" w:name="_Toc300001989"/>
      <w:r>
        <w:t>Article 62.16: Recovery, Reconstruction, and Local Economic Continuity</w:t>
      </w:r>
      <w:bookmarkEnd w:id="901990"/>
    </w:p>
    <w:p>
      <w:pPr>
        <w:pStyle w:val="Normal"/>
      </w:pPr>
      <w:r>
        <w:t>1. Recovery programs should seek rapid restoration of lawful commerce, SMEs, transportation, energy, communications, housing, public services, and critical supply chains while allowing communities to rebuild to more resilient standards under domestic law.</w:t>
      </w:r>
    </w:p>
    <w:p>
      <w:pPr>
        <w:pStyle w:val="Normal"/>
      </w:pPr>
      <w:r>
        <w:t>2. The Parties may coordinate supplier matching, temporary customs treatment, reconstruction procurement, workforce mobility, and brownfield or infrastructure reuse where cross-border cooperation materially accelerates recovery.</w:t>
      </w:r>
    </w:p>
    <w:p>
      <w:pPr>
        <w:pStyle w:val="Heading2"/>
      </w:pPr>
      <w:bookmarkStart w:id="901991" w:name="_Toc300001990"/>
      <w:r>
        <w:t>Article 62.17: After-Action Review and No-Fault Learning</w:t>
      </w:r>
      <w:bookmarkEnd w:id="901991"/>
    </w:p>
    <w:p>
      <w:pPr>
        <w:pStyle w:val="Normal"/>
      </w:pPr>
      <w:r>
        <w:t>1. Following a major joint activation, participating authorities shall prepare a non-confidential after-action assessment identifying material successes, bottlenecks, legal conflicts, data failures, procurement problems, and recommended corrections.</w:t>
      </w:r>
    </w:p>
    <w:p>
      <w:pPr>
        <w:pStyle w:val="Normal"/>
      </w:pPr>
      <w:r>
        <w:t>2. Good-faith identification of an operational failure for learning purposes shall not by itself establish treaty liability. Evidence of fraud, corruption, discrimination, or deliberate non-compliance remains actionable under applicable law.</w:t>
      </w:r>
    </w:p>
    <w:p>
      <w:pPr>
        <w:pStyle w:val="Normal"/>
      </w:pPr>
      <w:r>
        <w:t>3. Repeated lessons shall be incorporated into protocols, exercises, procurement specifications, stockpile planning, and implementation guidance.</w:t>
      </w:r>
    </w:p>
    <w:p>
      <w:pPr>
        <w:pStyle w:val="Heading2"/>
      </w:pPr>
      <w:bookmarkStart w:id="901992" w:name="_Toc300001991"/>
      <w:r>
        <w:t>Article 62.18: Relationship to Other Chapters and Cothrom Review</w:t>
      </w:r>
      <w:bookmarkEnd w:id="901992"/>
    </w:p>
    <w:p>
      <w:pPr>
        <w:pStyle w:val="Normal"/>
      </w:pPr>
      <w:r>
        <w:t>1. Chapters 7, 19, 23, 31, 35, 36, 38, 42, 49, 55, and 61 remain applicable. This Chapter coordinates their emergency use and does not create authority to suspend unrelated treaty rights.</w:t>
      </w:r>
    </w:p>
    <w:p>
      <w:pPr>
        <w:pStyle w:val="Normal"/>
      </w:pPr>
      <w:r>
        <w:t>2. A dispute over emergency assistance should first receive rapid technical consultation and cure. Retaliation against unrelated sectors is disfavored and any remedy shall satisfy the Narrowest-Sufficient-Remedy Rule.</w:t>
      </w:r>
    </w:p>
    <w:p>
      <w:pPr>
        <w:pStyle w:val="Heading2"/>
      </w:pPr>
      <w:bookmarkStart w:id="901993" w:name="_Toc300001992"/>
      <w:r>
        <w:t>ANNEX 62-A: INITIAL CONTINENTAL RESILIENCE MODULES</w:t>
      </w:r>
      <w:bookmarkEnd w:id="901993"/>
    </w:p>
    <w:p>
      <w:pPr>
        <w:pStyle w:val="Normal"/>
      </w:pPr>
      <w:r>
        <w:t>1. Module A: Border and Logistics: responder manifests, Disaster Lanes, temporary admission, alternate ports, and emergency operating-hour coordination.</w:t>
      </w:r>
    </w:p>
    <w:p>
      <w:pPr>
        <w:pStyle w:val="Normal"/>
      </w:pPr>
      <w:r>
        <w:t>2. Module B: Grid and Communications: transformer and generator visibility, mobile substations, telecommunications restoration, mutual-aid crews, and priority transport.</w:t>
      </w:r>
    </w:p>
    <w:p>
      <w:pPr>
        <w:pStyle w:val="Normal"/>
      </w:pPr>
      <w:r>
        <w:t>3. Module C: Wildfire and Severe Weather: seasonal equipment availability, cross-border wildfire support, flood pumps and barriers, water systems, and shared situational awareness.</w:t>
      </w:r>
    </w:p>
    <w:p>
      <w:pPr>
        <w:pStyle w:val="Normal"/>
      </w:pPr>
      <w:r>
        <w:t>4. Module D: Shelter and Reconstruction: modular shelter and housing, lumber and engineered wood, steel, aluminum, glass, electrical equipment, temporary bridges, and rapid supplier qualification.</w:t>
      </w:r>
    </w:p>
    <w:p>
      <w:pPr>
        <w:pStyle w:val="Normal"/>
      </w:pPr>
      <w:r>
        <w:t>5. Module E: Agricultural and Community Continuity: food and feed logistics, veterinary and animal-health support, remote-community supply, and community-led resilience.</w:t>
      </w:r>
    </w:p>
    <w:p>
      <w:pPr>
        <w:pStyle w:val="Normal"/>
      </w:pPr>
      <w:r>
        <w:t>6. Module F: Finance, Innovation, and Learning: resilience finance, experimental technologies, shared testing, exercises, and after-action improvement.</w:t>
      </w:r>
    </w:p>
    <w:p>
      <w:pPr>
        <w:pStyle w:val="Heading2"/>
      </w:pPr>
      <w:bookmarkStart w:id="901994" w:name="_Toc300001993"/>
      <w:r>
        <w:t>PACKAGE AD: CONTINENTAL RESILIENCE ENRICHMENT AND IMPLEMENTATION PACKAGE (v5.3)</w:t>
      </w:r>
      <w:bookmarkEnd w:id="901994"/>
    </w:p>
    <w:p>
      <w:pPr>
        <w:pStyle w:val="Normal"/>
      </w:pPr>
      <w:r>
        <w:t>AD-1. Chapter 37 adds a strategic industrial scale-up pathway, distributed mineral pilot-plant network, bounded project-risk facilitation, urban-mining and rare-earth-magnet recovery, mineral-substitution research, and mine-community transition planning.</w:t>
      </w:r>
    </w:p>
    <w:p>
      <w:pPr>
        <w:pStyle w:val="Normal"/>
      </w:pPr>
      <w:r>
        <w:t>AD-2. Chapter 43 adds dairy allocation portability, quarterly active-use reallocation, functional access pools, exporter pre-clearance and a new-entrant gateway; beverage provisions add listing transparency, special-order access, a small-producer gateway, and North American beverage-input cooperation.</w:t>
      </w:r>
    </w:p>
    <w:p>
      <w:pPr>
        <w:pStyle w:val="Normal"/>
      </w:pPr>
      <w:r>
        <w:t>AD-3. Chapter 59 adds bounded platform/model-family content banking, shared supplier qualification and failure-analysis facilities, and an investment-linked transitional tariff credit subject to the Continental Additionality Test.</w:t>
      </w:r>
    </w:p>
    <w:p>
      <w:pPr>
        <w:pStyle w:val="Normal"/>
      </w:pPr>
      <w:r>
        <w:t>AD-4. New Chapter 62 establishes a civilian-led North American disaster-resilience and mutual-assistance framework covering responder credentials, Disaster Lanes, call-off contracts, power restoration, wildfire equipment, reconstruction materials, early warning, mapping, exercises, community resilience, agricultural continuity, resilience finance, innovation, recovery, and after-action learning.</w:t>
      </w:r>
    </w:p>
    <w:p>
      <w:pPr>
        <w:pStyle w:val="Heading2"/>
      </w:pPr>
      <w:bookmarkStart w:id="901995" w:name="_Toc300001994"/>
      <w:r>
        <w:t>PACKAGE AC: FINAL IMPLEMENTATION AND INTEGRATION PACKAGE (v5.1)</w:t>
      </w:r>
      <w:bookmarkEnd w:id="901995"/>
    </w:p>
    <w:p>
      <w:pPr>
        <w:pStyle w:val="Normal"/>
      </w:pPr>
      <w:r>
        <w:t>AC-1. Annex 35-D.1 supplies three principal-level tariff landing options while preserving Annex 35-D immediate normalization as the default and prioritizing de-escalation of exceptional 50-percent-or-greater rates.</w:t>
      </w:r>
    </w:p>
    <w:p>
      <w:pPr>
        <w:pStyle w:val="Normal"/>
      </w:pPr>
      <w:r>
        <w:t>AC-2. Annex 49-A establishes a preliminary domestic / North American / other-partner procurement hierarchy for designated covered procurements with transparent qualification and protected security exclusions.</w:t>
      </w:r>
    </w:p>
    <w:p>
      <w:pPr>
        <w:pStyle w:val="Normal"/>
      </w:pPr>
      <w:r>
        <w:t>AC-3. Annex 43-F creates a 0/30/60/90-day beverage-alcohol market-access implementation ramp centered on transparency, non-discrimination, and voluntary subnational pilots rather than guaranteed sales.</w:t>
      </w:r>
    </w:p>
    <w:p>
      <w:pPr>
        <w:pStyle w:val="Normal"/>
      </w:pPr>
      <w:r>
        <w:t>AC-4. Implementation Instrument I-1 creates Day-One, Day-30, Day-90, and Year-One sequencing for tariff, customs, procurement, alcohol, automotive, minerals, forestry, digital, and implementation-coordination obligations.</w:t>
      </w:r>
    </w:p>
    <w:p>
      <w:pPr>
        <w:pStyle w:val="Heading2"/>
      </w:pPr>
      <w:bookmarkStart w:id="901996" w:name="_Toc300001995"/>
      <w:r>
        <w:t>PACKAGE AB: MEXICO PARITY, TRILATERAL PROCUREMENT, FORESTRY INTEGRATION, AND INDUSTRIAL RESILIENCE PACKAGE (v5.0)</w:t>
      </w:r>
      <w:bookmarkEnd w:id="901996"/>
    </w:p>
    <w:p>
      <w:pPr>
        <w:pStyle w:val="Normal"/>
      </w:pPr>
      <w:r>
        <w:t>AB-1. Articles 42.24–42.29 establish a full Mexican forestry and wood-products integration lane while expressly firewalling Mexico from the historic Canada-United States softwood-lumber dispute.</w:t>
      </w:r>
    </w:p>
    <w:p>
      <w:pPr>
        <w:pStyle w:val="Normal"/>
      </w:pPr>
      <w:r>
        <w:t>AB-2. Article 48.6 makes the continuous-duration and investment-reliance architecture explicitly trilateral and prevents bilateral review disputes from creating de facto renewal uncertainty for unrelated Mexican trade.</w:t>
      </w:r>
    </w:p>
    <w:p>
      <w:pPr>
        <w:pStyle w:val="Normal"/>
      </w:pPr>
      <w:r>
        <w:t>AB-3. Articles 49.7–49.9 create North American strategic procurement reciprocity, an expedited Mexican extraordinary-tariff normalization track, and a trilateral steel/aluminum normalization and anti-diversion bargain.</w:t>
      </w:r>
    </w:p>
    <w:p>
      <w:pPr>
        <w:pStyle w:val="Normal"/>
      </w:pPr>
      <w:r>
        <w:t>AB-4. Article 50.8 adds a Mexican digital-manufacturing and SME export lane tied to electronics, semiconductors, software, customs interoperability, and procurement opportunity.</w:t>
      </w:r>
    </w:p>
    <w:p>
      <w:pPr>
        <w:pStyle w:val="Normal"/>
      </w:pPr>
      <w:r>
        <w:t>AB-5. Article 59.22 reinforces equal treatment of Canadian, Mexican, and United States originating automotive value and adds a Continental Additionality Test against subsidy-driven intra-North-American relocation.</w:t>
      </w:r>
    </w:p>
    <w:p>
      <w:pPr>
        <w:pStyle w:val="Normal"/>
      </w:pPr>
      <w:r>
        <w:t>AB-6. Chapter 61 establishes a high-level North American defense-industrial materials and capacity framework covering strategic inputs, long-term demand signals, reciprocal supplier qualification, rotating reserves, surge capacity, recycling, workforce resilience, and a civilian-priority firewall without prescribing weapon or ammunition design.</w:t>
      </w:r>
    </w:p>
    <w:p>
      <w:pPr>
        <w:pStyle w:val="Heading2"/>
      </w:pPr>
      <w:bookmarkStart w:id="901997" w:name="_Toc300001996"/>
      <w:r>
        <w:t>PACKAGE AA: TRIADIC LABOUR FLOOR, EQUAL DIGNITY, AND CROSS-BORDER SOVEREIGNTY HARDENING (v4.9)</w:t>
      </w:r>
      <w:bookmarkEnd w:id="901997"/>
    </w:p>
    <w:p>
      <w:pPr>
        <w:pStyle w:val="Normal"/>
      </w:pPr>
      <w:r>
        <w:t>AA-1. Articles 23.D–23.P establish a consolidated Triadic Labour Floor covering basic workplace conditions, emergency readiness, occupational environmental quality, PPE, rest and accommodation, illness and family continuity, anti-discrimination, migrant-worker parity, automated employment decisions, protected exercise, and proportional enforcement.</w:t>
      </w:r>
    </w:p>
    <w:p>
      <w:pPr>
        <w:pStyle w:val="Normal"/>
      </w:pPr>
      <w:r>
        <w:t>AA-2. Chapter 60 establishes reciprocal territorial-sovereignty rules for foreign enforcement personnel and prevents this Agreement from becoming an independent source of civil immigration-enforcement authority.</w:t>
      </w:r>
    </w:p>
    <w:p>
      <w:pPr>
        <w:pStyle w:val="Normal"/>
      </w:pPr>
      <w:r>
        <w:t>AA-3. Treaty-enabled data sharing is subject to purpose limitation, necessity, proportionality, minimization, sensitive-institution protections, non-circumvention, access logging, and domestic-law safeguards.</w:t>
      </w:r>
    </w:p>
    <w:p>
      <w:pPr>
        <w:pStyle w:val="Normal"/>
      </w:pPr>
      <w:r>
        <w:t>AA-4. A Protected Exercise Firewall prevents labour-rights and occupational-safety complaint channels from being repurposed as unrelated foreign civil immigration-enforcement pipelines, subject to narrow lawful exceptions.</w:t>
      </w:r>
    </w:p>
    <w:p>
      <w:pPr>
        <w:pStyle w:val="Normal"/>
      </w:pPr>
      <w:r>
        <w:t>AA-5. A Foreign Enforcement Officer Stand-Down Protocol permits immediate suspension of operational activity where host-country authorities find reasonable grounds to believe a material violation has occurred, while preserving due process and full host-state legal authority.</w:t>
      </w:r>
    </w:p>
    <w:p>
      <w:pPr>
        <w:pStyle w:val="Normal"/>
      </w:pPr>
      <w:r>
        <w:t>AA-6. Institutional restraint is maintained throughout: existing courts, regulators, oversight bodies, and treaty mechanisms are used instead of creating unnecessary new standing institutions.</w:t>
      </w:r>
    </w:p>
    <w:p>
      <w:pPr>
        <w:pStyle w:val="Heading1"/>
      </w:pPr>
      <w:bookmarkStart w:id="901998" w:name="_Toc300001997"/>
      <w:r>
        <w:t>CHAPTER 63: NORTH AMERICAN MEDICINES SECURITY AND PHARMACEUTICAL RESILIENCE</w:t>
      </w:r>
      <w:bookmarkEnd w:id="901998"/>
    </w:p>
    <w:p>
      <w:pPr>
        <w:pStyle w:val="Normal"/>
      </w:pPr>
      <w:r>
        <w:t xml:space="preserve">★ </w:t>
      </w:r>
      <w:r>
        <w:t>VISIBLE TRILATERAL WIN: MORE ESSENTIAL MEDICINES MADE IN NORTH AMERICA, STRONGER EMERGENCY SUPPLY, AND NO MEDICINE AS A TARIFF HOSTAGE</w:t>
      </w:r>
    </w:p>
    <w:p>
      <w:pPr>
        <w:pStyle w:val="Heading2"/>
      </w:pPr>
      <w:bookmarkStart w:id="901999" w:name="_Toc300001998"/>
      <w:r>
        <w:t>Article 63.1: Purpose and Governing Principles</w:t>
      </w:r>
      <w:bookmarkEnd w:id="901999"/>
    </w:p>
    <w:p>
      <w:pPr>
        <w:pStyle w:val="Normal"/>
      </w:pPr>
      <w:r>
        <w:t>1. The Parties shall strengthen the resilience, diversity, reliability, affordability, quality, and security of North American pharmaceutical supply chains while preserving each Party’s sovereign authority over health, safety, drug approval, reimbursement, procurement, intellectual property, taxation, and emergency powers.</w:t>
      </w:r>
    </w:p>
    <w:p>
      <w:pPr>
        <w:pStyle w:val="Normal"/>
      </w:pPr>
      <w:r>
        <w:t>2. Cooperation under this Chapter shall seek to reduce catastrophic single-source dependence rather than require pharmaceutical autarky. Trusted external sources remain permissible where they improve resilience, affordability, quality, or continuity.</w:t>
      </w:r>
    </w:p>
    <w:p>
      <w:pPr>
        <w:pStyle w:val="Normal"/>
      </w:pPr>
      <w:r>
        <w:t>3. The Parties shall pursue geographic redundancy, commercially sustainable capacity, interoperable regulation, rapid shortage response, and visible domestic industrial gains in all three Parties.</w:t>
      </w:r>
    </w:p>
    <w:p>
      <w:pPr>
        <w:pStyle w:val="Normal"/>
      </w:pPr>
      <w:r>
        <w:t>4. No Party shall be assigned a permanent subordinate pharmaceutical role. Specialization may reflect existing strengths, but critical capacity should, where technically and economically practicable, be supported by qualified alternative sources.</w:t>
      </w:r>
    </w:p>
    <w:p>
      <w:pPr>
        <w:pStyle w:val="Heading2"/>
      </w:pPr>
      <w:bookmarkStart w:id="902000" w:name="_Toc300001999"/>
      <w:r>
        <w:t>Article 63.2: Essential Medicines and Strategic Pharmaceutical Classification</w:t>
      </w:r>
      <w:bookmarkEnd w:id="902000"/>
    </w:p>
    <w:p>
      <w:pPr>
        <w:pStyle w:val="Normal"/>
      </w:pPr>
      <w:r>
        <w:t>1. The Parties shall maintain a coordinated, periodically reviewed classification architecture covering: (a) life-critical medicines; (b) shortage-sensitive essential medicines; (c) strategic medical countermeasures; (d) critical APIs, key starting materials and indispensable excipients; and (e) strategic pharmaceutical manufacturing inputs.</w:t>
      </w:r>
    </w:p>
    <w:p>
      <w:pPr>
        <w:pStyle w:val="Normal"/>
      </w:pPr>
      <w:r>
        <w:t>2. Classification shall consider clinical indispensability, availability of therapeutic substitutes, supplier concentration, manufacturing lead time, geographic concentration, shortage history, transport sensitivity, shelf life, surge feasibility, and consequences of interruption.</w:t>
      </w:r>
    </w:p>
    <w:p>
      <w:pPr>
        <w:pStyle w:val="Normal"/>
      </w:pPr>
      <w:r>
        <w:t>3. The classification process shall not require disclosure of protected patient information, trade secrets, security-sensitive stockpile locations, or commercially sensitive facility data beyond what is reasonably necessary.</w:t>
      </w:r>
    </w:p>
    <w:p>
      <w:pPr>
        <w:pStyle w:val="Heading2"/>
      </w:pPr>
      <w:bookmarkStart w:id="902001" w:name="_Toc300002000"/>
      <w:r>
        <w:t>Article 63.3: Medicines Peace Clause and No-Tariff-Hostage Rule</w:t>
      </w:r>
      <w:bookmarkEnd w:id="902001"/>
    </w:p>
    <w:p>
      <w:pPr>
        <w:pStyle w:val="Normal"/>
      </w:pPr>
      <w:r>
        <w:t>1. Originating life-critical medicines, essential generics, designated shortage medicines, critical APIs lacking adequate substitutes, medical countermeasures, and medical isotopes shall receive exceptionally strong continuity protection.</w:t>
      </w:r>
    </w:p>
    <w:p>
      <w:pPr>
        <w:pStyle w:val="Normal"/>
      </w:pPr>
      <w:r>
        <w:t>2. A Party shall not use access to designated essential medicines as leverage for an unrelated trade, diplomatic, procurement, or political concession.</w:t>
      </w:r>
    </w:p>
    <w:p>
      <w:pPr>
        <w:pStyle w:val="Normal"/>
      </w:pPr>
      <w:r>
        <w:t>3. Pharmaceutical industrial-policy disputes should ordinarily be addressed through investment preferences, qualification benefits, procurement treatment, verification, or other proportionate industrial measures before any action that could foreseeably interrupt patient access.</w:t>
      </w:r>
    </w:p>
    <w:p>
      <w:pPr>
        <w:pStyle w:val="Normal"/>
      </w:pPr>
      <w:r>
        <w:t>4. A verified shortage or imminent shortage may justify temporary tariff suspension, expedited customs treatment, emergency sourcing, or other continuity measures without prejudice to later review.</w:t>
      </w:r>
    </w:p>
    <w:p>
      <w:pPr>
        <w:pStyle w:val="Normal"/>
      </w:pPr>
      <w:r>
        <w:t>5. Nothing in this Article prevents proportionate action against fraud, unsafe products, sanctions evasion, illicit trafficking, false origin, or other unlawful conduct.</w:t>
      </w:r>
    </w:p>
    <w:p>
      <w:pPr>
        <w:pStyle w:val="Heading2"/>
      </w:pPr>
      <w:bookmarkStart w:id="902002" w:name="_Toc300002001"/>
      <w:r>
        <w:t>Article 63.4: Pharmaceutical Rules of Origin and Transformation</w:t>
      </w:r>
      <w:bookmarkEnd w:id="902002"/>
    </w:p>
    <w:p>
      <w:pPr>
        <w:pStyle w:val="Normal"/>
      </w:pPr>
      <w:r>
        <w:t>1. The Parties shall develop pharmaceutical rules of origin that recognize meaningful North American synthesis, fermentation, bioprocessing, formulation, and finished-dose transformation while preventing simple packaging, relabeling, or transshipment from conferring origin.</w:t>
      </w:r>
    </w:p>
    <w:p>
      <w:pPr>
        <w:pStyle w:val="Normal"/>
      </w:pPr>
      <w:r>
        <w:t>2. Origin verification shall be traceable, technology-neutral, proportionate to risk, and capable of relying on ordinary commercial and regulatory records. No blockchain or other specific technology shall be mandatory.</w:t>
      </w:r>
    </w:p>
    <w:p>
      <w:pPr>
        <w:pStyle w:val="Normal"/>
      </w:pPr>
      <w:r>
        <w:t>3. Emergency use of qualified trusted external APIs or key starting materials shall not automatically disqualify a product from continuity treatment where the applicable origin rule or emergency waiver permits such use.</w:t>
      </w:r>
    </w:p>
    <w:p>
      <w:pPr>
        <w:pStyle w:val="Heading2"/>
      </w:pPr>
      <w:bookmarkStart w:id="902003" w:name="_Toc300002002"/>
      <w:r>
        <w:t>Article 63.5: Critical API and Key Starting Material Security</w:t>
      </w:r>
      <w:bookmarkEnd w:id="902003"/>
    </w:p>
    <w:p>
      <w:pPr>
        <w:pStyle w:val="Normal"/>
      </w:pPr>
      <w:r>
        <w:t>1. The Parties shall maintain a Critical API and KSM Risk Register identifying material single-source dependencies, concentrated foreign dependencies, fragile production economics, and midstream capability gaps.</w:t>
      </w:r>
    </w:p>
    <w:p>
      <w:pPr>
        <w:pStyle w:val="Normal"/>
      </w:pPr>
      <w:r>
        <w:t>2. For the most critical API families, the Parties shall seek qualified production or dependable alternative sourcing in at least two Parties or through a combination of North American and trusted external sources, where practicable.</w:t>
      </w:r>
    </w:p>
    <w:p>
      <w:pPr>
        <w:pStyle w:val="Normal"/>
      </w:pPr>
      <w:r>
        <w:t>3. Cooperation may include long-term offtake arrangements, capacity-preservation contracts, development-bank financing, fermentation and small-molecule capacity, biologic API capability, second-source qualification, recycling or recovery where applicable, and emergency surge agreements.</w:t>
      </w:r>
    </w:p>
    <w:p>
      <w:pPr>
        <w:pStyle w:val="Normal"/>
      </w:pPr>
      <w:r>
        <w:t>4. Numerical localization targets shall be evidence-based, periodically reviewed, and shall not create an obligation to manufacture uneconomic or technically unsuitable inputs solely to satisfy a headline percentage.</w:t>
      </w:r>
    </w:p>
    <w:p>
      <w:pPr>
        <w:pStyle w:val="Heading2"/>
      </w:pPr>
      <w:bookmarkStart w:id="902004" w:name="_Toc300002003"/>
      <w:r>
        <w:t>Article 63.6: Essential Generics Security</w:t>
      </w:r>
      <w:bookmarkEnd w:id="902004"/>
    </w:p>
    <w:p>
      <w:pPr>
        <w:pStyle w:val="Normal"/>
      </w:pPr>
      <w:r>
        <w:t>1. The Parties shall maintain an Essential Generics List and identify products for which persistent shortages, thin margins, supplier concentration, or facility concentration create material health-security risk.</w:t>
      </w:r>
    </w:p>
    <w:p>
      <w:pPr>
        <w:pStyle w:val="Normal"/>
      </w:pPr>
      <w:r>
        <w:t>2. Measures may include minimum viable capacity contracts, multi-year procurement or offtake arrangements, diversified manufacturing, shortage notification, emergency contracting, workforce support, and investment facilitation.</w:t>
      </w:r>
    </w:p>
    <w:p>
      <w:pPr>
        <w:pStyle w:val="Normal"/>
      </w:pPr>
      <w:r>
        <w:t>3. Government procurement preferences authorized under this Article shall remain consistent with applicable commitments and shall not create an exclusive entitlement for any one Party.</w:t>
      </w:r>
    </w:p>
    <w:p>
      <w:pPr>
        <w:pStyle w:val="Heading2"/>
      </w:pPr>
      <w:bookmarkStart w:id="902005" w:name="_Toc300002004"/>
      <w:r>
        <w:t>Article 63.7: Sterile Injectables and Fill-Finish Resilience</w:t>
      </w:r>
      <w:bookmarkEnd w:id="902005"/>
    </w:p>
    <w:p>
      <w:pPr>
        <w:pStyle w:val="Normal"/>
      </w:pPr>
      <w:r>
        <w:t>1. The Parties recognize sterile injectables, aseptic processing, fill-finish capacity, lyophilization, blow-fill-seal systems, oncology injectables, critical-care injectables, pediatric formulations, and related sterile manufacturing as priority resilience capabilities.</w:t>
      </w:r>
    </w:p>
    <w:p>
      <w:pPr>
        <w:pStyle w:val="Normal"/>
      </w:pPr>
      <w:r>
        <w:t>2. For designated critical injectable products, the Parties shall seek qualified production redundancy in at least two locations or Parties where technically and economically practicable.</w:t>
      </w:r>
    </w:p>
    <w:p>
      <w:pPr>
        <w:pStyle w:val="Normal"/>
      </w:pPr>
      <w:r>
        <w:t>3. Critical injectable contingency planning should identify alternate production sites, qualified suppliers, validated transfer pathways, specialized workforce requirements, and emergency surge options.</w:t>
      </w:r>
    </w:p>
    <w:p>
      <w:pPr>
        <w:pStyle w:val="Heading2"/>
      </w:pPr>
      <w:bookmarkStart w:id="902006" w:name="_Toc300002005"/>
      <w:r>
        <w:t>Article 63.8: Strategic Pharmaceutical Manufacturing Inputs</w:t>
      </w:r>
      <w:bookmarkEnd w:id="902006"/>
    </w:p>
    <w:p>
      <w:pPr>
        <w:pStyle w:val="Normal"/>
      </w:pPr>
      <w:r>
        <w:t>The Parties shall identify and reduce vulnerabilities involving vials, prefilled syringes, plungers, rubber stoppers, borosilicate glass, sterile filters, single-use bioreactor components, fill-finish equipment, lyophilization equipment, analytical systems, specialized packaging, refrigeration systems, and other indispensable pharmaceutical manufacturing inputs.</w:t>
      </w:r>
    </w:p>
    <w:p>
      <w:pPr>
        <w:pStyle w:val="Heading2"/>
      </w:pPr>
      <w:bookmarkStart w:id="902007" w:name="_Toc300002006"/>
      <w:r>
        <w:t>Article 63.9: Antibiotic and Antiviral Security Initiative</w:t>
      </w:r>
      <w:bookmarkEnd w:id="902007"/>
    </w:p>
    <w:p>
      <w:pPr>
        <w:pStyle w:val="Normal"/>
      </w:pPr>
      <w:r>
        <w:t>1. The Parties shall identify essential antibiotics and antivirals for which loss of production would create unacceptable health-security risk.</w:t>
      </w:r>
    </w:p>
    <w:p>
      <w:pPr>
        <w:pStyle w:val="Normal"/>
      </w:pPr>
      <w:r>
        <w:t>2. Cooperation may support economically fragile but medically essential production through capacity-preservation contracts, API/KSM security, rotating reserves, alternate facilities, second-source qualification, stewardship-compatible procurement, and emergency cross-border sharing.</w:t>
      </w:r>
    </w:p>
    <w:p>
      <w:pPr>
        <w:pStyle w:val="Normal"/>
      </w:pPr>
      <w:r>
        <w:t>3. Nothing in this Article requires inappropriate stockpiling or procurement that would undermine antimicrobial stewardship.</w:t>
      </w:r>
    </w:p>
    <w:p>
      <w:pPr>
        <w:pStyle w:val="Heading2"/>
      </w:pPr>
      <w:bookmarkStart w:id="902008" w:name="_Toc300002007"/>
      <w:r>
        <w:t>Article 63.10: Vaccines, Biologics and Platform Manufacturing</w:t>
      </w:r>
      <w:bookmarkEnd w:id="902008"/>
    </w:p>
    <w:p>
      <w:pPr>
        <w:pStyle w:val="Normal"/>
      </w:pPr>
      <w:r>
        <w:t>The Parties shall encourage resilient multipurpose vaccine and biologic manufacturing platforms, including mRNA, protein-subunit, monoclonal-antibody, insulin, immunoglobulin, coagulation-factor and other strategically important capabilities, with emphasis on adaptable platforms, qualified fill-finish capacity, clinical research cooperation, cold-chain resilience, and rapid platform conversion during emergencies.</w:t>
      </w:r>
    </w:p>
    <w:p>
      <w:pPr>
        <w:pStyle w:val="Heading2"/>
      </w:pPr>
      <w:bookmarkStart w:id="902009" w:name="_Toc300002008"/>
      <w:r>
        <w:t>Article 63.11: Pharmaceutical Cold Chain and Emergency Logistics</w:t>
      </w:r>
      <w:bookmarkEnd w:id="902009"/>
    </w:p>
    <w:p>
      <w:pPr>
        <w:pStyle w:val="Normal"/>
      </w:pPr>
      <w:r>
        <w:t>The Parties shall cooperate on redundant refrigeration, emergency power, validated packaging, temperature monitoring, alternate border crossings, priority customs treatment, backup transport routes, contingency air transport, and mutual logistical assistance for temperature-sensitive medicines.</w:t>
      </w:r>
    </w:p>
    <w:p>
      <w:pPr>
        <w:pStyle w:val="Heading2"/>
      </w:pPr>
      <w:bookmarkStart w:id="902010" w:name="_Toc300002009"/>
      <w:r>
        <w:t>Article 63.12: Resilience Equivalence Principle</w:t>
      </w:r>
      <w:bookmarkEnd w:id="902010"/>
    </w:p>
    <w:p>
      <w:pPr>
        <w:pStyle w:val="Normal"/>
      </w:pPr>
      <w:r>
        <w:t>1. Pharmaceutical resilience need not be demonstrated solely through physical stockpiles. A Party may demonstrate equivalent or superior resilience through an appropriate combination of inventory, diversified supply, North American production, qualified alternate facilities, API/KSM reserves, surge capacity, emergency contracting, and resilient logistics.</w:t>
      </w:r>
    </w:p>
    <w:p>
      <w:pPr>
        <w:pStyle w:val="Normal"/>
      </w:pPr>
      <w:r>
        <w:t>2. Coverage standards should be product-specific. A long-shelf-life generic may justify substantial inventory; a short-lived or highly specialized product may require production redundancy, precursor security, or surge capacity instead.</w:t>
      </w:r>
    </w:p>
    <w:p>
      <w:pPr>
        <w:pStyle w:val="Heading2"/>
      </w:pPr>
      <w:bookmarkStart w:id="902011" w:name="_Toc300002010"/>
      <w:r>
        <w:t>Article 63.13: No Single Point of Continental Failure</w:t>
      </w:r>
      <w:bookmarkEnd w:id="902011"/>
    </w:p>
    <w:p>
      <w:pPr>
        <w:pStyle w:val="Normal"/>
      </w:pPr>
      <w:r>
        <w:t>For the most critical medicines and pharmaceutical inputs, the Parties shall progressively identify and, where technically and economically practicable, reduce circumstances in which a single facility, supplier, country, transport corridor, precursor source, or manufacturing input can disable North American supply.</w:t>
      </w:r>
    </w:p>
    <w:p>
      <w:pPr>
        <w:pStyle w:val="Heading2"/>
      </w:pPr>
      <w:bookmarkStart w:id="902012" w:name="_Toc300002011"/>
      <w:r>
        <w:t>Article 63.14: Strategic Medicine Reserves and Rotation</w:t>
      </w:r>
      <w:bookmarkEnd w:id="902012"/>
    </w:p>
    <w:p>
      <w:pPr>
        <w:pStyle w:val="Normal"/>
      </w:pPr>
      <w:r>
        <w:t>1. Each Party retains sovereignty over its strategic medicine reserves. Nothing in this Chapter creates a supranational stockpile or mandatory pooled reserve.</w:t>
      </w:r>
    </w:p>
    <w:p>
      <w:pPr>
        <w:pStyle w:val="Normal"/>
      </w:pPr>
      <w:r>
        <w:t>2. The Parties may coordinate reserve composition, rotation, shortage intelligence, emergency releases, reciprocal access, and replenishment.</w:t>
      </w:r>
    </w:p>
    <w:p>
      <w:pPr>
        <w:pStyle w:val="Normal"/>
      </w:pPr>
      <w:r>
        <w:t>3. Reserve design shall account for shelf life, clinical substitution, production lead time, storage conditions, cost, and surge capability. Exact sensitive inventories and locations need not be publicly disclosed.</w:t>
      </w:r>
    </w:p>
    <w:p>
      <w:pPr>
        <w:pStyle w:val="Heading2"/>
      </w:pPr>
      <w:bookmarkStart w:id="902013" w:name="_Toc300002012"/>
      <w:r>
        <w:t>Article 63.15: Medical Isotopes and Radiopharmaceuticals</w:t>
      </w:r>
      <w:bookmarkEnd w:id="902013"/>
    </w:p>
    <w:p>
      <w:pPr>
        <w:pStyle w:val="Normal"/>
      </w:pPr>
      <w:r>
        <w:t>1. The Parties shall strengthen redundant production, reactor and accelerator capability, generator systems, target-material supply, processing, radiochemistry, quality systems, transport, regulatory coordination, workforce development, and emergency allocation for medical isotopes and radiopharmaceuticals.</w:t>
      </w:r>
    </w:p>
    <w:p>
      <w:pPr>
        <w:pStyle w:val="Normal"/>
      </w:pPr>
      <w:r>
        <w:t>2. Stockpile requirements shall account for radioactive decay and product-specific physical feasibility. Nothing in this Chapter shall require physically meaningless long-duration inventories of short-lived isotopes.</w:t>
      </w:r>
    </w:p>
    <w:p>
      <w:pPr>
        <w:pStyle w:val="Heading2"/>
      </w:pPr>
      <w:bookmarkStart w:id="902014" w:name="_Toc300002013"/>
      <w:r>
        <w:t>Article 63.16: Regulatory Cooperation and Pharmaceutical Fast Lane</w:t>
      </w:r>
      <w:bookmarkEnd w:id="902014"/>
    </w:p>
    <w:p>
      <w:pPr>
        <w:pStyle w:val="Normal"/>
      </w:pPr>
      <w:r>
        <w:t>1. FDA, Health Canada, COFEPRIS and other competent authorities may conduct concurrent or coordinated reviews, use common evidence packages, share inspection information, coordinate GMP inspections, and rely on counterpart findings to the extent each regulator determines appropriate.</w:t>
      </w:r>
    </w:p>
    <w:p>
      <w:pPr>
        <w:pStyle w:val="Normal"/>
      </w:pPr>
      <w:r>
        <w:t>2. Each regulator retains sovereign authority to approve, refuse, suspend, recall, inspect, test, impose conditions, or take emergency action.</w:t>
      </w:r>
    </w:p>
    <w:p>
      <w:pPr>
        <w:pStyle w:val="Normal"/>
      </w:pPr>
      <w:r>
        <w:t>3. Procedural service standards may include acknowledgment, completeness review, status updates, coordinated inspection scheduling, and written explanations for material unexplained delay. No lapse of a clock creates automatic approval.</w:t>
      </w:r>
    </w:p>
    <w:p>
      <w:pPr>
        <w:pStyle w:val="Normal"/>
      </w:pPr>
      <w:r>
        <w:t>4. Trade panels may review discrimination, procedural obstruction, or failure to follow agreed processes, but shall not substitute their scientific judgment for that of a competent health regulator or order approval of a medicine.</w:t>
      </w:r>
    </w:p>
    <w:p>
      <w:pPr>
        <w:pStyle w:val="Heading2"/>
      </w:pPr>
      <w:bookmarkStart w:id="902015" w:name="_Toc300002014"/>
      <w:r>
        <w:t>Article 63.17: Pharmaceutical Facility PreCheck and Commissioning Cooperation</w:t>
      </w:r>
      <w:bookmarkEnd w:id="902015"/>
    </w:p>
    <w:p>
      <w:pPr>
        <w:pStyle w:val="Normal"/>
      </w:pPr>
      <w:r>
        <w:t>The Parties may establish compatible pre-application and facility-readiness pathways for new or expanded pharmaceutical manufacturing facilities, including early regulatory engagement, staged facility assessment, coordinated inspection planning, validation guidance, and predictable commissioning processes without lowering safety, efficacy, quality, or GMP standards.</w:t>
      </w:r>
    </w:p>
    <w:p>
      <w:pPr>
        <w:pStyle w:val="Heading2"/>
      </w:pPr>
      <w:bookmarkStart w:id="902016" w:name="_Toc300002015"/>
      <w:r>
        <w:t>Article 63.18: Pharmaceutical Workforce and Professional Mobility</w:t>
      </w:r>
      <w:bookmarkEnd w:id="902016"/>
    </w:p>
    <w:p>
      <w:pPr>
        <w:pStyle w:val="Normal"/>
      </w:pPr>
      <w:r>
        <w:t>The Parties shall facilitate, consistent with domestic immigration and professional rules, temporary mobility and training for pharmaceutical chemists, bioprocess engineers, aseptic-processing specialists, QA/QC personnel, validation engineers, regulatory-affairs specialists, radiochemists, nuclear-medicine specialists, equipment technicians, and critical maintenance personnel, particularly for commissioning, training, emergency repair, and surge production.</w:t>
      </w:r>
    </w:p>
    <w:p>
      <w:pPr>
        <w:pStyle w:val="Heading2"/>
      </w:pPr>
      <w:bookmarkStart w:id="902017" w:name="_Toc300002016"/>
      <w:r>
        <w:t>Article 63.19: Research, Advanced and Distributed Manufacturing</w:t>
      </w:r>
      <w:bookmarkEnd w:id="902017"/>
    </w:p>
    <w:p>
      <w:pPr>
        <w:pStyle w:val="Normal"/>
      </w:pPr>
      <w:r>
        <w:t>Cooperation may include continuous manufacturing, modular manufacturing, distributed or point-of-care manufacturing pilots, additive or three-dimensional dosage-form manufacturing, advanced fermentation, AI-assisted process control, rapid reconfiguration, real-world evidence, clinical research networks, and other emerging technologies under appropriate regulatory supervision.</w:t>
      </w:r>
    </w:p>
    <w:p>
      <w:pPr>
        <w:pStyle w:val="Heading2"/>
      </w:pPr>
      <w:bookmarkStart w:id="902018" w:name="_Toc300002017"/>
      <w:r>
        <w:t>Article 63.20: Intellectual Property and Emergency Licensing</w:t>
      </w:r>
      <w:bookmarkEnd w:id="902018"/>
    </w:p>
    <w:p>
      <w:pPr>
        <w:pStyle w:val="Normal"/>
      </w:pPr>
      <w:r>
        <w:t>1. Nothing in this Chapter diminishes rights or flexibilities available under applicable international or domestic intellectual-property law.</w:t>
      </w:r>
    </w:p>
    <w:p>
      <w:pPr>
        <w:pStyle w:val="Normal"/>
      </w:pPr>
      <w:r>
        <w:t>2. The Parties may encourage voluntary licensing, patent pools, pre-negotiated emergency licences, technology-transfer incentives, and compensated emergency mechanisms for essential medicines.</w:t>
      </w:r>
    </w:p>
    <w:p>
      <w:pPr>
        <w:pStyle w:val="Normal"/>
      </w:pPr>
      <w:r>
        <w:t>3. A shortage declaration does not by itself extinguish patent rights. Any compulsory measure shall follow applicable law, including requirements concerning scope, necessity, duration, and remuneration.</w:t>
      </w:r>
    </w:p>
    <w:p>
      <w:pPr>
        <w:pStyle w:val="Heading2"/>
      </w:pPr>
      <w:bookmarkStart w:id="902019" w:name="_Toc300002018"/>
      <w:r>
        <w:t>Article 63.21: United States Pharmaceutical Reshoring and Advanced Medicines Track</w:t>
      </w:r>
      <w:bookmarkEnd w:id="902019"/>
    </w:p>
    <w:p>
      <w:pPr>
        <w:pStyle w:val="Normal"/>
      </w:pPr>
      <w:r>
        <w:t>The United States Track may prioritize new or expanded API and KSM production, advanced biologics, sterile injectables, strategic manufacturing equipment, innovative manufacturing, workforce development, facility commissioning, and other investments that visibly increase medicines made in the United States while strengthening continental redundancy.</w:t>
      </w:r>
    </w:p>
    <w:p>
      <w:pPr>
        <w:pStyle w:val="Heading2"/>
      </w:pPr>
      <w:bookmarkStart w:id="902020" w:name="_Toc300002019"/>
      <w:r>
        <w:t>Article 63.22: Canadian Pharmaceutical Security and Medical-Isotope Track</w:t>
      </w:r>
      <w:bookmarkEnd w:id="902020"/>
    </w:p>
    <w:p>
      <w:pPr>
        <w:pStyle w:val="Normal"/>
      </w:pPr>
      <w:r>
        <w:t>The Canadian Track may prioritize medical isotopes and radiopharmaceuticals, biologics, vaccines, APIs, sterile capacity, advanced manufacturing, clinical research, specialized manufacturing, cold-chain infrastructure, and other capabilities in which Canadian expansion improves both domestic and continental resilience.</w:t>
      </w:r>
    </w:p>
    <w:p>
      <w:pPr>
        <w:pStyle w:val="Heading2"/>
      </w:pPr>
      <w:bookmarkStart w:id="902021" w:name="_Toc300002020"/>
      <w:r>
        <w:t>Article 63.23: Mexican Pharmaceutical Manufacturing and Industrial-Upgrading Track</w:t>
      </w:r>
      <w:bookmarkEnd w:id="902021"/>
    </w:p>
    <w:p>
      <w:pPr>
        <w:pStyle w:val="Normal"/>
      </w:pPr>
      <w:r>
        <w:t>1. The Mexican Track may prioritize essential generics, small-molecule APIs and KSMs, sterile injectables, fill-finish, vaccines, selected biologics, controlled medicines subject to strong diversion safeguards, pharmaceutical packaging and components, workforce development, and pharmaceutical R&amp;D.</w:t>
      </w:r>
    </w:p>
    <w:p>
      <w:pPr>
        <w:pStyle w:val="Normal"/>
      </w:pPr>
      <w:r>
        <w:t>2. The Parties recognize a Mexican industrial-upgrading pathway from finished-dose generics toward APIs/KSMs, sterile manufacturing, biologics and vaccines, advanced manufacturing, and higher-value pharmaceutical research and development.</w:t>
      </w:r>
    </w:p>
    <w:p>
      <w:pPr>
        <w:pStyle w:val="Normal"/>
      </w:pPr>
      <w:r>
        <w:t>3. Cooperation may include pharmaceutical industrial clusters, development-bank and export financing, university-industry partnerships, technician and QA training, regulatory-science capacity, apprenticeship and research exchanges, and equal eligibility for qualifying North American resilience procurement.</w:t>
      </w:r>
    </w:p>
    <w:p>
      <w:pPr>
        <w:pStyle w:val="Normal"/>
      </w:pPr>
      <w:r>
        <w:t>4. Mexico may serve as an important voluntary logistics and humanitarian coordination platform for medicine supply to Central America, the Caribbean, and wider Latin America. Nothing in this paragraph authorizes Mexico to bind another Party diplomatically or commercially without that Party’s consent.</w:t>
      </w:r>
    </w:p>
    <w:p>
      <w:pPr>
        <w:pStyle w:val="Heading2"/>
      </w:pPr>
      <w:bookmarkStart w:id="902022" w:name="_Toc300002021"/>
      <w:r>
        <w:t>Article 63.24: Pharmaceutical Education and Regulatory Science Network</w:t>
      </w:r>
      <w:bookmarkEnd w:id="902022"/>
    </w:p>
    <w:p>
      <w:pPr>
        <w:pStyle w:val="Normal"/>
      </w:pPr>
      <w:r>
        <w:t>The Parties shall encourage regulator secondments, university-industry research partnerships, pharmaceutical technician academies, aseptic-processing and QA training, equipment-operator certification, regulatory-affairs education, reciprocal internships, research exchanges, and transparent reporting of training outcomes.</w:t>
      </w:r>
    </w:p>
    <w:p>
      <w:pPr>
        <w:pStyle w:val="Heading2"/>
      </w:pPr>
      <w:bookmarkStart w:id="902023" w:name="_Toc300002022"/>
      <w:r>
        <w:t>Article 63.25: Controlled Medicines, Diversion Prevention and Illicit Fentanyl Firewall</w:t>
      </w:r>
      <w:bookmarkEnd w:id="902023"/>
    </w:p>
    <w:p>
      <w:pPr>
        <w:pStyle w:val="Normal"/>
      </w:pPr>
      <w:r>
        <w:t>1. For greater certainty, nothing in this Agreement authorizes, facilitates, immunizes, or otherwise protects the illicit importation, exportation, transit, manufacture, distribution, or trafficking of fentanyl or fentanyl analogues.</w:t>
      </w:r>
    </w:p>
    <w:p>
      <w:pPr>
        <w:pStyle w:val="Normal"/>
      </w:pPr>
      <w:r>
        <w:t>2. Lawful cross-border movements of fentanyl for legitimate medical, scientific, or other authorized purposes shall remain subject to enhanced verification appropriate to the exceptional public-safety risks associated with diversion, including licensing checks, validated consignee and destination information, tamper-evident chain-of-custody where appropriate, and scrutiny of material routing or ownership anomalies.</w:t>
      </w:r>
    </w:p>
    <w:p>
      <w:pPr>
        <w:pStyle w:val="Normal"/>
      </w:pPr>
      <w:r>
        <w:t>3. Legitimate pharmaceutical fentanyl shall not be treated as illicit merely because fentanyl is a priority contraband threat.</w:t>
      </w:r>
    </w:p>
    <w:p>
      <w:pPr>
        <w:pStyle w:val="Normal"/>
      </w:pPr>
      <w:r>
        <w:t>4. This Article shall be read together with Package CE and its border-interdiction, proportionality, privacy, and no-fentanyl-tariff-shortcut safeguards.</w:t>
      </w:r>
    </w:p>
    <w:p>
      <w:pPr>
        <w:pStyle w:val="Heading2"/>
      </w:pPr>
      <w:bookmarkStart w:id="902024" w:name="_Toc300002023"/>
      <w:r>
        <w:t>Article 63.26: Fentanyl Enforcement Transparency and Chapter 66 Interface</w:t>
      </w:r>
      <w:bookmarkEnd w:id="902024"/>
    </w:p>
    <w:p>
      <w:pPr>
        <w:pStyle w:val="Normal"/>
      </w:pPr>
      <w:r>
        <w:t>1. Pharmaceutical diversion and lawful controlled-medicine integrity under this Chapter shall use the Chapter 66 security-performance and reporting architecture for illicit fentanyl and precursor enforcement. Competent authorities may publish validated, non-sensitive aggregate measures concerning seizures, quantities where reliably measured, major enforcement actions, precursor interceptions, joint operations, trafficking direction where reliably established, and other agreed indicators without creating a separate pharmaceutical enforcement dashboard.</w:t>
      </w:r>
    </w:p>
    <w:p>
      <w:pPr>
        <w:pStyle w:val="Normal"/>
      </w:pPr>
      <w:r>
        <w:t>2. Each Party shall publish accountability information at a frequency appropriate to operational conditions and data validation, using existing official channels and Chapter 66 reporting where practicable. Nothing in this paragraph requires disclosure on a fixed schedule where doing so would impair an investigation, distort incomplete data, or create a material operational risk.</w:t>
      </w:r>
    </w:p>
    <w:p>
      <w:pPr>
        <w:pStyle w:val="Normal"/>
      </w:pPr>
      <w:r>
        <w:t>3. Publication shall not disclose personal information, protected intelligence, operationally sensitive methods, active-investigation details, or information that would materially assist traffickers.</w:t>
      </w:r>
    </w:p>
    <w:p>
      <w:pPr>
        <w:pStyle w:val="Heading2"/>
      </w:pPr>
      <w:bookmarkStart w:id="902025" w:name="_Toc300002024"/>
      <w:r>
        <w:t>Article 63.27: Pharmaceutical Investment Pipeline and Resilience Dashboard</w:t>
      </w:r>
      <w:bookmarkEnd w:id="902025"/>
    </w:p>
    <w:p>
      <w:pPr>
        <w:pStyle w:val="Normal"/>
      </w:pPr>
      <w:r>
        <w:t>1. The Parties shall maintain a non-binding pipeline of identifiable pharmaceutical investments, including API/KSM plants, sterile and fill-finish capacity, biologics, vaccines, generics, isotope infrastructure, manufacturing inputs, logistics, and workforce projects.</w:t>
      </w:r>
    </w:p>
    <w:p>
      <w:pPr>
        <w:pStyle w:val="Normal"/>
      </w:pPr>
      <w:r>
        <w:t>2. Public headline investment figures shall distinguish announced, financed, under-construction, completed, and operational projects. Unfunded aspirations shall not be represented as committed investment.</w:t>
      </w:r>
    </w:p>
    <w:p>
      <w:pPr>
        <w:pStyle w:val="Normal"/>
      </w:pPr>
      <w:r>
        <w:t>3. A Pharmaceutical Resilience Dashboard shall report appropriate aggregate indicators concerning concentration risk, qualified alternative supply, capacity additions, shortages, workforce development, regulatory cooperation, and resilience improvements without exposing protected commercial or security information.</w:t>
      </w:r>
    </w:p>
    <w:p>
      <w:pPr>
        <w:pStyle w:val="Heading2"/>
      </w:pPr>
      <w:bookmarkStart w:id="902026" w:name="_Toc300002025"/>
      <w:r>
        <w:t>Article 63.28: Emergency Exercises and Continuous Improvement</w:t>
      </w:r>
      <w:bookmarkEnd w:id="902026"/>
    </w:p>
    <w:p>
      <w:pPr>
        <w:pStyle w:val="Normal"/>
      </w:pPr>
      <w:r>
        <w:t>The Parties shall conduct periodic pharmaceutical supply-disruption exercises covering at least selected scenarios involving API interruption, sterile-facility outage, cold-chain failure, pandemic demand shock, isotope disruption, border interruption, or simultaneous multi-product shortage, and shall use lessons learned to update contingency arrangements.</w:t>
      </w:r>
    </w:p>
    <w:p>
      <w:pPr>
        <w:pStyle w:val="Heading2"/>
      </w:pPr>
      <w:bookmarkStart w:id="902027" w:name="_Toc300002026"/>
      <w:r>
        <w:t>Article 63.29: No New Supranational Pharmaceutical Government</w:t>
      </w:r>
      <w:bookmarkEnd w:id="902027"/>
    </w:p>
    <w:p>
      <w:pPr>
        <w:pStyle w:val="Normal"/>
      </w:pPr>
      <w:r>
        <w:t>Implementation shall use the Commission, existing committees, competent regulators, designated national authorities, and time-limited technical groups wherever practicable. Nothing in this Chapter creates a pharmaceutical czar, permanent supranational secretariat, or authority empowered to direct sovereign drug approvals or national health systems.</w:t>
      </w:r>
    </w:p>
    <w:p>
      <w:pPr>
        <w:pStyle w:val="Heading2"/>
      </w:pPr>
      <w:bookmarkStart w:id="902028" w:name="_Toc300002027"/>
      <w:r>
        <w:t>Article 63.30: No Uncompensated Front-Loading</w:t>
      </w:r>
      <w:bookmarkEnd w:id="902028"/>
    </w:p>
    <w:p>
      <w:pPr>
        <w:pStyle w:val="Normal"/>
      </w:pPr>
      <w:r>
        <w:t>Where a pharmaceutical manufacturing, procurement, investment, regulatory-facilitation, tariff, or market-access concession is expressly paired with corresponding performance by another Party, Article 35.36 applies, including matched activation where practicable, verification, a reasonable cure period, proportionate pause or step-back, and automatic restoration when performance resumes.</w:t>
      </w:r>
    </w:p>
    <w:p>
      <w:pPr>
        <w:pStyle w:val="Heading2"/>
      </w:pPr>
      <w:bookmarkStart w:id="902029" w:name="_Toc300002028"/>
      <w:r>
        <w:t>Article 63.31: Review and Evolution</w:t>
      </w:r>
      <w:bookmarkEnd w:id="902029"/>
    </w:p>
    <w:p>
      <w:pPr>
        <w:pStyle w:val="Normal"/>
      </w:pPr>
      <w:r>
        <w:t>The Parties shall periodically review this Chapter in light of shortages, technological change, epidemiological risk, manufacturing economics, regulatory developments, supply concentration, and lessons from emergencies. Technical updates shall not create new tariff concessions, compulsory production quotas, mandatory expenditures, or automatic drug approvals without the procedures otherwise required by this Agreement.</w:t>
      </w:r>
    </w:p>
    <w:p>
      <w:pPr>
        <w:pStyle w:val="Heading1"/>
      </w:pPr>
      <w:bookmarkStart w:id="902030" w:name="_Toc300002029"/>
      <w:r>
        <w:t>CHAPTER 64: NORTH AMERICAN COMMERCIAL WINS LEDGER AND EXPORT OPPORTUNITY SCOREBOARD</w:t>
      </w:r>
      <w:bookmarkEnd w:id="902030"/>
    </w:p>
    <w:p>
      <w:pPr>
        <w:pStyle w:val="Normal"/>
      </w:pPr>
      <w:r>
        <w:t xml:space="preserve">★ </w:t>
      </w:r>
      <w:r>
        <w:t>VISIBLE U.S. WIN: MEASURE AND CELEBRATE NEW AMERICAN EXPORT SALES, CONTRACTS, MARKET ACCESS, JOBS, AND STATE-LEVEL COMMERCIAL GAINS</w:t>
      </w:r>
    </w:p>
    <w:p>
      <w:pPr>
        <w:pStyle w:val="Heading2"/>
      </w:pPr>
      <w:bookmarkStart w:id="902031" w:name="_Toc300002030"/>
      <w:r>
        <w:t>Article 64.1: Purpose</w:t>
      </w:r>
      <w:bookmarkEnd w:id="902031"/>
    </w:p>
    <w:p>
      <w:pPr>
        <w:pStyle w:val="Normal"/>
      </w:pPr>
      <w:r>
        <w:t>1. The Parties establish a transparent commercial-wins architecture that measures concrete economic opportunities created, expanded, restored, accelerated, or materially secured by this Agreement without requiring any Party to achieve a numerical bilateral trade balance.</w:t>
      </w:r>
    </w:p>
    <w:p>
      <w:pPr>
        <w:pStyle w:val="Normal"/>
      </w:pPr>
      <w:r>
        <w:t>2. The architecture shall make commercially meaningful gains visible to governments, legislators, workers, firms, farmers, small and medium-sized enterprises, and the public while preserving statistical integrity and confidential information.</w:t>
      </w:r>
    </w:p>
    <w:p>
      <w:pPr>
        <w:pStyle w:val="Heading2"/>
      </w:pPr>
      <w:bookmarkStart w:id="902032" w:name="_Toc300002031"/>
      <w:r>
        <w:t>Article 64.2: No Bilateral Deficit Target or Automatic Deficit Trigger</w:t>
      </w:r>
      <w:bookmarkEnd w:id="902032"/>
    </w:p>
    <w:p>
      <w:pPr>
        <w:pStyle w:val="Normal"/>
      </w:pPr>
      <w:r>
        <w:t>1. Nothing in this Agreement requires a Party to achieve, maintain, or target a specified bilateral trade balance, goods balance, services balance, current-account position, or export-to-import ratio.</w:t>
      </w:r>
    </w:p>
    <w:p>
      <w:pPr>
        <w:pStyle w:val="Normal"/>
      </w:pPr>
      <w:r>
        <w:t>2. A bilateral trade deficit, standing alone, does not establish unfair trade, non-performance, breach, market-access failure, injury, circumvention, or entitlement to retaliation under this Agreement.</w:t>
      </w:r>
    </w:p>
    <w:p>
      <w:pPr>
        <w:pStyle w:val="Normal"/>
      </w:pPr>
      <w:r>
        <w:t>3. Specific barriers, subsidies, discriminatory measures, origin violations, or other conduct may be addressed under the applicable provisions of this Agreement on their own merits.</w:t>
      </w:r>
    </w:p>
    <w:p>
      <w:pPr>
        <w:pStyle w:val="Heading2"/>
      </w:pPr>
      <w:bookmarkStart w:id="902033" w:name="_Toc300002032"/>
      <w:r>
        <w:t>Article 64.3: North American Commercial Wins Ledger</w:t>
      </w:r>
      <w:bookmarkEnd w:id="902033"/>
    </w:p>
    <w:p>
      <w:pPr>
        <w:pStyle w:val="Normal"/>
      </w:pPr>
      <w:r>
        <w:t>1. The Parties shall maintain compatible national commercial-wins ledgers and a trilateral summary capable of identifying verified gains for the United States, Canada, and Mexico.</w:t>
      </w:r>
    </w:p>
    <w:p>
      <w:pPr>
        <w:pStyle w:val="Normal"/>
      </w:pPr>
      <w:r>
        <w:t>2. The United States component may be presented as the U.S. Export Opportunity Ledger and shall prominently identify new American goods and services exports, contracts, market-access gains, procurement opportunities, investment-linked equipment and service sales, agricultural gains, and other measurable commercial benefits.</w:t>
      </w:r>
    </w:p>
    <w:p>
      <w:pPr>
        <w:pStyle w:val="Normal"/>
      </w:pPr>
      <w:r>
        <w:t>3. Canada and Mexico may maintain equivalent national presentations using the same core integrity standards.</w:t>
      </w:r>
    </w:p>
    <w:p>
      <w:pPr>
        <w:pStyle w:val="Heading2"/>
      </w:pPr>
      <w:bookmarkStart w:id="902034" w:name="_Toc300002033"/>
      <w:r>
        <w:t>Article 64.4: Realized, Contracted and Enabled Accounts</w:t>
      </w:r>
      <w:bookmarkEnd w:id="902034"/>
    </w:p>
    <w:p>
      <w:pPr>
        <w:pStyle w:val="Normal"/>
      </w:pPr>
      <w:r>
        <w:t>Commercial gains shall be distinguished as: (a) Realized, meaning exports or services actually delivered or performed; (b) Contracted, meaning legally committed future sales or services not yet fully performed; and (c) Enabled Opportunity, meaning credible newly accessible commercial opportunity for which a transaction has not yet occurred. These categories shall not be combined into an unlabeled aggregate that could reasonably imply that all enabled opportunities have been realized.</w:t>
      </w:r>
    </w:p>
    <w:p>
      <w:pPr>
        <w:pStyle w:val="Heading2"/>
      </w:pPr>
      <w:bookmarkStart w:id="902035" w:name="_Toc300002034"/>
      <w:r>
        <w:t>Article 64.5: Verified Commercial Additionality Standard</w:t>
      </w:r>
      <w:bookmarkEnd w:id="902035"/>
    </w:p>
    <w:p>
      <w:pPr>
        <w:pStyle w:val="Normal"/>
      </w:pPr>
      <w:r>
        <w:t>1. A claimed NAESTMA commercial win shall be supported by evidence that the Agreement created, expanded, restored, accelerated, or materially secured the opportunity.</w:t>
      </w:r>
    </w:p>
    <w:p>
      <w:pPr>
        <w:pStyle w:val="Normal"/>
      </w:pPr>
      <w:r>
        <w:t>2. Attribution may be classified as Direct, Strongly Attributable, or Enabled Opportunity. Mere post-entry-into-force growth does not by itself establish causation.</w:t>
      </w:r>
    </w:p>
    <w:p>
      <w:pPr>
        <w:pStyle w:val="Normal"/>
      </w:pPr>
      <w:r>
        <w:t>3. Attribution methodology shall consider tariff changes, quotas, procurement openings, regulatory facilitation, customs changes, rules of origin, investment measures, supply-chain relocation, contractual evidence, exporter statements, and other relevant factors.</w:t>
      </w:r>
    </w:p>
    <w:p>
      <w:pPr>
        <w:pStyle w:val="Heading2"/>
      </w:pPr>
      <w:bookmarkStart w:id="902036" w:name="_Toc300002035"/>
      <w:r>
        <w:t>Article 64.6: Baselines and Counterfactual Discipline</w:t>
      </w:r>
      <w:bookmarkEnd w:id="902036"/>
    </w:p>
    <w:p>
      <w:pPr>
        <w:pStyle w:val="Normal"/>
      </w:pPr>
      <w:r>
        <w:t>1. The Parties shall use reasonable pre-Agreement baselines, ordinarily drawing on multiple preceding periods where practicable, and shall identify extraordinary shocks that materially distort comparison.</w:t>
      </w:r>
    </w:p>
    <w:p>
      <w:pPr>
        <w:pStyle w:val="Normal"/>
      </w:pPr>
      <w:r>
        <w:t>2. Weather, commodity prices, exchange rates, strikes, recessions, extraordinary demand shocks, supply failures, and other material non-Agreement causes shall be considered before attributing major changes to NAESTMA.</w:t>
      </w:r>
    </w:p>
    <w:p>
      <w:pPr>
        <w:pStyle w:val="Heading2"/>
      </w:pPr>
      <w:bookmarkStart w:id="902037" w:name="_Toc300002036"/>
      <w:r>
        <w:t>Article 64.7: Services, Intellectual Property and Supply-Chain Exports</w:t>
      </w:r>
      <w:bookmarkEnd w:id="902037"/>
    </w:p>
    <w:p>
      <w:pPr>
        <w:pStyle w:val="Normal"/>
      </w:pPr>
      <w:r>
        <w:t>1. The Ledger shall include qualifying services exports, including engineering, finance, insurance, consulting, legal, education, digital, cloud, logistics, architecture, design, research, and other cross-border services.</w:t>
      </w:r>
    </w:p>
    <w:p>
      <w:pPr>
        <w:pStyle w:val="Normal"/>
      </w:pPr>
      <w:r>
        <w:t>2. Intellectual-property and software licensing may be reported using realized revenue and separately identified contracted value.</w:t>
      </w:r>
    </w:p>
    <w:p>
      <w:pPr>
        <w:pStyle w:val="Normal"/>
      </w:pPr>
      <w:r>
        <w:t>3. U.S., Canadian, or Mexican machinery, components, software, engineering, logistics, and other inputs sold into new cross-border investment projects may qualify where additionality is established.</w:t>
      </w:r>
    </w:p>
    <w:p>
      <w:pPr>
        <w:pStyle w:val="Normal"/>
      </w:pPr>
      <w:r>
        <w:t>4. A Party's domestic industrial gain may simultaneously generate legitimate commercial gains for another Party; the Ledger shall not assume that one Party must lose for another Party to record a win.</w:t>
      </w:r>
    </w:p>
    <w:p>
      <w:pPr>
        <w:pStyle w:val="Heading2"/>
      </w:pPr>
      <w:bookmarkStart w:id="902038" w:name="_Toc300002037"/>
      <w:r>
        <w:t>Article 64.8: Effective Export Access Test</w:t>
      </w:r>
      <w:bookmarkEnd w:id="902038"/>
    </w:p>
    <w:p>
      <w:pPr>
        <w:pStyle w:val="Normal"/>
      </w:pPr>
      <w:r>
        <w:t>Nominal market opening shall be distinguished from commercially usable access. Reporting should identify whether exporters can practically qualify, bid, ship, obtain approvals, secure listings, use quotas, clear customs, and complete transactions under the relevant concession.</w:t>
      </w:r>
    </w:p>
    <w:p>
      <w:pPr>
        <w:pStyle w:val="Heading2"/>
      </w:pPr>
      <w:bookmarkStart w:id="902039" w:name="_Toc300002038"/>
      <w:r>
        <w:t>Article 64.9: Sector and Geographic Classification</w:t>
      </w:r>
      <w:bookmarkEnd w:id="902039"/>
    </w:p>
    <w:p>
      <w:pPr>
        <w:pStyle w:val="Normal"/>
      </w:pPr>
      <w:r>
        <w:t>The Ledger may classify gains by agriculture and food, automotive, aerospace, machinery, steel and aluminum, critical minerals, pharmaceuticals and medical devices, chemicals, energy, technology and digital services, finance, professional services, education, logistics, environmental technology, and other agreed categories.</w:t>
      </w:r>
    </w:p>
    <w:p>
      <w:pPr>
        <w:pStyle w:val="Normal"/>
      </w:pPr>
      <w:r>
        <w:t>Where data permit, national presentations may identify gains by U.S. state and congressional district, Canadian province or territory, and Mexican state, together with SME participation and other useful regional measures.</w:t>
      </w:r>
    </w:p>
    <w:p>
      <w:pPr>
        <w:pStyle w:val="Heading2"/>
      </w:pPr>
      <w:bookmarkStart w:id="902040" w:name="_Toc300002039"/>
      <w:r>
        <w:t>Article 64.10: Forecast Accountability</w:t>
      </w:r>
      <w:bookmarkEnd w:id="902040"/>
    </w:p>
    <w:p>
      <w:pPr>
        <w:pStyle w:val="Normal"/>
      </w:pPr>
      <w:r>
        <w:t>Where an official publication estimates the commercial opportunity expected from a material concession, the Ledger may preserve the estimate and later report observed outcomes, variance, and material explanations. Projections shall be clearly distinguished from realized results.</w:t>
      </w:r>
    </w:p>
    <w:p>
      <w:pPr>
        <w:pStyle w:val="Heading2"/>
      </w:pPr>
      <w:bookmarkStart w:id="902041" w:name="_Toc300002040"/>
      <w:r>
        <w:t>Article 64.11: No Double Counting, Revisions and Statistical Integrity</w:t>
      </w:r>
      <w:bookmarkEnd w:id="902041"/>
    </w:p>
    <w:p>
      <w:pPr>
        <w:pStyle w:val="Normal"/>
      </w:pPr>
      <w:r>
        <w:t>1. The same transaction shall not be counted repeatedly merely because it qualifies under multiple sectors, chapters, programs, or political presentations.</w:t>
      </w:r>
    </w:p>
    <w:p>
      <w:pPr>
        <w:pStyle w:val="Normal"/>
      </w:pPr>
      <w:r>
        <w:t>2. Cancelled, materially reduced, or revised contracts shall be corrected in subsequent reporting.</w:t>
      </w:r>
    </w:p>
    <w:p>
      <w:pPr>
        <w:pStyle w:val="Normal"/>
      </w:pPr>
      <w:r>
        <w:t>3. Preliminary and final statistics shall be identified as such. Material revisions shall remain visible rather than silently rewriting historical performance.</w:t>
      </w:r>
    </w:p>
    <w:p>
      <w:pPr>
        <w:pStyle w:val="Normal"/>
      </w:pPr>
      <w:r>
        <w:t>4. Presentation may gamify verified performance; it may not alter the underlying measurement methodology.</w:t>
      </w:r>
    </w:p>
    <w:p>
      <w:pPr>
        <w:pStyle w:val="Heading2"/>
      </w:pPr>
      <w:bookmarkStart w:id="902042" w:name="_Toc300002041"/>
      <w:r>
        <w:t>Article 64.12: Voluntary Commercial-Win Registration</w:t>
      </w:r>
      <w:bookmarkEnd w:id="902042"/>
    </w:p>
    <w:p>
      <w:pPr>
        <w:pStyle w:val="Normal"/>
      </w:pPr>
      <w:r>
        <w:t>Exporters may voluntarily submit qualifying contracts, sales, market-access gains, or success stories for verification. Procedures shall protect trade secrets, commercially sensitive terms, personal information, and other protected information while permitting publication of useful aggregate or sanitized results.</w:t>
      </w:r>
    </w:p>
    <w:p>
      <w:pPr>
        <w:pStyle w:val="Heading2"/>
      </w:pPr>
      <w:bookmarkStart w:id="902043" w:name="_Toc300002042"/>
      <w:r>
        <w:t>Article 64.13: Commercial Friction Register</w:t>
      </w:r>
      <w:bookmarkEnd w:id="902043"/>
    </w:p>
    <w:p>
      <w:pPr>
        <w:pStyle w:val="Normal"/>
      </w:pPr>
      <w:r>
        <w:t>The Parties may maintain a diagnostic register of concessions that appear capable of generating meaningful commercial gains but remain materially underused. The register may identify regulatory friction, customs delays, documentation burdens, procurement obstacles, qualification difficulties, lack of suppliers, price competitiveness, infrastructure constraints, or other explanations without presuming treaty breach.</w:t>
      </w:r>
    </w:p>
    <w:p>
      <w:pPr>
        <w:pStyle w:val="Heading2"/>
      </w:pPr>
      <w:bookmarkStart w:id="902044" w:name="_Toc300002043"/>
      <w:r>
        <w:t>Article 64.14: Trade-Balance Context</w:t>
      </w:r>
      <w:bookmarkEnd w:id="902044"/>
    </w:p>
    <w:p>
      <w:pPr>
        <w:pStyle w:val="Normal"/>
      </w:pPr>
      <w:r>
        <w:t>Where a Party publicly reports bilateral trade balances in connection with NAESTMA performance, it should, where data are reasonably available, provide sufficient context to distinguish goods trade, services trade, total bilateral trade, and major structural categories. The trade balance itself shall not replace the Commercial Wins Ledger as the principal performance measure under this Chapter.</w:t>
      </w:r>
    </w:p>
    <w:p>
      <w:pPr>
        <w:pStyle w:val="Heading2"/>
      </w:pPr>
      <w:bookmarkStart w:id="902045" w:name="_Toc300002044"/>
      <w:r>
        <w:t>Article 64.15: Public Commercial Wins Dashboard</w:t>
      </w:r>
      <w:bookmarkEnd w:id="902045"/>
    </w:p>
    <w:p>
      <w:pPr>
        <w:pStyle w:val="Normal"/>
      </w:pPr>
      <w:r>
        <w:t>1. Each Party may maintain a public digital dashboard using verified Ledger data. Features may include export totals, new deals, contract values, sector tickers, geographic maps, SME participation, jobs supported using published methodology, milestones, records, and success stories.</w:t>
      </w:r>
    </w:p>
    <w:p>
      <w:pPr>
        <w:pStyle w:val="Normal"/>
      </w:pPr>
      <w:r>
        <w:t>2. National interfaces may emphasize the priorities and political presentation preferred by that Party without changing the verified underlying data.</w:t>
      </w:r>
    </w:p>
    <w:p>
      <w:pPr>
        <w:pStyle w:val="Heading2"/>
      </w:pPr>
      <w:bookmarkStart w:id="902046" w:name="_Toc300002045"/>
      <w:r>
        <w:t>Article 64.16: Optional Public Presentation and Achievement Features</w:t>
      </w:r>
      <w:bookmarkEnd w:id="902046"/>
    </w:p>
    <w:p>
      <w:pPr>
        <w:pStyle w:val="Normal"/>
      </w:pPr>
      <w:r>
        <w:t>1. A Party may, entirely at its discretion and outside the legally operative compliance architecture, use leaderboards, records, milestones, personal-best indicators, sector races, state or subnational rankings, export-win spotlights, achievement badges, streaks, and similar public-engagement features in a national interface.</w:t>
      </w:r>
    </w:p>
    <w:p>
      <w:pPr>
        <w:pStyle w:val="Normal"/>
      </w:pPr>
      <w:r>
        <w:t>2. Ranking systems should offer multiple categories, including absolute value, percentage growth, new exporters, SME growth, sector gains, diversification, and personal records, so that smaller jurisdictions are not rendered permanently noncompetitive by scale alone.</w:t>
      </w:r>
    </w:p>
    <w:p>
      <w:pPr>
        <w:pStyle w:val="Normal"/>
      </w:pPr>
      <w:r>
        <w:t>3. No Party is required to operate, fund, recognize, interoperate with, or preserve any achievement feature. No achievement, badge, ranking, streak, or visual effect constitutes a legal finding, entitlement, tariff trigger, evidence of breach, treaty benefit, or condition of treaty compliance.</w:t>
      </w:r>
    </w:p>
    <w:p>
      <w:pPr>
        <w:pStyle w:val="Heading2"/>
      </w:pPr>
      <w:bookmarkStart w:id="902047" w:name="_Toc300002046"/>
      <w:r>
        <w:t>Article 64.17: Optional Export Wins Application</w:t>
      </w:r>
      <w:bookmarkEnd w:id="902047"/>
    </w:p>
    <w:p>
      <w:pPr>
        <w:pStyle w:val="Normal"/>
      </w:pPr>
      <w:r>
        <w:t>A Party may develop an optional website, mobile application, or other public interface consuming verified Ledger data. Such an interface may provide milestone alerts, personalized state or regional views, exporter tools, commercial success stories, sector comparisons, and other engagement features. No Party is required to adopt another Party's branding, interface, or political presentation.</w:t>
      </w:r>
    </w:p>
    <w:p>
      <w:pPr>
        <w:pStyle w:val="Heading2"/>
      </w:pPr>
      <w:bookmarkStart w:id="902048" w:name="_Toc300002047"/>
      <w:r>
        <w:t>Article 64.18: Optional Public Forecasting Interface</w:t>
      </w:r>
      <w:bookmarkEnd w:id="902048"/>
    </w:p>
    <w:p>
      <w:pPr>
        <w:pStyle w:val="Normal"/>
      </w:pPr>
      <w:r>
        <w:t>1. A Party may, entirely outside the legally operative compliance architecture, operate a voluntary non-monetary public prediction or education interface concerning future outcomes derived from publicly resolvable NAESTMA commercial data. No Party is required to create, fund, recognize, interoperate with, or continue such an interface.</w:t>
      </w:r>
    </w:p>
    <w:p>
      <w:pPr>
        <w:pStyle w:val="Normal"/>
      </w:pPr>
      <w:r>
        <w:t>2. Participants may receive an equal periodic allocation of Forecast Tokens that cannot be purchased with money, sold, transferred, borrowed, lent, converted to cash, redeemed for cash equivalents, or exchanged for anything having real-world monetary value.</w:t>
      </w:r>
    </w:p>
    <w:p>
      <w:pPr>
        <w:pStyle w:val="Normal"/>
      </w:pPr>
      <w:r>
        <w:t>3. Forecast Tokens shall expire at the end of the stated allocation period and shall not roll over. Successful forecasting shall not increase a participant's future token allocation.</w:t>
      </w:r>
    </w:p>
    <w:p>
      <w:pPr>
        <w:pStyle w:val="Normal"/>
      </w:pPr>
      <w:r>
        <w:t>4. Participants may allocate Forecast Tokens among eligible forecast questions. Correct predictions may generate permanent non-monetary Forecast Points, accuracy records, streaks, badges, or other reputation indicators on a personal ledger associated with the participant's username.</w:t>
      </w:r>
    </w:p>
    <w:p>
      <w:pPr>
        <w:pStyle w:val="Heading2"/>
      </w:pPr>
      <w:bookmarkStart w:id="902049" w:name="_Toc300002048"/>
      <w:r>
        <w:t>Article 64.19: Optional Non-Monetary Interface Customization</w:t>
      </w:r>
      <w:bookmarkEnd w:id="902049"/>
    </w:p>
    <w:p>
      <w:pPr>
        <w:pStyle w:val="Normal"/>
      </w:pPr>
      <w:r>
        <w:t>1. If a Party operates the optional interface in Article 64.18, it may permit participants to use part or all of a current non-monetary Forecast Token allocation to obtain cosmetic customization for an avatar, username profile, personal ledger, dashboard appearance, badge frame, sector theme, geographic banner, or similar digital feature. Such customization exists solely within the administering Party's voluntary public interface.</w:t>
      </w:r>
    </w:p>
    <w:p>
      <w:pPr>
        <w:pStyle w:val="Normal"/>
      </w:pPr>
      <w:r>
        <w:t>2. Cosmetics may persist after the Forecast Tokens used to obtain them expire. Eligibility for selected cosmetics may depend on forecasting achievements, participation milestones, sector expertise, or other transparent non-monetary criteria.</w:t>
      </w:r>
    </w:p>
    <w:p>
      <w:pPr>
        <w:pStyle w:val="Normal"/>
      </w:pPr>
      <w:r>
        <w:t>3. Cosmetics shall have no cash value, shall not be redeemable for money or transferable for consideration, and shall not confer additional forecasting power, privileged information, government benefits, procurement advantages, or legal rights.</w:t>
      </w:r>
    </w:p>
    <w:p>
      <w:pPr>
        <w:pStyle w:val="Normal"/>
      </w:pPr>
      <w:r>
        <w:t>4. Randomized paid loot-box mechanics are prohibited. A participant shall know the cosmetic item or clearly defined non-monetary outcome received for the stated token cost.</w:t>
      </w:r>
    </w:p>
    <w:p>
      <w:pPr>
        <w:pStyle w:val="Heading2"/>
      </w:pPr>
      <w:bookmarkStart w:id="902050" w:name="_Toc300002049"/>
      <w:r>
        <w:t>Article 64.20: Optional Forecasting Interface Integrity and Safety</w:t>
      </w:r>
      <w:bookmarkEnd w:id="902050"/>
    </w:p>
    <w:p>
      <w:pPr>
        <w:pStyle w:val="Normal"/>
      </w:pPr>
      <w:r>
        <w:t>1. Forecast questions shall state resolution criteria, data source, closing time, and treatment of preliminary or revised statistics before predictions close.</w:t>
      </w:r>
    </w:p>
    <w:p>
      <w:pPr>
        <w:pStyle w:val="Normal"/>
      </w:pPr>
      <w:r>
        <w:t>2. Questions shall use public or appropriately releasable information and shall not solicit predictions concerning deaths, individual medical outcomes, violent incidents, enforcement raids, or other categories the administering Party determines inappropriate for civic gamification.</w:t>
      </w:r>
    </w:p>
    <w:p>
      <w:pPr>
        <w:pStyle w:val="Normal"/>
      </w:pPr>
      <w:r>
        <w:t>3. The administering Party shall maintain reasonable anti-bot, multi-account, manipulation, and conflict-of-interest controls and may establish separate categories for officials, industry participants, students, experts, or the general public.</w:t>
      </w:r>
    </w:p>
    <w:p>
      <w:pPr>
        <w:pStyle w:val="Normal"/>
      </w:pPr>
      <w:r>
        <w:t>4. Public consensus forecasts are informational only and shall not determine official statistics, regulatory decisions, tariff treatment, procurement decisions, or treaty compliance.</w:t>
      </w:r>
    </w:p>
    <w:p>
      <w:pPr>
        <w:pStyle w:val="Heading2"/>
      </w:pPr>
      <w:bookmarkStart w:id="902051" w:name="_Toc300002050"/>
      <w:r>
        <w:t>Article 64.21: Optional Public Forecast Consensus and Learning</w:t>
      </w:r>
      <w:bookmarkEnd w:id="902051"/>
    </w:p>
    <w:p>
      <w:pPr>
        <w:pStyle w:val="Normal"/>
      </w:pPr>
      <w:r>
        <w:t>The Forecast Arena may publish aggregate public forecasts, sector-specific consensus, official model forecasts where available, and resolved outcomes. Educational prompts may be used to improve public understanding of goods and services trade, intermediate inputs, regional supply chains, market access, export additionality, and other trade concepts.</w:t>
      </w:r>
    </w:p>
    <w:p>
      <w:pPr>
        <w:pStyle w:val="Heading2"/>
      </w:pPr>
      <w:bookmarkStart w:id="902052" w:name="_Toc300002051"/>
      <w:r>
        <w:t>Article 64.22: Data Verification and Existing Institutions</w:t>
      </w:r>
      <w:bookmarkEnd w:id="902052"/>
    </w:p>
    <w:p>
      <w:pPr>
        <w:pStyle w:val="Normal"/>
      </w:pPr>
      <w:r>
        <w:t>Implementation should rely on existing statistical agencies, customs authorities, trade ministries, the Commission, and competent national institutions wherever practicable. Nothing in this Chapter requires a fixed staffing level, a new permanent supranational agency, or disclosure of protected company-level data.</w:t>
      </w:r>
    </w:p>
    <w:p>
      <w:pPr>
        <w:pStyle w:val="Heading2"/>
      </w:pPr>
      <w:bookmarkStart w:id="902053" w:name="_Toc300002052"/>
      <w:r>
        <w:t>Article 64.23: Symmetry and National Presentation Freedom</w:t>
      </w:r>
      <w:bookmarkEnd w:id="902053"/>
    </w:p>
    <w:p>
      <w:pPr>
        <w:pStyle w:val="Normal"/>
      </w:pPr>
      <w:r>
        <w:t>The United States, Canada, and Mexico may each foreground its own commercial wins and design its own public-facing presentation. Core measurement categories and verification principles should remain interoperable so that national claims can be reconciled to a common evidentiary base.</w:t>
      </w:r>
    </w:p>
    <w:p>
      <w:pPr>
        <w:pStyle w:val="Heading2"/>
      </w:pPr>
      <w:bookmarkStart w:id="902054" w:name="_Toc300002053"/>
      <w:r>
        <w:t>Article 64.24: Governing Principle</w:t>
      </w:r>
      <w:bookmarkEnd w:id="902054"/>
    </w:p>
    <w:p>
      <w:pPr>
        <w:pStyle w:val="Normal"/>
      </w:pPr>
      <w:r>
        <w:t>The Commercial Wins architecture is a reporting and public-accountability methodology intended to redirect attention from a single bilateral accounting balance toward measurable opportunities created by expanding lawful trade. Except where another Article expressly imposes a data-integrity, non-discrimination, or reporting obligation, Chapter 64 does not create a market-access entitlement, tariff trigger, procurement obligation, or independent basis for retaliation. The objective is not to manufacture impressive numbers, but to make genuine commercial gains visible, comparable, competitive, and politically durable.</w:t>
      </w:r>
    </w:p>
    <w:p>
      <w:pPr>
        <w:pStyle w:val="Heading1"/>
      </w:pPr>
      <w:bookmarkStart w:id="902055" w:name="_Toc300002054"/>
      <w:r>
        <w:rPr>
          <w:i w:val="false"/>
        </w:rPr>
        <w:t>CHAPTER 65: NORTH AMERICAN RECIPROCAL PROCUREMENT COMPACT</w:t>
      </w:r>
      <w:bookmarkEnd w:id="902055"/>
    </w:p>
    <w:p>
      <w:pPr>
        <w:pStyle w:val="Normal"/>
      </w:pPr>
      <w:r>
        <w:rPr>
          <w:b/>
          <w:i w:val="false"/>
        </w:rPr>
        <w:t xml:space="preserve">★ </w:t>
      </w:r>
      <w:r>
        <w:rPr>
          <w:b/>
          <w:i w:val="false"/>
        </w:rPr>
        <w:t>VISIBLE TRILATERAL WIN: OPEN REAL NORTH AMERICAN INFRASTRUCTURE AND INDUSTRIAL PROCUREMENT OPPORTUNITIES WITHOUT BLANKET BUY-AMERICAN SURRENDER</w:t>
      </w:r>
    </w:p>
    <w:p>
      <w:pPr>
        <w:pStyle w:val="Heading2"/>
      </w:pPr>
      <w:bookmarkStart w:id="902056" w:name="_Toc300002055"/>
      <w:r>
        <w:rPr>
          <w:i w:val="false"/>
        </w:rPr>
        <w:t>Article 65.1: Purpose</w:t>
      </w:r>
      <w:bookmarkEnd w:id="902056"/>
    </w:p>
    <w:p>
      <w:pPr>
        <w:pStyle w:val="Normal"/>
      </w:pPr>
      <w:r>
        <w:rPr>
          <w:b w:val="false"/>
          <w:i w:val="false"/>
        </w:rPr>
        <w:t>1. The Parties establish a reciprocal, project-specific procurement architecture to create measurable opportunities for qualified United States, Canadian, and Mexican suppliers while preserving lawful domestic procurement authority, security exceptions, subnational autonomy, competition, and applicable environmental, labour, Indigenous-rights, safety, and regulatory requirements.</w:t>
      </w:r>
    </w:p>
    <w:p>
      <w:pPr>
        <w:pStyle w:val="Normal"/>
      </w:pPr>
      <w:r>
        <w:rPr>
          <w:b w:val="false"/>
          <w:i w:val="false"/>
        </w:rPr>
        <w:t>2. The Compact is designed to make reciprocal infrastructure and industrial opportunities politically visible without converting access into guaranteed awards or requiring economy-wide waivers of domestic procurement preferences.</w:t>
      </w:r>
    </w:p>
    <w:p>
      <w:pPr>
        <w:pStyle w:val="Heading2"/>
      </w:pPr>
      <w:bookmarkStart w:id="902057" w:name="_Toc300002056"/>
      <w:r>
        <w:t>Article 65.2: 370-Entry Candidate Opportunity Portfolio</w:t>
      </w:r>
      <w:bookmarkEnd w:id="902057"/>
    </w:p>
    <w:p>
      <w:pPr>
        <w:pStyle w:val="Normal"/>
      </w:pPr>
      <w:r>
        <w:t>1. Annex 65-A records 370 candidate procurement opportunity keepers for verification, designation, programmatic use, development, substitution, or future maturation. Inclusion preserves the research and negotiating record but does not itself create a procurement commitment, certify project value, require a project to proceed, or confer treaty status on an entry.</w:t>
      </w:r>
    </w:p>
    <w:p>
      <w:pPr>
        <w:pStyle w:val="Normal"/>
      </w:pPr>
      <w:r>
        <w:t>2. The 370-entry candidate inventory may be preserved as a non-binding research baseline even where a named project is completed, cancelled, delayed, privately controlled, jurisdictionally unavailable, technologically immature, or otherwise unsuitable for designation. Only an opportunity that satisfies Article 65.8 and is affirmatively designated under Article 65.4 acquires the legal effect stated in its certificate or schedule.</w:t>
      </w:r>
    </w:p>
    <w:p>
      <w:pPr>
        <w:pStyle w:val="Heading2"/>
      </w:pPr>
      <w:bookmarkStart w:id="902058" w:name="_Toc300002057"/>
      <w:r>
        <w:rPr>
          <w:i w:val="false"/>
        </w:rPr>
        <w:t>Article 65.3: Priority and Maturity Classes</w:t>
      </w:r>
      <w:bookmarkEnd w:id="902058"/>
    </w:p>
    <w:p>
      <w:pPr>
        <w:pStyle w:val="Normal"/>
      </w:pPr>
      <w:r>
        <w:t>1. For portfolio management, the initial candidate register records 30 Flagship, 44 Anchor, 198 Program, and 98 Development keepers. These counts and labels are non-binding metadata for verification and presentation priority and are not minimum treaty obligations.</w:t>
      </w:r>
    </w:p>
    <w:p>
      <w:pPr>
        <w:pStyle w:val="Normal"/>
      </w:pPr>
      <w:r>
        <w:t>2. A keeper may move among classes as evidence, project maturity, procurement availability, jurisdictional participation, technology, or negotiating priorities change. Reclassification, retirement, or non-maturation of a candidate does not constitute non-compliance.</w:t>
      </w:r>
    </w:p>
    <w:p>
      <w:pPr>
        <w:pStyle w:val="Heading2"/>
      </w:pPr>
      <w:bookmarkStart w:id="902059" w:name="_Toc300002058"/>
      <w:r>
        <w:rPr>
          <w:i w:val="false"/>
        </w:rPr>
        <w:t>Article 65.4: Project-Specific Reciprocity and Affirmative Designation</w:t>
      </w:r>
      <w:bookmarkEnd w:id="902059"/>
    </w:p>
    <w:p>
      <w:pPr>
        <w:pStyle w:val="Normal"/>
      </w:pPr>
      <w:r>
        <w:rPr>
          <w:b w:val="false"/>
          <w:i w:val="false"/>
        </w:rPr>
        <w:t>1. Reciprocal treatment arises only for a project, program, procurement lot, threshold, or schedule affirmatively designated by the competent participating authority. No automatic economy-wide waiver or automatic inclusion of future projects is created.</w:t>
      </w:r>
    </w:p>
    <w:p>
      <w:pPr>
        <w:pStyle w:val="Normal"/>
      </w:pPr>
      <w:r>
        <w:rPr>
          <w:b w:val="false"/>
          <w:i w:val="false"/>
        </w:rPr>
        <w:t>2. A Party may decline to designate a candidate without breaching this Chapter where competent authority, procurement status, funding, rights review, security, technical feasibility, or other lawful conditions do not support designation.</w:t>
      </w:r>
    </w:p>
    <w:p>
      <w:pPr>
        <w:pStyle w:val="Heading2"/>
      </w:pPr>
      <w:bookmarkStart w:id="902060" w:name="_Toc300002059"/>
      <w:r>
        <w:rPr>
          <w:i w:val="false"/>
        </w:rPr>
        <w:t>Article 65.5: No Blanket Buy American Waiver</w:t>
      </w:r>
      <w:bookmarkEnd w:id="902060"/>
    </w:p>
    <w:p>
      <w:pPr>
        <w:pStyle w:val="Normal"/>
      </w:pPr>
      <w:r>
        <w:rPr>
          <w:b w:val="false"/>
          <w:i w:val="false"/>
        </w:rPr>
        <w:t>No Party is required to provide a blanket, unconditional, standing, or economy-wide exemption from Buy American, Buy America, Canadian, Mexican, provincial, territorial, state, local, or other lawful domestic procurement preferences. Any reciprocal opening shall be bounded by the applicable certificate or schedule.</w:t>
      </w:r>
    </w:p>
    <w:p>
      <w:pPr>
        <w:pStyle w:val="Heading2"/>
      </w:pPr>
      <w:bookmarkStart w:id="902061" w:name="_Toc300002060"/>
      <w:r>
        <w:rPr>
          <w:i w:val="false"/>
        </w:rPr>
        <w:t>Article 65.6: Opportunity, Not Award</w:t>
      </w:r>
      <w:bookmarkEnd w:id="902061"/>
    </w:p>
    <w:p>
      <w:pPr>
        <w:pStyle w:val="Normal"/>
      </w:pPr>
      <w:r>
        <w:rPr>
          <w:b w:val="false"/>
          <w:i w:val="false"/>
        </w:rPr>
        <w:t>1. Reciprocity concerns meaningful access to compete, not guaranteed contract awards. No provision of this Chapter preselects a supplier, factory, contractor, mill, technology provider, or country of award.</w:t>
      </w:r>
    </w:p>
    <w:p>
      <w:pPr>
        <w:pStyle w:val="Normal"/>
      </w:pPr>
      <w:r>
        <w:rPr>
          <w:b w:val="false"/>
          <w:i w:val="false"/>
        </w:rPr>
        <w:t>2. Company, facility, employment, tonnage, and contract-value examples developed during negotiation are research leads only unless independently verified and incorporated through a lawful procurement instrument.</w:t>
      </w:r>
    </w:p>
    <w:p>
      <w:pPr>
        <w:pStyle w:val="Heading2"/>
      </w:pPr>
      <w:bookmarkStart w:id="902062" w:name="_Toc300002061"/>
      <w:r>
        <w:rPr>
          <w:i w:val="false"/>
        </w:rPr>
        <w:t>Article 65.7: Procurement Opportunity Certificate</w:t>
      </w:r>
      <w:bookmarkEnd w:id="902062"/>
    </w:p>
    <w:p>
      <w:pPr>
        <w:pStyle w:val="Normal"/>
      </w:pPr>
      <w:r>
        <w:rPr>
          <w:b w:val="false"/>
          <w:i w:val="false"/>
        </w:rPr>
        <w:t>Each designated named opportunity shall receive a Procurement Opportunity Certificate identifying, as applicable: project identifier; project or program name; competent jurisdiction; procurement authority; project and procurement status; covered opportunity; estimated eligible value or ceiling; reciprocal portfolio; participating Parties; content treatment; rights, environmental, labour, safety, privacy, security, and regulatory conditions; opening and expiry; Chapter 64 Ledger identifier; and verification source and date.</w:t>
      </w:r>
    </w:p>
    <w:p>
      <w:pPr>
        <w:pStyle w:val="Heading2"/>
      </w:pPr>
      <w:bookmarkStart w:id="902063" w:name="_Toc300002062"/>
      <w:r>
        <w:rPr>
          <w:i w:val="false"/>
        </w:rPr>
        <w:t>Article 65.8: Verification Ladder</w:t>
      </w:r>
      <w:bookmarkEnd w:id="902063"/>
    </w:p>
    <w:p>
      <w:pPr>
        <w:pStyle w:val="Normal"/>
      </w:pPr>
      <w:r>
        <w:rPr>
          <w:b w:val="false"/>
          <w:i w:val="false"/>
        </w:rPr>
        <w:t>A candidate may be classified V1 Conceptual, V2 Project Verified, V3 Procurement Verified, V4 Authority Verified, or V5 Schedule Ready. Only V5 opportunities may be represented as binding designated openings in the Initial Designated Procurement Schedule. Verification shall be revisited when material circumstances change.</w:t>
      </w:r>
    </w:p>
    <w:p>
      <w:pPr>
        <w:pStyle w:val="Heading2"/>
      </w:pPr>
      <w:bookmarkStart w:id="902064" w:name="_Toc300002063"/>
      <w:r>
        <w:rPr>
          <w:i w:val="false"/>
        </w:rPr>
        <w:t>Article 65.9: Procurement Value Integrity</w:t>
      </w:r>
      <w:bookmarkEnd w:id="902064"/>
    </w:p>
    <w:p>
      <w:pPr>
        <w:pStyle w:val="Normal"/>
      </w:pPr>
      <w:r>
        <w:rPr>
          <w:b w:val="false"/>
          <w:i w:val="false"/>
        </w:rPr>
        <w:t>Public and treaty reporting shall distinguish Total Project Value, Potential Procurement Value, Designated Reciprocal Opportunity Value, Tendered Value, Awarded Value, and Delivered Value. The total value of a project shall not be represented as opened reciprocal procurement where only a smaller portion is actually available.</w:t>
      </w:r>
    </w:p>
    <w:p>
      <w:pPr>
        <w:pStyle w:val="Heading2"/>
      </w:pPr>
      <w:bookmarkStart w:id="902065" w:name="_Toc300002064"/>
      <w:r>
        <w:rPr>
          <w:i w:val="false"/>
        </w:rPr>
        <w:t>Article 65.10: Effective Procurement Access Test</w:t>
      </w:r>
      <w:bookmarkEnd w:id="902065"/>
    </w:p>
    <w:p>
      <w:pPr>
        <w:pStyle w:val="Normal"/>
      </w:pPr>
      <w:r>
        <w:rPr>
          <w:b w:val="false"/>
          <w:i w:val="false"/>
        </w:rPr>
        <w:t>Nominal eligibility does not constitute effective reciprocal access where qualification rules, bonding, tender specifications, local-presence requirements, timing, information barriers, security restrictions, or other conditions make participation commercially impracticable without legitimate justification. Paper access shall not be counted as equivalent to usable access.</w:t>
      </w:r>
    </w:p>
    <w:p>
      <w:pPr>
        <w:pStyle w:val="Heading2"/>
      </w:pPr>
      <w:bookmarkStart w:id="902066" w:name="_Toc300002065"/>
      <w:r>
        <w:rPr>
          <w:i w:val="false"/>
        </w:rPr>
        <w:t>Article 65.11: Reciprocal Portfolio Equivalence</w:t>
      </w:r>
      <w:bookmarkEnd w:id="902066"/>
    </w:p>
    <w:p>
      <w:pPr>
        <w:pStyle w:val="Normal"/>
      </w:pPr>
      <w:r>
        <w:rPr>
          <w:b w:val="false"/>
          <w:i w:val="false"/>
        </w:rPr>
        <w:t>1. Reciprocity may be mirror, complementary, or portfolio-based. The Parties are not required to exchange identical products, identical projects, or dollar-identical individual procurements.</w:t>
      </w:r>
    </w:p>
    <w:p>
      <w:pPr>
        <w:pStyle w:val="Normal"/>
      </w:pPr>
      <w:r>
        <w:rPr>
          <w:b w:val="false"/>
          <w:i w:val="false"/>
        </w:rPr>
        <w:t>2. Portfolio equivalence may consider usable eligible value, number and quality of competitions, sector diversity, duration, geographic breadth, SME accessibility, strategic relevance, qualification burdens, and realized participation. Headline value alone is insufficient.</w:t>
      </w:r>
    </w:p>
    <w:p>
      <w:pPr>
        <w:pStyle w:val="Heading2"/>
      </w:pPr>
      <w:bookmarkStart w:id="902067" w:name="_Toc300002066"/>
      <w:r>
        <w:rPr>
          <w:i w:val="false"/>
        </w:rPr>
        <w:t>Article 65.12: North American Content and Prequalification Lane</w:t>
      </w:r>
      <w:bookmarkEnd w:id="902067"/>
    </w:p>
    <w:p>
      <w:pPr>
        <w:pStyle w:val="Normal"/>
      </w:pPr>
      <w:r>
        <w:rPr>
          <w:b w:val="false"/>
          <w:i w:val="false"/>
        </w:rPr>
        <w:t>Where lawful and expressly designated, a certificate may establish reciprocal prequalification or North American-origin treatment that improves access for qualifying suppliers from the Parties relative to extra-regional suppliers. Such treatment shall not guarantee awards and shall remain consistent with applicable procurement commitments and exclusions.</w:t>
      </w:r>
    </w:p>
    <w:p>
      <w:pPr>
        <w:pStyle w:val="Heading2"/>
      </w:pPr>
      <w:bookmarkStart w:id="902068" w:name="_Toc300002067"/>
      <w:r>
        <w:rPr>
          <w:i w:val="false"/>
        </w:rPr>
        <w:t>Article 65.13: Subnational Reciprocity Track</w:t>
      </w:r>
      <w:bookmarkEnd w:id="902068"/>
    </w:p>
    <w:p>
      <w:pPr>
        <w:pStyle w:val="Normal"/>
      </w:pPr>
      <w:r>
        <w:rPr>
          <w:b w:val="false"/>
          <w:i w:val="false"/>
        </w:rPr>
        <w:t>States, provinces, territories, municipalities, Mexican states, public authorities, Indigenous governments or entities, and other competent subnational bodies may participate voluntarily where legally authorized. Federal participation shall not be interpreted as binding a non-consenting subnational procurement authority.</w:t>
      </w:r>
    </w:p>
    <w:p>
      <w:pPr>
        <w:pStyle w:val="Heading2"/>
      </w:pPr>
      <w:bookmarkStart w:id="902069" w:name="_Toc300002068"/>
      <w:r>
        <w:rPr>
          <w:i w:val="false"/>
        </w:rPr>
        <w:t>Article 65.14: Community, Indigenous and SME Participation</w:t>
      </w:r>
      <w:bookmarkEnd w:id="902069"/>
    </w:p>
    <w:p>
      <w:pPr>
        <w:pStyle w:val="Normal"/>
      </w:pPr>
      <w:r>
        <w:rPr>
          <w:b w:val="false"/>
          <w:i w:val="false"/>
        </w:rPr>
        <w:t>Implementation may facilitate SME, Indigenous, local-community, rural, and regional supplier participation through lawful outreach, prequalification assistance, lot design, capacity building, and transparent participation targets. Nothing in this Chapter overrides Indigenous rights, consultation duties, procurement autonomy, or applicable constitutional and legal protections.</w:t>
      </w:r>
    </w:p>
    <w:p>
      <w:pPr>
        <w:pStyle w:val="Heading2"/>
      </w:pPr>
      <w:bookmarkStart w:id="902070" w:name="_Toc300002069"/>
      <w:r>
        <w:rPr>
          <w:i w:val="false"/>
        </w:rPr>
        <w:t>Article 65.15: Public, Private and Mixed Projects</w:t>
      </w:r>
      <w:bookmarkEnd w:id="902070"/>
    </w:p>
    <w:p>
      <w:pPr>
        <w:pStyle w:val="Normal"/>
      </w:pPr>
      <w:r>
        <w:rPr>
          <w:b w:val="false"/>
          <w:i w:val="false"/>
        </w:rPr>
        <w:t>Private projects may enter the Compact only through voluntary participation, a qualifying public procurement or financing nexus, or another lawful mechanism accepted by the competent parties. Treaty inclusion alone does not compel a private owner to open procurement or award contracts.</w:t>
      </w:r>
    </w:p>
    <w:p>
      <w:pPr>
        <w:pStyle w:val="Heading2"/>
      </w:pPr>
      <w:bookmarkStart w:id="902071" w:name="_Toc300002070"/>
      <w:r>
        <w:rPr>
          <w:i w:val="false"/>
        </w:rPr>
        <w:t>Article 65.16: Security and Sensitive Procurement Firewall</w:t>
      </w:r>
      <w:bookmarkEnd w:id="902071"/>
    </w:p>
    <w:p>
      <w:pPr>
        <w:pStyle w:val="Normal"/>
      </w:pPr>
      <w:r>
        <w:rPr>
          <w:b w:val="false"/>
          <w:i w:val="false"/>
        </w:rPr>
        <w:t>Sensitive defense, intelligence, law-enforcement, cybersecurity, nuclear, border, personal-data, and critical-infrastructure procurements remain subject to applicable exclusions, security review, privacy protections, and competent-authority restrictions. Civil works, logistics, resilience, medical, emergency, and other separable non-sensitive packages may be designated where lawful.</w:t>
      </w:r>
    </w:p>
    <w:p>
      <w:pPr>
        <w:pStyle w:val="Heading2"/>
      </w:pPr>
      <w:bookmarkStart w:id="902072" w:name="_Toc300002071"/>
      <w:r>
        <w:rPr>
          <w:i w:val="false"/>
        </w:rPr>
        <w:t>Article 65.17: Permitting, Rights and Regulatory Firewall</w:t>
      </w:r>
      <w:bookmarkEnd w:id="902072"/>
    </w:p>
    <w:p>
      <w:pPr>
        <w:pStyle w:val="Normal"/>
      </w:pPr>
      <w:r>
        <w:rPr>
          <w:b w:val="false"/>
          <w:i w:val="false"/>
        </w:rPr>
        <w:t>A procurement designation does not approve, permit, license, finance, or environmentally authorize the underlying project. Fast-track treatment may coordinate procedure but shall not waive substantive environmental, Indigenous-rights, labour, safety, nuclear, health, competition, or other applicable law.</w:t>
      </w:r>
    </w:p>
    <w:p>
      <w:pPr>
        <w:pStyle w:val="Heading2"/>
      </w:pPr>
      <w:bookmarkStart w:id="902073" w:name="_Toc300002072"/>
      <w:r>
        <w:rPr>
          <w:i w:val="false"/>
        </w:rPr>
        <w:t>Article 65.18: Three-Receipt Rule</w:t>
      </w:r>
      <w:bookmarkEnd w:id="902073"/>
    </w:p>
    <w:p>
      <w:pPr>
        <w:pStyle w:val="Normal"/>
      </w:pPr>
      <w:r>
        <w:rPr>
          <w:b w:val="false"/>
          <w:i w:val="false"/>
        </w:rPr>
        <w:t>Public reporting shall distinguish: Receipt 1, Access, showing that a lawful opening exists; Receipt 2, Competition, showing that qualified suppliers had commercially usable access to compete; and Receipt 3, Award, showing a lawful contract award. A Verified Procurement Win under Chapter 64 requires the evidence appropriate to the claimed stage.</w:t>
      </w:r>
    </w:p>
    <w:p>
      <w:pPr>
        <w:pStyle w:val="Heading2"/>
      </w:pPr>
      <w:bookmarkStart w:id="902074" w:name="_Toc300002073"/>
      <w:r>
        <w:rPr>
          <w:i w:val="false"/>
        </w:rPr>
        <w:t>Article 65.19: Opportunity-to-Delivery Accounting</w:t>
      </w:r>
      <w:bookmarkEnd w:id="902074"/>
    </w:p>
    <w:p>
      <w:pPr>
        <w:pStyle w:val="Normal"/>
      </w:pPr>
      <w:r>
        <w:rPr>
          <w:b w:val="false"/>
          <w:i w:val="false"/>
        </w:rPr>
        <w:t>The Registry and Chapter 64 Ledger shall, where practicable, track Access Opened, Qualified Bids, Cross-Border Participation, Contracts Awarded, and Delivered Procurement Value without double counting the same transaction across multiple portfolios or political presentations.</w:t>
      </w:r>
    </w:p>
    <w:p>
      <w:pPr>
        <w:pStyle w:val="Heading2"/>
      </w:pPr>
      <w:bookmarkStart w:id="902075" w:name="_Toc300002074"/>
      <w:r>
        <w:rPr>
          <w:i w:val="false"/>
        </w:rPr>
        <w:t>Article 65.20: Procurement Availability Ratio</w:t>
      </w:r>
      <w:bookmarkEnd w:id="902075"/>
    </w:p>
    <w:p>
      <w:pPr>
        <w:pStyle w:val="Normal"/>
      </w:pPr>
      <w:r>
        <w:rPr>
          <w:b w:val="false"/>
          <w:i w:val="false"/>
        </w:rPr>
        <w:t>For large or partially completed projects, reporting may calculate a Procurement Availability Ratio equal to remaining potentially eligible procurement divided by total project value. The ratio is diagnostic and shall not substitute for verification of the specific designated opportunity.</w:t>
      </w:r>
    </w:p>
    <w:p>
      <w:pPr>
        <w:pStyle w:val="Heading2"/>
      </w:pPr>
      <w:bookmarkStart w:id="902076" w:name="_Toc300002075"/>
      <w:r>
        <w:rPr>
          <w:i w:val="false"/>
        </w:rPr>
        <w:t>Article 65.21: Initial, Rolling and Development Schedules</w:t>
      </w:r>
      <w:bookmarkEnd w:id="902076"/>
    </w:p>
    <w:p>
      <w:pPr>
        <w:pStyle w:val="Normal"/>
      </w:pPr>
      <w:r>
        <w:rPr>
          <w:b w:val="false"/>
          <w:i w:val="false"/>
        </w:rPr>
        <w:t>1. Flagship and Anchor candidates may be considered for an Initial Designated Procurement Schedule after V5 verification. 2. Program keepers populate recurring project classes capable of receiving future certificates. 3. Development keepers remain research, feasibility, demonstration, emerging-technology, future-horizon, or jurisdiction-dependent candidates and do not create non-compliance merely because they do not mature.</w:t>
      </w:r>
    </w:p>
    <w:p>
      <w:pPr>
        <w:pStyle w:val="Heading2"/>
      </w:pPr>
      <w:bookmarkStart w:id="902077" w:name="_Toc300002076"/>
      <w:r>
        <w:rPr>
          <w:i w:val="false"/>
        </w:rPr>
        <w:t>Article 65.22: Expansion and Substitution Registry</w:t>
      </w:r>
      <w:bookmarkEnd w:id="902077"/>
    </w:p>
    <w:p>
      <w:pPr>
        <w:pStyle w:val="Normal"/>
      </w:pPr>
      <w:r>
        <w:t>The Parties may maintain expansion and substitution candidates outside the 370-entry research baseline. A failed or obsolete candidate or designated implementation may be replaced by a verified candidate of comparable strategic and reciprocal value where appropriate. No minimum number of substitution candidates is required, and additional qualified opportunities may be added without amending the Agreement unless their legal treatment itself requires amendment.</w:t>
      </w:r>
    </w:p>
    <w:p>
      <w:pPr>
        <w:pStyle w:val="Heading2"/>
      </w:pPr>
      <w:bookmarkStart w:id="902078" w:name="_Toc300002077"/>
      <w:r>
        <w:rPr>
          <w:i w:val="false"/>
        </w:rPr>
        <w:t>Article 65.23: Substitution Without Concealment</w:t>
      </w:r>
      <w:bookmarkEnd w:id="902078"/>
    </w:p>
    <w:p>
      <w:pPr>
        <w:pStyle w:val="Normal"/>
      </w:pPr>
      <w:r>
        <w:rPr>
          <w:b w:val="false"/>
          <w:i w:val="false"/>
        </w:rPr>
        <w:t>Where a named project is removed, converted, or substituted, the Registry shall preserve the reason, date, and replacement pathway. Completed, cancelled, already-awarded, or unavailable projects shall not be silently represented as current opportunities.</w:t>
      </w:r>
    </w:p>
    <w:p>
      <w:pPr>
        <w:pStyle w:val="Heading2"/>
      </w:pPr>
      <w:bookmarkStart w:id="902079" w:name="_Toc300002078"/>
      <w:r>
        <w:rPr>
          <w:i w:val="false"/>
        </w:rPr>
        <w:t>Article 65.24: Procurement Opportunity Registry</w:t>
      </w:r>
      <w:bookmarkEnd w:id="902079"/>
    </w:p>
    <w:p>
      <w:pPr>
        <w:pStyle w:val="Normal"/>
      </w:pPr>
      <w:r>
        <w:t>The Parties shall maintain a transparent registry distinguishing candidate keepers from V5 verified and affirmatively designated opportunities, together with certificates, verification grades, procurement status, participating jurisdictions, and material revisions, subject to legitimate confidentiality and security protections.</w:t>
      </w:r>
    </w:p>
    <w:p>
      <w:pPr>
        <w:pStyle w:val="Heading2"/>
      </w:pPr>
      <w:bookmarkStart w:id="902080" w:name="_Toc300002079"/>
      <w:r>
        <w:rPr>
          <w:i w:val="false"/>
        </w:rPr>
        <w:t>Article 65.25: Commercial Wins Integration</w:t>
      </w:r>
      <w:bookmarkEnd w:id="902080"/>
    </w:p>
    <w:p>
      <w:pPr>
        <w:pStyle w:val="Normal"/>
      </w:pPr>
      <w:r>
        <w:rPr>
          <w:b w:val="false"/>
          <w:i w:val="false"/>
        </w:rPr>
        <w:t>Procurement opportunities and realized awards shall feed Chapter 64 using its additionality, baseline, revision, no-double-counting, statistical-integrity, and national-presentation disciplines. Public interfaces may celebrate verified wins but may not alter the underlying procurement or measurement methodology.</w:t>
      </w:r>
    </w:p>
    <w:p>
      <w:pPr>
        <w:pStyle w:val="Heading2"/>
      </w:pPr>
      <w:bookmarkStart w:id="902081" w:name="_Toc300002080"/>
      <w:r>
        <w:rPr>
          <w:i w:val="false"/>
        </w:rPr>
        <w:t>Article 65.26: No Uncompensated Front-Loading</w:t>
      </w:r>
      <w:bookmarkEnd w:id="902081"/>
    </w:p>
    <w:p>
      <w:pPr>
        <w:pStyle w:val="Normal"/>
      </w:pPr>
      <w:r>
        <w:rPr>
          <w:b w:val="false"/>
          <w:i w:val="false"/>
        </w:rPr>
        <w:t>Where reciprocal procurement access is expressly paired across Parties, activation should occur together or according to a verified agreed sequence. Material failure of paired performance shall use notice, verification, a short cure opportunity, proportionate pause or step-back of the affected paired benefit, and automatic restoration after verified cure, consistent with Article 35.36 and Cothrom architecture.</w:t>
      </w:r>
    </w:p>
    <w:p>
      <w:pPr>
        <w:pStyle w:val="Heading2"/>
      </w:pPr>
      <w:bookmarkStart w:id="902082" w:name="_Toc300002081"/>
      <w:r>
        <w:rPr>
          <w:i w:val="false"/>
        </w:rPr>
        <w:t>Article 65.27: No Cross-Sector Procurement Punishment</w:t>
      </w:r>
      <w:bookmarkEnd w:id="902082"/>
    </w:p>
    <w:p>
      <w:pPr>
        <w:pStyle w:val="Normal"/>
      </w:pPr>
      <w:r>
        <w:rPr>
          <w:b w:val="false"/>
          <w:i w:val="false"/>
        </w:rPr>
        <w:t>A dispute concerning one certificate, project, supplier qualification, or procurement portfolio shall ordinarily be confined to the affected procurement benefit. Unrelated trade concessions shall not be suspended solely because an individual project is delayed, cancelled, unsuccessfully bid, or affected by good-faith technical or commercial failure.</w:t>
      </w:r>
    </w:p>
    <w:p>
      <w:pPr>
        <w:pStyle w:val="Heading2"/>
      </w:pPr>
      <w:bookmarkStart w:id="902083" w:name="_Toc300002082"/>
      <w:r>
        <w:rPr>
          <w:i w:val="false"/>
        </w:rPr>
        <w:t>Article 65.28: Review, Promotion and Evolution</w:t>
      </w:r>
      <w:bookmarkEnd w:id="902083"/>
    </w:p>
    <w:p>
      <w:pPr>
        <w:pStyle w:val="Normal"/>
      </w:pPr>
      <w:r>
        <w:t>The Parties shall periodically review the candidate portfolio, promote maturing Development or Program keepers, update verification, add qualifying opportunities, and redesign or retire obsolete project instances while preserving transparent records. The objective is a living reciprocal opportunity system rather than a static list of construction promises; no candidate count is protected as a substantive entitlement.</w:t>
      </w:r>
    </w:p>
    <w:p>
      <w:pPr>
        <w:pStyle w:val="Heading2"/>
      </w:pPr>
      <w:bookmarkStart w:id="902084" w:name="_Toc300002083"/>
      <w:r>
        <w:t>ANNEX 65-A: 370-ENTRY CANDIDATE OPPORTUNITY REGISTER (NON-BINDING UNTIL DESIGNATED)</w:t>
      </w:r>
      <w:bookmarkEnd w:id="902084"/>
    </w:p>
    <w:p>
      <w:pPr>
        <w:pStyle w:val="Normal"/>
      </w:pPr>
      <w:r>
        <w:t>STATUS OF THIS ANNEX. The 370 entries below are preserved as candidate research and negotiating leads. An entry may be conceptual, unavailable, unverified, future-horizon, privately controlled, or jurisdiction-dependent and does not become a treaty fact, procurement opening, funding commitment, or binding schedule merely by appearing here. Article 65.8 verification, Article 65.4 affirmative competent-authority designation, and Annex 66-F fact-verification principles govern any promotion to binding status. LEGAL EFFECT OF THIS ANNEX. The following entries are protected substantive keepers for verification, designation, programmatic use, development, substitution, or future maturation. They are not guaranteed awards, certified project values, automatic waivers, project approvals, or findings that procurement is currently open. Any binding opening requires the applicable Article 65 verification and designation process.</w:t>
      </w:r>
    </w:p>
    <w:p>
      <w:pPr>
        <w:pStyle w:val="Normal"/>
      </w:pPr>
      <w:r>
        <w:rPr>
          <w:b w:val="false"/>
          <w:i/>
        </w:rPr>
        <w:t>Classification legend: FLAGSHIP = first-priority verification/presentation; ANCHOR = substantial named or strategic opportunity; PROGRAM = recurring procurement class or rolling opportunity; DEVELOPMENT = conditional, feasibility, emerging, private-participation, jurisdiction-dependent, or future-horizon opportunity.</w:t>
      </w:r>
    </w:p>
    <w:p>
      <w:pPr>
        <w:pStyle w:val="Normal"/>
      </w:pPr>
      <w:r>
        <w:rPr>
          <w:b w:val="false"/>
          <w:i w:val="false"/>
        </w:rPr>
        <w:t>65-A-001 [FLAGSHIP] Detroit–Windsor second crossing ancillary works: Gordie Howe Bridge is under way; a follow-on "NABC Corridor Package" opens Michigan-side interchange, lighting and ITS contracts to Canadian firms in exchange for Ontario-side approach-road contracts opened to U.S. firms.</w:t>
      </w:r>
    </w:p>
    <w:p>
      <w:pPr>
        <w:pStyle w:val="Normal"/>
      </w:pPr>
      <w:r>
        <w:rPr>
          <w:b w:val="false"/>
          <w:i w:val="false"/>
        </w:rPr>
        <w:t>65-A-002 [ANCHOR] I-5 Columbia River Crossing (Oregon–Washington): Canadian steel fabricators and Mexican precast producers prequalified on a defined share; in return, U.S. firms bid on British Columbia Highway 1 widening packages of equal value.</w:t>
      </w:r>
    </w:p>
    <w:p>
      <w:pPr>
        <w:pStyle w:val="Normal"/>
      </w:pPr>
      <w:r>
        <w:rPr>
          <w:b w:val="false"/>
          <w:i w:val="false"/>
        </w:rPr>
        <w:t>65-A-003 [ANCHOR] Peace Arch / Blaine border expansion: Reciprocal opening of U.S. inspection-plaza civil works to BC contractors, matched by B.C. secondary-inspection canopy contracts opened to Washington State firms.</w:t>
      </w:r>
    </w:p>
    <w:p>
      <w:pPr>
        <w:pStyle w:val="Normal"/>
      </w:pPr>
      <w:r>
        <w:rPr>
          <w:b w:val="false"/>
          <w:i w:val="false"/>
        </w:rPr>
        <w:t>65-A-004 [ANCHOR] Pembina–Emerson crossing modernization: Manitoba opens plaza and drainage works to North Dakota firms; North Dakota reciprocates on its I-29 approach corridor contracts to Manitoba contractors.</w:t>
      </w:r>
    </w:p>
    <w:p>
      <w:pPr>
        <w:pStyle w:val="Normal"/>
      </w:pPr>
      <w:r>
        <w:rPr>
          <w:b w:val="false"/>
          <w:i w:val="false"/>
        </w:rPr>
        <w:t>65-A-005 [ANCHOR] Sumas–Huntingdon crossing rebuild (post-flood): Jointly tendered: U.S. firms eligible on Abbotsford-side works, Canadian firms on Whatcom County works, with a named CUSMA-steel content rule.</w:t>
      </w:r>
    </w:p>
    <w:p>
      <w:pPr>
        <w:pStyle w:val="Normal"/>
      </w:pPr>
      <w:r>
        <w:rPr>
          <w:b w:val="false"/>
          <w:i w:val="false"/>
        </w:rPr>
        <w:t>65-A-006 [ANCHOR] New York–Quebec Champlain–Lacolle plaza upgrade: Canadian firms eligible on the New York side; U.S. firms on the Quebec A-15 approach and plaza works, dollar-matched.</w:t>
      </w:r>
    </w:p>
    <w:p>
      <w:pPr>
        <w:pStyle w:val="Normal"/>
      </w:pPr>
      <w:r>
        <w:rPr>
          <w:b w:val="false"/>
          <w:i w:val="false"/>
        </w:rPr>
        <w:t>65-A-007 [PROGRAM] Derby Line–Stanstead (I-91/A-55) inspection modernization: Vermont and Quebec exchange prequalification lists for a capped set of contracts on both sides of the same project.</w:t>
      </w:r>
    </w:p>
    <w:p>
      <w:pPr>
        <w:pStyle w:val="Normal"/>
      </w:pPr>
      <w:r>
        <w:rPr>
          <w:b w:val="false"/>
          <w:i w:val="false"/>
        </w:rPr>
        <w:t>65-A-008 [ANCHOR] Sault Ste. Marie International Bridge approach renewal: Michigan opens approach-span repainting and deck contracts to Ontario firms; Ontario reciprocates on its plaza and Huron Street works.</w:t>
      </w:r>
    </w:p>
    <w:p>
      <w:pPr>
        <w:pStyle w:val="Normal"/>
      </w:pPr>
      <w:r>
        <w:rPr>
          <w:b w:val="false"/>
          <w:i w:val="false"/>
        </w:rPr>
        <w:t>65-A-009 [ANCHOR] International Falls–Fort Frances bridge and plaza: Minnesota and Ontario exchange access on plaza expansion and toll-system contracts, framed as one binational project.</w:t>
      </w:r>
    </w:p>
    <w:p>
      <w:pPr>
        <w:pStyle w:val="Normal"/>
      </w:pPr>
      <w:r>
        <w:rPr>
          <w:b w:val="false"/>
          <w:i w:val="false"/>
        </w:rPr>
        <w:t>65-A-010 [ANCHOR] Baudette–Rainy River International Bridge rehabilitation: Reciprocal procurement split named in a state-provincial MOU under the NABC umbrella.</w:t>
      </w:r>
    </w:p>
    <w:p>
      <w:pPr>
        <w:pStyle w:val="Normal"/>
      </w:pPr>
      <w:r>
        <w:rPr>
          <w:b w:val="false"/>
          <w:i w:val="false"/>
        </w:rPr>
        <w:t>65-A-011 [FLAGSHIP] World Trade Bridge (Laredo) expansion: U.S. opens Texas-side approach and inspection-canopy contracts to Mexican and Canadian firms; Nuevo León/Tamaulipas reciprocate on the Anzaldúas and Colombia bridge approach works.</w:t>
      </w:r>
    </w:p>
    <w:p>
      <w:pPr>
        <w:pStyle w:val="Normal"/>
      </w:pPr>
      <w:r>
        <w:rPr>
          <w:b w:val="false"/>
          <w:i w:val="false"/>
        </w:rPr>
        <w:t>65-A-012 [FLAGSHIP] Otay Mesa East / Otay II port of entry (San Diego–Tijuana): Trilateral tender: Canadian ITS firms, Mexican civil contractors and U.S. builders share a defined package split, announced with dollar figures for each country.</w:t>
      </w:r>
    </w:p>
    <w:p>
      <w:pPr>
        <w:pStyle w:val="Normal"/>
      </w:pPr>
      <w:r>
        <w:rPr>
          <w:b w:val="false"/>
          <w:i w:val="false"/>
        </w:rPr>
        <w:t>65-A-013 [ANCHOR] Brownsville–Matamoros West Rail Bridge: Canadian rail-signal firms and U.S. steel fabricators eligible on a defined share; Mexican side reciprocates with its Matamoros-side yard contracts.</w:t>
      </w:r>
    </w:p>
    <w:p>
      <w:pPr>
        <w:pStyle w:val="Normal"/>
      </w:pPr>
      <w:r>
        <w:rPr>
          <w:b w:val="false"/>
          <w:i w:val="false"/>
        </w:rPr>
        <w:t>65-A-014 [ANCHOR] Eagle Pass–Piedras Negras rail bridge twinning: U.S. firms prequalified on Coahuila-side approach embankments; Mexican firms on the Texas inspection and yard works.</w:t>
      </w:r>
    </w:p>
    <w:p>
      <w:pPr>
        <w:pStyle w:val="Normal"/>
      </w:pPr>
      <w:r>
        <w:rPr>
          <w:b w:val="false"/>
          <w:i w:val="false"/>
        </w:rPr>
        <w:t>65-A-015 [ANCHOR] Ambassador Bridge secondary-span mitigation works (Windsor–Detroit): If a twin span proceeds, carve a named reciprocal package out of both sides' approach contracts from day one.</w:t>
      </w:r>
    </w:p>
    <w:p>
      <w:pPr>
        <w:pStyle w:val="Normal"/>
      </w:pPr>
      <w:r>
        <w:rPr>
          <w:b w:val="false"/>
          <w:i w:val="false"/>
        </w:rPr>
        <w:t>65-A-016 [FLAGSHIP] St. Lawrence Seaway locks modernization (U.S. and Canadian locks): Joint binational tender with a published split: Canadian firms on the two U.S. Snell/Eisenhower lock contracts, U.S. firms on Welland Canal tie-up wall works.</w:t>
      </w:r>
    </w:p>
    <w:p>
      <w:pPr>
        <w:pStyle w:val="Normal"/>
      </w:pPr>
      <w:r>
        <w:rPr>
          <w:b w:val="false"/>
          <w:i w:val="false"/>
        </w:rPr>
        <w:t>65-A-017 [ANCHOR] Thousand Islands Bridge system renewal: New York and Ontario exchange access on deck rehabilitation and toll plaza contracts under a named NABC line item.</w:t>
      </w:r>
    </w:p>
    <w:p>
      <w:pPr>
        <w:pStyle w:val="Normal"/>
      </w:pPr>
      <w:r>
        <w:rPr>
          <w:b w:val="false"/>
          <w:i w:val="false"/>
        </w:rPr>
        <w:t>65-A-018 [ANCHOR] Ogdensburg–Prescott International Bridge painting contract: Canadian coating firms eligible; reciprocated by Ogdensburg port-of-entry paving contracts opened to U.S. firms.</w:t>
      </w:r>
    </w:p>
    <w:p>
      <w:pPr>
        <w:pStyle w:val="Normal"/>
      </w:pPr>
      <w:r>
        <w:rPr>
          <w:b w:val="false"/>
          <w:i w:val="false"/>
        </w:rPr>
        <w:t>65-A-019 [PROGRAM] Alaska Highway–Haines Junction corridor bridges: Alaska opens defined bridge-rehab packages to Yukon and BC firms; Yukon reciprocates on Shakwak-project-style packages for U.S. contractors.</w:t>
      </w:r>
    </w:p>
    <w:p>
      <w:pPr>
        <w:pStyle w:val="Normal"/>
      </w:pPr>
      <w:r>
        <w:rPr>
          <w:b w:val="false"/>
          <w:i w:val="false"/>
        </w:rPr>
        <w:t>65-A-020 [ANCHOR] Nogales–Mariposa port of entry expansion: Arizona opens civil works to Sonora contractors; Sonora reciprocates on its federal inspection-plaza contracts, both announced as one project with shared figures.</w:t>
      </w:r>
    </w:p>
    <w:p>
      <w:pPr>
        <w:pStyle w:val="Normal"/>
      </w:pPr>
      <w:r>
        <w:rPr>
          <w:b w:val="false"/>
          <w:i w:val="false"/>
        </w:rPr>
        <w:t>65-A-021 [PROGRAM] Calexico–Mexicali border infrastructure: Reciprocal opening of new pedestrian plaza and vehicle-lane contracts on both sides; include Imperial Valley waterworks tie-in as a Canadian engineering-services opening.</w:t>
      </w:r>
    </w:p>
    <w:p>
      <w:pPr>
        <w:pStyle w:val="Normal"/>
      </w:pPr>
      <w:r>
        <w:rPr>
          <w:b w:val="false"/>
          <w:i w:val="false"/>
        </w:rPr>
        <w:t>65-A-022 [PROGRAM] Blue Water Bridge (Port Huron–Sarnia) plaza expansion: Michigan and Ontario swap access on plaza, canopy and toll-gantry contracts with a named dollar ceiling.</w:t>
      </w:r>
    </w:p>
    <w:p>
      <w:pPr>
        <w:pStyle w:val="Normal"/>
      </w:pPr>
      <w:r>
        <w:rPr>
          <w:b w:val="false"/>
          <w:i w:val="false"/>
        </w:rPr>
        <w:t>65-A-023 [PROGRAM] International Bridge to St. Stephen–Calais: New Brunswick and Maine exchange prequalification for border-station rebuild packages.</w:t>
      </w:r>
    </w:p>
    <w:p>
      <w:pPr>
        <w:pStyle w:val="Normal"/>
      </w:pPr>
      <w:r>
        <w:rPr>
          <w:b w:val="false"/>
          <w:i w:val="false"/>
        </w:rPr>
        <w:t>65-A-024 [PROGRAM] Quebec–Vermont Highgate Springs interchange: Vermont I-89 interchange works opened to Quebec firms; Quebec reciprocates on A-35 completion contracts.</w:t>
      </w:r>
    </w:p>
    <w:p>
      <w:pPr>
        <w:pStyle w:val="Normal"/>
      </w:pPr>
      <w:r>
        <w:rPr>
          <w:b w:val="false"/>
          <w:i w:val="false"/>
        </w:rPr>
        <w:t>65-A-025 [FLAGSHIP] Detroit–Windsor Tunnel ventilation and life-safety renewal: Binational asset, binational tender: publish a 50/50 contract split with named firms eligible.</w:t>
      </w:r>
    </w:p>
    <w:p>
      <w:pPr>
        <w:pStyle w:val="Normal"/>
      </w:pPr>
      <w:r>
        <w:rPr>
          <w:b w:val="false"/>
          <w:i w:val="false"/>
        </w:rPr>
        <w:t>65-A-026 [PROGRAM] Pacific Highway (Surrey–Blaine) commercial vehicle plaza: Reciprocal packages on both sides, including NEXUS-lane civil works, announced with jobs figures for Washington and BC.</w:t>
      </w:r>
    </w:p>
    <w:p>
      <w:pPr>
        <w:pStyle w:val="Normal"/>
      </w:pPr>
      <w:r>
        <w:rPr>
          <w:b w:val="false"/>
          <w:i w:val="false"/>
        </w:rPr>
        <w:t>65-A-027 [FLAGSHIP] Fort Erie–Buffalo Peace Bridge rehabilitation: New York State and Ontario exchange deck, painting and ITS contracts as one named project.</w:t>
      </w:r>
    </w:p>
    <w:p>
      <w:pPr>
        <w:pStyle w:val="Normal"/>
      </w:pPr>
      <w:r>
        <w:rPr>
          <w:b w:val="false"/>
          <w:i w:val="false"/>
        </w:rPr>
        <w:t>65-A-028 [PROGRAM] Lewiston–Queenston Bridge plaza expansion: Ontario firms eligible on New York-side toll system; U.S. firms on Ontario-side approach works.</w:t>
      </w:r>
    </w:p>
    <w:p>
      <w:pPr>
        <w:pStyle w:val="Normal"/>
      </w:pPr>
      <w:r>
        <w:rPr>
          <w:b w:val="false"/>
          <w:i w:val="false"/>
        </w:rPr>
        <w:t>65-A-029 [PROGRAM] Tijuana–San Ysidro pedestrian east crossing: California opens inspection-canopy contracts to Mexican firms; Baja California reciprocates on its El Chaparral expansion works, with Canadian security-screening integrators eligible on both.</w:t>
      </w:r>
    </w:p>
    <w:p>
      <w:pPr>
        <w:pStyle w:val="Normal"/>
      </w:pPr>
      <w:r>
        <w:rPr>
          <w:b w:val="false"/>
          <w:i w:val="false"/>
        </w:rPr>
        <w:t>65-A-030 [PROGRAM] Binational bridge maintenance framework: A standing (but project-capped) NABC annex under which every future international crossing project affirmativeally includes a published reciprocal split, institutionalizes the trophy machine.</w:t>
      </w:r>
    </w:p>
    <w:p>
      <w:pPr>
        <w:pStyle w:val="Normal"/>
      </w:pPr>
      <w:r>
        <w:rPr>
          <w:b w:val="false"/>
          <w:i w:val="false"/>
        </w:rPr>
        <w:t>65-A-031 [ANCHOR] Amtrak Cascades (Vancouver BC–Seattle–Portland) rolling stock: Canadian and Mexican firms eligible on a defined share of the new trainset procurement; in exchange, U.S. railcar suppliers bid on a capped share of VIA Rail's fleet-renewal options.</w:t>
      </w:r>
    </w:p>
    <w:p>
      <w:pPr>
        <w:pStyle w:val="Normal"/>
      </w:pPr>
      <w:r>
        <w:rPr>
          <w:b w:val="false"/>
          <w:i w:val="false"/>
        </w:rPr>
        <w:t>65-A-032 [FLAGSHIP] VIA Rail High-Frequency Rail (Toronto–Quebec City): Named carve-out: U.S. and Mexican firms prequalified for track, signalling and station packages worth a published dollar figure; reciprocated by U.S. openings on Amtrak state-supported corridors.</w:t>
      </w:r>
    </w:p>
    <w:p>
      <w:pPr>
        <w:pStyle w:val="Normal"/>
      </w:pPr>
      <w:r>
        <w:rPr>
          <w:b w:val="false"/>
          <w:i w:val="false"/>
        </w:rPr>
        <w:t>65-A-033 [PROGRAM] Brightline West (Las Vegas–Southern California): Canadian rail-systems firms and Mexican precast plants eligible on guideway packages; reciprocity via Ontario and Quebec transit openings of equal value.</w:t>
      </w:r>
    </w:p>
    <w:p>
      <w:pPr>
        <w:pStyle w:val="Normal"/>
      </w:pPr>
      <w:r>
        <w:rPr>
          <w:b w:val="false"/>
          <w:i w:val="false"/>
        </w:rPr>
        <w:t>65-A-034 [ANCHOR] California High-Speed Rail Central Valley segment: Canadian track-laying and Mexican concrete-sleeper producers prequalified on a capped share; in return, U.S. firms bid on Metrolinx GO Expansion civil packages.</w:t>
      </w:r>
    </w:p>
    <w:p>
      <w:pPr>
        <w:pStyle w:val="Normal"/>
      </w:pPr>
      <w:r>
        <w:rPr>
          <w:b w:val="false"/>
          <w:i w:val="false"/>
        </w:rPr>
        <w:t>65-A-035 [PROGRAM] Texas high-speed rail (Dallas–Houston or Fort Worth corridor): Canadian systems integrators and Mexican civil contractors on named packages; Texas reciprocates by opening a share of its TxDOT rail-grade-separation program to CUSMA partners.</w:t>
      </w:r>
    </w:p>
    <w:p>
      <w:pPr>
        <w:pStyle w:val="Normal"/>
      </w:pPr>
      <w:r>
        <w:rPr>
          <w:b w:val="false"/>
          <w:i w:val="false"/>
        </w:rPr>
        <w:t>65-A-036 [PROGRAM] Metrolinx GO Expansion (Toronto): U.S. firms prequalified on defined electrification and station packages, announced as a trophy item with dollar figures; reciprocated via New York MTA openings for Canadian firms.</w:t>
      </w:r>
    </w:p>
    <w:p>
      <w:pPr>
        <w:pStyle w:val="Normal"/>
      </w:pPr>
      <w:r>
        <w:rPr>
          <w:b w:val="false"/>
          <w:i w:val="false"/>
        </w:rPr>
        <w:t>65-A-037 [PROGRAM] REM de l'Est / Montreal transit extensions: Quebec opens defined systems packages to U.S. and Mexican firms; Mexico City reciprocates on suburban-rail packages for Canadian suppliers.</w:t>
      </w:r>
    </w:p>
    <w:p>
      <w:pPr>
        <w:pStyle w:val="Normal"/>
      </w:pPr>
      <w:r>
        <w:rPr>
          <w:b w:val="false"/>
          <w:i w:val="false"/>
        </w:rPr>
        <w:t>65-A-038 [PROGRAM] Eglinton Crosstown West extension: Ontario opens tunnel-lining and station fit-out packages to U.S. precast producers in exchange for Canadian access to Chicago Metra fleet options.</w:t>
      </w:r>
    </w:p>
    <w:p>
      <w:pPr>
        <w:pStyle w:val="Normal"/>
      </w:pPr>
      <w:r>
        <w:rPr>
          <w:b w:val="false"/>
          <w:i w:val="false"/>
        </w:rPr>
        <w:t>65-A-039 [ANCHOR] Broadway Subway &amp; Surrey–Langley SkyTrain (BC): U.S. tunnel-boring and Mexican rebar suppliers eligible on capped packages; Washington State reciprocates on Sound Transit light-rail packages for BC firms.</w:t>
      </w:r>
    </w:p>
    <w:p>
      <w:pPr>
        <w:pStyle w:val="Normal"/>
      </w:pPr>
      <w:r>
        <w:rPr>
          <w:b w:val="false"/>
          <w:i w:val="false"/>
        </w:rPr>
        <w:t>65-A-040 [PROGRAM] Sound Transit (Seattle) light rail extensions: BC firms prequalified on guideway and systems packages as the explicit reciprocal half of idea 39, the pair is announced together as one trophy.</w:t>
      </w:r>
    </w:p>
    <w:p>
      <w:pPr>
        <w:pStyle w:val="Normal"/>
      </w:pPr>
      <w:r>
        <w:rPr>
          <w:b w:val="false"/>
          <w:i w:val="false"/>
        </w:rPr>
        <w:t>65-A-041 [PROGRAM] Chicago Transit Authority Red Line extension: Canadian railcar-component plants (Ontario) and Mexican wire/cable plants eligible on a named share; Ontario reciprocates with subway-car component openings for Illinois suppliers.</w:t>
      </w:r>
    </w:p>
    <w:p>
      <w:pPr>
        <w:pStyle w:val="Normal"/>
      </w:pPr>
      <w:r>
        <w:rPr>
          <w:b w:val="false"/>
          <w:i w:val="false"/>
        </w:rPr>
        <w:t>65-A-042 [FLAGSHIP] New York MTA Second Avenue Subway Phase 2: Canadian tunneling consortia eligible on a defined package; in exchange, New York State gets a published share of a Canadian tunnel project (e.g., Ontario Line).</w:t>
      </w:r>
    </w:p>
    <w:p>
      <w:pPr>
        <w:pStyle w:val="Normal"/>
      </w:pPr>
      <w:r>
        <w:rPr>
          <w:b w:val="false"/>
          <w:i w:val="false"/>
        </w:rPr>
        <w:t>65-A-043 [ANCHOR] Mexico City–Querétaro passenger rail revival: Canadian and U.S. rolling-stock and signalling firms prequalified; reciprocated by Mexican access to Amtrak's long-distance fleet replacement packages.</w:t>
      </w:r>
    </w:p>
    <w:p>
      <w:pPr>
        <w:pStyle w:val="Normal"/>
      </w:pPr>
      <w:r>
        <w:rPr>
          <w:b w:val="false"/>
          <w:i w:val="false"/>
        </w:rPr>
        <w:t>65-A-044 [PROGRAM] Toluca–Mexico City interurban train completion: U.S. and Canadian systems suppliers eligible on finishing packages; Mexico City reciprocates on cable-bus and metro-refurbishment contracts for CUSMA firms.</w:t>
      </w:r>
    </w:p>
    <w:p>
      <w:pPr>
        <w:pStyle w:val="Normal"/>
      </w:pPr>
      <w:r>
        <w:rPr>
          <w:b w:val="false"/>
          <w:i w:val="false"/>
        </w:rPr>
        <w:t>65-A-045 [PROGRAM] Guadalajara Metro Line 4: Canadian railcar assembly (Ontario/Quebec) and U.S. traction suppliers eligible; Jalisco reciprocates with station-civil openings and ITS contracts.</w:t>
      </w:r>
    </w:p>
    <w:p>
      <w:pPr>
        <w:pStyle w:val="Normal"/>
      </w:pPr>
      <w:r>
        <w:rPr>
          <w:b w:val="false"/>
          <w:i w:val="false"/>
        </w:rPr>
        <w:t>65-A-046 [PROGRAM] Monterrey Metro Lines 4–6: Canadian and U.S. firms prequalified on a published share; Nuevo León reciprocates with its "Metrorrey" depot and track contracts for Mexican-content rules aligned to CUSMA.</w:t>
      </w:r>
    </w:p>
    <w:p>
      <w:pPr>
        <w:pStyle w:val="Normal"/>
      </w:pPr>
      <w:r>
        <w:rPr>
          <w:b w:val="false"/>
          <w:i w:val="false"/>
        </w:rPr>
        <w:t>65-A-047 [FLAGSHIP] CPKC trilateral freight corridor upgrades: Package named around the only true Canada–US–Mexico railroad: joint procurement of cross-border yard, siding and inspection-facility works with published trilateral splits.</w:t>
      </w:r>
    </w:p>
    <w:p>
      <w:pPr>
        <w:pStyle w:val="Normal"/>
      </w:pPr>
      <w:r>
        <w:rPr>
          <w:b w:val="false"/>
          <w:i w:val="false"/>
        </w:rPr>
        <w:t>65-A-048 [PROGRAM] Laredo rail corridor grade separations: Texas opens packages to Mexican contractors; Coahuila/Nuevo León reciprocate on their CPKC-connection yard works for U.S. firms.</w:t>
      </w:r>
    </w:p>
    <w:p>
      <w:pPr>
        <w:pStyle w:val="Normal"/>
      </w:pPr>
      <w:r>
        <w:rPr>
          <w:b w:val="false"/>
          <w:i w:val="false"/>
        </w:rPr>
        <w:t>65-A-049 [PROGRAM] Amtrak fleet replacement (Airo and long-distance): Mexican and Canadian component plants eligible on a capped percentage of subassembly contracts; reciprocal U.S. access to VIA and Mexican passenger-fleet procurements.</w:t>
      </w:r>
    </w:p>
    <w:p>
      <w:pPr>
        <w:pStyle w:val="Normal"/>
      </w:pPr>
      <w:r>
        <w:rPr>
          <w:b w:val="false"/>
          <w:i w:val="false"/>
        </w:rPr>
        <w:t>65-A-050 [ANCHOR] Adirondack and Maple Leaf corridor service upgrades (Montreal–New York, Toronto–New York): Binational procurement of station, track and customs-preclearance works with a published split.</w:t>
      </w:r>
    </w:p>
    <w:p>
      <w:pPr>
        <w:pStyle w:val="Normal"/>
      </w:pPr>
      <w:r>
        <w:rPr>
          <w:b w:val="false"/>
          <w:i w:val="false"/>
        </w:rPr>
        <w:t>65-A-051 [FLAGSHIP] Hudson River rail tunnel (Gateway): Canadian tunneling and Mexican precast firms eligible on defined packages; reciprocated via Canadian openings on a named Toronto or Montreal tunnel package.</w:t>
      </w:r>
    </w:p>
    <w:p>
      <w:pPr>
        <w:pStyle w:val="Normal"/>
      </w:pPr>
      <w:r>
        <w:rPr>
          <w:b w:val="false"/>
          <w:i w:val="false"/>
        </w:rPr>
        <w:t>65-A-052 [PROGRAM] Boston MBTA Green Line extension follow-ons: Quebec and Ontario suppliers prequalified on systems packages; Massachusetts reciprocates with Canadian access to MBTA commuter-rail fleet options.</w:t>
      </w:r>
    </w:p>
    <w:p>
      <w:pPr>
        <w:pStyle w:val="Normal"/>
      </w:pPr>
      <w:r>
        <w:rPr>
          <w:b w:val="false"/>
          <w:i w:val="false"/>
        </w:rPr>
        <w:t>65-A-053 [PROGRAM] Calgary Green Line LRT: U.S. and Mexican firms eligible on capped civil and systems packages; Alberta reciprocity framed via Colorado or Utah transit openings for Canadian firms.</w:t>
      </w:r>
    </w:p>
    <w:p>
      <w:pPr>
        <w:pStyle w:val="Normal"/>
      </w:pPr>
      <w:r>
        <w:rPr>
          <w:b w:val="false"/>
          <w:i w:val="false"/>
        </w:rPr>
        <w:t>65-A-054 [PROGRAM] Edmonton Valley Line West LRT: U.S. trackwork suppliers eligible; reciprocated via Canadian access to Minneapolis–Saint Paul light-rail extension packages.</w:t>
      </w:r>
    </w:p>
    <w:p>
      <w:pPr>
        <w:pStyle w:val="Normal"/>
      </w:pPr>
      <w:r>
        <w:rPr>
          <w:b w:val="false"/>
          <w:i w:val="false"/>
        </w:rPr>
        <w:t>65-A-055 [PROGRAM] Ottawa Stage 2 LRT completion packages: U.S. signalling firms eligible on defined lots; Ontario reciprocates with access to DC Metro or Maryland Purple Line component contracts.</w:t>
      </w:r>
    </w:p>
    <w:p>
      <w:pPr>
        <w:pStyle w:val="Normal"/>
      </w:pPr>
      <w:r>
        <w:rPr>
          <w:b w:val="false"/>
          <w:i w:val="false"/>
        </w:rPr>
        <w:t>65-A-056 [PROGRAM] Mexico Suburban Train Buenavista–Cuautitlán expansion: Canadian railcar component plants and U.S. signalling firms prequalified; Estado de México reciprocates with station-civil openings.</w:t>
      </w:r>
    </w:p>
    <w:p>
      <w:pPr>
        <w:pStyle w:val="Normal"/>
      </w:pPr>
      <w:r>
        <w:rPr>
          <w:b w:val="false"/>
          <w:i w:val="false"/>
        </w:rPr>
        <w:t>65-A-057 [ANCHOR] Freight rail crossing modernization (El Paso–Juárez): Binational tender on track, scanning and yard works with published reciprocal opportunity values.</w:t>
      </w:r>
    </w:p>
    <w:p>
      <w:pPr>
        <w:pStyle w:val="Normal"/>
      </w:pPr>
      <w:r>
        <w:rPr>
          <w:b w:val="false"/>
          <w:i w:val="false"/>
        </w:rPr>
        <w:t>65-A-058 [ANCHOR] Quebec City–Windsor corridor station modernization program: Named bundle of mid-sized station contracts opened trilaterally, with Mexican and U.S. firms eligible on defined lots.</w:t>
      </w:r>
    </w:p>
    <w:p>
      <w:pPr>
        <w:pStyle w:val="Normal"/>
      </w:pPr>
      <w:r>
        <w:rPr>
          <w:b w:val="false"/>
          <w:i w:val="false"/>
        </w:rPr>
        <w:t>65-A-059 [PROGRAM] Commuter-rail positive-train-control and signalling harmonization: Trilateral prequalification list for signalling suppliers on cross-border corridors, each contract capped and announced.</w:t>
      </w:r>
    </w:p>
    <w:p>
      <w:pPr>
        <w:pStyle w:val="Normal"/>
      </w:pPr>
      <w:r>
        <w:rPr>
          <w:b w:val="false"/>
          <w:i w:val="false"/>
        </w:rPr>
        <w:t>65-A-060 [PROGRAM] Intercity bus and rail-station EV charging network (trilateral): Jointly tendered corridor of charging depots at stations from Vancouver to Monterrey; each country names its contracts and contractors.</w:t>
      </w:r>
    </w:p>
    <w:p>
      <w:pPr>
        <w:pStyle w:val="Normal"/>
      </w:pPr>
      <w:r>
        <w:rPr>
          <w:b w:val="false"/>
          <w:i w:val="false"/>
        </w:rPr>
        <w:t>65-A-061 [FLAGSHIP] Prince Rupert Fairview–Ridley connector and terminal expansion: U.S. and Mexican firms prequalified on defined civil packages; reciprocity via U.S. Pacific Northwest port openings for Canadian firms.</w:t>
      </w:r>
    </w:p>
    <w:p>
      <w:pPr>
        <w:pStyle w:val="Normal"/>
      </w:pPr>
      <w:r>
        <w:rPr>
          <w:b w:val="false"/>
          <w:i w:val="false"/>
        </w:rPr>
        <w:t>65-A-062 [ANCHOR] Roberts Bank Terminal 2 (Vancouver): Named carve-out for U.S. dredging and Mexican steel suppliers on a capped share, announced with dollar figures; U.S. West Coast ports reciprocate.</w:t>
      </w:r>
    </w:p>
    <w:p>
      <w:pPr>
        <w:pStyle w:val="Normal"/>
      </w:pPr>
      <w:r>
        <w:rPr>
          <w:b w:val="false"/>
          <w:i w:val="false"/>
        </w:rPr>
        <w:t>65-A-063 [FLAGSHIP] Port of Montreal Contrecoeur expansion: Quebec opens container-terminal civil lots to U.S. and Mexican firms; reciprocated via Port of New York/New Jersey wharf-renewal packages for Canadian firms.</w:t>
      </w:r>
    </w:p>
    <w:p>
      <w:pPr>
        <w:pStyle w:val="Normal"/>
      </w:pPr>
      <w:r>
        <w:rPr>
          <w:b w:val="false"/>
          <w:i w:val="false"/>
        </w:rPr>
        <w:t>65-A-064 [ANCHOR] Halifax Gateway container expansion: U.S. terminal-equipment suppliers eligible; Nova Scotia gets reciprocal access to Port of Boston dredging and berth works.</w:t>
      </w:r>
    </w:p>
    <w:p>
      <w:pPr>
        <w:pStyle w:val="Normal"/>
      </w:pPr>
      <w:r>
        <w:rPr>
          <w:b w:val="false"/>
          <w:i w:val="false"/>
        </w:rPr>
        <w:t>65-A-065 [ANCHOR] Port of Churchill &amp; Hudson Bay Railway renewal (Manitoba): U.S. rail and marine contractors prequalified on revival packages; reciprocated via Great Lakes port openings for Manitoba firms.</w:t>
      </w:r>
    </w:p>
    <w:p>
      <w:pPr>
        <w:pStyle w:val="Normal"/>
      </w:pPr>
      <w:r>
        <w:rPr>
          <w:b w:val="false"/>
          <w:i w:val="false"/>
        </w:rPr>
        <w:t>65-A-066 [PROGRAM] Grays Bay Road and Port (Nunavut Arctic corridor): Alaska-based marine contractors and U.S. engineering firms eligible on defined packages; framed as an Arctic-security trophy with named contract values.</w:t>
      </w:r>
    </w:p>
    <w:p>
      <w:pPr>
        <w:pStyle w:val="Normal"/>
      </w:pPr>
      <w:r>
        <w:rPr>
          <w:b w:val="false"/>
          <w:i w:val="false"/>
        </w:rPr>
        <w:t>65-A-067 [ANCHOR] Port of Los Angeles zero-emission terminal equipment: Canadian (Lion Electric-type) and Mexican chassis/electrical suppliers eligible on a defined share; California ports reciprocated in Canadian port electrification tenders.</w:t>
      </w:r>
    </w:p>
    <w:p>
      <w:pPr>
        <w:pStyle w:val="Normal"/>
      </w:pPr>
      <w:r>
        <w:rPr>
          <w:b w:val="false"/>
          <w:i w:val="false"/>
        </w:rPr>
        <w:t>65-A-068 [ANCHOR] Port of Long Beach Pier B rail expansion: Canadian rail firms and Mexican precast producers prequalified; reciprocated via Ontario port-rail openings.</w:t>
      </w:r>
    </w:p>
    <w:p>
      <w:pPr>
        <w:pStyle w:val="Normal"/>
      </w:pPr>
      <w:r>
        <w:rPr>
          <w:b w:val="false"/>
          <w:i w:val="false"/>
        </w:rPr>
        <w:t>65-A-069 [PROGRAM] Port of New York &amp; New Jersey berth modernization: Canadian marine-civil consortia eligible on named packages; reciprocated via Montreal/Halifax openings.</w:t>
      </w:r>
    </w:p>
    <w:p>
      <w:pPr>
        <w:pStyle w:val="Normal"/>
      </w:pPr>
      <w:r>
        <w:rPr>
          <w:b w:val="false"/>
          <w:i w:val="false"/>
        </w:rPr>
        <w:t>65-A-070 [PROGRAM] Port of Houston channel expansion follow-on works: Canadian dredging-support and Mexican fabrication yards eligible on capped lots; Texas gets reciprocal openings in Great Lakes ports.</w:t>
      </w:r>
    </w:p>
    <w:p>
      <w:pPr>
        <w:pStyle w:val="Normal"/>
      </w:pPr>
      <w:r>
        <w:rPr>
          <w:b w:val="false"/>
          <w:i w:val="false"/>
        </w:rPr>
        <w:t>65-A-071 [FLAGSHIP] Lázaro Cárdenas port expansion (Michoacán): Canadian and U.S. crane, terminal-operating-system and civil firms prequalified; Mexico reciprocates with Pacific-port access for its own side plus U.S./Canadian splits published.</w:t>
      </w:r>
    </w:p>
    <w:p>
      <w:pPr>
        <w:pStyle w:val="Normal"/>
      </w:pPr>
      <w:r>
        <w:rPr>
          <w:b w:val="false"/>
          <w:i w:val="false"/>
        </w:rPr>
        <w:t>65-A-072 [PROGRAM] Manzanillo port expansion (Colima): U.S. terminal-equipment and Canadian engineering firms eligible on defined packages; announced with named dollar values for each country.</w:t>
      </w:r>
    </w:p>
    <w:p>
      <w:pPr>
        <w:pStyle w:val="Normal"/>
      </w:pPr>
      <w:r>
        <w:rPr>
          <w:b w:val="false"/>
          <w:i w:val="false"/>
        </w:rPr>
        <w:t>65-A-073 [FLAGSHIP] Salina Cruz (Tehuantepec Isthmus corridor) port works: Trilateral tender on breakwater, rail-yard and highway-connector packages with published reciprocal opportunity allocations, a flagship "isthmus" trophy.</w:t>
      </w:r>
    </w:p>
    <w:p>
      <w:pPr>
        <w:pStyle w:val="Normal"/>
      </w:pPr>
      <w:r>
        <w:rPr>
          <w:b w:val="false"/>
          <w:i w:val="false"/>
        </w:rPr>
        <w:t>65-A-074 [ANCHOR] Coatzacoalcos port modernization: Canadian marine-civil and U.S. dredging firms eligible; reciprocated via Mexican access to Gulf Coast port contracts.</w:t>
      </w:r>
    </w:p>
    <w:p>
      <w:pPr>
        <w:pStyle w:val="Normal"/>
      </w:pPr>
      <w:r>
        <w:rPr>
          <w:b w:val="false"/>
          <w:i w:val="false"/>
        </w:rPr>
        <w:t>65-A-075 [PROGRAM] Veracruz port expansion: U.S. and Canadian terminal equipment and ITS suppliers prequalified on named packages.</w:t>
      </w:r>
    </w:p>
    <w:p>
      <w:pPr>
        <w:pStyle w:val="Normal"/>
      </w:pPr>
      <w:r>
        <w:rPr>
          <w:b w:val="false"/>
          <w:i w:val="false"/>
        </w:rPr>
        <w:t>65-A-076 [PROGRAM] Altamira port liquid-bulk expansion: Canadian process-plant modules and U.S. marine contractors eligible on defined lots.</w:t>
      </w:r>
    </w:p>
    <w:p>
      <w:pPr>
        <w:pStyle w:val="Normal"/>
      </w:pPr>
      <w:r>
        <w:rPr>
          <w:b w:val="false"/>
          <w:i w:val="false"/>
        </w:rPr>
        <w:t>65-A-077 [PROGRAM] Ensenada port and cruise-terminal upgrade (Baja California): U.S. and Canadian firms prequalified; Baja reciprocates with tourism-infrastructure openings.</w:t>
      </w:r>
    </w:p>
    <w:p>
      <w:pPr>
        <w:pStyle w:val="Normal"/>
      </w:pPr>
      <w:r>
        <w:rPr>
          <w:b w:val="false"/>
          <w:i w:val="false"/>
        </w:rPr>
        <w:t>65-A-078 [PROGRAM] Great Lakes/St. Lawrence cruise-terminal network: Binational tender across Toronto, Montreal, Cleveland, Detroit, Duluth: published reciprocal split of terminal and shore-power contracts.</w:t>
      </w:r>
    </w:p>
    <w:p>
      <w:pPr>
        <w:pStyle w:val="Normal"/>
      </w:pPr>
      <w:r>
        <w:rPr>
          <w:b w:val="false"/>
          <w:i w:val="false"/>
        </w:rPr>
        <w:t>65-A-079 [PROGRAM] Port of Anchorage expansion (Alaska): Yukon and BC marine contractors prequalified; Alaska reciprocates with Canadian access to its gravel/barge contracts.</w:t>
      </w:r>
    </w:p>
    <w:p>
      <w:pPr>
        <w:pStyle w:val="Normal"/>
      </w:pPr>
      <w:r>
        <w:rPr>
          <w:b w:val="false"/>
          <w:i w:val="false"/>
        </w:rPr>
        <w:t>65-A-080 [PROGRAM] Tacoma–Seattle Northwest Seaport Alliance terminal modernization: BC firms eligible on defined packages as the named reciprocal half of Vancouver-area openings.</w:t>
      </w:r>
    </w:p>
    <w:p>
      <w:pPr>
        <w:pStyle w:val="Normal"/>
      </w:pPr>
      <w:r>
        <w:rPr>
          <w:b w:val="false"/>
          <w:i w:val="false"/>
        </w:rPr>
        <w:t>65-A-081 [PROGRAM] New Orleans lower-Mississippi container terminal (Louisiana): Canadian and Mexican steel and precast suppliers eligible on capped packages.</w:t>
      </w:r>
    </w:p>
    <w:p>
      <w:pPr>
        <w:pStyle w:val="Normal"/>
      </w:pPr>
      <w:r>
        <w:rPr>
          <w:b w:val="false"/>
          <w:i w:val="false"/>
        </w:rPr>
        <w:t>65-A-082 [PROGRAM] Mobile, Alabama container terminal expansion: Ontario/Quebec rail-connection suppliers eligible; reciprocated via Canadian access to Alabama port-rail works.</w:t>
      </w:r>
    </w:p>
    <w:p>
      <w:pPr>
        <w:pStyle w:val="Normal"/>
      </w:pPr>
      <w:r>
        <w:rPr>
          <w:b w:val="false"/>
          <w:i w:val="false"/>
        </w:rPr>
        <w:t>65-A-083 [PROGRAM] Port Manatee and Florida Gulf ports: Canadian marine-civil firms prequalified on berth works; Florida reciprocates with access to its seaport grant-funded packages.</w:t>
      </w:r>
    </w:p>
    <w:p>
      <w:pPr>
        <w:pStyle w:val="Normal"/>
      </w:pPr>
      <w:r>
        <w:rPr>
          <w:b w:val="false"/>
          <w:i w:val="false"/>
        </w:rPr>
        <w:t>65-A-084 [PROGRAM] Binational ferry terminal renewal (Washington–BC; Maine–Nova Scotia): Published reciprocal split of terminal civil and shore-power contracts on both sides.</w:t>
      </w:r>
    </w:p>
    <w:p>
      <w:pPr>
        <w:pStyle w:val="Normal"/>
      </w:pPr>
      <w:r>
        <w:rPr>
          <w:b w:val="false"/>
          <w:i w:val="false"/>
        </w:rPr>
        <w:t>65-A-085 [PROGRAM] BC Ferries fleet replacement auxiliary packages: Mexican and U.S. marine suppliers eligible on capped non-hull packages (electrical, HVAC, interiors); Washington reciprocates on its ferry-terminal works.</w:t>
      </w:r>
    </w:p>
    <w:p>
      <w:pPr>
        <w:pStyle w:val="Normal"/>
      </w:pPr>
      <w:r>
        <w:rPr>
          <w:b w:val="false"/>
          <w:i w:val="false"/>
        </w:rPr>
        <w:t>65-A-086 [PROGRAM] Washington State Ferries electrification: BC and Quebec marine-electrical firms prequalified on defined packages; reciprocity via BC terminal openings.</w:t>
      </w:r>
    </w:p>
    <w:p>
      <w:pPr>
        <w:pStyle w:val="Normal"/>
      </w:pPr>
      <w:r>
        <w:rPr>
          <w:b w:val="false"/>
          <w:i w:val="false"/>
        </w:rPr>
        <w:t>65-A-087 [PROGRAM] Alaska Marine Highway vessel overhaul packages: Yukon/BC shipyards eligible on defined lots; Alaska reciprocates with Canadian access to its terminal works.</w:t>
      </w:r>
    </w:p>
    <w:p>
      <w:pPr>
        <w:pStyle w:val="Normal"/>
      </w:pPr>
      <w:r>
        <w:rPr>
          <w:b w:val="false"/>
          <w:i w:val="false"/>
        </w:rPr>
        <w:t>65-A-088 [PROGRAM] St. Lawrence Seaway ship-arrestor and hands-free mooring upgrades: Binational tender with published reciprocal opportunity values and named eligible firms.</w:t>
      </w:r>
    </w:p>
    <w:p>
      <w:pPr>
        <w:pStyle w:val="Normal"/>
      </w:pPr>
      <w:r>
        <w:rPr>
          <w:b w:val="false"/>
          <w:i w:val="false"/>
        </w:rPr>
        <w:t>65-A-089 [PROGRAM] Great Lakes icebreaking buoy-tender procurement: Canadian and U.S. yards share defined workshare; framed as a NORAD-adjacent Arctic-readiness trophy.</w:t>
      </w:r>
    </w:p>
    <w:p>
      <w:pPr>
        <w:pStyle w:val="Normal"/>
      </w:pPr>
      <w:r>
        <w:rPr>
          <w:b w:val="false"/>
          <w:i w:val="false"/>
        </w:rPr>
        <w:t>65-A-090 [FLAGSHIP] Trilateral port-security scanning equipment program: Joint procurement of cargo scanners at LA/Long Beach, Vancouver, Manzanillo and Lázaro Cárdenas; each country names its supplying factory and contract value.</w:t>
      </w:r>
    </w:p>
    <w:p>
      <w:pPr>
        <w:pStyle w:val="Normal"/>
      </w:pPr>
      <w:r>
        <w:rPr>
          <w:b w:val="false"/>
          <w:i w:val="false"/>
        </w:rPr>
        <w:t>65-A-091 [ANCHOR] Champlain Hudson Power Express (Quebec–New York): Already trilateral in spirit: name a defined package of U.S.-side converter-station contracts for Canadian firms and Quebec-side cable-laying contracts for U.S. firms, announced with dollar figures.</w:t>
      </w:r>
    </w:p>
    <w:p>
      <w:pPr>
        <w:pStyle w:val="Normal"/>
      </w:pPr>
      <w:r>
        <w:rPr>
          <w:b w:val="false"/>
          <w:i w:val="false"/>
        </w:rPr>
        <w:t>65-A-092 [ANCHOR] New England Clean Energy Connect (Quebec–Maine): Canadian firms on U.S.-side line construction; Quebec-side substation packages opened to Maine contractors, published as one reciprocal line item.</w:t>
      </w:r>
    </w:p>
    <w:p>
      <w:pPr>
        <w:pStyle w:val="Normal"/>
      </w:pPr>
      <w:r>
        <w:rPr>
          <w:b w:val="false"/>
          <w:i w:val="false"/>
        </w:rPr>
        <w:t>65-A-093 [FLAGSHIP] Hydro-Québec–New York second interconnection (new): Designed from day one with a published NABC split of converter, cable and civil contracts.</w:t>
      </w:r>
    </w:p>
    <w:p>
      <w:pPr>
        <w:pStyle w:val="Normal"/>
      </w:pPr>
      <w:r>
        <w:rPr>
          <w:b w:val="false"/>
          <w:i w:val="false"/>
        </w:rPr>
        <w:t>65-A-094 [FLAGSHIP] Ontario–Michigan transmission interconnection upgrade: Binational tender on substations and line works with named eligible firms on both sides.</w:t>
      </w:r>
    </w:p>
    <w:p>
      <w:pPr>
        <w:pStyle w:val="Normal"/>
      </w:pPr>
      <w:r>
        <w:rPr>
          <w:b w:val="false"/>
          <w:i w:val="false"/>
        </w:rPr>
        <w:t>65-A-095 [PROGRAM] Ontario–Minnesota interconnection (Great Northern Line follow-ons): Reciprocal substation packages; Manitoba Hydro and Minnesota utilities announce jointly.</w:t>
      </w:r>
    </w:p>
    <w:p>
      <w:pPr>
        <w:pStyle w:val="Normal"/>
      </w:pPr>
      <w:r>
        <w:rPr>
          <w:b w:val="false"/>
          <w:i w:val="false"/>
        </w:rPr>
        <w:t>65-A-096 [ANCHOR] Manitoba–North Dakota wind integration line: Manitoba opens line packages to North Dakota firms; North Dakota reciprocates on its collector-system contracts.</w:t>
      </w:r>
    </w:p>
    <w:p>
      <w:pPr>
        <w:pStyle w:val="Normal"/>
      </w:pPr>
      <w:r>
        <w:rPr>
          <w:b w:val="false"/>
          <w:i w:val="false"/>
        </w:rPr>
        <w:t>65-A-097 [FLAGSHIP] BC–Washington transmission reinforcement: BC Hydro and BPA jointly tender with published reciprocal opportunity allocations; Canadian firms on U.S.-side segments, U.S. firms on BC-side segments.</w:t>
      </w:r>
    </w:p>
    <w:p>
      <w:pPr>
        <w:pStyle w:val="Normal"/>
      </w:pPr>
      <w:r>
        <w:rPr>
          <w:b w:val="false"/>
          <w:i w:val="false"/>
        </w:rPr>
        <w:t>65-A-098 [PROGRAM] Alberta–Montana intertie (MATL expansion): Reciprocal packages on both sides of the border, announced with contract values.</w:t>
      </w:r>
    </w:p>
    <w:p>
      <w:pPr>
        <w:pStyle w:val="Normal"/>
      </w:pPr>
      <w:r>
        <w:rPr>
          <w:b w:val="false"/>
          <w:i w:val="false"/>
        </w:rPr>
        <w:t>65-A-099 [PROGRAM] Saskatchewan–North Dakota grid interconnection: New tie-line with a named NABC procurement split.</w:t>
      </w:r>
    </w:p>
    <w:p>
      <w:pPr>
        <w:pStyle w:val="Normal"/>
      </w:pPr>
      <w:r>
        <w:rPr>
          <w:b w:val="false"/>
          <w:i w:val="false"/>
        </w:rPr>
        <w:t>65-A-100 [FLAGSHIP] California–Baja California interconnection upgrade (Energía Sierra Juárez): Canadian HVDC equipment and U.S./Mexican civil firms share published packages.</w:t>
      </w:r>
    </w:p>
    <w:p>
      <w:pPr>
        <w:pStyle w:val="Normal"/>
      </w:pPr>
      <w:r>
        <w:rPr>
          <w:b w:val="false"/>
          <w:i w:val="false"/>
        </w:rPr>
        <w:t>65-A-101 [FLAGSHIP] Texas–Nuevo León cross-border transmission: New ties for industrial load: trilateral tender with defined splits for Mexican steel towers, Canadian transformers, U.S. switchgear.</w:t>
      </w:r>
    </w:p>
    <w:p>
      <w:pPr>
        <w:pStyle w:val="Normal"/>
      </w:pPr>
      <w:r>
        <w:rPr>
          <w:b w:val="false"/>
          <w:i w:val="false"/>
        </w:rPr>
        <w:t>65-A-102 [ANCHOR] Arizona–Sonora transmission corridor (Plan Sonora link): Canadian EPC firms eligible on U.S.-side packages; Sonora-side substations opened to U.S. and Canadian firms.</w:t>
      </w:r>
    </w:p>
    <w:p>
      <w:pPr>
        <w:pStyle w:val="Normal"/>
      </w:pPr>
      <w:r>
        <w:rPr>
          <w:b w:val="false"/>
          <w:i w:val="false"/>
        </w:rPr>
        <w:t>65-A-103 [PROGRAM] New Mexico–Chihuahua renewable export line: Trilateral procurement split named at announcement: towers from Monterrey, transformers from Ontario, engineering from the U.S.</w:t>
      </w:r>
    </w:p>
    <w:p>
      <w:pPr>
        <w:pStyle w:val="Normal"/>
      </w:pPr>
      <w:r>
        <w:rPr>
          <w:b w:val="false"/>
          <w:i w:val="false"/>
        </w:rPr>
        <w:t>65-A-104 [PROGRAM] SunZia transmission (Arizona–New Mexico): Canadian and Mexican conductor and tower suppliers eligible on a capped share; reciprocated via Western Canadian line openings.</w:t>
      </w:r>
    </w:p>
    <w:p>
      <w:pPr>
        <w:pStyle w:val="Normal"/>
      </w:pPr>
      <w:r>
        <w:rPr>
          <w:b w:val="false"/>
          <w:i w:val="false"/>
        </w:rPr>
        <w:t>65-A-105 [PROGRAM] Grain Belt Express (Kansas–Indiana): Ontario transformer plants and Mexican steel-tower fabricators prequalified on defined lots; reciprocated via Canadian access to U.S. wind-farm collection contracts in partner provinces' projects.</w:t>
      </w:r>
    </w:p>
    <w:p>
      <w:pPr>
        <w:pStyle w:val="Normal"/>
      </w:pPr>
      <w:r>
        <w:rPr>
          <w:b w:val="false"/>
          <w:i w:val="false"/>
        </w:rPr>
        <w:t>65-A-106 [PROGRAM] TransWest Express (Wyoming–Nevada): Canadian HVDC converter suppliers eligible on a named package; Wyoming reciprocates with Canadian access to its wind-farm balance-of-plant contracts.</w:t>
      </w:r>
    </w:p>
    <w:p>
      <w:pPr>
        <w:pStyle w:val="Normal"/>
      </w:pPr>
      <w:r>
        <w:rPr>
          <w:b w:val="false"/>
          <w:i w:val="false"/>
        </w:rPr>
        <w:t>65-A-107 [PROGRAM] Ten West Link follow-on lines: Mexican conductor plants and Canadian engineering firms prequalified on defined shares.</w:t>
      </w:r>
    </w:p>
    <w:p>
      <w:pPr>
        <w:pStyle w:val="Normal"/>
      </w:pPr>
      <w:r>
        <w:rPr>
          <w:b w:val="false"/>
          <w:i w:val="false"/>
        </w:rPr>
        <w:t>65-A-108 [FLAGSHIP] Cross-border grid-resilience hardening program: Named bundle of wildfire- and storm-hardening contracts on shared corridors (BC/WA, QC/NY/VT, ON/MI), each with published reciprocal splits.</w:t>
      </w:r>
    </w:p>
    <w:p>
      <w:pPr>
        <w:pStyle w:val="Normal"/>
      </w:pPr>
      <w:r>
        <w:rPr>
          <w:b w:val="false"/>
          <w:i w:val="false"/>
        </w:rPr>
        <w:t>65-A-109 [ANCHOR] Trilateral HVDC transformer factory alliance: One new or expanded plant in each country (Ontario, Carolinas, Monterrey) eligible for reciprocal prequalification and competitive access on the other's named projects.</w:t>
      </w:r>
    </w:p>
    <w:p>
      <w:pPr>
        <w:pStyle w:val="Normal"/>
      </w:pPr>
      <w:r>
        <w:rPr>
          <w:b w:val="false"/>
          <w:i w:val="false"/>
        </w:rPr>
        <w:t>65-A-110 [PROGRAM] Smart-grid interoperability corridor (Vancouver–Seattle–Portland I-5): Joint tender of grid-edge, metering and EV-integration contracts with published reciprocal opportunity allocations.</w:t>
      </w:r>
    </w:p>
    <w:p>
      <w:pPr>
        <w:pStyle w:val="Normal"/>
      </w:pPr>
      <w:r>
        <w:rPr>
          <w:b w:val="false"/>
          <w:i w:val="false"/>
        </w:rPr>
        <w:t>65-A-111 [PROGRAM] Great Lakes cross-border submarine cable program: Ontario–Michigan/Ohio cable projects tendered bilaterally with designated reciprocal opportunity scopes.</w:t>
      </w:r>
    </w:p>
    <w:p>
      <w:pPr>
        <w:pStyle w:val="Normal"/>
      </w:pPr>
      <w:r>
        <w:rPr>
          <w:b w:val="false"/>
          <w:i w:val="false"/>
        </w:rPr>
        <w:t>65-A-112 [PROGRAM] Quebec–New Hampshire second HVDC tie: New line with NABC procurement architecture from the outset; announced with jobs figures in both jurisdictions.</w:t>
      </w:r>
    </w:p>
    <w:p>
      <w:pPr>
        <w:pStyle w:val="Normal"/>
      </w:pPr>
      <w:r>
        <w:rPr>
          <w:b w:val="false"/>
          <w:i w:val="false"/>
        </w:rPr>
        <w:t>65-A-113 [PROGRAM] Atlantic Loop interconnection (Quebec–New Brunswick–Nova Scotia): U.S. engineering and Mexican cable suppliers eligible on capped packages; reciprocated via New England offshore-wind onshore-grid contracts for Canadian firms.</w:t>
      </w:r>
    </w:p>
    <w:p>
      <w:pPr>
        <w:pStyle w:val="Normal"/>
      </w:pPr>
      <w:r>
        <w:rPr>
          <w:b w:val="false"/>
          <w:i w:val="false"/>
        </w:rPr>
        <w:t>65-A-114 [PROGRAM] Offshore wind onshore grid (New England): Canadian cable-laying vessels and substation firms prequalified on defined packages as the reciprocal half of idea 113.</w:t>
      </w:r>
    </w:p>
    <w:p>
      <w:pPr>
        <w:pStyle w:val="Normal"/>
      </w:pPr>
      <w:r>
        <w:rPr>
          <w:b w:val="false"/>
          <w:i w:val="false"/>
        </w:rPr>
        <w:t>65-A-115 [FLAGSHIP] Mexico national grid reinforcement (CFE transmission program): Canadian and U.S. EPC and equipment firms prequalified on named lots; reciprocated via Mexican access to U.S./Canadian line-materials contracts.</w:t>
      </w:r>
    </w:p>
    <w:p>
      <w:pPr>
        <w:pStyle w:val="Normal"/>
      </w:pPr>
      <w:r>
        <w:rPr>
          <w:b w:val="false"/>
          <w:i w:val="false"/>
        </w:rPr>
        <w:t>65-A-116 [PROGRAM] Baja California grid interconnection to Mexico's national system: Trilateral tender: U.S. and Canadian HVDC suppliers on defined packages; Mexican civil contractors on U.S.-side renewable tie lines.</w:t>
      </w:r>
    </w:p>
    <w:p>
      <w:pPr>
        <w:pStyle w:val="Normal"/>
      </w:pPr>
      <w:r>
        <w:rPr>
          <w:b w:val="false"/>
          <w:i w:val="false"/>
        </w:rPr>
        <w:t>65-A-117 [PROGRAM] Cross-border energy-storage corridor program: Named bundle of battery-storage installations at border substations (six sites), each tendered with published trilateral splits.</w:t>
      </w:r>
    </w:p>
    <w:p>
      <w:pPr>
        <w:pStyle w:val="Normal"/>
      </w:pPr>
      <w:r>
        <w:rPr>
          <w:b w:val="false"/>
          <w:i w:val="false"/>
        </w:rPr>
        <w:t>65-A-118 [PROGRAM] Grid cybersecurity hardening program: Trilateral prequalification list for control-system security upgrades on interconnected utilities, capped per project.</w:t>
      </w:r>
    </w:p>
    <w:p>
      <w:pPr>
        <w:pStyle w:val="Normal"/>
      </w:pPr>
      <w:r>
        <w:rPr>
          <w:b w:val="false"/>
          <w:i w:val="false"/>
        </w:rPr>
        <w:t>65-A-119 [ANCHOR] Northern and remote microgrid program (Canada's North + Alaska): Alaskan and Canadian firms share defined packages on diesel-displacement microgrids; framed as Arctic security plus clean energy.</w:t>
      </w:r>
    </w:p>
    <w:p>
      <w:pPr>
        <w:pStyle w:val="Normal"/>
      </w:pPr>
      <w:r>
        <w:rPr>
          <w:b w:val="false"/>
          <w:i w:val="false"/>
        </w:rPr>
        <w:t>65-A-120 [PROGRAM] Chiapas–Guatemala–North America power corridor study (Mesoamerica link): Feasibility-stage procurement opening: Canadian and U.S. engineering firms on named study and pre-engineering contracts, positioning for construction-stage reciprocity.</w:t>
      </w:r>
    </w:p>
    <w:p>
      <w:pPr>
        <w:pStyle w:val="Normal"/>
      </w:pPr>
      <w:r>
        <w:rPr>
          <w:b w:val="false"/>
          <w:i w:val="false"/>
        </w:rPr>
        <w:t>65-A-121 [ANCHOR] LNG Canada Phase 2 (Kitimat, BC): U.S. and Mexican fabrication yards eligible on defined module packages; reciprocated via Canadian access to U.S. Gulf Coast LNG module contracts.</w:t>
      </w:r>
    </w:p>
    <w:p>
      <w:pPr>
        <w:pStyle w:val="Normal"/>
      </w:pPr>
      <w:r>
        <w:rPr>
          <w:b w:val="false"/>
          <w:i w:val="false"/>
        </w:rPr>
        <w:t>65-A-122 [PROGRAM] Cedar LNG (Haisla Nation, BC): U.S. marine contractors prequalified on marine-terminal packages; Haisla-led procurement published with named reciprocal values.</w:t>
      </w:r>
    </w:p>
    <w:p>
      <w:pPr>
        <w:pStyle w:val="Normal"/>
      </w:pPr>
      <w:r>
        <w:rPr>
          <w:b w:val="false"/>
          <w:i w:val="false"/>
        </w:rPr>
        <w:t>65-A-123 [PROGRAM] Woodfibre LNG (Squamish, BC): U.S. and Mexican module fabricators eligible on capped lots.</w:t>
      </w:r>
    </w:p>
    <w:p>
      <w:pPr>
        <w:pStyle w:val="Normal"/>
      </w:pPr>
      <w:r>
        <w:rPr>
          <w:b w:val="false"/>
          <w:i w:val="false"/>
        </w:rPr>
        <w:t>65-A-124 [PROGRAM] Prince Rupert Gas Transmission / Ksi Lisims LNG: Named procurement package for U.S. pipe-coating and Mexican steel suppliers, with dollar figures published.</w:t>
      </w:r>
    </w:p>
    <w:p>
      <w:pPr>
        <w:pStyle w:val="Normal"/>
      </w:pPr>
      <w:r>
        <w:rPr>
          <w:b w:val="false"/>
          <w:i w:val="false"/>
        </w:rPr>
        <w:t>65-A-125 [PROGRAM] Gulf Coast LNG expansion (Texas/Louisiana): Canadian LNG-process-module plants (BC/Alberta) and Mexican fabrication yards prequalified on defined packages as the reciprocal half of ideas 121–124.</w:t>
      </w:r>
    </w:p>
    <w:p>
      <w:pPr>
        <w:pStyle w:val="Normal"/>
      </w:pPr>
      <w:r>
        <w:rPr>
          <w:b w:val="false"/>
          <w:i w:val="false"/>
        </w:rPr>
        <w:t>65-A-126 [PROGRAM] Energía Costa Azul LNG (Baja California, Sempra): Canadian and U.S. equipment firms on named packages; reciprocated via Mexican access to West Coast LNG-contracting work.</w:t>
      </w:r>
    </w:p>
    <w:p>
      <w:pPr>
        <w:pStyle w:val="Normal"/>
      </w:pPr>
      <w:r>
        <w:rPr>
          <w:b w:val="false"/>
          <w:i w:val="false"/>
        </w:rPr>
        <w:t>65-A-127 [PROGRAM] Saguaro/Trans-Pecos pipeline corridor (Texas–Mexico gas exports): Trilateral tender on compression-station packages with published reciprocal opportunity allocations.</w:t>
      </w:r>
    </w:p>
    <w:p>
      <w:pPr>
        <w:pStyle w:val="Normal"/>
      </w:pPr>
      <w:r>
        <w:rPr>
          <w:b w:val="false"/>
          <w:i w:val="false"/>
        </w:rPr>
        <w:t>65-A-128 [PROGRAM] Sierra Madre pipeline (Mexico): Canadian compressor suppliers and U.S. EPC firms prequalified on named lots; reciprocated via Mexican access to U.S. compressor-station contracts.</w:t>
      </w:r>
    </w:p>
    <w:p>
      <w:pPr>
        <w:pStyle w:val="Normal"/>
      </w:pPr>
      <w:r>
        <w:rPr>
          <w:b w:val="false"/>
          <w:i w:val="false"/>
        </w:rPr>
        <w:t>65-A-129 [PROGRAM] Southeast Gateway / Tuxpan–Tula pipeline completion: U.S. and Canadian firms eligible on finishing packages.</w:t>
      </w:r>
    </w:p>
    <w:p>
      <w:pPr>
        <w:pStyle w:val="Normal"/>
      </w:pPr>
      <w:r>
        <w:rPr>
          <w:b w:val="false"/>
          <w:i w:val="false"/>
        </w:rPr>
        <w:t>65-A-130 [PROGRAM] Line 5 tunnel project (Great Lakes, Michigan): Canadian tunneling firms eligible on the tunnel works; Ontario reciprocates with U.S. access to its Sarnia-area petrochemical civil contracts. Named, capped, and trophy-ready.</w:t>
      </w:r>
    </w:p>
    <w:p>
      <w:pPr>
        <w:pStyle w:val="Normal"/>
      </w:pPr>
      <w:r>
        <w:rPr>
          <w:b w:val="false"/>
          <w:i w:val="false"/>
        </w:rPr>
        <w:t>65-A-131 [PROGRAM] Alberta carbon-trunk-line expansion (ACTL): U.S. EPC firms prequalified on defined packages; Alberta reciprocates with Canadian access to U.S. CO2-pipeline contracts in partner states.</w:t>
      </w:r>
    </w:p>
    <w:p>
      <w:pPr>
        <w:pStyle w:val="Normal"/>
      </w:pPr>
      <w:r>
        <w:rPr>
          <w:b w:val="false"/>
          <w:i w:val="false"/>
        </w:rPr>
        <w:t>65-A-132 [PROGRAM] U.S. Gulf Coast CO2 pipeline network: Canadian CO2-capture-module fabricators and Mexican pipe suppliers eligible on capped shares as the named reciprocal half of idea 131.</w:t>
      </w:r>
    </w:p>
    <w:p>
      <w:pPr>
        <w:pStyle w:val="Normal"/>
      </w:pPr>
      <w:r>
        <w:rPr>
          <w:b w:val="false"/>
          <w:i w:val="false"/>
        </w:rPr>
        <w:t>65-A-133 [PROGRAM] Trilateral hydrogen corridor: Edmonton–Port of Prince Rupert, Joint tender on electrolyzer, storage and terminal packages with published trilateral splits.</w:t>
      </w:r>
    </w:p>
    <w:p>
      <w:pPr>
        <w:pStyle w:val="Normal"/>
      </w:pPr>
      <w:r>
        <w:rPr>
          <w:b w:val="false"/>
          <w:i w:val="false"/>
        </w:rPr>
        <w:t>65-A-134 [PROGRAM] Gulf Coast hydrogen hub (Texas): Canadian electrolyzer assembly plants and Mexican balance-of-plant suppliers eligible on defined packages.</w:t>
      </w:r>
    </w:p>
    <w:p>
      <w:pPr>
        <w:pStyle w:val="Normal"/>
      </w:pPr>
      <w:r>
        <w:rPr>
          <w:b w:val="false"/>
          <w:i w:val="false"/>
        </w:rPr>
        <w:t>65-A-135 [PROGRAM] Monterrey industrial hydrogen hub: Canadian and U.S. equipment firms prequalified; reciprocated via Mexican access to Alberta and Texas hydrogen-hub contracts.</w:t>
      </w:r>
    </w:p>
    <w:p>
      <w:pPr>
        <w:pStyle w:val="Normal"/>
      </w:pPr>
      <w:r>
        <w:rPr>
          <w:b w:val="false"/>
          <w:i w:val="false"/>
        </w:rPr>
        <w:t>65-A-136 [PROGRAM] California hydrogen backbone (ARCHES hub): Canadian fuel-cell component plants and Mexican steel suppliers eligible on capped lots.</w:t>
      </w:r>
    </w:p>
    <w:p>
      <w:pPr>
        <w:pStyle w:val="Normal"/>
      </w:pPr>
      <w:r>
        <w:rPr>
          <w:b w:val="false"/>
          <w:i w:val="false"/>
        </w:rPr>
        <w:t>65-A-137 [PROGRAM] Sarnia–Montreal chemical corridor pipeline upgrades: Binational tender with published reciprocal opportunity allocations on named sections.</w:t>
      </w:r>
    </w:p>
    <w:p>
      <w:pPr>
        <w:pStyle w:val="Normal"/>
      </w:pPr>
      <w:r>
        <w:rPr>
          <w:b w:val="false"/>
          <w:i w:val="false"/>
        </w:rPr>
        <w:t>65-A-138 [PROGRAM] Alaska LNG project: Yukon/BC contractors prequalified on defined northern-segment packages; Alaska reciprocates with Canadian access to its tidewater terminal works.</w:t>
      </w:r>
    </w:p>
    <w:p>
      <w:pPr>
        <w:pStyle w:val="Normal"/>
      </w:pPr>
      <w:r>
        <w:rPr>
          <w:b w:val="false"/>
          <w:i w:val="false"/>
        </w:rPr>
        <w:t>65-A-139 [PROGRAM] Dos Bocas refinery ancillary pipeline works (Tabasco): U.S. and Canadian firms eligible on defined packages; reciprocated via Mexican access to U.S. refinery-turnaround contracting.</w:t>
      </w:r>
    </w:p>
    <w:p>
      <w:pPr>
        <w:pStyle w:val="Normal"/>
      </w:pPr>
      <w:r>
        <w:rPr>
          <w:b w:val="false"/>
          <w:i w:val="false"/>
        </w:rPr>
        <w:t>65-A-140 [ANCHOR] Trilateral pipeline-safety retrofit program: Named bundle of inline-inspection, valve-automation and leak-detection contracts across all three countries, each with published national splits.</w:t>
      </w:r>
    </w:p>
    <w:p>
      <w:pPr>
        <w:pStyle w:val="Normal"/>
      </w:pPr>
      <w:r>
        <w:rPr>
          <w:b w:val="false"/>
          <w:i w:val="false"/>
        </w:rPr>
        <w:t>65-A-141 [PROGRAM] Cross-border natural-gas storage expansion (Michigan–Ontario Dawn hub): Binational tender on compression and cavern packages with designated reciprocal opportunity scopes.</w:t>
      </w:r>
    </w:p>
    <w:p>
      <w:pPr>
        <w:pStyle w:val="Normal"/>
      </w:pPr>
      <w:r>
        <w:rPr>
          <w:b w:val="false"/>
          <w:i w:val="false"/>
        </w:rPr>
        <w:t>65-A-142 [PROGRAM] Quebec–New Brunswick gas network decarbonization projects: U.S. RNG-technology suppliers eligible on capped packages; reciprocated via Canadian access to New England RNG interconnect contracts.</w:t>
      </w:r>
    </w:p>
    <w:p>
      <w:pPr>
        <w:pStyle w:val="Normal"/>
      </w:pPr>
      <w:r>
        <w:rPr>
          <w:b w:val="false"/>
          <w:i w:val="false"/>
        </w:rPr>
        <w:t>65-A-143 [PROGRAM] Puerto Libertad–Guaymas LNG corridor (Sonora): Trilateral procurement split named at announcement; positioned as west-coast gas-export trophy.</w:t>
      </w:r>
    </w:p>
    <w:p>
      <w:pPr>
        <w:pStyle w:val="Normal"/>
      </w:pPr>
      <w:r>
        <w:rPr>
          <w:b w:val="false"/>
          <w:i w:val="false"/>
        </w:rPr>
        <w:t>65-A-144 [PROGRAM] Midwest carbon-capture hub (Illinois/Iowa): Canadian capture-module plants eligible on defined packages; reciprocated via U.S. access to Alberta CCS hub contracts.</w:t>
      </w:r>
    </w:p>
    <w:p>
      <w:pPr>
        <w:pStyle w:val="Normal"/>
      </w:pPr>
      <w:r>
        <w:rPr>
          <w:b w:val="false"/>
          <w:i w:val="false"/>
        </w:rPr>
        <w:t>65-A-145 [PROGRAM] Trilateral strategic petroleum infrastructure review: Joint engineering contracts (one per country) opened trilaterally, capped, and announced as a security-of-supply trophy.</w:t>
      </w:r>
    </w:p>
    <w:p>
      <w:pPr>
        <w:pStyle w:val="Normal"/>
      </w:pPr>
      <w:r>
        <w:rPr>
          <w:b w:val="false"/>
          <w:i w:val="false"/>
        </w:rPr>
        <w:t>65-A-146 [FLAGSHIP] Thacker Pass lithium (Nevada): Canadian mining-services firms and Mexican equipment suppliers eligible on defined packages; reciprocated via U.S. access to Quebec lithium-camp construction contracts.</w:t>
      </w:r>
    </w:p>
    <w:p>
      <w:pPr>
        <w:pStyle w:val="Normal"/>
      </w:pPr>
      <w:r>
        <w:rPr>
          <w:b w:val="false"/>
          <w:i w:val="false"/>
        </w:rPr>
        <w:t>65-A-147 [PROGRAM] Quebec James Bay lithium corridor (Nemaska, Whabouchi, others): U.S. EPC and Mexican camp-construction firms prequalified on named lots; announced with contract values per country.</w:t>
      </w:r>
    </w:p>
    <w:p>
      <w:pPr>
        <w:pStyle w:val="Normal"/>
      </w:pPr>
      <w:r>
        <w:rPr>
          <w:b w:val="false"/>
          <w:i w:val="false"/>
        </w:rPr>
        <w:t>65-A-148 [PROGRAM] Sonora lithium development (Mexico): Canadian processing-technology firms and U.S. EPC contractors eligible on defined packages; Mexico reciprocates with refinery-feedstock offtake naming all three countries' plants.</w:t>
      </w:r>
    </w:p>
    <w:p>
      <w:pPr>
        <w:pStyle w:val="Normal"/>
      </w:pPr>
      <w:r>
        <w:rPr>
          <w:b w:val="false"/>
          <w:i w:val="false"/>
        </w:rPr>
        <w:t>65-A-149 [ANCHOR] Saskatchewan SRC rare-earth processing facility: U.S. and Mexican equipment suppliers eligible on capped packages; reciprocated via Canadian access to Mountain Pass and Round Top processing contracts.</w:t>
      </w:r>
    </w:p>
    <w:p>
      <w:pPr>
        <w:pStyle w:val="Normal"/>
      </w:pPr>
      <w:r>
        <w:rPr>
          <w:b w:val="false"/>
          <w:i w:val="false"/>
        </w:rPr>
        <w:t>65-A-150 [FLAGSHIP] Mountain Pass rare earths (California): Canadian separation-technology firms and Mexican magnet-alloy suppliers prequalified on named packages.</w:t>
      </w:r>
    </w:p>
    <w:p>
      <w:pPr>
        <w:pStyle w:val="Normal"/>
      </w:pPr>
      <w:r>
        <w:rPr>
          <w:b w:val="false"/>
          <w:i w:val="false"/>
        </w:rPr>
        <w:t>65-A-151 [PROGRAM] Round Top rare earths (Texas): Ontario/Quebec processing-equipment plants eligible on defined lots; reciprocated via Texas access to Canadian demonstration-plant contracts.</w:t>
      </w:r>
    </w:p>
    <w:p>
      <w:pPr>
        <w:pStyle w:val="Normal"/>
      </w:pPr>
      <w:r>
        <w:rPr>
          <w:b w:val="false"/>
          <w:i w:val="false"/>
        </w:rPr>
        <w:t>65-A-152 [PROGRAM] Nechalacho rare earths (NWT): Alaska and U.S. mining-services firms prequalified; framed as an Arctic-security trophy with named contract values.</w:t>
      </w:r>
    </w:p>
    <w:p>
      <w:pPr>
        <w:pStyle w:val="Normal"/>
      </w:pPr>
      <w:r>
        <w:rPr>
          <w:b w:val="false"/>
          <w:i w:val="false"/>
        </w:rPr>
        <w:t>65-A-153 [ANCHOR] Ring of Fire critical minerals corridor (Ontario): Named infrastructure package (access road, power line, processing site) with U.S. and Mexican firms prequalified on defined lots; reciprocated via Ontario access to U.S. smelter-modernization contracts.</w:t>
      </w:r>
    </w:p>
    <w:p>
      <w:pPr>
        <w:pStyle w:val="Normal"/>
      </w:pPr>
      <w:r>
        <w:rPr>
          <w:b w:val="false"/>
          <w:i w:val="false"/>
        </w:rPr>
        <w:t>65-A-154 [PROGRAM] Sudbury nickel-cobalt cluster expansion: U.S. and Mexican equipment suppliers eligible on capped packages; announced with dollar figures per country.</w:t>
      </w:r>
    </w:p>
    <w:p>
      <w:pPr>
        <w:pStyle w:val="Normal"/>
      </w:pPr>
      <w:r>
        <w:rPr>
          <w:b w:val="false"/>
          <w:i w:val="false"/>
        </w:rPr>
        <w:t>65-A-155 [PROGRAM] Voisey's Bay / Labrador nickel expansion: U.S. marine and camp contractors prequalified on named packages.</w:t>
      </w:r>
    </w:p>
    <w:p>
      <w:pPr>
        <w:pStyle w:val="Normal"/>
      </w:pPr>
      <w:r>
        <w:rPr>
          <w:b w:val="false"/>
          <w:i w:val="false"/>
        </w:rPr>
        <w:t>65-A-156 [PROGRAM] Idaho cobalt belt development: Quebec and Ontario processing firms eligible on defined packages; reciprocated via Idaho access to Canadian hydrometallurgy pilot contracts.</w:t>
      </w:r>
    </w:p>
    <w:p>
      <w:pPr>
        <w:pStyle w:val="Normal"/>
      </w:pPr>
      <w:r>
        <w:rPr>
          <w:b w:val="false"/>
          <w:i w:val="false"/>
        </w:rPr>
        <w:t>65-A-157 [PROGRAM] Ontario Cobalt Camp revival: U.S. and Mexican mining-services firms prequalified on named lots.</w:t>
      </w:r>
    </w:p>
    <w:p>
      <w:pPr>
        <w:pStyle w:val="Normal"/>
      </w:pPr>
      <w:r>
        <w:rPr>
          <w:b w:val="false"/>
          <w:i w:val="false"/>
        </w:rPr>
        <w:t>65-A-158 [PROGRAM] Lac des Îles / Quebec graphite corridor: U.S. anode-plant EPC firms eligible on defined packages; reciprocated via Quebec access to Alabama/Georgia anode-plant contracts.</w:t>
      </w:r>
    </w:p>
    <w:p>
      <w:pPr>
        <w:pStyle w:val="Normal"/>
      </w:pPr>
      <w:r>
        <w:rPr>
          <w:b w:val="false"/>
          <w:i w:val="false"/>
        </w:rPr>
        <w:t>65-A-159 [PROGRAM] Coosa graphite (Alabama): Canadian purification-technology suppliers eligible on named packages as the reciprocal half of idea 158.</w:t>
      </w:r>
    </w:p>
    <w:p>
      <w:pPr>
        <w:pStyle w:val="Normal"/>
      </w:pPr>
      <w:r>
        <w:rPr>
          <w:b w:val="false"/>
          <w:i w:val="false"/>
        </w:rPr>
        <w:t>65-A-160 [PROGRAM] Resolution Copper (Arizona): Canadian block-cave engineering firms and Mexican equipment suppliers prequalified on defined packages.</w:t>
      </w:r>
    </w:p>
    <w:p>
      <w:pPr>
        <w:pStyle w:val="Normal"/>
      </w:pPr>
      <w:r>
        <w:rPr>
          <w:b w:val="false"/>
          <w:i w:val="false"/>
        </w:rPr>
        <w:t>65-A-161 [PROGRAM] Highland Valley Copper expansion (BC): U.S. and Mexican mining-services firms eligible on capped lots; reciprocated via BC access to Arizona copper-project contracts.</w:t>
      </w:r>
    </w:p>
    <w:p>
      <w:pPr>
        <w:pStyle w:val="Normal"/>
      </w:pPr>
      <w:r>
        <w:rPr>
          <w:b w:val="false"/>
          <w:i w:val="false"/>
        </w:rPr>
        <w:t>65-A-162 [PROGRAM] Morenci/Safford copper modernization (Arizona): Canadian smelter-technology firms eligible on named packages.</w:t>
      </w:r>
    </w:p>
    <w:p>
      <w:pPr>
        <w:pStyle w:val="Normal"/>
      </w:pPr>
      <w:r>
        <w:rPr>
          <w:b w:val="false"/>
          <w:i w:val="false"/>
        </w:rPr>
        <w:t>65-A-163 [PROGRAM] Athabasca uranium corridor (Saskatchewan): U.S. and Mexican services firms prequalified on defined packages; framed as nuclear-fuel security trophy.</w:t>
      </w:r>
    </w:p>
    <w:p>
      <w:pPr>
        <w:pStyle w:val="Normal"/>
      </w:pPr>
      <w:r>
        <w:rPr>
          <w:b w:val="false"/>
          <w:i w:val="false"/>
        </w:rPr>
        <w:t>65-A-164 [PROGRAM] Texas in-situ uranium revival: Saskatchewan engineering firms eligible on named packages as the reciprocal half of idea 163.</w:t>
      </w:r>
    </w:p>
    <w:p>
      <w:pPr>
        <w:pStyle w:val="Normal"/>
      </w:pPr>
      <w:r>
        <w:rPr>
          <w:b w:val="false"/>
          <w:i w:val="false"/>
        </w:rPr>
        <w:t>65-A-165 [FLAGSHIP] Trilateral potash infrastructure (Saskatchewan mines + U.S. rail + Mexican offtake terminals): Jointly tendered rail, port and storage packages with published reciprocal opportunity allocations.</w:t>
      </w:r>
    </w:p>
    <w:p>
      <w:pPr>
        <w:pStyle w:val="Normal"/>
      </w:pPr>
      <w:r>
        <w:rPr>
          <w:b w:val="false"/>
          <w:i w:val="false"/>
        </w:rPr>
        <w:t>65-A-166 [PROGRAM] Manitoba lithium corridor (Tanco and others): U.S. processing-equipment suppliers eligible on defined lots.</w:t>
      </w:r>
    </w:p>
    <w:p>
      <w:pPr>
        <w:pStyle w:val="Normal"/>
      </w:pPr>
      <w:r>
        <w:rPr>
          <w:b w:val="false"/>
          <w:i w:val="false"/>
        </w:rPr>
        <w:t>65-A-167 [PROGRAM] Newfoundland &amp; Labrador fluorspar revival: U.S. and Mexican mining-services firms prequalified on named packages.</w:t>
      </w:r>
    </w:p>
    <w:p>
      <w:pPr>
        <w:pStyle w:val="Normal"/>
      </w:pPr>
      <w:r>
        <w:rPr>
          <w:b w:val="false"/>
          <w:i w:val="false"/>
        </w:rPr>
        <w:t>65-A-168 [FLAGSHIP] Trilateral gallium/germanium recovery pilot plants: One demonstration plant per country, each tendered trilaterally with published reciprocal opportunity allocations; framed as semiconductor-supply trophy.</w:t>
      </w:r>
    </w:p>
    <w:p>
      <w:pPr>
        <w:pStyle w:val="Normal"/>
      </w:pPr>
      <w:r>
        <w:rPr>
          <w:b w:val="false"/>
          <w:i w:val="false"/>
        </w:rPr>
        <w:t>65-A-169 [ANCHOR] Aluminum smelter modernization (Quebec + Kentucky + Pacific Northwest): Named bundle: Canadian alumina-tech and U.S./Mexican potroom-equipment firms share defined packages across all sites.</w:t>
      </w:r>
    </w:p>
    <w:p>
      <w:pPr>
        <w:pStyle w:val="Normal"/>
      </w:pPr>
      <w:r>
        <w:rPr>
          <w:b w:val="false"/>
          <w:i w:val="false"/>
        </w:rPr>
        <w:t>65-A-170 [ANCHOR] Trilateral scrap-to-steel DRI corridor: Joint tender of direct-reduced-iron plants (Ontario, Ohio, Monterrey) with published equipment splits per country.</w:t>
      </w:r>
    </w:p>
    <w:p>
      <w:pPr>
        <w:pStyle w:val="Normal"/>
      </w:pPr>
      <w:r>
        <w:rPr>
          <w:b w:val="false"/>
          <w:i w:val="false"/>
        </w:rPr>
        <w:t>65-A-171 [PROGRAM] Uranium conversion/enrichment services cooperation: Reciprocal prequalification of engineering firms on each country's named fuel-cycle projects, capped per contract.</w:t>
      </w:r>
    </w:p>
    <w:p>
      <w:pPr>
        <w:pStyle w:val="Normal"/>
      </w:pPr>
      <w:r>
        <w:rPr>
          <w:b w:val="false"/>
          <w:i w:val="false"/>
        </w:rPr>
        <w:t>65-A-172 [PROGRAM] Arctic shipping corridor mineral-export study (Nunavut–Alaska–Chukchi): Binational pre-engineering contracts opened to both countries' firms, capped and named.</w:t>
      </w:r>
    </w:p>
    <w:p>
      <w:pPr>
        <w:pStyle w:val="Normal"/>
      </w:pPr>
      <w:r>
        <w:rPr>
          <w:b w:val="false"/>
          <w:i w:val="false"/>
        </w:rPr>
        <w:t>65-A-173 [PROGRAM] Trilateral critical-minerals stockpile infrastructure: Warehousing and logistics hubs (Saskatoon, Salt Lake City, Monterrey) tendered with published trilateral splits.</w:t>
      </w:r>
    </w:p>
    <w:p>
      <w:pPr>
        <w:pStyle w:val="Normal"/>
      </w:pPr>
      <w:r>
        <w:rPr>
          <w:b w:val="false"/>
          <w:i w:val="false"/>
        </w:rPr>
        <w:t>65-A-174 [PROGRAM] Mine-tailings reprocessing corridor (Sudbury–Montana–Zacatecas): Named bundle of reprocessing pilot contracts, one per country, each open to the other two countries' firms.</w:t>
      </w:r>
    </w:p>
    <w:p>
      <w:pPr>
        <w:pStyle w:val="Normal"/>
      </w:pPr>
      <w:r>
        <w:rPr>
          <w:b w:val="false"/>
          <w:i w:val="false"/>
        </w:rPr>
        <w:t>65-A-175 [PROGRAM] Critical-minerals permitting "fast lane" with procurement reciprocity: Projects designated trilaterally get both expedited review AND affirmative NABC procurement splits, the mechanism that makes the whole section trophy-ready.</w:t>
      </w:r>
    </w:p>
    <w:p>
      <w:pPr>
        <w:pStyle w:val="Normal"/>
      </w:pPr>
      <w:r>
        <w:rPr>
          <w:b w:val="false"/>
          <w:i w:val="false"/>
        </w:rPr>
        <w:t>65-A-176 [FLAGSHIP] Ontario–Michigan battery-cell corridor (Windsor–Detroit): Named package: Mexican cell-component plants and U.S./Canadian equipment suppliers share defined lots across NextStar-type plants on both sides, announced with dollar figures.</w:t>
      </w:r>
    </w:p>
    <w:p>
      <w:pPr>
        <w:pStyle w:val="Normal"/>
      </w:pPr>
      <w:r>
        <w:rPr>
          <w:b w:val="false"/>
          <w:i w:val="false"/>
        </w:rPr>
        <w:t>65-A-177 [PROGRAM] Quebec battery valley (Bécancour–Trois-Rivières): U.S. EPC and Mexican cathode-material suppliers prequalified on defined packages; reciprocated via Quebec access to U.S. battery-belt construction contracts.</w:t>
      </w:r>
    </w:p>
    <w:p>
      <w:pPr>
        <w:pStyle w:val="Normal"/>
      </w:pPr>
      <w:r>
        <w:rPr>
          <w:b w:val="false"/>
          <w:i w:val="false"/>
        </w:rPr>
        <w:t>65-A-178 [PROGRAM] U.S. Battery Belt (Kentucky/Tennessee/Georgia): Canadian process-equipment plants (Ontario/Quebec) and Mexican wire-harness suppliers eligible on named packages as the reciprocal half of ideas 176–177.</w:t>
      </w:r>
    </w:p>
    <w:p>
      <w:pPr>
        <w:pStyle w:val="Normal"/>
      </w:pPr>
      <w:r>
        <w:rPr>
          <w:b w:val="false"/>
          <w:i w:val="false"/>
        </w:rPr>
        <w:t>65-A-179 [PROGRAM] Monterrey–Saltillo EV cluster (Tesla-adjacent suppliers): Canadian and U.S. equipment firms prequalified on defined lots; reciprocated via Mexican access to Ontario stamping-plant retooling contracts.</w:t>
      </w:r>
    </w:p>
    <w:p>
      <w:pPr>
        <w:pStyle w:val="Normal"/>
      </w:pPr>
      <w:r>
        <w:rPr>
          <w:b w:val="false"/>
          <w:i w:val="false"/>
        </w:rPr>
        <w:t>65-A-180 [FLAGSHIP] Trilateral cathode plant trio (Bécancour, Tennessee, Sonora): One plant per country announced together, each with published procurement splits for the other two countries' suppliers.</w:t>
      </w:r>
    </w:p>
    <w:p>
      <w:pPr>
        <w:pStyle w:val="Normal"/>
      </w:pPr>
      <w:r>
        <w:rPr>
          <w:b w:val="false"/>
          <w:i w:val="false"/>
        </w:rPr>
        <w:t>65-A-181 [PROGRAM] Trilateral anode plant trio (Quebec, Alabama, Coahuila): Same structure as idea 180; graphite sourcing named from all three countries.</w:t>
      </w:r>
    </w:p>
    <w:p>
      <w:pPr>
        <w:pStyle w:val="Normal"/>
      </w:pPr>
      <w:r>
        <w:rPr>
          <w:b w:val="false"/>
          <w:i w:val="false"/>
        </w:rPr>
        <w:t>65-A-182 [ANCHOR] Battery-recycling corridor (Ontario–Michigan–Nuevo León): Jointly tendered recycling plants with published trilateral equipment splits.</w:t>
      </w:r>
    </w:p>
    <w:p>
      <w:pPr>
        <w:pStyle w:val="Normal"/>
      </w:pPr>
      <w:r>
        <w:rPr>
          <w:b w:val="false"/>
          <w:i w:val="false"/>
        </w:rPr>
        <w:t>65-A-183 [PROGRAM] EV charging megahubs on CPKC-adjacent freight corridors: Trilateral tender of truck-charging depots from Lázaro Cárdenas to Chicago to Toronto, with named national splits.</w:t>
      </w:r>
    </w:p>
    <w:p>
      <w:pPr>
        <w:pStyle w:val="Normal"/>
      </w:pPr>
      <w:r>
        <w:rPr>
          <w:b w:val="false"/>
          <w:i w:val="false"/>
        </w:rPr>
        <w:t>65-A-184 [PROGRAM] I-5 / I-15 western charging corridor extension to Vancouver and Tijuana: Binational packages with published reciprocal opportunity allocations; Canadian firms on U.S.-side depots, U.S. firms on BC/Baja segments.</w:t>
      </w:r>
    </w:p>
    <w:p>
      <w:pPr>
        <w:pStyle w:val="Normal"/>
      </w:pPr>
      <w:r>
        <w:rPr>
          <w:b w:val="false"/>
          <w:i w:val="false"/>
        </w:rPr>
        <w:t>65-A-185 [PROGRAM] Trans-Canada Highway charging completion (gaps in Northern Ontario/Prairies): U.S. and Mexican charging-hardware suppliers eligible on capped packages.</w:t>
      </w:r>
    </w:p>
    <w:p>
      <w:pPr>
        <w:pStyle w:val="Normal"/>
      </w:pPr>
      <w:r>
        <w:rPr>
          <w:b w:val="false"/>
          <w:i w:val="false"/>
        </w:rPr>
        <w:t>65-A-186 [PROGRAM] Electric school bus procurement pool: Trilateral bulk-buy: Quebec (Lion-type), U.S. and Mexican plants each get designated reciprocal opportunity scopes of a joint 3-country procurement pool, dollar figures published.</w:t>
      </w:r>
    </w:p>
    <w:p>
      <w:pPr>
        <w:pStyle w:val="Normal"/>
      </w:pPr>
      <w:r>
        <w:rPr>
          <w:b w:val="false"/>
          <w:i w:val="false"/>
        </w:rPr>
        <w:t>65-A-187 [PROGRAM] Electric transit bus framework: Same pooled structure as idea 186 for city buses: designated reciprocal opportunity scopes for plants in Quebec, the U.S. and Mexico.</w:t>
      </w:r>
    </w:p>
    <w:p>
      <w:pPr>
        <w:pStyle w:val="Normal"/>
      </w:pPr>
      <w:r>
        <w:rPr>
          <w:b w:val="false"/>
          <w:i w:val="false"/>
        </w:rPr>
        <w:t>65-A-188 [FLAGSHIP] Post/delivery fleet electrification (Canada Post, USPS, Correos de México): Trilateral tender with published reciprocal opportunity allocations across three national postal fleets, a leader-friendly "3 presidents, 3 fleets" trophy.</w:t>
      </w:r>
    </w:p>
    <w:p>
      <w:pPr>
        <w:pStyle w:val="Normal"/>
      </w:pPr>
      <w:r>
        <w:rPr>
          <w:b w:val="false"/>
          <w:i w:val="false"/>
        </w:rPr>
        <w:t>65-A-189 [PROGRAM] Windsor–Detroit EV-supplier park (binational): Jointly developed industrial park with procurement commitments named per country.</w:t>
      </w:r>
    </w:p>
    <w:p>
      <w:pPr>
        <w:pStyle w:val="Normal"/>
      </w:pPr>
      <w:r>
        <w:rPr>
          <w:b w:val="false"/>
          <w:i w:val="false"/>
        </w:rPr>
        <w:t>65-A-190 [PROGRAM] Detroit Three retooling packages in Ontario: U.S. automaker retooling contracts in Canada named as openings for U.S. equipment suppliers; reciprocated via Canadian access to their U.S. plant retooling contracts.</w:t>
      </w:r>
    </w:p>
    <w:p>
      <w:pPr>
        <w:pStyle w:val="Normal"/>
      </w:pPr>
      <w:r>
        <w:rPr>
          <w:b w:val="false"/>
          <w:i w:val="false"/>
        </w:rPr>
        <w:t>65-A-191 [PROGRAM] Silao/Ramos Arizpe GM plant EV conversion (Mexico): Canadian and U.S. automation suppliers prequalified on named packages.</w:t>
      </w:r>
    </w:p>
    <w:p>
      <w:pPr>
        <w:pStyle w:val="Normal"/>
      </w:pPr>
      <w:r>
        <w:rPr>
          <w:b w:val="false"/>
          <w:i w:val="false"/>
        </w:rPr>
        <w:t>65-A-192 [PROGRAM] Hermosillo stamping/EV expansion (Sonora): Trilateral equipment split published at announcement.</w:t>
      </w:r>
    </w:p>
    <w:p>
      <w:pPr>
        <w:pStyle w:val="Normal"/>
      </w:pPr>
      <w:r>
        <w:rPr>
          <w:b w:val="false"/>
          <w:i w:val="false"/>
        </w:rPr>
        <w:t>65-A-193 [ANCHOR] Trilateral heavy-truck electrification pilot (drayage at ports of LA, Vancouver, Manzanillo): Joint tender of trucks plus chargers, splits named per country.</w:t>
      </w:r>
    </w:p>
    <w:p>
      <w:pPr>
        <w:pStyle w:val="Normal"/>
      </w:pPr>
      <w:r>
        <w:rPr>
          <w:b w:val="false"/>
          <w:i w:val="false"/>
        </w:rPr>
        <w:t>65-A-194 [ANCHOR] Semiconductor fab corridor for auto chips (Oregon–Ontario–Jalisco): Reciprocal prequalification of construction and equipment firms on each country's named fab projects.</w:t>
      </w:r>
    </w:p>
    <w:p>
      <w:pPr>
        <w:pStyle w:val="Normal"/>
      </w:pPr>
      <w:r>
        <w:rPr>
          <w:b w:val="false"/>
          <w:i w:val="false"/>
        </w:rPr>
        <w:t>65-A-195 [PROGRAM] Guadalajara electronics cluster expansion: Canadian and U.S. cleanroom-construction firms eligible on defined packages.</w:t>
      </w:r>
    </w:p>
    <w:p>
      <w:pPr>
        <w:pStyle w:val="Normal"/>
      </w:pPr>
      <w:r>
        <w:rPr>
          <w:b w:val="false"/>
          <w:i w:val="false"/>
        </w:rPr>
        <w:t>65-A-196 [PROGRAM] Ontario auto-parts retooling fund: U.S. and Mexican tooling suppliers eligible on capped shares; reciprocated via Ontario access to U.S. state retooling-fund contracts.</w:t>
      </w:r>
    </w:p>
    <w:p>
      <w:pPr>
        <w:pStyle w:val="Normal"/>
      </w:pPr>
      <w:r>
        <w:rPr>
          <w:b w:val="false"/>
          <w:i w:val="false"/>
        </w:rPr>
        <w:t>65-A-197 [PROGRAM] Trilateral tooling-and-die renewal program: Named bundle of die-casting and tooling contracts across Ontario, Michigan and Guanajuato with published reciprocal opportunity allocations.</w:t>
      </w:r>
    </w:p>
    <w:p>
      <w:pPr>
        <w:pStyle w:val="Normal"/>
      </w:pPr>
      <w:r>
        <w:rPr>
          <w:b w:val="false"/>
          <w:i w:val="false"/>
        </w:rPr>
        <w:t>65-A-198 [PROGRAM] Aluminum-intensive vehicle supply chain (Quebec aluminum + U.S. stamping + Mexican assembly): Named procurement commitments tying the three tiers together with dollar figures.</w:t>
      </w:r>
    </w:p>
    <w:p>
      <w:pPr>
        <w:pStyle w:val="Normal"/>
      </w:pPr>
      <w:r>
        <w:rPr>
          <w:b w:val="false"/>
          <w:i w:val="false"/>
        </w:rPr>
        <w:t>65-A-199 [PROGRAM] Hydrogen heavy-truck corridor (Edmonton–Calgary–Salt Lake City–Monterrey concept): Feasibility-stage contracts opened trilaterally; construction-stage splits pre-committed.</w:t>
      </w:r>
    </w:p>
    <w:p>
      <w:pPr>
        <w:pStyle w:val="Normal"/>
      </w:pPr>
      <w:r>
        <w:rPr>
          <w:b w:val="false"/>
          <w:i w:val="false"/>
        </w:rPr>
        <w:t>65-A-200 [PROGRAM] Trilateral EV battery-safety testing facilities: One lab per country, jointly tendered equipment packages with published reciprocal opportunity allocations.</w:t>
      </w:r>
    </w:p>
    <w:p>
      <w:pPr>
        <w:pStyle w:val="Normal"/>
      </w:pPr>
      <w:r>
        <w:rPr>
          <w:b w:val="false"/>
          <w:i w:val="false"/>
        </w:rPr>
        <w:t>65-A-201 [PROGRAM] Winter-testing and cold-weather validation cluster (Kapuskasing–Alaska–Chihuahua desert counterpart): Binational facility contracts opened reciprocally.</w:t>
      </w:r>
    </w:p>
    <w:p>
      <w:pPr>
        <w:pStyle w:val="Normal"/>
      </w:pPr>
      <w:r>
        <w:rPr>
          <w:b w:val="false"/>
          <w:i w:val="false"/>
        </w:rPr>
        <w:t>65-A-202 [PROGRAM] Automotive workforce training centers (Windsor, Detroit, Saltillo): Tri-city tender of training-equipment and facility contracts with designated reciprocal opportunity scopes.</w:t>
      </w:r>
    </w:p>
    <w:p>
      <w:pPr>
        <w:pStyle w:val="Normal"/>
      </w:pPr>
      <w:r>
        <w:rPr>
          <w:b w:val="false"/>
          <w:i w:val="false"/>
        </w:rPr>
        <w:t>65-A-203 [PROGRAM] Trilateral giga-casting equipment procurement: Mexican, Canadian and U.S. plants each named as supplier-of-record on the others' named gigacasting installations.</w:t>
      </w:r>
    </w:p>
    <w:p>
      <w:pPr>
        <w:pStyle w:val="Normal"/>
      </w:pPr>
      <w:r>
        <w:rPr>
          <w:b w:val="false"/>
          <w:i w:val="false"/>
        </w:rPr>
        <w:t>65-A-204 [PROGRAM] Cross-border EV battery materials logistics hub (Sarnia–Port Huron): Binational tender with published reciprocal opportunity allocations on warehouse and handling contracts.</w:t>
      </w:r>
    </w:p>
    <w:p>
      <w:pPr>
        <w:pStyle w:val="Normal"/>
      </w:pPr>
      <w:r>
        <w:rPr>
          <w:b w:val="false"/>
          <w:i w:val="false"/>
        </w:rPr>
        <w:t>65-A-205 [PROGRAM] End-of-life vehicle and battery take-back infrastructure: Trilateral framework tender of dismantling and materials-recovery contracts, one named package per country.</w:t>
      </w:r>
    </w:p>
    <w:p>
      <w:pPr>
        <w:pStyle w:val="Normal"/>
      </w:pPr>
      <w:r>
        <w:rPr>
          <w:b w:val="false"/>
          <w:i w:val="false"/>
        </w:rPr>
        <w:t>65-A-206 [FLAGSHIP] Tijuana–San Diego wastewater fix (South Bay International Plant + Mexican-side works): Flagship binational trophy: published split of U.S.-side expansion contracts and Tijuana-side rehabilitation contracts, with Canadian membrane-tech suppliers eligible on both.</w:t>
      </w:r>
    </w:p>
    <w:p>
      <w:pPr>
        <w:pStyle w:val="Normal"/>
      </w:pPr>
      <w:r>
        <w:rPr>
          <w:b w:val="false"/>
          <w:i w:val="false"/>
        </w:rPr>
        <w:t>65-A-207 [PROGRAM] Colorado River conservation infrastructure: Canadian water-tech and Mexican civil firms eligible on defined packages of U.S. conservation projects; reciprocated via U.S. access to Canadian irrigation-modernization contracts.</w:t>
      </w:r>
    </w:p>
    <w:p>
      <w:pPr>
        <w:pStyle w:val="Normal"/>
      </w:pPr>
      <w:r>
        <w:rPr>
          <w:b w:val="false"/>
          <w:i w:val="false"/>
        </w:rPr>
        <w:t>65-A-208 [PROGRAM] California Delta Conveyance: Canadian tunneling consortia prequalified on a named package; reciprocated via California access to a Canadian tunnel project.</w:t>
      </w:r>
    </w:p>
    <w:p>
      <w:pPr>
        <w:pStyle w:val="Normal"/>
      </w:pPr>
      <w:r>
        <w:rPr>
          <w:b w:val="false"/>
          <w:i w:val="false"/>
        </w:rPr>
        <w:t>65-A-209 [PROGRAM] Lake Mead/Hoover Dam water-efficiency retrofits: Canadian turbine and controls firms eligible on defined lots.</w:t>
      </w:r>
    </w:p>
    <w:p>
      <w:pPr>
        <w:pStyle w:val="Normal"/>
      </w:pPr>
      <w:r>
        <w:rPr>
          <w:b w:val="false"/>
          <w:i w:val="false"/>
        </w:rPr>
        <w:t>65-A-210 [PROGRAM] Great Lakes Restoration Initiative follow-on projects: Canadian environmental firms prequalified on named packages; reciprocated via U.S. access to Great Lakes–St. Lawrence cleanup contracts on the Canadian side.</w:t>
      </w:r>
    </w:p>
    <w:p>
      <w:pPr>
        <w:pStyle w:val="Normal"/>
      </w:pPr>
      <w:r>
        <w:rPr>
          <w:b w:val="false"/>
          <w:i w:val="false"/>
        </w:rPr>
        <w:t>65-A-211 [PROGRAM] Boundary Waters/IJC flood-control works (Red River, Rainy River, St. Marys): Binational tenders with published reciprocal opportunity allocations, each contract named.</w:t>
      </w:r>
    </w:p>
    <w:p>
      <w:pPr>
        <w:pStyle w:val="Normal"/>
      </w:pPr>
      <w:r>
        <w:rPr>
          <w:b w:val="false"/>
          <w:i w:val="false"/>
        </w:rPr>
        <w:t>65-A-212 [PROGRAM] Red River floodway expansion (Manitoba): North Dakota contractors prequalified; reciprocated via Manitoba access to Fargo–Moorhead diversion contracts.</w:t>
      </w:r>
    </w:p>
    <w:p>
      <w:pPr>
        <w:pStyle w:val="Normal"/>
      </w:pPr>
      <w:r>
        <w:rPr>
          <w:b w:val="false"/>
          <w:i w:val="false"/>
        </w:rPr>
        <w:t>65-A-213 [PROGRAM] Fargo–Moorhead flood diversion: Manitoba firms eligible on defined packages as the named reciprocal half of idea 212, announce the pair together.</w:t>
      </w:r>
    </w:p>
    <w:p>
      <w:pPr>
        <w:pStyle w:val="Normal"/>
      </w:pPr>
      <w:r>
        <w:rPr>
          <w:b w:val="false"/>
          <w:i w:val="false"/>
        </w:rPr>
        <w:t>65-A-214 [PROGRAM] Mexico City drainage modernization (Túnel Emisor Oriente follow-ons): Canadian tunneling and U.S. pump-station firms prequalified on named packages.</w:t>
      </w:r>
    </w:p>
    <w:p>
      <w:pPr>
        <w:pStyle w:val="Normal"/>
      </w:pPr>
      <w:r>
        <w:rPr>
          <w:b w:val="false"/>
          <w:i w:val="false"/>
        </w:rPr>
        <w:t>65-A-215 [PROGRAM] Cutzamala system rehabilitation (Mexico City water supply): U.S. and Canadian equipment suppliers eligible on defined lots; announced with dollar figures.</w:t>
      </w:r>
    </w:p>
    <w:p>
      <w:pPr>
        <w:pStyle w:val="Normal"/>
      </w:pPr>
      <w:r>
        <w:rPr>
          <w:b w:val="false"/>
          <w:i w:val="false"/>
        </w:rPr>
        <w:t>65-A-216 [PROGRAM] Monterrey water security (El Cuchillo II / aqueduct works): Canadian and U.S. EPC firms prequalified; reciprocated via Nuevo León access to Texas water-infrastructure contracts.</w:t>
      </w:r>
    </w:p>
    <w:p>
      <w:pPr>
        <w:pStyle w:val="Normal"/>
      </w:pPr>
      <w:r>
        <w:rPr>
          <w:b w:val="false"/>
          <w:i w:val="false"/>
        </w:rPr>
        <w:t>65-A-217 [PROGRAM] Ensenada–Tijuana desalination expansion: Canadian membrane plants and U.S. civil contractors eligible on named packages.</w:t>
      </w:r>
    </w:p>
    <w:p>
      <w:pPr>
        <w:pStyle w:val="Normal"/>
      </w:pPr>
      <w:r>
        <w:rPr>
          <w:b w:val="false"/>
          <w:i w:val="false"/>
        </w:rPr>
        <w:t>65-A-218 [PROGRAM] Carlsbad/Huntington Beach desalination follow-ons: Mexican and Canadian firms prequalified as the reciprocal half of idea 217.</w:t>
      </w:r>
    </w:p>
    <w:p>
      <w:pPr>
        <w:pStyle w:val="Normal"/>
      </w:pPr>
      <w:r>
        <w:rPr>
          <w:b w:val="false"/>
          <w:i w:val="false"/>
        </w:rPr>
        <w:t>65-A-219 [PROGRAM] Great Lakes drinking-water plant upgrades (binational cities: Detroit–Windsor, Port Huron–Sarnia), Binational tender with published reciprocal opportunity allocations on named plants.</w:t>
      </w:r>
    </w:p>
    <w:p>
      <w:pPr>
        <w:pStyle w:val="Normal"/>
      </w:pPr>
      <w:r>
        <w:rPr>
          <w:b w:val="false"/>
          <w:i w:val="false"/>
        </w:rPr>
        <w:t>65-A-220 [PROGRAM] Montreal wastewater ozonation follow-on works: U.S. and Mexican equipment suppliers eligible on capped packages.</w:t>
      </w:r>
    </w:p>
    <w:p>
      <w:pPr>
        <w:pStyle w:val="Normal"/>
      </w:pPr>
      <w:r>
        <w:rPr>
          <w:b w:val="false"/>
          <w:i w:val="false"/>
        </w:rPr>
        <w:t>65-A-221 [PROGRAM] Iqaluit and northern water infrastructure: Alaska contractors prequalified on defined lots; framed as Arctic-resilience trophy.</w:t>
      </w:r>
    </w:p>
    <w:p>
      <w:pPr>
        <w:pStyle w:val="Normal"/>
      </w:pPr>
      <w:r>
        <w:rPr>
          <w:b w:val="false"/>
          <w:i w:val="false"/>
        </w:rPr>
        <w:t>65-A-222 [PROGRAM] Yellowknife water-supply replacement: U.S. engineering firms eligible on named packages.</w:t>
      </w:r>
    </w:p>
    <w:p>
      <w:pPr>
        <w:pStyle w:val="Normal"/>
      </w:pPr>
      <w:r>
        <w:rPr>
          <w:b w:val="false"/>
          <w:i w:val="false"/>
        </w:rPr>
        <w:t>65-A-223 [PROGRAM] Trilateral PFAS-remediation pilot corridor: One named site per country, each tendered trilaterally with published reciprocal opportunity allocations.</w:t>
      </w:r>
    </w:p>
    <w:p>
      <w:pPr>
        <w:pStyle w:val="Normal"/>
      </w:pPr>
      <w:r>
        <w:rPr>
          <w:b w:val="false"/>
          <w:i w:val="false"/>
        </w:rPr>
        <w:t>65-A-224 [PROGRAM] Rio Grande salinity and conveyance projects (El Paso–Juárez): Binational tender with published reciprocal opportunity allocations under IBWC auspices.</w:t>
      </w:r>
    </w:p>
    <w:p>
      <w:pPr>
        <w:pStyle w:val="Normal"/>
      </w:pPr>
      <w:r>
        <w:rPr>
          <w:b w:val="false"/>
          <w:i w:val="false"/>
        </w:rPr>
        <w:t>65-A-225 [PROGRAM] Lake Winnipeg basin nutrient-reduction infrastructure: U.S. and Mexican environmental-tech suppliers eligible on capped packages.</w:t>
      </w:r>
    </w:p>
    <w:p>
      <w:pPr>
        <w:pStyle w:val="Normal"/>
      </w:pPr>
      <w:r>
        <w:rPr>
          <w:b w:val="false"/>
          <w:i w:val="false"/>
        </w:rPr>
        <w:t>65-A-226 [PROGRAM] Trilateral wastewater-energy-recovery program (Montreal, Chicago, Mexico City): Named bundle of biogas-upgrading contracts, splits published per country.</w:t>
      </w:r>
    </w:p>
    <w:p>
      <w:pPr>
        <w:pStyle w:val="Normal"/>
      </w:pPr>
      <w:r>
        <w:rPr>
          <w:b w:val="false"/>
          <w:i w:val="false"/>
        </w:rPr>
        <w:t>65-A-227 [PROGRAM] Stormwater mega-tunnel program (Toronto, Milwaukee, Guadalajara): Tri-city tender of tunnel-boring and lining contracts with named national splits.</w:t>
      </w:r>
    </w:p>
    <w:p>
      <w:pPr>
        <w:pStyle w:val="Normal"/>
      </w:pPr>
      <w:r>
        <w:rPr>
          <w:b w:val="false"/>
          <w:i w:val="false"/>
        </w:rPr>
        <w:t>65-A-228 [PROGRAM] Irrigation modernization (Alberta + California + Sonora): Trilateral framework: each country names a canal-lining project and prequalifies the other two countries' firms.</w:t>
      </w:r>
    </w:p>
    <w:p>
      <w:pPr>
        <w:pStyle w:val="Normal"/>
      </w:pPr>
      <w:r>
        <w:rPr>
          <w:b w:val="false"/>
          <w:i w:val="false"/>
        </w:rPr>
        <w:t>65-A-229 [PROGRAM] Dam-safety rehabilitation corridor (St. Lawrence, Columbia, Lerma basins): Named bundle of spillway and gate contracts with published trilateral splits.</w:t>
      </w:r>
    </w:p>
    <w:p>
      <w:pPr>
        <w:pStyle w:val="Normal"/>
      </w:pPr>
      <w:r>
        <w:rPr>
          <w:b w:val="false"/>
          <w:i w:val="false"/>
        </w:rPr>
        <w:t>65-A-230 [PROGRAM] Trilateral smart-water-metering procurement pool: Bulk-buy across three countries' utilities with verified supplier-origin reporting after competitive award per country.</w:t>
      </w:r>
    </w:p>
    <w:p>
      <w:pPr>
        <w:pStyle w:val="Normal"/>
      </w:pPr>
      <w:r>
        <w:rPr>
          <w:b w:val="false"/>
          <w:i w:val="false"/>
        </w:rPr>
        <w:t>65-A-231 [PROGRAM] Trilateral rural broadband build (Northern Canada + rural U.S. + southern Mexico): Named bundle: each country designates underserved regions and prequalifies the other two countries' network builders on defined packages.</w:t>
      </w:r>
    </w:p>
    <w:p>
      <w:pPr>
        <w:pStyle w:val="Normal"/>
      </w:pPr>
      <w:r>
        <w:rPr>
          <w:b w:val="false"/>
          <w:i w:val="false"/>
        </w:rPr>
        <w:t>65-A-232 [PROGRAM] Cross-border fiber backbone (Vancouver–Seattle–Portland): Binational tender with published reciprocal opportunity allocations; Mexican fiber plants eligible on cable-supply lots.</w:t>
      </w:r>
    </w:p>
    <w:p>
      <w:pPr>
        <w:pStyle w:val="Normal"/>
      </w:pPr>
      <w:r>
        <w:rPr>
          <w:b w:val="false"/>
          <w:i w:val="false"/>
        </w:rPr>
        <w:t>65-A-233 [PROGRAM] Quebec–New England dark-fiber corridor: Binational packages with designated reciprocal opportunity scopes; U.S. firms on Quebec segments, Canadian firms on Vermont/New Hampshire segments.</w:t>
      </w:r>
    </w:p>
    <w:p>
      <w:pPr>
        <w:pStyle w:val="Normal"/>
      </w:pPr>
      <w:r>
        <w:rPr>
          <w:b w:val="false"/>
          <w:i w:val="false"/>
        </w:rPr>
        <w:t>65-A-234 [PROGRAM] Windsor–Detroit data-center corridor: Binational tender of power, cooling and fiber packages with published reciprocal opportunity allocations.</w:t>
      </w:r>
    </w:p>
    <w:p>
      <w:pPr>
        <w:pStyle w:val="Normal"/>
      </w:pPr>
      <w:r>
        <w:rPr>
          <w:b w:val="false"/>
          <w:i w:val="false"/>
        </w:rPr>
        <w:t>65-A-235 [PROGRAM] Querétaro data-center cluster expansion: Canadian and U.S. electrical-equipment and cooling suppliers prequalified on named packages; reciprocated via Mexican access to U.S./Canadian data-center contracts.</w:t>
      </w:r>
    </w:p>
    <w:p>
      <w:pPr>
        <w:pStyle w:val="Normal"/>
      </w:pPr>
      <w:r>
        <w:rPr>
          <w:b w:val="false"/>
          <w:i w:val="false"/>
        </w:rPr>
        <w:t>65-A-236 [PROGRAM] Telesat Lightspeed ground-segment contracts: U.S. and Mexican gateway-station contractors eligible on defined packages; reciprocated via Canadian access to U.S. satellite-program ground contracts.</w:t>
      </w:r>
    </w:p>
    <w:p>
      <w:pPr>
        <w:pStyle w:val="Normal"/>
      </w:pPr>
      <w:r>
        <w:rPr>
          <w:b w:val="false"/>
          <w:i w:val="false"/>
        </w:rPr>
        <w:t>65-A-237 [PROGRAM] Trilateral satellite ground-station network (Inuvik, Alaska, Baja): Named bundle of gateway contracts with published trilateral splits; framed as Arctic-coverage trophy.</w:t>
      </w:r>
    </w:p>
    <w:p>
      <w:pPr>
        <w:pStyle w:val="Normal"/>
      </w:pPr>
      <w:r>
        <w:rPr>
          <w:b w:val="false"/>
          <w:i w:val="false"/>
        </w:rPr>
        <w:t>65-A-238 [PROGRAM] 5G/6G Open-RAN testbeds (Ottawa, Dallas, Guadalajara): Tri-city tender of testbed-equipment contracts with designated reciprocal opportunity scopes.</w:t>
      </w:r>
    </w:p>
    <w:p>
      <w:pPr>
        <w:pStyle w:val="Normal"/>
      </w:pPr>
      <w:r>
        <w:rPr>
          <w:b w:val="false"/>
          <w:i w:val="false"/>
        </w:rPr>
        <w:t>65-A-239 [PROGRAM] Subsea cable landing stations (Atlantic Canada + U.S. East Coast): Binational tender with published reciprocal opportunity allocations on named landings.</w:t>
      </w:r>
    </w:p>
    <w:p>
      <w:pPr>
        <w:pStyle w:val="Normal"/>
      </w:pPr>
      <w:r>
        <w:rPr>
          <w:b w:val="false"/>
          <w:i w:val="false"/>
        </w:rPr>
        <w:t>65-A-240 [PROGRAM] Pacific subsea cable route diversity (BC + Baja + U.S. West Coast): Trilateral tender of landing-station works with designated reciprocal opportunity scopes.</w:t>
      </w:r>
    </w:p>
    <w:p>
      <w:pPr>
        <w:pStyle w:val="Normal"/>
      </w:pPr>
      <w:r>
        <w:rPr>
          <w:b w:val="false"/>
          <w:i w:val="false"/>
        </w:rPr>
        <w:t>65-A-241 [PROGRAM] FirstNet/NG911 interoperability at borders: Trilateral procurement of cross-border emergency-communications equipment, splits published.</w:t>
      </w:r>
    </w:p>
    <w:p>
      <w:pPr>
        <w:pStyle w:val="Normal"/>
      </w:pPr>
      <w:r>
        <w:rPr>
          <w:b w:val="false"/>
          <w:i w:val="false"/>
        </w:rPr>
        <w:t>65-A-242 [PROGRAM] Smart-border ITS corridor (all major crossings): Named bundle of sensors, AI-inspection and lane-automation contracts with published trilateral splits; a single leader-visible "21st-century border" trophy.</w:t>
      </w:r>
    </w:p>
    <w:p>
      <w:pPr>
        <w:pStyle w:val="Normal"/>
      </w:pPr>
      <w:r>
        <w:rPr>
          <w:b w:val="false"/>
          <w:i w:val="false"/>
        </w:rPr>
        <w:t>65-A-243 [PROGRAM] Trilateral cybersecurity operations centers (Ottawa, Washington, Mexico City): Joint tender of facility and systems contracts with designated reciprocal opportunity scopes.</w:t>
      </w:r>
    </w:p>
    <w:p>
      <w:pPr>
        <w:pStyle w:val="Normal"/>
      </w:pPr>
      <w:r>
        <w:rPr>
          <w:b w:val="false"/>
          <w:i w:val="false"/>
        </w:rPr>
        <w:t>65-A-244 [PROGRAM] Arctic fiber link (Alaska–Yukon–NWT): Binational packages with published reciprocal opportunity allocations; framed as NORAD-adjacent resilience.</w:t>
      </w:r>
    </w:p>
    <w:p>
      <w:pPr>
        <w:pStyle w:val="Normal"/>
      </w:pPr>
      <w:r>
        <w:rPr>
          <w:b w:val="false"/>
          <w:i w:val="false"/>
        </w:rPr>
        <w:t>65-A-245 [PROGRAM] Rural telemedicine network (Canadian North + rural Alaska + rural Mexico): Trilateral tender of telehealth-infrastructure contracts with designated reciprocal opportunity scopes.</w:t>
      </w:r>
    </w:p>
    <w:p>
      <w:pPr>
        <w:pStyle w:val="Normal"/>
      </w:pPr>
      <w:r>
        <w:rPr>
          <w:b w:val="false"/>
          <w:i w:val="false"/>
        </w:rPr>
        <w:t>65-A-246 [PROGRAM] Grid-edge sensor procurement pool: Bulk-buy of smart-grid sensors across three countries' utilities, factory shares named per country.</w:t>
      </w:r>
    </w:p>
    <w:p>
      <w:pPr>
        <w:pStyle w:val="Normal"/>
      </w:pPr>
      <w:r>
        <w:rPr>
          <w:b w:val="false"/>
          <w:i w:val="false"/>
        </w:rPr>
        <w:t>65-A-247 [PROGRAM] Trilateral AI-compute infrastructure corridor: Reciprocal prequalification of construction firms on each country's named AI data-center projects.</w:t>
      </w:r>
    </w:p>
    <w:p>
      <w:pPr>
        <w:pStyle w:val="Normal"/>
      </w:pPr>
      <w:r>
        <w:rPr>
          <w:b w:val="false"/>
          <w:i w:val="false"/>
        </w:rPr>
        <w:t>65-A-248 [PROGRAM] Digital-twin border-crossing pilots (Detroit–Windsor, Laredo, Vancouver–Blaine): Named bundle of simulation and systems contracts with published reciprocal opportunity allocations.</w:t>
      </w:r>
    </w:p>
    <w:p>
      <w:pPr>
        <w:pStyle w:val="Normal"/>
      </w:pPr>
      <w:r>
        <w:rPr>
          <w:b w:val="false"/>
          <w:i w:val="false"/>
        </w:rPr>
        <w:t>65-A-249 [PROGRAM] Trilateral emergency-alerting system upgrade: Joint procurement with named equipment shares per country.</w:t>
      </w:r>
    </w:p>
    <w:p>
      <w:pPr>
        <w:pStyle w:val="Normal"/>
      </w:pPr>
      <w:r>
        <w:rPr>
          <w:b w:val="false"/>
          <w:i w:val="false"/>
        </w:rPr>
        <w:t>65-A-250 [PROGRAM] Quantum-communications testbed corridor (Waterloo–Chicago–Mexico City): Tri-city tender of lab and fiber contracts with designated reciprocal opportunity scopes.</w:t>
      </w:r>
    </w:p>
    <w:p>
      <w:pPr>
        <w:pStyle w:val="Normal"/>
      </w:pPr>
      <w:r>
        <w:rPr>
          <w:b w:val="false"/>
          <w:i w:val="false"/>
        </w:rPr>
        <w:t>65-A-251 [PROGRAM] Cross-border 5G railway corridors (CPKC main line): Trilateral tender of trackside telecom contracts, splits published.</w:t>
      </w:r>
    </w:p>
    <w:p>
      <w:pPr>
        <w:pStyle w:val="Normal"/>
      </w:pPr>
      <w:r>
        <w:rPr>
          <w:b w:val="false"/>
          <w:i w:val="false"/>
        </w:rPr>
        <w:t>65-A-252 [PROGRAM] Municipal smart-city framework (Toronto, Austin, Guadalajara): Tri-city prequalification list for ITS and sensor contracts, capped per project.</w:t>
      </w:r>
    </w:p>
    <w:p>
      <w:pPr>
        <w:pStyle w:val="Normal"/>
      </w:pPr>
      <w:r>
        <w:rPr>
          <w:b w:val="false"/>
          <w:i w:val="false"/>
        </w:rPr>
        <w:t>65-A-253 [PROGRAM] Trilateral semiconductor workforce campuses: Named bundle of training-facility construction contracts, one per country, each open trilaterally.</w:t>
      </w:r>
    </w:p>
    <w:p>
      <w:pPr>
        <w:pStyle w:val="Normal"/>
      </w:pPr>
      <w:r>
        <w:rPr>
          <w:b w:val="false"/>
          <w:i w:val="false"/>
        </w:rPr>
        <w:t>65-A-254 [PROGRAM] Ocean-monitoring sensor network (Pacific + Arctic + Gulf): Trilateral procurement of buoy and cable-sensor contracts with designated reciprocal opportunity scopes.</w:t>
      </w:r>
    </w:p>
    <w:p>
      <w:pPr>
        <w:pStyle w:val="Normal"/>
      </w:pPr>
      <w:r>
        <w:rPr>
          <w:b w:val="false"/>
          <w:i w:val="false"/>
        </w:rPr>
        <w:t>65-A-255 [PROGRAM] Digital identity/credentialing infrastructure for cross-border workers: Feasibility and pilot contracts opened trilaterally, capped and named.</w:t>
      </w:r>
    </w:p>
    <w:p>
      <w:pPr>
        <w:pStyle w:val="Normal"/>
      </w:pPr>
      <w:r>
        <w:rPr>
          <w:b w:val="false"/>
          <w:i w:val="false"/>
        </w:rPr>
        <w:t>65-A-256 [ANCHOR] Toronto Pearson revitalization packages: U.S. and Mexican firms prequalified on defined terminal and airside lots; reciprocated via Canadian access to a named U.S. airport program of equal value.</w:t>
      </w:r>
    </w:p>
    <w:p>
      <w:pPr>
        <w:pStyle w:val="Normal"/>
      </w:pPr>
      <w:r>
        <w:rPr>
          <w:b w:val="false"/>
          <w:i w:val="false"/>
        </w:rPr>
        <w:t>65-A-257 [PROGRAM] Montreal YUL expansion: U.S. and Mexican contractors eligible on named packages; reciprocated via Quebec access to U.S. terminal-modernization contracts.</w:t>
      </w:r>
    </w:p>
    <w:p>
      <w:pPr>
        <w:pStyle w:val="Normal"/>
      </w:pPr>
      <w:r>
        <w:rPr>
          <w:b w:val="false"/>
          <w:i w:val="false"/>
        </w:rPr>
        <w:t>65-A-258 [PROGRAM] Vancouver YVR pier expansion: U.S. and Mexican firms prequalified on capped lots.</w:t>
      </w:r>
    </w:p>
    <w:p>
      <w:pPr>
        <w:pStyle w:val="Normal"/>
      </w:pPr>
      <w:r>
        <w:rPr>
          <w:b w:val="false"/>
          <w:i w:val="false"/>
        </w:rPr>
        <w:t>65-A-259 [PROGRAM] Calgary YYC terminal works: U.S. contractors eligible on defined packages; reciprocated via Canadian access to a U.S. mountain-region airport program.</w:t>
      </w:r>
    </w:p>
    <w:p>
      <w:pPr>
        <w:pStyle w:val="Normal"/>
      </w:pPr>
      <w:r>
        <w:rPr>
          <w:b w:val="false"/>
          <w:i w:val="false"/>
        </w:rPr>
        <w:t>65-A-260 [PROGRAM] Felipe Ángeles (AIFA) cargo-terminal expansion: Canadian and U.S. cargo-handling and systems suppliers prequalified on named packages.</w:t>
      </w:r>
    </w:p>
    <w:p>
      <w:pPr>
        <w:pStyle w:val="Normal"/>
      </w:pPr>
      <w:r>
        <w:rPr>
          <w:b w:val="false"/>
          <w:i w:val="false"/>
        </w:rPr>
        <w:t>65-A-261 [PROGRAM] Mexico City AICM refurbishment: Canadian and U.S. firms eligible on defined lots; announced with dollar figures per country.</w:t>
      </w:r>
    </w:p>
    <w:p>
      <w:pPr>
        <w:pStyle w:val="Normal"/>
      </w:pPr>
      <w:r>
        <w:rPr>
          <w:b w:val="false"/>
          <w:i w:val="false"/>
        </w:rPr>
        <w:t>65-A-262 [PROGRAM] Cancún and Tulum airport expansions: U.S. and Canadian contractors prequalified on named packages; reciprocated via Mexican access to U.S. tourism-market airport contracts.</w:t>
      </w:r>
    </w:p>
    <w:p>
      <w:pPr>
        <w:pStyle w:val="Normal"/>
      </w:pPr>
      <w:r>
        <w:rPr>
          <w:b w:val="false"/>
          <w:i w:val="false"/>
        </w:rPr>
        <w:t>65-A-263 [PROGRAM] Guadalajara and Monterrey airport upgrades: Trilateral prequalification on named terminal and airside packages.</w:t>
      </w:r>
    </w:p>
    <w:p>
      <w:pPr>
        <w:pStyle w:val="Normal"/>
      </w:pPr>
      <w:r>
        <w:rPr>
          <w:b w:val="false"/>
          <w:i w:val="false"/>
        </w:rPr>
        <w:t>65-A-264 [PROGRAM] JFK/Newark terminal programs: Canadian firms (Montreal/Toronto construction groups) eligible on defined packages as the reciprocal half of idea 256.</w:t>
      </w:r>
    </w:p>
    <w:p>
      <w:pPr>
        <w:pStyle w:val="Normal"/>
      </w:pPr>
      <w:r>
        <w:rPr>
          <w:b w:val="false"/>
          <w:i w:val="false"/>
        </w:rPr>
        <w:t>65-A-265 [PROGRAM] O'Hare terminal expansion: Ontario/Quebec firms prequalified on named lots; reciprocated via Chicago access to Canadian airport contracts.</w:t>
      </w:r>
    </w:p>
    <w:p>
      <w:pPr>
        <w:pStyle w:val="Normal"/>
      </w:pPr>
      <w:r>
        <w:rPr>
          <w:b w:val="false"/>
          <w:i w:val="false"/>
        </w:rPr>
        <w:t>65-A-266 [PROGRAM] LAX people-mover and terminal follow-ons: Canadian systems firms and Mexican precast suppliers eligible on capped packages.</w:t>
      </w:r>
    </w:p>
    <w:p>
      <w:pPr>
        <w:pStyle w:val="Normal"/>
      </w:pPr>
      <w:r>
        <w:rPr>
          <w:b w:val="false"/>
          <w:i w:val="false"/>
        </w:rPr>
        <w:t>65-A-267 [PROGRAM] DFW terminal F: Canadian and Mexican firms prequalified on defined packages; announced with named dollar values.</w:t>
      </w:r>
    </w:p>
    <w:p>
      <w:pPr>
        <w:pStyle w:val="Normal"/>
      </w:pPr>
      <w:r>
        <w:rPr>
          <w:b w:val="false"/>
          <w:i w:val="false"/>
        </w:rPr>
        <w:t>65-A-268 [PROGRAM] Seattle–Tacoma International expansion: BC firms eligible on named packages as reciprocal half of idea 258.</w:t>
      </w:r>
    </w:p>
    <w:p>
      <w:pPr>
        <w:pStyle w:val="Normal"/>
      </w:pPr>
      <w:r>
        <w:rPr>
          <w:b w:val="false"/>
          <w:i w:val="false"/>
        </w:rPr>
        <w:t>65-A-269 [ANCHOR] Preclearance facility expansion (new preclearance at Billy Bishop, Quebec City; new U.S. preclearance tech): Binational tender of facility and IT contracts with published reciprocal opportunity allocations.</w:t>
      </w:r>
    </w:p>
    <w:p>
      <w:pPr>
        <w:pStyle w:val="Normal"/>
      </w:pPr>
      <w:r>
        <w:rPr>
          <w:b w:val="false"/>
          <w:i w:val="false"/>
        </w:rPr>
        <w:t>65-A-270 [PROGRAM] NEXUS/Global Entry lane modernization (air + land): Trilateral procurement of biometric and lane equipment with verified supplier-origin reporting after competitive award.</w:t>
      </w:r>
    </w:p>
    <w:p>
      <w:pPr>
        <w:pStyle w:val="Normal"/>
      </w:pPr>
      <w:r>
        <w:rPr>
          <w:b w:val="false"/>
          <w:i w:val="false"/>
        </w:rPr>
        <w:t>65-A-271 [PROGRAM] Remote-tower and air-traffic modernization (NAV CANADA + FAA + SENEAM): Trilateral prequalification list for ATC-tech contracts, capped per project.</w:t>
      </w:r>
    </w:p>
    <w:p>
      <w:pPr>
        <w:pStyle w:val="Normal"/>
      </w:pPr>
      <w:r>
        <w:rPr>
          <w:b w:val="false"/>
          <w:i w:val="false"/>
        </w:rPr>
        <w:t>65-A-272 [PROGRAM] Northern and Arctic airport upgrades (Iqaluit, Yellowknife, Inuvik + Alaska airports): Binational tender with published reciprocal opportunity allocations; framed as NORAD-support infrastructure.</w:t>
      </w:r>
    </w:p>
    <w:p>
      <w:pPr>
        <w:pStyle w:val="Normal"/>
      </w:pPr>
      <w:r>
        <w:rPr>
          <w:b w:val="false"/>
          <w:i w:val="false"/>
        </w:rPr>
        <w:t>65-A-273 [DEVELOPMENT] Sustainable aviation fuel (SAF) plant corridor (Alberta, Illinois, Veracruz): One plant per country announced together with published equipment splits.</w:t>
      </w:r>
    </w:p>
    <w:p>
      <w:pPr>
        <w:pStyle w:val="Normal"/>
      </w:pPr>
      <w:r>
        <w:rPr>
          <w:b w:val="false"/>
          <w:i w:val="false"/>
        </w:rPr>
        <w:t>65-A-274 [DEVELOPMENT] Airport solar-plus-storage program (YVR, DEN, MEX): Tri-city tender with designated reciprocal opportunity scopes.</w:t>
      </w:r>
    </w:p>
    <w:p>
      <w:pPr>
        <w:pStyle w:val="Normal"/>
      </w:pPr>
      <w:r>
        <w:rPr>
          <w:b w:val="false"/>
          <w:i w:val="false"/>
        </w:rPr>
        <w:t>65-A-275 [DEVELOPMENT] Cross-border air-cargo corridor (Anchorage–Toronto–Querétaro): Named bundle of cargo-facility contracts with published trilateral splits.</w:t>
      </w:r>
    </w:p>
    <w:p>
      <w:pPr>
        <w:pStyle w:val="Normal"/>
      </w:pPr>
      <w:r>
        <w:rPr>
          <w:b w:val="false"/>
          <w:i w:val="false"/>
        </w:rPr>
        <w:t>65-A-276 [DEVELOPMENT] De-icing and winter-ops equipment procurement pool: Bulk-buy across three countries' airports with verified supplier-origin reporting after competitive award.</w:t>
      </w:r>
    </w:p>
    <w:p>
      <w:pPr>
        <w:pStyle w:val="Normal"/>
      </w:pPr>
      <w:r>
        <w:rPr>
          <w:b w:val="false"/>
          <w:i w:val="false"/>
        </w:rPr>
        <w:t>65-A-277 [DEVELOPMENT] Airport fire-rescue vehicle procurement pool: Same pooled structure, verified supplier-origin reporting after competitive award per country.</w:t>
      </w:r>
    </w:p>
    <w:p>
      <w:pPr>
        <w:pStyle w:val="Normal"/>
      </w:pPr>
      <w:r>
        <w:rPr>
          <w:b w:val="false"/>
          <w:i w:val="false"/>
        </w:rPr>
        <w:t>65-A-278 [DEVELOPMENT] Terminal baggage-system modernization corridor (Toronto, Chicago, Mexico City): Tri-city tender with designated reciprocal opportunity scopes.</w:t>
      </w:r>
    </w:p>
    <w:p>
      <w:pPr>
        <w:pStyle w:val="Normal"/>
      </w:pPr>
      <w:r>
        <w:rPr>
          <w:b w:val="false"/>
          <w:i w:val="false"/>
        </w:rPr>
        <w:t>65-A-279 [DEVELOPMENT] Runway-resurfacing framework at paired airports (Windsor–Detroit, Ottawa–Syracuse, Tijuana–San Diego CBX): Binational packages with published reciprocal opportunity allocations.</w:t>
      </w:r>
    </w:p>
    <w:p>
      <w:pPr>
        <w:pStyle w:val="Normal"/>
      </w:pPr>
      <w:r>
        <w:rPr>
          <w:b w:val="false"/>
          <w:i w:val="false"/>
        </w:rPr>
        <w:t>65-A-280 [DEVELOPMENT] Trilateral aviation-training campus network: Named bundle of simulator and facility contracts, one per country, each tendered trilaterally.</w:t>
      </w:r>
    </w:p>
    <w:p>
      <w:pPr>
        <w:pStyle w:val="Normal"/>
      </w:pPr>
      <w:r>
        <w:rPr>
          <w:b w:val="false"/>
          <w:i w:val="false"/>
        </w:rPr>
        <w:t>65-A-281 [DEVELOPMENT] NORAD modernization northern radar chain: Named package: Canadian Arctic-site civil works opened to Alaskan contractors; U.S. radar-integration contracts opened to Canadian firms, dollar figures published.</w:t>
      </w:r>
    </w:p>
    <w:p>
      <w:pPr>
        <w:pStyle w:val="Normal"/>
      </w:pPr>
      <w:r>
        <w:rPr>
          <w:b w:val="false"/>
          <w:i w:val="false"/>
        </w:rPr>
        <w:t>65-A-282 [DEVELOPMENT] Arctic Over-the-Horizon Radar (A-OTHR) sites: Binational tender of site-civil and power contracts with published reciprocal opportunity allocations.</w:t>
      </w:r>
    </w:p>
    <w:p>
      <w:pPr>
        <w:pStyle w:val="Normal"/>
      </w:pPr>
      <w:r>
        <w:rPr>
          <w:b w:val="false"/>
          <w:i w:val="false"/>
        </w:rPr>
        <w:t>65-A-283 [DEVELOPMENT] Northern Warning System replacement: Reciprocal prequalification of both countries' firms on named site packages; Mexican firms eligible on non-sensitive logistics packages.</w:t>
      </w:r>
    </w:p>
    <w:p>
      <w:pPr>
        <w:pStyle w:val="Normal"/>
      </w:pPr>
      <w:r>
        <w:rPr>
          <w:b w:val="false"/>
          <w:i w:val="false"/>
        </w:rPr>
        <w:t>65-A-284 [DEVELOPMENT] Polar icebreaker construction cooperation: Canadian yards (Davie/Seaspan-type) named for defined workshare on U.S. Polar Security Cutter modules; U.S. yards reciprocate on Canadian polar-class work.</w:t>
      </w:r>
    </w:p>
    <w:p>
      <w:pPr>
        <w:pStyle w:val="Normal"/>
      </w:pPr>
      <w:r>
        <w:rPr>
          <w:b w:val="false"/>
          <w:i w:val="false"/>
        </w:rPr>
        <w:t>65-A-285 [DEVELOPMENT] Great Lakes Coast Guard station renewal (both countries): Binational tender with published reciprocal opportunity allocations on named stations.</w:t>
      </w:r>
    </w:p>
    <w:p>
      <w:pPr>
        <w:pStyle w:val="Normal"/>
      </w:pPr>
      <w:r>
        <w:rPr>
          <w:b w:val="false"/>
          <w:i w:val="false"/>
        </w:rPr>
        <w:t>65-A-286 [DEVELOPMENT] Border surveillance tower program (U.S. southern + northern borders): Canadian sensor integrators eligible on northern-tier packages; Mexican firms on logistics and civil lots of southern-tier packages, all capped and named.</w:t>
      </w:r>
    </w:p>
    <w:p>
      <w:pPr>
        <w:pStyle w:val="Normal"/>
      </w:pPr>
      <w:r>
        <w:rPr>
          <w:b w:val="false"/>
          <w:i w:val="false"/>
        </w:rPr>
        <w:t>65-A-287 [DEVELOPMENT] Trilateral counter-drone infrastructure at critical sites: Named bundle of detection-system contracts with published reciprocal opportunity allocations.</w:t>
      </w:r>
    </w:p>
    <w:p>
      <w:pPr>
        <w:pStyle w:val="Normal"/>
      </w:pPr>
      <w:r>
        <w:rPr>
          <w:b w:val="false"/>
          <w:i w:val="false"/>
        </w:rPr>
        <w:t>65-A-288 [DEVELOPMENT] CFB Goose Bay and 5 Wing infrastructure renewal: U.S. contractors prequalified on defined lots; reciprocated via Canadian access to a named U.S. northern-base program.</w:t>
      </w:r>
    </w:p>
    <w:p>
      <w:pPr>
        <w:pStyle w:val="Normal"/>
      </w:pPr>
      <w:r>
        <w:rPr>
          <w:b w:val="false"/>
          <w:i w:val="false"/>
        </w:rPr>
        <w:t>65-A-289 [DEVELOPMENT] Alaska radar-site support infrastructure: Yukon/BC firms eligible on named packages as reciprocal half of idea 288.</w:t>
      </w:r>
    </w:p>
    <w:p>
      <w:pPr>
        <w:pStyle w:val="Normal"/>
      </w:pPr>
      <w:r>
        <w:rPr>
          <w:b w:val="false"/>
          <w:i w:val="false"/>
        </w:rPr>
        <w:t>65-A-290 [DEVELOPMENT] Trilateral military-port upgrade (Esquimalt, San Diego, Manzanillo): Named bundle of wharf and fueling contracts with published reciprocal opportunity allocations.</w:t>
      </w:r>
    </w:p>
    <w:p>
      <w:pPr>
        <w:pStyle w:val="Normal"/>
      </w:pPr>
      <w:r>
        <w:rPr>
          <w:b w:val="false"/>
          <w:i w:val="false"/>
        </w:rPr>
        <w:t>65-A-291 [DEVELOPMENT] Munitions and energetics plant corridor (Quebec, U.S. Midwest, Mexico): Feasibility-stage contracts opened trilaterally; construction splits pre-committed, subject to security review.</w:t>
      </w:r>
    </w:p>
    <w:p>
      <w:pPr>
        <w:pStyle w:val="Normal"/>
      </w:pPr>
      <w:r>
        <w:rPr>
          <w:b w:val="false"/>
          <w:i w:val="false"/>
        </w:rPr>
        <w:t>65-A-292 [DEVELOPMENT] Trilateral satellite-launch and spaceport services (Nova Scotia, Alaska, Baja concept): Named bundle of range-infrastructure contracts with published reciprocal opportunity allocations.</w:t>
      </w:r>
    </w:p>
    <w:p>
      <w:pPr>
        <w:pStyle w:val="Normal"/>
      </w:pPr>
      <w:r>
        <w:rPr>
          <w:b w:val="false"/>
          <w:i w:val="false"/>
        </w:rPr>
        <w:t>65-A-293 [DEVELOPMENT] Cyber-range facilities (Ottawa, San Antonio, Mexico City): Tri-city tender of facility contracts with designated reciprocal opportunity scopes.</w:t>
      </w:r>
    </w:p>
    <w:p>
      <w:pPr>
        <w:pStyle w:val="Normal"/>
      </w:pPr>
      <w:r>
        <w:rPr>
          <w:b w:val="false"/>
          <w:i w:val="false"/>
        </w:rPr>
        <w:t>65-A-294 [DEVELOPMENT] Emergency-management logistics hubs (Winnipeg, Kansas City, Monterrey): Tri-hub tender of warehouse and systems contracts with published trilateral splits; dual-use civilian/military trophy.</w:t>
      </w:r>
    </w:p>
    <w:p>
      <w:pPr>
        <w:pStyle w:val="Normal"/>
      </w:pPr>
      <w:r>
        <w:rPr>
          <w:b w:val="false"/>
          <w:i w:val="false"/>
        </w:rPr>
        <w:t>65-A-295 [DEVELOPMENT] Trilateral wildfire-airtanker base upgrades (BC/Alberta, California, Baja): Named bundle of base-infrastructure contracts with published reciprocal opportunity allocations.</w:t>
      </w:r>
    </w:p>
    <w:p>
      <w:pPr>
        <w:pStyle w:val="Normal"/>
      </w:pPr>
      <w:r>
        <w:rPr>
          <w:b w:val="false"/>
          <w:i w:val="false"/>
        </w:rPr>
        <w:t>65-A-296 [DEVELOPMENT] Coast Guard vessel-traffic systems (St. Lawrence, Gulf, Pacific Mexico): Trilateral procurement with named equipment shares.</w:t>
      </w:r>
    </w:p>
    <w:p>
      <w:pPr>
        <w:pStyle w:val="Normal"/>
      </w:pPr>
      <w:r>
        <w:rPr>
          <w:b w:val="false"/>
          <w:i w:val="false"/>
        </w:rPr>
        <w:t>65-A-297 [DEVELOPMENT] Search-and-rescue station network (Arctic + Pacific + Gulf): Named bundle of station contracts, splits published per country.</w:t>
      </w:r>
    </w:p>
    <w:p>
      <w:pPr>
        <w:pStyle w:val="Normal"/>
      </w:pPr>
      <w:r>
        <w:rPr>
          <w:b w:val="false"/>
          <w:i w:val="false"/>
        </w:rPr>
        <w:t>65-A-298 [DEVELOPMENT] Secure cross-border defense-logistics corridor (Windsor–Detroit): Binational tender of inspection and secure-yard contracts with published reciprocal opportunity allocations.</w:t>
      </w:r>
    </w:p>
    <w:p>
      <w:pPr>
        <w:pStyle w:val="Normal"/>
      </w:pPr>
      <w:r>
        <w:rPr>
          <w:b w:val="false"/>
          <w:i w:val="false"/>
        </w:rPr>
        <w:t>65-A-299 [DEVELOPMENT] Trilateral submarine-cable protection monitoring: Joint procurement of monitoring systems with designated reciprocal opportunity scopes per country.</w:t>
      </w:r>
    </w:p>
    <w:p>
      <w:pPr>
        <w:pStyle w:val="Normal"/>
      </w:pPr>
      <w:r>
        <w:rPr>
          <w:b w:val="false"/>
          <w:i w:val="false"/>
        </w:rPr>
        <w:t>65-A-300 [DEVELOPMENT] Northern fuel-depot network (Canada's North + Alaska): Binational tender of depot contracts with published reciprocal opportunity allocations.</w:t>
      </w:r>
    </w:p>
    <w:p>
      <w:pPr>
        <w:pStyle w:val="Normal"/>
      </w:pPr>
      <w:r>
        <w:rPr>
          <w:b w:val="false"/>
          <w:i w:val="false"/>
        </w:rPr>
        <w:t>65-A-301 [DEVELOPMENT] Trilateral defense-innovation campus (Waterloo, Austin, Guadalajara): Named bundle of lab-construction contracts, one per country, each open trilaterally.</w:t>
      </w:r>
    </w:p>
    <w:p>
      <w:pPr>
        <w:pStyle w:val="Normal"/>
      </w:pPr>
      <w:r>
        <w:rPr>
          <w:b w:val="false"/>
          <w:i w:val="false"/>
        </w:rPr>
        <w:t>65-A-302 [DEVELOPMENT] Port-security radiation-detection upgrade (Vancouver, LA/LB, Manzanillo): Joint procurement with verified supplier-origin reporting after competitive award.</w:t>
      </w:r>
    </w:p>
    <w:p>
      <w:pPr>
        <w:pStyle w:val="Normal"/>
      </w:pPr>
      <w:r>
        <w:rPr>
          <w:b w:val="false"/>
          <w:i w:val="false"/>
        </w:rPr>
        <w:t>65-A-303 [DEVELOPMENT] Binational Great Lakes maritime-domain-awareness system: Joint tender with published reciprocal opportunity allocations.</w:t>
      </w:r>
    </w:p>
    <w:p>
      <w:pPr>
        <w:pStyle w:val="Normal"/>
      </w:pPr>
      <w:r>
        <w:rPr>
          <w:b w:val="false"/>
          <w:i w:val="false"/>
        </w:rPr>
        <w:t>65-A-304 [DEVELOPMENT] Trilateral military airfield pavement program: Named bundle of runway contracts at designated dual-use fields, splits published.</w:t>
      </w:r>
    </w:p>
    <w:p>
      <w:pPr>
        <w:pStyle w:val="Normal"/>
      </w:pPr>
      <w:r>
        <w:rPr>
          <w:b w:val="false"/>
          <w:i w:val="false"/>
        </w:rPr>
        <w:t>65-A-305 [DEVELOPMENT] Arctic deep-water port studies (Churchill, Nome, Tuktoyaktuk): Pre-engineering contracts opened bilaterally/trilaterally, capped and named, positioning for construction-stage trophies.</w:t>
      </w:r>
    </w:p>
    <w:p>
      <w:pPr>
        <w:pStyle w:val="Normal"/>
      </w:pPr>
      <w:r>
        <w:rPr>
          <w:b w:val="false"/>
          <w:i w:val="false"/>
        </w:rPr>
        <w:t>65-A-306 [DEVELOPMENT] Darlington SMR + U.S. SMR deployments (TVA, others): Named package: U.S. component suppliers prequalified on defined Ontario SMR lots; Canadian SMR supply-chain firms reciprocally prequalified on named U.S. SMR projects, dollar figures published.</w:t>
      </w:r>
    </w:p>
    <w:p>
      <w:pPr>
        <w:pStyle w:val="Normal"/>
      </w:pPr>
      <w:r>
        <w:rPr>
          <w:b w:val="false"/>
          <w:i w:val="false"/>
        </w:rPr>
        <w:t>65-A-307 [DEVELOPMENT] Bruce Power life-extension follow-ons: U.S. and Mexican component suppliers eligible on capped packages.</w:t>
      </w:r>
    </w:p>
    <w:p>
      <w:pPr>
        <w:pStyle w:val="Normal"/>
      </w:pPr>
      <w:r>
        <w:rPr>
          <w:b w:val="false"/>
          <w:i w:val="false"/>
        </w:rPr>
        <w:t>65-A-308 [DEVELOPMENT] Pickering refurbishment: U.S. engineering firms prequalified on named lots; reciprocated via Ontario access to U.S. reactor-uprate contracts.</w:t>
      </w:r>
    </w:p>
    <w:p>
      <w:pPr>
        <w:pStyle w:val="Normal"/>
      </w:pPr>
      <w:r>
        <w:rPr>
          <w:b w:val="false"/>
          <w:i w:val="false"/>
        </w:rPr>
        <w:t>65-A-309 [DEVELOPMENT] Point Lepreau life-extension study and works: U.S. suppliers eligible on defined packages.</w:t>
      </w:r>
    </w:p>
    <w:p>
      <w:pPr>
        <w:pStyle w:val="Normal"/>
      </w:pPr>
      <w:r>
        <w:rPr>
          <w:b w:val="false"/>
          <w:i w:val="false"/>
        </w:rPr>
        <w:t>65-A-310 [DEVELOPMENT] Laguna Verde life extension (Mexico): Canadian and U.S. nuclear-services firms prequalified on named packages; reciprocated via Mexican access to North American nuclear-supply contracts.</w:t>
      </w:r>
    </w:p>
    <w:p>
      <w:pPr>
        <w:pStyle w:val="Normal"/>
      </w:pPr>
      <w:r>
        <w:rPr>
          <w:b w:val="false"/>
          <w:i w:val="false"/>
        </w:rPr>
        <w:t>65-A-311 [DEVELOPMENT] Palo Verde uprates (Arizona): Canadian CANDU-adjacent engineering firms eligible on defined lots.</w:t>
      </w:r>
    </w:p>
    <w:p>
      <w:pPr>
        <w:pStyle w:val="Normal"/>
      </w:pPr>
      <w:r>
        <w:rPr>
          <w:b w:val="false"/>
          <w:i w:val="false"/>
        </w:rPr>
        <w:t>65-A-312 [DEVELOPMENT] Small-modular-reactor for remote mines (Ontario Ring of Fire, Alaska, Sonora): Tri-project feasibility bundle with published trilateral splits.</w:t>
      </w:r>
    </w:p>
    <w:p>
      <w:pPr>
        <w:pStyle w:val="Normal"/>
      </w:pPr>
      <w:r>
        <w:rPr>
          <w:b w:val="false"/>
          <w:i w:val="false"/>
        </w:rPr>
        <w:t>65-A-313 [DEVELOPMENT] Site C follow-on transmission and balancing works (BC): U.S. contractors eligible on capped packages.</w:t>
      </w:r>
    </w:p>
    <w:p>
      <w:pPr>
        <w:pStyle w:val="Normal"/>
      </w:pPr>
      <w:r>
        <w:rPr>
          <w:b w:val="false"/>
          <w:i w:val="false"/>
        </w:rPr>
        <w:t>65-A-314 [DEVELOPMENT] Gull Island / Lower Churchill development (Newfoundland &amp; Labrador): U.S. and Mexican civil contractors prequalified on named lots; announced with contract values per country.</w:t>
      </w:r>
    </w:p>
    <w:p>
      <w:pPr>
        <w:pStyle w:val="Normal"/>
      </w:pPr>
      <w:r>
        <w:rPr>
          <w:b w:val="false"/>
          <w:i w:val="false"/>
        </w:rPr>
        <w:t>65-A-315 [DEVELOPMENT] Muskrat Falls completion and Churchill Falls MOU works: U.S. firms eligible on defined packages; reciprocated via NL access to New England hydro-import contracts.</w:t>
      </w:r>
    </w:p>
    <w:p>
      <w:pPr>
        <w:pStyle w:val="Normal"/>
      </w:pPr>
      <w:r>
        <w:rPr>
          <w:b w:val="false"/>
          <w:i w:val="false"/>
        </w:rPr>
        <w:t>65-A-316 [DEVELOPMENT] Keeyask follow-on hydro (Manitoba): U.S. turbine suppliers eligible on named packages.</w:t>
      </w:r>
    </w:p>
    <w:p>
      <w:pPr>
        <w:pStyle w:val="Normal"/>
      </w:pPr>
      <w:r>
        <w:rPr>
          <w:b w:val="false"/>
          <w:i w:val="false"/>
        </w:rPr>
        <w:t>65-A-317 [DEVELOPMENT] Quebec Romaine-complex completion and wind pairing: U.S. and Mexican suppliers prequalified on defined lots.</w:t>
      </w:r>
    </w:p>
    <w:p>
      <w:pPr>
        <w:pStyle w:val="Normal"/>
      </w:pPr>
      <w:r>
        <w:rPr>
          <w:b w:val="false"/>
          <w:i w:val="false"/>
        </w:rPr>
        <w:t>65-A-318 [DEVELOPMENT] Atlantic Canada offshore wind (Nova Scotia/Newfoundland): U.S. marine contractors and Mexican fabrication yards eligible on named packages; reciprocated via Canadian access to U.S. East Coast offshore-wind contracts.</w:t>
      </w:r>
    </w:p>
    <w:p>
      <w:pPr>
        <w:pStyle w:val="Normal"/>
      </w:pPr>
      <w:r>
        <w:rPr>
          <w:b w:val="false"/>
          <w:i w:val="false"/>
        </w:rPr>
        <w:t>65-A-319 [DEVELOPMENT] Gulf of Maine floating offshore wind: Canadian marine-civil and cable firms prequalified as the reciprocal half of idea 318.</w:t>
      </w:r>
    </w:p>
    <w:p>
      <w:pPr>
        <w:pStyle w:val="Normal"/>
      </w:pPr>
      <w:r>
        <w:rPr>
          <w:b w:val="false"/>
          <w:i w:val="false"/>
        </w:rPr>
        <w:t>65-A-320 [DEVELOPMENT] Pacific offshore wind (California/Oregon): BC and Quebec marine firms eligible on defined packages.</w:t>
      </w:r>
    </w:p>
    <w:p>
      <w:pPr>
        <w:pStyle w:val="Normal"/>
      </w:pPr>
      <w:r>
        <w:rPr>
          <w:b w:val="false"/>
          <w:i w:val="false"/>
        </w:rPr>
        <w:t>65-A-321 [DEVELOPMENT] Plan Sonora solar megaproject (Mexico): Canadian and U.S. EPC and inverter suppliers prequalified on named lots; announced with dollar figures per country.</w:t>
      </w:r>
    </w:p>
    <w:p>
      <w:pPr>
        <w:pStyle w:val="Normal"/>
      </w:pPr>
      <w:r>
        <w:rPr>
          <w:b w:val="false"/>
          <w:i w:val="false"/>
        </w:rPr>
        <w:t>65-A-322 [DEVELOPMENT] Arizona/New Mexico solar-plus-storage corridor: Mexican module-assembly and Canadian inverter plants eligible on capped shares; reciprocated via U.S. access to Canadian solar contracts.</w:t>
      </w:r>
    </w:p>
    <w:p>
      <w:pPr>
        <w:pStyle w:val="Normal"/>
      </w:pPr>
      <w:r>
        <w:rPr>
          <w:b w:val="false"/>
          <w:i w:val="false"/>
        </w:rPr>
        <w:t>65-A-323 [DEVELOPMENT] Alberta solar-and-wind boom procurement: U.S. and Mexican component suppliers eligible on named packages.</w:t>
      </w:r>
    </w:p>
    <w:p>
      <w:pPr>
        <w:pStyle w:val="Normal"/>
      </w:pPr>
      <w:r>
        <w:rPr>
          <w:b w:val="false"/>
          <w:i w:val="false"/>
        </w:rPr>
        <w:t>65-A-324 [DEVELOPMENT] Saskatchewan geothermal pilot corridor: U.S. drilling-services firms prequalified on defined lots.</w:t>
      </w:r>
    </w:p>
    <w:p>
      <w:pPr>
        <w:pStyle w:val="Normal"/>
      </w:pPr>
      <w:r>
        <w:rPr>
          <w:b w:val="false"/>
          <w:i w:val="false"/>
        </w:rPr>
        <w:t>65-A-325 [DEVELOPMENT] Salton Sea lithium-geothermal ("Lithium Valley"): Canadian processing-tech and Mexican drilling-services firms eligible on named packages.</w:t>
      </w:r>
    </w:p>
    <w:p>
      <w:pPr>
        <w:pStyle w:val="Normal"/>
      </w:pPr>
      <w:r>
        <w:rPr>
          <w:b w:val="false"/>
          <w:i w:val="false"/>
        </w:rPr>
        <w:t>65-A-326 [DEVELOPMENT] Nevada geothermal expansion: Alberta drilling-services firms eligible as reciprocal half of idea 325.</w:t>
      </w:r>
    </w:p>
    <w:p>
      <w:pPr>
        <w:pStyle w:val="Normal"/>
      </w:pPr>
      <w:r>
        <w:rPr>
          <w:b w:val="false"/>
          <w:i w:val="false"/>
        </w:rPr>
        <w:t>65-A-327 [DEVELOPMENT] Trilateral pumped-storage program (Ontario, Appalachia, Baja): Named bundle of feasibility and construction contracts with published reciprocal opportunity allocations.</w:t>
      </w:r>
    </w:p>
    <w:p>
      <w:pPr>
        <w:pStyle w:val="Normal"/>
      </w:pPr>
      <w:r>
        <w:rPr>
          <w:b w:val="false"/>
          <w:i w:val="false"/>
        </w:rPr>
        <w:t>65-A-328 [DEVELOPMENT] Quebec wind-cluster expansion (Gaspésie): U.S. and Mexican tower and blade suppliers eligible on capped packages.</w:t>
      </w:r>
    </w:p>
    <w:p>
      <w:pPr>
        <w:pStyle w:val="Normal"/>
      </w:pPr>
      <w:r>
        <w:rPr>
          <w:b w:val="false"/>
          <w:i w:val="false"/>
        </w:rPr>
        <w:t>65-A-329 [DEVELOPMENT] Iowa/Texas wind repowering corridor: Quebec/Ontario component plants eligible on named packages as the reciprocal half of idea 328.</w:t>
      </w:r>
    </w:p>
    <w:p>
      <w:pPr>
        <w:pStyle w:val="Normal"/>
      </w:pPr>
      <w:r>
        <w:rPr>
          <w:b w:val="false"/>
          <w:i w:val="false"/>
        </w:rPr>
        <w:t>65-A-330 [DEVELOPMENT] Isthmus of Tehuantepec wind repowering (Oaxaca): Canadian and U.S. turbine-component suppliers prequalified on defined lots.</w:t>
      </w:r>
    </w:p>
    <w:p>
      <w:pPr>
        <w:pStyle w:val="Normal"/>
      </w:pPr>
      <w:r>
        <w:rPr>
          <w:b w:val="false"/>
          <w:i w:val="false"/>
        </w:rPr>
        <w:t>65-A-331 [DEVELOPMENT] Trilateral green-hydrogen electrolysis gigafactories: One plant per country announced together with published equipment splits.</w:t>
      </w:r>
    </w:p>
    <w:p>
      <w:pPr>
        <w:pStyle w:val="Normal"/>
      </w:pPr>
      <w:r>
        <w:rPr>
          <w:b w:val="false"/>
          <w:i w:val="false"/>
        </w:rPr>
        <w:t>65-A-332 [DEVELOPMENT] Tidal energy pilots (Bay of Fundy + Alaska + Baja): Named bundle of demonstration contracts, splits published.</w:t>
      </w:r>
    </w:p>
    <w:p>
      <w:pPr>
        <w:pStyle w:val="Normal"/>
      </w:pPr>
      <w:r>
        <w:rPr>
          <w:b w:val="false"/>
          <w:i w:val="false"/>
        </w:rPr>
        <w:t>65-A-333 [DEVELOPMENT] Grid-forming battery mega-projects (Ontario, Texas, Baja): Tri-project tender with named national splits.</w:t>
      </w:r>
    </w:p>
    <w:p>
      <w:pPr>
        <w:pStyle w:val="Normal"/>
      </w:pPr>
      <w:r>
        <w:rPr>
          <w:b w:val="false"/>
          <w:i w:val="false"/>
        </w:rPr>
        <w:t>65-A-334 [DEVELOPMENT] Biomass-to-energy corridor (Northern Ontario + U.S. Southeast + Yucatán): Named bundle of plant contracts with published reciprocal opportunity allocations.</w:t>
      </w:r>
    </w:p>
    <w:p>
      <w:pPr>
        <w:pStyle w:val="Normal"/>
      </w:pPr>
      <w:r>
        <w:rPr>
          <w:b w:val="false"/>
          <w:i w:val="false"/>
        </w:rPr>
        <w:t>65-A-335 [DEVELOPMENT] Trilateral clean-energy permitting "one-window" pilots: Feasibility contracts for joint environmental-assessment tools, one per country, opened trilaterally.</w:t>
      </w:r>
    </w:p>
    <w:p>
      <w:pPr>
        <w:pStyle w:val="Normal"/>
      </w:pPr>
      <w:r>
        <w:rPr>
          <w:b w:val="false"/>
          <w:i w:val="false"/>
        </w:rPr>
        <w:t>65-A-336 [DEVELOPMENT] Windsor-Detroit Trade Corridor Operations, Resilience and Follow-On Infrastructure Program: future ITS, inspection, maintenance, logistics, approach-road and resilience procurements may be designated after verification of remaining lawful procurement.</w:t>
      </w:r>
    </w:p>
    <w:p>
      <w:pPr>
        <w:pStyle w:val="Normal"/>
      </w:pPr>
      <w:r>
        <w:rPr>
          <w:b w:val="false"/>
          <w:i w:val="false"/>
        </w:rPr>
        <w:t>65-A-337 [DEVELOPMENT] North American Transformer Replacement and Grid-Spare Program: recurring reciprocal procurement of large power transformers, mobile transformers, bushings, switchgear and associated grid-spare equipment.</w:t>
      </w:r>
    </w:p>
    <w:p>
      <w:pPr>
        <w:pStyle w:val="Normal"/>
      </w:pPr>
      <w:r>
        <w:rPr>
          <w:b w:val="false"/>
          <w:i w:val="false"/>
        </w:rPr>
        <w:t>65-A-338 [DEVELOPMENT] Essential Medicines Sterile-Manufacturing Equipment Program: reciprocal access for qualifying clean-room, aseptic filling, lyophilization, vial, stopper, inspection and packaging procurements linked to Chapter 63.</w:t>
      </w:r>
    </w:p>
    <w:p>
      <w:pPr>
        <w:pStyle w:val="Normal"/>
      </w:pPr>
      <w:r>
        <w:rPr>
          <w:b w:val="false"/>
          <w:i w:val="false"/>
        </w:rPr>
        <w:t>65-A-339 [DEVELOPMENT] API and KSM Manufacturing Equipment Program: qualifying reactors, filtration, drying, containment, quality-control and process-control equipment for North American active-ingredient and key-starting-material capacity.</w:t>
      </w:r>
    </w:p>
    <w:p>
      <w:pPr>
        <w:pStyle w:val="Normal"/>
      </w:pPr>
      <w:r>
        <w:rPr>
          <w:b w:val="false"/>
          <w:i w:val="false"/>
        </w:rPr>
        <w:t>65-A-340 [DEVELOPMENT] Medical Isotope and Radiopharmaceutical Infrastructure Program: qualifying cyclotron, targetry, processing, shielding, hot-cell, generator and logistics infrastructure subject to nuclear and health regulation.</w:t>
      </w:r>
    </w:p>
    <w:p>
      <w:pPr>
        <w:pStyle w:val="Normal"/>
      </w:pPr>
      <w:r>
        <w:rPr>
          <w:b w:val="false"/>
          <w:i w:val="false"/>
        </w:rPr>
        <w:t>65-A-341 [DEVELOPMENT] Pharmaceutical Cold-Chain Infrastructure Program: validated refrigeration, monitoring, packaging, warehousing and transport systems supporting medicines resilience and emergency distribution.</w:t>
      </w:r>
    </w:p>
    <w:p>
      <w:pPr>
        <w:pStyle w:val="Normal"/>
      </w:pPr>
      <w:r>
        <w:rPr>
          <w:b w:val="false"/>
          <w:i w:val="false"/>
        </w:rPr>
        <w:t>65-A-342 [DEVELOPMENT] Continental Wildfire Airtanker Base Modernization Program: reciprocal civil, fueling, retardant-loading, maintenance, communications and emergency-support procurements at designated wildfire aviation bases.</w:t>
      </w:r>
    </w:p>
    <w:p>
      <w:pPr>
        <w:pStyle w:val="Normal"/>
      </w:pPr>
      <w:r>
        <w:rPr>
          <w:b w:val="false"/>
          <w:i w:val="false"/>
        </w:rPr>
        <w:t>65-A-343 [DEVELOPMENT] North American Search-and-Rescue Station Modernization Program: qualifying hangars, communications, medical, navigation, training and logistics infrastructure for designated SAR facilities.</w:t>
      </w:r>
    </w:p>
    <w:p>
      <w:pPr>
        <w:pStyle w:val="Normal"/>
      </w:pPr>
      <w:r>
        <w:rPr>
          <w:b w:val="false"/>
          <w:i w:val="false"/>
        </w:rPr>
        <w:t>65-A-344 [DEVELOPMENT] Great Lakes Drinking-Water Treatment Modernization Program: reciprocal equipment and engineering opportunities for filtration, disinfection, lead-service replacement support and treatment resilience.</w:t>
      </w:r>
    </w:p>
    <w:p>
      <w:pPr>
        <w:pStyle w:val="Normal"/>
      </w:pPr>
      <w:r>
        <w:rPr>
          <w:b w:val="false"/>
          <w:i w:val="false"/>
        </w:rPr>
        <w:t>65-A-345 [DEVELOPMENT] Red River and Northern Plains Flood-Resilience Program: pumps, gates, monitoring, diversion-support works and emergency infrastructure in voluntarily participating jurisdictions.</w:t>
      </w:r>
    </w:p>
    <w:p>
      <w:pPr>
        <w:pStyle w:val="Normal"/>
      </w:pPr>
      <w:r>
        <w:rPr>
          <w:b w:val="false"/>
          <w:i w:val="false"/>
        </w:rPr>
        <w:t>65-A-346 [DEVELOPMENT] Rio Grande Water Efficiency and Resilience Program: verified binational opportunities in conveyance, metering, reuse, treatment, leakage reduction and drought-resilience infrastructure.</w:t>
      </w:r>
    </w:p>
    <w:p>
      <w:pPr>
        <w:pStyle w:val="Normal"/>
      </w:pPr>
      <w:r>
        <w:rPr>
          <w:b w:val="false"/>
          <w:i w:val="false"/>
        </w:rPr>
        <w:t>65-A-347 [DEVELOPMENT] Airport Deicing and Winter-Operations Equipment Program: recurring reciprocal procurement of deicing vehicles, fluid systems, snow-removal equipment, sensors and winter-operations technology.</w:t>
      </w:r>
    </w:p>
    <w:p>
      <w:pPr>
        <w:pStyle w:val="Normal"/>
      </w:pPr>
      <w:r>
        <w:rPr>
          <w:b w:val="false"/>
          <w:i w:val="false"/>
        </w:rPr>
        <w:t>65-A-348 [DEVELOPMENT] Airport Fire-Rescue and Emergency Vehicle Program: competitive reciprocal access for qualifying aircraft-rescue firefighting vehicles, communications, protective systems and support equipment.</w:t>
      </w:r>
    </w:p>
    <w:p>
      <w:pPr>
        <w:pStyle w:val="Normal"/>
      </w:pPr>
      <w:r>
        <w:rPr>
          <w:b w:val="false"/>
          <w:i w:val="false"/>
        </w:rPr>
        <w:t>65-A-349 [DEVELOPMENT] Pipeline Integrity and Leak-Detection Retrofit Program: inspection, sensors, valves, control systems, corrosion protection and safety equipment for designated existing energy corridors.</w:t>
      </w:r>
    </w:p>
    <w:p>
      <w:pPr>
        <w:pStyle w:val="Normal"/>
      </w:pPr>
      <w:r>
        <w:rPr>
          <w:b w:val="false"/>
          <w:i w:val="false"/>
        </w:rPr>
        <w:t>65-A-350 [DEVELOPMENT] Advanced Industrial Robotics and Factory-Automation Program: reciprocal access to qualifying robotics, machine vision, controls, safety systems and integration procurements in designated industrial projects.</w:t>
      </w:r>
    </w:p>
    <w:p>
      <w:pPr>
        <w:pStyle w:val="Normal"/>
      </w:pPr>
      <w:r>
        <w:rPr>
          <w:b w:val="false"/>
          <w:i w:val="false"/>
        </w:rPr>
        <w:t>65-A-351 [DEVELOPMENT] Critical-Mineral Processing Equipment Program: crushers, sorters, separators, furnaces, hydrometallurgical systems, water treatment and environmental controls linked to Chapter 37 projects.</w:t>
      </w:r>
    </w:p>
    <w:p>
      <w:pPr>
        <w:pStyle w:val="Normal"/>
      </w:pPr>
      <w:r>
        <w:rPr>
          <w:b w:val="false"/>
          <w:i w:val="false"/>
        </w:rPr>
        <w:t>65-A-352 [DEVELOPMENT] Battery Recycling and Materials-Recovery Equipment Program: shredding, separation, hydrometallurgy, refining, fire-safety and material-handling equipment for designated recycling capacity.</w:t>
      </w:r>
    </w:p>
    <w:p>
      <w:pPr>
        <w:pStyle w:val="Normal"/>
      </w:pPr>
      <w:r>
        <w:rPr>
          <w:b w:val="false"/>
          <w:i w:val="false"/>
        </w:rPr>
        <w:t>65-A-353 [DEVELOPMENT] Semiconductor Packaging, Testing and Advanced-Electronics Equipment Program: qualifying assembly, packaging, test, metrology, clean-room and reliability infrastructure.</w:t>
      </w:r>
    </w:p>
    <w:p>
      <w:pPr>
        <w:pStyle w:val="Normal"/>
      </w:pPr>
      <w:r>
        <w:rPr>
          <w:b w:val="false"/>
          <w:i w:val="false"/>
        </w:rPr>
        <w:t>65-A-354 [DEVELOPMENT] AI and Data-Centre Power, Cooling and Resilience Program: qualifying transformers, switchgear, cooling, backup power, water-efficiency and grid-interconnection equipment for designated projects.</w:t>
      </w:r>
    </w:p>
    <w:p>
      <w:pPr>
        <w:pStyle w:val="Normal"/>
      </w:pPr>
      <w:r>
        <w:rPr>
          <w:b w:val="false"/>
          <w:i w:val="false"/>
        </w:rPr>
        <w:t>65-A-355 [DEVELOPMENT] Arctic and Remote Microgrid Modernization Program: modular generation, storage, controls, heat recovery and resilient communications for voluntarily participating northern communities and facilities.</w:t>
      </w:r>
    </w:p>
    <w:p>
      <w:pPr>
        <w:pStyle w:val="Normal"/>
      </w:pPr>
      <w:r>
        <w:rPr>
          <w:b w:val="false"/>
          <w:i w:val="false"/>
        </w:rPr>
        <w:t>65-A-356 [DEVELOPMENT] North American Industrial Water-Reuse Equipment Program: treatment, recycling, cooling-water optimization and zero/low-liquid-discharge equipment for designated manufacturing projects.</w:t>
      </w:r>
    </w:p>
    <w:p>
      <w:pPr>
        <w:pStyle w:val="Normal"/>
      </w:pPr>
      <w:r>
        <w:rPr>
          <w:b w:val="false"/>
          <w:i w:val="false"/>
        </w:rPr>
        <w:t>65-A-357 [DEVELOPMENT] North American Grain and Agri-Food Cold-Chain Modernization Program: elevators, refrigeration, monitoring, rail interfaces, warehouse automation and food-safety equipment.</w:t>
      </w:r>
    </w:p>
    <w:p>
      <w:pPr>
        <w:pStyle w:val="Normal"/>
      </w:pPr>
      <w:r>
        <w:rPr>
          <w:b w:val="false"/>
          <w:i w:val="false"/>
        </w:rPr>
        <w:t>65-A-358 [DEVELOPMENT] North American Port Shore-Power and Terminal Electrification Program: substations, cables, charging, controls and electric cargo-handling infrastructure at designated ports.</w:t>
      </w:r>
    </w:p>
    <w:p>
      <w:pPr>
        <w:pStyle w:val="Normal"/>
      </w:pPr>
      <w:r>
        <w:rPr>
          <w:b w:val="false"/>
          <w:i w:val="false"/>
        </w:rPr>
        <w:t>65-A-359 [DEVELOPMENT] North American Bridge Rehabilitation Materials and Systems Program: bearings, joints, coatings, sensors, structural steel, precast systems and inspection technology for designated bridge renewals.</w:t>
      </w:r>
    </w:p>
    <w:p>
      <w:pPr>
        <w:pStyle w:val="Normal"/>
      </w:pPr>
      <w:r>
        <w:rPr>
          <w:b w:val="false"/>
          <w:i w:val="false"/>
        </w:rPr>
        <w:t>65-A-360 [DEVELOPMENT] North American Rail Signalling and Grade-Crossing Safety Program: signalling, train-control, detection, communications and crossing-safety procurements in participating corridors.</w:t>
      </w:r>
    </w:p>
    <w:p>
      <w:pPr>
        <w:pStyle w:val="Normal"/>
      </w:pPr>
      <w:r>
        <w:rPr>
          <w:b w:val="false"/>
          <w:i w:val="false"/>
        </w:rPr>
        <w:t>65-A-361 [DEVELOPMENT] North American Customs and Commercial-Vehicle Inspection Technology Program: non-intrusive inspection, weigh-in-motion, lane-management and cargo-processing systems subject to privacy and security safeguards.</w:t>
      </w:r>
    </w:p>
    <w:p>
      <w:pPr>
        <w:pStyle w:val="Normal"/>
      </w:pPr>
      <w:r>
        <w:rPr>
          <w:b w:val="false"/>
          <w:i w:val="false"/>
        </w:rPr>
        <w:t>65-A-362 [DEVELOPMENT] North American Rural Broadband Resilience Program: fiber, fixed-wireless, towers, backup power and network-hardening opportunities in voluntarily participating rural jurisdictions.</w:t>
      </w:r>
    </w:p>
    <w:p>
      <w:pPr>
        <w:pStyle w:val="Normal"/>
      </w:pPr>
      <w:r>
        <w:rPr>
          <w:b w:val="false"/>
          <w:i w:val="false"/>
        </w:rPr>
        <w:t>65-A-363 [DEVELOPMENT] North American Emergency Power and Mobile-Utility Program: mobile substations, generators, batteries, pumps, water-treatment units and deployable communications for disaster response.</w:t>
      </w:r>
    </w:p>
    <w:p>
      <w:pPr>
        <w:pStyle w:val="Normal"/>
      </w:pPr>
      <w:r>
        <w:rPr>
          <w:b w:val="false"/>
          <w:i w:val="false"/>
        </w:rPr>
        <w:t>65-A-364 [DEVELOPMENT] North American Industrial Heat and Furnace Modernization Program: efficient furnaces, kilns, heat treatment, controls and heat-recovery systems for steel, aluminum, glass and advanced-material facilities.</w:t>
      </w:r>
    </w:p>
    <w:p>
      <w:pPr>
        <w:pStyle w:val="Normal"/>
      </w:pPr>
      <w:r>
        <w:rPr>
          <w:b w:val="false"/>
          <w:i w:val="false"/>
        </w:rPr>
        <w:t>65-A-365 [DEVELOPMENT] North American Machine-Tool and Precision-Manufacturing Program: qualifying CNC, metrology, tooling, additive manufacturing and quality-control equipment for designated reshoring and expansion projects.</w:t>
      </w:r>
    </w:p>
    <w:p>
      <w:pPr>
        <w:pStyle w:val="Normal"/>
      </w:pPr>
      <w:r>
        <w:rPr>
          <w:b w:val="false"/>
          <w:i w:val="false"/>
        </w:rPr>
        <w:t>65-A-366 [DEVELOPMENT] North American Food and Agricultural Biosecurity Infrastructure Program: laboratories, inspection facilities, cold-chain controls and traceability equipment without weakening sanitary safeguards.</w:t>
      </w:r>
    </w:p>
    <w:p>
      <w:pPr>
        <w:pStyle w:val="Normal"/>
      </w:pPr>
      <w:r>
        <w:rPr>
          <w:b w:val="false"/>
          <w:i w:val="false"/>
        </w:rPr>
        <w:t>65-A-367 [DEVELOPMENT] North American Aviation Maintenance and Ground-Support Equipment Program: hangar, tooling, diagnostics, ground-power, towing and maintenance equipment linked to Chapter 12 aviation cooperation.</w:t>
      </w:r>
    </w:p>
    <w:p>
      <w:pPr>
        <w:pStyle w:val="Normal"/>
      </w:pPr>
      <w:r>
        <w:rPr>
          <w:b w:val="false"/>
          <w:i w:val="false"/>
        </w:rPr>
        <w:t>65-A-368 [DEVELOPMENT] North American Port and Rail Cyber-Resilience Infrastructure Program: segmented networks, secure controls, backup communications and recovery systems for designated trade corridors.</w:t>
      </w:r>
    </w:p>
    <w:p>
      <w:pPr>
        <w:pStyle w:val="Normal"/>
      </w:pPr>
      <w:r>
        <w:rPr>
          <w:b w:val="false"/>
          <w:i w:val="false"/>
        </w:rPr>
        <w:t>65-A-369 [DEVELOPMENT] North American Community and Indigenous Infrastructure Supplier Access Program: voluntary, rights-respecting procurement pathways for qualifying local and Indigenous suppliers without overriding procurement autonomy or consultation duties.</w:t>
      </w:r>
    </w:p>
    <w:p>
      <w:pPr>
        <w:pStyle w:val="Normal"/>
      </w:pPr>
      <w:r>
        <w:rPr>
          <w:b w:val="false"/>
          <w:i w:val="false"/>
        </w:rPr>
        <w:t>65-A-370 [DEVELOPMENT] North American Construction-Materials Circularity Program: reciprocal opportunities in recycled steel, aluminum, aggregate, asphalt, concrete inputs and recovery systems where technical standards are met.</w:t>
      </w:r>
    </w:p>
    <w:p>
      <w:pPr>
        <w:pStyle w:val="Heading2"/>
      </w:pPr>
      <w:bookmarkStart w:id="902085" w:name="_Toc300002084"/>
      <w:r>
        <w:rPr>
          <w:b/>
          <w:i w:val="false"/>
        </w:rPr>
        <w:t>ANNEX 65-B: GOVERNING ARCHITECTURE SUMMARY</w:t>
      </w:r>
      <w:bookmarkEnd w:id="902085"/>
    </w:p>
    <w:p>
      <w:pPr>
        <w:pStyle w:val="Normal"/>
      </w:pPr>
      <w:r>
        <w:rPr>
          <w:b w:val="false"/>
          <w:i w:val="false"/>
        </w:rPr>
        <w:t>65-B-1. Project-Specific Reciprocity.</w:t>
      </w:r>
    </w:p>
    <w:p>
      <w:pPr>
        <w:pStyle w:val="Normal"/>
      </w:pPr>
      <w:r>
        <w:rPr>
          <w:b w:val="false"/>
          <w:i w:val="false"/>
        </w:rPr>
        <w:t>65-B-2. Affirmative Project Designation.</w:t>
      </w:r>
    </w:p>
    <w:p>
      <w:pPr>
        <w:pStyle w:val="Normal"/>
      </w:pPr>
      <w:r>
        <w:rPr>
          <w:b w:val="false"/>
          <w:i w:val="false"/>
        </w:rPr>
        <w:t>65-B-3. Procurement Opportunity Certificate.</w:t>
      </w:r>
    </w:p>
    <w:p>
      <w:pPr>
        <w:pStyle w:val="Normal"/>
      </w:pPr>
      <w:r>
        <w:rPr>
          <w:b w:val="false"/>
          <w:i w:val="false"/>
        </w:rPr>
        <w:t>65-B-4. Defined Opportunity Ceiling and Sunset.</w:t>
      </w:r>
    </w:p>
    <w:p>
      <w:pPr>
        <w:pStyle w:val="Normal"/>
      </w:pPr>
      <w:r>
        <w:rPr>
          <w:b w:val="false"/>
          <w:i w:val="false"/>
        </w:rPr>
        <w:t>65-B-5. Reciprocal Portfolio Equivalence.</w:t>
      </w:r>
    </w:p>
    <w:p>
      <w:pPr>
        <w:pStyle w:val="Normal"/>
      </w:pPr>
      <w:r>
        <w:rPr>
          <w:b w:val="false"/>
          <w:i w:val="false"/>
        </w:rPr>
        <w:t>65-B-6. Effective Procurement Access Test.</w:t>
      </w:r>
    </w:p>
    <w:p>
      <w:pPr>
        <w:pStyle w:val="Normal"/>
      </w:pPr>
      <w:r>
        <w:rPr>
          <w:b w:val="false"/>
          <w:i w:val="false"/>
        </w:rPr>
        <w:t>65-B-7. No Guaranteed Award / Competitive Procurement Rule.</w:t>
      </w:r>
    </w:p>
    <w:p>
      <w:pPr>
        <w:pStyle w:val="Normal"/>
      </w:pPr>
      <w:r>
        <w:rPr>
          <w:b w:val="false"/>
          <w:i w:val="false"/>
        </w:rPr>
        <w:t>65-B-8. No Blanket Buy American Waiver.</w:t>
      </w:r>
    </w:p>
    <w:p>
      <w:pPr>
        <w:pStyle w:val="Normal"/>
      </w:pPr>
      <w:r>
        <w:rPr>
          <w:b w:val="false"/>
          <w:i w:val="false"/>
        </w:rPr>
        <w:t>65-B-9. Reciprocal North American Prequalification and Content Lane.</w:t>
      </w:r>
    </w:p>
    <w:p>
      <w:pPr>
        <w:pStyle w:val="Normal"/>
      </w:pPr>
      <w:r>
        <w:rPr>
          <w:b w:val="false"/>
          <w:i w:val="false"/>
        </w:rPr>
        <w:t>65-B-10. Subnational and Community Participation Framework.</w:t>
      </w:r>
    </w:p>
    <w:p>
      <w:pPr>
        <w:pStyle w:val="Normal"/>
      </w:pPr>
      <w:r>
        <w:rPr>
          <w:b w:val="false"/>
          <w:i w:val="false"/>
        </w:rPr>
        <w:t>65-B-11. Procurement Opportunity Registry.</w:t>
      </w:r>
    </w:p>
    <w:p>
      <w:pPr>
        <w:pStyle w:val="Normal"/>
      </w:pPr>
      <w:r>
        <w:rPr>
          <w:b w:val="false"/>
          <w:i w:val="false"/>
        </w:rPr>
        <w:t>65-B-12. Chapter 64 Commercial Wins and Trophy Dashboard Integration.</w:t>
      </w:r>
    </w:p>
    <w:p>
      <w:pPr>
        <w:pStyle w:val="Heading2"/>
      </w:pPr>
      <w:bookmarkStart w:id="902086" w:name="_Toc300002085"/>
      <w:r>
        <w:rPr>
          <w:b/>
          <w:i w:val="false"/>
        </w:rPr>
        <w:t>ANNEX 65-C: PROCUREMENT OPPORTUNITY CERTIFICATE MINIMUM FIELDS</w:t>
      </w:r>
      <w:bookmarkEnd w:id="902086"/>
    </w:p>
    <w:p>
      <w:pPr>
        <w:pStyle w:val="Normal"/>
      </w:pPr>
      <w:r>
        <w:rPr>
          <w:b w:val="false"/>
          <w:i w:val="false"/>
        </w:rPr>
        <w:t>Certificate and Ledger ID</w:t>
      </w:r>
    </w:p>
    <w:p>
      <w:pPr>
        <w:pStyle w:val="Normal"/>
      </w:pPr>
      <w:r>
        <w:rPr>
          <w:b w:val="false"/>
          <w:i w:val="false"/>
        </w:rPr>
        <w:t>Project or program name</w:t>
      </w:r>
    </w:p>
    <w:p>
      <w:pPr>
        <w:pStyle w:val="Normal"/>
      </w:pPr>
      <w:r>
        <w:rPr>
          <w:b w:val="false"/>
          <w:i w:val="false"/>
        </w:rPr>
        <w:t>Competent jurisdiction and procurement authority</w:t>
      </w:r>
    </w:p>
    <w:p>
      <w:pPr>
        <w:pStyle w:val="Normal"/>
      </w:pPr>
      <w:r>
        <w:rPr>
          <w:b w:val="false"/>
          <w:i w:val="false"/>
        </w:rPr>
        <w:t>Project status and procurement status</w:t>
      </w:r>
    </w:p>
    <w:p>
      <w:pPr>
        <w:pStyle w:val="Normal"/>
      </w:pPr>
      <w:r>
        <w:rPr>
          <w:b w:val="false"/>
          <w:i w:val="false"/>
        </w:rPr>
        <w:t>Covered opportunity and exclusions</w:t>
      </w:r>
    </w:p>
    <w:p>
      <w:pPr>
        <w:pStyle w:val="Normal"/>
      </w:pPr>
      <w:r>
        <w:rPr>
          <w:b w:val="false"/>
          <w:i w:val="false"/>
        </w:rPr>
        <w:t>Total project value, if relevant and verified</w:t>
      </w:r>
    </w:p>
    <w:p>
      <w:pPr>
        <w:pStyle w:val="Normal"/>
      </w:pPr>
      <w:r>
        <w:rPr>
          <w:b w:val="false"/>
          <w:i w:val="false"/>
        </w:rPr>
        <w:t>Remaining potentially eligible procurement</w:t>
      </w:r>
    </w:p>
    <w:p>
      <w:pPr>
        <w:pStyle w:val="Normal"/>
      </w:pPr>
      <w:r>
        <w:rPr>
          <w:b w:val="false"/>
          <w:i w:val="false"/>
        </w:rPr>
        <w:t>Designated reciprocal opportunity value or ceiling</w:t>
      </w:r>
    </w:p>
    <w:p>
      <w:pPr>
        <w:pStyle w:val="Normal"/>
      </w:pPr>
      <w:r>
        <w:rPr>
          <w:b w:val="false"/>
          <w:i w:val="false"/>
        </w:rPr>
        <w:t>Reciprocal portfolio and participating Parties</w:t>
      </w:r>
    </w:p>
    <w:p>
      <w:pPr>
        <w:pStyle w:val="Normal"/>
      </w:pPr>
      <w:r>
        <w:rPr>
          <w:b w:val="false"/>
          <w:i w:val="false"/>
        </w:rPr>
        <w:t>Applicable origin, content, prequalification and qualification treatment</w:t>
      </w:r>
    </w:p>
    <w:p>
      <w:pPr>
        <w:pStyle w:val="Normal"/>
      </w:pPr>
      <w:r>
        <w:rPr>
          <w:b w:val="false"/>
          <w:i w:val="false"/>
        </w:rPr>
        <w:t>Rights, environmental, labour, safety, privacy, security and regulatory conditions</w:t>
      </w:r>
    </w:p>
    <w:p>
      <w:pPr>
        <w:pStyle w:val="Normal"/>
      </w:pPr>
      <w:r>
        <w:rPr>
          <w:b w:val="false"/>
          <w:i w:val="false"/>
        </w:rPr>
        <w:t>Opening date, expiry or project-completion condition</w:t>
      </w:r>
    </w:p>
    <w:p>
      <w:pPr>
        <w:pStyle w:val="Normal"/>
      </w:pPr>
      <w:r>
        <w:rPr>
          <w:b w:val="false"/>
          <w:i w:val="false"/>
        </w:rPr>
        <w:t>Verification grade, source and verification date</w:t>
      </w:r>
    </w:p>
    <w:p>
      <w:pPr>
        <w:pStyle w:val="Normal"/>
      </w:pPr>
      <w:r>
        <w:rPr>
          <w:b w:val="false"/>
          <w:i w:val="false"/>
        </w:rPr>
        <w:t>Revision, substitution and closure history</w:t>
      </w:r>
    </w:p>
    <w:p>
      <w:pPr>
        <w:pStyle w:val="Heading1"/>
      </w:pPr>
      <w:bookmarkStart w:id="902087" w:name="_Toc300002086"/>
      <w:r>
        <w:rPr>
          <w:i w:val="false"/>
        </w:rPr>
        <w:t>CHAPTER 66: NORTH AMERICAN SHIELD, FENTANYL, PRECURSOR AND BORDER SECURITY COMPACT</w:t>
      </w:r>
      <w:bookmarkEnd w:id="902087"/>
    </w:p>
    <w:p>
      <w:pPr>
        <w:pStyle w:val="Normal"/>
      </w:pPr>
      <w:r>
        <w:rPr>
          <w:b/>
          <w:i w:val="false"/>
        </w:rPr>
        <w:t xml:space="preserve">★ </w:t>
      </w:r>
      <w:r>
        <w:rPr>
          <w:b/>
          <w:i w:val="false"/>
        </w:rPr>
        <w:t>VISIBLE U.S. SECURITY WIN: MORE DRUGS STOPPED, MORE SCANNERS OPERATING, STRONGER PRECURSOR INTERDICTION, AND FASTER ACTION AGAINST CROSS-BORDER ORGANIZED CRIME</w:t>
      </w:r>
    </w:p>
    <w:p>
      <w:pPr>
        <w:pStyle w:val="Normal"/>
      </w:pPr>
      <w:r>
        <w:rPr>
          <w:b/>
          <w:i w:val="false"/>
        </w:rPr>
        <w:t xml:space="preserve">★ </w:t>
      </w:r>
      <w:r>
        <w:rPr>
          <w:b/>
          <w:i w:val="false"/>
        </w:rPr>
        <w:t>VISIBLE CANADIAN AND MEXICAN SECURITY WIN: STRONGER ACTION AGAINST ILLEGAL FIREARMS, ILLICIT FINANCE, STOLEN-VEHICLE EXPORTS, AND OTHER RECIPROCAL CRIMINAL FLOWS</w:t>
      </w:r>
    </w:p>
    <w:p>
      <w:pPr>
        <w:pStyle w:val="Normal"/>
      </w:pPr>
      <w:r>
        <w:rPr>
          <w:b/>
          <w:i w:val="false"/>
        </w:rPr>
        <w:t xml:space="preserve">★ </w:t>
      </w:r>
      <w:r>
        <w:rPr>
          <w:b/>
          <w:i w:val="false"/>
        </w:rPr>
        <w:t>VISIBLE TRILATERAL WIN: MORE SECURITY, FASTER LEGITIMATE TRADE, AND NO TRANSFER OF NATIONAL BORDER COMMAND</w:t>
      </w:r>
    </w:p>
    <w:p>
      <w:pPr>
        <w:pStyle w:val="Heading2"/>
      </w:pPr>
      <w:bookmarkStart w:id="902088" w:name="_Toc300002087"/>
      <w:r>
        <w:rPr>
          <w:i w:val="false"/>
        </w:rPr>
        <w:t>Article 66.1: Purpose and Security Bargain</w:t>
      </w:r>
      <w:bookmarkEnd w:id="902088"/>
    </w:p>
    <w:p>
      <w:pPr>
        <w:pStyle w:val="Normal"/>
      </w:pPr>
      <w:r>
        <w:rPr>
          <w:b w:val="false"/>
          <w:i w:val="false"/>
        </w:rPr>
        <w:t>1. The Parties establish the North American Shield Compact to strengthen lawful action against illicit fentanyl, synthetic drugs, precursor chemicals, illicit drug-manufacturing equipment, organized crime, illicit firearms trafficking, money laundering, and related cross-border criminal logistics while facilitating legitimate trade.</w:t>
      </w:r>
    </w:p>
    <w:p>
      <w:pPr>
        <w:pStyle w:val="Normal"/>
      </w:pPr>
      <w:r>
        <w:rPr>
          <w:b w:val="false"/>
          <w:i w:val="false"/>
        </w:rPr>
        <w:t>2. The Compact converts generalized border-security concerns into defined, verifiable and reciprocal commitments. It does not create a supranational police, customs, immigration, intelligence or regulatory authority.</w:t>
      </w:r>
    </w:p>
    <w:p>
      <w:pPr>
        <w:pStyle w:val="Heading2"/>
      </w:pPr>
      <w:bookmarkStart w:id="902089" w:name="_Toc300002088"/>
      <w:r>
        <w:rPr>
          <w:i w:val="false"/>
        </w:rPr>
        <w:t>Article 66.2: Governing Principle, Cooperate Continentally, Enforce Nationally</w:t>
      </w:r>
      <w:bookmarkEnd w:id="902089"/>
    </w:p>
    <w:p>
      <w:pPr>
        <w:pStyle w:val="Normal"/>
      </w:pPr>
      <w:r>
        <w:rPr>
          <w:b w:val="false"/>
          <w:i w:val="false"/>
        </w:rPr>
        <w:t>Each Party retains exclusive command and operational control over its officers, facilities, databases, targeting decisions, investigative decisions and enforcement actions. Cooperation may be deep, rapid and technically interoperable; coercive governmental authority remains national unless a Party's domestic law and an applicable agreement expressly provide otherwise.</w:t>
      </w:r>
    </w:p>
    <w:p>
      <w:pPr>
        <w:pStyle w:val="Heading2"/>
      </w:pPr>
      <w:bookmarkStart w:id="902090" w:name="_Toc300002089"/>
      <w:r>
        <w:rPr>
          <w:i w:val="false"/>
        </w:rPr>
        <w:t>Article 66.3: No Foreign Enforcement Power</w:t>
      </w:r>
      <w:bookmarkEnd w:id="902090"/>
    </w:p>
    <w:p>
      <w:pPr>
        <w:pStyle w:val="Normal"/>
      </w:pPr>
      <w:r>
        <w:rPr>
          <w:b w:val="false"/>
          <w:i w:val="false"/>
        </w:rPr>
        <w:t>Nothing in this Chapter authorizes an officer, agency or government of one Party to exercise police, customs, immigration, intelligence, search, seizure, detention, arrest, investigative or regulatory authority within the territory of another Party except where expressly authorized under that Party's domestic law and an applicable agreement.</w:t>
      </w:r>
    </w:p>
    <w:p>
      <w:pPr>
        <w:pStyle w:val="Heading2"/>
      </w:pPr>
      <w:bookmarkStart w:id="902091" w:name="_Toc300002090"/>
      <w:r>
        <w:rPr>
          <w:i w:val="false"/>
        </w:rPr>
        <w:t>Article 66.4: Shield Reciprocity Doctrine</w:t>
      </w:r>
      <w:bookmarkEnd w:id="902091"/>
    </w:p>
    <w:p>
      <w:pPr>
        <w:pStyle w:val="Normal"/>
      </w:pPr>
      <w:r>
        <w:rPr>
          <w:b w:val="false"/>
          <w:i w:val="false"/>
        </w:rPr>
        <w:t>A Party requesting enhanced cooperation against a serious illicit flow affecting its territory provides meaningful reciprocal cooperation against serious illicit flows affecting the other Parties where those flows originate from, transit through, are financed through, or materially exploit its territory, institutions or commercial channels. Reciprocity is assessed by reference to the seriousness of the flow, the requesting Party's demonstrated need, the responding Party's lawful capability, and the practical value of the cooperation available in the circumstances. A Party that cannot provide a requested form of cooperation identifies the legal, operational or evidentiary constraint and, where practicable, offers a lawful functionally equivalent form of assistance. A disagreement concerning material reciprocity is documented and addressed through the consultation and verification procedures of this Chapter without creating foreign command authority or an independent basis for trade retaliation.</w:t>
      </w:r>
    </w:p>
    <w:p>
      <w:pPr>
        <w:pStyle w:val="Heading2"/>
      </w:pPr>
      <w:bookmarkStart w:id="902092" w:name="_Toc300002091"/>
      <w:r>
        <w:rPr>
          <w:i w:val="false"/>
        </w:rPr>
        <w:t>Article 66.5: Covered Illicit Flows</w:t>
      </w:r>
      <w:bookmarkEnd w:id="902092"/>
    </w:p>
    <w:p>
      <w:pPr>
        <w:pStyle w:val="Normal"/>
      </w:pPr>
      <w:r>
        <w:rPr>
          <w:b w:val="false"/>
          <w:i w:val="false"/>
        </w:rPr>
        <w:t>Covered flows include illicit synthetic drugs and precursors, illicit drug-manufacturing equipment, illegal firearms and ammunition trafficking, criminal proceeds and money laundering, stolen vehicles and criminal logistics, and other serious organized-crime flows designated by consensus. Domestic lawful possession, migration, protest, journalism, legal representation and ordinary commerce are not converted into covered illicit flows by this Chapter.</w:t>
      </w:r>
    </w:p>
    <w:p>
      <w:pPr>
        <w:pStyle w:val="Heading2"/>
      </w:pPr>
      <w:bookmarkStart w:id="902093" w:name="_Toc300002092"/>
      <w:r>
        <w:rPr>
          <w:i w:val="false"/>
        </w:rPr>
        <w:t>Article 66.6: Secure-and-Accelerate Principle</w:t>
      </w:r>
      <w:bookmarkEnd w:id="902093"/>
    </w:p>
    <w:p>
      <w:pPr>
        <w:pStyle w:val="Normal"/>
      </w:pPr>
      <w:r>
        <w:rPr>
          <w:b w:val="false"/>
          <w:i w:val="false"/>
        </w:rPr>
        <w:t>Security measures concentrate resources on higher-risk traffic and, where practicable, reduce unnecessary redundant processing of legitimate low-risk trade. The Parties measure security effectiveness and legitimate-trade fluidity through distinct indicators so that an increase in inspection activity does not, by itself, establish improved security performance. Competent authorities periodically review whether a measure continues to correspond to demonstrated risk and whether a less burdensome measure can achieve materially equivalent security results. Where verified risk declines or a measure produces persistent unnecessary disruption to legitimate trade, the responsible authority adjusts targeting, sequencing or processing consistent with domestic law and the security objective.</w:t>
      </w:r>
    </w:p>
    <w:p>
      <w:pPr>
        <w:pStyle w:val="Heading2"/>
      </w:pPr>
      <w:bookmarkStart w:id="902094" w:name="_Toc300002093"/>
      <w:r>
        <w:rPr>
          <w:i w:val="false"/>
        </w:rPr>
        <w:t>Article 66.7: Detection and Non-Intrusive Inspection Capability</w:t>
      </w:r>
      <w:bookmarkEnd w:id="902094"/>
    </w:p>
    <w:p>
      <w:pPr>
        <w:pStyle w:val="Normal"/>
      </w:pPr>
      <w:r>
        <w:rPr>
          <w:b w:val="false"/>
          <w:i w:val="false"/>
        </w:rPr>
        <w:t>The Parties maintain risk-appropriate non-intrusive inspection, trace-detection, chemical-identification and supporting forensic capability at designated land, rail, marine, air, postal and express-consignment environments. Implementation schedules identify the covered sites or operating environments, the required capability or functional equivalent, the responsible authority, and the applicable deployment or readiness milestone. A capability counts as maintained only while it is reasonably available for its assigned function, supported by trained personnel and necessary maintenance, calibration or technical support. Quantities, sites and deployment dates may be updated through the applicable implementation process where the resulting configuration preserves or improves the agreed security function and does not disguise a material reduction in capability.</w:t>
      </w:r>
    </w:p>
    <w:p>
      <w:pPr>
        <w:pStyle w:val="Heading2"/>
      </w:pPr>
      <w:bookmarkStart w:id="902095" w:name="_Toc300002094"/>
      <w:r>
        <w:rPr>
          <w:i w:val="false"/>
        </w:rPr>
        <w:t>Article 66.8: Operational Availability and Maintenance</w:t>
      </w:r>
      <w:bookmarkEnd w:id="902095"/>
    </w:p>
    <w:p>
      <w:pPr>
        <w:pStyle w:val="Normal"/>
      </w:pPr>
      <w:r>
        <w:rPr>
          <w:b w:val="false"/>
          <w:i w:val="false"/>
        </w:rPr>
        <w:t>A deployed security asset does not count as implemented merely because it was purchased, delivered or installed. Implementation reporting distinguishes installed, operational, available, used, maintained and out-of-service capability and includes an appropriate uptime, availability or functional-readiness measure for the asset class. A competent authority records material outages, planned maintenance and prolonged loss of capability and identifies the temporary measure used to manage the resulting operational gap where one is reasonably necessary. Restoration reporting confirms return to service or adoption of a functionally equivalent replacement so that paper compliance does not substitute for sustained operational capability.</w:t>
      </w:r>
    </w:p>
    <w:p>
      <w:pPr>
        <w:pStyle w:val="Heading2"/>
      </w:pPr>
      <w:bookmarkStart w:id="902096" w:name="_Toc300002095"/>
      <w:r>
        <w:rPr>
          <w:i w:val="false"/>
        </w:rPr>
        <w:t>Article 66.9: Cargo Targeting and Risk Intelligence</w:t>
      </w:r>
      <w:bookmarkEnd w:id="902096"/>
    </w:p>
    <w:p>
      <w:pPr>
        <w:pStyle w:val="Normal"/>
      </w:pPr>
      <w:r>
        <w:rPr>
          <w:b w:val="false"/>
          <w:i w:val="false"/>
        </w:rPr>
        <w:t>The Parties strengthen advance targeting, structured risk alerts, high-risk shipment identification, transshipment analysis, concealment-method intelligence and trusted-trade coordination without requiring merger of national targeting centers or indiscriminate replication of underlying databases. Each competent authority maintains a documented process for validating material risk indicators, reviewing their continuing relevance and correcting indicators shown to be materially inaccurate or overbroad. Targeting systems distinguish intelligence or analytical leads from final enforcement determinations and preserve competent human responsibility for materially adverse governmental action. Where recurring false positives or unnecessary disruption become evident, the responsible authority reviews the affected indicator, rule or workflow and records an appropriate correction, limitation or reasoned decision to retain it.</w:t>
      </w:r>
    </w:p>
    <w:p>
      <w:pPr>
        <w:pStyle w:val="Heading2"/>
      </w:pPr>
      <w:bookmarkStart w:id="902097" w:name="_Toc300002096"/>
      <w:r>
        <w:rPr>
          <w:i w:val="false"/>
        </w:rPr>
        <w:t>Article 66.10: Algorithmic Targeting Integrity</w:t>
      </w:r>
      <w:bookmarkEnd w:id="902097"/>
    </w:p>
    <w:p>
      <w:pPr>
        <w:pStyle w:val="Normal"/>
      </w:pPr>
      <w:r>
        <w:rPr>
          <w:b w:val="false"/>
          <w:i w:val="false"/>
        </w:rPr>
        <w:t>Where automated or machine-assisted targeting is used, competent authorities shall maintain human accountability, test for material false-positive or discriminatory effects, document relevant performance, and provide independent or appropriately separated review consistent with domestic law. Model or performance exchange is preferred to unnecessary raw-personal-data pooling.</w:t>
      </w:r>
    </w:p>
    <w:p>
      <w:pPr>
        <w:pStyle w:val="Heading2"/>
      </w:pPr>
      <w:bookmarkStart w:id="902098" w:name="_Toc300002097"/>
      <w:r>
        <w:rPr>
          <w:i w:val="false"/>
        </w:rPr>
        <w:t>Article 66.11: Precursor Risk and Rapid Response</w:t>
      </w:r>
      <w:bookmarkEnd w:id="902098"/>
    </w:p>
    <w:p>
      <w:pPr>
        <w:pStyle w:val="Normal"/>
      </w:pPr>
      <w:r>
        <w:rPr>
          <w:b w:val="false"/>
          <w:i w:val="false"/>
        </w:rPr>
        <w:t>The Parties maintain a shared analytical process for identifying emerging precursor chemicals and illicit manufacturing inputs. The process records the substance or input at issue, the scientific or operational evidence supporting concern, material uncertainty, and the authorities or sectors for which timely awareness is relevant. Where the evidence indicates a significant emerging risk, the responsible contact circulates a structured alert and the Parties identify any national assessment, licensing, monitoring, scheduling or enforcement action they elect to consider under domestic law. Scientific risk identification may be common, but legal scheduling, licensing, prohibition, seizure and penalty decisions remain subject to each Party's domestic law and no shared alert creates automatic national legal effect.</w:t>
      </w:r>
    </w:p>
    <w:p>
      <w:pPr>
        <w:pStyle w:val="Heading2"/>
      </w:pPr>
      <w:bookmarkStart w:id="902099" w:name="_Toc300002098"/>
      <w:r>
        <w:rPr>
          <w:i w:val="false"/>
        </w:rPr>
        <w:t>Article 66.12: Suspicious Orders, End Users and Manufacturing Equipment</w:t>
      </w:r>
      <w:bookmarkEnd w:id="902099"/>
    </w:p>
    <w:p>
      <w:pPr>
        <w:pStyle w:val="Normal"/>
      </w:pPr>
      <w:r>
        <w:rPr>
          <w:b w:val="false"/>
          <w:i w:val="false"/>
        </w:rPr>
        <w:t>Each Party maintains proportionate measures addressing suspicious precursor transactions, diversion risks, end-user verification where appropriate, and illicit diversion of pill presses, dies and other designated manufacturing equipment, with safeguards for legitimate industrial, medical, scientific and educational uses. Applicable systems provide a lawful means to identify materially suspicious orders or end-user anomalies, escalate them for competent review, and preserve sufficient records to support a reasoned decision. A person or enterprise acting in good faith under an applicable due-diligence, reporting or licensing process is not treated as non-compliant solely because a transaction later proves connected to illicit diversion absent evidence of material misrepresentation, knowing participation or failure to satisfy an applicable legal duty. Measures under this Article remain risk-based and are periodically reviewed to prevent generalized restrictions on legitimate commerce from substituting for targeted diversion control.</w:t>
      </w:r>
    </w:p>
    <w:p>
      <w:pPr>
        <w:pStyle w:val="Heading2"/>
      </w:pPr>
      <w:bookmarkStart w:id="902100" w:name="_Toc300002099"/>
      <w:r>
        <w:rPr>
          <w:i w:val="false"/>
        </w:rPr>
        <w:t>Article 66.13: Drug Profiling and Forensic Network</w:t>
      </w:r>
      <w:bookmarkEnd w:id="902100"/>
    </w:p>
    <w:p>
      <w:pPr>
        <w:pStyle w:val="Normal"/>
      </w:pPr>
      <w:r>
        <w:rPr>
          <w:b w:val="false"/>
          <w:i w:val="false"/>
        </w:rPr>
        <w:t>The Parties strengthen rapid chemical analysis, drug profiling, adulterant identification, forensic proficiency and exchange of non-personal chemical signatures. Participating laboratories or competent authorities maintain appropriate quality-assurance, proficiency, chain-of-custody and method-documentation practices for information relied upon in cross-border cooperation. Shared forensic information identifies material limitations or uncertainty where those limitations could affect interpretation, and a material correction is communicated through the same channel used for the original information where practicable. Personal or case-specific information accompanying a sample remains governed by the information-sharing rules of this Chapter and does not become freely reusable merely because the chemical signature itself is non-personal.</w:t>
      </w:r>
    </w:p>
    <w:p>
      <w:pPr>
        <w:pStyle w:val="Heading2"/>
      </w:pPr>
      <w:bookmarkStart w:id="902101" w:name="_Toc300002100"/>
      <w:r>
        <w:rPr>
          <w:i w:val="false"/>
        </w:rPr>
        <w:t>Article 66.14: Ports of Entry and Coordinated Inspection</w:t>
      </w:r>
      <w:bookmarkEnd w:id="902101"/>
    </w:p>
    <w:p>
      <w:pPr>
        <w:pStyle w:val="Normal"/>
      </w:pPr>
      <w:r>
        <w:rPr>
          <w:b w:val="false"/>
          <w:i w:val="false"/>
        </w:rPr>
        <w:t>Competent authorities may establish co-location, liaison, coordinated targeting and inspection-sequencing arrangements where lawful. An arrangement identifies the participating authorities, operational purpose, information or inspection function involved, and the limits on recognition of another Party's work. Successful prior inspection or trusted-trade treatment may reduce unnecessary duplicate processing where the receiving authority determines that the prior process provides sufficient assurance for the relevant risk. No arrangement creates automatic recognition of another Party's enforcement decision, transfers command authority, or prevents a competent national authority from conducting an additional inspection supported by law and risk.</w:t>
      </w:r>
    </w:p>
    <w:p>
      <w:pPr>
        <w:pStyle w:val="Heading2"/>
      </w:pPr>
      <w:bookmarkStart w:id="902102" w:name="_Toc300002101"/>
      <w:r>
        <w:rPr>
          <w:i w:val="false"/>
        </w:rPr>
        <w:t>Article 66.15: Rail, Maritime and Aviation Security</w:t>
      </w:r>
      <w:bookmarkEnd w:id="902102"/>
    </w:p>
    <w:p>
      <w:pPr>
        <w:pStyle w:val="Normal"/>
      </w:pPr>
      <w:r>
        <w:rPr>
          <w:b w:val="false"/>
          <w:i w:val="false"/>
        </w:rPr>
        <w:t>The Parties cooperate on rail-seal integrity, container and reefer tampering, maritime domain awareness, high-risk vessel and air-cargo targeting, general-aviation anomalies and multimodal custody events. A competent authority that identifies a material cross-border security anomaly communicates an actionable alert through an agreed channel where timely notice can reasonably assist another Party. Operational records distinguish the observed event, the alert or intelligence supplied, the national authority responsible for any enforcement decision, and the disposition of the matter where disclosure is lawful. The governing operational rule is to observe cooperatively, alert rapidly and enforce nationally, without creating foreign command authority or automatic acceptance of another Party's risk determination.</w:t>
      </w:r>
    </w:p>
    <w:p>
      <w:pPr>
        <w:pStyle w:val="Heading2"/>
      </w:pPr>
      <w:bookmarkStart w:id="902103" w:name="_Toc300002102"/>
      <w:r>
        <w:rPr>
          <w:i w:val="false"/>
        </w:rPr>
        <w:t>Article 66.16: Postal, Courier and Small-Parcel Security</w:t>
      </w:r>
      <w:bookmarkEnd w:id="902103"/>
    </w:p>
    <w:p>
      <w:pPr>
        <w:pStyle w:val="Normal"/>
      </w:pPr>
      <w:r>
        <w:rPr>
          <w:b w:val="false"/>
          <w:i w:val="false"/>
        </w:rPr>
        <w:t>The Parties strengthen advance electronic information, small-parcel analytics, trace detection, reshipper-network identification, controlled-delivery cooperation and insider-threat controls. Competent authorities and participating operators maintain proportionate data-quality and correction processes for information materially relied upon in parcel targeting, including a means to distinguish incomplete or inconsistent shipment data from verified illicit conduct. Recurring false positives, material operator-data failures or targeting rules that create disproportionate disruption trigger appropriate review and correction without requiring disclosure of sensitive targeting logic. Shipment-risk analysis does not establish generalized profiling of lawful consumer purchasing behavior, and private operators are not required by this Chapter to conduct governmental enforcement functions beyond applicable law and agreed cooperation.</w:t>
      </w:r>
    </w:p>
    <w:p>
      <w:pPr>
        <w:pStyle w:val="Heading2"/>
      </w:pPr>
      <w:bookmarkStart w:id="902104" w:name="_Toc300002103"/>
      <w:r>
        <w:rPr>
          <w:i w:val="false"/>
        </w:rPr>
        <w:t>Article 66.17: Organized-Crime Cooperation</w:t>
      </w:r>
      <w:bookmarkEnd w:id="902104"/>
    </w:p>
    <w:p>
      <w:pPr>
        <w:pStyle w:val="Normal"/>
      </w:pPr>
      <w:r>
        <w:rPr>
          <w:b w:val="false"/>
          <w:i w:val="false"/>
        </w:rPr>
        <w:t>The Parties use nationally commanded, case-specific cooperation including lead-country designation, liaison, operational deconfliction, lawful undercover coordination, mutual legal assistance, extradition cooperation, witness protection and simultaneous national enforcement where appropriate. For a significant joint matter, participating authorities identify the national lead or leads, the lawful cooperation channel, operational boundaries, and any material deconfliction requirement needed to protect personnel, evidence or parallel proceedings. A handoff or change in lead responsibility is recorded through the applicable case channel, and closure of the cooperative phase does not transfer unresolved national legal obligations to another Party. No standing North American strike force possesses independent jurisdiction, and no cooperative designation authorizes an officer to exercise powers unavailable under the law governing that officer's conduct.</w:t>
      </w:r>
    </w:p>
    <w:p>
      <w:pPr>
        <w:pStyle w:val="Heading2"/>
      </w:pPr>
      <w:bookmarkStart w:id="902105" w:name="_Toc300002104"/>
      <w:r>
        <w:rPr>
          <w:i w:val="false"/>
        </w:rPr>
        <w:t>Article 66.18: Illegal Firearms Trafficking</w:t>
      </w:r>
      <w:bookmarkEnd w:id="902105"/>
    </w:p>
    <w:p>
      <w:pPr>
        <w:pStyle w:val="Normal"/>
      </w:pPr>
      <w:r>
        <w:rPr>
          <w:b w:val="false"/>
          <w:i w:val="false"/>
        </w:rPr>
        <w:t>The Parties strengthen tracing, ballistic and technical linkage, trafficking-network investigations, unlawful export and diversion interdiction, straw-purchase investigations where applicable, prosecution coordination and information exchange concerning illegal cross-border firearms flows. A cross-border trace or technical request identifies the available item, transaction or evidentiary reference needed for a competent authority to conduct a lawful search and, where practicable, receives a timely response or notice that additional information is required. Material corrections to trace, ballistic or technical information are communicated to known recipients where the error could affect an investigation, prosecution or other materially adverse decision. Nothing in this Article harmonizes domestic lawful possession rules, creates a continental firearms registry, or authorizes enforcement outside the receiving authority's domestic law.</w:t>
      </w:r>
    </w:p>
    <w:p>
      <w:pPr>
        <w:pStyle w:val="Heading2"/>
      </w:pPr>
      <w:bookmarkStart w:id="902106" w:name="_Toc300002105"/>
      <w:r>
        <w:rPr>
          <w:i w:val="false"/>
        </w:rPr>
        <w:t>Article 66.19: Illicit Finance and Asset Disruption</w:t>
      </w:r>
      <w:bookmarkEnd w:id="902106"/>
    </w:p>
    <w:p>
      <w:pPr>
        <w:pStyle w:val="Normal"/>
      </w:pPr>
      <w:r>
        <w:rPr>
          <w:b w:val="false"/>
          <w:i w:val="false"/>
        </w:rPr>
        <w:t>Competent financial-intelligence, law-enforcement and prosecutorial authorities cooperate against trade-based money laundering, criminal beneficial ownership, virtual-asset laundering, payment-processor abuse, money-service abuse and recoverable criminal assets through lawful national channels. A request for cross-border assistance identifies the lawful purpose and the transaction, entity, asset, typology or evidentiary issue with sufficient specificity for the receiving authority to determine the assistance it may lawfully provide. Participating authorities preserve applicable evidentiary, confidentiality, correction and disposition requirements, including domestic rules governing restraint, forfeiture, return or sharing of assets. This Chapter does not establish a generalized real-time continental transaction feed or permit financial intelligence supplied for a defined purpose to be repurposed without an independent lawful basis.</w:t>
      </w:r>
    </w:p>
    <w:p>
      <w:pPr>
        <w:pStyle w:val="Heading2"/>
      </w:pPr>
      <w:bookmarkStart w:id="902107" w:name="_Toc300002106"/>
      <w:r>
        <w:rPr>
          <w:i w:val="false"/>
        </w:rPr>
        <w:t>Article 66.20: No Enforcement Bounty</w:t>
      </w:r>
      <w:bookmarkEnd w:id="902107"/>
    </w:p>
    <w:p>
      <w:pPr>
        <w:pStyle w:val="Normal"/>
      </w:pPr>
      <w:r>
        <w:rPr>
          <w:b w:val="false"/>
          <w:i w:val="false"/>
        </w:rPr>
        <w:t>Asset forfeiture and seizure cooperation is structured to avoid direct institutional incentives that reward quantity over evidentiary quality, due process or lawful disposition. A participating authority maintains applicable conflict-of-interest, accounting and disposition controls sufficient to distinguish operational cooperation from a financial incentive to seize. Where asset sharing is permitted, the legal basis and disposition remain subject to domestic law and applicable agreements and do not determine whether the underlying seizure was lawful. Performance reporting under this Chapter does not treat gross asset value or seizure count as a standalone measure of compliance or enforcement quality.</w:t>
      </w:r>
    </w:p>
    <w:p>
      <w:pPr>
        <w:pStyle w:val="Heading2"/>
      </w:pPr>
      <w:bookmarkStart w:id="902108" w:name="_Toc300002107"/>
      <w:r>
        <w:rPr>
          <w:i w:val="false"/>
        </w:rPr>
        <w:t>Article 66.21: Cyber and Darknet Trafficking</w:t>
      </w:r>
      <w:bookmarkEnd w:id="902108"/>
    </w:p>
    <w:p>
      <w:pPr>
        <w:pStyle w:val="Normal"/>
      </w:pPr>
      <w:r>
        <w:rPr>
          <w:b w:val="false"/>
          <w:i w:val="false"/>
        </w:rPr>
        <w:t>The Parties cooperate against darknet synthetic-drug markets, illicit online precursor and equipment sales, criminal virtual-asset infrastructure, malicious hosting and domains, and cross-border digital-evidence loss through lawful investigative channels and rapid points of contact. A preservation or assistance request identifies the lawful investigative purpose, the data or service sought with reasonable specificity, and any material urgency known to the requesting authority. Participating authorities use appropriate methods to preserve evidentiary integrity and document jurisdictional handoff where evidence or infrastructure falls under another Party's lawful control. Cooperation closes or narrows when the identified purpose is satisfied, the lawful basis expires, or competent authority determines that continued preservation or access is no longer justified.</w:t>
      </w:r>
    </w:p>
    <w:p>
      <w:pPr>
        <w:pStyle w:val="Heading2"/>
      </w:pPr>
      <w:bookmarkStart w:id="902109" w:name="_Toc300002108"/>
      <w:r>
        <w:rPr>
          <w:i w:val="false"/>
        </w:rPr>
        <w:t>Article 66.22: No Encryption Backdoor Mandate</w:t>
      </w:r>
      <w:bookmarkEnd w:id="902109"/>
    </w:p>
    <w:p>
      <w:pPr>
        <w:pStyle w:val="Normal"/>
      </w:pPr>
      <w:r>
        <w:rPr>
          <w:b w:val="false"/>
          <w:i w:val="false"/>
        </w:rPr>
        <w:t>Nothing in this Chapter requires a Party or private service to create, preserve or mandate a systemic encryption backdoor, universal decryption capability or generalized weakness in secure communications.</w:t>
      </w:r>
    </w:p>
    <w:p>
      <w:pPr>
        <w:pStyle w:val="Heading2"/>
      </w:pPr>
      <w:bookmarkStart w:id="902110" w:name="_Toc300002109"/>
      <w:r>
        <w:rPr>
          <w:i w:val="false"/>
        </w:rPr>
        <w:t>Article 66.23: Targeted Surveillance Authorization Test</w:t>
      </w:r>
      <w:bookmarkEnd w:id="902110"/>
    </w:p>
    <w:p>
      <w:pPr>
        <w:pStyle w:val="Normal"/>
      </w:pPr>
      <w:r>
        <w:rPr>
          <w:b w:val="false"/>
          <w:i w:val="false"/>
        </w:rPr>
        <w:t>Enhanced surveillance cooperation is threat-based, necessary and proportionate to the authorized purpose. Any designated measure defines its purpose, operational place or scope, period, categories of data or persons affected, authorized access, retention, audit and review, and any renewal condition required by domestic law. An emergency authorization does not become a continuing authority merely because the emergency persists operationally, and continuation beyond the lawful emergency period requires the applicable independent authorization or renewal. This Chapter does not create indiscriminate monitoring of lawful movement or an independent surveillance power unavailable under domestic law.</w:t>
      </w:r>
    </w:p>
    <w:p>
      <w:pPr>
        <w:pStyle w:val="Heading2"/>
      </w:pPr>
      <w:bookmarkStart w:id="902111" w:name="_Toc300002110"/>
      <w:r>
        <w:rPr>
          <w:i w:val="false"/>
        </w:rPr>
        <w:t>Article 66.24: No Generalized Biometric or Licence-Plate Interoperability</w:t>
      </w:r>
      <w:bookmarkEnd w:id="902111"/>
    </w:p>
    <w:p>
      <w:pPr>
        <w:pStyle w:val="Normal"/>
      </w:pPr>
      <w:r>
        <w:rPr>
          <w:b w:val="false"/>
          <w:i w:val="false"/>
        </w:rPr>
        <w:t>Nothing in this Chapter establishes a generalized trilateral biometric database, licence-plate database, traveller-surveillance system or automatic cross-border interoperability of such systems. Case-specific lawful identity information may be exchanged where independently authorized and necessary.</w:t>
      </w:r>
    </w:p>
    <w:p>
      <w:pPr>
        <w:pStyle w:val="Heading2"/>
      </w:pPr>
      <w:bookmarkStart w:id="902112" w:name="_Toc300002111"/>
      <w:r>
        <w:rPr>
          <w:i w:val="false"/>
        </w:rPr>
        <w:t>Article 66.25: Information-Sharing Purpose Limitation</w:t>
      </w:r>
      <w:bookmarkEnd w:id="902112"/>
    </w:p>
    <w:p>
      <w:pPr>
        <w:pStyle w:val="Normal"/>
      </w:pPr>
      <w:r>
        <w:rPr>
          <w:b w:val="false"/>
          <w:i w:val="false"/>
        </w:rPr>
        <w:t>Information exchanged under this Chapter may be collected, used, retained and disclosed only for specified lawful purposes consistent with the legal authority governing the exchange. Secondary use requires an independent lawful basis and, where required, originator approval. An onward transfer to another authority or recipient remains subject to the purpose, handling and disclosure conditions attached to the information unless a separate lawful authority expressly permits different treatment. A material correction, restriction or deletion notice received from the originator is propagated to known downstream recipients where practicable and legally required so that stale or inaccurate information does not continue to circulate as authoritative.</w:t>
      </w:r>
    </w:p>
    <w:p>
      <w:pPr>
        <w:pStyle w:val="Heading2"/>
      </w:pPr>
      <w:bookmarkStart w:id="902113" w:name="_Toc300002112"/>
      <w:r>
        <w:rPr>
          <w:i w:val="false"/>
        </w:rPr>
        <w:t>Article 66.26: Data Minimization and Case-Specific Default</w:t>
      </w:r>
      <w:bookmarkEnd w:id="902113"/>
    </w:p>
    <w:p>
      <w:pPr>
        <w:pStyle w:val="Normal"/>
      </w:pPr>
      <w:r>
        <w:rPr>
          <w:b w:val="false"/>
          <w:i w:val="false"/>
        </w:rPr>
        <w:t>The Parties exchange the minimum information reasonably necessary for the authorized purpose and avoid collecting or transferring additional personal information merely because a technical system can accommodate it. Retention periods correspond to the lawful operational purpose, applicable domestic requirements and demonstrated continuing need, with deletion, de-identification or restricted archival treatment applied when the governing basis no longer supports ordinary operational retention. Standing bulk transfer of personal travel, communications or financial data is not required by this Chapter, and any exceptional bulk arrangement identifies its independent legal authority, necessity, access controls, review cycle and termination condition. Case-specific or federated query-and-alert methods are preferred where they provide materially equivalent security value with less unnecessary replication of personal data.</w:t>
      </w:r>
    </w:p>
    <w:p>
      <w:pPr>
        <w:pStyle w:val="Heading2"/>
      </w:pPr>
      <w:bookmarkStart w:id="902114" w:name="_Toc300002113"/>
      <w:r>
        <w:rPr>
          <w:i w:val="false"/>
        </w:rPr>
        <w:t>Article 66.27: Originator Control, Audit and Correction</w:t>
      </w:r>
      <w:bookmarkEnd w:id="902114"/>
    </w:p>
    <w:p>
      <w:pPr>
        <w:pStyle w:val="Normal"/>
      </w:pPr>
      <w:r>
        <w:rPr>
          <w:b w:val="false"/>
          <w:i w:val="false"/>
        </w:rPr>
        <w:t>Information-sharing channels provide appropriate originator controls, access logging, auditability, retention and deletion rules, and procedures for correcting material inaccuracies and propagating corrections to recipients. Access privileges are periodically reviewed against role and operational need, and a material unauthorized-access or handling event is addressed through the responsible Party's applicable incident and accountability process. A correction or restriction issued by the originator is linked to the affected record or identifier and communicated to known recipients where practicable so that the superseded information is not silently retained as current. Audit records remain available for the period required by applicable law or the governing arrangement to verify compliance without creating an indefinite substantive retention mandate for the underlying operational data.</w:t>
      </w:r>
    </w:p>
    <w:p>
      <w:pPr>
        <w:pStyle w:val="Heading2"/>
      </w:pPr>
      <w:bookmarkStart w:id="902115" w:name="_Toc300002114"/>
      <w:r>
        <w:rPr>
          <w:i w:val="false"/>
        </w:rPr>
        <w:t>Article 66.28: Redress and Sensitive Categories</w:t>
      </w:r>
      <w:bookmarkEnd w:id="902115"/>
    </w:p>
    <w:p>
      <w:pPr>
        <w:pStyle w:val="Normal"/>
      </w:pPr>
      <w:r>
        <w:rPr>
          <w:b w:val="false"/>
          <w:i w:val="false"/>
        </w:rPr>
        <w:t>Each Party maintains available domestic mechanisms for appropriate review or redress concerning materially adverse use of information. Those mechanisms provide a practicable route to raise a material accuracy, identity, misuse or unlawful-disclosure concern and to obtain correction or other relief where domestic law provides it. Protected or sensitive categories receive safeguards required by domestic law, and cooperation is not used to create generalized political, religious, journalistic, legal-representation or other protected-activity dossiers. A Party may protect sensitive investigative methods, classified information and third-party rights while still providing the greatest notice, explanation or corrective process permitted by its law.</w:t>
      </w:r>
    </w:p>
    <w:p>
      <w:pPr>
        <w:pStyle w:val="Heading2"/>
      </w:pPr>
      <w:bookmarkStart w:id="902116" w:name="_Toc300002115"/>
      <w:r>
        <w:rPr>
          <w:i w:val="false"/>
        </w:rPr>
        <w:t>Article 66.29: No Automated Adverse Action Solely From Foreign Data</w:t>
      </w:r>
      <w:bookmarkEnd w:id="902116"/>
    </w:p>
    <w:p>
      <w:pPr>
        <w:pStyle w:val="Normal"/>
      </w:pPr>
      <w:r>
        <w:rPr>
          <w:b w:val="false"/>
          <w:i w:val="false"/>
        </w:rPr>
        <w:t>A foreign risk indicator may trigger lawful domestic review but shall not, by itself and without competent domestic authority applying its own law and judgment, automatically determine detention, inadmissibility, seizure, forfeiture, prosecution or other materially adverse governmental action.</w:t>
      </w:r>
    </w:p>
    <w:p>
      <w:pPr>
        <w:pStyle w:val="Heading2"/>
      </w:pPr>
      <w:bookmarkStart w:id="902117" w:name="_Toc300002116"/>
      <w:r>
        <w:rPr>
          <w:i w:val="false"/>
        </w:rPr>
        <w:t>Article 66.30: Immigration-Purpose Firewall</w:t>
      </w:r>
      <w:bookmarkEnd w:id="902117"/>
    </w:p>
    <w:p>
      <w:pPr>
        <w:pStyle w:val="Normal"/>
      </w:pPr>
      <w:r>
        <w:rPr>
          <w:b w:val="false"/>
          <w:i w:val="false"/>
        </w:rPr>
        <w:t>Information or capability created specifically under this Chapter for illicit-drug, precursor, firearms, organized-crime or related security purposes shall not create a generalized immigration-enforcement mandate. Any immigration use must rest on independent domestic authority and applicable information-sharing terms.</w:t>
      </w:r>
    </w:p>
    <w:p>
      <w:pPr>
        <w:pStyle w:val="Heading2"/>
      </w:pPr>
      <w:bookmarkStart w:id="902118" w:name="_Toc300002117"/>
      <w:r>
        <w:rPr>
          <w:i w:val="false"/>
        </w:rPr>
        <w:t>Article 66.31: Indigenous and Border-Community Protection</w:t>
      </w:r>
      <w:bookmarkEnd w:id="902118"/>
    </w:p>
    <w:p>
      <w:pPr>
        <w:pStyle w:val="Normal"/>
      </w:pPr>
      <w:r>
        <w:rPr>
          <w:b w:val="false"/>
          <w:i w:val="false"/>
        </w:rPr>
        <w:t>Implementation respects applicable Indigenous rights, treaties, consultation obligations, cross-border community interests and lawful traditional mobility. Technology deployment and infrastructure remain subject to applicable domestic rights, environmental and consultation requirements. Where a planned measure materially affects a protected right, recognized traditional mobility practice or community access interest, the responsible authority uses the consultation, accommodation or review process required by its law before treating the measure as fully implemented under this Chapter. An emergency security action may proceed where domestic law permits, but emergency use does not extinguish any subsequent consultation, review, mitigation or restoration obligation that remains applicable.</w:t>
      </w:r>
    </w:p>
    <w:p>
      <w:pPr>
        <w:pStyle w:val="Heading2"/>
      </w:pPr>
      <w:bookmarkStart w:id="902119" w:name="_Toc300002118"/>
      <w:r>
        <w:rPr>
          <w:i w:val="false"/>
        </w:rPr>
        <w:t>Article 66.32: Personnel, Training and Integrity</w:t>
      </w:r>
      <w:bookmarkEnd w:id="902119"/>
    </w:p>
    <w:p>
      <w:pPr>
        <w:pStyle w:val="Normal"/>
      </w:pPr>
      <w:r>
        <w:rPr>
          <w:b w:val="false"/>
          <w:i w:val="false"/>
        </w:rPr>
        <w:t>The Parties strengthen technical training, officer safety, anti-corruption controls, rights and privacy training, chemical handling, tunnel and counter-drone capability, financial investigation and multimodal interdiction through existing national institutions and agreed exchanges. Competent authorities identify the role-specific competencies needed for personnel performing a scheduled Chapter 66 function and use training, qualification, supervised practice or a functionally equivalent method to establish readiness. Material changes in technology, threat method, legal authority or recurring operational error inform refresher or remedial training appropriate to the affected function. This Chapter does not require creation of a supranational academy, common employment standard or trilateral certification body, and national authorities retain responsibility for personnel discipline and qualification.</w:t>
      </w:r>
    </w:p>
    <w:p>
      <w:pPr>
        <w:pStyle w:val="Heading2"/>
      </w:pPr>
      <w:bookmarkStart w:id="902120" w:name="_Toc300002119"/>
      <w:r>
        <w:rPr>
          <w:i w:val="false"/>
        </w:rPr>
        <w:t>Article 66.33: Public Health and Officer Safety</w:t>
      </w:r>
      <w:bookmarkEnd w:id="902120"/>
    </w:p>
    <w:p>
      <w:pPr>
        <w:pStyle w:val="Normal"/>
      </w:pPr>
      <w:r>
        <w:rPr>
          <w:b w:val="false"/>
          <w:i w:val="false"/>
        </w:rPr>
        <w:t>Implementation supports appropriate naloxone availability, personal protective equipment, exposure protocols, toxic-supply warnings and non-identifying chemical intelligence. Competent authorities record and review material occupational exposure or safety incidents where doing so can identify a preventable equipment, training or procedural failure. Relevant lessons may be incorporated into updated safety guidance or training without requiring disclosure of identifying medical information beyond applicable law. Changes in overdose mortality may inform evaluation but are not attributed solely to enforcement activity absent appropriate evidence separating material public-health, supply and enforcement factors.</w:t>
      </w:r>
    </w:p>
    <w:p>
      <w:pPr>
        <w:pStyle w:val="Heading2"/>
      </w:pPr>
      <w:bookmarkStart w:id="902121" w:name="_Toc300002120"/>
      <w:r>
        <w:t>Article 66.34: North American Shield Coordination</w:t>
      </w:r>
      <w:bookmarkEnd w:id="902121"/>
    </w:p>
    <w:p>
      <w:pPr>
        <w:pStyle w:val="Normal"/>
      </w:pPr>
      <w:r>
        <w:t>The Commission oversees Chapter 66 implementation and may convene a North American Shield coordination session composed of the relevant existing national security, customs, law-enforcement, public-health and trade officials. The session coordinates annual work plans, implementation registers, technical workstreams, reporting and review and records agreed actions, responsible authorities and target dates sufficient for follow-up. Material implementation issues that cannot be resolved within the relevant technical workstream may be elevated to the Commission without creating a new approval layer for routine national administration. The session is not a separately staffed permanent committee, duplicates no existing institution where that institution can perform the function, and exercises no operational command.</w:t>
      </w:r>
    </w:p>
    <w:p>
      <w:pPr>
        <w:pStyle w:val="Heading2"/>
      </w:pPr>
      <w:bookmarkStart w:id="902122" w:name="_Toc300002121"/>
      <w:r>
        <w:rPr>
          <w:i w:val="false"/>
        </w:rPr>
        <w:t>Article 66.35: Shield Performance Dashboard</w:t>
      </w:r>
      <w:bookmarkEnd w:id="902122"/>
    </w:p>
    <w:p>
      <w:pPr>
        <w:pStyle w:val="Normal"/>
      </w:pPr>
      <w:r>
        <w:t>The Secretariat, under Commission oversight and using information supplied by competent national authorities, maintains a public performance framework with separate panels for capability, targeting, interdiction, network disruption, legitimate-trade fluidity, and rights and integrity. The framework identifies the reporting period, source authority, metric definition and material methodological limitation needed to interpret each published indicator. A material correction or methodological change is dated and explained, and unavailable data is identified as unavailable rather than silently estimated unless the estimation method is expressly disclosed. No single seizure, arrest, interdiction or modeled outcome metric determines compliance, and dashboard publication does not substitute for the verification process applicable to a disputed commitment.</w:t>
      </w:r>
    </w:p>
    <w:p>
      <w:pPr>
        <w:pStyle w:val="Heading2"/>
      </w:pPr>
      <w:bookmarkStart w:id="902123" w:name="_Toc300002122"/>
      <w:r>
        <w:rPr>
          <w:i w:val="false"/>
        </w:rPr>
        <w:t>Article 66.36: Metric Integrity</w:t>
      </w:r>
      <w:bookmarkEnd w:id="902123"/>
    </w:p>
    <w:p>
      <w:pPr>
        <w:pStyle w:val="Normal"/>
      </w:pPr>
      <w:r>
        <w:rPr>
          <w:b w:val="false"/>
          <w:i w:val="false"/>
        </w:rPr>
        <w:t>Seizures are enforcement indicators, not standalone measures of underlying trafficking volume. Falling seizures do not automatically establish success; rising seizures do not automatically establish failure. Modeled estimates shall disclose methodology, material uncertainty and revision where practicable.</w:t>
      </w:r>
    </w:p>
    <w:p>
      <w:pPr>
        <w:pStyle w:val="Heading2"/>
      </w:pPr>
      <w:bookmarkStart w:id="902124" w:name="_Toc300002123"/>
      <w:r>
        <w:rPr>
          <w:i w:val="false"/>
        </w:rPr>
        <w:t>Article 66.37: Security Performance Assurance</w:t>
      </w:r>
      <w:bookmarkEnd w:id="902124"/>
    </w:p>
    <w:p>
      <w:pPr>
        <w:pStyle w:val="Normal"/>
      </w:pPr>
      <w:r>
        <w:rPr>
          <w:b w:val="false"/>
          <w:i w:val="false"/>
        </w:rPr>
        <w:t>Compliance evaluation emphasizes verified implementation and maintenance of agreed measures, including operational capability, staffing or training commitments where scheduled, precursor controls, targeting systems, investigative cooperation, response times and lawful information exchange. An assessment identifies the commitment examined, the evidence relied upon, any material data limitation or contested fact, and whether the alleged deficiency is material to the agreed security function. Outcome indicators may inform context but do not replace evidence of governmental implementation or non-performance unless the applicable commitment expressly establishes an outcome-based standard. A compliance conclusion under this Article feeds the verification, consultation and cure process in Article 66.40 and creates no independent remedy authority.</w:t>
      </w:r>
    </w:p>
    <w:p>
      <w:pPr>
        <w:pStyle w:val="Heading2"/>
      </w:pPr>
      <w:bookmarkStart w:id="902125" w:name="_Toc300002124"/>
      <w:r>
        <w:rPr>
          <w:i w:val="false"/>
        </w:rPr>
        <w:t>Article 66.38: Security Performance Safe Harbor</w:t>
      </w:r>
      <w:bookmarkEnd w:id="902125"/>
    </w:p>
    <w:p>
      <w:pPr>
        <w:pStyle w:val="Normal"/>
      </w:pPr>
      <w:r>
        <w:rPr>
          <w:b w:val="false"/>
          <w:i w:val="false"/>
        </w:rPr>
        <w:t>Where a Party substantially implements and maintains the commitments applicable to it under this Chapter, the continued existence, discovery or fluctuation of illicit trafficking, standing alone, does not establish breach or constitute sufficient basis under this Agreement for new trade restrictions against that Party. Substantial implementation is assessed against the commitments actually applicable to the Party, their material security function and verified evidence of sustained performance rather than perfect prevention of illicit conduct by private actors. The safe harbor does not protect material governmental non-performance, deliberate concealment of a known implementation failure, or a failure to cure a verified material deficiency under Article 66.40. A determination that the safe harbor is unavailable identifies the specific commitment and evidence supporting that conclusion rather than relying solely on seizure volume, overdose outcomes or generalized trafficking estimates.</w:t>
      </w:r>
    </w:p>
    <w:p>
      <w:pPr>
        <w:pStyle w:val="Heading2"/>
      </w:pPr>
      <w:bookmarkStart w:id="902126" w:name="_Toc300002125"/>
      <w:r>
        <w:rPr>
          <w:i w:val="false"/>
        </w:rPr>
        <w:t>Article 66.39: Covered-Rationale Exhaustion</w:t>
      </w:r>
      <w:bookmarkEnd w:id="902126"/>
    </w:p>
    <w:p>
      <w:pPr>
        <w:pStyle w:val="Normal"/>
      </w:pPr>
      <w:r>
        <w:rPr>
          <w:b w:val="false"/>
          <w:i w:val="false"/>
        </w:rPr>
        <w:t>A border-security or illicit-drug concern materially addressed through verified substantial implementation of this Chapter is not recycled indefinitely as a unilateral trade rationale without new material evidence of governmental non-performance relevant to the agreed commitments. New evidence is material only where it bears on a commitment applicable to the Party and could reasonably alter the prior implementation assessment. A changed trafficking method, volume estimate or criminal adaptation does not by itself establish renewed governmental non-performance where the Party continues to satisfy the applicable commitment, but it may support consultation on whether the agreed measures require prospective modernization. The Party invoking new material evidence identifies it through the applicable consultation or verification channel so that the earlier resolved rationale is not silently revived.</w:t>
      </w:r>
    </w:p>
    <w:p>
      <w:pPr>
        <w:pStyle w:val="Heading2"/>
      </w:pPr>
      <w:bookmarkStart w:id="902127" w:name="_Toc300002126"/>
      <w:r>
        <w:rPr>
          <w:i w:val="false"/>
        </w:rPr>
        <w:t>Article 66.40: Verification, Consultation and Cure</w:t>
      </w:r>
      <w:bookmarkEnd w:id="902127"/>
    </w:p>
    <w:p>
      <w:pPr>
        <w:pStyle w:val="Normal"/>
      </w:pPr>
      <w:r>
        <w:t>A Party alleging material non-performance identifies the commitment and supporting evidence, permits verification consistent with this Agreement, consults promptly, and provides a reasonable short cure period where cure is possible before seeking a responsive measure. The consultation record identifies the alleged deficiency, material evidence, any uncontested facts, the cure expected, and the applicable review or completion point so that unresolved disagreement is not mistaken for verified non-performance. A Party may take an urgent action otherwise authorized by this Agreement where delay would defeat that authority, but urgency does not create an independent Chapter 66 remedy or erase an applicable restoration obligation. Any trade remedy or suspension of a treaty benefit is authorized only under Chapter 31, Chapter 35, or another expressly applicable provision; this Article creates no independent sanctions authority.</w:t>
      </w:r>
    </w:p>
    <w:p>
      <w:pPr>
        <w:pStyle w:val="Heading2"/>
      </w:pPr>
      <w:bookmarkStart w:id="902128" w:name="_Toc300002127"/>
      <w:r>
        <w:rPr>
          <w:i w:val="false"/>
        </w:rPr>
        <w:t>Article 66.41: Proportional Shield-Specific Step-Back and Restoration</w:t>
      </w:r>
      <w:bookmarkEnd w:id="902128"/>
    </w:p>
    <w:p>
      <w:pPr>
        <w:pStyle w:val="Normal"/>
      </w:pPr>
      <w:r>
        <w:t>Where material non-performance persists after verification and cure, any step-back otherwise authorized by this Agreement is proportionate and, to the maximum extent practicable, connected to the affected Shield cooperation rather than unrelated trade. The authorizing decision identifies the verified deficiency, legal authority, affected cooperation or benefit, proportional scope, and condition for restoration. A step-back does not expand beyond the authority under which it is taken and does not restart an expired security clock, reopen a completed normalization, or diminish an acquired right unless this Agreement expressly permits that consequence. The suspended benefit or cooperation is restored automatically when verified performance resumes, consistent with Chapter 35 and the Agreement's no-uncompensated-front-loading architecture.</w:t>
      </w:r>
    </w:p>
    <w:p>
      <w:pPr>
        <w:pStyle w:val="Heading2"/>
      </w:pPr>
      <w:bookmarkStart w:id="902129" w:name="_Toc300002128"/>
      <w:r>
        <w:rPr>
          <w:i w:val="false"/>
        </w:rPr>
        <w:t>Article 66.42: Review, Pilots and No Automatic Permanence</w:t>
      </w:r>
      <w:bookmarkEnd w:id="902129"/>
    </w:p>
    <w:p>
      <w:pPr>
        <w:pStyle w:val="Normal"/>
      </w:pPr>
      <w:r>
        <w:rPr>
          <w:b w:val="false"/>
          <w:i w:val="false"/>
        </w:rPr>
        <w:t>The Parties periodically review this Chapter to determine whether its operational mechanisms remain necessary, effective, proportionate and administratively workable. Authority-sensitive pilots progress only through concept validation, legal-authority verification, controlled deployment, independent or appropriately separated evaluation, and an express decision on eligibility for program status. A pilot record identifies its purpose, participating authorities, duration or review point, evaluation criteria, data and rights safeguards, and the condition for termination, continuation or transition to a regular program. Deployment alone does not create permanent authority or entitlement to continuation, and expiration or termination of a pilot restores the pre-pilot legal position except for lawful record-retention, accountability or completed-action consequences.</w:t>
      </w:r>
    </w:p>
    <w:p>
      <w:pPr>
        <w:pStyle w:val="Heading2"/>
      </w:pPr>
      <w:bookmarkStart w:id="902130" w:name="_Toc300002129"/>
      <w:r>
        <w:t>ANNEX 66-A: BINDING COMMITMENTS REFERENCE REGISTER</w:t>
      </w:r>
      <w:bookmarkEnd w:id="902130"/>
    </w:p>
    <w:p>
      <w:pPr>
        <w:pStyle w:val="Normal"/>
      </w:pPr>
      <w:r>
        <w:rPr>
          <w:b w:val="false"/>
          <w:i w:val="false"/>
        </w:rPr>
        <w:t>The following forty-one mechanisms are load-bearing obligations. Their allocation to this Register does not limit fuller operative language elsewhere in Chapter 66.</w:t>
      </w:r>
    </w:p>
    <w:p>
      <w:pPr>
        <w:pStyle w:val="Normal"/>
      </w:pPr>
      <w:r>
        <w:rPr>
          <w:b w:val="false"/>
          <w:i w:val="false"/>
        </w:rPr>
        <w:t>A66-A.1. National command and exclusive operational control.</w:t>
      </w:r>
    </w:p>
    <w:p>
      <w:pPr>
        <w:pStyle w:val="Normal"/>
      </w:pPr>
      <w:r>
        <w:rPr>
          <w:b w:val="false"/>
          <w:i w:val="false"/>
        </w:rPr>
        <w:t>A66-A.2. No foreign enforcement powers.</w:t>
      </w:r>
    </w:p>
    <w:p>
      <w:pPr>
        <w:pStyle w:val="Normal"/>
      </w:pPr>
      <w:r>
        <w:rPr>
          <w:b w:val="false"/>
          <w:i w:val="false"/>
        </w:rPr>
        <w:t>A66-A.3. No supranational police authority.</w:t>
      </w:r>
    </w:p>
    <w:p>
      <w:pPr>
        <w:pStyle w:val="Normal"/>
      </w:pPr>
      <w:r>
        <w:rPr>
          <w:b w:val="false"/>
          <w:i w:val="false"/>
        </w:rPr>
        <w:t>A66-A.4. Domestic legal authority prerequisite.</w:t>
      </w:r>
    </w:p>
    <w:p>
      <w:pPr>
        <w:pStyle w:val="Normal"/>
      </w:pPr>
      <w:r>
        <w:rPr>
          <w:b w:val="false"/>
          <w:i w:val="false"/>
        </w:rPr>
        <w:t>A66-A.5. Judicial authorization where required.</w:t>
      </w:r>
    </w:p>
    <w:p>
      <w:pPr>
        <w:pStyle w:val="Normal"/>
      </w:pPr>
      <w:r>
        <w:rPr>
          <w:b w:val="false"/>
          <w:i w:val="false"/>
        </w:rPr>
        <w:t>A66-A.6. National control of targeting and enforcement decisions.</w:t>
      </w:r>
    </w:p>
    <w:p>
      <w:pPr>
        <w:pStyle w:val="Normal"/>
      </w:pPr>
      <w:r>
        <w:rPr>
          <w:b w:val="false"/>
          <w:i w:val="false"/>
        </w:rPr>
        <w:t>A66-A.7. Observer and liaison status limitation.</w:t>
      </w:r>
    </w:p>
    <w:p>
      <w:pPr>
        <w:pStyle w:val="Normal"/>
      </w:pPr>
      <w:r>
        <w:rPr>
          <w:b w:val="false"/>
          <w:i w:val="false"/>
        </w:rPr>
        <w:t>A66-A.8. Purpose limitation.</w:t>
      </w:r>
    </w:p>
    <w:p>
      <w:pPr>
        <w:pStyle w:val="Normal"/>
      </w:pPr>
      <w:r>
        <w:rPr>
          <w:b w:val="false"/>
          <w:i w:val="false"/>
        </w:rPr>
        <w:t>A66-A.9. Data minimization.</w:t>
      </w:r>
    </w:p>
    <w:p>
      <w:pPr>
        <w:pStyle w:val="Normal"/>
      </w:pPr>
      <w:r>
        <w:rPr>
          <w:b w:val="false"/>
          <w:i w:val="false"/>
        </w:rPr>
        <w:t>A66-A.10. No standing bulk personal-data transfer.</w:t>
      </w:r>
    </w:p>
    <w:p>
      <w:pPr>
        <w:pStyle w:val="Normal"/>
      </w:pPr>
      <w:r>
        <w:rPr>
          <w:b w:val="false"/>
          <w:i w:val="false"/>
        </w:rPr>
        <w:t>A66-A.11. Case-specific or federated sharing default.</w:t>
      </w:r>
    </w:p>
    <w:p>
      <w:pPr>
        <w:pStyle w:val="Normal"/>
      </w:pPr>
      <w:r>
        <w:rPr>
          <w:b w:val="false"/>
          <w:i w:val="false"/>
        </w:rPr>
        <w:t>A66-A.12. Originator control.</w:t>
      </w:r>
    </w:p>
    <w:p>
      <w:pPr>
        <w:pStyle w:val="Normal"/>
      </w:pPr>
      <w:r>
        <w:rPr>
          <w:b w:val="false"/>
          <w:i w:val="false"/>
        </w:rPr>
        <w:t>A66-A.13. Access logging and auditability.</w:t>
      </w:r>
    </w:p>
    <w:p>
      <w:pPr>
        <w:pStyle w:val="Normal"/>
      </w:pPr>
      <w:r>
        <w:rPr>
          <w:b w:val="false"/>
          <w:i w:val="false"/>
        </w:rPr>
        <w:t>A66-A.14. Retention and deletion discipline.</w:t>
      </w:r>
    </w:p>
    <w:p>
      <w:pPr>
        <w:pStyle w:val="Normal"/>
      </w:pPr>
      <w:r>
        <w:rPr>
          <w:b w:val="false"/>
          <w:i w:val="false"/>
        </w:rPr>
        <w:t>A66-A.15. Correction propagation.</w:t>
      </w:r>
    </w:p>
    <w:p>
      <w:pPr>
        <w:pStyle w:val="Normal"/>
      </w:pPr>
      <w:r>
        <w:rPr>
          <w:b w:val="false"/>
          <w:i w:val="false"/>
        </w:rPr>
        <w:t>A66-A.16. Individual redress.</w:t>
      </w:r>
    </w:p>
    <w:p>
      <w:pPr>
        <w:pStyle w:val="Normal"/>
      </w:pPr>
      <w:r>
        <w:rPr>
          <w:b w:val="false"/>
          <w:i w:val="false"/>
        </w:rPr>
        <w:t>A66-A.17. Sensitive-category safeguards.</w:t>
      </w:r>
    </w:p>
    <w:p>
      <w:pPr>
        <w:pStyle w:val="Normal"/>
      </w:pPr>
      <w:r>
        <w:rPr>
          <w:b w:val="false"/>
          <w:i w:val="false"/>
        </w:rPr>
        <w:t>A66-A.18. Lawful protest and dissent firewall.</w:t>
      </w:r>
    </w:p>
    <w:p>
      <w:pPr>
        <w:pStyle w:val="Normal"/>
      </w:pPr>
      <w:r>
        <w:rPr>
          <w:b w:val="false"/>
          <w:i w:val="false"/>
        </w:rPr>
        <w:t>A66-A.19. Biometric non-interoperability.</w:t>
      </w:r>
    </w:p>
    <w:p>
      <w:pPr>
        <w:pStyle w:val="Normal"/>
      </w:pPr>
      <w:r>
        <w:rPr>
          <w:b w:val="false"/>
          <w:i w:val="false"/>
        </w:rPr>
        <w:t>A66-A.20. National or federated data architecture.</w:t>
      </w:r>
    </w:p>
    <w:p>
      <w:pPr>
        <w:pStyle w:val="Normal"/>
      </w:pPr>
      <w:r>
        <w:rPr>
          <w:b w:val="false"/>
          <w:i w:val="false"/>
        </w:rPr>
        <w:t>A66-A.21. Anti-profiling review.</w:t>
      </w:r>
    </w:p>
    <w:p>
      <w:pPr>
        <w:pStyle w:val="Normal"/>
      </w:pPr>
      <w:r>
        <w:rPr>
          <w:b w:val="false"/>
          <w:i w:val="false"/>
        </w:rPr>
        <w:t>A66-A.22. Indigenous border-community protection.</w:t>
      </w:r>
    </w:p>
    <w:p>
      <w:pPr>
        <w:pStyle w:val="Normal"/>
      </w:pPr>
      <w:r>
        <w:rPr>
          <w:b w:val="false"/>
          <w:i w:val="false"/>
        </w:rPr>
        <w:t>A66-A.23. Independent serious-incident review.</w:t>
      </w:r>
    </w:p>
    <w:p>
      <w:pPr>
        <w:pStyle w:val="Normal"/>
      </w:pPr>
      <w:r>
        <w:rPr>
          <w:b w:val="false"/>
          <w:i w:val="false"/>
        </w:rPr>
        <w:t>A66-A.24. Public transparency floor.</w:t>
      </w:r>
    </w:p>
    <w:p>
      <w:pPr>
        <w:pStyle w:val="Normal"/>
      </w:pPr>
      <w:r>
        <w:rPr>
          <w:b w:val="false"/>
          <w:i w:val="false"/>
        </w:rPr>
        <w:t>A66-A.25. Whistleblower protection.</w:t>
      </w:r>
    </w:p>
    <w:p>
      <w:pPr>
        <w:pStyle w:val="Normal"/>
      </w:pPr>
      <w:r>
        <w:rPr>
          <w:b w:val="false"/>
          <w:i w:val="false"/>
        </w:rPr>
        <w:t>A66-A.26. Domestic constitutional and rights review.</w:t>
      </w:r>
    </w:p>
    <w:p>
      <w:pPr>
        <w:pStyle w:val="Normal"/>
      </w:pPr>
      <w:r>
        <w:rPr>
          <w:b w:val="false"/>
          <w:i w:val="false"/>
        </w:rPr>
        <w:t>A66-A.27. Shield Reciprocity Doctrine.</w:t>
      </w:r>
    </w:p>
    <w:p>
      <w:pPr>
        <w:pStyle w:val="Normal"/>
      </w:pPr>
      <w:r>
        <w:rPr>
          <w:b w:val="false"/>
          <w:i w:val="false"/>
        </w:rPr>
        <w:t>A66-A.28. Reciprocity for serious illicit flows.</w:t>
      </w:r>
    </w:p>
    <w:p>
      <w:pPr>
        <w:pStyle w:val="Normal"/>
      </w:pPr>
      <w:r>
        <w:rPr>
          <w:b w:val="false"/>
          <w:i w:val="false"/>
        </w:rPr>
        <w:t>A66-A.29. Illegal-firearms reciprocity.</w:t>
      </w:r>
    </w:p>
    <w:p>
      <w:pPr>
        <w:pStyle w:val="Normal"/>
      </w:pPr>
      <w:r>
        <w:rPr>
          <w:b w:val="false"/>
          <w:i w:val="false"/>
        </w:rPr>
        <w:t>A66-A.30. Secure-and-Accelerate legitimate-trade reciprocity.</w:t>
      </w:r>
    </w:p>
    <w:p>
      <w:pPr>
        <w:pStyle w:val="Normal"/>
      </w:pPr>
      <w:r>
        <w:rPr>
          <w:b w:val="false"/>
          <w:i w:val="false"/>
        </w:rPr>
        <w:t>A66-A.31. Mutual technology and capacity cooperation.</w:t>
      </w:r>
    </w:p>
    <w:p>
      <w:pPr>
        <w:pStyle w:val="Normal"/>
      </w:pPr>
      <w:r>
        <w:rPr>
          <w:b w:val="false"/>
          <w:i w:val="false"/>
        </w:rPr>
        <w:t>A66-A.32. Substantial-performance safe harbor.</w:t>
      </w:r>
    </w:p>
    <w:p>
      <w:pPr>
        <w:pStyle w:val="Normal"/>
      </w:pPr>
      <w:r>
        <w:rPr>
          <w:b w:val="false"/>
          <w:i w:val="false"/>
        </w:rPr>
        <w:t>A66-A.33. No individual trafficking event as automatic breach.</w:t>
      </w:r>
    </w:p>
    <w:p>
      <w:pPr>
        <w:pStyle w:val="Normal"/>
      </w:pPr>
      <w:r>
        <w:rPr>
          <w:b w:val="false"/>
          <w:i w:val="false"/>
        </w:rPr>
        <w:t>A66-A.34. No seizure-volume quota as legal compliance test.</w:t>
      </w:r>
    </w:p>
    <w:p>
      <w:pPr>
        <w:pStyle w:val="Normal"/>
      </w:pPr>
      <w:r>
        <w:rPr>
          <w:b w:val="false"/>
          <w:i w:val="false"/>
        </w:rPr>
        <w:t>A66-A.35. Outcome deterioration alone insufficient where agreed measures are maintained in good faith.</w:t>
      </w:r>
    </w:p>
    <w:p>
      <w:pPr>
        <w:pStyle w:val="Normal"/>
      </w:pPr>
      <w:r>
        <w:rPr>
          <w:b w:val="false"/>
          <w:i w:val="false"/>
        </w:rPr>
        <w:t>A66-A.36. No unilateral security-to-trade escalation after substantial performance.</w:t>
      </w:r>
    </w:p>
    <w:p>
      <w:pPr>
        <w:pStyle w:val="Normal"/>
      </w:pPr>
      <w:r>
        <w:rPr>
          <w:b w:val="false"/>
          <w:i w:val="false"/>
        </w:rPr>
        <w:t>A66-A.37. Evidence and verification requirement.</w:t>
      </w:r>
    </w:p>
    <w:p>
      <w:pPr>
        <w:pStyle w:val="Normal"/>
      </w:pPr>
      <w:r>
        <w:rPr>
          <w:b w:val="false"/>
          <w:i w:val="false"/>
        </w:rPr>
        <w:t>A66-A.38. Consultation and cure architecture.</w:t>
      </w:r>
    </w:p>
    <w:p>
      <w:pPr>
        <w:pStyle w:val="Normal"/>
      </w:pPr>
      <w:r>
        <w:rPr>
          <w:b w:val="false"/>
          <w:i w:val="false"/>
        </w:rPr>
        <w:t>A66-A.39. Proportional Shield-specific step-back with automatic restoration.</w:t>
      </w:r>
    </w:p>
    <w:p>
      <w:pPr>
        <w:pStyle w:val="Normal"/>
      </w:pPr>
      <w:r>
        <w:rPr>
          <w:b w:val="false"/>
          <w:i w:val="false"/>
        </w:rPr>
        <w:t>A66-A.40. No encryption-backdoor mandate.</w:t>
      </w:r>
    </w:p>
    <w:p>
      <w:pPr>
        <w:pStyle w:val="Normal"/>
      </w:pPr>
      <w:r>
        <w:rPr>
          <w:b w:val="false"/>
          <w:i w:val="false"/>
        </w:rPr>
        <w:t>A66-A.41. No generalized traveller, biometric or licence-plate surveillance architecture.</w:t>
      </w:r>
    </w:p>
    <w:p>
      <w:pPr>
        <w:pStyle w:val="Heading2"/>
      </w:pPr>
      <w:bookmarkStart w:id="902131" w:name="_Toc300002130"/>
      <w:r>
        <w:t>ANNEX 66-B: OPERATIONAL MECHANISMS REFERENCE REGISTER</w:t>
      </w:r>
      <w:bookmarkEnd w:id="902131"/>
    </w:p>
    <w:p>
      <w:pPr>
        <w:pStyle w:val="Normal"/>
      </w:pPr>
      <w:r>
        <w:rPr>
          <w:b w:val="false"/>
          <w:i w:val="false"/>
        </w:rPr>
        <w:t>The following one hundred thirty-two mechanisms constitute the initial operational architecture. Technical specifications may evolve by consensus without weakening Chapter 66 cornerstones.</w:t>
      </w:r>
    </w:p>
    <w:p>
      <w:pPr>
        <w:pStyle w:val="Normal"/>
      </w:pPr>
      <w:r>
        <w:rPr>
          <w:b/>
          <w:i w:val="false"/>
        </w:rPr>
        <w:t>Detection, NII, Canines and Forensics</w:t>
      </w:r>
    </w:p>
    <w:p>
      <w:pPr>
        <w:pStyle w:val="Normal"/>
      </w:pPr>
      <w:r>
        <w:rPr>
          <w:b w:val="false"/>
          <w:i w:val="false"/>
        </w:rPr>
        <w:t>A66-B.1. High-throughput commercial-vehicle NII.</w:t>
      </w:r>
    </w:p>
    <w:p>
      <w:pPr>
        <w:pStyle w:val="Normal"/>
      </w:pPr>
      <w:r>
        <w:rPr>
          <w:b w:val="false"/>
          <w:i w:val="false"/>
        </w:rPr>
        <w:t>A66-B.2. Passenger-vehicle NII where lawful and risk-appropriate.</w:t>
      </w:r>
    </w:p>
    <w:p>
      <w:pPr>
        <w:pStyle w:val="Normal"/>
      </w:pPr>
      <w:r>
        <w:rPr>
          <w:b w:val="false"/>
          <w:i w:val="false"/>
        </w:rPr>
        <w:t>A66-B.3. Rail consist imaging.</w:t>
      </w:r>
    </w:p>
    <w:p>
      <w:pPr>
        <w:pStyle w:val="Normal"/>
      </w:pPr>
      <w:r>
        <w:rPr>
          <w:b w:val="false"/>
          <w:i w:val="false"/>
        </w:rPr>
        <w:t>A66-B.4. Marine-container imaging.</w:t>
      </w:r>
    </w:p>
    <w:p>
      <w:pPr>
        <w:pStyle w:val="Normal"/>
      </w:pPr>
      <w:r>
        <w:rPr>
          <w:b w:val="false"/>
          <w:i w:val="false"/>
        </w:rPr>
        <w:t>A66-B.5. Air-cargo imaging.</w:t>
      </w:r>
    </w:p>
    <w:p>
      <w:pPr>
        <w:pStyle w:val="Normal"/>
      </w:pPr>
      <w:r>
        <w:rPr>
          <w:b w:val="false"/>
          <w:i w:val="false"/>
        </w:rPr>
        <w:t>A66-B.6. Mobile NII deployment.</w:t>
      </w:r>
    </w:p>
    <w:p>
      <w:pPr>
        <w:pStyle w:val="Normal"/>
      </w:pPr>
      <w:r>
        <w:rPr>
          <w:b w:val="false"/>
          <w:i w:val="false"/>
        </w:rPr>
        <w:t>A66-B.7. Backscatter inspection capability.</w:t>
      </w:r>
    </w:p>
    <w:p>
      <w:pPr>
        <w:pStyle w:val="Normal"/>
      </w:pPr>
      <w:r>
        <w:rPr>
          <w:b w:val="false"/>
          <w:i w:val="false"/>
        </w:rPr>
        <w:t>A66-B.8. Under-vehicle imaging.</w:t>
      </w:r>
    </w:p>
    <w:p>
      <w:pPr>
        <w:pStyle w:val="Normal"/>
      </w:pPr>
      <w:r>
        <w:rPr>
          <w:b w:val="false"/>
          <w:i w:val="false"/>
        </w:rPr>
        <w:t>A66-B.9. Trace narcotics detection.</w:t>
      </w:r>
    </w:p>
    <w:p>
      <w:pPr>
        <w:pStyle w:val="Normal"/>
      </w:pPr>
      <w:r>
        <w:rPr>
          <w:b w:val="false"/>
          <w:i w:val="false"/>
        </w:rPr>
        <w:t>A66-B.10. Ion-mobility trace screening.</w:t>
      </w:r>
    </w:p>
    <w:p>
      <w:pPr>
        <w:pStyle w:val="Normal"/>
      </w:pPr>
      <w:r>
        <w:rPr>
          <w:b w:val="false"/>
          <w:i w:val="false"/>
        </w:rPr>
        <w:t>A66-B.11. Raman chemical identification.</w:t>
      </w:r>
    </w:p>
    <w:p>
      <w:pPr>
        <w:pStyle w:val="Normal"/>
      </w:pPr>
      <w:r>
        <w:rPr>
          <w:b w:val="false"/>
          <w:i w:val="false"/>
        </w:rPr>
        <w:t>A66-B.12. FTIR chemical identification.</w:t>
      </w:r>
    </w:p>
    <w:p>
      <w:pPr>
        <w:pStyle w:val="Normal"/>
      </w:pPr>
      <w:r>
        <w:rPr>
          <w:b w:val="false"/>
          <w:i w:val="false"/>
        </w:rPr>
        <w:t>A66-B.13. Contactless vapor or particle detection.</w:t>
      </w:r>
    </w:p>
    <w:p>
      <w:pPr>
        <w:pStyle w:val="Normal"/>
      </w:pPr>
      <w:r>
        <w:rPr>
          <w:b w:val="false"/>
          <w:i w:val="false"/>
        </w:rPr>
        <w:t>A66-B.14. Radiation portal monitoring.</w:t>
      </w:r>
    </w:p>
    <w:p>
      <w:pPr>
        <w:pStyle w:val="Normal"/>
      </w:pPr>
      <w:r>
        <w:rPr>
          <w:b w:val="false"/>
          <w:i w:val="false"/>
        </w:rPr>
        <w:t>A66-B.15. Handheld radiation identification.</w:t>
      </w:r>
    </w:p>
    <w:p>
      <w:pPr>
        <w:pStyle w:val="Normal"/>
      </w:pPr>
      <w:r>
        <w:rPr>
          <w:b w:val="false"/>
          <w:i w:val="false"/>
        </w:rPr>
        <w:t>A66-B.16. Tunnel ground-penetrating radar.</w:t>
      </w:r>
    </w:p>
    <w:p>
      <w:pPr>
        <w:pStyle w:val="Normal"/>
      </w:pPr>
      <w:r>
        <w:rPr>
          <w:b w:val="false"/>
          <w:i w:val="false"/>
        </w:rPr>
        <w:t>A66-B.17. Tunnel acoustic detection.</w:t>
      </w:r>
    </w:p>
    <w:p>
      <w:pPr>
        <w:pStyle w:val="Normal"/>
      </w:pPr>
      <w:r>
        <w:rPr>
          <w:b w:val="false"/>
          <w:i w:val="false"/>
        </w:rPr>
        <w:t>A66-B.18. Structural-modification detection.</w:t>
      </w:r>
    </w:p>
    <w:p>
      <w:pPr>
        <w:pStyle w:val="Normal"/>
      </w:pPr>
      <w:r>
        <w:rPr>
          <w:b w:val="false"/>
          <w:i w:val="false"/>
        </w:rPr>
        <w:t>A66-B.19. Counter-concealment technical library.</w:t>
      </w:r>
    </w:p>
    <w:p>
      <w:pPr>
        <w:pStyle w:val="Normal"/>
      </w:pPr>
      <w:r>
        <w:rPr>
          <w:b w:val="false"/>
          <w:i w:val="false"/>
        </w:rPr>
        <w:t>A66-B.20. Fentanyl-specialized canine teams.</w:t>
      </w:r>
    </w:p>
    <w:p>
      <w:pPr>
        <w:pStyle w:val="Normal"/>
      </w:pPr>
      <w:r>
        <w:rPr>
          <w:b w:val="false"/>
          <w:i w:val="false"/>
        </w:rPr>
        <w:t>A66-B.21. Methamphetamine detection canines.</w:t>
      </w:r>
    </w:p>
    <w:p>
      <w:pPr>
        <w:pStyle w:val="Normal"/>
      </w:pPr>
      <w:r>
        <w:rPr>
          <w:b w:val="false"/>
          <w:i w:val="false"/>
        </w:rPr>
        <w:t>A66-B.22. Currency detection canines.</w:t>
      </w:r>
    </w:p>
    <w:p>
      <w:pPr>
        <w:pStyle w:val="Normal"/>
      </w:pPr>
      <w:r>
        <w:rPr>
          <w:b w:val="false"/>
          <w:i w:val="false"/>
        </w:rPr>
        <w:t>A66-B.23. Firearms detection canines.</w:t>
      </w:r>
    </w:p>
    <w:p>
      <w:pPr>
        <w:pStyle w:val="Normal"/>
      </w:pPr>
      <w:r>
        <w:rPr>
          <w:b w:val="false"/>
          <w:i w:val="false"/>
        </w:rPr>
        <w:t>A66-B.24. Explosives detection canines.</w:t>
      </w:r>
    </w:p>
    <w:p>
      <w:pPr>
        <w:pStyle w:val="Normal"/>
      </w:pPr>
      <w:r>
        <w:rPr>
          <w:b w:val="false"/>
          <w:i w:val="false"/>
        </w:rPr>
        <w:t>A66-B.25. Mobile canine surge teams.</w:t>
      </w:r>
    </w:p>
    <w:p>
      <w:pPr>
        <w:pStyle w:val="Normal"/>
      </w:pPr>
      <w:r>
        <w:rPr>
          <w:b w:val="false"/>
          <w:i w:val="false"/>
        </w:rPr>
        <w:t>A66-B.26. Canine proficiency certification.</w:t>
      </w:r>
    </w:p>
    <w:p>
      <w:pPr>
        <w:pStyle w:val="Normal"/>
      </w:pPr>
      <w:r>
        <w:rPr>
          <w:b w:val="false"/>
          <w:i w:val="false"/>
        </w:rPr>
        <w:t>A66-B.27. Cross-border canine training exchange.</w:t>
      </w:r>
    </w:p>
    <w:p>
      <w:pPr>
        <w:pStyle w:val="Normal"/>
      </w:pPr>
      <w:r>
        <w:rPr>
          <w:b w:val="false"/>
          <w:i w:val="false"/>
        </w:rPr>
        <w:t>A66-B.28. Regional rapid-analysis laboratories.</w:t>
      </w:r>
    </w:p>
    <w:p>
      <w:pPr>
        <w:pStyle w:val="Normal"/>
      </w:pPr>
      <w:r>
        <w:rPr>
          <w:b w:val="false"/>
          <w:i w:val="false"/>
        </w:rPr>
        <w:t>A66-B.29. Mobile drug-analysis laboratories.</w:t>
      </w:r>
    </w:p>
    <w:p>
      <w:pPr>
        <w:pStyle w:val="Normal"/>
      </w:pPr>
      <w:r>
        <w:rPr>
          <w:b w:val="false"/>
          <w:i w:val="false"/>
        </w:rPr>
        <w:t>A66-B.30. Chemical-signature profiling.</w:t>
      </w:r>
    </w:p>
    <w:p>
      <w:pPr>
        <w:pStyle w:val="Normal"/>
      </w:pPr>
      <w:r>
        <w:rPr>
          <w:b w:val="false"/>
          <w:i w:val="false"/>
        </w:rPr>
        <w:t>A66-B.31. Annual laboratory proficiency testing.</w:t>
      </w:r>
    </w:p>
    <w:p>
      <w:pPr>
        <w:pStyle w:val="Normal"/>
      </w:pPr>
      <w:r>
        <w:rPr>
          <w:b/>
          <w:i w:val="false"/>
        </w:rPr>
        <w:t>Cargo Targeting and Data Integrity</w:t>
      </w:r>
    </w:p>
    <w:p>
      <w:pPr>
        <w:pStyle w:val="Normal"/>
      </w:pPr>
      <w:r>
        <w:rPr>
          <w:b w:val="false"/>
          <w:i w:val="false"/>
        </w:rPr>
        <w:t>A66-B.32. National targeting-center linkage.</w:t>
      </w:r>
    </w:p>
    <w:p>
      <w:pPr>
        <w:pStyle w:val="Normal"/>
      </w:pPr>
      <w:r>
        <w:rPr>
          <w:b w:val="false"/>
          <w:i w:val="false"/>
        </w:rPr>
        <w:t>A66-B.33. Structured risk-alert exchange.</w:t>
      </w:r>
    </w:p>
    <w:p>
      <w:pPr>
        <w:pStyle w:val="Normal"/>
      </w:pPr>
      <w:r>
        <w:rPr>
          <w:b w:val="false"/>
          <w:i w:val="false"/>
        </w:rPr>
        <w:t>A66-B.34. Advance cargo data quality standards.</w:t>
      </w:r>
    </w:p>
    <w:p>
      <w:pPr>
        <w:pStyle w:val="Normal"/>
      </w:pPr>
      <w:r>
        <w:rPr>
          <w:b w:val="false"/>
          <w:i w:val="false"/>
        </w:rPr>
        <w:t>A66-B.35. High-risk shipment referral protocol.</w:t>
      </w:r>
    </w:p>
    <w:p>
      <w:pPr>
        <w:pStyle w:val="Normal"/>
      </w:pPr>
      <w:r>
        <w:rPr>
          <w:b w:val="false"/>
          <w:i w:val="false"/>
        </w:rPr>
        <w:t>A66-B.36. Transshipment risk analysis.</w:t>
      </w:r>
    </w:p>
    <w:p>
      <w:pPr>
        <w:pStyle w:val="Normal"/>
      </w:pPr>
      <w:r>
        <w:rPr>
          <w:b w:val="false"/>
          <w:i w:val="false"/>
        </w:rPr>
        <w:t>A66-B.37. Split-shipment pattern analysis.</w:t>
      </w:r>
    </w:p>
    <w:p>
      <w:pPr>
        <w:pStyle w:val="Normal"/>
      </w:pPr>
      <w:r>
        <w:rPr>
          <w:b w:val="false"/>
          <w:i w:val="false"/>
        </w:rPr>
        <w:t>A66-B.38. Refused-cargo alerting.</w:t>
      </w:r>
    </w:p>
    <w:p>
      <w:pPr>
        <w:pStyle w:val="Normal"/>
      </w:pPr>
      <w:r>
        <w:rPr>
          <w:b w:val="false"/>
          <w:i w:val="false"/>
        </w:rPr>
        <w:t>A66-B.39. Free-trade-zone risk parity.</w:t>
      </w:r>
    </w:p>
    <w:p>
      <w:pPr>
        <w:pStyle w:val="Normal"/>
      </w:pPr>
      <w:r>
        <w:rPr>
          <w:b w:val="false"/>
          <w:i w:val="false"/>
        </w:rPr>
        <w:t>A66-B.40. Bonded-warehouse risk controls.</w:t>
      </w:r>
    </w:p>
    <w:p>
      <w:pPr>
        <w:pStyle w:val="Normal"/>
      </w:pPr>
      <w:r>
        <w:rPr>
          <w:b w:val="false"/>
          <w:i w:val="false"/>
        </w:rPr>
        <w:t>A66-B.41. Trusted-trader security alignment.</w:t>
      </w:r>
    </w:p>
    <w:p>
      <w:pPr>
        <w:pStyle w:val="Normal"/>
      </w:pPr>
      <w:r>
        <w:rPr>
          <w:b w:val="false"/>
          <w:i w:val="false"/>
        </w:rPr>
        <w:t>A66-B.42. Misdeclaration pattern analytics.</w:t>
      </w:r>
    </w:p>
    <w:p>
      <w:pPr>
        <w:pStyle w:val="Normal"/>
      </w:pPr>
      <w:r>
        <w:rPr>
          <w:b w:val="false"/>
          <w:i w:val="false"/>
        </w:rPr>
        <w:t>A66-B.43. Concealment-method bulletins.</w:t>
      </w:r>
    </w:p>
    <w:p>
      <w:pPr>
        <w:pStyle w:val="Normal"/>
      </w:pPr>
      <w:r>
        <w:rPr>
          <w:b w:val="false"/>
          <w:i w:val="false"/>
        </w:rPr>
        <w:t>A66-B.44. Machine-learning model performance exchange.</w:t>
      </w:r>
    </w:p>
    <w:p>
      <w:pPr>
        <w:pStyle w:val="Normal"/>
      </w:pPr>
      <w:r>
        <w:rPr>
          <w:b w:val="false"/>
          <w:i w:val="false"/>
        </w:rPr>
        <w:t>A66-B.45. Targeting hit-rate reporting.</w:t>
      </w:r>
    </w:p>
    <w:p>
      <w:pPr>
        <w:pStyle w:val="Normal"/>
      </w:pPr>
      <w:r>
        <w:rPr>
          <w:b w:val="false"/>
          <w:i w:val="false"/>
        </w:rPr>
        <w:t>A66-B.46. False-positive reporting.</w:t>
      </w:r>
    </w:p>
    <w:p>
      <w:pPr>
        <w:pStyle w:val="Normal"/>
      </w:pPr>
      <w:r>
        <w:rPr>
          <w:b w:val="false"/>
          <w:i w:val="false"/>
        </w:rPr>
        <w:t>A66-B.47. Independent targeting-system review.</w:t>
      </w:r>
    </w:p>
    <w:p>
      <w:pPr>
        <w:pStyle w:val="Normal"/>
      </w:pPr>
      <w:r>
        <w:rPr>
          <w:b w:val="false"/>
          <w:i w:val="false"/>
        </w:rPr>
        <w:t>A66-B.48. Cargo risk taxonomy interoperability.</w:t>
      </w:r>
    </w:p>
    <w:p>
      <w:pPr>
        <w:pStyle w:val="Normal"/>
      </w:pPr>
      <w:r>
        <w:rPr>
          <w:b/>
          <w:i w:val="false"/>
        </w:rPr>
        <w:t>Precursors and Illicit Manufacturing Equipment</w:t>
      </w:r>
    </w:p>
    <w:p>
      <w:pPr>
        <w:pStyle w:val="Normal"/>
      </w:pPr>
      <w:r>
        <w:rPr>
          <w:b w:val="false"/>
          <w:i w:val="false"/>
        </w:rPr>
        <w:t>A66-B.49. North American analytical precursor risk list.</w:t>
      </w:r>
    </w:p>
    <w:p>
      <w:pPr>
        <w:pStyle w:val="Normal"/>
      </w:pPr>
      <w:r>
        <w:rPr>
          <w:b w:val="false"/>
          <w:i w:val="false"/>
        </w:rPr>
        <w:t>A66-B.50. Emerging-designer-precursor warning protocol.</w:t>
      </w:r>
    </w:p>
    <w:p>
      <w:pPr>
        <w:pStyle w:val="Normal"/>
      </w:pPr>
      <w:r>
        <w:rPr>
          <w:b w:val="false"/>
          <w:i w:val="false"/>
        </w:rPr>
        <w:t>A66-B.51. Rapid domestic scheduling consultation.</w:t>
      </w:r>
    </w:p>
    <w:p>
      <w:pPr>
        <w:pStyle w:val="Normal"/>
      </w:pPr>
      <w:r>
        <w:rPr>
          <w:b w:val="false"/>
          <w:i w:val="false"/>
        </w:rPr>
        <w:t>A66-B.52. Suspicious precursor transaction reporting.</w:t>
      </w:r>
    </w:p>
    <w:p>
      <w:pPr>
        <w:pStyle w:val="Normal"/>
      </w:pPr>
      <w:r>
        <w:rPr>
          <w:b w:val="false"/>
          <w:i w:val="false"/>
        </w:rPr>
        <w:t>A66-B.53. Licensed-dealer diversion controls.</w:t>
      </w:r>
    </w:p>
    <w:p>
      <w:pPr>
        <w:pStyle w:val="Normal"/>
      </w:pPr>
      <w:r>
        <w:rPr>
          <w:b w:val="false"/>
          <w:i w:val="false"/>
        </w:rPr>
        <w:t>A66-B.54. End-user verification for designated high-risk chemicals.</w:t>
      </w:r>
    </w:p>
    <w:p>
      <w:pPr>
        <w:pStyle w:val="Normal"/>
      </w:pPr>
      <w:r>
        <w:rPr>
          <w:b w:val="false"/>
          <w:i w:val="false"/>
        </w:rPr>
        <w:t>A66-B.55. Pill-press diversion controls.</w:t>
      </w:r>
    </w:p>
    <w:p>
      <w:pPr>
        <w:pStyle w:val="Normal"/>
      </w:pPr>
      <w:r>
        <w:rPr>
          <w:b w:val="false"/>
          <w:i w:val="false"/>
        </w:rPr>
        <w:t>A66-B.56. Tablet-die diversion controls.</w:t>
      </w:r>
    </w:p>
    <w:p>
      <w:pPr>
        <w:pStyle w:val="Normal"/>
      </w:pPr>
      <w:r>
        <w:rPr>
          <w:b w:val="false"/>
          <w:i w:val="false"/>
        </w:rPr>
        <w:t>A66-B.57. Manufacturing-equipment component registration where lawful.</w:t>
      </w:r>
    </w:p>
    <w:p>
      <w:pPr>
        <w:pStyle w:val="Normal"/>
      </w:pPr>
      <w:r>
        <w:rPr>
          <w:b w:val="false"/>
          <w:i w:val="false"/>
        </w:rPr>
        <w:t>A66-B.58. Controlled-delivery coordination for precursor cases.</w:t>
      </w:r>
    </w:p>
    <w:p>
      <w:pPr>
        <w:pStyle w:val="Normal"/>
      </w:pPr>
      <w:r>
        <w:rPr>
          <w:b w:val="false"/>
          <w:i w:val="false"/>
        </w:rPr>
        <w:t>A66-B.59. Clandestine-lab chemical signature exchange.</w:t>
      </w:r>
    </w:p>
    <w:p>
      <w:pPr>
        <w:pStyle w:val="Normal"/>
      </w:pPr>
      <w:r>
        <w:rPr>
          <w:b w:val="false"/>
          <w:i w:val="false"/>
        </w:rPr>
        <w:t>A66-B.60. Officer-safe precursor handling protocol.</w:t>
      </w:r>
    </w:p>
    <w:p>
      <w:pPr>
        <w:pStyle w:val="Normal"/>
      </w:pPr>
      <w:r>
        <w:rPr>
          <w:b w:val="false"/>
          <w:i w:val="false"/>
        </w:rPr>
        <w:t>A66-B.61. Precursor disposal standards cooperation.</w:t>
      </w:r>
    </w:p>
    <w:p>
      <w:pPr>
        <w:pStyle w:val="Normal"/>
      </w:pPr>
      <w:r>
        <w:rPr>
          <w:b w:val="false"/>
          <w:i w:val="false"/>
        </w:rPr>
        <w:t>A66-B.62. Source-country precursor diplomacy.</w:t>
      </w:r>
    </w:p>
    <w:p>
      <w:pPr>
        <w:pStyle w:val="Normal"/>
      </w:pPr>
      <w:r>
        <w:rPr>
          <w:b w:val="false"/>
          <w:i w:val="false"/>
        </w:rPr>
        <w:t>A66-B.63. High-risk routing analysis.</w:t>
      </w:r>
    </w:p>
    <w:p>
      <w:pPr>
        <w:pStyle w:val="Normal"/>
      </w:pPr>
      <w:r>
        <w:rPr>
          <w:b w:val="false"/>
          <w:i w:val="false"/>
        </w:rPr>
        <w:t>A66-B.64. Courier precursor detection.</w:t>
      </w:r>
    </w:p>
    <w:p>
      <w:pPr>
        <w:pStyle w:val="Normal"/>
      </w:pPr>
      <w:r>
        <w:rPr>
          <w:b w:val="false"/>
          <w:i w:val="false"/>
        </w:rPr>
        <w:t>A66-B.65. Solvent-diversion risk monitoring.</w:t>
      </w:r>
    </w:p>
    <w:p>
      <w:pPr>
        <w:pStyle w:val="Normal"/>
      </w:pPr>
      <w:r>
        <w:rPr>
          <w:b w:val="false"/>
          <w:i w:val="false"/>
        </w:rPr>
        <w:t>A66-B.66. Substitute and pre-precursor monitoring.</w:t>
      </w:r>
    </w:p>
    <w:p>
      <w:pPr>
        <w:pStyle w:val="Normal"/>
      </w:pPr>
      <w:r>
        <w:rPr>
          <w:b/>
          <w:i w:val="false"/>
        </w:rPr>
        <w:t>Port, Rail, Marine and Aviation Security</w:t>
      </w:r>
    </w:p>
    <w:p>
      <w:pPr>
        <w:pStyle w:val="Normal"/>
      </w:pPr>
      <w:r>
        <w:rPr>
          <w:b w:val="false"/>
          <w:i w:val="false"/>
        </w:rPr>
        <w:t>A66-B.67. Port-of-entry risk ranking.</w:t>
      </w:r>
    </w:p>
    <w:p>
      <w:pPr>
        <w:pStyle w:val="Normal"/>
      </w:pPr>
      <w:r>
        <w:rPr>
          <w:b w:val="false"/>
          <w:i w:val="false"/>
        </w:rPr>
        <w:t>A66-B.68. Co-located liaison arrangements.</w:t>
      </w:r>
    </w:p>
    <w:p>
      <w:pPr>
        <w:pStyle w:val="Normal"/>
      </w:pPr>
      <w:r>
        <w:rPr>
          <w:b w:val="false"/>
          <w:i w:val="false"/>
        </w:rPr>
        <w:t>A66-B.69. Inspection-sequencing coordination.</w:t>
      </w:r>
    </w:p>
    <w:p>
      <w:pPr>
        <w:pStyle w:val="Normal"/>
      </w:pPr>
      <w:r>
        <w:rPr>
          <w:b w:val="false"/>
          <w:i w:val="false"/>
        </w:rPr>
        <w:t>A66-B.70. Redundant-inspection reduction.</w:t>
      </w:r>
    </w:p>
    <w:p>
      <w:pPr>
        <w:pStyle w:val="Normal"/>
      </w:pPr>
      <w:r>
        <w:rPr>
          <w:b w:val="false"/>
          <w:i w:val="false"/>
        </w:rPr>
        <w:t>A66-B.71. Port-worker anti-corruption controls.</w:t>
      </w:r>
    </w:p>
    <w:p>
      <w:pPr>
        <w:pStyle w:val="Normal"/>
      </w:pPr>
      <w:r>
        <w:rPr>
          <w:b w:val="false"/>
          <w:i w:val="false"/>
        </w:rPr>
        <w:t>A66-B.72. Secure tip and whistleblower channels.</w:t>
      </w:r>
    </w:p>
    <w:p>
      <w:pPr>
        <w:pStyle w:val="Normal"/>
      </w:pPr>
      <w:r>
        <w:rPr>
          <w:b w:val="false"/>
          <w:i w:val="false"/>
        </w:rPr>
        <w:t>A66-B.73. High-risk inspection surge planning.</w:t>
      </w:r>
    </w:p>
    <w:p>
      <w:pPr>
        <w:pStyle w:val="Normal"/>
      </w:pPr>
      <w:r>
        <w:rPr>
          <w:b w:val="false"/>
          <w:i w:val="false"/>
        </w:rPr>
        <w:t>A66-B.74. Tunnel detection coordination.</w:t>
      </w:r>
    </w:p>
    <w:p>
      <w:pPr>
        <w:pStyle w:val="Normal"/>
      </w:pPr>
      <w:r>
        <w:rPr>
          <w:b w:val="false"/>
          <w:i w:val="false"/>
        </w:rPr>
        <w:t>A66-B.75. Counter-drone coordination at ports.</w:t>
      </w:r>
    </w:p>
    <w:p>
      <w:pPr>
        <w:pStyle w:val="Normal"/>
      </w:pPr>
      <w:r>
        <w:rPr>
          <w:b w:val="false"/>
          <w:i w:val="false"/>
        </w:rPr>
        <w:t>A66-B.76. Port security engineering assessments.</w:t>
      </w:r>
    </w:p>
    <w:p>
      <w:pPr>
        <w:pStyle w:val="Normal"/>
      </w:pPr>
      <w:r>
        <w:rPr>
          <w:b w:val="false"/>
          <w:i w:val="false"/>
        </w:rPr>
        <w:t>A66-B.77. Rail electronic seal integrity.</w:t>
      </w:r>
    </w:p>
    <w:p>
      <w:pPr>
        <w:pStyle w:val="Normal"/>
      </w:pPr>
      <w:r>
        <w:rPr>
          <w:b w:val="false"/>
          <w:i w:val="false"/>
        </w:rPr>
        <w:t>A66-B.78. Rail custody-event monitoring.</w:t>
      </w:r>
    </w:p>
    <w:p>
      <w:pPr>
        <w:pStyle w:val="Normal"/>
      </w:pPr>
      <w:r>
        <w:rPr>
          <w:b w:val="false"/>
          <w:i w:val="false"/>
        </w:rPr>
        <w:t>A66-B.79. Rail yard risk targeting.</w:t>
      </w:r>
    </w:p>
    <w:p>
      <w:pPr>
        <w:pStyle w:val="Normal"/>
      </w:pPr>
      <w:r>
        <w:rPr>
          <w:b w:val="false"/>
          <w:i w:val="false"/>
        </w:rPr>
        <w:t>A66-B.80. CPKC corridor security coordination.</w:t>
      </w:r>
    </w:p>
    <w:p>
      <w:pPr>
        <w:pStyle w:val="Normal"/>
      </w:pPr>
      <w:r>
        <w:rPr>
          <w:b w:val="false"/>
          <w:i w:val="false"/>
        </w:rPr>
        <w:t>A66-B.81. Maritime domain-awareness exchange.</w:t>
      </w:r>
    </w:p>
    <w:p>
      <w:pPr>
        <w:pStyle w:val="Normal"/>
      </w:pPr>
      <w:r>
        <w:rPr>
          <w:b w:val="false"/>
          <w:i w:val="false"/>
        </w:rPr>
        <w:t>A66-B.82. Small-vessel smuggling alerts.</w:t>
      </w:r>
    </w:p>
    <w:p>
      <w:pPr>
        <w:pStyle w:val="Normal"/>
      </w:pPr>
      <w:r>
        <w:rPr>
          <w:b w:val="false"/>
          <w:i w:val="false"/>
        </w:rPr>
        <w:t>A66-B.83. Shared-water maritime notification.</w:t>
      </w:r>
    </w:p>
    <w:p>
      <w:pPr>
        <w:pStyle w:val="Normal"/>
      </w:pPr>
      <w:r>
        <w:rPr>
          <w:b w:val="false"/>
          <w:i w:val="false"/>
        </w:rPr>
        <w:t>A66-B.84. High-risk vessel ownership analysis.</w:t>
      </w:r>
    </w:p>
    <w:p>
      <w:pPr>
        <w:pStyle w:val="Normal"/>
      </w:pPr>
      <w:r>
        <w:rPr>
          <w:b w:val="false"/>
          <w:i w:val="false"/>
        </w:rPr>
        <w:t>A66-B.85. Reefer and container tamper monitoring.</w:t>
      </w:r>
    </w:p>
    <w:p>
      <w:pPr>
        <w:pStyle w:val="Normal"/>
      </w:pPr>
      <w:r>
        <w:rPr>
          <w:b w:val="false"/>
          <w:i w:val="false"/>
        </w:rPr>
        <w:t>A66-B.86. Air-cargo targeting coordination.</w:t>
      </w:r>
    </w:p>
    <w:p>
      <w:pPr>
        <w:pStyle w:val="Normal"/>
      </w:pPr>
      <w:r>
        <w:rPr>
          <w:b w:val="false"/>
          <w:i w:val="false"/>
        </w:rPr>
        <w:t>A66-B.87. General-aviation anomaly alerts.</w:t>
      </w:r>
    </w:p>
    <w:p>
      <w:pPr>
        <w:pStyle w:val="Normal"/>
      </w:pPr>
      <w:r>
        <w:rPr>
          <w:b w:val="false"/>
          <w:i w:val="false"/>
        </w:rPr>
        <w:t>A66-B.88. Ground-handler integrity programs.</w:t>
      </w:r>
    </w:p>
    <w:p>
      <w:pPr>
        <w:pStyle w:val="Normal"/>
      </w:pPr>
      <w:r>
        <w:rPr>
          <w:b w:val="false"/>
          <w:i w:val="false"/>
        </w:rPr>
        <w:t>A66-B.89. Airport cargo screening interoperability.</w:t>
      </w:r>
    </w:p>
    <w:p>
      <w:pPr>
        <w:pStyle w:val="Normal"/>
      </w:pPr>
      <w:r>
        <w:rPr>
          <w:b w:val="false"/>
          <w:i w:val="false"/>
        </w:rPr>
        <w:t>A66-B.90. Ferry and cruise cargo-risk coordination.</w:t>
      </w:r>
    </w:p>
    <w:p>
      <w:pPr>
        <w:pStyle w:val="Normal"/>
      </w:pPr>
      <w:r>
        <w:rPr>
          <w:b w:val="false"/>
          <w:i w:val="false"/>
        </w:rPr>
        <w:t>A66-B.91. Multimodal security threat assessment.</w:t>
      </w:r>
    </w:p>
    <w:p>
      <w:pPr>
        <w:pStyle w:val="Normal"/>
      </w:pPr>
      <w:r>
        <w:rPr>
          <w:b/>
          <w:i w:val="false"/>
        </w:rPr>
        <w:t>Postal and Express Consignments</w:t>
      </w:r>
    </w:p>
    <w:p>
      <w:pPr>
        <w:pStyle w:val="Normal"/>
      </w:pPr>
      <w:r>
        <w:rPr>
          <w:b w:val="false"/>
          <w:i w:val="false"/>
        </w:rPr>
        <w:t>A66-B.92. Advance electronic postal data.</w:t>
      </w:r>
    </w:p>
    <w:p>
      <w:pPr>
        <w:pStyle w:val="Normal"/>
      </w:pPr>
      <w:r>
        <w:rPr>
          <w:b w:val="false"/>
          <w:i w:val="false"/>
        </w:rPr>
        <w:t>A66-B.93. Express-carrier risk-data standards.</w:t>
      </w:r>
    </w:p>
    <w:p>
      <w:pPr>
        <w:pStyle w:val="Normal"/>
      </w:pPr>
      <w:r>
        <w:rPr>
          <w:b w:val="false"/>
          <w:i w:val="false"/>
        </w:rPr>
        <w:t>A66-B.94. Small-parcel trace detection.</w:t>
      </w:r>
    </w:p>
    <w:p>
      <w:pPr>
        <w:pStyle w:val="Normal"/>
      </w:pPr>
      <w:r>
        <w:rPr>
          <w:b w:val="false"/>
          <w:i w:val="false"/>
        </w:rPr>
        <w:t>A66-B.95. Mail-facility fentanyl detection.</w:t>
      </w:r>
    </w:p>
    <w:p>
      <w:pPr>
        <w:pStyle w:val="Normal"/>
      </w:pPr>
      <w:r>
        <w:rPr>
          <w:b w:val="false"/>
          <w:i w:val="false"/>
        </w:rPr>
        <w:t>A66-B.96. Reshipper-network mapping.</w:t>
      </w:r>
    </w:p>
    <w:p>
      <w:pPr>
        <w:pStyle w:val="Normal"/>
      </w:pPr>
      <w:r>
        <w:rPr>
          <w:b w:val="false"/>
          <w:i w:val="false"/>
        </w:rPr>
        <w:t>A66-B.97. Parcel volume-anomaly analysis with safeguards.</w:t>
      </w:r>
    </w:p>
    <w:p>
      <w:pPr>
        <w:pStyle w:val="Normal"/>
      </w:pPr>
      <w:r>
        <w:rPr>
          <w:b w:val="false"/>
          <w:i w:val="false"/>
        </w:rPr>
        <w:t>A66-B.98. Controlled-delivery coordination for parcels.</w:t>
      </w:r>
    </w:p>
    <w:p>
      <w:pPr>
        <w:pStyle w:val="Normal"/>
      </w:pPr>
      <w:r>
        <w:rPr>
          <w:b w:val="false"/>
          <w:i w:val="false"/>
        </w:rPr>
        <w:t>A66-B.99. Postal and courier insider-threat programs.</w:t>
      </w:r>
    </w:p>
    <w:p>
      <w:pPr>
        <w:pStyle w:val="Normal"/>
      </w:pPr>
      <w:r>
        <w:rPr>
          <w:b w:val="false"/>
          <w:i w:val="false"/>
        </w:rPr>
        <w:t>A66-B.100. E-commerce platform criminal-shipment referrals.</w:t>
      </w:r>
    </w:p>
    <w:p>
      <w:pPr>
        <w:pStyle w:val="Normal"/>
      </w:pPr>
      <w:r>
        <w:rPr>
          <w:b w:val="false"/>
          <w:i w:val="false"/>
        </w:rPr>
        <w:t>A66-B.101. Parcel-locker trafficking risk controls.</w:t>
      </w:r>
    </w:p>
    <w:p>
      <w:pPr>
        <w:pStyle w:val="Normal"/>
      </w:pPr>
      <w:r>
        <w:rPr>
          <w:b w:val="false"/>
          <w:i w:val="false"/>
        </w:rPr>
        <w:t>A66-B.102. International mail canine deployment.</w:t>
      </w:r>
    </w:p>
    <w:p>
      <w:pPr>
        <w:pStyle w:val="Normal"/>
      </w:pPr>
      <w:r>
        <w:rPr>
          <w:b w:val="false"/>
          <w:i w:val="false"/>
        </w:rPr>
        <w:t>A66-B.103. Annual postal-security effectiveness audit.</w:t>
      </w:r>
    </w:p>
    <w:p>
      <w:pPr>
        <w:pStyle w:val="Normal"/>
      </w:pPr>
      <w:r>
        <w:rPr>
          <w:b/>
          <w:i w:val="false"/>
        </w:rPr>
        <w:t>Organized Crime and Judicial Cooperation</w:t>
      </w:r>
    </w:p>
    <w:p>
      <w:pPr>
        <w:pStyle w:val="Normal"/>
      </w:pPr>
      <w:r>
        <w:rPr>
          <w:b w:val="false"/>
          <w:i w:val="false"/>
        </w:rPr>
        <w:t>A66-B.104. Case-specific lead-country designation.</w:t>
      </w:r>
    </w:p>
    <w:p>
      <w:pPr>
        <w:pStyle w:val="Normal"/>
      </w:pPr>
      <w:r>
        <w:rPr>
          <w:b w:val="false"/>
          <w:i w:val="false"/>
        </w:rPr>
        <w:t>A66-B.105. 24/7 operational deconfliction.</w:t>
      </w:r>
    </w:p>
    <w:p>
      <w:pPr>
        <w:pStyle w:val="Normal"/>
      </w:pPr>
      <w:r>
        <w:rPr>
          <w:b w:val="false"/>
          <w:i w:val="false"/>
        </w:rPr>
        <w:t>A66-B.106. Law-enforcement liaison officers.</w:t>
      </w:r>
    </w:p>
    <w:p>
      <w:pPr>
        <w:pStyle w:val="Normal"/>
      </w:pPr>
      <w:r>
        <w:rPr>
          <w:b w:val="false"/>
          <w:i w:val="false"/>
        </w:rPr>
        <w:t>A66-B.107. Rapid mutual-legal-assistance channel.</w:t>
      </w:r>
    </w:p>
    <w:p>
      <w:pPr>
        <w:pStyle w:val="Normal"/>
      </w:pPr>
      <w:r>
        <w:rPr>
          <w:b w:val="false"/>
          <w:i w:val="false"/>
        </w:rPr>
        <w:t>A66-B.108. Extradition case coordination.</w:t>
      </w:r>
    </w:p>
    <w:p>
      <w:pPr>
        <w:pStyle w:val="Normal"/>
      </w:pPr>
      <w:r>
        <w:rPr>
          <w:b w:val="false"/>
          <w:i w:val="false"/>
        </w:rPr>
        <w:t>A66-B.109. Witness-protection cooperation.</w:t>
      </w:r>
    </w:p>
    <w:p>
      <w:pPr>
        <w:pStyle w:val="Normal"/>
      </w:pPr>
      <w:r>
        <w:rPr>
          <w:b w:val="false"/>
          <w:i w:val="false"/>
        </w:rPr>
        <w:t>A66-B.110. Lawful undercover-operation deconfliction.</w:t>
      </w:r>
    </w:p>
    <w:p>
      <w:pPr>
        <w:pStyle w:val="Normal"/>
      </w:pPr>
      <w:r>
        <w:rPr>
          <w:b w:val="false"/>
          <w:i w:val="false"/>
        </w:rPr>
        <w:t>A66-B.111. Organized-crime logistics investigations.</w:t>
      </w:r>
    </w:p>
    <w:p>
      <w:pPr>
        <w:pStyle w:val="Normal"/>
      </w:pPr>
      <w:r>
        <w:rPr>
          <w:b w:val="false"/>
          <w:i w:val="false"/>
        </w:rPr>
        <w:t>A66-B.112. Port infiltration investigations.</w:t>
      </w:r>
    </w:p>
    <w:p>
      <w:pPr>
        <w:pStyle w:val="Normal"/>
      </w:pPr>
      <w:r>
        <w:rPr>
          <w:b w:val="false"/>
          <w:i w:val="false"/>
        </w:rPr>
        <w:t>A66-B.113. Stolen-vehicle export-network investigations.</w:t>
      </w:r>
    </w:p>
    <w:p>
      <w:pPr>
        <w:pStyle w:val="Normal"/>
      </w:pPr>
      <w:r>
        <w:rPr>
          <w:b w:val="false"/>
          <w:i w:val="false"/>
        </w:rPr>
        <w:t>A66-B.114. Technical evidence coordination.</w:t>
      </w:r>
    </w:p>
    <w:p>
      <w:pPr>
        <w:pStyle w:val="Normal"/>
      </w:pPr>
      <w:r>
        <w:rPr>
          <w:b/>
          <w:i w:val="false"/>
        </w:rPr>
        <w:t>Firearms and Reciprocal Criminal Flows</w:t>
      </w:r>
    </w:p>
    <w:p>
      <w:pPr>
        <w:pStyle w:val="Normal"/>
      </w:pPr>
      <w:r>
        <w:rPr>
          <w:b w:val="false"/>
          <w:i w:val="false"/>
        </w:rPr>
        <w:t>A66-B.115. Crime-gun tracing cooperation.</w:t>
      </w:r>
    </w:p>
    <w:p>
      <w:pPr>
        <w:pStyle w:val="Normal"/>
      </w:pPr>
      <w:r>
        <w:rPr>
          <w:b w:val="false"/>
          <w:i w:val="false"/>
        </w:rPr>
        <w:t>A66-B.116. Ballistic technical evidence exchange.</w:t>
      </w:r>
    </w:p>
    <w:p>
      <w:pPr>
        <w:pStyle w:val="Normal"/>
      </w:pPr>
      <w:r>
        <w:rPr>
          <w:b w:val="false"/>
          <w:i w:val="false"/>
        </w:rPr>
        <w:t>A66-B.117. Illegal firearms export interdiction.</w:t>
      </w:r>
    </w:p>
    <w:p>
      <w:pPr>
        <w:pStyle w:val="Normal"/>
      </w:pPr>
      <w:r>
        <w:rPr>
          <w:b w:val="false"/>
          <w:i w:val="false"/>
        </w:rPr>
        <w:t>A66-B.118. Straw-purchase trafficking investigations.</w:t>
      </w:r>
    </w:p>
    <w:p>
      <w:pPr>
        <w:pStyle w:val="Normal"/>
      </w:pPr>
      <w:r>
        <w:rPr>
          <w:b w:val="false"/>
          <w:i w:val="false"/>
        </w:rPr>
        <w:t>A66-B.119. Firearms-smuggling network investigations.</w:t>
      </w:r>
    </w:p>
    <w:p>
      <w:pPr>
        <w:pStyle w:val="Normal"/>
      </w:pPr>
      <w:r>
        <w:rPr>
          <w:b w:val="false"/>
          <w:i w:val="false"/>
        </w:rPr>
        <w:t>A66-B.120. Firearms trafficking prosecution coordination.</w:t>
      </w:r>
    </w:p>
    <w:p>
      <w:pPr>
        <w:pStyle w:val="Normal"/>
      </w:pPr>
      <w:r>
        <w:rPr>
          <w:b w:val="false"/>
          <w:i w:val="false"/>
        </w:rPr>
        <w:t>A66-B.121. Firearms-route intelligence exchange.</w:t>
      </w:r>
    </w:p>
    <w:p>
      <w:pPr>
        <w:pStyle w:val="Normal"/>
      </w:pPr>
      <w:r>
        <w:rPr>
          <w:b w:val="false"/>
          <w:i w:val="false"/>
        </w:rPr>
        <w:t>A66-B.122. Annual reciprocal illicit-flow assessment.</w:t>
      </w:r>
    </w:p>
    <w:p>
      <w:pPr>
        <w:pStyle w:val="Normal"/>
      </w:pPr>
      <w:r>
        <w:rPr>
          <w:b/>
          <w:i w:val="false"/>
        </w:rPr>
        <w:t>Illicit Finance and Assets</w:t>
      </w:r>
    </w:p>
    <w:p>
      <w:pPr>
        <w:pStyle w:val="Normal"/>
      </w:pPr>
      <w:r>
        <w:rPr>
          <w:b w:val="false"/>
          <w:i w:val="false"/>
        </w:rPr>
        <w:t>A66-B.123. FINTRAC-FinCEN-UIF structured cooperation.</w:t>
      </w:r>
    </w:p>
    <w:p>
      <w:pPr>
        <w:pStyle w:val="Normal"/>
      </w:pPr>
      <w:r>
        <w:rPr>
          <w:b w:val="false"/>
          <w:i w:val="false"/>
        </w:rPr>
        <w:t>A66-B.124. Trade-based money-laundering typologies.</w:t>
      </w:r>
    </w:p>
    <w:p>
      <w:pPr>
        <w:pStyle w:val="Normal"/>
      </w:pPr>
      <w:r>
        <w:rPr>
          <w:b w:val="false"/>
          <w:i w:val="false"/>
        </w:rPr>
        <w:t>A66-B.125. Criminal beneficial-ownership analysis.</w:t>
      </w:r>
    </w:p>
    <w:p>
      <w:pPr>
        <w:pStyle w:val="Normal"/>
      </w:pPr>
      <w:r>
        <w:rPr>
          <w:b w:val="false"/>
          <w:i w:val="false"/>
        </w:rPr>
        <w:t>A66-B.126. Virtual-asset laundering investigations.</w:t>
      </w:r>
    </w:p>
    <w:p>
      <w:pPr>
        <w:pStyle w:val="Normal"/>
      </w:pPr>
      <w:r>
        <w:rPr>
          <w:b w:val="false"/>
          <w:i w:val="false"/>
        </w:rPr>
        <w:t>A66-B.127. Payment-processor abuse investigations.</w:t>
      </w:r>
    </w:p>
    <w:p>
      <w:pPr>
        <w:pStyle w:val="Normal"/>
      </w:pPr>
      <w:r>
        <w:rPr>
          <w:b w:val="false"/>
          <w:i w:val="false"/>
        </w:rPr>
        <w:t>A66-B.128. Money-service-business risk cooperation.</w:t>
      </w:r>
    </w:p>
    <w:p>
      <w:pPr>
        <w:pStyle w:val="Normal"/>
      </w:pPr>
      <w:r>
        <w:rPr>
          <w:b w:val="false"/>
          <w:i w:val="false"/>
        </w:rPr>
        <w:t>A66-B.129. Asset tracing and lawful recovery cooperation.</w:t>
      </w:r>
    </w:p>
    <w:p>
      <w:pPr>
        <w:pStyle w:val="Normal"/>
      </w:pPr>
      <w:r>
        <w:rPr>
          <w:b w:val="false"/>
          <w:i w:val="false"/>
        </w:rPr>
        <w:t>A66-B.130. Suspicious-transaction quality improvement.</w:t>
      </w:r>
    </w:p>
    <w:p>
      <w:pPr>
        <w:pStyle w:val="Normal"/>
      </w:pPr>
      <w:r>
        <w:rPr>
          <w:b/>
          <w:i w:val="false"/>
        </w:rPr>
        <w:t>Cyber and Darknet Trafficking</w:t>
      </w:r>
    </w:p>
    <w:p>
      <w:pPr>
        <w:pStyle w:val="Normal"/>
      </w:pPr>
      <w:r>
        <w:rPr>
          <w:b w:val="false"/>
          <w:i w:val="false"/>
        </w:rPr>
        <w:t>A66-B.131. Darknet synthetic-drug market disruption.</w:t>
      </w:r>
    </w:p>
    <w:p>
      <w:pPr>
        <w:pStyle w:val="Normal"/>
      </w:pPr>
      <w:r>
        <w:rPr>
          <w:b w:val="false"/>
          <w:i w:val="false"/>
        </w:rPr>
        <w:t>A66-B.132. Rapid cross-border digital-evidence preservation.</w:t>
      </w:r>
    </w:p>
    <w:p>
      <w:pPr>
        <w:pStyle w:val="Heading2"/>
      </w:pPr>
      <w:bookmarkStart w:id="902132" w:name="_Toc300002131"/>
      <w:r>
        <w:t>ANNEX 66-C: CONTROLLED NATIONAL IMPLEMENTATION SCHEDULE REGISTER</w:t>
      </w:r>
      <w:bookmarkEnd w:id="902132"/>
    </w:p>
    <w:p>
      <w:pPr>
        <w:pStyle w:val="Normal"/>
      </w:pPr>
      <w:r>
        <w:rPr>
          <w:b w:val="false"/>
          <w:i w:val="false"/>
        </w:rPr>
        <w:t>These sixty-six schedule categories are implementation containers, not self-executing claims that a named site, quantity, budget or authority already exists. Each Party shall verify facts and authority before certification.</w:t>
      </w:r>
    </w:p>
    <w:p>
      <w:pPr>
        <w:pStyle w:val="Normal"/>
      </w:pPr>
      <w:r>
        <w:rPr>
          <w:b w:val="false"/>
          <w:i w:val="false"/>
        </w:rPr>
        <w:t>A66-C.1. Named land-port scanner deployment sites.</w:t>
      </w:r>
    </w:p>
    <w:p>
      <w:pPr>
        <w:pStyle w:val="Normal"/>
      </w:pPr>
      <w:r>
        <w:rPr>
          <w:b w:val="false"/>
          <w:i w:val="false"/>
        </w:rPr>
        <w:t>A66-C.2. Named rail-port scanner deployment sites.</w:t>
      </w:r>
    </w:p>
    <w:p>
      <w:pPr>
        <w:pStyle w:val="Normal"/>
      </w:pPr>
      <w:r>
        <w:rPr>
          <w:b w:val="false"/>
          <w:i w:val="false"/>
        </w:rPr>
        <w:t>A66-C.3. Named marine-container scanner deployment sites.</w:t>
      </w:r>
    </w:p>
    <w:p>
      <w:pPr>
        <w:pStyle w:val="Normal"/>
      </w:pPr>
      <w:r>
        <w:rPr>
          <w:b w:val="false"/>
          <w:i w:val="false"/>
        </w:rPr>
        <w:t>A66-C.4. Named airport cargo-screening sites.</w:t>
      </w:r>
    </w:p>
    <w:p>
      <w:pPr>
        <w:pStyle w:val="Normal"/>
      </w:pPr>
      <w:r>
        <w:rPr>
          <w:b w:val="false"/>
          <w:i w:val="false"/>
        </w:rPr>
        <w:t>A66-C.5. Mobile NII fleet quantities.</w:t>
      </w:r>
    </w:p>
    <w:p>
      <w:pPr>
        <w:pStyle w:val="Normal"/>
      </w:pPr>
      <w:r>
        <w:rPr>
          <w:b w:val="false"/>
          <w:i w:val="false"/>
        </w:rPr>
        <w:t>A66-C.6. Handheld chemical-identification quantities.</w:t>
      </w:r>
    </w:p>
    <w:p>
      <w:pPr>
        <w:pStyle w:val="Normal"/>
      </w:pPr>
      <w:r>
        <w:rPr>
          <w:b w:val="false"/>
          <w:i w:val="false"/>
        </w:rPr>
        <w:t>A66-C.7. Trace-detection equipment quantities.</w:t>
      </w:r>
    </w:p>
    <w:p>
      <w:pPr>
        <w:pStyle w:val="Normal"/>
      </w:pPr>
      <w:r>
        <w:rPr>
          <w:b w:val="false"/>
          <w:i w:val="false"/>
        </w:rPr>
        <w:t>A66-C.8. Radiation-monitor quantities.</w:t>
      </w:r>
    </w:p>
    <w:p>
      <w:pPr>
        <w:pStyle w:val="Normal"/>
      </w:pPr>
      <w:r>
        <w:rPr>
          <w:b w:val="false"/>
          <w:i w:val="false"/>
        </w:rPr>
        <w:t>A66-C.9. Tunnel-detection equipment deployments.</w:t>
      </w:r>
    </w:p>
    <w:p>
      <w:pPr>
        <w:pStyle w:val="Normal"/>
      </w:pPr>
      <w:r>
        <w:rPr>
          <w:b w:val="false"/>
          <w:i w:val="false"/>
        </w:rPr>
        <w:t>A66-C.10. Counter-drone sensor deployments.</w:t>
      </w:r>
    </w:p>
    <w:p>
      <w:pPr>
        <w:pStyle w:val="Normal"/>
      </w:pPr>
      <w:r>
        <w:rPr>
          <w:b w:val="false"/>
          <w:i w:val="false"/>
        </w:rPr>
        <w:t>A66-C.11. Scanner commissioning dates.</w:t>
      </w:r>
    </w:p>
    <w:p>
      <w:pPr>
        <w:pStyle w:val="Normal"/>
      </w:pPr>
      <w:r>
        <w:rPr>
          <w:b w:val="false"/>
          <w:i w:val="false"/>
        </w:rPr>
        <w:t>A66-C.12. Scanner uptime targets.</w:t>
      </w:r>
    </w:p>
    <w:p>
      <w:pPr>
        <w:pStyle w:val="Normal"/>
      </w:pPr>
      <w:r>
        <w:rPr>
          <w:b w:val="false"/>
          <w:i w:val="false"/>
        </w:rPr>
        <w:t>A66-C.13. Maintenance-response targets.</w:t>
      </w:r>
    </w:p>
    <w:p>
      <w:pPr>
        <w:pStyle w:val="Normal"/>
      </w:pPr>
      <w:r>
        <w:rPr>
          <w:b w:val="false"/>
          <w:i w:val="false"/>
        </w:rPr>
        <w:t>A66-C.14. Spare-parts and lifecycle plans.</w:t>
      </w:r>
    </w:p>
    <w:p>
      <w:pPr>
        <w:pStyle w:val="Normal"/>
      </w:pPr>
      <w:r>
        <w:rPr>
          <w:b w:val="false"/>
          <w:i w:val="false"/>
        </w:rPr>
        <w:t>A66-C.15. Fentanyl canine-team quantities.</w:t>
      </w:r>
    </w:p>
    <w:p>
      <w:pPr>
        <w:pStyle w:val="Normal"/>
      </w:pPr>
      <w:r>
        <w:rPr>
          <w:b w:val="false"/>
          <w:i w:val="false"/>
        </w:rPr>
        <w:t>A66-C.16. Other specialized canine-team quantities.</w:t>
      </w:r>
    </w:p>
    <w:p>
      <w:pPr>
        <w:pStyle w:val="Normal"/>
      </w:pPr>
      <w:r>
        <w:rPr>
          <w:b w:val="false"/>
          <w:i w:val="false"/>
        </w:rPr>
        <w:t>A66-C.17. Canine regional deployment plans.</w:t>
      </w:r>
    </w:p>
    <w:p>
      <w:pPr>
        <w:pStyle w:val="Normal"/>
      </w:pPr>
      <w:r>
        <w:rPr>
          <w:b w:val="false"/>
          <w:i w:val="false"/>
        </w:rPr>
        <w:t>A66-C.18. Canine training throughput.</w:t>
      </w:r>
    </w:p>
    <w:p>
      <w:pPr>
        <w:pStyle w:val="Normal"/>
      </w:pPr>
      <w:r>
        <w:rPr>
          <w:b w:val="false"/>
          <w:i w:val="false"/>
        </w:rPr>
        <w:t>A66-C.19. Regional laboratory locations.</w:t>
      </w:r>
    </w:p>
    <w:p>
      <w:pPr>
        <w:pStyle w:val="Normal"/>
      </w:pPr>
      <w:r>
        <w:rPr>
          <w:b w:val="false"/>
          <w:i w:val="false"/>
        </w:rPr>
        <w:t>A66-C.20. Mobile laboratory deployments.</w:t>
      </w:r>
    </w:p>
    <w:p>
      <w:pPr>
        <w:pStyle w:val="Normal"/>
      </w:pPr>
      <w:r>
        <w:rPr>
          <w:b w:val="false"/>
          <w:i w:val="false"/>
        </w:rPr>
        <w:t>A66-C.21. Laboratory turnaround targets.</w:t>
      </w:r>
    </w:p>
    <w:p>
      <w:pPr>
        <w:pStyle w:val="Normal"/>
      </w:pPr>
      <w:r>
        <w:rPr>
          <w:b w:val="false"/>
          <w:i w:val="false"/>
        </w:rPr>
        <w:t>A66-C.22. Laboratory proficiency-test calendar.</w:t>
      </w:r>
    </w:p>
    <w:p>
      <w:pPr>
        <w:pStyle w:val="Normal"/>
      </w:pPr>
      <w:r>
        <w:rPr>
          <w:b w:val="false"/>
          <w:i w:val="false"/>
        </w:rPr>
        <w:t>A66-C.23. Precursor analytical priority list.</w:t>
      </w:r>
    </w:p>
    <w:p>
      <w:pPr>
        <w:pStyle w:val="Normal"/>
      </w:pPr>
      <w:r>
        <w:rPr>
          <w:b w:val="false"/>
          <w:i w:val="false"/>
        </w:rPr>
        <w:t>A66-C.24. Domestic precursor-review target timelines.</w:t>
      </w:r>
    </w:p>
    <w:p>
      <w:pPr>
        <w:pStyle w:val="Normal"/>
      </w:pPr>
      <w:r>
        <w:rPr>
          <w:b w:val="false"/>
          <w:i w:val="false"/>
        </w:rPr>
        <w:t>A66-C.25. Pill-press control implementation dates.</w:t>
      </w:r>
    </w:p>
    <w:p>
      <w:pPr>
        <w:pStyle w:val="Normal"/>
      </w:pPr>
      <w:r>
        <w:rPr>
          <w:b w:val="false"/>
          <w:i w:val="false"/>
        </w:rPr>
        <w:t>A66-C.26. Industry outreach schedules.</w:t>
      </w:r>
    </w:p>
    <w:p>
      <w:pPr>
        <w:pStyle w:val="Normal"/>
      </w:pPr>
      <w:r>
        <w:rPr>
          <w:b w:val="false"/>
          <w:i w:val="false"/>
        </w:rPr>
        <w:t>A66-C.27. High-risk port targeting pilots.</w:t>
      </w:r>
    </w:p>
    <w:p>
      <w:pPr>
        <w:pStyle w:val="Normal"/>
      </w:pPr>
      <w:r>
        <w:rPr>
          <w:b w:val="false"/>
          <w:i w:val="false"/>
        </w:rPr>
        <w:t>A66-C.28. Targeting-center liaison staffing.</w:t>
      </w:r>
    </w:p>
    <w:p>
      <w:pPr>
        <w:pStyle w:val="Normal"/>
      </w:pPr>
      <w:r>
        <w:rPr>
          <w:b w:val="false"/>
          <w:i w:val="false"/>
        </w:rPr>
        <w:t>A66-C.29. Risk-alert response-time targets.</w:t>
      </w:r>
    </w:p>
    <w:p>
      <w:pPr>
        <w:pStyle w:val="Normal"/>
      </w:pPr>
      <w:r>
        <w:rPr>
          <w:b w:val="false"/>
          <w:i w:val="false"/>
        </w:rPr>
        <w:t>A66-C.30. Trusted-trader security pilots.</w:t>
      </w:r>
    </w:p>
    <w:p>
      <w:pPr>
        <w:pStyle w:val="Normal"/>
      </w:pPr>
      <w:r>
        <w:rPr>
          <w:b w:val="false"/>
          <w:i w:val="false"/>
        </w:rPr>
        <w:t>A66-C.31. Cargo hit-rate baselines.</w:t>
      </w:r>
    </w:p>
    <w:p>
      <w:pPr>
        <w:pStyle w:val="Normal"/>
      </w:pPr>
      <w:r>
        <w:rPr>
          <w:b w:val="false"/>
          <w:i w:val="false"/>
        </w:rPr>
        <w:t>A66-C.32. Cargo false-positive baselines.</w:t>
      </w:r>
    </w:p>
    <w:p>
      <w:pPr>
        <w:pStyle w:val="Normal"/>
      </w:pPr>
      <w:r>
        <w:rPr>
          <w:b w:val="false"/>
          <w:i w:val="false"/>
        </w:rPr>
        <w:t>A66-C.33. Port wait-time baselines.</w:t>
      </w:r>
    </w:p>
    <w:p>
      <w:pPr>
        <w:pStyle w:val="Normal"/>
      </w:pPr>
      <w:r>
        <w:rPr>
          <w:b w:val="false"/>
          <w:i w:val="false"/>
        </w:rPr>
        <w:t>A66-C.34. Redundant-inspection reduction targets.</w:t>
      </w:r>
    </w:p>
    <w:p>
      <w:pPr>
        <w:pStyle w:val="Normal"/>
      </w:pPr>
      <w:r>
        <w:rPr>
          <w:b w:val="false"/>
          <w:i w:val="false"/>
        </w:rPr>
        <w:t>A66-C.35. CPKC corridor implementation sites.</w:t>
      </w:r>
    </w:p>
    <w:p>
      <w:pPr>
        <w:pStyle w:val="Normal"/>
      </w:pPr>
      <w:r>
        <w:rPr>
          <w:b w:val="false"/>
          <w:i w:val="false"/>
        </w:rPr>
        <w:t>A66-C.36. Rail seal pilot routes.</w:t>
      </w:r>
    </w:p>
    <w:p>
      <w:pPr>
        <w:pStyle w:val="Normal"/>
      </w:pPr>
      <w:r>
        <w:rPr>
          <w:b w:val="false"/>
          <w:i w:val="false"/>
        </w:rPr>
        <w:t>A66-C.37. Port security modernization sites.</w:t>
      </w:r>
    </w:p>
    <w:p>
      <w:pPr>
        <w:pStyle w:val="Normal"/>
      </w:pPr>
      <w:r>
        <w:rPr>
          <w:b w:val="false"/>
          <w:i w:val="false"/>
        </w:rPr>
        <w:t>A66-C.38. Maritime awareness deployment areas.</w:t>
      </w:r>
    </w:p>
    <w:p>
      <w:pPr>
        <w:pStyle w:val="Normal"/>
      </w:pPr>
      <w:r>
        <w:rPr>
          <w:b w:val="false"/>
          <w:i w:val="false"/>
        </w:rPr>
        <w:t>A66-C.39. Air-cargo priority airports.</w:t>
      </w:r>
    </w:p>
    <w:p>
      <w:pPr>
        <w:pStyle w:val="Normal"/>
      </w:pPr>
      <w:r>
        <w:rPr>
          <w:b w:val="false"/>
          <w:i w:val="false"/>
        </w:rPr>
        <w:t>A66-C.40. General-aviation priority locations.</w:t>
      </w:r>
    </w:p>
    <w:p>
      <w:pPr>
        <w:pStyle w:val="Normal"/>
      </w:pPr>
      <w:r>
        <w:rPr>
          <w:b w:val="false"/>
          <w:i w:val="false"/>
        </w:rPr>
        <w:t>A66-C.41. Postal inspection modernization sites.</w:t>
      </w:r>
    </w:p>
    <w:p>
      <w:pPr>
        <w:pStyle w:val="Normal"/>
      </w:pPr>
      <w:r>
        <w:rPr>
          <w:b w:val="false"/>
          <w:i w:val="false"/>
        </w:rPr>
        <w:t>A66-C.42. Express-carrier data pilots.</w:t>
      </w:r>
    </w:p>
    <w:p>
      <w:pPr>
        <w:pStyle w:val="Normal"/>
      </w:pPr>
      <w:r>
        <w:rPr>
          <w:b w:val="false"/>
          <w:i w:val="false"/>
        </w:rPr>
        <w:t>A66-C.43. Small-parcel detection equipment sites.</w:t>
      </w:r>
    </w:p>
    <w:p>
      <w:pPr>
        <w:pStyle w:val="Normal"/>
      </w:pPr>
      <w:r>
        <w:rPr>
          <w:b w:val="false"/>
          <w:i w:val="false"/>
        </w:rPr>
        <w:t>A66-C.44. Organized-crime liaison placements.</w:t>
      </w:r>
    </w:p>
    <w:p>
      <w:pPr>
        <w:pStyle w:val="Normal"/>
      </w:pPr>
      <w:r>
        <w:rPr>
          <w:b w:val="false"/>
          <w:i w:val="false"/>
        </w:rPr>
        <w:t>A66-C.45. Rapid-MLAT service standards.</w:t>
      </w:r>
    </w:p>
    <w:p>
      <w:pPr>
        <w:pStyle w:val="Normal"/>
      </w:pPr>
      <w:r>
        <w:rPr>
          <w:b w:val="false"/>
          <w:i w:val="false"/>
        </w:rPr>
        <w:t>A66-C.46. Firearms tracing capacity targets.</w:t>
      </w:r>
    </w:p>
    <w:p>
      <w:pPr>
        <w:pStyle w:val="Normal"/>
      </w:pPr>
      <w:r>
        <w:rPr>
          <w:b w:val="false"/>
          <w:i w:val="false"/>
        </w:rPr>
        <w:t>A66-C.47. Ballistic exchange implementation milestones.</w:t>
      </w:r>
    </w:p>
    <w:p>
      <w:pPr>
        <w:pStyle w:val="Normal"/>
      </w:pPr>
      <w:r>
        <w:rPr>
          <w:b w:val="false"/>
          <w:i w:val="false"/>
        </w:rPr>
        <w:t>A66-C.48. Illegal-firearms export-interdiction priorities.</w:t>
      </w:r>
    </w:p>
    <w:p>
      <w:pPr>
        <w:pStyle w:val="Normal"/>
      </w:pPr>
      <w:r>
        <w:rPr>
          <w:b w:val="false"/>
          <w:i w:val="false"/>
        </w:rPr>
        <w:t>A66-C.49. Stolen-vehicle export-interdiction priorities.</w:t>
      </w:r>
    </w:p>
    <w:p>
      <w:pPr>
        <w:pStyle w:val="Normal"/>
      </w:pPr>
      <w:r>
        <w:rPr>
          <w:b w:val="false"/>
          <w:i w:val="false"/>
        </w:rPr>
        <w:t>A66-C.50. Financial-intelligence liaison arrangements.</w:t>
      </w:r>
    </w:p>
    <w:p>
      <w:pPr>
        <w:pStyle w:val="Normal"/>
      </w:pPr>
      <w:r>
        <w:rPr>
          <w:b w:val="false"/>
          <w:i w:val="false"/>
        </w:rPr>
        <w:t>A66-C.51. TBML analytical priorities.</w:t>
      </w:r>
    </w:p>
    <w:p>
      <w:pPr>
        <w:pStyle w:val="Normal"/>
      </w:pPr>
      <w:r>
        <w:rPr>
          <w:b w:val="false"/>
          <w:i w:val="false"/>
        </w:rPr>
        <w:t>A66-C.52. Virtual-asset training targets.</w:t>
      </w:r>
    </w:p>
    <w:p>
      <w:pPr>
        <w:pStyle w:val="Normal"/>
      </w:pPr>
      <w:r>
        <w:rPr>
          <w:b w:val="false"/>
          <w:i w:val="false"/>
        </w:rPr>
        <w:t>A66-C.53. Digital-evidence contact rosters.</w:t>
      </w:r>
    </w:p>
    <w:p>
      <w:pPr>
        <w:pStyle w:val="Normal"/>
      </w:pPr>
      <w:r>
        <w:rPr>
          <w:b w:val="false"/>
          <w:i w:val="false"/>
        </w:rPr>
        <w:t>A66-C.54. Officer fentanyl-safety training targets.</w:t>
      </w:r>
    </w:p>
    <w:p>
      <w:pPr>
        <w:pStyle w:val="Normal"/>
      </w:pPr>
      <w:r>
        <w:rPr>
          <w:b w:val="false"/>
          <w:i w:val="false"/>
        </w:rPr>
        <w:t>A66-C.55. Chemical-detection training targets.</w:t>
      </w:r>
    </w:p>
    <w:p>
      <w:pPr>
        <w:pStyle w:val="Normal"/>
      </w:pPr>
      <w:r>
        <w:rPr>
          <w:b w:val="false"/>
          <w:i w:val="false"/>
        </w:rPr>
        <w:t>A66-C.56. Counter-drone training targets.</w:t>
      </w:r>
    </w:p>
    <w:p>
      <w:pPr>
        <w:pStyle w:val="Normal"/>
      </w:pPr>
      <w:r>
        <w:rPr>
          <w:b w:val="false"/>
          <w:i w:val="false"/>
        </w:rPr>
        <w:t>A66-C.57. Tunnel-interdiction training targets.</w:t>
      </w:r>
    </w:p>
    <w:p>
      <w:pPr>
        <w:pStyle w:val="Normal"/>
      </w:pPr>
      <w:r>
        <w:rPr>
          <w:b w:val="false"/>
          <w:i w:val="false"/>
        </w:rPr>
        <w:t>A66-C.58. Maritime-interdiction exercise calendar.</w:t>
      </w:r>
    </w:p>
    <w:p>
      <w:pPr>
        <w:pStyle w:val="Normal"/>
      </w:pPr>
      <w:r>
        <w:rPr>
          <w:b w:val="false"/>
          <w:i w:val="false"/>
        </w:rPr>
        <w:t>A66-C.59. Rights and privacy training targets.</w:t>
      </w:r>
    </w:p>
    <w:p>
      <w:pPr>
        <w:pStyle w:val="Normal"/>
      </w:pPr>
      <w:r>
        <w:rPr>
          <w:b w:val="false"/>
          <w:i w:val="false"/>
        </w:rPr>
        <w:t>A66-C.60. Anti-corruption training targets.</w:t>
      </w:r>
    </w:p>
    <w:p>
      <w:pPr>
        <w:pStyle w:val="Normal"/>
      </w:pPr>
      <w:r>
        <w:rPr>
          <w:b w:val="false"/>
          <w:i w:val="false"/>
        </w:rPr>
        <w:t>A66-C.61. Naloxone and PPE facility standards.</w:t>
      </w:r>
    </w:p>
    <w:p>
      <w:pPr>
        <w:pStyle w:val="Normal"/>
      </w:pPr>
      <w:r>
        <w:rPr>
          <w:b w:val="false"/>
          <w:i w:val="false"/>
        </w:rPr>
        <w:t>A66-C.62. Annual Shield exercise calendar.</w:t>
      </w:r>
    </w:p>
    <w:p>
      <w:pPr>
        <w:pStyle w:val="Normal"/>
      </w:pPr>
      <w:r>
        <w:rPr>
          <w:b w:val="false"/>
          <w:i w:val="false"/>
        </w:rPr>
        <w:t>A66-C.63. Dashboard publication calendar.</w:t>
      </w:r>
    </w:p>
    <w:p>
      <w:pPr>
        <w:pStyle w:val="Normal"/>
      </w:pPr>
      <w:r>
        <w:rPr>
          <w:b w:val="false"/>
          <w:i w:val="false"/>
        </w:rPr>
        <w:t>A66-C.64. National implementation funding envelopes.</w:t>
      </w:r>
    </w:p>
    <w:p>
      <w:pPr>
        <w:pStyle w:val="Normal"/>
      </w:pPr>
      <w:r>
        <w:rPr>
          <w:b w:val="false"/>
          <w:i w:val="false"/>
        </w:rPr>
        <w:t>A66-C.65. Annual implementation certification dates.</w:t>
      </w:r>
    </w:p>
    <w:p>
      <w:pPr>
        <w:pStyle w:val="Normal"/>
      </w:pPr>
      <w:r>
        <w:rPr>
          <w:b w:val="false"/>
          <w:i w:val="false"/>
        </w:rPr>
        <w:t>A66-C.66. Five-year comprehensive review timetable.</w:t>
      </w:r>
    </w:p>
    <w:p>
      <w:pPr>
        <w:pStyle w:val="Heading2"/>
      </w:pPr>
      <w:bookmarkStart w:id="902133" w:name="_Toc300002132"/>
      <w:r>
        <w:t>ANNEX 66-D: OPTIONAL CONTROLLED PILOT REGISTER</w:t>
      </w:r>
      <w:bookmarkEnd w:id="902133"/>
    </w:p>
    <w:p>
      <w:pPr>
        <w:pStyle w:val="Normal"/>
      </w:pPr>
      <w:r>
        <w:rPr>
          <w:b w:val="false"/>
          <w:i w:val="false"/>
        </w:rPr>
        <w:t>Each pilot shall progress through P1 Concept Validated, P2 Legal Authority Verified, P3 Controlled Pilot Authorized, P4 Independent Evaluation, and P5 Eligible for Program Status. Deployment alone does not create permanent authority.</w:t>
      </w:r>
    </w:p>
    <w:p>
      <w:pPr>
        <w:pStyle w:val="Normal"/>
      </w:pPr>
      <w:r>
        <w:rPr>
          <w:b w:val="false"/>
          <w:i w:val="false"/>
        </w:rPr>
        <w:t>A66-D.1. Persistent remote aerial surveillance: Limited to defined threat corridors or operational zones; requires verified legal authority, retention limits, audit and independent evaluation.</w:t>
      </w:r>
    </w:p>
    <w:p>
      <w:pPr>
        <w:pStyle w:val="Normal"/>
      </w:pPr>
      <w:r>
        <w:rPr>
          <w:b w:val="false"/>
          <w:i w:val="false"/>
        </w:rPr>
        <w:t>A66-D.2. Passenger-vehicle behavioral analytics: May proceed only as an audited national pilot with documented false-positive, discrimination and effectiveness testing.</w:t>
      </w:r>
    </w:p>
    <w:p>
      <w:pPr>
        <w:pStyle w:val="Normal"/>
      </w:pPr>
      <w:r>
        <w:rPr>
          <w:b w:val="false"/>
          <w:i w:val="false"/>
        </w:rPr>
        <w:t>A66-D.3. Expanded bonded-cargo GPS or electronic-seal tracking: Limited to designated cargo programs with commercial-confidentiality, retention and access safeguards.</w:t>
      </w:r>
    </w:p>
    <w:p>
      <w:pPr>
        <w:pStyle w:val="Normal"/>
      </w:pPr>
      <w:r>
        <w:rPr>
          <w:b w:val="false"/>
          <w:i w:val="false"/>
        </w:rPr>
        <w:t>A66-D.4. Expanded cross-border controlled deliveries: Case-specific only, with destination-country authorization and applicable warrant, evidentiary and prosecutorial safeguards.</w:t>
      </w:r>
    </w:p>
    <w:p>
      <w:pPr>
        <w:pStyle w:val="Normal"/>
      </w:pPr>
      <w:r>
        <w:rPr>
          <w:b w:val="false"/>
          <w:i w:val="false"/>
        </w:rPr>
        <w:t>A66-D.5. Co-located inspection arrangements: Site-specific and authority-dependent; no foreign command or automatic recognition of another Party’s enforcement decision.</w:t>
      </w:r>
    </w:p>
    <w:p>
      <w:pPr>
        <w:pStyle w:val="Normal"/>
      </w:pPr>
      <w:r>
        <w:rPr>
          <w:b w:val="false"/>
          <w:i w:val="false"/>
        </w:rPr>
        <w:t>A66-D.6. Shared advanced financial or crypto analytical tooling: Common tools or methods may be tested, but investigative records remain nationally controlled and no common raw transaction lake is created.</w:t>
      </w:r>
    </w:p>
    <w:p>
      <w:pPr>
        <w:pStyle w:val="Heading2"/>
      </w:pPr>
      <w:bookmarkStart w:id="902134" w:name="_Toc300002133"/>
      <w:r>
        <w:t>ANNEX 66-E: NON-BINDING PUBLIC COMMUNICATIONS / VISIBLE-WIN OVERLAY</w:t>
      </w:r>
      <w:bookmarkEnd w:id="902134"/>
    </w:p>
    <w:p>
      <w:pPr>
        <w:pStyle w:val="Normal"/>
      </w:pPr>
      <w:r>
        <w:rPr>
          <w:b w:val="false"/>
          <w:i w:val="false"/>
        </w:rPr>
        <w:t>The following twenty-four items are communication and prioritization overlays only. They do not guarantee seizures, awards, arrests, prosecutions, procurement outcomes, funding, or unverified numerical results.</w:t>
      </w:r>
    </w:p>
    <w:p>
      <w:pPr>
        <w:pStyle w:val="Normal"/>
      </w:pPr>
      <w:r>
        <w:rPr>
          <w:b w:val="false"/>
          <w:i w:val="false"/>
        </w:rPr>
        <w:t>A66-E.1. Windsor-Detroit paired scanner modernization.</w:t>
      </w:r>
    </w:p>
    <w:p>
      <w:pPr>
        <w:pStyle w:val="Normal"/>
      </w:pPr>
      <w:r>
        <w:rPr>
          <w:b w:val="false"/>
          <w:i w:val="false"/>
        </w:rPr>
        <w:t>A66-E.2. Pacific/Blaine paired scanner modernization.</w:t>
      </w:r>
    </w:p>
    <w:p>
      <w:pPr>
        <w:pStyle w:val="Normal"/>
      </w:pPr>
      <w:r>
        <w:rPr>
          <w:b w:val="false"/>
          <w:i w:val="false"/>
        </w:rPr>
        <w:t>A66-E.3. U.S.-Mexico high-throughput scanner corridors.</w:t>
      </w:r>
    </w:p>
    <w:p>
      <w:pPr>
        <w:pStyle w:val="Normal"/>
      </w:pPr>
      <w:r>
        <w:rPr>
          <w:b w:val="false"/>
          <w:i w:val="false"/>
        </w:rPr>
        <w:t>A66-E.4. North American mobile scanner fleets.</w:t>
      </w:r>
    </w:p>
    <w:p>
      <w:pPr>
        <w:pStyle w:val="Normal"/>
      </w:pPr>
      <w:r>
        <w:rPr>
          <w:b w:val="false"/>
          <w:i w:val="false"/>
        </w:rPr>
        <w:t>A66-E.5. Scanner maintenance and uptime guarantee.</w:t>
      </w:r>
    </w:p>
    <w:p>
      <w:pPr>
        <w:pStyle w:val="Normal"/>
      </w:pPr>
      <w:r>
        <w:rPr>
          <w:b w:val="false"/>
          <w:i w:val="false"/>
        </w:rPr>
        <w:t>A66-E.6. Handheld fentanyl and chemical identification deployment.</w:t>
      </w:r>
    </w:p>
    <w:p>
      <w:pPr>
        <w:pStyle w:val="Normal"/>
      </w:pPr>
      <w:r>
        <w:rPr>
          <w:b w:val="false"/>
          <w:i w:val="false"/>
        </w:rPr>
        <w:t>A66-E.7. Expanded fentanyl-detection canine capacity.</w:t>
      </w:r>
    </w:p>
    <w:p>
      <w:pPr>
        <w:pStyle w:val="Normal"/>
      </w:pPr>
      <w:r>
        <w:rPr>
          <w:b w:val="false"/>
          <w:i w:val="false"/>
        </w:rPr>
        <w:t>A66-E.8. Rapid precursor-control system.</w:t>
      </w:r>
    </w:p>
    <w:p>
      <w:pPr>
        <w:pStyle w:val="Normal"/>
      </w:pPr>
      <w:r>
        <w:rPr>
          <w:b w:val="false"/>
          <w:i w:val="false"/>
        </w:rPr>
        <w:t>A66-E.9. Pill-press and illicit manufacturing-equipment controls.</w:t>
      </w:r>
    </w:p>
    <w:p>
      <w:pPr>
        <w:pStyle w:val="Normal"/>
      </w:pPr>
      <w:r>
        <w:rPr>
          <w:b w:val="false"/>
          <w:i w:val="false"/>
        </w:rPr>
        <w:t>A66-E.10. North American precursor early-warning network.</w:t>
      </w:r>
    </w:p>
    <w:p>
      <w:pPr>
        <w:pStyle w:val="Normal"/>
      </w:pPr>
      <w:r>
        <w:rPr>
          <w:b w:val="false"/>
          <w:i w:val="false"/>
        </w:rPr>
        <w:t>A66-E.11. Drug Profiling and Chemical Signature Network.</w:t>
      </w:r>
    </w:p>
    <w:p>
      <w:pPr>
        <w:pStyle w:val="Normal"/>
      </w:pPr>
      <w:r>
        <w:rPr>
          <w:b w:val="false"/>
          <w:i w:val="false"/>
        </w:rPr>
        <w:t>A66-E.12. Faster forensic-laboratory turnaround.</w:t>
      </w:r>
    </w:p>
    <w:p>
      <w:pPr>
        <w:pStyle w:val="Normal"/>
      </w:pPr>
      <w:r>
        <w:rPr>
          <w:b w:val="false"/>
          <w:i w:val="false"/>
        </w:rPr>
        <w:t>A66-E.13. CPKC secure freight corridor.</w:t>
      </w:r>
    </w:p>
    <w:p>
      <w:pPr>
        <w:pStyle w:val="Normal"/>
      </w:pPr>
      <w:r>
        <w:rPr>
          <w:b w:val="false"/>
          <w:i w:val="false"/>
        </w:rPr>
        <w:t>A66-E.14. Port and container security modernization.</w:t>
      </w:r>
    </w:p>
    <w:p>
      <w:pPr>
        <w:pStyle w:val="Normal"/>
      </w:pPr>
      <w:r>
        <w:rPr>
          <w:b w:val="false"/>
          <w:i w:val="false"/>
        </w:rPr>
        <w:t>A66-E.15. International mail and small-parcel security upgrade.</w:t>
      </w:r>
    </w:p>
    <w:p>
      <w:pPr>
        <w:pStyle w:val="Normal"/>
      </w:pPr>
      <w:r>
        <w:rPr>
          <w:b w:val="false"/>
          <w:i w:val="false"/>
        </w:rPr>
        <w:t>A66-E.16. Faster trusted legitimate trade through risk targeting.</w:t>
      </w:r>
    </w:p>
    <w:p>
      <w:pPr>
        <w:pStyle w:val="Normal"/>
      </w:pPr>
      <w:r>
        <w:rPr>
          <w:b w:val="false"/>
          <w:i w:val="false"/>
        </w:rPr>
        <w:t>A66-E.17. Major synthetic-drug organized-crime case cooperation.</w:t>
      </w:r>
    </w:p>
    <w:p>
      <w:pPr>
        <w:pStyle w:val="Normal"/>
      </w:pPr>
      <w:r>
        <w:rPr>
          <w:b w:val="false"/>
          <w:i w:val="false"/>
        </w:rPr>
        <w:t>A66-E.18. Rapid mutual-legal-assistance channel.</w:t>
      </w:r>
    </w:p>
    <w:p>
      <w:pPr>
        <w:pStyle w:val="Normal"/>
      </w:pPr>
      <w:r>
        <w:rPr>
          <w:b w:val="false"/>
          <w:i w:val="false"/>
        </w:rPr>
        <w:t>A66-E.19. North American illicit-firearms trafficking initiative.</w:t>
      </w:r>
    </w:p>
    <w:p>
      <w:pPr>
        <w:pStyle w:val="Normal"/>
      </w:pPr>
      <w:r>
        <w:rPr>
          <w:b w:val="false"/>
          <w:i w:val="false"/>
        </w:rPr>
        <w:t>A66-E.20. Stolen-vehicle export-interdiction initiative.</w:t>
      </w:r>
    </w:p>
    <w:p>
      <w:pPr>
        <w:pStyle w:val="Normal"/>
      </w:pPr>
      <w:r>
        <w:rPr>
          <w:b w:val="false"/>
          <w:i w:val="false"/>
        </w:rPr>
        <w:t>A66-E.21. Illicit-finance and cartel-asset disruption initiative.</w:t>
      </w:r>
    </w:p>
    <w:p>
      <w:pPr>
        <w:pStyle w:val="Normal"/>
      </w:pPr>
      <w:r>
        <w:rPr>
          <w:b w:val="false"/>
          <w:i w:val="false"/>
        </w:rPr>
        <w:t>A66-E.22. Darknet synthetic-drug disruption initiative.</w:t>
      </w:r>
    </w:p>
    <w:p>
      <w:pPr>
        <w:pStyle w:val="Normal"/>
      </w:pPr>
      <w:r>
        <w:rPr>
          <w:b w:val="false"/>
          <w:i w:val="false"/>
        </w:rPr>
        <w:t>A66-E.23. Shield Performance Dashboard.</w:t>
      </w:r>
    </w:p>
    <w:p>
      <w:pPr>
        <w:pStyle w:val="Normal"/>
      </w:pPr>
      <w:r>
        <w:rPr>
          <w:b w:val="false"/>
          <w:i w:val="false"/>
        </w:rPr>
        <w:t>A66-E.24. Security Cooperation Trade-Peace Guarantee.</w:t>
      </w:r>
    </w:p>
    <w:p>
      <w:pPr>
        <w:pStyle w:val="Heading2"/>
      </w:pPr>
      <w:bookmarkStart w:id="902135" w:name="_Toc300002134"/>
      <w:r>
        <w:t>ANNEX 66-F: TREATY-WIDE FACT, AUTHORITY AND CLAIM VERIFICATION RULE</w:t>
      </w:r>
      <w:bookmarkEnd w:id="902135"/>
    </w:p>
    <w:p>
      <w:pPr>
        <w:pStyle w:val="Normal"/>
      </w:pPr>
      <w:r>
        <w:t>1. Unless a more specific provision supplies an equal or stronger verification rule, this Annex applies throughout this Agreement. Named projects, existing programs, agency structures, quantities, budgets, historical figures, staffing levels, percentage changes, equipment counts and other factual claims developed during negotiation are research leads unless independently verified and certified by the competent Party.</w:t>
      </w:r>
    </w:p>
    <w:p>
      <w:pPr>
        <w:pStyle w:val="Normal"/>
      </w:pPr>
      <w:r>
        <w:rPr>
          <w:b w:val="false"/>
          <w:i w:val="false"/>
        </w:rPr>
        <w:t>2. No illustrative quantity, historical result or model-generated estimate becomes a treaty fact merely by appearing in a negotiating draft. Implementation instruments shall identify source, date, competent authority and verification status where material.</w:t>
      </w:r>
    </w:p>
    <w:p>
      <w:pPr>
        <w:pStyle w:val="Normal"/>
      </w:pPr>
      <w:r>
        <w:rPr>
          <w:b w:val="false"/>
          <w:i w:val="false"/>
        </w:rPr>
        <w:t>3. Public claims shall distinguish historical observed data, current operational status, planned commitments, modeled estimates and political targets. Material uncertainty shall not be concealed.</w:t>
      </w:r>
    </w:p>
    <w:p>
      <w:pPr>
        <w:pStyle w:val="Heading1"/>
      </w:pPr>
      <w:bookmarkStart w:id="902136" w:name="_Toc300002135"/>
      <w:r>
        <w:t>CHAPTER 67: NORTH AMERICAN ARCTIC SECURITY, SOVEREIGNTY AND CONTINENTAL DEFENCE COMPACT</w:t>
      </w:r>
      <w:bookmarkEnd w:id="902136"/>
    </w:p>
    <w:p>
      <w:pPr>
        <w:pStyle w:val="Normal"/>
      </w:pPr>
      <w:r>
        <w:rPr>
          <w:b/>
        </w:rPr>
        <w:t>NORTHERN VIGILANCE PARTNERSHIP</w:t>
      </w:r>
    </w:p>
    <w:p>
      <w:pPr>
        <w:pStyle w:val="Normal"/>
      </w:pPr>
      <w:r>
        <w:rPr>
          <w:b/>
        </w:rPr>
        <w:t xml:space="preserve">★ </w:t>
      </w:r>
      <w:r>
        <w:rPr>
          <w:b/>
        </w:rPr>
        <w:t>VISIBLE U.S. SECURITY WIN: THE LARGEST MODERNIZATION OF NORTH AMERICA’S NORTHERN WARNING, BASING AND DEFENCE INFRASTRUCTURE IN GENERATIONS</w:t>
      </w:r>
    </w:p>
    <w:p>
      <w:pPr>
        <w:pStyle w:val="Normal"/>
      </w:pPr>
      <w:r>
        <w:rPr>
          <w:b/>
        </w:rPr>
        <w:t xml:space="preserve">★ </w:t>
      </w:r>
      <w:r>
        <w:rPr>
          <w:b/>
        </w:rPr>
        <w:t>VISIBLE CANADIAN WIN: BILLIONS IN CANADIAN ARCTIC INFRASTRUCTURE, STRONGER NORTHERN COMMUNITIES AND INDUSTRY, AND UNDIMINISHED CANADIAN SOVEREIGNTY AND COMMAND</w:t>
      </w:r>
    </w:p>
    <w:p>
      <w:pPr>
        <w:pStyle w:val="Normal"/>
      </w:pPr>
      <w:r>
        <w:rPr>
          <w:b/>
        </w:rPr>
        <w:t xml:space="preserve">★ </w:t>
      </w:r>
      <w:r>
        <w:rPr>
          <w:b/>
        </w:rPr>
        <w:t>VISIBLE TRILATERAL WIN: A STRONGER NORTH AMERICAN DEFENCE INDUSTRIAL BASE, MORE RESILIENT CRITICAL SUPPLY CHAINS, AND BETTER PROTECTION OF THE CONTINENT</w:t>
      </w:r>
    </w:p>
    <w:p>
      <w:pPr>
        <w:pStyle w:val="Normal"/>
      </w:pPr>
      <w:r>
        <w:rPr>
          <w:b/>
        </w:rPr>
        <w:t>SPEND ONCE. BUILD FOR DECADES. DEFEND THE CONTINENT.</w:t>
      </w:r>
    </w:p>
    <w:p>
      <w:pPr>
        <w:pStyle w:val="Heading2"/>
      </w:pPr>
      <w:bookmarkStart w:id="902137" w:name="_Toc300002136"/>
      <w:r>
        <w:t>ARTICLE 67.1: Purpose and Bargain</w:t>
      </w:r>
      <w:bookmarkEnd w:id="902137"/>
    </w:p>
    <w:p>
      <w:pPr>
        <w:pStyle w:val="Normal"/>
      </w:pPr>
      <w:r>
        <w:t>The Parties establish the Northern Vigilance Partnership to organize verified northern defence, warning, infrastructure, logistics, industrial, resilience and community investments into a durable continental-security framework. Real capability and burden-sharing may be recognized without converting existing Canadian investment into a fictional new concession, transferring sovereignty, guaranteeing procurement awards, or compelling an unapproved weapons deployment.</w:t>
      </w:r>
    </w:p>
    <w:p>
      <w:pPr>
        <w:pStyle w:val="Heading2"/>
      </w:pPr>
      <w:bookmarkStart w:id="902138" w:name="_Toc300002137"/>
      <w:r>
        <w:t>ARTICLE 67.2: Governing Principle, Sovereign Infrastructure, Continental Benefit</w:t>
      </w:r>
      <w:bookmarkEnd w:id="902138"/>
    </w:p>
    <w:p>
      <w:pPr>
        <w:pStyle w:val="Normal"/>
      </w:pPr>
      <w:r>
        <w:t>Infrastructure situated in Canada shall remain subject to Canadian sovereignty, jurisdiction, law, ownership arrangements and command authority. Continental usefulness creates no foreign sovereign right, ownership interest, command authority, enforcement authority, or independent right of access.</w:t>
      </w:r>
    </w:p>
    <w:p>
      <w:pPr>
        <w:pStyle w:val="Heading2"/>
      </w:pPr>
      <w:bookmarkStart w:id="902139" w:name="_Toc300002138"/>
      <w:r>
        <w:t>ARTICLE 67.3: Canadian Arctic Sovereignty and Legal-Position Savings</w:t>
      </w:r>
      <w:bookmarkEnd w:id="902139"/>
    </w:p>
    <w:p>
      <w:pPr>
        <w:pStyle w:val="Normal"/>
      </w:pPr>
      <w:r>
        <w:t>Nothing in this Chapter transfers, diminishes, qualifies, or creates any foreign claim to Canadian sovereignty, sovereign rights, jurisdiction, maritime claims, internal-waters positions, Arctic lands, infrastructure, natural resources, or command authority. Cooperation is without prejudice to each Party's legal positions, including Canada's position concerning the waters of the Northwest Passage.</w:t>
      </w:r>
    </w:p>
    <w:p>
      <w:pPr>
        <w:pStyle w:val="Heading2"/>
      </w:pPr>
      <w:bookmarkStart w:id="902140" w:name="_Toc300002139"/>
      <w:r>
        <w:t>ARTICLE 67.4: Canadian Soil, Canadian Authority</w:t>
      </w:r>
      <w:bookmarkEnd w:id="902140"/>
    </w:p>
    <w:p>
      <w:pPr>
        <w:pStyle w:val="Normal"/>
      </w:pPr>
      <w:r>
        <w:t>Foreign personnel, forces, contractors, or officials may use Canadian facilities, systems, ranges, ports, airfields, or data environments only pursuant to Canadian law, Canadian authorization, and applicable agreements. Continental defence participation does not constitute consent to permanent foreign basing, foreign ownership, independent military operations, or foreign enforcement authority in Canada.</w:t>
      </w:r>
    </w:p>
    <w:p>
      <w:pPr>
        <w:pStyle w:val="Heading2"/>
      </w:pPr>
      <w:bookmarkStart w:id="902141" w:name="_Toc300002140"/>
      <w:r>
        <w:t>ARTICLE 67.5: National Command and Capability Without Compulsion</w:t>
      </w:r>
      <w:bookmarkEnd w:id="902141"/>
    </w:p>
    <w:p>
      <w:pPr>
        <w:pStyle w:val="Normal"/>
      </w:pPr>
      <w:r>
        <w:t>Each Party retains command of its forces and exclusive authority over acquisition, deployment, basing, and operational decisions affecting its territory and forces. Recognition of a capability area does not itself compel acquisition, deployment, hosting, funding, basing, or authorization of a particular weapon, platform, interceptor, sensor, or foreign presence.</w:t>
      </w:r>
    </w:p>
    <w:p>
      <w:pPr>
        <w:pStyle w:val="Heading2"/>
      </w:pPr>
      <w:bookmarkStart w:id="902142" w:name="_Toc300002141"/>
      <w:r>
        <w:t>ARTICLE 67.6: Trilateral Where Functional, Binational Where Operational</w:t>
      </w:r>
      <w:bookmarkEnd w:id="902142"/>
    </w:p>
    <w:p>
      <w:pPr>
        <w:pStyle w:val="Normal"/>
      </w:pPr>
      <w:r>
        <w:t>Canada and the United States may use NORAD and other lawful bilateral arrangements for Arctic operational defence. Mexico may participate where functionally appropriate through industrial supply chains, research, standards, resilience, procurement, critical materials, emergency logistics, and other continental-support functions, subject to applicable domestic and international law.</w:t>
      </w:r>
    </w:p>
    <w:p>
      <w:pPr>
        <w:pStyle w:val="Heading2"/>
      </w:pPr>
      <w:bookmarkStart w:id="902143" w:name="_Toc300002142"/>
      <w:r>
        <w:t>ARTICLE 67.7: Maintain While Modernizing</w:t>
      </w:r>
      <w:bookmarkEnd w:id="902143"/>
    </w:p>
    <w:p>
      <w:pPr>
        <w:pStyle w:val="Normal"/>
      </w:pPr>
      <w:r>
        <w:t>Each Party plans transitions so that development of replacement or next-generation warning, communications, basing, or surveillance capability does not justify avoidable degradation of an existing northern capability required during transition. A transition plan identifies the capability being replaced, the minimum continuity requirement, material dependencies, responsible authority, and the conditions for retirement of the predecessor capability. A material outage, delay, or transition risk is recorded and addressed through an interim sustainment, redundancy, sequencing, or restoration measure appropriate to the affected capability. Completion of the replacement does not extinguish a continuing sustainment or safety obligation unless the competent authority records that the successor capability satisfies the applicable continuity requirement.</w:t>
      </w:r>
    </w:p>
    <w:p>
      <w:pPr>
        <w:pStyle w:val="Heading2"/>
      </w:pPr>
      <w:bookmarkStart w:id="902144" w:name="_Toc300002143"/>
      <w:r>
        <w:t>ARTICLE 67.8: Public Commitment, Classified Implementation</w:t>
      </w:r>
      <w:bookmarkEnd w:id="902144"/>
    </w:p>
    <w:p>
      <w:pPr>
        <w:pStyle w:val="Normal"/>
      </w:pPr>
      <w:r>
        <w:t>The Parties may publish capability objectives, investment categories, classification-safe milestones, and aggregate indicators while protecting sensitive sensor geometry, coverage gaps, detection thresholds, stockpile depth, vulnerability data, and detailed readiness states under applicable law and security rules. A published indicator identifies its responsible source and distinguishes verified current status from planned, modeled, estimated, or classified-detail-withheld status. A correction to a public indicator is propagated to the relevant classification-safe record without requiring disclosure of protected operational information. Classification or security protection does not convert an unverified public claim into a verified milestone and does not prevent verification through an authorized classification-safe process.</w:t>
      </w:r>
    </w:p>
    <w:p>
      <w:pPr>
        <w:pStyle w:val="Heading2"/>
      </w:pPr>
      <w:bookmarkStart w:id="902145" w:name="_Toc300002144"/>
      <w:r>
        <w:t>ARTICLE 67.9: Interoperability Without Surrender of National Control</w:t>
      </w:r>
      <w:bookmarkEnd w:id="902145"/>
    </w:p>
    <w:p>
      <w:pPr>
        <w:pStyle w:val="Normal"/>
      </w:pPr>
      <w:r>
        <w:t>The Parties may pursue interoperability, common standards, exchange officers, federated data access, shared alerts, and compatible systems where lawful. No such arrangement requires surrender of national data custody, domestic decision authority, classification control, or command.</w:t>
      </w:r>
    </w:p>
    <w:p>
      <w:pPr>
        <w:pStyle w:val="Heading2"/>
      </w:pPr>
      <w:bookmarkStart w:id="902146" w:name="_Toc300002145"/>
      <w:r>
        <w:t>ARTICLE 67.10: Dual-Use Northern Dividend</w:t>
      </w:r>
      <w:bookmarkEnd w:id="902146"/>
    </w:p>
    <w:p>
      <w:pPr>
        <w:pStyle w:val="Normal"/>
      </w:pPr>
      <w:r>
        <w:t>Northern defence infrastructure may, where practicable, improve civilian resilience, emergency response, transportation, communications, power, health, search and rescue, or another northern capability without compromising security requirements. A project claiming a material dual-use benefit identifies the civilian function, affected community or service area, and the basis on which the benefit is expected or verified. A claimed civilian benefit does not justify weakening a security, safety, rights, environmental, or operational requirement applicable to the project. The implementation record distinguishes delivered dual-use benefits from anticipated or enabled benefits so that political branding does not substitute for demonstrated civilian value.</w:t>
      </w:r>
    </w:p>
    <w:p>
      <w:pPr>
        <w:pStyle w:val="Heading2"/>
      </w:pPr>
      <w:bookmarkStart w:id="902147" w:name="_Toc300002146"/>
      <w:r>
        <w:t>ARTICLE 67.11: No Northern Capacity Crowding-Out</w:t>
      </w:r>
      <w:bookmarkEnd w:id="902147"/>
    </w:p>
    <w:p>
      <w:pPr>
        <w:pStyle w:val="Normal"/>
      </w:pPr>
      <w:r>
        <w:t>A major defence investment identifies material pressure it may create on northern housing, labour, utilities, health services, transportation, construction capacity, or essential community infrastructure and, where practicable, includes mitigation or associated capacity expansion. The responsible authority records the material capacity constraints known at the relevant project stage and the mitigation, sequencing, procurement, workforce, housing, or service measure used to address them. Monitoring may rely on existing territorial, provincial, Indigenous, municipal, project, or national information where that information is adequate for the identified pressure. A material unmitigated pressure discovered during implementation triggers review and an appropriate corrective or capacity measure rather than being treated as an external cost merely because the underlying defence project remains authorized.</w:t>
      </w:r>
    </w:p>
    <w:p>
      <w:pPr>
        <w:pStyle w:val="Heading2"/>
      </w:pPr>
      <w:bookmarkStart w:id="902148" w:name="_Toc300002147"/>
      <w:r>
        <w:t>ARTICLE 67.12: Rights First, Partnership By Design</w:t>
      </w:r>
      <w:bookmarkEnd w:id="902148"/>
    </w:p>
    <w:p>
      <w:pPr>
        <w:pStyle w:val="Normal"/>
      </w:pPr>
      <w:r>
        <w:t>Implementation preserves applicable constitutional, treaty, land-claim, Indigenous-rights, consultation, accommodation, environmental, and other legal obligations. Northern and Indigenous participation is incorporated into project development where required or appropriate under applicable law, and participation under this Chapter does not replace a legally required consultation, consent, accommodation, assessment, or decision process. The responsible project record identifies the applicable process, competent authority, material issues raised, and any accommodation or project adjustment that the law or an adopted arrangement requires to be recorded. A schedule, scorecard, milestone, or Partnership designation does not cure non-compliance with an applicable rights obligation or pre-determine the outcome of a domestic rights process.</w:t>
      </w:r>
    </w:p>
    <w:p>
      <w:pPr>
        <w:pStyle w:val="Heading2"/>
      </w:pPr>
      <w:bookmarkStart w:id="902149" w:name="_Toc300002148"/>
      <w:r>
        <w:t>ARTICLE 67.13: Traditional Knowledge and Cultural Protection</w:t>
      </w:r>
      <w:bookmarkEnd w:id="902149"/>
    </w:p>
    <w:p>
      <w:pPr>
        <w:pStyle w:val="Normal"/>
      </w:pPr>
      <w:r>
        <w:t>Traditional knowledge voluntarily shared in connection with this Chapter receives protection required by applicable law and agreed terms. Collection, use, retention, onward disclosure, publication, and correction respect the purpose and conditions under which the knowledge was provided, including an applicable consent, confidentiality, attribution, or community-governance requirement. Project planning gives appropriate attention to cultural heritage, harvesting, community mobility, language access, and other affected rights or interests and records a material project response where applicable law or an agreed process requires one. Participation in a Partnership activity does not create a general licence to reuse traditional knowledge outside the authorized purpose or to disclose protected knowledge through a public scorecard or verification record.</w:t>
      </w:r>
    </w:p>
    <w:p>
      <w:pPr>
        <w:pStyle w:val="Heading2"/>
      </w:pPr>
      <w:bookmarkStart w:id="902150" w:name="_Toc300002149"/>
      <w:r>
        <w:t>ARTICLE 67.14: Existing Investment Recognition and Additionality</w:t>
      </w:r>
      <w:bookmarkEnd w:id="902150"/>
    </w:p>
    <w:p>
      <w:pPr>
        <w:pStyle w:val="Normal"/>
      </w:pPr>
      <w:r>
        <w:t>An existing or previously planned investment may be recognized as an anchor contribution where it genuinely supports the Partnership, but it is not represented as new agreement-attributable spending merely because it receives political visibility or Partnership branding. The record identifies the pre-agreement source, baseline status, funding state, and the portion, if any, that is accelerated, expanded, or newly attributable to an adopted Partnership action. A later reclassification is supported by new evidence and does not erase the original baseline entry. Public reporting distinguishes baseline recognition from additional spending so that the Partnership cannot manufacture additionality through relabeling.</w:t>
      </w:r>
    </w:p>
    <w:p>
      <w:pPr>
        <w:pStyle w:val="Heading2"/>
      </w:pPr>
      <w:bookmarkStart w:id="902151" w:name="_Toc300002150"/>
      <w:r>
        <w:t>ARTICLE 67.15: One Dollar, One Investment</w:t>
      </w:r>
      <w:bookmarkEnd w:id="902151"/>
    </w:p>
    <w:p>
      <w:pPr>
        <w:pStyle w:val="Normal"/>
      </w:pPr>
      <w:r>
        <w:t>Each expenditure shall be recorded once in the headline investment total. Separately identified outputs or benefits may be reported only in a manner that does not multiply the underlying investment value.</w:t>
      </w:r>
    </w:p>
    <w:p>
      <w:pPr>
        <w:pStyle w:val="Heading2"/>
      </w:pPr>
      <w:bookmarkStart w:id="902152" w:name="_Toc300002151"/>
      <w:r>
        <w:t>ARTICLE 67.16: Arctic Investment Ledger</w:t>
      </w:r>
      <w:bookmarkEnd w:id="902152"/>
    </w:p>
    <w:p>
      <w:pPr>
        <w:pStyle w:val="Normal"/>
      </w:pPr>
      <w:r>
        <w:t>The Arctic Investment Ledger distinguishes Baseline Value, Accelerated Value, Expanded Value, New Agreement Value, and Enabled Commercial Value. Enabled Commercial Value is separately reported, and the accounting basis, source, valuation date or period, responsible authority, and provenance for each material category are disclosed at a classification-safe level. A correction or superseding value preserves the prior entry and records the reason and date of change rather than silently overwriting the historical claim. A disputed or unverified value remains visibly identified as such and does not enter a verified headline total until the applicable verification process resolves its status.</w:t>
      </w:r>
    </w:p>
    <w:p>
      <w:pPr>
        <w:pStyle w:val="Heading2"/>
      </w:pPr>
      <w:bookmarkStart w:id="902153" w:name="_Toc300002152"/>
      <w:r>
        <w:t>ARTICLE 67.17: Baseline and Additionality</w:t>
      </w:r>
      <w:bookmarkEnd w:id="902153"/>
    </w:p>
    <w:p>
      <w:pPr>
        <w:pStyle w:val="Normal"/>
      </w:pPr>
      <w:r>
        <w:t>Each scheduled investment identifies its pre-agreement baseline, responsible authority, accounting basis, funding status, and any accelerated, expanded, or newly attributable portion. Umbrella envelopes and component expenditures are not double counted, and a methodology change identifies its effect on comparability with earlier reporting. Missing or not-yet-verifiable data is recorded as unavailable, estimated, or pending rather than converted into a verified value by inference. A corrected baseline or additionality determination propagates to the Investment Ledger, scorecard, and affected headline total while preserving the provenance of the earlier value.</w:t>
      </w:r>
    </w:p>
    <w:p>
      <w:pPr>
        <w:pStyle w:val="Heading2"/>
      </w:pPr>
      <w:bookmarkStart w:id="902154" w:name="_Toc300002153"/>
      <w:r>
        <w:t>ARTICLE 67.18: Independent Baseline and Headline Verification</w:t>
      </w:r>
      <w:bookmarkEnd w:id="902154"/>
    </w:p>
    <w:p>
      <w:pPr>
        <w:pStyle w:val="Normal"/>
      </w:pPr>
      <w:r>
        <w:t>A consolidated headline investment figure may be used only under an independently reviewable methodology identifying the expenditure universe, time period, national contributions, overlap adjustments, and treatment of previously committed spending. Verification may be performed through existing audit, statistical, or treaty-verification structures with sufficient independence from the body making the public claim, and the verifier identifies the methodology and material source limitations. A material error or methodological inconsistency is corrected in the next practicable publication and propagated to the underlying ledger. An unresolved disagreement over a material amount is reported as disputed or pending and is not presented as a jointly verified headline value.</w:t>
      </w:r>
    </w:p>
    <w:p>
      <w:pPr>
        <w:pStyle w:val="Heading2"/>
      </w:pPr>
      <w:bookmarkStart w:id="902155" w:name="_Toc300002154"/>
      <w:r>
        <w:t>ARTICLE 67.19: Northern Warning and Domain Awareness</w:t>
      </w:r>
      <w:bookmarkEnd w:id="902155"/>
    </w:p>
    <w:p>
      <w:pPr>
        <w:pStyle w:val="Normal"/>
      </w:pPr>
      <w:r>
        <w:t>The Parties may cooperate on resilient northern warning and domain-awareness capability, including appropriate over-the-horizon radar, North Warning System transition, gap-fill capability, maritime and air awareness, space-enabled awareness, maintenance, calibration, communications, and cyber resilience. A scheduled capability identifies the responsible authority, readiness or service objective appropriate to the system, material dependencies, sustainment path, and classification-safe evidence used to assess availability. A material outage, degradation, coverage gap, calibration failure, or transition risk is recorded through the competent national process and addressed through maintenance, redundancy, interim coverage, sequencing, or another authorized corrective measure. Any specific acquisition, construction, deployment, funding, or basing decision requires separate domestic authorization and, where applicable, an incorporated schedule.</w:t>
      </w:r>
    </w:p>
    <w:p>
      <w:pPr>
        <w:pStyle w:val="Heading2"/>
      </w:pPr>
      <w:bookmarkStart w:id="902156" w:name="_Toc300002155"/>
      <w:r>
        <w:t>ARTICLE 67.20: Northern Airfields, Basing and Operational Support</w:t>
      </w:r>
      <w:bookmarkEnd w:id="902156"/>
    </w:p>
    <w:p>
      <w:pPr>
        <w:pStyle w:val="Normal"/>
      </w:pPr>
      <w:r>
        <w:t>A Party may schedule modernization of northern airfields, forward operating locations, and operational support hubs, including runways, aprons, hangars, fuel, secure storage, accommodation, utilities, communications, weather, navigation, medical support, logistics, and emergency capability. A scheduled project identifies the operational function, responsible authority, material sustainment and utility dependencies, and any significant northern-community capacity constraint relevant to delivery or continued use. A material outage, construction delay, safety deficiency, or support-capacity failure is recorded and addressed through an authorized interim, corrective, or restoration measure appropriate to the project stage. This Article does not itself approve a project, appropriate funds, or authorize foreign basing.</w:t>
      </w:r>
    </w:p>
    <w:p>
      <w:pPr>
        <w:pStyle w:val="Heading2"/>
      </w:pPr>
      <w:bookmarkStart w:id="902157" w:name="_Toc300002156"/>
      <w:r>
        <w:t>ARTICLE 67.21: Ports, Sealift, Ice-Capable and Maritime Support</w:t>
      </w:r>
      <w:bookmarkEnd w:id="902157"/>
    </w:p>
    <w:p>
      <w:pPr>
        <w:pStyle w:val="Normal"/>
      </w:pPr>
      <w:r>
        <w:t>The Parties may cooperate on ports, small harbours, sealift, hydrography, navigation aids, vessel support, emergency refuge, spill response, and ice-capable maritime capability while preserving national ownership and command. A scheduled capability identifies its responsible authority, availability or service objective where applicable, material maintenance and seasonal dependencies, and interoperability requirements necessary for the stated function. Exercises, incidents, outages, or material performance failures may generate a classification-appropriate after-action or corrective record used to improve readiness and restoration. Specific projects remain subject to domestic authorization, funding, rights, environmental, and security requirements.</w:t>
      </w:r>
    </w:p>
    <w:p>
      <w:pPr>
        <w:pStyle w:val="Heading2"/>
      </w:pPr>
      <w:bookmarkStart w:id="902158" w:name="_Toc300002157"/>
      <w:r>
        <w:t>ARTICLE 67.22: Undersea Domain and Cable Protection</w:t>
      </w:r>
      <w:bookmarkEnd w:id="902158"/>
    </w:p>
    <w:p>
      <w:pPr>
        <w:pStyle w:val="Normal"/>
      </w:pPr>
      <w:r>
        <w:t>The Parties may undertake capability-level cooperation on submarine rescue, undersea research, autonomous undersea systems, ocean observation, seabed-infrastructure awareness, and cable protection. A material undersea or cable incident may trigger nationally authorized notification, evidence preservation, technical coordination, deconfliction, and assistance through competent authorities consistent with applicable law and security arrangements. The resulting record distinguishes observed facts, analytical assessments, corrections, responsible authorities, and closure or continuing-action status without requiring disclosure of protected operational information. Sensitive deployment and performance information remains protected under applicable law and classification rules, and no deployment is authorized solely by this Article.</w:t>
      </w:r>
    </w:p>
    <w:p>
      <w:pPr>
        <w:pStyle w:val="Heading2"/>
      </w:pPr>
      <w:bookmarkStart w:id="902159" w:name="_Toc300002158"/>
      <w:r>
        <w:t>ARTICLE 67.23: Airborne Early Warning and Air-Defence Evolution</w:t>
      </w:r>
      <w:bookmarkEnd w:id="902159"/>
    </w:p>
    <w:p>
      <w:pPr>
        <w:pStyle w:val="Normal"/>
      </w:pPr>
      <w:r>
        <w:t>The Parties may cooperate on airborne early warning, northern air-domain awareness, warning, sensing, interoperability, research, exercises, and infrastructure readiness. A scheduled capability identifies the responsible authority, transition or readiness objective, material dependencies, and the test, exercise, evaluation, or other evidence used to validate interoperability or availability where applicable. A material failure, delay, incompatibility, or degraded readiness condition is recorded and addressed through an authorized correction, interim capability, resequencing, or restoration process. This Article does not authorize or require a particular interceptor, missile-defence system, weapons deployment, funding commitment, or basing arrangement.</w:t>
      </w:r>
    </w:p>
    <w:p>
      <w:pPr>
        <w:pStyle w:val="Heading2"/>
      </w:pPr>
      <w:bookmarkStart w:id="902160" w:name="_Toc300002159"/>
      <w:r>
        <w:t>ARTICLE 67.24: Polar Communications, Space and C4ISR Resilience</w:t>
      </w:r>
      <w:bookmarkEnd w:id="902160"/>
    </w:p>
    <w:p>
      <w:pPr>
        <w:pStyle w:val="Normal"/>
      </w:pPr>
      <w:r>
        <w:t>The Parties may cooperate on resilient polar communications, satellite and ground infrastructure, secure command-and-control, cyber protection, and classification-appropriate information exchange. A scheduled system or service identifies the responsible authority, resilience or continuity objective, critical dependencies, and the classification-safe evidence used to assess availability and recovery. A material outage, cyber incident, loss of redundancy, or communications degradation is handled through the competent national incident and recovery process, with correction and restoration status recorded at an appropriate classification level. Specific systems and expenditures remain subject to domestic authority, applicable security agreements, and the data-governance safeguards of this Chapter.</w:t>
      </w:r>
    </w:p>
    <w:p>
      <w:pPr>
        <w:pStyle w:val="Heading2"/>
      </w:pPr>
      <w:bookmarkStart w:id="902161" w:name="_Toc300002160"/>
      <w:r>
        <w:t>ARTICLE 67.25: Northern Strategic Mobility and Logistics</w:t>
      </w:r>
      <w:bookmarkEnd w:id="902161"/>
    </w:p>
    <w:p>
      <w:pPr>
        <w:pStyle w:val="Normal"/>
      </w:pPr>
      <w:r>
        <w:t>The Parties may cooperate on roads, corridors, airlift, sealift, warehouses, freight visibility, equipment pools, emergency resupply, and other mobility systems supporting defence, emergency response, and northern communities. A scheduled mobility capability identifies the responsible authority, material capacity or readiness objective, critical bottlenecks and dependencies, and the evidence used to assess availability where practicable. An emergency activation, material disruption, or persistent bottleneck may trigger an authorized contingency, prioritization, alternate-routing, repair, or restoration measure consistent with domestic authority and civilian-safety requirements. Participation does not compel a Party to construct, fund, base, or open a specific facility absent separate authorization.</w:t>
      </w:r>
    </w:p>
    <w:p>
      <w:pPr>
        <w:pStyle w:val="Heading2"/>
      </w:pPr>
      <w:bookmarkStart w:id="902162" w:name="_Toc300002161"/>
      <w:r>
        <w:t>ARTICLE 67.26: Northern Energy and Fuel Resilience</w:t>
      </w:r>
      <w:bookmarkEnd w:id="902162"/>
    </w:p>
    <w:p>
      <w:pPr>
        <w:pStyle w:val="Normal"/>
      </w:pPr>
      <w:r>
        <w:t>The Parties may cooperate on resilient power, microgrids, storage, backup generation, fuel infrastructure, grid reinforcement, renewable hybrids, and emergency energy arrangements. A scheduled energy capability identifies its responsible authority, continuity objective, critical dependencies, backup or contingency arrangement, and the evidence used to assess material resilience. A material outage, supply interruption, fuel shortfall, or failure of backup capability is addressed through the competent domestic response and restoration process and is reflected in the classification-safe project status where relevant. Any specific remote nuclear deployment remains subject to the competent Party's domestic nuclear, environmental, safety, security, Indigenous-rights, funding, and siting authorities and is not authorized by this Article.</w:t>
      </w:r>
    </w:p>
    <w:p>
      <w:pPr>
        <w:pStyle w:val="Heading2"/>
      </w:pPr>
      <w:bookmarkStart w:id="902163" w:name="_Toc300002162"/>
      <w:r>
        <w:t>ARTICLE 67.27: Search and Rescue, Health and Human Security</w:t>
      </w:r>
      <w:bookmarkEnd w:id="902163"/>
    </w:p>
    <w:p>
      <w:pPr>
        <w:pStyle w:val="Normal"/>
      </w:pPr>
      <w:r>
        <w:t>The Parties may undertake nationally authorized cooperation on search and rescue, medevac, emergency medical surge, responder safety, emergency caches, hazardous-material response, communications contingency, and mass-rescue readiness. A cooperative arrangement identifies the competent lead or receiving authority, activation and handoff procedures, material readiness dependencies, and the interoperable communications or support arrangements required for its function. Exercises and significant activations may produce an after-action record identifying material gaps, lessons, corrective actions, and completion status consistent with applicable confidentiality and security rules. Operational command remains with the competent national or receiving authority.</w:t>
      </w:r>
    </w:p>
    <w:p>
      <w:pPr>
        <w:pStyle w:val="Heading2"/>
      </w:pPr>
      <w:bookmarkStart w:id="902164" w:name="_Toc300002163"/>
      <w:r>
        <w:t>ARTICLE 67.28: Climate, Science, Environment and Ocean Governance</w:t>
      </w:r>
      <w:bookmarkEnd w:id="902164"/>
    </w:p>
    <w:p>
      <w:pPr>
        <w:pStyle w:val="Normal"/>
      </w:pPr>
      <w:r>
        <w:t>The Parties may cooperate on weather, sea-ice, permafrost, oceanographic, space-weather, climate-resilience, and environmental-monitoring capability where it improves northern safety, infrastructure durability, or operational awareness. Shared scientific or environmental information identifies its source, provenance, material limitations, and correction status where necessary for a consequential Partnership decision. Collection, use, publication, and exchange remain subject to applicable environmental, Indigenous-rights, traditional-knowledge, privacy, intellectual-property, data, and security requirements, including classification filtering where required. A scientific cooperation activity does not itself authorize a project, determine a rights or environmental outcome, or convert preliminary or modeled information into a verified operational fact.</w:t>
      </w:r>
    </w:p>
    <w:p>
      <w:pPr>
        <w:pStyle w:val="Heading2"/>
      </w:pPr>
      <w:bookmarkStart w:id="902165" w:name="_Toc300002164"/>
      <w:r>
        <w:t>ARTICLE 67.29: North American Arctic Industrial Base</w:t>
      </w:r>
      <w:bookmarkEnd w:id="902165"/>
    </w:p>
    <w:p>
      <w:pPr>
        <w:pStyle w:val="Normal"/>
      </w:pPr>
      <w:r>
        <w:t>The Parties pursue reciprocal lawful opportunities for North American suppliers in sensors, communications, satellites, cold-weather equipment, shipbuilding supply chains, batteries, critical materials, construction equipment, logistics, and testing, consistent with Chapters 37, 64, and 65. A designated opportunity identifies the competent procurement authority, applicable qualification pathway, material eligibility requirements, and any lawful reciprocity condition without preselecting a supplier. Supplier access and qualification information is made available through the applicable procurement or program channel, subject to security and confidentiality requirements. This Article creates no guaranteed award, procurement preference, or waiver beyond an expressly designated lawful procurement opening.</w:t>
      </w:r>
    </w:p>
    <w:p>
      <w:pPr>
        <w:pStyle w:val="Heading2"/>
      </w:pPr>
      <w:bookmarkStart w:id="902166" w:name="_Toc300002165"/>
      <w:r>
        <w:t>ARTICLE 67.30: Procurement Is Opportunity, Not Award</w:t>
      </w:r>
      <w:bookmarkEnd w:id="902166"/>
    </w:p>
    <w:p>
      <w:pPr>
        <w:pStyle w:val="Normal"/>
      </w:pPr>
      <w:r>
        <w:t>A competent authority may designate procurement opportunities, supplier-qualification pathways, and reciprocal workshare objectives under this Chapter without guaranteeing contracts, preselecting winners, waiving procurement law, or creating blanket domestic-preference exemptions. Article 65's Opportunity, Not Award and verification safeguards apply.</w:t>
      </w:r>
    </w:p>
    <w:p>
      <w:pPr>
        <w:pStyle w:val="Heading2"/>
      </w:pPr>
      <w:bookmarkStart w:id="902167" w:name="_Toc300002166"/>
      <w:r>
        <w:t>ARTICLE 67.31: Workforce and Northern Capacity</w:t>
      </w:r>
      <w:bookmarkEnd w:id="902167"/>
    </w:p>
    <w:p>
      <w:pPr>
        <w:pStyle w:val="Normal"/>
      </w:pPr>
      <w:r>
        <w:t>The Parties may support northern trades, maintenance skills, technical training, workforce pipelines, housing, and service capacity. A program may identify a documented workforce or service-capacity need, responsible authority, relevant training or credential pathway, and material community-capacity constraint where those elements affect delivery. Cooperation may support recognition or portability of training where lawful, but it does not displace domestic licensing, labour, immigration, safety, Indigenous-rights, or employment standards. Any binding project-specific numerical target, funding commitment, or employment requirement appears in a lawful schedule, procurement instrument, or domestic program rather than arising automatically from this Article.</w:t>
      </w:r>
    </w:p>
    <w:p>
      <w:pPr>
        <w:pStyle w:val="Heading2"/>
      </w:pPr>
      <w:bookmarkStart w:id="902168" w:name="_Toc300002167"/>
      <w:r>
        <w:t>ARTICLE 67.32: Northern Vigilance Scorecard</w:t>
      </w:r>
      <w:bookmarkEnd w:id="902168"/>
    </w:p>
    <w:p>
      <w:pPr>
        <w:pStyle w:val="Normal"/>
      </w:pPr>
      <w:r>
        <w:t>The Secretariat may maintain a classification-safe Northern Vigilance Scorecard distinguishing investment deployed, milestones completed, infrastructure delivered, procurement opportunities, workforce and northern participation, community benefits, and capability outputs. Each material scorecard entry identifies its source or provenance, reporting period, verification status, and any material limitation necessary to understand the indicator. Corrections, missing data, and methodology changes are recorded transparently at a classification-safe level and are propagated to affected aggregate indicators. Scorecard status is informational and creates no procurement, deployment, funding, basing, or defence authority.</w:t>
      </w:r>
    </w:p>
    <w:p>
      <w:pPr>
        <w:pStyle w:val="Heading2"/>
      </w:pPr>
      <w:bookmarkStart w:id="902169" w:name="_Toc300002168"/>
      <w:r>
        <w:t>ARTICLE 67.33: State of the Vigilant North</w:t>
      </w:r>
      <w:bookmarkEnd w:id="902169"/>
    </w:p>
    <w:p>
      <w:pPr>
        <w:pStyle w:val="Normal"/>
      </w:pPr>
      <w:r>
        <w:t>The Parties may publish an annual leaders-level State of the Vigilant North report consolidating the scorecard, a classification-safe project map, the investment ledger, verification findings, achievements, delays, corrections, and the next implementation plan. The report distinguishes verified current status from planned, modeled, estimated, disputed, or political targets and identifies the source or verification status of material headline claims. A material correction made after publication is carried into the next practicable public update and the underlying project or ledger record. Publication does not convert a planned project, unverified amount, or political objective into an adopted commitment or verified capability.</w:t>
      </w:r>
    </w:p>
    <w:p>
      <w:pPr>
        <w:pStyle w:val="Heading2"/>
      </w:pPr>
      <w:bookmarkStart w:id="902170" w:name="_Toc300002169"/>
      <w:r>
        <w:t>ARTICLE 67.34: No Zombie Projects</w:t>
      </w:r>
      <w:bookmarkEnd w:id="902170"/>
    </w:p>
    <w:p>
      <w:pPr>
        <w:pStyle w:val="Normal"/>
      </w:pPr>
      <w:r>
        <w:t>A completed, cancelled, materially rescoped, superseded, or obsolete project shall not remain represented as active merely because an earlier source described it as current. The implementation record shall preserve the historical entry and identify the updated status, reason, and date.</w:t>
      </w:r>
    </w:p>
    <w:p>
      <w:pPr>
        <w:pStyle w:val="Heading2"/>
      </w:pPr>
      <w:bookmarkStart w:id="902171" w:name="_Toc300002170"/>
      <w:r>
        <w:t>ARTICLE 67.35: Project Verification Ladder</w:t>
      </w:r>
      <w:bookmarkEnd w:id="902171"/>
    </w:p>
    <w:p>
      <w:pPr>
        <w:pStyle w:val="Normal"/>
      </w:pPr>
      <w:r>
        <w:t>Candidate projects may be classified A1 Candidate Identified; A2 Program or Project Existence Verified; A3 Funding and Policy Authority Verified; A4 Implementation Path Verified; and A5 Schedule Ready. Promotion or demotion is supported by documentary evidence appropriate to the status and recorded by the designated Party authority or existing NAESTMA verification structure, with material corrections preserved in the project history. Status may move backward when circumstances change, and a disputed or incomplete element remains identified rather than being presumed satisfied. No classification by itself authorizes procurement, construction, funding, deployment, or foreign access.</w:t>
      </w:r>
    </w:p>
    <w:p>
      <w:pPr>
        <w:pStyle w:val="Heading2"/>
      </w:pPr>
      <w:bookmarkStart w:id="902172" w:name="_Toc300002171"/>
      <w:r>
        <w:t>ARTICLE 67.36: Project Scheduling and No Automatic Approval</w:t>
      </w:r>
      <w:bookmarkEnd w:id="902172"/>
    </w:p>
    <w:p>
      <w:pPr>
        <w:pStyle w:val="Normal"/>
      </w:pPr>
      <w:r>
        <w:t>Candidate inclusion does not approve construction, procurement, funding, permitting, environmental review, rights processes, deployment, basing, or foreign access. Only an expressly incorporated A5 schedule commitment, adopted by the competent Party or Parties under applicable law, creates the obligation stated in that schedule.</w:t>
      </w:r>
    </w:p>
    <w:p>
      <w:pPr>
        <w:pStyle w:val="Heading2"/>
      </w:pPr>
      <w:bookmarkStart w:id="902173" w:name="_Toc300002172"/>
      <w:r>
        <w:t>ARTICLE 67.37: Northern Vigilance Milestone Certification</w:t>
      </w:r>
      <w:bookmarkEnd w:id="902173"/>
    </w:p>
    <w:p>
      <w:pPr>
        <w:pStyle w:val="Normal"/>
      </w:pPr>
      <w:r>
        <w:t>Designated Party authorities and existing NAESTMA verification structures are used where practicable for documentary evidence, observation, correction, and classification-safe Northern Vigilance milestone certification. A certification identifies the milestone, responsible project authority, evidence relied upon, verification status, and any material limitation that can be stated without disclosing protected information. A material error, changed circumstance, or superseding evidence triggers correction or withdrawal of the affected certification and preserves the prior record for provenance. Certification establishes only the status expressly verified and does not itself authorize procurement, expenditure, construction, deployment, basing, foreign access, or another underlying action.</w:t>
      </w:r>
    </w:p>
    <w:p>
      <w:pPr>
        <w:pStyle w:val="Heading2"/>
      </w:pPr>
      <w:bookmarkStart w:id="902174" w:name="_Toc300002173"/>
      <w:r>
        <w:t>ARTICLE 67.38: Controlled-Capability Ladder</w:t>
      </w:r>
      <w:bookmarkEnd w:id="902174"/>
    </w:p>
    <w:p>
      <w:pPr>
        <w:pStyle w:val="Normal"/>
      </w:pPr>
      <w:r>
        <w:t>The Controlled-Capability Ladder consists of C1 Concept Recognized; C2 Legal and Sovereignty Authority Verified; C3 Rights, Environmental and Security Review Complete; C4 Controlled Implementation Authorized; and C5 Program Eligible. Movement between levels is supported by evidence appropriate to the level and recorded by the competent Party authority or designated verification mechanism, and a status may move backward when a material prerequisite ceases to be satisfied. Each status has only the legal effect expressly assigned to it by this Chapter or an adopted schedule and does not cure a missing domestic authorization. A concept or project does not acquire procurement, funding, deployment, basing, foreign-access, or operational authority merely because it appears on the ladder.</w:t>
      </w:r>
    </w:p>
    <w:p>
      <w:pPr>
        <w:pStyle w:val="Heading2"/>
      </w:pPr>
      <w:bookmarkStart w:id="902175" w:name="_Toc300002174"/>
      <w:r>
        <w:t>ARTICLE 67.39: Data Governance and Sensitive Information</w:t>
      </w:r>
      <w:bookmarkEnd w:id="902175"/>
    </w:p>
    <w:p>
      <w:pPr>
        <w:pStyle w:val="Normal"/>
      </w:pPr>
      <w:r>
        <w:t>Northern Vigilance information is handled under applicable law, classification rules, purpose limitation, access controls, originator restrictions, cyber safeguards, and correction procedures. A competent system applies retention and disposition rules, role-appropriate access, query or access logging where required by applicable law or security policy, and controls on onward transfer of sensitive information. A material breach, erroneous record, or unauthorized disclosure is handled through the applicable national incident, correction, notification, and remedial process, including propagation of a material correction to authorized recipients where practicable. Classification-safe audit or verification confirms compliance without requiring disclosure of information that the competent authority lawfully protects.</w:t>
      </w:r>
    </w:p>
    <w:p>
      <w:pPr>
        <w:pStyle w:val="Heading2"/>
      </w:pPr>
      <w:bookmarkStart w:id="902176" w:name="_Toc300002175"/>
      <w:r>
        <w:t>ARTICLE 67.40: Foreign Personnel, Liability and Status</w:t>
      </w:r>
      <w:bookmarkEnd w:id="902176"/>
    </w:p>
    <w:p>
      <w:pPr>
        <w:pStyle w:val="Normal"/>
      </w:pPr>
      <w:r>
        <w:t>Rotational or visiting foreign personnel remain subject to applicable status-of-forces, customs, immigration, liability, claims, security, and facility-access rules and acquire no independent immunity or authority under this Chapter. The competent host authority controls entry, sponsorship, access scope, credentialing, and termination of access to a facility, system, range, or data environment. A material security, conduct, liability, or access incident is handled through the applicable host-state and governing-agreement process and may result in suspension or withdrawal of access. Participation in a Northern Vigilance activity does not expand the person's legal status beyond the authority granted by applicable law and the governing arrangement.</w:t>
      </w:r>
    </w:p>
    <w:p>
      <w:pPr>
        <w:pStyle w:val="Heading2"/>
      </w:pPr>
      <w:bookmarkStart w:id="902177" w:name="_Toc300002176"/>
      <w:r>
        <w:t>ARTICLE 67.41: Environmental and Procurement Integrity</w:t>
      </w:r>
      <w:bookmarkEnd w:id="902177"/>
    </w:p>
    <w:p>
      <w:pPr>
        <w:pStyle w:val="Normal"/>
      </w:pPr>
      <w:r>
        <w:t>Northern Vigilance implementation preserves applicable environmental, procurement, anti-corruption, audit, and financial-control requirements, and Partnership branding does not bypass law. A person performing a material procurement, verification, financial-control, or project-approval function remains subject to applicable conflict-of-interest, disclosure, recusal, recordkeeping, and audit requirements. A material integrity concern is referred through the competent domestic or treaty process and may result in correction, suspension, re-verification, or other lawful remedial action appropriate to the affected decision. A project does not retain verified status merely because it carries Partnership branding if the underlying legal or integrity requirement is no longer satisfied.</w:t>
      </w:r>
    </w:p>
    <w:p>
      <w:pPr>
        <w:pStyle w:val="Heading2"/>
      </w:pPr>
      <w:bookmarkStart w:id="902178" w:name="_Toc300002177"/>
      <w:r>
        <w:t>ARTICLE 67.42: Security Performance and Good-Faith Implementation</w:t>
      </w:r>
      <w:bookmarkEnd w:id="902178"/>
    </w:p>
    <w:p>
      <w:pPr>
        <w:pStyle w:val="Normal"/>
      </w:pPr>
      <w:r>
        <w:t>Performance under this Chapter is assessed primarily through verified implementation, capability availability, milestone delivery, sustainment, and lawful cooperation rather than a single output statistic. A performance assessment identifies the evidence relied upon, materiality of the issue, relevant verification status, and any known limitation or disputed fact. Contested or incomplete data is recorded as such and is not converted into an adverse or favorable determination by presumption alone. A material determination affecting a paired benefit, project status, or cure process is recorded with sufficient reasons to permit the applicable review or verification mechanism to test it.</w:t>
      </w:r>
    </w:p>
    <w:p>
      <w:pPr>
        <w:pStyle w:val="Heading2"/>
      </w:pPr>
      <w:bookmarkStart w:id="902179" w:name="_Toc300002178"/>
      <w:r>
        <w:t>ARTICLE 67.43: Verification, Consultation and Cure</w:t>
      </w:r>
      <w:bookmarkEnd w:id="902179"/>
    </w:p>
    <w:p>
      <w:pPr>
        <w:pStyle w:val="Normal"/>
      </w:pPr>
      <w:r>
        <w:t>A material performance concern under this Chapter proceeds through evidence, verification, consultation, and a reasonable cure opportunity using existing Cothrom or designated NAESTMA mechanisms before a new institution is created. The initiating record identifies the alleged non-performance, evidence relied upon, affected obligation or paired measure, responsible Party or authority, and the response period appropriate to the issue. The responding Party may correct the record, contest the evidence, propose a cure, or demonstrate that the alleged condition is immaterial or outside the scope of this Chapter. Closure occurs when verification confirms cure, resolves the allegation, or records the remaining material issue for the proportional process expressly available under this Chapter.</w:t>
      </w:r>
    </w:p>
    <w:p>
      <w:pPr>
        <w:pStyle w:val="Heading2"/>
      </w:pPr>
      <w:bookmarkStart w:id="902180" w:name="_Toc300002179"/>
      <w:r>
        <w:t>ARTICLE 67.44: Proportional Northern-Vigilance Step-Back</w:t>
      </w:r>
      <w:bookmarkEnd w:id="902180"/>
    </w:p>
    <w:p>
      <w:pPr>
        <w:pStyle w:val="Normal"/>
      </w:pPr>
      <w:r>
        <w:t>After verified uncured material non-performance, a Party may proportionally pause a directly paired Northern Vigilance benefit or cooperation measure without automatically affecting unrelated trade obligations. The decision identifies the verified failure, materiality, paired measure, legal authority, scope, and reason the selected step-back is proportionate to the unresolved condition. A step-back is limited to what is necessary to address or respond to the paired failure and does not spill into an unrelated procurement, tariff, quota, origin, or market-access obligation absent separate legal authority. The measure remains subject to review, cure, and automatic restoration under this Chapter and the applicable Cothrom architecture.</w:t>
      </w:r>
    </w:p>
    <w:p>
      <w:pPr>
        <w:pStyle w:val="Heading2"/>
      </w:pPr>
      <w:bookmarkStart w:id="902181" w:name="_Toc300002180"/>
      <w:r>
        <w:t>ARTICLE 67.45: Automatic Restoration After Cure</w:t>
      </w:r>
      <w:bookmarkEnd w:id="902181"/>
    </w:p>
    <w:p>
      <w:pPr>
        <w:pStyle w:val="Normal"/>
      </w:pPr>
      <w:r>
        <w:t>A paused paired benefit or cooperation measure is restored promptly when verification confirms that the material performance condition has been cured, subject only to necessary safety or security validation. The competent authority records the cure evidence, any remaining validation step, the restoration date, and the scope of the restored measure. A partial cure restores the portion whose underlying condition is verified as satisfied unless the remaining condition is technically inseparable and the record explains that limitation. Completion of cure and restoration is not undone merely by passage of time or a later review absent new material evidence and legal authority for a new action.</w:t>
      </w:r>
    </w:p>
    <w:p>
      <w:pPr>
        <w:pStyle w:val="Heading2"/>
      </w:pPr>
      <w:bookmarkStart w:id="902182" w:name="_Toc300002181"/>
      <w:r>
        <w:t>ARTICLE 67.46: Trade-Measure Exclusion and Covered-Rationale Exhaustion</w:t>
      </w:r>
      <w:bookmarkEnd w:id="902182"/>
    </w:p>
    <w:p>
      <w:pPr>
        <w:pStyle w:val="Normal"/>
      </w:pPr>
      <w:r>
        <w:t>Performance under this Chapter does not by itself justify unrelated tariffs, quotas, or other trade restrictions, and a materially addressed security concern is not recycled as a new rationale without new material evidence of governmental non-performance. A Party relying on new material evidence identifies the new fact, its connection to the governmental performance obligation, and why the earlier verification, cure, or restoration record does not resolve it. Repackaging the same factual concern under a different label does not satisfy the new-material-evidence requirement. This Article does not prevent action independently authorized under another provision of this Agreement or applicable law where the separate legal conditions for that action are actually met.</w:t>
      </w:r>
    </w:p>
    <w:p>
      <w:pPr>
        <w:pStyle w:val="Heading2"/>
      </w:pPr>
      <w:bookmarkStart w:id="902183" w:name="_Toc300002182"/>
      <w:r>
        <w:t>ARTICLE 67.47: Review, Renewal and Orderly Wind-Down</w:t>
      </w:r>
      <w:bookmarkEnd w:id="902183"/>
    </w:p>
    <w:p>
      <w:pPr>
        <w:pStyle w:val="Normal"/>
      </w:pPr>
      <w:r>
        <w:t>The Parties periodically review implementation of this Chapter, may promote or add verified projects through the applicable process, and maintain procedures for orderly withdrawal, data disposition, asset treatment, and wind-down. A review identifies material completed, continuing, delayed, superseded, or withdrawn activities and any schedule, capability, or verification record requiring correction or closure. Withdrawal or wind-down addresses applicable notice, security, personnel, data-retention or deletion, asset, financial, environmental, rights, and continuing-obligation requirements under the governing law or arrangement. Completion is recorded when the competent authorities have identified the surviving obligations and closed or transferred the remaining implementation responsibilities without treating obsolete projects as continuing commitments.</w:t>
      </w:r>
    </w:p>
    <w:p>
      <w:pPr>
        <w:pStyle w:val="Heading2"/>
      </w:pPr>
      <w:bookmarkStart w:id="902184" w:name="_Toc300002183"/>
      <w:r>
        <w:rPr>
          <w:b/>
        </w:rPr>
        <w:t>ANNEX 67-A: CORNERSTONE OBLIGATIONS REGISTER (47)</w:t>
      </w:r>
      <w:bookmarkEnd w:id="902184"/>
    </w:p>
    <w:p>
      <w:pPr>
        <w:pStyle w:val="Normal"/>
      </w:pPr>
      <w:r>
        <w:t>67-A.1. Article 67.1: Purpose and Bargain.</w:t>
      </w:r>
    </w:p>
    <w:p>
      <w:pPr>
        <w:pStyle w:val="Normal"/>
      </w:pPr>
      <w:r>
        <w:t>67-A.2. Article 67.2: Governing Principle, Sovereign Infrastructure, Continental Benefit.</w:t>
      </w:r>
    </w:p>
    <w:p>
      <w:pPr>
        <w:pStyle w:val="Normal"/>
      </w:pPr>
      <w:r>
        <w:t>67-A.3. Article 67.3: Canadian Arctic Sovereignty and Legal-Position Savings.</w:t>
      </w:r>
    </w:p>
    <w:p>
      <w:pPr>
        <w:pStyle w:val="Normal"/>
      </w:pPr>
      <w:r>
        <w:t>67-A.4. Article 67.4: Canadian Soil, Canadian Authority.</w:t>
      </w:r>
    </w:p>
    <w:p>
      <w:pPr>
        <w:pStyle w:val="Normal"/>
      </w:pPr>
      <w:r>
        <w:t>67-A.5. Article 67.5: National Command and Capability Without Compulsion.</w:t>
      </w:r>
    </w:p>
    <w:p>
      <w:pPr>
        <w:pStyle w:val="Normal"/>
      </w:pPr>
      <w:r>
        <w:t>67-A.6. Article 67.6: Trilateral Where Functional, Binational Where Operational.</w:t>
      </w:r>
    </w:p>
    <w:p>
      <w:pPr>
        <w:pStyle w:val="Normal"/>
      </w:pPr>
      <w:r>
        <w:t>67-A.7. Article 67.7: Maintain While Modernizing.</w:t>
      </w:r>
    </w:p>
    <w:p>
      <w:pPr>
        <w:pStyle w:val="Normal"/>
      </w:pPr>
      <w:r>
        <w:t>67-A.8. Article 67.8: Public Commitment, Classified Implementation.</w:t>
      </w:r>
    </w:p>
    <w:p>
      <w:pPr>
        <w:pStyle w:val="Normal"/>
      </w:pPr>
      <w:r>
        <w:t>67-A.9. Article 67.9: Interoperability Without Surrender of National Control.</w:t>
      </w:r>
    </w:p>
    <w:p>
      <w:pPr>
        <w:pStyle w:val="Normal"/>
      </w:pPr>
      <w:r>
        <w:t>67-A.10. Article 67.10: Dual-Use Northern Dividend.</w:t>
      </w:r>
    </w:p>
    <w:p>
      <w:pPr>
        <w:pStyle w:val="Normal"/>
      </w:pPr>
      <w:r>
        <w:t>67-A.11. Article 67.11: No Northern Capacity Crowding-Out.</w:t>
      </w:r>
    </w:p>
    <w:p>
      <w:pPr>
        <w:pStyle w:val="Normal"/>
      </w:pPr>
      <w:r>
        <w:t>67-A.12. Article 67.12: Rights First, Partnership By Design.</w:t>
      </w:r>
    </w:p>
    <w:p>
      <w:pPr>
        <w:pStyle w:val="Normal"/>
      </w:pPr>
      <w:r>
        <w:t>67-A.13. Article 67.13: Traditional Knowledge and Cultural Protection.</w:t>
      </w:r>
    </w:p>
    <w:p>
      <w:pPr>
        <w:pStyle w:val="Normal"/>
      </w:pPr>
      <w:r>
        <w:t>67-A.14. Article 67.14: Spend Once, Announce Twice.</w:t>
      </w:r>
    </w:p>
    <w:p>
      <w:pPr>
        <w:pStyle w:val="Normal"/>
      </w:pPr>
      <w:r>
        <w:t>67-A.15. Article 67.15: One Dollar, One Investment.</w:t>
      </w:r>
    </w:p>
    <w:p>
      <w:pPr>
        <w:pStyle w:val="Normal"/>
      </w:pPr>
      <w:r>
        <w:t>67-A.16. Article 67.16: Arctic Investment Ledger.</w:t>
      </w:r>
    </w:p>
    <w:p>
      <w:pPr>
        <w:pStyle w:val="Normal"/>
      </w:pPr>
      <w:r>
        <w:t>67-A.17. Article 67.17: Baseline and Additionality.</w:t>
      </w:r>
    </w:p>
    <w:p>
      <w:pPr>
        <w:pStyle w:val="Normal"/>
      </w:pPr>
      <w:r>
        <w:t>67-A.18. Article 67.18: Independent Baseline and Headline Verification.</w:t>
      </w:r>
    </w:p>
    <w:p>
      <w:pPr>
        <w:pStyle w:val="Normal"/>
      </w:pPr>
      <w:r>
        <w:t>67-A.19. Article 67.19: Northern Warning and Domain Awareness.</w:t>
      </w:r>
    </w:p>
    <w:p>
      <w:pPr>
        <w:pStyle w:val="Normal"/>
      </w:pPr>
      <w:r>
        <w:t>67-A.20. Article 67.20: Northern Airfields, Basing and Operational Support.</w:t>
      </w:r>
    </w:p>
    <w:p>
      <w:pPr>
        <w:pStyle w:val="Normal"/>
      </w:pPr>
      <w:r>
        <w:t>67-A.21. Article 67.21: Ports, Sealift, Ice-Capable and Maritime Support.</w:t>
      </w:r>
    </w:p>
    <w:p>
      <w:pPr>
        <w:pStyle w:val="Normal"/>
      </w:pPr>
      <w:r>
        <w:t>67-A.22. Article 67.22: Undersea Domain and Cable Protection.</w:t>
      </w:r>
    </w:p>
    <w:p>
      <w:pPr>
        <w:pStyle w:val="Normal"/>
      </w:pPr>
      <w:r>
        <w:t>67-A.23. Article 67.23: Airborne Early Warning and Air-Defence Evolution.</w:t>
      </w:r>
    </w:p>
    <w:p>
      <w:pPr>
        <w:pStyle w:val="Normal"/>
      </w:pPr>
      <w:r>
        <w:t>67-A.24. Article 67.24: Polar Communications, Space and C4ISR Resilience.</w:t>
      </w:r>
    </w:p>
    <w:p>
      <w:pPr>
        <w:pStyle w:val="Normal"/>
      </w:pPr>
      <w:r>
        <w:t>67-A.25. Article 67.25: Northern Strategic Mobility and Logistics.</w:t>
      </w:r>
    </w:p>
    <w:p>
      <w:pPr>
        <w:pStyle w:val="Normal"/>
      </w:pPr>
      <w:r>
        <w:t>67-A.26. Article 67.26: Northern Energy and Fuel Resilience.</w:t>
      </w:r>
    </w:p>
    <w:p>
      <w:pPr>
        <w:pStyle w:val="Normal"/>
      </w:pPr>
      <w:r>
        <w:t>67-A.27. Article 67.27: Search and Rescue, Health and Human Security.</w:t>
      </w:r>
    </w:p>
    <w:p>
      <w:pPr>
        <w:pStyle w:val="Normal"/>
      </w:pPr>
      <w:r>
        <w:t>67-A.28. Article 67.28: Climate, Science, Environment and Ocean Governance.</w:t>
      </w:r>
    </w:p>
    <w:p>
      <w:pPr>
        <w:pStyle w:val="Normal"/>
      </w:pPr>
      <w:r>
        <w:t>67-A.29. Article 67.29: North American Arctic Industrial Base.</w:t>
      </w:r>
    </w:p>
    <w:p>
      <w:pPr>
        <w:pStyle w:val="Normal"/>
      </w:pPr>
      <w:r>
        <w:t>67-A.30. Article 67.30: Procurement Is Opportunity, Not Award.</w:t>
      </w:r>
    </w:p>
    <w:p>
      <w:pPr>
        <w:pStyle w:val="Normal"/>
      </w:pPr>
      <w:r>
        <w:t>67-A.31. Article 67.31: Workforce and Northern Capacity.</w:t>
      </w:r>
    </w:p>
    <w:p>
      <w:pPr>
        <w:pStyle w:val="Normal"/>
      </w:pPr>
      <w:r>
        <w:t>67-A.32. Article 67.32: Northern Vigilance Scorecard.</w:t>
      </w:r>
    </w:p>
    <w:p>
      <w:pPr>
        <w:pStyle w:val="Normal"/>
      </w:pPr>
      <w:r>
        <w:t>67-A.33. Article 67.33: State of the Vigilant North.</w:t>
      </w:r>
    </w:p>
    <w:p>
      <w:pPr>
        <w:pStyle w:val="Normal"/>
      </w:pPr>
      <w:r>
        <w:t>67-A.34. Article 67.34: No Zombie Projects.</w:t>
      </w:r>
    </w:p>
    <w:p>
      <w:pPr>
        <w:pStyle w:val="Normal"/>
      </w:pPr>
      <w:r>
        <w:t>67-A.35. Article 67.35: Project Verification Ladder.</w:t>
      </w:r>
    </w:p>
    <w:p>
      <w:pPr>
        <w:pStyle w:val="Normal"/>
      </w:pPr>
      <w:r>
        <w:t>67-A.36. Article 67.36: Project Scheduling and No Automatic Approval.</w:t>
      </w:r>
    </w:p>
    <w:p>
      <w:pPr>
        <w:pStyle w:val="Normal"/>
      </w:pPr>
      <w:r>
        <w:t>67-A.37. Article 67.37: Northern Vigilance Milestone Certification.</w:t>
      </w:r>
    </w:p>
    <w:p>
      <w:pPr>
        <w:pStyle w:val="Normal"/>
      </w:pPr>
      <w:r>
        <w:t>67-A.38. Article 67.38: Controlled-Capability Ladder.</w:t>
      </w:r>
    </w:p>
    <w:p>
      <w:pPr>
        <w:pStyle w:val="Normal"/>
      </w:pPr>
      <w:r>
        <w:t>67-A.39. Article 67.39: Data Governance and Sensitive Information.</w:t>
      </w:r>
    </w:p>
    <w:p>
      <w:pPr>
        <w:pStyle w:val="Normal"/>
      </w:pPr>
      <w:r>
        <w:t>67-A.40. Article 67.40: Foreign Personnel, Liability and Status.</w:t>
      </w:r>
    </w:p>
    <w:p>
      <w:pPr>
        <w:pStyle w:val="Normal"/>
      </w:pPr>
      <w:r>
        <w:t>67-A.41. Article 67.41: Environmental and Procurement Integrity.</w:t>
      </w:r>
    </w:p>
    <w:p>
      <w:pPr>
        <w:pStyle w:val="Normal"/>
      </w:pPr>
      <w:r>
        <w:t>67-A.42. Article 67.42: Security Performance and Good-Faith Implementation.</w:t>
      </w:r>
    </w:p>
    <w:p>
      <w:pPr>
        <w:pStyle w:val="Normal"/>
      </w:pPr>
      <w:r>
        <w:t>67-A.43. Article 67.43: Verification, Consultation and Cure.</w:t>
      </w:r>
    </w:p>
    <w:p>
      <w:pPr>
        <w:pStyle w:val="Normal"/>
      </w:pPr>
      <w:r>
        <w:t>67-A.44. Article 67.44: Proportional Northern-Vigilance Step-Back.</w:t>
      </w:r>
    </w:p>
    <w:p>
      <w:pPr>
        <w:pStyle w:val="Normal"/>
      </w:pPr>
      <w:r>
        <w:t>67-A.45. Article 67.45: Automatic Restoration After Cure.</w:t>
      </w:r>
    </w:p>
    <w:p>
      <w:pPr>
        <w:pStyle w:val="Normal"/>
      </w:pPr>
      <w:r>
        <w:t>67-A.46. Article 67.46: Trade-Measure Exclusion and Covered-Rationale Exhaustion.</w:t>
      </w:r>
    </w:p>
    <w:p>
      <w:pPr>
        <w:pStyle w:val="Normal"/>
      </w:pPr>
      <w:r>
        <w:t>67-A.47. Article 67.47: Review, Renewal and Orderly Wind-Down.</w:t>
      </w:r>
    </w:p>
    <w:p>
      <w:pPr>
        <w:pStyle w:val="Heading2"/>
      </w:pPr>
      <w:bookmarkStart w:id="902185" w:name="_Toc300002184"/>
      <w:r>
        <w:rPr>
          <w:b/>
        </w:rPr>
        <w:t>ANNEX 67-B: OPERATIONAL AND CAPABILITY MECHANISM REGISTER (128)</w:t>
      </w:r>
      <w:bookmarkEnd w:id="902185"/>
    </w:p>
    <w:p>
      <w:pPr>
        <w:pStyle w:val="Normal"/>
      </w:pPr>
      <w:r>
        <w:t>67-B.1. [Warning and Radar] A-OTHR capability.</w:t>
      </w:r>
    </w:p>
    <w:p>
      <w:pPr>
        <w:pStyle w:val="Normal"/>
      </w:pPr>
      <w:r>
        <w:t>67-B.2. [Warning and Radar] Polar OTHR capability.</w:t>
      </w:r>
    </w:p>
    <w:p>
      <w:pPr>
        <w:pStyle w:val="Normal"/>
      </w:pPr>
      <w:r>
        <w:t>67-B.3. [Warning and Radar] North Warning System sustainment.</w:t>
      </w:r>
    </w:p>
    <w:p>
      <w:pPr>
        <w:pStyle w:val="Normal"/>
      </w:pPr>
      <w:r>
        <w:t>67-B.4. [Warning and Radar] North Warning System transition.</w:t>
      </w:r>
    </w:p>
    <w:p>
      <w:pPr>
        <w:pStyle w:val="Normal"/>
      </w:pPr>
      <w:r>
        <w:t>67-B.5. [Warning and Radar] Gap-fill radar.</w:t>
      </w:r>
    </w:p>
    <w:p>
      <w:pPr>
        <w:pStyle w:val="Normal"/>
      </w:pPr>
      <w:r>
        <w:t>67-B.6. [Warning and Radar] Mobile radar augmentation.</w:t>
      </w:r>
    </w:p>
    <w:p>
      <w:pPr>
        <w:pStyle w:val="Normal"/>
      </w:pPr>
      <w:r>
        <w:t>67-B.7. [Warning and Radar] Maritime radar.</w:t>
      </w:r>
    </w:p>
    <w:p>
      <w:pPr>
        <w:pStyle w:val="Normal"/>
      </w:pPr>
      <w:r>
        <w:t>67-B.8. [Warning and Radar] Passive detection research.</w:t>
      </w:r>
    </w:p>
    <w:p>
      <w:pPr>
        <w:pStyle w:val="Normal"/>
      </w:pPr>
      <w:r>
        <w:t>67-B.9. [Warning and Radar] Radar calibration.</w:t>
      </w:r>
    </w:p>
    <w:p>
      <w:pPr>
        <w:pStyle w:val="Normal"/>
      </w:pPr>
      <w:r>
        <w:t>67-B.10. [Warning and Radar] Radar-site hardening.</w:t>
      </w:r>
    </w:p>
    <w:p>
      <w:pPr>
        <w:pStyle w:val="Normal"/>
      </w:pPr>
      <w:r>
        <w:t>67-B.11. [Warning and Radar] Radar maintenance sovereignty.</w:t>
      </w:r>
    </w:p>
    <w:p>
      <w:pPr>
        <w:pStyle w:val="Normal"/>
      </w:pPr>
      <w:r>
        <w:t>67-B.12. [Warning and Radar] Radar spares and lifecycle support.</w:t>
      </w:r>
    </w:p>
    <w:p>
      <w:pPr>
        <w:pStyle w:val="Normal"/>
      </w:pPr>
      <w:r>
        <w:t>67-B.13. [Warning and Radar] Radar cybersecurity.</w:t>
      </w:r>
    </w:p>
    <w:p>
      <w:pPr>
        <w:pStyle w:val="Normal"/>
      </w:pPr>
      <w:r>
        <w:t>67-B.14. [Warning and Radar] Frequency and spectrum coordination.</w:t>
      </w:r>
    </w:p>
    <w:p>
      <w:pPr>
        <w:pStyle w:val="Normal"/>
      </w:pPr>
      <w:r>
        <w:t>67-B.15. [Warning and Radar] Sensor-fusion interoperability.</w:t>
      </w:r>
    </w:p>
    <w:p>
      <w:pPr>
        <w:pStyle w:val="Normal"/>
      </w:pPr>
      <w:r>
        <w:t>67-B.16. [Warning and Radar] Coverage-assurance methodology.</w:t>
      </w:r>
    </w:p>
    <w:p>
      <w:pPr>
        <w:pStyle w:val="Normal"/>
      </w:pPr>
      <w:r>
        <w:t>67-B.17. [Warning and Radar] Warning workforce pipeline.</w:t>
      </w:r>
    </w:p>
    <w:p>
      <w:pPr>
        <w:pStyle w:val="Normal"/>
      </w:pPr>
      <w:r>
        <w:t>67-B.18. [Warning and Radar] Warning test and evaluation.</w:t>
      </w:r>
    </w:p>
    <w:p>
      <w:pPr>
        <w:pStyle w:val="Normal"/>
      </w:pPr>
      <w:r>
        <w:t>67-B.19. [Air and Basing] Forward operating location standard.</w:t>
      </w:r>
    </w:p>
    <w:p>
      <w:pPr>
        <w:pStyle w:val="Normal"/>
      </w:pPr>
      <w:r>
        <w:t>67-B.20. [Air and Basing] Operational support hub standard.</w:t>
      </w:r>
    </w:p>
    <w:p>
      <w:pPr>
        <w:pStyle w:val="Normal"/>
      </w:pPr>
      <w:r>
        <w:t>67-B.21. [Air and Basing] Runway and apron resilience.</w:t>
      </w:r>
    </w:p>
    <w:p>
      <w:pPr>
        <w:pStyle w:val="Normal"/>
      </w:pPr>
      <w:r>
        <w:t>67-B.22. [Air and Basing] Aircraft shelter and hangar capacity.</w:t>
      </w:r>
    </w:p>
    <w:p>
      <w:pPr>
        <w:pStyle w:val="Normal"/>
      </w:pPr>
      <w:r>
        <w:t>67-B.23. [Air and Basing] Aviation fuel resilience.</w:t>
      </w:r>
    </w:p>
    <w:p>
      <w:pPr>
        <w:pStyle w:val="Normal"/>
      </w:pPr>
      <w:r>
        <w:t>67-B.24. [Air and Basing] Secure storage support.</w:t>
      </w:r>
    </w:p>
    <w:p>
      <w:pPr>
        <w:pStyle w:val="Normal"/>
      </w:pPr>
      <w:r>
        <w:t>67-B.25. [Air and Basing] Northern navigation aids.</w:t>
      </w:r>
    </w:p>
    <w:p>
      <w:pPr>
        <w:pStyle w:val="Normal"/>
      </w:pPr>
      <w:r>
        <w:t>67-B.26. [Air and Basing] Weather and runway-condition monitoring.</w:t>
      </w:r>
    </w:p>
    <w:p>
      <w:pPr>
        <w:pStyle w:val="Normal"/>
      </w:pPr>
      <w:r>
        <w:t>67-B.27. [Air and Basing] Emergency-divert readiness.</w:t>
      </w:r>
    </w:p>
    <w:p>
      <w:pPr>
        <w:pStyle w:val="Normal"/>
      </w:pPr>
      <w:r>
        <w:t>67-B.28. [Air and Basing] Airlift staging.</w:t>
      </w:r>
    </w:p>
    <w:p>
      <w:pPr>
        <w:pStyle w:val="Normal"/>
      </w:pPr>
      <w:r>
        <w:t>67-B.29. [Air and Basing] AEWC northern integration.</w:t>
      </w:r>
    </w:p>
    <w:p>
      <w:pPr>
        <w:pStyle w:val="Normal"/>
      </w:pPr>
      <w:r>
        <w:t>67-B.30. [Air and Basing] AEWC sustainment and training.</w:t>
      </w:r>
    </w:p>
    <w:p>
      <w:pPr>
        <w:pStyle w:val="Normal"/>
      </w:pPr>
      <w:r>
        <w:t>67-B.31. [Air and Basing] Fighter-support infrastructure.</w:t>
      </w:r>
    </w:p>
    <w:p>
      <w:pPr>
        <w:pStyle w:val="Normal"/>
      </w:pPr>
      <w:r>
        <w:t>67-B.32. [Air and Basing] Cold-weather aviation maintenance.</w:t>
      </w:r>
    </w:p>
    <w:p>
      <w:pPr>
        <w:pStyle w:val="Normal"/>
      </w:pPr>
      <w:r>
        <w:t>67-B.33. [Maritime and Undersea] Port resilience.</w:t>
      </w:r>
    </w:p>
    <w:p>
      <w:pPr>
        <w:pStyle w:val="Normal"/>
      </w:pPr>
      <w:r>
        <w:t>67-B.34. [Maritime and Undersea] Small-harbour resilience.</w:t>
      </w:r>
    </w:p>
    <w:p>
      <w:pPr>
        <w:pStyle w:val="Normal"/>
      </w:pPr>
      <w:r>
        <w:t>67-B.35. [Maritime and Undersea] Sealift support.</w:t>
      </w:r>
    </w:p>
    <w:p>
      <w:pPr>
        <w:pStyle w:val="Normal"/>
      </w:pPr>
      <w:r>
        <w:t>67-B.36. [Maritime and Undersea] Hydrographic modernization.</w:t>
      </w:r>
    </w:p>
    <w:p>
      <w:pPr>
        <w:pStyle w:val="Normal"/>
      </w:pPr>
      <w:r>
        <w:t>67-B.37. [Maritime and Undersea] Navigation-aid modernization.</w:t>
      </w:r>
    </w:p>
    <w:p>
      <w:pPr>
        <w:pStyle w:val="Normal"/>
      </w:pPr>
      <w:r>
        <w:t>67-B.38. [Maritime and Undersea] Maritime emergency refuge.</w:t>
      </w:r>
    </w:p>
    <w:p>
      <w:pPr>
        <w:pStyle w:val="Normal"/>
      </w:pPr>
      <w:r>
        <w:t>67-B.39. [Maritime and Undersea] Spill-response readiness.</w:t>
      </w:r>
    </w:p>
    <w:p>
      <w:pPr>
        <w:pStyle w:val="Normal"/>
      </w:pPr>
      <w:r>
        <w:t>67-B.40. [Maritime and Undersea] Ice-capable vessel support.</w:t>
      </w:r>
    </w:p>
    <w:p>
      <w:pPr>
        <w:pStyle w:val="Normal"/>
      </w:pPr>
      <w:r>
        <w:t>67-B.41. [Maritime and Undersea] Submarine-rescue interoperability.</w:t>
      </w:r>
    </w:p>
    <w:p>
      <w:pPr>
        <w:pStyle w:val="Normal"/>
      </w:pPr>
      <w:r>
        <w:t>67-B.42. [Maritime and Undersea] Undersea research.</w:t>
      </w:r>
    </w:p>
    <w:p>
      <w:pPr>
        <w:pStyle w:val="Normal"/>
      </w:pPr>
      <w:r>
        <w:t>67-B.43. [Maritime and Undersea] Autonomous undersea systems research.</w:t>
      </w:r>
    </w:p>
    <w:p>
      <w:pPr>
        <w:pStyle w:val="Normal"/>
      </w:pPr>
      <w:r>
        <w:t>67-B.44. [Maritime and Undersea] Ocean-glider observation.</w:t>
      </w:r>
    </w:p>
    <w:p>
      <w:pPr>
        <w:pStyle w:val="Normal"/>
      </w:pPr>
      <w:r>
        <w:t>67-B.45. [Maritime and Undersea] Seabed-infrastructure awareness.</w:t>
      </w:r>
    </w:p>
    <w:p>
      <w:pPr>
        <w:pStyle w:val="Normal"/>
      </w:pPr>
      <w:r>
        <w:t>67-B.46. [Maritime and Undersea] Undersea cable protection.</w:t>
      </w:r>
    </w:p>
    <w:p>
      <w:pPr>
        <w:pStyle w:val="Normal"/>
      </w:pPr>
      <w:r>
        <w:t>67-B.47. [Space C4ISR Cyber] Polar communications backbone.</w:t>
      </w:r>
    </w:p>
    <w:p>
      <w:pPr>
        <w:pStyle w:val="Normal"/>
      </w:pPr>
      <w:r>
        <w:t>67-B.48. [Space C4ISR Cyber] Satellite ground infrastructure.</w:t>
      </w:r>
    </w:p>
    <w:p>
      <w:pPr>
        <w:pStyle w:val="Normal"/>
      </w:pPr>
      <w:r>
        <w:t>67-B.49. [Space C4ISR Cyber] Space-domain awareness.</w:t>
      </w:r>
    </w:p>
    <w:p>
      <w:pPr>
        <w:pStyle w:val="Normal"/>
      </w:pPr>
      <w:r>
        <w:t>67-B.50. [Space C4ISR Cyber] Space-weather support.</w:t>
      </w:r>
    </w:p>
    <w:p>
      <w:pPr>
        <w:pStyle w:val="Normal"/>
      </w:pPr>
      <w:r>
        <w:t>67-B.51. [Space C4ISR Cyber] Secure C2 modernization.</w:t>
      </w:r>
    </w:p>
    <w:p>
      <w:pPr>
        <w:pStyle w:val="Normal"/>
      </w:pPr>
      <w:r>
        <w:t>67-B.52. [Space C4ISR Cyber] Federated information exchange.</w:t>
      </w:r>
    </w:p>
    <w:p>
      <w:pPr>
        <w:pStyle w:val="Normal"/>
      </w:pPr>
      <w:r>
        <w:t>67-B.53. [Space C4ISR Cyber] Exchange-officer interoperability.</w:t>
      </w:r>
    </w:p>
    <w:p>
      <w:pPr>
        <w:pStyle w:val="Normal"/>
      </w:pPr>
      <w:r>
        <w:t>67-B.54. [Space C4ISR Cyber] Northern network redundancy.</w:t>
      </w:r>
    </w:p>
    <w:p>
      <w:pPr>
        <w:pStyle w:val="Normal"/>
      </w:pPr>
      <w:r>
        <w:t>67-B.55. [Space C4ISR Cyber] Radar-chain cyber hardening.</w:t>
      </w:r>
    </w:p>
    <w:p>
      <w:pPr>
        <w:pStyle w:val="Normal"/>
      </w:pPr>
      <w:r>
        <w:t>67-B.56. [Space C4ISR Cyber] Cyber incident response.</w:t>
      </w:r>
    </w:p>
    <w:p>
      <w:pPr>
        <w:pStyle w:val="Normal"/>
      </w:pPr>
      <w:r>
        <w:t>67-B.57. [Space C4ISR Cyber] Satellite-ground-link cryptographic modernization.</w:t>
      </w:r>
    </w:p>
    <w:p>
      <w:pPr>
        <w:pStyle w:val="Normal"/>
      </w:pPr>
      <w:r>
        <w:t>67-B.58. [Space C4ISR Cyber] Critical-infrastructure cyber registry.</w:t>
      </w:r>
    </w:p>
    <w:p>
      <w:pPr>
        <w:pStyle w:val="Normal"/>
      </w:pPr>
      <w:r>
        <w:t>67-B.59. [Space C4ISR Cyber] Communications contingency capability.</w:t>
      </w:r>
    </w:p>
    <w:p>
      <w:pPr>
        <w:pStyle w:val="Normal"/>
      </w:pPr>
      <w:r>
        <w:t>67-B.60. [Space C4ISR Cyber] Classification-aware data fusion.</w:t>
      </w:r>
    </w:p>
    <w:p>
      <w:pPr>
        <w:pStyle w:val="Normal"/>
      </w:pPr>
      <w:r>
        <w:t>67-B.61. [Logistics Mobility Energy] Northern strategic mobility planning.</w:t>
      </w:r>
    </w:p>
    <w:p>
      <w:pPr>
        <w:pStyle w:val="Normal"/>
      </w:pPr>
      <w:r>
        <w:t>67-B.62. [Logistics Mobility Energy] All-season corridor resilience.</w:t>
      </w:r>
    </w:p>
    <w:p>
      <w:pPr>
        <w:pStyle w:val="Normal"/>
      </w:pPr>
      <w:r>
        <w:t>67-B.63. [Logistics Mobility Energy] Sealift-airlift integration.</w:t>
      </w:r>
    </w:p>
    <w:p>
      <w:pPr>
        <w:pStyle w:val="Normal"/>
      </w:pPr>
      <w:r>
        <w:t>67-B.64. [Logistics Mobility Energy] Northern warehouse network.</w:t>
      </w:r>
    </w:p>
    <w:p>
      <w:pPr>
        <w:pStyle w:val="Normal"/>
      </w:pPr>
      <w:r>
        <w:t>67-B.65. [Logistics Mobility Energy] Freight-visibility platform.</w:t>
      </w:r>
    </w:p>
    <w:p>
      <w:pPr>
        <w:pStyle w:val="Normal"/>
      </w:pPr>
      <w:r>
        <w:t>67-B.66. [Logistics Mobility Energy] Equipment pooling.</w:t>
      </w:r>
    </w:p>
    <w:p>
      <w:pPr>
        <w:pStyle w:val="Normal"/>
      </w:pPr>
      <w:r>
        <w:t>67-B.67. [Logistics Mobility Energy] Heavy-lift contingency access.</w:t>
      </w:r>
    </w:p>
    <w:p>
      <w:pPr>
        <w:pStyle w:val="Normal"/>
      </w:pPr>
      <w:r>
        <w:t>67-B.68. [Logistics Mobility Energy] Supply-chain stress testing.</w:t>
      </w:r>
    </w:p>
    <w:p>
      <w:pPr>
        <w:pStyle w:val="Normal"/>
      </w:pPr>
      <w:r>
        <w:t>67-B.69. [Logistics Mobility Energy] Climate-resilient corridor design.</w:t>
      </w:r>
    </w:p>
    <w:p>
      <w:pPr>
        <w:pStyle w:val="Normal"/>
      </w:pPr>
      <w:r>
        <w:t>67-B.70. [Logistics Mobility Energy] Fuel distribution resilience.</w:t>
      </w:r>
    </w:p>
    <w:p>
      <w:pPr>
        <w:pStyle w:val="Normal"/>
      </w:pPr>
      <w:r>
        <w:t>67-B.71. [Logistics Mobility Energy] Fuel-quality assurance.</w:t>
      </w:r>
    </w:p>
    <w:p>
      <w:pPr>
        <w:pStyle w:val="Normal"/>
      </w:pPr>
      <w:r>
        <w:t>67-B.72. [Logistics Mobility Energy] Microgrid resilience.</w:t>
      </w:r>
    </w:p>
    <w:p>
      <w:pPr>
        <w:pStyle w:val="Normal"/>
      </w:pPr>
      <w:r>
        <w:t>67-B.73. [Logistics Mobility Energy] Backup generation.</w:t>
      </w:r>
    </w:p>
    <w:p>
      <w:pPr>
        <w:pStyle w:val="Normal"/>
      </w:pPr>
      <w:r>
        <w:t>67-B.74. [Logistics Mobility Energy] Energy storage.</w:t>
      </w:r>
    </w:p>
    <w:p>
      <w:pPr>
        <w:pStyle w:val="Normal"/>
      </w:pPr>
      <w:r>
        <w:t>67-B.75. [Logistics Mobility Energy] Grid reinforcement.</w:t>
      </w:r>
    </w:p>
    <w:p>
      <w:pPr>
        <w:pStyle w:val="Normal"/>
      </w:pPr>
      <w:r>
        <w:t>67-B.76. [Logistics Mobility Energy] Renewable-hybrid systems.</w:t>
      </w:r>
    </w:p>
    <w:p>
      <w:pPr>
        <w:pStyle w:val="Normal"/>
      </w:pPr>
      <w:r>
        <w:t>67-B.77. [Logistics Mobility Energy] Emergency power mutual aid.</w:t>
      </w:r>
    </w:p>
    <w:p>
      <w:pPr>
        <w:pStyle w:val="Normal"/>
      </w:pPr>
      <w:r>
        <w:t>67-B.78. [Logistics Mobility Energy] Utility-capacity planning.</w:t>
      </w:r>
    </w:p>
    <w:p>
      <w:pPr>
        <w:pStyle w:val="Normal"/>
      </w:pPr>
      <w:r>
        <w:t>67-B.79. [Industry Procurement Workforce] DPSA Arctic modernization track.</w:t>
      </w:r>
    </w:p>
    <w:p>
      <w:pPr>
        <w:pStyle w:val="Normal"/>
      </w:pPr>
      <w:r>
        <w:t>67-B.80. [Industry Procurement Workforce] Export-control facilitation for approved projects.</w:t>
      </w:r>
    </w:p>
    <w:p>
      <w:pPr>
        <w:pStyle w:val="Normal"/>
      </w:pPr>
      <w:r>
        <w:t>67-B.81. [Industry Procurement Workforce] Reciprocal supplier qualification.</w:t>
      </w:r>
    </w:p>
    <w:p>
      <w:pPr>
        <w:pStyle w:val="Normal"/>
      </w:pPr>
      <w:r>
        <w:t>67-B.82. [Industry Procurement Workforce] Canadian sensor-manufacturing participation.</w:t>
      </w:r>
    </w:p>
    <w:p>
      <w:pPr>
        <w:pStyle w:val="Normal"/>
      </w:pPr>
      <w:r>
        <w:t>67-B.83. [Industry Procurement Workforce] U.S. supplier participation in Canadian programs.</w:t>
      </w:r>
    </w:p>
    <w:p>
      <w:pPr>
        <w:pStyle w:val="Normal"/>
      </w:pPr>
      <w:r>
        <w:t>67-B.84. [Industry Procurement Workforce] Mexican industrial-support lane.</w:t>
      </w:r>
    </w:p>
    <w:p>
      <w:pPr>
        <w:pStyle w:val="Normal"/>
      </w:pPr>
      <w:r>
        <w:t>67-B.85. [Industry Procurement Workforce] Satellite-component supply chains.</w:t>
      </w:r>
    </w:p>
    <w:p>
      <w:pPr>
        <w:pStyle w:val="Normal"/>
      </w:pPr>
      <w:r>
        <w:t>67-B.86. [Industry Procurement Workforce] Icebreaker supply-chain integration.</w:t>
      </w:r>
    </w:p>
    <w:p>
      <w:pPr>
        <w:pStyle w:val="Normal"/>
      </w:pPr>
      <w:r>
        <w:t>67-B.87. [Industry Procurement Workforce] Critical-minerals-to-defence linkage.</w:t>
      </w:r>
    </w:p>
    <w:p>
      <w:pPr>
        <w:pStyle w:val="Normal"/>
      </w:pPr>
      <w:r>
        <w:t>67-B.88. [Industry Procurement Workforce] Cold-weather battery R&amp;D.</w:t>
      </w:r>
    </w:p>
    <w:p>
      <w:pPr>
        <w:pStyle w:val="Normal"/>
      </w:pPr>
      <w:r>
        <w:t>67-B.89. [Industry Procurement Workforce] Arctic-rated construction equipment.</w:t>
      </w:r>
    </w:p>
    <w:p>
      <w:pPr>
        <w:pStyle w:val="Normal"/>
      </w:pPr>
      <w:r>
        <w:t>67-B.90. [Industry Procurement Workforce] Cold-weather materiel standards.</w:t>
      </w:r>
    </w:p>
    <w:p>
      <w:pPr>
        <w:pStyle w:val="Normal"/>
      </w:pPr>
      <w:r>
        <w:t>67-B.91. [Industry Procurement Workforce] Defence-trade statistics.</w:t>
      </w:r>
    </w:p>
    <w:p>
      <w:pPr>
        <w:pStyle w:val="Normal"/>
      </w:pPr>
      <w:r>
        <w:t>67-B.92. [Industry Procurement Workforce] Industrial mobilization long-lead items.</w:t>
      </w:r>
    </w:p>
    <w:p>
      <w:pPr>
        <w:pStyle w:val="Normal"/>
      </w:pPr>
      <w:r>
        <w:t>67-B.93. [Industry Procurement Workforce] SME and northern-supplier participation.</w:t>
      </w:r>
    </w:p>
    <w:p>
      <w:pPr>
        <w:pStyle w:val="Normal"/>
      </w:pPr>
      <w:r>
        <w:t>67-B.94. [Industry Procurement Workforce] Defence-industrial workforce training.</w:t>
      </w:r>
    </w:p>
    <w:p>
      <w:pPr>
        <w:pStyle w:val="Normal"/>
      </w:pPr>
      <w:r>
        <w:t>67-B.95. [Industry Procurement Workforce] Security-clearance processing cooperation.</w:t>
      </w:r>
    </w:p>
    <w:p>
      <w:pPr>
        <w:pStyle w:val="Normal"/>
      </w:pPr>
      <w:r>
        <w:t>67-B.96. [Industry Procurement Workforce] Cold-weather test and evaluation network.</w:t>
      </w:r>
    </w:p>
    <w:p>
      <w:pPr>
        <w:pStyle w:val="Normal"/>
      </w:pPr>
      <w:r>
        <w:t>67-B.97. [SAR Health Science Environment] Northern SAR posture.</w:t>
      </w:r>
    </w:p>
    <w:p>
      <w:pPr>
        <w:pStyle w:val="Normal"/>
      </w:pPr>
      <w:r>
        <w:t>67-B.98. [SAR Health Science Environment] Forward SAR staging.</w:t>
      </w:r>
    </w:p>
    <w:p>
      <w:pPr>
        <w:pStyle w:val="Normal"/>
      </w:pPr>
      <w:r>
        <w:t>67-B.99. [SAR Health Science Environment] Air and maritime rescue interoperability.</w:t>
      </w:r>
    </w:p>
    <w:p>
      <w:pPr>
        <w:pStyle w:val="Normal"/>
      </w:pPr>
      <w:r>
        <w:t>67-B.100. [SAR Health Science Environment] Community SAR capacity.</w:t>
      </w:r>
    </w:p>
    <w:p>
      <w:pPr>
        <w:pStyle w:val="Normal"/>
      </w:pPr>
      <w:r>
        <w:t>67-B.101. [SAR Health Science Environment] Indigenous/local knowledge in SAR where voluntarily shared.</w:t>
      </w:r>
    </w:p>
    <w:p>
      <w:pPr>
        <w:pStyle w:val="Normal"/>
      </w:pPr>
      <w:r>
        <w:t>67-B.102. [SAR Health Science Environment] Mass-rescue exercises.</w:t>
      </w:r>
    </w:p>
    <w:p>
      <w:pPr>
        <w:pStyle w:val="Normal"/>
      </w:pPr>
      <w:r>
        <w:t>67-B.103. [SAR Health Science Environment] Medevac readiness.</w:t>
      </w:r>
    </w:p>
    <w:p>
      <w:pPr>
        <w:pStyle w:val="Normal"/>
      </w:pPr>
      <w:r>
        <w:t>67-B.104. [SAR Health Science Environment] Emergency medical surge.</w:t>
      </w:r>
    </w:p>
    <w:p>
      <w:pPr>
        <w:pStyle w:val="Normal"/>
      </w:pPr>
      <w:r>
        <w:t>67-B.105. [SAR Health Science Environment] Medical cold-chain resilience.</w:t>
      </w:r>
    </w:p>
    <w:p>
      <w:pPr>
        <w:pStyle w:val="Normal"/>
      </w:pPr>
      <w:r>
        <w:t>67-B.106. [SAR Health Science Environment] Hazardous-material response.</w:t>
      </w:r>
    </w:p>
    <w:p>
      <w:pPr>
        <w:pStyle w:val="Normal"/>
      </w:pPr>
      <w:r>
        <w:t>67-B.107. [SAR Health Science Environment] Emergency equipment caches.</w:t>
      </w:r>
    </w:p>
    <w:p>
      <w:pPr>
        <w:pStyle w:val="Normal"/>
      </w:pPr>
      <w:r>
        <w:t>67-B.108. [SAR Health Science Environment] Responder safety.</w:t>
      </w:r>
    </w:p>
    <w:p>
      <w:pPr>
        <w:pStyle w:val="Normal"/>
      </w:pPr>
      <w:r>
        <w:t>67-B.109. [SAR Health Science Environment] Weather observation.</w:t>
      </w:r>
    </w:p>
    <w:p>
      <w:pPr>
        <w:pStyle w:val="Normal"/>
      </w:pPr>
      <w:r>
        <w:t>67-B.110. [SAR Health Science Environment] Sea-ice observation.</w:t>
      </w:r>
    </w:p>
    <w:p>
      <w:pPr>
        <w:pStyle w:val="Normal"/>
      </w:pPr>
      <w:r>
        <w:t>67-B.111. [SAR Health Science Environment] Permafrost monitoring.</w:t>
      </w:r>
    </w:p>
    <w:p>
      <w:pPr>
        <w:pStyle w:val="Normal"/>
      </w:pPr>
      <w:r>
        <w:t>67-B.112. [SAR Health Science Environment] Oceanographic research.</w:t>
      </w:r>
    </w:p>
    <w:p>
      <w:pPr>
        <w:pStyle w:val="Normal"/>
      </w:pPr>
      <w:r>
        <w:t>67-B.113. [SAR Health Science Environment] Climate-adaptation engineering.</w:t>
      </w:r>
    </w:p>
    <w:p>
      <w:pPr>
        <w:pStyle w:val="Normal"/>
      </w:pPr>
      <w:r>
        <w:t>67-B.114. [SAR Health Science Environment] Environmental monitoring.</w:t>
      </w:r>
    </w:p>
    <w:p>
      <w:pPr>
        <w:pStyle w:val="Normal"/>
      </w:pPr>
      <w:r>
        <w:t>67-B.115. [Community Rights Governance] Community-benefit planning.</w:t>
      </w:r>
    </w:p>
    <w:p>
      <w:pPr>
        <w:pStyle w:val="Normal"/>
      </w:pPr>
      <w:r>
        <w:t>67-B.116. [Community Rights Governance] Indigenous procurement participation.</w:t>
      </w:r>
    </w:p>
    <w:p>
      <w:pPr>
        <w:pStyle w:val="Normal"/>
      </w:pPr>
      <w:r>
        <w:t>67-B.117. [Community Rights Governance] Indigenous equity participation where voluntarily negotiated.</w:t>
      </w:r>
    </w:p>
    <w:p>
      <w:pPr>
        <w:pStyle w:val="Normal"/>
      </w:pPr>
      <w:r>
        <w:t>67-B.118. [Community Rights Governance] Northern employment and training targets where lawful.</w:t>
      </w:r>
    </w:p>
    <w:p>
      <w:pPr>
        <w:pStyle w:val="Normal"/>
      </w:pPr>
      <w:r>
        <w:t>67-B.119. [Community Rights Governance] Rangers and northern-service participation.</w:t>
      </w:r>
    </w:p>
    <w:p>
      <w:pPr>
        <w:pStyle w:val="Normal"/>
      </w:pPr>
      <w:r>
        <w:t>67-B.120. [Community Rights Governance] Language-access planning.</w:t>
      </w:r>
    </w:p>
    <w:p>
      <w:pPr>
        <w:pStyle w:val="Normal"/>
      </w:pPr>
      <w:r>
        <w:t>67-B.121. [Community Rights Governance] Cultural-heritage protection.</w:t>
      </w:r>
    </w:p>
    <w:p>
      <w:pPr>
        <w:pStyle w:val="Normal"/>
      </w:pPr>
      <w:r>
        <w:t>67-B.122. [Community Rights Governance] Harvesting-impact mitigation.</w:t>
      </w:r>
    </w:p>
    <w:p>
      <w:pPr>
        <w:pStyle w:val="Normal"/>
      </w:pPr>
      <w:r>
        <w:t>67-B.123. [Community Rights Governance] Northern housing-capacity planning.</w:t>
      </w:r>
    </w:p>
    <w:p>
      <w:pPr>
        <w:pStyle w:val="Normal"/>
      </w:pPr>
      <w:r>
        <w:t>67-B.124. [Community Rights Governance] Health/service capacity planning.</w:t>
      </w:r>
    </w:p>
    <w:p>
      <w:pPr>
        <w:pStyle w:val="Normal"/>
      </w:pPr>
      <w:r>
        <w:t>67-B.125. [Community Rights Governance] Local contractor development.</w:t>
      </w:r>
    </w:p>
    <w:p>
      <w:pPr>
        <w:pStyle w:val="Normal"/>
      </w:pPr>
      <w:r>
        <w:t>67-B.126. [Community Rights Governance] Municipal/community consultation.</w:t>
      </w:r>
    </w:p>
    <w:p>
      <w:pPr>
        <w:pStyle w:val="Normal"/>
      </w:pPr>
      <w:r>
        <w:t>67-B.127. [Community Rights Governance] Environmental audit.</w:t>
      </w:r>
    </w:p>
    <w:p>
      <w:pPr>
        <w:pStyle w:val="Normal"/>
      </w:pPr>
      <w:r>
        <w:t>67-B.128. [Community Rights Governance] Procurement-integrity audit.</w:t>
      </w:r>
    </w:p>
    <w:p>
      <w:pPr>
        <w:pStyle w:val="Heading2"/>
      </w:pPr>
      <w:bookmarkStart w:id="902186" w:name="_Toc300002185"/>
      <w:r>
        <w:rPr>
          <w:b/>
        </w:rPr>
        <w:t>ANNEX 67-C: PROJECT AND INVESTMENT CANDIDATE REGISTER (121)</w:t>
      </w:r>
      <w:bookmarkEnd w:id="902186"/>
    </w:p>
    <w:p>
      <w:pPr>
        <w:pStyle w:val="Normal"/>
      </w:pPr>
      <w:r>
        <w:t>67-C.1. [FLAGSHIP] Canadian NORAD Modernization Anchor. Classification preserves the candidate but does not itself establish A5 Schedule Ready status.</w:t>
      </w:r>
    </w:p>
    <w:p>
      <w:pPr>
        <w:pStyle w:val="Normal"/>
      </w:pPr>
      <w:r>
        <w:t>67-C.2. [FLAGSHIP] Arctic Over-the-Horizon Radar. Classification preserves the candidate but does not itself establish A5 Schedule Ready status.</w:t>
      </w:r>
    </w:p>
    <w:p>
      <w:pPr>
        <w:pStyle w:val="Normal"/>
      </w:pPr>
      <w:r>
        <w:t>67-C.3. [FLAGSHIP] Polar Over-the-Horizon Radar. Classification preserves the candidate but does not itself establish A5 Schedule Ready status.</w:t>
      </w:r>
    </w:p>
    <w:p>
      <w:pPr>
        <w:pStyle w:val="Normal"/>
      </w:pPr>
      <w:r>
        <w:t>67-C.4. [FLAGSHIP] North Warning System Transition. Classification preserves the candidate but does not itself establish A5 Schedule Ready status.</w:t>
      </w:r>
    </w:p>
    <w:p>
      <w:pPr>
        <w:pStyle w:val="Normal"/>
      </w:pPr>
      <w:r>
        <w:t>67-C.5. [FLAGSHIP] Northern Forward Operating Location Modernization. Classification preserves the candidate but does not itself establish A5 Schedule Ready status.</w:t>
      </w:r>
    </w:p>
    <w:p>
      <w:pPr>
        <w:pStyle w:val="Normal"/>
      </w:pPr>
      <w:r>
        <w:t>67-C.6. [FLAGSHIP] Northern Operational Support Hubs. Classification preserves the candidate but does not itself establish A5 Schedule Ready status.</w:t>
      </w:r>
    </w:p>
    <w:p>
      <w:pPr>
        <w:pStyle w:val="Normal"/>
      </w:pPr>
      <w:r>
        <w:t>67-C.7. [FLAGSHIP] Goose Bay Defence Infrastructure Expansion. Classification preserves the candidate but does not itself establish A5 Schedule Ready status.</w:t>
      </w:r>
    </w:p>
    <w:p>
      <w:pPr>
        <w:pStyle w:val="Normal"/>
      </w:pPr>
      <w:r>
        <w:t>67-C.8. [FLAGSHIP] Inuvik Northern Defence and Dual-Use Hub. Classification preserves the candidate but does not itself establish A5 Schedule Ready status.</w:t>
      </w:r>
    </w:p>
    <w:p>
      <w:pPr>
        <w:pStyle w:val="Normal"/>
      </w:pPr>
      <w:r>
        <w:t>67-C.9. [FLAGSHIP] Iqaluit Northern Defence and Dual-Use Hub. Classification preserves the candidate but does not itself establish A5 Schedule Ready status.</w:t>
      </w:r>
    </w:p>
    <w:p>
      <w:pPr>
        <w:pStyle w:val="Normal"/>
      </w:pPr>
      <w:r>
        <w:t>67-C.10. [FLAGSHIP] Yellowknife Northern Operations Hub. Classification preserves the candidate but does not itself establish A5 Schedule Ready status.</w:t>
      </w:r>
    </w:p>
    <w:p>
      <w:pPr>
        <w:pStyle w:val="Normal"/>
      </w:pPr>
      <w:r>
        <w:t>67-C.11. [FLAGSHIP] Northern Airport Modernization Network. Classification preserves the candidate but does not itself establish A5 Schedule Ready status.</w:t>
      </w:r>
    </w:p>
    <w:p>
      <w:pPr>
        <w:pStyle w:val="Normal"/>
      </w:pPr>
      <w:r>
        <w:t>67-C.12. [FLAGSHIP] Polar Emergency-Divert Network. Classification preserves the candidate but does not itself establish A5 Schedule Ready status.</w:t>
      </w:r>
    </w:p>
    <w:p>
      <w:pPr>
        <w:pStyle w:val="Normal"/>
      </w:pPr>
      <w:r>
        <w:t>67-C.13. [FLAGSHIP] Arctic Ports and Sealift Modernization. Classification preserves the candidate but does not itself establish A5 Schedule Ready status.</w:t>
      </w:r>
    </w:p>
    <w:p>
      <w:pPr>
        <w:pStyle w:val="Normal"/>
      </w:pPr>
      <w:r>
        <w:t>67-C.14. [FLAGSHIP] Canadian Ice-Capable Maritime Expansion. Classification preserves the candidate but does not itself establish A5 Schedule Ready status.</w:t>
      </w:r>
    </w:p>
    <w:p>
      <w:pPr>
        <w:pStyle w:val="Normal"/>
      </w:pPr>
      <w:r>
        <w:t>67-C.15. [FLAGSHIP] Arctic Economic and Security Corridor. Classification preserves the candidate but does not itself establish A5 Schedule Ready status.</w:t>
      </w:r>
    </w:p>
    <w:p>
      <w:pPr>
        <w:pStyle w:val="Normal"/>
      </w:pPr>
      <w:r>
        <w:t>67-C.16. [FLAGSHIP] Northern Strategic Mobility Network. Classification preserves the candidate but does not itself establish A5 Schedule Ready status.</w:t>
      </w:r>
    </w:p>
    <w:p>
      <w:pPr>
        <w:pStyle w:val="Normal"/>
      </w:pPr>
      <w:r>
        <w:t>67-C.17. [FLAGSHIP] Northern Fuel Security Network. Classification preserves the candidate but does not itself establish A5 Schedule Ready status.</w:t>
      </w:r>
    </w:p>
    <w:p>
      <w:pPr>
        <w:pStyle w:val="Normal"/>
      </w:pPr>
      <w:r>
        <w:t>67-C.18. [FLAGSHIP] Northern Resilient Energy and Microgrids. Classification preserves the candidate but does not itself establish A5 Schedule Ready status.</w:t>
      </w:r>
    </w:p>
    <w:p>
      <w:pPr>
        <w:pStyle w:val="Normal"/>
      </w:pPr>
      <w:r>
        <w:t>67-C.19. [FLAGSHIP] Polar Communications Backbone. Classification preserves the candidate but does not itself establish A5 Schedule Ready status.</w:t>
      </w:r>
    </w:p>
    <w:p>
      <w:pPr>
        <w:pStyle w:val="Normal"/>
      </w:pPr>
      <w:r>
        <w:t>67-C.20. [FLAGSHIP] Space-Based Arctic Awareness Layer. Classification preserves the candidate but does not itself establish A5 Schedule Ready status.</w:t>
      </w:r>
    </w:p>
    <w:p>
      <w:pPr>
        <w:pStyle w:val="Normal"/>
      </w:pPr>
      <w:r>
        <w:t>67-C.21. [FLAGSHIP] AEWC Northern Capability. Classification preserves the candidate but does not itself establish A5 Schedule Ready status.</w:t>
      </w:r>
    </w:p>
    <w:p>
      <w:pPr>
        <w:pStyle w:val="Normal"/>
      </w:pPr>
      <w:r>
        <w:t>67-C.22. [FLAGSHIP] Arctic Search-and-Rescue Expansion. Classification preserves the candidate but does not itself establish A5 Schedule Ready status.</w:t>
      </w:r>
    </w:p>
    <w:p>
      <w:pPr>
        <w:pStyle w:val="Normal"/>
      </w:pPr>
      <w:r>
        <w:t>67-C.23. [FLAGSHIP] Arctic Defence Industrial and Supply-Chain Initiative. Classification preserves the candidate but does not itself establish A5 Schedule Ready status.</w:t>
      </w:r>
    </w:p>
    <w:p>
      <w:pPr>
        <w:pStyle w:val="Normal"/>
      </w:pPr>
      <w:r>
        <w:t>67-C.24. [FLAGSHIP] Indigenous and Northern Infrastructure Partnership. Classification preserves the candidate but does not itself establish A5 Schedule Ready status.</w:t>
      </w:r>
    </w:p>
    <w:p>
      <w:pPr>
        <w:pStyle w:val="Normal"/>
      </w:pPr>
      <w:r>
        <w:t>67-C.25. [ANCHOR] Gap-Fill Radar Expansion. Classification preserves the candidate but does not itself establish A5 Schedule Ready status.</w:t>
      </w:r>
    </w:p>
    <w:p>
      <w:pPr>
        <w:pStyle w:val="Normal"/>
      </w:pPr>
      <w:r>
        <w:t>67-C.26. [ANCHOR] Mobile Radar Augmentation. Classification preserves the candidate but does not itself establish A5 Schedule Ready status.</w:t>
      </w:r>
    </w:p>
    <w:p>
      <w:pPr>
        <w:pStyle w:val="Normal"/>
      </w:pPr>
      <w:r>
        <w:t>67-C.27. [ANCHOR] NWS Site Hardening. Classification preserves the candidate but does not itself establish A5 Schedule Ready status.</w:t>
      </w:r>
    </w:p>
    <w:p>
      <w:pPr>
        <w:pStyle w:val="Normal"/>
      </w:pPr>
      <w:r>
        <w:t>67-C.28. [ANCHOR] Northern Radar Maintenance Depot. Classification preserves the candidate but does not itself establish A5 Schedule Ready status.</w:t>
      </w:r>
    </w:p>
    <w:p>
      <w:pPr>
        <w:pStyle w:val="Normal"/>
      </w:pPr>
      <w:r>
        <w:t>67-C.29. [ANCHOR] Radar Spare-Parts Resilience. Classification preserves the candidate but does not itself establish A5 Schedule Ready status.</w:t>
      </w:r>
    </w:p>
    <w:p>
      <w:pPr>
        <w:pStyle w:val="Normal"/>
      </w:pPr>
      <w:r>
        <w:t>67-C.30. [ANCHOR] Northern Hangar and Aircraft-Shelter Program. Classification preserves the candidate but does not itself establish A5 Schedule Ready status.</w:t>
      </w:r>
    </w:p>
    <w:p>
      <w:pPr>
        <w:pStyle w:val="Normal"/>
      </w:pPr>
      <w:r>
        <w:t>67-C.31. [ANCHOR] Runway and Apron Rehabilitation. Classification preserves the candidate but does not itself establish A5 Schedule Ready status.</w:t>
      </w:r>
    </w:p>
    <w:p>
      <w:pPr>
        <w:pStyle w:val="Normal"/>
      </w:pPr>
      <w:r>
        <w:t>67-C.32. [ANCHOR] Northern Aviation Fuel Resilience. Classification preserves the candidate but does not itself establish A5 Schedule Ready status.</w:t>
      </w:r>
    </w:p>
    <w:p>
      <w:pPr>
        <w:pStyle w:val="Normal"/>
      </w:pPr>
      <w:r>
        <w:t>67-C.33. [ANCHOR] Navigation and Weather Modernization. Classification preserves the candidate but does not itself establish A5 Schedule Ready status.</w:t>
      </w:r>
    </w:p>
    <w:p>
      <w:pPr>
        <w:pStyle w:val="Normal"/>
      </w:pPr>
      <w:r>
        <w:t>67-C.34. [ANCHOR] Small-Harbour Resilience. Classification preserves the candidate but does not itself establish A5 Schedule Ready status.</w:t>
      </w:r>
    </w:p>
    <w:p>
      <w:pPr>
        <w:pStyle w:val="Normal"/>
      </w:pPr>
      <w:r>
        <w:t>67-C.35. [ANCHOR] Northern Hydrography Modernization. Classification preserves the candidate but does not itself establish A5 Schedule Ready status.</w:t>
      </w:r>
    </w:p>
    <w:p>
      <w:pPr>
        <w:pStyle w:val="Normal"/>
      </w:pPr>
      <w:r>
        <w:t>67-C.36. [ANCHOR] Arctic Navigation-Aid Renewal. Classification preserves the candidate but does not itself establish A5 Schedule Ready status.</w:t>
      </w:r>
    </w:p>
    <w:p>
      <w:pPr>
        <w:pStyle w:val="Normal"/>
      </w:pPr>
      <w:r>
        <w:t>67-C.37. [ANCHOR] Maritime Emergency-Refuge Network. Classification preserves the candidate but does not itself establish A5 Schedule Ready status.</w:t>
      </w:r>
    </w:p>
    <w:p>
      <w:pPr>
        <w:pStyle w:val="Normal"/>
      </w:pPr>
      <w:r>
        <w:t>67-C.38. [ANCHOR] Sealift Logistics Expansion. Classification preserves the candidate but does not itself establish A5 Schedule Ready status.</w:t>
      </w:r>
    </w:p>
    <w:p>
      <w:pPr>
        <w:pStyle w:val="Normal"/>
      </w:pPr>
      <w:r>
        <w:t>67-C.39. [ANCHOR] Northern Warehousing Network. Classification preserves the candidate but does not itself establish A5 Schedule Ready status.</w:t>
      </w:r>
    </w:p>
    <w:p>
      <w:pPr>
        <w:pStyle w:val="Normal"/>
      </w:pPr>
      <w:r>
        <w:t>67-C.40. [ANCHOR] Polar Communications Redundancy. Classification preserves the candidate but does not itself establish A5 Schedule Ready status.</w:t>
      </w:r>
    </w:p>
    <w:p>
      <w:pPr>
        <w:pStyle w:val="Normal"/>
      </w:pPr>
      <w:r>
        <w:t>67-C.41. [ANCHOR] Satellite Ground Infrastructure. Classification preserves the candidate but does not itself establish A5 Schedule Ready status.</w:t>
      </w:r>
    </w:p>
    <w:p>
      <w:pPr>
        <w:pStyle w:val="Normal"/>
      </w:pPr>
      <w:r>
        <w:t>67-C.42. [ANCHOR] Northern Cyber-Hardening Program. Classification preserves the candidate but does not itself establish A5 Schedule Ready status.</w:t>
      </w:r>
    </w:p>
    <w:p>
      <w:pPr>
        <w:pStyle w:val="Normal"/>
      </w:pPr>
      <w:r>
        <w:t>67-C.43. [ANCHOR] Northern Medical and Medevac Capacity. Classification preserves the candidate but does not itself establish A5 Schedule Ready status.</w:t>
      </w:r>
    </w:p>
    <w:p>
      <w:pPr>
        <w:pStyle w:val="Normal"/>
      </w:pPr>
      <w:r>
        <w:t>67-C.44. [ANCHOR] Community SAR Facilities. Classification preserves the candidate but does not itself establish A5 Schedule Ready status.</w:t>
      </w:r>
    </w:p>
    <w:p>
      <w:pPr>
        <w:pStyle w:val="Normal"/>
      </w:pPr>
      <w:r>
        <w:t>67-C.45. [ANCHOR] Cold-Weather Test and Evaluation Network. Classification preserves the candidate but does not itself establish A5 Schedule Ready status.</w:t>
      </w:r>
    </w:p>
    <w:p>
      <w:pPr>
        <w:pStyle w:val="Normal"/>
      </w:pPr>
      <w:r>
        <w:t>67-C.46. [ANCHOR] Defence-Industrial Workforce Program. Classification preserves the candidate but does not itself establish A5 Schedule Ready status.</w:t>
      </w:r>
    </w:p>
    <w:p>
      <w:pPr>
        <w:pStyle w:val="Normal"/>
      </w:pPr>
      <w:r>
        <w:t>67-C.47. [ANCHOR] Northern Housing Capacity Program. Classification preserves the candidate but does not itself establish A5 Schedule Ready status.</w:t>
      </w:r>
    </w:p>
    <w:p>
      <w:pPr>
        <w:pStyle w:val="Normal"/>
      </w:pPr>
      <w:r>
        <w:t>67-C.48. [ANCHOR] Indigenous Procurement and Economic Participation. Classification preserves the candidate but does not itself establish A5 Schedule Ready status.</w:t>
      </w:r>
    </w:p>
    <w:p>
      <w:pPr>
        <w:pStyle w:val="Normal"/>
      </w:pPr>
      <w:r>
        <w:t>67-C.49. [ANCHOR] Environmental Monitoring Network. Classification preserves the candidate but does not itself establish A5 Schedule Ready status.</w:t>
      </w:r>
    </w:p>
    <w:p>
      <w:pPr>
        <w:pStyle w:val="Normal"/>
      </w:pPr>
      <w:r>
        <w:t>67-C.50. [ANCHOR] Climate-Resilient Defence Infrastructure. Classification preserves the candidate but does not itself establish A5 Schedule Ready status.</w:t>
      </w:r>
    </w:p>
    <w:p>
      <w:pPr>
        <w:pStyle w:val="Normal"/>
      </w:pPr>
      <w:r>
        <w:t>67-C.51. [ANCHOR] Northern Utility Capacity Program. Classification preserves the candidate but does not itself establish A5 Schedule Ready status.</w:t>
      </w:r>
    </w:p>
    <w:p>
      <w:pPr>
        <w:pStyle w:val="Normal"/>
      </w:pPr>
      <w:r>
        <w:t>67-C.52. [ANCHOR] Arctic Cable Protection. Classification preserves the candidate but does not itself establish A5 Schedule Ready status.</w:t>
      </w:r>
    </w:p>
    <w:p>
      <w:pPr>
        <w:pStyle w:val="Normal"/>
      </w:pPr>
      <w:r>
        <w:t>67-C.53. [ANCHOR] Submarine-Rescue Readiness. Classification preserves the candidate but does not itself establish A5 Schedule Ready status.</w:t>
      </w:r>
    </w:p>
    <w:p>
      <w:pPr>
        <w:pStyle w:val="Normal"/>
      </w:pPr>
      <w:r>
        <w:t>67-C.54. [ANCHOR] Northern Freight Visibility Platform. Classification preserves the candidate but does not itself establish A5 Schedule Ready status.</w:t>
      </w:r>
    </w:p>
    <w:p>
      <w:pPr>
        <w:pStyle w:val="Normal"/>
      </w:pPr>
      <w:r>
        <w:t>67-C.55. [ANCHOR] Critical-Minerals Defence Supply Link. Classification preserves the candidate but does not itself establish A5 Schedule Ready status.</w:t>
      </w:r>
    </w:p>
    <w:p>
      <w:pPr>
        <w:pStyle w:val="Normal"/>
      </w:pPr>
      <w:r>
        <w:t>67-C.56. [ANCHOR] Northern Emergency Equipment Cache Network. Classification preserves the candidate but does not itself establish A5 Schedule Ready status.</w:t>
      </w:r>
    </w:p>
    <w:p>
      <w:pPr>
        <w:pStyle w:val="Normal"/>
      </w:pPr>
      <w:r>
        <w:t>67-C.57. [PROGRAM] Radar Maintenance and Lifecycle Program. Classification preserves the candidate but does not itself establish A5 Schedule Ready status.</w:t>
      </w:r>
    </w:p>
    <w:p>
      <w:pPr>
        <w:pStyle w:val="Normal"/>
      </w:pPr>
      <w:r>
        <w:t>67-C.58. [PROGRAM] Sensor Calibration Program. Classification preserves the candidate but does not itself establish A5 Schedule Ready status.</w:t>
      </w:r>
    </w:p>
    <w:p>
      <w:pPr>
        <w:pStyle w:val="Normal"/>
      </w:pPr>
      <w:r>
        <w:t>67-C.59. [PROGRAM] Cold-Weather Equipment Qualification. Classification preserves the candidate but does not itself establish A5 Schedule Ready status.</w:t>
      </w:r>
    </w:p>
    <w:p>
      <w:pPr>
        <w:pStyle w:val="Normal"/>
      </w:pPr>
      <w:r>
        <w:t>67-C.60. [PROGRAM] Northern Construction Standards. Classification preserves the candidate but does not itself establish A5 Schedule Ready status.</w:t>
      </w:r>
    </w:p>
    <w:p>
      <w:pPr>
        <w:pStyle w:val="Normal"/>
      </w:pPr>
      <w:r>
        <w:t>67-C.61. [PROGRAM] Northern Cyber Exercise Program. Classification preserves the candidate but does not itself establish A5 Schedule Ready status.</w:t>
      </w:r>
    </w:p>
    <w:p>
      <w:pPr>
        <w:pStyle w:val="Normal"/>
      </w:pPr>
      <w:r>
        <w:t>67-C.62. [PROGRAM] Supply-Chain Stress Testing. Classification preserves the candidate but does not itself establish A5 Schedule Ready status.</w:t>
      </w:r>
    </w:p>
    <w:p>
      <w:pPr>
        <w:pStyle w:val="Normal"/>
      </w:pPr>
      <w:r>
        <w:t>67-C.63. [PROGRAM] SAR Exercise Program. Classification preserves the candidate but does not itself establish A5 Schedule Ready status.</w:t>
      </w:r>
    </w:p>
    <w:p>
      <w:pPr>
        <w:pStyle w:val="Normal"/>
      </w:pPr>
      <w:r>
        <w:t>67-C.64. [PROGRAM] Emergency Cache Rotation. Classification preserves the candidate but does not itself establish A5 Schedule Ready status.</w:t>
      </w:r>
    </w:p>
    <w:p>
      <w:pPr>
        <w:pStyle w:val="Normal"/>
      </w:pPr>
      <w:r>
        <w:t>67-C.65. [PROGRAM] Northern Trades Training. Classification preserves the candidate but does not itself establish A5 Schedule Ready status.</w:t>
      </w:r>
    </w:p>
    <w:p>
      <w:pPr>
        <w:pStyle w:val="Normal"/>
      </w:pPr>
      <w:r>
        <w:t>67-C.66. [PROGRAM] Northern Contractor Development. Classification preserves the candidate but does not itself establish A5 Schedule Ready status.</w:t>
      </w:r>
    </w:p>
    <w:p>
      <w:pPr>
        <w:pStyle w:val="Normal"/>
      </w:pPr>
      <w:r>
        <w:t>67-C.67. [PROGRAM] Weather Monitoring Program. Classification preserves the candidate but does not itself establish A5 Schedule Ready status.</w:t>
      </w:r>
    </w:p>
    <w:p>
      <w:pPr>
        <w:pStyle w:val="Normal"/>
      </w:pPr>
      <w:r>
        <w:t>67-C.68. [PROGRAM] Sea-Ice Monitoring Program. Classification preserves the candidate but does not itself establish A5 Schedule Ready status.</w:t>
      </w:r>
    </w:p>
    <w:p>
      <w:pPr>
        <w:pStyle w:val="Normal"/>
      </w:pPr>
      <w:r>
        <w:t>67-C.69. [PROGRAM] Permafrost Adaptation Program. Classification preserves the candidate but does not itself establish A5 Schedule Ready status.</w:t>
      </w:r>
    </w:p>
    <w:p>
      <w:pPr>
        <w:pStyle w:val="Normal"/>
      </w:pPr>
      <w:r>
        <w:t>67-C.70. [PROGRAM] Ocean Observation Program. Classification preserves the candidate but does not itself establish A5 Schedule Ready status.</w:t>
      </w:r>
    </w:p>
    <w:p>
      <w:pPr>
        <w:pStyle w:val="Normal"/>
      </w:pPr>
      <w:r>
        <w:t>67-C.71. [PROGRAM] Fuel Quality Assurance. Classification preserves the candidate but does not itself establish A5 Schedule Ready status.</w:t>
      </w:r>
    </w:p>
    <w:p>
      <w:pPr>
        <w:pStyle w:val="Normal"/>
      </w:pPr>
      <w:r>
        <w:t>67-C.72. [PROGRAM] Industrial Mobilization Planning. Classification preserves the candidate but does not itself establish A5 Schedule Ready status.</w:t>
      </w:r>
    </w:p>
    <w:p>
      <w:pPr>
        <w:pStyle w:val="Normal"/>
      </w:pPr>
      <w:r>
        <w:t>67-C.73. [PROGRAM] Supplier Qualification Program. Classification preserves the candidate but does not itself establish A5 Schedule Ready status.</w:t>
      </w:r>
    </w:p>
    <w:p>
      <w:pPr>
        <w:pStyle w:val="Normal"/>
      </w:pPr>
      <w:r>
        <w:t>67-C.74. [PROGRAM] Defence-Trade Facilitation. Classification preserves the candidate but does not itself establish A5 Schedule Ready status.</w:t>
      </w:r>
    </w:p>
    <w:p>
      <w:pPr>
        <w:pStyle w:val="Normal"/>
      </w:pPr>
      <w:r>
        <w:t>67-C.75. [PROGRAM] Cold-Weather R&amp;D Program. Classification preserves the candidate but does not itself establish A5 Schedule Ready status.</w:t>
      </w:r>
    </w:p>
    <w:p>
      <w:pPr>
        <w:pStyle w:val="Normal"/>
      </w:pPr>
      <w:r>
        <w:t>67-C.76. [PROGRAM] Indigenous Procurement Support. Classification preserves the candidate but does not itself establish A5 Schedule Ready status.</w:t>
      </w:r>
    </w:p>
    <w:p>
      <w:pPr>
        <w:pStyle w:val="Normal"/>
      </w:pPr>
      <w:r>
        <w:t>67-C.77. [PROGRAM] Community Capacity Monitoring. Classification preserves the candidate but does not itself establish A5 Schedule Ready status.</w:t>
      </w:r>
    </w:p>
    <w:p>
      <w:pPr>
        <w:pStyle w:val="Normal"/>
      </w:pPr>
      <w:r>
        <w:t>67-C.78. [PROGRAM] Milestone Verification Program. Classification preserves the candidate but does not itself establish A5 Schedule Ready status.</w:t>
      </w:r>
    </w:p>
    <w:p>
      <w:pPr>
        <w:pStyle w:val="Normal"/>
      </w:pPr>
      <w:r>
        <w:t>67-C.79. [PROGRAM] Northern Logistics Data Program. Classification preserves the candidate but does not itself establish A5 Schedule Ready status.</w:t>
      </w:r>
    </w:p>
    <w:p>
      <w:pPr>
        <w:pStyle w:val="Normal"/>
      </w:pPr>
      <w:r>
        <w:t>67-C.80. [PROGRAM] Airlift Readiness Program. Classification preserves the candidate but does not itself establish A5 Schedule Ready status.</w:t>
      </w:r>
    </w:p>
    <w:p>
      <w:pPr>
        <w:pStyle w:val="Normal"/>
      </w:pPr>
      <w:r>
        <w:t>67-C.81. [PROGRAM] Sealift Readiness Program. Classification preserves the candidate but does not itself establish A5 Schedule Ready status.</w:t>
      </w:r>
    </w:p>
    <w:p>
      <w:pPr>
        <w:pStyle w:val="Normal"/>
      </w:pPr>
      <w:r>
        <w:t>67-C.82. [PROGRAM] Northern Communications Continuity. Classification preserves the candidate but does not itself establish A5 Schedule Ready status.</w:t>
      </w:r>
    </w:p>
    <w:p>
      <w:pPr>
        <w:pStyle w:val="Normal"/>
      </w:pPr>
      <w:r>
        <w:t>67-C.83. [PROGRAM] Satellite Resilience Program. Classification preserves the candidate but does not itself establish A5 Schedule Ready status.</w:t>
      </w:r>
    </w:p>
    <w:p>
      <w:pPr>
        <w:pStyle w:val="Normal"/>
      </w:pPr>
      <w:r>
        <w:t>67-C.84. [PROGRAM] Space-Weather Support Program. Classification preserves the candidate but does not itself establish A5 Schedule Ready status.</w:t>
      </w:r>
    </w:p>
    <w:p>
      <w:pPr>
        <w:pStyle w:val="Normal"/>
      </w:pPr>
      <w:r>
        <w:t>67-C.85. [PROGRAM] Maritime Spill Response. Classification preserves the candidate but does not itself establish A5 Schedule Ready status.</w:t>
      </w:r>
    </w:p>
    <w:p>
      <w:pPr>
        <w:pStyle w:val="Normal"/>
      </w:pPr>
      <w:r>
        <w:t>67-C.86. [PROGRAM] Hydrographic Survey Program. Classification preserves the candidate but does not itself establish A5 Schedule Ready status.</w:t>
      </w:r>
    </w:p>
    <w:p>
      <w:pPr>
        <w:pStyle w:val="Normal"/>
      </w:pPr>
      <w:r>
        <w:t>67-C.87. [PROGRAM] Port Security Modernization. Classification preserves the candidate but does not itself establish A5 Schedule Ready status.</w:t>
      </w:r>
    </w:p>
    <w:p>
      <w:pPr>
        <w:pStyle w:val="Normal"/>
      </w:pPr>
      <w:r>
        <w:t>67-C.88. [PROGRAM] Northern Navigation Program. Classification preserves the candidate but does not itself establish A5 Schedule Ready status.</w:t>
      </w:r>
    </w:p>
    <w:p>
      <w:pPr>
        <w:pStyle w:val="Normal"/>
      </w:pPr>
      <w:r>
        <w:t>67-C.89. [PROGRAM] Medical Cold-Chain Program. Classification preserves the candidate but does not itself establish A5 Schedule Ready status.</w:t>
      </w:r>
    </w:p>
    <w:p>
      <w:pPr>
        <w:pStyle w:val="Normal"/>
      </w:pPr>
      <w:r>
        <w:t>67-C.90. [PROGRAM] Responder Safety Program. Classification preserves the candidate but does not itself establish A5 Schedule Ready status.</w:t>
      </w:r>
    </w:p>
    <w:p>
      <w:pPr>
        <w:pStyle w:val="Normal"/>
      </w:pPr>
      <w:r>
        <w:t>67-C.91. [PROGRAM] Grid Resilience Program. Classification preserves the candidate but does not itself establish A5 Schedule Ready status.</w:t>
      </w:r>
    </w:p>
    <w:p>
      <w:pPr>
        <w:pStyle w:val="Normal"/>
      </w:pPr>
      <w:r>
        <w:t>67-C.92. [PROGRAM] Microgrid Maintenance Program. Classification preserves the candidate but does not itself establish A5 Schedule Ready status.</w:t>
      </w:r>
    </w:p>
    <w:p>
      <w:pPr>
        <w:pStyle w:val="Normal"/>
      </w:pPr>
      <w:r>
        <w:t>67-C.93. [PROGRAM] Energy Storage Resilience. Classification preserves the candidate but does not itself establish A5 Schedule Ready status.</w:t>
      </w:r>
    </w:p>
    <w:p>
      <w:pPr>
        <w:pStyle w:val="Normal"/>
      </w:pPr>
      <w:r>
        <w:t>67-C.94. [PROGRAM] Critical Infrastructure Cyber Registry. Classification preserves the candidate but does not itself establish A5 Schedule Ready status.</w:t>
      </w:r>
    </w:p>
    <w:p>
      <w:pPr>
        <w:pStyle w:val="Normal"/>
      </w:pPr>
      <w:r>
        <w:t>67-C.95. [PROGRAM] Public Capability Mapping. Classification preserves the candidate but does not itself establish A5 Schedule Ready status.</w:t>
      </w:r>
    </w:p>
    <w:p>
      <w:pPr>
        <w:pStyle w:val="Normal"/>
      </w:pPr>
      <w:r>
        <w:t>67-C.96. [PROGRAM] Northern Vigilance Scorecard Operations. Classification preserves the candidate but does not itself establish A5 Schedule Ready status.</w:t>
      </w:r>
    </w:p>
    <w:p>
      <w:pPr>
        <w:pStyle w:val="Normal"/>
      </w:pPr>
      <w:r>
        <w:t>67-C.97. [PROGRAM] Investment Ledger Operations. Classification preserves the candidate but does not itself establish A5 Schedule Ready status.</w:t>
      </w:r>
    </w:p>
    <w:p>
      <w:pPr>
        <w:pStyle w:val="Normal"/>
      </w:pPr>
      <w:r>
        <w:t>67-C.98. [PROGRAM] State of the Vigilant North Reporting. Classification preserves the candidate but does not itself establish A5 Schedule Ready status.</w:t>
      </w:r>
    </w:p>
    <w:p>
      <w:pPr>
        <w:pStyle w:val="Normal"/>
      </w:pPr>
      <w:r>
        <w:t>67-C.99. [PROGRAM] Project Status Reverification. Classification preserves the candidate but does not itself establish A5 Schedule Ready status.</w:t>
      </w:r>
    </w:p>
    <w:p>
      <w:pPr>
        <w:pStyle w:val="Normal"/>
      </w:pPr>
      <w:r>
        <w:t>67-C.100. [DEVELOPMENT] Advanced Undersea Sensing Demonstrator. Classification preserves the candidate but does not itself establish A5 Schedule Ready status.</w:t>
      </w:r>
    </w:p>
    <w:p>
      <w:pPr>
        <w:pStyle w:val="Normal"/>
      </w:pPr>
      <w:r>
        <w:t>67-C.101. [DEVELOPMENT] Seabed Sensor Pilot. Classification preserves the candidate but does not itself establish A5 Schedule Ready status.</w:t>
      </w:r>
    </w:p>
    <w:p>
      <w:pPr>
        <w:pStyle w:val="Normal"/>
      </w:pPr>
      <w:r>
        <w:t>67-C.102. [DEVELOPMENT] Autonomous Under-Ice Surveillance Demonstrator. Classification preserves the candidate but does not itself establish A5 Schedule Ready status.</w:t>
      </w:r>
    </w:p>
    <w:p>
      <w:pPr>
        <w:pStyle w:val="Normal"/>
      </w:pPr>
      <w:r>
        <w:t>67-C.103. [DEVELOPMENT] Next-Generation Polar Communications Demonstrator. Classification preserves the candidate but does not itself establish A5 Schedule Ready status.</w:t>
      </w:r>
    </w:p>
    <w:p>
      <w:pPr>
        <w:pStyle w:val="Normal"/>
      </w:pPr>
      <w:r>
        <w:t>67-C.104. [DEVELOPMENT] Advanced Air-Defence Infrastructure Study. Classification preserves the candidate but does not itself establish A5 Schedule Ready status.</w:t>
      </w:r>
    </w:p>
    <w:p>
      <w:pPr>
        <w:pStyle w:val="Normal"/>
      </w:pPr>
      <w:r>
        <w:t>67-C.105. [DEVELOPMENT] Interceptor Integration Study. Classification preserves the candidate but does not itself establish A5 Schedule Ready status.</w:t>
      </w:r>
    </w:p>
    <w:p>
      <w:pPr>
        <w:pStyle w:val="Normal"/>
      </w:pPr>
      <w:r>
        <w:t>67-C.106. [DEVELOPMENT] Future Arctic Corridor Candidate. Classification preserves the candidate but does not itself establish A5 Schedule Ready status.</w:t>
      </w:r>
    </w:p>
    <w:p>
      <w:pPr>
        <w:pStyle w:val="Normal"/>
      </w:pPr>
      <w:r>
        <w:t>67-C.107. [DEVELOPMENT] Future Deepwater Port Candidate. Classification preserves the candidate but does not itself establish A5 Schedule Ready status.</w:t>
      </w:r>
    </w:p>
    <w:p>
      <w:pPr>
        <w:pStyle w:val="Normal"/>
      </w:pPr>
      <w:r>
        <w:t>67-C.108. [DEVELOPMENT] Strategic Stockpile Facility Candidate. Classification preserves the candidate but does not itself establish A5 Schedule Ready status.</w:t>
      </w:r>
    </w:p>
    <w:p>
      <w:pPr>
        <w:pStyle w:val="Normal"/>
      </w:pPr>
      <w:r>
        <w:t>67-C.109. [DEVELOPMENT] Autonomous Northern Logistics Pilot. Classification preserves the candidate but does not itself establish A5 Schedule Ready status.</w:t>
      </w:r>
    </w:p>
    <w:p>
      <w:pPr>
        <w:pStyle w:val="Normal"/>
      </w:pPr>
      <w:r>
        <w:t>67-C.110. [DEVELOPMENT] Remote Microreactor Feasibility Candidate. Classification preserves the candidate but does not itself establish A5 Schedule Ready status.</w:t>
      </w:r>
    </w:p>
    <w:p>
      <w:pPr>
        <w:pStyle w:val="Normal"/>
      </w:pPr>
      <w:r>
        <w:t>67-C.111. [DEVELOPMENT] Remote SMR Feasibility Candidate. Classification preserves the candidate but does not itself establish A5 Schedule Ready status.</w:t>
      </w:r>
    </w:p>
    <w:p>
      <w:pPr>
        <w:pStyle w:val="Normal"/>
      </w:pPr>
      <w:r>
        <w:t>67-C.112. [DEVELOPMENT] Advanced Cold-Weather UAV Demonstrator. Classification preserves the candidate but does not itself establish A5 Schedule Ready status.</w:t>
      </w:r>
    </w:p>
    <w:p>
      <w:pPr>
        <w:pStyle w:val="Normal"/>
      </w:pPr>
      <w:r>
        <w:t>67-C.113. [DEVELOPMENT] Passive Radar Demonstrator. Classification preserves the candidate but does not itself establish A5 Schedule Ready status.</w:t>
      </w:r>
    </w:p>
    <w:p>
      <w:pPr>
        <w:pStyle w:val="Normal"/>
      </w:pPr>
      <w:r>
        <w:t>67-C.114. [DEVELOPMENT] Next-Generation Maritime Awareness Pilot. Classification preserves the candidate but does not itself establish A5 Schedule Ready status.</w:t>
      </w:r>
    </w:p>
    <w:p>
      <w:pPr>
        <w:pStyle w:val="Normal"/>
      </w:pPr>
      <w:r>
        <w:t>67-C.115. [DEVELOPMENT] Arctic AUV Fleet Candidate. Classification preserves the candidate but does not itself establish A5 Schedule Ready status.</w:t>
      </w:r>
    </w:p>
    <w:p>
      <w:pPr>
        <w:pStyle w:val="Normal"/>
      </w:pPr>
      <w:r>
        <w:t>67-C.116. [DEVELOPMENT] Under-Ice Communications R&amp;D. Classification preserves the candidate but does not itself establish A5 Schedule Ready status.</w:t>
      </w:r>
    </w:p>
    <w:p>
      <w:pPr>
        <w:pStyle w:val="Normal"/>
      </w:pPr>
      <w:r>
        <w:t>67-C.117. [DEVELOPMENT] Northern Telemetry Range Candidate. Classification preserves the candidate but does not itself establish A5 Schedule Ready status.</w:t>
      </w:r>
    </w:p>
    <w:p>
      <w:pPr>
        <w:pStyle w:val="Normal"/>
      </w:pPr>
      <w:r>
        <w:t>67-C.118. [DEVELOPMENT] Future Satellite Ground Node Candidate. Classification preserves the candidate but does not itself establish A5 Schedule Ready status.</w:t>
      </w:r>
    </w:p>
    <w:p>
      <w:pPr>
        <w:pStyle w:val="Normal"/>
      </w:pPr>
      <w:r>
        <w:t>67-C.119. [DEVELOPMENT] Advanced Resilient Power Demonstrator. Classification preserves the candidate but does not itself establish A5 Schedule Ready status.</w:t>
      </w:r>
    </w:p>
    <w:p>
      <w:pPr>
        <w:pStyle w:val="Normal"/>
      </w:pPr>
      <w:r>
        <w:t>67-C.120. [DEVELOPMENT] Novel Ice-Capable Logistics Platform. Classification preserves the candidate but does not itself establish A5 Schedule Ready status.</w:t>
      </w:r>
    </w:p>
    <w:p>
      <w:pPr>
        <w:pStyle w:val="Normal"/>
      </w:pPr>
      <w:r>
        <w:t>67-C.121. [DEVELOPMENT] Future Continental Sensor Demonstrator. Classification preserves the candidate but does not itself establish A5 Schedule Ready status.</w:t>
      </w:r>
    </w:p>
    <w:p>
      <w:pPr>
        <w:pStyle w:val="Heading2"/>
      </w:pPr>
      <w:bookmarkStart w:id="902187" w:name="_Toc300002186"/>
      <w:r>
        <w:rPr>
          <w:b/>
        </w:rPr>
        <w:t>ANNEX 67-D: CONTROLLED-CAPABILITY REGISTER (7)</w:t>
      </w:r>
      <w:bookmarkEnd w:id="902187"/>
    </w:p>
    <w:p>
      <w:pPr>
        <w:pStyle w:val="Normal"/>
      </w:pPr>
      <w:r>
        <w:t>67-D.1. Persistent Arctic aerial surveillance; governed by Article 67.38 and separate national authorization.</w:t>
      </w:r>
    </w:p>
    <w:p>
      <w:pPr>
        <w:pStyle w:val="Normal"/>
      </w:pPr>
      <w:r>
        <w:t>67-D.2. Seabed and under-ice sensor deployments; governed by Article 67.38 and separate national authorization.</w:t>
      </w:r>
    </w:p>
    <w:p>
      <w:pPr>
        <w:pStyle w:val="Normal"/>
      </w:pPr>
      <w:r>
        <w:t>67-D.3. Advanced missile-defence or interceptor integration; governed by Article 67.38 and separate national authorization.</w:t>
      </w:r>
    </w:p>
    <w:p>
      <w:pPr>
        <w:pStyle w:val="Normal"/>
      </w:pPr>
      <w:r>
        <w:t>67-D.4. Co-located allied command or operations facilities in the Canadian North; governed by Article 67.38 and separate national authorization.</w:t>
      </w:r>
    </w:p>
    <w:p>
      <w:pPr>
        <w:pStyle w:val="Normal"/>
      </w:pPr>
      <w:r>
        <w:t>67-D.5. Mexican observer participation in selected Arctic defence exercises; governed by Article 67.38 and separate national authorization.</w:t>
      </w:r>
    </w:p>
    <w:p>
      <w:pPr>
        <w:pStyle w:val="Normal"/>
      </w:pPr>
      <w:r>
        <w:t>67-D.6. Remote defence-community microreactor or SMR deployment; governed by Article 67.38 and separate national authorization.</w:t>
      </w:r>
    </w:p>
    <w:p>
      <w:pPr>
        <w:pStyle w:val="Normal"/>
      </w:pPr>
      <w:r>
        <w:t>67-D.7. Public disclosure concerning strategic northern fuel, ammunition or material stockpiles; governed by Article 67.38 and separate national authorization.</w:t>
      </w:r>
    </w:p>
    <w:p>
      <w:pPr>
        <w:pStyle w:val="Heading2"/>
      </w:pPr>
      <w:bookmarkStart w:id="902188" w:name="_Toc300002187"/>
      <w:r>
        <w:rPr>
          <w:b/>
        </w:rPr>
        <w:t>ANNEX 67-E: VISIBLE NORTHERN VIGILANCE TROPHY OVERLAY (30)</w:t>
      </w:r>
      <w:bookmarkEnd w:id="902188"/>
    </w:p>
    <w:p>
      <w:pPr>
        <w:pStyle w:val="Normal"/>
      </w:pPr>
      <w:r>
        <w:t>67-E.1. Canada’s NORAD Modernization Anchor. Trophy designation is a visibility overlay and creates no additional obligation or change in verification status.</w:t>
      </w:r>
    </w:p>
    <w:p>
      <w:pPr>
        <w:pStyle w:val="Normal"/>
      </w:pPr>
      <w:r>
        <w:t>67-E.2. Arctic Over-the-Horizon Radar. Trophy designation is a visibility overlay and creates no additional obligation or change in verification status.</w:t>
      </w:r>
    </w:p>
    <w:p>
      <w:pPr>
        <w:pStyle w:val="Normal"/>
      </w:pPr>
      <w:r>
        <w:t>67-E.3. Polar Over-the-Horizon Radar. Trophy designation is a visibility overlay and creates no additional obligation or change in verification status.</w:t>
      </w:r>
    </w:p>
    <w:p>
      <w:pPr>
        <w:pStyle w:val="Normal"/>
      </w:pPr>
      <w:r>
        <w:t>67-E.4. North Warning System Renewal. Trophy designation is a visibility overlay and creates no additional obligation or change in verification status.</w:t>
      </w:r>
    </w:p>
    <w:p>
      <w:pPr>
        <w:pStyle w:val="Normal"/>
      </w:pPr>
      <w:r>
        <w:t>67-E.5. Continental Arctic Sensor Network. Trophy designation is a visibility overlay and creates no additional obligation or change in verification status.</w:t>
      </w:r>
    </w:p>
    <w:p>
      <w:pPr>
        <w:pStyle w:val="Normal"/>
      </w:pPr>
      <w:r>
        <w:t>67-E.6. Northern Forward Operating Location Modernization. Trophy designation is a visibility overlay and creates no additional obligation or change in verification status.</w:t>
      </w:r>
    </w:p>
    <w:p>
      <w:pPr>
        <w:pStyle w:val="Normal"/>
      </w:pPr>
      <w:r>
        <w:t>67-E.7. Northern Operational Support Hubs. Trophy designation is a visibility overlay and creates no additional obligation or change in verification status.</w:t>
      </w:r>
    </w:p>
    <w:p>
      <w:pPr>
        <w:pStyle w:val="Normal"/>
      </w:pPr>
      <w:r>
        <w:t>67-E.8. Goose Bay Northern Defence Expansion. Trophy designation is a visibility overlay and creates no additional obligation or change in verification status.</w:t>
      </w:r>
    </w:p>
    <w:p>
      <w:pPr>
        <w:pStyle w:val="Normal"/>
      </w:pPr>
      <w:r>
        <w:t>67-E.9. Iqaluit Defence and Dual-Use Infrastructure. Trophy designation is a visibility overlay and creates no additional obligation or change in verification status.</w:t>
      </w:r>
    </w:p>
    <w:p>
      <w:pPr>
        <w:pStyle w:val="Normal"/>
      </w:pPr>
      <w:r>
        <w:t>67-E.10. Inuvik Defence and Dual-Use Infrastructure. Trophy designation is a visibility overlay and creates no additional obligation or change in verification status.</w:t>
      </w:r>
    </w:p>
    <w:p>
      <w:pPr>
        <w:pStyle w:val="Normal"/>
      </w:pPr>
      <w:r>
        <w:t>67-E.11. Yellowknife Northern Operations Hub. Trophy designation is a visibility overlay and creates no additional obligation or change in verification status.</w:t>
      </w:r>
    </w:p>
    <w:p>
      <w:pPr>
        <w:pStyle w:val="Normal"/>
      </w:pPr>
      <w:r>
        <w:t>67-E.12. Northern Airport Modernization. Trophy designation is a visibility overlay and creates no additional obligation or change in verification status.</w:t>
      </w:r>
    </w:p>
    <w:p>
      <w:pPr>
        <w:pStyle w:val="Normal"/>
      </w:pPr>
      <w:r>
        <w:t>67-E.13. Polar Emergency-Divert Network. Trophy designation is a visibility overlay and creates no additional obligation or change in verification status.</w:t>
      </w:r>
    </w:p>
    <w:p>
      <w:pPr>
        <w:pStyle w:val="Normal"/>
      </w:pPr>
      <w:r>
        <w:t>67-E.14. Arctic Port and Sealift Modernization. Trophy designation is a visibility overlay and creates no additional obligation or change in verification status.</w:t>
      </w:r>
    </w:p>
    <w:p>
      <w:pPr>
        <w:pStyle w:val="Normal"/>
      </w:pPr>
      <w:r>
        <w:t>67-E.15. North American Ice-Capable Maritime Partnership. Trophy designation is a visibility overlay and creates no additional obligation or change in verification status.</w:t>
      </w:r>
    </w:p>
    <w:p>
      <w:pPr>
        <w:pStyle w:val="Normal"/>
      </w:pPr>
      <w:r>
        <w:t>67-E.16. Arctic Economic and Security Corridor. Trophy designation is a visibility overlay and creates no additional obligation or change in verification status.</w:t>
      </w:r>
    </w:p>
    <w:p>
      <w:pPr>
        <w:pStyle w:val="Normal"/>
      </w:pPr>
      <w:r>
        <w:t>67-E.17. Northern Strategic Mobility Network. Trophy designation is a visibility overlay and creates no additional obligation or change in verification status.</w:t>
      </w:r>
    </w:p>
    <w:p>
      <w:pPr>
        <w:pStyle w:val="Normal"/>
      </w:pPr>
      <w:r>
        <w:t>67-E.18. Northern Fuel Security Network. Trophy designation is a visibility overlay and creates no additional obligation or change in verification status.</w:t>
      </w:r>
    </w:p>
    <w:p>
      <w:pPr>
        <w:pStyle w:val="Normal"/>
      </w:pPr>
      <w:r>
        <w:t>67-E.19. Northern Resilient Energy and Microgrid Program. Trophy designation is a visibility overlay and creates no additional obligation or change in verification status.</w:t>
      </w:r>
    </w:p>
    <w:p>
      <w:pPr>
        <w:pStyle w:val="Normal"/>
      </w:pPr>
      <w:r>
        <w:t>67-E.20. Polar Communications Backbone. Trophy designation is a visibility overlay and creates no additional obligation or change in verification status.</w:t>
      </w:r>
    </w:p>
    <w:p>
      <w:pPr>
        <w:pStyle w:val="Normal"/>
      </w:pPr>
      <w:r>
        <w:t>67-E.21. Space-Based Arctic Awareness Layer. Trophy designation is a visibility overlay and creates no additional obligation or change in verification status.</w:t>
      </w:r>
    </w:p>
    <w:p>
      <w:pPr>
        <w:pStyle w:val="Normal"/>
      </w:pPr>
      <w:r>
        <w:t>67-E.22. AEWC Northern Surveillance Capability. Trophy designation is a visibility overlay and creates no additional obligation or change in verification status.</w:t>
      </w:r>
    </w:p>
    <w:p>
      <w:pPr>
        <w:pStyle w:val="Normal"/>
      </w:pPr>
      <w:r>
        <w:t>67-E.23. Arctic Search-and-Rescue Expansion. Trophy designation is a visibility overlay and creates no additional obligation or change in verification status.</w:t>
      </w:r>
    </w:p>
    <w:p>
      <w:pPr>
        <w:pStyle w:val="Normal"/>
      </w:pPr>
      <w:r>
        <w:t>67-E.24. North American Arctic Industrial Supply Chain. Trophy designation is a visibility overlay and creates no additional obligation or change in verification status.</w:t>
      </w:r>
    </w:p>
    <w:p>
      <w:pPr>
        <w:pStyle w:val="Normal"/>
      </w:pPr>
      <w:r>
        <w:t>67-E.25. Arctic Critical-Minerals-to-Defence Pipeline. Trophy designation is a visibility overlay and creates no additional obligation or change in verification status.</w:t>
      </w:r>
    </w:p>
    <w:p>
      <w:pPr>
        <w:pStyle w:val="Normal"/>
      </w:pPr>
      <w:r>
        <w:t>67-E.26. Indigenous and Northern Procurement Partnership. Trophy designation is a visibility overlay and creates no additional obligation or change in verification status.</w:t>
      </w:r>
    </w:p>
    <w:p>
      <w:pPr>
        <w:pStyle w:val="Normal"/>
      </w:pPr>
      <w:r>
        <w:t>67-E.27. Northern Housing, Workforce and Community Capacity Package. Trophy designation is a visibility overlay and creates no additional obligation or change in verification status.</w:t>
      </w:r>
    </w:p>
    <w:p>
      <w:pPr>
        <w:pStyle w:val="Normal"/>
      </w:pPr>
      <w:r>
        <w:t>67-E.28. Arctic Research and Cold-Weather Technology Partnership. Trophy designation is a visibility overlay and creates no additional obligation or change in verification status.</w:t>
      </w:r>
    </w:p>
    <w:p>
      <w:pPr>
        <w:pStyle w:val="Normal"/>
      </w:pPr>
      <w:r>
        <w:t>67-E.29. Northern Vigilance Scorecard and Investment Ledger. Trophy designation is a visibility overlay and creates no additional obligation or change in verification status.</w:t>
      </w:r>
    </w:p>
    <w:p>
      <w:pPr>
        <w:pStyle w:val="Normal"/>
      </w:pPr>
      <w:r>
        <w:t>67-E.30. State of the Vigilant North Annual Leaders’ Report. Trophy designation is a visibility overlay and creates no additional obligation or change in verification status.</w:t>
      </w:r>
    </w:p>
    <w:p>
      <w:pPr>
        <w:pStyle w:val="Heading2"/>
      </w:pPr>
      <w:bookmarkStart w:id="902189" w:name="_Toc300002188"/>
      <w:r>
        <w:rPr>
          <w:b/>
        </w:rPr>
        <w:t>ANNEX 67-F: PROJECT STATUS, CLAIM AND ACCOUNTING VERIFICATION RULE</w:t>
      </w:r>
      <w:bookmarkEnd w:id="902189"/>
    </w:p>
    <w:p>
      <w:pPr>
        <w:pStyle w:val="Normal"/>
      </w:pPr>
      <w:r>
        <w:t>Before a named project, dollar value, site, date, contractor, capability milestone or employment figure is represented as an operative commitment or verified public achievement, the responsible Party shall confirm the current authoritative source, project status, funding basis, jurisdiction, accounting treatment and disclosure authority. Drafting inputs, historical announcements and repeated secondary claims are not self-verifying.</w:t>
      </w:r>
    </w:p>
    <w:p>
      <w:pPr>
        <w:pStyle w:val="Normal"/>
      </w:pPr>
      <w:r>
        <w:t>Particular caution applies to completed, cancelled, superseded, classified, proposed or materially rescoped projects; overlapping defence envelopes; cash-versus-accrual comparisons; and any statement that an existing commitment constitutes new agreement-attributable spending.</w:t>
      </w:r>
    </w:p>
    <w:p>
      <w:pPr>
        <w:pStyle w:val="Normal"/>
      </w:pPr>
      <w:r>
        <w:t>E-2F. Version 8.4: Northern Vigilance Arctic Integration. Added Chapter 67, North American Arctic Security, Sovereignty and Continental Defence Compact; Northern Vigilance Partnership; 47 cornerstone obligations; 128 operational/capability mechanisms; 121 project/investment candidates classified as 24 Flagship, 32 Anchor, 43 Program and 22 Development; 7 controlled capabilities; 30-item visible trophy overlay; A1–A5 project verification; C1–C5 controlled-capability ladder; sovereignty, command, Indigenous/northern, classification, investment-additionality, no-zombie-project and trade-measure firewalls.</w:t>
      </w:r>
    </w:p>
    <w:p>
      <w:pPr>
        <w:pStyle w:val="Normal"/>
      </w:pPr>
      <w:r>
        <w:t>E-2G. Version 8.5: Canada and Mexico Visibility Elevation Pass. Added non-operative leader-level Canadian and Mexican win summaries and parallel negotiator visibility indexes identifying Canadian and Mexican benefits already present in the operative text. No substantive concession, tariff commitment, procurement opening, security authority, market-access obligation, remedy, safeguard, project approval, or implementation duty is created, enlarged, narrowed, accelerated, or otherwise altered by this visibility-only pass.</w:t>
      </w:r>
    </w:p>
    <w:p>
      <w:pPr>
        <w:pStyle w:val="Normal"/>
      </w:pPr>
      <w:r>
        <w:t>E-2H. Version 8.6: Gordie Howe Benefit and Reinvestment Cleanup. Added Package CG, Detroit–Windsor International Crossing Benefit and Reinvestment Framework, closing the remaining bridge toll-revenue grievance without transferring Canadian toll ownership, bridge governance, revenue entitlement, or retroactive financing claims. Creates optional corridor reinvestment using mutually agreed revenues or equivalent appropriations; eligible customs, trusted-freight, ITS, approach, logistics, community-mitigation and economic-development improvements; integration with Packages CE and Chapter 65; baseline/additionality verification; and strict no-double-counting. Added corresponding U.S. and Canadian visibility-index entries. No fixed toll-revenue percentage is required.</w:t>
      </w:r>
    </w:p>
    <w:p>
      <w:pPr>
        <w:pStyle w:val="Normal"/>
      </w:pPr>
      <w:r>
        <w:t>Chapter 68 contains the specialized North American cetacean recovery, safety, stewardship, rescue, and lifelong-care architecture.</w:t>
      </w:r>
    </w:p>
    <w:p>
      <w:pPr>
        <w:pStyle w:val="TrumpVisibilityHeadline"/>
      </w:pPr>
      <w:r>
        <w:t>SEARCH SIGNPOST: WHALES / CETACEANS / MARINE MAMMALS / VESSEL STRIKE / FISHING GEAR / ENTANGLEMENT / RESCUE / CAPTIVE CETACEANS</w:t>
      </w:r>
    </w:p>
    <w:p>
      <w:pPr>
        <w:pStyle w:val="Heading1"/>
      </w:pPr>
      <w:bookmarkStart w:id="902190" w:name="_Toc300002189"/>
      <w:r>
        <w:t>CHAPTER 68: GREAT WHALE COMPACT: NORTH AMERICAN CETACEAN RECOVERY, SAFETY AND STEWARDSHIP</w:t>
      </w:r>
      <w:bookmarkEnd w:id="902190"/>
    </w:p>
    <w:p>
      <w:pPr>
        <w:pStyle w:val="Normal"/>
      </w:pPr>
      <w:r>
        <w:rPr>
          <w:b/>
        </w:rPr>
        <w:t xml:space="preserve">★ </w:t>
      </w:r>
      <w:r>
        <w:rPr>
          <w:b/>
        </w:rPr>
        <w:t>VISIBLE TRILATERAL WIN: MORE WHALES SURVIVE, WORKING WATERS STAY WORKABLE, AND NORTH AMERICA BUILDS THE WORLD'S MOST PRACTICAL CETACEAN-RECOVERY SYSTEM</w:t>
      </w:r>
    </w:p>
    <w:p>
      <w:pPr>
        <w:pStyle w:val="Normal"/>
      </w:pPr>
      <w:r>
        <w:rPr>
          <w:b w:val="false"/>
        </w:rPr>
        <w:t>The Parties establish the Great Whale Compact as a coordinated, sovereignty-safe framework for conserving wild cetaceans, reducing avoidable human-caused mortality and disturbance, supporting affected coastal communities, strengthening rescue and science, and protecting the welfare of captive cetaceans. The Compact shall be implemented primarily through competent domestic authorities and existing institutions.</w:t>
      </w:r>
    </w:p>
    <w:p>
      <w:pPr>
        <w:pStyle w:val="Heading2"/>
      </w:pPr>
      <w:bookmarkStart w:id="902191" w:name="_Toc300002190"/>
      <w:r>
        <w:t>68.1. Purpose and Great Whale Bargain.</w:t>
      </w:r>
      <w:bookmarkEnd w:id="902191"/>
    </w:p>
    <w:p>
      <w:pPr>
        <w:pStyle w:val="Normal"/>
      </w:pPr>
      <w:r>
        <w:t>Protect cetaceans while preserving lawful, safe and economically workable maritime activity through evidence-based, adaptive and proportionate measures.</w:t>
      </w:r>
    </w:p>
    <w:p>
      <w:pPr>
        <w:pStyle w:val="Heading2"/>
      </w:pPr>
      <w:bookmarkStart w:id="902192" w:name="_Toc300002191"/>
      <w:r>
        <w:t>68.2. National Sovereignty and Domestic Authority.</w:t>
      </w:r>
      <w:bookmarkEnd w:id="902192"/>
    </w:p>
    <w:p>
      <w:pPr>
        <w:pStyle w:val="Normal"/>
      </w:pPr>
      <w:r>
        <w:t>Each Party retains authority over its waters, fisheries, navigation, wildlife, animal welfare, defence, permitting and enforcement. Nothing creates a supranational cetacean regulator.</w:t>
      </w:r>
    </w:p>
    <w:p>
      <w:pPr>
        <w:pStyle w:val="Heading2"/>
      </w:pPr>
      <w:bookmarkStart w:id="902193" w:name="_Toc300002192"/>
      <w:r>
        <w:t>68.3. Existing Institutions Before New Institutions.</w:t>
      </w:r>
      <w:bookmarkEnd w:id="902193"/>
    </w:p>
    <w:p>
      <w:pPr>
        <w:pStyle w:val="Normal"/>
      </w:pPr>
      <w:r>
        <w:t>Implementation shall use competent domestic agencies, existing bilateral or trilateral bodies, Indigenous or co-management institutions where applicable, and NAESTMA machinery before creating new permanent bureaucracy.</w:t>
      </w:r>
    </w:p>
    <w:p>
      <w:pPr>
        <w:pStyle w:val="Heading2"/>
      </w:pPr>
      <w:bookmarkStart w:id="902194" w:name="_Toc300002193"/>
      <w:r>
        <w:t>68.4. Science-First Decisionmaking.</w:t>
      </w:r>
      <w:bookmarkEnd w:id="902194"/>
    </w:p>
    <w:p>
      <w:pPr>
        <w:pStyle w:val="Normal"/>
      </w:pPr>
      <w:r>
        <w:t>Measures shall rely on the best reasonably available science, disclose material uncertainty, and distinguish observed facts, modelled estimates and research hypotheses.</w:t>
      </w:r>
    </w:p>
    <w:p>
      <w:pPr>
        <w:pStyle w:val="Heading2"/>
      </w:pPr>
      <w:bookmarkStart w:id="902195" w:name="_Toc300002194"/>
      <w:r>
        <w:t>68.5. Least-Burdensome Effective Protection.</w:t>
      </w:r>
      <w:bookmarkEnd w:id="902195"/>
    </w:p>
    <w:p>
      <w:pPr>
        <w:pStyle w:val="Normal"/>
      </w:pPr>
      <w:r>
        <w:t>Where multiple measures can provide materially comparable protection, authorities should prefer the measure that achieves the conservation objective with the least unnecessary burden on lawful activity.</w:t>
      </w:r>
    </w:p>
    <w:p>
      <w:pPr>
        <w:pStyle w:val="Heading2"/>
      </w:pPr>
      <w:bookmarkStart w:id="902196" w:name="_Toc300002195"/>
      <w:r>
        <w:t>68.6. Adaptive Management.</w:t>
      </w:r>
      <w:bookmarkEnd w:id="902196"/>
    </w:p>
    <w:p>
      <w:pPr>
        <w:pStyle w:val="Normal"/>
      </w:pPr>
      <w:r>
        <w:t>Measures should change with demonstrated risk, whale presence, season, geography, technology and new evidence rather than remain static without review.</w:t>
      </w:r>
    </w:p>
    <w:p>
      <w:pPr>
        <w:pStyle w:val="Heading2"/>
      </w:pPr>
      <w:bookmarkStart w:id="902197" w:name="_Toc300002196"/>
      <w:r>
        <w:t>68.7. Activation and Deactivation.</w:t>
      </w:r>
      <w:bookmarkEnd w:id="902197"/>
    </w:p>
    <w:p>
      <w:pPr>
        <w:pStyle w:val="Normal"/>
      </w:pPr>
      <w:r>
        <w:t>Dynamic restrictions shall use intelligible activation criteria, defined review periods and deactivation, modification or expiry when the triggering risk materially subsides.</w:t>
      </w:r>
    </w:p>
    <w:p>
      <w:pPr>
        <w:pStyle w:val="Heading2"/>
      </w:pPr>
      <w:bookmarkStart w:id="902198" w:name="_Toc300002197"/>
      <w:r>
        <w:t>68.8. Human Authority Over Automated Consequences.</w:t>
      </w:r>
      <w:bookmarkEnd w:id="902198"/>
    </w:p>
    <w:p>
      <w:pPr>
        <w:pStyle w:val="Normal"/>
      </w:pPr>
      <w:r>
        <w:t>AI, acoustic detections, satellite observations or other automated systems may inform decisions but shall not alone impose penalties, revoke licences or create permanent closures.</w:t>
      </w:r>
    </w:p>
    <w:p>
      <w:pPr>
        <w:pStyle w:val="Heading2"/>
      </w:pPr>
      <w:bookmarkStart w:id="902199" w:name="_Toc300002198"/>
      <w:r>
        <w:t>68.9. Species-Appropriate Protection.</w:t>
      </w:r>
      <w:bookmarkEnd w:id="902199"/>
    </w:p>
    <w:p>
      <w:pPr>
        <w:pStyle w:val="Normal"/>
      </w:pPr>
      <w:r>
        <w:t>Measures shall account for population status, life history, migration, prey, habitat, culture, acoustic ecology and region-specific threats.</w:t>
      </w:r>
    </w:p>
    <w:p>
      <w:pPr>
        <w:pStyle w:val="Heading2"/>
      </w:pPr>
      <w:bookmarkStart w:id="902200" w:name="_Toc300002199"/>
      <w:r>
        <w:t>68.10. Avoidable Governance Failure.</w:t>
      </w:r>
      <w:bookmarkEnd w:id="902200"/>
    </w:p>
    <w:p>
      <w:pPr>
        <w:pStyle w:val="Normal"/>
      </w:pPr>
      <w:r>
        <w:t>The Parties shall maintain recovery and response systems reasonably designed to prevent avoidable governance failure from contributing materially to extirpation of covered cetacean populations.</w:t>
      </w:r>
    </w:p>
    <w:p>
      <w:pPr>
        <w:pStyle w:val="Heading2"/>
      </w:pPr>
      <w:bookmarkStart w:id="902201" w:name="_Toc300002200"/>
      <w:r>
        <w:t>68.11. Indigenous Rights Savings.</w:t>
      </w:r>
      <w:bookmarkEnd w:id="902201"/>
    </w:p>
    <w:p>
      <w:pPr>
        <w:pStyle w:val="Normal"/>
      </w:pPr>
      <w:r>
        <w:t>Nothing in this Chapter diminishes Aboriginal, treaty, constitutional, self-government or other Indigenous rights recognized under applicable law.</w:t>
      </w:r>
    </w:p>
    <w:p>
      <w:pPr>
        <w:pStyle w:val="Heading2"/>
      </w:pPr>
      <w:bookmarkStart w:id="902202" w:name="_Toc300002201"/>
      <w:r>
        <w:t>68.12. Indigenous Knowledge and Data Governance.</w:t>
      </w:r>
      <w:bookmarkEnd w:id="902202"/>
    </w:p>
    <w:p>
      <w:pPr>
        <w:pStyle w:val="Normal"/>
      </w:pPr>
      <w:r>
        <w:t>Indigenous Knowledge may inform management under community-approved protocols, with appropriate protection for sensitive, sacred, proprietary or community-governed information.</w:t>
      </w:r>
    </w:p>
    <w:p>
      <w:pPr>
        <w:pStyle w:val="Heading2"/>
      </w:pPr>
      <w:bookmarkStart w:id="902203" w:name="_Toc300002202"/>
      <w:r>
        <w:t>68.13. Vessel-Strike Reduction.</w:t>
      </w:r>
      <w:bookmarkEnd w:id="902203"/>
    </w:p>
    <w:p>
      <w:pPr>
        <w:pStyle w:val="Normal"/>
      </w:pPr>
      <w:r>
        <w:t>Each Party shall maintain measures reasonably designed to reduce avoidable serious injury and mortality from vessel strikes in material risk areas.</w:t>
      </w:r>
    </w:p>
    <w:p>
      <w:pPr>
        <w:pStyle w:val="Heading2"/>
      </w:pPr>
      <w:bookmarkStart w:id="902204" w:name="_Toc300002203"/>
      <w:r>
        <w:t>68.14. Entanglement Reduction.</w:t>
      </w:r>
      <w:bookmarkEnd w:id="902204"/>
    </w:p>
    <w:p>
      <w:pPr>
        <w:pStyle w:val="Normal"/>
      </w:pPr>
      <w:r>
        <w:t>Each Party shall maintain measures reasonably designed to reduce serious entanglement risk while supporting practical fishing transitions.</w:t>
      </w:r>
    </w:p>
    <w:p>
      <w:pPr>
        <w:pStyle w:val="Heading2"/>
      </w:pPr>
      <w:bookmarkStart w:id="902205" w:name="_Toc300002204"/>
      <w:r>
        <w:t>68.15. Whale-Safe Fishing Transition.</w:t>
      </w:r>
      <w:bookmarkEnd w:id="902205"/>
    </w:p>
    <w:p>
      <w:pPr>
        <w:pStyle w:val="Normal"/>
      </w:pPr>
      <w:r>
        <w:t>The Parties shall support validation and adoption of on-demand, weak-link, low-risk or other proven fishing technologies where they materially reduce cetacean risk.</w:t>
      </w:r>
    </w:p>
    <w:p>
      <w:pPr>
        <w:pStyle w:val="Heading2"/>
      </w:pPr>
      <w:bookmarkStart w:id="902206" w:name="_Toc300002205"/>
      <w:r>
        <w:t>68.16. Ghost-Gear Prevention and Recovery.</w:t>
      </w:r>
      <w:bookmarkEnd w:id="902206"/>
    </w:p>
    <w:p>
      <w:pPr>
        <w:pStyle w:val="Normal"/>
      </w:pPr>
      <w:r>
        <w:t>The Parties shall strengthen prevention, marking, reporting, retrieval and responsible disposal or recycling of lost fishing gear.</w:t>
      </w:r>
    </w:p>
    <w:p>
      <w:pPr>
        <w:pStyle w:val="Heading2"/>
      </w:pPr>
      <w:bookmarkStart w:id="902207" w:name="_Toc300002206"/>
      <w:r>
        <w:t>68.17. Continental Detection Cooperation.</w:t>
      </w:r>
      <w:bookmarkEnd w:id="902207"/>
    </w:p>
    <w:p>
      <w:pPr>
        <w:pStyle w:val="Normal"/>
      </w:pPr>
      <w:r>
        <w:t>The Parties shall cooperate on interoperable acoustic, visual, satellite, aerial and other validated whale-detection systems.</w:t>
      </w:r>
    </w:p>
    <w:p>
      <w:pPr>
        <w:pStyle w:val="Heading2"/>
      </w:pPr>
      <w:bookmarkStart w:id="902208" w:name="_Toc300002207"/>
      <w:r>
        <w:t>68.18. Detection Reliability.</w:t>
      </w:r>
      <w:bookmarkEnd w:id="902208"/>
    </w:p>
    <w:p>
      <w:pPr>
        <w:pStyle w:val="Normal"/>
      </w:pPr>
      <w:r>
        <w:t>Management systems relying on remote or automated detection shall maintain validation, false-positive and false-negative assessment, quality control and appropriate human review.</w:t>
      </w:r>
    </w:p>
    <w:p>
      <w:pPr>
        <w:pStyle w:val="Heading2"/>
      </w:pPr>
      <w:bookmarkStart w:id="902209" w:name="_Toc300002208"/>
      <w:r>
        <w:t>68.19. Stranding and Disentanglement Readiness.</w:t>
      </w:r>
      <w:bookmarkEnd w:id="902209"/>
    </w:p>
    <w:p>
      <w:pPr>
        <w:pStyle w:val="Normal"/>
      </w:pPr>
      <w:r>
        <w:t>Each Party shall maintain or support trained response capacity, safe protocols, equipment and cross-border assistance pathways for strandings and entanglements.</w:t>
      </w:r>
    </w:p>
    <w:p>
      <w:pPr>
        <w:pStyle w:val="Heading2"/>
      </w:pPr>
      <w:bookmarkStart w:id="902210" w:name="_Toc300002209"/>
      <w:r>
        <w:t>68.20. Veterinary and Mortality Investigation.</w:t>
      </w:r>
      <w:bookmarkEnd w:id="902210"/>
    </w:p>
    <w:p>
      <w:pPr>
        <w:pStyle w:val="Normal"/>
      </w:pPr>
      <w:r>
        <w:t>The Parties shall strengthen marine-mammal veterinary capacity, necropsy, pathology, tissue archiving and cause-of-death investigation where practicable.</w:t>
      </w:r>
    </w:p>
    <w:p>
      <w:pPr>
        <w:pStyle w:val="Heading2"/>
      </w:pPr>
      <w:bookmarkStart w:id="902211" w:name="_Toc300002210"/>
      <w:r>
        <w:t>68.21. Critical Habitat and Recovery Cooperation.</w:t>
      </w:r>
      <w:bookmarkEnd w:id="902211"/>
    </w:p>
    <w:p>
      <w:pPr>
        <w:pStyle w:val="Normal"/>
      </w:pPr>
      <w:r>
        <w:t>The Parties shall cooperate on science, recovery planning and compatible protection of important habitat while preserving domestic designation processes.</w:t>
      </w:r>
    </w:p>
    <w:p>
      <w:pPr>
        <w:pStyle w:val="Heading2"/>
      </w:pPr>
      <w:bookmarkStart w:id="902212" w:name="_Toc300002211"/>
      <w:r>
        <w:t>68.22. Underwater Noise Risk Reduction.</w:t>
      </w:r>
      <w:bookmarkEnd w:id="902212"/>
    </w:p>
    <w:p>
      <w:pPr>
        <w:pStyle w:val="Normal"/>
      </w:pPr>
      <w:r>
        <w:t>The Parties shall pursue proportionate measures to reduce avoidable harmful underwater noise from covered civilian activities, subject to applicable law and safety requirements.</w:t>
      </w:r>
    </w:p>
    <w:p>
      <w:pPr>
        <w:pStyle w:val="Heading2"/>
      </w:pPr>
      <w:bookmarkStart w:id="902213" w:name="_Toc300002212"/>
      <w:r>
        <w:t>68.23. Government Fleet Leadership.</w:t>
      </w:r>
      <w:bookmarkEnd w:id="902213"/>
    </w:p>
    <w:p>
      <w:pPr>
        <w:pStyle w:val="Normal"/>
      </w:pPr>
      <w:r>
        <w:t>Government-operated or procured vessels should, where technically and operationally appropriate, demonstrate whale-safe navigation, detection and quieting practices.</w:t>
      </w:r>
    </w:p>
    <w:p>
      <w:pPr>
        <w:pStyle w:val="Heading2"/>
      </w:pPr>
      <w:bookmarkStart w:id="902214" w:name="_Toc300002213"/>
      <w:r>
        <w:t>68.24. Contaminant and Ecosystem Health Cooperation.</w:t>
      </w:r>
      <w:bookmarkEnd w:id="902214"/>
    </w:p>
    <w:p>
      <w:pPr>
        <w:pStyle w:val="Normal"/>
      </w:pPr>
      <w:r>
        <w:t>The Parties shall cooperate on contaminants, pollution and ecosystem conditions materially relevant to cetacean health.</w:t>
      </w:r>
    </w:p>
    <w:p>
      <w:pPr>
        <w:pStyle w:val="Heading2"/>
      </w:pPr>
      <w:bookmarkStart w:id="902215" w:name="_Toc300002214"/>
      <w:r>
        <w:t>68.25. Prey and Forage-Ecosystem Consideration.</w:t>
      </w:r>
      <w:bookmarkEnd w:id="902215"/>
    </w:p>
    <w:p>
      <w:pPr>
        <w:pStyle w:val="Normal"/>
      </w:pPr>
      <w:r>
        <w:t>Cetacean prey needs should be considered as a scientifically assessed ecosystem factor in relevant management without displacing Indigenous rights or sustainable fisheries obligations.</w:t>
      </w:r>
    </w:p>
    <w:p>
      <w:pPr>
        <w:pStyle w:val="Heading2"/>
      </w:pPr>
      <w:bookmarkStart w:id="902216" w:name="_Toc300002215"/>
      <w:r>
        <w:t>68.26. Climate-Responsive Management.</w:t>
      </w:r>
      <w:bookmarkEnd w:id="902216"/>
    </w:p>
    <w:p>
      <w:pPr>
        <w:pStyle w:val="Normal"/>
      </w:pPr>
      <w:r>
        <w:t>Recovery planning shall consider climate-driven range shifts, marine heatwaves, sea-ice change and other material habitat changes.</w:t>
      </w:r>
    </w:p>
    <w:p>
      <w:pPr>
        <w:pStyle w:val="Heading2"/>
      </w:pPr>
      <w:bookmarkStart w:id="902217" w:name="_Toc300002216"/>
      <w:r>
        <w:t>68.27. Whale-Sensitive Ports and Coastal Development.</w:t>
      </w:r>
      <w:bookmarkEnd w:id="902217"/>
    </w:p>
    <w:p>
      <w:pPr>
        <w:pStyle w:val="Normal"/>
      </w:pPr>
      <w:r>
        <w:t>Relevant port and coastal projects should assess material cetacean strike, noise, habitat and construction risks and adopt proportionate mitigation where warranted.</w:t>
      </w:r>
    </w:p>
    <w:p>
      <w:pPr>
        <w:pStyle w:val="Heading2"/>
      </w:pPr>
      <w:bookmarkStart w:id="902218" w:name="_Toc300002217"/>
      <w:r>
        <w:t>68.28. Offshore Activity Assessment.</w:t>
      </w:r>
      <w:bookmarkEnd w:id="902218"/>
    </w:p>
    <w:p>
      <w:pPr>
        <w:pStyle w:val="Normal"/>
      </w:pPr>
      <w:r>
        <w:t>Covered offshore activities shall use applicable environmental and wildlife review processes to identify and mitigate material cetacean risks.</w:t>
      </w:r>
    </w:p>
    <w:p>
      <w:pPr>
        <w:pStyle w:val="Heading2"/>
      </w:pPr>
      <w:bookmarkStart w:id="902219" w:name="_Toc300002218"/>
      <w:r>
        <w:t>68.29. Captive-Cetacean Minimum Welfare.</w:t>
      </w:r>
      <w:bookmarkEnd w:id="902219"/>
    </w:p>
    <w:p>
      <w:pPr>
        <w:pStyle w:val="Normal"/>
      </w:pPr>
      <w:r>
        <w:t>Each Party shall maintain lawful welfare protections for captive cetaceans addressing nutrition, water quality, veterinary care, social needs, environmental conditions and emergency planning.</w:t>
      </w:r>
    </w:p>
    <w:p>
      <w:pPr>
        <w:pStyle w:val="Heading2"/>
      </w:pPr>
      <w:bookmarkStart w:id="902220" w:name="_Toc300002219"/>
      <w:r>
        <w:t>68.30. No Avoidable Welfare Regression.</w:t>
      </w:r>
      <w:bookmarkEnd w:id="902220"/>
    </w:p>
    <w:p>
      <w:pPr>
        <w:pStyle w:val="Normal"/>
      </w:pPr>
      <w:r>
        <w:t>A captive cetacean should not be transferred for administrative convenience where the receiving arrangement is reasonably expected to produce materially worse welfare.</w:t>
      </w:r>
    </w:p>
    <w:p>
      <w:pPr>
        <w:pStyle w:val="Heading2"/>
      </w:pPr>
      <w:bookmarkStart w:id="902221" w:name="_Toc300002220"/>
      <w:r>
        <w:t>68.31. Legacy Animal Individual Care.</w:t>
      </w:r>
      <w:bookmarkEnd w:id="902221"/>
    </w:p>
    <w:p>
      <w:pPr>
        <w:pStyle w:val="Normal"/>
      </w:pPr>
      <w:r>
        <w:t>Where practicable, remaining captive cetaceans should have individualized long-term care planning reflecting age, health, social relationships and realistic transfer or sanctuary options.</w:t>
      </w:r>
    </w:p>
    <w:p>
      <w:pPr>
        <w:pStyle w:val="Heading2"/>
      </w:pPr>
      <w:bookmarkStart w:id="902222" w:name="_Toc300002221"/>
      <w:r>
        <w:t>68.32. Qualified Sanctuary Pathway.</w:t>
      </w:r>
      <w:bookmarkEnd w:id="902222"/>
    </w:p>
    <w:p>
      <w:pPr>
        <w:pStyle w:val="Normal"/>
      </w:pPr>
      <w:r>
        <w:t>The Parties may facilitate qualified sanctuary assessment and transfer where lawful and demonstrably consistent with the individual animal's welfare.</w:t>
      </w:r>
    </w:p>
    <w:p>
      <w:pPr>
        <w:pStyle w:val="Heading2"/>
      </w:pPr>
      <w:bookmarkStart w:id="902223" w:name="_Toc300002222"/>
      <w:r>
        <w:t>68.33. Rescue-versus-Display Firewall.</w:t>
      </w:r>
      <w:bookmarkEnd w:id="902223"/>
    </w:p>
    <w:p>
      <w:pPr>
        <w:pStyle w:val="Normal"/>
      </w:pPr>
      <w:r>
        <w:t>Emergency rescue, rehabilitation or temporary protective custody shall not by itself create a presumption that permanent public display is the preferred disposition.</w:t>
      </w:r>
    </w:p>
    <w:p>
      <w:pPr>
        <w:pStyle w:val="Heading2"/>
      </w:pPr>
      <w:bookmarkStart w:id="902224" w:name="_Toc300002223"/>
      <w:r>
        <w:t>68.34. Research Ethics.</w:t>
      </w:r>
      <w:bookmarkEnd w:id="902224"/>
    </w:p>
    <w:p>
      <w:pPr>
        <w:pStyle w:val="Normal"/>
      </w:pPr>
      <w:r>
        <w:t>Cetacean research supported under this Chapter shall use appropriate animal-welfare, permitting, scientific-necessity and minimally invasive safeguards.</w:t>
      </w:r>
    </w:p>
    <w:p>
      <w:pPr>
        <w:pStyle w:val="Heading2"/>
      </w:pPr>
      <w:bookmarkStart w:id="902225" w:name="_Toc300002224"/>
      <w:r>
        <w:t>68.35. Open Where Safe, Protected Where Necessary.</w:t>
      </w:r>
      <w:bookmarkEnd w:id="902225"/>
    </w:p>
    <w:p>
      <w:pPr>
        <w:pStyle w:val="Normal"/>
      </w:pPr>
      <w:r>
        <w:t>Compact-supported science should be open and reproducible where practicable, subject to Indigenous data governance, animal-location sensitivity, privacy, security, law-enforcement and legitimate confidentiality protections.</w:t>
      </w:r>
    </w:p>
    <w:p>
      <w:pPr>
        <w:pStyle w:val="Heading2"/>
      </w:pPr>
      <w:bookmarkStart w:id="902226" w:name="_Toc300002225"/>
      <w:r>
        <w:t>68.36. Cross-Border Research Cooperation.</w:t>
      </w:r>
      <w:bookmarkEnd w:id="902226"/>
    </w:p>
    <w:p>
      <w:pPr>
        <w:pStyle w:val="Normal"/>
      </w:pPr>
      <w:r>
        <w:t>The Parties shall facilitate lawful research coordination, compatible data standards, permit cooperation and joint scientific work.</w:t>
      </w:r>
    </w:p>
    <w:p>
      <w:pPr>
        <w:pStyle w:val="Heading2"/>
      </w:pPr>
      <w:bookmarkStart w:id="902227" w:name="_Toc300002226"/>
      <w:r>
        <w:t>68.37. Measurement Integrity.</w:t>
      </w:r>
      <w:bookmarkEnd w:id="902227"/>
    </w:p>
    <w:p>
      <w:pPr>
        <w:pStyle w:val="Normal"/>
      </w:pPr>
      <w:r>
        <w:t>Public recovery reporting shall distinguish inputs, outputs and biological outcomes and disclose material uncertainty, detection limits and methodological changes.</w:t>
      </w:r>
    </w:p>
    <w:p>
      <w:pPr>
        <w:pStyle w:val="Heading2"/>
      </w:pPr>
      <w:bookmarkStart w:id="902228" w:name="_Toc300002227"/>
      <w:r>
        <w:t>68.38. Recovery-Plan Implementation Review.</w:t>
      </w:r>
      <w:bookmarkEnd w:id="902228"/>
    </w:p>
    <w:p>
      <w:pPr>
        <w:pStyle w:val="Normal"/>
      </w:pPr>
      <w:r>
        <w:t>The Parties shall periodically assess whether adopted recovery measures are actually implemented and whether evidence supports modification.</w:t>
      </w:r>
    </w:p>
    <w:p>
      <w:pPr>
        <w:pStyle w:val="Heading2"/>
      </w:pPr>
      <w:bookmarkStart w:id="902229" w:name="_Toc300002228"/>
      <w:r>
        <w:t>68.39. Fisher and Coastal-Community Transition.</w:t>
      </w:r>
      <w:bookmarkEnd w:id="902229"/>
    </w:p>
    <w:p>
      <w:pPr>
        <w:pStyle w:val="Normal"/>
      </w:pPr>
      <w:r>
        <w:t>Implementation shall consider reasonable transition support, training and technical assistance where new conservation measures impose material adjustment costs.</w:t>
      </w:r>
    </w:p>
    <w:p>
      <w:pPr>
        <w:pStyle w:val="Heading2"/>
      </w:pPr>
      <w:bookmarkStart w:id="902230" w:name="_Toc300002229"/>
      <w:r>
        <w:t>68.40. No Compensation for Ordinary Compliance.</w:t>
      </w:r>
      <w:bookmarkEnd w:id="902230"/>
    </w:p>
    <w:p>
      <w:pPr>
        <w:pStyle w:val="Normal"/>
      </w:pPr>
      <w:r>
        <w:t>Nothing requires compensation merely for compliance with generally applicable lawful safety or conservation requirements.</w:t>
      </w:r>
    </w:p>
    <w:p>
      <w:pPr>
        <w:pStyle w:val="Heading2"/>
      </w:pPr>
      <w:bookmarkStart w:id="902231" w:name="_Toc300002230"/>
      <w:r>
        <w:t>68.41. Extraordinary Transition Assistance.</w:t>
      </w:r>
      <w:bookmarkEnd w:id="902231"/>
    </w:p>
    <w:p>
      <w:pPr>
        <w:pStyle w:val="Normal"/>
      </w:pPr>
      <w:r>
        <w:t>A Party may provide targeted, transparent assistance for major gear conversion, temporary adaptive closures or comparable extraordinary transition burdens.</w:t>
      </w:r>
    </w:p>
    <w:p>
      <w:pPr>
        <w:pStyle w:val="Heading2"/>
      </w:pPr>
      <w:bookmarkStart w:id="902232" w:name="_Toc300002231"/>
      <w:r>
        <w:t>68.42. Whale-Safe Procurement and Certification.</w:t>
      </w:r>
      <w:bookmarkEnd w:id="902232"/>
    </w:p>
    <w:p>
      <w:pPr>
        <w:pStyle w:val="Normal"/>
      </w:pPr>
      <w:r>
        <w:t>Voluntary certification and procurement may reward verified whale-safe performance but shall not become arbitrary or disguised discrimination against another Party.</w:t>
      </w:r>
    </w:p>
    <w:p>
      <w:pPr>
        <w:pStyle w:val="Heading2"/>
      </w:pPr>
      <w:bookmarkStart w:id="902233" w:name="_Toc300002232"/>
      <w:r>
        <w:t>68.43. No Arbitrary Whale-Based Trade Restriction.</w:t>
      </w:r>
      <w:bookmarkEnd w:id="902233"/>
    </w:p>
    <w:p>
      <w:pPr>
        <w:pStyle w:val="Normal"/>
      </w:pPr>
      <w:r>
        <w:t>Cetacean protection shall not be used as a pretext for arbitrary, disguised or unrelated trade restriction.</w:t>
      </w:r>
    </w:p>
    <w:p>
      <w:pPr>
        <w:pStyle w:val="Heading2"/>
      </w:pPr>
      <w:bookmarkStart w:id="902234" w:name="_Toc300002233"/>
      <w:r>
        <w:t>68.44. Domestic Enforcement and Due Process.</w:t>
      </w:r>
      <w:bookmarkEnd w:id="902234"/>
    </w:p>
    <w:p>
      <w:pPr>
        <w:pStyle w:val="Normal"/>
      </w:pPr>
      <w:r>
        <w:t>Penalties and adverse legal consequences remain subject to competent domestic authority, notice, evidence and applicable due-process protections.</w:t>
      </w:r>
    </w:p>
    <w:p>
      <w:pPr>
        <w:pStyle w:val="Heading2"/>
      </w:pPr>
      <w:bookmarkStart w:id="902235" w:name="_Toc300002234"/>
      <w:r>
        <w:t>68.45. Whale Disputes Stay in Whale Machinery.</w:t>
      </w:r>
      <w:bookmarkEnd w:id="902235"/>
    </w:p>
    <w:p>
      <w:pPr>
        <w:pStyle w:val="Normal"/>
      </w:pPr>
      <w:r>
        <w:t>Disputes concerning this Chapter shall first use its scientific, consultation and cure procedures rather than unrelated retaliation.</w:t>
      </w:r>
    </w:p>
    <w:p>
      <w:pPr>
        <w:pStyle w:val="Heading2"/>
      </w:pPr>
      <w:bookmarkStart w:id="902236" w:name="_Toc300002235"/>
      <w:r>
        <w:t>68.46. No Unrelated Tariff Retaliation.</w:t>
      </w:r>
      <w:bookmarkEnd w:id="902236"/>
    </w:p>
    <w:p>
      <w:pPr>
        <w:pStyle w:val="Normal"/>
      </w:pPr>
      <w:r>
        <w:t>A disagreement under this Chapter shall not by itself justify unrelated tariffs or suspension of benefits outside proportionate Chapter-specific remedies.</w:t>
      </w:r>
    </w:p>
    <w:p>
      <w:pPr>
        <w:pStyle w:val="Heading2"/>
      </w:pPr>
      <w:bookmarkStart w:id="902237" w:name="_Toc300002236"/>
      <w:r>
        <w:t>68.47. Verification, Consultation and Cure.</w:t>
      </w:r>
      <w:bookmarkEnd w:id="902237"/>
    </w:p>
    <w:p>
      <w:pPr>
        <w:pStyle w:val="Normal"/>
      </w:pPr>
      <w:r>
        <w:t>Before a material implementation dispute escalates, the Parties shall use evidence exchange, verification, consultation and a reasonable cure opportunity.</w:t>
      </w:r>
    </w:p>
    <w:p>
      <w:pPr>
        <w:pStyle w:val="Heading2"/>
      </w:pPr>
      <w:bookmarkStart w:id="902238" w:name="_Toc300002237"/>
      <w:r>
        <w:t>68.48. Periodic Review and Adaptive Revision.</w:t>
      </w:r>
      <w:bookmarkEnd w:id="902238"/>
    </w:p>
    <w:p>
      <w:pPr>
        <w:pStyle w:val="Normal"/>
      </w:pPr>
      <w:r>
        <w:t>The Parties shall periodically review the Compact and may update annexes, technical methods and schedules without weakening applicable rights or safeguards.</w:t>
      </w:r>
    </w:p>
    <w:p>
      <w:pPr>
        <w:pStyle w:val="Heading2"/>
      </w:pPr>
      <w:bookmarkStart w:id="902239" w:name="_Toc300002238"/>
      <w:r>
        <w:t>68.49. Cetacean Emergency Recovery Escalation.</w:t>
      </w:r>
      <w:bookmarkEnd w:id="902239"/>
    </w:p>
    <w:p>
      <w:pPr>
        <w:pStyle w:val="Normal"/>
      </w:pPr>
      <w:r>
        <w:t>Where credible scientific assessment identifies a materially increased risk of extirpation, the responsible Party or Parties shall initiate expedited review and adopt or publish an appropriate emergency response plan within a defined domestic process.</w:t>
      </w:r>
    </w:p>
    <w:p>
      <w:pPr>
        <w:pStyle w:val="Heading2"/>
      </w:pPr>
      <w:bookmarkStart w:id="902240" w:name="_Toc300002239"/>
      <w:r>
        <w:t>ANNEX 68-A: OPERATIONAL CETACEAN PROTECTION REGISTER (139 MECHANISMS)</w:t>
      </w:r>
      <w:bookmarkEnd w:id="902240"/>
    </w:p>
    <w:p>
      <w:pPr>
        <w:pStyle w:val="Normal"/>
      </w:pPr>
      <w:r>
        <w:rPr>
          <w:b w:val="false"/>
        </w:rPr>
        <w:t>The following mechanisms are implementation tools, not automatic universal mandates. Each shall be used only where relevant, lawful, scientifically supportable and proportionate to the species, geography and risk concerned.</w:t>
      </w:r>
    </w:p>
    <w:p>
      <w:pPr>
        <w:pStyle w:val="Heading3"/>
      </w:pPr>
      <w:r>
        <w:t>REGISTER GOVERNANCE: COMMON CONTROL RULES</w:t>
      </w:r>
    </w:p>
    <w:p>
      <w:pPr>
        <w:pStyle w:val="Normal"/>
      </w:pPr>
      <w:r>
        <w:t>68-A.G.1: Authority Firewall. Inclusion of a mechanism in this Register does not itself create regulatory, funding, permitting, procurement, enforcement, inspection, data-access, or other legal authority. A Party activates or applies a mechanism only through authority otherwise available under this Agreement or its law, and the implementation record identifies the responsible body and applicable authority. Where a mechanism requires a permit, approval, scientific determination, procurement decision, or enforcement action, the Register does not substitute for that decision. Nothing in this Annex converts a technical option into a mandatory universal measure merely because the option appears in the Register.</w:t>
      </w:r>
    </w:p>
    <w:p>
      <w:pPr>
        <w:pStyle w:val="Normal"/>
      </w:pPr>
      <w:r>
        <w:t>68-A.G.2: Validation and Fitness for Use. A technical, scientific, monitoring, detection, mitigation, welfare, or response mechanism is not deemed validated solely by its inclusion in this Register. Before operational reliance where validation is material, the responsible body uses evidence appropriate to the mechanism's purpose, operating environment, affected population, and foreseeable consequence of error. Material limitations, uncertainty, failure conditions, and known interoperability constraints are recorded or incorporated by reference where reasonably available. A mechanism that no longer meets the applicable evidentiary or operational standard is corrected, restricted, suspended, replaced, or retired as appropriate.</w:t>
      </w:r>
    </w:p>
    <w:p>
      <w:pPr>
        <w:pStyle w:val="Normal"/>
      </w:pPr>
      <w:r>
        <w:t>68-A.G.3: No Double Counting and Functional Cross-Reference. Related mechanisms may operate as complementary layers of a single protection, monitoring, response, research, or compliance system. A Party does not count overlapping entries as separate completed achievements when they represent the same underlying activity, output, deployment, or evidentiary result. Implementation records may cross-reference related mechanisms instead of duplicating the same evidence or administrative step. This rule does not prevent separate recognition where distinct mechanisms perform independently verifiable functions or produce materially distinct results.</w:t>
      </w:r>
    </w:p>
    <w:p>
      <w:pPr>
        <w:pStyle w:val="Normal"/>
      </w:pPr>
      <w:r>
        <w:t>68-A.G.4: Data, Indigenous Knowledge, Privacy and Sensitive Information. Use of a Register mechanism remains subject to Articles 68.11, 68.12, 68.35 and any other applicable Chapter 68 safeguard governing Indigenous rights, Indigenous Knowledge, personal information, sensitive ecological information, protected operational information, or research data. Collection, use, sharing, retention, correction, access, and disposition remain limited to lawful and necessary purposes associated with the mechanism. Inclusion in this Register does not enlarge a Party's authority to compel disclosure or authorize onward transfer. Where information cannot lawfully or appropriately be disclosed, verification may rely on protected summaries, attestations, controlled review, or other evidence sufficient to establish the relevant implementation fact without defeating the governing safeguard.</w:t>
      </w:r>
    </w:p>
    <w:p>
      <w:pPr>
        <w:pStyle w:val="Normal"/>
      </w:pPr>
      <w:r>
        <w:t>68-A.G.5: Correction, Suspension and Retirement. The responsible body reviews a mechanism when credible evidence indicates material ineffectiveness, disproportionate burden, unlawful operation, unacceptable welfare or safety effects, persistent technical failure, or material conflict with Chapter 68 safeguards. Corrective action is proportionate to the identified defect and may include revised operating conditions, additional validation, temporary suspension, replacement, or retirement. A correction or retirement is recorded with enough information to distinguish a superseded implementation state from an active one and, where relevant, to propagate the correction to dependent records. Suspension or retirement of one mechanism does not by itself invalidate a distinct mechanism that remains independently supported and lawful.</w:t>
      </w:r>
    </w:p>
    <w:p>
      <w:pPr>
        <w:pStyle w:val="Normal"/>
      </w:pPr>
      <w:r>
        <w:t>68-A.G.6: Register Maintenance and Secondary Classification. The Parties may maintain secondary tags, cross-references, or concordance fields for mechanisms that legitimately serve more than one functional category without renumbering or relocating the underlying entry. Register maintenance preserves stable mechanism identifiers to the extent practicable so that historical implementation and verification records remain traceable. Editorial reclassification, cross-referencing, or clarification does not create new substantive authority or alter an existing obligation unless adopted through the procedure otherwise required by this Agreement. Material changes to the legal effect of a mechanism are made through the applicable amendment, adoption, or implementation authority rather than by register maintenance alone.</w:t>
      </w:r>
    </w:p>
    <w:p>
      <w:pPr>
        <w:pStyle w:val="Normal"/>
      </w:pPr>
      <w:r>
        <w:rPr>
          <w:b w:val="false"/>
        </w:rPr>
        <w:t>68-A.1. Seasonal Speed-Management Areas (Vessel Safety). Eligible for domestic or cooperative implementation consistent with Chapter 68 safeguards.</w:t>
      </w:r>
    </w:p>
    <w:p>
      <w:pPr>
        <w:pStyle w:val="Normal"/>
      </w:pPr>
      <w:r>
        <w:rPr>
          <w:b w:val="false"/>
        </w:rPr>
        <w:t>68-A.2. Dynamic Speed-Management Review (Vessel Safety). Eligible for domestic or cooperative implementation consistent with Chapter 68 safeguards.</w:t>
      </w:r>
    </w:p>
    <w:p>
      <w:pPr>
        <w:pStyle w:val="Normal"/>
      </w:pPr>
      <w:r>
        <w:rPr>
          <w:b w:val="false"/>
        </w:rPr>
        <w:t>68-A.3. High-Risk Routing Assessment (Vessel Safety). Eligible for domestic or cooperative implementation consistent with Chapter 68 safeguards.</w:t>
      </w:r>
    </w:p>
    <w:p>
      <w:pPr>
        <w:pStyle w:val="Normal"/>
      </w:pPr>
      <w:r>
        <w:rPr>
          <w:b w:val="false"/>
        </w:rPr>
        <w:t>68-A.4. Voluntary Slowdown Programs (Vessel Safety). Eligible for domestic or cooperative implementation consistent with Chapter 68 safeguards.</w:t>
      </w:r>
    </w:p>
    <w:p>
      <w:pPr>
        <w:pStyle w:val="Normal"/>
      </w:pPr>
      <w:r>
        <w:rPr>
          <w:b w:val="false"/>
        </w:rPr>
        <w:t>68-A.5. Navwarn And Mariner Notice Integration (Vessel Safety). Eligible for domestic or cooperative implementation consistent with Chapter 68 safeguards.</w:t>
      </w:r>
    </w:p>
    <w:p>
      <w:pPr>
        <w:pStyle w:val="Normal"/>
      </w:pPr>
      <w:r>
        <w:rPr>
          <w:b w:val="false"/>
        </w:rPr>
        <w:t>68-A.6. Bridge-To-Bridge Whale Alerts (Vessel Safety). Eligible for domestic or cooperative implementation consistent with Chapter 68 safeguards.</w:t>
      </w:r>
    </w:p>
    <w:p>
      <w:pPr>
        <w:pStyle w:val="Normal"/>
      </w:pPr>
      <w:r>
        <w:rPr>
          <w:b w:val="false"/>
        </w:rPr>
        <w:t>68-A.7. Ais Speed-Compliance Analytics (Vessel Safety). Eligible for domestic or cooperative implementation consistent with Chapter 68 safeguards.</w:t>
      </w:r>
    </w:p>
    <w:p>
      <w:pPr>
        <w:pStyle w:val="Normal"/>
      </w:pPr>
      <w:r>
        <w:rPr>
          <w:b w:val="false"/>
        </w:rPr>
        <w:t>68-A.8. Strike-Incident Reporting (Vessel Safety). Eligible for domestic or cooperative implementation consistent with Chapter 68 safeguards.</w:t>
      </w:r>
    </w:p>
    <w:p>
      <w:pPr>
        <w:pStyle w:val="Normal"/>
      </w:pPr>
      <w:r>
        <w:rPr>
          <w:b w:val="false"/>
        </w:rPr>
        <w:t>68-A.9. Night-Transit Risk Protocols (Vessel Safety). Eligible for domestic or cooperative implementation consistent with Chapter 68 safeguards.</w:t>
      </w:r>
    </w:p>
    <w:p>
      <w:pPr>
        <w:pStyle w:val="Normal"/>
      </w:pPr>
      <w:r>
        <w:rPr>
          <w:b w:val="false"/>
        </w:rPr>
        <w:t>68-A.10. Ferry-Lane Whale Protocols (Vessel Safety). Eligible for domestic or cooperative implementation consistent with Chapter 68 safeguards.</w:t>
      </w:r>
    </w:p>
    <w:p>
      <w:pPr>
        <w:pStyle w:val="Normal"/>
      </w:pPr>
      <w:r>
        <w:rPr>
          <w:b w:val="false"/>
        </w:rPr>
        <w:t>68-A.11. Small-Vessel Approach Guidance (Vessel Safety). Eligible for domestic or cooperative implementation consistent with Chapter 68 safeguards.</w:t>
      </w:r>
    </w:p>
    <w:p>
      <w:pPr>
        <w:pStyle w:val="Normal"/>
      </w:pPr>
      <w:r>
        <w:rPr>
          <w:b w:val="false"/>
        </w:rPr>
        <w:t>68-A.12. Whale-Watching Approach Standards (Vessel Safety). Eligible for domestic or cooperative implementation consistent with Chapter 68 safeguards.</w:t>
      </w:r>
    </w:p>
    <w:p>
      <w:pPr>
        <w:pStyle w:val="Normal"/>
      </w:pPr>
      <w:r>
        <w:rPr>
          <w:b w:val="false"/>
        </w:rPr>
        <w:t>68-A.13. Operator Education And Certification (Vessel Safety). Eligible for domestic or cooperative implementation consistent with Chapter 68 safeguards.</w:t>
      </w:r>
    </w:p>
    <w:p>
      <w:pPr>
        <w:pStyle w:val="Normal"/>
      </w:pPr>
      <w:r>
        <w:rPr>
          <w:b w:val="false"/>
        </w:rPr>
        <w:t>68-A.14. On-Demand Gear Validation (Fishing and Entanglement). Eligible for domestic or cooperative implementation consistent with Chapter 68 safeguards.</w:t>
      </w:r>
    </w:p>
    <w:p>
      <w:pPr>
        <w:pStyle w:val="Normal"/>
      </w:pPr>
      <w:r>
        <w:rPr>
          <w:b w:val="false"/>
        </w:rPr>
        <w:t>68-A.15. Low-Breaking-Strength Gear Validation (Fishing and Entanglement). Eligible for domestic or cooperative implementation consistent with Chapter 68 safeguards.</w:t>
      </w:r>
    </w:p>
    <w:p>
      <w:pPr>
        <w:pStyle w:val="Normal"/>
      </w:pPr>
      <w:r>
        <w:rPr>
          <w:b w:val="false"/>
        </w:rPr>
        <w:t>68-A.16. Weak-Link Configuration Standards (Fishing and Entanglement). Eligible for domestic or cooperative implementation consistent with Chapter 68 safeguards.</w:t>
      </w:r>
    </w:p>
    <w:p>
      <w:pPr>
        <w:pStyle w:val="Normal"/>
      </w:pPr>
      <w:r>
        <w:rPr>
          <w:b w:val="false"/>
        </w:rPr>
        <w:t>68-A.17. Virtual Gear Marking (Fishing and Entanglement). Eligible for domestic or cooperative implementation consistent with Chapter 68 safeguards.</w:t>
      </w:r>
    </w:p>
    <w:p>
      <w:pPr>
        <w:pStyle w:val="Normal"/>
      </w:pPr>
      <w:r>
        <w:rPr>
          <w:b w:val="false"/>
        </w:rPr>
        <w:t>68-A.18. Gear Interoperability Testing (Fishing and Entanglement). Eligible for domestic or cooperative implementation consistent with Chapter 68 safeguards.</w:t>
      </w:r>
    </w:p>
    <w:p>
      <w:pPr>
        <w:pStyle w:val="Normal"/>
      </w:pPr>
      <w:r>
        <w:rPr>
          <w:b w:val="false"/>
        </w:rPr>
        <w:t>68-A.19. Fisher Training (Fishing and Entanglement). Eligible for domestic or cooperative implementation consistent with Chapter 68 safeguards.</w:t>
      </w:r>
    </w:p>
    <w:p>
      <w:pPr>
        <w:pStyle w:val="Normal"/>
      </w:pPr>
      <w:r>
        <w:rPr>
          <w:b w:val="false"/>
        </w:rPr>
        <w:t>68-A.20. Gear-Conversion Finance (Fishing and Entanglement). Eligible for domestic or cooperative implementation consistent with Chapter 68 safeguards.</w:t>
      </w:r>
    </w:p>
    <w:p>
      <w:pPr>
        <w:pStyle w:val="Normal"/>
      </w:pPr>
      <w:r>
        <w:rPr>
          <w:b w:val="false"/>
        </w:rPr>
        <w:t>68-A.21. Whale-Safe Access During Conventional-Gear Closures (Fishing and Entanglement). Eligible for domestic or cooperative implementation consistent with Chapter 68 safeguards.</w:t>
      </w:r>
    </w:p>
    <w:p>
      <w:pPr>
        <w:pStyle w:val="Normal"/>
      </w:pPr>
      <w:r>
        <w:rPr>
          <w:b w:val="false"/>
        </w:rPr>
        <w:t>68-A.22. Dynamic Fishery-Risk Review (Fishing and Entanglement). Eligible for domestic or cooperative implementation consistent with Chapter 68 safeguards.</w:t>
      </w:r>
    </w:p>
    <w:p>
      <w:pPr>
        <w:pStyle w:val="Normal"/>
      </w:pPr>
      <w:r>
        <w:rPr>
          <w:b w:val="false"/>
        </w:rPr>
        <w:t>68-A.23. Seasonal Fishery-Risk Review (Fishing and Entanglement). Eligible for domestic or cooperative implementation consistent with Chapter 68 safeguards.</w:t>
      </w:r>
    </w:p>
    <w:p>
      <w:pPr>
        <w:pStyle w:val="Normal"/>
      </w:pPr>
      <w:r>
        <w:rPr>
          <w:b w:val="false"/>
        </w:rPr>
        <w:t>68-A.24. Entanglement Scar Monitoring (Fishing and Entanglement). Eligible for domestic or cooperative implementation consistent with Chapter 68 safeguards.</w:t>
      </w:r>
    </w:p>
    <w:p>
      <w:pPr>
        <w:pStyle w:val="Normal"/>
      </w:pPr>
      <w:r>
        <w:rPr>
          <w:b w:val="false"/>
        </w:rPr>
        <w:t>68-A.25. Gear-Loss Reporting (Fishing and Entanglement). Eligible for domestic or cooperative implementation consistent with Chapter 68 safeguards.</w:t>
      </w:r>
    </w:p>
    <w:p>
      <w:pPr>
        <w:pStyle w:val="Normal"/>
      </w:pPr>
      <w:r>
        <w:rPr>
          <w:b w:val="false"/>
        </w:rPr>
        <w:t>68-A.26. Ghost-Gear Retrieval (Fishing and Entanglement). Eligible for domestic or cooperative implementation consistent with Chapter 68 safeguards.</w:t>
      </w:r>
    </w:p>
    <w:p>
      <w:pPr>
        <w:pStyle w:val="Normal"/>
      </w:pPr>
      <w:r>
        <w:rPr>
          <w:b w:val="false"/>
        </w:rPr>
        <w:t>68-A.27. Ghost-Gear Recycling (Fishing and Entanglement). Eligible for domestic or cooperative implementation consistent with Chapter 68 safeguards.</w:t>
      </w:r>
    </w:p>
    <w:p>
      <w:pPr>
        <w:pStyle w:val="Normal"/>
      </w:pPr>
      <w:r>
        <w:rPr>
          <w:b w:val="false"/>
        </w:rPr>
        <w:t>68-A.28. Gear Provenance And Traceability (Fishing and Entanglement). Eligible for domestic or cooperative implementation consistent with Chapter 68 safeguards.</w:t>
      </w:r>
    </w:p>
    <w:p>
      <w:pPr>
        <w:pStyle w:val="Normal"/>
      </w:pPr>
      <w:r>
        <w:rPr>
          <w:b w:val="false"/>
        </w:rPr>
        <w:t>68-A.29. Cross-Border Gear Technology Exchange (Fishing and Entanglement). Eligible for domestic or cooperative implementation consistent with Chapter 68 safeguards.</w:t>
      </w:r>
    </w:p>
    <w:p>
      <w:pPr>
        <w:pStyle w:val="Normal"/>
      </w:pPr>
      <w:r>
        <w:rPr>
          <w:b w:val="false"/>
        </w:rPr>
        <w:t>68-A.30. Passive Acoustic Monitoring Network (Detection and Alerts). Eligible for domestic or cooperative implementation consistent with Chapter 68 safeguards.</w:t>
      </w:r>
    </w:p>
    <w:p>
      <w:pPr>
        <w:pStyle w:val="Normal"/>
      </w:pPr>
      <w:r>
        <w:rPr>
          <w:b w:val="false"/>
        </w:rPr>
        <w:t>68-A.31. Fixed Hydrophone Stations (Detection and Alerts). Eligible for domestic or cooperative implementation consistent with Chapter 68 safeguards.</w:t>
      </w:r>
    </w:p>
    <w:p>
      <w:pPr>
        <w:pStyle w:val="Normal"/>
      </w:pPr>
      <w:r>
        <w:rPr>
          <w:b w:val="false"/>
        </w:rPr>
        <w:t>68-A.32. Mobile Glider Missions (Detection and Alerts). Eligible for domestic or cooperative implementation consistent with Chapter 68 safeguards.</w:t>
      </w:r>
    </w:p>
    <w:p>
      <w:pPr>
        <w:pStyle w:val="Normal"/>
      </w:pPr>
      <w:r>
        <w:rPr>
          <w:b w:val="false"/>
        </w:rPr>
        <w:t>68-A.33. Smart-Buoy Detection (Detection and Alerts). Eligible for domestic or cooperative implementation consistent with Chapter 68 safeguards.</w:t>
      </w:r>
    </w:p>
    <w:p>
      <w:pPr>
        <w:pStyle w:val="Normal"/>
      </w:pPr>
      <w:r>
        <w:rPr>
          <w:b w:val="false"/>
        </w:rPr>
        <w:t>68-A.34. Validated Ai Call Classification (Detection and Alerts). Eligible for domestic or cooperative implementation consistent with Chapter 68 safeguards.</w:t>
      </w:r>
    </w:p>
    <w:p>
      <w:pPr>
        <w:pStyle w:val="Normal"/>
      </w:pPr>
      <w:r>
        <w:rPr>
          <w:b w:val="false"/>
        </w:rPr>
        <w:t>68-A.35. Sensor-Fusion Platform (Detection and Alerts). Eligible for domestic or cooperative implementation consistent with Chapter 68 safeguards.</w:t>
      </w:r>
    </w:p>
    <w:p>
      <w:pPr>
        <w:pStyle w:val="Normal"/>
      </w:pPr>
      <w:r>
        <w:rPr>
          <w:b w:val="false"/>
        </w:rPr>
        <w:t>68-A.36. Satellite Imagery Integration (Detection and Alerts). Eligible for domestic or cooperative implementation consistent with Chapter 68 safeguards.</w:t>
      </w:r>
    </w:p>
    <w:p>
      <w:pPr>
        <w:pStyle w:val="Normal"/>
      </w:pPr>
      <w:r>
        <w:rPr>
          <w:b w:val="false"/>
        </w:rPr>
        <w:t>68-A.37. Aerial Survey Integration (Detection and Alerts). Eligible for domestic or cooperative implementation consistent with Chapter 68 safeguards.</w:t>
      </w:r>
    </w:p>
    <w:p>
      <w:pPr>
        <w:pStyle w:val="Normal"/>
      </w:pPr>
      <w:r>
        <w:rPr>
          <w:b w:val="false"/>
        </w:rPr>
        <w:t>68-A.38. Drone Survey Protocols (Detection and Alerts). Eligible for domestic or cooperative implementation consistent with Chapter 68 safeguards.</w:t>
      </w:r>
    </w:p>
    <w:p>
      <w:pPr>
        <w:pStyle w:val="Normal"/>
      </w:pPr>
      <w:r>
        <w:rPr>
          <w:b w:val="false"/>
        </w:rPr>
        <w:t>68-A.39. Photo-Identification Federation (Detection and Alerts). Eligible for domestic or cooperative implementation consistent with Chapter 68 safeguards.</w:t>
      </w:r>
    </w:p>
    <w:p>
      <w:pPr>
        <w:pStyle w:val="Normal"/>
      </w:pPr>
      <w:r>
        <w:rPr>
          <w:b w:val="false"/>
        </w:rPr>
        <w:t>68-A.40. Telemetry Data Integration (Detection and Alerts). Eligible for domestic or cooperative implementation consistent with Chapter 68 safeguards.</w:t>
      </w:r>
    </w:p>
    <w:p>
      <w:pPr>
        <w:pStyle w:val="Normal"/>
      </w:pPr>
      <w:r>
        <w:rPr>
          <w:b w:val="false"/>
        </w:rPr>
        <w:t>68-A.41. Detection-To-Alert Latency Standard (Detection and Alerts). Eligible for domestic or cooperative implementation consistent with Chapter 68 safeguards.</w:t>
      </w:r>
    </w:p>
    <w:p>
      <w:pPr>
        <w:pStyle w:val="Normal"/>
      </w:pPr>
      <w:r>
        <w:rPr>
          <w:b w:val="false"/>
        </w:rPr>
        <w:t>68-A.42. False-Alarm Management (Detection and Alerts). Eligible for domestic or cooperative implementation consistent with Chapter 68 safeguards.</w:t>
      </w:r>
    </w:p>
    <w:p>
      <w:pPr>
        <w:pStyle w:val="Normal"/>
      </w:pPr>
      <w:r>
        <w:rPr>
          <w:b w:val="false"/>
        </w:rPr>
        <w:t>68-A.43. Detection-Probability Correction (Detection and Alerts). Eligible for domestic or cooperative implementation consistent with Chapter 68 safeguards.</w:t>
      </w:r>
    </w:p>
    <w:p>
      <w:pPr>
        <w:pStyle w:val="Normal"/>
      </w:pPr>
      <w:r>
        <w:rPr>
          <w:b w:val="false"/>
        </w:rPr>
        <w:t>68-A.44. Whale-Presence Forecasting (Detection and Alerts). Eligible for domestic or cooperative implementation consistent with Chapter 68 safeguards.</w:t>
      </w:r>
    </w:p>
    <w:p>
      <w:pPr>
        <w:pStyle w:val="Normal"/>
      </w:pPr>
      <w:r>
        <w:rPr>
          <w:b w:val="false"/>
        </w:rPr>
        <w:t>68-A.45. Mariner Subscription Alerts (Detection and Alerts). Eligible for domestic or cooperative implementation consistent with Chapter 68 safeguards.</w:t>
      </w:r>
    </w:p>
    <w:p>
      <w:pPr>
        <w:pStyle w:val="Normal"/>
      </w:pPr>
      <w:r>
        <w:rPr>
          <w:b w:val="false"/>
        </w:rPr>
        <w:t>68-A.46. Regional Stranding Networks (Rescue and Health). Eligible for domestic or cooperative implementation consistent with Chapter 68 safeguards.</w:t>
      </w:r>
    </w:p>
    <w:p>
      <w:pPr>
        <w:pStyle w:val="Normal"/>
      </w:pPr>
      <w:r>
        <w:rPr>
          <w:b w:val="false"/>
        </w:rPr>
        <w:t>68-A.47. Large-Whale Disentanglement Teams (Rescue and Health). Eligible for domestic or cooperative implementation consistent with Chapter 68 safeguards.</w:t>
      </w:r>
    </w:p>
    <w:p>
      <w:pPr>
        <w:pStyle w:val="Normal"/>
      </w:pPr>
      <w:r>
        <w:rPr>
          <w:b w:val="false"/>
        </w:rPr>
        <w:t>68-A.48. Response Equipment Caches (Rescue and Health). Eligible for domestic or cooperative implementation consistent with Chapter 68 safeguards.</w:t>
      </w:r>
    </w:p>
    <w:p>
      <w:pPr>
        <w:pStyle w:val="Normal"/>
      </w:pPr>
      <w:r>
        <w:rPr>
          <w:b w:val="false"/>
        </w:rPr>
        <w:t>68-A.49. Cross-Border Emergency Assistance (Rescue and Health). Eligible for domestic or cooperative implementation consistent with Chapter 68 safeguards.</w:t>
      </w:r>
    </w:p>
    <w:p>
      <w:pPr>
        <w:pStyle w:val="Normal"/>
      </w:pPr>
      <w:r>
        <w:rPr>
          <w:b w:val="false"/>
        </w:rPr>
        <w:t>68-A.50. Responder Safety Standards (Rescue and Health). Eligible for domestic or cooperative implementation consistent with Chapter 68 safeguards.</w:t>
      </w:r>
    </w:p>
    <w:p>
      <w:pPr>
        <w:pStyle w:val="Normal"/>
      </w:pPr>
      <w:r>
        <w:rPr>
          <w:b w:val="false"/>
        </w:rPr>
        <w:t>68-A.51. Veterinary Teleconsultation (Rescue and Health). Eligible for domestic or cooperative implementation consistent with Chapter 68 safeguards.</w:t>
      </w:r>
    </w:p>
    <w:p>
      <w:pPr>
        <w:pStyle w:val="Normal"/>
      </w:pPr>
      <w:r>
        <w:rPr>
          <w:b w:val="false"/>
        </w:rPr>
        <w:t>68-A.52. Marine-Mammal Clinical Network (Rescue and Health). Eligible for domestic or cooperative implementation consistent with Chapter 68 safeguards.</w:t>
      </w:r>
    </w:p>
    <w:p>
      <w:pPr>
        <w:pStyle w:val="Normal"/>
      </w:pPr>
      <w:r>
        <w:rPr>
          <w:b w:val="false"/>
        </w:rPr>
        <w:t>68-A.53. Necropsy Protocols (Rescue and Health). Eligible for domestic or cooperative implementation consistent with Chapter 68 safeguards.</w:t>
      </w:r>
    </w:p>
    <w:p>
      <w:pPr>
        <w:pStyle w:val="Normal"/>
      </w:pPr>
      <w:r>
        <w:rPr>
          <w:b w:val="false"/>
        </w:rPr>
        <w:t>68-A.54. Tissue And Pathology Archives (Rescue and Health). Eligible for domestic or cooperative implementation consistent with Chapter 68 safeguards.</w:t>
      </w:r>
    </w:p>
    <w:p>
      <w:pPr>
        <w:pStyle w:val="Normal"/>
      </w:pPr>
      <w:r>
        <w:rPr>
          <w:b w:val="false"/>
        </w:rPr>
        <w:t>68-A.55. Cause-Of-Death Attribution (Rescue and Health). Eligible for domestic or cooperative implementation consistent with Chapter 68 safeguards.</w:t>
      </w:r>
    </w:p>
    <w:p>
      <w:pPr>
        <w:pStyle w:val="Normal"/>
      </w:pPr>
      <w:r>
        <w:rPr>
          <w:b w:val="false"/>
        </w:rPr>
        <w:t>68-A.56. Serious-Injury Determination (Rescue and Health). Eligible for domestic or cooperative implementation consistent with Chapter 68 safeguards.</w:t>
      </w:r>
    </w:p>
    <w:p>
      <w:pPr>
        <w:pStyle w:val="Normal"/>
      </w:pPr>
      <w:r>
        <w:rPr>
          <w:b w:val="false"/>
        </w:rPr>
        <w:t>68-A.57. Carcass Detection And Recovery (Rescue and Health). Eligible for domestic or cooperative implementation consistent with Chapter 68 safeguards.</w:t>
      </w:r>
    </w:p>
    <w:p>
      <w:pPr>
        <w:pStyle w:val="Normal"/>
      </w:pPr>
      <w:r>
        <w:rPr>
          <w:b w:val="false"/>
        </w:rPr>
        <w:t>68-A.58. Carcass Forensics (Rescue and Health). Eligible for domestic or cooperative implementation consistent with Chapter 68 safeguards.</w:t>
      </w:r>
    </w:p>
    <w:p>
      <w:pPr>
        <w:pStyle w:val="Normal"/>
      </w:pPr>
      <w:r>
        <w:rPr>
          <w:b w:val="false"/>
        </w:rPr>
        <w:t>68-A.59. Health-Index Monitoring (Rescue and Health). Eligible for domestic or cooperative implementation consistent with Chapter 68 safeguards.</w:t>
      </w:r>
    </w:p>
    <w:p>
      <w:pPr>
        <w:pStyle w:val="Normal"/>
      </w:pPr>
      <w:r>
        <w:rPr>
          <w:b w:val="false"/>
        </w:rPr>
        <w:t>68-A.60. Body-Condition Photogrammetry (Rescue and Health). Eligible for domestic or cooperative implementation consistent with Chapter 68 safeguards.</w:t>
      </w:r>
    </w:p>
    <w:p>
      <w:pPr>
        <w:pStyle w:val="Normal"/>
      </w:pPr>
      <w:r>
        <w:rPr>
          <w:b w:val="false"/>
        </w:rPr>
        <w:t>68-A.61. Disease Surveillance (Rescue and Health). Eligible for domestic or cooperative implementation consistent with Chapter 68 safeguards.</w:t>
      </w:r>
    </w:p>
    <w:p>
      <w:pPr>
        <w:pStyle w:val="Normal"/>
      </w:pPr>
      <w:r>
        <w:rPr>
          <w:b w:val="false"/>
        </w:rPr>
        <w:t>68-A.62. Captive-Cetacean Census (Captive Welfare and Sanctuary). Eligible for domestic or cooperative implementation consistent with Chapter 68 safeguards.</w:t>
      </w:r>
    </w:p>
    <w:p>
      <w:pPr>
        <w:pStyle w:val="Normal"/>
      </w:pPr>
      <w:r>
        <w:rPr>
          <w:b w:val="false"/>
        </w:rPr>
        <w:t>68-A.63. Baseline Care Standards (Captive Welfare and Sanctuary). Eligible for domestic or cooperative implementation consistent with Chapter 68 safeguards.</w:t>
      </w:r>
    </w:p>
    <w:p>
      <w:pPr>
        <w:pStyle w:val="Normal"/>
      </w:pPr>
      <w:r>
        <w:rPr>
          <w:b w:val="false"/>
        </w:rPr>
        <w:t>68-A.64. Independent Welfare Inspection (Captive Welfare and Sanctuary). Eligible for domestic or cooperative implementation consistent with Chapter 68 safeguards.</w:t>
      </w:r>
    </w:p>
    <w:p>
      <w:pPr>
        <w:pStyle w:val="Normal"/>
      </w:pPr>
      <w:r>
        <w:rPr>
          <w:b w:val="false"/>
        </w:rPr>
        <w:t>68-A.65. Water-Quality Monitoring (Captive Welfare and Sanctuary). Eligible for domestic or cooperative implementation consistent with Chapter 68 safeguards.</w:t>
      </w:r>
    </w:p>
    <w:p>
      <w:pPr>
        <w:pStyle w:val="Normal"/>
      </w:pPr>
      <w:r>
        <w:rPr>
          <w:b w:val="false"/>
        </w:rPr>
        <w:t>68-A.66. Nutrition And Feeding Review (Captive Welfare and Sanctuary). Eligible for domestic or cooperative implementation consistent with Chapter 68 safeguards.</w:t>
      </w:r>
    </w:p>
    <w:p>
      <w:pPr>
        <w:pStyle w:val="Normal"/>
      </w:pPr>
      <w:r>
        <w:rPr>
          <w:b w:val="false"/>
        </w:rPr>
        <w:t>68-A.67. Social-Group Compatibility Review (Captive Welfare and Sanctuary). Eligible for domestic or cooperative implementation consistent with Chapter 68 safeguards.</w:t>
      </w:r>
    </w:p>
    <w:p>
      <w:pPr>
        <w:pStyle w:val="Normal"/>
      </w:pPr>
      <w:r>
        <w:rPr>
          <w:b w:val="false"/>
        </w:rPr>
        <w:t>68-A.68. Environmental Enrichment (Captive Welfare and Sanctuary). Eligible for domestic or cooperative implementation consistent with Chapter 68 safeguards.</w:t>
      </w:r>
    </w:p>
    <w:p>
      <w:pPr>
        <w:pStyle w:val="Normal"/>
      </w:pPr>
      <w:r>
        <w:rPr>
          <w:b w:val="false"/>
        </w:rPr>
        <w:t>68-A.69. Emergency Care Planning (Captive Welfare and Sanctuary). Eligible for domestic or cooperative implementation consistent with Chapter 68 safeguards.</w:t>
      </w:r>
    </w:p>
    <w:p>
      <w:pPr>
        <w:pStyle w:val="Normal"/>
      </w:pPr>
      <w:r>
        <w:rPr>
          <w:b w:val="false"/>
        </w:rPr>
        <w:t>68-A.70. Transport Welfare Assessment (Captive Welfare and Sanctuary). Eligible for domestic or cooperative implementation consistent with Chapter 68 safeguards.</w:t>
      </w:r>
    </w:p>
    <w:p>
      <w:pPr>
        <w:pStyle w:val="Normal"/>
      </w:pPr>
      <w:r>
        <w:rPr>
          <w:b w:val="false"/>
        </w:rPr>
        <w:t>68-A.71. Individual Legacy-Animal Care Plans (Captive Welfare and Sanctuary). Eligible for domestic or cooperative implementation consistent with Chapter 68 safeguards.</w:t>
      </w:r>
    </w:p>
    <w:p>
      <w:pPr>
        <w:pStyle w:val="Normal"/>
      </w:pPr>
      <w:r>
        <w:rPr>
          <w:b w:val="false"/>
        </w:rPr>
        <w:t>68-A.72. Mortality And Serious-Incident Review (Captive Welfare and Sanctuary). Eligible for domestic or cooperative implementation consistent with Chapter 68 safeguards.</w:t>
      </w:r>
    </w:p>
    <w:p>
      <w:pPr>
        <w:pStyle w:val="Normal"/>
      </w:pPr>
      <w:r>
        <w:rPr>
          <w:b w:val="false"/>
        </w:rPr>
        <w:t>68-A.73. Qualified Sanctuary Eligibility (Captive Welfare and Sanctuary). Eligible for domestic or cooperative implementation consistent with Chapter 68 safeguards.</w:t>
      </w:r>
    </w:p>
    <w:p>
      <w:pPr>
        <w:pStyle w:val="Normal"/>
      </w:pPr>
      <w:r>
        <w:rPr>
          <w:b w:val="false"/>
        </w:rPr>
        <w:t>68-A.74. Sanctuary Veterinary Standards (Captive Welfare and Sanctuary). Eligible for domestic or cooperative implementation consistent with Chapter 68 safeguards.</w:t>
      </w:r>
    </w:p>
    <w:p>
      <w:pPr>
        <w:pStyle w:val="Normal"/>
      </w:pPr>
      <w:r>
        <w:rPr>
          <w:b w:val="false"/>
        </w:rPr>
        <w:t>68-A.75. Sanctuary Biosecurity (Captive Welfare and Sanctuary). Eligible for domestic or cooperative implementation consistent with Chapter 68 safeguards.</w:t>
      </w:r>
    </w:p>
    <w:p>
      <w:pPr>
        <w:pStyle w:val="Normal"/>
      </w:pPr>
      <w:r>
        <w:rPr>
          <w:b w:val="false"/>
        </w:rPr>
        <w:t>68-A.76. Civilian Underwater-Noise Baseline (Noise and Quieting). Eligible for domestic or cooperative implementation consistent with Chapter 68 safeguards.</w:t>
      </w:r>
    </w:p>
    <w:p>
      <w:pPr>
        <w:pStyle w:val="Normal"/>
      </w:pPr>
      <w:r>
        <w:rPr>
          <w:b w:val="false"/>
        </w:rPr>
        <w:t>68-A.77. Port Soundscape Monitoring (Noise and Quieting). Eligible for domestic or cooperative implementation consistent with Chapter 68 safeguards.</w:t>
      </w:r>
    </w:p>
    <w:p>
      <w:pPr>
        <w:pStyle w:val="Normal"/>
      </w:pPr>
      <w:r>
        <w:rPr>
          <w:b w:val="false"/>
        </w:rPr>
        <w:t>68-A.78. Construction-Noise Mitigation (Noise and Quieting). Eligible for domestic or cooperative implementation consistent with Chapter 68 safeguards.</w:t>
      </w:r>
    </w:p>
    <w:p>
      <w:pPr>
        <w:pStyle w:val="Normal"/>
      </w:pPr>
      <w:r>
        <w:rPr>
          <w:b w:val="false"/>
        </w:rPr>
        <w:t>68-A.79. Pile-Driving Mitigation (Noise and Quieting). Eligible for domestic or cooperative implementation consistent with Chapter 68 safeguards.</w:t>
      </w:r>
    </w:p>
    <w:p>
      <w:pPr>
        <w:pStyle w:val="Normal"/>
      </w:pPr>
      <w:r>
        <w:rPr>
          <w:b w:val="false"/>
        </w:rPr>
        <w:t>68-A.80. Dredging Acoustic Best Practices (Noise and Quieting). Eligible for domestic or cooperative implementation consistent with Chapter 68 safeguards.</w:t>
      </w:r>
    </w:p>
    <w:p>
      <w:pPr>
        <w:pStyle w:val="Normal"/>
      </w:pPr>
      <w:r>
        <w:rPr>
          <w:b w:val="false"/>
        </w:rPr>
        <w:t>68-A.81. Seismic Survey Mitigation (Noise and Quieting). Eligible for domestic or cooperative implementation consistent with Chapter 68 safeguards.</w:t>
      </w:r>
    </w:p>
    <w:p>
      <w:pPr>
        <w:pStyle w:val="Normal"/>
      </w:pPr>
      <w:r>
        <w:rPr>
          <w:b w:val="false"/>
        </w:rPr>
        <w:t>68-A.82. Quiet-Vessel Design Guidance (Noise and Quieting). Eligible for domestic or cooperative implementation consistent with Chapter 68 safeguards.</w:t>
      </w:r>
    </w:p>
    <w:p>
      <w:pPr>
        <w:pStyle w:val="Normal"/>
      </w:pPr>
      <w:r>
        <w:rPr>
          <w:b w:val="false"/>
        </w:rPr>
        <w:t>68-A.83. Propeller And Hull Retrofit Incentives (Noise and Quieting). Eligible for domestic or cooperative implementation consistent with Chapter 68 safeguards.</w:t>
      </w:r>
    </w:p>
    <w:p>
      <w:pPr>
        <w:pStyle w:val="Normal"/>
      </w:pPr>
      <w:r>
        <w:rPr>
          <w:b w:val="false"/>
        </w:rPr>
        <w:t>68-A.84. Cavitation-Reduction Practices (Noise and Quieting). Eligible for domestic or cooperative implementation consistent with Chapter 68 safeguards.</w:t>
      </w:r>
    </w:p>
    <w:p>
      <w:pPr>
        <w:pStyle w:val="Normal"/>
      </w:pPr>
      <w:r>
        <w:rPr>
          <w:b w:val="false"/>
        </w:rPr>
        <w:t>68-A.85. Maintenance-For-Quietness Programs (Noise and Quieting). Eligible for domestic or cooperative implementation consistent with Chapter 68 safeguards.</w:t>
      </w:r>
    </w:p>
    <w:p>
      <w:pPr>
        <w:pStyle w:val="Normal"/>
      </w:pPr>
      <w:r>
        <w:rPr>
          <w:b w:val="false"/>
        </w:rPr>
        <w:t>68-A.86. Quiet-Ferry Demonstration (Noise and Quieting). Eligible for domestic or cooperative implementation consistent with Chapter 68 safeguards.</w:t>
      </w:r>
    </w:p>
    <w:p>
      <w:pPr>
        <w:pStyle w:val="Normal"/>
      </w:pPr>
      <w:r>
        <w:rPr>
          <w:b w:val="false"/>
        </w:rPr>
        <w:t>68-A.87. Quiet-Tour-Vessel Certification (Noise and Quieting). Eligible for domestic or cooperative implementation consistent with Chapter 68 safeguards.</w:t>
      </w:r>
    </w:p>
    <w:p>
      <w:pPr>
        <w:pStyle w:val="Normal"/>
      </w:pPr>
      <w:r>
        <w:rPr>
          <w:b w:val="false"/>
        </w:rPr>
        <w:t>68-A.88. Green-Shipping-Corridor Whale Clauses (Noise and Quieting). Eligible for domestic or cooperative implementation consistent with Chapter 68 safeguards.</w:t>
      </w:r>
    </w:p>
    <w:p>
      <w:pPr>
        <w:pStyle w:val="Normal"/>
      </w:pPr>
      <w:r>
        <w:rPr>
          <w:b w:val="false"/>
        </w:rPr>
        <w:t>68-A.89. Shore-Power Noise Co-Benefits (Noise and Quieting). Eligible for domestic or cooperative implementation consistent with Chapter 68 safeguards.</w:t>
      </w:r>
    </w:p>
    <w:p>
      <w:pPr>
        <w:pStyle w:val="Normal"/>
      </w:pPr>
      <w:r>
        <w:rPr>
          <w:b w:val="false"/>
        </w:rPr>
        <w:t>68-A.90. Critical-Habitat Science Coordination (Ecosystem and Habitat). Eligible for domestic or cooperative implementation consistent with Chapter 68 safeguards.</w:t>
      </w:r>
    </w:p>
    <w:p>
      <w:pPr>
        <w:pStyle w:val="Normal"/>
      </w:pPr>
      <w:r>
        <w:rPr>
          <w:b w:val="false"/>
        </w:rPr>
        <w:t>68-A.91. Recovery-Corridor Mapping (Ecosystem and Habitat). Eligible for domestic or cooperative implementation consistent with Chapter 68 safeguards.</w:t>
      </w:r>
    </w:p>
    <w:p>
      <w:pPr>
        <w:pStyle w:val="Normal"/>
      </w:pPr>
      <w:r>
        <w:rPr>
          <w:b w:val="false"/>
        </w:rPr>
        <w:t>68-A.92. Climate-Refugia Identification (Ecosystem and Habitat). Eligible for domestic or cooperative implementation consistent with Chapter 68 safeguards.</w:t>
      </w:r>
    </w:p>
    <w:p>
      <w:pPr>
        <w:pStyle w:val="Normal"/>
      </w:pPr>
      <w:r>
        <w:rPr>
          <w:b w:val="false"/>
        </w:rPr>
        <w:t>68-A.93. Marine Protected Area Effectiveness Review (Ecosystem and Habitat). Eligible for domestic or cooperative implementation consistent with Chapter 68 safeguards.</w:t>
      </w:r>
    </w:p>
    <w:p>
      <w:pPr>
        <w:pStyle w:val="Normal"/>
      </w:pPr>
      <w:r>
        <w:rPr>
          <w:b w:val="false"/>
        </w:rPr>
        <w:t>68-A.94. Contaminant Burden Monitoring (Ecosystem and Habitat). Eligible for domestic or cooperative implementation consistent with Chapter 68 safeguards.</w:t>
      </w:r>
    </w:p>
    <w:p>
      <w:pPr>
        <w:pStyle w:val="Normal"/>
      </w:pPr>
      <w:r>
        <w:rPr>
          <w:b w:val="false"/>
        </w:rPr>
        <w:t>68-A.95. Pcb Source Reduction Cooperation (Ecosystem and Habitat). Eligible for domestic or cooperative implementation consistent with Chapter 68 safeguards.</w:t>
      </w:r>
    </w:p>
    <w:p>
      <w:pPr>
        <w:pStyle w:val="Normal"/>
      </w:pPr>
      <w:r>
        <w:rPr>
          <w:b w:val="false"/>
        </w:rPr>
        <w:t>68-A.96. Pfas Source Research And Control Cooperation (Ecosystem and Habitat). Eligible for domestic or cooperative implementation consistent with Chapter 68 safeguards.</w:t>
      </w:r>
    </w:p>
    <w:p>
      <w:pPr>
        <w:pStyle w:val="Normal"/>
      </w:pPr>
      <w:r>
        <w:rPr>
          <w:b w:val="false"/>
        </w:rPr>
        <w:t>68-A.97. Stormwater And Wastewater Co-Benefit Projects (Ecosystem and Habitat). Eligible for domestic or cooperative implementation consistent with Chapter 68 safeguards.</w:t>
      </w:r>
    </w:p>
    <w:p>
      <w:pPr>
        <w:pStyle w:val="Normal"/>
      </w:pPr>
      <w:r>
        <w:rPr>
          <w:b w:val="false"/>
        </w:rPr>
        <w:t>68-A.98. Plastic And Pellet-Loss Reduction (Ecosystem and Habitat). Eligible for domestic or cooperative implementation consistent with Chapter 68 safeguards.</w:t>
      </w:r>
    </w:p>
    <w:p>
      <w:pPr>
        <w:pStyle w:val="Normal"/>
      </w:pPr>
      <w:r>
        <w:rPr>
          <w:b w:val="false"/>
        </w:rPr>
        <w:t>68-A.99. Harmful-Algal-Bloom Monitoring (Ecosystem and Habitat). Eligible for domestic or cooperative implementation consistent with Chapter 68 safeguards.</w:t>
      </w:r>
    </w:p>
    <w:p>
      <w:pPr>
        <w:pStyle w:val="Normal"/>
      </w:pPr>
      <w:r>
        <w:rPr>
          <w:b w:val="false"/>
        </w:rPr>
        <w:t>68-A.100. Prey-Stock Monitoring (Ecosystem and Habitat). Eligible for domestic or cooperative implementation consistent with Chapter 68 safeguards.</w:t>
      </w:r>
    </w:p>
    <w:p>
      <w:pPr>
        <w:pStyle w:val="Normal"/>
      </w:pPr>
      <w:r>
        <w:rPr>
          <w:b w:val="false"/>
        </w:rPr>
        <w:t>68-A.101. Forage-Fish Ecosystem Assessment (Ecosystem and Habitat). Eligible for domestic or cooperative implementation consistent with Chapter 68 safeguards.</w:t>
      </w:r>
    </w:p>
    <w:p>
      <w:pPr>
        <w:pStyle w:val="Normal"/>
      </w:pPr>
      <w:r>
        <w:rPr>
          <w:b w:val="false"/>
        </w:rPr>
        <w:t>68-A.102. Salmon Habitat Restoration Linkage (Ecosystem and Habitat). Eligible for domestic or cooperative implementation consistent with Chapter 68 safeguards.</w:t>
      </w:r>
    </w:p>
    <w:p>
      <w:pPr>
        <w:pStyle w:val="Normal"/>
      </w:pPr>
      <w:r>
        <w:rPr>
          <w:b w:val="false"/>
        </w:rPr>
        <w:t>68-A.103. Estuary And Eelgrass Restoration (Ecosystem and Habitat). Eligible for domestic or cooperative implementation consistent with Chapter 68 safeguards.</w:t>
      </w:r>
    </w:p>
    <w:p>
      <w:pPr>
        <w:pStyle w:val="Normal"/>
      </w:pPr>
      <w:r>
        <w:rPr>
          <w:b w:val="false"/>
        </w:rPr>
        <w:t>68-A.104. Marine-Heatwave Response Planning (Ecosystem and Habitat). Eligible for domestic or cooperative implementation consistent with Chapter 68 safeguards.</w:t>
      </w:r>
    </w:p>
    <w:p>
      <w:pPr>
        <w:pStyle w:val="Normal"/>
      </w:pPr>
      <w:r>
        <w:rPr>
          <w:b w:val="false"/>
        </w:rPr>
        <w:t>68-A.105. Range-Shift Early Warning (Ecosystem and Habitat). Eligible for domestic or cooperative implementation consistent with Chapter 68 safeguards.</w:t>
      </w:r>
    </w:p>
    <w:p>
      <w:pPr>
        <w:pStyle w:val="Normal"/>
      </w:pPr>
      <w:r>
        <w:rPr>
          <w:b w:val="false"/>
        </w:rPr>
        <w:t>68-A.106. Whale-Safe Port Design Guidance (Ports Offshore and Communities). Eligible for domestic or cooperative implementation consistent with Chapter 68 safeguards.</w:t>
      </w:r>
    </w:p>
    <w:p>
      <w:pPr>
        <w:pStyle w:val="Normal"/>
      </w:pPr>
      <w:r>
        <w:rPr>
          <w:b w:val="false"/>
        </w:rPr>
        <w:t>68-A.107. Port Expansion Cetacean Assessment (Ports Offshore and Communities). Eligible for domestic or cooperative implementation consistent with Chapter 68 safeguards.</w:t>
      </w:r>
    </w:p>
    <w:p>
      <w:pPr>
        <w:pStyle w:val="Normal"/>
      </w:pPr>
      <w:r>
        <w:rPr>
          <w:b w:val="false"/>
        </w:rPr>
        <w:t>68-A.108. Terminal Acoustic Engineering (Ports Offshore and Communities). Eligible for domestic or cooperative implementation consistent with Chapter 68 safeguards.</w:t>
      </w:r>
    </w:p>
    <w:p>
      <w:pPr>
        <w:pStyle w:val="Normal"/>
      </w:pPr>
      <w:r>
        <w:rPr>
          <w:b w:val="false"/>
        </w:rPr>
        <w:t>68-A.109. Dredging Windows (Ports Offshore and Communities). Eligible for domestic or cooperative implementation consistent with Chapter 68 safeguards.</w:t>
      </w:r>
    </w:p>
    <w:p>
      <w:pPr>
        <w:pStyle w:val="Normal"/>
      </w:pPr>
      <w:r>
        <w:rPr>
          <w:b w:val="false"/>
        </w:rPr>
        <w:t>68-A.110. Cable-Landing Best Practices (Ports Offshore and Communities). Eligible for domestic or cooperative implementation consistent with Chapter 68 safeguards.</w:t>
      </w:r>
    </w:p>
    <w:p>
      <w:pPr>
        <w:pStyle w:val="Normal"/>
      </w:pPr>
      <w:r>
        <w:rPr>
          <w:b w:val="false"/>
        </w:rPr>
        <w:t>68-A.111. Offshore-Energy Wildlife Monitoring (Ports Offshore and Communities). Eligible for domestic or cooperative implementation consistent with Chapter 68 safeguards.</w:t>
      </w:r>
    </w:p>
    <w:p>
      <w:pPr>
        <w:pStyle w:val="Normal"/>
      </w:pPr>
      <w:r>
        <w:rPr>
          <w:b w:val="false"/>
        </w:rPr>
        <w:t>68-A.112. Construction-Window Planning (Ports Offshore and Communities). Eligible for domestic or cooperative implementation consistent with Chapter 68 safeguards.</w:t>
      </w:r>
    </w:p>
    <w:p>
      <w:pPr>
        <w:pStyle w:val="Normal"/>
      </w:pPr>
      <w:r>
        <w:rPr>
          <w:b w:val="false"/>
        </w:rPr>
        <w:t>68-A.113. Coastal-Development Guidance (Ports Offshore and Communities). Eligible for domestic or cooperative implementation consistent with Chapter 68 safeguards.</w:t>
      </w:r>
    </w:p>
    <w:p>
      <w:pPr>
        <w:pStyle w:val="Normal"/>
      </w:pPr>
      <w:r>
        <w:rPr>
          <w:b w:val="false"/>
        </w:rPr>
        <w:t>68-A.114. Small-Craft Harbour Quiet Zones (Ports Offshore and Communities). Eligible for domestic or cooperative implementation consistent with Chapter 68 safeguards.</w:t>
      </w:r>
    </w:p>
    <w:p>
      <w:pPr>
        <w:pStyle w:val="Normal"/>
      </w:pPr>
      <w:r>
        <w:rPr>
          <w:b w:val="false"/>
        </w:rPr>
        <w:t>68-A.115. Community Stewardship Partnerships (Ports Offshore and Communities). Eligible for domestic or cooperative implementation consistent with Chapter 68 safeguards.</w:t>
      </w:r>
    </w:p>
    <w:p>
      <w:pPr>
        <w:pStyle w:val="Normal"/>
      </w:pPr>
      <w:r>
        <w:rPr>
          <w:b w:val="false"/>
        </w:rPr>
        <w:t>68-A.116. Whale-Safe Tourism Certification (Ports Offshore and Communities). Eligible for domestic or cooperative implementation consistent with Chapter 68 safeguards.</w:t>
      </w:r>
    </w:p>
    <w:p>
      <w:pPr>
        <w:pStyle w:val="Normal"/>
      </w:pPr>
      <w:r>
        <w:rPr>
          <w:b w:val="false"/>
        </w:rPr>
        <w:t>68-A.117. Tour-Operator Training (Ports Offshore and Communities). Eligible for domestic or cooperative implementation consistent with Chapter 68 safeguards.</w:t>
      </w:r>
    </w:p>
    <w:p>
      <w:pPr>
        <w:pStyle w:val="Normal"/>
      </w:pPr>
      <w:r>
        <w:rPr>
          <w:b w:val="false"/>
        </w:rPr>
        <w:t>68-A.118. Indigenous Guardian Support (Ports Offshore and Communities). Eligible for domestic or cooperative implementation consistent with Chapter 68 safeguards.</w:t>
      </w:r>
    </w:p>
    <w:p>
      <w:pPr>
        <w:pStyle w:val="Normal"/>
      </w:pPr>
      <w:r>
        <w:rPr>
          <w:b w:val="false"/>
        </w:rPr>
        <w:t>68-A.119. Indigenous Hydrophone Programs (Ports Offshore and Communities). Eligible for domestic or cooperative implementation consistent with Chapter 68 safeguards.</w:t>
      </w:r>
    </w:p>
    <w:p>
      <w:pPr>
        <w:pStyle w:val="Normal"/>
      </w:pPr>
      <w:r>
        <w:rPr>
          <w:b w:val="false"/>
        </w:rPr>
        <w:t>68-A.120. Standardized Research Metadata (Science Governance and Enforcement). Eligible for domestic or cooperative implementation consistent with Chapter 68 safeguards.</w:t>
      </w:r>
    </w:p>
    <w:p>
      <w:pPr>
        <w:pStyle w:val="Normal"/>
      </w:pPr>
      <w:r>
        <w:rPr>
          <w:b w:val="false"/>
        </w:rPr>
        <w:t>68-A.121. Cross-Border Research Permit Coordination (Science Governance and Enforcement). Eligible for domestic or cooperative implementation consistent with Chapter 68 safeguards.</w:t>
      </w:r>
    </w:p>
    <w:p>
      <w:pPr>
        <w:pStyle w:val="Normal"/>
      </w:pPr>
      <w:r>
        <w:rPr>
          <w:b w:val="false"/>
        </w:rPr>
        <w:t>68-A.122. Population-Model Federation (Science Governance and Enforcement). Eligible for domestic or cooperative implementation consistent with Chapter 68 safeguards.</w:t>
      </w:r>
    </w:p>
    <w:p>
      <w:pPr>
        <w:pStyle w:val="Normal"/>
      </w:pPr>
      <w:r>
        <w:rPr>
          <w:b w:val="false"/>
        </w:rPr>
        <w:t>68-A.123. Population Viability Analysis (Science Governance and Enforcement). Eligible for domestic or cooperative implementation consistent with Chapter 68 safeguards.</w:t>
      </w:r>
    </w:p>
    <w:p>
      <w:pPr>
        <w:pStyle w:val="Normal"/>
      </w:pPr>
      <w:r>
        <w:rPr>
          <w:b w:val="false"/>
        </w:rPr>
        <w:t>68-A.124. Calf-Production Sentinel Metric (Science Governance and Enforcement). Eligible for domestic or cooperative implementation consistent with Chapter 68 safeguards.</w:t>
      </w:r>
    </w:p>
    <w:p>
      <w:pPr>
        <w:pStyle w:val="Normal"/>
      </w:pPr>
      <w:r>
        <w:rPr>
          <w:b w:val="false"/>
        </w:rPr>
        <w:t>68-A.125. Adult-Female Survival Metric (Science Governance and Enforcement). Eligible for domestic or cooperative implementation consistent with Chapter 68 safeguards.</w:t>
      </w:r>
    </w:p>
    <w:p>
      <w:pPr>
        <w:pStyle w:val="Normal"/>
      </w:pPr>
      <w:r>
        <w:rPr>
          <w:b w:val="false"/>
        </w:rPr>
        <w:t>68-A.126. Counterfactual Management Evaluation (Science Governance and Enforcement). Eligible for domestic or cooperative implementation consistent with Chapter 68 safeguards.</w:t>
      </w:r>
    </w:p>
    <w:p>
      <w:pPr>
        <w:pStyle w:val="Normal"/>
      </w:pPr>
      <w:r>
        <w:rPr>
          <w:b w:val="false"/>
        </w:rPr>
        <w:t>68-A.127. Effect-Size And Uncertainty Reporting (Science Governance and Enforcement). Eligible for domestic or cooperative implementation consistent with Chapter 68 safeguards.</w:t>
      </w:r>
    </w:p>
    <w:p>
      <w:pPr>
        <w:pStyle w:val="Normal"/>
      </w:pPr>
      <w:r>
        <w:rPr>
          <w:b w:val="false"/>
        </w:rPr>
        <w:t>68-A.128. Replication And Robustness Program (Science Governance and Enforcement). Eligible for domestic or cooperative implementation consistent with Chapter 68 safeguards.</w:t>
      </w:r>
    </w:p>
    <w:p>
      <w:pPr>
        <w:pStyle w:val="Normal"/>
      </w:pPr>
      <w:r>
        <w:rPr>
          <w:b w:val="false"/>
        </w:rPr>
        <w:t>68-A.129. Pre-Registration Of Major Evaluations (Science Governance and Enforcement). Eligible for domestic or cooperative implementation consistent with Chapter 68 safeguards.</w:t>
      </w:r>
    </w:p>
    <w:p>
      <w:pPr>
        <w:pStyle w:val="Normal"/>
      </w:pPr>
      <w:r>
        <w:rPr>
          <w:b w:val="false"/>
        </w:rPr>
        <w:t>68-A.130. Independent Statistical Review (Science Governance and Enforcement). Eligible for domestic or cooperative implementation consistent with Chapter 68 safeguards.</w:t>
      </w:r>
    </w:p>
    <w:p>
      <w:pPr>
        <w:pStyle w:val="Normal"/>
      </w:pPr>
      <w:r>
        <w:rPr>
          <w:b w:val="false"/>
        </w:rPr>
        <w:t>68-A.131. Open-Model Repository (Science Governance and Enforcement). Eligible for domestic or cooperative implementation consistent with Chapter 68 safeguards.</w:t>
      </w:r>
    </w:p>
    <w:p>
      <w:pPr>
        <w:pStyle w:val="Normal"/>
      </w:pPr>
      <w:r>
        <w:rPr>
          <w:b w:val="false"/>
        </w:rPr>
        <w:t>68-A.132. Management-Strategy Evaluation (Science Governance and Enforcement). Eligible for domestic or cooperative implementation consistent with Chapter 68 safeguards.</w:t>
      </w:r>
    </w:p>
    <w:p>
      <w:pPr>
        <w:pStyle w:val="Normal"/>
      </w:pPr>
      <w:r>
        <w:rPr>
          <w:b w:val="false"/>
        </w:rPr>
        <w:t>68-A.133. Threshold-And-Trigger Research (Science Governance and Enforcement). Eligible for domestic or cooperative implementation consistent with Chapter 68 safeguards.</w:t>
      </w:r>
    </w:p>
    <w:p>
      <w:pPr>
        <w:pStyle w:val="Normal"/>
      </w:pPr>
      <w:r>
        <w:rPr>
          <w:b w:val="false"/>
        </w:rPr>
        <w:t>68-A.134. Annual Methodology Appendix (Science Governance and Enforcement). Eligible for domestic or cooperative implementation consistent with Chapter 68 safeguards.</w:t>
      </w:r>
    </w:p>
    <w:p>
      <w:pPr>
        <w:pStyle w:val="Normal"/>
      </w:pPr>
      <w:r>
        <w:rPr>
          <w:b w:val="false"/>
        </w:rPr>
        <w:t>68-A.135. Recovery-Definition Standard (Science Governance and Enforcement). Eligible for domestic or cooperative implementation consistent with Chapter 68 safeguards.</w:t>
      </w:r>
    </w:p>
    <w:p>
      <w:pPr>
        <w:pStyle w:val="Normal"/>
      </w:pPr>
      <w:r>
        <w:rPr>
          <w:b w:val="false"/>
        </w:rPr>
        <w:t>68-A.136. Failure-Transparency Reporting (Science Governance and Enforcement). Eligible for domestic or cooperative implementation consistent with Chapter 68 safeguards.</w:t>
      </w:r>
    </w:p>
    <w:p>
      <w:pPr>
        <w:pStyle w:val="Normal"/>
      </w:pPr>
      <w:r>
        <w:rPr>
          <w:b w:val="false"/>
        </w:rPr>
        <w:t>68-A.137. Compliance Education (Science Governance and Enforcement). Eligible for domestic or cooperative implementation consistent with Chapter 68 safeguards.</w:t>
      </w:r>
    </w:p>
    <w:p>
      <w:pPr>
        <w:pStyle w:val="Normal"/>
      </w:pPr>
      <w:r>
        <w:rPr>
          <w:b w:val="false"/>
        </w:rPr>
        <w:t>68-A.138. Proportionate Penalties (Science Governance and Enforcement). Eligible for domestic or cooperative implementation consistent with Chapter 68 safeguards.</w:t>
      </w:r>
    </w:p>
    <w:p>
      <w:pPr>
        <w:pStyle w:val="Normal"/>
      </w:pPr>
      <w:r>
        <w:rPr>
          <w:b w:val="false"/>
        </w:rPr>
        <w:t>68-A.139. Enforcement Data Cooperation (Science Governance and Enforcement). Eligible for domestic or cooperative implementation consistent with Chapter 68 safeguards.</w:t>
      </w:r>
    </w:p>
    <w:p>
      <w:pPr>
        <w:pStyle w:val="Heading2"/>
      </w:pPr>
      <w:bookmarkStart w:id="902241" w:name="_Toc300002240"/>
      <w:r>
        <w:t>ANNEX 68-B: INITIAL SPECIES, GEOGRAPHIC AND PROGRAM SCHEDULE (90 ACTIVE CANDIDATES)</w:t>
      </w:r>
      <w:bookmarkEnd w:id="902241"/>
    </w:p>
    <w:p>
      <w:pPr>
        <w:pStyle w:val="Normal"/>
      </w:pPr>
      <w:r>
        <w:rPr>
          <w:b w:val="false"/>
        </w:rPr>
        <w:t>Schedule status is descriptive, not a guarantee of funding, project approval or biological outcome. Named programs shall proceed only through competent authorities and applicable legal, scientific, rights, environmental and budget processes.</w:t>
      </w:r>
    </w:p>
    <w:p>
      <w:pPr>
        <w:pStyle w:val="Normal"/>
      </w:pPr>
      <w:r>
        <w:rPr>
          <w:b w:val="false"/>
        </w:rPr>
        <w:t>68-B.1. [FLAGSHIP] Great Whale Compact. Initial schedule candidate; status shall be verified under Annex 68-E before represented as a completed or funded achievement.</w:t>
      </w:r>
    </w:p>
    <w:p>
      <w:pPr>
        <w:pStyle w:val="Normal"/>
      </w:pPr>
      <w:r>
        <w:rPr>
          <w:b w:val="false"/>
        </w:rPr>
        <w:t>68-B.2. [FLAGSHIP] Continental Listening Network. Initial schedule candidate; status shall be verified under Annex 68-E before represented as a completed or funded achievement.</w:t>
      </w:r>
    </w:p>
    <w:p>
      <w:pPr>
        <w:pStyle w:val="Normal"/>
      </w:pPr>
      <w:r>
        <w:rPr>
          <w:b w:val="false"/>
        </w:rPr>
        <w:t>68-B.3. [FLAGSHIP] North Atlantic Right Whale Safe Passage. Initial schedule candidate; status shall be verified under Annex 68-E before represented as a completed or funded achievement.</w:t>
      </w:r>
    </w:p>
    <w:p>
      <w:pPr>
        <w:pStyle w:val="Normal"/>
      </w:pPr>
      <w:r>
        <w:rPr>
          <w:b w:val="false"/>
        </w:rPr>
        <w:t>68-B.4. [FLAGSHIP] Untangled North America. Initial schedule candidate; status shall be verified under Annex 68-E before represented as a completed or funded achievement.</w:t>
      </w:r>
    </w:p>
    <w:p>
      <w:pPr>
        <w:pStyle w:val="Normal"/>
      </w:pPr>
      <w:r>
        <w:rPr>
          <w:b w:val="false"/>
        </w:rPr>
        <w:t>68-B.5. [FLAGSHIP] Quiet Passage Corridors. Initial schedule candidate; status shall be verified under Annex 68-E before represented as a completed or funded achievement.</w:t>
      </w:r>
    </w:p>
    <w:p>
      <w:pPr>
        <w:pStyle w:val="Normal"/>
      </w:pPr>
      <w:r>
        <w:rPr>
          <w:b w:val="false"/>
        </w:rPr>
        <w:t>68-B.6. [FLAGSHIP] Southern Resident Orca Recovery Corridor. Initial schedule candidate; status shall be verified under Annex 68-E before represented as a completed or funded achievement.</w:t>
      </w:r>
    </w:p>
    <w:p>
      <w:pPr>
        <w:pStyle w:val="Normal"/>
      </w:pPr>
      <w:r>
        <w:rPr>
          <w:b w:val="false"/>
        </w:rPr>
        <w:t>68-B.7. [FLAGSHIP] Beluga Estuary Initiative. Initial schedule candidate; status shall be verified under Annex 68-E before represented as a completed or funded achievement.</w:t>
      </w:r>
    </w:p>
    <w:p>
      <w:pPr>
        <w:pStyle w:val="Normal"/>
      </w:pPr>
      <w:r>
        <w:rPr>
          <w:b w:val="false"/>
        </w:rPr>
        <w:t>68-B.8. [FLAGSHIP] Three Lagoons Grey Whale Partnership. Initial schedule candidate; status shall be verified under Annex 68-E before represented as a completed or funded achievement.</w:t>
      </w:r>
    </w:p>
    <w:p>
      <w:pPr>
        <w:pStyle w:val="Normal"/>
      </w:pPr>
      <w:r>
        <w:rPr>
          <w:b w:val="false"/>
        </w:rPr>
        <w:t>68-B.9. [FLAGSHIP] Whale Rescue Network. Initial schedule candidate; status shall be verified under Annex 68-E before represented as a completed or funded achievement.</w:t>
      </w:r>
    </w:p>
    <w:p>
      <w:pPr>
        <w:pStyle w:val="Normal"/>
      </w:pPr>
      <w:r>
        <w:rPr>
          <w:b w:val="false"/>
        </w:rPr>
        <w:t>68-B.10. [FLAGSHIP] Sea to Sanctuary Pathway. Initial schedule candidate; status shall be verified under Annex 68-E before represented as a completed or funded achievement.</w:t>
      </w:r>
    </w:p>
    <w:p>
      <w:pPr>
        <w:pStyle w:val="Normal"/>
      </w:pPr>
      <w:r>
        <w:rPr>
          <w:b w:val="false"/>
        </w:rPr>
        <w:t>68-B.11. [FLAGSHIP] Last Generation Captive Cetacean Initiative. Initial schedule candidate; status shall be verified under Annex 68-E before represented as a completed or funded achievement.</w:t>
      </w:r>
    </w:p>
    <w:p>
      <w:pPr>
        <w:pStyle w:val="Normal"/>
      </w:pPr>
      <w:r>
        <w:rPr>
          <w:b w:val="false"/>
        </w:rPr>
        <w:t>68-B.12. [FLAGSHIP] Beluga Health and Nutrition Science Initiative. Initial schedule candidate; status shall be verified under Annex 68-E before represented as a completed or funded achievement.</w:t>
      </w:r>
    </w:p>
    <w:p>
      <w:pPr>
        <w:pStyle w:val="Normal"/>
      </w:pPr>
      <w:r>
        <w:rPr>
          <w:b w:val="false"/>
        </w:rPr>
        <w:t>68-B.13. [FLAGSHIP] Whale-Safe Ports. Initial schedule candidate; status shall be verified under Annex 68-E before represented as a completed or funded achievement.</w:t>
      </w:r>
    </w:p>
    <w:p>
      <w:pPr>
        <w:pStyle w:val="Normal"/>
      </w:pPr>
      <w:r>
        <w:rPr>
          <w:b w:val="false"/>
        </w:rPr>
        <w:t>68-B.14. [FLAGSHIP] Quiet Fleet Initiative. Initial schedule candidate; status shall be verified under Annex 68-E before represented as a completed or funded achievement.</w:t>
      </w:r>
    </w:p>
    <w:p>
      <w:pPr>
        <w:pStyle w:val="Normal"/>
      </w:pPr>
      <w:r>
        <w:rPr>
          <w:b w:val="false"/>
        </w:rPr>
        <w:t>68-B.15. [FLAGSHIP] Great Whale Map. Initial schedule candidate; status shall be verified under Annex 68-E before represented as a completed or funded achievement.</w:t>
      </w:r>
    </w:p>
    <w:p>
      <w:pPr>
        <w:pStyle w:val="Normal"/>
      </w:pPr>
      <w:r>
        <w:rPr>
          <w:b w:val="false"/>
        </w:rPr>
        <w:t>68-B.16. [FLAGSHIP] State of the Whales Scorecard. Initial schedule candidate; status shall be verified under Annex 68-E before represented as a completed or funded achievement.</w:t>
      </w:r>
    </w:p>
    <w:p>
      <w:pPr>
        <w:pStyle w:val="Normal"/>
      </w:pPr>
      <w:r>
        <w:rPr>
          <w:b w:val="false"/>
        </w:rPr>
        <w:t>68-B.17. [FLAGSHIP] Arctic Cetacean Stewardship Network. Initial schedule candidate; status shall be verified under Annex 68-E before represented as a completed or funded achievement.</w:t>
      </w:r>
    </w:p>
    <w:p>
      <w:pPr>
        <w:pStyle w:val="Normal"/>
      </w:pPr>
      <w:r>
        <w:rPr>
          <w:b w:val="false"/>
        </w:rPr>
        <w:t>68-B.18. [FLAGSHIP] Pacific Giants Highway. Initial schedule candidate; status shall be verified under Annex 68-E before represented as a completed or funded achievement.</w:t>
      </w:r>
    </w:p>
    <w:p>
      <w:pPr>
        <w:pStyle w:val="Normal"/>
      </w:pPr>
      <w:r>
        <w:rPr>
          <w:b w:val="false"/>
        </w:rPr>
        <w:t>68-B.19. [FLAGSHIP] Gulf of California Cetacean Network. Initial schedule candidate; status shall be verified under Annex 68-E before represented as a completed or funded achievement.</w:t>
      </w:r>
    </w:p>
    <w:p>
      <w:pPr>
        <w:pStyle w:val="Normal"/>
      </w:pPr>
      <w:r>
        <w:rPr>
          <w:b w:val="false"/>
        </w:rPr>
        <w:t>68-B.20. [FLAGSHIP] Whale-Safe Fisheries Transition. Initial schedule candidate; status shall be verified under Annex 68-E before represented as a completed or funded achievement.</w:t>
      </w:r>
    </w:p>
    <w:p>
      <w:pPr>
        <w:pStyle w:val="Normal"/>
      </w:pPr>
      <w:r>
        <w:rPr>
          <w:b w:val="false"/>
        </w:rPr>
        <w:t>68-B.21. [FLAGSHIP] Indigenous-Led Whale Stewardship. Initial schedule candidate; status shall be verified under Annex 68-E before represented as a completed or funded achievement.</w:t>
      </w:r>
    </w:p>
    <w:p>
      <w:pPr>
        <w:pStyle w:val="Normal"/>
      </w:pPr>
      <w:r>
        <w:rPr>
          <w:b w:val="false"/>
        </w:rPr>
        <w:t>68-B.22. [FLAGSHIP] Clean Waters, Full Tables. Initial schedule candidate; status shall be verified under Annex 68-E before represented as a completed or funded achievement.</w:t>
      </w:r>
    </w:p>
    <w:p>
      <w:pPr>
        <w:pStyle w:val="Normal"/>
      </w:pPr>
      <w:r>
        <w:rPr>
          <w:b w:val="false"/>
        </w:rPr>
        <w:t>68-B.23. [FLAGSHIP] Moving Corridors. Initial schedule candidate; status shall be verified under Annex 68-E before represented as a completed or funded achievement.</w:t>
      </w:r>
    </w:p>
    <w:p>
      <w:pPr>
        <w:pStyle w:val="Normal"/>
      </w:pPr>
      <w:r>
        <w:rPr>
          <w:b w:val="false"/>
        </w:rPr>
        <w:t>68-B.24. [FLAGSHIP] Cetacean Emergency Recovery Mechanism. Initial schedule candidate; status shall be verified under Annex 68-E before represented as a completed or funded achievement.</w:t>
      </w:r>
    </w:p>
    <w:p>
      <w:pPr>
        <w:pStyle w:val="Normal"/>
      </w:pPr>
      <w:r>
        <w:rPr>
          <w:b w:val="false"/>
        </w:rPr>
        <w:t>68-B.25. [ANCHOR] Dynamic Vessel Management Platform. Initial schedule candidate; status shall be verified under Annex 68-E before represented as a completed or funded achievement.</w:t>
      </w:r>
    </w:p>
    <w:p>
      <w:pPr>
        <w:pStyle w:val="Normal"/>
      </w:pPr>
      <w:r>
        <w:rPr>
          <w:b w:val="false"/>
        </w:rPr>
        <w:t>68-B.26. [ANCHOR] AIS Compliance and Strike Reporting System. Initial schedule candidate; status shall be verified under Annex 68-E before represented as a completed or funded achievement.</w:t>
      </w:r>
    </w:p>
    <w:p>
      <w:pPr>
        <w:pStyle w:val="Normal"/>
      </w:pPr>
      <w:r>
        <w:rPr>
          <w:b w:val="false"/>
        </w:rPr>
        <w:t>68-B.27. [ANCHOR] Real-Time Detection-to-Bridge Alert Standard. Initial schedule candidate; status shall be verified under Annex 68-E before represented as a completed or funded achievement.</w:t>
      </w:r>
    </w:p>
    <w:p>
      <w:pPr>
        <w:pStyle w:val="Normal"/>
      </w:pPr>
      <w:r>
        <w:rPr>
          <w:b w:val="false"/>
        </w:rPr>
        <w:t>68-B.28. [ANCHOR] Ropeless Gear Approval and Certification Track. Initial schedule candidate; status shall be verified under Annex 68-E before represented as a completed or funded achievement.</w:t>
      </w:r>
    </w:p>
    <w:p>
      <w:pPr>
        <w:pStyle w:val="Normal"/>
      </w:pPr>
      <w:r>
        <w:rPr>
          <w:b w:val="false"/>
        </w:rPr>
        <w:t>68-B.29. [ANCHOR] Virtual Gear Marking Architecture. Initial schedule candidate; status shall be verified under Annex 68-E before represented as a completed or funded achievement.</w:t>
      </w:r>
    </w:p>
    <w:p>
      <w:pPr>
        <w:pStyle w:val="Normal"/>
      </w:pPr>
      <w:r>
        <w:rPr>
          <w:b w:val="false"/>
        </w:rPr>
        <w:t>68-B.30. [ANCHOR] Ghost-Gear Traceability Network. Initial schedule candidate; status shall be verified under Annex 68-E before represented as a completed or funded achievement.</w:t>
      </w:r>
    </w:p>
    <w:p>
      <w:pPr>
        <w:pStyle w:val="Normal"/>
      </w:pPr>
      <w:r>
        <w:rPr>
          <w:b w:val="false"/>
        </w:rPr>
        <w:t>68-B.31. [ANCHOR] Fisher Transition Finance Facility. Initial schedule candidate; status shall be verified under Annex 68-E before represented as a completed or funded achievement.</w:t>
      </w:r>
    </w:p>
    <w:p>
      <w:pPr>
        <w:pStyle w:val="Normal"/>
      </w:pPr>
      <w:r>
        <w:rPr>
          <w:b w:val="false"/>
        </w:rPr>
        <w:t>68-B.32. [ANCHOR] Acoustic Habitat Quality Network. Initial schedule candidate; status shall be verified under Annex 68-E before represented as a completed or funded achievement.</w:t>
      </w:r>
    </w:p>
    <w:p>
      <w:pPr>
        <w:pStyle w:val="Normal"/>
      </w:pPr>
      <w:r>
        <w:rPr>
          <w:b w:val="false"/>
        </w:rPr>
        <w:t>68-B.33. [ANCHOR] Quiet-Vessel Retrofit Accelerator. Initial schedule candidate; status shall be verified under Annex 68-E before represented as a completed or funded achievement.</w:t>
      </w:r>
    </w:p>
    <w:p>
      <w:pPr>
        <w:pStyle w:val="Normal"/>
      </w:pPr>
      <w:r>
        <w:rPr>
          <w:b w:val="false"/>
        </w:rPr>
        <w:t>68-B.34. [ANCHOR] Cetacean Carcass Forensics Network. Initial schedule candidate; status shall be verified under Annex 68-E before represented as a completed or funded achievement.</w:t>
      </w:r>
    </w:p>
    <w:p>
      <w:pPr>
        <w:pStyle w:val="Normal"/>
      </w:pPr>
      <w:r>
        <w:rPr>
          <w:b w:val="false"/>
        </w:rPr>
        <w:t>68-B.35. [ANCHOR] Marine Mammal Necropsy and Tissue Archive. Initial schedule candidate; status shall be verified under Annex 68-E before represented as a completed or funded achievement.</w:t>
      </w:r>
    </w:p>
    <w:p>
      <w:pPr>
        <w:pStyle w:val="Normal"/>
      </w:pPr>
      <w:r>
        <w:rPr>
          <w:b w:val="false"/>
        </w:rPr>
        <w:t>68-B.36. [ANCHOR] Captive Cetacean Welfare Standard. Initial schedule candidate; status shall be verified under Annex 68-E before represented as a completed or funded achievement.</w:t>
      </w:r>
    </w:p>
    <w:p>
      <w:pPr>
        <w:pStyle w:val="Normal"/>
      </w:pPr>
      <w:r>
        <w:rPr>
          <w:b w:val="false"/>
        </w:rPr>
        <w:t>68-B.37. [ANCHOR] Sanctuary Eligibility and Transfer Assessment. Initial schedule candidate; status shall be verified under Annex 68-E before represented as a completed or funded achievement.</w:t>
      </w:r>
    </w:p>
    <w:p>
      <w:pPr>
        <w:pStyle w:val="Normal"/>
      </w:pPr>
      <w:r>
        <w:rPr>
          <w:b w:val="false"/>
        </w:rPr>
        <w:t>68-B.38. [ANCHOR] Recovery-Plan Implementation Audit. Initial schedule candidate; status shall be verified under Annex 68-E before represented as a completed or funded achievement.</w:t>
      </w:r>
    </w:p>
    <w:p>
      <w:pPr>
        <w:pStyle w:val="Normal"/>
      </w:pPr>
      <w:r>
        <w:rPr>
          <w:b w:val="false"/>
        </w:rPr>
        <w:t>68-B.39. [ANCHOR] Cetacean Prey Monitoring Network. Initial schedule candidate; status shall be verified under Annex 68-E before represented as a completed or funded achievement.</w:t>
      </w:r>
    </w:p>
    <w:p>
      <w:pPr>
        <w:pStyle w:val="Normal"/>
      </w:pPr>
      <w:r>
        <w:rPr>
          <w:b w:val="false"/>
        </w:rPr>
        <w:t>68-B.40. [ANCHOR] Contaminant Burden Monitoring Network. Initial schedule candidate; status shall be verified under Annex 68-E before represented as a completed or funded achievement.</w:t>
      </w:r>
    </w:p>
    <w:p>
      <w:pPr>
        <w:pStyle w:val="Normal"/>
      </w:pPr>
      <w:r>
        <w:rPr>
          <w:b w:val="false"/>
        </w:rPr>
        <w:t>68-B.41. [ANCHOR] Climate Range-Shift Early Warning System. Initial schedule candidate; status shall be verified under Annex 68-E before represented as a completed or funded achievement.</w:t>
      </w:r>
    </w:p>
    <w:p>
      <w:pPr>
        <w:pStyle w:val="Normal"/>
      </w:pPr>
      <w:r>
        <w:rPr>
          <w:b w:val="false"/>
        </w:rPr>
        <w:t>68-B.42. [ANCHOR] Whale-Sensitive Offshore Project Assessment. Initial schedule candidate; status shall be verified under Annex 68-E before represented as a completed or funded achievement.</w:t>
      </w:r>
    </w:p>
    <w:p>
      <w:pPr>
        <w:pStyle w:val="Normal"/>
      </w:pPr>
      <w:r>
        <w:rPr>
          <w:b w:val="false"/>
        </w:rPr>
        <w:t>68-B.43. [ANCHOR] Port Whale-Alert Integration. Initial schedule candidate; status shall be verified under Annex 68-E before represented as a completed or funded achievement.</w:t>
      </w:r>
    </w:p>
    <w:p>
      <w:pPr>
        <w:pStyle w:val="Normal"/>
      </w:pPr>
      <w:r>
        <w:rPr>
          <w:b w:val="false"/>
        </w:rPr>
        <w:t>68-B.44. [ANCHOR] Indigenous Cetacean Data Governance Framework. Initial schedule candidate; status shall be verified under Annex 68-E before represented as a completed or funded achievement.</w:t>
      </w:r>
    </w:p>
    <w:p>
      <w:pPr>
        <w:pStyle w:val="Normal"/>
      </w:pPr>
      <w:r>
        <w:rPr>
          <w:b w:val="false"/>
        </w:rPr>
        <w:t>68-B.45. [ANCHOR] Cross-Border Cetacean Research Permit Track. Initial schedule candidate; status shall be verified under Annex 68-E before represented as a completed or funded achievement.</w:t>
      </w:r>
    </w:p>
    <w:p>
      <w:pPr>
        <w:pStyle w:val="Normal"/>
      </w:pPr>
      <w:r>
        <w:rPr>
          <w:b w:val="false"/>
        </w:rPr>
        <w:t>68-B.46. [ANCHOR] Population Model Federation. Initial schedule candidate; status shall be verified under Annex 68-E before represented as a completed or funded achievement.</w:t>
      </w:r>
    </w:p>
    <w:p>
      <w:pPr>
        <w:pStyle w:val="Normal"/>
      </w:pPr>
      <w:r>
        <w:rPr>
          <w:b w:val="false"/>
        </w:rPr>
        <w:t>68-B.47. [ANCHOR] Long-Term Monitoring Continuity Plan. Initial schedule candidate; status shall be verified under Annex 68-E before represented as a completed or funded achievement.</w:t>
      </w:r>
    </w:p>
    <w:p>
      <w:pPr>
        <w:pStyle w:val="Normal"/>
      </w:pPr>
      <w:r>
        <w:rPr>
          <w:b w:val="false"/>
        </w:rPr>
        <w:t>68-B.48. [ANCHOR] Public Methodology and Uncertainty Standard. Initial schedule candidate; status shall be verified under Annex 68-E before represented as a completed or funded achievement.</w:t>
      </w:r>
    </w:p>
    <w:p>
      <w:pPr>
        <w:pStyle w:val="Normal"/>
      </w:pPr>
      <w:r>
        <w:rPr>
          <w:b w:val="false"/>
        </w:rPr>
        <w:t>68-B.49. [ANCHOR] Species Status Reassessment Cycle. Initial schedule candidate; status shall be verified under Annex 68-E before represented as a completed or funded achievement.</w:t>
      </w:r>
    </w:p>
    <w:p>
      <w:pPr>
        <w:pStyle w:val="Normal"/>
      </w:pPr>
      <w:r>
        <w:rPr>
          <w:b w:val="false"/>
        </w:rPr>
        <w:t>68-B.50. [ANCHOR] Mexico Cetacean Technical Capacity Partnership. Initial schedule candidate; status shall be verified under Annex 68-E before represented as a completed or funded achievement.</w:t>
      </w:r>
    </w:p>
    <w:p>
      <w:pPr>
        <w:pStyle w:val="Normal"/>
      </w:pPr>
      <w:r>
        <w:rPr>
          <w:b w:val="false"/>
        </w:rPr>
        <w:t>68-B.51. [ANCHOR] Fisher and Coastal Advisory Network. Initial schedule candidate; status shall be verified under Annex 68-E before represented as a completed or funded achievement.</w:t>
      </w:r>
    </w:p>
    <w:p>
      <w:pPr>
        <w:pStyle w:val="Normal"/>
      </w:pPr>
      <w:r>
        <w:rPr>
          <w:b w:val="false"/>
        </w:rPr>
        <w:t>68-B.52. [ANCHOR] Cetacean Enforcement Due-Process Standard. Initial schedule candidate; status shall be verified under Annex 68-E before represented as a completed or funded achievement.</w:t>
      </w:r>
    </w:p>
    <w:p>
      <w:pPr>
        <w:pStyle w:val="Normal"/>
      </w:pPr>
      <w:r>
        <w:rPr>
          <w:b w:val="false"/>
        </w:rPr>
        <w:t>68-B.53. [ANCHOR] Independent Great Whale Compact Evaluation. Initial schedule candidate; status shall be verified under Annex 68-E before represented as a completed or funded achievement.</w:t>
      </w:r>
    </w:p>
    <w:p>
      <w:pPr>
        <w:pStyle w:val="Normal"/>
      </w:pPr>
      <w:r>
        <w:rPr>
          <w:b w:val="false"/>
        </w:rPr>
        <w:t>68-B.54. [PROGRAM] North Atlantic Right Whale Calving-Ground Monitoring. Initial schedule candidate; status shall be verified under Annex 68-E before represented as a completed or funded achievement.</w:t>
      </w:r>
    </w:p>
    <w:p>
      <w:pPr>
        <w:pStyle w:val="Normal"/>
      </w:pPr>
      <w:r>
        <w:rPr>
          <w:b w:val="false"/>
        </w:rPr>
        <w:t>68-B.55. [PROGRAM] Gulf of St. Lawrence Right Whale Seasonal Operations. Initial schedule candidate; status shall be verified under Annex 68-E before represented as a completed or funded achievement.</w:t>
      </w:r>
    </w:p>
    <w:p>
      <w:pPr>
        <w:pStyle w:val="Normal"/>
      </w:pPr>
      <w:r>
        <w:rPr>
          <w:b w:val="false"/>
        </w:rPr>
        <w:t>68-B.56. [PROGRAM] Right Whale Entanglement Scar Survey. Initial schedule candidate; status shall be verified under Annex 68-E before represented as a completed or funded achievement.</w:t>
      </w:r>
    </w:p>
    <w:p>
      <w:pPr>
        <w:pStyle w:val="Normal"/>
      </w:pPr>
      <w:r>
        <w:rPr>
          <w:b w:val="false"/>
        </w:rPr>
        <w:t>68-B.57. [PROGRAM] Southern Resident Chinook Prey Recovery Program. Initial schedule candidate; status shall be verified under Annex 68-E before represented as a completed or funded achievement.</w:t>
      </w:r>
    </w:p>
    <w:p>
      <w:pPr>
        <w:pStyle w:val="Normal"/>
      </w:pPr>
      <w:r>
        <w:rPr>
          <w:b w:val="false"/>
        </w:rPr>
        <w:t>68-B.58. [PROGRAM] Salish Sea Quiet-Water Program. Initial schedule candidate; status shall be verified under Annex 68-E before represented as a completed or funded achievement.</w:t>
      </w:r>
    </w:p>
    <w:p>
      <w:pPr>
        <w:pStyle w:val="Normal"/>
      </w:pPr>
      <w:r>
        <w:rPr>
          <w:b w:val="false"/>
        </w:rPr>
        <w:t>68-B.59. [PROGRAM] Southern Resident Contaminant Surveillance. Initial schedule candidate; status shall be verified under Annex 68-E before represented as a completed or funded achievement.</w:t>
      </w:r>
    </w:p>
    <w:p>
      <w:pPr>
        <w:pStyle w:val="Normal"/>
      </w:pPr>
      <w:r>
        <w:rPr>
          <w:b w:val="false"/>
        </w:rPr>
        <w:t>68-B.60. [PROGRAM] St. Lawrence Beluga Health Index. Initial schedule candidate; status shall be verified under Annex 68-E before represented as a completed or funded achievement.</w:t>
      </w:r>
    </w:p>
    <w:p>
      <w:pPr>
        <w:pStyle w:val="Normal"/>
      </w:pPr>
      <w:r>
        <w:rPr>
          <w:b w:val="false"/>
        </w:rPr>
        <w:t>68-B.61. [PROGRAM] St. Lawrence Beluga Contaminants Action Program. Initial schedule candidate; status shall be verified under Annex 68-E before represented as a completed or funded achievement.</w:t>
      </w:r>
    </w:p>
    <w:p>
      <w:pPr>
        <w:pStyle w:val="Normal"/>
      </w:pPr>
      <w:r>
        <w:rPr>
          <w:b w:val="false"/>
        </w:rPr>
        <w:t>68-B.62. [PROGRAM] St. Lawrence Beluga Prey and Forage Research. Initial schedule candidate; status shall be verified under Annex 68-E before represented as a completed or funded achievement.</w:t>
      </w:r>
    </w:p>
    <w:p>
      <w:pPr>
        <w:pStyle w:val="Normal"/>
      </w:pPr>
      <w:r>
        <w:rPr>
          <w:b w:val="false"/>
        </w:rPr>
        <w:t>68-B.63. [PROGRAM] St. Lawrence Beluga Calving-Habitat Stewardship. Initial schedule candidate; status shall be verified under Annex 68-E before represented as a completed or funded achievement.</w:t>
      </w:r>
    </w:p>
    <w:p>
      <w:pPr>
        <w:pStyle w:val="Normal"/>
      </w:pPr>
      <w:r>
        <w:rPr>
          <w:b w:val="false"/>
        </w:rPr>
        <w:t>68-B.64. [PROGRAM] St. Lawrence Ferry and Shipping Protocol. Initial schedule candidate; status shall be verified under Annex 68-E before represented as a completed or funded achievement.</w:t>
      </w:r>
    </w:p>
    <w:p>
      <w:pPr>
        <w:pStyle w:val="Normal"/>
      </w:pPr>
      <w:r>
        <w:rPr>
          <w:b w:val="false"/>
        </w:rPr>
        <w:t>68-B.65. [PROGRAM] Churchill Beluga Monitoring and Tourism Standards. Initial schedule candidate; status shall be verified under Annex 68-E before represented as a completed or funded achievement.</w:t>
      </w:r>
    </w:p>
    <w:p>
      <w:pPr>
        <w:pStyle w:val="Normal"/>
      </w:pPr>
      <w:r>
        <w:rPr>
          <w:b w:val="false"/>
        </w:rPr>
        <w:t>68-B.66. [PROGRAM] Arctic Bowhead Monitoring Partnership. Initial schedule candidate; status shall be verified under Annex 68-E before represented as a completed or funded achievement.</w:t>
      </w:r>
    </w:p>
    <w:p>
      <w:pPr>
        <w:pStyle w:val="Normal"/>
      </w:pPr>
      <w:r>
        <w:rPr>
          <w:b w:val="false"/>
        </w:rPr>
        <w:t>68-B.67. [PROGRAM] Arctic Narwhal Monitoring Partnership. Initial schedule candidate; status shall be verified under Annex 68-E before represented as a completed or funded achievement.</w:t>
      </w:r>
    </w:p>
    <w:p>
      <w:pPr>
        <w:pStyle w:val="Normal"/>
      </w:pPr>
      <w:r>
        <w:rPr>
          <w:b w:val="false"/>
        </w:rPr>
        <w:t>68-B.68. [PROGRAM] Arctic Beluga Monitoring Partnership. Initial schedule candidate; status shall be verified under Annex 68-E before represented as a completed or funded achievement.</w:t>
      </w:r>
    </w:p>
    <w:p>
      <w:pPr>
        <w:pStyle w:val="Normal"/>
      </w:pPr>
      <w:r>
        <w:rPr>
          <w:b w:val="false"/>
        </w:rPr>
        <w:t>68-B.69. [PROGRAM] Baja Grey Whale Lagoon Stewardship. Initial schedule candidate; status shall be verified under Annex 68-E before represented as a completed or funded achievement.</w:t>
      </w:r>
    </w:p>
    <w:p>
      <w:pPr>
        <w:pStyle w:val="Normal"/>
      </w:pPr>
      <w:r>
        <w:rPr>
          <w:b w:val="false"/>
        </w:rPr>
        <w:t>68-B.70. [PROGRAM] Baja-to-Arctic Grey Whale Migration Monitoring. Initial schedule candidate; status shall be verified under Annex 68-E before represented as a completed or funded achievement.</w:t>
      </w:r>
    </w:p>
    <w:p>
      <w:pPr>
        <w:pStyle w:val="Normal"/>
      </w:pPr>
      <w:r>
        <w:rPr>
          <w:b w:val="false"/>
        </w:rPr>
        <w:t>68-B.71. [PROGRAM] Banderas Bay Humpback Protection Program. Initial schedule candidate; status shall be verified under Annex 68-E before represented as a completed or funded achievement.</w:t>
      </w:r>
    </w:p>
    <w:p>
      <w:pPr>
        <w:pStyle w:val="Normal"/>
      </w:pPr>
      <w:r>
        <w:rPr>
          <w:b w:val="false"/>
        </w:rPr>
        <w:t>68-B.72. [PROGRAM] Los Cabos Whale-Watching Standards. Initial schedule candidate; status shall be verified under Annex 68-E before represented as a completed or funded achievement.</w:t>
      </w:r>
    </w:p>
    <w:p>
      <w:pPr>
        <w:pStyle w:val="Normal"/>
      </w:pPr>
      <w:r>
        <w:rPr>
          <w:b w:val="false"/>
        </w:rPr>
        <w:t>68-B.73. [PROGRAM] Gulf of California Acoustic Baseline. Initial schedule candidate; status shall be verified under Annex 68-E before represented as a completed or funded achievement.</w:t>
      </w:r>
    </w:p>
    <w:p>
      <w:pPr>
        <w:pStyle w:val="Normal"/>
      </w:pPr>
      <w:r>
        <w:rPr>
          <w:b w:val="false"/>
        </w:rPr>
        <w:t>68-B.74. [PROGRAM] Gulf of California Shipping-Lane Assessment. Initial schedule candidate; status shall be verified under Annex 68-E before represented as a completed or funded achievement.</w:t>
      </w:r>
    </w:p>
    <w:p>
      <w:pPr>
        <w:pStyle w:val="Normal"/>
      </w:pPr>
      <w:r>
        <w:rPr>
          <w:b w:val="false"/>
        </w:rPr>
        <w:t>68-B.75. [PROGRAM] Gulf of Mexico Sperm Whale Monitoring. Initial schedule candidate; status shall be verified under Annex 68-E before represented as a completed or funded achievement.</w:t>
      </w:r>
    </w:p>
    <w:p>
      <w:pPr>
        <w:pStyle w:val="Normal"/>
      </w:pPr>
      <w:r>
        <w:rPr>
          <w:b w:val="false"/>
        </w:rPr>
        <w:t>68-B.76. [PROGRAM] Rice's Whale Recovery Cooperation. Initial schedule candidate; status shall be verified under Annex 68-E before represented as a completed or funded achievement.</w:t>
      </w:r>
    </w:p>
    <w:p>
      <w:pPr>
        <w:pStyle w:val="Normal"/>
      </w:pPr>
      <w:r>
        <w:rPr>
          <w:b w:val="false"/>
        </w:rPr>
        <w:t>68-B.77. [PROGRAM] Pacific Blue-Fin-Humpback Monitoring Line. Initial schedule candidate; status shall be verified under Annex 68-E before represented as a completed or funded achievement.</w:t>
      </w:r>
    </w:p>
    <w:p>
      <w:pPr>
        <w:pStyle w:val="Normal"/>
      </w:pPr>
      <w:r>
        <w:rPr>
          <w:b w:val="false"/>
        </w:rPr>
        <w:t>68-B.78. [PROGRAM] Pacific Large-Whale Strike Reduction Program. Initial schedule candidate; status shall be verified under Annex 68-E before represented as a completed or funded achievement.</w:t>
      </w:r>
    </w:p>
    <w:p>
      <w:pPr>
        <w:pStyle w:val="Normal"/>
      </w:pPr>
      <w:r>
        <w:rPr>
          <w:b w:val="false"/>
        </w:rPr>
        <w:t>68-B.79. [PROGRAM] Humpback Entanglement Response Program. Initial schedule candidate; status shall be verified under Annex 68-E before represented as a completed or funded achievement.</w:t>
      </w:r>
    </w:p>
    <w:p>
      <w:pPr>
        <w:pStyle w:val="Normal"/>
      </w:pPr>
      <w:r>
        <w:rPr>
          <w:b w:val="false"/>
        </w:rPr>
        <w:t>68-B.80. [PROGRAM] Regional PAM Glider Missions. Initial schedule candidate; status shall be verified under Annex 68-E before represented as a completed or funded achievement.</w:t>
      </w:r>
    </w:p>
    <w:p>
      <w:pPr>
        <w:pStyle w:val="Normal"/>
      </w:pPr>
      <w:r>
        <w:rPr>
          <w:b w:val="false"/>
        </w:rPr>
        <w:t>68-B.81. [PROGRAM] Whale-Safe Gear Demonstration Fisheries. Initial schedule candidate; status shall be verified under Annex 68-E before represented as a completed or funded achievement.</w:t>
      </w:r>
    </w:p>
    <w:p>
      <w:pPr>
        <w:pStyle w:val="Normal"/>
      </w:pPr>
      <w:r>
        <w:rPr>
          <w:b w:val="false"/>
        </w:rPr>
        <w:t>68-B.82. [PROGRAM] Ghost-Gear Recovery Campaigns. Initial schedule candidate; status shall be verified under Annex 68-E before represented as a completed or funded achievement.</w:t>
      </w:r>
    </w:p>
    <w:p>
      <w:pPr>
        <w:pStyle w:val="Normal"/>
      </w:pPr>
      <w:r>
        <w:rPr>
          <w:b w:val="false"/>
        </w:rPr>
        <w:t>68-B.83. [PROGRAM] Regional Disentanglement Training. Initial schedule candidate; status shall be verified under Annex 68-E before represented as a completed or funded achievement.</w:t>
      </w:r>
    </w:p>
    <w:p>
      <w:pPr>
        <w:pStyle w:val="Normal"/>
      </w:pPr>
      <w:r>
        <w:rPr>
          <w:b w:val="false"/>
        </w:rPr>
        <w:t>68-B.84. [PROGRAM] Whale-Safe Port Certification Pilots. Initial schedule candidate; status shall be verified under Annex 68-E before represented as a completed or funded achievement.</w:t>
      </w:r>
    </w:p>
    <w:p>
      <w:pPr>
        <w:pStyle w:val="Normal"/>
      </w:pPr>
      <w:r>
        <w:rPr>
          <w:b w:val="false"/>
        </w:rPr>
        <w:t>68-B.85. [PROGRAM] Quiet Ferry Demonstration Program. Initial schedule candidate; status shall be verified under Annex 68-E before represented as a completed or funded achievement.</w:t>
      </w:r>
    </w:p>
    <w:p>
      <w:pPr>
        <w:pStyle w:val="Normal"/>
      </w:pPr>
      <w:r>
        <w:rPr>
          <w:b w:val="false"/>
        </w:rPr>
        <w:t>68-B.86. [PROGRAM] Indigenous Hydrophone and Guardian Grants. Initial schedule candidate; status shall be verified under Annex 68-E before represented as a completed or funded achievement.</w:t>
      </w:r>
    </w:p>
    <w:p>
      <w:pPr>
        <w:pStyle w:val="Normal"/>
      </w:pPr>
      <w:r>
        <w:rPr>
          <w:b w:val="false"/>
        </w:rPr>
        <w:t>68-B.87. [PROGRAM] Cetacean Health and Disease Surveillance. Initial schedule candidate; status shall be verified under Annex 68-E before represented as a completed or funded achievement.</w:t>
      </w:r>
    </w:p>
    <w:p>
      <w:pPr>
        <w:pStyle w:val="Normal"/>
      </w:pPr>
      <w:r>
        <w:rPr>
          <w:b w:val="false"/>
        </w:rPr>
        <w:t>68-B.88. [PROGRAM] Whale Prey and Oceanography Survey. Initial schedule candidate; status shall be verified under Annex 68-E before represented as a completed or funded achievement.</w:t>
      </w:r>
    </w:p>
    <w:p>
      <w:pPr>
        <w:pStyle w:val="Normal"/>
      </w:pPr>
      <w:r>
        <w:rPr>
          <w:b w:val="false"/>
        </w:rPr>
        <w:t>68-B.89. [PROGRAM] Coastal Habitat Restoration for Cetacean Prey. Initial schedule candidate; status shall be verified under Annex 68-E before represented as a completed or funded achievement.</w:t>
      </w:r>
    </w:p>
    <w:p>
      <w:pPr>
        <w:pStyle w:val="Normal"/>
      </w:pPr>
      <w:r>
        <w:rPr>
          <w:b w:val="false"/>
        </w:rPr>
        <w:t>68-B.90. [PROGRAM] Annual State of the Whales Public Report. Initial schedule candidate; status shall be verified under Annex 68-E before represented as a completed or funded achievement.</w:t>
      </w:r>
    </w:p>
    <w:p>
      <w:pPr>
        <w:pStyle w:val="Heading2"/>
      </w:pPr>
      <w:bookmarkStart w:id="902242" w:name="_Toc300002241"/>
      <w:r>
        <w:t>ANNEX 68-C: OPTIONAL DEVELOPMENT AND CONTROLLED-MECHANISM RESERVE (28 ITEMS)</w:t>
      </w:r>
      <w:bookmarkEnd w:id="902242"/>
    </w:p>
    <w:p>
      <w:pPr>
        <w:pStyle w:val="Normal"/>
      </w:pPr>
      <w:r>
        <w:rPr>
          <w:b w:val="false"/>
        </w:rPr>
        <w:t>This Annex is expressly optional. Listing recognizes a concept for research, validation, feasibility work or later domestic authorization. It creates no duty to deploy, fund, approve, transfer animals, close waters, restrict defence operations or alter permits.</w:t>
      </w:r>
    </w:p>
    <w:p>
      <w:pPr>
        <w:pStyle w:val="Normal"/>
      </w:pPr>
      <w:r>
        <w:rPr>
          <w:b w:val="false"/>
        </w:rPr>
        <w:t>68-C.1. [DEVELOPMENT] Continental Acoustic Noise-Budget Pilot. May proceed through research, demonstration or feasibility work; no broader obligation arises absent later authorization.</w:t>
      </w:r>
    </w:p>
    <w:p>
      <w:pPr>
        <w:pStyle w:val="Normal"/>
      </w:pPr>
      <w:r>
        <w:rPr>
          <w:b w:val="false"/>
        </w:rPr>
        <w:t>68-C.2. [DEVELOPMENT] Advanced Thermal Whale Detection. May proceed through research, demonstration or feasibility work; no broader obligation arises absent later authorization.</w:t>
      </w:r>
    </w:p>
    <w:p>
      <w:pPr>
        <w:pStyle w:val="Normal"/>
      </w:pPr>
      <w:r>
        <w:rPr>
          <w:b w:val="false"/>
        </w:rPr>
        <w:t>68-C.3. [DEVELOPMENT] Operational eDNA Presence Detection. May proceed through research, demonstration or feasibility work; no broader obligation arises absent later authorization.</w:t>
      </w:r>
    </w:p>
    <w:p>
      <w:pPr>
        <w:pStyle w:val="Normal"/>
      </w:pPr>
      <w:r>
        <w:rPr>
          <w:b w:val="false"/>
        </w:rPr>
        <w:t>68-C.4. [DEVELOPMENT] Next-Generation Satellite Cetacean Detection. May proceed through research, demonstration or feasibility work; no broader obligation arises absent later authorization.</w:t>
      </w:r>
    </w:p>
    <w:p>
      <w:pPr>
        <w:pStyle w:val="Normal"/>
      </w:pPr>
      <w:r>
        <w:rPr>
          <w:b w:val="false"/>
        </w:rPr>
        <w:t>68-C.5. [DEVELOPMENT] Predictive Prey-Bloom Whale Alerts. May proceed through research, demonstration or feasibility work; no broader obligation arises absent later authorization.</w:t>
      </w:r>
    </w:p>
    <w:p>
      <w:pPr>
        <w:pStyle w:val="Normal"/>
      </w:pPr>
      <w:r>
        <w:rPr>
          <w:b w:val="false"/>
        </w:rPr>
        <w:t>68-C.6. [DEVELOPMENT] Advanced Quiet-Propulsion Demonstrations. May proceed through research, demonstration or feasibility work; no broader obligation arises absent later authorization.</w:t>
      </w:r>
    </w:p>
    <w:p>
      <w:pPr>
        <w:pStyle w:val="Normal"/>
      </w:pPr>
      <w:r>
        <w:rPr>
          <w:b w:val="false"/>
        </w:rPr>
        <w:t>68-C.7. [DEVELOPMENT] Marine-Energy Wildlife Detection Technology. May proceed through research, demonstration or feasibility work; no broader obligation arises absent later authorization.</w:t>
      </w:r>
    </w:p>
    <w:p>
      <w:pPr>
        <w:pStyle w:val="Normal"/>
      </w:pPr>
      <w:r>
        <w:rPr>
          <w:b w:val="false"/>
        </w:rPr>
        <w:t>68-C.8. [DEVELOPMENT] Novel Sanctuary Infrastructure Demonstration. May proceed through research, demonstration or feasibility work; no broader obligation arises absent later authorization.</w:t>
      </w:r>
    </w:p>
    <w:p>
      <w:pPr>
        <w:pStyle w:val="Normal"/>
      </w:pPr>
      <w:r>
        <w:rPr>
          <w:b w:val="false"/>
        </w:rPr>
        <w:t>68-C.9. [DEVELOPMENT] Cumulative-Stressor Regulatory Modeling. May proceed through research, demonstration or feasibility work; no broader obligation arises absent later authorization.</w:t>
      </w:r>
    </w:p>
    <w:p>
      <w:pPr>
        <w:pStyle w:val="Normal"/>
      </w:pPr>
      <w:r>
        <w:rPr>
          <w:b w:val="false"/>
        </w:rPr>
        <w:t>68-C.10. [DEVELOPMENT] Automated Dynamic Closure Decision Support. May proceed through research, demonstration or feasibility work; no broader obligation arises absent later authorization.</w:t>
      </w:r>
    </w:p>
    <w:p>
      <w:pPr>
        <w:pStyle w:val="Normal"/>
      </w:pPr>
      <w:r>
        <w:rPr>
          <w:b w:val="false"/>
        </w:rPr>
        <w:t>68-C.11. [DEVELOPMENT] Whale-Safe Autonomous Vessel Navigation. May proceed through research, demonstration or feasibility work; no broader obligation arises absent later authorization.</w:t>
      </w:r>
    </w:p>
    <w:p>
      <w:pPr>
        <w:pStyle w:val="Normal"/>
      </w:pPr>
      <w:r>
        <w:rPr>
          <w:b w:val="false"/>
        </w:rPr>
        <w:t>68-C.12. [DEVELOPMENT] Low-Impact Tagging Technology. May proceed through research, demonstration or feasibility work; no broader obligation arises absent later authorization.</w:t>
      </w:r>
    </w:p>
    <w:p>
      <w:pPr>
        <w:pStyle w:val="Normal"/>
      </w:pPr>
      <w:r>
        <w:rPr>
          <w:b w:val="false"/>
        </w:rPr>
        <w:t>68-C.13. [DEVELOPMENT] Acoustic Refuge Design Pilots. May proceed through research, demonstration or feasibility work; no broader obligation arises absent later authorization.</w:t>
      </w:r>
    </w:p>
    <w:p>
      <w:pPr>
        <w:pStyle w:val="Normal"/>
      </w:pPr>
      <w:r>
        <w:rPr>
          <w:b w:val="false"/>
        </w:rPr>
        <w:t>68-C.14. [DEVELOPMENT] Cetacean-Sensitive Desalination Intake Demonstration. May proceed through research, demonstration or feasibility work; no broader obligation arises absent later authorization.</w:t>
      </w:r>
    </w:p>
    <w:p>
      <w:pPr>
        <w:pStyle w:val="Normal"/>
      </w:pPr>
      <w:r>
        <w:rPr>
          <w:b w:val="false"/>
        </w:rPr>
        <w:t>68-C.15. [DEVELOPMENT] Dynamic Anchorage Management Technology. May proceed through research, demonstration or feasibility work; no broader obligation arises absent later authorization.</w:t>
      </w:r>
    </w:p>
    <w:p>
      <w:pPr>
        <w:pStyle w:val="Normal"/>
      </w:pPr>
      <w:r>
        <w:rPr>
          <w:b w:val="false"/>
        </w:rPr>
        <w:t>68-C.16. [DEVELOPMENT] Cross-Border Digital Whale Twin Research. May proceed through research, demonstration or feasibility work; no broader obligation arises absent later authorization.</w:t>
      </w:r>
    </w:p>
    <w:p>
      <w:pPr>
        <w:pStyle w:val="Normal"/>
      </w:pPr>
      <w:r>
        <w:rPr>
          <w:b w:val="false"/>
        </w:rPr>
        <w:t>68-C.17. [DEVELOPMENT] Advanced Carcass Detection from Space. May proceed through research, demonstration or feasibility work; no broader obligation arises absent later authorization.</w:t>
      </w:r>
    </w:p>
    <w:p>
      <w:pPr>
        <w:pStyle w:val="Normal"/>
      </w:pPr>
      <w:r>
        <w:rPr>
          <w:b w:val="false"/>
        </w:rPr>
        <w:t>68-C.18. [DEVELOPMENT] Adaptive Tourism Capacity Management. May proceed through research, demonstration or feasibility work; no broader obligation arises absent later authorization.</w:t>
      </w:r>
    </w:p>
    <w:p>
      <w:pPr>
        <w:pStyle w:val="Normal"/>
      </w:pPr>
      <w:r>
        <w:rPr>
          <w:b w:val="false"/>
        </w:rPr>
        <w:t>68-C.19. [DEVELOPMENT] Climate-Responsive Corridor Forecasting. May proceed through research, demonstration or feasibility work; no broader obligation arises absent later authorization.</w:t>
      </w:r>
    </w:p>
    <w:p>
      <w:pPr>
        <w:pStyle w:val="Normal"/>
      </w:pPr>
      <w:r>
        <w:rPr>
          <w:b w:val="false"/>
        </w:rPr>
        <w:t>68-C.20. [DEVELOPMENT] Experimental Cetacean Health Biomarker Platform. May proceed through research, demonstration or feasibility work; no broader obligation arises absent later authorization.</w:t>
      </w:r>
    </w:p>
    <w:p>
      <w:pPr>
        <w:pStyle w:val="Normal"/>
      </w:pPr>
      <w:r>
        <w:rPr>
          <w:b w:val="false"/>
        </w:rPr>
        <w:t>68-C.21. [CONTROLLED] Highly Automated Dynamic Closures Based Predominantly on Remote Sensing. Subject to W1–W7 controlled-capability progression and all applicable scientific, legal, rights, welfare, security and environmental reviews.</w:t>
      </w:r>
    </w:p>
    <w:p>
      <w:pPr>
        <w:pStyle w:val="Normal"/>
      </w:pPr>
      <w:r>
        <w:rPr>
          <w:b w:val="false"/>
        </w:rPr>
        <w:t>68-C.22. [CONTROLLED] Medically Complex Sanctuary Transfers. Subject to W1–W7 controlled-capability progression and all applicable scientific, legal, rights, welfare, security and environmental reviews.</w:t>
      </w:r>
    </w:p>
    <w:p>
      <w:pPr>
        <w:pStyle w:val="Normal"/>
      </w:pPr>
      <w:r>
        <w:rPr>
          <w:b w:val="false"/>
        </w:rPr>
        <w:t>68-C.23. [CONTROLLED] Large-Scale Captive Beluga Sanctuary Transition. Subject to W1–W7 controlled-capability progression and all applicable scientific, legal, rights, welfare, security and environmental reviews.</w:t>
      </w:r>
    </w:p>
    <w:p>
      <w:pPr>
        <w:pStyle w:val="Normal"/>
      </w:pPr>
      <w:r>
        <w:rPr>
          <w:b w:val="false"/>
        </w:rPr>
        <w:t>68-C.24. [CONTROLLED] Operational Military Sonar Restrictions. Subject to W1–W7 controlled-capability progression and all applicable scientific, legal, rights, welfare, security and environmental reviews.</w:t>
      </w:r>
    </w:p>
    <w:p>
      <w:pPr>
        <w:pStyle w:val="Normal"/>
      </w:pPr>
      <w:r>
        <w:rPr>
          <w:b w:val="false"/>
        </w:rPr>
        <w:t>68-C.25. [CONTROLLED] Aggregate Underwater Acoustic Noise Budgets. Subject to W1–W7 controlled-capability progression and all applicable scientific, legal, rights, welfare, security and environmental reviews.</w:t>
      </w:r>
    </w:p>
    <w:p>
      <w:pPr>
        <w:pStyle w:val="Normal"/>
      </w:pPr>
      <w:r>
        <w:rPr>
          <w:b w:val="false"/>
        </w:rPr>
        <w:t>68-C.26. [CONTROLLED] Assisted Ecological Intervention for Collapsing Populations. Subject to W1–W7 controlled-capability progression and all applicable scientific, legal, rights, welfare, security and environmental reviews.</w:t>
      </w:r>
    </w:p>
    <w:p>
      <w:pPr>
        <w:pStyle w:val="Normal"/>
      </w:pPr>
      <w:r>
        <w:rPr>
          <w:b w:val="false"/>
        </w:rPr>
        <w:t>68-C.27. [CONTROLLED] Automated Offshore-Energy Shutdown Systems. Subject to W1–W7 controlled-capability progression and all applicable scientific, legal, rights, welfare, security and environmental reviews.</w:t>
      </w:r>
    </w:p>
    <w:p>
      <w:pPr>
        <w:pStyle w:val="Normal"/>
      </w:pPr>
      <w:r>
        <w:rPr>
          <w:b w:val="false"/>
        </w:rPr>
        <w:t>68-C.28. [CONTROLLED] Emergency Extirpation-Response Measures Beyond the Chapter 68 Planning Duty. Subject to W1–W7 controlled-capability progression and all applicable scientific, legal, rights, welfare, security and environmental reviews.</w:t>
      </w:r>
    </w:p>
    <w:p>
      <w:pPr>
        <w:pStyle w:val="Normal"/>
      </w:pPr>
      <w:r>
        <w:rPr>
          <w:b w:val="false"/>
        </w:rPr>
        <w:t>W1 Concept Recognized → W2 Scientific Validity Established → W3 Legal and Rights Authority Confirmed → W4 Welfare / Security / Environmental Review Complete → W5 Limited Pilot Authorized → W6 Independent Evaluation Complete → W7 Broader Program Eligibility. Successful completion permits eligibility; it does not mandate deployment.</w:t>
      </w:r>
    </w:p>
    <w:p>
      <w:pPr>
        <w:pStyle w:val="Heading2"/>
      </w:pPr>
      <w:bookmarkStart w:id="902243" w:name="_Toc300002242"/>
      <w:r>
        <w:t>ANNEX 68-D: VISIBLE GREAT WHALE COMPACT WINS (32-ITEM OVERLAY)</w:t>
      </w:r>
      <w:bookmarkEnd w:id="902243"/>
    </w:p>
    <w:p>
      <w:pPr>
        <w:pStyle w:val="Normal"/>
      </w:pPr>
      <w:r>
        <w:rPr>
          <w:b w:val="false"/>
        </w:rPr>
        <w:t>The following labels are non-operative visibility overlays. They may summarize verified underlying work but create no additional obligation, funding promise, project approval or biological guarantee.</w:t>
      </w:r>
    </w:p>
    <w:p>
      <w:pPr>
        <w:pStyle w:val="Normal"/>
      </w:pPr>
      <w:r>
        <w:rPr>
          <w:b w:val="false"/>
        </w:rPr>
        <w:t>68-D.1. ★ Great Whale Compact. Visibility designation only; underlying status and claims remain subject to Annex 68-E.</w:t>
      </w:r>
    </w:p>
    <w:p>
      <w:pPr>
        <w:pStyle w:val="Normal"/>
      </w:pPr>
      <w:r>
        <w:rPr>
          <w:b w:val="false"/>
        </w:rPr>
        <w:t>68-D.2. ★ Continental Listening Network. Visibility designation only; underlying status and claims remain subject to Annex 68-E.</w:t>
      </w:r>
    </w:p>
    <w:p>
      <w:pPr>
        <w:pStyle w:val="Normal"/>
      </w:pPr>
      <w:r>
        <w:rPr>
          <w:b w:val="false"/>
        </w:rPr>
        <w:t>68-D.3. ★ Right Whale Safe Passage. Visibility designation only; underlying status and claims remain subject to Annex 68-E.</w:t>
      </w:r>
    </w:p>
    <w:p>
      <w:pPr>
        <w:pStyle w:val="Normal"/>
      </w:pPr>
      <w:r>
        <w:rPr>
          <w:b w:val="false"/>
        </w:rPr>
        <w:t>68-D.4. ★ Untangled North America. Visibility designation only; underlying status and claims remain subject to Annex 68-E.</w:t>
      </w:r>
    </w:p>
    <w:p>
      <w:pPr>
        <w:pStyle w:val="Normal"/>
      </w:pPr>
      <w:r>
        <w:rPr>
          <w:b w:val="false"/>
        </w:rPr>
        <w:t>68-D.5. ★ Quiet Passage Corridors. Visibility designation only; underlying status and claims remain subject to Annex 68-E.</w:t>
      </w:r>
    </w:p>
    <w:p>
      <w:pPr>
        <w:pStyle w:val="Normal"/>
      </w:pPr>
      <w:r>
        <w:rPr>
          <w:b w:val="false"/>
        </w:rPr>
        <w:t>68-D.6. ★ Southern Resident Orca Recovery Corridor. Visibility designation only; underlying status and claims remain subject to Annex 68-E.</w:t>
      </w:r>
    </w:p>
    <w:p>
      <w:pPr>
        <w:pStyle w:val="Normal"/>
      </w:pPr>
      <w:r>
        <w:rPr>
          <w:b w:val="false"/>
        </w:rPr>
        <w:t>68-D.7. ★ Beluga Estuary Initiative. Visibility designation only; underlying status and claims remain subject to Annex 68-E.</w:t>
      </w:r>
    </w:p>
    <w:p>
      <w:pPr>
        <w:pStyle w:val="Normal"/>
      </w:pPr>
      <w:r>
        <w:rPr>
          <w:b w:val="false"/>
        </w:rPr>
        <w:t>68-D.8. ★ Three Lagoons Grey Whale Partnership. Visibility designation only; underlying status and claims remain subject to Annex 68-E.</w:t>
      </w:r>
    </w:p>
    <w:p>
      <w:pPr>
        <w:pStyle w:val="Normal"/>
      </w:pPr>
      <w:r>
        <w:rPr>
          <w:b w:val="false"/>
        </w:rPr>
        <w:t>68-D.9. ★ Whale Rescue Network. Visibility designation only; underlying status and claims remain subject to Annex 68-E.</w:t>
      </w:r>
    </w:p>
    <w:p>
      <w:pPr>
        <w:pStyle w:val="Normal"/>
      </w:pPr>
      <w:r>
        <w:rPr>
          <w:b w:val="false"/>
        </w:rPr>
        <w:t>68-D.10. ★ Sea to Sanctuary Pathway. Visibility designation only; underlying status and claims remain subject to Annex 68-E.</w:t>
      </w:r>
    </w:p>
    <w:p>
      <w:pPr>
        <w:pStyle w:val="Normal"/>
      </w:pPr>
      <w:r>
        <w:rPr>
          <w:b w:val="false"/>
        </w:rPr>
        <w:t>68-D.11. ★ Last Generation Captive Cetacean Initiative. Visibility designation only; underlying status and claims remain subject to Annex 68-E.</w:t>
      </w:r>
    </w:p>
    <w:p>
      <w:pPr>
        <w:pStyle w:val="Normal"/>
      </w:pPr>
      <w:r>
        <w:rPr>
          <w:b w:val="false"/>
        </w:rPr>
        <w:t>68-D.12. ★ Beluga Health and Nutrition Science Initiative. Visibility designation only; underlying status and claims remain subject to Annex 68-E.</w:t>
      </w:r>
    </w:p>
    <w:p>
      <w:pPr>
        <w:pStyle w:val="Normal"/>
      </w:pPr>
      <w:r>
        <w:rPr>
          <w:b w:val="false"/>
        </w:rPr>
        <w:t>68-D.13. ★ Whale-Safe Ports. Visibility designation only; underlying status and claims remain subject to Annex 68-E.</w:t>
      </w:r>
    </w:p>
    <w:p>
      <w:pPr>
        <w:pStyle w:val="Normal"/>
      </w:pPr>
      <w:r>
        <w:rPr>
          <w:b w:val="false"/>
        </w:rPr>
        <w:t>68-D.14. ★ Quiet Fleet Initiative. Visibility designation only; underlying status and claims remain subject to Annex 68-E.</w:t>
      </w:r>
    </w:p>
    <w:p>
      <w:pPr>
        <w:pStyle w:val="Normal"/>
      </w:pPr>
      <w:r>
        <w:rPr>
          <w:b w:val="false"/>
        </w:rPr>
        <w:t>68-D.15. ★ Great Whale Map. Visibility designation only; underlying status and claims remain subject to Annex 68-E.</w:t>
      </w:r>
    </w:p>
    <w:p>
      <w:pPr>
        <w:pStyle w:val="Normal"/>
      </w:pPr>
      <w:r>
        <w:rPr>
          <w:b w:val="false"/>
        </w:rPr>
        <w:t>68-D.16. ★ State of the Whales Scorecard. Visibility designation only; underlying status and claims remain subject to Annex 68-E.</w:t>
      </w:r>
    </w:p>
    <w:p>
      <w:pPr>
        <w:pStyle w:val="Normal"/>
      </w:pPr>
      <w:r>
        <w:rPr>
          <w:b w:val="false"/>
        </w:rPr>
        <w:t>68-D.17. ★ Arctic Cetacean Stewardship Network. Visibility designation only; underlying status and claims remain subject to Annex 68-E.</w:t>
      </w:r>
    </w:p>
    <w:p>
      <w:pPr>
        <w:pStyle w:val="Normal"/>
      </w:pPr>
      <w:r>
        <w:rPr>
          <w:b w:val="false"/>
        </w:rPr>
        <w:t>68-D.18. ★ Pacific Giants Highway. Visibility designation only; underlying status and claims remain subject to Annex 68-E.</w:t>
      </w:r>
    </w:p>
    <w:p>
      <w:pPr>
        <w:pStyle w:val="Normal"/>
      </w:pPr>
      <w:r>
        <w:rPr>
          <w:b w:val="false"/>
        </w:rPr>
        <w:t>68-D.19. ★ Gulf of California Cetacean Network. Visibility designation only; underlying status and claims remain subject to Annex 68-E.</w:t>
      </w:r>
    </w:p>
    <w:p>
      <w:pPr>
        <w:pStyle w:val="Normal"/>
      </w:pPr>
      <w:r>
        <w:rPr>
          <w:b w:val="false"/>
        </w:rPr>
        <w:t>68-D.20. ★ Whale-Safe Fisheries Transition. Visibility designation only; underlying status and claims remain subject to Annex 68-E.</w:t>
      </w:r>
    </w:p>
    <w:p>
      <w:pPr>
        <w:pStyle w:val="Normal"/>
      </w:pPr>
      <w:r>
        <w:rPr>
          <w:b w:val="false"/>
        </w:rPr>
        <w:t>68-D.21. ★ Indigenous-Led Whale Stewardship. Visibility designation only; underlying status and claims remain subject to Annex 68-E.</w:t>
      </w:r>
    </w:p>
    <w:p>
      <w:pPr>
        <w:pStyle w:val="Normal"/>
      </w:pPr>
      <w:r>
        <w:rPr>
          <w:b w:val="false"/>
        </w:rPr>
        <w:t>68-D.22. ★ Clean Waters, Full Tables. Visibility designation only; underlying status and claims remain subject to Annex 68-E.</w:t>
      </w:r>
    </w:p>
    <w:p>
      <w:pPr>
        <w:pStyle w:val="Normal"/>
      </w:pPr>
      <w:r>
        <w:rPr>
          <w:b w:val="false"/>
        </w:rPr>
        <w:t>68-D.23. ★ Moving Corridors. Visibility designation only; underlying status and claims remain subject to Annex 68-E.</w:t>
      </w:r>
    </w:p>
    <w:p>
      <w:pPr>
        <w:pStyle w:val="Normal"/>
      </w:pPr>
      <w:r>
        <w:rPr>
          <w:b w:val="false"/>
        </w:rPr>
        <w:t>68-D.24. ★ Safer Ferries for Whales. Visibility designation only; underlying status and claims remain subject to Annex 68-E.</w:t>
      </w:r>
    </w:p>
    <w:p>
      <w:pPr>
        <w:pStyle w:val="Normal"/>
      </w:pPr>
      <w:r>
        <w:rPr>
          <w:b w:val="false"/>
        </w:rPr>
        <w:t>68-D.25. ★ Ghost Gear Recovery. Visibility designation only; underlying status and claims remain subject to Annex 68-E.</w:t>
      </w:r>
    </w:p>
    <w:p>
      <w:pPr>
        <w:pStyle w:val="Normal"/>
      </w:pPr>
      <w:r>
        <w:rPr>
          <w:b w:val="false"/>
        </w:rPr>
        <w:t>68-D.26. ★ Whale-Safe Tourism. Visibility designation only; underlying status and claims remain subject to Annex 68-E.</w:t>
      </w:r>
    </w:p>
    <w:p>
      <w:pPr>
        <w:pStyle w:val="Normal"/>
      </w:pPr>
      <w:r>
        <w:rPr>
          <w:b w:val="false"/>
        </w:rPr>
        <w:t>68-D.27. ★ Quiet Construction Near Whale Habitat. Visibility designation only; underlying status and claims remain subject to Annex 68-E.</w:t>
      </w:r>
    </w:p>
    <w:p>
      <w:pPr>
        <w:pStyle w:val="Normal"/>
      </w:pPr>
      <w:r>
        <w:rPr>
          <w:b w:val="false"/>
        </w:rPr>
        <w:t>68-D.28. ★ Open Whale Science. Visibility designation only; underlying status and claims remain subject to Annex 68-E.</w:t>
      </w:r>
    </w:p>
    <w:p>
      <w:pPr>
        <w:pStyle w:val="Normal"/>
      </w:pPr>
      <w:r>
        <w:rPr>
          <w:b w:val="false"/>
        </w:rPr>
        <w:t>68-D.29. ★ Cetacean Carcass Forensics. Visibility designation only; underlying status and claims remain subject to Annex 68-E.</w:t>
      </w:r>
    </w:p>
    <w:p>
      <w:pPr>
        <w:pStyle w:val="Normal"/>
      </w:pPr>
      <w:r>
        <w:rPr>
          <w:b w:val="false"/>
        </w:rPr>
        <w:t>68-D.30. ★ Fisher Transition Support. Visibility designation only; underlying status and claims remain subject to Annex 68-E.</w:t>
      </w:r>
    </w:p>
    <w:p>
      <w:pPr>
        <w:pStyle w:val="Normal"/>
      </w:pPr>
      <w:r>
        <w:rPr>
          <w:b w:val="false"/>
        </w:rPr>
        <w:t>68-D.31. ★ Mexico's Mar de Ballenas Portfolio. Visibility designation only; underlying status and claims remain subject to Annex 68-E.</w:t>
      </w:r>
    </w:p>
    <w:p>
      <w:pPr>
        <w:pStyle w:val="Normal"/>
      </w:pPr>
      <w:r>
        <w:rPr>
          <w:b w:val="false"/>
        </w:rPr>
        <w:t>68-D.32. ★ Cetacean Emergency Recovery Mechanism. Visibility designation only; underlying status and claims remain subject to Annex 68-E.</w:t>
      </w:r>
    </w:p>
    <w:p>
      <w:pPr>
        <w:pStyle w:val="Heading2"/>
      </w:pPr>
      <w:bookmarkStart w:id="902244" w:name="_Toc300002243"/>
      <w:r>
        <w:t>ANNEX 68-E: SCIENTIFIC, PROJECT, CLAIM AND RESEARCH VERIFICATION</w:t>
      </w:r>
      <w:bookmarkEnd w:id="902244"/>
    </w:p>
    <w:p>
      <w:pPr>
        <w:pStyle w:val="Normal"/>
      </w:pPr>
      <w:r>
        <w:rPr>
          <w:b w:val="false"/>
        </w:rPr>
        <w:t>G1 Candidate Identified → G2 Program or Project Existence Verified → G3 Legal and Scientific Basis Verified → G4 Funding or Implementing Authority Verified → G5 Implementation Path Verified → G6 Schedule Ready. No named project, funding amount, population figure, date, technology claim or outcome shall be represented as verified merely because it appears in an ore list, draft, public announcement or visibility overlay.</w:t>
      </w:r>
    </w:p>
    <w:p>
      <w:pPr>
        <w:pStyle w:val="Normal"/>
      </w:pPr>
      <w:r>
        <w:rPr>
          <w:b w:val="false"/>
        </w:rPr>
        <w:t>Beluga Hydration Research Firewall. The Beluga Health and Nutrition Science Initiative may examine dietary free-water availability, prey storage duration and conditions, thawing practices, thaw-drip, prey moisture, nutritional status, hydration biomarkers and resilience during naturally occurring periods of reduced appetite. Nothing in this Agreement establishes that frozen or frozen-thawed prey causes chronic dehydration or any particular morbidity or mortality in belugas or other cetaceans. Research shall not deliberately dehydrate or fast cetaceans for purposes of this program.</w:t>
      </w:r>
    </w:p>
    <w:p>
      <w:pPr>
        <w:pStyle w:val="Normal"/>
      </w:pPr>
      <w:r>
        <w:rPr>
          <w:b w:val="false"/>
        </w:rPr>
        <w:t>Biological Outcome Firewall. Population abundance, calf production, adult-female survival, mortality, serious injury and similar biological measures are performance indicators and escalation signals unless an operative provision expressly states otherwise. A Party does not breach this Chapter merely because a biological population outcome falls short despite good-faith implementation of applicable obligations.</w:t>
      </w:r>
    </w:p>
    <w:p>
      <w:pPr>
        <w:pStyle w:val="Normal"/>
      </w:pPr>
      <w:r>
        <w:rPr>
          <w:b w:val="false"/>
        </w:rPr>
        <w:t>No Double Counting. A project, payment, procurement opportunity, conservation action or research program may not be counted more than once as new consideration or a new public achievement unless the claimed components are genuinely distinct and separately verified.</w:t>
      </w:r>
    </w:p>
    <w:p>
      <w:pPr>
        <w:pStyle w:val="Normal"/>
      </w:pPr>
      <w:r>
        <w:t>E-2I. Version 8.7: Great Whale Compact Integration. Added Chapter 68, Great Whale Compact: North American Cetacean Recovery, Safety and Stewardship; 49 cornerstone obligations; Annex 68-A with 139 operational mechanisms; Annex 68-B with 90 initial Flagship, Anchor and Program schedule candidates; Annex 68-C with 20 Development and 8 Controlled optional mechanisms; Annex 68-D with 32 non-operative visible-win labels; and Annex 68-E scientific, project, claim and research verification. The captive-beluga dietary-water and frozen-prey concept is preserved solely as a high-priority research hypothesis with an express non-causation and no-deliberate-dehydration/fasting firewall.</w:t>
      </w:r>
    </w:p>
    <w:p>
      <w:pPr>
        <w:pStyle w:val="Normal"/>
      </w:pPr>
      <w:r>
        <w:t>E-2J. Version 8.8: Continuity Precision Audit. Reconciled legacy duration and withdrawal text with the operative No-Fade architecture: Article 34.6 now states the 12-month orderly-withdrawal minimum and cross-references Articles 34.F–34.M; the consolidated Article 34.7 now states indefinite duration and modernization-not-renewal directly; removed residual 16-year-extension language from Article 34.B; corrected Chapter 36 and Chapter 48 references that still treated review as an extension decision; preserved historical reproduced instruments where their original wording is retained for traceability. No substantive change was made to the tariff-lock, Cothrom, REX/anti-evasion, cure, step-back, restoration, or No Uncompensated Front-Loading architecture.</w:t>
      </w:r>
    </w:p>
    <w:p>
      <w:pPr>
        <w:pStyle w:val="Normal"/>
      </w:pPr>
      <w:r>
        <w:t>E-2K. Version 8.9: Legislative Withdrawal and Adversarial-Review Hardening. Added Article 34.N requiring national-legislative approval before withdrawal becomes effective, including an Act of Congress enacted into law for the United States, an Act of Parliament for Canada, and constitutionally required legislative approval for Mexico; added Article 34.O prohibiting constructive withdrawal and functional evasion while preserving lawful ordinary disputes and sovereign exit; added Article 34.P severability and constitutional-savings protection; added Article 34.Q clarifying domestic sovereignty and the limited mandate of treaty bodies; added plain-language No Amnesty/No Immigration Entitlement, No Origin Laundering Through Transit or Superficial Processing, and External Trade Defense Preserved clauses. Existing No-Fade, tariff-lock, REX, Cothrom, cure, step-back, restoration, and accrued-obligation architecture remains intact.</w:t>
      </w:r>
    </w:p>
    <w:p>
      <w:pPr>
        <w:pStyle w:val="Heading1"/>
      </w:pPr>
      <w:bookmarkStart w:id="902245" w:name="_Toc300002244"/>
      <w:r>
        <w:t>AMENDMENT LEDGER: NORTH AMERICAN ECONOMIC SECURITY AND TRADE MODERNIZATION AGREEMENT v8.9</w:t>
      </w:r>
      <w:bookmarkEnd w:id="902245"/>
    </w:p>
    <w:p>
      <w:pPr>
        <w:pStyle w:val="Normal"/>
      </w:pPr>
      <w:r>
        <w:t>E-2E: Chapter 66 added: North American Shield, Fentanyl, Precursor and Border Security Compact. Establishes 245 active security mechanisms organized as 41 cornerstone obligations, 132 operational-annex mechanisms, 66 national implementation-schedule categories, and 6 controlled pilots; adds a 24-item visible-win overlay; preserves exclusive national command, privacy and civil-liberties firewalls, reciprocal firearms and illicit-flow cooperation, legitimate-trade facilitation, the Security Performance Safe Harbor, Covered-Rationale Exhaustion, and proportional Shield-specific cure/step-back/restoration architecture.</w:t>
      </w:r>
    </w:p>
    <w:p>
      <w:pPr>
        <w:pStyle w:val="Heading2"/>
      </w:pPr>
      <w:bookmarkStart w:id="902246" w:name="_Toc300002245"/>
      <w:r>
        <w:t>PACKAGE V: DURABILITY, PROCEDURAL EQUALITY, AND FRICTION REDUCTION (v4.2)</w:t>
      </w:r>
      <w:bookmarkEnd w:id="902246"/>
    </w:p>
    <w:p>
      <w:pPr>
        <w:pStyle w:val="Heading3"/>
      </w:pPr>
      <w:r>
        <w:t>V-1. Article 34.7: Indefinite Duration and Modernization Review</w:t>
      </w:r>
    </w:p>
    <w:p>
      <w:pPr>
        <w:pStyle w:val="Heading3"/>
      </w:pPr>
      <w:r>
        <w:t>V-2. Article 34.F: Orderly Withdrawal and Reliance Transition</w:t>
      </w:r>
    </w:p>
    <w:p>
      <w:pPr>
        <w:pStyle w:val="Heading3"/>
      </w:pPr>
      <w:r>
        <w:t>V-3. Articles 35.30–35.32: No-Fade, Cure Ladder, and Extraordinary Measures</w:t>
      </w:r>
    </w:p>
    <w:p>
      <w:pPr>
        <w:pStyle w:val="Heading3"/>
      </w:pPr>
      <w:r>
        <w:t>V-4. Articles 31.F–31.H: Procedural Equality and Urgent Dispute Resolution</w:t>
      </w:r>
    </w:p>
    <w:p>
      <w:pPr>
        <w:pStyle w:val="Heading3"/>
      </w:pPr>
      <w:r>
        <w:t>V-5. Articles 27.A–27.B: Anti-Corruption Enforcement and Cure</w:t>
      </w:r>
    </w:p>
    <w:p>
      <w:pPr>
        <w:pStyle w:val="Heading3"/>
      </w:pPr>
      <w:r>
        <w:t>V-6. Articles 28.A–28.C: Regulatory Equivalence and Trade Friction Reduction</w:t>
      </w:r>
    </w:p>
    <w:p>
      <w:pPr>
        <w:pStyle w:val="Heading3"/>
      </w:pPr>
      <w:r>
        <w:t>V-7. Articles 29.A–29.C: Transparency, Disclosure, and Advance-Ruling Reliance</w:t>
      </w:r>
    </w:p>
    <w:p>
      <w:pPr>
        <w:pStyle w:val="Heading3"/>
      </w:pPr>
      <w:r>
        <w:t>V-8. Enforcement Architecture: Cure-First and Narrowly Targeted Remedies</w:t>
      </w:r>
    </w:p>
    <w:p>
      <w:pPr>
        <w:pStyle w:val="Normal"/>
      </w:pPr>
      <w:r>
        <w:t>PACKAGE L: IMPLEMENTATION PRECISION AND REPLICABILITY (v3.1). Clarifies the closed universe of special origin procedures; preserves low-value treatment during disputes; links discriminatory alcohol measures to substitute-measure discipline; creates Annex 4-E for non-originating automotive-content valuation and transition; standardizes circular-production records; provides independent SME repeat-audit review; strengthens roster integrity; allocates evidentiary burdens without reversing the complainant’s ultimate burden; defines frivolous allegations; makes automatic consequences self-executing after a final trigger and short ministerial period; hardens Annex 35-A with replicability, causation, methodological hierarchy, sensitivity analysis and independent replication; creates Annex 34-F implementation milestones; and confirms the non-operative status of this Ledger.</w:t>
      </w:r>
    </w:p>
    <w:p>
      <w:pPr>
        <w:pStyle w:val="Normal"/>
      </w:pPr>
      <w:r>
        <w:t>E-2C: Chapter 64 added: North American Commercial Wins Ledger and Export Opportunity Scoreboard. Replaces numerical bilateral-deficit targeting with verified realized/contracted/enabled commercial-win accounting; additionality, baseline, counterfactual, effective-access, services, geographic, SME, revision and no-double-counting disciplines; public dashboards and competitive presentation; optional national export-wins applications; and a non-monetary Forecast Arena with equal expiring tokens, permanent reputation points, cosmetic profile purchases, published resolution rules and anti-manipulation safeguards.</w:t>
      </w:r>
    </w:p>
    <w:p>
      <w:pPr>
        <w:pStyle w:val="Normal"/>
      </w:pPr>
      <w:r>
        <w:rPr>
          <w:b w:val="false"/>
          <w:i w:val="false"/>
        </w:rPr>
        <w:t>E-2D: Chapter 65 added: North American Reciprocal Procurement Compact. Establishes the protected 370-opportunity procurement portfolio; 30 Flagship, 44 Anchor, 198 Program, and 98 Development classifications; project-specific reciprocity; affirmative designation; no blanket Buy American waiver; no guaranteed awards; Procurement Opportunity Certificates; V1–V5 verification; value-integrity and procurement-availability rules; effective-access and portfolio-equivalence tests; subnational, Indigenous/community, SME, private-project, security, permitting and rights firewalls; Three-Receipt and opportunity-to-delivery accounting; Initial, Rolling, Development, and Expansion/Substitution pathways; Registry and Chapter 64 Commercial Wins integration; and Cothrom/no-front-loading protections.</w:t>
      </w:r>
    </w:p>
    <w:p>
      <w:pPr>
        <w:pStyle w:val="Normal"/>
      </w:pPr>
      <w:r>
        <w:t>LEGAL STATUS OF LEDGER. The Amendment Ledger is non-operative explanatory material intended to assist negotiators, implementers, and readers. It does not create, enlarge, narrow, or independently interpret a right or obligation unless an operative provision of the Agreement expressly incorporates a specific Ledger entry. In any inconsistency, the operative treaty text, annexes, schedules, and incorporated instruments prevail.</w:t>
      </w:r>
    </w:p>
    <w:p>
      <w:pPr>
        <w:pStyle w:val="Normal"/>
      </w:pPr>
      <w:r>
        <w:rPr>
          <w:i/>
        </w:rPr>
        <w:t>Required by Section 41 of the CUSMA Treaty Precision Matrix. Each entry records: the chapter/article affected; the original rule; the revised rule; the legal-function classification; the negotiating objective; and the effect on each Party. Where a provision of the 2018/2019 text is not listed here, it is unchanged. Packages A–F record the v2.0 modernization; Package H records the v2.8 hardening.</w:t>
      </w:r>
    </w:p>
    <w:p>
      <w:pPr>
        <w:pStyle w:val="Heading2"/>
      </w:pPr>
      <w:bookmarkStart w:id="902247" w:name="_Toc300002246"/>
      <w:r>
        <w:t>PACKAGE A: TREATY INTEGRITY AND TARIFF ARCHITECTURE (Chapters 1, 2, 32, 34, 35)</w:t>
      </w:r>
      <w:bookmarkEnd w:id="902247"/>
    </w:p>
    <w:p>
      <w:pPr>
        <w:pStyle w:val="Normal"/>
      </w:pPr>
      <w:r>
        <w:rPr>
          <w:b/>
        </w:rPr>
        <w:t>A-1. Article 1.B (new).</w:t>
      </w:r>
      <w:r>
        <w:t xml:space="preserve"> Original rule: no general substance-over-label rule existed. Revised rule: obligations apply according to substance and economic effect, regardless of domestic authority, designation, form, or terminology. Legal function: interpretive rule / binding obligation (A). Objective: close the domestic-authority bypass in a single provision rather than statute-by-statute. Effects: symmetric.</w:t>
      </w:r>
    </w:p>
    <w:p>
      <w:pPr>
        <w:pStyle w:val="Normal"/>
      </w:pPr>
      <w:r>
        <w:rPr>
          <w:b/>
        </w:rPr>
        <w:t>A-2. Article 35.3 (new).</w:t>
      </w:r>
      <w:r>
        <w:t xml:space="preserve"> Original rule: Article 2.4 prohibited new duties on originating goods, but Article 32.2’s breadth and the absence of an exclusive-remedies rule allowed domestic authorities to override preferential treatment; Section 232 side letters provided only delay. Revised rule: explicit Originating Goods Tariff Guarantee; prohibition of single-Party-content tariff differentiation; prohibition of tariffs grounded in non-trade grievances or in a Party’s separate agreements with non-Parties; prohibition of conditioning tariff treatment on investment, sourcing, pricing, purchase, or import-target concessions; enumerated surviving exceptions only. Legal function: binding obligation and prohibition (A/B) with express exceptions (H). Effects: symmetric.</w:t>
      </w:r>
    </w:p>
    <w:p>
      <w:pPr>
        <w:pStyle w:val="Normal"/>
      </w:pPr>
      <w:r>
        <w:rPr>
          <w:b/>
        </w:rPr>
        <w:t>A-3. Articles 35.4 and 35.4A (new).</w:t>
      </w:r>
      <w:r>
        <w:t xml:space="preserve"> Original rule: no general anti-equivalent-measures clause. Revised rule: enumerated anti-evasion list covering equivalent fees, quota substitution, de minimis withdrawal, derivative-product expansion (with anti-overreach discipline on the definition of “derivative”), product-list creep, special origin tests, stale findings, escalation without new verification, unilateral termination of exemptions, minimum duty floors, selective targeting, authority-switching, stacking, and re-justification resets; plus a substitute-measures article reaching discriminatory internal taxes, regulatory fees, port-of-entry channeling, customs-delay weaponization, selective inspection, security-bond excess, valuation and classification manipulation, verification harassment, coerced export restraints and minimum prices, purchase-commitment conditioning, procurement retaliation, and financing-condition substitution. Legal function: binding prohibition (B). Effects: symmetric.</w:t>
      </w:r>
    </w:p>
    <w:p>
      <w:pPr>
        <w:pStyle w:val="Normal"/>
      </w:pPr>
      <w:r>
        <w:rPr>
          <w:b/>
        </w:rPr>
        <w:t>A-4. Article 35.3A (new).</w:t>
      </w:r>
      <w:r>
        <w:t xml:space="preserve"> Original rule: the stabilization architecture addressed imports. Revised rule: extraordinary export restrictions, export duties, and export-condition measures between the Parties are covered border measures subject to the same stages, ceilings, expiry, and automatic restoration; ordinary non-Party export controls unaffected. Objective: close the mirror-image export-weaponization route. Effects: symmetric.</w:t>
      </w:r>
    </w:p>
    <w:p>
      <w:pPr>
        <w:pStyle w:val="Normal"/>
      </w:pPr>
      <w:r>
        <w:rPr>
          <w:b/>
        </w:rPr>
        <w:t>A-5. Article 35.5 (new).</w:t>
      </w:r>
      <w:r>
        <w:t xml:space="preserve"> Original rule: no exclusive-remedies rule. Revised rule: treaty remedies are exclusive for trade matters between the Parties, subject to the modernized Article 32.2; general exceptions cannot be relabeled around the Chapter 35 prohibitions. Legal function: binding obligation (A).</w:t>
      </w:r>
    </w:p>
    <w:p>
      <w:pPr>
        <w:pStyle w:val="Normal"/>
      </w:pPr>
      <w:r>
        <w:rPr>
          <w:b/>
        </w:rPr>
        <w:t>A-6. Article 32.A (replacement of Article 32.2).</w:t>
      </w:r>
      <w:r>
        <w:t xml:space="preserve"> Original rule: self-judging essential-security exception without procedural discipline. Revised rule: essential-security authority preserved (including wartime action), but measures affecting another Party’s trade carry notification, identified security interest, emergency consultations, proportionality, 180-day review, two-year outer limit with successively particularized renewal, treatment of re-justified substantially identical measures as one continuing measure, the special verification lane of Article 35.22, TNAO protection, an explicit rule that drug trafficking, migration, crime, or other non-trade conduct is not by itself an essential-security basis for border measures absent a direct and material nexus between the targeted goods and the threat, a defined review boundary (panels examine scope, procedure, coverage, and trade contribution; never the security judgment), and an anti-abuse clause excluding industrial capacity, employment, market share, and general economic conditions as essential-security interests. Legal function: exception (H) with procedural requirements (J) and reviewability (N). Effects: symmetric.</w:t>
      </w:r>
    </w:p>
    <w:p>
      <w:pPr>
        <w:pStyle w:val="Normal"/>
      </w:pPr>
      <w:r>
        <w:rPr>
          <w:b/>
        </w:rPr>
        <w:t>A-7. Article 32.B (new).</w:t>
      </w:r>
      <w:r>
        <w:t xml:space="preserve"> Original rule: no CUSMA discipline on balance-of-payments surcharges. Revised rule: notification, non-discrimination, presumptive exemption of originating goods from general surcharges, 150-day limit with aggregation of successive identical measures, expedited review. Effects: symmetric.</w:t>
      </w:r>
    </w:p>
    <w:p>
      <w:pPr>
        <w:pStyle w:val="Normal"/>
      </w:pPr>
      <w:r>
        <w:rPr>
          <w:b/>
        </w:rPr>
        <w:t>A-8. Annex 35-D (new).</w:t>
      </w:r>
      <w:r>
        <w:t xml:space="preserve"> Original rule: existing extraordinary tariffs had no treaty-mandated end. Revised rule: legacy measures terminate on entry into force; a Party may refer a continuing genuine security concern to the Article 35.22 lane within 90 days; post-wind-down substantially identical re-impositions are treated as the same measure; retaliation ends and is not reimposed for pre-entry conduct. Effects: Canada and Mexico obtain removal of sectoral tariffs; the United States obtains the stronger perimeter and verification architecture.</w:t>
      </w:r>
    </w:p>
    <w:p>
      <w:pPr>
        <w:pStyle w:val="Normal"/>
      </w:pPr>
      <w:r>
        <w:rPr>
          <w:b/>
        </w:rPr>
        <w:t>A-9. Article 2.D (new).</w:t>
      </w:r>
      <w:r>
        <w:t xml:space="preserve"> TRQ administration: transparent, non-discriminatory administration; CUSMA-quota applicant eligibility not less favorable than under a Party’s other agreements for like products; published methodology and utilization; express preservation of quota volumes and supply-management structure. Canada: retains supply management; burden, administration changes. United States: obtains the eligibility parity sought. Mexico: benefits from the transparency precedent.</w:t>
      </w:r>
    </w:p>
    <w:p>
      <w:pPr>
        <w:pStyle w:val="Normal"/>
      </w:pPr>
      <w:r>
        <w:rPr>
          <w:b/>
        </w:rPr>
        <w:t>A-10. Article 2.E (new).</w:t>
      </w:r>
      <w:r>
        <w:t xml:space="preserve"> Alcoholic beverages: non-discrimination in listing, distribution, mark-up, and retail access, with the federal-reasonable-measures formulation; retaliatory delisting disciplined. Effects: symmetric; provincial/state regulatory discretion preserved.</w:t>
      </w:r>
    </w:p>
    <w:p>
      <w:pPr>
        <w:pStyle w:val="Heading2"/>
      </w:pPr>
      <w:bookmarkStart w:id="902248" w:name="_Toc300002247"/>
      <w:r>
        <w:t>PACKAGE B: THE PROPORTIONAL TRADE ADJUSTMENT MECHANISM (Chapter 35)</w:t>
      </w:r>
      <w:bookmarkEnd w:id="902248"/>
    </w:p>
    <w:p>
      <w:pPr>
        <w:pStyle w:val="Normal"/>
      </w:pPr>
      <w:r>
        <w:rPr>
          <w:b/>
        </w:rPr>
        <w:t>B-1. Articles 35.8–35.11 (new).</w:t>
      </w:r>
      <w:r>
        <w:t xml:space="preserve"> Notice of Concern; 10-day cooling-off with full standstill; Evidence Package with quantified estimate, counterfactual baseline, and uncertainty band; standing Verification Panel with trilateral roster, non-national Joint List, and one-time 15-day extension for complex matters; partial findings; second opinion; obstruction consequences; three-tier classification, with Tier 3 requiring clear and convincing evidence of deliberate or systematic conduct, reviewable under Article 31.A.</w:t>
      </w:r>
    </w:p>
    <w:p>
      <w:pPr>
        <w:pStyle w:val="Normal"/>
      </w:pPr>
      <w:r>
        <w:rPr>
          <w:b/>
        </w:rPr>
        <w:t>B-2. Article 35.12 and Annex 35-A (new; hardened).</w:t>
      </w:r>
      <w:r>
        <w:t xml:space="preserve"> PTA formula retained; treaty fixes the ranges and principles (correction proportionate to distortion; escalation only with verified persistence; reduction with verified remediation; conservatism under uncertainty), while specific coefficients live in a Technical Schedule updatable by consensus within the treaty ranges; pass-through requires sector-specific evidence with a rebuttable default; the operative estimate is the lower bound of the uncertainty band absent full confirmation; correction and deterrence are separated, exceeding the verified distortion requires a separate reasoned panel finding of deliberate or sustained noncompliance, capped at twice the best estimate.</w:t>
      </w:r>
    </w:p>
    <w:p>
      <w:pPr>
        <w:pStyle w:val="Normal"/>
      </w:pPr>
      <w:r>
        <w:rPr>
          <w:b/>
        </w:rPr>
        <w:t>B-3. Articles 35.13 and 35.13A (new).</w:t>
      </w:r>
      <w:r>
        <w:t xml:space="preserve"> Narrowest-sufficient-remedy ladder; anti-fragmentation rule for integrated products, coordinated verification, single-module assignment by dominant purpose, and a cumulative ceiling so a vehicle cannot face stacked PTAs from its battery, steel, and semiconductor modules.</w:t>
      </w:r>
    </w:p>
    <w:p>
      <w:pPr>
        <w:pStyle w:val="Normal"/>
      </w:pPr>
      <w:r>
        <w:rPr>
          <w:b/>
        </w:rPr>
        <w:t>B-4. Article 35.14 (new; hardened).</w:t>
      </w:r>
      <w:r>
        <w:t xml:space="preserve"> Escrow in lieu of collection, with full custody architecture: currency and exchange-rate risk on the facility, interest follows principal, segregated accounts, administrative costs on the Parties, loss-sharing on facility failure with refund entitlements preserved, 15-day release, and alternatives to cash (guarantees, bonds, insurance), reduced-security treatment for trusted traders, and SME hardship waivers.</w:t>
      </w:r>
    </w:p>
    <w:p>
      <w:pPr>
        <w:pStyle w:val="Normal"/>
      </w:pPr>
      <w:r>
        <w:rPr>
          <w:b/>
        </w:rPr>
        <w:t>B-5. Article 35.15 and Annex 35-B (new; hardened).</w:t>
      </w:r>
      <w:r>
        <w:t xml:space="preserve"> Nine modules with sub-modules; dominant-purpose test for multi-module goods with the burden on the Party advocating broader assignment; cross-module measures only after final determination, noncompliance, and a separate reasoned panel finding that same-module measures are demonstrably incapable of inducing compliance.</w:t>
      </w:r>
    </w:p>
    <w:p>
      <w:pPr>
        <w:pStyle w:val="Normal"/>
      </w:pPr>
      <w:r>
        <w:rPr>
          <w:b/>
        </w:rPr>
        <w:t>B-6. Articles 35.16–35.18 (new).</w:t>
      </w:r>
      <w:r>
        <w:t xml:space="preserve"> Stages 0–6; express abolition of snapback; remediation conditions issued with the finding; no admission or unrelated concession; automatic restoration on certification.</w:t>
      </w:r>
    </w:p>
    <w:p>
      <w:pPr>
        <w:pStyle w:val="Normal"/>
      </w:pPr>
      <w:r>
        <w:rPr>
          <w:b/>
        </w:rPr>
        <w:t>B-7. Article 35.19 (new).</w:t>
      </w:r>
      <w:r>
        <w:t xml:space="preserve"> Frivolous-allegation ladder, symmetric for obstruction.</w:t>
      </w:r>
    </w:p>
    <w:p>
      <w:pPr>
        <w:pStyle w:val="Normal"/>
      </w:pPr>
      <w:r>
        <w:rPr>
          <w:b/>
        </w:rPr>
        <w:t>B-8. Article 35.21 (new; hardened).</w:t>
      </w:r>
      <w:r>
        <w:t xml:space="preserve"> Emergency defined narrowly (sudden, unforeseen, objectively demonstrable; political urgency, elections, lobbying, price weakness, and trade deficits excluded); 24-hour notification, 72-hour review, 30-day expiry; successive substantially identical measures, including re-justified ones, aggregate into one measure with a 60-day annual cumulative cap absent full verification.</w:t>
      </w:r>
    </w:p>
    <w:p>
      <w:pPr>
        <w:pStyle w:val="Normal"/>
      </w:pPr>
      <w:r>
        <w:rPr>
          <w:b/>
        </w:rPr>
        <w:t>B-9. Article 35.22 (new; hardened).</w:t>
      </w:r>
      <w:r>
        <w:t xml:space="preserve"> Security lane: 45-day review on connection, material contribution, non-originating-content targeting, TNAO alternative, narrower-measure analysis; mandatory exemption and narrowing outcomes; 180-day reviews and two-year limit with renewal aggregation; and an expressly codified review boundary, what panels may examine (scope, coverage, procedure, trade contribution, narrower alternatives) and what they categorically may not (threat assessment, intelligence credibility, military adequacy, the determination of security interests), with reports required to identify the category of each finding.</w:t>
      </w:r>
    </w:p>
    <w:p>
      <w:pPr>
        <w:pStyle w:val="Normal"/>
      </w:pPr>
      <w:r>
        <w:rPr>
          <w:b/>
        </w:rPr>
        <w:t>B-10. Articles 35.23–35.25 (new; hardened).</w:t>
      </w:r>
      <w:r>
        <w:t xml:space="preserve"> Strategic-sector circuit breakers; Trade Measures Registry (unregistered measures unenforceable, refundable); Trade Impact Facility with base-plus-usage funding, reimbursement by the Party responsible for an unlawful measure, precise eligibility (material injury, causation, thresholds, caps, no double recovery, annual published audit, SME priority).</w:t>
      </w:r>
    </w:p>
    <w:p>
      <w:pPr>
        <w:pStyle w:val="Normal"/>
      </w:pPr>
      <w:r>
        <w:rPr>
          <w:b/>
        </w:rPr>
        <w:t>B-11. Article 35.20 and Annex 35-E (hardened).</w:t>
      </w:r>
      <w:r>
        <w:t xml:space="preserve"> Compensation before escalation in any mutually agreed form; market-access credits demoted to an optional instrument, never a precondition, with valuation, transfer, expiry, legal-capacity substitution, and WTO-consistency rules.</w:t>
      </w:r>
    </w:p>
    <w:p>
      <w:pPr>
        <w:pStyle w:val="Normal"/>
      </w:pPr>
      <w:r>
        <w:rPr>
          <w:b/>
        </w:rPr>
        <w:t>B-12. Articles 35.10.10 and 35.10A (new).</w:t>
      </w:r>
      <w:r>
        <w:t xml:space="preserve"> Verifier and panelist independence: disclosure, recusal, two-year cooling-off, published compensation, replacement by lot. Rights of affected private entities: notice, non-confidential evidence access, representation, submissions, confidentiality protection, correction rights, and 30-day appeal with suspension pending appeal except certified Tier 3 urgency.</w:t>
      </w:r>
    </w:p>
    <w:p>
      <w:pPr>
        <w:pStyle w:val="Normal"/>
      </w:pPr>
      <w:r>
        <w:rPr>
          <w:b/>
        </w:rPr>
        <w:t>B-13. Annex 35-C (hardened).</w:t>
      </w:r>
      <w:r>
        <w:t xml:space="preserve"> Registry safeguards: encryption, role-based access, annual penetration testing, immutable audit logs, 72-hour breach notification; four-tier confidential-business-information regime including a national-custody tier for data that may never leave national customs systems; misuse sanctions; data minimization and retention schedules.</w:t>
      </w:r>
    </w:p>
    <w:p>
      <w:pPr>
        <w:pStyle w:val="Normal"/>
      </w:pPr>
      <w:r>
        <w:rPr>
          <w:b/>
        </w:rPr>
        <w:t>B-14. Articles 35.28–35.29 (new).</w:t>
      </w:r>
      <w:r>
        <w:t xml:space="preserve"> Institutional consolidation: one permanent Treaty Integrity Secretariat within the Chapter 30 Secretariat operates all registries, facilities, and roster administration, no fragmented new bureaucracies. No-Fade Guarantee: no right, preference, guarantee, protection, or status lapses by passage of time; time-limits attach only to restrictive extraordinary measures and transitions.</w:t>
      </w:r>
    </w:p>
    <w:p>
      <w:pPr>
        <w:pStyle w:val="Heading2"/>
      </w:pPr>
      <w:bookmarkStart w:id="902249" w:name="_Toc300002248"/>
      <w:r>
        <w:t>PACKAGE C: MODERNIZED DISPUTE SETTLEMENT (Chapter 31)</w:t>
      </w:r>
      <w:bookmarkEnd w:id="902249"/>
    </w:p>
    <w:p>
      <w:pPr>
        <w:pStyle w:val="Normal"/>
      </w:pPr>
      <w:r>
        <w:rPr>
          <w:b/>
        </w:rPr>
        <w:t>C-1. Article 31.A (new; hardened).</w:t>
      </w:r>
      <w:r>
        <w:t xml:space="preserve"> Expedited Tariff Panel: automatic establishment, 5-day composition, 45-day reports (20 for perishables/critical infrastructure), one tightly limited 30-day extension for exceptionally complex matters upon reasoned published finding; binding interim indications hardened with a strong-prima-facie-case plus irreparable-harm threshold, reasons, 60-day expiry, and 5-day emergency reconsideration; automatic countermeasure authorization upon noncompliance subject to level review.</w:t>
      </w:r>
    </w:p>
    <w:p>
      <w:pPr>
        <w:pStyle w:val="Normal"/>
      </w:pPr>
      <w:r>
        <w:rPr>
          <w:b/>
        </w:rPr>
        <w:t>C-2. Article 31.C (new).</w:t>
      </w:r>
      <w:r>
        <w:t xml:space="preserve"> Standing tariff roster; Secretariat default designation on non-appointment; independence, disclosure, recusal, and cooling-off rules; non-participation does not defeat jurisdiction.</w:t>
      </w:r>
    </w:p>
    <w:p>
      <w:pPr>
        <w:pStyle w:val="Normal"/>
      </w:pPr>
      <w:r>
        <w:rPr>
          <w:b/>
        </w:rPr>
        <w:t>C-3. Article 31.D (new).</w:t>
      </w:r>
      <w:r>
        <w:t xml:space="preserve"> Fixed compliance periods, 60-day compliance panels, 30-day expedited compliance review, automatic termination of countermeasures upon compliance.</w:t>
      </w:r>
    </w:p>
    <w:p>
      <w:pPr>
        <w:pStyle w:val="Heading2"/>
      </w:pPr>
      <w:bookmarkStart w:id="902250" w:name="_Toc300002249"/>
      <w:r>
        <w:t>PACKAGE D: RULES OF ORIGIN AND CUSTOMS MODERNIZATION (Chapters 4, 5, 7)</w:t>
      </w:r>
      <w:bookmarkEnd w:id="902250"/>
    </w:p>
    <w:p>
      <w:pPr>
        <w:pStyle w:val="Normal"/>
      </w:pPr>
      <w:r>
        <w:rPr>
          <w:b/>
        </w:rPr>
        <w:t>D-1. Article 4.A.1–4.A.2.</w:t>
      </w:r>
      <w:r>
        <w:t xml:space="preserve"> North American origin reaffirmed as the single regional concept; no single-Party content condition; 24-month automotive technical modernization (EVs, batteries, software, simplified RVC, circular content, 36-month phase-ins); non-qualifying vehicles dutiable only on non-North-American value.</w:t>
      </w:r>
    </w:p>
    <w:p>
      <w:pPr>
        <w:pStyle w:val="Normal"/>
      </w:pPr>
      <w:r>
        <w:rPr>
          <w:b/>
        </w:rPr>
        <w:t>D-2. Articles 4.A.3–4.A.5.</w:t>
      </w:r>
      <w:r>
        <w:t xml:space="preserve"> Melted-and-poured/smelted-and-cast with traceability certification; circular production origin-conferring; semiconductors-without-North-American-substitute rule.</w:t>
      </w:r>
    </w:p>
    <w:p>
      <w:pPr>
        <w:pStyle w:val="Normal"/>
      </w:pPr>
      <w:r>
        <w:rPr>
          <w:b/>
        </w:rPr>
        <w:t>D-3. Articles 5.A–5.E (hardened).</w:t>
      </w:r>
      <w:r>
        <w:t xml:space="preserve"> Verification discipline (reasonable grounds, no industry-wide sweeps absent certified risk, 150-day outer limit, provisional acceptance thereafter, no repetitive verification without new evidence); joint verification and data exchange; entity-targeted anti-circumvention with Article 35.10A procedural rights and automatic restoration; advance rulings; TNAO appeals; electronic certification interoperability.</w:t>
      </w:r>
    </w:p>
    <w:p>
      <w:pPr>
        <w:pStyle w:val="Normal"/>
      </w:pPr>
      <w:r>
        <w:rPr>
          <w:b/>
        </w:rPr>
        <w:t>D-4. Articles 7.A–7.E (hardened).</w:t>
      </w:r>
      <w:r>
        <w:t xml:space="preserve"> De minimis floor at January 1, 2020 levels; single-window interoperability in 36 months; port-of-entry uniformity with express prohibition of discriminatory port channeling; published border processing benchmarks forming the test for customs-delay weaponization; mutual trusted-trader recognition.</w:t>
      </w:r>
    </w:p>
    <w:p>
      <w:pPr>
        <w:pStyle w:val="Normal"/>
      </w:pPr>
      <w:r>
        <w:t>D-5. Annex 12-G (new). North American Aviation Certification Fast Lane: concurrent FAA-TCCA-AFAC review where practicable; maximum lawful reliance on counterpart technical findings and test evidence; published response clocks and delay explanations; non-discrimination and prohibition of politically motivated certification delay; joint certification pathway for novel technologies; and an explicit institutional firewall preserving sovereign safety determinations and emergency authority.</w:t>
      </w:r>
    </w:p>
    <w:p>
      <w:pPr>
        <w:pStyle w:val="Heading2"/>
      </w:pPr>
      <w:bookmarkStart w:id="902251" w:name="_Toc300002250"/>
      <w:r>
        <w:t>PACKAGE E: ECONOMIC SECURITY, MINERALS, CONTINUITY, TECHNOLOGY, ENERGY (Chapters 36–40)</w:t>
      </w:r>
      <w:bookmarkEnd w:id="902251"/>
    </w:p>
    <w:p>
      <w:pPr>
        <w:pStyle w:val="Normal"/>
      </w:pPr>
      <w:r>
        <w:rPr>
          <w:b/>
        </w:rPr>
        <w:t>E-1. Chapter 36 (hardened). Economic-security concept; Subcommittee; common external defense; TNAO with published, measurable, sector-specific criteria, automatic renewal on demonstrated compliance, entity-confined suspension with notice, evidence access, response rights, rapid appeal, and automatic restoration within 30 days of verified correction; non-market-practice coordination; investment-screening exchange without vetoes; sovereignty safeguard; strategic-sector mapping expanded to advanced compute infrastructure, grid-scale storage, high-voltage equipment, data-centre cooling, and high-speed networking.</w:t>
      </w:r>
    </w:p>
    <w:p>
      <w:pPr>
        <w:pStyle w:val="Normal"/>
      </w:pPr>
      <w:r>
        <w:t>E-2. Chapter 37 (expanded and visibility-hardened). Critical minerals and strategic materials: duty-free originating trade; processing/refining/recycling and by-product recovery; risk-based traceability; Trusted Strategic Materials Sources; strategic supply and offtake architecture; North American Midstream Gap Register; Canada Midstream Industrialization, U.S. Strategic Dependency Reduction, and Mexico Industrial Inputs/Specialty Minerals tracks; aluminum and semiconductor-material capacity; stockpile and surge cooperation; and bilateral or trilateral reciprocal mineral bargains, including protected minerals-for-forestry normalization pathways.</w:t>
      </w:r>
    </w:p>
    <w:p>
      <w:pPr>
        <w:pStyle w:val="Normal"/>
      </w:pPr>
      <w:r>
        <w:t>E-2A. Articles 36.14–36.14A (expanded). North American steel and aluminum security is paired with a Metals Investment Compact covering anti-transshipment and provenance, new and modernized capacity, recycling, strategic and defense-grade products, a public investment/capacity dashboard, grounded headline investment targets, durable tariff normalization, and matched-performance protection under Article 35.36.</w:t>
      </w:r>
    </w:p>
    <w:p>
      <w:pPr>
        <w:pStyle w:val="Normal"/>
      </w:pPr>
      <w:r>
        <w:t>E-2B: Chapter 63 added: North American Medicines Security and Pharmaceutical Resilience. Establishes medicines peace/no-tariff-hostage protections; essential-medicine classification; pharmaceutical origin rules; API/KSM, generics, sterile-injectable, antibiotic, vaccine/biologic, cold-chain, reserve and isotope resilience; regulatory cooperation and facility PreCheck; workforce, research and IP safeguards; United States, Canadian and Mexican industrial tracks; controlled-medicine and fentanyl diversion safeguards; upgraded fentanyl transparency; investment dashboard; exercises; no-new-bureaucracy and no-uncompensated-front-loading rules.</w:t>
      </w:r>
    </w:p>
    <w:p>
      <w:pPr>
        <w:pStyle w:val="Normal"/>
      </w:pPr>
      <w:r>
        <w:rPr>
          <w:b/>
        </w:rPr>
        <w:t>E-3. Chapter 38 (hardened). Emergency Trade Continuity with aggregation of successive substantially identical restrictions; export-restriction disciplines integrated with Article 35.3A; emergency coordination extended to electricity restoration, storage, critical-compute continuity, digital-load curtailment, and telecommunications restoration without creating permanent export obligations.</w:t>
      </w:r>
    </w:p>
    <w:p>
      <w:pPr>
        <w:pStyle w:val="Normal"/>
      </w:pPr>
      <w:r>
        <w:rPr>
          <w:b/>
        </w:rPr>
        <w:t>E-4. Chapter 39. AI and advanced technology: non-discrimination; cooperation without forced harmonization; technical-update mechanism within the narrowed limits of Article 34.3.A; Strategic Compute Infrastructure Cooperation added for energy-efficient compute, advanced cooling, high-speed networking, grid-aware workload management, secure cloud infrastructure, sovereign compute, and commercially reasonable access.</w:t>
      </w:r>
    </w:p>
    <w:p>
      <w:pPr>
        <w:pStyle w:val="Normal"/>
      </w:pPr>
      <w:r>
        <w:rPr>
          <w:b/>
        </w:rPr>
        <w:t>E-5. Chapter 40. Energy security, grid resilience, critical energy equipment, and non-discrimination in energy-market administration expanded through the North American Energy, Compute and Storage Initiative: build-the-power-with-the-load discipline; Strategic Compute and Energy Zones; voluntary cross-border clean-power and compute corridors; domestic reliability and anti-crowding-out safeguards; transmission and interconnection cooperation; flexible digital load; long-duration storage; sodium-ion and molten-salt demonstration pathways; curtailment-to-storage; foreign strategic-technology localization without origin circumvention; critical-infrastructure cybersecurity; compute sovereignty; fibre resilience; host-community and Indigenous participation; metrics and biennial technical review; and Annex 40-A implementation criteria.</w:t>
      </w:r>
    </w:p>
    <w:p>
      <w:pPr>
        <w:pStyle w:val="Heading2"/>
      </w:pPr>
      <w:bookmarkStart w:id="902252" w:name="_Toc300002251"/>
      <w:r>
        <w:t>PACKAGE AR: ENERGY SOVEREIGNTY, OPTIONALITY, AND INTEGRATED INFRASTRUCTURE SIMULATION (v6.4)</w:t>
      </w:r>
      <w:bookmarkEnd w:id="902252"/>
    </w:p>
    <w:p>
      <w:pPr>
        <w:pStyle w:val="Normal"/>
      </w:pPr>
      <w:r>
        <w:t>AR-1. Articles 40.33–40.35 harden the No Named-Project doctrine: no compulsory named project, extraction, production, export, throughput, purchase, or utilization guarantee; lawful non-selection of Keystone XL or another named asset is not by itself non-compliance; function-based objectives may be satisfied by qualifying alternatives.</w:t>
      </w:r>
    </w:p>
    <w:p>
      <w:pPr>
        <w:pStyle w:val="Normal"/>
      </w:pPr>
      <w:r>
        <w:t>AR-2. Articles 40.36–40.42 add domestic reliability and affordability protection, incremental-load cost responsibility, no foreign large-load entitlement to subsidized electricity rates, effective-performance and anti-circumvention safeguards, environmental/Indigenous/water protections, energy-dispute containment, emergency safe mode, change-of-control security review, and no double counting of energy-capacity consideration.</w:t>
      </w:r>
    </w:p>
    <w:p>
      <w:pPr>
        <w:pStyle w:val="Normal"/>
      </w:pPr>
      <w:r>
        <w:t>AR-3. Articles 40.43–40.47 establish a voluntary North American Integrated Energy-Compute-Water Simulation Initiative. Canada may lead an initial software feasibility study and share non-sensitive results; realistic operating-envelope evaluation and iterative improvement are emphasized; favourable simulation creates no construction, procurement, certification, funding, or performance entitlement.</w:t>
      </w:r>
    </w:p>
    <w:p>
      <w:pPr>
        <w:pStyle w:val="Normal"/>
      </w:pPr>
      <w:r>
        <w:t>AR-4. Article 40.44 permits Canada to nominate MundusLux-300 Triple-Hybrid as an initial reference architecture while expressly disclosing its non-governmental origin and denying preference, exclusivity, endorsement, procurement rights, standard-setting status, or automatic advancement. The United States and Mexico may nominate additional qualifying architectures under comparable evaluation standards.</w:t>
      </w:r>
    </w:p>
    <w:p>
      <w:pPr>
        <w:pStyle w:val="Normal"/>
      </w:pPr>
      <w:r>
        <w:t>AR-5. Annex 40-B adds simulation eligibility, initial-reference, metrics, and functional-credit notes. Experimental simulation earns research/innovation credit only until operational performance is independently demonstrated. No new permanent bureaucracy is created.</w:t>
      </w:r>
    </w:p>
    <w:p>
      <w:pPr>
        <w:pStyle w:val="Heading2"/>
      </w:pPr>
      <w:bookmarkStart w:id="902253" w:name="_Toc300002252"/>
      <w:r>
        <w:t>PACKAGE F: TRADE REMEDIES, LABOUR, ENVIRONMENT, DIGITAL, INSTITUTIONS, FINAL PROVISIONS</w:t>
      </w:r>
      <w:bookmarkEnd w:id="902253"/>
    </w:p>
    <w:p>
      <w:pPr>
        <w:pStyle w:val="Normal"/>
      </w:pPr>
      <w:r>
        <w:rPr>
          <w:b/>
        </w:rPr>
        <w:t>F-1. Articles 10.A–10.B (new, v3.9).</w:t>
      </w:r>
      <w:r>
        <w:t xml:space="preserve"> AD/CVD hardened against substitution: initiation-evidence standards, transparent methodologies, non-attribution causation, defense rights, sunset discipline, pattern consultations; safeguards require Party-specific substantial-contribution analysis excluding non-contributing Parties’ originating goods, with time-limits, progressive liberalization, reassessment, automatic termination, cooling-off, and expedited review.</w:t>
      </w:r>
    </w:p>
    <w:p>
      <w:pPr>
        <w:pStyle w:val="Normal"/>
      </w:pPr>
      <w:r>
        <w:rPr>
          <w:b/>
        </w:rPr>
        <w:t>F-2. Article 23.A.</w:t>
      </w:r>
      <w:r>
        <w:t xml:space="preserve"> Forced-labour interoperability with the express rule that enforcement disagreements do not authorize tariffs on unconnected originating goods.</w:t>
      </w:r>
    </w:p>
    <w:p>
      <w:pPr>
        <w:pStyle w:val="Normal"/>
      </w:pPr>
      <w:r>
        <w:rPr>
          <w:b/>
        </w:rPr>
        <w:t>F-3. Articles 24.A–24.B.</w:t>
      </w:r>
      <w:r>
        <w:t xml:space="preserve"> Environmental traceability; natural phenomena not a basis for covered border measures.</w:t>
      </w:r>
    </w:p>
    <w:p>
      <w:pPr>
        <w:pStyle w:val="Normal"/>
      </w:pPr>
      <w:r>
        <w:rPr>
          <w:b/>
        </w:rPr>
        <w:t>F-4. Articles 19.A–19.G.</w:t>
      </w:r>
      <w:r>
        <w:t xml:space="preserve"> Digital trade modernization; Committee on Digital Trade Cooperation.</w:t>
      </w:r>
    </w:p>
    <w:p>
      <w:pPr>
        <w:pStyle w:val="Normal"/>
      </w:pPr>
      <w:r>
        <w:rPr>
          <w:b/>
        </w:rPr>
        <w:t>F-5. Articles 26.A–26.C, 30.A–30.C (hardened).</w:t>
      </w:r>
      <w:r>
        <w:t xml:space="preserve"> Expanded Competitiveness Committee; consolidated institutional architecture, one Treaty Integrity Secretariat, one Verification Panel, defined committees, no further permanent bodies; institutional deadlines and anti-deadlock.</w:t>
      </w:r>
    </w:p>
    <w:p>
      <w:pPr>
        <w:pStyle w:val="Normal"/>
      </w:pPr>
      <w:r>
        <w:t>F-6. Articles 34.A–34.E (hardened). Structured Technical Amendment Procedure narrowed to nomenclature, in-range thresholds, technical standards, and annex maintenance, with an express prohibition on substantively legislative use and a Chapter 31 challenge route; Article 34.7 replaced with indefinite duration and modernization review mechanics under the No-Fade Guarantee; side-letter supersession; a 12-month mechanical verification and corrigendum process for the consolidated text against the authoritative instruments.</w:t>
      </w:r>
    </w:p>
    <w:p>
      <w:pPr>
        <w:pStyle w:val="Heading2"/>
      </w:pPr>
      <w:bookmarkStart w:id="902254" w:name="_Toc300002253"/>
      <w:r>
        <w:t>PACKAGE W-L: SOFTWOOD LUMBER, HOUSING SUPPLY, AND FORESTRY STABILITY (v4.2-L)</w:t>
      </w:r>
      <w:bookmarkEnd w:id="902254"/>
    </w:p>
    <w:p>
      <w:pPr>
        <w:pStyle w:val="Normal"/>
      </w:pPr>
      <w:r>
        <w:t>W-L1. Chapter 42 expanded into a durable softwood-lumber and forestry stability architecture. The package preserves the existing stumpage-neutrality and expedited-review framework while adding: an objective-criteria/non-arbitrariness rule; a neutral Market-Based Forestry Practice Safe Harbor; North American housing-supply and affordability cooperation; a condition-triggered housing and disaster-reconstruction emergency valve; an Advanced Wood Products and Value-Added Manufacturing Corridor; mutual recognition for equivalent grading, kiln-drying, phytosanitary, fire-performance, sustainability, and related certifications; prospective-treatment and reliance protections; Trusted Forest Products Trade Lane procedures; a trilateral Forestry Resilience and Forest-Health Partnership; neutral Indigenous/community/SME participation pathways; carefully bounded public-construction cooperation; and a Cothrom interface limited to factual verification. Article 42.7 is converted to explicit No-Fade continuity and Rolling-Horizon review. The package deliberately does not establish fixed duty rates, province-specific exemptions, rail-only preferences, mandatory procurement volumes, blanket ownership-based duty exemptions, withdrawal of WTO/CUSMA remedies, or automatic calendar-based sunsets.</w:t>
      </w:r>
    </w:p>
    <w:p>
      <w:pPr>
        <w:pStyle w:val="Heading2"/>
      </w:pPr>
      <w:bookmarkStart w:id="902255" w:name="_Toc300002254"/>
      <w:r>
        <w:t>PACKAGE W-M: PRELIMINARY STRATEGIC MINERALS, SEMICONDUCTOR, AND FORESTRY BARGAIN INTEGRATION (v4.9)</w:t>
      </w:r>
      <w:bookmarkEnd w:id="902255"/>
    </w:p>
    <w:p>
      <w:pPr>
        <w:pStyle w:val="Normal"/>
      </w:pPr>
      <w:r>
        <w:t>This package adds Articles 37.19 through 37.30 establishing concrete strategic-minerals bargains, country-specific industrialization and dependency tracks, by-product recovery, raw-to-refined additionality, a defined supply-surge doctrine, and an authorized-surge firewall; Articles 39.13 through 39.18 establishing a dedicated North American Semiconductor Security and Competitiveness Pact; and Articles 42.19 through 42.23 establishing staged minerals-for-forestry normalization subject to institutional performance, proportional linkage, and Cothrom review. Numerical commitments remain subject to calibration and schedule adoption where expressly required.</w:t>
      </w:r>
    </w:p>
    <w:p>
      <w:pPr>
        <w:pStyle w:val="Heading2"/>
      </w:pPr>
      <w:bookmarkStart w:id="902256" w:name="_Toc300002255"/>
      <w:r>
        <w:t>PACKAGE AB: MEXICO PARITY, TRILATERAL PROCUREMENT, FORESTRY INTEGRATION, AND INDUSTRIAL RESILIENCE (v5.0)</w:t>
      </w:r>
      <w:bookmarkEnd w:id="902256"/>
    </w:p>
    <w:p>
      <w:pPr>
        <w:pStyle w:val="Normal"/>
      </w:pPr>
      <w:r>
        <w:t>Added Articles 42.24–42.29, 48.6, 49.7–49.9, 50.8, 59.22, and Chapter 61. The package gives Mexico concrete forestry, tariff-normalization, automotive-origin, digital-manufacturing, procurement, and industrial-resilience benefits while preserving the bilateral character of the historic Canada-United States softwood-lumber dispute. It also creates a North American strategic procurement lane and a defense-industrial materials/resilience chapter with civilian-priority and no-compulsory-production safeguards.</w:t>
      </w:r>
    </w:p>
    <w:p>
      <w:pPr>
        <w:pStyle w:val="Heading2"/>
      </w:pPr>
      <w:bookmarkStart w:id="902257" w:name="_Toc300002256"/>
      <w:r>
        <w:t>PACKAGE AE: SYNCHRONIZED EXCHANGE, STRATEGIC MATERIALS PREFERRED ACCESS, AND FORESTRY COMMENSURABILITY (v5.4)</w:t>
      </w:r>
      <w:bookmarkEnd w:id="902257"/>
    </w:p>
    <w:p>
      <w:pPr>
        <w:pStyle w:val="Heading2"/>
      </w:pPr>
      <w:bookmarkStart w:id="902258" w:name="_Toc300002257"/>
      <w:r>
        <w:t>PACKAGE AI: ESSENTIAL-SECURITY ANTI-CIRCUMVENTION AND TRUSTED-SUPPLY FIREWALL (v5.8)</w:t>
      </w:r>
      <w:bookmarkEnd w:id="902258"/>
    </w:p>
    <w:p>
      <w:pPr>
        <w:pStyle w:val="Normal"/>
      </w:pPr>
      <w:r>
        <w:t>AI-1. Articles 32.A.1 through 32.A.9 classify security measures by function rather than label, preserve sovereign security judgment while making implementation reviewable, and prevent domestic-law, quota, licensing, procurement, inspection, or subnational end-runs around treaty safeguards.</w:t>
      </w:r>
    </w:p>
    <w:p>
      <w:pPr>
        <w:pStyle w:val="Normal"/>
      </w:pPr>
      <w:r>
        <w:t>AI-2. Party-originating supply receives a rebuttable trusted-supply presumption; speculative future unreliability, ordinary foreign ownership, and incidental third-country connections do not establish insecurity.</w:t>
      </w:r>
    </w:p>
    <w:p>
      <w:pPr>
        <w:pStyle w:val="Normal"/>
      </w:pPr>
      <w:r>
        <w:t>AI-3. Self-created emergencies, security inflation, formally global measures, repeated investigations, and classified-evidence black boxes receive specific anti-abuse disciplines, while genuine hostile control, circumvention, sanctions exposure, and concrete vulnerabilities remain actionable.</w:t>
      </w:r>
    </w:p>
    <w:p>
      <w:pPr>
        <w:pStyle w:val="Normal"/>
      </w:pPr>
      <w:r>
        <w:t>AI-4. A non-derogable procedural core survives every security invocation, including notice, evidence preservation, independent review, integrity rules, humanitarian protection, periodic necessity review, and automatic restoration.</w:t>
      </w:r>
    </w:p>
    <w:p>
      <w:pPr>
        <w:pStyle w:val="Heading2"/>
      </w:pPr>
      <w:bookmarkStart w:id="902259" w:name="_Toc300002258"/>
      <w:r>
        <w:t>PACKAGE AJ: CONTINUOUS TREATY, SOVEREIGN EXIT, AND ANTI-HOSTAGE WITHDRAWAL ARCHITECTURE (v5.8)</w:t>
      </w:r>
      <w:bookmarkEnd w:id="902259"/>
    </w:p>
    <w:p>
      <w:pPr>
        <w:pStyle w:val="Normal"/>
      </w:pPr>
      <w:r>
        <w:t>AJ-1. Articles 34.G through 34.M preserve sovereign withdrawal while separating review from survival, preventing selective exit, notice cycling, legal effect from political rhetoric, and retroactive erasure of accrued responsibility.</w:t>
      </w:r>
    </w:p>
    <w:p>
      <w:pPr>
        <w:pStyle w:val="Normal"/>
      </w:pPr>
      <w:r>
        <w:t>AJ-2. Withdrawal decisions are integrated into the MNPTI firewall; full performance continues through the notice period; jurisdiction, integrity review, record preservation, and accrued obligations survive as necessary.</w:t>
      </w:r>
    </w:p>
    <w:p>
      <w:pPr>
        <w:pStyle w:val="Normal"/>
      </w:pPr>
      <w:r>
        <w:t>AJ-3. Settlement Finality establishes that continued performance of an existing bargain is not a fresh concession. Bilateral diplomacy cannot modify the third Party's trilateral rights without consent.</w:t>
      </w:r>
    </w:p>
    <w:p>
      <w:pPr>
        <w:pStyle w:val="Normal"/>
      </w:pPr>
      <w:r>
        <w:t>AJ-4. Reaccession is deliberate rather than automatic and cannot be used as a temporary treaty holiday.</w:t>
      </w:r>
    </w:p>
    <w:p>
      <w:pPr>
        <w:pStyle w:val="Heading2"/>
      </w:pPr>
      <w:bookmarkStart w:id="902260" w:name="_Toc300002259"/>
      <w:r>
        <w:t>PACKAGE AK: BUREAUCRATIC CONTINUITY, ADMINISTRATIVE FRICTION, AND INSTITUTIONAL SAFE-MODE HARDENING (v5.8)</w:t>
      </w:r>
      <w:bookmarkEnd w:id="902260"/>
    </w:p>
    <w:p>
      <w:pPr>
        <w:pStyle w:val="Normal"/>
      </w:pPr>
      <w:r>
        <w:t>AK-1. Articles 46.12 through 46.19 make institutions vacancy-proof, boycott-resistant, less vulnerable to consensus hostage-taking, capable of protected evidence access, resistant to evidentiary landfill and successor-measure whack-a-mole, and able to detect cumulative administrative patterns.</w:t>
      </w:r>
    </w:p>
    <w:p>
      <w:pPr>
        <w:pStyle w:val="Normal"/>
      </w:pPr>
      <w:r>
        <w:t>AK-2. Articles 47.14 through 47.18 protect core institutional funding, create auditable and redundant Secretariat operations, activate Safe Mode during outages, protect reasonable reliance on official administration, and govern automated or algorithmic administrative systems.</w:t>
      </w:r>
    </w:p>
    <w:p>
      <w:pPr>
        <w:pStyle w:val="Normal"/>
      </w:pPr>
      <w:r>
        <w:t>AK-3. Articles 50.9 through 50.14 target customs friction, repeated audits, licensing purgatory, application goalpost shifting, trusted-status harassment, certification bottlenecks, and technical deadline games while preserving legitimate safety, security, health, environmental, and enforcement authority.</w:t>
      </w:r>
    </w:p>
    <w:p>
      <w:pPr>
        <w:pStyle w:val="Normal"/>
      </w:pPr>
      <w:r>
        <w:t>AK-4. Article 35.59 establishes a treaty-wide Issue-Nexus Firewall so unrelated political or diplomatic grievances cannot be laundered into trade enforcement.</w:t>
      </w:r>
    </w:p>
    <w:p>
      <w:pPr>
        <w:pStyle w:val="Heading2"/>
      </w:pPr>
      <w:bookmarkStart w:id="902261" w:name="_Toc300002260"/>
      <w:r>
        <w:t>PACKAGE AL: EFFECTIVE PERFORMANCE AND ANTI-MALICIOUS-COMPLIANCE FIREWALL (v5.9)</w:t>
      </w:r>
      <w:bookmarkEnd w:id="902261"/>
    </w:p>
    <w:p>
      <w:pPr>
        <w:pStyle w:val="Normal"/>
      </w:pPr>
      <w:r>
        <w:t>AL-1. Articles 46.20–46.24 establish effective treaty performance, cumulative-friction and whole-of-government review, functional-successor restoration, institutional anti-paralysis, and implementation simplicity without converting treaty purpose into free-floating law.</w:t>
      </w:r>
    </w:p>
    <w:p>
      <w:pPr>
        <w:pStyle w:val="Normal"/>
      </w:pPr>
      <w:r>
        <w:t>AL-2. Articles 50.15–50.19 close serial-processing, clock-reset, completeness, selective-intensity, proxy-discrimination, capacity-starvation, optional-pathway, informal-guidance, seasonal, corridor, and tail-risk loopholes.</w:t>
      </w:r>
    </w:p>
    <w:p>
      <w:pPr>
        <w:pStyle w:val="Normal"/>
      </w:pPr>
      <w:r>
        <w:t>AL-3. The package deliberately relies on objective operation and effect rather than proof of malicious intent, while preserving safe space for legitimate health, safety, environment, security, privacy, revenue, fraud-prevention, and other public-interest regulation.</w:t>
      </w:r>
    </w:p>
    <w:p>
      <w:pPr>
        <w:pStyle w:val="Normal"/>
      </w:pPr>
      <w:r>
        <w:t>AL-4. Cumulative violations must receive cumulative restoration; repeal of one component does not establish cure where the treaty-inconsistent impairment materially persists.</w:t>
      </w:r>
    </w:p>
    <w:p>
      <w:pPr>
        <w:pStyle w:val="Normal"/>
      </w:pPr>
      <w:r>
        <w:t>AL-5. Treaty bodies receive proportionate anti-overload tools, including consolidation, structured submissions, usable reasons, issue lists, and consultation-exhaustion rules, subject to due process and non-derogable safeguards.</w:t>
      </w:r>
    </w:p>
    <w:p>
      <w:pPr>
        <w:pStyle w:val="Heading2"/>
      </w:pPr>
      <w:bookmarkStart w:id="902262" w:name="_Toc300002261"/>
      <w:r>
        <w:t>PACKAGE AM: FISCAL SOVEREIGNTY AND ANTI-COERCION FIREWALL (v5.9)</w:t>
      </w:r>
      <w:bookmarkEnd w:id="902262"/>
    </w:p>
    <w:p>
      <w:pPr>
        <w:pStyle w:val="Normal"/>
      </w:pPr>
      <w:r>
        <w:t>AM-1. Articles 32.3A–32.3H preserve broad taxation sovereignty while preventing a tax label, fiscal form, or portfolio of charges from laundering a prohibited tariff substitute, origin restriction, coercive trade remedy, political retaliation mechanism, or circumvention of a specifically negotiated market-access commitment.</w:t>
      </w:r>
    </w:p>
    <w:p>
      <w:pPr>
        <w:pStyle w:val="Normal"/>
      </w:pPr>
      <w:r>
        <w:t>AM-2. Fiscal review examines effective burden, including base, rate, deductions, credits, exemptions, valuation, timing, refunds, penalties, bonds, deposits, security requirements, administration, and cumulative operation rather than nominal rate alone.</w:t>
      </w:r>
    </w:p>
    <w:p>
      <w:pPr>
        <w:pStyle w:val="Normal"/>
      </w:pPr>
      <w:r>
        <w:t>AM-3. The package addresses proxy fiscal discrimination, tax-credit substitution pressure, audit and refund harassment, methodology manipulation, political-proxy targeting, retroactivity, treaty-settlement fiscal hostage-taking, and fiscal classification whack-a-mole.</w:t>
      </w:r>
    </w:p>
    <w:p>
      <w:pPr>
        <w:pStyle w:val="Normal"/>
      </w:pPr>
      <w:r>
        <w:t>AM-4. Article 32.3G preserves tax-convention priority and designated-authority competence while allowing evidence preservation and narrowly tailored interim protection that does not prejudge the tax-convention question.</w:t>
      </w:r>
    </w:p>
    <w:p>
      <w:pPr>
        <w:pStyle w:val="Normal"/>
      </w:pPr>
      <w:r>
        <w:t>AM-5. Cothrom is expressly barred from becoming a general appellate body for the wisdom, progressivity, level, or political desirability of domestic taxation. Remedies target the treaty-inconsistent feature while preserving bona fide alternative revenue design.</w:t>
      </w:r>
    </w:p>
    <w:p>
      <w:pPr>
        <w:pStyle w:val="Heading2"/>
      </w:pPr>
      <w:bookmarkStart w:id="902263" w:name="_Toc300002262"/>
      <w:r>
        <w:t>PACKAGE AN: RECIPROCAL PROCUREMENT COMPACT AND VALUE-EQUIVALENCE INTEGRATION (v6.0)</w:t>
      </w:r>
      <w:bookmarkEnd w:id="902263"/>
    </w:p>
    <w:p>
      <w:pPr>
        <w:pStyle w:val="Normal"/>
      </w:pPr>
      <w:r>
        <w:t>AN-1. Articles 49.7A–49.7H convert the preliminary procurement architecture into a practical reciprocal-access compact based on comparable opportunity rather than identical spending, institutions, or award outcomes.</w:t>
      </w:r>
    </w:p>
    <w:p>
      <w:pPr>
        <w:pStyle w:val="Normal"/>
      </w:pPr>
      <w:r>
        <w:t>AN-2. The Effective Accessible Procurement Value method measures contestable covered value, thresholds, preference intensity, sector breadth, qualification burden, practical usability, payment, review, and related access conditions while excluding genuinely unavailable procurement from inflated headline totals.</w:t>
      </w:r>
    </w:p>
    <w:p>
      <w:pPr>
        <w:pStyle w:val="Normal"/>
      </w:pPr>
      <w:r>
        <w:t>AN-3. Reciprocity Bands and a sovereign Rebalancing Menu permit each Party to cure material imbalance by choosing among additional coverage, lower thresholds, reduced preference intensity, SME facilitation, credential recognition, voluntary subnational participation, or other measurable access improvements. Enhanced benefits earn back automatically after verified cure.</w:t>
      </w:r>
    </w:p>
    <w:p>
      <w:pPr>
        <w:pStyle w:val="Normal"/>
      </w:pPr>
      <w:r>
        <w:t>AN-4. The package creates an interoperable North American SME Procurement Passport and opportunity-discovery architecture, protects constitutional federalism, and rewards voluntary provincial, state, and other constitutionally competent subnational participation without compulsory federalization.</w:t>
      </w:r>
    </w:p>
    <w:p>
      <w:pPr>
        <w:pStyle w:val="Normal"/>
      </w:pPr>
      <w:r>
        <w:t>AN-5. Strategic-capacity and resilience procurement may reward genuine new continental capacity and optional aggregated demand, but nationality scoring among qualifying Canadian, Mexican, and United States suppliers and intra-North-American cannibalization do not earn resilience credit.</w:t>
      </w:r>
    </w:p>
    <w:p>
      <w:pPr>
        <w:pStyle w:val="Normal"/>
      </w:pPr>
      <w:r>
        <w:t>AN-6. Anti-gaming rules address contract splitting, entity shuffling, successor procurement, proxy purchasing, mid-tender rule changes, disguised local-presence requirements, discriminatory payment practices, and security-label overreach while preserving legitimate lifecycle, emergency, safety, integrity, and security procurement.</w:t>
      </w:r>
    </w:p>
    <w:p>
      <w:pPr>
        <w:pStyle w:val="Normal"/>
      </w:pPr>
      <w:r>
        <w:t>AN-7. Annex 49-A is upgraded from a preliminary landing schedule into the North American Procurement Value-Equivalence and Landing Schedule, with contestable-value rules, EAPV factors, Reciprocity Bands, rebalancing, SME and capacity modifiers, voluntary subnational schedules, annual review, data protection, and a Three-Win review.</w:t>
      </w:r>
    </w:p>
    <w:p>
      <w:pPr>
        <w:pStyle w:val="Normal"/>
      </w:pPr>
      <w:r>
        <w:t>AN-8. The package expressly guarantees equitable opportunity to compete rather than predetermined contract outcomes and makes correction or procurement rebalancing the first remedy for equivalence shortfalls.</w:t>
      </w:r>
    </w:p>
    <w:p>
      <w:pPr>
        <w:pStyle w:val="Heading2"/>
      </w:pPr>
      <w:bookmarkStart w:id="902264" w:name="_Toc300002263"/>
      <w:r>
        <w:t>PACKAGE AH: ANTI-MANUFACTURED ESCALATION AND MARKET-INTEGRITY HARDENING (v5.7)</w:t>
      </w:r>
      <w:bookmarkEnd w:id="902264"/>
    </w:p>
    <w:p>
      <w:pPr>
        <w:pStyle w:val="Normal"/>
      </w:pPr>
      <w:r>
        <w:t>AH-1. Articles 35.46-35.52 close manufactured-escalation pathways through binding Cure Certification, a strict non-tariff incapacity test, standardized economic-harm and model-integrity rules, strategic-nexus and market-definition safeguards, aggregate-remedy review, repetitive-petition safe harbours, and automatic learning review after every authorized tariff.</w:t>
      </w:r>
    </w:p>
    <w:p>
      <w:pPr>
        <w:pStyle w:val="Normal"/>
      </w:pPr>
      <w:r>
        <w:t>AH-2. Full Cure Certification prevents a Party from perpetuating a resolved violation through unilateral disagreement; materially new facts or fraud are required to reopen the issue.</w:t>
      </w:r>
    </w:p>
    <w:p>
      <w:pPr>
        <w:pStyle w:val="Normal"/>
      </w:pPr>
      <w:r>
        <w:t>AH-3. The exhaustion bypass is narrowly limited to material, non-speculative, substantially irreversible harm that cannot reasonably be addressed by accelerated or provisional non-tariff measures.</w:t>
      </w:r>
    </w:p>
    <w:p>
      <w:pPr>
        <w:pStyle w:val="Normal"/>
      </w:pPr>
      <w:r>
        <w:t>AH-4. Economic models supporting escalation must separate observed and forecast loss, avoid double counting, disclose assumptions and uncertainty, and undergo independent replication or technical review.</w:t>
      </w:r>
    </w:p>
    <w:p>
      <w:pPr>
        <w:pStyle w:val="Normal"/>
      </w:pPr>
      <w:r>
        <w:t>AH-5. Security and strategic claims require concrete vulnerability rather than mere connection to a sensitive sector; market definitions are independently validated to prevent denominator engineering.</w:t>
      </w:r>
    </w:p>
    <w:p>
      <w:pPr>
        <w:pStyle w:val="Normal"/>
      </w:pPr>
      <w:r>
        <w:t>AH-6. Aggregate Remedy and Repetitive Petition safeguards prevent multiple legitimate proceedings from becoming de facto cross-sector punishment or perpetual tariff uncertainty.</w:t>
      </w:r>
    </w:p>
    <w:p>
      <w:pPr>
        <w:pStyle w:val="Normal"/>
      </w:pPr>
      <w:r>
        <w:t>AH-7. Articles 35.53-35.58 and Annex 35-J create the Market Integrity and Non-Public Trade Information Firewall covering MNPTI, trading and tipping, derivatives and prediction markets, blackout and preclearance, beneficial ownership, record preservation, simultaneous Registry publication, selective disclosure, false procedural statements, regulatory event-window cooperation, and independent Market Integrity review.</w:t>
      </w:r>
    </w:p>
    <w:p>
      <w:pPr>
        <w:pStyle w:val="Normal"/>
      </w:pPr>
      <w:r>
        <w:t>AH-8. A material market-manipulation or improper-profit scheme attributable to the tariff-petitioning Party can dismiss or terminate the tariff petition, while anti-false-flag rules prevent unrelated misconduct from rewarding another wrongdoer.</w:t>
      </w:r>
    </w:p>
    <w:p>
      <w:pPr>
        <w:pStyle w:val="Normal"/>
      </w:pPr>
      <w:r>
        <w:t>AH-9. The three-year tariff-abolition study now measures the economic shadow of tariff authority itself, including volatility, investment delay, hedging and financing costs, and procedural uncertainty even when no tariff is ultimately imposed.</w:t>
      </w:r>
    </w:p>
    <w:p>
      <w:pPr>
        <w:pStyle w:val="Heading2"/>
      </w:pPr>
      <w:bookmarkStart w:id="902265" w:name="_Toc300002264"/>
      <w:r>
        <w:t>PACKAGE AG: GUARANTOR INTEGRITY FIREWALL AND ANTI-CAPTURE HARDENING (v5.6)</w:t>
      </w:r>
      <w:bookmarkEnd w:id="902265"/>
    </w:p>
    <w:p>
      <w:pPr>
        <w:pStyle w:val="Normal"/>
      </w:pPr>
      <w:r>
        <w:t>AG-1. Article 35.42 prohibits direct and indirect bribery, inducement, coercion, reward, benefit-conditioning, and intermediary evasion aimed at guarantor selection, recusal, voting, reasoning, or timing.</w:t>
      </w:r>
    </w:p>
    <w:p>
      <w:pPr>
        <w:pStyle w:val="Normal"/>
      </w:pPr>
      <w:r>
        <w:t>AG-2. A verified material integrity breach caused or knowingly participated in by the tariff-petitioning Party automatically dismisses the petition for 180 days as to the same underlying breach and constitutes an independent Tier 3 treaty-integrity violation.</w:t>
      </w:r>
    </w:p>
    <w:p>
      <w:pPr>
        <w:pStyle w:val="Normal"/>
      </w:pPr>
      <w:r>
        <w:t>AG-3. Article 35.43 creates a secure communications docket, bars private merits lobbying, requires prompt memorialization of substantive contacts, guarantees equality of arms, and requires independent security-cleared testing of material classified evidence that cannot be disclosed to another Party.</w:t>
      </w:r>
    </w:p>
    <w:p>
      <w:pPr>
        <w:pStyle w:val="Normal"/>
      </w:pPr>
      <w:r>
        <w:t>AG-4. Article 35.44 establishes financial-interest disclosure, gift and employment restrictions, associated-person conflict rules, a two-year cooling-off period, and disclosure review for extraordinary discretionary bilateral benefits from 90 days before selection through one year after disposition.</w:t>
      </w:r>
    </w:p>
    <w:p>
      <w:pPr>
        <w:pStyle w:val="Normal"/>
      </w:pPr>
      <w:r>
        <w:t>AG-5. Article 35.45 creates a randomly selected three-member Integrity Panel to decide recusals and corruption/coercion allegations, prevents strategic recusal shopping, distinguishes independently corrupted guarantors from petitioning-party taint, and authorizes post-decision reward review.</w:t>
      </w:r>
    </w:p>
    <w:p>
      <w:pPr>
        <w:pStyle w:val="Normal"/>
      </w:pPr>
      <w:r>
        <w:t>AG-6. Annex 35-I establishes the integrity register, extraordinary-benefit screening factors, standardized guarantor compensation, independence declarations, and post-service certification.</w:t>
      </w:r>
    </w:p>
    <w:p>
      <w:pPr>
        <w:pStyle w:val="Heading2"/>
      </w:pPr>
      <w:bookmarkStart w:id="902266" w:name="_Toc300002265"/>
      <w:r>
        <w:t>PACKAGE AF: DEMERIT ENFORCEMENT, ROTATING GUARANTOR TARIFF QUARANTINE, AND THREE-YEAR ABOLITION STUDY (v5.5)</w:t>
      </w:r>
      <w:bookmarkEnd w:id="902266"/>
    </w:p>
    <w:p>
      <w:pPr>
        <w:pStyle w:val="Normal"/>
      </w:pPr>
      <w:r>
        <w:t>AF-1. Article 35.37 and Annex 35-G establish a Cothrom-linked demerit system in which verified noncompliance accumulates expiring points and ordinarily reduces only directly related enhanced treaty preferences by 5, 10, 15, or 20 percent. Ordinary zero-duty treatment for originating goods is not a demerit target.</w:t>
      </w:r>
    </w:p>
    <w:p>
      <w:pPr>
        <w:pStyle w:val="Normal"/>
      </w:pPr>
      <w:r>
        <w:t>AF-2. Articles 35.38 through 35.40 quarantine tariffs as an absolute last-resort remedy. A tariff requires exhaustion or demonstrated inadequacy of non-tariff remedies, clear and convincing evidence, direct module nexus, and authorization by a rotating five-State neutral guarantor panel.</w:t>
      </w:r>
    </w:p>
    <w:p>
      <w:pPr>
        <w:pStyle w:val="Normal"/>
      </w:pPr>
      <w:r>
        <w:t>AF-3. Guarantor approval requires four of five votes; a rate above 10 percent requires unanimity; no authorized tariff may exceed 15 percent; ordinary authorization is capped at 5 percent and serious persistent Tier 3 cases at 10 percent.</w:t>
      </w:r>
    </w:p>
    <w:p>
      <w:pPr>
        <w:pStyle w:val="Normal"/>
      </w:pPr>
      <w:r>
        <w:t>AF-4. Annex 35-H creates a 25-State candidate guarantor pool, subject to written consent and unanimous Party confirmation. Panel members are selected by transparent stratified random draw, cannot serve on consecutive tariff panels, and are subject to conflict-of-interest recusal and anti-retaliation protection.</w:t>
      </w:r>
    </w:p>
    <w:p>
      <w:pPr>
        <w:pStyle w:val="Normal"/>
      </w:pPr>
      <w:r>
        <w:t>AF-5. Article 35.40 adds an economic Tariff Burden Test, 30-day ordinary sunset, 60-day absolute authorization limit, automatic cure termination, fresh-panel renewal, humanitarian firewall, and prohibition on using prospective tariff authority as bargaining leverage.</w:t>
      </w:r>
    </w:p>
    <w:p>
      <w:pPr>
        <w:pStyle w:val="Normal"/>
      </w:pPr>
      <w:r>
        <w:t>AF-6. Article 35.41 requires a joint study within three years to determine whether intra-North-American tariffs should be abolished entirely and replaced by non-tariff compliance mechanisms, followed by a special ministerial review within 180 days of the report.</w:t>
      </w:r>
    </w:p>
    <w:p>
      <w:pPr>
        <w:pStyle w:val="Normal"/>
      </w:pPr>
      <w:r>
        <w:t>AE-1. Article 35.36 establishes a treaty-wide, trilateral No Uncompensated Front-Loading rule. Expressly paired concessions and benefits activate concurrently or at matched milestones, with verification, short cure, proportional step-back, and automatic restoration; ordinary implementation delay is distinguished from deliberate non-performance.</w:t>
      </w:r>
    </w:p>
    <w:p>
      <w:pPr>
        <w:pStyle w:val="Normal"/>
      </w:pPr>
      <w:r>
        <w:t>AE-2. Articles 37.6C–37.6D convert the rejected concept of treaty-wide exclusive mineral access into a non-exclusive Strategic Materials Preferred Commercial Access Portfolio. Windows are market-based, capacity-sensitive, generally focused on incremental/export-available supply, preserve domestic requirements and existing contracts, prohibit compulsory production and below-market sale, and retain diversified third-country trade.</w:t>
      </w:r>
    </w:p>
    <w:p>
      <w:pPr>
        <w:pStyle w:val="Normal"/>
      </w:pPr>
      <w:r>
        <w:t>AE-3. Initial negotiating calibration ranges are recorded for expert validation rather than as unconditional delivery quotas: aluminum 30–50 percent of qualifying incremental capacity; potash 15–25 percent; zinc about 15 percent; copper 10–20 percent; iron approximately 8–15 percent or another capacity-supported range; gold about 3–5 percent; uranium 2–2.5 percent; scarce/specialty minerals case-by-case, including zero where warranted.</w:t>
      </w:r>
    </w:p>
    <w:p>
      <w:pPr>
        <w:pStyle w:val="Normal"/>
      </w:pPr>
      <w:r>
        <w:t>AE-4. Articles 42.23A–42.23B create a three-level Strategic Materials-for-Forestry Normalization Ladder. Level I pairs a bounded abundant-material access package with elimination of the additional 10 percent Section 232 softwood-lumber tariff through the adopted implementing schedule. Higher-value Level II and III mineral, processing, stockpile, offtake, and investment cooperation is reserved for measurable reduction of remaining trade-remedy burdens and a durable forestry settlement.</w:t>
      </w:r>
    </w:p>
    <w:p>
      <w:pPr>
        <w:pStyle w:val="Normal"/>
      </w:pPr>
      <w:r>
        <w:t>AE-5. The package adds No Double Payment and No Commodity Contagion safeguards. A contribution cannot be repeatedly charged as new consideration, and failure in one commodity does not automatically unwind independently earned benefits in other commodities.</w:t>
      </w:r>
    </w:p>
    <w:p>
      <w:pPr>
        <w:pStyle w:val="Normal"/>
      </w:pPr>
      <w:r>
        <w:t>AE-6. The package preserves Article 37.6B’s resource-sovereignty firewall. Preferred access does not create exclusive rights, compulsory extraction, an export veto, mandatory mine development, foreign ownership of resources, or a prohibition on Canadian, Mexican, or United States trade with trusted non-Parties.</w:t>
      </w:r>
    </w:p>
    <w:p>
      <w:pPr>
        <w:pStyle w:val="Heading2"/>
      </w:pPr>
      <w:bookmarkStart w:id="902267" w:name="_Toc300002266"/>
      <w:r>
        <w:t>UNRESOLVED ITEMS AND DELIBERATE OMISSIONS</w:t>
      </w:r>
      <w:bookmarkEnd w:id="902267"/>
    </w:p>
    <w:p>
      <w:pPr>
        <w:pStyle w:val="Normal"/>
      </w:pPr>
      <w:r>
        <w:t>1. Single-Party (50%) automotive content: not adopted; the D-1 compromise delivers higher effective regional content by other means. Unresolved negotiating item.</w:t>
      </w:r>
    </w:p>
    <w:p>
      <w:pPr>
        <w:pStyle w:val="Normal"/>
      </w:pPr>
      <w:r>
        <w:t>2. Dismantling supply management: not adopted; Article 2.D disciplines administration while preserving structure. Unresolved item.</w:t>
      </w:r>
    </w:p>
    <w:p>
      <w:pPr>
        <w:pStyle w:val="Normal"/>
      </w:pPr>
      <w:r>
        <w:t>3. Broader procurement access: consultation and reciprocity channels rather than a general carve-in; procurement retaliation expressly disciplined under Article 35.4A.1(l). Unresolved item.</w:t>
      </w:r>
    </w:p>
    <w:p>
      <w:pPr>
        <w:pStyle w:val="Normal"/>
      </w:pPr>
      <w:r>
        <w:t>4. Pharmaceutical pricing, seeds/produce rules, electricity-market specifics: routed to regulatory-cooperation and consultation mechanisms.</w:t>
      </w:r>
    </w:p>
    <w:p>
      <w:pPr>
        <w:pStyle w:val="Normal"/>
      </w:pPr>
      <w:r>
        <w:t>5. Digital/cultural domestic regulation: policy space preserved, consistent with all three Parties’ stated positions.</w:t>
      </w:r>
    </w:p>
    <w:p>
      <w:pPr>
        <w:pStyle w:val="Normal"/>
      </w:pPr>
      <w:r>
        <w:t>6. Domestic-content subsidy design: coordinated through national-treatment and subsidy disciplines (Article 35.4A.2) rather than reclassification as border measures, preserving legitimate industrial policy.</w:t>
      </w:r>
    </w:p>
    <w:p>
      <w:pPr>
        <w:pStyle w:val="Heading2"/>
      </w:pPr>
      <w:bookmarkStart w:id="902268" w:name="_Toc300002267"/>
      <w:r>
        <w:t>PACKAGE Z: TARIFF FIREWALL, HUMANITARIAN PROTECTION, ENERGY OPTIONALITY, AND EXPERIMENTAL DEVELOPMENT (v4.5)</w:t>
      </w:r>
      <w:bookmarkEnd w:id="902268"/>
    </w:p>
    <w:p>
      <w:pPr>
        <w:pStyle w:val="Normal"/>
      </w:pPr>
      <w:r>
        <w:t>Package Z records the v4.5 integration of four hardening families into their native chapters. Chapter 35 now adds a permanent zero-tariff presumption for originating goods, a finite Corrective Tariff Budget with an automatic six-month lockout after exhaustion, and a Humanitarian Tariff Firewall. Chapter 38 adds emergency release and classification safeguards for strictly life-saving humanitarian goods. Chapter 39 adds an iterative Experimental Technology Pathway with project-specific iteration thresholds, a software/simulation or other technically appropriate Revalidation Gate after repeated unsuccessful physical iterations, derivative development, and productive closure. Chapter 40 adds an outcome-based Energy Optionality architecture, a No Named-Project Obligation, functional substitution, existing-corridor optimization, predictable regulatory coordination, a broad energy-security portfolio, workforce cooperation, a non-binding candidate register, and an Energy Optionality and Equivalency Matrix. Existing institutions administer all additions unless an authenticated amendment expressly provides otherwise.</w:t>
      </w:r>
    </w:p>
    <w:p>
      <w:pPr>
        <w:pStyle w:val="Heading2"/>
      </w:pPr>
      <w:bookmarkStart w:id="902269" w:name="_Toc300002268"/>
      <w:r>
        <w:t>PACKAGE Y: INTEGRATED OPERATIONAL HARDENING AND INTERIM TARIFF-DURABILITY AMENDMENTS (v4.4)</w:t>
      </w:r>
      <w:bookmarkEnd w:id="902269"/>
    </w:p>
    <w:p>
      <w:pPr>
        <w:pStyle w:val="Normal"/>
      </w:pPr>
      <w:r>
        <w:t>Package Y records the v4.4 integration of administrative simplification and tariff-durability provisions into their native chapters. The operative text is located in Chapters 1, 4, 5, 30, 34, 35, 42, and 59 and Annexes 4-E-1 and 5-Z. The amendments preserve existing substantive safeguards, reduce duplicative verification, establish risk-tiered administration, protect ordinary duty-free automotive qualification from unnecessary alternative calculations, strengthen treatment of binding tariff suspensions, clarify the distinction between political commitments and legal obligations, and require existing institutions to absorb new administrative functions wherever reasonably possible.</w:t>
      </w:r>
    </w:p>
    <w:p>
      <w:pPr>
        <w:pStyle w:val="Heading2"/>
      </w:pPr>
      <w:bookmarkStart w:id="902270" w:name="_Toc300002269"/>
      <w:r>
        <w:t>PACKAGE Y-S: SOVEREIGNTY, AUTOMOTIVE SCOPE, CULTURE, AND STRATEGIC-RESOURCE HARDENING (v5.3)</w:t>
      </w:r>
      <w:bookmarkEnd w:id="902270"/>
    </w:p>
    <w:p>
      <w:pPr>
        <w:pStyle w:val="Normal"/>
      </w:pPr>
      <w:r>
        <w:t>Y-S1. Article 32.G (new). Explicit External Economic Relations and Treaty Sovereignty rule: consultation and anti-circumvention review remain available, but no Party receives a veto over another Party's non-Party economic arrangements.</w:t>
      </w:r>
    </w:p>
    <w:p>
      <w:pPr>
        <w:pStyle w:val="Normal"/>
      </w:pPr>
      <w:r>
        <w:t>Y-S2. Article 34.A.1A (new). Reserved Sovereignty Matter safeguard prevents substantive late-stage demands affecting treaty-making authority, constitutional jurisdiction, culture and language, natural-resource sovereignty, or equality of originating content from passing as legal scrub or technical amendment.</w:t>
      </w:r>
    </w:p>
    <w:p>
      <w:pPr>
        <w:pStyle w:val="Normal"/>
      </w:pPr>
      <w:r>
        <w:t>Y-S3. Article 37.6B (new). Prohibits treaty-wide rights of first refusal, exclusive mineral claims, compulsory offtakes, export vetoes, production-direction rights, and compulsory extraction while preserving voluntary project-specific commercial arrangements.</w:t>
      </w:r>
    </w:p>
    <w:p>
      <w:pPr>
        <w:pStyle w:val="Normal"/>
      </w:pPr>
      <w:r>
        <w:t>Y-S4. Article 41.7A (new). Symmetric Cultural and Linguistic Sovereignty Firewall with express Canadian coverage for French and English language rights and services, French-language culture, bilingual public information, Canadian cultural expression, Quebec cultural jurisdiction, and Indigenous languages and cultures.</w:t>
      </w:r>
    </w:p>
    <w:p>
      <w:pPr>
        <w:pStyle w:val="Normal"/>
      </w:pPr>
      <w:r>
        <w:t>Y-S5. Article 59.22A and Annex 35-B (amended). Full-scope automotive coverage and anti-cherry-picking protection spanning passenger vehicles, SUVs, vans, pickups/light trucks, medium-duty trucks, heavy-duty trucks, buses, chassis, and covered parts.</w:t>
      </w:r>
    </w:p>
    <w:p>
      <w:pPr>
        <w:pStyle w:val="Normal"/>
      </w:pPr>
      <w:r>
        <w:t>Y-S6. Article 59.5A paragraph 4A (new). North American Content Equality Principle: once content qualifies as originating, Canadian, Mexican, and United States origin receives equal baseline treaty status, while bounded incentives for genuinely additional investment remain possible.</w:t>
      </w:r>
    </w:p>
    <w:p>
      <w:pPr>
        <w:pStyle w:val="Normal"/>
      </w:pPr>
      <w:r>
        <w:t>Y-S7. Article 59.5A paragraphs 3-5F (amended/new). Equal 100 percent North American baseline content credit paired with separate Industrial Expansion Tiers, American Industrial Expansion Tier, United States Auto Repatriation Supercredit, Strategic Components Bonus, voluntary 50 percent American Economic Contribution portfolio benchmark, No North American Cannibalization Rule, and North American Capacity Growth Test.</w:t>
      </w:r>
    </w:p>
    <w:p>
      <w:pPr>
        <w:pStyle w:val="Normal"/>
      </w:pPr>
      <w:r>
        <w:t>Y-S8. Article 59.22A paragraphs 6-8 and Annex 59-B Parts 1A-1B (new). Explicit Class I-VI automotive settlement coverage spanning passenger vehicles through heavy-duty vehicles, buses, chassis, parts, and strategic components; included-first rule; class-specific technical schedules; and temporary classification-dispute continuity.</w:t>
      </w:r>
    </w:p>
    <w:p>
      <w:pPr>
        <w:pStyle w:val="Heading2"/>
      </w:pPr>
      <w:bookmarkStart w:id="902271" w:name="_Toc300002270"/>
      <w:r>
        <w:t>PACKAGE AO: PROVINCIAL DAIRY ACCESS, EFFECTIVE UTILIZATION, AND SUPPLY-MANAGEMENT STABILITY (v6.1).</w:t>
      </w:r>
      <w:bookmarkEnd w:id="902271"/>
    </w:p>
    <w:p>
      <w:pPr>
        <w:pStyle w:val="Normal"/>
      </w:pPr>
      <w:r>
        <w:t>AO-1. Articles 43.2L.4 through 43.2L.9 establish a United States dairy access floor calculated separately against each Canadian province's own Reference Milk-Production Volume, set at 0.6 percent at entry into force and increasing to 0.8 percent six months thereafter unless an alternative validated schedule is expressly agreed.</w:t>
      </w:r>
    </w:p>
    <w:p>
      <w:pPr>
        <w:pStyle w:val="Normal"/>
      </w:pPr>
      <w:r>
        <w:t>AO-2. The package converts nominal access into commercially meaningful access through use-or-return checkpoints, automatic reallocation, a 90 percent utilization benchmark with cause-based review, new-entrant pathways, and correction where qualified United States supply and willing Canadian demand are blocked by administration.</w:t>
      </w:r>
    </w:p>
    <w:p>
      <w:pPr>
        <w:pStyle w:val="Normal"/>
      </w:pPr>
      <w:r>
        <w:t>AO-3. Provincial distribution, anti-concentration, regional pooling for constrained small markets, milk-equivalent conversion, product-sensitive sub-pools, and rolling three-year reference production preserve geographic breadth while avoiding false raw-litre equivalence.</w:t>
      </w:r>
    </w:p>
    <w:p>
      <w:pPr>
        <w:pStyle w:val="Normal"/>
      </w:pPr>
      <w:r>
        <w:t>AO-4. A supply-management stability firewall preserves Canadian production quotas, farm-gate pricing structures, over-quota protection outside scheduled access, and administrative flexibility, while prohibiting use of those protections to erase the negotiated access floor or create an automatic expansion ratchet.</w:t>
      </w:r>
    </w:p>
    <w:p>
      <w:pPr>
        <w:pStyle w:val="Normal"/>
      </w:pPr>
      <w:r>
        <w:t>AO-5. Genuinely incremental Canadian access is synchronized with an identified reciprocal Canadian benefit under the no-uncompensated-front-loading rule; Mexico retains full procedural equality and receives a dedicated review for an appropriate reciprocal dairy opportunity rather than mechanical duplication.</w:t>
      </w:r>
    </w:p>
    <w:p>
      <w:pPr>
        <w:pStyle w:val="Normal"/>
      </w:pPr>
      <w:r>
        <w:t>AO-6. Annex 43-A is expanded with provincial scheduling, milk-equivalent conversion, utilization reporting, new-entrant availability, and existing-access baseline rules so negotiators can calibrate exact quantities from validated official data without hard-coding unsupported provincial figures into the treaty body.</w:t>
      </w:r>
    </w:p>
    <w:p>
      <w:pPr>
        <w:pStyle w:val="Heading2"/>
      </w:pPr>
      <w:bookmarkStart w:id="902272" w:name="_Toc300002271"/>
      <w:r>
        <w:t>PACKAGE AP: DAIRY ACCESS REINFORCEMENT AND PRIORITY CHEESE SWEETENER (v6.2).</w:t>
      </w:r>
      <w:bookmarkEnd w:id="902272"/>
    </w:p>
    <w:p>
      <w:pPr>
        <w:pStyle w:val="Normal"/>
      </w:pPr>
      <w:r>
        <w:t>AP-1. Article 43.2L.4 is recalibrated to a six-month implementation schedule: a 0.6 percent general provincial dairy access floor at entry into force, increasing to 0.8 percent after six months without administrative-delay extension.</w:t>
      </w:r>
    </w:p>
    <w:p>
      <w:pPr>
        <w:pStyle w:val="Normal"/>
      </w:pPr>
      <w:r>
        <w:t>AP-2. Article 43.2L.5 is strengthened with automatic consequences for underutilization, including audit below 90 percent, corrective access planning below 80 percent, a rebuttable presumption after persistent underperformance, and commercially usable reallocation timing.</w:t>
      </w:r>
    </w:p>
    <w:p>
      <w:pPr>
        <w:pStyle w:val="Normal"/>
      </w:pPr>
      <w:r>
        <w:t>AP-3. Article 43.2L.6 adds a 25 percent Open Access Reserve for qualified non-incumbent commercial channels, an ordinary 25 percent beneficial-ownership concentration ceiling with a narrow stranded-access exception, and tighter regional-routing rules that preserve each province's numerical obligation.</w:t>
      </w:r>
    </w:p>
    <w:p>
      <w:pPr>
        <w:pStyle w:val="Normal"/>
      </w:pPr>
      <w:r>
        <w:t>AP-4. Article 43.2L.7 adds a product-demand responsiveness rule preventing systematic diversion of access into low-demand or administratively convenient categories where qualified United States supply and willing Canadian commercial demand exist.</w:t>
      </w:r>
    </w:p>
    <w:p>
      <w:pPr>
        <w:pStyle w:val="Normal"/>
      </w:pPr>
      <w:r>
        <w:t>AP-5. New Article 43.2L.10 establishes an additional 0.2 percent Provincial Priority Cheese Access Bonus limited to United States-origin cheddar, mozzarella, including commercially relevant low-moisture and part-skim forms, and cream cheese. The Bonus is additional to the general floor, applies from entry into force, uses a unified demand-responsive pool, and inherits effective-utilization, open-access, anti-concentration, and no-ratchet safeguards.</w:t>
      </w:r>
    </w:p>
    <w:p>
      <w:pPr>
        <w:pStyle w:val="Normal"/>
      </w:pPr>
      <w:r>
        <w:t>AP-6. Annex 43-A is expanded with transparent and reproducible milk-equivalent methodology, a Priority Cheese Schedule, classification and anti-substitution rules, separate utilization reporting, and explicit confirmation that total scheduled provincial access equals 0.8 percent at entry into force and 1.0 percent after six months.</w:t>
      </w:r>
    </w:p>
    <w:p>
      <w:pPr>
        <w:pStyle w:val="Normal"/>
      </w:pPr>
      <w:r>
        <w:t>AP-7. The package preserves Canadian supply-management institutions outside the negotiated opening, treats genuinely incremental access as synchronized reciprocal value under Article 35.36, and does not convert successful cheese utilization into an automatic entitlement to further dairy liberalization.</w:t>
      </w:r>
    </w:p>
    <w:p>
      <w:pPr>
        <w:pStyle w:val="Heading2"/>
      </w:pPr>
      <w:bookmarkStart w:id="902273" w:name="_Toc300002272"/>
      <w:r>
        <w:t>PACKAGE AQ: OPTIONAL ENHANCED DAIRY ACCESS AND SOFTWOOD LUMBER NORMALIZATION EXCHANGE (v6.3).</w:t>
      </w:r>
      <w:bookmarkEnd w:id="902273"/>
    </w:p>
    <w:p>
      <w:pPr>
        <w:pStyle w:val="Normal"/>
      </w:pPr>
      <w:r>
        <w:t>AQ-1. New Article 43.2L.11 creates a legally dormant bilateral Canada-United States option that is not activated by NAESTMA ratification. Each Exchange Unit requires separate affirmative execution by both governments through constitutionally appropriate procedures.</w:t>
      </w:r>
    </w:p>
    <w:p>
      <w:pPr>
        <w:pStyle w:val="Normal"/>
      </w:pPr>
      <w:r>
        <w:t>AQ-2. The optional architecture permits up to an additional 0.50 percentage points of provincial United States dairy access above the 1.0 percent baseline: Unit A +0.20, Unit B +0.20, and Unit C +0.10, for a maximum total of 1.50 percent.</w:t>
      </w:r>
    </w:p>
    <w:p>
      <w:pPr>
        <w:pStyle w:val="Normal"/>
      </w:pPr>
      <w:r>
        <w:t>AQ-3. The suggested, explicitly negotiable initial lumber calibration is a 25 percent Aggregate Covered Border Burden ceiling for Unit A, 20 percent cumulatively for Units A+B, and 15 percent cumulatively for full activation. A 12.5 to 20 percent reference corridor guides full-package negotiation without creating an automatic entitlement.</w:t>
      </w:r>
    </w:p>
    <w:p>
      <w:pPr>
        <w:pStyle w:val="Normal"/>
      </w:pPr>
      <w:r>
        <w:t>AQ-4. Aggregate Covered Border Burden captures covered AD/CVD, Section 232 lumber tariffs, lumber-specific surcharges and successor measures while excluding ordinary non-discriminatory fees, taxes, penalties, and bona fide regulation unless used as disguised substitutes.</w:t>
      </w:r>
    </w:p>
    <w:p>
      <w:pPr>
        <w:pStyle w:val="Normal"/>
      </w:pPr>
      <w:r>
        <w:t>AQ-5. Activation requires specific signed schedules, reciprocal-value validation, Cothrom verification, and a Dual-Readiness Certificate so dairy and lumber concessions begin simultaneously and neither Party must perform first.</w:t>
      </w:r>
    </w:p>
    <w:p>
      <w:pPr>
        <w:pStyle w:val="Normal"/>
      </w:pPr>
      <w:r>
        <w:t>AQ-6. Material impairment triggers cure and surgical proportional step-back of only the affected optional unit. The 1.0 percent baseline dairy bargain, unrelated tariffs, and unrelated treaty rights remain insulated.</w:t>
      </w:r>
    </w:p>
    <w:p>
      <w:pPr>
        <w:pStyle w:val="Normal"/>
      </w:pPr>
      <w:r>
        <w:t>AQ-7. Either Party may terminate an optional Unit on 180 days notice without breach, damages, or retaliation. Activated Units otherwise continue without annual reauthorization, and successful performance creates no automatic ratchet.</w:t>
      </w:r>
    </w:p>
    <w:p>
      <w:pPr>
        <w:pStyle w:val="Normal"/>
      </w:pPr>
      <w:r>
        <w:t>AQ-8. The package includes anti-successor-measure, anti-bargaining-contamination, no-double-payment, Mexico-firewall, optional-priority-product, and structural-dairy-solids compatibility protections.</w:t>
      </w:r>
    </w:p>
    <w:p>
      <w:pPr>
        <w:pStyle w:val="Heading2"/>
      </w:pPr>
      <w:bookmarkStart w:id="902274" w:name="_Toc300002273"/>
      <w:r>
        <w:t>PACKAGE AS: AGRICULTURAL PRODUCTION SECURITY, PLANT BIOSECURITY, CROP-PROTECTION MODERNIZATION, AND NUTRIENT CIRCULARITY (v6.5).</w:t>
      </w:r>
      <w:bookmarkEnd w:id="902274"/>
    </w:p>
    <w:p>
      <w:pPr>
        <w:pStyle w:val="Normal"/>
      </w:pPr>
      <w:r>
        <w:t>AS-1. Chapter 43 is expanded through Articles 43.10–43.27 and Annex 43-G into a unified North American Agricultural Production Security and Resilience Framework covering seed continuity, germplasm, public breeding, biotechnology review, genetic coexistence, plant-health biosecurity, crop protection, resistance management, soil and water resilience, machinery and repair continuity, nutrient and manure circularity, agricultural labor, Mexico co-design, and food-security-without-dependency safeguards.</w:t>
      </w:r>
    </w:p>
    <w:p>
      <w:pPr>
        <w:pStyle w:val="Normal"/>
      </w:pPr>
      <w:r>
        <w:t>AS-2. Seed and planting-material provisions add emergency seed corridors, regionally distributed seed and germplasm resilience, public-breeding recognition, and a No Single-Dependency Agricultural Security Principle while preserving each Party’s authority over seed-saving, plant breeders’ rights, patents, licensing, and domestic approvals.</w:t>
      </w:r>
    </w:p>
    <w:p>
      <w:pPr>
        <w:pStyle w:val="Normal"/>
      </w:pPr>
      <w:r>
        <w:t>AS-3. Biotechnology provisions preserve sovereign approval while enabling voluntary dossier reuse, synchronized review, low-level-presence management, and an Emergency Agricultural Technology Review Pathway. Article 43.13 adds the rule that presence shall not create intent, protecting innocent farmers from automatic IP liability while preserving remedies for deliberate appropriation and preventable contamination.</w:t>
      </w:r>
    </w:p>
    <w:p>
      <w:pPr>
        <w:pStyle w:val="Normal"/>
      </w:pPr>
      <w:r>
        <w:t>AS-4. Plant-health provisions establish an updateable North American Plant Health Watch List, risk classifications, rapid diagnostic exchange, regionalization, emergency containment corridors, reporting incentives, and a forest-agriculture interface without freezing species lists into treaty text.</w:t>
      </w:r>
    </w:p>
    <w:p>
      <w:pPr>
        <w:pStyle w:val="Normal"/>
      </w:pPr>
      <w:r>
        <w:t>AS-5. Crop-protection provisions create a six-state modernization ladder from Continue through Prohibited Agricultural Active Substance, a safer-substitution rule, No Agricultural Protection Gap safeguard, precision-application modernization, off-target-effect protections, resistance surveillance, and integrated pest management without mandating a single production method.</w:t>
      </w:r>
    </w:p>
    <w:p>
      <w:pPr>
        <w:pStyle w:val="Normal"/>
      </w:pPr>
      <w:r>
        <w:t>AS-6. Article 43.17 adopts an initial negotiating hard-ban schedule for routine agricultural use of carbendazim, paraquat, and chlorothalonil, subject only to narrow one-growing-season emergency essential-use authority and transparent scientific addition or removal procedures.</w:t>
      </w:r>
    </w:p>
    <w:p>
      <w:pPr>
        <w:pStyle w:val="Normal"/>
      </w:pPr>
      <w:r>
        <w:t>AS-7. Soil, water, drought, and climate-resilience provisions support locally appropriate adaptation while expressly rejecting treaty-created cross-border water entitlements or crop mandates. Machinery provisions add seasonal priority treatment, repair and diagnostics access, anti-artificial-disablement safeguards, and interoperability subject to IP, cybersecurity, emissions, and safety law.</w:t>
      </w:r>
    </w:p>
    <w:p>
      <w:pPr>
        <w:pStyle w:val="Normal"/>
      </w:pPr>
      <w:r>
        <w:t>AS-8. Manure and nutrient provisions treat agricultural residuals as recoverable resources without creating a presumption of safety, add nutrient accounting, storage and runoff-risk safeguards, recovered-product standards, Nutrient Exchange Corridors, a resource cascade, shared-watershed outcomes, and the principle that circularity shall not require industrial scale.</w:t>
      </w:r>
    </w:p>
    <w:p>
      <w:pPr>
        <w:pStyle w:val="Normal"/>
      </w:pPr>
      <w:r>
        <w:t>AS-9. Mexico is expressly embedded as a co-designer across seed systems, specialty crops, drought and irrigation resilience, pest pathways, labor-intensive agriculture, inputs, logistics, and value-added processing. Article 43.27 protects domestic agricultural capacity and diversification while distinguishing legitimate intellectual-property incentives from anticompetitive conduct.</w:t>
      </w:r>
    </w:p>
    <w:p>
      <w:pPr>
        <w:pStyle w:val="Normal"/>
      </w:pPr>
      <w:r>
        <w:t>AS-10. Annex 43-G supplies a practical 90-day, 180-day, one-year, and two-year implementation sequence and directs the Parties to use existing institutions rather than create duplicative committee architecture.</w:t>
      </w:r>
    </w:p>
    <w:p>
      <w:pPr>
        <w:pStyle w:val="Heading2"/>
      </w:pPr>
      <w:bookmarkStart w:id="902275" w:name="_Toc300002274"/>
      <w:r>
        <w:t>PACKAGE AT: VOLUNTARY GREEN CARROT, CLEAN-MOBILITY, CIRCULARITY, AND INDUSTRIAL TRANSITION FRAMEWORK (v6.6).</w:t>
      </w:r>
      <w:bookmarkEnd w:id="902275"/>
    </w:p>
    <w:p>
      <w:pPr>
        <w:pStyle w:val="Normal"/>
      </w:pPr>
      <w:r>
        <w:t>AT-1. The Parties establish a voluntary North American Green Carrot Catalogue preserving the principle that clean-mobility and lower-emission choices should be made easier and more attractive through incentives, interoperability, financing, infrastructure, information, and innovation rather than treaty-created consumer purchase mandates, technology bans, or forced phase-outs.</w:t>
      </w:r>
    </w:p>
    <w:p>
      <w:pPr>
        <w:pStyle w:val="Normal"/>
      </w:pPr>
      <w:r>
        <w:t>AT-2. The Catalogue authorizes nationally determined and fiscally voluntary point-of-sale, used-vehicle, low-income, rural and remote, shared-mobility, taxi, fleet, home-charging, apartment-charging, workplace-charging, off-peak charging, vehicle-to-home, vehicle-to-grid, portable-charging, battery-health, and cross-border charging incentives. Any numerical amount in the Catalogue is illustrative unless a Party expressly adopts it in domestic law or an implementing schedule.</w:t>
      </w:r>
    </w:p>
    <w:p>
      <w:pPr>
        <w:pStyle w:val="Normal"/>
      </w:pPr>
      <w:r>
        <w:t>AT-3. Charging cooperation prioritizes interoperable payment and authentication, roaming, transparent pricing, apartment and multi-unit access, rural and remote coverage, border corridors, park-and-ride and public-fleet charging, mobile emergency charging, grid-edge storage, solar canopies, demand response, and resilience. Participation by utilities, municipalities, landlords, networks, retailers, hotels, restaurants, and other private actors remains voluntary except where domestic law independently provides otherwise.</w:t>
      </w:r>
    </w:p>
    <w:p>
      <w:pPr>
        <w:pStyle w:val="Normal"/>
      </w:pPr>
      <w:r>
        <w:t>AT-4. Manufacturing carrots include supplier retooling, worker-retention support, skills and micro-credentials, joint research and development, rapid prototyping, co-manufacturing, advanced manufacturing, port and fleet electrification, low-emission industrial equipment, clean-process investment, industrial-site readiness, recycling capacity, and transition finance, subject to ordinary subsidy, competition, procurement, labor, environmental, and fiscal disciplines.</w:t>
      </w:r>
    </w:p>
    <w:p>
      <w:pPr>
        <w:pStyle w:val="Normal"/>
      </w:pPr>
      <w:r>
        <w:t>AT-5. Circular-economy carrots include battery return and recycling, second-life stationary storage, battery passports and traceability, recycling research prizes, catalytic-converter recovery, recycled metals and plastics, low-carbon steel and aluminum, sustainable tires, smelter modernization, community storage, and recovery of critical materials. Incentives shall not waive environmental review, Indigenous or treaty rights, worker protections, mine-safety rules, royalty obligations without specific domestic authorization, or responsible-resource safeguards.</w:t>
      </w:r>
    </w:p>
    <w:p>
      <w:pPr>
        <w:pStyle w:val="Normal"/>
      </w:pPr>
      <w:r>
        <w:t>AT-6. Consumer and community carrots may include test-drive programs, group purchasing, educational demonstrations, EV-ready construction incentives, retrofit grants, eco-tourism charging routes, demand-response rewards, green lending products, usage-based insurance where lawful, and loyalty programs. The Parties should favor measures with a demonstrable mobility, grid, affordability, industrial, environmental, or educational benefit over novelty perks unrelated to those objectives.</w:t>
      </w:r>
    </w:p>
    <w:p>
      <w:pPr>
        <w:pStyle w:val="Normal"/>
      </w:pPr>
      <w:r>
        <w:t>AT-7. The Catalogue expressly excludes or reincarnates proposals that would compromise border-security neutrality, loading-zone or bus-lane safety, prudent mineral licensing, sound public finance, credit-reporting neutrality, retirement-account integrity, or credible carbon accounting. EV-specific border express lanes, private loading-zone privileges, bus-lane privileges, mineral finder’s fees, blanket royalty holidays, government-guaranteed resale floors, EV-specific credit-score manipulation, EV retirement-account constructs, and unsupported lifetime-carbon-offset instruments are not recommended treaty mechanisms.</w:t>
      </w:r>
    </w:p>
    <w:p>
      <w:pPr>
        <w:pStyle w:val="Normal"/>
      </w:pPr>
      <w:r>
        <w:t>AT-8. Existing institutions shall administer the Catalogue. No new standing committee is required. Parties may pilot, sunset, expand, revise, or discontinue individual carrots according to measured uptake, fiscal cost, grid effects, lifecycle emissions, equity, industrial impact, and consumer benefit, while preserving the voluntary character of the framework.</w:t>
      </w:r>
    </w:p>
    <w:p>
      <w:pPr>
        <w:pStyle w:val="Heading2"/>
      </w:pPr>
      <w:bookmarkStart w:id="902276" w:name="_Toc300002275"/>
      <w:r>
        <w:t>PACKAGE AU: NORTH AMERICAN EDUCATION, SKILLS, RESEARCH, AND MOBILITY FRAMEWORK (v6.6).</w:t>
      </w:r>
      <w:bookmarkEnd w:id="902276"/>
    </w:p>
    <w:p>
      <w:pPr>
        <w:pStyle w:val="Normal"/>
      </w:pPr>
      <w:r>
        <w:t>AU-1. The Parties encourage voluntary student, faculty, teacher, researcher, apprentice, technician, journalist, artist, librarian, museum, community-college, youth-leadership, and community exchanges, including virtual exchange, sister-school and sister-city education partnerships, border-community programs, language immersion, field schools, public-health exchanges, agricultural science, supply-chain externships, and collaborative research.</w:t>
      </w:r>
    </w:p>
    <w:p>
      <w:pPr>
        <w:pStyle w:val="Normal"/>
      </w:pPr>
      <w:r>
        <w:t>AU-2. Participating accredited institutions may develop joint and trilateral degree programs, shared online courses, open educational resources, North American studies programs, AI and technology-ethics curricula, cybersecurity programs, climate and biodiversity curricula, business-case libraries, and research partnerships. Recognition of a joint credential applies only through the participating institutions and competent domestic accreditation or licensing systems.</w:t>
      </w:r>
    </w:p>
    <w:p>
      <w:pPr>
        <w:pStyle w:val="Normal"/>
      </w:pPr>
      <w:r>
        <w:t>AU-3. A voluntary North American Skills Passport may document verified education, apprenticeships, micro-credentials, occupational competencies, and professional training. It facilitates equivalency assessment and recognition pathways but does not itself create blanket mutual recognition, override licensing bodies, or confer a right to practice a regulated profession.</w:t>
      </w:r>
    </w:p>
    <w:p>
      <w:pPr>
        <w:pStyle w:val="Normal"/>
      </w:pPr>
      <w:r>
        <w:t>AU-4. Technical cooperation may support apprenticeships and training in EV service, batteries, advanced manufacturing, logistics, clean energy, sustainable construction, mining and resource management, agriculture, tourism and hospitality in Canada, the United States, and Mexico, entrepreneurship, and emergency-response disciplines. Police exchanges require specific civil-rights, jurisdiction, weapons, use-of-force, records, and accountability safeguards.</w:t>
      </w:r>
    </w:p>
    <w:p>
      <w:pPr>
        <w:pStyle w:val="Normal"/>
      </w:pPr>
      <w:r>
        <w:t>AU-5. Health-professional externships are limited to supervised educational placements consistent with host-jurisdiction licensing, scope-of-practice, patient-consent, privacy, insurance, and clinical-safety requirements. Teaching exchanges likewise remain subject to credential, immigration, safeguarding, and labor requirements.</w:t>
      </w:r>
    </w:p>
    <w:p>
      <w:pPr>
        <w:pStyle w:val="Normal"/>
      </w:pPr>
      <w:r>
        <w:t>AU-6. Indigenous education cooperation may support language revitalization, land-based learning, reciprocal Indigenous-knowledge partnerships, and institutionally authorized tuition-equity initiatives. Nothing in this Agreement purports to create a universal tuition waiver from the Jay Treaty or to alter Aboriginal, Indigenous, treaty, constitutional, or self-government rights.</w:t>
      </w:r>
    </w:p>
    <w:p>
      <w:pPr>
        <w:pStyle w:val="Normal"/>
      </w:pPr>
      <w:r>
        <w:t>AU-7. Rural access, adult literacy, multilingual learning, AI-assisted translation, digital libraries, global classrooms, virtual STEM competitions, teacher professional development, and community engagement may be supported through existing institutions and open, interoperable platforms. Programs should be accessible to smaller institutions and communities rather than concentrated only in major universities.</w:t>
      </w:r>
    </w:p>
    <w:p>
      <w:pPr>
        <w:pStyle w:val="Normal"/>
      </w:pPr>
      <w:r>
        <w:t>AU-8. Education cooperation is facilitative, not a federalization of curricula. Each Party preserves constitutional, state, provincial, territorial, local, Indigenous, institutional, accreditation, immigration, and professional-regulatory authority.</w:t>
      </w:r>
    </w:p>
    <w:p>
      <w:pPr>
        <w:pStyle w:val="Heading2"/>
      </w:pPr>
      <w:bookmarkStart w:id="902277" w:name="_Toc300002276"/>
      <w:r>
        <w:t>PACKAGE AV: FREEDOM OF CONSCIENCE, STATE NEUTRALITY, AND EQUAL CITIZENSHIP FRAMEWORK (v6.6).</w:t>
      </w:r>
      <w:bookmarkEnd w:id="902277"/>
    </w:p>
    <w:p>
      <w:pPr>
        <w:pStyle w:val="Normal"/>
      </w:pPr>
      <w:r>
        <w:t>AV-1. The Parties affirm a double firewall: religion, non-religion, or ideology shall not capture the coercive power of the state, and the state shall not suppress, punish, or disadvantage peaceful religion, non-religion, belief, disbelief, worship, expression, association, or political participation.</w:t>
      </w:r>
    </w:p>
    <w:p>
      <w:pPr>
        <w:pStyle w:val="Normal"/>
      </w:pPr>
      <w:r>
        <w:t>AV-2. Public authority should operate through religiously neutral law: no religious test for public office, voting, public employment, public services, immigration, or ordinary civic participation; no compulsory worship or religious oath; no state enforcement of religious doctrine; and no governmental discrimination among religions, conscience-based beliefs, or non-belief.</w:t>
      </w:r>
    </w:p>
    <w:p>
      <w:pPr>
        <w:pStyle w:val="Normal"/>
      </w:pPr>
      <w:r>
        <w:t>AV-3. Public education may teach about religion academically but shall not compel devotional observance. Students retain equal rights to voluntary religious and non-religious expression and clubs under neutral access rules. Science, health, and other public curricula remain evidence-based within the competent domestic education system.</w:t>
      </w:r>
    </w:p>
    <w:p>
      <w:pPr>
        <w:pStyle w:val="Normal"/>
      </w:pPr>
      <w:r>
        <w:t>AV-4. Public funding, grants, contracts, facilities, charitable rules, and social-service programs should use neutral eligibility criteria. A religious organization is neither entitled to preferential treatment nor disqualified merely because it is religious, provided publicly funded services comply with applicable non-discrimination, safeguarding, financial-accountability, and no-compelled-proselytization rules.</w:t>
      </w:r>
    </w:p>
    <w:p>
      <w:pPr>
        <w:pStyle w:val="Normal"/>
      </w:pPr>
      <w:r>
        <w:t>AV-5. Government officials and institutions may recognize cultural and religious occasions, communities, historic events, persecution, or public contributions without establishing a religion. Official communications and public spaces should remain inclusive; neutrality does not require pretending religion does not exist.</w:t>
      </w:r>
    </w:p>
    <w:p>
      <w:pPr>
        <w:pStyle w:val="Normal"/>
      </w:pPr>
      <w:r>
        <w:t>AV-6. Religious or conscience-based accommodation shall be assessed under neutral domestic standards, including rights of others, safety, essential services, undue hardship, and constitutional requirements. Voluntary religious arbitration may operate only where lawful, genuinely voluntary, reviewable under secular law, and incapable of displacing access to competent civil courts.</w:t>
      </w:r>
    </w:p>
    <w:p>
      <w:pPr>
        <w:pStyle w:val="Normal"/>
      </w:pPr>
      <w:r>
        <w:t>AV-7. Religious organizations and individuals may participate in public debate, lobbying, elections, and political advocacy subject to the same campaign-finance, lobbying, tax, disclosure, anti-corruption, and public-order rules applicable to comparable secular actors. The state shall not prescribe that political parties or civic organizations must themselves be secular.</w:t>
      </w:r>
    </w:p>
    <w:p>
      <w:pPr>
        <w:pStyle w:val="Normal"/>
      </w:pPr>
      <w:r>
        <w:t>AV-8. Publicly funded healthcare, emergency response, housing, adoption, foster care, welfare, and other essential services shall be delivered without religious discrimination or compulsory religious participation, while residents and patients retain access to voluntary spiritual, religious, humanist, or non-religious support.</w:t>
      </w:r>
    </w:p>
    <w:p>
      <w:pPr>
        <w:pStyle w:val="Normal"/>
      </w:pPr>
      <w:r>
        <w:t>AV-9. International assistance, diplomacy, refugee protection, and human-rights advocacy shall not favor or disadvantage persons solely because of religion or non-belief. Religious-freedom institutions or envoys may operate where their mandate protects freedom of conscience for believers and non-believers alike.</w:t>
      </w:r>
    </w:p>
    <w:p>
      <w:pPr>
        <w:pStyle w:val="Normal"/>
      </w:pPr>
      <w:r>
        <w:t>AV-10. The Parties may affirm these principles through a non-binding North American Charter of Freedom of Conscience and State Neutrality, implemented through existing constitutional and human-rights institutions and without creating a supranational religious authority.</w:t>
      </w:r>
    </w:p>
    <w:p>
      <w:pPr>
        <w:pStyle w:val="Heading2"/>
      </w:pPr>
      <w:bookmarkStart w:id="902278" w:name="_Toc300002277"/>
      <w:r>
        <w:t>PACKAGE AW: COERCIVE IDENTITY-CHANGE PRACTICES PREVENTION AND FREEDOM-OF-BELIEF FIREWALL (v6.6).</w:t>
      </w:r>
      <w:bookmarkEnd w:id="902278"/>
    </w:p>
    <w:p>
      <w:pPr>
        <w:pStyle w:val="Normal"/>
      </w:pPr>
      <w:r>
        <w:t>AW-1. Each Party should prohibit, consistently with its constitutional order, coercive, deceptive, abusive, exploitative, or professionally improper practices whose purpose is to force, suppress, or erase a person’s sexual orientation, gender identity, or gender expression. Regulation shall be conduct-based and religion-neutral.</w:t>
      </w:r>
    </w:p>
    <w:p>
      <w:pPr>
        <w:pStyle w:val="Normal"/>
      </w:pPr>
      <w:r>
        <w:t>AW-2. Enhanced protection applies to minors and persons unable to provide legally effective consent. Covered settings may include camps, retreats, residential programs, counseling businesses, healthcare settings, unlicensed commercial programs, and other organized programs regardless of whether the operator is religious, secular, commercial, familial, or ideological.</w:t>
      </w:r>
    </w:p>
    <w:p>
      <w:pPr>
        <w:pStyle w:val="Normal"/>
      </w:pPr>
      <w:r>
        <w:t>AW-3. Prohibited conduct may include confinement, threats, humiliation, deprivation, physical violence, sexual abuse, fraudulent therapeutic claims, coercive aversion practices, material exploitation, or abuse of authority or dependency. Serious conduct remains subject to ordinary criminal law independently of this framework.</w:t>
      </w:r>
    </w:p>
    <w:p>
      <w:pPr>
        <w:pStyle w:val="Normal"/>
      </w:pPr>
      <w:r>
        <w:t>AW-4. No religious-organization exemption immunizes otherwise unlawful conduct. At the same time, protected belief, worship, preaching, prayer, pastoral conversation, family discussion, and non-coercive exploration of identity remain protected where they do not employ prohibited conduct or treat a particular orientation or identity as a condition for safety, liberty, essential care, or basic rights.</w:t>
      </w:r>
    </w:p>
    <w:p>
      <w:pPr>
        <w:pStyle w:val="Normal"/>
      </w:pPr>
      <w:r>
        <w:t>AW-5. For competent adults, consent shall not be categorically erased. Domestic law may regulate professional misconduct, fraud, coercion, abuse, confinement, dependency, or incapacity and may impose stricter rules for minors. Any consent analysis must examine whether agreement was informed, voluntary, revocable, and free from prohibited pressure.</w:t>
      </w:r>
    </w:p>
    <w:p>
      <w:pPr>
        <w:pStyle w:val="Normal"/>
      </w:pPr>
      <w:r>
        <w:t>AW-6. The Parties may prohibit advertising, commercial promotion, public financing, and material profit from unlawful covered practices; provide civil remedies, professional discipline, survivor support, complaint mechanisms, and organizational accountability; and prevent cross-border removal or travel designed to evade applicable child-protection or criminal law.</w:t>
      </w:r>
    </w:p>
    <w:p>
      <w:pPr>
        <w:pStyle w:val="Normal"/>
      </w:pPr>
      <w:r>
        <w:t>AW-7. Definitions must be precise enough to distinguish prohibited identity-change practices from neutral mental-health care, supportive counseling, identity exploration, transition-related or detransition-related care where lawful, pastoral support, and ordinary discussion. No practice is automatically classified as torture unless the applicable legal threshold for torture or comparable serious abuse is independently satisfied.</w:t>
      </w:r>
    </w:p>
    <w:p>
      <w:pPr>
        <w:pStyle w:val="Normal"/>
      </w:pPr>
      <w:r>
        <w:t>AW-8. Enforcement shall protect privacy, due process, freedom of conscience, freedom of expression, parental and family rights within lawful bounds, professional standards, and the paramount safety protections applicable to children and vulnerable persons.</w:t>
      </w:r>
    </w:p>
    <w:p>
      <w:pPr>
        <w:pStyle w:val="Heading2"/>
      </w:pPr>
      <w:bookmarkStart w:id="902279" w:name="_Toc300002278"/>
      <w:r>
        <w:t>PACKAGE AX: CHILD SEXUAL ABUSE PREVENTION, SAFEGUARDING, AND CROSS-BORDER PROTECTION FRAMEWORK (v6.6).</w:t>
      </w:r>
      <w:bookmarkEnd w:id="902279"/>
    </w:p>
    <w:p>
      <w:pPr>
        <w:pStyle w:val="Normal"/>
      </w:pPr>
      <w:r>
        <w:t>AX-1. The Parties adopt a prevention-oriented public-health approach to child sexual abuse and exploitation, emphasizing age-appropriate body-safety and consent education, parent education, digital literacy, child-friendly reporting, trauma-informed educator training, public awareness, parenting support, and accessible community resources.</w:t>
      </w:r>
    </w:p>
    <w:p>
      <w:pPr>
        <w:pStyle w:val="Normal"/>
      </w:pPr>
      <w:r>
        <w:t>AX-2. Online-safety cooperation supports clear reporting pathways, properly scoped mandatory reporting of known child sexual abuse material, national cyber tip lines, lawful cross-border investigative cooperation, international takedown coordination, safer platform design, gaming safeguards, parental tools, digital citizenship, research, and proportionate AI-plus-human detection of grooming and exploitation. Measures shall not create generalized surveillance of lawful private communications.</w:t>
      </w:r>
    </w:p>
    <w:p>
      <w:pPr>
        <w:pStyle w:val="Normal"/>
      </w:pPr>
      <w:r>
        <w:t>AX-3. Youth-serving institutions shall maintain safeguarding policies, codes of conduct, safe recruitment, appropriate background and registry checks, prevention training, whistleblower protection, reporting pathways, independent audits, and risk-based supervision of adult-child interactions. Two-adult and one-on-one safeguards shall include practical exceptions for legitimate healthcare, counseling, emergency, disability, family, educational, and other circumstances with compensating protections.</w:t>
      </w:r>
    </w:p>
    <w:p>
      <w:pPr>
        <w:pStyle w:val="Normal"/>
      </w:pPr>
      <w:r>
        <w:t>AX-4. Safeguarding duties apply neutrally to schools, camps, sports, healthcare, childcare, community organizations, religious institutions, secular institutions, and other youth-serving organizations. Mandatory-reporting rules, including their treatment of clergy or privileged communications, remain subject to each Party’s constitutional and evidentiary law while closing avoidable institutional concealment pathways.</w:t>
      </w:r>
    </w:p>
    <w:p>
      <w:pPr>
        <w:pStyle w:val="Normal"/>
      </w:pPr>
      <w:r>
        <w:t>AX-5. Family and community prevention may include home visiting, family-support centers, mental-health and substance-use treatment, kinship support, respite care, accessible childcare, housing and food-security supports, culturally appropriate programs, community safe places, faith and non-faith community participation, and programs reducing social isolation. Community participation shall not become vigilantism or substitute for professional investigation.</w:t>
      </w:r>
    </w:p>
    <w:p>
      <w:pPr>
        <w:pStyle w:val="Normal"/>
      </w:pPr>
      <w:r>
        <w:t>AX-6. Each Party should maintain clear criminal definitions and proportionate penalties for child sexual abuse, exploitation, CSAM-related offenses, sextortion, trafficking, and cross-border offending, together with child-witness protections, protection orders, victim compensation, civil remedies, legal representation, extradition cooperation, and trauma-informed justice processes.</w:t>
      </w:r>
    </w:p>
    <w:p>
      <w:pPr>
        <w:pStyle w:val="Normal"/>
      </w:pPr>
      <w:r>
        <w:t>AX-7. Cross-Border Anti-Evasion Rule. A person shall not obtain a safe harbor merely by traveling, relocating, arranging travel, or transferring a child between Parties to evade otherwise applicable protections against sexual abuse or exploitation. Cooperation remains subject to jurisdiction, dual-criminality, extradition, due-process, and constitutional requirements.</w:t>
      </w:r>
    </w:p>
    <w:p>
      <w:pPr>
        <w:pStyle w:val="Normal"/>
      </w:pPr>
      <w:r>
        <w:t>AX-8. Aggravated Sentencing Framework. Sentencing systems should treat coercion, violence, abuse of a position of trust, multiple victims, organized exploitation, trafficking, CSAM production or distribution, repeat offending, and institutional concealment as serious aggravating factors while preserving constitutionally required judicial process and individualized sentencing.</w:t>
      </w:r>
    </w:p>
    <w:p>
      <w:pPr>
        <w:pStyle w:val="Normal"/>
      </w:pPr>
      <w:r>
        <w:t>AX-9. Child-Contact Disqualification Framework. Serious substantiated convictions for child sexual abuse or exploitation presumptively disqualify a person from child-contact employment or volunteering. Duration, review, rehabilitation, and any exceptional restoration pathway shall reflect offense severity, risk, due process, and the paramount protection of children rather than an indiscriminate permanent ban for every offense.</w:t>
      </w:r>
    </w:p>
    <w:p>
      <w:pPr>
        <w:pStyle w:val="Normal"/>
      </w:pPr>
      <w:r>
        <w:t>AX-10. Sex-offender registration, community notification, and employment-screening systems should be risk-tiered, accurate, appealable, privacy-conscious, and directed toward genuine safeguarding needs. Arrest, allegation, or unadjudicated suspicion alone shall not be treated as equivalent to conviction or substantiated misconduct.</w:t>
      </w:r>
    </w:p>
    <w:p>
      <w:pPr>
        <w:pStyle w:val="Normal"/>
      </w:pPr>
      <w:r>
        <w:t>AX-11. Intervention includes trauma-informed treatment for victims, support for non-offending caregivers, therapeutic responses to harmful sexual behavior by children and adolescents, validated risk assessment, evidence-based treatment and post-release supervision for offenders, confidential prevention helplines, and family reunification only where an independent safety assessment finds reunification appropriate.</w:t>
      </w:r>
    </w:p>
    <w:p>
      <w:pPr>
        <w:pStyle w:val="Normal"/>
      </w:pPr>
      <w:r>
        <w:t>AX-12. The Parties should harmonize comparable data definitions where practical, share best practices, conduct joint research, train border officials, cooperate on missing and exploited children, and use existing law-enforcement and treaty institutions for cross-border cases. No new annual summit or standing body is required where existing institutions can perform the function.</w:t>
      </w:r>
    </w:p>
    <w:p>
      <w:pPr>
        <w:pStyle w:val="Heading2"/>
      </w:pPr>
      <w:bookmarkStart w:id="902280" w:name="_Toc300002279"/>
      <w:r>
        <w:t>PACKAGE AY: LONG-TERM CARE, ELDER PROTECTION, DIGNITY, AND RESIDENT SAFETY FRAMEWORK (v6.6).</w:t>
      </w:r>
      <w:bookmarkEnd w:id="902280"/>
    </w:p>
    <w:p>
      <w:pPr>
        <w:pStyle w:val="Normal"/>
      </w:pPr>
      <w:r>
        <w:t>AY-1. The Parties recognize safe long-term care as a resident-dignity, workforce, public-health, and accountability objective. Implementation remains within each Party’s constitutional allocation of federal, national, state, provincial, territorial, local, Indigenous, licensing, healthcare, labor, and social-service authority.</w:t>
      </w:r>
    </w:p>
    <w:p>
      <w:pPr>
        <w:pStyle w:val="Normal"/>
      </w:pPr>
      <w:r>
        <w:t>AY-2. Staffing standards should be evidence-based and acuity-adjusted, with adequate licensed-nursing coverage, direct-care hours, shift-specific planning, transparent staffing data, protected breaks and rest, paid sick leave, limits on unsafe overtime, continuity-oriented primary caregiver assignments, regional float pools, orientation, career ladders, training, and workforce-retention measures. Illustrative ratios or hours are not treaty-locked where competent authorities adopt safer evidence-based equivalents.</w:t>
      </w:r>
    </w:p>
    <w:p>
      <w:pPr>
        <w:pStyle w:val="Normal"/>
      </w:pPr>
      <w:r>
        <w:t>AY-3. Hiring safeguards include proportionate background and abuse-registry checks, reference verification, volunteer and resident-access contractor screening, probation and supervised orientation, portable checks where lawful, whistleblower protection, and periodic re-screening. Risk-Tiered Employment Disqualification replaces blanket permanent exclusion: the gravest relevant offenses may justify permanent exclusion while other cases receive proportionate periods and review.</w:t>
      </w:r>
    </w:p>
    <w:p>
      <w:pPr>
        <w:pStyle w:val="Normal"/>
      </w:pPr>
      <w:r>
        <w:t>AY-4. An Adjudicated Misconduct Registry may record final professional, licensing, administrative, or judicial findings relevant to resident safety, with notice, appeal, correction, identity safeguards, and proportionate retention. Arrest alerts or allegations do not establish guilt. Structured suitability assessment should use behavioral interviews, references, competency and supervised probation rather than pseudo-diagnostic testing for 'empathy.'</w:t>
      </w:r>
    </w:p>
    <w:p>
      <w:pPr>
        <w:pStyle w:val="Normal"/>
      </w:pPr>
      <w:r>
        <w:t>AY-5. Fitness-for-duty and impairment rules should focus on safety. Testing may be used for cause, after serious incidents, or where otherwise lawful for genuinely safety-sensitive work; supervisors should be trained to identify impairment and remove an impaired worker from safety duties. Blanket random testing is not a preferred default.</w:t>
      </w:r>
    </w:p>
    <w:p>
      <w:pPr>
        <w:pStyle w:val="Normal"/>
      </w:pPr>
      <w:r>
        <w:t>AY-6. Core training includes person-centered and dementia care, abuse prevention and reporting, palliative and end-of-life care, cultural competence, de-escalation, infection control, lifting and mobility, medication safety, emergency response, and hands-on competency. Existing schools, regulators, employers, unions, colleges, and professional bodies should be used before creating new academies or boards.</w:t>
      </w:r>
    </w:p>
    <w:p>
      <w:pPr>
        <w:pStyle w:val="Normal"/>
      </w:pPr>
      <w:r>
        <w:t>AY-7. Oversight includes unannounced quality inspections, night and weekend inspections, strengthened ombudsman services, real-time staffing reporting, complaint hotlines, timely incident reporting, root-cause analysis, medication and financial audits, ownership screening, corporate accountability, resident and family surveys, and public quality information. Inspection capacity must be adequately funded.</w:t>
      </w:r>
    </w:p>
    <w:p>
      <w:pPr>
        <w:pStyle w:val="Normal"/>
      </w:pPr>
      <w:r>
        <w:t>AY-8. Proportionate Electronic Monitoring replaces blanket surveillance. Residents may choose lawful private-room monitoring subject to resident and roommate consent and privacy rules. Targeted cameras may be used in appropriate security areas, but facilities shall not be required to transform all common or private areas into continuously recorded surveillance spaces.</w:t>
      </w:r>
    </w:p>
    <w:p>
      <w:pPr>
        <w:pStyle w:val="Normal"/>
      </w:pPr>
      <w:r>
        <w:t>AY-9. Residents retain a clear bill of rights including freedom from abuse, neglect, exploitation and retaliation; visitation; privacy during personal care; respectful adult communication; meaningful choice in routines, food, activities and care; access to legal aid and complaint processes; guardianship safeguards; and voluntary access to spiritual, religious, humanist, or non-religious support.</w:t>
      </w:r>
    </w:p>
    <w:p>
      <w:pPr>
        <w:pStyle w:val="Normal"/>
      </w:pPr>
      <w:r>
        <w:t>AY-10. Person-centered quality of life includes nutritious and appealing meals, flexible dining, meaningful activities, gardens and outdoor access, pet and intergenerational programs where safe, cultural activities, technology access, hearing and vision support, grooming, palliative care, end-of-life dignity, resident councils, family councils, and comfortable social spaces.</w:t>
      </w:r>
    </w:p>
    <w:p>
      <w:pPr>
        <w:pStyle w:val="Normal"/>
      </w:pPr>
      <w:r>
        <w:t>AY-11. Evidence-Based Dementia Communication replaces mandatory reality orientation. Care plans may use validation, redirection, reassurance, orientation cues, reminiscence, and other clinically appropriate techniques tailored to the individual rather than forcing a confused resident repeatedly to accept a distressing version of events.</w:t>
      </w:r>
    </w:p>
    <w:p>
      <w:pPr>
        <w:pStyle w:val="Normal"/>
      </w:pPr>
      <w:r>
        <w:t>AY-12. Facility standards include fall and wandering prevention, cleanliness, infection control, emergency planning, backup power, accessibility, secure medication storage, hazard and pest control, safe outdoor areas, protection from second-hand smoke, and incentives for smaller home-like models and private rooms. Shared rooms should be phased down through new construction and renovation without causing unsafe capacity loss.</w:t>
      </w:r>
    </w:p>
    <w:p>
      <w:pPr>
        <w:pStyle w:val="Normal"/>
      </w:pPr>
      <w:r>
        <w:t>AY-13. Enforcement may include escalating civil penalties, individual criminal accountability where criminal elements are proven, organizational liability for systemic wrongdoing, adult-protective-service and specialized-prosecution capacity, independent medical review where abuse or neglect is suspected, and statutory duties of care and loyalty. Conflict rules should prohibit undisclosed self-dealing rather than every outside financial interest.</w:t>
      </w:r>
    </w:p>
    <w:p>
      <w:pPr>
        <w:pStyle w:val="Normal"/>
      </w:pPr>
      <w:r>
        <w:t>AY-14. Minimum Direct-Care Spending / Anti-Extraction Rule. Where public funding is increased specifically to improve long-term care, domestic implementing programs should require transparent demonstration that an appropriate share reaches resident care, frontline staffing, food, clinical services, maintenance, accessibility, and quality of life rather than excessive management fees, related-party transactions, asset stripping, dividends, property-company rents, or executive extraction.</w:t>
      </w:r>
    </w:p>
    <w:p>
      <w:pPr>
        <w:pStyle w:val="Normal"/>
      </w:pPr>
      <w:r>
        <w:t>AY-15. Mandatory Long-Term Care Star Rating System. Each licensed facility should receive a regularly recalculated one-to-five-star care-quality rating based on independently verified measures, not hotel-style luxury. Suggested domains are staffing and continuity, resident safety, inspection and regulatory compliance, resident outcomes and quality of life, resident and family experience, workforce conditions, and transparency and rights.</w:t>
      </w:r>
    </w:p>
    <w:p>
      <w:pPr>
        <w:pStyle w:val="Normal"/>
      </w:pPr>
      <w:r>
        <w:t>AY-16. Star ratings should display category subratings and trend direction. Serious substantiated patterns of abuse, deliberate concealment, immediate-jeopardy deficiencies, or chronic dangerous understaffing may cap the overall rating regardless of amenities. Ratings should be displayed at the facility, on the competent regulator’s directory, in admission materials, and wherever the facility advertises its official quality rating.</w:t>
      </w:r>
    </w:p>
    <w:p>
      <w:pPr>
        <w:pStyle w:val="Normal"/>
      </w:pPr>
      <w:r>
        <w:t>AY-17. One-Star Recovery-or-Closure Rule. A facility receiving one star enters enhanced regulatory supervision and ordinarily receives 90 days to demonstrate substantial independently verified improvement. Oversight may include increased inspections, corrective planning, staffing and incident monitoring, restrictions on extraordinary distributions or asset stripping, admissions limits where warranted, resident and family notice, and temporary management.</w:t>
      </w:r>
    </w:p>
    <w:p>
      <w:pPr>
        <w:pStyle w:val="Normal"/>
      </w:pPr>
      <w:r>
        <w:t>AY-18. At the end of the 90-day period, improvement to at least two stars permits staged exit from enhanced supervision. A short non-renewable extension of 30 to 90 days may be allowed only where substantial verified progress exists, residents are presently safe, and immediate closure would create greater harm. Continued one-star performance without adequate improvement requires receivership, management replacement, forced sale where lawful, licence action, or orderly closure.</w:t>
      </w:r>
    </w:p>
    <w:p>
      <w:pPr>
        <w:pStyle w:val="Normal"/>
      </w:pPr>
      <w:r>
        <w:t>AY-19. Immediate Danger Exception. The recovery period does not delay emergency intervention where residents face imminent danger, including serious ongoing abuse, catastrophic understaffing, medication deprivation, dangerous sanitation, abandonment, or deliberate concealment. Regulators may suspend admissions, impose emergency management, relocate residents, or take other lawful protective action immediately.</w:t>
      </w:r>
    </w:p>
    <w:p>
      <w:pPr>
        <w:pStyle w:val="Normal"/>
      </w:pPr>
      <w:r>
        <w:t>AY-20. Closure and relocation shall protect residents through individualized transition plans, continuity of medication and records, transportation, family or representative consultation, and placement in an equal-or-better safe setting where reasonably possible. Regulatory action shall not solve facility failure by simply dumping residents elsewhere.</w:t>
      </w:r>
    </w:p>
    <w:p>
      <w:pPr>
        <w:pStyle w:val="Normal"/>
      </w:pPr>
      <w:r>
        <w:t>AY-21. Secret Resident-Experience Inspection Program. A proportion of inspections should be genuinely unpredictable and may occur during meals, evenings, overnight periods, weekends, holidays, shift changes, and other ordinary operating conditions. Inspectors may observe call-response performance, meals and feeding assistance, privacy, respectful communication, activities, outdoor access, cleanliness, distress response, and actual staffing without management staging the visit.</w:t>
      </w:r>
    </w:p>
    <w:p>
      <w:pPr>
        <w:pStyle w:val="Normal"/>
      </w:pPr>
      <w:r>
        <w:t>AY-22. Inspectors should be able to conduct confidential conversations with residents, families, and frontline workers and, where appropriate, experience ordinary resident services such as a resident meal. Anti-retaliation protections apply. One-star remediation should include unannounced verification so temporary showcase staffing or cleaning cannot substitute for durable improvement. Inspectors need not impersonate residents or family members.</w:t>
      </w:r>
    </w:p>
    <w:p>
      <w:pPr>
        <w:pStyle w:val="Normal"/>
      </w:pPr>
      <w:r>
        <w:t>AY-23. Voluntary Resident AI Companion and Accessibility Program. Residents may opt into clearly identified AI assistants for conversation, reminiscence, games, reading, music, information, reminders, translation, accessibility, activity discovery, dictation, family communication, and other non-clinical assistance. Refusal carries no penalty, and AI companionship shall never justify reducing human staffing, visitation, activities, or social contact.</w:t>
      </w:r>
    </w:p>
    <w:p>
      <w:pPr>
        <w:pStyle w:val="Normal"/>
      </w:pPr>
      <w:r>
        <w:t>AY-24. AI systems may, with informed consent and appropriate device approval, integrate with wearables, beds, room sensors, call systems, or medical devices to monitor authorized safety-relevant signals such as movement, falls, distress, heart rate, respiration, blood oxygen, or other supported measurements. The AI may detect and flag possible deterioration but shall not autonomously diagnose disease, prescribe, administer medication, restrain a resident, determine capacity, or alter treatment.</w:t>
      </w:r>
    </w:p>
    <w:p>
      <w:pPr>
        <w:pStyle w:val="Normal"/>
      </w:pPr>
      <w:r>
        <w:t>AY-25. AI Fall, Distress, and Voice-Help Detection. A resident should be able to summon assistance hands-free through phrases such as 'help,' 'I fell,' 'I cannot get up,' 'I need the bathroom,' 'I wet the bed,' 'I am frightened,' or other configured requests. The system should distinguish emergency, urgent personal-care, and routine requests sufficiently to route them appropriately while preserving dignity.</w:t>
      </w:r>
    </w:p>
    <w:p>
      <w:pPr>
        <w:pStyle w:val="Normal"/>
      </w:pPr>
      <w:r>
        <w:t>AY-26. Automatic Human Escalation Protocol. An assistance request generates a timestamped alert, attempts appropriate resident confirmation, and summons human staff. Failure to acknowledge or attend within severity-appropriate thresholds triggers escalating notification to additional caregivers, nursing supervision, management, or emergency services. Closed-loop confirmation should tell the resident when help has been acknowledged where feasible.</w:t>
      </w:r>
    </w:p>
    <w:p>
      <w:pPr>
        <w:pStyle w:val="Normal"/>
      </w:pPr>
      <w:r>
        <w:t>AY-27. Call-Bell Backup and Response Analytics. AI-assisted systems may record request time, acknowledgement time, arrival time, escalation, and closure so facilities and regulators can identify delayed or unanswered assistance. Facility-level metrics may include median and 90th-percentile response times, emergency response, overnight deterioration, and unacknowledged alerts. These measurements complement rather than replace qualitative care review.</w:t>
      </w:r>
    </w:p>
    <w:p>
      <w:pPr>
        <w:pStyle w:val="Normal"/>
      </w:pPr>
      <w:r>
        <w:t>AY-28. Privacy-Minimal Doorway Response Sensor. A facility may use a low-information doorway sensor whose sole function is to detect entry or exit and timestamp the event for care-response measurement. It should not identify the person, record audio or video, use facial recognition, or continuously track a worker’s location. Doorway events establish presence, not that care was completed.</w:t>
      </w:r>
    </w:p>
    <w:p>
      <w:pPr>
        <w:pStyle w:val="Normal"/>
      </w:pPr>
      <w:r>
        <w:t>AY-29. AI-Assisted Care Response Accountability shall monitor the care process rather than continuously monitor employees. Individual metrics shall not be converted automatically into productivity scores, emotion or compassion scores, worker rankings, bathroom-break tracking, or automated disciplinary decisions. Human review is required before any employment consequence based materially on AI-derived information.</w:t>
      </w:r>
    </w:p>
    <w:p>
      <w:pPr>
        <w:pStyle w:val="Normal"/>
      </w:pPr>
      <w:r>
        <w:t>AY-30. No Algorithmic Scapegoating Rule. Response metrics must be interpreted with staffing levels, resident acuity, simultaneous emergencies, workload, equipment needs, and other relevant circumstances. Data showing slow responses on an understaffed shift may demonstrate a management or system failure rather than individual worker misconduct. AI does not count toward any minimum human staffing requirement.</w:t>
      </w:r>
    </w:p>
    <w:p>
      <w:pPr>
        <w:pStyle w:val="Normal"/>
      </w:pPr>
      <w:r>
        <w:t>AY-31. Resident Care-Response Record Access Right. Each competent resident has access to their own assistance-response history and may authorize family members or other trusted persons to receive summary statistics, detailed event logs, or both. Where the resident lacks legal capacity, access follows applicable substitute-decision-maker and privacy law. Family status alone does not automatically override a competent resident’s privacy choices.</w:t>
      </w:r>
    </w:p>
    <w:p>
      <w:pPr>
        <w:pStyle w:val="Normal"/>
      </w:pPr>
      <w:r>
        <w:t>AY-32. No Sanitized Family Report Rule. Machine-generated request, acknowledgement, escalation, doorway, and arrival timestamps shall not be silently rewritten before authorized disclosure. Facilities may append explanations, corrections, or contextual notes while preserving the original audit record. Records should be retained only for a proportionate period unless required for care, complaint, litigation, regulatory, or safety purposes.</w:t>
      </w:r>
    </w:p>
    <w:p>
      <w:pPr>
        <w:pStyle w:val="Normal"/>
      </w:pPr>
      <w:r>
        <w:t>AY-33. Public star-rating and consumer information should ordinarily use anonymized facility-level response statistics. Regulators, ombudsmen, residents, authorized representatives, and investigators may obtain more detailed information when lawfully necessary. AI and sensor data shall not be sold, used for targeted advertising, or used to train unrelated commercial models without valid authorization.</w:t>
      </w:r>
    </w:p>
    <w:p>
      <w:pPr>
        <w:pStyle w:val="Normal"/>
      </w:pPr>
      <w:r>
        <w:t>AY-34. Right to Meaningful Social Opportunity. Every resident should be regularly offered reasonable opportunities for voluntary social interaction with other residents, visitors, volunteers, and the wider community. Participation shall never be compulsory, and a resident’s preference for solitude is equally entitled to respect.</w:t>
      </w:r>
    </w:p>
    <w:p>
      <w:pPr>
        <w:pStyle w:val="Normal"/>
      </w:pPr>
      <w:r>
        <w:t>AY-35. Facilities should provide accessible small-group spaces, resident-led clubs and activities, community and intergenerational connections, and assistance needed for residents with mobility, hearing, vision, language, or other barriers to participate. Optional interest matching, including AI-assisted suggestions, may introduce residents to compatible activities or peers only with consent and without forcing relationships.</w:t>
      </w:r>
    </w:p>
    <w:p>
      <w:pPr>
        <w:pStyle w:val="Normal"/>
      </w:pPr>
      <w:r>
        <w:t>AY-36. Persistent isolation should prompt a gentle human review to determine whether solitude is chosen or results from barriers such as inaccessible transportation, hearing or communication difficulty, lack of suitable activities, interpersonal conflict, or insufficient staff assistance. Quality measures should evaluate whether meaningful opportunities exist and are accessible, not reward facilities for coercing residents into attendance.</w:t>
      </w:r>
    </w:p>
    <w:p>
      <w:pPr>
        <w:pStyle w:val="Normal"/>
      </w:pPr>
      <w:r>
        <w:t>AY-37. Existing domestic regulators, ombudsman programs, licensing authorities, healthcare systems, labor bodies, and the Agreement’s existing cooperation architecture should administer this framework. The Parties may share comparable data and best practices without creating unnecessary new standing committees, institutes, or bureaucratic layers.</w:t>
      </w:r>
    </w:p>
    <w:p>
      <w:pPr>
        <w:pStyle w:val="Heading2"/>
      </w:pPr>
      <w:bookmarkStart w:id="902281" w:name="_Toc300002280"/>
      <w:r>
        <w:t>PACKAGE AZ: CROSS-CUTTING HUMAN DIGNITY, VOLUNTARINESS, DUE PROCESS, AND IMPLEMENTATION FIREWALL (v6.6).</w:t>
      </w:r>
      <w:bookmarkEnd w:id="902281"/>
    </w:p>
    <w:p>
      <w:pPr>
        <w:pStyle w:val="Normal"/>
      </w:pPr>
      <w:r>
        <w:t>AZ-1. Packages AT through AY are interpreted consistently with constitutional rights, Indigenous and treaty rights, federalism and subnational jurisdiction, due process, privacy, freedom of conscience and expression, equality, labor rights, professional regulation, disability rights, and applicable human-rights obligations of each Party.</w:t>
      </w:r>
    </w:p>
    <w:p>
      <w:pPr>
        <w:pStyle w:val="Normal"/>
      </w:pPr>
      <w:r>
        <w:t>AZ-2. Where these Packages describe a catalogue, incentive, pilot, exchange, educational program, technology program, or best-practice mechanism as voluntary, that characterization controls. No Party is required to compel individual participation merely because the mechanism appears in this Agreement.</w:t>
      </w:r>
    </w:p>
    <w:p>
      <w:pPr>
        <w:pStyle w:val="Normal"/>
      </w:pPr>
      <w:r>
        <w:t>AZ-3. Safeguarding obligations are institution-neutral: a religious, secular, public, private, nonprofit, commercial, educational, healthcare, residential, or community institution receives neither immunity from generally applicable safety law nor adverse treatment solely because of its identity.</w:t>
      </w:r>
    </w:p>
    <w:p>
      <w:pPr>
        <w:pStyle w:val="Normal"/>
      </w:pPr>
      <w:r>
        <w:t>AZ-4. Technology shall augment rather than displace legally required human judgment, staffing, care, safeguarding, teaching, clinical responsibility, or public accountability. High-impact automated decisions affecting rights, discipline, treatment, licensing, employment, or access to essential services require meaningful human review and an appropriate correction or appeal pathway.</w:t>
      </w:r>
    </w:p>
    <w:p>
      <w:pPr>
        <w:pStyle w:val="Normal"/>
      </w:pPr>
      <w:r>
        <w:t>AZ-5. The Parties shall prefer existing institutions, interoperable data standards, domestic implementation schedules, pilots, mutual learning, and Cothrom or other already-established verification pathways over creation of new permanent committees. Nothing in these Packages expands the Agreement into a general supranational police, education, healthcare, religious, family-law, or social-services authority.</w:t>
      </w:r>
    </w:p>
    <w:p>
      <w:pPr>
        <w:pStyle w:val="Normal"/>
      </w:pPr>
      <w:r>
        <w:t>AZ-6. Where implementation produces paired concessions or reciprocal benefits, the Agreement’s no-uncompensated-front-loading, cure, proportional step-back, and automatic restoration architecture applies as appropriate so that one Party is not required to deliver a negotiated benefit materially in advance of its paired performance.</w:t>
      </w:r>
    </w:p>
    <w:p>
      <w:pPr>
        <w:pStyle w:val="TrumpVisibilityHeadline"/>
      </w:pPr>
      <w:r>
        <w:t xml:space="preserve">★ </w:t>
      </w:r>
      <w:r>
        <w:t>VISIBLE U.S. WIN: RELIABLE NORTH AMERICAN CRITICAL MINERALS, PROCESSING AND STOCKPILE SECURITY</w:t>
      </w:r>
    </w:p>
    <w:p>
      <w:pPr>
        <w:pStyle w:val="Heading1"/>
      </w:pPr>
      <w:bookmarkStart w:id="902282" w:name="_Toc300002281"/>
      <w:r>
        <w:t>PACKAGE BA: NORTH AMERICAN STRATEGIC MINERALS, PROCESSING, CIRCULARITY AND SUPPLY RESILIENCE FRAMEWORK</w:t>
      </w:r>
      <w:bookmarkEnd w:id="902282"/>
    </w:p>
    <w:p>
      <w:pPr>
        <w:pStyle w:val="Normal"/>
      </w:pPr>
      <w:r>
        <w:t>Purpose. This Package consolidates the Parties’ strategic-minerals architecture into a mine-to-manufacture, recovery-to-reuse, and cross-sector earned-benefit system. It preserves detailed implementation options while preventing compulsory extraction, cartel conduct, unsafe waste reuse, uncompensated front-loading, or unnecessary institutional proliferation.</w:t>
      </w:r>
    </w:p>
    <w:p>
      <w:pPr>
        <w:pStyle w:val="Heading2"/>
      </w:pPr>
      <w:bookmarkStart w:id="902283" w:name="_Toc300002282"/>
      <w:r>
        <w:t>BA-1 Resource Sovereignty and No Compulsory Extraction</w:t>
      </w:r>
      <w:bookmarkEnd w:id="902283"/>
    </w:p>
    <w:p>
      <w:pPr>
        <w:pStyle w:val="Normal"/>
      </w:pPr>
      <w:r>
        <w:t>No Party is required to open a mine, issue a concession, compel extraction, override Indigenous or community rights, or dedicate a resource to another Party. Mexican lithium and other state-reserved resources remain governed by Mexican law.</w:t>
      </w:r>
    </w:p>
    <w:p>
      <w:pPr>
        <w:pStyle w:val="Heading2"/>
      </w:pPr>
      <w:bookmarkStart w:id="902284" w:name="_Toc300002283"/>
      <w:r>
        <w:t>BA-2 Mine-to-Manufacture Value Capture</w:t>
      </w:r>
      <w:bookmarkEnd w:id="902284"/>
    </w:p>
    <w:p>
      <w:pPr>
        <w:pStyle w:val="Normal"/>
      </w:pPr>
      <w:r>
        <w:t>Cooperation shall extend from geology and responsible extraction through concentration, smelting, separation, refining, precursor materials, components, manufacturing, recycling and strategic reserves. No Party is presumed to remain merely an upstream supplier.</w:t>
      </w:r>
    </w:p>
    <w:p>
      <w:pPr>
        <w:pStyle w:val="Heading2"/>
      </w:pPr>
      <w:bookmarkStart w:id="902285" w:name="_Toc300002284"/>
      <w:r>
        <w:t>BA-3 Distributed Redundancy</w:t>
      </w:r>
      <w:bookmarkEnd w:id="902285"/>
    </w:p>
    <w:p>
      <w:pPr>
        <w:pStyle w:val="Normal"/>
      </w:pPr>
      <w:r>
        <w:t>The Parties should develop geographically diversified and interoperable processing capacity and avoid replacing an external single point of failure with a single North American bottleneck.</w:t>
      </w:r>
    </w:p>
    <w:p>
      <w:pPr>
        <w:pStyle w:val="Heading2"/>
      </w:pPr>
      <w:bookmarkStart w:id="902286" w:name="_Toc300002285"/>
      <w:r>
        <w:t>BA-4 Trusted External Feedstock Safe Harbour</w:t>
      </w:r>
      <w:bookmarkEnd w:id="902286"/>
    </w:p>
    <w:p>
      <w:pPr>
        <w:pStyle w:val="Normal"/>
      </w:pPr>
      <w:r>
        <w:t>Nothing requires continental autarky. Trusted allied feedstocks, technology, capital and offtake may supplement North American production where they improve resilience.</w:t>
      </w:r>
    </w:p>
    <w:p>
      <w:pPr>
        <w:pStyle w:val="Heading2"/>
      </w:pPr>
      <w:bookmarkStart w:id="902287" w:name="_Toc300002286"/>
      <w:r>
        <w:t>BA-5 No Uncompensated Front-Loading</w:t>
      </w:r>
      <w:bookmarkEnd w:id="902287"/>
    </w:p>
    <w:p>
      <w:pPr>
        <w:pStyle w:val="Normal"/>
      </w:pPr>
      <w:r>
        <w:t>Paired mineral commitments and cross-sector benefits shall activate together to the maximum practicable extent. Verified non-performance triggers notice, a short cure period, proportional pause or step-back of the paired obligation, and automatic restoration when performance resumes.</w:t>
      </w:r>
    </w:p>
    <w:p>
      <w:pPr>
        <w:pStyle w:val="Heading2"/>
      </w:pPr>
      <w:bookmarkStart w:id="902288" w:name="_Toc300002287"/>
      <w:r>
        <w:t>BA-6 Market Integrity and Anti-Cartel Firewall</w:t>
      </w:r>
      <w:bookmarkEnd w:id="902288"/>
    </w:p>
    <w:p>
      <w:pPr>
        <w:pStyle w:val="Normal"/>
      </w:pPr>
      <w:r>
        <w:t>Price-stability tools may include transparent market-linked offtake, contracts-for-difference, strategic procurement, insurance, floors directed at demonstrable non-market distortion and similar lawful tools. The Parties shall not establish commodity cartels or compulsory below-market sale obligations.</w:t>
      </w:r>
    </w:p>
    <w:p>
      <w:pPr>
        <w:pStyle w:val="Heading2"/>
      </w:pPr>
      <w:bookmarkStart w:id="902289" w:name="_Toc300002288"/>
      <w:r>
        <w:t>BA-7 High-Standard Permitting and Indigenous/Community Participation</w:t>
      </w:r>
      <w:bookmarkEnd w:id="902289"/>
    </w:p>
    <w:p>
      <w:pPr>
        <w:pStyle w:val="Normal"/>
      </w:pPr>
      <w:r>
        <w:t>Coordination may streamline data, sequencing and timelines but shall not waive environmental, safety, constitutional, Indigenous, community or water-law protections.</w:t>
      </w:r>
    </w:p>
    <w:p>
      <w:pPr>
        <w:pStyle w:val="Heading2"/>
      </w:pPr>
      <w:bookmarkStart w:id="902290" w:name="_Toc300002289"/>
      <w:r>
        <w:t>BA-8 Technology and Intellectual Property</w:t>
      </w:r>
      <w:bookmarkEnd w:id="902290"/>
    </w:p>
    <w:p>
      <w:pPr>
        <w:pStyle w:val="Normal"/>
      </w:pPr>
      <w:r>
        <w:t>Technology cooperation shall respect voluntary licensing, export controls, cybersecurity, proprietary information and fair competition. Treaty text shall remain technology-neutral unless a specific pilot is separately approved.</w:t>
      </w:r>
    </w:p>
    <w:p>
      <w:pPr>
        <w:pStyle w:val="Heading2"/>
      </w:pPr>
      <w:bookmarkStart w:id="902291" w:name="_Toc300002290"/>
      <w:r>
        <w:t>BA-9 Provenance Transparency</w:t>
      </w:r>
      <w:bookmarkEnd w:id="902291"/>
    </w:p>
    <w:p>
      <w:pPr>
        <w:pStyle w:val="Normal"/>
      </w:pPr>
      <w:r>
        <w:t>For designated strategic materials, the Parties should track, where practicable, mine or secondary-resource origin, concentrate origin, processing and refining jurisdictions, recycled content and final transformation while minimizing unnecessary reporting burden.</w:t>
      </w:r>
    </w:p>
    <w:p>
      <w:pPr>
        <w:pStyle w:val="Heading2"/>
      </w:pPr>
      <w:bookmarkStart w:id="902292" w:name="_Toc300002291"/>
      <w:r>
        <w:t>BA-10 Existing-Institution Implementation</w:t>
      </w:r>
      <w:bookmarkEnd w:id="902292"/>
    </w:p>
    <w:p>
      <w:pPr>
        <w:pStyle w:val="Normal"/>
      </w:pPr>
      <w:r>
        <w:t>The NAESTMA Secretariat, Cothrom architecture and designated national authorities shall carry implementation. Temporary technical groups may be formed for defined tasks and shall sunset when those tasks conclude.</w:t>
      </w:r>
    </w:p>
    <w:p>
      <w:pPr>
        <w:pStyle w:val="Heading2"/>
      </w:pPr>
      <w:bookmarkStart w:id="902293" w:name="_Toc300002292"/>
      <w:r>
        <w:t>BA-11 Strategic Stockpiles and Surge Capacity</w:t>
      </w:r>
      <w:bookmarkEnd w:id="902293"/>
    </w:p>
    <w:p>
      <w:pPr>
        <w:pStyle w:val="Normal"/>
      </w:pPr>
      <w:r>
        <w:t>The Parties may maintain interoperable national reserves, surge-capable processing lines and mutual-access protocols for defined emergencies, with transparent release and replenishment rules.</w:t>
      </w:r>
    </w:p>
    <w:p>
      <w:pPr>
        <w:pStyle w:val="Heading2"/>
      </w:pPr>
      <w:bookmarkStart w:id="902294" w:name="_Toc300002293"/>
      <w:r>
        <w:t>BA-12 Cross-Sector Earned Benefits</w:t>
      </w:r>
      <w:bookmarkEnd w:id="902294"/>
    </w:p>
    <w:p>
      <w:pPr>
        <w:pStyle w:val="Normal"/>
      </w:pPr>
      <w:r>
        <w:t>Tariff relief, AD/CVD settlements, customs treatment, infrastructure, financing, energy cooperation, workforce mobility, research access and other lawful benefits may be paired with verified strategic-mineral performance when approximately commensurate and consistent with this Agreement.</w:t>
      </w:r>
    </w:p>
    <w:p>
      <w:pPr>
        <w:pStyle w:val="Heading2"/>
      </w:pPr>
      <w:bookmarkStart w:id="902295" w:name="_Toc300002294"/>
      <w:r>
        <w:t>BA-13 Humanitarian and Sovereign Powers Firewall</w:t>
      </w:r>
      <w:bookmarkEnd w:id="902295"/>
    </w:p>
    <w:p>
      <w:pPr>
        <w:pStyle w:val="Normal"/>
      </w:pPr>
      <w:r>
        <w:t>Essential medicines, vaccines, basic humanitarian access, constitutional protections, core sovereign defense authority and fundamental rights shall not be withheld as mineral bargaining collateral.</w:t>
      </w:r>
    </w:p>
    <w:p>
      <w:pPr>
        <w:pStyle w:val="Heading2"/>
      </w:pPr>
      <w:bookmarkStart w:id="902296" w:name="_Toc300002295"/>
      <w:r>
        <w:t>BA-14 Discoverability</w:t>
      </w:r>
      <w:bookmarkEnd w:id="902296"/>
    </w:p>
    <w:p>
      <w:pPr>
        <w:pStyle w:val="Normal"/>
      </w:pPr>
      <w:r>
        <w:t>Material thresholds and quantitative provisions should use both symbols and spelled-out forms where useful, and schedules shall identify the applicable tariff or trade measure dynamically rather than relying on transient headline rates.</w:t>
      </w:r>
    </w:p>
    <w:p>
      <w:pPr>
        <w:pStyle w:val="Heading1"/>
      </w:pPr>
      <w:bookmarkStart w:id="902297" w:name="_Toc300002296"/>
      <w:r>
        <w:t>PACKAGE BB: STRATEGIC MINERALS DEAL CATALOGUE (120 MECHANISMS)</w:t>
      </w:r>
      <w:bookmarkEnd w:id="902297"/>
    </w:p>
    <w:p>
      <w:pPr>
        <w:pStyle w:val="Normal"/>
      </w:pPr>
      <w:r>
        <w:t>Status. The following catalogue preserves the 120-item mineral-deal backlog as authorized negotiating and implementation options. Numerical volumes, dollar amounts, locations and company-specific examples are illustrative unless separately adopted in a schedule. Every item is subject to Package BA.</w:t>
      </w:r>
    </w:p>
    <w:p>
      <w:pPr>
        <w:pStyle w:val="ClauseLabel"/>
      </w:pPr>
      <w:r>
        <w:t>BB-1. Tri-national copper smelting JV</w:t>
      </w:r>
    </w:p>
    <w:p>
      <w:pPr>
        <w:pStyle w:val="Normal"/>
      </w:pPr>
      <w:r>
        <w:t>Build mega-smelter in Mexico (cheaper labor, near US market) fed by Canadian and US concentrates, with refined copper shipped to US manufacturers.</w:t>
      </w:r>
    </w:p>
    <w:p>
      <w:pPr>
        <w:pStyle w:val="ClauseLabel"/>
      </w:pPr>
      <w:r>
        <w:t>BB-2. US-Mexico concentrate swap</w:t>
      </w:r>
    </w:p>
    <w:p>
      <w:pPr>
        <w:pStyle w:val="Normal"/>
      </w:pPr>
      <w:r>
        <w:t>US exports copper concentrate to Mexico for refining; Mexico returns refined copper to US; Canada provides technology and financing.</w:t>
      </w:r>
    </w:p>
    <w:p>
      <w:pPr>
        <w:pStyle w:val="ClauseLabel"/>
      </w:pPr>
      <w:r>
        <w:t>BB-3. Canadian copper ore to Mexican processing</w:t>
      </w:r>
    </w:p>
    <w:p>
      <w:pPr>
        <w:pStyle w:val="Normal"/>
      </w:pPr>
      <w:r>
        <w:t>Long-term offtake agreements: Canada ships 500k tonnes/year copper concentrate to Mexican smelters.</w:t>
      </w:r>
    </w:p>
    <w:p>
      <w:pPr>
        <w:pStyle w:val="ClauseLabel"/>
      </w:pPr>
      <w:r>
        <w:t>BB-4. US copper scrap-to-refined</w:t>
      </w:r>
    </w:p>
    <w:p>
      <w:pPr>
        <w:pStyle w:val="Normal"/>
      </w:pPr>
      <w:r>
        <w:t>US copper scrap (from electronics, construction) sent to Mexican recyclers; refined copper returns to US EV battery plants.</w:t>
      </w:r>
    </w:p>
    <w:p>
      <w:pPr>
        <w:pStyle w:val="ClauseLabel"/>
      </w:pPr>
      <w:r>
        <w:t>BB-5. Tri-national copper tube &amp; wire JV</w:t>
      </w:r>
    </w:p>
    <w:p>
      <w:pPr>
        <w:pStyle w:val="Normal"/>
      </w:pPr>
      <w:r>
        <w:t>Joint venture manufacturing facility in northern Mexico producing copper wire for all three auto sectors.</w:t>
      </w:r>
    </w:p>
    <w:p>
      <w:pPr>
        <w:pStyle w:val="ClauseLabel"/>
      </w:pPr>
      <w:r>
        <w:t>BB-6. Canadian copper mining tech transfer to Mexico</w:t>
      </w:r>
    </w:p>
    <w:p>
      <w:pPr>
        <w:pStyle w:val="Normal"/>
      </w:pPr>
      <w:r>
        <w:t>Canada shares expertise in deep mining; Mexico provides access to Sonora copper deposits.</w:t>
      </w:r>
    </w:p>
    <w:p>
      <w:pPr>
        <w:pStyle w:val="ClauseLabel"/>
      </w:pPr>
      <w:r>
        <w:t>BB-7. US-Mexico copper concentrate processing expansion</w:t>
      </w:r>
    </w:p>
    <w:p>
      <w:pPr>
        <w:pStyle w:val="Normal"/>
      </w:pPr>
      <w:r>
        <w:t>US investment in Mexican smelting capacity with guaranteed US offtake.</w:t>
      </w:r>
    </w:p>
    <w:p>
      <w:pPr>
        <w:pStyle w:val="ClauseLabel"/>
      </w:pPr>
      <w:r>
        <w:t>BB-8. Tri-national copper cathode stockpile</w:t>
      </w:r>
    </w:p>
    <w:p>
      <w:pPr>
        <w:pStyle w:val="Normal"/>
      </w:pPr>
      <w:r>
        <w:t>Coordinated strategic stockpile of refined copper across all three nations for energy transition security.</w:t>
      </w:r>
    </w:p>
    <w:p>
      <w:pPr>
        <w:pStyle w:val="ClauseLabel"/>
      </w:pPr>
      <w:r>
        <w:t>BB-9. Canadian copper-gold tailings reprocessing</w:t>
      </w:r>
    </w:p>
    <w:p>
      <w:pPr>
        <w:pStyle w:val="Normal"/>
      </w:pPr>
      <w:r>
        <w:t>Canadian technology to reprocess Mexican copper mine tailings for residual gold/silver.</w:t>
      </w:r>
    </w:p>
    <w:p>
      <w:pPr>
        <w:pStyle w:val="ClauseLabel"/>
      </w:pPr>
      <w:r>
        <w:t>BB-10. Transparent Copper Price-Stability Architecture</w:t>
      </w:r>
    </w:p>
    <w:p>
      <w:pPr>
        <w:pStyle w:val="Normal"/>
      </w:pPr>
      <w:r>
        <w:t>Use transparent long-term offtake, strategic procurement, contracts-for-difference or market-linked floors consistent with competition law; no governmental copper cartel.</w:t>
      </w:r>
    </w:p>
    <w:p>
      <w:pPr>
        <w:pStyle w:val="ClauseLabel"/>
      </w:pPr>
      <w:r>
        <w:t>BB-11. LitioMx-Led Mexican Lithium Cooperation</w:t>
      </w:r>
    </w:p>
    <w:p>
      <w:pPr>
        <w:pStyle w:val="Normal"/>
      </w:pPr>
      <w:r>
        <w:t>Mexican lithium development remains state-led under Mexican law, with lawful Canadian and U.S. technology, equipment, services, financing, processing and downstream participation.</w:t>
      </w:r>
    </w:p>
    <w:p>
      <w:pPr>
        <w:pStyle w:val="ClauseLabel"/>
      </w:pPr>
      <w:r>
        <w:t>BB-12. Canadian lithium concentrate to Mexico</w:t>
      </w:r>
    </w:p>
    <w:p>
      <w:pPr>
        <w:pStyle w:val="Normal"/>
      </w:pPr>
      <w:r>
        <w:t>Canada ships lithium ore to Mexican processing facility; refined lithium goes to US battery plants.</w:t>
      </w:r>
    </w:p>
    <w:p>
      <w:pPr>
        <w:pStyle w:val="ClauseLabel"/>
      </w:pPr>
      <w:r>
        <w:t>BB-13. US lithium hydroxide plant in Mexico</w:t>
      </w:r>
    </w:p>
    <w:p>
      <w:pPr>
        <w:pStyle w:val="Normal"/>
      </w:pPr>
      <w:r>
        <w:t>US-funded $2B lithium hydroxide facility in Mexico processing both Mexican and Canadian ores.</w:t>
      </w:r>
    </w:p>
    <w:p>
      <w:pPr>
        <w:pStyle w:val="ClauseLabel"/>
      </w:pPr>
      <w:r>
        <w:t>BB-14. Tri-national battery recycling loop</w:t>
      </w:r>
    </w:p>
    <w:p>
      <w:pPr>
        <w:pStyle w:val="Normal"/>
      </w:pPr>
      <w:r>
        <w:t>US EV battery recycling sent to Mexico for black mass processing; recovered lithium returns to US.</w:t>
      </w:r>
    </w:p>
    <w:p>
      <w:pPr>
        <w:pStyle w:val="ClauseLabel"/>
      </w:pPr>
      <w:r>
        <w:t>BB-15. Canadian lithium tech transfer</w:t>
      </w:r>
    </w:p>
    <w:p>
      <w:pPr>
        <w:pStyle w:val="Normal"/>
      </w:pPr>
      <w:r>
        <w:t>Canada's DLE (direct lithium extraction) technology deployed in Mexico with royalty-sharing.</w:t>
      </w:r>
    </w:p>
    <w:p>
      <w:pPr>
        <w:pStyle w:val="ClauseLabel"/>
      </w:pPr>
      <w:r>
        <w:t>BB-16. US-Mexico lithium brine pilot</w:t>
      </w:r>
    </w:p>
    <w:p>
      <w:pPr>
        <w:pStyle w:val="Normal"/>
      </w:pPr>
      <w:r>
        <w:t>Joint USGS-Mexican Geological Survey exploration of all 82 known lithium deposits.</w:t>
      </w:r>
    </w:p>
    <w:p>
      <w:pPr>
        <w:pStyle w:val="ClauseLabel"/>
      </w:pPr>
      <w:r>
        <w:t>BB-17. Tri-national lithium carbonate refinery</w:t>
      </w:r>
    </w:p>
    <w:p>
      <w:pPr>
        <w:pStyle w:val="Normal"/>
      </w:pPr>
      <w:r>
        <w:t>Build refinery at a Mexican port (Manzanillo/Lázaro Cárdenas) processing ores from all three.</w:t>
      </w:r>
    </w:p>
    <w:p>
      <w:pPr>
        <w:pStyle w:val="ClauseLabel"/>
      </w:pPr>
      <w:r>
        <w:t>BB-18. Lithium-ion battery precursor JV</w:t>
      </w:r>
    </w:p>
    <w:p>
      <w:pPr>
        <w:pStyle w:val="Normal"/>
      </w:pPr>
      <w:r>
        <w:t>Canadian cathodes + Mexican lithium + US anodes = complete battery supply chain.</w:t>
      </w:r>
    </w:p>
    <w:p>
      <w:pPr>
        <w:pStyle w:val="ClauseLabel"/>
      </w:pPr>
      <w:r>
        <w:t>BB-19. Mexican lithium export to US with Canadian financing</w:t>
      </w:r>
    </w:p>
    <w:p>
      <w:pPr>
        <w:pStyle w:val="Normal"/>
      </w:pPr>
      <w:r>
        <w:t>Canadian capital + Mexican resource + US market = vertical integration.</w:t>
      </w:r>
    </w:p>
    <w:p>
      <w:pPr>
        <w:pStyle w:val="ClauseLabel"/>
      </w:pPr>
      <w:r>
        <w:t>BB-20. Tri-national lithium stockpile</w:t>
      </w:r>
    </w:p>
    <w:p>
      <w:pPr>
        <w:pStyle w:val="Normal"/>
      </w:pPr>
      <w:r>
        <w:t>Coordinated lithium carbonate stockpile for EV supply chain security.</w:t>
      </w:r>
    </w:p>
    <w:p>
      <w:pPr>
        <w:pStyle w:val="ClauseLabel"/>
      </w:pPr>
      <w:r>
        <w:t>BB-21. Canadian Participation in State-Led Mexican Lithium Development</w:t>
      </w:r>
    </w:p>
    <w:p>
      <w:pPr>
        <w:pStyle w:val="Normal"/>
      </w:pPr>
      <w:r>
        <w:t>Enable Canadian engineering, processing, equipment and technology participation without private lithium concessions prohibited by Mexican law.</w:t>
      </w:r>
    </w:p>
    <w:p>
      <w:pPr>
        <w:pStyle w:val="ClauseLabel"/>
      </w:pPr>
      <w:r>
        <w:t>BB-22. US-Mexico lithium exploration fund</w:t>
      </w:r>
    </w:p>
    <w:p>
      <w:pPr>
        <w:pStyle w:val="Normal"/>
      </w:pPr>
      <w:r>
        <w:t>$500M joint exploration fund for lithium and other battery minerals.</w:t>
      </w:r>
    </w:p>
    <w:p>
      <w:pPr>
        <w:pStyle w:val="ClauseLabel"/>
      </w:pPr>
      <w:r>
        <w:t>BB-23. Mexican graphite to US anode plants</w:t>
      </w:r>
    </w:p>
    <w:p>
      <w:pPr>
        <w:pStyle w:val="Normal"/>
      </w:pPr>
      <w:r>
        <w:t>Expand Mexican graphite mining with guaranteed US offtake for EV battery anodes.</w:t>
      </w:r>
    </w:p>
    <w:p>
      <w:pPr>
        <w:pStyle w:val="ClauseLabel"/>
      </w:pPr>
      <w:r>
        <w:t>BB-24. Canadian graphite processing in Mexico</w:t>
      </w:r>
    </w:p>
    <w:p>
      <w:pPr>
        <w:pStyle w:val="Normal"/>
      </w:pPr>
      <w:r>
        <w:t>Canadian graphite ore shipped to Mexico for processing; finished anode material to US.</w:t>
      </w:r>
    </w:p>
    <w:p>
      <w:pPr>
        <w:pStyle w:val="ClauseLabel"/>
      </w:pPr>
      <w:r>
        <w:t>BB-25. Tri-national graphite sphericalization plant</w:t>
      </w:r>
    </w:p>
    <w:p>
      <w:pPr>
        <w:pStyle w:val="Normal"/>
      </w:pPr>
      <w:r>
        <w:t>Build spherical graphite facility in Mexico (near US border) serving all three EV industries.</w:t>
      </w:r>
    </w:p>
    <w:p>
      <w:pPr>
        <w:pStyle w:val="ClauseLabel"/>
      </w:pPr>
      <w:r>
        <w:t>BB-26. US-Mexico graphite exploration JV</w:t>
      </w:r>
    </w:p>
    <w:p>
      <w:pPr>
        <w:pStyle w:val="Normal"/>
      </w:pPr>
      <w:r>
        <w:t>Joint exploration of graphite deposits in Sonora and Oaxaca.</w:t>
      </w:r>
    </w:p>
    <w:p>
      <w:pPr>
        <w:pStyle w:val="ClauseLabel"/>
      </w:pPr>
      <w:r>
        <w:t>BB-27. Canadian graphite technology to Mexico</w:t>
      </w:r>
    </w:p>
    <w:p>
      <w:pPr>
        <w:pStyle w:val="Normal"/>
      </w:pPr>
      <w:r>
        <w:t>Canada's graphite processing technology deployed in Mexican facilities.</w:t>
      </w:r>
    </w:p>
    <w:p>
      <w:pPr>
        <w:pStyle w:val="ClauseLabel"/>
      </w:pPr>
      <w:r>
        <w:t>BB-28. Tri-national synthetic graphite R&amp;D</w:t>
      </w:r>
    </w:p>
    <w:p>
      <w:pPr>
        <w:pStyle w:val="Normal"/>
      </w:pPr>
      <w:r>
        <w:t>Joint research on synthetic graphite alternatives using North American petroleum coke.</w:t>
      </w:r>
    </w:p>
    <w:p>
      <w:pPr>
        <w:pStyle w:val="ClauseLabel"/>
      </w:pPr>
      <w:r>
        <w:t>BB-29. Mexican graphite mining expansion</w:t>
      </w:r>
    </w:p>
    <w:p>
      <w:pPr>
        <w:pStyle w:val="Normal"/>
      </w:pPr>
      <w:r>
        <w:t>US/Canadian investment to expand Mexican graphite production 3x current levels.</w:t>
      </w:r>
    </w:p>
    <w:p>
      <w:pPr>
        <w:pStyle w:val="ClauseLabel"/>
      </w:pPr>
      <w:r>
        <w:t>BB-30. North American graphite supply agreement</w:t>
      </w:r>
    </w:p>
    <w:p>
      <w:pPr>
        <w:pStyle w:val="Normal"/>
      </w:pPr>
      <w:r>
        <w:t>Long-term tri-national agreement ensuring graphite stays within North America.</w:t>
      </w:r>
    </w:p>
    <w:p>
      <w:pPr>
        <w:pStyle w:val="ClauseLabel"/>
      </w:pPr>
      <w:r>
        <w:t>BB-31. Canadian rare earth separation plant</w:t>
      </w:r>
    </w:p>
    <w:p>
      <w:pPr>
        <w:pStyle w:val="Normal"/>
      </w:pPr>
      <w:r>
        <w:t>Build North America's first large-scale REE separation facility in Canada, funded jointly by US and Mexico.</w:t>
      </w:r>
    </w:p>
    <w:p>
      <w:pPr>
        <w:pStyle w:val="ClauseLabel"/>
      </w:pPr>
      <w:r>
        <w:t>BB-32. US rare earth ore to Canada</w:t>
      </w:r>
    </w:p>
    <w:p>
      <w:pPr>
        <w:pStyle w:val="Normal"/>
      </w:pPr>
      <w:r>
        <w:t>US ships Mountain Pass REE ore to Canada for separation; finished magnets return to US.</w:t>
      </w:r>
    </w:p>
    <w:p>
      <w:pPr>
        <w:pStyle w:val="ClauseLabel"/>
      </w:pPr>
      <w:r>
        <w:t>BB-33. Mexican REE exploration JV</w:t>
      </w:r>
    </w:p>
    <w:p>
      <w:pPr>
        <w:pStyle w:val="Normal"/>
      </w:pPr>
      <w:r>
        <w:t>Joint USGS-Mexican exploration of REE deposits in Baja and Chihuahua.</w:t>
      </w:r>
    </w:p>
    <w:p>
      <w:pPr>
        <w:pStyle w:val="ClauseLabel"/>
      </w:pPr>
      <w:r>
        <w:t>BB-34. Tri-national permanent magnet factory</w:t>
      </w:r>
    </w:p>
    <w:p>
      <w:pPr>
        <w:pStyle w:val="Normal"/>
      </w:pPr>
      <w:r>
        <w:t>Build NdFeB magnet plant in Mexico using Canadian-separated REEs for US EV motors.</w:t>
      </w:r>
    </w:p>
    <w:p>
      <w:pPr>
        <w:pStyle w:val="ClauseLabel"/>
      </w:pPr>
      <w:r>
        <w:t>BB-35. Canadian REE mining expansion</w:t>
      </w:r>
    </w:p>
    <w:p>
      <w:pPr>
        <w:pStyle w:val="Normal"/>
      </w:pPr>
      <w:r>
        <w:t>US investment in Canadian REE mines (e.g., Nechalacho) with Mexican offtake for magnets.</w:t>
      </w:r>
    </w:p>
    <w:p>
      <w:pPr>
        <w:pStyle w:val="ClauseLabel"/>
      </w:pPr>
      <w:r>
        <w:t>BB-36. US rare earth recycling hub in Mexico</w:t>
      </w:r>
    </w:p>
    <w:p>
      <w:pPr>
        <w:pStyle w:val="Normal"/>
      </w:pPr>
      <w:r>
        <w:t>Recycling of US e-waste in Mexico to recover rare earths.</w:t>
      </w:r>
    </w:p>
    <w:p>
      <w:pPr>
        <w:pStyle w:val="ClauseLabel"/>
      </w:pPr>
      <w:r>
        <w:t>BB-37. Tri-national REE research consortium</w:t>
      </w:r>
    </w:p>
    <w:p>
      <w:pPr>
        <w:pStyle w:val="Normal"/>
      </w:pPr>
      <w:r>
        <w:t>Joint university-industry R&amp;D on REE separation alternatives to Chinese methods.</w:t>
      </w:r>
    </w:p>
    <w:p>
      <w:pPr>
        <w:pStyle w:val="ClauseLabel"/>
      </w:pPr>
      <w:r>
        <w:t>BB-38. Canadian scandium production for US aerospace</w:t>
      </w:r>
    </w:p>
    <w:p>
      <w:pPr>
        <w:pStyle w:val="Normal"/>
      </w:pPr>
      <w:r>
        <w:t>Canada produces scandium; US aerospace (aircraft alloys) is primary customer.</w:t>
      </w:r>
    </w:p>
    <w:p>
      <w:pPr>
        <w:pStyle w:val="ClauseLabel"/>
      </w:pPr>
      <w:r>
        <w:t>BB-39. US-Mexico REE processing pilot</w:t>
      </w:r>
    </w:p>
    <w:p>
      <w:pPr>
        <w:pStyle w:val="Normal"/>
      </w:pPr>
      <w:r>
        <w:t>Pilot plant in Mexico processing US and Canadian REE ores.</w:t>
      </w:r>
    </w:p>
    <w:p>
      <w:pPr>
        <w:pStyle w:val="ClauseLabel"/>
      </w:pPr>
      <w:r>
        <w:t>BB-40. North American REE stockpile</w:t>
      </w:r>
    </w:p>
    <w:p>
      <w:pPr>
        <w:pStyle w:val="Normal"/>
      </w:pPr>
      <w:r>
        <w:t>Coordinated strategic stockpile of separated rare earths across all three nations.</w:t>
      </w:r>
    </w:p>
    <w:p>
      <w:pPr>
        <w:pStyle w:val="ClauseLabel"/>
      </w:pPr>
      <w:r>
        <w:t>BB-41. Canadian nickel to US battery plants</w:t>
      </w:r>
    </w:p>
    <w:p>
      <w:pPr>
        <w:pStyle w:val="Normal"/>
      </w:pPr>
      <w:r>
        <w:t>Expand Canadian nickel mining (Sudbury, Thompson) with US offtake for EV batteries.</w:t>
      </w:r>
    </w:p>
    <w:p>
      <w:pPr>
        <w:pStyle w:val="ClauseLabel"/>
      </w:pPr>
      <w:r>
        <w:t>BB-42. Mexican cobalt exploration</w:t>
      </w:r>
    </w:p>
    <w:p>
      <w:pPr>
        <w:pStyle w:val="Normal"/>
      </w:pPr>
      <w:r>
        <w:t>Joint exploration of cobalt deposits in Mexico with Canadian mining expertise.</w:t>
      </w:r>
    </w:p>
    <w:p>
      <w:pPr>
        <w:pStyle w:val="ClauseLabel"/>
      </w:pPr>
      <w:r>
        <w:t>BB-43. Tri-national nickel-cobalt refinery</w:t>
      </w:r>
    </w:p>
    <w:p>
      <w:pPr>
        <w:pStyle w:val="Normal"/>
      </w:pPr>
      <w:r>
        <w:t>Build refinery in Quebec processing Canadian ore, Mexican concentrate, and US recycled material.</w:t>
      </w:r>
    </w:p>
    <w:p>
      <w:pPr>
        <w:pStyle w:val="ClauseLabel"/>
      </w:pPr>
      <w:r>
        <w:t>BB-44. US-Canada nickel JV</w:t>
      </w:r>
    </w:p>
    <w:p>
      <w:pPr>
        <w:pStyle w:val="Normal"/>
      </w:pPr>
      <w:r>
        <w:t>US automakers invest directly in Canadian nickel mines for guaranteed supply.</w:t>
      </w:r>
    </w:p>
    <w:p>
      <w:pPr>
        <w:pStyle w:val="ClauseLabel"/>
      </w:pPr>
      <w:r>
        <w:t>BB-45. Mexican nickel laterite development</w:t>
      </w:r>
    </w:p>
    <w:p>
      <w:pPr>
        <w:pStyle w:val="Normal"/>
      </w:pPr>
      <w:r>
        <w:t>Develop Mexico's nickel laterite deposits using Canadian technology.</w:t>
      </w:r>
    </w:p>
    <w:p>
      <w:pPr>
        <w:pStyle w:val="ClauseLabel"/>
      </w:pPr>
      <w:r>
        <w:t>BB-46. Canadian cobalt refining expansion</w:t>
      </w:r>
    </w:p>
    <w:p>
      <w:pPr>
        <w:pStyle w:val="Normal"/>
      </w:pPr>
      <w:r>
        <w:t>Expand Canada's cobalt refining capacity with US investment.</w:t>
      </w:r>
    </w:p>
    <w:p>
      <w:pPr>
        <w:pStyle w:val="ClauseLabel"/>
      </w:pPr>
      <w:r>
        <w:t>BB-47. Tri-national battery recycling for cobalt</w:t>
      </w:r>
    </w:p>
    <w:p>
      <w:pPr>
        <w:pStyle w:val="Normal"/>
      </w:pPr>
      <w:r>
        <w:t>US EV battery recycling sent to Canada for cobalt recovery; recovered cobalt to US.</w:t>
      </w:r>
    </w:p>
    <w:p>
      <w:pPr>
        <w:pStyle w:val="ClauseLabel"/>
      </w:pPr>
      <w:r>
        <w:t>BB-48. North American nickel price stabilization</w:t>
      </w:r>
    </w:p>
    <w:p>
      <w:pPr>
        <w:pStyle w:val="Normal"/>
      </w:pPr>
      <w:r>
        <w:t>Joint mechanism to stabilize nickel prices for battery manufacturers.</w:t>
      </w:r>
    </w:p>
    <w:p>
      <w:pPr>
        <w:pStyle w:val="ClauseLabel"/>
      </w:pPr>
      <w:r>
        <w:t>BB-49. Mexican zinc concentrate to US smelters</w:t>
      </w:r>
    </w:p>
    <w:p>
      <w:pPr>
        <w:pStyle w:val="Normal"/>
      </w:pPr>
      <w:r>
        <w:t>Expand Mexican zinc production with US smelting of concentrate.</w:t>
      </w:r>
    </w:p>
    <w:p>
      <w:pPr>
        <w:pStyle w:val="ClauseLabel"/>
      </w:pPr>
      <w:r>
        <w:t>BB-50. Canadian zinc technology to Mexico</w:t>
      </w:r>
    </w:p>
    <w:p>
      <w:pPr>
        <w:pStyle w:val="Normal"/>
      </w:pPr>
      <w:r>
        <w:t>Canada's underground mining expertise applied to Mexican zinc operations.</w:t>
      </w:r>
    </w:p>
    <w:p>
      <w:pPr>
        <w:pStyle w:val="ClauseLabel"/>
      </w:pPr>
      <w:r>
        <w:t>BB-51. Tri-national zinc galvanizing JV</w:t>
      </w:r>
    </w:p>
    <w:p>
      <w:pPr>
        <w:pStyle w:val="Normal"/>
      </w:pPr>
      <w:r>
        <w:t>Build galvanizing plant in Mexico serving US auto and Canadian construction sectors.</w:t>
      </w:r>
    </w:p>
    <w:p>
      <w:pPr>
        <w:pStyle w:val="ClauseLabel"/>
      </w:pPr>
      <w:r>
        <w:t>BB-52. US-Mexico lead recycling loop</w:t>
      </w:r>
    </w:p>
    <w:p>
      <w:pPr>
        <w:pStyle w:val="Normal"/>
      </w:pPr>
      <w:r>
        <w:t>US lead-acid battery recycling sent to Mexico; refined lead returns for new batteries.</w:t>
      </w:r>
    </w:p>
    <w:p>
      <w:pPr>
        <w:pStyle w:val="ClauseLabel"/>
      </w:pPr>
      <w:r>
        <w:t>BB-53. Canadian zinc exploration in Mexico</w:t>
      </w:r>
    </w:p>
    <w:p>
      <w:pPr>
        <w:pStyle w:val="Normal"/>
      </w:pPr>
      <w:r>
        <w:t>Canadian companies explore Mexico's zinc-rich regions (Zacatecas, Chihuahua).</w:t>
      </w:r>
    </w:p>
    <w:p>
      <w:pPr>
        <w:pStyle w:val="ClauseLabel"/>
      </w:pPr>
      <w:r>
        <w:t>BB-54. Tri-national lead-acid battery JV</w:t>
      </w:r>
    </w:p>
    <w:p>
      <w:pPr>
        <w:pStyle w:val="Normal"/>
      </w:pPr>
      <w:r>
        <w:t>Joint manufacturing of lead-acid batteries using Mexican lead and US technology.</w:t>
      </w:r>
    </w:p>
    <w:p>
      <w:pPr>
        <w:pStyle w:val="ClauseLabel"/>
      </w:pPr>
      <w:r>
        <w:t>BB-55. Mexican zinc-oxide production</w:t>
      </w:r>
    </w:p>
    <w:p>
      <w:pPr>
        <w:pStyle w:val="Normal"/>
      </w:pPr>
      <w:r>
        <w:t>Produce zinc oxide in Mexico for US rubber and ceramics industries.</w:t>
      </w:r>
    </w:p>
    <w:p>
      <w:pPr>
        <w:pStyle w:val="ClauseLabel"/>
      </w:pPr>
      <w:r>
        <w:t>BB-56. North American zinc strategic reserve</w:t>
      </w:r>
    </w:p>
    <w:p>
      <w:pPr>
        <w:pStyle w:val="Normal"/>
      </w:pPr>
      <w:r>
        <w:t>Coordinated zinc stockpile for galvanizing infrastructure projects.</w:t>
      </w:r>
    </w:p>
    <w:p>
      <w:pPr>
        <w:pStyle w:val="ClauseLabel"/>
      </w:pPr>
      <w:r>
        <w:t>BB-57. Tri-national silver industrial applications JV</w:t>
      </w:r>
    </w:p>
    <w:p>
      <w:pPr>
        <w:pStyle w:val="Normal"/>
      </w:pPr>
      <w:r>
        <w:t>Develop silver-based technologies (solar PV, electronics, advanced conductors) using Mexican silver, US R&amp;D, Canadian manufacturing.</w:t>
      </w:r>
    </w:p>
    <w:p>
      <w:pPr>
        <w:pStyle w:val="ClauseLabel"/>
      </w:pPr>
      <w:r>
        <w:t>BB-58. Mexican silver to US solar panel plants</w:t>
      </w:r>
    </w:p>
    <w:p>
      <w:pPr>
        <w:pStyle w:val="Normal"/>
      </w:pPr>
      <w:r>
        <w:t>Long-term silver supply agreement for US solar photovoltaic manufacturing.</w:t>
      </w:r>
    </w:p>
    <w:p>
      <w:pPr>
        <w:pStyle w:val="ClauseLabel"/>
      </w:pPr>
      <w:r>
        <w:t>BB-59. Canadian gold refining in Mexico</w:t>
      </w:r>
    </w:p>
    <w:p>
      <w:pPr>
        <w:pStyle w:val="Normal"/>
      </w:pPr>
      <w:r>
        <w:t>Canadian gold ore shipped to Mexican refineries; refined gold returned.</w:t>
      </w:r>
    </w:p>
    <w:p>
      <w:pPr>
        <w:pStyle w:val="ClauseLabel"/>
      </w:pPr>
      <w:r>
        <w:t>BB-60. US-Mexico silver exploration</w:t>
      </w:r>
    </w:p>
    <w:p>
      <w:pPr>
        <w:pStyle w:val="Normal"/>
      </w:pPr>
      <w:r>
        <w:t>Joint exploration of new silver deposits in Mexico using US technology.</w:t>
      </w:r>
    </w:p>
    <w:p>
      <w:pPr>
        <w:pStyle w:val="ClauseLabel"/>
      </w:pPr>
      <w:r>
        <w:t>BB-61. Tri-national precious metals recycling</w:t>
      </w:r>
    </w:p>
    <w:p>
      <w:pPr>
        <w:pStyle w:val="Normal"/>
      </w:pPr>
      <w:r>
        <w:t>E-waste and jewelry recycling across all three countries, recovering gold/silver.</w:t>
      </w:r>
    </w:p>
    <w:p>
      <w:pPr>
        <w:pStyle w:val="ClauseLabel"/>
      </w:pPr>
      <w:r>
        <w:t>BB-62. Mexican silver to Canadian electronics</w:t>
      </w:r>
    </w:p>
    <w:p>
      <w:pPr>
        <w:pStyle w:val="Normal"/>
      </w:pPr>
      <w:r>
        <w:t>Mexican silver exported to Canadian electronics manufacturers.</w:t>
      </w:r>
    </w:p>
    <w:p>
      <w:pPr>
        <w:pStyle w:val="ClauseLabel"/>
      </w:pPr>
      <w:r>
        <w:t>BB-63. Industrial Precious-Metals Resilience Cooperation</w:t>
      </w:r>
    </w:p>
    <w:p>
      <w:pPr>
        <w:pStyle w:val="Normal"/>
      </w:pPr>
      <w:r>
        <w:t>Coordinate industrial precious-metal supply, recycling and emergency availability without directing central-bank reserve policy.</w:t>
      </w:r>
    </w:p>
    <w:p>
      <w:pPr>
        <w:pStyle w:val="ClauseLabel"/>
      </w:pPr>
      <w:r>
        <w:t>BB-64. US gold mining tech transfer to Mexico</w:t>
      </w:r>
    </w:p>
    <w:p>
      <w:pPr>
        <w:pStyle w:val="Normal"/>
      </w:pPr>
      <w:r>
        <w:t>US open-pit and heap-leach technology deployed in Mexican gold operations.</w:t>
      </w:r>
    </w:p>
    <w:p>
      <w:pPr>
        <w:pStyle w:val="ClauseLabel"/>
      </w:pPr>
      <w:r>
        <w:t>BB-65. Canadian potash to US &amp; Mexico</w:t>
      </w:r>
    </w:p>
    <w:p>
      <w:pPr>
        <w:pStyle w:val="Normal"/>
      </w:pPr>
      <w:r>
        <w:t>Long-term potash supply agreements from Saskatchewan to US corn belt and Mexican agriculture.</w:t>
      </w:r>
    </w:p>
    <w:p>
      <w:pPr>
        <w:pStyle w:val="ClauseLabel"/>
      </w:pPr>
      <w:r>
        <w:t>BB-66. Tri-national fertilizer distribution network</w:t>
      </w:r>
    </w:p>
    <w:p>
      <w:pPr>
        <w:pStyle w:val="Normal"/>
      </w:pPr>
      <w:r>
        <w:t>Joint logistics network shipping Canadian potash to US and Mexican farmers.</w:t>
      </w:r>
    </w:p>
    <w:p>
      <w:pPr>
        <w:pStyle w:val="ClauseLabel"/>
      </w:pPr>
      <w:r>
        <w:t>BB-67. Canadian phosphate to Mexico</w:t>
      </w:r>
    </w:p>
    <w:p>
      <w:pPr>
        <w:pStyle w:val="Normal"/>
      </w:pPr>
      <w:r>
        <w:t>Canada exports phosphate rock to Mexican fertilizer plants.</w:t>
      </w:r>
    </w:p>
    <w:p>
      <w:pPr>
        <w:pStyle w:val="ClauseLabel"/>
      </w:pPr>
      <w:r>
        <w:t>BB-68. US-Mexico fertilizer plant JV</w:t>
      </w:r>
    </w:p>
    <w:p>
      <w:pPr>
        <w:pStyle w:val="Normal"/>
      </w:pPr>
      <w:r>
        <w:t>Build fertilizer plant in Mexico using Canadian potash and US sulfur.</w:t>
      </w:r>
    </w:p>
    <w:p>
      <w:pPr>
        <w:pStyle w:val="ClauseLabel"/>
      </w:pPr>
      <w:r>
        <w:t>BB-69. Tri-national agricultural minerals agreement</w:t>
      </w:r>
    </w:p>
    <w:p>
      <w:pPr>
        <w:pStyle w:val="Normal"/>
      </w:pPr>
      <w:r>
        <w:t>Coordinated supply of potash, phosphate, and sulfur to North American farmers.</w:t>
      </w:r>
    </w:p>
    <w:p>
      <w:pPr>
        <w:pStyle w:val="ClauseLabel"/>
      </w:pPr>
      <w:r>
        <w:t>BB-70. Canadian potash rail corridor investment</w:t>
      </w:r>
    </w:p>
    <w:p>
      <w:pPr>
        <w:pStyle w:val="Normal"/>
      </w:pPr>
      <w:r>
        <w:t>Joint investment in rail infrastructure from Saskatchewan to US Gulf and Mexico.</w:t>
      </w:r>
    </w:p>
    <w:p>
      <w:pPr>
        <w:pStyle w:val="ClauseLabel"/>
      </w:pPr>
      <w:r>
        <w:t>BB-71. Mexican molybdenum to US steel mills</w:t>
      </w:r>
    </w:p>
    <w:p>
      <w:pPr>
        <w:pStyle w:val="Normal"/>
      </w:pPr>
      <w:r>
        <w:t>Long-term supply of Mexican molybdenum for US high-strength steel alloys (aerospace, defense, energy).</w:t>
      </w:r>
    </w:p>
    <w:p>
      <w:pPr>
        <w:pStyle w:val="ClauseLabel"/>
      </w:pPr>
      <w:r>
        <w:t>BB-72. Canadian tungsten exploration</w:t>
      </w:r>
    </w:p>
    <w:p>
      <w:pPr>
        <w:pStyle w:val="Normal"/>
      </w:pPr>
      <w:r>
        <w:t>Joint exploration of tungsten deposits in Canada for US defense supply.</w:t>
      </w:r>
    </w:p>
    <w:p>
      <w:pPr>
        <w:pStyle w:val="ClauseLabel"/>
      </w:pPr>
      <w:r>
        <w:t>BB-73. US-Mexico molybdenum processing</w:t>
      </w:r>
    </w:p>
    <w:p>
      <w:pPr>
        <w:pStyle w:val="Normal"/>
      </w:pPr>
      <w:r>
        <w:t>Build molybdenum roaster in Mexico processing Mexican and US ores.</w:t>
      </w:r>
    </w:p>
    <w:p>
      <w:pPr>
        <w:pStyle w:val="ClauseLabel"/>
      </w:pPr>
      <w:r>
        <w:t>BB-74. Tri-national high-strength steel JV</w:t>
      </w:r>
    </w:p>
    <w:p>
      <w:pPr>
        <w:pStyle w:val="Normal"/>
      </w:pPr>
      <w:r>
        <w:t>Joint venture steel plant using Mexican molybdenum, US iron, Canadian nickel.</w:t>
      </w:r>
    </w:p>
    <w:p>
      <w:pPr>
        <w:pStyle w:val="ClauseLabel"/>
      </w:pPr>
      <w:r>
        <w:t>BB-75. Mexican molybdenum to Canadian aerospace</w:t>
      </w:r>
    </w:p>
    <w:p>
      <w:pPr>
        <w:pStyle w:val="Normal"/>
      </w:pPr>
      <w:r>
        <w:t>Mexico exports molybdenum to Canadian aerospace manufacturers.</w:t>
      </w:r>
    </w:p>
    <w:p>
      <w:pPr>
        <w:pStyle w:val="ClauseLabel"/>
      </w:pPr>
      <w:r>
        <w:t>BB-76. North American tungsten stockpile</w:t>
      </w:r>
    </w:p>
    <w:p>
      <w:pPr>
        <w:pStyle w:val="Normal"/>
      </w:pPr>
      <w:r>
        <w:t>Coordinated strategic tungsten stockpile for defense manufacturing.</w:t>
      </w:r>
    </w:p>
    <w:p>
      <w:pPr>
        <w:pStyle w:val="ClauseLabel"/>
      </w:pPr>
      <w:r>
        <w:t>BB-77. Mexican fluorspar to US chemical plants</w:t>
      </w:r>
    </w:p>
    <w:p>
      <w:pPr>
        <w:pStyle w:val="Normal"/>
      </w:pPr>
      <w:r>
        <w:t>Long-term supply of Mexican fluorspar for US hydrofluoric acid production (semiconductors, refrigerants).</w:t>
      </w:r>
    </w:p>
    <w:p>
      <w:pPr>
        <w:pStyle w:val="ClauseLabel"/>
      </w:pPr>
      <w:r>
        <w:t>BB-78. Canadian fluorspar exploration</w:t>
      </w:r>
    </w:p>
    <w:p>
      <w:pPr>
        <w:pStyle w:val="Normal"/>
      </w:pPr>
      <w:r>
        <w:t>Develop Canada's fluorspar deposits with US offtake.</w:t>
      </w:r>
    </w:p>
    <w:p>
      <w:pPr>
        <w:pStyle w:val="ClauseLabel"/>
      </w:pPr>
      <w:r>
        <w:t>BB-79. Mexican barite to US oil &amp; gas</w:t>
      </w:r>
    </w:p>
    <w:p>
      <w:pPr>
        <w:pStyle w:val="Normal"/>
      </w:pPr>
      <w:r>
        <w:t>Supply Mexican barite for US drilling fluids.</w:t>
      </w:r>
    </w:p>
    <w:p>
      <w:pPr>
        <w:pStyle w:val="ClauseLabel"/>
      </w:pPr>
      <w:r>
        <w:t>BB-80. Tri-national fluorspar processing JV</w:t>
      </w:r>
    </w:p>
    <w:p>
      <w:pPr>
        <w:pStyle w:val="Normal"/>
      </w:pPr>
      <w:r>
        <w:t>Build fluorspar processing plant in Mexico serving all three.</w:t>
      </w:r>
    </w:p>
    <w:p>
      <w:pPr>
        <w:pStyle w:val="ClauseLabel"/>
      </w:pPr>
      <w:r>
        <w:t>BB-81. Canadian industrial minerals to Mexico</w:t>
      </w:r>
    </w:p>
    <w:p>
      <w:pPr>
        <w:pStyle w:val="Normal"/>
      </w:pPr>
      <w:r>
        <w:t>Canada exports silica, limestone, and other industrial minerals to Mexico.</w:t>
      </w:r>
    </w:p>
    <w:p>
      <w:pPr>
        <w:pStyle w:val="ClauseLabel"/>
      </w:pPr>
      <w:r>
        <w:t>BB-82. US-Mexico barite exploration</w:t>
      </w:r>
    </w:p>
    <w:p>
      <w:pPr>
        <w:pStyle w:val="Normal"/>
      </w:pPr>
      <w:r>
        <w:t>Joint exploration of additional barite deposits in Mexico.</w:t>
      </w:r>
    </w:p>
    <w:p>
      <w:pPr>
        <w:pStyle w:val="ClauseLabel"/>
      </w:pPr>
      <w:r>
        <w:t>BB-83. Tri-national cement &amp; construction minerals</w:t>
      </w:r>
    </w:p>
    <w:p>
      <w:pPr>
        <w:pStyle w:val="Normal"/>
      </w:pPr>
      <w:r>
        <w:t>Cross-border supply of cement, lime, and aggregates.</w:t>
      </w:r>
    </w:p>
    <w:p>
      <w:pPr>
        <w:pStyle w:val="ClauseLabel"/>
      </w:pPr>
      <w:r>
        <w:t>BB-84. Mexican salt to US/Canadian chemical plants</w:t>
      </w:r>
    </w:p>
    <w:p>
      <w:pPr>
        <w:pStyle w:val="Normal"/>
      </w:pPr>
      <w:r>
        <w:t>Mexico's salt production exported to US and Canadian chlor-alkali plants.</w:t>
      </w:r>
    </w:p>
    <w:p>
      <w:pPr>
        <w:pStyle w:val="ClauseLabel"/>
      </w:pPr>
      <w:r>
        <w:t>BB-85. North American fluorspar strategic reserve</w:t>
      </w:r>
    </w:p>
    <w:p>
      <w:pPr>
        <w:pStyle w:val="Normal"/>
      </w:pPr>
      <w:r>
        <w:t>Coordinated stockpile for semiconductor industry security.</w:t>
      </w:r>
    </w:p>
    <w:p>
      <w:pPr>
        <w:pStyle w:val="ClauseLabel"/>
      </w:pPr>
      <w:r>
        <w:t>BB-86. Tri-national industrial minerals database</w:t>
      </w:r>
    </w:p>
    <w:p>
      <w:pPr>
        <w:pStyle w:val="Normal"/>
      </w:pPr>
      <w:r>
        <w:t>Shared geological database of industrial mineral resources.</w:t>
      </w:r>
    </w:p>
    <w:p>
      <w:pPr>
        <w:pStyle w:val="ClauseLabel"/>
      </w:pPr>
      <w:r>
        <w:t>BB-87. Canadian uranium to US nuclear plants</w:t>
      </w:r>
    </w:p>
    <w:p>
      <w:pPr>
        <w:pStyle w:val="Normal"/>
      </w:pPr>
      <w:r>
        <w:t>Long-term uranium supply agreements from Saskatchewan to US nuclear reactors.</w:t>
      </w:r>
    </w:p>
    <w:p>
      <w:pPr>
        <w:pStyle w:val="ClauseLabel"/>
      </w:pPr>
      <w:r>
        <w:t>BB-88. US enrichment for Canadian uranium</w:t>
      </w:r>
    </w:p>
    <w:p>
      <w:pPr>
        <w:pStyle w:val="Normal"/>
      </w:pPr>
      <w:r>
        <w:t>Canadian uranium sent to US for enrichment; enriched fuel returned.</w:t>
      </w:r>
    </w:p>
    <w:p>
      <w:pPr>
        <w:pStyle w:val="ClauseLabel"/>
      </w:pPr>
      <w:r>
        <w:t>BB-89. Mexican uranium exploration</w:t>
      </w:r>
    </w:p>
    <w:p>
      <w:pPr>
        <w:pStyle w:val="Normal"/>
      </w:pPr>
      <w:r>
        <w:t>Joint exploration of Mexico's uranium deposits with Canadian expertise.</w:t>
      </w:r>
    </w:p>
    <w:p>
      <w:pPr>
        <w:pStyle w:val="ClauseLabel"/>
      </w:pPr>
      <w:r>
        <w:t>BB-90. North American Nuclear Fuel Security Cooperation</w:t>
      </w:r>
    </w:p>
    <w:p>
      <w:pPr>
        <w:pStyle w:val="Normal"/>
      </w:pPr>
      <w:r>
        <w:t>Coordinate lawful uranium supply, conversion, enrichment, fabrication and reserve capacity under domestic nuclear law, safeguards and non-proliferation obligations; do not prescribe a single tri-national fuel-cycle JV.</w:t>
      </w:r>
    </w:p>
    <w:p>
      <w:pPr>
        <w:pStyle w:val="ClauseLabel"/>
      </w:pPr>
      <w:r>
        <w:t>BB-91. Canadian uranium to Mexico</w:t>
      </w:r>
    </w:p>
    <w:p>
      <w:pPr>
        <w:pStyle w:val="Normal"/>
      </w:pPr>
      <w:r>
        <w:t>Canada supplies uranium for Mexico's nuclear power program.</w:t>
      </w:r>
    </w:p>
    <w:p>
      <w:pPr>
        <w:pStyle w:val="ClauseLabel"/>
      </w:pPr>
      <w:r>
        <w:t>BB-92. North American uranium reserve coordination</w:t>
      </w:r>
    </w:p>
    <w:p>
      <w:pPr>
        <w:pStyle w:val="Normal"/>
      </w:pPr>
      <w:r>
        <w:t>Coordinated uranium reserve policies for energy security.</w:t>
      </w:r>
    </w:p>
    <w:p>
      <w:pPr>
        <w:pStyle w:val="ClauseLabel"/>
      </w:pPr>
      <w:r>
        <w:t>BB-93. Canadian magnesium to US auto plants</w:t>
      </w:r>
    </w:p>
    <w:p>
      <w:pPr>
        <w:pStyle w:val="Normal"/>
      </w:pPr>
      <w:r>
        <w:t>Supply Canadian magnesium for US lightweight automotive components.</w:t>
      </w:r>
    </w:p>
    <w:p>
      <w:pPr>
        <w:pStyle w:val="ClauseLabel"/>
      </w:pPr>
      <w:r>
        <w:t>BB-94. Mexican titanium exploration</w:t>
      </w:r>
    </w:p>
    <w:p>
      <w:pPr>
        <w:pStyle w:val="Normal"/>
      </w:pPr>
      <w:r>
        <w:t>Joint exploration of titanium deposits in Mexico.</w:t>
      </w:r>
    </w:p>
    <w:p>
      <w:pPr>
        <w:pStyle w:val="ClauseLabel"/>
      </w:pPr>
      <w:r>
        <w:t>BB-95. US titanium sponge plant in Canada</w:t>
      </w:r>
    </w:p>
    <w:p>
      <w:pPr>
        <w:pStyle w:val="Normal"/>
      </w:pPr>
      <w:r>
        <w:t>Build titanium sponge plant in Canada using US technology and Canadian energy.</w:t>
      </w:r>
    </w:p>
    <w:p>
      <w:pPr>
        <w:pStyle w:val="ClauseLabel"/>
      </w:pPr>
      <w:r>
        <w:t>BB-96. Tri-national aerospace alloys JV</w:t>
      </w:r>
    </w:p>
    <w:p>
      <w:pPr>
        <w:pStyle w:val="Normal"/>
      </w:pPr>
      <w:r>
        <w:t>Joint venture producing titanium-magnesium alloys for aerospace using Canadian Mg, Mexican Ti, US tech.</w:t>
      </w:r>
    </w:p>
    <w:p>
      <w:pPr>
        <w:pStyle w:val="ClauseLabel"/>
      </w:pPr>
      <w:r>
        <w:t>BB-97. Canadian magnesium processing expansion</w:t>
      </w:r>
    </w:p>
    <w:p>
      <w:pPr>
        <w:pStyle w:val="Normal"/>
      </w:pPr>
      <w:r>
        <w:t>Expand Canada's magnesium refining with US investment.</w:t>
      </w:r>
    </w:p>
    <w:p>
      <w:pPr>
        <w:pStyle w:val="ClauseLabel"/>
      </w:pPr>
      <w:r>
        <w:t>BB-98. Mexican titanium dioxide to US/Canada</w:t>
      </w:r>
    </w:p>
    <w:p>
      <w:pPr>
        <w:pStyle w:val="Normal"/>
      </w:pPr>
      <w:r>
        <w:t>Mexico exports titanium dioxide pigment to US/Canadian paint/coatings industries.</w:t>
      </w:r>
    </w:p>
    <w:p>
      <w:pPr>
        <w:pStyle w:val="ClauseLabel"/>
      </w:pPr>
      <w:r>
        <w:t>BB-99. Tri-national light metals R&amp;D</w:t>
      </w:r>
    </w:p>
    <w:p>
      <w:pPr>
        <w:pStyle w:val="Normal"/>
      </w:pPr>
      <w:r>
        <w:t>Joint research on magnesium and titanium alloys for automotive lightweighting.</w:t>
      </w:r>
    </w:p>
    <w:p>
      <w:pPr>
        <w:pStyle w:val="ClauseLabel"/>
      </w:pPr>
      <w:r>
        <w:t>BB-100. North American titanium strategic reserve</w:t>
      </w:r>
    </w:p>
    <w:p>
      <w:pPr>
        <w:pStyle w:val="Normal"/>
      </w:pPr>
      <w:r>
        <w:t>Coordinated titanium sponge stockpile for defense and aerospace.</w:t>
      </w:r>
    </w:p>
    <w:p>
      <w:pPr>
        <w:pStyle w:val="ClauseLabel"/>
      </w:pPr>
      <w:r>
        <w:t>BB-101. Tri-national critical minerals processing fund</w:t>
      </w:r>
    </w:p>
    <w:p>
      <w:pPr>
        <w:pStyle w:val="Normal"/>
      </w:pPr>
      <w:r>
        <w:t>$10B joint fund to build processing facilities across all three countries.</w:t>
      </w:r>
    </w:p>
    <w:p>
      <w:pPr>
        <w:pStyle w:val="ClauseLabel"/>
      </w:pPr>
      <w:r>
        <w:t>BB-102. US-Mexico-Canada refining corridor</w:t>
      </w:r>
    </w:p>
    <w:p>
      <w:pPr>
        <w:pStyle w:val="Normal"/>
      </w:pPr>
      <w:r>
        <w:t>Build a chain of refineries: Canada (nickel/cobalt), US (rare earths), Mexico (lithium/copper).</w:t>
      </w:r>
    </w:p>
    <w:p>
      <w:pPr>
        <w:pStyle w:val="ClauseLabel"/>
      </w:pPr>
      <w:r>
        <w:t>BB-103. Shared metallurgical R&amp;D center</w:t>
      </w:r>
    </w:p>
    <w:p>
      <w:pPr>
        <w:pStyle w:val="Normal"/>
      </w:pPr>
      <w:r>
        <w:t>Joint research center in Mexico developing new mineral processing technologies.</w:t>
      </w:r>
    </w:p>
    <w:p>
      <w:pPr>
        <w:pStyle w:val="ClauseLabel"/>
      </w:pPr>
      <w:r>
        <w:t>BB-104. Canadian smelter revitalization</w:t>
      </w:r>
    </w:p>
    <w:p>
      <w:pPr>
        <w:pStyle w:val="Normal"/>
      </w:pPr>
      <w:r>
        <w:t>US/Mexican investment to restart closed Canadian smelters.</w:t>
      </w:r>
    </w:p>
    <w:p>
      <w:pPr>
        <w:pStyle w:val="ClauseLabel"/>
      </w:pPr>
      <w:r>
        <w:t>BB-105. Mexican processing workforce development</w:t>
      </w:r>
    </w:p>
    <w:p>
      <w:pPr>
        <w:pStyle w:val="Normal"/>
      </w:pPr>
      <w:r>
        <w:t>Joint training programs for Mexican mineral processors.</w:t>
      </w:r>
    </w:p>
    <w:p>
      <w:pPr>
        <w:pStyle w:val="ClauseLabel"/>
      </w:pPr>
      <w:r>
        <w:t>BB-106. Tri-national mineral processing equipment JV</w:t>
      </w:r>
    </w:p>
    <w:p>
      <w:pPr>
        <w:pStyle w:val="Normal"/>
      </w:pPr>
      <w:r>
        <w:t>Manufacture processing equipment in Mexico for all three.</w:t>
      </w:r>
    </w:p>
    <w:p>
      <w:pPr>
        <w:pStyle w:val="ClauseLabel"/>
      </w:pPr>
      <w:r>
        <w:t>BB-107. US-Canada-Mexico processing technology sharing</w:t>
      </w:r>
    </w:p>
    <w:p>
      <w:pPr>
        <w:pStyle w:val="Normal"/>
      </w:pPr>
      <w:r>
        <w:t>Technology transfer agreements for advanced processing methods.</w:t>
      </w:r>
    </w:p>
    <w:p>
      <w:pPr>
        <w:pStyle w:val="ClauseLabel"/>
      </w:pPr>
      <w:r>
        <w:t>BB-108. Coordinated permitting for processing facilities</w:t>
      </w:r>
    </w:p>
    <w:p>
      <w:pPr>
        <w:pStyle w:val="Normal"/>
      </w:pPr>
      <w:r>
        <w:t>Streamlined cross-border permitting for mineral processing plants.</w:t>
      </w:r>
    </w:p>
    <w:p>
      <w:pPr>
        <w:pStyle w:val="ClauseLabel"/>
      </w:pPr>
      <w:r>
        <w:t>BB-109. Tri-national circular mineral economy</w:t>
      </w:r>
    </w:p>
    <w:p>
      <w:pPr>
        <w:pStyle w:val="Normal"/>
      </w:pPr>
      <w:r>
        <w:t>Recycling and reprocessing of mineral wastes across all three.</w:t>
      </w:r>
    </w:p>
    <w:p>
      <w:pPr>
        <w:pStyle w:val="ClauseLabel"/>
      </w:pPr>
      <w:r>
        <w:t>BB-110. Joint tailings reprocessing initiative</w:t>
      </w:r>
    </w:p>
    <w:p>
      <w:pPr>
        <w:pStyle w:val="Normal"/>
      </w:pPr>
      <w:r>
        <w:t>Reprocess mine tailings in all three countries for residual minerals.</w:t>
      </w:r>
    </w:p>
    <w:p>
      <w:pPr>
        <w:pStyle w:val="ClauseLabel"/>
      </w:pPr>
      <w:r>
        <w:t>BB-111. North American mineral processing standards</w:t>
      </w:r>
    </w:p>
    <w:p>
      <w:pPr>
        <w:pStyle w:val="Normal"/>
      </w:pPr>
      <w:r>
        <w:t>Harmonized environmental and safety standards for processing facilities.</w:t>
      </w:r>
    </w:p>
    <w:p>
      <w:pPr>
        <w:pStyle w:val="ClauseLabel"/>
      </w:pPr>
      <w:r>
        <w:t>BB-112. Tri-national processing investment tax credits</w:t>
      </w:r>
    </w:p>
    <w:p>
      <w:pPr>
        <w:pStyle w:val="Normal"/>
      </w:pPr>
      <w:r>
        <w:t>Coordinated tax incentives for mineral processing investment.</w:t>
      </w:r>
    </w:p>
    <w:p>
      <w:pPr>
        <w:pStyle w:val="ClauseLabel"/>
      </w:pPr>
      <w:r>
        <w:t>BB-113. Tri-national geological survey integration</w:t>
      </w:r>
    </w:p>
    <w:p>
      <w:pPr>
        <w:pStyle w:val="Normal"/>
      </w:pPr>
      <w:r>
        <w:t>Shared database of all three countries' mineral resources.</w:t>
      </w:r>
    </w:p>
    <w:p>
      <w:pPr>
        <w:pStyle w:val="ClauseLabel"/>
      </w:pPr>
      <w:r>
        <w:t>BB-114. USGS-Canadian-Mexican joint exploration program</w:t>
      </w:r>
    </w:p>
    <w:p>
      <w:pPr>
        <w:pStyle w:val="Normal"/>
      </w:pPr>
      <w:r>
        <w:t>$1B program to explore unexplored regions in all three.</w:t>
      </w:r>
    </w:p>
    <w:p>
      <w:pPr>
        <w:pStyle w:val="ClauseLabel"/>
      </w:pPr>
      <w:r>
        <w:t>BB-115. Shared satellite mineral sensing</w:t>
      </w:r>
    </w:p>
    <w:p>
      <w:pPr>
        <w:pStyle w:val="Normal"/>
      </w:pPr>
      <w:r>
        <w:t>Joint satellite program for mineral exploration.</w:t>
      </w:r>
    </w:p>
    <w:p>
      <w:pPr>
        <w:pStyle w:val="ClauseLabel"/>
      </w:pPr>
      <w:r>
        <w:t>BB-116. Tri-national critical minerals mapping</w:t>
      </w:r>
    </w:p>
    <w:p>
      <w:pPr>
        <w:pStyle w:val="Normal"/>
      </w:pPr>
      <w:r>
        <w:t>Complete mapping of all critical mineral resources in North America.</w:t>
      </w:r>
    </w:p>
    <w:p>
      <w:pPr>
        <w:pStyle w:val="ClauseLabel"/>
      </w:pPr>
      <w:r>
        <w:t>BB-117. Canadian exploration tech to Mexico</w:t>
      </w:r>
    </w:p>
    <w:p>
      <w:pPr>
        <w:pStyle w:val="Normal"/>
      </w:pPr>
      <w:r>
        <w:t>Canada's airborne geophysics technology deployed in Mexico.</w:t>
      </w:r>
    </w:p>
    <w:p>
      <w:pPr>
        <w:pStyle w:val="ClauseLabel"/>
      </w:pPr>
      <w:r>
        <w:t>BB-118. Mineral Investment Certainty Within Existing North American Architecture</w:t>
      </w:r>
    </w:p>
    <w:p>
      <w:pPr>
        <w:pStyle w:val="Normal"/>
      </w:pPr>
      <w:r>
        <w:t>Provide predictable, transparent mineral-investment treatment through NAESTMA and domestic law rather than creating a separate U.S.-Mexico bilateral investment treaty.</w:t>
      </w:r>
    </w:p>
    <w:p>
      <w:pPr>
        <w:pStyle w:val="ClauseLabel"/>
      </w:pPr>
      <w:r>
        <w:t>BB-119. Tri-national mining innovation network</w:t>
      </w:r>
    </w:p>
    <w:p>
      <w:pPr>
        <w:pStyle w:val="Normal"/>
      </w:pPr>
      <w:r>
        <w:t>Research network connecting universities and mining companies.</w:t>
      </w:r>
    </w:p>
    <w:p>
      <w:pPr>
        <w:pStyle w:val="ClauseLabel"/>
      </w:pPr>
      <w:r>
        <w:t>BB-120. North American mineral resource estimate</w:t>
      </w:r>
    </w:p>
    <w:p>
      <w:pPr>
        <w:pStyle w:val="Normal"/>
      </w:pPr>
      <w:r>
        <w:t>Joint comprehensive estimate of all mineral resources in the region.</w:t>
      </w:r>
    </w:p>
    <w:p>
      <w:pPr>
        <w:pStyle w:val="Heading1"/>
      </w:pPr>
      <w:bookmarkStart w:id="902298" w:name="_Toc300002297"/>
      <w:r>
        <w:t>PACKAGE BC: PROCESSING AND REFINING INDUSTRIALIZATION CATALOGUE (101 MECHANISMS)</w:t>
      </w:r>
      <w:bookmarkEnd w:id="902298"/>
    </w:p>
    <w:p>
      <w:pPr>
        <w:pStyle w:val="Normal"/>
      </w:pPr>
      <w:r>
        <w:t>Status. These mechanisms expand North American smelting, separation, refining, processing technology, infrastructure, workforce and circular capacity. Named firms or proprietary technologies from source material are treated as non-exclusive examples and are not endorsed by the Agreement.</w:t>
      </w:r>
    </w:p>
    <w:p>
      <w:pPr>
        <w:pStyle w:val="ClauseLabel"/>
      </w:pPr>
      <w:r>
        <w:t>BC-1. Tri-National Critical Minerals Sovereign Fund</w:t>
      </w:r>
    </w:p>
    <w:p>
      <w:pPr>
        <w:pStyle w:val="Normal"/>
      </w:pPr>
      <w:r>
        <w:t>Modeled after Canada's $2-billion fund, create a joint $10B fund for cross-border refinery projects with equity, loans, and offtake agreements.</w:t>
      </w:r>
    </w:p>
    <w:p>
      <w:pPr>
        <w:pStyle w:val="ClauseLabel"/>
      </w:pPr>
      <w:r>
        <w:t>BC-2. USMCA Critical Minerals Investment Corridor</w:t>
      </w:r>
    </w:p>
    <w:p>
      <w:pPr>
        <w:pStyle w:val="Normal"/>
      </w:pPr>
      <w:r>
        <w:t>Use the USMCA joint review to designate specific processing zones with preferential financing.</w:t>
      </w:r>
    </w:p>
    <w:p>
      <w:pPr>
        <w:pStyle w:val="ClauseLabel"/>
      </w:pPr>
      <w:r>
        <w:t>BC-3. North American Smelter Revitalization Fund</w:t>
      </w:r>
    </w:p>
    <w:p>
      <w:pPr>
        <w:pStyle w:val="Normal"/>
      </w:pPr>
      <w:r>
        <w:t>Jointly invest to restart closed smelters in Canada and the U.S.</w:t>
      </w:r>
    </w:p>
    <w:p>
      <w:pPr>
        <w:pStyle w:val="ClauseLabel"/>
      </w:pPr>
      <w:r>
        <w:t>BC-4. Tri-Lateral Loan Guarantee Program</w:t>
      </w:r>
    </w:p>
    <w:p>
      <w:pPr>
        <w:pStyle w:val="Normal"/>
      </w:pPr>
      <w:r>
        <w:t>Each country guarantees loans for refineries processing ores from the other two.</w:t>
      </w:r>
    </w:p>
    <w:p>
      <w:pPr>
        <w:pStyle w:val="ClauseLabel"/>
      </w:pPr>
      <w:r>
        <w:t>BC-5. Joint Strategic Stockpile Financing</w:t>
      </w:r>
    </w:p>
    <w:p>
      <w:pPr>
        <w:pStyle w:val="Normal"/>
      </w:pPr>
      <w:r>
        <w:t>Pool resources to finance a North American critical minerals stockpile.</w:t>
      </w:r>
    </w:p>
    <w:p>
      <w:pPr>
        <w:pStyle w:val="ClauseLabel"/>
      </w:pPr>
      <w:r>
        <w:t>BC-6. Cross-Border Infrastructure Bonds</w:t>
      </w:r>
    </w:p>
    <w:p>
      <w:pPr>
        <w:pStyle w:val="Normal"/>
      </w:pPr>
      <w:r>
        <w:t>Issue trilateral bonds to fund processing plant infrastructure.</w:t>
      </w:r>
    </w:p>
    <w:p>
      <w:pPr>
        <w:pStyle w:val="ClauseLabel"/>
      </w:pPr>
      <w:r>
        <w:t>BC-7. Trilateral Mineral Investment Certainty</w:t>
      </w:r>
    </w:p>
    <w:p>
      <w:pPr>
        <w:pStyle w:val="Normal"/>
      </w:pPr>
      <w:r>
        <w:t>Protect qualifying processing investment through NAESTMA and domestic law rather than a new U.S.-Mexico bilateral treaty.</w:t>
      </w:r>
    </w:p>
    <w:p>
      <w:pPr>
        <w:pStyle w:val="ClauseLabel"/>
      </w:pPr>
      <w:r>
        <w:t>BC-8. Canadian Pension Fund Investment in US/Mexico Refineries</w:t>
      </w:r>
    </w:p>
    <w:p>
      <w:pPr>
        <w:pStyle w:val="Normal"/>
      </w:pPr>
      <w:r>
        <w:t>Encourage large Canadian pension funds to invest in U.S. and Mexican processing.</w:t>
      </w:r>
    </w:p>
    <w:p>
      <w:pPr>
        <w:pStyle w:val="ClauseLabel"/>
      </w:pPr>
      <w:r>
        <w:t>BC-9. US Defense Production Act Investments in Canada/Mexico</w:t>
      </w:r>
    </w:p>
    <w:p>
      <w:pPr>
        <w:pStyle w:val="Normal"/>
      </w:pPr>
      <w:r>
        <w:t>Extend DPA funding to allied North American processing facilities.</w:t>
      </w:r>
    </w:p>
    <w:p>
      <w:pPr>
        <w:pStyle w:val="ClauseLabel"/>
      </w:pPr>
      <w:r>
        <w:t>BC-10. Mexican Sovereign Wealth Fund for Processing</w:t>
      </w:r>
    </w:p>
    <w:p>
      <w:pPr>
        <w:pStyle w:val="Normal"/>
      </w:pPr>
      <w:r>
        <w:t>Create a Mexican fund mirroring Canada's model.</w:t>
      </w:r>
    </w:p>
    <w:p>
      <w:pPr>
        <w:pStyle w:val="ClauseLabel"/>
      </w:pPr>
      <w:r>
        <w:t>BC-11. Tri-National Equity Co-Investment Platform</w:t>
      </w:r>
    </w:p>
    <w:p>
      <w:pPr>
        <w:pStyle w:val="Normal"/>
      </w:pPr>
      <w:r>
        <w:t>Each government takes minority equity stakes in strategic refineries.</w:t>
      </w:r>
    </w:p>
    <w:p>
      <w:pPr>
        <w:pStyle w:val="ClauseLabel"/>
      </w:pPr>
      <w:r>
        <w:t>BC-12. USMCA Processing Incentive Tax Credits</w:t>
      </w:r>
    </w:p>
    <w:p>
      <w:pPr>
        <w:pStyle w:val="Normal"/>
      </w:pPr>
      <w:r>
        <w:t>Harmonized tax credits for processing investment across all three.</w:t>
      </w:r>
    </w:p>
    <w:p>
      <w:pPr>
        <w:pStyle w:val="ClauseLabel"/>
      </w:pPr>
      <w:r>
        <w:t>BC-13. Joint Project Preparation Facility</w:t>
      </w:r>
    </w:p>
    <w:p>
      <w:pPr>
        <w:pStyle w:val="Normal"/>
      </w:pPr>
      <w:r>
        <w:t>Fund feasibility studies and early-stage development for shovel-ready projects.</w:t>
      </w:r>
    </w:p>
    <w:p>
      <w:pPr>
        <w:pStyle w:val="ClauseLabel"/>
      </w:pPr>
      <w:r>
        <w:t>BC-14. Critical Minerals Finance Window</w:t>
      </w:r>
    </w:p>
    <w:p>
      <w:pPr>
        <w:pStyle w:val="Normal"/>
      </w:pPr>
      <w:r>
        <w:t>Link existing development-finance, export-credit, infrastructure and strategic-investment institutions instead of creating a new North American minerals bank.</w:t>
      </w:r>
    </w:p>
    <w:p>
      <w:pPr>
        <w:pStyle w:val="ClauseLabel"/>
      </w:pPr>
      <w:r>
        <w:t>BC-15. Tri-National Offtake Aggregation</w:t>
      </w:r>
    </w:p>
    <w:p>
      <w:pPr>
        <w:pStyle w:val="Normal"/>
      </w:pPr>
      <w:r>
        <w:t>Pool government offtake agreements to de-risk private investment.</w:t>
      </w:r>
    </w:p>
    <w:p>
      <w:pPr>
        <w:pStyle w:val="ClauseLabel"/>
      </w:pPr>
      <w:r>
        <w:t>BC-16. Harmonized Environmental Permitting</w:t>
      </w:r>
    </w:p>
    <w:p>
      <w:pPr>
        <w:pStyle w:val="Normal"/>
      </w:pPr>
      <w:r>
        <w:t>Streamline cross-border environmental reviews for processing facilities.</w:t>
      </w:r>
    </w:p>
    <w:p>
      <w:pPr>
        <w:pStyle w:val="ClauseLabel"/>
      </w:pPr>
      <w:r>
        <w:t>BC-17. Shared Critical Minerals List</w:t>
      </w:r>
    </w:p>
    <w:p>
      <w:pPr>
        <w:pStyle w:val="Normal"/>
      </w:pPr>
      <w:r>
        <w:t>Define a common list of strategic minerals across all three nations.</w:t>
      </w:r>
    </w:p>
    <w:p>
      <w:pPr>
        <w:pStyle w:val="ClauseLabel"/>
      </w:pPr>
      <w:r>
        <w:t>BC-18. USMCA Cumulation for Processing</w:t>
      </w:r>
    </w:p>
    <w:p>
      <w:pPr>
        <w:pStyle w:val="Normal"/>
      </w:pPr>
      <w:r>
        <w:t>Treat North America as one integrated production platform for rules of origin.</w:t>
      </w:r>
    </w:p>
    <w:p>
      <w:pPr>
        <w:pStyle w:val="ClauseLabel"/>
      </w:pPr>
      <w:r>
        <w:t>BC-19. Coordinated External Tariffs</w:t>
      </w:r>
    </w:p>
    <w:p>
      <w:pPr>
        <w:pStyle w:val="Normal"/>
      </w:pPr>
      <w:r>
        <w:t>Joint tariffs on non-market (Chinese) processed mineral imports.</w:t>
      </w:r>
    </w:p>
    <w:p>
      <w:pPr>
        <w:pStyle w:val="ClauseLabel"/>
      </w:pPr>
      <w:r>
        <w:t>BC-20. Border-Adjusted Price Floors</w:t>
      </w:r>
    </w:p>
    <w:p>
      <w:pPr>
        <w:pStyle w:val="Normal"/>
      </w:pPr>
      <w:r>
        <w:t>Explore price floors for imported processed minerals.</w:t>
      </w:r>
    </w:p>
    <w:p>
      <w:pPr>
        <w:pStyle w:val="ClauseLabel"/>
      </w:pPr>
      <w:r>
        <w:t>BC-21. Harmonized Processing Standards</w:t>
      </w:r>
    </w:p>
    <w:p>
      <w:pPr>
        <w:pStyle w:val="Normal"/>
      </w:pPr>
      <w:r>
        <w:t>Common environmental, safety, and quality standards for refineries.</w:t>
      </w:r>
    </w:p>
    <w:p>
      <w:pPr>
        <w:pStyle w:val="ClauseLabel"/>
      </w:pPr>
      <w:r>
        <w:t>BC-22. Streamlined Cross-Border Waste Shipment Rules</w:t>
      </w:r>
    </w:p>
    <w:p>
      <w:pPr>
        <w:pStyle w:val="Normal"/>
      </w:pPr>
      <w:r>
        <w:t>Facilitate movement of mining waste for reprocessing.</w:t>
      </w:r>
    </w:p>
    <w:p>
      <w:pPr>
        <w:pStyle w:val="ClauseLabel"/>
      </w:pPr>
      <w:r>
        <w:t>BC-23. Unified Exploration Permitting</w:t>
      </w:r>
    </w:p>
    <w:p>
      <w:pPr>
        <w:pStyle w:val="Normal"/>
      </w:pPr>
      <w:r>
        <w:t>Accelerate exploration permitting across all three.</w:t>
      </w:r>
    </w:p>
    <w:p>
      <w:pPr>
        <w:pStyle w:val="ClauseLabel"/>
      </w:pPr>
      <w:r>
        <w:t>BC-24. USMCA Critical Minerals Chapter</w:t>
      </w:r>
    </w:p>
    <w:p>
      <w:pPr>
        <w:pStyle w:val="Normal"/>
      </w:pPr>
      <w:r>
        <w:t>A dedicated chapter in USMCA for mineral processing cooperation.</w:t>
      </w:r>
    </w:p>
    <w:p>
      <w:pPr>
        <w:pStyle w:val="ClauseLabel"/>
      </w:pPr>
      <w:r>
        <w:t>BC-25. Harmonized Tax Treatment</w:t>
      </w:r>
    </w:p>
    <w:p>
      <w:pPr>
        <w:pStyle w:val="Normal"/>
      </w:pPr>
      <w:r>
        <w:t>Align tax incentives for processing equipment across borders.</w:t>
      </w:r>
    </w:p>
    <w:p>
      <w:pPr>
        <w:pStyle w:val="ClauseLabel"/>
      </w:pPr>
      <w:r>
        <w:t>BC-26. Joint Investment Screening</w:t>
      </w:r>
    </w:p>
    <w:p>
      <w:pPr>
        <w:pStyle w:val="Normal"/>
      </w:pPr>
      <w:r>
        <w:t>Coordinated framework for foreign investment in processing.</w:t>
      </w:r>
    </w:p>
    <w:p>
      <w:pPr>
        <w:pStyle w:val="ClauseLabel"/>
      </w:pPr>
      <w:r>
        <w:t>BC-27. Shared Indigenous Consultation Protocol</w:t>
      </w:r>
    </w:p>
    <w:p>
      <w:pPr>
        <w:pStyle w:val="Normal"/>
      </w:pPr>
      <w:r>
        <w:t>Harmonized approach to Indigenous engagement on processing projects.</w:t>
      </w:r>
    </w:p>
    <w:p>
      <w:pPr>
        <w:pStyle w:val="ClauseLabel"/>
      </w:pPr>
      <w:r>
        <w:t>BC-28. Mutual Recognition of Technical Certifications</w:t>
      </w:r>
    </w:p>
    <w:p>
      <w:pPr>
        <w:pStyle w:val="Normal"/>
      </w:pPr>
      <w:r>
        <w:t>Accept each other's engineering and operational certifications.</w:t>
      </w:r>
    </w:p>
    <w:p>
      <w:pPr>
        <w:pStyle w:val="ClauseLabel"/>
      </w:pPr>
      <w:r>
        <w:t>BC-29. Coordinated Water Rights for Processing</w:t>
      </w:r>
    </w:p>
    <w:p>
      <w:pPr>
        <w:pStyle w:val="Normal"/>
      </w:pPr>
      <w:r>
        <w:t>Joint approach to water allocation for refineries in shared watersheds.</w:t>
      </w:r>
    </w:p>
    <w:p>
      <w:pPr>
        <w:pStyle w:val="ClauseLabel"/>
      </w:pPr>
      <w:r>
        <w:t>BC-30. USMCA Dispute Resolution for Minerals</w:t>
      </w:r>
    </w:p>
    <w:p>
      <w:pPr>
        <w:pStyle w:val="Normal"/>
      </w:pPr>
      <w:r>
        <w:t>Fast-track dispute mechanism for mineral trade issues.</w:t>
      </w:r>
    </w:p>
    <w:p>
      <w:pPr>
        <w:pStyle w:val="ClauseLabel"/>
      </w:pPr>
      <w:r>
        <w:t>BC-31. Tri-National Processing R&amp;D Consortium</w:t>
      </w:r>
    </w:p>
    <w:p>
      <w:pPr>
        <w:pStyle w:val="Normal"/>
      </w:pPr>
      <w:r>
        <w:t>Joint industry-university research on advanced processing.</w:t>
      </w:r>
    </w:p>
    <w:p>
      <w:pPr>
        <w:pStyle w:val="ClauseLabel"/>
      </w:pPr>
      <w:r>
        <w:t>BC-32. Shared Intellectual Property Pool</w:t>
      </w:r>
    </w:p>
    <w:p>
      <w:pPr>
        <w:pStyle w:val="Normal"/>
      </w:pPr>
      <w:r>
        <w:t>Pool patents on processing technologies for licensed use across all three.</w:t>
      </w:r>
    </w:p>
    <w:p>
      <w:pPr>
        <w:pStyle w:val="ClauseLabel"/>
      </w:pPr>
      <w:r>
        <w:t>BC-33. Joint Direct Lithium Extraction (DLE) Deployment</w:t>
      </w:r>
    </w:p>
    <w:p>
      <w:pPr>
        <w:pStyle w:val="Normal"/>
      </w:pPr>
      <w:r>
        <w:t>Deploy Canadian DLE technology in Mexico.</w:t>
      </w:r>
    </w:p>
    <w:p>
      <w:pPr>
        <w:pStyle w:val="ClauseLabel"/>
      </w:pPr>
      <w:r>
        <w:t>BC-34. US-Mexico REE Separation Technology Transfer</w:t>
      </w:r>
    </w:p>
    <w:p>
      <w:pPr>
        <w:pStyle w:val="Normal"/>
      </w:pPr>
      <w:r>
        <w:t>Transfer U.S. rare earth separation tech to Mexican facilities.</w:t>
      </w:r>
    </w:p>
    <w:p>
      <w:pPr>
        <w:pStyle w:val="ClauseLabel"/>
      </w:pPr>
      <w:r>
        <w:t>BC-35. Canadian Graphite Processing in Mexico</w:t>
      </w:r>
    </w:p>
    <w:p>
      <w:pPr>
        <w:pStyle w:val="Normal"/>
      </w:pPr>
      <w:r>
        <w:t>Deploy Canadian low-emission graphite technology in Mexico.</w:t>
      </w:r>
    </w:p>
    <w:p>
      <w:pPr>
        <w:pStyle w:val="ClauseLabel"/>
      </w:pPr>
      <w:r>
        <w:t>BC-36. Tri-National Quantum Sensing for Processing</w:t>
      </w:r>
    </w:p>
    <w:p>
      <w:pPr>
        <w:pStyle w:val="Normal"/>
      </w:pPr>
      <w:r>
        <w:t>Use Canadian quantum tech to optimize ore sorting.</w:t>
      </w:r>
    </w:p>
    <w:p>
      <w:pPr>
        <w:pStyle w:val="ClauseLabel"/>
      </w:pPr>
      <w:r>
        <w:t>BC-37. US Bio-Processing Technology in Canada/Mexico</w:t>
      </w:r>
    </w:p>
    <w:p>
      <w:pPr>
        <w:pStyle w:val="Normal"/>
      </w:pPr>
      <w:r>
        <w:t>Deploy bio-based REE extraction technology.</w:t>
      </w:r>
    </w:p>
    <w:p>
      <w:pPr>
        <w:pStyle w:val="ClauseLabel"/>
      </w:pPr>
      <w:r>
        <w:t>BC-38. Mexican Alkaline Leaching Technology Export</w:t>
      </w:r>
    </w:p>
    <w:p>
      <w:pPr>
        <w:pStyle w:val="Normal"/>
      </w:pPr>
      <w:r>
        <w:t>Export Mexican arsenic/antimony removal tech to US/Canada.</w:t>
      </w:r>
    </w:p>
    <w:p>
      <w:pPr>
        <w:pStyle w:val="ClauseLabel"/>
      </w:pPr>
      <w:r>
        <w:t>BC-39. Joint High-Pressure Slurry Ablation (HPSA) Deployment</w:t>
      </w:r>
    </w:p>
    <w:p>
      <w:pPr>
        <w:pStyle w:val="Normal"/>
      </w:pPr>
      <w:r>
        <w:t>Deploy U.S. HPSA tech for mine waste processing across all three.</w:t>
      </w:r>
    </w:p>
    <w:p>
      <w:pPr>
        <w:pStyle w:val="ClauseLabel"/>
      </w:pPr>
      <w:r>
        <w:t>BC-40. Shared Centrifugal Gravity Separator Tech</w:t>
      </w:r>
    </w:p>
    <w:p>
      <w:pPr>
        <w:pStyle w:val="Normal"/>
      </w:pPr>
      <w:r>
        <w:t>Deploy new U.S. gravity separator technology.</w:t>
      </w:r>
    </w:p>
    <w:p>
      <w:pPr>
        <w:pStyle w:val="ClauseLabel"/>
      </w:pPr>
      <w:r>
        <w:t>BC-41. Canadian Ion Exchange Platform for Critical Metals</w:t>
      </w:r>
    </w:p>
    <w:p>
      <w:pPr>
        <w:pStyle w:val="Normal"/>
      </w:pPr>
      <w:r>
        <w:t>Deploy Renix's steady-state ion exchange platform.</w:t>
      </w:r>
    </w:p>
    <w:p>
      <w:pPr>
        <w:pStyle w:val="ClauseLabel"/>
      </w:pPr>
      <w:r>
        <w:t>BC-42. Tri-National Pilot Plant Network</w:t>
      </w:r>
    </w:p>
    <w:p>
      <w:pPr>
        <w:pStyle w:val="Normal"/>
      </w:pPr>
      <w:r>
        <w:t>Fund pilot plants for emerging processing technologies.</w:t>
      </w:r>
    </w:p>
    <w:p>
      <w:pPr>
        <w:pStyle w:val="ClauseLabel"/>
      </w:pPr>
      <w:r>
        <w:t>BC-43. Joint Machine Learning for Processing Optimization</w:t>
      </w:r>
    </w:p>
    <w:p>
      <w:pPr>
        <w:pStyle w:val="Normal"/>
      </w:pPr>
      <w:r>
        <w:t>Use AI to optimize refinery operations.</w:t>
      </w:r>
    </w:p>
    <w:p>
      <w:pPr>
        <w:pStyle w:val="ClauseLabel"/>
      </w:pPr>
      <w:r>
        <w:t>BC-44. Shared Synthetic Biology Platform</w:t>
      </w:r>
    </w:p>
    <w:p>
      <w:pPr>
        <w:pStyle w:val="Normal"/>
      </w:pPr>
      <w:r>
        <w:t>Deploy Ames Lab's synthetic biology for mineral capture.</w:t>
      </w:r>
    </w:p>
    <w:p>
      <w:pPr>
        <w:pStyle w:val="ClauseLabel"/>
      </w:pPr>
      <w:r>
        <w:t>BC-45. Canadian Low-Temperature Lithium Sulphide Process</w:t>
      </w:r>
    </w:p>
    <w:p>
      <w:pPr>
        <w:pStyle w:val="Normal"/>
      </w:pPr>
      <w:r>
        <w:t>Deploy DualPure™ low-temperature process.</w:t>
      </w:r>
    </w:p>
    <w:p>
      <w:pPr>
        <w:pStyle w:val="ClauseLabel"/>
      </w:pPr>
      <w:r>
        <w:t>BC-46. Tri-National Modular Refinery Design</w:t>
      </w:r>
    </w:p>
    <w:p>
      <w:pPr>
        <w:pStyle w:val="Normal"/>
      </w:pPr>
      <w:r>
        <w:t>Develop modular, scalable refinery designs for rapid deployment.</w:t>
      </w:r>
    </w:p>
    <w:p>
      <w:pPr>
        <w:pStyle w:val="ClauseLabel"/>
      </w:pPr>
      <w:r>
        <w:t>BC-47. Shared Solvent Extraction Alternatives</w:t>
      </w:r>
    </w:p>
    <w:p>
      <w:pPr>
        <w:pStyle w:val="Normal"/>
      </w:pPr>
      <w:r>
        <w:t>Deploy ReElement's low-acid separation tech across all three.</w:t>
      </w:r>
    </w:p>
    <w:p>
      <w:pPr>
        <w:pStyle w:val="ClauseLabel"/>
      </w:pPr>
      <w:r>
        <w:t>BC-48. Joint Waste-to-Wealth Technology</w:t>
      </w:r>
    </w:p>
    <w:p>
      <w:pPr>
        <w:pStyle w:val="Normal"/>
      </w:pPr>
      <w:r>
        <w:t>Deploy ion-imprinted polymer tech for mine waste.</w:t>
      </w:r>
    </w:p>
    <w:p>
      <w:pPr>
        <w:pStyle w:val="ClauseLabel"/>
      </w:pPr>
      <w:r>
        <w:t>BC-49. Tri-National Accelerated Ore Analysis</w:t>
      </w:r>
    </w:p>
    <w:p>
      <w:pPr>
        <w:pStyle w:val="Normal"/>
      </w:pPr>
      <w:r>
        <w:t>Deploy real-time ore analysis technology.</w:t>
      </w:r>
    </w:p>
    <w:p>
      <w:pPr>
        <w:pStyle w:val="ClauseLabel"/>
      </w:pPr>
      <w:r>
        <w:t>BC-50. Shared Processing Technology Database</w:t>
      </w:r>
    </w:p>
    <w:p>
      <w:pPr>
        <w:pStyle w:val="Normal"/>
      </w:pPr>
      <w:r>
        <w:t>Central database of all processing technologies available in North America.</w:t>
      </w:r>
    </w:p>
    <w:p>
      <w:pPr>
        <w:pStyle w:val="ClauseLabel"/>
      </w:pPr>
      <w:r>
        <w:t>BC-51. Tri-National Processing Corridor</w:t>
      </w:r>
    </w:p>
    <w:p>
      <w:pPr>
        <w:pStyle w:val="Normal"/>
      </w:pPr>
      <w:r>
        <w:t>Build a chain: Canada (Ni/Co) → US (REEs) → Mexico (Li/Cu).</w:t>
      </w:r>
    </w:p>
    <w:p>
      <w:pPr>
        <w:pStyle w:val="ClauseLabel"/>
      </w:pPr>
      <w:r>
        <w:t>BC-52. Canadian Potash Rail to US/Mexico</w:t>
      </w:r>
    </w:p>
    <w:p>
      <w:pPr>
        <w:pStyle w:val="Normal"/>
      </w:pPr>
      <w:r>
        <w:t>Joint rail investment from Saskatchewan to Gulf and Mexico.</w:t>
      </w:r>
    </w:p>
    <w:p>
      <w:pPr>
        <w:pStyle w:val="ClauseLabel"/>
      </w:pPr>
      <w:r>
        <w:t>BC-53. Mexican Port Processing Zones</w:t>
      </w:r>
    </w:p>
    <w:p>
      <w:pPr>
        <w:pStyle w:val="Normal"/>
      </w:pPr>
      <w:r>
        <w:t>Develop processing parks at Manzanillo and Lázaro Cárdenas ports.</w:t>
      </w:r>
    </w:p>
    <w:p>
      <w:pPr>
        <w:pStyle w:val="ClauseLabel"/>
      </w:pPr>
      <w:r>
        <w:t>BC-54. US-Mexico Border Processing Hub</w:t>
      </w:r>
    </w:p>
    <w:p>
      <w:pPr>
        <w:pStyle w:val="Normal"/>
      </w:pPr>
      <w:r>
        <w:t>Build refineries in northern Mexico near U.S. border.</w:t>
      </w:r>
    </w:p>
    <w:p>
      <w:pPr>
        <w:pStyle w:val="ClauseLabel"/>
      </w:pPr>
      <w:r>
        <w:t>BC-55. Canadian Arctic Processing Infrastructure</w:t>
      </w:r>
    </w:p>
    <w:p>
      <w:pPr>
        <w:pStyle w:val="Normal"/>
      </w:pPr>
      <w:r>
        <w:t>Develop processing capacity near northern mines.</w:t>
      </w:r>
    </w:p>
    <w:p>
      <w:pPr>
        <w:pStyle w:val="ClauseLabel"/>
      </w:pPr>
      <w:r>
        <w:t>BC-56. Tri-National Power Grid for Processing</w:t>
      </w:r>
    </w:p>
    <w:p>
      <w:pPr>
        <w:pStyle w:val="Normal"/>
      </w:pPr>
      <w:r>
        <w:t>Ensure reliable, low-cost power for energy-intensive refineries.</w:t>
      </w:r>
    </w:p>
    <w:p>
      <w:pPr>
        <w:pStyle w:val="ClauseLabel"/>
      </w:pPr>
      <w:r>
        <w:t>BC-57. Shared Natural Gas Pipelines</w:t>
      </w:r>
    </w:p>
    <w:p>
      <w:pPr>
        <w:pStyle w:val="Normal"/>
      </w:pPr>
      <w:r>
        <w:t>Pipeline infrastructure to supply processing plants.</w:t>
      </w:r>
    </w:p>
    <w:p>
      <w:pPr>
        <w:pStyle w:val="ClauseLabel"/>
      </w:pPr>
      <w:r>
        <w:t>BC-58. Rail Interconnectivity for Ore Shipment</w:t>
      </w:r>
    </w:p>
    <w:p>
      <w:pPr>
        <w:pStyle w:val="Normal"/>
      </w:pPr>
      <w:r>
        <w:t>Improve rail links between Canadian mines, U.S. smelters, Mexican refineries.</w:t>
      </w:r>
    </w:p>
    <w:p>
      <w:pPr>
        <w:pStyle w:val="ClauseLabel"/>
      </w:pPr>
      <w:r>
        <w:t>BC-59. Mexican Processing Water Infrastructure</w:t>
      </w:r>
    </w:p>
    <w:p>
      <w:pPr>
        <w:pStyle w:val="Normal"/>
      </w:pPr>
      <w:r>
        <w:t>Build water treatment/recycling for refineries in water-scarce regions.</w:t>
      </w:r>
    </w:p>
    <w:p>
      <w:pPr>
        <w:pStyle w:val="ClauseLabel"/>
      </w:pPr>
      <w:r>
        <w:t>BC-60. Tri-National Port Coordination</w:t>
      </w:r>
    </w:p>
    <w:p>
      <w:pPr>
        <w:pStyle w:val="Normal"/>
      </w:pPr>
      <w:r>
        <w:t>Coordinate port capacity for mineral concentrate exports.</w:t>
      </w:r>
    </w:p>
    <w:p>
      <w:pPr>
        <w:pStyle w:val="ClauseLabel"/>
      </w:pPr>
      <w:r>
        <w:t>BC-61. Canadian Hydrogen for Processing</w:t>
      </w:r>
    </w:p>
    <w:p>
      <w:pPr>
        <w:pStyle w:val="Normal"/>
      </w:pPr>
      <w:r>
        <w:t>Use Canada's clean hydrogen in U.S./Mexican refineries.</w:t>
      </w:r>
    </w:p>
    <w:p>
      <w:pPr>
        <w:pStyle w:val="ClauseLabel"/>
      </w:pPr>
      <w:r>
        <w:t>BC-62. Tailings Reprocessing and Best-Practice Coordination</w:t>
      </w:r>
    </w:p>
    <w:p>
      <w:pPr>
        <w:pStyle w:val="Normal"/>
      </w:pPr>
      <w:r>
        <w:t>Support reprocessing and safe management while avoiding shared cross-border disposal facilities as a default.</w:t>
      </w:r>
    </w:p>
    <w:p>
      <w:pPr>
        <w:pStyle w:val="ClauseLabel"/>
      </w:pPr>
      <w:r>
        <w:t>BC-63. US Strategic Processing Reserve Sites</w:t>
      </w:r>
    </w:p>
    <w:p>
      <w:pPr>
        <w:pStyle w:val="Normal"/>
      </w:pPr>
      <w:r>
        <w:t>Designate sites for emergency processing capacity.</w:t>
      </w:r>
    </w:p>
    <w:p>
      <w:pPr>
        <w:pStyle w:val="ClauseLabel"/>
      </w:pPr>
      <w:r>
        <w:t>BC-64. Tri-National Digital Logistics Platform</w:t>
      </w:r>
    </w:p>
    <w:p>
      <w:pPr>
        <w:pStyle w:val="Normal"/>
      </w:pPr>
      <w:r>
        <w:t>Real-time tracking of ore and concentrate movements.</w:t>
      </w:r>
    </w:p>
    <w:p>
      <w:pPr>
        <w:pStyle w:val="ClauseLabel"/>
      </w:pPr>
      <w:r>
        <w:t>BC-65. Joint Industrial Park Development</w:t>
      </w:r>
    </w:p>
    <w:p>
      <w:pPr>
        <w:pStyle w:val="Normal"/>
      </w:pPr>
      <w:r>
        <w:t>Develop industrial parks hosting multiple processing facilities.</w:t>
      </w:r>
    </w:p>
    <w:p>
      <w:pPr>
        <w:pStyle w:val="ClauseLabel"/>
      </w:pPr>
      <w:r>
        <w:t>BC-66. Tri-National Processing Workforce Program</w:t>
      </w:r>
    </w:p>
    <w:p>
      <w:pPr>
        <w:pStyle w:val="Normal"/>
      </w:pPr>
      <w:r>
        <w:t>Joint training programs for refinery workers.</w:t>
      </w:r>
    </w:p>
    <w:p>
      <w:pPr>
        <w:pStyle w:val="ClauseLabel"/>
      </w:pPr>
      <w:r>
        <w:t>BC-67. Mexican Processing Technician Exchange</w:t>
      </w:r>
    </w:p>
    <w:p>
      <w:pPr>
        <w:pStyle w:val="Normal"/>
      </w:pPr>
      <w:r>
        <w:t>Train Mexican technicians in Canadian/U.S. refineries.</w:t>
      </w:r>
    </w:p>
    <w:p>
      <w:pPr>
        <w:pStyle w:val="ClauseLabel"/>
      </w:pPr>
      <w:r>
        <w:t>BC-68. Canadian University Partnerships in Mexico</w:t>
      </w:r>
    </w:p>
    <w:p>
      <w:pPr>
        <w:pStyle w:val="Normal"/>
      </w:pPr>
      <w:r>
        <w:t>Canadian mining engineering programs in Mexican universities.</w:t>
      </w:r>
    </w:p>
    <w:p>
      <w:pPr>
        <w:pStyle w:val="ClauseLabel"/>
      </w:pPr>
      <w:r>
        <w:t>BC-69. US Community College Processing Curriculum</w:t>
      </w:r>
    </w:p>
    <w:p>
      <w:pPr>
        <w:pStyle w:val="Normal"/>
      </w:pPr>
      <w:r>
        <w:t>Standardized curriculum for refinery operations.</w:t>
      </w:r>
    </w:p>
    <w:p>
      <w:pPr>
        <w:pStyle w:val="ClauseLabel"/>
      </w:pPr>
      <w:r>
        <w:t>BC-70. Tri-National Apprenticeship Network</w:t>
      </w:r>
    </w:p>
    <w:p>
      <w:pPr>
        <w:pStyle w:val="Normal"/>
      </w:pPr>
      <w:r>
        <w:t>Cross-border apprenticeships in mineral processing.</w:t>
      </w:r>
    </w:p>
    <w:p>
      <w:pPr>
        <w:pStyle w:val="ClauseLabel"/>
      </w:pPr>
      <w:r>
        <w:t>BC-71. Joint Safety Training Standards</w:t>
      </w:r>
    </w:p>
    <w:p>
      <w:pPr>
        <w:pStyle w:val="Normal"/>
      </w:pPr>
      <w:r>
        <w:t>Harmonized safety training for refinery workers.</w:t>
      </w:r>
    </w:p>
    <w:p>
      <w:pPr>
        <w:pStyle w:val="ClauseLabel"/>
      </w:pPr>
      <w:r>
        <w:t>BC-72. Shared VR/AR Training Simulators</w:t>
      </w:r>
    </w:p>
    <w:p>
      <w:pPr>
        <w:pStyle w:val="Normal"/>
      </w:pPr>
      <w:r>
        <w:t>Virtual reality training for complex processing operations.</w:t>
      </w:r>
    </w:p>
    <w:p>
      <w:pPr>
        <w:pStyle w:val="ClauseLabel"/>
      </w:pPr>
      <w:r>
        <w:t>BC-73. Mexican Women in Processing Initiative</w:t>
      </w:r>
    </w:p>
    <w:p>
      <w:pPr>
        <w:pStyle w:val="Normal"/>
      </w:pPr>
      <w:r>
        <w:t>Targeted programs to increase female participation.</w:t>
      </w:r>
    </w:p>
    <w:p>
      <w:pPr>
        <w:pStyle w:val="ClauseLabel"/>
      </w:pPr>
      <w:r>
        <w:t>BC-74. Tri-National Processing Research Chairs</w:t>
      </w:r>
    </w:p>
    <w:p>
      <w:pPr>
        <w:pStyle w:val="Normal"/>
      </w:pPr>
      <w:r>
        <w:t>Endowed research positions at universities.</w:t>
      </w:r>
    </w:p>
    <w:p>
      <w:pPr>
        <w:pStyle w:val="ClauseLabel"/>
      </w:pPr>
      <w:r>
        <w:t>BC-75. Indigenous Workforce Development</w:t>
      </w:r>
    </w:p>
    <w:p>
      <w:pPr>
        <w:pStyle w:val="Normal"/>
      </w:pPr>
      <w:r>
        <w:t>Joint programs for Indigenous participation in processing.</w:t>
      </w:r>
    </w:p>
    <w:p>
      <w:pPr>
        <w:pStyle w:val="ClauseLabel"/>
      </w:pPr>
      <w:r>
        <w:t>BC-76. Tri-National Battery Recycling Loop</w:t>
      </w:r>
    </w:p>
    <w:p>
      <w:pPr>
        <w:pStyle w:val="Normal"/>
      </w:pPr>
      <w:r>
        <w:t>US EV batteries → Mexico black mass → Canada/refined materials.</w:t>
      </w:r>
    </w:p>
    <w:p>
      <w:pPr>
        <w:pStyle w:val="ClauseLabel"/>
      </w:pPr>
      <w:r>
        <w:t>BC-77. North American E-Waste Processing Hub</w:t>
      </w:r>
    </w:p>
    <w:p>
      <w:pPr>
        <w:pStyle w:val="Normal"/>
      </w:pPr>
      <w:r>
        <w:t>Centralized e-waste processing in Mexico for REE recovery.</w:t>
      </w:r>
    </w:p>
    <w:p>
      <w:pPr>
        <w:pStyle w:val="ClauseLabel"/>
      </w:pPr>
      <w:r>
        <w:t>BC-78. Joint Tailings Reprocessing Initiative</w:t>
      </w:r>
    </w:p>
    <w:p>
      <w:pPr>
        <w:pStyle w:val="Normal"/>
      </w:pPr>
      <w:r>
        <w:t>Reprocess mine tailings across all three.</w:t>
      </w:r>
    </w:p>
    <w:p>
      <w:pPr>
        <w:pStyle w:val="ClauseLabel"/>
      </w:pPr>
      <w:r>
        <w:t>BC-79. Canadian Black Mass Recycling</w:t>
      </w:r>
    </w:p>
    <w:p>
      <w:pPr>
        <w:pStyle w:val="Normal"/>
      </w:pPr>
      <w:r>
        <w:t>Expand Electra's black mass recycling.</w:t>
      </w:r>
    </w:p>
    <w:p>
      <w:pPr>
        <w:pStyle w:val="ClauseLabel"/>
      </w:pPr>
      <w:r>
        <w:t>BC-80. US-Mexico Lead-Acid Battery Recycling</w:t>
      </w:r>
    </w:p>
    <w:p>
      <w:pPr>
        <w:pStyle w:val="Normal"/>
      </w:pPr>
      <w:r>
        <w:t>Cross-border lead battery recycling loop.</w:t>
      </w:r>
    </w:p>
    <w:p>
      <w:pPr>
        <w:pStyle w:val="ClauseLabel"/>
      </w:pPr>
      <w:r>
        <w:t>BC-81. Tri-National Precious Metals Recycling</w:t>
      </w:r>
    </w:p>
    <w:p>
      <w:pPr>
        <w:pStyle w:val="Normal"/>
      </w:pPr>
      <w:r>
        <w:t>Recover gold/silver from e-waste across all three.</w:t>
      </w:r>
    </w:p>
    <w:p>
      <w:pPr>
        <w:pStyle w:val="ClauseLabel"/>
      </w:pPr>
      <w:r>
        <w:t>BC-82. Shared Lithium-Ion Battery Recycling Standards</w:t>
      </w:r>
    </w:p>
    <w:p>
      <w:pPr>
        <w:pStyle w:val="Normal"/>
      </w:pPr>
      <w:r>
        <w:t>Harmonized standards for battery recycling.</w:t>
      </w:r>
    </w:p>
    <w:p>
      <w:pPr>
        <w:pStyle w:val="ClauseLabel"/>
      </w:pPr>
      <w:r>
        <w:t>BC-83. Joint Scrap Metal Processing</w:t>
      </w:r>
    </w:p>
    <w:p>
      <w:pPr>
        <w:pStyle w:val="Normal"/>
      </w:pPr>
      <w:r>
        <w:t>Process industrial scrap across borders.</w:t>
      </w:r>
    </w:p>
    <w:p>
      <w:pPr>
        <w:pStyle w:val="ClauseLabel"/>
      </w:pPr>
      <w:r>
        <w:t>BC-84. Canadian Mine Waste Reprocessing Tech</w:t>
      </w:r>
    </w:p>
    <w:p>
      <w:pPr>
        <w:pStyle w:val="Normal"/>
      </w:pPr>
      <w:r>
        <w:t>Deploy Canadian tech for Mexican/US tailings.</w:t>
      </w:r>
    </w:p>
    <w:p>
      <w:pPr>
        <w:pStyle w:val="ClauseLabel"/>
      </w:pPr>
      <w:r>
        <w:t>BC-85. Tri-National Circular Mineral Economy Fund</w:t>
      </w:r>
    </w:p>
    <w:p>
      <w:pPr>
        <w:pStyle w:val="Normal"/>
      </w:pPr>
      <w:r>
        <w:t>Fund circular economy processing projects.</w:t>
      </w:r>
    </w:p>
    <w:p>
      <w:pPr>
        <w:pStyle w:val="ClauseLabel"/>
      </w:pPr>
      <w:r>
        <w:t>BC-86. North American Mineral Processing Summit</w:t>
      </w:r>
    </w:p>
    <w:p>
      <w:pPr>
        <w:pStyle w:val="Normal"/>
      </w:pPr>
      <w:r>
        <w:t>Annual summit of industry and government leaders.</w:t>
      </w:r>
    </w:p>
    <w:p>
      <w:pPr>
        <w:pStyle w:val="ClauseLabel"/>
      </w:pPr>
      <w:r>
        <w:t>BC-87. Joint Processing Capacity Dashboard</w:t>
      </w:r>
    </w:p>
    <w:p>
      <w:pPr>
        <w:pStyle w:val="Normal"/>
      </w:pPr>
      <w:r>
        <w:t>Real-time tracking of all North American refining capacity.</w:t>
      </w:r>
    </w:p>
    <w:p>
      <w:pPr>
        <w:pStyle w:val="ClauseLabel"/>
      </w:pPr>
      <w:r>
        <w:t>BC-88. Shared Supply Chain Risk Assessment</w:t>
      </w:r>
    </w:p>
    <w:p>
      <w:pPr>
        <w:pStyle w:val="Normal"/>
      </w:pPr>
      <w:r>
        <w:t>Joint assessment of processing vulnerabilities.</w:t>
      </w:r>
    </w:p>
    <w:p>
      <w:pPr>
        <w:pStyle w:val="ClauseLabel"/>
      </w:pPr>
      <w:r>
        <w:t>BC-89. Tri-National Crisis Response Protocol</w:t>
      </w:r>
    </w:p>
    <w:p>
      <w:pPr>
        <w:pStyle w:val="Normal"/>
      </w:pPr>
      <w:r>
        <w:t>Coordinated response to processing disruptions.</w:t>
      </w:r>
    </w:p>
    <w:p>
      <w:pPr>
        <w:pStyle w:val="ClauseLabel"/>
      </w:pPr>
      <w:r>
        <w:t>BC-90. North American Processing Roadmap to 2035</w:t>
      </w:r>
    </w:p>
    <w:p>
      <w:pPr>
        <w:pStyle w:val="Normal"/>
      </w:pPr>
      <w:r>
        <w:t>Long-term strategic plan.</w:t>
      </w:r>
    </w:p>
    <w:p>
      <w:pPr>
        <w:pStyle w:val="ClauseLabel"/>
      </w:pPr>
      <w:r>
        <w:t>BC-91. Joint Geological Survey Integration</w:t>
      </w:r>
    </w:p>
    <w:p>
      <w:pPr>
        <w:pStyle w:val="Normal"/>
      </w:pPr>
      <w:r>
        <w:t>Shared database for processing feedstocks.</w:t>
      </w:r>
    </w:p>
    <w:p>
      <w:pPr>
        <w:pStyle w:val="ClauseLabel"/>
      </w:pPr>
      <w:r>
        <w:t>BC-92. Mexico-US Action Plan Implementation</w:t>
      </w:r>
    </w:p>
    <w:p>
      <w:pPr>
        <w:pStyle w:val="Normal"/>
      </w:pPr>
      <w:r>
        <w:t>Full execution of the bilateral action plan.</w:t>
      </w:r>
    </w:p>
    <w:p>
      <w:pPr>
        <w:pStyle w:val="ClauseLabel"/>
      </w:pPr>
      <w:r>
        <w:t>BC-93. Tri-National Defense Minerals Coordination</w:t>
      </w:r>
    </w:p>
    <w:p>
      <w:pPr>
        <w:pStyle w:val="Normal"/>
      </w:pPr>
      <w:r>
        <w:t>Priority processing for defense-critical minerals.</w:t>
      </w:r>
    </w:p>
    <w:p>
      <w:pPr>
        <w:pStyle w:val="ClauseLabel"/>
      </w:pPr>
      <w:r>
        <w:t>BC-94. Shared Semiconductor Minerals Strategy</w:t>
      </w:r>
    </w:p>
    <w:p>
      <w:pPr>
        <w:pStyle w:val="Normal"/>
      </w:pPr>
      <w:r>
        <w:t>Joint approach to gallium, germanium, indium.</w:t>
      </w:r>
    </w:p>
    <w:p>
      <w:pPr>
        <w:pStyle w:val="ClauseLabel"/>
      </w:pPr>
      <w:r>
        <w:t>BC-95. North American Processing Investment Dashboard</w:t>
      </w:r>
    </w:p>
    <w:p>
      <w:pPr>
        <w:pStyle w:val="Normal"/>
      </w:pPr>
      <w:r>
        <w:t>Track all processing investments.</w:t>
      </w:r>
    </w:p>
    <w:p>
      <w:pPr>
        <w:pStyle w:val="ClauseLabel"/>
      </w:pPr>
      <w:r>
        <w:t>BC-96. Joint Annual Processing Capacity Targets</w:t>
      </w:r>
    </w:p>
    <w:p>
      <w:pPr>
        <w:pStyle w:val="Normal"/>
      </w:pPr>
      <w:r>
        <w:t>Set binding targets for new refining capacity.</w:t>
      </w:r>
    </w:p>
    <w:p>
      <w:pPr>
        <w:pStyle w:val="ClauseLabel"/>
      </w:pPr>
      <w:r>
        <w:t>BC-97. Tri-National Technology Sovereignty Framework</w:t>
      </w:r>
    </w:p>
    <w:p>
      <w:pPr>
        <w:pStyle w:val="Normal"/>
      </w:pPr>
      <w:r>
        <w:t>Ensure North American control over processing IP.</w:t>
      </w:r>
    </w:p>
    <w:p>
      <w:pPr>
        <w:pStyle w:val="ClauseLabel"/>
      </w:pPr>
      <w:r>
        <w:t>BC-98. Shared ESG Standards for Processing</w:t>
      </w:r>
    </w:p>
    <w:p>
      <w:pPr>
        <w:pStyle w:val="Normal"/>
      </w:pPr>
      <w:r>
        <w:t>Harmonized environmental, social, governance standards.</w:t>
      </w:r>
    </w:p>
    <w:p>
      <w:pPr>
        <w:pStyle w:val="ClauseLabel"/>
      </w:pPr>
      <w:r>
        <w:t>BC-99. Transparent Mineral Processing Industry Advisory Channel</w:t>
      </w:r>
    </w:p>
    <w:p>
      <w:pPr>
        <w:pStyle w:val="Normal"/>
      </w:pPr>
      <w:r>
        <w:t>Use open, balanced consultations rather than an industry-government lobbying body.</w:t>
      </w:r>
    </w:p>
    <w:p>
      <w:pPr>
        <w:pStyle w:val="ClauseLabel"/>
      </w:pPr>
      <w:r>
        <w:t>BC-100. Existing-Institution Minerals Coordination Mandate</w:t>
      </w:r>
    </w:p>
    <w:p>
      <w:pPr>
        <w:pStyle w:val="Normal"/>
      </w:pPr>
      <w:r>
        <w:t>Assign coordination to the NAESTMA Secretariat, Cothrom architecture and designated national authorities; temporary technical groups sunset automatically.</w:t>
      </w:r>
    </w:p>
    <w:p>
      <w:pPr>
        <w:pStyle w:val="ClauseLabel"/>
      </w:pPr>
      <w:r>
        <w:t>BC-101. Mineral Provenance Transparency Standard</w:t>
      </w:r>
    </w:p>
    <w:p>
      <w:pPr>
        <w:pStyle w:val="Normal"/>
      </w:pPr>
      <w:r>
        <w:t>For designated strategic minerals, establish proportionate provenance records covering, where practicable, mine or secondary-resource origin, concentrate origin, processing jurisdiction, refining jurisdiction, recycled content and final North American transformation. Protect confidential, Indigenous-sensitive and national-security information and avoid duplicative paperwork.</w:t>
      </w:r>
    </w:p>
    <w:p>
      <w:pPr>
        <w:pStyle w:val="Heading1"/>
      </w:pPr>
      <w:bookmarkStart w:id="902299" w:name="_Toc300002298"/>
      <w:r>
        <w:t>PACKAGE BD: TAILINGS, MINE-WASTE RECOVERY, REMEDIATION AND BENEFICIAL-USE CATALOGUE (120 MECHANISMS)</w:t>
      </w:r>
      <w:bookmarkEnd w:id="902299"/>
    </w:p>
    <w:p>
      <w:pPr>
        <w:pStyle w:val="Normal"/>
      </w:pPr>
      <w:r>
        <w:t>Status. Tailings and mine waste may be secondary resources, environmental liabilities, or both. Resource recovery never extinguishes hazardous-waste, closure, remediation, dam-safety or legacy-liability obligations unless lawfully and transparently reallocated with adequate financial assurance.</w:t>
      </w:r>
    </w:p>
    <w:p>
      <w:pPr>
        <w:pStyle w:val="ClauseLabel"/>
      </w:pPr>
      <w:r>
        <w:t>BD-A. Tailings Beneficial-Use Safety Ladder</w:t>
      </w:r>
    </w:p>
    <w:p>
      <w:pPr>
        <w:pStyle w:val="Normal"/>
      </w:pPr>
      <w:r>
        <w:t>Tier 0: Characterization: mineralogy, metals, radionuclides where relevant, acid-generation potential, dust, particle size, leaching and geotechnical properties.</w:t>
      </w:r>
    </w:p>
    <w:p>
      <w:pPr>
        <w:pStyle w:val="Normal"/>
      </w:pPr>
      <w:r>
        <w:t>Tier 1: Resource Recovery: recover valuable minerals first where technically, environmentally and economically justified.</w:t>
      </w:r>
    </w:p>
    <w:p>
      <w:pPr>
        <w:pStyle w:val="Normal"/>
      </w:pPr>
      <w:r>
        <w:t>Tier 2: Detoxification/Stabilization: remove, immobilize or otherwise manage hazardous constituents.</w:t>
      </w:r>
    </w:p>
    <w:p>
      <w:pPr>
        <w:pStyle w:val="Normal"/>
      </w:pPr>
      <w:r>
        <w:t>Tier 3: Low-Exposure Industrial Uses: backfill, contained aggregate, barriers and similar uses after certification.</w:t>
      </w:r>
    </w:p>
    <w:p>
      <w:pPr>
        <w:pStyle w:val="Normal"/>
      </w:pPr>
      <w:r>
        <w:t>Tier 4: General Construction Uses: require higher durability, leaching and occupational-exposure testing.</w:t>
      </w:r>
    </w:p>
    <w:p>
      <w:pPr>
        <w:pStyle w:val="Normal"/>
      </w:pPr>
      <w:r>
        <w:t>Tier 5: Water-Contact or Indoor Products: apply a substantially higher contaminant-migration and exposure threshold.</w:t>
      </w:r>
    </w:p>
    <w:p>
      <w:pPr>
        <w:pStyle w:val="Normal"/>
      </w:pPr>
      <w:r>
        <w:t>Tier 6: Soil and Ecological Restoration: require site-specific environmental approval and monitoring.</w:t>
      </w:r>
    </w:p>
    <w:p>
      <w:pPr>
        <w:pStyle w:val="Normal"/>
      </w:pPr>
      <w:r>
        <w:t>Tier 7: Food-Chain/Agricultural Uses: extraordinary evidence threshold; favor purified final products over heterogeneous mine waste and require continuing contaminant monitoring.</w:t>
      </w:r>
    </w:p>
    <w:p>
      <w:pPr>
        <w:pStyle w:val="ClauseLabel"/>
      </w:pPr>
      <w:r>
        <w:t>BD-B. Remediation Credit Hierarchy</w:t>
      </w:r>
    </w:p>
    <w:p>
      <w:pPr>
        <w:pStyle w:val="Normal"/>
      </w:pPr>
      <w:r>
        <w:t>Recover + remediate receives best treatment; recover + neutral environmental effect receives ordinary treatment; recover + worsen a legacy hazard is prohibited. Bulk tailings should be processed as close to source as reasonably practicable, with recovered concentrates and products transported instead of waste whenever feasible.</w:t>
      </w:r>
    </w:p>
    <w:p>
      <w:pPr>
        <w:pStyle w:val="ClauseLabel"/>
      </w:pPr>
      <w:r>
        <w:t>BD-1. Tri-National Tailings Reprocessing Framework</w:t>
      </w:r>
    </w:p>
    <w:p>
      <w:pPr>
        <w:pStyle w:val="Normal"/>
      </w:pPr>
      <w:r>
        <w:t>Create a harmonized regulatory framework under USMCA specifically for tailings reprocessing and mine waste valorization.</w:t>
      </w:r>
    </w:p>
    <w:p>
      <w:pPr>
        <w:pStyle w:val="ClauseLabel"/>
      </w:pPr>
      <w:r>
        <w:t>BD-2. Secondary Mineral Resource Classification</w:t>
      </w:r>
    </w:p>
    <w:p>
      <w:pPr>
        <w:pStyle w:val="Normal"/>
      </w:pPr>
      <w:r>
        <w:t>Allow characterized mine waste with recoverable strategic minerals to receive secondary-resource status for approved recovery without extinguishing hazardous-waste, closure, remediation or liability duties.</w:t>
      </w:r>
    </w:p>
    <w:p>
      <w:pPr>
        <w:pStyle w:val="ClauseLabel"/>
      </w:pPr>
      <w:r>
        <w:t>BD-3. Coordinated Permitting Fast-Track</w:t>
      </w:r>
    </w:p>
    <w:p>
      <w:pPr>
        <w:pStyle w:val="Normal"/>
      </w:pPr>
      <w:r>
        <w:t>Model after Ontario's 2025 Recovery of Minerals regime to streamline permitting for tailings reprocessing across North America.</w:t>
      </w:r>
    </w:p>
    <w:p>
      <w:pPr>
        <w:pStyle w:val="ClauseLabel"/>
      </w:pPr>
      <w:r>
        <w:t>BD-4. Tri-National Mine Waste Inventory</w:t>
      </w:r>
    </w:p>
    <w:p>
      <w:pPr>
        <w:pStyle w:val="Normal"/>
      </w:pPr>
      <w:r>
        <w:t>Create a shared database of all tailings facilities, abandoned mines, and waste rock piles across the continent.</w:t>
      </w:r>
    </w:p>
    <w:p>
      <w:pPr>
        <w:pStyle w:val="ClauseLabel"/>
      </w:pPr>
      <w:r>
        <w:t>BD-5. Harmonized Environmental Liability Transfer</w:t>
      </w:r>
    </w:p>
    <w:p>
      <w:pPr>
        <w:pStyle w:val="Normal"/>
      </w:pPr>
      <w:r>
        <w:t>Allow companies to transfer environmental liabilities to reprocessors who extract value and remediate sites.</w:t>
      </w:r>
    </w:p>
    <w:p>
      <w:pPr>
        <w:pStyle w:val="ClauseLabel"/>
      </w:pPr>
      <w:r>
        <w:t>BD-6. Shared Tax Credits for Tailings Reprocessing</w:t>
      </w:r>
    </w:p>
    <w:p>
      <w:pPr>
        <w:pStyle w:val="Normal"/>
      </w:pPr>
      <w:r>
        <w:t>Harmonized tax incentives for companies that reprocess tailings rather than mine virgin ore.</w:t>
      </w:r>
    </w:p>
    <w:p>
      <w:pPr>
        <w:pStyle w:val="ClauseLabel"/>
      </w:pPr>
      <w:r>
        <w:t>BD-7. Cross-Border Waste Stream Classification</w:t>
      </w:r>
    </w:p>
    <w:p>
      <w:pPr>
        <w:pStyle w:val="Normal"/>
      </w:pPr>
      <w:r>
        <w:t>Standardize classification of mining debris to enable seamless cross-border movement for processing.</w:t>
      </w:r>
    </w:p>
    <w:p>
      <w:pPr>
        <w:pStyle w:val="ClauseLabel"/>
      </w:pPr>
      <w:r>
        <w:t>BD-8. Joint Abandoned Mine Land Program</w:t>
      </w:r>
    </w:p>
    <w:p>
      <w:pPr>
        <w:pStyle w:val="Normal"/>
      </w:pPr>
      <w:r>
        <w:t>Coordinate cleanup of legacy mines with value recovery across all three countries.</w:t>
      </w:r>
    </w:p>
    <w:p>
      <w:pPr>
        <w:pStyle w:val="ClauseLabel"/>
      </w:pPr>
      <w:r>
        <w:t>BD-9. Tri-National Remediation Standards</w:t>
      </w:r>
    </w:p>
    <w:p>
      <w:pPr>
        <w:pStyle w:val="Normal"/>
      </w:pPr>
      <w:r>
        <w:t>Common standards for site remediation after tailings reprocessing.</w:t>
      </w:r>
    </w:p>
    <w:p>
      <w:pPr>
        <w:pStyle w:val="ClauseLabel"/>
      </w:pPr>
      <w:r>
        <w:t>BD-10. USMCA Critical Minerals from Waste Chapter</w:t>
      </w:r>
    </w:p>
    <w:p>
      <w:pPr>
        <w:pStyle w:val="Normal"/>
      </w:pPr>
      <w:r>
        <w:t>Dedicated USMCA chapter on recovering critical minerals from mining debris.</w:t>
      </w:r>
    </w:p>
    <w:p>
      <w:pPr>
        <w:pStyle w:val="ClauseLabel"/>
      </w:pPr>
      <w:r>
        <w:t>BD-11. Coordinated Federal Funding Eligibility</w:t>
      </w:r>
    </w:p>
    <w:p>
      <w:pPr>
        <w:pStyle w:val="Normal"/>
      </w:pPr>
      <w:r>
        <w:t>Ensure tailings reprocessing projects are eligible for funding across all three countries' programs.</w:t>
      </w:r>
    </w:p>
    <w:p>
      <w:pPr>
        <w:pStyle w:val="ClauseLabel"/>
      </w:pPr>
      <w:r>
        <w:t>BD-12. Joint Royalty Framework</w:t>
      </w:r>
    </w:p>
    <w:p>
      <w:pPr>
        <w:pStyle w:val="Normal"/>
      </w:pPr>
      <w:r>
        <w:t>Harmonized royalty structures for minerals recovered from tailings vs. virgin ore.</w:t>
      </w:r>
    </w:p>
    <w:p>
      <w:pPr>
        <w:pStyle w:val="ClauseLabel"/>
      </w:pPr>
      <w:r>
        <w:t>BD-13. Tri-National Mine Closure Standards</w:t>
      </w:r>
    </w:p>
    <w:p>
      <w:pPr>
        <w:pStyle w:val="Normal"/>
      </w:pPr>
      <w:r>
        <w:t>Require closure plans to include reprocessing and repurposing options.</w:t>
      </w:r>
    </w:p>
    <w:p>
      <w:pPr>
        <w:pStyle w:val="ClauseLabel"/>
      </w:pPr>
      <w:r>
        <w:t>BD-14. Shared Indigenous Consultation Protocol</w:t>
      </w:r>
    </w:p>
    <w:p>
      <w:pPr>
        <w:pStyle w:val="Normal"/>
      </w:pPr>
      <w:r>
        <w:t>Harmonized approach to Indigenous engagement on tailings reprocessing projects.</w:t>
      </w:r>
    </w:p>
    <w:p>
      <w:pPr>
        <w:pStyle w:val="ClauseLabel"/>
      </w:pPr>
      <w:r>
        <w:t>BD-15. Existing-Institution Tailings Coordination</w:t>
      </w:r>
    </w:p>
    <w:p>
      <w:pPr>
        <w:pStyle w:val="Normal"/>
      </w:pPr>
      <w:r>
        <w:t>Use the NAESTMA minerals architecture, national regulators and temporary technical teams rather than a permanent tailings task force.</w:t>
      </w:r>
    </w:p>
    <w:p>
      <w:pPr>
        <w:pStyle w:val="ClauseLabel"/>
      </w:pPr>
      <w:r>
        <w:t>BD-16. Canadian Bioleaching Technology for US/Mexican Tailings</w:t>
      </w:r>
    </w:p>
    <w:p>
      <w:pPr>
        <w:pStyle w:val="Normal"/>
      </w:pPr>
      <w:r>
        <w:t>Deploy CanmetMINING's novel bioleaching process to recover nickel and cobalt from pyrrhotite tailings across North America.</w:t>
      </w:r>
    </w:p>
    <w:p>
      <w:pPr>
        <w:pStyle w:val="ClauseLabel"/>
      </w:pPr>
      <w:r>
        <w:t>BD-17. US Tellurium Recovery from Bingham Canyon Tailings</w:t>
      </w:r>
    </w:p>
    <w:p>
      <w:pPr>
        <w:pStyle w:val="Normal"/>
      </w:pPr>
      <w:r>
        <w:t>Scale up tellurium extraction from Utah's copper tailings for defense applications.</w:t>
      </w:r>
    </w:p>
    <w:p>
      <w:pPr>
        <w:pStyle w:val="ClauseLabel"/>
      </w:pPr>
      <w:r>
        <w:t>BD-18. Mexican Silver Recovery from High-Sulphur Waste</w:t>
      </w:r>
    </w:p>
    <w:p>
      <w:pPr>
        <w:pStyle w:val="Normal"/>
      </w:pPr>
      <w:r>
        <w:t>Deploy thiourea-oxalate systems to recover silver from Mexico's high-sulphur mining waste.</w:t>
      </w:r>
    </w:p>
    <w:p>
      <w:pPr>
        <w:pStyle w:val="ClauseLabel"/>
      </w:pPr>
      <w:r>
        <w:t>BD-19. Tri-National REE Recovery from Tailings</w:t>
      </w:r>
    </w:p>
    <w:p>
      <w:pPr>
        <w:pStyle w:val="Normal"/>
      </w:pPr>
      <w:r>
        <w:t>Apply Momentum Technologies' Membrane Solvent Extraction (MSX) to REE-rich tailings across all three countries.</w:t>
      </w:r>
    </w:p>
    <w:p>
      <w:pPr>
        <w:pStyle w:val="ClauseLabel"/>
      </w:pPr>
      <w:r>
        <w:t>BD-20. Canadian Lac Jeannine Iron Tailings Model</w:t>
      </w:r>
    </w:p>
    <w:p>
      <w:pPr>
        <w:pStyle w:val="Normal"/>
      </w:pPr>
      <w:r>
        <w:t>Replicate CoTec's iron tailings reprocessing model (73 million tonnes at 6.7% Fe) at similar sites in US and Mexico.</w:t>
      </w:r>
    </w:p>
    <w:p>
      <w:pPr>
        <w:pStyle w:val="ClauseLabel"/>
      </w:pPr>
      <w:r>
        <w:t>BD-21. US Germanium Recovery from Lead-Zinc Tailings</w:t>
      </w:r>
    </w:p>
    <w:p>
      <w:pPr>
        <w:pStyle w:val="Normal"/>
      </w:pPr>
      <w:r>
        <w:t>Extract germanium from legacy lead-zinc tailings at sites like Tar Creek, Oklahoma.</w:t>
      </w:r>
    </w:p>
    <w:p>
      <w:pPr>
        <w:pStyle w:val="ClauseLabel"/>
      </w:pPr>
      <w:r>
        <w:t>BD-22. Mexican Arsenic/Antimony Removal Technology</w:t>
      </w:r>
    </w:p>
    <w:p>
      <w:pPr>
        <w:pStyle w:val="Normal"/>
      </w:pPr>
      <w:r>
        <w:t>Deploy Mexico's alkaline leaching technology to remove arsenic and antimony from polymetallic concentrates across North America.</w:t>
      </w:r>
    </w:p>
    <w:p>
      <w:pPr>
        <w:pStyle w:val="ClauseLabel"/>
      </w:pPr>
      <w:r>
        <w:t>BD-23. Canadian Gold Tailings Reprocessing</w:t>
      </w:r>
    </w:p>
    <w:p>
      <w:pPr>
        <w:pStyle w:val="Normal"/>
      </w:pPr>
      <w:r>
        <w:t>Apply CanmetMINING's gold recovery from tailings (approx. 2 grams per tonne) to US and Mexican sites.</w:t>
      </w:r>
    </w:p>
    <w:p>
      <w:pPr>
        <w:pStyle w:val="ClauseLabel"/>
      </w:pPr>
      <w:r>
        <w:t>BD-24. US PGM Recovery from Tailings</w:t>
      </w:r>
    </w:p>
    <w:p>
      <w:pPr>
        <w:pStyle w:val="Normal"/>
      </w:pPr>
      <w:r>
        <w:t>Deploy flotation and magnetic separation technologies developed at Colorado School of Mines for PGM recovery from domestic tailings.</w:t>
      </w:r>
    </w:p>
    <w:p>
      <w:pPr>
        <w:pStyle w:val="ClauseLabel"/>
      </w:pPr>
      <w:r>
        <w:t>BD-25. Mexican Cananea-Nacozari Critical Minerals Assessment</w:t>
      </w:r>
    </w:p>
    <w:p>
      <w:pPr>
        <w:pStyle w:val="Normal"/>
      </w:pPr>
      <w:r>
        <w:t>Expand economic evaluation of critical minerals (Cu, Mo, Pb, Sb, Zn) in Sonora's abandoned mining wastes.</w:t>
      </w:r>
    </w:p>
    <w:p>
      <w:pPr>
        <w:pStyle w:val="ClauseLabel"/>
      </w:pPr>
      <w:r>
        <w:t>BD-26. Tri-National Scandium Recovery from Tailings</w:t>
      </w:r>
    </w:p>
    <w:p>
      <w:pPr>
        <w:pStyle w:val="Normal"/>
      </w:pPr>
      <w:r>
        <w:t>Recover scandium from tailings across all three countries for aerospace alloys.</w:t>
      </w:r>
    </w:p>
    <w:p>
      <w:pPr>
        <w:pStyle w:val="ClauseLabel"/>
      </w:pPr>
      <w:r>
        <w:t>BD-27. US EnviroGold NVRO Process Deployment</w:t>
      </w:r>
    </w:p>
    <w:p>
      <w:pPr>
        <w:pStyle w:val="Normal"/>
      </w:pPr>
      <w:r>
        <w:t>Deploy EnviroGold's patented NVRO Process™ to recover precious and critical metals from legacy mine waste across North America.</w:t>
      </w:r>
    </w:p>
    <w:p>
      <w:pPr>
        <w:pStyle w:val="ClauseLabel"/>
      </w:pPr>
      <w:r>
        <w:t>BD-28. Canadian Zero Tailings™ Patent Deployment</w:t>
      </w:r>
    </w:p>
    <w:p>
      <w:pPr>
        <w:pStyle w:val="Normal"/>
      </w:pPr>
      <w:r>
        <w:t>Apply BacTech's Zero Tailings™ technology converting mining waste into fertilizer, critical minerals, and industrial products.</w:t>
      </w:r>
    </w:p>
    <w:p>
      <w:pPr>
        <w:pStyle w:val="ClauseLabel"/>
      </w:pPr>
      <w:r>
        <w:t>BD-29. US Gallium/Indium Recovery from Tailings</w:t>
      </w:r>
    </w:p>
    <w:p>
      <w:pPr>
        <w:pStyle w:val="Normal"/>
      </w:pPr>
      <w:r>
        <w:t>Recover gallium and indium from tailings to reduce dependence on Chinese exports.</w:t>
      </w:r>
    </w:p>
    <w:p>
      <w:pPr>
        <w:pStyle w:val="ClauseLabel"/>
      </w:pPr>
      <w:r>
        <w:t>BD-30. Tri-National Zinc &amp; Germanium from Tar Creek Model</w:t>
      </w:r>
    </w:p>
    <w:p>
      <w:pPr>
        <w:pStyle w:val="Normal"/>
      </w:pPr>
      <w:r>
        <w:t>Replicate the Tar Creek model (zinc and germanium recovery from lead-zinc tailings) at similar sites in Canada and Mexico.</w:t>
      </w:r>
    </w:p>
    <w:p>
      <w:pPr>
        <w:pStyle w:val="ClauseLabel"/>
      </w:pPr>
      <w:r>
        <w:t>BD-31. Mexican REE Recovery from Mining Water</w:t>
      </w:r>
    </w:p>
    <w:p>
      <w:pPr>
        <w:pStyle w:val="Normal"/>
      </w:pPr>
      <w:r>
        <w:t>Deploy Mexico's REECOVERY project technology to recover REEs, cobalt, zinc, and copper from mining water.</w:t>
      </w:r>
    </w:p>
    <w:p>
      <w:pPr>
        <w:pStyle w:val="ClauseLabel"/>
      </w:pPr>
      <w:r>
        <w:t>BD-32. Canadian High-Pressure Slurry Ablation (HPSA)</w:t>
      </w:r>
    </w:p>
    <w:p>
      <w:pPr>
        <w:pStyle w:val="Normal"/>
      </w:pPr>
      <w:r>
        <w:t>Deploy DISA Technologies' HPSA technology for mineral liberation from tailings across North America.</w:t>
      </w:r>
    </w:p>
    <w:p>
      <w:pPr>
        <w:pStyle w:val="ClauseLabel"/>
      </w:pPr>
      <w:r>
        <w:t>BD-33. US Copper Tailings Reprocessing</w:t>
      </w:r>
    </w:p>
    <w:p>
      <w:pPr>
        <w:pStyle w:val="Normal"/>
      </w:pPr>
      <w:r>
        <w:t>Recover copper, molybdenum, and rhenium from porphyry copper tailings in the Four Corners region.</w:t>
      </w:r>
    </w:p>
    <w:p>
      <w:pPr>
        <w:pStyle w:val="ClauseLabel"/>
      </w:pPr>
      <w:r>
        <w:t>BD-34. Tri-National Lithium Recovery from Tailings</w:t>
      </w:r>
    </w:p>
    <w:p>
      <w:pPr>
        <w:pStyle w:val="Normal"/>
      </w:pPr>
      <w:r>
        <w:t>Extract lithium from mine tailings and waste streams using Direct Lithium Extraction (DLE) technology.</w:t>
      </w:r>
    </w:p>
    <w:p>
      <w:pPr>
        <w:pStyle w:val="ClauseLabel"/>
      </w:pPr>
      <w:r>
        <w:t>BD-35. North American Tailings Resource Estimate</w:t>
      </w:r>
    </w:p>
    <w:p>
      <w:pPr>
        <w:pStyle w:val="Normal"/>
      </w:pPr>
      <w:r>
        <w:t>Joint comprehensive estimate of all critical minerals contained in North American tailings (USGS estimates show some commodities could meet &gt;200 years of global demand).</w:t>
      </w:r>
    </w:p>
    <w:p>
      <w:pPr>
        <w:pStyle w:val="ClauseLabel"/>
      </w:pPr>
      <w:r>
        <w:t>BD-36. Quebec Tailings-to-Bricks Model</w:t>
      </w:r>
    </w:p>
    <w:p>
      <w:pPr>
        <w:pStyle w:val="Normal"/>
      </w:pPr>
      <w:r>
        <w:t>Replicate Quebec's model of fusing toxic tailings with organic polymer to produce bricks, cinder blocks, paving stones, patio tiles, parking columns, and Jersey barriers.</w:t>
      </w:r>
    </w:p>
    <w:p>
      <w:pPr>
        <w:pStyle w:val="ClauseLabel"/>
      </w:pPr>
      <w:r>
        <w:t>BD-37. Tri-National Tailings-Based Concrete Standards</w:t>
      </w:r>
    </w:p>
    <w:p>
      <w:pPr>
        <w:pStyle w:val="Normal"/>
      </w:pPr>
      <w:r>
        <w:t>Develop harmonized standards for using mine tailings as fine aggregate in concrete (12-18% compressive strength enhancement demonstrated).</w:t>
      </w:r>
    </w:p>
    <w:p>
      <w:pPr>
        <w:pStyle w:val="ClauseLabel"/>
      </w:pPr>
      <w:r>
        <w:t>BD-38. Mexican Tailings for Pavement Base</w:t>
      </w:r>
    </w:p>
    <w:p>
      <w:pPr>
        <w:pStyle w:val="Normal"/>
      </w:pPr>
      <w:r>
        <w:t>Use tailings from Zacatecas as road construction material or hydraulic concrete aggregate.</w:t>
      </w:r>
    </w:p>
    <w:p>
      <w:pPr>
        <w:pStyle w:val="ClauseLabel"/>
      </w:pPr>
      <w:r>
        <w:t>BD-39. Canadian Tailings Cement Binder</w:t>
      </w:r>
    </w:p>
    <w:p>
      <w:pPr>
        <w:pStyle w:val="Normal"/>
      </w:pPr>
      <w:r>
        <w:t>Deploy Lafarge Canada's binder technology for mine tailings across all three countries.</w:t>
      </w:r>
    </w:p>
    <w:p>
      <w:pPr>
        <w:pStyle w:val="ClauseLabel"/>
      </w:pPr>
      <w:r>
        <w:t>BD-40. US Iron Ore Tailings as Concrete Aggregate</w:t>
      </w:r>
    </w:p>
    <w:p>
      <w:pPr>
        <w:pStyle w:val="Normal"/>
      </w:pPr>
      <w:r>
        <w:t>Scale up use of iron ore tailings (IOT) as fine aggregate in concrete (30% replacement demonstrated).</w:t>
      </w:r>
    </w:p>
    <w:p>
      <w:pPr>
        <w:pStyle w:val="ClauseLabel"/>
      </w:pPr>
      <w:r>
        <w:t>BD-41. Tri-National Geopolymer Tailings Bricks</w:t>
      </w:r>
    </w:p>
    <w:p>
      <w:pPr>
        <w:pStyle w:val="Normal"/>
      </w:pPr>
      <w:r>
        <w:t>Develop geopolymer bricks from tailings with lower environmental impact than traditional cement.</w:t>
      </w:r>
    </w:p>
    <w:p>
      <w:pPr>
        <w:pStyle w:val="ClauseLabel"/>
      </w:pPr>
      <w:r>
        <w:t>BD-42. Mexican Tailings Glass Production</w:t>
      </w:r>
    </w:p>
    <w:p>
      <w:pPr>
        <w:pStyle w:val="Normal"/>
      </w:pPr>
      <w:r>
        <w:t>Apply vitrification technology to treat hazardous mining tailings into glass products.</w:t>
      </w:r>
    </w:p>
    <w:p>
      <w:pPr>
        <w:pStyle w:val="ClauseLabel"/>
      </w:pPr>
      <w:r>
        <w:t>BD-43. Canadian Tailings Backfill for Underground Voids</w:t>
      </w:r>
    </w:p>
    <w:p>
      <w:pPr>
        <w:pStyle w:val="Normal"/>
      </w:pPr>
      <w:r>
        <w:t>Use ferrous slag, cement kiln dust, and lime binders to convert tailings into underground mine backfill.</w:t>
      </w:r>
    </w:p>
    <w:p>
      <w:pPr>
        <w:pStyle w:val="ClauseLabel"/>
      </w:pPr>
      <w:r>
        <w:t>BD-44. Tri-National Tailings-Based 3D Printing</w:t>
      </w:r>
    </w:p>
    <w:p>
      <w:pPr>
        <w:pStyle w:val="Normal"/>
      </w:pPr>
      <w:r>
        <w:t>Develop 3D-printed construction materials from tailings-derived geopolymers for pavements and prefabricated elements.</w:t>
      </w:r>
    </w:p>
    <w:p>
      <w:pPr>
        <w:pStyle w:val="ClauseLabel"/>
      </w:pPr>
      <w:r>
        <w:t>BD-45. US Tailings-Based Low-Carbon Concrete</w:t>
      </w:r>
    </w:p>
    <w:p>
      <w:pPr>
        <w:pStyle w:val="Normal"/>
      </w:pPr>
      <w:r>
        <w:t>Create digital library for using mine tailings in low-carbon concrete replacements.</w:t>
      </w:r>
    </w:p>
    <w:p>
      <w:pPr>
        <w:pStyle w:val="ClauseLabel"/>
      </w:pPr>
      <w:r>
        <w:t>BD-46. Mexican Tailings as Supplementary Cementitious Material</w:t>
      </w:r>
    </w:p>
    <w:p>
      <w:pPr>
        <w:pStyle w:val="Normal"/>
      </w:pPr>
      <w:r>
        <w:t>Use tailings high in silica and alumina as alternative cementitious materials.</w:t>
      </w:r>
    </w:p>
    <w:p>
      <w:pPr>
        <w:pStyle w:val="ClauseLabel"/>
      </w:pPr>
      <w:r>
        <w:t>BD-47. Canadian Tailings Aggregates for 3D Printing Mortars</w:t>
      </w:r>
    </w:p>
    <w:p>
      <w:pPr>
        <w:pStyle w:val="Normal"/>
      </w:pPr>
      <w:r>
        <w:t>Develop mortars with 12.5% tailings-derived material for additive manufacturing.</w:t>
      </w:r>
    </w:p>
    <w:p>
      <w:pPr>
        <w:pStyle w:val="ClauseLabel"/>
      </w:pPr>
      <w:r>
        <w:t>BD-48. Tri-National Tailings-Based Highway Barriers</w:t>
      </w:r>
    </w:p>
    <w:p>
      <w:pPr>
        <w:pStyle w:val="Normal"/>
      </w:pPr>
      <w:r>
        <w:t>Produce highway Jersey barriers from tailings-based building materials.</w:t>
      </w:r>
    </w:p>
    <w:p>
      <w:pPr>
        <w:pStyle w:val="ClauseLabel"/>
      </w:pPr>
      <w:r>
        <w:t>BD-49. US Tailings for Unpaved Road Base</w:t>
      </w:r>
    </w:p>
    <w:p>
      <w:pPr>
        <w:pStyle w:val="Normal"/>
      </w:pPr>
      <w:r>
        <w:t>Use copper tailings (density 2.8-3.4 g/cm³, d50 0.2-0.8mm) for unpaved road base construction.</w:t>
      </w:r>
    </w:p>
    <w:p>
      <w:pPr>
        <w:pStyle w:val="ClauseLabel"/>
      </w:pPr>
      <w:r>
        <w:t>BD-50. Mexican Tailings Stabilized with Portland Cement</w:t>
      </w:r>
    </w:p>
    <w:p>
      <w:pPr>
        <w:pStyle w:val="Normal"/>
      </w:pPr>
      <w:r>
        <w:t>Stabilize tailings with 3-5% Portland cement to reduce heavy metal transport for construction use.</w:t>
      </w:r>
    </w:p>
    <w:p>
      <w:pPr>
        <w:pStyle w:val="ClauseLabel"/>
      </w:pPr>
      <w:r>
        <w:t>BD-51. Tri-National Tailings-Based Roofing Tiles</w:t>
      </w:r>
    </w:p>
    <w:p>
      <w:pPr>
        <w:pStyle w:val="Normal"/>
      </w:pPr>
      <w:r>
        <w:t>Manufacture roofing tiles from tailings-based materials.</w:t>
      </w:r>
    </w:p>
    <w:p>
      <w:pPr>
        <w:pStyle w:val="ClauseLabel"/>
      </w:pPr>
      <w:r>
        <w:t>BD-52. Canadian Tailings as Fine Aggregate</w:t>
      </w:r>
    </w:p>
    <w:p>
      <w:pPr>
        <w:pStyle w:val="Normal"/>
      </w:pPr>
      <w:r>
        <w:t>Use 10-50% tailings as fine aggregate replacement in concrete across North America.</w:t>
      </w:r>
    </w:p>
    <w:p>
      <w:pPr>
        <w:pStyle w:val="ClauseLabel"/>
      </w:pPr>
      <w:r>
        <w:t>BD-53. US Tailings Geopolymer for Prefabricated Elements</w:t>
      </w:r>
    </w:p>
    <w:p>
      <w:pPr>
        <w:pStyle w:val="Normal"/>
      </w:pPr>
      <w:r>
        <w:t>Produce prefabricated construction elements from tailings geopolymers.</w:t>
      </w:r>
    </w:p>
    <w:p>
      <w:pPr>
        <w:pStyle w:val="ClauseLabel"/>
      </w:pPr>
      <w:r>
        <w:t>BD-54. Tri-National Tailings-Based Insulation Materials</w:t>
      </w:r>
    </w:p>
    <w:p>
      <w:pPr>
        <w:pStyle w:val="Normal"/>
      </w:pPr>
      <w:r>
        <w:t>Develop insulation materials from processed tailings.</w:t>
      </w:r>
    </w:p>
    <w:p>
      <w:pPr>
        <w:pStyle w:val="ClauseLabel"/>
      </w:pPr>
      <w:r>
        <w:t>BD-55. North American Tailings Construction Materials Database</w:t>
      </w:r>
    </w:p>
    <w:p>
      <w:pPr>
        <w:pStyle w:val="Normal"/>
      </w:pPr>
      <w:r>
        <w:t>Shared database of tailings properties for construction applications across all three countries.</w:t>
      </w:r>
    </w:p>
    <w:p>
      <w:pPr>
        <w:pStyle w:val="ClauseLabel"/>
      </w:pPr>
      <w:r>
        <w:t>BD-56. Treated Residue Reclamation Research</w:t>
      </w:r>
    </w:p>
    <w:p>
      <w:pPr>
        <w:pStyle w:val="Normal"/>
      </w:pPr>
      <w:r>
        <w:t>Evaluate treated residues first for mine-site reclamation and non-food uses; food-producing soils require exceptional contaminant, uptake and long-term leaching evidence.</w:t>
      </w:r>
    </w:p>
    <w:p>
      <w:pPr>
        <w:pStyle w:val="ClauseLabel"/>
      </w:pPr>
      <w:r>
        <w:t>BD-57. Recovered Nutrient Products from Mine Waste</w:t>
      </w:r>
    </w:p>
    <w:p>
      <w:pPr>
        <w:pStyle w:val="Normal"/>
      </w:pPr>
      <w:r>
        <w:t>Recover purified nutrient products from eligible waste streams only where the final product independently meets fertilizer and food-chain safety standards.</w:t>
      </w:r>
    </w:p>
    <w:p>
      <w:pPr>
        <w:pStyle w:val="ClauseLabel"/>
      </w:pPr>
      <w:r>
        <w:t>BD-58. Controlled Mine-Land Ecological Restoration Trials</w:t>
      </w:r>
    </w:p>
    <w:p>
      <w:pPr>
        <w:pStyle w:val="Normal"/>
      </w:pPr>
      <w:r>
        <w:t>Use fully characterized materials in controlled restoration of degraded mine lands rather than blanket agricultural application.</w:t>
      </w:r>
    </w:p>
    <w:p>
      <w:pPr>
        <w:pStyle w:val="ClauseLabel"/>
      </w:pPr>
      <w:r>
        <w:t>BD-59. Purified Nutrient Recovery</w:t>
      </w:r>
    </w:p>
    <w:p>
      <w:pPr>
        <w:pStyle w:val="Normal"/>
      </w:pPr>
      <w:r>
        <w:t>Extract useful nutrients into purified products instead of spreading heterogeneous tailings on food-producing soils.</w:t>
      </w:r>
    </w:p>
    <w:p>
      <w:pPr>
        <w:pStyle w:val="ClauseLabel"/>
      </w:pPr>
      <w:r>
        <w:t>BD-60. Mine-Land Remediation Substrates</w:t>
      </w:r>
    </w:p>
    <w:p>
      <w:pPr>
        <w:pStyle w:val="Normal"/>
      </w:pPr>
      <w:r>
        <w:t>Develop controlled remediation substrates for contaminated mine lands; composting does not waive contaminant limits.</w:t>
      </w:r>
    </w:p>
    <w:p>
      <w:pPr>
        <w:pStyle w:val="ClauseLabel"/>
      </w:pPr>
      <w:r>
        <w:t>BD-61. Phosphate-Tailings Rehabilitation Research</w:t>
      </w:r>
    </w:p>
    <w:p>
      <w:pPr>
        <w:pStyle w:val="Normal"/>
      </w:pPr>
      <w:r>
        <w:t>Research conversion/stabilization for rehabilitation uses, with food-chain applications requiring separate stringent certification.</w:t>
      </w:r>
    </w:p>
    <w:p>
      <w:pPr>
        <w:pStyle w:val="ClauseLabel"/>
      </w:pPr>
      <w:r>
        <w:t>BD-62. Controlled Plant-Toxicity and Uptake Research Program</w:t>
      </w:r>
    </w:p>
    <w:p>
      <w:pPr>
        <w:pStyle w:val="Normal"/>
      </w:pPr>
      <w:r>
        <w:t>Study plant response, contaminant uptake and leaching under controlled conditions; no treaty-prescribed application rate to food crops.</w:t>
      </w:r>
    </w:p>
    <w:p>
      <w:pPr>
        <w:pStyle w:val="ClauseLabel"/>
      </w:pPr>
      <w:r>
        <w:t>BD-63. Characterized Mineral Byproducts for Land Restoration</w:t>
      </w:r>
    </w:p>
    <w:p>
      <w:pPr>
        <w:pStyle w:val="Normal"/>
      </w:pPr>
      <w:r>
        <w:t>Permit research on benign, characterized byproducts for restoration; food-chain uses require independent stringent certification.</w:t>
      </w:r>
    </w:p>
    <w:p>
      <w:pPr>
        <w:pStyle w:val="ClauseLabel"/>
      </w:pPr>
      <w:r>
        <w:t>BD-64. Phytoremediation and Revegetation Research</w:t>
      </w:r>
    </w:p>
    <w:p>
      <w:pPr>
        <w:pStyle w:val="Normal"/>
      </w:pPr>
      <w:r>
        <w:t>Use vegetation and soil amendments to restore mine lands under contaminant-management controls rather than general agricultural deployment.</w:t>
      </w:r>
    </w:p>
    <w:p>
      <w:pPr>
        <w:pStyle w:val="ClauseLabel"/>
      </w:pPr>
      <w:r>
        <w:t>BD-65. Tri-National Tailings-Based Biofertilizer Standards</w:t>
      </w:r>
    </w:p>
    <w:p>
      <w:pPr>
        <w:pStyle w:val="Normal"/>
      </w:pPr>
      <w:r>
        <w:t>Harmonized standards for tailings-derived biofertilizers across all three countries.</w:t>
      </w:r>
    </w:p>
    <w:p>
      <w:pPr>
        <w:pStyle w:val="ClauseLabel"/>
      </w:pPr>
      <w:r>
        <w:t>BD-66. Canadian Bioleaching for Acid Mine Drainage Prevention</w:t>
      </w:r>
    </w:p>
    <w:p>
      <w:pPr>
        <w:pStyle w:val="Normal"/>
      </w:pPr>
      <w:r>
        <w:t>Deploy CanmetMINING's bioleaching process to remove sulfides from tailings, preventing acid generation.</w:t>
      </w:r>
    </w:p>
    <w:p>
      <w:pPr>
        <w:pStyle w:val="ClauseLabel"/>
      </w:pPr>
      <w:r>
        <w:t>BD-67. Tri-National Tailings Desulphurization</w:t>
      </w:r>
    </w:p>
    <w:p>
      <w:pPr>
        <w:pStyle w:val="Normal"/>
      </w:pPr>
      <w:r>
        <w:t>Joint research on speeding up desulphurization so tailings no longer generate acid.</w:t>
      </w:r>
    </w:p>
    <w:p>
      <w:pPr>
        <w:pStyle w:val="ClauseLabel"/>
      </w:pPr>
      <w:r>
        <w:t>BD-68. US Electrochemical Mineralization of Tailings Water</w:t>
      </w:r>
    </w:p>
    <w:p>
      <w:pPr>
        <w:pStyle w:val="Normal"/>
      </w:pPr>
      <w:r>
        <w:t>Deploy electrochemically stimulated mineralization to treat tailings supernatant water.</w:t>
      </w:r>
    </w:p>
    <w:p>
      <w:pPr>
        <w:pStyle w:val="ClauseLabel"/>
      </w:pPr>
      <w:r>
        <w:t>BD-69. Mexican Mercury Stabilization from Tailings</w:t>
      </w:r>
    </w:p>
    <w:p>
      <w:pPr>
        <w:pStyle w:val="Normal"/>
      </w:pPr>
      <w:r>
        <w:t>Apply chemical and mineralogical assessment techniques to stabilize mercury in historic mining wastes.</w:t>
      </w:r>
    </w:p>
    <w:p>
      <w:pPr>
        <w:pStyle w:val="ClauseLabel"/>
      </w:pPr>
      <w:r>
        <w:t>BD-70. Canadian Tailings as Backfill for Mine Voids</w:t>
      </w:r>
    </w:p>
    <w:p>
      <w:pPr>
        <w:pStyle w:val="Normal"/>
      </w:pPr>
      <w:r>
        <w:t>Use treated tailings to backfill underground mine voids, preventing subsidence.</w:t>
      </w:r>
    </w:p>
    <w:p>
      <w:pPr>
        <w:pStyle w:val="ClauseLabel"/>
      </w:pPr>
      <w:r>
        <w:t>BD-71. Tri-National Phytoremediation of Tailings Sites</w:t>
      </w:r>
    </w:p>
    <w:p>
      <w:pPr>
        <w:pStyle w:val="Normal"/>
      </w:pPr>
      <w:r>
        <w:t>Use hyperaccumulator plants to extract metals from tailings while reclaiming land.</w:t>
      </w:r>
    </w:p>
    <w:p>
      <w:pPr>
        <w:pStyle w:val="ClauseLabel"/>
      </w:pPr>
      <w:r>
        <w:t>BD-72. US Tailings Ponds Rehabilitation</w:t>
      </w:r>
    </w:p>
    <w:p>
      <w:pPr>
        <w:pStyle w:val="Normal"/>
      </w:pPr>
      <w:r>
        <w:t>Convert tailings ponds to wetlands or productive land after reprocessing.</w:t>
      </w:r>
    </w:p>
    <w:p>
      <w:pPr>
        <w:pStyle w:val="ClauseLabel"/>
      </w:pPr>
      <w:r>
        <w:t>BD-73. Mexican Tailings Dam Safety Standards</w:t>
      </w:r>
    </w:p>
    <w:p>
      <w:pPr>
        <w:pStyle w:val="Normal"/>
      </w:pPr>
      <w:r>
        <w:t>Harmonize tailings dam safety standards across North America.</w:t>
      </w:r>
    </w:p>
    <w:p>
      <w:pPr>
        <w:pStyle w:val="ClauseLabel"/>
      </w:pPr>
      <w:r>
        <w:t>BD-74. Canadian Oilsands Tailings Treatment Standards</w:t>
      </w:r>
    </w:p>
    <w:p>
      <w:pPr>
        <w:pStyle w:val="Normal"/>
      </w:pPr>
      <w:r>
        <w:t>Develop coordinated standards for releasing treated oilsands tailings.</w:t>
      </w:r>
    </w:p>
    <w:p>
      <w:pPr>
        <w:pStyle w:val="ClauseLabel"/>
      </w:pPr>
      <w:r>
        <w:t>BD-75. Tri-National Tailings Revegetation</w:t>
      </w:r>
    </w:p>
    <w:p>
      <w:pPr>
        <w:pStyle w:val="Normal"/>
      </w:pPr>
      <w:r>
        <w:t>Joint programs to revegetate tailings sites using sludge-amended soils (90% survival rates demonstrated).</w:t>
      </w:r>
    </w:p>
    <w:p>
      <w:pPr>
        <w:pStyle w:val="ClauseLabel"/>
      </w:pPr>
      <w:r>
        <w:t>BD-76. US Acid Mine Drainage REE Recovery</w:t>
      </w:r>
    </w:p>
    <w:p>
      <w:pPr>
        <w:pStyle w:val="Normal"/>
      </w:pPr>
      <w:r>
        <w:t>Extract REEs from acid mine drainage and tailings liquors while treating water.</w:t>
      </w:r>
    </w:p>
    <w:p>
      <w:pPr>
        <w:pStyle w:val="ClauseLabel"/>
      </w:pPr>
      <w:r>
        <w:t>BD-77. Mexican Tailings Vitrification for Hazardous Waste</w:t>
      </w:r>
    </w:p>
    <w:p>
      <w:pPr>
        <w:pStyle w:val="Normal"/>
      </w:pPr>
      <w:r>
        <w:t>Use vitrification to solidify hazardous mining tailings.</w:t>
      </w:r>
    </w:p>
    <w:p>
      <w:pPr>
        <w:pStyle w:val="ClauseLabel"/>
      </w:pPr>
      <w:r>
        <w:t>BD-78. Tri-National Tailings Pond Closure Standards</w:t>
      </w:r>
    </w:p>
    <w:p>
      <w:pPr>
        <w:pStyle w:val="Normal"/>
      </w:pPr>
      <w:r>
        <w:t>Harmonized standards for closing and reclaiming tailings ponds.</w:t>
      </w:r>
    </w:p>
    <w:p>
      <w:pPr>
        <w:pStyle w:val="ClauseLabel"/>
      </w:pPr>
      <w:r>
        <w:t>BD-79. Canadian Experimental Field Cells for Tailings</w:t>
      </w:r>
    </w:p>
    <w:p>
      <w:pPr>
        <w:pStyle w:val="Normal"/>
      </w:pPr>
      <w:r>
        <w:t>Deploy Natural Resources Canada's experimental field cell research for tailings management across North America.</w:t>
      </w:r>
    </w:p>
    <w:p>
      <w:pPr>
        <w:pStyle w:val="ClauseLabel"/>
      </w:pPr>
      <w:r>
        <w:t>BD-80. North American Tailings Remediation Fund</w:t>
      </w:r>
    </w:p>
    <w:p>
      <w:pPr>
        <w:pStyle w:val="Normal"/>
      </w:pPr>
      <w:r>
        <w:t>Joint fund to clean up the most hazardous tailings sites while recovering value.</w:t>
      </w:r>
    </w:p>
    <w:p>
      <w:pPr>
        <w:pStyle w:val="ClauseLabel"/>
      </w:pPr>
      <w:r>
        <w:t>BD-81. Canadian Bioleaching Technology Transfer to US/Mexico</w:t>
      </w:r>
    </w:p>
    <w:p>
      <w:pPr>
        <w:pStyle w:val="Normal"/>
      </w:pPr>
      <w:r>
        <w:t>Transfer CanmetMINING's nickel/cobalt bioleaching process to US and Mexican facilities.</w:t>
      </w:r>
    </w:p>
    <w:p>
      <w:pPr>
        <w:pStyle w:val="ClauseLabel"/>
      </w:pPr>
      <w:r>
        <w:t>BD-82. US Membrane Solvent Extraction (MSX) Deployment</w:t>
      </w:r>
    </w:p>
    <w:p>
      <w:pPr>
        <w:pStyle w:val="Normal"/>
      </w:pPr>
      <w:r>
        <w:t>Deploy Momentum Technologies' MSX for REE recovery from tailings across North America.</w:t>
      </w:r>
    </w:p>
    <w:p>
      <w:pPr>
        <w:pStyle w:val="ClauseLabel"/>
      </w:pPr>
      <w:r>
        <w:t>BD-83. Mexican Alkaline Leaching Technology Export</w:t>
      </w:r>
    </w:p>
    <w:p>
      <w:pPr>
        <w:pStyle w:val="Normal"/>
      </w:pPr>
      <w:r>
        <w:t>Export Mexico's arsenic/antimony removal technology to US and Canadian operations.</w:t>
      </w:r>
    </w:p>
    <w:p>
      <w:pPr>
        <w:pStyle w:val="ClauseLabel"/>
      </w:pPr>
      <w:r>
        <w:t>BD-84. Tri-National High-Pressure Slurry Ablation (HPSA) Network</w:t>
      </w:r>
    </w:p>
    <w:p>
      <w:pPr>
        <w:pStyle w:val="Normal"/>
      </w:pPr>
      <w:r>
        <w:t>Establish HPSA testing and deployment centers in all three countries.</w:t>
      </w:r>
    </w:p>
    <w:p>
      <w:pPr>
        <w:pStyle w:val="ClauseLabel"/>
      </w:pPr>
      <w:r>
        <w:t>BD-85. US EnviroGold NVRO Process™ Licensing</w:t>
      </w:r>
    </w:p>
    <w:p>
      <w:pPr>
        <w:pStyle w:val="Normal"/>
      </w:pPr>
      <w:r>
        <w:t>License EnviroGold's NVRO Process™ for precious and critical metal recovery from tailings across North America.</w:t>
      </w:r>
    </w:p>
    <w:p>
      <w:pPr>
        <w:pStyle w:val="ClauseLabel"/>
      </w:pPr>
      <w:r>
        <w:t>BD-86. Canadian Multi-Gravity Separator (MGS) Technology</w:t>
      </w:r>
    </w:p>
    <w:p>
      <w:pPr>
        <w:pStyle w:val="Normal"/>
      </w:pPr>
      <w:r>
        <w:t>Deploy Salter Cyclone MGS technology for iron ore recovery from tailings.</w:t>
      </w:r>
    </w:p>
    <w:p>
      <w:pPr>
        <w:pStyle w:val="ClauseLabel"/>
      </w:pPr>
      <w:r>
        <w:t>BD-87. Tri-National REE Recovery from Wastewater</w:t>
      </w:r>
    </w:p>
    <w:p>
      <w:pPr>
        <w:pStyle w:val="Normal"/>
      </w:pPr>
      <w:r>
        <w:t>Deploy University of California, Davis REE extraction from acidic wastewater and tailings liquors.</w:t>
      </w:r>
    </w:p>
    <w:p>
      <w:pPr>
        <w:pStyle w:val="ClauseLabel"/>
      </w:pPr>
      <w:r>
        <w:t>BD-88. US Flotation Optimization for Tailings</w:t>
      </w:r>
    </w:p>
    <w:p>
      <w:pPr>
        <w:pStyle w:val="Normal"/>
      </w:pPr>
      <w:r>
        <w:t>Apply Colorado School of Mines flotation research to tailings reprocessing across all three.</w:t>
      </w:r>
    </w:p>
    <w:p>
      <w:pPr>
        <w:pStyle w:val="ClauseLabel"/>
      </w:pPr>
      <w:r>
        <w:t>BD-89. Canadian Ion Exchange for Critical Metals</w:t>
      </w:r>
    </w:p>
    <w:p>
      <w:pPr>
        <w:pStyle w:val="Normal"/>
      </w:pPr>
      <w:r>
        <w:t>Deploy Renix's steady-state ion exchange platform for tailings processing.</w:t>
      </w:r>
    </w:p>
    <w:p>
      <w:pPr>
        <w:pStyle w:val="ClauseLabel"/>
      </w:pPr>
      <w:r>
        <w:t>BD-90. Tri-National Machine Learning for Tailings Characterization</w:t>
      </w:r>
    </w:p>
    <w:p>
      <w:pPr>
        <w:pStyle w:val="Normal"/>
      </w:pPr>
      <w:r>
        <w:t>Use AI to identify optimal reprocessing strategies for different tailings types.</w:t>
      </w:r>
    </w:p>
    <w:p>
      <w:pPr>
        <w:pStyle w:val="ClauseLabel"/>
      </w:pPr>
      <w:r>
        <w:t>BD-91. US Magnetic Separation for PGM Tailings</w:t>
      </w:r>
    </w:p>
    <w:p>
      <w:pPr>
        <w:pStyle w:val="Normal"/>
      </w:pPr>
      <w:r>
        <w:t>Deploy magnetic separation (68% mass yield, 60% palladium recovery) for PGM tailings.</w:t>
      </w:r>
    </w:p>
    <w:p>
      <w:pPr>
        <w:pStyle w:val="ClauseLabel"/>
      </w:pPr>
      <w:r>
        <w:t>BD-92. Canadian Centrifugal Gravity Separation</w:t>
      </w:r>
    </w:p>
    <w:p>
      <w:pPr>
        <w:pStyle w:val="Normal"/>
      </w:pPr>
      <w:r>
        <w:t>Deploy gravity separators for fine mineral recovery from tailings.</w:t>
      </w:r>
    </w:p>
    <w:p>
      <w:pPr>
        <w:pStyle w:val="ClauseLabel"/>
      </w:pPr>
      <w:r>
        <w:t>BD-93. Tri-National Tailings Reprocessing Pilot Plant Network</w:t>
      </w:r>
    </w:p>
    <w:p>
      <w:pPr>
        <w:pStyle w:val="Normal"/>
      </w:pPr>
      <w:r>
        <w:t>Establish pilot plants in each country for testing new technologies.</w:t>
      </w:r>
    </w:p>
    <w:p>
      <w:pPr>
        <w:pStyle w:val="ClauseLabel"/>
      </w:pPr>
      <w:r>
        <w:t>BD-94. Reciprocal Mine-Waste R&amp;D Funding Eligibility</w:t>
      </w:r>
    </w:p>
    <w:p>
      <w:pPr>
        <w:pStyle w:val="Normal"/>
      </w:pPr>
      <w:r>
        <w:t>Coordinate current national critical-mineral and mine-waste R&amp;D programs without hard-coding an expiring appropriation amount.</w:t>
      </w:r>
    </w:p>
    <w:p>
      <w:pPr>
        <w:pStyle w:val="ClauseLabel"/>
      </w:pPr>
      <w:r>
        <w:t>BD-95. North American Tailings Technology Database</w:t>
      </w:r>
    </w:p>
    <w:p>
      <w:pPr>
        <w:pStyle w:val="Normal"/>
      </w:pPr>
      <w:r>
        <w:t>Shared database of all tailings reprocessing technologies available in North America.</w:t>
      </w:r>
    </w:p>
    <w:p>
      <w:pPr>
        <w:pStyle w:val="ClauseLabel"/>
      </w:pPr>
      <w:r>
        <w:t>BD-96. Tri-National Tailings-Based Ceramics</w:t>
      </w:r>
    </w:p>
    <w:p>
      <w:pPr>
        <w:pStyle w:val="Normal"/>
      </w:pPr>
      <w:r>
        <w:t>Manufacture ceramics and tiles from processed tailings.</w:t>
      </w:r>
    </w:p>
    <w:p>
      <w:pPr>
        <w:pStyle w:val="ClauseLabel"/>
      </w:pPr>
      <w:r>
        <w:t>BD-97. Canadian Tailings for Glass Manufacturing</w:t>
      </w:r>
    </w:p>
    <w:p>
      <w:pPr>
        <w:pStyle w:val="Normal"/>
      </w:pPr>
      <w:r>
        <w:t>Use vitrified tailings as feedstock for glass production.</w:t>
      </w:r>
    </w:p>
    <w:p>
      <w:pPr>
        <w:pStyle w:val="ClauseLabel"/>
      </w:pPr>
      <w:r>
        <w:t>BD-98. US Tailings for Ceramic Glazes</w:t>
      </w:r>
    </w:p>
    <w:p>
      <w:pPr>
        <w:pStyle w:val="Normal"/>
      </w:pPr>
      <w:r>
        <w:t>Use processed tailings as colorants and fluxes in ceramic glazes.</w:t>
      </w:r>
    </w:p>
    <w:p>
      <w:pPr>
        <w:pStyle w:val="ClauseLabel"/>
      </w:pPr>
      <w:r>
        <w:t>BD-99. Mexican Tailings for Paint Pigments</w:t>
      </w:r>
    </w:p>
    <w:p>
      <w:pPr>
        <w:pStyle w:val="Normal"/>
      </w:pPr>
      <w:r>
        <w:t>Extract and process metal oxides from tailings for paint pigments.</w:t>
      </w:r>
    </w:p>
    <w:p>
      <w:pPr>
        <w:pStyle w:val="ClauseLabel"/>
      </w:pPr>
      <w:r>
        <w:t>BD-100. Tri-National Tailings for Abrasives</w:t>
      </w:r>
    </w:p>
    <w:p>
      <w:pPr>
        <w:pStyle w:val="Normal"/>
      </w:pPr>
      <w:r>
        <w:t>Process tailings into industrial abrasives.</w:t>
      </w:r>
    </w:p>
    <w:p>
      <w:pPr>
        <w:pStyle w:val="ClauseLabel"/>
      </w:pPr>
      <w:r>
        <w:t>BD-101. Canadian Tailings for Refractory Materials</w:t>
      </w:r>
    </w:p>
    <w:p>
      <w:pPr>
        <w:pStyle w:val="Normal"/>
      </w:pPr>
      <w:r>
        <w:t>Use tailings high in alumina and silica as refractory materials.</w:t>
      </w:r>
    </w:p>
    <w:p>
      <w:pPr>
        <w:pStyle w:val="ClauseLabel"/>
      </w:pPr>
      <w:r>
        <w:t>BD-102. US Tailings for Filtration Media</w:t>
      </w:r>
    </w:p>
    <w:p>
      <w:pPr>
        <w:pStyle w:val="Normal"/>
      </w:pPr>
      <w:r>
        <w:t>Process tailings into water filtration media.</w:t>
      </w:r>
    </w:p>
    <w:p>
      <w:pPr>
        <w:pStyle w:val="ClauseLabel"/>
      </w:pPr>
      <w:r>
        <w:t>BD-103. Certified Mineral-Derived Horticultural Substrates</w:t>
      </w:r>
    </w:p>
    <w:p>
      <w:pPr>
        <w:pStyle w:val="Normal"/>
      </w:pPr>
      <w:r>
        <w:t>Allow only manufactured substrates whose contaminants are removed or immobilized and which independently satisfy horticultural safety standards.</w:t>
      </w:r>
    </w:p>
    <w:p>
      <w:pPr>
        <w:pStyle w:val="ClauseLabel"/>
      </w:pPr>
      <w:r>
        <w:t>BD-104. Tri-National Tailings for Carbon Capture</w:t>
      </w:r>
    </w:p>
    <w:p>
      <w:pPr>
        <w:pStyle w:val="Normal"/>
      </w:pPr>
      <w:r>
        <w:t>Use alkaline tailings for mineral carbonation and CO₂ sequestration.</w:t>
      </w:r>
    </w:p>
    <w:p>
      <w:pPr>
        <w:pStyle w:val="ClauseLabel"/>
      </w:pPr>
      <w:r>
        <w:t>BD-105. North American Tailings Industrial Products Standards</w:t>
      </w:r>
    </w:p>
    <w:p>
      <w:pPr>
        <w:pStyle w:val="Normal"/>
      </w:pPr>
      <w:r>
        <w:t>Harmonized standards for tailings-derived industrial products.</w:t>
      </w:r>
    </w:p>
    <w:p>
      <w:pPr>
        <w:pStyle w:val="ClauseLabel"/>
      </w:pPr>
      <w:r>
        <w:t>BD-106. Tri-National Tailings Transport Corridor</w:t>
      </w:r>
    </w:p>
    <w:p>
      <w:pPr>
        <w:pStyle w:val="Normal"/>
      </w:pPr>
      <w:r>
        <w:t>Establish logistics network for moving tailings from mines to reprocessing facilities across borders.</w:t>
      </w:r>
    </w:p>
    <w:p>
      <w:pPr>
        <w:pStyle w:val="ClauseLabel"/>
      </w:pPr>
      <w:r>
        <w:t>BD-107. Mexican Port Processing Zones for Tailings</w:t>
      </w:r>
    </w:p>
    <w:p>
      <w:pPr>
        <w:pStyle w:val="Normal"/>
      </w:pPr>
      <w:r>
        <w:t>Develop processing parks at Mexican ports (Manzanillo, Lázaro Cárdenas) for tailings from all three countries.</w:t>
      </w:r>
    </w:p>
    <w:p>
      <w:pPr>
        <w:pStyle w:val="ClauseLabel"/>
      </w:pPr>
      <w:r>
        <w:t>BD-108. US-Mexico Border Tailings Hub</w:t>
      </w:r>
    </w:p>
    <w:p>
      <w:pPr>
        <w:pStyle w:val="Normal"/>
      </w:pPr>
      <w:r>
        <w:t>Build tailings reprocessing facility in northern Mexico near US border.</w:t>
      </w:r>
    </w:p>
    <w:p>
      <w:pPr>
        <w:pStyle w:val="ClauseLabel"/>
      </w:pPr>
      <w:r>
        <w:t>BD-109. Canadian Rail Network for Tailings</w:t>
      </w:r>
    </w:p>
    <w:p>
      <w:pPr>
        <w:pStyle w:val="Normal"/>
      </w:pPr>
      <w:r>
        <w:t>Improve rail links to move tailings from remote Canadian mines to processing centers.</w:t>
      </w:r>
    </w:p>
    <w:p>
      <w:pPr>
        <w:pStyle w:val="ClauseLabel"/>
      </w:pPr>
      <w:r>
        <w:t>BD-110. Tri-National Tailings Shipping Standards</w:t>
      </w:r>
    </w:p>
    <w:p>
      <w:pPr>
        <w:pStyle w:val="Normal"/>
      </w:pPr>
      <w:r>
        <w:t>Harmonized standards for transporting tailings and mining debris across borders.</w:t>
      </w:r>
    </w:p>
    <w:p>
      <w:pPr>
        <w:pStyle w:val="ClauseLabel"/>
      </w:pPr>
      <w:r>
        <w:t>BD-111. Specialized Tailings Reprocessing Facilities</w:t>
      </w:r>
    </w:p>
    <w:p>
      <w:pPr>
        <w:pStyle w:val="Normal"/>
      </w:pPr>
      <w:r>
        <w:t>Support safe reprocessing capacity rather than shared cross-border tailings dumps.</w:t>
      </w:r>
    </w:p>
    <w:p>
      <w:pPr>
        <w:pStyle w:val="ClauseLabel"/>
      </w:pPr>
      <w:r>
        <w:t>BD-112. Mapped Strategic Secondary-Resource Sites</w:t>
      </w:r>
    </w:p>
    <w:p>
      <w:pPr>
        <w:pStyle w:val="Normal"/>
      </w:pPr>
      <w:r>
        <w:t>Map and preserve promising existing mine-waste deposits for future recovery without relocating them into new strategic waste piles.</w:t>
      </w:r>
    </w:p>
    <w:p>
      <w:pPr>
        <w:pStyle w:val="ClauseLabel"/>
      </w:pPr>
      <w:r>
        <w:t>BD-113. Tri-National Tailings Logistics Platform</w:t>
      </w:r>
    </w:p>
    <w:p>
      <w:pPr>
        <w:pStyle w:val="Normal"/>
      </w:pPr>
      <w:r>
        <w:t>Digital platform for tracking tailings movements and processing.</w:t>
      </w:r>
    </w:p>
    <w:p>
      <w:pPr>
        <w:pStyle w:val="ClauseLabel"/>
      </w:pPr>
      <w:r>
        <w:t>BD-114. Mexican Tailings Processing Industrial Parks</w:t>
      </w:r>
    </w:p>
    <w:p>
      <w:pPr>
        <w:pStyle w:val="Normal"/>
      </w:pPr>
      <w:r>
        <w:t>Develop industrial parks hosting multiple tailings reprocessing facilities.</w:t>
      </w:r>
    </w:p>
    <w:p>
      <w:pPr>
        <w:pStyle w:val="ClauseLabel"/>
      </w:pPr>
      <w:r>
        <w:t>BD-115. Project-Specific Enclosed Slurry Transport</w:t>
      </w:r>
    </w:p>
    <w:p>
      <w:pPr>
        <w:pStyle w:val="Normal"/>
      </w:pPr>
      <w:r>
        <w:t>Permit slurry transport only where lifecycle analysis shows it safer and more economical than alternatives; no continental tailings pipeline network.</w:t>
      </w:r>
    </w:p>
    <w:p>
      <w:pPr>
        <w:pStyle w:val="ClauseLabel"/>
      </w:pPr>
      <w:r>
        <w:t>BD-116. Tri-National Tailings Reprocessing Workforce Program</w:t>
      </w:r>
    </w:p>
    <w:p>
      <w:pPr>
        <w:pStyle w:val="Normal"/>
      </w:pPr>
      <w:r>
        <w:t>Joint training programs for tailings reprocessing technicians and engineers.</w:t>
      </w:r>
    </w:p>
    <w:p>
      <w:pPr>
        <w:pStyle w:val="ClauseLabel"/>
      </w:pPr>
      <w:r>
        <w:t>BD-117. Canadian University Tailings Research in Mexico</w:t>
      </w:r>
    </w:p>
    <w:p>
      <w:pPr>
        <w:pStyle w:val="Normal"/>
      </w:pPr>
      <w:r>
        <w:t>Canadian mining engineering programs partner with Mexican universities on tailings research.</w:t>
      </w:r>
    </w:p>
    <w:p>
      <w:pPr>
        <w:pStyle w:val="ClauseLabel"/>
      </w:pPr>
      <w:r>
        <w:t>BD-118. US Community College Tailings Curriculum</w:t>
      </w:r>
    </w:p>
    <w:p>
      <w:pPr>
        <w:pStyle w:val="Normal"/>
      </w:pPr>
      <w:r>
        <w:t>Standardized curriculum for tailings reprocessing and remediation.</w:t>
      </w:r>
    </w:p>
    <w:p>
      <w:pPr>
        <w:pStyle w:val="ClauseLabel"/>
      </w:pPr>
      <w:r>
        <w:t>BD-119. Tri-National Tailings Research Consortium</w:t>
      </w:r>
    </w:p>
    <w:p>
      <w:pPr>
        <w:pStyle w:val="Normal"/>
      </w:pPr>
      <w:r>
        <w:t>Joint industry-university research on tailings valorization technologies.</w:t>
      </w:r>
    </w:p>
    <w:p>
      <w:pPr>
        <w:pStyle w:val="ClauseLabel"/>
      </w:pPr>
      <w:r>
        <w:t>BD-120. North American Tailings Innovation Network</w:t>
      </w:r>
    </w:p>
    <w:p>
      <w:pPr>
        <w:pStyle w:val="Normal"/>
      </w:pPr>
      <w:r>
        <w:t>Permanent network connecting researchers, industry, and government on tailings reprocessing.</w:t>
      </w:r>
    </w:p>
    <w:p>
      <w:pPr>
        <w:pStyle w:val="Heading1"/>
      </w:pPr>
      <w:bookmarkStart w:id="902300" w:name="_Toc300002299"/>
      <w:r>
        <w:t>PACKAGE BE: CROSS-SECTOR MINERAL EARNED-BENEFIT CATALOGUE (140 MECHANISMS)</w:t>
      </w:r>
      <w:bookmarkEnd w:id="902300"/>
    </w:p>
    <w:p>
      <w:pPr>
        <w:pStyle w:val="Normal"/>
      </w:pPr>
      <w:r>
        <w:t>Status. These mechanisms are negotiating options, not automatic obligations. Contemporary tariff rates, fixed quantities, fixed discounts, company names and hard-coded project locations in source concepts are illustrative only. Operative schedules shall use current applicable measures, verified capacity, market-linked pricing, resource-sovereignty protections and the No Uncompensated Front-Loading rule.</w:t>
      </w:r>
    </w:p>
    <w:p>
      <w:pPr>
        <w:pStyle w:val="ClauseLabel"/>
      </w:pPr>
      <w:r>
        <w:t>BE-A. Bargain Classification</w:t>
      </w:r>
    </w:p>
    <w:p>
      <w:pPr>
        <w:pStyle w:val="Normal"/>
      </w:pPr>
      <w:r>
        <w:t>Class I: Primary negotiating currency: tariff and AD/CVD relief, customs treatment, infrastructure finance, energy cooperation, processing investment, offtake, workforce mobility and R&amp;D access.</w:t>
      </w:r>
    </w:p>
    <w:p>
      <w:pPr>
        <w:pStyle w:val="Normal"/>
      </w:pPr>
      <w:r>
        <w:t>Class II: Sovereignty-sensitive: mining access, geological data, permitting, investment screening, water, nuclear materials and defense-related minerals; use only with explicit domestic-law firewalls.</w:t>
      </w:r>
    </w:p>
    <w:p>
      <w:pPr>
        <w:pStyle w:val="Normal"/>
      </w:pPr>
      <w:r>
        <w:t>Class III: Parallel cooperation: education, environmental programs, community healthcare and cultural exchange may accompany mineral bargains but should not become coercive collateral.</w:t>
      </w:r>
    </w:p>
    <w:p>
      <w:pPr>
        <w:pStyle w:val="Normal"/>
      </w:pPr>
      <w:r>
        <w:t>Class IV: Non-bargainable humanitarian/constitutional floor: essential emergency medicines and vaccines, fundamental rights, basic humanitarian access and core sovereign defense powers.</w:t>
      </w:r>
    </w:p>
    <w:p>
      <w:pPr>
        <w:pStyle w:val="ClauseLabel"/>
      </w:pPr>
      <w:r>
        <w:t>BE-1. Softwood Lumber for Canadian Lithium</w:t>
      </w:r>
    </w:p>
    <w:p>
      <w:pPr>
        <w:pStyle w:val="Normal"/>
      </w:pPr>
      <w:r>
        <w:t>U.S. eliminates 10% Section 232 tariff on Canadian softwood lumber paired with Canada guaranteeing 200,000 tonnes/year of lithium spodumene to U.S. battery plants at fixed prices for 10 years.</w:t>
      </w:r>
    </w:p>
    <w:p>
      <w:pPr>
        <w:pStyle w:val="ClauseLabel"/>
      </w:pPr>
      <w:r>
        <w:t>BE-2. Auto Tariff Elimination for Mexican Copper</w:t>
      </w:r>
    </w:p>
    <w:p>
      <w:pPr>
        <w:pStyle w:val="Normal"/>
      </w:pPr>
      <w:r>
        <w:t>U.S. eliminates 25% auto tariffs on Mexican vehicles paired with Mexico guaranteeing 500,000 tonnes/year of refined copper to U.S. EV manufacturers.</w:t>
      </w:r>
    </w:p>
    <w:p>
      <w:pPr>
        <w:pStyle w:val="ClauseLabel"/>
      </w:pPr>
      <w:r>
        <w:t>BE-3. Steel Tariff Reduction for Canadian Nickel</w:t>
      </w:r>
    </w:p>
    <w:p>
      <w:pPr>
        <w:pStyle w:val="Normal"/>
      </w:pPr>
      <w:r>
        <w:t>U.S. reduces 50% steel tariffs on Canadian steel by 25 percentage points paired with Canada expanding nickel production by 50,000 tonnes/year for U.S. defense contracts.</w:t>
      </w:r>
    </w:p>
    <w:p>
      <w:pPr>
        <w:pStyle w:val="ClauseLabel"/>
      </w:pPr>
      <w:r>
        <w:t>BE-4. Tariff Relief for Market-Linked Silver Offtake</w:t>
      </w:r>
    </w:p>
    <w:p>
      <w:pPr>
        <w:pStyle w:val="Normal"/>
      </w:pPr>
      <w:r>
        <w:t>Pair applicable aluminum-trade relief with long-term Mexican silver offtake at transparent market-linked pricing; no compulsory below-market sale.</w:t>
      </w:r>
    </w:p>
    <w:p>
      <w:pPr>
        <w:pStyle w:val="ClauseLabel"/>
      </w:pPr>
      <w:r>
        <w:t>BE-5. Softwood Quota Increase for Canadian Potash</w:t>
      </w:r>
    </w:p>
    <w:p>
      <w:pPr>
        <w:pStyle w:val="Normal"/>
      </w:pPr>
      <w:r>
        <w:t>U.S. increases softwood lumber quota by 15% for Canadian producers paired with Canada guaranteeing 5 million tonnes/year of potash to U.S. farmers at 5% below global market price.</w:t>
      </w:r>
    </w:p>
    <w:p>
      <w:pPr>
        <w:pStyle w:val="ClauseLabel"/>
      </w:pPr>
      <w:r>
        <w:t>BE-6. Section 301 Tariff Removal for Mexican Graphite</w:t>
      </w:r>
    </w:p>
    <w:p>
      <w:pPr>
        <w:pStyle w:val="Normal"/>
      </w:pPr>
      <w:r>
        <w:t>U.S. removes 10% Section 301 tariff on Mexico paired with Mexico tripling graphite exports to U.S. anode plants (from 100% of production to expanded capacity).</w:t>
      </w:r>
    </w:p>
    <w:p>
      <w:pPr>
        <w:pStyle w:val="ClauseLabel"/>
      </w:pPr>
      <w:r>
        <w:t>BE-7. Auto Parts Tariff Exemption for Canadian Cobalt</w:t>
      </w:r>
    </w:p>
    <w:p>
      <w:pPr>
        <w:pStyle w:val="Normal"/>
      </w:pPr>
      <w:r>
        <w:t>U.S. expands USMCA-compliant auto parts tariff exemption to 100% coverage paired with Canada refining 15,000 tonnes/year of cobalt for U.S. battery cathodes.</w:t>
      </w:r>
    </w:p>
    <w:p>
      <w:pPr>
        <w:pStyle w:val="ClauseLabel"/>
      </w:pPr>
      <w:r>
        <w:t>BE-8. Plywood Tariff Reduction for Mexican Zinc</w:t>
      </w:r>
    </w:p>
    <w:p>
      <w:pPr>
        <w:pStyle w:val="Normal"/>
      </w:pPr>
      <w:r>
        <w:t>U.S. reduces plywood tariffs on Mexican wood products by 50% paired with Mexico supplying 400,000 tonnes/year of zinc concentrate to U.S. galvanizing plants.</w:t>
      </w:r>
    </w:p>
    <w:p>
      <w:pPr>
        <w:pStyle w:val="ClauseLabel"/>
      </w:pPr>
      <w:r>
        <w:t>BE-9. Softwood AD/CVD Rate Cut for Canadian REEs</w:t>
      </w:r>
    </w:p>
    <w:p>
      <w:pPr>
        <w:pStyle w:val="Normal"/>
      </w:pPr>
      <w:r>
        <w:t>U.S. cuts combined AD/CVD rate on Canadian lumber from 24.83% to 10% paired with Canada delivering 5,000 tonnes/year of separated rare earth elements (Nd, Pr, Dy) to U.S. magnet plants.</w:t>
      </w:r>
    </w:p>
    <w:p>
      <w:pPr>
        <w:pStyle w:val="ClauseLabel"/>
      </w:pPr>
      <w:r>
        <w:t>BE-10. Truck Tariff Elimination for Mexican Molybdenum</w:t>
      </w:r>
    </w:p>
    <w:p>
      <w:pPr>
        <w:pStyle w:val="Normal"/>
      </w:pPr>
      <w:r>
        <w:t>U.S. eliminates 25% tariff on Mexican trucks paired with Mexico supplying 30,000 tonnes/year of molybdenum to U.S. high-strength steel mills.</w:t>
      </w:r>
    </w:p>
    <w:p>
      <w:pPr>
        <w:pStyle w:val="ClauseLabel"/>
      </w:pPr>
      <w:r>
        <w:t>BE-11. Section 232 Tariff Sunset for Canadian Uranium</w:t>
      </w:r>
    </w:p>
    <w:p>
      <w:pPr>
        <w:pStyle w:val="Normal"/>
      </w:pPr>
      <w:r>
        <w:t>U.S. phases out Section 232 lumber tariffs over 3 years paired with Canada guaranteeing 20 million pounds/year of U3O8 to U.S. nuclear reactors.</w:t>
      </w:r>
    </w:p>
    <w:p>
      <w:pPr>
        <w:pStyle w:val="ClauseLabel"/>
      </w:pPr>
      <w:r>
        <w:t>BE-12. Bus Tariff Reduction for Mexican Fluorspar</w:t>
      </w:r>
    </w:p>
    <w:p>
      <w:pPr>
        <w:pStyle w:val="Normal"/>
      </w:pPr>
      <w:r>
        <w:t>U.S. reduces 10% bus tariff on Mexican vehicles paired with Mexico supplying 500,000 tonnes/year of fluorspar to U.S. semiconductor chemical plants.</w:t>
      </w:r>
    </w:p>
    <w:p>
      <w:pPr>
        <w:pStyle w:val="ClauseLabel"/>
      </w:pPr>
      <w:r>
        <w:t>BE-13. Value-Added Wood Tariff Exemption for Canadian Magnesium</w:t>
      </w:r>
    </w:p>
    <w:p>
      <w:pPr>
        <w:pStyle w:val="Normal"/>
      </w:pPr>
      <w:r>
        <w:t>U.S. exempts Canadian value-added wood products from new tariffs paired with Canada producing 100,000 tonnes/year of magnesium for U.S. automotive lightweighting.</w:t>
      </w:r>
    </w:p>
    <w:p>
      <w:pPr>
        <w:pStyle w:val="ClauseLabel"/>
      </w:pPr>
      <w:r>
        <w:t>BE-14. Section 232 Phase-Out for Mexican Barite</w:t>
      </w:r>
    </w:p>
    <w:p>
      <w:pPr>
        <w:pStyle w:val="Normal"/>
      </w:pPr>
      <w:r>
        <w:t>U.S. phases out Section 232 tariffs on Mexican aluminum paired with Mexico maintaining 100% barite exports to U.S. oil and gas drilling at preferential pricing.</w:t>
      </w:r>
    </w:p>
    <w:p>
      <w:pPr>
        <w:pStyle w:val="ClauseLabel"/>
      </w:pPr>
      <w:r>
        <w:t>BE-15. Lumber Duty Rebate for Canadian Titanium</w:t>
      </w:r>
    </w:p>
    <w:p>
      <w:pPr>
        <w:pStyle w:val="Normal"/>
      </w:pPr>
      <w:r>
        <w:t>U.S. rebates 50% of collected lumber duties to Canadian producers paired with Canada developing titanium sponge production (currently 100% U.S. import-reliant).</w:t>
      </w:r>
    </w:p>
    <w:p>
      <w:pPr>
        <w:pStyle w:val="ClauseLabel"/>
      </w:pPr>
      <w:r>
        <w:t>BE-16. Non-USMCA Auto Content Tariff Waiver for Mexican Lead</w:t>
      </w:r>
    </w:p>
    <w:p>
      <w:pPr>
        <w:pStyle w:val="Normal"/>
      </w:pPr>
      <w:r>
        <w:t>U.S. waives 25% tariff on non-U.S. auto content from Mexico paired with Mexico supplying 150,000 tonnes/year of lead for U.S. battery manufacturing.</w:t>
      </w:r>
    </w:p>
    <w:p>
      <w:pPr>
        <w:pStyle w:val="ClauseLabel"/>
      </w:pPr>
      <w:r>
        <w:t>BE-17. Softwood Normalization for Niobium Security</w:t>
      </w:r>
    </w:p>
    <w:p>
      <w:pPr>
        <w:pStyle w:val="Normal"/>
      </w:pPr>
      <w:r>
        <w:t>Pair negotiated softwood normalization with Canadian niobium supply, processing or offtake cooperation without assuming a specific Canadian export tax.</w:t>
      </w:r>
    </w:p>
    <w:p>
      <w:pPr>
        <w:pStyle w:val="ClauseLabel"/>
      </w:pPr>
      <w:r>
        <w:t>BE-18. Section 301 Exclusion for Mexican REE Ores</w:t>
      </w:r>
    </w:p>
    <w:p>
      <w:pPr>
        <w:pStyle w:val="Normal"/>
      </w:pPr>
      <w:r>
        <w:t>U.S. grants permanent Section 301 exclusion for Mexican mineral imports paired with Mexico developing its REE deposits with U.S. investment.</w:t>
      </w:r>
    </w:p>
    <w:p>
      <w:pPr>
        <w:pStyle w:val="ClauseLabel"/>
      </w:pPr>
      <w:r>
        <w:t>BE-19. Anti-Dumping Duty Suspension for Canadian Graphite</w:t>
      </w:r>
    </w:p>
    <w:p>
      <w:pPr>
        <w:pStyle w:val="Normal"/>
      </w:pPr>
      <w:r>
        <w:t>U.S. suspends AD duties on Canadian graphite paired with Canada processing 50,000 tonnes/year of graphite for U.S. EV anodes.</w:t>
      </w:r>
    </w:p>
    <w:p>
      <w:pPr>
        <w:pStyle w:val="ClauseLabel"/>
      </w:pPr>
      <w:r>
        <w:t>BE-20. Comprehensive Tariff Reset</w:t>
      </w:r>
    </w:p>
    <w:p>
      <w:pPr>
        <w:pStyle w:val="Normal"/>
      </w:pPr>
      <w:r>
        <w:t>U.S. resets all Section 232 tariffs on Canada and Mexico to zero over 5 years paired with a joint critical minerals supply guarantee covering 31 minerals where U.S. import reliance exceeds 50%.</w:t>
      </w:r>
    </w:p>
    <w:p>
      <w:pPr>
        <w:pStyle w:val="ClauseLabel"/>
      </w:pPr>
      <w:r>
        <w:t>BE-21. Energy Cooperation for State-Led Mexican Lithium Development</w:t>
      </w:r>
    </w:p>
    <w:p>
      <w:pPr>
        <w:pStyle w:val="Normal"/>
      </w:pPr>
      <w:r>
        <w:t>Pair Canadian energy/infrastructure cooperation with LitioMx-led lithium processing and downstream investment, not private lithium concessions.</w:t>
      </w:r>
    </w:p>
    <w:p>
      <w:pPr>
        <w:pStyle w:val="ClauseLabel"/>
      </w:pPr>
      <w:r>
        <w:t>BE-22. Commercial Energy Security for Copper Offtake</w:t>
      </w:r>
    </w:p>
    <w:p>
      <w:pPr>
        <w:pStyle w:val="Normal"/>
      </w:pPr>
      <w:r>
        <w:t>Use long-term market-linked energy contracts paired with market-linked mineral offtake; no government-mandated below-market gas.</w:t>
      </w:r>
    </w:p>
    <w:p>
      <w:pPr>
        <w:pStyle w:val="ClauseLabel"/>
      </w:pPr>
      <w:r>
        <w:t>BE-23. Canadian Hydropower for U.S. REE Processing</w:t>
      </w:r>
    </w:p>
    <w:p>
      <w:pPr>
        <w:pStyle w:val="Normal"/>
      </w:pPr>
      <w:r>
        <w:t>Canada exports hydropower to U.S. REE processing facilities at preferential rates paired with U.S. REE processors using Canadian-separated ores as 30% of feedstock.</w:t>
      </w:r>
    </w:p>
    <w:p>
      <w:pPr>
        <w:pStyle w:val="ClauseLabel"/>
      </w:pPr>
      <w:r>
        <w:t>BE-24. Permian Basin Gas for Mexican Silver</w:t>
      </w:r>
    </w:p>
    <w:p>
      <w:pPr>
        <w:pStyle w:val="Normal"/>
      </w:pPr>
      <w:r>
        <w:t>U.S. guarantees 10-year natural gas supply from Permian Basin to Mexican industrial users paired with Mexico supplying 2,000 tonnes/year of silver to U.S. electronics manufacturers.</w:t>
      </w:r>
    </w:p>
    <w:p>
      <w:pPr>
        <w:pStyle w:val="ClauseLabel"/>
      </w:pPr>
      <w:r>
        <w:t>BE-25. Canadian Clean Energy Credits for Mexican Zinc</w:t>
      </w:r>
    </w:p>
    <w:p>
      <w:pPr>
        <w:pStyle w:val="Normal"/>
      </w:pPr>
      <w:r>
        <w:t>Canada sells clean energy credits to Mexican zinc smelters (helping them meet ESG standards) paired with Mexico supplying 300,000 tonnes/year of zinc to Canadian galvanizers.</w:t>
      </w:r>
    </w:p>
    <w:p>
      <w:pPr>
        <w:pStyle w:val="ClauseLabel"/>
      </w:pPr>
      <w:r>
        <w:t>BE-26. U.S. LNG Export License for Canadian Critical Minerals</w:t>
      </w:r>
    </w:p>
    <w:p>
      <w:pPr>
        <w:pStyle w:val="Normal"/>
      </w:pPr>
      <w:r>
        <w:t>U.S. fast-tracks LNG export licenses to Canada paired with Canada fast-tracking permitting for U.S. mining companies in Canadian critical mineral projects.</w:t>
      </w:r>
    </w:p>
    <w:p>
      <w:pPr>
        <w:pStyle w:val="ClauseLabel"/>
      </w:pPr>
      <w:r>
        <w:t>BE-27. Canadian Nuclear Technology for Mexican Uranium</w:t>
      </w:r>
    </w:p>
    <w:p>
      <w:pPr>
        <w:pStyle w:val="Normal"/>
      </w:pPr>
      <w:r>
        <w:t>Canada provides CANDU reactor technology and expertise to Mexico's nuclear program paired with Mexico developing its uranium deposits with Canadian mining companies.</w:t>
      </w:r>
    </w:p>
    <w:p>
      <w:pPr>
        <w:pStyle w:val="ClauseLabel"/>
      </w:pPr>
      <w:r>
        <w:t>BE-28. U.S. Battery Storage for Canadian Grid Stability</w:t>
      </w:r>
    </w:p>
    <w:p>
      <w:pPr>
        <w:pStyle w:val="Normal"/>
      </w:pPr>
      <w:r>
        <w:t>U.S. supplies grid-scale battery storage to Canadian renewable projects paired with Canada supplying 30,000 tonnes/year of nickel to U.S. battery manufacturers.</w:t>
      </w:r>
    </w:p>
    <w:p>
      <w:pPr>
        <w:pStyle w:val="ClauseLabel"/>
      </w:pPr>
      <w:r>
        <w:t>BE-29. Geothermal Integration with State-Led Mexican Lithium</w:t>
      </w:r>
    </w:p>
    <w:p>
      <w:pPr>
        <w:pStyle w:val="Normal"/>
      </w:pPr>
      <w:r>
        <w:t>Use Mexican geothermal resources to support lawful LitioMx-led lithium development and processing with reciprocal technology cooperation.</w:t>
      </w:r>
    </w:p>
    <w:p>
      <w:pPr>
        <w:pStyle w:val="ClauseLabel"/>
      </w:pPr>
      <w:r>
        <w:t>BE-30. Canadian Hydrogen for Mexican Smelters</w:t>
      </w:r>
    </w:p>
    <w:p>
      <w:pPr>
        <w:pStyle w:val="Normal"/>
      </w:pPr>
      <w:r>
        <w:t>Canada supplies green hydrogen to Mexican copper and zinc smelters (decarbonizing their operations) paired with Mexico supplying 10% of its copper production to Canadian manufacturers at fixed prices.</w:t>
      </w:r>
    </w:p>
    <w:p>
      <w:pPr>
        <w:pStyle w:val="ClauseLabel"/>
      </w:pPr>
      <w:r>
        <w:t>BE-31. Reciprocal Emergency Energy-Fertilizer Continuity</w:t>
      </w:r>
    </w:p>
    <w:p>
      <w:pPr>
        <w:pStyle w:val="Normal"/>
      </w:pPr>
      <w:r>
        <w:t>Pair emergency energy continuity cooperation with Canadian potash continuity without treating the U.S. Strategic Petroleum Reserve as a general bilateral fuel bank.</w:t>
      </w:r>
    </w:p>
    <w:p>
      <w:pPr>
        <w:pStyle w:val="ClauseLabel"/>
      </w:pPr>
      <w:r>
        <w:t>BE-32. Canadian Small Modular Reactors for U.S. Processing</w:t>
      </w:r>
    </w:p>
    <w:p>
      <w:pPr>
        <w:pStyle w:val="Normal"/>
      </w:pPr>
      <w:r>
        <w:t>Canada deploys SMR technology at U.S. mineral processing facilities paired with U.S. supplying 25% of its REE ores to Canadian separation plants.</w:t>
      </w:r>
    </w:p>
    <w:p>
      <w:pPr>
        <w:pStyle w:val="ClauseLabel"/>
      </w:pPr>
      <w:r>
        <w:t>BE-33. U.S. Solar Panels for Mexican Barite</w:t>
      </w:r>
    </w:p>
    <w:p>
      <w:pPr>
        <w:pStyle w:val="Normal"/>
      </w:pPr>
      <w:r>
        <w:t>U.S. supplies solar panels (at 20% discount) to Mexican mining operations paired with Mexico increasing barite exports to U.S. by 50%.</w:t>
      </w:r>
    </w:p>
    <w:p>
      <w:pPr>
        <w:pStyle w:val="ClauseLabel"/>
      </w:pPr>
      <w:r>
        <w:t>BE-34. Cross-Border Clean Power for Critical-Mineral Manufacturing</w:t>
      </w:r>
    </w:p>
    <w:p>
      <w:pPr>
        <w:pStyle w:val="Normal"/>
      </w:pPr>
      <w:r>
        <w:t>Pair grid investment with reciprocal mineral-processing and manufacturing investment rather than hardware-by-hardware mineral-content quotas.</w:t>
      </w:r>
    </w:p>
    <w:p>
      <w:pPr>
        <w:pStyle w:val="ClauseLabel"/>
      </w:pPr>
      <w:r>
        <w:t>BE-35. Tri-National Energy-Minerals Corridor</w:t>
      </w:r>
    </w:p>
    <w:p>
      <w:pPr>
        <w:pStyle w:val="Normal"/>
      </w:pPr>
      <w:r>
        <w:t>Jointly build energy infrastructure (pipelines, transmission lines) linking Canadian hydro, U.S. gas, and Mexican solar to mineral processing facilities across all three countries, with each country contributing energy capacity proportional to its mineral offtake.</w:t>
      </w:r>
    </w:p>
    <w:p>
      <w:pPr>
        <w:pStyle w:val="ClauseLabel"/>
      </w:pPr>
      <w:r>
        <w:t>BE-36. Skills Mobility for State-Led Mexican Lithium Projects</w:t>
      </w:r>
    </w:p>
    <w:p>
      <w:pPr>
        <w:pStyle w:val="Normal"/>
      </w:pPr>
      <w:r>
        <w:t>Expand lawful professional mobility supporting LitioMx/state-led projects without private lithium permits.</w:t>
      </w:r>
    </w:p>
    <w:p>
      <w:pPr>
        <w:pStyle w:val="ClauseLabel"/>
      </w:pPr>
      <w:r>
        <w:t>BE-37. U.S. Geologists for Canadian REEs</w:t>
      </w:r>
    </w:p>
    <w:p>
      <w:pPr>
        <w:pStyle w:val="Normal"/>
      </w:pPr>
      <w:r>
        <w:t>U.S. geologists get fast-tracked work permits in Canada paired with Canada sharing 50% of its REE exploration data with U.S. companies.</w:t>
      </w:r>
    </w:p>
    <w:p>
      <w:pPr>
        <w:pStyle w:val="ClauseLabel"/>
      </w:pPr>
      <w:r>
        <w:t>BE-38. Mexican Welders for U.S. Processing Plants</w:t>
      </w:r>
    </w:p>
    <w:p>
      <w:pPr>
        <w:pStyle w:val="Normal"/>
      </w:pPr>
      <w:r>
        <w:t>Mexico gets 5,000 additional TN visas for skilled welders and fabricators to U.S. processing plants paired with U.S. investing $500M in Mexican mineral processing training centers.</w:t>
      </w:r>
    </w:p>
    <w:p>
      <w:pPr>
        <w:pStyle w:val="ClauseLabel"/>
      </w:pPr>
      <w:r>
        <w:t>BE-39. Canadian Process Engineers for U.S. Smelters</w:t>
      </w:r>
    </w:p>
    <w:p>
      <w:pPr>
        <w:pStyle w:val="Normal"/>
      </w:pPr>
      <w:r>
        <w:t>Canada gets TN visa expansion for metallurgists and process engineers to the U.S. paired with U.S. transferring smelting technology to 3 Canadian facilities.</w:t>
      </w:r>
    </w:p>
    <w:p>
      <w:pPr>
        <w:pStyle w:val="ClauseLabel"/>
      </w:pPr>
      <w:r>
        <w:t>BE-40. Mexican Geologists for Canadian Exploration</w:t>
      </w:r>
    </w:p>
    <w:p>
      <w:pPr>
        <w:pStyle w:val="Normal"/>
      </w:pPr>
      <w:r>
        <w:t>Mexico gets TN visa access for geologists to Canada paired with Canada training 200 Mexican geologists in advanced exploration techniques.</w:t>
      </w:r>
    </w:p>
    <w:p>
      <w:pPr>
        <w:pStyle w:val="ClauseLabel"/>
      </w:pPr>
      <w:r>
        <w:t>BE-41. U.S. Electricians for Mexican Refineries</w:t>
      </w:r>
    </w:p>
    <w:p>
      <w:pPr>
        <w:pStyle w:val="Normal"/>
      </w:pPr>
      <w:r>
        <w:t>U.S. electricians get fast-tracked work permits in Mexico paired with Mexico guaranteeing 100,000 tonnes/year of refined copper to U.S. manufacturers.</w:t>
      </w:r>
    </w:p>
    <w:p>
      <w:pPr>
        <w:pStyle w:val="ClauseLabel"/>
      </w:pPr>
      <w:r>
        <w:t>BE-42. Canadian Project Managers for U.S. Mine Expansions</w:t>
      </w:r>
    </w:p>
    <w:p>
      <w:pPr>
        <w:pStyle w:val="Normal"/>
      </w:pPr>
      <w:r>
        <w:t>Canadian project managers get expedited U.S. work permits paired with U.S. mining companies investing $1B in Canadian critical mineral projects.</w:t>
      </w:r>
    </w:p>
    <w:p>
      <w:pPr>
        <w:pStyle w:val="ClauseLabel"/>
      </w:pPr>
      <w:r>
        <w:t>BE-43. Mexican Technicians for Canadian Battery Plants</w:t>
      </w:r>
    </w:p>
    <w:p>
      <w:pPr>
        <w:pStyle w:val="Normal"/>
      </w:pPr>
      <w:r>
        <w:t>Mexican battery technicians get TN visas to Canada paired with Canada building 3 battery recycling facilities in Mexico.</w:t>
      </w:r>
    </w:p>
    <w:p>
      <w:pPr>
        <w:pStyle w:val="ClauseLabel"/>
      </w:pPr>
      <w:r>
        <w:t>BE-44. Reciprocal Mine-Safety Inspector Exchange</w:t>
      </w:r>
    </w:p>
    <w:p>
      <w:pPr>
        <w:pStyle w:val="Normal"/>
      </w:pPr>
      <w:r>
        <w:t>Support inspector exchanges and equivalent high safety outcomes while preserving Mexican regulatory sovereignty.</w:t>
      </w:r>
    </w:p>
    <w:p>
      <w:pPr>
        <w:pStyle w:val="ClauseLabel"/>
      </w:pPr>
      <w:r>
        <w:t>BE-45. Canadian Researchers for U.S. National Labs</w:t>
      </w:r>
    </w:p>
    <w:p>
      <w:pPr>
        <w:pStyle w:val="Normal"/>
      </w:pPr>
      <w:r>
        <w:t>Canadian mineral researchers get fast-tracked access to U.S. national labs paired with U.S. researchers getting access to Canadian mining research facilities.</w:t>
      </w:r>
    </w:p>
    <w:p>
      <w:pPr>
        <w:pStyle w:val="ClauseLabel"/>
      </w:pPr>
      <w:r>
        <w:t>BE-46. Mexican Construction Workers for U.S. Refineries</w:t>
      </w:r>
    </w:p>
    <w:p>
      <w:pPr>
        <w:pStyle w:val="Normal"/>
      </w:pPr>
      <w:r>
        <w:t>Mexico gets 10,000 additional construction worker visas to the U.S. paired with U.S. building 5 mineral processing plants in Mexico.</w:t>
      </w:r>
    </w:p>
    <w:p>
      <w:pPr>
        <w:pStyle w:val="ClauseLabel"/>
      </w:pPr>
      <w:r>
        <w:t>BE-47. Tri-National Mining Workforce Exchange</w:t>
      </w:r>
    </w:p>
    <w:p>
      <w:pPr>
        <w:pStyle w:val="Normal"/>
      </w:pPr>
      <w:r>
        <w:t>Annual exchange program: 500 workers from each country spend 2 years in another country's mining/processing operations, with each country's mineral production counting toward all three countries' critical mineral goals.</w:t>
      </w:r>
    </w:p>
    <w:p>
      <w:pPr>
        <w:pStyle w:val="ClauseLabel"/>
      </w:pPr>
      <w:r>
        <w:t>BE-48. Voluntary Indigenous Professional Mobility and Procurement</w:t>
      </w:r>
    </w:p>
    <w:p>
      <w:pPr>
        <w:pStyle w:val="Normal"/>
      </w:pPr>
      <w:r>
        <w:t>Expand voluntary mobility, Indigenous-owned-business procurement, training and partnership opportunities; people are not trade concessions.</w:t>
      </w:r>
    </w:p>
    <w:p>
      <w:pPr>
        <w:pStyle w:val="ClauseLabel"/>
      </w:pPr>
      <w:r>
        <w:t>BE-49. Women-in-Mining Opportunity Initiative</w:t>
      </w:r>
    </w:p>
    <w:p>
      <w:pPr>
        <w:pStyle w:val="Normal"/>
      </w:pPr>
      <w:r>
        <w:t>Use scholarships, apprenticeships, recruitment and barrier removal rather than treaty-imposed employment quotas.</w:t>
      </w:r>
    </w:p>
    <w:p>
      <w:pPr>
        <w:pStyle w:val="ClauseLabel"/>
      </w:pPr>
      <w:r>
        <w:t>BE-50. Tri-National Processing Technician Certification</w:t>
      </w:r>
    </w:p>
    <w:p>
      <w:pPr>
        <w:pStyle w:val="Normal"/>
      </w:pPr>
      <w:r>
        <w:t>Harmonized certification for processing technicians accepted in all three countries, with each country committing to train 10,000 technicians paired with mineral offtake guarantees.</w:t>
      </w:r>
    </w:p>
    <w:p>
      <w:pPr>
        <w:pStyle w:val="ClauseLabel"/>
      </w:pPr>
      <w:r>
        <w:t>BE-51. Agricultural Security for State-Led Mexican Lithium Partnership</w:t>
      </w:r>
    </w:p>
    <w:p>
      <w:pPr>
        <w:pStyle w:val="Normal"/>
      </w:pPr>
      <w:r>
        <w:t>Pair agricultural supply-security cooperation with lawful LitioMx-led lithium/downstream partnership.</w:t>
      </w:r>
    </w:p>
    <w:p>
      <w:pPr>
        <w:pStyle w:val="ClauseLabel"/>
      </w:pPr>
      <w:r>
        <w:t>BE-52. U.S. Soybeans for Canadian Potash</w:t>
      </w:r>
    </w:p>
    <w:p>
      <w:pPr>
        <w:pStyle w:val="Normal"/>
      </w:pPr>
      <w:r>
        <w:t>U.S. guarantees soybean exports to Canada at preferential pricing paired with Canada supplying 2 million tonnes/year of potash to U.S. farmers at 5% below market.</w:t>
      </w:r>
    </w:p>
    <w:p>
      <w:pPr>
        <w:pStyle w:val="ClauseLabel"/>
      </w:pPr>
      <w:r>
        <w:t>BE-53. U.S. Pork for Mexican Copper</w:t>
      </w:r>
    </w:p>
    <w:p>
      <w:pPr>
        <w:pStyle w:val="Normal"/>
      </w:pPr>
      <w:r>
        <w:t>U.S. guarantees $2B/year in pork exports to Mexico paired with Mexico supplying 150,000 tonnes/year of copper cathode to U.S. wire manufacturers.</w:t>
      </w:r>
    </w:p>
    <w:p>
      <w:pPr>
        <w:pStyle w:val="ClauseLabel"/>
      </w:pPr>
      <w:r>
        <w:t>BE-54. U.S. Dairy for Canadian Nickel</w:t>
      </w:r>
    </w:p>
    <w:p>
      <w:pPr>
        <w:pStyle w:val="Normal"/>
      </w:pPr>
      <w:r>
        <w:t>U.S. expands dairy access to Canadian market paired with Canada supplying 40,000 tonnes/year of nickel to U.S. battery plants.</w:t>
      </w:r>
    </w:p>
    <w:p>
      <w:pPr>
        <w:pStyle w:val="ClauseLabel"/>
      </w:pPr>
      <w:r>
        <w:t>BE-55. U.S. Wheat for Mexican Silver</w:t>
      </w:r>
    </w:p>
    <w:p>
      <w:pPr>
        <w:pStyle w:val="Normal"/>
      </w:pPr>
      <w:r>
        <w:t>U.S. guarantees wheat exports to Mexico at fixed prices for 10 years paired with Mexico supplying 1,500 tonnes/year of silver to U.S. solar manufacturers.</w:t>
      </w:r>
    </w:p>
    <w:p>
      <w:pPr>
        <w:pStyle w:val="ClauseLabel"/>
      </w:pPr>
      <w:r>
        <w:t>BE-56. Canadian Canola for U.S. REEs</w:t>
      </w:r>
    </w:p>
    <w:p>
      <w:pPr>
        <w:pStyle w:val="Normal"/>
      </w:pPr>
      <w:r>
        <w:t>Canada guarantees canola oil exports to U.S. biofuel producers paired with U.S. supplying 2,000 tonnes/year of separated REEs to Canadian magnet manufacturers.</w:t>
      </w:r>
    </w:p>
    <w:p>
      <w:pPr>
        <w:pStyle w:val="ClauseLabel"/>
      </w:pPr>
      <w:r>
        <w:t>BE-57. U.S. Poultry for Mexican Zinc</w:t>
      </w:r>
    </w:p>
    <w:p>
      <w:pPr>
        <w:pStyle w:val="Normal"/>
      </w:pPr>
      <w:r>
        <w:t>U.S. guarantees poultry exports to Mexico paired with Mexico supplying 250,000 tonnes/year of zinc to U.S. galvanizing plants.</w:t>
      </w:r>
    </w:p>
    <w:p>
      <w:pPr>
        <w:pStyle w:val="ClauseLabel"/>
      </w:pPr>
      <w:r>
        <w:t>BE-58. U.S. Beef for Canadian Uranium</w:t>
      </w:r>
    </w:p>
    <w:p>
      <w:pPr>
        <w:pStyle w:val="Normal"/>
      </w:pPr>
      <w:r>
        <w:t>U.S. expands beef access to Canadian market paired with Canada guaranteeing 15 million pounds/year of U3O8 to U.S. nuclear utilities.</w:t>
      </w:r>
    </w:p>
    <w:p>
      <w:pPr>
        <w:pStyle w:val="ClauseLabel"/>
      </w:pPr>
      <w:r>
        <w:t>BE-59. Mexican Avocados for U.S. Molybdenum</w:t>
      </w:r>
    </w:p>
    <w:p>
      <w:pPr>
        <w:pStyle w:val="Normal"/>
      </w:pPr>
      <w:r>
        <w:t>Mexico guarantees avocado exports to U.S. at stable prices paired with U.S. supplying 10,000 tonnes/year of molybdenum to Mexican steel mills.</w:t>
      </w:r>
    </w:p>
    <w:p>
      <w:pPr>
        <w:pStyle w:val="ClauseLabel"/>
      </w:pPr>
      <w:r>
        <w:t>BE-60. Canadian Pork for U.S. Graphite</w:t>
      </w:r>
    </w:p>
    <w:p>
      <w:pPr>
        <w:pStyle w:val="Normal"/>
      </w:pPr>
      <w:r>
        <w:t>Canada guarantees pork exports to U.S. paired with U.S. supplying 30,000 tonnes/year of natural graphite to Canadian anode plants.</w:t>
      </w:r>
    </w:p>
    <w:p>
      <w:pPr>
        <w:pStyle w:val="ClauseLabel"/>
      </w:pPr>
      <w:r>
        <w:t>BE-61. U.S. Cotton for Mexican Fluorspar</w:t>
      </w:r>
    </w:p>
    <w:p>
      <w:pPr>
        <w:pStyle w:val="Normal"/>
      </w:pPr>
      <w:r>
        <w:t>U.S. guarantees cotton exports to Mexico paired with Mexico supplying 300,000 tonnes/year of fluorspar to U.S. chemical plants.</w:t>
      </w:r>
    </w:p>
    <w:p>
      <w:pPr>
        <w:pStyle w:val="ClauseLabel"/>
      </w:pPr>
      <w:r>
        <w:t>BE-62. Canadian Wheat for U.S. Cobalt</w:t>
      </w:r>
    </w:p>
    <w:p>
      <w:pPr>
        <w:pStyle w:val="Normal"/>
      </w:pPr>
      <w:r>
        <w:t>Canada guarantees wheat exports to U.S. paired with U.S. supplying 5,000 tonnes/year of refined cobalt to Canadian battery manufacturers.</w:t>
      </w:r>
    </w:p>
    <w:p>
      <w:pPr>
        <w:pStyle w:val="ClauseLabel"/>
      </w:pPr>
      <w:r>
        <w:t>BE-63. Mexican Tomatoes for Canadian Magnesium</w:t>
      </w:r>
    </w:p>
    <w:p>
      <w:pPr>
        <w:pStyle w:val="Normal"/>
      </w:pPr>
      <w:r>
        <w:t>Mexico guarantees tomato exports to Canada paired with Canada supplying 50,000 tonnes/year of magnesium to Mexican automotive parts manufacturers.</w:t>
      </w:r>
    </w:p>
    <w:p>
      <w:pPr>
        <w:pStyle w:val="ClauseLabel"/>
      </w:pPr>
      <w:r>
        <w:t>BE-64. U.S. Rice for Mexican Barite</w:t>
      </w:r>
    </w:p>
    <w:p>
      <w:pPr>
        <w:pStyle w:val="Normal"/>
      </w:pPr>
      <w:r>
        <w:t>U.S. guarantees rice exports to Mexico paired with Mexico maintaining 100% barite exports to U.S. oil and gas industry at fixed prices.</w:t>
      </w:r>
    </w:p>
    <w:p>
      <w:pPr>
        <w:pStyle w:val="ClauseLabel"/>
      </w:pPr>
      <w:r>
        <w:t>BE-65. Ag-Mineral Reciprocal Supply Security Facility</w:t>
      </w:r>
    </w:p>
    <w:p>
      <w:pPr>
        <w:pStyle w:val="Normal"/>
      </w:pPr>
      <w:r>
        <w:t>Enable voluntary paired long-term agricultural and mineral contracts based on complementary surpluses and strategic deficits; no mechanical 10% formula.</w:t>
      </w:r>
    </w:p>
    <w:p>
      <w:pPr>
        <w:pStyle w:val="ClauseLabel"/>
      </w:pPr>
      <w:r>
        <w:t>BE-66. U.S. Port Investment for Mexican Copper</w:t>
      </w:r>
    </w:p>
    <w:p>
      <w:pPr>
        <w:pStyle w:val="Normal"/>
      </w:pPr>
      <w:r>
        <w:t>U.S. invests $2B in Mexican port infrastructure (Manzanillo, Lázaro Cárdenas) paired with Mexico guaranteeing 300,000 tonnes/year of copper exports through those ports.</w:t>
      </w:r>
    </w:p>
    <w:p>
      <w:pPr>
        <w:pStyle w:val="ClauseLabel"/>
      </w:pPr>
      <w:r>
        <w:t>BE-67. Canadian Rail Investment for U.S. REEs</w:t>
      </w:r>
    </w:p>
    <w:p>
      <w:pPr>
        <w:pStyle w:val="Normal"/>
      </w:pPr>
      <w:r>
        <w:t>Canada invests $1.5B in rail links connecting U.S. REE mines to Canadian processing paired with U.S. supplying 3,000 tonnes/year of REE concentrate to Canadian separators.</w:t>
      </w:r>
    </w:p>
    <w:p>
      <w:pPr>
        <w:pStyle w:val="ClauseLabel"/>
      </w:pPr>
      <w:r>
        <w:t>BE-68. U.S. Highway Investment for Mexican Silver</w:t>
      </w:r>
    </w:p>
    <w:p>
      <w:pPr>
        <w:pStyle w:val="Normal"/>
      </w:pPr>
      <w:r>
        <w:t>U.S. invests $1B in Mexican highway infrastructure connecting silver mines to U.S. border paired with Mexico supplying 2,500 tonnes/year of silver at fixed prices.</w:t>
      </w:r>
    </w:p>
    <w:p>
      <w:pPr>
        <w:pStyle w:val="ClauseLabel"/>
      </w:pPr>
      <w:r>
        <w:t>BE-69. Canadian Port Investment for Mexican Zinc</w:t>
      </w:r>
    </w:p>
    <w:p>
      <w:pPr>
        <w:pStyle w:val="Normal"/>
      </w:pPr>
      <w:r>
        <w:t>Canada invests $500M in Mexican port facilities paired with Mexico supplying 200,000 tonnes/year of zinc concentrate to Canadian smelters.</w:t>
      </w:r>
    </w:p>
    <w:p>
      <w:pPr>
        <w:pStyle w:val="ClauseLabel"/>
      </w:pPr>
      <w:r>
        <w:t>BE-70. U.S. Power Grid Investment for Canadian Nickel</w:t>
      </w:r>
    </w:p>
    <w:p>
      <w:pPr>
        <w:pStyle w:val="Normal"/>
      </w:pPr>
      <w:r>
        <w:t>U.S. invests $2B in cross-border power transmission to Canadian mines paired with Canada supplying 50,000 tonnes/year of nickel to U.S. battery plants.</w:t>
      </w:r>
    </w:p>
    <w:p>
      <w:pPr>
        <w:pStyle w:val="ClauseLabel"/>
      </w:pPr>
      <w:r>
        <w:t>BE-71. Tri-National Processing Corridor Investment</w:t>
      </w:r>
    </w:p>
    <w:p>
      <w:pPr>
        <w:pStyle w:val="Normal"/>
      </w:pPr>
      <w:r>
        <w:t>Joint $10B investment in a processing corridor: Canada (Ni/Co processing), U.S. (REE separation), Mexico (Li/Cu refining), with each country's investment proportional to its mineral offtake.</w:t>
      </w:r>
    </w:p>
    <w:p>
      <w:pPr>
        <w:pStyle w:val="ClauseLabel"/>
      </w:pPr>
      <w:r>
        <w:t>BE-72. Water-Recycling Infrastructure for State-Led Mexican Lithium</w:t>
      </w:r>
    </w:p>
    <w:p>
      <w:pPr>
        <w:pStyle w:val="Normal"/>
      </w:pPr>
      <w:r>
        <w:t>Invest in water treatment, recycling and community resilience supporting lawful state-led lithium development; no private entitlement to production.</w:t>
      </w:r>
    </w:p>
    <w:p>
      <w:pPr>
        <w:pStyle w:val="ClauseLabel"/>
      </w:pPr>
      <w:r>
        <w:t>BE-73. Canadian Telecom Investment for U.S. Graphite</w:t>
      </w:r>
    </w:p>
    <w:p>
      <w:pPr>
        <w:pStyle w:val="Normal"/>
      </w:pPr>
      <w:r>
        <w:t>Canada invests $300M in broadband to remote U.S. mining regions paired with U.S. supplying 20,000 tonnes/year of graphite to Canadian anode plants.</w:t>
      </w:r>
    </w:p>
    <w:p>
      <w:pPr>
        <w:pStyle w:val="ClauseLabel"/>
      </w:pPr>
      <w:r>
        <w:t>BE-74. U.S. Industrial Park Investment in Mexico</w:t>
      </w:r>
    </w:p>
    <w:p>
      <w:pPr>
        <w:pStyle w:val="Normal"/>
      </w:pPr>
      <w:r>
        <w:t>U.S. invests $1B in Mexican industrial parks hosting mineral processing paired with Mexico reserving 50% of park output for U.S. offtake.</w:t>
      </w:r>
    </w:p>
    <w:p>
      <w:pPr>
        <w:pStyle w:val="ClauseLabel"/>
      </w:pPr>
      <w:r>
        <w:t>BE-75. Border Infrastructure for Reciprocal Mineral Investment Facilitation</w:t>
      </w:r>
    </w:p>
    <w:p>
      <w:pPr>
        <w:pStyle w:val="Normal"/>
      </w:pPr>
      <w:r>
        <w:t>Pair border improvements with transparent mineral-investment facilitation rather than preferential exploration rights.</w:t>
      </w:r>
    </w:p>
    <w:p>
      <w:pPr>
        <w:pStyle w:val="ClauseLabel"/>
      </w:pPr>
      <w:r>
        <w:t>BE-76. U.S. Railway Investment for Canadian Potash</w:t>
      </w:r>
    </w:p>
    <w:p>
      <w:pPr>
        <w:pStyle w:val="Normal"/>
      </w:pPr>
      <w:r>
        <w:t>U.S. invests $1B in rail infrastructure from Saskatchewan to U.S. Gulf paired with Canada guaranteeing 3 million tonnes/year of potash to U.S. farmers.</w:t>
      </w:r>
    </w:p>
    <w:p>
      <w:pPr>
        <w:pStyle w:val="ClauseLabel"/>
      </w:pPr>
      <w:r>
        <w:t>BE-77. Tri-National Tailings Infrastructure Fund</w:t>
      </w:r>
    </w:p>
    <w:p>
      <w:pPr>
        <w:pStyle w:val="Normal"/>
      </w:pPr>
      <w:r>
        <w:t>Joint $2B fund to build tailings reprocessing facilities across all three, with each country's investment returning mineral offtake proportional to investment.</w:t>
      </w:r>
    </w:p>
    <w:p>
      <w:pPr>
        <w:pStyle w:val="ClauseLabel"/>
      </w:pPr>
      <w:r>
        <w:t>BE-78. U.S. Border Infrastructure for Mexican Auto Parts</w:t>
      </w:r>
    </w:p>
    <w:p>
      <w:pPr>
        <w:pStyle w:val="Normal"/>
      </w:pPr>
      <w:r>
        <w:t>U.S. invests $500M in border crossing infrastructure paired with Mexico supplying 100,000 tonnes/year of aluminum (from Mexican smelters) to U.S. auto plants.</w:t>
      </w:r>
    </w:p>
    <w:p>
      <w:pPr>
        <w:pStyle w:val="ClauseLabel"/>
      </w:pPr>
      <w:r>
        <w:t>BE-79. Canadian Energy Infrastructure for U.S. Processing</w:t>
      </w:r>
    </w:p>
    <w:p>
      <w:pPr>
        <w:pStyle w:val="Normal"/>
      </w:pPr>
      <w:r>
        <w:t>Canada invests $1B in energy infrastructure (hydro, hydrogen) to power U.S. processing plants paired with U.S. processing 20% of Canadian ores at those plants.</w:t>
      </w:r>
    </w:p>
    <w:p>
      <w:pPr>
        <w:pStyle w:val="ClauseLabel"/>
      </w:pPr>
      <w:r>
        <w:t>BE-80. Mexican Logistics Hub for Tri-National Minerals</w:t>
      </w:r>
    </w:p>
    <w:p>
      <w:pPr>
        <w:pStyle w:val="Normal"/>
      </w:pPr>
      <w:r>
        <w:t>Mexico builds a $500M logistics hub near the U.S. border, with U.S. and Canadian investment, paired with both countries using the hub for 30% of their cross-border mineral shipments.</w:t>
      </w:r>
    </w:p>
    <w:p>
      <w:pPr>
        <w:pStyle w:val="ClauseLabel"/>
      </w:pPr>
      <w:r>
        <w:t>BE-81. Licensed Processing Technology for Mexican Lithium Partnership</w:t>
      </w:r>
    </w:p>
    <w:p>
      <w:pPr>
        <w:pStyle w:val="Normal"/>
      </w:pPr>
      <w:r>
        <w:t>Pair licensed processing technology and financing with lawful Mexican downstream participation/offtake under state lithium sovereignty.</w:t>
      </w:r>
    </w:p>
    <w:p>
      <w:pPr>
        <w:pStyle w:val="ClauseLabel"/>
      </w:pPr>
      <w:r>
        <w:t>BE-82. Canadian DLE Tech for U.S. Lithium Brines</w:t>
      </w:r>
    </w:p>
    <w:p>
      <w:pPr>
        <w:pStyle w:val="Normal"/>
      </w:pPr>
      <w:r>
        <w:t>Canada transfers Direct Lithium Extraction technology to U.S. companies paired with U.S. supplying 20% of its lithium brine production to Canadian processors.</w:t>
      </w:r>
    </w:p>
    <w:p>
      <w:pPr>
        <w:pStyle w:val="ClauseLabel"/>
      </w:pPr>
      <w:r>
        <w:t>BE-83. Mexican Alkaline Leaching for U.S. Arsenic Removal</w:t>
      </w:r>
    </w:p>
    <w:p>
      <w:pPr>
        <w:pStyle w:val="Normal"/>
      </w:pPr>
      <w:r>
        <w:t>Mexico transfers its arsenic/antimony removal technology to U.S. smelters paired with U.S. supplying 50,000 tonnes/year of copper concentrate to Mexican smelters.</w:t>
      </w:r>
    </w:p>
    <w:p>
      <w:pPr>
        <w:pStyle w:val="ClauseLabel"/>
      </w:pPr>
      <w:r>
        <w:t>BE-84. U.S. HPSA Tech for Canadian Tailings</w:t>
      </w:r>
    </w:p>
    <w:p>
      <w:pPr>
        <w:pStyle w:val="Normal"/>
      </w:pPr>
      <w:r>
        <w:t>U.S. transfers High-Pressure Slurry Ablation (HPSA) technology to Canadian tailings reprocessors paired with Canada supplying 10,000 tonnes/year of recovered nickel to U.S. manufacturers.</w:t>
      </w:r>
    </w:p>
    <w:p>
      <w:pPr>
        <w:pStyle w:val="ClauseLabel"/>
      </w:pPr>
      <w:r>
        <w:t>BE-85. Canadian Bioleaching Tech for Mexican Tailings</w:t>
      </w:r>
    </w:p>
    <w:p>
      <w:pPr>
        <w:pStyle w:val="Normal"/>
      </w:pPr>
      <w:r>
        <w:t>Canada transfers CanmetMINING bioleaching technology to Mexican tailings operators paired with Mexico granting Canadian companies rights to reprocess 5 major tailings sites.</w:t>
      </w:r>
    </w:p>
    <w:p>
      <w:pPr>
        <w:pStyle w:val="ClauseLabel"/>
      </w:pPr>
      <w:r>
        <w:t>BE-86. U.S. Flotation Tech for Canadian PGM Tailings</w:t>
      </w:r>
    </w:p>
    <w:p>
      <w:pPr>
        <w:pStyle w:val="Normal"/>
      </w:pPr>
      <w:r>
        <w:t>U.S. transfers advanced flotation technology to Canadian PGM tailings operators paired with Canada supplying 5 tonnes/year of platinum group metals to U.S. catalytic converter manufacturers.</w:t>
      </w:r>
    </w:p>
    <w:p>
      <w:pPr>
        <w:pStyle w:val="ClauseLabel"/>
      </w:pPr>
      <w:r>
        <w:t>BE-87. Mexican Vitrification Tech for U.S. Hazardous Tailings</w:t>
      </w:r>
    </w:p>
    <w:p>
      <w:pPr>
        <w:pStyle w:val="Normal"/>
      </w:pPr>
      <w:r>
        <w:t>Mexico transfers vitrification technology to U.S. hazardous tailings sites paired with U.S. investing $200M in Mexican tailings research centers.</w:t>
      </w:r>
    </w:p>
    <w:p>
      <w:pPr>
        <w:pStyle w:val="ClauseLabel"/>
      </w:pPr>
      <w:r>
        <w:t>BE-88. U.S. Quantum Sensing for Canadian Exploration</w:t>
      </w:r>
    </w:p>
    <w:p>
      <w:pPr>
        <w:pStyle w:val="Normal"/>
      </w:pPr>
      <w:r>
        <w:t>U.S. transfers quantum sensing technology for mineral exploration to Canada paired with Canada sharing 30% of new exploration data with U.S. companies.</w:t>
      </w:r>
    </w:p>
    <w:p>
      <w:pPr>
        <w:pStyle w:val="ClauseLabel"/>
      </w:pPr>
      <w:r>
        <w:t>BE-89. Canadian Ion Exchange Tech for U.S. Water Treatment</w:t>
      </w:r>
    </w:p>
    <w:p>
      <w:pPr>
        <w:pStyle w:val="Normal"/>
      </w:pPr>
      <w:r>
        <w:t>Canada transfers ion exchange platform technology to U.S. mining water treatment paired with U.S. supplying 15,000 tonnes/year of REEs to Canadian magnet plants.</w:t>
      </w:r>
    </w:p>
    <w:p>
      <w:pPr>
        <w:pStyle w:val="ClauseLabel"/>
      </w:pPr>
      <w:r>
        <w:t>BE-90. U.S. Machine Learning for Mexican Processing</w:t>
      </w:r>
    </w:p>
    <w:p>
      <w:pPr>
        <w:pStyle w:val="Normal"/>
      </w:pPr>
      <w:r>
        <w:t>U.S. transfers AI/ML optimization software to Mexican processing plants paired with Mexico supplying 100,000 tonnes/year of refined copper at fixed prices.</w:t>
      </w:r>
    </w:p>
    <w:p>
      <w:pPr>
        <w:pStyle w:val="ClauseLabel"/>
      </w:pPr>
      <w:r>
        <w:t>BE-91. Canadian Synthetic Biology for U.S. REE Recovery</w:t>
      </w:r>
    </w:p>
    <w:p>
      <w:pPr>
        <w:pStyle w:val="Normal"/>
      </w:pPr>
      <w:r>
        <w:t>Canada transfers synthetic biology mineral capture technology to U.S. REE recovery operations paired with U.S. supplying 2,000 tonnes/year of separated REEs to Canadian manufacturers.</w:t>
      </w:r>
    </w:p>
    <w:p>
      <w:pPr>
        <w:pStyle w:val="ClauseLabel"/>
      </w:pPr>
      <w:r>
        <w:t>BE-92. Mexican Gravity Separation for U.S. Fine Minerals</w:t>
      </w:r>
    </w:p>
    <w:p>
      <w:pPr>
        <w:pStyle w:val="Normal"/>
      </w:pPr>
      <w:r>
        <w:t>Mexico transfers centrifugal gravity separator technology to U.S. fine mineral recovery paired with U.S. investing $150M in Mexican equipment manufacturing.</w:t>
      </w:r>
    </w:p>
    <w:p>
      <w:pPr>
        <w:pStyle w:val="ClauseLabel"/>
      </w:pPr>
      <w:r>
        <w:t>BE-93. Reciprocal Processing-Equipment Market Access</w:t>
      </w:r>
    </w:p>
    <w:p>
      <w:pPr>
        <w:pStyle w:val="Normal"/>
      </w:pPr>
      <w:r>
        <w:t>Encourage trusted North American equipment and supplier participation without mandatory national-content quotas in every refinery.</w:t>
      </w:r>
    </w:p>
    <w:p>
      <w:pPr>
        <w:pStyle w:val="ClauseLabel"/>
      </w:pPr>
      <w:r>
        <w:t>BE-94. Technology Cooperation for State-Led Mexican Lithium Processing</w:t>
      </w:r>
    </w:p>
    <w:p>
      <w:pPr>
        <w:pStyle w:val="Normal"/>
      </w:pPr>
      <w:r>
        <w:t>Genericize proprietary technology and pair lawful licensing with market-linked downstream/offtake cooperation under Mexican law.</w:t>
      </w:r>
    </w:p>
    <w:p>
      <w:pPr>
        <w:pStyle w:val="ClauseLabel"/>
      </w:pPr>
      <w:r>
        <w:t>BE-95. Voluntary Mineral Technology Licensing Marketplace</w:t>
      </w:r>
    </w:p>
    <w:p>
      <w:pPr>
        <w:pStyle w:val="Normal"/>
      </w:pPr>
      <w:r>
        <w:t>Create incentives for voluntary patent pools, licensing and collaborative R&amp;D; no compulsory IP pooling or R&amp;D levy.</w:t>
      </w:r>
    </w:p>
    <w:p>
      <w:pPr>
        <w:pStyle w:val="ClauseLabel"/>
      </w:pPr>
      <w:r>
        <w:t>BE-96. Trusted Defense-Mineral Offtake with Allied Safe Harbours</w:t>
      </w:r>
    </w:p>
    <w:p>
      <w:pPr>
        <w:pStyle w:val="Normal"/>
      </w:pPr>
      <w:r>
        <w:t>Use preferential eligibility and long-term offtake for trusted supply chains without reserving 100% of Canadian REE production or excluding trusted allies.</w:t>
      </w:r>
    </w:p>
    <w:p>
      <w:pPr>
        <w:pStyle w:val="ClauseLabel"/>
      </w:pPr>
      <w:r>
        <w:t>BE-97. Trilateral Critical-Infrastructure Security for Mineral Continuity</w:t>
      </w:r>
    </w:p>
    <w:p>
      <w:pPr>
        <w:pStyle w:val="Normal"/>
      </w:pPr>
      <w:r>
        <w:t>Pair appropriate continental infrastructure/security cooperation with reciprocal mineral continuity without tying Mexican lithium to NORAD membership.</w:t>
      </w:r>
    </w:p>
    <w:p>
      <w:pPr>
        <w:pStyle w:val="ClauseLabel"/>
      </w:pPr>
      <w:r>
        <w:t>BE-98. Separate Defense Training and Nuclear-Fuel Security Tracks</w:t>
      </w:r>
    </w:p>
    <w:p>
      <w:pPr>
        <w:pStyle w:val="Normal"/>
      </w:pPr>
      <w:r>
        <w:t>Keep defense-training cooperation independent of mineral ownership while separately providing mutually beneficial nuclear-fuel security commitments.</w:t>
      </w:r>
    </w:p>
    <w:p>
      <w:pPr>
        <w:pStyle w:val="ClauseLabel"/>
      </w:pPr>
      <w:r>
        <w:t>BE-99. Emergency Continental Mineral Supply Guarantee</w:t>
      </w:r>
    </w:p>
    <w:p>
      <w:pPr>
        <w:pStyle w:val="Normal"/>
      </w:pPr>
      <w:r>
        <w:t>Create proportionate emergency mineral-continuity obligations during defined national-security crises without contrived Arctic quid pro quos.</w:t>
      </w:r>
    </w:p>
    <w:p>
      <w:pPr>
        <w:pStyle w:val="ClauseLabel"/>
      </w:pPr>
      <w:r>
        <w:t>BE-100. Coordinated Export-Control Screening Under Domestic Law</w:t>
      </w:r>
    </w:p>
    <w:p>
      <w:pPr>
        <w:pStyle w:val="Normal"/>
      </w:pPr>
      <w:r>
        <w:t>Coordinate diversion and coercion screening while each Party retains sovereign export-control authority.</w:t>
      </w:r>
    </w:p>
    <w:p>
      <w:pPr>
        <w:pStyle w:val="ClauseLabel"/>
      </w:pPr>
      <w:r>
        <w:t>BE-101. Canadian Intelligence Sharing for U.S. Graphite</w:t>
      </w:r>
    </w:p>
    <w:p>
      <w:pPr>
        <w:pStyle w:val="Normal"/>
      </w:pPr>
      <w:r>
        <w:t>Canada shares mineral supply chain intelligence with U.S. paired with U.S. guaranteeing 50,000 tonnes/year of graphite to Canadian defense contractors.</w:t>
      </w:r>
    </w:p>
    <w:p>
      <w:pPr>
        <w:pStyle w:val="ClauseLabel"/>
      </w:pPr>
      <w:r>
        <w:t>BE-102. U.S.-Mexico Border Security for Copper Supply</w:t>
      </w:r>
    </w:p>
    <w:p>
      <w:pPr>
        <w:pStyle w:val="Normal"/>
      </w:pPr>
      <w:r>
        <w:t>U.S. increases border security funding paired with Mexico guaranteeing copper supply to U.S. defense electronics manufacturers.</w:t>
      </w:r>
    </w:p>
    <w:p>
      <w:pPr>
        <w:pStyle w:val="ClauseLabel"/>
      </w:pPr>
      <w:r>
        <w:t>BE-103. Tri-National Critical Minerals Reserve</w:t>
      </w:r>
    </w:p>
    <w:p>
      <w:pPr>
        <w:pStyle w:val="Normal"/>
      </w:pPr>
      <w:r>
        <w:t>Jointly fund and manage a strategic reserve of 10 critical minerals, with each country contributing minerals proportional to its production and drawing proportional to its defense needs.</w:t>
      </w:r>
    </w:p>
    <w:p>
      <w:pPr>
        <w:pStyle w:val="ClauseLabel"/>
      </w:pPr>
      <w:r>
        <w:t>BE-104. Trusted-Investment Screening and Anti-Coercion Cooperation</w:t>
      </w:r>
    </w:p>
    <w:p>
      <w:pPr>
        <w:pStyle w:val="Normal"/>
      </w:pPr>
      <w:r>
        <w:t>Coordinate screening of strategic mineral investment and economic coercion under each Party's law rather than conditioning security aid on blanket exclusion of a named country.</w:t>
      </w:r>
    </w:p>
    <w:p>
      <w:pPr>
        <w:pStyle w:val="ClauseLabel"/>
      </w:pPr>
      <w:r>
        <w:t>BE-105. Canadian Defense Procurement for U.S. Minerals</w:t>
      </w:r>
    </w:p>
    <w:p>
      <w:pPr>
        <w:pStyle w:val="Normal"/>
      </w:pPr>
      <w:r>
        <w:t>Canada guarantees 30% of its defense mineral procurement from U.S. sources paired with U.S. guaranteeing 30% of its defense mineral procurement from Canadian sources.</w:t>
      </w:r>
    </w:p>
    <w:p>
      <w:pPr>
        <w:pStyle w:val="ClauseLabel"/>
      </w:pPr>
      <w:r>
        <w:t>BE-106. U.S. Carbon Capture for Canadian Oil Sands Minerals</w:t>
      </w:r>
    </w:p>
    <w:p>
      <w:pPr>
        <w:pStyle w:val="Normal"/>
      </w:pPr>
      <w:r>
        <w:t>U.S. deploys carbon capture technology at Canadian oil sands paired with Canada supplying 20,000 tonnes/year of vanadium (recovered from oil sands) to U.S. battery makers.</w:t>
      </w:r>
    </w:p>
    <w:p>
      <w:pPr>
        <w:pStyle w:val="ClauseLabel"/>
      </w:pPr>
      <w:r>
        <w:t>BE-107. Canadian Clean Tech for Mexican Smelters</w:t>
      </w:r>
    </w:p>
    <w:p>
      <w:pPr>
        <w:pStyle w:val="Normal"/>
      </w:pPr>
      <w:r>
        <w:t>Canada deploys clean energy tech at Mexican smelters paired with Mexico reducing smelter emissions by 30% and supplying 50,000 tonnes/year of low-carbon copper to Canada.</w:t>
      </w:r>
    </w:p>
    <w:p>
      <w:pPr>
        <w:pStyle w:val="ClauseLabel"/>
      </w:pPr>
      <w:r>
        <w:t>BE-108. U.S. Remediation Tech for Mexican Tailings</w:t>
      </w:r>
    </w:p>
    <w:p>
      <w:pPr>
        <w:pStyle w:val="Normal"/>
      </w:pPr>
      <w:r>
        <w:t>U.S. deploys remediation technology at Mexican tailings sites paired with Mexico granting U.S. companies rights to recover minerals from those sites.</w:t>
      </w:r>
    </w:p>
    <w:p>
      <w:pPr>
        <w:pStyle w:val="ClauseLabel"/>
      </w:pPr>
      <w:r>
        <w:t>BE-109. Watershed Resilience and Industrial Water Recycling</w:t>
      </w:r>
    </w:p>
    <w:p>
      <w:pPr>
        <w:pStyle w:val="Normal"/>
      </w:pPr>
      <w:r>
        <w:t>Coordinate shared-watershed management, reuse and recycling without guaranteeing mineral processors priority over communities, Indigenous rights or ecosystems.</w:t>
      </w:r>
    </w:p>
    <w:p>
      <w:pPr>
        <w:pStyle w:val="ClauseLabel"/>
      </w:pPr>
      <w:r>
        <w:t>BE-110. Canadian Phytoremediation for U.S. Mine Sites</w:t>
      </w:r>
    </w:p>
    <w:p>
      <w:pPr>
        <w:pStyle w:val="Normal"/>
      </w:pPr>
      <w:r>
        <w:t>Canada transfers phytoremediation technology to U.S. mine sites paired with U.S. supplying 10,000 tonnes/year of reclaimed REEs from those sites.</w:t>
      </w:r>
    </w:p>
    <w:p>
      <w:pPr>
        <w:pStyle w:val="ClauseLabel"/>
      </w:pPr>
      <w:r>
        <w:t>BE-111. Shared Responsible-Mining Performance Standards</w:t>
      </w:r>
    </w:p>
    <w:p>
      <w:pPr>
        <w:pStyle w:val="Normal"/>
      </w:pPr>
      <w:r>
        <w:t>Use measurable environmental, labour, community and governance outcomes with equivalence rather than imposing one Party's ESG regime.</w:t>
      </w:r>
    </w:p>
    <w:p>
      <w:pPr>
        <w:pStyle w:val="ClauseLabel"/>
      </w:pPr>
      <w:r>
        <w:t>BE-112. Canadian Tailings Dam Safety for U.S. Mines</w:t>
      </w:r>
    </w:p>
    <w:p>
      <w:pPr>
        <w:pStyle w:val="Normal"/>
      </w:pPr>
      <w:r>
        <w:t>Canada transfers tailings dam safety technology to U.S. and Mexican mines paired with both countries contributing to Canadian tailings research.</w:t>
      </w:r>
    </w:p>
    <w:p>
      <w:pPr>
        <w:pStyle w:val="ClauseLabel"/>
      </w:pPr>
      <w:r>
        <w:t>BE-113. U.S. Methane Capture for Canadian Coal Tailings</w:t>
      </w:r>
    </w:p>
    <w:p>
      <w:pPr>
        <w:pStyle w:val="Normal"/>
      </w:pPr>
      <w:r>
        <w:t>U.S. deploys methane capture at Canadian coal tailings paired with Canada supplying rare earths recovered from coal ash.</w:t>
      </w:r>
    </w:p>
    <w:p>
      <w:pPr>
        <w:pStyle w:val="ClauseLabel"/>
      </w:pPr>
      <w:r>
        <w:t>BE-114. Local Biodiversity Mitigation plus Cross-Border Conservation</w:t>
      </w:r>
    </w:p>
    <w:p>
      <w:pPr>
        <w:pStyle w:val="Normal"/>
      </w:pPr>
      <w:r>
        <w:t>Require local/ecoregion-specific mitigation for mine impacts; cross-border conservation finance may be additional but not a substitute.</w:t>
      </w:r>
    </w:p>
    <w:p>
      <w:pPr>
        <w:pStyle w:val="ClauseLabel"/>
      </w:pPr>
      <w:r>
        <w:t>BE-115. Tri-National Green Mining Certification</w:t>
      </w:r>
    </w:p>
    <w:p>
      <w:pPr>
        <w:pStyle w:val="Normal"/>
      </w:pPr>
      <w:r>
        <w:t>Joint certification for sustainable mining accepted in all three, with certified mines getting preferential market access paired with meeting environmental standards.</w:t>
      </w:r>
    </w:p>
    <w:p>
      <w:pPr>
        <w:pStyle w:val="ClauseLabel"/>
      </w:pPr>
      <w:r>
        <w:t>BE-116. Canadian Pension Fund Investment in U.S. Mines</w:t>
      </w:r>
    </w:p>
    <w:p>
      <w:pPr>
        <w:pStyle w:val="Normal"/>
      </w:pPr>
      <w:r>
        <w:t>Canadian pension funds get preferential access to U.S. mining investments paired with Canada guaranteeing 10% of U.S. critical mineral imports from Canadian sources.</w:t>
      </w:r>
    </w:p>
    <w:p>
      <w:pPr>
        <w:pStyle w:val="ClauseLabel"/>
      </w:pPr>
      <w:r>
        <w:t>BE-117. Mineral Company Capital-Market Access Assistance</w:t>
      </w:r>
    </w:p>
    <w:p>
      <w:pPr>
        <w:pStyle w:val="Normal"/>
      </w:pPr>
      <w:r>
        <w:t>Improve accounting interoperability, listing assistance and investor education while retaining normal securities regulation.</w:t>
      </w:r>
    </w:p>
    <w:p>
      <w:pPr>
        <w:pStyle w:val="ClauseLabel"/>
      </w:pPr>
      <w:r>
        <w:t>BE-118. Mexican Sovereign Wealth Fund for Canadian Processing</w:t>
      </w:r>
    </w:p>
    <w:p>
      <w:pPr>
        <w:pStyle w:val="Normal"/>
      </w:pPr>
      <w:r>
        <w:t>Mexico invests $1B in Canadian processing facilities paired with Canada processing 100,000 tonnes/year of Mexican copper concentrate.</w:t>
      </w:r>
    </w:p>
    <w:p>
      <w:pPr>
        <w:pStyle w:val="ClauseLabel"/>
      </w:pPr>
      <w:r>
        <w:t>BE-119. U.S. Ex-Im Bank Financing for Canadian Mines</w:t>
      </w:r>
    </w:p>
    <w:p>
      <w:pPr>
        <w:pStyle w:val="Normal"/>
      </w:pPr>
      <w:r>
        <w:t>U.S. Ex-Im Bank provides financing to Canadian mines paired with Canada guaranteeing 50% of output to U.S. buyers.</w:t>
      </w:r>
    </w:p>
    <w:p>
      <w:pPr>
        <w:pStyle w:val="ClauseLabel"/>
      </w:pPr>
      <w:r>
        <w:t>BE-120. Canadian Finance for State-Led Mexican Lithium and Downstream Capacity</w:t>
      </w:r>
    </w:p>
    <w:p>
      <w:pPr>
        <w:pStyle w:val="Normal"/>
      </w:pPr>
      <w:r>
        <w:t>Permit lawful financing of Mexican state-led lithium and processing infrastructure with Canadian offtake participation.</w:t>
      </w:r>
    </w:p>
    <w:p>
      <w:pPr>
        <w:pStyle w:val="ClauseLabel"/>
      </w:pPr>
      <w:r>
        <w:t>BE-121. Coordinated National and Project Mineral Bonds</w:t>
      </w:r>
    </w:p>
    <w:p>
      <w:pPr>
        <w:pStyle w:val="Normal"/>
      </w:pPr>
      <w:r>
        <w:t>Use national/project bonds, guarantees and mutual eligibility rather than shared trilateral sovereign debt.</w:t>
      </w:r>
    </w:p>
    <w:p>
      <w:pPr>
        <w:pStyle w:val="ClauseLabel"/>
      </w:pPr>
      <w:r>
        <w:t>BE-122. U.S. Tax Equity for Canadian Renewable Mining</w:t>
      </w:r>
    </w:p>
    <w:p>
      <w:pPr>
        <w:pStyle w:val="Normal"/>
      </w:pPr>
      <w:r>
        <w:t>U.S. tax equity investors get access to Canadian renewable mining projects paired with Canada supplying clean-energy minerals to U.S. at fixed prices.</w:t>
      </w:r>
    </w:p>
    <w:p>
      <w:pPr>
        <w:pStyle w:val="ClauseLabel"/>
      </w:pPr>
      <w:r>
        <w:t>BE-123. Reciprocal Financial-Services Access Under Prudential Rules</w:t>
      </w:r>
    </w:p>
    <w:p>
      <w:pPr>
        <w:pStyle w:val="Normal"/>
      </w:pPr>
      <w:r>
        <w:t>Facilitate financing of qualifying mineral projects without nationality-based quid pro quo in banking regulation.</w:t>
      </w:r>
    </w:p>
    <w:p>
      <w:pPr>
        <w:pStyle w:val="ClauseLabel"/>
      </w:pPr>
      <w:r>
        <w:t>BE-124. Continental Strategic-Mineral Risk Insurance Eligibility</w:t>
      </w:r>
    </w:p>
    <w:p>
      <w:pPr>
        <w:pStyle w:val="Normal"/>
      </w:pPr>
      <w:r>
        <w:t>Make qualifying projects eligible for political-risk and credit insurance without artificial mineral-import quotas.</w:t>
      </w:r>
    </w:p>
    <w:p>
      <w:pPr>
        <w:pStyle w:val="ClauseLabel"/>
      </w:pPr>
      <w:r>
        <w:t>BE-125. Tri-National Mineral Price Stabilization Fund</w:t>
      </w:r>
    </w:p>
    <w:p>
      <w:pPr>
        <w:pStyle w:val="Normal"/>
      </w:pPr>
      <w:r>
        <w:t>Joint fund to stabilize critical mineral prices, with each country contributing proportional to production and drawing proportional to consumption.</w:t>
      </w:r>
    </w:p>
    <w:p>
      <w:pPr>
        <w:pStyle w:val="ClauseLabel"/>
      </w:pPr>
      <w:r>
        <w:t>BE-126. Medical-Manufacturing Mineral Security</w:t>
      </w:r>
    </w:p>
    <w:p>
      <w:pPr>
        <w:pStyle w:val="Normal"/>
      </w:pPr>
      <w:r>
        <w:t>Secure silver and other inputs for medical manufacturing without conditioning patient access to essential medicines on mineral supply.</w:t>
      </w:r>
    </w:p>
    <w:p>
      <w:pPr>
        <w:pStyle w:val="ClauseLabel"/>
      </w:pPr>
      <w:r>
        <w:t>BE-127. Canadian Pharmaceuticals for U.S. REEs</w:t>
      </w:r>
    </w:p>
    <w:p>
      <w:pPr>
        <w:pStyle w:val="Normal"/>
      </w:pPr>
      <w:r>
        <w:t>Canada supplies pharmaceuticals to U.S. at preferential prices paired with U.S. supplying 1,000 tonnes/year of REEs to Canadian medical imaging equipment makers.</w:t>
      </w:r>
    </w:p>
    <w:p>
      <w:pPr>
        <w:pStyle w:val="ClauseLabel"/>
      </w:pPr>
      <w:r>
        <w:t>BE-128. Humanitarian Medical Supply and Mineral Security Firewalls</w:t>
      </w:r>
    </w:p>
    <w:p>
      <w:pPr>
        <w:pStyle w:val="Normal"/>
      </w:pPr>
      <w:r>
        <w:t>Maintain reciprocal emergency vaccine/medical-supply guarantees separately from strategic mineral guarantees; neither becomes hostage leverage.</w:t>
      </w:r>
    </w:p>
    <w:p>
      <w:pPr>
        <w:pStyle w:val="ClauseLabel"/>
      </w:pPr>
      <w:r>
        <w:t>BE-129. Mexican Medical Tourism for U.S. Mineral Investment</w:t>
      </w:r>
    </w:p>
    <w:p>
      <w:pPr>
        <w:pStyle w:val="Normal"/>
      </w:pPr>
      <w:r>
        <w:t>Mexico guarantees U.S. patients access to Mexican healthcare paired with U.S. investing $500M in Mexican mining communities' healthcare infrastructure.</w:t>
      </w:r>
    </w:p>
    <w:p>
      <w:pPr>
        <w:pStyle w:val="ClauseLabel"/>
      </w:pPr>
      <w:r>
        <w:t>BE-130. Tri-National Pharmaceutical-Mineral Supply Chain</w:t>
      </w:r>
    </w:p>
    <w:p>
      <w:pPr>
        <w:pStyle w:val="Normal"/>
      </w:pPr>
      <w:r>
        <w:t>Joint supply chain for medical isotopes and imaging minerals, with each country contributing minerals and receiving healthcare products.</w:t>
      </w:r>
    </w:p>
    <w:p>
      <w:pPr>
        <w:pStyle w:val="ClauseLabel"/>
      </w:pPr>
      <w:r>
        <w:t>BE-131. Sovereign Geological-Data Interoperability</w:t>
      </w:r>
    </w:p>
    <w:p>
      <w:pPr>
        <w:pStyle w:val="Normal"/>
      </w:pPr>
      <w:r>
        <w:t>Build interoperable public geological-data systems with equal transparent access and protection for sensitive data; no privileged corporate access purchased with cloud services.</w:t>
      </w:r>
    </w:p>
    <w:p>
      <w:pPr>
        <w:pStyle w:val="ClauseLabel"/>
      </w:pPr>
      <w:r>
        <w:t>BE-132. Mineral Supply-Chain Data Governance Interoperability</w:t>
      </w:r>
    </w:p>
    <w:p>
      <w:pPr>
        <w:pStyle w:val="Normal"/>
      </w:pPr>
      <w:r>
        <w:t>Coordinate privacy, cybersecurity and commercial-data rules for mineral supply chains rather than bartering privacy law for minerals.</w:t>
      </w:r>
    </w:p>
    <w:p>
      <w:pPr>
        <w:pStyle w:val="ClauseLabel"/>
      </w:pPr>
      <w:r>
        <w:t>BE-133. U.S. 5G Infrastructure for Mexican Mines</w:t>
      </w:r>
    </w:p>
    <w:p>
      <w:pPr>
        <w:pStyle w:val="Normal"/>
      </w:pPr>
      <w:r>
        <w:t>U.S. deploys 5G at Mexican mines paired with Mexico supplying 50,000 tonnes/year of copper for U.S. 5G infrastructure.</w:t>
      </w:r>
    </w:p>
    <w:p>
      <w:pPr>
        <w:pStyle w:val="ClauseLabel"/>
      </w:pPr>
      <w:r>
        <w:t>BE-134. Clean-Powered Mineral Digital Infrastructure</w:t>
      </w:r>
    </w:p>
    <w:p>
      <w:pPr>
        <w:pStyle w:val="Normal"/>
      </w:pPr>
      <w:r>
        <w:t>Support local or contractually supplied low-carbon power for mineral-sector digital infrastructure without physically implausible prescribed power flows.</w:t>
      </w:r>
    </w:p>
    <w:p>
      <w:pPr>
        <w:pStyle w:val="ClauseLabel"/>
      </w:pPr>
      <w:r>
        <w:t>BE-135. Tri-National Mineral Supply Chain Digital Platform</w:t>
      </w:r>
    </w:p>
    <w:p>
      <w:pPr>
        <w:pStyle w:val="Normal"/>
      </w:pPr>
      <w:r>
        <w:t>Joint digital platform tracking mineral supply chains, with each country contributing data paired with real-time supply chain visibility.</w:t>
      </w:r>
    </w:p>
    <w:p>
      <w:pPr>
        <w:pStyle w:val="ClauseLabel"/>
      </w:pPr>
      <w:r>
        <w:t>BE-136. Mining Engineering Scholarships and Exchanges</w:t>
      </w:r>
    </w:p>
    <w:p>
      <w:pPr>
        <w:pStyle w:val="Normal"/>
      </w:pPr>
      <w:r>
        <w:t>Jointly finance scholarships, exchanges and training without trading university seats for mineral concessions.</w:t>
      </w:r>
    </w:p>
    <w:p>
      <w:pPr>
        <w:pStyle w:val="ClauseLabel"/>
      </w:pPr>
      <w:r>
        <w:t>BE-137. Canadian Research Grants for U.S. Mineral Scientists</w:t>
      </w:r>
    </w:p>
    <w:p>
      <w:pPr>
        <w:pStyle w:val="Normal"/>
      </w:pPr>
      <w:r>
        <w:t>Canada funds U.S. mineral research paired with U.S. supplying 2,000 tonnes/year of REEs to Canadian research institutions.</w:t>
      </w:r>
    </w:p>
    <w:p>
      <w:pPr>
        <w:pStyle w:val="ClauseLabel"/>
      </w:pPr>
      <w:r>
        <w:t>BE-138. Mexican Cultural Exchanges for U.S. Mining Investment</w:t>
      </w:r>
    </w:p>
    <w:p>
      <w:pPr>
        <w:pStyle w:val="Normal"/>
      </w:pPr>
      <w:r>
        <w:t>Mexico expands cultural exchange programs paired with U.S. investing $500M in Mexican mining communities.</w:t>
      </w:r>
    </w:p>
    <w:p>
      <w:pPr>
        <w:pStyle w:val="ClauseLabel"/>
      </w:pPr>
      <w:r>
        <w:t>BE-139. U.S. Fulbright Programs for Canadian Mineral Policy</w:t>
      </w:r>
    </w:p>
    <w:p>
      <w:pPr>
        <w:pStyle w:val="Normal"/>
      </w:pPr>
      <w:r>
        <w:t>U.S. expands Fulbright to Canadian mineral policy scholars paired with Canada sharing 20% of its mineral policy research with U.S.</w:t>
      </w:r>
    </w:p>
    <w:p>
      <w:pPr>
        <w:pStyle w:val="ClauseLabel"/>
      </w:pPr>
      <w:r>
        <w:t>BE-140. North American Mining Heritage and Community Legacy Program</w:t>
      </w:r>
    </w:p>
    <w:p>
      <w:pPr>
        <w:pStyle w:val="Normal"/>
      </w:pPr>
      <w:r>
        <w:t>Support voluntary heritage, Indigenous history, worker history, abandoned-site interpretation and community tourism without a compulsory royalty-funded new institution.</w:t>
      </w:r>
    </w:p>
    <w:p>
      <w:pPr>
        <w:pStyle w:val="Heading1"/>
      </w:pPr>
      <w:bookmarkStart w:id="902301" w:name="_Toc300002300"/>
      <w:r>
        <w:t>PACKAGE BF: MINERALS-FOR-FORESTRY NORMALIZATION TRACK</w:t>
      </w:r>
      <w:bookmarkEnd w:id="902301"/>
    </w:p>
    <w:p>
      <w:pPr>
        <w:pStyle w:val="Normal"/>
      </w:pPr>
      <w:r>
        <w:t>BF-1. Purpose. The Parties may use verified critical-mineral supply, processing, stockpiling, recycling, investment or technology cooperation as consideration for staged normalization of softwood-lumber and forestry trade measures. No Party is required to compel extraction or sell below market.</w:t>
      </w:r>
    </w:p>
    <w:p>
      <w:pPr>
        <w:pStyle w:val="Normal"/>
      </w:pPr>
      <w:r>
        <w:t>BF-2. Flexible Pairing. Eligible mineral performance may include lithium, potash, nickel, cobalt, rare earths, niobium, titanium, magnesium, graphite, uranium, molybdenum, tellurium, germanium, gallium or other scheduled strategic materials. Forestry benefits may include tariff, quota, AD/CVD settlement, customs, certification or market-access normalization as legally available.</w:t>
      </w:r>
    </w:p>
    <w:p>
      <w:pPr>
        <w:pStyle w:val="Normal"/>
      </w:pPr>
      <w:r>
        <w:t>BF-3. Performance Pairing. Mineral and forestry benefits shall be approximately commensurate, activate together where practicable, use transparent market-linked terms, and follow BA-5 for verification, cure, proportional step-back and automatic restoration.</w:t>
      </w:r>
    </w:p>
    <w:p>
      <w:pPr>
        <w:pStyle w:val="Normal"/>
      </w:pPr>
      <w:r>
        <w:t>BF-4. No Resource Surrender. Mineral cooperation earns normalization through resilience value, investment, processing and reliable supply; it does not convey ownership of deposits, compulsory extraction rights or exclusive access to another Party.</w:t>
      </w:r>
    </w:p>
    <w:p>
      <w:pPr>
        <w:pStyle w:val="TrumpVisibilityHeadline"/>
      </w:pPr>
      <w:r>
        <w:t xml:space="preserve">★ </w:t>
      </w:r>
      <w:r>
        <w:t>VISIBLE U.S. WIN: STRONGER NORTH AMERICAN AUTOMOTIVE PRODUCTION AND RULES OF ORIGIN</w:t>
      </w:r>
    </w:p>
    <w:p>
      <w:pPr>
        <w:pStyle w:val="Heading1"/>
      </w:pPr>
      <w:bookmarkStart w:id="902302" w:name="_Toc300002301"/>
      <w:r>
        <w:t>PACKAGE BG: NORTH AMERICAN AUTOMOTIVE INTEGRATION AND STABILITY FRAMEWORK</w:t>
      </w:r>
      <w:bookmarkEnd w:id="902302"/>
    </w:p>
    <w:p>
      <w:pPr>
        <w:pStyle w:val="Heading2"/>
      </w:pPr>
      <w:bookmarkStart w:id="902303" w:name="_Toc300002302"/>
      <w:r>
        <w:t>BG-1. Purpose and Coverage</w:t>
      </w:r>
      <w:bookmarkEnd w:id="902303"/>
    </w:p>
    <w:p>
      <w:pPr>
        <w:pStyle w:val="Normal"/>
      </w:pPr>
      <w:r>
        <w:t>This Package establishes a technology-neutral trilateral framework for passenger vehicles, light trucks, medium-duty vehicles, heavy-duty vehicles, vocational vehicles, qualifying chassis and integrated automotive systems. It is intended to preserve genuine North American origin, reward deeper continental integration, reduce avoidable border friction, strengthen supply resilience and prevent tariff or classification carve-outs from defeating negotiated automotive treatment.</w:t>
      </w:r>
    </w:p>
    <w:p>
      <w:pPr>
        <w:pStyle w:val="Heading2"/>
      </w:pPr>
      <w:bookmarkStart w:id="902304" w:name="_Toc300002303"/>
      <w:r>
        <w:t>BG-2. Standard Origin Tier: 75% RVC</w:t>
      </w:r>
      <w:bookmarkEnd w:id="902304"/>
    </w:p>
    <w:p>
      <w:pPr>
        <w:pStyle w:val="Normal"/>
      </w:pPr>
      <w:r>
        <w:t>An originating vehicle satisfying the Standard Tier regional value content threshold of 75% shall receive zero automotive tariff treatment under this Agreement, subject to applicable product-specific origin requirements and anti-circumvention rules. A higher tier shall not be required merely to obtain ordinary originating status.</w:t>
      </w:r>
    </w:p>
    <w:p>
      <w:pPr>
        <w:pStyle w:val="Heading2"/>
      </w:pPr>
      <w:bookmarkStart w:id="902305" w:name="_Toc300002304"/>
      <w:r>
        <w:t>BG-3. High Integration Tier: 80% RVC</w:t>
      </w:r>
      <w:bookmarkEnd w:id="902305"/>
    </w:p>
    <w:p>
      <w:pPr>
        <w:pStyle w:val="Normal"/>
      </w:pPr>
      <w:r>
        <w:t>A vehicle satisfying an 80% regional value content threshold and meeting at least three designated strategic-category conditions may qualify for enhanced customs facilitation, reduced routine verification, trusted-trader treatment, transition assistance and other earned administrative benefits. Strategic categories may include batteries, semiconductors, North American steel or low-carbon steel, software-defined vehicle systems, and motors or drive units.</w:t>
      </w:r>
    </w:p>
    <w:p>
      <w:pPr>
        <w:pStyle w:val="Heading2"/>
      </w:pPr>
      <w:bookmarkStart w:id="902306" w:name="_Toc300002305"/>
      <w:r>
        <w:t>BG-4. Strategic Tier: 85% RVC</w:t>
      </w:r>
      <w:bookmarkEnd w:id="902306"/>
    </w:p>
    <w:p>
      <w:pPr>
        <w:pStyle w:val="Normal"/>
      </w:pPr>
      <w:r>
        <w:t>A vehicle satisfying an 85% regional value content threshold, all designated strategic-category conditions and an approved continuity plan may qualify for the strongest available administrative, resilience and strategic-program benefits. Strategic-tier treatment shall not convert ordinary Standard-Tier originating vehicles into non-originating vehicles.</w:t>
      </w:r>
    </w:p>
    <w:p>
      <w:pPr>
        <w:pStyle w:val="Heading2"/>
      </w:pPr>
      <w:bookmarkStart w:id="902307" w:name="_Toc300002306"/>
      <w:r>
        <w:t>BG-5. No Tariff on Originating Content</w:t>
      </w:r>
      <w:bookmarkEnd w:id="902307"/>
    </w:p>
    <w:p>
      <w:pPr>
        <w:pStyle w:val="Normal"/>
      </w:pPr>
      <w:r>
        <w:t>Where a measure lawfully applies to a non-originating vehicle, tariff incidence should, where administratively practicable and consistent with applicable law, be confined to non-originating content rather than imposed again on verified North American content.</w:t>
      </w:r>
    </w:p>
    <w:p>
      <w:pPr>
        <w:pStyle w:val="Heading2"/>
      </w:pPr>
      <w:bookmarkStart w:id="902308" w:name="_Toc300002307"/>
      <w:r>
        <w:t>BG-6. No Vehicle-Class Carve-Out</w:t>
      </w:r>
      <w:bookmarkEnd w:id="902308"/>
    </w:p>
    <w:p>
      <w:pPr>
        <w:pStyle w:val="Normal"/>
      </w:pPr>
      <w:r>
        <w:t>A medium- or heavy-duty vehicle qualifying as originating under this Agreement shall not receive less favorable tariff treatment solely because of vehicle weight, gross vehicle weight rating, vocational configuration, chassis classification, body configuration, or classification outside a passenger-vehicle tariff line.</w:t>
      </w:r>
    </w:p>
    <w:p>
      <w:pPr>
        <w:pStyle w:val="Heading2"/>
      </w:pPr>
      <w:bookmarkStart w:id="902309" w:name="_Toc300002308"/>
      <w:r>
        <w:t>BG-7. Anti-Reclassification Rule</w:t>
      </w:r>
      <w:bookmarkEnd w:id="902309"/>
    </w:p>
    <w:p>
      <w:pPr>
        <w:pStyle w:val="Normal"/>
      </w:pPr>
      <w:r>
        <w:t>No Party shall use reclassification, tariff-line migration, chassis/body separation, incomplete-vehicle treatment, or substantially equivalent administrative relabeling principally to defeat an automotive benefit that would otherwise apply to an originating vehicle.</w:t>
      </w:r>
    </w:p>
    <w:p>
      <w:pPr>
        <w:pStyle w:val="Heading2"/>
      </w:pPr>
      <w:bookmarkStart w:id="902310" w:name="_Toc300002309"/>
      <w:r>
        <w:t>BG-8. No Uncompensated Front-Loading</w:t>
      </w:r>
      <w:bookmarkEnd w:id="902310"/>
    </w:p>
    <w:p>
      <w:pPr>
        <w:pStyle w:val="Normal"/>
      </w:pPr>
      <w:r>
        <w:t>Where automotive concessions are paired with origin, investment, market-access, supply-chain or enforcement commitments, paired obligations should activate together. Delayed or failed paired performance triggers verification, a short cure opportunity and proportionate pause or step-back of the paired benefit, with automatic restoration when verified performance resumes.</w:t>
      </w:r>
    </w:p>
    <w:p>
      <w:pPr>
        <w:pStyle w:val="Heading2"/>
      </w:pPr>
      <w:bookmarkStart w:id="902311" w:name="_Toc300002310"/>
      <w:r>
        <w:t>BG-9. Capacity-Gap Safe Harbour</w:t>
      </w:r>
      <w:bookmarkEnd w:id="902311"/>
    </w:p>
    <w:p>
      <w:pPr>
        <w:pStyle w:val="Normal"/>
      </w:pPr>
      <w:r>
        <w:t>Temporary flexibility for a component or material may be granted where verified North American capacity is unavailable, insufficient or disrupted. Relief shall be narrow, time-limited, reviewable and designed to avoid converting a temporary shortage into permanent offshore dependency.</w:t>
      </w:r>
    </w:p>
    <w:p>
      <w:pPr>
        <w:pStyle w:val="Heading2"/>
      </w:pPr>
      <w:bookmarkStart w:id="902312" w:name="_Toc300002311"/>
      <w:r>
        <w:t>BG-10. Trusted External Input Safe Harbour</w:t>
      </w:r>
      <w:bookmarkEnd w:id="902312"/>
    </w:p>
    <w:p>
      <w:pPr>
        <w:pStyle w:val="Normal"/>
      </w:pPr>
      <w:r>
        <w:t>A limited share of otherwise non-originating inputs may receive specified treatment where no commercially reasonable North American substitute exists and the input originates from a trusted external partner meeting agreed security, labour, environmental and anti-circumvention conditions. Such treatment does not convert the external partner into a Party to this Agreement.</w:t>
      </w:r>
    </w:p>
    <w:p>
      <w:pPr>
        <w:pStyle w:val="Heading2"/>
      </w:pPr>
      <w:bookmarkStart w:id="902313" w:name="_Toc300002312"/>
      <w:r>
        <w:t>BG-11. Digital Origin and Provenance</w:t>
      </w:r>
      <w:bookmarkEnd w:id="902313"/>
    </w:p>
    <w:p>
      <w:pPr>
        <w:pStyle w:val="Normal"/>
      </w:pPr>
      <w:r>
        <w:t>The Parties should support interoperable digital origin records, supplier declarations and provenance verification without prescribing a particular ledger technology. Systems shall preserve commercial confidentiality, permit correction and audit, and avoid forcing disclosure of unnecessary proprietary information.</w:t>
      </w:r>
    </w:p>
    <w:p>
      <w:pPr>
        <w:pStyle w:val="Heading2"/>
      </w:pPr>
      <w:bookmarkStart w:id="902314" w:name="_Toc300002313"/>
      <w:r>
        <w:t>BG-12. Transition and Cure Architecture</w:t>
      </w:r>
      <w:bookmarkEnd w:id="902314"/>
    </w:p>
    <w:p>
      <w:pPr>
        <w:pStyle w:val="Normal"/>
      </w:pPr>
      <w:r>
        <w:t>RVC increases, model launches, retooling and supply shocks may use annual step-ups, temporary waivers, averaging, retroactive earn-back and cure periods. Flexibility shall reward genuine transition rather than conceal persistent non-compliance.</w:t>
      </w:r>
    </w:p>
    <w:p>
      <w:pPr>
        <w:pStyle w:val="Heading2"/>
      </w:pPr>
      <w:bookmarkStart w:id="902315" w:name="_Toc300002314"/>
      <w:r>
        <w:t>BG-13. Automotive Stability Guarantee</w:t>
      </w:r>
      <w:bookmarkEnd w:id="902315"/>
    </w:p>
    <w:p>
      <w:pPr>
        <w:pStyle w:val="Normal"/>
      </w:pPr>
      <w:r>
        <w:t>The Parties should avoid new automotive tariffs, discriminatory quotas or abrupt origin-rule changes except under this Agreement, an applicable safeguard, or another lawful emergency authority. Material changes should receive notice, consultation, verification and proportionate implementation wherever circumstances permit.</w:t>
      </w:r>
    </w:p>
    <w:p>
      <w:pPr>
        <w:pStyle w:val="Heading2"/>
      </w:pPr>
      <w:bookmarkStart w:id="902316" w:name="_Toc300002315"/>
      <w:r>
        <w:t>BG-14. Existing-Institution Implementation</w:t>
      </w:r>
      <w:bookmarkEnd w:id="902316"/>
    </w:p>
    <w:p>
      <w:pPr>
        <w:pStyle w:val="Normal"/>
      </w:pPr>
      <w:r>
        <w:t>Implementation shall use existing customs authorities, transportation regulators, labour institutions, the Secretariat and Cothrom architecture wherever practicable. No permanent automotive tribunal, duplicative secretariat or standing council is created solely by this Package.</w:t>
      </w:r>
    </w:p>
    <w:p>
      <w:pPr>
        <w:pStyle w:val="Heading1"/>
      </w:pPr>
      <w:bookmarkStart w:id="902317" w:name="_Toc300002316"/>
      <w:r>
        <w:t>PACKAGE BH: AUTOMOTIVE NEGOTIATION AND IMPLEMENTATION CATALOGUE</w:t>
      </w:r>
      <w:bookmarkEnd w:id="902317"/>
    </w:p>
    <w:p>
      <w:pPr>
        <w:pStyle w:val="Normal"/>
      </w:pPr>
      <w:r>
        <w:t>This catalogue preserves the useful substance of the 100 automotive deal concepts while conforming them to Packages BG and the Agreement-wide rules on proportionality, no uncompensated front-loading, sovereignty, due process, anti-circumvention, commercial confidentiality and existing-institution implementation. Numerical values not otherwise adopted by the Agreement are illustrative implementation parameters rather than immutable treaty commitments.</w:t>
      </w:r>
    </w:p>
    <w:p>
      <w:pPr>
        <w:pStyle w:val="ClauseLabel"/>
      </w:pPr>
      <w:r>
        <w:t xml:space="preserve">BH-1. The 15-15-15 Bridge</w:t>
      </w:r>
    </w:p>
    <w:p>
      <w:pPr>
        <w:pStyle w:val="Normal"/>
      </w:pPr>
      <w:r>
        <w:t>Create a temporary automotive tariff bridge only where needed to de-escalate an active dispute. Any interim rate shall be transitional, paired with verified performance, and shall not displace the zero-for-originating baseline.</w:t>
      </w:r>
    </w:p>
    <w:p>
      <w:pPr>
        <w:pStyle w:val="ClauseLabel"/>
      </w:pPr>
      <w:r>
        <w:t xml:space="preserve">BH-2. Mexico’s Tariff Step-Down</w:t>
      </w:r>
    </w:p>
    <w:p>
      <w:pPr>
        <w:pStyle w:val="Normal"/>
      </w:pPr>
      <w:r>
        <w:t>Provide Mexico equivalent staged tariff relief in exchange for strengthened anti-transshipment and origin verification, with relief tied to performance rather than a permanently fixed rate.</w:t>
      </w:r>
    </w:p>
    <w:p>
      <w:pPr>
        <w:pStyle w:val="ClauseLabel"/>
      </w:pPr>
      <w:r>
        <w:t xml:space="preserve">BH-3. Zero-for-Compliant</w:t>
      </w:r>
    </w:p>
    <w:p>
      <w:pPr>
        <w:pStyle w:val="Normal"/>
      </w:pPr>
      <w:r>
        <w:t>All vehicles satisfying the Standard Tier origin requirements receive zero automotive tariffs; non-originating vehicles remain subject to applicable external tariff treatment.</w:t>
      </w:r>
    </w:p>
    <w:p>
      <w:pPr>
        <w:pStyle w:val="ClauseLabel"/>
      </w:pPr>
      <w:r>
        <w:t>BH-4. Critical Parts Exclusion</w:t>
      </w:r>
    </w:p>
    <w:p>
      <w:pPr>
        <w:pStyle w:val="Normal"/>
      </w:pPr>
      <w:r>
        <w:t>Essential components (batteries, semiconductors) are temporarily exempt from tariffs if sourced from within North America, valid for 2 years.</w:t>
      </w:r>
    </w:p>
    <w:p>
      <w:pPr>
        <w:pStyle w:val="ClauseLabel"/>
      </w:pPr>
      <w:r>
        <w:t>BH-5. Quarterly Tariff Review</w:t>
      </w:r>
    </w:p>
    <w:p>
      <w:pPr>
        <w:pStyle w:val="Normal"/>
      </w:pPr>
      <w:r>
        <w:t>Use scheduled performance reviews during a transition period, with earned reductions or restoration tied to verified milestones rather than automatic quarterly tariff micromanagement.</w:t>
      </w:r>
    </w:p>
    <w:p>
      <w:pPr>
        <w:pStyle w:val="ClauseLabel"/>
      </w:pPr>
      <w:r>
        <w:t>BH-6. Retaliatory Tariff Freeze</w:t>
      </w:r>
    </w:p>
    <w:p>
      <w:pPr>
        <w:pStyle w:val="Normal"/>
      </w:pPr>
      <w:r>
        <w:t>All three freeze new retaliatory measures for 12 months while negotiating a permanent framework.</w:t>
      </w:r>
    </w:p>
    <w:p>
      <w:pPr>
        <w:pStyle w:val="ClauseLabel"/>
      </w:pPr>
      <w:r>
        <w:t xml:space="preserve">BH-7. Small-Volume Producer Exemption</w:t>
      </w:r>
    </w:p>
    <w:p>
      <w:pPr>
        <w:pStyle w:val="Normal"/>
      </w:pPr>
      <w:r>
        <w:t>Provide simplified compliance, averaging and transition pathways for genuinely low-volume producers while preserving anti-circumvention safeguards.</w:t>
      </w:r>
    </w:p>
    <w:p>
      <w:pPr>
        <w:pStyle w:val="ClauseLabel"/>
      </w:pPr>
      <w:r>
        <w:t>BH-8. Tariff Rebate for Exports</w:t>
      </w:r>
    </w:p>
    <w:p>
      <w:pPr>
        <w:pStyle w:val="Normal"/>
      </w:pPr>
      <w:r>
        <w:t>Permit ordinary duty drawback or refund where a vehicle or qualifying component is genuinely re-exported outside North America and the underlying tariff has not otherwise been rebated.</w:t>
      </w:r>
    </w:p>
    <w:p>
      <w:pPr>
        <w:pStyle w:val="ClauseLabel"/>
      </w:pPr>
      <w:r>
        <w:t>BH-9. Mexican Border Zone Preference</w:t>
      </w:r>
    </w:p>
    <w:p>
      <w:pPr>
        <w:pStyle w:val="Normal"/>
      </w:pPr>
      <w:r>
        <w:t>Create an Integrated Cross-Border Logistics Credit based on verified regional supply-chain integration, customs efficiency and infrastructure use rather than proximity to a border.</w:t>
      </w:r>
    </w:p>
    <w:p>
      <w:pPr>
        <w:pStyle w:val="ClauseLabel"/>
      </w:pPr>
      <w:r>
        <w:t>BH-10. Canadian Content Credit</w:t>
      </w:r>
    </w:p>
    <w:p>
      <w:pPr>
        <w:pStyle w:val="Normal"/>
      </w:pPr>
      <w:r>
        <w:t>Treat verified North American strategic steel and aluminum as qualifying strategic-category content for High and Strategic Tier benefits without fictional value multiplication.</w:t>
      </w:r>
    </w:p>
    <w:p>
      <w:pPr>
        <w:pStyle w:val="ClauseLabel"/>
      </w:pPr>
      <w:r>
        <w:t>BH-11. Temporary Suspension for Retooling</w:t>
      </w:r>
    </w:p>
    <w:p>
      <w:pPr>
        <w:pStyle w:val="Normal"/>
      </w:pPr>
      <w:r>
        <w:t>Factories undergoing EV retooling get a 2-year tariff holiday on imported machinery and parts from the other two countries.</w:t>
      </w:r>
    </w:p>
    <w:p>
      <w:pPr>
        <w:pStyle w:val="ClauseLabel"/>
      </w:pPr>
      <w:r>
        <w:t xml:space="preserve">BH-12. Graduated Tariff Phase-Down</w:t>
      </w:r>
    </w:p>
    <w:p>
      <w:pPr>
        <w:pStyle w:val="Normal"/>
      </w:pPr>
      <w:r>
        <w:t>Allow a staged tariff phase-down for non-originating vehicles that are demonstrably moving toward compliance, with relief proportional to verified investment and sourcing milestones.</w:t>
      </w:r>
    </w:p>
    <w:p>
      <w:pPr>
        <w:pStyle w:val="ClauseLabel"/>
      </w:pPr>
      <w:r>
        <w:t>BH-13. Seasonal Tariff Adjustment</w:t>
      </w:r>
    </w:p>
    <w:p>
      <w:pPr>
        <w:pStyle w:val="Normal"/>
      </w:pPr>
      <w:r>
        <w:t>Replace seasonal tariffs with an evidence-based temporary safeguard available only after a demonstrated import surge or serious injury and subject to review and minimum-access protections.</w:t>
      </w:r>
    </w:p>
    <w:p>
      <w:pPr>
        <w:pStyle w:val="ClauseLabel"/>
      </w:pPr>
      <w:r>
        <w:t>BH-14. Mutual Tariff Waiver for Emergency Vehicles</w:t>
      </w:r>
    </w:p>
    <w:p>
      <w:pPr>
        <w:pStyle w:val="Normal"/>
      </w:pPr>
      <w:r>
        <w:t>Provide durable tariff-free treatment for ambulances, fire/rescue vehicles and designated disaster-response vehicles. Defense vehicles are governed separately by applicable security and procurement rules.</w:t>
      </w:r>
    </w:p>
    <w:p>
      <w:pPr>
        <w:pStyle w:val="ClauseLabel"/>
      </w:pPr>
      <w:r>
        <w:t xml:space="preserve">BH-15. Tariff-Free Replacement Parts</w:t>
      </w:r>
    </w:p>
    <w:p>
      <w:pPr>
        <w:pStyle w:val="Normal"/>
      </w:pPr>
      <w:r>
        <w:t>Zero-rate qualifying North American repair and service parts where appropriate, with clear origin and anti-transshipment requirements.</w:t>
      </w:r>
    </w:p>
    <w:p>
      <w:pPr>
        <w:pStyle w:val="ClauseLabel"/>
      </w:pPr>
      <w:r>
        <w:t>BH-16. Currency Hedge Clause</w:t>
      </w:r>
    </w:p>
    <w:p>
      <w:pPr>
        <w:pStyle w:val="Normal"/>
      </w:pPr>
      <w:r>
        <w:t>Create a Currency Distortion Consultation Mechanism for sustained, material and policy-relevant currency distortions. No tariff adjustment is triggered solely by a short-term exchange-rate movement.</w:t>
      </w:r>
    </w:p>
    <w:p>
      <w:pPr>
        <w:pStyle w:val="ClauseLabel"/>
      </w:pPr>
      <w:r>
        <w:t>BH-17. Canadian Winter Testing Credit</w:t>
      </w:r>
    </w:p>
    <w:p>
      <w:pPr>
        <w:pStyle w:val="Normal"/>
      </w:pPr>
      <w:r>
        <w:t>Recognize genuine North American cold-weather testing, validation and engineering value under approved R&amp;D/value-added accounting rather than a stand-alone tariff discount.</w:t>
      </w:r>
    </w:p>
    <w:p>
      <w:pPr>
        <w:pStyle w:val="ClauseLabel"/>
      </w:pPr>
      <w:r>
        <w:t>BH-18. Retroactive Tariff Refund</w:t>
      </w:r>
    </w:p>
    <w:p>
      <w:pPr>
        <w:pStyle w:val="Normal"/>
      </w:pPr>
      <w:r>
        <w:t>Permit retroactive tariff refunds or earn-back where a producer cures transitional non-compliance within the prescribed period and demonstrates good-faith compliance rather than fraud or evasion.</w:t>
      </w:r>
    </w:p>
    <w:p>
      <w:pPr>
        <w:pStyle w:val="ClauseLabel"/>
      </w:pPr>
      <w:r>
        <w:t>BH-19. Joint Tariff Revenue Fund</w:t>
      </w:r>
    </w:p>
    <w:p>
      <w:pPr>
        <w:pStyle w:val="Normal"/>
      </w:pPr>
      <w:r>
        <w:t>Encourage each Party to dedicate an appropriate share of automotive trade-remedy revenue to worker adjustment, training or industrial transition without requiring a single pooled trilateral revenue fund.</w:t>
      </w:r>
    </w:p>
    <w:p>
      <w:pPr>
        <w:pStyle w:val="ClauseLabel"/>
      </w:pPr>
      <w:r>
        <w:t xml:space="preserve">BH-20. Most-Favored-Nation Alignment</w:t>
      </w:r>
    </w:p>
    <w:p>
      <w:pPr>
        <w:pStyle w:val="Normal"/>
      </w:pPr>
      <w:r>
        <w:t>Coordinate external auto trade defense, anti-circumvention and transshipment enforcement while preserving each Party’s WTO obligations, other FTAs and independent external tariff schedules.</w:t>
      </w:r>
    </w:p>
    <w:p>
      <w:pPr>
        <w:pStyle w:val="ClauseLabel"/>
      </w:pPr>
      <w:r>
        <w:t>BH-21. Flexible RVC Target</w:t>
      </w:r>
    </w:p>
    <w:p>
      <w:pPr>
        <w:pStyle w:val="Normal"/>
      </w:pPr>
      <w:r>
        <w:t>Use the 75/80/85 tier architecture instead of a vague RVC range while preserving transition flexibility through averaging, step-ups and temporary waivers.</w:t>
      </w:r>
    </w:p>
    <w:p>
      <w:pPr>
        <w:pStyle w:val="ClauseLabel"/>
      </w:pPr>
      <w:r>
        <w:t>BH-22. Battery Weighted Credit</w:t>
      </w:r>
    </w:p>
    <w:p>
      <w:pPr>
        <w:pStyle w:val="Normal"/>
      </w:pPr>
      <w:r>
        <w:t>Treat batteries as a strategic-category qualifier for higher-tier benefits rather than counting each dollar of battery value as more than one dollar.</w:t>
      </w:r>
    </w:p>
    <w:p>
      <w:pPr>
        <w:pStyle w:val="ClauseLabel"/>
      </w:pPr>
      <w:r>
        <w:t>BH-23. Core Parts List</w:t>
      </w:r>
    </w:p>
    <w:p>
      <w:pPr>
        <w:pStyle w:val="Normal"/>
      </w:pPr>
      <w:r>
        <w:t>Maintain an updateable core/strategic parts architecture without freezing an arbitrary permanent list in treaty text.</w:t>
      </w:r>
    </w:p>
    <w:p>
      <w:pPr>
        <w:pStyle w:val="ClauseLabel"/>
      </w:pPr>
      <w:r>
        <w:t xml:space="preserve">BH-24. Roll-Up Provision</w:t>
      </w:r>
    </w:p>
    <w:p>
      <w:pPr>
        <w:pStyle w:val="Normal"/>
      </w:pPr>
      <w:r>
        <w:rPr>
          <w:b/>
          <w:color w:val="C00000"/>
        </w:rPr>
        <w:t>Core-parts roll-up is governed expressly by Article 4.A.2E.1. A core part that validly qualifies as originating is treated as originating for its full value in the downstream vehicle RVC calculation, without re-tracing embedded non-originating materials. The rule preserves the core part’s own origin requirements and all independently applicable vehicle requirements. Fraud, material misrepresentation, sham processing, and circumvention remain subject to verification and remedy under the Agreement.</w:t>
      </w:r>
    </w:p>
    <w:p>
      <w:pPr>
        <w:pStyle w:val="ClauseLabel"/>
      </w:pPr>
      <w:r>
        <w:t>BH-25. Supplier Aggregation</w:t>
      </w:r>
    </w:p>
    <w:p>
      <w:pPr>
        <w:pStyle w:val="Normal"/>
      </w:pPr>
      <w:r>
        <w:t>Small suppliers can aggregate their regional content across multiple facilities to meet thresholds more easily.</w:t>
      </w:r>
    </w:p>
    <w:p>
      <w:pPr>
        <w:pStyle w:val="ClauseLabel"/>
      </w:pPr>
      <w:r>
        <w:t>BH-26. De Minimis Increase</w:t>
      </w:r>
    </w:p>
    <w:p>
      <w:pPr>
        <w:pStyle w:val="Normal"/>
      </w:pPr>
      <w:r>
        <w:t>Use product-sensitive de minimis and capacity-gap safe harbours rather than an across-the-board increase that could materially dilute origin requirements.</w:t>
      </w:r>
    </w:p>
    <w:p>
      <w:pPr>
        <w:pStyle w:val="ClauseLabel"/>
      </w:pPr>
      <w:r>
        <w:t>BH-27. Tracing Technology</w:t>
      </w:r>
    </w:p>
    <w:p>
      <w:pPr>
        <w:pStyle w:val="Normal"/>
      </w:pPr>
      <w:r>
        <w:t>Use interoperable digital tracing and audit records without mandating blockchain or another specific technology.</w:t>
      </w:r>
    </w:p>
    <w:p>
      <w:pPr>
        <w:pStyle w:val="ClauseLabel"/>
      </w:pPr>
      <w:r>
        <w:t>BH-28. Cumulation with Other FTA Partners</w:t>
      </w:r>
    </w:p>
    <w:p>
      <w:pPr>
        <w:pStyle w:val="Normal"/>
      </w:pPr>
      <w:r>
        <w:t>Permit narrowly capped trusted-external-input treatment only where a North American substitute is unavailable and security, labour, environmental and anti-circumvention conditions are satisfied.</w:t>
      </w:r>
    </w:p>
    <w:p>
      <w:pPr>
        <w:pStyle w:val="ClauseLabel"/>
      </w:pPr>
      <w:r>
        <w:t>BH-29. Electric Motor Specific Rule</w:t>
      </w:r>
    </w:p>
    <w:p>
      <w:pPr>
        <w:pStyle w:val="Normal"/>
      </w:pPr>
      <w:r>
        <w:t>Electric motors and inverters get a separate, lower RVC threshold (60%) for three years to accelerate EV transition.</w:t>
      </w:r>
    </w:p>
    <w:p>
      <w:pPr>
        <w:pStyle w:val="ClauseLabel"/>
      </w:pPr>
      <w:r>
        <w:t>BH-30. Plastic &amp; Rubber Component Exemption</w:t>
      </w:r>
    </w:p>
    <w:p>
      <w:pPr>
        <w:pStyle w:val="Normal"/>
      </w:pPr>
      <w:r>
        <w:t>Apply specific capacity-gap treatment to plastic, rubber or other inputs where needed; do not create a blanket material exemption.</w:t>
      </w:r>
    </w:p>
    <w:p>
      <w:pPr>
        <w:pStyle w:val="ClauseLabel"/>
      </w:pPr>
      <w:r>
        <w:t xml:space="preserve">BH-31. Annual RVC Step-Up</w:t>
      </w:r>
    </w:p>
    <w:p>
      <w:pPr>
        <w:pStyle w:val="Normal"/>
      </w:pPr>
      <w:r>
        <w:t>RVC increases by 1% per year rather than a sudden jump, giving supply chains time to adjust.</w:t>
      </w:r>
    </w:p>
    <w:p>
      <w:pPr>
        <w:pStyle w:val="ClauseLabel"/>
      </w:pPr>
      <w:r>
        <w:t>BH-32. Certificate of Origin Mutual Recognition</w:t>
      </w:r>
    </w:p>
    <w:p>
      <w:pPr>
        <w:pStyle w:val="Normal"/>
      </w:pPr>
      <w:r>
        <w:t>Give a valid origin determination by one Party a rebuttable presumption of recognition in the others, subject to fraud, error and verification procedures.</w:t>
      </w:r>
    </w:p>
    <w:p>
      <w:pPr>
        <w:pStyle w:val="ClauseLabel"/>
      </w:pPr>
      <w:r>
        <w:t xml:space="preserve">BH-33. Value-Add vs. Cost-Add</w:t>
      </w:r>
    </w:p>
    <w:p>
      <w:pPr>
        <w:pStyle w:val="Normal"/>
      </w:pPr>
      <w:r>
        <w:t>Authorize simplified, transparent and approved RVC calculation methods after modelling impacts instead of mandating a single gross-cost formula.</w:t>
      </w:r>
    </w:p>
    <w:p>
      <w:pPr>
        <w:pStyle w:val="ClauseLabel"/>
      </w:pPr>
      <w:r>
        <w:t>BH-34. Tooling &amp; Die Credit</w:t>
      </w:r>
    </w:p>
    <w:p>
      <w:pPr>
        <w:pStyle w:val="Normal"/>
      </w:pPr>
      <w:r>
        <w:t>Recognize genuine North American tooling, dies and molds at actual attributable value and through strategic-tier qualification, not through value multiplication.</w:t>
      </w:r>
    </w:p>
    <w:p>
      <w:pPr>
        <w:pStyle w:val="ClauseLabel"/>
      </w:pPr>
      <w:r>
        <w:t>BH-35. Interim Compliance Period</w:t>
      </w:r>
    </w:p>
    <w:p>
      <w:pPr>
        <w:pStyle w:val="Normal"/>
      </w:pPr>
      <w:r>
        <w:t>For vehicles in development, the RVC rule applies at the start of production, not when design begins.</w:t>
      </w:r>
    </w:p>
    <w:p>
      <w:pPr>
        <w:pStyle w:val="ClauseLabel"/>
      </w:pPr>
      <w:r>
        <w:t>BH-36. Sub-assembly Averaging</w:t>
      </w:r>
    </w:p>
    <w:p>
      <w:pPr>
        <w:pStyle w:val="Normal"/>
      </w:pPr>
      <w:r>
        <w:t>Manufacturers can average RVC across multiple vehicle models produced at the same plant, smoothing compliance.</w:t>
      </w:r>
    </w:p>
    <w:p>
      <w:pPr>
        <w:pStyle w:val="ClauseLabel"/>
      </w:pPr>
      <w:r>
        <w:t>BH-37. Aftermarket Modification Credit</w:t>
      </w:r>
    </w:p>
    <w:p>
      <w:pPr>
        <w:pStyle w:val="Normal"/>
      </w:pPr>
      <w:r>
        <w:t>Vehicles modified in North America (upfitting, upfits) receive additional RVC credit for the value added.</w:t>
      </w:r>
    </w:p>
    <w:p>
      <w:pPr>
        <w:pStyle w:val="ClauseLabel"/>
      </w:pPr>
      <w:r>
        <w:t>BH-38. Software &amp; IP Inclusion</w:t>
      </w:r>
    </w:p>
    <w:p>
      <w:pPr>
        <w:pStyle w:val="Normal"/>
      </w:pPr>
      <w:r>
        <w:t>Embedded software, connectivity modules, and intellectual property royalties paid to North American entities count toward RVC.</w:t>
      </w:r>
    </w:p>
    <w:p>
      <w:pPr>
        <w:pStyle w:val="ClauseLabel"/>
      </w:pPr>
      <w:r>
        <w:t>BH-39. Emergency Waiver</w:t>
      </w:r>
    </w:p>
    <w:p>
      <w:pPr>
        <w:pStyle w:val="Normal"/>
      </w:pPr>
      <w:r>
        <w:t>In case of natural disaster or supply shock, the RVC requirement can be suspended for 60 days for affected parts.</w:t>
      </w:r>
    </w:p>
    <w:p>
      <w:pPr>
        <w:pStyle w:val="ClauseLabel"/>
      </w:pPr>
      <w:r>
        <w:t xml:space="preserve">BH-40. Five-Year Sunset Review</w:t>
      </w:r>
    </w:p>
    <w:p>
      <w:pPr>
        <w:pStyle w:val="Normal"/>
      </w:pPr>
      <w:r>
        <w:t>Review origin rules periodically, but do not automatically lower thresholds merely because capacity growth disappoints; diagnose shortage, underinvestment, infeasibility or non-performance first.</w:t>
      </w:r>
    </w:p>
    <w:p>
      <w:pPr>
        <w:pStyle w:val="ClauseLabel"/>
      </w:pPr>
      <w:r>
        <w:t>BH-41. North American Semiconductor Reserve</w:t>
      </w:r>
    </w:p>
    <w:p>
      <w:pPr>
        <w:pStyle w:val="Normal"/>
      </w:pPr>
      <w:r>
        <w:t>Create a North American semiconductor resilience mechanism combining strategic inventories, reserved foundry capacity, surge contracts and allocation principles rather than relying on a single cash fund.</w:t>
      </w:r>
    </w:p>
    <w:p>
      <w:pPr>
        <w:pStyle w:val="ClauseLabel"/>
      </w:pPr>
      <w:r>
        <w:t>BH-42. Critical Minerals Pact</w:t>
      </w:r>
    </w:p>
    <w:p>
      <w:pPr>
        <w:pStyle w:val="Normal"/>
      </w:pPr>
      <w:r>
        <w:t>Link Canadian, U.S. and Mexican mineral, processing, battery and assembly strengths through flexible investment and offtake cooperation without permanently assigning each country a fixed industrial role or fixed five-year price.</w:t>
      </w:r>
    </w:p>
    <w:p>
      <w:pPr>
        <w:pStyle w:val="ClauseLabel"/>
      </w:pPr>
      <w:r>
        <w:t>BH-43. Supplier Diversification Bonus</w:t>
      </w:r>
    </w:p>
    <w:p>
      <w:pPr>
        <w:pStyle w:val="Normal"/>
      </w:pPr>
      <w:r>
        <w:t>Reward meaningful trilateral participation without requiring exactly 30% of sourcing from each Party. Benefits may reflect verified contributions across all three economies.</w:t>
      </w:r>
    </w:p>
    <w:p>
      <w:pPr>
        <w:pStyle w:val="ClauseLabel"/>
      </w:pPr>
      <w:r>
        <w:t>BH-44. Shared EV Battery Plant</w:t>
      </w:r>
    </w:p>
    <w:p>
      <w:pPr>
        <w:pStyle w:val="Normal"/>
      </w:pPr>
      <w:r>
        <w:t>Support jointly financed or commercially structured battery capacity at strategically selected sites, with fair continental access and competitive ownership rather than mandatory one-third government equity shares.</w:t>
      </w:r>
    </w:p>
    <w:p>
      <w:pPr>
        <w:pStyle w:val="ClauseLabel"/>
      </w:pPr>
      <w:r>
        <w:t xml:space="preserve">BH-45. Just-in-Case Inventory Mandate</w:t>
      </w:r>
    </w:p>
    <w:p>
      <w:pPr>
        <w:pStyle w:val="Normal"/>
      </w:pPr>
      <w:r>
        <w:t>Require continuity plans and risk-calibrated inventories for genuinely critical inputs rather than a universal 30-day inventory mandate.</w:t>
      </w:r>
    </w:p>
    <w:p>
      <w:pPr>
        <w:pStyle w:val="ClauseLabel"/>
      </w:pPr>
      <w:r>
        <w:t>BH-46. Mexican Logistics Hub</w:t>
      </w:r>
    </w:p>
    <w:p>
      <w:pPr>
        <w:pStyle w:val="Normal"/>
      </w:pPr>
      <w:r>
        <w:t>Designate a Mexican port (e.g., Manzanillo) as a “North American Auto Gateway” with expedited customs for parts moving north.</w:t>
      </w:r>
    </w:p>
    <w:p>
      <w:pPr>
        <w:pStyle w:val="ClauseLabel"/>
      </w:pPr>
      <w:r>
        <w:t>BH-47. Canadian Rare Earth Refinery</w:t>
      </w:r>
    </w:p>
    <w:p>
      <w:pPr>
        <w:pStyle w:val="Normal"/>
      </w:pPr>
      <w:r>
        <w:t>Canada builds a rare-earth processing plant with the United States and Mexican investment, securing magnet supply for EV motors.</w:t>
      </w:r>
    </w:p>
    <w:p>
      <w:pPr>
        <w:pStyle w:val="ClauseLabel"/>
      </w:pPr>
      <w:r>
        <w:t>BH-48. Joint Procurement of Semiconductors</w:t>
      </w:r>
    </w:p>
    <w:p>
      <w:pPr>
        <w:pStyle w:val="Normal"/>
      </w:pPr>
      <w:r>
        <w:t>Permit pooled emergency procurement, capacity reservation and joint demand signalling for semiconductors without creating a government price-setting cartel.</w:t>
      </w:r>
    </w:p>
    <w:p>
      <w:pPr>
        <w:pStyle w:val="ClauseLabel"/>
      </w:pPr>
      <w:r>
        <w:t xml:space="preserve">BH-49. Cross-Border Trucking Agreement</w:t>
      </w:r>
    </w:p>
    <w:p>
      <w:pPr>
        <w:pStyle w:val="Normal"/>
      </w:pPr>
      <w:r>
        <w:t>Harmonize or recognize inspections and border procedures while preserving driver fatigue and hours-of-service protections.</w:t>
      </w:r>
    </w:p>
    <w:p>
      <w:pPr>
        <w:pStyle w:val="ClauseLabel"/>
      </w:pPr>
      <w:r>
        <w:t>BH-50. Strategic Parts Stockpile</w:t>
      </w:r>
    </w:p>
    <w:p>
      <w:pPr>
        <w:pStyle w:val="Normal"/>
      </w:pPr>
      <w:r>
        <w:t>Use distributed OEM, supplier and public reserve arrangements for critical parts according to risk rather than requiring every government to warehouse a fixed sixty-day list.</w:t>
      </w:r>
    </w:p>
    <w:p>
      <w:pPr>
        <w:pStyle w:val="ClauseLabel"/>
      </w:pPr>
      <w:r>
        <w:t>BH-51. Supplier Matchmaking Platform</w:t>
      </w:r>
    </w:p>
    <w:p>
      <w:pPr>
        <w:pStyle w:val="Normal"/>
      </w:pPr>
      <w:r>
        <w:t>A digital portal connects Mexican SME suppliers with the United States and Canadian OEMs, reducing sourcing friction.</w:t>
      </w:r>
    </w:p>
    <w:p>
      <w:pPr>
        <w:pStyle w:val="ClauseLabel"/>
      </w:pPr>
      <w:r>
        <w:t>BH-52. Rail and Corridor Investment</w:t>
      </w:r>
    </w:p>
    <w:p>
      <w:pPr>
        <w:pStyle w:val="Normal"/>
      </w:pPr>
      <w:r>
        <w:t>Jointly fund upgrades to the Kansas City–Mexico City rail line, cutting transit time by 20%.</w:t>
      </w:r>
    </w:p>
    <w:p>
      <w:pPr>
        <w:pStyle w:val="ClauseLabel"/>
      </w:pPr>
      <w:r>
        <w:t xml:space="preserve">BH-53. Anti-Dumping Cooperation</w:t>
      </w:r>
    </w:p>
    <w:p>
      <w:pPr>
        <w:pStyle w:val="Normal"/>
      </w:pPr>
      <w:r>
        <w:t>Coordinate anti-dumping, countervailing-duty, anti-circumvention and trade-defense information while preserving each Party’s lawful investigative authority.</w:t>
      </w:r>
    </w:p>
    <w:p>
      <w:pPr>
        <w:pStyle w:val="ClauseLabel"/>
      </w:pPr>
      <w:r>
        <w:t xml:space="preserve">BH-54. Second-Tier Supplier Inclusion</w:t>
      </w:r>
    </w:p>
    <w:p>
      <w:pPr>
        <w:pStyle w:val="Normal"/>
      </w:pPr>
      <w:r>
        <w:t>Map Tier-2 dependencies and incentivize regional diversification/localization rather than mandating that 50% of all Tier-2 suppliers be localized.</w:t>
      </w:r>
    </w:p>
    <w:p>
      <w:pPr>
        <w:pStyle w:val="ClauseLabel"/>
      </w:pPr>
      <w:r>
        <w:t>BH-55. Recycling Mandate</w:t>
      </w:r>
    </w:p>
    <w:p>
      <w:pPr>
        <w:pStyle w:val="Normal"/>
      </w:pPr>
      <w:r>
        <w:t>Adopt material-specific recycled-content trajectories based on technical feasibility, chemistry and regional recycling capacity rather than one fixed percentage for all batteries.</w:t>
      </w:r>
    </w:p>
    <w:p>
      <w:pPr>
        <w:pStyle w:val="ClauseLabel"/>
      </w:pPr>
      <w:r>
        <w:t>BH-56. Joint R&amp;D for Substitute Materials</w:t>
      </w:r>
    </w:p>
    <w:p>
      <w:pPr>
        <w:pStyle w:val="Normal"/>
      </w:pPr>
      <w:r>
        <w:t>Fund a $1B consortium to find alternatives for scarce materials (e.g., graphite) that can be produced regionally.</w:t>
      </w:r>
    </w:p>
    <w:p>
      <w:pPr>
        <w:pStyle w:val="ClauseLabel"/>
      </w:pPr>
      <w:r>
        <w:t>BH-57. Shared Warehousing</w:t>
      </w:r>
    </w:p>
    <w:p>
      <w:pPr>
        <w:pStyle w:val="Normal"/>
      </w:pPr>
      <w:r>
        <w:t>Support commercially useful shared warehousing and logistics hubs selected by bottleneck and resilience value rather than fixing five sites in treaty text.</w:t>
      </w:r>
    </w:p>
    <w:p>
      <w:pPr>
        <w:pStyle w:val="ClauseLabel"/>
      </w:pPr>
      <w:r>
        <w:t>BH-58. Emergency Air Bridge</w:t>
      </w:r>
    </w:p>
    <w:p>
      <w:pPr>
        <w:pStyle w:val="Normal"/>
      </w:pPr>
      <w:r>
        <w:t>In case of border closures, a pre-approved air freight route for auto parts is activated within 24 hours.</w:t>
      </w:r>
    </w:p>
    <w:p>
      <w:pPr>
        <w:pStyle w:val="ClauseLabel"/>
      </w:pPr>
      <w:r>
        <w:t>BH-59. Supplier Certification Equivalency</w:t>
      </w:r>
    </w:p>
    <w:p>
      <w:pPr>
        <w:pStyle w:val="Normal"/>
      </w:pPr>
      <w:r>
        <w:t>Recognize equivalent accredited supplier certifications and conformity assessments where standards are demonstrably comparable.</w:t>
      </w:r>
    </w:p>
    <w:p>
      <w:pPr>
        <w:pStyle w:val="ClauseLabel"/>
      </w:pPr>
      <w:r>
        <w:t>BH-60. Inventory Data Sharing</w:t>
      </w:r>
    </w:p>
    <w:p>
      <w:pPr>
        <w:pStyle w:val="Normal"/>
      </w:pPr>
      <w:r>
        <w:t>Use aggregate, protected, minimum-necessary inventory and shortage data rather than continuous disclosure of commercially sensitive real-time inventory to governments.</w:t>
      </w:r>
    </w:p>
    <w:p>
      <w:pPr>
        <w:pStyle w:val="ClauseLabel"/>
      </w:pPr>
      <w:r>
        <w:t>BH-61. EV Production Tax Credit Portability</w:t>
      </w:r>
    </w:p>
    <w:p>
      <w:pPr>
        <w:pStyle w:val="Normal"/>
      </w:pPr>
      <w:r>
        <w:t>Where a Party offers consumer or fleet incentives for qualifying vehicles, do not exclude an otherwise eligible North American vehicle solely because final assembly occurred in another Party, subject to equivalent substantive sourcing and performance conditions.</w:t>
      </w:r>
    </w:p>
    <w:p>
      <w:pPr>
        <w:pStyle w:val="ClauseLabel"/>
      </w:pPr>
      <w:r>
        <w:t>BH-62. Mexican Investment Matching</w:t>
      </w:r>
    </w:p>
    <w:p>
      <w:pPr>
        <w:pStyle w:val="Normal"/>
      </w:pPr>
      <w:r>
        <w:t>Permit Mexico and the other Parties to co-invest in strategic auto projects using transparent, performance-based national programs rather than mandatory matching of 50% of foreign investment.</w:t>
      </w:r>
    </w:p>
    <w:p>
      <w:pPr>
        <w:pStyle w:val="ClauseLabel"/>
      </w:pPr>
      <w:r>
        <w:t>BH-63. Canadian Retooling Fund</w:t>
      </w:r>
    </w:p>
    <w:p>
      <w:pPr>
        <w:pStyle w:val="Normal"/>
      </w:pPr>
      <w:r>
        <w:t>Canada offers $4B in low-interest loans to retool plants for EV production, available to the United States and Mexican firms.</w:t>
      </w:r>
    </w:p>
    <w:p>
      <w:pPr>
        <w:pStyle w:val="ClauseLabel"/>
      </w:pPr>
      <w:r>
        <w:t>BH-64. Shared Depreciation Rates</w:t>
      </w:r>
    </w:p>
    <w:p>
      <w:pPr>
        <w:pStyle w:val="Normal"/>
      </w:pPr>
      <w:r>
        <w:t>Coordinate accelerated depreciation or expensing objectives where useful without requiring identical tax codes.</w:t>
      </w:r>
    </w:p>
    <w:p>
      <w:pPr>
        <w:pStyle w:val="ClauseLabel"/>
      </w:pPr>
      <w:r>
        <w:t>BH-65. Green Energy Subsidy Harmonization</w:t>
      </w:r>
    </w:p>
    <w:p>
      <w:pPr>
        <w:pStyle w:val="Normal"/>
      </w:pPr>
      <w:r>
        <w:t>Pursue clean-energy incentive compatibility, transparency and reciprocal eligibility without forcing identical subsidy structures.</w:t>
      </w:r>
    </w:p>
    <w:p>
      <w:pPr>
        <w:pStyle w:val="ClauseLabel"/>
      </w:pPr>
      <w:r>
        <w:t>BH-66. Border Zone Investment Credit</w:t>
      </w:r>
    </w:p>
    <w:p>
      <w:pPr>
        <w:pStyle w:val="Normal"/>
      </w:pPr>
      <w:r>
        <w:t>Replace border-distance tax credits with Strategic Auto Corridor incentives based on logistics value, regional development and supply-chain need.</w:t>
      </w:r>
    </w:p>
    <w:p>
      <w:pPr>
        <w:pStyle w:val="ClauseLabel"/>
      </w:pPr>
      <w:r>
        <w:t>BH-67. Worker Training Tax Credit</w:t>
      </w:r>
    </w:p>
    <w:p>
      <w:pPr>
        <w:pStyle w:val="Normal"/>
      </w:pPr>
      <w:r>
        <w:t>Companies that train workers in advanced manufacturing (EV, AI, robotics) get a $5,000 credit per worker, honored by all three.</w:t>
      </w:r>
    </w:p>
    <w:p>
      <w:pPr>
        <w:pStyle w:val="ClauseLabel"/>
      </w:pPr>
      <w:r>
        <w:t>BH-68. Joint SOE Rules</w:t>
      </w:r>
    </w:p>
    <w:p>
      <w:pPr>
        <w:pStyle w:val="Normal"/>
      </w:pPr>
      <w:r>
        <w:t>Apply enhanced review to investments presenting state-control, subsidy, coercion, national-security or market-distortion risks while preserving fair treatment of trusted private investment.</w:t>
      </w:r>
    </w:p>
    <w:p>
      <w:pPr>
        <w:pStyle w:val="ClauseLabel"/>
      </w:pPr>
      <w:r>
        <w:t>BH-69. Mobility R&amp;D Corridor</w:t>
      </w:r>
    </w:p>
    <w:p>
      <w:pPr>
        <w:pStyle w:val="Normal"/>
      </w:pPr>
      <w:r>
        <w:t>Designate a corridor from Detroit to Monterrey as a “Mobility Innovation Zone” with pooled R&amp;D funds and shared IP rules.</w:t>
      </w:r>
    </w:p>
    <w:p>
      <w:pPr>
        <w:pStyle w:val="ClauseLabel"/>
      </w:pPr>
      <w:r>
        <w:t>BH-70. Production Floor Commitment</w:t>
      </w:r>
    </w:p>
    <w:p>
      <w:pPr>
        <w:pStyle w:val="Normal"/>
      </w:pPr>
      <w:r>
        <w:t>Use capacity, investment and employment-stability commitments instead of requiring every automaker to increase production in every country by 2% every year.</w:t>
      </w:r>
    </w:p>
    <w:p>
      <w:pPr>
        <w:pStyle w:val="ClauseLabel"/>
      </w:pPr>
      <w:r>
        <w:t>BH-71. Mexican Auto Supplier Park</w:t>
      </w:r>
    </w:p>
    <w:p>
      <w:pPr>
        <w:pStyle w:val="Normal"/>
      </w:pPr>
      <w:r>
        <w:t>Develop a dedicated supplier park in central Mexico with the United States and Canadian anchor investors, lowering logistics costs.</w:t>
      </w:r>
    </w:p>
    <w:p>
      <w:pPr>
        <w:pStyle w:val="ClauseLabel"/>
      </w:pPr>
      <w:r>
        <w:t>BH-72. Canadian Innovation Voucher</w:t>
      </w:r>
    </w:p>
    <w:p>
      <w:pPr>
        <w:pStyle w:val="Normal"/>
      </w:pPr>
      <w:r>
        <w:t>Canadian government issues vouchers for EV startups that can be used for cross-border supplier contracts.</w:t>
      </w:r>
    </w:p>
    <w:p>
      <w:pPr>
        <w:pStyle w:val="ClauseLabel"/>
      </w:pPr>
      <w:r>
        <w:t>BH-73. Tax Equalization Mechanism</w:t>
      </w:r>
    </w:p>
    <w:p>
      <w:pPr>
        <w:pStyle w:val="Normal"/>
      </w:pPr>
      <w:r>
        <w:t>Address subsidy and tax races through transparency, consultation and existing minimum-tax architecture rather than inventing an auto-only corporate tax treaty.</w:t>
      </w:r>
    </w:p>
    <w:p>
      <w:pPr>
        <w:pStyle w:val="ClauseLabel"/>
      </w:pPr>
      <w:r>
        <w:t>BH-74. Plant Repatriation Bonus</w:t>
      </w:r>
    </w:p>
    <w:p>
      <w:pPr>
        <w:pStyle w:val="Normal"/>
      </w:pPr>
      <w:r>
        <w:t>Use capped, performance-based reshoring incentives linked to verified capital investment, wages, duration and net job creation rather than an uncapped per-job grant.</w:t>
      </w:r>
    </w:p>
    <w:p>
      <w:pPr>
        <w:pStyle w:val="ClauseLabel"/>
      </w:pPr>
      <w:r>
        <w:t>BH-75. Joint Venture for Autonomous Tech</w:t>
      </w:r>
    </w:p>
    <w:p>
      <w:pPr>
        <w:pStyle w:val="Normal"/>
      </w:pPr>
      <w:r>
        <w:t>Create a trilateral autonomous vehicle testing corridor (from Vancouver to Mexico City) with shared liability and insurance rules.</w:t>
      </w:r>
    </w:p>
    <w:p>
      <w:pPr>
        <w:pStyle w:val="ClauseLabel"/>
      </w:pPr>
      <w:r>
        <w:t>BH-76. Infrastructure Deduction</w:t>
      </w:r>
    </w:p>
    <w:p>
      <w:pPr>
        <w:pStyle w:val="Normal"/>
      </w:pPr>
      <w:r>
        <w:t>Encourage national tax or grant incentives for charging, hydrogen and smart-road infrastructure under reciprocal eligibility principles; do not prescribe a uniform 150% deduction.</w:t>
      </w:r>
    </w:p>
    <w:p>
      <w:pPr>
        <w:pStyle w:val="ClauseLabel"/>
      </w:pPr>
      <w:r>
        <w:t>BH-77. Local Content Investment Credits</w:t>
      </w:r>
    </w:p>
    <w:p>
      <w:pPr>
        <w:pStyle w:val="Normal"/>
      </w:pPr>
      <w:r>
        <w:t>Merge above-threshold local-content incentives into the 80% and 85% tiers rather than layering another percentage-credit schedule.</w:t>
      </w:r>
    </w:p>
    <w:p>
      <w:pPr>
        <w:pStyle w:val="ClauseLabel"/>
      </w:pPr>
      <w:r>
        <w:t>BH-78. Technology Transfer Facilitation</w:t>
      </w:r>
    </w:p>
    <w:p>
      <w:pPr>
        <w:pStyle w:val="Normal"/>
      </w:pPr>
      <w:r>
        <w:t>Support voluntary licensing, joint R&amp;D, patent pools and commercialization incentives; no firm is required to transfer patents at reduced royalties as a condition of market access.</w:t>
      </w:r>
    </w:p>
    <w:p>
      <w:pPr>
        <w:pStyle w:val="ClauseLabel"/>
      </w:pPr>
      <w:r>
        <w:t>BH-79. Community Benefit Agreements</w:t>
      </w:r>
    </w:p>
    <w:p>
      <w:pPr>
        <w:pStyle w:val="Normal"/>
      </w:pPr>
      <w:r>
        <w:t>Large auto investments require local hiring and community development plans, monitored by a trilateral council.</w:t>
      </w:r>
    </w:p>
    <w:p>
      <w:pPr>
        <w:pStyle w:val="ClauseLabel"/>
      </w:pPr>
      <w:r>
        <w:t>BH-80. Emergency Investment Protection</w:t>
      </w:r>
    </w:p>
    <w:p>
      <w:pPr>
        <w:pStyle w:val="Normal"/>
      </w:pPr>
      <w:r>
        <w:t>Preserve non-discrimination, due process and compensation for expropriation while retaining each Party’s legitimate authority to tax and regulate in a non-discriminatory manner.</w:t>
      </w:r>
    </w:p>
    <w:p>
      <w:pPr>
        <w:pStyle w:val="ClauseLabel"/>
      </w:pPr>
      <w:r>
        <w:t>BH-81. Wage Alignment Fund</w:t>
      </w:r>
    </w:p>
    <w:p>
      <w:pPr>
        <w:pStyle w:val="Normal"/>
      </w:pPr>
      <w:r>
        <w:t>Create a Mexican Auto Wage Convergence and Productivity Track based on enforceable labour rights, collective bargaining, training and productivity rather than a treaty-imposed wage and foreign-funded wage subsidy.</w:t>
      </w:r>
    </w:p>
    <w:p>
      <w:pPr>
        <w:pStyle w:val="ClauseLabel"/>
      </w:pPr>
      <w:r>
        <w:t>BH-82. Rapid Response Mechanism Extension</w:t>
      </w:r>
    </w:p>
    <w:p>
      <w:pPr>
        <w:pStyle w:val="Normal"/>
      </w:pPr>
      <w:r>
        <w:t>Use and strengthen existing rapid-response labour mechanisms with due-process safeguards rather than creating duplicative plant-by-plant arbitration machinery.</w:t>
      </w:r>
    </w:p>
    <w:p>
      <w:pPr>
        <w:pStyle w:val="ClauseLabel"/>
      </w:pPr>
      <w:r>
        <w:t>BH-83. Union Access Guarantee</w:t>
      </w:r>
    </w:p>
    <w:p>
      <w:pPr>
        <w:pStyle w:val="Normal"/>
      </w:pPr>
      <w:r>
        <w:t>Guarantee applicable organizing and collective-bargaining rights through existing labour institutions and designated contact points rather than a new permanent ombudsperson.</w:t>
      </w:r>
    </w:p>
    <w:p>
      <w:pPr>
        <w:pStyle w:val="ClauseLabel"/>
      </w:pPr>
      <w:r>
        <w:t>BH-84. Apprenticeship Exchange</w:t>
      </w:r>
    </w:p>
    <w:p>
      <w:pPr>
        <w:pStyle w:val="Normal"/>
      </w:pPr>
      <w:r>
        <w:t>1,000 Mexican apprentices per year train in Canadian/the United States EV facilities, and vice versa in lean manufacturing.</w:t>
      </w:r>
    </w:p>
    <w:p>
      <w:pPr>
        <w:pStyle w:val="ClauseLabel"/>
      </w:pPr>
      <w:r>
        <w:t>BH-85. Gender Parity Incentive</w:t>
      </w:r>
    </w:p>
    <w:p>
      <w:pPr>
        <w:pStyle w:val="Normal"/>
      </w:pPr>
      <w:r>
        <w:t>Promote women’s participation in advanced automotive manufacturing through training, recruitment, childcare/barrier reduction and voluntary performance incentives rather than tariff discounts based on workforce demographics.</w:t>
      </w:r>
    </w:p>
    <w:p>
      <w:pPr>
        <w:pStyle w:val="ClauseLabel"/>
      </w:pPr>
      <w:r>
        <w:t>BH-86. Child Labor Zero Tolerance</w:t>
      </w:r>
    </w:p>
    <w:p>
      <w:pPr>
        <w:pStyle w:val="Normal"/>
      </w:pPr>
      <w:r>
        <w:t>Maintain zero tolerance for child labour through traceability, remediation and proportionate penalties while protecting affected children; no arbitrary flat fine is mandated.</w:t>
      </w:r>
    </w:p>
    <w:p>
      <w:pPr>
        <w:pStyle w:val="ClauseLabel"/>
      </w:pPr>
      <w:r>
        <w:t>BH-87. Portable Seniority</w:t>
      </w:r>
    </w:p>
    <w:p>
      <w:pPr>
        <w:pStyle w:val="Normal"/>
      </w:pPr>
      <w:r>
        <w:t>Promote portable skills, recognized credentials and pension/benefit coordination where legally feasible rather than attempting to make employer seniority automatically portable across borders.</w:t>
      </w:r>
    </w:p>
    <w:p>
      <w:pPr>
        <w:pStyle w:val="ClauseLabel"/>
      </w:pPr>
      <w:r>
        <w:t>BH-88. Joint Health &amp; Safety Standards</w:t>
      </w:r>
    </w:p>
    <w:p>
      <w:pPr>
        <w:pStyle w:val="Normal"/>
      </w:pPr>
      <w:r>
        <w:t>Pursue high-standard occupational safety equivalence and mutual recognition where outcomes are comparable rather than mechanically adopting the strictest rule from each jurisdiction.</w:t>
      </w:r>
    </w:p>
    <w:p>
      <w:pPr>
        <w:pStyle w:val="ClauseLabel"/>
      </w:pPr>
      <w:r>
        <w:t>BH-90. Labor Attaché Network</w:t>
      </w:r>
    </w:p>
    <w:p>
      <w:pPr>
        <w:pStyle w:val="Normal"/>
      </w:pPr>
      <w:r>
        <w:t>Use existing embassies, ministries and designated labour contact points for rapid informal resolution rather than creating a new labour-attaché bureaucracy.</w:t>
      </w:r>
    </w:p>
    <w:p>
      <w:pPr>
        <w:pStyle w:val="ClauseLabel"/>
      </w:pPr>
      <w:r>
        <w:t>BH-91. Harmonized CO₂ Standards</w:t>
      </w:r>
    </w:p>
    <w:p>
      <w:pPr>
        <w:pStyle w:val="Normal"/>
      </w:pPr>
      <w:r>
        <w:t>Pursue interoperable heavy- and light-vehicle emissions trajectories and credit recognition where lawful, with periodic technical updates rather than a frozen fleet-average number.</w:t>
      </w:r>
    </w:p>
    <w:p>
      <w:pPr>
        <w:pStyle w:val="ClauseLabel"/>
      </w:pPr>
      <w:r>
        <w:t>BH-92. EV Charging Corridor Fund</w:t>
      </w:r>
    </w:p>
    <w:p>
      <w:pPr>
        <w:pStyle w:val="Normal"/>
      </w:pPr>
      <w:r>
        <w:t>Jointly invest $2B in charging infrastructure along major highways, enabling cross-border EV travel seamlessly.</w:t>
      </w:r>
    </w:p>
    <w:p>
      <w:pPr>
        <w:pStyle w:val="ClauseLabel"/>
      </w:pPr>
      <w:r>
        <w:t>BH-93. Battery Passport System</w:t>
      </w:r>
    </w:p>
    <w:p>
      <w:pPr>
        <w:pStyle w:val="Normal"/>
      </w:pPr>
      <w:r>
        <w:t>A shared digital battery passport tracks lifecycle emissions, allowing automakers to earn carbon credits across borders.</w:t>
      </w:r>
    </w:p>
    <w:p>
      <w:pPr>
        <w:pStyle w:val="ClauseLabel"/>
      </w:pPr>
      <w:r>
        <w:t xml:space="preserve">BH-94. Zero-Emission Vehicle Mandate Alignment</w:t>
      </w:r>
    </w:p>
    <w:p>
      <w:pPr>
        <w:pStyle w:val="Normal"/>
      </w:pPr>
      <w:r>
        <w:t>Align zero-emission vehicle policy through interoperable standards, credits and infrastructure where useful rather than requiring identical sales mandates and dates.</w:t>
      </w:r>
    </w:p>
    <w:p>
      <w:pPr>
        <w:pStyle w:val="ClauseLabel"/>
      </w:pPr>
      <w:r>
        <w:t>BH-95. Environmental Remediation Fund</w:t>
      </w:r>
    </w:p>
    <w:p>
      <w:pPr>
        <w:pStyle w:val="Normal"/>
      </w:pPr>
      <w:r>
        <w:t>Use polluter-pays liability, targeted remediation agreements and project-specific contributions for legacy contamination rather than a blanket vehicle-value levy.</w:t>
      </w:r>
    </w:p>
    <w:p>
      <w:pPr>
        <w:pStyle w:val="ClauseLabel"/>
      </w:pPr>
      <w:r>
        <w:t>BH-96. Circular Economy Initiative</w:t>
      </w:r>
    </w:p>
    <w:p>
      <w:pPr>
        <w:pStyle w:val="Normal"/>
      </w:pPr>
      <w:r>
        <w:t>Require 20% of interior plastics to be recycled or bio-based by 2030, with joint certification standards.</w:t>
      </w:r>
    </w:p>
    <w:p>
      <w:pPr>
        <w:pStyle w:val="ClauseLabel"/>
      </w:pPr>
      <w:r>
        <w:t xml:space="preserve">BH-97. Auto-Specific Tribunal</w:t>
      </w:r>
    </w:p>
    <w:p>
      <w:pPr>
        <w:pStyle w:val="Normal"/>
      </w:pPr>
      <w:r>
        <w:t>Use an expedited Automotive Cothrom Track and temporary technical expert rosters instead of a permanent auto-specific tribunal.</w:t>
      </w:r>
    </w:p>
    <w:p>
      <w:pPr>
        <w:pStyle w:val="ClauseLabel"/>
      </w:pPr>
      <w:r>
        <w:t>BH-98. Early Warning System</w:t>
      </w:r>
    </w:p>
    <w:p>
      <w:pPr>
        <w:pStyle w:val="Normal"/>
      </w:pPr>
      <w:r>
        <w:t>Use multi-factor early-warning indicators, including volume, price, capacity use, employment, margins, diversion and transshipment. Import growth alone does not establish injury.</w:t>
      </w:r>
    </w:p>
    <w:p>
      <w:pPr>
        <w:pStyle w:val="ClauseLabel"/>
      </w:pPr>
      <w:r>
        <w:t>BH-99. Political Escalation Clause</w:t>
      </w:r>
    </w:p>
    <w:p>
      <w:pPr>
        <w:pStyle w:val="Normal"/>
      </w:pPr>
      <w:r>
        <w:t>Require notice, verification and a meaningful cure or mediation opportunity before proportional retaliation except where a genuine emergency makes delay impracticable.</w:t>
      </w:r>
    </w:p>
    <w:p>
      <w:pPr>
        <w:pStyle w:val="ClauseLabel"/>
      </w:pPr>
      <w:r>
        <w:t>BH-100. 10-Year Stability Charter</w:t>
      </w:r>
    </w:p>
    <w:p>
      <w:pPr>
        <w:pStyle w:val="Normal"/>
      </w:pPr>
      <w:r>
        <w:t>Create a binding or operational Automotive Stability Guarantee with scheduled review, emergency exceptions and No-Fade/step-back protection rather than relying only on a non-binding charter.</w:t>
      </w:r>
    </w:p>
    <w:p>
      <w:pPr>
        <w:pStyle w:val="Heading1"/>
      </w:pPr>
      <w:bookmarkStart w:id="902318" w:name="_Toc300002317"/>
      <w:r>
        <w:t>PACKAGE BI: MEDIUM- AND HEAVY-DUTY VEHICLE INTEGRATION TRACK</w:t>
      </w:r>
      <w:bookmarkEnd w:id="902318"/>
    </w:p>
    <w:p>
      <w:pPr>
        <w:pStyle w:val="Heading2"/>
      </w:pPr>
      <w:bookmarkStart w:id="902319" w:name="_Toc300002318"/>
      <w:r>
        <w:t>BI-1. Express Heavy-Truck Coverage</w:t>
      </w:r>
      <w:bookmarkEnd w:id="902319"/>
    </w:p>
    <w:p>
      <w:pPr>
        <w:pStyle w:val="Normal"/>
      </w:pPr>
      <w:r>
        <w:t>Medium- and heavy-duty trucks, incomplete vehicles, chassis-cabs, tractors, vocational vehicles and qualifying specialized road vehicles are expressly included in the automotive market-access architecture. Benefits may not be defeated through weight-class or tariff-line carve-outs.</w:t>
      </w:r>
    </w:p>
    <w:p>
      <w:pPr>
        <w:pStyle w:val="Heading2"/>
      </w:pPr>
      <w:bookmarkStart w:id="902320" w:name="_Toc300002319"/>
      <w:r>
        <w:t>BI-2. Heavy-Truck Origin Application</w:t>
      </w:r>
      <w:bookmarkEnd w:id="902320"/>
    </w:p>
    <w:p>
      <w:pPr>
        <w:pStyle w:val="Normal"/>
      </w:pPr>
      <w:r>
        <w:t>The 75% Standard, 80% High Integration and 85% Strategic Tier architecture applies to medium/heavy vehicles with product-appropriate calculations for powertrain, cab, chassis, axles, structural assemblies, electronics, telematics, safety systems and vocational equipment.</w:t>
      </w:r>
    </w:p>
    <w:p>
      <w:pPr>
        <w:pStyle w:val="Heading2"/>
      </w:pPr>
      <w:bookmarkStart w:id="902321" w:name="_Toc300002320"/>
      <w:r>
        <w:t>BI-3. Vocational Vehicle Recognition</w:t>
      </w:r>
      <w:bookmarkEnd w:id="902321"/>
    </w:p>
    <w:p>
      <w:pPr>
        <w:pStyle w:val="Normal"/>
      </w:pPr>
      <w:r>
        <w:t>Fire, rescue, utility, refuse, construction, mining, logging, snow-management and other vocational configurations may receive tailored certification and procurement treatment while remaining subject to origin and safety requirements.</w:t>
      </w:r>
    </w:p>
    <w:p>
      <w:pPr>
        <w:pStyle w:val="Heading2"/>
      </w:pPr>
      <w:bookmarkStart w:id="902322" w:name="_Toc300002321"/>
      <w:r>
        <w:t>BI-4. Corridor Interoperability</w:t>
      </w:r>
      <w:bookmarkEnd w:id="902322"/>
    </w:p>
    <w:p>
      <w:pPr>
        <w:pStyle w:val="Normal"/>
      </w:pPr>
      <w:r>
        <w:t>The Parties may designate freight corridors for compatible weight/dimension rules, charging or hydrogen standards, digital credentials, inspection reciprocity, autonomous pilots and emergency rerouting.</w:t>
      </w:r>
    </w:p>
    <w:p>
      <w:pPr>
        <w:pStyle w:val="Heading2"/>
      </w:pPr>
      <w:bookmarkStart w:id="902323" w:name="_Toc300002322"/>
      <w:r>
        <w:t>BI-5. Remanufacturing and Circularity</w:t>
      </w:r>
      <w:bookmarkEnd w:id="902323"/>
    </w:p>
    <w:p>
      <w:pPr>
        <w:pStyle w:val="Normal"/>
      </w:pPr>
      <w:r>
        <w:t>The Parties should facilitate certified remanufacturing, used-core movement, battery and tire recovery, component reuse and end-of-life management while preventing unsafe or environmentally harmful dumping.</w:t>
      </w:r>
    </w:p>
    <w:p>
      <w:pPr>
        <w:pStyle w:val="Heading2"/>
      </w:pPr>
      <w:bookmarkStart w:id="902324" w:name="_Toc300002323"/>
      <w:r>
        <w:t>BI-6. Connected-Truck Cybersecurity</w:t>
      </w:r>
      <w:bookmarkEnd w:id="902324"/>
    </w:p>
    <w:p>
      <w:pPr>
        <w:pStyle w:val="Normal"/>
      </w:pPr>
      <w:r>
        <w:t>Shared baseline cybersecurity, OTA-update, vulnerability-reporting and incident-response principles should permit interoperable connected fleets without requiring disclosure of unnecessary proprietary data.</w:t>
      </w:r>
    </w:p>
    <w:p>
      <w:pPr>
        <w:pStyle w:val="Heading2"/>
      </w:pPr>
      <w:bookmarkStart w:id="902325" w:name="_Toc300002324"/>
      <w:r>
        <w:t>BI-7. Cold-Climate Validation</w:t>
      </w:r>
      <w:bookmarkEnd w:id="902325"/>
    </w:p>
    <w:p>
      <w:pPr>
        <w:pStyle w:val="Normal"/>
      </w:pPr>
      <w:r>
        <w:t>Canadian and other North American cold-, heat-, altitude-, grade- and severe-weather test environments may be recognized as regional engineering and validation contributions where the work is genuine and documented.</w:t>
      </w:r>
    </w:p>
    <w:p>
      <w:pPr>
        <w:pStyle w:val="Heading2"/>
      </w:pPr>
      <w:bookmarkStart w:id="902326" w:name="_Toc300002325"/>
      <w:r>
        <w:t>BI-8. Emergency Freight Continuity</w:t>
      </w:r>
      <w:bookmarkEnd w:id="902326"/>
    </w:p>
    <w:p>
      <w:pPr>
        <w:pStyle w:val="Normal"/>
      </w:pPr>
      <w:r>
        <w:t>The Parties should pre-plan alternate crossings, routes, rail interfaces, ports and emergency logistics arrangements for disasters, cyber incidents, infrastructure failures, severe weather and other major freight disruptions.</w:t>
      </w:r>
    </w:p>
    <w:p>
      <w:pPr>
        <w:pStyle w:val="Heading1"/>
      </w:pPr>
      <w:bookmarkStart w:id="902327" w:name="_Toc300002326"/>
      <w:r>
        <w:t>PACKAGE BJ: HEAVY-TRUCK NEGOTIATION CATALOGUE</w:t>
      </w:r>
      <w:bookmarkEnd w:id="902327"/>
    </w:p>
    <w:p>
      <w:pPr>
        <w:pStyle w:val="Normal"/>
      </w:pPr>
      <w:r>
        <w:t>These mechanisms preserve the useful substance of the fifty heavy-truck bargaining concepts while removing nationality quotas, compulsory IP transfer, arbitrary geography, committee duplication and unrelated cross-sector retaliation.</w:t>
      </w:r>
    </w:p>
    <w:p>
      <w:pPr>
        <w:pStyle w:val="ClauseLabel"/>
      </w:pPr>
      <w:r>
        <w:t xml:space="preserve">BJ-1. Zero-Emission Truck Tariff Swap</w:t>
      </w:r>
    </w:p>
    <w:p>
      <w:pPr>
        <w:pStyle w:val="Normal"/>
      </w:pPr>
      <w:r>
        <w:t>Apply zero or preferential treatment to qualifying originating zero-emission medium/heavy trucks and qualifying North American battery cells or power electronics under reciprocal origin and anti-circumvention rules.</w:t>
      </w:r>
    </w:p>
    <w:p>
      <w:pPr>
        <w:pStyle w:val="ClauseLabel"/>
      </w:pPr>
      <w:r>
        <w:t>BJ-2. North American Truck Content Rule Flex</w:t>
      </w:r>
    </w:p>
    <w:p>
      <w:pPr>
        <w:pStyle w:val="Normal"/>
      </w:pPr>
      <w:r>
        <w:t>Permit time-limited heavy-truck origin flexibility for verified regional capacity gaps while strengthening anti-transshipment treatment for non-North-American truck components.</w:t>
      </w:r>
    </w:p>
    <w:p>
      <w:pPr>
        <w:pStyle w:val="ClauseLabel"/>
      </w:pPr>
      <w:r>
        <w:t>BJ-3. Green Truck Corridor Deal</w:t>
      </w:r>
    </w:p>
    <w:p>
      <w:pPr>
        <w:pStyle w:val="Normal"/>
      </w:pPr>
      <w:r>
        <w:t>Priority customs lanes for Canadian zero-emission trucks in exchange for Canada funding cross-border charging/hydrogen infrastructure in U.S./Mexico.</w:t>
      </w:r>
    </w:p>
    <w:p>
      <w:pPr>
        <w:pStyle w:val="ClauseLabel"/>
      </w:pPr>
      <w:r>
        <w:t>BJ-4. Truck Emissions Credit Trading</w:t>
      </w:r>
    </w:p>
    <w:p>
      <w:pPr>
        <w:pStyle w:val="Normal"/>
      </w:pPr>
      <w:r>
        <w:t>Canada accepts aligned heavy-duty emissions standards in exchange for access to a trilateral emissions credit trading market for fleets.</w:t>
      </w:r>
    </w:p>
    <w:p>
      <w:pPr>
        <w:pStyle w:val="ClauseLabel"/>
      </w:pPr>
      <w:r>
        <w:t>BJ-5. Battery Recycling Access</w:t>
      </w:r>
    </w:p>
    <w:p>
      <w:pPr>
        <w:pStyle w:val="Normal"/>
      </w:pPr>
      <w:r>
        <w:t>Preferential access for Canadian truck OEMs to U.S./Mexican battery recycling facilities in exchange for Canadian investment in recycling plants.</w:t>
      </w:r>
    </w:p>
    <w:p>
      <w:pPr>
        <w:pStyle w:val="ClauseLabel"/>
      </w:pPr>
      <w:r>
        <w:t>BJ-6. Truck R&amp;D Consortium</w:t>
      </w:r>
    </w:p>
    <w:p>
      <w:pPr>
        <w:pStyle w:val="Normal"/>
      </w:pPr>
      <w:r>
        <w:t>Support joint heavy-truck research, open technical standards where appropriate and voluntary licensing while protecting proprietary IP and project-specific ownership rights.</w:t>
      </w:r>
    </w:p>
    <w:p>
      <w:pPr>
        <w:pStyle w:val="ClauseLabel"/>
      </w:pPr>
      <w:r>
        <w:t>BJ-7. Critical Minerals for Truck Access</w:t>
      </w:r>
    </w:p>
    <w:p>
      <w:pPr>
        <w:pStyle w:val="Normal"/>
      </w:pPr>
      <w:r>
        <w:t>Pair verified strategic-mineral supply, processing, investment or offtake cooperation with reciprocal heavy-truck market and procurement eligibility. No Party guarantees extraction or surrender of sovereign resources.</w:t>
      </w:r>
    </w:p>
    <w:p>
      <w:pPr>
        <w:pStyle w:val="ClauseLabel"/>
      </w:pPr>
      <w:r>
        <w:t>BJ-8. Defense Logistics Truck Window</w:t>
      </w:r>
    </w:p>
    <w:p>
      <w:pPr>
        <w:pStyle w:val="Normal"/>
      </w:pPr>
      <w:r>
        <w:t>Create Trusted North American Defense Logistics Vehicle eligibility based on origin, security, interoperability and procurement requirements; participation in military exercises is not traded for commercial truck access.</w:t>
      </w:r>
    </w:p>
    <w:p>
      <w:pPr>
        <w:pStyle w:val="ClauseLabel"/>
      </w:pPr>
      <w:r>
        <w:t>BJ-9. Border Modernization for Fleets</w:t>
      </w:r>
    </w:p>
    <w:p>
      <w:pPr>
        <w:pStyle w:val="Normal"/>
      </w:pPr>
      <w:r>
        <w:t>Streamlined border procedures for Canadian trucking fleets in exchange for Canada co-funding digital customs modernization in U.S./Mexico.</w:t>
      </w:r>
    </w:p>
    <w:p>
      <w:pPr>
        <w:pStyle w:val="ClauseLabel"/>
      </w:pPr>
      <w:r>
        <w:t>BJ-10. Truck Safety Harmonization</w:t>
      </w:r>
    </w:p>
    <w:p>
      <w:pPr>
        <w:pStyle w:val="Normal"/>
      </w:pPr>
      <w:r>
        <w:t>Canada adopts harmonized safety standards for heavy trucks in exchange for mutual recognition of Canadian certification and reduced testing duplication.</w:t>
      </w:r>
    </w:p>
    <w:p>
      <w:pPr>
        <w:pStyle w:val="ClauseLabel"/>
      </w:pPr>
      <w:r>
        <w:t>BJ-11. Green Freight Incentive Pool</w:t>
      </w:r>
    </w:p>
    <w:p>
      <w:pPr>
        <w:pStyle w:val="Normal"/>
      </w:pPr>
      <w:r>
        <w:t>Shared trilateral fund for low-carbon freight trucks, with Canadian trucks eligible, in exchange for Canada contributing a fixed share of the fund.</w:t>
      </w:r>
    </w:p>
    <w:p>
      <w:pPr>
        <w:pStyle w:val="ClauseLabel"/>
      </w:pPr>
      <w:r>
        <w:t xml:space="preserve">BJ-12. Truck Cab &amp; Chassis Co-Production</w:t>
      </w:r>
    </w:p>
    <w:p>
      <w:pPr>
        <w:pStyle w:val="Normal"/>
      </w:pPr>
      <w:r>
        <w:t>Canada gets relaxed rules on importing Mexican cab assemblies in exchange for opening Canadian chassis production to U.S./Mexican firms.</w:t>
      </w:r>
    </w:p>
    <w:p>
      <w:pPr>
        <w:pStyle w:val="ClauseLabel"/>
      </w:pPr>
      <w:r>
        <w:t>BJ-13. Hydrogen Truck Pilot Corridors</w:t>
      </w:r>
    </w:p>
    <w:p>
      <w:pPr>
        <w:pStyle w:val="Normal"/>
      </w:pPr>
      <w:r>
        <w:t>Canada secures pilot hydrogen truck corridors to U.S./Mexico in exchange for long-term offtake agreements for Mexican green hydrogen.</w:t>
      </w:r>
    </w:p>
    <w:p>
      <w:pPr>
        <w:pStyle w:val="ClauseLabel"/>
      </w:pPr>
      <w:r>
        <w:t>BJ-14. Truck Data Sharing Pact</w:t>
      </w:r>
    </w:p>
    <w:p>
      <w:pPr>
        <w:pStyle w:val="Normal"/>
      </w:pPr>
      <w:r>
        <w:t>Share minimum-necessary, protected and appropriately aggregated telematics or freight data for safety and logistics purposes under interoperable privacy, cybersecurity and commercial-confidentiality rules.</w:t>
      </w:r>
    </w:p>
    <w:p>
      <w:pPr>
        <w:pStyle w:val="ClauseLabel"/>
      </w:pPr>
      <w:r>
        <w:t>BJ-15. Truck Remanufacturing Hub Status</w:t>
      </w:r>
    </w:p>
    <w:p>
      <w:pPr>
        <w:pStyle w:val="Normal"/>
      </w:pPr>
      <w:r>
        <w:t>Canada designated as a regional remanufacturing hub for heavy trucks in exchange for lower tariffs on used truck cores from U.S./Mexico.</w:t>
      </w:r>
    </w:p>
    <w:p>
      <w:pPr>
        <w:pStyle w:val="ClauseLabel"/>
      </w:pPr>
      <w:r>
        <w:t>BJ-16. Customs Duty Rebate for Green Fleets</w:t>
      </w:r>
    </w:p>
    <w:p>
      <w:pPr>
        <w:pStyle w:val="Normal"/>
      </w:pPr>
      <w:r>
        <w:t>Duty rebates on Canadian trucks used in cross-border green freight programs in exchange for Canada enforcing stricter fleet emissions reporting.</w:t>
      </w:r>
    </w:p>
    <w:p>
      <w:pPr>
        <w:pStyle w:val="ClauseLabel"/>
      </w:pPr>
      <w:r>
        <w:t>BJ-17. Truck Driver Training Recognition</w:t>
      </w:r>
    </w:p>
    <w:p>
      <w:pPr>
        <w:pStyle w:val="Normal"/>
      </w:pPr>
      <w:r>
        <w:t>Mutual recognition of Canadian heavy-duty driver training standards in exchange for Canada recognizing U.S./Mexican certifications.</w:t>
      </w:r>
    </w:p>
    <w:p>
      <w:pPr>
        <w:pStyle w:val="ClauseLabel"/>
      </w:pPr>
      <w:r>
        <w:t>BJ-18. Public Procurement Truck Quotas</w:t>
      </w:r>
    </w:p>
    <w:p>
      <w:pPr>
        <w:pStyle w:val="Normal"/>
      </w:pPr>
      <w:r>
        <w:t>Replace nationality quotas with reciprocal North American procurement eligibility for qualifying medium/heavy trucks, buses and vocational vehicles.</w:t>
      </w:r>
    </w:p>
    <w:p>
      <w:pPr>
        <w:pStyle w:val="ClauseLabel"/>
      </w:pPr>
      <w:r>
        <w:t>BJ-19. Truck Parts Origin Flexibility</w:t>
      </w:r>
    </w:p>
    <w:p>
      <w:pPr>
        <w:pStyle w:val="Normal"/>
      </w:pPr>
      <w:r>
        <w:t>More flexible origin rules for Canadian truck parts in exchange for Canada tightening origin rules on non-North American parts.</w:t>
      </w:r>
    </w:p>
    <w:p>
      <w:pPr>
        <w:pStyle w:val="ClauseLabel"/>
      </w:pPr>
      <w:r>
        <w:t xml:space="preserve">BJ-20. Cross-Border Logistics Sandbox</w:t>
      </w:r>
    </w:p>
    <w:p>
      <w:pPr>
        <w:pStyle w:val="Normal"/>
      </w:pPr>
      <w:r>
        <w:t>Regulatory sandbox for autonomous Canadian heavy trucks in exchange for Canada allowing U.S./Mexican AV pilots on designated corridors.</w:t>
      </w:r>
    </w:p>
    <w:p>
      <w:pPr>
        <w:pStyle w:val="ClauseLabel"/>
      </w:pPr>
      <w:r>
        <w:t>BJ-21. Truck Insurance Market Access</w:t>
      </w:r>
    </w:p>
    <w:p>
      <w:pPr>
        <w:pStyle w:val="Normal"/>
      </w:pPr>
      <w:r>
        <w:t>Facilitate cross-border commercial motor-carrier insurance through equivalence, recognition and compliant market access while preserving prudential regulation.</w:t>
      </w:r>
    </w:p>
    <w:p>
      <w:pPr>
        <w:pStyle w:val="ClauseLabel"/>
      </w:pPr>
      <w:r>
        <w:t>BJ-22. Truck Leasing Tax Coordination</w:t>
      </w:r>
    </w:p>
    <w:p>
      <w:pPr>
        <w:pStyle w:val="Normal"/>
      </w:pPr>
      <w:r>
        <w:t>Coordinated tax treatment of cross-border truck leasing in exchange for Canada aligning depreciation rules with U.S./Mexico.</w:t>
      </w:r>
    </w:p>
    <w:p>
      <w:pPr>
        <w:pStyle w:val="ClauseLabel"/>
      </w:pPr>
      <w:r>
        <w:t xml:space="preserve">BJ-23. Truck Scrap &amp; End-of-Life Pact</w:t>
      </w:r>
    </w:p>
    <w:p>
      <w:pPr>
        <w:pStyle w:val="Normal"/>
      </w:pPr>
      <w:r>
        <w:t>Preferential treatment for Canadian scrap trucks exported for recycling in Mexico in exchange for Canada enforcing stricter end-of-life standards.</w:t>
      </w:r>
    </w:p>
    <w:p>
      <w:pPr>
        <w:pStyle w:val="ClauseLabel"/>
      </w:pPr>
      <w:r>
        <w:t xml:space="preserve">BJ-24. Cold-Climate Testing Rights</w:t>
      </w:r>
    </w:p>
    <w:p>
      <w:pPr>
        <w:pStyle w:val="Normal"/>
      </w:pPr>
      <w:r>
        <w:t>Recognize Canadian cold-weather testing and validation as genuine North American engineering value and provide reciprocal OEM access without exclusivity.</w:t>
      </w:r>
    </w:p>
    <w:p>
      <w:pPr>
        <w:pStyle w:val="ClauseLabel"/>
      </w:pPr>
      <w:r>
        <w:t>BJ-25. Truck Software &amp; OTA Alignment</w:t>
      </w:r>
    </w:p>
    <w:p>
      <w:pPr>
        <w:pStyle w:val="Normal"/>
      </w:pPr>
      <w:r>
        <w:t>Harmonized rules for over-the-air updates on heavy trucks in exchange for Canada adopting shared cybersecurity standards.</w:t>
      </w:r>
    </w:p>
    <w:p>
      <w:pPr>
        <w:pStyle w:val="ClauseLabel"/>
      </w:pPr>
      <w:r>
        <w:t>BJ-26. Truck Weight &amp; Dimension Harmonization</w:t>
      </w:r>
    </w:p>
    <w:p>
      <w:pPr>
        <w:pStyle w:val="Normal"/>
      </w:pPr>
      <w:r>
        <w:t>Create corridor-specific interoperability for weight, dimension and permitting rules where infrastructure supports it, rather than forcing identical limits on every road.</w:t>
      </w:r>
    </w:p>
    <w:p>
      <w:pPr>
        <w:pStyle w:val="ClauseLabel"/>
      </w:pPr>
      <w:r>
        <w:t>BJ-27. Green Corridor Branding Scheme</w:t>
      </w:r>
    </w:p>
    <w:p>
      <w:pPr>
        <w:pStyle w:val="Normal"/>
      </w:pPr>
      <w:r>
        <w:t>Create performance-based Green Freight Corridor certification linked to infrastructure, interoperability and financing eligibility rather than mere branding rights.</w:t>
      </w:r>
    </w:p>
    <w:p>
      <w:pPr>
        <w:pStyle w:val="ClauseLabel"/>
      </w:pPr>
      <w:r>
        <w:t>BJ-28. Truck Export Credit Coordination</w:t>
      </w:r>
    </w:p>
    <w:p>
      <w:pPr>
        <w:pStyle w:val="Normal"/>
      </w:pPr>
      <w:r>
        <w:t>Coordinated export credit support for Canadian trucks sold into third markets in exchange for Canada aligning with U.S./Mexican credit rules.</w:t>
      </w:r>
    </w:p>
    <w:p>
      <w:pPr>
        <w:pStyle w:val="ClauseLabel"/>
      </w:pPr>
      <w:r>
        <w:t>BJ-29. Truck Fleet Modernization Swap</w:t>
      </w:r>
    </w:p>
    <w:p>
      <w:pPr>
        <w:pStyle w:val="Normal"/>
      </w:pPr>
      <w:r>
        <w:t>Canada offers accelerated retirement incentives for old U.S./Mexican trucks operating in Canada in exchange for preferential access for new Canadian trucks.</w:t>
      </w:r>
    </w:p>
    <w:p>
      <w:pPr>
        <w:pStyle w:val="ClauseLabel"/>
      </w:pPr>
      <w:r>
        <w:t>BJ-30. Truck Vocational Segment Deal</w:t>
      </w:r>
    </w:p>
    <w:p>
      <w:pPr>
        <w:pStyle w:val="Normal"/>
      </w:pPr>
      <w:r>
        <w:t>Special access for Canadian vocational trucks (refuse, fire, utility) in U.S./Mexico in exchange for Canada opening specialized trailer markets.</w:t>
      </w:r>
    </w:p>
    <w:p>
      <w:pPr>
        <w:pStyle w:val="ClauseLabel"/>
      </w:pPr>
      <w:r>
        <w:t>BJ-31. Truck Charging Interoperability Pact</w:t>
      </w:r>
    </w:p>
    <w:p>
      <w:pPr>
        <w:pStyle w:val="Normal"/>
      </w:pPr>
      <w:r>
        <w:t>Canada adopts common charging standards for heavy trucks in exchange for guaranteed interoperability commitments from U.S./Mexican networks.</w:t>
      </w:r>
    </w:p>
    <w:p>
      <w:pPr>
        <w:pStyle w:val="ClauseLabel"/>
      </w:pPr>
      <w:r>
        <w:t>BJ-32. Truck Carbon Labeling Scheme</w:t>
      </w:r>
    </w:p>
    <w:p>
      <w:pPr>
        <w:pStyle w:val="Normal"/>
      </w:pPr>
      <w:r>
        <w:t>Canada implements carbon labeling for heavy trucks in exchange for trilateral recognition of Canadian labels in procurement scoring.</w:t>
      </w:r>
    </w:p>
    <w:p>
      <w:pPr>
        <w:pStyle w:val="ClauseLabel"/>
      </w:pPr>
      <w:r>
        <w:t>BJ-33. Truck Export Safeguard Mechanism</w:t>
      </w:r>
    </w:p>
    <w:p>
      <w:pPr>
        <w:pStyle w:val="Normal"/>
      </w:pPr>
      <w:r>
        <w:t>Permit evidence-based temporary safeguards for injurious truck import surges while preserving minimum access, review, proportionality and automatic restoration when conditions normalize.</w:t>
      </w:r>
    </w:p>
    <w:p>
      <w:pPr>
        <w:pStyle w:val="ClauseLabel"/>
      </w:pPr>
      <w:r>
        <w:t xml:space="preserve">BJ-34. Truck-Linked Rail Integration Deal</w:t>
      </w:r>
    </w:p>
    <w:p>
      <w:pPr>
        <w:pStyle w:val="Normal"/>
      </w:pPr>
      <w:r>
        <w:t>Preferential treatment for Canadian intermodal truck-rail operations in exchange for Canada opening rail equipment procurement.</w:t>
      </w:r>
    </w:p>
    <w:p>
      <w:pPr>
        <w:pStyle w:val="ClauseLabel"/>
      </w:pPr>
      <w:r>
        <w:t>BJ-35. Truck Toll Reciprocity</w:t>
      </w:r>
    </w:p>
    <w:p>
      <w:pPr>
        <w:pStyle w:val="Normal"/>
      </w:pPr>
      <w:r>
        <w:t>Reduced tolls for Canadian heavy trucks on U.S./Mexican roads in exchange for reciprocal toll reductions in Canada.</w:t>
      </w:r>
    </w:p>
    <w:p>
      <w:pPr>
        <w:pStyle w:val="ClauseLabel"/>
      </w:pPr>
      <w:r>
        <w:t>BJ-36. Truck Logistics Data Trust</w:t>
      </w:r>
    </w:p>
    <w:p>
      <w:pPr>
        <w:pStyle w:val="Normal"/>
      </w:pPr>
      <w:r>
        <w:t>Use a federated North American logistics-data exchange or interoperable existing systems rather than a new centralized data institution, with reciprocal contribution and access rules.</w:t>
      </w:r>
    </w:p>
    <w:p>
      <w:pPr>
        <w:pStyle w:val="ClauseLabel"/>
      </w:pPr>
      <w:r>
        <w:t>BJ-37. Truck Vocational Training Mobility</w:t>
      </w:r>
    </w:p>
    <w:p>
      <w:pPr>
        <w:pStyle w:val="Normal"/>
      </w:pPr>
      <w:r>
        <w:t>Mobility visas for Canadian heavy-duty technicians in exchange for Canada opening immigration pathways for U.S./Mexican truck techs.</w:t>
      </w:r>
    </w:p>
    <w:p>
      <w:pPr>
        <w:pStyle w:val="ClauseLabel"/>
      </w:pPr>
      <w:r>
        <w:t>BJ-38. Truck Safety Research Sharing</w:t>
      </w:r>
    </w:p>
    <w:p>
      <w:pPr>
        <w:pStyle w:val="Normal"/>
      </w:pPr>
      <w:r>
        <w:t>Canada co-funds heavy-duty safety research in exchange for full access to U.S./Mexican crash and performance datasets.</w:t>
      </w:r>
    </w:p>
    <w:p>
      <w:pPr>
        <w:pStyle w:val="ClauseLabel"/>
      </w:pPr>
      <w:r>
        <w:t>BJ-39. Truck Fuel Standard Alignment</w:t>
      </w:r>
    </w:p>
    <w:p>
      <w:pPr>
        <w:pStyle w:val="Normal"/>
      </w:pPr>
      <w:r>
        <w:t>Canada aligns diesel and alternative fuel quality standards in exchange for recognition of Canadian low-carbon fuel credits.</w:t>
      </w:r>
    </w:p>
    <w:p>
      <w:pPr>
        <w:pStyle w:val="ClauseLabel"/>
      </w:pPr>
      <w:r>
        <w:t>BJ-40. Truck Export Promotion Joint Office</w:t>
      </w:r>
    </w:p>
    <w:p>
      <w:pPr>
        <w:pStyle w:val="Normal"/>
      </w:pPr>
      <w:r>
        <w:t>Coordinate existing export-credit and trade-promotion agencies for third-market heavy-truck opportunities rather than creating a new permanent office.</w:t>
      </w:r>
    </w:p>
    <w:p>
      <w:pPr>
        <w:pStyle w:val="ClauseLabel"/>
      </w:pPr>
      <w:r>
        <w:t>BJ-41. Truck Cyber Incident Response Pact</w:t>
      </w:r>
    </w:p>
    <w:p>
      <w:pPr>
        <w:pStyle w:val="Normal"/>
      </w:pPr>
      <w:r>
        <w:t>Canada participates in trilateral cyber incident response for connected trucks in exchange for shared threat intelligence.</w:t>
      </w:r>
    </w:p>
    <w:p>
      <w:pPr>
        <w:pStyle w:val="ClauseLabel"/>
      </w:pPr>
      <w:r>
        <w:t xml:space="preserve">BJ-42. Truck Border Pre-Clearance Expansion</w:t>
      </w:r>
    </w:p>
    <w:p>
      <w:pPr>
        <w:pStyle w:val="Normal"/>
      </w:pPr>
      <w:r>
        <w:t>Expanded pre-clearance for Canadian trucks at U.S./Mexican ports in exchange for Canada hosting reciprocal pre-clearance facilities.</w:t>
      </w:r>
    </w:p>
    <w:p>
      <w:pPr>
        <w:pStyle w:val="ClauseLabel"/>
      </w:pPr>
      <w:r>
        <w:t>BJ-43. Truck Fleet Digital ID System</w:t>
      </w:r>
    </w:p>
    <w:p>
      <w:pPr>
        <w:pStyle w:val="Normal"/>
      </w:pPr>
      <w:r>
        <w:t>Canada adopts a trilateral digital ID for heavy trucks in exchange for reduced inspection frequency for compliant fleets.</w:t>
      </w:r>
    </w:p>
    <w:p>
      <w:pPr>
        <w:pStyle w:val="ClauseLabel"/>
      </w:pPr>
      <w:r>
        <w:t>BJ-44. Truck Green Bond Access</w:t>
      </w:r>
    </w:p>
    <w:p>
      <w:pPr>
        <w:pStyle w:val="Normal"/>
      </w:pPr>
      <w:r>
        <w:t>Recognize equivalent sustainable-finance disclosures and allow qualifying truck projects to access compatible green-finance programs where permitted.</w:t>
      </w:r>
    </w:p>
    <w:p>
      <w:pPr>
        <w:pStyle w:val="ClauseLabel"/>
      </w:pPr>
      <w:r>
        <w:t>BJ-45. Truck Export Quota for Niche Segments</w:t>
      </w:r>
    </w:p>
    <w:p>
      <w:pPr>
        <w:pStyle w:val="Normal"/>
      </w:pPr>
      <w:r>
        <w:t>Provide reciprocal market and procurement eligibility for specialty and vocational trucks without guaranteed nationality quotas.</w:t>
      </w:r>
    </w:p>
    <w:p>
      <w:pPr>
        <w:pStyle w:val="ClauseLabel"/>
      </w:pPr>
      <w:r>
        <w:t>BJ-46. Truck Autonomous Safety Validation</w:t>
      </w:r>
    </w:p>
    <w:p>
      <w:pPr>
        <w:pStyle w:val="Normal"/>
      </w:pPr>
      <w:r>
        <w:t>Canada recognized as a validation site for autonomous heavy trucks in exchange for sharing test results with U.S./Mexico regulators.</w:t>
      </w:r>
    </w:p>
    <w:p>
      <w:pPr>
        <w:pStyle w:val="ClauseLabel"/>
      </w:pPr>
      <w:r>
        <w:t>BJ-47. Truck Fleet Resilience Pact</w:t>
      </w:r>
    </w:p>
    <w:p>
      <w:pPr>
        <w:pStyle w:val="Normal"/>
      </w:pPr>
      <w:r>
        <w:t>Canada joins a trilateral emergency freight re-routing protocol in exchange for priority access to U.S./Mexican relief logistics.</w:t>
      </w:r>
    </w:p>
    <w:p>
      <w:pPr>
        <w:pStyle w:val="ClauseLabel"/>
      </w:pPr>
      <w:r>
        <w:t xml:space="preserve">BJ-48. Truck-Linked Port Access Deal</w:t>
      </w:r>
    </w:p>
    <w:p>
      <w:pPr>
        <w:pStyle w:val="Normal"/>
      </w:pPr>
      <w:r>
        <w:t>Preferential port access for Canadian trucks in Gulf/West Coast ports in exchange for Canada opening Atlantic port logistics concessions.</w:t>
      </w:r>
    </w:p>
    <w:p>
      <w:pPr>
        <w:pStyle w:val="ClauseLabel"/>
      </w:pPr>
      <w:r>
        <w:t xml:space="preserve">BJ-49. Truck Export Tariff Phase-Out</w:t>
      </w:r>
    </w:p>
    <w:p>
      <w:pPr>
        <w:pStyle w:val="Normal"/>
      </w:pPr>
      <w:r>
        <w:t>Phase out residual tariffs on originating medium/heavy trucks in parallel with verified reciprocal market access, origin compliance and light/heavy vehicle treatment.</w:t>
      </w:r>
    </w:p>
    <w:p>
      <w:pPr>
        <w:pStyle w:val="ClauseLabel"/>
      </w:pPr>
      <w:r>
        <w:t>BJ-50. Truck Innovation Challenge Fund</w:t>
      </w:r>
    </w:p>
    <w:p>
      <w:pPr>
        <w:pStyle w:val="Normal"/>
      </w:pPr>
      <w:r>
        <w:t>Support competitive trilateral heavy-truck innovation programs using project-specific funding and IP agreements; commercialization rights are not automatically transferred to governments or other Parties.</w:t>
      </w:r>
    </w:p>
    <w:p>
      <w:pPr>
        <w:pStyle w:val="Heading1"/>
      </w:pPr>
      <w:bookmarkStart w:id="902328" w:name="_Toc300002327"/>
      <w:r>
        <w:t>PACKAGE BK: NORTH AMERICAN COMMERCIAL VEHICLE SAFETY EQUIVALENCE FRAMEWORK</w:t>
      </w:r>
      <w:bookmarkEnd w:id="902328"/>
    </w:p>
    <w:p>
      <w:pPr>
        <w:pStyle w:val="Heading2"/>
      </w:pPr>
      <w:bookmarkStart w:id="902329" w:name="_Toc300002328"/>
      <w:r>
        <w:t>BK-1. Safety-Equivalent Market Access</w:t>
      </w:r>
      <w:bookmarkEnd w:id="902329"/>
    </w:p>
    <w:p>
      <w:pPr>
        <w:pStyle w:val="Normal"/>
      </w:pPr>
      <w:r>
        <w:t>Cross-border commercial-vehicle access should be conditioned on verifiable driver qualification, vehicle roadworthiness, cargo compliance and carrier safety standing, with reciprocal recognition where standards and outcomes are equivalent.</w:t>
      </w:r>
    </w:p>
    <w:p>
      <w:pPr>
        <w:pStyle w:val="Heading2"/>
      </w:pPr>
      <w:bookmarkStart w:id="902330" w:name="_Toc300002329"/>
      <w:r>
        <w:t>BK-2. Risk-Based Enforcement</w:t>
      </w:r>
      <w:bookmarkEnd w:id="902330"/>
    </w:p>
    <w:p>
      <w:pPr>
        <w:pStyle w:val="Normal"/>
      </w:pPr>
      <w:r>
        <w:t>Enforcement resources should concentrate on demonstrated safety risk, repeated defects, falsification, serious violations and unsafe carriers. Demonstrably safe operators should face less redundant inspection and border friction.</w:t>
      </w:r>
    </w:p>
    <w:p>
      <w:pPr>
        <w:pStyle w:val="Heading2"/>
      </w:pPr>
      <w:bookmarkStart w:id="902331" w:name="_Toc300002330"/>
      <w:r>
        <w:t>BK-3. Carrier Scheduling Responsibility</w:t>
      </w:r>
      <w:bookmarkEnd w:id="902331"/>
    </w:p>
    <w:p>
      <w:pPr>
        <w:pStyle w:val="Normal"/>
      </w:pPr>
      <w:r>
        <w:t>A carrier shall not assign or enforce a route, delivery window or dispatch schedule that can only reasonably be completed by violating hours-of-service, speed, inspection or other material safety rules.</w:t>
      </w:r>
    </w:p>
    <w:p>
      <w:pPr>
        <w:pStyle w:val="Heading2"/>
      </w:pPr>
      <w:bookmarkStart w:id="902332" w:name="_Toc300002331"/>
      <w:r>
        <w:t>BK-4. On-Duty Waiting Rule</w:t>
      </w:r>
      <w:bookmarkEnd w:id="902332"/>
    </w:p>
    <w:p>
      <w:pPr>
        <w:pStyle w:val="Normal"/>
      </w:pPr>
      <w:r>
        <w:t>Loading, unloading, mandatory inspection, compulsory paperwork and required waiting under the carrier’s direction shall be treated consistently in fatigue and on-duty calculations under applicable technical rules.</w:t>
      </w:r>
    </w:p>
    <w:p>
      <w:pPr>
        <w:pStyle w:val="Heading2"/>
      </w:pPr>
      <w:bookmarkStart w:id="902333" w:name="_Toc300002332"/>
      <w:r>
        <w:t>BK-5. Anti-Coercion Dispatch Rule</w:t>
      </w:r>
      <w:bookmarkEnd w:id="902333"/>
    </w:p>
    <w:p>
      <w:pPr>
        <w:pStyle w:val="Normal"/>
      </w:pPr>
      <w:r>
        <w:t>A carrier, broker, dispatcher or shipper shall not retaliate against, threaten or pressure a driver to falsify records, exceed lawful limits, operate an unsafe vehicle or continue when fatigue, weather, visibility or vehicle condition makes operation unsafe.</w:t>
      </w:r>
    </w:p>
    <w:p>
      <w:pPr>
        <w:pStyle w:val="Heading2"/>
      </w:pPr>
      <w:bookmarkStart w:id="902334" w:name="_Toc300002333"/>
      <w:r>
        <w:t>BK-6. Safety Stop Right</w:t>
      </w:r>
      <w:bookmarkEnd w:id="902334"/>
    </w:p>
    <w:p>
      <w:pPr>
        <w:pStyle w:val="Normal"/>
      </w:pPr>
      <w:r>
        <w:t>A driver may discontinue or delay operation in good faith because of serious fatigue, unsafe vehicle condition, hazardous weather, inadequate visibility, insecure cargo or another immediate safety concern, subject to reasonable documentation and anti-abuse rules.</w:t>
      </w:r>
    </w:p>
    <w:p>
      <w:pPr>
        <w:pStyle w:val="Heading2"/>
      </w:pPr>
      <w:bookmarkStart w:id="902335" w:name="_Toc300002334"/>
      <w:r>
        <w:t>BK-7. Unsafe Incentive Prohibition</w:t>
      </w:r>
      <w:bookmarkEnd w:id="902335"/>
    </w:p>
    <w:p>
      <w:pPr>
        <w:pStyle w:val="Normal"/>
      </w:pPr>
      <w:r>
        <w:t>Compensation, dispatch and performance systems shall not be structured so that speeding, skipped rest, falsified logs or other safety violations are a predictable means of earning or preserving compensation.</w:t>
      </w:r>
    </w:p>
    <w:p>
      <w:pPr>
        <w:pStyle w:val="Heading2"/>
      </w:pPr>
      <w:bookmarkStart w:id="902336" w:name="_Toc300002335"/>
      <w:r>
        <w:t>BK-8. Critical Defect No-Dispatch Rule</w:t>
      </w:r>
      <w:bookmarkEnd w:id="902336"/>
    </w:p>
    <w:p>
      <w:pPr>
        <w:pStyle w:val="Normal"/>
      </w:pPr>
      <w:r>
        <w:t>A vehicle with a defined critical defect affecting brakes, tires, steering, coupling, structural integrity or another designated safety system shall not return to service until repaired or lawfully cleared.</w:t>
      </w:r>
    </w:p>
    <w:p>
      <w:pPr>
        <w:pStyle w:val="Heading2"/>
      </w:pPr>
      <w:bookmarkStart w:id="902337" w:name="_Toc300002336"/>
      <w:r>
        <w:t>BK-9. Carrier Knowledge Liability</w:t>
      </w:r>
      <w:bookmarkEnd w:id="902337"/>
    </w:p>
    <w:p>
      <w:pPr>
        <w:pStyle w:val="Normal"/>
      </w:pPr>
      <w:r>
        <w:t>A carrier that knowingly or recklessly dispatches a vehicle with recurring unresolved critical defects, or knowingly requires materially unsafe operation, is subject to proportionate escalating enforcement independent of driver liability.</w:t>
      </w:r>
    </w:p>
    <w:p>
      <w:pPr>
        <w:pStyle w:val="Heading2"/>
      </w:pPr>
      <w:bookmarkStart w:id="902338" w:name="_Toc300002337"/>
      <w:r>
        <w:t>BK-10. Privacy and Minimum-Data Firewall</w:t>
      </w:r>
      <w:bookmarkEnd w:id="902338"/>
    </w:p>
    <w:p>
      <w:pPr>
        <w:pStyle w:val="Normal"/>
      </w:pPr>
      <w:r>
        <w:t>No safety rule should require continuous government surveillance of a driver’s location, biometrics, cab interior, medical details or personal activity where the same safety objective can reasonably be achieved through credential verification, event-based records, roadside inspection, carrier compliance systems or another less intrusive method.</w:t>
      </w:r>
    </w:p>
    <w:p>
      <w:pPr>
        <w:pStyle w:val="Heading2"/>
      </w:pPr>
      <w:bookmarkStart w:id="902339" w:name="_Toc300002338"/>
      <w:r>
        <w:t>BK-11. Technical Update Method</w:t>
      </w:r>
      <w:bookmarkEnd w:id="902339"/>
    </w:p>
    <w:p>
      <w:pPr>
        <w:pStyle w:val="Normal"/>
      </w:pPr>
      <w:r>
        <w:t>Numerical operating limits and equipment specifications should ordinarily reside in interoperable technical schedules or domestic regulations capable of periodic evidence-based update, while this Agreement preserves the common outcomes, reciprocity and anti-evasion architecture.</w:t>
      </w:r>
    </w:p>
    <w:p>
      <w:pPr>
        <w:pStyle w:val="Heading2"/>
      </w:pPr>
      <w:bookmarkStart w:id="902340" w:name="_Toc300002339"/>
      <w:r>
        <w:t>BK-12. Federalism and Competent Authorities</w:t>
      </w:r>
      <w:bookmarkEnd w:id="902340"/>
    </w:p>
    <w:p>
      <w:pPr>
        <w:pStyle w:val="Normal"/>
      </w:pPr>
      <w:r>
        <w:t>Implementation shall respect constitutional allocation of federal, state, provincial, territorial and local authority. The Parties shall pursue interoperable outcomes and mutual recognition without pretending that every road rule can be centralized at treaty level.</w:t>
      </w:r>
    </w:p>
    <w:p>
      <w:pPr>
        <w:pStyle w:val="Heading1"/>
      </w:pPr>
      <w:bookmarkStart w:id="902341" w:name="_Toc300002340"/>
      <w:r>
        <w:t>PACKAGE BL: COMMERCIAL VEHICLE SAFETY IMPLEMENTATION CATALOGUE</w:t>
      </w:r>
      <w:bookmarkEnd w:id="902341"/>
    </w:p>
    <w:p>
      <w:pPr>
        <w:pStyle w:val="Normal"/>
      </w:pPr>
      <w:r>
        <w:t>This catalogue uses the more disciplined 100-rule safety list as the principal baseline. Requirements are interpreted through Package BK, including proportionality, privacy, technical feasibility, evidence-based medical standards, risk-based enforcement and phased treatment of legacy vehicles.</w:t>
      </w:r>
    </w:p>
    <w:p>
      <w:pPr>
        <w:pStyle w:val="ClauseLabel"/>
      </w:pPr>
      <w:r>
        <w:t>BL-1. Require a specialized commercial license for every person operating a heavy transport truck</w:t>
      </w:r>
    </w:p>
    <w:p>
      <w:pPr>
        <w:pStyle w:val="Normal"/>
      </w:pPr>
      <w:r>
        <w:t>Require a specialized commercial license for every person operating a heavy transport truck.</w:t>
      </w:r>
    </w:p>
    <w:p>
      <w:pPr>
        <w:pStyle w:val="ClauseLabel"/>
      </w:pPr>
      <w:r>
        <w:t>BL-2. Require a standardized written examination covering vehicle control, cargo securement, fatigue, blind spots, braking, and emergency response</w:t>
      </w:r>
    </w:p>
    <w:p>
      <w:pPr>
        <w:pStyle w:val="Normal"/>
      </w:pPr>
      <w:r>
        <w:t>Require a standardized written examination covering vehicle control, cargo securement, fatigue, blind spots, braking, and emergency response.</w:t>
      </w:r>
    </w:p>
    <w:p>
      <w:pPr>
        <w:pStyle w:val="ClauseLabel"/>
      </w:pPr>
      <w:r>
        <w:t>BL-3. Require a representative practical road test that assesses vehicle handling under realistic loaded conditions through safely controlled ballast, simulation or another approved method</w:t>
      </w:r>
    </w:p>
    <w:p>
      <w:pPr>
        <w:pStyle w:val="Normal"/>
      </w:pPr>
      <w:r>
        <w:t>Require a representative practical road test that assesses vehicle handling under realistic loaded conditions through safely controlled ballast, simulation or another approved method; a fully freight-loaded commercial vehicle is not mandatory for every licensing test.</w:t>
      </w:r>
    </w:p>
    <w:p>
      <w:pPr>
        <w:pStyle w:val="ClauseLabel"/>
      </w:pPr>
      <w:r>
        <w:t>BL-4. Require mandatory entry-level training before a new commercial driver may operate independently</w:t>
      </w:r>
    </w:p>
    <w:p>
      <w:pPr>
        <w:pStyle w:val="Normal"/>
      </w:pPr>
      <w:r>
        <w:t>Require mandatory entry-level training before a new commercial driver may operate independently.</w:t>
      </w:r>
    </w:p>
    <w:p>
      <w:pPr>
        <w:pStyle w:val="ClauseLabel"/>
      </w:pPr>
      <w:r>
        <w:t>BL-5. Require supervised driving with an experienced, certified trainer for a minimum number of hours</w:t>
      </w:r>
    </w:p>
    <w:p>
      <w:pPr>
        <w:pStyle w:val="Normal"/>
      </w:pPr>
      <w:r>
        <w:t>Require supervised driving with an experienced, certified trainer for a minimum number of hours.</w:t>
      </w:r>
    </w:p>
    <w:p>
      <w:pPr>
        <w:pStyle w:val="ClauseLabel"/>
      </w:pPr>
      <w:r>
        <w:t>BL-6. Require periodic refresher training at an interval established by competent regulators, with risk-based or remedial training available more frequently</w:t>
      </w:r>
    </w:p>
    <w:p>
      <w:pPr>
        <w:pStyle w:val="Normal"/>
      </w:pPr>
      <w:r>
        <w:t>Require periodic refresher training at an interval established by competent regulators, with risk-based or remedial training available more frequently.</w:t>
      </w:r>
    </w:p>
    <w:p>
      <w:pPr>
        <w:pStyle w:val="ClauseLabel"/>
      </w:pPr>
      <w:r>
        <w:t>BL-7. Require additional certification for tankers, doubles, triples, oversized loads, and hazardous materials</w:t>
      </w:r>
    </w:p>
    <w:p>
      <w:pPr>
        <w:pStyle w:val="Normal"/>
      </w:pPr>
      <w:r>
        <w:t>Require additional certification for tankers, doubles, triples, oversized loads, and hazardous materials.</w:t>
      </w:r>
    </w:p>
    <w:p>
      <w:pPr>
        <w:pStyle w:val="ClauseLabel"/>
      </w:pPr>
      <w:r>
        <w:t>BL-8. Require cross-border drivers to understand material safety and operating rules that differ in jurisdictions where they regularly operate, supported by accessible multilingual guidance</w:t>
      </w:r>
    </w:p>
    <w:p>
      <w:pPr>
        <w:pStyle w:val="Normal"/>
      </w:pPr>
      <w:r>
        <w:t>Require cross-border drivers to understand material safety and operating rules that differ in jurisdictions where they regularly operate, supported by accessible multilingual guidance.</w:t>
      </w:r>
    </w:p>
    <w:p>
      <w:pPr>
        <w:pStyle w:val="ClauseLabel"/>
      </w:pPr>
      <w:r>
        <w:t>BL-9. Require medical examinations at licensing and at regular intervals thereafter</w:t>
      </w:r>
    </w:p>
    <w:p>
      <w:pPr>
        <w:pStyle w:val="Normal"/>
      </w:pPr>
      <w:r>
        <w:t>Require medical examinations at licensing and at regular intervals thereafter.</w:t>
      </w:r>
    </w:p>
    <w:p>
      <w:pPr>
        <w:pStyle w:val="ClauseLabel"/>
      </w:pPr>
      <w:r>
        <w:t>BL-10. Prohibit commercial driving by anyone medically unfit to safely control the vehicle</w:t>
      </w:r>
    </w:p>
    <w:p>
      <w:pPr>
        <w:pStyle w:val="Normal"/>
      </w:pPr>
      <w:r>
        <w:t>Prohibit commercial driving by anyone medically unfit to safely control the vehicle.</w:t>
      </w:r>
    </w:p>
    <w:p>
      <w:pPr>
        <w:pStyle w:val="ClauseLabel"/>
      </w:pPr>
      <w:r>
        <w:t>BL-11. Use evidence-based medical fitness standards addressing vision, hearing, cardiovascular, neurological, sleep and other conditions relevant to safe operation without turning a diagnostic checklist into automatic disqualification</w:t>
      </w:r>
    </w:p>
    <w:p>
      <w:pPr>
        <w:pStyle w:val="Normal"/>
      </w:pPr>
      <w:r>
        <w:t>Use evidence-based medical fitness standards addressing vision, hearing, cardiovascular, neurological, sleep and other conditions relevant to safe operation without turning a diagnostic checklist into automatic disqualification.</w:t>
      </w:r>
    </w:p>
    <w:p>
      <w:pPr>
        <w:pStyle w:val="ClauseLabel"/>
      </w:pPr>
      <w:r>
        <w:t>BL-12. Require employers to report confirmed serious safety violations affecting a driver’s license</w:t>
      </w:r>
    </w:p>
    <w:p>
      <w:pPr>
        <w:pStyle w:val="Normal"/>
      </w:pPr>
      <w:r>
        <w:t>Require employers to report confirmed serious safety violations affecting a driver’s license.</w:t>
      </w:r>
    </w:p>
    <w:p>
      <w:pPr>
        <w:pStyle w:val="ClauseLabel"/>
      </w:pPr>
      <w:r>
        <w:t>BL-13. Create a shared system preventing a driver suspended in one country from obtaining a commercial license in another</w:t>
      </w:r>
    </w:p>
    <w:p>
      <w:pPr>
        <w:pStyle w:val="Normal"/>
      </w:pPr>
      <w:r>
        <w:t>Create a shared system preventing a driver suspended in one country from obtaining a commercial license in another.</w:t>
      </w:r>
    </w:p>
    <w:p>
      <w:pPr>
        <w:pStyle w:val="ClauseLabel"/>
      </w:pPr>
      <w:r>
        <w:t>BL-14. Prohibit carriers from allowing drivers to operate a vehicle class for which they are not certified</w:t>
      </w:r>
    </w:p>
    <w:p>
      <w:pPr>
        <w:pStyle w:val="Normal"/>
      </w:pPr>
      <w:r>
        <w:t>Prohibit carriers from allowing drivers to operate a vehicle class for which they are not certified.</w:t>
      </w:r>
    </w:p>
    <w:p>
      <w:pPr>
        <w:pStyle w:val="ClauseLabel"/>
      </w:pPr>
      <w:r>
        <w:t>BL-15. Require safety-critical communication competency sufficient to understand road signs, emergency instructions and enforcement interactions</w:t>
      </w:r>
    </w:p>
    <w:p>
      <w:pPr>
        <w:pStyle w:val="Normal"/>
      </w:pPr>
      <w:r>
        <w:t>Require safety-critical communication competency sufficient to understand road signs, emergency instructions and enforcement interactions. Approved translation tools and multilingual materials may support compliance.</w:t>
      </w:r>
    </w:p>
    <w:p>
      <w:pPr>
        <w:pStyle w:val="ClauseLabel"/>
      </w:pPr>
      <w:r>
        <w:t>BL-16. Require training on respectful interaction with cyclists, pedestrians, motorists, and roadside workers</w:t>
      </w:r>
    </w:p>
    <w:p>
      <w:pPr>
        <w:pStyle w:val="Normal"/>
      </w:pPr>
      <w:r>
        <w:t>Require training on respectful interaction with cyclists, pedestrians, motorists, and roadside workers.</w:t>
      </w:r>
    </w:p>
    <w:p>
      <w:pPr>
        <w:pStyle w:val="ClauseLabel"/>
      </w:pPr>
      <w:r>
        <w:t>BL-17. Prohibit employers from retaliating against drivers who report unsafe vehicles, routes, cargo, or schedules</w:t>
      </w:r>
    </w:p>
    <w:p>
      <w:pPr>
        <w:pStyle w:val="Normal"/>
      </w:pPr>
      <w:r>
        <w:t>Prohibit employers from retaliating against drivers who report unsafe vehicles, routes, cargo, or schedules.</w:t>
      </w:r>
    </w:p>
    <w:p>
      <w:pPr>
        <w:pStyle w:val="ClauseLabel"/>
      </w:pPr>
      <w:r>
        <w:t>BL-18. Include workplace violence, harassment, assault prevention and isolated-worker safety in appropriate occupational training programs without making unrelated social-policy coursework a condition for every border crossing</w:t>
      </w:r>
    </w:p>
    <w:p>
      <w:pPr>
        <w:pStyle w:val="Normal"/>
      </w:pPr>
      <w:r>
        <w:t>Include workplace violence, harassment, assault prevention and isolated-worker safety in appropriate occupational training programs without making unrelated social-policy coursework a condition for every border crossing.</w:t>
      </w:r>
    </w:p>
    <w:p>
      <w:pPr>
        <w:pStyle w:val="ClauseLabel"/>
      </w:pPr>
      <w:r>
        <w:t>BL-19. Following a fatal or serious-injury collision, require a fitness or competency reassessment when investigative evidence reasonably raises a driver-specific safety concern; mere involvement in a non-preventable collision does not create a presumption of incompetence</w:t>
      </w:r>
    </w:p>
    <w:p>
      <w:pPr>
        <w:pStyle w:val="Normal"/>
      </w:pPr>
      <w:r>
        <w:t>Following a fatal or serious-injury collision, require a fitness or competency reassessment when investigative evidence reasonably raises a driver-specific safety concern; mere involvement in a non-preventable collision does not create a presumption of incompetence.</w:t>
      </w:r>
    </w:p>
    <w:p>
      <w:pPr>
        <w:pStyle w:val="ClauseLabel"/>
      </w:pPr>
      <w:r>
        <w:t>BL-20. Require remedial training after repeated preventable violations</w:t>
      </w:r>
    </w:p>
    <w:p>
      <w:pPr>
        <w:pStyle w:val="Normal"/>
      </w:pPr>
      <w:r>
        <w:t>Require remedial training after repeated preventable violations.</w:t>
      </w:r>
    </w:p>
    <w:p>
      <w:pPr>
        <w:pStyle w:val="ClauseLabel"/>
      </w:pPr>
      <w:r>
        <w:t>BL-21. Establish harmonized or mutually compatible maximum daily driving rules through periodically updateable technical standards informed by fatigue evidence</w:t>
      </w:r>
    </w:p>
    <w:p>
      <w:pPr>
        <w:pStyle w:val="Normal"/>
      </w:pPr>
      <w:r>
        <w:t>Establish harmonized or mutually compatible maximum daily driving rules through periodically updateable technical standards informed by fatigue evidence.</w:t>
      </w:r>
    </w:p>
    <w:p>
      <w:pPr>
        <w:pStyle w:val="ClauseLabel"/>
      </w:pPr>
      <w:r>
        <w:t>BL-22. Establish harmonized or mutually compatible maximum on-duty rules that count loading, unloading, paperwork, inspections and mandatory waiting as work</w:t>
      </w:r>
    </w:p>
    <w:p>
      <w:pPr>
        <w:pStyle w:val="Normal"/>
      </w:pPr>
      <w:r>
        <w:t>Establish harmonized or mutually compatible maximum on-duty rules that count loading, unloading, paperwork, inspections and mandatory waiting as work.</w:t>
      </w:r>
    </w:p>
    <w:p>
      <w:pPr>
        <w:pStyle w:val="ClauseLabel"/>
      </w:pPr>
      <w:r>
        <w:t>BL-23. Establish a minimum daily rest requirement through evidence-based technical standards, with lawful flexibility that does not undermine restorative rest</w:t>
      </w:r>
    </w:p>
    <w:p>
      <w:pPr>
        <w:pStyle w:val="Normal"/>
      </w:pPr>
      <w:r>
        <w:t>Establish a minimum daily rest requirement through evidence-based technical standards, with lawful flexibility that does not undermine restorative rest.</w:t>
      </w:r>
    </w:p>
    <w:p>
      <w:pPr>
        <w:pStyle w:val="ClauseLabel"/>
      </w:pPr>
      <w:r>
        <w:t>BL-24. Establish periodic extended recovery requirements through evidence-based technical standards responsive to long-haul, overnight and rotating-shift operations</w:t>
      </w:r>
    </w:p>
    <w:p>
      <w:pPr>
        <w:pStyle w:val="Normal"/>
      </w:pPr>
      <w:r>
        <w:t>Establish periodic extended recovery requirements through evidence-based technical standards responsive to long-haul, overnight and rotating-shift operations.</w:t>
      </w:r>
    </w:p>
    <w:p>
      <w:pPr>
        <w:pStyle w:val="ClauseLabel"/>
      </w:pPr>
      <w:r>
        <w:t>BL-25. Prohibit carriers from scheduling routes that can only be completed by violating hours-of-service rules</w:t>
      </w:r>
    </w:p>
    <w:p>
      <w:pPr>
        <w:pStyle w:val="Normal"/>
      </w:pPr>
      <w:r>
        <w:t>Prohibit carriers from scheduling routes that can only be completed by violating hours-of-service rules.</w:t>
      </w:r>
    </w:p>
    <w:p>
      <w:pPr>
        <w:pStyle w:val="ClauseLabel"/>
      </w:pPr>
      <w:r>
        <w:t>BL-26. Treat unpaid waiting time, loading delays, and mandatory inspections as on-duty time</w:t>
      </w:r>
    </w:p>
    <w:p>
      <w:pPr>
        <w:pStyle w:val="Normal"/>
      </w:pPr>
      <w:r>
        <w:t>Treat unpaid waiting time, loading delays, and mandatory inspections as on-duty time.</w:t>
      </w:r>
    </w:p>
    <w:p>
      <w:pPr>
        <w:pStyle w:val="ClauseLabel"/>
      </w:pPr>
      <w:r>
        <w:t>BL-27. Require electronic logging devices that cannot be altered by drivers, dispatchers, or carriers</w:t>
      </w:r>
    </w:p>
    <w:p>
      <w:pPr>
        <w:pStyle w:val="Normal"/>
      </w:pPr>
      <w:r>
        <w:t>Require electronic logging devices that cannot be altered by drivers, dispatchers, or carriers.</w:t>
      </w:r>
    </w:p>
    <w:p>
      <w:pPr>
        <w:pStyle w:val="ClauseLabel"/>
      </w:pPr>
      <w:r>
        <w:t>BL-28. Permit regulators to reconcile ELD records against fuel, toll, GPS, border and delivery records during lawful audits or investigations</w:t>
      </w:r>
    </w:p>
    <w:p>
      <w:pPr>
        <w:pStyle w:val="Normal"/>
      </w:pPr>
      <w:r>
        <w:t>Permit regulators to reconcile ELD records against fuel, toll, GPS, border and delivery records during lawful audits or investigations. This authority does not require continuous government collection of every truck’s location data.</w:t>
      </w:r>
    </w:p>
    <w:p>
      <w:pPr>
        <w:pStyle w:val="ClauseLabel"/>
      </w:pPr>
      <w:r>
        <w:t>BL-29. Prohibit dispatchers from pressuring drivers to falsify logs or continue while fatigued</w:t>
      </w:r>
    </w:p>
    <w:p>
      <w:pPr>
        <w:pStyle w:val="Normal"/>
      </w:pPr>
      <w:r>
        <w:t>Prohibit dispatchers from pressuring drivers to falsify logs or continue while fatigued.</w:t>
      </w:r>
    </w:p>
    <w:p>
      <w:pPr>
        <w:pStyle w:val="ClauseLabel"/>
      </w:pPr>
      <w:r>
        <w:t>BL-30. Require a driver to stop immediately when they determine that fatigue makes driving unsafe</w:t>
      </w:r>
    </w:p>
    <w:p>
      <w:pPr>
        <w:pStyle w:val="Normal"/>
      </w:pPr>
      <w:r>
        <w:t>Require a driver to stop immediately when they determine that fatigue makes driving unsafe.</w:t>
      </w:r>
    </w:p>
    <w:p>
      <w:pPr>
        <w:pStyle w:val="ClauseLabel"/>
      </w:pPr>
      <w:r>
        <w:t>BL-31. Require carriers to plan routes and schedules around reasonably available safe rest opportunities, while Parties improve parking and rest infrastructure</w:t>
      </w:r>
    </w:p>
    <w:p>
      <w:pPr>
        <w:pStyle w:val="Normal"/>
      </w:pPr>
      <w:r>
        <w:t>Require carriers to plan routes and schedules around reasonably available safe rest opportunities, while Parties improve parking and rest infrastructure. A carrier is not required to create facilities it does not control.</w:t>
      </w:r>
    </w:p>
    <w:p>
      <w:pPr>
        <w:pStyle w:val="ClauseLabel"/>
      </w:pPr>
      <w:r>
        <w:t>BL-32. Prohibit payment systems that reward excessive speed, skipped breaks, or hours-of-service violations</w:t>
      </w:r>
    </w:p>
    <w:p>
      <w:pPr>
        <w:pStyle w:val="Normal"/>
      </w:pPr>
      <w:r>
        <w:t>Prohibit payment systems that reward excessive speed, skipped breaks, or hours-of-service violations.</w:t>
      </w:r>
    </w:p>
    <w:p>
      <w:pPr>
        <w:pStyle w:val="ClauseLabel"/>
      </w:pPr>
      <w:r>
        <w:t>BL-33. Require fatigue-risk management plans for carriers operating overnight, remote, or long-haul routes</w:t>
      </w:r>
    </w:p>
    <w:p>
      <w:pPr>
        <w:pStyle w:val="Normal"/>
      </w:pPr>
      <w:r>
        <w:t>Require fatigue-risk management plans for carriers operating overnight, remote, or long-haul routes.</w:t>
      </w:r>
    </w:p>
    <w:p>
      <w:pPr>
        <w:pStyle w:val="ClauseLabel"/>
      </w:pPr>
      <w:r>
        <w:t>BL-34. Require additional rest protections for drivers working rotating shifts</w:t>
      </w:r>
    </w:p>
    <w:p>
      <w:pPr>
        <w:pStyle w:val="Normal"/>
      </w:pPr>
      <w:r>
        <w:t>Require additional rest protections for drivers working rotating shifts.</w:t>
      </w:r>
    </w:p>
    <w:p>
      <w:pPr>
        <w:pStyle w:val="ClauseLabel"/>
      </w:pPr>
      <w:r>
        <w:t>BL-35. Prohibit driving under the influence of alcohol, cannabis, illegal drugs, or impairing medication</w:t>
      </w:r>
    </w:p>
    <w:p>
      <w:pPr>
        <w:pStyle w:val="Normal"/>
      </w:pPr>
      <w:r>
        <w:t>Prohibit driving under the influence of alcohol, cannabis, illegal drugs, or impairing medication.</w:t>
      </w:r>
    </w:p>
    <w:p>
      <w:pPr>
        <w:pStyle w:val="ClauseLabel"/>
      </w:pPr>
      <w:r>
        <w:t>BL-36. Permit lawful, evidence-based impairment testing consistent with privacy, human-rights, collective-bargaining, medication and due-process protections</w:t>
      </w:r>
    </w:p>
    <w:p>
      <w:pPr>
        <w:pStyle w:val="Normal"/>
      </w:pPr>
      <w:r>
        <w:t>Permit lawful, evidence-based impairment testing consistent with privacy, human-rights, collective-bargaining, medication and due-process protections.</w:t>
      </w:r>
    </w:p>
    <w:p>
      <w:pPr>
        <w:pStyle w:val="ClauseLabel"/>
      </w:pPr>
      <w:r>
        <w:t>BL-37. Require immediate post-collision impairment testing after a fatal or serious-injury crash</w:t>
      </w:r>
    </w:p>
    <w:p>
      <w:pPr>
        <w:pStyle w:val="Normal"/>
      </w:pPr>
      <w:r>
        <w:t>Require immediate post-collision impairment testing after a fatal or serious-injury crash.</w:t>
      </w:r>
    </w:p>
    <w:p>
      <w:pPr>
        <w:pStyle w:val="ClauseLabel"/>
      </w:pPr>
      <w:r>
        <w:t>BL-38. Require carriers to maintain confidential procedures for reporting suspected impairment</w:t>
      </w:r>
    </w:p>
    <w:p>
      <w:pPr>
        <w:pStyle w:val="Normal"/>
      </w:pPr>
      <w:r>
        <w:t>Require carriers to maintain confidential procedures for reporting suspected impairment.</w:t>
      </w:r>
    </w:p>
    <w:p>
      <w:pPr>
        <w:pStyle w:val="ClauseLabel"/>
      </w:pPr>
      <w:r>
        <w:t>BL-39. Prohibit drivers from using stimulants as a substitute for legally required rest</w:t>
      </w:r>
    </w:p>
    <w:p>
      <w:pPr>
        <w:pStyle w:val="Normal"/>
      </w:pPr>
      <w:r>
        <w:t>Prohibit drivers from using stimulants as a substitute for legally required rest.</w:t>
      </w:r>
    </w:p>
    <w:p>
      <w:pPr>
        <w:pStyle w:val="ClauseLabel"/>
      </w:pPr>
      <w:r>
        <w:t>BL-40. Require public education explaining that fatigue can impair driving as seriously as alcohol</w:t>
      </w:r>
    </w:p>
    <w:p>
      <w:pPr>
        <w:pStyle w:val="Normal"/>
      </w:pPr>
      <w:r>
        <w:t>Require public education explaining that fatigue can impair driving as seriously as alcohol.</w:t>
      </w:r>
    </w:p>
    <w:p>
      <w:pPr>
        <w:pStyle w:val="ClauseLabel"/>
      </w:pPr>
      <w:r>
        <w:t>BL-41. Require speed-limiting capability where appropriate, with limits established according to vehicle type, route, jurisdiction and safety evidence rather than one immutable continental speed</w:t>
      </w:r>
    </w:p>
    <w:p>
      <w:pPr>
        <w:pStyle w:val="Normal"/>
      </w:pPr>
      <w:r>
        <w:t>Require speed-limiting capability where appropriate, with limits established according to vehicle type, route, jurisdiction and safety evidence rather than one immutable continental speed.</w:t>
      </w:r>
    </w:p>
    <w:p>
      <w:pPr>
        <w:pStyle w:val="ClauseLabel"/>
      </w:pPr>
      <w:r>
        <w:t>BL-42. Require lower truck speed limits on steep grades, sharp curves, urban roads, and high-pedestrian areas</w:t>
      </w:r>
    </w:p>
    <w:p>
      <w:pPr>
        <w:pStyle w:val="Normal"/>
      </w:pPr>
      <w:r>
        <w:t>Require lower truck speed limits on steep grades, sharp curves, urban roads, and high-pedestrian areas.</w:t>
      </w:r>
    </w:p>
    <w:p>
      <w:pPr>
        <w:pStyle w:val="ClauseLabel"/>
      </w:pPr>
      <w:r>
        <w:t>BL-43. Maintain tamper-resistant speed/compliance records sufficient for lawful inspection and investigation without continuous centralized tracking of ordinary compliant drivers</w:t>
      </w:r>
    </w:p>
    <w:p>
      <w:pPr>
        <w:pStyle w:val="Normal"/>
      </w:pPr>
      <w:r>
        <w:t>Maintain tamper-resistant speed/compliance records sufficient for lawful inspection and investigation without continuous centralized tracking of ordinary compliant drivers.</w:t>
      </w:r>
    </w:p>
    <w:p>
      <w:pPr>
        <w:pStyle w:val="ClauseLabel"/>
      </w:pPr>
      <w:r>
        <w:t>BL-44. Prohibit carriers from disabling speed governors without documented regulatory authorization</w:t>
      </w:r>
    </w:p>
    <w:p>
      <w:pPr>
        <w:pStyle w:val="Normal"/>
      </w:pPr>
      <w:r>
        <w:t>Prohibit carriers from disabling speed governors without documented regulatory authorization.</w:t>
      </w:r>
    </w:p>
    <w:p>
      <w:pPr>
        <w:pStyle w:val="ClauseLabel"/>
      </w:pPr>
      <w:r>
        <w:t>BL-45. Require adaptive cruise control to maintain a safe following distance where the technology is installed</w:t>
      </w:r>
    </w:p>
    <w:p>
      <w:pPr>
        <w:pStyle w:val="Normal"/>
      </w:pPr>
      <w:r>
        <w:t>Require adaptive cruise control to maintain a safe following distance where the technology is installed.</w:t>
      </w:r>
    </w:p>
    <w:p>
      <w:pPr>
        <w:pStyle w:val="ClauseLabel"/>
      </w:pPr>
      <w:r>
        <w:t>BL-46. Prohibit reliance on automated driving features when road, weather, or traffic conditions exceed system limits</w:t>
      </w:r>
    </w:p>
    <w:p>
      <w:pPr>
        <w:pStyle w:val="Normal"/>
      </w:pPr>
      <w:r>
        <w:t>Prohibit reliance on automated driving features when road, weather, or traffic conditions exceed system limits.</w:t>
      </w:r>
    </w:p>
    <w:p>
      <w:pPr>
        <w:pStyle w:val="ClauseLabel"/>
      </w:pPr>
      <w:r>
        <w:t>BL-47. Require drivers to reduce speed substantially in rain, snow, ice, fog, dust, smoke, or high winds</w:t>
      </w:r>
    </w:p>
    <w:p>
      <w:pPr>
        <w:pStyle w:val="Normal"/>
      </w:pPr>
      <w:r>
        <w:t>Require drivers to reduce speed substantially in rain, snow, ice, fog, dust, smoke, or high winds.</w:t>
      </w:r>
    </w:p>
    <w:p>
      <w:pPr>
        <w:pStyle w:val="ClauseLabel"/>
      </w:pPr>
      <w:r>
        <w:t>BL-48. Prohibit unsafe overtaking by heavy trucks on designated high-risk roads</w:t>
      </w:r>
    </w:p>
    <w:p>
      <w:pPr>
        <w:pStyle w:val="Normal"/>
      </w:pPr>
      <w:r>
        <w:t>Prohibit unsafe overtaking by heavy trucks on designated high-risk roads.</w:t>
      </w:r>
    </w:p>
    <w:p>
      <w:pPr>
        <w:pStyle w:val="ClauseLabel"/>
      </w:pPr>
      <w:r>
        <w:t>BL-49. Use keep-right or lane-use rules where adopted by the competent road authority, with exceptions for passing, turning, hazards, congestion and route design</w:t>
      </w:r>
    </w:p>
    <w:p>
      <w:pPr>
        <w:pStyle w:val="Normal"/>
      </w:pPr>
      <w:r>
        <w:t>Use keep-right or lane-use rules where adopted by the competent road authority, with exceptions for passing, turning, hazards, congestion and route design.</w:t>
      </w:r>
    </w:p>
    <w:p>
      <w:pPr>
        <w:pStyle w:val="ClauseLabel"/>
      </w:pPr>
      <w:r>
        <w:t>BL-50. Prohibit tailgating and require minimum following distances based on speed, weight, and road conditions</w:t>
      </w:r>
    </w:p>
    <w:p>
      <w:pPr>
        <w:pStyle w:val="Normal"/>
      </w:pPr>
      <w:r>
        <w:t>Prohibit tailgating and require minimum following distances based on speed, weight, and road conditions.</w:t>
      </w:r>
    </w:p>
    <w:p>
      <w:pPr>
        <w:pStyle w:val="ClauseLabel"/>
      </w:pPr>
      <w:r>
        <w:t>BL-51. Require drivers to stop when visibility is insufficient to safely continue</w:t>
      </w:r>
    </w:p>
    <w:p>
      <w:pPr>
        <w:pStyle w:val="Normal"/>
      </w:pPr>
      <w:r>
        <w:t>Require drivers to stop when visibility is insufficient to safely continue.</w:t>
      </w:r>
    </w:p>
    <w:p>
      <w:pPr>
        <w:pStyle w:val="ClauseLabel"/>
      </w:pPr>
      <w:r>
        <w:t>BL-52. Restrict unnecessary engine/exhaust braking where noise creates a material community impact, but never prohibit its use when reasonably necessary for safe vehicle control</w:t>
      </w:r>
    </w:p>
    <w:p>
      <w:pPr>
        <w:pStyle w:val="Normal"/>
      </w:pPr>
      <w:r>
        <w:t>Restrict unnecessary engine/exhaust braking where noise creates a material community impact, but never prohibit its use when reasonably necessary for safe vehicle control.</w:t>
      </w:r>
    </w:p>
    <w:p>
      <w:pPr>
        <w:pStyle w:val="ClauseLabel"/>
      </w:pPr>
      <w:r>
        <w:t>BL-53. Require turn signals well before lane changes, turns, merges, and roadside stops</w:t>
      </w:r>
    </w:p>
    <w:p>
      <w:pPr>
        <w:pStyle w:val="Normal"/>
      </w:pPr>
      <w:r>
        <w:t>Require turn signals well before lane changes, turns, merges, and roadside stops.</w:t>
      </w:r>
    </w:p>
    <w:p>
      <w:pPr>
        <w:pStyle w:val="ClauseLabel"/>
      </w:pPr>
      <w:r>
        <w:t>BL-54. Require drivers to confirm that adjacent lanes are clear using mirrors and approved detection systems</w:t>
      </w:r>
    </w:p>
    <w:p>
      <w:pPr>
        <w:pStyle w:val="Normal"/>
      </w:pPr>
      <w:r>
        <w:t>Require drivers to confirm that adjacent lanes are clear using mirrors and approved detection systems.</w:t>
      </w:r>
    </w:p>
    <w:p>
      <w:pPr>
        <w:pStyle w:val="ClauseLabel"/>
      </w:pPr>
      <w:r>
        <w:t>BL-55. Prohibit handheld phone use, texting, video viewing, and manual device operation while driving</w:t>
      </w:r>
    </w:p>
    <w:p>
      <w:pPr>
        <w:pStyle w:val="Normal"/>
      </w:pPr>
      <w:r>
        <w:t>Prohibit handheld phone use, texting, video viewing, and manual device operation while driving.</w:t>
      </w:r>
    </w:p>
    <w:p>
      <w:pPr>
        <w:pStyle w:val="ClauseLabel"/>
      </w:pPr>
      <w:r>
        <w:t>BL-56. Require hands-free communication systems to be mounted and configured before a trip begins</w:t>
      </w:r>
    </w:p>
    <w:p>
      <w:pPr>
        <w:pStyle w:val="Normal"/>
      </w:pPr>
      <w:r>
        <w:t>Require hands-free communication systems to be mounted and configured before a trip begins.</w:t>
      </w:r>
    </w:p>
    <w:p>
      <w:pPr>
        <w:pStyle w:val="ClauseLabel"/>
      </w:pPr>
      <w:r>
        <w:t>BL-57. Prohibit eating, reading paperwork, grooming, or other distracting activities while moving</w:t>
      </w:r>
    </w:p>
    <w:p>
      <w:pPr>
        <w:pStyle w:val="Normal"/>
      </w:pPr>
      <w:r>
        <w:t>Prohibit eating, reading paperwork, grooming, or other distracting activities while moving.</w:t>
      </w:r>
    </w:p>
    <w:p>
      <w:pPr>
        <w:pStyle w:val="ClauseLabel"/>
      </w:pPr>
      <w:r>
        <w:t>BL-58. Require complete pre-trip inspections and additional walk-arounds after coupling, loading, material incidents or intervals established by regulation rather than after every trivial stop</w:t>
      </w:r>
    </w:p>
    <w:p>
      <w:pPr>
        <w:pStyle w:val="Normal"/>
      </w:pPr>
      <w:r>
        <w:t>Require complete pre-trip inspections and additional walk-arounds after coupling, loading, material incidents or intervals established by regulation rather than after every trivial stop.</w:t>
      </w:r>
    </w:p>
    <w:p>
      <w:pPr>
        <w:pStyle w:val="ClauseLabel"/>
      </w:pPr>
      <w:r>
        <w:t>BL-59. Require drivers to use hazard lights, warning triangles, and reflective equipment during roadside emergencies</w:t>
      </w:r>
    </w:p>
    <w:p>
      <w:pPr>
        <w:pStyle w:val="Normal"/>
      </w:pPr>
      <w:r>
        <w:t>Require drivers to use hazard lights, warning triangles, and reflective equipment during roadside emergencies.</w:t>
      </w:r>
    </w:p>
    <w:p>
      <w:pPr>
        <w:pStyle w:val="ClauseLabel"/>
      </w:pPr>
      <w:r>
        <w:t>BL-60. Prohibit parking, reversing, or loading in locations that obstruct visibility or create an avoidable traffic hazard</w:t>
      </w:r>
    </w:p>
    <w:p>
      <w:pPr>
        <w:pStyle w:val="Normal"/>
      </w:pPr>
      <w:r>
        <w:t>Prohibit parking, reversing, or loading in locations that obstruct visibility or create an avoidable traffic hazard.</w:t>
      </w:r>
    </w:p>
    <w:p>
      <w:pPr>
        <w:pStyle w:val="ClauseLabel"/>
      </w:pPr>
      <w:r>
        <w:t>BL-61. Require automatic emergency braking on newly manufactured heavy vehicles where technically applicable</w:t>
      </w:r>
    </w:p>
    <w:p>
      <w:pPr>
        <w:pStyle w:val="Normal"/>
      </w:pPr>
      <w:r>
        <w:t>Require automatic emergency braking on newly manufactured heavy vehicles where technically applicable. Trailer braking requirements may use functionally equivalent technologies suited to trailer architecture.</w:t>
      </w:r>
    </w:p>
    <w:p>
      <w:pPr>
        <w:pStyle w:val="ClauseLabel"/>
      </w:pPr>
      <w:r>
        <w:t>BL-62. Require forward-collision warning systems on all newly manufactured heavy trucks</w:t>
      </w:r>
    </w:p>
    <w:p>
      <w:pPr>
        <w:pStyle w:val="Normal"/>
      </w:pPr>
      <w:r>
        <w:t>Require forward-collision warning systems on all newly manufactured heavy trucks.</w:t>
      </w:r>
    </w:p>
    <w:p>
      <w:pPr>
        <w:pStyle w:val="ClauseLabel"/>
      </w:pPr>
      <w:r>
        <w:t>BL-63. Require blind-spot detection covering the passenger side and rear trailer area</w:t>
      </w:r>
    </w:p>
    <w:p>
      <w:pPr>
        <w:pStyle w:val="Normal"/>
      </w:pPr>
      <w:r>
        <w:t>Require blind-spot detection covering the passenger side and rear trailer area.</w:t>
      </w:r>
    </w:p>
    <w:p>
      <w:pPr>
        <w:pStyle w:val="ClauseLabel"/>
      </w:pPr>
      <w:r>
        <w:t>BL-64. Require side underride guards on trailers and other vehicles where technically feasible</w:t>
      </w:r>
    </w:p>
    <w:p>
      <w:pPr>
        <w:pStyle w:val="Normal"/>
      </w:pPr>
      <w:r>
        <w:t>Require side underride guards on trailers and other vehicles where technically feasible.</w:t>
      </w:r>
    </w:p>
    <w:p>
      <w:pPr>
        <w:pStyle w:val="ClauseLabel"/>
      </w:pPr>
      <w:r>
        <w:t>BL-65. Require rear underride guards meeting a common tri-national performance standard</w:t>
      </w:r>
    </w:p>
    <w:p>
      <w:pPr>
        <w:pStyle w:val="Normal"/>
      </w:pPr>
      <w:r>
        <w:t>Require rear underride guards meeting a common tri-national performance standard.</w:t>
      </w:r>
    </w:p>
    <w:p>
      <w:pPr>
        <w:pStyle w:val="ClauseLabel"/>
      </w:pPr>
      <w:r>
        <w:t>BL-66. Require conspicuity tape and reflective markings on all trailers and heavy trucks</w:t>
      </w:r>
    </w:p>
    <w:p>
      <w:pPr>
        <w:pStyle w:val="Normal"/>
      </w:pPr>
      <w:r>
        <w:t>Require conspicuity tape and reflective markings on all trailers and heavy trucks.</w:t>
      </w:r>
    </w:p>
    <w:p>
      <w:pPr>
        <w:pStyle w:val="ClauseLabel"/>
      </w:pPr>
      <w:r>
        <w:t>BL-67. Require adequate lighting on the front, rear, sides, mirrors, trailer edges, and license plates</w:t>
      </w:r>
    </w:p>
    <w:p>
      <w:pPr>
        <w:pStyle w:val="Normal"/>
      </w:pPr>
      <w:r>
        <w:t>Require adequate lighting on the front, rear, sides, mirrors, trailer edges, and license plates.</w:t>
      </w:r>
    </w:p>
    <w:p>
      <w:pPr>
        <w:pStyle w:val="ClauseLabel"/>
      </w:pPr>
      <w:r>
        <w:t>BL-68. Require larger or improved mirrors that minimize blind zones around the cab</w:t>
      </w:r>
    </w:p>
    <w:p>
      <w:pPr>
        <w:pStyle w:val="Normal"/>
      </w:pPr>
      <w:r>
        <w:t>Require larger or improved mirrors that minimize blind zones around the cab.</w:t>
      </w:r>
    </w:p>
    <w:p>
      <w:pPr>
        <w:pStyle w:val="ClauseLabel"/>
      </w:pPr>
      <w:r>
        <w:t>BL-69. Require rear cameras or sensor systems that assist drivers while reversing</w:t>
      </w:r>
    </w:p>
    <w:p>
      <w:pPr>
        <w:pStyle w:val="Normal"/>
      </w:pPr>
      <w:r>
        <w:t>Require rear cameras or sensor systems that assist drivers while reversing.</w:t>
      </w:r>
    </w:p>
    <w:p>
      <w:pPr>
        <w:pStyle w:val="ClauseLabel"/>
      </w:pPr>
      <w:r>
        <w:t>BL-70. Require audible and visual reverse warnings in pedestrian-heavy work areas</w:t>
      </w:r>
    </w:p>
    <w:p>
      <w:pPr>
        <w:pStyle w:val="Normal"/>
      </w:pPr>
      <w:r>
        <w:t>Require audible and visual reverse warnings in pedestrian-heavy work areas.</w:t>
      </w:r>
    </w:p>
    <w:p>
      <w:pPr>
        <w:pStyle w:val="ClauseLabel"/>
      </w:pPr>
      <w:r>
        <w:t>BL-71. Require electronic stability control on all eligible heavy trucks</w:t>
      </w:r>
    </w:p>
    <w:p>
      <w:pPr>
        <w:pStyle w:val="Normal"/>
      </w:pPr>
      <w:r>
        <w:t>Require electronic stability control on all eligible heavy trucks.</w:t>
      </w:r>
    </w:p>
    <w:p>
      <w:pPr>
        <w:pStyle w:val="ClauseLabel"/>
      </w:pPr>
      <w:r>
        <w:t>BL-72. Require roll-stability systems on vehicles with high centers of gravity</w:t>
      </w:r>
    </w:p>
    <w:p>
      <w:pPr>
        <w:pStyle w:val="Normal"/>
      </w:pPr>
      <w:r>
        <w:t>Require roll-stability systems on vehicles with high centers of gravity.</w:t>
      </w:r>
    </w:p>
    <w:p>
      <w:pPr>
        <w:pStyle w:val="ClauseLabel"/>
      </w:pPr>
      <w:r>
        <w:t>BL-73. Require tire-pressure monitoring systems on tractors and trailers</w:t>
      </w:r>
    </w:p>
    <w:p>
      <w:pPr>
        <w:pStyle w:val="Normal"/>
      </w:pPr>
      <w:r>
        <w:t>Require tire-pressure monitoring systems on tractors and trailers.</w:t>
      </w:r>
    </w:p>
    <w:p>
      <w:pPr>
        <w:pStyle w:val="ClauseLabel"/>
      </w:pPr>
      <w:r>
        <w:t>BL-74. Merge tire-deflation warning requirements into a broader tractor-and-trailer tire-pressure monitoring and critical-loss alert standard</w:t>
      </w:r>
    </w:p>
    <w:p>
      <w:pPr>
        <w:pStyle w:val="Normal"/>
      </w:pPr>
      <w:r>
        <w:t>Merge tire-deflation warning requirements into a broader tractor-and-trailer tire-pressure monitoring and critical-loss alert standard.</w:t>
      </w:r>
    </w:p>
    <w:p>
      <w:pPr>
        <w:pStyle w:val="ClauseLabel"/>
      </w:pPr>
      <w:r>
        <w:t>BL-75. Require dashboard warnings for brake-system, lighting, steering, and stability-system failures</w:t>
      </w:r>
    </w:p>
    <w:p>
      <w:pPr>
        <w:pStyle w:val="Normal"/>
      </w:pPr>
      <w:r>
        <w:t>Require dashboard warnings for brake-system, lighting, steering, and stability-system failures.</w:t>
      </w:r>
    </w:p>
    <w:p>
      <w:pPr>
        <w:pStyle w:val="ClauseLabel"/>
      </w:pPr>
      <w:r>
        <w:t>BL-76. Prohibit operation when a critical safety warning remains unresolved</w:t>
      </w:r>
    </w:p>
    <w:p>
      <w:pPr>
        <w:pStyle w:val="Normal"/>
      </w:pPr>
      <w:r>
        <w:t>Prohibit operation when a critical safety warning remains unresolved.</w:t>
      </w:r>
    </w:p>
    <w:p>
      <w:pPr>
        <w:pStyle w:val="ClauseLabel"/>
      </w:pPr>
      <w:r>
        <w:t>BL-77. Require safety systems to be protected against unauthorized disabling or tampering</w:t>
      </w:r>
    </w:p>
    <w:p>
      <w:pPr>
        <w:pStyle w:val="Normal"/>
      </w:pPr>
      <w:r>
        <w:t>Require safety systems to be protected against unauthorized disabling or tampering.</w:t>
      </w:r>
    </w:p>
    <w:p>
      <w:pPr>
        <w:pStyle w:val="ClauseLabel"/>
      </w:pPr>
      <w:r>
        <w:t>BL-78. Require manufacturers to report serious safety defects promptly to all three national regulators</w:t>
      </w:r>
    </w:p>
    <w:p>
      <w:pPr>
        <w:pStyle w:val="Normal"/>
      </w:pPr>
      <w:r>
        <w:t>Require manufacturers to report serious safety defects promptly to all three national regulators.</w:t>
      </w:r>
    </w:p>
    <w:p>
      <w:pPr>
        <w:pStyle w:val="ClauseLabel"/>
      </w:pPr>
      <w:r>
        <w:t>BL-79. Require rapid recall notification to carriers, drivers, dealers, and repair facilities</w:t>
      </w:r>
    </w:p>
    <w:p>
      <w:pPr>
        <w:pStyle w:val="Normal"/>
      </w:pPr>
      <w:r>
        <w:t>Require rapid recall notification to carriers, drivers, dealers, and repair facilities.</w:t>
      </w:r>
    </w:p>
    <w:p>
      <w:pPr>
        <w:pStyle w:val="ClauseLabel"/>
      </w:pPr>
      <w:r>
        <w:t>BL-80. Develop standardized, transparent truck safety and crash-avoidance information for fleet purchasers and lessees where methodology is validated and does not mislead consumers</w:t>
      </w:r>
    </w:p>
    <w:p>
      <w:pPr>
        <w:pStyle w:val="Normal"/>
      </w:pPr>
      <w:r>
        <w:t>Develop standardized, transparent truck safety and crash-avoidance information for fleet purchasers and lessees where methodology is validated and does not mislead consumers.</w:t>
      </w:r>
    </w:p>
    <w:p>
      <w:pPr>
        <w:pStyle w:val="ClauseLabel"/>
      </w:pPr>
      <w:r>
        <w:t>BL-81. Require documented pre-trip and post-trip inspections for every tractor and trailer</w:t>
      </w:r>
    </w:p>
    <w:p>
      <w:pPr>
        <w:pStyle w:val="Normal"/>
      </w:pPr>
      <w:r>
        <w:t>Require documented pre-trip and post-trip inspections for every tractor and trailer.</w:t>
      </w:r>
    </w:p>
    <w:p>
      <w:pPr>
        <w:pStyle w:val="ClauseLabel"/>
      </w:pPr>
      <w:r>
        <w:t>BL-82. Require carriers to repair critical defects before the vehicle returns to service</w:t>
      </w:r>
    </w:p>
    <w:p>
      <w:pPr>
        <w:pStyle w:val="Normal"/>
      </w:pPr>
      <w:r>
        <w:t>Require carriers to repair critical defects before the vehicle returns to service.</w:t>
      </w:r>
    </w:p>
    <w:p>
      <w:pPr>
        <w:pStyle w:val="ClauseLabel"/>
      </w:pPr>
      <w:r>
        <w:t>BL-83. Use a standardized daily/pre-trip/post-trip inspection regime without duplicative checklists for the same vehicle condition</w:t>
      </w:r>
    </w:p>
    <w:p>
      <w:pPr>
        <w:pStyle w:val="Normal"/>
      </w:pPr>
      <w:r>
        <w:t>Use a standardized daily/pre-trip/post-trip inspection regime without duplicative checklists for the same vehicle condition.</w:t>
      </w:r>
    </w:p>
    <w:p>
      <w:pPr>
        <w:pStyle w:val="ClauseLabel"/>
      </w:pPr>
      <w:r>
        <w:t>BL-84. Require more frequent inspections for vehicles operating in severe weather, mountainous terrain, or high-mileage service</w:t>
      </w:r>
    </w:p>
    <w:p>
      <w:pPr>
        <w:pStyle w:val="Normal"/>
      </w:pPr>
      <w:r>
        <w:t>Require more frequent inspections for vehicles operating in severe weather, mountainous terrain, or high-mileage service.</w:t>
      </w:r>
    </w:p>
    <w:p>
      <w:pPr>
        <w:pStyle w:val="ClauseLabel"/>
      </w:pPr>
      <w:r>
        <w:t>BL-85. Require annual independent safety inspections by a certified inspector</w:t>
      </w:r>
    </w:p>
    <w:p>
      <w:pPr>
        <w:pStyle w:val="Normal"/>
      </w:pPr>
      <w:r>
        <w:t>Require annual independent safety inspections by a certified inspector.</w:t>
      </w:r>
    </w:p>
    <w:p>
      <w:pPr>
        <w:pStyle w:val="ClauseLabel"/>
      </w:pPr>
      <w:r>
        <w:t>BL-86. Require roadside inspections to use a shared digital record accessible to regulators in all three countries</w:t>
      </w:r>
    </w:p>
    <w:p>
      <w:pPr>
        <w:pStyle w:val="Normal"/>
      </w:pPr>
      <w:r>
        <w:t>Require roadside inspections to use a shared digital record accessible to regulators in all three countries.</w:t>
      </w:r>
    </w:p>
    <w:p>
      <w:pPr>
        <w:pStyle w:val="ClauseLabel"/>
      </w:pPr>
      <w:r>
        <w:t>BL-87. Place any truck with dangerously defective brakes, tires, steering, or coupling equipment out of service immediately</w:t>
      </w:r>
    </w:p>
    <w:p>
      <w:pPr>
        <w:pStyle w:val="Normal"/>
      </w:pPr>
      <w:r>
        <w:t>Place any truck with dangerously defective brakes, tires, steering, or coupling equipment out of service immediately.</w:t>
      </w:r>
    </w:p>
    <w:p>
      <w:pPr>
        <w:pStyle w:val="ClauseLabel"/>
      </w:pPr>
      <w:r>
        <w:t>BL-88. Maintenance-Record Retention for a Defined, Risk-Based Period</w:t>
      </w:r>
    </w:p>
    <w:p>
      <w:pPr>
        <w:pStyle w:val="Normal"/>
      </w:pPr>
      <w:r>
        <w:t>Retain maintenance and inspection records for a reasonable risk-, warranty- and law-based period rather than automatically for the vehicle’s entire physical life plus an arbitrary additional term.</w:t>
      </w:r>
    </w:p>
    <w:p>
      <w:pPr>
        <w:pStyle w:val="ClauseLabel"/>
      </w:pPr>
      <w:r>
        <w:t>BL-89. Require maintenance by qualified personnel and auditable facilities, including competent in-house and independent repair operations</w:t>
      </w:r>
    </w:p>
    <w:p>
      <w:pPr>
        <w:pStyle w:val="Normal"/>
      </w:pPr>
      <w:r>
        <w:t>Require maintenance by qualified personnel and auditable facilities, including competent in-house and independent repair operations; do not require unnecessary exclusive certification monopolies.</w:t>
      </w:r>
    </w:p>
    <w:p>
      <w:pPr>
        <w:pStyle w:val="ClauseLabel"/>
      </w:pPr>
      <w:r>
        <w:t>BL-90. Hold carriers accountable when they knowingly operate vehicles with recurring unresolved defects</w:t>
      </w:r>
    </w:p>
    <w:p>
      <w:pPr>
        <w:pStyle w:val="Normal"/>
      </w:pPr>
      <w:r>
        <w:t>Hold carriers accountable when they knowingly operate vehicles with recurring unresolved defects.</w:t>
      </w:r>
    </w:p>
    <w:p>
      <w:pPr>
        <w:pStyle w:val="ClauseLabel"/>
      </w:pPr>
      <w:r>
        <w:t>BL-91. Require verified cargo mass and safe weight distribution by approved weighing, shipper documentation or another reliable method appropriate to the operation</w:t>
      </w:r>
    </w:p>
    <w:p>
      <w:pPr>
        <w:pStyle w:val="Normal"/>
      </w:pPr>
      <w:r>
        <w:t>Require verified cargo mass and safe weight distribution by approved weighing, shipper documentation or another reliable method appropriate to the operation.</w:t>
      </w:r>
    </w:p>
    <w:p>
      <w:pPr>
        <w:pStyle w:val="ClauseLabel"/>
      </w:pPr>
      <w:r>
        <w:t>BL-92. Require all cargo to be secured according to a harmonized tri-national standard</w:t>
      </w:r>
    </w:p>
    <w:p>
      <w:pPr>
        <w:pStyle w:val="Normal"/>
      </w:pPr>
      <w:r>
        <w:t>Require all cargo to be secured according to a harmonized tri-national standard.</w:t>
      </w:r>
    </w:p>
    <w:p>
      <w:pPr>
        <w:pStyle w:val="ClauseLabel"/>
      </w:pPr>
      <w:r>
        <w:t>BL-93. Inspect securement after loading and at appropriate distance, time or event triggers, especially after conditions capable of shifting cargo</w:t>
      </w:r>
    </w:p>
    <w:p>
      <w:pPr>
        <w:pStyle w:val="Normal"/>
      </w:pPr>
      <w:r>
        <w:t>Inspect securement after loading and at appropriate distance, time or event triggers, especially after conditions capable of shifting cargo; a route change alone is not automatically such a trigger.</w:t>
      </w:r>
    </w:p>
    <w:p>
      <w:pPr>
        <w:pStyle w:val="ClauseLabel"/>
      </w:pPr>
      <w:r>
        <w:t>BL-94. Prohibit operation when cargo has shifted, leaked, exceeded axle limits, or compromised vehicle stability</w:t>
      </w:r>
    </w:p>
    <w:p>
      <w:pPr>
        <w:pStyle w:val="Normal"/>
      </w:pPr>
      <w:r>
        <w:t>Prohibit operation when cargo has shifted, leaked, exceeded axle limits, or compromised vehicle stability.</w:t>
      </w:r>
    </w:p>
    <w:p>
      <w:pPr>
        <w:pStyle w:val="ClauseLabel"/>
      </w:pPr>
      <w:r>
        <w:t>BL-95. Require electronic weight verification at major freight facilities and border crossings</w:t>
      </w:r>
    </w:p>
    <w:p>
      <w:pPr>
        <w:pStyle w:val="Normal"/>
      </w:pPr>
      <w:r>
        <w:t>Require electronic weight verification at major freight facilities and border crossings.</w:t>
      </w:r>
    </w:p>
    <w:p>
      <w:pPr>
        <w:pStyle w:val="ClauseLabel"/>
      </w:pPr>
      <w:r>
        <w:t>BL-96. Require sealed containers to be checked for structural damage before transport</w:t>
      </w:r>
    </w:p>
    <w:p>
      <w:pPr>
        <w:pStyle w:val="Normal"/>
      </w:pPr>
      <w:r>
        <w:t>Require sealed containers to be checked for structural damage before transport.</w:t>
      </w:r>
    </w:p>
    <w:p>
      <w:pPr>
        <w:pStyle w:val="ClauseLabel"/>
      </w:pPr>
      <w:r>
        <w:t>BL-97. Require hazardous-materials shipments to use standardized documentation in English, French, and Spanish where appropriate</w:t>
      </w:r>
    </w:p>
    <w:p>
      <w:pPr>
        <w:pStyle w:val="Normal"/>
      </w:pPr>
      <w:r>
        <w:t>Require hazardous-materials shipments to use standardized documentation in English, French, and Spanish where appropriate.</w:t>
      </w:r>
    </w:p>
    <w:p>
      <w:pPr>
        <w:pStyle w:val="ClauseLabel"/>
      </w:pPr>
      <w:r>
        <w:t>BL-98. Require hazardous-materials drivers and handlers to complete specialized emergency-response training</w:t>
      </w:r>
    </w:p>
    <w:p>
      <w:pPr>
        <w:pStyle w:val="Normal"/>
      </w:pPr>
      <w:r>
        <w:t>Require hazardous-materials drivers and handlers to complete specialized emergency-response training.</w:t>
      </w:r>
    </w:p>
    <w:p>
      <w:pPr>
        <w:pStyle w:val="ClauseLabel"/>
      </w:pPr>
      <w:r>
        <w:t>BL-99. Require carriers to provide first responders with accurate cargo information immediately after a crash</w:t>
      </w:r>
    </w:p>
    <w:p>
      <w:pPr>
        <w:pStyle w:val="Normal"/>
      </w:pPr>
      <w:r>
        <w:t>Require carriers to provide first responders with accurate cargo information immediately after a crash.</w:t>
      </w:r>
    </w:p>
    <w:p>
      <w:pPr>
        <w:pStyle w:val="ClauseLabel"/>
      </w:pPr>
      <w:r>
        <w:t>BL-100. Maintain shared or interoperable public safety data on serious crashes, recalls and carrier-level safety performance while protecting personal information, investigation-sensitive data and legally confidential records</w:t>
      </w:r>
    </w:p>
    <w:p>
      <w:pPr>
        <w:pStyle w:val="Normal"/>
      </w:pPr>
      <w:r>
        <w:t>Maintain shared or interoperable public safety data on serious crashes, recalls and carrier-level safety performance while protecting personal information, investigation-sensitive data and legally confidential records.</w:t>
      </w:r>
    </w:p>
    <w:p>
      <w:pPr>
        <w:pStyle w:val="Heading1"/>
      </w:pPr>
      <w:bookmarkStart w:id="902342" w:name="_Toc300002341"/>
      <w:r>
        <w:t>PACKAGE BM: TRUSTED CONTINENTAL FREIGHT SYSTEM AND SUPPLEMENTARY SAFETY MECHANISMS</w:t>
      </w:r>
      <w:bookmarkEnd w:id="902342"/>
    </w:p>
    <w:p>
      <w:pPr>
        <w:pStyle w:val="Normal"/>
      </w:pPr>
      <w:r>
        <w:t>The Trusted Continental Freight System converts stronger common safety expectations into a trade-facilitation benefit: safe driver + safe vehicle + compliant carrier + valid cargo and credentials should mean less redundant border friction, while enforcement capacity concentrates on demonstrated risk.</w:t>
      </w:r>
    </w:p>
    <w:p>
      <w:pPr>
        <w:pStyle w:val="Heading2"/>
      </w:pPr>
      <w:bookmarkStart w:id="902343" w:name="_Toc300002342"/>
      <w:r>
        <w:t>BM-1. Joint Border Inspection Facilities</w:t>
      </w:r>
      <w:bookmarkEnd w:id="902343"/>
    </w:p>
    <w:p>
      <w:pPr>
        <w:pStyle w:val="Normal"/>
      </w:pPr>
      <w:r>
        <w:t>At high-volume crossings, the Parties should support co-located or interoperable inspection facilities so one competent safety inspection can satisfy both sides’ requirements where legally permissible.</w:t>
      </w:r>
    </w:p>
    <w:p>
      <w:pPr>
        <w:pStyle w:val="Heading2"/>
      </w:pPr>
      <w:bookmarkStart w:id="902344" w:name="_Toc300002343"/>
      <w:r>
        <w:t>BM-2. Unified Out-of-Service Translation</w:t>
      </w:r>
      <w:bookmarkEnd w:id="902344"/>
    </w:p>
    <w:p>
      <w:pPr>
        <w:pStyle w:val="Normal"/>
      </w:pPr>
      <w:r>
        <w:t>Maintain a common or interoperable catalogue of out-of-service conditions so a serious defect recognized by one Party is not treated as harmless merely because the vehicle crossed a border.</w:t>
      </w:r>
    </w:p>
    <w:p>
      <w:pPr>
        <w:pStyle w:val="Heading2"/>
      </w:pPr>
      <w:bookmarkStart w:id="902345" w:name="_Toc300002344"/>
      <w:r>
        <w:t>BM-3. Trusted-Carrier Preclearance</w:t>
      </w:r>
      <w:bookmarkEnd w:id="902345"/>
    </w:p>
    <w:p>
      <w:pPr>
        <w:pStyle w:val="Normal"/>
      </w:pPr>
      <w:r>
        <w:t>Carriers with strong verified safety standing, valid credentials and no material unresolved defects should qualify for expedited preclearance and reduced routine inspection, subject to random or intelligence-led checks.</w:t>
      </w:r>
    </w:p>
    <w:p>
      <w:pPr>
        <w:pStyle w:val="Heading2"/>
      </w:pPr>
      <w:bookmarkStart w:id="902346" w:name="_Toc300002345"/>
      <w:r>
        <w:t>BM-4. Weigh-in-Motion Expansion</w:t>
      </w:r>
      <w:bookmarkEnd w:id="902346"/>
    </w:p>
    <w:p>
      <w:pPr>
        <w:pStyle w:val="Normal"/>
      </w:pPr>
      <w:r>
        <w:t>Deploy weigh-in-motion and other non-stop screening technologies on suitable freight corridors to detect risk while reducing unnecessary stops for compliant trucks.</w:t>
      </w:r>
    </w:p>
    <w:p>
      <w:pPr>
        <w:pStyle w:val="Heading2"/>
      </w:pPr>
      <w:bookmarkStart w:id="902347" w:name="_Toc300002346"/>
      <w:r>
        <w:t>BM-5. Continental Truck Parking Information</w:t>
      </w:r>
      <w:bookmarkEnd w:id="902347"/>
    </w:p>
    <w:p>
      <w:pPr>
        <w:pStyle w:val="Normal"/>
      </w:pPr>
      <w:r>
        <w:t>Support interoperable real-time information on safe truck-parking availability across major freight corridors, including accessible routing to rest areas and emergency pull-offs.</w:t>
      </w:r>
    </w:p>
    <w:p>
      <w:pPr>
        <w:pStyle w:val="Heading2"/>
      </w:pPr>
      <w:bookmarkStart w:id="902348" w:name="_Toc300002347"/>
      <w:r>
        <w:t>BM-6. Rest-Area Electrification</w:t>
      </w:r>
      <w:bookmarkEnd w:id="902348"/>
    </w:p>
    <w:p>
      <w:pPr>
        <w:pStyle w:val="Normal"/>
      </w:pPr>
      <w:r>
        <w:t>Encourage electrified parking and auxiliary-power infrastructure at major rest areas to support driver comfort, reduce idling and make lawful rest more practical.</w:t>
      </w:r>
    </w:p>
    <w:p>
      <w:pPr>
        <w:pStyle w:val="Heading2"/>
      </w:pPr>
      <w:bookmarkStart w:id="902349" w:name="_Toc300002348"/>
      <w:r>
        <w:t>BM-7. Smart Safety Corridors</w:t>
      </w:r>
      <w:bookmarkEnd w:id="902349"/>
    </w:p>
    <w:p>
      <w:pPr>
        <w:pStyle w:val="Normal"/>
      </w:pPr>
      <w:r>
        <w:t>Designate high-volume freight corridors for integrated safety screening, weather warnings, bridge/clearance information, weigh-in-motion, incident alerts and emergency rerouting.</w:t>
      </w:r>
    </w:p>
    <w:p>
      <w:pPr>
        <w:pStyle w:val="Heading2"/>
      </w:pPr>
      <w:bookmarkStart w:id="902350" w:name="_Toc300002349"/>
      <w:r>
        <w:t>BM-8. Hazardous-Materials Response Interoperability</w:t>
      </w:r>
      <w:bookmarkEnd w:id="902350"/>
    </w:p>
    <w:p>
      <w:pPr>
        <w:pStyle w:val="Normal"/>
      </w:pPr>
      <w:r>
        <w:t>Harmonize or cross-recognize core hazardous-material incident documentation, responder information and emergency communication while respecting commodity-specific technical rules.</w:t>
      </w:r>
    </w:p>
    <w:p>
      <w:pPr>
        <w:pStyle w:val="Heading2"/>
      </w:pPr>
      <w:bookmarkStart w:id="902351" w:name="_Toc300002350"/>
      <w:r>
        <w:t>BM-9. Cross-Border Recall Alerting</w:t>
      </w:r>
      <w:bookmarkEnd w:id="902351"/>
    </w:p>
    <w:p>
      <w:pPr>
        <w:pStyle w:val="Normal"/>
      </w:pPr>
      <w:r>
        <w:t>A serious truck or component recall with cross-border market relevance should trigger rapid regulator-to-regulator and carrier/dealer notification using risk-based repair and inspection deadlines.</w:t>
      </w:r>
    </w:p>
    <w:p>
      <w:pPr>
        <w:pStyle w:val="Heading2"/>
      </w:pPr>
      <w:bookmarkStart w:id="902352" w:name="_Toc300002351"/>
      <w:r>
        <w:t>BM-10. Emergency Towing and Clearance Planning</w:t>
      </w:r>
      <w:bookmarkEnd w:id="902352"/>
    </w:p>
    <w:p>
      <w:pPr>
        <w:pStyle w:val="Normal"/>
      </w:pPr>
      <w:r>
        <w:t>Major crossings and freight corridors should maintain pre-planned heavy recovery capability and incident-clearance procedures without guaranteeing unrealistic universal response times.</w:t>
      </w:r>
    </w:p>
    <w:p>
      <w:pPr>
        <w:pStyle w:val="Heading2"/>
      </w:pPr>
      <w:bookmarkStart w:id="902353" w:name="_Toc300002352"/>
      <w:r>
        <w:t>BM-11. Crash Data Harmonization</w:t>
      </w:r>
      <w:bookmarkEnd w:id="902353"/>
    </w:p>
    <w:p>
      <w:pPr>
        <w:pStyle w:val="Normal"/>
      </w:pPr>
      <w:r>
        <w:t>Use common minimum crash-data fields and definitions to support comparable analysis across the three Parties while retaining jurisdiction-specific reporting where necessary.</w:t>
      </w:r>
    </w:p>
    <w:p>
      <w:pPr>
        <w:pStyle w:val="Heading2"/>
      </w:pPr>
      <w:bookmarkStart w:id="902354" w:name="_Toc300002353"/>
      <w:r>
        <w:t>BM-12. Cross-Border Serious-Crash Notification</w:t>
      </w:r>
      <w:bookmarkEnd w:id="902354"/>
    </w:p>
    <w:p>
      <w:pPr>
        <w:pStyle w:val="Normal"/>
      </w:pPr>
      <w:r>
        <w:t>Notify another Party when a serious crash creates a material cross-border interest through the carrier, driver, vehicle, cargo, origin, destination or safety defect; purely domestic crashes need not be broadcast continent-wide.</w:t>
      </w:r>
    </w:p>
    <w:p>
      <w:pPr>
        <w:pStyle w:val="Heading2"/>
      </w:pPr>
      <w:bookmarkStart w:id="902355" w:name="_Toc300002354"/>
      <w:r>
        <w:t>BM-13. Carrier Safety Rating Interoperability</w:t>
      </w:r>
      <w:bookmarkEnd w:id="902355"/>
    </w:p>
    <w:p>
      <w:pPr>
        <w:pStyle w:val="Normal"/>
      </w:pPr>
      <w:r>
        <w:t>Develop a translation or equivalence method among national carrier-safety systems so trusted status and serious risk indicators can be understood across borders without replacing every domestic rating program.</w:t>
      </w:r>
    </w:p>
    <w:p>
      <w:pPr>
        <w:pStyle w:val="Heading2"/>
      </w:pPr>
      <w:bookmarkStart w:id="902356" w:name="_Toc300002355"/>
      <w:r>
        <w:t>BM-14. Digital Commercial Vehicle Credential</w:t>
      </w:r>
      <w:bookmarkEnd w:id="902356"/>
    </w:p>
    <w:p>
      <w:pPr>
        <w:pStyle w:val="Normal"/>
      </w:pPr>
      <w:r>
        <w:t>Support a tamper-resistant interoperable digital credential capable of verifying vehicle registration, inspection status, insurance, carrier standing and other approved attributes without exposing unnecessary personal or commercial data.</w:t>
      </w:r>
    </w:p>
    <w:p>
      <w:pPr>
        <w:pStyle w:val="Heading2"/>
      </w:pPr>
      <w:bookmarkStart w:id="902357" w:name="_Toc300002356"/>
      <w:r>
        <w:t>BM-15. First-Responder Cargo Access</w:t>
      </w:r>
      <w:bookmarkEnd w:id="902357"/>
    </w:p>
    <w:p>
      <w:pPr>
        <w:pStyle w:val="Normal"/>
      </w:pPr>
      <w:r>
        <w:t>For dangerous or emergency-relevant loads, first responders should receive rapid, accurate cargo information through secure and resilient channels after an incident.</w:t>
      </w:r>
    </w:p>
    <w:p>
      <w:pPr>
        <w:pStyle w:val="Heading2"/>
      </w:pPr>
      <w:bookmarkStart w:id="902358" w:name="_Toc300002357"/>
      <w:r>
        <w:t>BM-16. Truck Safety Research Data</w:t>
      </w:r>
      <w:bookmarkEnd w:id="902358"/>
    </w:p>
    <w:p>
      <w:pPr>
        <w:pStyle w:val="Normal"/>
      </w:pPr>
      <w:r>
        <w:t>Provide privacy-protected and appropriately anonymized safety data for researchers, regulators and standards bodies to evaluate whether interventions reduce fatalities, injuries, fatigue, defects and cargo failures.</w:t>
      </w:r>
    </w:p>
    <w:p>
      <w:pPr>
        <w:pStyle w:val="Heading2"/>
      </w:pPr>
      <w:bookmarkStart w:id="902359" w:name="_Toc300002358"/>
      <w:r>
        <w:t>BM-17. Safety Outcome Reporting</w:t>
      </w:r>
      <w:bookmarkEnd w:id="902359"/>
    </w:p>
    <w:p>
      <w:pPr>
        <w:pStyle w:val="Normal"/>
      </w:pPr>
      <w:r>
        <w:t>Publish regular comparable safety indicators and explain material trends, including whether enforcement measures are reducing serious crashes rather than merely increasing citation counts.</w:t>
      </w:r>
    </w:p>
    <w:p>
      <w:pPr>
        <w:pStyle w:val="Heading2"/>
      </w:pPr>
      <w:bookmarkStart w:id="902360" w:name="_Toc300002359"/>
      <w:r>
        <w:t>BM-18. Phase-In for Legacy Fleets</w:t>
      </w:r>
      <w:bookmarkEnd w:id="902360"/>
    </w:p>
    <w:p>
      <w:pPr>
        <w:pStyle w:val="Normal"/>
      </w:pPr>
      <w:r>
        <w:t>Apply the strongest technically feasible requirements to new vehicles first and use evidence-based retrofit, inspection or replacement pathways for older vehicles rather than arbitrary age-based retirement.</w:t>
      </w:r>
    </w:p>
    <w:p>
      <w:pPr>
        <w:pStyle w:val="Heading2"/>
      </w:pPr>
      <w:bookmarkStart w:id="902361" w:name="_Toc300002360"/>
      <w:r>
        <w:t>BM-19. Human-Trafficking and Exploitation Awareness</w:t>
      </w:r>
      <w:bookmarkEnd w:id="902361"/>
    </w:p>
    <w:p>
      <w:pPr>
        <w:pStyle w:val="Normal"/>
      </w:pPr>
      <w:r>
        <w:t>Provide concise practical awareness and reporting information for commercial drivers and freight workers who may encounter trafficking, coercion or severe exploitation along freight corridors, using existing competent authorities where possible.</w:t>
      </w:r>
    </w:p>
    <w:p>
      <w:pPr>
        <w:pStyle w:val="Heading2"/>
      </w:pPr>
      <w:bookmarkStart w:id="902362" w:name="_Toc300002361"/>
      <w:r>
        <w:t>BM-20. No Committee Bloat</w:t>
      </w:r>
      <w:bookmarkEnd w:id="902362"/>
    </w:p>
    <w:p>
      <w:pPr>
        <w:pStyle w:val="Normal"/>
      </w:pPr>
      <w:r>
        <w:t>Transportation safety cooperation should be administered by existing regulators, designated contact points, the Secretariat and Cothrom. Temporary expert groups may be convened for defined technical questions and dissolved when their task ends.</w:t>
      </w:r>
    </w:p>
    <w:p>
      <w:pPr>
        <w:pStyle w:val="Heading2"/>
      </w:pPr>
      <w:bookmarkStart w:id="902363" w:name="_Toc300002362"/>
      <w:r>
        <w:t>BM-21. Trusted Freight Decision Logic</w:t>
      </w:r>
      <w:bookmarkEnd w:id="902363"/>
    </w:p>
    <w:p>
      <w:pPr>
        <w:pStyle w:val="Normal"/>
      </w:pPr>
      <w:r>
        <w:t>Where approved systems confirm that the driver is qualified, medical fitness credential is valid, hours status is compliant, vehicle inspection is current, no critical unresolved recall or defect is present, carrier safety standing is acceptable, cargo requirements are satisfied, and registration/insurance credentials are valid, the vehicle should be eligible for expedited processing subject to lawful random or intelligence-led checks. Missing or questionable information may trigger secondary inspection; serious safety defects, suspensions, falsified credentials or other disqualifying conditions require stop or out-of-service action.</w:t>
      </w:r>
    </w:p>
    <w:p>
      <w:pPr>
        <w:pStyle w:val="Heading2"/>
      </w:pPr>
      <w:bookmarkStart w:id="902364" w:name="_Toc300002363"/>
      <w:r>
        <w:t>BM-22. Safety as a Reciprocal Bargain</w:t>
      </w:r>
      <w:bookmarkEnd w:id="902364"/>
    </w:p>
    <w:p>
      <w:pPr>
        <w:pStyle w:val="Normal"/>
      </w:pPr>
      <w:r>
        <w:t>The Parties recognize that stronger interoperable safety rules are more durable when paired with concrete facilitation for operators that demonstrably meet them. Mutual recognition, preclearance, reduced duplicative inspection and faster correction of erroneous records are therefore integral parts of the safety architecture rather than optional favors.</w:t>
      </w:r>
    </w:p>
    <w:p>
      <w:pPr>
        <w:pStyle w:val="Heading1"/>
      </w:pPr>
      <w:bookmarkStart w:id="902365" w:name="_Toc300002364"/>
      <w:r>
        <w:t>PACKAGE BM-A: OPTIONAL U.S. SUV EXHAUST MANUFACTURING CARROT</w:t>
      </w:r>
      <w:bookmarkEnd w:id="902365"/>
    </w:p>
    <w:p>
      <w:pPr>
        <w:pStyle w:val="Normal"/>
      </w:pPr>
      <w:r>
        <w:t>Status. This Package is an optional negotiated automotive module and does not take effect unless Canada, Mexico and the United States expressly activate it together with the paired United States automotive tariff settlement described below. It is not a condition of the Agreement’s ordinary 75% (75 percent) Standard Tier treatment.</w:t>
      </w:r>
    </w:p>
    <w:p>
      <w:pPr>
        <w:pStyle w:val="Heading2"/>
      </w:pPr>
      <w:bookmarkStart w:id="902366" w:name="_Toc300002365"/>
      <w:r>
        <w:t>BM-A.1. Purpose</w:t>
      </w:r>
      <w:bookmarkEnd w:id="902366"/>
    </w:p>
    <w:p>
      <w:pPr>
        <w:pStyle w:val="Normal"/>
      </w:pPr>
      <w:r>
        <w:t>The Parties may use this Module to provide the United States with a visible, measurable and tightly bounded automotive-manufacturing gain while preserving the Agreement’s general North American rules of origin and the integrated Canadian, Mexican and United States automotive production base.</w:t>
      </w:r>
    </w:p>
    <w:p>
      <w:pPr>
        <w:pStyle w:val="Heading2"/>
      </w:pPr>
      <w:bookmarkStart w:id="902367" w:name="_Toc300002366"/>
      <w:r>
        <w:t>BM-A.2. Covered Vehicle Class</w:t>
      </w:r>
      <w:bookmarkEnd w:id="902367"/>
    </w:p>
    <w:p>
      <w:pPr>
        <w:pStyle w:val="Normal"/>
      </w:pPr>
      <w:r>
        <w:t>This Module applies only to a defined SUV category agreed in the implementing schedule. The definition shall be based on objective vehicle characteristics and tariff classifications and shall not be administratively expanded to pickups, vans, passenger cars, medium-duty vehicles, heavy-duty vehicles or other vehicle classes merely to enlarge the commitment. Crossovers or other borderline vehicles shall be treated according to the agreed technical definition rather than marketing labels.</w:t>
      </w:r>
    </w:p>
    <w:p>
      <w:pPr>
        <w:pStyle w:val="Heading2"/>
      </w:pPr>
      <w:bookmarkStart w:id="902368" w:name="_Toc300002367"/>
      <w:r>
        <w:t>BM-A.3. Covered Component</w:t>
      </w:r>
      <w:bookmarkEnd w:id="902368"/>
    </w:p>
    <w:p>
      <w:pPr>
        <w:pStyle w:val="Normal"/>
      </w:pPr>
      <w:r>
        <w:t>The initial and only automatically designated component is the original-equipment silencer or muffler assembly used on a Covered SUV and falling within the agreed portion of HS subheading 8708.92. Exhaust pipes, catalytic converters, emissions-control electronics, sensors and other exhaust-system components are excluded unless the Parties expressly agree otherwise. A battery-electric vehicle or other vehicle that does not use a conventional silencer or muffler assembly has no artificial sourcing obligation under this Module.</w:t>
      </w:r>
    </w:p>
    <w:p>
      <w:pPr>
        <w:pStyle w:val="TrumpVisibilityHeadline"/>
      </w:pPr>
      <w:r>
        <w:t xml:space="preserve">★ </w:t>
      </w:r>
      <w:r>
        <w:t>VISIBLE U.S. WIN: 70% U.S.-MANUFACTURED SUV MUFFLERS UNDER THE OPTIONAL AUTO BARGAIN</w:t>
      </w:r>
    </w:p>
    <w:p>
      <w:pPr>
        <w:pStyle w:val="Heading2"/>
      </w:pPr>
      <w:bookmarkStart w:id="902369" w:name="_Toc300002368"/>
      <w:r>
        <w:t>BM-A.4. Seventy-Percent U.S. Manufacturing Commitment</w:t>
      </w:r>
      <w:bookmarkEnd w:id="902369"/>
    </w:p>
    <w:p>
      <w:pPr>
        <w:pStyle w:val="Normal"/>
      </w:pPr>
      <w:r>
        <w:t>For Covered SUVs subject to this Module, participating vehicle producers shall source not less than 70% (70 percent), measured by value of annual qualifying original-equipment silencer or muffler purchases for those Covered SUVs, from qualifying production facilities located in the United States. An implementing schedule may permit an equivalent unit-based calculation where it produces a materially equivalent result and is easier to verify.</w:t>
      </w:r>
    </w:p>
    <w:p>
      <w:pPr>
        <w:pStyle w:val="Heading2"/>
      </w:pPr>
      <w:bookmarkStart w:id="902370" w:name="_Toc300002369"/>
      <w:r>
        <w:t>BM-A.5. Meaning of U.S.-Manufactured</w:t>
      </w:r>
      <w:bookmarkEnd w:id="902370"/>
    </w:p>
    <w:p>
      <w:pPr>
        <w:pStyle w:val="Normal"/>
      </w:pPr>
      <w:r>
        <w:t>A silencer or muffler shall qualify as U.S.-manufactured only where substantial manufacturing or assembly sufficient to satisfy the agreed production test occurs at a facility in the United States. Mere transshipment, packaging, labeling, warehousing, minor finishing or nominal processing shall not satisfy the requirement. Origin verification shall use existing customs and automotive verification institutions wherever practicable.</w:t>
      </w:r>
    </w:p>
    <w:p>
      <w:pPr>
        <w:pStyle w:val="Heading2"/>
      </w:pPr>
      <w:bookmarkStart w:id="902371" w:name="_Toc300002370"/>
      <w:r>
        <w:t>BM-A.6. North American Origin Preserved</w:t>
      </w:r>
      <w:bookmarkEnd w:id="902371"/>
    </w:p>
    <w:p>
      <w:pPr>
        <w:pStyle w:val="Normal"/>
      </w:pPr>
      <w:r>
        <w:t>Nothing in this Module shall cause a Canadian-origin or Mexican-origin silencer, muffler or other automotive component to cease being North American content for purposes of the Agreement’s ordinary rules of origin. This Module creates a separately negotiated sourcing commitment for a limited vehicle class; it shall not alter the calculation of the 75% (75 percent) Standard Tier RVC or establish a general rule that content from one Party is more originating than content from another Party.</w:t>
      </w:r>
    </w:p>
    <w:p>
      <w:pPr>
        <w:pStyle w:val="Heading2"/>
      </w:pPr>
      <w:bookmarkStart w:id="902372" w:name="_Toc300002371"/>
      <w:r>
        <w:t>BM-A.7. Paired United States Consideration</w:t>
      </w:r>
      <w:bookmarkEnd w:id="902372"/>
    </w:p>
    <w:p>
      <w:pPr>
        <w:pStyle w:val="Normal"/>
      </w:pPr>
      <w:r>
        <w:t>The 70% (70 percent) U.S. manufacturing commitment shall activate only simultaneously with the verified withdrawal, suspension or legally durable neutralization of the United States extraordinary automotive tariff measure or measures identified in the implementing schedule, together with restoration of the agreed zero-duty treatment for qualifying NAESTMA-originating vehicles and covered automotive parts. A mere reduction of the paired extraordinary tariff shall not activate this Module unless Canada and Mexico expressly agree.</w:t>
      </w:r>
    </w:p>
    <w:p>
      <w:pPr>
        <w:pStyle w:val="Heading2"/>
      </w:pPr>
      <w:bookmarkStart w:id="902373" w:name="_Toc300002372"/>
      <w:r>
        <w:t>BM-A.8. No Uncompensated Front-Loading and Automatic Step-Back</w:t>
      </w:r>
      <w:bookmarkEnd w:id="902373"/>
    </w:p>
    <w:p>
      <w:pPr>
        <w:pStyle w:val="Normal"/>
      </w:pPr>
      <w:r>
        <w:t>No producer, Canada or Mexico shall be required to front-load the sourcing commitment before the paired United States consideration is effective. If the paired United States tariff treatment is withdrawn, materially impaired or reimposed contrary to the settlement, the corresponding sourcing commitment shall pause proportionally after verification and any applicable short cure period, and shall restore automatically when paired performance resumes, using the Agreement’s existing Cothrom and step-back/earn-back architecture.</w:t>
      </w:r>
    </w:p>
    <w:p>
      <w:pPr>
        <w:pStyle w:val="Heading2"/>
      </w:pPr>
      <w:bookmarkStart w:id="902374" w:name="_Toc300002373"/>
      <w:r>
        <w:t>BM-A.9. Transition and Existing Contracts</w:t>
      </w:r>
      <w:bookmarkEnd w:id="902374"/>
    </w:p>
    <w:p>
      <w:pPr>
        <w:pStyle w:val="Normal"/>
      </w:pPr>
      <w:r>
        <w:t>Implementation shall provide a commercially reasonable transition for existing supplier contracts, tooling, validation, warranty, emissions certification and production planning. The Module should preferentially generate new U.S. production, expanded U.S. capacity or orderly future sourcing rather than require abrupt cancellation of lawful pre-existing Canadian or Mexican contracts where equivalent performance can be achieved through phase-in.</w:t>
      </w:r>
    </w:p>
    <w:p>
      <w:pPr>
        <w:pStyle w:val="Heading2"/>
      </w:pPr>
      <w:bookmarkStart w:id="902375" w:name="_Toc300002374"/>
      <w:r>
        <w:t>BM-A.10. Capacity, Quality and Safety Exception</w:t>
      </w:r>
      <w:bookmarkEnd w:id="902375"/>
    </w:p>
    <w:p>
      <w:pPr>
        <w:pStyle w:val="Normal"/>
      </w:pPr>
      <w:r>
        <w:t>A temporary shortfall shall not constitute non-compliance where qualifying U.S. supply is unavailable in sufficient commercial quantity, quality, safety, emissions-certification status or delivery timing and the producer has made documented commercially reasonable efforts to comply. Any exception shall be narrow, time-limited, reviewable and designed to prevent strategic underinvestment or artificial shortage claims.</w:t>
      </w:r>
    </w:p>
    <w:p>
      <w:pPr>
        <w:pStyle w:val="Heading2"/>
      </w:pPr>
      <w:bookmarkStart w:id="902376" w:name="_Toc300002375"/>
      <w:r>
        <w:t>BM-A.11. Three-Component Absolute Ceiling</w:t>
      </w:r>
      <w:bookmarkEnd w:id="902376"/>
    </w:p>
    <w:p>
      <w:pPr>
        <w:pStyle w:val="Normal"/>
      </w:pPr>
      <w:r>
        <w:t>No more than three component categories may ever be designated for Party-specific United States sourcing under this optional architecture at one time. The silencer or muffler category occupies the first slot. The second and third slots remain unassigned and may be activated only by express trilateral agreement in exchange for additional reciprocal consideration. Their existence creates no presumption that they must be filled.</w:t>
      </w:r>
    </w:p>
    <w:p>
      <w:pPr>
        <w:pStyle w:val="Heading2"/>
      </w:pPr>
      <w:bookmarkStart w:id="902377" w:name="_Toc300002376"/>
      <w:r>
        <w:t>BM-A.12. Strategic-Component Firewall</w:t>
      </w:r>
      <w:bookmarkEnd w:id="902377"/>
    </w:p>
    <w:p>
      <w:pPr>
        <w:pStyle w:val="Normal"/>
      </w:pPr>
      <w:r>
        <w:t>The following shall not be designated through the second or third slot under this Module: engines; transmissions; traction batteries or advanced batteries; semiconductors; electric traction motors; complete body or chassis systems; core steering, suspension or axle systems; final vehicle assembly; or any other component whose designation would materially transfer strategic control of the Canadian or Mexican automotive industrial base. Steel and aluminum remain governed by their separately negotiated rules.</w:t>
      </w:r>
    </w:p>
    <w:p>
      <w:pPr>
        <w:pStyle w:val="Heading2"/>
      </w:pPr>
      <w:bookmarkStart w:id="902378" w:name="_Toc300002377"/>
      <w:r>
        <w:t>BM-A.13. No Precedent and Anti-Salami-Slicing Rule</w:t>
      </w:r>
      <w:bookmarkEnd w:id="902378"/>
    </w:p>
    <w:p>
      <w:pPr>
        <w:pStyle w:val="Normal"/>
      </w:pPr>
      <w:r>
        <w:t>This Module is a bounded negotiated exception and shall not be interpreted as recognition of a general entitlement to single-Party content requirements. No Party may use the initial muffler commitment, an unused component slot, administrative guidance, model reclassification or technical rulemaking to expand the commitment beyond its expressly negotiated scope.</w:t>
      </w:r>
    </w:p>
    <w:p>
      <w:pPr>
        <w:pStyle w:val="Heading2"/>
      </w:pPr>
      <w:bookmarkStart w:id="902379" w:name="_Toc300002378"/>
      <w:r>
        <w:t>BM-A.14. Review and Technological Sunset</w:t>
      </w:r>
      <w:bookmarkEnd w:id="902379"/>
    </w:p>
    <w:p>
      <w:pPr>
        <w:pStyle w:val="Normal"/>
      </w:pPr>
      <w:r>
        <w:t>The Parties shall review the Module periodically for sourcing effects, consumer cost, producer disruption, U.S. investment and employment, Canadian and Mexican supplier effects, circumvention and technological relevance. The implementing schedule shall establish a fixed review or sunset period and may provide an earlier sunset or orderly reduction when conventional exhaust-equipped Covered SUVs fall below an agreed share of North American new-vehicle production. No Party shall require a vehicle without a functional need for a muffler to install one for compliance.</w:t>
      </w:r>
    </w:p>
    <w:p>
      <w:pPr>
        <w:pStyle w:val="Heading2"/>
      </w:pPr>
      <w:bookmarkStart w:id="902380" w:name="_Toc300002379"/>
      <w:r>
        <w:t>BM-A.15. Consumer-Cost and Competition Safeguard</w:t>
      </w:r>
      <w:bookmarkEnd w:id="902380"/>
    </w:p>
    <w:p>
      <w:pPr>
        <w:pStyle w:val="Normal"/>
      </w:pPr>
      <w:r>
        <w:t>The Parties shall monitor whether the commitment produces material price inflation, artificial scarcity, supplier concentration or quality degradation. Where a persistent market failure is independently verified, the Parties shall first use capacity expansion, transition flexibility or a narrow temporary adjustment rather than broaden the sourcing mandate to other components.</w:t>
      </w:r>
    </w:p>
    <w:p>
      <w:pPr>
        <w:pStyle w:val="Heading2"/>
      </w:pPr>
      <w:bookmarkStart w:id="902381" w:name="_Toc300002380"/>
      <w:r>
        <w:t>BM-A.16. Governing Bargain</w:t>
      </w:r>
      <w:bookmarkEnd w:id="902381"/>
    </w:p>
    <w:p>
      <w:pPr>
        <w:pStyle w:val="Normal"/>
      </w:pPr>
      <w:r>
        <w:t>The governing bargain is limited and reciprocal: the United States receives a measurable manufacturing preference for a defined, non-core component used in a defined SUV category; Canada and Mexico receive the paired durable automotive tariff settlement; ordinary North American origin remains intact; and any future expansion requires a new trilateral bargain rather than automatic escalation.</w:t>
      </w:r>
    </w:p>
    <w:p>
      <w:pPr>
        <w:pStyle w:val="Normal"/>
      </w:pPr>
      <w:r>
        <w:t>This begins the distributed NAESTMA immigration and humanitarian architecture. Continue through Packages BQ, BS, BW, and BX. Chapter 16 separately governs temporary entry for business persons.</w:t>
      </w:r>
    </w:p>
    <w:p>
      <w:pPr>
        <w:pStyle w:val="TrumpVisibilityHeadline"/>
      </w:pPr>
      <w:r>
        <w:t>SEARCH SIGNPOST: IMMIGRATION / MIGRATION / ASYLUM / REFUGEE / DETENTION / REMOVAL / DEPORTATION / FAMILY UNITY / HUMANITARIAN PROTECTION</w:t>
      </w:r>
    </w:p>
    <w:p>
      <w:pPr>
        <w:pStyle w:val="Heading1"/>
      </w:pPr>
      <w:bookmarkStart w:id="902382" w:name="_Toc300002381"/>
      <w:r>
        <w:t>PACKAGE BN: NORTH AMERICAN MOBILITY, MIGRATION, HUMAN DIGNITY AND LAWFUL ADMINISTRATION FRAMEWORK</w:t>
      </w:r>
      <w:bookmarkEnd w:id="902382"/>
    </w:p>
    <w:p>
      <w:pPr>
        <w:pStyle w:val="Normal"/>
      </w:pPr>
      <w:r>
        <w:rPr>
          <w:b/>
        </w:rPr>
        <w:t xml:space="preserve">BN-1. Purpose and Character. </w:t>
      </w:r>
      <w:r>
        <w:t>The Parties shall cooperate to expand lawful mobility, improve orderly migration administration, protect persons from exploitation and serious harm, strengthen legitimate enforcement, and preserve human dignity. Nothing in this Package shall be interpreted as eliminating lawful immigration administration or preventing the investigation and prosecution of serious criminal conduct.</w:t>
      </w:r>
    </w:p>
    <w:p>
      <w:pPr>
        <w:pStyle w:val="Normal"/>
      </w:pPr>
      <w:r>
        <w:rPr>
          <w:b/>
        </w:rPr>
        <w:t xml:space="preserve">BN-2. Sovereign Admission Firewall. </w:t>
      </w:r>
      <w:r>
        <w:t>Each Party retains ultimate authority under its law over admission, visas, temporary status, permanent residence, removal and citizenship, except to the extent of specific reciprocal commitments expressly undertaken under this Agreement.</w:t>
      </w:r>
    </w:p>
    <w:p>
      <w:pPr>
        <w:pStyle w:val="Normal"/>
      </w:pPr>
      <w:r>
        <w:rPr>
          <w:b/>
        </w:rPr>
        <w:t xml:space="preserve">BN-3. Civil Immigration Power-Separation Doctrine. </w:t>
      </w:r>
      <w:r>
        <w:t>No Party shall concentrate civil immigration policing, detention decision-making, asylum adjudication, criminal prosecution, intelligence collection and final review of removal within a single authority in a manner that eliminates effective functional independence, meaningful external review or judicial protection.</w:t>
      </w:r>
    </w:p>
    <w:p>
      <w:pPr>
        <w:pStyle w:val="Normal"/>
      </w:pPr>
      <w:r>
        <w:rPr>
          <w:b/>
        </w:rPr>
        <w:t xml:space="preserve">BN-4. Civil Immigration Non-Police Doctrine. </w:t>
      </w:r>
      <w:r>
        <w:t>Authority to administer civil immigration law shall not itself confer general criminal-police authority, nor shall civil immigration powers be used principally to circumvent procedural protections applicable to ordinary criminal investigation or prosecution.</w:t>
      </w:r>
    </w:p>
    <w:p>
      <w:pPr>
        <w:pStyle w:val="Normal"/>
      </w:pPr>
      <w:r>
        <w:rPr>
          <w:b/>
        </w:rPr>
        <w:t xml:space="preserve">BN-5. Individualized Administration. </w:t>
      </w:r>
      <w:r>
        <w:t>Civil immigration enforcement should be individualized, evidence-based, reviewable and proportionate. Race, ethnicity, religion, language, nationality, Indigenous identity or appearance shall not by itself constitute a sufficient basis for immigration enforcement.</w:t>
      </w:r>
    </w:p>
    <w:p>
      <w:pPr>
        <w:pStyle w:val="Normal"/>
      </w:pPr>
      <w:r>
        <w:rPr>
          <w:b/>
        </w:rPr>
        <w:t xml:space="preserve">BN-6. Human Being Not a Trade Concession. </w:t>
      </w:r>
      <w:r>
        <w:t>No person's visa, asylum claim, humanitarian protection, detention, removal, family status or other individual immigration outcome shall be offered, withheld, suspended or manipulated to obtain an unrelated tariff, procurement, mineral, energy or other commercial concession.</w:t>
      </w:r>
    </w:p>
    <w:p>
      <w:pPr>
        <w:pStyle w:val="Normal"/>
      </w:pPr>
      <w:r>
        <w:rPr>
          <w:b/>
        </w:rPr>
        <w:t xml:space="preserve">BN-7. Human-Rights Floor Regardless of Status. </w:t>
      </w:r>
      <w:r>
        <w:t>Minimum protections concerning humane custody, emergency care, child protection, non-discrimination, access to counsel or legal information where required by law, and protection against abuse shall apply without regard to nationality and shall not depend upon the ultimate success of a person's immigration claim.</w:t>
      </w:r>
    </w:p>
    <w:p>
      <w:pPr>
        <w:pStyle w:val="Normal"/>
      </w:pPr>
      <w:r>
        <w:rPr>
          <w:b/>
        </w:rPr>
        <w:t xml:space="preserve">BN-8. Humanitarian and Life-Safety Firewall. </w:t>
      </w:r>
      <w:r>
        <w:t>Emergency medicine, disaster response, essential food, humanitarian relief, refugee protection and other life-safety cooperation shall not be suspended or withheld as economic retaliation for a migration-policy dispute.</w:t>
      </w:r>
    </w:p>
    <w:p>
      <w:pPr>
        <w:pStyle w:val="Normal"/>
      </w:pPr>
      <w:r>
        <w:rPr>
          <w:b/>
        </w:rPr>
        <w:t xml:space="preserve">BN-9. No Uncompensated Front-Loading: Human Status Limitation. </w:t>
      </w:r>
      <w:r>
        <w:t>The Agreement's No Uncompensated Front-Loading architecture may apply to reciprocal government-level mobility, administrative or economic benefits. It shall not be applied mechanically to an individual's accrued status, protection or fundamental procedural rights. Any prospective step-back shall include appropriate grandfathering and continuity safeguards.</w:t>
      </w:r>
    </w:p>
    <w:p>
      <w:pPr>
        <w:pStyle w:val="Normal"/>
      </w:pPr>
      <w:r>
        <w:rPr>
          <w:b/>
        </w:rPr>
        <w:t xml:space="preserve">BN-10. Existing Institutions and No Committee Bloat. </w:t>
      </w:r>
      <w:r>
        <w:t>Implementation should rely on existing national authorities, the Secretariat and Cothrom processes where appropriate. No permanent migration council, duplicative tribunal, standing ombuds network or new supranational immigration authority is created by this Package.</w:t>
      </w:r>
    </w:p>
    <w:p>
      <w:pPr>
        <w:pStyle w:val="Heading1"/>
      </w:pPr>
      <w:bookmarkStart w:id="902383" w:name="_Toc300002382"/>
      <w:r>
        <w:t>PACKAGE BO: LAWFUL LABOUR, PROFESSIONAL, STUDENT AND FAMILY MOBILITY</w:t>
      </w:r>
      <w:bookmarkEnd w:id="902383"/>
    </w:p>
    <w:p>
      <w:pPr>
        <w:pStyle w:val="Normal"/>
      </w:pPr>
      <w:r>
        <w:rPr>
          <w:b/>
        </w:rPr>
        <w:t xml:space="preserve">BO-1. Standard Lawful Mobility Pathways. </w:t>
      </w:r>
      <w:r>
        <w:t>The Parties may establish shortage-responsive pathways for workers in agriculture, care work, construction, logistics, health care, food processing, research, technology and other verified-need sectors, with transparent eligibility and wage-protection rules.</w:t>
      </w:r>
    </w:p>
    <w:p>
      <w:pPr>
        <w:pStyle w:val="Normal"/>
      </w:pPr>
      <w:r>
        <w:rPr>
          <w:b/>
        </w:rPr>
        <w:t xml:space="preserve">BO-2. Sector-Portability Principle. </w:t>
      </w:r>
      <w:r>
        <w:t>Where practicable, temporary work authorization should permit movement among qualifying employers within an approved occupation or sector rather than binding a worker to a single employer.</w:t>
      </w:r>
    </w:p>
    <w:p>
      <w:pPr>
        <w:pStyle w:val="Normal"/>
      </w:pPr>
      <w:r>
        <w:rPr>
          <w:b/>
        </w:rPr>
        <w:t xml:space="preserve">BO-3. Employer Switching and Bridge Status. </w:t>
      </w:r>
      <w:r>
        <w:t>A qualifying worker who leaves an employer, including because of substantiated or credibly alleged serious abuse, shall have a defined bridge period in which to seek another qualifying employer without immediate loss of lawful status.</w:t>
      </w:r>
    </w:p>
    <w:p>
      <w:pPr>
        <w:pStyle w:val="Normal"/>
      </w:pPr>
      <w:r>
        <w:rPr>
          <w:b/>
        </w:rPr>
        <w:t xml:space="preserve">BO-4. Trusted Renewal. </w:t>
      </w:r>
      <w:r>
        <w:t>A worker with a verified history of lawful entry, compliance, authorized work and timely departure where required may receive simplified renewal or documentation processing, subject to continued admissibility.</w:t>
      </w:r>
    </w:p>
    <w:p>
      <w:pPr>
        <w:pStyle w:val="Normal"/>
      </w:pPr>
      <w:r>
        <w:rPr>
          <w:b/>
        </w:rPr>
        <w:t xml:space="preserve">BO-5. Agricultural Mobility. </w:t>
      </w:r>
      <w:r>
        <w:t>Seasonal agricultural programs should include licensed recruitment, understandable contracts, housing and transportation standards, rapid harvest-season complaints, return-travel rules and trusted returning-worker procedures.</w:t>
      </w:r>
    </w:p>
    <w:p>
      <w:pPr>
        <w:pStyle w:val="Normal"/>
      </w:pPr>
      <w:r>
        <w:rPr>
          <w:b/>
        </w:rPr>
        <w:t xml:space="preserve">BO-6. Skilled Trades and Major Projects. </w:t>
      </w:r>
      <w:r>
        <w:t>The Parties may facilitate temporary mobility for verified skilled trades and major continental projects while preserving competent-authority licensing, safety requirements and prevailing or applicable wage protections.</w:t>
      </w:r>
    </w:p>
    <w:p>
      <w:pPr>
        <w:pStyle w:val="Normal"/>
      </w:pPr>
      <w:r>
        <w:rPr>
          <w:b/>
        </w:rPr>
        <w:t xml:space="preserve">BO-7. Health and Care Mobility. </w:t>
      </w:r>
      <w:r>
        <w:t>Health and care-worker mobility may use common credential verification, bridging education and verified-experience recognition, while licensing decisions remain with competent regulators and ethical recruitment safeguards address source-community shortages.</w:t>
      </w:r>
    </w:p>
    <w:p>
      <w:pPr>
        <w:pStyle w:val="Normal"/>
      </w:pPr>
      <w:r>
        <w:rPr>
          <w:b/>
        </w:rPr>
        <w:t xml:space="preserve">BO-8. Research, Technology and Entrepreneurship. </w:t>
      </w:r>
      <w:r>
        <w:t>Researchers, entrepreneurs and critical-infrastructure specialists may receive project-based or multi-Party mobility facilitation, subject to national admissibility, security and professional requirements.</w:t>
      </w:r>
    </w:p>
    <w:p>
      <w:pPr>
        <w:pStyle w:val="Normal"/>
      </w:pPr>
      <w:r>
        <w:rPr>
          <w:b/>
        </w:rPr>
        <w:t xml:space="preserve">BO-9. Student and Youth Mobility. </w:t>
      </w:r>
      <w:r>
        <w:t>The Parties may support student exchanges, apprenticeships, post-graduation work opportunities and voluntary youth service programs, with continuity safeguards for disaster-interrupted status.</w:t>
      </w:r>
    </w:p>
    <w:p>
      <w:pPr>
        <w:pStyle w:val="Normal"/>
      </w:pPr>
      <w:r>
        <w:rPr>
          <w:b/>
        </w:rPr>
        <w:t xml:space="preserve">BO-10. Family Unity. </w:t>
      </w:r>
      <w:r>
        <w:t>Qualifying mobility programs should facilitate accompaniment or reunification of spouses and dependent children where consistent with domestic law, child safety and program capacity.</w:t>
      </w:r>
    </w:p>
    <w:p>
      <w:pPr>
        <w:pStyle w:val="Normal"/>
      </w:pPr>
      <w:r>
        <w:rPr>
          <w:b/>
        </w:rPr>
        <w:t xml:space="preserve">BO-11. Permanent-Residence Pathways. </w:t>
      </w:r>
      <w:r>
        <w:t>A Party may create transparent pathways from temporary to permanent residence for long-term workers, caregivers or other qualifying persons. Nothing in this Agreement creates an automatic entitlement to permanent residence.</w:t>
      </w:r>
    </w:p>
    <w:p>
      <w:pPr>
        <w:pStyle w:val="Normal"/>
      </w:pPr>
      <w:r>
        <w:rPr>
          <w:b/>
        </w:rPr>
        <w:t xml:space="preserve">BO-12. Credential Portability. </w:t>
      </w:r>
      <w:r>
        <w:t>The Parties should support interoperable credential verification, recognized translations, reasons for rejection, bridging programs, competency examinations and recognition of verified prior learning, while preserving the authority of competent regulators.</w:t>
      </w:r>
    </w:p>
    <w:p>
      <w:pPr>
        <w:pStyle w:val="Heading1"/>
      </w:pPr>
      <w:bookmarkStart w:id="902384" w:name="_Toc300002383"/>
      <w:r>
        <w:t>PACKAGE BP: MIGRANT WORKER PROTECTION AND EMPLOYER ACCOUNTABILITY</w:t>
      </w:r>
      <w:bookmarkEnd w:id="902384"/>
    </w:p>
    <w:p>
      <w:pPr>
        <w:pStyle w:val="Normal"/>
      </w:pPr>
      <w:r>
        <w:rPr>
          <w:b/>
        </w:rPr>
        <w:t xml:space="preserve">BP-1. No Worker-Paid Recruitment Fees. </w:t>
      </w:r>
      <w:r>
        <w:t>Employers, brokers and labour contractors participating in covered programs shall not charge prohibited recruitment fees to workers.</w:t>
      </w:r>
    </w:p>
    <w:p>
      <w:pPr>
        <w:pStyle w:val="Normal"/>
      </w:pPr>
      <w:r>
        <w:rPr>
          <w:b/>
        </w:rPr>
        <w:t xml:space="preserve">BP-2. Document Control. </w:t>
      </w:r>
      <w:r>
        <w:t>Workers shall retain possession and reasonable access to their passports, immigration documents and identity documents except for brief lawful processing or safekeeping requested by the worker.</w:t>
      </w:r>
    </w:p>
    <w:p>
      <w:pPr>
        <w:pStyle w:val="Normal"/>
      </w:pPr>
      <w:r>
        <w:rPr>
          <w:b/>
        </w:rPr>
        <w:t xml:space="preserve">BP-3. Transparent Contracts. </w:t>
      </w:r>
      <w:r>
        <w:t>Material terms concerning employer identity, wages, deductions, hours, housing, transportation, work location and complaint rights shall be disclosed in a language the worker can reasonably understand before departure or commencement of work.</w:t>
      </w:r>
    </w:p>
    <w:p>
      <w:pPr>
        <w:pStyle w:val="Normal"/>
      </w:pPr>
      <w:r>
        <w:rPr>
          <w:b/>
        </w:rPr>
        <w:t xml:space="preserve">BP-4. Anti-Retaliation. </w:t>
      </w:r>
      <w:r>
        <w:t>A worker shall not be punished, blacklisted or subjected to immigration retaliation merely for reporting wage theft, trafficking, unsafe conditions, document confiscation, domestic violence or other serious abuse.</w:t>
      </w:r>
    </w:p>
    <w:p>
      <w:pPr>
        <w:pStyle w:val="Normal"/>
      </w:pPr>
      <w:r>
        <w:rPr>
          <w:b/>
        </w:rPr>
        <w:t xml:space="preserve">BP-5. Status Portability Against Exploitation. </w:t>
      </w:r>
      <w:r>
        <w:t>Serious employer misconduct shall not force a worker to choose between enduring abuse and immediately becoming without lawful status. Domestic procedures shall provide a reasonable bridge and transfer mechanism.</w:t>
      </w:r>
    </w:p>
    <w:p>
      <w:pPr>
        <w:pStyle w:val="Normal"/>
      </w:pPr>
      <w:r>
        <w:rPr>
          <w:b/>
        </w:rPr>
        <w:t xml:space="preserve">BP-6. Recruiter Accountability. </w:t>
      </w:r>
      <w:r>
        <w:t>Recruiters participating in covered programs should be licensed or registered, auditable and subject to proportionate exclusion for repeated serious violations.</w:t>
      </w:r>
    </w:p>
    <w:p>
      <w:pPr>
        <w:pStyle w:val="Normal"/>
      </w:pPr>
      <w:r>
        <w:rPr>
          <w:b/>
        </w:rPr>
        <w:t xml:space="preserve">BP-7. Procurement Consequences. </w:t>
      </w:r>
      <w:r>
        <w:t>Public procurement and trade-finance programs may exclude employers, recruiters or contractors after substantiated serious trafficking, forced-labour, wage-theft or document-confiscation violations, subject to notice, evidence, review and remediation.</w:t>
      </w:r>
    </w:p>
    <w:p>
      <w:pPr>
        <w:pStyle w:val="Normal"/>
      </w:pPr>
      <w:r>
        <w:rPr>
          <w:b/>
        </w:rPr>
        <w:t xml:space="preserve">BP-8. Worker Complaints. </w:t>
      </w:r>
      <w:r>
        <w:t>The Parties should maintain confidential, multilingual and accessible complaint channels, including rapid mechanisms for seasonal and time-sensitive work.</w:t>
      </w:r>
    </w:p>
    <w:p>
      <w:pPr>
        <w:pStyle w:val="Normal"/>
      </w:pPr>
      <w:r>
        <w:rPr>
          <w:b/>
        </w:rPr>
        <w:t xml:space="preserve">BP-9. Cross-Border Labour Cooperation. </w:t>
      </w:r>
      <w:r>
        <w:t>Labour authorities may coordinate investigations, audits and information exchange concerning cross-border recruitment and employment, while enforcement authority remains with the competent authority of each Party.</w:t>
      </w:r>
    </w:p>
    <w:p>
      <w:pPr>
        <w:pStyle w:val="Normal"/>
      </w:pPr>
      <w:r>
        <w:rPr>
          <w:b/>
        </w:rPr>
        <w:t xml:space="preserve">BP-10. Safe Labour Remedies. </w:t>
      </w:r>
      <w:r>
        <w:t>Access to ordinary labour remedies should not itself trigger automatic immigration enforcement against the complainant.</w:t>
      </w:r>
    </w:p>
    <w:p>
      <w:pPr>
        <w:pStyle w:val="Normal"/>
      </w:pPr>
      <w:r>
        <w:rPr>
          <w:b/>
        </w:rPr>
        <w:t xml:space="preserve">BP-11. Public-Supply-Chain Standards. </w:t>
      </w:r>
      <w:r>
        <w:t>Government-supported projects and relevant supply chains may require anti-trafficking, recruitment, housing and grievance safeguards proportionate to the sector and risk.</w:t>
      </w:r>
    </w:p>
    <w:p>
      <w:pPr>
        <w:pStyle w:val="Normal"/>
      </w:pPr>
      <w:r>
        <w:rPr>
          <w:b/>
        </w:rPr>
        <w:t xml:space="preserve">BP-12. Outcome Measurement. </w:t>
      </w:r>
      <w:r>
        <w:t>The Parties should measure wage recovery, recruitment abuse, retaliation, trafficking indicators, workplace injury, complaint resolution and repeat violations rather than relying solely on program volume.</w:t>
      </w:r>
    </w:p>
    <w:p>
      <w:pPr>
        <w:pStyle w:val="Heading1"/>
      </w:pPr>
      <w:bookmarkStart w:id="902385" w:name="_Toc300002384"/>
      <w:r>
        <w:t>PACKAGE BQ: REFUGEE, ASYLUM, TRAFFICKING AND HUMANITARIAN PROTECTION</w:t>
      </w:r>
      <w:bookmarkEnd w:id="902385"/>
    </w:p>
    <w:p>
      <w:pPr>
        <w:pStyle w:val="Normal"/>
      </w:pPr>
      <w:r>
        <w:rPr>
          <w:b/>
        </w:rPr>
        <w:t xml:space="preserve">BQ-1. Independent Protection Adjudication. </w:t>
      </w:r>
      <w:r>
        <w:t>The authority responsible for apprehension or removal shall not exercise unchecked final authority over the merits of the same person's refugee or asylum protection claim.</w:t>
      </w:r>
    </w:p>
    <w:p>
      <w:pPr>
        <w:pStyle w:val="Normal"/>
      </w:pPr>
      <w:r>
        <w:rPr>
          <w:b/>
        </w:rPr>
        <w:t xml:space="preserve">BQ-2. Non-Refoulement. </w:t>
      </w:r>
      <w:r>
        <w:t>The Parties reaffirm compliance with applicable domestic and international obligations concerning non-refoulement and protection against return to persecution, torture or other serious harm.</w:t>
      </w:r>
    </w:p>
    <w:p>
      <w:pPr>
        <w:pStyle w:val="Normal"/>
      </w:pPr>
      <w:r>
        <w:rPr>
          <w:b/>
        </w:rPr>
        <w:t xml:space="preserve">BQ-3. Minimum Procedural Safeguards. </w:t>
      </w:r>
      <w:r>
        <w:t>Covered protection procedures should provide understandable notice, interpretation where necessary, a meaningful opportunity to present relevant evidence, and access to review or appeal as required by applicable law.</w:t>
      </w:r>
    </w:p>
    <w:p>
      <w:pPr>
        <w:pStyle w:val="Normal"/>
      </w:pPr>
      <w:r>
        <w:rPr>
          <w:b/>
        </w:rPr>
        <w:t xml:space="preserve">BQ-4. Vulnerability Screening. </w:t>
      </w:r>
      <w:r>
        <w:t>Procedures should identify unaccompanied minors, trafficking victims, torture survivors, persons with disabilities, persons facing gender-based violence and other persons requiring adapted safeguards.</w:t>
      </w:r>
    </w:p>
    <w:p>
      <w:pPr>
        <w:pStyle w:val="Normal"/>
      </w:pPr>
      <w:r>
        <w:rPr>
          <w:b/>
        </w:rPr>
        <w:t xml:space="preserve">BQ-5. Trafficking-Victim Firewall. </w:t>
      </w:r>
      <w:r>
        <w:t>A person intercepted in circumstances indicating trafficking or smuggling shall be assessed for victimization and individual culpability rather than treated automatically as a criminal participant.</w:t>
      </w:r>
    </w:p>
    <w:p>
      <w:pPr>
        <w:pStyle w:val="Normal"/>
      </w:pPr>
      <w:r>
        <w:rPr>
          <w:b/>
        </w:rPr>
        <w:t xml:space="preserve">BQ-6. Crime-Reporting Protection. </w:t>
      </w:r>
      <w:r>
        <w:t>Victims and witnesses reporting trafficking, domestic violence, labour exploitation or serious crime should have access to appropriate temporary protection against immigration retaliation.</w:t>
      </w:r>
    </w:p>
    <w:p>
      <w:pPr>
        <w:pStyle w:val="Normal"/>
      </w:pPr>
      <w:r>
        <w:rPr>
          <w:b/>
        </w:rPr>
        <w:t xml:space="preserve">BQ-7. Family Reunification. </w:t>
      </w:r>
      <w:r>
        <w:t>The Parties should facilitate lawful family reunification for recognized refugees and other protected persons where consistent with domestic law and child safety.</w:t>
      </w:r>
    </w:p>
    <w:p>
      <w:pPr>
        <w:pStyle w:val="Normal"/>
      </w:pPr>
      <w:r>
        <w:rPr>
          <w:b/>
        </w:rPr>
        <w:t xml:space="preserve">BQ-8. Safe-Third-Country Review. </w:t>
      </w:r>
      <w:r>
        <w:t>Any safe-third-country or equivalent transfer arrangement should remain subject to current evidence, periodic review and meaningful procedural safeguards.</w:t>
      </w:r>
    </w:p>
    <w:p>
      <w:pPr>
        <w:pStyle w:val="Normal"/>
      </w:pPr>
      <w:r>
        <w:rPr>
          <w:b/>
        </w:rPr>
        <w:t xml:space="preserve">BQ-9. Humanitarian Visa and Temporary Protection. </w:t>
      </w:r>
      <w:r>
        <w:t>A Party may establish temporary humanitarian visas or protection for persons facing credible serious threats, war, disaster or state collapse, with defined eligibility, review and duration.</w:t>
      </w:r>
    </w:p>
    <w:p>
      <w:pPr>
        <w:pStyle w:val="Normal"/>
      </w:pPr>
      <w:r>
        <w:rPr>
          <w:b/>
        </w:rPr>
        <w:t xml:space="preserve">BQ-10. Voluntary Coordinated Resettlement. </w:t>
      </w:r>
      <w:r>
        <w:t>The Parties may coordinate refugee-resettlement pledges and emergency burden-sharing according to capacity and humanitarian need. No automatic population formula creates an involuntary admission quota.</w:t>
      </w:r>
    </w:p>
    <w:p>
      <w:pPr>
        <w:pStyle w:val="Normal"/>
      </w:pPr>
      <w:r>
        <w:rPr>
          <w:b/>
        </w:rPr>
        <w:t xml:space="preserve">BQ-11. Humanitarian Organization Access. </w:t>
      </w:r>
      <w:r>
        <w:t>Accredited humanitarian and legal organizations should receive reasonable access to relevant processing, shelter and detention environments subject to privacy, security and safety rules.</w:t>
      </w:r>
    </w:p>
    <w:p>
      <w:pPr>
        <w:pStyle w:val="Normal"/>
      </w:pPr>
      <w:r>
        <w:rPr>
          <w:b/>
        </w:rPr>
        <w:t xml:space="preserve">BQ-12. Missing Migrants and Family Reunification. </w:t>
      </w:r>
      <w:r>
        <w:t>The Parties should cooperate to locate missing migrants, reconcile records and reunite families while protecting sensitive personal data.</w:t>
      </w:r>
    </w:p>
    <w:p>
      <w:pPr>
        <w:pStyle w:val="Heading1"/>
      </w:pPr>
      <w:bookmarkStart w:id="902386" w:name="_Toc300002385"/>
      <w:r>
        <w:t>PACKAGE BR: CIVIL IMMIGRATION ENFORCEMENT, DUE PROCESS AND POWER-SEPARATION SAFEGUARDS</w:t>
      </w:r>
      <w:bookmarkEnd w:id="902386"/>
    </w:p>
    <w:p>
      <w:pPr>
        <w:pStyle w:val="Normal"/>
      </w:pPr>
      <w:r>
        <w:rPr>
          <w:b/>
        </w:rPr>
        <w:t xml:space="preserve">BR-1. Civil and Criminal Distinction. </w:t>
      </w:r>
      <w:r>
        <w:t>Civil immigration violations shall be distinguished from criminal offenses. Serious criminal conduct remains subject to ordinary criminal investigation and prosecution with the protections applicable to criminal proceedings.</w:t>
      </w:r>
    </w:p>
    <w:p>
      <w:pPr>
        <w:pStyle w:val="Normal"/>
      </w:pPr>
      <w:r>
        <w:rPr>
          <w:b/>
        </w:rPr>
        <w:t xml:space="preserve">BR-2. No Quotas. </w:t>
      </w:r>
      <w:r>
        <w:t>Arrest, detention and removal quotas or numerical performance targets that create incentives for indiscriminate enforcement should not be used.</w:t>
      </w:r>
    </w:p>
    <w:p>
      <w:pPr>
        <w:pStyle w:val="Normal"/>
      </w:pPr>
      <w:r>
        <w:rPr>
          <w:b/>
        </w:rPr>
        <w:t xml:space="preserve">BR-3. Case-Specific Reasons. </w:t>
      </w:r>
      <w:r>
        <w:t>A civil immigration arrest, detention, search or removal decision should have a documented lawful basis and reasons sufficient for applicable review.</w:t>
      </w:r>
    </w:p>
    <w:p>
      <w:pPr>
        <w:pStyle w:val="Normal"/>
      </w:pPr>
      <w:r>
        <w:rPr>
          <w:b/>
        </w:rPr>
        <w:t xml:space="preserve">BR-4. Least-Restrictive Administration. </w:t>
      </w:r>
      <w:r>
        <w:t>Where a summons, reporting requirement, case management or another less-restrictive measure reasonably addresses the administrative objective and safety risk, detention or arrest should not be used merely for convenience or deterrence.</w:t>
      </w:r>
    </w:p>
    <w:p>
      <w:pPr>
        <w:pStyle w:val="Normal"/>
      </w:pPr>
      <w:r>
        <w:rPr>
          <w:b/>
        </w:rPr>
        <w:t xml:space="preserve">BR-5. Home Entry. </w:t>
      </w:r>
      <w:r>
        <w:t>Entry into a private home for civil immigration enforcement shall comply with the judicial-authorization and emergency standards required by the law of the Party concerned.</w:t>
      </w:r>
    </w:p>
    <w:p>
      <w:pPr>
        <w:pStyle w:val="Normal"/>
      </w:pPr>
      <w:r>
        <w:rPr>
          <w:b/>
        </w:rPr>
        <w:t xml:space="preserve">BR-6. Officer Identification. </w:t>
      </w:r>
      <w:r>
        <w:t>During ordinary enforcement encounters, officers should identify themselves, their authority and the legal basis for the encounter, subject to narrow undercover or immediate-safety exceptions.</w:t>
      </w:r>
    </w:p>
    <w:p>
      <w:pPr>
        <w:pStyle w:val="Normal"/>
      </w:pPr>
      <w:r>
        <w:rPr>
          <w:b/>
        </w:rPr>
        <w:t xml:space="preserve">BR-7. No Coerced Search Consent. </w:t>
      </w:r>
      <w:r>
        <w:t>Threats of immigration arrest or removal shall not be used to manufacture consent to an otherwise unauthorized search.</w:t>
      </w:r>
    </w:p>
    <w:p>
      <w:pPr>
        <w:pStyle w:val="Normal"/>
      </w:pPr>
      <w:r>
        <w:rPr>
          <w:b/>
        </w:rPr>
        <w:t xml:space="preserve">BR-8. Sensitive Locations. </w:t>
      </w:r>
      <w:r>
        <w:t>Schools, emergency medical facilities, shelters, places of worship and comparable sensitive locations shall not be used for routine civil immigration apprehension except where authorized by law in response to an immediate serious threat or other exceptional circumstances subject to review.</w:t>
      </w:r>
    </w:p>
    <w:p>
      <w:pPr>
        <w:pStyle w:val="Normal"/>
      </w:pPr>
      <w:r>
        <w:rPr>
          <w:b/>
        </w:rPr>
        <w:t xml:space="preserve">BR-9. Courthouse and Witness Protection. </w:t>
      </w:r>
      <w:r>
        <w:t>Civil immigration practices should not deter victims, witnesses or parties from accessing courts or reporting serious crime.</w:t>
      </w:r>
    </w:p>
    <w:p>
      <w:pPr>
        <w:pStyle w:val="Normal"/>
      </w:pPr>
      <w:r>
        <w:rPr>
          <w:b/>
        </w:rPr>
        <w:t xml:space="preserve">BR-10. Use of Force. </w:t>
      </w:r>
      <w:r>
        <w:t>Immigration personnel exercising coercive authority shall be governed by lawful, proportionate use-of-force standards, with immediate-threat authority where necessary and mandatory supervisory review after significant force.</w:t>
      </w:r>
    </w:p>
    <w:p>
      <w:pPr>
        <w:pStyle w:val="Normal"/>
      </w:pPr>
      <w:r>
        <w:rPr>
          <w:b/>
        </w:rPr>
        <w:t xml:space="preserve">BR-11. Body-Worn Cameras and Accountability. </w:t>
      </w:r>
      <w:r>
        <w:t>Where body-worn cameras are used, policy shall protect privacy, privileged communications, children, medical encounters and evidentiary integrity while preserving accountability.</w:t>
      </w:r>
    </w:p>
    <w:p>
      <w:pPr>
        <w:pStyle w:val="Normal"/>
      </w:pPr>
      <w:r>
        <w:rPr>
          <w:b/>
        </w:rPr>
        <w:t xml:space="preserve">BR-12. Independent Review. </w:t>
      </w:r>
      <w:r>
        <w:t>Detention, protection and removal decisions shall remain subject to meaningful independent administrative or judicial review as provided by domestic law.</w:t>
      </w:r>
    </w:p>
    <w:p>
      <w:pPr>
        <w:pStyle w:val="Normal"/>
      </w:pPr>
      <w:r>
        <w:rPr>
          <w:b/>
        </w:rPr>
        <w:t xml:space="preserve">BR-13. Major Power Expansion Review. </w:t>
      </w:r>
      <w:r>
        <w:t>A substantial expansion or consolidation of civil immigration coercive powers should require explicit domestic legal authority, a published rights-impact assessment and effective legislative or independent scrutiny.</w:t>
      </w:r>
    </w:p>
    <w:p>
      <w:pPr>
        <w:pStyle w:val="Normal"/>
      </w:pPr>
      <w:r>
        <w:rPr>
          <w:b/>
        </w:rPr>
        <w:t xml:space="preserve">BR-14. Outsourced Enforcement Review. </w:t>
      </w:r>
      <w:r>
        <w:t>Before entering arrangements that materially outsource migration interception, detention or removal functions, a Party should assess legal responsibility, protection obligations and independent oversight.</w:t>
      </w:r>
    </w:p>
    <w:p>
      <w:pPr>
        <w:pStyle w:val="Heading1"/>
      </w:pPr>
      <w:bookmarkStart w:id="902387" w:name="_Toc300002386"/>
      <w:r>
        <w:t>PACKAGE BS: HUMANE CUSTODY, DETENTION ALTERNATIVES AND SENSITIVE-LOCATION PROTECTION</w:t>
      </w:r>
      <w:bookmarkEnd w:id="902387"/>
    </w:p>
    <w:p>
      <w:pPr>
        <w:pStyle w:val="Normal"/>
      </w:pPr>
      <w:r>
        <w:rPr>
          <w:b/>
        </w:rPr>
        <w:t xml:space="preserve">BS-1. Presumption Against Unnecessary Detention. </w:t>
      </w:r>
      <w:r>
        <w:t>Civil immigration detention should be used only where authorized by law and justified by individualized circumstances, with less-restrictive alternatives considered where appropriate.</w:t>
      </w:r>
    </w:p>
    <w:p>
      <w:pPr>
        <w:pStyle w:val="Normal"/>
      </w:pPr>
      <w:r>
        <w:rPr>
          <w:b/>
        </w:rPr>
        <w:t xml:space="preserve">BS-2. Prompt Review. </w:t>
      </w:r>
      <w:r>
        <w:t>A detained person shall receive prompt independent review of the legal basis and continuing necessity of detention.</w:t>
      </w:r>
    </w:p>
    <w:p>
      <w:pPr>
        <w:pStyle w:val="Normal"/>
      </w:pPr>
      <w:r>
        <w:rPr>
          <w:b/>
        </w:rPr>
        <w:t xml:space="preserve">BS-3. Poverty and Bond. </w:t>
      </w:r>
      <w:r>
        <w:t>Lack of financial means alone shall not justify continued civil detention where an otherwise adequate less-restrictive arrangement is available.</w:t>
      </w:r>
    </w:p>
    <w:p>
      <w:pPr>
        <w:pStyle w:val="Normal"/>
      </w:pPr>
      <w:r>
        <w:rPr>
          <w:b/>
        </w:rPr>
        <w:t xml:space="preserve">BS-4. Children. </w:t>
      </w:r>
      <w:r>
        <w:t>Children shall not be subjected to punitive civil immigration detention. Short-duration protective or processing custody, where unavoidable, shall be governed by child-safety, family-unity and independent-review safeguards.</w:t>
      </w:r>
    </w:p>
    <w:p>
      <w:pPr>
        <w:pStyle w:val="Normal"/>
      </w:pPr>
      <w:r>
        <w:rPr>
          <w:b/>
        </w:rPr>
        <w:t xml:space="preserve">BS-5. Pregnancy and Vulnerability. </w:t>
      </w:r>
      <w:r>
        <w:t>Pregnancy, disability, serious illness, trauma and suicide risk shall receive individualized assessment and strong consideration against detention unless necessity is independently established.</w:t>
      </w:r>
    </w:p>
    <w:p>
      <w:pPr>
        <w:pStyle w:val="Normal"/>
      </w:pPr>
      <w:r>
        <w:rPr>
          <w:b/>
        </w:rPr>
        <w:t xml:space="preserve">BS-6. Family Unity. </w:t>
      </w:r>
      <w:r>
        <w:t>Families should remain together in community-based or other non-custodial settings whenever safe and feasible.</w:t>
      </w:r>
    </w:p>
    <w:p>
      <w:pPr>
        <w:pStyle w:val="Normal"/>
      </w:pPr>
      <w:r>
        <w:rPr>
          <w:b/>
        </w:rPr>
        <w:t xml:space="preserve">BS-7. Humane Custody Floor. </w:t>
      </w:r>
      <w:r>
        <w:t>Any civil immigration custody facility shall provide safe drinking water, sufficient food, sanitation, safe temperature, sleep, necessary medical and mental-health care, disability accommodation, communication, legal access, family contact, protection from violence and emergency evacuation capability.</w:t>
      </w:r>
    </w:p>
    <w:p>
      <w:pPr>
        <w:pStyle w:val="Normal"/>
      </w:pPr>
      <w:r>
        <w:rPr>
          <w:b/>
        </w:rPr>
        <w:t xml:space="preserve">BS-8. Detention Environment Anti-Deterrence Rule. </w:t>
      </w:r>
      <w:r>
        <w:t>A Party shall not select, construct, operate or maintain a civil immigration detention facility in a manner that intentionally relies upon dangerous environmental conditions, geographic isolation, extreme climate, wildlife hazards, deprivation of communication, remoteness from courts or counsel, or inadequate access to medical services as a means of punishment, intimidation or deterrence.</w:t>
      </w:r>
    </w:p>
    <w:p>
      <w:pPr>
        <w:pStyle w:val="Normal"/>
      </w:pPr>
      <w:r>
        <w:rPr>
          <w:b/>
        </w:rPr>
        <w:t xml:space="preserve">BS-9. Independent Inspection. </w:t>
      </w:r>
      <w:r>
        <w:t>Civil immigration detention facilities shall be subject to meaningful independent inspection, including unannounced inspection where authorized, and public reporting of systemic deficiencies.</w:t>
      </w:r>
    </w:p>
    <w:p>
      <w:pPr>
        <w:pStyle w:val="Normal"/>
      </w:pPr>
      <w:r>
        <w:rPr>
          <w:b/>
        </w:rPr>
        <w:t xml:space="preserve">BS-10. Serious-Incident Reporting. </w:t>
      </w:r>
      <w:r>
        <w:t>Deaths, serious injuries, assaults, suicides and major medical emergencies in civil immigration custody shall be recorded, independently reviewable and publicly reported in a privacy-protective form.</w:t>
      </w:r>
    </w:p>
    <w:p>
      <w:pPr>
        <w:pStyle w:val="Normal"/>
      </w:pPr>
      <w:r>
        <w:rPr>
          <w:b/>
        </w:rPr>
        <w:t xml:space="preserve">BS-11. Transfers. </w:t>
      </w:r>
      <w:r>
        <w:t>Detainees should not be transferred principally to frustrate access to family, counsel, witnesses, evidence or medical care. Emergency and legitimate operational transfers remain possible with appropriate notice.</w:t>
      </w:r>
    </w:p>
    <w:p>
      <w:pPr>
        <w:pStyle w:val="Normal"/>
      </w:pPr>
      <w:r>
        <w:rPr>
          <w:b/>
        </w:rPr>
        <w:t xml:space="preserve">BS-12. Solitary Confinement. </w:t>
      </w:r>
      <w:r>
        <w:t>Isolation shall not be used as punishment for civil immigration status and shall be limited to exceptional, documented safety circumstances with frequent review.</w:t>
      </w:r>
    </w:p>
    <w:p>
      <w:pPr>
        <w:pStyle w:val="Normal"/>
      </w:pPr>
      <w:r>
        <w:rPr>
          <w:b/>
        </w:rPr>
        <w:t xml:space="preserve">BS-13. Removal Not Foreseeable. </w:t>
      </w:r>
      <w:r>
        <w:t>Where removal is not realistically foreseeable within a reasonable period, continuing detention shall receive heightened independent review and release planning.</w:t>
      </w:r>
    </w:p>
    <w:p>
      <w:pPr>
        <w:pStyle w:val="Normal"/>
      </w:pPr>
      <w:r>
        <w:rPr>
          <w:b/>
        </w:rPr>
        <w:t xml:space="preserve">BS-14. Contractor Limits. </w:t>
      </w:r>
      <w:r>
        <w:t>Private contractors may provide lawful support services but shall not exercise final authority over arrest, detention necessity, protection adjudication, release or removal.</w:t>
      </w:r>
    </w:p>
    <w:p>
      <w:pPr>
        <w:pStyle w:val="Heading1"/>
      </w:pPr>
      <w:bookmarkStart w:id="902388" w:name="_Toc300002387"/>
      <w:r>
        <w:t>PACKAGE BT: MIGRATION DATA, PRIVACY, BIOMETRICS AND AUTOMATED-DECISION SAFEGUARDS</w:t>
      </w:r>
      <w:bookmarkEnd w:id="902388"/>
    </w:p>
    <w:p>
      <w:pPr>
        <w:pStyle w:val="Normal"/>
      </w:pPr>
      <w:r>
        <w:rPr>
          <w:b/>
        </w:rPr>
        <w:t xml:space="preserve">BT-1. Minimum-Necessary-Data Doctrine. </w:t>
      </w:r>
      <w:r>
        <w:t>Migration data collection, access, use and sharing shall be limited to information reasonably necessary for a defined lawful purpose.</w:t>
      </w:r>
    </w:p>
    <w:p>
      <w:pPr>
        <w:pStyle w:val="Normal"/>
      </w:pPr>
      <w:r>
        <w:rPr>
          <w:b/>
        </w:rPr>
        <w:t xml:space="preserve">BT-2. Federated Interoperability. </w:t>
      </w:r>
      <w:r>
        <w:t>The Parties should prefer interoperable and federated verification over a centralized continental immigration database where the same objective can reasonably be achieved with less privacy risk.</w:t>
      </w:r>
    </w:p>
    <w:p>
      <w:pPr>
        <w:pStyle w:val="Normal"/>
      </w:pPr>
      <w:r>
        <w:rPr>
          <w:b/>
        </w:rPr>
        <w:t xml:space="preserve">BT-3. No Continental Person Number. </w:t>
      </w:r>
      <w:r>
        <w:t>Nothing in this Agreement requires a permanent unique North American immigration identifier applicable across unrelated programs.</w:t>
      </w:r>
    </w:p>
    <w:p>
      <w:pPr>
        <w:pStyle w:val="Normal"/>
      </w:pPr>
      <w:r>
        <w:rPr>
          <w:b/>
        </w:rPr>
        <w:t xml:space="preserve">BT-4. Sensitive-Service Data Firewall. </w:t>
      </w:r>
      <w:r>
        <w:t>Health, education, shelter, domestic-violence, library and comparable service records shall not be used for indiscriminate immigration enforcement. Access shall require lawful authority, necessity and appropriate safeguards.</w:t>
      </w:r>
    </w:p>
    <w:p>
      <w:pPr>
        <w:pStyle w:val="Normal"/>
      </w:pPr>
      <w:r>
        <w:rPr>
          <w:b/>
        </w:rPr>
        <w:t xml:space="preserve">BT-5. Purpose Limitation. </w:t>
      </w:r>
      <w:r>
        <w:t>Data obtained for humanitarian, labour-remedy, health or other protected purposes shall not be repurposed for unrelated enforcement absent lawful authority and a compelling, reviewable justification.</w:t>
      </w:r>
    </w:p>
    <w:p>
      <w:pPr>
        <w:pStyle w:val="Normal"/>
      </w:pPr>
      <w:r>
        <w:rPr>
          <w:b/>
        </w:rPr>
        <w:t xml:space="preserve">BT-6. Retention and Deletion. </w:t>
      </w:r>
      <w:r>
        <w:t>Data shall be retained no longer than reasonably necessary for its lawful purpose, subject to defined exceptions for litigation, audits, serious investigations and legal recordkeeping.</w:t>
      </w:r>
    </w:p>
    <w:p>
      <w:pPr>
        <w:pStyle w:val="Normal"/>
      </w:pPr>
      <w:r>
        <w:rPr>
          <w:b/>
        </w:rPr>
        <w:t xml:space="preserve">BT-7. Access and Correction. </w:t>
      </w:r>
      <w:r>
        <w:t>Individuals should have a practicable process to access consequential immigration records about themselves and seek correction of material errors, subject to legitimate security and investigative exceptions.</w:t>
      </w:r>
    </w:p>
    <w:p>
      <w:pPr>
        <w:pStyle w:val="Normal"/>
      </w:pPr>
      <w:r>
        <w:rPr>
          <w:b/>
        </w:rPr>
        <w:t xml:space="preserve">BT-8. Biometric Restraint. </w:t>
      </w:r>
      <w:r>
        <w:t>Biometric collection and sharing shall require lawful authority, necessity, proportionality, defined retention, security controls and restrictions on secondary use. Interoperability does not itself authorize expanded collection.</w:t>
      </w:r>
    </w:p>
    <w:p>
      <w:pPr>
        <w:pStyle w:val="Normal"/>
      </w:pPr>
      <w:r>
        <w:rPr>
          <w:b/>
        </w:rPr>
        <w:t xml:space="preserve">BT-9. Facial Recognition and Surveillance. </w:t>
      </w:r>
      <w:r>
        <w:t>Warrantless or indiscriminate biometric surveillance for civil immigration enforcement should be prohibited or tightly restricted under domestic law.</w:t>
      </w:r>
    </w:p>
    <w:p>
      <w:pPr>
        <w:pStyle w:val="Normal"/>
      </w:pPr>
      <w:r>
        <w:rPr>
          <w:b/>
        </w:rPr>
        <w:t xml:space="preserve">BT-10. Automated Decisions. </w:t>
      </w:r>
      <w:r>
        <w:t>No consequential denial of a visa, work authorization, protection access or other covered benefit should rest solely on an automated system where meaningful human review is reasonably available and legally required.</w:t>
      </w:r>
    </w:p>
    <w:p>
      <w:pPr>
        <w:pStyle w:val="Normal"/>
      </w:pPr>
      <w:r>
        <w:rPr>
          <w:b/>
        </w:rPr>
        <w:t xml:space="preserve">BT-11. Algorithmic Auditability. </w:t>
      </w:r>
      <w:r>
        <w:t>High-impact immigration screening systems should be auditable for accuracy, discriminatory effects, data provenance and error correction.</w:t>
      </w:r>
    </w:p>
    <w:p>
      <w:pPr>
        <w:pStyle w:val="Normal"/>
      </w:pPr>
      <w:r>
        <w:rPr>
          <w:b/>
        </w:rPr>
        <w:t xml:space="preserve">BT-12. No Automatic Deportation Lists. </w:t>
      </w:r>
      <w:r>
        <w:t>Shared data systems shall not become automatic deportation, detention or exclusion lists without individualized lawful review.</w:t>
      </w:r>
    </w:p>
    <w:p>
      <w:pPr>
        <w:pStyle w:val="Normal"/>
      </w:pPr>
      <w:r>
        <w:rPr>
          <w:b/>
        </w:rPr>
        <w:t xml:space="preserve">BT-13. Notice of Material Error. </w:t>
      </w:r>
      <w:r>
        <w:t>Where a Party discovers a material cross-border data error that foreseeably affects an individual's status or rights, it should provide notice and a correction pathway where lawful.</w:t>
      </w:r>
    </w:p>
    <w:p>
      <w:pPr>
        <w:pStyle w:val="Normal"/>
      </w:pPr>
      <w:r>
        <w:rPr>
          <w:b/>
        </w:rPr>
        <w:t xml:space="preserve">BT-14. Vendor Accountability. </w:t>
      </w:r>
      <w:r>
        <w:t>Publicly procured immigration technology should support auditability, security, correction and human review appropriate to the system's consequences.</w:t>
      </w:r>
    </w:p>
    <w:p>
      <w:pPr>
        <w:pStyle w:val="Heading1"/>
      </w:pPr>
      <w:bookmarkStart w:id="902389" w:name="_Toc300002388"/>
      <w:r>
        <w:t>PACKAGE BU: RETURN, REINTEGRATION, DISASTER MOBILITY AND REGIONAL DEVELOPMENT</w:t>
      </w:r>
      <w:bookmarkEnd w:id="902389"/>
    </w:p>
    <w:p>
      <w:pPr>
        <w:pStyle w:val="Normal"/>
      </w:pPr>
      <w:r>
        <w:rPr>
          <w:b/>
        </w:rPr>
        <w:t xml:space="preserve">BU-1. Voluntary Return. </w:t>
      </w:r>
      <w:r>
        <w:t>Voluntary-return programs shall be genuinely voluntary and should include understandable information, travel documentation and appropriate reintegration assistance.</w:t>
      </w:r>
    </w:p>
    <w:p>
      <w:pPr>
        <w:pStyle w:val="Normal"/>
      </w:pPr>
      <w:r>
        <w:rPr>
          <w:b/>
        </w:rPr>
        <w:t xml:space="preserve">BU-2. Trusted Returning Workers. </w:t>
      </w:r>
      <w:r>
        <w:t>Workers who comply with temporary programs and depart as required may receive facilitated consideration for future lawful participation, subject to continued eligibility.</w:t>
      </w:r>
    </w:p>
    <w:p>
      <w:pPr>
        <w:pStyle w:val="Normal"/>
      </w:pPr>
      <w:r>
        <w:rPr>
          <w:b/>
        </w:rPr>
        <w:t xml:space="preserve">BU-3. Portable Social Protection. </w:t>
      </w:r>
      <w:r>
        <w:t>The Parties should pursue portability or coordination of pensions, social-security records, workers' compensation and lawfully earned savings through applicable agreements and domestic law.</w:t>
      </w:r>
    </w:p>
    <w:p>
      <w:pPr>
        <w:pStyle w:val="Normal"/>
      </w:pPr>
      <w:r>
        <w:rPr>
          <w:b/>
        </w:rPr>
        <w:t xml:space="preserve">BU-4. Reintegration and Skills Recognition. </w:t>
      </w:r>
      <w:r>
        <w:t>Returning persons should be able to document skills and experience acquired abroad for employment, education and licensing purposes.</w:t>
      </w:r>
    </w:p>
    <w:p>
      <w:pPr>
        <w:pStyle w:val="Normal"/>
      </w:pPr>
      <w:r>
        <w:rPr>
          <w:b/>
        </w:rPr>
        <w:t xml:space="preserve">BU-5. Regional Development. </w:t>
      </w:r>
      <w:r>
        <w:t>The Parties may coordinate development finance, vocational training, SME support, infrastructure and lawful recruitment information in communities experiencing high migration pressure, with the affected Party retaining control over domestic priorities.</w:t>
      </w:r>
    </w:p>
    <w:p>
      <w:pPr>
        <w:pStyle w:val="Normal"/>
      </w:pPr>
      <w:r>
        <w:rPr>
          <w:b/>
        </w:rPr>
        <w:t xml:space="preserve">BU-6. Disaster Status Continuity. </w:t>
      </w:r>
      <w:r>
        <w:t>A disaster that closes offices, interrupts travel or destroys documents should not by itself cause otherwise lawful status to lapse where timely compliance was reasonably impossible.</w:t>
      </w:r>
    </w:p>
    <w:p>
      <w:pPr>
        <w:pStyle w:val="Normal"/>
      </w:pPr>
      <w:r>
        <w:rPr>
          <w:b/>
        </w:rPr>
        <w:t xml:space="preserve">BU-7. Temporary Disaster Mobility. </w:t>
      </w:r>
      <w:r>
        <w:t>The Parties may establish temporary, reviewable humanitarian mobility and status-extension mechanisms where safe return is temporarily impossible because of major disaster, conflict or state collapse.</w:t>
      </w:r>
    </w:p>
    <w:p>
      <w:pPr>
        <w:pStyle w:val="Normal"/>
      </w:pPr>
      <w:r>
        <w:rPr>
          <w:b/>
        </w:rPr>
        <w:t xml:space="preserve">BU-8. Emergency Responders. </w:t>
      </w:r>
      <w:r>
        <w:t>Qualified emergency responders may receive expedited temporary mobility during major disasters, subject to credential, safety and command requirements.</w:t>
      </w:r>
    </w:p>
    <w:p>
      <w:pPr>
        <w:pStyle w:val="Normal"/>
      </w:pPr>
      <w:r>
        <w:rPr>
          <w:b/>
        </w:rPr>
        <w:t xml:space="preserve">BU-9. Humanitarian Corridors. </w:t>
      </w:r>
      <w:r>
        <w:t>The Parties may coordinate emergency humanitarian corridors for disasters and other acute crises, subject to security screening and the Humanitarian and Life-Safety Firewall.</w:t>
      </w:r>
    </w:p>
    <w:p>
      <w:pPr>
        <w:pStyle w:val="Normal"/>
      </w:pPr>
      <w:r>
        <w:rPr>
          <w:b/>
        </w:rPr>
        <w:t xml:space="preserve">BU-10. Evidence and Evaluation. </w:t>
      </w:r>
      <w:r>
        <w:t>Programs should measure repeat irregular migration, successful reintegration, labour-market outcomes, community effects and protection outcomes to support adaptive policy.</w:t>
      </w:r>
    </w:p>
    <w:p>
      <w:pPr>
        <w:pStyle w:val="Heading1"/>
      </w:pPr>
      <w:bookmarkStart w:id="902390" w:name="_Toc300002389"/>
      <w:r>
        <w:t>PACKAGE BV: TRUSTED NORTH AMERICAN MOBILITY AND ADMINISTRATIVE INTEROPERABILITY</w:t>
      </w:r>
      <w:bookmarkEnd w:id="902390"/>
    </w:p>
    <w:p>
      <w:pPr>
        <w:pStyle w:val="Normal"/>
      </w:pPr>
      <w:r>
        <w:rPr>
          <w:b/>
        </w:rPr>
        <w:t xml:space="preserve">BV-1. Trusted Mobility Concept. </w:t>
      </w:r>
      <w:r>
        <w:t>The Parties may establish risk-based administrative facilitation for persons with verified histories of lawful participation in covered mobility programs. Trusted status is an administrative facilitation and does not create a right to admission.</w:t>
      </w:r>
    </w:p>
    <w:p>
      <w:pPr>
        <w:pStyle w:val="Normal"/>
      </w:pPr>
      <w:r>
        <w:rPr>
          <w:b/>
        </w:rPr>
        <w:t xml:space="preserve">BV-2. Qualification Logic. </w:t>
      </w:r>
      <w:r>
        <w:t>Qualification may consider verified identity, prior program compliance, lawful work, applicable tax or contribution compliance, absence of disqualifying fraud, and timely departure where required.</w:t>
      </w:r>
    </w:p>
    <w:p>
      <w:pPr>
        <w:pStyle w:val="Normal"/>
      </w:pPr>
      <w:r>
        <w:rPr>
          <w:b/>
        </w:rPr>
        <w:t xml:space="preserve">BV-3. Continued Admissibility. </w:t>
      </w:r>
      <w:r>
        <w:t>Trusted processing remains subject to each Party's current admissibility, security, health and public-safety law.</w:t>
      </w:r>
    </w:p>
    <w:p>
      <w:pPr>
        <w:pStyle w:val="Normal"/>
      </w:pPr>
      <w:r>
        <w:rPr>
          <w:b/>
        </w:rPr>
        <w:t xml:space="preserve">BV-4. Interoperable Credentials. </w:t>
      </w:r>
      <w:r>
        <w:t>The Parties should support secure verification of work authorization, professional credentials and program history without requiring unnecessary centralization of personal data.</w:t>
      </w:r>
    </w:p>
    <w:p>
      <w:pPr>
        <w:pStyle w:val="Normal"/>
      </w:pPr>
      <w:r>
        <w:rPr>
          <w:b/>
        </w:rPr>
        <w:t xml:space="preserve">BV-5. Record Correction. </w:t>
      </w:r>
      <w:r>
        <w:t>A person shall have a practical mechanism to challenge or correct erroneous information that materially affects trusted status.</w:t>
      </w:r>
    </w:p>
    <w:p>
      <w:pPr>
        <w:pStyle w:val="Normal"/>
      </w:pPr>
      <w:r>
        <w:rPr>
          <w:b/>
        </w:rPr>
        <w:t xml:space="preserve">BV-6. Suspension and Restoration. </w:t>
      </w:r>
      <w:r>
        <w:t>Trusted status may be suspended for substantiated material noncompliance, with notice and review appropriate to the consequence, and restored when eligibility is re-established.</w:t>
      </w:r>
    </w:p>
    <w:p>
      <w:pPr>
        <w:pStyle w:val="Normal"/>
      </w:pPr>
      <w:r>
        <w:rPr>
          <w:b/>
        </w:rPr>
        <w:t xml:space="preserve">BV-7. No Protected-Characteristic Scoring. </w:t>
      </w:r>
      <w:r>
        <w:t>Race, ethnicity, religion, Indigenous identity or comparable protected characteristics shall not be used as negative trusted-mobility risk factors.</w:t>
      </w:r>
    </w:p>
    <w:p>
      <w:pPr>
        <w:pStyle w:val="Normal"/>
      </w:pPr>
      <w:r>
        <w:rPr>
          <w:b/>
        </w:rPr>
        <w:t xml:space="preserve">BV-8. Program Evaluation. </w:t>
      </w:r>
      <w:r>
        <w:t>The Parties should evaluate whether trusted processing reduces administrative burden, fraud, unauthorized work and repeat irregular migration without creating discriminatory outcomes.</w:t>
      </w:r>
    </w:p>
    <w:p>
      <w:pPr>
        <w:pStyle w:val="Normal"/>
      </w:pPr>
      <w:r>
        <w:t>This Package forms part of the broader human-rights architecture and should be read with BN, BQ, BS, BX, and specialized custodial protections.</w:t>
      </w:r>
    </w:p>
    <w:p>
      <w:pPr>
        <w:pStyle w:val="TrumpVisibilityHeadline"/>
      </w:pPr>
      <w:r>
        <w:t>SEARCH SIGNPOST: HUMAN RIGHTS / HUMAN DIGNITY / RULE OF LAW / DUE PROCESS / LEGAL ACCESS / MEDICAL CARE / NON-DISCRIMINATION</w:t>
      </w:r>
    </w:p>
    <w:p>
      <w:pPr>
        <w:pStyle w:val="Heading1"/>
      </w:pPr>
      <w:bookmarkStart w:id="902391" w:name="_Toc300002390"/>
      <w:r>
        <w:t>PACKAGE BW: NORTH AMERICAN HUMAN DIGNITY, RULE-OF-LAW AND EARNED COOPERATION FRAMEWORK</w:t>
      </w:r>
      <w:bookmarkEnd w:id="902391"/>
    </w:p>
    <w:p>
      <w:pPr>
        <w:pStyle w:val="Normal"/>
      </w:pPr>
      <w:r>
        <w:rPr>
          <w:b/>
        </w:rPr>
        <w:t xml:space="preserve">BW-1. Purpose. </w:t>
      </w:r>
      <w:r>
        <w:t>This Package creates a reciprocal, evidence-based framework through which additional government-level economic cooperation may reward verified improvements in human-rights, due-process, migrant-worker and lawful-administration benchmarks. It shall not be interpreted as collective punishment or as authority to suspend fundamental individual protections.</w:t>
      </w:r>
    </w:p>
    <w:p>
      <w:pPr>
        <w:pStyle w:val="Normal"/>
      </w:pPr>
      <w:r>
        <w:rPr>
          <w:b/>
        </w:rPr>
        <w:t xml:space="preserve">BW-2. Equal Application. </w:t>
      </w:r>
      <w:r>
        <w:t>Published benchmarks shall apply on equal terms to Canada, Mexico and the United States. No Party may claim a benefit from standards that it refuses to accept for its own covered conduct.</w:t>
      </w:r>
    </w:p>
    <w:p>
      <w:pPr>
        <w:pStyle w:val="Normal"/>
      </w:pPr>
      <w:r>
        <w:rPr>
          <w:b/>
        </w:rPr>
        <w:t xml:space="preserve">BW-3. Benchmark Categories. </w:t>
      </w:r>
      <w:r>
        <w:t>Benchmarks may address humane detention conditions, independent review, access to counsel or legal information where applicable, necessary medical care, non-refoulement, family unity, anti-trafficking safeguards, migrant-worker protection, data protection and institutional separation of enforcement from adjudication.</w:t>
      </w:r>
    </w:p>
    <w:p>
      <w:pPr>
        <w:pStyle w:val="Normal"/>
      </w:pPr>
      <w:r>
        <w:rPr>
          <w:b/>
        </w:rPr>
        <w:t xml:space="preserve">BW-4. Independent Evidence. </w:t>
      </w:r>
      <w:r>
        <w:t>A finding capable of triggering a government-level step-back shall rely on documented evidence, an opportunity for the affected Party to respond, and independent legal or expert review appropriate to the issue.</w:t>
      </w:r>
    </w:p>
    <w:p>
      <w:pPr>
        <w:pStyle w:val="Normal"/>
      </w:pPr>
      <w:r>
        <w:rPr>
          <w:b/>
        </w:rPr>
        <w:t xml:space="preserve">BW-5. Nexus Principle. </w:t>
      </w:r>
      <w:r>
        <w:t>A commercial response should bear a reasonable relationship to the conduct at issue. Forced labour should principally engage procurement, import, supply-chain or finance measures; migrant-worker abuse should principally engage labour-mobility and employer benefits; immigration-data abuse should principally engage data-sharing; border-processing deficiencies should principally engage optional border-modernization cooperation.</w:t>
      </w:r>
    </w:p>
    <w:p>
      <w:pPr>
        <w:pStyle w:val="Normal"/>
      </w:pPr>
      <w:r>
        <w:rPr>
          <w:b/>
        </w:rPr>
        <w:t xml:space="preserve">BW-6. Carrots Before Sticks. </w:t>
      </w:r>
      <w:r>
        <w:t>Technical assistance, pilot programs, additional cooperation, financing, facilitation and recognition should ordinarily precede punitive or restrictive measures where the gravity and urgency of the conduct permit.</w:t>
      </w:r>
    </w:p>
    <w:p>
      <w:pPr>
        <w:pStyle w:val="Normal"/>
      </w:pPr>
      <w:r>
        <w:rPr>
          <w:b/>
        </w:rPr>
        <w:t xml:space="preserve">BW-7. Human-Rights Earn-Back Ladder. </w:t>
      </w:r>
      <w:r>
        <w:t>The ordinary sequence shall be documented concern, consultation, verification, corrective-action opportunity, a short cure period where appropriate, proportional prospective pause of a specifically paired additional government-level benefit, partial restoration upon verified progress, and full restoration upon compliance.</w:t>
      </w:r>
    </w:p>
    <w:p>
      <w:pPr>
        <w:pStyle w:val="Normal"/>
      </w:pPr>
      <w:r>
        <w:rPr>
          <w:b/>
        </w:rPr>
        <w:t xml:space="preserve">BW-8. Grave-Abuse Accelerator. </w:t>
      </w:r>
      <w:r>
        <w:t>Credible evidence of torture, forced labour, trafficking, disappearance, deliberate denial of necessary medical care, or similarly grave conduct may justify accelerated independent review and proportionate protective action without exhausting ordinary sequencing.</w:t>
      </w:r>
    </w:p>
    <w:p>
      <w:pPr>
        <w:pStyle w:val="Normal"/>
      </w:pPr>
      <w:r>
        <w:rPr>
          <w:b/>
        </w:rPr>
        <w:t xml:space="preserve">BW-9. No Deliberate Civilian Harm. </w:t>
      </w:r>
      <w:r>
        <w:t>Responsive measures shall be selected to minimize foreseeable harm to ordinary workers, consumers, migrants, border communities and unrelated firms.</w:t>
      </w:r>
    </w:p>
    <w:p>
      <w:pPr>
        <w:pStyle w:val="Normal"/>
      </w:pPr>
      <w:r>
        <w:rPr>
          <w:b/>
        </w:rPr>
        <w:t xml:space="preserve">BW-10. Essential-Supplies Firewall. </w:t>
      </w:r>
      <w:r>
        <w:t>Trade measures under this Package shall not intentionally disrupt essential food, medicine, humanitarian supplies, disaster response or other life-safety goods and services.</w:t>
      </w:r>
    </w:p>
    <w:p>
      <w:pPr>
        <w:pStyle w:val="Normal"/>
      </w:pPr>
      <w:r>
        <w:rPr>
          <w:b/>
        </w:rPr>
        <w:t xml:space="preserve">BW-11. Individual Non-Retaliation. </w:t>
      </w:r>
      <w:r>
        <w:t>A government-level benchmark failure shall not by itself cancel an individual's already granted visa, work authorization, refugee protection, humanitarian status or accrued procedural rights.</w:t>
      </w:r>
    </w:p>
    <w:p>
      <w:pPr>
        <w:pStyle w:val="Normal"/>
      </w:pPr>
      <w:r>
        <w:rPr>
          <w:b/>
        </w:rPr>
        <w:t xml:space="preserve">BW-12. Company-Specific Remedies. </w:t>
      </w:r>
      <w:r>
        <w:t>Companies substantiated as participating in trafficking, forced labour, document confiscation or serious migrant-worker abuse may be subject to targeted procurement, public-finance or customs consequences, with notice, evidence, review and remediation.</w:t>
      </w:r>
    </w:p>
    <w:p>
      <w:pPr>
        <w:pStyle w:val="Normal"/>
      </w:pPr>
      <w:r>
        <w:rPr>
          <w:b/>
        </w:rPr>
        <w:t xml:space="preserve">BW-13. Remediation and Delisting. </w:t>
      </w:r>
      <w:r>
        <w:t>A company or government program subject to a reversible restriction shall have a defined pathway to demonstrate remediation and regain eligibility.</w:t>
      </w:r>
    </w:p>
    <w:p>
      <w:pPr>
        <w:pStyle w:val="Normal"/>
      </w:pPr>
      <w:r>
        <w:rPr>
          <w:b/>
        </w:rPr>
        <w:t xml:space="preserve">BW-14. Transparency. </w:t>
      </w:r>
      <w:r>
        <w:t>Material activation, continuation, modification and restoration decisions shall be publicly justified in a form that identifies the benchmark, evidence, proportionality analysis and available cure or earn-back pathway.</w:t>
      </w:r>
    </w:p>
    <w:p>
      <w:pPr>
        <w:pStyle w:val="Normal"/>
      </w:pPr>
      <w:r>
        <w:rPr>
          <w:b/>
        </w:rPr>
        <w:t xml:space="preserve">BW-15. No Emergency Leverage. </w:t>
      </w:r>
      <w:r>
        <w:t>Emergency logistics, emergency energy, essential medical cooperation and comparable life-safety arrangements shall not be deliberately withheld to extract unrelated migration-policy concessions.</w:t>
      </w:r>
    </w:p>
    <w:p>
      <w:pPr>
        <w:pStyle w:val="Normal"/>
      </w:pPr>
      <w:r>
        <w:rPr>
          <w:b/>
        </w:rPr>
        <w:t xml:space="preserve">BW-16. Existing Cothrom Architecture. </w:t>
      </w:r>
      <w:r>
        <w:t>Where a dispute concerns paired government-level commitments under this Package, the Parties should use existing consultation, Secretariat and Cothrom step-back and earn-back procedures rather than creating a new permanent human-rights trade tribunal.</w:t>
      </w:r>
    </w:p>
    <w:p>
      <w:pPr>
        <w:pStyle w:val="Heading1"/>
      </w:pPr>
      <w:bookmarkStart w:id="902392" w:name="_Toc300002391"/>
      <w:r>
        <w:t>PACKAGE BX: HUMAN-RIGHTS-CONDITIONED TRADE AND IMPLEMENTATION CATALOGUE</w:t>
      </w:r>
      <w:bookmarkEnd w:id="902392"/>
    </w:p>
    <w:p>
      <w:pPr>
        <w:pStyle w:val="Normal"/>
      </w:pPr>
      <w:r>
        <w:rPr>
          <w:b/>
        </w:rPr>
        <w:t xml:space="preserve">BX-1. Responsible Procurement. </w:t>
      </w:r>
      <w:r>
        <w:t>Exclude, suspend or downgrade suppliers after substantiated forced-labour, trafficking, wage-theft, document-confiscation or serious retaliation findings, with due process and remediation.</w:t>
      </w:r>
    </w:p>
    <w:p>
      <w:pPr>
        <w:pStyle w:val="Normal"/>
      </w:pPr>
      <w:r>
        <w:rPr>
          <w:b/>
        </w:rPr>
        <w:t xml:space="preserve">BX-2. Ethical Supply-Chain Certification. </w:t>
      </w:r>
      <w:r>
        <w:t>Support voluntary or risk-based certifications addressing recruitment fees, passport control, wage theft, unsafe housing and forced migrant labour.</w:t>
      </w:r>
    </w:p>
    <w:p>
      <w:pPr>
        <w:pStyle w:val="Normal"/>
      </w:pPr>
      <w:r>
        <w:rPr>
          <w:b/>
        </w:rPr>
        <w:t xml:space="preserve">BX-3. Importer Due Diligence. </w:t>
      </w:r>
      <w:r>
        <w:t>Require proportionate disclosure or due diligence in sectors presenting material forced-labour or trafficking risk.</w:t>
      </w:r>
    </w:p>
    <w:p>
      <w:pPr>
        <w:pStyle w:val="Normal"/>
      </w:pPr>
      <w:r>
        <w:rPr>
          <w:b/>
        </w:rPr>
        <w:t xml:space="preserve">BX-4. Migrant-Labour Trade Chapters. </w:t>
      </w:r>
      <w:r>
        <w:t>Use existing labour mechanisms to investigate exploitation, recruitment abuse and retaliation affecting workers in covered trade programs.</w:t>
      </w:r>
    </w:p>
    <w:p>
      <w:pPr>
        <w:pStyle w:val="Normal"/>
      </w:pPr>
      <w:r>
        <w:rPr>
          <w:b/>
        </w:rPr>
        <w:t xml:space="preserve">BX-5. Export-Credit Conditions. </w:t>
      </w:r>
      <w:r>
        <w:t>Condition public export credit and development finance on relevant anti-trafficking and migrant-worker safeguards.</w:t>
      </w:r>
    </w:p>
    <w:p>
      <w:pPr>
        <w:pStyle w:val="Normal"/>
      </w:pPr>
      <w:r>
        <w:rPr>
          <w:b/>
        </w:rPr>
        <w:t xml:space="preserve">BX-6. Public-Finance Exclusion. </w:t>
      </w:r>
      <w:r>
        <w:t>Deny public finance to projects substantiated as using forced labour, trafficking or unlawful detention labour.</w:t>
      </w:r>
    </w:p>
    <w:p>
      <w:pPr>
        <w:pStyle w:val="Normal"/>
      </w:pPr>
      <w:r>
        <w:rPr>
          <w:b/>
        </w:rPr>
        <w:t xml:space="preserve">BX-7. Responsible Investment Incentives. </w:t>
      </w:r>
      <w:r>
        <w:t>Permit public financing advantages for projects that demonstrate safe lawful employment, grievance channels and adequate worker housing or transportation.</w:t>
      </w:r>
    </w:p>
    <w:p>
      <w:pPr>
        <w:pStyle w:val="Normal"/>
      </w:pPr>
      <w:r>
        <w:rPr>
          <w:b/>
        </w:rPr>
        <w:t xml:space="preserve">BX-8. Agricultural Recruiter Standards. </w:t>
      </w:r>
      <w:r>
        <w:t>Require licensed or accountable recruiters, transparent contracts, safe housing and rapid complaint mechanisms in covered agricultural programs.</w:t>
      </w:r>
    </w:p>
    <w:p>
      <w:pPr>
        <w:pStyle w:val="Normal"/>
      </w:pPr>
      <w:r>
        <w:rPr>
          <w:b/>
        </w:rPr>
        <w:t xml:space="preserve">BX-9. Harvest-Season Rapid Remedy. </w:t>
      </w:r>
      <w:r>
        <w:t>Provide expedited labour complaint handling where delay would otherwise render the remedy ineffective before seasonal work ends.</w:t>
      </w:r>
    </w:p>
    <w:p>
      <w:pPr>
        <w:pStyle w:val="Normal"/>
      </w:pPr>
      <w:r>
        <w:rPr>
          <w:b/>
        </w:rPr>
        <w:t xml:space="preserve">BX-10. Critical-Minerals Labour Nexus. </w:t>
      </w:r>
      <w:r>
        <w:t>Apply migrant-worker and anti-trafficking safeguards to mineral projects and supply chains receiving covered strategic benefits.</w:t>
      </w:r>
    </w:p>
    <w:p>
      <w:pPr>
        <w:pStyle w:val="Normal"/>
      </w:pPr>
      <w:r>
        <w:rPr>
          <w:b/>
        </w:rPr>
        <w:t xml:space="preserve">BX-11. Energy-Project Safeguards. </w:t>
      </w:r>
      <w:r>
        <w:t>Require relevant worker recruitment, housing, grievance and forced-labour safeguards in publicly supported cross-border energy projects.</w:t>
      </w:r>
    </w:p>
    <w:p>
      <w:pPr>
        <w:pStyle w:val="Normal"/>
      </w:pPr>
      <w:r>
        <w:rPr>
          <w:b/>
        </w:rPr>
        <w:t xml:space="preserve">BX-12. Truck and Logistics Worker Protection. </w:t>
      </w:r>
      <w:r>
        <w:t>Pair trusted-freight or other additional logistics benefits with sector-relevant protections against document confiscation, wage abuse, unsafe coercion and retaliation.</w:t>
      </w:r>
    </w:p>
    <w:p>
      <w:pPr>
        <w:pStyle w:val="Normal"/>
      </w:pPr>
      <w:r>
        <w:rPr>
          <w:b/>
        </w:rPr>
        <w:t xml:space="preserve">BX-13. Port and Rail Anti-Trafficking. </w:t>
      </w:r>
      <w:r>
        <w:t>Include anti-trafficking and worker-protection safeguards in publicly supported port, rail and freight-corridor modernization.</w:t>
      </w:r>
    </w:p>
    <w:p>
      <w:pPr>
        <w:pStyle w:val="Normal"/>
      </w:pPr>
      <w:r>
        <w:rPr>
          <w:b/>
        </w:rPr>
        <w:t xml:space="preserve">BX-14. Immigration-Data Cooperation. </w:t>
      </w:r>
      <w:r>
        <w:t>Condition advanced immigration-data exchanges on purpose limitation, correction rights, security, retention controls and prohibitions on indiscriminate enforcement use.</w:t>
      </w:r>
    </w:p>
    <w:p>
      <w:pPr>
        <w:pStyle w:val="Normal"/>
      </w:pPr>
      <w:r>
        <w:rPr>
          <w:b/>
        </w:rPr>
        <w:t xml:space="preserve">BX-15. Responsible Immigration Technology. </w:t>
      </w:r>
      <w:r>
        <w:t>Require auditability, human review and error-correction capability for publicly procured high-impact immigration screening systems.</w:t>
      </w:r>
    </w:p>
    <w:p>
      <w:pPr>
        <w:pStyle w:val="Normal"/>
      </w:pPr>
      <w:r>
        <w:rPr>
          <w:b/>
        </w:rPr>
        <w:t xml:space="preserve">BX-16. Lawful-Mobility Carrot. </w:t>
      </w:r>
      <w:r>
        <w:t>Expand or simplify covered worker-mobility programs where verified recruitment abuse and unauthorized employment decline and worker portability protections are effective.</w:t>
      </w:r>
    </w:p>
    <w:p>
      <w:pPr>
        <w:pStyle w:val="Normal"/>
      </w:pPr>
      <w:r>
        <w:rPr>
          <w:b/>
        </w:rPr>
        <w:t xml:space="preserve">BX-17. Trusted Renewal Carrot. </w:t>
      </w:r>
      <w:r>
        <w:t>Use simplified renewal for verified compliant workers as a positive administrative incentive rather than broad coercive enforcement.</w:t>
      </w:r>
    </w:p>
    <w:p>
      <w:pPr>
        <w:pStyle w:val="Normal"/>
      </w:pPr>
      <w:r>
        <w:rPr>
          <w:b/>
        </w:rPr>
        <w:t xml:space="preserve">BX-18. Targeted Corporate Restrictions. </w:t>
      </w:r>
      <w:r>
        <w:t>Prefer restrictions directed at substantiated abusive firms over broad trade penalties affecting unrelated consumers and workers.</w:t>
      </w:r>
    </w:p>
    <w:p>
      <w:pPr>
        <w:pStyle w:val="Normal"/>
      </w:pPr>
      <w:r>
        <w:rPr>
          <w:b/>
        </w:rPr>
        <w:t xml:space="preserve">BX-19. Forced-Labour Customs Action. </w:t>
      </w:r>
      <w:r>
        <w:t>Coordinate lawful customs action against goods produced with forced or trafficked labour, subject to evidentiary and humanitarian safeguards.</w:t>
      </w:r>
    </w:p>
    <w:p>
      <w:pPr>
        <w:pStyle w:val="Normal"/>
      </w:pPr>
      <w:r>
        <w:rPr>
          <w:b/>
        </w:rPr>
        <w:t xml:space="preserve">BX-20. Victim and Witness Protection. </w:t>
      </w:r>
      <w:r>
        <w:t>Protect persons cooperating in labour, trafficking or trade-remedy investigations from retaliation and unnecessary immigration consequences.</w:t>
      </w:r>
    </w:p>
    <w:p>
      <w:pPr>
        <w:pStyle w:val="Normal"/>
      </w:pPr>
      <w:r>
        <w:rPr>
          <w:b/>
        </w:rPr>
        <w:t xml:space="preserve">BX-21. Penalty-Funded Remediation. </w:t>
      </w:r>
      <w:r>
        <w:t>Where domestic law permits, direct a proportionate share of penalties from proven corporate abuse toward restitution, remediation or victim services without making enforcement institutions dependent on penalty revenue.</w:t>
      </w:r>
    </w:p>
    <w:p>
      <w:pPr>
        <w:pStyle w:val="Normal"/>
      </w:pPr>
      <w:r>
        <w:rPr>
          <w:b/>
        </w:rPr>
        <w:t xml:space="preserve">BX-22. Country Scorecards. </w:t>
      </w:r>
      <w:r>
        <w:t>Publish evidence-based, methodologically transparent assessments of agreed benchmarks with responses and correction procedures for each Party.</w:t>
      </w:r>
    </w:p>
    <w:p>
      <w:pPr>
        <w:pStyle w:val="Normal"/>
      </w:pPr>
      <w:r>
        <w:rPr>
          <w:b/>
        </w:rPr>
        <w:t xml:space="preserve">BX-23. Independent Inspection Support. </w:t>
      </w:r>
      <w:r>
        <w:t>Support independent inspection of detention and processing facilities without converting inspectors into enforcement agents.</w:t>
      </w:r>
    </w:p>
    <w:p>
      <w:pPr>
        <w:pStyle w:val="Normal"/>
      </w:pPr>
      <w:r>
        <w:rPr>
          <w:b/>
        </w:rPr>
        <w:t xml:space="preserve">BX-24. Urgent Rights Findings. </w:t>
      </w:r>
      <w:r>
        <w:t>Provide an accelerated review path for credible allegations involving death, torture, disappearance, trafficking, family separation contrary to law, or other grave abuse.</w:t>
      </w:r>
    </w:p>
    <w:p>
      <w:pPr>
        <w:pStyle w:val="Normal"/>
      </w:pPr>
      <w:r>
        <w:rPr>
          <w:b/>
        </w:rPr>
        <w:t xml:space="preserve">BX-25. Government Response. </w:t>
      </w:r>
      <w:r>
        <w:t>Require a Party receiving a formal benchmark finding to publish or provide a reasoned response within an appropriate period.</w:t>
      </w:r>
    </w:p>
    <w:p>
      <w:pPr>
        <w:pStyle w:val="Normal"/>
      </w:pPr>
      <w:r>
        <w:rPr>
          <w:b/>
        </w:rPr>
        <w:t xml:space="preserve">BX-26. Privacy-Protective Complaint Reporting. </w:t>
      </w:r>
      <w:r>
        <w:t>Publish systemic complaint outcomes while protecting migrants, witnesses, children and sensitive personal information.</w:t>
      </w:r>
    </w:p>
    <w:p>
      <w:pPr>
        <w:pStyle w:val="Normal"/>
      </w:pPr>
      <w:r>
        <w:rPr>
          <w:b/>
        </w:rPr>
        <w:t xml:space="preserve">BX-27. Business Technical Exchanges. </w:t>
      </w:r>
      <w:r>
        <w:t>Use employers, chambers, universities, hospitals, farms and logistics operators to identify economic benefits from predictable lawful processing and worker protection.</w:t>
      </w:r>
    </w:p>
    <w:p>
      <w:pPr>
        <w:pStyle w:val="Normal"/>
      </w:pPr>
      <w:r>
        <w:rPr>
          <w:b/>
        </w:rPr>
        <w:t xml:space="preserve">BX-28. Policy Observation Exchanges. </w:t>
      </w:r>
      <w:r>
        <w:t>Permit officials to observe effective alternatives to detention, victim-protection programs, lawful processing systems and labour-enforcement practices in other Parties.</w:t>
      </w:r>
    </w:p>
    <w:p>
      <w:pPr>
        <w:pStyle w:val="Normal"/>
      </w:pPr>
      <w:r>
        <w:rPr>
          <w:b/>
        </w:rPr>
        <w:t xml:space="preserve">BX-29. Neutral but Transparent Diplomacy. </w:t>
      </w:r>
      <w:r>
        <w:t>Use institution-focused language and measurable standards rather than personal attacks, while openly identifying the human-rights objective.</w:t>
      </w:r>
    </w:p>
    <w:p>
      <w:pPr>
        <w:pStyle w:val="Normal"/>
      </w:pPr>
      <w:r>
        <w:rPr>
          <w:b/>
        </w:rPr>
        <w:t xml:space="preserve">BX-30. Pilot Reform Carrots. </w:t>
      </w:r>
      <w:r>
        <w:t>Offer reversible pilot cooperation allowing a Party to test reforms without requiring a public admission of policy failure.</w:t>
      </w:r>
    </w:p>
    <w:p>
      <w:pPr>
        <w:pStyle w:val="Normal"/>
      </w:pPr>
      <w:r>
        <w:rPr>
          <w:b/>
        </w:rPr>
        <w:t xml:space="preserve">BX-31. Proportional Benefit Sequencing. </w:t>
      </w:r>
      <w:r>
        <w:t>Small verified improvements may earn small additional benefits; major durable improvements may earn larger benefits.</w:t>
      </w:r>
    </w:p>
    <w:p>
      <w:pPr>
        <w:pStyle w:val="Normal"/>
      </w:pPr>
      <w:r>
        <w:rPr>
          <w:b/>
        </w:rPr>
        <w:t xml:space="preserve">BX-32. Automatic Earn-Back. </w:t>
      </w:r>
      <w:r>
        <w:t>Restore a paused additional benefit promptly and proportionately once the associated benchmark or corrective commitment is verified as satisfied.</w:t>
      </w:r>
    </w:p>
    <w:p>
      <w:pPr>
        <w:pStyle w:val="Normal"/>
      </w:pPr>
      <w:r>
        <w:rPr>
          <w:b/>
        </w:rPr>
        <w:t xml:space="preserve">BX-33. Worker Housing Infrastructure. </w:t>
      </w:r>
      <w:r>
        <w:t>Support safe worker housing in agricultural, industrial and logistics corridors through existing financing channels.</w:t>
      </w:r>
    </w:p>
    <w:p>
      <w:pPr>
        <w:pStyle w:val="Normal"/>
      </w:pPr>
      <w:r>
        <w:rPr>
          <w:b/>
        </w:rPr>
        <w:t xml:space="preserve">BX-34. Independent Legal-Aid and Shelter Support. </w:t>
      </w:r>
      <w:r>
        <w:t>Permit support for legal aid, shelters and reception capacity while preserving their operational independence from immigration enforcement.</w:t>
      </w:r>
    </w:p>
    <w:p>
      <w:pPr>
        <w:pStyle w:val="Normal"/>
      </w:pPr>
      <w:r>
        <w:rPr>
          <w:b/>
        </w:rPr>
        <w:t xml:space="preserve">BX-35. Verified Employer Matching. </w:t>
      </w:r>
      <w:r>
        <w:t>Support employment centers or digital services connecting lawful workers with verified employers and transparent job terms.</w:t>
      </w:r>
    </w:p>
    <w:p>
      <w:pPr>
        <w:pStyle w:val="Normal"/>
      </w:pPr>
      <w:r>
        <w:rPr>
          <w:b/>
        </w:rPr>
        <w:t xml:space="preserve">BX-36. Regional Opportunity Investment. </w:t>
      </w:r>
      <w:r>
        <w:t>Coordinate business, training and infrastructure investment in communities experiencing high emigration pressure, with local and national ownership of priorities.</w:t>
      </w:r>
    </w:p>
    <w:p>
      <w:pPr>
        <w:pStyle w:val="Normal"/>
      </w:pPr>
      <w:r>
        <w:rPr>
          <w:b/>
        </w:rPr>
        <w:t xml:space="preserve">BX-37. Portable Social Protection. </w:t>
      </w:r>
      <w:r>
        <w:t>Advance portable pension, workers' compensation and other lawful social-protection records for mobile workers.</w:t>
      </w:r>
    </w:p>
    <w:p>
      <w:pPr>
        <w:pStyle w:val="Normal"/>
      </w:pPr>
      <w:r>
        <w:rPr>
          <w:b/>
        </w:rPr>
        <w:t xml:space="preserve">BX-38. Remittance and Wage Safeguards. </w:t>
      </w:r>
      <w:r>
        <w:t>Support transparent remittance systems and traceable, worker-accessible wage payment without unnecessary immigration-data sharing.</w:t>
      </w:r>
    </w:p>
    <w:p>
      <w:pPr>
        <w:pStyle w:val="Normal"/>
      </w:pPr>
      <w:r>
        <w:rPr>
          <w:b/>
        </w:rPr>
        <w:t xml:space="preserve">BX-39. Asylum-Processing Infrastructure Nexus. </w:t>
      </w:r>
      <w:r>
        <w:t>Condition optional trade-funded border-processing infrastructure on independent protection procedures and humane facility safeguards directly related to that infrastructure.</w:t>
      </w:r>
    </w:p>
    <w:p>
      <w:pPr>
        <w:pStyle w:val="Normal"/>
      </w:pPr>
      <w:r>
        <w:rPr>
          <w:b/>
        </w:rPr>
        <w:t xml:space="preserve">BX-40. No Unlawful Pushback Bargain. </w:t>
      </w:r>
      <w:r>
        <w:t>No trade or infrastructure benefit shall be conditioned upon a Party conducting a collective return, unlawful pushback or other action contrary to applicable protection obligations.</w:t>
      </w:r>
    </w:p>
    <w:p>
      <w:pPr>
        <w:pStyle w:val="Normal"/>
      </w:pPr>
      <w:r>
        <w:rPr>
          <w:b/>
        </w:rPr>
        <w:t xml:space="preserve">BX-41. Humanitarian Facility Standards. </w:t>
      </w:r>
      <w:r>
        <w:t>Any jointly supported migration-processing facility shall provide appropriate interpretation, legal information, medical screening, privacy and independent oversight.</w:t>
      </w:r>
    </w:p>
    <w:p>
      <w:pPr>
        <w:pStyle w:val="Normal"/>
      </w:pPr>
      <w:r>
        <w:rPr>
          <w:b/>
        </w:rPr>
        <w:t xml:space="preserve">BX-42. Safe-Third-Country Safeguards. </w:t>
      </w:r>
      <w:r>
        <w:t>Where trade or border cooperation supports a transfer arrangement, require periodic evidence review and procedural safeguards consistent with applicable law.</w:t>
      </w:r>
    </w:p>
    <w:p>
      <w:pPr>
        <w:pStyle w:val="Normal"/>
      </w:pPr>
      <w:r>
        <w:rPr>
          <w:b/>
        </w:rPr>
        <w:t xml:space="preserve">BX-43. Research on Alternatives. </w:t>
      </w:r>
      <w:r>
        <w:t>Support nonpartisan research on detention alternatives, processing efficiency, legal migration, labour-market outcomes and the economic effects of enforcement choices.</w:t>
      </w:r>
    </w:p>
    <w:p>
      <w:pPr>
        <w:pStyle w:val="Normal"/>
      </w:pPr>
      <w:r>
        <w:rPr>
          <w:b/>
        </w:rPr>
        <w:t xml:space="preserve">BX-44. Professional Exchange. </w:t>
      </w:r>
      <w:r>
        <w:t>Support exchanges among adjudicators, asylum officers, labour inspectors, legal-aid professionals, medical personnel and social workers without compromising adjudicative independence.</w:t>
      </w:r>
    </w:p>
    <w:p>
      <w:pPr>
        <w:pStyle w:val="Normal"/>
      </w:pPr>
      <w:r>
        <w:rPr>
          <w:b/>
        </w:rPr>
        <w:t xml:space="preserve">BX-45. Trafficking Training. </w:t>
      </w:r>
      <w:r>
        <w:t>Provide relevant consular, labour and border personnel with training to recognize trafficking, coercive recruitment and persecution indicators.</w:t>
      </w:r>
    </w:p>
    <w:p>
      <w:pPr>
        <w:pStyle w:val="Normal"/>
      </w:pPr>
      <w:r>
        <w:rPr>
          <w:b/>
        </w:rPr>
        <w:t xml:space="preserve">BX-46. Implementation Assistance. </w:t>
      </w:r>
      <w:r>
        <w:t>Where a Party seeks to correct a benchmark deficiency, prioritize practical technical assistance and capacity-building alongside any reversible economic response.</w:t>
      </w:r>
    </w:p>
    <w:p>
      <w:pPr>
        <w:pStyle w:val="Normal"/>
      </w:pPr>
      <w:r>
        <w:rPr>
          <w:b/>
        </w:rPr>
        <w:t xml:space="preserve">BX-47. Canada-Mexico Coordination. </w:t>
      </w:r>
      <w:r>
        <w:t>Canada and Mexico may coordinate positions and evidence concerning covered benchmarks while each retains independent legal authority and while the framework remains equally applicable to both.</w:t>
      </w:r>
    </w:p>
    <w:p>
      <w:pPr>
        <w:pStyle w:val="Normal"/>
      </w:pPr>
      <w:r>
        <w:rPr>
          <w:b/>
        </w:rPr>
        <w:t xml:space="preserve">BX-48. Periodic Effectiveness Review. </w:t>
      </w:r>
      <w:r>
        <w:t>Measure whether incentives and step-backs actually improve detention conditions, lawful processing, worker protection, due process and other defined outcomes rather than merely increasing paperwork.</w:t>
      </w:r>
    </w:p>
    <w:p>
      <w:pPr>
        <w:pStyle w:val="ClauseLabel"/>
      </w:pPr>
      <w:r>
        <w:t>BX-A: CROSS-PACKAGE IMPLEMENTATION FIREWALL</w:t>
      </w:r>
    </w:p>
    <w:p>
      <w:pPr>
        <w:pStyle w:val="Normal"/>
      </w:pPr>
      <w:r>
        <w:rPr>
          <w:b/>
        </w:rPr>
        <w:t xml:space="preserve">BX-A-1. Rights Cannot Be Bargained Away. </w:t>
      </w:r>
      <w:r>
        <w:t>Nothing in Packages BN through BX authorizes a Party to suspend a fundamental procedural protection, humanitarian obligation or minimum humane-treatment standard in retaliation for another Party's nonperformance.</w:t>
      </w:r>
    </w:p>
    <w:p>
      <w:pPr>
        <w:pStyle w:val="Normal"/>
      </w:pPr>
      <w:r>
        <w:rPr>
          <w:b/>
        </w:rPr>
        <w:t xml:space="preserve">BX-A-2. Prospective Government-Level Step-Back. </w:t>
      </w:r>
      <w:r>
        <w:t>Where a step-back is authorized, it should operate prospectively against the specifically paired discretionary government-level benefit and should avoid retroactive harm to individuals and completed private transactions.</w:t>
      </w:r>
    </w:p>
    <w:p>
      <w:pPr>
        <w:pStyle w:val="Normal"/>
      </w:pPr>
      <w:r>
        <w:rPr>
          <w:b/>
        </w:rPr>
        <w:t xml:space="preserve">BX-A-3. Federalism and Competent Authorities. </w:t>
      </w:r>
      <w:r>
        <w:t>Nothing in Packages BN through BX displaces constitutional allocations of authority among federal, provincial, state, territorial, municipal, Indigenous or professional regulatory bodies.</w:t>
      </w:r>
    </w:p>
    <w:p>
      <w:pPr>
        <w:pStyle w:val="Normal"/>
      </w:pPr>
      <w:r>
        <w:rPr>
          <w:b/>
        </w:rPr>
        <w:t xml:space="preserve">BX-A-4. Non-Derogation from Stronger Protection. </w:t>
      </w:r>
      <w:r>
        <w:t>A Party may maintain or adopt stronger protections for human dignity, due process, migrant workers, refugees, asylum seekers, children, privacy or detention conditions than those described in these Packages.</w:t>
      </w:r>
    </w:p>
    <w:p>
      <w:pPr>
        <w:pStyle w:val="Heading1"/>
      </w:pPr>
      <w:bookmarkStart w:id="902393" w:name="_Toc300002392"/>
      <w:r>
        <w:t>PACKAGE BY: AUTOMOTIVE WORKFORCE ADVANCEMENT AND LVC MODERNIZATION</w:t>
      </w:r>
      <w:bookmarkEnd w:id="902393"/>
    </w:p>
    <w:p>
      <w:pPr>
        <w:pStyle w:val="Normal"/>
      </w:pPr>
      <w:r>
        <w:rPr>
          <w:b/>
        </w:rPr>
        <w:t xml:space="preserve">BY-1. Purpose. </w:t>
      </w:r>
      <w:r>
        <w:t>This Package retires the legacy fixed-dollar Labor Value Content origin gate and replaces it with a trilateral workforce-advancement architecture aligned with the 75% Standard, 80% High Integration, and 85% Strategic Integration automotive tiers.</w:t>
      </w:r>
    </w:p>
    <w:p>
      <w:pPr>
        <w:pStyle w:val="Normal"/>
      </w:pPr>
      <w:r>
        <w:rPr>
          <w:b/>
        </w:rPr>
        <w:t xml:space="preserve">BY-2. Legacy LVC Retirement. </w:t>
      </w:r>
      <w:r>
        <w:t>The former 40% (40 percent) passenger-vehicle and 45% (45 percent) light/heavy-truck LVC requirements tied to a US$16 per hour production-wage threshold no longer determine originating status. Historical LVC data may be retained for evaluation or transition research but shall not revive the superseded origin condition.</w:t>
      </w:r>
    </w:p>
    <w:p>
      <w:pPr>
        <w:pStyle w:val="Normal"/>
      </w:pPr>
      <w:r>
        <w:rPr>
          <w:b/>
        </w:rPr>
        <w:t xml:space="preserve">BY-3. No Origin Hole. </w:t>
      </w:r>
      <w:r>
        <w:t>Retirement of legacy LVC does not reduce the applicable 75% (75 percent) Standard Tier RVC, product-specific origin rules, steel or aluminum requirements, anti-circumvention safeguards, or other independently applicable origin disciplines.</w:t>
      </w:r>
    </w:p>
    <w:p>
      <w:pPr>
        <w:pStyle w:val="Normal"/>
      </w:pPr>
      <w:r>
        <w:rPr>
          <w:b/>
        </w:rPr>
        <w:t xml:space="preserve">BY-4. Workforce Advancement Credit. </w:t>
      </w:r>
      <w:r>
        <w:t>Verified compensation growth, skills formation, worker-protection performance, training, engineering and R&amp;D employment, productivity-sharing, safety, retention, and remediation may earn designated 80% (80 percent) or 85% (85 percent) tier benefits without becoming a nationality quota.</w:t>
      </w:r>
    </w:p>
    <w:p>
      <w:pPr>
        <w:pStyle w:val="Normal"/>
      </w:pPr>
      <w:r>
        <w:rPr>
          <w:b/>
        </w:rPr>
        <w:t xml:space="preserve">BY-5. Mexico Upward-Convergence Safeguard. </w:t>
      </w:r>
      <w:r>
        <w:t>Mexican facilities shall have a genuine pathway to earn workforce-advancement credit through measurable upward convergence and higher-value production. No criterion shall permanently reserve workforce credit to Canada or the United States merely because historical nominal wages began at a higher level.</w:t>
      </w:r>
    </w:p>
    <w:p>
      <w:pPr>
        <w:pStyle w:val="Normal"/>
      </w:pPr>
      <w:r>
        <w:rPr>
          <w:b/>
        </w:rPr>
        <w:t xml:space="preserve">BY-6. Canada and United States Reciprocity. </w:t>
      </w:r>
      <w:r>
        <w:t>Facilities in Canada and the United States are subject to the same covered labour-rights, anti-retaliation, worker-safety, compensation-integrity, and anti-gaming principles. A high nominal wage shall not create a safe harbour for serious labour violations.</w:t>
      </w:r>
    </w:p>
    <w:p>
      <w:pPr>
        <w:pStyle w:val="Normal"/>
      </w:pPr>
      <w:r>
        <w:rPr>
          <w:b/>
        </w:rPr>
        <w:t xml:space="preserve">BY-7. Worker Benefit Test. </w:t>
      </w:r>
      <w:r>
        <w:t>A claimed workforce investment should provide a reasonably demonstrable benefit to workers or productive capability. Automation, capital investment, accounting reallocations, or model relabeling shall not receive workforce credit merely because they reduce labour cost or move expenditure into a qualifying category.</w:t>
      </w:r>
    </w:p>
    <w:p>
      <w:pPr>
        <w:pStyle w:val="Normal"/>
      </w:pPr>
      <w:r>
        <w:rPr>
          <w:b/>
        </w:rPr>
        <w:t xml:space="preserve">BY-8. Compensation Integrity. </w:t>
      </w:r>
      <w:r>
        <w:t>Benefits may supplement compensation metrics but may not be used to disguise wage suppression. Implementing schedules should distinguish cash compensation, mandatory social contributions, genuinely additional benefits, training investment, and productivity-sharing rather than collapsing them into a single artificial hourly number.</w:t>
      </w:r>
    </w:p>
    <w:p>
      <w:pPr>
        <w:pStyle w:val="Normal"/>
      </w:pPr>
      <w:r>
        <w:rPr>
          <w:b/>
        </w:rPr>
        <w:t xml:space="preserve">BY-9. No Static Geography Penalty. </w:t>
      </w:r>
      <w:r>
        <w:t>The Parties shall not treat differences in price levels, exchange rates, regional development, or lawful starting wage levels as proof of unfair competition. Enforcement shall focus on abusive suppression, denial of rights, circumvention, and failure to provide measurable advancement where an earned benefit depends on such advancement.</w:t>
      </w:r>
    </w:p>
    <w:p>
      <w:pPr>
        <w:pStyle w:val="Normal"/>
      </w:pPr>
      <w:r>
        <w:rPr>
          <w:b/>
        </w:rPr>
        <w:t xml:space="preserve">BY-10. Simplified Administration. </w:t>
      </w:r>
      <w:r>
        <w:t>The Commission and competent customs authorities should eliminate legacy LVC certifications, averaging formulas, high-wage expenditure buckets, and associated fixed-dollar attestations that are no longer necessary after implementation of Article 7, while preserving records needed for lawful transition, audit, or dispute resolution.</w:t>
      </w:r>
    </w:p>
    <w:p>
      <w:pPr>
        <w:pStyle w:val="Normal"/>
      </w:pPr>
      <w:r>
        <w:rPr>
          <w:b/>
        </w:rPr>
        <w:t xml:space="preserve">BY-11. Transition Protection. </w:t>
      </w:r>
      <w:r>
        <w:t>A producer shall not lose an accrued originating determination solely because this Package retires a superseded LVC obligation. Implementing authorities shall provide a short, orderly transition for forms, software, certifications, and pending verifications, with no retroactive penalty for good-faith reliance on the former rule.</w:t>
      </w:r>
    </w:p>
    <w:p>
      <w:pPr>
        <w:pStyle w:val="Normal"/>
      </w:pPr>
      <w:r>
        <w:rPr>
          <w:b/>
        </w:rPr>
        <w:t xml:space="preserve">BY-12. No Uncompensated Front-Loading. </w:t>
      </w:r>
      <w:r>
        <w:t>Any new workforce-advancement obligation paired with an additional automotive benefit shall activate together where practicable. Delayed or failed paired performance shall trigger verification, a short cure period where appropriate, proportional pause or step-back of the paired additional benefit, and automatic restoration when performance resumes.</w:t>
      </w:r>
    </w:p>
    <w:p>
      <w:pPr>
        <w:pStyle w:val="Normal"/>
      </w:pPr>
      <w:r>
        <w:rPr>
          <w:b/>
        </w:rPr>
        <w:t xml:space="preserve">BY-13. Human and Labour Rights Floor. </w:t>
      </w:r>
      <w:r>
        <w:t>Nothing in this Package authorizes a Party or producer to trade away freedom of association, collective bargaining, forced-labour prohibitions, occupational safety, migrant-worker protections, anti-retaliation rights, or other minimum labour protections in exchange for automotive treatment.</w:t>
      </w:r>
    </w:p>
    <w:p>
      <w:pPr>
        <w:pStyle w:val="Normal"/>
      </w:pPr>
      <w:r>
        <w:rPr>
          <w:b/>
        </w:rPr>
        <w:t xml:space="preserve">BY-14. Review and Evidence. </w:t>
      </w:r>
      <w:r>
        <w:t>The Parties shall evaluate the replacement architecture using real compensation, wage growth, productivity, injury, training, credential, retention, bargaining, remediation, investment, and regional-capacity evidence. Review shall compare outcomes across all three Parties and identify any geographic or administrative bias.</w:t>
      </w:r>
    </w:p>
    <w:p>
      <w:pPr>
        <w:pStyle w:val="Normal"/>
      </w:pPr>
      <w:r>
        <w:rPr>
          <w:b/>
        </w:rPr>
        <w:t xml:space="preserve">BY-15. Interpretation. </w:t>
      </w:r>
      <w:r>
        <w:t>Where a legacy provision, note, schedule, form, or cross-reference appears to preserve the former fixed-dollar LVC as a mandatory condition of origin, this Package and revised Article 7 control unless the Parties expressly adopt a later amendment restoring a different labour-linked origin requirement.</w:t>
      </w:r>
    </w:p>
    <w:p>
      <w:pPr>
        <w:pStyle w:val="Heading1"/>
      </w:pPr>
      <w:bookmarkStart w:id="902394" w:name="_Toc300002393"/>
      <w:r>
        <w:t>PACKAGE BZ: TRILATERAL FACILITY-SPECIFIC LABOUR RECIPROCITY INTEGRATION</w:t>
      </w:r>
      <w:bookmarkEnd w:id="902394"/>
    </w:p>
    <w:p>
      <w:pPr>
        <w:pStyle w:val="Heading3"/>
      </w:pPr>
      <w:r>
        <w:t>BZ-1 Equal Six-Direction Availability.</w:t>
      </w:r>
    </w:p>
    <w:p>
      <w:pPr>
        <w:pStyle w:val="Normal"/>
      </w:pPr>
      <w:r>
        <w:t>The facility-specific labour remedy is reciprocal among all three Parties and shall not structurally designate Mexico, Canada or the United States as the presumptive enforcement target.</w:t>
      </w:r>
    </w:p>
    <w:p>
      <w:pPr>
        <w:pStyle w:val="Heading3"/>
      </w:pPr>
      <w:r>
        <w:t>BZ-2 Worker-First Enforcement.</w:t>
      </w:r>
    </w:p>
    <w:p>
      <w:pPr>
        <w:pStyle w:val="Normal"/>
      </w:pPr>
      <w:r>
        <w:t>Existence of a covered labour right does not depend on proof of trade injury; commercial effects inform remedy proportionality.</w:t>
      </w:r>
    </w:p>
    <w:p>
      <w:pPr>
        <w:pStyle w:val="Heading3"/>
      </w:pPr>
      <w:r>
        <w:t>BZ-3 Serious-Case Gate.</w:t>
      </w:r>
    </w:p>
    <w:p>
      <w:pPr>
        <w:pStyle w:val="Normal"/>
      </w:pPr>
      <w:r>
        <w:t>Expedited facility treatment is reserved for serious, persistent or grave facility-level denials, while ordinary individual disputes normally remain domestic.</w:t>
      </w:r>
    </w:p>
    <w:p>
      <w:pPr>
        <w:pStyle w:val="Heading3"/>
      </w:pPr>
      <w:r>
        <w:t>BZ-4 Open but Filtered Intake.</w:t>
      </w:r>
    </w:p>
    <w:p>
      <w:pPr>
        <w:pStyle w:val="Normal"/>
      </w:pPr>
      <w:r>
        <w:t>Workers and credible representatives may surface evidence; admissibility screening prevents frivolous, duplicative or manufactured cases without restricting access to recognized unions or governments.</w:t>
      </w:r>
    </w:p>
    <w:p>
      <w:pPr>
        <w:pStyle w:val="Heading3"/>
      </w:pPr>
      <w:r>
        <w:t>BZ-5 Cure with Emergency Exception.</w:t>
      </w:r>
    </w:p>
    <w:p>
      <w:pPr>
        <w:pStyle w:val="Normal"/>
      </w:pPr>
      <w:r>
        <w:t>Domestic remediation is ordinarily first, but urgent grave harm can accelerate protection and verification.</w:t>
      </w:r>
    </w:p>
    <w:p>
      <w:pPr>
        <w:pStyle w:val="Heading3"/>
      </w:pPr>
      <w:r>
        <w:t>BZ-6 Existing-Institution Verification.</w:t>
      </w:r>
    </w:p>
    <w:p>
      <w:pPr>
        <w:pStyle w:val="Normal"/>
      </w:pPr>
      <w:r>
        <w:t>Use existing Secretariat, Chapter 31, Cothrom and roster infrastructure; create no new permanent labour bureaucracy.</w:t>
      </w:r>
    </w:p>
    <w:p>
      <w:pPr>
        <w:pStyle w:val="Heading3"/>
      </w:pPr>
      <w:r>
        <w:t>BZ-7 Sovereignty Firewall.</w:t>
      </w:r>
    </w:p>
    <w:p>
      <w:pPr>
        <w:pStyle w:val="Normal"/>
      </w:pPr>
      <w:r>
        <w:t>No foreign enforcement personnel acquire unilateral inspection or police authority in another Party's territory.</w:t>
      </w:r>
    </w:p>
    <w:p>
      <w:pPr>
        <w:pStyle w:val="Heading3"/>
      </w:pPr>
      <w:r>
        <w:t>BZ-8 Worker and Witness Protection.</w:t>
      </w:r>
    </w:p>
    <w:p>
      <w:pPr>
        <w:pStyle w:val="Normal"/>
      </w:pPr>
      <w:r>
        <w:t>Confidentiality, anti-retaliation, protected testimony and proportionate disclosure are integral to the remedy.</w:t>
      </w:r>
    </w:p>
    <w:p>
      <w:pPr>
        <w:pStyle w:val="Heading3"/>
      </w:pPr>
      <w:r>
        <w:t>BZ-9 Remediation Before Punishment.</w:t>
      </w:r>
    </w:p>
    <w:p>
      <w:pPr>
        <w:pStyle w:val="Normal"/>
      </w:pPr>
      <w:r>
        <w:t>Worker restoration and correction of the facility-level practice are the primary objectives.</w:t>
      </w:r>
    </w:p>
    <w:p>
      <w:pPr>
        <w:pStyle w:val="Heading3"/>
      </w:pPr>
      <w:r>
        <w:t>BZ-10 Module-Confined Proportionality.</w:t>
      </w:r>
    </w:p>
    <w:p>
      <w:pPr>
        <w:pStyle w:val="Normal"/>
      </w:pPr>
      <w:r>
        <w:t>Consequences remain tied to the offending facility, enterprise, relevant goods or benefits and may not become an unrelated national trade weapon.</w:t>
      </w:r>
    </w:p>
    <w:p>
      <w:pPr>
        <w:pStyle w:val="Heading3"/>
      </w:pPr>
      <w:r>
        <w:t>BZ-11 Repeat-Offender Escalation.</w:t>
      </w:r>
    </w:p>
    <w:p>
      <w:pPr>
        <w:pStyle w:val="Normal"/>
      </w:pPr>
      <w:r>
        <w:t>Durable first-time remediation earns closure; repeated or concealed violations justify stronger facility-specific consequences.</w:t>
      </w:r>
    </w:p>
    <w:p>
      <w:pPr>
        <w:pStyle w:val="Heading3"/>
      </w:pPr>
      <w:r>
        <w:t>BZ-12 Automatic Earn-Back.</w:t>
      </w:r>
    </w:p>
    <w:p>
      <w:pPr>
        <w:pStyle w:val="Normal"/>
      </w:pPr>
      <w:r>
        <w:t>Benefits return automatically after verified durable remediation, without requiring a new political concession.</w:t>
      </w:r>
    </w:p>
    <w:p>
      <w:pPr>
        <w:pStyle w:val="Heading3"/>
      </w:pPr>
      <w:r>
        <w:t>BZ-13 Grave-Abuse Accelerator.</w:t>
      </w:r>
    </w:p>
    <w:p>
      <w:pPr>
        <w:pStyle w:val="Normal"/>
      </w:pPr>
      <w:r>
        <w:t>Forced labour, trafficking, violence, severe retaliation and comparable imminent abuses may justify expedited temporary protective measures subject to rapid independent review.</w:t>
      </w:r>
    </w:p>
    <w:p>
      <w:pPr>
        <w:pStyle w:val="Heading3"/>
      </w:pPr>
      <w:r>
        <w:t>BZ-14 No Double Punishment.</w:t>
      </w:r>
    </w:p>
    <w:p>
      <w:pPr>
        <w:pStyle w:val="Normal"/>
      </w:pPr>
      <w:r>
        <w:t>Parallel labour mechanisms coordinate remedies and credit remediation already obtained.</w:t>
      </w:r>
    </w:p>
    <w:p>
      <w:pPr>
        <w:pStyle w:val="Heading3"/>
      </w:pPr>
      <w:r>
        <w:t>BZ-15 Functional Equivalence.</w:t>
      </w:r>
    </w:p>
    <w:p>
      <w:pPr>
        <w:pStyle w:val="Normal"/>
      </w:pPr>
      <w:r>
        <w:t>The Parties need not copy one another's domestic labour institutions; access, independence, speed, evidence, remediation and consequences must be functionally equivalent.</w:t>
      </w:r>
    </w:p>
    <w:p>
      <w:pPr>
        <w:pStyle w:val="Heading3"/>
      </w:pPr>
      <w:r>
        <w:t>BZ-16 Federalism Neutrality.</w:t>
      </w:r>
    </w:p>
    <w:p>
      <w:pPr>
        <w:pStyle w:val="Normal"/>
      </w:pPr>
      <w:r>
        <w:t>Constitutional allocation of labour authority is respected but cannot be used to nullify the treaty outcome.</w:t>
      </w:r>
    </w:p>
    <w:p>
      <w:pPr>
        <w:pStyle w:val="Heading3"/>
      </w:pPr>
      <w:r>
        <w:t>BZ-17 Country-Neutral Drafting.</w:t>
      </w:r>
    </w:p>
    <w:p>
      <w:pPr>
        <w:pStyle w:val="Normal"/>
      </w:pPr>
      <w:r>
        <w:t>The operative mechanism uses Party/respondent/facility/worker terminology and creates no permanent presumption about which country is the violator.</w:t>
      </w:r>
    </w:p>
    <w:p>
      <w:pPr>
        <w:pStyle w:val="Heading3"/>
      </w:pPr>
      <w:r>
        <w:t>BZ-18 Public Outcome Record.</w:t>
      </w:r>
    </w:p>
    <w:p>
      <w:pPr>
        <w:pStyle w:val="Normal"/>
      </w:pPr>
      <w:r>
        <w:t>Non-confidential outcomes identify the problem, remedy, consequence if any, and closure basis while protecting workers and legitimate confidential information.</w:t>
      </w:r>
    </w:p>
    <w:p>
      <w:pPr>
        <w:pStyle w:val="Heading3"/>
      </w:pPr>
      <w:r>
        <w:t>BZ-19 Predecessor Transition.</w:t>
      </w:r>
    </w:p>
    <w:p>
      <w:pPr>
        <w:pStyle w:val="Normal"/>
      </w:pPr>
      <w:r>
        <w:t>Legacy Annex 31-A/31-B machinery may operate during transition only consistently with the trilateral principles and shall be reviewed for consolidation within 24 months.</w:t>
      </w:r>
    </w:p>
    <w:p>
      <w:pPr>
        <w:pStyle w:val="Heading3"/>
      </w:pPr>
      <w:r>
        <w:t>BZ-20 Governing Maxim.</w:t>
      </w:r>
    </w:p>
    <w:p>
      <w:pPr>
        <w:pStyle w:val="Normal"/>
      </w:pPr>
      <w:r>
        <w:t>Workers first. Trade punishment second. A worker making NAESTMA-originating goods receives meaningful treaty protection in any of the three Parties.</w:t>
      </w:r>
    </w:p>
    <w:p>
      <w:pPr>
        <w:pStyle w:val="Heading1"/>
      </w:pPr>
      <w:bookmarkStart w:id="902395" w:name="_Toc300002394"/>
      <w:r>
        <w:t>PACKAGE CA: ANNEX 23-A LABOUR-REFORM DURABILITY INTEGRATION</w:t>
      </w:r>
      <w:bookmarkEnd w:id="902395"/>
    </w:p>
    <w:p>
      <w:pPr>
        <w:pStyle w:val="Heading2"/>
      </w:pPr>
      <w:bookmarkStart w:id="902396" w:name="_Toc300002395"/>
      <w:r>
        <w:t>CA-1 Preserve Achievements, Delete the Time Capsule.</w:t>
      </w:r>
      <w:bookmarkEnd w:id="902396"/>
    </w:p>
    <w:p>
      <w:pPr>
        <w:pStyle w:val="Normal"/>
      </w:pPr>
      <w:r>
        <w:t>Replace obsolete 2018-2019 implementation commands with permanent outcome obligations.</w:t>
      </w:r>
    </w:p>
    <w:p>
      <w:pPr>
        <w:pStyle w:val="Heading2"/>
      </w:pPr>
      <w:bookmarkStart w:id="902397" w:name="_Toc300002396"/>
      <w:r>
        <w:t>CA-2 Durable Democratic Consent.</w:t>
      </w:r>
      <w:bookmarkEnd w:id="902397"/>
    </w:p>
    <w:p>
      <w:pPr>
        <w:pStyle w:val="Normal"/>
      </w:pPr>
      <w:r>
        <w:t>Preserve personal, free and secret voting and authentic worker support for collective agreements.</w:t>
      </w:r>
    </w:p>
    <w:p>
      <w:pPr>
        <w:pStyle w:val="Heading2"/>
      </w:pPr>
      <w:bookmarkStart w:id="902398" w:name="_Toc300002397"/>
      <w:r>
        <w:t>CA-3 Independent Institutions, Flexible Machinery.</w:t>
      </w:r>
      <w:bookmarkEnd w:id="902398"/>
    </w:p>
    <w:p>
      <w:pPr>
        <w:pStyle w:val="Normal"/>
      </w:pPr>
      <w:r>
        <w:t>Protect independence, access, due process and remedies without freezing agency names or organizational forms.</w:t>
      </w:r>
    </w:p>
    <w:p>
      <w:pPr>
        <w:pStyle w:val="Heading2"/>
      </w:pPr>
      <w:bookmarkStart w:id="902399" w:name="_Toc300002398"/>
      <w:r>
        <w:t>CA-4 Protection-Contract Firewall.</w:t>
      </w:r>
      <w:bookmarkEnd w:id="902399"/>
    </w:p>
    <w:p>
      <w:pPr>
        <w:pStyle w:val="Normal"/>
      </w:pPr>
      <w:r>
        <w:t>Prevent fictitious, employer-dominated or unsupported agreements from suppressing independent representation.</w:t>
      </w:r>
    </w:p>
    <w:p>
      <w:pPr>
        <w:pStyle w:val="Heading2"/>
      </w:pPr>
      <w:bookmarkStart w:id="902400" w:name="_Toc300002399"/>
      <w:r>
        <w:t>CA-5 Anti-Retaliation and Restoration.</w:t>
      </w:r>
      <w:bookmarkEnd w:id="902400"/>
    </w:p>
    <w:p>
      <w:pPr>
        <w:pStyle w:val="Normal"/>
      </w:pPr>
      <w:r>
        <w:t>Make worker protection and effective restorative remedies explicit.</w:t>
      </w:r>
    </w:p>
    <w:p>
      <w:pPr>
        <w:pStyle w:val="Heading2"/>
      </w:pPr>
      <w:bookmarkStart w:id="902401" w:name="_Toc300002400"/>
      <w:r>
        <w:t>CA-6 Non-Regression with Modernization Freedom.</w:t>
      </w:r>
      <w:bookmarkEnd w:id="902401"/>
    </w:p>
    <w:p>
      <w:pPr>
        <w:pStyle w:val="Normal"/>
      </w:pPr>
      <w:r>
        <w:t>Prevent competitive weakening while allowing Mexico to reorganize or improve its institutions.</w:t>
      </w:r>
    </w:p>
    <w:p>
      <w:pPr>
        <w:pStyle w:val="Heading2"/>
      </w:pPr>
      <w:bookmarkStart w:id="902402" w:name="_Toc300002401"/>
      <w:r>
        <w:t>CA-7 Equal-Party Safeguard.</w:t>
      </w:r>
      <w:bookmarkEnd w:id="902402"/>
    </w:p>
    <w:p>
      <w:pPr>
        <w:pStyle w:val="Normal"/>
      </w:pPr>
      <w:r>
        <w:t>A Mexico-specific historical annex creates no presumption of Mexican wrongdoing or stronger enforcement exposure.</w:t>
      </w:r>
    </w:p>
    <w:p>
      <w:pPr>
        <w:pStyle w:val="Heading2"/>
      </w:pPr>
      <w:bookmarkStart w:id="902403" w:name="_Toc300002402"/>
      <w:r>
        <w:t>CA-8 Article 31.E Interface.</w:t>
      </w:r>
      <w:bookmarkEnd w:id="902403"/>
    </w:p>
    <w:p>
      <w:pPr>
        <w:pStyle w:val="Normal"/>
      </w:pPr>
      <w:r>
        <w:t>Substantive Mexico-specific obligations feed into the same functionally equivalent facility-specific enforcement architecture applicable to Canada and the United States.</w:t>
      </w:r>
    </w:p>
    <w:p>
      <w:pPr>
        <w:pStyle w:val="Heading2"/>
      </w:pPr>
      <w:bookmarkStart w:id="902404" w:name="_Toc300002403"/>
      <w:r>
        <w:t>CA-9 Worker-Rights Firewall.</w:t>
      </w:r>
      <w:bookmarkEnd w:id="902404"/>
    </w:p>
    <w:p>
      <w:pPr>
        <w:pStyle w:val="Normal"/>
      </w:pPr>
      <w:r>
        <w:t>Labour rights cannot be suspended or exchanged as leverage in unrelated trade disputes.</w:t>
      </w:r>
    </w:p>
    <w:p>
      <w:pPr>
        <w:pStyle w:val="Heading2"/>
      </w:pPr>
      <w:bookmarkStart w:id="902405" w:name="_Toc300002404"/>
      <w:r>
        <w:t>CA-10 Completed Transition Recognition.</w:t>
      </w:r>
      <w:bookmarkEnd w:id="902405"/>
    </w:p>
    <w:p>
      <w:pPr>
        <w:pStyle w:val="Normal"/>
      </w:pPr>
      <w:r>
        <w:t>One-time 2018-2019 legislative and four-year legitimization commands are recognized as completed; their durable protective outcomes remain.</w:t>
      </w:r>
    </w:p>
    <w:p>
      <w:pPr>
        <w:pStyle w:val="Heading1"/>
      </w:pPr>
      <w:bookmarkStart w:id="902406" w:name="_Toc300002405"/>
      <w:r>
        <w:t>PACKAGE CB: LABOUR PARITY CONFORMING INTEGRATION</w:t>
      </w:r>
      <w:bookmarkEnd w:id="902406"/>
    </w:p>
    <w:p>
      <w:pPr>
        <w:pStyle w:val="Heading2"/>
      </w:pPr>
      <w:bookmarkStart w:id="902407" w:name="_Toc300002406"/>
      <w:r>
        <w:t>CB-1 Article 31.E Immediate Supremacy.</w:t>
      </w:r>
      <w:bookmarkEnd w:id="902407"/>
    </w:p>
    <w:p>
      <w:pPr>
        <w:pStyle w:val="Normal"/>
      </w:pPr>
      <w:r>
        <w:t>The trilateral facility-specific remedy prevails immediately over inconsistent predecessor standing, scope, admissibility, sector, remedy and restoration rules; the 24-month transition is administrative only.</w:t>
      </w:r>
    </w:p>
    <w:p>
      <w:pPr>
        <w:pStyle w:val="Heading2"/>
      </w:pPr>
      <w:bookmarkStart w:id="902408" w:name="_Toc300002407"/>
      <w:r>
        <w:t>CB-2 Chapter 23 Cross-Reference Repair.</w:t>
      </w:r>
      <w:bookmarkEnd w:id="902408"/>
    </w:p>
    <w:p>
      <w:pPr>
        <w:pStyle w:val="Normal"/>
      </w:pPr>
      <w:r>
        <w:t>Articles 23.B and 23.C now centre Article 31.E and treat Annexes 31-A/31-B as predecessor procedures.</w:t>
      </w:r>
    </w:p>
    <w:p>
      <w:pPr>
        <w:pStyle w:val="Heading2"/>
      </w:pPr>
      <w:bookmarkStart w:id="902409" w:name="_Toc300002408"/>
      <w:r>
        <w:t>CB-3 Equal Definitions and Intake.</w:t>
      </w:r>
      <w:bookmarkEnd w:id="902409"/>
    </w:p>
    <w:p>
      <w:pPr>
        <w:pStyle w:val="Normal"/>
      </w:pPr>
      <w:r>
        <w:t>Article 31.E independently defines its key terms and requires functionally equivalent public intake channels and clocks in all three Parties.</w:t>
      </w:r>
    </w:p>
    <w:p>
      <w:pPr>
        <w:pStyle w:val="Heading2"/>
      </w:pPr>
      <w:bookmarkStart w:id="902410" w:name="_Toc300002409"/>
      <w:r>
        <w:t>CB-4 Domestic-Order Gate Neutralization.</w:t>
      </w:r>
      <w:bookmarkEnd w:id="902410"/>
    </w:p>
    <w:p>
      <w:pPr>
        <w:pStyle w:val="Normal"/>
      </w:pPr>
      <w:r>
        <w:t>NLRB, CIRB or other domestic orders may be highly probative but are not exclusive treaty gateways unless an equivalent condition applies to every Party.</w:t>
      </w:r>
    </w:p>
    <w:p>
      <w:pPr>
        <w:pStyle w:val="Heading2"/>
      </w:pPr>
      <w:bookmarkStart w:id="902411" w:name="_Toc300002410"/>
      <w:r>
        <w:t>CB-5 Priority-Sector Firewall.</w:t>
      </w:r>
      <w:bookmarkEnd w:id="902411"/>
    </w:p>
    <w:p>
      <w:pPr>
        <w:pStyle w:val="Normal"/>
      </w:pPr>
      <w:r>
        <w:t>Priority-sector status may guide triage or remedy calibration but does not categorically deny worker access to remediation.</w:t>
      </w:r>
    </w:p>
    <w:p>
      <w:pPr>
        <w:pStyle w:val="Heading2"/>
      </w:pPr>
      <w:bookmarkStart w:id="902412" w:name="_Toc300002411"/>
      <w:r>
        <w:t>CB-6 Panel Neutrality.</w:t>
      </w:r>
      <w:bookmarkEnd w:id="902412"/>
    </w:p>
    <w:p>
      <w:pPr>
        <w:pStyle w:val="Normal"/>
      </w:pPr>
      <w:r>
        <w:t>Verification panels are subject to nationality, independence and conflict safeguards.</w:t>
      </w:r>
    </w:p>
    <w:p>
      <w:pPr>
        <w:pStyle w:val="Heading2"/>
      </w:pPr>
      <w:bookmarkStart w:id="902413" w:name="_Toc300002412"/>
      <w:r>
        <w:t>CB-7 Canada Definition Repair.</w:t>
      </w:r>
      <w:bookmarkEnd w:id="902413"/>
    </w:p>
    <w:p>
      <w:pPr>
        <w:pStyle w:val="Normal"/>
      </w:pPr>
      <w:r>
        <w:t>Chapter 23 labour statutes and regulations are defined neutrally for Canada, Mexico and the United States.</w:t>
      </w:r>
    </w:p>
    <w:p>
      <w:pPr>
        <w:pStyle w:val="Heading2"/>
      </w:pPr>
      <w:bookmarkStart w:id="902414" w:name="_Toc300002413"/>
      <w:r>
        <w:t>CB-8 Annex 23-A Cross-Reference Repair.</w:t>
      </w:r>
      <w:bookmarkEnd w:id="902414"/>
    </w:p>
    <w:p>
      <w:pPr>
        <w:pStyle w:val="Normal"/>
      </w:pPr>
      <w:r>
        <w:t>Legacy references are conformed to the modernized Annex 23-A title and equal-Party architecture.</w:t>
      </w:r>
    </w:p>
    <w:p>
      <w:pPr>
        <w:pStyle w:val="Heading2"/>
      </w:pPr>
      <w:bookmarkStart w:id="902415" w:name="_Toc300002414"/>
      <w:r>
        <w:t>CB-9 Neutral Existing-Measures Safe Harbour.</w:t>
      </w:r>
      <w:bookmarkEnd w:id="902415"/>
    </w:p>
    <w:p>
      <w:pPr>
        <w:pStyle w:val="Normal"/>
      </w:pPr>
      <w:r>
        <w:t>Country-specific U.S. pre-clearance language is replaced by an outcome-equivalence rule available to every Party.</w:t>
      </w:r>
    </w:p>
    <w:p>
      <w:pPr>
        <w:pStyle w:val="Heading2"/>
      </w:pPr>
      <w:bookmarkStart w:id="902416" w:name="_Toc300002415"/>
      <w:r>
        <w:t>CB-10 Continental Worker-Rights Firewall.</w:t>
      </w:r>
      <w:bookmarkEnd w:id="902416"/>
    </w:p>
    <w:p>
      <w:pPr>
        <w:pStyle w:val="Normal"/>
      </w:pPr>
      <w:r>
        <w:t>No Party may trade away worker rights protected by Chapter 23 as leverage in an unrelated dispute.</w:t>
      </w:r>
    </w:p>
    <w:p>
      <w:pPr>
        <w:pStyle w:val="Heading2"/>
      </w:pPr>
      <w:bookmarkStart w:id="902417" w:name="_Toc300002416"/>
      <w:r>
        <w:t>CB-11 Article 51 Interface.</w:t>
      </w:r>
      <w:bookmarkEnd w:id="902417"/>
    </w:p>
    <w:p>
      <w:pPr>
        <w:pStyle w:val="Normal"/>
      </w:pPr>
      <w:r>
        <w:t>Systemic labour enforcement now expressly identifies Article 31.E as the facility-specific track.</w:t>
      </w:r>
    </w:p>
    <w:p>
      <w:pPr>
        <w:pStyle w:val="Heading2"/>
      </w:pPr>
      <w:bookmarkStart w:id="902418" w:name="_Toc300002417"/>
      <w:r>
        <w:t>CB-12 Trade-Nexus Clarification.</w:t>
      </w:r>
      <w:bookmarkEnd w:id="902418"/>
    </w:p>
    <w:p>
      <w:pPr>
        <w:pStyle w:val="Normal"/>
      </w:pPr>
      <w:r>
        <w:t>Worker protection and admissibility do not require quantified trade injury; trade consequences remain subject to the Agreement’s required nexus.</w:t>
      </w:r>
    </w:p>
    <w:p>
      <w:pPr>
        <w:pStyle w:val="Heading2"/>
      </w:pPr>
      <w:bookmarkStart w:id="902419" w:name="_Toc300002418"/>
      <w:r>
        <w:t>CB-13 Annex 23-A Converse Equality.</w:t>
      </w:r>
      <w:bookmarkEnd w:id="902419"/>
    </w:p>
    <w:p>
      <w:pPr>
        <w:pStyle w:val="Normal"/>
      </w:pPr>
      <w:r>
        <w:t>Mexico-specific reform durability does not imply weaker freedom-of-association, bargaining, anti-retaliation or remedial obligations in Canada or the United States.</w:t>
      </w:r>
    </w:p>
    <w:p>
      <w:pPr>
        <w:pStyle w:val="Heading2"/>
      </w:pPr>
      <w:bookmarkStart w:id="902420" w:name="_Toc300002419"/>
      <w:r>
        <w:t>CB-14 Predecessor Annex Status.</w:t>
      </w:r>
      <w:bookmarkEnd w:id="902420"/>
    </w:p>
    <w:p>
      <w:pPr>
        <w:pStyle w:val="Normal"/>
      </w:pPr>
      <w:r>
        <w:t>Annexes 31-A and 31-B are expressly labelled transitional administrative machinery under Article 31.E.</w:t>
      </w:r>
    </w:p>
    <w:p>
      <w:pPr>
        <w:pStyle w:val="Heading2"/>
      </w:pPr>
      <w:bookmarkStart w:id="902421" w:name="_Toc300002420"/>
      <w:r>
        <w:t>CB-15 No New Labour Bureaucracy.</w:t>
      </w:r>
      <w:bookmarkEnd w:id="902421"/>
    </w:p>
    <w:p>
      <w:pPr>
        <w:pStyle w:val="Normal"/>
      </w:pPr>
      <w:r>
        <w:t>The conformity pass preserves use of existing Secretariat, Chapter 31, Cothrom, Labour Council, roster and domestic machinery.</w:t>
      </w:r>
    </w:p>
    <w:p>
      <w:pPr>
        <w:pStyle w:val="Heading1"/>
      </w:pPr>
      <w:bookmarkStart w:id="902422" w:name="_Toc300002421"/>
      <w:r>
        <w:t>PACKAGE CC: NORTH AMERICAN ANIMAL WELFARE, HUMANE AGRICULTURE, RESCUE, AND PRACTICAL TRANSITION INTEGRATION (v7.4)</w:t>
      </w:r>
      <w:bookmarkEnd w:id="902422"/>
    </w:p>
    <w:p>
      <w:pPr>
        <w:pStyle w:val="Normal"/>
      </w:pPr>
      <w:r>
        <w:t>CC-1. Purpose and Scope. The Parties establish a practical North American animal-welfare floor for covered agricultural production, cross-border movement, government-directed destruction, wildlife actions undertaken under this Agreement, and other measures having a material trade, emergency-coordination, or cross-border nexus. The objective is to reduce avoidable serious suffering while preserving food security, animal health, legitimate veterinary practice, disease response, conservation, public safety, Indigenous and treaty or Aboriginal rights, lawful subsistence, and resilient agricultural production.</w:t>
      </w:r>
    </w:p>
    <w:p>
      <w:pPr>
        <w:pStyle w:val="Normal"/>
      </w:pPr>
      <w:r>
        <w:t>CC-2. No Downward Harmonization. Nothing in this Agreement requires a Party to weaken a higher domestic or subnational animal-welfare standard. This Package establishes a floor, not a ceiling.</w:t>
      </w:r>
    </w:p>
    <w:p>
      <w:pPr>
        <w:pStyle w:val="Normal"/>
      </w:pPr>
      <w:r>
        <w:t>CC-3. Equivalent Outcomes and Regulatory Diversity. A Party may satisfy a covered welfare obligation through different technologies, husbandry systems, facility designs, climates, production models, or regulatory structures where the resulting welfare protection is materially equivalent. No Party is required to adopt an identical domestic statute, agency, inspection model, or commercial technology.</w:t>
      </w:r>
    </w:p>
    <w:p>
      <w:pPr>
        <w:pStyle w:val="Normal"/>
      </w:pPr>
      <w:r>
        <w:t>CC-4. Non-Discrimination and Trade-Safe Equivalency. Comparable domestic and imported covered products shall be subject to equivalent welfare treatment. Welfare measures shall use transparent, objective, evidence-informed criteria and shall not operate as disguised nationality-based protectionism, arbitrary quantitative restrictions, or a pretext for excluding another Party's goods. Where equivalency is disputed, the Parties shall use notice, technical consultation, evidence exchange, a reasonable cure opportunity, and existing Cothrom or Chapter 9 procedures as applicable.</w:t>
      </w:r>
    </w:p>
    <w:p>
      <w:pPr>
        <w:pStyle w:val="Normal"/>
      </w:pPr>
      <w:r>
        <w:t>CC-5. Necessary-Use Firewall. Nothing in this Package prohibits legitimate veterinary treatment; individualized therapeutic procedures; emergency humane euthanasia; rescue; quarantine; scientifically justified disease control; conservation; emergency defense of human life; lawful Indigenous, treaty or Aboriginal harvesting; lawful subsistence; or necessary wildlife management, provided the measure is proportionate and uses reasonably available welfare safeguards.</w:t>
      </w:r>
    </w:p>
    <w:p>
      <w:pPr>
        <w:pStyle w:val="Normal"/>
      </w:pPr>
      <w:r>
        <w:t>CC-6. Medical Necessity and Production Convenience. Production convenience, generalized facility design, routine scheduling, cosmetic preference, or a preventable husbandry problem shall not by itself constitute medical necessity. Where an otherwise restricted practice is permitted for veterinary reasons, the exception should be individualized, documented where practicable, proportionate to the animal's condition, and performed or directed by a suitably qualified person.</w:t>
      </w:r>
    </w:p>
    <w:p>
      <w:pPr>
        <w:pStyle w:val="Normal"/>
      </w:pPr>
      <w:r>
        <w:t>CC-7. No Welfare Substitution. A required transition shall not knowingly replace one serious welfare harm with an equal or greater serious harm to another animal, species, life stage, or welfare dimension where a reasonably available lower-harm alternative exists.</w:t>
      </w:r>
    </w:p>
    <w:p>
      <w:pPr>
        <w:pStyle w:val="Normal"/>
      </w:pPr>
      <w:r>
        <w:t>CC-8. Technology Neutrality and Validation. The Parties shall regulate welfare outcomes rather than mandate a proprietary product. Where a replacement technology or husbandry model is not yet independently validated at relevant commercial scale, the Parties may use pilots, monitoring, technical standards, and staged validation before compulsory deployment.</w:t>
      </w:r>
    </w:p>
    <w:p>
      <w:pPr>
        <w:pStyle w:val="Normal"/>
      </w:pPr>
      <w:r>
        <w:t>CC-9. Producer Transition and Small-Producer Protection. Where compliance requires material capital replacement or substantial operational conversion, a Party may provide grants, concessional finance, accelerated depreciation, technical assistance, veterinary support, training, shared infrastructure, equipment conversion, or other non-discriminatory transition support. Small producers may receive additional time or assistance where necessary, but size alone shall not create a permanent exemption from a continental minimum protecting against severe avoidable suffering.</w:t>
      </w:r>
    </w:p>
    <w:p>
      <w:pPr>
        <w:pStyle w:val="Normal"/>
      </w:pPr>
      <w:r>
        <w:t>CC-10. No Uncompensated Front-Loading. Where a negotiated welfare transition is expressly paired with reciprocal market recognition, equivalency treatment, financing, or another governmental benefit, the paired obligations should activate together. Material delayed or failed paired performance may trigger verification, a short cure period, proportional pause or step-back of the paired governmental obligation, and automatic restoration when verified performance resumes. Individual animal care, feed, water, veterinary treatment, rescue, evacuation, and humane euthanasia shall never be suspended as leverage.</w:t>
      </w:r>
    </w:p>
    <w:p>
      <w:pPr>
        <w:pStyle w:val="Normal"/>
      </w:pPr>
      <w:r>
        <w:t>CC-11. Anti-Circumvention. Substance governs over terminology. Renaming, modestly redesigning, outsourcing, relocating, subcontracting, or reclassifying a substantially equivalent covered practice shall not defeat an applicable welfare obligation.</w:t>
      </w:r>
    </w:p>
    <w:p>
      <w:pPr>
        <w:pStyle w:val="Normal"/>
      </w:pPr>
      <w:r>
        <w:t>CC-12. Good-Faith Reporting and Records. No Party should permit retaliation against a worker, veterinarian, producer, contractor, inspector, or other person for a good-faith report of a serious animal-welfare violation. Covered facilities shall preserve records reasonably necessary to investigate catastrophic incidents, repeated serious welfare failures, and mass depopulation events, subject to privacy, privilege, and legitimate commercial-confidentiality protections.</w:t>
      </w:r>
    </w:p>
    <w:p>
      <w:pPr>
        <w:pStyle w:val="Heading2"/>
      </w:pPr>
      <w:bookmarkStart w:id="902423" w:name="_Toc300002422"/>
      <w:r>
        <w:t>Article 43.W: Humane Agricultural Production and Handling Floor</w:t>
      </w:r>
      <w:bookmarkEnd w:id="902423"/>
    </w:p>
    <w:p>
      <w:pPr>
        <w:pStyle w:val="Normal"/>
      </w:pPr>
      <w:r>
        <w:t>43.W.1. Extreme Confinement. A covered production system shall not keep an animal in confinement so restrictive that, for a substantial portion of its ordinary production life, the animal cannot perform basic species-appropriate postural movements reasonably necessary to stand, lie down, turn around where anatomically applicable, access feed and water, or avoid persistent injury. Species-specific schedules may define equivalent outcome measures, transition periods, and narrow veterinary or emergency exceptions.</w:t>
      </w:r>
    </w:p>
    <w:p>
      <w:pPr>
        <w:pStyle w:val="Normal"/>
      </w:pPr>
      <w:r>
        <w:t>43.W.2. Healthy-Tissue Principle. Routine removal, destruction, or permanent disabling of healthy tissue solely to compensate for avoidable crowding, aggression, identification convenience, handling convenience, or facility design should be replaced with lower-harm management, genetics, traceability, housing, or handling methods where reasonably available. Necessary therapeutic treatment and ordinary welfare-positive hoof, claw, dental, or comparable maintenance remain permitted.</w:t>
      </w:r>
    </w:p>
    <w:p>
      <w:pPr>
        <w:pStyle w:val="Normal"/>
      </w:pPr>
      <w:r>
        <w:t>43.W.3. Humane Handling. Routine use of electric shock, painful coercion, or equipment whose ordinary function depends on pain or substantial distress to force movement is prohibited where reasonable low-stress handling methods are available. Narrow emergency use necessary to prevent imminent serious injury may remain subject to domestic law. Ordinary electric fencing used as a boundary system is not prohibited by this paragraph.</w:t>
      </w:r>
    </w:p>
    <w:p>
      <w:pPr>
        <w:pStyle w:val="Normal"/>
      </w:pPr>
      <w:r>
        <w:t>43.W.4. Fitness for Transport and Border-Delay Welfare. Live-animal transport shall use species-appropriate fitness-to-travel, loading-density, ventilation, thermal-protection, feed, water, rest, handling, and emergency-response standards. Where a border or inspection delay creates a credible serious welfare risk, competent authorities should prioritize lawful resolution, alternate routing, unloading, watering, feeding, veterinary intervention, or other protective action without waiving animal-health or biosecurity requirements.</w:t>
      </w:r>
    </w:p>
    <w:p>
      <w:pPr>
        <w:pStyle w:val="Normal"/>
      </w:pPr>
      <w:r>
        <w:t>43.W.5. Humane Slaughter and Insensibility Verification. A covered slaughter process shall not proceed to irreversible processing where the animal is reasonably believed to remain conscious or sensate. Operators shall use validated equipment and procedures, verify effective stunning or insensibility as appropriate, and provide immediate corrective action where effectiveness is uncertain or has failed. Implementation shall respect applicable constitutional and religious-freedom law and may recognize validated reversible stunning or other lawful methods that achieve the welfare objective.</w:t>
      </w:r>
    </w:p>
    <w:p>
      <w:pPr>
        <w:pStyle w:val="Normal"/>
      </w:pPr>
      <w:r>
        <w:t>43.W.6. Prolonged-Suffering Depopulation Methods. A Party shall prohibit routine use of ventilation shutdown, or foam, liquid, slurry, expanding material, or comparable methods whose intended killing mechanism is prolonged hyperthermia, airway obstruction, drowning-like compromise, suffocation, hypoxia, or comparable prolonged respiratory distress. This paragraph does not prohibit a future carrier or delivery system where a separately validated mechanism first produces rapid humane insensibility.</w:t>
      </w:r>
    </w:p>
    <w:p>
      <w:pPr>
        <w:pStyle w:val="Normal"/>
      </w:pPr>
      <w:r>
        <w:t>43.W.7. Mass Depopulation Review. A large-scale government-directed or government-authorized depopulation event should receive proportionate after-action review addressing necessity, disease rationale, feasible alternatives, welfare method, rescue or transfer feasibility where relevant, planning adequacy, mortality and failure data, and lessons learned. Review shall not delay urgent disease-control action necessary to protect animal or public health.</w:t>
      </w:r>
    </w:p>
    <w:p>
      <w:pPr>
        <w:pStyle w:val="Heading2"/>
      </w:pPr>
      <w:bookmarkStart w:id="902424" w:name="_Toc300002423"/>
      <w:r>
        <w:t>Article 62.A: Animal Rescue, Protective Continuity, and Government-Directed Destruction</w:t>
      </w:r>
      <w:bookmarkEnd w:id="902424"/>
    </w:p>
    <w:p>
      <w:pPr>
        <w:pStyle w:val="Normal"/>
      </w:pPr>
      <w:r>
        <w:t>62.A.1. Rescue and Transfer Before Avoidable Destruction. Before government-directed destruction of otherwise manageable captive animals for administrative, capacity, ownership, closure, or comparable non-emergency reasons, the responsible authority should consider treatment, quarantine, qualified transfer, temporary placement, or other reasonable protective alternatives. Destruction remains available where necessary to end catastrophic suffering, prevent serious disease spread, protect public safety, or address another documented overriding risk.</w:t>
      </w:r>
    </w:p>
    <w:p>
      <w:pPr>
        <w:pStyle w:val="Normal"/>
      </w:pPr>
      <w:r>
        <w:t>62.A.2. Qualified Recipient. A proposed recipient may be considered where it has lawful authority, appropriate facilities, competent staff, financial and operational capacity, and a credible plan for transport, quarantine, biosecurity, veterinary care, and long-term welfare. A transfer that foreseeably produces severe suffering, uncontrolled disease risk, abandonment, or merely relocates the same crisis does not satisfy this Article.</w:t>
      </w:r>
    </w:p>
    <w:p>
      <w:pPr>
        <w:pStyle w:val="Normal"/>
      </w:pPr>
      <w:r>
        <w:t>62.A.3. Written Reasons and Rapid Review. Where a credible qualified rescue or transfer proposal is denied and destruction remains contemplated, the competent authority should provide written reasons sufficient for rapid review, subject to urgent animal-health, law-enforcement, privacy, or emergency constraints.</w:t>
      </w:r>
    </w:p>
    <w:p>
      <w:pPr>
        <w:pStyle w:val="Normal"/>
      </w:pPr>
      <w:r>
        <w:t>62.A.4. Independent Veterinary Review. For a non-emergency mass destruction of captive animals where a qualified rescue or transfer pathway remains credibly available, the competent authority should obtain independent veterinary review appropriate to the species and circumstances before proceeding. No review requirement shall delay immediate humane euthanasia necessary to end catastrophic suffering or urgent action necessary to contain a serious communicable disease.</w:t>
      </w:r>
    </w:p>
    <w:p>
      <w:pPr>
        <w:pStyle w:val="Normal"/>
      </w:pPr>
      <w:r>
        <w:t>62.A.5. Temporary Protective Custody. Each Party should maintain lawful mechanisms permitting temporary protective intervention where a captive population faces imminent credible risk of abandonment, cessation of essential care, severe neglect, unnecessary destruction, or institutional incapacity. Protective custody need not immediately transfer permanent ownership and should include notice, rapid review, proportionality, continuity of qualified care, and lawful cost-recovery or temporary funding tools where available.</w:t>
      </w:r>
    </w:p>
    <w:p>
      <w:pPr>
        <w:pStyle w:val="Normal"/>
      </w:pPr>
      <w:r>
        <w:t>62.A.6. Life-Preserving Care Firewall. No trade dispute, retaliation, step-back, suspension, customs disagreement, or other NAESTMA measure may be implemented by deliberately withholding necessary feed, water, veterinary treatment, rescue access, evacuation, or humane emergency care from animals.</w:t>
      </w:r>
    </w:p>
    <w:p>
      <w:pPr>
        <w:pStyle w:val="Heading2"/>
      </w:pPr>
      <w:bookmarkStart w:id="902425" w:name="_Toc300002424"/>
      <w:r>
        <w:t>Article 24.X: Least-Harm Wildlife Intervention and Humane Cross-Border Management</w:t>
      </w:r>
      <w:bookmarkEnd w:id="902425"/>
    </w:p>
    <w:p>
      <w:pPr>
        <w:pStyle w:val="Normal"/>
      </w:pPr>
      <w:r>
        <w:t>24.X.1. Least-Harm Effective Intervention. Where a Party acts under this Agreement to address wildlife conflict, it should ordinarily consider prevention and deterrence, correction of human-created attractants or hazards, conflict mitigation, capture, suitable relocation or specialized placement, and lethal action in an order that favors the least harmful effective and reasonably practicable response. Immediate defense of human life or response to imminent serious danger remains unaffected.</w:t>
      </w:r>
    </w:p>
    <w:p>
      <w:pPr>
        <w:pStyle w:val="Normal"/>
      </w:pPr>
      <w:r>
        <w:t>24.X.2. Nuisance Status. Classification of an animal as a nuisance, by itself, is not sufficient to establish that lethal action is necessary where a reasonably safe, effective, and ecologically responsible non-lethal alternative is available.</w:t>
      </w:r>
    </w:p>
    <w:p>
      <w:pPr>
        <w:pStyle w:val="Normal"/>
      </w:pPr>
      <w:r>
        <w:t>24.X.3. Relocation Suitability. A relocation relied upon as a welfare measure should consider health, habituation, destination habitat, carrying capacity, territorial competition, disease risk, homing probability, human-conflict risk, ecological consequences, and expected survival. Higher-risk or uncertain translocations may include proportionate post-release monitoring.</w:t>
      </w:r>
    </w:p>
    <w:p>
      <w:pPr>
        <w:pStyle w:val="Normal"/>
      </w:pPr>
      <w:r>
        <w:t>24.X.4. Humane Wildlife Capture and Transport. Wildlife capture, holding, transfer, and transport undertaken pursuant to this Agreement shall use species-appropriate methods intended to minimize avoidable injury, heat or cold stress, dehydration, prolonged restraint, and unnecessary fear or distress.</w:t>
      </w:r>
    </w:p>
    <w:p>
      <w:pPr>
        <w:pStyle w:val="Normal"/>
      </w:pPr>
      <w:r>
        <w:t>24.X.5. Marine-Mammal Sanctuary Cooperation. The Parties may voluntarily cooperate on feasibility studies, candidate-site assessment, veterinary standards, cross-border transfer pathways, emergency placement, research, and removal of unnecessary administrative barriers to qualified marine-mammal sanctuary care. No site, private organization, technology, or transfer receives automatic treaty approval or funding.</w:t>
      </w:r>
    </w:p>
    <w:p>
      <w:pPr>
        <w:pStyle w:val="Heading2"/>
      </w:pPr>
      <w:bookmarkStart w:id="902426" w:name="_Toc300002425"/>
      <w:r>
        <w:t>ANNEX 43-H: Practical Welfare Transition Classes</w:t>
      </w:r>
      <w:bookmarkEnd w:id="902426"/>
    </w:p>
    <w:p>
      <w:pPr>
        <w:pStyle w:val="Normal"/>
      </w:pPr>
      <w:r>
        <w:t>H-1. Class A: Immediate Continental Minimum. Reserved for severe practices whose prohibition is technically straightforward, for which legitimate exceptions can be narrowly defined, and which ordinarily do not require wholesale capital replacement. Initial candidates include tendon cutting to restrict locomotion except genuine therapeutic surgery; powered mechanical castration; deliberate irreversible processing of a conscious or sensate animal after failed stunning; prolonged-suffering ventilation-shutdown depopulation; suffocation-based depopulation mechanisms covered by Article 43.W.6; and routine painful electrical coercion where reasonable low-stress handling is available.</w:t>
      </w:r>
    </w:p>
    <w:p>
      <w:pPr>
        <w:pStyle w:val="Normal"/>
      </w:pPr>
      <w:r>
        <w:t>H-2. Class B: Funded Transition. Used where the welfare destination is sufficiently clear but compliance may require barn, housing, vessel, handling, processing, traceability, genetics, workforce, or supply-chain conversion. Candidate subjects include extreme gestation confinement, conventional battery-cage systems, restrictive veal confinement, continuous long-duration tethering, routine tail docking or teeth clipping, mulesing or comparable non-therapeutic healthy-tissue removal, routine branding or tissue-removal identification where validated alternatives are available, long-distance transport standards, live-export welfare standards, and conscious poultry shackling or hoisting.</w:t>
      </w:r>
    </w:p>
    <w:p>
      <w:pPr>
        <w:pStyle w:val="Normal"/>
      </w:pPr>
      <w:r>
        <w:t>H-3. Class C: Validation-Triggered Transition. Used where the welfare concern is substantial but replacement technology, measurement, husbandry, or commercial-scale implementation remains materially uncertain. Candidate subjects include farrowing-system replacement, universal non-invasive identification replacing all penetrating tags, materially less-aversive alternatives to high-concentration carbon-dioxide pig stunning, replacement of conventional live-shackle water-bath poultry stunning, male-chick alternatives, maternal-contact systems, and detailed genetic-welfare thresholds.</w:t>
      </w:r>
    </w:p>
    <w:p>
      <w:pPr>
        <w:pStyle w:val="Normal"/>
      </w:pPr>
      <w:r>
        <w:t>H-4. Class D: Pilot, Incentive, and Research. Candidate work includes non-invasive identification, humane-production sensors, alternative toxicology and testing, advanced animal-welfare outcome metrics, voluntary humane-production excellence programs, marine-mammal sanctuary feasibility, cetacean longitudinal clinical monitoring, and other technologies not yet suitable for mandatory continental deployment.</w:t>
      </w:r>
    </w:p>
    <w:p>
      <w:pPr>
        <w:pStyle w:val="Normal"/>
      </w:pPr>
      <w:r>
        <w:t>H-5. Class E: Domestic or Future-Protocol Reserve. Detailed companion-animal regulation, classroom dissection, most local recreational-hunting rules, named sanctuary-site endorsements, detailed laboratory procedure rules, and other matters without a sufficient present trade or cross-border nexus remain outside the core treaty unless the Parties later decide otherwise.</w:t>
      </w:r>
    </w:p>
    <w:p>
      <w:pPr>
        <w:pStyle w:val="Normal"/>
      </w:pPr>
      <w:r>
        <w:t>H-6. Reclassification. A Class B-D measure may move toward a stronger class only after credible evidence shows that the replacement is technically reliable, commercially available at relevant scale, economically manageable with available transition support, and does not create equal or greater serious welfare harm.</w:t>
      </w:r>
    </w:p>
    <w:p>
      <w:pPr>
        <w:pStyle w:val="Normal"/>
      </w:pPr>
      <w:r>
        <w:t>H-7. Implementation Without New Bureaucracy. The Parties shall use the SPS Committee, existing agricultural and environmental cooperation mechanisms, Chapter 62 emergency architecture, Cothrom, competent domestic authorities, and existing technical rosters wherever those institutions can perform the function. Nothing in this Annex requires a new permanent animal-welfare secretariat or tribunal.</w:t>
      </w:r>
    </w:p>
    <w:p>
      <w:pPr>
        <w:pStyle w:val="Heading2"/>
      </w:pPr>
      <w:bookmarkStart w:id="902427" w:name="_Toc300002426"/>
      <w:r>
        <w:t>PACKAGE CC-T: TRACEABILITY AND POLITICAL FIREWALL</w:t>
      </w:r>
      <w:bookmarkEnd w:id="902427"/>
    </w:p>
    <w:p>
      <w:pPr>
        <w:pStyle w:val="Normal"/>
      </w:pPr>
      <w:r>
        <w:t>CC-T1. Integrated now: cross-cutting welfare floor, no downward harmonization, equivalency, non-discrimination, producer transition, small-producer protection, technology neutrality, no welfare substitution, necessary-use firewall, anti-circumvention, reporting protection, and records.</w:t>
      </w:r>
    </w:p>
    <w:p>
      <w:pPr>
        <w:pStyle w:val="Normal"/>
      </w:pPr>
      <w:r>
        <w:t>CC-T2. Integrated now: outcome-based extreme-confinement, healthy-tissue, humane-handling, transport, stunning/insensibility, prolonged-suffering depopulation, and mass-depopulation review principles.</w:t>
      </w:r>
    </w:p>
    <w:p>
      <w:pPr>
        <w:pStyle w:val="Normal"/>
      </w:pPr>
      <w:r>
        <w:t>CC-T3. Integrated now: rescue/transfer consideration, qualified-recipient test, written reasons, independent veterinary review, temporary protective custody, and life-preserving-care firewall.</w:t>
      </w:r>
    </w:p>
    <w:p>
      <w:pPr>
        <w:pStyle w:val="Normal"/>
      </w:pPr>
      <w:r>
        <w:t>CC-T4. Integrated now: least-harm wildlife intervention, nuisance-status safeguard, relocation suitability, humane capture/transport, and voluntary sanctuary cooperation.</w:t>
      </w:r>
    </w:p>
    <w:p>
      <w:pPr>
        <w:pStyle w:val="Normal"/>
      </w:pPr>
      <w:r>
        <w:t>CC-T5. Explicitly NOT adopted as binding operative mandates: a universal three-veterinarian unanimity rule; fixed maternal-contact duration; immediate universal bans on farrowing crates, all penetrating ear tags, carbon-dioxide pig stunning, or water-bath poultry stunning; named sanctuary sites; informal scoring concepts; captive-cetacean hydration causation claims; floating/subsea veterinary-facility specifications; detailed local hunting rules; classroom-dissection rules; or detailed laboratory animal-testing prescriptions.</w:t>
      </w:r>
    </w:p>
    <w:p>
      <w:pPr>
        <w:pStyle w:val="Normal"/>
      </w:pPr>
      <w:r>
        <w:t>CC-T6. The excluded concepts remain available for future validation, domestic action, or a later protocol and are not rejected on the merits merely because they are not made binding here.</w:t>
      </w:r>
    </w:p>
    <w:p>
      <w:pPr>
        <w:pStyle w:val="Normal"/>
      </w:pPr>
      <w:r>
        <w:t>CC-T7. Existing Chapter 9 animal-health and SPS rights, disease controls, equivalence, regionalization, emergency measures, and competent-authority powers remain intact.</w:t>
      </w:r>
    </w:p>
    <w:p>
      <w:pPr>
        <w:pStyle w:val="Normal"/>
      </w:pPr>
      <w:r>
        <w:t>CC-T8. Existing stronger national and subnational animal-welfare rules remain intact.</w:t>
      </w:r>
    </w:p>
    <w:p>
      <w:pPr>
        <w:pStyle w:val="TrumpVisibilityHeadline"/>
      </w:pPr>
      <w:r>
        <w:t xml:space="preserve">★ </w:t>
      </w:r>
      <w:r>
        <w:t>VISIBLE U.S. WIN: KEYSTONE NEXT, A REAL, MEASURABLE NORTH AMERICAN ENERGY-SECURITY PROJECT</w:t>
      </w:r>
    </w:p>
    <w:p>
      <w:pPr>
        <w:pStyle w:val="Heading1"/>
      </w:pPr>
      <w:bookmarkStart w:id="902428" w:name="_Toc300002427"/>
      <w:r>
        <w:rPr>
          <w:b/>
        </w:rPr>
        <w:t>PACKAGE CD: OPTIONAL KEYSTONE NEXT NORTH AMERICAN ENERGY SECURITY MODULE</w:t>
      </w:r>
      <w:bookmarkEnd w:id="902428"/>
    </w:p>
    <w:p>
      <w:pPr>
        <w:pStyle w:val="Normal"/>
      </w:pPr>
      <w:r>
        <w:t>CD-1. Optional Activation and Purpose. Canada and the United States may activate a Keystone Next North American Energy Security Partnership as a negotiated bargain under this Agreement. Its purpose is to deliver a tangible, commercially grounded successor to the energy-security objectives historically associated with Keystone XL without requiring reconstruction of the terminated Keystone XL route.</w:t>
      </w:r>
    </w:p>
    <w:p>
      <w:pPr>
        <w:pStyle w:val="Normal"/>
      </w:pPr>
      <w:r>
        <w:t>CD-2. Headline Capacity Objective. Upon activation, the Parties shall pursue a package of qualifying infrastructure capable, when completed and combined with associated system improvements, of materially increasing or securing Canadian crude transportation capacity serving the North American refining system. The initial planning objective shall be aggregate transportation capacity approaching the approximately 830,000-barrel-per-day scale historically associated with Keystone XL, where supported by commercial demand. The objective may be achieved through multiple interconnected projects and does not constitute a compulsory production quota.</w:t>
      </w:r>
    </w:p>
    <w:p>
      <w:pPr>
        <w:pStyle w:val="Normal"/>
      </w:pPr>
      <w:r>
        <w:t>CD-3. Tangible Infrastructure Package. The initial package shall include Prairie Connector-Bridger or a commercially viable successor; optimization or expansion opportunities within existing cross-border pipeline systems; reuse of suitable former Keystone XL pipe, facilities, disturbed corridors, engineering, or other assets where economically, technically, legally, and environmentally advantageous; and associated pumping, storage, terminal, interconnection, monitoring, safety, and emergency-response infrastructure.</w:t>
      </w:r>
    </w:p>
    <w:p>
      <w:pPr>
        <w:pStyle w:val="Normal"/>
      </w:pPr>
      <w:r>
        <w:t>CD-4. Real Deliverables and Milestones. Within 180 days after activation, Canada and the United States shall identify an initial portfolio of qualifying projects, responsible entities, indicative capacity contributions, and principal regulatory and commercial milestones. Within 12 months after activation, the Parties shall publish an implementation roadmap and thereafter report annually on verified capacity enabled, secured, modernized, placed under construction, or brought into service. Milestones shall distinguish physical capacity from studies, options, or uncommitted proposals.</w:t>
      </w:r>
    </w:p>
    <w:p>
      <w:pPr>
        <w:pStyle w:val="Normal"/>
      </w:pPr>
      <w:r>
        <w:t>CD-5. Priority but Lawful Canadian Treatment. Canada shall designate the activated package for priority federal coordination and timely lawful consideration. Priority treatment means coordinated sequencing, early identification of information requirements, avoidance of duplicative federal process where law permits, and published milestone management. It does not predetermine an approval, waive a legal requirement, or transfer provincial, Indigenous, or private authority.</w:t>
      </w:r>
    </w:p>
    <w:p>
      <w:pPr>
        <w:pStyle w:val="Normal"/>
      </w:pPr>
      <w:r>
        <w:t>CD-6. Environmental Infrastructure Hierarchy. Project selection shall first consider optimization of existing infrastructure and already disturbed corridors; second, safe reuse or repurposing of suitable existing assets; third, limited new connections and expansions; and fourth, major greenfield construction where necessary to achieve the agreed objective. The hierarchy guides comparison but does not require use of an inferior, unsafe, uneconomic, or environmentally worse alternative.</w:t>
      </w:r>
    </w:p>
    <w:p>
      <w:pPr>
        <w:pStyle w:val="Normal"/>
      </w:pPr>
      <w:r>
        <w:t>CD-7. Route and Water Protection. No route shall be preferred merely because it was historically associated with Keystone XL. Route selection shall seek to minimize aggregate impacts on drinking-water sources, major waterways, wetlands, fisheries, wildlife habitat, culturally significant areas, communities, and sensitive landscapes while maintaining technically and commercially credible energy service. Avoidable material risk to major drinking-water sources or exceptionally sensitive water bodies shall receive particular weight.</w:t>
      </w:r>
    </w:p>
    <w:p>
      <w:pPr>
        <w:pStyle w:val="Normal"/>
      </w:pPr>
      <w:r>
        <w:t>CD-8. Modern Pipeline Safety Standard. Qualifying new or materially modernized infrastructure shall use best-available practical integrity and safety measures appropriate to the project, which may include dense leak detection, distributed sensing, sectional isolation, rapid shutdown, corrosion and fracture monitoring, independent integrity testing, water-crossing protection, pre-positioned spill response, restoration bonding, and transparent incident reporting.</w:t>
      </w:r>
    </w:p>
    <w:p>
      <w:pPr>
        <w:pStyle w:val="Normal"/>
      </w:pPr>
      <w:r>
        <w:t>CD-9. Climate and Operational Efficiency. The Parties shall encourage efficient pumping, electrification where technically and economically suitable, lower-emission construction and operations, methane and associated-facility controls where applicable, lifecycle performance reporting, and other measures that reduce the operational environmental footprint without converting this Module into a compulsory production cap or a disguised restriction on lawful energy trade.</w:t>
      </w:r>
    </w:p>
    <w:p>
      <w:pPr>
        <w:pStyle w:val="Normal"/>
      </w:pPr>
      <w:r>
        <w:t>CD-10. Indigenous Rights and Economic Participation. Nothing in this Module diminishes Aboriginal, Indigenous, constitutional, treaty, consultation, accommodation, title, or self-government rights or obligations. Qualifying projects should create meaningful opportunities, where desired by affected Indigenous communities, for equity participation, revenue participation, procurement, employment, training, environmental monitoring, emergency preparedness, and stewardship.</w:t>
      </w:r>
    </w:p>
    <w:p>
      <w:pPr>
        <w:pStyle w:val="Normal"/>
      </w:pPr>
      <w:r>
        <w:t>CD-11. Commercial Viability and No Compulsory Extraction. Nothing requires Canada, a province, an Indigenous government, a Crown corporation, a private producer, pipeline operator, shipper, or investor to finance, construct, ship through, or guarantee an uneconomic project. Nothing establishes a mandatory oil-sands production level, compulsory extraction obligation, below-market supply commitment, or guaranteed private rate of return.</w:t>
      </w:r>
    </w:p>
    <w:p>
      <w:pPr>
        <w:pStyle w:val="Normal"/>
      </w:pPr>
      <w:r>
        <w:t>CD-12. Advanced Pipeline Technology and Demonstration Track. The Parties shall encourage development, testing, validation, and, where proven safe and commercially appropriate, deployment of advanced pipeline and energy-transport technologies that improve safety, environmental performance, reliability, repairability, construction efficiency, monitoring, or lifecycle cost.</w:t>
      </w:r>
    </w:p>
    <w:p>
      <w:pPr>
        <w:pStyle w:val="Normal"/>
      </w:pPr>
      <w:r>
        <w:t>CD-13. Eligible Advanced Technologies. Eligible work may include advanced pipe materials and liners; next-generation coatings; modular or replaceable sections; improved corrosion and fracture resistance; distributed fibre-optic, acoustic, chemical, pressure, or other sensing; continuous leak detection; autonomous inspection; robotic maintenance and repair; advanced isolation and shutdown; lower-disturbance construction; improved water crossings; efficient or electrified pumping; digital twins; predictive maintenance; and other emerging technologies.</w:t>
      </w:r>
    </w:p>
    <w:p>
      <w:pPr>
        <w:pStyle w:val="Normal"/>
      </w:pPr>
      <w:r>
        <w:t>CD-14. Validation Ladder and Regulatory Sandbox. Canada may support laboratories, controlled demonstration corridors, test facilities, regulatory sandboxes, and limited field pilots. Experimental technology shall progress according to demonstrated risk from modelling and laboratory validation through destructive and failure testing, controlled demonstration, limited operational deployment, independent certification where applicable, monitored scale-up, and commercial eligibility. Participation in a pilot creates no presumption of certification, procurement, or regulatory approval.</w:t>
      </w:r>
    </w:p>
    <w:p>
      <w:pPr>
        <w:pStyle w:val="Normal"/>
      </w:pPr>
      <w:r>
        <w:t>CD-15. Technology Neutrality. Nothing requires conventional steel pipeline construction where another independently validated technology provides equal or superior integrity, safety, environmental protection, capacity, and lifecycle performance. Regulators may recognize demonstrated performance advantages when comparing otherwise viable alternatives.</w:t>
      </w:r>
    </w:p>
    <w:p>
      <w:pPr>
        <w:pStyle w:val="Normal"/>
      </w:pPr>
      <w:r>
        <w:t>CD-16. Keystone Next Energy Infrastructure Skills and Trades Initiative. Canada shall support education, apprenticeship, skilled-trades, technical-training, professional-development, and work-integrated-learning pathways relevant to construction, operation, inspection, maintenance, modernization, environmental management, emergency response, and technological advancement of energy infrastructure.</w:t>
      </w:r>
    </w:p>
    <w:p>
      <w:pPr>
        <w:pStyle w:val="Normal"/>
      </w:pPr>
      <w:r>
        <w:t>CD-17. Skills Scope. Training may include welding and advanced joining; metallurgy and materials; corrosion control; non-destructive testing; instrumentation and industrial controls; fibre-optic and distributed sensing; robotics and autonomous inspection; civil and geotechnical work; pumping systems; cybersecurity; digital twins and predictive maintenance; environmental monitoring and remediation; spill and emergency response; water protection; and other emerging infrastructure skills.</w:t>
      </w:r>
    </w:p>
    <w:p>
      <w:pPr>
        <w:pStyle w:val="Normal"/>
      </w:pPr>
      <w:r>
        <w:t>CD-18. Training Partnerships and Portability. Canada shall encourage partnerships among colleges, polytechnics, universities, apprenticeship systems, Indigenous training organizations, labour organizations, industry, regulators, and research institutions. The Parties should facilitate recognition and portability of equivalent qualifications, certifications, apprenticeships, and professional competencies while preserving legitimate licensing and safety requirements.</w:t>
      </w:r>
    </w:p>
    <w:p>
      <w:pPr>
        <w:pStyle w:val="Normal"/>
      </w:pPr>
      <w:r>
        <w:t>CD-19. Durable Workforce Value. Programs should prioritize paid apprenticeships, retraining of experienced energy workers, Indigenous training and employment, and pathways from trades into inspection, supervision, engineering technology, safety, and specialized technical occupations. Training should remain useful across energy, utilities, manufacturing, construction, environmental remediation, and critical infrastructure and shall not depend upon construction of any single Keystone Next project.</w:t>
      </w:r>
    </w:p>
    <w:p>
      <w:pPr>
        <w:pStyle w:val="Normal"/>
      </w:pPr>
      <w:r>
        <w:t>CD-20. Technology-to-Workforce Link. A qualifying advanced-technology demonstration should, where practicable, include a corresponding training component so that technical validation is accompanied by development of the technicians, tradespeople, inspectors, engineers, operators, environmental personnel, and emergency responders required for safe deployment.</w:t>
      </w:r>
    </w:p>
    <w:p>
      <w:pPr>
        <w:pStyle w:val="Normal"/>
      </w:pPr>
      <w:r>
        <w:t>CD-21. Strategic Minerals Linkage Without Double Counting. The Parties recognize that Keystone Next may complement the Strategic Minerals Access Framework, processing and refining initiatives, recycling and by-product recovery, stockpile cooperation, trusted external feedstock provisions, and minerals-for-forestry architecture elsewhere in this Agreement. A Canadian minerals concession already paired with another United States obligation shall not be treated as newly furnished consideration for activation of this Module unless Canada expressly agrees otherwise.</w:t>
      </w:r>
    </w:p>
    <w:p>
      <w:pPr>
        <w:pStyle w:val="Normal"/>
      </w:pPr>
      <w:r>
        <w:t>CD-22. North American Industrial Participation. Qualifying projects may support North American manufacturing of pipe, pumps, valves, sensors, controls, robotics, safety equipment, construction machinery, and other infrastructure inputs, subject to the Agreement's origin, procurement, competition, and anti-circumvention rules. This provision does not create a single-Party domestic-content mandate unless expressly activated as a separately priced bargain.</w:t>
      </w:r>
    </w:p>
    <w:p>
      <w:pPr>
        <w:pStyle w:val="Normal"/>
      </w:pPr>
      <w:r>
        <w:t>CD-23. Reciprocal United States Consideration. Activation shall identify specific, measurable, and durable United States consideration commensurate with the Canadian commitments activated. Consideration may include removal or neutralization of specified extraordinary tariffs; durable automotive, steel, aluminum, forestry, energy, procurement, or market-access treatment; cross-border permit commitments within lawful authority; or other negotiated benefits. A promise merely to study tariff relief does not constitute principal consideration.</w:t>
      </w:r>
    </w:p>
    <w:p>
      <w:pPr>
        <w:pStyle w:val="Normal"/>
      </w:pPr>
      <w:r>
        <w:t>CD-24. No Uncompensated Front-Loading. Preliminary studies, consultation, training design, technology research, and regulatory coordination may begin before full reciprocal performance. Principal irreversible Canadian commitments, including major construction-specific governmental obligations or extraordinary financial exposure, shall activate together with the corresponding United States benefit. Material failure of paired performance triggers verification, a short cure period, proportional pause or step-back of the paired obligation, and automatic restoration when performance resumes through the existing Cothrom architecture.</w:t>
      </w:r>
    </w:p>
    <w:p>
      <w:pPr>
        <w:pStyle w:val="Normal"/>
      </w:pPr>
      <w:r>
        <w:t>CD-25. No Tariff Recreation. Where the United States removes a specified extraordinary tariff as consideration, it shall not principally recreate the resolved burden through nominal reclassification, substantially equivalent emergency action, or another measure whose predominant purpose is circumvention. Ordinary good-faith trade-remedy administration remains available subject to this Agreement.</w:t>
      </w:r>
    </w:p>
    <w:p>
      <w:pPr>
        <w:pStyle w:val="Normal"/>
      </w:pPr>
      <w:r>
        <w:t>CD-26. Public Launch. Upon activation, the Parties may publicly launch Keystone Next at leader or ministerial level and identify the selected infrastructure, capacity objective, workforce program, technology track, environmental and safety standards, and reciprocal trade settlement. Public communications shall distinguish Keystone Next from revival of the terminated Keystone XL route while recognizing its role as a modern successor to the underlying continental energy-security objective.</w:t>
      </w:r>
    </w:p>
    <w:p>
      <w:pPr>
        <w:pStyle w:val="Normal"/>
      </w:pPr>
      <w:r>
        <w:t>CD-27. Trilateral Complementarity. Mexico may participate in advanced-energy technology, skills, manufacturing, research, safety, and professional-mobility elements where mutually agreed. Nothing implies that Mexico is geographically part of the Canada-United States pipeline corridor or obliges Mexico to finance it.</w:t>
      </w:r>
    </w:p>
    <w:p>
      <w:pPr>
        <w:pStyle w:val="Normal"/>
      </w:pPr>
      <w:r>
        <w:t>CD-28. Governing Bargain. Keystone Next is intended to be both symbolic and real: a visible North American energy-security commitment supported by measurable infrastructure, capacity, workforce, technology, safety, and environmental outcomes. It shall not be reduced to a committee-only undertaking, nor shall its political visibility be used to compel commercially unjustified construction, compulsory extraction, surrender of Canadian sovereignty, or waiver of lawful environmental or Indigenous protections.</w:t>
      </w:r>
    </w:p>
    <w:p>
      <w:pPr>
        <w:pStyle w:val="TrumpVisibilityHeadline"/>
      </w:pPr>
      <w:r>
        <w:t xml:space="preserve">★ </w:t>
      </w:r>
      <w:r>
        <w:t>VISIBLE U.S. WIN: FENTANYL FIRST, TOUGHER BORDER SECURITY, MORE CANINE TEAMS, FASTER LEGITIMATE TRADE</w:t>
      </w:r>
    </w:p>
    <w:p>
      <w:pPr>
        <w:pStyle w:val="Heading1"/>
      </w:pPr>
      <w:bookmarkStart w:id="902429" w:name="_Toc300002428"/>
      <w:r>
        <w:t>PACKAGE CE: FENTANYL AND HIGH-RISK CONTRABAND INTERDICTION / TRUSTED FREIGHT GATEWAY</w:t>
      </w:r>
      <w:bookmarkEnd w:id="902429"/>
    </w:p>
    <w:p>
      <w:pPr>
        <w:pStyle w:val="Normal"/>
      </w:pPr>
      <w:r>
        <w:rPr>
          <w:b/>
        </w:rPr>
        <w:t xml:space="preserve">CE-1. Fentanyl Priority. </w:t>
      </w:r>
      <w:r>
        <w:t>The Parties recognize illicit fentanyl, fentanyl analogues, synthetic opioids, and their precursor chemicals as priority cross-border threats. Canada and the United States shall strengthen targeted interdiction at major land crossings, beginning with the Windsor-Detroit commercial corridor and the Gordie Howe International Bridge, while preserving expedited movement for lawful and trusted commerce.</w:t>
      </w:r>
    </w:p>
    <w:p>
      <w:pPr>
        <w:pStyle w:val="Normal"/>
      </w:pPr>
      <w:r>
        <w:rPr>
          <w:b/>
        </w:rPr>
        <w:t xml:space="preserve">CE-2. Visible Canadian Performance. </w:t>
      </w:r>
      <w:r>
        <w:t>New Canadian canine teams, scanners, inspection technology, trained personnel, facilities, intelligence capabilities, and other verified interdiction resources deployed pursuant to this Package constitute Canadian performance for purposes of any paired bargain. Existing resources or commitments shall not be silently recharacterized as newly furnished consideration.</w:t>
      </w:r>
    </w:p>
    <w:p>
      <w:pPr>
        <w:pStyle w:val="Normal"/>
      </w:pPr>
      <w:r>
        <w:rPr>
          <w:b/>
        </w:rPr>
        <w:t xml:space="preserve">CE-3. Fentanyl-Detection Canine Teams. </w:t>
      </w:r>
      <w:r>
        <w:t>Canada shall expand trained canine detection capacity for targeted secondary inspection of vehicles, commercial cargo, and other conveyances identified for inspection through lawful risk assessment, intelligence, non-intrusive inspection, random secondary selection, or other authorized customs procedures. Fentanyl detection shall be a priority capability without preventing training or deployment against other synthetic drugs, firearms, illicit currency, explosives where lawfully authorized, or other contraband.</w:t>
      </w:r>
    </w:p>
    <w:p>
      <w:pPr>
        <w:pStyle w:val="Normal"/>
      </w:pPr>
      <w:r>
        <w:rPr>
          <w:b/>
        </w:rPr>
        <w:t xml:space="preserve">CE-4. Risk-Flagged Vehicle Inspection. </w:t>
      </w:r>
      <w:r>
        <w:t>Canine inspection should ordinarily supplement an authorized referral or secondary-inspection process rather than operate as a universal inspection requirement. Nothing prevents lawful random secondary selection. The objective is to concentrate inspection resources on suspicious or higher-risk movements while reducing unnecessary delay for legitimate traffic.</w:t>
      </w:r>
    </w:p>
    <w:p>
      <w:pPr>
        <w:pStyle w:val="Normal"/>
      </w:pPr>
      <w:r>
        <w:rPr>
          <w:b/>
        </w:rPr>
        <w:t xml:space="preserve">CE-5. Handler and Evidentiary Safeguards. </w:t>
      </w:r>
      <w:r>
        <w:t>A canine indication is an operational detection signal to be assessed by trained officers under applicable law. Canine performance shall not displace legal requirements governing search, seizure, detention, evidence, or enforcement decisions.</w:t>
      </w:r>
    </w:p>
    <w:p>
      <w:pPr>
        <w:pStyle w:val="Normal"/>
      </w:pPr>
      <w:r>
        <w:rPr>
          <w:b/>
        </w:rPr>
        <w:t xml:space="preserve">CE-6. Working-Dog Welfare and Safety. </w:t>
      </w:r>
      <w:r>
        <w:t>Each Party shall maintain appropriate veterinary care, handler training, exposure protocols, heat and cold protections, rest and rotation standards, protective equipment where appropriate, emergency treatment capability, and humane retirement or placement practices for working dogs used under this Package.</w:t>
      </w:r>
    </w:p>
    <w:p>
      <w:pPr>
        <w:pStyle w:val="Normal"/>
      </w:pPr>
      <w:r>
        <w:rPr>
          <w:b/>
        </w:rPr>
        <w:t xml:space="preserve">CE-7. Non-Intrusive Inspection Expansion. </w:t>
      </w:r>
      <w:r>
        <w:t>The Parties should expand or modernize vehicle and cargo imaging, radiation detection, seal and container integrity tools, anomaly detection, and other validated non-intrusive inspection technologies at high-volume commercial crossings, with trained human review for consequential enforcement decisions.</w:t>
      </w:r>
    </w:p>
    <w:p>
      <w:pPr>
        <w:pStyle w:val="Normal"/>
      </w:pPr>
      <w:r>
        <w:rPr>
          <w:b/>
        </w:rPr>
        <w:t xml:space="preserve">CE-8. Precursor and Supply-Chain Targeting. </w:t>
      </w:r>
      <w:r>
        <w:t>Cooperation may include lawful identification and interdiction of fentanyl precursor chemicals, pill-press and concealment equipment, trafficking logistics, suspicious commercial routing, and other material inputs demonstrably connected to illicit synthetic-drug production or distribution.</w:t>
      </w:r>
    </w:p>
    <w:p>
      <w:pPr>
        <w:pStyle w:val="Normal"/>
      </w:pPr>
      <w:r>
        <w:rPr>
          <w:b/>
        </w:rPr>
        <w:t xml:space="preserve">CE-9. Organized-Smuggling Networks. </w:t>
      </w:r>
      <w:r>
        <w:t>Competent authorities may strengthen lawful intelligence exchange and operational coordination concerning repeat trafficking organizations, firearms smuggling, illicit currency movement, stolen vehicles, human trafficking, and other serious cross-border contraband networks, subject to domestic law and applicable privacy, evidence, and due-process safeguards.</w:t>
      </w:r>
    </w:p>
    <w:p>
      <w:pPr>
        <w:pStyle w:val="Normal"/>
      </w:pPr>
      <w:r>
        <w:rPr>
          <w:b/>
        </w:rPr>
        <w:t xml:space="preserve">CE-10. Postal, Parcel and Express Freight. </w:t>
      </w:r>
      <w:r>
        <w:t>Where operationally relevant, competent authorities should improve risk-based targeting of postal, parcel, courier, and express-freight channels used for illicit fentanyl, synthetic drugs, precursor chemicals, or other high-risk contraband without imposing indiscriminate inspection on ordinary low-risk commerce.</w:t>
      </w:r>
    </w:p>
    <w:p>
      <w:pPr>
        <w:pStyle w:val="Normal"/>
      </w:pPr>
      <w:r>
        <w:rPr>
          <w:b/>
        </w:rPr>
        <w:t xml:space="preserve">CE-11. Trusted Freight Dividend. </w:t>
      </w:r>
      <w:r>
        <w:t>Enhanced security shall be paired with faster treatment of demonstrably low-risk lawful freight. The Parties should use advance commercial data, pre-arrival risk assessment, trusted-trader programs, interoperable manifests, appointment and queue management, and dedicated or priority processing where operationally justified.</w:t>
      </w:r>
    </w:p>
    <w:p>
      <w:pPr>
        <w:pStyle w:val="Normal"/>
      </w:pPr>
      <w:r>
        <w:rPr>
          <w:b/>
        </w:rPr>
        <w:t xml:space="preserve">CE-12. Gordie Howe Flagship Pilot. </w:t>
      </w:r>
      <w:r>
        <w:t>The Gordie Howe International Bridge shall be eligible to serve as a flagship demonstration crossing for the combined model of stronger fentanyl and contraband interdiction, expanded canine and non-intrusive inspection capability, and expedited trusted freight. Validated practices may be extended to other high-volume crossings without requiring amendment of this Agreement.</w:t>
      </w:r>
    </w:p>
    <w:p>
      <w:pPr>
        <w:pStyle w:val="Normal"/>
      </w:pPr>
      <w:r>
        <w:rPr>
          <w:b/>
        </w:rPr>
        <w:t xml:space="preserve">CE-13. Performance Dashboard. </w:t>
      </w:r>
      <w:r>
        <w:t>Competent authorities should publish periodic non-sensitive aggregate measures sufficient to demonstrate performance, which may include fentanyl and other contraband seizures, high-risk inspections, trusted shipments expedited, average commercial processing times, inspection-system uptime, canine deployments and validated detections. Reporting shall not disclose intelligence, targeting thresholds, vulnerabilities, or operational information useful to traffickers.</w:t>
      </w:r>
    </w:p>
    <w:p>
      <w:pPr>
        <w:pStyle w:val="Normal"/>
      </w:pPr>
      <w:r>
        <w:rPr>
          <w:b/>
        </w:rPr>
        <w:t xml:space="preserve">CE-14. Data Minimization and Auditability. </w:t>
      </w:r>
      <w:r>
        <w:t>Information collected under this Package shall be limited to lawful border, customs, security, and enforcement purposes; protected by appropriate access controls and audit logs; retained no longer than authorized or operationally justified; and subject to applicable privacy, civil-liberties, cybersecurity, and redress requirements.</w:t>
      </w:r>
    </w:p>
    <w:p>
      <w:pPr>
        <w:pStyle w:val="Normal"/>
      </w:pPr>
      <w:r>
        <w:rPr>
          <w:b/>
        </w:rPr>
        <w:t xml:space="preserve">CE-15. No Generalized Immigration Dragnet. </w:t>
      </w:r>
      <w:r>
        <w:t>Freight and contraband authorities created or strengthened under this Package shall not by themselves create a new general immigration-policing authority, diminish asylum or humanitarian protections, or authorize indiscriminate surveillance of lawful travelers.</w:t>
      </w:r>
    </w:p>
    <w:p>
      <w:pPr>
        <w:pStyle w:val="Normal"/>
      </w:pPr>
      <w:r>
        <w:rPr>
          <w:b/>
        </w:rPr>
        <w:t xml:space="preserve">CE-16. No Fentanyl Tariff Shortcut. </w:t>
      </w:r>
      <w:r>
        <w:t>The existence of illicit fentanyl trafficking, a change in seizure volume, or dissatisfaction with a Party's border-security performance does not by itself authorize an extraordinary tariff or covered border measure against unrelated originating goods. Trade measures remain governed by the disciplines, nexus requirements, verification, cure, proportionality, and review provisions of this Agreement.</w:t>
      </w:r>
    </w:p>
    <w:p>
      <w:pPr>
        <w:pStyle w:val="Normal"/>
      </w:pPr>
      <w:r>
        <w:rPr>
          <w:b/>
        </w:rPr>
        <w:t xml:space="preserve">CE-17. Continuous Modernization. </w:t>
      </w:r>
      <w:r>
        <w:t>Competent authorities may replace or supplement scanners, sensors, canine methods, analytics, inspection tools, and other operational technologies as threats and validated capabilities evolve, without requiring treaty amendment, provided legal, privacy, safety, procurement, and evidentiary requirements remain satisfied.</w:t>
      </w:r>
    </w:p>
    <w:p>
      <w:pPr>
        <w:pStyle w:val="Normal"/>
      </w:pPr>
      <w:r>
        <w:rPr>
          <w:b/>
        </w:rPr>
        <w:t xml:space="preserve">CE-18. Existing Institutions. </w:t>
      </w:r>
      <w:r>
        <w:t>Implementation shall use existing customs, border, law-enforcement, Commission, Secretariat, and Cothrom structures to the maximum extent practicable. This Package does not require creation of a new permanent supranational border-security bureaucracy.</w:t>
      </w:r>
    </w:p>
    <w:p>
      <w:pPr>
        <w:pStyle w:val="Normal"/>
      </w:pPr>
      <w:r>
        <w:rPr>
          <w:b/>
        </w:rPr>
        <w:t xml:space="preserve">CE-19. No Uncompensated Front-Loading. </w:t>
      </w:r>
      <w:r>
        <w:t>Where additional Canadian performance under this Package is expressly paired with a United States trade or market-access concession, the paired benefits shall activate together where practicable. Delayed or failed paired performance shall trigger verification, a short cure period where appropriate, proportional pause or step-back of the paired obligation, and automatic restoration when performance resumes.</w:t>
      </w:r>
    </w:p>
    <w:p>
      <w:pPr>
        <w:pStyle w:val="Normal"/>
      </w:pPr>
      <w:r>
        <w:rPr>
          <w:b/>
        </w:rPr>
        <w:t xml:space="preserve">CE-20. Governing Principle. </w:t>
      </w:r>
      <w:r>
        <w:t>The Parties intend a border that is harder for fentanyl traffickers and other serious smugglers to penetrate and faster for legitimate North American workers, travelers, manufacturers, and freight to use. Security performance shall be real, measurable, lawful, and compatible with the dignity and rights protections elsewhere in this Agreement.</w:t>
      </w:r>
    </w:p>
    <w:p>
      <w:pPr>
        <w:pStyle w:val="Normal"/>
      </w:pPr>
      <w:r>
        <w:rPr>
          <w:b/>
        </w:rPr>
        <w:t xml:space="preserve">★ </w:t>
      </w:r>
      <w:r>
        <w:rPr>
          <w:b/>
        </w:rPr>
        <w:t>VISIBLE CROSS-BORDER WIN: GORDIE HOWE BENEFITS BOTH SIDES, KEEP THE TOLL RIGHTS, REINVEST IN A FASTER DETROIT–WINDSOR CORRIDOR</w:t>
      </w:r>
    </w:p>
    <w:p>
      <w:pPr>
        <w:pStyle w:val="Heading1"/>
      </w:pPr>
      <w:bookmarkStart w:id="902430" w:name="_Toc300002429"/>
      <w:r>
        <w:rPr>
          <w:b/>
        </w:rPr>
        <w:t>PACKAGE CG: DETROIT–WINDSOR INTERNATIONAL CROSSING BENEFIT AND REINVESTMENT FRAMEWORK</w:t>
      </w:r>
      <w:bookmarkEnd w:id="902430"/>
    </w:p>
    <w:p>
      <w:pPr>
        <w:pStyle w:val="Normal"/>
      </w:pPr>
      <w:r>
        <w:t>CG-1. Purpose and Relationship to Existing Bridge Governance. Canada and the United States recognize the Gordie Howe International Bridge and the broader Detroit–Windsor corridor as strategic North American trade infrastructure. This Framework creates an optional mechanism for mutually beneficial corridor reinvestment without reopening, transferring, or prejudicing existing ownership, financing, tolling, governance, concession, contractual, or legal arrangements governing the bridge.</w:t>
      </w:r>
    </w:p>
    <w:p>
      <w:pPr>
        <w:pStyle w:val="Normal"/>
      </w:pPr>
      <w:r>
        <w:t>CG-2. No Transfer of Toll Ownership or Revenue Entitlement. Nothing in this Agreement grants the United States, Michigan, Detroit, any United States agency, or any other person an ownership interest, lien, entitlement, revenue share, repayment claim, or other proprietary right in Canadian or bridge-authority toll revenues. Nothing retroactively characterizes the United States as having financed a share of the bridge or creates a debt arising from its construction or operation.</w:t>
      </w:r>
    </w:p>
    <w:p>
      <w:pPr>
        <w:pStyle w:val="Normal"/>
      </w:pPr>
      <w:r>
        <w:t>CG-3. Optional Corridor Reinvestment. The competent Canadian, United States, bridge, provincial, state, municipal, customs, transportation, or other authorities may, where lawful and mutually agreed, designate bridge-generated revenues, corridor-related revenues, fees, commercial proceeds, appropriations, grants, or equivalent public funding for eligible Detroit–Windsor corridor improvements. No Party is required to dedicate a fixed percentage of toll revenue, and equivalent appropriations may be used instead of toll-derived funds.</w:t>
      </w:r>
    </w:p>
    <w:p>
      <w:pPr>
        <w:pStyle w:val="Normal"/>
      </w:pPr>
      <w:r>
        <w:t>CG-4. Eligible Benefits. Eligible improvements may include United States- or Canada-side customs and inspection facilities; trusted-freight and pre-arrival processing infrastructure; intelligent transportation systems; traffic, queue and appointment management; approach roads and interchanges; commercial staging and logistics facilities; border-security technology; pedestrian, worker or emergency-access improvements where applicable; community-impact mitigation; environmental improvements; and mutually agreed economic-development infrastructure serving the crossing and surrounding communities.</w:t>
      </w:r>
    </w:p>
    <w:p>
      <w:pPr>
        <w:pStyle w:val="Normal"/>
      </w:pPr>
      <w:r>
        <w:t>CG-5. Benefit Without Ownership. A United States-side or Michigan-side improvement financed, supported, accelerated, or enabled through this Framework constitutes a visible cross-border infrastructure benefit but does not create an ownership, governance, toll-setting, repayment, or revenue entitlement in the bridge. A Canadian-side benefit likewise creates no corresponding United States obligation except where expressly paired by agreement.</w:t>
      </w:r>
    </w:p>
    <w:p>
      <w:pPr>
        <w:pStyle w:val="Normal"/>
      </w:pPr>
      <w:r>
        <w:t>CG-6. Integration With Trusted Freight and Reciprocal Procurement. Projects under this Framework should, where appropriate, reinforce Package CE trusted-freight objectives and Chapter 65 reciprocal procurement opportunities. A procurement opening remains a right to compete rather than a guaranteed award, and an improvement counted under this Framework shall not be counted again as new consideration under another package unless the additional value is genuinely distinct and separately verified.</w:t>
      </w:r>
    </w:p>
    <w:p>
      <w:pPr>
        <w:pStyle w:val="Normal"/>
      </w:pPr>
      <w:r>
        <w:t>CG-7. Community and Corridor Additionality. Reinvestment should prioritize improvements that measurably reduce congestion, improve commercial reliability, strengthen inspection capacity, mitigate local traffic or environmental burdens, improve emergency resilience, or expand durable economic opportunity in the Detroit–Windsor corridor. Ordinary maintenance or previously committed expenditure may be recognized as baseline activity but shall not be represented as new agreement-attributable consideration.</w:t>
      </w:r>
    </w:p>
    <w:p>
      <w:pPr>
        <w:pStyle w:val="Normal"/>
      </w:pPr>
      <w:r>
        <w:t>CG-8. Verification, No Double Counting, and Governing Bargain. Any claimed benefit shall identify the funding source, responsible authority, project status, geographic beneficiary, incremental value, and relationship to existing commitments. The same dollar or project benefit shall not be counted twice in Chapter 64, Chapter 65, Package CE, or another visible-win package. The governing bargain is benefit-sharing without ownership transfer: Canada retains lawful toll and bridge rights; the United States and Michigan may receive tangible corridor improvements where mutually agreed; and both sides gain a faster, safer, more commercially useful international crossing.</w:t>
      </w:r>
    </w:p>
    <w:p>
      <w:pPr>
        <w:pStyle w:val="TrumpVisibilityHeadline"/>
      </w:pPr>
      <w:r>
        <w:t xml:space="preserve">★ </w:t>
      </w:r>
      <w:r>
        <w:t>NEGOTIATOR VISIBILITY INDEX: TANGIBLE UNITED STATES WINS ALREADY EMBEDDED IN NAESTMA</w:t>
      </w:r>
    </w:p>
    <w:p>
      <w:pPr>
        <w:pStyle w:val="Normal"/>
      </w:pPr>
      <w:r>
        <w:t>This non-operative index is provided for rapid political and negotiating navigation. It does not enlarge, modify, or independently activate any obligation. Each item remains subject to its operative treaty text and any paired consideration.</w:t>
      </w:r>
    </w:p>
    <w:p>
      <w:pPr>
        <w:pStyle w:val="ListBullet"/>
        <w:numPr>
          <w:ilvl w:val="0"/>
          <w:numId w:val="1"/>
        </w:numPr>
      </w:pPr>
      <w:r>
        <w:t>U.S. manufacturing: more vehicles, components, batteries, semiconductors, power electronics, advanced materials, and other strategic manufacturing built in the United States through the voluntary U.S. Manufacturing Accelerator, with reciprocal Canadian and Mexican tracks and no compulsory Party-specific origin mandate.</w:t>
      </w:r>
    </w:p>
    <w:p>
      <w:pPr>
        <w:pStyle w:val="ListBullet"/>
        <w:numPr>
          <w:ilvl w:val="0"/>
          <w:numId w:val="1"/>
        </w:numPr>
      </w:pPr>
      <w:r>
        <w:t>Automotive: 75% Standard, 80% High Integration, and 85% Strategic Integration architecture; stronger North American vehicle and component production; public investment/capacity reporting; and the optional 70% U.S.-manufactured SUV muffler commitment paired with a durable automotive tariff settlement.</w:t>
      </w:r>
    </w:p>
    <w:p>
      <w:pPr>
        <w:pStyle w:val="ListBullet"/>
        <w:numPr>
          <w:ilvl w:val="0"/>
          <w:numId w:val="1"/>
        </w:numPr>
      </w:pPr>
      <w:r>
        <w:t>Aircraft certification: North American Aviation Certification Fast Lane with concurrent FAA-TCCA-AFAC review where practicable, maximum lawful reliance on counterpart technical findings, published response clocks, no politically motivated certification delay, and an explicit firewall preserving each regulator's sovereign safety authority.</w:t>
      </w:r>
    </w:p>
    <w:p>
      <w:pPr>
        <w:pStyle w:val="ListBullet"/>
        <w:numPr>
          <w:ilvl w:val="0"/>
          <w:numId w:val="1"/>
        </w:numPr>
      </w:pPr>
      <w:r>
        <w:t>Dairy: Guaranteed New U.S. Dairy Access: measurable provincial access floors, utilization and reallocation disciplines, a 0.2% Priority Cheese Access Bonus, transparent TRQ administration, and an optional pathway up to 1.50% total scheduled provincial access in return for expressly paired concessions.</w:t>
      </w:r>
    </w:p>
    <w:p>
      <w:pPr>
        <w:pStyle w:val="ListBullet"/>
        <w:numPr>
          <w:ilvl w:val="0"/>
          <w:numId w:val="1"/>
        </w:numPr>
      </w:pPr>
      <w:r>
        <w:t>Alcohol: American products return with normalization: tariff-linked restoration of ordinary listing eligibility, inventory replenishment, distribution, and retail access for U.S. beer, wine, and spirits, while preserving legitimate provincial, territorial, state, and Mexican subnational regulation.</w:t>
      </w:r>
    </w:p>
    <w:p>
      <w:pPr>
        <w:pStyle w:val="ListBullet"/>
        <w:numPr>
          <w:ilvl w:val="0"/>
          <w:numId w:val="1"/>
        </w:numPr>
      </w:pPr>
      <w:r>
        <w:t>Steel and aluminum: North American Metals Investment Compact; anti-transshipment and provenance protection; strategic and defense-grade capacity; modernization and recycling; public investment/capacity reporting; and durable normalization of originating North American metals trade.</w:t>
      </w:r>
    </w:p>
    <w:p>
      <w:pPr>
        <w:pStyle w:val="ListBullet"/>
        <w:numPr>
          <w:ilvl w:val="0"/>
          <w:numId w:val="1"/>
        </w:numPr>
      </w:pPr>
      <w:r>
        <w:t>Critical minerals: Strategic Materials Compact, duty-free originating trade, offtake and long-term access, stockpile and surge cooperation, Midstream Gap Register, trusted external feedstock, by-product recovery, Canada/U.S./Mexico industrial tracks, and minerals-for-forestry bargaining that exchanges resource cooperation for processing, investment, procurement, resilience, and market-access value.</w:t>
      </w:r>
    </w:p>
    <w:p>
      <w:pPr>
        <w:pStyle w:val="ListBullet"/>
        <w:numPr>
          <w:ilvl w:val="0"/>
          <w:numId w:val="1"/>
        </w:numPr>
      </w:pPr>
      <w:r>
        <w:rPr>
          <w:b/>
        </w:rPr>
        <w:t>Forestry: minerals-for-forestry normalization pathways capable of supporting durable softwood-lumber settlement.</w:t>
      </w:r>
    </w:p>
    <w:p>
      <w:pPr>
        <w:pStyle w:val="ListBullet"/>
        <w:numPr>
          <w:ilvl w:val="0"/>
          <w:numId w:val="1"/>
        </w:numPr>
      </w:pPr>
      <w:r>
        <w:rPr>
          <w:b/>
        </w:rPr>
        <w:t>Wildfire: prevention, detection, fuel management, firefighting interoperability, technology, recovery, and transboundary smoke mitigation.</w:t>
      </w:r>
    </w:p>
    <w:p>
      <w:pPr>
        <w:pStyle w:val="ListBullet"/>
        <w:numPr>
          <w:ilvl w:val="0"/>
          <w:numId w:val="1"/>
        </w:numPr>
      </w:pPr>
      <w:r>
        <w:rPr>
          <w:b/>
        </w:rPr>
        <w:t>Procurement: reciprocal strategic-supplier access while preserving lawful domestic, SME, Indigenous, security, and resilience programs.</w:t>
      </w:r>
    </w:p>
    <w:p>
      <w:pPr>
        <w:pStyle w:val="ListBullet"/>
        <w:numPr>
          <w:ilvl w:val="0"/>
          <w:numId w:val="1"/>
        </w:numPr>
      </w:pPr>
      <w:r>
        <w:rPr>
          <w:b/>
        </w:rPr>
        <w:t>Trade rebalancing: verifiable opportunities for additional U.S. exports, investment, reshoring, joint ventures, procurement, agriculture, and productive capacity without compulsory purchase quotas.</w:t>
      </w:r>
    </w:p>
    <w:p>
      <w:pPr>
        <w:pStyle w:val="ListBullet"/>
        <w:numPr>
          <w:ilvl w:val="0"/>
          <w:numId w:val="1"/>
        </w:numPr>
      </w:pPr>
      <w:r>
        <w:rPr>
          <w:b/>
        </w:rPr>
        <w:t>Keystone Next: an optional tangible energy-security successor with an approximately 830,000-barrel-per-day planning objective where commercially supported, real infrastructure, workforce, technology, safety, and public launch.</w:t>
      </w:r>
    </w:p>
    <w:p>
      <w:pPr>
        <w:pStyle w:val="ListBullet"/>
        <w:numPr>
          <w:ilvl w:val="0"/>
          <w:numId w:val="1"/>
        </w:numPr>
      </w:pPr>
      <w:r>
        <w:rPr>
          <w:b/>
        </w:rPr>
        <w:t>Fentanyl and border security: fentanyl-priority interdiction, expanded canine teams, modern inspection technology, Gordie Howe flagship deployment, measurable performance, and a trusted-freight dividend.</w:t>
      </w:r>
    </w:p>
    <w:p>
      <w:pPr>
        <w:pStyle w:val="ListBullet"/>
        <w:numPr>
          <w:ilvl w:val="0"/>
          <w:numId w:val="1"/>
        </w:numPr>
      </w:pPr>
      <w:r>
        <w:t>Medicines and pharmaceutical manufacturing: stronger North American API, sterile-injectable, biologics, vaccine and essential-medicine manufacturing; resilient U.S. supply; emergency reserves; reduced strategic dependence on non-North-American suppliers; and protection against essential medicines becoming tariff hostages.</w:t>
      </w:r>
    </w:p>
    <w:p>
      <w:pPr>
        <w:pStyle w:val="Normal"/>
      </w:pPr>
      <w:r>
        <w:t>Gordie Howe / Detroit–Windsor: an optional corridor-reinvestment framework can direct mutually agreed revenues or equivalent appropriations to Michigan- and Ontario-side customs, trusted-freight, ITS, approach, logistics, community-mitigation and economic-development improvements without transferring Canadian toll ownership, bridge governance, or revenue entitlement.</w:t>
      </w:r>
    </w:p>
    <w:p>
      <w:pPr>
        <w:pStyle w:val="TrumpVisibilityHeadline"/>
      </w:pPr>
      <w:r>
        <w:t xml:space="preserve">★ </w:t>
      </w:r>
      <w:r>
        <w:t>NEGOTIATOR VISIBILITY INDEX: TANGIBLE CANADIAN WINS ALREADY EMBEDDED IN NAESTMA</w:t>
      </w:r>
    </w:p>
    <w:p>
      <w:pPr>
        <w:pStyle w:val="Normal"/>
      </w:pPr>
      <w:r>
        <w:t>This non-operative index is provided for rapid Canadian political and negotiating navigation. It creates no new right, concession, interpretation, or obligation; every item remains governed by the operative treaty text and any paired consideration.</w:t>
      </w:r>
    </w:p>
    <w:p>
      <w:pPr>
        <w:pStyle w:val="ListBullet"/>
        <w:numPr>
          <w:ilvl w:val="0"/>
          <w:numId w:val="1"/>
        </w:numPr>
      </w:pPr>
      <w:r>
        <w:t>Tariff security: legacy extraordinary tariffs and retaliation wind down; future extraordinary measures face nexus, evidence, proportionality, review, anti-evasion and restoration disciplines rather than open-ended unilateral escalation.</w:t>
      </w:r>
    </w:p>
    <w:p>
      <w:pPr>
        <w:pStyle w:val="ListBullet"/>
        <w:numPr>
          <w:ilvl w:val="0"/>
          <w:numId w:val="1"/>
        </w:numPr>
      </w:pPr>
      <w:r>
        <w:t>Treaty durability: CUSMA/NAESTMA continues for indefinite duration under modernization review rather than recurring renewal cliffs, protecting investment reliance and reducing periodic existential uncertainty.</w:t>
      </w:r>
    </w:p>
    <w:p>
      <w:pPr>
        <w:pStyle w:val="ListBullet"/>
        <w:numPr>
          <w:ilvl w:val="0"/>
          <w:numId w:val="1"/>
        </w:numPr>
      </w:pPr>
      <w:r>
        <w:t>Dairy: Canadian supply management remains intact while negotiated U.S. access becomes more usable and transparent; incremental access is expressly paired with reciprocal Canadian value and protected against uncompensated front-loading.</w:t>
      </w:r>
    </w:p>
    <w:p>
      <w:pPr>
        <w:pStyle w:val="ListBullet"/>
        <w:numPr>
          <w:ilvl w:val="0"/>
          <w:numId w:val="1"/>
        </w:numPr>
      </w:pPr>
      <w:r>
        <w:t>Forestry: critical-mineral and strategic-material cooperation can earn staged, durable softwood-lumber normalization without compulsory extraction, below-market supply, or surrender of Canadian resource ownership.</w:t>
      </w:r>
    </w:p>
    <w:p>
      <w:pPr>
        <w:pStyle w:val="ListBullet"/>
        <w:numPr>
          <w:ilvl w:val="0"/>
          <w:numId w:val="1"/>
        </w:numPr>
      </w:pPr>
      <w:r>
        <w:t>Critical minerals and industrialization: Canada retains resource sovereignty and the ability to prioritize domestic value-added processing while gaining midstream investment, offtake, reserve eligibility, procurement and market-stability opportunities.</w:t>
      </w:r>
    </w:p>
    <w:p>
      <w:pPr>
        <w:pStyle w:val="ListBullet"/>
        <w:numPr>
          <w:ilvl w:val="0"/>
          <w:numId w:val="1"/>
        </w:numPr>
      </w:pPr>
      <w:r>
        <w:t>Arctic and NORAD: Northern Vigilance converts Canadian defence and northern investment into continental-security value while preserving Canadian sovereignty, jurisdiction, command, basing authority, infrastructure control and Northwest Passage legal positions.</w:t>
      </w:r>
    </w:p>
    <w:p>
      <w:pPr>
        <w:pStyle w:val="ListBullet"/>
        <w:numPr>
          <w:ilvl w:val="0"/>
          <w:numId w:val="1"/>
        </w:numPr>
      </w:pPr>
      <w:r>
        <w:t>Border reciprocity: Canada receives stronger cooperation against illegal firearms, illicit finance, stolen-vehicle exports and organized-crime flows while retaining exclusive national command, privacy protection and a firewall against fentanyl becoming an automatic tariff shortcut.</w:t>
      </w:r>
    </w:p>
    <w:p>
      <w:pPr>
        <w:pStyle w:val="ListBullet"/>
        <w:numPr>
          <w:ilvl w:val="0"/>
          <w:numId w:val="1"/>
        </w:numPr>
      </w:pPr>
      <w:r>
        <w:t>Procurement: Canadian suppliers receive project-specific reciprocal access across a protected 370-opportunity portfolio without Canada accepting an economy-wide surrender to Buy American preferences or guaranteed foreign awards.</w:t>
      </w:r>
    </w:p>
    <w:p>
      <w:pPr>
        <w:pStyle w:val="ListBullet"/>
        <w:numPr>
          <w:ilvl w:val="0"/>
          <w:numId w:val="1"/>
        </w:numPr>
      </w:pPr>
      <w:r>
        <w:t>Automotive: ordinary North American origin remains trilateral; U.S.-specific manufacturing carrots are bounded, reciprocal and optional, with the three-component ceiling and strategic-component firewall protecting the Canadian automotive industrial base.</w:t>
      </w:r>
    </w:p>
    <w:p>
      <w:pPr>
        <w:pStyle w:val="ListBullet"/>
        <w:numPr>
          <w:ilvl w:val="0"/>
          <w:numId w:val="1"/>
        </w:numPr>
      </w:pPr>
      <w:r>
        <w:t>Steel and aluminum: originating Canadian metals gain a durable-normalization pathway paired with anti-transshipment, traceability, new capacity, recycling and strategic-product investment rather than permanent extraordinary tariff treatment.</w:t>
      </w:r>
    </w:p>
    <w:p>
      <w:pPr>
        <w:pStyle w:val="ListBullet"/>
        <w:numPr>
          <w:ilvl w:val="0"/>
          <w:numId w:val="1"/>
        </w:numPr>
      </w:pPr>
      <w:r>
        <w:t>Medicines: the Canadian pharmaceutical track prioritizes medical isotopes, radiopharmaceuticals, biologics, vaccines, APIs, sterile capacity, clinical research and cold-chain resilience while essential medicines receive no-tariff-hostage protection.</w:t>
      </w:r>
    </w:p>
    <w:p>
      <w:pPr>
        <w:pStyle w:val="ListBullet"/>
        <w:numPr>
          <w:ilvl w:val="0"/>
          <w:numId w:val="1"/>
        </w:numPr>
      </w:pPr>
      <w:r>
        <w:t>Energy and infrastructure: Canadian reliability, affordability, resource policy, environmental law, Indigenous and treaty rights, electricity allocation and project-approval authority remain protected while cross-border energy and infrastructure opportunities expand.</w:t>
      </w:r>
    </w:p>
    <w:p>
      <w:pPr>
        <w:pStyle w:val="ListBullet"/>
        <w:numPr>
          <w:ilvl w:val="0"/>
          <w:numId w:val="1"/>
        </w:numPr>
      </w:pPr>
      <w:r>
        <w:t>Commercial wins: Canada may operate its own verified national commercial-wins presentation using the same Chapter 64 integrity rules, allowing Canadian exports, contracts, procurement awards, investment and regional gains to be foregrounded publicly.</w:t>
      </w:r>
    </w:p>
    <w:p>
      <w:pPr>
        <w:pStyle w:val="ListBullet"/>
        <w:numPr>
          <w:ilvl w:val="0"/>
          <w:numId w:val="1"/>
        </w:numPr>
      </w:pPr>
      <w:r>
        <w:t>Labour, environment and enforcement: systemic enforcement standards are symmetrical, allegations require evidence and cure, and unrelated sectors cannot ordinarily be punished for localized or good-faith implementation problems.</w:t>
      </w:r>
    </w:p>
    <w:p>
      <w:pPr>
        <w:pStyle w:val="Normal"/>
      </w:pPr>
      <w:r>
        <w:t>Gordie Howe / Detroit–Windsor: Canada preserves bridge and toll-revenue ownership and rejects retroactive U.S. financing claims while gaining a lawful mechanism to convert mutually agreed corridor funding into faster freight, better approaches, community mitigation and reciprocal infrastructure value.</w:t>
      </w:r>
    </w:p>
    <w:p>
      <w:pPr>
        <w:pStyle w:val="TrumpVisibilityHeadline"/>
      </w:pPr>
      <w:r>
        <w:t xml:space="preserve">★ </w:t>
      </w:r>
      <w:r>
        <w:t>NEGOTIATOR VISIBILITY INDEX: TANGIBLE MEXICAN WINS ALREADY EMBEDDED IN NAESTMA</w:t>
      </w:r>
    </w:p>
    <w:p>
      <w:pPr>
        <w:pStyle w:val="Normal"/>
      </w:pPr>
      <w:r>
        <w:t>This non-operative index is provided for rapid Mexican political and negotiating navigation. It creates no new right, concession, interpretation, or obligation; every item remains governed by the operative treaty text and any paired consideration.</w:t>
      </w:r>
    </w:p>
    <w:p>
      <w:pPr>
        <w:pStyle w:val="ListBullet"/>
        <w:numPr>
          <w:ilvl w:val="0"/>
          <w:numId w:val="1"/>
        </w:numPr>
      </w:pPr>
      <w:r>
        <w:t>Tariff normalization: qualifying Mexican originating autos, parts, steel, aluminum and designated industrial goods receive an expedited route back toward ordinary preferential treatment where verified origin and security facts support normalization.</w:t>
      </w:r>
    </w:p>
    <w:p>
      <w:pPr>
        <w:pStyle w:val="ListBullet"/>
        <w:numPr>
          <w:ilvl w:val="0"/>
          <w:numId w:val="1"/>
        </w:numPr>
      </w:pPr>
      <w:r>
        <w:t>Equal-party protection: Mexico receives the same Chapter 35 anti-evasion, evidence, proportionality, cure, restoration and no-uncompensated-front-loading protections as Canada and the United States, with no presumption that Mexican trade is the default enforcement target.</w:t>
      </w:r>
    </w:p>
    <w:p>
      <w:pPr>
        <w:pStyle w:val="ListBullet"/>
        <w:numPr>
          <w:ilvl w:val="0"/>
          <w:numId w:val="1"/>
        </w:numPr>
      </w:pPr>
      <w:r>
        <w:t>Automotive parity: Mexican originating value remains fully North American; the agreement resists Party-specific relocation mandates and protects the integrated Mexican automotive base from strategic-component salami slicing.</w:t>
      </w:r>
    </w:p>
    <w:p>
      <w:pPr>
        <w:pStyle w:val="ListBullet"/>
        <w:numPr>
          <w:ilvl w:val="0"/>
          <w:numId w:val="1"/>
        </w:numPr>
      </w:pPr>
      <w:r>
        <w:t>Agriculture: Mexico is expressly treated as a full producer, consumer, exporter, importer, research partner and manufacturing base, with Mexico-specific treatment for crops, irrigation, drought, machinery, labour-intensive production, logistics and value-added processing.</w:t>
      </w:r>
    </w:p>
    <w:p>
      <w:pPr>
        <w:pStyle w:val="ListBullet"/>
        <w:numPr>
          <w:ilvl w:val="0"/>
          <w:numId w:val="1"/>
        </w:numPr>
      </w:pPr>
      <w:r>
        <w:t>Dairy: Mexico receives full procedural equality in the Dairy Stability and Market Access Framework and a pathway for Mexico-specific access, development or reciprocal opportunities rather than being treated as a residual market.</w:t>
      </w:r>
    </w:p>
    <w:p>
      <w:pPr>
        <w:pStyle w:val="ListBullet"/>
        <w:numPr>
          <w:ilvl w:val="0"/>
          <w:numId w:val="1"/>
        </w:numPr>
      </w:pPr>
      <w:r>
        <w:t>Pharmaceutical upgrading: the Mexican track supports movement from finished-dose generics toward APIs/KSMs, sterile injectables, fill-finish, biologics, vaccines, advanced manufacturing, regulatory science and higher-value R&amp;D, with equal eligibility for resilience procurement.</w:t>
      </w:r>
    </w:p>
    <w:p>
      <w:pPr>
        <w:pStyle w:val="ListBullet"/>
        <w:numPr>
          <w:ilvl w:val="0"/>
          <w:numId w:val="1"/>
        </w:numPr>
      </w:pPr>
      <w:r>
        <w:t>Critical minerals and industrial inputs: Mexico is recognized as a full strategic supplier, processor, manufacturer, recycler and investment destination, with dedicated industrial-input and specialty-mineral pathways and value-added processing opportunities.</w:t>
      </w:r>
    </w:p>
    <w:p>
      <w:pPr>
        <w:pStyle w:val="ListBullet"/>
        <w:numPr>
          <w:ilvl w:val="0"/>
          <w:numId w:val="1"/>
        </w:numPr>
      </w:pPr>
      <w:r>
        <w:t>Digital manufacturing and SMEs: Mexico receives a dedicated electronics, semiconductor, software, customs-interoperability and SME export lane designed to raise value capture rather than confine Mexico to lower-value assembly.</w:t>
      </w:r>
    </w:p>
    <w:p>
      <w:pPr>
        <w:pStyle w:val="ListBullet"/>
        <w:numPr>
          <w:ilvl w:val="0"/>
          <w:numId w:val="1"/>
        </w:numPr>
      </w:pPr>
      <w:r>
        <w:t>Forestry: Mexico receives its own forestry and wood-products integration lane while being expressly firewalled from the historic Canada-United States softwood-lumber trade-remedy dispute unless Mexico separately agrees otherwise.</w:t>
      </w:r>
    </w:p>
    <w:p>
      <w:pPr>
        <w:pStyle w:val="ListBullet"/>
        <w:numPr>
          <w:ilvl w:val="0"/>
          <w:numId w:val="1"/>
        </w:numPr>
      </w:pPr>
      <w:r>
        <w:t>Procurement: Mexican suppliers participate across the reciprocal 370-opportunity portfolio, including border, rail, ports, grid, water, industrial, digital and strategic-infrastructure opportunities, without guaranteed awards or blanket domestic-preference surrender.</w:t>
      </w:r>
    </w:p>
    <w:p>
      <w:pPr>
        <w:pStyle w:val="ListBullet"/>
        <w:numPr>
          <w:ilvl w:val="0"/>
          <w:numId w:val="1"/>
        </w:numPr>
      </w:pPr>
      <w:r>
        <w:t>Border and security reciprocity: Mexico gains stronger continental action against illegal firearms, illicit finance, stolen vehicles, precursor networks and organized crime while retaining exclusive command and operational authority over Mexican officers and territory.</w:t>
      </w:r>
    </w:p>
    <w:p>
      <w:pPr>
        <w:pStyle w:val="ListBullet"/>
        <w:numPr>
          <w:ilvl w:val="0"/>
          <w:numId w:val="1"/>
        </w:numPr>
      </w:pPr>
      <w:r>
        <w:t>Labour symmetry and dignity: facility-specific and systemic labour enforcement is framed as genuinely trilateral; Mexico-specific reform history creates no presumption of Mexican wrongdoing or weaker obligations in Canada or the United States.</w:t>
      </w:r>
    </w:p>
    <w:p>
      <w:pPr>
        <w:pStyle w:val="ListBullet"/>
        <w:numPr>
          <w:ilvl w:val="0"/>
          <w:numId w:val="1"/>
        </w:numPr>
      </w:pPr>
      <w:r>
        <w:t>Defence-industrial participation: Mexico can participate through strategic materials, electronics, cold-weather equipment, pharmaceutical supply, logistics, manufacturing, research and resilience without being artificially inserted into Canadian-U.S. Arctic operational command.</w:t>
      </w:r>
    </w:p>
    <w:p>
      <w:pPr>
        <w:pStyle w:val="ListBullet"/>
        <w:numPr>
          <w:ilvl w:val="0"/>
          <w:numId w:val="1"/>
        </w:numPr>
      </w:pPr>
      <w:r>
        <w:t>Treaty continuity and external sovereignty: bilateral disputes cannot create de facto renewal uncertainty for unrelated Mexican trade, and Mexico retains sovereign authority over non-Party trade, investment and foreign-economic relationships without another Party holding a veto.</w:t>
      </w:r>
    </w:p>
    <w:p>
      <w:pPr>
        <w:pStyle w:val="ListBullet"/>
        <w:numPr>
          <w:ilvl w:val="0"/>
          <w:numId w:val="1"/>
        </w:numPr>
      </w:pPr>
      <w:r>
        <w:t>Commercial wins: Mexico may maintain its own Chapter 64 national presentation highlighting verified exports, contracts, procurement, industrial upgrading, SMEs, regional investment and supply-chain gains using the same evidentiary standards as the U.S. and Canadian ledgers.</w:t>
      </w:r>
    </w:p>
    <w:p>
      <w:pPr>
        <w:pStyle w:val="TrumpVisibilityHeadline"/>
      </w:pPr>
      <w:r>
        <w:t xml:space="preserve">★ </w:t>
      </w:r>
      <w:r>
        <w:t>TRILATERAL SAFE CORRECTIONS AND HUMAN DIGNITY WIN</w:t>
      </w:r>
    </w:p>
    <w:p>
      <w:pPr>
        <w:pStyle w:val="Normal"/>
      </w:pPr>
      <w:r>
        <w:t>NAESTMA establishes a common North American minimum for safe and humane correctional administration without harmonizing criminal sentences or creating a continental prison authority. Prisoners retain basic protections concerning food, drinking water, healthcare, sanitation, safety, legal access, disability accommodation, family and consular contact, fair discipline, restrictive housing, and protection from abuse. Correctional officers and institutions gain stronger safety, professionalization, anti-gang, emergency, healthcare, and de-escalation architecture.</w:t>
      </w:r>
    </w:p>
    <w:p>
      <w:pPr>
        <w:pStyle w:val="Normal"/>
      </w:pPr>
      <w:r>
        <w:t>Packages CH through CK and Annexes CH-A and CH-B contain the criminal-custody and correctional-rights framework. Civil immigration detention remains principally governed by Package BS.</w:t>
      </w:r>
    </w:p>
    <w:p>
      <w:pPr>
        <w:pStyle w:val="TrumpVisibilityHeadline"/>
      </w:pPr>
      <w:r>
        <w:t>SEARCH SIGNPOST: PRISONER / PRISON / JAIL / INCARCERATION / CORRECTIONAL / CORRECTIONS / PRETRIAL / SOLITARY CONFINEMENT / PRISON LABOUR / PRISON LABOR</w:t>
      </w:r>
    </w:p>
    <w:p>
      <w:pPr>
        <w:pStyle w:val="Heading1"/>
      </w:pPr>
      <w:bookmarkStart w:id="902431" w:name="_Toc300002430"/>
      <w:r>
        <w:t>PACKAGE CH: NORTH AMERICAN CUSTODIAL DIGNITY AND SAFE CORRECTIONS FRAMEWORK</w:t>
      </w:r>
      <w:bookmarkEnd w:id="902431"/>
    </w:p>
    <w:p>
      <w:pPr>
        <w:pStyle w:val="Heading2"/>
      </w:pPr>
      <w:bookmarkStart w:id="902432" w:name="_Toc300002431"/>
      <w:r>
        <w:t>CH-1. Purpose and Character</w:t>
      </w:r>
      <w:bookmarkEnd w:id="902432"/>
    </w:p>
    <w:p>
      <w:pPr>
        <w:pStyle w:val="Normal"/>
      </w:pPr>
      <w:r>
        <w:t>1. The Parties establish a North American Custodial Dignity and Safe Corrections Framework to ensure that persons deprived of liberty remain protected by a minimum floor of human dignity, health, safety, lawful administration, and procedural fairness.</w:t>
      </w:r>
    </w:p>
    <w:p>
      <w:pPr>
        <w:pStyle w:val="Normal"/>
      </w:pPr>
      <w:r>
        <w:t>2. This Package concerns conditions and administration of custody. Except where expressly provided in the Optional Advanced Correctional Reform Annex, it does not harmonize criminal offences, sentencing ranges, parole eligibility, bail law, prison-population targets, or the constitutional allocation of criminal justice powers.</w:t>
      </w:r>
    </w:p>
    <w:p>
      <w:pPr>
        <w:pStyle w:val="Normal"/>
      </w:pPr>
      <w:r>
        <w:t>3. The Parties recognize that humane custodial administration and institutional security are mutually reinforcing. Safe staffing, professional training, adequate healthcare, effective classification, reliable infrastructure, anti-gang governance, meaningful grievance systems, and de-escalation protect correctional personnel, prisoners, visitors, and surrounding communities.</w:t>
      </w:r>
    </w:p>
    <w:p>
      <w:pPr>
        <w:pStyle w:val="Heading2"/>
      </w:pPr>
      <w:bookmarkStart w:id="902433" w:name="_Toc300002432"/>
      <w:r>
        <w:t>CH-2. Scope</w:t>
      </w:r>
      <w:bookmarkEnd w:id="902433"/>
    </w:p>
    <w:p>
      <w:pPr>
        <w:pStyle w:val="Normal"/>
      </w:pPr>
      <w:r>
        <w:t>1. The Mandatory Custodial Dignity Floor applies to persons held pursuant to criminal arrest, pretrial detention, criminal sentence, correctional transfer, or comparable penal custody under the authority or responsibility of a Party.</w:t>
      </w:r>
    </w:p>
    <w:p>
      <w:pPr>
        <w:pStyle w:val="Normal"/>
      </w:pPr>
      <w:r>
        <w:t>2. Where another Package of this Agreement provides equal or greater protection to a person held in civil immigration detention, juvenile protection custody, military detention, mental-health custody, or another specialized form of custody, the more protective rule shall govern to the extent of overlap.</w:t>
      </w:r>
    </w:p>
    <w:p>
      <w:pPr>
        <w:pStyle w:val="Normal"/>
      </w:pPr>
      <w:r>
        <w:t>3. A Party shall not avoid this Package solely by changing the legal, administrative, institutional, contractual, or geographic label attached to a custodial arrangement.</w:t>
      </w:r>
    </w:p>
    <w:p>
      <w:pPr>
        <w:pStyle w:val="Heading2"/>
      </w:pPr>
      <w:bookmarkStart w:id="902434" w:name="_Toc300002433"/>
      <w:r>
        <w:t>CH-3. Inherent Human Dignity</w:t>
      </w:r>
      <w:bookmarkEnd w:id="902434"/>
    </w:p>
    <w:p>
      <w:pPr>
        <w:pStyle w:val="Normal"/>
      </w:pPr>
      <w:r>
        <w:t>1. Lawful deprivation of liberty does not extinguish inherent human dignity.</w:t>
      </w:r>
    </w:p>
    <w:p>
      <w:pPr>
        <w:pStyle w:val="Normal"/>
      </w:pPr>
      <w:r>
        <w:t>2. No person in custody shall be subjected to torture or to cruel, inhuman, or degrading treatment or punishment.</w:t>
      </w:r>
    </w:p>
    <w:p>
      <w:pPr>
        <w:pStyle w:val="Normal"/>
      </w:pPr>
      <w:r>
        <w:t>3. Custody shall not be administered through deliberate starvation, denial of potable water, deliberate medical neglect, unnecessary exposure to dangerous temperatures, deliberate sleep deprivation, humiliating deprivation of hygiene, gratuitous violence, or comparable treatment intended principally to degrade, terrorize, coerce, or punish outside lawful disciplinary procedures.</w:t>
      </w:r>
    </w:p>
    <w:p>
      <w:pPr>
        <w:pStyle w:val="Heading2"/>
      </w:pPr>
      <w:bookmarkStart w:id="902435" w:name="_Toc300002434"/>
      <w:r>
        <w:t>CH-4. Equal Application and Non-Discrimination</w:t>
      </w:r>
      <w:bookmarkEnd w:id="902435"/>
    </w:p>
    <w:p>
      <w:pPr>
        <w:pStyle w:val="Normal"/>
      </w:pPr>
      <w:r>
        <w:t>1. The protections of this Package apply without discrimination inconsistent with the applicable law of the Party concerned.</w:t>
      </w:r>
    </w:p>
    <w:p>
      <w:pPr>
        <w:pStyle w:val="Normal"/>
      </w:pPr>
      <w:r>
        <w:t>2. Race, ethnicity, nationality, religion, language, sex, sexual orientation, gender identity, disability, Indigenous identity, political opinion, social origin, or another status protected under applicable law shall not by itself justify inferior food, healthcare, sanitation, protection, discipline, programming access, or other basic custodial treatment.</w:t>
      </w:r>
    </w:p>
    <w:p>
      <w:pPr>
        <w:pStyle w:val="Normal"/>
      </w:pPr>
      <w:r>
        <w:t>3. Paragraph 2 does not prohibit reasonable distinctions required for medical care, disability accommodation, pregnancy, age, religious observance, protective custody, classification, individualized security, or the safety of prisoners and staff.</w:t>
      </w:r>
    </w:p>
    <w:p>
      <w:pPr>
        <w:pStyle w:val="Heading2"/>
      </w:pPr>
      <w:bookmarkStart w:id="902436" w:name="_Toc300002435"/>
      <w:r>
        <w:t>CH-5. Food of Adequate Nutritional Value</w:t>
      </w:r>
      <w:bookmarkEnd w:id="902436"/>
    </w:p>
    <w:p>
      <w:pPr>
        <w:pStyle w:val="Normal"/>
      </w:pPr>
      <w:r>
        <w:t>1. Each prisoner shall receive food sufficient in nutritional value, quantity, wholesomeness, and food-safety quality to maintain health and strength.</w:t>
      </w:r>
    </w:p>
    <w:p>
      <w:pPr>
        <w:pStyle w:val="Normal"/>
      </w:pPr>
      <w:r>
        <w:t>2. Food shall be prepared, stored, transported, and served under sanitary conditions.</w:t>
      </w:r>
    </w:p>
    <w:p>
      <w:pPr>
        <w:pStyle w:val="Normal"/>
      </w:pPr>
      <w:r>
        <w:t>3. Each Party shall maintain a system of professional nutritional review appropriate to its correctional system.</w:t>
      </w:r>
    </w:p>
    <w:p>
      <w:pPr>
        <w:pStyle w:val="Normal"/>
      </w:pPr>
      <w:r>
        <w:t>4. Nothing in this Article requires identical menus, ingredients, portion formats, or national dietary systems among the Parties.</w:t>
      </w:r>
    </w:p>
    <w:p>
      <w:pPr>
        <w:pStyle w:val="Heading2"/>
      </w:pPr>
      <w:bookmarkStart w:id="902437" w:name="_Toc300002436"/>
      <w:r>
        <w:t>CH-6. Absolute Prohibition on Punitive Food and Water Deprivation</w:t>
      </w:r>
      <w:bookmarkEnd w:id="902437"/>
    </w:p>
    <w:p>
      <w:pPr>
        <w:pStyle w:val="Normal"/>
      </w:pPr>
      <w:r>
        <w:t>1. Food, potable water, medically required diets, and minimum nutritional adequacy shall not be withheld, materially reduced, deliberately degraded, rendered deliberately inedible or deliberately unpalatable, or otherwise manipulated as punishment, retaliation, coercion, behavioural control, or inducement.</w:t>
      </w:r>
    </w:p>
    <w:p>
      <w:pPr>
        <w:pStyle w:val="Normal"/>
      </w:pPr>
      <w:r>
        <w:t>2. A food product, diet, meal configuration, or delivery method prohibited by paragraph 1 does not become permissible by being renamed, reformulated, commercialized, or characterized as a security measure where its principal purpose or practical effect remains punitive deprivation or degradation.</w:t>
      </w:r>
    </w:p>
    <w:p>
      <w:pPr>
        <w:pStyle w:val="Normal"/>
      </w:pPr>
      <w:r>
        <w:t>3. Nothing in this Article prevents medically prescribed diets, temporary security controls on utensils or containers, or clinically justified dietary restrictions.</w:t>
      </w:r>
    </w:p>
    <w:p>
      <w:pPr>
        <w:pStyle w:val="Heading2"/>
      </w:pPr>
      <w:bookmarkStart w:id="902438" w:name="_Toc300002437"/>
      <w:r>
        <w:t>CH-7. Potable Water</w:t>
      </w:r>
      <w:bookmarkEnd w:id="902438"/>
    </w:p>
    <w:p>
      <w:pPr>
        <w:pStyle w:val="Normal"/>
      </w:pPr>
      <w:r>
        <w:t>1. Safe drinking water shall be reasonably available whenever needed.</w:t>
      </w:r>
    </w:p>
    <w:p>
      <w:pPr>
        <w:pStyle w:val="Normal"/>
      </w:pPr>
      <w:r>
        <w:t>2. Access shall extend to sleeping areas, ordinary housing units, work and education areas, recreation areas, healthcare settings, and restrictive-housing settings.</w:t>
      </w:r>
    </w:p>
    <w:p>
      <w:pPr>
        <w:pStyle w:val="Normal"/>
      </w:pPr>
      <w:r>
        <w:t>3. Temporary restriction of ordinary water fixtures may occur during an immediate safety emergency only if safe drinking water remains available by another reasonable means.</w:t>
      </w:r>
    </w:p>
    <w:p>
      <w:pPr>
        <w:pStyle w:val="Heading2"/>
      </w:pPr>
      <w:bookmarkStart w:id="902439" w:name="_Toc300002438"/>
      <w:r>
        <w:t>CH-8. Therapeutic, Religious, and Conscience-Based Diets</w:t>
      </w:r>
      <w:bookmarkEnd w:id="902439"/>
    </w:p>
    <w:p>
      <w:pPr>
        <w:pStyle w:val="Normal"/>
      </w:pPr>
      <w:r>
        <w:t>1. Each Party shall maintain reasonable procedures for clinically necessary therapeutic diets and medically verified food allergies.</w:t>
      </w:r>
    </w:p>
    <w:p>
      <w:pPr>
        <w:pStyle w:val="Normal"/>
      </w:pPr>
      <w:r>
        <w:t>2. Religious or conscience-based dietary accommodation shall be provided to the extent required by applicable law and reasonably practicable within legitimate institutional-security and food-safety requirements.</w:t>
      </w:r>
    </w:p>
    <w:p>
      <w:pPr>
        <w:pStyle w:val="Heading2"/>
      </w:pPr>
      <w:bookmarkStart w:id="902440" w:name="_Toc300002439"/>
      <w:r>
        <w:t>CH-9. Sanitation and Habitability</w:t>
      </w:r>
      <w:bookmarkEnd w:id="902440"/>
    </w:p>
    <w:p>
      <w:pPr>
        <w:pStyle w:val="Normal"/>
      </w:pPr>
      <w:r>
        <w:t>1. Correctional housing shall be maintained in a condition reasonably fit for human habitation.</w:t>
      </w:r>
    </w:p>
    <w:p>
      <w:pPr>
        <w:pStyle w:val="Normal"/>
      </w:pPr>
      <w:r>
        <w:t>2. Facilities shall provide adequate sanitation, waste disposal, ventilation, lighting, temperature management, pest control, and access to cleaning and personal-hygiene necessities.</w:t>
      </w:r>
    </w:p>
    <w:p>
      <w:pPr>
        <w:pStyle w:val="Normal"/>
      </w:pPr>
      <w:r>
        <w:t>3. Chronic sewage exposure, persistent vermin infestation, unsafe drinking water, dangerous indoor temperatures, or comparable systemic conditions shall constitute priority deficiencies requiring prompt remediation.</w:t>
      </w:r>
    </w:p>
    <w:p>
      <w:pPr>
        <w:pStyle w:val="Heading2"/>
      </w:pPr>
      <w:bookmarkStart w:id="902441" w:name="_Toc300002440"/>
      <w:r>
        <w:t>CH-10. Sleeping Conditions, Bedding, and Clothing</w:t>
      </w:r>
      <w:bookmarkEnd w:id="902441"/>
    </w:p>
    <w:p>
      <w:pPr>
        <w:pStyle w:val="Normal"/>
      </w:pPr>
      <w:r>
        <w:t>1. Each prisoner shall have an appropriate sleeping surface and sufficient clean bedding.</w:t>
      </w:r>
    </w:p>
    <w:p>
      <w:pPr>
        <w:pStyle w:val="Normal"/>
      </w:pPr>
      <w:r>
        <w:t>2. Bedding shall be maintained and replaced or laundered with reasonable frequency.</w:t>
      </w:r>
    </w:p>
    <w:p>
      <w:pPr>
        <w:pStyle w:val="Normal"/>
      </w:pPr>
      <w:r>
        <w:t>3. Prisoners shall receive clothing sufficient for climate, work assignment, health, and institutional conditions.</w:t>
      </w:r>
    </w:p>
    <w:p>
      <w:pPr>
        <w:pStyle w:val="Normal"/>
      </w:pPr>
      <w:r>
        <w:t>4. Custodial routines shall provide a reasonable opportunity for restorative sleep and shall not deliberately employ avoidable noise, constant illumination, extreme temperature, or repeated unnecessary interruption as punishment or coercion.</w:t>
      </w:r>
    </w:p>
    <w:p>
      <w:pPr>
        <w:pStyle w:val="Heading2"/>
      </w:pPr>
      <w:bookmarkStart w:id="902442" w:name="_Toc300002441"/>
      <w:r>
        <w:t>CH-11. Hygiene and Menstrual Health</w:t>
      </w:r>
      <w:bookmarkEnd w:id="902442"/>
    </w:p>
    <w:p>
      <w:pPr>
        <w:pStyle w:val="Normal"/>
      </w:pPr>
      <w:r>
        <w:t>1. Prisoners shall have reasonable access to toilets, bathing, handwashing, basic personal-hygiene materials, and facilities necessary to maintain ordinary cleanliness.</w:t>
      </w:r>
    </w:p>
    <w:p>
      <w:pPr>
        <w:pStyle w:val="Normal"/>
      </w:pPr>
      <w:r>
        <w:t>2. Necessary menstrual products shall be provided without punitive, discriminatory, or exploitative conditions.</w:t>
      </w:r>
    </w:p>
    <w:p>
      <w:pPr>
        <w:pStyle w:val="Heading2"/>
      </w:pPr>
      <w:bookmarkStart w:id="902443" w:name="_Toc300002442"/>
      <w:r>
        <w:t>CH-12. Healthcare Equivalence Principle</w:t>
      </w:r>
      <w:bookmarkEnd w:id="902443"/>
    </w:p>
    <w:p>
      <w:pPr>
        <w:pStyle w:val="Normal"/>
      </w:pPr>
      <w:r>
        <w:t>1. Persons in custody shall have timely access to necessary physical and mental healthcare delivered according to professionally appropriate clinical standards.</w:t>
      </w:r>
    </w:p>
    <w:p>
      <w:pPr>
        <w:pStyle w:val="Normal"/>
      </w:pPr>
      <w:r>
        <w:t>2. Clinical decisions shall be based principally on health need and professional judgment rather than disciplinary convenience.</w:t>
      </w:r>
    </w:p>
    <w:p>
      <w:pPr>
        <w:pStyle w:val="Normal"/>
      </w:pPr>
      <w:r>
        <w:t>3. Custody status, indigence, or disciplinary placement shall not justify deliberate denial of necessary medical care.</w:t>
      </w:r>
    </w:p>
    <w:p>
      <w:pPr>
        <w:pStyle w:val="Normal"/>
      </w:pPr>
      <w:r>
        <w:t>4. Nothing in this Article requires identical healthcare-delivery systems among the Parties.</w:t>
      </w:r>
    </w:p>
    <w:p>
      <w:pPr>
        <w:pStyle w:val="Heading2"/>
      </w:pPr>
      <w:bookmarkStart w:id="902444" w:name="_Toc300002443"/>
      <w:r>
        <w:t>CH-13. Emergency Medical Response</w:t>
      </w:r>
      <w:bookmarkEnd w:id="902444"/>
    </w:p>
    <w:p>
      <w:pPr>
        <w:pStyle w:val="Normal"/>
      </w:pPr>
      <w:r>
        <w:t>Each Party shall require correctional institutions to maintain reliable procedures for:</w:t>
      </w:r>
    </w:p>
    <w:p>
      <w:pPr>
        <w:pStyle w:val="Normal"/>
      </w:pPr>
      <w:r>
        <w:t>(a) recognition of medical emergencies; (b) rapid access to qualified clinical personnel; (c) emergency medication and first-response capability; (d) transfer to outside treatment where necessary; (e) continuity of relevant clinical information; and (f) appropriate post-emergency follow-up.</w:t>
      </w:r>
    </w:p>
    <w:p>
      <w:pPr>
        <w:pStyle w:val="Heading2"/>
      </w:pPr>
      <w:bookmarkStart w:id="902445" w:name="_Toc300002444"/>
      <w:r>
        <w:t>CH-14. Medication Continuity</w:t>
      </w:r>
      <w:bookmarkEnd w:id="902445"/>
    </w:p>
    <w:p>
      <w:pPr>
        <w:pStyle w:val="Normal"/>
      </w:pPr>
      <w:r>
        <w:t>1. Clinically necessary prescribed medication shall not be arbitrarily interrupted because of admission, transfer, lockdown, restrictive housing, disciplinary status, or release preparation.</w:t>
      </w:r>
    </w:p>
    <w:p>
      <w:pPr>
        <w:pStyle w:val="Normal"/>
      </w:pPr>
      <w:r>
        <w:t>2. A medically justified change in medication remains permitted.</w:t>
      </w:r>
    </w:p>
    <w:p>
      <w:pPr>
        <w:pStyle w:val="Normal"/>
      </w:pPr>
      <w:r>
        <w:t>3. Where immediate verification of a prior prescription is not possible, the institution shall use a clinically appropriate temporary assessment process rather than automatic discontinuation where interruption may create serious risk.</w:t>
      </w:r>
    </w:p>
    <w:p>
      <w:pPr>
        <w:pStyle w:val="Heading2"/>
      </w:pPr>
      <w:bookmarkStart w:id="902446" w:name="_Toc300002445"/>
      <w:r>
        <w:t>CH-15. Mental Health, Suicide Prevention, and Crisis Care</w:t>
      </w:r>
      <w:bookmarkEnd w:id="902446"/>
    </w:p>
    <w:p>
      <w:pPr>
        <w:pStyle w:val="Normal"/>
      </w:pPr>
      <w:r>
        <w:t>1. Each Party shall maintain reasonable procedures for mental-health screening at intake and thereafter where clinically indicated.</w:t>
      </w:r>
    </w:p>
    <w:p>
      <w:pPr>
        <w:pStyle w:val="Normal"/>
      </w:pPr>
      <w:r>
        <w:t>2. Correctional institutions shall maintain suicide-prevention and acute mental-health crisis procedures.</w:t>
      </w:r>
    </w:p>
    <w:p>
      <w:pPr>
        <w:pStyle w:val="Normal"/>
      </w:pPr>
      <w:r>
        <w:t>3. Serious mental illness, acute psychosis, significant cognitive impairment, or substantial suicide risk shall trigger heightened clinical review of housing, discipline, isolation, and treatment decisions.</w:t>
      </w:r>
    </w:p>
    <w:p>
      <w:pPr>
        <w:pStyle w:val="Normal"/>
      </w:pPr>
      <w:r>
        <w:t>4. Restrictive housing shall not be used as a substitute for clinically necessary mental-health treatment.</w:t>
      </w:r>
    </w:p>
    <w:p>
      <w:pPr>
        <w:pStyle w:val="Heading2"/>
      </w:pPr>
      <w:bookmarkStart w:id="902447" w:name="_Toc300002446"/>
      <w:r>
        <w:t>CH-16. Disability Accommodation</w:t>
      </w:r>
      <w:bookmarkEnd w:id="902447"/>
    </w:p>
    <w:p>
      <w:pPr>
        <w:pStyle w:val="Normal"/>
      </w:pPr>
      <w:r>
        <w:t>1. Prisoners with disabilities shall receive reasonable accommodation and meaningful access to essential custodial services.</w:t>
      </w:r>
    </w:p>
    <w:p>
      <w:pPr>
        <w:pStyle w:val="Normal"/>
      </w:pPr>
      <w:r>
        <w:t>2. Appropriate auxiliary aids, accessible communication, mobility access, accessible hygiene facilities, and reasonable program accommodation shall be provided according to need and applicable law.</w:t>
      </w:r>
    </w:p>
    <w:p>
      <w:pPr>
        <w:pStyle w:val="Normal"/>
      </w:pPr>
      <w:r>
        <w:t>3. Disability shall not be punished indirectly through avoidable denial of communication, healthcare, education, legal access, exercise, or basic hygiene.</w:t>
      </w:r>
    </w:p>
    <w:p>
      <w:pPr>
        <w:pStyle w:val="Heading2"/>
      </w:pPr>
      <w:bookmarkStart w:id="902448" w:name="_Toc300002447"/>
      <w:r>
        <w:t>CH-17. Protection from Violence, Sexual Abuse, Trafficking, and Extortion</w:t>
      </w:r>
      <w:bookmarkEnd w:id="902448"/>
    </w:p>
    <w:p>
      <w:pPr>
        <w:pStyle w:val="Normal"/>
      </w:pPr>
      <w:r>
        <w:t>1. Each Party shall take reasonable measures to protect prisoners from serious violence, sexual abuse, trafficking, coercion, extortion, predatory exploitation, and retaliation.</w:t>
      </w:r>
    </w:p>
    <w:p>
      <w:pPr>
        <w:pStyle w:val="Normal"/>
      </w:pPr>
      <w:r>
        <w:t>2. Correctional classification, intelligence, staffing, supervision, complaint mechanisms, and protective placement may be used to address identified risks.</w:t>
      </w:r>
    </w:p>
    <w:p>
      <w:pPr>
        <w:pStyle w:val="Normal"/>
      </w:pPr>
      <w:r>
        <w:t>3. Protective measures shall not deliberately impose conditions materially equivalent to punitive solitary confinement merely because the person requiring protection is vulnerable.</w:t>
      </w:r>
    </w:p>
    <w:p>
      <w:pPr>
        <w:pStyle w:val="Heading2"/>
      </w:pPr>
      <w:bookmarkStart w:id="902449" w:name="_Toc300002448"/>
      <w:r>
        <w:t>CH-18. Use of Force</w:t>
      </w:r>
      <w:bookmarkEnd w:id="902449"/>
    </w:p>
    <w:p>
      <w:pPr>
        <w:pStyle w:val="Normal"/>
      </w:pPr>
      <w:r>
        <w:t>1. Force by correctional personnel shall serve a lawful custodial purpose and shall be necessary and proportionate to the circumstances known at the time.</w:t>
      </w:r>
    </w:p>
    <w:p>
      <w:pPr>
        <w:pStyle w:val="Normal"/>
      </w:pPr>
      <w:r>
        <w:t>2. Force shall not be used for retaliation, humiliation, punishment outside authorized disciplinary processes, or to compel compliance where a materially safer reasonable alternative is readily available.</w:t>
      </w:r>
    </w:p>
    <w:p>
      <w:pPr>
        <w:pStyle w:val="Normal"/>
      </w:pPr>
      <w:r>
        <w:t>3. Significant uses of force shall be documented and subject to meaningful supervisory or independent review.</w:t>
      </w:r>
    </w:p>
    <w:p>
      <w:pPr>
        <w:pStyle w:val="Normal"/>
      </w:pPr>
      <w:r>
        <w:t>4. Nothing in this Article limits immediate lawful action reasonably necessary to prevent death, serious injury, escape, hostage taking, riot, or another imminent serious threat.</w:t>
      </w:r>
    </w:p>
    <w:p>
      <w:pPr>
        <w:pStyle w:val="Heading2"/>
      </w:pPr>
      <w:bookmarkStart w:id="902450" w:name="_Toc300002449"/>
      <w:r>
        <w:t>CH-19. Restraints</w:t>
      </w:r>
      <w:bookmarkEnd w:id="902450"/>
    </w:p>
    <w:p>
      <w:pPr>
        <w:pStyle w:val="Normal"/>
      </w:pPr>
      <w:r>
        <w:t>1. Mechanical, chemical, or physical restraints shall not be imposed as punishment.</w:t>
      </w:r>
    </w:p>
    <w:p>
      <w:pPr>
        <w:pStyle w:val="Normal"/>
      </w:pPr>
      <w:r>
        <w:t>2. Restraints shall be no more restrictive than reasonably necessary for the identified safety, transport, medical, or security purpose.</w:t>
      </w:r>
    </w:p>
    <w:p>
      <w:pPr>
        <w:pStyle w:val="Normal"/>
      </w:pPr>
      <w:r>
        <w:t>3. Extended, high-risk, or medically concerning restraint shall require documented justification, appropriate observation, and clinical review where health consequences may reasonably arise.</w:t>
      </w:r>
    </w:p>
    <w:p>
      <w:pPr>
        <w:pStyle w:val="Heading2"/>
      </w:pPr>
      <w:bookmarkStart w:id="902451" w:name="_Toc300002450"/>
      <w:r>
        <w:t>CH-20. Definition of Solitary Confinement</w:t>
      </w:r>
      <w:bookmarkEnd w:id="902451"/>
    </w:p>
    <w:p>
      <w:pPr>
        <w:pStyle w:val="Normal"/>
      </w:pPr>
      <w:r>
        <w:t>For purposes of this Package:</w:t>
      </w:r>
    </w:p>
    <w:p>
      <w:pPr>
        <w:pStyle w:val="Normal"/>
      </w:pPr>
      <w:r>
        <w:t>(a) "solitary confinement" means confinement for 22 hours or more per day without meaningful human contact; and</w:t>
      </w:r>
    </w:p>
    <w:p>
      <w:pPr>
        <w:pStyle w:val="Normal"/>
      </w:pPr>
      <w:r>
        <w:t>(b) "prolonged solitary confinement" means solitary confinement exceeding 15 consecutive days.</w:t>
      </w:r>
    </w:p>
    <w:p>
      <w:pPr>
        <w:pStyle w:val="Normal"/>
      </w:pPr>
      <w:r>
        <w:t>The determination turns on actual conditions rather than the administrative name assigned to the regime.</w:t>
      </w:r>
    </w:p>
    <w:p>
      <w:pPr>
        <w:pStyle w:val="Heading2"/>
      </w:pPr>
      <w:bookmarkStart w:id="902452" w:name="_Toc300002451"/>
      <w:r>
        <w:t>CH-21. Restrictive Housing as Exceptional Measure</w:t>
      </w:r>
      <w:bookmarkEnd w:id="902452"/>
    </w:p>
    <w:p>
      <w:pPr>
        <w:pStyle w:val="Normal"/>
      </w:pPr>
      <w:r>
        <w:t>1. Solitary confinement or materially equivalent restrictive housing shall be used only in exceptional circumstances where justified by an individualized, documented safety, security, disciplinary, or emergency basis.</w:t>
      </w:r>
    </w:p>
    <w:p>
      <w:pPr>
        <w:pStyle w:val="Normal"/>
      </w:pPr>
      <w:r>
        <w:t>2. It shall be used for the shortest period reasonably necessary and subject to regular review.</w:t>
      </w:r>
    </w:p>
    <w:p>
      <w:pPr>
        <w:pStyle w:val="Normal"/>
      </w:pPr>
      <w:r>
        <w:t>3. Isolation shall not be imposed merely because ordinary staffing, programming, or accommodation is inconvenient.</w:t>
      </w:r>
    </w:p>
    <w:p>
      <w:pPr>
        <w:pStyle w:val="Heading2"/>
      </w:pPr>
      <w:bookmarkStart w:id="902453" w:name="_Toc300002452"/>
      <w:r>
        <w:t>CH-22. Prolonged and Indefinite Solitary Confinement</w:t>
      </w:r>
      <w:bookmarkEnd w:id="902453"/>
    </w:p>
    <w:p>
      <w:pPr>
        <w:pStyle w:val="Normal"/>
      </w:pPr>
      <w:r>
        <w:t>1. Indefinite solitary confinement is prohibited.</w:t>
      </w:r>
    </w:p>
    <w:p>
      <w:pPr>
        <w:pStyle w:val="Normal"/>
      </w:pPr>
      <w:r>
        <w:t>2. Prolonged solitary confinement shall not be used as an ordinary disciplinary, administrative, protective, or classification measure.</w:t>
      </w:r>
    </w:p>
    <w:p>
      <w:pPr>
        <w:pStyle w:val="Normal"/>
      </w:pPr>
      <w:r>
        <w:t>3. A Party shall not evade paragraph 2 through serial releases and immediate replacements, repeated relabelling, nominal changes of unit, or administrative reset of the same materially continuous conditions.</w:t>
      </w:r>
    </w:p>
    <w:p>
      <w:pPr>
        <w:pStyle w:val="Normal"/>
      </w:pPr>
      <w:r>
        <w:t>4. Any extraordinary continuation asserted to be required by an immediate and serious safety emergency shall receive heightened, frequent, independent or functionally independent review and active planning toward less restrictive conditions.</w:t>
      </w:r>
    </w:p>
    <w:p>
      <w:pPr>
        <w:pStyle w:val="Heading2"/>
      </w:pPr>
      <w:bookmarkStart w:id="902454" w:name="_Toc300002453"/>
      <w:r>
        <w:t>CH-23. Restrictive-Housing Living Conditions</w:t>
      </w:r>
      <w:bookmarkEnd w:id="902454"/>
    </w:p>
    <w:p>
      <w:pPr>
        <w:pStyle w:val="Normal"/>
      </w:pPr>
      <w:r>
        <w:t>A prisoner in restrictive housing retains the protections concerning:</w:t>
      </w:r>
    </w:p>
    <w:p>
      <w:pPr>
        <w:pStyle w:val="Normal"/>
      </w:pPr>
      <w:r>
        <w:t>(a) food and potable water; (b) necessary healthcare and medication; (c) sanitation and hygiene; (d) bedding and safe temperature; (e) legal access; (f) emergency protection; (g) disability accommodation; and (h) meaningful human contact consistent with safety.</w:t>
      </w:r>
    </w:p>
    <w:p>
      <w:pPr>
        <w:pStyle w:val="Heading2"/>
      </w:pPr>
      <w:bookmarkStart w:id="902455" w:name="_Toc300002454"/>
      <w:r>
        <w:t>CH-24. Family Contact</w:t>
      </w:r>
      <w:bookmarkEnd w:id="902455"/>
    </w:p>
    <w:p>
      <w:pPr>
        <w:pStyle w:val="Normal"/>
      </w:pPr>
      <w:r>
        <w:t>1. Prisoners shall have reasonable means to maintain family and community connections through in-person visits, correspondence, telephone, secure digital communication, or comparable methods.</w:t>
      </w:r>
    </w:p>
    <w:p>
      <w:pPr>
        <w:pStyle w:val="Normal"/>
      </w:pPr>
      <w:r>
        <w:t>2. Family contact may be restricted for a legitimate and individualized security, disciplinary, victim-protection, evidentiary, or operational reason, but a restriction shall be proportionate and no broader or longer than reasonably necessary.</w:t>
      </w:r>
    </w:p>
    <w:p>
      <w:pPr>
        <w:pStyle w:val="Normal"/>
      </w:pPr>
      <w:r>
        <w:t>3. Complete prohibition of family contact shall not be used as a routine disciplinary sanction.</w:t>
      </w:r>
    </w:p>
    <w:p>
      <w:pPr>
        <w:pStyle w:val="Heading2"/>
      </w:pPr>
      <w:bookmarkStart w:id="902456" w:name="_Toc300002455"/>
      <w:r>
        <w:t>CH-25. Children and Family Relationships</w:t>
      </w:r>
      <w:bookmarkEnd w:id="902456"/>
    </w:p>
    <w:p>
      <w:pPr>
        <w:pStyle w:val="Normal"/>
      </w:pPr>
      <w:r>
        <w:t>1. Where a prisoner has a lawful parental or caregiving relationship, custody administration should facilitate safe and appropriate continuing contact when consistent with the interests and safety of the child.</w:t>
      </w:r>
    </w:p>
    <w:p>
      <w:pPr>
        <w:pStyle w:val="Normal"/>
      </w:pPr>
      <w:r>
        <w:t>2. The Parties should encourage child-sensitive visiting procedures and reasonable family-reunification programming.</w:t>
      </w:r>
    </w:p>
    <w:p>
      <w:pPr>
        <w:pStyle w:val="Normal"/>
      </w:pPr>
      <w:r>
        <w:t>3. This Article creates no custody or access entitlement contrary to family, child-protection, victim-protection, or judicial orders.</w:t>
      </w:r>
    </w:p>
    <w:p>
      <w:pPr>
        <w:pStyle w:val="Heading2"/>
      </w:pPr>
      <w:bookmarkStart w:id="902457" w:name="_Toc300002456"/>
      <w:r>
        <w:t>CH-26. Legal Counsel and Privileged Communication</w:t>
      </w:r>
      <w:bookmarkEnd w:id="902457"/>
    </w:p>
    <w:p>
      <w:pPr>
        <w:pStyle w:val="Normal"/>
      </w:pPr>
      <w:r>
        <w:t>1. Prisoners shall have meaningful access to legal counsel as provided by applicable law.</w:t>
      </w:r>
    </w:p>
    <w:p>
      <w:pPr>
        <w:pStyle w:val="Normal"/>
      </w:pPr>
      <w:r>
        <w:t>2. Legally privileged communications shall receive appropriate confidentiality.</w:t>
      </w:r>
    </w:p>
    <w:p>
      <w:pPr>
        <w:pStyle w:val="Normal"/>
      </w:pPr>
      <w:r>
        <w:t>3. Security screening of correspondence or communication shall be designed so far as reasonably possible to preserve applicable privilege.</w:t>
      </w:r>
    </w:p>
    <w:p>
      <w:pPr>
        <w:pStyle w:val="Heading2"/>
      </w:pPr>
      <w:bookmarkStart w:id="902458" w:name="_Toc300002457"/>
      <w:r>
        <w:t>CH-27. Legal Information</w:t>
      </w:r>
      <w:bookmarkEnd w:id="902458"/>
    </w:p>
    <w:p>
      <w:pPr>
        <w:pStyle w:val="Normal"/>
      </w:pPr>
      <w:r>
        <w:t>A correctional institution shall provide a reasonable means for prisoners to obtain legal information necessary to pursue available judicial, administrative, disciplinary, sentence-administration, or conditions-of- confinement remedies.</w:t>
      </w:r>
    </w:p>
    <w:p>
      <w:pPr>
        <w:pStyle w:val="Heading2"/>
      </w:pPr>
      <w:bookmarkStart w:id="902459" w:name="_Toc300002458"/>
      <w:r>
        <w:t>CH-28. Disciplinary Fairness</w:t>
      </w:r>
      <w:bookmarkEnd w:id="902459"/>
    </w:p>
    <w:p>
      <w:pPr>
        <w:pStyle w:val="Normal"/>
      </w:pPr>
      <w:r>
        <w:t>Where prison discipline may result in a materially adverse sanction, applicable procedures shall provide:</w:t>
      </w:r>
    </w:p>
    <w:p>
      <w:pPr>
        <w:pStyle w:val="Normal"/>
      </w:pPr>
      <w:r>
        <w:t>(a) understandable notice of the allegation; (b) a meaningful opportunity to respond; (c) a decision by an authorized and appropriately impartial decision-maker; (d) written reasons where required by domestic law or where necessary for meaningful review; and (e) access to available internal, administrative, or judicial review.</w:t>
      </w:r>
    </w:p>
    <w:p>
      <w:pPr>
        <w:pStyle w:val="Heading2"/>
      </w:pPr>
      <w:bookmarkStart w:id="902460" w:name="_Toc300002459"/>
      <w:r>
        <w:t>CH-29. Complaint, Whistleblower, and Anti-Retaliation Protection</w:t>
      </w:r>
      <w:bookmarkEnd w:id="902460"/>
    </w:p>
    <w:p>
      <w:pPr>
        <w:pStyle w:val="Normal"/>
      </w:pPr>
      <w:r>
        <w:t>1. Prisoners shall have access to a usable complaint or grievance procedure.</w:t>
      </w:r>
    </w:p>
    <w:p>
      <w:pPr>
        <w:pStyle w:val="Normal"/>
      </w:pPr>
      <w:r>
        <w:t>2. Good-faith complaints concerning abuse, healthcare, food, water, sanitation, discrimination, disability, safety, corruption, extortion, sexual misconduct, or staff misconduct shall not result in unlawful retaliation.</w:t>
      </w:r>
    </w:p>
    <w:p>
      <w:pPr>
        <w:pStyle w:val="Normal"/>
      </w:pPr>
      <w:r>
        <w:t>3. Confidential reporting channels should be available for serious allegations where practicable.</w:t>
      </w:r>
    </w:p>
    <w:p>
      <w:pPr>
        <w:pStyle w:val="Heading2"/>
      </w:pPr>
      <w:bookmarkStart w:id="902461" w:name="_Toc300002460"/>
      <w:r>
        <w:t>CH-30. Independent Inspection and Oversight</w:t>
      </w:r>
      <w:bookmarkEnd w:id="902461"/>
    </w:p>
    <w:p>
      <w:pPr>
        <w:pStyle w:val="Normal"/>
      </w:pPr>
      <w:r>
        <w:t>1. Each Party shall maintain meaningful external or functionally independent oversight of correctional conditions.</w:t>
      </w:r>
    </w:p>
    <w:p>
      <w:pPr>
        <w:pStyle w:val="Normal"/>
      </w:pPr>
      <w:r>
        <w:t>2. Oversight shall have sufficient authority, access, expertise, and institutional independence to identify serious systemic deficiencies.</w:t>
      </w:r>
    </w:p>
    <w:p>
      <w:pPr>
        <w:pStyle w:val="Normal"/>
      </w:pPr>
      <w:r>
        <w:t>3. Unannounced inspections should be available where authorized by domestic law or another equally effective inspection mechanism shall be maintained.</w:t>
      </w:r>
    </w:p>
    <w:p>
      <w:pPr>
        <w:pStyle w:val="Normal"/>
      </w:pPr>
      <w:r>
        <w:t>4. Oversight mechanisms shall respect privacy, privilege, legitimate institutional-security requirements, and protection of confidential sources.</w:t>
      </w:r>
    </w:p>
    <w:p>
      <w:pPr>
        <w:pStyle w:val="Heading2"/>
      </w:pPr>
      <w:bookmarkStart w:id="902462" w:name="_Toc300002461"/>
      <w:r>
        <w:t>CH-31. Deaths, Serious Injuries, and Grave Incidents</w:t>
      </w:r>
      <w:bookmarkEnd w:id="902462"/>
    </w:p>
    <w:p>
      <w:pPr>
        <w:pStyle w:val="Normal"/>
      </w:pPr>
      <w:r>
        <w:t>1. Deaths in custody, suicides, serious injuries, major medical emergencies, credible allegations of torture or sexual abuse, and comparable grave incidents shall be documented.</w:t>
      </w:r>
    </w:p>
    <w:p>
      <w:pPr>
        <w:pStyle w:val="Normal"/>
      </w:pPr>
      <w:r>
        <w:t>2. Deaths in custody and other designated grave incidents shall receive meaningful independent or external review.</w:t>
      </w:r>
    </w:p>
    <w:p>
      <w:pPr>
        <w:pStyle w:val="Normal"/>
      </w:pPr>
      <w:r>
        <w:t>3. Privacy-protective aggregate public reporting shall be maintained sufficient to identify systemic patterns.</w:t>
      </w:r>
    </w:p>
    <w:p>
      <w:pPr>
        <w:pStyle w:val="Heading2"/>
      </w:pPr>
      <w:bookmarkStart w:id="902463" w:name="_Toc300002462"/>
      <w:r>
        <w:t>CH-32. Fire, Disaster, and Emergency Preparedness</w:t>
      </w:r>
      <w:bookmarkEnd w:id="902463"/>
    </w:p>
    <w:p>
      <w:pPr>
        <w:pStyle w:val="Normal"/>
      </w:pPr>
      <w:r>
        <w:t>1. Correctional facilities shall maintain adequate fire detection and suppression, evacuation capability, emergency medical planning, and disaster procedures.</w:t>
      </w:r>
    </w:p>
    <w:p>
      <w:pPr>
        <w:pStyle w:val="Normal"/>
      </w:pPr>
      <w:r>
        <w:t>2. Emergency planning shall recognize that prisoners cannot freely evacuate or secure food, medicine, shelter, water, or communication independently.</w:t>
      </w:r>
    </w:p>
    <w:p>
      <w:pPr>
        <w:pStyle w:val="Normal"/>
      </w:pPr>
      <w:r>
        <w:t>3. A disaster, wildfire, flood, extreme-weather event, power failure, civil emergency, or institutional disturbance shall not justify abandonment of basic life-safety obligations.</w:t>
      </w:r>
    </w:p>
    <w:p>
      <w:pPr>
        <w:pStyle w:val="Heading2"/>
      </w:pPr>
      <w:bookmarkStart w:id="902464" w:name="_Toc300002463"/>
      <w:r>
        <w:t>CH-33. Religion, Culture, and Language</w:t>
      </w:r>
      <w:bookmarkEnd w:id="902464"/>
    </w:p>
    <w:p>
      <w:pPr>
        <w:pStyle w:val="Normal"/>
      </w:pPr>
      <w:r>
        <w:t>1. Reasonable religious and spiritual practice shall be accommodated consistent with lawful security and equality requirements.</w:t>
      </w:r>
    </w:p>
    <w:p>
      <w:pPr>
        <w:pStyle w:val="Normal"/>
      </w:pPr>
      <w:r>
        <w:t>2. Material legal, disciplinary, and medical information shall be communicated in a form the person can reasonably understand, including interpretation or accessible communication where required.</w:t>
      </w:r>
    </w:p>
    <w:p>
      <w:pPr>
        <w:pStyle w:val="Normal"/>
      </w:pPr>
      <w:r>
        <w:t>3. Applicable Indigenous cultural, spiritual, language, and treaty rights remain protected under domestic law and other provisions of this Agreement.</w:t>
      </w:r>
    </w:p>
    <w:p>
      <w:pPr>
        <w:pStyle w:val="Heading2"/>
      </w:pPr>
      <w:bookmarkStart w:id="902465" w:name="_Toc300002464"/>
      <w:r>
        <w:t>CH-34. Private Contractors and Outsourced Custody</w:t>
      </w:r>
      <w:bookmarkEnd w:id="902465"/>
    </w:p>
    <w:p>
      <w:pPr>
        <w:pStyle w:val="Normal"/>
      </w:pPr>
      <w:r>
        <w:t>1. A Party shall not avoid responsibility under this Package by delegating custody, healthcare, food service, transport, security, or another correctional function to a private contractor, subnational authority, public corporation, foreign partner, or other intermediary.</w:t>
      </w:r>
    </w:p>
    <w:p>
      <w:pPr>
        <w:pStyle w:val="Normal"/>
      </w:pPr>
      <w:r>
        <w:t>2. Contracts involving custodial functions shall preserve effective governmental oversight and accountability.</w:t>
      </w:r>
    </w:p>
    <w:p>
      <w:pPr>
        <w:pStyle w:val="Heading2"/>
      </w:pPr>
      <w:bookmarkStart w:id="902466" w:name="_Toc300002465"/>
      <w:r>
        <w:t>CH-35. Transfer and Relabelling Firewall</w:t>
      </w:r>
      <w:bookmarkEnd w:id="902466"/>
    </w:p>
    <w:p>
      <w:pPr>
        <w:pStyle w:val="Normal"/>
      </w:pPr>
      <w:r>
        <w:t>1. A Party shall not transfer a person principally for the purpose of evading this Package.</w:t>
      </w:r>
    </w:p>
    <w:p>
      <w:pPr>
        <w:pStyle w:val="Normal"/>
      </w:pPr>
      <w:r>
        <w:t>2. Transfer to another institution, jurisdiction, contractor, immigration facility, medical unit, military site, protective unit, or other custodial setting shall not extinguish applicable protections where the sending Party retains responsibility under domestic or international law.</w:t>
      </w:r>
    </w:p>
    <w:p>
      <w:pPr>
        <w:pStyle w:val="Normal"/>
      </w:pPr>
      <w:r>
        <w:t>3. Functional conditions govern over labels.</w:t>
      </w:r>
    </w:p>
    <w:p>
      <w:pPr>
        <w:pStyle w:val="Heading2"/>
      </w:pPr>
      <w:bookmarkStart w:id="902467" w:name="_Toc300002466"/>
      <w:r>
        <w:t>CH-36. Pretrial and Unconvicted Persons</w:t>
      </w:r>
      <w:bookmarkEnd w:id="902467"/>
    </w:p>
    <w:p>
      <w:pPr>
        <w:pStyle w:val="Normal"/>
      </w:pPr>
      <w:r>
        <w:t>1. The Mandatory Custodial Dignity Floor applies equally to persons detained before conviction.</w:t>
      </w:r>
    </w:p>
    <w:p>
      <w:pPr>
        <w:pStyle w:val="Normal"/>
      </w:pPr>
      <w:r>
        <w:t>2. Nothing in this Package authorizes punitive treatment of an unconvicted person merely because release has not been granted.</w:t>
      </w:r>
    </w:p>
    <w:p>
      <w:pPr>
        <w:pStyle w:val="Normal"/>
      </w:pPr>
      <w:r>
        <w:t>3. The Parties shall preserve distinctions between pretrial administration and punishment required by their respective constitutional and legal systems.</w:t>
      </w:r>
    </w:p>
    <w:p>
      <w:pPr>
        <w:pStyle w:val="Heading2"/>
      </w:pPr>
      <w:bookmarkStart w:id="902468" w:name="_Toc300002467"/>
      <w:r>
        <w:t>CH-37. Correctional Staff Safety and Dignity</w:t>
      </w:r>
      <w:bookmarkEnd w:id="902468"/>
    </w:p>
    <w:p>
      <w:pPr>
        <w:pStyle w:val="Normal"/>
      </w:pPr>
      <w:r>
        <w:t>1. The Parties recognize correctional personnel as beneficiaries of a safe, professional corrections framework.</w:t>
      </w:r>
    </w:p>
    <w:p>
      <w:pPr>
        <w:pStyle w:val="Normal"/>
      </w:pPr>
      <w:r>
        <w:t>2. Implementation shall support adequate training, emergency preparedness, appropriate protective equipment, de-escalation capability, violence prevention, mental-health awareness, professional integrity, and reasonable staff wellness.</w:t>
      </w:r>
    </w:p>
    <w:p>
      <w:pPr>
        <w:pStyle w:val="Normal"/>
      </w:pPr>
      <w:r>
        <w:t>3. Nothing in this Package requires an officer to expose the officer, another employee, a prisoner, or the public to an imminent serious threat in order to comply with a procedural preference.</w:t>
      </w:r>
    </w:p>
    <w:p>
      <w:pPr>
        <w:pStyle w:val="Heading2"/>
      </w:pPr>
      <w:bookmarkStart w:id="902469" w:name="_Toc300002468"/>
      <w:r>
        <w:t>CH-38. Emergency Safety Authority</w:t>
      </w:r>
      <w:bookmarkEnd w:id="902469"/>
    </w:p>
    <w:p>
      <w:pPr>
        <w:pStyle w:val="Normal"/>
      </w:pPr>
      <w:r>
        <w:t>1. Nothing in this Package prevents temporary measures reasonably necessary to respond to riot, hostage taking, active violence, escape, fire, natural disaster, infrastructure failure, serious infectious-disease event, or another genuine emergency.</w:t>
      </w:r>
    </w:p>
    <w:p>
      <w:pPr>
        <w:pStyle w:val="Normal"/>
      </w:pPr>
      <w:r>
        <w:t>2. Emergency measures shall be proportionate to the threat and shall not become a pretext for indefinite suspension of the Mandatory Custodial Dignity Floor.</w:t>
      </w:r>
    </w:p>
    <w:p>
      <w:pPr>
        <w:pStyle w:val="Normal"/>
      </w:pPr>
      <w:r>
        <w:t>3. Food, potable water, necessary emergency healthcare, protection against torture, and essential life-safety obligations remain non-derogable.</w:t>
      </w:r>
    </w:p>
    <w:p>
      <w:pPr>
        <w:pStyle w:val="Heading2"/>
      </w:pPr>
      <w:bookmarkStart w:id="902470" w:name="_Toc300002469"/>
      <w:r>
        <w:t>CH-39. Emergency Sunset and Restoration</w:t>
      </w:r>
      <w:bookmarkEnd w:id="902470"/>
    </w:p>
    <w:p>
      <w:pPr>
        <w:pStyle w:val="Normal"/>
      </w:pPr>
      <w:r>
        <w:t>A material emergency restriction affecting ordinary conditions shall include, where practicable:</w:t>
      </w:r>
    </w:p>
    <w:p>
      <w:pPr>
        <w:pStyle w:val="Normal"/>
      </w:pPr>
      <w:r>
        <w:t>(a) the factual basis for activation; (b) the authority responsible; (c) periodic review; (d) criteria for termination or relaxation; (e) restoration of ordinary services and conditions when the emergency ends; and (f) documentation sufficient for later oversight.</w:t>
      </w:r>
    </w:p>
    <w:p>
      <w:pPr>
        <w:pStyle w:val="Heading2"/>
      </w:pPr>
      <w:bookmarkStart w:id="902471" w:name="_Toc300002470"/>
      <w:r>
        <w:t>CH-40. Federalism and Constitutional Implementation</w:t>
      </w:r>
      <w:bookmarkEnd w:id="902471"/>
    </w:p>
    <w:p>
      <w:pPr>
        <w:pStyle w:val="Normal"/>
      </w:pPr>
      <w:r>
        <w:t>1. Each Party shall implement this Package through measures available under its constitutional system.</w:t>
      </w:r>
    </w:p>
    <w:p>
      <w:pPr>
        <w:pStyle w:val="Normal"/>
      </w:pPr>
      <w:r>
        <w:t>2. Nothing in this Package alters the internal constitutional distribution of legislative, executive, judicial, federal, state, provincial, territorial, local, Indigenous, or other governmental authority.</w:t>
      </w:r>
    </w:p>
    <w:p>
      <w:pPr>
        <w:pStyle w:val="Normal"/>
      </w:pPr>
      <w:r>
        <w:t>3. Where implementation requires action by a subnational authority, the Party shall use constitutionally available means, including legislation, funding, agreements, incentives, reporting, intergovernmental coordination, or other lawful mechanisms appropriate to its system.</w:t>
      </w:r>
    </w:p>
    <w:p>
      <w:pPr>
        <w:pStyle w:val="Normal"/>
      </w:pPr>
      <w:r>
        <w:t>4. A Party shall not be deemed in breach merely because its internal legal structure differs from that of another Party.</w:t>
      </w:r>
    </w:p>
    <w:p>
      <w:pPr>
        <w:pStyle w:val="Heading2"/>
      </w:pPr>
      <w:bookmarkStart w:id="902472" w:name="_Toc300002471"/>
      <w:r>
        <w:t>CH-41. Higher Domestic Protection Preserved</w:t>
      </w:r>
      <w:bookmarkEnd w:id="902472"/>
    </w:p>
    <w:p>
      <w:pPr>
        <w:pStyle w:val="Normal"/>
      </w:pPr>
      <w:r>
        <w:t>Nothing in this Package prevents a Party or subnational government from maintaining or adopting protections more favourable to prisoners, staff, families, victims, or institutional safety.</w:t>
      </w:r>
    </w:p>
    <w:p>
      <w:pPr>
        <w:pStyle w:val="Heading2"/>
      </w:pPr>
      <w:bookmarkStart w:id="902473" w:name="_Toc300002472"/>
      <w:r>
        <w:t>CH-42. No Private Right Created Solely by NAESTMA</w:t>
      </w:r>
      <w:bookmarkEnd w:id="902473"/>
    </w:p>
    <w:p>
      <w:pPr>
        <w:pStyle w:val="Normal"/>
      </w:pPr>
      <w:r>
        <w:t>Unless expressly implemented through domestic law, this Package does not by itself create a private cause of action, damages remedy, criminal defence, sentence-reduction entitlement, parole entitlement, or basis for release.</w:t>
      </w:r>
    </w:p>
    <w:p>
      <w:pPr>
        <w:pStyle w:val="Normal"/>
      </w:pPr>
      <w:r>
        <w:t>Nothing in this Article diminishes a remedy independently available under domestic constitutional, statutory, administrative, or international law.</w:t>
      </w:r>
    </w:p>
    <w:p>
      <w:pPr>
        <w:pStyle w:val="Heading2"/>
      </w:pPr>
      <w:bookmarkStart w:id="902474" w:name="_Toc300002473"/>
      <w:r>
        <w:t>CH-43. Human Rights Cannot Be Trade Collateral</w:t>
      </w:r>
      <w:bookmarkEnd w:id="902474"/>
    </w:p>
    <w:p>
      <w:pPr>
        <w:pStyle w:val="Normal"/>
      </w:pPr>
      <w:r>
        <w:t>1. Food, potable water, necessary healthcare, protection from torture or abuse, legal access, basic sanitation, disability accommodation, and other fundamental protections under the Mandatory Custodial Dignity Floor shall not be suspended, reduced, delayed, or traded away as retaliation, compensation, economic leverage, tariff consideration, procurement leverage, or a No-Uncompensated-Front-Loading step-back.</w:t>
      </w:r>
    </w:p>
    <w:p>
      <w:pPr>
        <w:pStyle w:val="Normal"/>
      </w:pPr>
      <w:r>
        <w:t>2. No Party shall demand degradation of an individual prisoner's treatment as consideration for an unrelated commercial or security concession.</w:t>
      </w:r>
    </w:p>
    <w:p>
      <w:pPr>
        <w:pStyle w:val="Heading2"/>
      </w:pPr>
      <w:bookmarkStart w:id="902475" w:name="_Toc300002474"/>
      <w:r>
        <w:t>CH-44. Systemic-Failure Threshold for Intergovernmental Enforcement</w:t>
      </w:r>
      <w:bookmarkEnd w:id="902475"/>
    </w:p>
    <w:p>
      <w:pPr>
        <w:pStyle w:val="Normal"/>
      </w:pPr>
      <w:r>
        <w:t>1. The Parties recognize that large correctional systems inevitably experience individual operational failures, misconduct allegations, medical disputes, and facility-level incidents.</w:t>
      </w:r>
    </w:p>
    <w:p>
      <w:pPr>
        <w:pStyle w:val="Normal"/>
      </w:pPr>
      <w:r>
        <w:t>2. Intergovernmental compliance action under this Agreement should focus on a serious, persistent, deliberate, or systemic failure to maintain the Mandatory Custodial Dignity Floor, or a credible refusal to investigate and cure a grave violation.</w:t>
      </w:r>
    </w:p>
    <w:p>
      <w:pPr>
        <w:pStyle w:val="Normal"/>
      </w:pPr>
      <w:r>
        <w:t>3. An isolated incident that is promptly investigated and reasonably remedied shall not ordinarily establish Party-level non-compliance.</w:t>
      </w:r>
    </w:p>
    <w:p>
      <w:pPr>
        <w:pStyle w:val="Heading2"/>
      </w:pPr>
      <w:bookmarkStart w:id="902476" w:name="_Toc300002475"/>
      <w:r>
        <w:t>CH-45. Cure Before Economic Consequence</w:t>
      </w:r>
      <w:bookmarkEnd w:id="902476"/>
    </w:p>
    <w:p>
      <w:pPr>
        <w:pStyle w:val="Normal"/>
      </w:pPr>
      <w:r>
        <w:t>1. Except in a grave-abuse case, a concern under this Package shall first proceed through notice, evidence exchange, consultation, and a reasonable cure period.</w:t>
      </w:r>
    </w:p>
    <w:p>
      <w:pPr>
        <w:pStyle w:val="Normal"/>
      </w:pPr>
      <w:r>
        <w:t>2. Corrective action may include investigation, emergency remediation, policy change, staff discipline, medical intervention, facility repair, monitoring, or another measure reasonably tailored to the deficiency.</w:t>
      </w:r>
    </w:p>
    <w:p>
      <w:pPr>
        <w:pStyle w:val="Normal"/>
      </w:pPr>
      <w:r>
        <w:t>3. General tariffs, unrelated border restrictions, or punishment of unrelated industries shall not constitute the ordinary remedy for a correctional conditions dispute.</w:t>
      </w:r>
    </w:p>
    <w:p>
      <w:pPr>
        <w:pStyle w:val="Heading2"/>
      </w:pPr>
      <w:bookmarkStart w:id="902477" w:name="_Toc300002476"/>
      <w:r>
        <w:t>CH-46. Grave-Abuse Accelerator</w:t>
      </w:r>
      <w:bookmarkEnd w:id="902477"/>
    </w:p>
    <w:p>
      <w:pPr>
        <w:pStyle w:val="Normal"/>
      </w:pPr>
      <w:r>
        <w:t>Where credible evidence indicates torture, disappearance, deliberate starvation, deliberate denial of life-saving medical care, systematic sexual abuse, trafficking, unlawful killing, or another comparably grave abuse, expedited consultation and independent fact review may begin without exhaustion of the ordinary cure period.</w:t>
      </w:r>
    </w:p>
    <w:p>
      <w:pPr>
        <w:pStyle w:val="Normal"/>
      </w:pPr>
      <w:r>
        <w:t>The response shall remain targeted to correction, accountability, transparency, and protection of affected persons rather than unrelated commercial punishment.</w:t>
      </w:r>
    </w:p>
    <w:p>
      <w:pPr>
        <w:pStyle w:val="Heading2"/>
      </w:pPr>
      <w:bookmarkStart w:id="902478" w:name="_Toc300002477"/>
      <w:r>
        <w:t>CH-47. Data, Reporting, and Privacy</w:t>
      </w:r>
      <w:bookmarkEnd w:id="902478"/>
    </w:p>
    <w:p>
      <w:pPr>
        <w:pStyle w:val="Normal"/>
      </w:pPr>
      <w:r>
        <w:t>1. The Parties should maintain comparable aggregate data, to the extent practicable, concerning custodial deaths, serious injuries, restrictive housing, major uses of force, healthcare access, complaints, and other agreed systemic indicators.</w:t>
      </w:r>
    </w:p>
    <w:p>
      <w:pPr>
        <w:pStyle w:val="Normal"/>
      </w:pPr>
      <w:r>
        <w:t>2. Data sharing under this Package shall protect medical confidentiality, attorney-client privilege, victim information, security-sensitive information, and personal privacy.</w:t>
      </w:r>
    </w:p>
    <w:p>
      <w:pPr>
        <w:pStyle w:val="Normal"/>
      </w:pPr>
      <w:r>
        <w:t>3. Nothing requires publication of information that would identify a vulnerable prisoner or compromise an active investigation, subject to applicable law.</w:t>
      </w:r>
    </w:p>
    <w:p>
      <w:pPr>
        <w:pStyle w:val="Heading2"/>
      </w:pPr>
      <w:bookmarkStart w:id="902479" w:name="_Toc300002478"/>
      <w:r>
        <w:t>CH-48. No New Supranational Prison Authority</w:t>
      </w:r>
      <w:bookmarkEnd w:id="902479"/>
    </w:p>
    <w:p>
      <w:pPr>
        <w:pStyle w:val="Normal"/>
      </w:pPr>
      <w:r>
        <w:t>1. This Package does not establish a North American prison service, supranational corrections agency, cross-border prison inspectorate, or foreign command authority.</w:t>
      </w:r>
    </w:p>
    <w:p>
      <w:pPr>
        <w:pStyle w:val="Normal"/>
      </w:pPr>
      <w:r>
        <w:t>2. Implementation shall rely principally on domestic correctional, ombudsperson, inspector-general, judicial, public-health, human-rights, and other competent authorities, with Secretariat coordination where useful.</w:t>
      </w:r>
    </w:p>
    <w:p>
      <w:pPr>
        <w:pStyle w:val="Normal"/>
      </w:pPr>
      <w:r>
        <w:t>3. No officer or inspector of one Party acquires coercive authority inside a facility of another Party solely by reason of this Agreement.</w:t>
      </w:r>
    </w:p>
    <w:p>
      <w:pPr>
        <w:pStyle w:val="Heading1"/>
      </w:pPr>
      <w:bookmarkStart w:id="902480" w:name="_Toc300002479"/>
      <w:r>
        <w:t>PACKAGE CI: FLEXIBLE SAFE-CORRECTIONS IMPLEMENTATION STANDARDS</w:t>
      </w:r>
      <w:bookmarkEnd w:id="902480"/>
    </w:p>
    <w:p>
      <w:pPr>
        <w:pStyle w:val="Heading2"/>
      </w:pPr>
      <w:bookmarkStart w:id="902481" w:name="_Toc300002480"/>
      <w:r>
        <w:t>CI-1. Governing Principle</w:t>
      </w:r>
      <w:bookmarkEnd w:id="902481"/>
    </w:p>
    <w:p>
      <w:pPr>
        <w:pStyle w:val="Normal"/>
      </w:pPr>
      <w:r>
        <w:t>The standards in this Package are common implementation objectives. A Party retains discretion concerning institutional design, technology, staffing model, service provider, delivery mechanism, budget structure, and sequence of implementation, provided that the objective is pursued in good faith and the Mandatory Custodial Dignity Floor remains satisfied.</w:t>
      </w:r>
    </w:p>
    <w:p>
      <w:pPr>
        <w:pStyle w:val="Heading2"/>
      </w:pPr>
      <w:bookmarkStart w:id="902482" w:name="_Toc300002481"/>
      <w:r>
        <w:t>CI-2. Nutritional Governance</w:t>
      </w:r>
      <w:bookmarkEnd w:id="902482"/>
    </w:p>
    <w:p>
      <w:pPr>
        <w:pStyle w:val="Normal"/>
      </w:pPr>
      <w:r>
        <w:t>Each Party should maintain professional dietetic or nutritional oversight, periodic menu assessment, food-safety controls, and a credible process for identifying chronic nutritional or food-quality failures.</w:t>
      </w:r>
    </w:p>
    <w:p>
      <w:pPr>
        <w:pStyle w:val="Normal"/>
      </w:pPr>
      <w:r>
        <w:t>No Party is required to adopt an identical menu cycle, minimum number of menu choices, national cuisine, fish frequency, red-meat ceiling, dessert formula, or other prescriptive menu rule.</w:t>
      </w:r>
    </w:p>
    <w:p>
      <w:pPr>
        <w:pStyle w:val="Heading2"/>
      </w:pPr>
      <w:bookmarkStart w:id="902483" w:name="_Toc300002482"/>
      <w:r>
        <w:t>CI-3. Specialist Healthcare and Telemedicine</w:t>
      </w:r>
      <w:bookmarkEnd w:id="902483"/>
    </w:p>
    <w:p>
      <w:pPr>
        <w:pStyle w:val="Normal"/>
      </w:pPr>
      <w:r>
        <w:t>Correctional systems should use on-site specialists, referral networks, telemedicine, secure transport, regional clinical hubs, or another effective method to obtain necessary specialist care without unreasonable delay.</w:t>
      </w:r>
    </w:p>
    <w:p>
      <w:pPr>
        <w:pStyle w:val="Heading2"/>
      </w:pPr>
      <w:bookmarkStart w:id="902484" w:name="_Toc300002483"/>
      <w:r>
        <w:t>CI-4. Addiction Treatment and Overdose Prevention</w:t>
      </w:r>
      <w:bookmarkEnd w:id="902484"/>
    </w:p>
    <w:p>
      <w:pPr>
        <w:pStyle w:val="Normal"/>
      </w:pPr>
      <w:r>
        <w:t>The Parties should provide evidence-based substance-use treatment and clinically appropriate overdose-response capability, including medication- assisted treatment where lawful and medically indicated, counseling, relapse prevention, recovery support, and continuity planning.</w:t>
      </w:r>
    </w:p>
    <w:p>
      <w:pPr>
        <w:pStyle w:val="Heading2"/>
      </w:pPr>
      <w:bookmarkStart w:id="902485" w:name="_Toc300002484"/>
      <w:r>
        <w:t>CI-5. Hospice, Palliative, Geriatric, and Complex Care</w:t>
      </w:r>
      <w:bookmarkEnd w:id="902485"/>
    </w:p>
    <w:p>
      <w:pPr>
        <w:pStyle w:val="Normal"/>
      </w:pPr>
      <w:r>
        <w:t>Correctional systems should maintain clinically appropriate pathways for terminal illness, serious chronic disease, advanced age, significant disability, and palliative care, including outside placement or compassionate mechanisms where available under domestic law.</w:t>
      </w:r>
    </w:p>
    <w:p>
      <w:pPr>
        <w:pStyle w:val="Heading2"/>
      </w:pPr>
      <w:bookmarkStart w:id="902486" w:name="_Toc300002485"/>
      <w:r>
        <w:t>CI-6. Exercise and Outdoor Access</w:t>
      </w:r>
      <w:bookmarkEnd w:id="902486"/>
    </w:p>
    <w:p>
      <w:pPr>
        <w:pStyle w:val="Normal"/>
      </w:pPr>
      <w:r>
        <w:t>Prisoners should receive regular physical activity and meaningful access to open-air exercise, subject to reasonable weather, health, individual safety, emergency, and security limitations.</w:t>
      </w:r>
    </w:p>
    <w:p>
      <w:pPr>
        <w:pStyle w:val="Heading2"/>
      </w:pPr>
      <w:bookmarkStart w:id="902487" w:name="_Toc300002486"/>
      <w:r>
        <w:t>CI-7. Foundational Education</w:t>
      </w:r>
      <w:bookmarkEnd w:id="902487"/>
    </w:p>
    <w:p>
      <w:pPr>
        <w:pStyle w:val="Normal"/>
      </w:pPr>
      <w:r>
        <w:t>Reasonable access should be provided to literacy, numeracy, secondary equivalency, language learning, and other foundational education according to need, sentence circumstances, security classification, and institutional capacity.</w:t>
      </w:r>
    </w:p>
    <w:p>
      <w:pPr>
        <w:pStyle w:val="Heading2"/>
      </w:pPr>
      <w:bookmarkStart w:id="902488" w:name="_Toc300002487"/>
      <w:r>
        <w:t>CI-8. Vocational and Employability Training</w:t>
      </w:r>
      <w:bookmarkEnd w:id="902488"/>
    </w:p>
    <w:p>
      <w:pPr>
        <w:pStyle w:val="Normal"/>
      </w:pPr>
      <w:r>
        <w:t>The Parties should promote access to market-relevant vocational education, apprenticeships, digital literacy, industry-recognized credentials, and employment preparation.</w:t>
      </w:r>
    </w:p>
    <w:p>
      <w:pPr>
        <w:pStyle w:val="Heading2"/>
      </w:pPr>
      <w:bookmarkStart w:id="902489" w:name="_Toc300002488"/>
      <w:r>
        <w:t>CI-9. Libraries and Learning Materials</w:t>
      </w:r>
      <w:bookmarkEnd w:id="902489"/>
    </w:p>
    <w:p>
      <w:pPr>
        <w:pStyle w:val="Normal"/>
      </w:pPr>
      <w:r>
        <w:t>Correctional institutions should provide reasonable access to reading, educational, legal, cultural, and self-development materials, including accessible formats for prisoners with disabilities.</w:t>
      </w:r>
    </w:p>
    <w:p>
      <w:pPr>
        <w:pStyle w:val="Heading2"/>
      </w:pPr>
      <w:bookmarkStart w:id="902490" w:name="_Toc300002489"/>
      <w:r>
        <w:t>CI-10. Secure Digital Access</w:t>
      </w:r>
      <w:bookmarkEnd w:id="902490"/>
    </w:p>
    <w:p>
      <w:pPr>
        <w:pStyle w:val="Normal"/>
      </w:pPr>
      <w:r>
        <w:t>1. The Parties should encourage controlled digital access for education, communication, legal research, rehabilitation, and reentry preparation.</w:t>
      </w:r>
    </w:p>
    <w:p>
      <w:pPr>
        <w:pStyle w:val="Normal"/>
      </w:pPr>
      <w:r>
        <w:t>2. Nothing requires provision of a personal tablet, unrestricted internet access, social-media access, or a particular commercial platform.</w:t>
      </w:r>
    </w:p>
    <w:p>
      <w:pPr>
        <w:pStyle w:val="Normal"/>
      </w:pPr>
      <w:r>
        <w:t>3. Security controls should be proportionate and should not transform useful digital access into an unreasonable monopoly or exploitative fee system.</w:t>
      </w:r>
    </w:p>
    <w:p>
      <w:pPr>
        <w:pStyle w:val="Heading2"/>
      </w:pPr>
      <w:bookmarkStart w:id="902491" w:name="_Toc300002490"/>
      <w:r>
        <w:t>CI-11. Affordable Communication</w:t>
      </w:r>
      <w:bookmarkEnd w:id="902491"/>
    </w:p>
    <w:p>
      <w:pPr>
        <w:pStyle w:val="Normal"/>
      </w:pPr>
      <w:r>
        <w:t>Telephone, video, electronic messaging, and similar services made available to prisoners should be administered so that fees do not become an unreasonable barrier to ordinary family communication.</w:t>
      </w:r>
    </w:p>
    <w:p>
      <w:pPr>
        <w:pStyle w:val="Normal"/>
      </w:pPr>
      <w:r>
        <w:t>Nothing requires that every communication service be free.</w:t>
      </w:r>
    </w:p>
    <w:p>
      <w:pPr>
        <w:pStyle w:val="Heading2"/>
      </w:pPr>
      <w:bookmarkStart w:id="902492" w:name="_Toc300002491"/>
      <w:r>
        <w:t>CI-12. Parenting and Family Reintegration</w:t>
      </w:r>
      <w:bookmarkEnd w:id="902492"/>
    </w:p>
    <w:p>
      <w:pPr>
        <w:pStyle w:val="Normal"/>
      </w:pPr>
      <w:r>
        <w:t>The Parties should encourage parenting education, family counseling, child-sensitive visiting areas, family-reunification support, and comparable programming where consistent with victim safety and the best interests of children.</w:t>
      </w:r>
    </w:p>
    <w:p>
      <w:pPr>
        <w:pStyle w:val="Heading2"/>
      </w:pPr>
      <w:bookmarkStart w:id="902493" w:name="_Toc300002492"/>
      <w:r>
        <w:t>CI-13. De-Escalation and Trauma-Informed Practice</w:t>
      </w:r>
      <w:bookmarkEnd w:id="902493"/>
    </w:p>
    <w:p>
      <w:pPr>
        <w:pStyle w:val="Normal"/>
      </w:pPr>
      <w:r>
        <w:t>Appropriate correctional staff should receive training in de-escalation, mental-health crisis response, disability awareness, human rights, trauma- informed practice, and recognition of medical emergencies.</w:t>
      </w:r>
    </w:p>
    <w:p>
      <w:pPr>
        <w:pStyle w:val="Heading2"/>
      </w:pPr>
      <w:bookmarkStart w:id="902494" w:name="_Toc300002493"/>
      <w:r>
        <w:t>CI-14. Staff Professionalization</w:t>
      </w:r>
      <w:bookmarkEnd w:id="902494"/>
    </w:p>
    <w:p>
      <w:pPr>
        <w:pStyle w:val="Normal"/>
      </w:pPr>
      <w:r>
        <w:t>Correctional systems should maintain reasonable recruitment standards, training, supervision, integrity controls, continuing professional development, and staff-wellness measures.</w:t>
      </w:r>
    </w:p>
    <w:p>
      <w:pPr>
        <w:pStyle w:val="Heading2"/>
      </w:pPr>
      <w:bookmarkStart w:id="902495" w:name="_Toc300002494"/>
      <w:r>
        <w:t>CI-15. Violence and Organized-Crime Prevention</w:t>
      </w:r>
      <w:bookmarkEnd w:id="902495"/>
    </w:p>
    <w:p>
      <w:pPr>
        <w:pStyle w:val="Normal"/>
      </w:pPr>
      <w:r>
        <w:t>The Parties should maintain lawful systems for classification, prison intelligence, anti-extortion measures, gang and organized-crime disruption, violence prevention, conflict management, contraband control, and protection of prisoners and staff.</w:t>
      </w:r>
    </w:p>
    <w:p>
      <w:pPr>
        <w:pStyle w:val="Normal"/>
      </w:pPr>
      <w:r>
        <w:t>Such measures remain subject to the Mandatory Custodial Dignity Floor.</w:t>
      </w:r>
    </w:p>
    <w:p>
      <w:pPr>
        <w:pStyle w:val="Heading2"/>
      </w:pPr>
      <w:bookmarkStart w:id="902496" w:name="_Toc300002495"/>
      <w:r>
        <w:t>CI-16. Accessible Programming</w:t>
      </w:r>
      <w:bookmarkEnd w:id="902496"/>
    </w:p>
    <w:p>
      <w:pPr>
        <w:pStyle w:val="Normal"/>
      </w:pPr>
      <w:r>
        <w:t>Education, rehabilitation, communication, recreation, and reentry programming should be designed so that prisoners with disabilities and material language barriers can participate on reasonably equal terms.</w:t>
      </w:r>
    </w:p>
    <w:p>
      <w:pPr>
        <w:pStyle w:val="Heading2"/>
      </w:pPr>
      <w:bookmarkStart w:id="902497" w:name="_Toc300002496"/>
      <w:r>
        <w:t>CI-17. Reentry Continuity</w:t>
      </w:r>
      <w:bookmarkEnd w:id="902497"/>
    </w:p>
    <w:p>
      <w:pPr>
        <w:pStyle w:val="Normal"/>
      </w:pPr>
      <w:r>
        <w:t>Before release, institutions should provide reasonable planning for:</w:t>
      </w:r>
    </w:p>
    <w:p>
      <w:pPr>
        <w:pStyle w:val="Normal"/>
      </w:pPr>
      <w:r>
        <w:t>(a) identity documents; (b) clinically necessary medication and healthcare continuity; (c) housing and shelter referral; (d) employment preparation; (e) education continuation; (f) addiction-treatment continuity; (g) family and community reconnection; and (h) other services materially relevant to safe reintegration.</w:t>
      </w:r>
    </w:p>
    <w:p>
      <w:pPr>
        <w:pStyle w:val="Heading2"/>
      </w:pPr>
      <w:bookmarkStart w:id="902498" w:name="_Toc300002497"/>
      <w:r>
        <w:t>CI-18. Public Transparency</w:t>
      </w:r>
      <w:bookmarkEnd w:id="902498"/>
    </w:p>
    <w:p>
      <w:pPr>
        <w:pStyle w:val="Normal"/>
      </w:pPr>
      <w:r>
        <w:t>Each Party should publish privacy-protective aggregate information sufficient to permit informed assessment of major correctional conditions and trends.</w:t>
      </w:r>
    </w:p>
    <w:p>
      <w:pPr>
        <w:pStyle w:val="Heading2"/>
      </w:pPr>
      <w:bookmarkStart w:id="902499" w:name="_Toc300002498"/>
      <w:r>
        <w:t>CI-19. Prisoner Feedback Without Transfer of Command</w:t>
      </w:r>
      <w:bookmarkEnd w:id="902499"/>
    </w:p>
    <w:p>
      <w:pPr>
        <w:pStyle w:val="Normal"/>
      </w:pPr>
      <w:r>
        <w:t>1. Facilities should maintain safe channels through which prisoners may raise concerns concerning food, safety, healthcare, programming, recreation, grievances, and living conditions.</w:t>
      </w:r>
    </w:p>
    <w:p>
      <w:pPr>
        <w:pStyle w:val="Normal"/>
      </w:pPr>
      <w:r>
        <w:t>2. Advisory councils, surveys, peer systems, ombudsperson channels, or similar methods may be used.</w:t>
      </w:r>
    </w:p>
    <w:p>
      <w:pPr>
        <w:pStyle w:val="Normal"/>
      </w:pPr>
      <w:r>
        <w:t>3. This Article does not create a right to co-govern a correctional institution, direct staff, determine classification, control security operations, or override lawful institutional command.</w:t>
      </w:r>
    </w:p>
    <w:p>
      <w:pPr>
        <w:pStyle w:val="Heading1"/>
      </w:pPr>
      <w:bookmarkStart w:id="902500" w:name="_Toc300002499"/>
      <w:r>
        <w:t>ANNEX CH-A: OPTIONAL ADVANCED CORRECTIONAL REFORM PROTOCOL</w:t>
      </w:r>
      <w:bookmarkEnd w:id="902500"/>
    </w:p>
    <w:p>
      <w:pPr>
        <w:pStyle w:val="Normal"/>
      </w:pPr>
      <w:r>
        <w:t>CH-A.1. Voluntary Character</w:t>
      </w:r>
    </w:p>
    <w:p>
      <w:pPr>
        <w:pStyle w:val="Normal"/>
      </w:pPr>
      <w:r>
        <w:t>1. This Annex is voluntary.</w:t>
      </w:r>
    </w:p>
    <w:p>
      <w:pPr>
        <w:pStyle w:val="Normal"/>
      </w:pPr>
      <w:r>
        <w:t>2. A Party may accede to the Annex as a whole or to one or more Modules.</w:t>
      </w:r>
    </w:p>
    <w:p>
      <w:pPr>
        <w:pStyle w:val="Normal"/>
      </w:pPr>
      <w:r>
        <w:t>3. Accession to one Module does not constitute accession to another Module.</w:t>
      </w:r>
    </w:p>
    <w:p>
      <w:pPr>
        <w:pStyle w:val="Normal"/>
      </w:pPr>
      <w:r>
        <w:t>4. A Party may implement an equivalent domestic regime and declare substantial equivalence rather than reproduce the model mechanism verbatim.</w:t>
      </w:r>
    </w:p>
    <w:p>
      <w:pPr>
        <w:pStyle w:val="Normal"/>
      </w:pPr>
      <w:r>
        <w:t>CH-A.2. No Cross-Conditioning</w:t>
      </w:r>
    </w:p>
    <w:p>
      <w:pPr>
        <w:pStyle w:val="Normal"/>
      </w:pPr>
      <w:r>
        <w:t>A Party's decision not to join, not to expand participation in, or lawfully to withdraw from an Optional Module shall not:</w:t>
      </w:r>
    </w:p>
    <w:p>
      <w:pPr>
        <w:pStyle w:val="Normal"/>
      </w:pPr>
      <w:r>
        <w:t>(a) constitute breach of the Mandatory Custodial Dignity Floor; (b) authorize tariff retaliation; (c) authorize suspension of unrelated trade benefits; (d) create a presumption of human-rights violation; (e) alter ordinary market-access commitments; or (f) permit another Party to condition an unrelated concession on accession.</w:t>
      </w:r>
    </w:p>
    <w:p>
      <w:pPr>
        <w:pStyle w:val="Normal"/>
      </w:pPr>
      <w:r>
        <w:t>CH-A.3. Accession</w:t>
      </w:r>
    </w:p>
    <w:p>
      <w:pPr>
        <w:pStyle w:val="Normal"/>
      </w:pPr>
      <w:r>
        <w:t>A Party may accede to a Module by written notice identifying:</w:t>
      </w:r>
    </w:p>
    <w:p>
      <w:pPr>
        <w:pStyle w:val="Normal"/>
      </w:pPr>
      <w:r>
        <w:t>(a) the Module; (b) the implementing domestic measures; (c) the effective date; (d) any constitutionally necessary federalism qualifications; and (e) the authority responsible for implementation reporting.</w:t>
      </w:r>
    </w:p>
    <w:p>
      <w:pPr>
        <w:pStyle w:val="Normal"/>
      </w:pPr>
      <w:r>
        <w:t>CH-A.4. Withdrawal From Optional Module</w:t>
      </w:r>
    </w:p>
    <w:p>
      <w:pPr>
        <w:pStyle w:val="Normal"/>
      </w:pPr>
      <w:r>
        <w:t>1. A Party may withdraw from an Optional Module upon written notice.</w:t>
      </w:r>
    </w:p>
    <w:p>
      <w:pPr>
        <w:pStyle w:val="Normal"/>
      </w:pPr>
      <w:r>
        <w:t>2. Withdrawal shall not affect accrued individual rights independently protected by domestic law.</w:t>
      </w:r>
    </w:p>
    <w:p>
      <w:pPr>
        <w:pStyle w:val="Normal"/>
      </w:pPr>
      <w:r>
        <w:t>3. Withdrawal from an Optional Module shall not suspend the Mandatory Custodial Dignity Floor.</w:t>
      </w:r>
    </w:p>
    <w:p>
      <w:pPr>
        <w:pStyle w:val="Heading3"/>
      </w:pPr>
      <w:r>
        <w:t>MODULE A: ENHANCED RESTRICTIVE-HOUSING REFORM</w:t>
      </w:r>
    </w:p>
    <w:p>
      <w:pPr>
        <w:pStyle w:val="Normal"/>
      </w:pPr>
      <w:r>
        <w:t>Participating Parties may undertake one or more of the following:</w:t>
      </w:r>
    </w:p>
    <w:p>
      <w:pPr>
        <w:pStyle w:val="Normal"/>
      </w:pPr>
      <w:r>
        <w:t>1. prohibit solitary confinement entirely except for immediate emergency separation measured in hours rather than days;</w:t>
      </w:r>
    </w:p>
    <w:p>
      <w:pPr>
        <w:pStyle w:val="Normal"/>
      </w:pPr>
      <w:r>
        <w:t>2. require judicial authorization for restrictive housing beyond a specified period;</w:t>
      </w:r>
    </w:p>
    <w:p>
      <w:pPr>
        <w:pStyle w:val="Normal"/>
      </w:pPr>
      <w:r>
        <w:t>3. establish categorical prohibitions or heightened protections for youth, pregnant persons, persons with serious mental illness, persons with specified disabilities, or other vulnerable groups;</w:t>
      </w:r>
    </w:p>
    <w:p>
      <w:pPr>
        <w:pStyle w:val="Normal"/>
      </w:pPr>
      <w:r>
        <w:t>4. establish minimum daily meaningful-human-contact or out-of-cell requirements;</w:t>
      </w:r>
    </w:p>
    <w:p>
      <w:pPr>
        <w:pStyle w:val="Normal"/>
      </w:pPr>
      <w:r>
        <w:t>5. prohibit serial or disguised restrictive-housing regimes that amount to continuous isolation; and</w:t>
      </w:r>
    </w:p>
    <w:p>
      <w:pPr>
        <w:pStyle w:val="Normal"/>
      </w:pPr>
      <w:r>
        <w:t>6. provide independent legal representation or specialized review in prolonged restrictive-housing proceedings.</w:t>
      </w:r>
    </w:p>
    <w:p>
      <w:pPr>
        <w:pStyle w:val="Heading3"/>
      </w:pPr>
      <w:r>
        <w:t>MODULE B: SENTENCING AND SECOND-LOOK REFORM</w:t>
      </w:r>
    </w:p>
    <w:p>
      <w:pPr>
        <w:pStyle w:val="Normal"/>
      </w:pPr>
      <w:r>
        <w:t>Participating Parties may establish:</w:t>
      </w:r>
    </w:p>
    <w:p>
      <w:pPr>
        <w:pStyle w:val="Normal"/>
      </w:pPr>
      <w:r>
        <w:t>1. judicial second-look review after a defined portion of a long sentence; 2. special sentence reconsideration for offences committed as youth or young adults; 3. review mechanisms for survivors of serious coercion or abuse; 4. reform of selected mandatory minimum penalties; 5. review of drug-sentencing disparities; and 6. restorative or individualized alternatives consistent with public safety.</w:t>
      </w:r>
    </w:p>
    <w:p>
      <w:pPr>
        <w:pStyle w:val="Normal"/>
      </w:pPr>
      <w:r>
        <w:t>Nothing in this Module creates a treaty-based right to sentence reduction.</w:t>
      </w:r>
    </w:p>
    <w:p>
      <w:pPr>
        <w:pStyle w:val="Heading3"/>
      </w:pPr>
      <w:r>
        <w:t>MODULE C: PRETRIAL DETENTION AND COMMUNITY ALTERNATIVES</w:t>
      </w:r>
    </w:p>
    <w:p>
      <w:pPr>
        <w:pStyle w:val="Normal"/>
      </w:pPr>
      <w:r>
        <w:t>Participating Parties may pursue:</w:t>
      </w:r>
    </w:p>
    <w:p>
      <w:pPr>
        <w:pStyle w:val="Normal"/>
      </w:pPr>
      <w:r>
        <w:t>1. expedited bail or detention hearings; 2. non-financial release mechanisms; 3. treatment diversion; 4. community supervision; 5. electronic monitoring subject to privacy safeguards; 6. home confinement where lawful; 7. specialized mental-health diversion; and 8. other evidence-based alternatives to unnecessary detention.</w:t>
      </w:r>
    </w:p>
    <w:p>
      <w:pPr>
        <w:pStyle w:val="Heading3"/>
      </w:pPr>
      <w:r>
        <w:t>MODULE D: PAROLE, COMPASSIONATE, GERIATRIC, AND MEDICAL RELEASE</w:t>
      </w:r>
    </w:p>
    <w:p>
      <w:pPr>
        <w:pStyle w:val="Normal"/>
      </w:pPr>
      <w:r>
        <w:t>Participating Parties may establish enhanced procedures for:</w:t>
      </w:r>
    </w:p>
    <w:p>
      <w:pPr>
        <w:pStyle w:val="Normal"/>
      </w:pPr>
      <w:r>
        <w:t>1. geriatric release; 2. terminal or serious-illness release; 3. compassionate release; 4. earned-time mechanisms; 5. periodic parole review; 6. written parole reasons; 7. legal or advocacy assistance in appropriate review proceedings; and 8. continuity of healthcare and housing following release.</w:t>
      </w:r>
    </w:p>
    <w:p>
      <w:pPr>
        <w:pStyle w:val="Heading3"/>
      </w:pPr>
      <w:r>
        <w:t>MODULE E: CIVIC AND PARTICIPATORY RIGHTS</w:t>
      </w:r>
    </w:p>
    <w:p>
      <w:pPr>
        <w:pStyle w:val="Normal"/>
      </w:pPr>
      <w:r>
        <w:t>Participating Parties may elect to provide:</w:t>
      </w:r>
    </w:p>
    <w:p>
      <w:pPr>
        <w:pStyle w:val="Normal"/>
      </w:pPr>
      <w:r>
        <w:t>1. prisoner voting rights; 2. enhanced access to civic information; 3. elected or selected prisoner advisory representatives; 4. formal prisoner participation in menu, recreation, or safety consultation; 5. prisoner participation in selected inspection processes; or 6. strengthened internal democratic or deliberative institutions.</w:t>
      </w:r>
    </w:p>
    <w:p>
      <w:pPr>
        <w:pStyle w:val="Normal"/>
      </w:pPr>
      <w:r>
        <w:t>No Module E mechanism transfers final correctional command authority unless domestic law expressly provides otherwise.</w:t>
      </w:r>
    </w:p>
    <w:p>
      <w:pPr>
        <w:pStyle w:val="Heading3"/>
      </w:pPr>
      <w:r>
        <w:t>MODULE F: INDIGENOUS AND COMMUNITY-ADMINISTERED JUSTICE</w:t>
      </w:r>
    </w:p>
    <w:p>
      <w:pPr>
        <w:pStyle w:val="Normal"/>
      </w:pPr>
      <w:r>
        <w:t>Participating Parties may establish or expand:</w:t>
      </w:r>
    </w:p>
    <w:p>
      <w:pPr>
        <w:pStyle w:val="Normal"/>
      </w:pPr>
      <w:r>
        <w:t>1. Indigenous healing lodges; 2. Indigenous-led correctional or reentry programs; 3. culturally grounded sentencing or release mechanisms; 4. community-administered alternatives to conventional incarceration; 5. language and ceremonial programming; 6. Indigenous family and community reintegration mechanisms; and 7. other measures consistent with applicable Indigenous rights and domestic constitutional arrangements.</w:t>
      </w:r>
    </w:p>
    <w:p>
      <w:pPr>
        <w:pStyle w:val="Heading3"/>
      </w:pPr>
      <w:r>
        <w:t>MODULE G: ADVANCED FAMILY AND CAREGIVING MODELS</w:t>
      </w:r>
    </w:p>
    <w:p>
      <w:pPr>
        <w:pStyle w:val="Normal"/>
      </w:pPr>
      <w:r>
        <w:t>Participating Parties may provide:</w:t>
      </w:r>
    </w:p>
    <w:p>
      <w:pPr>
        <w:pStyle w:val="Normal"/>
      </w:pPr>
      <w:r>
        <w:t>1. extended family visitation; 2. family-reunion or overnight visitation; 3. parent-and-infant residential arrangements; 4. parenting units; 5. travel support for geographically isolated families; 6. enhanced child-friendly visiting facilities; and 7. community-based family-reintegration placements.</w:t>
      </w:r>
    </w:p>
    <w:p>
      <w:pPr>
        <w:pStyle w:val="Normal"/>
      </w:pPr>
      <w:r>
        <w:t>Victim protection, child welfare, safeguarding, and judicial orders remain paramount.</w:t>
      </w:r>
    </w:p>
    <w:p>
      <w:pPr>
        <w:pStyle w:val="Heading3"/>
      </w:pPr>
      <w:r>
        <w:t>MODULE H: DECARCERATION AND CAPACITY MANAGEMENT</w:t>
      </w:r>
    </w:p>
    <w:p>
      <w:pPr>
        <w:pStyle w:val="Normal"/>
      </w:pPr>
      <w:r>
        <w:t>Participating Parties may adopt:</w:t>
      </w:r>
    </w:p>
    <w:p>
      <w:pPr>
        <w:pStyle w:val="Normal"/>
      </w:pPr>
      <w:r>
        <w:t>1. correctional population caps; 2. diversion-first rules for defined non-violent offences; 3. requirements to consider alternatives before new prison construction; 4. targets for community-corrections capacity; 5. reclassification and earned-release measures; 6. medical or age-based capacity relief; 7. population-reduction strategies; and 8. infrastructure modernization linked to humane capacity planning.</w:t>
      </w:r>
    </w:p>
    <w:p>
      <w:pPr>
        <w:pStyle w:val="Normal"/>
      </w:pPr>
      <w:r>
        <w:t>Nothing in this Module establishes a trilateral numerical prison-population target.</w:t>
      </w:r>
    </w:p>
    <w:p>
      <w:pPr>
        <w:pStyle w:val="Heading1"/>
      </w:pPr>
      <w:bookmarkStart w:id="902501" w:name="_Toc300002500"/>
      <w:r>
        <w:t>ANNEX CH-B: NATIONAL IMPLEMENTATION AND EXPERIMENTATION SAFE HARBOR</w:t>
      </w:r>
      <w:bookmarkEnd w:id="902501"/>
    </w:p>
    <w:p>
      <w:pPr>
        <w:pStyle w:val="Normal"/>
      </w:pPr>
      <w:r>
        <w:t>CH-B.1. Purpose</w:t>
      </w:r>
    </w:p>
    <w:p>
      <w:pPr>
        <w:pStyle w:val="Normal"/>
      </w:pPr>
      <w:r>
        <w:t>The Parties recognize that many correctional innovations are better tested through national, state, provincial, territorial, local, Indigenous, facility- level, or pilot implementation than encoded directly as treaty mandates.</w:t>
      </w:r>
    </w:p>
    <w:p>
      <w:pPr>
        <w:pStyle w:val="Normal"/>
      </w:pPr>
      <w:r>
        <w:t>CH-B.2. Safe-Harbor Topics</w:t>
      </w:r>
    </w:p>
    <w:p>
      <w:pPr>
        <w:pStyle w:val="Normal"/>
      </w:pPr>
      <w:r>
        <w:t>The following may be pursued without becoming mandatory treaty obligations:</w:t>
      </w:r>
    </w:p>
    <w:p>
      <w:pPr>
        <w:pStyle w:val="Normal"/>
      </w:pPr>
      <w:r>
        <w:t>(a) personal tablets or particular digital devices; (b) body-worn camera models and deployment ratios; (c) fixed correctional staffing ratios; (d) exact dietary menus, menu cycles, ingredient ratios, or food-choice counts; (e) fixed mental-health bed percentages; (f) particular recreation amenities; (g) solar, recycling, composting, prison-garden, or green-building programs; (h) specific national spending appropriations; (i) named domestic bills or legislative packages; (j) specified prison-construction counts; (k) named domestic reentry programs; (l) particular parole-board structures; (m) exact release fractions; (n) specific classification instruments; and (o) other country-specific experiments not necessary to satisfy Package CA.</w:t>
      </w:r>
    </w:p>
    <w:p>
      <w:pPr>
        <w:pStyle w:val="Normal"/>
      </w:pPr>
      <w:r>
        <w:t>CH-B.3. Innovation Without Regression</w:t>
      </w:r>
    </w:p>
    <w:p>
      <w:pPr>
        <w:pStyle w:val="Normal"/>
      </w:pPr>
      <w:r>
        <w:t>A Party may experiment with different delivery models, technologies, contracting arrangements, or institutional designs, provided that experimentation does not reduce compliance with the Mandatory Custodial Dignity Floor.</w:t>
      </w:r>
    </w:p>
    <w:p>
      <w:pPr>
        <w:pStyle w:val="Heading1"/>
      </w:pPr>
      <w:bookmarkStart w:id="902502" w:name="_Toc300002501"/>
      <w:r>
        <w:t>PACKAGE CJ: IMPLEMENTATION, REVIEW, AND CURE</w:t>
      </w:r>
      <w:bookmarkEnd w:id="902502"/>
    </w:p>
    <w:p>
      <w:pPr>
        <w:pStyle w:val="Heading2"/>
      </w:pPr>
      <w:bookmarkStart w:id="902503" w:name="_Toc300002502"/>
      <w:r>
        <w:t>CJ-1. Initial Implementation Review</w:t>
      </w:r>
      <w:bookmarkEnd w:id="902503"/>
    </w:p>
    <w:p>
      <w:pPr>
        <w:pStyle w:val="Normal"/>
      </w:pPr>
      <w:r>
        <w:t>Within the implementation period established for this Package, each Party should identify:</w:t>
      </w:r>
    </w:p>
    <w:p>
      <w:pPr>
        <w:pStyle w:val="Normal"/>
      </w:pPr>
      <w:r>
        <w:t>(a) competent domestic authorities; (b) existing laws and policies substantially implementing the core; (c) material implementation gaps; (d) planned remediation where required; and (e) the Optional Modules, if any, in which it intends to participate.</w:t>
      </w:r>
    </w:p>
    <w:p>
      <w:pPr>
        <w:pStyle w:val="Heading2"/>
      </w:pPr>
      <w:bookmarkStart w:id="902504" w:name="_Toc300002503"/>
      <w:r>
        <w:t>CJ-2. Equivalence Rather Than Uniformity</w:t>
      </w:r>
      <w:bookmarkEnd w:id="902504"/>
    </w:p>
    <w:p>
      <w:pPr>
        <w:pStyle w:val="Normal"/>
      </w:pPr>
      <w:r>
        <w:t>A Party satisfies an obligation through any domestic measure or combination of measures that achieves substantially equivalent protection, even where legal terminology, institutional structure, or administrative procedure differs from that of another Party.</w:t>
      </w:r>
    </w:p>
    <w:p>
      <w:pPr>
        <w:pStyle w:val="Heading2"/>
      </w:pPr>
      <w:bookmarkStart w:id="902505" w:name="_Toc300002504"/>
      <w:r>
        <w:t>CJ-3. Priority-Cure Categories</w:t>
      </w:r>
      <w:bookmarkEnd w:id="902505"/>
    </w:p>
    <w:p>
      <w:pPr>
        <w:pStyle w:val="Normal"/>
      </w:pPr>
      <w:r>
        <w:t>The following should receive accelerated correction when credibly established:</w:t>
      </w:r>
    </w:p>
    <w:p>
      <w:pPr>
        <w:pStyle w:val="Normal"/>
      </w:pPr>
      <w:r>
        <w:t>(a) unsafe drinking water; (b) serious food deprivation; (c) denial of necessary emergency medical care; (d) dangerous temperature exposure; (e) systemic sexual abuse; (f) credible torture or cruel treatment; (g) unlawful prolonged restrictive housing; (h) grave disability-access failures creating serious health or safety risk; (i) systemic retaliation against complainants; and (j) dangerous fire or evacuation failures.</w:t>
      </w:r>
    </w:p>
    <w:p>
      <w:pPr>
        <w:pStyle w:val="Heading2"/>
      </w:pPr>
      <w:bookmarkStart w:id="902506" w:name="_Toc300002505"/>
      <w:r>
        <w:t>CJ-4. Cooperative Assistance</w:t>
      </w:r>
      <w:bookmarkEnd w:id="902506"/>
    </w:p>
    <w:p>
      <w:pPr>
        <w:pStyle w:val="Normal"/>
      </w:pPr>
      <w:r>
        <w:t>Where a deficiency results materially from capacity limitations rather than deliberate abuse, the Parties should prefer technical assistance, intergovernmental cooperation, training, clinical support, procurement cooperation, infrastructure expertise, or other corrective assistance before punitive measures.</w:t>
      </w:r>
    </w:p>
    <w:p>
      <w:pPr>
        <w:pStyle w:val="Heading2"/>
      </w:pPr>
      <w:bookmarkStart w:id="902507" w:name="_Toc300002506"/>
      <w:r>
        <w:t>CJ-5. No Prisoner-Based Retaliation</w:t>
      </w:r>
      <w:bookmarkEnd w:id="902507"/>
    </w:p>
    <w:p>
      <w:pPr>
        <w:pStyle w:val="Normal"/>
      </w:pPr>
      <w:r>
        <w:t>No dispute under this Package permits one Party to worsen the treatment of prisoners of another Party, deny consular communication otherwise required by law, reduce food or healthcare, or discriminate against prisoners because of nationality.</w:t>
      </w:r>
    </w:p>
    <w:p>
      <w:pPr>
        <w:pStyle w:val="Heading2"/>
      </w:pPr>
      <w:bookmarkStart w:id="902508" w:name="_Toc300002507"/>
      <w:r>
        <w:t>CJ-6. Review of Optional Modules</w:t>
      </w:r>
      <w:bookmarkEnd w:id="902508"/>
    </w:p>
    <w:p>
      <w:pPr>
        <w:pStyle w:val="Normal"/>
      </w:pPr>
      <w:r>
        <w:t>Participation in Optional Modules may be reviewed periodically to identify successful models, unintended consequences, fiscal burdens, safety effects, recidivism outcomes, family impacts, and opportunities for voluntary expansion.</w:t>
      </w:r>
    </w:p>
    <w:p>
      <w:pPr>
        <w:pStyle w:val="Heading2"/>
      </w:pPr>
      <w:bookmarkStart w:id="902509" w:name="_Toc300002508"/>
      <w:r>
        <w:t>CJ-7. Relationship to Other Rights</w:t>
      </w:r>
      <w:bookmarkEnd w:id="902509"/>
    </w:p>
    <w:p>
      <w:pPr>
        <w:pStyle w:val="Normal"/>
      </w:pPr>
      <w:r>
        <w:t>Nothing in Packages CA, CB, or CC shall be interpreted to authorize conduct inconsistent with independently applicable constitutional protections, Indigenous rights, criminal-procedure guarantees, labour protections, anti-discrimination law, humanitarian obligations, or international human-rights obligations binding upon the Party concerned.</w:t>
      </w:r>
    </w:p>
    <w:p>
      <w:pPr>
        <w:pStyle w:val="Heading1"/>
      </w:pPr>
      <w:bookmarkStart w:id="902510" w:name="_Toc300002509"/>
      <w:r>
        <w:t>PACKAGE CK: CUSTODIAL RIGHTS ADVERSARIAL-REVIEW HARDENING AND CONFORMING PROVISIONS</w:t>
      </w:r>
      <w:bookmarkEnd w:id="902510"/>
    </w:p>
    <w:p>
      <w:pPr>
        <w:pStyle w:val="Normal"/>
      </w:pPr>
      <w:r>
        <w:t>CK-1. Governing Effect. This Package supplements Packages CH, CI, CJ and Annexes CH-A and CH-B. Where a provision below is more specific, it governs the corresponding custodial subject. Nothing in this Package creates a separate tribunal, secretariat, inspection bureaucracy, or retaliation schedule.</w:t>
      </w:r>
    </w:p>
    <w:p>
      <w:pPr>
        <w:pStyle w:val="Heading2"/>
      </w:pPr>
      <w:bookmarkStart w:id="902511" w:name="_Toc300002510"/>
      <w:r>
        <w:t>CK-2. JUVENILES</w:t>
      </w:r>
      <w:bookmarkEnd w:id="902511"/>
    </w:p>
    <w:p>
      <w:pPr>
        <w:pStyle w:val="Normal"/>
      </w:pPr>
      <w:r>
        <w:t>2. Where a child or young person is held under juvenile-justice, child- protection, criminal, immigration, or comparable authority, this Package operates only as a minimum backstop. Any more protective child-specific rule under this Agreement, domestic law, or an applicable international obligation shall govern to the extent of inconsistency.</w:t>
      </w:r>
    </w:p>
    <w:p>
      <w:pPr>
        <w:pStyle w:val="Normal"/>
      </w:pPr>
      <w:r>
        <w:t>4. Nothing in this Package shall be interpreted to reduce age-specific safeguards, separation requirements, education rights, family protections, developmental protections, or best-interests requirements otherwise applicable to children.</w:t>
      </w:r>
    </w:p>
    <w:p>
      <w:pPr>
        <w:pStyle w:val="Heading2"/>
      </w:pPr>
      <w:bookmarkStart w:id="902512" w:name="_Toc300002511"/>
      <w:r>
        <w:t>CK-3. PRIVATE CONTRACTORS</w:t>
      </w:r>
      <w:bookmarkEnd w:id="902512"/>
    </w:p>
    <w:p>
      <w:pPr>
        <w:pStyle w:val="Normal"/>
      </w:pPr>
      <w:r>
        <w:t>3. To the extent permitted by domestic law, new or renewed material custodial contracts should preserve governmental access to records, incident reporting, inspection, healthcare-performance information, and other information reasonably necessary to verify compliance with this Package.</w:t>
      </w:r>
    </w:p>
    <w:p>
      <w:pPr>
        <w:pStyle w:val="Normal"/>
      </w:pPr>
      <w:r>
        <w:t>4. Commercial confidentiality shall not be used to conceal a grave custodial abuse or systemic failure, subject to lawful protection of security-sensitive, personal, medical, and legitimately proprietary information.</w:t>
      </w:r>
    </w:p>
    <w:p>
      <w:pPr>
        <w:pStyle w:val="Heading2"/>
      </w:pPr>
      <w:bookmarkStart w:id="902513" w:name="_Toc300002512"/>
      <w:r>
        <w:t>CK-4. SOLITARY / RESTRICTIVE HOUSING</w:t>
      </w:r>
      <w:bookmarkEnd w:id="902513"/>
    </w:p>
    <w:p>
      <w:pPr>
        <w:pStyle w:val="Normal"/>
      </w:pPr>
      <w:r>
        <w:t>(c) "meaningful human contact" requires direct interpersonal interaction of a nature and duration capable of providing genuine social contact and shall not be satisfied solely by surveillance, meal delivery, shouted communication through a closed door, or other fleeting custodial transactions.</w:t>
      </w:r>
    </w:p>
    <w:p>
      <w:pPr>
        <w:pStyle w:val="Normal"/>
      </w:pPr>
      <w:r>
        <w:t>5. In determining whether confinement is prolonged or materially continuous, reviewers shall consider the totality of actual conditions, including repeated or alternating periods of near-total isolation, nominal releases too brief to restore ordinary social contact, and transfers between substantially equivalent restrictive regimes.</w:t>
      </w:r>
    </w:p>
    <w:p>
      <w:pPr>
        <w:pStyle w:val="Normal"/>
      </w:pPr>
      <w:r>
        <w:t>6. Ordinary protective custody shall be administered, so far as reasonably possible, through conditions less restrictive than solitary confinement.</w:t>
      </w:r>
    </w:p>
    <w:p>
      <w:pPr>
        <w:pStyle w:val="Heading2"/>
      </w:pPr>
      <w:bookmarkStart w:id="902514" w:name="_Toc300002513"/>
      <w:r>
        <w:t>CK-5. EMERGENCY AUTHORITY</w:t>
      </w:r>
      <w:bookmarkEnd w:id="902514"/>
    </w:p>
    <w:p>
      <w:pPr>
        <w:pStyle w:val="Normal"/>
      </w:pPr>
      <w:r>
        <w:t>2. The longer an emergency restriction continues, the greater the required specificity of justification, frequency of review, consideration of less restrictive alternatives, and documentation of steps toward restoration.</w:t>
      </w:r>
    </w:p>
    <w:p>
      <w:pPr>
        <w:pStyle w:val="Normal"/>
      </w:pPr>
      <w:r>
        <w:t>3. Systemic understaffing, ordinary budget pressure, routine maintenance backlogs, or chronic administrative inconvenience shall not by themselves constitute a continuing emergency.</w:t>
      </w:r>
    </w:p>
    <w:p>
      <w:pPr>
        <w:pStyle w:val="Heading2"/>
      </w:pPr>
      <w:bookmarkStart w:id="902515" w:name="_Toc300002514"/>
      <w:r>
        <w:t>CK-6. HEALTHCARE</w:t>
      </w:r>
      <w:bookmarkEnd w:id="902515"/>
    </w:p>
    <w:p>
      <w:pPr>
        <w:pStyle w:val="Normal"/>
      </w:pPr>
      <w:r>
        <w:t>5. Clinical judgment concerning diagnosis, treatment, medication, emergency referral, and medical confidentiality shall be exercised by appropriately qualified health professionals. Legitimate security requirements may shape the manner of delivery but shall not be used to falsify or override a clinical decision for a non-clinical punitive purpose.</w:t>
      </w:r>
    </w:p>
    <w:p>
      <w:pPr>
        <w:pStyle w:val="Normal"/>
      </w:pPr>
      <w:r>
        <w:t>6. Healthcare personnel shall not be required to participate in torture, punitive medical deprivation, falsification of medical records, or medical clearance designed merely to legitimize otherwise prohibited abuse.</w:t>
      </w:r>
    </w:p>
    <w:p>
      <w:pPr>
        <w:pStyle w:val="Heading2"/>
      </w:pPr>
      <w:bookmarkStart w:id="902516" w:name="_Toc300002515"/>
      <w:r>
        <w:t>CK-7. FAMILY CONTACT</w:t>
      </w:r>
      <w:bookmarkEnd w:id="902516"/>
    </w:p>
    <w:p>
      <w:pPr>
        <w:pStyle w:val="Normal"/>
      </w:pPr>
      <w:r>
        <w:t>4. Nothing in this Article requires contact with a person whom the prisoner does not wish to contact or overrides victim-protection, no-contact, child- protection, domestic-violence, witness-protection, or comparable lawful orders.</w:t>
      </w:r>
    </w:p>
    <w:p>
      <w:pPr>
        <w:pStyle w:val="Heading2"/>
      </w:pPr>
      <w:bookmarkStart w:id="902517" w:name="_Toc300002516"/>
      <w:r>
        <w:t>CK-8. DATA AND TRANSPARENCY</w:t>
      </w:r>
      <w:bookmarkEnd w:id="902517"/>
    </w:p>
    <w:p>
      <w:pPr>
        <w:pStyle w:val="Normal"/>
      </w:pPr>
      <w:r>
        <w:t>4. A Party should not knowingly manipulate definitions, reporting periods, facility classifications, or custodial labels principally to conceal a systemic condition otherwise reportable under this Package.</w:t>
      </w:r>
    </w:p>
    <w:p>
      <w:pPr>
        <w:pStyle w:val="Normal"/>
      </w:pPr>
      <w:r>
        <w:t>5. Where materially different national definitions prevent direct comparison, the Parties should publish or exchange sufficient methodological notes to avoid false equivalence.</w:t>
      </w:r>
    </w:p>
    <w:p>
      <w:pPr>
        <w:pStyle w:val="Heading2"/>
      </w:pPr>
      <w:bookmarkStart w:id="902518" w:name="_Toc300002517"/>
      <w:r>
        <w:t>CK-9. FEDERALISM</w:t>
      </w:r>
      <w:bookmarkEnd w:id="902518"/>
    </w:p>
    <w:p>
      <w:pPr>
        <w:pStyle w:val="Normal"/>
      </w:pPr>
      <w:r>
        <w:t>3. Where implementation materially depends upon a subnational authority, the Party shall use the constitutionally available measures reasonably within its competence, which may include legislation, funding conditions, agreements, incentives, reporting, intergovernmental coordination, litigation positions, technical assistance, or other lawful mechanisms appropriate to its system.</w:t>
      </w:r>
    </w:p>
    <w:p>
      <w:pPr>
        <w:pStyle w:val="Normal"/>
      </w:pPr>
      <w:r>
        <w:t>5. Constitutional division of powers affects the means of implementation but does not permit a Party to misrepresent a known systemic deficiency as having been cured. Intergovernmental review shall take genuine constitutional limits into account when assessing reasonable efforts, timelines, and remedies.</w:t>
      </w:r>
    </w:p>
    <w:p>
      <w:pPr>
        <w:pStyle w:val="Heading2"/>
      </w:pPr>
      <w:bookmarkStart w:id="902519" w:name="_Toc300002518"/>
      <w:r>
        <w:t>CK-10. ENFORCEMENT</w:t>
      </w:r>
      <w:bookmarkEnd w:id="902519"/>
    </w:p>
    <w:p>
      <w:pPr>
        <w:pStyle w:val="Normal"/>
      </w:pPr>
      <w:r>
        <w:t>CH-44. Relationship to Existing Compliance Architecture</w:t>
      </w:r>
    </w:p>
    <w:p>
      <w:pPr>
        <w:pStyle w:val="Normal"/>
      </w:pPr>
      <w:r>
        <w:t>1. Compliance concerns under this Package shall use the existing consultation, verification, cure, Cothrom, dispute-settlement, human-rights, and grave-abuse mechanisms of this Agreement to the extent those mechanisms are applicable.</w:t>
      </w:r>
    </w:p>
    <w:p>
      <w:pPr>
        <w:pStyle w:val="Normal"/>
      </w:pPr>
      <w:r>
        <w:t>2. This Package does not establish a second standing tribunal, secretariat, inspection bureaucracy, retaliation schedule, or parallel dispute-settlement track.</w:t>
      </w:r>
    </w:p>
    <w:p>
      <w:pPr>
        <w:pStyle w:val="Normal"/>
      </w:pPr>
      <w:r>
        <w:t>3. In applying existing mechanisms to custodial conditions, decision-makers shall distinguish: (a) isolated operational error; (b) serious facility-level deficiency; (c) persistent or systemic failure; (d) deliberate non-compliance; and (e) grave abuse.</w:t>
      </w:r>
    </w:p>
    <w:p>
      <w:pPr>
        <w:pStyle w:val="Normal"/>
      </w:pPr>
      <w:r>
        <w:t>CH-45. Cure-Oriented Application</w:t>
      </w:r>
    </w:p>
    <w:p>
      <w:pPr>
        <w:pStyle w:val="Normal"/>
      </w:pPr>
      <w:r>
        <w:t>1. Except where existing NAESTMA grave-abuse procedures permit expedited action, the ordinary sequence shall emphasize notice, evidence, response, verification, a reasonable cure opportunity, and restoration.</w:t>
      </w:r>
    </w:p>
    <w:p>
      <w:pPr>
        <w:pStyle w:val="Normal"/>
      </w:pPr>
      <w:r>
        <w:t>2. Corrective measures should be tailored to the custodial deficiency and may include medical intervention, infrastructure repair, staffing correction, training, investigation, discipline, contractor remediation, policy change, monitoring, or other targeted action.</w:t>
      </w:r>
    </w:p>
    <w:p>
      <w:pPr>
        <w:pStyle w:val="Normal"/>
      </w:pPr>
      <w:r>
        <w:t>3. Existing NAESTMA economic step-back or earn-back mechanisms shall not be interpreted to authorize degradation of individual prisoner treatment or withholding of the non-derogable protections in CH-43.</w:t>
      </w:r>
    </w:p>
    <w:p>
      <w:pPr>
        <w:pStyle w:val="Normal"/>
      </w:pPr>
      <w:r>
        <w:t>4. Generalized punishment of unrelated industries is disfavoured as a remedy for a custodial-conditions dispute where a targeted rights-preserving remedy is reasonably available under this Agreement.</w:t>
      </w:r>
    </w:p>
    <w:p>
      <w:pPr>
        <w:pStyle w:val="Normal"/>
      </w:pPr>
      <w:r>
        <w:t>CH-46. Grave Abuse</w:t>
      </w:r>
    </w:p>
    <w:p>
      <w:pPr>
        <w:pStyle w:val="Normal"/>
      </w:pPr>
      <w:r>
        <w:t>Credible allegations of torture, disappearance, deliberate starvation, deliberate denial of life-saving medical care, systematic sexual abuse, trafficking, unlawful killing, or comparable grave abuse shall be referred to the Agreement's existing expedited human-rights or grave-abuse machinery rather than creating a new custodial-specific tribunal.</w:t>
      </w:r>
    </w:p>
    <w:p>
      <w:pPr>
        <w:pStyle w:val="Heading2"/>
      </w:pPr>
      <w:bookmarkStart w:id="902520" w:name="_Toc300002519"/>
      <w:r>
        <w:t>CK-11. REMEDIES</w:t>
      </w:r>
      <w:bookmarkEnd w:id="902520"/>
    </w:p>
    <w:p>
      <w:pPr>
        <w:pStyle w:val="Normal"/>
      </w:pPr>
      <w:r>
        <w:t>3. No remedy, countermeasure, suspension, pause, step-back, snapback, or earn- back mechanism under this Agreement shall intentionally worsen the custody, food, water, healthcare, safety, legal access, or basic living conditions of an individual person.</w:t>
      </w:r>
    </w:p>
    <w:p>
      <w:pPr>
        <w:pStyle w:val="Heading2"/>
      </w:pPr>
      <w:bookmarkStart w:id="902521" w:name="_Toc300002520"/>
      <w:r>
        <w:t>CK-12. STAFF SAFETY</w:t>
      </w:r>
      <w:bookmarkEnd w:id="902521"/>
    </w:p>
    <w:p>
      <w:pPr>
        <w:pStyle w:val="Normal"/>
      </w:pPr>
      <w:r>
        <w:t>4. Correctional staff shall have access to lawful mechanisms for reporting unsafe staffing, corruption, trafficking, serious violence risks, unlawful orders, or systemic safety deficiencies without unlawful retaliation.</w:t>
      </w:r>
    </w:p>
    <w:p>
      <w:pPr>
        <w:pStyle w:val="Normal"/>
      </w:pPr>
      <w:r>
        <w:t>5. Nothing in this Package diminishes lawful disciplinary authority over staff misconduct or lawful command authority necessary for secure institutional operation.</w:t>
      </w:r>
    </w:p>
    <w:p>
      <w:pPr>
        <w:pStyle w:val="Heading2"/>
      </w:pPr>
      <w:bookmarkStart w:id="902522" w:name="_Toc300002521"/>
      <w:r>
        <w:t>CK-13. CROSS-BORDER TRANSFER: CONSENT / LAW REMAINS DOMESTIC</w:t>
      </w:r>
      <w:bookmarkEnd w:id="902522"/>
    </w:p>
    <w:p>
      <w:pPr>
        <w:pStyle w:val="Normal"/>
      </w:pPr>
      <w:r>
        <w:t>4. Nothing in this Package creates an independent right to international transfer, repatriation, or transfer between correctional systems. Such transfers remain governed by applicable domestic law, treaties, judicial orders, and consent requirements.</w:t>
      </w:r>
    </w:p>
    <w:p>
      <w:pPr>
        <w:pStyle w:val="Heading2"/>
      </w:pPr>
      <w:bookmarkStart w:id="902523" w:name="_Toc300002522"/>
      <w:r>
        <w:t>CK-14. DEATHS IN CUSTODY: FAMILY NOTIFICATION</w:t>
      </w:r>
      <w:bookmarkEnd w:id="902523"/>
    </w:p>
    <w:p>
      <w:pPr>
        <w:pStyle w:val="Normal"/>
      </w:pPr>
      <w:r>
        <w:t>4. Following a death in custody, authorities shall provide timely notification to the appropriate family, representative, or other person as required by domestic law, subject to legitimate investigative and identification needs.</w:t>
      </w:r>
    </w:p>
    <w:p>
      <w:pPr>
        <w:pStyle w:val="Heading2"/>
      </w:pPr>
      <w:bookmarkStart w:id="902524" w:name="_Toc300002523"/>
      <w:r>
        <w:t>CK-15. RELIGION</w:t>
      </w:r>
      <w:bookmarkEnd w:id="902524"/>
    </w:p>
    <w:p>
      <w:pPr>
        <w:pStyle w:val="Normal"/>
      </w:pPr>
      <w:r>
        <w:t>4. Restrictions on religious or spiritual practice shall be based on legitimate security, safety, equality, health, or operational considerations and shall not be imposed merely because a belief is unpopular.</w:t>
      </w:r>
    </w:p>
    <w:p>
      <w:pPr>
        <w:pStyle w:val="Heading2"/>
      </w:pPr>
      <w:bookmarkStart w:id="902525" w:name="_Toc300002524"/>
      <w:r>
        <w:t>CK-16. ACCESSIBILITY</w:t>
      </w:r>
      <w:bookmarkEnd w:id="902525"/>
    </w:p>
    <w:p>
      <w:pPr>
        <w:pStyle w:val="Normal"/>
      </w:pPr>
      <w:r>
        <w:t>4. Where a prisoner cannot meaningfully understand a critical medical, legal, disciplinary, evacuation, or safety instruction because of disability, authorities shall use a reasonably effective accessible means of communication.</w:t>
      </w:r>
    </w:p>
    <w:p>
      <w:pPr>
        <w:pStyle w:val="Heading2"/>
      </w:pPr>
      <w:bookmarkStart w:id="902526" w:name="_Toc300002525"/>
      <w:r>
        <w:t>CK-17. SECURITY INTELLIGENCE</w:t>
      </w:r>
      <w:bookmarkEnd w:id="902526"/>
    </w:p>
    <w:p>
      <w:pPr>
        <w:pStyle w:val="Normal"/>
      </w:pPr>
      <w:r>
        <w:t>2. Intelligence concerning gangs, organized crime, extortion, trafficking, or violence may support classification and protective measures, but serious long-term adverse restrictions should not rest solely on knowingly unreliable information where meaningful review is practicable.</w:t>
      </w:r>
    </w:p>
    <w:p>
      <w:pPr>
        <w:pStyle w:val="Heading2"/>
      </w:pPr>
      <w:bookmarkStart w:id="902527" w:name="_Toc300002526"/>
      <w:r>
        <w:t>CK-18. NO UNCOMPENSATED FRONT-LOADING: EXPLICIT EXCLUSION</w:t>
      </w:r>
      <w:bookmarkEnd w:id="902527"/>
    </w:p>
    <w:p>
      <w:pPr>
        <w:pStyle w:val="Normal"/>
      </w:pPr>
      <w:r>
        <w:t>4. The Mandatory Custodial Dignity Floor is not a paired commercial concession for purposes of the No Uncompensated Front-Loading architecture. Compliance with fundamental custodial protections shall not be suspended pending delivery of an economic benefit by another Party.</w:t>
      </w:r>
    </w:p>
    <w:p>
      <w:pPr>
        <w:pStyle w:val="Heading2"/>
      </w:pPr>
      <w:bookmarkStart w:id="902528" w:name="_Toc300002527"/>
      <w:r>
        <w:t>CK-19. Optional Annex Safeguards</w:t>
      </w:r>
      <w:bookmarkEnd w:id="902528"/>
    </w:p>
    <w:p>
      <w:pPr>
        <w:pStyle w:val="Normal"/>
      </w:pPr>
      <w:r>
        <w:t>Participation in an Optional Advanced Correctional Reform Module shall identify the domestic model adopted. Optional sentencing or release reforms preserve lawful victim-notification, public-safety, judicial and appellate procedures; electronic monitoring should account for privacy, technical error and disproportionate cost; no age, diagnosis or time-served criterion creates automatic release; Indigenous modules remain subject to applicable Indigenous rights, consultation, consent and self-government arrangements; no adult custodial preference overrides a child's safety or best interests; and no Party is required to release a person whom a competent domestic authority lawfully determines presents an unmanageable serious public-safety risk merely to satisfy a capacity target.</w:t>
      </w:r>
    </w:p>
    <w:p>
      <w:pPr>
        <w:pStyle w:val="Heading2"/>
      </w:pPr>
      <w:bookmarkStart w:id="902529" w:name="_Toc300002528"/>
      <w:r>
        <w:t>CK-20. Existing-Architecture Integration</w:t>
      </w:r>
      <w:bookmarkEnd w:id="902529"/>
    </w:p>
    <w:p>
      <w:pPr>
        <w:pStyle w:val="Normal"/>
      </w:pPr>
      <w:r>
        <w:t>Custodial compliance shall use existing NAESTMA consultation, verification, cure, Cothrom, human-rights, labour, privacy, grave-abuse, step-back/earn-back and dispute-settlement architecture to the extent applicable. Package BS remains the specialized civil-immigration custody framework; Packages BW and BX remain the principal general human-rights and grave-abuse architecture; Chapter 23 governs labour and forced-labour issues; and the No Uncompensated Front-Loading architecture shall not be applied to suspend the Mandatory Custodial Dignity Floor.</w:t>
      </w:r>
    </w:p>
    <w:p>
      <w:pPr>
        <w:pStyle w:val="Heading2"/>
      </w:pPr>
      <w:bookmarkStart w:id="902530" w:name="_Toc300002529"/>
      <w:r>
        <w:t>CK-21. Trilateral Parity and Non-Stigmatization</w:t>
      </w:r>
      <w:bookmarkEnd w:id="902530"/>
    </w:p>
    <w:p>
      <w:pPr>
        <w:pStyle w:val="Normal"/>
      </w:pPr>
      <w:r>
        <w:t>Packages CH through CK apply on a facially equal basis to Canada, Mexico and the United States. Country-specific correctional history, legislation, programs, or source proposals create no presumption that one Party is more abusive, less compliant, or subject to a special enforcement track. Country-specific innovations belong in domestic implementation schedules or voluntary modules unless all Parties expressly agree otherwise.</w:t>
      </w:r>
    </w:p>
    <w:p>
      <w:pPr>
        <w:pStyle w:val="Heading2"/>
      </w:pPr>
      <w:bookmarkStart w:id="902531" w:name="_Toc300002530"/>
      <w:r>
        <w:t>CK-22. Integrated Governing Principle</w:t>
      </w:r>
      <w:bookmarkEnd w:id="902531"/>
    </w:p>
    <w:p>
      <w:pPr>
        <w:pStyle w:val="Normal"/>
      </w:pPr>
      <w:r>
        <w:t>Punishment may lawfully deprive a person of liberty. It does not authorize starvation, medical abandonment, torture, deliberate degradation, unsafe custody, or the use of fundamental human dignity as commercial leverage. The Parties preserve sovereign authority over criminal law and corrections while maintaining this common minimum floor.</w:t>
      </w:r>
    </w:p>
    <w:p>
      <w:pPr>
        <w:pStyle w:val="Heading1"/>
      </w:pPr>
      <w:bookmarkStart w:id="902532" w:name="_Toc300002531"/>
      <w:r>
        <w:t>PACKAGE CL: NORTH AMERICAN HUMAN DIGNITY, EQUALITY AND RIGHTS FRAMEWORK</w:t>
      </w:r>
      <w:bookmarkEnd w:id="902532"/>
    </w:p>
    <w:p>
      <w:pPr>
        <w:pStyle w:val="Heading2"/>
      </w:pPr>
      <w:bookmarkStart w:id="902533" w:name="_Toc300002532"/>
      <w:r>
        <w:t>PHASE-1 HUMAN-RIGHTS INTEGRATION: 384 HARDENED PROVISION SLOTS</w:t>
      </w:r>
      <w:bookmarkEnd w:id="902533"/>
    </w:p>
    <w:p>
      <w:pPr>
        <w:pStyle w:val="Normal"/>
      </w:pPr>
      <w:r>
        <w:t>Status. This Package consolidates the Phase-1 human-rights integration into operative, flexible and genuinely optional architecture. It supplements existing NAESTMA labour, migration, asylum, Indigenous, privacy, environmental, public-health and custodial protections; preserves stronger rights; respects federalism and competent authority; creates no implied private cause of action; and does not exhaust future human-rights subjects.</w:t>
      </w:r>
    </w:p>
    <w:p>
      <w:pPr>
        <w:pStyle w:val="Heading2"/>
      </w:pPr>
      <w:bookmarkStart w:id="902534" w:name="_Toc300002533"/>
      <w:r>
        <w:t>CL-1. Purpose, Character and Relationship to Existing Architecture</w:t>
      </w:r>
      <w:bookmarkEnd w:id="902534"/>
    </w:p>
    <w:p>
      <w:pPr>
        <w:pStyle w:val="Normal"/>
      </w:pPr>
      <w:r>
        <w:t>1. The Parties establish a reciprocal North American human-rights floor for treaty-linked governmental action and covered economic activity, while preserving each Party's constitutional structure, democratic authority, federalism, competent institutions and ability to maintain or adopt stronger protections.</w:t>
      </w:r>
    </w:p>
    <w:p>
      <w:pPr>
        <w:pStyle w:val="Normal"/>
      </w:pPr>
      <w:r>
        <w:t>2. This Package supplements, and does not displace, the more specific labour, migration, asylum, privacy, Indigenous, environmental, public-health, custody, corrections and dispute-settlement protections elsewhere in this Agreement.</w:t>
      </w:r>
    </w:p>
    <w:p>
      <w:pPr>
        <w:pStyle w:val="Normal"/>
      </w:pPr>
      <w:r>
        <w:t>3. Where a more specific provision affords stronger or more tailored protection, that provision governs to the extent of the greater or more specific protection. Nothing in this Package permits double recovery or stacked punishment for the same injury.</w:t>
      </w:r>
    </w:p>
    <w:p>
      <w:pPr>
        <w:pStyle w:val="Normal"/>
      </w:pPr>
      <w:r>
        <w:t>4. Human beings are not trade collateral. No tariff, procurement, border, security, migration, emergency, suspension, step-back, earn-back or other economic remedy may intentionally suspend or degrade the non-derogable humane-treatment or accrued procedural floor protected by this Agreement.</w:t>
      </w:r>
    </w:p>
    <w:p>
      <w:pPr>
        <w:pStyle w:val="Heading2"/>
      </w:pPr>
      <w:bookmarkStart w:id="902535" w:name="_Toc300002534"/>
      <w:r>
        <w:t>CL-2. Stronger Rights, Federalism and No Implied Private Cause</w:t>
      </w:r>
      <w:bookmarkEnd w:id="902535"/>
    </w:p>
    <w:p>
      <w:pPr>
        <w:pStyle w:val="Normal"/>
      </w:pPr>
      <w:r>
        <w:t>1. Nothing in this Package defines applicable constitutional, treaty, Indigenous, statutory or international protections downward. A Party may maintain or adopt stronger protection.</w:t>
      </w:r>
    </w:p>
    <w:p>
      <w:pPr>
        <w:pStyle w:val="Normal"/>
      </w:pPr>
      <w:r>
        <w:t>2. Obligations shall be implemented through the authorities constitutionally competent to act. Functionally equivalent lawful implementation is permitted, and no provision implies an unauthorized transfer of legislative or adjudicative competence.</w:t>
      </w:r>
    </w:p>
    <w:p>
      <w:pPr>
        <w:pStyle w:val="Normal"/>
      </w:pPr>
      <w:r>
        <w:t>3. Unless an Article expressly provides otherwise, this Package creates no private right of action, new criminal offence, automatic damages entitlement, corporate veil-piercing rule or direct civil liability of a private person.</w:t>
      </w:r>
    </w:p>
    <w:p>
      <w:pPr>
        <w:pStyle w:val="Heading2"/>
      </w:pPr>
      <w:bookmarkStart w:id="902536" w:name="_Toc300002535"/>
      <w:r>
        <w:t>CL-3. Objective Exceptions, Evidence and Review</w:t>
      </w:r>
      <w:bookmarkEnd w:id="902536"/>
    </w:p>
    <w:p>
      <w:pPr>
        <w:pStyle w:val="Normal"/>
      </w:pPr>
      <w:r>
        <w:t>1. A rights-limiting exception shall be connected to a legitimate objective, supported by an articulable basis appropriate to the context, proportionate to that objective, non-discriminatory in design and application, and no broader or longer than reasonably necessary.</w:t>
      </w:r>
    </w:p>
    <w:p>
      <w:pPr>
        <w:pStyle w:val="Normal"/>
      </w:pPr>
      <w:r>
        <w:t>2. Material adverse findings shall identify the evidentiary basis and, where relevant, the applicable causation or attribution test. A materially affected authority or person shall have a meaningful opportunity to respond, subject to lawful protection of confidential, personal, security-sensitive and privileged information.</w:t>
      </w:r>
    </w:p>
    <w:p>
      <w:pPr>
        <w:pStyle w:val="Normal"/>
      </w:pPr>
      <w:r>
        <w:t>3. Security or emergency invocation does not erase humane treatment, record preservation, appropriate notice, independent review, periodic necessity review, sunset or restoration obligations that otherwise form part of the applicable non-derogable procedural core.</w:t>
      </w:r>
    </w:p>
    <w:p>
      <w:pPr>
        <w:pStyle w:val="Heading2"/>
      </w:pPr>
      <w:bookmarkStart w:id="902537" w:name="_Toc300002536"/>
      <w:r>
        <w:t>CL-4. Remedy, Optionality, Data and Anti-Gaming</w:t>
      </w:r>
      <w:bookmarkEnd w:id="902537"/>
    </w:p>
    <w:p>
      <w:pPr>
        <w:pStyle w:val="Normal"/>
      </w:pPr>
      <w:r>
        <w:t>1. The ordinary remedy is the narrowest sufficient cure. Correction and restoration shall be preferred over unrelated retaliation, and no remedy may intentionally worsen the treatment or protected status of the persons whose rights are at issue.</w:t>
      </w:r>
    </w:p>
    <w:p>
      <w:pPr>
        <w:pStyle w:val="Normal"/>
      </w:pPr>
      <w:r>
        <w:t>2. Refusal to adopt, renew, fund or participate in an optional human-rights module is not noncompliance and may not reduce unrelated treaty benefits, trigger retaliation, alter mandatory-core rights or support an adverse inference.</w:t>
      </w:r>
    </w:p>
    <w:p>
      <w:pPr>
        <w:pStyle w:val="Normal"/>
      </w:pPr>
      <w:r>
        <w:t>3. Human-rights monitoring shall collect only information reasonably necessary for its stated purpose, use aggregation or de-identification where practicable, protect sensitive-status information, and prohibit secondary discriminatory or enforcement use inconsistent with the collection purpose.</w:t>
      </w:r>
    </w:p>
    <w:p>
      <w:pPr>
        <w:pStyle w:val="Normal"/>
      </w:pPr>
      <w:r>
        <w:t>4. Relabeling, outsourcing, proxy action, serial temporary measures, algorithmic substitution or institutional reassignment does not establish compliance where materially equivalent prohibited harm continues.</w:t>
      </w:r>
    </w:p>
    <w:p>
      <w:pPr>
        <w:pStyle w:val="Heading2"/>
      </w:pPr>
      <w:bookmarkStart w:id="902538" w:name="_Toc300002537"/>
      <w:r>
        <w:t>CL-5. Accessibility, Participation, Continuity and Non-Exhaustion</w:t>
      </w:r>
      <w:bookmarkEnd w:id="902538"/>
    </w:p>
    <w:p>
      <w:pPr>
        <w:pStyle w:val="Normal"/>
      </w:pPr>
      <w:r>
        <w:t>1. Treaty-linked notices, complaint channels, consultations and review procedures shall be reasonably accessible, including disability accommodation and understandable language or interpretation where necessary to make a protection meaningful.</w:t>
      </w:r>
    </w:p>
    <w:p>
      <w:pPr>
        <w:pStyle w:val="Normal"/>
      </w:pPr>
      <w:r>
        <w:t>2. Workers, migrants, Indigenous participants, complainants, witnesses, advocates and other protected participants may use treaty-linked complaint or consultation channels without retaliation, without shielding fraud, threats or obstruction.</w:t>
      </w:r>
    </w:p>
    <w:p>
      <w:pPr>
        <w:pStyle w:val="Normal"/>
      </w:pPr>
      <w:r>
        <w:t>3. Review, amendment, suspension or withdrawal shall not retroactively erase responsibility already accrued or strand a person in a procedurally impossible position. Appropriate transition rules shall preserve pending cases, records and accrued procedural protection.</w:t>
      </w:r>
    </w:p>
    <w:p>
      <w:pPr>
        <w:pStyle w:val="Normal"/>
      </w:pPr>
      <w:r>
        <w:t>4. This Package is not an exhaustive catalogue of human rights. Later agreed protections concerning children, seniors, education, health or other subjects may supplement it, and omission from this Package creates no inference that an independently applicable domestic or international right does not exist.</w:t>
      </w:r>
    </w:p>
    <w:p>
      <w:pPr>
        <w:pStyle w:val="Heading2"/>
      </w:pPr>
      <w:bookmarkStart w:id="902539" w:name="_Toc300002538"/>
      <w:r>
        <w:t>CL-6. UNIVERSAL HUMAN DIGNITY, EQUALITY, DUE PROCESS AND REMEDY</w:t>
      </w:r>
      <w:bookmarkEnd w:id="902539"/>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HR4-001. Treaty-Wide Nondiscrimination Guarantee: Scope and Protected Interest</w:t>
      </w:r>
    </w:p>
    <w:p>
      <w:pPr>
        <w:pStyle w:val="Normal"/>
      </w:pPr>
      <w:r>
        <w:t>For purposes of this Framework, the Parties recognize the protected interest addressed by Treaty-Wide Nondiscrimination Guarantee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HR4-002. Treaty-Wide Nondiscrimination Guarantee: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HR4-003. Treaty-Wide Nondiscrimination Guarantee: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HR4-004. Treaty-Wide Nondiscrimination Guarantee: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HR4-005. Due Process And Fair Procedure: Scope and Protected Interest</w:t>
      </w:r>
    </w:p>
    <w:p>
      <w:pPr>
        <w:pStyle w:val="Normal"/>
      </w:pPr>
      <w:r>
        <w:t>For purposes of this Framework, the Parties recognize the protected interest addressed by Due Process And Fair Procedure and shall apply this Article to treaty-linked governmental measures, programs, administration and covered economic activity where that interest is materially affected. The Parties shall require notice, a meaningful opportunity to respond, impartial decision-making, reasons where appropriate, and access to review proportionate to the decision at stake.</w:t>
      </w:r>
    </w:p>
    <w:p>
      <w:pPr>
        <w:pStyle w:val="Heading3"/>
      </w:pPr>
      <w:r>
        <w:t>HR4-006. Due Process And Fair Procedure: Minimum Reciprocal Floor</w:t>
      </w:r>
    </w:p>
    <w:p>
      <w:pPr>
        <w:pStyle w:val="Normal"/>
      </w:pPr>
      <w:r>
        <w:t>Each Party shall maintain, through its constitutionally competent authorities and lawful institutions, a minimum effective floor under which it shall require notice, a meaningful opportunity to respond, impartial decision-making, reasons where appropriate, and access to review proportionate to the decision at stake. A Party may use different legal or institutional means where those means provide functionally equivalent or stronger protection.</w:t>
      </w:r>
    </w:p>
    <w:p>
      <w:pPr>
        <w:pStyle w:val="Heading3"/>
      </w:pPr>
      <w:r>
        <w:t>HR4-007. Due Process And Fair Procedure: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HR4-008. Access To Remedy And Grievance: Scope and Protected Interest</w:t>
      </w:r>
    </w:p>
    <w:p>
      <w:pPr>
        <w:pStyle w:val="Normal"/>
      </w:pPr>
      <w:r>
        <w:t>For purposes of this Framework, the Parties recognize the protected interest addressed by Access To Remedy And Grievance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pPr>
      <w:r>
        <w:t>HR4-009. Access To Remedy And Grievance: Minimum Reciprocal Floor</w:t>
      </w:r>
    </w:p>
    <w:p>
      <w:pPr>
        <w:pStyle w:val="Normal"/>
      </w:pPr>
      <w: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pPr>
      <w:r>
        <w:t>HR4-010. Access To Remedy And Grievance: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HR4-011. Legal Information, Counsel And Interpretation Access: Scope and Protected Interest</w:t>
      </w:r>
    </w:p>
    <w:p>
      <w:pPr>
        <w:pStyle w:val="Normal"/>
      </w:pPr>
      <w:r>
        <w:t>For purposes of this Framework, the Parties recognize the protected interest addressed by Legal Information, Counsel And Interpretation Access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pPr>
      <w:r>
        <w:t>HR4-012. Legal Information, Counsel And Interpretation Access: Minimum Reciprocal Floor</w:t>
      </w:r>
    </w:p>
    <w:p>
      <w:pPr>
        <w:pStyle w:val="Normal"/>
      </w:pPr>
      <w: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pPr>
      <w:r>
        <w:t>HR4-013. Legal Information, Counsel And Interpretation Access: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HR4-014. Family Unity And Caregiving Protection: Scope and Protected Interest</w:t>
      </w:r>
    </w:p>
    <w:p>
      <w:pPr>
        <w:pStyle w:val="Normal"/>
      </w:pPr>
      <w:r>
        <w:t>For purposes of this Framework, the Parties recognize the protected interest addressed by Family Unity And Caregiving Protection and shall apply this Article to treaty-linked governmental measures, programs, administration and covered economic activity where that interest is materially affected. The Parties shall avoid arbitrary family separation and discrimination based on caregiving status while preserving lawful child-protection, safety and judicial decision-making.</w:t>
      </w:r>
    </w:p>
    <w:p>
      <w:pPr>
        <w:pStyle w:val="Heading3"/>
      </w:pPr>
      <w:r>
        <w:t>HR4-015. Family Unity And Caregiving Protection: Minimum Reciprocal Floor</w:t>
      </w:r>
    </w:p>
    <w:p>
      <w:pPr>
        <w:pStyle w:val="Normal"/>
      </w:pPr>
      <w:r>
        <w:t>Each Party shall maintain, through its constitutionally competent authorities and lawful institutions, a minimum effective floor under which it shall avoid arbitrary family separation and discrimination based on caregiving status while preserving lawful child-protection, safety and judicial decision-making. A Party may use different legal or institutional means where those means provide functionally equivalent or stronger protection.</w:t>
      </w:r>
    </w:p>
    <w:p>
      <w:pPr>
        <w:pStyle w:val="Heading3"/>
      </w:pPr>
      <w:r>
        <w:t>HR4-016. Family Unity And Caregiving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HR4-017. Protection From Violence, Harassment And Abuse: Scope and Protected Interest</w:t>
      </w:r>
    </w:p>
    <w:p>
      <w:pPr>
        <w:pStyle w:val="Normal"/>
      </w:pPr>
      <w:r>
        <w:t>For purposes of this Framework, the Parties recognize the protected interest addressed by Protection From Violence, Harassment And Abuse and shall apply this Article to treaty-linked governmental measures, programs, administration and covered economic activity where that interest is materially affected. The Parties shall require prevention, reporting, protection from retaliation, competent response and proportionate remedies, including for gender-based and identity-targeted harm.</w:t>
      </w:r>
    </w:p>
    <w:p>
      <w:pPr>
        <w:pStyle w:val="Heading3"/>
      </w:pPr>
      <w:r>
        <w:t>HR4-018. Protection From Violence, Harassment And Abuse: Minimum Reciprocal Floor</w:t>
      </w:r>
    </w:p>
    <w:p>
      <w:pPr>
        <w:pStyle w:val="Normal"/>
      </w:pPr>
      <w:r>
        <w:t>Each Party shall maintain, through its constitutionally competent authorities and lawful institutions, a minimum effective floor under which it shall require prevention, reporting, protection from retaliation, competent response and proportionate remedies, including for gender-based and identity-targeted harm. A Party may use different legal or institutional means where those means provide functionally equivalent or stronger protection.</w:t>
      </w:r>
    </w:p>
    <w:p>
      <w:pPr>
        <w:pStyle w:val="Heading3"/>
      </w:pPr>
      <w:r>
        <w:t>HR4-019. Protection From Violence, Harassment And Abuse: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HR4-020. Protection From Violence, Harassment And Abuse: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HR4-021. Stronger-Rights And Non-Derogation Savings: Scope and Protected Interest</w:t>
      </w:r>
    </w:p>
    <w:p>
      <w:pPr>
        <w:pStyle w:val="Normal"/>
      </w:pPr>
      <w:r>
        <w:t>For purposes of this Framework, the Parties recognize the protected interest addressed by Stronger-Rights And Non-Derogation Savings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HR4-022. Stronger-Rights And Non-Derogation Savings: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HR4-023. Stronger-Rights And Non-Derogation Savings: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0" w:name="_Toc300002539"/>
      <w:r>
        <w:t>CL-7. LABOUR AND WORKPLACE HUMAN RIGHTS</w:t>
      </w:r>
      <w:bookmarkEnd w:id="902540"/>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HR4-024. Freedom Of Association And Organizing: Scope and Protected Interest</w:t>
      </w:r>
    </w:p>
    <w:p>
      <w:pPr>
        <w:pStyle w:val="Normal"/>
      </w:pPr>
      <w:r>
        <w:t>For purposes of this Framework, the Parties recognize the protected interest addressed by Freedom Of Association And Organizing and shall apply this Article to treaty-linked governmental measures, programs, administration and covered economic activity where that interest is materially affected. The Parties shall protect the ability of workers to organize, join or refrain from joining organizations, communicate about workplace rights and act without interference, coercion or retaliation.</w:t>
      </w:r>
    </w:p>
    <w:p>
      <w:pPr>
        <w:pStyle w:val="Heading3"/>
      </w:pPr>
      <w:r>
        <w:t>HR4-025. Freedom Of Association And Organizing: Minimum Reciprocal Floor</w:t>
      </w:r>
    </w:p>
    <w:p>
      <w:pPr>
        <w:pStyle w:val="Normal"/>
      </w:pPr>
      <w:r>
        <w:t>Each Party shall maintain, through its constitutionally competent authorities and lawful institutions, a minimum effective floor under which it shall protect the ability of workers to organize, join or refrain from joining organizations, communicate about workplace rights and act without interference, coercion or retaliation. A Party may use different legal or institutional means where those means provide functionally equivalent or stronger protection.</w:t>
      </w:r>
    </w:p>
    <w:p>
      <w:pPr>
        <w:pStyle w:val="Heading3"/>
      </w:pPr>
      <w:r>
        <w:t>HR4-026. Freedom Of Association And Organizing: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HR4-027. Collective Bargaining And Authentic Representation: Scope and Protected Interest</w:t>
      </w:r>
    </w:p>
    <w:p>
      <w:pPr>
        <w:pStyle w:val="Normal"/>
      </w:pPr>
      <w:r>
        <w:t>For purposes of this Framework, the Parties recognize the protected interest addressed by Collective Bargaining And Authentic Representation and shall apply this Article to treaty-linked governmental measures, programs, administration and covered economic activity where that interest is materially affected. The Parties shall protect authentic worker representation, good-faith bargaining under domestic systems and safeguards against employer- or state-dominated representation.</w:t>
      </w:r>
    </w:p>
    <w:p>
      <w:pPr>
        <w:pStyle w:val="Heading3"/>
      </w:pPr>
      <w:r>
        <w:t>HR4-028. Collective Bargaining And Authentic Representation: Minimum Reciprocal Floor</w:t>
      </w:r>
    </w:p>
    <w:p>
      <w:pPr>
        <w:pStyle w:val="Normal"/>
      </w:pPr>
      <w:r>
        <w:t>Each Party shall maintain, through its constitutionally competent authorities and lawful institutions, a minimum effective floor under which it shall protect authentic worker representation, good-faith bargaining under domestic systems and safeguards against employer- or state-dominated representation. A Party may use different legal or institutional means where those means provide functionally equivalent or stronger protection.</w:t>
      </w:r>
    </w:p>
    <w:p>
      <w:pPr>
        <w:pStyle w:val="Heading3"/>
      </w:pPr>
      <w:r>
        <w:t>HR4-029. Collective Bargaining And Authentic Representation: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HR4-030. Forced-Labour And Child-Labour Prohibition: Scope and Protected Interest</w:t>
      </w:r>
    </w:p>
    <w:p>
      <w:pPr>
        <w:pStyle w:val="Normal"/>
      </w:pPr>
      <w:r>
        <w:t>For purposes of this Framework, the Parties recognize the protected interest addressed by Forced-Labour And Child-Labour Prohibition and shall apply this Article to treaty-linked governmental measures, programs, administration and covered economic activity where that interest is materially affected. The Parties shall prohibit forced or compulsory labour and the worst forms of child labour, support traceability and remediation, and avoid punishing victims for coercion imposed upon them.</w:t>
      </w:r>
    </w:p>
    <w:p>
      <w:pPr>
        <w:pStyle w:val="Heading3"/>
      </w:pPr>
      <w:r>
        <w:t>HR4-031. Forced-Labour And Child-Labour Prohibition: Minimum Reciprocal Floor</w:t>
      </w:r>
    </w:p>
    <w:p>
      <w:pPr>
        <w:pStyle w:val="Normal"/>
      </w:pPr>
      <w:r>
        <w:t>Each Party shall maintain, through its constitutionally competent authorities and lawful institutions, a minimum effective floor under which it shall prohibit forced or compulsory labour and the worst forms of child labour, support traceability and remediation, and avoid punishing victims for coercion imposed upon them. A Party may use different legal or institutional means where those means provide functionally equivalent or stronger protection.</w:t>
      </w:r>
    </w:p>
    <w:p>
      <w:pPr>
        <w:pStyle w:val="Heading3"/>
      </w:pPr>
      <w:r>
        <w:t>HR4-032. Forced-Labour And Child-Labour Prohibition: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HR4-033. Workplace Nondiscrimination And Equal Opportunity: Scope and Protected Interest</w:t>
      </w:r>
    </w:p>
    <w:p>
      <w:pPr>
        <w:pStyle w:val="Normal"/>
      </w:pPr>
      <w:r>
        <w:t>For purposes of this Framework, the Parties recognize the protected interest addressed by Workplace Nondiscrimination And Equal Opportunity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HR4-034. Workplace Nondiscrimination And Equal Opportunity: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HR4-035. Workplace Nondiscrimination And Equal Opportunity: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HR4-036. Workplace Nondiscrimination And Equal Opportunity: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HR4-037. Workplace Nondiscrimination And Equal Opportunity: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HR4-038. Sexual Harassment And Gender-Based Workplace Violence: Scope and Protected Interest</w:t>
      </w:r>
    </w:p>
    <w:p>
      <w:pPr>
        <w:pStyle w:val="Normal"/>
      </w:pPr>
      <w:r>
        <w:t>For purposes of this Framework, the Parties recognize the protected interest addressed by Sexual Harassment And Gender-Based Workplace Violence and shall apply this Article to treaty-linked governmental measures, programs, administration and covered economic activity where that interest is materially affected. The Parties shall require prevention, reporting, protection from retaliation, competent response and proportionate remedies, including for gender-based and identity-targeted harm.</w:t>
      </w:r>
    </w:p>
    <w:p>
      <w:pPr>
        <w:pStyle w:val="Heading3"/>
      </w:pPr>
      <w:r>
        <w:t>HR4-039. Sexual Harassment And Gender-Based Workplace Violence: Minimum Reciprocal Floor</w:t>
      </w:r>
    </w:p>
    <w:p>
      <w:pPr>
        <w:pStyle w:val="Normal"/>
      </w:pPr>
      <w:r>
        <w:t>Each Party shall maintain, through its constitutionally competent authorities and lawful institutions, a minimum effective floor under which it shall require prevention, reporting, protection from retaliation, competent response and proportionate remedies, including for gender-based and identity-targeted harm. A Party may use different legal or institutional means where those means provide functionally equivalent or stronger protection.</w:t>
      </w:r>
    </w:p>
    <w:p>
      <w:pPr>
        <w:pStyle w:val="Heading3"/>
      </w:pPr>
      <w:r>
        <w:t>HR4-040. Sexual Harassment And Gender-Based Workplace Violence: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HR4-041. Occupational Health And Safety Floor: Scope and Protected Interest</w:t>
      </w:r>
    </w:p>
    <w:p>
      <w:pPr>
        <w:pStyle w:val="Normal"/>
      </w:pPr>
      <w:r>
        <w:t>For purposes of this Framework, the Parties recognize the protected interest addressed by Occupational Health And Safety Floor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HR4-042. Occupational Health And Safety Floor: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HR4-043. Occupational Health And Safety Floor: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HR4-044. Migrant And Temporary Worker Labour Parity: Scope and Protected Interest</w:t>
      </w:r>
    </w:p>
    <w:p>
      <w:pPr>
        <w:pStyle w:val="Normal"/>
      </w:pPr>
      <w:r>
        <w:t>For purposes of this Framework, the Parties recognize the protected interest addressed by Migrant And Temporary Worker Labour Parity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HR4-045. Migrant And Temporary Worker Labour Parity: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HR4-046. Migrant And Temporary Worker Labour Parity: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HR4-047. Recruitment Integrity And Document Control: Scope and Protected Interest</w:t>
      </w:r>
    </w:p>
    <w:p>
      <w:pPr>
        <w:pStyle w:val="Normal"/>
      </w:pPr>
      <w:r>
        <w:t>For purposes of this Framework, the Parties recognize the protected interest addressed by Recruitment Integrity And Document Control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HR4-048. Recruitment Integrity And Document Control: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HR4-049. Recruitment Integrity And Document Control: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HR4-050. Vulnerable-Sector Worker Coverage: Scope and Protected Interest</w:t>
      </w:r>
    </w:p>
    <w:p>
      <w:pPr>
        <w:pStyle w:val="Normal"/>
      </w:pPr>
      <w:r>
        <w:t>For purposes of this Framework, the Parties recognize the protected interest addressed by Vulnerable-Sector Worker Coverage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HR4-051. Vulnerable-Sector Worker Coverage: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HR4-052. Vulnerable-Sector Worker Coverage: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HR4-053. Worker Grievance, Inspection And Remedy Effectiveness: Scope and Protected Interest</w:t>
      </w:r>
    </w:p>
    <w:p>
      <w:pPr>
        <w:pStyle w:val="Normal"/>
      </w:pPr>
      <w:r>
        <w:t>For purposes of this Framework, the Parties recognize the protected interest addressed by Worker Grievance, Inspection And Remedy Effectiveness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pPr>
      <w:r>
        <w:t>HR4-054. Worker Grievance, Inspection And Remedy Effectiveness: Minimum Reciprocal Floor</w:t>
      </w:r>
    </w:p>
    <w:p>
      <w:pPr>
        <w:pStyle w:val="Normal"/>
      </w:pPr>
      <w: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pPr>
      <w:r>
        <w:t>HR4-055. Worker Grievance, Inspection And Remedy Effectiveness: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1" w:name="_Toc300002540"/>
      <w:r>
        <w:t>CL-8. MIGRATION, ASYLUM AND BORDER-ADMINISTRATION RIGHTS</w:t>
      </w:r>
      <w:bookmarkEnd w:id="902541"/>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HR4-056. Individualized Immigration Enforcement: Scope and Protected Interest</w:t>
      </w:r>
    </w:p>
    <w:p>
      <w:pPr>
        <w:pStyle w:val="Normal"/>
      </w:pPr>
      <w:r>
        <w:t>For purposes of this Framework, the Parties recognize the protected interest addressed by Individualized Immigration Enforcement and shall apply this Article to treaty-linked governmental measures, programs, administration and covered economic activity where that interest is materially affected. The Parties shall favor individualized, evidence-based and reviewable enforcement over quota-driven, indiscriminate or discriminatory operations, while preserving lawful border and public-safety powers.</w:t>
      </w:r>
    </w:p>
    <w:p>
      <w:pPr>
        <w:pStyle w:val="Heading3"/>
      </w:pPr>
      <w:r>
        <w:t>HR4-057. Individualized Immigration Enforcement: Minimum Reciprocal Floor</w:t>
      </w:r>
    </w:p>
    <w:p>
      <w:pPr>
        <w:pStyle w:val="Normal"/>
      </w:pPr>
      <w:r>
        <w:t>Each Party shall maintain, through its constitutionally competent authorities and lawful institutions, a minimum effective floor under which it shall favor individualized, evidence-based and reviewable enforcement over quota-driven, indiscriminate or discriminatory operations, while preserving lawful border and public-safety powers. A Party may use different legal or institutional means where those means provide functionally equivalent or stronger protection.</w:t>
      </w:r>
    </w:p>
    <w:p>
      <w:pPr>
        <w:pStyle w:val="Heading3"/>
      </w:pPr>
      <w:r>
        <w:t>HR4-058. Individualized Immigration Enforcement: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HR4-059. Individualized Immigration Enforcement: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HR4-060. Individualized Immigration Enforcement: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HR4-061. Non-Refoulement And Protection Against Return To Serious Harm: Scope and Protected Interest</w:t>
      </w:r>
    </w:p>
    <w:p>
      <w:pPr>
        <w:pStyle w:val="Normal"/>
      </w:pPr>
      <w:r>
        <w:t>For purposes of this Framework, the Parties recognize the protected interest addressed by Non-Refoulement And Protection Against Return To Serious Harm and shall apply this Article to treaty-linked governmental measures, programs, administration and covered economic activity where that interest is materially affected. The Parties shall prevent transfer or return where applicable law protects against persecution, torture or other serious harm, with individualized assessment and meaningful review.</w:t>
      </w:r>
    </w:p>
    <w:p>
      <w:pPr>
        <w:pStyle w:val="Heading3"/>
      </w:pPr>
      <w:r>
        <w:t>HR4-062. Non-Refoulement And Protection Against Return To Serious Harm: Minimum Reciprocal Floor</w:t>
      </w:r>
    </w:p>
    <w:p>
      <w:pPr>
        <w:pStyle w:val="Normal"/>
      </w:pPr>
      <w:r>
        <w:t>Each Party shall maintain, through its constitutionally competent authorities and lawful institutions, a minimum effective floor under which it shall prevent transfer or return where applicable law protects against persecution, torture or other serious harm, with individualized assessment and meaningful review. A Party may use different legal or institutional means where those means provide functionally equivalent or stronger protection.</w:t>
      </w:r>
    </w:p>
    <w:p>
      <w:pPr>
        <w:pStyle w:val="Heading3"/>
      </w:pPr>
      <w:r>
        <w:t>HR4-063. Non-Refoulement And Protection Against Return To Serious Harm: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HR4-064. Independent Asylum And Protection Adjudication: Scope and Protected Interest</w:t>
      </w:r>
    </w:p>
    <w:p>
      <w:pPr>
        <w:pStyle w:val="Normal"/>
      </w:pPr>
      <w:r>
        <w:t>For purposes of this Framework, the Parties recognize the protected interest addressed by Independent Asylum And Protection Adjudication and shall apply this Article to treaty-linked governmental measures, programs, administration and covered economic activity where that interest is materially affected. The Parties shall preserve independent protection determinations, access to evidence, interpretation, vulnerability-sensitive procedures and meaningful review.</w:t>
      </w:r>
    </w:p>
    <w:p>
      <w:pPr>
        <w:pStyle w:val="Heading3"/>
      </w:pPr>
      <w:r>
        <w:t>HR4-065. Independent Asylum And Protection Adjudication: Minimum Reciprocal Floor</w:t>
      </w:r>
    </w:p>
    <w:p>
      <w:pPr>
        <w:pStyle w:val="Normal"/>
      </w:pPr>
      <w:r>
        <w:t>Each Party shall maintain, through its constitutionally competent authorities and lawful institutions, a minimum effective floor under which it shall preserve independent protection determinations, access to evidence, interpretation, vulnerability-sensitive procedures and meaningful review. A Party may use different legal or institutional means where those means provide functionally equivalent or stronger protection.</w:t>
      </w:r>
    </w:p>
    <w:p>
      <w:pPr>
        <w:pStyle w:val="Heading3"/>
      </w:pPr>
      <w:r>
        <w:t>HR4-066. Independent Asylum And Protection Adjudication: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HR4-067. Gender/Sogiesc/Trafficking-Sensitive Protection Claims: Scope and Protected Interest</w:t>
      </w:r>
    </w:p>
    <w:p>
      <w:pPr>
        <w:pStyle w:val="Normal"/>
      </w:pPr>
      <w:r>
        <w:t>For purposes of this Framework, the Parties recognize the protected interest addressed by Gender/Sogiesc/Trafficking-Sensitive Protection Claims and shall apply this Article to treaty-linked governmental measures, programs, administration and covered economic activity where that interest is materially affected. The Parties shall separate victim protection from immigration or labour enforcement leverage and protect access to reporting, assistance and remedy.</w:t>
      </w:r>
    </w:p>
    <w:p>
      <w:pPr>
        <w:pStyle w:val="Heading3"/>
      </w:pPr>
      <w:r>
        <w:t>HR4-068. Gender/Sogiesc/Trafficking-Sensitive Protection Claims: Minimum Reciprocal Floor</w:t>
      </w:r>
    </w:p>
    <w:p>
      <w:pPr>
        <w:pStyle w:val="Normal"/>
      </w:pPr>
      <w:r>
        <w:t>Each Party shall maintain, through its constitutionally competent authorities and lawful institutions, a minimum effective floor under which it shall separate victim protection from immigration or labour enforcement leverage and protect access to reporting, assistance and remedy. A Party may use different legal or institutional means where those means provide functionally equivalent or stronger protection.</w:t>
      </w:r>
    </w:p>
    <w:p>
      <w:pPr>
        <w:pStyle w:val="Heading3"/>
      </w:pPr>
      <w:r>
        <w:t>HR4-069. Gender/Sogiesc/Trafficking-Sensitive Protection Claims: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HR4-070. Vulnerability Screening In Migration: Scope and Protected Interest</w:t>
      </w:r>
    </w:p>
    <w:p>
      <w:pPr>
        <w:pStyle w:val="Normal"/>
      </w:pPr>
      <w:r>
        <w:t>For purposes of this Framework, the Parties recognize the protected interest addressed by Vulnerability Screening In Migration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HR4-071. Vulnerability Screening In Migration: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HR4-072. Vulnerability Screening In Migration: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HR4-073. Family Unity In Migration Administration: Scope and Protected Interest</w:t>
      </w:r>
    </w:p>
    <w:p>
      <w:pPr>
        <w:pStyle w:val="Normal"/>
      </w:pPr>
      <w:r>
        <w:t>For purposes of this Framework, the Parties recognize the protected interest addressed by Family Unity In Migration Administration and shall apply this Article to treaty-linked governmental measures, programs, administration and covered economic activity where that interest is materially affected. The Parties shall avoid arbitrary family separation and discrimination based on caregiving status while preserving lawful child-protection, safety and judicial decision-making.</w:t>
      </w:r>
    </w:p>
    <w:p>
      <w:pPr>
        <w:pStyle w:val="Heading3"/>
      </w:pPr>
      <w:r>
        <w:t>HR4-074. Family Unity In Migration Administration: Minimum Reciprocal Floor</w:t>
      </w:r>
    </w:p>
    <w:p>
      <w:pPr>
        <w:pStyle w:val="Normal"/>
      </w:pPr>
      <w:r>
        <w:t>Each Party shall maintain, through its constitutionally competent authorities and lawful institutions, a minimum effective floor under which it shall avoid arbitrary family separation and discrimination based on caregiving status while preserving lawful child-protection, safety and judicial decision-making. A Party may use different legal or institutional means where those means provide functionally equivalent or stronger protection.</w:t>
      </w:r>
    </w:p>
    <w:p>
      <w:pPr>
        <w:pStyle w:val="Heading3"/>
      </w:pPr>
      <w:r>
        <w:t>HR4-075. Family Unity In Migration Administration: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HR4-076. Family Unity In Migration Administration: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HR4-077. Child-Sensitive Migration Safeguards: Scope and Protected Interest</w:t>
      </w:r>
    </w:p>
    <w:p>
      <w:pPr>
        <w:pStyle w:val="Normal"/>
      </w:pPr>
      <w:r>
        <w:t>For purposes of this Framework, the Parties recognize the protected interest addressed by Child-Sensitive Migration Safeguards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HR4-078. Child-Sensitive Migration Safeguards: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HR4-079. Child-Sensitive Migration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HR4-080. Child-Sensitive Migration Safeguards: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HR4-081. Trafficking-Victim Firewall: Scope and Protected Interest</w:t>
      </w:r>
    </w:p>
    <w:p>
      <w:pPr>
        <w:pStyle w:val="Normal"/>
      </w:pPr>
      <w:r>
        <w:t>For purposes of this Framework, the Parties recognize the protected interest addressed by Trafficking-Victim Firewall and shall apply this Article to treaty-linked governmental measures, programs, administration and covered economic activity where that interest is materially affected. The Parties shall separate victim protection from immigration or labour enforcement leverage and protect access to reporting, assistance and remedy.</w:t>
      </w:r>
    </w:p>
    <w:p>
      <w:pPr>
        <w:pStyle w:val="Heading3"/>
      </w:pPr>
      <w:r>
        <w:t>HR4-082. Trafficking-Victim Firewall: Minimum Reciprocal Floor</w:t>
      </w:r>
    </w:p>
    <w:p>
      <w:pPr>
        <w:pStyle w:val="Normal"/>
      </w:pPr>
      <w:r>
        <w:t>Each Party shall maintain, through its constitutionally competent authorities and lawful institutions, a minimum effective floor under which it shall separate victim protection from immigration or labour enforcement leverage and protect access to reporting, assistance and remedy. A Party may use different legal or institutional means where those means provide functionally equivalent or stronger protection.</w:t>
      </w:r>
    </w:p>
    <w:p>
      <w:pPr>
        <w:pStyle w:val="Heading3"/>
      </w:pPr>
      <w:r>
        <w:t>HR4-083. Trafficking-Victim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HR4-084. Workplace Enforcement And Labour-Rights Firewall: Scope and Protected Interest</w:t>
      </w:r>
    </w:p>
    <w:p>
      <w:pPr>
        <w:pStyle w:val="Normal"/>
      </w:pPr>
      <w:r>
        <w:t>For purposes of this Framework, the Parties recognize the protected interest addressed by Workplace Enforcement And Labour-Rights Firewall and shall apply this Article to treaty-linked governmental measures, programs, administration and covered economic activity where that interest is materially affected. The Parties shall require necessity, proportionality, de-escalation where feasible, medical response, incident documentation and independent review of serious uses of force.</w:t>
      </w:r>
    </w:p>
    <w:p>
      <w:pPr>
        <w:pStyle w:val="Heading3"/>
      </w:pPr>
      <w:r>
        <w:t>HR4-085. Workplace Enforcement And Labour-Rights Firewall: Minimum Reciprocal Floor</w:t>
      </w:r>
    </w:p>
    <w:p>
      <w:pPr>
        <w:pStyle w:val="Normal"/>
      </w:pPr>
      <w:r>
        <w:t>Each Party shall maintain, through its constitutionally competent authorities and lawful institutions, a minimum effective floor under which it shall require necessity, proportionality, de-escalation where feasible, medical response, incident documentation and independent review of serious uses of force. A Party may use different legal or institutional means where those means provide functionally equivalent or stronger protection.</w:t>
      </w:r>
    </w:p>
    <w:p>
      <w:pPr>
        <w:pStyle w:val="Heading3"/>
      </w:pPr>
      <w:r>
        <w:t>HR4-086. Workplace Enforcement And Labour-Rights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HR4-087. Workplace Enforcement And Labour-Rights Firewall: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HR4-088. Profiling And Discriminatory Targeting Prohibition: Scope and Protected Interest</w:t>
      </w:r>
    </w:p>
    <w:p>
      <w:pPr>
        <w:pStyle w:val="Normal"/>
      </w:pPr>
      <w:r>
        <w:t>For purposes of this Framework, the Parties recognize the protected interest addressed by Profiling And Discriminatory Targeting Prohibition and shall apply this Article to treaty-linked governmental measures, programs, administration and covered economic activity where that interest is materially affected. The Parties shall prohibit protected characteristics from serving as a sole or disguised proxy for risk and require material risk indicators, documentation and review for high-impact targeting.</w:t>
      </w:r>
    </w:p>
    <w:p>
      <w:pPr>
        <w:pStyle w:val="Heading3"/>
      </w:pPr>
      <w:r>
        <w:t>HR4-089. Profiling And Discriminatory Targeting Prohibition: Minimum Reciprocal Floor</w:t>
      </w:r>
    </w:p>
    <w:p>
      <w:pPr>
        <w:pStyle w:val="Normal"/>
      </w:pPr>
      <w:r>
        <w:t>Each Party shall maintain, through its constitutionally competent authorities and lawful institutions, a minimum effective floor under which it shall prohibit protected characteristics from serving as a sole or disguised proxy for risk and require material risk indicators, documentation and review for high-impact targeting. A Party may use different legal or institutional means where those means provide functionally equivalent or stronger protection.</w:t>
      </w:r>
    </w:p>
    <w:p>
      <w:pPr>
        <w:pStyle w:val="Heading3"/>
      </w:pPr>
      <w:r>
        <w:t>HR4-090. Profiling And Discriminatory Targeting Prohibition: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HR4-091. Immigration Legal Access And Language Assistance: Scope and Protected Interest</w:t>
      </w:r>
    </w:p>
    <w:p>
      <w:pPr>
        <w:pStyle w:val="Normal"/>
      </w:pPr>
      <w:r>
        <w:t>For purposes of this Framework, the Parties recognize the protected interest addressed by Immigration Legal Access And Language Assistance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pPr>
      <w:r>
        <w:t>HR4-092. Immigration Legal Access And Language Assistance: Minimum Reciprocal Floor</w:t>
      </w:r>
    </w:p>
    <w:p>
      <w:pPr>
        <w:pStyle w:val="Normal"/>
      </w:pPr>
      <w: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pPr>
      <w:r>
        <w:t>HR4-093. Immigration Legal Access And Language Assistance: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HR4-094. Immigration Legal Access And Language Assistance: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HR4-095. Migration-Data Minimization And Sensitive-Service Firewall: Scope and Protected Interest</w:t>
      </w:r>
    </w:p>
    <w:p>
      <w:pPr>
        <w:pStyle w:val="Normal"/>
      </w:pPr>
      <w:r>
        <w:t>For purposes of this Framework, the Parties recognize the protected interest addressed by Migration-Data Minimization And Sensitive-Service Firewall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HR4-096. Migration-Data Minimization And Sensitive-Service Firewall: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HR4-097. Migration-Data Minimization And Sensitive-Service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HR4-098. Transfer, Removal And Custody Continuity Safeguards: Scope and Protected Interest</w:t>
      </w:r>
    </w:p>
    <w:p>
      <w:pPr>
        <w:pStyle w:val="Normal"/>
      </w:pPr>
      <w:r>
        <w:t>For purposes of this Framework, the Parties recognize the protected interest addressed by Transfer, Removal And Custody Continuity Safeguards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HR4-099. Transfer, Removal And Custody Continuity Safeguards: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HR4-100. Transfer, Removal And Custody Continuity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2" w:name="_Toc300002541"/>
      <w:r>
        <w:t>CL-9. CUSTODY, DETENTION AND CORRECTIONS RIGHTS</w:t>
      </w:r>
      <w:bookmarkEnd w:id="902542"/>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HR4-101. Humane Custody Floor: Scope and Protected Interest</w:t>
      </w:r>
    </w:p>
    <w:p>
      <w:pPr>
        <w:pStyle w:val="Normal"/>
      </w:pPr>
      <w:r>
        <w:t>For purposes of this Framework, the Parties recognize the protected interest addressed by Humane Custody Floor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HR4-102. Humane Custody Floor: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HR4-103. Humane Custody Floor: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HR4-104. Humane Custody Floor: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HR4-105. Children, Pregnancy, Disability And Vulnerability In Custody: Scope and Protected Interest</w:t>
      </w:r>
    </w:p>
    <w:p>
      <w:pPr>
        <w:pStyle w:val="Normal"/>
      </w:pPr>
      <w:r>
        <w:t>For purposes of this Framework, the Parties recognize the protected interest addressed by Children, Pregnancy, Disability And Vulnerability In Custody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HR4-106. Children, Pregnancy, Disability And Vulnerability In Custody: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HR4-107. Children, Pregnancy, Disability And Vulnerability In Custody: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HR4-108. Solitary/Restrictive-Housing Safeguards: Scope and Protected Interest</w:t>
      </w:r>
    </w:p>
    <w:p>
      <w:pPr>
        <w:pStyle w:val="Normal"/>
      </w:pPr>
      <w:r>
        <w:t>For purposes of this Framework, the Parties recognize the protected interest addressed by Solitary/Restrictive-Housing Safeguards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HR4-109. Solitary/Restrictive-Housing Safeguards: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HR4-110. Solitary/Restrictive-Housing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HR4-111. Custodial Healthcare Independence And Continuity: Scope and Protected Interest</w:t>
      </w:r>
    </w:p>
    <w:p>
      <w:pPr>
        <w:pStyle w:val="Normal"/>
      </w:pPr>
      <w:r>
        <w:t>For purposes of this Framework, the Parties recognize the protected interest addressed by Custodial Healthcare Independence And Continuity and shall apply this Article to treaty-linked governmental measures, programs, administration and covered economic activity where that interest is materially affected. The Parties shall protect clinical independence, continuity of necessary care, medical confidentiality and transfer of essential records without allowing non-clinical punishment to dictate treatment.</w:t>
      </w:r>
    </w:p>
    <w:p>
      <w:pPr>
        <w:pStyle w:val="Heading3"/>
      </w:pPr>
      <w:r>
        <w:t>HR4-112. Custodial Healthcare Independence And Continuity: Minimum Reciprocal Floor</w:t>
      </w:r>
    </w:p>
    <w:p>
      <w:pPr>
        <w:pStyle w:val="Normal"/>
      </w:pPr>
      <w:r>
        <w:t>Each Party shall maintain, through its constitutionally competent authorities and lawful institutions, a minimum effective floor under which it shall protect clinical independence, continuity of necessary care, medical confidentiality and transfer of essential records without allowing non-clinical punishment to dictate treatment. A Party may use different legal or institutional means where those means provide functionally equivalent or stronger protection.</w:t>
      </w:r>
    </w:p>
    <w:p>
      <w:pPr>
        <w:pStyle w:val="Heading3"/>
      </w:pPr>
      <w:r>
        <w:t>HR4-113. Custodial Healthcare Independence And Continuity: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3" w:name="_Toc300002542"/>
      <w:r>
        <w:t>CL-10. INDIGENOUS RIGHTS AND ECONOMIC PARTICIPATION</w:t>
      </w:r>
      <w:bookmarkEnd w:id="902543"/>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HR4-114. Indigenous-Rights Non-Derogation And Savings: Scope and Protected Interest</w:t>
      </w:r>
    </w:p>
    <w:p>
      <w:pPr>
        <w:pStyle w:val="Normal"/>
      </w:pPr>
      <w:r>
        <w:t>For purposes of this Framework, the Parties recognize the protected interest addressed by Indigenous-Rights Non-Derogation And Savings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HR4-115. Indigenous-Rights Non-Derogation And Savings: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HR4-116. Indigenous-Rights Non-Derogation And Savings: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HR4-117. Indigenous-Rights Non-Derogation And Savings: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HR4-118. Indigenous-Rights Non-Derogation And Savings: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HR4-119. Meaningful Consultation And Participation: Scope and Protected Interest</w:t>
      </w:r>
    </w:p>
    <w:p>
      <w:pPr>
        <w:pStyle w:val="Normal"/>
      </w:pPr>
      <w:r>
        <w:t>For purposes of this Framework, the Parties recognize the protected interest addressed by Meaningful Consultation And Participation and shall apply this Article to treaty-linked governmental measures, programs, administration and covered economic activity where that interest is materially affected. The Parties shall use existing institutions where possible, transparent criteria, diverse expertise, confidentiality safeguards and periodic review without creating duplicative bureaucracy or private enforcement by implication.</w:t>
      </w:r>
    </w:p>
    <w:p>
      <w:pPr>
        <w:pStyle w:val="Heading3"/>
      </w:pPr>
      <w:r>
        <w:t>HR4-120. Meaningful Consultation And Participation: Minimum Reciprocal Floor</w:t>
      </w:r>
    </w:p>
    <w:p>
      <w:pPr>
        <w:pStyle w:val="Normal"/>
      </w:pPr>
      <w:r>
        <w:t>Each Party shall maintain, through its constitutionally competent authorities and lawful institutions, a minimum effective floor under which it shall use existing institutions where possible, transparent criteria, diverse expertise, confidentiality safeguards and periodic review without creating duplicative bureaucracy or private enforcement by implication. A Party may use different legal or institutional means where those means provide functionally equivalent or stronger protection.</w:t>
      </w:r>
    </w:p>
    <w:p>
      <w:pPr>
        <w:pStyle w:val="Heading3"/>
      </w:pPr>
      <w:r>
        <w:t>HR4-121. Meaningful Consultation And Participation: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HR4-122. Meaningful Consultation And Participation: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HR4-123. Meaningful Consultation And Participation: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HR4-124. Traditional Knowledge Protection: Scope and Protected Interest</w:t>
      </w:r>
    </w:p>
    <w:p>
      <w:pPr>
        <w:pStyle w:val="Normal"/>
      </w:pPr>
      <w:r>
        <w:t>For purposes of this Framework, the Parties recognize the protected interest addressed by Traditional Knowledge Protection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HR4-125. Traditional Knowledge Protection: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HR4-126. Traditional Knowledge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HR4-127. Traditional Knowledge Protection: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HR4-128. Traditional Cultural Expressions And Heritage Protection: Scope and Protected Interest</w:t>
      </w:r>
    </w:p>
    <w:p>
      <w:pPr>
        <w:pStyle w:val="Normal"/>
      </w:pPr>
      <w:r>
        <w:t>For purposes of this Framework, the Parties recognize the protected interest addressed by Traditional Cultural Expressions And Heritage Protection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HR4-129. Traditional Cultural Expressions And Heritage Protection: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HR4-130. Traditional Cultural Expressions And Heritage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HR4-131. Traditional Cultural Expressions And Heritage Protection: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HR4-132. Indigenous Women, Youth And Vulnerable-Member Safeguards: Scope and Protected Interest</w:t>
      </w:r>
    </w:p>
    <w:p>
      <w:pPr>
        <w:pStyle w:val="Normal"/>
      </w:pPr>
      <w:r>
        <w:t>For purposes of this Framework, the Parties recognize the protected interest addressed by Indigenous Women, Youth And Vulnerable-Member Safeguards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HR4-133. Indigenous Women, Youth And Vulnerable-Member Safeguards: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HR4-134. Indigenous Women, Youth And Vulnerable-Member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HR4-135. Indigenous Women, Youth And Vulnerable-Member Safeguards: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HR4-136. Indigenous Grievance And Remedy Access: Scope and Protected Interest</w:t>
      </w:r>
    </w:p>
    <w:p>
      <w:pPr>
        <w:pStyle w:val="Normal"/>
      </w:pPr>
      <w:r>
        <w:t>For purposes of this Framework, the Parties recognize the protected interest addressed by Indigenous Grievance And Remedy Access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pPr>
      <w:r>
        <w:t>HR4-137. Indigenous Grievance And Remedy Access: Minimum Reciprocal Floor</w:t>
      </w:r>
    </w:p>
    <w:p>
      <w:pPr>
        <w:pStyle w:val="Normal"/>
      </w:pPr>
      <w: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pPr>
      <w:r>
        <w:t>HR4-138. Indigenous Grievance And Remedy Access: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HR4-139. Indigenous-Language And Cultural Accessibility: Scope and Protected Interest</w:t>
      </w:r>
    </w:p>
    <w:p>
      <w:pPr>
        <w:pStyle w:val="Normal"/>
      </w:pPr>
      <w:r>
        <w:t>For purposes of this Framework, the Parties recognize the protected interest addressed by Indigenous-Language And Cultural Accessibility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pPr>
      <w:r>
        <w:t>HR4-140. Indigenous-Language And Cultural Accessibility: Minimum Reciprocal Floor</w:t>
      </w:r>
    </w:p>
    <w:p>
      <w:pPr>
        <w:pStyle w:val="Normal"/>
      </w:pPr>
      <w: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pPr>
      <w:r>
        <w:t>HR4-141. Indigenous-Language And Cultural Accessibility: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4" w:name="_Toc300002543"/>
      <w:r>
        <w:t>CL-11. DIGITAL, PRIVACY, DATA AND AUTOMATED-DECISION RIGHTS</w:t>
      </w:r>
      <w:bookmarkEnd w:id="902544"/>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HR4-142. Privacy And Personal-Information Protection Floor: Scope and Protected Interest</w:t>
      </w:r>
    </w:p>
    <w:p>
      <w:pPr>
        <w:pStyle w:val="Normal"/>
      </w:pPr>
      <w:r>
        <w:t>For purposes of this Framework, the Parties recognize the protected interest addressed by Privacy And Personal-Information Protection Floor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HR4-143. Privacy And Personal-Information Protection Floor: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HR4-144. Privacy And Personal-Information Protection Floor: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HR4-145. Privacy And Personal-Information Protection Floor: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HR4-146. Sensitive-Data Heightened Safeguards: Scope and Protected Interest</w:t>
      </w:r>
    </w:p>
    <w:p>
      <w:pPr>
        <w:pStyle w:val="Normal"/>
      </w:pPr>
      <w:r>
        <w:t>For purposes of this Framework, the Parties recognize the protected interest addressed by Sensitive-Data Heightened Safeguards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HR4-147. Sensitive-Data Heightened Safeguards: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HR4-148. Sensitive-Data Heightened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HR4-149. Government Access And Surveillance Safeguards: Scope and Protected Interest</w:t>
      </w:r>
    </w:p>
    <w:p>
      <w:pPr>
        <w:pStyle w:val="Normal"/>
      </w:pPr>
      <w:r>
        <w:t>For purposes of this Framework, the Parties recognize the protected interest addressed by Government Access And Surveillance Safeguards and shall apply this Article to treaty-linked governmental measures, programs, administration and covered economic activity where that interest is materially affected. The Parties shall apply heightened necessity, proportionality, accuracy, bias testing, authorization, logging, retention and review safeguards to intrusive or identity-sensitive technologies.</w:t>
      </w:r>
    </w:p>
    <w:p>
      <w:pPr>
        <w:pStyle w:val="Heading3"/>
      </w:pPr>
      <w:r>
        <w:t>HR4-150. Government Access And Surveillance Safeguards: Minimum Reciprocal Floor</w:t>
      </w:r>
    </w:p>
    <w:p>
      <w:pPr>
        <w:pStyle w:val="Normal"/>
      </w:pPr>
      <w:r>
        <w:t>Each Party shall maintain, through its constitutionally competent authorities and lawful institutions, a minimum effective floor under which it shall apply heightened necessity, proportionality, accuracy, bias testing, authorization, logging, retention and review safeguards to intrusive or identity-sensitive technologies. A Party may use different legal or institutional means where those means provide functionally equivalent or stronger protection.</w:t>
      </w:r>
    </w:p>
    <w:p>
      <w:pPr>
        <w:pStyle w:val="Heading3"/>
      </w:pPr>
      <w:r>
        <w:t>HR4-151. Government Access And Surveillance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HR4-152. Automated High-Impact Decision Safeguards: Scope and Protected Interest</w:t>
      </w:r>
    </w:p>
    <w:p>
      <w:pPr>
        <w:pStyle w:val="Normal"/>
      </w:pPr>
      <w:r>
        <w:t>For purposes of this Framework, the Parties recognize the protected interest addressed by Automated High-Impact Decision Safeguards and shall apply this Article to treaty-linked governmental measures, programs, administration and covered economic activity where that interest is materially affected. The Parties shall require meaningful human responsibility for high-impact decisions, testing for discriminatory proxies, intelligible reasons where appropriate, correction pathways and appeal or review.</w:t>
      </w:r>
    </w:p>
    <w:p>
      <w:pPr>
        <w:pStyle w:val="Heading3"/>
      </w:pPr>
      <w:r>
        <w:t>HR4-153. Automated High-Impact Decision Safeguards: Minimum Reciprocal Floor</w:t>
      </w:r>
    </w:p>
    <w:p>
      <w:pPr>
        <w:pStyle w:val="Normal"/>
      </w:pPr>
      <w:r>
        <w:t>Each Party shall maintain, through its constitutionally competent authorities and lawful institutions, a minimum effective floor under which it shall require meaningful human responsibility for high-impact decisions, testing for discriminatory proxies, intelligible reasons where appropriate, correction pathways and appeal or review. A Party may use different legal or institutional means where those means provide functionally equivalent or stronger protection.</w:t>
      </w:r>
    </w:p>
    <w:p>
      <w:pPr>
        <w:pStyle w:val="Heading3"/>
      </w:pPr>
      <w:r>
        <w:t>HR4-154. Automated High-Impact Decision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HR4-155. Algorithmic Discrimination And Proxy Protection: Scope and Protected Interest</w:t>
      </w:r>
    </w:p>
    <w:p>
      <w:pPr>
        <w:pStyle w:val="Normal"/>
      </w:pPr>
      <w:r>
        <w:t>For purposes of this Framework, the Parties recognize the protected interest addressed by Algorithmic Discrimination And Proxy Protection and shall apply this Article to treaty-linked governmental measures, programs, administration and covered economic activity where that interest is materially affected. The Parties shall require meaningful human responsibility for high-impact decisions, testing for discriminatory proxies, intelligible reasons where appropriate, correction pathways and appeal or review.</w:t>
      </w:r>
    </w:p>
    <w:p>
      <w:pPr>
        <w:pStyle w:val="Heading3"/>
      </w:pPr>
      <w:r>
        <w:t>HR4-156. Algorithmic Discrimination And Proxy Protection: Minimum Reciprocal Floor</w:t>
      </w:r>
    </w:p>
    <w:p>
      <w:pPr>
        <w:pStyle w:val="Normal"/>
      </w:pPr>
      <w:r>
        <w:t>Each Party shall maintain, through its constitutionally competent authorities and lawful institutions, a minimum effective floor under which it shall require meaningful human responsibility for high-impact decisions, testing for discriminatory proxies, intelligible reasons where appropriate, correction pathways and appeal or review. A Party may use different legal or institutional means where those means provide functionally equivalent or stronger protection.</w:t>
      </w:r>
    </w:p>
    <w:p>
      <w:pPr>
        <w:pStyle w:val="Heading3"/>
      </w:pPr>
      <w:r>
        <w:t>HR4-157. Algorithmic Discrimination And Proxy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HR4-158. Cross-Border Data Transfer Rights Firewall: Scope and Protected Interest</w:t>
      </w:r>
    </w:p>
    <w:p>
      <w:pPr>
        <w:pStyle w:val="Normal"/>
      </w:pPr>
      <w:r>
        <w:t>For purposes of this Framework, the Parties recognize the protected interest addressed by Cross-Border Data Transfer Rights Firewall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HR4-159. Cross-Border Data Transfer Rights Firewall: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HR4-160. Cross-Border Data Transfer Rights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5" w:name="_Toc300002544"/>
      <w:r>
        <w:t>CL-12. BUSINESS, CORPORATE AND SUPPLY-CHAIN HUMAN RIGHTS</w:t>
      </w:r>
      <w:bookmarkEnd w:id="902545"/>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HR4-161. Modern-Slavery And Forced-Labour Supply-Chain Controls: Scope and Protected Interest</w:t>
      </w:r>
    </w:p>
    <w:p>
      <w:pPr>
        <w:pStyle w:val="Normal"/>
      </w:pPr>
      <w:r>
        <w:t>For purposes of this Framework, the Parties recognize the protected interest addressed by Modern-Slavery And Forced-Labour Supply-Chain Controls and shall apply this Article to treaty-linked governmental measures, programs, administration and covered economic activity where that interest is materially affected. The Parties shall prohibit forced or compulsory labour and the worst forms of child labour, support traceability and remediation, and avoid punishing victims for coercion imposed upon them.</w:t>
      </w:r>
    </w:p>
    <w:p>
      <w:pPr>
        <w:pStyle w:val="Heading3"/>
      </w:pPr>
      <w:r>
        <w:t>HR4-162. Modern-Slavery And Forced-Labour Supply-Chain Controls: Minimum Reciprocal Floor</w:t>
      </w:r>
    </w:p>
    <w:p>
      <w:pPr>
        <w:pStyle w:val="Normal"/>
      </w:pPr>
      <w:r>
        <w:t>Each Party shall maintain, through its constitutionally competent authorities and lawful institutions, a minimum effective floor under which it shall prohibit forced or compulsory labour and the worst forms of child labour, support traceability and remediation, and avoid punishing victims for coercion imposed upon them. A Party may use different legal or institutional means where those means provide functionally equivalent or stronger protection.</w:t>
      </w:r>
    </w:p>
    <w:p>
      <w:pPr>
        <w:pStyle w:val="Heading3"/>
      </w:pPr>
      <w:r>
        <w:t>HR4-163. Modern-Slavery And Forced-Labour Supply-Chain Controls: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HR4-164. Whistleblower And Defender Protection: Scope and Protected Interest</w:t>
      </w:r>
    </w:p>
    <w:p>
      <w:pPr>
        <w:pStyle w:val="Normal"/>
      </w:pPr>
      <w:r>
        <w:t>For purposes of this Framework, the Parties recognize the protected interest addressed by Whistleblower And Defender Protection and shall apply this Article to treaty-linked governmental measures, programs, administration and covered economic activity where that interest is materially affected. The Parties shall protect good-faith reporting and advocacy from retaliation, threats and abusive process while preserving safeguards against knowingly false or unlawful conduct.</w:t>
      </w:r>
    </w:p>
    <w:p>
      <w:pPr>
        <w:pStyle w:val="Heading3"/>
      </w:pPr>
      <w:r>
        <w:t>HR4-165. Whistleblower And Defender Protection: Minimum Reciprocal Floor</w:t>
      </w:r>
    </w:p>
    <w:p>
      <w:pPr>
        <w:pStyle w:val="Normal"/>
      </w:pPr>
      <w:r>
        <w:t>Each Party shall maintain, through its constitutionally competent authorities and lawful institutions, a minimum effective floor under which it shall protect good-faith reporting and advocacy from retaliation, threats and abusive process while preserving safeguards against knowingly false or unlawful conduct. A Party may use different legal or institutional means where those means provide functionally equivalent or stronger protection.</w:t>
      </w:r>
    </w:p>
    <w:p>
      <w:pPr>
        <w:pStyle w:val="Heading3"/>
      </w:pPr>
      <w:r>
        <w:t>HR4-166. Whistleblower And Defender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6" w:name="_Toc300002545"/>
      <w:r>
        <w:t>CL-13. ENVIRONMENTAL AND COMMUNITY RIGHTS</w:t>
      </w:r>
      <w:bookmarkEnd w:id="902546"/>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HR4-167. Environmental Non-Regression And Enforcement: Scope and Protected Interest</w:t>
      </w:r>
    </w:p>
    <w:p>
      <w:pPr>
        <w:pStyle w:val="Normal"/>
      </w:pPr>
      <w:r>
        <w:t>For purposes of this Framework, the Parties recognize the protected interest addressed by Environmental Non-Regression And Enforcement and shall apply this Article to treaty-linked governmental measures, programs, administration and covered economic activity where that interest is materially affected. The Parties shall require necessity, proportionality, de-escalation where feasible, medical response, incident documentation and independent review of serious uses of force.</w:t>
      </w:r>
    </w:p>
    <w:p>
      <w:pPr>
        <w:pStyle w:val="Heading3"/>
      </w:pPr>
      <w:r>
        <w:t>HR4-168. Environmental Non-Regression And Enforcement: Minimum Reciprocal Floor</w:t>
      </w:r>
    </w:p>
    <w:p>
      <w:pPr>
        <w:pStyle w:val="Normal"/>
      </w:pPr>
      <w:r>
        <w:t>Each Party shall maintain, through its constitutionally competent authorities and lawful institutions, a minimum effective floor under which it shall require necessity, proportionality, de-escalation where feasible, medical response, incident documentation and independent review of serious uses of force. A Party may use different legal or institutional means where those means provide functionally equivalent or stronger protection.</w:t>
      </w:r>
    </w:p>
    <w:p>
      <w:pPr>
        <w:pStyle w:val="Heading3"/>
      </w:pPr>
      <w:r>
        <w:t>HR4-169. Environmental Non-Regression And Enforcement: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HR4-170. Right-To-Regulate And Precautionary Protection: Scope and Protected Interest</w:t>
      </w:r>
    </w:p>
    <w:p>
      <w:pPr>
        <w:pStyle w:val="Normal"/>
      </w:pPr>
      <w:r>
        <w:t>For purposes of this Framework, the Parties recognize the protected interest addressed by Right-To-Regulate And Precautionary Protection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HR4-171. Right-To-Regulate And Precautionary Protection: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HR4-172. Right-To-Regulate And Precautionary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HR4-173. Public Participation And Environmental Information: Scope and Protected Interest</w:t>
      </w:r>
    </w:p>
    <w:p>
      <w:pPr>
        <w:pStyle w:val="Normal"/>
      </w:pPr>
      <w:r>
        <w:t>For purposes of this Framework, the Parties recognize the protected interest addressed by Public Participation And Environmental Information and shall apply this Article to treaty-linked governmental measures, programs, administration and covered economic activity where that interest is materially affected. The Parties shall preserve each Party’s chosen level of environmental protection, prevent trade-driven non-enforcement or regression, and support evidence-based participation, conservation and transition cooperation.</w:t>
      </w:r>
    </w:p>
    <w:p>
      <w:pPr>
        <w:pStyle w:val="Heading3"/>
      </w:pPr>
      <w:r>
        <w:t>HR4-174. Public Participation And Environmental Information: Minimum Reciprocal Floor</w:t>
      </w:r>
    </w:p>
    <w:p>
      <w:pPr>
        <w:pStyle w:val="Normal"/>
      </w:pPr>
      <w:r>
        <w:t>Each Party shall maintain, through its constitutionally competent authorities and lawful institutions, a minimum effective floor under which it shall preserve each Party’s chosen level of environmental protection, prevent trade-driven non-enforcement or regression, and support evidence-based participation, conservation and transition cooperation. A Party may use different legal or institutional means where those means provide functionally equivalent or stronger protection.</w:t>
      </w:r>
    </w:p>
    <w:p>
      <w:pPr>
        <w:pStyle w:val="Heading3"/>
      </w:pPr>
      <w:r>
        <w:t>HR4-175. Public Participation And Environmental Information: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HR4-176. Environmental Defender Protection: Scope and Protected Interest</w:t>
      </w:r>
    </w:p>
    <w:p>
      <w:pPr>
        <w:pStyle w:val="Normal"/>
      </w:pPr>
      <w:r>
        <w:t>For purposes of this Framework, the Parties recognize the protected interest addressed by Environmental Defender Protection and shall apply this Article to treaty-linked governmental measures, programs, administration and covered economic activity where that interest is materially affected. The Parties shall protect good-faith reporting and advocacy from retaliation, threats and abusive process while preserving safeguards against knowingly false or unlawful conduct.</w:t>
      </w:r>
    </w:p>
    <w:p>
      <w:pPr>
        <w:pStyle w:val="Heading3"/>
      </w:pPr>
      <w:r>
        <w:t>HR4-177. Environmental Defender Protection: Minimum Reciprocal Floor</w:t>
      </w:r>
    </w:p>
    <w:p>
      <w:pPr>
        <w:pStyle w:val="Normal"/>
      </w:pPr>
      <w:r>
        <w:t>Each Party shall maintain, through its constitutionally competent authorities and lawful institutions, a minimum effective floor under which it shall protect good-faith reporting and advocacy from retaliation, threats and abusive process while preserving safeguards against knowingly false or unlawful conduct. A Party may use different legal or institutional means where those means provide functionally equivalent or stronger protection.</w:t>
      </w:r>
    </w:p>
    <w:p>
      <w:pPr>
        <w:pStyle w:val="Heading3"/>
      </w:pPr>
      <w:r>
        <w:t>HR4-178. Environmental Defender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HR4-179. Biodiversity, Habitat And Species Protection: Scope and Protected Interest</w:t>
      </w:r>
    </w:p>
    <w:p>
      <w:pPr>
        <w:pStyle w:val="Normal"/>
      </w:pPr>
      <w:r>
        <w:t>For purposes of this Framework, the Parties recognize the protected interest addressed by Biodiversity, Habitat And Species Protection and shall apply this Article to treaty-linked governmental measures, programs, administration and covered economic activity where that interest is materially affected. The Parties shall preserve each Party’s chosen level of environmental protection, prevent trade-driven non-enforcement or regression, and support evidence-based participation, conservation and transition cooperation.</w:t>
      </w:r>
    </w:p>
    <w:p>
      <w:pPr>
        <w:pStyle w:val="Heading3"/>
      </w:pPr>
      <w:r>
        <w:t>HR4-180. Biodiversity, Habitat And Species Protection: Minimum Reciprocal Floor</w:t>
      </w:r>
    </w:p>
    <w:p>
      <w:pPr>
        <w:pStyle w:val="Normal"/>
      </w:pPr>
      <w:r>
        <w:t>Each Party shall maintain, through its constitutionally competent authorities and lawful institutions, a minimum effective floor under which it shall preserve each Party’s chosen level of environmental protection, prevent trade-driven non-enforcement or regression, and support evidence-based participation, conservation and transition cooperation. A Party may use different legal or institutional means where those means provide functionally equivalent or stronger protection.</w:t>
      </w:r>
    </w:p>
    <w:p>
      <w:pPr>
        <w:pStyle w:val="Heading3"/>
      </w:pPr>
      <w:r>
        <w:t>HR4-181. Biodiversity, Habitat And Species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HR4-182. Biodiversity, Habitat And Species Protection: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2"/>
      </w:pPr>
      <w:bookmarkStart w:id="902547" w:name="_Toc300002546"/>
      <w:r>
        <w:t>CL-14. PUBLIC HEALTH, MEDICINES AND SOCIAL RESILIENCE</w:t>
      </w:r>
      <w:bookmarkEnd w:id="902547"/>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HR4-183. Public-Health Regulatory Autonomy: Scope and Protected Interest</w:t>
      </w:r>
    </w:p>
    <w:p>
      <w:pPr>
        <w:pStyle w:val="Normal"/>
      </w:pPr>
      <w:r>
        <w:t>For purposes of this Framework, the Parties recognize the protected interest addressed by Public-Health Regulatory Autonomy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HR4-184. Public-Health Regulatory Autonomy: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HR4-185. Public-Health Regulatory Autonomy: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HR4-186. Public-Health Regulatory Autonomy: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HR4-187. Access-To-Medicines Safeguard: Scope and Protected Interest</w:t>
      </w:r>
    </w:p>
    <w:p>
      <w:pPr>
        <w:pStyle w:val="Normal"/>
      </w:pPr>
      <w:r>
        <w:t>For purposes of this Framework, the Parties recognize the protected interest addressed by Access-To-Medicines Safeguard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HR4-188. Access-To-Medicines Safeguard: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HR4-189. Access-To-Medicines Safeguard: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HR4-190. Trade-Linked Healthcare Nondiscrimination: Scope and Protected Interest</w:t>
      </w:r>
    </w:p>
    <w:p>
      <w:pPr>
        <w:pStyle w:val="Normal"/>
      </w:pPr>
      <w:r>
        <w:t>For purposes of this Framework, the Parties recognize the protected interest addressed by Trade-Linked Healthcare Nondiscrimination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HR4-191. Trade-Linked Healthcare Nondiscrimination: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HR4-192. Trade-Linked Healthcare Nondiscrimination: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HR4-193. Public-Services Policy-Space Firewall: Scope and Protected Interest</w:t>
      </w:r>
    </w:p>
    <w:p>
      <w:pPr>
        <w:pStyle w:val="Normal"/>
      </w:pPr>
      <w:r>
        <w:t>For purposes of this Framework, the Parties recognize the protected interest addressed by Public-Services Policy-Space Firewall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HR4-194. Public-Services Policy-Space Firewall: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HR4-195. Public-Services Policy-Space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8" w:name="_Toc300002547"/>
      <w:r>
        <w:t>CL-15. DISABILITY RIGHTS AND ACCESSIBILITY</w:t>
      </w:r>
      <w:bookmarkEnd w:id="902548"/>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HR4-196. Treaty-Wide Disability Nondiscrimination: Scope and Protected Interest</w:t>
      </w:r>
    </w:p>
    <w:p>
      <w:pPr>
        <w:pStyle w:val="Normal"/>
      </w:pPr>
      <w:r>
        <w:t>For purposes of this Framework, the Parties recognize the protected interest addressed by Treaty-Wide Disability Nondiscrimination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HR4-197. Treaty-Wide Disability Nondiscrimination: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HR4-198. Treaty-Wide Disability Nondiscrimination: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HR4-199. Treaty-Wide Disability Nondiscrimination: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HR4-200. Reasonable Accommodation: Scope and Protected Interest</w:t>
      </w:r>
    </w:p>
    <w:p>
      <w:pPr>
        <w:pStyle w:val="Normal"/>
      </w:pPr>
      <w:r>
        <w:t>For purposes of this Framework, the Parties recognize the protected interest addressed by Reasonable Accommodation and shall apply this Article to treaty-linked governmental measures, programs, administration and covered economic activity where that interest is materially affected. The Parties shall require non-discriminatory access, reasonable accommodation and accessible communications consistent with legitimate safety, feasibility and undue-hardship standards under applicable law.</w:t>
      </w:r>
    </w:p>
    <w:p>
      <w:pPr>
        <w:pStyle w:val="Heading3"/>
      </w:pPr>
      <w:r>
        <w:t>HR4-201. Reasonable Accommodation: Minimum Reciprocal Floor</w:t>
      </w:r>
    </w:p>
    <w:p>
      <w:pPr>
        <w:pStyle w:val="Normal"/>
      </w:pPr>
      <w:r>
        <w:t>Each Party shall maintain, through its constitutionally competent authorities and lawful institutions, a minimum effective floor under which it shall require non-discriminatory access, reasonable accommodation and accessible communications consistent with legitimate safety, feasibility and undue-hardship standards under applicable law. A Party may use different legal or institutional means where those means provide functionally equivalent or stronger protection.</w:t>
      </w:r>
    </w:p>
    <w:p>
      <w:pPr>
        <w:pStyle w:val="Heading3"/>
      </w:pPr>
      <w:r>
        <w:t>HR4-202. Reasonable Accommodation: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HR4-203. Accessible Communication And Formats: Scope and Protected Interest</w:t>
      </w:r>
    </w:p>
    <w:p>
      <w:pPr>
        <w:pStyle w:val="Normal"/>
      </w:pPr>
      <w:r>
        <w:t>For purposes of this Framework, the Parties recognize the protected interest addressed by Accessible Communication And Formats and shall apply this Article to treaty-linked governmental measures, programs, administration and covered economic activity where that interest is materially affected. The Parties shall require non-discriminatory access, reasonable accommodation and accessible communications consistent with legitimate safety, feasibility and undue-hardship standards under applicable law.</w:t>
      </w:r>
    </w:p>
    <w:p>
      <w:pPr>
        <w:pStyle w:val="Heading3"/>
      </w:pPr>
      <w:r>
        <w:t>HR4-204. Accessible Communication And Formats: Minimum Reciprocal Floor</w:t>
      </w:r>
    </w:p>
    <w:p>
      <w:pPr>
        <w:pStyle w:val="Normal"/>
      </w:pPr>
      <w:r>
        <w:t>Each Party shall maintain, through its constitutionally competent authorities and lawful institutions, a minimum effective floor under which it shall require non-discriminatory access, reasonable accommodation and accessible communications consistent with legitimate safety, feasibility and undue-hardship standards under applicable law. A Party may use different legal or institutional means where those means provide functionally equivalent or stronger protection.</w:t>
      </w:r>
    </w:p>
    <w:p>
      <w:pPr>
        <w:pStyle w:val="Heading3"/>
      </w:pPr>
      <w:r>
        <w:t>HR4-205. Accessible Communication And Formats: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9" w:name="_Toc300002548"/>
      <w:r>
        <w:t>CL-16. HOUSING-STATUS, POVERTY AND HOMELESSNESS SAFEGUARDS</w:t>
      </w:r>
      <w:bookmarkEnd w:id="902549"/>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HR4-206. Housing-Status Nondiscrimination Firewall: Scope and Protected Interest</w:t>
      </w:r>
    </w:p>
    <w:p>
      <w:pPr>
        <w:pStyle w:val="Normal"/>
      </w:pPr>
      <w:r>
        <w:t>For purposes of this Framework, the Parties recognize the protected interest addressed by Housing-Status Nondiscrimination Firewall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HR4-207. Housing-Status Nondiscrimination Firewall: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HR4-208. Housing-Status Nondiscrimination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HR4-209. Housing-Status Nondiscrimination Firewall: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HR4-210. No Fixed-Address Exclusion: Scope and Protected Interest</w:t>
      </w:r>
    </w:p>
    <w:p>
      <w:pPr>
        <w:pStyle w:val="Normal"/>
      </w:pPr>
      <w:r>
        <w:t>For purposes of this Framework, the Parties recognize the protected interest addressed by No Fixed-Address Exclusion and shall apply this Article to treaty-linked governmental measures, programs, administration and covered economic activity where that interest is materially affected. The Parties shall prevent loss of treaty-linked employment, services, identity continuity or procedural protection merely because a person lacks stable housing, while leaving housing-program design to domestic authorities.</w:t>
      </w:r>
    </w:p>
    <w:p>
      <w:pPr>
        <w:pStyle w:val="Heading3"/>
      </w:pPr>
      <w:r>
        <w:t>HR4-211. No Fixed-Address Exclusion: Minimum Reciprocal Floor</w:t>
      </w:r>
    </w:p>
    <w:p>
      <w:pPr>
        <w:pStyle w:val="Normal"/>
      </w:pPr>
      <w:r>
        <w:t>Each Party shall maintain, through its constitutionally competent authorities and lawful institutions, a minimum effective floor under which it shall prevent loss of treaty-linked employment, services, identity continuity or procedural protection merely because a person lacks stable housing, while leaving housing-program design to domestic authorities. A Party may use different legal or institutional means where those means provide functionally equivalent or stronger protection.</w:t>
      </w:r>
    </w:p>
    <w:p>
      <w:pPr>
        <w:pStyle w:val="Heading3"/>
      </w:pPr>
      <w:r>
        <w:t>HR4-212. No Fixed-Address Exclusion: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HR4-213. Personal Property And Document Continuity: Scope and Protected Interest</w:t>
      </w:r>
    </w:p>
    <w:p>
      <w:pPr>
        <w:pStyle w:val="Normal"/>
      </w:pPr>
      <w:r>
        <w:t>For purposes of this Framework, the Parties recognize the protected interest addressed by Personal Property And Document Continuity and shall apply this Article to treaty-linked governmental measures, programs, administration and covered economic activity where that interest is materially affected. The Parties shall prevent loss of treaty-linked employment, services, identity continuity or procedural protection merely because a person lacks stable housing, while leaving housing-program design to domestic authorities.</w:t>
      </w:r>
    </w:p>
    <w:p>
      <w:pPr>
        <w:pStyle w:val="Heading3"/>
      </w:pPr>
      <w:r>
        <w:t>HR4-214. Personal Property And Document Continuity: Minimum Reciprocal Floor</w:t>
      </w:r>
    </w:p>
    <w:p>
      <w:pPr>
        <w:pStyle w:val="Normal"/>
      </w:pPr>
      <w:r>
        <w:t>Each Party shall maintain, through its constitutionally competent authorities and lawful institutions, a minimum effective floor under which it shall prevent loss of treaty-linked employment, services, identity continuity or procedural protection merely because a person lacks stable housing, while leaving housing-program design to domestic authorities. A Party may use different legal or institutional means where those means provide functionally equivalent or stronger protection.</w:t>
      </w:r>
    </w:p>
    <w:p>
      <w:pPr>
        <w:pStyle w:val="Heading3"/>
      </w:pPr>
      <w:r>
        <w:t>HR4-215. Personal Property And Document Continuity: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50" w:name="_Toc300002549"/>
      <w:r>
        <w:t>CL-17. HUMAN-RIGHTS GOVERNANCE, INTERPRETATION AND REVIEW</w:t>
      </w:r>
      <w:bookmarkEnd w:id="902550"/>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HR4-216. Human-Rights Interpretive Firewall: Scope and Protected Interest</w:t>
      </w:r>
    </w:p>
    <w:p>
      <w:pPr>
        <w:pStyle w:val="Normal"/>
      </w:pPr>
      <w:r>
        <w:t>For purposes of this Framework, the Parties recognize the protected interest addressed by Human-Rights Interpretive Firewall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HR4-217. Human-Rights Interpretive Firewall: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HR4-218. Human-Rights Interpretive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HR4-219. Human-Rights Interpretive Firewall: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HR4-220. Human-Rights Interpretive Firewall: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HR4-221. Transparency And Public Reporting: Scope and Protected Interest</w:t>
      </w:r>
    </w:p>
    <w:p>
      <w:pPr>
        <w:pStyle w:val="Normal"/>
      </w:pPr>
      <w:r>
        <w:t>For purposes of this Framework, the Parties recognize the protected interest addressed by Transparency And Public Reporting and shall apply this Article to treaty-linked governmental measures, programs, administration and covered economic activity where that interest is materially affected. The Parties shall use existing institutions where possible, transparent criteria, diverse expertise, confidentiality safeguards and periodic review without creating duplicative bureaucracy or private enforcement by implication.</w:t>
      </w:r>
    </w:p>
    <w:p>
      <w:pPr>
        <w:pStyle w:val="Heading3"/>
      </w:pPr>
      <w:r>
        <w:t>HR4-222. Transparency And Public Reporting: Minimum Reciprocal Floor</w:t>
      </w:r>
    </w:p>
    <w:p>
      <w:pPr>
        <w:pStyle w:val="Normal"/>
      </w:pPr>
      <w:r>
        <w:t>Each Party shall maintain, through its constitutionally competent authorities and lawful institutions, a minimum effective floor under which it shall use existing institutions where possible, transparent criteria, diverse expertise, confidentiality safeguards and periodic review without creating duplicative bureaucracy or private enforcement by implication. A Party may use different legal or institutional means where those means provide functionally equivalent or stronger protection.</w:t>
      </w:r>
    </w:p>
    <w:p>
      <w:pPr>
        <w:pStyle w:val="Heading3"/>
      </w:pPr>
      <w:r>
        <w:t>HR4-223. Transparency And Public Reporting: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HR4-224. Federalism And Competent-Authority Implementation: Scope and Protected Interest</w:t>
      </w:r>
    </w:p>
    <w:p>
      <w:pPr>
        <w:pStyle w:val="Normal"/>
      </w:pPr>
      <w:r>
        <w:t>For purposes of this Framework, the Parties recognize the protected interest addressed by Federalism And Competent-Authority Implementation and shall apply this Article to treaty-linked governmental measures, programs, administration and covered economic activity where that interest is materially affected. The Parties shall bind each Party only within its constitutional competence while requiring good-faith use of available federal, provincial/state, territorial, local and Indigenous-government coordination channels.</w:t>
      </w:r>
    </w:p>
    <w:p>
      <w:pPr>
        <w:pStyle w:val="Heading3"/>
      </w:pPr>
      <w:r>
        <w:t>HR4-225. Federalism And Competent-Authority Implementation: Minimum Reciprocal Floor</w:t>
      </w:r>
    </w:p>
    <w:p>
      <w:pPr>
        <w:pStyle w:val="Normal"/>
      </w:pPr>
      <w:r>
        <w:t>Each Party shall maintain, through its constitutionally competent authorities and lawful institutions, a minimum effective floor under which it shall bind each Party only within its constitutional competence while requiring good-faith use of available federal, provincial/state, territorial, local and Indigenous-government coordination channels. A Party may use different legal or institutional means where those means provide functionally equivalent or stronger protection.</w:t>
      </w:r>
    </w:p>
    <w:p>
      <w:pPr>
        <w:pStyle w:val="Heading3"/>
      </w:pPr>
      <w:r>
        <w:t>HR4-226. Federalism And Competent-Authority Implementation: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51" w:name="_Toc300002550"/>
      <w:r>
        <w:t>CL-18. LABOUR AND WORKPLACE HUMAN RIGHTS</w:t>
      </w:r>
      <w:bookmarkEnd w:id="902551"/>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HR4-227. Right To Strike And Concerted Activity: Common Objective and Cooperation Duty</w:t>
      </w:r>
    </w:p>
    <w:p>
      <w:pPr>
        <w:pStyle w:val="Normal"/>
      </w:pPr>
      <w:r>
        <w:t>The Parties shall cooperate, consistent with their respective laws and institutional competence, to advance the common objective of protect lawful concerted activity through each Party’s labour system while preserving narrowly tailored rules for essential services, safety and genuinely lawful restrictions. Cooperation may include exchange of practices, technical assistance, compatible guidance and voluntary coordination and shall not require identical domestic institutions.</w:t>
      </w:r>
    </w:p>
    <w:p>
      <w:pPr>
        <w:pStyle w:val="Heading3"/>
      </w:pPr>
      <w:r>
        <w:t>HR4-228. Right To Strike And Concerted Activity: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HR4-229. Equal Pay And Pay-Equity Tools: Common Objective and Cooperation Duty</w:t>
      </w:r>
    </w:p>
    <w:p>
      <w:pPr>
        <w:pStyle w:val="Normal"/>
      </w:pPr>
      <w:r>
        <w:t>The Parties shall cooperate, consistent with their respective laws and institutional competence, to advance the common objective of address discriminatory or abusive conditions through outcome-based floors while leaving wage-setting, benefit design and leave architecture primarily to competent domestic authorities. Cooperation may include exchange of practices, technical assistance, compatible guidance and voluntary coordination and shall not require identical domestic institutions.</w:t>
      </w:r>
    </w:p>
    <w:p>
      <w:pPr>
        <w:pStyle w:val="Heading3"/>
      </w:pPr>
      <w:r>
        <w:t>HR4-230. Equal Pay And Pay-Equity Tools: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HR4-231. Equal Pay And Pay-Equity Tools: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HR4-232. Hours, Wages, Leave And Basic Conditions: Common Objective and Cooperation Duty</w:t>
      </w:r>
    </w:p>
    <w:p>
      <w:pPr>
        <w:pStyle w:val="Normal"/>
      </w:pPr>
      <w:r>
        <w:t>The Parties shall cooperate, consistent with their respective laws and institutional competence, to advance the common objective of address discriminatory or abusive conditions through outcome-based floors while leaving wage-setting, benefit design and leave architecture primarily to competent domestic authorities. Cooperation may include exchange of practices, technical assistance, compatible guidance and voluntary coordination and shall not require identical domestic institutions.</w:t>
      </w:r>
    </w:p>
    <w:p>
      <w:pPr>
        <w:pStyle w:val="Heading3"/>
      </w:pPr>
      <w:r>
        <w:t>HR4-233. Hours, Wages, Leave And Basic Conditions: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HR4-234. Hours, Wages, Leave And Basic Conditions: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HR4-235. Family And Caregiving Leave Equality: Common Objective and Cooperation Duty</w:t>
      </w:r>
    </w:p>
    <w:p>
      <w:pPr>
        <w:pStyle w:val="Normal"/>
      </w:pPr>
      <w:r>
        <w:t>The Parties shall cooperate, consistent with their respective laws and institutional competence, to advance the common objective of avoid arbitrary family separation and discrimination based on caregiving status while preserving lawful child-protection, safety and judicial decision-making. Cooperation may include exchange of practices, technical assistance, compatible guidance and voluntary coordination and shall not require identical domestic institutions.</w:t>
      </w:r>
    </w:p>
    <w:p>
      <w:pPr>
        <w:pStyle w:val="Heading3"/>
      </w:pPr>
      <w:r>
        <w:t>HR4-236. Family And Caregiving Leave Equality: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HR4-237. Family And Caregiving Leave Equality: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HR4-238. Family And Caregiving Leave Equality: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HR4-239. Rapid-Response Labour Mechanism Scope: Common Objective and Cooperation Duty</w:t>
      </w:r>
    </w:p>
    <w:p>
      <w:pPr>
        <w:pStyle w:val="Normal"/>
      </w:pPr>
      <w:r>
        <w:t>The Parties shall cooperate, consistent with their respective laws and institutional competence, to advance the common objective of define covered denials of rights, evidence thresholds, verification, cure opportunities, proportional remedies and safeguards against politicized or duplicative use. Cooperation may include exchange of practices, technical assistance, compatible guidance and voluntary coordination and shall not require identical domestic institutions.</w:t>
      </w:r>
    </w:p>
    <w:p>
      <w:pPr>
        <w:pStyle w:val="Heading3"/>
      </w:pPr>
      <w:r>
        <w:t>HR4-240. Rapid-Response Labour Mechanism Scope: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HR4-241. Worker Data And Outcome Transparency: Common Objective and Cooperation Duty</w:t>
      </w:r>
    </w:p>
    <w:p>
      <w:pPr>
        <w:pStyle w:val="Normal"/>
      </w:pPr>
      <w:r>
        <w:t>The Parties shall cooperate, consistent with their respective laws and institutional competence, to advance the common objective of use necessity, purpose limitation, data minimization, security, retention limits, transparency, correction and independent oversight appropriate to the sensitivity and use of the information. Cooperation may include exchange of practices, technical assistance, compatible guidance and voluntary coordination and shall not require identical domestic institutions.</w:t>
      </w:r>
    </w:p>
    <w:p>
      <w:pPr>
        <w:pStyle w:val="Heading3"/>
      </w:pPr>
      <w:r>
        <w:t>HR4-242. Worker Data And Outcome Transparency: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2" w:name="_Toc300002551"/>
      <w:r>
        <w:t>CL-19. MIGRATION, ASYLUM AND BORDER-ADMINISTRATION RIGHTS</w:t>
      </w:r>
      <w:bookmarkEnd w:id="902552"/>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HR4-243. Mass Sweep And Checkpoint Safeguards: Common Objective and Cooperation Duty</w:t>
      </w:r>
    </w:p>
    <w:p>
      <w:pPr>
        <w:pStyle w:val="Normal"/>
      </w:pPr>
      <w:r>
        <w:t>The Parties shall cooperate, consistent with their respective laws and institutional competence, to advance the common objective of favor individualized, evidence-based and reviewable enforcement over quota-driven, indiscriminate or discriminatory operations, while preserving lawful border and public-safety powers. Cooperation may include exchange of practices, technical assistance, compatible guidance and voluntary coordination and shall not require identical domestic institutions.</w:t>
      </w:r>
    </w:p>
    <w:p>
      <w:pPr>
        <w:pStyle w:val="Heading3"/>
      </w:pPr>
      <w:r>
        <w:t>HR4-244. Mass Sweep And Checkpoint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HR4-245. Mass Sweep And Checkpoint Safeguards: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HR4-246. Use-Of-Force And De-Escalation In Border/Immigration Operations: Common Objective and Cooperation Duty</w:t>
      </w:r>
    </w:p>
    <w:p>
      <w:pPr>
        <w:pStyle w:val="Normal"/>
      </w:pPr>
      <w:r>
        <w:t>The Parties shall cooperate, consistent with their respective laws and institutional competence, to advance the common objective of require necessity, proportionality, de-escalation where feasible, medical response, incident documentation and independent review of serious uses of force. Cooperation may include exchange of practices, technical assistance, compatible guidance and voluntary coordination and shall not require identical domestic institutions.</w:t>
      </w:r>
    </w:p>
    <w:p>
      <w:pPr>
        <w:pStyle w:val="Heading3"/>
      </w:pPr>
      <w:r>
        <w:t>HR4-247. Use-Of-Force And De-Escalation In Border/Immigration Operations: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HR4-248. Use-Of-Force And De-Escalation In Border/Immigration Operations: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HR4-249. Use-Of-Force And De-Escalation In Border/Immigration Operations: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2"/>
      </w:pPr>
      <w:bookmarkStart w:id="902553" w:name="_Toc300002552"/>
      <w:r>
        <w:t>CL-20. CUSTODY, DETENTION AND CORRECTIONS RIGHTS</w:t>
      </w:r>
      <w:bookmarkEnd w:id="902553"/>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HR4-250. Alternatives And Least-Restrictive Custody: Common Objective and Cooperation Duty</w:t>
      </w:r>
    </w:p>
    <w:p>
      <w:pPr>
        <w:pStyle w:val="Normal"/>
      </w:pPr>
      <w:r>
        <w:t>The Parties shall cooperate, consistent with their respective laws and institutional competence, to advance the common objective of protect food, water, sanitation, safe temperature, sleep, healthcare, communication, legal access, disability accommodation, safety and meaningful review without converting custody standards into a trade concession. Cooperation may include exchange of practices, technical assistance, compatible guidance and voluntary coordination and shall not require identical domestic institutions.</w:t>
      </w:r>
    </w:p>
    <w:p>
      <w:pPr>
        <w:pStyle w:val="Heading3"/>
      </w:pPr>
      <w:r>
        <w:t>HR4-251. Alternatives And Least-Restrictive Custody: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HR4-252. Independent Inspection And Serious-Incident Reporting: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HR4-253. Independent Inspection And Serious-Incident Reporting: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4" w:name="_Toc300002553"/>
      <w:r>
        <w:t>CL-21. INDIGENOUS RIGHTS AND ECONOMIC PARTICIPATION</w:t>
      </w:r>
      <w:bookmarkEnd w:id="902554"/>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HR4-254. Indigenous Decision-Making Institutions: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HR4-255. Indigenous Decision-Making Institutions: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HR4-256. Indigenous Decision-Making Institutions: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HR4-257. Indigenous Decision-Making Institutions: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HR4-258. Indigenous Economic Development Autonomy: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HR4-259. Indigenous Economic Development Autonomy: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HR4-260. Indigenous Economic Development Autonomy: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HR4-261. Indigenous Economic Development Autonomy: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HR4-262. Indigenous Business And Sme Trade Facilitation: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HR4-263. Indigenous Business And Sme Trade Facilitation: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HR4-264. Indigenous Business And Sme Trade Facilitation: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HR4-265. Indigenous Procurement Participation: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HR4-266. Indigenous Procurement Participation: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HR4-267. Indigenous Trade Finance And Investment Access: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HR4-268. Indigenous Trade Finance And Investment Access: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HR4-269. Indigenous-To-Indigenous And Traditional Trade Facilitation: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HR4-270. Indigenous-To-Indigenous And Traditional Trade Facilitation: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HR4-271. Cross-Border Cultural And Community Mobility Facilitation: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HR4-272. Cross-Border Cultural And Community Mobility Facilitation: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HR4-273. Cross-Border Cultural And Community Mobility Facilitation: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HR4-274. Indigenous Data Governance And Sovereignty Safeguards: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HR4-275. Indigenous Data Governance And Sovereignty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HR4-276. Genetic Resources And Benefit Sharing: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HR4-277. Genetic Resources And Benefit Sharing: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HR4-278. Environmental Stewardship And Co-Management Cooperation: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HR4-279. Environmental Stewardship And Co-Management Cooperation: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HR4-280. Environmental Stewardship And Co-Management Cooperation: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HR4-281. Environmental Stewardship And Co-Management Cooperation: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HR4-282. Resource-Project Participation And Benefit Pathways: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HR4-283. Resource-Project Participation And Benefit Pathways: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HR4-284. Indigenous Expertise In Panels And Committees: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HR4-285. Indigenous Expertise In Panels And Committees: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HR4-286. Undrip/Domestic-Rights Consistency Review: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HR4-287. Undrip/Domestic-Rights Consistency Review: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5" w:name="_Toc300002554"/>
      <w:r>
        <w:t>CL-22. DIGITAL, PRIVACY, DATA AND AUTOMATED-DECISION RIGHTS</w:t>
      </w:r>
      <w:bookmarkEnd w:id="902555"/>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HR4-288. Biometric And Facial-Recognition Safeguards: Common Objective and Cooperation Duty</w:t>
      </w:r>
    </w:p>
    <w:p>
      <w:pPr>
        <w:pStyle w:val="Normal"/>
      </w:pPr>
      <w:r>
        <w:t>The Parties shall cooperate, consistent with their respective laws and institutional competence, to advance the common objective of apply heightened necessity, proportionality, accuracy, bias testing, authorization, logging, retention and review safeguards to intrusive or identity-sensitive technologies. Cooperation may include exchange of practices, technical assistance, compatible guidance and voluntary coordination and shall not require identical domestic institutions.</w:t>
      </w:r>
    </w:p>
    <w:p>
      <w:pPr>
        <w:pStyle w:val="Heading3"/>
      </w:pPr>
      <w:r>
        <w:t>HR4-289. Biometric And Facial-Recognition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HR4-290. Encryption And Cybersecurity Rights Balance: Common Objective and Cooperation Duty</w:t>
      </w:r>
    </w:p>
    <w:p>
      <w:pPr>
        <w:pStyle w:val="Normal"/>
      </w:pPr>
      <w:r>
        <w:t>The Parties shall cooperate, consistent with their respective laws and institutional competence, to advance the common objective of preserve cybersecurity and lawful-investigation objectives without creating blanket requirements that systematically weaken secure communications or expose users to disproportionate risk. Cooperation may include exchange of practices, technical assistance, compatible guidance and voluntary coordination and shall not require identical domestic institutions.</w:t>
      </w:r>
    </w:p>
    <w:p>
      <w:pPr>
        <w:pStyle w:val="Heading3"/>
      </w:pPr>
      <w:r>
        <w:t>HR4-291. Encryption And Cybersecurity Rights Balance: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HR4-292. Digital Expression, Access And Platform Due Process: Common Objective and Cooperation Duty</w:t>
      </w:r>
    </w:p>
    <w:p>
      <w:pPr>
        <w:pStyle w:val="Normal"/>
      </w:pPr>
      <w:r>
        <w:t>The Parties shall cooperate, consistent with their respective laws and institutional competence, to advance the common objective of require notice, a meaningful opportunity to respond, impartial decision-making, reasons where appropriate, and access to review proportionate to the decision at stake. Cooperation may include exchange of practices, technical assistance, compatible guidance and voluntary coordination and shall not require identical domestic institutions.</w:t>
      </w:r>
    </w:p>
    <w:p>
      <w:pPr>
        <w:pStyle w:val="Heading3"/>
      </w:pPr>
      <w:r>
        <w:t>HR4-293. Digital Expression, Access And Platform Due Process: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HR4-294. Digital Expression, Access And Platform Due Process: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HR4-295. Children/Vulnerable Persons Digital Safety: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HR4-296. Children/Vulnerable Persons Digital Safety: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6" w:name="_Toc300002555"/>
      <w:r>
        <w:t>CL-23. BUSINESS, CORPORATE AND SUPPLY-CHAIN HUMAN RIGHTS</w:t>
      </w:r>
      <w:bookmarkEnd w:id="902556"/>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HR4-297. Risk-Based Human-Rights Due Diligence: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HR4-298. Risk-Based Human-Rights Due Diligence: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HR4-299. Corporate Human-Rights Policy And Governance: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HR4-300. Corporate Human-Rights Policy And Governance: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HR4-301. Corporate Human-Rights Policy And Governance: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HR4-302. Corporate Human-Rights Policy And Governance: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HR4-303. Supply-Chain Transparency And Traceability: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HR4-304. Supply-Chain Transparency And Traceability: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HR4-305. Community Complaint And Remediation Mechanisms: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HR4-306. Community Complaint And Remediation Mechanisms: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HR4-307. Human-Rights Impact Assessment For Major Projects: Common Objective and Cooperation Duty</w:t>
      </w:r>
    </w:p>
    <w:p>
      <w:pPr>
        <w:pStyle w:val="Normal"/>
      </w:pPr>
      <w:r>
        <w:t>The Parties shall cooperate, consistent with their respective laws and institutional competence, to advance the common objective of use proportionate, evidence-based screening focused on materially affected rights and communities, avoiding automatic vetoes or duplicative assessment regimes. Cooperation may include exchange of practices, technical assistance, compatible guidance and voluntary coordination and shall not require identical domestic institutions.</w:t>
      </w:r>
    </w:p>
    <w:p>
      <w:pPr>
        <w:pStyle w:val="Heading3"/>
      </w:pPr>
      <w:r>
        <w:t>HR4-308. Human-Rights Impact Assessment For Major Projects: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HR4-309. Responsible Procurement And Contractor Eligibility: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HR4-310. Responsible Procurement And Contractor Eligibility: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HR4-311. High-Risk Extractive And Resource-Sector Safeguards: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HR4-312. High-Risk Extractive And Resource-Sector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HR4-313. International Responsible-Business Standards Interoperability: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HR4-314. International Responsible-Business Standards Interoperability: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7" w:name="_Toc300002556"/>
      <w:r>
        <w:t>CL-24. ENVIRONMENTAL AND COMMUNITY RIGHTS</w:t>
      </w:r>
      <w:bookmarkEnd w:id="902557"/>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HR4-315. Environmental Justice And Vulnerable-Community Impacts: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HR4-316. Environmental Justice And Vulnerable-Community Impacts: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HR4-317. Industrial Decarbonization Cooperation: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HR4-318. Industrial Decarbonization Cooperation: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HR4-319. Pollution, Waste And Circular-Economy Safeguards: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HR4-320. Pollution, Waste And Circular-Economy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HR4-321. Environmental Impact And Cumulative-Effects Review: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HR4-322. Environmental Impact And Cumulative-Effects Review: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HR4-323. Environmental Impact And Cumulative-Effects Review: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HR4-324. Environmental Impact And Cumulative-Effects Review: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2"/>
      </w:pPr>
      <w:bookmarkStart w:id="902558" w:name="_Toc300002557"/>
      <w:r>
        <w:t>CL-25. PUBLIC HEALTH, MEDICINES AND SOCIAL RESILIENCE</w:t>
      </w:r>
      <w:bookmarkEnd w:id="902558"/>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HR4-325. Emergency Health And Pandemic Cooperation: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HR4-326. Emergency Health And Pandemic Cooperation: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HR4-327. Health-Data Cooperation With Privacy Safeguards: Common Objective and Cooperation Duty</w:t>
      </w:r>
    </w:p>
    <w:p>
      <w:pPr>
        <w:pStyle w:val="Normal"/>
      </w:pPr>
      <w:r>
        <w:t>The Parties shall cooperate, consistent with their respective laws and institutional competence, to advance the common objective of use necessity, purpose limitation, data minimization, security, retention limits, transparency, correction and independent oversight appropriate to the sensitivity and use of the information. Cooperation may include exchange of practices, technical assistance, compatible guidance and voluntary coordination and shall not require identical domestic institutions.</w:t>
      </w:r>
    </w:p>
    <w:p>
      <w:pPr>
        <w:pStyle w:val="Heading3"/>
      </w:pPr>
      <w:r>
        <w:t>HR4-328. Health-Data Cooperation With Privacy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HR4-329. Food, Water And Basic-Needs Resilience: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HR4-330. Food, Water And Basic-Needs Resilience: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HR4-331. Food, Water And Basic-Needs Resilience: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HR4-332. Health And Social Impact Assessment: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HR4-333. Health And Social Impact Assessment: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HR4-334. Sex/Gender/Disability-Responsive Health Evidence: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HR4-335. Sex/Gender/Disability-Responsive Health Evidence: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HR4-336. Sex/Gender/Disability-Responsive Health Evidence: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2"/>
      </w:pPr>
      <w:bookmarkStart w:id="902559" w:name="_Toc300002558"/>
      <w:r>
        <w:t>CL-26. GENDER EQUALITY AND INCLUSIVE TRADE</w:t>
      </w:r>
      <w:bookmarkEnd w:id="902559"/>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HR4-337. Trade-And-Gender Equality Framework: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HR4-338. Trade-And-Gender Equality Framework: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HR4-339. Trade-And-Gender Equality Framework: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HR4-340. Trade-And-Gender Equality Framework: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HR4-341. Women-Owned And Underrepresented Sme Access: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HR4-342. Women-Owned And Underrepresented Sme Access: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HR4-343. Women-Owned And Underrepresented Sme Access: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HR4-344. Gender-Differentiated Trade Impact Analysis: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HR4-345. Gender-Differentiated Trade Impact Analysis: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HR4-346. Gender-Differentiated Trade Impact Analysis: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HR4-347. Caregiving And Unpaid-Care Barrier Reduction: Common Objective and Cooperation Duty</w:t>
      </w:r>
    </w:p>
    <w:p>
      <w:pPr>
        <w:pStyle w:val="Normal"/>
      </w:pPr>
      <w:r>
        <w:t>The Parties shall cooperate, consistent with their respective laws and institutional competence, to advance the common objective of avoid arbitrary family separation and discrimination based on caregiving status while preserving lawful child-protection, safety and judicial decision-making. Cooperation may include exchange of practices, technical assistance, compatible guidance and voluntary coordination and shall not require identical domestic institutions.</w:t>
      </w:r>
    </w:p>
    <w:p>
      <w:pPr>
        <w:pStyle w:val="Heading3"/>
      </w:pPr>
      <w:r>
        <w:t>HR4-348. Caregiving And Unpaid-Care Barrier Reduction: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HR4-349. Caregiving And Unpaid-Care Barrier Reduction: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HR4-350. Inclusive Training And Skills Pathways: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HR4-351. Inclusive Training And Skills Pathways: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HR4-352. Inclusive Training And Skills Pathways: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HR4-353. Gender-Based Violence In Trade/Work Contexts: Common Objective and Cooperation Duty</w:t>
      </w:r>
    </w:p>
    <w:p>
      <w:pPr>
        <w:pStyle w:val="Normal"/>
      </w:pPr>
      <w:r>
        <w:t>The Parties shall cooperate, consistent with their respective laws and institutional competence, to advance the common objective of require prevention, reporting, protection from retaliation, competent response and proportionate remedies, including for gender-based and identity-targeted harm. Cooperation may include exchange of practices, technical assistance, compatible guidance and voluntary coordination and shall not require identical domestic institutions.</w:t>
      </w:r>
    </w:p>
    <w:p>
      <w:pPr>
        <w:pStyle w:val="Heading3"/>
      </w:pPr>
      <w:r>
        <w:t>HR4-354. Gender-Based Violence In Trade/Work Contexts: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HR4-355. Sex/Gender-Disaggregated Monitoring: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HR4-356. Sex/Gender-Disaggregated Monitoring: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60" w:name="_Toc300002559"/>
      <w:r>
        <w:t>CL-27. DISABILITY RIGHTS AND ACCESSIBILITY</w:t>
      </w:r>
      <w:bookmarkEnd w:id="902560"/>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HR4-357. Accessible Digital Trade And Procurement: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HR4-358. Accessible Digital Trade And Procurement: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HR4-359. Disability-Inclusive Employment And Skills: Common Objective and Cooperation Duty</w:t>
      </w:r>
    </w:p>
    <w:p>
      <w:pPr>
        <w:pStyle w:val="Normal"/>
      </w:pPr>
      <w:r>
        <w:t>The Parties shall cooperate, consistent with their respective laws and institutional competence, to advance the common objective of require non-discriminatory access, reasonable accommodation and accessible communications consistent with legitimate safety, feasibility and undue-hardship standards under applicable law. Cooperation may include exchange of practices, technical assistance, compatible guidance and voluntary coordination and shall not require identical domestic institutions.</w:t>
      </w:r>
    </w:p>
    <w:p>
      <w:pPr>
        <w:pStyle w:val="Heading3"/>
      </w:pPr>
      <w:r>
        <w:t>HR4-360. Disability-Inclusive Employment And Skills: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61" w:name="_Toc300002560"/>
      <w:r>
        <w:t>CL-28. HUMAN-RIGHTS GOVERNANCE, INTERPRETATION AND REVIEW</w:t>
      </w:r>
      <w:bookmarkEnd w:id="902561"/>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HR4-361. Human-Rights Impact Assessment Framework: Common Objective and Cooperation Duty</w:t>
      </w:r>
    </w:p>
    <w:p>
      <w:pPr>
        <w:pStyle w:val="Normal"/>
      </w:pPr>
      <w:r>
        <w:t>The Parties shall cooperate, consistent with their respective laws and institutional competence, to advance the common objective of use proportionate, evidence-based screening focused on materially affected rights and communities, avoiding automatic vetoes or duplicative assessment regimes. Cooperation may include exchange of practices, technical assistance, compatible guidance and voluntary coordination and shall not require identical domestic institutions.</w:t>
      </w:r>
    </w:p>
    <w:p>
      <w:pPr>
        <w:pStyle w:val="Heading3"/>
      </w:pPr>
      <w:r>
        <w:t>HR4-362. Human-Rights Impact Assessment Framework: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HR4-363. Human-Rights And Trade Advisory Participation: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HR4-364. Human-Rights And Trade Advisory Participation: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HR4-365. Human-Rights And Trade Advisory Participation: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HR4-366. Complaint Intake And Referral Portal: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HR4-367. Complaint Intake And Referral Portal: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HR4-368. Independent Evidence And Expert Input: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HR4-369. Independent Evidence And Expert Input: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HR4-370. Periodic Review And Update Mechanism: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HR4-371. Periodic Review And Update Mechanism: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62" w:name="_Toc300002561"/>
      <w:r>
        <w:t>CL-29. BUSINESS, CORPORATE AND SUPPLY-CHAIN HUMAN RIGHTS</w:t>
      </w:r>
      <w:bookmarkEnd w:id="902562"/>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HR4-372. Parent/Subsidiary And Contractor Accountability: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HR4-373. Parent/Subsidiary And Contractor Accountability: Substantive Optional Standard</w:t>
      </w:r>
    </w:p>
    <w:p>
      <w:pPr>
        <w:pStyle w:val="Normal"/>
      </w:pPr>
      <w:r>
        <w:t>A participating Party may undertake the optional standard described by this mechanism, including measures to use risk-based due diligence, proportionate expectations, supplier engagement, remediation and transparent eligibility criteria while avoiding automatic private liability unless expressly adopted. The standard shall be interpreted consistently with constitutional requirements, stronger existing rights, Indigenous and treaty rights where applicable, and the safeguards of the mandatory human-rights core.</w:t>
      </w:r>
    </w:p>
    <w:p>
      <w:pPr>
        <w:pStyle w:val="Heading3"/>
      </w:pPr>
      <w:r>
        <w:t>HR4-374. Parent/Subsidiary And Contractor Accountability: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2"/>
      </w:pPr>
      <w:bookmarkStart w:id="902563" w:name="_Toc300002562"/>
      <w:r>
        <w:t>CL-30. OPTIONAL HIGH-SENSITIVITY HUMAN-RIGHTS MODULES</w:t>
      </w:r>
      <w:bookmarkEnd w:id="902563"/>
    </w:p>
    <w:p>
      <w:pPr>
        <w:pStyle w:val="Normal"/>
      </w:pPr>
      <w:r>
        <w:t>Application. Optional Module. Provisions in this Section retain the Round-Three temperature assigned to their source mechanism and are interpreted through Articles CL-1 through CL-5.</w:t>
      </w:r>
    </w:p>
    <w:p>
      <w:pPr>
        <w:pStyle w:val="Heading3"/>
      </w:pPr>
      <w:r>
        <w:t>HR4-375. Fpic And Consent-Based Indigenous Project Module: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HR4-376. Fpic And Consent-Based Indigenous Project Module: Substantive Optional Standard</w:t>
      </w:r>
    </w:p>
    <w:p>
      <w:pPr>
        <w:pStyle w:val="Normal"/>
      </w:pPr>
      <w:r>
        <w:t>A participating Party may undertake the optional standard described by this mechanism, including measures to preserve stronger constitutional, treaty, inherent, statutory and otherwise applicable Indigenous rights, avoid defining rights downward, and require culturally appropriate participation where the treaty materially affects protected interests. The standard shall be interpreted consistently with constitutional requirements, stronger existing rights, Indigenous and treaty rights where applicable, and the safeguards of the mandatory human-rights core.</w:t>
      </w:r>
    </w:p>
    <w:p>
      <w:pPr>
        <w:pStyle w:val="Heading3"/>
      </w:pPr>
      <w:r>
        <w:t>HR4-377. Fpic And Consent-Based Indigenous Project Module: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3"/>
      </w:pPr>
      <w:r>
        <w:t>HR4-378. General Civil/Political-Rights Conditionality Module: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HR4-379. General Civil/Political-Rights Conditionality Module: Substantive Optional Standard</w:t>
      </w:r>
    </w:p>
    <w:p>
      <w:pPr>
        <w:pStyle w:val="Normal"/>
      </w:pPr>
      <w:r>
        <w:t>A participating Party may undertake the optional standard described by this mechanism, including measures to translate the mechanism into a narrow treaty-linked obligation, preserve stronger domestic protections, and avoid creating rights or liabilities beyond what the Parties expressly adopt. The standard shall be interpreted consistently with constitutional requirements, stronger existing rights, Indigenous and treaty rights where applicable, and the safeguards of the mandatory human-rights core.</w:t>
      </w:r>
    </w:p>
    <w:p>
      <w:pPr>
        <w:pStyle w:val="Heading3"/>
      </w:pPr>
      <w:r>
        <w:t>HR4-380. General Civil/Political-Rights Conditionality Module: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3"/>
      </w:pPr>
      <w:r>
        <w:t>HR4-381. General Civil/Political-Rights Conditionality Module: Periodic Review, Amendment and Withdrawal</w:t>
      </w:r>
    </w:p>
    <w:p>
      <w:pPr>
        <w:pStyle w:val="Normal"/>
      </w:pPr>
      <w:r>
        <w:t>Participating Parties may periodically review, amend or withdraw from this Optional Module in accordance with published procedures. Withdrawal operates prospectively, preserves accrued responsibility and pending procedural protection, and does not affect unrelated obligations or benefits under this Agreement.</w:t>
      </w:r>
    </w:p>
    <w:p>
      <w:pPr>
        <w:pStyle w:val="Heading3"/>
      </w:pPr>
      <w:r>
        <w:t>HR4-382. Broad Social-Rights Guarantee Module: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HR4-383. Broad Social-Rights Guarantee Module: Substantive Optional Standard</w:t>
      </w:r>
    </w:p>
    <w:p>
      <w:pPr>
        <w:pStyle w:val="Normal"/>
      </w:pPr>
      <w:r>
        <w:t>A participating Party may undertake the optional standard described by this mechanism, including measures to translate the mechanism into a narrow treaty-linked obligation, preserve stronger domestic protections, and avoid creating rights or liabilities beyond what the Parties expressly adopt. The standard shall be interpreted consistently with constitutional requirements, stronger existing rights, Indigenous and treaty rights where applicable, and the safeguards of the mandatory human-rights core.</w:t>
      </w:r>
    </w:p>
    <w:p>
      <w:pPr>
        <w:pStyle w:val="Heading3"/>
      </w:pPr>
      <w:r>
        <w:t>HR4-384. Broad Social-Rights Guarantee Module: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2"/>
      </w:pPr>
      <w:bookmarkStart w:id="902564" w:name="_Toc300002563"/>
      <w:r>
        <w:t>CL-19A. PHASE-2 HUMAN-RIGHTS BACKBONE: 350 ADDITIONAL HARDENED PROVISIONS</w:t>
      </w:r>
      <w:bookmarkEnd w:id="902564"/>
    </w:p>
    <w:p>
      <w:pPr>
        <w:pStyle w:val="Normal"/>
      </w:pPr>
      <w:r>
        <w:t>Status. This Section integrates the second human-rights integration pass into Package CL. It contains 350 additional provisions derived from 4,150 Phase-2 proposals consolidated into 151 mechanisms. The mandatory, flexible, and optional legal temperatures assigned during the integration review are preserved. At least seventy percent of these provisions are drafted to the four-sentence substantive floor, while narrowly technical, specialized, or genuinely optional provisions may remain shorter where additional prose would add no legal precision.</w:t>
      </w:r>
    </w:p>
    <w:p>
      <w:pPr>
        <w:pStyle w:val="Normal"/>
      </w:pPr>
      <w:r>
        <w:t>Application. Articles HR5-001 through HR5-350 are interpreted through CL-1 through CL-5, the specialized safeguards elsewhere in this Agreement, Article 30.C.1 on unnecessary institutions, and the treaty-wide fact, authority, and claim verification rule. A more specific or stronger protection governs to the extent of that greater protection. Optional provisions remain subject to the treaty optionality firewall and cannot be converted into mandatory obligations by implication.</w:t>
      </w:r>
    </w:p>
    <w:p>
      <w:pPr>
        <w:pStyle w:val="Heading3"/>
      </w:pPr>
      <w:r>
        <w:t>HR5-001. Human dignity and equal protection: Treaty-Wide Rights Floor</w:t>
      </w:r>
    </w:p>
    <w:p>
      <w:pPr>
        <w:pStyle w:val="Normal"/>
      </w:pPr>
      <w:r>
        <w:t>Each Party shall maintain and apply measures consistent with human dignity and equal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HR5-002. Human dignity and equal protection: Equal Application</w:t>
      </w:r>
    </w:p>
    <w:p>
      <w:pPr>
        <w:pStyle w:val="Normal"/>
      </w:pPr>
      <w:r>
        <w:t>A Party shall not administer a measure covered by this Agreement in a manner that defeats human dignity and equal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HR5-003. Human dignity and equal protection: Proportionate Implementation</w:t>
      </w:r>
    </w:p>
    <w:p>
      <w:pPr>
        <w:pStyle w:val="Normal"/>
      </w:pPr>
      <w:r>
        <w:t>Each Party shall use reasonable, proportionate and administrable measures to give practical effect to human dignity and equal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HR5-004. Treaty-wide nondiscrimination and protected-status equality: Treaty-Wide Rights Floor</w:t>
      </w:r>
    </w:p>
    <w:p>
      <w:pPr>
        <w:pStyle w:val="Normal"/>
      </w:pPr>
      <w:r>
        <w:t>Each Party shall maintain and apply measures consistent with treaty-wide nondiscrimination and protected-status equality,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HR5-005. Treaty-wide nondiscrimination and protected-status equality: Equal Application</w:t>
      </w:r>
    </w:p>
    <w:p>
      <w:pPr>
        <w:pStyle w:val="Normal"/>
      </w:pPr>
      <w:r>
        <w:t>A Party shall not administer a measure covered by this Agreement in a manner that defeats treaty-wide nondiscrimination and protected-status equality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HR5-006. Treaty-wide nondiscrimination and protected-status equality: Proportionate Implementation</w:t>
      </w:r>
    </w:p>
    <w:p>
      <w:pPr>
        <w:pStyle w:val="Normal"/>
      </w:pPr>
      <w:r>
        <w:t>Each Party shall use reasonable, proportionate and administrable measures to give practical effect to treaty-wide nondiscrimination and protected-status equality.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HR5-007. Treaty-wide nondiscrimination and protected-status equality: Due Process and Effective Remedy</w:t>
      </w:r>
    </w:p>
    <w:p>
      <w:pPr>
        <w:pStyle w:val="Normal"/>
      </w:pPr>
      <w:r>
        <w:t>A person materially affected by a covered governmental measure implicating treaty-wide nondiscrimination and protected-status equality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HR5-008. Treaty-wide nondiscrimination and protected-status equality: Stronger-Rights and Cooperation Safeguard</w:t>
      </w:r>
    </w:p>
    <w:p>
      <w:pPr>
        <w:pStyle w:val="Normal"/>
      </w:pPr>
      <w:r>
        <w:t>The Parties shall cooperate, where useful, on implementation of treaty-wide nondiscrimination and protected-status equality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pPr>
      <w:r>
        <w:t>HR5-009. Intersectional and proxy discrimination: Treaty-Wide Rights Floor</w:t>
      </w:r>
    </w:p>
    <w:p>
      <w:pPr>
        <w:pStyle w:val="Normal"/>
      </w:pPr>
      <w:r>
        <w:t>Each Party shall maintain and apply measures consistent with intersectional and proxy discrimination,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HR5-010. Legal personality, capacity and recognition before law: Treaty-Wide Rights Floor</w:t>
      </w:r>
    </w:p>
    <w:p>
      <w:pPr>
        <w:pStyle w:val="Normal"/>
      </w:pPr>
      <w:r>
        <w:t>Each Party shall maintain and apply measures consistent with legal personality, capacity and recognition before law,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HR5-011. Legal personality, capacity and recognition before law: Equal Application</w:t>
      </w:r>
    </w:p>
    <w:p>
      <w:pPr>
        <w:pStyle w:val="Normal"/>
      </w:pPr>
      <w:r>
        <w:t>A Party shall not administer a measure covered by this Agreement in a manner that defeats legal personality, capacity and recognition before law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HR5-012. Due process and fair procedure: Treaty-Wide Rights Floor</w:t>
      </w:r>
    </w:p>
    <w:p>
      <w:pPr>
        <w:pStyle w:val="Normal"/>
      </w:pPr>
      <w:r>
        <w:t>Each Party shall maintain and apply measures consistent with due process and fair procedure,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HR5-013. Due process and fair procedure: Equal Application</w:t>
      </w:r>
    </w:p>
    <w:p>
      <w:pPr>
        <w:pStyle w:val="Normal"/>
      </w:pPr>
      <w:r>
        <w:t>A Party shall not administer a measure covered by this Agreement in a manner that defeats due process and fair procedure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HR5-014. Due process and fair procedure: Proportionate Implementation</w:t>
      </w:r>
    </w:p>
    <w:p>
      <w:pPr>
        <w:pStyle w:val="Normal"/>
      </w:pPr>
      <w:r>
        <w:t>Each Party shall use reasonable, proportionate and administrable measures to give practical effect to due process and fair procedure.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HR5-015. Due process and fair procedure: Due Process and Effective Remedy</w:t>
      </w:r>
    </w:p>
    <w:p>
      <w:pPr>
        <w:pStyle w:val="Normal"/>
      </w:pPr>
      <w:r>
        <w:t>A person materially affected by a covered governmental measure implicating due process and fair procedure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HR5-016. Effective remedy, appeal and access to justice: Treaty-Wide Rights Floor</w:t>
      </w:r>
    </w:p>
    <w:p>
      <w:pPr>
        <w:pStyle w:val="Normal"/>
      </w:pPr>
      <w:r>
        <w:t>Each Party shall maintain and apply measures consistent with effective remedy, appeal and access to justice,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HR5-017. Effective remedy, appeal and access to justice: Equal Application</w:t>
      </w:r>
    </w:p>
    <w:p>
      <w:pPr>
        <w:pStyle w:val="Normal"/>
      </w:pPr>
      <w:r>
        <w:t>A Party shall not administer a measure covered by this Agreement in a manner that defeats effective remedy, appeal and access to justice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HR5-018. Effective remedy, appeal and access to justice: Proportionate Implementation</w:t>
      </w:r>
    </w:p>
    <w:p>
      <w:pPr>
        <w:pStyle w:val="Normal"/>
      </w:pPr>
      <w:r>
        <w:t>Each Party shall use reasonable, proportionate and administrable measures to give practical effect to effective remedy, appeal and access to justice.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HR5-019. Legal information, counsel, aid and representation: Treaty-Wide Rights Floor</w:t>
      </w:r>
    </w:p>
    <w:p>
      <w:pPr>
        <w:pStyle w:val="Normal"/>
      </w:pPr>
      <w:r>
        <w:t>Each Party shall maintain and apply measures consistent with legal information, counsel, aid and representation,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HR5-020. Legal information, counsel, aid and representation: Equal Application</w:t>
      </w:r>
    </w:p>
    <w:p>
      <w:pPr>
        <w:pStyle w:val="Normal"/>
      </w:pPr>
      <w:r>
        <w:t>A Party shall not administer a measure covered by this Agreement in a manner that defeats legal information, counsel, aid and representation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HR5-021. Language, interpretation and accessible procedure: Treaty-Wide Rights Floor</w:t>
      </w:r>
    </w:p>
    <w:p>
      <w:pPr>
        <w:pStyle w:val="Normal"/>
      </w:pPr>
      <w:r>
        <w:t>Each Party shall maintain and apply measures consistent with language, interpretation and accessible procedure,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HR5-022. Language, interpretation and accessible procedure: Equal Application</w:t>
      </w:r>
    </w:p>
    <w:p>
      <w:pPr>
        <w:pStyle w:val="Normal"/>
      </w:pPr>
      <w:r>
        <w:t>A Party shall not administer a measure covered by this Agreement in a manner that defeats language, interpretation and accessible procedure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HR5-023. Privacy, family, home and reputation: Treaty-Wide Rights Floor</w:t>
      </w:r>
    </w:p>
    <w:p>
      <w:pPr>
        <w:pStyle w:val="Normal"/>
      </w:pPr>
      <w:r>
        <w:t>Each Party shall maintain and apply measures consistent with privacy, family, home and reputation,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HR5-024. Privacy, family, home and reputation: Equal Application</w:t>
      </w:r>
    </w:p>
    <w:p>
      <w:pPr>
        <w:pStyle w:val="Normal"/>
      </w:pPr>
      <w:r>
        <w:t>A Party shall not administer a measure covered by this Agreement in a manner that defeats privacy, family, home and reputation through prohibited discrimination, arbitrary distinction, retaliation or bad-faith circumvention. Objective and proportionate distinctions pursuing a legitimate public purpose remain permitted.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w:t>
      </w:r>
    </w:p>
    <w:p>
      <w:pPr>
        <w:pStyle w:val="Heading3"/>
      </w:pPr>
      <w:r>
        <w:t>HR5-025. Privacy, family, home and reputation: Proportionate Implementation</w:t>
      </w:r>
    </w:p>
    <w:p>
      <w:pPr>
        <w:pStyle w:val="Normal"/>
      </w:pPr>
      <w:r>
        <w:t>Each Party shall use reasonable, proportionate and administrable measures to give practical effect to privacy, family, home and reputation. Implementation may reflect constitutional structure, division of powers and existing institutions, provided that equivalent protection of the covered interest is maintained.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w:t>
      </w:r>
    </w:p>
    <w:p>
      <w:pPr>
        <w:pStyle w:val="Heading3"/>
      </w:pPr>
      <w:r>
        <w:t>HR5-026. Privacy, family, home and reputation: Due Process and Effective Remedy</w:t>
      </w:r>
    </w:p>
    <w:p>
      <w:pPr>
        <w:pStyle w:val="Normal"/>
      </w:pPr>
      <w:r>
        <w:t>A person materially affected by a covered governmental measure implicating privacy, family, home and reputation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HR5-027. Protection from violence, intimidation and coercion: Treaty-Wide Rights Floor</w:t>
      </w:r>
    </w:p>
    <w:p>
      <w:pPr>
        <w:pStyle w:val="Normal"/>
      </w:pPr>
      <w:r>
        <w:t>Each Party shall maintain and apply measures consistent with protection from violence, intimidation and coercion,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HR5-028. Protection from violence, intimidation and coercion: Equal Application</w:t>
      </w:r>
    </w:p>
    <w:p>
      <w:pPr>
        <w:pStyle w:val="Normal"/>
      </w:pPr>
      <w:r>
        <w:t>A Party shall not administer a measure covered by this Agreement in a manner that defeats protection from violence, intimidation and coercion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HR5-029. Protection from violence, intimidation and coercion: Proportionate Implementation</w:t>
      </w:r>
    </w:p>
    <w:p>
      <w:pPr>
        <w:pStyle w:val="Normal"/>
      </w:pPr>
      <w:r>
        <w:t>Each Party shall use reasonable, proportionate and administrable measures to give practical effect to protection from violence, intimidation and coercion.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HR5-030. Freedom from torture, cruel treatment and degrading treatment: Treaty-Wide Rights Floor</w:t>
      </w:r>
    </w:p>
    <w:p>
      <w:pPr>
        <w:pStyle w:val="Normal"/>
      </w:pPr>
      <w:r>
        <w:t>Each Party shall maintain and apply measures consistent with freedom from torture, cruel treatment and degrading treatment,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HR5-031. Freedom from torture, cruel treatment and degrading treatment: Equal Application</w:t>
      </w:r>
    </w:p>
    <w:p>
      <w:pPr>
        <w:pStyle w:val="Normal"/>
      </w:pPr>
      <w:r>
        <w:t>A Party shall not administer a measure covered by this Agreement in a manner that defeats freedom from torture, cruel treatment and degrading treatment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HR5-032. Freedom from torture, cruel treatment and degrading treatment: Proportionate Implementation</w:t>
      </w:r>
    </w:p>
    <w:p>
      <w:pPr>
        <w:pStyle w:val="Normal"/>
      </w:pPr>
      <w:r>
        <w:t>Each Party shall use reasonable, proportionate and administrable measures to give practical effect to freedom from torture, cruel treatment and degrading treatment.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HR5-033. Liberty and security of person: Treaty-Wide Rights Floor</w:t>
      </w:r>
    </w:p>
    <w:p>
      <w:pPr>
        <w:pStyle w:val="Normal"/>
      </w:pPr>
      <w:r>
        <w:t>Each Party shall maintain and apply measures consistent with liberty and security of person,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HR5-034. Liberty and security of person: Equal Application</w:t>
      </w:r>
    </w:p>
    <w:p>
      <w:pPr>
        <w:pStyle w:val="Normal"/>
      </w:pPr>
      <w:r>
        <w:t>A Party shall not administer a measure covered by this Agreement in a manner that defeats liberty and security of person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HR5-035. Liberty and security of person: Proportionate Implementation</w:t>
      </w:r>
    </w:p>
    <w:p>
      <w:pPr>
        <w:pStyle w:val="Normal"/>
      </w:pPr>
      <w:r>
        <w:t>Each Party shall use reasonable, proportionate and administrable measures to give practical effect to liberty and security of person.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HR5-036. Association and peaceful assembly: Treaty-Wide Rights Floor</w:t>
      </w:r>
    </w:p>
    <w:p>
      <w:pPr>
        <w:pStyle w:val="Normal"/>
      </w:pPr>
      <w:r>
        <w:t>Each Party shall maintain and apply measures consistent with association and peaceful assembly,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HR5-037. Association and peaceful assembly: Equal Application</w:t>
      </w:r>
    </w:p>
    <w:p>
      <w:pPr>
        <w:pStyle w:val="Normal"/>
      </w:pPr>
      <w:r>
        <w:t>A Party shall not administer a measure covered by this Agreement in a manner that defeats association and peaceful assembly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HR5-038. Association and peaceful assembly: Proportionate Implementation</w:t>
      </w:r>
    </w:p>
    <w:p>
      <w:pPr>
        <w:pStyle w:val="Normal"/>
      </w:pPr>
      <w:r>
        <w:t>Each Party shall use reasonable, proportionate and administrable measures to give practical effect to association and peaceful assembly.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HR5-039. Association and peaceful assembly: Due Process and Effective Remedy</w:t>
      </w:r>
    </w:p>
    <w:p>
      <w:pPr>
        <w:pStyle w:val="Normal"/>
      </w:pPr>
      <w:r>
        <w:t>A person materially affected by a covered governmental measure implicating association and peaceful assembly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HR5-040. Expression, opinion, information and media freedom: Treaty-Wide Rights Floor</w:t>
      </w:r>
    </w:p>
    <w:p>
      <w:pPr>
        <w:pStyle w:val="Normal"/>
      </w:pPr>
      <w:r>
        <w:t>Each Party shall maintain and apply measures consistent with expression, opinion, information and media freedom,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HR5-041. Expression, opinion, information and media freedom: Equal Application</w:t>
      </w:r>
    </w:p>
    <w:p>
      <w:pPr>
        <w:pStyle w:val="Normal"/>
      </w:pPr>
      <w:r>
        <w:t>A Party shall not administer a measure covered by this Agreement in a manner that defeats expression, opinion, information and media freedom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HR5-042. Expression, opinion, information and media freedom: Proportionate Implementation</w:t>
      </w:r>
    </w:p>
    <w:p>
      <w:pPr>
        <w:pStyle w:val="Normal"/>
      </w:pPr>
      <w:r>
        <w:t>Each Party shall use reasonable, proportionate and administrable measures to give practical effect to expression, opinion, information and media freedom.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HR5-043. Expression, opinion, information and media freedom: Due Process and Effective Remedy</w:t>
      </w:r>
    </w:p>
    <w:p>
      <w:pPr>
        <w:pStyle w:val="Normal"/>
      </w:pPr>
      <w:r>
        <w:t>A person materially affected by a covered governmental measure implicating expression, opinion, information and media freedom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HR5-044. Human-rights defender protection: Treaty-Wide Rights Floor</w:t>
      </w:r>
    </w:p>
    <w:p>
      <w:pPr>
        <w:pStyle w:val="Normal"/>
      </w:pPr>
      <w:r>
        <w:t>Each Party shall maintain and apply measures consistent with human-rights defender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HR5-045. Human-rights defender protection: Equal Application</w:t>
      </w:r>
    </w:p>
    <w:p>
      <w:pPr>
        <w:pStyle w:val="Normal"/>
      </w:pPr>
      <w:r>
        <w:t>A Party shall not administer a measure covered by this Agreement in a manner that defeats human-rights defender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HR5-046. Rights impact assessment and treaty interpretation: Treaty-Wide Rights Floor</w:t>
      </w:r>
    </w:p>
    <w:p>
      <w:pPr>
        <w:pStyle w:val="Normal"/>
      </w:pPr>
      <w:r>
        <w:t>The Parties affirm the importance of rights impact assessment and treaty interpretation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HR5-047. Rights impact assessment and treaty interpretation: Equal Application</w:t>
      </w:r>
    </w:p>
    <w:p>
      <w:pPr>
        <w:pStyle w:val="Normal"/>
      </w:pPr>
      <w:r>
        <w:t>Cooperation concerning rights impact assessment and treaty interpretation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HR5-048. Participation in policy affecting protected persons: Treaty-Wide Rights Floor</w:t>
      </w:r>
    </w:p>
    <w:p>
      <w:pPr>
        <w:pStyle w:val="Normal"/>
      </w:pPr>
      <w:r>
        <w:t>The Parties affirm the importance of participation in policy affecting protected persons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HR5-049. Age nondiscrimination in work and economic participation: Age-Equality Safeguard</w:t>
      </w:r>
    </w:p>
    <w:p>
      <w:pPr>
        <w:pStyle w:val="Normal"/>
      </w:pPr>
      <w:r>
        <w:t>Each Party shall maintain and apply measures consistent with age nondiscrimination in work and economic participation,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HR5-050. Age nondiscrimination in work and economic participation: Autonomy and Non-Discrimination</w:t>
      </w:r>
    </w:p>
    <w:p>
      <w:pPr>
        <w:pStyle w:val="Normal"/>
      </w:pPr>
      <w:r>
        <w:t>A Party shall not administer a measure covered by this Agreement in a manner that defeats age nondiscrimination in work and economic participation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HR5-051. Older-worker accommodation, retraining and workplace adaptation: Age-Equality Safeguard</w:t>
      </w:r>
    </w:p>
    <w:p>
      <w:pPr>
        <w:pStyle w:val="Normal"/>
      </w:pPr>
      <w:r>
        <w:t>The Parties affirm the importance of older-worker accommodation, retraining and workplace adaptation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HR5-052. Older-worker accommodation, retraining and workplace adaptation: Autonomy and Non-Discrimination</w:t>
      </w:r>
    </w:p>
    <w:p>
      <w:pPr>
        <w:pStyle w:val="Normal"/>
      </w:pPr>
      <w:r>
        <w:t>Cooperation concerning older-worker accommodation, retraining and workplace adaptation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HR5-053. Age nondiscrimination in healthcare and clinical decision-making: Age-Equality Safeguard</w:t>
      </w:r>
    </w:p>
    <w:p>
      <w:pPr>
        <w:pStyle w:val="Normal"/>
      </w:pPr>
      <w:r>
        <w:t>Each Party shall maintain and apply measures consistent with age nondiscrimination in healthcare and clinical decision-making,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HR5-054. Age nondiscrimination in healthcare and clinical decision-making: Autonomy and Non-Discrimination</w:t>
      </w:r>
    </w:p>
    <w:p>
      <w:pPr>
        <w:pStyle w:val="Normal"/>
      </w:pPr>
      <w:r>
        <w:t>A Party shall not administer a measure covered by this Agreement in a manner that defeats age nondiscrimination in healthcare and clinical decision-making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HR5-055. Older-person healthcare, geriatric and chronic-care access: Age-Equality Safeguard</w:t>
      </w:r>
    </w:p>
    <w:p>
      <w:pPr>
        <w:pStyle w:val="Normal"/>
      </w:pPr>
      <w:r>
        <w:t>The Parties affirm the importance of older-person healthcare, geriatric and chronic-care access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HR5-056. Older-person healthcare, geriatric and chronic-care access: Autonomy and Non-Discrimination</w:t>
      </w:r>
    </w:p>
    <w:p>
      <w:pPr>
        <w:pStyle w:val="Normal"/>
      </w:pPr>
      <w:r>
        <w:t>Cooperation concerning older-person healthcare, geriatric and chronic-care access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HR5-057. Older-person informed consent and healthcare autonomy: Age-Equality Safeguard</w:t>
      </w:r>
    </w:p>
    <w:p>
      <w:pPr>
        <w:pStyle w:val="Normal"/>
      </w:pPr>
      <w:r>
        <w:t>Each Party shall maintain and apply measures consistent with older-person informed consent and healthcare autonomy,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HR5-058. Pension and social-security portability: Age-Equality Safeguard</w:t>
      </w:r>
    </w:p>
    <w:p>
      <w:pPr>
        <w:pStyle w:val="Normal"/>
      </w:pPr>
      <w:r>
        <w:t>The Parties affirm the importance of pension and social-security portability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HR5-059. Pension integrity, adequacy and anti-fraud: Age-Equality Safeguard</w:t>
      </w:r>
    </w:p>
    <w:p>
      <w:pPr>
        <w:pStyle w:val="Normal"/>
      </w:pPr>
      <w:r>
        <w:t>A Party may elect to participate in the Optional Module on Pension integrity, adequacy and anti-fraud. A participating Party shall implement the commitments it expressly accepts under that Module in accordance with its constitutional order and competent authorities.</w:t>
      </w:r>
    </w:p>
    <w:p>
      <w:pPr>
        <w:pStyle w:val="Heading3"/>
      </w:pPr>
      <w:r>
        <w:t>HR5-060. Pension integrity, adequacy and anti-fraud: Autonomy and Non-Discrimination</w:t>
      </w:r>
    </w:p>
    <w:p>
      <w:pPr>
        <w:pStyle w:val="Normal"/>
      </w:pPr>
      <w:r>
        <w:t>Participating Parties should pursue pension integrity, adequacy and anti-fraud through non-discriminatory, rights-respecting and proportionate measures, with appropriate exceptions for legitimate public purposes and the rights and freedoms of others.</w:t>
      </w:r>
    </w:p>
    <w:p>
      <w:pPr>
        <w:pStyle w:val="Heading3"/>
      </w:pPr>
      <w:r>
        <w:t>HR5-061. Older-person social protection and accessible benefits: Age-Equality Safeguard</w:t>
      </w:r>
    </w:p>
    <w:p>
      <w:pPr>
        <w:pStyle w:val="Normal"/>
      </w:pPr>
      <w:r>
        <w:t>A Party may elect to participate in the Optional Module on Older-person social protection and accessible benefits. A participating Party shall implement the commitments it expressly accepts under that Module in accordance with its constitutional order and competent authorities.</w:t>
      </w:r>
    </w:p>
    <w:p>
      <w:pPr>
        <w:pStyle w:val="Heading3"/>
      </w:pPr>
      <w:r>
        <w:t>HR5-062. Age nondiscrimination and autonomy in housing: Age-Equality Safeguard</w:t>
      </w:r>
    </w:p>
    <w:p>
      <w:pPr>
        <w:pStyle w:val="Normal"/>
      </w:pPr>
      <w:r>
        <w:t>A Party may elect to participate in the Optional Module on Age nondiscrimination and autonomy in housing. A participating Party shall implement the commitments it expressly accepts under that Module in accordance with its constitutional order and competent authorities.</w:t>
      </w:r>
    </w:p>
    <w:p>
      <w:pPr>
        <w:pStyle w:val="Heading3"/>
      </w:pPr>
      <w:r>
        <w:t>HR5-063. Age nondiscrimination and autonomy in housing: Autonomy and Non-Discrimination</w:t>
      </w:r>
    </w:p>
    <w:p>
      <w:pPr>
        <w:pStyle w:val="Normal"/>
      </w:pPr>
      <w:r>
        <w:t>Participating Parties should pursue age nondiscrimination and autonomy in housing through non-discriminatory, rights-respecting and proportionate measures, with appropriate exceptions for legitimate public purposes and the rights and freedoms of others.</w:t>
      </w:r>
    </w:p>
    <w:p>
      <w:pPr>
        <w:pStyle w:val="Heading3"/>
      </w:pPr>
      <w:r>
        <w:t>HR5-064. Ageing in place and accessible housing: Age-Equality Safeguard</w:t>
      </w:r>
    </w:p>
    <w:p>
      <w:pPr>
        <w:pStyle w:val="Normal"/>
      </w:pPr>
      <w:r>
        <w:t>A Party may elect to participate in the Optional Module on Ageing in place and accessible housing. A participating Party shall implement the commitments it expressly accepts under that Module in accordance with its constitutional order and competent authorities.</w:t>
      </w:r>
    </w:p>
    <w:p>
      <w:pPr>
        <w:pStyle w:val="Heading3"/>
      </w:pPr>
      <w:r>
        <w:t>HR5-065. Ageing in place and accessible housing: Autonomy and Non-Discrimination</w:t>
      </w:r>
    </w:p>
    <w:p>
      <w:pPr>
        <w:pStyle w:val="Normal"/>
      </w:pPr>
      <w:r>
        <w:t>Participating Parties should pursue ageing in place and accessible housing through non-discriminatory, rights-respecting and proportionate measures, with appropriate exceptions for legitimate public purposes and the rights and freedoms of others.</w:t>
      </w:r>
    </w:p>
    <w:p>
      <w:pPr>
        <w:pStyle w:val="Heading3"/>
      </w:pPr>
      <w:r>
        <w:t>HR5-066. Elder abuse, neglect and exploitation prevention: Age-Equality Safeguard</w:t>
      </w:r>
    </w:p>
    <w:p>
      <w:pPr>
        <w:pStyle w:val="Normal"/>
      </w:pPr>
      <w:r>
        <w:t>Each Party shall maintain effective measures within its competence against abuse, neglect, coercion and financial exploitation of older persons where connected to covered employment, services, financial activity, mobility or cross-border commerce.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HR5-067. Elder abuse, neglect and exploitation prevention: Autonomy and Non-Discrimination</w:t>
      </w:r>
    </w:p>
    <w:p>
      <w:pPr>
        <w:pStyle w:val="Normal"/>
      </w:pPr>
      <w:r>
        <w:t>A Party shall not administer a measure covered by this Agreement in a manner that defeats elder abuse, neglect and exploitation prevention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HR5-068. Older-person autonomy, supported decision-making and guardianship safeguards: Age-Equality Safeguard</w:t>
      </w:r>
    </w:p>
    <w:p>
      <w:pPr>
        <w:pStyle w:val="Normal"/>
      </w:pPr>
      <w:r>
        <w:t>Each Party shall maintain and apply measures consistent with older-person autonomy, supported decision-making and guardianship safeguards,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HR5-069. Older-person autonomy, supported decision-making and guardianship safeguards: Autonomy and Non-Discrimination</w:t>
      </w:r>
    </w:p>
    <w:p>
      <w:pPr>
        <w:pStyle w:val="Normal"/>
      </w:pPr>
      <w:r>
        <w:t>A Party shall not administer a measure covered by this Agreement in a manner that defeats older-person autonomy, supported decision-making and guardianship safeguards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HR5-070. Older-person participation, community inclusion and lifelong learning: Age-Equality Safeguard</w:t>
      </w:r>
    </w:p>
    <w:p>
      <w:pPr>
        <w:pStyle w:val="Normal"/>
      </w:pPr>
      <w:r>
        <w:t>The Parties affirm the importance of older-person participation, community inclusion and lifelong learning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HR5-071. Older-person participation, community inclusion and lifelong learning: Autonomy and Non-Discrimination</w:t>
      </w:r>
    </w:p>
    <w:p>
      <w:pPr>
        <w:pStyle w:val="Normal"/>
      </w:pPr>
      <w:r>
        <w:t>Cooperation concerning older-person participation, community inclusion and lifelong learning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HR5-072. Older-person accessible mobility and functional driver assessment: Age-Equality Safeguard</w:t>
      </w:r>
    </w:p>
    <w:p>
      <w:pPr>
        <w:pStyle w:val="Normal"/>
      </w:pPr>
      <w:r>
        <w:t>A Party may elect to participate in the Optional Module on Older-person accessible mobility and functional driver assessment. A participating Party shall implement the commitments it expressly accepts under that Module in accordance with its constitutional order and competent authorities.</w:t>
      </w:r>
    </w:p>
    <w:p>
      <w:pPr>
        <w:pStyle w:val="Heading3"/>
      </w:pPr>
      <w:r>
        <w:t>HR5-073. Older-person accessible mobility and functional driver assessment: Autonomy and Non-Discrimination</w:t>
      </w:r>
    </w:p>
    <w:p>
      <w:pPr>
        <w:pStyle w:val="Normal"/>
      </w:pPr>
      <w:r>
        <w:t>Participating Parties should pursue older-person accessible mobility and functional driver assessment through non-discriminatory, rights-respecting and proportionate measures, with appropriate exceptions for legitimate public purposes and the rights and freedoms of others.</w:t>
      </w:r>
    </w:p>
    <w:p>
      <w:pPr>
        <w:pStyle w:val="Heading3"/>
      </w:pPr>
      <w:r>
        <w:t>HR5-074. Older-person digital inclusion and fraud protection: Age-Equality Safeguard</w:t>
      </w:r>
    </w:p>
    <w:p>
      <w:pPr>
        <w:pStyle w:val="Normal"/>
      </w:pPr>
      <w:r>
        <w:t>The Parties affirm the importance of older-person digital inclusion and fraud protection and shall seek to strengthen it through cooperative, equivalent or phased measures suited to their respective constitutional and institutional systems.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HR5-075. Older-person digital inclusion and fraud protection: Autonomy and Non-Discrimination</w:t>
      </w:r>
    </w:p>
    <w:p>
      <w:pPr>
        <w:pStyle w:val="Normal"/>
      </w:pPr>
      <w:r>
        <w:t>Cooperation concerning older-person digital inclusion and fraud protection should prioritize equal access, accessibility, non-retaliation and protection of persons facing heightened barriers, while permitting functionally equivalent national approaches.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HR5-076. Child definition and rights-holder status: Child-Specific Rights Floor</w:t>
      </w:r>
    </w:p>
    <w:p>
      <w:pPr>
        <w:pStyle w:val="Normal"/>
      </w:pPr>
      <w:r>
        <w:t>Each Party shall maintain and apply measures consistent with child definition and rights-holder status,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HR5-077. Child definition and rights-holder status: Best Interests and Equal Protection</w:t>
      </w:r>
    </w:p>
    <w:p>
      <w:pPr>
        <w:pStyle w:val="Normal"/>
      </w:pPr>
      <w:r>
        <w:t>A Party shall not administer a measure covered by this Agreement in a manner that defeats child definition and rights-holder status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HR5-078. Best interests of the child: Child-Specific Rights Floor</w:t>
      </w:r>
    </w:p>
    <w:p>
      <w:pPr>
        <w:pStyle w:val="Normal"/>
      </w:pPr>
      <w:r>
        <w:t>In a covered decision directly affecting a child, the child's best interests shall be a primary consideration appropriate to the decision and treaty nexus. This principle does not displace competent domestic family-law, child-protection or judicial authority.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HR5-079. Child participation, voice and evolving capacities: Child-Specific Rights Floor</w:t>
      </w:r>
    </w:p>
    <w:p>
      <w:pPr>
        <w:pStyle w:val="Normal"/>
      </w:pPr>
      <w:r>
        <w:t>The Parties affirm the importance of child participation, voice and evolving capacities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HR5-080. Child participation, voice and evolving capacities: Best Interests and Equal Protection</w:t>
      </w:r>
    </w:p>
    <w:p>
      <w:pPr>
        <w:pStyle w:val="Normal"/>
      </w:pPr>
      <w:r>
        <w:t>Cooperation concerning child participation, voice and evolving capacities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HR5-081. Child identity, nationality and family relations: Child-Specific Rights Floor</w:t>
      </w:r>
    </w:p>
    <w:p>
      <w:pPr>
        <w:pStyle w:val="Normal"/>
      </w:pPr>
      <w:r>
        <w:t>Each Party shall maintain and apply measures consistent with child identity, nationality and family relations,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HR5-082. Child labour abolition and minimum-age floor: Child-Specific Rights Floor</w:t>
      </w:r>
    </w:p>
    <w:p>
      <w:pPr>
        <w:pStyle w:val="Normal"/>
      </w:pPr>
      <w:r>
        <w:t>Each Party shall maintain and apply measures consistent with child labour abolition and minimum-age floor,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HR5-083. Child labour abolition and minimum-age floor: Best Interests and Equal Protection</w:t>
      </w:r>
    </w:p>
    <w:p>
      <w:pPr>
        <w:pStyle w:val="Normal"/>
      </w:pPr>
      <w:r>
        <w:t>A Party shall not administer a measure covered by this Agreement in a manner that defeats child labour abolition and minimum-age floor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HR5-084. Child labour abolition and minimum-age floor: Age-Appropriate Implementation</w:t>
      </w:r>
    </w:p>
    <w:p>
      <w:pPr>
        <w:pStyle w:val="Normal"/>
      </w:pPr>
      <w:r>
        <w:t>Each Party shall use reasonable, proportionate and administrable measures to give practical effect to child labour abolition and minimum-age floor.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HR5-085. Worst forms of child labour, trafficking and commercial exploitation: Child-Specific Rights Floor</w:t>
      </w:r>
    </w:p>
    <w:p>
      <w:pPr>
        <w:pStyle w:val="Normal"/>
      </w:pPr>
      <w:r>
        <w:t>Each Party shall maintain and apply measures consistent with worst forms of child labour, trafficking and commercial exploitation,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HR5-086. Worst forms of child labour, trafficking and commercial exploitation: Best Interests and Equal Protection</w:t>
      </w:r>
    </w:p>
    <w:p>
      <w:pPr>
        <w:pStyle w:val="Normal"/>
      </w:pPr>
      <w:r>
        <w:t>A Party shall not administer a measure covered by this Agreement in a manner that defeats worst forms of child labour, trafficking and commercial exploitation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HR5-087. Child-labour supply-chain due diligence and procurement: Child-Specific Rights Floor</w:t>
      </w:r>
    </w:p>
    <w:p>
      <w:pPr>
        <w:pStyle w:val="Normal"/>
      </w:pPr>
      <w:r>
        <w:t>Each Party shall maintain and apply measures consistent with child-labour supply-chain due diligence and procurement,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HR5-088. Child family unity in migration: Child-Specific Rights Floor</w:t>
      </w:r>
    </w:p>
    <w:p>
      <w:pPr>
        <w:pStyle w:val="Normal"/>
      </w:pPr>
      <w:r>
        <w:t>Each Party shall maintain and apply measures consistent with child family unity in migration,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HR5-089. Child family unity in migration: Best Interests and Equal Protection</w:t>
      </w:r>
    </w:p>
    <w:p>
      <w:pPr>
        <w:pStyle w:val="Normal"/>
      </w:pPr>
      <w:r>
        <w:t>A Party shall not administer a measure covered by this Agreement in a manner that defeats child family unity in migration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HR5-090. Child family unity in migration: Age-Appropriate Implementation</w:t>
      </w:r>
    </w:p>
    <w:p>
      <w:pPr>
        <w:pStyle w:val="Normal"/>
      </w:pPr>
      <w:r>
        <w:t>Each Party shall use reasonable, proportionate and administrable measures to give practical effect to child family unity in migration.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HR5-091. Child-sensitive immigration custody and removal: Child-Specific Rights Floor</w:t>
      </w:r>
    </w:p>
    <w:p>
      <w:pPr>
        <w:pStyle w:val="Normal"/>
      </w:pPr>
      <w:r>
        <w:t>Each Party shall maintain and apply measures consistent with child-sensitive immigration custody and removal,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HR5-092. Child-sensitive immigration custody and removal: Best Interests and Equal Protection</w:t>
      </w:r>
    </w:p>
    <w:p>
      <w:pPr>
        <w:pStyle w:val="Normal"/>
      </w:pPr>
      <w:r>
        <w:t>A Party shall not administer a measure covered by this Agreement in a manner that defeats child-sensitive immigration custody and removal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HR5-093. Child healthcare nondiscrimination and access: Child-Specific Rights Floor</w:t>
      </w:r>
    </w:p>
    <w:p>
      <w:pPr>
        <w:pStyle w:val="Normal"/>
      </w:pPr>
      <w:r>
        <w:t>The Parties affirm the importance of child healthcare nondiscrimination and access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HR5-094. Child healthcare nondiscrimination and access: Best Interests and Equal Protection</w:t>
      </w:r>
    </w:p>
    <w:p>
      <w:pPr>
        <w:pStyle w:val="Normal"/>
      </w:pPr>
      <w:r>
        <w:t>Cooperation concerning child healthcare nondiscrimination and access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HR5-095. Child education access and continuity: Child-Specific Rights Floor</w:t>
      </w:r>
    </w:p>
    <w:p>
      <w:pPr>
        <w:pStyle w:val="Normal"/>
      </w:pPr>
      <w:r>
        <w:t>A Party may elect to participate in the Optional Module on Child education access and continuity. A participating Party shall implement the commitments it expressly accepts under that Module in accordance with its constitutional order and competent authorities.</w:t>
      </w:r>
    </w:p>
    <w:p>
      <w:pPr>
        <w:pStyle w:val="Heading3"/>
      </w:pPr>
      <w:r>
        <w:t>HR5-096. Child education access and continuity: Best Interests and Equal Protection</w:t>
      </w:r>
    </w:p>
    <w:p>
      <w:pPr>
        <w:pStyle w:val="Normal"/>
      </w:pPr>
      <w:r>
        <w:t>Participating Parties should pursue child education access and continuity through non-discriminatory, rights-respecting and proportionate measures, with appropriate exceptions for legitimate public purposes and the rights and freedoms of others.</w:t>
      </w:r>
    </w:p>
    <w:p>
      <w:pPr>
        <w:pStyle w:val="Heading3"/>
      </w:pPr>
      <w:r>
        <w:t>HR5-097. Child protection from violence, abuse and exploitation: Child-Specific Rights Floor</w:t>
      </w:r>
    </w:p>
    <w:p>
      <w:pPr>
        <w:pStyle w:val="Normal"/>
      </w:pPr>
      <w:r>
        <w:t>Each Party shall maintain and apply measures consistent with child protection from violence, abuse and exploitation,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HR5-098. Child protection from violence, abuse and exploitation: Best Interests and Equal Protection</w:t>
      </w:r>
    </w:p>
    <w:p>
      <w:pPr>
        <w:pStyle w:val="Normal"/>
      </w:pPr>
      <w:r>
        <w:t>A Party shall not administer a measure covered by this Agreement in a manner that defeats child protection from violence, abuse and exploitation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HR5-099. Child protection from violence, abuse and exploitation: Age-Appropriate Implementation</w:t>
      </w:r>
    </w:p>
    <w:p>
      <w:pPr>
        <w:pStyle w:val="Normal"/>
      </w:pPr>
      <w:r>
        <w:t>Each Party shall use reasonable, proportionate and administrable measures to give practical effect to child protection from violence, abuse and exploitation.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HR5-100. Child recovery, rehabilitation and reintegration: Child-Specific Rights Floor</w:t>
      </w:r>
    </w:p>
    <w:p>
      <w:pPr>
        <w:pStyle w:val="Normal"/>
      </w:pPr>
      <w:r>
        <w:t>The Parties affirm the importance of child recovery, rehabilitation and reintegration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HR5-101. Child adequate-standard-of-living and poverty protection: Child-Specific Rights Floor</w:t>
      </w:r>
    </w:p>
    <w:p>
      <w:pPr>
        <w:pStyle w:val="Normal"/>
      </w:pPr>
      <w:r>
        <w:t>A Party may elect to participate in the Optional Module on Child adequate-standard-of-living and poverty protection. A participating Party shall implement the commitments it expressly accepts under that Module in accordance with its constitutional order and competent authorities.</w:t>
      </w:r>
    </w:p>
    <w:p>
      <w:pPr>
        <w:pStyle w:val="Heading3"/>
      </w:pPr>
      <w:r>
        <w:t>HR5-102. Child adequate-standard-of-living and poverty protection: Best Interests and Equal Protection</w:t>
      </w:r>
    </w:p>
    <w:p>
      <w:pPr>
        <w:pStyle w:val="Normal"/>
      </w:pPr>
      <w:r>
        <w:t>Participating Parties should pursue child adequate-standard-of-living and poverty protection through non-discriminatory, rights-respecting and proportionate measures, with appropriate exceptions for legitimate public purposes and the rights and freedoms of others.</w:t>
      </w:r>
    </w:p>
    <w:p>
      <w:pPr>
        <w:pStyle w:val="Heading3"/>
      </w:pPr>
      <w:r>
        <w:t>HR5-103. Children with disabilities: equality and participation: Child-Specific Rights Floor</w:t>
      </w:r>
    </w:p>
    <w:p>
      <w:pPr>
        <w:pStyle w:val="Normal"/>
      </w:pPr>
      <w:r>
        <w:t>The Parties affirm the importance of children with disabilities: equality and participation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HR5-104. Children with disabilities: equality and participation: Best Interests and Equal Protection</w:t>
      </w:r>
    </w:p>
    <w:p>
      <w:pPr>
        <w:pStyle w:val="Normal"/>
      </w:pPr>
      <w:r>
        <w:t>Cooperation concerning children with disabilities: equality and participation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HR5-105. Refugee, asylum-seeking and migrant child protection: Child-Specific Rights Floor</w:t>
      </w:r>
    </w:p>
    <w:p>
      <w:pPr>
        <w:pStyle w:val="Normal"/>
      </w:pPr>
      <w:r>
        <w:t>Each Party shall maintain and apply measures consistent with refugee, asylum-seeking and migrant child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HR5-106. Refugee, asylum-seeking and migrant child protection: Best Interests and Equal Protection</w:t>
      </w:r>
    </w:p>
    <w:p>
      <w:pPr>
        <w:pStyle w:val="Normal"/>
      </w:pPr>
      <w:r>
        <w:t>A Party shall not administer a measure covered by this Agreement in a manner that defeats refugee, asylum-seeking and migrant child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HR5-107. Juvenile justice dignity, age-sensitive treatment and reintegration: Child-Specific Rights Floor</w:t>
      </w:r>
    </w:p>
    <w:p>
      <w:pPr>
        <w:pStyle w:val="Normal"/>
      </w:pPr>
      <w:r>
        <w:t>Each Party shall maintain and apply measures consistent with juvenile justice dignity, age-sensitive treatment and reintegration,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HR5-108. Juvenile justice dignity, age-sensitive treatment and reintegration: Best Interests and Equal Protection</w:t>
      </w:r>
    </w:p>
    <w:p>
      <w:pPr>
        <w:pStyle w:val="Normal"/>
      </w:pPr>
      <w:r>
        <w:t>A Party shall not administer a measure covered by this Agreement in a manner that defeats juvenile justice dignity, age-sensitive treatment and reintegration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HR5-109. Foster-child best interests and equal rights: Alternative-Care Rights Floor</w:t>
      </w:r>
    </w:p>
    <w:p>
      <w:pPr>
        <w:pStyle w:val="Normal"/>
      </w:pPr>
      <w:r>
        <w:t>Each Party shall maintain and apply measures consistent with foster-child best interests and equal rights,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HR5-110. Foster-child best interests and equal rights: Continuity and Best Interests</w:t>
      </w:r>
    </w:p>
    <w:p>
      <w:pPr>
        <w:pStyle w:val="Normal"/>
      </w:pPr>
      <w:r>
        <w:t>A Party shall not administer a measure covered by this Agreement in a manner that defeats foster-child best interests and equal rights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HR5-111. Family preservation, kinship placement and sibling continuity: Alternative-Care Rights Floor</w:t>
      </w:r>
    </w:p>
    <w:p>
      <w:pPr>
        <w:pStyle w:val="Normal"/>
      </w:pPr>
      <w:r>
        <w:t>Each Party shall maintain and apply measures consistent with family preservation, kinship placement and sibling continuity,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HR5-112. Family preservation, kinship placement and sibling continuity: Continuity and Best Interests</w:t>
      </w:r>
    </w:p>
    <w:p>
      <w:pPr>
        <w:pStyle w:val="Normal"/>
      </w:pPr>
      <w:r>
        <w:t>A Party shall not administer a measure covered by this Agreement in a manner that defeats family preservation, kinship placement and sibling continuity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HR5-113. Family preservation, kinship placement and sibling continuity: Child Voice and Case Safeguards</w:t>
      </w:r>
    </w:p>
    <w:p>
      <w:pPr>
        <w:pStyle w:val="Normal"/>
      </w:pPr>
      <w:r>
        <w:t>Each Party shall use reasonable, proportionate and administrable measures to give practical effect to family preservation, kinship placement and sibling continuity.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HR5-114. Placement stability and least-disruptive care: Alternative-Care Rights Floor</w:t>
      </w:r>
    </w:p>
    <w:p>
      <w:pPr>
        <w:pStyle w:val="Normal"/>
      </w:pPr>
      <w:r>
        <w:t>Where a covered cross-border, procurement, mobility or service-continuity measure materially affects a child in alternative care, the Parties should minimize avoidable disruption to safe placement, schooling, healthcare, sibling contact and essential records.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HR5-115. Placement stability and least-disruptive care: Continuity and Best Interests</w:t>
      </w:r>
    </w:p>
    <w:p>
      <w:pPr>
        <w:pStyle w:val="Normal"/>
      </w:pPr>
      <w:r>
        <w:t>Cooperation concerning placement stability and least-disruptive care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HR5-116. Foster-child education continuity and records: Alternative-Care Rights Floor</w:t>
      </w:r>
    </w:p>
    <w:p>
      <w:pPr>
        <w:pStyle w:val="Normal"/>
      </w:pPr>
      <w:r>
        <w:t>The Parties affirm the importance of foster-child education continuity and records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HR5-117. Foster-child education continuity and records: Continuity and Best Interests</w:t>
      </w:r>
    </w:p>
    <w:p>
      <w:pPr>
        <w:pStyle w:val="Normal"/>
      </w:pPr>
      <w:r>
        <w:t>Cooperation concerning foster-child education continuity and records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HR5-118. Foster-child healthcare continuity and consent: Alternative-Care Rights Floor</w:t>
      </w:r>
    </w:p>
    <w:p>
      <w:pPr>
        <w:pStyle w:val="Normal"/>
      </w:pPr>
      <w:r>
        <w:t>The Parties affirm the importance of foster-child healthcare continuity and consent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HR5-119. Foster-child healthcare continuity and consent: Continuity and Best Interests</w:t>
      </w:r>
    </w:p>
    <w:p>
      <w:pPr>
        <w:pStyle w:val="Normal"/>
      </w:pPr>
      <w:r>
        <w:t>Cooperation concerning foster-child healthcare continuity and consent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HR5-120. Foster-child safety and protection from abuse: Alternative-Care Rights Floor</w:t>
      </w:r>
    </w:p>
    <w:p>
      <w:pPr>
        <w:pStyle w:val="Normal"/>
      </w:pPr>
      <w:r>
        <w:t>Each Party shall maintain and apply measures consistent with foster-child safety and protection from abuse,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HR5-121. Foster-child safety and protection from abuse: Continuity and Best Interests</w:t>
      </w:r>
    </w:p>
    <w:p>
      <w:pPr>
        <w:pStyle w:val="Normal"/>
      </w:pPr>
      <w:r>
        <w:t>A Party shall not administer a measure covered by this Agreement in a manner that defeats foster-child safety and protection from abuse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HR5-122. Foster-child safety and protection from abuse: Child Voice and Case Safeguards</w:t>
      </w:r>
    </w:p>
    <w:p>
      <w:pPr>
        <w:pStyle w:val="Normal"/>
      </w:pPr>
      <w:r>
        <w:t>Each Party shall use reasonable, proportionate and administrable measures to give practical effect to foster-child safety and protection from abuse.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HR5-123. Foster-child identity, records and confidentiality: Alternative-Care Rights Floor</w:t>
      </w:r>
    </w:p>
    <w:p>
      <w:pPr>
        <w:pStyle w:val="Normal"/>
      </w:pPr>
      <w:r>
        <w:t>Each Party shall maintain and apply measures consistent with foster-child identity, records and confidentiality,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HR5-124. Foster-child identity, records and confidentiality: Continuity and Best Interests</w:t>
      </w:r>
    </w:p>
    <w:p>
      <w:pPr>
        <w:pStyle w:val="Normal"/>
      </w:pPr>
      <w:r>
        <w:t>A Party shall not administer a measure covered by this Agreement in a manner that defeats foster-child identity, records and confidentiality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HR5-125. Foster-child identity, records and confidentiality: Child Voice and Case Safeguards</w:t>
      </w:r>
    </w:p>
    <w:p>
      <w:pPr>
        <w:pStyle w:val="Normal"/>
      </w:pPr>
      <w:r>
        <w:t>Each Party shall use reasonable, proportionate and administrable measures to give practical effect to foster-child identity, records and confidentiality.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HR5-126. Foster-child participation in case planning and court: Alternative-Care Rights Floor</w:t>
      </w:r>
    </w:p>
    <w:p>
      <w:pPr>
        <w:pStyle w:val="Normal"/>
      </w:pPr>
      <w:r>
        <w:t>Each Party shall maintain and apply measures consistent with foster-child participation in case planning and court,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HR5-127. Foster-child participation in case planning and court: Continuity and Best Interests</w:t>
      </w:r>
    </w:p>
    <w:p>
      <w:pPr>
        <w:pStyle w:val="Normal"/>
      </w:pPr>
      <w:r>
        <w:t>A Party shall not administer a measure covered by this Agreement in a manner that defeats foster-child participation in case planning and court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HR5-128. Foster-child participation in case planning and court: Child Voice and Case Safeguards</w:t>
      </w:r>
    </w:p>
    <w:p>
      <w:pPr>
        <w:pStyle w:val="Normal"/>
      </w:pPr>
      <w:r>
        <w:t>Each Party shall use reasonable, proportionate and administrable measures to give practical effect to foster-child participation in case planning and court.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HR5-129. Transition to adulthood, housing, education and employment: Alternative-Care Rights Floor</w:t>
      </w:r>
    </w:p>
    <w:p>
      <w:pPr>
        <w:pStyle w:val="Normal"/>
      </w:pPr>
      <w:r>
        <w:t>The Parties affirm the importance of transition to adulthood, housing, education and employment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HR5-130. Transition to adulthood, housing, education and employment: Continuity and Best Interests</w:t>
      </w:r>
    </w:p>
    <w:p>
      <w:pPr>
        <w:pStyle w:val="Normal"/>
      </w:pPr>
      <w:r>
        <w:t>Cooperation concerning transition to adulthood, housing, education and employment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HR5-131. Transition to adulthood, housing, education and employment: Child Voice and Case Safeguards</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HR5-132. Case management, visitation and service continuity: Alternative-Care Rights Floor</w:t>
      </w:r>
    </w:p>
    <w:p>
      <w:pPr>
        <w:pStyle w:val="Normal"/>
      </w:pPr>
      <w:r>
        <w:t>The Parties affirm the importance of case management, visitation and service continuity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HR5-133. Case management, visitation and service continuity: Continuity and Best Interests</w:t>
      </w:r>
    </w:p>
    <w:p>
      <w:pPr>
        <w:pStyle w:val="Normal"/>
      </w:pPr>
      <w:r>
        <w:t>Cooperation concerning case management, visitation and service continuity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HR5-134. Foster-parent rights, training and responsibilities: Alternative-Care Rights Floor</w:t>
      </w:r>
    </w:p>
    <w:p>
      <w:pPr>
        <w:pStyle w:val="Normal"/>
      </w:pPr>
      <w:r>
        <w:t>A Party may elect to participate in the Optional Module on Foster-parent rights, training and responsibilities. A participating Party shall implement the commitments it expressly accepts under that Module in accordance with its constitutional order and competent authorities.</w:t>
      </w:r>
    </w:p>
    <w:p>
      <w:pPr>
        <w:pStyle w:val="Heading3"/>
      </w:pPr>
      <w:r>
        <w:t>HR5-135. Foster-parent rights, training and responsibilities: Continuity and Best Interests</w:t>
      </w:r>
    </w:p>
    <w:p>
      <w:pPr>
        <w:pStyle w:val="Normal"/>
      </w:pPr>
      <w:r>
        <w:t>Participating Parties should pursue foster-parent rights, training and responsibilities through non-discriminatory, rights-respecting and proportionate measures, with appropriate exceptions for legitimate public purposes and the rights and freedoms of others.</w:t>
      </w:r>
    </w:p>
    <w:p>
      <w:pPr>
        <w:pStyle w:val="Heading3"/>
      </w:pPr>
      <w:r>
        <w:t>HR5-136. Alternative-care oversight, inspections and complaints: Alternative-Care Rights Floor</w:t>
      </w:r>
    </w:p>
    <w:p>
      <w:pPr>
        <w:pStyle w:val="Normal"/>
      </w:pPr>
      <w:r>
        <w:t>The Parties affirm the importance of alternative-care oversight, inspections and complaints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HR5-137. Alternative-care oversight, inspections and complaints: Continuity and Best Interests</w:t>
      </w:r>
    </w:p>
    <w:p>
      <w:pPr>
        <w:pStyle w:val="Normal"/>
      </w:pPr>
      <w:r>
        <w:t>Cooperation concerning alternative-care oversight, inspections and complaints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HR5-138. Right-to-health policy-space and general principles: Health-Rights Safeguard</w:t>
      </w:r>
    </w:p>
    <w:p>
      <w:pPr>
        <w:pStyle w:val="Normal"/>
      </w:pPr>
      <w:r>
        <w:t>Each Party shall maintain and apply measures consistent with right-to-health policy-space and general principles,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HR5-139. Right-to-health policy-space and general principles: Equal Access and Non-Discrimination</w:t>
      </w:r>
    </w:p>
    <w:p>
      <w:pPr>
        <w:pStyle w:val="Normal"/>
      </w:pPr>
      <w:r>
        <w:t>A Party shall not administer a measure covered by this Agreement in a manner that defeats right-to-health policy-space and general principles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HR5-140. Right-to-health policy-space and general principles: Policy Space and Implementation</w:t>
      </w:r>
    </w:p>
    <w:p>
      <w:pPr>
        <w:pStyle w:val="Normal"/>
      </w:pPr>
      <w:r>
        <w:t>Each Party shall use reasonable, proportionate and administrable measures to give practical effect to right-to-health policy-space and general principles.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HR5-141. Right-to-health policy-space and general principles: Consent, Privacy and Review</w:t>
      </w:r>
    </w:p>
    <w:p>
      <w:pPr>
        <w:pStyle w:val="Normal"/>
      </w:pPr>
      <w:r>
        <w:t>A person materially affected by a covered governmental measure implicating right-to-health policy-space and general principles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HR5-142. Healthcare nondiscrimination and equal access: Health-Rights Safeguard</w:t>
      </w:r>
    </w:p>
    <w:p>
      <w:pPr>
        <w:pStyle w:val="Normal"/>
      </w:pPr>
      <w:r>
        <w:t>Each Party shall maintain and apply measures consistent with healthcare nondiscrimination and equal access,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HR5-143. Healthcare nondiscrimination and equal access: Equal Access and Non-Discrimination</w:t>
      </w:r>
    </w:p>
    <w:p>
      <w:pPr>
        <w:pStyle w:val="Normal"/>
      </w:pPr>
      <w:r>
        <w:t>A Party shall not administer a measure covered by this Agreement in a manner that defeats healthcare nondiscrimination and equal access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HR5-144. Healthcare nondiscrimination and equal access: Policy Space and Implementation</w:t>
      </w:r>
    </w:p>
    <w:p>
      <w:pPr>
        <w:pStyle w:val="Normal"/>
      </w:pPr>
      <w:r>
        <w:t>Each Party shall use reasonable, proportionate and administrable measures to give practical effect to healthcare nondiscrimination and equal access.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HR5-145. Emergency care and status-neutral access: Health-Rights Safeguard</w:t>
      </w:r>
    </w:p>
    <w:p>
      <w:pPr>
        <w:pStyle w:val="Normal"/>
      </w:pPr>
      <w:r>
        <w:t>Each Party shall maintain and apply measures consistent with emergency care and status-neutral access,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HR5-146. Emergency care and status-neutral access: Equal Access and Non-Discrimination</w:t>
      </w:r>
    </w:p>
    <w:p>
      <w:pPr>
        <w:pStyle w:val="Normal"/>
      </w:pPr>
      <w:r>
        <w:t>A Party shall not administer a measure covered by this Agreement in a manner that defeats emergency care and status-neutral access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HR5-147. Informed consent, bodily integrity and refusal of treatment: Health-Rights Safeguard</w:t>
      </w:r>
    </w:p>
    <w:p>
      <w:pPr>
        <w:pStyle w:val="Normal"/>
      </w:pPr>
      <w:r>
        <w:t>Each Party shall maintain and apply measures consistent with informed consent, bodily integrity and refusal of treatment,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HR5-148. Informed consent, bodily integrity and refusal of treatment: Equal Access and Non-Discrimination</w:t>
      </w:r>
    </w:p>
    <w:p>
      <w:pPr>
        <w:pStyle w:val="Normal"/>
      </w:pPr>
      <w:r>
        <w:t>A Party shall not administer a measure covered by this Agreement in a manner that defeats informed consent, bodily integrity and refusal of treatment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HR5-149. Informed consent, bodily integrity and refusal of treatment: Policy Space and Implementation</w:t>
      </w:r>
    </w:p>
    <w:p>
      <w:pPr>
        <w:pStyle w:val="Normal"/>
      </w:pPr>
      <w:r>
        <w:t>Each Party shall use reasonable, proportionate and administrable measures to give practical effect to informed consent, bodily integrity and refusal of treatment.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HR5-150. Medical privacy, confidentiality and records access: Health-Rights Safeguard</w:t>
      </w:r>
    </w:p>
    <w:p>
      <w:pPr>
        <w:pStyle w:val="Normal"/>
      </w:pPr>
      <w:r>
        <w:t>Each Party shall maintain and apply measures consistent with medical privacy, confidentiality and records access,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HR5-151. Reproductive and maternal-health policy space: Health-Rights Safeguard</w:t>
      </w:r>
    </w:p>
    <w:p>
      <w:pPr>
        <w:pStyle w:val="Normal"/>
      </w:pPr>
      <w:r>
        <w:t>Each Party shall maintain and apply measures consistent with reproductive and maternal-health policy space,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HR5-152. Reproductive and maternal-health policy space: Equal Access and Non-Discrimination</w:t>
      </w:r>
    </w:p>
    <w:p>
      <w:pPr>
        <w:pStyle w:val="Normal"/>
      </w:pPr>
      <w:r>
        <w:t>A Party shall not administer a measure covered by this Agreement in a manner that defeats reproductive and maternal-health policy space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HR5-153. Reproductive and maternal-health policy space: Policy Space and Implementation</w:t>
      </w:r>
    </w:p>
    <w:p>
      <w:pPr>
        <w:pStyle w:val="Normal"/>
      </w:pPr>
      <w:r>
        <w:t>Each Party shall use reasonable, proportionate and administrable measures to give practical effect to reproductive and maternal-health policy space.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HR5-154. Reproductive-health high-sensitivity entitlements: Health-Rights Safeguard</w:t>
      </w:r>
    </w:p>
    <w:p>
      <w:pPr>
        <w:pStyle w:val="Normal"/>
      </w:pPr>
      <w:r>
        <w:t>A Party may elect to participate in an Optional Reproductive and Maternal Health Module. Nothing in the mandatory NAESTMA core shall require a Party to enact, repeal or alter domestic law governing abortion, contraception, fertility treatment or comparable high-sensitivity clinical entitlements.</w:t>
      </w:r>
    </w:p>
    <w:p>
      <w:pPr>
        <w:pStyle w:val="Heading3"/>
      </w:pPr>
      <w:r>
        <w:t>HR5-155. Reproductive-health high-sensitivity entitlements: Equal Access and Non-Discrimination</w:t>
      </w:r>
    </w:p>
    <w:p>
      <w:pPr>
        <w:pStyle w:val="Normal"/>
      </w:pPr>
      <w:r>
        <w:t>Participating Parties should pursue reproductive-health high-sensitivity entitlements through non-discriminatory, rights-respecting and proportionate measures, with appropriate exceptions for legitimate public purposes and the rights and freedoms of others.</w:t>
      </w:r>
    </w:p>
    <w:p>
      <w:pPr>
        <w:pStyle w:val="Heading3"/>
      </w:pPr>
      <w:r>
        <w:t>HR5-156. Essential medicines availability and affordability: Health-Rights Safeguard</w:t>
      </w:r>
    </w:p>
    <w:p>
      <w:pPr>
        <w:pStyle w:val="Normal"/>
      </w:pPr>
      <w:r>
        <w:t>The Parties affirm the importance of essential medicines availability and affordability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HR5-157. Essential medicines availability and affordability: Equal Access and Non-Discrimination</w:t>
      </w:r>
    </w:p>
    <w:p>
      <w:pPr>
        <w:pStyle w:val="Normal"/>
      </w:pPr>
      <w:r>
        <w:t>Cooperation concerning essential medicines availability and affordability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HR5-158. Essential medicines availability and affordability: Policy Space and Implementation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HR5-159. Medicines intellectual-property flexibilities: Health-Rights Safeguard</w:t>
      </w:r>
    </w:p>
    <w:p>
      <w:pPr>
        <w:pStyle w:val="Normal"/>
      </w:pPr>
      <w:r>
        <w:t>The Parties affirm the importance of medicines intellectual-property flexibilities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HR5-160. Medicines intellectual-property flexibilities: Equal Access and Non-Discrimination</w:t>
      </w:r>
    </w:p>
    <w:p>
      <w:pPr>
        <w:pStyle w:val="Normal"/>
      </w:pPr>
      <w:r>
        <w:t>Cooperation concerning medicines intellectual-property flexibilities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HR5-161. Mental-health nondiscrimination and community care: Health-Rights Safeguard</w:t>
      </w:r>
    </w:p>
    <w:p>
      <w:pPr>
        <w:pStyle w:val="Normal"/>
      </w:pPr>
      <w:r>
        <w:t>The Parties affirm the importance of mental-health nondiscrimination and community care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HR5-162. Mental-health nondiscrimination and community care: Equal Access and Non-Discrimination</w:t>
      </w:r>
    </w:p>
    <w:p>
      <w:pPr>
        <w:pStyle w:val="Normal"/>
      </w:pPr>
      <w:r>
        <w:t>Cooperation concerning mental-health nondiscrimination and community care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HR5-163. Mental-health nondiscrimination and community care: Policy Space and Implementation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HR5-164. Mental-health consent, restraint and institutional safeguards: Health-Rights Safeguard</w:t>
      </w:r>
    </w:p>
    <w:p>
      <w:pPr>
        <w:pStyle w:val="Normal"/>
      </w:pPr>
      <w:r>
        <w:t>Each Party shall maintain and apply measures consistent with mental-health consent, restraint and institutional safeguards,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HR5-165. Disability-inclusive healthcare and reasonable accommodation: Health-Rights Safeguard</w:t>
      </w:r>
    </w:p>
    <w:p>
      <w:pPr>
        <w:pStyle w:val="Normal"/>
      </w:pPr>
      <w:r>
        <w:t>The Parties affirm the importance of disability-inclusive healthcare and reasonable accommodation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HR5-166. Disability-inclusive healthcare and reasonable accommodation: Equal Access and Non-Discrimination</w:t>
      </w:r>
    </w:p>
    <w:p>
      <w:pPr>
        <w:pStyle w:val="Normal"/>
      </w:pPr>
      <w:r>
        <w:t>Cooperation concerning disability-inclusive healthcare and reasonable accommodation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HR5-167. Older-person health protections: Health-Rights Safeguard</w:t>
      </w:r>
    </w:p>
    <w:p>
      <w:pPr>
        <w:pStyle w:val="Normal"/>
      </w:pPr>
      <w:r>
        <w:t>The Parties affirm the importance of older-person health protections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HR5-168. Older-person health protections: Equal Access and Non-Discrimination</w:t>
      </w:r>
    </w:p>
    <w:p>
      <w:pPr>
        <w:pStyle w:val="Normal"/>
      </w:pPr>
      <w:r>
        <w:t>Cooperation concerning older-person health protections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HR5-169. Child health protections: Health-Rights Safeguard</w:t>
      </w:r>
    </w:p>
    <w:p>
      <w:pPr>
        <w:pStyle w:val="Normal"/>
      </w:pPr>
      <w:r>
        <w:t>The Parties affirm the importance of child health protections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HR5-170. Child health protections: Equal Access and Non-Discrimination</w:t>
      </w:r>
    </w:p>
    <w:p>
      <w:pPr>
        <w:pStyle w:val="Normal"/>
      </w:pPr>
      <w:r>
        <w:t>Cooperation concerning child health protections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HR5-171. Occupational health and safe-work protections: Health-Rights Safeguard</w:t>
      </w:r>
    </w:p>
    <w:p>
      <w:pPr>
        <w:pStyle w:val="Normal"/>
      </w:pPr>
      <w:r>
        <w:t>Each Party shall maintain and apply measures consistent with occupational health and safe-work protections,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HR5-172. Occupational health and safe-work protections: Equal Access and Non-Discrimination</w:t>
      </w:r>
    </w:p>
    <w:p>
      <w:pPr>
        <w:pStyle w:val="Normal"/>
      </w:pPr>
      <w:r>
        <w:t>A Party shall not administer a measure covered by this Agreement in a manner that defeats occupational health and safe-work protections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HR5-173. Environmental health, clean air, water and pollution: Health-Rights Safeguard</w:t>
      </w:r>
    </w:p>
    <w:p>
      <w:pPr>
        <w:pStyle w:val="Normal"/>
      </w:pPr>
      <w:r>
        <w:t>The Parties affirm the importance of environmental health, clean air, water and pollution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HR5-174. Health information, education and community participation: Health-Rights Safeguard</w:t>
      </w:r>
    </w:p>
    <w:p>
      <w:pPr>
        <w:pStyle w:val="Normal"/>
      </w:pPr>
      <w:r>
        <w:t>The Parties affirm the importance of health information, education and community participation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HR5-175. Health information, education and community participation: Equal Access and Non-Discrimination</w:t>
      </w:r>
    </w:p>
    <w:p>
      <w:pPr>
        <w:pStyle w:val="Normal"/>
      </w:pPr>
      <w:r>
        <w:t>Cooperation concerning health information, education and community participation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HR5-176. Health-system resilience, transparency and accountability: Health-Rights Safeguard</w:t>
      </w:r>
    </w:p>
    <w:p>
      <w:pPr>
        <w:pStyle w:val="Normal"/>
      </w:pPr>
      <w:r>
        <w:t>The Parties affirm the importance of health-system resilience, transparency and accountability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HR5-177. Health-system resilience, transparency and accountability: Equal Access and Non-Discrimination</w:t>
      </w:r>
    </w:p>
    <w:p>
      <w:pPr>
        <w:pStyle w:val="Normal"/>
      </w:pPr>
      <w:r>
        <w:t>Cooperation concerning health-system resilience, transparency and accountability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HR5-178. Freedom of thought, conscience, religion and belief: Freedom of Religion or Belief</w:t>
      </w:r>
    </w:p>
    <w:p>
      <w:pPr>
        <w:pStyle w:val="Normal"/>
      </w:pPr>
      <w:r>
        <w:t>Each Party shall respect freedom of thought, conscience, religion and belief within the scope of measures covered by this Agreement, including the freedom to hold a religion or belief, to hold no religion or belief, and to change religion or belief, subject only to lawful limitations consistent with the rights of others and legitimate public purposes.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HR5-179. Freedom of thought, conscience, religion and belief: Equal Protection and Non-Coercion</w:t>
      </w:r>
    </w:p>
    <w:p>
      <w:pPr>
        <w:pStyle w:val="Normal"/>
      </w:pPr>
      <w:r>
        <w:t>A Party shall not administer a measure covered by this Agreement in a manner that defeats freedom of thought, conscience, religion and belief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HR5-180. Freedom of thought, conscience, religion and belief: Reasonable Accommodation and Manifestation</w:t>
      </w:r>
    </w:p>
    <w:p>
      <w:pPr>
        <w:pStyle w:val="Normal"/>
      </w:pPr>
      <w:r>
        <w:t>Each Party shall use reasonable, proportionate and administrable measures to give practical effect to freedom of thought, conscience, religion and belief.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HR5-181. Freedom of thought, conscience, religion and belief: Limitations and Rights Balancing</w:t>
      </w:r>
    </w:p>
    <w:p>
      <w:pPr>
        <w:pStyle w:val="Normal"/>
      </w:pPr>
      <w:r>
        <w:t>A person materially affected by a covered governmental measure implicating freedom of thought, conscience, religion and belief shall have access, as appropriate under domestic law, to notice, reasons, review, complaint or another effective process. This Article does not itself create a private cause of action, criminal offence or automatic civil liability.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HR5-182. Freedom of thought, conscience, religion and belief: Institutional Cooperation and Safeguards</w:t>
      </w:r>
    </w:p>
    <w:p>
      <w:pPr>
        <w:pStyle w:val="Normal"/>
      </w:pPr>
      <w:r>
        <w:t>The Parties shall cooperate, where useful, on implementation of freedom of thought, conscience, religion and belief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pPr>
      <w:r>
        <w:t>HR5-183. Freedom to manifest religion or belief: Freedom of Religion or Belief</w:t>
      </w:r>
    </w:p>
    <w:p>
      <w:pPr>
        <w:pStyle w:val="Normal"/>
      </w:pPr>
      <w:r>
        <w:t>Each Party shall maintain and apply measures consistent with freedom to manifest religion or belief,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HR5-184. Freedom to manifest religion or belief: Equal Protection and Non-Coercion</w:t>
      </w:r>
    </w:p>
    <w:p>
      <w:pPr>
        <w:pStyle w:val="Normal"/>
      </w:pPr>
      <w:r>
        <w:t>A Party shall not administer a measure covered by this Agreement in a manner that defeats freedom to manifest religion or belief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HR5-185. Freedom to manifest religion or belief: Reasonable Accommodation and Manifestation</w:t>
      </w:r>
    </w:p>
    <w:p>
      <w:pPr>
        <w:pStyle w:val="Normal"/>
      </w:pPr>
      <w:r>
        <w:t>Each Party shall use reasonable, proportionate and administrable measures to give practical effect to freedom to manifest religion or belief.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HR5-186. Freedom to change, leave or reject religion: Freedom of Religion or Belief</w:t>
      </w:r>
    </w:p>
    <w:p>
      <w:pPr>
        <w:pStyle w:val="Normal"/>
      </w:pPr>
      <w:r>
        <w:t>No covered measure shall coerce a person to adopt, retain, abandon or disclose a religion or belief. Protection extends equally to conversion, non-belief and a decision not to participate in religious practice.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HR5-187. Freedom to change, leave or reject religion: Equal Protection and Non-Coercion</w:t>
      </w:r>
    </w:p>
    <w:p>
      <w:pPr>
        <w:pStyle w:val="Normal"/>
      </w:pPr>
      <w:r>
        <w:t>A Party shall not administer a measure covered by this Agreement in a manner that defeats freedom to change, leave or reject religion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HR5-188. Freedom to change, leave or reject religion: Reasonable Accommodation and Manifestation</w:t>
      </w:r>
    </w:p>
    <w:p>
      <w:pPr>
        <w:pStyle w:val="Normal"/>
      </w:pPr>
      <w:r>
        <w:t>Each Party shall use reasonable, proportionate and administrable measures to give practical effect to freedom to change, leave or reject religion.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HR5-189. Religious nondiscrimination and equal protection: Freedom of Religion or Belief</w:t>
      </w:r>
    </w:p>
    <w:p>
      <w:pPr>
        <w:pStyle w:val="Normal"/>
      </w:pPr>
      <w:r>
        <w:t>Each Party shall maintain and apply measures consistent with religious nondiscrimination and equal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HR5-190. Religious nondiscrimination and equal protection: Equal Protection and Non-Coercion</w:t>
      </w:r>
    </w:p>
    <w:p>
      <w:pPr>
        <w:pStyle w:val="Normal"/>
      </w:pPr>
      <w:r>
        <w:t>A Party shall not administer a measure covered by this Agreement in a manner that defeats religious nondiscrimination and equal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HR5-191. Religious nondiscrimination and equal protection: Reasonable Accommodation and Manifestation</w:t>
      </w:r>
    </w:p>
    <w:p>
      <w:pPr>
        <w:pStyle w:val="Normal"/>
      </w:pPr>
      <w:r>
        <w:t>Each Party shall use reasonable, proportionate and administrable measures to give practical effect to religious nondiscrimination and equal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HR5-192. Religious accommodation in employment and services: Freedom of Religion or Belief</w:t>
      </w:r>
    </w:p>
    <w:p>
      <w:pPr>
        <w:pStyle w:val="Normal"/>
      </w:pPr>
      <w:r>
        <w:t>The Parties affirm the importance of religious accommodation in employment and services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HR5-193. Religious accommodation in employment and services: Equal Protection and Non-Coercion</w:t>
      </w:r>
    </w:p>
    <w:p>
      <w:pPr>
        <w:pStyle w:val="Normal"/>
      </w:pPr>
      <w:r>
        <w:t>Cooperation concerning religious accommodation in employment and services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HR5-194. Religious accommodation in employment and services: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HR5-195. Places of worship, sacred sites and religious property: Freedom of Religion or Belief</w:t>
      </w:r>
    </w:p>
    <w:p>
      <w:pPr>
        <w:pStyle w:val="Normal"/>
      </w:pPr>
      <w:r>
        <w:t>The Parties affirm the importance of places of worship, sacred sites and religious property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HR5-196. Places of worship, sacred sites and religious property: Equal Protection and Non-Coercion</w:t>
      </w:r>
    </w:p>
    <w:p>
      <w:pPr>
        <w:pStyle w:val="Normal"/>
      </w:pPr>
      <w:r>
        <w:t>Cooperation concerning places of worship, sacred sites and religious property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HR5-197. Places of worship, sacred sites and religious property: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HR5-198. Religious symbols, dress, appearance and observance: Freedom of Religion or Belief</w:t>
      </w:r>
    </w:p>
    <w:p>
      <w:pPr>
        <w:pStyle w:val="Normal"/>
      </w:pPr>
      <w:r>
        <w:t>The Parties affirm the importance of religious symbols, dress, appearance and observance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HR5-199. Religious symbols, dress, appearance and observance: Equal Protection and Non-Coercion</w:t>
      </w:r>
    </w:p>
    <w:p>
      <w:pPr>
        <w:pStyle w:val="Normal"/>
      </w:pPr>
      <w:r>
        <w:t>Cooperation concerning religious symbols, dress, appearance and observance should prioritize equal access, accessibility, non-retaliation and protection of persons facing heightened barriers, while permitting functionally equivalent national approaches.</w:t>
      </w:r>
    </w:p>
    <w:p>
      <w:pPr>
        <w:pStyle w:val="Heading3"/>
      </w:pPr>
      <w:r>
        <w:t>HR5-200. Religious symbols, dress, appearance and observance: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HR5-201. Religious education, instruction and parental choice: Freedom of Religion or Belief</w:t>
      </w:r>
    </w:p>
    <w:p>
      <w:pPr>
        <w:pStyle w:val="Normal"/>
      </w:pPr>
      <w:r>
        <w:t>A Party may elect to participate in the Optional Module on Religious education, instruction and parental choice. A participating Party shall implement the commitments it expressly accepts under that Module in accordance with its constitutional order and competent authorities.</w:t>
      </w:r>
    </w:p>
    <w:p>
      <w:pPr>
        <w:pStyle w:val="Heading3"/>
      </w:pPr>
      <w:r>
        <w:t>HR5-202. Religious education, instruction and parental choice: Equal Protection and Non-Coercion</w:t>
      </w:r>
    </w:p>
    <w:p>
      <w:pPr>
        <w:pStyle w:val="Normal"/>
      </w:pPr>
      <w:r>
        <w:t>Participating Parties should pursue religious education, instruction and parental choice through non-discriminatory, rights-respecting and proportionate measures, with appropriate exceptions for legitimate public purposes and the rights and freedoms of others.</w:t>
      </w:r>
    </w:p>
    <w:p>
      <w:pPr>
        <w:pStyle w:val="Heading3"/>
      </w:pPr>
      <w:r>
        <w:t>HR5-203. Religious education, instruction and parental choice: Reasonable Accommodation and Manifestation</w:t>
      </w:r>
    </w:p>
    <w:p>
      <w:pPr>
        <w:pStyle w:val="Normal"/>
      </w:pPr>
      <w:r>
        <w:t>The Optional Module may establish cooperative standards, transparency measures, review procedures or implementation benchmarks concerning religious education, instruction and parental choice, while allowing equivalent national methods and reservations expressly recorded at adoption.</w:t>
      </w:r>
    </w:p>
    <w:p>
      <w:pPr>
        <w:pStyle w:val="Heading3"/>
      </w:pPr>
      <w:r>
        <w:t>HR5-204. Religious holidays, schedules and dietary accommodation: Freedom of Religion or Belief</w:t>
      </w:r>
    </w:p>
    <w:p>
      <w:pPr>
        <w:pStyle w:val="Normal"/>
      </w:pPr>
      <w:r>
        <w:t>The Parties affirm the importance of religious holidays, schedules and dietary accommodation and shall seek to strengthen it through cooperative, equivalent or phased measures suited to their respective constitutional and institutional systems.</w:t>
      </w:r>
    </w:p>
    <w:p>
      <w:pPr>
        <w:pStyle w:val="Heading3"/>
      </w:pPr>
      <w:r>
        <w:t>HR5-205. Religious holidays, schedules and dietary accommodation: Equal Protection and Non-Coercion</w:t>
      </w:r>
    </w:p>
    <w:p>
      <w:pPr>
        <w:pStyle w:val="Normal"/>
      </w:pPr>
      <w:r>
        <w:t>Cooperation concerning religious holidays, schedules and dietary accommodation should prioritize equal access, accessibility, non-retaliation and protection of persons facing heightened barriers, while permitting functionally equivalent national approaches.</w:t>
      </w:r>
    </w:p>
    <w:p>
      <w:pPr>
        <w:pStyle w:val="Heading3"/>
      </w:pPr>
      <w:r>
        <w:t>HR5-206. Religion in prisons, hospitals, military and institutional settings: Freedom of Religion or Belief</w:t>
      </w:r>
    </w:p>
    <w:p>
      <w:pPr>
        <w:pStyle w:val="Normal"/>
      </w:pPr>
      <w:r>
        <w:t>The Parties affirm the importance of religion in prisons, hospitals, military and institutional settings and shall seek to strengthen it through cooperative, equivalent or phased measures suited to their respective constitutional and institutional systems.</w:t>
      </w:r>
    </w:p>
    <w:p>
      <w:pPr>
        <w:pStyle w:val="Heading3"/>
      </w:pPr>
      <w:r>
        <w:t>HR5-207. Religion in prisons, hospitals, military and institutional settings: Equal Protection and Non-Coercion</w:t>
      </w:r>
    </w:p>
    <w:p>
      <w:pPr>
        <w:pStyle w:val="Normal"/>
      </w:pPr>
      <w:r>
        <w:t>Cooperation concerning religion in prisons, hospitals, military and institutional settings should prioritize equal access, accessibility, non-retaliation and protection of persons facing heightened barriers, while permitting functionally equivalent national approaches.</w:t>
      </w:r>
    </w:p>
    <w:p>
      <w:pPr>
        <w:pStyle w:val="Heading3"/>
      </w:pPr>
      <w:r>
        <w:t>HR5-208. Religion in prisons, hospitals, military and institutional settings: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HR5-209. Religious leaders, clergy and institutional autonomy: Freedom of Religion or Belief</w:t>
      </w:r>
    </w:p>
    <w:p>
      <w:pPr>
        <w:pStyle w:val="Normal"/>
      </w:pPr>
      <w:r>
        <w:t>A Party may elect to participate in the Optional Module on Religious leaders, clergy and institutional autonomy. A participating Party shall implement the commitments it expressly accepts under that Module in accordance with its constitutional order and competent authorities.</w:t>
      </w:r>
    </w:p>
    <w:p>
      <w:pPr>
        <w:pStyle w:val="Heading3"/>
      </w:pPr>
      <w:r>
        <w:t>HR5-210. Religious leaders, clergy and institutional autonomy: Equal Protection and Non-Coercion</w:t>
      </w:r>
    </w:p>
    <w:p>
      <w:pPr>
        <w:pStyle w:val="Normal"/>
      </w:pPr>
      <w:r>
        <w:t>Participating Parties should pursue religious leaders, clergy and institutional autonomy through non-discriminatory, rights-respecting and proportionate measures, with appropriate exceptions for legitimate public purposes and the rights and freedoms of others.</w:t>
      </w:r>
    </w:p>
    <w:p>
      <w:pPr>
        <w:pStyle w:val="Heading3"/>
      </w:pPr>
      <w:r>
        <w:t>HR5-211. Religious leaders, clergy and institutional autonomy: Reasonable Accommodation and Manifestation</w:t>
      </w:r>
    </w:p>
    <w:p>
      <w:pPr>
        <w:pStyle w:val="Normal"/>
      </w:pPr>
      <w:r>
        <w:t>The Optional Module may establish cooperative standards, transparency measures, review procedures or implementation benchmarks concerning religious leaders, clergy and institutional autonomy, while allowing equivalent national methods and reservations expressly recorded at adoption.</w:t>
      </w:r>
    </w:p>
    <w:p>
      <w:pPr>
        <w:pStyle w:val="Heading3"/>
      </w:pPr>
      <w:r>
        <w:t>HR5-212. Religion, family, marriage and high-sensitivity domestic law: Freedom of Religion or Belief</w:t>
      </w:r>
    </w:p>
    <w:p>
      <w:pPr>
        <w:pStyle w:val="Normal"/>
      </w:pPr>
      <w:r>
        <w:t>A Party may elect to participate in the Optional Module on Religion, family, marriage and high-sensitivity domestic law. A participating Party shall implement the commitments it expressly accepts under that Module in accordance with its constitutional order and competent authorities.</w:t>
      </w:r>
    </w:p>
    <w:p>
      <w:pPr>
        <w:pStyle w:val="Heading3"/>
      </w:pPr>
      <w:r>
        <w:t>HR5-213. Religion, family, marriage and high-sensitivity domestic law: Equal Protection and Non-Coercion</w:t>
      </w:r>
    </w:p>
    <w:p>
      <w:pPr>
        <w:pStyle w:val="Normal"/>
      </w:pPr>
      <w:r>
        <w:t>Participating Parties should pursue religion, family, marriage and high-sensitivity domestic law through non-discriminatory, rights-respecting and proportionate measures, with appropriate exceptions for legitimate public purposes and the rights and freedoms of others.</w:t>
      </w:r>
    </w:p>
    <w:p>
      <w:pPr>
        <w:pStyle w:val="Heading3"/>
      </w:pPr>
      <w:r>
        <w:t>HR5-214. Religious-freedom limitations, public safety and rights balancing: Freedom of Religion or Belief</w:t>
      </w:r>
    </w:p>
    <w:p>
      <w:pPr>
        <w:pStyle w:val="Normal"/>
      </w:pPr>
      <w:r>
        <w:t>Each Party shall maintain and apply measures consistent with religious-freedom limitations, public safety and rights balancing,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HR5-215. Religious-freedom limitations, public safety and rights balancing: Equal Protection and Non-Coercion</w:t>
      </w:r>
    </w:p>
    <w:p>
      <w:pPr>
        <w:pStyle w:val="Normal"/>
      </w:pPr>
      <w:r>
        <w:t>A Party shall not administer a measure covered by this Agreement in a manner that defeats religious-freedom limitations, public safety and rights balancing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HR5-216. Religious-freedom limitations, public safety and rights balancing: Reasonable Accommodation and Manifestation</w:t>
      </w:r>
    </w:p>
    <w:p>
      <w:pPr>
        <w:pStyle w:val="Normal"/>
      </w:pPr>
      <w:r>
        <w:t>Each Party shall use reasonable, proportionate and administrable measures to give practical effect to religious-freedom limitations, public safety and rights balancing.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HR5-217. Religious-freedom monitoring and participation: Freedom of Religion or Belief</w:t>
      </w:r>
    </w:p>
    <w:p>
      <w:pPr>
        <w:pStyle w:val="Normal"/>
      </w:pPr>
      <w:r>
        <w:t>The Parties affirm the importance of religious-freedom monitoring and participation and shall seek to strengthen it through cooperative, equivalent or phased measures suited to their respective constitutional and institutional systems.</w:t>
      </w:r>
    </w:p>
    <w:p>
      <w:pPr>
        <w:pStyle w:val="Heading3"/>
      </w:pPr>
      <w:r>
        <w:t>HR5-218. Religious-freedom monitoring and participation: Equal Protection and Non-Coercion</w:t>
      </w:r>
    </w:p>
    <w:p>
      <w:pPr>
        <w:pStyle w:val="Normal"/>
      </w:pPr>
      <w:r>
        <w:t>Cooperation concerning religious-freedom monitoring and participation should prioritize equal access, accessibility, non-retaliation and protection of persons facing heightened barriers, while permitting functionally equivalent national approaches.</w:t>
      </w:r>
    </w:p>
    <w:p>
      <w:pPr>
        <w:pStyle w:val="Heading3"/>
      </w:pPr>
      <w:r>
        <w:t>HR5-219. Freedom of movement and residence: Mobility Rights Safeguard</w:t>
      </w:r>
    </w:p>
    <w:p>
      <w:pPr>
        <w:pStyle w:val="Normal"/>
      </w:pPr>
      <w:r>
        <w:t>Each Party shall maintain and apply measures consistent with freedom of movement and residence,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HR5-220. Freedom of movement and residence: Equal and Status-Neutral Treatment</w:t>
      </w:r>
    </w:p>
    <w:p>
      <w:pPr>
        <w:pStyle w:val="Normal"/>
      </w:pPr>
      <w:r>
        <w:t>A Party shall not administer a measure covered by this Agreement in a manner that defeats freedom of movement and residence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HR5-221. Freedom of movement and residence: Proportionate Restrictions</w:t>
      </w:r>
    </w:p>
    <w:p>
      <w:pPr>
        <w:pStyle w:val="Normal"/>
      </w:pPr>
      <w:r>
        <w:t>Each Party shall use reasonable, proportionate and administrable measures to give practical effect to freedom of movement and residence.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HR5-222. Freedom of movement and residence: Notice, Review and Remedy</w:t>
      </w:r>
    </w:p>
    <w:p>
      <w:pPr>
        <w:pStyle w:val="Normal"/>
      </w:pPr>
      <w:r>
        <w:t>A person materially affected by a covered governmental measure implicating freedom of movement and residence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HR5-223. Right to leave a country and travel documents: Mobility Rights Safeguard</w:t>
      </w:r>
    </w:p>
    <w:p>
      <w:pPr>
        <w:pStyle w:val="Normal"/>
      </w:pPr>
      <w:r>
        <w:t>Each Party shall maintain and apply measures consistent with right to leave a country and travel documents,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HR5-224. Right to leave a country and travel documents: Equal and Status-Neutral Treatment</w:t>
      </w:r>
    </w:p>
    <w:p>
      <w:pPr>
        <w:pStyle w:val="Normal"/>
      </w:pPr>
      <w:r>
        <w:t>A Party shall not administer a measure covered by this Agreement in a manner that defeats right to leave a country and travel documents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HR5-225. Return to one's own country and anti-exile safeguards: Mobility Rights Safeguard</w:t>
      </w:r>
    </w:p>
    <w:p>
      <w:pPr>
        <w:pStyle w:val="Normal"/>
      </w:pPr>
      <w:r>
        <w:t>Each Party shall maintain and apply measures consistent with return to one's own country and anti-exile safeguards,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HR5-226. Return to one's own country and anti-exile safeguards: Equal and Status-Neutral Treatment</w:t>
      </w:r>
    </w:p>
    <w:p>
      <w:pPr>
        <w:pStyle w:val="Normal"/>
      </w:pPr>
      <w:r>
        <w:t>A Party shall not administer a measure covered by this Agreement in a manner that defeats return to one's own country and anti-exile safeguards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HR5-227. Migrant-worker and family mobility: Mobility Rights Safeguard</w:t>
      </w:r>
    </w:p>
    <w:p>
      <w:pPr>
        <w:pStyle w:val="Normal"/>
      </w:pPr>
      <w:r>
        <w:t>The Parties affirm the importance of migrant-worker and family mobility and shall seek to strengthen it through cooperative, equivalent or phased measures suited to their respective constitutional and institutional systems.</w:t>
      </w:r>
    </w:p>
    <w:p>
      <w:pPr>
        <w:pStyle w:val="Heading3"/>
      </w:pPr>
      <w:r>
        <w:t>HR5-228. Migrant-worker and family mobility: Equal and Status-Neutral Treatment</w:t>
      </w:r>
    </w:p>
    <w:p>
      <w:pPr>
        <w:pStyle w:val="Normal"/>
      </w:pPr>
      <w:r>
        <w:t>Cooperation concerning migrant-worker and family mobility should prioritize equal access, accessibility, non-retaliation and protection of persons facing heightened barriers, while permitting functionally equivalent national approaches.</w:t>
      </w:r>
    </w:p>
    <w:p>
      <w:pPr>
        <w:pStyle w:val="Heading3"/>
      </w:pPr>
      <w:r>
        <w:t>HR5-229. Refugee and asylum-seeker mobility: Mobility Rights Safeguard</w:t>
      </w:r>
    </w:p>
    <w:p>
      <w:pPr>
        <w:pStyle w:val="Normal"/>
      </w:pPr>
      <w:r>
        <w:t>Each Party shall maintain and apply measures consistent with refugee and asylum-seeker mobility,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HR5-230. Refugee and asylum-seeker mobility: Equal and Status-Neutral Treatment</w:t>
      </w:r>
    </w:p>
    <w:p>
      <w:pPr>
        <w:pStyle w:val="Normal"/>
      </w:pPr>
      <w:r>
        <w:t>A Party shall not administer a measure covered by this Agreement in a manner that defeats refugee and asylum-seeker mobility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HR5-231. Disability-inclusive personal mobility: Mobility Rights Safeguard</w:t>
      </w:r>
    </w:p>
    <w:p>
      <w:pPr>
        <w:pStyle w:val="Normal"/>
      </w:pPr>
      <w:r>
        <w:t>The Parties affirm the importance of disability-inclusive personal mobility and shall seek to strengthen it through cooperative, equivalent or phased measures suited to their respective constitutional and institutional systems.</w:t>
      </w:r>
    </w:p>
    <w:p>
      <w:pPr>
        <w:pStyle w:val="Heading3"/>
      </w:pPr>
      <w:r>
        <w:t>HR5-232. Disability-inclusive personal mobility: Equal and Status-Neutral Treatment</w:t>
      </w:r>
    </w:p>
    <w:p>
      <w:pPr>
        <w:pStyle w:val="Normal"/>
      </w:pPr>
      <w:r>
        <w:t>Cooperation concerning disability-inclusive personal mobility should prioritize equal access, accessibility, non-retaliation and protection of persons facing heightened barriers, while permitting functionally equivalent national approaches.</w:t>
      </w:r>
    </w:p>
    <w:p>
      <w:pPr>
        <w:pStyle w:val="Heading3"/>
      </w:pPr>
      <w:r>
        <w:t>HR5-233. Child and family cross-border mobility: Mobility Rights Safeguard</w:t>
      </w:r>
    </w:p>
    <w:p>
      <w:pPr>
        <w:pStyle w:val="Normal"/>
      </w:pPr>
      <w:r>
        <w:t>The Parties affirm the importance of child and family cross-border mobility and shall seek to strengthen it through cooperative, equivalent or phased measures suited to their respective constitutional and institutional systems.</w:t>
      </w:r>
    </w:p>
    <w:p>
      <w:pPr>
        <w:pStyle w:val="Heading3"/>
      </w:pPr>
      <w:r>
        <w:t>HR5-234. Child and family cross-border mobility: Equal and Status-Neutral Treatment</w:t>
      </w:r>
    </w:p>
    <w:p>
      <w:pPr>
        <w:pStyle w:val="Normal"/>
      </w:pPr>
      <w:r>
        <w:t>Cooperation concerning child and family cross-border mobility should prioritize equal access, accessibility, non-retaliation and protection of persons facing heightened barriers, while permitting functionally equivalent national approaches.</w:t>
      </w:r>
    </w:p>
    <w:p>
      <w:pPr>
        <w:pStyle w:val="Heading3"/>
      </w:pPr>
      <w:r>
        <w:t>HR5-235. Business-person and professional temporary mobility: Mobility Rights Safeguard</w:t>
      </w:r>
    </w:p>
    <w:p>
      <w:pPr>
        <w:pStyle w:val="Normal"/>
      </w:pPr>
      <w:r>
        <w:t>The Parties affirm the importance of business-person and professional temporary mobility and shall seek to strengthen it through cooperative, equivalent or phased measures suited to their respective constitutional and institutional systems.</w:t>
      </w:r>
    </w:p>
    <w:p>
      <w:pPr>
        <w:pStyle w:val="Heading3"/>
      </w:pPr>
      <w:r>
        <w:t>HR5-236. Business-person and professional temporary mobility: Equal and Status-Neutral Treatment</w:t>
      </w:r>
    </w:p>
    <w:p>
      <w:pPr>
        <w:pStyle w:val="Normal"/>
      </w:pPr>
      <w:r>
        <w:t>Cooperation concerning business-person and professional temporary mobility should prioritize equal access, accessibility, non-retaliation and protection of persons facing heightened barriers, while permitting functionally equivalent national approaches.</w:t>
      </w:r>
    </w:p>
    <w:p>
      <w:pPr>
        <w:pStyle w:val="Heading3"/>
      </w:pPr>
      <w:r>
        <w:t>HR5-237. Mobility nondiscrimination and profiling limits: Mobility Rights Safeguard</w:t>
      </w:r>
    </w:p>
    <w:p>
      <w:pPr>
        <w:pStyle w:val="Normal"/>
      </w:pPr>
      <w:r>
        <w:t>Each Party shall maintain and apply measures consistent with mobility nondiscrimination and profiling limits,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HR5-238. Mobility due process, removal and travel-restriction review: Mobility Rights Safeguard</w:t>
      </w:r>
    </w:p>
    <w:p>
      <w:pPr>
        <w:pStyle w:val="Normal"/>
      </w:pPr>
      <w:r>
        <w:t>Each Party shall maintain and apply measures consistent with mobility due process, removal and travel-restriction review,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HR5-239. Mobility due process, removal and travel-restriction review: Equal and Status-Neutral Treatment</w:t>
      </w:r>
    </w:p>
    <w:p>
      <w:pPr>
        <w:pStyle w:val="Normal"/>
      </w:pPr>
      <w:r>
        <w:t>A Party shall not administer a measure covered by this Agreement in a manner that defeats mobility due process, removal and travel-restriction review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HR5-240. Democratic participation and popular legitimacy: Protected Democratic Principle</w:t>
      </w:r>
    </w:p>
    <w:p>
      <w:pPr>
        <w:pStyle w:val="Normal"/>
      </w:pPr>
      <w:r>
        <w:t>The Parties affirm that public authority derives from lawful democratic institutions and meaningful public participation. Measures adopted under this Agreement shall not be interpreted to require the suspension, displacement or circumvention of constitutional democratic processes.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HR5-241. Democratic participation and popular legitimacy: Equal and Effective Participation</w:t>
      </w:r>
    </w:p>
    <w:p>
      <w:pPr>
        <w:pStyle w:val="Normal"/>
      </w:pPr>
      <w:r>
        <w:t>A Party shall not administer a measure covered by this Agreement in a manner that defeats democratic participation and popular legitimacy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HR5-242. Universal and equal suffrage: Protected Democratic Principle</w:t>
      </w:r>
    </w:p>
    <w:p>
      <w:pPr>
        <w:pStyle w:val="Normal"/>
      </w:pPr>
      <w:r>
        <w:t>Each participating constitutional order shall preserve universal and equal suffrage for citizens entitled to vote under its law, without discrimination prohibited by the Human Rights Framework. Nothing in this Article prescribes a voting age, citizenship rule or electoral system.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HR5-243. Universal and equal suffrage: Equal and Effective Participation</w:t>
      </w:r>
    </w:p>
    <w:p>
      <w:pPr>
        <w:pStyle w:val="Normal"/>
      </w:pPr>
      <w:r>
        <w:t>A Party shall not administer a measure covered by this Agreement in a manner that defeats universal and equal suffrage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HR5-244. Universal and equal suffrage: Integrity and Anti-Coercion</w:t>
      </w:r>
    </w:p>
    <w:p>
      <w:pPr>
        <w:pStyle w:val="Normal"/>
      </w:pPr>
      <w:r>
        <w:t>Each Party shall use reasonable, proportionate and administrable measures to give practical effect to universal and equal suffrage.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HR5-245. Universal and equal suffrage: Accessible Procedure and Review</w:t>
      </w:r>
    </w:p>
    <w:p>
      <w:pPr>
        <w:pStyle w:val="Normal"/>
      </w:pPr>
      <w:r>
        <w:t>A person materially affected by a covered governmental measure implicating universal and equal suffrage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HR5-246. Voter registration and practical access: Protected Democratic Principle</w:t>
      </w:r>
    </w:p>
    <w:p>
      <w:pPr>
        <w:pStyle w:val="Normal"/>
      </w:pPr>
      <w:r>
        <w:t>A Party may elect to participate in the Optional Module on Voter registration and practical access. A participating Party shall implement the commitments it expressly accepts under that Module in accordance with its constitutional order and competent authorities.</w:t>
      </w:r>
    </w:p>
    <w:p>
      <w:pPr>
        <w:pStyle w:val="Heading3"/>
      </w:pPr>
      <w:r>
        <w:t>HR5-247. Voter registration and practical access: Equal and Effective Participation</w:t>
      </w:r>
    </w:p>
    <w:p>
      <w:pPr>
        <w:pStyle w:val="Normal"/>
      </w:pPr>
      <w:r>
        <w:t>Participating Parties should pursue voter registration and practical access through non-discriminatory, rights-respecting and proportionate measures, with appropriate exceptions for legitimate public purposes and the rights and freedoms of others.</w:t>
      </w:r>
    </w:p>
    <w:p>
      <w:pPr>
        <w:pStyle w:val="Heading3"/>
      </w:pPr>
      <w:r>
        <w:t>HR5-248. Secret ballot and freedom from compelled disclosure: Protected Democratic Principle</w:t>
      </w:r>
    </w:p>
    <w:p>
      <w:pPr>
        <w:pStyle w:val="Normal"/>
      </w:pPr>
      <w:r>
        <w:t>The Parties affirm the secret ballot as a basic safeguard of free political choice. No NAESTMA measure shall require disclosure of an individual's vote or support coercive practices that materially compromise ballot secrecy.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HR5-249. Secret ballot and freedom from compelled disclosure: Equal and Effective Participation</w:t>
      </w:r>
    </w:p>
    <w:p>
      <w:pPr>
        <w:pStyle w:val="Normal"/>
      </w:pPr>
      <w:r>
        <w:t>A Party shall not administer a measure covered by this Agreement in a manner that defeats secret ballot and freedom from compelled disclosure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HR5-250. Secret ballot and freedom from compelled disclosure: Integrity and Anti-Coercion</w:t>
      </w:r>
    </w:p>
    <w:p>
      <w:pPr>
        <w:pStyle w:val="Normal"/>
      </w:pPr>
      <w:r>
        <w:t>Each Party shall use reasonable, proportionate and administrable measures to give practical effect to secret ballot and freedom from compelled disclosure.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HR5-251. Periodic genuine elections and electoral integrity: Protected Democratic Principle</w:t>
      </w:r>
    </w:p>
    <w:p>
      <w:pPr>
        <w:pStyle w:val="Normal"/>
      </w:pPr>
      <w:r>
        <w:t>The Parties affirm the importance of genuine periodic elections conducted under domestic constitutional law. No benefit under this Agreement may be conditioned on a Party manipulating the timing, counting or lawful certification of an election.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HR5-252. Periodic genuine elections and electoral integrity: Equal and Effective Participation</w:t>
      </w:r>
    </w:p>
    <w:p>
      <w:pPr>
        <w:pStyle w:val="Normal"/>
      </w:pPr>
      <w:r>
        <w:t>A Party shall not administer a measure covered by this Agreement in a manner that defeats periodic genuine elections and electoral integrity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HR5-253. Periodic genuine elections and electoral integrity: Integrity and Anti-Coercion</w:t>
      </w:r>
    </w:p>
    <w:p>
      <w:pPr>
        <w:pStyle w:val="Normal"/>
      </w:pPr>
      <w:r>
        <w:t>Each Party shall use reasonable, proportionate and administrable measures to give practical effect to periodic genuine elections and electoral integrity.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HR5-254. Periodic genuine elections and electoral integrity: Accessible Procedure and Review</w:t>
      </w:r>
    </w:p>
    <w:p>
      <w:pPr>
        <w:pStyle w:val="Normal"/>
      </w:pPr>
      <w:r>
        <w:t>A person materially affected by a covered governmental measure implicating periodic genuine elections and electoral integrity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HR5-255. Candidate eligibility and right to stand for election: Protected Democratic Principle</w:t>
      </w:r>
    </w:p>
    <w:p>
      <w:pPr>
        <w:pStyle w:val="Normal"/>
      </w:pPr>
      <w:r>
        <w:t>A Party may elect to participate in the Optional Module on Candidate eligibility and right to stand for election. A participating Party shall implement the commitments it expressly accepts under that Module in accordance with its constitutional order and competent authorities.</w:t>
      </w:r>
    </w:p>
    <w:p>
      <w:pPr>
        <w:pStyle w:val="Heading3"/>
      </w:pPr>
      <w:r>
        <w:t>HR5-256. Candidate eligibility and right to stand for election: Equal and Effective Participation</w:t>
      </w:r>
    </w:p>
    <w:p>
      <w:pPr>
        <w:pStyle w:val="Normal"/>
      </w:pPr>
      <w:r>
        <w:t>Participating Parties should pursue candidate eligibility and right to stand for election through non-discriminatory, rights-respecting and proportionate measures, with appropriate exceptions for legitimate public purposes and the rights and freedoms of others.</w:t>
      </w:r>
    </w:p>
    <w:p>
      <w:pPr>
        <w:pStyle w:val="Heading3"/>
      </w:pPr>
      <w:r>
        <w:t>HR5-257. Candidate eligibility and right to stand for election: Integrity and Anti-Coercion</w:t>
      </w:r>
    </w:p>
    <w:p>
      <w:pPr>
        <w:pStyle w:val="Normal"/>
      </w:pPr>
      <w:r>
        <w:t>The Optional Module may establish cooperative standards, transparency measures, review procedures or implementation benchmarks concerning candidate eligibility and right to stand for election, while allowing equivalent national methods and reservations expressly recorded at adoption.</w:t>
      </w:r>
    </w:p>
    <w:p>
      <w:pPr>
        <w:pStyle w:val="Heading3"/>
      </w:pPr>
      <w:r>
        <w:t>HR5-258. Political expression, association and peaceful assembly: Protected Democratic Principle</w:t>
      </w:r>
    </w:p>
    <w:p>
      <w:pPr>
        <w:pStyle w:val="Normal"/>
      </w:pPr>
      <w:r>
        <w:t>Political expression, peaceful assembly and association shall not be restricted merely because persons advocate a lawful position concerning trade, labour, environmental, Indigenous, migration or other public policy governed or affected by this Agreement.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HR5-259. Political expression, association and peaceful assembly: Equal and Effective Participation</w:t>
      </w:r>
    </w:p>
    <w:p>
      <w:pPr>
        <w:pStyle w:val="Normal"/>
      </w:pPr>
      <w:r>
        <w:t>A Party shall not administer a measure covered by this Agreement in a manner that defeats political expression, association and peaceful assembly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HR5-260. Political expression, association and peaceful assembly: Integrity and Anti-Coercion</w:t>
      </w:r>
    </w:p>
    <w:p>
      <w:pPr>
        <w:pStyle w:val="Normal"/>
      </w:pPr>
      <w:r>
        <w:t>Each Party shall use reasonable, proportionate and administrable measures to give practical effect to political expression, association and peaceful assembly.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HR5-261. Election observation, transparency and recount/audit: Protected Democratic Principle</w:t>
      </w:r>
    </w:p>
    <w:p>
      <w:pPr>
        <w:pStyle w:val="Normal"/>
      </w:pPr>
      <w:r>
        <w:t>A Party may elect to participate in the Optional Module on Election observation, transparency and recount/audit. A participating Party shall implement the commitments it expressly accepts under that Module in accordance with its constitutional order and competent authorities.</w:t>
      </w:r>
    </w:p>
    <w:p>
      <w:pPr>
        <w:pStyle w:val="Heading3"/>
      </w:pPr>
      <w:r>
        <w:t>HR5-262. Election observation, transparency and recount/audit: Equal and Effective Participation</w:t>
      </w:r>
    </w:p>
    <w:p>
      <w:pPr>
        <w:pStyle w:val="Normal"/>
      </w:pPr>
      <w:r>
        <w:t>Participating Parties should pursue election observation, transparency and recount/audit through non-discriminatory, rights-respecting and proportionate measures, with appropriate exceptions for legitimate public purposes and the rights and freedoms of others.</w:t>
      </w:r>
    </w:p>
    <w:p>
      <w:pPr>
        <w:pStyle w:val="Heading3"/>
      </w:pPr>
      <w:r>
        <w:t>HR5-263. Election observation, transparency and recount/audit: Integrity and Anti-Coercion</w:t>
      </w:r>
    </w:p>
    <w:p>
      <w:pPr>
        <w:pStyle w:val="Normal"/>
      </w:pPr>
      <w:r>
        <w:t>The Optional Module may establish cooperative standards, transparency measures, review procedures or implementation benchmarks concerning election observation, transparency and recount/audit, while allowing equivalent national methods and reservations expressly recorded at adoption.</w:t>
      </w:r>
    </w:p>
    <w:p>
      <w:pPr>
        <w:pStyle w:val="Heading3"/>
      </w:pPr>
      <w:r>
        <w:t>HR5-264. Equal access to public service and political participation: Protected Democratic Principle</w:t>
      </w:r>
    </w:p>
    <w:p>
      <w:pPr>
        <w:pStyle w:val="Normal"/>
      </w:pPr>
      <w:r>
        <w:t>Each Party shall maintain and apply measures consistent with equal access to public service and political participation,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HR5-265. Equal access to public service and political participation: Equal and Effective Participation</w:t>
      </w:r>
    </w:p>
    <w:p>
      <w:pPr>
        <w:pStyle w:val="Normal"/>
      </w:pPr>
      <w:r>
        <w:t>A Party shall not administer a measure covered by this Agreement in a manner that defeats equal access to public service and political participation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HR5-266. Equal access to public service and political participation: Integrity and Anti-Coercion</w:t>
      </w:r>
    </w:p>
    <w:p>
      <w:pPr>
        <w:pStyle w:val="Normal"/>
      </w:pPr>
      <w:r>
        <w:t>Each Party shall use reasonable, proportionate and administrable measures to give practical effect to equal access to public service and political participation.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HR5-267. Protection from voter intimidation, violence and discrimination: Protected Democratic Principle</w:t>
      </w:r>
    </w:p>
    <w:p>
      <w:pPr>
        <w:pStyle w:val="Normal"/>
      </w:pPr>
      <w:r>
        <w:t>A Party shall not use a measure covered by this Agreement to facilitate voter intimidation, politically motivated violence or prohibited discrimination in access to democratic participation. Enforcement shall remain subject to evidence, causation and competent domestic authority.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HR5-268. Protection from voter intimidation, violence and discrimination: Equal and Effective Participation</w:t>
      </w:r>
    </w:p>
    <w:p>
      <w:pPr>
        <w:pStyle w:val="Normal"/>
      </w:pPr>
      <w:r>
        <w:t>A Party shall not administer a measure covered by this Agreement in a manner that defeats protection from voter intimidation, violence and discrimination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HR5-269. Accessible voting and disability accommodation: Protected Democratic Principle</w:t>
      </w:r>
    </w:p>
    <w:p>
      <w:pPr>
        <w:pStyle w:val="Normal"/>
      </w:pPr>
      <w:r>
        <w:t>The Parties should strengthen accessible democratic participation for persons with disabilities and others facing practical barriers, using functionally equivalent national approaches and without prescribing a single voting technology or election-administration model.</w:t>
      </w:r>
    </w:p>
    <w:p>
      <w:pPr>
        <w:pStyle w:val="Heading3"/>
      </w:pPr>
      <w:r>
        <w:t>HR5-270. Accessible voting and disability accommodation: Equal and Effective Participation</w:t>
      </w:r>
    </w:p>
    <w:p>
      <w:pPr>
        <w:pStyle w:val="Normal"/>
      </w:pPr>
      <w:r>
        <w:t>Cooperation concerning accessible voting and disability accommodation should prioritize equal access, accessibility, non-retaliation and protection of persons facing heightened barriers, while permitting functionally equivalent national approaches.</w:t>
      </w:r>
    </w:p>
    <w:p>
      <w:pPr>
        <w:pStyle w:val="Heading3"/>
      </w:pPr>
      <w:r>
        <w:t>HR5-271. Accessible voting and disability accommodation: Integrity and Anti-Coercion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HR5-272. Electoral misinformation, media and digital interference: Protected Democratic Principle</w:t>
      </w:r>
    </w:p>
    <w:p>
      <w:pPr>
        <w:pStyle w:val="Normal"/>
      </w:pPr>
      <w:r>
        <w:t>A Party may elect to participate in the Optional Module on Electoral misinformation, media and digital interference. A participating Party shall implement the commitments it expressly accepts under that Module in accordance with its constitutional order and competent authorities.</w:t>
      </w:r>
    </w:p>
    <w:p>
      <w:pPr>
        <w:pStyle w:val="Heading3"/>
      </w:pPr>
      <w:r>
        <w:t>HR5-273. Democratic-rights enforcement and high-sensitivity conditionality: Protected Democratic Principle</w:t>
      </w:r>
    </w:p>
    <w:p>
      <w:pPr>
        <w:pStyle w:val="Normal"/>
      </w:pPr>
      <w:r>
        <w:t>A Party may elect to participate in an Optional Democratic Resilience Module providing enhanced consultation, transparency, observation, institutional-integrity or response mechanisms. Non-participation shall carry no adverse trade consequence.</w:t>
      </w:r>
    </w:p>
    <w:p>
      <w:pPr>
        <w:pStyle w:val="Heading3"/>
      </w:pPr>
      <w:r>
        <w:t>HR5-274. Democratic-rights enforcement and high-sensitivity conditionality: Equal and Effective Participation</w:t>
      </w:r>
    </w:p>
    <w:p>
      <w:pPr>
        <w:pStyle w:val="Normal"/>
      </w:pPr>
      <w:r>
        <w:t>Participating Parties should pursue democratic-rights enforcement and high-sensitivity conditionality through non-discriminatory, rights-respecting and proportionate measures, with appropriate exceptions for legitimate public purposes and the rights and freedoms of others.</w:t>
      </w:r>
    </w:p>
    <w:p>
      <w:pPr>
        <w:pStyle w:val="Heading3"/>
      </w:pPr>
      <w:r>
        <w:t>HR5-275. Democratic-rights enforcement and high-sensitivity conditionality: Integrity and Anti-Coercion</w:t>
      </w:r>
    </w:p>
    <w:p>
      <w:pPr>
        <w:pStyle w:val="Normal"/>
      </w:pPr>
      <w:r>
        <w:t>The Optional Module may establish cooperative standards, transparency measures, review procedures or implementation benchmarks concerning democratic-rights enforcement and high-sensitivity conditionality, while allowing equivalent national methods and reservations expressly recorded at adoption.</w:t>
      </w:r>
    </w:p>
    <w:p>
      <w:pPr>
        <w:pStyle w:val="Heading3"/>
      </w:pPr>
      <w:r>
        <w:t>HR5-276. Right to work and access to employment: Social/Economic Rights Safeguard</w:t>
      </w:r>
    </w:p>
    <w:p>
      <w:pPr>
        <w:pStyle w:val="Normal"/>
      </w:pPr>
      <w:r>
        <w:t>Each Party shall maintain and apply measures consistent with right to work and access to employment,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HR5-277. Right to work and access to employment: Non-Discrimination and Policy Space</w:t>
      </w:r>
    </w:p>
    <w:p>
      <w:pPr>
        <w:pStyle w:val="Normal"/>
      </w:pPr>
      <w:r>
        <w:t>A Party shall not administer a measure covered by this Agreement in a manner that defeats right to work and access to employment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HR5-278. Right to work and access to employment: Progressive and Equivalent Implementation</w:t>
      </w:r>
    </w:p>
    <w:p>
      <w:pPr>
        <w:pStyle w:val="Normal"/>
      </w:pPr>
      <w:r>
        <w:t>Each Party shall use reasonable, proportionate and administrable measures to give practical effect to right to work and access to employment.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HR5-279. Just and favourable work conditions: Social/Economic Rights Safeguard</w:t>
      </w:r>
    </w:p>
    <w:p>
      <w:pPr>
        <w:pStyle w:val="Normal"/>
      </w:pPr>
      <w:r>
        <w:t>Each Party shall maintain and apply measures consistent with just and favourable work conditions,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HR5-280. Just and favourable work conditions: Non-Discrimination and Policy Space</w:t>
      </w:r>
    </w:p>
    <w:p>
      <w:pPr>
        <w:pStyle w:val="Normal"/>
      </w:pPr>
      <w:r>
        <w:t>A Party shall not administer a measure covered by this Agreement in a manner that defeats just and favourable work conditions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HR5-281. Just and favourable work conditions: Progressive and Equivalent Implementation</w:t>
      </w:r>
    </w:p>
    <w:p>
      <w:pPr>
        <w:pStyle w:val="Normal"/>
      </w:pPr>
      <w:r>
        <w:t>Each Party shall use reasonable, proportionate and administrable measures to give practical effect to just and favourable work conditions.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HR5-282. Trade-union rights and collective bargaining: Social/Economic Rights Safeguard</w:t>
      </w:r>
    </w:p>
    <w:p>
      <w:pPr>
        <w:pStyle w:val="Normal"/>
      </w:pPr>
      <w:r>
        <w:t>Each Party shall maintain and apply measures consistent with trade-union rights and collective bargaining,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HR5-283. Trade-union rights and collective bargaining: Non-Discrimination and Policy Space</w:t>
      </w:r>
    </w:p>
    <w:p>
      <w:pPr>
        <w:pStyle w:val="Normal"/>
      </w:pPr>
      <w:r>
        <w:t>A Party shall not administer a measure covered by this Agreement in a manner that defeats trade-union rights and collective bargaining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HR5-284. Trade-union rights and collective bargaining: Progressive and Equivalent Implementation</w:t>
      </w:r>
    </w:p>
    <w:p>
      <w:pPr>
        <w:pStyle w:val="Normal"/>
      </w:pPr>
      <w:r>
        <w:t>Each Party shall use reasonable, proportionate and administrable measures to give practical effect to trade-union rights and collective bargaining.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HR5-285. Social security and income-security policy space: Social/Economic Rights Safeguard</w:t>
      </w:r>
    </w:p>
    <w:p>
      <w:pPr>
        <w:pStyle w:val="Normal"/>
      </w:pPr>
      <w:r>
        <w:t>A Party may elect to participate in the Optional Module on Social security and income-security policy space. A participating Party shall implement the commitments it expressly accepts under that Module in accordance with its constitutional order and competent authorities.</w:t>
      </w:r>
    </w:p>
    <w:p>
      <w:pPr>
        <w:pStyle w:val="Heading3"/>
      </w:pPr>
      <w:r>
        <w:t>HR5-286. Social security and income-security policy space: Non-Discrimination and Policy Space</w:t>
      </w:r>
    </w:p>
    <w:p>
      <w:pPr>
        <w:pStyle w:val="Normal"/>
      </w:pPr>
      <w:r>
        <w:t>Participating Parties should pursue social security and income-security policy space through non-discriminatory, rights-respecting and proportionate measures, with appropriate exceptions for legitimate public purposes and the rights and freedoms of others.</w:t>
      </w:r>
    </w:p>
    <w:p>
      <w:pPr>
        <w:pStyle w:val="Heading3"/>
      </w:pPr>
      <w:r>
        <w:t>HR5-287. Social security and income-security policy space: Progressive and Equivalent Implementation</w:t>
      </w:r>
    </w:p>
    <w:p>
      <w:pPr>
        <w:pStyle w:val="Normal"/>
      </w:pPr>
      <w:r>
        <w:t>The Optional Module may establish cooperative standards, transparency measures, review procedures or implementation benchmarks concerning social security and income-security policy space, while allowing equivalent national methods and reservations expressly recorded at adoption.</w:t>
      </w:r>
    </w:p>
    <w:p>
      <w:pPr>
        <w:pStyle w:val="Heading3"/>
      </w:pPr>
      <w:r>
        <w:t>HR5-288. Adequate housing and housing nondiscrimination: Social/Economic Rights Safeguard</w:t>
      </w:r>
    </w:p>
    <w:p>
      <w:pPr>
        <w:pStyle w:val="Normal"/>
      </w:pPr>
      <w:r>
        <w:t>A Party may elect to participate in the Optional Module on Adequate housing and housing nondiscrimination. A participating Party shall implement the commitments it expressly accepts under that Module in accordance with its constitutional order and competent authorities.</w:t>
      </w:r>
    </w:p>
    <w:p>
      <w:pPr>
        <w:pStyle w:val="Heading3"/>
      </w:pPr>
      <w:r>
        <w:t>HR5-289. Adequate housing and housing nondiscrimination: Non-Discrimination and Policy Space</w:t>
      </w:r>
    </w:p>
    <w:p>
      <w:pPr>
        <w:pStyle w:val="Normal"/>
      </w:pPr>
      <w:r>
        <w:t>Participating Parties should pursue adequate housing and housing nondiscrimination through non-discriminatory, rights-respecting and proportionate measures, with appropriate exceptions for legitimate public purposes and the rights and freedoms of others.</w:t>
      </w:r>
    </w:p>
    <w:p>
      <w:pPr>
        <w:pStyle w:val="Heading3"/>
      </w:pPr>
      <w:r>
        <w:t>HR5-290. Food security and freedom from hunger: Social/Economic Rights Safeguard</w:t>
      </w:r>
    </w:p>
    <w:p>
      <w:pPr>
        <w:pStyle w:val="Normal"/>
      </w:pPr>
      <w:r>
        <w:t>A Party may elect to participate in the Optional Module on Food security and freedom from hunger. A participating Party shall implement the commitments it expressly accepts under that Module in accordance with its constitutional order and competent authorities.</w:t>
      </w:r>
    </w:p>
    <w:p>
      <w:pPr>
        <w:pStyle w:val="Heading3"/>
      </w:pPr>
      <w:r>
        <w:t>HR5-291. Food security and freedom from hunger: Non-Discrimination and Policy Space</w:t>
      </w:r>
    </w:p>
    <w:p>
      <w:pPr>
        <w:pStyle w:val="Normal"/>
      </w:pPr>
      <w:r>
        <w:t>Participating Parties should pursue food security and freedom from hunger through non-discriminatory, rights-respecting and proportionate measures, with appropriate exceptions for legitimate public purposes and the rights and freedoms of others.</w:t>
      </w:r>
    </w:p>
    <w:p>
      <w:pPr>
        <w:pStyle w:val="Heading3"/>
      </w:pPr>
      <w:r>
        <w:t>HR5-292. Water and sanitation: Social/Economic Rights Safeguard</w:t>
      </w:r>
    </w:p>
    <w:p>
      <w:pPr>
        <w:pStyle w:val="Normal"/>
      </w:pPr>
      <w:r>
        <w:t>A Party may elect to participate in the Optional Module on Water and sanitation. A participating Party shall implement the commitments it expressly accepts under that Module in accordance with its constitutional order and competent authorities.</w:t>
      </w:r>
    </w:p>
    <w:p>
      <w:pPr>
        <w:pStyle w:val="Heading3"/>
      </w:pPr>
      <w:r>
        <w:t>HR5-293. Education access and nondiscrimination: Social/Economic Rights Safeguard</w:t>
      </w:r>
    </w:p>
    <w:p>
      <w:pPr>
        <w:pStyle w:val="Normal"/>
      </w:pPr>
      <w:r>
        <w:t>A Party may elect to participate in the Optional Module on Education access and nondiscrimination. A participating Party shall implement the commitments it expressly accepts under that Module in accordance with its constitutional order and competent authorities.</w:t>
      </w:r>
    </w:p>
    <w:p>
      <w:pPr>
        <w:pStyle w:val="Heading3"/>
      </w:pPr>
      <w:r>
        <w:t>HR5-294. Education access and nondiscrimination: Non-Discrimination and Policy Space</w:t>
      </w:r>
    </w:p>
    <w:p>
      <w:pPr>
        <w:pStyle w:val="Normal"/>
      </w:pPr>
      <w:r>
        <w:t>Participating Parties should pursue education access and nondiscrimination through non-discriminatory, rights-respecting and proportionate measures, with appropriate exceptions for legitimate public purposes and the rights and freedoms of others.</w:t>
      </w:r>
    </w:p>
    <w:p>
      <w:pPr>
        <w:pStyle w:val="Heading3"/>
      </w:pPr>
      <w:r>
        <w:t>HR5-295. Culture, science and participation in cultural life: Social/Economic Rights Safeguard</w:t>
      </w:r>
    </w:p>
    <w:p>
      <w:pPr>
        <w:pStyle w:val="Normal"/>
      </w:pPr>
      <w:r>
        <w:t>The Parties affirm the importance of culture, science and participation in cultural life and shall seek to strengthen it through cooperative, equivalent or phased measures suited to their respective constitutional and institutional systems.</w:t>
      </w:r>
    </w:p>
    <w:p>
      <w:pPr>
        <w:pStyle w:val="Heading3"/>
      </w:pPr>
      <w:r>
        <w:t>HR5-296. Culture, science and participation in cultural life: Non-Discrimination and Policy Space</w:t>
      </w:r>
    </w:p>
    <w:p>
      <w:pPr>
        <w:pStyle w:val="Normal"/>
      </w:pPr>
      <w:r>
        <w:t>Cooperation concerning culture, science and participation in cultural life should prioritize equal access, accessibility, non-retaliation and protection of persons facing heightened barriers, while permitting functionally equivalent national approaches.</w:t>
      </w:r>
    </w:p>
    <w:p>
      <w:pPr>
        <w:pStyle w:val="Heading3"/>
      </w:pPr>
      <w:r>
        <w:t>HR5-297. Healthy environment as social/economic right: Social/Economic Rights Safeguard</w:t>
      </w:r>
    </w:p>
    <w:p>
      <w:pPr>
        <w:pStyle w:val="Normal"/>
      </w:pPr>
      <w:r>
        <w:t>The Parties affirm the importance of healthy environment as social/economic right and shall seek to strengthen it through cooperative, equivalent or phased measures suited to their respective constitutional and institutional systems.</w:t>
      </w:r>
    </w:p>
    <w:p>
      <w:pPr>
        <w:pStyle w:val="Heading3"/>
      </w:pPr>
      <w:r>
        <w:t>HR5-298. Property, livelihood and economic participation: Social/Economic Rights Safeguard</w:t>
      </w:r>
    </w:p>
    <w:p>
      <w:pPr>
        <w:pStyle w:val="Normal"/>
      </w:pPr>
      <w:r>
        <w:t>The Parties affirm the importance of property, livelihood and economic participation and shall seek to strengthen it through cooperative, equivalent or phased measures suited to their respective constitutional and institutional systems.</w:t>
      </w:r>
    </w:p>
    <w:p>
      <w:pPr>
        <w:pStyle w:val="Heading3"/>
      </w:pPr>
      <w:r>
        <w:t>HR5-299. Property, livelihood and economic participation: Non-Discrimination and Policy Space</w:t>
      </w:r>
    </w:p>
    <w:p>
      <w:pPr>
        <w:pStyle w:val="Normal"/>
      </w:pPr>
      <w:r>
        <w:t>Cooperation concerning property, livelihood and economic participation should prioritize equal access, accessibility, non-retaliation and protection of persons facing heightened barriers, while permitting functionally equivalent national approaches.</w:t>
      </w:r>
    </w:p>
    <w:p>
      <w:pPr>
        <w:pStyle w:val="Heading3"/>
      </w:pPr>
      <w:r>
        <w:t>HR5-300. Gig, informal and non-standard worker protections: Social/Economic Rights Safeguard</w:t>
      </w:r>
    </w:p>
    <w:p>
      <w:pPr>
        <w:pStyle w:val="Normal"/>
      </w:pPr>
      <w:r>
        <w:t>The Parties affirm the importance of gig, informal and non-standard worker protections and shall seek to strengthen it through cooperative, equivalent or phased measures suited to their respective constitutional and institutional systems.</w:t>
      </w:r>
    </w:p>
    <w:p>
      <w:pPr>
        <w:pStyle w:val="Heading3"/>
      </w:pPr>
      <w:r>
        <w:t>HR5-301. Gig, informal and non-standard worker protections: Non-Discrimination and Policy Space</w:t>
      </w:r>
    </w:p>
    <w:p>
      <w:pPr>
        <w:pStyle w:val="Normal"/>
      </w:pPr>
      <w:r>
        <w:t>Cooperation concerning gig, informal and non-standard worker protections should prioritize equal access, accessibility, non-retaliation and protection of persons facing heightened barriers, while permitting functionally equivalent national approaches.</w:t>
      </w:r>
    </w:p>
    <w:p>
      <w:pPr>
        <w:pStyle w:val="Heading3"/>
      </w:pPr>
      <w:r>
        <w:t>HR5-302. Women and gender equality in economic participation: Social/Economic Rights Safeguard</w:t>
      </w:r>
    </w:p>
    <w:p>
      <w:pPr>
        <w:pStyle w:val="Normal"/>
      </w:pPr>
      <w:r>
        <w:t>The Parties affirm the importance of women and gender equality in economic participation and shall seek to strengthen it through cooperative, equivalent or phased measures suited to their respective constitutional and institutional systems.</w:t>
      </w:r>
    </w:p>
    <w:p>
      <w:pPr>
        <w:pStyle w:val="Heading3"/>
      </w:pPr>
      <w:r>
        <w:t>HR5-303. Women and gender equality in economic participation: Non-Discrimination and Policy Space</w:t>
      </w:r>
    </w:p>
    <w:p>
      <w:pPr>
        <w:pStyle w:val="Normal"/>
      </w:pPr>
      <w:r>
        <w:t>Cooperation concerning women and gender equality in economic participation should prioritize equal access, accessibility, non-retaliation and protection of persons facing heightened barriers, while permitting functionally equivalent national approaches.</w:t>
      </w:r>
    </w:p>
    <w:p>
      <w:pPr>
        <w:pStyle w:val="Heading3"/>
      </w:pPr>
      <w:r>
        <w:t>HR5-304. Indigenous economic rights and resource participation: Social/Economic Rights Safeguard</w:t>
      </w:r>
    </w:p>
    <w:p>
      <w:pPr>
        <w:pStyle w:val="Normal"/>
      </w:pPr>
      <w:r>
        <w:t>The Parties affirm the importance of indigenous economic rights and resource participation and shall seek to strengthen it through cooperative, equivalent or phased measures suited to their respective constitutional and institutional systems.</w:t>
      </w:r>
    </w:p>
    <w:p>
      <w:pPr>
        <w:pStyle w:val="Heading3"/>
      </w:pPr>
      <w:r>
        <w:t>HR5-305. Indigenous economic rights and resource participation: Non-Discrimination and Policy Space</w:t>
      </w:r>
    </w:p>
    <w:p>
      <w:pPr>
        <w:pStyle w:val="Normal"/>
      </w:pPr>
      <w:r>
        <w:t>Cooperation concerning indigenous economic rights and resource participation should prioritize equal access, accessibility, non-retaliation and protection of persons facing heightened barriers, while permitting functionally equivalent national approaches.</w:t>
      </w:r>
    </w:p>
    <w:p>
      <w:pPr>
        <w:pStyle w:val="Heading3"/>
      </w:pPr>
      <w:r>
        <w:t>HR5-306. Disability-inclusive economic participation: Social/Economic Rights Safeguard</w:t>
      </w:r>
    </w:p>
    <w:p>
      <w:pPr>
        <w:pStyle w:val="Normal"/>
      </w:pPr>
      <w:r>
        <w:t>The Parties affirm the importance of disability-inclusive economic participation and shall seek to strengthen it through cooperative, equivalent or phased measures suited to their respective constitutional and institutional systems.</w:t>
      </w:r>
    </w:p>
    <w:p>
      <w:pPr>
        <w:pStyle w:val="Heading3"/>
      </w:pPr>
      <w:r>
        <w:t>HR5-307. Disability-inclusive economic participation: Non-Discrimination and Policy Space</w:t>
      </w:r>
    </w:p>
    <w:p>
      <w:pPr>
        <w:pStyle w:val="Normal"/>
      </w:pPr>
      <w:r>
        <w:t>Cooperation concerning disability-inclusive economic participation should prioritize equal access, accessibility, non-retaliation and protection of persons facing heightened barriers, while permitting functionally equivalent national approaches.</w:t>
      </w:r>
    </w:p>
    <w:p>
      <w:pPr>
        <w:pStyle w:val="Heading3"/>
      </w:pPr>
      <w:r>
        <w:t>HR5-308. Disability-inclusive economic participation: Progressive and Equivalent Implementation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HR5-309. Poverty reduction and basic-needs resilience: Social/Economic Rights Safeguard</w:t>
      </w:r>
    </w:p>
    <w:p>
      <w:pPr>
        <w:pStyle w:val="Normal"/>
      </w:pPr>
      <w:r>
        <w:t>A Party may elect to participate in the Optional Module on Poverty reduction and basic-needs resilience. A participating Party shall implement the commitments it expressly accepts under that Module in accordance with its constitutional order and competent authorities.</w:t>
      </w:r>
    </w:p>
    <w:p>
      <w:pPr>
        <w:pStyle w:val="Heading3"/>
      </w:pPr>
      <w:r>
        <w:t>HR5-310. Poverty reduction and basic-needs resilience: Non-Discrimination and Policy Space</w:t>
      </w:r>
    </w:p>
    <w:p>
      <w:pPr>
        <w:pStyle w:val="Normal"/>
      </w:pPr>
      <w:r>
        <w:t>Participating Parties should pursue poverty reduction and basic-needs resilience through non-discriminatory, rights-respecting and proportionate measures, with appropriate exceptions for legitimate public purposes and the rights and freedoms of others.</w:t>
      </w:r>
    </w:p>
    <w:p>
      <w:pPr>
        <w:pStyle w:val="Heading3"/>
      </w:pPr>
      <w:r>
        <w:t>HR5-311. Progressive realization and social-rights policy space: Social/Economic Rights Safeguard</w:t>
      </w:r>
    </w:p>
    <w:p>
      <w:pPr>
        <w:pStyle w:val="Normal"/>
      </w:pPr>
      <w:r>
        <w:t>A Party may elect to participate in the Optional Module on Progressive realization and social-rights policy space. A participating Party shall implement the commitments it expressly accepts under that Module in accordance with its constitutional order and competent authorities.</w:t>
      </w:r>
    </w:p>
    <w:p>
      <w:pPr>
        <w:pStyle w:val="Heading3"/>
      </w:pPr>
      <w:r>
        <w:t>HR5-312. Progressive realization and social-rights policy space: Non-Discrimination and Policy Space</w:t>
      </w:r>
    </w:p>
    <w:p>
      <w:pPr>
        <w:pStyle w:val="Normal"/>
      </w:pPr>
      <w:r>
        <w:t>Participating Parties should pursue progressive realization and social-rights policy space through non-discriminatory, rights-respecting and proportionate measures, with appropriate exceptions for legitimate public purposes and the rights and freedoms of others.</w:t>
      </w:r>
    </w:p>
    <w:p>
      <w:pPr>
        <w:pStyle w:val="Heading3"/>
      </w:pPr>
      <w:r>
        <w:t>HR5-313. Right to report wrongdoing in good faith: Protected Disclosure Right</w:t>
      </w:r>
    </w:p>
    <w:p>
      <w:pPr>
        <w:pStyle w:val="Normal"/>
      </w:pPr>
      <w:r>
        <w:t>Each Party shall maintain and apply measures consistent with right to report wrongdoing in good faith,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HR5-314. Right to report wrongdoing in good faith: Anti-Retaliation Protection</w:t>
      </w:r>
    </w:p>
    <w:p>
      <w:pPr>
        <w:pStyle w:val="Normal"/>
      </w:pPr>
      <w:r>
        <w:t>A Party shall not administer a measure covered by this Agreement in a manner that defeats right to report wrongdoing in good faith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HR5-315. Right to report wrongdoing in good faith: Confidentiality and Fair Procedure</w:t>
      </w:r>
    </w:p>
    <w:p>
      <w:pPr>
        <w:pStyle w:val="Normal"/>
      </w:pPr>
      <w:r>
        <w:t>Each Party shall use reasonable, proportionate and administrable measures to give practical effect to right to report wrongdoing in good faith.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HR5-316. Protected reporting channels and escalation pathways: Protected Disclosure Right</w:t>
      </w:r>
    </w:p>
    <w:p>
      <w:pPr>
        <w:pStyle w:val="Normal"/>
      </w:pPr>
      <w:r>
        <w:t>The Parties affirm the importance of protected reporting channels and escalation pathways and shall seek to strengthen it through cooperative, equivalent or phased measures suited to their respective constitutional and institutional systems.</w:t>
      </w:r>
    </w:p>
    <w:p>
      <w:pPr>
        <w:pStyle w:val="Heading3"/>
      </w:pPr>
      <w:r>
        <w:t>HR5-317. Protected reporting channels and escalation pathways: Anti-Retaliation Protection</w:t>
      </w:r>
    </w:p>
    <w:p>
      <w:pPr>
        <w:pStyle w:val="Normal"/>
      </w:pPr>
      <w:r>
        <w:t>Cooperation concerning protected reporting channels and escalation pathways should prioritize equal access, accessibility, non-retaliation and protection of persons facing heightened barriers, while permitting functionally equivalent national approaches.</w:t>
      </w:r>
    </w:p>
    <w:p>
      <w:pPr>
        <w:pStyle w:val="Heading3"/>
      </w:pPr>
      <w:r>
        <w:t>HR5-318. Anti-retaliation and employment protection: Protected Disclosure Right</w:t>
      </w:r>
    </w:p>
    <w:p>
      <w:pPr>
        <w:pStyle w:val="Normal"/>
      </w:pPr>
      <w:r>
        <w:t>A person who makes a protected disclosure in good faith through an authorized or reasonably appropriate channel shall be protected against retaliation materially connected to that disclosure. Protection may include employment, immigration-status, licensing, contracting and access-to-remedy safeguards where relevant to the covered relationship.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HR5-319. Anti-retaliation and employment protection: Anti-Retaliation Protection</w:t>
      </w:r>
    </w:p>
    <w:p>
      <w:pPr>
        <w:pStyle w:val="Normal"/>
      </w:pPr>
      <w:r>
        <w:t>A Party shall not administer a measure covered by this Agreement in a manner that defeats anti-retaliation and employment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HR5-320. Anti-retaliation and employment protection: Confidentiality and Fair Procedure</w:t>
      </w:r>
    </w:p>
    <w:p>
      <w:pPr>
        <w:pStyle w:val="Normal"/>
      </w:pPr>
      <w:r>
        <w:t>Each Party shall use reasonable, proportionate and administrable measures to give practical effect to anti-retaliation and employment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HR5-321. Anti-retaliation and employment protection: Effective Remedy and Causation</w:t>
      </w:r>
    </w:p>
    <w:p>
      <w:pPr>
        <w:pStyle w:val="Normal"/>
      </w:pPr>
      <w:r>
        <w:t>A person materially affected by a covered governmental measure implicating anti-retaliation and employment protection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HR5-322. Anti-retaliation and employment protection: Cross-Border Cooperation</w:t>
      </w:r>
    </w:p>
    <w:p>
      <w:pPr>
        <w:pStyle w:val="Normal"/>
      </w:pPr>
      <w:r>
        <w:t>The Parties shall cooperate, where useful, on implementation of anti-retaliation and employment protection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pPr>
      <w:r>
        <w:t>HR5-323. Confidentiality and anonymity: Protected Disclosure Right</w:t>
      </w:r>
    </w:p>
    <w:p>
      <w:pPr>
        <w:pStyle w:val="Normal"/>
      </w:pPr>
      <w:r>
        <w:t>The identity and personal information of a protected whistleblower shall be handled under necessity, proportionality and data-minimization principles. Disclosure may occur where required by law or fair process, with protective measures where reasonably available.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HR5-324. Confidentiality and anonymity: Anti-Retaliation Protection</w:t>
      </w:r>
    </w:p>
    <w:p>
      <w:pPr>
        <w:pStyle w:val="Normal"/>
      </w:pPr>
      <w:r>
        <w:t>A Party shall not administer a measure covered by this Agreement in a manner that defeats confidentiality and anonymity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HR5-325. Confidentiality and anonymity: Confidentiality and Fair Procedure</w:t>
      </w:r>
    </w:p>
    <w:p>
      <w:pPr>
        <w:pStyle w:val="Normal"/>
      </w:pPr>
      <w:r>
        <w:t>Each Party shall use reasonable, proportionate and administrable measures to give practical effect to confidentiality and anonymity.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HR5-326. Whistleblower privacy and data protection: Protected Disclosure Right</w:t>
      </w:r>
    </w:p>
    <w:p>
      <w:pPr>
        <w:pStyle w:val="Normal"/>
      </w:pPr>
      <w:r>
        <w:t>Each Party shall maintain and apply measures consistent with whistleblower privacy and data protection,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HR5-327. Fair investigation and due process: Protected Disclosure Right</w:t>
      </w:r>
    </w:p>
    <w:p>
      <w:pPr>
        <w:pStyle w:val="Normal"/>
      </w:pPr>
      <w:r>
        <w:t>Each Party shall maintain and apply measures consistent with fair investigation and due process,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HR5-328. Fair investigation and due process: Anti-Retaliation Protection</w:t>
      </w:r>
    </w:p>
    <w:p>
      <w:pPr>
        <w:pStyle w:val="Normal"/>
      </w:pPr>
      <w:r>
        <w:t>A Party shall not administer a measure covered by this Agreement in a manner that defeats fair investigation and due process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HR5-329. Fair investigation and due process: Confidentiality and Fair Procedure</w:t>
      </w:r>
    </w:p>
    <w:p>
      <w:pPr>
        <w:pStyle w:val="Normal"/>
      </w:pPr>
      <w:r>
        <w:t>Each Party shall use reasonable, proportionate and administrable measures to give practical effect to fair investigation and due process.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HR5-330. Interim relief, reinstatement and effective remedy: Protected Disclosure Right</w:t>
      </w:r>
    </w:p>
    <w:p>
      <w:pPr>
        <w:pStyle w:val="Normal"/>
      </w:pPr>
      <w:r>
        <w:t>The Parties affirm the importance of interim relief, reinstatement and effective remedy and shall seek to strengthen it through cooperative, equivalent or phased measures suited to their respective constitutional and institutional systems.</w:t>
      </w:r>
    </w:p>
    <w:p>
      <w:pPr>
        <w:pStyle w:val="Heading3"/>
      </w:pPr>
      <w:r>
        <w:t>HR5-331. Interim relief, reinstatement and effective remedy: Anti-Retaliation Protection</w:t>
      </w:r>
    </w:p>
    <w:p>
      <w:pPr>
        <w:pStyle w:val="Normal"/>
      </w:pPr>
      <w:r>
        <w:t>Cooperation concerning interim relief, reinstatement and effective remedy should prioritize equal access, accessibility, non-retaliation and protection of persons facing heightened barriers, while permitting functionally equivalent national approaches.</w:t>
      </w:r>
    </w:p>
    <w:p>
      <w:pPr>
        <w:pStyle w:val="Heading3"/>
      </w:pPr>
      <w:r>
        <w:t>HR5-332. Burden of proof and causation for retaliation claims: Protected Disclosure Right</w:t>
      </w:r>
    </w:p>
    <w:p>
      <w:pPr>
        <w:pStyle w:val="Normal"/>
      </w:pPr>
      <w:r>
        <w:t>The Parties affirm the importance of burden of proof and causation for retaliation claims and shall seek to strengthen it through cooperative, equivalent or phased measures suited to their respective constitutional and institutional systems.</w:t>
      </w:r>
    </w:p>
    <w:p>
      <w:pPr>
        <w:pStyle w:val="Heading3"/>
      </w:pPr>
      <w:r>
        <w:t>HR5-333. Public-interest disclosure and freedom-of-expression protection: Protected Disclosure Right</w:t>
      </w:r>
    </w:p>
    <w:p>
      <w:pPr>
        <w:pStyle w:val="Normal"/>
      </w:pPr>
      <w:r>
        <w:t>Each Party shall maintain and apply measures consistent with public-interest disclosure and freedom-of-expression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HR5-334. Public-interest disclosure and freedom-of-expression protection: Anti-Retaliation Protection</w:t>
      </w:r>
    </w:p>
    <w:p>
      <w:pPr>
        <w:pStyle w:val="Normal"/>
      </w:pPr>
      <w:r>
        <w:t>A Party shall not administer a measure covered by this Agreement in a manner that defeats public-interest disclosure and freedom-of-expression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HR5-335. Sector-specific whistleblower protection: Protected Disclosure Right</w:t>
      </w:r>
    </w:p>
    <w:p>
      <w:pPr>
        <w:pStyle w:val="Normal"/>
      </w:pPr>
      <w:r>
        <w:t>The Parties affirm the importance of sector-specific whistleblower protection and shall seek to strengthen it through cooperative, equivalent or phased measures suited to their respective constitutional and institutional systems.</w:t>
      </w:r>
    </w:p>
    <w:p>
      <w:pPr>
        <w:pStyle w:val="Heading3"/>
      </w:pPr>
      <w:r>
        <w:t>HR5-336. Sector-specific whistleblower protection: Anti-Retaliation Protection</w:t>
      </w:r>
    </w:p>
    <w:p>
      <w:pPr>
        <w:pStyle w:val="Normal"/>
      </w:pPr>
      <w:r>
        <w:t>Cooperation concerning sector-specific whistleblower protection should prioritize equal access, accessibility, non-retaliation and protection of persons facing heightened barriers, while permitting functionally equivalent national approaches.</w:t>
      </w:r>
    </w:p>
    <w:p>
      <w:pPr>
        <w:pStyle w:val="Heading3"/>
      </w:pPr>
      <w:r>
        <w:t>HR5-337. Migrant, precarious and vulnerable whistleblower safeguards: Protected Disclosure Right</w:t>
      </w:r>
    </w:p>
    <w:p>
      <w:pPr>
        <w:pStyle w:val="Normal"/>
      </w:pPr>
      <w:r>
        <w:t>The Parties affirm the importance of migrant, precarious and vulnerable whistleblower safeguards and shall seek to strengthen it through cooperative, equivalent or phased measures suited to their respective constitutional and institutional systems.</w:t>
      </w:r>
    </w:p>
    <w:p>
      <w:pPr>
        <w:pStyle w:val="Heading3"/>
      </w:pPr>
      <w:r>
        <w:t>HR5-338. Cross-border reporting and enforcement cooperation: Protected Disclosure Right</w:t>
      </w:r>
    </w:p>
    <w:p>
      <w:pPr>
        <w:pStyle w:val="Normal"/>
      </w:pPr>
      <w:r>
        <w:t>The Parties affirm the importance of cross-border reporting and enforcement cooperation and shall seek to strengthen it through cooperative, equivalent or phased measures suited to their respective constitutional and institutional systems.</w:t>
      </w:r>
    </w:p>
    <w:p>
      <w:pPr>
        <w:pStyle w:val="Heading3"/>
      </w:pPr>
      <w:r>
        <w:t>HR5-339. Human-rights reporting and outcome transparency: Implementation Principle</w:t>
      </w:r>
    </w:p>
    <w:p>
      <w:pPr>
        <w:pStyle w:val="Normal"/>
      </w:pPr>
      <w:r>
        <w:t>The Parties affirm the importance of human-rights reporting and outcome transparency and shall seek to strengthen it through cooperative, equivalent or phased measures suited to their respective constitutional and institutional systems.</w:t>
      </w:r>
    </w:p>
    <w:p>
      <w:pPr>
        <w:pStyle w:val="Heading3"/>
      </w:pPr>
      <w:r>
        <w:t>HR5-340. Human-rights reporting and outcome transparency: Data and Participation Safeguard</w:t>
      </w:r>
    </w:p>
    <w:p>
      <w:pPr>
        <w:pStyle w:val="Normal"/>
      </w:pPr>
      <w:r>
        <w:t>Cooperation concerning human-rights reporting and outcome transparency should prioritize equal access, accessibility, non-retaliation and protection of persons facing heightened barriers, while permitting functionally equivalent national approaches.</w:t>
      </w:r>
    </w:p>
    <w:p>
      <w:pPr>
        <w:pStyle w:val="Heading3"/>
      </w:pPr>
      <w:r>
        <w:t>HR5-341. Human-rights reporting and outcome transparency: Proportionate Administration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HR5-342. Advisory participation and affected-community representation: Implementation Principle</w:t>
      </w:r>
    </w:p>
    <w:p>
      <w:pPr>
        <w:pStyle w:val="Normal"/>
      </w:pPr>
      <w:r>
        <w:t>The Parties affirm the importance of advisory participation and affected-community representation and shall seek to strengthen it through cooperative, equivalent or phased measures suited to their respective constitutional and institutional systems.</w:t>
      </w:r>
    </w:p>
    <w:p>
      <w:pPr>
        <w:pStyle w:val="Heading3"/>
      </w:pPr>
      <w:r>
        <w:t>HR5-343. Advisory participation and affected-community representation: Data and Participation Safeguard</w:t>
      </w:r>
    </w:p>
    <w:p>
      <w:pPr>
        <w:pStyle w:val="Normal"/>
      </w:pPr>
      <w:r>
        <w:t>Cooperation concerning advisory participation and affected-community representation should prioritize equal access, accessibility, non-retaliation and protection of persons facing heightened barriers, while permitting functionally equivalent national approaches.</w:t>
      </w:r>
    </w:p>
    <w:p>
      <w:pPr>
        <w:pStyle w:val="Heading3"/>
      </w:pPr>
      <w:r>
        <w:t>HR5-344. Complaint intake, referral and ombuds mechanisms: Implementation Principle</w:t>
      </w:r>
    </w:p>
    <w:p>
      <w:pPr>
        <w:pStyle w:val="Normal"/>
      </w:pPr>
      <w:r>
        <w:t>Each Party shall maintain and apply measures consistent with complaint intake, referral and ombuds mechanisms, within the scope of this Agreement and subject to the stronger-rights, federalism, competent-authority, security and public-interest safeguards of the Human Rights Framework.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 A competent authority shall periodically assess whether the chosen implementation method remains effective, proportionate, and no more administratively burdensome than necessary, and may use a functionally equivalent method that preserves the protected interest.</w:t>
      </w:r>
    </w:p>
    <w:p>
      <w:pPr>
        <w:pStyle w:val="Heading3"/>
      </w:pPr>
      <w:r>
        <w:t>HR5-345. Independent monitoring, inspection and expert evidence: Implementation Principle</w:t>
      </w:r>
    </w:p>
    <w:p>
      <w:pPr>
        <w:pStyle w:val="Normal"/>
      </w:pPr>
      <w:r>
        <w:t>The Parties affirm the importance of independent monitoring, inspection and expert evidence and shall seek to strengthen it through cooperative, equivalent or phased measures suited to their respective constitutional and institutional systems.</w:t>
      </w:r>
    </w:p>
    <w:p>
      <w:pPr>
        <w:pStyle w:val="Heading3"/>
      </w:pPr>
      <w:r>
        <w:t>HR5-346. Data collection, disaggregation and privacy safeguards: Implementation Principle</w:t>
      </w:r>
    </w:p>
    <w:p>
      <w:pPr>
        <w:pStyle w:val="Normal"/>
      </w:pPr>
      <w:r>
        <w:t>The Parties affirm the importance of data collection, disaggregation and privacy safeguards and shall seek to strengthen it through cooperative, equivalent or phased measures suited to their respective constitutional and institutional systems.</w:t>
      </w:r>
    </w:p>
    <w:p>
      <w:pPr>
        <w:pStyle w:val="Heading3"/>
      </w:pPr>
      <w:r>
        <w:t>HR5-347. Data collection, disaggregation and privacy safeguards: Data and Participation Safeguard</w:t>
      </w:r>
    </w:p>
    <w:p>
      <w:pPr>
        <w:pStyle w:val="Normal"/>
      </w:pPr>
      <w:r>
        <w:t>Cooperation concerning data collection, disaggregation and privacy safeguards should prioritize equal access, accessibility, non-retaliation and protection of persons facing heightened barriers, while permitting functionally equivalent national approaches.</w:t>
      </w:r>
    </w:p>
    <w:p>
      <w:pPr>
        <w:pStyle w:val="Heading3"/>
      </w:pPr>
      <w:r>
        <w:t>HR5-348. Institutional-bloat control and use of existing mechanisms: Implementation Principle</w:t>
      </w:r>
    </w:p>
    <w:p>
      <w:pPr>
        <w:pStyle w:val="Normal"/>
      </w:pPr>
      <w:r>
        <w:t>The Parties affirm the importance of institutional-bloat control and use of existing mechanisms and shall seek to strengthen it through cooperative, equivalent or phased measures suited to their respective constitutional and institutional systems.</w:t>
      </w:r>
    </w:p>
    <w:p>
      <w:pPr>
        <w:pStyle w:val="Heading3"/>
      </w:pPr>
      <w:r>
        <w:t>HR5-349. Institutional-bloat control and use of existing mechanisms: Data and Participation Safeguard</w:t>
      </w:r>
    </w:p>
    <w:p>
      <w:pPr>
        <w:pStyle w:val="Normal"/>
      </w:pPr>
      <w:r>
        <w:t>Cooperation concerning institutional-bloat control and use of existing mechanisms should prioritize equal access, accessibility, non-retaliation and protection of persons facing heightened barriers, while permitting functionally equivalent national approaches.</w:t>
      </w:r>
    </w:p>
    <w:p>
      <w:pPr>
        <w:pStyle w:val="Heading3"/>
      </w:pPr>
      <w:r>
        <w:t>HR5-350. Institutional-bloat control and use of existing mechanisms: Proportionate Administration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2"/>
      </w:pPr>
      <w:bookmarkStart w:id="902565" w:name="_Toc300002564"/>
      <w:r>
        <w:t>CL-31. Implementation Through Existing Institutions</w:t>
      </w:r>
      <w:bookmarkEnd w:id="902565"/>
    </w:p>
    <w:p>
      <w:pPr>
        <w:pStyle w:val="Normal"/>
      </w:pPr>
      <w:r>
        <w:t>1. Existing national authorities, the Commission, the Secretariat and existing NAESTMA consultation, verification, Cothrom and dispute-settlement mechanisms shall implement this Package where capable. No new permanent supranational human-rights tribunal is created.</w:t>
      </w:r>
    </w:p>
    <w:p>
      <w:pPr>
        <w:pStyle w:val="Normal"/>
      </w:pPr>
      <w:r>
        <w:t>2. A new permanent body may be created only by express agreement where the Parties determine that existing institutions cannot proportionately perform the required function.</w:t>
      </w:r>
    </w:p>
    <w:p>
      <w:pPr>
        <w:pStyle w:val="Heading2"/>
      </w:pPr>
      <w:bookmarkStart w:id="902566" w:name="_Toc300002565"/>
      <w:r>
        <w:t>CL-32. Review and Future Human-Rights Integration</w:t>
      </w:r>
      <w:bookmarkEnd w:id="902566"/>
    </w:p>
    <w:p>
      <w:pPr>
        <w:pStyle w:val="Normal"/>
      </w:pPr>
      <w:r>
        <w:t>1. The Commission shall periodically review the operation of this Package for duplication, implementation burden, rights gaps, unintended consequences and interaction with later human-rights modules.</w:t>
      </w:r>
    </w:p>
    <w:p>
      <w:pPr>
        <w:pStyle w:val="Normal"/>
      </w:pPr>
      <w:r>
        <w:t>2. Later human-rights packages may amend, supplement or cross-reference this Package without reopening unrelated commercial concessions.</w:t>
      </w:r>
    </w:p>
    <w:p>
      <w:pPr>
        <w:pStyle w:val="Heading2"/>
      </w:pPr>
      <w:bookmarkStart w:id="902567" w:name="_Toc300002566"/>
      <w:r>
        <w:t>CL-33. Governing Principle</w:t>
      </w:r>
      <w:bookmarkEnd w:id="902567"/>
    </w:p>
    <w:p>
      <w:pPr>
        <w:pStyle w:val="Normal"/>
      </w:pPr>
      <w:r>
        <w:t>1. Trade integration does not place human dignity outside the rule of law. The Parties preserve sovereign democratic government while establishing reciprocal safeguards against using economic integration, border administration, public power or commercial leverage to strip persons of the minimum protections secured by this Agreement.</w:t>
      </w:r>
    </w:p>
    <w:sectPr>
      <w:headerReference w:type="default" r:id="rId3"/>
      <w:footerReference w:type="default" r:id="rId6"/>
      <w:pgSz w:w="12240" w:h="15840"/>
      <w:pgMar w:top="1134" w:right="1440" w:bottom="1134" w:left="1440" w:header="720" w:footer="720" w:gutter="0"/>
      <w:pgNumType w:start="1"/>
      <w:cols w:space="72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Georg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t xml:space="preserve">Page </w:t>
    </w:r>
    <w:r>
      <w:rPr/>
      <w:fldChar w:fldCharType="begin"/>
    </w:r>
    <w:r>
      <w:rPr/>
      <w:instrText xml:space="preserve"> PAGE </w:instrText>
    </w:r>
    <w:r>
      <w:rPr/>
      <w:fldChar w:fldCharType="separate"/>
    </w:r>
    <w:r>
      <w:rPr/>
      <w:t>0</w:t>
    </w:r>
    <w:r>
      <w:rPr/>
      <w:fldChar w:fldCharType="end"/>
    </w:r>
    <w:r>
      <w:rPr/>
      <w:t xml:space="preserve"> of </w:t>
    </w:r>
    <w:r>
      <w:rPr/>
      <w:fldChar w:fldCharType="begin"/>
    </w:r>
    <w:r>
      <w:rPr/>
      <w:instrText xml:space="preserve"> NUMPAGES </w:instrText>
    </w:r>
    <w:r>
      <w:rPr/>
      <w:fldChar w:fldCharType="separate"/>
    </w:r>
    <w:r>
      <w:rPr/>
      <w:t>2224</w:t>
    </w:r>
    <w:r>
      <w:rPr/>
      <w:fldChar w:fldCharType="end"/>
    </w:r>
  </w:p>
</w:ftr>
</file>

<file path=word/footer2.xml><?xml version="1.0" encoding="utf-8"?>
<w:ftr xmlns:w="http://schemas.openxmlformats.org/wordprocessingml/2006/main">
  <w:p>
    <w:pPr>
      <w:pBdr>
        <w:top w:val="single" w:sz="2" w:space="4" w:color="B0BEC5"/>
      </w:pBdr>
      <w:spacing w:after="0"/>
      <w:jc w:val="center"/>
    </w:pPr>
    <w:r>
      <w:rPr>
        <w:rFonts w:ascii="Calibri" w:hAnsi="Calibri"/>
        <w:color w:val="78909C"/>
        <w:sz w:val="18"/>
      </w:rPr>
      <w:t xml:space="preserve">Page </w:t>
    </w:r>
    <w:r>
      <w:rPr>
        <w:rFonts w:ascii="Calibri" w:hAnsi="Calibri"/>
        <w:color w:val="78909C"/>
        <w:sz w:val="18"/>
      </w:rPr>
      <w:fldChar w:fldCharType="begin"/>
    </w:r>
    <w:r>
      <w:rPr>
        <w:rFonts w:ascii="Calibri" w:hAnsi="Calibri"/>
        <w:color w:val="78909C"/>
        <w:sz w:val="18"/>
      </w:rPr>
      <w:instrText xml:space="preserve"> PAGE </w:instrText>
    </w:r>
    <w:r>
      <w:rPr>
        <w:rFonts w:ascii="Calibri" w:hAnsi="Calibri"/>
        <w:color w:val="78909C"/>
        <w:sz w:val="18"/>
      </w:rPr>
      <w:fldChar w:fldCharType="separate"/>
    </w:r>
    <w:r>
      <w:rPr>
        <w:rFonts w:ascii="Calibri" w:hAnsi="Calibri"/>
        <w:color w:val="78909C"/>
        <w:sz w:val="18"/>
      </w:rPr>
      <w:t>1</w:t>
    </w:r>
    <w:r>
      <w:rPr>
        <w:rFonts w:ascii="Calibri" w:hAnsi="Calibri"/>
        <w:color w:val="78909C"/>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w="http://schemas.openxmlformats.org/wordprocessingml/2006/main">
  <w:p>
    <w:pPr>
      <w:pBdr>
        <w:bottom w:val="single" w:sz="2" w:space="4" w:color="B0BEC5"/>
      </w:pBdr>
      <w:spacing w:after="0"/>
      <w:jc w:val="right"/>
    </w:pPr>
    <w:r>
      <w:rPr>
        <w:rFonts w:ascii="Calibri" w:hAnsi="Calibri"/>
        <w:caps/>
        <w:color w:val="78909C"/>
        <w:sz w:val="16"/>
      </w:rPr>
      <w:t xml:space="preserve">North American Economic Security and Trade Modernization Agreement  ·  Consolidated Treaty Text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6"/>
  <w:defaultTabStop w:val="720"/>
  <w:autoHyphenation w:val="true"/>
  <w:hyphenationZone w:val="360"/>
  <w:updateFields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20" w:line="300" w:lineRule="auto"/>
      <w:jc w:val="both"/>
    </w:pPr>
    <w:rPr>
      <w:rFonts w:ascii="Georgia" w:hAnsi="Georgia" w:eastAsia="Georgia" w:cs="Georgia"/>
      <w:color w:val="212121"/>
      <w:sz w:val="21"/>
      <w:szCs w:val="21"/>
      <w:lang w:val="en-CA" w:eastAsia="en-US" w:bidi="ar-SA"/>
    </w:rPr>
  </w:style>
  <w:style w:type="paragraph" w:styleId="Heading1">
    <w:name w:val="heading 1"/>
    <w:basedOn w:val="Normal"/>
    <w:next w:val="Normal"/>
    <w:uiPriority w:val="9"/>
    <w:qFormat/>
    <w:pPr>
      <w:keepNext/>
      <w:keepLines/>
      <w:pageBreakBefore/>
      <w:spacing w:before="0" w:after="280" w:line="276" w:lineRule="auto"/>
      <w:jc w:val="left"/>
      <w:outlineLvl w:val="0"/>
    </w:pPr>
    <w:rPr>
      <w:rFonts w:ascii="Calibri" w:hAnsi="Calibri" w:eastAsia="Calibri" w:cs="Calibri"/>
      <w:b/>
      <w:bCs/>
      <w:caps/>
      <w:color w:val="37474F"/>
      <w:spacing w:val="12"/>
      <w:sz w:val="32"/>
      <w:szCs w:val="32"/>
    </w:rPr>
  </w:style>
  <w:style w:type="paragraph" w:styleId="Heading2">
    <w:name w:val="heading 2"/>
    <w:basedOn w:val="Normal"/>
    <w:next w:val="Normal"/>
    <w:uiPriority w:val="9"/>
    <w:unhideWhenUsed/>
    <w:qFormat/>
    <w:pPr>
      <w:keepNext/>
      <w:keepLines/>
      <w:spacing w:before="360" w:after="160" w:line="264" w:lineRule="auto"/>
      <w:jc w:val="left"/>
      <w:outlineLvl w:val="1"/>
    </w:pPr>
    <w:rPr>
      <w:rFonts w:ascii="Calibri" w:hAnsi="Calibri" w:eastAsia="Calibri" w:cs="Calibri"/>
      <w:b/>
      <w:bCs/>
      <w:color w:val="37474F"/>
      <w:spacing w:val="12"/>
      <w:sz w:val="26"/>
      <w:szCs w:val="26"/>
    </w:rPr>
  </w:style>
  <w:style w:type="paragraph" w:styleId="Heading3">
    <w:name w:val="heading 3"/>
    <w:basedOn w:val="Normal"/>
    <w:next w:val="Normal"/>
    <w:uiPriority w:val="9"/>
    <w:unhideWhenUsed/>
    <w:qFormat/>
    <w:pPr>
      <w:keepNext/>
      <w:keepLines/>
      <w:spacing w:before="280" w:after="100" w:line="264" w:lineRule="auto"/>
      <w:jc w:val="left"/>
      <w:outlineLvl w:val="2"/>
    </w:pPr>
    <w:rPr>
      <w:rFonts w:ascii="Calibri" w:hAnsi="Calibri" w:eastAsia="Calibri" w:cs="Calibri"/>
      <w:b/>
      <w:bCs/>
      <w:color w:val="546E7A"/>
      <w:spacing w:val="12"/>
      <w:sz w:val="22"/>
      <w:szCs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IndexLink" w:customStyle="1">
    <w:name w:val="Index Link"/>
    <w:qFormat/>
    <w:rPr/>
  </w:style>
  <w:style w:type="character" w:styleId="Hyperlink">
    <w:name w:val="Hyperlink"/>
    <w:uiPriority w:val="99"/>
    <w:unhideWhenUsed/>
    <w:rPr>
      <w:color w:val="37474F"/>
      <w:u w:val="single"/>
    </w:rPr>
  </w:style>
  <w:style w:type="character" w:styleId="UnresolvedMention">
    <w:name w:val="Unresolved Mention"/>
    <w:basedOn w:val="DefaultParagraphFont"/>
    <w:uiPriority w:val="99"/>
    <w:semiHidden/>
    <w:unhideWhenUsed/>
    <w:qFormat/>
    <w:rsid w:val="001b7c25"/>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Bullet3">
    <w:name w:val="List Bullet 3"/>
    <w:basedOn w:val="Normal"/>
    <w:uiPriority w:val="99"/>
    <w:unhideWhenUsed/>
    <w:qFormat/>
    <w:rsid w:val="00326f90"/>
    <w:pPr>
      <w:numPr>
        <w:ilvl w:val="0"/>
        <w:numId w:val="3"/>
      </w:numPr>
      <w:spacing w:before="0" w:after="80"/>
      <w:contextualSpacing/>
    </w:pPr>
    <w:rPr/>
  </w:style>
  <w:style w:type="paragraph" w:styleId="ListBullet4">
    <w:name w:val="List Bullet 4"/>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qFormat/>
    <w:pPr>
      <w:numPr>
        <w:ilvl w:val="0"/>
        <w:numId w:val="1"/>
      </w:numPr>
      <w:spacing w:before="0" w:after="60"/>
      <w:contextualSpacing/>
    </w:pPr>
    <w:rPr/>
  </w:style>
  <w:style w:type="paragraph" w:styleId="ListBullet2">
    <w:name w:val="List Bullet 2"/>
    <w:basedOn w:val="Normal"/>
    <w:uiPriority w:val="99"/>
    <w:unhideWhenUsed/>
    <w:qFormat/>
    <w:rsid w:val="00326f90"/>
    <w:pPr>
      <w:numPr>
        <w:ilvl w:val="0"/>
        <w:numId w:val="2"/>
      </w:numPr>
      <w:spacing w:before="0" w:after="80"/>
      <w:contextualSpacing/>
    </w:pPr>
    <w:rPr/>
  </w:style>
  <w:style w:type="paragraph" w:styleId="ListNumber">
    <w:name w:val="List Number"/>
    <w:basedOn w:val="Normal"/>
    <w:uiPriority w:val="99"/>
    <w:unhideWhenUsed/>
    <w:qFormat/>
    <w:rsid w:val="00326f90"/>
    <w:pPr>
      <w:numPr>
        <w:ilvl w:val="0"/>
        <w:numId w:val="4"/>
      </w:numPr>
      <w:spacing w:before="0" w:after="60"/>
      <w:contextualSpacing/>
    </w:pPr>
    <w:rPr>
      <w:rFonts w:ascii="Arial" w:hAnsi="Arial"/>
      <w:sz w:val="19"/>
    </w:rPr>
  </w:style>
  <w:style w:type="paragraph" w:styleId="ListNumber2">
    <w:name w:val="List Number 2"/>
    <w:basedOn w:val="Normal"/>
    <w:uiPriority w:val="99"/>
    <w:unhideWhenUsed/>
    <w:qFormat/>
    <w:rsid w:val="0029639d"/>
    <w:pPr>
      <w:numPr>
        <w:ilvl w:val="0"/>
        <w:numId w:val="5"/>
      </w:numPr>
      <w:spacing w:before="0" w:after="80"/>
      <w:contextualSpacing/>
    </w:pPr>
    <w:rPr/>
  </w:style>
  <w:style w:type="paragraph" w:styleId="ListNumber3">
    <w:name w:val="List Number 3"/>
    <w:basedOn w:val="Normal"/>
    <w:uiPriority w:val="99"/>
    <w:unhideWhenUsed/>
    <w:qFormat/>
    <w:rsid w:val="0029639d"/>
    <w:pPr>
      <w:numPr>
        <w:ilvl w:val="0"/>
        <w:numId w:val="6"/>
      </w:numPr>
      <w:spacing w:before="0" w:after="80"/>
      <w:contextualSpacing/>
    </w:pPr>
    <w:rPr/>
  </w:style>
  <w:style w:type="paragraph" w:styleId="ListContinue">
    <w:name w:val="List Continue"/>
    <w:basedOn w:val="Normal"/>
    <w:uiPriority w:val="99"/>
    <w:unhideWhenUsed/>
    <w:qFormat/>
    <w:rsid w:val="0029639d"/>
    <w:pPr>
      <w:spacing w:before="0" w:after="120"/>
      <w:ind w:left="360"/>
      <w:contextualSpacing/>
    </w:pPr>
    <w:rPr/>
  </w:style>
  <w:style w:type="paragraph" w:styleId="ListContinue2">
    <w:name w:val="List Continue 2"/>
    <w:basedOn w:val="Normal"/>
    <w:uiPriority w:val="99"/>
    <w:unhideWhenUsed/>
    <w:qFormat/>
    <w:rsid w:val="0029639d"/>
    <w:pPr>
      <w:spacing w:before="0" w:after="120"/>
      <w:ind w:left="720"/>
      <w:contextualSpacing/>
    </w:pPr>
    <w:rPr/>
  </w:style>
  <w:style w:type="paragraph" w:styleId="ListContinue3">
    <w:name w:val="List Continue 3"/>
    <w:basedOn w:val="Normal"/>
    <w:uiPriority w:val="99"/>
    <w:unhideWhenUsed/>
    <w:qFormat/>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uiPriority w:val="39"/>
    <w:pPr>
      <w:keepNext/>
      <w:tabs>
        <w:tab w:val="right" w:leader="dot" w:pos="9350"/>
      </w:tabs>
      <w:spacing w:before="120" w:after="40" w:line="240" w:lineRule="auto"/>
      <w:jc w:val="left"/>
    </w:pPr>
    <w:rPr>
      <w:rFonts w:ascii="Calibri" w:hAnsi="Calibri" w:eastAsia="Calibri" w:cs="Calibri"/>
      <w:b/>
      <w:color w:val="37474F"/>
      <w:sz w:val="21"/>
      <w:szCs w:val="21"/>
    </w:rPr>
  </w:style>
  <w:style w:type="paragraph" w:styleId="TOC2">
    <w:name w:val="toc 2"/>
    <w:basedOn w:val="Normal"/>
    <w:next w:val="Normal"/>
    <w:uiPriority w:val="39"/>
    <w:pPr>
      <w:tabs>
        <w:tab w:val="right" w:leader="dot" w:pos="9350"/>
      </w:tabs>
      <w:spacing w:before="0" w:after="20" w:line="240" w:lineRule="auto"/>
      <w:ind w:left="360"/>
      <w:jc w:val="left"/>
    </w:pPr>
    <w:rPr>
      <w:rFonts w:ascii="Calibri" w:hAnsi="Calibri" w:eastAsia="Calibri" w:cs="Calibri"/>
      <w:color w:val="212121"/>
      <w:sz w:val="20"/>
      <w:szCs w:val="20"/>
    </w:rPr>
  </w:style>
  <w:style w:type="paragraph" w:customStyle="1" w:styleId="ModHeading">
    <w:name w:val="Mod Heading"/>
    <w:basedOn w:val="Heading2"/>
    <w:next w:val="Normal"/>
    <w:qFormat/>
    <w:pPr>
      <w:pBdr>
        <w:top w:val="single" w:sz="6" w:space="6" w:color="B0BEC5"/>
      </w:pBdr>
      <w:spacing w:before="480" w:after="200"/>
      <w:outlineLvl w:val="1"/>
    </w:pPr>
    <w:rPr>
      <w:caps/>
      <w:color w:val="546E7A"/>
      <w:sz w:val="24"/>
      <w:szCs w:val="24"/>
    </w:rPr>
  </w:style>
  <w:style w:type="paragraph" w:styleId="TOC3">
    <w:name w:val="toc 3"/>
    <w:basedOn w:val="Normal"/>
    <w:next w:val="Normal"/>
    <w:uiPriority w:val="39"/>
    <w:pPr>
      <w:tabs>
        <w:tab w:val="right" w:leader="dot" w:pos="9350"/>
      </w:tabs>
      <w:spacing w:before="0" w:after="20" w:line="240" w:lineRule="auto"/>
      <w:ind w:left="720"/>
      <w:jc w:val="left"/>
    </w:pPr>
    <w:rPr>
      <w:rFonts w:ascii="Calibri" w:hAnsi="Calibri" w:eastAsia="Calibri" w:cs="Calibri"/>
      <w:i/>
      <w:color w:val="37474F"/>
      <w:sz w:val="19"/>
      <w:szCs w:val="19"/>
    </w:rPr>
  </w:style>
  <w:style w:type="paragraph" w:styleId="TOC4">
    <w:name w:val="toc 4"/>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950"/>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5">
    <w:name w:val="toc 5"/>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267"/>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6">
    <w:name w:val="toc 6"/>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584"/>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7">
    <w:name w:val="toc 7"/>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757"/>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8">
    <w:name w:val="toc 8"/>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901"/>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9">
    <w:name w:val="toc 9"/>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2045"/>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ExcludedHeading1" w:customStyle="1">
    <w:name w:val="TOC Excluded Heading 1"/>
    <w:qFormat/>
    <w:pPr>
      <w:keepNext w:val="true"/>
      <w:keepLines/>
      <w:pageBreakBefore/>
      <w:widowControl/>
      <w:suppressAutoHyphens w:val="true"/>
      <w:bidi w:val="0"/>
      <w:spacing w:before="280" w:after="160"/>
      <w:jc w:val="left"/>
    </w:pPr>
    <w:rPr>
      <w:rFonts w:ascii="Calibri" w:hAnsi="Calibri" w:eastAsia="ＭＳ ゴシック" w:cs="" w:asciiTheme="majorHAnsi" w:cstheme="majorBidi" w:eastAsiaTheme="majorEastAsia" w:hAnsiTheme="majorHAnsi"/>
      <w:b/>
      <w:bCs/>
      <w:color w:val="1F3A5F"/>
      <w:kern w:val="0"/>
      <w:sz w:val="30"/>
      <w:szCs w:val="28"/>
      <w:lang w:val="en-US" w:eastAsia="en-US" w:bidi="ar-SA"/>
    </w:rPr>
  </w:style>
  <w:style w:type="paragraph" w:styleId="TOCExcludedHeading2" w:customStyle="1">
    <w:name w:val="TOC Excluded Heading 2"/>
    <w:qFormat/>
    <w:pPr>
      <w:keepNext w:val="true"/>
      <w:keepLines/>
      <w:widowControl/>
      <w:suppressAutoHyphens w:val="true"/>
      <w:bidi w:val="0"/>
      <w:spacing w:before="200" w:after="100"/>
      <w:jc w:val="left"/>
    </w:pPr>
    <w:rPr>
      <w:rFonts w:ascii="Calibri" w:hAnsi="Calibri" w:eastAsia="ＭＳ ゴシック" w:cs="" w:asciiTheme="majorHAnsi" w:cstheme="majorBidi" w:eastAsiaTheme="majorEastAsia" w:hAnsiTheme="majorHAnsi"/>
      <w:b/>
      <w:bCs/>
      <w:color w:val="2A4D73"/>
      <w:kern w:val="0"/>
      <w:sz w:val="24"/>
      <w:szCs w:val="26"/>
      <w:lang w:val="en-US" w:eastAsia="en-US" w:bidi="ar-SA"/>
    </w:rPr>
  </w:style>
  <w:style w:type="paragraph" w:styleId="TOCExcludedHeading3" w:customStyle="1">
    <w:name w:val="TOC Excluded Heading 3"/>
    <w:qFormat/>
    <w:pPr>
      <w:keepNext w:val="true"/>
      <w:keepLines/>
      <w:widowControl/>
      <w:suppressAutoHyphens w:val="true"/>
      <w:bidi w:val="0"/>
      <w:spacing w:before="160" w:after="80"/>
      <w:jc w:val="left"/>
    </w:pPr>
    <w:rPr>
      <w:rFonts w:ascii="Calibri" w:hAnsi="Calibri" w:eastAsia="ＭＳ ゴシック" w:cs="" w:asciiTheme="majorHAnsi" w:cstheme="majorBidi" w:eastAsiaTheme="majorEastAsia" w:hAnsiTheme="majorHAnsi"/>
      <w:b/>
      <w:bCs/>
      <w:color w:val="3D5A80"/>
      <w:kern w:val="0"/>
      <w:sz w:val="21"/>
      <w:szCs w:val="22"/>
      <w:lang w:val="en-US" w:eastAsia="en-US" w:bidi="ar-SA"/>
    </w:rPr>
  </w:style>
  <w:style w:type="paragraph" w:customStyle="1" w:styleId="TrumpVisibilityHeadline">
    <w:name w:val="Trump Visibility Headline"/>
    <w:basedOn w:val="Heading2"/>
    <w:next w:val="Normal"/>
    <w:qFormat/>
    <w:pPr>
      <w:outlineLvl w:val="9"/>
    </w:pPr>
    <w:rPr>
      <w:caps/>
      <w:color w:val="37474F"/>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auto"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auto"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auto"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auto"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auto"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auto"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auto"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auto"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auto"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auto"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auto"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auto"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auto"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auto"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auto"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auto"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auto"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auto"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auto"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auto"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auto"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auto"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auto"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auto"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auto"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auto"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auto"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auto"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auto"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auto"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auto"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auto"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auto"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auto"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auto"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auto"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auto"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auto"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auto"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auto"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auto"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auto"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auto" w:themeColor="text1"/>
      </w:rPr>
      <w:tblPr/>
      <w:tcPr>
        <w:shd w:val="clear" w:color="auto" w:fill="E6E6E6" w:themeFill="text1"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auto" w:themeColor="text1"/>
      </w:rPr>
      <w:tblPr/>
      <w:tcPr>
        <w:shd w:val="clear" w:color="auto" w:fill="EDF2F8" w:themeFill="accent1"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auto" w:themeColor="text1"/>
      </w:rPr>
      <w:tblPr/>
      <w:tcPr>
        <w:shd w:val="clear" w:color="auto" w:fill="F8EDED" w:themeFill="accent2"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auto" w:themeColor="text1"/>
      </w:rPr>
      <w:tblPr/>
      <w:tcPr>
        <w:shd w:val="clear" w:color="auto" w:fill="F5F8EE" w:themeFill="accent3"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auto" w:themeColor="text1"/>
      </w:rPr>
      <w:tblPr/>
      <w:tcPr>
        <w:shd w:val="clear" w:color="auto" w:fill="F2EFF6" w:themeFill="accent4"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auto" w:themeColor="text1"/>
      </w:rPr>
      <w:tblPr/>
      <w:tcPr>
        <w:shd w:val="clear" w:color="auto" w:fill="EDF6F9" w:themeFill="accent5"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auto" w:themeColor="text1"/>
      </w:rPr>
      <w:tblPr/>
      <w:tcPr>
        <w:shd w:val="clear" w:color="auto" w:fill="FEF4EC" w:themeFill="accent6"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auto"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auto"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auto"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auto"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auto"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auto"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auto"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auto"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000000" w:themeFill="text1" w:themeFillShade="99"/>
      </w:tcPr>
    </w:tblStylePr>
    <w:tblStylePr w:type="firstCol">
      <w:rPr>
        <w:color w:val="auto"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auto"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auto" w:themeColor="text1"/>
      </w:rPr>
      <w:tblPr/>
    </w:tblStylePr>
    <w:tblStylePr w:type="nwCell">
      <w:rPr>
        <w:color w:val="auto" w:themeColor="text1"/>
      </w:rPr>
      <w:tblPr/>
    </w:tblStylePr>
  </w:style>
  <w:style w:type="table" w:styleId="ColorfulShading-Accent1">
    <w:name w:val="Colorful Shading Accent 1"/>
    <w:basedOn w:val="TableNormal"/>
    <w:uiPriority w:val="71"/>
    <w:rsid w:val="00cb0664"/>
    <w:rPr>
      <w:color w:val="auto"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2C4C74" w:themeFill="accent1" w:themeFillShade="99"/>
      </w:tcPr>
    </w:tblStylePr>
    <w:tblStylePr w:type="firstCol">
      <w:rPr>
        <w:color w:val="auto"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auto"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auto" w:themeColor="text1"/>
      </w:rPr>
      <w:tblPr/>
    </w:tblStylePr>
    <w:tblStylePr w:type="nwCell">
      <w:rPr>
        <w:color w:val="auto" w:themeColor="text1"/>
      </w:rPr>
      <w:tblPr/>
    </w:tblStylePr>
  </w:style>
  <w:style w:type="table" w:styleId="ColorfulShading-Accent2">
    <w:name w:val="Colorful Shading Accent 2"/>
    <w:basedOn w:val="TableNormal"/>
    <w:uiPriority w:val="71"/>
    <w:rsid w:val="00cb0664"/>
    <w:rPr>
      <w:color w:val="auto"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772C2A" w:themeFill="accent2" w:themeFillShade="99"/>
      </w:tcPr>
    </w:tblStylePr>
    <w:tblStylePr w:type="firstCol">
      <w:rPr>
        <w:color w:val="auto"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auto"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auto" w:themeColor="text1"/>
      </w:rPr>
      <w:tblPr/>
    </w:tblStylePr>
    <w:tblStylePr w:type="nwCell">
      <w:rPr>
        <w:color w:val="auto" w:themeColor="text1"/>
      </w:rPr>
      <w:tblPr/>
    </w:tblStylePr>
  </w:style>
  <w:style w:type="table" w:styleId="ColorfulShading-Accent3">
    <w:name w:val="Colorful Shading Accent 3"/>
    <w:basedOn w:val="TableNormal"/>
    <w:uiPriority w:val="71"/>
    <w:rsid w:val="00cb0664"/>
    <w:rPr>
      <w:color w:val="auto"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5E7530" w:themeFill="accent3" w:themeFillShade="99"/>
      </w:tcPr>
    </w:tblStylePr>
    <w:tblStylePr w:type="firstCol">
      <w:rPr>
        <w:color w:val="auto"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auto"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auto"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4C3B62" w:themeFill="accent4" w:themeFillShade="99"/>
      </w:tcPr>
    </w:tblStylePr>
    <w:tblStylePr w:type="firstCol">
      <w:rPr>
        <w:color w:val="auto"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auto"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auto" w:themeColor="text1"/>
      </w:rPr>
      <w:tblPr/>
    </w:tblStylePr>
    <w:tblStylePr w:type="nwCell">
      <w:rPr>
        <w:color w:val="auto" w:themeColor="text1"/>
      </w:rPr>
      <w:tblPr/>
    </w:tblStylePr>
  </w:style>
  <w:style w:type="table" w:styleId="ColorfulShading-Accent5">
    <w:name w:val="Colorful Shading Accent 5"/>
    <w:basedOn w:val="TableNormal"/>
    <w:uiPriority w:val="71"/>
    <w:rsid w:val="00cb0664"/>
    <w:rPr>
      <w:color w:val="auto"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276A7C" w:themeFill="accent5" w:themeFillShade="99"/>
      </w:tcPr>
    </w:tblStylePr>
    <w:tblStylePr w:type="firstCol">
      <w:rPr>
        <w:color w:val="auto"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auto"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auto" w:themeColor="text1"/>
      </w:rPr>
      <w:tblPr/>
    </w:tblStylePr>
    <w:tblStylePr w:type="nwCell">
      <w:rPr>
        <w:color w:val="auto" w:themeColor="text1"/>
      </w:rPr>
      <w:tblPr/>
    </w:tblStylePr>
  </w:style>
  <w:style w:type="table" w:styleId="ColorfulShading-Accent6">
    <w:name w:val="Colorful Shading Accent 6"/>
    <w:basedOn w:val="TableNormal"/>
    <w:uiPriority w:val="71"/>
    <w:rsid w:val="00cb0664"/>
    <w:rPr>
      <w:color w:val="auto"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B65608" w:themeFill="accent6" w:themeFillShade="99"/>
      </w:tcPr>
    </w:tblStylePr>
    <w:tblStylePr w:type="firstCol">
      <w:rPr>
        <w:color w:val="auto"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auto"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auto" w:themeColor="text1"/>
      </w:rPr>
      <w:tblPr/>
    </w:tblStylePr>
    <w:tblStylePr w:type="nwCell">
      <w:rPr>
        <w:color w:val="auto" w:themeColor="text1"/>
      </w:rPr>
      <w:tblPr/>
    </w:tblStylePr>
  </w:style>
  <w:style w:type="table" w:styleId="ColorfulList">
    <w:name w:val="Colorful List"/>
    <w:basedOn w:val="TableNormal"/>
    <w:uiPriority w:val="72"/>
    <w:rsid w:val="00cb0664"/>
    <w:rPr>
      <w:color w:val="auto" w:themeColor="text1"/>
    </w:rPr>
    <w:tblPr>
      <w:tblStyleRowBandSize w:val="1"/>
      <w:tblStyleColBandSize w:val="1"/>
    </w:tblPr>
    <w:tcPr>
      <w:shd w:val="clear" w:color="auto" w:fill="E6E6E6" w:themeFill="text1" w:themeFillTint="19"/>
    </w:tcPr>
    <w:tblStylePr w:type="firstRow">
      <w:rPr>
        <w:b/>
        <w:bCs/>
        <w:color w:val="auto" w:themeColor="background1"/>
      </w:rPr>
      <w:tblPr/>
      <w:tcPr>
        <w:tcBorders>
          <w:bottom w:val="single" w:color="FFFFFF" w:themeColor="background1" w:sz="12" w:space="0"/>
        </w:tcBorders>
        <w:shd w:val="clear" w:color="auto" w:fill="9E3A38" w:themeFill="accent2" w:themeFillShade="cc"/>
      </w:tcPr>
    </w:tblStylePr>
    <w:tblStylePr w:type="lastRow">
      <w:rPr>
        <w:b/>
        <w:bCs/>
        <w:color w:val="auto"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auto" w:themeColor="text1"/>
    </w:rPr>
    <w:tblPr>
      <w:tblStyleRowBandSize w:val="1"/>
      <w:tblStyleColBandSize w:val="1"/>
    </w:tblPr>
    <w:tcPr>
      <w:shd w:val="clear" w:color="auto" w:fill="EDF2F8" w:themeFill="accent1" w:themeFillTint="19"/>
    </w:tcPr>
    <w:tblStylePr w:type="firstRow">
      <w:rPr>
        <w:b/>
        <w:bCs/>
        <w:color w:val="auto" w:themeColor="background1"/>
      </w:rPr>
      <w:tblPr/>
      <w:tcPr>
        <w:tcBorders>
          <w:bottom w:val="single" w:color="FFFFFF" w:themeColor="background1" w:sz="12" w:space="0"/>
        </w:tcBorders>
        <w:shd w:val="clear" w:color="auto" w:fill="9E3A38" w:themeFill="accent2" w:themeFillShade="cc"/>
      </w:tcPr>
    </w:tblStylePr>
    <w:tblStylePr w:type="lastRow">
      <w:rPr>
        <w:b/>
        <w:bCs/>
        <w:color w:val="auto"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auto" w:themeColor="text1"/>
    </w:rPr>
    <w:tblPr>
      <w:tblStyleRowBandSize w:val="1"/>
      <w:tblStyleColBandSize w:val="1"/>
    </w:tblPr>
    <w:tcPr>
      <w:shd w:val="clear" w:color="auto" w:fill="F8EDED" w:themeFill="accent2" w:themeFillTint="19"/>
    </w:tcPr>
    <w:tblStylePr w:type="firstRow">
      <w:rPr>
        <w:b/>
        <w:bCs/>
        <w:color w:val="auto" w:themeColor="background1"/>
      </w:rPr>
      <w:tblPr/>
      <w:tcPr>
        <w:tcBorders>
          <w:bottom w:val="single" w:color="FFFFFF" w:themeColor="background1" w:sz="12" w:space="0"/>
        </w:tcBorders>
        <w:shd w:val="clear" w:color="auto" w:fill="9E3A38" w:themeFill="accent2" w:themeFillShade="cc"/>
      </w:tcPr>
    </w:tblStylePr>
    <w:tblStylePr w:type="lastRow">
      <w:rPr>
        <w:b/>
        <w:bCs/>
        <w:color w:val="auto"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auto" w:themeColor="text1"/>
    </w:rPr>
    <w:tblPr>
      <w:tblStyleRowBandSize w:val="1"/>
      <w:tblStyleColBandSize w:val="1"/>
    </w:tblPr>
    <w:tcPr>
      <w:shd w:val="clear" w:color="auto" w:fill="F5F8EE" w:themeFill="accent3" w:themeFillTint="19"/>
    </w:tcPr>
    <w:tblStylePr w:type="firstRow">
      <w:rPr>
        <w:b/>
        <w:bCs/>
        <w:color w:val="auto" w:themeColor="background1"/>
      </w:rPr>
      <w:tblPr/>
      <w:tcPr>
        <w:tcBorders>
          <w:bottom w:val="single" w:color="FFFFFF" w:themeColor="background1" w:sz="12" w:space="0"/>
        </w:tcBorders>
        <w:shd w:val="clear" w:color="auto" w:fill="664E82" w:themeFill="accent4" w:themeFillShade="cc"/>
      </w:tcPr>
    </w:tblStylePr>
    <w:tblStylePr w:type="lastRow">
      <w:rPr>
        <w:b/>
        <w:bCs/>
        <w:color w:val="auto"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auto" w:themeColor="text1"/>
    </w:rPr>
    <w:tblPr>
      <w:tblStyleRowBandSize w:val="1"/>
      <w:tblStyleColBandSize w:val="1"/>
    </w:tblPr>
    <w:tcPr>
      <w:shd w:val="clear" w:color="auto" w:fill="F2EFF6" w:themeFill="accent4" w:themeFillTint="19"/>
    </w:tcPr>
    <w:tblStylePr w:type="firstRow">
      <w:rPr>
        <w:b/>
        <w:bCs/>
        <w:color w:val="auto" w:themeColor="background1"/>
      </w:rPr>
      <w:tblPr/>
      <w:tcPr>
        <w:tcBorders>
          <w:bottom w:val="single" w:color="FFFFFF" w:themeColor="background1" w:sz="12" w:space="0"/>
        </w:tcBorders>
        <w:shd w:val="clear" w:color="auto" w:fill="7E9C40" w:themeFill="accent3" w:themeFillShade="cc"/>
      </w:tcPr>
    </w:tblStylePr>
    <w:tblStylePr w:type="lastRow">
      <w:rPr>
        <w:b/>
        <w:bCs/>
        <w:color w:val="auto"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auto" w:themeColor="text1"/>
    </w:rPr>
    <w:tblPr>
      <w:tblStyleRowBandSize w:val="1"/>
      <w:tblStyleColBandSize w:val="1"/>
    </w:tblPr>
    <w:tcPr>
      <w:shd w:val="clear" w:color="auto" w:fill="EDF6F9" w:themeFill="accent5" w:themeFillTint="19"/>
    </w:tcPr>
    <w:tblStylePr w:type="firstRow">
      <w:rPr>
        <w:b/>
        <w:bCs/>
        <w:color w:val="auto" w:themeColor="background1"/>
      </w:rPr>
      <w:tblPr/>
      <w:tcPr>
        <w:tcBorders>
          <w:bottom w:val="single" w:color="FFFFFF" w:themeColor="background1" w:sz="12" w:space="0"/>
        </w:tcBorders>
        <w:shd w:val="clear" w:color="auto" w:fill="F2730A" w:themeFill="accent6" w:themeFillShade="cc"/>
      </w:tcPr>
    </w:tblStylePr>
    <w:tblStylePr w:type="lastRow">
      <w:rPr>
        <w:b/>
        <w:bCs/>
        <w:color w:val="auto"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auto" w:themeColor="text1"/>
    </w:rPr>
    <w:tblPr>
      <w:tblStyleRowBandSize w:val="1"/>
      <w:tblStyleColBandSize w:val="1"/>
    </w:tblPr>
    <w:tcPr>
      <w:shd w:val="clear" w:color="auto" w:fill="FEF4EC" w:themeFill="accent6" w:themeFillTint="19"/>
    </w:tcPr>
    <w:tblStylePr w:type="firstRow">
      <w:rPr>
        <w:b/>
        <w:bCs/>
        <w:color w:val="auto" w:themeColor="background1"/>
      </w:rPr>
      <w:tblPr/>
      <w:tcPr>
        <w:tcBorders>
          <w:bottom w:val="single" w:color="FFFFFF" w:themeColor="background1" w:sz="12" w:space="0"/>
        </w:tcBorders>
        <w:shd w:val="clear" w:color="auto" w:fill="348DA5" w:themeFill="accent5" w:themeFillShade="cc"/>
      </w:tcPr>
    </w:tblStylePr>
    <w:tblStylePr w:type="lastRow">
      <w:rPr>
        <w:b/>
        <w:bCs/>
        <w:color w:val="auto"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auto" w:themeColor="text1"/>
      </w:rPr>
      <w:tblPr/>
      <w:tcPr>
        <w:shd w:val="clear" w:color="auto" w:fill="999999" w:themeFill="text1" w:themeFillTint="66"/>
      </w:tcPr>
    </w:tblStylePr>
    <w:tblStylePr w:type="firstCol">
      <w:rPr>
        <w:color w:val="auto" w:themeColor="background1"/>
      </w:rPr>
      <w:tblPr/>
      <w:tcPr>
        <w:shd w:val="clear" w:color="auto" w:fill="000000" w:themeFill="text1" w:themeFillShade="bf"/>
      </w:tcPr>
    </w:tblStylePr>
    <w:tblStylePr w:type="lastCol">
      <w:rPr>
        <w:color w:val="auto"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auto" w:themeColor="text1"/>
      </w:rPr>
      <w:tblPr/>
      <w:tcPr>
        <w:shd w:val="clear" w:color="auto" w:fill="B8CCE4" w:themeFill="accent1" w:themeFillTint="66"/>
      </w:tcPr>
    </w:tblStylePr>
    <w:tblStylePr w:type="firstCol">
      <w:rPr>
        <w:color w:val="auto" w:themeColor="background1"/>
      </w:rPr>
      <w:tblPr/>
      <w:tcPr>
        <w:shd w:val="clear" w:color="auto" w:fill="365F91" w:themeFill="accent1" w:themeFillShade="bf"/>
      </w:tcPr>
    </w:tblStylePr>
    <w:tblStylePr w:type="lastCol">
      <w:rPr>
        <w:color w:val="auto"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auto" w:themeColor="text1"/>
      </w:rPr>
      <w:tblPr/>
      <w:tcPr>
        <w:shd w:val="clear" w:color="auto" w:fill="E5B8B7" w:themeFill="accent2" w:themeFillTint="66"/>
      </w:tcPr>
    </w:tblStylePr>
    <w:tblStylePr w:type="firstCol">
      <w:rPr>
        <w:color w:val="auto" w:themeColor="background1"/>
      </w:rPr>
      <w:tblPr/>
      <w:tcPr>
        <w:shd w:val="clear" w:color="auto" w:fill="943634" w:themeFill="accent2" w:themeFillShade="bf"/>
      </w:tcPr>
    </w:tblStylePr>
    <w:tblStylePr w:type="lastCol">
      <w:rPr>
        <w:color w:val="auto"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auto" w:themeColor="text1"/>
      </w:rPr>
      <w:tblPr/>
      <w:tcPr>
        <w:shd w:val="clear" w:color="auto" w:fill="D6E3BC" w:themeFill="accent3" w:themeFillTint="66"/>
      </w:tcPr>
    </w:tblStylePr>
    <w:tblStylePr w:type="firstCol">
      <w:rPr>
        <w:color w:val="auto" w:themeColor="background1"/>
      </w:rPr>
      <w:tblPr/>
      <w:tcPr>
        <w:shd w:val="clear" w:color="auto" w:fill="76923C" w:themeFill="accent3" w:themeFillShade="bf"/>
      </w:tcPr>
    </w:tblStylePr>
    <w:tblStylePr w:type="lastCol">
      <w:rPr>
        <w:color w:val="auto"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auto" w:themeColor="text1"/>
      </w:rPr>
      <w:tblPr/>
      <w:tcPr>
        <w:shd w:val="clear" w:color="auto" w:fill="CCC0D9" w:themeFill="accent4" w:themeFillTint="66"/>
      </w:tcPr>
    </w:tblStylePr>
    <w:tblStylePr w:type="firstCol">
      <w:rPr>
        <w:color w:val="auto" w:themeColor="background1"/>
      </w:rPr>
      <w:tblPr/>
      <w:tcPr>
        <w:shd w:val="clear" w:color="auto" w:fill="5F497A" w:themeFill="accent4" w:themeFillShade="bf"/>
      </w:tcPr>
    </w:tblStylePr>
    <w:tblStylePr w:type="lastCol">
      <w:rPr>
        <w:color w:val="auto"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auto" w:themeColor="text1"/>
      </w:rPr>
      <w:tblPr/>
      <w:tcPr>
        <w:shd w:val="clear" w:color="auto" w:fill="B6DDE8" w:themeFill="accent5" w:themeFillTint="66"/>
      </w:tcPr>
    </w:tblStylePr>
    <w:tblStylePr w:type="firstCol">
      <w:rPr>
        <w:color w:val="auto" w:themeColor="background1"/>
      </w:rPr>
      <w:tblPr/>
      <w:tcPr>
        <w:shd w:val="clear" w:color="auto" w:fill="31849B" w:themeFill="accent5" w:themeFillShade="bf"/>
      </w:tcPr>
    </w:tblStylePr>
    <w:tblStylePr w:type="lastCol">
      <w:rPr>
        <w:color w:val="auto"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auto" w:themeColor="text1"/>
      </w:rPr>
      <w:tblPr/>
      <w:tcPr>
        <w:shd w:val="clear" w:color="auto" w:fill="FBD4B4" w:themeFill="accent6" w:themeFillTint="66"/>
      </w:tcPr>
    </w:tblStylePr>
    <w:tblStylePr w:type="firstCol">
      <w:rPr>
        <w:color w:val="auto" w:themeColor="background1"/>
      </w:rPr>
      <w:tblPr/>
      <w:tcPr>
        <w:shd w:val="clear" w:color="auto" w:fill="E36C0A" w:themeFill="accent6" w:themeFillShade="bf"/>
      </w:tcPr>
    </w:tblStylePr>
    <w:tblStylePr w:type="lastCol">
      <w:rPr>
        <w:color w:val="auto"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Label">
    <w:name w:val="Clause Label"/>
    <w:basedOn w:val="Normal"/>
    <w:next w:val="Normal"/>
    <w:qFormat/>
    <w:pPr>
      <w:keepNext/>
      <w:keepLines/>
      <w:spacing w:before="200" w:after="60"/>
      <w:jc w:val="left"/>
    </w:pPr>
    <w:rPr>
      <w:rFonts w:ascii="Calibri" w:hAnsi="Calibri" w:eastAsia="Calibri" w:cs="Calibri"/>
      <w:b/>
      <w:bCs/>
      <w:color w:val="37474F"/>
      <w:sz w:val="21"/>
      <w:szCs w:val="21"/>
    </w:rPr>
  </w:style>
  <w:style w:type="paragraph" w:customStyle="1" w:styleId="TableText">
    <w:name w:val="Table Text"/>
    <w:basedOn w:val="Normal"/>
    <w:qFormat/>
    <w:pPr>
      <w:spacing w:before="0" w:after="0" w:line="260" w:lineRule="auto"/>
      <w:jc w:val="left"/>
    </w:pPr>
    <w:rPr>
      <w:rFonts w:ascii="Calibri" w:hAnsi="Calibri" w:eastAsia="Calibri" w:cs="Calibri"/>
      <w:color w:val="212121"/>
      <w:sz w:val="19"/>
      <w:szCs w:val="19"/>
    </w:rPr>
  </w:style>
  <w:style w:type="paragraph" w:customStyle="1" w:styleId="InstrumentArticle">
    <w:name w:val="Instrument Article"/>
    <w:basedOn w:val="Heading3"/>
    <w:next w:val="Normal"/>
    <w:qFormat/>
    <w:pPr>
      <w:outlineLvl w:val="2"/>
    </w:pPr>
    <w:rPr/>
  </w:style>
  <w:style w:type="paragraph" w:customStyle="1" w:styleId="AnnexSection">
    <w:name w:val="Annex Section"/>
    <w:basedOn w:val="Heading3"/>
    <w:next w:val="Normal"/>
    <w:qFormat/>
    <w:pPr>
      <w:outlineLvl w:val="2"/>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1531</Pages>
  <Words>442210</Words>
  <Characters>2929601</Characters>
  <CharactersWithSpaces>3360846</CharactersWithSpaces>
  <Paragraphs>12351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Formatting, navigation, verified truncation repair, and table reconstruction; substantive provisions preserved.</dc:description>
  <dc:language>en-US</dc:language>
  <cp:lastModifiedBy>Heather Leblanc</cp:lastModifiedBy>
  <dcterms:modified xsi:type="dcterms:W3CDTF">2026-08-18T13:53:00Z</dcterms:modified>
  <cp:revision>7</cp:revision>
  <dc:subject>NAESTMA Version 9.7A: Government Formatting Edition</dc:subject>
  <dc:title>NAESTMA v9.8-FS: Post-Integration Precision Smelt</dc:title>
  <cp:version>8.9</cp:version>
</cp:coreProperties>
</file>

<file path=docProps/custom.xml><?xml version="1.0" encoding="utf-8"?>
<Properties xmlns="http://schemas.openxmlformats.org/officeDocument/2006/custom-properties" xmlns:vt="http://schemas.openxmlformats.org/officeDocument/2006/docPropsVTypes"/>
</file>